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ttachedToolbars.bin" ContentType="application/vnd.ms-word.attachedToolbars"/>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478BF17">
      <w:pPr>
        <w:pStyle w:val="378"/>
        <w:ind w:firstLine="0"/>
        <w:jc w:val="center"/>
        <w:rPr>
          <w:rFonts w:hint="eastAsia" w:hAnsi="宋体" w:eastAsia="宋体"/>
          <w:b/>
          <w:bCs/>
          <w:color w:val="auto"/>
          <w:sz w:val="72"/>
          <w:szCs w:val="72"/>
          <w:lang w:eastAsia="zh-CN"/>
        </w:rPr>
      </w:pPr>
      <w:bookmarkStart w:id="0" w:name="_Toc248810428"/>
      <w:bookmarkStart w:id="1" w:name="_Toc268791851"/>
      <w:bookmarkStart w:id="2" w:name="_Toc2668633"/>
      <w:bookmarkStart w:id="3" w:name="_Toc18907172"/>
      <w:bookmarkStart w:id="4" w:name="_Toc137797371"/>
    </w:p>
    <w:p w14:paraId="716B5738">
      <w:pPr>
        <w:pStyle w:val="378"/>
        <w:ind w:firstLine="0"/>
        <w:jc w:val="center"/>
        <w:rPr>
          <w:rFonts w:hint="eastAsia" w:hAnsi="宋体"/>
          <w:b/>
          <w:bCs/>
          <w:color w:val="auto"/>
          <w:sz w:val="48"/>
          <w:szCs w:val="48"/>
          <w:lang w:eastAsia="zh-CN"/>
        </w:rPr>
      </w:pPr>
      <w:r>
        <w:rPr>
          <w:rFonts w:hint="eastAsia" w:hAnsi="宋体"/>
          <w:b/>
          <w:bCs/>
          <w:color w:val="auto"/>
          <w:sz w:val="48"/>
          <w:szCs w:val="48"/>
          <w:lang w:eastAsia="zh-CN"/>
        </w:rPr>
        <w:t>北票天勤农牧科技有限公司</w:t>
      </w:r>
    </w:p>
    <w:p w14:paraId="3C873917">
      <w:pPr>
        <w:pStyle w:val="378"/>
        <w:ind w:firstLine="0"/>
        <w:jc w:val="center"/>
        <w:rPr>
          <w:rFonts w:hint="eastAsia" w:hAnsi="宋体"/>
          <w:b/>
          <w:bCs/>
          <w:color w:val="auto"/>
          <w:sz w:val="48"/>
          <w:szCs w:val="48"/>
          <w:lang w:eastAsia="zh-CN"/>
        </w:rPr>
      </w:pPr>
      <w:r>
        <w:rPr>
          <w:rFonts w:hint="eastAsia" w:hAnsi="宋体"/>
          <w:b/>
          <w:bCs/>
          <w:color w:val="auto"/>
          <w:sz w:val="48"/>
          <w:szCs w:val="48"/>
          <w:lang w:eastAsia="zh-CN"/>
        </w:rPr>
        <w:t>100万只蛋鸡养殖基地建设项目</w:t>
      </w:r>
    </w:p>
    <w:p w14:paraId="691BAD0D">
      <w:pPr>
        <w:pStyle w:val="378"/>
        <w:ind w:firstLine="0"/>
        <w:jc w:val="center"/>
        <w:rPr>
          <w:b/>
          <w:bCs/>
          <w:color w:val="auto"/>
          <w:sz w:val="48"/>
          <w:szCs w:val="48"/>
        </w:rPr>
      </w:pPr>
      <w:r>
        <w:rPr>
          <w:rFonts w:hAnsi="宋体"/>
          <w:b/>
          <w:bCs/>
          <w:color w:val="auto"/>
          <w:sz w:val="48"/>
          <w:szCs w:val="48"/>
        </w:rPr>
        <w:t>环境影响报告书</w:t>
      </w:r>
    </w:p>
    <w:p w14:paraId="0D82EC12">
      <w:pPr>
        <w:pStyle w:val="378"/>
        <w:ind w:firstLine="0"/>
        <w:jc w:val="center"/>
        <w:rPr>
          <w:b/>
          <w:bCs/>
          <w:color w:val="auto"/>
          <w:sz w:val="52"/>
          <w:szCs w:val="52"/>
        </w:rPr>
      </w:pPr>
      <w:r>
        <w:rPr>
          <w:rFonts w:hint="eastAsia"/>
          <w:b/>
          <w:bCs/>
          <w:color w:val="auto"/>
          <w:sz w:val="52"/>
          <w:szCs w:val="52"/>
        </w:rPr>
        <w:t>（</w:t>
      </w:r>
      <w:r>
        <w:rPr>
          <w:rFonts w:hint="eastAsia"/>
          <w:b/>
          <w:bCs/>
          <w:color w:val="auto"/>
          <w:sz w:val="52"/>
          <w:szCs w:val="52"/>
          <w:lang w:val="en-US" w:eastAsia="zh-CN"/>
        </w:rPr>
        <w:t>送审</w:t>
      </w:r>
      <w:r>
        <w:rPr>
          <w:rFonts w:hint="eastAsia"/>
          <w:b/>
          <w:bCs/>
          <w:color w:val="auto"/>
          <w:sz w:val="52"/>
          <w:szCs w:val="52"/>
        </w:rPr>
        <w:t>稿）</w:t>
      </w:r>
    </w:p>
    <w:p w14:paraId="20263698">
      <w:pPr>
        <w:pStyle w:val="378"/>
        <w:ind w:firstLine="0"/>
        <w:rPr>
          <w:b/>
          <w:bCs/>
          <w:color w:val="auto"/>
          <w:sz w:val="84"/>
          <w:szCs w:val="84"/>
        </w:rPr>
      </w:pPr>
    </w:p>
    <w:p w14:paraId="1EA33EBA">
      <w:pPr>
        <w:pStyle w:val="378"/>
        <w:ind w:firstLine="0"/>
        <w:rPr>
          <w:b/>
          <w:bCs/>
          <w:color w:val="auto"/>
          <w:sz w:val="84"/>
          <w:szCs w:val="84"/>
        </w:rPr>
      </w:pPr>
    </w:p>
    <w:p w14:paraId="05B9D4D6">
      <w:pPr>
        <w:pStyle w:val="378"/>
        <w:ind w:firstLine="15285"/>
        <w:jc w:val="right"/>
        <w:rPr>
          <w:rFonts w:hint="default" w:eastAsia="宋体"/>
          <w:b/>
          <w:bCs/>
          <w:color w:val="auto"/>
          <w:sz w:val="48"/>
          <w:szCs w:val="48"/>
          <w:lang w:val="en-US" w:eastAsia="zh-CN"/>
        </w:rPr>
      </w:pPr>
      <w:r>
        <w:rPr>
          <w:rFonts w:hint="eastAsia"/>
          <w:b/>
          <w:bCs/>
          <w:color w:val="auto"/>
          <w:sz w:val="48"/>
          <w:szCs w:val="48"/>
          <w:lang w:val="en-US" w:eastAsia="zh-CN"/>
        </w:rPr>
        <w:t>4</w:t>
      </w:r>
    </w:p>
    <w:p w14:paraId="2DEF17D4">
      <w:pPr>
        <w:pStyle w:val="378"/>
        <w:ind w:firstLine="15285"/>
        <w:jc w:val="right"/>
        <w:rPr>
          <w:b/>
          <w:bCs/>
          <w:color w:val="auto"/>
          <w:sz w:val="36"/>
          <w:szCs w:val="36"/>
        </w:rPr>
      </w:pPr>
      <w:r>
        <w:rPr>
          <w:b/>
          <w:bCs/>
          <w:color w:val="auto"/>
          <w:sz w:val="48"/>
          <w:szCs w:val="48"/>
        </w:rPr>
        <w:t xml:space="preserve">   </w:t>
      </w:r>
      <w:r>
        <w:rPr>
          <w:b/>
          <w:bCs/>
          <w:color w:val="auto"/>
          <w:sz w:val="36"/>
          <w:szCs w:val="36"/>
        </w:rPr>
        <w:t xml:space="preserve">     </w:t>
      </w:r>
    </w:p>
    <w:p w14:paraId="3A5F1D9F">
      <w:pPr>
        <w:pStyle w:val="378"/>
        <w:ind w:firstLine="0"/>
        <w:rPr>
          <w:b/>
          <w:bCs/>
          <w:color w:val="auto"/>
          <w:spacing w:val="15"/>
          <w:sz w:val="32"/>
          <w:szCs w:val="32"/>
        </w:rPr>
      </w:pPr>
    </w:p>
    <w:p w14:paraId="4CF7B202">
      <w:pPr>
        <w:overflowPunct w:val="0"/>
        <w:adjustRightInd w:val="0"/>
        <w:snapToGrid w:val="0"/>
        <w:spacing w:line="360" w:lineRule="auto"/>
        <w:jc w:val="center"/>
        <w:textAlignment w:val="top"/>
        <w:rPr>
          <w:rFonts w:hint="eastAsia" w:hAnsi="宋体" w:eastAsia="宋体"/>
          <w:b/>
          <w:snapToGrid w:val="0"/>
          <w:color w:val="auto"/>
          <w:kern w:val="0"/>
          <w:sz w:val="36"/>
          <w:szCs w:val="36"/>
          <w:lang w:eastAsia="zh-CN"/>
        </w:rPr>
      </w:pPr>
      <w:r>
        <w:rPr>
          <w:rFonts w:hAnsi="宋体"/>
          <w:b/>
          <w:snapToGrid w:val="0"/>
          <w:color w:val="auto"/>
          <w:kern w:val="0"/>
          <w:sz w:val="36"/>
          <w:szCs w:val="36"/>
        </w:rPr>
        <w:t>编制单位：</w:t>
      </w:r>
      <w:r>
        <w:rPr>
          <w:rFonts w:hint="eastAsia" w:hAnsi="宋体"/>
          <w:b/>
          <w:snapToGrid w:val="0"/>
          <w:color w:val="auto"/>
          <w:kern w:val="0"/>
          <w:sz w:val="36"/>
          <w:szCs w:val="36"/>
          <w:lang w:eastAsia="zh-CN"/>
        </w:rPr>
        <w:t>朝阳众信生态环境咨询有限公司</w:t>
      </w:r>
    </w:p>
    <w:p w14:paraId="0CB32C3A">
      <w:pPr>
        <w:overflowPunct w:val="0"/>
        <w:adjustRightInd w:val="0"/>
        <w:snapToGrid w:val="0"/>
        <w:spacing w:line="360" w:lineRule="auto"/>
        <w:jc w:val="center"/>
        <w:textAlignment w:val="top"/>
        <w:rPr>
          <w:rFonts w:hint="eastAsia" w:hAnsi="宋体" w:eastAsia="宋体"/>
          <w:b/>
          <w:snapToGrid w:val="0"/>
          <w:color w:val="auto"/>
          <w:kern w:val="0"/>
          <w:sz w:val="36"/>
          <w:szCs w:val="36"/>
          <w:lang w:eastAsia="zh-CN"/>
        </w:rPr>
      </w:pPr>
      <w:r>
        <w:rPr>
          <w:rFonts w:hAnsi="宋体"/>
          <w:b/>
          <w:snapToGrid w:val="0"/>
          <w:color w:val="auto"/>
          <w:kern w:val="0"/>
          <w:sz w:val="36"/>
          <w:szCs w:val="36"/>
        </w:rPr>
        <w:t>建设单位：</w:t>
      </w:r>
      <w:r>
        <w:rPr>
          <w:rFonts w:hint="eastAsia" w:hAnsi="宋体"/>
          <w:b/>
          <w:snapToGrid w:val="0"/>
          <w:color w:val="auto"/>
          <w:kern w:val="0"/>
          <w:sz w:val="36"/>
          <w:szCs w:val="36"/>
          <w:lang w:eastAsia="zh-CN"/>
        </w:rPr>
        <w:t>北票天勤农牧科技有限公司</w:t>
      </w:r>
    </w:p>
    <w:p w14:paraId="3782010A">
      <w:pPr>
        <w:pStyle w:val="33"/>
        <w:rPr>
          <w:color w:val="auto"/>
        </w:rPr>
      </w:pPr>
    </w:p>
    <w:p w14:paraId="641151F4">
      <w:pPr>
        <w:overflowPunct w:val="0"/>
        <w:adjustRightInd w:val="0"/>
        <w:snapToGrid w:val="0"/>
        <w:spacing w:line="360" w:lineRule="auto"/>
        <w:jc w:val="center"/>
        <w:textAlignment w:val="top"/>
        <w:rPr>
          <w:b/>
          <w:snapToGrid w:val="0"/>
          <w:color w:val="auto"/>
          <w:kern w:val="0"/>
          <w:sz w:val="32"/>
          <w:szCs w:val="32"/>
        </w:rPr>
      </w:pPr>
    </w:p>
    <w:p w14:paraId="5EAA9FC2">
      <w:pPr>
        <w:pStyle w:val="120"/>
        <w:ind w:left="0" w:leftChars="0" w:firstLine="0" w:firstLineChars="0"/>
        <w:jc w:val="center"/>
        <w:rPr>
          <w:rFonts w:hAnsi="宋体"/>
          <w:bCs/>
          <w:iCs/>
          <w:color w:val="auto"/>
          <w:sz w:val="36"/>
          <w:szCs w:val="36"/>
        </w:rPr>
      </w:pPr>
      <w:r>
        <w:rPr>
          <w:rFonts w:hAnsi="宋体"/>
          <w:bCs/>
          <w:iCs/>
          <w:color w:val="auto"/>
          <w:sz w:val="36"/>
          <w:szCs w:val="36"/>
        </w:rPr>
        <w:t>二</w:t>
      </w:r>
      <w:r>
        <w:rPr>
          <w:rFonts w:ascii="宋体" w:hAnsi="宋体"/>
          <w:bCs/>
          <w:iCs/>
          <w:color w:val="auto"/>
          <w:sz w:val="36"/>
          <w:szCs w:val="36"/>
        </w:rPr>
        <w:t>○</w:t>
      </w:r>
      <w:r>
        <w:rPr>
          <w:rFonts w:hAnsi="宋体"/>
          <w:bCs/>
          <w:iCs/>
          <w:color w:val="auto"/>
          <w:sz w:val="36"/>
          <w:szCs w:val="36"/>
        </w:rPr>
        <w:t>二</w:t>
      </w:r>
      <w:r>
        <w:rPr>
          <w:rFonts w:hint="eastAsia" w:hAnsi="宋体"/>
          <w:bCs/>
          <w:iCs/>
          <w:color w:val="auto"/>
          <w:sz w:val="36"/>
          <w:szCs w:val="36"/>
          <w:lang w:val="en-US" w:eastAsia="zh-CN"/>
        </w:rPr>
        <w:t>五</w:t>
      </w:r>
      <w:r>
        <w:rPr>
          <w:rFonts w:hAnsi="宋体"/>
          <w:bCs/>
          <w:iCs/>
          <w:color w:val="auto"/>
          <w:sz w:val="36"/>
          <w:szCs w:val="36"/>
        </w:rPr>
        <w:t>年</w:t>
      </w:r>
      <w:r>
        <w:rPr>
          <w:rFonts w:hint="eastAsia" w:hAnsi="宋体"/>
          <w:bCs/>
          <w:iCs/>
          <w:color w:val="auto"/>
          <w:sz w:val="36"/>
          <w:szCs w:val="36"/>
          <w:lang w:val="en-US" w:eastAsia="zh-CN"/>
        </w:rPr>
        <w:t>二</w:t>
      </w:r>
      <w:r>
        <w:rPr>
          <w:rFonts w:hAnsi="宋体"/>
          <w:bCs/>
          <w:iCs/>
          <w:color w:val="auto"/>
          <w:sz w:val="36"/>
          <w:szCs w:val="36"/>
        </w:rPr>
        <w:t>月</w:t>
      </w:r>
    </w:p>
    <w:p w14:paraId="4148BF72">
      <w:pPr>
        <w:pStyle w:val="120"/>
        <w:ind w:firstLine="2987" w:firstLineChars="800"/>
        <w:jc w:val="both"/>
        <w:rPr>
          <w:rFonts w:hAnsi="宋体"/>
          <w:bCs/>
          <w:iCs/>
          <w:color w:val="auto"/>
          <w:sz w:val="36"/>
          <w:szCs w:val="36"/>
        </w:rPr>
      </w:pPr>
    </w:p>
    <w:p w14:paraId="33FAB327">
      <w:pPr>
        <w:pStyle w:val="120"/>
        <w:ind w:firstLine="2987" w:firstLineChars="800"/>
        <w:jc w:val="both"/>
        <w:rPr>
          <w:rFonts w:hAnsi="宋体"/>
          <w:bCs/>
          <w:iCs/>
          <w:color w:val="auto"/>
          <w:sz w:val="36"/>
          <w:szCs w:val="36"/>
        </w:rPr>
      </w:pPr>
    </w:p>
    <w:p w14:paraId="7330E6E0">
      <w:pPr>
        <w:pStyle w:val="120"/>
        <w:ind w:firstLine="0" w:firstLineChars="0"/>
        <w:jc w:val="both"/>
        <w:rPr>
          <w:rFonts w:hint="eastAsia" w:hAnsi="宋体" w:eastAsia="宋体"/>
          <w:bCs/>
          <w:iCs/>
          <w:color w:val="auto"/>
          <w:sz w:val="36"/>
          <w:szCs w:val="36"/>
          <w:lang w:eastAsia="zh-CN"/>
        </w:rPr>
      </w:pPr>
    </w:p>
    <w:p w14:paraId="328AF180">
      <w:pPr>
        <w:pStyle w:val="120"/>
        <w:ind w:left="0" w:leftChars="0" w:firstLine="0" w:firstLineChars="0"/>
        <w:jc w:val="both"/>
        <w:rPr>
          <w:rFonts w:hint="eastAsia" w:hAnsi="宋体" w:eastAsia="宋体"/>
          <w:bCs/>
          <w:iCs/>
          <w:color w:val="auto"/>
          <w:sz w:val="36"/>
          <w:szCs w:val="36"/>
          <w:lang w:eastAsia="zh-CN"/>
        </w:rPr>
      </w:pPr>
    </w:p>
    <w:p w14:paraId="1F9C0C48">
      <w:pPr>
        <w:rPr>
          <w:rFonts w:hint="eastAsia" w:hAnsi="宋体"/>
          <w:bCs/>
          <w:iCs/>
          <w:color w:val="auto"/>
          <w:sz w:val="21"/>
          <w:szCs w:val="21"/>
          <w:lang w:val="en-US" w:eastAsia="zh-CN"/>
        </w:rPr>
      </w:pPr>
    </w:p>
    <w:p w14:paraId="24E8154B">
      <w:pPr>
        <w:rPr>
          <w:rFonts w:hint="default" w:hAnsi="宋体"/>
          <w:bCs/>
          <w:iCs/>
          <w:color w:val="auto"/>
          <w:sz w:val="21"/>
          <w:szCs w:val="21"/>
          <w:lang w:val="en-US" w:eastAsia="zh-CN"/>
        </w:rPr>
      </w:pPr>
      <w:r>
        <w:rPr>
          <w:rFonts w:hint="default" w:hAnsi="宋体"/>
          <w:bCs/>
          <w:iCs/>
          <w:color w:val="auto"/>
          <w:sz w:val="21"/>
          <w:szCs w:val="21"/>
          <w:lang w:val="en-US" w:eastAsia="zh-CN"/>
        </w:rPr>
        <w:br w:type="page"/>
      </w:r>
    </w:p>
    <w:p w14:paraId="246386E4">
      <w:pPr>
        <w:rPr>
          <w:rFonts w:hint="default" w:hAnsi="宋体"/>
          <w:bCs/>
          <w:iCs/>
          <w:color w:val="auto"/>
          <w:sz w:val="21"/>
          <w:szCs w:val="21"/>
          <w:lang w:val="en-US" w:eastAsia="zh-CN"/>
        </w:rPr>
      </w:pPr>
      <w:r>
        <w:rPr>
          <w:color w:val="auto"/>
          <w:sz w:val="21"/>
        </w:rPr>
        <w:drawing>
          <wp:inline distT="0" distB="0" distL="114300" distR="114300">
            <wp:extent cx="7452360" cy="5273675"/>
            <wp:effectExtent l="0" t="0" r="3175" b="15240"/>
            <wp:docPr id="490" name="图片 490" descr="众信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descr="众信营业执照"/>
                    <pic:cNvPicPr>
                      <a:picLocks noChangeAspect="1"/>
                    </pic:cNvPicPr>
                  </pic:nvPicPr>
                  <pic:blipFill>
                    <a:blip r:embed="rId16"/>
                    <a:stretch>
                      <a:fillRect/>
                    </a:stretch>
                  </pic:blipFill>
                  <pic:spPr>
                    <a:xfrm rot="16200000">
                      <a:off x="0" y="0"/>
                      <a:ext cx="7452360" cy="5273675"/>
                    </a:xfrm>
                    <a:prstGeom prst="rect">
                      <a:avLst/>
                    </a:prstGeom>
                  </pic:spPr>
                </pic:pic>
              </a:graphicData>
            </a:graphic>
          </wp:inline>
        </w:drawing>
      </w: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-180975</wp:posOffset>
                </wp:positionH>
                <wp:positionV relativeFrom="paragraph">
                  <wp:posOffset>3758565</wp:posOffset>
                </wp:positionV>
                <wp:extent cx="5474335" cy="501650"/>
                <wp:effectExtent l="0" t="0" r="0" b="0"/>
                <wp:wrapNone/>
                <wp:docPr id="45" name="文本框 45"/>
                <wp:cNvGraphicFramePr/>
                <a:graphic xmlns:a="http://schemas.openxmlformats.org/drawingml/2006/main">
                  <a:graphicData uri="http://schemas.microsoft.com/office/word/2010/wordprocessingShape">
                    <wps:wsp>
                      <wps:cNvSpPr txBox="1"/>
                      <wps:spPr>
                        <a:xfrm rot="19860000">
                          <a:off x="0" y="0"/>
                          <a:ext cx="5474335" cy="501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F121A9">
                            <w:pPr>
                              <w:pStyle w:val="378"/>
                              <w:ind w:firstLine="0"/>
                              <w:jc w:val="center"/>
                              <w:rPr>
                                <w:rFonts w:hint="eastAsia" w:eastAsia="宋体"/>
                                <w:b/>
                                <w:bCs/>
                                <w:sz w:val="30"/>
                                <w:szCs w:val="30"/>
                                <w:lang w:eastAsia="zh-CN"/>
                              </w:rPr>
                            </w:pPr>
                            <w:r>
                              <w:rPr>
                                <w:rFonts w:hint="eastAsia"/>
                                <w:b/>
                                <w:bCs/>
                                <w:sz w:val="30"/>
                                <w:szCs w:val="30"/>
                                <w:lang w:eastAsia="zh-CN"/>
                              </w:rPr>
                              <w:t>仅限</w:t>
                            </w:r>
                            <w:r>
                              <w:rPr>
                                <w:rFonts w:hint="eastAsia" w:hAnsi="宋体"/>
                                <w:b/>
                                <w:bCs/>
                                <w:color w:val="auto"/>
                                <w:sz w:val="30"/>
                                <w:szCs w:val="30"/>
                                <w:lang w:eastAsia="zh-CN"/>
                              </w:rPr>
                              <w:t>北票天勤农牧科技有限公司100万只蛋鸡养殖基地建设项目</w:t>
                            </w:r>
                            <w:r>
                              <w:rPr>
                                <w:rFonts w:hint="eastAsia" w:cs="宋体"/>
                                <w:b/>
                                <w:bCs/>
                                <w:color w:val="000000" w:themeColor="text1"/>
                                <w:sz w:val="30"/>
                                <w:szCs w:val="30"/>
                                <w:lang w:eastAsia="zh-CN"/>
                                <w14:textFill>
                                  <w14:solidFill>
                                    <w14:schemeClr w14:val="tx1"/>
                                  </w14:solidFill>
                                </w14:textFill>
                              </w:rPr>
                              <w:t>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25pt;margin-top:295.95pt;height:39.5pt;width:431.05pt;rotation:-1900544f;z-index:251677696;mso-width-relative:page;mso-height-relative:page;" filled="f" stroked="f" coordsize="21600,21600" o:gfxdata="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cHrgtsAAAALAQAADwAAAAAAAAAB&#10;ACAAAAAiAAAAZHJzL2Rvd25yZXYueG1sUEsBAhQAFAAAAAgAh07iQNEKxwRGAgAAdwQAAA4AAAAA&#10;AAAAAQAgAAAAKgEAAGRycy9lMm9Eb2MueG1sUEsFBgAAAAAGAAYAWQEAAOIFAAAAAA==&#10;">
                <v:fill on="f" focussize="0,0"/>
                <v:stroke on="f" weight="0.5pt"/>
                <v:imagedata o:title=""/>
                <o:lock v:ext="edit" aspectratio="f"/>
                <v:textbox>
                  <w:txbxContent>
                    <w:p w14:paraId="68F121A9">
                      <w:pPr>
                        <w:pStyle w:val="378"/>
                        <w:ind w:firstLine="0"/>
                        <w:jc w:val="center"/>
                        <w:rPr>
                          <w:rFonts w:hint="eastAsia" w:eastAsia="宋体"/>
                          <w:b/>
                          <w:bCs/>
                          <w:sz w:val="30"/>
                          <w:szCs w:val="30"/>
                          <w:lang w:eastAsia="zh-CN"/>
                        </w:rPr>
                      </w:pPr>
                      <w:r>
                        <w:rPr>
                          <w:rFonts w:hint="eastAsia"/>
                          <w:b/>
                          <w:bCs/>
                          <w:sz w:val="30"/>
                          <w:szCs w:val="30"/>
                          <w:lang w:eastAsia="zh-CN"/>
                        </w:rPr>
                        <w:t>仅限</w:t>
                      </w:r>
                      <w:r>
                        <w:rPr>
                          <w:rFonts w:hint="eastAsia" w:hAnsi="宋体"/>
                          <w:b/>
                          <w:bCs/>
                          <w:color w:val="auto"/>
                          <w:sz w:val="30"/>
                          <w:szCs w:val="30"/>
                          <w:lang w:eastAsia="zh-CN"/>
                        </w:rPr>
                        <w:t>北票天勤农牧科技有限公司100万只蛋鸡养殖基地建设项目</w:t>
                      </w:r>
                      <w:r>
                        <w:rPr>
                          <w:rFonts w:hint="eastAsia" w:cs="宋体"/>
                          <w:b/>
                          <w:bCs/>
                          <w:color w:val="000000" w:themeColor="text1"/>
                          <w:sz w:val="30"/>
                          <w:szCs w:val="30"/>
                          <w:lang w:eastAsia="zh-CN"/>
                          <w14:textFill>
                            <w14:solidFill>
                              <w14:schemeClr w14:val="tx1"/>
                            </w14:solidFill>
                          </w14:textFill>
                        </w:rPr>
                        <w:t>使用</w:t>
                      </w:r>
                    </w:p>
                  </w:txbxContent>
                </v:textbox>
              </v:shape>
            </w:pict>
          </mc:Fallback>
        </mc:AlternateContent>
      </w:r>
      <w:r>
        <w:rPr>
          <w:rFonts w:hint="default" w:hAnsi="宋体"/>
          <w:bCs/>
          <w:iCs/>
          <w:color w:val="auto"/>
          <w:sz w:val="21"/>
          <w:szCs w:val="21"/>
          <w:lang w:val="en-US" w:eastAsia="zh-CN"/>
        </w:rPr>
        <w:br w:type="page"/>
      </w:r>
    </w:p>
    <w:p w14:paraId="5E6323EB">
      <w:pPr>
        <w:rPr>
          <w:rFonts w:hint="default" w:hAnsi="宋体"/>
          <w:bCs/>
          <w:iCs/>
          <w:color w:val="auto"/>
          <w:sz w:val="21"/>
          <w:szCs w:val="21"/>
          <w:lang w:val="en-US" w:eastAsia="zh-CN"/>
        </w:rPr>
      </w:pPr>
      <w:r>
        <w:rPr>
          <w:color w:val="auto"/>
          <w:sz w:val="21"/>
        </w:rPr>
        <mc:AlternateContent>
          <mc:Choice Requires="wps">
            <w:drawing>
              <wp:anchor distT="0" distB="0" distL="114300" distR="114300" simplePos="0" relativeHeight="251678720" behindDoc="0" locked="0" layoutInCell="1" allowOverlap="1">
                <wp:simplePos x="0" y="0"/>
                <wp:positionH relativeFrom="column">
                  <wp:posOffset>-41910</wp:posOffset>
                </wp:positionH>
                <wp:positionV relativeFrom="paragraph">
                  <wp:posOffset>3059430</wp:posOffset>
                </wp:positionV>
                <wp:extent cx="5474335" cy="501650"/>
                <wp:effectExtent l="0" t="0" r="0" b="0"/>
                <wp:wrapNone/>
                <wp:docPr id="59" name="文本框 59"/>
                <wp:cNvGraphicFramePr/>
                <a:graphic xmlns:a="http://schemas.openxmlformats.org/drawingml/2006/main">
                  <a:graphicData uri="http://schemas.microsoft.com/office/word/2010/wordprocessingShape">
                    <wps:wsp>
                      <wps:cNvSpPr txBox="1"/>
                      <wps:spPr>
                        <a:xfrm rot="19860000">
                          <a:off x="0" y="0"/>
                          <a:ext cx="5474335" cy="501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9488EF">
                            <w:pPr>
                              <w:pStyle w:val="378"/>
                              <w:ind w:firstLine="0"/>
                              <w:jc w:val="center"/>
                              <w:rPr>
                                <w:rFonts w:hint="eastAsia" w:eastAsia="宋体"/>
                                <w:b/>
                                <w:bCs/>
                                <w:sz w:val="30"/>
                                <w:szCs w:val="30"/>
                                <w:lang w:eastAsia="zh-CN"/>
                              </w:rPr>
                            </w:pPr>
                            <w:r>
                              <w:rPr>
                                <w:rFonts w:hint="eastAsia"/>
                                <w:b/>
                                <w:bCs/>
                                <w:sz w:val="30"/>
                                <w:szCs w:val="30"/>
                                <w:lang w:eastAsia="zh-CN"/>
                              </w:rPr>
                              <w:t>仅限</w:t>
                            </w:r>
                            <w:r>
                              <w:rPr>
                                <w:rFonts w:hint="eastAsia" w:hAnsi="宋体"/>
                                <w:b/>
                                <w:bCs/>
                                <w:color w:val="auto"/>
                                <w:sz w:val="30"/>
                                <w:szCs w:val="30"/>
                                <w:lang w:eastAsia="zh-CN"/>
                              </w:rPr>
                              <w:t>北票天勤农牧科技有限公司100万只蛋鸡养殖基地建设项目</w:t>
                            </w:r>
                            <w:r>
                              <w:rPr>
                                <w:rFonts w:hint="eastAsia" w:cs="宋体"/>
                                <w:b/>
                                <w:bCs/>
                                <w:color w:val="000000" w:themeColor="text1"/>
                                <w:sz w:val="30"/>
                                <w:szCs w:val="30"/>
                                <w:lang w:eastAsia="zh-CN"/>
                                <w14:textFill>
                                  <w14:solidFill>
                                    <w14:schemeClr w14:val="tx1"/>
                                  </w14:solidFill>
                                </w14:textFill>
                              </w:rPr>
                              <w:t>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pt;margin-top:240.9pt;height:39.5pt;width:431.05pt;rotation:-1900544f;z-index:251678720;mso-width-relative:page;mso-height-relative:page;" filled="f" stroked="f" coordsize="21600,21600" o:gfxdata="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aUnmg2QAAAAoBAAAPAAAAAAAAAAEA&#10;IAAAACIAAABkcnMvZG93bnJldi54bWxQSwECFAAUAAAACACHTuJA3Vqx70cCAAB3BAAADgAAAAAA&#10;AAABACAAAAAoAQAAZHJzL2Uyb0RvYy54bWxQSwUGAAAAAAYABgBZAQAA4QUAAAAA&#10;">
                <v:fill on="f" focussize="0,0"/>
                <v:stroke on="f" weight="0.5pt"/>
                <v:imagedata o:title=""/>
                <o:lock v:ext="edit" aspectratio="f"/>
                <v:textbox>
                  <w:txbxContent>
                    <w:p w14:paraId="229488EF">
                      <w:pPr>
                        <w:pStyle w:val="378"/>
                        <w:ind w:firstLine="0"/>
                        <w:jc w:val="center"/>
                        <w:rPr>
                          <w:rFonts w:hint="eastAsia" w:eastAsia="宋体"/>
                          <w:b/>
                          <w:bCs/>
                          <w:sz w:val="30"/>
                          <w:szCs w:val="30"/>
                          <w:lang w:eastAsia="zh-CN"/>
                        </w:rPr>
                      </w:pPr>
                      <w:r>
                        <w:rPr>
                          <w:rFonts w:hint="eastAsia"/>
                          <w:b/>
                          <w:bCs/>
                          <w:sz w:val="30"/>
                          <w:szCs w:val="30"/>
                          <w:lang w:eastAsia="zh-CN"/>
                        </w:rPr>
                        <w:t>仅限</w:t>
                      </w:r>
                      <w:r>
                        <w:rPr>
                          <w:rFonts w:hint="eastAsia" w:hAnsi="宋体"/>
                          <w:b/>
                          <w:bCs/>
                          <w:color w:val="auto"/>
                          <w:sz w:val="30"/>
                          <w:szCs w:val="30"/>
                          <w:lang w:eastAsia="zh-CN"/>
                        </w:rPr>
                        <w:t>北票天勤农牧科技有限公司100万只蛋鸡养殖基地建设项目</w:t>
                      </w:r>
                      <w:r>
                        <w:rPr>
                          <w:rFonts w:hint="eastAsia" w:cs="宋体"/>
                          <w:b/>
                          <w:bCs/>
                          <w:color w:val="000000" w:themeColor="text1"/>
                          <w:sz w:val="30"/>
                          <w:szCs w:val="30"/>
                          <w:lang w:eastAsia="zh-CN"/>
                          <w14:textFill>
                            <w14:solidFill>
                              <w14:schemeClr w14:val="tx1"/>
                            </w14:solidFill>
                          </w14:textFill>
                        </w:rPr>
                        <w:t>使用</w:t>
                      </w:r>
                    </w:p>
                  </w:txbxContent>
                </v:textbox>
              </v:shape>
            </w:pict>
          </mc:Fallback>
        </mc:AlternateContent>
      </w:r>
      <w:r>
        <w:rPr>
          <w:rFonts w:hint="default" w:hAnsi="宋体"/>
          <w:bCs/>
          <w:iCs/>
          <w:color w:val="auto"/>
          <w:sz w:val="21"/>
          <w:szCs w:val="21"/>
          <w:lang w:val="en-US" w:eastAsia="zh-CN"/>
        </w:rPr>
        <w:br w:type="page"/>
      </w:r>
    </w:p>
    <w:p w14:paraId="43E51E57">
      <w:pPr>
        <w:pStyle w:val="120"/>
        <w:jc w:val="center"/>
        <w:rPr>
          <w:rFonts w:hint="default" w:hAnsi="宋体"/>
          <w:bCs/>
          <w:iCs/>
          <w:color w:val="auto"/>
          <w:sz w:val="21"/>
          <w:szCs w:val="21"/>
          <w:lang w:val="en-US" w:eastAsia="zh-CN"/>
        </w:rPr>
        <w:sectPr>
          <w:head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p>
    <w:p w14:paraId="6CB59AE1">
      <w:pPr>
        <w:pStyle w:val="120"/>
        <w:ind w:firstLine="747"/>
        <w:rPr>
          <w:color w:val="auto"/>
          <w:sz w:val="30"/>
          <w:szCs w:val="30"/>
        </w:rPr>
      </w:pPr>
      <w:r>
        <w:rPr>
          <w:color w:val="auto"/>
          <w:sz w:val="30"/>
          <w:szCs w:val="30"/>
        </w:rPr>
        <w:t xml:space="preserve">目 </w:t>
      </w:r>
      <w:r>
        <w:rPr>
          <w:rFonts w:hint="eastAsia"/>
          <w:color w:val="auto"/>
          <w:sz w:val="30"/>
          <w:szCs w:val="30"/>
          <w:lang w:val="en-US" w:eastAsia="zh-CN"/>
        </w:rPr>
        <w:t xml:space="preserve"> </w:t>
      </w:r>
      <w:r>
        <w:rPr>
          <w:color w:val="auto"/>
          <w:sz w:val="30"/>
          <w:szCs w:val="30"/>
        </w:rPr>
        <w:t>录</w:t>
      </w:r>
    </w:p>
    <w:p w14:paraId="78933BAB">
      <w:pPr>
        <w:pStyle w:val="38"/>
        <w:tabs>
          <w:tab w:val="right" w:leader="dot" w:pos="8312"/>
        </w:tabs>
        <w:rPr>
          <w:i w:val="0"/>
          <w:iCs w:val="0"/>
        </w:rPr>
      </w:pPr>
      <w:bookmarkStart w:id="5" w:name="_Toc448693323"/>
      <w:bookmarkStart w:id="6" w:name="_Toc470004711"/>
      <w:bookmarkStart w:id="7" w:name="_Toc446938356"/>
      <w:bookmarkStart w:id="8" w:name="_Toc446083151"/>
      <w:bookmarkStart w:id="9" w:name="_Toc451174152"/>
      <w:bookmarkStart w:id="10" w:name="_Toc446684387"/>
      <w:bookmarkStart w:id="11" w:name="_Toc446332502"/>
      <w:bookmarkStart w:id="12" w:name="_Toc446415815"/>
      <w:r>
        <w:rPr>
          <w:i w:val="0"/>
          <w:iCs w:val="0"/>
          <w:color w:val="auto"/>
          <w:sz w:val="24"/>
          <w:szCs w:val="24"/>
        </w:rPr>
        <w:fldChar w:fldCharType="begin"/>
      </w:r>
      <w:r>
        <w:rPr>
          <w:i w:val="0"/>
          <w:iCs w:val="0"/>
          <w:color w:val="auto"/>
          <w:sz w:val="24"/>
          <w:szCs w:val="24"/>
        </w:rPr>
        <w:instrText xml:space="preserve">TOC \o "1-3" \h \u </w:instrText>
      </w:r>
      <w:r>
        <w:rPr>
          <w:i w:val="0"/>
          <w:iCs w:val="0"/>
          <w:color w:val="auto"/>
          <w:sz w:val="24"/>
          <w:szCs w:val="24"/>
        </w:rPr>
        <w:fldChar w:fldCharType="separate"/>
      </w:r>
      <w:r>
        <w:rPr>
          <w:i w:val="0"/>
          <w:iCs w:val="0"/>
          <w:color w:val="auto"/>
          <w:szCs w:val="24"/>
        </w:rPr>
        <w:fldChar w:fldCharType="begin"/>
      </w:r>
      <w:r>
        <w:rPr>
          <w:i w:val="0"/>
          <w:iCs w:val="0"/>
          <w:szCs w:val="24"/>
        </w:rPr>
        <w:instrText xml:space="preserve"> HYPERLINK \l _Toc22126 </w:instrText>
      </w:r>
      <w:r>
        <w:rPr>
          <w:i w:val="0"/>
          <w:iCs w:val="0"/>
          <w:szCs w:val="24"/>
        </w:rPr>
        <w:fldChar w:fldCharType="separate"/>
      </w:r>
      <w:r>
        <w:rPr>
          <w:rFonts w:ascii="Times New Roman" w:eastAsia="宋体"/>
          <w:bCs/>
          <w:i w:val="0"/>
          <w:iCs w:val="0"/>
          <w:szCs w:val="32"/>
        </w:rPr>
        <w:t>1 概述</w:t>
      </w:r>
      <w:r>
        <w:rPr>
          <w:i w:val="0"/>
          <w:iCs w:val="0"/>
        </w:rPr>
        <w:tab/>
      </w:r>
      <w:r>
        <w:rPr>
          <w:i w:val="0"/>
          <w:iCs w:val="0"/>
        </w:rPr>
        <w:fldChar w:fldCharType="begin"/>
      </w:r>
      <w:r>
        <w:rPr>
          <w:i w:val="0"/>
          <w:iCs w:val="0"/>
        </w:rPr>
        <w:instrText xml:space="preserve"> PAGEREF _Toc22126 \h </w:instrText>
      </w:r>
      <w:r>
        <w:rPr>
          <w:i w:val="0"/>
          <w:iCs w:val="0"/>
        </w:rPr>
        <w:fldChar w:fldCharType="separate"/>
      </w:r>
      <w:r>
        <w:rPr>
          <w:i w:val="0"/>
          <w:iCs w:val="0"/>
        </w:rPr>
        <w:t>- 1 -</w:t>
      </w:r>
      <w:r>
        <w:rPr>
          <w:i w:val="0"/>
          <w:iCs w:val="0"/>
        </w:rPr>
        <w:fldChar w:fldCharType="end"/>
      </w:r>
      <w:r>
        <w:rPr>
          <w:i w:val="0"/>
          <w:iCs w:val="0"/>
          <w:color w:val="auto"/>
          <w:szCs w:val="24"/>
        </w:rPr>
        <w:fldChar w:fldCharType="end"/>
      </w:r>
    </w:p>
    <w:p w14:paraId="117655F9">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_Toc29477 </w:instrText>
      </w:r>
      <w:r>
        <w:rPr>
          <w:i w:val="0"/>
          <w:iCs w:val="0"/>
          <w:szCs w:val="24"/>
        </w:rPr>
        <w:fldChar w:fldCharType="separate"/>
      </w:r>
      <w:r>
        <w:rPr>
          <w:rFonts w:hint="eastAsia" w:eastAsia="宋体"/>
          <w:i w:val="0"/>
          <w:iCs w:val="0"/>
          <w:szCs w:val="30"/>
          <w:lang w:val="en-US" w:eastAsia="zh-CN"/>
        </w:rPr>
        <w:t>1.1项目由来</w:t>
      </w:r>
      <w:r>
        <w:rPr>
          <w:i w:val="0"/>
          <w:iCs w:val="0"/>
        </w:rPr>
        <w:tab/>
      </w:r>
      <w:r>
        <w:rPr>
          <w:i w:val="0"/>
          <w:iCs w:val="0"/>
        </w:rPr>
        <w:fldChar w:fldCharType="begin"/>
      </w:r>
      <w:r>
        <w:rPr>
          <w:i w:val="0"/>
          <w:iCs w:val="0"/>
        </w:rPr>
        <w:instrText xml:space="preserve"> PAGEREF _Toc29477 \h </w:instrText>
      </w:r>
      <w:r>
        <w:rPr>
          <w:i w:val="0"/>
          <w:iCs w:val="0"/>
        </w:rPr>
        <w:fldChar w:fldCharType="separate"/>
      </w:r>
      <w:r>
        <w:rPr>
          <w:i w:val="0"/>
          <w:iCs w:val="0"/>
        </w:rPr>
        <w:t>- 1 -</w:t>
      </w:r>
      <w:r>
        <w:rPr>
          <w:i w:val="0"/>
          <w:iCs w:val="0"/>
        </w:rPr>
        <w:fldChar w:fldCharType="end"/>
      </w:r>
      <w:r>
        <w:rPr>
          <w:i w:val="0"/>
          <w:iCs w:val="0"/>
          <w:color w:val="auto"/>
          <w:szCs w:val="24"/>
        </w:rPr>
        <w:fldChar w:fldCharType="end"/>
      </w:r>
    </w:p>
    <w:p w14:paraId="7075E89A">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_Toc28756 </w:instrText>
      </w:r>
      <w:r>
        <w:rPr>
          <w:i w:val="0"/>
          <w:iCs w:val="0"/>
          <w:szCs w:val="24"/>
        </w:rPr>
        <w:fldChar w:fldCharType="separate"/>
      </w:r>
      <w:r>
        <w:rPr>
          <w:rFonts w:eastAsia="宋体"/>
          <w:i w:val="0"/>
          <w:iCs w:val="0"/>
          <w:szCs w:val="30"/>
        </w:rPr>
        <w:t>1.2建设项目特点</w:t>
      </w:r>
      <w:r>
        <w:rPr>
          <w:i w:val="0"/>
          <w:iCs w:val="0"/>
        </w:rPr>
        <w:tab/>
      </w:r>
      <w:r>
        <w:rPr>
          <w:i w:val="0"/>
          <w:iCs w:val="0"/>
        </w:rPr>
        <w:fldChar w:fldCharType="begin"/>
      </w:r>
      <w:r>
        <w:rPr>
          <w:i w:val="0"/>
          <w:iCs w:val="0"/>
        </w:rPr>
        <w:instrText xml:space="preserve"> PAGEREF _Toc28756 \h </w:instrText>
      </w:r>
      <w:r>
        <w:rPr>
          <w:i w:val="0"/>
          <w:iCs w:val="0"/>
        </w:rPr>
        <w:fldChar w:fldCharType="separate"/>
      </w:r>
      <w:r>
        <w:rPr>
          <w:i w:val="0"/>
          <w:iCs w:val="0"/>
        </w:rPr>
        <w:t>- 2 -</w:t>
      </w:r>
      <w:r>
        <w:rPr>
          <w:i w:val="0"/>
          <w:iCs w:val="0"/>
        </w:rPr>
        <w:fldChar w:fldCharType="end"/>
      </w:r>
      <w:r>
        <w:rPr>
          <w:i w:val="0"/>
          <w:iCs w:val="0"/>
          <w:color w:val="auto"/>
          <w:szCs w:val="24"/>
        </w:rPr>
        <w:fldChar w:fldCharType="end"/>
      </w:r>
    </w:p>
    <w:p w14:paraId="6F543DB2">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_Toc28860 </w:instrText>
      </w:r>
      <w:r>
        <w:rPr>
          <w:i w:val="0"/>
          <w:iCs w:val="0"/>
          <w:szCs w:val="24"/>
        </w:rPr>
        <w:fldChar w:fldCharType="separate"/>
      </w:r>
      <w:r>
        <w:rPr>
          <w:rFonts w:ascii="Times New Roman" w:hAnsi="Times New Roman" w:eastAsia="宋体"/>
          <w:i w:val="0"/>
          <w:iCs w:val="0"/>
          <w:szCs w:val="24"/>
        </w:rPr>
        <w:t>1.2.1项目概况</w:t>
      </w:r>
      <w:r>
        <w:rPr>
          <w:i w:val="0"/>
          <w:iCs w:val="0"/>
        </w:rPr>
        <w:tab/>
      </w:r>
      <w:r>
        <w:rPr>
          <w:i w:val="0"/>
          <w:iCs w:val="0"/>
        </w:rPr>
        <w:fldChar w:fldCharType="begin"/>
      </w:r>
      <w:r>
        <w:rPr>
          <w:i w:val="0"/>
          <w:iCs w:val="0"/>
        </w:rPr>
        <w:instrText xml:space="preserve"> PAGEREF _Toc28860 \h </w:instrText>
      </w:r>
      <w:r>
        <w:rPr>
          <w:i w:val="0"/>
          <w:iCs w:val="0"/>
        </w:rPr>
        <w:fldChar w:fldCharType="separate"/>
      </w:r>
      <w:r>
        <w:rPr>
          <w:i w:val="0"/>
          <w:iCs w:val="0"/>
        </w:rPr>
        <w:t>- 2 -</w:t>
      </w:r>
      <w:r>
        <w:rPr>
          <w:i w:val="0"/>
          <w:iCs w:val="0"/>
        </w:rPr>
        <w:fldChar w:fldCharType="end"/>
      </w:r>
      <w:r>
        <w:rPr>
          <w:i w:val="0"/>
          <w:iCs w:val="0"/>
          <w:color w:val="auto"/>
          <w:szCs w:val="24"/>
        </w:rPr>
        <w:fldChar w:fldCharType="end"/>
      </w:r>
    </w:p>
    <w:p w14:paraId="4E1C809E">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_Toc29142 </w:instrText>
      </w:r>
      <w:r>
        <w:rPr>
          <w:i w:val="0"/>
          <w:iCs w:val="0"/>
          <w:szCs w:val="24"/>
        </w:rPr>
        <w:fldChar w:fldCharType="separate"/>
      </w:r>
      <w:r>
        <w:rPr>
          <w:rFonts w:ascii="Times New Roman" w:hAnsi="Times New Roman" w:eastAsia="宋体"/>
          <w:i w:val="0"/>
          <w:iCs w:val="0"/>
          <w:szCs w:val="24"/>
        </w:rPr>
        <w:t>1.2.2污染物产生情况</w:t>
      </w:r>
      <w:r>
        <w:rPr>
          <w:i w:val="0"/>
          <w:iCs w:val="0"/>
        </w:rPr>
        <w:tab/>
      </w:r>
      <w:r>
        <w:rPr>
          <w:i w:val="0"/>
          <w:iCs w:val="0"/>
        </w:rPr>
        <w:fldChar w:fldCharType="begin"/>
      </w:r>
      <w:r>
        <w:rPr>
          <w:i w:val="0"/>
          <w:iCs w:val="0"/>
        </w:rPr>
        <w:instrText xml:space="preserve"> PAGEREF _Toc29142 \h </w:instrText>
      </w:r>
      <w:r>
        <w:rPr>
          <w:i w:val="0"/>
          <w:iCs w:val="0"/>
        </w:rPr>
        <w:fldChar w:fldCharType="separate"/>
      </w:r>
      <w:r>
        <w:rPr>
          <w:i w:val="0"/>
          <w:iCs w:val="0"/>
        </w:rPr>
        <w:t>- 2 -</w:t>
      </w:r>
      <w:r>
        <w:rPr>
          <w:i w:val="0"/>
          <w:iCs w:val="0"/>
        </w:rPr>
        <w:fldChar w:fldCharType="end"/>
      </w:r>
      <w:r>
        <w:rPr>
          <w:i w:val="0"/>
          <w:iCs w:val="0"/>
          <w:color w:val="auto"/>
          <w:szCs w:val="24"/>
        </w:rPr>
        <w:fldChar w:fldCharType="end"/>
      </w:r>
    </w:p>
    <w:p w14:paraId="146D2B28">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_Toc26883 </w:instrText>
      </w:r>
      <w:r>
        <w:rPr>
          <w:i w:val="0"/>
          <w:iCs w:val="0"/>
          <w:szCs w:val="24"/>
        </w:rPr>
        <w:fldChar w:fldCharType="separate"/>
      </w:r>
      <w:r>
        <w:rPr>
          <w:rFonts w:hint="eastAsia" w:ascii="Times New Roman" w:hAnsi="Times New Roman" w:eastAsia="宋体"/>
          <w:i w:val="0"/>
          <w:iCs w:val="0"/>
          <w:szCs w:val="24"/>
        </w:rPr>
        <w:t>1</w:t>
      </w:r>
      <w:r>
        <w:rPr>
          <w:rFonts w:ascii="Times New Roman" w:hAnsi="Times New Roman" w:eastAsia="宋体"/>
          <w:i w:val="0"/>
          <w:iCs w:val="0"/>
          <w:szCs w:val="24"/>
        </w:rPr>
        <w:t>.2.3主要结论</w:t>
      </w:r>
      <w:r>
        <w:rPr>
          <w:i w:val="0"/>
          <w:iCs w:val="0"/>
        </w:rPr>
        <w:tab/>
      </w:r>
      <w:r>
        <w:rPr>
          <w:i w:val="0"/>
          <w:iCs w:val="0"/>
        </w:rPr>
        <w:fldChar w:fldCharType="begin"/>
      </w:r>
      <w:r>
        <w:rPr>
          <w:i w:val="0"/>
          <w:iCs w:val="0"/>
        </w:rPr>
        <w:instrText xml:space="preserve"> PAGEREF _Toc26883 \h </w:instrText>
      </w:r>
      <w:r>
        <w:rPr>
          <w:i w:val="0"/>
          <w:iCs w:val="0"/>
        </w:rPr>
        <w:fldChar w:fldCharType="separate"/>
      </w:r>
      <w:r>
        <w:rPr>
          <w:i w:val="0"/>
          <w:iCs w:val="0"/>
        </w:rPr>
        <w:t>- 3 -</w:t>
      </w:r>
      <w:r>
        <w:rPr>
          <w:i w:val="0"/>
          <w:iCs w:val="0"/>
        </w:rPr>
        <w:fldChar w:fldCharType="end"/>
      </w:r>
      <w:r>
        <w:rPr>
          <w:i w:val="0"/>
          <w:iCs w:val="0"/>
          <w:color w:val="auto"/>
          <w:szCs w:val="24"/>
        </w:rPr>
        <w:fldChar w:fldCharType="end"/>
      </w:r>
    </w:p>
    <w:p w14:paraId="344437EC">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_Toc20412 </w:instrText>
      </w:r>
      <w:r>
        <w:rPr>
          <w:i w:val="0"/>
          <w:iCs w:val="0"/>
          <w:szCs w:val="24"/>
        </w:rPr>
        <w:fldChar w:fldCharType="separate"/>
      </w:r>
      <w:r>
        <w:rPr>
          <w:rFonts w:eastAsia="宋体"/>
          <w:i w:val="0"/>
          <w:iCs w:val="0"/>
          <w:szCs w:val="30"/>
        </w:rPr>
        <w:t>1.3环境影响评价工作过程</w:t>
      </w:r>
      <w:r>
        <w:rPr>
          <w:i w:val="0"/>
          <w:iCs w:val="0"/>
        </w:rPr>
        <w:tab/>
      </w:r>
      <w:r>
        <w:rPr>
          <w:i w:val="0"/>
          <w:iCs w:val="0"/>
        </w:rPr>
        <w:fldChar w:fldCharType="begin"/>
      </w:r>
      <w:r>
        <w:rPr>
          <w:i w:val="0"/>
          <w:iCs w:val="0"/>
        </w:rPr>
        <w:instrText xml:space="preserve"> PAGEREF _Toc20412 \h </w:instrText>
      </w:r>
      <w:r>
        <w:rPr>
          <w:i w:val="0"/>
          <w:iCs w:val="0"/>
        </w:rPr>
        <w:fldChar w:fldCharType="separate"/>
      </w:r>
      <w:r>
        <w:rPr>
          <w:i w:val="0"/>
          <w:iCs w:val="0"/>
        </w:rPr>
        <w:t>- 3 -</w:t>
      </w:r>
      <w:r>
        <w:rPr>
          <w:i w:val="0"/>
          <w:iCs w:val="0"/>
        </w:rPr>
        <w:fldChar w:fldCharType="end"/>
      </w:r>
      <w:r>
        <w:rPr>
          <w:i w:val="0"/>
          <w:iCs w:val="0"/>
          <w:color w:val="auto"/>
          <w:szCs w:val="24"/>
        </w:rPr>
        <w:fldChar w:fldCharType="end"/>
      </w:r>
    </w:p>
    <w:p w14:paraId="3F2C3120">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_Toc17350 </w:instrText>
      </w:r>
      <w:r>
        <w:rPr>
          <w:i w:val="0"/>
          <w:iCs w:val="0"/>
          <w:szCs w:val="24"/>
        </w:rPr>
        <w:fldChar w:fldCharType="separate"/>
      </w:r>
      <w:r>
        <w:rPr>
          <w:rFonts w:eastAsia="宋体"/>
          <w:i w:val="0"/>
          <w:iCs w:val="0"/>
          <w:szCs w:val="30"/>
        </w:rPr>
        <w:t>1.4分析判定相关情况</w:t>
      </w:r>
      <w:r>
        <w:rPr>
          <w:i w:val="0"/>
          <w:iCs w:val="0"/>
        </w:rPr>
        <w:tab/>
      </w:r>
      <w:r>
        <w:rPr>
          <w:i w:val="0"/>
          <w:iCs w:val="0"/>
        </w:rPr>
        <w:fldChar w:fldCharType="begin"/>
      </w:r>
      <w:r>
        <w:rPr>
          <w:i w:val="0"/>
          <w:iCs w:val="0"/>
        </w:rPr>
        <w:instrText xml:space="preserve"> PAGEREF _Toc17350 \h </w:instrText>
      </w:r>
      <w:r>
        <w:rPr>
          <w:i w:val="0"/>
          <w:iCs w:val="0"/>
        </w:rPr>
        <w:fldChar w:fldCharType="separate"/>
      </w:r>
      <w:r>
        <w:rPr>
          <w:i w:val="0"/>
          <w:iCs w:val="0"/>
        </w:rPr>
        <w:t>- 5 -</w:t>
      </w:r>
      <w:r>
        <w:rPr>
          <w:i w:val="0"/>
          <w:iCs w:val="0"/>
        </w:rPr>
        <w:fldChar w:fldCharType="end"/>
      </w:r>
      <w:r>
        <w:rPr>
          <w:i w:val="0"/>
          <w:iCs w:val="0"/>
          <w:color w:val="auto"/>
          <w:szCs w:val="24"/>
        </w:rPr>
        <w:fldChar w:fldCharType="end"/>
      </w:r>
    </w:p>
    <w:p w14:paraId="0E257F53">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_Toc2104 </w:instrText>
      </w:r>
      <w:r>
        <w:rPr>
          <w:i w:val="0"/>
          <w:iCs w:val="0"/>
          <w:szCs w:val="24"/>
        </w:rPr>
        <w:fldChar w:fldCharType="separate"/>
      </w:r>
      <w:r>
        <w:rPr>
          <w:rFonts w:ascii="Times New Roman" w:hAnsi="Times New Roman" w:eastAsia="宋体"/>
          <w:bCs/>
          <w:i w:val="0"/>
          <w:iCs w:val="0"/>
          <w:szCs w:val="28"/>
        </w:rPr>
        <w:t>1.4.1产业政策相符性分析</w:t>
      </w:r>
      <w:r>
        <w:rPr>
          <w:i w:val="0"/>
          <w:iCs w:val="0"/>
        </w:rPr>
        <w:tab/>
      </w:r>
      <w:r>
        <w:rPr>
          <w:i w:val="0"/>
          <w:iCs w:val="0"/>
        </w:rPr>
        <w:fldChar w:fldCharType="begin"/>
      </w:r>
      <w:r>
        <w:rPr>
          <w:i w:val="0"/>
          <w:iCs w:val="0"/>
        </w:rPr>
        <w:instrText xml:space="preserve"> PAGEREF _Toc2104 \h </w:instrText>
      </w:r>
      <w:r>
        <w:rPr>
          <w:i w:val="0"/>
          <w:iCs w:val="0"/>
        </w:rPr>
        <w:fldChar w:fldCharType="separate"/>
      </w:r>
      <w:r>
        <w:rPr>
          <w:i w:val="0"/>
          <w:iCs w:val="0"/>
        </w:rPr>
        <w:t>- 5 -</w:t>
      </w:r>
      <w:r>
        <w:rPr>
          <w:i w:val="0"/>
          <w:iCs w:val="0"/>
        </w:rPr>
        <w:fldChar w:fldCharType="end"/>
      </w:r>
      <w:r>
        <w:rPr>
          <w:i w:val="0"/>
          <w:iCs w:val="0"/>
          <w:color w:val="auto"/>
          <w:szCs w:val="24"/>
        </w:rPr>
        <w:fldChar w:fldCharType="end"/>
      </w:r>
    </w:p>
    <w:p w14:paraId="368A303B">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_Toc19868 </w:instrText>
      </w:r>
      <w:r>
        <w:rPr>
          <w:i w:val="0"/>
          <w:iCs w:val="0"/>
          <w:szCs w:val="24"/>
        </w:rPr>
        <w:fldChar w:fldCharType="separate"/>
      </w:r>
      <w:r>
        <w:rPr>
          <w:rFonts w:ascii="Times New Roman" w:hAnsi="Times New Roman" w:eastAsia="宋体"/>
          <w:bCs/>
          <w:i w:val="0"/>
          <w:iCs w:val="0"/>
          <w:szCs w:val="28"/>
        </w:rPr>
        <w:t>1.4.2与</w:t>
      </w:r>
      <w:r>
        <w:rPr>
          <w:rFonts w:hint="eastAsia" w:ascii="Times New Roman" w:hAnsi="Times New Roman" w:eastAsia="宋体"/>
          <w:bCs/>
          <w:i w:val="0"/>
          <w:iCs w:val="0"/>
          <w:szCs w:val="28"/>
        </w:rPr>
        <w:t>相关管理文件相符性分析</w:t>
      </w:r>
      <w:r>
        <w:rPr>
          <w:i w:val="0"/>
          <w:iCs w:val="0"/>
        </w:rPr>
        <w:tab/>
      </w:r>
      <w:r>
        <w:rPr>
          <w:i w:val="0"/>
          <w:iCs w:val="0"/>
        </w:rPr>
        <w:fldChar w:fldCharType="begin"/>
      </w:r>
      <w:r>
        <w:rPr>
          <w:i w:val="0"/>
          <w:iCs w:val="0"/>
        </w:rPr>
        <w:instrText xml:space="preserve"> PAGEREF _Toc19868 \h </w:instrText>
      </w:r>
      <w:r>
        <w:rPr>
          <w:i w:val="0"/>
          <w:iCs w:val="0"/>
        </w:rPr>
        <w:fldChar w:fldCharType="separate"/>
      </w:r>
      <w:r>
        <w:rPr>
          <w:i w:val="0"/>
          <w:iCs w:val="0"/>
        </w:rPr>
        <w:t>- 5 -</w:t>
      </w:r>
      <w:r>
        <w:rPr>
          <w:i w:val="0"/>
          <w:iCs w:val="0"/>
        </w:rPr>
        <w:fldChar w:fldCharType="end"/>
      </w:r>
      <w:r>
        <w:rPr>
          <w:i w:val="0"/>
          <w:iCs w:val="0"/>
          <w:color w:val="auto"/>
          <w:szCs w:val="24"/>
        </w:rPr>
        <w:fldChar w:fldCharType="end"/>
      </w:r>
    </w:p>
    <w:p w14:paraId="14EA0B02">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_Toc10229 </w:instrText>
      </w:r>
      <w:r>
        <w:rPr>
          <w:i w:val="0"/>
          <w:iCs w:val="0"/>
          <w:szCs w:val="24"/>
        </w:rPr>
        <w:fldChar w:fldCharType="separate"/>
      </w:r>
      <w:r>
        <w:rPr>
          <w:rFonts w:hint="eastAsia"/>
          <w:i w:val="0"/>
          <w:iCs w:val="0"/>
          <w:lang w:val="en-US" w:eastAsia="zh-CN"/>
        </w:rPr>
        <w:t>1.4.3规划符合性分析</w:t>
      </w:r>
      <w:r>
        <w:rPr>
          <w:i w:val="0"/>
          <w:iCs w:val="0"/>
        </w:rPr>
        <w:tab/>
      </w:r>
      <w:r>
        <w:rPr>
          <w:i w:val="0"/>
          <w:iCs w:val="0"/>
        </w:rPr>
        <w:fldChar w:fldCharType="begin"/>
      </w:r>
      <w:r>
        <w:rPr>
          <w:i w:val="0"/>
          <w:iCs w:val="0"/>
        </w:rPr>
        <w:instrText xml:space="preserve"> PAGEREF _Toc10229 \h </w:instrText>
      </w:r>
      <w:r>
        <w:rPr>
          <w:i w:val="0"/>
          <w:iCs w:val="0"/>
        </w:rPr>
        <w:fldChar w:fldCharType="separate"/>
      </w:r>
      <w:r>
        <w:rPr>
          <w:i w:val="0"/>
          <w:iCs w:val="0"/>
        </w:rPr>
        <w:t>- 21 -</w:t>
      </w:r>
      <w:r>
        <w:rPr>
          <w:i w:val="0"/>
          <w:iCs w:val="0"/>
        </w:rPr>
        <w:fldChar w:fldCharType="end"/>
      </w:r>
      <w:r>
        <w:rPr>
          <w:i w:val="0"/>
          <w:iCs w:val="0"/>
          <w:color w:val="auto"/>
          <w:szCs w:val="24"/>
        </w:rPr>
        <w:fldChar w:fldCharType="end"/>
      </w:r>
    </w:p>
    <w:p w14:paraId="5BE0CC34">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_Toc12618 </w:instrText>
      </w:r>
      <w:r>
        <w:rPr>
          <w:i w:val="0"/>
          <w:iCs w:val="0"/>
          <w:szCs w:val="24"/>
        </w:rPr>
        <w:fldChar w:fldCharType="separate"/>
      </w:r>
      <w:r>
        <w:rPr>
          <w:rFonts w:eastAsia="宋体"/>
          <w:i w:val="0"/>
          <w:iCs w:val="0"/>
        </w:rPr>
        <w:t>1.5相关规划及环境功能区划</w:t>
      </w:r>
      <w:r>
        <w:rPr>
          <w:i w:val="0"/>
          <w:iCs w:val="0"/>
        </w:rPr>
        <w:tab/>
      </w:r>
      <w:r>
        <w:rPr>
          <w:i w:val="0"/>
          <w:iCs w:val="0"/>
        </w:rPr>
        <w:fldChar w:fldCharType="begin"/>
      </w:r>
      <w:r>
        <w:rPr>
          <w:i w:val="0"/>
          <w:iCs w:val="0"/>
        </w:rPr>
        <w:instrText xml:space="preserve"> PAGEREF _Toc12618 \h </w:instrText>
      </w:r>
      <w:r>
        <w:rPr>
          <w:i w:val="0"/>
          <w:iCs w:val="0"/>
        </w:rPr>
        <w:fldChar w:fldCharType="separate"/>
      </w:r>
      <w:r>
        <w:rPr>
          <w:i w:val="0"/>
          <w:iCs w:val="0"/>
        </w:rPr>
        <w:t>- 30 -</w:t>
      </w:r>
      <w:r>
        <w:rPr>
          <w:i w:val="0"/>
          <w:iCs w:val="0"/>
        </w:rPr>
        <w:fldChar w:fldCharType="end"/>
      </w:r>
      <w:r>
        <w:rPr>
          <w:i w:val="0"/>
          <w:iCs w:val="0"/>
          <w:color w:val="auto"/>
          <w:szCs w:val="24"/>
        </w:rPr>
        <w:fldChar w:fldCharType="end"/>
      </w:r>
    </w:p>
    <w:p w14:paraId="04BB6935">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_Toc17499 </w:instrText>
      </w:r>
      <w:r>
        <w:rPr>
          <w:i w:val="0"/>
          <w:iCs w:val="0"/>
          <w:szCs w:val="24"/>
        </w:rPr>
        <w:fldChar w:fldCharType="separate"/>
      </w:r>
      <w:r>
        <w:rPr>
          <w:i w:val="0"/>
          <w:iCs w:val="0"/>
        </w:rPr>
        <w:t>1.5.</w:t>
      </w:r>
      <w:r>
        <w:rPr>
          <w:rFonts w:hint="eastAsia"/>
          <w:i w:val="0"/>
          <w:iCs w:val="0"/>
        </w:rPr>
        <w:t>1</w:t>
      </w:r>
      <w:r>
        <w:rPr>
          <w:i w:val="0"/>
          <w:iCs w:val="0"/>
        </w:rPr>
        <w:t>项目选址合理性分析</w:t>
      </w:r>
      <w:r>
        <w:rPr>
          <w:i w:val="0"/>
          <w:iCs w:val="0"/>
        </w:rPr>
        <w:tab/>
      </w:r>
      <w:r>
        <w:rPr>
          <w:i w:val="0"/>
          <w:iCs w:val="0"/>
        </w:rPr>
        <w:fldChar w:fldCharType="begin"/>
      </w:r>
      <w:r>
        <w:rPr>
          <w:i w:val="0"/>
          <w:iCs w:val="0"/>
        </w:rPr>
        <w:instrText xml:space="preserve"> PAGEREF _Toc17499 \h </w:instrText>
      </w:r>
      <w:r>
        <w:rPr>
          <w:i w:val="0"/>
          <w:iCs w:val="0"/>
        </w:rPr>
        <w:fldChar w:fldCharType="separate"/>
      </w:r>
      <w:r>
        <w:rPr>
          <w:i w:val="0"/>
          <w:iCs w:val="0"/>
        </w:rPr>
        <w:t>- 30 -</w:t>
      </w:r>
      <w:r>
        <w:rPr>
          <w:i w:val="0"/>
          <w:iCs w:val="0"/>
        </w:rPr>
        <w:fldChar w:fldCharType="end"/>
      </w:r>
      <w:r>
        <w:rPr>
          <w:i w:val="0"/>
          <w:iCs w:val="0"/>
          <w:color w:val="auto"/>
          <w:szCs w:val="24"/>
        </w:rPr>
        <w:fldChar w:fldCharType="end"/>
      </w:r>
    </w:p>
    <w:p w14:paraId="5A56FA7D">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_Toc21868 </w:instrText>
      </w:r>
      <w:r>
        <w:rPr>
          <w:i w:val="0"/>
          <w:iCs w:val="0"/>
          <w:szCs w:val="24"/>
        </w:rPr>
        <w:fldChar w:fldCharType="separate"/>
      </w:r>
      <w:r>
        <w:rPr>
          <w:i w:val="0"/>
          <w:iCs w:val="0"/>
        </w:rPr>
        <w:t>1.5.</w:t>
      </w:r>
      <w:r>
        <w:rPr>
          <w:rFonts w:hint="eastAsia"/>
          <w:i w:val="0"/>
          <w:iCs w:val="0"/>
        </w:rPr>
        <w:t>2与</w:t>
      </w:r>
      <w:r>
        <w:rPr>
          <w:rFonts w:hint="eastAsia"/>
          <w:i w:val="0"/>
          <w:iCs w:val="0"/>
          <w:lang w:eastAsia="zh-CN"/>
        </w:rPr>
        <w:t>朝阳市</w:t>
      </w:r>
      <w:r>
        <w:rPr>
          <w:rFonts w:hint="eastAsia"/>
          <w:i w:val="0"/>
          <w:iCs w:val="0"/>
        </w:rPr>
        <w:t>“三线一单”及生态环境分区管控意见符合性分析</w:t>
      </w:r>
      <w:r>
        <w:rPr>
          <w:i w:val="0"/>
          <w:iCs w:val="0"/>
        </w:rPr>
        <w:tab/>
      </w:r>
      <w:r>
        <w:rPr>
          <w:i w:val="0"/>
          <w:iCs w:val="0"/>
        </w:rPr>
        <w:fldChar w:fldCharType="begin"/>
      </w:r>
      <w:r>
        <w:rPr>
          <w:i w:val="0"/>
          <w:iCs w:val="0"/>
        </w:rPr>
        <w:instrText xml:space="preserve"> PAGEREF _Toc21868 \h </w:instrText>
      </w:r>
      <w:r>
        <w:rPr>
          <w:i w:val="0"/>
          <w:iCs w:val="0"/>
        </w:rPr>
        <w:fldChar w:fldCharType="separate"/>
      </w:r>
      <w:r>
        <w:rPr>
          <w:i w:val="0"/>
          <w:iCs w:val="0"/>
        </w:rPr>
        <w:t>- 37 -</w:t>
      </w:r>
      <w:r>
        <w:rPr>
          <w:i w:val="0"/>
          <w:iCs w:val="0"/>
        </w:rPr>
        <w:fldChar w:fldCharType="end"/>
      </w:r>
      <w:r>
        <w:rPr>
          <w:i w:val="0"/>
          <w:iCs w:val="0"/>
          <w:color w:val="auto"/>
          <w:szCs w:val="24"/>
        </w:rPr>
        <w:fldChar w:fldCharType="end"/>
      </w:r>
    </w:p>
    <w:p w14:paraId="3E906A44">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_Toc32032 </w:instrText>
      </w:r>
      <w:r>
        <w:rPr>
          <w:i w:val="0"/>
          <w:iCs w:val="0"/>
          <w:szCs w:val="24"/>
        </w:rPr>
        <w:fldChar w:fldCharType="separate"/>
      </w:r>
      <w:r>
        <w:rPr>
          <w:rFonts w:eastAsia="宋体"/>
          <w:i w:val="0"/>
          <w:iCs w:val="0"/>
        </w:rPr>
        <w:t>1.6环境影响报告书主要结论</w:t>
      </w:r>
      <w:r>
        <w:rPr>
          <w:i w:val="0"/>
          <w:iCs w:val="0"/>
        </w:rPr>
        <w:tab/>
      </w:r>
      <w:r>
        <w:rPr>
          <w:i w:val="0"/>
          <w:iCs w:val="0"/>
        </w:rPr>
        <w:fldChar w:fldCharType="begin"/>
      </w:r>
      <w:r>
        <w:rPr>
          <w:i w:val="0"/>
          <w:iCs w:val="0"/>
        </w:rPr>
        <w:instrText xml:space="preserve"> PAGEREF _Toc32032 \h </w:instrText>
      </w:r>
      <w:r>
        <w:rPr>
          <w:i w:val="0"/>
          <w:iCs w:val="0"/>
        </w:rPr>
        <w:fldChar w:fldCharType="separate"/>
      </w:r>
      <w:r>
        <w:rPr>
          <w:i w:val="0"/>
          <w:iCs w:val="0"/>
        </w:rPr>
        <w:t>- 46 -</w:t>
      </w:r>
      <w:r>
        <w:rPr>
          <w:i w:val="0"/>
          <w:iCs w:val="0"/>
        </w:rPr>
        <w:fldChar w:fldCharType="end"/>
      </w:r>
      <w:r>
        <w:rPr>
          <w:i w:val="0"/>
          <w:iCs w:val="0"/>
          <w:color w:val="auto"/>
          <w:szCs w:val="24"/>
        </w:rPr>
        <w:fldChar w:fldCharType="end"/>
      </w:r>
    </w:p>
    <w:p w14:paraId="466BD1C8">
      <w:pPr>
        <w:pStyle w:val="38"/>
        <w:tabs>
          <w:tab w:val="right" w:leader="dot" w:pos="8312"/>
        </w:tabs>
        <w:rPr>
          <w:i w:val="0"/>
          <w:iCs w:val="0"/>
        </w:rPr>
      </w:pPr>
      <w:r>
        <w:rPr>
          <w:i w:val="0"/>
          <w:iCs w:val="0"/>
          <w:color w:val="auto"/>
          <w:szCs w:val="24"/>
        </w:rPr>
        <w:fldChar w:fldCharType="begin"/>
      </w:r>
      <w:r>
        <w:rPr>
          <w:i w:val="0"/>
          <w:iCs w:val="0"/>
          <w:szCs w:val="24"/>
        </w:rPr>
        <w:instrText xml:space="preserve"> HYPERLINK \l _Toc2108 </w:instrText>
      </w:r>
      <w:r>
        <w:rPr>
          <w:i w:val="0"/>
          <w:iCs w:val="0"/>
          <w:szCs w:val="24"/>
        </w:rPr>
        <w:fldChar w:fldCharType="separate"/>
      </w:r>
      <w:r>
        <w:rPr>
          <w:rFonts w:ascii="Times New Roman" w:eastAsia="宋体"/>
          <w:bCs/>
          <w:i w:val="0"/>
          <w:iCs w:val="0"/>
          <w:szCs w:val="32"/>
        </w:rPr>
        <w:t>2、总则</w:t>
      </w:r>
      <w:r>
        <w:rPr>
          <w:i w:val="0"/>
          <w:iCs w:val="0"/>
        </w:rPr>
        <w:tab/>
      </w:r>
      <w:r>
        <w:rPr>
          <w:i w:val="0"/>
          <w:iCs w:val="0"/>
        </w:rPr>
        <w:fldChar w:fldCharType="begin"/>
      </w:r>
      <w:r>
        <w:rPr>
          <w:i w:val="0"/>
          <w:iCs w:val="0"/>
        </w:rPr>
        <w:instrText xml:space="preserve"> PAGEREF _Toc2108 \h </w:instrText>
      </w:r>
      <w:r>
        <w:rPr>
          <w:i w:val="0"/>
          <w:iCs w:val="0"/>
        </w:rPr>
        <w:fldChar w:fldCharType="separate"/>
      </w:r>
      <w:r>
        <w:rPr>
          <w:i w:val="0"/>
          <w:iCs w:val="0"/>
        </w:rPr>
        <w:t>- 47 -</w:t>
      </w:r>
      <w:r>
        <w:rPr>
          <w:i w:val="0"/>
          <w:iCs w:val="0"/>
        </w:rPr>
        <w:fldChar w:fldCharType="end"/>
      </w:r>
      <w:r>
        <w:rPr>
          <w:i w:val="0"/>
          <w:iCs w:val="0"/>
          <w:color w:val="auto"/>
          <w:szCs w:val="24"/>
        </w:rPr>
        <w:fldChar w:fldCharType="end"/>
      </w:r>
    </w:p>
    <w:p w14:paraId="4EBF5C89">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_Toc26481 </w:instrText>
      </w:r>
      <w:r>
        <w:rPr>
          <w:i w:val="0"/>
          <w:iCs w:val="0"/>
          <w:szCs w:val="24"/>
        </w:rPr>
        <w:fldChar w:fldCharType="separate"/>
      </w:r>
      <w:r>
        <w:rPr>
          <w:rFonts w:eastAsia="宋体"/>
          <w:i w:val="0"/>
          <w:iCs w:val="0"/>
          <w:szCs w:val="30"/>
        </w:rPr>
        <w:t>2.1 编制依据</w:t>
      </w:r>
      <w:r>
        <w:rPr>
          <w:i w:val="0"/>
          <w:iCs w:val="0"/>
        </w:rPr>
        <w:tab/>
      </w:r>
      <w:r>
        <w:rPr>
          <w:i w:val="0"/>
          <w:iCs w:val="0"/>
        </w:rPr>
        <w:fldChar w:fldCharType="begin"/>
      </w:r>
      <w:r>
        <w:rPr>
          <w:i w:val="0"/>
          <w:iCs w:val="0"/>
        </w:rPr>
        <w:instrText xml:space="preserve"> PAGEREF _Toc26481 \h </w:instrText>
      </w:r>
      <w:r>
        <w:rPr>
          <w:i w:val="0"/>
          <w:iCs w:val="0"/>
        </w:rPr>
        <w:fldChar w:fldCharType="separate"/>
      </w:r>
      <w:r>
        <w:rPr>
          <w:i w:val="0"/>
          <w:iCs w:val="0"/>
        </w:rPr>
        <w:t>- 47 -</w:t>
      </w:r>
      <w:r>
        <w:rPr>
          <w:i w:val="0"/>
          <w:iCs w:val="0"/>
        </w:rPr>
        <w:fldChar w:fldCharType="end"/>
      </w:r>
      <w:r>
        <w:rPr>
          <w:i w:val="0"/>
          <w:iCs w:val="0"/>
          <w:color w:val="auto"/>
          <w:szCs w:val="24"/>
        </w:rPr>
        <w:fldChar w:fldCharType="end"/>
      </w:r>
    </w:p>
    <w:p w14:paraId="599A09A4">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_Toc29353 </w:instrText>
      </w:r>
      <w:r>
        <w:rPr>
          <w:i w:val="0"/>
          <w:iCs w:val="0"/>
          <w:szCs w:val="24"/>
        </w:rPr>
        <w:fldChar w:fldCharType="separate"/>
      </w:r>
      <w:r>
        <w:rPr>
          <w:rFonts w:ascii="Times New Roman" w:hAnsi="Times New Roman" w:eastAsia="宋体"/>
          <w:bCs/>
          <w:i w:val="0"/>
          <w:iCs w:val="0"/>
          <w:szCs w:val="28"/>
        </w:rPr>
        <w:t>2.1.1 相关法律法规及有关文件</w:t>
      </w:r>
      <w:r>
        <w:rPr>
          <w:i w:val="0"/>
          <w:iCs w:val="0"/>
        </w:rPr>
        <w:tab/>
      </w:r>
      <w:r>
        <w:rPr>
          <w:i w:val="0"/>
          <w:iCs w:val="0"/>
        </w:rPr>
        <w:fldChar w:fldCharType="begin"/>
      </w:r>
      <w:r>
        <w:rPr>
          <w:i w:val="0"/>
          <w:iCs w:val="0"/>
        </w:rPr>
        <w:instrText xml:space="preserve"> PAGEREF _Toc29353 \h </w:instrText>
      </w:r>
      <w:r>
        <w:rPr>
          <w:i w:val="0"/>
          <w:iCs w:val="0"/>
        </w:rPr>
        <w:fldChar w:fldCharType="separate"/>
      </w:r>
      <w:r>
        <w:rPr>
          <w:i w:val="0"/>
          <w:iCs w:val="0"/>
        </w:rPr>
        <w:t>- 47 -</w:t>
      </w:r>
      <w:r>
        <w:rPr>
          <w:i w:val="0"/>
          <w:iCs w:val="0"/>
        </w:rPr>
        <w:fldChar w:fldCharType="end"/>
      </w:r>
      <w:r>
        <w:rPr>
          <w:i w:val="0"/>
          <w:iCs w:val="0"/>
          <w:color w:val="auto"/>
          <w:szCs w:val="24"/>
        </w:rPr>
        <w:fldChar w:fldCharType="end"/>
      </w:r>
    </w:p>
    <w:p w14:paraId="1A63702B">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_Toc5929 </w:instrText>
      </w:r>
      <w:r>
        <w:rPr>
          <w:i w:val="0"/>
          <w:iCs w:val="0"/>
          <w:szCs w:val="24"/>
        </w:rPr>
        <w:fldChar w:fldCharType="separate"/>
      </w:r>
      <w:r>
        <w:rPr>
          <w:rFonts w:ascii="Times New Roman" w:hAnsi="Times New Roman" w:eastAsia="宋体"/>
          <w:bCs/>
          <w:i w:val="0"/>
          <w:iCs w:val="0"/>
          <w:szCs w:val="28"/>
        </w:rPr>
        <w:t>2.1.2 相关导则与技术规范</w:t>
      </w:r>
      <w:r>
        <w:rPr>
          <w:i w:val="0"/>
          <w:iCs w:val="0"/>
        </w:rPr>
        <w:tab/>
      </w:r>
      <w:r>
        <w:rPr>
          <w:i w:val="0"/>
          <w:iCs w:val="0"/>
        </w:rPr>
        <w:fldChar w:fldCharType="begin"/>
      </w:r>
      <w:r>
        <w:rPr>
          <w:i w:val="0"/>
          <w:iCs w:val="0"/>
        </w:rPr>
        <w:instrText xml:space="preserve"> PAGEREF _Toc5929 \h </w:instrText>
      </w:r>
      <w:r>
        <w:rPr>
          <w:i w:val="0"/>
          <w:iCs w:val="0"/>
        </w:rPr>
        <w:fldChar w:fldCharType="separate"/>
      </w:r>
      <w:r>
        <w:rPr>
          <w:i w:val="0"/>
          <w:iCs w:val="0"/>
        </w:rPr>
        <w:t>- 49 -</w:t>
      </w:r>
      <w:r>
        <w:rPr>
          <w:i w:val="0"/>
          <w:iCs w:val="0"/>
        </w:rPr>
        <w:fldChar w:fldCharType="end"/>
      </w:r>
      <w:r>
        <w:rPr>
          <w:i w:val="0"/>
          <w:iCs w:val="0"/>
          <w:color w:val="auto"/>
          <w:szCs w:val="24"/>
        </w:rPr>
        <w:fldChar w:fldCharType="end"/>
      </w:r>
    </w:p>
    <w:p w14:paraId="63CF6FC0">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_Toc21796 </w:instrText>
      </w:r>
      <w:r>
        <w:rPr>
          <w:i w:val="0"/>
          <w:iCs w:val="0"/>
          <w:szCs w:val="24"/>
        </w:rPr>
        <w:fldChar w:fldCharType="separate"/>
      </w:r>
      <w:r>
        <w:rPr>
          <w:rFonts w:ascii="Times New Roman" w:hAnsi="Times New Roman" w:eastAsia="宋体"/>
          <w:bCs/>
          <w:i w:val="0"/>
          <w:iCs w:val="0"/>
          <w:szCs w:val="28"/>
          <w:highlight w:val="none"/>
        </w:rPr>
        <w:t>2.1.3 地方法规、规章文件</w:t>
      </w:r>
      <w:r>
        <w:rPr>
          <w:i w:val="0"/>
          <w:iCs w:val="0"/>
        </w:rPr>
        <w:tab/>
      </w:r>
      <w:r>
        <w:rPr>
          <w:i w:val="0"/>
          <w:iCs w:val="0"/>
        </w:rPr>
        <w:fldChar w:fldCharType="begin"/>
      </w:r>
      <w:r>
        <w:rPr>
          <w:i w:val="0"/>
          <w:iCs w:val="0"/>
        </w:rPr>
        <w:instrText xml:space="preserve"> PAGEREF _Toc21796 \h </w:instrText>
      </w:r>
      <w:r>
        <w:rPr>
          <w:i w:val="0"/>
          <w:iCs w:val="0"/>
        </w:rPr>
        <w:fldChar w:fldCharType="separate"/>
      </w:r>
      <w:r>
        <w:rPr>
          <w:i w:val="0"/>
          <w:iCs w:val="0"/>
        </w:rPr>
        <w:t>- 50 -</w:t>
      </w:r>
      <w:r>
        <w:rPr>
          <w:i w:val="0"/>
          <w:iCs w:val="0"/>
        </w:rPr>
        <w:fldChar w:fldCharType="end"/>
      </w:r>
      <w:r>
        <w:rPr>
          <w:i w:val="0"/>
          <w:iCs w:val="0"/>
          <w:color w:val="auto"/>
          <w:szCs w:val="24"/>
        </w:rPr>
        <w:fldChar w:fldCharType="end"/>
      </w:r>
    </w:p>
    <w:p w14:paraId="480DE6F5">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_Toc24303 </w:instrText>
      </w:r>
      <w:r>
        <w:rPr>
          <w:i w:val="0"/>
          <w:iCs w:val="0"/>
          <w:szCs w:val="24"/>
        </w:rPr>
        <w:fldChar w:fldCharType="separate"/>
      </w:r>
      <w:r>
        <w:rPr>
          <w:rFonts w:ascii="Times New Roman" w:hAnsi="Times New Roman" w:eastAsia="宋体"/>
          <w:bCs/>
          <w:i w:val="0"/>
          <w:iCs w:val="0"/>
          <w:szCs w:val="28"/>
          <w:highlight w:val="none"/>
        </w:rPr>
        <w:t>2.1.</w:t>
      </w:r>
      <w:r>
        <w:rPr>
          <w:rFonts w:hint="eastAsia" w:ascii="Times New Roman" w:hAnsi="Times New Roman" w:eastAsia="宋体"/>
          <w:bCs/>
          <w:i w:val="0"/>
          <w:iCs w:val="0"/>
          <w:szCs w:val="28"/>
          <w:highlight w:val="none"/>
          <w:lang w:val="en-US" w:eastAsia="zh-CN"/>
        </w:rPr>
        <w:t>4</w:t>
      </w:r>
      <w:r>
        <w:rPr>
          <w:rFonts w:ascii="Times New Roman" w:hAnsi="Times New Roman" w:eastAsia="宋体"/>
          <w:bCs/>
          <w:i w:val="0"/>
          <w:iCs w:val="0"/>
          <w:szCs w:val="28"/>
          <w:highlight w:val="none"/>
        </w:rPr>
        <w:t xml:space="preserve"> 养殖行业相关规范</w:t>
      </w:r>
      <w:r>
        <w:rPr>
          <w:i w:val="0"/>
          <w:iCs w:val="0"/>
        </w:rPr>
        <w:tab/>
      </w:r>
      <w:r>
        <w:rPr>
          <w:i w:val="0"/>
          <w:iCs w:val="0"/>
        </w:rPr>
        <w:fldChar w:fldCharType="begin"/>
      </w:r>
      <w:r>
        <w:rPr>
          <w:i w:val="0"/>
          <w:iCs w:val="0"/>
        </w:rPr>
        <w:instrText xml:space="preserve"> PAGEREF _Toc24303 \h </w:instrText>
      </w:r>
      <w:r>
        <w:rPr>
          <w:i w:val="0"/>
          <w:iCs w:val="0"/>
        </w:rPr>
        <w:fldChar w:fldCharType="separate"/>
      </w:r>
      <w:r>
        <w:rPr>
          <w:i w:val="0"/>
          <w:iCs w:val="0"/>
        </w:rPr>
        <w:t>- 51 -</w:t>
      </w:r>
      <w:r>
        <w:rPr>
          <w:i w:val="0"/>
          <w:iCs w:val="0"/>
        </w:rPr>
        <w:fldChar w:fldCharType="end"/>
      </w:r>
      <w:r>
        <w:rPr>
          <w:i w:val="0"/>
          <w:iCs w:val="0"/>
          <w:color w:val="auto"/>
          <w:szCs w:val="24"/>
        </w:rPr>
        <w:fldChar w:fldCharType="end"/>
      </w:r>
    </w:p>
    <w:p w14:paraId="0437A687">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_Toc25544 </w:instrText>
      </w:r>
      <w:r>
        <w:rPr>
          <w:i w:val="0"/>
          <w:iCs w:val="0"/>
          <w:szCs w:val="24"/>
        </w:rPr>
        <w:fldChar w:fldCharType="separate"/>
      </w:r>
      <w:r>
        <w:rPr>
          <w:rFonts w:ascii="Times New Roman" w:hAnsi="Times New Roman" w:eastAsia="宋体"/>
          <w:bCs/>
          <w:i w:val="0"/>
          <w:iCs w:val="0"/>
          <w:szCs w:val="28"/>
        </w:rPr>
        <w:t>2.1.</w:t>
      </w:r>
      <w:r>
        <w:rPr>
          <w:rFonts w:hint="eastAsia" w:ascii="Times New Roman" w:hAnsi="Times New Roman" w:eastAsia="宋体"/>
          <w:bCs/>
          <w:i w:val="0"/>
          <w:iCs w:val="0"/>
          <w:szCs w:val="28"/>
          <w:lang w:val="en-US" w:eastAsia="zh-CN"/>
        </w:rPr>
        <w:t xml:space="preserve">5 </w:t>
      </w:r>
      <w:r>
        <w:rPr>
          <w:rFonts w:ascii="Times New Roman" w:hAnsi="Times New Roman" w:eastAsia="宋体"/>
          <w:bCs/>
          <w:i w:val="0"/>
          <w:iCs w:val="0"/>
          <w:szCs w:val="28"/>
        </w:rPr>
        <w:t>相关规划及引用资料</w:t>
      </w:r>
      <w:r>
        <w:rPr>
          <w:i w:val="0"/>
          <w:iCs w:val="0"/>
        </w:rPr>
        <w:tab/>
      </w:r>
      <w:r>
        <w:rPr>
          <w:i w:val="0"/>
          <w:iCs w:val="0"/>
        </w:rPr>
        <w:fldChar w:fldCharType="begin"/>
      </w:r>
      <w:r>
        <w:rPr>
          <w:i w:val="0"/>
          <w:iCs w:val="0"/>
        </w:rPr>
        <w:instrText xml:space="preserve"> PAGEREF _Toc25544 \h </w:instrText>
      </w:r>
      <w:r>
        <w:rPr>
          <w:i w:val="0"/>
          <w:iCs w:val="0"/>
        </w:rPr>
        <w:fldChar w:fldCharType="separate"/>
      </w:r>
      <w:r>
        <w:rPr>
          <w:i w:val="0"/>
          <w:iCs w:val="0"/>
        </w:rPr>
        <w:t>- 52 -</w:t>
      </w:r>
      <w:r>
        <w:rPr>
          <w:i w:val="0"/>
          <w:iCs w:val="0"/>
        </w:rPr>
        <w:fldChar w:fldCharType="end"/>
      </w:r>
      <w:r>
        <w:rPr>
          <w:i w:val="0"/>
          <w:iCs w:val="0"/>
          <w:color w:val="auto"/>
          <w:szCs w:val="24"/>
        </w:rPr>
        <w:fldChar w:fldCharType="end"/>
      </w:r>
    </w:p>
    <w:p w14:paraId="1D7FA7D5">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_Toc26175 </w:instrText>
      </w:r>
      <w:r>
        <w:rPr>
          <w:i w:val="0"/>
          <w:iCs w:val="0"/>
          <w:szCs w:val="24"/>
        </w:rPr>
        <w:fldChar w:fldCharType="separate"/>
      </w:r>
      <w:r>
        <w:rPr>
          <w:rFonts w:eastAsia="宋体"/>
          <w:i w:val="0"/>
          <w:iCs w:val="0"/>
          <w:szCs w:val="30"/>
        </w:rPr>
        <w:t>2.2评价因子与评价标准</w:t>
      </w:r>
      <w:r>
        <w:rPr>
          <w:i w:val="0"/>
          <w:iCs w:val="0"/>
        </w:rPr>
        <w:tab/>
      </w:r>
      <w:r>
        <w:rPr>
          <w:i w:val="0"/>
          <w:iCs w:val="0"/>
        </w:rPr>
        <w:fldChar w:fldCharType="begin"/>
      </w:r>
      <w:r>
        <w:rPr>
          <w:i w:val="0"/>
          <w:iCs w:val="0"/>
        </w:rPr>
        <w:instrText xml:space="preserve"> PAGEREF _Toc26175 \h </w:instrText>
      </w:r>
      <w:r>
        <w:rPr>
          <w:i w:val="0"/>
          <w:iCs w:val="0"/>
        </w:rPr>
        <w:fldChar w:fldCharType="separate"/>
      </w:r>
      <w:r>
        <w:rPr>
          <w:i w:val="0"/>
          <w:iCs w:val="0"/>
        </w:rPr>
        <w:t>- 52 -</w:t>
      </w:r>
      <w:r>
        <w:rPr>
          <w:i w:val="0"/>
          <w:iCs w:val="0"/>
        </w:rPr>
        <w:fldChar w:fldCharType="end"/>
      </w:r>
      <w:r>
        <w:rPr>
          <w:i w:val="0"/>
          <w:iCs w:val="0"/>
          <w:color w:val="auto"/>
          <w:szCs w:val="24"/>
        </w:rPr>
        <w:fldChar w:fldCharType="end"/>
      </w:r>
    </w:p>
    <w:p w14:paraId="48F4099C">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_Toc1223 </w:instrText>
      </w:r>
      <w:r>
        <w:rPr>
          <w:i w:val="0"/>
          <w:iCs w:val="0"/>
          <w:szCs w:val="24"/>
        </w:rPr>
        <w:fldChar w:fldCharType="separate"/>
      </w:r>
      <w:r>
        <w:rPr>
          <w:rFonts w:ascii="Times New Roman" w:hAnsi="Times New Roman" w:eastAsia="宋体"/>
          <w:i w:val="0"/>
          <w:iCs w:val="0"/>
          <w:szCs w:val="28"/>
        </w:rPr>
        <w:t>2.2.1评价因子</w:t>
      </w:r>
      <w:r>
        <w:rPr>
          <w:i w:val="0"/>
          <w:iCs w:val="0"/>
        </w:rPr>
        <w:tab/>
      </w:r>
      <w:r>
        <w:rPr>
          <w:i w:val="0"/>
          <w:iCs w:val="0"/>
        </w:rPr>
        <w:fldChar w:fldCharType="begin"/>
      </w:r>
      <w:r>
        <w:rPr>
          <w:i w:val="0"/>
          <w:iCs w:val="0"/>
        </w:rPr>
        <w:instrText xml:space="preserve"> PAGEREF _Toc1223 \h </w:instrText>
      </w:r>
      <w:r>
        <w:rPr>
          <w:i w:val="0"/>
          <w:iCs w:val="0"/>
        </w:rPr>
        <w:fldChar w:fldCharType="separate"/>
      </w:r>
      <w:r>
        <w:rPr>
          <w:i w:val="0"/>
          <w:iCs w:val="0"/>
        </w:rPr>
        <w:t>- 52 -</w:t>
      </w:r>
      <w:r>
        <w:rPr>
          <w:i w:val="0"/>
          <w:iCs w:val="0"/>
        </w:rPr>
        <w:fldChar w:fldCharType="end"/>
      </w:r>
      <w:r>
        <w:rPr>
          <w:i w:val="0"/>
          <w:iCs w:val="0"/>
          <w:color w:val="auto"/>
          <w:szCs w:val="24"/>
        </w:rPr>
        <w:fldChar w:fldCharType="end"/>
      </w:r>
    </w:p>
    <w:p w14:paraId="3A53E6ED">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_Toc27804 </w:instrText>
      </w:r>
      <w:r>
        <w:rPr>
          <w:i w:val="0"/>
          <w:iCs w:val="0"/>
          <w:szCs w:val="24"/>
        </w:rPr>
        <w:fldChar w:fldCharType="separate"/>
      </w:r>
      <w:r>
        <w:rPr>
          <w:rFonts w:ascii="Times New Roman" w:hAnsi="Times New Roman" w:eastAsia="宋体"/>
          <w:bCs/>
          <w:i w:val="0"/>
          <w:iCs w:val="0"/>
          <w:szCs w:val="28"/>
        </w:rPr>
        <w:t>2.2.2环境质量评价标准</w:t>
      </w:r>
      <w:r>
        <w:rPr>
          <w:i w:val="0"/>
          <w:iCs w:val="0"/>
        </w:rPr>
        <w:tab/>
      </w:r>
      <w:r>
        <w:rPr>
          <w:i w:val="0"/>
          <w:iCs w:val="0"/>
        </w:rPr>
        <w:fldChar w:fldCharType="begin"/>
      </w:r>
      <w:r>
        <w:rPr>
          <w:i w:val="0"/>
          <w:iCs w:val="0"/>
        </w:rPr>
        <w:instrText xml:space="preserve"> PAGEREF _Toc27804 \h </w:instrText>
      </w:r>
      <w:r>
        <w:rPr>
          <w:i w:val="0"/>
          <w:iCs w:val="0"/>
        </w:rPr>
        <w:fldChar w:fldCharType="separate"/>
      </w:r>
      <w:r>
        <w:rPr>
          <w:i w:val="0"/>
          <w:iCs w:val="0"/>
        </w:rPr>
        <w:t>- 53 -</w:t>
      </w:r>
      <w:r>
        <w:rPr>
          <w:i w:val="0"/>
          <w:iCs w:val="0"/>
        </w:rPr>
        <w:fldChar w:fldCharType="end"/>
      </w:r>
      <w:r>
        <w:rPr>
          <w:i w:val="0"/>
          <w:iCs w:val="0"/>
          <w:color w:val="auto"/>
          <w:szCs w:val="24"/>
        </w:rPr>
        <w:fldChar w:fldCharType="end"/>
      </w:r>
    </w:p>
    <w:p w14:paraId="25BC1A75">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_Toc2883 </w:instrText>
      </w:r>
      <w:r>
        <w:rPr>
          <w:i w:val="0"/>
          <w:iCs w:val="0"/>
          <w:szCs w:val="24"/>
        </w:rPr>
        <w:fldChar w:fldCharType="separate"/>
      </w:r>
      <w:r>
        <w:rPr>
          <w:rFonts w:ascii="Times New Roman" w:hAnsi="Times New Roman" w:eastAsia="宋体"/>
          <w:bCs/>
          <w:i w:val="0"/>
          <w:iCs w:val="0"/>
          <w:szCs w:val="28"/>
        </w:rPr>
        <w:t>2.2.3污染物排放标准</w:t>
      </w:r>
      <w:r>
        <w:rPr>
          <w:i w:val="0"/>
          <w:iCs w:val="0"/>
        </w:rPr>
        <w:tab/>
      </w:r>
      <w:r>
        <w:rPr>
          <w:i w:val="0"/>
          <w:iCs w:val="0"/>
        </w:rPr>
        <w:fldChar w:fldCharType="begin"/>
      </w:r>
      <w:r>
        <w:rPr>
          <w:i w:val="0"/>
          <w:iCs w:val="0"/>
        </w:rPr>
        <w:instrText xml:space="preserve"> PAGEREF _Toc2883 \h </w:instrText>
      </w:r>
      <w:r>
        <w:rPr>
          <w:i w:val="0"/>
          <w:iCs w:val="0"/>
        </w:rPr>
        <w:fldChar w:fldCharType="separate"/>
      </w:r>
      <w:r>
        <w:rPr>
          <w:i w:val="0"/>
          <w:iCs w:val="0"/>
        </w:rPr>
        <w:t>- 56 -</w:t>
      </w:r>
      <w:r>
        <w:rPr>
          <w:i w:val="0"/>
          <w:iCs w:val="0"/>
        </w:rPr>
        <w:fldChar w:fldCharType="end"/>
      </w:r>
      <w:r>
        <w:rPr>
          <w:i w:val="0"/>
          <w:iCs w:val="0"/>
          <w:color w:val="auto"/>
          <w:szCs w:val="24"/>
        </w:rPr>
        <w:fldChar w:fldCharType="end"/>
      </w:r>
    </w:p>
    <w:p w14:paraId="62AA3280">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_Toc2951 </w:instrText>
      </w:r>
      <w:r>
        <w:rPr>
          <w:i w:val="0"/>
          <w:iCs w:val="0"/>
          <w:szCs w:val="24"/>
        </w:rPr>
        <w:fldChar w:fldCharType="separate"/>
      </w:r>
      <w:r>
        <w:rPr>
          <w:rFonts w:eastAsia="宋体"/>
          <w:i w:val="0"/>
          <w:iCs w:val="0"/>
          <w:szCs w:val="30"/>
        </w:rPr>
        <w:t>2.3评价工作等级与评价重点</w:t>
      </w:r>
      <w:r>
        <w:rPr>
          <w:i w:val="0"/>
          <w:iCs w:val="0"/>
        </w:rPr>
        <w:tab/>
      </w:r>
      <w:r>
        <w:rPr>
          <w:i w:val="0"/>
          <w:iCs w:val="0"/>
        </w:rPr>
        <w:fldChar w:fldCharType="begin"/>
      </w:r>
      <w:r>
        <w:rPr>
          <w:i w:val="0"/>
          <w:iCs w:val="0"/>
        </w:rPr>
        <w:instrText xml:space="preserve"> PAGEREF _Toc2951 \h </w:instrText>
      </w:r>
      <w:r>
        <w:rPr>
          <w:i w:val="0"/>
          <w:iCs w:val="0"/>
        </w:rPr>
        <w:fldChar w:fldCharType="separate"/>
      </w:r>
      <w:r>
        <w:rPr>
          <w:i w:val="0"/>
          <w:iCs w:val="0"/>
        </w:rPr>
        <w:t>- 58 -</w:t>
      </w:r>
      <w:r>
        <w:rPr>
          <w:i w:val="0"/>
          <w:iCs w:val="0"/>
        </w:rPr>
        <w:fldChar w:fldCharType="end"/>
      </w:r>
      <w:r>
        <w:rPr>
          <w:i w:val="0"/>
          <w:iCs w:val="0"/>
          <w:color w:val="auto"/>
          <w:szCs w:val="24"/>
        </w:rPr>
        <w:fldChar w:fldCharType="end"/>
      </w:r>
    </w:p>
    <w:p w14:paraId="75FD7E19">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_Toc6659 </w:instrText>
      </w:r>
      <w:r>
        <w:rPr>
          <w:i w:val="0"/>
          <w:iCs w:val="0"/>
          <w:szCs w:val="24"/>
        </w:rPr>
        <w:fldChar w:fldCharType="separate"/>
      </w:r>
      <w:r>
        <w:rPr>
          <w:rFonts w:ascii="Times New Roman" w:hAnsi="Times New Roman" w:eastAsia="宋体"/>
          <w:bCs/>
          <w:i w:val="0"/>
          <w:iCs w:val="0"/>
          <w:szCs w:val="28"/>
        </w:rPr>
        <w:t>2.3.1评价工作等级</w:t>
      </w:r>
      <w:r>
        <w:rPr>
          <w:i w:val="0"/>
          <w:iCs w:val="0"/>
        </w:rPr>
        <w:tab/>
      </w:r>
      <w:r>
        <w:rPr>
          <w:i w:val="0"/>
          <w:iCs w:val="0"/>
        </w:rPr>
        <w:fldChar w:fldCharType="begin"/>
      </w:r>
      <w:r>
        <w:rPr>
          <w:i w:val="0"/>
          <w:iCs w:val="0"/>
        </w:rPr>
        <w:instrText xml:space="preserve"> PAGEREF _Toc6659 \h </w:instrText>
      </w:r>
      <w:r>
        <w:rPr>
          <w:i w:val="0"/>
          <w:iCs w:val="0"/>
        </w:rPr>
        <w:fldChar w:fldCharType="separate"/>
      </w:r>
      <w:r>
        <w:rPr>
          <w:i w:val="0"/>
          <w:iCs w:val="0"/>
        </w:rPr>
        <w:t>- 58 -</w:t>
      </w:r>
      <w:r>
        <w:rPr>
          <w:i w:val="0"/>
          <w:iCs w:val="0"/>
        </w:rPr>
        <w:fldChar w:fldCharType="end"/>
      </w:r>
      <w:r>
        <w:rPr>
          <w:i w:val="0"/>
          <w:iCs w:val="0"/>
          <w:color w:val="auto"/>
          <w:szCs w:val="24"/>
        </w:rPr>
        <w:fldChar w:fldCharType="end"/>
      </w:r>
    </w:p>
    <w:p w14:paraId="74CF8FC4">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_Toc5352 </w:instrText>
      </w:r>
      <w:r>
        <w:rPr>
          <w:i w:val="0"/>
          <w:iCs w:val="0"/>
          <w:szCs w:val="24"/>
        </w:rPr>
        <w:fldChar w:fldCharType="separate"/>
      </w:r>
      <w:r>
        <w:rPr>
          <w:rFonts w:ascii="Times New Roman" w:hAnsi="Times New Roman" w:eastAsia="宋体"/>
          <w:bCs/>
          <w:i w:val="0"/>
          <w:iCs w:val="0"/>
          <w:szCs w:val="28"/>
        </w:rPr>
        <w:t>2.3.2评价目的及重点</w:t>
      </w:r>
      <w:r>
        <w:rPr>
          <w:i w:val="0"/>
          <w:iCs w:val="0"/>
        </w:rPr>
        <w:tab/>
      </w:r>
      <w:r>
        <w:rPr>
          <w:i w:val="0"/>
          <w:iCs w:val="0"/>
        </w:rPr>
        <w:fldChar w:fldCharType="begin"/>
      </w:r>
      <w:r>
        <w:rPr>
          <w:i w:val="0"/>
          <w:iCs w:val="0"/>
        </w:rPr>
        <w:instrText xml:space="preserve"> PAGEREF _Toc5352 \h </w:instrText>
      </w:r>
      <w:r>
        <w:rPr>
          <w:i w:val="0"/>
          <w:iCs w:val="0"/>
        </w:rPr>
        <w:fldChar w:fldCharType="separate"/>
      </w:r>
      <w:r>
        <w:rPr>
          <w:i w:val="0"/>
          <w:iCs w:val="0"/>
        </w:rPr>
        <w:t>- 67 -</w:t>
      </w:r>
      <w:r>
        <w:rPr>
          <w:i w:val="0"/>
          <w:iCs w:val="0"/>
        </w:rPr>
        <w:fldChar w:fldCharType="end"/>
      </w:r>
      <w:r>
        <w:rPr>
          <w:i w:val="0"/>
          <w:iCs w:val="0"/>
          <w:color w:val="auto"/>
          <w:szCs w:val="24"/>
        </w:rPr>
        <w:fldChar w:fldCharType="end"/>
      </w:r>
    </w:p>
    <w:p w14:paraId="2779A143">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_Toc29850 </w:instrText>
      </w:r>
      <w:r>
        <w:rPr>
          <w:i w:val="0"/>
          <w:iCs w:val="0"/>
          <w:szCs w:val="24"/>
        </w:rPr>
        <w:fldChar w:fldCharType="separate"/>
      </w:r>
      <w:r>
        <w:rPr>
          <w:rFonts w:eastAsia="宋体"/>
          <w:i w:val="0"/>
          <w:iCs w:val="0"/>
          <w:szCs w:val="30"/>
        </w:rPr>
        <w:t>2.4评价范围及环境敏感区</w:t>
      </w:r>
      <w:r>
        <w:rPr>
          <w:i w:val="0"/>
          <w:iCs w:val="0"/>
        </w:rPr>
        <w:tab/>
      </w:r>
      <w:r>
        <w:rPr>
          <w:i w:val="0"/>
          <w:iCs w:val="0"/>
        </w:rPr>
        <w:fldChar w:fldCharType="begin"/>
      </w:r>
      <w:r>
        <w:rPr>
          <w:i w:val="0"/>
          <w:iCs w:val="0"/>
        </w:rPr>
        <w:instrText xml:space="preserve"> PAGEREF _Toc29850 \h </w:instrText>
      </w:r>
      <w:r>
        <w:rPr>
          <w:i w:val="0"/>
          <w:iCs w:val="0"/>
        </w:rPr>
        <w:fldChar w:fldCharType="separate"/>
      </w:r>
      <w:r>
        <w:rPr>
          <w:i w:val="0"/>
          <w:iCs w:val="0"/>
        </w:rPr>
        <w:t>- 68 -</w:t>
      </w:r>
      <w:r>
        <w:rPr>
          <w:i w:val="0"/>
          <w:iCs w:val="0"/>
        </w:rPr>
        <w:fldChar w:fldCharType="end"/>
      </w:r>
      <w:r>
        <w:rPr>
          <w:i w:val="0"/>
          <w:iCs w:val="0"/>
          <w:color w:val="auto"/>
          <w:szCs w:val="24"/>
        </w:rPr>
        <w:fldChar w:fldCharType="end"/>
      </w:r>
    </w:p>
    <w:p w14:paraId="55DE856A">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_Toc23057 </w:instrText>
      </w:r>
      <w:r>
        <w:rPr>
          <w:i w:val="0"/>
          <w:iCs w:val="0"/>
          <w:szCs w:val="24"/>
        </w:rPr>
        <w:fldChar w:fldCharType="separate"/>
      </w:r>
      <w:r>
        <w:rPr>
          <w:rFonts w:ascii="Times New Roman" w:hAnsi="Times New Roman" w:eastAsia="宋体"/>
          <w:bCs/>
          <w:i w:val="0"/>
          <w:iCs w:val="0"/>
          <w:szCs w:val="28"/>
        </w:rPr>
        <w:t>2.4.1评价范围</w:t>
      </w:r>
      <w:r>
        <w:rPr>
          <w:i w:val="0"/>
          <w:iCs w:val="0"/>
        </w:rPr>
        <w:tab/>
      </w:r>
      <w:r>
        <w:rPr>
          <w:i w:val="0"/>
          <w:iCs w:val="0"/>
        </w:rPr>
        <w:fldChar w:fldCharType="begin"/>
      </w:r>
      <w:r>
        <w:rPr>
          <w:i w:val="0"/>
          <w:iCs w:val="0"/>
        </w:rPr>
        <w:instrText xml:space="preserve"> PAGEREF _Toc23057 \h </w:instrText>
      </w:r>
      <w:r>
        <w:rPr>
          <w:i w:val="0"/>
          <w:iCs w:val="0"/>
        </w:rPr>
        <w:fldChar w:fldCharType="separate"/>
      </w:r>
      <w:r>
        <w:rPr>
          <w:i w:val="0"/>
          <w:iCs w:val="0"/>
        </w:rPr>
        <w:t>- 68 -</w:t>
      </w:r>
      <w:r>
        <w:rPr>
          <w:i w:val="0"/>
          <w:iCs w:val="0"/>
        </w:rPr>
        <w:fldChar w:fldCharType="end"/>
      </w:r>
      <w:r>
        <w:rPr>
          <w:i w:val="0"/>
          <w:iCs w:val="0"/>
          <w:color w:val="auto"/>
          <w:szCs w:val="24"/>
        </w:rPr>
        <w:fldChar w:fldCharType="end"/>
      </w:r>
    </w:p>
    <w:p w14:paraId="3641006A">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_Toc31483 </w:instrText>
      </w:r>
      <w:r>
        <w:rPr>
          <w:i w:val="0"/>
          <w:iCs w:val="0"/>
          <w:szCs w:val="24"/>
        </w:rPr>
        <w:fldChar w:fldCharType="separate"/>
      </w:r>
      <w:r>
        <w:rPr>
          <w:rFonts w:ascii="Times New Roman" w:hAnsi="Times New Roman" w:eastAsia="宋体"/>
          <w:bCs/>
          <w:i w:val="0"/>
          <w:iCs w:val="0"/>
          <w:szCs w:val="28"/>
        </w:rPr>
        <w:t>2.4.2区域环境功能区划</w:t>
      </w:r>
      <w:r>
        <w:rPr>
          <w:i w:val="0"/>
          <w:iCs w:val="0"/>
        </w:rPr>
        <w:tab/>
      </w:r>
      <w:r>
        <w:rPr>
          <w:i w:val="0"/>
          <w:iCs w:val="0"/>
        </w:rPr>
        <w:fldChar w:fldCharType="begin"/>
      </w:r>
      <w:r>
        <w:rPr>
          <w:i w:val="0"/>
          <w:iCs w:val="0"/>
        </w:rPr>
        <w:instrText xml:space="preserve"> PAGEREF _Toc31483 \h </w:instrText>
      </w:r>
      <w:r>
        <w:rPr>
          <w:i w:val="0"/>
          <w:iCs w:val="0"/>
        </w:rPr>
        <w:fldChar w:fldCharType="separate"/>
      </w:r>
      <w:r>
        <w:rPr>
          <w:i w:val="0"/>
          <w:iCs w:val="0"/>
        </w:rPr>
        <w:t>- 68 -</w:t>
      </w:r>
      <w:r>
        <w:rPr>
          <w:i w:val="0"/>
          <w:iCs w:val="0"/>
        </w:rPr>
        <w:fldChar w:fldCharType="end"/>
      </w:r>
      <w:r>
        <w:rPr>
          <w:i w:val="0"/>
          <w:iCs w:val="0"/>
          <w:color w:val="auto"/>
          <w:szCs w:val="24"/>
        </w:rPr>
        <w:fldChar w:fldCharType="end"/>
      </w:r>
    </w:p>
    <w:p w14:paraId="42B767A1">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_Toc18304 </w:instrText>
      </w:r>
      <w:r>
        <w:rPr>
          <w:i w:val="0"/>
          <w:iCs w:val="0"/>
          <w:szCs w:val="24"/>
        </w:rPr>
        <w:fldChar w:fldCharType="separate"/>
      </w:r>
      <w:r>
        <w:rPr>
          <w:rFonts w:ascii="Times New Roman" w:hAnsi="Times New Roman" w:eastAsia="宋体"/>
          <w:bCs/>
          <w:i w:val="0"/>
          <w:iCs w:val="0"/>
          <w:szCs w:val="28"/>
        </w:rPr>
        <w:t>2.4.3评价范围内的环境敏感点</w:t>
      </w:r>
      <w:r>
        <w:rPr>
          <w:i w:val="0"/>
          <w:iCs w:val="0"/>
        </w:rPr>
        <w:tab/>
      </w:r>
      <w:r>
        <w:rPr>
          <w:i w:val="0"/>
          <w:iCs w:val="0"/>
        </w:rPr>
        <w:fldChar w:fldCharType="begin"/>
      </w:r>
      <w:r>
        <w:rPr>
          <w:i w:val="0"/>
          <w:iCs w:val="0"/>
        </w:rPr>
        <w:instrText xml:space="preserve"> PAGEREF _Toc18304 \h </w:instrText>
      </w:r>
      <w:r>
        <w:rPr>
          <w:i w:val="0"/>
          <w:iCs w:val="0"/>
        </w:rPr>
        <w:fldChar w:fldCharType="separate"/>
      </w:r>
      <w:r>
        <w:rPr>
          <w:i w:val="0"/>
          <w:iCs w:val="0"/>
        </w:rPr>
        <w:t>- 69 -</w:t>
      </w:r>
      <w:r>
        <w:rPr>
          <w:i w:val="0"/>
          <w:iCs w:val="0"/>
        </w:rPr>
        <w:fldChar w:fldCharType="end"/>
      </w:r>
      <w:r>
        <w:rPr>
          <w:i w:val="0"/>
          <w:iCs w:val="0"/>
          <w:color w:val="auto"/>
          <w:szCs w:val="24"/>
        </w:rPr>
        <w:fldChar w:fldCharType="end"/>
      </w:r>
    </w:p>
    <w:p w14:paraId="007E54EC">
      <w:pPr>
        <w:pStyle w:val="38"/>
        <w:tabs>
          <w:tab w:val="right" w:leader="dot" w:pos="8312"/>
        </w:tabs>
        <w:rPr>
          <w:i w:val="0"/>
          <w:iCs w:val="0"/>
        </w:rPr>
      </w:pPr>
      <w:r>
        <w:rPr>
          <w:i w:val="0"/>
          <w:iCs w:val="0"/>
          <w:color w:val="auto"/>
          <w:szCs w:val="24"/>
        </w:rPr>
        <w:fldChar w:fldCharType="begin"/>
      </w:r>
      <w:r>
        <w:rPr>
          <w:i w:val="0"/>
          <w:iCs w:val="0"/>
          <w:szCs w:val="24"/>
        </w:rPr>
        <w:instrText xml:space="preserve"> HYPERLINK \l _Toc10904 </w:instrText>
      </w:r>
      <w:r>
        <w:rPr>
          <w:i w:val="0"/>
          <w:iCs w:val="0"/>
          <w:szCs w:val="24"/>
        </w:rPr>
        <w:fldChar w:fldCharType="separate"/>
      </w:r>
      <w:r>
        <w:rPr>
          <w:rFonts w:ascii="Times New Roman" w:eastAsia="宋体"/>
          <w:bCs/>
          <w:i w:val="0"/>
          <w:iCs w:val="0"/>
          <w:szCs w:val="32"/>
        </w:rPr>
        <w:t>3、建设项目概况与工程分析</w:t>
      </w:r>
      <w:r>
        <w:rPr>
          <w:i w:val="0"/>
          <w:iCs w:val="0"/>
        </w:rPr>
        <w:tab/>
      </w:r>
      <w:r>
        <w:rPr>
          <w:i w:val="0"/>
          <w:iCs w:val="0"/>
        </w:rPr>
        <w:fldChar w:fldCharType="begin"/>
      </w:r>
      <w:r>
        <w:rPr>
          <w:i w:val="0"/>
          <w:iCs w:val="0"/>
        </w:rPr>
        <w:instrText xml:space="preserve"> PAGEREF _Toc10904 \h </w:instrText>
      </w:r>
      <w:r>
        <w:rPr>
          <w:i w:val="0"/>
          <w:iCs w:val="0"/>
        </w:rPr>
        <w:fldChar w:fldCharType="separate"/>
      </w:r>
      <w:r>
        <w:rPr>
          <w:i w:val="0"/>
          <w:iCs w:val="0"/>
        </w:rPr>
        <w:t>- 71 -</w:t>
      </w:r>
      <w:r>
        <w:rPr>
          <w:i w:val="0"/>
          <w:iCs w:val="0"/>
        </w:rPr>
        <w:fldChar w:fldCharType="end"/>
      </w:r>
      <w:r>
        <w:rPr>
          <w:i w:val="0"/>
          <w:iCs w:val="0"/>
          <w:color w:val="auto"/>
          <w:szCs w:val="24"/>
        </w:rPr>
        <w:fldChar w:fldCharType="end"/>
      </w:r>
    </w:p>
    <w:p w14:paraId="03E3927E">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_Toc25611 </w:instrText>
      </w:r>
      <w:r>
        <w:rPr>
          <w:i w:val="0"/>
          <w:iCs w:val="0"/>
          <w:szCs w:val="24"/>
        </w:rPr>
        <w:fldChar w:fldCharType="separate"/>
      </w:r>
      <w:r>
        <w:rPr>
          <w:rFonts w:eastAsia="宋体"/>
          <w:i w:val="0"/>
          <w:iCs w:val="0"/>
          <w:szCs w:val="30"/>
        </w:rPr>
        <w:t>3.1</w:t>
      </w:r>
      <w:r>
        <w:rPr>
          <w:rFonts w:hint="eastAsia" w:eastAsia="宋体"/>
          <w:i w:val="0"/>
          <w:iCs w:val="0"/>
          <w:szCs w:val="30"/>
        </w:rPr>
        <w:t>项目概况</w:t>
      </w:r>
      <w:r>
        <w:rPr>
          <w:i w:val="0"/>
          <w:iCs w:val="0"/>
        </w:rPr>
        <w:tab/>
      </w:r>
      <w:r>
        <w:rPr>
          <w:i w:val="0"/>
          <w:iCs w:val="0"/>
        </w:rPr>
        <w:fldChar w:fldCharType="begin"/>
      </w:r>
      <w:r>
        <w:rPr>
          <w:i w:val="0"/>
          <w:iCs w:val="0"/>
        </w:rPr>
        <w:instrText xml:space="preserve"> PAGEREF _Toc25611 \h </w:instrText>
      </w:r>
      <w:r>
        <w:rPr>
          <w:i w:val="0"/>
          <w:iCs w:val="0"/>
        </w:rPr>
        <w:fldChar w:fldCharType="separate"/>
      </w:r>
      <w:r>
        <w:rPr>
          <w:i w:val="0"/>
          <w:iCs w:val="0"/>
        </w:rPr>
        <w:t>- 71 -</w:t>
      </w:r>
      <w:r>
        <w:rPr>
          <w:i w:val="0"/>
          <w:iCs w:val="0"/>
        </w:rPr>
        <w:fldChar w:fldCharType="end"/>
      </w:r>
      <w:r>
        <w:rPr>
          <w:i w:val="0"/>
          <w:iCs w:val="0"/>
          <w:color w:val="auto"/>
          <w:szCs w:val="24"/>
        </w:rPr>
        <w:fldChar w:fldCharType="end"/>
      </w:r>
    </w:p>
    <w:p w14:paraId="7BBAAB25">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_Toc6516 </w:instrText>
      </w:r>
      <w:r>
        <w:rPr>
          <w:i w:val="0"/>
          <w:iCs w:val="0"/>
          <w:szCs w:val="24"/>
        </w:rPr>
        <w:fldChar w:fldCharType="separate"/>
      </w:r>
      <w:r>
        <w:rPr>
          <w:rFonts w:hint="eastAsia" w:eastAsia="宋体"/>
          <w:i w:val="0"/>
          <w:iCs w:val="0"/>
          <w:szCs w:val="30"/>
          <w:lang w:val="en-US" w:eastAsia="zh-CN"/>
        </w:rPr>
        <w:t>3.2项目建设内容</w:t>
      </w:r>
      <w:r>
        <w:rPr>
          <w:i w:val="0"/>
          <w:iCs w:val="0"/>
        </w:rPr>
        <w:tab/>
      </w:r>
      <w:r>
        <w:rPr>
          <w:i w:val="0"/>
          <w:iCs w:val="0"/>
        </w:rPr>
        <w:fldChar w:fldCharType="begin"/>
      </w:r>
      <w:r>
        <w:rPr>
          <w:i w:val="0"/>
          <w:iCs w:val="0"/>
        </w:rPr>
        <w:instrText xml:space="preserve"> PAGEREF _Toc6516 \h </w:instrText>
      </w:r>
      <w:r>
        <w:rPr>
          <w:i w:val="0"/>
          <w:iCs w:val="0"/>
        </w:rPr>
        <w:fldChar w:fldCharType="separate"/>
      </w:r>
      <w:r>
        <w:rPr>
          <w:i w:val="0"/>
          <w:iCs w:val="0"/>
        </w:rPr>
        <w:t>- 71 -</w:t>
      </w:r>
      <w:r>
        <w:rPr>
          <w:i w:val="0"/>
          <w:iCs w:val="0"/>
        </w:rPr>
        <w:fldChar w:fldCharType="end"/>
      </w:r>
      <w:r>
        <w:rPr>
          <w:i w:val="0"/>
          <w:iCs w:val="0"/>
          <w:color w:val="auto"/>
          <w:szCs w:val="24"/>
        </w:rPr>
        <w:fldChar w:fldCharType="end"/>
      </w:r>
    </w:p>
    <w:p w14:paraId="06AC5C75">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_Toc30239 </w:instrText>
      </w:r>
      <w:r>
        <w:rPr>
          <w:i w:val="0"/>
          <w:iCs w:val="0"/>
          <w:szCs w:val="24"/>
        </w:rPr>
        <w:fldChar w:fldCharType="separate"/>
      </w:r>
      <w:r>
        <w:rPr>
          <w:rFonts w:hint="eastAsia" w:ascii="Times New Roman" w:hAnsi="Times New Roman" w:eastAsia="宋体"/>
          <w:bCs/>
          <w:i w:val="0"/>
          <w:iCs w:val="0"/>
          <w:szCs w:val="28"/>
        </w:rPr>
        <w:t>3.</w:t>
      </w:r>
      <w:r>
        <w:rPr>
          <w:rFonts w:hint="eastAsia" w:ascii="Times New Roman" w:hAnsi="Times New Roman" w:eastAsia="宋体"/>
          <w:bCs/>
          <w:i w:val="0"/>
          <w:iCs w:val="0"/>
          <w:szCs w:val="28"/>
          <w:lang w:val="en-US" w:eastAsia="zh-CN"/>
        </w:rPr>
        <w:t>2.1</w:t>
      </w:r>
      <w:r>
        <w:rPr>
          <w:rFonts w:hint="eastAsia" w:ascii="Times New Roman" w:hAnsi="Times New Roman" w:eastAsia="宋体"/>
          <w:bCs/>
          <w:i w:val="0"/>
          <w:iCs w:val="0"/>
          <w:szCs w:val="28"/>
        </w:rPr>
        <w:t>项目</w:t>
      </w:r>
      <w:r>
        <w:rPr>
          <w:rFonts w:hint="eastAsia" w:ascii="Times New Roman" w:hAnsi="Times New Roman" w:eastAsia="宋体"/>
          <w:bCs/>
          <w:i w:val="0"/>
          <w:iCs w:val="0"/>
          <w:szCs w:val="28"/>
          <w:lang w:eastAsia="zh-CN"/>
        </w:rPr>
        <w:t>工程组成</w:t>
      </w:r>
      <w:r>
        <w:rPr>
          <w:i w:val="0"/>
          <w:iCs w:val="0"/>
        </w:rPr>
        <w:tab/>
      </w:r>
      <w:r>
        <w:rPr>
          <w:i w:val="0"/>
          <w:iCs w:val="0"/>
        </w:rPr>
        <w:fldChar w:fldCharType="begin"/>
      </w:r>
      <w:r>
        <w:rPr>
          <w:i w:val="0"/>
          <w:iCs w:val="0"/>
        </w:rPr>
        <w:instrText xml:space="preserve"> PAGEREF _Toc30239 \h </w:instrText>
      </w:r>
      <w:r>
        <w:rPr>
          <w:i w:val="0"/>
          <w:iCs w:val="0"/>
        </w:rPr>
        <w:fldChar w:fldCharType="separate"/>
      </w:r>
      <w:r>
        <w:rPr>
          <w:i w:val="0"/>
          <w:iCs w:val="0"/>
        </w:rPr>
        <w:t>- 71 -</w:t>
      </w:r>
      <w:r>
        <w:rPr>
          <w:i w:val="0"/>
          <w:iCs w:val="0"/>
        </w:rPr>
        <w:fldChar w:fldCharType="end"/>
      </w:r>
      <w:r>
        <w:rPr>
          <w:i w:val="0"/>
          <w:iCs w:val="0"/>
          <w:color w:val="auto"/>
          <w:szCs w:val="24"/>
        </w:rPr>
        <w:fldChar w:fldCharType="end"/>
      </w:r>
    </w:p>
    <w:p w14:paraId="33F30056">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_Toc17111 </w:instrText>
      </w:r>
      <w:r>
        <w:rPr>
          <w:i w:val="0"/>
          <w:iCs w:val="0"/>
          <w:szCs w:val="24"/>
        </w:rPr>
        <w:fldChar w:fldCharType="separate"/>
      </w:r>
      <w:r>
        <w:rPr>
          <w:rFonts w:ascii="Times New Roman" w:hAnsi="Times New Roman" w:eastAsia="宋体"/>
          <w:bCs/>
          <w:i w:val="0"/>
          <w:iCs w:val="0"/>
          <w:szCs w:val="28"/>
        </w:rPr>
        <w:t>3.</w:t>
      </w:r>
      <w:r>
        <w:rPr>
          <w:rFonts w:hint="eastAsia" w:ascii="Times New Roman" w:hAnsi="Times New Roman" w:eastAsia="宋体"/>
          <w:bCs/>
          <w:i w:val="0"/>
          <w:iCs w:val="0"/>
          <w:szCs w:val="28"/>
          <w:lang w:val="en-US" w:eastAsia="zh-CN"/>
        </w:rPr>
        <w:t>2</w:t>
      </w:r>
      <w:r>
        <w:rPr>
          <w:rFonts w:ascii="Times New Roman" w:hAnsi="Times New Roman" w:eastAsia="宋体"/>
          <w:bCs/>
          <w:i w:val="0"/>
          <w:iCs w:val="0"/>
          <w:szCs w:val="28"/>
        </w:rPr>
        <w:t>.2原辅材料能源消耗情况及产品方案</w:t>
      </w:r>
      <w:r>
        <w:rPr>
          <w:i w:val="0"/>
          <w:iCs w:val="0"/>
        </w:rPr>
        <w:tab/>
      </w:r>
      <w:r>
        <w:rPr>
          <w:i w:val="0"/>
          <w:iCs w:val="0"/>
        </w:rPr>
        <w:fldChar w:fldCharType="begin"/>
      </w:r>
      <w:r>
        <w:rPr>
          <w:i w:val="0"/>
          <w:iCs w:val="0"/>
        </w:rPr>
        <w:instrText xml:space="preserve"> PAGEREF _Toc17111 \h </w:instrText>
      </w:r>
      <w:r>
        <w:rPr>
          <w:i w:val="0"/>
          <w:iCs w:val="0"/>
        </w:rPr>
        <w:fldChar w:fldCharType="separate"/>
      </w:r>
      <w:r>
        <w:rPr>
          <w:i w:val="0"/>
          <w:iCs w:val="0"/>
        </w:rPr>
        <w:t>- 74 -</w:t>
      </w:r>
      <w:r>
        <w:rPr>
          <w:i w:val="0"/>
          <w:iCs w:val="0"/>
        </w:rPr>
        <w:fldChar w:fldCharType="end"/>
      </w:r>
      <w:r>
        <w:rPr>
          <w:i w:val="0"/>
          <w:iCs w:val="0"/>
          <w:color w:val="auto"/>
          <w:szCs w:val="24"/>
        </w:rPr>
        <w:fldChar w:fldCharType="end"/>
      </w:r>
    </w:p>
    <w:p w14:paraId="6567801F">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_Toc26676 </w:instrText>
      </w:r>
      <w:r>
        <w:rPr>
          <w:i w:val="0"/>
          <w:iCs w:val="0"/>
          <w:szCs w:val="24"/>
        </w:rPr>
        <w:fldChar w:fldCharType="separate"/>
      </w:r>
      <w:r>
        <w:rPr>
          <w:rFonts w:ascii="Times New Roman" w:hAnsi="Times New Roman" w:eastAsia="宋体"/>
          <w:bCs/>
          <w:i w:val="0"/>
          <w:iCs w:val="0"/>
          <w:szCs w:val="28"/>
        </w:rPr>
        <w:t>3.</w:t>
      </w:r>
      <w:r>
        <w:rPr>
          <w:rFonts w:hint="eastAsia" w:ascii="Times New Roman" w:hAnsi="Times New Roman" w:eastAsia="宋体"/>
          <w:bCs/>
          <w:i w:val="0"/>
          <w:iCs w:val="0"/>
          <w:szCs w:val="28"/>
          <w:lang w:val="en-US" w:eastAsia="zh-CN"/>
        </w:rPr>
        <w:t>2</w:t>
      </w:r>
      <w:r>
        <w:rPr>
          <w:rFonts w:ascii="Times New Roman" w:hAnsi="Times New Roman" w:eastAsia="宋体"/>
          <w:bCs/>
          <w:i w:val="0"/>
          <w:iCs w:val="0"/>
          <w:szCs w:val="28"/>
        </w:rPr>
        <w:t>.3主要生产设备</w:t>
      </w:r>
      <w:r>
        <w:rPr>
          <w:i w:val="0"/>
          <w:iCs w:val="0"/>
        </w:rPr>
        <w:tab/>
      </w:r>
      <w:r>
        <w:rPr>
          <w:i w:val="0"/>
          <w:iCs w:val="0"/>
        </w:rPr>
        <w:fldChar w:fldCharType="begin"/>
      </w:r>
      <w:r>
        <w:rPr>
          <w:i w:val="0"/>
          <w:iCs w:val="0"/>
        </w:rPr>
        <w:instrText xml:space="preserve"> PAGEREF _Toc26676 \h </w:instrText>
      </w:r>
      <w:r>
        <w:rPr>
          <w:i w:val="0"/>
          <w:iCs w:val="0"/>
        </w:rPr>
        <w:fldChar w:fldCharType="separate"/>
      </w:r>
      <w:r>
        <w:rPr>
          <w:i w:val="0"/>
          <w:iCs w:val="0"/>
        </w:rPr>
        <w:t>- 78 -</w:t>
      </w:r>
      <w:r>
        <w:rPr>
          <w:i w:val="0"/>
          <w:iCs w:val="0"/>
        </w:rPr>
        <w:fldChar w:fldCharType="end"/>
      </w:r>
      <w:r>
        <w:rPr>
          <w:i w:val="0"/>
          <w:iCs w:val="0"/>
          <w:color w:val="auto"/>
          <w:szCs w:val="24"/>
        </w:rPr>
        <w:fldChar w:fldCharType="end"/>
      </w:r>
    </w:p>
    <w:p w14:paraId="23975545">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_Toc31359 </w:instrText>
      </w:r>
      <w:r>
        <w:rPr>
          <w:i w:val="0"/>
          <w:iCs w:val="0"/>
          <w:szCs w:val="24"/>
        </w:rPr>
        <w:fldChar w:fldCharType="separate"/>
      </w:r>
      <w:r>
        <w:rPr>
          <w:rFonts w:hint="eastAsia" w:ascii="Times New Roman" w:hAnsi="Times New Roman" w:eastAsia="宋体"/>
          <w:bCs/>
          <w:i w:val="0"/>
          <w:iCs w:val="0"/>
          <w:szCs w:val="28"/>
        </w:rPr>
        <w:t>3.</w:t>
      </w:r>
      <w:r>
        <w:rPr>
          <w:rFonts w:hint="eastAsia" w:ascii="Times New Roman" w:hAnsi="Times New Roman" w:eastAsia="宋体"/>
          <w:bCs/>
          <w:i w:val="0"/>
          <w:iCs w:val="0"/>
          <w:szCs w:val="28"/>
          <w:lang w:val="en-US" w:eastAsia="zh-CN"/>
        </w:rPr>
        <w:t>2</w:t>
      </w:r>
      <w:r>
        <w:rPr>
          <w:rFonts w:hint="eastAsia" w:ascii="Times New Roman" w:hAnsi="Times New Roman" w:eastAsia="宋体"/>
          <w:bCs/>
          <w:i w:val="0"/>
          <w:iCs w:val="0"/>
          <w:szCs w:val="28"/>
        </w:rPr>
        <w:t>.4项目建构筑物情况</w:t>
      </w:r>
      <w:r>
        <w:rPr>
          <w:i w:val="0"/>
          <w:iCs w:val="0"/>
        </w:rPr>
        <w:tab/>
      </w:r>
      <w:r>
        <w:rPr>
          <w:i w:val="0"/>
          <w:iCs w:val="0"/>
        </w:rPr>
        <w:fldChar w:fldCharType="begin"/>
      </w:r>
      <w:r>
        <w:rPr>
          <w:i w:val="0"/>
          <w:iCs w:val="0"/>
        </w:rPr>
        <w:instrText xml:space="preserve"> PAGEREF _Toc31359 \h </w:instrText>
      </w:r>
      <w:r>
        <w:rPr>
          <w:i w:val="0"/>
          <w:iCs w:val="0"/>
        </w:rPr>
        <w:fldChar w:fldCharType="separate"/>
      </w:r>
      <w:r>
        <w:rPr>
          <w:i w:val="0"/>
          <w:iCs w:val="0"/>
        </w:rPr>
        <w:t>- 80 -</w:t>
      </w:r>
      <w:r>
        <w:rPr>
          <w:i w:val="0"/>
          <w:iCs w:val="0"/>
        </w:rPr>
        <w:fldChar w:fldCharType="end"/>
      </w:r>
      <w:r>
        <w:rPr>
          <w:i w:val="0"/>
          <w:iCs w:val="0"/>
          <w:color w:val="auto"/>
          <w:szCs w:val="24"/>
        </w:rPr>
        <w:fldChar w:fldCharType="end"/>
      </w:r>
    </w:p>
    <w:p w14:paraId="1038CB95">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_Toc3495 </w:instrText>
      </w:r>
      <w:r>
        <w:rPr>
          <w:i w:val="0"/>
          <w:iCs w:val="0"/>
          <w:szCs w:val="24"/>
        </w:rPr>
        <w:fldChar w:fldCharType="separate"/>
      </w:r>
      <w:r>
        <w:rPr>
          <w:rFonts w:hint="eastAsia" w:ascii="Times New Roman" w:hAnsi="Times New Roman" w:eastAsia="宋体"/>
          <w:bCs/>
          <w:i w:val="0"/>
          <w:iCs w:val="0"/>
          <w:szCs w:val="28"/>
        </w:rPr>
        <w:t>3.</w:t>
      </w:r>
      <w:r>
        <w:rPr>
          <w:rFonts w:hint="eastAsia" w:ascii="Times New Roman" w:hAnsi="Times New Roman" w:eastAsia="宋体"/>
          <w:bCs/>
          <w:i w:val="0"/>
          <w:iCs w:val="0"/>
          <w:szCs w:val="28"/>
          <w:lang w:val="en-US" w:eastAsia="zh-CN"/>
        </w:rPr>
        <w:t>2</w:t>
      </w:r>
      <w:r>
        <w:rPr>
          <w:rFonts w:hint="eastAsia" w:ascii="Times New Roman" w:hAnsi="Times New Roman" w:eastAsia="宋体"/>
          <w:bCs/>
          <w:i w:val="0"/>
          <w:iCs w:val="0"/>
          <w:szCs w:val="28"/>
        </w:rPr>
        <w:t>.5</w:t>
      </w:r>
      <w:r>
        <w:rPr>
          <w:rFonts w:hint="eastAsia" w:ascii="Times New Roman" w:hAnsi="Times New Roman" w:eastAsia="宋体"/>
          <w:bCs/>
          <w:i w:val="0"/>
          <w:iCs w:val="0"/>
          <w:szCs w:val="28"/>
          <w:lang w:eastAsia="zh-CN"/>
        </w:rPr>
        <w:t>公用工程</w:t>
      </w:r>
      <w:r>
        <w:rPr>
          <w:i w:val="0"/>
          <w:iCs w:val="0"/>
        </w:rPr>
        <w:tab/>
      </w:r>
      <w:r>
        <w:rPr>
          <w:i w:val="0"/>
          <w:iCs w:val="0"/>
        </w:rPr>
        <w:fldChar w:fldCharType="begin"/>
      </w:r>
      <w:r>
        <w:rPr>
          <w:i w:val="0"/>
          <w:iCs w:val="0"/>
        </w:rPr>
        <w:instrText xml:space="preserve"> PAGEREF _Toc3495 \h </w:instrText>
      </w:r>
      <w:r>
        <w:rPr>
          <w:i w:val="0"/>
          <w:iCs w:val="0"/>
        </w:rPr>
        <w:fldChar w:fldCharType="separate"/>
      </w:r>
      <w:r>
        <w:rPr>
          <w:i w:val="0"/>
          <w:iCs w:val="0"/>
        </w:rPr>
        <w:t>- 80 -</w:t>
      </w:r>
      <w:r>
        <w:rPr>
          <w:i w:val="0"/>
          <w:iCs w:val="0"/>
        </w:rPr>
        <w:fldChar w:fldCharType="end"/>
      </w:r>
      <w:r>
        <w:rPr>
          <w:i w:val="0"/>
          <w:iCs w:val="0"/>
          <w:color w:val="auto"/>
          <w:szCs w:val="24"/>
        </w:rPr>
        <w:fldChar w:fldCharType="end"/>
      </w:r>
    </w:p>
    <w:p w14:paraId="59DD0112">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_Toc17030 </w:instrText>
      </w:r>
      <w:r>
        <w:rPr>
          <w:i w:val="0"/>
          <w:iCs w:val="0"/>
          <w:szCs w:val="24"/>
        </w:rPr>
        <w:fldChar w:fldCharType="separate"/>
      </w:r>
      <w:r>
        <w:rPr>
          <w:rFonts w:hint="eastAsia" w:ascii="Times New Roman" w:hAnsi="Times New Roman" w:eastAsia="宋体"/>
          <w:bCs/>
          <w:i w:val="0"/>
          <w:iCs w:val="0"/>
          <w:szCs w:val="28"/>
        </w:rPr>
        <w:t>3.</w:t>
      </w:r>
      <w:r>
        <w:rPr>
          <w:rFonts w:hint="eastAsia" w:ascii="Times New Roman" w:hAnsi="Times New Roman" w:eastAsia="宋体"/>
          <w:bCs/>
          <w:i w:val="0"/>
          <w:iCs w:val="0"/>
          <w:szCs w:val="28"/>
          <w:lang w:val="en-US" w:eastAsia="zh-CN"/>
        </w:rPr>
        <w:t>2</w:t>
      </w:r>
      <w:r>
        <w:rPr>
          <w:rFonts w:hint="eastAsia" w:ascii="Times New Roman" w:hAnsi="Times New Roman" w:eastAsia="宋体"/>
          <w:bCs/>
          <w:i w:val="0"/>
          <w:iCs w:val="0"/>
          <w:szCs w:val="28"/>
        </w:rPr>
        <w:t>.5</w:t>
      </w:r>
      <w:r>
        <w:rPr>
          <w:rFonts w:ascii="Times New Roman" w:hAnsi="Times New Roman" w:eastAsia="宋体"/>
          <w:bCs/>
          <w:i w:val="0"/>
          <w:iCs w:val="0"/>
          <w:szCs w:val="28"/>
        </w:rPr>
        <w:t>总平面布置</w:t>
      </w:r>
      <w:r>
        <w:rPr>
          <w:i w:val="0"/>
          <w:iCs w:val="0"/>
        </w:rPr>
        <w:tab/>
      </w:r>
      <w:r>
        <w:rPr>
          <w:i w:val="0"/>
          <w:iCs w:val="0"/>
        </w:rPr>
        <w:fldChar w:fldCharType="begin"/>
      </w:r>
      <w:r>
        <w:rPr>
          <w:i w:val="0"/>
          <w:iCs w:val="0"/>
        </w:rPr>
        <w:instrText xml:space="preserve"> PAGEREF _Toc17030 \h </w:instrText>
      </w:r>
      <w:r>
        <w:rPr>
          <w:i w:val="0"/>
          <w:iCs w:val="0"/>
        </w:rPr>
        <w:fldChar w:fldCharType="separate"/>
      </w:r>
      <w:r>
        <w:rPr>
          <w:i w:val="0"/>
          <w:iCs w:val="0"/>
        </w:rPr>
        <w:t>- 84 -</w:t>
      </w:r>
      <w:r>
        <w:rPr>
          <w:i w:val="0"/>
          <w:iCs w:val="0"/>
        </w:rPr>
        <w:fldChar w:fldCharType="end"/>
      </w:r>
      <w:r>
        <w:rPr>
          <w:i w:val="0"/>
          <w:iCs w:val="0"/>
          <w:color w:val="auto"/>
          <w:szCs w:val="24"/>
        </w:rPr>
        <w:fldChar w:fldCharType="end"/>
      </w:r>
    </w:p>
    <w:p w14:paraId="4DACB810">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_Toc13204 </w:instrText>
      </w:r>
      <w:r>
        <w:rPr>
          <w:i w:val="0"/>
          <w:iCs w:val="0"/>
          <w:szCs w:val="24"/>
        </w:rPr>
        <w:fldChar w:fldCharType="separate"/>
      </w:r>
      <w:r>
        <w:rPr>
          <w:rFonts w:eastAsia="宋体"/>
          <w:bCs/>
          <w:i w:val="0"/>
          <w:iCs w:val="0"/>
          <w:szCs w:val="28"/>
          <w:highlight w:val="none"/>
        </w:rPr>
        <w:t>3.</w:t>
      </w:r>
      <w:r>
        <w:rPr>
          <w:rFonts w:hint="eastAsia" w:eastAsia="宋体"/>
          <w:bCs/>
          <w:i w:val="0"/>
          <w:iCs w:val="0"/>
          <w:szCs w:val="28"/>
          <w:highlight w:val="none"/>
        </w:rPr>
        <w:t>3</w:t>
      </w:r>
      <w:r>
        <w:rPr>
          <w:rFonts w:eastAsia="宋体"/>
          <w:i w:val="0"/>
          <w:iCs w:val="0"/>
          <w:szCs w:val="28"/>
          <w:highlight w:val="none"/>
        </w:rPr>
        <w:t>工程分析</w:t>
      </w:r>
      <w:r>
        <w:rPr>
          <w:i w:val="0"/>
          <w:iCs w:val="0"/>
        </w:rPr>
        <w:tab/>
      </w:r>
      <w:r>
        <w:rPr>
          <w:i w:val="0"/>
          <w:iCs w:val="0"/>
        </w:rPr>
        <w:fldChar w:fldCharType="begin"/>
      </w:r>
      <w:r>
        <w:rPr>
          <w:i w:val="0"/>
          <w:iCs w:val="0"/>
        </w:rPr>
        <w:instrText xml:space="preserve"> PAGEREF _Toc13204 \h </w:instrText>
      </w:r>
      <w:r>
        <w:rPr>
          <w:i w:val="0"/>
          <w:iCs w:val="0"/>
        </w:rPr>
        <w:fldChar w:fldCharType="separate"/>
      </w:r>
      <w:r>
        <w:rPr>
          <w:i w:val="0"/>
          <w:iCs w:val="0"/>
        </w:rPr>
        <w:t>- 85 -</w:t>
      </w:r>
      <w:r>
        <w:rPr>
          <w:i w:val="0"/>
          <w:iCs w:val="0"/>
        </w:rPr>
        <w:fldChar w:fldCharType="end"/>
      </w:r>
      <w:r>
        <w:rPr>
          <w:i w:val="0"/>
          <w:iCs w:val="0"/>
          <w:color w:val="auto"/>
          <w:szCs w:val="24"/>
        </w:rPr>
        <w:fldChar w:fldCharType="end"/>
      </w:r>
    </w:p>
    <w:p w14:paraId="4FA3E624">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_Toc24921 </w:instrText>
      </w:r>
      <w:r>
        <w:rPr>
          <w:i w:val="0"/>
          <w:iCs w:val="0"/>
          <w:szCs w:val="24"/>
        </w:rPr>
        <w:fldChar w:fldCharType="separate"/>
      </w:r>
      <w:r>
        <w:rPr>
          <w:rFonts w:ascii="Times New Roman" w:hAnsi="Times New Roman" w:eastAsia="宋体"/>
          <w:bCs/>
          <w:i w:val="0"/>
          <w:iCs w:val="0"/>
          <w:szCs w:val="28"/>
          <w:highlight w:val="none"/>
        </w:rPr>
        <w:t>3.</w:t>
      </w:r>
      <w:r>
        <w:rPr>
          <w:rFonts w:hint="eastAsia" w:ascii="Times New Roman" w:hAnsi="Times New Roman" w:eastAsia="宋体"/>
          <w:bCs/>
          <w:i w:val="0"/>
          <w:iCs w:val="0"/>
          <w:szCs w:val="28"/>
          <w:highlight w:val="none"/>
        </w:rPr>
        <w:t>3</w:t>
      </w:r>
      <w:r>
        <w:rPr>
          <w:rFonts w:ascii="Times New Roman" w:hAnsi="Times New Roman" w:eastAsia="宋体"/>
          <w:bCs/>
          <w:i w:val="0"/>
          <w:iCs w:val="0"/>
          <w:szCs w:val="28"/>
          <w:highlight w:val="none"/>
        </w:rPr>
        <w:t>.1施工期工艺</w:t>
      </w:r>
      <w:r>
        <w:rPr>
          <w:i w:val="0"/>
          <w:iCs w:val="0"/>
        </w:rPr>
        <w:tab/>
      </w:r>
      <w:r>
        <w:rPr>
          <w:i w:val="0"/>
          <w:iCs w:val="0"/>
        </w:rPr>
        <w:fldChar w:fldCharType="begin"/>
      </w:r>
      <w:r>
        <w:rPr>
          <w:i w:val="0"/>
          <w:iCs w:val="0"/>
        </w:rPr>
        <w:instrText xml:space="preserve"> PAGEREF _Toc24921 \h </w:instrText>
      </w:r>
      <w:r>
        <w:rPr>
          <w:i w:val="0"/>
          <w:iCs w:val="0"/>
        </w:rPr>
        <w:fldChar w:fldCharType="separate"/>
      </w:r>
      <w:r>
        <w:rPr>
          <w:i w:val="0"/>
          <w:iCs w:val="0"/>
        </w:rPr>
        <w:t>- 85 -</w:t>
      </w:r>
      <w:r>
        <w:rPr>
          <w:i w:val="0"/>
          <w:iCs w:val="0"/>
        </w:rPr>
        <w:fldChar w:fldCharType="end"/>
      </w:r>
      <w:r>
        <w:rPr>
          <w:i w:val="0"/>
          <w:iCs w:val="0"/>
          <w:color w:val="auto"/>
          <w:szCs w:val="24"/>
        </w:rPr>
        <w:fldChar w:fldCharType="end"/>
      </w:r>
    </w:p>
    <w:p w14:paraId="0C218601">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_Toc1392 </w:instrText>
      </w:r>
      <w:r>
        <w:rPr>
          <w:i w:val="0"/>
          <w:iCs w:val="0"/>
          <w:szCs w:val="24"/>
        </w:rPr>
        <w:fldChar w:fldCharType="separate"/>
      </w:r>
      <w:r>
        <w:rPr>
          <w:rFonts w:ascii="Times New Roman" w:hAnsi="Times New Roman" w:eastAsia="宋体"/>
          <w:bCs/>
          <w:i w:val="0"/>
          <w:iCs w:val="0"/>
          <w:szCs w:val="28"/>
        </w:rPr>
        <w:t>3.</w:t>
      </w:r>
      <w:r>
        <w:rPr>
          <w:rFonts w:hint="eastAsia" w:ascii="Times New Roman" w:hAnsi="Times New Roman" w:eastAsia="宋体"/>
          <w:bCs/>
          <w:i w:val="0"/>
          <w:iCs w:val="0"/>
          <w:szCs w:val="28"/>
        </w:rPr>
        <w:t>3</w:t>
      </w:r>
      <w:r>
        <w:rPr>
          <w:rFonts w:ascii="Times New Roman" w:hAnsi="Times New Roman" w:eastAsia="宋体"/>
          <w:bCs/>
          <w:i w:val="0"/>
          <w:iCs w:val="0"/>
          <w:szCs w:val="28"/>
        </w:rPr>
        <w:t>.2运营期工艺</w:t>
      </w:r>
      <w:r>
        <w:rPr>
          <w:i w:val="0"/>
          <w:iCs w:val="0"/>
        </w:rPr>
        <w:tab/>
      </w:r>
      <w:r>
        <w:rPr>
          <w:i w:val="0"/>
          <w:iCs w:val="0"/>
        </w:rPr>
        <w:fldChar w:fldCharType="begin"/>
      </w:r>
      <w:r>
        <w:rPr>
          <w:i w:val="0"/>
          <w:iCs w:val="0"/>
        </w:rPr>
        <w:instrText xml:space="preserve"> PAGEREF _Toc1392 \h </w:instrText>
      </w:r>
      <w:r>
        <w:rPr>
          <w:i w:val="0"/>
          <w:iCs w:val="0"/>
        </w:rPr>
        <w:fldChar w:fldCharType="separate"/>
      </w:r>
      <w:r>
        <w:rPr>
          <w:i w:val="0"/>
          <w:iCs w:val="0"/>
        </w:rPr>
        <w:t>- 86 -</w:t>
      </w:r>
      <w:r>
        <w:rPr>
          <w:i w:val="0"/>
          <w:iCs w:val="0"/>
        </w:rPr>
        <w:fldChar w:fldCharType="end"/>
      </w:r>
      <w:r>
        <w:rPr>
          <w:i w:val="0"/>
          <w:iCs w:val="0"/>
          <w:color w:val="auto"/>
          <w:szCs w:val="24"/>
        </w:rPr>
        <w:fldChar w:fldCharType="end"/>
      </w:r>
    </w:p>
    <w:p w14:paraId="1AE86806">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_Toc16490 </w:instrText>
      </w:r>
      <w:r>
        <w:rPr>
          <w:i w:val="0"/>
          <w:iCs w:val="0"/>
          <w:szCs w:val="24"/>
        </w:rPr>
        <w:fldChar w:fldCharType="separate"/>
      </w:r>
      <w:r>
        <w:rPr>
          <w:rFonts w:eastAsia="宋体"/>
          <w:i w:val="0"/>
          <w:iCs w:val="0"/>
          <w:szCs w:val="30"/>
        </w:rPr>
        <w:t>3.</w:t>
      </w:r>
      <w:r>
        <w:rPr>
          <w:rFonts w:hint="eastAsia" w:eastAsia="宋体"/>
          <w:i w:val="0"/>
          <w:iCs w:val="0"/>
          <w:szCs w:val="30"/>
        </w:rPr>
        <w:t>4</w:t>
      </w:r>
      <w:r>
        <w:rPr>
          <w:rFonts w:eastAsia="宋体"/>
          <w:i w:val="0"/>
          <w:iCs w:val="0"/>
          <w:szCs w:val="30"/>
        </w:rPr>
        <w:t>污染源分析</w:t>
      </w:r>
      <w:r>
        <w:rPr>
          <w:i w:val="0"/>
          <w:iCs w:val="0"/>
        </w:rPr>
        <w:tab/>
      </w:r>
      <w:r>
        <w:rPr>
          <w:i w:val="0"/>
          <w:iCs w:val="0"/>
        </w:rPr>
        <w:fldChar w:fldCharType="begin"/>
      </w:r>
      <w:r>
        <w:rPr>
          <w:i w:val="0"/>
          <w:iCs w:val="0"/>
        </w:rPr>
        <w:instrText xml:space="preserve"> PAGEREF _Toc16490 \h </w:instrText>
      </w:r>
      <w:r>
        <w:rPr>
          <w:i w:val="0"/>
          <w:iCs w:val="0"/>
        </w:rPr>
        <w:fldChar w:fldCharType="separate"/>
      </w:r>
      <w:r>
        <w:rPr>
          <w:i w:val="0"/>
          <w:iCs w:val="0"/>
        </w:rPr>
        <w:t>- 94 -</w:t>
      </w:r>
      <w:r>
        <w:rPr>
          <w:i w:val="0"/>
          <w:iCs w:val="0"/>
        </w:rPr>
        <w:fldChar w:fldCharType="end"/>
      </w:r>
      <w:r>
        <w:rPr>
          <w:i w:val="0"/>
          <w:iCs w:val="0"/>
          <w:color w:val="auto"/>
          <w:szCs w:val="24"/>
        </w:rPr>
        <w:fldChar w:fldCharType="end"/>
      </w:r>
    </w:p>
    <w:p w14:paraId="06298815">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_Toc19307 </w:instrText>
      </w:r>
      <w:r>
        <w:rPr>
          <w:i w:val="0"/>
          <w:iCs w:val="0"/>
          <w:szCs w:val="24"/>
        </w:rPr>
        <w:fldChar w:fldCharType="separate"/>
      </w:r>
      <w:r>
        <w:rPr>
          <w:rFonts w:ascii="Times New Roman" w:hAnsi="Times New Roman" w:eastAsia="宋体"/>
          <w:bCs/>
          <w:i w:val="0"/>
          <w:iCs w:val="0"/>
          <w:szCs w:val="28"/>
        </w:rPr>
        <w:t>3.</w:t>
      </w:r>
      <w:r>
        <w:rPr>
          <w:rFonts w:hint="eastAsia" w:ascii="Times New Roman" w:hAnsi="Times New Roman" w:eastAsia="宋体"/>
          <w:bCs/>
          <w:i w:val="0"/>
          <w:iCs w:val="0"/>
          <w:szCs w:val="28"/>
        </w:rPr>
        <w:t>4</w:t>
      </w:r>
      <w:r>
        <w:rPr>
          <w:rFonts w:ascii="Times New Roman" w:hAnsi="Times New Roman" w:eastAsia="宋体"/>
          <w:bCs/>
          <w:i w:val="0"/>
          <w:iCs w:val="0"/>
          <w:szCs w:val="28"/>
        </w:rPr>
        <w:t>.1施工期污染源分析</w:t>
      </w:r>
      <w:r>
        <w:rPr>
          <w:i w:val="0"/>
          <w:iCs w:val="0"/>
        </w:rPr>
        <w:tab/>
      </w:r>
      <w:r>
        <w:rPr>
          <w:i w:val="0"/>
          <w:iCs w:val="0"/>
        </w:rPr>
        <w:fldChar w:fldCharType="begin"/>
      </w:r>
      <w:r>
        <w:rPr>
          <w:i w:val="0"/>
          <w:iCs w:val="0"/>
        </w:rPr>
        <w:instrText xml:space="preserve"> PAGEREF _Toc19307 \h </w:instrText>
      </w:r>
      <w:r>
        <w:rPr>
          <w:i w:val="0"/>
          <w:iCs w:val="0"/>
        </w:rPr>
        <w:fldChar w:fldCharType="separate"/>
      </w:r>
      <w:r>
        <w:rPr>
          <w:i w:val="0"/>
          <w:iCs w:val="0"/>
        </w:rPr>
        <w:t>- 94 -</w:t>
      </w:r>
      <w:r>
        <w:rPr>
          <w:i w:val="0"/>
          <w:iCs w:val="0"/>
        </w:rPr>
        <w:fldChar w:fldCharType="end"/>
      </w:r>
      <w:r>
        <w:rPr>
          <w:i w:val="0"/>
          <w:iCs w:val="0"/>
          <w:color w:val="auto"/>
          <w:szCs w:val="24"/>
        </w:rPr>
        <w:fldChar w:fldCharType="end"/>
      </w:r>
    </w:p>
    <w:p w14:paraId="0874A2C3">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_Toc8591 </w:instrText>
      </w:r>
      <w:r>
        <w:rPr>
          <w:i w:val="0"/>
          <w:iCs w:val="0"/>
          <w:szCs w:val="24"/>
        </w:rPr>
        <w:fldChar w:fldCharType="separate"/>
      </w:r>
      <w:r>
        <w:rPr>
          <w:rFonts w:ascii="Times New Roman" w:hAnsi="Times New Roman" w:eastAsia="宋体"/>
          <w:bCs/>
          <w:i w:val="0"/>
          <w:iCs w:val="0"/>
          <w:szCs w:val="28"/>
        </w:rPr>
        <w:t>3.</w:t>
      </w:r>
      <w:r>
        <w:rPr>
          <w:rFonts w:hint="eastAsia" w:ascii="Times New Roman" w:hAnsi="Times New Roman" w:eastAsia="宋体"/>
          <w:bCs/>
          <w:i w:val="0"/>
          <w:iCs w:val="0"/>
          <w:szCs w:val="28"/>
        </w:rPr>
        <w:t>4</w:t>
      </w:r>
      <w:r>
        <w:rPr>
          <w:rFonts w:ascii="Times New Roman" w:hAnsi="Times New Roman" w:eastAsia="宋体"/>
          <w:bCs/>
          <w:i w:val="0"/>
          <w:iCs w:val="0"/>
          <w:szCs w:val="28"/>
        </w:rPr>
        <w:t>.2营运期污染源分析</w:t>
      </w:r>
      <w:r>
        <w:rPr>
          <w:i w:val="0"/>
          <w:iCs w:val="0"/>
        </w:rPr>
        <w:tab/>
      </w:r>
      <w:r>
        <w:rPr>
          <w:i w:val="0"/>
          <w:iCs w:val="0"/>
        </w:rPr>
        <w:fldChar w:fldCharType="begin"/>
      </w:r>
      <w:r>
        <w:rPr>
          <w:i w:val="0"/>
          <w:iCs w:val="0"/>
        </w:rPr>
        <w:instrText xml:space="preserve"> PAGEREF _Toc8591 \h </w:instrText>
      </w:r>
      <w:r>
        <w:rPr>
          <w:i w:val="0"/>
          <w:iCs w:val="0"/>
        </w:rPr>
        <w:fldChar w:fldCharType="separate"/>
      </w:r>
      <w:r>
        <w:rPr>
          <w:i w:val="0"/>
          <w:iCs w:val="0"/>
        </w:rPr>
        <w:t>- 99 -</w:t>
      </w:r>
      <w:r>
        <w:rPr>
          <w:i w:val="0"/>
          <w:iCs w:val="0"/>
        </w:rPr>
        <w:fldChar w:fldCharType="end"/>
      </w:r>
      <w:r>
        <w:rPr>
          <w:i w:val="0"/>
          <w:iCs w:val="0"/>
          <w:color w:val="auto"/>
          <w:szCs w:val="24"/>
        </w:rPr>
        <w:fldChar w:fldCharType="end"/>
      </w:r>
    </w:p>
    <w:p w14:paraId="19147122">
      <w:pPr>
        <w:pStyle w:val="38"/>
        <w:tabs>
          <w:tab w:val="right" w:leader="dot" w:pos="8312"/>
        </w:tabs>
        <w:rPr>
          <w:i w:val="0"/>
          <w:iCs w:val="0"/>
        </w:rPr>
      </w:pPr>
      <w:r>
        <w:rPr>
          <w:i w:val="0"/>
          <w:iCs w:val="0"/>
          <w:color w:val="auto"/>
          <w:szCs w:val="24"/>
        </w:rPr>
        <w:fldChar w:fldCharType="begin"/>
      </w:r>
      <w:r>
        <w:rPr>
          <w:i w:val="0"/>
          <w:iCs w:val="0"/>
          <w:szCs w:val="24"/>
        </w:rPr>
        <w:instrText xml:space="preserve"> HYPERLINK \l _Toc30944 </w:instrText>
      </w:r>
      <w:r>
        <w:rPr>
          <w:i w:val="0"/>
          <w:iCs w:val="0"/>
          <w:szCs w:val="24"/>
        </w:rPr>
        <w:fldChar w:fldCharType="separate"/>
      </w:r>
      <w:r>
        <w:rPr>
          <w:rFonts w:ascii="Times New Roman" w:eastAsia="宋体"/>
          <w:bCs/>
          <w:i w:val="0"/>
          <w:iCs w:val="0"/>
          <w:szCs w:val="32"/>
        </w:rPr>
        <w:t>4、</w:t>
      </w:r>
      <w:r>
        <w:rPr>
          <w:rFonts w:ascii="Times New Roman" w:eastAsia="宋体"/>
          <w:i w:val="0"/>
          <w:iCs w:val="0"/>
          <w:szCs w:val="32"/>
        </w:rPr>
        <w:t>环境现状调查与评价</w:t>
      </w:r>
      <w:r>
        <w:rPr>
          <w:i w:val="0"/>
          <w:iCs w:val="0"/>
        </w:rPr>
        <w:tab/>
      </w:r>
      <w:r>
        <w:rPr>
          <w:i w:val="0"/>
          <w:iCs w:val="0"/>
        </w:rPr>
        <w:fldChar w:fldCharType="begin"/>
      </w:r>
      <w:r>
        <w:rPr>
          <w:i w:val="0"/>
          <w:iCs w:val="0"/>
        </w:rPr>
        <w:instrText xml:space="preserve"> PAGEREF _Toc30944 \h </w:instrText>
      </w:r>
      <w:r>
        <w:rPr>
          <w:i w:val="0"/>
          <w:iCs w:val="0"/>
        </w:rPr>
        <w:fldChar w:fldCharType="separate"/>
      </w:r>
      <w:r>
        <w:rPr>
          <w:i w:val="0"/>
          <w:iCs w:val="0"/>
        </w:rPr>
        <w:t>- 118 -</w:t>
      </w:r>
      <w:r>
        <w:rPr>
          <w:i w:val="0"/>
          <w:iCs w:val="0"/>
        </w:rPr>
        <w:fldChar w:fldCharType="end"/>
      </w:r>
      <w:r>
        <w:rPr>
          <w:i w:val="0"/>
          <w:iCs w:val="0"/>
          <w:color w:val="auto"/>
          <w:szCs w:val="24"/>
        </w:rPr>
        <w:fldChar w:fldCharType="end"/>
      </w:r>
    </w:p>
    <w:p w14:paraId="3977E116">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_Toc26659 </w:instrText>
      </w:r>
      <w:r>
        <w:rPr>
          <w:i w:val="0"/>
          <w:iCs w:val="0"/>
          <w:szCs w:val="24"/>
        </w:rPr>
        <w:fldChar w:fldCharType="separate"/>
      </w:r>
      <w:r>
        <w:rPr>
          <w:i w:val="0"/>
          <w:iCs w:val="0"/>
        </w:rPr>
        <w:t>4.1自然环境状况</w:t>
      </w:r>
      <w:r>
        <w:rPr>
          <w:i w:val="0"/>
          <w:iCs w:val="0"/>
        </w:rPr>
        <w:tab/>
      </w:r>
      <w:r>
        <w:rPr>
          <w:i w:val="0"/>
          <w:iCs w:val="0"/>
        </w:rPr>
        <w:fldChar w:fldCharType="begin"/>
      </w:r>
      <w:r>
        <w:rPr>
          <w:i w:val="0"/>
          <w:iCs w:val="0"/>
        </w:rPr>
        <w:instrText xml:space="preserve"> PAGEREF _Toc26659 \h </w:instrText>
      </w:r>
      <w:r>
        <w:rPr>
          <w:i w:val="0"/>
          <w:iCs w:val="0"/>
        </w:rPr>
        <w:fldChar w:fldCharType="separate"/>
      </w:r>
      <w:r>
        <w:rPr>
          <w:i w:val="0"/>
          <w:iCs w:val="0"/>
        </w:rPr>
        <w:t>- 118 -</w:t>
      </w:r>
      <w:r>
        <w:rPr>
          <w:i w:val="0"/>
          <w:iCs w:val="0"/>
        </w:rPr>
        <w:fldChar w:fldCharType="end"/>
      </w:r>
      <w:r>
        <w:rPr>
          <w:i w:val="0"/>
          <w:iCs w:val="0"/>
          <w:color w:val="auto"/>
          <w:szCs w:val="24"/>
        </w:rPr>
        <w:fldChar w:fldCharType="end"/>
      </w:r>
    </w:p>
    <w:p w14:paraId="4FA22C20">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_Toc29543 </w:instrText>
      </w:r>
      <w:r>
        <w:rPr>
          <w:i w:val="0"/>
          <w:iCs w:val="0"/>
          <w:szCs w:val="24"/>
        </w:rPr>
        <w:fldChar w:fldCharType="separate"/>
      </w:r>
      <w:r>
        <w:rPr>
          <w:i w:val="0"/>
          <w:iCs w:val="0"/>
        </w:rPr>
        <w:t>4.1.1建设项目地理位置</w:t>
      </w:r>
      <w:r>
        <w:rPr>
          <w:i w:val="0"/>
          <w:iCs w:val="0"/>
        </w:rPr>
        <w:tab/>
      </w:r>
      <w:r>
        <w:rPr>
          <w:i w:val="0"/>
          <w:iCs w:val="0"/>
        </w:rPr>
        <w:fldChar w:fldCharType="begin"/>
      </w:r>
      <w:r>
        <w:rPr>
          <w:i w:val="0"/>
          <w:iCs w:val="0"/>
        </w:rPr>
        <w:instrText xml:space="preserve"> PAGEREF _Toc29543 \h </w:instrText>
      </w:r>
      <w:r>
        <w:rPr>
          <w:i w:val="0"/>
          <w:iCs w:val="0"/>
        </w:rPr>
        <w:fldChar w:fldCharType="separate"/>
      </w:r>
      <w:r>
        <w:rPr>
          <w:i w:val="0"/>
          <w:iCs w:val="0"/>
        </w:rPr>
        <w:t>- 118 -</w:t>
      </w:r>
      <w:r>
        <w:rPr>
          <w:i w:val="0"/>
          <w:iCs w:val="0"/>
        </w:rPr>
        <w:fldChar w:fldCharType="end"/>
      </w:r>
      <w:r>
        <w:rPr>
          <w:i w:val="0"/>
          <w:iCs w:val="0"/>
          <w:color w:val="auto"/>
          <w:szCs w:val="24"/>
        </w:rPr>
        <w:fldChar w:fldCharType="end"/>
      </w:r>
    </w:p>
    <w:p w14:paraId="7A2C7712">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_Toc23653 </w:instrText>
      </w:r>
      <w:r>
        <w:rPr>
          <w:i w:val="0"/>
          <w:iCs w:val="0"/>
          <w:szCs w:val="24"/>
        </w:rPr>
        <w:fldChar w:fldCharType="separate"/>
      </w:r>
      <w:r>
        <w:rPr>
          <w:i w:val="0"/>
          <w:iCs w:val="0"/>
        </w:rPr>
        <w:t>4.1.2水文</w:t>
      </w:r>
      <w:r>
        <w:rPr>
          <w:i w:val="0"/>
          <w:iCs w:val="0"/>
        </w:rPr>
        <w:tab/>
      </w:r>
      <w:r>
        <w:rPr>
          <w:i w:val="0"/>
          <w:iCs w:val="0"/>
        </w:rPr>
        <w:fldChar w:fldCharType="begin"/>
      </w:r>
      <w:r>
        <w:rPr>
          <w:i w:val="0"/>
          <w:iCs w:val="0"/>
        </w:rPr>
        <w:instrText xml:space="preserve"> PAGEREF _Toc23653 \h </w:instrText>
      </w:r>
      <w:r>
        <w:rPr>
          <w:i w:val="0"/>
          <w:iCs w:val="0"/>
        </w:rPr>
        <w:fldChar w:fldCharType="separate"/>
      </w:r>
      <w:r>
        <w:rPr>
          <w:i w:val="0"/>
          <w:iCs w:val="0"/>
        </w:rPr>
        <w:t>- 118 -</w:t>
      </w:r>
      <w:r>
        <w:rPr>
          <w:i w:val="0"/>
          <w:iCs w:val="0"/>
        </w:rPr>
        <w:fldChar w:fldCharType="end"/>
      </w:r>
      <w:r>
        <w:rPr>
          <w:i w:val="0"/>
          <w:iCs w:val="0"/>
          <w:color w:val="auto"/>
          <w:szCs w:val="24"/>
        </w:rPr>
        <w:fldChar w:fldCharType="end"/>
      </w:r>
    </w:p>
    <w:p w14:paraId="2160CE7F">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_Toc32572 </w:instrText>
      </w:r>
      <w:r>
        <w:rPr>
          <w:i w:val="0"/>
          <w:iCs w:val="0"/>
          <w:szCs w:val="24"/>
        </w:rPr>
        <w:fldChar w:fldCharType="separate"/>
      </w:r>
      <w:r>
        <w:rPr>
          <w:i w:val="0"/>
          <w:iCs w:val="0"/>
        </w:rPr>
        <w:t>4.1.3气象气候</w:t>
      </w:r>
      <w:r>
        <w:rPr>
          <w:i w:val="0"/>
          <w:iCs w:val="0"/>
        </w:rPr>
        <w:tab/>
      </w:r>
      <w:r>
        <w:rPr>
          <w:i w:val="0"/>
          <w:iCs w:val="0"/>
        </w:rPr>
        <w:fldChar w:fldCharType="begin"/>
      </w:r>
      <w:r>
        <w:rPr>
          <w:i w:val="0"/>
          <w:iCs w:val="0"/>
        </w:rPr>
        <w:instrText xml:space="preserve"> PAGEREF _Toc32572 \h </w:instrText>
      </w:r>
      <w:r>
        <w:rPr>
          <w:i w:val="0"/>
          <w:iCs w:val="0"/>
        </w:rPr>
        <w:fldChar w:fldCharType="separate"/>
      </w:r>
      <w:r>
        <w:rPr>
          <w:i w:val="0"/>
          <w:iCs w:val="0"/>
        </w:rPr>
        <w:t>- 118 -</w:t>
      </w:r>
      <w:r>
        <w:rPr>
          <w:i w:val="0"/>
          <w:iCs w:val="0"/>
        </w:rPr>
        <w:fldChar w:fldCharType="end"/>
      </w:r>
      <w:r>
        <w:rPr>
          <w:i w:val="0"/>
          <w:iCs w:val="0"/>
          <w:color w:val="auto"/>
          <w:szCs w:val="24"/>
        </w:rPr>
        <w:fldChar w:fldCharType="end"/>
      </w:r>
    </w:p>
    <w:p w14:paraId="62980B18">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_Toc17073 </w:instrText>
      </w:r>
      <w:r>
        <w:rPr>
          <w:i w:val="0"/>
          <w:iCs w:val="0"/>
          <w:szCs w:val="24"/>
        </w:rPr>
        <w:fldChar w:fldCharType="separate"/>
      </w:r>
      <w:r>
        <w:rPr>
          <w:i w:val="0"/>
          <w:iCs w:val="0"/>
        </w:rPr>
        <w:t>4.1.4地形、地貌、地质</w:t>
      </w:r>
      <w:r>
        <w:rPr>
          <w:i w:val="0"/>
          <w:iCs w:val="0"/>
        </w:rPr>
        <w:tab/>
      </w:r>
      <w:r>
        <w:rPr>
          <w:i w:val="0"/>
          <w:iCs w:val="0"/>
        </w:rPr>
        <w:fldChar w:fldCharType="begin"/>
      </w:r>
      <w:r>
        <w:rPr>
          <w:i w:val="0"/>
          <w:iCs w:val="0"/>
        </w:rPr>
        <w:instrText xml:space="preserve"> PAGEREF _Toc17073 \h </w:instrText>
      </w:r>
      <w:r>
        <w:rPr>
          <w:i w:val="0"/>
          <w:iCs w:val="0"/>
        </w:rPr>
        <w:fldChar w:fldCharType="separate"/>
      </w:r>
      <w:r>
        <w:rPr>
          <w:i w:val="0"/>
          <w:iCs w:val="0"/>
        </w:rPr>
        <w:t>- 119 -</w:t>
      </w:r>
      <w:r>
        <w:rPr>
          <w:i w:val="0"/>
          <w:iCs w:val="0"/>
        </w:rPr>
        <w:fldChar w:fldCharType="end"/>
      </w:r>
      <w:r>
        <w:rPr>
          <w:i w:val="0"/>
          <w:iCs w:val="0"/>
          <w:color w:val="auto"/>
          <w:szCs w:val="24"/>
        </w:rPr>
        <w:fldChar w:fldCharType="end"/>
      </w:r>
    </w:p>
    <w:p w14:paraId="3F77D724">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_Toc25625 </w:instrText>
      </w:r>
      <w:r>
        <w:rPr>
          <w:i w:val="0"/>
          <w:iCs w:val="0"/>
          <w:szCs w:val="24"/>
        </w:rPr>
        <w:fldChar w:fldCharType="separate"/>
      </w:r>
      <w:r>
        <w:rPr>
          <w:i w:val="0"/>
          <w:iCs w:val="0"/>
        </w:rPr>
        <w:t>4.1.5植被、生物多样性</w:t>
      </w:r>
      <w:r>
        <w:rPr>
          <w:i w:val="0"/>
          <w:iCs w:val="0"/>
        </w:rPr>
        <w:tab/>
      </w:r>
      <w:r>
        <w:rPr>
          <w:i w:val="0"/>
          <w:iCs w:val="0"/>
        </w:rPr>
        <w:fldChar w:fldCharType="begin"/>
      </w:r>
      <w:r>
        <w:rPr>
          <w:i w:val="0"/>
          <w:iCs w:val="0"/>
        </w:rPr>
        <w:instrText xml:space="preserve"> PAGEREF _Toc25625 \h </w:instrText>
      </w:r>
      <w:r>
        <w:rPr>
          <w:i w:val="0"/>
          <w:iCs w:val="0"/>
        </w:rPr>
        <w:fldChar w:fldCharType="separate"/>
      </w:r>
      <w:r>
        <w:rPr>
          <w:i w:val="0"/>
          <w:iCs w:val="0"/>
        </w:rPr>
        <w:t>- 120 -</w:t>
      </w:r>
      <w:r>
        <w:rPr>
          <w:i w:val="0"/>
          <w:iCs w:val="0"/>
        </w:rPr>
        <w:fldChar w:fldCharType="end"/>
      </w:r>
      <w:r>
        <w:rPr>
          <w:i w:val="0"/>
          <w:iCs w:val="0"/>
          <w:color w:val="auto"/>
          <w:szCs w:val="24"/>
        </w:rPr>
        <w:fldChar w:fldCharType="end"/>
      </w:r>
    </w:p>
    <w:p w14:paraId="4DAD328E">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_Toc11641 </w:instrText>
      </w:r>
      <w:r>
        <w:rPr>
          <w:i w:val="0"/>
          <w:iCs w:val="0"/>
          <w:szCs w:val="24"/>
        </w:rPr>
        <w:fldChar w:fldCharType="separate"/>
      </w:r>
      <w:r>
        <w:rPr>
          <w:i w:val="0"/>
          <w:iCs w:val="0"/>
        </w:rPr>
        <w:t>4.1.6土壤环境现状</w:t>
      </w:r>
      <w:r>
        <w:rPr>
          <w:i w:val="0"/>
          <w:iCs w:val="0"/>
        </w:rPr>
        <w:tab/>
      </w:r>
      <w:r>
        <w:rPr>
          <w:i w:val="0"/>
          <w:iCs w:val="0"/>
        </w:rPr>
        <w:fldChar w:fldCharType="begin"/>
      </w:r>
      <w:r>
        <w:rPr>
          <w:i w:val="0"/>
          <w:iCs w:val="0"/>
        </w:rPr>
        <w:instrText xml:space="preserve"> PAGEREF _Toc11641 \h </w:instrText>
      </w:r>
      <w:r>
        <w:rPr>
          <w:i w:val="0"/>
          <w:iCs w:val="0"/>
        </w:rPr>
        <w:fldChar w:fldCharType="separate"/>
      </w:r>
      <w:r>
        <w:rPr>
          <w:i w:val="0"/>
          <w:iCs w:val="0"/>
        </w:rPr>
        <w:t>- 120 -</w:t>
      </w:r>
      <w:r>
        <w:rPr>
          <w:i w:val="0"/>
          <w:iCs w:val="0"/>
        </w:rPr>
        <w:fldChar w:fldCharType="end"/>
      </w:r>
      <w:r>
        <w:rPr>
          <w:i w:val="0"/>
          <w:iCs w:val="0"/>
          <w:color w:val="auto"/>
          <w:szCs w:val="24"/>
        </w:rPr>
        <w:fldChar w:fldCharType="end"/>
      </w:r>
    </w:p>
    <w:p w14:paraId="52D2791D">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_Toc13757 </w:instrText>
      </w:r>
      <w:r>
        <w:rPr>
          <w:i w:val="0"/>
          <w:iCs w:val="0"/>
          <w:szCs w:val="24"/>
        </w:rPr>
        <w:fldChar w:fldCharType="separate"/>
      </w:r>
      <w:r>
        <w:rPr>
          <w:rFonts w:hint="eastAsia" w:ascii="Times New Roman" w:hAnsi="Times New Roman" w:eastAsia="宋体" w:cs="Times New Roman"/>
          <w:i w:val="0"/>
          <w:iCs w:val="0"/>
        </w:rPr>
        <w:t>4.1.</w:t>
      </w:r>
      <w:r>
        <w:rPr>
          <w:rFonts w:hint="eastAsia" w:ascii="Times New Roman" w:hAnsi="Times New Roman" w:eastAsia="宋体" w:cs="Times New Roman"/>
          <w:i w:val="0"/>
          <w:iCs w:val="0"/>
          <w:lang w:val="en-US" w:eastAsia="zh-CN"/>
        </w:rPr>
        <w:t>7</w:t>
      </w:r>
      <w:r>
        <w:rPr>
          <w:rFonts w:hint="eastAsia" w:ascii="Times New Roman" w:hAnsi="Times New Roman" w:eastAsia="宋体" w:cs="Times New Roman"/>
          <w:i w:val="0"/>
          <w:iCs w:val="0"/>
        </w:rPr>
        <w:t>水文地质</w:t>
      </w:r>
      <w:r>
        <w:rPr>
          <w:i w:val="0"/>
          <w:iCs w:val="0"/>
        </w:rPr>
        <w:tab/>
      </w:r>
      <w:r>
        <w:rPr>
          <w:i w:val="0"/>
          <w:iCs w:val="0"/>
        </w:rPr>
        <w:fldChar w:fldCharType="begin"/>
      </w:r>
      <w:r>
        <w:rPr>
          <w:i w:val="0"/>
          <w:iCs w:val="0"/>
        </w:rPr>
        <w:instrText xml:space="preserve"> PAGEREF _Toc13757 \h </w:instrText>
      </w:r>
      <w:r>
        <w:rPr>
          <w:i w:val="0"/>
          <w:iCs w:val="0"/>
        </w:rPr>
        <w:fldChar w:fldCharType="separate"/>
      </w:r>
      <w:r>
        <w:rPr>
          <w:i w:val="0"/>
          <w:iCs w:val="0"/>
        </w:rPr>
        <w:t>- 121 -</w:t>
      </w:r>
      <w:r>
        <w:rPr>
          <w:i w:val="0"/>
          <w:iCs w:val="0"/>
        </w:rPr>
        <w:fldChar w:fldCharType="end"/>
      </w:r>
      <w:r>
        <w:rPr>
          <w:i w:val="0"/>
          <w:iCs w:val="0"/>
          <w:color w:val="auto"/>
          <w:szCs w:val="24"/>
        </w:rPr>
        <w:fldChar w:fldCharType="end"/>
      </w:r>
    </w:p>
    <w:p w14:paraId="694928B8">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_Toc26678 </w:instrText>
      </w:r>
      <w:r>
        <w:rPr>
          <w:i w:val="0"/>
          <w:iCs w:val="0"/>
          <w:szCs w:val="24"/>
        </w:rPr>
        <w:fldChar w:fldCharType="separate"/>
      </w:r>
      <w:r>
        <w:rPr>
          <w:i w:val="0"/>
          <w:iCs w:val="0"/>
        </w:rPr>
        <w:t>4.2周围环境情况</w:t>
      </w:r>
      <w:r>
        <w:rPr>
          <w:i w:val="0"/>
          <w:iCs w:val="0"/>
        </w:rPr>
        <w:tab/>
      </w:r>
      <w:r>
        <w:rPr>
          <w:i w:val="0"/>
          <w:iCs w:val="0"/>
        </w:rPr>
        <w:fldChar w:fldCharType="begin"/>
      </w:r>
      <w:r>
        <w:rPr>
          <w:i w:val="0"/>
          <w:iCs w:val="0"/>
        </w:rPr>
        <w:instrText xml:space="preserve"> PAGEREF _Toc26678 \h </w:instrText>
      </w:r>
      <w:r>
        <w:rPr>
          <w:i w:val="0"/>
          <w:iCs w:val="0"/>
        </w:rPr>
        <w:fldChar w:fldCharType="separate"/>
      </w:r>
      <w:r>
        <w:rPr>
          <w:i w:val="0"/>
          <w:iCs w:val="0"/>
        </w:rPr>
        <w:t>- 123 -</w:t>
      </w:r>
      <w:r>
        <w:rPr>
          <w:i w:val="0"/>
          <w:iCs w:val="0"/>
        </w:rPr>
        <w:fldChar w:fldCharType="end"/>
      </w:r>
      <w:r>
        <w:rPr>
          <w:i w:val="0"/>
          <w:iCs w:val="0"/>
          <w:color w:val="auto"/>
          <w:szCs w:val="24"/>
        </w:rPr>
        <w:fldChar w:fldCharType="end"/>
      </w:r>
    </w:p>
    <w:p w14:paraId="3D2E6EBD">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_Toc17834 </w:instrText>
      </w:r>
      <w:r>
        <w:rPr>
          <w:i w:val="0"/>
          <w:iCs w:val="0"/>
          <w:szCs w:val="24"/>
        </w:rPr>
        <w:fldChar w:fldCharType="separate"/>
      </w:r>
      <w:r>
        <w:rPr>
          <w:rFonts w:eastAsia="宋体"/>
          <w:i w:val="0"/>
          <w:iCs w:val="0"/>
          <w:szCs w:val="30"/>
        </w:rPr>
        <w:t>4.3生态现状调查与评价</w:t>
      </w:r>
      <w:r>
        <w:rPr>
          <w:i w:val="0"/>
          <w:iCs w:val="0"/>
        </w:rPr>
        <w:tab/>
      </w:r>
      <w:r>
        <w:rPr>
          <w:i w:val="0"/>
          <w:iCs w:val="0"/>
        </w:rPr>
        <w:fldChar w:fldCharType="begin"/>
      </w:r>
      <w:r>
        <w:rPr>
          <w:i w:val="0"/>
          <w:iCs w:val="0"/>
        </w:rPr>
        <w:instrText xml:space="preserve"> PAGEREF _Toc17834 \h </w:instrText>
      </w:r>
      <w:r>
        <w:rPr>
          <w:i w:val="0"/>
          <w:iCs w:val="0"/>
        </w:rPr>
        <w:fldChar w:fldCharType="separate"/>
      </w:r>
      <w:r>
        <w:rPr>
          <w:i w:val="0"/>
          <w:iCs w:val="0"/>
        </w:rPr>
        <w:t>- 124 -</w:t>
      </w:r>
      <w:r>
        <w:rPr>
          <w:i w:val="0"/>
          <w:iCs w:val="0"/>
        </w:rPr>
        <w:fldChar w:fldCharType="end"/>
      </w:r>
      <w:r>
        <w:rPr>
          <w:i w:val="0"/>
          <w:iCs w:val="0"/>
          <w:color w:val="auto"/>
          <w:szCs w:val="24"/>
        </w:rPr>
        <w:fldChar w:fldCharType="end"/>
      </w:r>
    </w:p>
    <w:p w14:paraId="7160E974">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_Toc2724 </w:instrText>
      </w:r>
      <w:r>
        <w:rPr>
          <w:i w:val="0"/>
          <w:iCs w:val="0"/>
          <w:szCs w:val="24"/>
        </w:rPr>
        <w:fldChar w:fldCharType="separate"/>
      </w:r>
      <w:r>
        <w:rPr>
          <w:rFonts w:hint="eastAsia" w:ascii="Times New Roman" w:hAnsi="Times New Roman" w:eastAsia="宋体" w:cs="Times New Roman"/>
          <w:bCs/>
          <w:i w:val="0"/>
          <w:iCs w:val="0"/>
          <w:lang w:val="en-US" w:eastAsia="zh-CN"/>
        </w:rPr>
        <w:t>4.3.1生态环境现状调查方法</w:t>
      </w:r>
      <w:r>
        <w:rPr>
          <w:i w:val="0"/>
          <w:iCs w:val="0"/>
        </w:rPr>
        <w:tab/>
      </w:r>
      <w:r>
        <w:rPr>
          <w:i w:val="0"/>
          <w:iCs w:val="0"/>
        </w:rPr>
        <w:fldChar w:fldCharType="begin"/>
      </w:r>
      <w:r>
        <w:rPr>
          <w:i w:val="0"/>
          <w:iCs w:val="0"/>
        </w:rPr>
        <w:instrText xml:space="preserve"> PAGEREF _Toc2724 \h </w:instrText>
      </w:r>
      <w:r>
        <w:rPr>
          <w:i w:val="0"/>
          <w:iCs w:val="0"/>
        </w:rPr>
        <w:fldChar w:fldCharType="separate"/>
      </w:r>
      <w:r>
        <w:rPr>
          <w:i w:val="0"/>
          <w:iCs w:val="0"/>
        </w:rPr>
        <w:t>- 124 -</w:t>
      </w:r>
      <w:r>
        <w:rPr>
          <w:i w:val="0"/>
          <w:iCs w:val="0"/>
        </w:rPr>
        <w:fldChar w:fldCharType="end"/>
      </w:r>
      <w:r>
        <w:rPr>
          <w:i w:val="0"/>
          <w:iCs w:val="0"/>
          <w:color w:val="auto"/>
          <w:szCs w:val="24"/>
        </w:rPr>
        <w:fldChar w:fldCharType="end"/>
      </w:r>
    </w:p>
    <w:p w14:paraId="5EF3FDF5">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_Toc12263 </w:instrText>
      </w:r>
      <w:r>
        <w:rPr>
          <w:i w:val="0"/>
          <w:iCs w:val="0"/>
          <w:szCs w:val="24"/>
        </w:rPr>
        <w:fldChar w:fldCharType="separate"/>
      </w:r>
      <w:r>
        <w:rPr>
          <w:rFonts w:hint="eastAsia" w:ascii="Times New Roman" w:hAnsi="Times New Roman" w:eastAsia="宋体" w:cs="Times New Roman"/>
          <w:bCs/>
          <w:i w:val="0"/>
          <w:iCs w:val="0"/>
          <w:lang w:val="en-US" w:eastAsia="zh-CN"/>
        </w:rPr>
        <w:t>4.3.2</w:t>
      </w:r>
      <w:r>
        <w:rPr>
          <w:rFonts w:hint="eastAsia" w:ascii="Times New Roman" w:hAnsi="Times New Roman" w:eastAsia="宋体" w:cs="Times New Roman"/>
          <w:bCs/>
          <w:i w:val="0"/>
          <w:iCs w:val="0"/>
          <w:lang w:val="zh-CN" w:eastAsia="zh-CN"/>
        </w:rPr>
        <w:t>评价区生态现状</w:t>
      </w:r>
      <w:r>
        <w:rPr>
          <w:i w:val="0"/>
          <w:iCs w:val="0"/>
        </w:rPr>
        <w:tab/>
      </w:r>
      <w:r>
        <w:rPr>
          <w:i w:val="0"/>
          <w:iCs w:val="0"/>
        </w:rPr>
        <w:fldChar w:fldCharType="begin"/>
      </w:r>
      <w:r>
        <w:rPr>
          <w:i w:val="0"/>
          <w:iCs w:val="0"/>
        </w:rPr>
        <w:instrText xml:space="preserve"> PAGEREF _Toc12263 \h </w:instrText>
      </w:r>
      <w:r>
        <w:rPr>
          <w:i w:val="0"/>
          <w:iCs w:val="0"/>
        </w:rPr>
        <w:fldChar w:fldCharType="separate"/>
      </w:r>
      <w:r>
        <w:rPr>
          <w:i w:val="0"/>
          <w:iCs w:val="0"/>
        </w:rPr>
        <w:t>- 125 -</w:t>
      </w:r>
      <w:r>
        <w:rPr>
          <w:i w:val="0"/>
          <w:iCs w:val="0"/>
        </w:rPr>
        <w:fldChar w:fldCharType="end"/>
      </w:r>
      <w:r>
        <w:rPr>
          <w:i w:val="0"/>
          <w:iCs w:val="0"/>
          <w:color w:val="auto"/>
          <w:szCs w:val="24"/>
        </w:rPr>
        <w:fldChar w:fldCharType="end"/>
      </w:r>
    </w:p>
    <w:p w14:paraId="06F08574">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_Toc32509 </w:instrText>
      </w:r>
      <w:r>
        <w:rPr>
          <w:i w:val="0"/>
          <w:iCs w:val="0"/>
          <w:szCs w:val="24"/>
        </w:rPr>
        <w:fldChar w:fldCharType="separate"/>
      </w:r>
      <w:r>
        <w:rPr>
          <w:rFonts w:hint="eastAsia" w:ascii="Times New Roman" w:hAnsi="Times New Roman" w:eastAsia="宋体" w:cs="Times New Roman"/>
          <w:bCs/>
          <w:i w:val="0"/>
          <w:iCs w:val="0"/>
          <w:lang w:val="en-US" w:eastAsia="zh-CN"/>
        </w:rPr>
        <w:t>4.3.3</w:t>
      </w:r>
      <w:r>
        <w:rPr>
          <w:rFonts w:hint="eastAsia" w:ascii="Times New Roman" w:hAnsi="Times New Roman" w:eastAsia="宋体" w:cs="Times New Roman"/>
          <w:bCs/>
          <w:i w:val="0"/>
          <w:iCs w:val="0"/>
          <w:lang w:val="zh-CN" w:eastAsia="zh-CN"/>
        </w:rPr>
        <w:t>评价区植被类型</w:t>
      </w:r>
      <w:r>
        <w:rPr>
          <w:i w:val="0"/>
          <w:iCs w:val="0"/>
        </w:rPr>
        <w:tab/>
      </w:r>
      <w:r>
        <w:rPr>
          <w:i w:val="0"/>
          <w:iCs w:val="0"/>
        </w:rPr>
        <w:fldChar w:fldCharType="begin"/>
      </w:r>
      <w:r>
        <w:rPr>
          <w:i w:val="0"/>
          <w:iCs w:val="0"/>
        </w:rPr>
        <w:instrText xml:space="preserve"> PAGEREF _Toc32509 \h </w:instrText>
      </w:r>
      <w:r>
        <w:rPr>
          <w:i w:val="0"/>
          <w:iCs w:val="0"/>
        </w:rPr>
        <w:fldChar w:fldCharType="separate"/>
      </w:r>
      <w:r>
        <w:rPr>
          <w:i w:val="0"/>
          <w:iCs w:val="0"/>
        </w:rPr>
        <w:t>- 126 -</w:t>
      </w:r>
      <w:r>
        <w:rPr>
          <w:i w:val="0"/>
          <w:iCs w:val="0"/>
        </w:rPr>
        <w:fldChar w:fldCharType="end"/>
      </w:r>
      <w:r>
        <w:rPr>
          <w:i w:val="0"/>
          <w:iCs w:val="0"/>
          <w:color w:val="auto"/>
          <w:szCs w:val="24"/>
        </w:rPr>
        <w:fldChar w:fldCharType="end"/>
      </w:r>
    </w:p>
    <w:p w14:paraId="36AF4C44">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_Toc17098 </w:instrText>
      </w:r>
      <w:r>
        <w:rPr>
          <w:i w:val="0"/>
          <w:iCs w:val="0"/>
          <w:szCs w:val="24"/>
        </w:rPr>
        <w:fldChar w:fldCharType="separate"/>
      </w:r>
      <w:r>
        <w:rPr>
          <w:rFonts w:hint="eastAsia" w:ascii="Times New Roman" w:hAnsi="Times New Roman" w:eastAsia="宋体" w:cs="Times New Roman"/>
          <w:bCs/>
          <w:i w:val="0"/>
          <w:iCs w:val="0"/>
          <w:lang w:val="en-US" w:eastAsia="zh-CN"/>
        </w:rPr>
        <w:t>4.3.4</w:t>
      </w:r>
      <w:r>
        <w:rPr>
          <w:rFonts w:hint="eastAsia" w:ascii="Times New Roman" w:hAnsi="Times New Roman" w:eastAsia="宋体" w:cs="Times New Roman"/>
          <w:bCs/>
          <w:i w:val="0"/>
          <w:iCs w:val="0"/>
          <w:lang w:val="zh-CN" w:eastAsia="zh-CN"/>
        </w:rPr>
        <w:t>土地利用</w:t>
      </w:r>
      <w:r>
        <w:rPr>
          <w:i w:val="0"/>
          <w:iCs w:val="0"/>
        </w:rPr>
        <w:tab/>
      </w:r>
      <w:r>
        <w:rPr>
          <w:i w:val="0"/>
          <w:iCs w:val="0"/>
        </w:rPr>
        <w:fldChar w:fldCharType="begin"/>
      </w:r>
      <w:r>
        <w:rPr>
          <w:i w:val="0"/>
          <w:iCs w:val="0"/>
        </w:rPr>
        <w:instrText xml:space="preserve"> PAGEREF _Toc17098 \h </w:instrText>
      </w:r>
      <w:r>
        <w:rPr>
          <w:i w:val="0"/>
          <w:iCs w:val="0"/>
        </w:rPr>
        <w:fldChar w:fldCharType="separate"/>
      </w:r>
      <w:r>
        <w:rPr>
          <w:i w:val="0"/>
          <w:iCs w:val="0"/>
        </w:rPr>
        <w:t>- 126 -</w:t>
      </w:r>
      <w:r>
        <w:rPr>
          <w:i w:val="0"/>
          <w:iCs w:val="0"/>
        </w:rPr>
        <w:fldChar w:fldCharType="end"/>
      </w:r>
      <w:r>
        <w:rPr>
          <w:i w:val="0"/>
          <w:iCs w:val="0"/>
          <w:color w:val="auto"/>
          <w:szCs w:val="24"/>
        </w:rPr>
        <w:fldChar w:fldCharType="end"/>
      </w:r>
    </w:p>
    <w:p w14:paraId="2BFBAFC5">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_Toc23329 </w:instrText>
      </w:r>
      <w:r>
        <w:rPr>
          <w:i w:val="0"/>
          <w:iCs w:val="0"/>
          <w:szCs w:val="24"/>
        </w:rPr>
        <w:fldChar w:fldCharType="separate"/>
      </w:r>
      <w:r>
        <w:rPr>
          <w:rFonts w:hint="eastAsia" w:ascii="Times New Roman" w:hAnsi="Times New Roman" w:eastAsia="宋体" w:cs="Times New Roman"/>
          <w:bCs/>
          <w:i w:val="0"/>
          <w:iCs w:val="0"/>
          <w:lang w:val="en-US" w:eastAsia="zh-CN"/>
        </w:rPr>
        <w:t>4.3.5</w:t>
      </w:r>
      <w:r>
        <w:rPr>
          <w:rFonts w:hint="eastAsia" w:ascii="Times New Roman" w:hAnsi="Times New Roman" w:eastAsia="宋体" w:cs="Times New Roman"/>
          <w:bCs/>
          <w:i w:val="0"/>
          <w:iCs w:val="0"/>
          <w:lang w:val="zh-CN" w:eastAsia="zh-CN"/>
        </w:rPr>
        <w:t>土壤侵蚀</w:t>
      </w:r>
      <w:r>
        <w:rPr>
          <w:i w:val="0"/>
          <w:iCs w:val="0"/>
        </w:rPr>
        <w:tab/>
      </w:r>
      <w:r>
        <w:rPr>
          <w:i w:val="0"/>
          <w:iCs w:val="0"/>
        </w:rPr>
        <w:fldChar w:fldCharType="begin"/>
      </w:r>
      <w:r>
        <w:rPr>
          <w:i w:val="0"/>
          <w:iCs w:val="0"/>
        </w:rPr>
        <w:instrText xml:space="preserve"> PAGEREF _Toc23329 \h </w:instrText>
      </w:r>
      <w:r>
        <w:rPr>
          <w:i w:val="0"/>
          <w:iCs w:val="0"/>
        </w:rPr>
        <w:fldChar w:fldCharType="separate"/>
      </w:r>
      <w:r>
        <w:rPr>
          <w:i w:val="0"/>
          <w:iCs w:val="0"/>
        </w:rPr>
        <w:t>- 127 -</w:t>
      </w:r>
      <w:r>
        <w:rPr>
          <w:i w:val="0"/>
          <w:iCs w:val="0"/>
        </w:rPr>
        <w:fldChar w:fldCharType="end"/>
      </w:r>
      <w:r>
        <w:rPr>
          <w:i w:val="0"/>
          <w:iCs w:val="0"/>
          <w:color w:val="auto"/>
          <w:szCs w:val="24"/>
        </w:rPr>
        <w:fldChar w:fldCharType="end"/>
      </w:r>
    </w:p>
    <w:p w14:paraId="44391A2C">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_Toc16918 </w:instrText>
      </w:r>
      <w:r>
        <w:rPr>
          <w:i w:val="0"/>
          <w:iCs w:val="0"/>
          <w:szCs w:val="24"/>
        </w:rPr>
        <w:fldChar w:fldCharType="separate"/>
      </w:r>
      <w:r>
        <w:rPr>
          <w:rFonts w:hint="eastAsia" w:ascii="Times New Roman" w:hAnsi="Times New Roman" w:eastAsia="宋体" w:cs="Times New Roman"/>
          <w:bCs/>
          <w:i w:val="0"/>
          <w:iCs w:val="0"/>
          <w:lang w:val="en-US" w:eastAsia="zh-CN"/>
        </w:rPr>
        <w:t>4.3.6生态系统及功能区划</w:t>
      </w:r>
      <w:r>
        <w:rPr>
          <w:i w:val="0"/>
          <w:iCs w:val="0"/>
        </w:rPr>
        <w:tab/>
      </w:r>
      <w:r>
        <w:rPr>
          <w:i w:val="0"/>
          <w:iCs w:val="0"/>
        </w:rPr>
        <w:fldChar w:fldCharType="begin"/>
      </w:r>
      <w:r>
        <w:rPr>
          <w:i w:val="0"/>
          <w:iCs w:val="0"/>
        </w:rPr>
        <w:instrText xml:space="preserve"> PAGEREF _Toc16918 \h </w:instrText>
      </w:r>
      <w:r>
        <w:rPr>
          <w:i w:val="0"/>
          <w:iCs w:val="0"/>
        </w:rPr>
        <w:fldChar w:fldCharType="separate"/>
      </w:r>
      <w:r>
        <w:rPr>
          <w:i w:val="0"/>
          <w:iCs w:val="0"/>
        </w:rPr>
        <w:t>- 127 -</w:t>
      </w:r>
      <w:r>
        <w:rPr>
          <w:i w:val="0"/>
          <w:iCs w:val="0"/>
        </w:rPr>
        <w:fldChar w:fldCharType="end"/>
      </w:r>
      <w:r>
        <w:rPr>
          <w:i w:val="0"/>
          <w:iCs w:val="0"/>
          <w:color w:val="auto"/>
          <w:szCs w:val="24"/>
        </w:rPr>
        <w:fldChar w:fldCharType="end"/>
      </w:r>
    </w:p>
    <w:p w14:paraId="6B8F436F">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_Toc11196 </w:instrText>
      </w:r>
      <w:r>
        <w:rPr>
          <w:i w:val="0"/>
          <w:iCs w:val="0"/>
          <w:szCs w:val="24"/>
        </w:rPr>
        <w:fldChar w:fldCharType="separate"/>
      </w:r>
      <w:r>
        <w:rPr>
          <w:rFonts w:hint="eastAsia" w:ascii="Times New Roman" w:hAnsi="Times New Roman" w:eastAsia="宋体" w:cs="Times New Roman"/>
          <w:bCs/>
          <w:i w:val="0"/>
          <w:iCs w:val="0"/>
          <w:lang w:val="en-US" w:eastAsia="zh-CN"/>
        </w:rPr>
        <w:t>4.3.7生态环境敏感性评价</w:t>
      </w:r>
      <w:r>
        <w:rPr>
          <w:i w:val="0"/>
          <w:iCs w:val="0"/>
        </w:rPr>
        <w:tab/>
      </w:r>
      <w:r>
        <w:rPr>
          <w:i w:val="0"/>
          <w:iCs w:val="0"/>
        </w:rPr>
        <w:fldChar w:fldCharType="begin"/>
      </w:r>
      <w:r>
        <w:rPr>
          <w:i w:val="0"/>
          <w:iCs w:val="0"/>
        </w:rPr>
        <w:instrText xml:space="preserve"> PAGEREF _Toc11196 \h </w:instrText>
      </w:r>
      <w:r>
        <w:rPr>
          <w:i w:val="0"/>
          <w:iCs w:val="0"/>
        </w:rPr>
        <w:fldChar w:fldCharType="separate"/>
      </w:r>
      <w:r>
        <w:rPr>
          <w:i w:val="0"/>
          <w:iCs w:val="0"/>
        </w:rPr>
        <w:t>- 128 -</w:t>
      </w:r>
      <w:r>
        <w:rPr>
          <w:i w:val="0"/>
          <w:iCs w:val="0"/>
        </w:rPr>
        <w:fldChar w:fldCharType="end"/>
      </w:r>
      <w:r>
        <w:rPr>
          <w:i w:val="0"/>
          <w:iCs w:val="0"/>
          <w:color w:val="auto"/>
          <w:szCs w:val="24"/>
        </w:rPr>
        <w:fldChar w:fldCharType="end"/>
      </w:r>
    </w:p>
    <w:p w14:paraId="1A869973">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_Toc18410 </w:instrText>
      </w:r>
      <w:r>
        <w:rPr>
          <w:i w:val="0"/>
          <w:iCs w:val="0"/>
          <w:szCs w:val="24"/>
        </w:rPr>
        <w:fldChar w:fldCharType="separate"/>
      </w:r>
      <w:r>
        <w:rPr>
          <w:rFonts w:hint="eastAsia" w:ascii="Times New Roman" w:hAnsi="Times New Roman" w:eastAsia="宋体" w:cs="Times New Roman"/>
          <w:bCs/>
          <w:i w:val="0"/>
          <w:iCs w:val="0"/>
          <w:lang w:val="en-US" w:eastAsia="zh-CN"/>
        </w:rPr>
        <w:t>4.3.8生态环境调查结论</w:t>
      </w:r>
      <w:r>
        <w:rPr>
          <w:i w:val="0"/>
          <w:iCs w:val="0"/>
        </w:rPr>
        <w:tab/>
      </w:r>
      <w:r>
        <w:rPr>
          <w:i w:val="0"/>
          <w:iCs w:val="0"/>
        </w:rPr>
        <w:fldChar w:fldCharType="begin"/>
      </w:r>
      <w:r>
        <w:rPr>
          <w:i w:val="0"/>
          <w:iCs w:val="0"/>
        </w:rPr>
        <w:instrText xml:space="preserve"> PAGEREF _Toc18410 \h </w:instrText>
      </w:r>
      <w:r>
        <w:rPr>
          <w:i w:val="0"/>
          <w:iCs w:val="0"/>
        </w:rPr>
        <w:fldChar w:fldCharType="separate"/>
      </w:r>
      <w:r>
        <w:rPr>
          <w:i w:val="0"/>
          <w:iCs w:val="0"/>
        </w:rPr>
        <w:t>- 129 -</w:t>
      </w:r>
      <w:r>
        <w:rPr>
          <w:i w:val="0"/>
          <w:iCs w:val="0"/>
        </w:rPr>
        <w:fldChar w:fldCharType="end"/>
      </w:r>
      <w:r>
        <w:rPr>
          <w:i w:val="0"/>
          <w:iCs w:val="0"/>
          <w:color w:val="auto"/>
          <w:szCs w:val="24"/>
        </w:rPr>
        <w:fldChar w:fldCharType="end"/>
      </w:r>
    </w:p>
    <w:p w14:paraId="60C0F861">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_Toc2545 </w:instrText>
      </w:r>
      <w:r>
        <w:rPr>
          <w:i w:val="0"/>
          <w:iCs w:val="0"/>
          <w:szCs w:val="24"/>
        </w:rPr>
        <w:fldChar w:fldCharType="separate"/>
      </w:r>
      <w:r>
        <w:rPr>
          <w:rFonts w:hint="eastAsia" w:eastAsia="宋体"/>
          <w:i w:val="0"/>
          <w:iCs w:val="0"/>
          <w:szCs w:val="30"/>
        </w:rPr>
        <w:t>4.4</w:t>
      </w:r>
      <w:r>
        <w:rPr>
          <w:rFonts w:eastAsia="宋体"/>
          <w:i w:val="0"/>
          <w:iCs w:val="0"/>
          <w:szCs w:val="30"/>
        </w:rPr>
        <w:t>环境空气质量现状调查与评价</w:t>
      </w:r>
      <w:r>
        <w:rPr>
          <w:i w:val="0"/>
          <w:iCs w:val="0"/>
        </w:rPr>
        <w:tab/>
      </w:r>
      <w:r>
        <w:rPr>
          <w:i w:val="0"/>
          <w:iCs w:val="0"/>
        </w:rPr>
        <w:fldChar w:fldCharType="begin"/>
      </w:r>
      <w:r>
        <w:rPr>
          <w:i w:val="0"/>
          <w:iCs w:val="0"/>
        </w:rPr>
        <w:instrText xml:space="preserve"> PAGEREF _Toc2545 \h </w:instrText>
      </w:r>
      <w:r>
        <w:rPr>
          <w:i w:val="0"/>
          <w:iCs w:val="0"/>
        </w:rPr>
        <w:fldChar w:fldCharType="separate"/>
      </w:r>
      <w:r>
        <w:rPr>
          <w:i w:val="0"/>
          <w:iCs w:val="0"/>
        </w:rPr>
        <w:t>- 132 -</w:t>
      </w:r>
      <w:r>
        <w:rPr>
          <w:i w:val="0"/>
          <w:iCs w:val="0"/>
        </w:rPr>
        <w:fldChar w:fldCharType="end"/>
      </w:r>
      <w:r>
        <w:rPr>
          <w:i w:val="0"/>
          <w:iCs w:val="0"/>
          <w:color w:val="auto"/>
          <w:szCs w:val="24"/>
        </w:rPr>
        <w:fldChar w:fldCharType="end"/>
      </w:r>
    </w:p>
    <w:p w14:paraId="464CE35C">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_Toc23130 </w:instrText>
      </w:r>
      <w:r>
        <w:rPr>
          <w:i w:val="0"/>
          <w:iCs w:val="0"/>
          <w:szCs w:val="24"/>
        </w:rPr>
        <w:fldChar w:fldCharType="separate"/>
      </w:r>
      <w:r>
        <w:rPr>
          <w:rFonts w:ascii="Times New Roman" w:hAnsi="Times New Roman" w:eastAsia="宋体"/>
          <w:bCs/>
          <w:i w:val="0"/>
          <w:iCs w:val="0"/>
          <w:szCs w:val="28"/>
        </w:rPr>
        <w:t>4.</w:t>
      </w:r>
      <w:r>
        <w:rPr>
          <w:rFonts w:hint="eastAsia" w:ascii="Times New Roman" w:hAnsi="Times New Roman" w:eastAsia="宋体"/>
          <w:bCs/>
          <w:i w:val="0"/>
          <w:iCs w:val="0"/>
          <w:szCs w:val="28"/>
        </w:rPr>
        <w:t>4</w:t>
      </w:r>
      <w:r>
        <w:rPr>
          <w:rFonts w:ascii="Times New Roman" w:hAnsi="Times New Roman" w:eastAsia="宋体"/>
          <w:bCs/>
          <w:i w:val="0"/>
          <w:iCs w:val="0"/>
          <w:szCs w:val="28"/>
        </w:rPr>
        <w:t>.1基本污染物环境质量现状</w:t>
      </w:r>
      <w:r>
        <w:rPr>
          <w:i w:val="0"/>
          <w:iCs w:val="0"/>
        </w:rPr>
        <w:tab/>
      </w:r>
      <w:r>
        <w:rPr>
          <w:i w:val="0"/>
          <w:iCs w:val="0"/>
        </w:rPr>
        <w:fldChar w:fldCharType="begin"/>
      </w:r>
      <w:r>
        <w:rPr>
          <w:i w:val="0"/>
          <w:iCs w:val="0"/>
        </w:rPr>
        <w:instrText xml:space="preserve"> PAGEREF _Toc23130 \h </w:instrText>
      </w:r>
      <w:r>
        <w:rPr>
          <w:i w:val="0"/>
          <w:iCs w:val="0"/>
        </w:rPr>
        <w:fldChar w:fldCharType="separate"/>
      </w:r>
      <w:r>
        <w:rPr>
          <w:i w:val="0"/>
          <w:iCs w:val="0"/>
        </w:rPr>
        <w:t>- 132 -</w:t>
      </w:r>
      <w:r>
        <w:rPr>
          <w:i w:val="0"/>
          <w:iCs w:val="0"/>
        </w:rPr>
        <w:fldChar w:fldCharType="end"/>
      </w:r>
      <w:r>
        <w:rPr>
          <w:i w:val="0"/>
          <w:iCs w:val="0"/>
          <w:color w:val="auto"/>
          <w:szCs w:val="24"/>
        </w:rPr>
        <w:fldChar w:fldCharType="end"/>
      </w:r>
    </w:p>
    <w:p w14:paraId="4A2264F5">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_Toc22294 </w:instrText>
      </w:r>
      <w:r>
        <w:rPr>
          <w:i w:val="0"/>
          <w:iCs w:val="0"/>
          <w:szCs w:val="24"/>
        </w:rPr>
        <w:fldChar w:fldCharType="separate"/>
      </w:r>
      <w:r>
        <w:rPr>
          <w:rFonts w:ascii="Times New Roman" w:hAnsi="Times New Roman" w:eastAsia="宋体"/>
          <w:bCs/>
          <w:i w:val="0"/>
          <w:iCs w:val="0"/>
          <w:szCs w:val="28"/>
        </w:rPr>
        <w:t>4.</w:t>
      </w:r>
      <w:r>
        <w:rPr>
          <w:rFonts w:hint="eastAsia" w:ascii="Times New Roman" w:hAnsi="Times New Roman" w:eastAsia="宋体"/>
          <w:bCs/>
          <w:i w:val="0"/>
          <w:iCs w:val="0"/>
          <w:szCs w:val="28"/>
        </w:rPr>
        <w:t>4</w:t>
      </w:r>
      <w:r>
        <w:rPr>
          <w:rFonts w:ascii="Times New Roman" w:hAnsi="Times New Roman" w:eastAsia="宋体"/>
          <w:bCs/>
          <w:i w:val="0"/>
          <w:iCs w:val="0"/>
          <w:szCs w:val="28"/>
        </w:rPr>
        <w:t>.2特征污染物环境质量现状</w:t>
      </w:r>
      <w:r>
        <w:rPr>
          <w:i w:val="0"/>
          <w:iCs w:val="0"/>
        </w:rPr>
        <w:tab/>
      </w:r>
      <w:r>
        <w:rPr>
          <w:i w:val="0"/>
          <w:iCs w:val="0"/>
        </w:rPr>
        <w:fldChar w:fldCharType="begin"/>
      </w:r>
      <w:r>
        <w:rPr>
          <w:i w:val="0"/>
          <w:iCs w:val="0"/>
        </w:rPr>
        <w:instrText xml:space="preserve"> PAGEREF _Toc22294 \h </w:instrText>
      </w:r>
      <w:r>
        <w:rPr>
          <w:i w:val="0"/>
          <w:iCs w:val="0"/>
        </w:rPr>
        <w:fldChar w:fldCharType="separate"/>
      </w:r>
      <w:r>
        <w:rPr>
          <w:i w:val="0"/>
          <w:iCs w:val="0"/>
        </w:rPr>
        <w:t>- 132 -</w:t>
      </w:r>
      <w:r>
        <w:rPr>
          <w:i w:val="0"/>
          <w:iCs w:val="0"/>
        </w:rPr>
        <w:fldChar w:fldCharType="end"/>
      </w:r>
      <w:r>
        <w:rPr>
          <w:i w:val="0"/>
          <w:iCs w:val="0"/>
          <w:color w:val="auto"/>
          <w:szCs w:val="24"/>
        </w:rPr>
        <w:fldChar w:fldCharType="end"/>
      </w:r>
    </w:p>
    <w:p w14:paraId="2445B01B">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_Toc17067 </w:instrText>
      </w:r>
      <w:r>
        <w:rPr>
          <w:i w:val="0"/>
          <w:iCs w:val="0"/>
          <w:szCs w:val="24"/>
        </w:rPr>
        <w:fldChar w:fldCharType="separate"/>
      </w:r>
      <w:r>
        <w:rPr>
          <w:rFonts w:eastAsia="宋体"/>
          <w:i w:val="0"/>
          <w:iCs w:val="0"/>
          <w:szCs w:val="30"/>
          <w:highlight w:val="none"/>
        </w:rPr>
        <w:t>4.</w:t>
      </w:r>
      <w:r>
        <w:rPr>
          <w:rFonts w:hint="eastAsia" w:eastAsia="宋体"/>
          <w:i w:val="0"/>
          <w:iCs w:val="0"/>
          <w:szCs w:val="30"/>
          <w:highlight w:val="none"/>
        </w:rPr>
        <w:t>5</w:t>
      </w:r>
      <w:r>
        <w:rPr>
          <w:rFonts w:eastAsia="宋体"/>
          <w:i w:val="0"/>
          <w:iCs w:val="0"/>
          <w:szCs w:val="30"/>
          <w:highlight w:val="none"/>
        </w:rPr>
        <w:t>声环境质量现状调查与评价</w:t>
      </w:r>
      <w:r>
        <w:rPr>
          <w:i w:val="0"/>
          <w:iCs w:val="0"/>
        </w:rPr>
        <w:tab/>
      </w:r>
      <w:r>
        <w:rPr>
          <w:i w:val="0"/>
          <w:iCs w:val="0"/>
        </w:rPr>
        <w:fldChar w:fldCharType="begin"/>
      </w:r>
      <w:r>
        <w:rPr>
          <w:i w:val="0"/>
          <w:iCs w:val="0"/>
        </w:rPr>
        <w:instrText xml:space="preserve"> PAGEREF _Toc17067 \h </w:instrText>
      </w:r>
      <w:r>
        <w:rPr>
          <w:i w:val="0"/>
          <w:iCs w:val="0"/>
        </w:rPr>
        <w:fldChar w:fldCharType="separate"/>
      </w:r>
      <w:r>
        <w:rPr>
          <w:i w:val="0"/>
          <w:iCs w:val="0"/>
        </w:rPr>
        <w:t>- 133 -</w:t>
      </w:r>
      <w:r>
        <w:rPr>
          <w:i w:val="0"/>
          <w:iCs w:val="0"/>
        </w:rPr>
        <w:fldChar w:fldCharType="end"/>
      </w:r>
      <w:r>
        <w:rPr>
          <w:i w:val="0"/>
          <w:iCs w:val="0"/>
          <w:color w:val="auto"/>
          <w:szCs w:val="24"/>
        </w:rPr>
        <w:fldChar w:fldCharType="end"/>
      </w:r>
    </w:p>
    <w:p w14:paraId="6ED32731">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_Toc6013 </w:instrText>
      </w:r>
      <w:r>
        <w:rPr>
          <w:i w:val="0"/>
          <w:iCs w:val="0"/>
          <w:szCs w:val="24"/>
        </w:rPr>
        <w:fldChar w:fldCharType="separate"/>
      </w:r>
      <w:r>
        <w:rPr>
          <w:rFonts w:eastAsia="宋体"/>
          <w:i w:val="0"/>
          <w:iCs w:val="0"/>
          <w:szCs w:val="30"/>
          <w:highlight w:val="none"/>
        </w:rPr>
        <w:t>4.</w:t>
      </w:r>
      <w:r>
        <w:rPr>
          <w:rFonts w:hint="eastAsia" w:eastAsia="宋体"/>
          <w:i w:val="0"/>
          <w:iCs w:val="0"/>
          <w:szCs w:val="30"/>
          <w:highlight w:val="none"/>
        </w:rPr>
        <w:t>6</w:t>
      </w:r>
      <w:r>
        <w:rPr>
          <w:rFonts w:eastAsia="宋体"/>
          <w:i w:val="0"/>
          <w:iCs w:val="0"/>
          <w:szCs w:val="30"/>
          <w:highlight w:val="none"/>
        </w:rPr>
        <w:t>地下水质量现状调查与评价</w:t>
      </w:r>
      <w:r>
        <w:rPr>
          <w:i w:val="0"/>
          <w:iCs w:val="0"/>
        </w:rPr>
        <w:tab/>
      </w:r>
      <w:r>
        <w:rPr>
          <w:i w:val="0"/>
          <w:iCs w:val="0"/>
        </w:rPr>
        <w:fldChar w:fldCharType="begin"/>
      </w:r>
      <w:r>
        <w:rPr>
          <w:i w:val="0"/>
          <w:iCs w:val="0"/>
        </w:rPr>
        <w:instrText xml:space="preserve"> PAGEREF _Toc6013 \h </w:instrText>
      </w:r>
      <w:r>
        <w:rPr>
          <w:i w:val="0"/>
          <w:iCs w:val="0"/>
        </w:rPr>
        <w:fldChar w:fldCharType="separate"/>
      </w:r>
      <w:r>
        <w:rPr>
          <w:i w:val="0"/>
          <w:iCs w:val="0"/>
        </w:rPr>
        <w:t>- 134 -</w:t>
      </w:r>
      <w:r>
        <w:rPr>
          <w:i w:val="0"/>
          <w:iCs w:val="0"/>
        </w:rPr>
        <w:fldChar w:fldCharType="end"/>
      </w:r>
      <w:r>
        <w:rPr>
          <w:i w:val="0"/>
          <w:iCs w:val="0"/>
          <w:color w:val="auto"/>
          <w:szCs w:val="24"/>
        </w:rPr>
        <w:fldChar w:fldCharType="end"/>
      </w:r>
    </w:p>
    <w:p w14:paraId="55153467">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_Toc23428 </w:instrText>
      </w:r>
      <w:r>
        <w:rPr>
          <w:i w:val="0"/>
          <w:iCs w:val="0"/>
          <w:szCs w:val="24"/>
        </w:rPr>
        <w:fldChar w:fldCharType="separate"/>
      </w:r>
      <w:r>
        <w:rPr>
          <w:rFonts w:eastAsia="宋体"/>
          <w:i w:val="0"/>
          <w:iCs w:val="0"/>
          <w:szCs w:val="30"/>
          <w:highlight w:val="none"/>
        </w:rPr>
        <w:t>4.</w:t>
      </w:r>
      <w:r>
        <w:rPr>
          <w:rFonts w:hint="eastAsia" w:eastAsia="宋体"/>
          <w:i w:val="0"/>
          <w:iCs w:val="0"/>
          <w:szCs w:val="30"/>
          <w:highlight w:val="none"/>
        </w:rPr>
        <w:t>7</w:t>
      </w:r>
      <w:r>
        <w:rPr>
          <w:rFonts w:eastAsia="宋体"/>
          <w:i w:val="0"/>
          <w:iCs w:val="0"/>
          <w:szCs w:val="30"/>
          <w:highlight w:val="none"/>
        </w:rPr>
        <w:t>土壤环境现状调查与评价</w:t>
      </w:r>
      <w:r>
        <w:rPr>
          <w:i w:val="0"/>
          <w:iCs w:val="0"/>
        </w:rPr>
        <w:tab/>
      </w:r>
      <w:r>
        <w:rPr>
          <w:i w:val="0"/>
          <w:iCs w:val="0"/>
        </w:rPr>
        <w:fldChar w:fldCharType="begin"/>
      </w:r>
      <w:r>
        <w:rPr>
          <w:i w:val="0"/>
          <w:iCs w:val="0"/>
        </w:rPr>
        <w:instrText xml:space="preserve"> PAGEREF _Toc23428 \h </w:instrText>
      </w:r>
      <w:r>
        <w:rPr>
          <w:i w:val="0"/>
          <w:iCs w:val="0"/>
        </w:rPr>
        <w:fldChar w:fldCharType="separate"/>
      </w:r>
      <w:r>
        <w:rPr>
          <w:i w:val="0"/>
          <w:iCs w:val="0"/>
        </w:rPr>
        <w:t>- 136 -</w:t>
      </w:r>
      <w:r>
        <w:rPr>
          <w:i w:val="0"/>
          <w:iCs w:val="0"/>
        </w:rPr>
        <w:fldChar w:fldCharType="end"/>
      </w:r>
      <w:r>
        <w:rPr>
          <w:i w:val="0"/>
          <w:iCs w:val="0"/>
          <w:color w:val="auto"/>
          <w:szCs w:val="24"/>
        </w:rPr>
        <w:fldChar w:fldCharType="end"/>
      </w:r>
    </w:p>
    <w:p w14:paraId="52F89C7C">
      <w:pPr>
        <w:pStyle w:val="38"/>
        <w:tabs>
          <w:tab w:val="right" w:leader="dot" w:pos="8312"/>
        </w:tabs>
        <w:rPr>
          <w:i w:val="0"/>
          <w:iCs w:val="0"/>
        </w:rPr>
      </w:pPr>
      <w:r>
        <w:rPr>
          <w:i w:val="0"/>
          <w:iCs w:val="0"/>
          <w:color w:val="auto"/>
          <w:szCs w:val="24"/>
        </w:rPr>
        <w:fldChar w:fldCharType="begin"/>
      </w:r>
      <w:r>
        <w:rPr>
          <w:i w:val="0"/>
          <w:iCs w:val="0"/>
          <w:szCs w:val="24"/>
        </w:rPr>
        <w:instrText xml:space="preserve"> HYPERLINK \l _Toc27748 </w:instrText>
      </w:r>
      <w:r>
        <w:rPr>
          <w:i w:val="0"/>
          <w:iCs w:val="0"/>
          <w:szCs w:val="24"/>
        </w:rPr>
        <w:fldChar w:fldCharType="separate"/>
      </w:r>
      <w:r>
        <w:rPr>
          <w:rFonts w:ascii="Times New Roman" w:eastAsia="宋体"/>
          <w:bCs/>
          <w:i w:val="0"/>
          <w:iCs w:val="0"/>
          <w:szCs w:val="32"/>
        </w:rPr>
        <w:t>5、环境影响预测与评价</w:t>
      </w:r>
      <w:r>
        <w:rPr>
          <w:i w:val="0"/>
          <w:iCs w:val="0"/>
        </w:rPr>
        <w:tab/>
      </w:r>
      <w:r>
        <w:rPr>
          <w:i w:val="0"/>
          <w:iCs w:val="0"/>
        </w:rPr>
        <w:fldChar w:fldCharType="begin"/>
      </w:r>
      <w:r>
        <w:rPr>
          <w:i w:val="0"/>
          <w:iCs w:val="0"/>
        </w:rPr>
        <w:instrText xml:space="preserve"> PAGEREF _Toc27748 \h </w:instrText>
      </w:r>
      <w:r>
        <w:rPr>
          <w:i w:val="0"/>
          <w:iCs w:val="0"/>
        </w:rPr>
        <w:fldChar w:fldCharType="separate"/>
      </w:r>
      <w:r>
        <w:rPr>
          <w:i w:val="0"/>
          <w:iCs w:val="0"/>
        </w:rPr>
        <w:t>- 138 -</w:t>
      </w:r>
      <w:r>
        <w:rPr>
          <w:i w:val="0"/>
          <w:iCs w:val="0"/>
        </w:rPr>
        <w:fldChar w:fldCharType="end"/>
      </w:r>
      <w:r>
        <w:rPr>
          <w:i w:val="0"/>
          <w:iCs w:val="0"/>
          <w:color w:val="auto"/>
          <w:szCs w:val="24"/>
        </w:rPr>
        <w:fldChar w:fldCharType="end"/>
      </w:r>
    </w:p>
    <w:p w14:paraId="30DAE9CB">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_Toc30102 </w:instrText>
      </w:r>
      <w:r>
        <w:rPr>
          <w:i w:val="0"/>
          <w:iCs w:val="0"/>
          <w:szCs w:val="24"/>
        </w:rPr>
        <w:fldChar w:fldCharType="separate"/>
      </w:r>
      <w:r>
        <w:rPr>
          <w:rFonts w:eastAsia="宋体"/>
          <w:i w:val="0"/>
          <w:iCs w:val="0"/>
          <w:szCs w:val="28"/>
        </w:rPr>
        <w:t>5.1</w:t>
      </w:r>
      <w:r>
        <w:rPr>
          <w:rFonts w:eastAsia="宋体"/>
          <w:i w:val="0"/>
          <w:iCs w:val="0"/>
          <w:snapToGrid w:val="0"/>
          <w:kern w:val="0"/>
          <w:szCs w:val="28"/>
        </w:rPr>
        <w:t>施工期</w:t>
      </w:r>
      <w:r>
        <w:rPr>
          <w:rFonts w:eastAsia="宋体"/>
          <w:bCs/>
          <w:i w:val="0"/>
          <w:iCs w:val="0"/>
          <w:szCs w:val="28"/>
        </w:rPr>
        <w:t>环境影响预测与评价</w:t>
      </w:r>
      <w:r>
        <w:rPr>
          <w:i w:val="0"/>
          <w:iCs w:val="0"/>
        </w:rPr>
        <w:tab/>
      </w:r>
      <w:r>
        <w:rPr>
          <w:i w:val="0"/>
          <w:iCs w:val="0"/>
        </w:rPr>
        <w:fldChar w:fldCharType="begin"/>
      </w:r>
      <w:r>
        <w:rPr>
          <w:i w:val="0"/>
          <w:iCs w:val="0"/>
        </w:rPr>
        <w:instrText xml:space="preserve"> PAGEREF _Toc30102 \h </w:instrText>
      </w:r>
      <w:r>
        <w:rPr>
          <w:i w:val="0"/>
          <w:iCs w:val="0"/>
        </w:rPr>
        <w:fldChar w:fldCharType="separate"/>
      </w:r>
      <w:r>
        <w:rPr>
          <w:i w:val="0"/>
          <w:iCs w:val="0"/>
        </w:rPr>
        <w:t>- 138 -</w:t>
      </w:r>
      <w:r>
        <w:rPr>
          <w:i w:val="0"/>
          <w:iCs w:val="0"/>
        </w:rPr>
        <w:fldChar w:fldCharType="end"/>
      </w:r>
      <w:r>
        <w:rPr>
          <w:i w:val="0"/>
          <w:iCs w:val="0"/>
          <w:color w:val="auto"/>
          <w:szCs w:val="24"/>
        </w:rPr>
        <w:fldChar w:fldCharType="end"/>
      </w:r>
    </w:p>
    <w:p w14:paraId="4879AF99">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_Toc28286 </w:instrText>
      </w:r>
      <w:r>
        <w:rPr>
          <w:i w:val="0"/>
          <w:iCs w:val="0"/>
          <w:szCs w:val="24"/>
        </w:rPr>
        <w:fldChar w:fldCharType="separate"/>
      </w:r>
      <w:r>
        <w:rPr>
          <w:rFonts w:ascii="Times New Roman" w:hAnsi="Times New Roman" w:eastAsia="宋体"/>
          <w:bCs/>
          <w:i w:val="0"/>
          <w:iCs w:val="0"/>
          <w:szCs w:val="28"/>
        </w:rPr>
        <w:t>5.1.1施工期大气环境影响分析</w:t>
      </w:r>
      <w:r>
        <w:rPr>
          <w:i w:val="0"/>
          <w:iCs w:val="0"/>
        </w:rPr>
        <w:tab/>
      </w:r>
      <w:r>
        <w:rPr>
          <w:i w:val="0"/>
          <w:iCs w:val="0"/>
        </w:rPr>
        <w:fldChar w:fldCharType="begin"/>
      </w:r>
      <w:r>
        <w:rPr>
          <w:i w:val="0"/>
          <w:iCs w:val="0"/>
        </w:rPr>
        <w:instrText xml:space="preserve"> PAGEREF _Toc28286 \h </w:instrText>
      </w:r>
      <w:r>
        <w:rPr>
          <w:i w:val="0"/>
          <w:iCs w:val="0"/>
        </w:rPr>
        <w:fldChar w:fldCharType="separate"/>
      </w:r>
      <w:r>
        <w:rPr>
          <w:i w:val="0"/>
          <w:iCs w:val="0"/>
        </w:rPr>
        <w:t>- 138 -</w:t>
      </w:r>
      <w:r>
        <w:rPr>
          <w:i w:val="0"/>
          <w:iCs w:val="0"/>
        </w:rPr>
        <w:fldChar w:fldCharType="end"/>
      </w:r>
      <w:r>
        <w:rPr>
          <w:i w:val="0"/>
          <w:iCs w:val="0"/>
          <w:color w:val="auto"/>
          <w:szCs w:val="24"/>
        </w:rPr>
        <w:fldChar w:fldCharType="end"/>
      </w:r>
    </w:p>
    <w:p w14:paraId="3B5609D0">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_Toc11905 </w:instrText>
      </w:r>
      <w:r>
        <w:rPr>
          <w:i w:val="0"/>
          <w:iCs w:val="0"/>
          <w:szCs w:val="24"/>
        </w:rPr>
        <w:fldChar w:fldCharType="separate"/>
      </w:r>
      <w:r>
        <w:rPr>
          <w:rFonts w:ascii="Times New Roman" w:hAnsi="Times New Roman" w:eastAsia="宋体"/>
          <w:bCs/>
          <w:i w:val="0"/>
          <w:iCs w:val="0"/>
          <w:szCs w:val="28"/>
        </w:rPr>
        <w:t>5.1.2施工期水环境影响分析</w:t>
      </w:r>
      <w:r>
        <w:rPr>
          <w:i w:val="0"/>
          <w:iCs w:val="0"/>
        </w:rPr>
        <w:tab/>
      </w:r>
      <w:r>
        <w:rPr>
          <w:i w:val="0"/>
          <w:iCs w:val="0"/>
        </w:rPr>
        <w:fldChar w:fldCharType="begin"/>
      </w:r>
      <w:r>
        <w:rPr>
          <w:i w:val="0"/>
          <w:iCs w:val="0"/>
        </w:rPr>
        <w:instrText xml:space="preserve"> PAGEREF _Toc11905 \h </w:instrText>
      </w:r>
      <w:r>
        <w:rPr>
          <w:i w:val="0"/>
          <w:iCs w:val="0"/>
        </w:rPr>
        <w:fldChar w:fldCharType="separate"/>
      </w:r>
      <w:r>
        <w:rPr>
          <w:i w:val="0"/>
          <w:iCs w:val="0"/>
        </w:rPr>
        <w:t>- 139 -</w:t>
      </w:r>
      <w:r>
        <w:rPr>
          <w:i w:val="0"/>
          <w:iCs w:val="0"/>
        </w:rPr>
        <w:fldChar w:fldCharType="end"/>
      </w:r>
      <w:r>
        <w:rPr>
          <w:i w:val="0"/>
          <w:iCs w:val="0"/>
          <w:color w:val="auto"/>
          <w:szCs w:val="24"/>
        </w:rPr>
        <w:fldChar w:fldCharType="end"/>
      </w:r>
    </w:p>
    <w:p w14:paraId="65D2CB66">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_Toc30133 </w:instrText>
      </w:r>
      <w:r>
        <w:rPr>
          <w:i w:val="0"/>
          <w:iCs w:val="0"/>
          <w:szCs w:val="24"/>
        </w:rPr>
        <w:fldChar w:fldCharType="separate"/>
      </w:r>
      <w:r>
        <w:rPr>
          <w:rFonts w:ascii="Times New Roman" w:hAnsi="Times New Roman" w:eastAsia="宋体"/>
          <w:bCs/>
          <w:i w:val="0"/>
          <w:iCs w:val="0"/>
          <w:szCs w:val="28"/>
        </w:rPr>
        <w:t>5.1.3施工期声环境影响分析</w:t>
      </w:r>
      <w:r>
        <w:rPr>
          <w:i w:val="0"/>
          <w:iCs w:val="0"/>
        </w:rPr>
        <w:tab/>
      </w:r>
      <w:r>
        <w:rPr>
          <w:i w:val="0"/>
          <w:iCs w:val="0"/>
        </w:rPr>
        <w:fldChar w:fldCharType="begin"/>
      </w:r>
      <w:r>
        <w:rPr>
          <w:i w:val="0"/>
          <w:iCs w:val="0"/>
        </w:rPr>
        <w:instrText xml:space="preserve"> PAGEREF _Toc30133 \h </w:instrText>
      </w:r>
      <w:r>
        <w:rPr>
          <w:i w:val="0"/>
          <w:iCs w:val="0"/>
        </w:rPr>
        <w:fldChar w:fldCharType="separate"/>
      </w:r>
      <w:r>
        <w:rPr>
          <w:i w:val="0"/>
          <w:iCs w:val="0"/>
        </w:rPr>
        <w:t>- 139 -</w:t>
      </w:r>
      <w:r>
        <w:rPr>
          <w:i w:val="0"/>
          <w:iCs w:val="0"/>
        </w:rPr>
        <w:fldChar w:fldCharType="end"/>
      </w:r>
      <w:r>
        <w:rPr>
          <w:i w:val="0"/>
          <w:iCs w:val="0"/>
          <w:color w:val="auto"/>
          <w:szCs w:val="24"/>
        </w:rPr>
        <w:fldChar w:fldCharType="end"/>
      </w:r>
    </w:p>
    <w:p w14:paraId="32A18F3E">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_Toc13325 </w:instrText>
      </w:r>
      <w:r>
        <w:rPr>
          <w:i w:val="0"/>
          <w:iCs w:val="0"/>
          <w:szCs w:val="24"/>
        </w:rPr>
        <w:fldChar w:fldCharType="separate"/>
      </w:r>
      <w:r>
        <w:rPr>
          <w:rFonts w:ascii="Times New Roman" w:hAnsi="Times New Roman" w:eastAsia="宋体"/>
          <w:bCs/>
          <w:i w:val="0"/>
          <w:iCs w:val="0"/>
          <w:szCs w:val="28"/>
        </w:rPr>
        <w:t>5.1.4施工期固体废物环境影响分析</w:t>
      </w:r>
      <w:r>
        <w:rPr>
          <w:i w:val="0"/>
          <w:iCs w:val="0"/>
        </w:rPr>
        <w:tab/>
      </w:r>
      <w:r>
        <w:rPr>
          <w:i w:val="0"/>
          <w:iCs w:val="0"/>
        </w:rPr>
        <w:fldChar w:fldCharType="begin"/>
      </w:r>
      <w:r>
        <w:rPr>
          <w:i w:val="0"/>
          <w:iCs w:val="0"/>
        </w:rPr>
        <w:instrText xml:space="preserve"> PAGEREF _Toc13325 \h </w:instrText>
      </w:r>
      <w:r>
        <w:rPr>
          <w:i w:val="0"/>
          <w:iCs w:val="0"/>
        </w:rPr>
        <w:fldChar w:fldCharType="separate"/>
      </w:r>
      <w:r>
        <w:rPr>
          <w:i w:val="0"/>
          <w:iCs w:val="0"/>
        </w:rPr>
        <w:t>- 140 -</w:t>
      </w:r>
      <w:r>
        <w:rPr>
          <w:i w:val="0"/>
          <w:iCs w:val="0"/>
        </w:rPr>
        <w:fldChar w:fldCharType="end"/>
      </w:r>
      <w:r>
        <w:rPr>
          <w:i w:val="0"/>
          <w:iCs w:val="0"/>
          <w:color w:val="auto"/>
          <w:szCs w:val="24"/>
        </w:rPr>
        <w:fldChar w:fldCharType="end"/>
      </w:r>
    </w:p>
    <w:p w14:paraId="2DF04268">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_Toc26 </w:instrText>
      </w:r>
      <w:r>
        <w:rPr>
          <w:i w:val="0"/>
          <w:iCs w:val="0"/>
          <w:szCs w:val="24"/>
        </w:rPr>
        <w:fldChar w:fldCharType="separate"/>
      </w:r>
      <w:r>
        <w:rPr>
          <w:rFonts w:ascii="Times New Roman" w:hAnsi="Times New Roman" w:eastAsia="宋体"/>
          <w:bCs/>
          <w:i w:val="0"/>
          <w:iCs w:val="0"/>
          <w:szCs w:val="28"/>
        </w:rPr>
        <w:t>5.1.5施工期生态环境影响分析</w:t>
      </w:r>
      <w:r>
        <w:rPr>
          <w:i w:val="0"/>
          <w:iCs w:val="0"/>
        </w:rPr>
        <w:tab/>
      </w:r>
      <w:r>
        <w:rPr>
          <w:i w:val="0"/>
          <w:iCs w:val="0"/>
        </w:rPr>
        <w:fldChar w:fldCharType="begin"/>
      </w:r>
      <w:r>
        <w:rPr>
          <w:i w:val="0"/>
          <w:iCs w:val="0"/>
        </w:rPr>
        <w:instrText xml:space="preserve"> PAGEREF _Toc26 \h </w:instrText>
      </w:r>
      <w:r>
        <w:rPr>
          <w:i w:val="0"/>
          <w:iCs w:val="0"/>
        </w:rPr>
        <w:fldChar w:fldCharType="separate"/>
      </w:r>
      <w:r>
        <w:rPr>
          <w:i w:val="0"/>
          <w:iCs w:val="0"/>
        </w:rPr>
        <w:t>- 140 -</w:t>
      </w:r>
      <w:r>
        <w:rPr>
          <w:i w:val="0"/>
          <w:iCs w:val="0"/>
        </w:rPr>
        <w:fldChar w:fldCharType="end"/>
      </w:r>
      <w:r>
        <w:rPr>
          <w:i w:val="0"/>
          <w:iCs w:val="0"/>
          <w:color w:val="auto"/>
          <w:szCs w:val="24"/>
        </w:rPr>
        <w:fldChar w:fldCharType="end"/>
      </w:r>
    </w:p>
    <w:p w14:paraId="7A84D079">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_Toc32231 </w:instrText>
      </w:r>
      <w:r>
        <w:rPr>
          <w:i w:val="0"/>
          <w:iCs w:val="0"/>
          <w:szCs w:val="24"/>
        </w:rPr>
        <w:fldChar w:fldCharType="separate"/>
      </w:r>
      <w:r>
        <w:rPr>
          <w:rFonts w:eastAsia="宋体"/>
          <w:i w:val="0"/>
          <w:iCs w:val="0"/>
          <w:szCs w:val="30"/>
        </w:rPr>
        <w:t>5.2</w:t>
      </w:r>
      <w:r>
        <w:rPr>
          <w:rFonts w:eastAsia="宋体"/>
          <w:i w:val="0"/>
          <w:iCs w:val="0"/>
          <w:snapToGrid w:val="0"/>
          <w:kern w:val="0"/>
          <w:szCs w:val="30"/>
        </w:rPr>
        <w:t>运营期</w:t>
      </w:r>
      <w:r>
        <w:rPr>
          <w:rFonts w:eastAsia="宋体"/>
          <w:bCs/>
          <w:i w:val="0"/>
          <w:iCs w:val="0"/>
          <w:snapToGrid w:val="0"/>
          <w:kern w:val="0"/>
          <w:szCs w:val="30"/>
        </w:rPr>
        <w:t>环境影响预测与评价</w:t>
      </w:r>
      <w:r>
        <w:rPr>
          <w:i w:val="0"/>
          <w:iCs w:val="0"/>
        </w:rPr>
        <w:tab/>
      </w:r>
      <w:r>
        <w:rPr>
          <w:i w:val="0"/>
          <w:iCs w:val="0"/>
        </w:rPr>
        <w:fldChar w:fldCharType="begin"/>
      </w:r>
      <w:r>
        <w:rPr>
          <w:i w:val="0"/>
          <w:iCs w:val="0"/>
        </w:rPr>
        <w:instrText xml:space="preserve"> PAGEREF _Toc32231 \h </w:instrText>
      </w:r>
      <w:r>
        <w:rPr>
          <w:i w:val="0"/>
          <w:iCs w:val="0"/>
        </w:rPr>
        <w:fldChar w:fldCharType="separate"/>
      </w:r>
      <w:r>
        <w:rPr>
          <w:i w:val="0"/>
          <w:iCs w:val="0"/>
        </w:rPr>
        <w:t>- 143 -</w:t>
      </w:r>
      <w:r>
        <w:rPr>
          <w:i w:val="0"/>
          <w:iCs w:val="0"/>
        </w:rPr>
        <w:fldChar w:fldCharType="end"/>
      </w:r>
      <w:r>
        <w:rPr>
          <w:i w:val="0"/>
          <w:iCs w:val="0"/>
          <w:color w:val="auto"/>
          <w:szCs w:val="24"/>
        </w:rPr>
        <w:fldChar w:fldCharType="end"/>
      </w:r>
    </w:p>
    <w:p w14:paraId="4B02ACE8">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_Toc14611 </w:instrText>
      </w:r>
      <w:r>
        <w:rPr>
          <w:i w:val="0"/>
          <w:iCs w:val="0"/>
          <w:szCs w:val="24"/>
        </w:rPr>
        <w:fldChar w:fldCharType="separate"/>
      </w:r>
      <w:r>
        <w:rPr>
          <w:rFonts w:ascii="Times New Roman" w:hAnsi="Times New Roman" w:eastAsia="宋体"/>
          <w:bCs/>
          <w:i w:val="0"/>
          <w:iCs w:val="0"/>
          <w:szCs w:val="28"/>
        </w:rPr>
        <w:t>5.2.1运营期大气环境影响预测与评价</w:t>
      </w:r>
      <w:r>
        <w:rPr>
          <w:i w:val="0"/>
          <w:iCs w:val="0"/>
        </w:rPr>
        <w:tab/>
      </w:r>
      <w:r>
        <w:rPr>
          <w:i w:val="0"/>
          <w:iCs w:val="0"/>
        </w:rPr>
        <w:fldChar w:fldCharType="begin"/>
      </w:r>
      <w:r>
        <w:rPr>
          <w:i w:val="0"/>
          <w:iCs w:val="0"/>
        </w:rPr>
        <w:instrText xml:space="preserve"> PAGEREF _Toc14611 \h </w:instrText>
      </w:r>
      <w:r>
        <w:rPr>
          <w:i w:val="0"/>
          <w:iCs w:val="0"/>
        </w:rPr>
        <w:fldChar w:fldCharType="separate"/>
      </w:r>
      <w:r>
        <w:rPr>
          <w:i w:val="0"/>
          <w:iCs w:val="0"/>
        </w:rPr>
        <w:t>- 143 -</w:t>
      </w:r>
      <w:r>
        <w:rPr>
          <w:i w:val="0"/>
          <w:iCs w:val="0"/>
        </w:rPr>
        <w:fldChar w:fldCharType="end"/>
      </w:r>
      <w:r>
        <w:rPr>
          <w:i w:val="0"/>
          <w:iCs w:val="0"/>
          <w:color w:val="auto"/>
          <w:szCs w:val="24"/>
        </w:rPr>
        <w:fldChar w:fldCharType="end"/>
      </w:r>
    </w:p>
    <w:p w14:paraId="1CF944B8">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_Toc6785 </w:instrText>
      </w:r>
      <w:r>
        <w:rPr>
          <w:i w:val="0"/>
          <w:iCs w:val="0"/>
          <w:szCs w:val="24"/>
        </w:rPr>
        <w:fldChar w:fldCharType="separate"/>
      </w:r>
      <w:r>
        <w:rPr>
          <w:rFonts w:ascii="Times New Roman" w:hAnsi="Times New Roman" w:eastAsia="宋体"/>
          <w:bCs/>
          <w:i w:val="0"/>
          <w:iCs w:val="0"/>
          <w:szCs w:val="28"/>
        </w:rPr>
        <w:t>5.2.2运营期地表水环境影响分析</w:t>
      </w:r>
      <w:r>
        <w:rPr>
          <w:i w:val="0"/>
          <w:iCs w:val="0"/>
        </w:rPr>
        <w:tab/>
      </w:r>
      <w:r>
        <w:rPr>
          <w:i w:val="0"/>
          <w:iCs w:val="0"/>
        </w:rPr>
        <w:fldChar w:fldCharType="begin"/>
      </w:r>
      <w:r>
        <w:rPr>
          <w:i w:val="0"/>
          <w:iCs w:val="0"/>
        </w:rPr>
        <w:instrText xml:space="preserve"> PAGEREF _Toc6785 \h </w:instrText>
      </w:r>
      <w:r>
        <w:rPr>
          <w:i w:val="0"/>
          <w:iCs w:val="0"/>
        </w:rPr>
        <w:fldChar w:fldCharType="separate"/>
      </w:r>
      <w:r>
        <w:rPr>
          <w:i w:val="0"/>
          <w:iCs w:val="0"/>
        </w:rPr>
        <w:t>- 160 -</w:t>
      </w:r>
      <w:r>
        <w:rPr>
          <w:i w:val="0"/>
          <w:iCs w:val="0"/>
        </w:rPr>
        <w:fldChar w:fldCharType="end"/>
      </w:r>
      <w:r>
        <w:rPr>
          <w:i w:val="0"/>
          <w:iCs w:val="0"/>
          <w:color w:val="auto"/>
          <w:szCs w:val="24"/>
        </w:rPr>
        <w:fldChar w:fldCharType="end"/>
      </w:r>
    </w:p>
    <w:p w14:paraId="674FE7D0">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_Toc27471 </w:instrText>
      </w:r>
      <w:r>
        <w:rPr>
          <w:i w:val="0"/>
          <w:iCs w:val="0"/>
          <w:szCs w:val="24"/>
        </w:rPr>
        <w:fldChar w:fldCharType="separate"/>
      </w:r>
      <w:r>
        <w:rPr>
          <w:rFonts w:ascii="Times New Roman" w:hAnsi="Times New Roman" w:eastAsia="宋体"/>
          <w:bCs/>
          <w:i w:val="0"/>
          <w:iCs w:val="0"/>
          <w:szCs w:val="28"/>
        </w:rPr>
        <w:t>5.2.3运营期地下水环境影响分析</w:t>
      </w:r>
      <w:r>
        <w:rPr>
          <w:i w:val="0"/>
          <w:iCs w:val="0"/>
        </w:rPr>
        <w:tab/>
      </w:r>
      <w:r>
        <w:rPr>
          <w:i w:val="0"/>
          <w:iCs w:val="0"/>
        </w:rPr>
        <w:fldChar w:fldCharType="begin"/>
      </w:r>
      <w:r>
        <w:rPr>
          <w:i w:val="0"/>
          <w:iCs w:val="0"/>
        </w:rPr>
        <w:instrText xml:space="preserve"> PAGEREF _Toc27471 \h </w:instrText>
      </w:r>
      <w:r>
        <w:rPr>
          <w:i w:val="0"/>
          <w:iCs w:val="0"/>
        </w:rPr>
        <w:fldChar w:fldCharType="separate"/>
      </w:r>
      <w:r>
        <w:rPr>
          <w:i w:val="0"/>
          <w:iCs w:val="0"/>
        </w:rPr>
        <w:t>- 164 -</w:t>
      </w:r>
      <w:r>
        <w:rPr>
          <w:i w:val="0"/>
          <w:iCs w:val="0"/>
        </w:rPr>
        <w:fldChar w:fldCharType="end"/>
      </w:r>
      <w:r>
        <w:rPr>
          <w:i w:val="0"/>
          <w:iCs w:val="0"/>
          <w:color w:val="auto"/>
          <w:szCs w:val="24"/>
        </w:rPr>
        <w:fldChar w:fldCharType="end"/>
      </w:r>
    </w:p>
    <w:p w14:paraId="254A17CF">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_Toc20430 </w:instrText>
      </w:r>
      <w:r>
        <w:rPr>
          <w:i w:val="0"/>
          <w:iCs w:val="0"/>
          <w:szCs w:val="24"/>
        </w:rPr>
        <w:fldChar w:fldCharType="separate"/>
      </w:r>
      <w:r>
        <w:rPr>
          <w:rFonts w:ascii="Times New Roman" w:hAnsi="Times New Roman" w:eastAsia="宋体"/>
          <w:bCs/>
          <w:i w:val="0"/>
          <w:iCs w:val="0"/>
          <w:szCs w:val="28"/>
        </w:rPr>
        <w:t>5.2.</w:t>
      </w:r>
      <w:r>
        <w:rPr>
          <w:rFonts w:hint="eastAsia" w:ascii="Times New Roman" w:hAnsi="Times New Roman" w:eastAsia="宋体"/>
          <w:bCs/>
          <w:i w:val="0"/>
          <w:iCs w:val="0"/>
          <w:szCs w:val="28"/>
        </w:rPr>
        <w:t>4</w:t>
      </w:r>
      <w:r>
        <w:rPr>
          <w:rFonts w:ascii="Times New Roman" w:hAnsi="Times New Roman" w:eastAsia="宋体"/>
          <w:bCs/>
          <w:i w:val="0"/>
          <w:iCs w:val="0"/>
          <w:szCs w:val="28"/>
        </w:rPr>
        <w:t>运营期噪声环境影响分析</w:t>
      </w:r>
      <w:r>
        <w:rPr>
          <w:i w:val="0"/>
          <w:iCs w:val="0"/>
        </w:rPr>
        <w:tab/>
      </w:r>
      <w:r>
        <w:rPr>
          <w:i w:val="0"/>
          <w:iCs w:val="0"/>
        </w:rPr>
        <w:fldChar w:fldCharType="begin"/>
      </w:r>
      <w:r>
        <w:rPr>
          <w:i w:val="0"/>
          <w:iCs w:val="0"/>
        </w:rPr>
        <w:instrText xml:space="preserve"> PAGEREF _Toc20430 \h </w:instrText>
      </w:r>
      <w:r>
        <w:rPr>
          <w:i w:val="0"/>
          <w:iCs w:val="0"/>
        </w:rPr>
        <w:fldChar w:fldCharType="separate"/>
      </w:r>
      <w:r>
        <w:rPr>
          <w:i w:val="0"/>
          <w:iCs w:val="0"/>
        </w:rPr>
        <w:t>- 174 -</w:t>
      </w:r>
      <w:r>
        <w:rPr>
          <w:i w:val="0"/>
          <w:iCs w:val="0"/>
        </w:rPr>
        <w:fldChar w:fldCharType="end"/>
      </w:r>
      <w:r>
        <w:rPr>
          <w:i w:val="0"/>
          <w:iCs w:val="0"/>
          <w:color w:val="auto"/>
          <w:szCs w:val="24"/>
        </w:rPr>
        <w:fldChar w:fldCharType="end"/>
      </w:r>
    </w:p>
    <w:p w14:paraId="376A1807">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_Toc15113 </w:instrText>
      </w:r>
      <w:r>
        <w:rPr>
          <w:i w:val="0"/>
          <w:iCs w:val="0"/>
          <w:szCs w:val="24"/>
        </w:rPr>
        <w:fldChar w:fldCharType="separate"/>
      </w:r>
      <w:r>
        <w:rPr>
          <w:rFonts w:ascii="Times New Roman" w:hAnsi="Times New Roman" w:eastAsia="宋体"/>
          <w:bCs/>
          <w:i w:val="0"/>
          <w:iCs w:val="0"/>
          <w:szCs w:val="28"/>
        </w:rPr>
        <w:t>5.2.</w:t>
      </w:r>
      <w:r>
        <w:rPr>
          <w:rFonts w:hint="eastAsia" w:ascii="Times New Roman" w:hAnsi="Times New Roman" w:eastAsia="宋体"/>
          <w:bCs/>
          <w:i w:val="0"/>
          <w:iCs w:val="0"/>
          <w:szCs w:val="28"/>
        </w:rPr>
        <w:t>5</w:t>
      </w:r>
      <w:r>
        <w:rPr>
          <w:rFonts w:ascii="Times New Roman" w:hAnsi="Times New Roman" w:eastAsia="宋体"/>
          <w:bCs/>
          <w:i w:val="0"/>
          <w:iCs w:val="0"/>
          <w:szCs w:val="28"/>
        </w:rPr>
        <w:t>运营期固体废物环境影响分析</w:t>
      </w:r>
      <w:r>
        <w:rPr>
          <w:i w:val="0"/>
          <w:iCs w:val="0"/>
        </w:rPr>
        <w:tab/>
      </w:r>
      <w:r>
        <w:rPr>
          <w:i w:val="0"/>
          <w:iCs w:val="0"/>
        </w:rPr>
        <w:fldChar w:fldCharType="begin"/>
      </w:r>
      <w:r>
        <w:rPr>
          <w:i w:val="0"/>
          <w:iCs w:val="0"/>
        </w:rPr>
        <w:instrText xml:space="preserve"> PAGEREF _Toc15113 \h </w:instrText>
      </w:r>
      <w:r>
        <w:rPr>
          <w:i w:val="0"/>
          <w:iCs w:val="0"/>
        </w:rPr>
        <w:fldChar w:fldCharType="separate"/>
      </w:r>
      <w:r>
        <w:rPr>
          <w:i w:val="0"/>
          <w:iCs w:val="0"/>
        </w:rPr>
        <w:t>- 183 -</w:t>
      </w:r>
      <w:r>
        <w:rPr>
          <w:i w:val="0"/>
          <w:iCs w:val="0"/>
        </w:rPr>
        <w:fldChar w:fldCharType="end"/>
      </w:r>
      <w:r>
        <w:rPr>
          <w:i w:val="0"/>
          <w:iCs w:val="0"/>
          <w:color w:val="auto"/>
          <w:szCs w:val="24"/>
        </w:rPr>
        <w:fldChar w:fldCharType="end"/>
      </w:r>
    </w:p>
    <w:p w14:paraId="360B74B6">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_Toc5862 </w:instrText>
      </w:r>
      <w:r>
        <w:rPr>
          <w:i w:val="0"/>
          <w:iCs w:val="0"/>
          <w:szCs w:val="24"/>
        </w:rPr>
        <w:fldChar w:fldCharType="separate"/>
      </w:r>
      <w:r>
        <w:rPr>
          <w:rFonts w:ascii="Times New Roman" w:hAnsi="Times New Roman" w:eastAsia="宋体"/>
          <w:bCs/>
          <w:i w:val="0"/>
          <w:iCs w:val="0"/>
          <w:szCs w:val="28"/>
        </w:rPr>
        <w:t>5.2.</w:t>
      </w:r>
      <w:r>
        <w:rPr>
          <w:rFonts w:hint="eastAsia" w:ascii="Times New Roman" w:hAnsi="Times New Roman" w:eastAsia="宋体"/>
          <w:bCs/>
          <w:i w:val="0"/>
          <w:iCs w:val="0"/>
          <w:szCs w:val="28"/>
        </w:rPr>
        <w:t>6</w:t>
      </w:r>
      <w:r>
        <w:rPr>
          <w:rFonts w:ascii="Times New Roman" w:hAnsi="Times New Roman" w:eastAsia="宋体"/>
          <w:bCs/>
          <w:i w:val="0"/>
          <w:iCs w:val="0"/>
          <w:szCs w:val="28"/>
        </w:rPr>
        <w:t>土壤环境影响评价</w:t>
      </w:r>
      <w:r>
        <w:rPr>
          <w:i w:val="0"/>
          <w:iCs w:val="0"/>
        </w:rPr>
        <w:tab/>
      </w:r>
      <w:r>
        <w:rPr>
          <w:i w:val="0"/>
          <w:iCs w:val="0"/>
        </w:rPr>
        <w:fldChar w:fldCharType="begin"/>
      </w:r>
      <w:r>
        <w:rPr>
          <w:i w:val="0"/>
          <w:iCs w:val="0"/>
        </w:rPr>
        <w:instrText xml:space="preserve"> PAGEREF _Toc5862 \h </w:instrText>
      </w:r>
      <w:r>
        <w:rPr>
          <w:i w:val="0"/>
          <w:iCs w:val="0"/>
        </w:rPr>
        <w:fldChar w:fldCharType="separate"/>
      </w:r>
      <w:r>
        <w:rPr>
          <w:i w:val="0"/>
          <w:iCs w:val="0"/>
        </w:rPr>
        <w:t>- 187 -</w:t>
      </w:r>
      <w:r>
        <w:rPr>
          <w:i w:val="0"/>
          <w:iCs w:val="0"/>
        </w:rPr>
        <w:fldChar w:fldCharType="end"/>
      </w:r>
      <w:r>
        <w:rPr>
          <w:i w:val="0"/>
          <w:iCs w:val="0"/>
          <w:color w:val="auto"/>
          <w:szCs w:val="24"/>
        </w:rPr>
        <w:fldChar w:fldCharType="end"/>
      </w:r>
    </w:p>
    <w:p w14:paraId="06F74B19">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_Toc13205 </w:instrText>
      </w:r>
      <w:r>
        <w:rPr>
          <w:i w:val="0"/>
          <w:iCs w:val="0"/>
          <w:szCs w:val="24"/>
        </w:rPr>
        <w:fldChar w:fldCharType="separate"/>
      </w:r>
      <w:r>
        <w:rPr>
          <w:rFonts w:ascii="Times New Roman" w:hAnsi="Times New Roman" w:eastAsia="宋体"/>
          <w:bCs/>
          <w:i w:val="0"/>
          <w:iCs w:val="0"/>
          <w:szCs w:val="28"/>
        </w:rPr>
        <w:t>5.2.</w:t>
      </w:r>
      <w:r>
        <w:rPr>
          <w:rFonts w:hint="eastAsia" w:ascii="Times New Roman" w:hAnsi="Times New Roman" w:eastAsia="宋体"/>
          <w:bCs/>
          <w:i w:val="0"/>
          <w:iCs w:val="0"/>
          <w:szCs w:val="28"/>
        </w:rPr>
        <w:t>7</w:t>
      </w:r>
      <w:r>
        <w:rPr>
          <w:rFonts w:ascii="Times New Roman" w:hAnsi="Times New Roman" w:eastAsia="宋体"/>
          <w:bCs/>
          <w:i w:val="0"/>
          <w:iCs w:val="0"/>
          <w:szCs w:val="28"/>
        </w:rPr>
        <w:t>生态环境影响分析</w:t>
      </w:r>
      <w:r>
        <w:rPr>
          <w:i w:val="0"/>
          <w:iCs w:val="0"/>
        </w:rPr>
        <w:tab/>
      </w:r>
      <w:r>
        <w:rPr>
          <w:i w:val="0"/>
          <w:iCs w:val="0"/>
        </w:rPr>
        <w:fldChar w:fldCharType="begin"/>
      </w:r>
      <w:r>
        <w:rPr>
          <w:i w:val="0"/>
          <w:iCs w:val="0"/>
        </w:rPr>
        <w:instrText xml:space="preserve"> PAGEREF _Toc13205 \h </w:instrText>
      </w:r>
      <w:r>
        <w:rPr>
          <w:i w:val="0"/>
          <w:iCs w:val="0"/>
        </w:rPr>
        <w:fldChar w:fldCharType="separate"/>
      </w:r>
      <w:r>
        <w:rPr>
          <w:i w:val="0"/>
          <w:iCs w:val="0"/>
        </w:rPr>
        <w:t>- 192 -</w:t>
      </w:r>
      <w:r>
        <w:rPr>
          <w:i w:val="0"/>
          <w:iCs w:val="0"/>
        </w:rPr>
        <w:fldChar w:fldCharType="end"/>
      </w:r>
      <w:r>
        <w:rPr>
          <w:i w:val="0"/>
          <w:iCs w:val="0"/>
          <w:color w:val="auto"/>
          <w:szCs w:val="24"/>
        </w:rPr>
        <w:fldChar w:fldCharType="end"/>
      </w:r>
    </w:p>
    <w:p w14:paraId="7EB843DB">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_Toc29153 </w:instrText>
      </w:r>
      <w:r>
        <w:rPr>
          <w:i w:val="0"/>
          <w:iCs w:val="0"/>
          <w:szCs w:val="24"/>
        </w:rPr>
        <w:fldChar w:fldCharType="separate"/>
      </w:r>
      <w:r>
        <w:rPr>
          <w:rFonts w:hint="eastAsia" w:ascii="Times New Roman" w:hAnsi="Times New Roman" w:eastAsia="宋体"/>
          <w:bCs/>
          <w:i w:val="0"/>
          <w:iCs w:val="0"/>
          <w:szCs w:val="28"/>
          <w:lang w:val="en-US" w:eastAsia="zh-CN"/>
        </w:rPr>
        <w:t>5.2.8</w:t>
      </w:r>
      <w:r>
        <w:rPr>
          <w:rFonts w:ascii="Times New Roman" w:hAnsi="Times New Roman" w:eastAsia="宋体"/>
          <w:bCs/>
          <w:i w:val="0"/>
          <w:iCs w:val="0"/>
          <w:szCs w:val="28"/>
          <w:lang w:val="en-US" w:eastAsia="zh-CN"/>
        </w:rPr>
        <w:t>运输过程影响分析</w:t>
      </w:r>
      <w:r>
        <w:rPr>
          <w:i w:val="0"/>
          <w:iCs w:val="0"/>
        </w:rPr>
        <w:tab/>
      </w:r>
      <w:r>
        <w:rPr>
          <w:i w:val="0"/>
          <w:iCs w:val="0"/>
        </w:rPr>
        <w:fldChar w:fldCharType="begin"/>
      </w:r>
      <w:r>
        <w:rPr>
          <w:i w:val="0"/>
          <w:iCs w:val="0"/>
        </w:rPr>
        <w:instrText xml:space="preserve"> PAGEREF _Toc29153 \h </w:instrText>
      </w:r>
      <w:r>
        <w:rPr>
          <w:i w:val="0"/>
          <w:iCs w:val="0"/>
        </w:rPr>
        <w:fldChar w:fldCharType="separate"/>
      </w:r>
      <w:r>
        <w:rPr>
          <w:i w:val="0"/>
          <w:iCs w:val="0"/>
        </w:rPr>
        <w:t>- 194 -</w:t>
      </w:r>
      <w:r>
        <w:rPr>
          <w:i w:val="0"/>
          <w:iCs w:val="0"/>
        </w:rPr>
        <w:fldChar w:fldCharType="end"/>
      </w:r>
      <w:r>
        <w:rPr>
          <w:i w:val="0"/>
          <w:iCs w:val="0"/>
          <w:color w:val="auto"/>
          <w:szCs w:val="24"/>
        </w:rPr>
        <w:fldChar w:fldCharType="end"/>
      </w:r>
    </w:p>
    <w:p w14:paraId="26BD5F5E">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_Toc19042 </w:instrText>
      </w:r>
      <w:r>
        <w:rPr>
          <w:i w:val="0"/>
          <w:iCs w:val="0"/>
          <w:szCs w:val="24"/>
        </w:rPr>
        <w:fldChar w:fldCharType="separate"/>
      </w:r>
      <w:r>
        <w:rPr>
          <w:rFonts w:ascii="Times New Roman" w:hAnsi="Times New Roman" w:eastAsia="宋体"/>
          <w:i w:val="0"/>
          <w:iCs w:val="0"/>
          <w:szCs w:val="28"/>
        </w:rPr>
        <w:t>5.2.</w:t>
      </w:r>
      <w:r>
        <w:rPr>
          <w:rFonts w:hint="eastAsia" w:ascii="Times New Roman" w:hAnsi="Times New Roman" w:eastAsia="宋体"/>
          <w:i w:val="0"/>
          <w:iCs w:val="0"/>
          <w:szCs w:val="28"/>
          <w:lang w:val="en-US" w:eastAsia="zh-CN"/>
        </w:rPr>
        <w:t>9</w:t>
      </w:r>
      <w:r>
        <w:rPr>
          <w:rFonts w:ascii="Times New Roman" w:hAnsi="Times New Roman" w:eastAsia="宋体"/>
          <w:i w:val="0"/>
          <w:iCs w:val="0"/>
          <w:szCs w:val="28"/>
        </w:rPr>
        <w:t>外环境对本工程影响分析</w:t>
      </w:r>
      <w:r>
        <w:rPr>
          <w:i w:val="0"/>
          <w:iCs w:val="0"/>
        </w:rPr>
        <w:tab/>
      </w:r>
      <w:r>
        <w:rPr>
          <w:i w:val="0"/>
          <w:iCs w:val="0"/>
        </w:rPr>
        <w:fldChar w:fldCharType="begin"/>
      </w:r>
      <w:r>
        <w:rPr>
          <w:i w:val="0"/>
          <w:iCs w:val="0"/>
        </w:rPr>
        <w:instrText xml:space="preserve"> PAGEREF _Toc19042 \h </w:instrText>
      </w:r>
      <w:r>
        <w:rPr>
          <w:i w:val="0"/>
          <w:iCs w:val="0"/>
        </w:rPr>
        <w:fldChar w:fldCharType="separate"/>
      </w:r>
      <w:r>
        <w:rPr>
          <w:i w:val="0"/>
          <w:iCs w:val="0"/>
        </w:rPr>
        <w:t>- 195 -</w:t>
      </w:r>
      <w:r>
        <w:rPr>
          <w:i w:val="0"/>
          <w:iCs w:val="0"/>
        </w:rPr>
        <w:fldChar w:fldCharType="end"/>
      </w:r>
      <w:r>
        <w:rPr>
          <w:i w:val="0"/>
          <w:iCs w:val="0"/>
          <w:color w:val="auto"/>
          <w:szCs w:val="24"/>
        </w:rPr>
        <w:fldChar w:fldCharType="end"/>
      </w:r>
    </w:p>
    <w:p w14:paraId="4F597256">
      <w:pPr>
        <w:pStyle w:val="38"/>
        <w:tabs>
          <w:tab w:val="right" w:leader="dot" w:pos="8312"/>
        </w:tabs>
        <w:rPr>
          <w:i w:val="0"/>
          <w:iCs w:val="0"/>
        </w:rPr>
      </w:pPr>
      <w:r>
        <w:rPr>
          <w:i w:val="0"/>
          <w:iCs w:val="0"/>
          <w:color w:val="auto"/>
          <w:szCs w:val="24"/>
        </w:rPr>
        <w:fldChar w:fldCharType="begin"/>
      </w:r>
      <w:r>
        <w:rPr>
          <w:i w:val="0"/>
          <w:iCs w:val="0"/>
          <w:szCs w:val="24"/>
        </w:rPr>
        <w:instrText xml:space="preserve"> HYPERLINK \l _Toc21860 </w:instrText>
      </w:r>
      <w:r>
        <w:rPr>
          <w:i w:val="0"/>
          <w:iCs w:val="0"/>
          <w:szCs w:val="24"/>
        </w:rPr>
        <w:fldChar w:fldCharType="separate"/>
      </w:r>
      <w:r>
        <w:rPr>
          <w:rFonts w:hint="eastAsia" w:ascii="Times New Roman" w:eastAsia="宋体"/>
          <w:bCs/>
          <w:i w:val="0"/>
          <w:iCs w:val="0"/>
          <w:szCs w:val="32"/>
        </w:rPr>
        <w:t>6、环境风险评价</w:t>
      </w:r>
      <w:r>
        <w:rPr>
          <w:i w:val="0"/>
          <w:iCs w:val="0"/>
        </w:rPr>
        <w:tab/>
      </w:r>
      <w:r>
        <w:rPr>
          <w:i w:val="0"/>
          <w:iCs w:val="0"/>
        </w:rPr>
        <w:fldChar w:fldCharType="begin"/>
      </w:r>
      <w:r>
        <w:rPr>
          <w:i w:val="0"/>
          <w:iCs w:val="0"/>
        </w:rPr>
        <w:instrText xml:space="preserve"> PAGEREF _Toc21860 \h </w:instrText>
      </w:r>
      <w:r>
        <w:rPr>
          <w:i w:val="0"/>
          <w:iCs w:val="0"/>
        </w:rPr>
        <w:fldChar w:fldCharType="separate"/>
      </w:r>
      <w:r>
        <w:rPr>
          <w:i w:val="0"/>
          <w:iCs w:val="0"/>
        </w:rPr>
        <w:t>- 196 -</w:t>
      </w:r>
      <w:r>
        <w:rPr>
          <w:i w:val="0"/>
          <w:iCs w:val="0"/>
        </w:rPr>
        <w:fldChar w:fldCharType="end"/>
      </w:r>
      <w:r>
        <w:rPr>
          <w:i w:val="0"/>
          <w:iCs w:val="0"/>
          <w:color w:val="auto"/>
          <w:szCs w:val="24"/>
        </w:rPr>
        <w:fldChar w:fldCharType="end"/>
      </w:r>
    </w:p>
    <w:p w14:paraId="413589E2">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_Toc19135 </w:instrText>
      </w:r>
      <w:r>
        <w:rPr>
          <w:i w:val="0"/>
          <w:iCs w:val="0"/>
          <w:szCs w:val="24"/>
        </w:rPr>
        <w:fldChar w:fldCharType="separate"/>
      </w:r>
      <w:r>
        <w:rPr>
          <w:rFonts w:eastAsia="宋体"/>
          <w:i w:val="0"/>
          <w:iCs w:val="0"/>
          <w:szCs w:val="28"/>
        </w:rPr>
        <w:t>6.1评价目的与重点</w:t>
      </w:r>
      <w:r>
        <w:rPr>
          <w:i w:val="0"/>
          <w:iCs w:val="0"/>
        </w:rPr>
        <w:tab/>
      </w:r>
      <w:r>
        <w:rPr>
          <w:i w:val="0"/>
          <w:iCs w:val="0"/>
        </w:rPr>
        <w:fldChar w:fldCharType="begin"/>
      </w:r>
      <w:r>
        <w:rPr>
          <w:i w:val="0"/>
          <w:iCs w:val="0"/>
        </w:rPr>
        <w:instrText xml:space="preserve"> PAGEREF _Toc19135 \h </w:instrText>
      </w:r>
      <w:r>
        <w:rPr>
          <w:i w:val="0"/>
          <w:iCs w:val="0"/>
        </w:rPr>
        <w:fldChar w:fldCharType="separate"/>
      </w:r>
      <w:r>
        <w:rPr>
          <w:i w:val="0"/>
          <w:iCs w:val="0"/>
        </w:rPr>
        <w:t>- 196 -</w:t>
      </w:r>
      <w:r>
        <w:rPr>
          <w:i w:val="0"/>
          <w:iCs w:val="0"/>
        </w:rPr>
        <w:fldChar w:fldCharType="end"/>
      </w:r>
      <w:r>
        <w:rPr>
          <w:i w:val="0"/>
          <w:iCs w:val="0"/>
          <w:color w:val="auto"/>
          <w:szCs w:val="24"/>
        </w:rPr>
        <w:fldChar w:fldCharType="end"/>
      </w:r>
    </w:p>
    <w:p w14:paraId="1602D142">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_Toc27573 </w:instrText>
      </w:r>
      <w:r>
        <w:rPr>
          <w:i w:val="0"/>
          <w:iCs w:val="0"/>
          <w:szCs w:val="24"/>
        </w:rPr>
        <w:fldChar w:fldCharType="separate"/>
      </w:r>
      <w:r>
        <w:rPr>
          <w:rFonts w:eastAsia="宋体"/>
          <w:i w:val="0"/>
          <w:iCs w:val="0"/>
          <w:szCs w:val="28"/>
        </w:rPr>
        <w:t>6.2环境风险评价</w:t>
      </w:r>
      <w:r>
        <w:rPr>
          <w:i w:val="0"/>
          <w:iCs w:val="0"/>
        </w:rPr>
        <w:tab/>
      </w:r>
      <w:r>
        <w:rPr>
          <w:i w:val="0"/>
          <w:iCs w:val="0"/>
        </w:rPr>
        <w:fldChar w:fldCharType="begin"/>
      </w:r>
      <w:r>
        <w:rPr>
          <w:i w:val="0"/>
          <w:iCs w:val="0"/>
        </w:rPr>
        <w:instrText xml:space="preserve"> PAGEREF _Toc27573 \h </w:instrText>
      </w:r>
      <w:r>
        <w:rPr>
          <w:i w:val="0"/>
          <w:iCs w:val="0"/>
        </w:rPr>
        <w:fldChar w:fldCharType="separate"/>
      </w:r>
      <w:r>
        <w:rPr>
          <w:i w:val="0"/>
          <w:iCs w:val="0"/>
        </w:rPr>
        <w:t>- 196 -</w:t>
      </w:r>
      <w:r>
        <w:rPr>
          <w:i w:val="0"/>
          <w:iCs w:val="0"/>
        </w:rPr>
        <w:fldChar w:fldCharType="end"/>
      </w:r>
      <w:r>
        <w:rPr>
          <w:i w:val="0"/>
          <w:iCs w:val="0"/>
          <w:color w:val="auto"/>
          <w:szCs w:val="24"/>
        </w:rPr>
        <w:fldChar w:fldCharType="end"/>
      </w:r>
    </w:p>
    <w:p w14:paraId="0A8AB928">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_Toc31026 </w:instrText>
      </w:r>
      <w:r>
        <w:rPr>
          <w:i w:val="0"/>
          <w:iCs w:val="0"/>
          <w:szCs w:val="24"/>
        </w:rPr>
        <w:fldChar w:fldCharType="separate"/>
      </w:r>
      <w:r>
        <w:rPr>
          <w:rFonts w:ascii="Times New Roman" w:hAnsi="Times New Roman" w:eastAsia="宋体"/>
          <w:bCs/>
          <w:i w:val="0"/>
          <w:iCs w:val="0"/>
          <w:szCs w:val="28"/>
        </w:rPr>
        <w:t>6.2.1评价依据</w:t>
      </w:r>
      <w:r>
        <w:rPr>
          <w:i w:val="0"/>
          <w:iCs w:val="0"/>
        </w:rPr>
        <w:tab/>
      </w:r>
      <w:r>
        <w:rPr>
          <w:i w:val="0"/>
          <w:iCs w:val="0"/>
        </w:rPr>
        <w:fldChar w:fldCharType="begin"/>
      </w:r>
      <w:r>
        <w:rPr>
          <w:i w:val="0"/>
          <w:iCs w:val="0"/>
        </w:rPr>
        <w:instrText xml:space="preserve"> PAGEREF _Toc31026 \h </w:instrText>
      </w:r>
      <w:r>
        <w:rPr>
          <w:i w:val="0"/>
          <w:iCs w:val="0"/>
        </w:rPr>
        <w:fldChar w:fldCharType="separate"/>
      </w:r>
      <w:r>
        <w:rPr>
          <w:i w:val="0"/>
          <w:iCs w:val="0"/>
        </w:rPr>
        <w:t>- 196 -</w:t>
      </w:r>
      <w:r>
        <w:rPr>
          <w:i w:val="0"/>
          <w:iCs w:val="0"/>
        </w:rPr>
        <w:fldChar w:fldCharType="end"/>
      </w:r>
      <w:r>
        <w:rPr>
          <w:i w:val="0"/>
          <w:iCs w:val="0"/>
          <w:color w:val="auto"/>
          <w:szCs w:val="24"/>
        </w:rPr>
        <w:fldChar w:fldCharType="end"/>
      </w:r>
    </w:p>
    <w:p w14:paraId="770D5452">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_Toc25936 </w:instrText>
      </w:r>
      <w:r>
        <w:rPr>
          <w:i w:val="0"/>
          <w:iCs w:val="0"/>
          <w:szCs w:val="24"/>
        </w:rPr>
        <w:fldChar w:fldCharType="separate"/>
      </w:r>
      <w:r>
        <w:rPr>
          <w:rFonts w:ascii="Times New Roman" w:hAnsi="Times New Roman" w:eastAsia="宋体"/>
          <w:bCs/>
          <w:i w:val="0"/>
          <w:iCs w:val="0"/>
          <w:szCs w:val="28"/>
        </w:rPr>
        <w:t>6.2.2环境敏感目标</w:t>
      </w:r>
      <w:r>
        <w:rPr>
          <w:i w:val="0"/>
          <w:iCs w:val="0"/>
        </w:rPr>
        <w:tab/>
      </w:r>
      <w:r>
        <w:rPr>
          <w:i w:val="0"/>
          <w:iCs w:val="0"/>
        </w:rPr>
        <w:fldChar w:fldCharType="begin"/>
      </w:r>
      <w:r>
        <w:rPr>
          <w:i w:val="0"/>
          <w:iCs w:val="0"/>
        </w:rPr>
        <w:instrText xml:space="preserve"> PAGEREF _Toc25936 \h </w:instrText>
      </w:r>
      <w:r>
        <w:rPr>
          <w:i w:val="0"/>
          <w:iCs w:val="0"/>
        </w:rPr>
        <w:fldChar w:fldCharType="separate"/>
      </w:r>
      <w:r>
        <w:rPr>
          <w:i w:val="0"/>
          <w:iCs w:val="0"/>
        </w:rPr>
        <w:t>- 198 -</w:t>
      </w:r>
      <w:r>
        <w:rPr>
          <w:i w:val="0"/>
          <w:iCs w:val="0"/>
        </w:rPr>
        <w:fldChar w:fldCharType="end"/>
      </w:r>
      <w:r>
        <w:rPr>
          <w:i w:val="0"/>
          <w:iCs w:val="0"/>
          <w:color w:val="auto"/>
          <w:szCs w:val="24"/>
        </w:rPr>
        <w:fldChar w:fldCharType="end"/>
      </w:r>
    </w:p>
    <w:p w14:paraId="27B80BDF">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_Toc29219 </w:instrText>
      </w:r>
      <w:r>
        <w:rPr>
          <w:i w:val="0"/>
          <w:iCs w:val="0"/>
          <w:szCs w:val="24"/>
        </w:rPr>
        <w:fldChar w:fldCharType="separate"/>
      </w:r>
      <w:r>
        <w:rPr>
          <w:rFonts w:ascii="Times New Roman" w:hAnsi="Times New Roman" w:eastAsia="宋体"/>
          <w:bCs/>
          <w:i w:val="0"/>
          <w:iCs w:val="0"/>
          <w:szCs w:val="28"/>
        </w:rPr>
        <w:t>6.2.3环境风险识别</w:t>
      </w:r>
      <w:r>
        <w:rPr>
          <w:i w:val="0"/>
          <w:iCs w:val="0"/>
        </w:rPr>
        <w:tab/>
      </w:r>
      <w:r>
        <w:rPr>
          <w:i w:val="0"/>
          <w:iCs w:val="0"/>
        </w:rPr>
        <w:fldChar w:fldCharType="begin"/>
      </w:r>
      <w:r>
        <w:rPr>
          <w:i w:val="0"/>
          <w:iCs w:val="0"/>
        </w:rPr>
        <w:instrText xml:space="preserve"> PAGEREF _Toc29219 \h </w:instrText>
      </w:r>
      <w:r>
        <w:rPr>
          <w:i w:val="0"/>
          <w:iCs w:val="0"/>
        </w:rPr>
        <w:fldChar w:fldCharType="separate"/>
      </w:r>
      <w:r>
        <w:rPr>
          <w:i w:val="0"/>
          <w:iCs w:val="0"/>
        </w:rPr>
        <w:t>- 199 -</w:t>
      </w:r>
      <w:r>
        <w:rPr>
          <w:i w:val="0"/>
          <w:iCs w:val="0"/>
        </w:rPr>
        <w:fldChar w:fldCharType="end"/>
      </w:r>
      <w:r>
        <w:rPr>
          <w:i w:val="0"/>
          <w:iCs w:val="0"/>
          <w:color w:val="auto"/>
          <w:szCs w:val="24"/>
        </w:rPr>
        <w:fldChar w:fldCharType="end"/>
      </w:r>
    </w:p>
    <w:p w14:paraId="1BC8FB45">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_Toc27481 </w:instrText>
      </w:r>
      <w:r>
        <w:rPr>
          <w:i w:val="0"/>
          <w:iCs w:val="0"/>
          <w:szCs w:val="24"/>
        </w:rPr>
        <w:fldChar w:fldCharType="separate"/>
      </w:r>
      <w:r>
        <w:rPr>
          <w:rFonts w:ascii="Times New Roman" w:hAnsi="Times New Roman" w:eastAsia="宋体"/>
          <w:bCs/>
          <w:i w:val="0"/>
          <w:iCs w:val="0"/>
          <w:szCs w:val="28"/>
        </w:rPr>
        <w:t>6.2.4环境风险分析与防范措施</w:t>
      </w:r>
      <w:r>
        <w:rPr>
          <w:i w:val="0"/>
          <w:iCs w:val="0"/>
        </w:rPr>
        <w:tab/>
      </w:r>
      <w:r>
        <w:rPr>
          <w:i w:val="0"/>
          <w:iCs w:val="0"/>
        </w:rPr>
        <w:fldChar w:fldCharType="begin"/>
      </w:r>
      <w:r>
        <w:rPr>
          <w:i w:val="0"/>
          <w:iCs w:val="0"/>
        </w:rPr>
        <w:instrText xml:space="preserve"> PAGEREF _Toc27481 \h </w:instrText>
      </w:r>
      <w:r>
        <w:rPr>
          <w:i w:val="0"/>
          <w:iCs w:val="0"/>
        </w:rPr>
        <w:fldChar w:fldCharType="separate"/>
      </w:r>
      <w:r>
        <w:rPr>
          <w:i w:val="0"/>
          <w:iCs w:val="0"/>
        </w:rPr>
        <w:t>- 202 -</w:t>
      </w:r>
      <w:r>
        <w:rPr>
          <w:i w:val="0"/>
          <w:iCs w:val="0"/>
        </w:rPr>
        <w:fldChar w:fldCharType="end"/>
      </w:r>
      <w:r>
        <w:rPr>
          <w:i w:val="0"/>
          <w:iCs w:val="0"/>
          <w:color w:val="auto"/>
          <w:szCs w:val="24"/>
        </w:rPr>
        <w:fldChar w:fldCharType="end"/>
      </w:r>
    </w:p>
    <w:p w14:paraId="553B598B">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_Toc10011 </w:instrText>
      </w:r>
      <w:r>
        <w:rPr>
          <w:i w:val="0"/>
          <w:iCs w:val="0"/>
          <w:szCs w:val="24"/>
        </w:rPr>
        <w:fldChar w:fldCharType="separate"/>
      </w:r>
      <w:r>
        <w:rPr>
          <w:rFonts w:ascii="Times New Roman" w:hAnsi="Times New Roman" w:eastAsia="宋体"/>
          <w:bCs/>
          <w:i w:val="0"/>
          <w:iCs w:val="0"/>
          <w:szCs w:val="28"/>
        </w:rPr>
        <w:t>6.2.5卫生防疫事故风险分析与防范措施</w:t>
      </w:r>
      <w:r>
        <w:rPr>
          <w:i w:val="0"/>
          <w:iCs w:val="0"/>
        </w:rPr>
        <w:tab/>
      </w:r>
      <w:r>
        <w:rPr>
          <w:i w:val="0"/>
          <w:iCs w:val="0"/>
        </w:rPr>
        <w:fldChar w:fldCharType="begin"/>
      </w:r>
      <w:r>
        <w:rPr>
          <w:i w:val="0"/>
          <w:iCs w:val="0"/>
        </w:rPr>
        <w:instrText xml:space="preserve"> PAGEREF _Toc10011 \h </w:instrText>
      </w:r>
      <w:r>
        <w:rPr>
          <w:i w:val="0"/>
          <w:iCs w:val="0"/>
        </w:rPr>
        <w:fldChar w:fldCharType="separate"/>
      </w:r>
      <w:r>
        <w:rPr>
          <w:i w:val="0"/>
          <w:iCs w:val="0"/>
        </w:rPr>
        <w:t>- 207 -</w:t>
      </w:r>
      <w:r>
        <w:rPr>
          <w:i w:val="0"/>
          <w:iCs w:val="0"/>
        </w:rPr>
        <w:fldChar w:fldCharType="end"/>
      </w:r>
      <w:r>
        <w:rPr>
          <w:i w:val="0"/>
          <w:iCs w:val="0"/>
          <w:color w:val="auto"/>
          <w:szCs w:val="24"/>
        </w:rPr>
        <w:fldChar w:fldCharType="end"/>
      </w:r>
    </w:p>
    <w:p w14:paraId="45D365DC">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_Toc10842 </w:instrText>
      </w:r>
      <w:r>
        <w:rPr>
          <w:i w:val="0"/>
          <w:iCs w:val="0"/>
          <w:szCs w:val="24"/>
        </w:rPr>
        <w:fldChar w:fldCharType="separate"/>
      </w:r>
      <w:r>
        <w:rPr>
          <w:rFonts w:ascii="Times New Roman" w:hAnsi="Times New Roman" w:eastAsia="宋体"/>
          <w:bCs/>
          <w:i w:val="0"/>
          <w:iCs w:val="0"/>
          <w:szCs w:val="28"/>
        </w:rPr>
        <w:t>6.2.6火灾引起次生污染风险与防范措施</w:t>
      </w:r>
      <w:r>
        <w:rPr>
          <w:i w:val="0"/>
          <w:iCs w:val="0"/>
        </w:rPr>
        <w:tab/>
      </w:r>
      <w:r>
        <w:rPr>
          <w:i w:val="0"/>
          <w:iCs w:val="0"/>
        </w:rPr>
        <w:fldChar w:fldCharType="begin"/>
      </w:r>
      <w:r>
        <w:rPr>
          <w:i w:val="0"/>
          <w:iCs w:val="0"/>
        </w:rPr>
        <w:instrText xml:space="preserve"> PAGEREF _Toc10842 \h </w:instrText>
      </w:r>
      <w:r>
        <w:rPr>
          <w:i w:val="0"/>
          <w:iCs w:val="0"/>
        </w:rPr>
        <w:fldChar w:fldCharType="separate"/>
      </w:r>
      <w:r>
        <w:rPr>
          <w:i w:val="0"/>
          <w:iCs w:val="0"/>
        </w:rPr>
        <w:t>- 209 -</w:t>
      </w:r>
      <w:r>
        <w:rPr>
          <w:i w:val="0"/>
          <w:iCs w:val="0"/>
        </w:rPr>
        <w:fldChar w:fldCharType="end"/>
      </w:r>
      <w:r>
        <w:rPr>
          <w:i w:val="0"/>
          <w:iCs w:val="0"/>
          <w:color w:val="auto"/>
          <w:szCs w:val="24"/>
        </w:rPr>
        <w:fldChar w:fldCharType="end"/>
      </w:r>
    </w:p>
    <w:p w14:paraId="2239A694">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_Toc14074 </w:instrText>
      </w:r>
      <w:r>
        <w:rPr>
          <w:i w:val="0"/>
          <w:iCs w:val="0"/>
          <w:szCs w:val="24"/>
        </w:rPr>
        <w:fldChar w:fldCharType="separate"/>
      </w:r>
      <w:r>
        <w:rPr>
          <w:rFonts w:ascii="Times New Roman" w:hAnsi="Times New Roman" w:eastAsia="宋体"/>
          <w:bCs/>
          <w:i w:val="0"/>
          <w:iCs w:val="0"/>
          <w:szCs w:val="28"/>
        </w:rPr>
        <w:t>6.2.7分析结论</w:t>
      </w:r>
      <w:r>
        <w:rPr>
          <w:i w:val="0"/>
          <w:iCs w:val="0"/>
        </w:rPr>
        <w:tab/>
      </w:r>
      <w:r>
        <w:rPr>
          <w:i w:val="0"/>
          <w:iCs w:val="0"/>
        </w:rPr>
        <w:fldChar w:fldCharType="begin"/>
      </w:r>
      <w:r>
        <w:rPr>
          <w:i w:val="0"/>
          <w:iCs w:val="0"/>
        </w:rPr>
        <w:instrText xml:space="preserve"> PAGEREF _Toc14074 \h </w:instrText>
      </w:r>
      <w:r>
        <w:rPr>
          <w:i w:val="0"/>
          <w:iCs w:val="0"/>
        </w:rPr>
        <w:fldChar w:fldCharType="separate"/>
      </w:r>
      <w:r>
        <w:rPr>
          <w:i w:val="0"/>
          <w:iCs w:val="0"/>
        </w:rPr>
        <w:t>- 210 -</w:t>
      </w:r>
      <w:r>
        <w:rPr>
          <w:i w:val="0"/>
          <w:iCs w:val="0"/>
        </w:rPr>
        <w:fldChar w:fldCharType="end"/>
      </w:r>
      <w:r>
        <w:rPr>
          <w:i w:val="0"/>
          <w:iCs w:val="0"/>
          <w:color w:val="auto"/>
          <w:szCs w:val="24"/>
        </w:rPr>
        <w:fldChar w:fldCharType="end"/>
      </w:r>
    </w:p>
    <w:p w14:paraId="3E015916">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_Toc24622 </w:instrText>
      </w:r>
      <w:r>
        <w:rPr>
          <w:i w:val="0"/>
          <w:iCs w:val="0"/>
          <w:szCs w:val="24"/>
        </w:rPr>
        <w:fldChar w:fldCharType="separate"/>
      </w:r>
      <w:r>
        <w:rPr>
          <w:rFonts w:eastAsia="宋体"/>
          <w:i w:val="0"/>
          <w:iCs w:val="0"/>
          <w:szCs w:val="28"/>
        </w:rPr>
        <w:t>6.3风险管理</w:t>
      </w:r>
      <w:r>
        <w:rPr>
          <w:i w:val="0"/>
          <w:iCs w:val="0"/>
        </w:rPr>
        <w:tab/>
      </w:r>
      <w:r>
        <w:rPr>
          <w:i w:val="0"/>
          <w:iCs w:val="0"/>
        </w:rPr>
        <w:fldChar w:fldCharType="begin"/>
      </w:r>
      <w:r>
        <w:rPr>
          <w:i w:val="0"/>
          <w:iCs w:val="0"/>
        </w:rPr>
        <w:instrText xml:space="preserve"> PAGEREF _Toc24622 \h </w:instrText>
      </w:r>
      <w:r>
        <w:rPr>
          <w:i w:val="0"/>
          <w:iCs w:val="0"/>
        </w:rPr>
        <w:fldChar w:fldCharType="separate"/>
      </w:r>
      <w:r>
        <w:rPr>
          <w:i w:val="0"/>
          <w:iCs w:val="0"/>
        </w:rPr>
        <w:t>- 210 -</w:t>
      </w:r>
      <w:r>
        <w:rPr>
          <w:i w:val="0"/>
          <w:iCs w:val="0"/>
        </w:rPr>
        <w:fldChar w:fldCharType="end"/>
      </w:r>
      <w:r>
        <w:rPr>
          <w:i w:val="0"/>
          <w:iCs w:val="0"/>
          <w:color w:val="auto"/>
          <w:szCs w:val="24"/>
        </w:rPr>
        <w:fldChar w:fldCharType="end"/>
      </w:r>
    </w:p>
    <w:p w14:paraId="3928DF55">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_Toc201 </w:instrText>
      </w:r>
      <w:r>
        <w:rPr>
          <w:i w:val="0"/>
          <w:iCs w:val="0"/>
          <w:szCs w:val="24"/>
        </w:rPr>
        <w:fldChar w:fldCharType="separate"/>
      </w:r>
      <w:r>
        <w:rPr>
          <w:rFonts w:eastAsia="宋体"/>
          <w:i w:val="0"/>
          <w:iCs w:val="0"/>
          <w:szCs w:val="28"/>
        </w:rPr>
        <w:t>6.4突发事故应急预案</w:t>
      </w:r>
      <w:r>
        <w:rPr>
          <w:i w:val="0"/>
          <w:iCs w:val="0"/>
        </w:rPr>
        <w:tab/>
      </w:r>
      <w:r>
        <w:rPr>
          <w:i w:val="0"/>
          <w:iCs w:val="0"/>
        </w:rPr>
        <w:fldChar w:fldCharType="begin"/>
      </w:r>
      <w:r>
        <w:rPr>
          <w:i w:val="0"/>
          <w:iCs w:val="0"/>
        </w:rPr>
        <w:instrText xml:space="preserve"> PAGEREF _Toc201 \h </w:instrText>
      </w:r>
      <w:r>
        <w:rPr>
          <w:i w:val="0"/>
          <w:iCs w:val="0"/>
        </w:rPr>
        <w:fldChar w:fldCharType="separate"/>
      </w:r>
      <w:r>
        <w:rPr>
          <w:i w:val="0"/>
          <w:iCs w:val="0"/>
        </w:rPr>
        <w:t>- 211 -</w:t>
      </w:r>
      <w:r>
        <w:rPr>
          <w:i w:val="0"/>
          <w:iCs w:val="0"/>
        </w:rPr>
        <w:fldChar w:fldCharType="end"/>
      </w:r>
      <w:r>
        <w:rPr>
          <w:i w:val="0"/>
          <w:iCs w:val="0"/>
          <w:color w:val="auto"/>
          <w:szCs w:val="24"/>
        </w:rPr>
        <w:fldChar w:fldCharType="end"/>
      </w:r>
    </w:p>
    <w:p w14:paraId="7D318FEB">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_Toc28168 </w:instrText>
      </w:r>
      <w:r>
        <w:rPr>
          <w:i w:val="0"/>
          <w:iCs w:val="0"/>
          <w:szCs w:val="24"/>
        </w:rPr>
        <w:fldChar w:fldCharType="separate"/>
      </w:r>
      <w:r>
        <w:rPr>
          <w:rFonts w:ascii="Times New Roman" w:hAnsi="Times New Roman" w:eastAsia="宋体"/>
          <w:bCs/>
          <w:i w:val="0"/>
          <w:iCs w:val="0"/>
          <w:szCs w:val="28"/>
        </w:rPr>
        <w:t>6.4.1环境风险评价结论</w:t>
      </w:r>
      <w:r>
        <w:rPr>
          <w:i w:val="0"/>
          <w:iCs w:val="0"/>
        </w:rPr>
        <w:tab/>
      </w:r>
      <w:r>
        <w:rPr>
          <w:i w:val="0"/>
          <w:iCs w:val="0"/>
        </w:rPr>
        <w:fldChar w:fldCharType="begin"/>
      </w:r>
      <w:r>
        <w:rPr>
          <w:i w:val="0"/>
          <w:iCs w:val="0"/>
        </w:rPr>
        <w:instrText xml:space="preserve"> PAGEREF _Toc28168 \h </w:instrText>
      </w:r>
      <w:r>
        <w:rPr>
          <w:i w:val="0"/>
          <w:iCs w:val="0"/>
        </w:rPr>
        <w:fldChar w:fldCharType="separate"/>
      </w:r>
      <w:r>
        <w:rPr>
          <w:i w:val="0"/>
          <w:iCs w:val="0"/>
        </w:rPr>
        <w:t>- 213 -</w:t>
      </w:r>
      <w:r>
        <w:rPr>
          <w:i w:val="0"/>
          <w:iCs w:val="0"/>
        </w:rPr>
        <w:fldChar w:fldCharType="end"/>
      </w:r>
      <w:r>
        <w:rPr>
          <w:i w:val="0"/>
          <w:iCs w:val="0"/>
          <w:color w:val="auto"/>
          <w:szCs w:val="24"/>
        </w:rPr>
        <w:fldChar w:fldCharType="end"/>
      </w:r>
    </w:p>
    <w:p w14:paraId="5E53FF3A">
      <w:pPr>
        <w:pStyle w:val="38"/>
        <w:tabs>
          <w:tab w:val="right" w:leader="dot" w:pos="8312"/>
        </w:tabs>
        <w:rPr>
          <w:i w:val="0"/>
          <w:iCs w:val="0"/>
        </w:rPr>
      </w:pPr>
      <w:r>
        <w:rPr>
          <w:i w:val="0"/>
          <w:iCs w:val="0"/>
          <w:color w:val="auto"/>
          <w:szCs w:val="24"/>
        </w:rPr>
        <w:fldChar w:fldCharType="begin"/>
      </w:r>
      <w:r>
        <w:rPr>
          <w:i w:val="0"/>
          <w:iCs w:val="0"/>
          <w:szCs w:val="24"/>
        </w:rPr>
        <w:instrText xml:space="preserve"> HYPERLINK \l _Toc3594 </w:instrText>
      </w:r>
      <w:r>
        <w:rPr>
          <w:i w:val="0"/>
          <w:iCs w:val="0"/>
          <w:szCs w:val="24"/>
        </w:rPr>
        <w:fldChar w:fldCharType="separate"/>
      </w:r>
      <w:r>
        <w:rPr>
          <w:i w:val="0"/>
          <w:iCs w:val="0"/>
        </w:rPr>
        <w:t>7环境保护措施及其可行性分析</w:t>
      </w:r>
      <w:r>
        <w:rPr>
          <w:i w:val="0"/>
          <w:iCs w:val="0"/>
        </w:rPr>
        <w:tab/>
      </w:r>
      <w:r>
        <w:rPr>
          <w:i w:val="0"/>
          <w:iCs w:val="0"/>
        </w:rPr>
        <w:fldChar w:fldCharType="begin"/>
      </w:r>
      <w:r>
        <w:rPr>
          <w:i w:val="0"/>
          <w:iCs w:val="0"/>
        </w:rPr>
        <w:instrText xml:space="preserve"> PAGEREF _Toc3594 \h </w:instrText>
      </w:r>
      <w:r>
        <w:rPr>
          <w:i w:val="0"/>
          <w:iCs w:val="0"/>
        </w:rPr>
        <w:fldChar w:fldCharType="separate"/>
      </w:r>
      <w:r>
        <w:rPr>
          <w:i w:val="0"/>
          <w:iCs w:val="0"/>
        </w:rPr>
        <w:t>- 215 -</w:t>
      </w:r>
      <w:r>
        <w:rPr>
          <w:i w:val="0"/>
          <w:iCs w:val="0"/>
        </w:rPr>
        <w:fldChar w:fldCharType="end"/>
      </w:r>
      <w:r>
        <w:rPr>
          <w:i w:val="0"/>
          <w:iCs w:val="0"/>
          <w:color w:val="auto"/>
          <w:szCs w:val="24"/>
        </w:rPr>
        <w:fldChar w:fldCharType="end"/>
      </w:r>
    </w:p>
    <w:p w14:paraId="0086B637">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_Toc14328 </w:instrText>
      </w:r>
      <w:r>
        <w:rPr>
          <w:i w:val="0"/>
          <w:iCs w:val="0"/>
          <w:szCs w:val="24"/>
        </w:rPr>
        <w:fldChar w:fldCharType="separate"/>
      </w:r>
      <w:r>
        <w:rPr>
          <w:i w:val="0"/>
          <w:iCs w:val="0"/>
        </w:rPr>
        <w:t>7.1施工期污染防治对策与措施</w:t>
      </w:r>
      <w:r>
        <w:rPr>
          <w:i w:val="0"/>
          <w:iCs w:val="0"/>
        </w:rPr>
        <w:tab/>
      </w:r>
      <w:r>
        <w:rPr>
          <w:i w:val="0"/>
          <w:iCs w:val="0"/>
        </w:rPr>
        <w:fldChar w:fldCharType="begin"/>
      </w:r>
      <w:r>
        <w:rPr>
          <w:i w:val="0"/>
          <w:iCs w:val="0"/>
        </w:rPr>
        <w:instrText xml:space="preserve"> PAGEREF _Toc14328 \h </w:instrText>
      </w:r>
      <w:r>
        <w:rPr>
          <w:i w:val="0"/>
          <w:iCs w:val="0"/>
        </w:rPr>
        <w:fldChar w:fldCharType="separate"/>
      </w:r>
      <w:r>
        <w:rPr>
          <w:i w:val="0"/>
          <w:iCs w:val="0"/>
        </w:rPr>
        <w:t>- 215 -</w:t>
      </w:r>
      <w:r>
        <w:rPr>
          <w:i w:val="0"/>
          <w:iCs w:val="0"/>
        </w:rPr>
        <w:fldChar w:fldCharType="end"/>
      </w:r>
      <w:r>
        <w:rPr>
          <w:i w:val="0"/>
          <w:iCs w:val="0"/>
          <w:color w:val="auto"/>
          <w:szCs w:val="24"/>
        </w:rPr>
        <w:fldChar w:fldCharType="end"/>
      </w:r>
    </w:p>
    <w:p w14:paraId="7690AA1F">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_Toc6335 </w:instrText>
      </w:r>
      <w:r>
        <w:rPr>
          <w:i w:val="0"/>
          <w:iCs w:val="0"/>
          <w:szCs w:val="24"/>
        </w:rPr>
        <w:fldChar w:fldCharType="separate"/>
      </w:r>
      <w:r>
        <w:rPr>
          <w:bCs/>
          <w:i w:val="0"/>
          <w:iCs w:val="0"/>
          <w:szCs w:val="32"/>
        </w:rPr>
        <w:t>7.1.1施工期大气污染防治措施</w:t>
      </w:r>
      <w:r>
        <w:rPr>
          <w:i w:val="0"/>
          <w:iCs w:val="0"/>
        </w:rPr>
        <w:tab/>
      </w:r>
      <w:r>
        <w:rPr>
          <w:i w:val="0"/>
          <w:iCs w:val="0"/>
        </w:rPr>
        <w:fldChar w:fldCharType="begin"/>
      </w:r>
      <w:r>
        <w:rPr>
          <w:i w:val="0"/>
          <w:iCs w:val="0"/>
        </w:rPr>
        <w:instrText xml:space="preserve"> PAGEREF _Toc6335 \h </w:instrText>
      </w:r>
      <w:r>
        <w:rPr>
          <w:i w:val="0"/>
          <w:iCs w:val="0"/>
        </w:rPr>
        <w:fldChar w:fldCharType="separate"/>
      </w:r>
      <w:r>
        <w:rPr>
          <w:i w:val="0"/>
          <w:iCs w:val="0"/>
        </w:rPr>
        <w:t>- 215 -</w:t>
      </w:r>
      <w:r>
        <w:rPr>
          <w:i w:val="0"/>
          <w:iCs w:val="0"/>
        </w:rPr>
        <w:fldChar w:fldCharType="end"/>
      </w:r>
      <w:r>
        <w:rPr>
          <w:i w:val="0"/>
          <w:iCs w:val="0"/>
          <w:color w:val="auto"/>
          <w:szCs w:val="24"/>
        </w:rPr>
        <w:fldChar w:fldCharType="end"/>
      </w:r>
    </w:p>
    <w:p w14:paraId="34A62AAA">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_Toc9571 </w:instrText>
      </w:r>
      <w:r>
        <w:rPr>
          <w:i w:val="0"/>
          <w:iCs w:val="0"/>
          <w:szCs w:val="24"/>
        </w:rPr>
        <w:fldChar w:fldCharType="separate"/>
      </w:r>
      <w:r>
        <w:rPr>
          <w:bCs/>
          <w:i w:val="0"/>
          <w:iCs w:val="0"/>
          <w:szCs w:val="32"/>
        </w:rPr>
        <w:t>7.1.2施工期水污染防治措施</w:t>
      </w:r>
      <w:r>
        <w:rPr>
          <w:i w:val="0"/>
          <w:iCs w:val="0"/>
        </w:rPr>
        <w:tab/>
      </w:r>
      <w:r>
        <w:rPr>
          <w:i w:val="0"/>
          <w:iCs w:val="0"/>
        </w:rPr>
        <w:fldChar w:fldCharType="begin"/>
      </w:r>
      <w:r>
        <w:rPr>
          <w:i w:val="0"/>
          <w:iCs w:val="0"/>
        </w:rPr>
        <w:instrText xml:space="preserve"> PAGEREF _Toc9571 \h </w:instrText>
      </w:r>
      <w:r>
        <w:rPr>
          <w:i w:val="0"/>
          <w:iCs w:val="0"/>
        </w:rPr>
        <w:fldChar w:fldCharType="separate"/>
      </w:r>
      <w:r>
        <w:rPr>
          <w:i w:val="0"/>
          <w:iCs w:val="0"/>
        </w:rPr>
        <w:t>- 215 -</w:t>
      </w:r>
      <w:r>
        <w:rPr>
          <w:i w:val="0"/>
          <w:iCs w:val="0"/>
        </w:rPr>
        <w:fldChar w:fldCharType="end"/>
      </w:r>
      <w:r>
        <w:rPr>
          <w:i w:val="0"/>
          <w:iCs w:val="0"/>
          <w:color w:val="auto"/>
          <w:szCs w:val="24"/>
        </w:rPr>
        <w:fldChar w:fldCharType="end"/>
      </w:r>
    </w:p>
    <w:p w14:paraId="4EB39694">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_Toc21122 </w:instrText>
      </w:r>
      <w:r>
        <w:rPr>
          <w:i w:val="0"/>
          <w:iCs w:val="0"/>
          <w:szCs w:val="24"/>
        </w:rPr>
        <w:fldChar w:fldCharType="separate"/>
      </w:r>
      <w:r>
        <w:rPr>
          <w:bCs/>
          <w:i w:val="0"/>
          <w:iCs w:val="0"/>
          <w:szCs w:val="32"/>
        </w:rPr>
        <w:t>7.1.3施工期噪声污染防治措施</w:t>
      </w:r>
      <w:r>
        <w:rPr>
          <w:i w:val="0"/>
          <w:iCs w:val="0"/>
        </w:rPr>
        <w:tab/>
      </w:r>
      <w:r>
        <w:rPr>
          <w:i w:val="0"/>
          <w:iCs w:val="0"/>
        </w:rPr>
        <w:fldChar w:fldCharType="begin"/>
      </w:r>
      <w:r>
        <w:rPr>
          <w:i w:val="0"/>
          <w:iCs w:val="0"/>
        </w:rPr>
        <w:instrText xml:space="preserve"> PAGEREF _Toc21122 \h </w:instrText>
      </w:r>
      <w:r>
        <w:rPr>
          <w:i w:val="0"/>
          <w:iCs w:val="0"/>
        </w:rPr>
        <w:fldChar w:fldCharType="separate"/>
      </w:r>
      <w:r>
        <w:rPr>
          <w:i w:val="0"/>
          <w:iCs w:val="0"/>
        </w:rPr>
        <w:t>- 216 -</w:t>
      </w:r>
      <w:r>
        <w:rPr>
          <w:i w:val="0"/>
          <w:iCs w:val="0"/>
        </w:rPr>
        <w:fldChar w:fldCharType="end"/>
      </w:r>
      <w:r>
        <w:rPr>
          <w:i w:val="0"/>
          <w:iCs w:val="0"/>
          <w:color w:val="auto"/>
          <w:szCs w:val="24"/>
        </w:rPr>
        <w:fldChar w:fldCharType="end"/>
      </w:r>
    </w:p>
    <w:p w14:paraId="2FBCE9B7">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_Toc29238 </w:instrText>
      </w:r>
      <w:r>
        <w:rPr>
          <w:i w:val="0"/>
          <w:iCs w:val="0"/>
          <w:szCs w:val="24"/>
        </w:rPr>
        <w:fldChar w:fldCharType="separate"/>
      </w:r>
      <w:r>
        <w:rPr>
          <w:bCs/>
          <w:i w:val="0"/>
          <w:iCs w:val="0"/>
          <w:szCs w:val="32"/>
        </w:rPr>
        <w:t>7.1.4施工期固体废物污染防治措施</w:t>
      </w:r>
      <w:r>
        <w:rPr>
          <w:i w:val="0"/>
          <w:iCs w:val="0"/>
        </w:rPr>
        <w:tab/>
      </w:r>
      <w:r>
        <w:rPr>
          <w:i w:val="0"/>
          <w:iCs w:val="0"/>
        </w:rPr>
        <w:fldChar w:fldCharType="begin"/>
      </w:r>
      <w:r>
        <w:rPr>
          <w:i w:val="0"/>
          <w:iCs w:val="0"/>
        </w:rPr>
        <w:instrText xml:space="preserve"> PAGEREF _Toc29238 \h </w:instrText>
      </w:r>
      <w:r>
        <w:rPr>
          <w:i w:val="0"/>
          <w:iCs w:val="0"/>
        </w:rPr>
        <w:fldChar w:fldCharType="separate"/>
      </w:r>
      <w:r>
        <w:rPr>
          <w:i w:val="0"/>
          <w:iCs w:val="0"/>
        </w:rPr>
        <w:t>- 216 -</w:t>
      </w:r>
      <w:r>
        <w:rPr>
          <w:i w:val="0"/>
          <w:iCs w:val="0"/>
        </w:rPr>
        <w:fldChar w:fldCharType="end"/>
      </w:r>
      <w:r>
        <w:rPr>
          <w:i w:val="0"/>
          <w:iCs w:val="0"/>
          <w:color w:val="auto"/>
          <w:szCs w:val="24"/>
        </w:rPr>
        <w:fldChar w:fldCharType="end"/>
      </w:r>
    </w:p>
    <w:p w14:paraId="1F299AB0">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_Toc32086 </w:instrText>
      </w:r>
      <w:r>
        <w:rPr>
          <w:i w:val="0"/>
          <w:iCs w:val="0"/>
          <w:szCs w:val="24"/>
        </w:rPr>
        <w:fldChar w:fldCharType="separate"/>
      </w:r>
      <w:r>
        <w:rPr>
          <w:bCs/>
          <w:i w:val="0"/>
          <w:iCs w:val="0"/>
          <w:szCs w:val="32"/>
        </w:rPr>
        <w:t>7.1.5施工期生态环境防治措施</w:t>
      </w:r>
      <w:r>
        <w:rPr>
          <w:i w:val="0"/>
          <w:iCs w:val="0"/>
        </w:rPr>
        <w:tab/>
      </w:r>
      <w:r>
        <w:rPr>
          <w:i w:val="0"/>
          <w:iCs w:val="0"/>
        </w:rPr>
        <w:fldChar w:fldCharType="begin"/>
      </w:r>
      <w:r>
        <w:rPr>
          <w:i w:val="0"/>
          <w:iCs w:val="0"/>
        </w:rPr>
        <w:instrText xml:space="preserve"> PAGEREF _Toc32086 \h </w:instrText>
      </w:r>
      <w:r>
        <w:rPr>
          <w:i w:val="0"/>
          <w:iCs w:val="0"/>
        </w:rPr>
        <w:fldChar w:fldCharType="separate"/>
      </w:r>
      <w:r>
        <w:rPr>
          <w:i w:val="0"/>
          <w:iCs w:val="0"/>
        </w:rPr>
        <w:t>- 217 -</w:t>
      </w:r>
      <w:r>
        <w:rPr>
          <w:i w:val="0"/>
          <w:iCs w:val="0"/>
        </w:rPr>
        <w:fldChar w:fldCharType="end"/>
      </w:r>
      <w:r>
        <w:rPr>
          <w:i w:val="0"/>
          <w:iCs w:val="0"/>
          <w:color w:val="auto"/>
          <w:szCs w:val="24"/>
        </w:rPr>
        <w:fldChar w:fldCharType="end"/>
      </w:r>
    </w:p>
    <w:p w14:paraId="4A0FD73E">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_Toc16112 </w:instrText>
      </w:r>
      <w:r>
        <w:rPr>
          <w:i w:val="0"/>
          <w:iCs w:val="0"/>
          <w:szCs w:val="24"/>
        </w:rPr>
        <w:fldChar w:fldCharType="separate"/>
      </w:r>
      <w:r>
        <w:rPr>
          <w:i w:val="0"/>
          <w:iCs w:val="0"/>
        </w:rPr>
        <w:t>7.2运营期环境影响对策与措施</w:t>
      </w:r>
      <w:r>
        <w:rPr>
          <w:i w:val="0"/>
          <w:iCs w:val="0"/>
        </w:rPr>
        <w:tab/>
      </w:r>
      <w:r>
        <w:rPr>
          <w:i w:val="0"/>
          <w:iCs w:val="0"/>
        </w:rPr>
        <w:fldChar w:fldCharType="begin"/>
      </w:r>
      <w:r>
        <w:rPr>
          <w:i w:val="0"/>
          <w:iCs w:val="0"/>
        </w:rPr>
        <w:instrText xml:space="preserve"> PAGEREF _Toc16112 \h </w:instrText>
      </w:r>
      <w:r>
        <w:rPr>
          <w:i w:val="0"/>
          <w:iCs w:val="0"/>
        </w:rPr>
        <w:fldChar w:fldCharType="separate"/>
      </w:r>
      <w:r>
        <w:rPr>
          <w:i w:val="0"/>
          <w:iCs w:val="0"/>
        </w:rPr>
        <w:t>- 218 -</w:t>
      </w:r>
      <w:r>
        <w:rPr>
          <w:i w:val="0"/>
          <w:iCs w:val="0"/>
        </w:rPr>
        <w:fldChar w:fldCharType="end"/>
      </w:r>
      <w:r>
        <w:rPr>
          <w:i w:val="0"/>
          <w:iCs w:val="0"/>
          <w:color w:val="auto"/>
          <w:szCs w:val="24"/>
        </w:rPr>
        <w:fldChar w:fldCharType="end"/>
      </w:r>
    </w:p>
    <w:p w14:paraId="2FA0FE1C">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_Toc11301 </w:instrText>
      </w:r>
      <w:r>
        <w:rPr>
          <w:i w:val="0"/>
          <w:iCs w:val="0"/>
          <w:szCs w:val="24"/>
        </w:rPr>
        <w:fldChar w:fldCharType="separate"/>
      </w:r>
      <w:r>
        <w:rPr>
          <w:bCs/>
          <w:i w:val="0"/>
          <w:iCs w:val="0"/>
          <w:szCs w:val="32"/>
        </w:rPr>
        <w:t>7.2.1大气污染物污染防治对策与措施</w:t>
      </w:r>
      <w:r>
        <w:rPr>
          <w:i w:val="0"/>
          <w:iCs w:val="0"/>
        </w:rPr>
        <w:tab/>
      </w:r>
      <w:r>
        <w:rPr>
          <w:i w:val="0"/>
          <w:iCs w:val="0"/>
        </w:rPr>
        <w:fldChar w:fldCharType="begin"/>
      </w:r>
      <w:r>
        <w:rPr>
          <w:i w:val="0"/>
          <w:iCs w:val="0"/>
        </w:rPr>
        <w:instrText xml:space="preserve"> PAGEREF _Toc11301 \h </w:instrText>
      </w:r>
      <w:r>
        <w:rPr>
          <w:i w:val="0"/>
          <w:iCs w:val="0"/>
        </w:rPr>
        <w:fldChar w:fldCharType="separate"/>
      </w:r>
      <w:r>
        <w:rPr>
          <w:i w:val="0"/>
          <w:iCs w:val="0"/>
        </w:rPr>
        <w:t>- 218 -</w:t>
      </w:r>
      <w:r>
        <w:rPr>
          <w:i w:val="0"/>
          <w:iCs w:val="0"/>
        </w:rPr>
        <w:fldChar w:fldCharType="end"/>
      </w:r>
      <w:r>
        <w:rPr>
          <w:i w:val="0"/>
          <w:iCs w:val="0"/>
          <w:color w:val="auto"/>
          <w:szCs w:val="24"/>
        </w:rPr>
        <w:fldChar w:fldCharType="end"/>
      </w:r>
    </w:p>
    <w:p w14:paraId="5AAB295A">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_Toc32175 </w:instrText>
      </w:r>
      <w:r>
        <w:rPr>
          <w:i w:val="0"/>
          <w:iCs w:val="0"/>
          <w:szCs w:val="24"/>
        </w:rPr>
        <w:fldChar w:fldCharType="separate"/>
      </w:r>
      <w:r>
        <w:rPr>
          <w:bCs/>
          <w:i w:val="0"/>
          <w:iCs w:val="0"/>
          <w:szCs w:val="32"/>
        </w:rPr>
        <w:t>7.2.2水污染防治措施</w:t>
      </w:r>
      <w:r>
        <w:rPr>
          <w:i w:val="0"/>
          <w:iCs w:val="0"/>
        </w:rPr>
        <w:tab/>
      </w:r>
      <w:r>
        <w:rPr>
          <w:i w:val="0"/>
          <w:iCs w:val="0"/>
        </w:rPr>
        <w:fldChar w:fldCharType="begin"/>
      </w:r>
      <w:r>
        <w:rPr>
          <w:i w:val="0"/>
          <w:iCs w:val="0"/>
        </w:rPr>
        <w:instrText xml:space="preserve"> PAGEREF _Toc32175 \h </w:instrText>
      </w:r>
      <w:r>
        <w:rPr>
          <w:i w:val="0"/>
          <w:iCs w:val="0"/>
        </w:rPr>
        <w:fldChar w:fldCharType="separate"/>
      </w:r>
      <w:r>
        <w:rPr>
          <w:i w:val="0"/>
          <w:iCs w:val="0"/>
        </w:rPr>
        <w:t>- 221 -</w:t>
      </w:r>
      <w:r>
        <w:rPr>
          <w:i w:val="0"/>
          <w:iCs w:val="0"/>
        </w:rPr>
        <w:fldChar w:fldCharType="end"/>
      </w:r>
      <w:r>
        <w:rPr>
          <w:i w:val="0"/>
          <w:iCs w:val="0"/>
          <w:color w:val="auto"/>
          <w:szCs w:val="24"/>
        </w:rPr>
        <w:fldChar w:fldCharType="end"/>
      </w:r>
    </w:p>
    <w:p w14:paraId="3DE09F34">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_Toc28674 </w:instrText>
      </w:r>
      <w:r>
        <w:rPr>
          <w:i w:val="0"/>
          <w:iCs w:val="0"/>
          <w:szCs w:val="24"/>
        </w:rPr>
        <w:fldChar w:fldCharType="separate"/>
      </w:r>
      <w:r>
        <w:rPr>
          <w:bCs/>
          <w:i w:val="0"/>
          <w:iCs w:val="0"/>
          <w:szCs w:val="32"/>
        </w:rPr>
        <w:t>7.2.3噪声污染防治措施</w:t>
      </w:r>
      <w:r>
        <w:rPr>
          <w:i w:val="0"/>
          <w:iCs w:val="0"/>
        </w:rPr>
        <w:tab/>
      </w:r>
      <w:r>
        <w:rPr>
          <w:i w:val="0"/>
          <w:iCs w:val="0"/>
        </w:rPr>
        <w:fldChar w:fldCharType="begin"/>
      </w:r>
      <w:r>
        <w:rPr>
          <w:i w:val="0"/>
          <w:iCs w:val="0"/>
        </w:rPr>
        <w:instrText xml:space="preserve"> PAGEREF _Toc28674 \h </w:instrText>
      </w:r>
      <w:r>
        <w:rPr>
          <w:i w:val="0"/>
          <w:iCs w:val="0"/>
        </w:rPr>
        <w:fldChar w:fldCharType="separate"/>
      </w:r>
      <w:r>
        <w:rPr>
          <w:i w:val="0"/>
          <w:iCs w:val="0"/>
        </w:rPr>
        <w:t>- 222 -</w:t>
      </w:r>
      <w:r>
        <w:rPr>
          <w:i w:val="0"/>
          <w:iCs w:val="0"/>
        </w:rPr>
        <w:fldChar w:fldCharType="end"/>
      </w:r>
      <w:r>
        <w:rPr>
          <w:i w:val="0"/>
          <w:iCs w:val="0"/>
          <w:color w:val="auto"/>
          <w:szCs w:val="24"/>
        </w:rPr>
        <w:fldChar w:fldCharType="end"/>
      </w:r>
    </w:p>
    <w:p w14:paraId="44AFD78C">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_Toc3297 </w:instrText>
      </w:r>
      <w:r>
        <w:rPr>
          <w:i w:val="0"/>
          <w:iCs w:val="0"/>
          <w:szCs w:val="24"/>
        </w:rPr>
        <w:fldChar w:fldCharType="separate"/>
      </w:r>
      <w:r>
        <w:rPr>
          <w:bCs/>
          <w:i w:val="0"/>
          <w:iCs w:val="0"/>
          <w:szCs w:val="32"/>
        </w:rPr>
        <w:t>7.2.4固体废物的防治措施</w:t>
      </w:r>
      <w:r>
        <w:rPr>
          <w:i w:val="0"/>
          <w:iCs w:val="0"/>
        </w:rPr>
        <w:tab/>
      </w:r>
      <w:r>
        <w:rPr>
          <w:i w:val="0"/>
          <w:iCs w:val="0"/>
        </w:rPr>
        <w:fldChar w:fldCharType="begin"/>
      </w:r>
      <w:r>
        <w:rPr>
          <w:i w:val="0"/>
          <w:iCs w:val="0"/>
        </w:rPr>
        <w:instrText xml:space="preserve"> PAGEREF _Toc3297 \h </w:instrText>
      </w:r>
      <w:r>
        <w:rPr>
          <w:i w:val="0"/>
          <w:iCs w:val="0"/>
        </w:rPr>
        <w:fldChar w:fldCharType="separate"/>
      </w:r>
      <w:r>
        <w:rPr>
          <w:i w:val="0"/>
          <w:iCs w:val="0"/>
        </w:rPr>
        <w:t>- 222 -</w:t>
      </w:r>
      <w:r>
        <w:rPr>
          <w:i w:val="0"/>
          <w:iCs w:val="0"/>
        </w:rPr>
        <w:fldChar w:fldCharType="end"/>
      </w:r>
      <w:r>
        <w:rPr>
          <w:i w:val="0"/>
          <w:iCs w:val="0"/>
          <w:color w:val="auto"/>
          <w:szCs w:val="24"/>
        </w:rPr>
        <w:fldChar w:fldCharType="end"/>
      </w:r>
    </w:p>
    <w:p w14:paraId="00334C33">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_Toc8362 </w:instrText>
      </w:r>
      <w:r>
        <w:rPr>
          <w:i w:val="0"/>
          <w:iCs w:val="0"/>
          <w:szCs w:val="24"/>
        </w:rPr>
        <w:fldChar w:fldCharType="separate"/>
      </w:r>
      <w:r>
        <w:rPr>
          <w:bCs/>
          <w:i w:val="0"/>
          <w:iCs w:val="0"/>
          <w:szCs w:val="32"/>
        </w:rPr>
        <w:t>7.2.5地下水污染防治措施</w:t>
      </w:r>
      <w:r>
        <w:rPr>
          <w:i w:val="0"/>
          <w:iCs w:val="0"/>
        </w:rPr>
        <w:tab/>
      </w:r>
      <w:r>
        <w:rPr>
          <w:i w:val="0"/>
          <w:iCs w:val="0"/>
        </w:rPr>
        <w:fldChar w:fldCharType="begin"/>
      </w:r>
      <w:r>
        <w:rPr>
          <w:i w:val="0"/>
          <w:iCs w:val="0"/>
        </w:rPr>
        <w:instrText xml:space="preserve"> PAGEREF _Toc8362 \h </w:instrText>
      </w:r>
      <w:r>
        <w:rPr>
          <w:i w:val="0"/>
          <w:iCs w:val="0"/>
        </w:rPr>
        <w:fldChar w:fldCharType="separate"/>
      </w:r>
      <w:r>
        <w:rPr>
          <w:i w:val="0"/>
          <w:iCs w:val="0"/>
        </w:rPr>
        <w:t>- 225 -</w:t>
      </w:r>
      <w:r>
        <w:rPr>
          <w:i w:val="0"/>
          <w:iCs w:val="0"/>
        </w:rPr>
        <w:fldChar w:fldCharType="end"/>
      </w:r>
      <w:r>
        <w:rPr>
          <w:i w:val="0"/>
          <w:iCs w:val="0"/>
          <w:color w:val="auto"/>
          <w:szCs w:val="24"/>
        </w:rPr>
        <w:fldChar w:fldCharType="end"/>
      </w:r>
    </w:p>
    <w:p w14:paraId="10B614B9">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_Toc5198 </w:instrText>
      </w:r>
      <w:r>
        <w:rPr>
          <w:i w:val="0"/>
          <w:iCs w:val="0"/>
          <w:szCs w:val="24"/>
        </w:rPr>
        <w:fldChar w:fldCharType="separate"/>
      </w:r>
      <w:r>
        <w:rPr>
          <w:bCs/>
          <w:i w:val="0"/>
          <w:iCs w:val="0"/>
          <w:szCs w:val="32"/>
        </w:rPr>
        <w:t>7.2.</w:t>
      </w:r>
      <w:r>
        <w:rPr>
          <w:rFonts w:hint="eastAsia"/>
          <w:bCs/>
          <w:i w:val="0"/>
          <w:iCs w:val="0"/>
          <w:szCs w:val="32"/>
          <w:lang w:val="en-US" w:eastAsia="zh-CN"/>
        </w:rPr>
        <w:t>6</w:t>
      </w:r>
      <w:r>
        <w:rPr>
          <w:rFonts w:hint="eastAsia"/>
          <w:bCs/>
          <w:i w:val="0"/>
          <w:iCs w:val="0"/>
          <w:szCs w:val="32"/>
          <w:lang w:eastAsia="zh-CN"/>
        </w:rPr>
        <w:t>土壤</w:t>
      </w:r>
      <w:r>
        <w:rPr>
          <w:bCs/>
          <w:i w:val="0"/>
          <w:iCs w:val="0"/>
          <w:szCs w:val="32"/>
        </w:rPr>
        <w:t>污染防治措施</w:t>
      </w:r>
      <w:r>
        <w:rPr>
          <w:i w:val="0"/>
          <w:iCs w:val="0"/>
        </w:rPr>
        <w:tab/>
      </w:r>
      <w:r>
        <w:rPr>
          <w:i w:val="0"/>
          <w:iCs w:val="0"/>
        </w:rPr>
        <w:fldChar w:fldCharType="begin"/>
      </w:r>
      <w:r>
        <w:rPr>
          <w:i w:val="0"/>
          <w:iCs w:val="0"/>
        </w:rPr>
        <w:instrText xml:space="preserve"> PAGEREF _Toc5198 \h </w:instrText>
      </w:r>
      <w:r>
        <w:rPr>
          <w:i w:val="0"/>
          <w:iCs w:val="0"/>
        </w:rPr>
        <w:fldChar w:fldCharType="separate"/>
      </w:r>
      <w:r>
        <w:rPr>
          <w:i w:val="0"/>
          <w:iCs w:val="0"/>
        </w:rPr>
        <w:t>- 228 -</w:t>
      </w:r>
      <w:r>
        <w:rPr>
          <w:i w:val="0"/>
          <w:iCs w:val="0"/>
        </w:rPr>
        <w:fldChar w:fldCharType="end"/>
      </w:r>
      <w:r>
        <w:rPr>
          <w:i w:val="0"/>
          <w:iCs w:val="0"/>
          <w:color w:val="auto"/>
          <w:szCs w:val="24"/>
        </w:rPr>
        <w:fldChar w:fldCharType="end"/>
      </w:r>
    </w:p>
    <w:p w14:paraId="5DA49904">
      <w:pPr>
        <w:pStyle w:val="38"/>
        <w:tabs>
          <w:tab w:val="right" w:leader="dot" w:pos="8312"/>
        </w:tabs>
        <w:rPr>
          <w:i w:val="0"/>
          <w:iCs w:val="0"/>
        </w:rPr>
      </w:pPr>
      <w:r>
        <w:rPr>
          <w:i w:val="0"/>
          <w:iCs w:val="0"/>
          <w:color w:val="auto"/>
          <w:szCs w:val="24"/>
        </w:rPr>
        <w:fldChar w:fldCharType="begin"/>
      </w:r>
      <w:r>
        <w:rPr>
          <w:i w:val="0"/>
          <w:iCs w:val="0"/>
          <w:szCs w:val="24"/>
        </w:rPr>
        <w:instrText xml:space="preserve"> HYPERLINK \l _Toc8664 </w:instrText>
      </w:r>
      <w:r>
        <w:rPr>
          <w:i w:val="0"/>
          <w:iCs w:val="0"/>
          <w:szCs w:val="24"/>
        </w:rPr>
        <w:fldChar w:fldCharType="separate"/>
      </w:r>
      <w:r>
        <w:rPr>
          <w:rFonts w:ascii="Times New Roman" w:eastAsia="宋体"/>
          <w:bCs/>
          <w:i w:val="0"/>
          <w:iCs w:val="0"/>
          <w:szCs w:val="32"/>
        </w:rPr>
        <w:t>8、环境影响经济损益分析</w:t>
      </w:r>
      <w:r>
        <w:rPr>
          <w:i w:val="0"/>
          <w:iCs w:val="0"/>
        </w:rPr>
        <w:tab/>
      </w:r>
      <w:r>
        <w:rPr>
          <w:i w:val="0"/>
          <w:iCs w:val="0"/>
        </w:rPr>
        <w:fldChar w:fldCharType="begin"/>
      </w:r>
      <w:r>
        <w:rPr>
          <w:i w:val="0"/>
          <w:iCs w:val="0"/>
        </w:rPr>
        <w:instrText xml:space="preserve"> PAGEREF _Toc8664 \h </w:instrText>
      </w:r>
      <w:r>
        <w:rPr>
          <w:i w:val="0"/>
          <w:iCs w:val="0"/>
        </w:rPr>
        <w:fldChar w:fldCharType="separate"/>
      </w:r>
      <w:r>
        <w:rPr>
          <w:i w:val="0"/>
          <w:iCs w:val="0"/>
        </w:rPr>
        <w:t>- 231 -</w:t>
      </w:r>
      <w:r>
        <w:rPr>
          <w:i w:val="0"/>
          <w:iCs w:val="0"/>
        </w:rPr>
        <w:fldChar w:fldCharType="end"/>
      </w:r>
      <w:r>
        <w:rPr>
          <w:i w:val="0"/>
          <w:iCs w:val="0"/>
          <w:color w:val="auto"/>
          <w:szCs w:val="24"/>
        </w:rPr>
        <w:fldChar w:fldCharType="end"/>
      </w:r>
    </w:p>
    <w:p w14:paraId="50B70F41">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_Toc8077 </w:instrText>
      </w:r>
      <w:r>
        <w:rPr>
          <w:i w:val="0"/>
          <w:iCs w:val="0"/>
          <w:szCs w:val="24"/>
        </w:rPr>
        <w:fldChar w:fldCharType="separate"/>
      </w:r>
      <w:r>
        <w:rPr>
          <w:rFonts w:eastAsia="宋体"/>
          <w:i w:val="0"/>
          <w:iCs w:val="0"/>
          <w:szCs w:val="30"/>
        </w:rPr>
        <w:t>8.1经济效益分析</w:t>
      </w:r>
      <w:r>
        <w:rPr>
          <w:i w:val="0"/>
          <w:iCs w:val="0"/>
        </w:rPr>
        <w:tab/>
      </w:r>
      <w:r>
        <w:rPr>
          <w:i w:val="0"/>
          <w:iCs w:val="0"/>
        </w:rPr>
        <w:fldChar w:fldCharType="begin"/>
      </w:r>
      <w:r>
        <w:rPr>
          <w:i w:val="0"/>
          <w:iCs w:val="0"/>
        </w:rPr>
        <w:instrText xml:space="preserve"> PAGEREF _Toc8077 \h </w:instrText>
      </w:r>
      <w:r>
        <w:rPr>
          <w:i w:val="0"/>
          <w:iCs w:val="0"/>
        </w:rPr>
        <w:fldChar w:fldCharType="separate"/>
      </w:r>
      <w:r>
        <w:rPr>
          <w:i w:val="0"/>
          <w:iCs w:val="0"/>
        </w:rPr>
        <w:t>- 231 -</w:t>
      </w:r>
      <w:r>
        <w:rPr>
          <w:i w:val="0"/>
          <w:iCs w:val="0"/>
        </w:rPr>
        <w:fldChar w:fldCharType="end"/>
      </w:r>
      <w:r>
        <w:rPr>
          <w:i w:val="0"/>
          <w:iCs w:val="0"/>
          <w:color w:val="auto"/>
          <w:szCs w:val="24"/>
        </w:rPr>
        <w:fldChar w:fldCharType="end"/>
      </w:r>
    </w:p>
    <w:p w14:paraId="21B9C882">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_Toc21603 </w:instrText>
      </w:r>
      <w:r>
        <w:rPr>
          <w:i w:val="0"/>
          <w:iCs w:val="0"/>
          <w:szCs w:val="24"/>
        </w:rPr>
        <w:fldChar w:fldCharType="separate"/>
      </w:r>
      <w:r>
        <w:rPr>
          <w:rFonts w:eastAsia="宋体"/>
          <w:i w:val="0"/>
          <w:iCs w:val="0"/>
          <w:szCs w:val="30"/>
        </w:rPr>
        <w:t>8.2社会效益分析</w:t>
      </w:r>
      <w:r>
        <w:rPr>
          <w:i w:val="0"/>
          <w:iCs w:val="0"/>
        </w:rPr>
        <w:tab/>
      </w:r>
      <w:r>
        <w:rPr>
          <w:i w:val="0"/>
          <w:iCs w:val="0"/>
        </w:rPr>
        <w:fldChar w:fldCharType="begin"/>
      </w:r>
      <w:r>
        <w:rPr>
          <w:i w:val="0"/>
          <w:iCs w:val="0"/>
        </w:rPr>
        <w:instrText xml:space="preserve"> PAGEREF _Toc21603 \h </w:instrText>
      </w:r>
      <w:r>
        <w:rPr>
          <w:i w:val="0"/>
          <w:iCs w:val="0"/>
        </w:rPr>
        <w:fldChar w:fldCharType="separate"/>
      </w:r>
      <w:r>
        <w:rPr>
          <w:i w:val="0"/>
          <w:iCs w:val="0"/>
        </w:rPr>
        <w:t>- 231 -</w:t>
      </w:r>
      <w:r>
        <w:rPr>
          <w:i w:val="0"/>
          <w:iCs w:val="0"/>
        </w:rPr>
        <w:fldChar w:fldCharType="end"/>
      </w:r>
      <w:r>
        <w:rPr>
          <w:i w:val="0"/>
          <w:iCs w:val="0"/>
          <w:color w:val="auto"/>
          <w:szCs w:val="24"/>
        </w:rPr>
        <w:fldChar w:fldCharType="end"/>
      </w:r>
    </w:p>
    <w:p w14:paraId="6D12D108">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_Toc2351 </w:instrText>
      </w:r>
      <w:r>
        <w:rPr>
          <w:i w:val="0"/>
          <w:iCs w:val="0"/>
          <w:szCs w:val="24"/>
        </w:rPr>
        <w:fldChar w:fldCharType="separate"/>
      </w:r>
      <w:r>
        <w:rPr>
          <w:rFonts w:eastAsia="宋体"/>
          <w:i w:val="0"/>
          <w:iCs w:val="0"/>
          <w:szCs w:val="30"/>
        </w:rPr>
        <w:t>8.3环境效益分析</w:t>
      </w:r>
      <w:r>
        <w:rPr>
          <w:i w:val="0"/>
          <w:iCs w:val="0"/>
        </w:rPr>
        <w:tab/>
      </w:r>
      <w:r>
        <w:rPr>
          <w:i w:val="0"/>
          <w:iCs w:val="0"/>
        </w:rPr>
        <w:fldChar w:fldCharType="begin"/>
      </w:r>
      <w:r>
        <w:rPr>
          <w:i w:val="0"/>
          <w:iCs w:val="0"/>
        </w:rPr>
        <w:instrText xml:space="preserve"> PAGEREF _Toc2351 \h </w:instrText>
      </w:r>
      <w:r>
        <w:rPr>
          <w:i w:val="0"/>
          <w:iCs w:val="0"/>
        </w:rPr>
        <w:fldChar w:fldCharType="separate"/>
      </w:r>
      <w:r>
        <w:rPr>
          <w:i w:val="0"/>
          <w:iCs w:val="0"/>
        </w:rPr>
        <w:t>- 231 -</w:t>
      </w:r>
      <w:r>
        <w:rPr>
          <w:i w:val="0"/>
          <w:iCs w:val="0"/>
        </w:rPr>
        <w:fldChar w:fldCharType="end"/>
      </w:r>
      <w:r>
        <w:rPr>
          <w:i w:val="0"/>
          <w:iCs w:val="0"/>
          <w:color w:val="auto"/>
          <w:szCs w:val="24"/>
        </w:rPr>
        <w:fldChar w:fldCharType="end"/>
      </w:r>
    </w:p>
    <w:p w14:paraId="595EE6A4">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_Toc6477 </w:instrText>
      </w:r>
      <w:r>
        <w:rPr>
          <w:i w:val="0"/>
          <w:iCs w:val="0"/>
          <w:szCs w:val="24"/>
        </w:rPr>
        <w:fldChar w:fldCharType="separate"/>
      </w:r>
      <w:r>
        <w:rPr>
          <w:rFonts w:ascii="Times New Roman" w:hAnsi="Times New Roman" w:eastAsia="宋体"/>
          <w:bCs/>
          <w:i w:val="0"/>
          <w:iCs w:val="0"/>
          <w:szCs w:val="28"/>
        </w:rPr>
        <w:t>8.3.1环保投资估算</w:t>
      </w:r>
      <w:r>
        <w:rPr>
          <w:i w:val="0"/>
          <w:iCs w:val="0"/>
        </w:rPr>
        <w:tab/>
      </w:r>
      <w:r>
        <w:rPr>
          <w:i w:val="0"/>
          <w:iCs w:val="0"/>
        </w:rPr>
        <w:fldChar w:fldCharType="begin"/>
      </w:r>
      <w:r>
        <w:rPr>
          <w:i w:val="0"/>
          <w:iCs w:val="0"/>
        </w:rPr>
        <w:instrText xml:space="preserve"> PAGEREF _Toc6477 \h </w:instrText>
      </w:r>
      <w:r>
        <w:rPr>
          <w:i w:val="0"/>
          <w:iCs w:val="0"/>
        </w:rPr>
        <w:fldChar w:fldCharType="separate"/>
      </w:r>
      <w:r>
        <w:rPr>
          <w:i w:val="0"/>
          <w:iCs w:val="0"/>
        </w:rPr>
        <w:t>- 231 -</w:t>
      </w:r>
      <w:r>
        <w:rPr>
          <w:i w:val="0"/>
          <w:iCs w:val="0"/>
        </w:rPr>
        <w:fldChar w:fldCharType="end"/>
      </w:r>
      <w:r>
        <w:rPr>
          <w:i w:val="0"/>
          <w:iCs w:val="0"/>
          <w:color w:val="auto"/>
          <w:szCs w:val="24"/>
        </w:rPr>
        <w:fldChar w:fldCharType="end"/>
      </w:r>
    </w:p>
    <w:p w14:paraId="02A6A69A">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_Toc9246 </w:instrText>
      </w:r>
      <w:r>
        <w:rPr>
          <w:i w:val="0"/>
          <w:iCs w:val="0"/>
          <w:szCs w:val="24"/>
        </w:rPr>
        <w:fldChar w:fldCharType="separate"/>
      </w:r>
      <w:r>
        <w:rPr>
          <w:rFonts w:ascii="Times New Roman" w:hAnsi="Times New Roman" w:eastAsia="宋体"/>
          <w:bCs/>
          <w:i w:val="0"/>
          <w:iCs w:val="0"/>
          <w:szCs w:val="28"/>
        </w:rPr>
        <w:t>8.3.2环保损益分析</w:t>
      </w:r>
      <w:r>
        <w:rPr>
          <w:i w:val="0"/>
          <w:iCs w:val="0"/>
        </w:rPr>
        <w:tab/>
      </w:r>
      <w:r>
        <w:rPr>
          <w:i w:val="0"/>
          <w:iCs w:val="0"/>
        </w:rPr>
        <w:fldChar w:fldCharType="begin"/>
      </w:r>
      <w:r>
        <w:rPr>
          <w:i w:val="0"/>
          <w:iCs w:val="0"/>
        </w:rPr>
        <w:instrText xml:space="preserve"> PAGEREF _Toc9246 \h </w:instrText>
      </w:r>
      <w:r>
        <w:rPr>
          <w:i w:val="0"/>
          <w:iCs w:val="0"/>
        </w:rPr>
        <w:fldChar w:fldCharType="separate"/>
      </w:r>
      <w:r>
        <w:rPr>
          <w:i w:val="0"/>
          <w:iCs w:val="0"/>
        </w:rPr>
        <w:t>- 232 -</w:t>
      </w:r>
      <w:r>
        <w:rPr>
          <w:i w:val="0"/>
          <w:iCs w:val="0"/>
        </w:rPr>
        <w:fldChar w:fldCharType="end"/>
      </w:r>
      <w:r>
        <w:rPr>
          <w:i w:val="0"/>
          <w:iCs w:val="0"/>
          <w:color w:val="auto"/>
          <w:szCs w:val="24"/>
        </w:rPr>
        <w:fldChar w:fldCharType="end"/>
      </w:r>
    </w:p>
    <w:p w14:paraId="4D51DB98">
      <w:pPr>
        <w:pStyle w:val="38"/>
        <w:tabs>
          <w:tab w:val="right" w:leader="dot" w:pos="8312"/>
        </w:tabs>
        <w:rPr>
          <w:i w:val="0"/>
          <w:iCs w:val="0"/>
        </w:rPr>
      </w:pPr>
      <w:r>
        <w:rPr>
          <w:i w:val="0"/>
          <w:iCs w:val="0"/>
          <w:color w:val="auto"/>
          <w:szCs w:val="24"/>
        </w:rPr>
        <w:fldChar w:fldCharType="begin"/>
      </w:r>
      <w:r>
        <w:rPr>
          <w:i w:val="0"/>
          <w:iCs w:val="0"/>
          <w:szCs w:val="24"/>
        </w:rPr>
        <w:instrText xml:space="preserve"> HYPERLINK \l _Toc15902 </w:instrText>
      </w:r>
      <w:r>
        <w:rPr>
          <w:i w:val="0"/>
          <w:iCs w:val="0"/>
          <w:szCs w:val="24"/>
        </w:rPr>
        <w:fldChar w:fldCharType="separate"/>
      </w:r>
      <w:r>
        <w:rPr>
          <w:i w:val="0"/>
          <w:iCs w:val="0"/>
        </w:rPr>
        <w:t>9环境管理及监测计划</w:t>
      </w:r>
      <w:r>
        <w:rPr>
          <w:i w:val="0"/>
          <w:iCs w:val="0"/>
        </w:rPr>
        <w:tab/>
      </w:r>
      <w:r>
        <w:rPr>
          <w:i w:val="0"/>
          <w:iCs w:val="0"/>
        </w:rPr>
        <w:fldChar w:fldCharType="begin"/>
      </w:r>
      <w:r>
        <w:rPr>
          <w:i w:val="0"/>
          <w:iCs w:val="0"/>
        </w:rPr>
        <w:instrText xml:space="preserve"> PAGEREF _Toc15902 \h </w:instrText>
      </w:r>
      <w:r>
        <w:rPr>
          <w:i w:val="0"/>
          <w:iCs w:val="0"/>
        </w:rPr>
        <w:fldChar w:fldCharType="separate"/>
      </w:r>
      <w:r>
        <w:rPr>
          <w:i w:val="0"/>
          <w:iCs w:val="0"/>
        </w:rPr>
        <w:t>- 234 -</w:t>
      </w:r>
      <w:r>
        <w:rPr>
          <w:i w:val="0"/>
          <w:iCs w:val="0"/>
        </w:rPr>
        <w:fldChar w:fldCharType="end"/>
      </w:r>
      <w:r>
        <w:rPr>
          <w:i w:val="0"/>
          <w:iCs w:val="0"/>
          <w:color w:val="auto"/>
          <w:szCs w:val="24"/>
        </w:rPr>
        <w:fldChar w:fldCharType="end"/>
      </w:r>
    </w:p>
    <w:p w14:paraId="165395BE">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_Toc15610 </w:instrText>
      </w:r>
      <w:r>
        <w:rPr>
          <w:i w:val="0"/>
          <w:iCs w:val="0"/>
          <w:szCs w:val="24"/>
        </w:rPr>
        <w:fldChar w:fldCharType="separate"/>
      </w:r>
      <w:r>
        <w:rPr>
          <w:i w:val="0"/>
          <w:iCs w:val="0"/>
        </w:rPr>
        <w:t>9.1环境管理</w:t>
      </w:r>
      <w:r>
        <w:rPr>
          <w:i w:val="0"/>
          <w:iCs w:val="0"/>
        </w:rPr>
        <w:tab/>
      </w:r>
      <w:r>
        <w:rPr>
          <w:i w:val="0"/>
          <w:iCs w:val="0"/>
        </w:rPr>
        <w:fldChar w:fldCharType="begin"/>
      </w:r>
      <w:r>
        <w:rPr>
          <w:i w:val="0"/>
          <w:iCs w:val="0"/>
        </w:rPr>
        <w:instrText xml:space="preserve"> PAGEREF _Toc15610 \h </w:instrText>
      </w:r>
      <w:r>
        <w:rPr>
          <w:i w:val="0"/>
          <w:iCs w:val="0"/>
        </w:rPr>
        <w:fldChar w:fldCharType="separate"/>
      </w:r>
      <w:r>
        <w:rPr>
          <w:i w:val="0"/>
          <w:iCs w:val="0"/>
        </w:rPr>
        <w:t>- 234 -</w:t>
      </w:r>
      <w:r>
        <w:rPr>
          <w:i w:val="0"/>
          <w:iCs w:val="0"/>
        </w:rPr>
        <w:fldChar w:fldCharType="end"/>
      </w:r>
      <w:r>
        <w:rPr>
          <w:i w:val="0"/>
          <w:iCs w:val="0"/>
          <w:color w:val="auto"/>
          <w:szCs w:val="24"/>
        </w:rPr>
        <w:fldChar w:fldCharType="end"/>
      </w:r>
    </w:p>
    <w:p w14:paraId="083EE9A4">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_Toc9537 </w:instrText>
      </w:r>
      <w:r>
        <w:rPr>
          <w:i w:val="0"/>
          <w:iCs w:val="0"/>
          <w:szCs w:val="24"/>
        </w:rPr>
        <w:fldChar w:fldCharType="separate"/>
      </w:r>
      <w:r>
        <w:rPr>
          <w:bCs/>
          <w:i w:val="0"/>
          <w:iCs w:val="0"/>
          <w:szCs w:val="32"/>
        </w:rPr>
        <w:t>9.1.1管理机构的组成及职责</w:t>
      </w:r>
      <w:r>
        <w:rPr>
          <w:i w:val="0"/>
          <w:iCs w:val="0"/>
        </w:rPr>
        <w:tab/>
      </w:r>
      <w:r>
        <w:rPr>
          <w:i w:val="0"/>
          <w:iCs w:val="0"/>
        </w:rPr>
        <w:fldChar w:fldCharType="begin"/>
      </w:r>
      <w:r>
        <w:rPr>
          <w:i w:val="0"/>
          <w:iCs w:val="0"/>
        </w:rPr>
        <w:instrText xml:space="preserve"> PAGEREF _Toc9537 \h </w:instrText>
      </w:r>
      <w:r>
        <w:rPr>
          <w:i w:val="0"/>
          <w:iCs w:val="0"/>
        </w:rPr>
        <w:fldChar w:fldCharType="separate"/>
      </w:r>
      <w:r>
        <w:rPr>
          <w:i w:val="0"/>
          <w:iCs w:val="0"/>
        </w:rPr>
        <w:t>- 234 -</w:t>
      </w:r>
      <w:r>
        <w:rPr>
          <w:i w:val="0"/>
          <w:iCs w:val="0"/>
        </w:rPr>
        <w:fldChar w:fldCharType="end"/>
      </w:r>
      <w:r>
        <w:rPr>
          <w:i w:val="0"/>
          <w:iCs w:val="0"/>
          <w:color w:val="auto"/>
          <w:szCs w:val="24"/>
        </w:rPr>
        <w:fldChar w:fldCharType="end"/>
      </w:r>
    </w:p>
    <w:p w14:paraId="49401880">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_Toc7049 </w:instrText>
      </w:r>
      <w:r>
        <w:rPr>
          <w:i w:val="0"/>
          <w:iCs w:val="0"/>
          <w:szCs w:val="24"/>
        </w:rPr>
        <w:fldChar w:fldCharType="separate"/>
      </w:r>
      <w:r>
        <w:rPr>
          <w:bCs/>
          <w:i w:val="0"/>
          <w:iCs w:val="0"/>
          <w:szCs w:val="32"/>
        </w:rPr>
        <w:t>9.1.2环境管理计划</w:t>
      </w:r>
      <w:r>
        <w:rPr>
          <w:i w:val="0"/>
          <w:iCs w:val="0"/>
        </w:rPr>
        <w:tab/>
      </w:r>
      <w:r>
        <w:rPr>
          <w:i w:val="0"/>
          <w:iCs w:val="0"/>
        </w:rPr>
        <w:fldChar w:fldCharType="begin"/>
      </w:r>
      <w:r>
        <w:rPr>
          <w:i w:val="0"/>
          <w:iCs w:val="0"/>
        </w:rPr>
        <w:instrText xml:space="preserve"> PAGEREF _Toc7049 \h </w:instrText>
      </w:r>
      <w:r>
        <w:rPr>
          <w:i w:val="0"/>
          <w:iCs w:val="0"/>
        </w:rPr>
        <w:fldChar w:fldCharType="separate"/>
      </w:r>
      <w:r>
        <w:rPr>
          <w:i w:val="0"/>
          <w:iCs w:val="0"/>
        </w:rPr>
        <w:t>- 234 -</w:t>
      </w:r>
      <w:r>
        <w:rPr>
          <w:i w:val="0"/>
          <w:iCs w:val="0"/>
        </w:rPr>
        <w:fldChar w:fldCharType="end"/>
      </w:r>
      <w:r>
        <w:rPr>
          <w:i w:val="0"/>
          <w:iCs w:val="0"/>
          <w:color w:val="auto"/>
          <w:szCs w:val="24"/>
        </w:rPr>
        <w:fldChar w:fldCharType="end"/>
      </w:r>
    </w:p>
    <w:p w14:paraId="09D0268D">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_Toc21065 </w:instrText>
      </w:r>
      <w:r>
        <w:rPr>
          <w:i w:val="0"/>
          <w:iCs w:val="0"/>
          <w:szCs w:val="24"/>
        </w:rPr>
        <w:fldChar w:fldCharType="separate"/>
      </w:r>
      <w:r>
        <w:rPr>
          <w:bCs/>
          <w:i w:val="0"/>
          <w:iCs w:val="0"/>
          <w:szCs w:val="32"/>
        </w:rPr>
        <w:t>9.1.3环境管理指标体系</w:t>
      </w:r>
      <w:r>
        <w:rPr>
          <w:i w:val="0"/>
          <w:iCs w:val="0"/>
        </w:rPr>
        <w:tab/>
      </w:r>
      <w:r>
        <w:rPr>
          <w:i w:val="0"/>
          <w:iCs w:val="0"/>
        </w:rPr>
        <w:fldChar w:fldCharType="begin"/>
      </w:r>
      <w:r>
        <w:rPr>
          <w:i w:val="0"/>
          <w:iCs w:val="0"/>
        </w:rPr>
        <w:instrText xml:space="preserve"> PAGEREF _Toc21065 \h </w:instrText>
      </w:r>
      <w:r>
        <w:rPr>
          <w:i w:val="0"/>
          <w:iCs w:val="0"/>
        </w:rPr>
        <w:fldChar w:fldCharType="separate"/>
      </w:r>
      <w:r>
        <w:rPr>
          <w:i w:val="0"/>
          <w:iCs w:val="0"/>
        </w:rPr>
        <w:t>- 235 -</w:t>
      </w:r>
      <w:r>
        <w:rPr>
          <w:i w:val="0"/>
          <w:iCs w:val="0"/>
        </w:rPr>
        <w:fldChar w:fldCharType="end"/>
      </w:r>
      <w:r>
        <w:rPr>
          <w:i w:val="0"/>
          <w:iCs w:val="0"/>
          <w:color w:val="auto"/>
          <w:szCs w:val="24"/>
        </w:rPr>
        <w:fldChar w:fldCharType="end"/>
      </w:r>
    </w:p>
    <w:p w14:paraId="2F7D19C6">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_Toc11376 </w:instrText>
      </w:r>
      <w:r>
        <w:rPr>
          <w:i w:val="0"/>
          <w:iCs w:val="0"/>
          <w:szCs w:val="24"/>
        </w:rPr>
        <w:fldChar w:fldCharType="separate"/>
      </w:r>
      <w:r>
        <w:rPr>
          <w:bCs/>
          <w:i w:val="0"/>
          <w:iCs w:val="0"/>
          <w:szCs w:val="32"/>
        </w:rPr>
        <w:t>9.1.4环境管理制度</w:t>
      </w:r>
      <w:r>
        <w:rPr>
          <w:i w:val="0"/>
          <w:iCs w:val="0"/>
        </w:rPr>
        <w:tab/>
      </w:r>
      <w:r>
        <w:rPr>
          <w:i w:val="0"/>
          <w:iCs w:val="0"/>
        </w:rPr>
        <w:fldChar w:fldCharType="begin"/>
      </w:r>
      <w:r>
        <w:rPr>
          <w:i w:val="0"/>
          <w:iCs w:val="0"/>
        </w:rPr>
        <w:instrText xml:space="preserve"> PAGEREF _Toc11376 \h </w:instrText>
      </w:r>
      <w:r>
        <w:rPr>
          <w:i w:val="0"/>
          <w:iCs w:val="0"/>
        </w:rPr>
        <w:fldChar w:fldCharType="separate"/>
      </w:r>
      <w:r>
        <w:rPr>
          <w:i w:val="0"/>
          <w:iCs w:val="0"/>
        </w:rPr>
        <w:t>- 235 -</w:t>
      </w:r>
      <w:r>
        <w:rPr>
          <w:i w:val="0"/>
          <w:iCs w:val="0"/>
        </w:rPr>
        <w:fldChar w:fldCharType="end"/>
      </w:r>
      <w:r>
        <w:rPr>
          <w:i w:val="0"/>
          <w:iCs w:val="0"/>
          <w:color w:val="auto"/>
          <w:szCs w:val="24"/>
        </w:rPr>
        <w:fldChar w:fldCharType="end"/>
      </w:r>
    </w:p>
    <w:p w14:paraId="5A024644">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_Toc316 </w:instrText>
      </w:r>
      <w:r>
        <w:rPr>
          <w:i w:val="0"/>
          <w:iCs w:val="0"/>
          <w:szCs w:val="24"/>
        </w:rPr>
        <w:fldChar w:fldCharType="separate"/>
      </w:r>
      <w:r>
        <w:rPr>
          <w:bCs/>
          <w:i w:val="0"/>
          <w:iCs w:val="0"/>
          <w:szCs w:val="32"/>
        </w:rPr>
        <w:t>9.1.5培训教育</w:t>
      </w:r>
      <w:r>
        <w:rPr>
          <w:i w:val="0"/>
          <w:iCs w:val="0"/>
        </w:rPr>
        <w:tab/>
      </w:r>
      <w:r>
        <w:rPr>
          <w:i w:val="0"/>
          <w:iCs w:val="0"/>
        </w:rPr>
        <w:fldChar w:fldCharType="begin"/>
      </w:r>
      <w:r>
        <w:rPr>
          <w:i w:val="0"/>
          <w:iCs w:val="0"/>
        </w:rPr>
        <w:instrText xml:space="preserve"> PAGEREF _Toc316 \h </w:instrText>
      </w:r>
      <w:r>
        <w:rPr>
          <w:i w:val="0"/>
          <w:iCs w:val="0"/>
        </w:rPr>
        <w:fldChar w:fldCharType="separate"/>
      </w:r>
      <w:r>
        <w:rPr>
          <w:i w:val="0"/>
          <w:iCs w:val="0"/>
        </w:rPr>
        <w:t>- 236 -</w:t>
      </w:r>
      <w:r>
        <w:rPr>
          <w:i w:val="0"/>
          <w:iCs w:val="0"/>
        </w:rPr>
        <w:fldChar w:fldCharType="end"/>
      </w:r>
      <w:r>
        <w:rPr>
          <w:i w:val="0"/>
          <w:iCs w:val="0"/>
          <w:color w:val="auto"/>
          <w:szCs w:val="24"/>
        </w:rPr>
        <w:fldChar w:fldCharType="end"/>
      </w:r>
    </w:p>
    <w:p w14:paraId="53086AEA">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_Toc32196 </w:instrText>
      </w:r>
      <w:r>
        <w:rPr>
          <w:i w:val="0"/>
          <w:iCs w:val="0"/>
          <w:szCs w:val="24"/>
        </w:rPr>
        <w:fldChar w:fldCharType="separate"/>
      </w:r>
      <w:r>
        <w:rPr>
          <w:bCs/>
          <w:i w:val="0"/>
          <w:iCs w:val="0"/>
          <w:szCs w:val="32"/>
        </w:rPr>
        <w:t>9.1.6环境记录与信息交流</w:t>
      </w:r>
      <w:r>
        <w:rPr>
          <w:i w:val="0"/>
          <w:iCs w:val="0"/>
        </w:rPr>
        <w:tab/>
      </w:r>
      <w:r>
        <w:rPr>
          <w:i w:val="0"/>
          <w:iCs w:val="0"/>
        </w:rPr>
        <w:fldChar w:fldCharType="begin"/>
      </w:r>
      <w:r>
        <w:rPr>
          <w:i w:val="0"/>
          <w:iCs w:val="0"/>
        </w:rPr>
        <w:instrText xml:space="preserve"> PAGEREF _Toc32196 \h </w:instrText>
      </w:r>
      <w:r>
        <w:rPr>
          <w:i w:val="0"/>
          <w:iCs w:val="0"/>
        </w:rPr>
        <w:fldChar w:fldCharType="separate"/>
      </w:r>
      <w:r>
        <w:rPr>
          <w:i w:val="0"/>
          <w:iCs w:val="0"/>
        </w:rPr>
        <w:t>- 236 -</w:t>
      </w:r>
      <w:r>
        <w:rPr>
          <w:i w:val="0"/>
          <w:iCs w:val="0"/>
        </w:rPr>
        <w:fldChar w:fldCharType="end"/>
      </w:r>
      <w:r>
        <w:rPr>
          <w:i w:val="0"/>
          <w:iCs w:val="0"/>
          <w:color w:val="auto"/>
          <w:szCs w:val="24"/>
        </w:rPr>
        <w:fldChar w:fldCharType="end"/>
      </w:r>
    </w:p>
    <w:p w14:paraId="65083A35">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_Toc26969 </w:instrText>
      </w:r>
      <w:r>
        <w:rPr>
          <w:i w:val="0"/>
          <w:iCs w:val="0"/>
          <w:szCs w:val="24"/>
        </w:rPr>
        <w:fldChar w:fldCharType="separate"/>
      </w:r>
      <w:r>
        <w:rPr>
          <w:bCs/>
          <w:i w:val="0"/>
          <w:iCs w:val="0"/>
          <w:szCs w:val="32"/>
        </w:rPr>
        <w:t>9.1.7技术文件管理</w:t>
      </w:r>
      <w:r>
        <w:rPr>
          <w:i w:val="0"/>
          <w:iCs w:val="0"/>
        </w:rPr>
        <w:tab/>
      </w:r>
      <w:r>
        <w:rPr>
          <w:i w:val="0"/>
          <w:iCs w:val="0"/>
        </w:rPr>
        <w:fldChar w:fldCharType="begin"/>
      </w:r>
      <w:r>
        <w:rPr>
          <w:i w:val="0"/>
          <w:iCs w:val="0"/>
        </w:rPr>
        <w:instrText xml:space="preserve"> PAGEREF _Toc26969 \h </w:instrText>
      </w:r>
      <w:r>
        <w:rPr>
          <w:i w:val="0"/>
          <w:iCs w:val="0"/>
        </w:rPr>
        <w:fldChar w:fldCharType="separate"/>
      </w:r>
      <w:r>
        <w:rPr>
          <w:i w:val="0"/>
          <w:iCs w:val="0"/>
        </w:rPr>
        <w:t>- 237 -</w:t>
      </w:r>
      <w:r>
        <w:rPr>
          <w:i w:val="0"/>
          <w:iCs w:val="0"/>
        </w:rPr>
        <w:fldChar w:fldCharType="end"/>
      </w:r>
      <w:r>
        <w:rPr>
          <w:i w:val="0"/>
          <w:iCs w:val="0"/>
          <w:color w:val="auto"/>
          <w:szCs w:val="24"/>
        </w:rPr>
        <w:fldChar w:fldCharType="end"/>
      </w:r>
    </w:p>
    <w:p w14:paraId="4F1E4B1C">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_Toc19779 </w:instrText>
      </w:r>
      <w:r>
        <w:rPr>
          <w:i w:val="0"/>
          <w:iCs w:val="0"/>
          <w:szCs w:val="24"/>
        </w:rPr>
        <w:fldChar w:fldCharType="separate"/>
      </w:r>
      <w:r>
        <w:rPr>
          <w:bCs/>
          <w:i w:val="0"/>
          <w:iCs w:val="0"/>
          <w:szCs w:val="32"/>
        </w:rPr>
        <w:t>9.1.</w:t>
      </w:r>
      <w:r>
        <w:rPr>
          <w:rFonts w:hint="eastAsia"/>
          <w:bCs/>
          <w:i w:val="0"/>
          <w:iCs w:val="0"/>
          <w:szCs w:val="32"/>
        </w:rPr>
        <w:t>8排污许可制度要求</w:t>
      </w:r>
      <w:r>
        <w:rPr>
          <w:i w:val="0"/>
          <w:iCs w:val="0"/>
        </w:rPr>
        <w:tab/>
      </w:r>
      <w:r>
        <w:rPr>
          <w:i w:val="0"/>
          <w:iCs w:val="0"/>
        </w:rPr>
        <w:fldChar w:fldCharType="begin"/>
      </w:r>
      <w:r>
        <w:rPr>
          <w:i w:val="0"/>
          <w:iCs w:val="0"/>
        </w:rPr>
        <w:instrText xml:space="preserve"> PAGEREF _Toc19779 \h </w:instrText>
      </w:r>
      <w:r>
        <w:rPr>
          <w:i w:val="0"/>
          <w:iCs w:val="0"/>
        </w:rPr>
        <w:fldChar w:fldCharType="separate"/>
      </w:r>
      <w:r>
        <w:rPr>
          <w:i w:val="0"/>
          <w:iCs w:val="0"/>
        </w:rPr>
        <w:t>- 237 -</w:t>
      </w:r>
      <w:r>
        <w:rPr>
          <w:i w:val="0"/>
          <w:iCs w:val="0"/>
        </w:rPr>
        <w:fldChar w:fldCharType="end"/>
      </w:r>
      <w:r>
        <w:rPr>
          <w:i w:val="0"/>
          <w:iCs w:val="0"/>
          <w:color w:val="auto"/>
          <w:szCs w:val="24"/>
        </w:rPr>
        <w:fldChar w:fldCharType="end"/>
      </w:r>
    </w:p>
    <w:p w14:paraId="41639492">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_Toc3831 </w:instrText>
      </w:r>
      <w:r>
        <w:rPr>
          <w:i w:val="0"/>
          <w:iCs w:val="0"/>
          <w:szCs w:val="24"/>
        </w:rPr>
        <w:fldChar w:fldCharType="separate"/>
      </w:r>
      <w:r>
        <w:rPr>
          <w:bCs/>
          <w:i w:val="0"/>
          <w:iCs w:val="0"/>
          <w:szCs w:val="32"/>
        </w:rPr>
        <w:t>9.1.</w:t>
      </w:r>
      <w:r>
        <w:rPr>
          <w:rFonts w:hint="eastAsia"/>
          <w:bCs/>
          <w:i w:val="0"/>
          <w:iCs w:val="0"/>
          <w:szCs w:val="32"/>
        </w:rPr>
        <w:t>9</w:t>
      </w:r>
      <w:r>
        <w:rPr>
          <w:bCs/>
          <w:i w:val="0"/>
          <w:iCs w:val="0"/>
          <w:szCs w:val="32"/>
        </w:rPr>
        <w:t>规范排污口</w:t>
      </w:r>
      <w:r>
        <w:rPr>
          <w:i w:val="0"/>
          <w:iCs w:val="0"/>
        </w:rPr>
        <w:tab/>
      </w:r>
      <w:r>
        <w:rPr>
          <w:i w:val="0"/>
          <w:iCs w:val="0"/>
        </w:rPr>
        <w:fldChar w:fldCharType="begin"/>
      </w:r>
      <w:r>
        <w:rPr>
          <w:i w:val="0"/>
          <w:iCs w:val="0"/>
        </w:rPr>
        <w:instrText xml:space="preserve"> PAGEREF _Toc3831 \h </w:instrText>
      </w:r>
      <w:r>
        <w:rPr>
          <w:i w:val="0"/>
          <w:iCs w:val="0"/>
        </w:rPr>
        <w:fldChar w:fldCharType="separate"/>
      </w:r>
      <w:r>
        <w:rPr>
          <w:i w:val="0"/>
          <w:iCs w:val="0"/>
        </w:rPr>
        <w:t>- 238 -</w:t>
      </w:r>
      <w:r>
        <w:rPr>
          <w:i w:val="0"/>
          <w:iCs w:val="0"/>
        </w:rPr>
        <w:fldChar w:fldCharType="end"/>
      </w:r>
      <w:r>
        <w:rPr>
          <w:i w:val="0"/>
          <w:iCs w:val="0"/>
          <w:color w:val="auto"/>
          <w:szCs w:val="24"/>
        </w:rPr>
        <w:fldChar w:fldCharType="end"/>
      </w:r>
    </w:p>
    <w:p w14:paraId="6A9F33B5">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_Toc7475 </w:instrText>
      </w:r>
      <w:r>
        <w:rPr>
          <w:i w:val="0"/>
          <w:iCs w:val="0"/>
          <w:szCs w:val="24"/>
        </w:rPr>
        <w:fldChar w:fldCharType="separate"/>
      </w:r>
      <w:r>
        <w:rPr>
          <w:i w:val="0"/>
          <w:iCs w:val="0"/>
        </w:rPr>
        <w:t>9.2环境监测计划</w:t>
      </w:r>
      <w:r>
        <w:rPr>
          <w:i w:val="0"/>
          <w:iCs w:val="0"/>
        </w:rPr>
        <w:tab/>
      </w:r>
      <w:r>
        <w:rPr>
          <w:i w:val="0"/>
          <w:iCs w:val="0"/>
        </w:rPr>
        <w:fldChar w:fldCharType="begin"/>
      </w:r>
      <w:r>
        <w:rPr>
          <w:i w:val="0"/>
          <w:iCs w:val="0"/>
        </w:rPr>
        <w:instrText xml:space="preserve"> PAGEREF _Toc7475 \h </w:instrText>
      </w:r>
      <w:r>
        <w:rPr>
          <w:i w:val="0"/>
          <w:iCs w:val="0"/>
        </w:rPr>
        <w:fldChar w:fldCharType="separate"/>
      </w:r>
      <w:r>
        <w:rPr>
          <w:i w:val="0"/>
          <w:iCs w:val="0"/>
        </w:rPr>
        <w:t>- 239 -</w:t>
      </w:r>
      <w:r>
        <w:rPr>
          <w:i w:val="0"/>
          <w:iCs w:val="0"/>
        </w:rPr>
        <w:fldChar w:fldCharType="end"/>
      </w:r>
      <w:r>
        <w:rPr>
          <w:i w:val="0"/>
          <w:iCs w:val="0"/>
          <w:color w:val="auto"/>
          <w:szCs w:val="24"/>
        </w:rPr>
        <w:fldChar w:fldCharType="end"/>
      </w:r>
    </w:p>
    <w:p w14:paraId="4F79894F">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_Toc25964 </w:instrText>
      </w:r>
      <w:r>
        <w:rPr>
          <w:i w:val="0"/>
          <w:iCs w:val="0"/>
          <w:szCs w:val="24"/>
        </w:rPr>
        <w:fldChar w:fldCharType="separate"/>
      </w:r>
      <w:r>
        <w:rPr>
          <w:bCs/>
          <w:i w:val="0"/>
          <w:iCs w:val="0"/>
          <w:szCs w:val="32"/>
        </w:rPr>
        <w:t>9.2.1环境监测的必要性</w:t>
      </w:r>
      <w:r>
        <w:rPr>
          <w:i w:val="0"/>
          <w:iCs w:val="0"/>
        </w:rPr>
        <w:tab/>
      </w:r>
      <w:r>
        <w:rPr>
          <w:i w:val="0"/>
          <w:iCs w:val="0"/>
        </w:rPr>
        <w:fldChar w:fldCharType="begin"/>
      </w:r>
      <w:r>
        <w:rPr>
          <w:i w:val="0"/>
          <w:iCs w:val="0"/>
        </w:rPr>
        <w:instrText xml:space="preserve"> PAGEREF _Toc25964 \h </w:instrText>
      </w:r>
      <w:r>
        <w:rPr>
          <w:i w:val="0"/>
          <w:iCs w:val="0"/>
        </w:rPr>
        <w:fldChar w:fldCharType="separate"/>
      </w:r>
      <w:r>
        <w:rPr>
          <w:i w:val="0"/>
          <w:iCs w:val="0"/>
        </w:rPr>
        <w:t>- 239 -</w:t>
      </w:r>
      <w:r>
        <w:rPr>
          <w:i w:val="0"/>
          <w:iCs w:val="0"/>
        </w:rPr>
        <w:fldChar w:fldCharType="end"/>
      </w:r>
      <w:r>
        <w:rPr>
          <w:i w:val="0"/>
          <w:iCs w:val="0"/>
          <w:color w:val="auto"/>
          <w:szCs w:val="24"/>
        </w:rPr>
        <w:fldChar w:fldCharType="end"/>
      </w:r>
    </w:p>
    <w:p w14:paraId="71084510">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_Toc11563 </w:instrText>
      </w:r>
      <w:r>
        <w:rPr>
          <w:i w:val="0"/>
          <w:iCs w:val="0"/>
          <w:szCs w:val="24"/>
        </w:rPr>
        <w:fldChar w:fldCharType="separate"/>
      </w:r>
      <w:r>
        <w:rPr>
          <w:bCs/>
          <w:i w:val="0"/>
          <w:iCs w:val="0"/>
          <w:szCs w:val="32"/>
        </w:rPr>
        <w:t>9.2.2环境监测机构设置</w:t>
      </w:r>
      <w:r>
        <w:rPr>
          <w:i w:val="0"/>
          <w:iCs w:val="0"/>
        </w:rPr>
        <w:tab/>
      </w:r>
      <w:r>
        <w:rPr>
          <w:i w:val="0"/>
          <w:iCs w:val="0"/>
        </w:rPr>
        <w:fldChar w:fldCharType="begin"/>
      </w:r>
      <w:r>
        <w:rPr>
          <w:i w:val="0"/>
          <w:iCs w:val="0"/>
        </w:rPr>
        <w:instrText xml:space="preserve"> PAGEREF _Toc11563 \h </w:instrText>
      </w:r>
      <w:r>
        <w:rPr>
          <w:i w:val="0"/>
          <w:iCs w:val="0"/>
        </w:rPr>
        <w:fldChar w:fldCharType="separate"/>
      </w:r>
      <w:r>
        <w:rPr>
          <w:i w:val="0"/>
          <w:iCs w:val="0"/>
        </w:rPr>
        <w:t>- 239 -</w:t>
      </w:r>
      <w:r>
        <w:rPr>
          <w:i w:val="0"/>
          <w:iCs w:val="0"/>
        </w:rPr>
        <w:fldChar w:fldCharType="end"/>
      </w:r>
      <w:r>
        <w:rPr>
          <w:i w:val="0"/>
          <w:iCs w:val="0"/>
          <w:color w:val="auto"/>
          <w:szCs w:val="24"/>
        </w:rPr>
        <w:fldChar w:fldCharType="end"/>
      </w:r>
    </w:p>
    <w:p w14:paraId="25B30A2D">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_Toc18718 </w:instrText>
      </w:r>
      <w:r>
        <w:rPr>
          <w:i w:val="0"/>
          <w:iCs w:val="0"/>
          <w:szCs w:val="24"/>
        </w:rPr>
        <w:fldChar w:fldCharType="separate"/>
      </w:r>
      <w:r>
        <w:rPr>
          <w:bCs/>
          <w:i w:val="0"/>
          <w:iCs w:val="0"/>
          <w:szCs w:val="32"/>
        </w:rPr>
        <w:t>9.2.3环境监测职责</w:t>
      </w:r>
      <w:r>
        <w:rPr>
          <w:i w:val="0"/>
          <w:iCs w:val="0"/>
        </w:rPr>
        <w:tab/>
      </w:r>
      <w:r>
        <w:rPr>
          <w:i w:val="0"/>
          <w:iCs w:val="0"/>
        </w:rPr>
        <w:fldChar w:fldCharType="begin"/>
      </w:r>
      <w:r>
        <w:rPr>
          <w:i w:val="0"/>
          <w:iCs w:val="0"/>
        </w:rPr>
        <w:instrText xml:space="preserve"> PAGEREF _Toc18718 \h </w:instrText>
      </w:r>
      <w:r>
        <w:rPr>
          <w:i w:val="0"/>
          <w:iCs w:val="0"/>
        </w:rPr>
        <w:fldChar w:fldCharType="separate"/>
      </w:r>
      <w:r>
        <w:rPr>
          <w:i w:val="0"/>
          <w:iCs w:val="0"/>
        </w:rPr>
        <w:t>- 239 -</w:t>
      </w:r>
      <w:r>
        <w:rPr>
          <w:i w:val="0"/>
          <w:iCs w:val="0"/>
        </w:rPr>
        <w:fldChar w:fldCharType="end"/>
      </w:r>
      <w:r>
        <w:rPr>
          <w:i w:val="0"/>
          <w:iCs w:val="0"/>
          <w:color w:val="auto"/>
          <w:szCs w:val="24"/>
        </w:rPr>
        <w:fldChar w:fldCharType="end"/>
      </w:r>
    </w:p>
    <w:p w14:paraId="08A7C992">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_Toc24163 </w:instrText>
      </w:r>
      <w:r>
        <w:rPr>
          <w:i w:val="0"/>
          <w:iCs w:val="0"/>
          <w:szCs w:val="24"/>
        </w:rPr>
        <w:fldChar w:fldCharType="separate"/>
      </w:r>
      <w:r>
        <w:rPr>
          <w:bCs/>
          <w:i w:val="0"/>
          <w:iCs w:val="0"/>
          <w:szCs w:val="32"/>
        </w:rPr>
        <w:t>9.2.4环境监测计划</w:t>
      </w:r>
      <w:r>
        <w:rPr>
          <w:i w:val="0"/>
          <w:iCs w:val="0"/>
        </w:rPr>
        <w:tab/>
      </w:r>
      <w:r>
        <w:rPr>
          <w:i w:val="0"/>
          <w:iCs w:val="0"/>
        </w:rPr>
        <w:fldChar w:fldCharType="begin"/>
      </w:r>
      <w:r>
        <w:rPr>
          <w:i w:val="0"/>
          <w:iCs w:val="0"/>
        </w:rPr>
        <w:instrText xml:space="preserve"> PAGEREF _Toc24163 \h </w:instrText>
      </w:r>
      <w:r>
        <w:rPr>
          <w:i w:val="0"/>
          <w:iCs w:val="0"/>
        </w:rPr>
        <w:fldChar w:fldCharType="separate"/>
      </w:r>
      <w:r>
        <w:rPr>
          <w:i w:val="0"/>
          <w:iCs w:val="0"/>
        </w:rPr>
        <w:t>- 240 -</w:t>
      </w:r>
      <w:r>
        <w:rPr>
          <w:i w:val="0"/>
          <w:iCs w:val="0"/>
        </w:rPr>
        <w:fldChar w:fldCharType="end"/>
      </w:r>
      <w:r>
        <w:rPr>
          <w:i w:val="0"/>
          <w:iCs w:val="0"/>
          <w:color w:val="auto"/>
          <w:szCs w:val="24"/>
        </w:rPr>
        <w:fldChar w:fldCharType="end"/>
      </w:r>
    </w:p>
    <w:p w14:paraId="5B80441E">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_Toc23340 </w:instrText>
      </w:r>
      <w:r>
        <w:rPr>
          <w:i w:val="0"/>
          <w:iCs w:val="0"/>
          <w:szCs w:val="24"/>
        </w:rPr>
        <w:fldChar w:fldCharType="separate"/>
      </w:r>
      <w:r>
        <w:rPr>
          <w:i w:val="0"/>
          <w:iCs w:val="0"/>
        </w:rPr>
        <w:t>9.3“三同时”验收一览表</w:t>
      </w:r>
      <w:r>
        <w:rPr>
          <w:i w:val="0"/>
          <w:iCs w:val="0"/>
        </w:rPr>
        <w:tab/>
      </w:r>
      <w:r>
        <w:rPr>
          <w:i w:val="0"/>
          <w:iCs w:val="0"/>
        </w:rPr>
        <w:fldChar w:fldCharType="begin"/>
      </w:r>
      <w:r>
        <w:rPr>
          <w:i w:val="0"/>
          <w:iCs w:val="0"/>
        </w:rPr>
        <w:instrText xml:space="preserve"> PAGEREF _Toc23340 \h </w:instrText>
      </w:r>
      <w:r>
        <w:rPr>
          <w:i w:val="0"/>
          <w:iCs w:val="0"/>
        </w:rPr>
        <w:fldChar w:fldCharType="separate"/>
      </w:r>
      <w:r>
        <w:rPr>
          <w:i w:val="0"/>
          <w:iCs w:val="0"/>
        </w:rPr>
        <w:t>- 241 -</w:t>
      </w:r>
      <w:r>
        <w:rPr>
          <w:i w:val="0"/>
          <w:iCs w:val="0"/>
        </w:rPr>
        <w:fldChar w:fldCharType="end"/>
      </w:r>
      <w:r>
        <w:rPr>
          <w:i w:val="0"/>
          <w:iCs w:val="0"/>
          <w:color w:val="auto"/>
          <w:szCs w:val="24"/>
        </w:rPr>
        <w:fldChar w:fldCharType="end"/>
      </w:r>
    </w:p>
    <w:p w14:paraId="2F34FB28">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_Toc1846 </w:instrText>
      </w:r>
      <w:r>
        <w:rPr>
          <w:i w:val="0"/>
          <w:iCs w:val="0"/>
          <w:szCs w:val="24"/>
        </w:rPr>
        <w:fldChar w:fldCharType="separate"/>
      </w:r>
      <w:r>
        <w:rPr>
          <w:rFonts w:ascii="Times New Roman" w:hAnsi="Times New Roman" w:eastAsia="宋体" w:cs="Times New Roman"/>
          <w:i w:val="0"/>
          <w:iCs w:val="0"/>
        </w:rPr>
        <w:t>9.4污染物排放清单</w:t>
      </w:r>
      <w:r>
        <w:rPr>
          <w:i w:val="0"/>
          <w:iCs w:val="0"/>
        </w:rPr>
        <w:tab/>
      </w:r>
      <w:r>
        <w:rPr>
          <w:i w:val="0"/>
          <w:iCs w:val="0"/>
        </w:rPr>
        <w:fldChar w:fldCharType="begin"/>
      </w:r>
      <w:r>
        <w:rPr>
          <w:i w:val="0"/>
          <w:iCs w:val="0"/>
        </w:rPr>
        <w:instrText xml:space="preserve"> PAGEREF _Toc1846 \h </w:instrText>
      </w:r>
      <w:r>
        <w:rPr>
          <w:i w:val="0"/>
          <w:iCs w:val="0"/>
        </w:rPr>
        <w:fldChar w:fldCharType="separate"/>
      </w:r>
      <w:r>
        <w:rPr>
          <w:i w:val="0"/>
          <w:iCs w:val="0"/>
        </w:rPr>
        <w:t>- 242 -</w:t>
      </w:r>
      <w:r>
        <w:rPr>
          <w:i w:val="0"/>
          <w:iCs w:val="0"/>
        </w:rPr>
        <w:fldChar w:fldCharType="end"/>
      </w:r>
      <w:r>
        <w:rPr>
          <w:i w:val="0"/>
          <w:iCs w:val="0"/>
          <w:color w:val="auto"/>
          <w:szCs w:val="24"/>
        </w:rPr>
        <w:fldChar w:fldCharType="end"/>
      </w:r>
    </w:p>
    <w:p w14:paraId="2F6D6584">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_Toc21332 </w:instrText>
      </w:r>
      <w:r>
        <w:rPr>
          <w:i w:val="0"/>
          <w:iCs w:val="0"/>
          <w:szCs w:val="24"/>
        </w:rPr>
        <w:fldChar w:fldCharType="separate"/>
      </w:r>
      <w:r>
        <w:rPr>
          <w:i w:val="0"/>
          <w:iCs w:val="0"/>
        </w:rPr>
        <w:t>9.</w:t>
      </w:r>
      <w:r>
        <w:rPr>
          <w:rFonts w:hint="eastAsia"/>
          <w:i w:val="0"/>
          <w:iCs w:val="0"/>
          <w:lang w:val="en-US" w:eastAsia="zh-CN"/>
        </w:rPr>
        <w:t>5</w:t>
      </w:r>
      <w:r>
        <w:rPr>
          <w:i w:val="0"/>
          <w:iCs w:val="0"/>
        </w:rPr>
        <w:t>总量控制</w:t>
      </w:r>
      <w:r>
        <w:rPr>
          <w:i w:val="0"/>
          <w:iCs w:val="0"/>
        </w:rPr>
        <w:tab/>
      </w:r>
      <w:r>
        <w:rPr>
          <w:i w:val="0"/>
          <w:iCs w:val="0"/>
        </w:rPr>
        <w:fldChar w:fldCharType="begin"/>
      </w:r>
      <w:r>
        <w:rPr>
          <w:i w:val="0"/>
          <w:iCs w:val="0"/>
        </w:rPr>
        <w:instrText xml:space="preserve"> PAGEREF _Toc21332 \h </w:instrText>
      </w:r>
      <w:r>
        <w:rPr>
          <w:i w:val="0"/>
          <w:iCs w:val="0"/>
        </w:rPr>
        <w:fldChar w:fldCharType="separate"/>
      </w:r>
      <w:r>
        <w:rPr>
          <w:i w:val="0"/>
          <w:iCs w:val="0"/>
        </w:rPr>
        <w:t>- 244 -</w:t>
      </w:r>
      <w:r>
        <w:rPr>
          <w:i w:val="0"/>
          <w:iCs w:val="0"/>
        </w:rPr>
        <w:fldChar w:fldCharType="end"/>
      </w:r>
      <w:r>
        <w:rPr>
          <w:i w:val="0"/>
          <w:iCs w:val="0"/>
          <w:color w:val="auto"/>
          <w:szCs w:val="24"/>
        </w:rPr>
        <w:fldChar w:fldCharType="end"/>
      </w:r>
    </w:p>
    <w:p w14:paraId="46187E53">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_Toc6138 </w:instrText>
      </w:r>
      <w:r>
        <w:rPr>
          <w:i w:val="0"/>
          <w:iCs w:val="0"/>
          <w:szCs w:val="24"/>
        </w:rPr>
        <w:fldChar w:fldCharType="separate"/>
      </w:r>
      <w:r>
        <w:rPr>
          <w:bCs/>
          <w:i w:val="0"/>
          <w:iCs w:val="0"/>
          <w:szCs w:val="32"/>
        </w:rPr>
        <w:t>9.</w:t>
      </w:r>
      <w:r>
        <w:rPr>
          <w:rFonts w:hint="eastAsia"/>
          <w:bCs/>
          <w:i w:val="0"/>
          <w:iCs w:val="0"/>
          <w:szCs w:val="32"/>
          <w:lang w:val="en-US" w:eastAsia="zh-CN"/>
        </w:rPr>
        <w:t>5</w:t>
      </w:r>
      <w:r>
        <w:rPr>
          <w:bCs/>
          <w:i w:val="0"/>
          <w:iCs w:val="0"/>
          <w:szCs w:val="32"/>
        </w:rPr>
        <w:t>.1总量控制的原则</w:t>
      </w:r>
      <w:r>
        <w:rPr>
          <w:i w:val="0"/>
          <w:iCs w:val="0"/>
        </w:rPr>
        <w:tab/>
      </w:r>
      <w:r>
        <w:rPr>
          <w:i w:val="0"/>
          <w:iCs w:val="0"/>
        </w:rPr>
        <w:fldChar w:fldCharType="begin"/>
      </w:r>
      <w:r>
        <w:rPr>
          <w:i w:val="0"/>
          <w:iCs w:val="0"/>
        </w:rPr>
        <w:instrText xml:space="preserve"> PAGEREF _Toc6138 \h </w:instrText>
      </w:r>
      <w:r>
        <w:rPr>
          <w:i w:val="0"/>
          <w:iCs w:val="0"/>
        </w:rPr>
        <w:fldChar w:fldCharType="separate"/>
      </w:r>
      <w:r>
        <w:rPr>
          <w:i w:val="0"/>
          <w:iCs w:val="0"/>
        </w:rPr>
        <w:t>- 244 -</w:t>
      </w:r>
      <w:r>
        <w:rPr>
          <w:i w:val="0"/>
          <w:iCs w:val="0"/>
        </w:rPr>
        <w:fldChar w:fldCharType="end"/>
      </w:r>
      <w:r>
        <w:rPr>
          <w:i w:val="0"/>
          <w:iCs w:val="0"/>
          <w:color w:val="auto"/>
          <w:szCs w:val="24"/>
        </w:rPr>
        <w:fldChar w:fldCharType="end"/>
      </w:r>
    </w:p>
    <w:p w14:paraId="5EC2DAD1">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_Toc16887 </w:instrText>
      </w:r>
      <w:r>
        <w:rPr>
          <w:i w:val="0"/>
          <w:iCs w:val="0"/>
          <w:szCs w:val="24"/>
        </w:rPr>
        <w:fldChar w:fldCharType="separate"/>
      </w:r>
      <w:r>
        <w:rPr>
          <w:bCs/>
          <w:i w:val="0"/>
          <w:iCs w:val="0"/>
          <w:szCs w:val="32"/>
        </w:rPr>
        <w:t>9.</w:t>
      </w:r>
      <w:r>
        <w:rPr>
          <w:rFonts w:hint="eastAsia"/>
          <w:bCs/>
          <w:i w:val="0"/>
          <w:iCs w:val="0"/>
          <w:szCs w:val="32"/>
          <w:lang w:val="en-US" w:eastAsia="zh-CN"/>
        </w:rPr>
        <w:t>5</w:t>
      </w:r>
      <w:r>
        <w:rPr>
          <w:bCs/>
          <w:i w:val="0"/>
          <w:iCs w:val="0"/>
          <w:szCs w:val="32"/>
        </w:rPr>
        <w:t>.2实施总量控制的项目</w:t>
      </w:r>
      <w:r>
        <w:rPr>
          <w:i w:val="0"/>
          <w:iCs w:val="0"/>
        </w:rPr>
        <w:tab/>
      </w:r>
      <w:r>
        <w:rPr>
          <w:i w:val="0"/>
          <w:iCs w:val="0"/>
        </w:rPr>
        <w:fldChar w:fldCharType="begin"/>
      </w:r>
      <w:r>
        <w:rPr>
          <w:i w:val="0"/>
          <w:iCs w:val="0"/>
        </w:rPr>
        <w:instrText xml:space="preserve"> PAGEREF _Toc16887 \h </w:instrText>
      </w:r>
      <w:r>
        <w:rPr>
          <w:i w:val="0"/>
          <w:iCs w:val="0"/>
        </w:rPr>
        <w:fldChar w:fldCharType="separate"/>
      </w:r>
      <w:r>
        <w:rPr>
          <w:i w:val="0"/>
          <w:iCs w:val="0"/>
        </w:rPr>
        <w:t>- 244 -</w:t>
      </w:r>
      <w:r>
        <w:rPr>
          <w:i w:val="0"/>
          <w:iCs w:val="0"/>
        </w:rPr>
        <w:fldChar w:fldCharType="end"/>
      </w:r>
      <w:r>
        <w:rPr>
          <w:i w:val="0"/>
          <w:iCs w:val="0"/>
          <w:color w:val="auto"/>
          <w:szCs w:val="24"/>
        </w:rPr>
        <w:fldChar w:fldCharType="end"/>
      </w:r>
    </w:p>
    <w:p w14:paraId="33EE483C">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_Toc17248 </w:instrText>
      </w:r>
      <w:r>
        <w:rPr>
          <w:i w:val="0"/>
          <w:iCs w:val="0"/>
          <w:szCs w:val="24"/>
        </w:rPr>
        <w:fldChar w:fldCharType="separate"/>
      </w:r>
      <w:r>
        <w:rPr>
          <w:rFonts w:hint="eastAsia"/>
          <w:i w:val="0"/>
          <w:iCs w:val="0"/>
        </w:rPr>
        <w:t>9.</w:t>
      </w:r>
      <w:r>
        <w:rPr>
          <w:rFonts w:hint="eastAsia"/>
          <w:i w:val="0"/>
          <w:iCs w:val="0"/>
          <w:lang w:val="en-US" w:eastAsia="zh-CN"/>
        </w:rPr>
        <w:t>6</w:t>
      </w:r>
      <w:r>
        <w:rPr>
          <w:i w:val="0"/>
          <w:iCs w:val="0"/>
        </w:rPr>
        <w:t>排污许可证制度衔接</w:t>
      </w:r>
      <w:r>
        <w:rPr>
          <w:i w:val="0"/>
          <w:iCs w:val="0"/>
        </w:rPr>
        <w:tab/>
      </w:r>
      <w:r>
        <w:rPr>
          <w:i w:val="0"/>
          <w:iCs w:val="0"/>
        </w:rPr>
        <w:fldChar w:fldCharType="begin"/>
      </w:r>
      <w:r>
        <w:rPr>
          <w:i w:val="0"/>
          <w:iCs w:val="0"/>
        </w:rPr>
        <w:instrText xml:space="preserve"> PAGEREF _Toc17248 \h </w:instrText>
      </w:r>
      <w:r>
        <w:rPr>
          <w:i w:val="0"/>
          <w:iCs w:val="0"/>
        </w:rPr>
        <w:fldChar w:fldCharType="separate"/>
      </w:r>
      <w:r>
        <w:rPr>
          <w:i w:val="0"/>
          <w:iCs w:val="0"/>
        </w:rPr>
        <w:t>- 245 -</w:t>
      </w:r>
      <w:r>
        <w:rPr>
          <w:i w:val="0"/>
          <w:iCs w:val="0"/>
        </w:rPr>
        <w:fldChar w:fldCharType="end"/>
      </w:r>
      <w:r>
        <w:rPr>
          <w:i w:val="0"/>
          <w:iCs w:val="0"/>
          <w:color w:val="auto"/>
          <w:szCs w:val="24"/>
        </w:rPr>
        <w:fldChar w:fldCharType="end"/>
      </w:r>
    </w:p>
    <w:p w14:paraId="2A8BF48C">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_Toc19320 </w:instrText>
      </w:r>
      <w:r>
        <w:rPr>
          <w:i w:val="0"/>
          <w:iCs w:val="0"/>
          <w:szCs w:val="24"/>
        </w:rPr>
        <w:fldChar w:fldCharType="separate"/>
      </w:r>
      <w:r>
        <w:rPr>
          <w:rFonts w:hint="eastAsia"/>
          <w:bCs/>
          <w:i w:val="0"/>
          <w:iCs w:val="0"/>
          <w:szCs w:val="32"/>
        </w:rPr>
        <w:t>9.</w:t>
      </w:r>
      <w:r>
        <w:rPr>
          <w:rFonts w:hint="eastAsia"/>
          <w:bCs/>
          <w:i w:val="0"/>
          <w:iCs w:val="0"/>
          <w:szCs w:val="32"/>
          <w:lang w:val="en-US" w:eastAsia="zh-CN"/>
        </w:rPr>
        <w:t>6</w:t>
      </w:r>
      <w:r>
        <w:rPr>
          <w:rFonts w:hint="eastAsia"/>
          <w:bCs/>
          <w:i w:val="0"/>
          <w:iCs w:val="0"/>
          <w:szCs w:val="32"/>
        </w:rPr>
        <w:t>.1排污许可证申请与核发技术规范相关要求</w:t>
      </w:r>
      <w:r>
        <w:rPr>
          <w:i w:val="0"/>
          <w:iCs w:val="0"/>
        </w:rPr>
        <w:tab/>
      </w:r>
      <w:r>
        <w:rPr>
          <w:i w:val="0"/>
          <w:iCs w:val="0"/>
        </w:rPr>
        <w:fldChar w:fldCharType="begin"/>
      </w:r>
      <w:r>
        <w:rPr>
          <w:i w:val="0"/>
          <w:iCs w:val="0"/>
        </w:rPr>
        <w:instrText xml:space="preserve"> PAGEREF _Toc19320 \h </w:instrText>
      </w:r>
      <w:r>
        <w:rPr>
          <w:i w:val="0"/>
          <w:iCs w:val="0"/>
        </w:rPr>
        <w:fldChar w:fldCharType="separate"/>
      </w:r>
      <w:r>
        <w:rPr>
          <w:i w:val="0"/>
          <w:iCs w:val="0"/>
        </w:rPr>
        <w:t>- 246 -</w:t>
      </w:r>
      <w:r>
        <w:rPr>
          <w:i w:val="0"/>
          <w:iCs w:val="0"/>
        </w:rPr>
        <w:fldChar w:fldCharType="end"/>
      </w:r>
      <w:r>
        <w:rPr>
          <w:i w:val="0"/>
          <w:iCs w:val="0"/>
          <w:color w:val="auto"/>
          <w:szCs w:val="24"/>
        </w:rPr>
        <w:fldChar w:fldCharType="end"/>
      </w:r>
    </w:p>
    <w:p w14:paraId="1AA3BA22">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_Toc12014 </w:instrText>
      </w:r>
      <w:r>
        <w:rPr>
          <w:i w:val="0"/>
          <w:iCs w:val="0"/>
          <w:szCs w:val="24"/>
        </w:rPr>
        <w:fldChar w:fldCharType="separate"/>
      </w:r>
      <w:r>
        <w:rPr>
          <w:rFonts w:hint="eastAsia"/>
          <w:bCs/>
          <w:i w:val="0"/>
          <w:iCs w:val="0"/>
          <w:szCs w:val="32"/>
        </w:rPr>
        <w:t>9.</w:t>
      </w:r>
      <w:r>
        <w:rPr>
          <w:rFonts w:hint="eastAsia"/>
          <w:bCs/>
          <w:i w:val="0"/>
          <w:iCs w:val="0"/>
          <w:szCs w:val="32"/>
          <w:lang w:val="en-US" w:eastAsia="zh-CN"/>
        </w:rPr>
        <w:t>6</w:t>
      </w:r>
      <w:r>
        <w:rPr>
          <w:rFonts w:hint="eastAsia"/>
          <w:bCs/>
          <w:i w:val="0"/>
          <w:iCs w:val="0"/>
          <w:szCs w:val="32"/>
        </w:rPr>
        <w:t>.2纳入许可管理的排污口</w:t>
      </w:r>
      <w:r>
        <w:rPr>
          <w:i w:val="0"/>
          <w:iCs w:val="0"/>
        </w:rPr>
        <w:tab/>
      </w:r>
      <w:r>
        <w:rPr>
          <w:i w:val="0"/>
          <w:iCs w:val="0"/>
        </w:rPr>
        <w:fldChar w:fldCharType="begin"/>
      </w:r>
      <w:r>
        <w:rPr>
          <w:i w:val="0"/>
          <w:iCs w:val="0"/>
        </w:rPr>
        <w:instrText xml:space="preserve"> PAGEREF _Toc12014 \h </w:instrText>
      </w:r>
      <w:r>
        <w:rPr>
          <w:i w:val="0"/>
          <w:iCs w:val="0"/>
        </w:rPr>
        <w:fldChar w:fldCharType="separate"/>
      </w:r>
      <w:r>
        <w:rPr>
          <w:i w:val="0"/>
          <w:iCs w:val="0"/>
        </w:rPr>
        <w:t>- 246 -</w:t>
      </w:r>
      <w:r>
        <w:rPr>
          <w:i w:val="0"/>
          <w:iCs w:val="0"/>
        </w:rPr>
        <w:fldChar w:fldCharType="end"/>
      </w:r>
      <w:r>
        <w:rPr>
          <w:i w:val="0"/>
          <w:iCs w:val="0"/>
          <w:color w:val="auto"/>
          <w:szCs w:val="24"/>
        </w:rPr>
        <w:fldChar w:fldCharType="end"/>
      </w:r>
    </w:p>
    <w:p w14:paraId="60A65B9A">
      <w:pPr>
        <w:pStyle w:val="38"/>
        <w:tabs>
          <w:tab w:val="right" w:leader="dot" w:pos="8312"/>
        </w:tabs>
        <w:rPr>
          <w:i w:val="0"/>
          <w:iCs w:val="0"/>
        </w:rPr>
      </w:pPr>
      <w:r>
        <w:rPr>
          <w:i w:val="0"/>
          <w:iCs w:val="0"/>
          <w:color w:val="auto"/>
          <w:szCs w:val="24"/>
        </w:rPr>
        <w:fldChar w:fldCharType="begin"/>
      </w:r>
      <w:r>
        <w:rPr>
          <w:i w:val="0"/>
          <w:iCs w:val="0"/>
          <w:szCs w:val="24"/>
        </w:rPr>
        <w:instrText xml:space="preserve"> HYPERLINK \l _Toc28478 </w:instrText>
      </w:r>
      <w:r>
        <w:rPr>
          <w:i w:val="0"/>
          <w:iCs w:val="0"/>
          <w:szCs w:val="24"/>
        </w:rPr>
        <w:fldChar w:fldCharType="separate"/>
      </w:r>
      <w:r>
        <w:rPr>
          <w:rFonts w:ascii="Times New Roman" w:eastAsia="宋体"/>
          <w:bCs/>
          <w:i w:val="0"/>
          <w:iCs w:val="0"/>
          <w:szCs w:val="32"/>
        </w:rPr>
        <w:t>10、环境影响评价结论</w:t>
      </w:r>
      <w:r>
        <w:rPr>
          <w:i w:val="0"/>
          <w:iCs w:val="0"/>
        </w:rPr>
        <w:tab/>
      </w:r>
      <w:r>
        <w:rPr>
          <w:i w:val="0"/>
          <w:iCs w:val="0"/>
        </w:rPr>
        <w:fldChar w:fldCharType="begin"/>
      </w:r>
      <w:r>
        <w:rPr>
          <w:i w:val="0"/>
          <w:iCs w:val="0"/>
        </w:rPr>
        <w:instrText xml:space="preserve"> PAGEREF _Toc28478 \h </w:instrText>
      </w:r>
      <w:r>
        <w:rPr>
          <w:i w:val="0"/>
          <w:iCs w:val="0"/>
        </w:rPr>
        <w:fldChar w:fldCharType="separate"/>
      </w:r>
      <w:r>
        <w:rPr>
          <w:i w:val="0"/>
          <w:iCs w:val="0"/>
        </w:rPr>
        <w:t>- 247 -</w:t>
      </w:r>
      <w:r>
        <w:rPr>
          <w:i w:val="0"/>
          <w:iCs w:val="0"/>
        </w:rPr>
        <w:fldChar w:fldCharType="end"/>
      </w:r>
      <w:r>
        <w:rPr>
          <w:i w:val="0"/>
          <w:iCs w:val="0"/>
          <w:color w:val="auto"/>
          <w:szCs w:val="24"/>
        </w:rPr>
        <w:fldChar w:fldCharType="end"/>
      </w:r>
    </w:p>
    <w:p w14:paraId="6A07E4D1">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_Toc5219 </w:instrText>
      </w:r>
      <w:r>
        <w:rPr>
          <w:i w:val="0"/>
          <w:iCs w:val="0"/>
          <w:szCs w:val="24"/>
        </w:rPr>
        <w:fldChar w:fldCharType="separate"/>
      </w:r>
      <w:r>
        <w:rPr>
          <w:rFonts w:eastAsia="宋体"/>
          <w:i w:val="0"/>
          <w:iCs w:val="0"/>
          <w:szCs w:val="28"/>
        </w:rPr>
        <w:t>10.1工程概况</w:t>
      </w:r>
      <w:r>
        <w:rPr>
          <w:i w:val="0"/>
          <w:iCs w:val="0"/>
        </w:rPr>
        <w:tab/>
      </w:r>
      <w:r>
        <w:rPr>
          <w:i w:val="0"/>
          <w:iCs w:val="0"/>
        </w:rPr>
        <w:fldChar w:fldCharType="begin"/>
      </w:r>
      <w:r>
        <w:rPr>
          <w:i w:val="0"/>
          <w:iCs w:val="0"/>
        </w:rPr>
        <w:instrText xml:space="preserve"> PAGEREF _Toc5219 \h </w:instrText>
      </w:r>
      <w:r>
        <w:rPr>
          <w:i w:val="0"/>
          <w:iCs w:val="0"/>
        </w:rPr>
        <w:fldChar w:fldCharType="separate"/>
      </w:r>
      <w:r>
        <w:rPr>
          <w:i w:val="0"/>
          <w:iCs w:val="0"/>
        </w:rPr>
        <w:t>- 247 -</w:t>
      </w:r>
      <w:r>
        <w:rPr>
          <w:i w:val="0"/>
          <w:iCs w:val="0"/>
        </w:rPr>
        <w:fldChar w:fldCharType="end"/>
      </w:r>
      <w:r>
        <w:rPr>
          <w:i w:val="0"/>
          <w:iCs w:val="0"/>
          <w:color w:val="auto"/>
          <w:szCs w:val="24"/>
        </w:rPr>
        <w:fldChar w:fldCharType="end"/>
      </w:r>
    </w:p>
    <w:p w14:paraId="46F38ADC">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_Toc16422 </w:instrText>
      </w:r>
      <w:r>
        <w:rPr>
          <w:i w:val="0"/>
          <w:iCs w:val="0"/>
          <w:szCs w:val="24"/>
        </w:rPr>
        <w:fldChar w:fldCharType="separate"/>
      </w:r>
      <w:r>
        <w:rPr>
          <w:rFonts w:eastAsia="宋体"/>
          <w:i w:val="0"/>
          <w:iCs w:val="0"/>
          <w:szCs w:val="28"/>
        </w:rPr>
        <w:t>10.2产业政策符合性</w:t>
      </w:r>
      <w:r>
        <w:rPr>
          <w:i w:val="0"/>
          <w:iCs w:val="0"/>
        </w:rPr>
        <w:tab/>
      </w:r>
      <w:r>
        <w:rPr>
          <w:i w:val="0"/>
          <w:iCs w:val="0"/>
        </w:rPr>
        <w:fldChar w:fldCharType="begin"/>
      </w:r>
      <w:r>
        <w:rPr>
          <w:i w:val="0"/>
          <w:iCs w:val="0"/>
        </w:rPr>
        <w:instrText xml:space="preserve"> PAGEREF _Toc16422 \h </w:instrText>
      </w:r>
      <w:r>
        <w:rPr>
          <w:i w:val="0"/>
          <w:iCs w:val="0"/>
        </w:rPr>
        <w:fldChar w:fldCharType="separate"/>
      </w:r>
      <w:r>
        <w:rPr>
          <w:i w:val="0"/>
          <w:iCs w:val="0"/>
        </w:rPr>
        <w:t>- 247 -</w:t>
      </w:r>
      <w:r>
        <w:rPr>
          <w:i w:val="0"/>
          <w:iCs w:val="0"/>
        </w:rPr>
        <w:fldChar w:fldCharType="end"/>
      </w:r>
      <w:r>
        <w:rPr>
          <w:i w:val="0"/>
          <w:iCs w:val="0"/>
          <w:color w:val="auto"/>
          <w:szCs w:val="24"/>
        </w:rPr>
        <w:fldChar w:fldCharType="end"/>
      </w:r>
    </w:p>
    <w:p w14:paraId="1600ABD8">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_Toc17142 </w:instrText>
      </w:r>
      <w:r>
        <w:rPr>
          <w:i w:val="0"/>
          <w:iCs w:val="0"/>
          <w:szCs w:val="24"/>
        </w:rPr>
        <w:fldChar w:fldCharType="separate"/>
      </w:r>
      <w:r>
        <w:rPr>
          <w:rFonts w:eastAsia="宋体"/>
          <w:i w:val="0"/>
          <w:iCs w:val="0"/>
          <w:szCs w:val="28"/>
        </w:rPr>
        <w:t>10.3</w:t>
      </w:r>
      <w:r>
        <w:rPr>
          <w:rFonts w:eastAsia="宋体"/>
          <w:bCs/>
          <w:i w:val="0"/>
          <w:iCs w:val="0"/>
          <w:szCs w:val="28"/>
        </w:rPr>
        <w:t>项目选址合理性分析</w:t>
      </w:r>
      <w:r>
        <w:rPr>
          <w:i w:val="0"/>
          <w:iCs w:val="0"/>
        </w:rPr>
        <w:tab/>
      </w:r>
      <w:r>
        <w:rPr>
          <w:i w:val="0"/>
          <w:iCs w:val="0"/>
        </w:rPr>
        <w:fldChar w:fldCharType="begin"/>
      </w:r>
      <w:r>
        <w:rPr>
          <w:i w:val="0"/>
          <w:iCs w:val="0"/>
        </w:rPr>
        <w:instrText xml:space="preserve"> PAGEREF _Toc17142 \h </w:instrText>
      </w:r>
      <w:r>
        <w:rPr>
          <w:i w:val="0"/>
          <w:iCs w:val="0"/>
        </w:rPr>
        <w:fldChar w:fldCharType="separate"/>
      </w:r>
      <w:r>
        <w:rPr>
          <w:i w:val="0"/>
          <w:iCs w:val="0"/>
        </w:rPr>
        <w:t>- 247 -</w:t>
      </w:r>
      <w:r>
        <w:rPr>
          <w:i w:val="0"/>
          <w:iCs w:val="0"/>
        </w:rPr>
        <w:fldChar w:fldCharType="end"/>
      </w:r>
      <w:r>
        <w:rPr>
          <w:i w:val="0"/>
          <w:iCs w:val="0"/>
          <w:color w:val="auto"/>
          <w:szCs w:val="24"/>
        </w:rPr>
        <w:fldChar w:fldCharType="end"/>
      </w:r>
    </w:p>
    <w:p w14:paraId="2A1782B7">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_Toc24875 </w:instrText>
      </w:r>
      <w:r>
        <w:rPr>
          <w:i w:val="0"/>
          <w:iCs w:val="0"/>
          <w:szCs w:val="24"/>
        </w:rPr>
        <w:fldChar w:fldCharType="separate"/>
      </w:r>
      <w:r>
        <w:rPr>
          <w:rFonts w:eastAsia="宋体"/>
          <w:i w:val="0"/>
          <w:iCs w:val="0"/>
          <w:szCs w:val="28"/>
        </w:rPr>
        <w:t>10.4环境质量现状</w:t>
      </w:r>
      <w:r>
        <w:rPr>
          <w:i w:val="0"/>
          <w:iCs w:val="0"/>
        </w:rPr>
        <w:tab/>
      </w:r>
      <w:r>
        <w:rPr>
          <w:i w:val="0"/>
          <w:iCs w:val="0"/>
        </w:rPr>
        <w:fldChar w:fldCharType="begin"/>
      </w:r>
      <w:r>
        <w:rPr>
          <w:i w:val="0"/>
          <w:iCs w:val="0"/>
        </w:rPr>
        <w:instrText xml:space="preserve"> PAGEREF _Toc24875 \h </w:instrText>
      </w:r>
      <w:r>
        <w:rPr>
          <w:i w:val="0"/>
          <w:iCs w:val="0"/>
        </w:rPr>
        <w:fldChar w:fldCharType="separate"/>
      </w:r>
      <w:r>
        <w:rPr>
          <w:i w:val="0"/>
          <w:iCs w:val="0"/>
        </w:rPr>
        <w:t>- 247 -</w:t>
      </w:r>
      <w:r>
        <w:rPr>
          <w:i w:val="0"/>
          <w:iCs w:val="0"/>
        </w:rPr>
        <w:fldChar w:fldCharType="end"/>
      </w:r>
      <w:r>
        <w:rPr>
          <w:i w:val="0"/>
          <w:iCs w:val="0"/>
          <w:color w:val="auto"/>
          <w:szCs w:val="24"/>
        </w:rPr>
        <w:fldChar w:fldCharType="end"/>
      </w:r>
    </w:p>
    <w:p w14:paraId="09BFBFFC">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_Toc10192 </w:instrText>
      </w:r>
      <w:r>
        <w:rPr>
          <w:i w:val="0"/>
          <w:iCs w:val="0"/>
          <w:szCs w:val="24"/>
        </w:rPr>
        <w:fldChar w:fldCharType="separate"/>
      </w:r>
      <w:r>
        <w:rPr>
          <w:i w:val="0"/>
          <w:iCs w:val="0"/>
          <w:szCs w:val="28"/>
        </w:rPr>
        <w:t>10.5环境影响预测与评价</w:t>
      </w:r>
      <w:r>
        <w:rPr>
          <w:i w:val="0"/>
          <w:iCs w:val="0"/>
        </w:rPr>
        <w:tab/>
      </w:r>
      <w:r>
        <w:rPr>
          <w:i w:val="0"/>
          <w:iCs w:val="0"/>
        </w:rPr>
        <w:fldChar w:fldCharType="begin"/>
      </w:r>
      <w:r>
        <w:rPr>
          <w:i w:val="0"/>
          <w:iCs w:val="0"/>
        </w:rPr>
        <w:instrText xml:space="preserve"> PAGEREF _Toc10192 \h </w:instrText>
      </w:r>
      <w:r>
        <w:rPr>
          <w:i w:val="0"/>
          <w:iCs w:val="0"/>
        </w:rPr>
        <w:fldChar w:fldCharType="separate"/>
      </w:r>
      <w:r>
        <w:rPr>
          <w:i w:val="0"/>
          <w:iCs w:val="0"/>
        </w:rPr>
        <w:t>- 248 -</w:t>
      </w:r>
      <w:r>
        <w:rPr>
          <w:i w:val="0"/>
          <w:iCs w:val="0"/>
        </w:rPr>
        <w:fldChar w:fldCharType="end"/>
      </w:r>
      <w:r>
        <w:rPr>
          <w:i w:val="0"/>
          <w:iCs w:val="0"/>
          <w:color w:val="auto"/>
          <w:szCs w:val="24"/>
        </w:rPr>
        <w:fldChar w:fldCharType="end"/>
      </w:r>
    </w:p>
    <w:p w14:paraId="6E90B72E">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_Toc28801 </w:instrText>
      </w:r>
      <w:r>
        <w:rPr>
          <w:i w:val="0"/>
          <w:iCs w:val="0"/>
          <w:szCs w:val="24"/>
        </w:rPr>
        <w:fldChar w:fldCharType="separate"/>
      </w:r>
      <w:r>
        <w:rPr>
          <w:bCs/>
          <w:i w:val="0"/>
          <w:iCs w:val="0"/>
          <w:szCs w:val="24"/>
        </w:rPr>
        <w:t>10.5.1环境空气影响分析结论</w:t>
      </w:r>
      <w:r>
        <w:rPr>
          <w:i w:val="0"/>
          <w:iCs w:val="0"/>
        </w:rPr>
        <w:tab/>
      </w:r>
      <w:r>
        <w:rPr>
          <w:i w:val="0"/>
          <w:iCs w:val="0"/>
        </w:rPr>
        <w:fldChar w:fldCharType="begin"/>
      </w:r>
      <w:r>
        <w:rPr>
          <w:i w:val="0"/>
          <w:iCs w:val="0"/>
        </w:rPr>
        <w:instrText xml:space="preserve"> PAGEREF _Toc28801 \h </w:instrText>
      </w:r>
      <w:r>
        <w:rPr>
          <w:i w:val="0"/>
          <w:iCs w:val="0"/>
        </w:rPr>
        <w:fldChar w:fldCharType="separate"/>
      </w:r>
      <w:r>
        <w:rPr>
          <w:i w:val="0"/>
          <w:iCs w:val="0"/>
        </w:rPr>
        <w:t>- 248 -</w:t>
      </w:r>
      <w:r>
        <w:rPr>
          <w:i w:val="0"/>
          <w:iCs w:val="0"/>
        </w:rPr>
        <w:fldChar w:fldCharType="end"/>
      </w:r>
      <w:r>
        <w:rPr>
          <w:i w:val="0"/>
          <w:iCs w:val="0"/>
          <w:color w:val="auto"/>
          <w:szCs w:val="24"/>
        </w:rPr>
        <w:fldChar w:fldCharType="end"/>
      </w:r>
    </w:p>
    <w:p w14:paraId="6F03C2DB">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_Toc32574 </w:instrText>
      </w:r>
      <w:r>
        <w:rPr>
          <w:i w:val="0"/>
          <w:iCs w:val="0"/>
          <w:szCs w:val="24"/>
        </w:rPr>
        <w:fldChar w:fldCharType="separate"/>
      </w:r>
      <w:r>
        <w:rPr>
          <w:bCs/>
          <w:i w:val="0"/>
          <w:iCs w:val="0"/>
          <w:szCs w:val="24"/>
        </w:rPr>
        <w:t>10.5.2地表水环境影响分析结论</w:t>
      </w:r>
      <w:r>
        <w:rPr>
          <w:i w:val="0"/>
          <w:iCs w:val="0"/>
        </w:rPr>
        <w:tab/>
      </w:r>
      <w:r>
        <w:rPr>
          <w:i w:val="0"/>
          <w:iCs w:val="0"/>
        </w:rPr>
        <w:fldChar w:fldCharType="begin"/>
      </w:r>
      <w:r>
        <w:rPr>
          <w:i w:val="0"/>
          <w:iCs w:val="0"/>
        </w:rPr>
        <w:instrText xml:space="preserve"> PAGEREF _Toc32574 \h </w:instrText>
      </w:r>
      <w:r>
        <w:rPr>
          <w:i w:val="0"/>
          <w:iCs w:val="0"/>
        </w:rPr>
        <w:fldChar w:fldCharType="separate"/>
      </w:r>
      <w:r>
        <w:rPr>
          <w:i w:val="0"/>
          <w:iCs w:val="0"/>
        </w:rPr>
        <w:t>- 249 -</w:t>
      </w:r>
      <w:r>
        <w:rPr>
          <w:i w:val="0"/>
          <w:iCs w:val="0"/>
        </w:rPr>
        <w:fldChar w:fldCharType="end"/>
      </w:r>
      <w:r>
        <w:rPr>
          <w:i w:val="0"/>
          <w:iCs w:val="0"/>
          <w:color w:val="auto"/>
          <w:szCs w:val="24"/>
        </w:rPr>
        <w:fldChar w:fldCharType="end"/>
      </w:r>
    </w:p>
    <w:p w14:paraId="69EF6A1C">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_Toc7303 </w:instrText>
      </w:r>
      <w:r>
        <w:rPr>
          <w:i w:val="0"/>
          <w:iCs w:val="0"/>
          <w:szCs w:val="24"/>
        </w:rPr>
        <w:fldChar w:fldCharType="separate"/>
      </w:r>
      <w:r>
        <w:rPr>
          <w:bCs/>
          <w:i w:val="0"/>
          <w:iCs w:val="0"/>
          <w:szCs w:val="24"/>
        </w:rPr>
        <w:t>10.5.3地下水环境影响分析结论</w:t>
      </w:r>
      <w:r>
        <w:rPr>
          <w:i w:val="0"/>
          <w:iCs w:val="0"/>
        </w:rPr>
        <w:tab/>
      </w:r>
      <w:r>
        <w:rPr>
          <w:i w:val="0"/>
          <w:iCs w:val="0"/>
        </w:rPr>
        <w:fldChar w:fldCharType="begin"/>
      </w:r>
      <w:r>
        <w:rPr>
          <w:i w:val="0"/>
          <w:iCs w:val="0"/>
        </w:rPr>
        <w:instrText xml:space="preserve"> PAGEREF _Toc7303 \h </w:instrText>
      </w:r>
      <w:r>
        <w:rPr>
          <w:i w:val="0"/>
          <w:iCs w:val="0"/>
        </w:rPr>
        <w:fldChar w:fldCharType="separate"/>
      </w:r>
      <w:r>
        <w:rPr>
          <w:i w:val="0"/>
          <w:iCs w:val="0"/>
        </w:rPr>
        <w:t>- 249 -</w:t>
      </w:r>
      <w:r>
        <w:rPr>
          <w:i w:val="0"/>
          <w:iCs w:val="0"/>
        </w:rPr>
        <w:fldChar w:fldCharType="end"/>
      </w:r>
      <w:r>
        <w:rPr>
          <w:i w:val="0"/>
          <w:iCs w:val="0"/>
          <w:color w:val="auto"/>
          <w:szCs w:val="24"/>
        </w:rPr>
        <w:fldChar w:fldCharType="end"/>
      </w:r>
    </w:p>
    <w:p w14:paraId="1FD1B4A3">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_Toc7263 </w:instrText>
      </w:r>
      <w:r>
        <w:rPr>
          <w:i w:val="0"/>
          <w:iCs w:val="0"/>
          <w:szCs w:val="24"/>
        </w:rPr>
        <w:fldChar w:fldCharType="separate"/>
      </w:r>
      <w:r>
        <w:rPr>
          <w:bCs/>
          <w:i w:val="0"/>
          <w:iCs w:val="0"/>
          <w:szCs w:val="24"/>
        </w:rPr>
        <w:t>10.5.4声环境影响分析结论</w:t>
      </w:r>
      <w:r>
        <w:rPr>
          <w:i w:val="0"/>
          <w:iCs w:val="0"/>
        </w:rPr>
        <w:tab/>
      </w:r>
      <w:r>
        <w:rPr>
          <w:i w:val="0"/>
          <w:iCs w:val="0"/>
        </w:rPr>
        <w:fldChar w:fldCharType="begin"/>
      </w:r>
      <w:r>
        <w:rPr>
          <w:i w:val="0"/>
          <w:iCs w:val="0"/>
        </w:rPr>
        <w:instrText xml:space="preserve"> PAGEREF _Toc7263 \h </w:instrText>
      </w:r>
      <w:r>
        <w:rPr>
          <w:i w:val="0"/>
          <w:iCs w:val="0"/>
        </w:rPr>
        <w:fldChar w:fldCharType="separate"/>
      </w:r>
      <w:r>
        <w:rPr>
          <w:i w:val="0"/>
          <w:iCs w:val="0"/>
        </w:rPr>
        <w:t>- 249 -</w:t>
      </w:r>
      <w:r>
        <w:rPr>
          <w:i w:val="0"/>
          <w:iCs w:val="0"/>
        </w:rPr>
        <w:fldChar w:fldCharType="end"/>
      </w:r>
      <w:r>
        <w:rPr>
          <w:i w:val="0"/>
          <w:iCs w:val="0"/>
          <w:color w:val="auto"/>
          <w:szCs w:val="24"/>
        </w:rPr>
        <w:fldChar w:fldCharType="end"/>
      </w:r>
    </w:p>
    <w:p w14:paraId="782B42AA">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_Toc14640 </w:instrText>
      </w:r>
      <w:r>
        <w:rPr>
          <w:i w:val="0"/>
          <w:iCs w:val="0"/>
          <w:szCs w:val="24"/>
        </w:rPr>
        <w:fldChar w:fldCharType="separate"/>
      </w:r>
      <w:r>
        <w:rPr>
          <w:bCs/>
          <w:i w:val="0"/>
          <w:iCs w:val="0"/>
          <w:szCs w:val="24"/>
        </w:rPr>
        <w:t>10.5.5固废影响分析结论</w:t>
      </w:r>
      <w:r>
        <w:rPr>
          <w:i w:val="0"/>
          <w:iCs w:val="0"/>
        </w:rPr>
        <w:tab/>
      </w:r>
      <w:r>
        <w:rPr>
          <w:i w:val="0"/>
          <w:iCs w:val="0"/>
        </w:rPr>
        <w:fldChar w:fldCharType="begin"/>
      </w:r>
      <w:r>
        <w:rPr>
          <w:i w:val="0"/>
          <w:iCs w:val="0"/>
        </w:rPr>
        <w:instrText xml:space="preserve"> PAGEREF _Toc14640 \h </w:instrText>
      </w:r>
      <w:r>
        <w:rPr>
          <w:i w:val="0"/>
          <w:iCs w:val="0"/>
        </w:rPr>
        <w:fldChar w:fldCharType="separate"/>
      </w:r>
      <w:r>
        <w:rPr>
          <w:i w:val="0"/>
          <w:iCs w:val="0"/>
        </w:rPr>
        <w:t>- 249 -</w:t>
      </w:r>
      <w:r>
        <w:rPr>
          <w:i w:val="0"/>
          <w:iCs w:val="0"/>
        </w:rPr>
        <w:fldChar w:fldCharType="end"/>
      </w:r>
      <w:r>
        <w:rPr>
          <w:i w:val="0"/>
          <w:iCs w:val="0"/>
          <w:color w:val="auto"/>
          <w:szCs w:val="24"/>
        </w:rPr>
        <w:fldChar w:fldCharType="end"/>
      </w:r>
    </w:p>
    <w:p w14:paraId="3D0EB2AB">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_Toc25439 </w:instrText>
      </w:r>
      <w:r>
        <w:rPr>
          <w:i w:val="0"/>
          <w:iCs w:val="0"/>
          <w:szCs w:val="24"/>
        </w:rPr>
        <w:fldChar w:fldCharType="separate"/>
      </w:r>
      <w:r>
        <w:rPr>
          <w:bCs/>
          <w:i w:val="0"/>
          <w:iCs w:val="0"/>
          <w:szCs w:val="24"/>
        </w:rPr>
        <w:t>10.5.6土壤影响分析结论</w:t>
      </w:r>
      <w:r>
        <w:rPr>
          <w:i w:val="0"/>
          <w:iCs w:val="0"/>
        </w:rPr>
        <w:tab/>
      </w:r>
      <w:r>
        <w:rPr>
          <w:i w:val="0"/>
          <w:iCs w:val="0"/>
        </w:rPr>
        <w:fldChar w:fldCharType="begin"/>
      </w:r>
      <w:r>
        <w:rPr>
          <w:i w:val="0"/>
          <w:iCs w:val="0"/>
        </w:rPr>
        <w:instrText xml:space="preserve"> PAGEREF _Toc25439 \h </w:instrText>
      </w:r>
      <w:r>
        <w:rPr>
          <w:i w:val="0"/>
          <w:iCs w:val="0"/>
        </w:rPr>
        <w:fldChar w:fldCharType="separate"/>
      </w:r>
      <w:r>
        <w:rPr>
          <w:i w:val="0"/>
          <w:iCs w:val="0"/>
        </w:rPr>
        <w:t>- 250 -</w:t>
      </w:r>
      <w:r>
        <w:rPr>
          <w:i w:val="0"/>
          <w:iCs w:val="0"/>
        </w:rPr>
        <w:fldChar w:fldCharType="end"/>
      </w:r>
      <w:r>
        <w:rPr>
          <w:i w:val="0"/>
          <w:iCs w:val="0"/>
          <w:color w:val="auto"/>
          <w:szCs w:val="24"/>
        </w:rPr>
        <w:fldChar w:fldCharType="end"/>
      </w:r>
    </w:p>
    <w:p w14:paraId="6885DA2B">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_Toc8666 </w:instrText>
      </w:r>
      <w:r>
        <w:rPr>
          <w:i w:val="0"/>
          <w:iCs w:val="0"/>
          <w:szCs w:val="24"/>
        </w:rPr>
        <w:fldChar w:fldCharType="separate"/>
      </w:r>
      <w:r>
        <w:rPr>
          <w:bCs/>
          <w:i w:val="0"/>
          <w:iCs w:val="0"/>
          <w:szCs w:val="24"/>
        </w:rPr>
        <w:t>10.5.7生态影响分析结论</w:t>
      </w:r>
      <w:r>
        <w:rPr>
          <w:i w:val="0"/>
          <w:iCs w:val="0"/>
        </w:rPr>
        <w:tab/>
      </w:r>
      <w:r>
        <w:rPr>
          <w:i w:val="0"/>
          <w:iCs w:val="0"/>
        </w:rPr>
        <w:fldChar w:fldCharType="begin"/>
      </w:r>
      <w:r>
        <w:rPr>
          <w:i w:val="0"/>
          <w:iCs w:val="0"/>
        </w:rPr>
        <w:instrText xml:space="preserve"> PAGEREF _Toc8666 \h </w:instrText>
      </w:r>
      <w:r>
        <w:rPr>
          <w:i w:val="0"/>
          <w:iCs w:val="0"/>
        </w:rPr>
        <w:fldChar w:fldCharType="separate"/>
      </w:r>
      <w:r>
        <w:rPr>
          <w:i w:val="0"/>
          <w:iCs w:val="0"/>
        </w:rPr>
        <w:t>- 250 -</w:t>
      </w:r>
      <w:r>
        <w:rPr>
          <w:i w:val="0"/>
          <w:iCs w:val="0"/>
        </w:rPr>
        <w:fldChar w:fldCharType="end"/>
      </w:r>
      <w:r>
        <w:rPr>
          <w:i w:val="0"/>
          <w:iCs w:val="0"/>
          <w:color w:val="auto"/>
          <w:szCs w:val="24"/>
        </w:rPr>
        <w:fldChar w:fldCharType="end"/>
      </w:r>
    </w:p>
    <w:p w14:paraId="32E49390">
      <w:pPr>
        <w:pStyle w:val="28"/>
        <w:tabs>
          <w:tab w:val="right" w:leader="dot" w:pos="8312"/>
        </w:tabs>
        <w:rPr>
          <w:i w:val="0"/>
          <w:iCs w:val="0"/>
        </w:rPr>
      </w:pPr>
      <w:r>
        <w:rPr>
          <w:i w:val="0"/>
          <w:iCs w:val="0"/>
          <w:color w:val="auto"/>
          <w:szCs w:val="24"/>
        </w:rPr>
        <w:fldChar w:fldCharType="begin"/>
      </w:r>
      <w:r>
        <w:rPr>
          <w:i w:val="0"/>
          <w:iCs w:val="0"/>
          <w:szCs w:val="24"/>
        </w:rPr>
        <w:instrText xml:space="preserve"> HYPERLINK \l _Toc12931 </w:instrText>
      </w:r>
      <w:r>
        <w:rPr>
          <w:i w:val="0"/>
          <w:iCs w:val="0"/>
          <w:szCs w:val="24"/>
        </w:rPr>
        <w:fldChar w:fldCharType="separate"/>
      </w:r>
      <w:r>
        <w:rPr>
          <w:bCs/>
          <w:i w:val="0"/>
          <w:iCs w:val="0"/>
          <w:szCs w:val="24"/>
        </w:rPr>
        <w:t>10.5.8环境风险分析结论</w:t>
      </w:r>
      <w:r>
        <w:rPr>
          <w:i w:val="0"/>
          <w:iCs w:val="0"/>
        </w:rPr>
        <w:tab/>
      </w:r>
      <w:r>
        <w:rPr>
          <w:i w:val="0"/>
          <w:iCs w:val="0"/>
        </w:rPr>
        <w:fldChar w:fldCharType="begin"/>
      </w:r>
      <w:r>
        <w:rPr>
          <w:i w:val="0"/>
          <w:iCs w:val="0"/>
        </w:rPr>
        <w:instrText xml:space="preserve"> PAGEREF _Toc12931 \h </w:instrText>
      </w:r>
      <w:r>
        <w:rPr>
          <w:i w:val="0"/>
          <w:iCs w:val="0"/>
        </w:rPr>
        <w:fldChar w:fldCharType="separate"/>
      </w:r>
      <w:r>
        <w:rPr>
          <w:i w:val="0"/>
          <w:iCs w:val="0"/>
        </w:rPr>
        <w:t>- 250 -</w:t>
      </w:r>
      <w:r>
        <w:rPr>
          <w:i w:val="0"/>
          <w:iCs w:val="0"/>
        </w:rPr>
        <w:fldChar w:fldCharType="end"/>
      </w:r>
      <w:r>
        <w:rPr>
          <w:i w:val="0"/>
          <w:iCs w:val="0"/>
          <w:color w:val="auto"/>
          <w:szCs w:val="24"/>
        </w:rPr>
        <w:fldChar w:fldCharType="end"/>
      </w:r>
    </w:p>
    <w:p w14:paraId="39358047">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_Toc21159 </w:instrText>
      </w:r>
      <w:r>
        <w:rPr>
          <w:i w:val="0"/>
          <w:iCs w:val="0"/>
          <w:szCs w:val="24"/>
        </w:rPr>
        <w:fldChar w:fldCharType="separate"/>
      </w:r>
      <w:r>
        <w:rPr>
          <w:i w:val="0"/>
          <w:iCs w:val="0"/>
          <w:szCs w:val="28"/>
        </w:rPr>
        <w:t>10.6环境保护措施及其可行性</w:t>
      </w:r>
      <w:r>
        <w:rPr>
          <w:i w:val="0"/>
          <w:iCs w:val="0"/>
        </w:rPr>
        <w:tab/>
      </w:r>
      <w:r>
        <w:rPr>
          <w:i w:val="0"/>
          <w:iCs w:val="0"/>
        </w:rPr>
        <w:fldChar w:fldCharType="begin"/>
      </w:r>
      <w:r>
        <w:rPr>
          <w:i w:val="0"/>
          <w:iCs w:val="0"/>
        </w:rPr>
        <w:instrText xml:space="preserve"> PAGEREF _Toc21159 \h </w:instrText>
      </w:r>
      <w:r>
        <w:rPr>
          <w:i w:val="0"/>
          <w:iCs w:val="0"/>
        </w:rPr>
        <w:fldChar w:fldCharType="separate"/>
      </w:r>
      <w:r>
        <w:rPr>
          <w:i w:val="0"/>
          <w:iCs w:val="0"/>
        </w:rPr>
        <w:t>- 250 -</w:t>
      </w:r>
      <w:r>
        <w:rPr>
          <w:i w:val="0"/>
          <w:iCs w:val="0"/>
        </w:rPr>
        <w:fldChar w:fldCharType="end"/>
      </w:r>
      <w:r>
        <w:rPr>
          <w:i w:val="0"/>
          <w:iCs w:val="0"/>
          <w:color w:val="auto"/>
          <w:szCs w:val="24"/>
        </w:rPr>
        <w:fldChar w:fldCharType="end"/>
      </w:r>
    </w:p>
    <w:p w14:paraId="395EB772">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_Toc6286 </w:instrText>
      </w:r>
      <w:r>
        <w:rPr>
          <w:i w:val="0"/>
          <w:iCs w:val="0"/>
          <w:szCs w:val="24"/>
        </w:rPr>
        <w:fldChar w:fldCharType="separate"/>
      </w:r>
      <w:r>
        <w:rPr>
          <w:i w:val="0"/>
          <w:iCs w:val="0"/>
          <w:szCs w:val="28"/>
        </w:rPr>
        <w:t>10.7污染物排放总量控制</w:t>
      </w:r>
      <w:r>
        <w:rPr>
          <w:i w:val="0"/>
          <w:iCs w:val="0"/>
        </w:rPr>
        <w:tab/>
      </w:r>
      <w:r>
        <w:rPr>
          <w:i w:val="0"/>
          <w:iCs w:val="0"/>
        </w:rPr>
        <w:fldChar w:fldCharType="begin"/>
      </w:r>
      <w:r>
        <w:rPr>
          <w:i w:val="0"/>
          <w:iCs w:val="0"/>
        </w:rPr>
        <w:instrText xml:space="preserve"> PAGEREF _Toc6286 \h </w:instrText>
      </w:r>
      <w:r>
        <w:rPr>
          <w:i w:val="0"/>
          <w:iCs w:val="0"/>
        </w:rPr>
        <w:fldChar w:fldCharType="separate"/>
      </w:r>
      <w:r>
        <w:rPr>
          <w:i w:val="0"/>
          <w:iCs w:val="0"/>
        </w:rPr>
        <w:t>- 250 -</w:t>
      </w:r>
      <w:r>
        <w:rPr>
          <w:i w:val="0"/>
          <w:iCs w:val="0"/>
        </w:rPr>
        <w:fldChar w:fldCharType="end"/>
      </w:r>
      <w:r>
        <w:rPr>
          <w:i w:val="0"/>
          <w:iCs w:val="0"/>
          <w:color w:val="auto"/>
          <w:szCs w:val="24"/>
        </w:rPr>
        <w:fldChar w:fldCharType="end"/>
      </w:r>
    </w:p>
    <w:p w14:paraId="769831B6">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_Toc15828 </w:instrText>
      </w:r>
      <w:r>
        <w:rPr>
          <w:i w:val="0"/>
          <w:iCs w:val="0"/>
          <w:szCs w:val="24"/>
        </w:rPr>
        <w:fldChar w:fldCharType="separate"/>
      </w:r>
      <w:r>
        <w:rPr>
          <w:i w:val="0"/>
          <w:iCs w:val="0"/>
          <w:szCs w:val="28"/>
        </w:rPr>
        <w:t>10.8环境经济损益分析结论</w:t>
      </w:r>
      <w:r>
        <w:rPr>
          <w:i w:val="0"/>
          <w:iCs w:val="0"/>
        </w:rPr>
        <w:tab/>
      </w:r>
      <w:r>
        <w:rPr>
          <w:i w:val="0"/>
          <w:iCs w:val="0"/>
        </w:rPr>
        <w:fldChar w:fldCharType="begin"/>
      </w:r>
      <w:r>
        <w:rPr>
          <w:i w:val="0"/>
          <w:iCs w:val="0"/>
        </w:rPr>
        <w:instrText xml:space="preserve"> PAGEREF _Toc15828 \h </w:instrText>
      </w:r>
      <w:r>
        <w:rPr>
          <w:i w:val="0"/>
          <w:iCs w:val="0"/>
        </w:rPr>
        <w:fldChar w:fldCharType="separate"/>
      </w:r>
      <w:r>
        <w:rPr>
          <w:i w:val="0"/>
          <w:iCs w:val="0"/>
        </w:rPr>
        <w:t>- 251 -</w:t>
      </w:r>
      <w:r>
        <w:rPr>
          <w:i w:val="0"/>
          <w:iCs w:val="0"/>
        </w:rPr>
        <w:fldChar w:fldCharType="end"/>
      </w:r>
      <w:r>
        <w:rPr>
          <w:i w:val="0"/>
          <w:iCs w:val="0"/>
          <w:color w:val="auto"/>
          <w:szCs w:val="24"/>
        </w:rPr>
        <w:fldChar w:fldCharType="end"/>
      </w:r>
    </w:p>
    <w:p w14:paraId="5CBF5D88">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_Toc27458 </w:instrText>
      </w:r>
      <w:r>
        <w:rPr>
          <w:i w:val="0"/>
          <w:iCs w:val="0"/>
          <w:szCs w:val="24"/>
        </w:rPr>
        <w:fldChar w:fldCharType="separate"/>
      </w:r>
      <w:r>
        <w:rPr>
          <w:rFonts w:eastAsia="宋体"/>
          <w:i w:val="0"/>
          <w:iCs w:val="0"/>
          <w:szCs w:val="28"/>
        </w:rPr>
        <w:t>10.9公众参与结论</w:t>
      </w:r>
      <w:r>
        <w:rPr>
          <w:i w:val="0"/>
          <w:iCs w:val="0"/>
        </w:rPr>
        <w:tab/>
      </w:r>
      <w:r>
        <w:rPr>
          <w:i w:val="0"/>
          <w:iCs w:val="0"/>
        </w:rPr>
        <w:fldChar w:fldCharType="begin"/>
      </w:r>
      <w:r>
        <w:rPr>
          <w:i w:val="0"/>
          <w:iCs w:val="0"/>
        </w:rPr>
        <w:instrText xml:space="preserve"> PAGEREF _Toc27458 \h </w:instrText>
      </w:r>
      <w:r>
        <w:rPr>
          <w:i w:val="0"/>
          <w:iCs w:val="0"/>
        </w:rPr>
        <w:fldChar w:fldCharType="separate"/>
      </w:r>
      <w:r>
        <w:rPr>
          <w:i w:val="0"/>
          <w:iCs w:val="0"/>
        </w:rPr>
        <w:t>- 251 -</w:t>
      </w:r>
      <w:r>
        <w:rPr>
          <w:i w:val="0"/>
          <w:iCs w:val="0"/>
        </w:rPr>
        <w:fldChar w:fldCharType="end"/>
      </w:r>
      <w:r>
        <w:rPr>
          <w:i w:val="0"/>
          <w:iCs w:val="0"/>
          <w:color w:val="auto"/>
          <w:szCs w:val="24"/>
        </w:rPr>
        <w:fldChar w:fldCharType="end"/>
      </w:r>
    </w:p>
    <w:p w14:paraId="663F7EBC">
      <w:pPr>
        <w:pStyle w:val="43"/>
        <w:tabs>
          <w:tab w:val="right" w:leader="dot" w:pos="8312"/>
          <w:tab w:val="clear" w:pos="8296"/>
        </w:tabs>
        <w:rPr>
          <w:i w:val="0"/>
          <w:iCs w:val="0"/>
        </w:rPr>
      </w:pPr>
      <w:r>
        <w:rPr>
          <w:i w:val="0"/>
          <w:iCs w:val="0"/>
          <w:color w:val="auto"/>
          <w:szCs w:val="24"/>
        </w:rPr>
        <w:fldChar w:fldCharType="begin"/>
      </w:r>
      <w:r>
        <w:rPr>
          <w:i w:val="0"/>
          <w:iCs w:val="0"/>
          <w:szCs w:val="24"/>
        </w:rPr>
        <w:instrText xml:space="preserve"> HYPERLINK \l _Toc17576 </w:instrText>
      </w:r>
      <w:r>
        <w:rPr>
          <w:i w:val="0"/>
          <w:iCs w:val="0"/>
          <w:szCs w:val="24"/>
        </w:rPr>
        <w:fldChar w:fldCharType="separate"/>
      </w:r>
      <w:r>
        <w:rPr>
          <w:rFonts w:eastAsia="宋体"/>
          <w:i w:val="0"/>
          <w:iCs w:val="0"/>
          <w:szCs w:val="28"/>
        </w:rPr>
        <w:t>10.10评价总结论</w:t>
      </w:r>
      <w:r>
        <w:rPr>
          <w:i w:val="0"/>
          <w:iCs w:val="0"/>
        </w:rPr>
        <w:tab/>
      </w:r>
      <w:r>
        <w:rPr>
          <w:i w:val="0"/>
          <w:iCs w:val="0"/>
        </w:rPr>
        <w:fldChar w:fldCharType="begin"/>
      </w:r>
      <w:r>
        <w:rPr>
          <w:i w:val="0"/>
          <w:iCs w:val="0"/>
        </w:rPr>
        <w:instrText xml:space="preserve"> PAGEREF _Toc17576 \h </w:instrText>
      </w:r>
      <w:r>
        <w:rPr>
          <w:i w:val="0"/>
          <w:iCs w:val="0"/>
        </w:rPr>
        <w:fldChar w:fldCharType="separate"/>
      </w:r>
      <w:r>
        <w:rPr>
          <w:i w:val="0"/>
          <w:iCs w:val="0"/>
        </w:rPr>
        <w:t>- 251 -</w:t>
      </w:r>
      <w:r>
        <w:rPr>
          <w:i w:val="0"/>
          <w:iCs w:val="0"/>
        </w:rPr>
        <w:fldChar w:fldCharType="end"/>
      </w:r>
      <w:r>
        <w:rPr>
          <w:i w:val="0"/>
          <w:iCs w:val="0"/>
          <w:color w:val="auto"/>
          <w:szCs w:val="24"/>
        </w:rPr>
        <w:fldChar w:fldCharType="end"/>
      </w:r>
    </w:p>
    <w:p w14:paraId="13F23309">
      <w:pPr>
        <w:spacing w:line="360" w:lineRule="auto"/>
        <w:rPr>
          <w:color w:val="auto"/>
          <w:sz w:val="24"/>
          <w:szCs w:val="24"/>
        </w:rPr>
      </w:pPr>
      <w:r>
        <w:rPr>
          <w:i w:val="0"/>
          <w:iCs w:val="0"/>
          <w:color w:val="auto"/>
          <w:szCs w:val="24"/>
        </w:rPr>
        <w:fldChar w:fldCharType="end"/>
      </w:r>
    </w:p>
    <w:p w14:paraId="08301381">
      <w:pPr>
        <w:spacing w:line="360" w:lineRule="auto"/>
        <w:rPr>
          <w:b/>
          <w:bCs/>
          <w:color w:val="auto"/>
          <w:sz w:val="24"/>
        </w:rPr>
      </w:pPr>
      <w:r>
        <w:rPr>
          <w:b/>
          <w:bCs/>
          <w:color w:val="auto"/>
          <w:sz w:val="24"/>
        </w:rPr>
        <w:t>附件：</w:t>
      </w:r>
      <w:bookmarkEnd w:id="5"/>
      <w:bookmarkEnd w:id="6"/>
      <w:bookmarkEnd w:id="7"/>
      <w:bookmarkEnd w:id="8"/>
      <w:bookmarkEnd w:id="9"/>
      <w:bookmarkEnd w:id="10"/>
      <w:bookmarkEnd w:id="11"/>
      <w:bookmarkEnd w:id="12"/>
    </w:p>
    <w:p w14:paraId="1718D588">
      <w:pPr>
        <w:spacing w:line="360" w:lineRule="auto"/>
        <w:ind w:firstLine="480" w:firstLineChars="200"/>
        <w:rPr>
          <w:color w:val="auto"/>
          <w:sz w:val="24"/>
        </w:rPr>
      </w:pPr>
      <w:bookmarkStart w:id="13" w:name="_Toc446684388"/>
      <w:bookmarkStart w:id="14" w:name="_Toc451174153"/>
      <w:bookmarkStart w:id="15" w:name="_Toc470004712"/>
      <w:bookmarkStart w:id="16" w:name="_Toc446938357"/>
      <w:bookmarkStart w:id="17" w:name="_Toc446415816"/>
      <w:bookmarkStart w:id="18" w:name="_Toc446083152"/>
      <w:bookmarkStart w:id="19" w:name="_Toc446332503"/>
      <w:bookmarkStart w:id="20" w:name="_Toc448693324"/>
      <w:bookmarkStart w:id="21" w:name="_Toc14559"/>
      <w:bookmarkStart w:id="22" w:name="_Toc19750"/>
      <w:r>
        <w:rPr>
          <w:color w:val="auto"/>
          <w:sz w:val="24"/>
        </w:rPr>
        <w:t xml:space="preserve">附件1 </w:t>
      </w:r>
      <w:bookmarkEnd w:id="13"/>
      <w:bookmarkEnd w:id="14"/>
      <w:bookmarkEnd w:id="15"/>
      <w:bookmarkEnd w:id="16"/>
      <w:bookmarkEnd w:id="17"/>
      <w:bookmarkEnd w:id="18"/>
      <w:bookmarkEnd w:id="19"/>
      <w:bookmarkEnd w:id="20"/>
      <w:r>
        <w:rPr>
          <w:color w:val="auto"/>
          <w:sz w:val="24"/>
        </w:rPr>
        <w:t xml:space="preserve"> 委托书</w:t>
      </w:r>
      <w:bookmarkEnd w:id="21"/>
      <w:bookmarkEnd w:id="22"/>
      <w:bookmarkStart w:id="23" w:name="_Toc25865"/>
      <w:bookmarkStart w:id="24" w:name="_Toc29040"/>
    </w:p>
    <w:p w14:paraId="4627ED01">
      <w:pPr>
        <w:spacing w:line="360" w:lineRule="auto"/>
        <w:ind w:firstLine="480" w:firstLineChars="200"/>
        <w:rPr>
          <w:color w:val="auto"/>
          <w:sz w:val="24"/>
        </w:rPr>
      </w:pPr>
      <w:r>
        <w:rPr>
          <w:color w:val="auto"/>
          <w:sz w:val="24"/>
        </w:rPr>
        <w:t>附件2  营业执照</w:t>
      </w:r>
    </w:p>
    <w:bookmarkEnd w:id="23"/>
    <w:bookmarkEnd w:id="24"/>
    <w:p w14:paraId="10EAFB72">
      <w:pPr>
        <w:spacing w:line="360" w:lineRule="auto"/>
        <w:ind w:firstLine="480" w:firstLineChars="200"/>
        <w:rPr>
          <w:rFonts w:hint="eastAsia" w:eastAsia="宋体"/>
          <w:color w:val="auto"/>
          <w:sz w:val="24"/>
          <w:lang w:eastAsia="zh-CN"/>
        </w:rPr>
      </w:pPr>
      <w:bookmarkStart w:id="25" w:name="_Toc30584"/>
      <w:bookmarkStart w:id="26" w:name="_Toc20523"/>
      <w:bookmarkStart w:id="27" w:name="_Toc470004713"/>
      <w:r>
        <w:rPr>
          <w:color w:val="auto"/>
          <w:sz w:val="24"/>
        </w:rPr>
        <w:t xml:space="preserve">附件3 </w:t>
      </w:r>
      <w:bookmarkEnd w:id="25"/>
      <w:bookmarkEnd w:id="26"/>
      <w:bookmarkStart w:id="28" w:name="_Toc10605"/>
      <w:bookmarkStart w:id="29" w:name="_Toc15346"/>
      <w:r>
        <w:rPr>
          <w:color w:val="auto"/>
          <w:sz w:val="24"/>
        </w:rPr>
        <w:t xml:space="preserve"> </w:t>
      </w:r>
      <w:r>
        <w:rPr>
          <w:rFonts w:hint="eastAsia"/>
          <w:color w:val="auto"/>
          <w:sz w:val="24"/>
          <w:lang w:eastAsia="zh-CN"/>
        </w:rPr>
        <w:t>项目用地合规性审核意见</w:t>
      </w:r>
    </w:p>
    <w:p w14:paraId="2E7A0F0D">
      <w:pPr>
        <w:spacing w:line="360" w:lineRule="auto"/>
        <w:ind w:firstLine="480" w:firstLineChars="200"/>
        <w:rPr>
          <w:color w:val="auto"/>
          <w:sz w:val="24"/>
        </w:rPr>
      </w:pPr>
      <w:r>
        <w:rPr>
          <w:color w:val="auto"/>
          <w:sz w:val="24"/>
        </w:rPr>
        <w:t xml:space="preserve">附件4  </w:t>
      </w:r>
      <w:r>
        <w:rPr>
          <w:rFonts w:hint="eastAsia"/>
          <w:color w:val="auto"/>
          <w:sz w:val="24"/>
        </w:rPr>
        <w:t>项目不在禁养区的证明</w:t>
      </w:r>
    </w:p>
    <w:p w14:paraId="212E27C6">
      <w:pPr>
        <w:spacing w:line="360" w:lineRule="auto"/>
        <w:ind w:firstLine="480" w:firstLineChars="200"/>
        <w:rPr>
          <w:rFonts w:hint="eastAsia"/>
          <w:color w:val="auto"/>
          <w:sz w:val="24"/>
        </w:rPr>
      </w:pPr>
      <w:r>
        <w:rPr>
          <w:color w:val="auto"/>
          <w:sz w:val="24"/>
        </w:rPr>
        <w:t xml:space="preserve">附件5  </w:t>
      </w:r>
      <w:bookmarkEnd w:id="28"/>
      <w:bookmarkEnd w:id="29"/>
      <w:r>
        <w:rPr>
          <w:rFonts w:hint="eastAsia"/>
          <w:color w:val="auto"/>
          <w:sz w:val="24"/>
        </w:rPr>
        <w:t>粪污接纳公司协议及相关环保手续</w:t>
      </w:r>
    </w:p>
    <w:p w14:paraId="14045826">
      <w:pPr>
        <w:spacing w:line="360" w:lineRule="auto"/>
        <w:ind w:firstLine="480" w:firstLineChars="200"/>
        <w:rPr>
          <w:rFonts w:hint="default" w:eastAsia="宋体"/>
          <w:color w:val="auto"/>
          <w:sz w:val="24"/>
          <w:lang w:val="en-US" w:eastAsia="zh-CN"/>
        </w:rPr>
      </w:pPr>
      <w:r>
        <w:rPr>
          <w:rFonts w:hint="eastAsia"/>
          <w:color w:val="auto"/>
          <w:sz w:val="24"/>
          <w:lang w:eastAsia="zh-CN"/>
        </w:rPr>
        <w:t>附件</w:t>
      </w:r>
      <w:r>
        <w:rPr>
          <w:rFonts w:hint="eastAsia"/>
          <w:color w:val="auto"/>
          <w:sz w:val="24"/>
          <w:lang w:val="en-US" w:eastAsia="zh-CN"/>
        </w:rPr>
        <w:t>6  项目病死猪无害化处置协议及相关环保手续</w:t>
      </w:r>
    </w:p>
    <w:p w14:paraId="48F687B1">
      <w:pPr>
        <w:spacing w:line="360" w:lineRule="auto"/>
        <w:ind w:firstLine="480" w:firstLineChars="200"/>
        <w:rPr>
          <w:rFonts w:hint="eastAsia"/>
          <w:color w:val="auto"/>
          <w:sz w:val="24"/>
          <w:lang w:val="en-US" w:eastAsia="zh-CN"/>
        </w:rPr>
      </w:pPr>
      <w:r>
        <w:rPr>
          <w:rFonts w:hint="eastAsia"/>
          <w:color w:val="auto"/>
          <w:sz w:val="24"/>
          <w:lang w:eastAsia="zh-CN"/>
        </w:rPr>
        <w:t>附件</w:t>
      </w:r>
      <w:r>
        <w:rPr>
          <w:rFonts w:hint="eastAsia"/>
          <w:color w:val="auto"/>
          <w:sz w:val="24"/>
          <w:lang w:val="en-US" w:eastAsia="zh-CN"/>
        </w:rPr>
        <w:t>7  生物质燃料化验单</w:t>
      </w:r>
    </w:p>
    <w:p w14:paraId="3CA53D91">
      <w:pPr>
        <w:spacing w:line="360" w:lineRule="auto"/>
        <w:ind w:firstLine="480" w:firstLineChars="200"/>
        <w:rPr>
          <w:color w:val="auto"/>
          <w:sz w:val="24"/>
        </w:rPr>
      </w:pPr>
      <w:r>
        <w:rPr>
          <w:color w:val="auto"/>
          <w:sz w:val="24"/>
        </w:rPr>
        <w:t>附件</w:t>
      </w:r>
      <w:r>
        <w:rPr>
          <w:rFonts w:hint="eastAsia"/>
          <w:color w:val="auto"/>
          <w:sz w:val="24"/>
          <w:lang w:val="en-US" w:eastAsia="zh-CN"/>
        </w:rPr>
        <w:t>8</w:t>
      </w:r>
      <w:r>
        <w:rPr>
          <w:color w:val="auto"/>
          <w:sz w:val="24"/>
        </w:rPr>
        <w:t xml:space="preserve">  </w:t>
      </w:r>
      <w:r>
        <w:rPr>
          <w:rFonts w:hint="eastAsia"/>
          <w:color w:val="auto"/>
          <w:sz w:val="24"/>
        </w:rPr>
        <w:t>饲料全成分分析单</w:t>
      </w:r>
    </w:p>
    <w:p w14:paraId="33DE3A2F">
      <w:pPr>
        <w:spacing w:line="360" w:lineRule="auto"/>
        <w:ind w:firstLine="480" w:firstLineChars="200"/>
        <w:rPr>
          <w:rFonts w:hint="default" w:eastAsia="宋体"/>
          <w:color w:val="auto"/>
          <w:sz w:val="24"/>
          <w:lang w:val="en-US" w:eastAsia="zh-CN"/>
        </w:rPr>
      </w:pPr>
      <w:r>
        <w:rPr>
          <w:rFonts w:hint="eastAsia"/>
          <w:color w:val="auto"/>
          <w:sz w:val="24"/>
          <w:lang w:eastAsia="zh-CN"/>
        </w:rPr>
        <w:t>附件</w:t>
      </w:r>
      <w:r>
        <w:rPr>
          <w:rFonts w:hint="eastAsia"/>
          <w:color w:val="auto"/>
          <w:sz w:val="24"/>
          <w:lang w:val="en-US" w:eastAsia="zh-CN"/>
        </w:rPr>
        <w:t>9  检测报告</w:t>
      </w:r>
    </w:p>
    <w:bookmarkEnd w:id="27"/>
    <w:p w14:paraId="1DFF166F">
      <w:pPr>
        <w:rPr>
          <w:b/>
          <w:bCs/>
          <w:color w:val="auto"/>
          <w:sz w:val="24"/>
        </w:rPr>
      </w:pPr>
      <w:bookmarkStart w:id="30" w:name="_Toc470004716"/>
      <w:bookmarkStart w:id="31" w:name="_Toc446938364"/>
      <w:bookmarkStart w:id="32" w:name="_Toc446415821"/>
      <w:bookmarkStart w:id="33" w:name="_Toc451174160"/>
      <w:bookmarkStart w:id="34" w:name="_Toc446083160"/>
      <w:bookmarkStart w:id="35" w:name="_Toc448693331"/>
      <w:bookmarkStart w:id="36" w:name="_Toc446332508"/>
      <w:bookmarkStart w:id="37" w:name="_Toc446684393"/>
    </w:p>
    <w:bookmarkEnd w:id="30"/>
    <w:bookmarkEnd w:id="31"/>
    <w:bookmarkEnd w:id="32"/>
    <w:bookmarkEnd w:id="33"/>
    <w:bookmarkEnd w:id="34"/>
    <w:bookmarkEnd w:id="35"/>
    <w:bookmarkEnd w:id="36"/>
    <w:bookmarkEnd w:id="37"/>
    <w:p w14:paraId="6D9D2BDF">
      <w:pPr>
        <w:rPr>
          <w:color w:val="auto"/>
        </w:rPr>
      </w:pPr>
    </w:p>
    <w:p w14:paraId="3DC86795">
      <w:pPr>
        <w:pStyle w:val="69"/>
        <w:rPr>
          <w:color w:val="auto"/>
        </w:rPr>
      </w:pPr>
    </w:p>
    <w:p w14:paraId="1D622973">
      <w:pPr>
        <w:rPr>
          <w:color w:val="auto"/>
        </w:rPr>
      </w:pPr>
    </w:p>
    <w:p w14:paraId="61935646">
      <w:pPr>
        <w:rPr>
          <w:color w:val="auto"/>
        </w:rPr>
        <w:sectPr>
          <w:headerReference r:id="rId4" w:type="default"/>
          <w:footerReference r:id="rId5" w:type="default"/>
          <w:pgSz w:w="11906" w:h="16838"/>
          <w:pgMar w:top="1440" w:right="1797" w:bottom="1440" w:left="1797" w:header="851" w:footer="992" w:gutter="0"/>
          <w:pgBorders>
            <w:top w:val="none" w:sz="0" w:space="0"/>
            <w:left w:val="none" w:sz="0" w:space="0"/>
            <w:bottom w:val="none" w:sz="0" w:space="0"/>
            <w:right w:val="none" w:sz="0" w:space="0"/>
          </w:pgBorders>
          <w:pgNumType w:fmt="upperRoman" w:start="1"/>
          <w:cols w:space="720" w:num="1"/>
          <w:docGrid w:linePitch="312" w:charSpace="0"/>
        </w:sectPr>
      </w:pPr>
    </w:p>
    <w:bookmarkEnd w:id="0"/>
    <w:bookmarkEnd w:id="1"/>
    <w:bookmarkEnd w:id="2"/>
    <w:bookmarkEnd w:id="3"/>
    <w:bookmarkEnd w:id="4"/>
    <w:p w14:paraId="2EEA50BD">
      <w:pPr>
        <w:pStyle w:val="2"/>
        <w:snapToGrid w:val="0"/>
        <w:spacing w:line="360" w:lineRule="auto"/>
        <w:ind w:left="0"/>
        <w:jc w:val="both"/>
        <w:rPr>
          <w:rFonts w:ascii="Times New Roman" w:eastAsia="宋体"/>
          <w:bCs/>
          <w:color w:val="auto"/>
          <w:sz w:val="32"/>
          <w:szCs w:val="32"/>
        </w:rPr>
      </w:pPr>
      <w:bookmarkStart w:id="38" w:name="_Toc448771379"/>
      <w:bookmarkStart w:id="39" w:name="_Toc448765644"/>
      <w:bookmarkStart w:id="40" w:name="_Toc446938370"/>
      <w:bookmarkStart w:id="41" w:name="_Toc448693336"/>
      <w:bookmarkStart w:id="42" w:name="_Toc448693414"/>
      <w:bookmarkStart w:id="43" w:name="_Toc22126"/>
      <w:bookmarkStart w:id="44" w:name="_Toc24027882"/>
      <w:bookmarkStart w:id="45" w:name="_Toc8717"/>
      <w:bookmarkStart w:id="46" w:name="_Toc268791865"/>
      <w:bookmarkStart w:id="47" w:name="_Toc248810443"/>
      <w:bookmarkStart w:id="48" w:name="_Toc498417072"/>
      <w:bookmarkStart w:id="49" w:name="_Toc137797378"/>
      <w:bookmarkStart w:id="50" w:name="_Toc2668640"/>
      <w:bookmarkStart w:id="51" w:name="_Toc18907179"/>
      <w:r>
        <w:rPr>
          <w:rFonts w:ascii="Times New Roman" w:eastAsia="宋体"/>
          <w:bCs/>
          <w:color w:val="auto"/>
          <w:sz w:val="32"/>
          <w:szCs w:val="32"/>
        </w:rPr>
        <w:t>1</w:t>
      </w:r>
      <w:bookmarkEnd w:id="38"/>
      <w:bookmarkEnd w:id="39"/>
      <w:bookmarkEnd w:id="40"/>
      <w:bookmarkEnd w:id="41"/>
      <w:bookmarkEnd w:id="42"/>
      <w:r>
        <w:rPr>
          <w:rFonts w:ascii="Times New Roman" w:eastAsia="宋体"/>
          <w:bCs/>
          <w:color w:val="auto"/>
          <w:sz w:val="32"/>
          <w:szCs w:val="32"/>
        </w:rPr>
        <w:t xml:space="preserve"> 概述</w:t>
      </w:r>
      <w:bookmarkEnd w:id="43"/>
      <w:bookmarkEnd w:id="44"/>
      <w:bookmarkEnd w:id="45"/>
    </w:p>
    <w:p w14:paraId="3EA36210">
      <w:pPr>
        <w:pStyle w:val="3"/>
        <w:adjustRightInd w:val="0"/>
        <w:jc w:val="both"/>
        <w:rPr>
          <w:rFonts w:hint="default" w:eastAsia="宋体"/>
          <w:color w:val="auto"/>
          <w:sz w:val="30"/>
          <w:szCs w:val="30"/>
          <w:lang w:val="en-US" w:eastAsia="zh-CN"/>
        </w:rPr>
      </w:pPr>
      <w:bookmarkStart w:id="52" w:name="_Toc29477"/>
      <w:bookmarkStart w:id="53" w:name="_Toc18773"/>
      <w:r>
        <w:rPr>
          <w:rFonts w:hint="eastAsia" w:eastAsia="宋体"/>
          <w:color w:val="auto"/>
          <w:sz w:val="30"/>
          <w:szCs w:val="30"/>
          <w:lang w:val="en-US" w:eastAsia="zh-CN"/>
        </w:rPr>
        <w:t>1.1项目由来</w:t>
      </w:r>
      <w:bookmarkEnd w:id="52"/>
      <w:bookmarkEnd w:id="53"/>
    </w:p>
    <w:p w14:paraId="70A742E3">
      <w:pPr>
        <w:pStyle w:val="16"/>
        <w:spacing w:line="360" w:lineRule="auto"/>
        <w:ind w:firstLine="480" w:firstLineChars="200"/>
        <w:rPr>
          <w:color w:val="auto"/>
          <w:sz w:val="24"/>
        </w:rPr>
      </w:pPr>
      <w:r>
        <w:rPr>
          <w:color w:val="auto"/>
          <w:sz w:val="24"/>
        </w:rPr>
        <w:t>畜牧业是农业的重要组成部分，其发展水平是一个国家农业发达程度的重要标志。同时，畜牧业是人类的动物性食品的主要来源，一个工业国家的人均畜产品量也是反映国家发达程度和衡量人民生活水平的主要标志之一。</w:t>
      </w:r>
      <w:r>
        <w:rPr>
          <w:color w:val="auto"/>
          <w:spacing w:val="-10"/>
          <w:sz w:val="24"/>
        </w:rPr>
        <w:t>随着规模化养殖水平</w:t>
      </w:r>
      <w:r>
        <w:rPr>
          <w:color w:val="auto"/>
          <w:spacing w:val="3"/>
          <w:sz w:val="24"/>
        </w:rPr>
        <w:t>的提高和蛋鸡养殖业的竞争加剧、利润趋薄以及消费者对鲜蛋新鲜度等品质要求的提</w:t>
      </w:r>
      <w:r>
        <w:rPr>
          <w:color w:val="auto"/>
          <w:spacing w:val="-11"/>
          <w:sz w:val="24"/>
        </w:rPr>
        <w:t>高，促使鲜蛋就近生产、就地销售趋势越来越明显。整个蛋鸡产业布局也将不断得到调整、优化，并日趋成型。</w:t>
      </w:r>
      <w:r>
        <w:rPr>
          <w:rFonts w:hint="eastAsia"/>
          <w:color w:val="auto"/>
          <w:spacing w:val="-11"/>
          <w:sz w:val="24"/>
          <w:lang w:eastAsia="zh-CN"/>
        </w:rPr>
        <w:t>北票市</w:t>
      </w:r>
      <w:r>
        <w:rPr>
          <w:color w:val="auto"/>
          <w:spacing w:val="-11"/>
          <w:sz w:val="24"/>
        </w:rPr>
        <w:t>位于经济发达的辽西地区，拥有巨大的鸡蛋消费市场</w:t>
      </w:r>
      <w:r>
        <w:rPr>
          <w:color w:val="auto"/>
          <w:sz w:val="24"/>
        </w:rPr>
        <w:t>和需求潜力。蛋鸡养殖存栏量虽然较大，但鲜蛋仍然无法满足市场的巨大需求。</w:t>
      </w:r>
    </w:p>
    <w:p w14:paraId="09268611">
      <w:pPr>
        <w:spacing w:line="360" w:lineRule="auto"/>
        <w:ind w:firstLine="480" w:firstLineChars="200"/>
        <w:rPr>
          <w:color w:val="auto"/>
          <w:sz w:val="24"/>
        </w:rPr>
      </w:pPr>
      <w:r>
        <w:rPr>
          <w:rFonts w:hint="eastAsia"/>
          <w:color w:val="auto"/>
          <w:sz w:val="24"/>
        </w:rPr>
        <w:t>硒是抗癌元素之王，长寿元素之王，唯一可以抗病毒的营养素。经中国农科院对我国1094个县市约占全国一半的土壤样品的硒含量进行了测定。结果显示我国处于地球低硒地带，是世界上四十多个缺硒国家之一，有22个省市、712个县市约占72%的地区处于缺硒地带，大约有10亿人生活在缺硒地区。富硒食品将是未来全民健康大趋势，全民补硒最简单直接的方式就是富硒鸡蛋，富硒肉和奶，而富硒鸡蛋消费量巨大，让富硒鸡蛋成为百姓餐桌的标配，是一个大事业和宏愿。</w:t>
      </w:r>
    </w:p>
    <w:p w14:paraId="1035238D">
      <w:pPr>
        <w:spacing w:line="360" w:lineRule="auto"/>
        <w:ind w:firstLine="480" w:firstLineChars="200"/>
        <w:rPr>
          <w:color w:val="auto"/>
          <w:sz w:val="24"/>
          <w:highlight w:val="none"/>
        </w:rPr>
      </w:pPr>
      <w:r>
        <w:rPr>
          <w:color w:val="auto"/>
          <w:sz w:val="24"/>
        </w:rPr>
        <w:t>为此</w:t>
      </w:r>
      <w:r>
        <w:rPr>
          <w:rFonts w:hint="eastAsia"/>
          <w:color w:val="auto"/>
          <w:sz w:val="24"/>
          <w:lang w:eastAsia="zh-CN"/>
        </w:rPr>
        <w:t>北票天勤农牧科技有限公司</w:t>
      </w:r>
      <w:r>
        <w:rPr>
          <w:color w:val="auto"/>
          <w:sz w:val="24"/>
        </w:rPr>
        <w:t>拟投资</w:t>
      </w:r>
      <w:r>
        <w:rPr>
          <w:rFonts w:hint="eastAsia"/>
          <w:color w:val="auto"/>
          <w:sz w:val="24"/>
          <w:lang w:val="en-US" w:eastAsia="zh-CN"/>
        </w:rPr>
        <w:t>1.2亿元</w:t>
      </w:r>
      <w:r>
        <w:rPr>
          <w:color w:val="auto"/>
          <w:sz w:val="24"/>
        </w:rPr>
        <w:t>在</w:t>
      </w:r>
      <w:r>
        <w:rPr>
          <w:rFonts w:hint="eastAsia"/>
          <w:color w:val="auto"/>
          <w:sz w:val="24"/>
          <w:lang w:eastAsia="zh-CN"/>
        </w:rPr>
        <w:t>辽宁省朝阳市北票市西官镇大巴里村新建</w:t>
      </w:r>
      <w:r>
        <w:rPr>
          <w:rFonts w:hint="eastAsia"/>
          <w:color w:val="auto"/>
          <w:sz w:val="24"/>
        </w:rPr>
        <w:t>“</w:t>
      </w:r>
      <w:r>
        <w:rPr>
          <w:rFonts w:hint="eastAsia"/>
          <w:color w:val="auto"/>
          <w:sz w:val="24"/>
          <w:lang w:eastAsia="zh-CN"/>
        </w:rPr>
        <w:t>北票天勤农牧科技有限公司100万只蛋鸡养殖基地建设项目</w:t>
      </w:r>
      <w:r>
        <w:rPr>
          <w:rFonts w:hint="eastAsia"/>
          <w:color w:val="auto"/>
          <w:sz w:val="24"/>
        </w:rPr>
        <w:t>”</w:t>
      </w:r>
      <w:r>
        <w:rPr>
          <w:color w:val="auto"/>
          <w:sz w:val="24"/>
        </w:rPr>
        <w:t>。</w:t>
      </w:r>
      <w:r>
        <w:rPr>
          <w:color w:val="auto"/>
          <w:sz w:val="24"/>
          <w:highlight w:val="none"/>
        </w:rPr>
        <w:t>本项目占地面积</w:t>
      </w:r>
      <w:r>
        <w:rPr>
          <w:rFonts w:hint="eastAsia"/>
          <w:color w:val="auto"/>
          <w:sz w:val="24"/>
          <w:highlight w:val="none"/>
          <w:lang w:val="en-US" w:eastAsia="zh-CN"/>
        </w:rPr>
        <w:t>78234.55</w:t>
      </w:r>
      <w:r>
        <w:rPr>
          <w:rFonts w:hint="eastAsia"/>
          <w:color w:val="auto"/>
          <w:sz w:val="24"/>
          <w:highlight w:val="none"/>
        </w:rPr>
        <w:t>m</w:t>
      </w:r>
      <w:r>
        <w:rPr>
          <w:rFonts w:hint="eastAsia"/>
          <w:color w:val="auto"/>
          <w:sz w:val="24"/>
          <w:highlight w:val="none"/>
          <w:vertAlign w:val="superscript"/>
        </w:rPr>
        <w:t>2</w:t>
      </w:r>
      <w:r>
        <w:rPr>
          <w:color w:val="auto"/>
          <w:sz w:val="24"/>
          <w:highlight w:val="none"/>
        </w:rPr>
        <w:t>，总建筑面积</w:t>
      </w:r>
      <w:r>
        <w:rPr>
          <w:rFonts w:hint="eastAsia"/>
          <w:color w:val="auto"/>
          <w:sz w:val="24"/>
          <w:highlight w:val="none"/>
          <w:lang w:val="en-US" w:eastAsia="zh-CN"/>
        </w:rPr>
        <w:t>40046.37</w:t>
      </w:r>
      <w:r>
        <w:rPr>
          <w:color w:val="auto"/>
          <w:sz w:val="24"/>
          <w:highlight w:val="none"/>
        </w:rPr>
        <w:t>m</w:t>
      </w:r>
      <w:r>
        <w:rPr>
          <w:color w:val="auto"/>
          <w:sz w:val="24"/>
          <w:highlight w:val="none"/>
          <w:vertAlign w:val="superscript"/>
        </w:rPr>
        <w:t>2</w:t>
      </w:r>
      <w:r>
        <w:rPr>
          <w:color w:val="auto"/>
          <w:sz w:val="24"/>
          <w:highlight w:val="none"/>
        </w:rPr>
        <w:t>，养殖规模为年存栏蛋鸡100万只，年产鸡蛋</w:t>
      </w:r>
      <w:r>
        <w:rPr>
          <w:rFonts w:hint="eastAsia"/>
          <w:color w:val="auto"/>
          <w:sz w:val="24"/>
          <w:highlight w:val="none"/>
        </w:rPr>
        <w:t>275万枚</w:t>
      </w:r>
      <w:r>
        <w:rPr>
          <w:color w:val="auto"/>
          <w:sz w:val="24"/>
          <w:highlight w:val="none"/>
        </w:rPr>
        <w:t>。</w:t>
      </w:r>
    </w:p>
    <w:p w14:paraId="3F62B1F5">
      <w:pPr>
        <w:spacing w:line="360" w:lineRule="auto"/>
        <w:ind w:firstLine="480" w:firstLineChars="200"/>
        <w:rPr>
          <w:color w:val="auto"/>
          <w:sz w:val="24"/>
        </w:rPr>
      </w:pPr>
      <w:r>
        <w:rPr>
          <w:color w:val="auto"/>
          <w:sz w:val="24"/>
        </w:rPr>
        <w:t>根据《中华人民共和国环境保护法》（2015.1.1施行）、《中华人民共和国环境影响评价法》（2018.12.29修订）和《建设项目环境保护管理条例》[国务院682号令]的有关规定，</w:t>
      </w:r>
      <w:r>
        <w:rPr>
          <w:rFonts w:hint="eastAsia"/>
          <w:color w:val="auto"/>
          <w:sz w:val="24"/>
          <w:lang w:eastAsia="zh-CN"/>
        </w:rPr>
        <w:t>北票天勤农牧科技有限公司</w:t>
      </w:r>
      <w:r>
        <w:rPr>
          <w:color w:val="auto"/>
          <w:sz w:val="24"/>
        </w:rPr>
        <w:t>委托</w:t>
      </w:r>
      <w:r>
        <w:rPr>
          <w:rFonts w:hint="eastAsia"/>
          <w:color w:val="auto"/>
          <w:sz w:val="24"/>
          <w:lang w:eastAsia="zh-CN"/>
        </w:rPr>
        <w:t>朝阳众信生态环境咨询有限公司</w:t>
      </w:r>
      <w:r>
        <w:rPr>
          <w:color w:val="auto"/>
          <w:sz w:val="24"/>
        </w:rPr>
        <w:t>对《</w:t>
      </w:r>
      <w:r>
        <w:rPr>
          <w:rFonts w:hint="eastAsia"/>
          <w:color w:val="auto"/>
          <w:sz w:val="24"/>
          <w:lang w:eastAsia="zh-CN"/>
        </w:rPr>
        <w:t>北票天勤农牧科技有限公司100万只蛋鸡养殖基地建设项目</w:t>
      </w:r>
      <w:r>
        <w:rPr>
          <w:color w:val="auto"/>
          <w:sz w:val="24"/>
        </w:rPr>
        <w:t>》进行环境影响评价工作。按照《建设项目环境影响评价分类管理名录</w:t>
      </w:r>
      <w:r>
        <w:rPr>
          <w:rFonts w:hint="eastAsia"/>
          <w:color w:val="auto"/>
          <w:sz w:val="24"/>
        </w:rPr>
        <w:t>（2021年版）</w:t>
      </w:r>
      <w:r>
        <w:rPr>
          <w:color w:val="auto"/>
          <w:sz w:val="24"/>
        </w:rPr>
        <w:t>》</w:t>
      </w:r>
      <w:r>
        <w:rPr>
          <w:rFonts w:hint="eastAsia"/>
          <w:color w:val="auto"/>
          <w:sz w:val="24"/>
        </w:rPr>
        <w:t>（</w:t>
      </w:r>
      <w:r>
        <w:rPr>
          <w:color w:val="auto"/>
          <w:sz w:val="24"/>
        </w:rPr>
        <w:t>保部令第</w:t>
      </w:r>
      <w:r>
        <w:rPr>
          <w:rFonts w:hint="eastAsia"/>
          <w:color w:val="auto"/>
          <w:sz w:val="24"/>
        </w:rPr>
        <w:t>16</w:t>
      </w:r>
      <w:r>
        <w:rPr>
          <w:color w:val="auto"/>
          <w:sz w:val="24"/>
        </w:rPr>
        <w:t>号</w:t>
      </w:r>
      <w:r>
        <w:rPr>
          <w:rFonts w:hint="eastAsia"/>
          <w:color w:val="auto"/>
          <w:sz w:val="24"/>
        </w:rPr>
        <w:t>）</w:t>
      </w:r>
      <w:r>
        <w:rPr>
          <w:color w:val="auto"/>
          <w:sz w:val="24"/>
        </w:rPr>
        <w:t>，本项目年存栏100万只蛋鸡，折算</w:t>
      </w:r>
      <w:r>
        <w:rPr>
          <w:rFonts w:hint="eastAsia"/>
          <w:color w:val="auto"/>
          <w:sz w:val="24"/>
        </w:rPr>
        <w:t>存栏生猪33333头（1头猪折合30只蛋鸡）</w:t>
      </w:r>
      <w:r>
        <w:rPr>
          <w:color w:val="auto"/>
          <w:sz w:val="24"/>
        </w:rPr>
        <w:t>，属于</w:t>
      </w:r>
      <w:r>
        <w:rPr>
          <w:rFonts w:hint="eastAsia"/>
          <w:color w:val="auto"/>
          <w:sz w:val="24"/>
        </w:rPr>
        <w:t>“二、畜牧业03 3.家禽饲养032；存栏生猪2500头（其他畜禽种类折合猪的养殖规模）及以上无出栏量的规模化畜禽养殖；”</w:t>
      </w:r>
      <w:r>
        <w:rPr>
          <w:color w:val="auto"/>
          <w:sz w:val="24"/>
        </w:rPr>
        <w:t>项目，需编制环境影响报告书。评价单位接受委托后，认真研究了该项目的有关材料，并进行实地踏勘和现场调研，收集和核实了有关材料，根据相关技术规定，开展了建设项目的环境影响评价工作，编制环境影响报告书。</w:t>
      </w:r>
    </w:p>
    <w:p w14:paraId="04D42B97">
      <w:pPr>
        <w:pStyle w:val="3"/>
        <w:adjustRightInd w:val="0"/>
        <w:jc w:val="both"/>
        <w:rPr>
          <w:rFonts w:eastAsia="宋体"/>
          <w:color w:val="auto"/>
          <w:sz w:val="30"/>
          <w:szCs w:val="30"/>
        </w:rPr>
      </w:pPr>
      <w:bookmarkStart w:id="54" w:name="_Toc13940"/>
      <w:bookmarkStart w:id="55" w:name="_Toc29864"/>
      <w:bookmarkStart w:id="56" w:name="_Toc28756"/>
      <w:r>
        <w:rPr>
          <w:rFonts w:eastAsia="宋体"/>
          <w:color w:val="auto"/>
          <w:sz w:val="30"/>
          <w:szCs w:val="30"/>
        </w:rPr>
        <w:t>1.2建设项目特点</w:t>
      </w:r>
      <w:bookmarkEnd w:id="54"/>
      <w:bookmarkEnd w:id="55"/>
      <w:bookmarkEnd w:id="56"/>
    </w:p>
    <w:p w14:paraId="5E655F7F">
      <w:pPr>
        <w:pStyle w:val="4"/>
        <w:rPr>
          <w:rFonts w:ascii="Times New Roman" w:hAnsi="Times New Roman" w:eastAsia="宋体"/>
          <w:color w:val="auto"/>
          <w:szCs w:val="24"/>
        </w:rPr>
      </w:pPr>
      <w:bookmarkStart w:id="57" w:name="_Toc29010"/>
      <w:bookmarkStart w:id="58" w:name="_Toc28860"/>
      <w:r>
        <w:rPr>
          <w:rFonts w:ascii="Times New Roman" w:hAnsi="Times New Roman" w:eastAsia="宋体"/>
          <w:color w:val="auto"/>
          <w:szCs w:val="24"/>
        </w:rPr>
        <w:t>1.2.1项目概况</w:t>
      </w:r>
      <w:bookmarkEnd w:id="57"/>
      <w:bookmarkEnd w:id="58"/>
    </w:p>
    <w:p w14:paraId="61D80F57">
      <w:pPr>
        <w:pStyle w:val="33"/>
        <w:spacing w:after="0" w:line="360" w:lineRule="auto"/>
        <w:ind w:left="0" w:leftChars="0" w:firstLine="480" w:firstLineChars="200"/>
        <w:rPr>
          <w:color w:val="auto"/>
          <w:sz w:val="24"/>
          <w:highlight w:val="green"/>
        </w:rPr>
      </w:pPr>
      <w:bookmarkStart w:id="548" w:name="_GoBack"/>
      <w:r>
        <w:rPr>
          <w:color w:val="auto"/>
          <w:sz w:val="24"/>
        </w:rPr>
        <w:t>本项目为</w:t>
      </w:r>
      <w:r>
        <w:rPr>
          <w:rFonts w:hint="eastAsia"/>
          <w:color w:val="auto"/>
          <w:sz w:val="24"/>
          <w:lang w:eastAsia="zh-CN"/>
        </w:rPr>
        <w:t>北票天勤农牧科技有限公司100万只蛋鸡养殖基地建设项目</w:t>
      </w:r>
      <w:r>
        <w:rPr>
          <w:color w:val="auto"/>
          <w:sz w:val="24"/>
        </w:rPr>
        <w:t>，位于</w:t>
      </w:r>
      <w:r>
        <w:rPr>
          <w:rFonts w:hint="eastAsia"/>
          <w:color w:val="auto"/>
          <w:sz w:val="24"/>
          <w:lang w:eastAsia="zh-CN"/>
        </w:rPr>
        <w:t>辽宁省朝阳市北票市西官镇大巴里村</w:t>
      </w:r>
      <w:r>
        <w:rPr>
          <w:color w:val="auto"/>
          <w:sz w:val="24"/>
        </w:rPr>
        <w:t>，</w:t>
      </w:r>
      <w:r>
        <w:rPr>
          <w:color w:val="auto"/>
          <w:sz w:val="24"/>
          <w:highlight w:val="none"/>
        </w:rPr>
        <w:t>占地面积</w:t>
      </w:r>
      <w:r>
        <w:rPr>
          <w:rFonts w:hint="eastAsia"/>
          <w:color w:val="auto"/>
          <w:sz w:val="24"/>
          <w:highlight w:val="none"/>
          <w:lang w:val="en-US" w:eastAsia="zh-CN"/>
        </w:rPr>
        <w:t>78234.55</w:t>
      </w:r>
      <w:r>
        <w:rPr>
          <w:rFonts w:hint="eastAsia"/>
          <w:color w:val="auto"/>
          <w:sz w:val="24"/>
          <w:highlight w:val="none"/>
          <w:lang w:eastAsia="zh-CN"/>
        </w:rPr>
        <w:t>m</w:t>
      </w:r>
      <w:r>
        <w:rPr>
          <w:color w:val="auto"/>
          <w:sz w:val="24"/>
          <w:highlight w:val="none"/>
          <w:vertAlign w:val="superscript"/>
        </w:rPr>
        <w:t>2</w:t>
      </w:r>
      <w:r>
        <w:rPr>
          <w:color w:val="auto"/>
          <w:sz w:val="24"/>
          <w:highlight w:val="none"/>
        </w:rPr>
        <w:t>，</w:t>
      </w:r>
      <w:r>
        <w:rPr>
          <w:rFonts w:hint="eastAsia"/>
          <w:color w:val="auto"/>
          <w:sz w:val="24"/>
          <w:highlight w:val="none"/>
          <w:lang w:eastAsia="zh-CN"/>
        </w:rPr>
        <w:t>占地类型为设施农用设施用地（用地手续正在办理中）</w:t>
      </w:r>
      <w:r>
        <w:rPr>
          <w:rFonts w:hint="eastAsia"/>
          <w:color w:val="auto"/>
          <w:sz w:val="24"/>
          <w:highlight w:val="none"/>
        </w:rPr>
        <w:t>。</w:t>
      </w:r>
    </w:p>
    <w:p w14:paraId="7650784A">
      <w:pPr>
        <w:pStyle w:val="33"/>
        <w:spacing w:after="0" w:line="360" w:lineRule="auto"/>
        <w:ind w:left="0" w:leftChars="0" w:firstLine="480" w:firstLineChars="200"/>
        <w:rPr>
          <w:color w:val="auto"/>
          <w:sz w:val="24"/>
          <w:highlight w:val="none"/>
        </w:rPr>
      </w:pPr>
      <w:r>
        <w:rPr>
          <w:rFonts w:hint="eastAsia"/>
          <w:color w:val="auto"/>
          <w:sz w:val="24"/>
          <w:highlight w:val="none"/>
          <w:lang w:eastAsia="zh-CN"/>
        </w:rPr>
        <w:t>本项目新建鸡舍</w:t>
      </w:r>
      <w:r>
        <w:rPr>
          <w:rFonts w:hint="eastAsia"/>
          <w:color w:val="auto"/>
          <w:sz w:val="24"/>
          <w:highlight w:val="none"/>
          <w:lang w:val="en-US" w:eastAsia="zh-CN"/>
        </w:rPr>
        <w:t>8栋，办公楼和鸡蛋加工车间各1座，配套建设其他辅助工程，</w:t>
      </w:r>
      <w:r>
        <w:rPr>
          <w:rFonts w:hint="eastAsia"/>
          <w:color w:val="auto"/>
          <w:sz w:val="24"/>
          <w:highlight w:val="none"/>
        </w:rPr>
        <w:t>总建筑面积</w:t>
      </w:r>
      <w:r>
        <w:rPr>
          <w:rFonts w:hint="eastAsia"/>
          <w:color w:val="auto"/>
          <w:sz w:val="24"/>
          <w:highlight w:val="none"/>
          <w:lang w:val="en-US" w:eastAsia="zh-CN"/>
        </w:rPr>
        <w:t>40046.37</w:t>
      </w:r>
      <w:r>
        <w:rPr>
          <w:rFonts w:hint="eastAsia"/>
          <w:color w:val="auto"/>
          <w:sz w:val="24"/>
          <w:highlight w:val="none"/>
        </w:rPr>
        <w:t>平方米，</w:t>
      </w:r>
      <w:r>
        <w:rPr>
          <w:rFonts w:hint="eastAsia"/>
          <w:color w:val="auto"/>
          <w:sz w:val="24"/>
          <w:highlight w:val="none"/>
          <w:lang w:eastAsia="zh-CN"/>
        </w:rPr>
        <w:t>配套建设</w:t>
      </w:r>
      <w:r>
        <w:rPr>
          <w:rFonts w:hint="eastAsia"/>
          <w:color w:val="auto"/>
          <w:sz w:val="24"/>
          <w:highlight w:val="none"/>
          <w:lang w:val="en-US" w:eastAsia="zh-CN"/>
        </w:rPr>
        <w:t>1座</w:t>
      </w:r>
      <w:r>
        <w:rPr>
          <w:rFonts w:hint="eastAsia"/>
          <w:color w:val="auto"/>
          <w:sz w:val="24"/>
          <w:highlight w:val="none"/>
          <w:lang w:eastAsia="zh-CN"/>
        </w:rPr>
        <w:t>临时储粪场</w:t>
      </w:r>
      <w:r>
        <w:rPr>
          <w:color w:val="auto"/>
          <w:sz w:val="24"/>
          <w:highlight w:val="none"/>
        </w:rPr>
        <w:t>，本项目采购</w:t>
      </w:r>
      <w:r>
        <w:rPr>
          <w:rFonts w:hint="eastAsia"/>
          <w:color w:val="auto"/>
          <w:sz w:val="24"/>
          <w:highlight w:val="none"/>
        </w:rPr>
        <w:t>孵化完的雏鸡</w:t>
      </w:r>
      <w:r>
        <w:rPr>
          <w:color w:val="auto"/>
          <w:sz w:val="24"/>
          <w:highlight w:val="none"/>
        </w:rPr>
        <w:t>，不含孵化过程。养殖场年存栏蛋鸡100万只，年产鸡蛋</w:t>
      </w:r>
      <w:r>
        <w:rPr>
          <w:rFonts w:hint="eastAsia"/>
          <w:color w:val="auto"/>
          <w:sz w:val="24"/>
          <w:highlight w:val="none"/>
        </w:rPr>
        <w:t>275万枚</w:t>
      </w:r>
      <w:r>
        <w:rPr>
          <w:rFonts w:hint="eastAsia"/>
          <w:color w:val="auto"/>
          <w:sz w:val="24"/>
          <w:highlight w:val="none"/>
          <w:lang w:eastAsia="zh-CN"/>
        </w:rPr>
        <w:t>（约</w:t>
      </w:r>
      <w:r>
        <w:rPr>
          <w:color w:val="auto"/>
          <w:sz w:val="24"/>
          <w:highlight w:val="none"/>
        </w:rPr>
        <w:t>20000吨</w:t>
      </w:r>
      <w:r>
        <w:rPr>
          <w:rFonts w:hint="eastAsia"/>
          <w:color w:val="auto"/>
          <w:sz w:val="24"/>
          <w:highlight w:val="none"/>
          <w:lang w:eastAsia="zh-CN"/>
        </w:rPr>
        <w:t>）</w:t>
      </w:r>
      <w:r>
        <w:rPr>
          <w:color w:val="auto"/>
          <w:sz w:val="24"/>
          <w:highlight w:val="none"/>
        </w:rPr>
        <w:t>。</w:t>
      </w:r>
      <w:bookmarkEnd w:id="548"/>
    </w:p>
    <w:p w14:paraId="7AB1843B">
      <w:pPr>
        <w:pStyle w:val="4"/>
        <w:rPr>
          <w:rFonts w:ascii="Times New Roman" w:hAnsi="Times New Roman" w:eastAsia="宋体"/>
          <w:color w:val="auto"/>
          <w:szCs w:val="24"/>
        </w:rPr>
      </w:pPr>
      <w:bookmarkStart w:id="59" w:name="_Toc31413"/>
      <w:bookmarkStart w:id="60" w:name="_Toc29142"/>
      <w:r>
        <w:rPr>
          <w:rFonts w:ascii="Times New Roman" w:hAnsi="Times New Roman" w:eastAsia="宋体"/>
          <w:color w:val="auto"/>
          <w:szCs w:val="24"/>
        </w:rPr>
        <w:t>1.2.2污染物产生情况</w:t>
      </w:r>
      <w:bookmarkEnd w:id="59"/>
      <w:bookmarkEnd w:id="60"/>
    </w:p>
    <w:p w14:paraId="1A74BEE3">
      <w:pPr>
        <w:spacing w:line="360" w:lineRule="auto"/>
        <w:ind w:firstLine="480" w:firstLineChars="200"/>
        <w:rPr>
          <w:color w:val="auto"/>
          <w:sz w:val="24"/>
        </w:rPr>
      </w:pPr>
      <w:r>
        <w:rPr>
          <w:color w:val="auto"/>
          <w:sz w:val="24"/>
        </w:rPr>
        <w:t>项目养殖过程产生的污染物为</w:t>
      </w:r>
      <w:r>
        <w:rPr>
          <w:color w:val="auto"/>
          <w:sz w:val="24"/>
        </w:rPr>
        <w:fldChar w:fldCharType="begin"/>
      </w:r>
      <w:r>
        <w:rPr>
          <w:color w:val="auto"/>
          <w:sz w:val="24"/>
        </w:rPr>
        <w:instrText xml:space="preserve"> = 1 \* GB3 </w:instrText>
      </w:r>
      <w:r>
        <w:rPr>
          <w:color w:val="auto"/>
          <w:sz w:val="24"/>
        </w:rPr>
        <w:fldChar w:fldCharType="separate"/>
      </w:r>
      <w:r>
        <w:rPr>
          <w:color w:val="auto"/>
          <w:sz w:val="24"/>
        </w:rPr>
        <w:t>①</w:t>
      </w:r>
      <w:r>
        <w:rPr>
          <w:color w:val="auto"/>
          <w:sz w:val="24"/>
        </w:rPr>
        <w:fldChar w:fldCharType="end"/>
      </w:r>
      <w:r>
        <w:rPr>
          <w:color w:val="auto"/>
          <w:sz w:val="24"/>
        </w:rPr>
        <w:t>废气：鸡舍恶臭</w:t>
      </w:r>
      <w:r>
        <w:rPr>
          <w:rFonts w:hint="eastAsia"/>
          <w:color w:val="auto"/>
          <w:sz w:val="24"/>
        </w:rPr>
        <w:t>、</w:t>
      </w:r>
      <w:r>
        <w:rPr>
          <w:rFonts w:hint="eastAsia"/>
          <w:color w:val="auto"/>
          <w:sz w:val="24"/>
          <w:lang w:eastAsia="zh-CN"/>
        </w:rPr>
        <w:t>临时储粪场</w:t>
      </w:r>
      <w:r>
        <w:rPr>
          <w:rFonts w:hint="eastAsia"/>
          <w:color w:val="auto"/>
          <w:sz w:val="24"/>
        </w:rPr>
        <w:t>恶臭、锅炉产生的废气</w:t>
      </w:r>
      <w:r>
        <w:rPr>
          <w:rFonts w:hint="eastAsia"/>
          <w:color w:val="auto"/>
          <w:sz w:val="24"/>
          <w:lang w:eastAsia="zh-CN"/>
        </w:rPr>
        <w:t>；</w:t>
      </w:r>
      <w:r>
        <w:rPr>
          <w:color w:val="auto"/>
          <w:sz w:val="24"/>
        </w:rPr>
        <w:fldChar w:fldCharType="begin"/>
      </w:r>
      <w:r>
        <w:rPr>
          <w:color w:val="auto"/>
          <w:sz w:val="24"/>
        </w:rPr>
        <w:instrText xml:space="preserve"> = 2 \* GB3 </w:instrText>
      </w:r>
      <w:r>
        <w:rPr>
          <w:color w:val="auto"/>
          <w:sz w:val="24"/>
        </w:rPr>
        <w:fldChar w:fldCharType="separate"/>
      </w:r>
      <w:r>
        <w:rPr>
          <w:color w:val="auto"/>
          <w:sz w:val="24"/>
        </w:rPr>
        <w:t>②</w:t>
      </w:r>
      <w:r>
        <w:rPr>
          <w:color w:val="auto"/>
          <w:sz w:val="24"/>
        </w:rPr>
        <w:fldChar w:fldCharType="end"/>
      </w:r>
      <w:r>
        <w:rPr>
          <w:color w:val="auto"/>
          <w:sz w:val="24"/>
        </w:rPr>
        <w:t>废水：鸡舍冲洗水、生活污水、食堂废水</w:t>
      </w:r>
      <w:r>
        <w:rPr>
          <w:rFonts w:hint="eastAsia"/>
          <w:color w:val="auto"/>
          <w:sz w:val="24"/>
        </w:rPr>
        <w:t>、反冲洗废水及锅炉排污水</w:t>
      </w:r>
      <w:r>
        <w:rPr>
          <w:rFonts w:hint="eastAsia"/>
          <w:color w:val="auto"/>
          <w:sz w:val="24"/>
          <w:lang w:eastAsia="zh-CN"/>
        </w:rPr>
        <w:t>；</w:t>
      </w:r>
      <w:r>
        <w:rPr>
          <w:color w:val="auto"/>
          <w:sz w:val="24"/>
        </w:rPr>
        <w:fldChar w:fldCharType="begin"/>
      </w:r>
      <w:r>
        <w:rPr>
          <w:color w:val="auto"/>
          <w:sz w:val="24"/>
        </w:rPr>
        <w:instrText xml:space="preserve"> = 3 \* GB3 </w:instrText>
      </w:r>
      <w:r>
        <w:rPr>
          <w:color w:val="auto"/>
          <w:sz w:val="24"/>
        </w:rPr>
        <w:fldChar w:fldCharType="separate"/>
      </w:r>
      <w:r>
        <w:rPr>
          <w:color w:val="auto"/>
          <w:sz w:val="24"/>
        </w:rPr>
        <w:t>③</w:t>
      </w:r>
      <w:r>
        <w:rPr>
          <w:color w:val="auto"/>
          <w:sz w:val="24"/>
        </w:rPr>
        <w:fldChar w:fldCharType="end"/>
      </w:r>
      <w:r>
        <w:rPr>
          <w:color w:val="auto"/>
          <w:sz w:val="24"/>
        </w:rPr>
        <w:t>噪声：风扇、水泵、包装机、发风机等设备噪声；</w:t>
      </w:r>
      <w:r>
        <w:rPr>
          <w:color w:val="auto"/>
          <w:sz w:val="24"/>
        </w:rPr>
        <w:fldChar w:fldCharType="begin"/>
      </w:r>
      <w:r>
        <w:rPr>
          <w:color w:val="auto"/>
          <w:sz w:val="24"/>
        </w:rPr>
        <w:instrText xml:space="preserve"> = 4 \* GB3 </w:instrText>
      </w:r>
      <w:r>
        <w:rPr>
          <w:color w:val="auto"/>
          <w:sz w:val="24"/>
        </w:rPr>
        <w:fldChar w:fldCharType="separate"/>
      </w:r>
      <w:r>
        <w:rPr>
          <w:color w:val="auto"/>
          <w:sz w:val="24"/>
        </w:rPr>
        <w:t>④</w:t>
      </w:r>
      <w:r>
        <w:rPr>
          <w:color w:val="auto"/>
          <w:sz w:val="24"/>
        </w:rPr>
        <w:fldChar w:fldCharType="end"/>
      </w:r>
      <w:r>
        <w:rPr>
          <w:color w:val="auto"/>
          <w:sz w:val="24"/>
        </w:rPr>
        <w:t>固废：鸡粪、</w:t>
      </w:r>
      <w:r>
        <w:rPr>
          <w:rFonts w:hint="eastAsia"/>
          <w:color w:val="auto"/>
          <w:sz w:val="24"/>
        </w:rPr>
        <w:t>鸡羽毛、</w:t>
      </w:r>
      <w:r>
        <w:rPr>
          <w:color w:val="auto"/>
          <w:sz w:val="24"/>
        </w:rPr>
        <w:t>病死鸡、饲料残渣、医疗废物、生活垃圾</w:t>
      </w:r>
      <w:r>
        <w:rPr>
          <w:rFonts w:hint="eastAsia"/>
          <w:color w:val="auto"/>
          <w:sz w:val="24"/>
        </w:rPr>
        <w:t>、废离子交换树脂</w:t>
      </w:r>
      <w:r>
        <w:rPr>
          <w:rFonts w:hint="eastAsia"/>
          <w:color w:val="auto"/>
          <w:sz w:val="24"/>
          <w:lang w:eastAsia="zh-CN"/>
        </w:rPr>
        <w:t>、锅炉除尘灰</w:t>
      </w:r>
      <w:r>
        <w:rPr>
          <w:color w:val="auto"/>
          <w:sz w:val="24"/>
        </w:rPr>
        <w:t>等。</w:t>
      </w:r>
    </w:p>
    <w:p w14:paraId="0CAC5650">
      <w:pPr>
        <w:pStyle w:val="20"/>
        <w:spacing w:line="360" w:lineRule="auto"/>
        <w:ind w:firstLine="480" w:firstLineChars="200"/>
        <w:rPr>
          <w:color w:val="auto"/>
          <w:sz w:val="24"/>
        </w:rPr>
      </w:pPr>
      <w:r>
        <w:rPr>
          <w:bCs/>
          <w:color w:val="auto"/>
          <w:kern w:val="21"/>
          <w:sz w:val="24"/>
          <w:highlight w:val="none"/>
        </w:rPr>
        <w:t>1）废气：</w:t>
      </w:r>
      <w:r>
        <w:rPr>
          <w:color w:val="auto"/>
          <w:sz w:val="24"/>
          <w:highlight w:val="none"/>
        </w:rPr>
        <w:t>项目鸡舍</w:t>
      </w:r>
      <w:r>
        <w:rPr>
          <w:rFonts w:hint="eastAsia"/>
          <w:color w:val="auto"/>
          <w:sz w:val="24"/>
          <w:highlight w:val="none"/>
          <w:lang w:eastAsia="zh-CN"/>
        </w:rPr>
        <w:t>、临时储粪场</w:t>
      </w:r>
      <w:r>
        <w:rPr>
          <w:color w:val="auto"/>
          <w:sz w:val="24"/>
          <w:highlight w:val="none"/>
        </w:rPr>
        <w:t>产生的恶臭气体经干清粪工艺、喷洒除臭剂、厂区四周设置隔离绿化带</w:t>
      </w:r>
      <w:r>
        <w:rPr>
          <w:rFonts w:hint="eastAsia"/>
          <w:color w:val="auto"/>
          <w:sz w:val="24"/>
          <w:highlight w:val="none"/>
          <w:lang w:eastAsia="zh-CN"/>
        </w:rPr>
        <w:t>、</w:t>
      </w:r>
      <w:r>
        <w:rPr>
          <w:rFonts w:hint="eastAsia"/>
          <w:color w:val="auto"/>
          <w:sz w:val="24"/>
          <w:szCs w:val="20"/>
          <w:lang w:eastAsia="zh-CN"/>
        </w:rPr>
        <w:t>临时储粪场设置为封闭结构</w:t>
      </w:r>
      <w:r>
        <w:rPr>
          <w:rFonts w:hint="eastAsia"/>
          <w:color w:val="auto"/>
          <w:sz w:val="24"/>
          <w:highlight w:val="none"/>
        </w:rPr>
        <w:t>，</w:t>
      </w:r>
      <w:r>
        <w:rPr>
          <w:color w:val="auto"/>
          <w:sz w:val="24"/>
          <w:highlight w:val="none"/>
        </w:rPr>
        <w:t>符合《恶臭污染物排放标准》(GB14554-93)</w:t>
      </w:r>
      <w:r>
        <w:rPr>
          <w:rFonts w:hint="eastAsia"/>
          <w:color w:val="auto"/>
          <w:sz w:val="24"/>
          <w:highlight w:val="none"/>
        </w:rPr>
        <w:t>中</w:t>
      </w:r>
      <w:r>
        <w:rPr>
          <w:color w:val="auto"/>
          <w:sz w:val="24"/>
          <w:highlight w:val="none"/>
        </w:rPr>
        <w:t>标准</w:t>
      </w:r>
      <w:r>
        <w:rPr>
          <w:rFonts w:hint="eastAsia"/>
          <w:color w:val="auto"/>
          <w:sz w:val="24"/>
          <w:highlight w:val="none"/>
          <w:lang w:val="en-US" w:eastAsia="zh-CN"/>
        </w:rPr>
        <w:t>，</w:t>
      </w:r>
      <w:r>
        <w:rPr>
          <w:rFonts w:hint="eastAsia"/>
          <w:color w:val="auto"/>
          <w:sz w:val="24"/>
          <w:highlight w:val="none"/>
          <w:lang w:eastAsia="zh-CN"/>
        </w:rPr>
        <w:t>生物质</w:t>
      </w:r>
      <w:r>
        <w:rPr>
          <w:color w:val="auto"/>
          <w:kern w:val="0"/>
          <w:sz w:val="24"/>
        </w:rPr>
        <w:t>锅炉燃烧废气主要污染物颗粒物(烟尘)、SO</w:t>
      </w:r>
      <w:r>
        <w:rPr>
          <w:color w:val="auto"/>
          <w:kern w:val="0"/>
          <w:sz w:val="24"/>
          <w:vertAlign w:val="subscript"/>
        </w:rPr>
        <w:t>2</w:t>
      </w:r>
      <w:r>
        <w:rPr>
          <w:color w:val="auto"/>
          <w:kern w:val="0"/>
          <w:sz w:val="24"/>
        </w:rPr>
        <w:t>、NOx</w:t>
      </w:r>
      <w:r>
        <w:rPr>
          <w:rFonts w:hint="eastAsia"/>
          <w:color w:val="auto"/>
          <w:kern w:val="0"/>
          <w:sz w:val="24"/>
          <w:lang w:eastAsia="zh-CN"/>
        </w:rPr>
        <w:t>，采用低氮燃烧法，废气</w:t>
      </w:r>
      <w:r>
        <w:rPr>
          <w:color w:val="auto"/>
          <w:kern w:val="0"/>
          <w:sz w:val="24"/>
        </w:rPr>
        <w:t>经</w:t>
      </w:r>
      <w:r>
        <w:rPr>
          <w:rFonts w:hint="eastAsia"/>
          <w:color w:val="auto"/>
          <w:kern w:val="0"/>
          <w:sz w:val="24"/>
          <w:lang w:eastAsia="zh-CN"/>
        </w:rPr>
        <w:t>旋风除尘器</w:t>
      </w:r>
      <w:r>
        <w:rPr>
          <w:rFonts w:hint="eastAsia"/>
          <w:color w:val="auto"/>
          <w:kern w:val="0"/>
          <w:sz w:val="24"/>
          <w:lang w:val="en-US" w:eastAsia="zh-CN"/>
        </w:rPr>
        <w:t>+</w:t>
      </w:r>
      <w:r>
        <w:rPr>
          <w:rFonts w:hint="eastAsia"/>
          <w:color w:val="auto"/>
          <w:kern w:val="0"/>
          <w:sz w:val="24"/>
          <w:lang w:eastAsia="zh-CN"/>
        </w:rPr>
        <w:t>布袋除尘器处理后通过</w:t>
      </w:r>
      <w:r>
        <w:rPr>
          <w:rFonts w:hint="eastAsia"/>
          <w:color w:val="auto"/>
          <w:kern w:val="0"/>
          <w:sz w:val="24"/>
          <w:lang w:val="en-US" w:eastAsia="zh-CN"/>
        </w:rPr>
        <w:t>1根30m高烟囱</w:t>
      </w:r>
      <w:r>
        <w:rPr>
          <w:color w:val="auto"/>
          <w:kern w:val="0"/>
          <w:sz w:val="24"/>
        </w:rPr>
        <w:t>排放，</w:t>
      </w:r>
      <w:r>
        <w:rPr>
          <w:rFonts w:hint="eastAsia"/>
          <w:color w:val="auto"/>
          <w:kern w:val="0"/>
          <w:sz w:val="24"/>
        </w:rPr>
        <w:t>满足</w:t>
      </w:r>
      <w:r>
        <w:rPr>
          <w:color w:val="auto"/>
          <w:kern w:val="0"/>
          <w:sz w:val="24"/>
        </w:rPr>
        <w:t>《锅炉大气污染物排放标准》（GB13271-2014）中表</w:t>
      </w:r>
      <w:r>
        <w:rPr>
          <w:rFonts w:hint="eastAsia"/>
          <w:color w:val="auto"/>
          <w:kern w:val="0"/>
          <w:sz w:val="24"/>
          <w:lang w:val="en-US" w:eastAsia="zh-CN"/>
        </w:rPr>
        <w:t>3</w:t>
      </w:r>
      <w:r>
        <w:rPr>
          <w:color w:val="auto"/>
          <w:kern w:val="0"/>
          <w:sz w:val="24"/>
        </w:rPr>
        <w:t>大气污染物</w:t>
      </w:r>
      <w:r>
        <w:rPr>
          <w:rFonts w:hint="eastAsia"/>
          <w:color w:val="auto"/>
          <w:kern w:val="0"/>
          <w:sz w:val="24"/>
          <w:lang w:eastAsia="zh-CN"/>
        </w:rPr>
        <w:t>特别</w:t>
      </w:r>
      <w:r>
        <w:rPr>
          <w:color w:val="auto"/>
          <w:kern w:val="0"/>
          <w:sz w:val="24"/>
        </w:rPr>
        <w:t>排放限值</w:t>
      </w:r>
      <w:r>
        <w:rPr>
          <w:rFonts w:hint="eastAsia"/>
          <w:color w:val="auto"/>
          <w:kern w:val="0"/>
          <w:sz w:val="24"/>
          <w:lang w:eastAsia="zh-CN"/>
        </w:rPr>
        <w:t>中燃煤锅炉标准</w:t>
      </w:r>
      <w:r>
        <w:rPr>
          <w:color w:val="auto"/>
          <w:kern w:val="0"/>
          <w:sz w:val="24"/>
        </w:rPr>
        <w:t>。</w:t>
      </w:r>
    </w:p>
    <w:p w14:paraId="57C92848">
      <w:pPr>
        <w:spacing w:line="360" w:lineRule="auto"/>
        <w:ind w:firstLine="480" w:firstLineChars="200"/>
        <w:rPr>
          <w:color w:val="auto"/>
          <w:sz w:val="24"/>
        </w:rPr>
      </w:pPr>
      <w:r>
        <w:rPr>
          <w:color w:val="auto"/>
          <w:sz w:val="24"/>
        </w:rPr>
        <w:t>2）废水：</w:t>
      </w:r>
      <w:r>
        <w:rPr>
          <w:rFonts w:hint="eastAsia"/>
          <w:color w:val="auto"/>
          <w:sz w:val="24"/>
          <w:highlight w:val="none"/>
        </w:rPr>
        <w:t>本项目</w:t>
      </w:r>
      <w:r>
        <w:rPr>
          <w:rFonts w:hint="eastAsia"/>
          <w:color w:val="auto"/>
          <w:sz w:val="24"/>
          <w:highlight w:val="none"/>
          <w:lang w:eastAsia="zh-CN"/>
        </w:rPr>
        <w:t>鸡舍冲洗</w:t>
      </w:r>
      <w:r>
        <w:rPr>
          <w:color w:val="auto"/>
          <w:sz w:val="24"/>
          <w:highlight w:val="none"/>
        </w:rPr>
        <w:t>废水</w:t>
      </w:r>
      <w:r>
        <w:rPr>
          <w:rFonts w:hint="eastAsia"/>
          <w:color w:val="auto"/>
          <w:sz w:val="24"/>
          <w:highlight w:val="none"/>
          <w:lang w:eastAsia="zh-CN"/>
        </w:rPr>
        <w:t>暂存于废水收集池，每栋鸡舍各设置</w:t>
      </w:r>
      <w:r>
        <w:rPr>
          <w:rFonts w:hint="eastAsia"/>
          <w:color w:val="auto"/>
          <w:sz w:val="24"/>
          <w:highlight w:val="none"/>
          <w:lang w:val="en-US" w:eastAsia="zh-CN"/>
        </w:rPr>
        <w:t>1座，</w:t>
      </w:r>
      <w:r>
        <w:rPr>
          <w:rFonts w:hint="eastAsia"/>
          <w:color w:val="auto"/>
          <w:sz w:val="24"/>
          <w:highlight w:val="none"/>
          <w:lang w:eastAsia="zh-CN"/>
        </w:rPr>
        <w:t>共设置</w:t>
      </w:r>
      <w:r>
        <w:rPr>
          <w:rFonts w:hint="eastAsia"/>
          <w:color w:val="auto"/>
          <w:sz w:val="24"/>
          <w:highlight w:val="none"/>
          <w:lang w:val="en-US" w:eastAsia="zh-CN"/>
        </w:rPr>
        <w:t>8座，10m</w:t>
      </w:r>
      <w:r>
        <w:rPr>
          <w:rFonts w:hint="eastAsia"/>
          <w:color w:val="auto"/>
          <w:sz w:val="24"/>
          <w:highlight w:val="none"/>
          <w:vertAlign w:val="superscript"/>
          <w:lang w:val="en-US" w:eastAsia="zh-CN"/>
        </w:rPr>
        <w:t>3</w:t>
      </w:r>
      <w:r>
        <w:rPr>
          <w:rFonts w:hint="eastAsia"/>
          <w:color w:val="auto"/>
          <w:sz w:val="24"/>
          <w:highlight w:val="none"/>
          <w:lang w:val="en-US" w:eastAsia="zh-CN"/>
        </w:rPr>
        <w:t>/座，</w:t>
      </w:r>
      <w:r>
        <w:rPr>
          <w:rFonts w:hint="eastAsia"/>
          <w:color w:val="auto"/>
          <w:sz w:val="24"/>
          <w:highlight w:val="none"/>
          <w:lang w:eastAsia="zh-CN"/>
        </w:rPr>
        <w:t>除极端天气需储存</w:t>
      </w:r>
      <w:r>
        <w:rPr>
          <w:rFonts w:hint="eastAsia"/>
          <w:color w:val="auto"/>
          <w:sz w:val="24"/>
          <w:highlight w:val="none"/>
          <w:lang w:val="en-US" w:eastAsia="zh-CN"/>
        </w:rPr>
        <w:t>50天/a外，均日产日清，</w:t>
      </w:r>
      <w:r>
        <w:rPr>
          <w:color w:val="auto"/>
          <w:sz w:val="24"/>
          <w:highlight w:val="none"/>
        </w:rPr>
        <w:t>由</w:t>
      </w:r>
      <w:r>
        <w:rPr>
          <w:rFonts w:hint="eastAsia"/>
          <w:color w:val="auto"/>
          <w:sz w:val="24"/>
          <w:highlight w:val="none"/>
          <w:lang w:eastAsia="zh-CN"/>
        </w:rPr>
        <w:t>罐车</w:t>
      </w:r>
      <w:r>
        <w:rPr>
          <w:color w:val="auto"/>
          <w:sz w:val="24"/>
          <w:highlight w:val="none"/>
        </w:rPr>
        <w:t>直接拉走外</w:t>
      </w:r>
      <w:r>
        <w:rPr>
          <w:rFonts w:hint="eastAsia"/>
          <w:color w:val="auto"/>
          <w:sz w:val="24"/>
          <w:highlight w:val="none"/>
        </w:rPr>
        <w:t>售</w:t>
      </w:r>
      <w:r>
        <w:rPr>
          <w:rFonts w:hint="eastAsia"/>
          <w:color w:val="auto"/>
          <w:sz w:val="24"/>
          <w:highlight w:val="none"/>
          <w:lang w:eastAsia="zh-CN"/>
        </w:rPr>
        <w:t>至辰泰（辽宁）生物科技有限公司做有机</w:t>
      </w:r>
      <w:r>
        <w:rPr>
          <w:color w:val="auto"/>
          <w:sz w:val="24"/>
          <w:highlight w:val="none"/>
        </w:rPr>
        <w:t>肥；</w:t>
      </w:r>
      <w:r>
        <w:rPr>
          <w:color w:val="auto"/>
          <w:sz w:val="24"/>
        </w:rPr>
        <w:t>食堂废水经隔油池处理后同生活污水排入旱厕定期清掏</w:t>
      </w:r>
      <w:r>
        <w:rPr>
          <w:rFonts w:hint="eastAsia"/>
          <w:color w:val="auto"/>
          <w:sz w:val="24"/>
        </w:rPr>
        <w:t>，</w:t>
      </w:r>
      <w:r>
        <w:rPr>
          <w:rFonts w:hint="eastAsia"/>
          <w:color w:val="auto"/>
          <w:sz w:val="24"/>
          <w:lang w:eastAsia="zh-CN"/>
        </w:rPr>
        <w:t>用作农肥</w:t>
      </w:r>
      <w:r>
        <w:rPr>
          <w:color w:val="auto"/>
          <w:sz w:val="24"/>
        </w:rPr>
        <w:t>。</w:t>
      </w:r>
      <w:r>
        <w:rPr>
          <w:rFonts w:hint="eastAsia"/>
          <w:color w:val="auto"/>
          <w:sz w:val="24"/>
        </w:rPr>
        <w:t>反冲洗废水及锅炉排污水用于</w:t>
      </w:r>
      <w:r>
        <w:rPr>
          <w:rFonts w:hint="eastAsia"/>
          <w:color w:val="auto"/>
          <w:sz w:val="24"/>
          <w:lang w:eastAsia="zh-CN"/>
        </w:rPr>
        <w:t>厂区绿化及地面降尘</w:t>
      </w:r>
      <w:r>
        <w:rPr>
          <w:rFonts w:hint="eastAsia"/>
          <w:color w:val="auto"/>
          <w:sz w:val="24"/>
        </w:rPr>
        <w:t>。</w:t>
      </w:r>
    </w:p>
    <w:p w14:paraId="520F1949">
      <w:pPr>
        <w:pStyle w:val="20"/>
        <w:spacing w:line="360" w:lineRule="auto"/>
        <w:ind w:firstLine="480" w:firstLineChars="200"/>
        <w:rPr>
          <w:color w:val="auto"/>
          <w:sz w:val="24"/>
        </w:rPr>
      </w:pPr>
      <w:r>
        <w:rPr>
          <w:color w:val="auto"/>
          <w:sz w:val="24"/>
        </w:rPr>
        <w:t>3）噪声：设备噪声经墙体隔声、距离衰减后，厂界噪声符合《工业企业厂界环境噪声排放标准》(GB12348-2008)中1类标准，达标排放；</w:t>
      </w:r>
    </w:p>
    <w:p w14:paraId="1C421882">
      <w:pPr>
        <w:spacing w:line="360" w:lineRule="auto"/>
        <w:ind w:firstLine="480" w:firstLineChars="200"/>
        <w:rPr>
          <w:color w:val="auto"/>
          <w:sz w:val="24"/>
        </w:rPr>
      </w:pPr>
      <w:r>
        <w:rPr>
          <w:color w:val="auto"/>
          <w:sz w:val="24"/>
        </w:rPr>
        <w:t>4）固废：鸡粪、</w:t>
      </w:r>
      <w:r>
        <w:rPr>
          <w:rFonts w:hint="eastAsia"/>
          <w:color w:val="auto"/>
          <w:sz w:val="24"/>
        </w:rPr>
        <w:t>鸡羽毛、</w:t>
      </w:r>
      <w:r>
        <w:rPr>
          <w:color w:val="auto"/>
          <w:sz w:val="24"/>
        </w:rPr>
        <w:t>饲料残渣除</w:t>
      </w:r>
      <w:r>
        <w:rPr>
          <w:rFonts w:hint="eastAsia"/>
          <w:color w:val="auto"/>
          <w:sz w:val="24"/>
        </w:rPr>
        <w:t>极端天气</w:t>
      </w:r>
      <w:r>
        <w:rPr>
          <w:color w:val="auto"/>
          <w:sz w:val="24"/>
          <w:highlight w:val="none"/>
        </w:rPr>
        <w:t>（约50天/年</w:t>
      </w:r>
      <w:r>
        <w:rPr>
          <w:rFonts w:hint="eastAsia"/>
          <w:color w:val="auto"/>
          <w:sz w:val="24"/>
          <w:highlight w:val="none"/>
          <w:lang w:eastAsia="zh-CN"/>
        </w:rPr>
        <w:t>，每天</w:t>
      </w:r>
      <w:r>
        <w:rPr>
          <w:rFonts w:hint="eastAsia"/>
          <w:color w:val="auto"/>
          <w:sz w:val="24"/>
          <w:highlight w:val="none"/>
          <w:lang w:val="en-US" w:eastAsia="zh-CN"/>
        </w:rPr>
        <w:t>24h</w:t>
      </w:r>
      <w:r>
        <w:rPr>
          <w:color w:val="auto"/>
          <w:sz w:val="24"/>
          <w:highlight w:val="none"/>
        </w:rPr>
        <w:t>）</w:t>
      </w:r>
      <w:r>
        <w:rPr>
          <w:color w:val="auto"/>
          <w:sz w:val="24"/>
        </w:rPr>
        <w:t>需暂存</w:t>
      </w:r>
      <w:r>
        <w:rPr>
          <w:rFonts w:hint="eastAsia"/>
          <w:color w:val="auto"/>
          <w:sz w:val="24"/>
          <w:lang w:eastAsia="zh-CN"/>
        </w:rPr>
        <w:t>于临时储粪场外</w:t>
      </w:r>
      <w:r>
        <w:rPr>
          <w:color w:val="auto"/>
          <w:sz w:val="24"/>
        </w:rPr>
        <w:t>，</w:t>
      </w:r>
      <w:r>
        <w:rPr>
          <w:color w:val="auto"/>
          <w:sz w:val="24"/>
          <w:highlight w:val="none"/>
        </w:rPr>
        <w:t>均日产日清由清粪车直接拉走外</w:t>
      </w:r>
      <w:r>
        <w:rPr>
          <w:rFonts w:hint="eastAsia"/>
          <w:color w:val="auto"/>
          <w:sz w:val="24"/>
          <w:highlight w:val="none"/>
        </w:rPr>
        <w:t>售</w:t>
      </w:r>
      <w:r>
        <w:rPr>
          <w:rFonts w:hint="eastAsia"/>
          <w:color w:val="auto"/>
          <w:sz w:val="24"/>
          <w:highlight w:val="none"/>
          <w:lang w:eastAsia="zh-CN"/>
        </w:rPr>
        <w:t>至辰泰（辽宁）生物科技有限公司做有机肥</w:t>
      </w:r>
      <w:r>
        <w:rPr>
          <w:color w:val="auto"/>
          <w:sz w:val="24"/>
          <w:highlight w:val="none"/>
        </w:rPr>
        <w:t>；</w:t>
      </w:r>
      <w:r>
        <w:rPr>
          <w:rFonts w:hint="eastAsia"/>
          <w:color w:val="auto"/>
          <w:sz w:val="24"/>
          <w:highlight w:val="none"/>
          <w:lang w:eastAsia="zh-CN"/>
        </w:rPr>
        <w:t>锅炉灰渣和除尘灰收集后袋装暂存于渣库，作为有机肥原料</w:t>
      </w:r>
      <w:r>
        <w:rPr>
          <w:color w:val="auto"/>
          <w:sz w:val="24"/>
          <w:highlight w:val="none"/>
        </w:rPr>
        <w:t>外</w:t>
      </w:r>
      <w:r>
        <w:rPr>
          <w:rFonts w:hint="eastAsia"/>
          <w:color w:val="auto"/>
          <w:sz w:val="24"/>
          <w:highlight w:val="none"/>
        </w:rPr>
        <w:t>售</w:t>
      </w:r>
      <w:r>
        <w:rPr>
          <w:rFonts w:hint="eastAsia"/>
          <w:color w:val="auto"/>
          <w:sz w:val="24"/>
          <w:highlight w:val="none"/>
          <w:lang w:eastAsia="zh-CN"/>
        </w:rPr>
        <w:t>至辰泰（辽宁）生物科技有限公司做有机肥；</w:t>
      </w:r>
      <w:r>
        <w:rPr>
          <w:color w:val="auto"/>
          <w:sz w:val="24"/>
          <w:highlight w:val="none"/>
        </w:rPr>
        <w:t>病死鸡</w:t>
      </w:r>
      <w:r>
        <w:rPr>
          <w:rFonts w:hint="eastAsia"/>
          <w:color w:val="auto"/>
          <w:sz w:val="24"/>
          <w:highlight w:val="none"/>
          <w:lang w:eastAsia="zh-CN"/>
        </w:rPr>
        <w:t>暂存于冷柜，委托北票市汇宏动物无害化处理有限公司定期运走做无害化</w:t>
      </w:r>
      <w:r>
        <w:rPr>
          <w:color w:val="auto"/>
          <w:sz w:val="24"/>
          <w:highlight w:val="none"/>
        </w:rPr>
        <w:t>处理；</w:t>
      </w:r>
      <w:r>
        <w:rPr>
          <w:color w:val="auto"/>
          <w:sz w:val="24"/>
        </w:rPr>
        <w:t>医疗废物</w:t>
      </w:r>
      <w:r>
        <w:rPr>
          <w:rFonts w:hint="eastAsia"/>
          <w:color w:val="auto"/>
          <w:sz w:val="24"/>
          <w:lang w:eastAsia="zh-CN"/>
        </w:rPr>
        <w:t>暂存于医疗废物暂存间，定期委托有资质单位处置</w:t>
      </w:r>
      <w:r>
        <w:rPr>
          <w:color w:val="auto"/>
          <w:sz w:val="24"/>
        </w:rPr>
        <w:t>；</w:t>
      </w:r>
      <w:r>
        <w:rPr>
          <w:rFonts w:hint="eastAsia"/>
          <w:color w:val="auto"/>
          <w:sz w:val="24"/>
        </w:rPr>
        <w:t>废离子交换树脂由厂家进行更换处理；员工生活产生生活垃圾，厂区内设置垃圾点，定期清运至附近垃圾点</w:t>
      </w:r>
      <w:r>
        <w:rPr>
          <w:color w:val="auto"/>
          <w:sz w:val="24"/>
        </w:rPr>
        <w:t>。</w:t>
      </w:r>
    </w:p>
    <w:p w14:paraId="72ED97AC">
      <w:pPr>
        <w:spacing w:line="360" w:lineRule="auto"/>
        <w:ind w:firstLine="480" w:firstLineChars="200"/>
        <w:rPr>
          <w:color w:val="auto"/>
          <w:sz w:val="24"/>
        </w:rPr>
      </w:pPr>
      <w:r>
        <w:rPr>
          <w:rFonts w:hint="eastAsia"/>
          <w:color w:val="auto"/>
          <w:sz w:val="24"/>
        </w:rPr>
        <w:t>综上，</w:t>
      </w:r>
      <w:r>
        <w:rPr>
          <w:color w:val="auto"/>
          <w:sz w:val="24"/>
        </w:rPr>
        <w:t>各污染物</w:t>
      </w:r>
      <w:r>
        <w:rPr>
          <w:rFonts w:hint="eastAsia"/>
          <w:color w:val="auto"/>
          <w:sz w:val="24"/>
        </w:rPr>
        <w:t>经处理后</w:t>
      </w:r>
      <w:r>
        <w:rPr>
          <w:color w:val="auto"/>
          <w:sz w:val="24"/>
        </w:rPr>
        <w:t>对周围环境空气、地表水、地下水及敏感点的影响</w:t>
      </w:r>
      <w:r>
        <w:rPr>
          <w:rFonts w:hint="eastAsia"/>
          <w:color w:val="auto"/>
          <w:sz w:val="24"/>
        </w:rPr>
        <w:t>较小。</w:t>
      </w:r>
    </w:p>
    <w:p w14:paraId="350A1CAB">
      <w:pPr>
        <w:pStyle w:val="4"/>
        <w:rPr>
          <w:rFonts w:ascii="Times New Roman" w:hAnsi="Times New Roman" w:eastAsia="宋体"/>
          <w:color w:val="auto"/>
          <w:szCs w:val="24"/>
        </w:rPr>
      </w:pPr>
      <w:bookmarkStart w:id="61" w:name="_Toc20626"/>
      <w:bookmarkStart w:id="62" w:name="_Toc26883"/>
      <w:r>
        <w:rPr>
          <w:rFonts w:hint="eastAsia" w:ascii="Times New Roman" w:hAnsi="Times New Roman" w:eastAsia="宋体"/>
          <w:color w:val="auto"/>
          <w:szCs w:val="24"/>
        </w:rPr>
        <w:t>1</w:t>
      </w:r>
      <w:r>
        <w:rPr>
          <w:rFonts w:ascii="Times New Roman" w:hAnsi="Times New Roman" w:eastAsia="宋体"/>
          <w:color w:val="auto"/>
          <w:szCs w:val="24"/>
        </w:rPr>
        <w:t>.2.3主要结论</w:t>
      </w:r>
      <w:bookmarkEnd w:id="61"/>
      <w:bookmarkEnd w:id="62"/>
    </w:p>
    <w:p w14:paraId="518C2ED5">
      <w:pPr>
        <w:spacing w:line="360" w:lineRule="auto"/>
        <w:ind w:firstLine="480" w:firstLineChars="200"/>
        <w:rPr>
          <w:color w:val="auto"/>
          <w:sz w:val="24"/>
        </w:rPr>
      </w:pPr>
      <w:r>
        <w:rPr>
          <w:color w:val="auto"/>
          <w:sz w:val="24"/>
        </w:rPr>
        <w:t>本项目符合国家及地方产业政策，项目本着从清洁生产入手，对</w:t>
      </w:r>
      <w:r>
        <w:rPr>
          <w:rFonts w:hint="eastAsia"/>
          <w:color w:val="auto"/>
          <w:sz w:val="24"/>
        </w:rPr>
        <w:t>叶酸富硒蛋鸡养殖</w:t>
      </w:r>
      <w:r>
        <w:rPr>
          <w:color w:val="auto"/>
          <w:sz w:val="24"/>
        </w:rPr>
        <w:t>产生的粪污采区了源头污染控制的工程措施切实可行，可实现污水零排放、粪污得到资源化综合利用的环境保护技术要求，在认真落实报告书所述各项污染防治措施后，可实现污染物稳定达标排放，通过加强环境管理和环境监测，杜绝事故发生，本项目建设可被周围环境所接受。因此，从环境保护角度分析，本项目具有可行性。</w:t>
      </w:r>
    </w:p>
    <w:p w14:paraId="5EDBAA72">
      <w:pPr>
        <w:pStyle w:val="3"/>
        <w:jc w:val="both"/>
        <w:rPr>
          <w:rFonts w:eastAsia="宋体"/>
          <w:color w:val="auto"/>
          <w:sz w:val="30"/>
          <w:szCs w:val="30"/>
        </w:rPr>
      </w:pPr>
      <w:bookmarkStart w:id="63" w:name="_Toc16459"/>
      <w:bookmarkStart w:id="64" w:name="_Toc10461"/>
      <w:bookmarkStart w:id="65" w:name="_Toc20412"/>
      <w:r>
        <w:rPr>
          <w:rFonts w:eastAsia="宋体"/>
          <w:color w:val="auto"/>
          <w:sz w:val="30"/>
          <w:szCs w:val="30"/>
        </w:rPr>
        <w:t>1.3环境影响评价工作过程</w:t>
      </w:r>
      <w:bookmarkEnd w:id="63"/>
      <w:bookmarkEnd w:id="64"/>
      <w:bookmarkEnd w:id="65"/>
    </w:p>
    <w:p w14:paraId="35C26C1F">
      <w:pPr>
        <w:pStyle w:val="33"/>
        <w:spacing w:after="0" w:line="360" w:lineRule="auto"/>
        <w:ind w:left="0" w:leftChars="0" w:firstLine="480" w:firstLineChars="200"/>
        <w:rPr>
          <w:color w:val="auto"/>
          <w:sz w:val="24"/>
          <w:highlight w:val="green"/>
        </w:rPr>
      </w:pPr>
      <w:r>
        <w:rPr>
          <w:color w:val="auto"/>
          <w:sz w:val="24"/>
        </w:rPr>
        <w:t>受</w:t>
      </w:r>
      <w:r>
        <w:rPr>
          <w:rFonts w:hint="eastAsia"/>
          <w:color w:val="auto"/>
          <w:sz w:val="24"/>
          <w:lang w:eastAsia="zh-CN"/>
        </w:rPr>
        <w:t>北票天勤农牧科技有限公司</w:t>
      </w:r>
      <w:r>
        <w:rPr>
          <w:color w:val="auto"/>
          <w:sz w:val="24"/>
        </w:rPr>
        <w:t>委托，</w:t>
      </w:r>
      <w:r>
        <w:rPr>
          <w:rFonts w:hint="eastAsia"/>
          <w:color w:val="auto"/>
          <w:sz w:val="24"/>
          <w:lang w:eastAsia="zh-CN"/>
        </w:rPr>
        <w:t>朝阳众信生态环境咨询有限公司</w:t>
      </w:r>
      <w:r>
        <w:rPr>
          <w:color w:val="auto"/>
          <w:sz w:val="24"/>
        </w:rPr>
        <w:t>承担本项目环境影响报告书的编制工作。环评单位接受委托后，先对建设单位提供的各种资料进行研读和梳理，在对本项目基本情况有一定了解后，</w:t>
      </w:r>
      <w:r>
        <w:rPr>
          <w:color w:val="auto"/>
          <w:sz w:val="24"/>
          <w:highlight w:val="none"/>
        </w:rPr>
        <w:t>于202</w:t>
      </w:r>
      <w:r>
        <w:rPr>
          <w:rFonts w:hint="eastAsia"/>
          <w:color w:val="auto"/>
          <w:sz w:val="24"/>
          <w:highlight w:val="none"/>
          <w:lang w:val="en-US" w:eastAsia="zh-CN"/>
        </w:rPr>
        <w:t>4</w:t>
      </w:r>
      <w:r>
        <w:rPr>
          <w:color w:val="auto"/>
          <w:sz w:val="24"/>
          <w:highlight w:val="none"/>
        </w:rPr>
        <w:t>年</w:t>
      </w:r>
      <w:r>
        <w:rPr>
          <w:rFonts w:hint="eastAsia"/>
          <w:color w:val="auto"/>
          <w:sz w:val="24"/>
          <w:highlight w:val="none"/>
          <w:lang w:val="en-US" w:eastAsia="zh-CN"/>
        </w:rPr>
        <w:t>12</w:t>
      </w:r>
      <w:r>
        <w:rPr>
          <w:color w:val="auto"/>
          <w:sz w:val="24"/>
          <w:highlight w:val="none"/>
        </w:rPr>
        <w:t>月到项目建设地</w:t>
      </w:r>
      <w:r>
        <w:rPr>
          <w:rFonts w:hint="eastAsia"/>
          <w:color w:val="auto"/>
          <w:sz w:val="24"/>
          <w:highlight w:val="none"/>
          <w:lang w:eastAsia="zh-CN"/>
        </w:rPr>
        <w:t>辽宁省朝阳市北票市西官镇大巴里村</w:t>
      </w:r>
      <w:r>
        <w:rPr>
          <w:color w:val="auto"/>
          <w:sz w:val="24"/>
          <w:highlight w:val="none"/>
        </w:rPr>
        <w:t>进行实地踏勘，对项目区周边环境进行走访调查，同时收集项目所在地区的相关资料，在项目四周进行调查取证。随后编制出《</w:t>
      </w:r>
      <w:r>
        <w:rPr>
          <w:rFonts w:hint="eastAsia"/>
          <w:color w:val="auto"/>
          <w:sz w:val="24"/>
          <w:highlight w:val="none"/>
          <w:lang w:eastAsia="zh-CN"/>
        </w:rPr>
        <w:t>北票天勤农牧科技有限公司100万只蛋鸡养殖基地建设项目</w:t>
      </w:r>
      <w:r>
        <w:rPr>
          <w:color w:val="auto"/>
          <w:sz w:val="24"/>
          <w:highlight w:val="none"/>
        </w:rPr>
        <w:t>环境现状监测方案》交由项目建设单位，由建设单位委托朝阳彤天环保发展有限公司对项目区及附近的环境空气、地下水、声环境、土壤环境质量现状进行监测。</w:t>
      </w:r>
    </w:p>
    <w:p w14:paraId="5F3A972C">
      <w:pPr>
        <w:pStyle w:val="33"/>
        <w:spacing w:after="0" w:line="360" w:lineRule="auto"/>
        <w:ind w:left="0" w:leftChars="0" w:firstLine="480" w:firstLineChars="200"/>
        <w:rPr>
          <w:color w:val="auto"/>
          <w:sz w:val="24"/>
        </w:rPr>
      </w:pPr>
      <w:r>
        <w:rPr>
          <w:color w:val="auto"/>
          <w:sz w:val="24"/>
        </w:rPr>
        <w:t>根据建设单位提供的资料，结合项目工程特点和选址的环境特征，依据环评相关的法律、法规、部门规章、技术导则等，在现场调查和收集、分析有关资料的基础上，编制《</w:t>
      </w:r>
      <w:r>
        <w:rPr>
          <w:rFonts w:hint="eastAsia"/>
          <w:color w:val="auto"/>
          <w:sz w:val="24"/>
          <w:lang w:eastAsia="zh-CN"/>
        </w:rPr>
        <w:t>北票天勤农牧科技有限公司100万只蛋鸡养殖基地建设项目</w:t>
      </w:r>
      <w:r>
        <w:rPr>
          <w:color w:val="auto"/>
          <w:sz w:val="24"/>
        </w:rPr>
        <w:t>环境影响报告书》</w:t>
      </w:r>
    </w:p>
    <w:p w14:paraId="1BC217F0">
      <w:pPr>
        <w:spacing w:line="360" w:lineRule="auto"/>
        <w:ind w:firstLine="482"/>
        <w:rPr>
          <w:color w:val="auto"/>
          <w:sz w:val="24"/>
        </w:rPr>
      </w:pPr>
      <w:r>
        <w:rPr>
          <w:color w:val="auto"/>
          <w:sz w:val="24"/>
        </w:rPr>
        <w:t>环境影响评价工作具体评价工作程序见图1</w:t>
      </w:r>
      <w:r>
        <w:rPr>
          <w:rFonts w:hint="eastAsia"/>
          <w:color w:val="auto"/>
          <w:sz w:val="24"/>
          <w:lang w:val="en-US" w:eastAsia="zh-CN"/>
        </w:rPr>
        <w:t>.3</w:t>
      </w:r>
      <w:r>
        <w:rPr>
          <w:color w:val="auto"/>
          <w:sz w:val="24"/>
        </w:rPr>
        <w:t>-1。</w:t>
      </w:r>
    </w:p>
    <w:p w14:paraId="75C4653C">
      <w:pPr>
        <w:spacing w:line="360" w:lineRule="auto"/>
        <w:ind w:firstLine="420" w:firstLineChars="200"/>
        <w:rPr>
          <w:color w:val="auto"/>
          <w:kern w:val="0"/>
          <w:sz w:val="24"/>
        </w:rPr>
      </w:pPr>
      <w:r>
        <w:rPr>
          <w:color w:val="auto"/>
        </w:rPr>
        <mc:AlternateContent>
          <mc:Choice Requires="wpg">
            <w:drawing>
              <wp:inline distT="0" distB="0" distL="114300" distR="114300">
                <wp:extent cx="4900930" cy="7497445"/>
                <wp:effectExtent l="6350" t="6350" r="7620" b="20955"/>
                <wp:docPr id="40" name="组合 3"/>
                <wp:cNvGraphicFramePr/>
                <a:graphic xmlns:a="http://schemas.openxmlformats.org/drawingml/2006/main">
                  <a:graphicData uri="http://schemas.microsoft.com/office/word/2010/wordprocessingGroup">
                    <wpg:wgp>
                      <wpg:cNvGrpSpPr>
                        <a:grpSpLocks noRot="1"/>
                      </wpg:cNvGrpSpPr>
                      <wpg:grpSpPr>
                        <a:xfrm>
                          <a:off x="0" y="0"/>
                          <a:ext cx="4900930" cy="7497445"/>
                          <a:chOff x="2027" y="4356"/>
                          <a:chExt cx="7411" cy="10217"/>
                        </a:xfrm>
                      </wpg:grpSpPr>
                      <wps:wsp>
                        <wps:cNvPr id="8" name="文本框 4"/>
                        <wps:cNvSpPr txBox="1"/>
                        <wps:spPr>
                          <a:xfrm>
                            <a:off x="3655" y="5361"/>
                            <a:ext cx="4359" cy="370"/>
                          </a:xfrm>
                          <a:prstGeom prst="rect">
                            <a:avLst/>
                          </a:prstGeom>
                          <a:solidFill>
                            <a:srgbClr val="FFFFFF"/>
                          </a:solidFill>
                          <a:ln w="12700" cap="flat" cmpd="sng">
                            <a:solidFill>
                              <a:schemeClr val="tx1"/>
                            </a:solidFill>
                            <a:prstDash val="solid"/>
                            <a:miter/>
                            <a:headEnd type="none" w="med" len="med"/>
                            <a:tailEnd type="none" w="med" len="med"/>
                          </a:ln>
                        </wps:spPr>
                        <wps:txbx>
                          <w:txbxContent>
                            <w:p w14:paraId="10E79B5B">
                              <w:pPr>
                                <w:jc w:val="center"/>
                                <w:rPr>
                                  <w:szCs w:val="21"/>
                                </w:rPr>
                              </w:pPr>
                              <w:r>
                                <w:rPr>
                                  <w:rFonts w:hint="eastAsia"/>
                                  <w:szCs w:val="21"/>
                                </w:rPr>
                                <w:t>依据相关规定确定环境影响评价文件的类型</w:t>
                              </w:r>
                            </w:p>
                          </w:txbxContent>
                        </wps:txbx>
                        <wps:bodyPr wrap="square" upright="1"/>
                      </wps:wsp>
                      <wps:wsp>
                        <wps:cNvPr id="9" name="文本框 5"/>
                        <wps:cNvSpPr txBox="1"/>
                        <wps:spPr>
                          <a:xfrm>
                            <a:off x="3950" y="6102"/>
                            <a:ext cx="3771" cy="961"/>
                          </a:xfrm>
                          <a:prstGeom prst="rect">
                            <a:avLst/>
                          </a:prstGeom>
                          <a:solidFill>
                            <a:srgbClr val="FFFFFF"/>
                          </a:solidFill>
                          <a:ln w="12700" cap="flat" cmpd="sng">
                            <a:solidFill>
                              <a:schemeClr val="tx1"/>
                            </a:solidFill>
                            <a:prstDash val="solid"/>
                            <a:miter/>
                            <a:headEnd type="none" w="med" len="med"/>
                            <a:tailEnd type="none" w="med" len="med"/>
                          </a:ln>
                        </wps:spPr>
                        <wps:txbx>
                          <w:txbxContent>
                            <w:p w14:paraId="4E675E40">
                              <w:pPr>
                                <w:rPr>
                                  <w:szCs w:val="21"/>
                                </w:rPr>
                              </w:pPr>
                              <w:r>
                                <w:rPr>
                                  <w:szCs w:val="21"/>
                                </w:rPr>
                                <w:t>1.</w:t>
                              </w:r>
                              <w:r>
                                <w:rPr>
                                  <w:rFonts w:hint="eastAsia"/>
                                  <w:szCs w:val="21"/>
                                </w:rPr>
                                <w:t>研究相关技术文件和其他有关文件</w:t>
                              </w:r>
                            </w:p>
                            <w:p w14:paraId="36CF07AF">
                              <w:pPr>
                                <w:rPr>
                                  <w:szCs w:val="21"/>
                                </w:rPr>
                              </w:pPr>
                              <w:r>
                                <w:rPr>
                                  <w:szCs w:val="21"/>
                                </w:rPr>
                                <w:t>2.</w:t>
                              </w:r>
                              <w:r>
                                <w:rPr>
                                  <w:rFonts w:hint="eastAsia"/>
                                  <w:szCs w:val="21"/>
                                </w:rPr>
                                <w:t>进行初步工程分析</w:t>
                              </w:r>
                            </w:p>
                            <w:p w14:paraId="24BD338F">
                              <w:pPr>
                                <w:rPr>
                                  <w:szCs w:val="21"/>
                                </w:rPr>
                              </w:pPr>
                              <w:r>
                                <w:rPr>
                                  <w:szCs w:val="21"/>
                                </w:rPr>
                                <w:t>3.</w:t>
                              </w:r>
                              <w:r>
                                <w:rPr>
                                  <w:rFonts w:hint="eastAsia"/>
                                  <w:szCs w:val="21"/>
                                </w:rPr>
                                <w:t>开展初步的环境现状调查</w:t>
                              </w:r>
                            </w:p>
                          </w:txbxContent>
                        </wps:txbx>
                        <wps:bodyPr wrap="square" upright="1"/>
                      </wps:wsp>
                      <wps:wsp>
                        <wps:cNvPr id="10" name="直线 7"/>
                        <wps:cNvCnPr/>
                        <wps:spPr>
                          <a:xfrm>
                            <a:off x="5827" y="7076"/>
                            <a:ext cx="2" cy="266"/>
                          </a:xfrm>
                          <a:prstGeom prst="line">
                            <a:avLst/>
                          </a:prstGeom>
                          <a:ln w="12700" cap="flat" cmpd="sng">
                            <a:solidFill>
                              <a:schemeClr val="tx1"/>
                            </a:solidFill>
                            <a:prstDash val="solid"/>
                            <a:headEnd type="none" w="med" len="med"/>
                            <a:tailEnd type="triangle" w="med" len="med"/>
                          </a:ln>
                        </wps:spPr>
                        <wps:bodyPr/>
                      </wps:wsp>
                      <wps:wsp>
                        <wps:cNvPr id="11" name="文本框 253"/>
                        <wps:cNvSpPr txBox="1"/>
                        <wps:spPr>
                          <a:xfrm>
                            <a:off x="3881" y="7381"/>
                            <a:ext cx="3782" cy="910"/>
                          </a:xfrm>
                          <a:prstGeom prst="rect">
                            <a:avLst/>
                          </a:prstGeom>
                          <a:solidFill>
                            <a:srgbClr val="FFFFFF"/>
                          </a:solidFill>
                          <a:ln w="12700" cap="flat" cmpd="sng">
                            <a:solidFill>
                              <a:schemeClr val="tx1"/>
                            </a:solidFill>
                            <a:prstDash val="solid"/>
                            <a:miter/>
                            <a:headEnd type="none" w="med" len="med"/>
                            <a:tailEnd type="none" w="med" len="med"/>
                          </a:ln>
                        </wps:spPr>
                        <wps:txbx>
                          <w:txbxContent>
                            <w:p w14:paraId="74E66915">
                              <w:pPr>
                                <w:rPr>
                                  <w:szCs w:val="21"/>
                                </w:rPr>
                              </w:pPr>
                              <w:r>
                                <w:rPr>
                                  <w:szCs w:val="21"/>
                                </w:rPr>
                                <w:t>1.</w:t>
                              </w:r>
                              <w:r>
                                <w:rPr>
                                  <w:rFonts w:hint="eastAsia"/>
                                  <w:szCs w:val="21"/>
                                </w:rPr>
                                <w:t>环境影响因素识别与评价因子筛选</w:t>
                              </w:r>
                            </w:p>
                            <w:p w14:paraId="42713680">
                              <w:pPr>
                                <w:rPr>
                                  <w:szCs w:val="21"/>
                                </w:rPr>
                              </w:pPr>
                              <w:r>
                                <w:rPr>
                                  <w:szCs w:val="21"/>
                                </w:rPr>
                                <w:t>2.</w:t>
                              </w:r>
                              <w:r>
                                <w:rPr>
                                  <w:rFonts w:hint="eastAsia"/>
                                  <w:szCs w:val="21"/>
                                </w:rPr>
                                <w:t>明确评价重点和环境保护目标</w:t>
                              </w:r>
                            </w:p>
                            <w:p w14:paraId="4216F006">
                              <w:pPr>
                                <w:rPr>
                                  <w:szCs w:val="21"/>
                                </w:rPr>
                              </w:pPr>
                              <w:r>
                                <w:rPr>
                                  <w:szCs w:val="21"/>
                                </w:rPr>
                                <w:t>3.</w:t>
                              </w:r>
                              <w:r>
                                <w:rPr>
                                  <w:rFonts w:hint="eastAsia"/>
                                  <w:szCs w:val="21"/>
                                </w:rPr>
                                <w:t>确定工作等级和评价范围</w:t>
                              </w:r>
                            </w:p>
                          </w:txbxContent>
                        </wps:txbx>
                        <wps:bodyPr wrap="square" upright="1"/>
                      </wps:wsp>
                      <wps:wsp>
                        <wps:cNvPr id="12" name="直线 9"/>
                        <wps:cNvCnPr/>
                        <wps:spPr>
                          <a:xfrm>
                            <a:off x="5795" y="8318"/>
                            <a:ext cx="1" cy="292"/>
                          </a:xfrm>
                          <a:prstGeom prst="line">
                            <a:avLst/>
                          </a:prstGeom>
                          <a:ln w="12700" cap="flat" cmpd="sng">
                            <a:solidFill>
                              <a:schemeClr val="tx1"/>
                            </a:solidFill>
                            <a:prstDash val="solid"/>
                            <a:headEnd type="none" w="med" len="med"/>
                            <a:tailEnd type="triangle" w="med" len="med"/>
                          </a:ln>
                        </wps:spPr>
                        <wps:bodyPr/>
                      </wps:wsp>
                      <wps:wsp>
                        <wps:cNvPr id="13" name="文本框 255"/>
                        <wps:cNvSpPr txBox="1"/>
                        <wps:spPr>
                          <a:xfrm>
                            <a:off x="4987" y="8642"/>
                            <a:ext cx="1585" cy="437"/>
                          </a:xfrm>
                          <a:prstGeom prst="rect">
                            <a:avLst/>
                          </a:prstGeom>
                          <a:solidFill>
                            <a:srgbClr val="FFFFFF"/>
                          </a:solidFill>
                          <a:ln w="12700" cap="flat" cmpd="sng">
                            <a:solidFill>
                              <a:schemeClr val="tx1"/>
                            </a:solidFill>
                            <a:prstDash val="solid"/>
                            <a:miter/>
                            <a:headEnd type="none" w="med" len="med"/>
                            <a:tailEnd type="none" w="med" len="med"/>
                          </a:ln>
                        </wps:spPr>
                        <wps:txbx>
                          <w:txbxContent>
                            <w:p w14:paraId="15534A91">
                              <w:pPr>
                                <w:rPr>
                                  <w:szCs w:val="21"/>
                                </w:rPr>
                              </w:pPr>
                              <w:r>
                                <w:rPr>
                                  <w:rFonts w:hint="eastAsia"/>
                                  <w:szCs w:val="21"/>
                                </w:rPr>
                                <w:t>制定工作方案</w:t>
                              </w:r>
                            </w:p>
                          </w:txbxContent>
                        </wps:txbx>
                        <wps:bodyPr wrap="square" upright="1"/>
                      </wps:wsp>
                      <wps:wsp>
                        <wps:cNvPr id="14" name="直线 11"/>
                        <wps:cNvCnPr/>
                        <wps:spPr>
                          <a:xfrm>
                            <a:off x="5761" y="9131"/>
                            <a:ext cx="0" cy="456"/>
                          </a:xfrm>
                          <a:prstGeom prst="line">
                            <a:avLst/>
                          </a:prstGeom>
                          <a:ln w="12700" cap="flat" cmpd="sng">
                            <a:solidFill>
                              <a:schemeClr val="tx1"/>
                            </a:solidFill>
                            <a:prstDash val="solid"/>
                            <a:headEnd type="none" w="med" len="med"/>
                            <a:tailEnd type="triangle" w="med" len="med"/>
                          </a:ln>
                        </wps:spPr>
                        <wps:bodyPr/>
                      </wps:wsp>
                      <wps:wsp>
                        <wps:cNvPr id="15" name="文本框 257"/>
                        <wps:cNvSpPr txBox="1"/>
                        <wps:spPr>
                          <a:xfrm>
                            <a:off x="4065" y="11221"/>
                            <a:ext cx="3424" cy="729"/>
                          </a:xfrm>
                          <a:prstGeom prst="rect">
                            <a:avLst/>
                          </a:prstGeom>
                          <a:solidFill>
                            <a:srgbClr val="FFFFFF"/>
                          </a:solidFill>
                          <a:ln w="12700" cap="flat" cmpd="sng">
                            <a:solidFill>
                              <a:schemeClr val="tx1"/>
                            </a:solidFill>
                            <a:prstDash val="solid"/>
                            <a:miter/>
                            <a:headEnd type="none" w="med" len="med"/>
                            <a:tailEnd type="none" w="med" len="med"/>
                          </a:ln>
                        </wps:spPr>
                        <wps:txbx>
                          <w:txbxContent>
                            <w:p w14:paraId="7B190BB3">
                              <w:pPr>
                                <w:rPr>
                                  <w:szCs w:val="21"/>
                                </w:rPr>
                              </w:pPr>
                              <w:r>
                                <w:rPr>
                                  <w:szCs w:val="21"/>
                                </w:rPr>
                                <w:t>1.</w:t>
                              </w:r>
                              <w:r>
                                <w:rPr>
                                  <w:rFonts w:hint="eastAsia"/>
                                  <w:szCs w:val="21"/>
                                </w:rPr>
                                <w:t>各环境要素环境影响预测与评价</w:t>
                              </w:r>
                            </w:p>
                            <w:p w14:paraId="48195FBC">
                              <w:pPr>
                                <w:rPr>
                                  <w:szCs w:val="21"/>
                                </w:rPr>
                              </w:pPr>
                              <w:r>
                                <w:rPr>
                                  <w:szCs w:val="21"/>
                                </w:rPr>
                                <w:t>2.</w:t>
                              </w:r>
                              <w:r>
                                <w:rPr>
                                  <w:rFonts w:hint="eastAsia"/>
                                  <w:szCs w:val="21"/>
                                </w:rPr>
                                <w:t>各专题环境影响分析与评价</w:t>
                              </w:r>
                            </w:p>
                          </w:txbxContent>
                        </wps:txbx>
                        <wps:bodyPr wrap="square" upright="1"/>
                      </wps:wsp>
                      <wps:wsp>
                        <wps:cNvPr id="16" name="文本框 12"/>
                        <wps:cNvSpPr txBox="1"/>
                        <wps:spPr>
                          <a:xfrm>
                            <a:off x="3640" y="12533"/>
                            <a:ext cx="5003" cy="949"/>
                          </a:xfrm>
                          <a:prstGeom prst="rect">
                            <a:avLst/>
                          </a:prstGeom>
                          <a:solidFill>
                            <a:srgbClr val="FFFFFF"/>
                          </a:solidFill>
                          <a:ln w="12700" cap="flat" cmpd="sng">
                            <a:solidFill>
                              <a:schemeClr val="tx1"/>
                            </a:solidFill>
                            <a:prstDash val="solid"/>
                            <a:miter/>
                            <a:headEnd type="none" w="med" len="med"/>
                            <a:tailEnd type="none" w="med" len="med"/>
                          </a:ln>
                        </wps:spPr>
                        <wps:txbx>
                          <w:txbxContent>
                            <w:p w14:paraId="45A88015">
                              <w:pPr>
                                <w:rPr>
                                  <w:szCs w:val="21"/>
                                </w:rPr>
                              </w:pPr>
                              <w:r>
                                <w:rPr>
                                  <w:szCs w:val="21"/>
                                </w:rPr>
                                <w:t>1.</w:t>
                              </w:r>
                              <w:r>
                                <w:rPr>
                                  <w:rFonts w:hint="eastAsia"/>
                                  <w:szCs w:val="21"/>
                                </w:rPr>
                                <w:t>给出建设项目环境可行性的评价结论</w:t>
                              </w:r>
                            </w:p>
                            <w:p w14:paraId="5FADBB36">
                              <w:r>
                                <w:rPr>
                                  <w:szCs w:val="21"/>
                                </w:rPr>
                                <w:t>2.</w:t>
                              </w:r>
                              <w:r>
                                <w:rPr>
                                  <w:rFonts w:hint="eastAsia" w:ascii="宋体" w:hAnsi="宋体" w:cs="宋体"/>
                                  <w:szCs w:val="21"/>
                                </w:rPr>
                                <w:t>提出环境保护措施和建议，进行其技术经济论证</w:t>
                              </w:r>
                            </w:p>
                            <w:p w14:paraId="3A53EB74">
                              <w:pPr>
                                <w:rPr>
                                  <w:szCs w:val="21"/>
                                </w:rPr>
                              </w:pPr>
                              <w:r>
                                <w:rPr>
                                  <w:szCs w:val="21"/>
                                </w:rPr>
                                <w:t>3.</w:t>
                              </w:r>
                              <w:r>
                                <w:rPr>
                                  <w:rFonts w:hint="eastAsia"/>
                                  <w:szCs w:val="21"/>
                                </w:rPr>
                                <w:t>给出建设项目环境影响评价结论</w:t>
                              </w:r>
                            </w:p>
                          </w:txbxContent>
                        </wps:txbx>
                        <wps:bodyPr wrap="square" upright="1"/>
                      </wps:wsp>
                      <wps:wsp>
                        <wps:cNvPr id="17" name="直线 14"/>
                        <wps:cNvCnPr/>
                        <wps:spPr>
                          <a:xfrm>
                            <a:off x="6079" y="13482"/>
                            <a:ext cx="0" cy="363"/>
                          </a:xfrm>
                          <a:prstGeom prst="line">
                            <a:avLst/>
                          </a:prstGeom>
                          <a:ln w="12700" cap="flat" cmpd="sng">
                            <a:solidFill>
                              <a:schemeClr val="tx1"/>
                            </a:solidFill>
                            <a:prstDash val="solid"/>
                            <a:headEnd type="none" w="med" len="med"/>
                            <a:tailEnd type="triangle" w="med" len="med"/>
                          </a:ln>
                        </wps:spPr>
                        <wps:bodyPr/>
                      </wps:wsp>
                      <wps:wsp>
                        <wps:cNvPr id="18" name="文本框 260"/>
                        <wps:cNvSpPr txBox="1"/>
                        <wps:spPr>
                          <a:xfrm>
                            <a:off x="4737" y="13845"/>
                            <a:ext cx="2752" cy="437"/>
                          </a:xfrm>
                          <a:prstGeom prst="rect">
                            <a:avLst/>
                          </a:prstGeom>
                          <a:solidFill>
                            <a:srgbClr val="FFFFFF"/>
                          </a:solidFill>
                          <a:ln w="12700" cap="flat" cmpd="sng">
                            <a:solidFill>
                              <a:schemeClr val="tx1"/>
                            </a:solidFill>
                            <a:prstDash val="solid"/>
                            <a:miter/>
                            <a:headEnd type="none" w="med" len="med"/>
                            <a:tailEnd type="none" w="med" len="med"/>
                          </a:ln>
                        </wps:spPr>
                        <wps:txbx>
                          <w:txbxContent>
                            <w:p w14:paraId="6BDB2AF6">
                              <w:pPr>
                                <w:rPr>
                                  <w:szCs w:val="21"/>
                                </w:rPr>
                              </w:pPr>
                              <w:r>
                                <w:rPr>
                                  <w:rFonts w:hint="eastAsia"/>
                                  <w:szCs w:val="21"/>
                                </w:rPr>
                                <w:t>编制环境影响报告书（表）</w:t>
                              </w:r>
                            </w:p>
                          </w:txbxContent>
                        </wps:txbx>
                        <wps:bodyPr wrap="square" upright="1"/>
                      </wps:wsp>
                      <wps:wsp>
                        <wps:cNvPr id="19" name="直线 16"/>
                        <wps:cNvCnPr/>
                        <wps:spPr>
                          <a:xfrm>
                            <a:off x="2042" y="9305"/>
                            <a:ext cx="7396" cy="1"/>
                          </a:xfrm>
                          <a:prstGeom prst="line">
                            <a:avLst/>
                          </a:prstGeom>
                          <a:ln w="12700" cap="flat" cmpd="sng">
                            <a:solidFill>
                              <a:schemeClr val="tx1"/>
                            </a:solidFill>
                            <a:prstDash val="solid"/>
                            <a:headEnd type="none" w="med" len="med"/>
                            <a:tailEnd type="none" w="med" len="med"/>
                          </a:ln>
                        </wps:spPr>
                        <wps:bodyPr/>
                      </wps:wsp>
                      <wps:wsp>
                        <wps:cNvPr id="20" name="直线 17"/>
                        <wps:cNvCnPr/>
                        <wps:spPr>
                          <a:xfrm>
                            <a:off x="2027" y="4356"/>
                            <a:ext cx="7396" cy="0"/>
                          </a:xfrm>
                          <a:prstGeom prst="line">
                            <a:avLst/>
                          </a:prstGeom>
                          <a:ln w="12700" cap="flat" cmpd="sng">
                            <a:solidFill>
                              <a:schemeClr val="tx1"/>
                            </a:solidFill>
                            <a:prstDash val="solid"/>
                            <a:headEnd type="none" w="med" len="med"/>
                            <a:tailEnd type="none" w="med" len="med"/>
                          </a:ln>
                        </wps:spPr>
                        <wps:bodyPr/>
                      </wps:wsp>
                      <wps:wsp>
                        <wps:cNvPr id="21" name="文本框 15"/>
                        <wps:cNvSpPr txBox="1"/>
                        <wps:spPr>
                          <a:xfrm>
                            <a:off x="2203" y="5959"/>
                            <a:ext cx="529" cy="1603"/>
                          </a:xfrm>
                          <a:prstGeom prst="rect">
                            <a:avLst/>
                          </a:prstGeom>
                          <a:solidFill>
                            <a:srgbClr val="FFFFFF"/>
                          </a:solidFill>
                          <a:ln w="12700" cmpd="sng">
                            <a:solidFill>
                              <a:schemeClr val="tx1"/>
                            </a:solidFill>
                            <a:prstDash val="solid"/>
                          </a:ln>
                        </wps:spPr>
                        <wps:txbx>
                          <w:txbxContent>
                            <w:p w14:paraId="2371B60A">
                              <w:pPr>
                                <w:ind w:firstLine="420"/>
                                <w:rPr>
                                  <w:szCs w:val="21"/>
                                </w:rPr>
                              </w:pPr>
                              <w:r>
                                <w:rPr>
                                  <w:rFonts w:hint="eastAsia"/>
                                  <w:szCs w:val="21"/>
                                </w:rPr>
                                <w:t>第第一阶段</w:t>
                              </w:r>
                            </w:p>
                          </w:txbxContent>
                        </wps:txbx>
                        <wps:bodyPr wrap="square" upright="1"/>
                      </wps:wsp>
                      <wps:wsp>
                        <wps:cNvPr id="22" name="文本框 18"/>
                        <wps:cNvSpPr txBox="1"/>
                        <wps:spPr>
                          <a:xfrm>
                            <a:off x="2203" y="9860"/>
                            <a:ext cx="529" cy="1603"/>
                          </a:xfrm>
                          <a:prstGeom prst="rect">
                            <a:avLst/>
                          </a:prstGeom>
                          <a:solidFill>
                            <a:srgbClr val="FFFFFF"/>
                          </a:solidFill>
                          <a:ln w="12700" cmpd="sng">
                            <a:solidFill>
                              <a:schemeClr val="tx1"/>
                            </a:solidFill>
                            <a:prstDash val="solid"/>
                          </a:ln>
                        </wps:spPr>
                        <wps:txbx>
                          <w:txbxContent>
                            <w:p w14:paraId="06489E0E">
                              <w:pPr>
                                <w:ind w:firstLine="420"/>
                                <w:rPr>
                                  <w:szCs w:val="21"/>
                                </w:rPr>
                              </w:pPr>
                              <w:r>
                                <w:rPr>
                                  <w:rFonts w:hint="eastAsia"/>
                                  <w:szCs w:val="21"/>
                                </w:rPr>
                                <w:t>第第二阶段</w:t>
                              </w:r>
                            </w:p>
                          </w:txbxContent>
                        </wps:txbx>
                        <wps:bodyPr wrap="square" upright="1"/>
                      </wps:wsp>
                      <wps:wsp>
                        <wps:cNvPr id="23" name="文本框 19"/>
                        <wps:cNvSpPr txBox="1"/>
                        <wps:spPr>
                          <a:xfrm>
                            <a:off x="2203" y="12475"/>
                            <a:ext cx="529" cy="1603"/>
                          </a:xfrm>
                          <a:prstGeom prst="rect">
                            <a:avLst/>
                          </a:prstGeom>
                          <a:solidFill>
                            <a:srgbClr val="FFFFFF"/>
                          </a:solidFill>
                          <a:ln w="12700" cmpd="sng">
                            <a:solidFill>
                              <a:schemeClr val="tx1"/>
                            </a:solidFill>
                            <a:prstDash val="solid"/>
                          </a:ln>
                        </wps:spPr>
                        <wps:txbx>
                          <w:txbxContent>
                            <w:p w14:paraId="088A20A9">
                              <w:pPr>
                                <w:ind w:firstLine="420"/>
                                <w:rPr>
                                  <w:szCs w:val="21"/>
                                </w:rPr>
                              </w:pPr>
                              <w:r>
                                <w:rPr>
                                  <w:rFonts w:hint="eastAsia"/>
                                  <w:szCs w:val="21"/>
                                </w:rPr>
                                <w:t>第第三阶段</w:t>
                              </w:r>
                            </w:p>
                          </w:txbxContent>
                        </wps:txbx>
                        <wps:bodyPr wrap="square" upright="1"/>
                      </wps:wsp>
                      <wps:wsp>
                        <wps:cNvPr id="24" name="直线 21"/>
                        <wps:cNvCnPr/>
                        <wps:spPr>
                          <a:xfrm>
                            <a:off x="3964" y="9617"/>
                            <a:ext cx="3698" cy="0"/>
                          </a:xfrm>
                          <a:prstGeom prst="line">
                            <a:avLst/>
                          </a:prstGeom>
                          <a:ln w="12700" cap="flat" cmpd="sng">
                            <a:solidFill>
                              <a:schemeClr val="tx1"/>
                            </a:solidFill>
                            <a:prstDash val="solid"/>
                            <a:headEnd type="none" w="med" len="med"/>
                            <a:tailEnd type="none" w="med" len="med"/>
                          </a:ln>
                        </wps:spPr>
                        <wps:bodyPr/>
                      </wps:wsp>
                      <wps:wsp>
                        <wps:cNvPr id="25" name="直线 22"/>
                        <wps:cNvCnPr/>
                        <wps:spPr>
                          <a:xfrm>
                            <a:off x="7662" y="9617"/>
                            <a:ext cx="1" cy="292"/>
                          </a:xfrm>
                          <a:prstGeom prst="line">
                            <a:avLst/>
                          </a:prstGeom>
                          <a:ln w="12700" cap="flat" cmpd="sng">
                            <a:solidFill>
                              <a:schemeClr val="tx1"/>
                            </a:solidFill>
                            <a:prstDash val="solid"/>
                            <a:headEnd type="none" w="med" len="med"/>
                            <a:tailEnd type="triangle" w="med" len="med"/>
                          </a:ln>
                        </wps:spPr>
                        <wps:bodyPr/>
                      </wps:wsp>
                      <wps:wsp>
                        <wps:cNvPr id="26" name="文本框 20"/>
                        <wps:cNvSpPr txBox="1"/>
                        <wps:spPr>
                          <a:xfrm>
                            <a:off x="3316" y="9909"/>
                            <a:ext cx="1845" cy="729"/>
                          </a:xfrm>
                          <a:prstGeom prst="rect">
                            <a:avLst/>
                          </a:prstGeom>
                          <a:solidFill>
                            <a:srgbClr val="FFFFFF"/>
                          </a:solidFill>
                          <a:ln w="12700" cap="flat" cmpd="sng">
                            <a:solidFill>
                              <a:schemeClr val="tx1"/>
                            </a:solidFill>
                            <a:prstDash val="solid"/>
                            <a:miter/>
                            <a:headEnd type="none" w="med" len="med"/>
                            <a:tailEnd type="none" w="med" len="med"/>
                          </a:ln>
                        </wps:spPr>
                        <wps:txbx>
                          <w:txbxContent>
                            <w:p w14:paraId="35FF8FBC">
                              <w:pPr>
                                <w:ind w:firstLine="199" w:firstLineChars="95"/>
                                <w:jc w:val="left"/>
                                <w:rPr>
                                  <w:szCs w:val="21"/>
                                </w:rPr>
                              </w:pPr>
                              <w:r>
                                <w:rPr>
                                  <w:rFonts w:hint="eastAsia"/>
                                  <w:szCs w:val="21"/>
                                </w:rPr>
                                <w:t>环境现状调查</w:t>
                              </w:r>
                            </w:p>
                            <w:p w14:paraId="485F0F65">
                              <w:pPr>
                                <w:ind w:firstLine="199" w:firstLineChars="95"/>
                                <w:jc w:val="left"/>
                                <w:rPr>
                                  <w:szCs w:val="21"/>
                                </w:rPr>
                              </w:pPr>
                              <w:r>
                                <w:rPr>
                                  <w:rFonts w:hint="eastAsia"/>
                                  <w:szCs w:val="21"/>
                                </w:rPr>
                                <w:t>监测与评价</w:t>
                              </w:r>
                            </w:p>
                          </w:txbxContent>
                        </wps:txbx>
                        <wps:bodyPr wrap="square" upright="1"/>
                      </wps:wsp>
                      <wps:wsp>
                        <wps:cNvPr id="27" name="文本框 23"/>
                        <wps:cNvSpPr txBox="1"/>
                        <wps:spPr>
                          <a:xfrm>
                            <a:off x="7134" y="9909"/>
                            <a:ext cx="1233" cy="729"/>
                          </a:xfrm>
                          <a:prstGeom prst="rect">
                            <a:avLst/>
                          </a:prstGeom>
                          <a:solidFill>
                            <a:srgbClr val="FFFFFF"/>
                          </a:solidFill>
                          <a:ln w="12700" cap="flat" cmpd="sng">
                            <a:solidFill>
                              <a:schemeClr val="tx1"/>
                            </a:solidFill>
                            <a:prstDash val="solid"/>
                            <a:miter/>
                            <a:headEnd type="none" w="med" len="med"/>
                            <a:tailEnd type="none" w="med" len="med"/>
                          </a:ln>
                        </wps:spPr>
                        <wps:txbx>
                          <w:txbxContent>
                            <w:p w14:paraId="490DAE68">
                              <w:pPr>
                                <w:rPr>
                                  <w:szCs w:val="21"/>
                                </w:rPr>
                              </w:pPr>
                              <w:r>
                                <w:rPr>
                                  <w:rFonts w:hint="eastAsia"/>
                                  <w:szCs w:val="21"/>
                                </w:rPr>
                                <w:t>建设项目</w:t>
                              </w:r>
                            </w:p>
                            <w:p w14:paraId="2DEAE42B">
                              <w:pPr>
                                <w:rPr>
                                  <w:szCs w:val="21"/>
                                </w:rPr>
                              </w:pPr>
                              <w:r>
                                <w:rPr>
                                  <w:rFonts w:hint="eastAsia"/>
                                  <w:szCs w:val="21"/>
                                </w:rPr>
                                <w:t>工程分析</w:t>
                              </w:r>
                            </w:p>
                          </w:txbxContent>
                        </wps:txbx>
                        <wps:bodyPr wrap="square" upright="1"/>
                      </wps:wsp>
                      <wps:wsp>
                        <wps:cNvPr id="28" name="直线 25"/>
                        <wps:cNvCnPr/>
                        <wps:spPr>
                          <a:xfrm>
                            <a:off x="3964" y="10929"/>
                            <a:ext cx="3874" cy="0"/>
                          </a:xfrm>
                          <a:prstGeom prst="line">
                            <a:avLst/>
                          </a:prstGeom>
                          <a:ln w="12700" cap="flat" cmpd="sng">
                            <a:solidFill>
                              <a:schemeClr val="tx1"/>
                            </a:solidFill>
                            <a:prstDash val="solid"/>
                            <a:headEnd type="none" w="med" len="med"/>
                            <a:tailEnd type="none" w="med" len="med"/>
                          </a:ln>
                        </wps:spPr>
                        <wps:bodyPr/>
                      </wps:wsp>
                      <wps:wsp>
                        <wps:cNvPr id="29" name="直线 26"/>
                        <wps:cNvCnPr/>
                        <wps:spPr>
                          <a:xfrm>
                            <a:off x="6033" y="10929"/>
                            <a:ext cx="1" cy="292"/>
                          </a:xfrm>
                          <a:prstGeom prst="line">
                            <a:avLst/>
                          </a:prstGeom>
                          <a:ln w="12700" cap="flat" cmpd="sng">
                            <a:solidFill>
                              <a:schemeClr val="tx1"/>
                            </a:solidFill>
                            <a:prstDash val="solid"/>
                            <a:headEnd type="none" w="med" len="med"/>
                            <a:tailEnd type="triangle" w="med" len="med"/>
                          </a:ln>
                        </wps:spPr>
                        <wps:bodyPr/>
                      </wps:wsp>
                      <wps:wsp>
                        <wps:cNvPr id="30" name="直线 27"/>
                        <wps:cNvCnPr/>
                        <wps:spPr>
                          <a:xfrm>
                            <a:off x="6078" y="11950"/>
                            <a:ext cx="1" cy="583"/>
                          </a:xfrm>
                          <a:prstGeom prst="line">
                            <a:avLst/>
                          </a:prstGeom>
                          <a:ln w="12700" cap="flat" cmpd="sng">
                            <a:solidFill>
                              <a:schemeClr val="tx1"/>
                            </a:solidFill>
                            <a:prstDash val="solid"/>
                            <a:headEnd type="none" w="med" len="med"/>
                            <a:tailEnd type="triangle" w="med" len="med"/>
                          </a:ln>
                        </wps:spPr>
                        <wps:bodyPr/>
                      </wps:wsp>
                      <wps:wsp>
                        <wps:cNvPr id="31" name="直线 28"/>
                        <wps:cNvCnPr/>
                        <wps:spPr>
                          <a:xfrm>
                            <a:off x="3964" y="9617"/>
                            <a:ext cx="1" cy="292"/>
                          </a:xfrm>
                          <a:prstGeom prst="line">
                            <a:avLst/>
                          </a:prstGeom>
                          <a:ln w="12700" cap="flat" cmpd="sng">
                            <a:solidFill>
                              <a:schemeClr val="tx1"/>
                            </a:solidFill>
                            <a:prstDash val="solid"/>
                            <a:headEnd type="none" w="med" len="med"/>
                            <a:tailEnd type="triangle" w="med" len="med"/>
                          </a:ln>
                        </wps:spPr>
                        <wps:bodyPr/>
                      </wps:wsp>
                      <wps:wsp>
                        <wps:cNvPr id="32" name="直线 29"/>
                        <wps:cNvCnPr/>
                        <wps:spPr>
                          <a:xfrm>
                            <a:off x="7662" y="9617"/>
                            <a:ext cx="1" cy="292"/>
                          </a:xfrm>
                          <a:prstGeom prst="line">
                            <a:avLst/>
                          </a:prstGeom>
                          <a:ln w="12700" cap="flat" cmpd="sng">
                            <a:solidFill>
                              <a:schemeClr val="tx1"/>
                            </a:solidFill>
                            <a:prstDash val="solid"/>
                            <a:headEnd type="none" w="med" len="med"/>
                            <a:tailEnd type="triangle" w="med" len="med"/>
                          </a:ln>
                        </wps:spPr>
                        <wps:bodyPr/>
                      </wps:wsp>
                      <wps:wsp>
                        <wps:cNvPr id="33" name="直线 30"/>
                        <wps:cNvCnPr/>
                        <wps:spPr>
                          <a:xfrm>
                            <a:off x="3964" y="10638"/>
                            <a:ext cx="1" cy="291"/>
                          </a:xfrm>
                          <a:prstGeom prst="line">
                            <a:avLst/>
                          </a:prstGeom>
                          <a:ln w="12700" cap="flat" cmpd="sng">
                            <a:solidFill>
                              <a:schemeClr val="tx1"/>
                            </a:solidFill>
                            <a:prstDash val="solid"/>
                            <a:headEnd type="none" w="med" len="med"/>
                            <a:tailEnd type="none" w="med" len="med"/>
                          </a:ln>
                        </wps:spPr>
                        <wps:bodyPr/>
                      </wps:wsp>
                      <wps:wsp>
                        <wps:cNvPr id="34" name="直线 31"/>
                        <wps:cNvCnPr/>
                        <wps:spPr>
                          <a:xfrm>
                            <a:off x="7838" y="10638"/>
                            <a:ext cx="1" cy="291"/>
                          </a:xfrm>
                          <a:prstGeom prst="line">
                            <a:avLst/>
                          </a:prstGeom>
                          <a:ln w="12700" cap="flat" cmpd="sng">
                            <a:solidFill>
                              <a:schemeClr val="tx1"/>
                            </a:solidFill>
                            <a:prstDash val="solid"/>
                            <a:headEnd type="none" w="med" len="med"/>
                            <a:tailEnd type="none" w="med" len="med"/>
                          </a:ln>
                        </wps:spPr>
                        <wps:bodyPr/>
                      </wps:wsp>
                      <wps:wsp>
                        <wps:cNvPr id="35" name="直线 32"/>
                        <wps:cNvCnPr/>
                        <wps:spPr>
                          <a:xfrm>
                            <a:off x="2027" y="4370"/>
                            <a:ext cx="1" cy="10203"/>
                          </a:xfrm>
                          <a:prstGeom prst="line">
                            <a:avLst/>
                          </a:prstGeom>
                          <a:ln w="12700" cap="flat" cmpd="sng">
                            <a:solidFill>
                              <a:schemeClr val="tx1"/>
                            </a:solidFill>
                            <a:prstDash val="solid"/>
                            <a:headEnd type="none" w="med" len="med"/>
                            <a:tailEnd type="none" w="med" len="med"/>
                          </a:ln>
                        </wps:spPr>
                        <wps:bodyPr/>
                      </wps:wsp>
                      <wps:wsp>
                        <wps:cNvPr id="36" name="直线 33"/>
                        <wps:cNvCnPr/>
                        <wps:spPr>
                          <a:xfrm>
                            <a:off x="9423" y="4370"/>
                            <a:ext cx="15" cy="10203"/>
                          </a:xfrm>
                          <a:prstGeom prst="line">
                            <a:avLst/>
                          </a:prstGeom>
                          <a:ln w="12700" cap="flat" cmpd="sng">
                            <a:solidFill>
                              <a:schemeClr val="tx1"/>
                            </a:solidFill>
                            <a:prstDash val="solid"/>
                            <a:headEnd type="none" w="med" len="med"/>
                            <a:tailEnd type="none" w="med" len="med"/>
                          </a:ln>
                        </wps:spPr>
                        <wps:bodyPr/>
                      </wps:wsp>
                      <wps:wsp>
                        <wps:cNvPr id="37" name="直线 34"/>
                        <wps:cNvCnPr/>
                        <wps:spPr>
                          <a:xfrm>
                            <a:off x="2028" y="14573"/>
                            <a:ext cx="7396" cy="0"/>
                          </a:xfrm>
                          <a:prstGeom prst="line">
                            <a:avLst/>
                          </a:prstGeom>
                          <a:ln w="12700" cap="flat" cmpd="sng">
                            <a:solidFill>
                              <a:schemeClr val="tx1"/>
                            </a:solidFill>
                            <a:prstDash val="solid"/>
                            <a:headEnd type="none" w="med" len="med"/>
                            <a:tailEnd type="none" w="med" len="med"/>
                          </a:ln>
                        </wps:spPr>
                        <wps:bodyPr/>
                      </wps:wsp>
                      <wps:wsp>
                        <wps:cNvPr id="38" name="直线 35"/>
                        <wps:cNvCnPr/>
                        <wps:spPr>
                          <a:xfrm>
                            <a:off x="5813" y="5770"/>
                            <a:ext cx="1" cy="292"/>
                          </a:xfrm>
                          <a:prstGeom prst="line">
                            <a:avLst/>
                          </a:prstGeom>
                          <a:ln w="12700" cap="flat" cmpd="sng">
                            <a:solidFill>
                              <a:schemeClr val="tx1"/>
                            </a:solidFill>
                            <a:prstDash val="solid"/>
                            <a:headEnd type="none" w="med" len="med"/>
                            <a:tailEnd type="triangle" w="med" len="med"/>
                          </a:ln>
                        </wps:spPr>
                        <wps:bodyPr/>
                      </wps:wsp>
                      <wps:wsp>
                        <wps:cNvPr id="39" name="直线 36"/>
                        <wps:cNvCnPr/>
                        <wps:spPr>
                          <a:xfrm>
                            <a:off x="2027" y="12200"/>
                            <a:ext cx="7396" cy="1"/>
                          </a:xfrm>
                          <a:prstGeom prst="line">
                            <a:avLst/>
                          </a:prstGeom>
                          <a:ln w="12700" cap="flat" cmpd="sng">
                            <a:solidFill>
                              <a:schemeClr val="tx1"/>
                            </a:solidFill>
                            <a:prstDash val="solid"/>
                            <a:headEnd type="none" w="med" len="med"/>
                            <a:tailEnd type="none" w="med" len="med"/>
                          </a:ln>
                        </wps:spPr>
                        <wps:bodyPr/>
                      </wps:wsp>
                    </wpg:wgp>
                  </a:graphicData>
                </a:graphic>
              </wp:inline>
            </w:drawing>
          </mc:Choice>
          <mc:Fallback>
            <w:pict>
              <v:group id="组合 3" o:spid="_x0000_s1026" o:spt="203" style="height:590.35pt;width:385.9pt;" coordorigin="2027,4356" coordsize="7411,10217" o:gfxdata="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&#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">
                <o:lock v:ext="edit" rotation="t" aspectratio="f"/>
                <v:shape id="文本框 4" o:spid="_x0000_s1026" o:spt="202" type="#_x0000_t202" style="position:absolute;left:3655;top:5361;height:370;width:4359;" fillcolor="#FFFFFF" filled="t" stroked="t" coordsize="21600,21600" o:gfxdata="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2phzm5AAAA2gAA&#10;AA8AAAAAAAAAAQAgAAAAIgAAAGRycy9kb3ducmV2LnhtbFBLAQIUABQAAAAIAIdO4kAzLwWeOwAA&#10;ADkAAAAQAAAAAAAAAAEAIAAAAAgBAABkcnMvc2hhcGV4bWwueG1sUEsFBgAAAAAGAAYAWwEAALID&#10;AAAAAA==&#10;">
                  <v:fill on="t" focussize="0,0"/>
                  <v:stroke weight="1pt" color="#000000 [3213]" joinstyle="miter"/>
                  <v:imagedata o:title=""/>
                  <o:lock v:ext="edit" aspectratio="f"/>
                  <v:textbox>
                    <w:txbxContent>
                      <w:p w14:paraId="10E79B5B">
                        <w:pPr>
                          <w:jc w:val="center"/>
                          <w:rPr>
                            <w:szCs w:val="21"/>
                          </w:rPr>
                        </w:pPr>
                        <w:r>
                          <w:rPr>
                            <w:rFonts w:hint="eastAsia"/>
                            <w:szCs w:val="21"/>
                          </w:rPr>
                          <w:t>依据相关规定确定环境影响评价文件的类型</w:t>
                        </w:r>
                      </w:p>
                    </w:txbxContent>
                  </v:textbox>
                </v:shape>
                <v:shape id="文本框 5" o:spid="_x0000_s1026" o:spt="202" type="#_x0000_t202" style="position:absolute;left:3950;top:6102;height:961;width:3771;" fillcolor="#FFFFFF" filled="t" stroked="t" coordsize="21600,21600" o:gfxdata="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uUior4A&#10;AADaAAAADwAAAAAAAAABACAAAAAiAAAAZHJzL2Rvd25yZXYueG1sUEsBAhQAFAAAAAgAh07iQDMv&#10;BZ47AAAAOQAAABAAAAAAAAAAAQAgAAAADQEAAGRycy9zaGFwZXhtbC54bWxQSwUGAAAAAAYABgBb&#10;AQAAtwMAAAAA&#10;">
                  <v:fill on="t" focussize="0,0"/>
                  <v:stroke weight="1pt" color="#000000 [3213]" joinstyle="miter"/>
                  <v:imagedata o:title=""/>
                  <o:lock v:ext="edit" aspectratio="f"/>
                  <v:textbox>
                    <w:txbxContent>
                      <w:p w14:paraId="4E675E40">
                        <w:pPr>
                          <w:rPr>
                            <w:szCs w:val="21"/>
                          </w:rPr>
                        </w:pPr>
                        <w:r>
                          <w:rPr>
                            <w:szCs w:val="21"/>
                          </w:rPr>
                          <w:t>1.</w:t>
                        </w:r>
                        <w:r>
                          <w:rPr>
                            <w:rFonts w:hint="eastAsia"/>
                            <w:szCs w:val="21"/>
                          </w:rPr>
                          <w:t>研究相关技术文件和其他有关文件</w:t>
                        </w:r>
                      </w:p>
                      <w:p w14:paraId="36CF07AF">
                        <w:pPr>
                          <w:rPr>
                            <w:szCs w:val="21"/>
                          </w:rPr>
                        </w:pPr>
                        <w:r>
                          <w:rPr>
                            <w:szCs w:val="21"/>
                          </w:rPr>
                          <w:t>2.</w:t>
                        </w:r>
                        <w:r>
                          <w:rPr>
                            <w:rFonts w:hint="eastAsia"/>
                            <w:szCs w:val="21"/>
                          </w:rPr>
                          <w:t>进行初步工程分析</w:t>
                        </w:r>
                      </w:p>
                      <w:p w14:paraId="24BD338F">
                        <w:pPr>
                          <w:rPr>
                            <w:szCs w:val="21"/>
                          </w:rPr>
                        </w:pPr>
                        <w:r>
                          <w:rPr>
                            <w:szCs w:val="21"/>
                          </w:rPr>
                          <w:t>3.</w:t>
                        </w:r>
                        <w:r>
                          <w:rPr>
                            <w:rFonts w:hint="eastAsia"/>
                            <w:szCs w:val="21"/>
                          </w:rPr>
                          <w:t>开展初步的环境现状调查</w:t>
                        </w:r>
                      </w:p>
                    </w:txbxContent>
                  </v:textbox>
                </v:shape>
                <v:line id="直线 7" o:spid="_x0000_s1026" o:spt="20" style="position:absolute;left:5827;top:7076;height:266;width:2;" filled="f" stroked="t" coordsize="21600,21600" o:gfxdata="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wriZvQAA&#10;ANsAAAAPAAAAAAAAAAEAIAAAACIAAABkcnMvZG93bnJldi54bWxQSwECFAAUAAAACACHTuJAMy8F&#10;njsAAAA5AAAAEAAAAAAAAAABACAAAAAMAQAAZHJzL3NoYXBleG1sLnhtbFBLBQYAAAAABgAGAFsB&#10;AAC2AwAAAAA=&#10;">
                  <v:fill on="f" focussize="0,0"/>
                  <v:stroke weight="1pt" color="#000000 [3213]" joinstyle="round" endarrow="block"/>
                  <v:imagedata o:title=""/>
                  <o:lock v:ext="edit" aspectratio="f"/>
                </v:line>
                <v:shape id="文本框 253" o:spid="_x0000_s1026" o:spt="202" type="#_x0000_t202" style="position:absolute;left:3881;top:7381;height:910;width:3782;" fillcolor="#FFFFFF" filled="t" stroked="t" coordsize="21600,21600" o:gfxdata="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EQxrbsAAADb&#10;AAAADwAAAAAAAAABACAAAAAiAAAAZHJzL2Rvd25yZXYueG1sUEsBAhQAFAAAAAgAh07iQDMvBZ47&#10;AAAAOQAAABAAAAAAAAAAAQAgAAAACgEAAGRycy9zaGFwZXhtbC54bWxQSwUGAAAAAAYABgBbAQAA&#10;tAMAAAAA&#10;">
                  <v:fill on="t" focussize="0,0"/>
                  <v:stroke weight="1pt" color="#000000 [3213]" joinstyle="miter"/>
                  <v:imagedata o:title=""/>
                  <o:lock v:ext="edit" aspectratio="f"/>
                  <v:textbox>
                    <w:txbxContent>
                      <w:p w14:paraId="74E66915">
                        <w:pPr>
                          <w:rPr>
                            <w:szCs w:val="21"/>
                          </w:rPr>
                        </w:pPr>
                        <w:r>
                          <w:rPr>
                            <w:szCs w:val="21"/>
                          </w:rPr>
                          <w:t>1.</w:t>
                        </w:r>
                        <w:r>
                          <w:rPr>
                            <w:rFonts w:hint="eastAsia"/>
                            <w:szCs w:val="21"/>
                          </w:rPr>
                          <w:t>环境影响因素识别与评价因子筛选</w:t>
                        </w:r>
                      </w:p>
                      <w:p w14:paraId="42713680">
                        <w:pPr>
                          <w:rPr>
                            <w:szCs w:val="21"/>
                          </w:rPr>
                        </w:pPr>
                        <w:r>
                          <w:rPr>
                            <w:szCs w:val="21"/>
                          </w:rPr>
                          <w:t>2.</w:t>
                        </w:r>
                        <w:r>
                          <w:rPr>
                            <w:rFonts w:hint="eastAsia"/>
                            <w:szCs w:val="21"/>
                          </w:rPr>
                          <w:t>明确评价重点和环境保护目标</w:t>
                        </w:r>
                      </w:p>
                      <w:p w14:paraId="4216F006">
                        <w:pPr>
                          <w:rPr>
                            <w:szCs w:val="21"/>
                          </w:rPr>
                        </w:pPr>
                        <w:r>
                          <w:rPr>
                            <w:szCs w:val="21"/>
                          </w:rPr>
                          <w:t>3.</w:t>
                        </w:r>
                        <w:r>
                          <w:rPr>
                            <w:rFonts w:hint="eastAsia"/>
                            <w:szCs w:val="21"/>
                          </w:rPr>
                          <w:t>确定工作等级和评价范围</w:t>
                        </w:r>
                      </w:p>
                    </w:txbxContent>
                  </v:textbox>
                </v:shape>
                <v:line id="直线 9" o:spid="_x0000_s1026" o:spt="20" style="position:absolute;left:5795;top:8318;height:292;width:1;" filled="f" stroked="t" coordsize="21600,21600" o:gfxdata="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XIN1vQAA&#10;ANsAAAAPAAAAAAAAAAEAIAAAACIAAABkcnMvZG93bnJldi54bWxQSwECFAAUAAAACACHTuJAMy8F&#10;njsAAAA5AAAAEAAAAAAAAAABACAAAAAMAQAAZHJzL3NoYXBleG1sLnhtbFBLBQYAAAAABgAGAFsB&#10;AAC2AwAAAAA=&#10;">
                  <v:fill on="f" focussize="0,0"/>
                  <v:stroke weight="1pt" color="#000000 [3213]" joinstyle="round" endarrow="block"/>
                  <v:imagedata o:title=""/>
                  <o:lock v:ext="edit" aspectratio="f"/>
                </v:line>
                <v:shape id="文本框 255" o:spid="_x0000_s1026" o:spt="202" type="#_x0000_t202" style="position:absolute;left:4987;top:8642;height:437;width:1585;" fillcolor="#FFFFFF" filled="t" stroked="t" coordsize="21600,21600" o:gfxdata="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aCkG8AAAA&#10;2wAAAA8AAAAAAAAAAQAgAAAAIgAAAGRycy9kb3ducmV2LnhtbFBLAQIUABQAAAAIAIdO4kAzLwWe&#10;OwAAADkAAAAQAAAAAAAAAAEAIAAAAAsBAABkcnMvc2hhcGV4bWwueG1sUEsFBgAAAAAGAAYAWwEA&#10;ALUDAAAAAA==&#10;">
                  <v:fill on="t" focussize="0,0"/>
                  <v:stroke weight="1pt" color="#000000 [3213]" joinstyle="miter"/>
                  <v:imagedata o:title=""/>
                  <o:lock v:ext="edit" aspectratio="f"/>
                  <v:textbox>
                    <w:txbxContent>
                      <w:p w14:paraId="15534A91">
                        <w:pPr>
                          <w:rPr>
                            <w:szCs w:val="21"/>
                          </w:rPr>
                        </w:pPr>
                        <w:r>
                          <w:rPr>
                            <w:rFonts w:hint="eastAsia"/>
                            <w:szCs w:val="21"/>
                          </w:rPr>
                          <w:t>制定工作方案</w:t>
                        </w:r>
                      </w:p>
                    </w:txbxContent>
                  </v:textbox>
                </v:shape>
                <v:line id="直线 11" o:spid="_x0000_s1026" o:spt="20" style="position:absolute;left:5761;top:9131;height:456;width:0;" filled="f" stroked="t" coordsize="21600,21600" o:gfxdata="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b6avQAA&#10;ANsAAAAPAAAAAAAAAAEAIAAAACIAAABkcnMvZG93bnJldi54bWxQSwECFAAUAAAACACHTuJAMy8F&#10;njsAAAA5AAAAEAAAAAAAAAABACAAAAAMAQAAZHJzL3NoYXBleG1sLnhtbFBLBQYAAAAABgAGAFsB&#10;AAC2AwAAAAA=&#10;">
                  <v:fill on="f" focussize="0,0"/>
                  <v:stroke weight="1pt" color="#000000 [3213]" joinstyle="round" endarrow="block"/>
                  <v:imagedata o:title=""/>
                  <o:lock v:ext="edit" aspectratio="f"/>
                </v:line>
                <v:shape id="文本框 257" o:spid="_x0000_s1026" o:spt="202" type="#_x0000_t202" style="position:absolute;left:4065;top:11221;height:729;width:3424;" fillcolor="#FFFFFF" filled="t" stroked="t" coordsize="21600,21600" o:gfxdata="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d/N668AAAA&#10;2wAAAA8AAAAAAAAAAQAgAAAAIgAAAGRycy9kb3ducmV2LnhtbFBLAQIUABQAAAAIAIdO4kAzLwWe&#10;OwAAADkAAAAQAAAAAAAAAAEAIAAAAAsBAABkcnMvc2hhcGV4bWwueG1sUEsFBgAAAAAGAAYAWwEA&#10;ALUDAAAAAA==&#10;">
                  <v:fill on="t" focussize="0,0"/>
                  <v:stroke weight="1pt" color="#000000 [3213]" joinstyle="miter"/>
                  <v:imagedata o:title=""/>
                  <o:lock v:ext="edit" aspectratio="f"/>
                  <v:textbox>
                    <w:txbxContent>
                      <w:p w14:paraId="7B190BB3">
                        <w:pPr>
                          <w:rPr>
                            <w:szCs w:val="21"/>
                          </w:rPr>
                        </w:pPr>
                        <w:r>
                          <w:rPr>
                            <w:szCs w:val="21"/>
                          </w:rPr>
                          <w:t>1.</w:t>
                        </w:r>
                        <w:r>
                          <w:rPr>
                            <w:rFonts w:hint="eastAsia"/>
                            <w:szCs w:val="21"/>
                          </w:rPr>
                          <w:t>各环境要素环境影响预测与评价</w:t>
                        </w:r>
                      </w:p>
                      <w:p w14:paraId="48195FBC">
                        <w:pPr>
                          <w:rPr>
                            <w:szCs w:val="21"/>
                          </w:rPr>
                        </w:pPr>
                        <w:r>
                          <w:rPr>
                            <w:szCs w:val="21"/>
                          </w:rPr>
                          <w:t>2.</w:t>
                        </w:r>
                        <w:r>
                          <w:rPr>
                            <w:rFonts w:hint="eastAsia"/>
                            <w:szCs w:val="21"/>
                          </w:rPr>
                          <w:t>各专题环境影响分析与评价</w:t>
                        </w:r>
                      </w:p>
                    </w:txbxContent>
                  </v:textbox>
                </v:shape>
                <v:shape id="文本框 12" o:spid="_x0000_s1026" o:spt="202" type="#_x0000_t202" style="position:absolute;left:3640;top:12533;height:949;width:5003;" fillcolor="#FFFFFF" filled="t" stroked="t" coordsize="21600,21600" o:gfxdata="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62p2bsAAADb&#10;AAAADwAAAAAAAAABACAAAAAiAAAAZHJzL2Rvd25yZXYueG1sUEsBAhQAFAAAAAgAh07iQDMvBZ47&#10;AAAAOQAAABAAAAAAAAAAAQAgAAAACgEAAGRycy9zaGFwZXhtbC54bWxQSwUGAAAAAAYABgBbAQAA&#10;tAMAAAAA&#10;">
                  <v:fill on="t" focussize="0,0"/>
                  <v:stroke weight="1pt" color="#000000 [3213]" joinstyle="miter"/>
                  <v:imagedata o:title=""/>
                  <o:lock v:ext="edit" aspectratio="f"/>
                  <v:textbox>
                    <w:txbxContent>
                      <w:p w14:paraId="45A88015">
                        <w:pPr>
                          <w:rPr>
                            <w:szCs w:val="21"/>
                          </w:rPr>
                        </w:pPr>
                        <w:r>
                          <w:rPr>
                            <w:szCs w:val="21"/>
                          </w:rPr>
                          <w:t>1.</w:t>
                        </w:r>
                        <w:r>
                          <w:rPr>
                            <w:rFonts w:hint="eastAsia"/>
                            <w:szCs w:val="21"/>
                          </w:rPr>
                          <w:t>给出建设项目环境可行性的评价结论</w:t>
                        </w:r>
                      </w:p>
                      <w:p w14:paraId="5FADBB36">
                        <w:r>
                          <w:rPr>
                            <w:szCs w:val="21"/>
                          </w:rPr>
                          <w:t>2.</w:t>
                        </w:r>
                        <w:r>
                          <w:rPr>
                            <w:rFonts w:hint="eastAsia" w:ascii="宋体" w:hAnsi="宋体" w:cs="宋体"/>
                            <w:szCs w:val="21"/>
                          </w:rPr>
                          <w:t>提出环境保护措施和建议，进行其技术经济论证</w:t>
                        </w:r>
                      </w:p>
                      <w:p w14:paraId="3A53EB74">
                        <w:pPr>
                          <w:rPr>
                            <w:szCs w:val="21"/>
                          </w:rPr>
                        </w:pPr>
                        <w:r>
                          <w:rPr>
                            <w:szCs w:val="21"/>
                          </w:rPr>
                          <w:t>3.</w:t>
                        </w:r>
                        <w:r>
                          <w:rPr>
                            <w:rFonts w:hint="eastAsia"/>
                            <w:szCs w:val="21"/>
                          </w:rPr>
                          <w:t>给出建设项目环境影响评价结论</w:t>
                        </w:r>
                      </w:p>
                    </w:txbxContent>
                  </v:textbox>
                </v:shape>
                <v:line id="直线 14" o:spid="_x0000_s1026" o:spt="20" style="position:absolute;left:6079;top:13482;height:363;width:0;" filled="f" stroked="t" coordsize="21600,21600" o:gfxdata="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KyDtvQAA&#10;ANsAAAAPAAAAAAAAAAEAIAAAACIAAABkcnMvZG93bnJldi54bWxQSwECFAAUAAAACACHTuJAMy8F&#10;njsAAAA5AAAAEAAAAAAAAAABACAAAAAMAQAAZHJzL3NoYXBleG1sLnhtbFBLBQYAAAAABgAGAFsB&#10;AAC2AwAAAAA=&#10;">
                  <v:fill on="f" focussize="0,0"/>
                  <v:stroke weight="1pt" color="#000000 [3213]" joinstyle="round" endarrow="block"/>
                  <v:imagedata o:title=""/>
                  <o:lock v:ext="edit" aspectratio="f"/>
                </v:line>
                <v:shape id="文本框 260" o:spid="_x0000_s1026" o:spt="202" type="#_x0000_t202" style="position:absolute;left:4737;top:13845;height:437;width:2752;" fillcolor="#FFFFFF" filled="t" stroked="t" coordsize="21600,21600" o:gfxdata="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l+mDC/&#10;AAAA2wAAAA8AAAAAAAAAAQAgAAAAIgAAAGRycy9kb3ducmV2LnhtbFBLAQIUABQAAAAIAIdO4kAz&#10;LwWeOwAAADkAAAAQAAAAAAAAAAEAIAAAAA4BAABkcnMvc2hhcGV4bWwueG1sUEsFBgAAAAAGAAYA&#10;WwEAALgDAAAAAA==&#10;">
                  <v:fill on="t" focussize="0,0"/>
                  <v:stroke weight="1pt" color="#000000 [3213]" joinstyle="miter"/>
                  <v:imagedata o:title=""/>
                  <o:lock v:ext="edit" aspectratio="f"/>
                  <v:textbox>
                    <w:txbxContent>
                      <w:p w14:paraId="6BDB2AF6">
                        <w:pPr>
                          <w:rPr>
                            <w:szCs w:val="21"/>
                          </w:rPr>
                        </w:pPr>
                        <w:r>
                          <w:rPr>
                            <w:rFonts w:hint="eastAsia"/>
                            <w:szCs w:val="21"/>
                          </w:rPr>
                          <w:t>编制环境影响报告书（表）</w:t>
                        </w:r>
                      </w:p>
                    </w:txbxContent>
                  </v:textbox>
                </v:shape>
                <v:line id="直线 16" o:spid="_x0000_s1026" o:spt="20" style="position:absolute;left:2042;top:9305;height:1;width:7396;" filled="f" stroked="t" coordsize="21600,21600" o:gfxdata="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OS1I1ugAAANsA&#10;AAAPAAAAAAAAAAEAIAAAACIAAABkcnMvZG93bnJldi54bWxQSwECFAAUAAAACACHTuJAMy8FnjsA&#10;AAA5AAAAEAAAAAAAAAABACAAAAAJAQAAZHJzL3NoYXBleG1sLnhtbFBLBQYAAAAABgAGAFsBAACz&#10;AwAAAAA=&#10;">
                  <v:fill on="f" focussize="0,0"/>
                  <v:stroke weight="1pt" color="#000000 [3213]" joinstyle="round"/>
                  <v:imagedata o:title=""/>
                  <o:lock v:ext="edit" aspectratio="f"/>
                </v:line>
                <v:line id="直线 17" o:spid="_x0000_s1026" o:spt="20" style="position:absolute;left:2027;top:4356;height:0;width:7396;" filled="f" stroked="t" coordsize="21600,21600" o:gfxdata="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R0xFbgAAADbAAAA&#10;DwAAAAAAAAABACAAAAAiAAAAZHJzL2Rvd25yZXYueG1sUEsBAhQAFAAAAAgAh07iQDMvBZ47AAAA&#10;OQAAABAAAAAAAAAAAQAgAAAABwEAAGRycy9zaGFwZXhtbC54bWxQSwUGAAAAAAYABgBbAQAAsQMA&#10;AAAA&#10;">
                  <v:fill on="f" focussize="0,0"/>
                  <v:stroke weight="1pt" color="#000000 [3213]" joinstyle="round"/>
                  <v:imagedata o:title=""/>
                  <o:lock v:ext="edit" aspectratio="f"/>
                </v:line>
                <v:shape id="文本框 15" o:spid="_x0000_s1026" o:spt="202" type="#_x0000_t202" style="position:absolute;left:2203;top:5959;height:1603;width:529;" fillcolor="#FFFFFF" filled="t" stroked="t" coordsize="21600,21600" o:gfxdata="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Yo+xC/&#10;AAAA2wAAAA8AAAAAAAAAAQAgAAAAIgAAAGRycy9kb3ducmV2LnhtbFBLAQIUABQAAAAIAIdO4kAz&#10;LwWeOwAAADkAAAAQAAAAAAAAAAEAIAAAAA4BAABkcnMvc2hhcGV4bWwueG1sUEsFBgAAAAAGAAYA&#10;WwEAALgDAAAAAA==&#10;">
                  <v:fill on="t" focussize="0,0"/>
                  <v:stroke weight="1pt" color="#000000 [3213]" joinstyle="round"/>
                  <v:imagedata o:title=""/>
                  <o:lock v:ext="edit" aspectratio="f"/>
                  <v:textbox>
                    <w:txbxContent>
                      <w:p w14:paraId="2371B60A">
                        <w:pPr>
                          <w:ind w:firstLine="420"/>
                          <w:rPr>
                            <w:szCs w:val="21"/>
                          </w:rPr>
                        </w:pPr>
                        <w:r>
                          <w:rPr>
                            <w:rFonts w:hint="eastAsia"/>
                            <w:szCs w:val="21"/>
                          </w:rPr>
                          <w:t>第第一阶段</w:t>
                        </w:r>
                      </w:p>
                    </w:txbxContent>
                  </v:textbox>
                </v:shape>
                <v:shape id="文本框 18" o:spid="_x0000_s1026" o:spt="202" type="#_x0000_t202" style="position:absolute;left:2203;top:9860;height:1603;width:529;" fillcolor="#FFFFFF" filled="t" stroked="t" coordsize="21600,21600" o:gfxdata="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vplZ74A&#10;AADbAAAADwAAAAAAAAABACAAAAAiAAAAZHJzL2Rvd25yZXYueG1sUEsBAhQAFAAAAAgAh07iQDMv&#10;BZ47AAAAOQAAABAAAAAAAAAAAQAgAAAADQEAAGRycy9zaGFwZXhtbC54bWxQSwUGAAAAAAYABgBb&#10;AQAAtwMAAAAA&#10;">
                  <v:fill on="t" focussize="0,0"/>
                  <v:stroke weight="1pt" color="#000000 [3213]" joinstyle="round"/>
                  <v:imagedata o:title=""/>
                  <o:lock v:ext="edit" aspectratio="f"/>
                  <v:textbox>
                    <w:txbxContent>
                      <w:p w14:paraId="06489E0E">
                        <w:pPr>
                          <w:ind w:firstLine="420"/>
                          <w:rPr>
                            <w:szCs w:val="21"/>
                          </w:rPr>
                        </w:pPr>
                        <w:r>
                          <w:rPr>
                            <w:rFonts w:hint="eastAsia"/>
                            <w:szCs w:val="21"/>
                          </w:rPr>
                          <w:t>第第二阶段</w:t>
                        </w:r>
                      </w:p>
                    </w:txbxContent>
                  </v:textbox>
                </v:shape>
                <v:shape id="文本框 19" o:spid="_x0000_s1026" o:spt="202" type="#_x0000_t202" style="position:absolute;left:2203;top:12475;height:1603;width:529;" fillcolor="#FFFFFF" filled="t" stroked="t" coordsize="21600,21600" o:gfxdata="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m2wPy/&#10;AAAA2wAAAA8AAAAAAAAAAQAgAAAAIgAAAGRycy9kb3ducmV2LnhtbFBLAQIUABQAAAAIAIdO4kAz&#10;LwWeOwAAADkAAAAQAAAAAAAAAAEAIAAAAA4BAABkcnMvc2hhcGV4bWwueG1sUEsFBgAAAAAGAAYA&#10;WwEAALgDAAAAAA==&#10;">
                  <v:fill on="t" focussize="0,0"/>
                  <v:stroke weight="1pt" color="#000000 [3213]" joinstyle="round"/>
                  <v:imagedata o:title=""/>
                  <o:lock v:ext="edit" aspectratio="f"/>
                  <v:textbox>
                    <w:txbxContent>
                      <w:p w14:paraId="088A20A9">
                        <w:pPr>
                          <w:ind w:firstLine="420"/>
                          <w:rPr>
                            <w:szCs w:val="21"/>
                          </w:rPr>
                        </w:pPr>
                        <w:r>
                          <w:rPr>
                            <w:rFonts w:hint="eastAsia"/>
                            <w:szCs w:val="21"/>
                          </w:rPr>
                          <w:t>第第三阶段</w:t>
                        </w:r>
                      </w:p>
                    </w:txbxContent>
                  </v:textbox>
                </v:shape>
                <v:line id="直线 21" o:spid="_x0000_s1026" o:spt="20" style="position:absolute;left:3964;top:9617;height:0;width:3698;" filled="f" stroked="t" coordsize="21600,21600" o:gfxdata="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JjcWvQAA&#10;ANsAAAAPAAAAAAAAAAEAIAAAACIAAABkcnMvZG93bnJldi54bWxQSwECFAAUAAAACACHTuJAMy8F&#10;njsAAAA5AAAAEAAAAAAAAAABACAAAAAMAQAAZHJzL3NoYXBleG1sLnhtbFBLBQYAAAAABgAGAFsB&#10;AAC2AwAAAAA=&#10;">
                  <v:fill on="f" focussize="0,0"/>
                  <v:stroke weight="1pt" color="#000000 [3213]" joinstyle="round"/>
                  <v:imagedata o:title=""/>
                  <o:lock v:ext="edit" aspectratio="f"/>
                </v:line>
                <v:line id="直线 22" o:spid="_x0000_s1026" o:spt="20" style="position:absolute;left:7662;top:9617;height:292;width:1;" filled="f" stroked="t" coordsize="21600,21600" o:gfxdata="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dnRvL4A&#10;AADbAAAADwAAAAAAAAABACAAAAAiAAAAZHJzL2Rvd25yZXYueG1sUEsBAhQAFAAAAAgAh07iQDMv&#10;BZ47AAAAOQAAABAAAAAAAAAAAQAgAAAADQEAAGRycy9zaGFwZXhtbC54bWxQSwUGAAAAAAYABgBb&#10;AQAAtwMAAAAA&#10;">
                  <v:fill on="f" focussize="0,0"/>
                  <v:stroke weight="1pt" color="#000000 [3213]" joinstyle="round" endarrow="block"/>
                  <v:imagedata o:title=""/>
                  <o:lock v:ext="edit" aspectratio="f"/>
                </v:line>
                <v:shape id="文本框 20" o:spid="_x0000_s1026" o:spt="202" type="#_x0000_t202" style="position:absolute;left:3316;top:9909;height:729;width:1845;" fillcolor="#FFFFFF" filled="t" stroked="t" coordsize="21600,21600" o:gfxdata="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nBY2S/&#10;AAAA2wAAAA8AAAAAAAAAAQAgAAAAIgAAAGRycy9kb3ducmV2LnhtbFBLAQIUABQAAAAIAIdO4kAz&#10;LwWeOwAAADkAAAAQAAAAAAAAAAEAIAAAAA4BAABkcnMvc2hhcGV4bWwueG1sUEsFBgAAAAAGAAYA&#10;WwEAALgDAAAAAA==&#10;">
                  <v:fill on="t" focussize="0,0"/>
                  <v:stroke weight="1pt" color="#000000 [3213]" joinstyle="miter"/>
                  <v:imagedata o:title=""/>
                  <o:lock v:ext="edit" aspectratio="f"/>
                  <v:textbox>
                    <w:txbxContent>
                      <w:p w14:paraId="35FF8FBC">
                        <w:pPr>
                          <w:ind w:firstLine="199" w:firstLineChars="95"/>
                          <w:jc w:val="left"/>
                          <w:rPr>
                            <w:szCs w:val="21"/>
                          </w:rPr>
                        </w:pPr>
                        <w:r>
                          <w:rPr>
                            <w:rFonts w:hint="eastAsia"/>
                            <w:szCs w:val="21"/>
                          </w:rPr>
                          <w:t>环境现状调查</w:t>
                        </w:r>
                      </w:p>
                      <w:p w14:paraId="485F0F65">
                        <w:pPr>
                          <w:ind w:firstLine="199" w:firstLineChars="95"/>
                          <w:jc w:val="left"/>
                          <w:rPr>
                            <w:szCs w:val="21"/>
                          </w:rPr>
                        </w:pPr>
                        <w:r>
                          <w:rPr>
                            <w:rFonts w:hint="eastAsia"/>
                            <w:szCs w:val="21"/>
                          </w:rPr>
                          <w:t>监测与评价</w:t>
                        </w:r>
                      </w:p>
                    </w:txbxContent>
                  </v:textbox>
                </v:shape>
                <v:shape id="文本框 23" o:spid="_x0000_s1026" o:spt="202" type="#_x0000_t202" style="position:absolute;left:7134;top:9909;height:729;width:1233;" fillcolor="#FFFFFF" filled="t" stroked="t" coordsize="21600,21600" o:gfxdata="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aNxv+/&#10;AAAA2wAAAA8AAAAAAAAAAQAgAAAAIgAAAGRycy9kb3ducmV2LnhtbFBLAQIUABQAAAAIAIdO4kAz&#10;LwWeOwAAADkAAAAQAAAAAAAAAAEAIAAAAA4BAABkcnMvc2hhcGV4bWwueG1sUEsFBgAAAAAGAAYA&#10;WwEAALgDAAAAAA==&#10;">
                  <v:fill on="t" focussize="0,0"/>
                  <v:stroke weight="1pt" color="#000000 [3213]" joinstyle="miter"/>
                  <v:imagedata o:title=""/>
                  <o:lock v:ext="edit" aspectratio="f"/>
                  <v:textbox>
                    <w:txbxContent>
                      <w:p w14:paraId="490DAE68">
                        <w:pPr>
                          <w:rPr>
                            <w:szCs w:val="21"/>
                          </w:rPr>
                        </w:pPr>
                        <w:r>
                          <w:rPr>
                            <w:rFonts w:hint="eastAsia"/>
                            <w:szCs w:val="21"/>
                          </w:rPr>
                          <w:t>建设项目</w:t>
                        </w:r>
                      </w:p>
                      <w:p w14:paraId="2DEAE42B">
                        <w:pPr>
                          <w:rPr>
                            <w:szCs w:val="21"/>
                          </w:rPr>
                        </w:pPr>
                        <w:r>
                          <w:rPr>
                            <w:rFonts w:hint="eastAsia"/>
                            <w:szCs w:val="21"/>
                          </w:rPr>
                          <w:t>工程分析</w:t>
                        </w:r>
                      </w:p>
                    </w:txbxContent>
                  </v:textbox>
                </v:shape>
                <v:line id="直线 25" o:spid="_x0000_s1026" o:spt="20" style="position:absolute;left:3964;top:10929;height:0;width:3874;" filled="f" stroked="t" coordsize="21600,21600" o:gfxdata="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72s9E7gAAADbAAAA&#10;DwAAAAAAAAABACAAAAAiAAAAZHJzL2Rvd25yZXYueG1sUEsBAhQAFAAAAAgAh07iQDMvBZ47AAAA&#10;OQAAABAAAAAAAAAAAQAgAAAABwEAAGRycy9zaGFwZXhtbC54bWxQSwUGAAAAAAYABgBbAQAAsQMA&#10;AAAA&#10;">
                  <v:fill on="f" focussize="0,0"/>
                  <v:stroke weight="1pt" color="#000000 [3213]" joinstyle="round"/>
                  <v:imagedata o:title=""/>
                  <o:lock v:ext="edit" aspectratio="f"/>
                </v:line>
                <v:line id="直线 26" o:spid="_x0000_s1026" o:spt="20" style="position:absolute;left:6033;top:10929;height:292;width:1;" filled="f" stroked="t" coordsize="21600,21600" o:gfxdata="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JTbub4A&#10;AADbAAAADwAAAAAAAAABACAAAAAiAAAAZHJzL2Rvd25yZXYueG1sUEsBAhQAFAAAAAgAh07iQDMv&#10;BZ47AAAAOQAAABAAAAAAAAAAAQAgAAAADQEAAGRycy9zaGFwZXhtbC54bWxQSwUGAAAAAAYABgBb&#10;AQAAtwMAAAAA&#10;">
                  <v:fill on="f" focussize="0,0"/>
                  <v:stroke weight="1pt" color="#000000 [3213]" joinstyle="round" endarrow="block"/>
                  <v:imagedata o:title=""/>
                  <o:lock v:ext="edit" aspectratio="f"/>
                </v:line>
                <v:line id="直线 27" o:spid="_x0000_s1026" o:spt="20" style="position:absolute;left:6078;top:11950;height:583;width:1;" filled="f" stroked="t" coordsize="21600,21600" o:gfxdata="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d+T5vQAA&#10;ANsAAAAPAAAAAAAAAAEAIAAAACIAAABkcnMvZG93bnJldi54bWxQSwECFAAUAAAACACHTuJAMy8F&#10;njsAAAA5AAAAEAAAAAAAAAABACAAAAAMAQAAZHJzL3NoYXBleG1sLnhtbFBLBQYAAAAABgAGAFsB&#10;AAC2AwAAAAA=&#10;">
                  <v:fill on="f" focussize="0,0"/>
                  <v:stroke weight="1pt" color="#000000 [3213]" joinstyle="round" endarrow="block"/>
                  <v:imagedata o:title=""/>
                  <o:lock v:ext="edit" aspectratio="f"/>
                </v:line>
                <v:line id="直线 28" o:spid="_x0000_s1026" o:spt="20" style="position:absolute;left:3964;top:9617;height:292;width:1;" filled="f" stroked="t" coordsize="21600,21600" o:gfxdata="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O0FivQAA&#10;ANsAAAAPAAAAAAAAAAEAIAAAACIAAABkcnMvZG93bnJldi54bWxQSwECFAAUAAAACACHTuJAMy8F&#10;njsAAAA5AAAAEAAAAAAAAAABACAAAAAMAQAAZHJzL3NoYXBleG1sLnhtbFBLBQYAAAAABgAGAFsB&#10;AAC2AwAAAAA=&#10;">
                  <v:fill on="f" focussize="0,0"/>
                  <v:stroke weight="1pt" color="#000000 [3213]" joinstyle="round" endarrow="block"/>
                  <v:imagedata o:title=""/>
                  <o:lock v:ext="edit" aspectratio="f"/>
                </v:line>
                <v:line id="直线 29" o:spid="_x0000_s1026" o:spt="20" style="position:absolute;left:7662;top:9617;height:292;width:1;" filled="f" stroked="t" coordsize="21600,21600" o:gfxdata="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6d8VvQAA&#10;ANsAAAAPAAAAAAAAAAEAIAAAACIAAABkcnMvZG93bnJldi54bWxQSwECFAAUAAAACACHTuJAMy8F&#10;njsAAAA5AAAAEAAAAAAAAAABACAAAAAMAQAAZHJzL3NoYXBleG1sLnhtbFBLBQYAAAAABgAGAFsB&#10;AAC2AwAAAAA=&#10;">
                  <v:fill on="f" focussize="0,0"/>
                  <v:stroke weight="1pt" color="#000000 [3213]" joinstyle="round" endarrow="block"/>
                  <v:imagedata o:title=""/>
                  <o:lock v:ext="edit" aspectratio="f"/>
                </v:line>
                <v:line id="直线 30" o:spid="_x0000_s1026" o:spt="20" style="position:absolute;left:3964;top:10638;height:291;width:1;" filled="f" stroked="t" coordsize="21600,21600" o:gfxdata="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Fjm/vQAA&#10;ANsAAAAPAAAAAAAAAAEAIAAAACIAAABkcnMvZG93bnJldi54bWxQSwECFAAUAAAACACHTuJAMy8F&#10;njsAAAA5AAAAEAAAAAAAAAABACAAAAAMAQAAZHJzL3NoYXBleG1sLnhtbFBLBQYAAAAABgAGAFsB&#10;AAC2AwAAAAA=&#10;">
                  <v:fill on="f" focussize="0,0"/>
                  <v:stroke weight="1pt" color="#000000 [3213]" joinstyle="round"/>
                  <v:imagedata o:title=""/>
                  <o:lock v:ext="edit" aspectratio="f"/>
                </v:line>
                <v:line id="直线 31" o:spid="_x0000_s1026" o:spt="20" style="position:absolute;left:7838;top:10638;height:291;width:1;" filled="f" stroked="t" coordsize="21600,21600" o:gfxdata="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6HLvQAA&#10;ANsAAAAPAAAAAAAAAAEAIAAAACIAAABkcnMvZG93bnJldi54bWxQSwECFAAUAAAACACHTuJAMy8F&#10;njsAAAA5AAAAEAAAAAAAAAABACAAAAAMAQAAZHJzL3NoYXBleG1sLnhtbFBLBQYAAAAABgAGAFsB&#10;AAC2AwAAAAA=&#10;">
                  <v:fill on="f" focussize="0,0"/>
                  <v:stroke weight="1pt" color="#000000 [3213]" joinstyle="round"/>
                  <v:imagedata o:title=""/>
                  <o:lock v:ext="edit" aspectratio="f"/>
                </v:line>
                <v:line id="直线 32" o:spid="_x0000_s1026" o:spt="20" style="position:absolute;left:2027;top:4370;height:10203;width:1;" filled="f" stroked="t" coordsize="21600,21600" o:gfxdata="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swRQvQAA&#10;ANsAAAAPAAAAAAAAAAEAIAAAACIAAABkcnMvZG93bnJldi54bWxQSwECFAAUAAAACACHTuJAMy8F&#10;njsAAAA5AAAAEAAAAAAAAAABACAAAAAMAQAAZHJzL3NoYXBleG1sLnhtbFBLBQYAAAAABgAGAFsB&#10;AAC2AwAAAAA=&#10;">
                  <v:fill on="f" focussize="0,0"/>
                  <v:stroke weight="1pt" color="#000000 [3213]" joinstyle="round"/>
                  <v:imagedata o:title=""/>
                  <o:lock v:ext="edit" aspectratio="f"/>
                </v:line>
                <v:line id="直线 33" o:spid="_x0000_s1026" o:spt="20" style="position:absolute;left:9423;top:4370;height:10203;width:15;" filled="f" stroked="t" coordsize="21600,21600" o:gfxdata="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Rhmie8AAAA&#10;2wAAAA8AAAAAAAAAAQAgAAAAIgAAAGRycy9kb3ducmV2LnhtbFBLAQIUABQAAAAIAIdO4kAzLwWe&#10;OwAAADkAAAAQAAAAAAAAAAEAIAAAAAsBAABkcnMvc2hhcGV4bWwueG1sUEsFBgAAAAAGAAYAWwEA&#10;ALUDAAAAAA==&#10;">
                  <v:fill on="f" focussize="0,0"/>
                  <v:stroke weight="1pt" color="#000000 [3213]" joinstyle="round"/>
                  <v:imagedata o:title=""/>
                  <o:lock v:ext="edit" aspectratio="f"/>
                </v:line>
                <v:line id="直线 34" o:spid="_x0000_s1026" o:spt="20" style="position:absolute;left:2028;top:14573;height:0;width:7396;" filled="f" stroked="t" coordsize="21600,21600" o:gfxdata="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y0/vL4A&#10;AADbAAAADwAAAAAAAAABACAAAAAiAAAAZHJzL2Rvd25yZXYueG1sUEsBAhQAFAAAAAgAh07iQDMv&#10;BZ47AAAAOQAAABAAAAAAAAAAAQAgAAAADQEAAGRycy9zaGFwZXhtbC54bWxQSwUGAAAAAAYABgBb&#10;AQAAtwMAAAAA&#10;">
                  <v:fill on="f" focussize="0,0"/>
                  <v:stroke weight="1pt" color="#000000 [3213]" joinstyle="round"/>
                  <v:imagedata o:title=""/>
                  <o:lock v:ext="edit" aspectratio="f"/>
                </v:line>
                <v:line id="直线 35" o:spid="_x0000_s1026" o:spt="20" style="position:absolute;left:5813;top:5770;height:292;width:1;" filled="f" stroked="t" coordsize="21600,21600" o:gfxdata="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Aej/vQAA&#10;ANsAAAAPAAAAAAAAAAEAIAAAACIAAABkcnMvZG93bnJldi54bWxQSwECFAAUAAAACACHTuJAMy8F&#10;njsAAAA5AAAAEAAAAAAAAAABACAAAAAMAQAAZHJzL3NoYXBleG1sLnhtbFBLBQYAAAAABgAGAFsB&#10;AAC2AwAAAAA=&#10;">
                  <v:fill on="f" focussize="0,0"/>
                  <v:stroke weight="1pt" color="#000000 [3213]" joinstyle="round" endarrow="block"/>
                  <v:imagedata o:title=""/>
                  <o:lock v:ext="edit" aspectratio="f"/>
                </v:line>
                <v:line id="直线 36" o:spid="_x0000_s1026" o:spt="20" style="position:absolute;left:2027;top:12200;height:1;width:7396;" filled="f" stroked="t" coordsize="21600,21600" o:gfxdata="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f4OVb4A&#10;AADbAAAADwAAAAAAAAABACAAAAAiAAAAZHJzL2Rvd25yZXYueG1sUEsBAhQAFAAAAAgAh07iQDMv&#10;BZ47AAAAOQAAABAAAAAAAAAAAQAgAAAADQEAAGRycy9zaGFwZXhtbC54bWxQSwUGAAAAAAYABgBb&#10;AQAAtwMAAAAA&#10;">
                  <v:fill on="f" focussize="0,0"/>
                  <v:stroke weight="1pt" color="#000000 [3213]" joinstyle="round"/>
                  <v:imagedata o:title=""/>
                  <o:lock v:ext="edit" aspectratio="f"/>
                </v:line>
                <w10:wrap type="none"/>
                <w10:anchorlock/>
              </v:group>
            </w:pict>
          </mc:Fallback>
        </mc:AlternateContent>
      </w:r>
    </w:p>
    <w:p w14:paraId="227BA6BC">
      <w:pPr>
        <w:spacing w:line="360" w:lineRule="auto"/>
        <w:jc w:val="center"/>
        <w:rPr>
          <w:b/>
          <w:color w:val="auto"/>
          <w:sz w:val="24"/>
        </w:rPr>
      </w:pPr>
      <w:r>
        <w:rPr>
          <w:b/>
          <w:color w:val="auto"/>
          <w:sz w:val="24"/>
        </w:rPr>
        <w:t>图1</w:t>
      </w:r>
      <w:r>
        <w:rPr>
          <w:rFonts w:hint="eastAsia"/>
          <w:b/>
          <w:color w:val="auto"/>
          <w:sz w:val="24"/>
          <w:lang w:val="en-US" w:eastAsia="zh-CN"/>
        </w:rPr>
        <w:t>.3</w:t>
      </w:r>
      <w:r>
        <w:rPr>
          <w:b/>
          <w:color w:val="auto"/>
          <w:sz w:val="24"/>
        </w:rPr>
        <w:t xml:space="preserve">-1  环境影响评价工作程序图                                                                                                            </w:t>
      </w:r>
    </w:p>
    <w:p w14:paraId="3C024A73">
      <w:pPr>
        <w:pStyle w:val="3"/>
        <w:adjustRightInd w:val="0"/>
        <w:spacing w:before="120" w:beforeLines="50"/>
        <w:jc w:val="both"/>
        <w:rPr>
          <w:rFonts w:eastAsia="宋体"/>
          <w:color w:val="auto"/>
          <w:sz w:val="30"/>
          <w:szCs w:val="30"/>
        </w:rPr>
      </w:pPr>
      <w:bookmarkStart w:id="66" w:name="_Toc448693416"/>
      <w:bookmarkStart w:id="67" w:name="_Toc446938372"/>
      <w:bookmarkStart w:id="68" w:name="_Toc448771381"/>
      <w:bookmarkStart w:id="69" w:name="_Toc448693338"/>
      <w:bookmarkStart w:id="70" w:name="_Toc448765646"/>
      <w:bookmarkStart w:id="71" w:name="_Toc17350"/>
      <w:bookmarkStart w:id="72" w:name="_Toc15427"/>
      <w:bookmarkStart w:id="73" w:name="_Toc24027885"/>
      <w:bookmarkStart w:id="74" w:name="_Toc14335"/>
      <w:r>
        <w:rPr>
          <w:rFonts w:eastAsia="宋体"/>
          <w:color w:val="auto"/>
          <w:sz w:val="30"/>
          <w:szCs w:val="30"/>
        </w:rPr>
        <w:t>1.</w:t>
      </w:r>
      <w:bookmarkEnd w:id="66"/>
      <w:bookmarkEnd w:id="67"/>
      <w:bookmarkEnd w:id="68"/>
      <w:bookmarkEnd w:id="69"/>
      <w:bookmarkEnd w:id="70"/>
      <w:r>
        <w:rPr>
          <w:rFonts w:eastAsia="宋体"/>
          <w:color w:val="auto"/>
          <w:sz w:val="30"/>
          <w:szCs w:val="30"/>
        </w:rPr>
        <w:t>4分析判定相关情况</w:t>
      </w:r>
      <w:bookmarkEnd w:id="71"/>
      <w:bookmarkEnd w:id="72"/>
      <w:bookmarkEnd w:id="73"/>
    </w:p>
    <w:p w14:paraId="20A02042">
      <w:pPr>
        <w:pStyle w:val="4"/>
        <w:snapToGrid w:val="0"/>
        <w:spacing w:before="0"/>
        <w:rPr>
          <w:rFonts w:ascii="Times New Roman" w:hAnsi="Times New Roman" w:eastAsia="宋体"/>
          <w:bCs/>
          <w:color w:val="auto"/>
          <w:sz w:val="28"/>
          <w:szCs w:val="28"/>
        </w:rPr>
      </w:pPr>
      <w:bookmarkStart w:id="75" w:name="_Toc2104"/>
      <w:r>
        <w:rPr>
          <w:rFonts w:ascii="Times New Roman" w:hAnsi="Times New Roman" w:eastAsia="宋体"/>
          <w:bCs/>
          <w:color w:val="auto"/>
          <w:sz w:val="28"/>
          <w:szCs w:val="28"/>
        </w:rPr>
        <w:t>1.4.1产业政策相符性分析</w:t>
      </w:r>
      <w:bookmarkEnd w:id="75"/>
    </w:p>
    <w:p w14:paraId="754C8051">
      <w:pPr>
        <w:spacing w:line="360" w:lineRule="auto"/>
        <w:ind w:firstLine="480" w:firstLineChars="200"/>
        <w:rPr>
          <w:color w:val="auto"/>
          <w:sz w:val="24"/>
        </w:rPr>
      </w:pPr>
      <w:r>
        <w:rPr>
          <w:color w:val="auto"/>
          <w:sz w:val="24"/>
        </w:rPr>
        <w:t>根据《产业结构调整指导目录》（20</w:t>
      </w:r>
      <w:r>
        <w:rPr>
          <w:rFonts w:hint="eastAsia"/>
          <w:color w:val="auto"/>
          <w:sz w:val="24"/>
          <w:lang w:val="en-US" w:eastAsia="zh-CN"/>
        </w:rPr>
        <w:t>24</w:t>
      </w:r>
      <w:r>
        <w:rPr>
          <w:color w:val="auto"/>
          <w:sz w:val="24"/>
        </w:rPr>
        <w:t>年本），本项目属于“鼓励类”中“一、</w:t>
      </w:r>
      <w:r>
        <w:rPr>
          <w:rFonts w:hint="eastAsia"/>
          <w:color w:val="auto"/>
          <w:sz w:val="24"/>
          <w:lang w:eastAsia="zh-CN"/>
        </w:rPr>
        <w:t>农林牧渔业</w:t>
      </w:r>
      <w:r>
        <w:rPr>
          <w:rFonts w:hint="eastAsia"/>
          <w:color w:val="auto"/>
          <w:sz w:val="24"/>
          <w:lang w:val="en-US" w:eastAsia="zh-CN"/>
        </w:rPr>
        <w:t xml:space="preserve"> 14现代畜牧业及水产生态健康养殖 </w:t>
      </w:r>
      <w:r>
        <w:rPr>
          <w:color w:val="auto"/>
          <w:sz w:val="24"/>
        </w:rPr>
        <w:t>畜禽标准化规模养殖技术开发与应用”项目，符合国家产业政策。</w:t>
      </w:r>
    </w:p>
    <w:p w14:paraId="0F0F13B3">
      <w:pPr>
        <w:spacing w:line="360" w:lineRule="auto"/>
        <w:ind w:firstLine="480" w:firstLineChars="200"/>
        <w:rPr>
          <w:color w:val="auto"/>
          <w:sz w:val="24"/>
        </w:rPr>
      </w:pPr>
      <w:r>
        <w:rPr>
          <w:rFonts w:hint="eastAsia"/>
          <w:color w:val="auto"/>
          <w:sz w:val="24"/>
          <w:lang w:val="en-US" w:eastAsia="zh-CN"/>
        </w:rPr>
        <w:t>（</w:t>
      </w:r>
      <w:r>
        <w:rPr>
          <w:rFonts w:hint="default"/>
          <w:color w:val="auto"/>
          <w:sz w:val="24"/>
          <w:lang w:val="en-US" w:eastAsia="zh-CN"/>
        </w:rPr>
        <w:t>2</w:t>
      </w:r>
      <w:r>
        <w:rPr>
          <w:rFonts w:hint="eastAsia"/>
          <w:color w:val="auto"/>
          <w:sz w:val="24"/>
          <w:lang w:val="en-US" w:eastAsia="zh-CN"/>
        </w:rPr>
        <w:t>）</w:t>
      </w:r>
      <w:r>
        <w:rPr>
          <w:rFonts w:hint="default"/>
          <w:color w:val="auto"/>
          <w:sz w:val="24"/>
          <w:lang w:val="en-US" w:eastAsia="zh-CN"/>
        </w:rPr>
        <w:t>2006</w:t>
      </w:r>
      <w:r>
        <w:rPr>
          <w:rFonts w:hint="eastAsia"/>
          <w:color w:val="auto"/>
          <w:sz w:val="24"/>
          <w:lang w:val="en-US" w:eastAsia="zh-CN"/>
        </w:rPr>
        <w:t>年中央一号文件指出</w:t>
      </w:r>
      <w:r>
        <w:rPr>
          <w:rFonts w:hint="default"/>
          <w:color w:val="auto"/>
          <w:sz w:val="24"/>
          <w:lang w:val="en-US" w:eastAsia="zh-CN"/>
        </w:rPr>
        <w:t>“</w:t>
      </w:r>
      <w:r>
        <w:rPr>
          <w:rFonts w:hint="eastAsia"/>
          <w:color w:val="auto"/>
          <w:sz w:val="24"/>
          <w:lang w:val="en-US" w:eastAsia="zh-CN"/>
        </w:rPr>
        <w:t>大力发展畜牧业，扩大畜禽良种补贴规模，推广健康养殖方式</w:t>
      </w:r>
      <w:r>
        <w:rPr>
          <w:rFonts w:hint="default"/>
          <w:color w:val="auto"/>
          <w:sz w:val="24"/>
          <w:lang w:val="en-US" w:eastAsia="zh-CN"/>
        </w:rPr>
        <w:t>”</w:t>
      </w:r>
      <w:r>
        <w:rPr>
          <w:rFonts w:hint="eastAsia"/>
          <w:color w:val="auto"/>
          <w:sz w:val="24"/>
          <w:lang w:val="en-US" w:eastAsia="zh-CN"/>
        </w:rPr>
        <w:t>；</w:t>
      </w:r>
      <w:r>
        <w:rPr>
          <w:rFonts w:hint="default"/>
          <w:color w:val="auto"/>
          <w:sz w:val="24"/>
          <w:lang w:val="en-US" w:eastAsia="zh-CN"/>
        </w:rPr>
        <w:t>2007</w:t>
      </w:r>
      <w:r>
        <w:rPr>
          <w:rFonts w:hint="eastAsia"/>
          <w:color w:val="auto"/>
          <w:sz w:val="24"/>
          <w:lang w:val="en-US" w:eastAsia="zh-CN"/>
        </w:rPr>
        <w:t>年中央一号文件又强调指出</w:t>
      </w:r>
      <w:r>
        <w:rPr>
          <w:rFonts w:hint="default"/>
          <w:color w:val="auto"/>
          <w:sz w:val="24"/>
          <w:lang w:val="en-US" w:eastAsia="zh-CN"/>
        </w:rPr>
        <w:t>“</w:t>
      </w:r>
      <w:r>
        <w:rPr>
          <w:rFonts w:hint="eastAsia"/>
          <w:color w:val="auto"/>
          <w:sz w:val="24"/>
          <w:lang w:val="en-US" w:eastAsia="zh-CN"/>
        </w:rPr>
        <w:t>健康养殖直接关系人民群众的生命安全，农村有条件的要发展规模养殖和畜禽养殖小区，扩大对养殖小区的补贴规模，中央和省级财政要专门安排扶持农产品加工的补助资金，支持龙头企业开展技术引进和技术改造</w:t>
      </w:r>
      <w:r>
        <w:rPr>
          <w:rFonts w:hint="default"/>
          <w:color w:val="auto"/>
          <w:sz w:val="24"/>
          <w:lang w:val="en-US" w:eastAsia="zh-CN"/>
        </w:rPr>
        <w:t>”</w:t>
      </w:r>
      <w:r>
        <w:rPr>
          <w:rFonts w:hint="eastAsia"/>
          <w:color w:val="auto"/>
          <w:sz w:val="24"/>
          <w:lang w:val="en-US" w:eastAsia="zh-CN"/>
        </w:rPr>
        <w:t>。</w:t>
      </w:r>
    </w:p>
    <w:p w14:paraId="7E675346">
      <w:pPr>
        <w:spacing w:line="360" w:lineRule="auto"/>
        <w:ind w:firstLine="480" w:firstLineChars="200"/>
        <w:rPr>
          <w:color w:val="auto"/>
          <w:sz w:val="24"/>
        </w:rPr>
      </w:pPr>
      <w:r>
        <w:rPr>
          <w:rFonts w:hint="eastAsia"/>
          <w:color w:val="auto"/>
          <w:sz w:val="24"/>
          <w:lang w:val="en-US" w:eastAsia="zh-CN"/>
        </w:rPr>
        <w:t>本项目的建设很好的贯彻执行了上述文件精神，项目建设符合国家及地方的产业政策要求。</w:t>
      </w:r>
    </w:p>
    <w:p w14:paraId="167E13DB">
      <w:pPr>
        <w:pStyle w:val="4"/>
        <w:snapToGrid w:val="0"/>
        <w:spacing w:before="0"/>
        <w:rPr>
          <w:rFonts w:ascii="Times New Roman" w:hAnsi="Times New Roman" w:eastAsia="宋体"/>
          <w:bCs/>
          <w:color w:val="auto"/>
          <w:sz w:val="28"/>
          <w:szCs w:val="28"/>
        </w:rPr>
      </w:pPr>
      <w:bookmarkStart w:id="76" w:name="_Toc19868"/>
      <w:r>
        <w:rPr>
          <w:rFonts w:ascii="Times New Roman" w:hAnsi="Times New Roman" w:eastAsia="宋体"/>
          <w:bCs/>
          <w:color w:val="auto"/>
          <w:sz w:val="28"/>
          <w:szCs w:val="28"/>
        </w:rPr>
        <w:t>1.4.2与</w:t>
      </w:r>
      <w:r>
        <w:rPr>
          <w:rFonts w:hint="eastAsia" w:ascii="Times New Roman" w:hAnsi="Times New Roman" w:eastAsia="宋体"/>
          <w:bCs/>
          <w:color w:val="auto"/>
          <w:sz w:val="28"/>
          <w:szCs w:val="28"/>
        </w:rPr>
        <w:t>相关管理文件相符性分析</w:t>
      </w:r>
      <w:bookmarkEnd w:id="76"/>
    </w:p>
    <w:p w14:paraId="69FD7765">
      <w:pPr>
        <w:snapToGrid w:val="0"/>
        <w:spacing w:line="360" w:lineRule="auto"/>
        <w:ind w:firstLine="482" w:firstLineChars="200"/>
        <w:rPr>
          <w:rFonts w:hint="eastAsia"/>
          <w:b/>
          <w:bCs w:val="0"/>
          <w:color w:val="auto"/>
          <w:sz w:val="24"/>
        </w:rPr>
      </w:pPr>
      <w:bookmarkStart w:id="77" w:name="_Toc39648579"/>
      <w:r>
        <w:rPr>
          <w:rFonts w:hint="eastAsia"/>
          <w:b/>
          <w:bCs w:val="0"/>
          <w:color w:val="auto"/>
          <w:sz w:val="24"/>
          <w:lang w:eastAsia="zh-CN"/>
        </w:rPr>
        <w:t>（一）</w:t>
      </w:r>
      <w:r>
        <w:rPr>
          <w:rFonts w:hint="eastAsia"/>
          <w:b/>
          <w:bCs w:val="0"/>
          <w:color w:val="auto"/>
          <w:sz w:val="24"/>
        </w:rPr>
        <w:t>与《中华人民共和国水污染防治法》相符性</w:t>
      </w:r>
    </w:p>
    <w:p w14:paraId="50453FF3">
      <w:pPr>
        <w:snapToGrid w:val="0"/>
        <w:spacing w:line="360" w:lineRule="auto"/>
        <w:ind w:firstLine="480" w:firstLineChars="200"/>
        <w:rPr>
          <w:rFonts w:hint="eastAsia"/>
          <w:b w:val="0"/>
          <w:bCs/>
          <w:color w:val="auto"/>
          <w:sz w:val="24"/>
        </w:rPr>
      </w:pPr>
      <w:r>
        <w:rPr>
          <w:rFonts w:hint="eastAsia"/>
          <w:b w:val="0"/>
          <w:bCs/>
          <w:color w:val="auto"/>
          <w:sz w:val="24"/>
        </w:rPr>
        <w:t>《中华人民共和国水污染防治法》针对养殖场的要求：</w:t>
      </w:r>
    </w:p>
    <w:p w14:paraId="532600F4">
      <w:pPr>
        <w:snapToGrid w:val="0"/>
        <w:spacing w:line="360" w:lineRule="auto"/>
        <w:ind w:firstLine="480" w:firstLineChars="200"/>
        <w:rPr>
          <w:rFonts w:hint="eastAsia"/>
          <w:b w:val="0"/>
          <w:bCs/>
          <w:color w:val="auto"/>
          <w:sz w:val="24"/>
        </w:rPr>
      </w:pPr>
      <w:r>
        <w:rPr>
          <w:rFonts w:hint="eastAsia"/>
          <w:b w:val="0"/>
          <w:bCs/>
          <w:color w:val="auto"/>
          <w:sz w:val="24"/>
        </w:rPr>
        <w:t>（1）国家支持畜禽养殖场、养殖小区建设畜禽粪便、废水的综合利用或者无害化处理设施。</w:t>
      </w:r>
    </w:p>
    <w:p w14:paraId="6B7C2E5D">
      <w:pPr>
        <w:snapToGrid w:val="0"/>
        <w:spacing w:line="360" w:lineRule="auto"/>
        <w:ind w:firstLine="480" w:firstLineChars="200"/>
        <w:rPr>
          <w:rFonts w:hint="eastAsia"/>
          <w:b w:val="0"/>
          <w:bCs/>
          <w:color w:val="auto"/>
          <w:sz w:val="24"/>
        </w:rPr>
      </w:pPr>
      <w:r>
        <w:rPr>
          <w:rFonts w:hint="eastAsia"/>
          <w:b w:val="0"/>
          <w:bCs/>
          <w:color w:val="auto"/>
          <w:sz w:val="24"/>
        </w:rPr>
        <w:t>（2）畜禽养殖场、养殖小区应当保证其畜禽粪便、废水的综合利用或者无害化处理设施正常运转，保证污水达标排放，防止污染水环境。</w:t>
      </w:r>
    </w:p>
    <w:p w14:paraId="68063FD8">
      <w:pPr>
        <w:snapToGrid w:val="0"/>
        <w:spacing w:line="360" w:lineRule="auto"/>
        <w:ind w:firstLine="480" w:firstLineChars="200"/>
        <w:rPr>
          <w:rFonts w:hint="eastAsia" w:eastAsia="宋体"/>
          <w:b w:val="0"/>
          <w:bCs/>
          <w:color w:val="auto"/>
          <w:sz w:val="24"/>
          <w:lang w:eastAsia="zh-CN"/>
        </w:rPr>
      </w:pPr>
      <w:r>
        <w:rPr>
          <w:rFonts w:hint="eastAsia"/>
          <w:b w:val="0"/>
          <w:bCs/>
          <w:color w:val="auto"/>
          <w:sz w:val="24"/>
        </w:rPr>
        <w:t>本项目情况：本项目采用</w:t>
      </w:r>
      <w:r>
        <w:rPr>
          <w:rFonts w:hint="eastAsia"/>
          <w:b w:val="0"/>
          <w:bCs/>
          <w:color w:val="auto"/>
          <w:sz w:val="24"/>
          <w:lang w:eastAsia="zh-CN"/>
        </w:rPr>
        <w:t>干清粪</w:t>
      </w:r>
      <w:r>
        <w:rPr>
          <w:rFonts w:hint="eastAsia"/>
          <w:b w:val="0"/>
          <w:bCs/>
          <w:color w:val="auto"/>
          <w:sz w:val="24"/>
        </w:rPr>
        <w:t>工艺，</w:t>
      </w:r>
      <w:r>
        <w:rPr>
          <w:rFonts w:hint="eastAsia"/>
          <w:b w:val="0"/>
          <w:bCs/>
          <w:color w:val="auto"/>
          <w:sz w:val="24"/>
          <w:lang w:eastAsia="zh-CN"/>
        </w:rPr>
        <w:t>粪便</w:t>
      </w:r>
      <w:r>
        <w:rPr>
          <w:rFonts w:hint="eastAsia"/>
          <w:b w:val="0"/>
          <w:bCs/>
          <w:color w:val="auto"/>
          <w:sz w:val="24"/>
        </w:rPr>
        <w:t>与废水单独处置，不混合排出，鸡粪、鸡羽毛、饲料残渣除极端天气（约50天/年）需暂存</w:t>
      </w:r>
      <w:r>
        <w:rPr>
          <w:rFonts w:hint="eastAsia"/>
          <w:b w:val="0"/>
          <w:bCs/>
          <w:color w:val="auto"/>
          <w:sz w:val="24"/>
          <w:lang w:eastAsia="zh-CN"/>
        </w:rPr>
        <w:t>临时储粪场</w:t>
      </w:r>
      <w:r>
        <w:rPr>
          <w:rFonts w:hint="eastAsia"/>
          <w:b w:val="0"/>
          <w:bCs/>
          <w:color w:val="auto"/>
          <w:sz w:val="24"/>
        </w:rPr>
        <w:t>外，均日</w:t>
      </w:r>
      <w:r>
        <w:rPr>
          <w:rFonts w:hint="eastAsia"/>
          <w:b w:val="0"/>
          <w:bCs/>
          <w:color w:val="auto"/>
          <w:sz w:val="24"/>
          <w:highlight w:val="none"/>
        </w:rPr>
        <w:t>产日清由清粪车直接拉走外售</w:t>
      </w:r>
      <w:r>
        <w:rPr>
          <w:rFonts w:hint="eastAsia"/>
          <w:b w:val="0"/>
          <w:bCs/>
          <w:color w:val="auto"/>
          <w:sz w:val="24"/>
          <w:highlight w:val="none"/>
          <w:lang w:eastAsia="zh-CN"/>
        </w:rPr>
        <w:t>至辰泰（辽宁）生物科技有限公司制造有机肥</w:t>
      </w:r>
      <w:r>
        <w:rPr>
          <w:rFonts w:hint="eastAsia"/>
          <w:b w:val="0"/>
          <w:bCs/>
          <w:color w:val="auto"/>
          <w:sz w:val="24"/>
          <w:highlight w:val="none"/>
        </w:rPr>
        <w:t>；</w:t>
      </w:r>
      <w:r>
        <w:rPr>
          <w:rFonts w:ascii="宋体" w:hAnsi="宋体" w:eastAsia="宋体" w:cs="宋体"/>
          <w:spacing w:val="-1"/>
          <w:sz w:val="24"/>
          <w:szCs w:val="24"/>
          <w:highlight w:val="none"/>
        </w:rPr>
        <w:t>符合</w:t>
      </w:r>
      <w:r>
        <w:rPr>
          <w:rFonts w:ascii="宋体" w:hAnsi="宋体" w:eastAsia="宋体" w:cs="宋体"/>
          <w:spacing w:val="-1"/>
          <w:sz w:val="24"/>
          <w:szCs w:val="24"/>
        </w:rPr>
        <w:t>《中华人民共和国水污染防治法》要求</w:t>
      </w:r>
      <w:r>
        <w:rPr>
          <w:rFonts w:hint="eastAsia" w:ascii="宋体" w:hAnsi="宋体" w:eastAsia="宋体" w:cs="宋体"/>
          <w:spacing w:val="-1"/>
          <w:sz w:val="24"/>
          <w:szCs w:val="24"/>
          <w:lang w:eastAsia="zh-CN"/>
        </w:rPr>
        <w:t>。</w:t>
      </w:r>
    </w:p>
    <w:p w14:paraId="284370C9">
      <w:pPr>
        <w:snapToGrid w:val="0"/>
        <w:spacing w:line="360" w:lineRule="auto"/>
        <w:ind w:firstLine="482" w:firstLineChars="200"/>
        <w:rPr>
          <w:rFonts w:hint="eastAsia"/>
          <w:b/>
          <w:bCs w:val="0"/>
          <w:color w:val="auto"/>
          <w:sz w:val="24"/>
        </w:rPr>
      </w:pPr>
      <w:r>
        <w:rPr>
          <w:rFonts w:hint="eastAsia"/>
          <w:b/>
          <w:bCs w:val="0"/>
          <w:color w:val="auto"/>
          <w:sz w:val="24"/>
          <w:lang w:eastAsia="zh-CN"/>
        </w:rPr>
        <w:t>（二）</w:t>
      </w:r>
      <w:r>
        <w:rPr>
          <w:rFonts w:hint="eastAsia"/>
          <w:b/>
          <w:bCs w:val="0"/>
          <w:color w:val="auto"/>
          <w:sz w:val="24"/>
        </w:rPr>
        <w:t>与《中华人民共和国固体废物污染防治法》相符性</w:t>
      </w:r>
    </w:p>
    <w:p w14:paraId="40A22BCA">
      <w:pPr>
        <w:snapToGrid w:val="0"/>
        <w:spacing w:line="360" w:lineRule="auto"/>
        <w:ind w:firstLine="480" w:firstLineChars="200"/>
        <w:rPr>
          <w:rFonts w:hint="eastAsia"/>
          <w:b w:val="0"/>
          <w:bCs/>
          <w:color w:val="auto"/>
          <w:sz w:val="24"/>
        </w:rPr>
      </w:pPr>
      <w:r>
        <w:rPr>
          <w:rFonts w:hint="eastAsia"/>
          <w:b w:val="0"/>
          <w:bCs/>
          <w:color w:val="auto"/>
          <w:sz w:val="24"/>
        </w:rPr>
        <w:t>《中华人民共和国固体废物污染防治法》针对养殖场的要求：</w:t>
      </w:r>
    </w:p>
    <w:p w14:paraId="323CFF8F">
      <w:pPr>
        <w:snapToGrid w:val="0"/>
        <w:spacing w:line="360" w:lineRule="auto"/>
        <w:ind w:firstLine="480" w:firstLineChars="200"/>
        <w:rPr>
          <w:rFonts w:hint="eastAsia"/>
          <w:b w:val="0"/>
          <w:bCs/>
          <w:color w:val="auto"/>
          <w:sz w:val="24"/>
        </w:rPr>
      </w:pPr>
      <w:r>
        <w:rPr>
          <w:rFonts w:hint="eastAsia"/>
          <w:b w:val="0"/>
          <w:bCs/>
          <w:color w:val="auto"/>
          <w:sz w:val="24"/>
        </w:rPr>
        <w:t>禁止在生活饮用水的水源保护区，风景名胜区，以及自然保护区的核心区和缓冲区；城镇居民区、文化教育科学研究区等人口集中区域；法律法规规定的其他禁养区域内建设畜禽养殖场、养殖小区。</w:t>
      </w:r>
    </w:p>
    <w:p w14:paraId="5D589584">
      <w:pPr>
        <w:snapToGrid w:val="0"/>
        <w:spacing w:line="360" w:lineRule="auto"/>
        <w:ind w:firstLine="480" w:firstLineChars="200"/>
        <w:rPr>
          <w:rFonts w:hint="eastAsia"/>
          <w:b w:val="0"/>
          <w:bCs/>
          <w:color w:val="auto"/>
          <w:sz w:val="24"/>
        </w:rPr>
      </w:pPr>
      <w:r>
        <w:rPr>
          <w:rFonts w:hint="eastAsia"/>
          <w:b w:val="0"/>
          <w:bCs/>
          <w:color w:val="auto"/>
          <w:sz w:val="24"/>
        </w:rPr>
        <w:t>本项目情况：</w:t>
      </w:r>
      <w:r>
        <w:rPr>
          <w:rFonts w:hint="eastAsia"/>
          <w:b w:val="0"/>
          <w:bCs/>
          <w:color w:val="auto"/>
          <w:sz w:val="24"/>
          <w:highlight w:val="none"/>
        </w:rPr>
        <w:t>本项目选址所占地为农业设施用地</w:t>
      </w:r>
      <w:r>
        <w:rPr>
          <w:rFonts w:hint="eastAsia"/>
          <w:b w:val="0"/>
          <w:bCs/>
          <w:color w:val="auto"/>
          <w:sz w:val="24"/>
          <w:highlight w:val="none"/>
          <w:lang w:eastAsia="zh-CN"/>
        </w:rPr>
        <w:t>（用地手续正在办理中）</w:t>
      </w:r>
      <w:r>
        <w:rPr>
          <w:rFonts w:hint="eastAsia"/>
          <w:b w:val="0"/>
          <w:bCs/>
          <w:color w:val="auto"/>
          <w:sz w:val="24"/>
          <w:highlight w:val="none"/>
        </w:rPr>
        <w:t>，</w:t>
      </w:r>
      <w:r>
        <w:rPr>
          <w:rFonts w:hint="eastAsia"/>
          <w:b w:val="0"/>
          <w:bCs/>
          <w:color w:val="auto"/>
          <w:sz w:val="24"/>
        </w:rPr>
        <w:t>不在水源保护区、风景名胜区、自然保护区、居民区、文化教育科学研究区以及法律法规规定的其他禁养区等区域。</w:t>
      </w:r>
    </w:p>
    <w:p w14:paraId="10BA435C">
      <w:pPr>
        <w:snapToGrid w:val="0"/>
        <w:spacing w:line="360" w:lineRule="auto"/>
        <w:ind w:firstLine="480" w:firstLineChars="200"/>
        <w:rPr>
          <w:rFonts w:hint="eastAsia"/>
          <w:b w:val="0"/>
          <w:bCs/>
          <w:color w:val="auto"/>
          <w:sz w:val="24"/>
        </w:rPr>
      </w:pPr>
      <w:r>
        <w:rPr>
          <w:rFonts w:hint="eastAsia"/>
          <w:b w:val="0"/>
          <w:bCs/>
          <w:color w:val="auto"/>
          <w:sz w:val="24"/>
        </w:rPr>
        <w:t>因此，本项目的建设符合《中华人民共和国固体废物污染防治法》要求。</w:t>
      </w:r>
    </w:p>
    <w:p w14:paraId="71CAB122">
      <w:pPr>
        <w:snapToGrid w:val="0"/>
        <w:spacing w:line="360" w:lineRule="auto"/>
        <w:ind w:firstLine="482" w:firstLineChars="200"/>
        <w:rPr>
          <w:rFonts w:hint="eastAsia"/>
          <w:b/>
          <w:bCs w:val="0"/>
          <w:color w:val="auto"/>
          <w:sz w:val="24"/>
        </w:rPr>
      </w:pPr>
      <w:r>
        <w:rPr>
          <w:rFonts w:hint="eastAsia"/>
          <w:b/>
          <w:bCs w:val="0"/>
          <w:color w:val="auto"/>
          <w:sz w:val="24"/>
          <w:lang w:eastAsia="zh-CN"/>
        </w:rPr>
        <w:t>（三）</w:t>
      </w:r>
      <w:r>
        <w:rPr>
          <w:rFonts w:hint="eastAsia"/>
          <w:b/>
          <w:bCs w:val="0"/>
          <w:color w:val="auto"/>
          <w:sz w:val="24"/>
        </w:rPr>
        <w:t>与《畜禽养殖业污染物治理工程技术规范》（HJ497-2009）相符性</w:t>
      </w:r>
    </w:p>
    <w:p w14:paraId="4BAB99AF">
      <w:pPr>
        <w:ind w:firstLine="413" w:firstLineChars="196"/>
        <w:jc w:val="center"/>
        <w:textAlignment w:val="baseline"/>
        <w:rPr>
          <w:rFonts w:hint="eastAsia"/>
          <w:b w:val="0"/>
          <w:bCs/>
          <w:color w:val="auto"/>
          <w:sz w:val="24"/>
        </w:rPr>
      </w:pPr>
      <w:r>
        <w:rPr>
          <w:b/>
          <w:color w:val="auto"/>
          <w:kern w:val="0"/>
          <w:szCs w:val="21"/>
        </w:rPr>
        <w:t>表1</w:t>
      </w:r>
      <w:r>
        <w:rPr>
          <w:rFonts w:hint="eastAsia"/>
          <w:b/>
          <w:color w:val="auto"/>
          <w:kern w:val="0"/>
          <w:szCs w:val="21"/>
          <w:lang w:val="en-US" w:eastAsia="zh-CN"/>
        </w:rPr>
        <w:t>.4</w:t>
      </w:r>
      <w:r>
        <w:rPr>
          <w:b/>
          <w:color w:val="auto"/>
          <w:kern w:val="0"/>
          <w:szCs w:val="21"/>
        </w:rPr>
        <w:t>-</w:t>
      </w:r>
      <w:r>
        <w:rPr>
          <w:rFonts w:hint="eastAsia"/>
          <w:b/>
          <w:color w:val="auto"/>
          <w:kern w:val="0"/>
          <w:szCs w:val="21"/>
        </w:rPr>
        <w:t>1</w:t>
      </w:r>
      <w:r>
        <w:rPr>
          <w:b/>
          <w:color w:val="auto"/>
          <w:kern w:val="0"/>
          <w:szCs w:val="21"/>
        </w:rPr>
        <w:t xml:space="preserve">    与相关管理要求相符性分析一览表</w:t>
      </w:r>
    </w:p>
    <w:tbl>
      <w:tblPr>
        <w:tblStyle w:val="5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7"/>
        <w:gridCol w:w="3795"/>
        <w:gridCol w:w="3176"/>
        <w:gridCol w:w="657"/>
      </w:tblGrid>
      <w:tr w14:paraId="1457C2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0F00D986">
            <w:pPr>
              <w:jc w:val="center"/>
              <w:textAlignment w:val="baseline"/>
              <w:rPr>
                <w:color w:val="auto"/>
                <w:kern w:val="0"/>
                <w:sz w:val="21"/>
                <w:szCs w:val="21"/>
              </w:rPr>
            </w:pPr>
            <w:r>
              <w:rPr>
                <w:color w:val="auto"/>
                <w:kern w:val="0"/>
                <w:sz w:val="21"/>
                <w:szCs w:val="21"/>
              </w:rPr>
              <w:t>序号</w:t>
            </w:r>
          </w:p>
        </w:tc>
        <w:tc>
          <w:tcPr>
            <w:tcW w:w="2225" w:type="pct"/>
            <w:vAlign w:val="center"/>
          </w:tcPr>
          <w:p w14:paraId="181E5537">
            <w:pPr>
              <w:ind w:left="-107" w:leftChars="-51" w:right="-107" w:rightChars="-51"/>
              <w:jc w:val="center"/>
              <w:rPr>
                <w:color w:val="auto"/>
                <w:kern w:val="0"/>
                <w:sz w:val="21"/>
                <w:szCs w:val="21"/>
              </w:rPr>
            </w:pPr>
            <w:r>
              <w:rPr>
                <w:rFonts w:hint="eastAsia"/>
                <w:color w:val="auto"/>
                <w:kern w:val="0"/>
                <w:sz w:val="21"/>
                <w:szCs w:val="21"/>
                <w:lang w:eastAsia="zh-CN"/>
              </w:rPr>
              <w:t>工程技术规范</w:t>
            </w:r>
            <w:r>
              <w:rPr>
                <w:rFonts w:hint="eastAsia"/>
                <w:color w:val="auto"/>
                <w:kern w:val="0"/>
                <w:sz w:val="21"/>
                <w:szCs w:val="21"/>
              </w:rPr>
              <w:t>要求</w:t>
            </w:r>
          </w:p>
        </w:tc>
        <w:tc>
          <w:tcPr>
            <w:tcW w:w="1862" w:type="pct"/>
            <w:vAlign w:val="center"/>
          </w:tcPr>
          <w:p w14:paraId="53348E3D">
            <w:pPr>
              <w:ind w:left="-107" w:leftChars="-51" w:right="-107" w:rightChars="-51"/>
              <w:jc w:val="center"/>
              <w:rPr>
                <w:color w:val="auto"/>
                <w:kern w:val="0"/>
                <w:sz w:val="21"/>
                <w:szCs w:val="21"/>
              </w:rPr>
            </w:pPr>
            <w:r>
              <w:rPr>
                <w:color w:val="auto"/>
                <w:kern w:val="0"/>
                <w:sz w:val="21"/>
                <w:szCs w:val="21"/>
              </w:rPr>
              <w:t>符合性分析</w:t>
            </w:r>
          </w:p>
        </w:tc>
        <w:tc>
          <w:tcPr>
            <w:tcW w:w="385" w:type="pct"/>
            <w:vAlign w:val="center"/>
          </w:tcPr>
          <w:p w14:paraId="4BB4813F">
            <w:pPr>
              <w:jc w:val="center"/>
              <w:textAlignment w:val="baseline"/>
              <w:rPr>
                <w:color w:val="auto"/>
                <w:kern w:val="0"/>
                <w:sz w:val="21"/>
                <w:szCs w:val="21"/>
              </w:rPr>
            </w:pPr>
            <w:r>
              <w:rPr>
                <w:color w:val="auto"/>
                <w:kern w:val="0"/>
                <w:sz w:val="21"/>
                <w:szCs w:val="21"/>
              </w:rPr>
              <w:t>结论</w:t>
            </w:r>
          </w:p>
        </w:tc>
      </w:tr>
      <w:tr w14:paraId="7CE65B3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1D5A111F">
            <w:pPr>
              <w:jc w:val="center"/>
              <w:textAlignment w:val="baseline"/>
              <w:rPr>
                <w:color w:val="auto"/>
                <w:kern w:val="0"/>
                <w:sz w:val="21"/>
                <w:szCs w:val="21"/>
              </w:rPr>
            </w:pPr>
            <w:r>
              <w:rPr>
                <w:color w:val="auto"/>
                <w:kern w:val="0"/>
                <w:sz w:val="21"/>
                <w:szCs w:val="21"/>
              </w:rPr>
              <w:t>1</w:t>
            </w:r>
          </w:p>
        </w:tc>
        <w:tc>
          <w:tcPr>
            <w:tcW w:w="2225" w:type="pct"/>
            <w:vAlign w:val="center"/>
          </w:tcPr>
          <w:p w14:paraId="5BF0A135">
            <w:pPr>
              <w:widowControl/>
              <w:jc w:val="center"/>
              <w:textAlignment w:val="baseline"/>
              <w:rPr>
                <w:color w:val="auto"/>
                <w:kern w:val="0"/>
                <w:sz w:val="21"/>
                <w:szCs w:val="21"/>
              </w:rPr>
            </w:pPr>
            <w:r>
              <w:rPr>
                <w:rFonts w:hint="eastAsia"/>
                <w:b w:val="0"/>
                <w:bCs/>
                <w:color w:val="auto"/>
                <w:sz w:val="21"/>
                <w:szCs w:val="21"/>
              </w:rPr>
              <w:t>畜禽粪污资源化时应经无害化处理方可还田利用，无害化处理应满足：固体畜禽粪便宜采用好氧堆肥技术进行无害化处理</w:t>
            </w:r>
          </w:p>
        </w:tc>
        <w:tc>
          <w:tcPr>
            <w:tcW w:w="1862" w:type="pct"/>
            <w:vAlign w:val="center"/>
          </w:tcPr>
          <w:p w14:paraId="7F194BCF">
            <w:pPr>
              <w:widowControl/>
              <w:jc w:val="center"/>
              <w:textAlignment w:val="baseline"/>
              <w:rPr>
                <w:rFonts w:hint="eastAsia" w:eastAsia="宋体"/>
                <w:color w:val="auto"/>
                <w:kern w:val="0"/>
                <w:sz w:val="21"/>
                <w:szCs w:val="21"/>
                <w:highlight w:val="none"/>
                <w:lang w:eastAsia="zh-CN"/>
              </w:rPr>
            </w:pPr>
            <w:r>
              <w:rPr>
                <w:rFonts w:hint="eastAsia"/>
                <w:b w:val="0"/>
                <w:bCs/>
                <w:color w:val="auto"/>
                <w:sz w:val="21"/>
                <w:szCs w:val="21"/>
                <w:highlight w:val="none"/>
              </w:rPr>
              <w:t>本项目采用</w:t>
            </w:r>
            <w:r>
              <w:rPr>
                <w:rFonts w:hint="eastAsia"/>
                <w:b w:val="0"/>
                <w:bCs/>
                <w:color w:val="auto"/>
                <w:sz w:val="21"/>
                <w:szCs w:val="21"/>
                <w:highlight w:val="none"/>
                <w:lang w:eastAsia="zh-CN"/>
              </w:rPr>
              <w:t>干清粪</w:t>
            </w:r>
            <w:r>
              <w:rPr>
                <w:rFonts w:hint="eastAsia"/>
                <w:b w:val="0"/>
                <w:bCs/>
                <w:color w:val="auto"/>
                <w:sz w:val="21"/>
                <w:szCs w:val="21"/>
                <w:highlight w:val="none"/>
              </w:rPr>
              <w:t>工艺，</w:t>
            </w:r>
            <w:r>
              <w:rPr>
                <w:rFonts w:hint="eastAsia"/>
                <w:b w:val="0"/>
                <w:bCs/>
                <w:color w:val="auto"/>
                <w:sz w:val="21"/>
                <w:szCs w:val="21"/>
                <w:highlight w:val="none"/>
                <w:lang w:eastAsia="zh-CN"/>
              </w:rPr>
              <w:t>粪便</w:t>
            </w:r>
            <w:r>
              <w:rPr>
                <w:rFonts w:hint="eastAsia"/>
                <w:b w:val="0"/>
                <w:bCs/>
                <w:color w:val="auto"/>
                <w:sz w:val="21"/>
                <w:szCs w:val="21"/>
                <w:highlight w:val="none"/>
              </w:rPr>
              <w:t>与废水单独处置，不混合排出，鸡粪、鸡羽毛、饲料残渣除极端天气（约50天/年）需暂存</w:t>
            </w:r>
            <w:r>
              <w:rPr>
                <w:rFonts w:hint="eastAsia"/>
                <w:b w:val="0"/>
                <w:bCs/>
                <w:color w:val="auto"/>
                <w:sz w:val="21"/>
                <w:szCs w:val="21"/>
                <w:highlight w:val="none"/>
                <w:lang w:eastAsia="zh-CN"/>
              </w:rPr>
              <w:t>临时储粪场</w:t>
            </w:r>
            <w:r>
              <w:rPr>
                <w:rFonts w:hint="eastAsia"/>
                <w:b w:val="0"/>
                <w:bCs/>
                <w:color w:val="auto"/>
                <w:sz w:val="21"/>
                <w:szCs w:val="21"/>
                <w:highlight w:val="none"/>
              </w:rPr>
              <w:t>外，均日产日清由清粪车直接拉走外售</w:t>
            </w:r>
            <w:r>
              <w:rPr>
                <w:rFonts w:hint="eastAsia"/>
                <w:b w:val="0"/>
                <w:bCs/>
                <w:color w:val="auto"/>
                <w:sz w:val="21"/>
                <w:szCs w:val="21"/>
                <w:highlight w:val="none"/>
                <w:lang w:eastAsia="zh-CN"/>
              </w:rPr>
              <w:t>至辰泰（辽宁）生物科技有限公司制造有机肥</w:t>
            </w:r>
            <w:r>
              <w:rPr>
                <w:rFonts w:hint="eastAsia"/>
                <w:b w:val="0"/>
                <w:bCs/>
                <w:color w:val="auto"/>
                <w:sz w:val="21"/>
                <w:szCs w:val="21"/>
                <w:highlight w:val="none"/>
              </w:rPr>
              <w:t>；</w:t>
            </w:r>
          </w:p>
        </w:tc>
        <w:tc>
          <w:tcPr>
            <w:tcW w:w="385" w:type="pct"/>
            <w:vAlign w:val="center"/>
          </w:tcPr>
          <w:p w14:paraId="63741475">
            <w:pPr>
              <w:jc w:val="center"/>
              <w:textAlignment w:val="baseline"/>
              <w:rPr>
                <w:color w:val="auto"/>
                <w:kern w:val="0"/>
                <w:sz w:val="21"/>
                <w:szCs w:val="21"/>
              </w:rPr>
            </w:pPr>
            <w:r>
              <w:rPr>
                <w:color w:val="auto"/>
                <w:kern w:val="0"/>
                <w:sz w:val="21"/>
                <w:szCs w:val="21"/>
              </w:rPr>
              <w:t>符合</w:t>
            </w:r>
          </w:p>
        </w:tc>
      </w:tr>
      <w:tr w14:paraId="5DC85A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7944E5F0">
            <w:pPr>
              <w:jc w:val="center"/>
              <w:textAlignment w:val="baseline"/>
              <w:rPr>
                <w:color w:val="auto"/>
                <w:kern w:val="0"/>
                <w:sz w:val="21"/>
                <w:szCs w:val="21"/>
              </w:rPr>
            </w:pPr>
            <w:r>
              <w:rPr>
                <w:color w:val="auto"/>
                <w:kern w:val="0"/>
                <w:sz w:val="21"/>
                <w:szCs w:val="21"/>
              </w:rPr>
              <w:t>2</w:t>
            </w:r>
          </w:p>
        </w:tc>
        <w:tc>
          <w:tcPr>
            <w:tcW w:w="2225" w:type="pct"/>
            <w:vAlign w:val="center"/>
          </w:tcPr>
          <w:p w14:paraId="1632658E">
            <w:pPr>
              <w:widowControl/>
              <w:jc w:val="center"/>
              <w:textAlignment w:val="baseline"/>
              <w:rPr>
                <w:color w:val="auto"/>
                <w:kern w:val="0"/>
                <w:sz w:val="21"/>
                <w:szCs w:val="21"/>
              </w:rPr>
            </w:pPr>
            <w:r>
              <w:rPr>
                <w:rFonts w:hint="eastAsia"/>
                <w:b w:val="0"/>
                <w:bCs/>
                <w:color w:val="auto"/>
                <w:sz w:val="21"/>
                <w:szCs w:val="21"/>
              </w:rPr>
              <w:t>新、改、扩建的畜禽养殖场应采取干法清粪工艺；采用水冲粪、水泡粪湿法清粪工艺的养殖场，应逐步改为干法清粪工艺；畜禽粪污应日产日清。</w:t>
            </w:r>
          </w:p>
        </w:tc>
        <w:tc>
          <w:tcPr>
            <w:tcW w:w="1862" w:type="pct"/>
            <w:vAlign w:val="center"/>
          </w:tcPr>
          <w:p w14:paraId="32681C37">
            <w:pPr>
              <w:jc w:val="center"/>
              <w:rPr>
                <w:rFonts w:hint="eastAsia" w:eastAsia="宋体"/>
                <w:color w:val="auto"/>
                <w:kern w:val="0"/>
                <w:sz w:val="21"/>
                <w:szCs w:val="21"/>
                <w:highlight w:val="none"/>
                <w:lang w:eastAsia="zh-CN"/>
              </w:rPr>
            </w:pPr>
            <w:r>
              <w:rPr>
                <w:rFonts w:hint="eastAsia"/>
                <w:b w:val="0"/>
                <w:bCs/>
                <w:color w:val="auto"/>
                <w:sz w:val="21"/>
                <w:szCs w:val="21"/>
                <w:highlight w:val="none"/>
              </w:rPr>
              <w:t>本项目采用</w:t>
            </w:r>
            <w:r>
              <w:rPr>
                <w:rFonts w:hint="eastAsia"/>
                <w:b w:val="0"/>
                <w:bCs/>
                <w:color w:val="auto"/>
                <w:sz w:val="21"/>
                <w:szCs w:val="21"/>
                <w:highlight w:val="none"/>
                <w:lang w:eastAsia="zh-CN"/>
              </w:rPr>
              <w:t>干清粪</w:t>
            </w:r>
            <w:r>
              <w:rPr>
                <w:rFonts w:hint="eastAsia"/>
                <w:b w:val="0"/>
                <w:bCs/>
                <w:color w:val="auto"/>
                <w:sz w:val="21"/>
                <w:szCs w:val="21"/>
                <w:highlight w:val="none"/>
              </w:rPr>
              <w:t>工艺</w:t>
            </w:r>
            <w:r>
              <w:rPr>
                <w:rFonts w:hint="eastAsia"/>
                <w:b w:val="0"/>
                <w:bCs/>
                <w:color w:val="auto"/>
                <w:sz w:val="21"/>
                <w:szCs w:val="21"/>
                <w:highlight w:val="none"/>
                <w:lang w:eastAsia="zh-CN"/>
              </w:rPr>
              <w:t>，粪污</w:t>
            </w:r>
            <w:r>
              <w:rPr>
                <w:rFonts w:hint="eastAsia"/>
                <w:b w:val="0"/>
                <w:bCs/>
                <w:color w:val="auto"/>
                <w:sz w:val="21"/>
                <w:szCs w:val="21"/>
                <w:highlight w:val="none"/>
              </w:rPr>
              <w:t>日产日清由清粪车直接拉走外售</w:t>
            </w:r>
            <w:r>
              <w:rPr>
                <w:rFonts w:hint="eastAsia"/>
                <w:b w:val="0"/>
                <w:bCs/>
                <w:color w:val="auto"/>
                <w:sz w:val="21"/>
                <w:szCs w:val="21"/>
                <w:highlight w:val="none"/>
                <w:lang w:eastAsia="zh-CN"/>
              </w:rPr>
              <w:t>至辰泰（辽宁）生物科技有限公司制造有机肥</w:t>
            </w:r>
            <w:r>
              <w:rPr>
                <w:rFonts w:hint="eastAsia"/>
                <w:b w:val="0"/>
                <w:bCs/>
                <w:color w:val="auto"/>
                <w:sz w:val="21"/>
                <w:szCs w:val="21"/>
                <w:highlight w:val="none"/>
              </w:rPr>
              <w:t>；</w:t>
            </w:r>
          </w:p>
        </w:tc>
        <w:tc>
          <w:tcPr>
            <w:tcW w:w="385" w:type="pct"/>
            <w:vAlign w:val="center"/>
          </w:tcPr>
          <w:p w14:paraId="027C50D1">
            <w:pPr>
              <w:jc w:val="center"/>
              <w:textAlignment w:val="baseline"/>
              <w:rPr>
                <w:color w:val="auto"/>
                <w:kern w:val="0"/>
                <w:sz w:val="21"/>
                <w:szCs w:val="21"/>
              </w:rPr>
            </w:pPr>
            <w:r>
              <w:rPr>
                <w:color w:val="auto"/>
                <w:kern w:val="0"/>
                <w:sz w:val="21"/>
                <w:szCs w:val="21"/>
              </w:rPr>
              <w:t>符合</w:t>
            </w:r>
          </w:p>
        </w:tc>
      </w:tr>
      <w:tr w14:paraId="7E00FD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6921A645">
            <w:pPr>
              <w:jc w:val="center"/>
              <w:textAlignment w:val="baseline"/>
              <w:rPr>
                <w:color w:val="auto"/>
                <w:kern w:val="0"/>
                <w:sz w:val="21"/>
                <w:szCs w:val="21"/>
              </w:rPr>
            </w:pPr>
            <w:r>
              <w:rPr>
                <w:rFonts w:hint="eastAsia"/>
                <w:color w:val="auto"/>
                <w:kern w:val="0"/>
                <w:sz w:val="21"/>
                <w:szCs w:val="21"/>
              </w:rPr>
              <w:t>3</w:t>
            </w:r>
          </w:p>
        </w:tc>
        <w:tc>
          <w:tcPr>
            <w:tcW w:w="2225" w:type="pct"/>
            <w:vAlign w:val="center"/>
          </w:tcPr>
          <w:p w14:paraId="5B691BBF">
            <w:pPr>
              <w:widowControl/>
              <w:jc w:val="center"/>
              <w:textAlignment w:val="baseline"/>
              <w:rPr>
                <w:color w:val="auto"/>
                <w:kern w:val="0"/>
                <w:sz w:val="21"/>
                <w:szCs w:val="21"/>
              </w:rPr>
            </w:pPr>
            <w:r>
              <w:rPr>
                <w:rFonts w:hint="eastAsia"/>
                <w:b w:val="0"/>
                <w:bCs/>
                <w:color w:val="auto"/>
                <w:sz w:val="21"/>
                <w:szCs w:val="21"/>
              </w:rPr>
              <w:t>粪污处理各工艺单元宜设计为密闭形式，减少恶臭对周围环境的污染。</w:t>
            </w:r>
          </w:p>
        </w:tc>
        <w:tc>
          <w:tcPr>
            <w:tcW w:w="1862" w:type="pct"/>
            <w:vAlign w:val="center"/>
          </w:tcPr>
          <w:p w14:paraId="7D182877">
            <w:pPr>
              <w:widowControl/>
              <w:jc w:val="center"/>
              <w:textAlignment w:val="baseline"/>
              <w:rPr>
                <w:color w:val="auto"/>
                <w:kern w:val="0"/>
                <w:sz w:val="21"/>
                <w:szCs w:val="21"/>
              </w:rPr>
            </w:pPr>
            <w:r>
              <w:rPr>
                <w:rFonts w:hint="eastAsia"/>
                <w:b w:val="0"/>
                <w:bCs/>
                <w:color w:val="auto"/>
                <w:sz w:val="21"/>
                <w:szCs w:val="21"/>
              </w:rPr>
              <w:t>项目粪污处理各工艺单元采取密闭形式。</w:t>
            </w:r>
          </w:p>
        </w:tc>
        <w:tc>
          <w:tcPr>
            <w:tcW w:w="385" w:type="pct"/>
            <w:vAlign w:val="center"/>
          </w:tcPr>
          <w:p w14:paraId="52FB9585">
            <w:pPr>
              <w:jc w:val="center"/>
              <w:textAlignment w:val="baseline"/>
              <w:rPr>
                <w:color w:val="auto"/>
                <w:kern w:val="0"/>
                <w:sz w:val="21"/>
                <w:szCs w:val="21"/>
              </w:rPr>
            </w:pPr>
            <w:r>
              <w:rPr>
                <w:rFonts w:hint="eastAsia"/>
                <w:color w:val="auto"/>
                <w:kern w:val="0"/>
                <w:sz w:val="21"/>
                <w:szCs w:val="21"/>
              </w:rPr>
              <w:t>符合</w:t>
            </w:r>
          </w:p>
        </w:tc>
      </w:tr>
      <w:tr w14:paraId="65F892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3FB6BB54">
            <w:pPr>
              <w:jc w:val="center"/>
              <w:textAlignment w:val="baseline"/>
              <w:rPr>
                <w:color w:val="auto"/>
                <w:kern w:val="0"/>
                <w:sz w:val="21"/>
                <w:szCs w:val="21"/>
              </w:rPr>
            </w:pPr>
            <w:r>
              <w:rPr>
                <w:rFonts w:hint="eastAsia"/>
                <w:color w:val="auto"/>
                <w:kern w:val="0"/>
                <w:sz w:val="21"/>
                <w:szCs w:val="21"/>
              </w:rPr>
              <w:t>4</w:t>
            </w:r>
          </w:p>
        </w:tc>
        <w:tc>
          <w:tcPr>
            <w:tcW w:w="2225" w:type="pct"/>
            <w:vAlign w:val="center"/>
          </w:tcPr>
          <w:p w14:paraId="5EA3BEB7">
            <w:pPr>
              <w:widowControl/>
              <w:jc w:val="center"/>
              <w:textAlignment w:val="baseline"/>
              <w:rPr>
                <w:color w:val="auto"/>
                <w:kern w:val="0"/>
                <w:sz w:val="21"/>
                <w:szCs w:val="21"/>
              </w:rPr>
            </w:pPr>
            <w:r>
              <w:rPr>
                <w:rFonts w:hint="eastAsia"/>
                <w:b w:val="0"/>
                <w:bCs/>
                <w:color w:val="auto"/>
                <w:sz w:val="21"/>
                <w:szCs w:val="21"/>
              </w:rPr>
              <w:t>堆肥场地的设计应满足下列规定：堆肥场地一般应由粪便贮存池、堆肥场地及成品堆肥存放场地等组成；采用间歇式堆肥处理时，粪便贮存池的有效体积应按至少能容纳6个月粪便产生量计算；场内应建立收集堆肥渗滤液的贮存池；应考虑防渗漏措施，不得对地下水造成污染；应设置防雨淋设施和雨水排水系统。</w:t>
            </w:r>
          </w:p>
        </w:tc>
        <w:tc>
          <w:tcPr>
            <w:tcW w:w="1862" w:type="pct"/>
            <w:vAlign w:val="center"/>
          </w:tcPr>
          <w:p w14:paraId="1D433816">
            <w:pPr>
              <w:widowControl/>
              <w:jc w:val="center"/>
              <w:textAlignment w:val="baseline"/>
              <w:rPr>
                <w:b/>
                <w:bCs/>
                <w:color w:val="auto"/>
                <w:sz w:val="21"/>
                <w:szCs w:val="21"/>
              </w:rPr>
            </w:pPr>
            <w:r>
              <w:rPr>
                <w:rFonts w:hint="eastAsia"/>
                <w:b w:val="0"/>
                <w:bCs/>
                <w:color w:val="auto"/>
                <w:sz w:val="21"/>
                <w:szCs w:val="21"/>
                <w:lang w:eastAsia="zh-CN"/>
              </w:rPr>
              <w:t>粪便</w:t>
            </w:r>
            <w:r>
              <w:rPr>
                <w:rFonts w:hint="eastAsia"/>
                <w:b w:val="0"/>
                <w:bCs/>
                <w:color w:val="auto"/>
                <w:sz w:val="21"/>
                <w:szCs w:val="21"/>
              </w:rPr>
              <w:t>与废水单独处置，不混合排出，鸡粪、鸡羽毛、饲料残渣除极端天气（约50天/年）需暂存</w:t>
            </w:r>
            <w:r>
              <w:rPr>
                <w:rFonts w:hint="eastAsia"/>
                <w:b w:val="0"/>
                <w:bCs/>
                <w:color w:val="auto"/>
                <w:sz w:val="21"/>
                <w:szCs w:val="21"/>
                <w:lang w:eastAsia="zh-CN"/>
              </w:rPr>
              <w:t>临时储粪场</w:t>
            </w:r>
            <w:r>
              <w:rPr>
                <w:rFonts w:hint="eastAsia"/>
                <w:b w:val="0"/>
                <w:bCs/>
                <w:color w:val="auto"/>
                <w:sz w:val="21"/>
                <w:szCs w:val="21"/>
              </w:rPr>
              <w:t>外，均日</w:t>
            </w:r>
            <w:r>
              <w:rPr>
                <w:rFonts w:hint="eastAsia"/>
                <w:b w:val="0"/>
                <w:bCs/>
                <w:color w:val="auto"/>
                <w:sz w:val="21"/>
                <w:szCs w:val="21"/>
                <w:highlight w:val="none"/>
              </w:rPr>
              <w:t>产日清由清粪车直接拉走外售</w:t>
            </w:r>
            <w:r>
              <w:rPr>
                <w:rFonts w:hint="eastAsia"/>
                <w:b w:val="0"/>
                <w:bCs/>
                <w:color w:val="auto"/>
                <w:sz w:val="21"/>
                <w:szCs w:val="21"/>
                <w:highlight w:val="none"/>
                <w:lang w:eastAsia="zh-CN"/>
              </w:rPr>
              <w:t>制造有机肥</w:t>
            </w:r>
            <w:r>
              <w:rPr>
                <w:rFonts w:hint="eastAsia"/>
                <w:b w:val="0"/>
                <w:bCs/>
                <w:color w:val="auto"/>
                <w:sz w:val="21"/>
                <w:szCs w:val="21"/>
                <w:highlight w:val="none"/>
              </w:rPr>
              <w:t>；</w:t>
            </w:r>
          </w:p>
        </w:tc>
        <w:tc>
          <w:tcPr>
            <w:tcW w:w="385" w:type="pct"/>
            <w:vAlign w:val="center"/>
          </w:tcPr>
          <w:p w14:paraId="08B84ED6">
            <w:pPr>
              <w:jc w:val="center"/>
              <w:textAlignment w:val="baseline"/>
              <w:rPr>
                <w:color w:val="auto"/>
                <w:kern w:val="0"/>
                <w:sz w:val="21"/>
                <w:szCs w:val="21"/>
              </w:rPr>
            </w:pPr>
            <w:r>
              <w:rPr>
                <w:rFonts w:hint="eastAsia"/>
                <w:color w:val="auto"/>
                <w:kern w:val="0"/>
                <w:sz w:val="21"/>
                <w:szCs w:val="21"/>
              </w:rPr>
              <w:t>符合</w:t>
            </w:r>
          </w:p>
        </w:tc>
      </w:tr>
    </w:tbl>
    <w:p w14:paraId="65EE1009">
      <w:pPr>
        <w:snapToGrid w:val="0"/>
        <w:spacing w:line="360" w:lineRule="auto"/>
        <w:ind w:firstLine="482" w:firstLineChars="200"/>
        <w:rPr>
          <w:rFonts w:hint="eastAsia"/>
          <w:b/>
          <w:bCs w:val="0"/>
          <w:color w:val="auto"/>
          <w:sz w:val="24"/>
        </w:rPr>
      </w:pPr>
      <w:r>
        <w:rPr>
          <w:rFonts w:hint="eastAsia"/>
          <w:b/>
          <w:bCs w:val="0"/>
          <w:color w:val="auto"/>
          <w:sz w:val="24"/>
          <w:lang w:eastAsia="zh-CN"/>
        </w:rPr>
        <w:t>（四）</w:t>
      </w:r>
      <w:r>
        <w:rPr>
          <w:rFonts w:hint="eastAsia"/>
          <w:b/>
          <w:bCs w:val="0"/>
          <w:color w:val="auto"/>
          <w:sz w:val="24"/>
        </w:rPr>
        <w:t>与《畜禽养殖业污染防治技术政策》</w:t>
      </w:r>
      <w:r>
        <w:rPr>
          <w:rFonts w:hint="eastAsia"/>
          <w:b/>
          <w:bCs w:val="0"/>
          <w:color w:val="auto"/>
          <w:sz w:val="24"/>
          <w:lang w:eastAsia="zh-CN"/>
        </w:rPr>
        <w:t>（</w:t>
      </w:r>
      <w:r>
        <w:rPr>
          <w:rFonts w:hint="eastAsia"/>
          <w:b/>
          <w:bCs w:val="0"/>
          <w:color w:val="auto"/>
          <w:sz w:val="24"/>
        </w:rPr>
        <w:t>环发[2010]151号</w:t>
      </w:r>
      <w:r>
        <w:rPr>
          <w:rFonts w:hint="eastAsia"/>
          <w:b/>
          <w:bCs w:val="0"/>
          <w:color w:val="auto"/>
          <w:sz w:val="24"/>
          <w:lang w:eastAsia="zh-CN"/>
        </w:rPr>
        <w:t>）</w:t>
      </w:r>
      <w:r>
        <w:rPr>
          <w:rFonts w:hint="eastAsia"/>
          <w:b/>
          <w:bCs w:val="0"/>
          <w:color w:val="auto"/>
          <w:sz w:val="24"/>
        </w:rPr>
        <w:t>相符性</w:t>
      </w:r>
    </w:p>
    <w:p w14:paraId="5D12E9FC">
      <w:pPr>
        <w:ind w:firstLine="413" w:firstLineChars="196"/>
        <w:jc w:val="center"/>
        <w:textAlignment w:val="baseline"/>
        <w:rPr>
          <w:rFonts w:hint="eastAsia"/>
          <w:b w:val="0"/>
          <w:bCs/>
          <w:color w:val="auto"/>
          <w:sz w:val="24"/>
        </w:rPr>
      </w:pPr>
      <w:r>
        <w:rPr>
          <w:b/>
          <w:color w:val="auto"/>
          <w:kern w:val="0"/>
          <w:szCs w:val="21"/>
        </w:rPr>
        <w:t>表1</w:t>
      </w:r>
      <w:r>
        <w:rPr>
          <w:rFonts w:hint="eastAsia"/>
          <w:b/>
          <w:color w:val="auto"/>
          <w:kern w:val="0"/>
          <w:szCs w:val="21"/>
          <w:lang w:val="en-US" w:eastAsia="zh-CN"/>
        </w:rPr>
        <w:t>.4</w:t>
      </w:r>
      <w:r>
        <w:rPr>
          <w:b/>
          <w:color w:val="auto"/>
          <w:kern w:val="0"/>
          <w:szCs w:val="21"/>
        </w:rPr>
        <w:t>-</w:t>
      </w:r>
      <w:r>
        <w:rPr>
          <w:rFonts w:hint="eastAsia"/>
          <w:b/>
          <w:color w:val="auto"/>
          <w:kern w:val="0"/>
          <w:szCs w:val="21"/>
          <w:lang w:val="en-US" w:eastAsia="zh-CN"/>
        </w:rPr>
        <w:t>2</w:t>
      </w:r>
      <w:r>
        <w:rPr>
          <w:b/>
          <w:color w:val="auto"/>
          <w:kern w:val="0"/>
          <w:szCs w:val="21"/>
        </w:rPr>
        <w:t xml:space="preserve">    与相关管理要求相符性分析一览表</w:t>
      </w:r>
    </w:p>
    <w:tbl>
      <w:tblPr>
        <w:tblStyle w:val="5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7"/>
        <w:gridCol w:w="3795"/>
        <w:gridCol w:w="3176"/>
        <w:gridCol w:w="657"/>
      </w:tblGrid>
      <w:tr w14:paraId="03F3923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3FB12BAE">
            <w:pPr>
              <w:jc w:val="center"/>
              <w:textAlignment w:val="baseline"/>
              <w:rPr>
                <w:color w:val="auto"/>
                <w:kern w:val="0"/>
                <w:sz w:val="21"/>
                <w:szCs w:val="21"/>
              </w:rPr>
            </w:pPr>
            <w:r>
              <w:rPr>
                <w:color w:val="auto"/>
                <w:kern w:val="0"/>
                <w:sz w:val="21"/>
                <w:szCs w:val="21"/>
              </w:rPr>
              <w:t>序号</w:t>
            </w:r>
          </w:p>
        </w:tc>
        <w:tc>
          <w:tcPr>
            <w:tcW w:w="2225" w:type="pct"/>
            <w:vAlign w:val="center"/>
          </w:tcPr>
          <w:p w14:paraId="7EC0F762">
            <w:pPr>
              <w:ind w:left="-107" w:leftChars="-51" w:right="-107" w:rightChars="-51"/>
              <w:jc w:val="center"/>
              <w:rPr>
                <w:color w:val="auto"/>
                <w:kern w:val="0"/>
                <w:sz w:val="21"/>
                <w:szCs w:val="21"/>
              </w:rPr>
            </w:pPr>
            <w:r>
              <w:rPr>
                <w:rFonts w:hint="eastAsia"/>
                <w:color w:val="auto"/>
                <w:kern w:val="0"/>
                <w:sz w:val="21"/>
                <w:szCs w:val="21"/>
                <w:lang w:eastAsia="zh-CN"/>
              </w:rPr>
              <w:t>技术政策</w:t>
            </w:r>
            <w:r>
              <w:rPr>
                <w:rFonts w:hint="eastAsia"/>
                <w:color w:val="auto"/>
                <w:kern w:val="0"/>
                <w:sz w:val="21"/>
                <w:szCs w:val="21"/>
              </w:rPr>
              <w:t>要求</w:t>
            </w:r>
          </w:p>
        </w:tc>
        <w:tc>
          <w:tcPr>
            <w:tcW w:w="1862" w:type="pct"/>
            <w:vAlign w:val="center"/>
          </w:tcPr>
          <w:p w14:paraId="24D2074F">
            <w:pPr>
              <w:ind w:left="-107" w:leftChars="-51" w:right="-107" w:rightChars="-51"/>
              <w:jc w:val="center"/>
              <w:rPr>
                <w:color w:val="auto"/>
                <w:kern w:val="0"/>
                <w:sz w:val="21"/>
                <w:szCs w:val="21"/>
              </w:rPr>
            </w:pPr>
            <w:r>
              <w:rPr>
                <w:color w:val="auto"/>
                <w:kern w:val="0"/>
                <w:sz w:val="21"/>
                <w:szCs w:val="21"/>
              </w:rPr>
              <w:t>符合性分析</w:t>
            </w:r>
          </w:p>
        </w:tc>
        <w:tc>
          <w:tcPr>
            <w:tcW w:w="385" w:type="pct"/>
            <w:vAlign w:val="center"/>
          </w:tcPr>
          <w:p w14:paraId="11E53DE8">
            <w:pPr>
              <w:jc w:val="center"/>
              <w:textAlignment w:val="baseline"/>
              <w:rPr>
                <w:color w:val="auto"/>
                <w:kern w:val="0"/>
                <w:sz w:val="21"/>
                <w:szCs w:val="21"/>
              </w:rPr>
            </w:pPr>
            <w:r>
              <w:rPr>
                <w:color w:val="auto"/>
                <w:kern w:val="0"/>
                <w:sz w:val="21"/>
                <w:szCs w:val="21"/>
              </w:rPr>
              <w:t>结论</w:t>
            </w:r>
          </w:p>
        </w:tc>
      </w:tr>
      <w:tr w14:paraId="5B39780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68B57F0B">
            <w:pPr>
              <w:jc w:val="center"/>
              <w:textAlignment w:val="baseline"/>
              <w:rPr>
                <w:color w:val="auto"/>
                <w:kern w:val="0"/>
                <w:sz w:val="21"/>
                <w:szCs w:val="21"/>
              </w:rPr>
            </w:pPr>
            <w:r>
              <w:rPr>
                <w:color w:val="auto"/>
                <w:kern w:val="0"/>
                <w:sz w:val="21"/>
                <w:szCs w:val="21"/>
              </w:rPr>
              <w:t>1</w:t>
            </w:r>
          </w:p>
        </w:tc>
        <w:tc>
          <w:tcPr>
            <w:tcW w:w="2225" w:type="pct"/>
            <w:vAlign w:val="center"/>
          </w:tcPr>
          <w:p w14:paraId="797D6FD0">
            <w:pPr>
              <w:widowControl/>
              <w:jc w:val="center"/>
              <w:textAlignment w:val="baseline"/>
              <w:rPr>
                <w:color w:val="auto"/>
                <w:kern w:val="0"/>
                <w:sz w:val="21"/>
                <w:szCs w:val="21"/>
              </w:rPr>
            </w:pPr>
            <w:r>
              <w:rPr>
                <w:rFonts w:hint="eastAsia"/>
                <w:b w:val="0"/>
                <w:bCs/>
                <w:color w:val="auto"/>
                <w:sz w:val="21"/>
                <w:szCs w:val="21"/>
              </w:rPr>
              <w:t>畜禽尸体应按照有关卫生防疫规定单独进行妥善处置。染疫畜禽及其排泄物、染疫畜禽产品，病死或者死因不明的畜禽尸体等污染物，应就地进行无害化处理。</w:t>
            </w:r>
          </w:p>
        </w:tc>
        <w:tc>
          <w:tcPr>
            <w:tcW w:w="1862" w:type="pct"/>
            <w:vAlign w:val="center"/>
          </w:tcPr>
          <w:p w14:paraId="5DC2529E">
            <w:pPr>
              <w:widowControl/>
              <w:jc w:val="center"/>
              <w:textAlignment w:val="baseline"/>
              <w:rPr>
                <w:rFonts w:hint="eastAsia" w:eastAsia="宋体"/>
                <w:color w:val="auto"/>
                <w:kern w:val="0"/>
                <w:sz w:val="21"/>
                <w:szCs w:val="21"/>
                <w:lang w:eastAsia="zh-CN"/>
              </w:rPr>
            </w:pPr>
            <w:r>
              <w:rPr>
                <w:rFonts w:hint="eastAsia"/>
                <w:b w:val="0"/>
                <w:bCs/>
                <w:color w:val="auto"/>
                <w:sz w:val="21"/>
                <w:szCs w:val="21"/>
                <w:highlight w:val="none"/>
              </w:rPr>
              <w:t>项目</w:t>
            </w:r>
            <w:r>
              <w:rPr>
                <w:rFonts w:hint="eastAsia"/>
                <w:b w:val="0"/>
                <w:bCs/>
                <w:color w:val="auto"/>
                <w:sz w:val="21"/>
                <w:szCs w:val="21"/>
                <w:highlight w:val="none"/>
                <w:lang w:eastAsia="zh-CN"/>
              </w:rPr>
              <w:t>病死鸡</w:t>
            </w:r>
            <w:r>
              <w:rPr>
                <w:rFonts w:hint="eastAsia"/>
                <w:b w:val="0"/>
                <w:bCs/>
                <w:color w:val="auto"/>
                <w:sz w:val="21"/>
                <w:szCs w:val="21"/>
                <w:highlight w:val="none"/>
              </w:rPr>
              <w:t>委托北票市汇宏动物无害化处理有限公司处理。</w:t>
            </w:r>
          </w:p>
        </w:tc>
        <w:tc>
          <w:tcPr>
            <w:tcW w:w="385" w:type="pct"/>
            <w:vAlign w:val="center"/>
          </w:tcPr>
          <w:p w14:paraId="0A577631">
            <w:pPr>
              <w:jc w:val="center"/>
              <w:textAlignment w:val="baseline"/>
              <w:rPr>
                <w:color w:val="auto"/>
                <w:kern w:val="0"/>
                <w:sz w:val="21"/>
                <w:szCs w:val="21"/>
              </w:rPr>
            </w:pPr>
            <w:r>
              <w:rPr>
                <w:color w:val="auto"/>
                <w:kern w:val="0"/>
                <w:sz w:val="21"/>
                <w:szCs w:val="21"/>
              </w:rPr>
              <w:t>符合</w:t>
            </w:r>
          </w:p>
        </w:tc>
      </w:tr>
      <w:tr w14:paraId="3A35E48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3EEE32A5">
            <w:pPr>
              <w:jc w:val="center"/>
              <w:textAlignment w:val="baseline"/>
              <w:rPr>
                <w:color w:val="auto"/>
                <w:kern w:val="0"/>
                <w:sz w:val="21"/>
                <w:szCs w:val="21"/>
              </w:rPr>
            </w:pPr>
            <w:r>
              <w:rPr>
                <w:color w:val="auto"/>
                <w:kern w:val="0"/>
                <w:sz w:val="21"/>
                <w:szCs w:val="21"/>
              </w:rPr>
              <w:t>2</w:t>
            </w:r>
          </w:p>
        </w:tc>
        <w:tc>
          <w:tcPr>
            <w:tcW w:w="2225" w:type="pct"/>
            <w:vAlign w:val="center"/>
          </w:tcPr>
          <w:p w14:paraId="6CF0A6CC">
            <w:pPr>
              <w:widowControl/>
              <w:jc w:val="center"/>
              <w:textAlignment w:val="baseline"/>
              <w:rPr>
                <w:color w:val="auto"/>
                <w:kern w:val="0"/>
                <w:sz w:val="21"/>
                <w:szCs w:val="21"/>
              </w:rPr>
            </w:pPr>
            <w:r>
              <w:rPr>
                <w:rFonts w:hint="eastAsia"/>
                <w:b w:val="0"/>
                <w:bCs/>
                <w:color w:val="auto"/>
                <w:sz w:val="21"/>
                <w:szCs w:val="21"/>
              </w:rPr>
              <w:t>鼓励畜禽养殖废弃物的能源化利用和肥料化利用。</w:t>
            </w:r>
          </w:p>
        </w:tc>
        <w:tc>
          <w:tcPr>
            <w:tcW w:w="1862" w:type="pct"/>
            <w:vAlign w:val="center"/>
          </w:tcPr>
          <w:p w14:paraId="30E9A972">
            <w:pPr>
              <w:jc w:val="center"/>
              <w:rPr>
                <w:rFonts w:hint="eastAsia" w:eastAsia="宋体"/>
                <w:color w:val="auto"/>
                <w:kern w:val="0"/>
                <w:sz w:val="21"/>
                <w:szCs w:val="21"/>
                <w:lang w:eastAsia="zh-CN"/>
              </w:rPr>
            </w:pPr>
            <w:r>
              <w:rPr>
                <w:rFonts w:hint="eastAsia"/>
                <w:b w:val="0"/>
                <w:bCs/>
                <w:color w:val="auto"/>
                <w:sz w:val="21"/>
                <w:szCs w:val="21"/>
              </w:rPr>
              <w:t>本项目采用</w:t>
            </w:r>
            <w:r>
              <w:rPr>
                <w:rFonts w:hint="eastAsia"/>
                <w:b w:val="0"/>
                <w:bCs/>
                <w:color w:val="auto"/>
                <w:sz w:val="21"/>
                <w:szCs w:val="21"/>
                <w:lang w:eastAsia="zh-CN"/>
              </w:rPr>
              <w:t>干清粪</w:t>
            </w:r>
            <w:r>
              <w:rPr>
                <w:rFonts w:hint="eastAsia"/>
                <w:b w:val="0"/>
                <w:bCs/>
                <w:color w:val="auto"/>
                <w:sz w:val="21"/>
                <w:szCs w:val="21"/>
              </w:rPr>
              <w:t>工艺，</w:t>
            </w:r>
            <w:r>
              <w:rPr>
                <w:rFonts w:hint="eastAsia"/>
                <w:b w:val="0"/>
                <w:bCs/>
                <w:color w:val="auto"/>
                <w:sz w:val="21"/>
                <w:szCs w:val="21"/>
                <w:lang w:eastAsia="zh-CN"/>
              </w:rPr>
              <w:t>粪便</w:t>
            </w:r>
            <w:r>
              <w:rPr>
                <w:rFonts w:hint="eastAsia"/>
                <w:b w:val="0"/>
                <w:bCs/>
                <w:color w:val="auto"/>
                <w:sz w:val="21"/>
                <w:szCs w:val="21"/>
              </w:rPr>
              <w:t>与废水单独处置，不混合排出，鸡粪、鸡羽毛、饲料残渣除极端天气（约50天/年）需暂存</w:t>
            </w:r>
            <w:r>
              <w:rPr>
                <w:rFonts w:hint="eastAsia"/>
                <w:b w:val="0"/>
                <w:bCs/>
                <w:color w:val="auto"/>
                <w:sz w:val="21"/>
                <w:szCs w:val="21"/>
                <w:lang w:eastAsia="zh-CN"/>
              </w:rPr>
              <w:t>临时储粪场</w:t>
            </w:r>
            <w:r>
              <w:rPr>
                <w:rFonts w:hint="eastAsia"/>
                <w:b w:val="0"/>
                <w:bCs/>
                <w:color w:val="auto"/>
                <w:sz w:val="21"/>
                <w:szCs w:val="21"/>
              </w:rPr>
              <w:t>外，均</w:t>
            </w:r>
            <w:r>
              <w:rPr>
                <w:rFonts w:hint="eastAsia"/>
                <w:b w:val="0"/>
                <w:bCs/>
                <w:color w:val="auto"/>
                <w:sz w:val="21"/>
                <w:szCs w:val="21"/>
                <w:highlight w:val="none"/>
              </w:rPr>
              <w:t>日产日清由清粪车直接拉走外售</w:t>
            </w:r>
            <w:r>
              <w:rPr>
                <w:rFonts w:hint="eastAsia"/>
                <w:b w:val="0"/>
                <w:bCs/>
                <w:color w:val="auto"/>
                <w:sz w:val="21"/>
                <w:szCs w:val="21"/>
                <w:highlight w:val="none"/>
                <w:lang w:eastAsia="zh-CN"/>
              </w:rPr>
              <w:t>至辰泰（辽宁）生物科技有限公司制造有机肥</w:t>
            </w:r>
            <w:r>
              <w:rPr>
                <w:rFonts w:hint="eastAsia"/>
                <w:b w:val="0"/>
                <w:bCs/>
                <w:color w:val="auto"/>
                <w:sz w:val="21"/>
                <w:szCs w:val="21"/>
                <w:highlight w:val="none"/>
              </w:rPr>
              <w:t>；</w:t>
            </w:r>
          </w:p>
        </w:tc>
        <w:tc>
          <w:tcPr>
            <w:tcW w:w="385" w:type="pct"/>
            <w:vAlign w:val="center"/>
          </w:tcPr>
          <w:p w14:paraId="6253677F">
            <w:pPr>
              <w:jc w:val="center"/>
              <w:textAlignment w:val="baseline"/>
              <w:rPr>
                <w:color w:val="auto"/>
                <w:kern w:val="0"/>
                <w:sz w:val="21"/>
                <w:szCs w:val="21"/>
              </w:rPr>
            </w:pPr>
            <w:r>
              <w:rPr>
                <w:color w:val="auto"/>
                <w:kern w:val="0"/>
                <w:sz w:val="21"/>
                <w:szCs w:val="21"/>
              </w:rPr>
              <w:t>符合</w:t>
            </w:r>
          </w:p>
        </w:tc>
      </w:tr>
      <w:tr w14:paraId="64098E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46050A82">
            <w:pPr>
              <w:jc w:val="center"/>
              <w:textAlignment w:val="baseline"/>
              <w:rPr>
                <w:color w:val="auto"/>
                <w:kern w:val="0"/>
                <w:sz w:val="21"/>
                <w:szCs w:val="21"/>
              </w:rPr>
            </w:pPr>
            <w:r>
              <w:rPr>
                <w:rFonts w:hint="eastAsia"/>
                <w:color w:val="auto"/>
                <w:kern w:val="0"/>
                <w:sz w:val="21"/>
                <w:szCs w:val="21"/>
              </w:rPr>
              <w:t>3</w:t>
            </w:r>
          </w:p>
        </w:tc>
        <w:tc>
          <w:tcPr>
            <w:tcW w:w="2225" w:type="pct"/>
            <w:vAlign w:val="center"/>
          </w:tcPr>
          <w:p w14:paraId="31286073">
            <w:pPr>
              <w:widowControl/>
              <w:jc w:val="center"/>
              <w:textAlignment w:val="baseline"/>
              <w:rPr>
                <w:color w:val="auto"/>
                <w:kern w:val="0"/>
                <w:sz w:val="21"/>
                <w:szCs w:val="21"/>
              </w:rPr>
            </w:pPr>
            <w:r>
              <w:rPr>
                <w:rFonts w:hint="eastAsia"/>
                <w:b w:val="0"/>
                <w:bCs/>
                <w:color w:val="auto"/>
                <w:sz w:val="21"/>
                <w:szCs w:val="21"/>
              </w:rPr>
              <w:t>规模化畜禽养殖场（小区）应建立完备的排水设施并保持畅通，其废水收集输送系统不得采取明沟布设；排水系统应实行雨污分流制。</w:t>
            </w:r>
          </w:p>
        </w:tc>
        <w:tc>
          <w:tcPr>
            <w:tcW w:w="1862" w:type="pct"/>
            <w:vAlign w:val="center"/>
          </w:tcPr>
          <w:p w14:paraId="600059D7">
            <w:pPr>
              <w:widowControl/>
              <w:jc w:val="center"/>
              <w:textAlignment w:val="baseline"/>
              <w:rPr>
                <w:rFonts w:hint="eastAsia" w:eastAsia="宋体"/>
                <w:color w:val="auto"/>
                <w:kern w:val="0"/>
                <w:sz w:val="21"/>
                <w:szCs w:val="21"/>
                <w:lang w:eastAsia="zh-CN"/>
              </w:rPr>
            </w:pPr>
            <w:r>
              <w:rPr>
                <w:rFonts w:hint="eastAsia"/>
                <w:b w:val="0"/>
                <w:bCs/>
                <w:color w:val="auto"/>
                <w:sz w:val="21"/>
                <w:szCs w:val="21"/>
                <w:lang w:eastAsia="zh-CN"/>
              </w:rPr>
              <w:t>本项目厂区内实行雨污分流制。</w:t>
            </w:r>
          </w:p>
        </w:tc>
        <w:tc>
          <w:tcPr>
            <w:tcW w:w="385" w:type="pct"/>
            <w:vAlign w:val="center"/>
          </w:tcPr>
          <w:p w14:paraId="7C7A60B8">
            <w:pPr>
              <w:jc w:val="center"/>
              <w:textAlignment w:val="baseline"/>
              <w:rPr>
                <w:color w:val="auto"/>
                <w:kern w:val="0"/>
                <w:sz w:val="21"/>
                <w:szCs w:val="21"/>
              </w:rPr>
            </w:pPr>
            <w:r>
              <w:rPr>
                <w:rFonts w:hint="eastAsia"/>
                <w:color w:val="auto"/>
                <w:kern w:val="0"/>
                <w:sz w:val="21"/>
                <w:szCs w:val="21"/>
              </w:rPr>
              <w:t>符合</w:t>
            </w:r>
          </w:p>
        </w:tc>
      </w:tr>
      <w:tr w14:paraId="48F9E9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0B0ED3A5">
            <w:pPr>
              <w:jc w:val="center"/>
              <w:textAlignment w:val="baseline"/>
              <w:rPr>
                <w:color w:val="auto"/>
                <w:kern w:val="0"/>
                <w:sz w:val="21"/>
                <w:szCs w:val="21"/>
              </w:rPr>
            </w:pPr>
            <w:r>
              <w:rPr>
                <w:rFonts w:hint="eastAsia"/>
                <w:color w:val="auto"/>
                <w:kern w:val="0"/>
                <w:sz w:val="21"/>
                <w:szCs w:val="21"/>
              </w:rPr>
              <w:t>4</w:t>
            </w:r>
          </w:p>
        </w:tc>
        <w:tc>
          <w:tcPr>
            <w:tcW w:w="2225" w:type="pct"/>
            <w:vAlign w:val="center"/>
          </w:tcPr>
          <w:p w14:paraId="085C055E">
            <w:pPr>
              <w:widowControl/>
              <w:jc w:val="center"/>
              <w:textAlignment w:val="baseline"/>
              <w:rPr>
                <w:color w:val="auto"/>
                <w:kern w:val="0"/>
                <w:sz w:val="21"/>
                <w:szCs w:val="21"/>
              </w:rPr>
            </w:pPr>
            <w:r>
              <w:rPr>
                <w:rFonts w:hint="eastAsia"/>
                <w:b w:val="0"/>
                <w:bCs/>
                <w:color w:val="auto"/>
                <w:sz w:val="21"/>
                <w:szCs w:val="21"/>
              </w:rPr>
              <w:t>布局集中的规模化畜禽养殖场（小区）和畜禽散养密集区宜采取废水集中处理模式，布局分散的规模化畜禽养殖场（小区）宜单独进行就地处理。鼓励废水回用于场区园林绿化和周边农田利用。</w:t>
            </w:r>
          </w:p>
        </w:tc>
        <w:tc>
          <w:tcPr>
            <w:tcW w:w="1862" w:type="pct"/>
            <w:vAlign w:val="center"/>
          </w:tcPr>
          <w:p w14:paraId="03018F8A">
            <w:pPr>
              <w:widowControl/>
              <w:jc w:val="center"/>
              <w:textAlignment w:val="baseline"/>
              <w:rPr>
                <w:b/>
                <w:bCs/>
                <w:color w:val="auto"/>
                <w:sz w:val="21"/>
                <w:szCs w:val="21"/>
              </w:rPr>
            </w:pPr>
            <w:r>
              <w:rPr>
                <w:rFonts w:hint="eastAsia"/>
                <w:b w:val="0"/>
                <w:bCs/>
                <w:color w:val="auto"/>
                <w:sz w:val="21"/>
                <w:szCs w:val="21"/>
                <w:lang w:eastAsia="zh-CN"/>
              </w:rPr>
              <w:t>粪便</w:t>
            </w:r>
            <w:r>
              <w:rPr>
                <w:rFonts w:hint="eastAsia"/>
                <w:b w:val="0"/>
                <w:bCs/>
                <w:color w:val="auto"/>
                <w:sz w:val="21"/>
                <w:szCs w:val="21"/>
              </w:rPr>
              <w:t>与废水单独处置，不混合排出，</w:t>
            </w:r>
            <w:r>
              <w:rPr>
                <w:rFonts w:hint="eastAsia"/>
                <w:b w:val="0"/>
                <w:bCs/>
                <w:color w:val="auto"/>
                <w:sz w:val="21"/>
                <w:szCs w:val="21"/>
                <w:lang w:eastAsia="zh-CN"/>
              </w:rPr>
              <w:t>鸡舍冲洗废水</w:t>
            </w:r>
            <w:r>
              <w:rPr>
                <w:rFonts w:hint="eastAsia"/>
                <w:b w:val="0"/>
                <w:bCs/>
                <w:color w:val="auto"/>
                <w:sz w:val="21"/>
                <w:szCs w:val="21"/>
              </w:rPr>
              <w:t>，</w:t>
            </w:r>
            <w:r>
              <w:rPr>
                <w:rFonts w:hint="eastAsia"/>
                <w:color w:val="auto"/>
                <w:kern w:val="0"/>
                <w:sz w:val="21"/>
                <w:szCs w:val="21"/>
              </w:rPr>
              <w:t>设置</w:t>
            </w:r>
            <w:r>
              <w:rPr>
                <w:rFonts w:hint="eastAsia"/>
                <w:color w:val="auto"/>
                <w:kern w:val="0"/>
                <w:sz w:val="21"/>
                <w:szCs w:val="21"/>
                <w:lang w:val="en-US" w:eastAsia="zh-CN"/>
              </w:rPr>
              <w:t>8座</w:t>
            </w:r>
            <w:r>
              <w:rPr>
                <w:rFonts w:hint="eastAsia"/>
                <w:color w:val="auto"/>
                <w:kern w:val="0"/>
                <w:sz w:val="21"/>
                <w:szCs w:val="21"/>
              </w:rPr>
              <w:t>个</w:t>
            </w:r>
            <w:r>
              <w:rPr>
                <w:rFonts w:hint="eastAsia"/>
                <w:color w:val="auto"/>
                <w:kern w:val="0"/>
                <w:sz w:val="21"/>
                <w:szCs w:val="21"/>
                <w:lang w:val="en-US" w:eastAsia="zh-CN"/>
              </w:rPr>
              <w:t>10</w:t>
            </w:r>
            <w:r>
              <w:rPr>
                <w:rFonts w:hint="eastAsia"/>
                <w:color w:val="auto"/>
                <w:kern w:val="0"/>
                <w:sz w:val="21"/>
                <w:szCs w:val="21"/>
              </w:rPr>
              <w:t>m</w:t>
            </w:r>
            <w:r>
              <w:rPr>
                <w:rFonts w:hint="eastAsia"/>
                <w:color w:val="auto"/>
                <w:kern w:val="0"/>
                <w:sz w:val="21"/>
                <w:szCs w:val="21"/>
                <w:vertAlign w:val="superscript"/>
              </w:rPr>
              <w:t>3</w:t>
            </w:r>
            <w:r>
              <w:rPr>
                <w:rFonts w:hint="eastAsia"/>
                <w:color w:val="auto"/>
                <w:kern w:val="0"/>
                <w:sz w:val="21"/>
                <w:szCs w:val="21"/>
                <w:lang w:eastAsia="zh-CN"/>
              </w:rPr>
              <w:t>废水收集池</w:t>
            </w:r>
            <w:r>
              <w:rPr>
                <w:rFonts w:hint="eastAsia"/>
                <w:color w:val="auto"/>
                <w:kern w:val="0"/>
                <w:sz w:val="21"/>
                <w:szCs w:val="21"/>
              </w:rPr>
              <w:t>用于存储鸡舍</w:t>
            </w:r>
            <w:r>
              <w:rPr>
                <w:rFonts w:hint="eastAsia"/>
                <w:color w:val="auto"/>
                <w:kern w:val="0"/>
                <w:sz w:val="21"/>
                <w:szCs w:val="21"/>
                <w:lang w:eastAsia="zh-CN"/>
              </w:rPr>
              <w:t>养殖</w:t>
            </w:r>
            <w:r>
              <w:rPr>
                <w:rFonts w:hint="eastAsia"/>
                <w:color w:val="auto"/>
                <w:kern w:val="0"/>
                <w:sz w:val="21"/>
                <w:szCs w:val="21"/>
              </w:rPr>
              <w:t>废水，</w:t>
            </w:r>
            <w:r>
              <w:rPr>
                <w:rFonts w:hint="eastAsia"/>
                <w:color w:val="auto"/>
                <w:kern w:val="0"/>
                <w:sz w:val="21"/>
                <w:szCs w:val="21"/>
                <w:lang w:eastAsia="zh-CN"/>
              </w:rPr>
              <w:t>日</w:t>
            </w:r>
            <w:r>
              <w:rPr>
                <w:rFonts w:hint="eastAsia"/>
                <w:color w:val="auto"/>
                <w:kern w:val="0"/>
                <w:sz w:val="21"/>
                <w:szCs w:val="21"/>
                <w:highlight w:val="none"/>
                <w:lang w:eastAsia="zh-CN"/>
              </w:rPr>
              <w:t>产日清，由罐车直接拉走外售至辰泰（辽宁）生物科技有限公司做有机肥</w:t>
            </w:r>
            <w:r>
              <w:rPr>
                <w:rFonts w:hint="eastAsia"/>
                <w:color w:val="auto"/>
                <w:kern w:val="0"/>
                <w:sz w:val="21"/>
                <w:szCs w:val="21"/>
                <w:highlight w:val="none"/>
              </w:rPr>
              <w:t>。</w:t>
            </w:r>
          </w:p>
        </w:tc>
        <w:tc>
          <w:tcPr>
            <w:tcW w:w="385" w:type="pct"/>
            <w:vAlign w:val="center"/>
          </w:tcPr>
          <w:p w14:paraId="128BB89D">
            <w:pPr>
              <w:jc w:val="center"/>
              <w:textAlignment w:val="baseline"/>
              <w:rPr>
                <w:color w:val="auto"/>
                <w:kern w:val="0"/>
                <w:sz w:val="21"/>
                <w:szCs w:val="21"/>
              </w:rPr>
            </w:pPr>
            <w:r>
              <w:rPr>
                <w:rFonts w:hint="eastAsia"/>
                <w:color w:val="auto"/>
                <w:kern w:val="0"/>
                <w:sz w:val="21"/>
                <w:szCs w:val="21"/>
              </w:rPr>
              <w:t>符合</w:t>
            </w:r>
          </w:p>
        </w:tc>
      </w:tr>
    </w:tbl>
    <w:p w14:paraId="691B50F3">
      <w:pPr>
        <w:snapToGrid w:val="0"/>
        <w:spacing w:line="360" w:lineRule="auto"/>
        <w:ind w:firstLine="482" w:firstLineChars="200"/>
        <w:rPr>
          <w:b/>
          <w:color w:val="auto"/>
          <w:sz w:val="24"/>
        </w:rPr>
      </w:pPr>
      <w:r>
        <w:rPr>
          <w:rFonts w:hint="eastAsia"/>
          <w:b/>
          <w:color w:val="auto"/>
          <w:sz w:val="24"/>
        </w:rPr>
        <w:t>（</w:t>
      </w:r>
      <w:r>
        <w:rPr>
          <w:rFonts w:hint="eastAsia"/>
          <w:b/>
          <w:color w:val="auto"/>
          <w:sz w:val="24"/>
          <w:lang w:eastAsia="zh-CN"/>
        </w:rPr>
        <w:t>五</w:t>
      </w:r>
      <w:r>
        <w:rPr>
          <w:rFonts w:hint="eastAsia"/>
          <w:b/>
          <w:color w:val="auto"/>
          <w:sz w:val="24"/>
        </w:rPr>
        <w:t>）</w:t>
      </w:r>
      <w:r>
        <w:rPr>
          <w:b/>
          <w:color w:val="auto"/>
          <w:sz w:val="24"/>
        </w:rPr>
        <w:t>与</w:t>
      </w:r>
      <w:r>
        <w:rPr>
          <w:rFonts w:hint="eastAsia"/>
          <w:b/>
          <w:color w:val="auto"/>
          <w:sz w:val="24"/>
        </w:rPr>
        <w:t>《畜禽养殖业污染防治技术规范》</w:t>
      </w:r>
      <w:r>
        <w:rPr>
          <w:rFonts w:hint="eastAsia"/>
          <w:b/>
          <w:color w:val="auto"/>
          <w:sz w:val="24"/>
          <w:lang w:eastAsia="zh-CN"/>
        </w:rPr>
        <w:t>（</w:t>
      </w:r>
      <w:r>
        <w:rPr>
          <w:rFonts w:hint="eastAsia"/>
          <w:b/>
          <w:color w:val="auto"/>
          <w:sz w:val="24"/>
        </w:rPr>
        <w:t>HJ/T81-2001</w:t>
      </w:r>
      <w:r>
        <w:rPr>
          <w:rFonts w:hint="eastAsia"/>
          <w:b/>
          <w:color w:val="auto"/>
          <w:sz w:val="24"/>
          <w:lang w:eastAsia="zh-CN"/>
        </w:rPr>
        <w:t>）</w:t>
      </w:r>
      <w:r>
        <w:rPr>
          <w:b/>
          <w:color w:val="auto"/>
          <w:sz w:val="24"/>
        </w:rPr>
        <w:t>相符性分析</w:t>
      </w:r>
    </w:p>
    <w:p w14:paraId="2FFA1EBF">
      <w:pPr>
        <w:ind w:firstLine="413" w:firstLineChars="196"/>
        <w:jc w:val="center"/>
        <w:textAlignment w:val="baseline"/>
        <w:rPr>
          <w:b/>
          <w:color w:val="auto"/>
          <w:kern w:val="0"/>
          <w:szCs w:val="21"/>
        </w:rPr>
      </w:pPr>
      <w:r>
        <w:rPr>
          <w:b/>
          <w:color w:val="auto"/>
          <w:kern w:val="0"/>
          <w:szCs w:val="21"/>
        </w:rPr>
        <w:t>表1</w:t>
      </w:r>
      <w:r>
        <w:rPr>
          <w:rFonts w:hint="eastAsia"/>
          <w:b/>
          <w:color w:val="auto"/>
          <w:kern w:val="0"/>
          <w:szCs w:val="21"/>
          <w:lang w:val="en-US" w:eastAsia="zh-CN"/>
        </w:rPr>
        <w:t>.4</w:t>
      </w:r>
      <w:r>
        <w:rPr>
          <w:b/>
          <w:color w:val="auto"/>
          <w:kern w:val="0"/>
          <w:szCs w:val="21"/>
        </w:rPr>
        <w:t>-</w:t>
      </w:r>
      <w:r>
        <w:rPr>
          <w:rFonts w:hint="eastAsia"/>
          <w:b/>
          <w:color w:val="auto"/>
          <w:kern w:val="0"/>
          <w:szCs w:val="21"/>
          <w:lang w:val="en-US" w:eastAsia="zh-CN"/>
        </w:rPr>
        <w:t>3</w:t>
      </w:r>
      <w:r>
        <w:rPr>
          <w:b/>
          <w:color w:val="auto"/>
          <w:kern w:val="0"/>
          <w:szCs w:val="21"/>
        </w:rPr>
        <w:t xml:space="preserve">    与相关管理要求相符性分析一览表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0"/>
        <w:gridCol w:w="352"/>
        <w:gridCol w:w="3818"/>
        <w:gridCol w:w="2955"/>
        <w:gridCol w:w="763"/>
      </w:tblGrid>
      <w:tr w14:paraId="635FBF7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5AC57F22">
            <w:pPr>
              <w:jc w:val="center"/>
              <w:textAlignment w:val="baseline"/>
              <w:rPr>
                <w:color w:val="auto"/>
                <w:kern w:val="0"/>
                <w:szCs w:val="21"/>
              </w:rPr>
            </w:pPr>
            <w:r>
              <w:rPr>
                <w:color w:val="auto"/>
                <w:kern w:val="0"/>
                <w:szCs w:val="21"/>
              </w:rPr>
              <w:t>序号</w:t>
            </w:r>
          </w:p>
        </w:tc>
        <w:tc>
          <w:tcPr>
            <w:tcW w:w="4170" w:type="dxa"/>
            <w:gridSpan w:val="2"/>
            <w:vAlign w:val="center"/>
          </w:tcPr>
          <w:p w14:paraId="055B0D6F">
            <w:pPr>
              <w:jc w:val="center"/>
              <w:rPr>
                <w:color w:val="auto"/>
                <w:kern w:val="0"/>
                <w:szCs w:val="21"/>
              </w:rPr>
            </w:pPr>
            <w:r>
              <w:rPr>
                <w:color w:val="auto"/>
                <w:kern w:val="0"/>
                <w:szCs w:val="21"/>
              </w:rPr>
              <w:t>管理要求</w:t>
            </w:r>
          </w:p>
        </w:tc>
        <w:tc>
          <w:tcPr>
            <w:tcW w:w="2955" w:type="dxa"/>
            <w:vAlign w:val="center"/>
          </w:tcPr>
          <w:p w14:paraId="50DF3AE0">
            <w:pPr>
              <w:jc w:val="center"/>
              <w:rPr>
                <w:color w:val="auto"/>
                <w:kern w:val="0"/>
                <w:szCs w:val="21"/>
              </w:rPr>
            </w:pPr>
            <w:r>
              <w:rPr>
                <w:color w:val="auto"/>
                <w:kern w:val="0"/>
                <w:szCs w:val="21"/>
              </w:rPr>
              <w:t>符合性分析</w:t>
            </w:r>
          </w:p>
        </w:tc>
        <w:tc>
          <w:tcPr>
            <w:tcW w:w="763" w:type="dxa"/>
            <w:vAlign w:val="center"/>
          </w:tcPr>
          <w:p w14:paraId="785C9B17">
            <w:pPr>
              <w:jc w:val="center"/>
              <w:textAlignment w:val="baseline"/>
              <w:rPr>
                <w:color w:val="auto"/>
                <w:kern w:val="0"/>
                <w:szCs w:val="21"/>
              </w:rPr>
            </w:pPr>
            <w:r>
              <w:rPr>
                <w:color w:val="auto"/>
                <w:kern w:val="0"/>
                <w:szCs w:val="21"/>
              </w:rPr>
              <w:t>结论</w:t>
            </w:r>
          </w:p>
        </w:tc>
      </w:tr>
      <w:tr w14:paraId="728E15A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5064B5C2">
            <w:pPr>
              <w:jc w:val="center"/>
              <w:textAlignment w:val="baseline"/>
              <w:rPr>
                <w:color w:val="auto"/>
                <w:kern w:val="0"/>
                <w:szCs w:val="21"/>
              </w:rPr>
            </w:pPr>
            <w:r>
              <w:rPr>
                <w:color w:val="auto"/>
                <w:kern w:val="0"/>
                <w:szCs w:val="21"/>
              </w:rPr>
              <w:t>1</w:t>
            </w:r>
          </w:p>
        </w:tc>
        <w:tc>
          <w:tcPr>
            <w:tcW w:w="352" w:type="dxa"/>
            <w:vMerge w:val="restart"/>
            <w:vAlign w:val="center"/>
          </w:tcPr>
          <w:p w14:paraId="6E6E6D10">
            <w:pPr>
              <w:widowControl/>
              <w:jc w:val="center"/>
              <w:textAlignment w:val="baseline"/>
              <w:rPr>
                <w:color w:val="auto"/>
                <w:kern w:val="0"/>
                <w:szCs w:val="21"/>
              </w:rPr>
            </w:pPr>
            <w:r>
              <w:rPr>
                <w:rFonts w:hint="eastAsia"/>
                <w:color w:val="auto"/>
                <w:kern w:val="0"/>
                <w:szCs w:val="21"/>
              </w:rPr>
              <w:t>选址要求</w:t>
            </w:r>
          </w:p>
        </w:tc>
        <w:tc>
          <w:tcPr>
            <w:tcW w:w="3818" w:type="dxa"/>
            <w:vAlign w:val="center"/>
          </w:tcPr>
          <w:p w14:paraId="1BDDB4BA">
            <w:pPr>
              <w:widowControl/>
              <w:jc w:val="center"/>
              <w:textAlignment w:val="baseline"/>
              <w:rPr>
                <w:color w:val="auto"/>
                <w:szCs w:val="21"/>
              </w:rPr>
            </w:pPr>
            <w:r>
              <w:rPr>
                <w:color w:val="auto"/>
                <w:szCs w:val="21"/>
              </w:rPr>
              <w:t>禁止在下列区域内建设畜禽养殖场：①生活饮用水水源保护区、风景名胜区、自然保护区的核心区及缓冲区；②城市和城镇居民区，包括文教科研区、医疗区、商业区、工业区、游览区等人口集中地区；③县级人民政府依法划定的禁养区域；④国家或地方法律、法规规定需特殊保护的其他区域。</w:t>
            </w:r>
          </w:p>
        </w:tc>
        <w:tc>
          <w:tcPr>
            <w:tcW w:w="2955" w:type="dxa"/>
            <w:vAlign w:val="center"/>
          </w:tcPr>
          <w:p w14:paraId="0BB37B05">
            <w:pPr>
              <w:widowControl/>
              <w:jc w:val="center"/>
              <w:textAlignment w:val="baseline"/>
              <w:rPr>
                <w:rFonts w:hint="eastAsia" w:eastAsia="宋体"/>
                <w:color w:val="auto"/>
                <w:kern w:val="0"/>
                <w:szCs w:val="21"/>
                <w:lang w:eastAsia="zh-CN"/>
              </w:rPr>
            </w:pPr>
            <w:r>
              <w:rPr>
                <w:rFonts w:hint="eastAsia"/>
                <w:color w:val="auto"/>
                <w:kern w:val="0"/>
                <w:szCs w:val="21"/>
              </w:rPr>
              <w:t>本项目位于</w:t>
            </w:r>
            <w:r>
              <w:rPr>
                <w:rFonts w:hint="eastAsia"/>
                <w:color w:val="auto"/>
                <w:kern w:val="0"/>
                <w:szCs w:val="21"/>
                <w:lang w:eastAsia="zh-CN"/>
              </w:rPr>
              <w:t>辽宁省朝阳市北票市西官镇大巴里村</w:t>
            </w:r>
            <w:r>
              <w:rPr>
                <w:rFonts w:hint="eastAsia"/>
                <w:color w:val="auto"/>
                <w:kern w:val="0"/>
                <w:szCs w:val="21"/>
              </w:rPr>
              <w:t>，不在上述禁养区内，</w:t>
            </w:r>
            <w:r>
              <w:rPr>
                <w:rFonts w:hint="eastAsia"/>
                <w:color w:val="auto"/>
                <w:kern w:val="0"/>
                <w:szCs w:val="21"/>
                <w:highlight w:val="none"/>
              </w:rPr>
              <w:t>本项目</w:t>
            </w:r>
            <w:r>
              <w:rPr>
                <w:rFonts w:hint="eastAsia"/>
                <w:color w:val="auto"/>
                <w:kern w:val="0"/>
                <w:szCs w:val="21"/>
                <w:highlight w:val="none"/>
                <w:lang w:eastAsia="zh-CN"/>
              </w:rPr>
              <w:t>符合《北票市畜禽禁养区调整划定方案》中相关要求。</w:t>
            </w:r>
          </w:p>
        </w:tc>
        <w:tc>
          <w:tcPr>
            <w:tcW w:w="763" w:type="dxa"/>
            <w:vAlign w:val="center"/>
          </w:tcPr>
          <w:p w14:paraId="208565D6">
            <w:pPr>
              <w:jc w:val="center"/>
              <w:textAlignment w:val="baseline"/>
              <w:rPr>
                <w:color w:val="auto"/>
                <w:kern w:val="0"/>
                <w:szCs w:val="21"/>
              </w:rPr>
            </w:pPr>
            <w:r>
              <w:rPr>
                <w:color w:val="auto"/>
                <w:kern w:val="0"/>
                <w:szCs w:val="21"/>
              </w:rPr>
              <w:t>符合</w:t>
            </w:r>
          </w:p>
        </w:tc>
      </w:tr>
      <w:tr w14:paraId="2D68C6C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28F9512A">
            <w:pPr>
              <w:jc w:val="center"/>
              <w:textAlignment w:val="baseline"/>
              <w:rPr>
                <w:color w:val="auto"/>
                <w:kern w:val="0"/>
                <w:szCs w:val="21"/>
              </w:rPr>
            </w:pPr>
            <w:r>
              <w:rPr>
                <w:rFonts w:hint="eastAsia"/>
                <w:color w:val="auto"/>
                <w:kern w:val="0"/>
                <w:szCs w:val="21"/>
              </w:rPr>
              <w:t>2</w:t>
            </w:r>
          </w:p>
        </w:tc>
        <w:tc>
          <w:tcPr>
            <w:tcW w:w="352" w:type="dxa"/>
            <w:vMerge w:val="continue"/>
            <w:vAlign w:val="center"/>
          </w:tcPr>
          <w:p w14:paraId="5BD1AEFF">
            <w:pPr>
              <w:widowControl/>
              <w:jc w:val="center"/>
              <w:textAlignment w:val="baseline"/>
              <w:rPr>
                <w:color w:val="auto"/>
                <w:kern w:val="0"/>
                <w:szCs w:val="21"/>
              </w:rPr>
            </w:pPr>
          </w:p>
        </w:tc>
        <w:tc>
          <w:tcPr>
            <w:tcW w:w="3818" w:type="dxa"/>
            <w:vAlign w:val="center"/>
          </w:tcPr>
          <w:p w14:paraId="40555AF9">
            <w:pPr>
              <w:pStyle w:val="69"/>
              <w:jc w:val="center"/>
              <w:rPr>
                <w:rFonts w:ascii="Times New Roman" w:hAnsi="Times New Roman" w:eastAsia="宋体"/>
                <w:color w:val="auto"/>
                <w:kern w:val="0"/>
                <w:sz w:val="21"/>
                <w:szCs w:val="21"/>
              </w:rPr>
            </w:pPr>
            <w:r>
              <w:rPr>
                <w:rFonts w:ascii="Times New Roman" w:hAnsi="Times New Roman" w:eastAsia="宋体"/>
                <w:color w:val="auto"/>
                <w:kern w:val="0"/>
                <w:sz w:val="21"/>
                <w:szCs w:val="21"/>
              </w:rPr>
              <w:t>新建、改建、扩建的畜禽养殖场选址应避开上述规定的禁养区域，在禁建区域附近建设的，应设在上述规定的禁建区域常年主导风向的下风向或</w:t>
            </w:r>
            <w:r>
              <w:rPr>
                <w:rFonts w:hint="eastAsia" w:ascii="Times New Roman" w:hAnsi="Times New Roman" w:eastAsia="宋体"/>
                <w:color w:val="auto"/>
                <w:kern w:val="0"/>
                <w:sz w:val="21"/>
                <w:szCs w:val="21"/>
                <w:lang w:eastAsia="zh-CN"/>
              </w:rPr>
              <w:t>侧</w:t>
            </w:r>
            <w:r>
              <w:rPr>
                <w:rFonts w:ascii="Times New Roman" w:hAnsi="Times New Roman" w:eastAsia="宋体"/>
                <w:color w:val="auto"/>
                <w:kern w:val="0"/>
                <w:sz w:val="21"/>
                <w:szCs w:val="21"/>
              </w:rPr>
              <w:t>风向处，场界与禁建区域边界的最小距离不得小于500m。</w:t>
            </w:r>
          </w:p>
        </w:tc>
        <w:tc>
          <w:tcPr>
            <w:tcW w:w="2955" w:type="dxa"/>
            <w:vAlign w:val="center"/>
          </w:tcPr>
          <w:p w14:paraId="72F9ED8F">
            <w:pPr>
              <w:widowControl/>
              <w:jc w:val="center"/>
              <w:textAlignment w:val="baseline"/>
              <w:rPr>
                <w:rFonts w:hint="eastAsia"/>
                <w:color w:val="auto"/>
                <w:kern w:val="0"/>
                <w:szCs w:val="21"/>
                <w:lang w:eastAsia="zh-CN"/>
              </w:rPr>
            </w:pPr>
            <w:r>
              <w:rPr>
                <w:rFonts w:hint="eastAsia"/>
                <w:color w:val="auto"/>
                <w:kern w:val="0"/>
                <w:szCs w:val="21"/>
              </w:rPr>
              <w:t>本项目属</w:t>
            </w:r>
            <w:r>
              <w:rPr>
                <w:rFonts w:hint="eastAsia"/>
                <w:color w:val="auto"/>
                <w:kern w:val="0"/>
                <w:szCs w:val="21"/>
                <w:lang w:eastAsia="zh-CN"/>
              </w:rPr>
              <w:t>新建</w:t>
            </w:r>
            <w:r>
              <w:rPr>
                <w:rFonts w:hint="eastAsia"/>
                <w:color w:val="auto"/>
                <w:kern w:val="0"/>
                <w:szCs w:val="21"/>
              </w:rPr>
              <w:t>项目，位于</w:t>
            </w:r>
            <w:r>
              <w:rPr>
                <w:rFonts w:hint="eastAsia"/>
                <w:color w:val="auto"/>
                <w:kern w:val="0"/>
                <w:szCs w:val="21"/>
                <w:lang w:eastAsia="zh-CN"/>
              </w:rPr>
              <w:t>辽宁省朝阳市北票市西官镇大巴里村</w:t>
            </w:r>
            <w:r>
              <w:rPr>
                <w:rFonts w:hint="eastAsia"/>
                <w:color w:val="auto"/>
                <w:kern w:val="0"/>
                <w:szCs w:val="21"/>
              </w:rPr>
              <w:t>，不在上述禁养区内</w:t>
            </w:r>
            <w:r>
              <w:rPr>
                <w:rFonts w:hint="eastAsia"/>
                <w:color w:val="auto"/>
                <w:kern w:val="0"/>
                <w:szCs w:val="21"/>
                <w:lang w:eastAsia="zh-CN"/>
              </w:rPr>
              <w:t>。</w:t>
            </w:r>
          </w:p>
          <w:p w14:paraId="768F1917">
            <w:pPr>
              <w:widowControl/>
              <w:jc w:val="center"/>
              <w:textAlignment w:val="baseline"/>
              <w:rPr>
                <w:rFonts w:hint="eastAsia" w:eastAsia="宋体"/>
                <w:color w:val="auto"/>
                <w:kern w:val="0"/>
                <w:szCs w:val="21"/>
                <w:lang w:eastAsia="zh-CN"/>
              </w:rPr>
            </w:pPr>
            <w:r>
              <w:rPr>
                <w:rFonts w:hint="eastAsia"/>
                <w:color w:val="auto"/>
                <w:kern w:val="0"/>
                <w:szCs w:val="21"/>
                <w:lang w:eastAsia="zh-CN"/>
              </w:rPr>
              <w:t>项目</w:t>
            </w:r>
            <w:r>
              <w:rPr>
                <w:rFonts w:hint="eastAsia"/>
                <w:color w:val="auto"/>
                <w:kern w:val="0"/>
                <w:szCs w:val="21"/>
                <w:highlight w:val="none"/>
                <w:lang w:eastAsia="zh-CN"/>
              </w:rPr>
              <w:t>场界</w:t>
            </w:r>
            <w:r>
              <w:rPr>
                <w:rFonts w:hint="eastAsia"/>
                <w:color w:val="auto"/>
                <w:kern w:val="0"/>
                <w:szCs w:val="21"/>
                <w:highlight w:val="none"/>
              </w:rPr>
              <w:t>距离最近的敏感</w:t>
            </w:r>
            <w:r>
              <w:rPr>
                <w:rFonts w:hint="eastAsia"/>
                <w:color w:val="auto"/>
                <w:kern w:val="0"/>
                <w:szCs w:val="21"/>
                <w:highlight w:val="none"/>
                <w:lang w:eastAsia="zh-CN"/>
              </w:rPr>
              <w:t>点</w:t>
            </w:r>
            <w:r>
              <w:rPr>
                <w:rFonts w:hint="eastAsia"/>
                <w:color w:val="auto"/>
                <w:kern w:val="0"/>
                <w:szCs w:val="21"/>
                <w:highlight w:val="none"/>
              </w:rPr>
              <w:t>（</w:t>
            </w:r>
            <w:r>
              <w:rPr>
                <w:rFonts w:hint="eastAsia"/>
                <w:color w:val="auto"/>
                <w:kern w:val="0"/>
                <w:szCs w:val="21"/>
                <w:highlight w:val="none"/>
                <w:lang w:eastAsia="zh-CN"/>
              </w:rPr>
              <w:t>南侧姜家沟村：为村屯，不属于禁建区范围</w:t>
            </w:r>
            <w:r>
              <w:rPr>
                <w:rFonts w:hint="eastAsia"/>
                <w:color w:val="auto"/>
                <w:kern w:val="0"/>
                <w:szCs w:val="21"/>
                <w:highlight w:val="none"/>
              </w:rPr>
              <w:t>）</w:t>
            </w:r>
            <w:r>
              <w:rPr>
                <w:rFonts w:hint="eastAsia"/>
                <w:color w:val="auto"/>
                <w:szCs w:val="21"/>
                <w:highlight w:val="none"/>
                <w:lang w:val="en-US" w:eastAsia="zh-CN"/>
              </w:rPr>
              <w:t>490</w:t>
            </w:r>
            <w:r>
              <w:rPr>
                <w:rFonts w:hint="eastAsia"/>
                <w:color w:val="auto"/>
                <w:szCs w:val="21"/>
                <w:highlight w:val="none"/>
              </w:rPr>
              <w:t>m</w:t>
            </w:r>
            <w:r>
              <w:rPr>
                <w:rFonts w:hint="eastAsia"/>
                <w:color w:val="auto"/>
                <w:szCs w:val="21"/>
                <w:highlight w:val="none"/>
                <w:lang w:eastAsia="zh-CN"/>
              </w:rPr>
              <w:t>。</w:t>
            </w:r>
          </w:p>
        </w:tc>
        <w:tc>
          <w:tcPr>
            <w:tcW w:w="763" w:type="dxa"/>
            <w:vAlign w:val="center"/>
          </w:tcPr>
          <w:p w14:paraId="5EB15E53">
            <w:pPr>
              <w:jc w:val="center"/>
              <w:textAlignment w:val="baseline"/>
              <w:rPr>
                <w:color w:val="auto"/>
                <w:kern w:val="0"/>
                <w:szCs w:val="21"/>
              </w:rPr>
            </w:pPr>
            <w:r>
              <w:rPr>
                <w:color w:val="auto"/>
                <w:kern w:val="0"/>
                <w:szCs w:val="21"/>
              </w:rPr>
              <w:t>符合</w:t>
            </w:r>
          </w:p>
        </w:tc>
      </w:tr>
      <w:tr w14:paraId="4657B2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4922583D">
            <w:pPr>
              <w:jc w:val="center"/>
              <w:textAlignment w:val="baseline"/>
              <w:rPr>
                <w:color w:val="auto"/>
                <w:kern w:val="0"/>
                <w:szCs w:val="21"/>
              </w:rPr>
            </w:pPr>
            <w:r>
              <w:rPr>
                <w:rFonts w:hint="eastAsia"/>
                <w:color w:val="auto"/>
                <w:kern w:val="0"/>
                <w:szCs w:val="21"/>
              </w:rPr>
              <w:t>3</w:t>
            </w:r>
          </w:p>
        </w:tc>
        <w:tc>
          <w:tcPr>
            <w:tcW w:w="352" w:type="dxa"/>
            <w:vMerge w:val="restart"/>
            <w:vAlign w:val="center"/>
          </w:tcPr>
          <w:p w14:paraId="7F85B3E0">
            <w:pPr>
              <w:widowControl/>
              <w:jc w:val="center"/>
              <w:textAlignment w:val="baseline"/>
              <w:rPr>
                <w:color w:val="auto"/>
                <w:kern w:val="0"/>
                <w:szCs w:val="21"/>
              </w:rPr>
            </w:pPr>
            <w:r>
              <w:rPr>
                <w:rFonts w:hint="eastAsia"/>
                <w:color w:val="auto"/>
                <w:kern w:val="0"/>
                <w:szCs w:val="21"/>
              </w:rPr>
              <w:t>场区布局与清粪</w:t>
            </w:r>
          </w:p>
          <w:p w14:paraId="40276825">
            <w:pPr>
              <w:widowControl/>
              <w:jc w:val="center"/>
              <w:textAlignment w:val="baseline"/>
              <w:rPr>
                <w:color w:val="auto"/>
                <w:kern w:val="0"/>
                <w:szCs w:val="21"/>
              </w:rPr>
            </w:pPr>
            <w:r>
              <w:rPr>
                <w:rFonts w:hint="eastAsia"/>
                <w:color w:val="auto"/>
                <w:kern w:val="0"/>
                <w:szCs w:val="21"/>
              </w:rPr>
              <w:t>工艺</w:t>
            </w:r>
          </w:p>
        </w:tc>
        <w:tc>
          <w:tcPr>
            <w:tcW w:w="3818" w:type="dxa"/>
            <w:vAlign w:val="center"/>
          </w:tcPr>
          <w:p w14:paraId="15319BAD">
            <w:pPr>
              <w:widowControl/>
              <w:jc w:val="center"/>
              <w:textAlignment w:val="baseline"/>
              <w:rPr>
                <w:color w:val="auto"/>
                <w:kern w:val="0"/>
                <w:szCs w:val="21"/>
              </w:rPr>
            </w:pPr>
            <w:r>
              <w:rPr>
                <w:rFonts w:hint="eastAsia"/>
                <w:color w:val="auto"/>
                <w:kern w:val="0"/>
                <w:szCs w:val="21"/>
              </w:rPr>
              <w:t>新建、改建、扩建的畜禽养殖场应实现生产区、生活管理区的隔离，粪便污水处理设施和畜禽尸体焚烧炉应设在养殖场生产区、生活管理区的常年主导风向的下风向或测风向处</w:t>
            </w:r>
          </w:p>
        </w:tc>
        <w:tc>
          <w:tcPr>
            <w:tcW w:w="2955" w:type="dxa"/>
            <w:vAlign w:val="center"/>
          </w:tcPr>
          <w:p w14:paraId="43DA0255">
            <w:pPr>
              <w:widowControl/>
              <w:jc w:val="center"/>
              <w:textAlignment w:val="baseline"/>
              <w:rPr>
                <w:color w:val="auto"/>
                <w:kern w:val="0"/>
                <w:szCs w:val="21"/>
              </w:rPr>
            </w:pPr>
            <w:r>
              <w:rPr>
                <w:rFonts w:hint="eastAsia"/>
                <w:color w:val="auto"/>
                <w:kern w:val="0"/>
                <w:szCs w:val="21"/>
              </w:rPr>
              <w:t>本项目属</w:t>
            </w:r>
            <w:r>
              <w:rPr>
                <w:rFonts w:hint="eastAsia"/>
                <w:color w:val="auto"/>
                <w:kern w:val="0"/>
                <w:szCs w:val="21"/>
                <w:lang w:eastAsia="zh-CN"/>
              </w:rPr>
              <w:t>新建</w:t>
            </w:r>
            <w:r>
              <w:rPr>
                <w:rFonts w:hint="eastAsia"/>
                <w:color w:val="auto"/>
                <w:kern w:val="0"/>
                <w:szCs w:val="21"/>
              </w:rPr>
              <w:t>项目，生活管理区与养殖区分开设置，粪污处置</w:t>
            </w:r>
            <w:r>
              <w:rPr>
                <w:rFonts w:hint="eastAsia"/>
                <w:color w:val="auto"/>
                <w:kern w:val="0"/>
                <w:szCs w:val="21"/>
                <w:lang w:eastAsia="zh-CN"/>
              </w:rPr>
              <w:t>区</w:t>
            </w:r>
            <w:r>
              <w:rPr>
                <w:rFonts w:hint="eastAsia"/>
                <w:color w:val="auto"/>
                <w:kern w:val="0"/>
                <w:szCs w:val="21"/>
              </w:rPr>
              <w:t>位于生产区</w:t>
            </w:r>
            <w:r>
              <w:rPr>
                <w:rFonts w:hint="eastAsia"/>
                <w:color w:val="auto"/>
                <w:kern w:val="0"/>
                <w:szCs w:val="21"/>
                <w:lang w:eastAsia="zh-CN"/>
              </w:rPr>
              <w:t>北</w:t>
            </w:r>
            <w:r>
              <w:rPr>
                <w:rFonts w:hint="eastAsia"/>
                <w:color w:val="auto"/>
                <w:kern w:val="0"/>
                <w:szCs w:val="21"/>
              </w:rPr>
              <w:t>侧，即常年主导风向的</w:t>
            </w:r>
            <w:r>
              <w:rPr>
                <w:rFonts w:hint="eastAsia"/>
                <w:color w:val="auto"/>
                <w:kern w:val="0"/>
                <w:szCs w:val="21"/>
                <w:lang w:eastAsia="zh-CN"/>
              </w:rPr>
              <w:t>下</w:t>
            </w:r>
            <w:r>
              <w:rPr>
                <w:rFonts w:hint="eastAsia"/>
                <w:color w:val="auto"/>
                <w:kern w:val="0"/>
                <w:szCs w:val="21"/>
              </w:rPr>
              <w:t>风向，无畜禽尸体焚烧</w:t>
            </w:r>
            <w:r>
              <w:rPr>
                <w:rFonts w:hint="eastAsia"/>
                <w:color w:val="auto"/>
                <w:kern w:val="0"/>
                <w:szCs w:val="21"/>
                <w:lang w:eastAsia="zh-CN"/>
              </w:rPr>
              <w:t>设施</w:t>
            </w:r>
            <w:r>
              <w:rPr>
                <w:rFonts w:hint="eastAsia"/>
                <w:color w:val="auto"/>
                <w:kern w:val="0"/>
                <w:szCs w:val="21"/>
              </w:rPr>
              <w:t>。</w:t>
            </w:r>
          </w:p>
        </w:tc>
        <w:tc>
          <w:tcPr>
            <w:tcW w:w="763" w:type="dxa"/>
            <w:vAlign w:val="center"/>
          </w:tcPr>
          <w:p w14:paraId="60427657">
            <w:pPr>
              <w:jc w:val="center"/>
              <w:textAlignment w:val="baseline"/>
              <w:rPr>
                <w:color w:val="auto"/>
                <w:kern w:val="0"/>
                <w:szCs w:val="21"/>
              </w:rPr>
            </w:pPr>
            <w:r>
              <w:rPr>
                <w:color w:val="auto"/>
                <w:kern w:val="0"/>
                <w:szCs w:val="21"/>
              </w:rPr>
              <w:t>符合</w:t>
            </w:r>
          </w:p>
        </w:tc>
      </w:tr>
      <w:tr w14:paraId="0547690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691B5600">
            <w:pPr>
              <w:jc w:val="center"/>
              <w:textAlignment w:val="baseline"/>
              <w:rPr>
                <w:color w:val="auto"/>
                <w:kern w:val="0"/>
                <w:szCs w:val="21"/>
              </w:rPr>
            </w:pPr>
            <w:r>
              <w:rPr>
                <w:rFonts w:hint="eastAsia"/>
                <w:color w:val="auto"/>
                <w:kern w:val="0"/>
                <w:szCs w:val="21"/>
              </w:rPr>
              <w:t>4</w:t>
            </w:r>
          </w:p>
        </w:tc>
        <w:tc>
          <w:tcPr>
            <w:tcW w:w="352" w:type="dxa"/>
            <w:vMerge w:val="continue"/>
            <w:vAlign w:val="center"/>
          </w:tcPr>
          <w:p w14:paraId="1C5EED50">
            <w:pPr>
              <w:widowControl/>
              <w:jc w:val="center"/>
              <w:textAlignment w:val="baseline"/>
              <w:rPr>
                <w:color w:val="auto"/>
                <w:kern w:val="0"/>
                <w:szCs w:val="21"/>
              </w:rPr>
            </w:pPr>
          </w:p>
        </w:tc>
        <w:tc>
          <w:tcPr>
            <w:tcW w:w="3818" w:type="dxa"/>
            <w:vAlign w:val="center"/>
          </w:tcPr>
          <w:p w14:paraId="6E3267E7">
            <w:pPr>
              <w:widowControl/>
              <w:jc w:val="center"/>
              <w:textAlignment w:val="baseline"/>
              <w:rPr>
                <w:color w:val="auto"/>
                <w:kern w:val="0"/>
                <w:szCs w:val="21"/>
              </w:rPr>
            </w:pPr>
            <w:r>
              <w:rPr>
                <w:rFonts w:hint="eastAsia"/>
                <w:color w:val="auto"/>
                <w:kern w:val="0"/>
                <w:szCs w:val="21"/>
              </w:rPr>
              <w:t>养殖场的排水系统应实行雨水和污水收集输送系统</w:t>
            </w:r>
            <w:r>
              <w:rPr>
                <w:rFonts w:hint="eastAsia"/>
                <w:color w:val="auto"/>
                <w:kern w:val="0"/>
                <w:szCs w:val="21"/>
                <w:lang w:val="zh-CN"/>
              </w:rPr>
              <w:t>分离.</w:t>
            </w:r>
            <w:r>
              <w:rPr>
                <w:rFonts w:hint="eastAsia"/>
                <w:color w:val="auto"/>
                <w:kern w:val="0"/>
                <w:szCs w:val="21"/>
              </w:rPr>
              <w:t>在场区内外设置的污水收集输送系统，不得采取明沟布设。</w:t>
            </w:r>
          </w:p>
        </w:tc>
        <w:tc>
          <w:tcPr>
            <w:tcW w:w="2955" w:type="dxa"/>
            <w:vAlign w:val="center"/>
          </w:tcPr>
          <w:p w14:paraId="7AC5F397">
            <w:pPr>
              <w:widowControl/>
              <w:jc w:val="center"/>
              <w:textAlignment w:val="baseline"/>
              <w:rPr>
                <w:rFonts w:hint="eastAsia" w:eastAsia="宋体"/>
                <w:color w:val="auto"/>
                <w:kern w:val="0"/>
                <w:szCs w:val="21"/>
                <w:highlight w:val="none"/>
                <w:lang w:eastAsia="zh-CN"/>
              </w:rPr>
            </w:pPr>
            <w:r>
              <w:rPr>
                <w:rFonts w:hint="eastAsia"/>
                <w:color w:val="auto"/>
                <w:kern w:val="0"/>
                <w:szCs w:val="21"/>
                <w:highlight w:val="none"/>
              </w:rPr>
              <w:t>本项目</w:t>
            </w:r>
            <w:r>
              <w:rPr>
                <w:color w:val="auto"/>
                <w:kern w:val="0"/>
                <w:szCs w:val="21"/>
                <w:highlight w:val="none"/>
              </w:rPr>
              <w:t>雨污分流，厂区内设置专用污水管道和雨水管道</w:t>
            </w:r>
            <w:r>
              <w:rPr>
                <w:rFonts w:hint="eastAsia"/>
                <w:color w:val="auto"/>
                <w:kern w:val="0"/>
                <w:szCs w:val="21"/>
                <w:highlight w:val="none"/>
              </w:rPr>
              <w:t>，雨水通过雨水管网排出厂区</w:t>
            </w:r>
            <w:r>
              <w:rPr>
                <w:rFonts w:hint="eastAsia"/>
                <w:color w:val="auto"/>
                <w:kern w:val="0"/>
                <w:szCs w:val="21"/>
                <w:highlight w:val="none"/>
                <w:lang w:eastAsia="zh-CN"/>
              </w:rPr>
              <w:t>；</w:t>
            </w:r>
            <w:r>
              <w:rPr>
                <w:rFonts w:hint="eastAsia"/>
                <w:color w:val="auto"/>
                <w:kern w:val="0"/>
                <w:szCs w:val="21"/>
                <w:highlight w:val="none"/>
              </w:rPr>
              <w:t>设置</w:t>
            </w:r>
            <w:r>
              <w:rPr>
                <w:rFonts w:hint="eastAsia"/>
                <w:color w:val="auto"/>
                <w:kern w:val="0"/>
                <w:szCs w:val="21"/>
                <w:highlight w:val="none"/>
                <w:lang w:val="en-US" w:eastAsia="zh-CN"/>
              </w:rPr>
              <w:t>8座</w:t>
            </w:r>
            <w:r>
              <w:rPr>
                <w:rFonts w:hint="eastAsia"/>
                <w:color w:val="auto"/>
                <w:kern w:val="0"/>
                <w:szCs w:val="21"/>
                <w:highlight w:val="none"/>
              </w:rPr>
              <w:t>个</w:t>
            </w:r>
            <w:r>
              <w:rPr>
                <w:rFonts w:hint="eastAsia"/>
                <w:color w:val="auto"/>
                <w:kern w:val="0"/>
                <w:szCs w:val="21"/>
                <w:highlight w:val="none"/>
                <w:lang w:val="en-US" w:eastAsia="zh-CN"/>
              </w:rPr>
              <w:t>10</w:t>
            </w:r>
            <w:r>
              <w:rPr>
                <w:rFonts w:hint="eastAsia"/>
                <w:color w:val="auto"/>
                <w:kern w:val="0"/>
                <w:szCs w:val="21"/>
                <w:highlight w:val="none"/>
              </w:rPr>
              <w:t>m</w:t>
            </w:r>
            <w:r>
              <w:rPr>
                <w:rFonts w:hint="eastAsia"/>
                <w:color w:val="auto"/>
                <w:kern w:val="0"/>
                <w:szCs w:val="21"/>
                <w:highlight w:val="none"/>
                <w:vertAlign w:val="superscript"/>
              </w:rPr>
              <w:t>3</w:t>
            </w:r>
            <w:r>
              <w:rPr>
                <w:rFonts w:hint="eastAsia"/>
                <w:color w:val="auto"/>
                <w:kern w:val="0"/>
                <w:szCs w:val="21"/>
                <w:highlight w:val="none"/>
                <w:lang w:eastAsia="zh-CN"/>
              </w:rPr>
              <w:t>废水收集池</w:t>
            </w:r>
            <w:r>
              <w:rPr>
                <w:rFonts w:hint="eastAsia"/>
                <w:color w:val="auto"/>
                <w:kern w:val="0"/>
                <w:szCs w:val="21"/>
                <w:highlight w:val="none"/>
              </w:rPr>
              <w:t>用于存储鸡舍</w:t>
            </w:r>
            <w:r>
              <w:rPr>
                <w:rFonts w:hint="eastAsia"/>
                <w:color w:val="auto"/>
                <w:kern w:val="0"/>
                <w:szCs w:val="21"/>
                <w:highlight w:val="none"/>
                <w:lang w:eastAsia="zh-CN"/>
              </w:rPr>
              <w:t>养殖</w:t>
            </w:r>
            <w:r>
              <w:rPr>
                <w:rFonts w:hint="eastAsia"/>
                <w:color w:val="auto"/>
                <w:kern w:val="0"/>
                <w:szCs w:val="21"/>
                <w:highlight w:val="none"/>
              </w:rPr>
              <w:t>废水，</w:t>
            </w:r>
            <w:r>
              <w:rPr>
                <w:rFonts w:hint="eastAsia"/>
                <w:color w:val="auto"/>
                <w:kern w:val="0"/>
                <w:szCs w:val="21"/>
                <w:highlight w:val="none"/>
                <w:lang w:eastAsia="zh-CN"/>
              </w:rPr>
              <w:t>日产日清，由罐车直接拉走外售至辰泰（辽宁）生物科技有限公司做有机肥</w:t>
            </w:r>
            <w:r>
              <w:rPr>
                <w:rFonts w:hint="eastAsia"/>
                <w:color w:val="auto"/>
                <w:kern w:val="0"/>
                <w:szCs w:val="21"/>
                <w:highlight w:val="none"/>
              </w:rPr>
              <w:t>。</w:t>
            </w:r>
          </w:p>
        </w:tc>
        <w:tc>
          <w:tcPr>
            <w:tcW w:w="763" w:type="dxa"/>
            <w:vAlign w:val="center"/>
          </w:tcPr>
          <w:p w14:paraId="07BC34CD">
            <w:pPr>
              <w:jc w:val="center"/>
              <w:textAlignment w:val="baseline"/>
              <w:rPr>
                <w:color w:val="auto"/>
                <w:kern w:val="0"/>
                <w:szCs w:val="21"/>
              </w:rPr>
            </w:pPr>
            <w:r>
              <w:rPr>
                <w:color w:val="auto"/>
                <w:kern w:val="0"/>
                <w:szCs w:val="21"/>
              </w:rPr>
              <w:t>符合</w:t>
            </w:r>
          </w:p>
        </w:tc>
      </w:tr>
      <w:tr w14:paraId="7F0C81A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6EECB444">
            <w:pPr>
              <w:jc w:val="center"/>
              <w:textAlignment w:val="baseline"/>
              <w:rPr>
                <w:color w:val="auto"/>
                <w:kern w:val="0"/>
                <w:szCs w:val="21"/>
              </w:rPr>
            </w:pPr>
            <w:r>
              <w:rPr>
                <w:rFonts w:hint="eastAsia"/>
                <w:color w:val="auto"/>
                <w:kern w:val="0"/>
                <w:szCs w:val="21"/>
              </w:rPr>
              <w:t>5</w:t>
            </w:r>
          </w:p>
        </w:tc>
        <w:tc>
          <w:tcPr>
            <w:tcW w:w="352" w:type="dxa"/>
            <w:vMerge w:val="continue"/>
            <w:vAlign w:val="center"/>
          </w:tcPr>
          <w:p w14:paraId="2DBED80F">
            <w:pPr>
              <w:widowControl/>
              <w:jc w:val="center"/>
              <w:textAlignment w:val="baseline"/>
              <w:rPr>
                <w:color w:val="auto"/>
                <w:kern w:val="0"/>
                <w:szCs w:val="21"/>
              </w:rPr>
            </w:pPr>
          </w:p>
        </w:tc>
        <w:tc>
          <w:tcPr>
            <w:tcW w:w="3818" w:type="dxa"/>
            <w:vAlign w:val="center"/>
          </w:tcPr>
          <w:p w14:paraId="58AA8224">
            <w:pPr>
              <w:widowControl/>
              <w:jc w:val="center"/>
              <w:textAlignment w:val="baseline"/>
              <w:rPr>
                <w:color w:val="auto"/>
                <w:kern w:val="0"/>
                <w:szCs w:val="21"/>
              </w:rPr>
            </w:pPr>
            <w:r>
              <w:rPr>
                <w:color w:val="auto"/>
                <w:kern w:val="0"/>
                <w:szCs w:val="21"/>
              </w:rPr>
              <w:t>新建、改建、扩建的畜禽养殖场应采取干法清粪工艺.采取有效措施将粪及时、单独清出，不可与尿、污水混合排出，并将产生的粪渣及时运至贮存或处理场所.实现日产日清。采用水冲粪、水泡粪湿法清粪工艺的养殖场，要逐步改为干法清粪工艺。</w:t>
            </w:r>
          </w:p>
        </w:tc>
        <w:tc>
          <w:tcPr>
            <w:tcW w:w="2955" w:type="dxa"/>
            <w:vAlign w:val="center"/>
          </w:tcPr>
          <w:p w14:paraId="42FE38B5">
            <w:pPr>
              <w:widowControl/>
              <w:jc w:val="center"/>
              <w:textAlignment w:val="baseline"/>
              <w:rPr>
                <w:color w:val="auto"/>
                <w:kern w:val="0"/>
                <w:szCs w:val="21"/>
                <w:highlight w:val="none"/>
              </w:rPr>
            </w:pPr>
            <w:r>
              <w:rPr>
                <w:rFonts w:hint="eastAsia"/>
                <w:color w:val="auto"/>
                <w:kern w:val="0"/>
                <w:szCs w:val="21"/>
                <w:highlight w:val="none"/>
              </w:rPr>
              <w:t>本项目属</w:t>
            </w:r>
            <w:r>
              <w:rPr>
                <w:rFonts w:hint="eastAsia"/>
                <w:color w:val="auto"/>
                <w:kern w:val="0"/>
                <w:szCs w:val="21"/>
                <w:highlight w:val="none"/>
                <w:lang w:eastAsia="zh-CN"/>
              </w:rPr>
              <w:t>新建</w:t>
            </w:r>
            <w:r>
              <w:rPr>
                <w:rFonts w:hint="eastAsia"/>
                <w:color w:val="auto"/>
                <w:kern w:val="0"/>
                <w:szCs w:val="21"/>
                <w:highlight w:val="none"/>
              </w:rPr>
              <w:t>项目，采取干清粪方式，</w:t>
            </w:r>
            <w:r>
              <w:rPr>
                <w:rFonts w:hint="eastAsia"/>
                <w:color w:val="auto"/>
                <w:kern w:val="0"/>
                <w:szCs w:val="21"/>
                <w:highlight w:val="none"/>
                <w:lang w:eastAsia="zh-CN"/>
              </w:rPr>
              <w:t>粪便</w:t>
            </w:r>
            <w:r>
              <w:rPr>
                <w:rFonts w:hint="eastAsia"/>
                <w:color w:val="auto"/>
                <w:kern w:val="0"/>
                <w:szCs w:val="21"/>
                <w:highlight w:val="none"/>
              </w:rPr>
              <w:t>与废水单独处置，不混合排出，鸡粪、鸡羽毛、饲料残渣除极端天气（约50天/年）需暂存</w:t>
            </w:r>
            <w:r>
              <w:rPr>
                <w:rFonts w:hint="eastAsia"/>
                <w:color w:val="auto"/>
                <w:kern w:val="0"/>
                <w:szCs w:val="21"/>
                <w:highlight w:val="none"/>
                <w:lang w:eastAsia="zh-CN"/>
              </w:rPr>
              <w:t>临时储粪场</w:t>
            </w:r>
            <w:r>
              <w:rPr>
                <w:rFonts w:hint="eastAsia"/>
                <w:color w:val="auto"/>
                <w:kern w:val="0"/>
                <w:szCs w:val="21"/>
                <w:highlight w:val="none"/>
              </w:rPr>
              <w:t>外，均日产日清由清粪车直接拉走外售</w:t>
            </w:r>
            <w:r>
              <w:rPr>
                <w:rFonts w:hint="eastAsia"/>
                <w:color w:val="auto"/>
                <w:kern w:val="0"/>
                <w:szCs w:val="21"/>
                <w:highlight w:val="none"/>
                <w:lang w:eastAsia="zh-CN"/>
              </w:rPr>
              <w:t>至辰泰（辽宁）生物科技有限公司制造有机肥</w:t>
            </w:r>
            <w:r>
              <w:rPr>
                <w:rFonts w:hint="eastAsia"/>
                <w:color w:val="auto"/>
                <w:kern w:val="0"/>
                <w:szCs w:val="21"/>
                <w:highlight w:val="none"/>
              </w:rPr>
              <w:t>；养殖废水设置</w:t>
            </w:r>
            <w:r>
              <w:rPr>
                <w:rFonts w:hint="eastAsia"/>
                <w:color w:val="auto"/>
                <w:kern w:val="0"/>
                <w:szCs w:val="21"/>
                <w:highlight w:val="none"/>
                <w:lang w:val="en-US" w:eastAsia="zh-CN"/>
              </w:rPr>
              <w:t>8座</w:t>
            </w:r>
            <w:r>
              <w:rPr>
                <w:rFonts w:hint="eastAsia"/>
                <w:color w:val="auto"/>
                <w:kern w:val="0"/>
                <w:szCs w:val="21"/>
                <w:highlight w:val="none"/>
              </w:rPr>
              <w:t>个</w:t>
            </w:r>
            <w:r>
              <w:rPr>
                <w:rFonts w:hint="eastAsia"/>
                <w:color w:val="auto"/>
                <w:kern w:val="0"/>
                <w:szCs w:val="21"/>
                <w:highlight w:val="none"/>
                <w:lang w:val="en-US" w:eastAsia="zh-CN"/>
              </w:rPr>
              <w:t>10</w:t>
            </w:r>
            <w:r>
              <w:rPr>
                <w:rFonts w:hint="eastAsia"/>
                <w:color w:val="auto"/>
                <w:kern w:val="0"/>
                <w:szCs w:val="21"/>
                <w:highlight w:val="none"/>
              </w:rPr>
              <w:t>m</w:t>
            </w:r>
            <w:r>
              <w:rPr>
                <w:rFonts w:hint="eastAsia"/>
                <w:color w:val="auto"/>
                <w:kern w:val="0"/>
                <w:szCs w:val="21"/>
                <w:highlight w:val="none"/>
                <w:vertAlign w:val="superscript"/>
              </w:rPr>
              <w:t>3</w:t>
            </w:r>
            <w:r>
              <w:rPr>
                <w:rFonts w:hint="eastAsia"/>
                <w:color w:val="auto"/>
                <w:kern w:val="0"/>
                <w:szCs w:val="21"/>
                <w:highlight w:val="none"/>
                <w:lang w:eastAsia="zh-CN"/>
              </w:rPr>
              <w:t>废水收集池</w:t>
            </w:r>
            <w:r>
              <w:rPr>
                <w:rFonts w:hint="eastAsia"/>
                <w:color w:val="auto"/>
                <w:kern w:val="0"/>
                <w:szCs w:val="21"/>
                <w:highlight w:val="none"/>
              </w:rPr>
              <w:t>用于存储鸡舍</w:t>
            </w:r>
            <w:r>
              <w:rPr>
                <w:rFonts w:hint="eastAsia"/>
                <w:color w:val="auto"/>
                <w:kern w:val="0"/>
                <w:szCs w:val="21"/>
                <w:highlight w:val="none"/>
                <w:lang w:eastAsia="zh-CN"/>
              </w:rPr>
              <w:t>养殖</w:t>
            </w:r>
            <w:r>
              <w:rPr>
                <w:rFonts w:hint="eastAsia"/>
                <w:color w:val="auto"/>
                <w:kern w:val="0"/>
                <w:szCs w:val="21"/>
                <w:highlight w:val="none"/>
              </w:rPr>
              <w:t>废水，</w:t>
            </w:r>
            <w:r>
              <w:rPr>
                <w:rFonts w:hint="eastAsia"/>
                <w:color w:val="auto"/>
                <w:kern w:val="0"/>
                <w:szCs w:val="21"/>
                <w:highlight w:val="none"/>
                <w:lang w:eastAsia="zh-CN"/>
              </w:rPr>
              <w:t>日产日清，由罐车直接拉走外售至辰泰（辽宁）生物科技有限公司做有机肥</w:t>
            </w:r>
            <w:r>
              <w:rPr>
                <w:rFonts w:hint="eastAsia"/>
                <w:color w:val="auto"/>
                <w:kern w:val="0"/>
                <w:szCs w:val="21"/>
                <w:highlight w:val="none"/>
              </w:rPr>
              <w:t>。</w:t>
            </w:r>
          </w:p>
        </w:tc>
        <w:tc>
          <w:tcPr>
            <w:tcW w:w="763" w:type="dxa"/>
            <w:vAlign w:val="center"/>
          </w:tcPr>
          <w:p w14:paraId="6BFECCC5">
            <w:pPr>
              <w:jc w:val="center"/>
              <w:textAlignment w:val="baseline"/>
              <w:rPr>
                <w:color w:val="auto"/>
                <w:kern w:val="0"/>
                <w:szCs w:val="21"/>
              </w:rPr>
            </w:pPr>
            <w:r>
              <w:rPr>
                <w:color w:val="auto"/>
                <w:kern w:val="0"/>
                <w:szCs w:val="21"/>
              </w:rPr>
              <w:t>符合</w:t>
            </w:r>
          </w:p>
        </w:tc>
      </w:tr>
      <w:tr w14:paraId="560CF28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4450D0F1">
            <w:pPr>
              <w:jc w:val="center"/>
              <w:textAlignment w:val="baseline"/>
              <w:rPr>
                <w:color w:val="auto"/>
                <w:kern w:val="0"/>
                <w:szCs w:val="21"/>
              </w:rPr>
            </w:pPr>
            <w:r>
              <w:rPr>
                <w:rFonts w:hint="eastAsia"/>
                <w:color w:val="auto"/>
                <w:kern w:val="0"/>
                <w:szCs w:val="21"/>
              </w:rPr>
              <w:t>6</w:t>
            </w:r>
          </w:p>
        </w:tc>
        <w:tc>
          <w:tcPr>
            <w:tcW w:w="352" w:type="dxa"/>
            <w:vMerge w:val="restart"/>
            <w:vAlign w:val="center"/>
          </w:tcPr>
          <w:p w14:paraId="103AD478">
            <w:pPr>
              <w:widowControl/>
              <w:jc w:val="center"/>
              <w:textAlignment w:val="baseline"/>
              <w:rPr>
                <w:color w:val="auto"/>
                <w:kern w:val="0"/>
                <w:szCs w:val="21"/>
              </w:rPr>
            </w:pPr>
            <w:r>
              <w:rPr>
                <w:rFonts w:hint="eastAsia"/>
                <w:color w:val="auto"/>
                <w:kern w:val="0"/>
                <w:szCs w:val="21"/>
              </w:rPr>
              <w:t>畜禽粪便的贮存</w:t>
            </w:r>
          </w:p>
        </w:tc>
        <w:tc>
          <w:tcPr>
            <w:tcW w:w="3818" w:type="dxa"/>
            <w:vAlign w:val="center"/>
          </w:tcPr>
          <w:p w14:paraId="105DFD03">
            <w:pPr>
              <w:widowControl/>
              <w:jc w:val="center"/>
              <w:textAlignment w:val="baseline"/>
              <w:rPr>
                <w:color w:val="auto"/>
                <w:kern w:val="0"/>
                <w:szCs w:val="21"/>
              </w:rPr>
            </w:pPr>
            <w:r>
              <w:rPr>
                <w:color w:val="auto"/>
                <w:kern w:val="0"/>
                <w:szCs w:val="21"/>
              </w:rPr>
              <w:t>畜禽养殖场产生的畜禽粪便应设置专门的贮存设施.其恶臭及污染物排放应符合《畜禽养殖业污染物排放标准》。</w:t>
            </w:r>
          </w:p>
        </w:tc>
        <w:tc>
          <w:tcPr>
            <w:tcW w:w="2955" w:type="dxa"/>
            <w:vAlign w:val="center"/>
          </w:tcPr>
          <w:p w14:paraId="4721EEC1">
            <w:pPr>
              <w:widowControl/>
              <w:jc w:val="center"/>
              <w:textAlignment w:val="baseline"/>
              <w:rPr>
                <w:rFonts w:hint="eastAsia" w:eastAsia="宋体"/>
                <w:color w:val="auto"/>
                <w:kern w:val="0"/>
                <w:szCs w:val="21"/>
                <w:lang w:eastAsia="zh-CN"/>
              </w:rPr>
            </w:pPr>
            <w:r>
              <w:rPr>
                <w:rFonts w:hint="eastAsia"/>
                <w:color w:val="auto"/>
                <w:kern w:val="0"/>
                <w:szCs w:val="21"/>
              </w:rPr>
              <w:t>本项目鸡粪、鸡羽毛、饲料残渣除极端天气（约50天/年）需暂存</w:t>
            </w:r>
            <w:r>
              <w:rPr>
                <w:rFonts w:hint="eastAsia"/>
                <w:color w:val="auto"/>
                <w:kern w:val="0"/>
                <w:szCs w:val="21"/>
                <w:lang w:eastAsia="zh-CN"/>
              </w:rPr>
              <w:t>临时储粪场</w:t>
            </w:r>
            <w:r>
              <w:rPr>
                <w:rFonts w:hint="eastAsia"/>
                <w:color w:val="auto"/>
                <w:kern w:val="0"/>
                <w:szCs w:val="21"/>
              </w:rPr>
              <w:t>，采取</w:t>
            </w:r>
            <w:r>
              <w:rPr>
                <w:color w:val="auto"/>
                <w:szCs w:val="21"/>
              </w:rPr>
              <w:t>喷</w:t>
            </w:r>
            <w:r>
              <w:rPr>
                <w:rFonts w:hint="eastAsia"/>
                <w:color w:val="auto"/>
                <w:szCs w:val="21"/>
              </w:rPr>
              <w:t>洒</w:t>
            </w:r>
            <w:r>
              <w:rPr>
                <w:color w:val="auto"/>
                <w:szCs w:val="21"/>
              </w:rPr>
              <w:t>生物除臭剂，周围加强绿化，</w:t>
            </w:r>
            <w:r>
              <w:rPr>
                <w:rFonts w:hint="eastAsia"/>
                <w:color w:val="auto"/>
                <w:szCs w:val="21"/>
                <w:lang w:eastAsia="zh-CN"/>
              </w:rPr>
              <w:t>废水收集池加装盖板</w:t>
            </w:r>
            <w:r>
              <w:rPr>
                <w:rFonts w:hint="eastAsia"/>
                <w:color w:val="auto"/>
                <w:szCs w:val="21"/>
              </w:rPr>
              <w:t>，其恶臭污染物排放符合</w:t>
            </w:r>
            <w:r>
              <w:rPr>
                <w:color w:val="auto"/>
                <w:kern w:val="0"/>
                <w:szCs w:val="21"/>
              </w:rPr>
              <w:t>《畜禽养殖业污染物排放标准》</w:t>
            </w:r>
            <w:r>
              <w:rPr>
                <w:rFonts w:hint="eastAsia"/>
                <w:color w:val="auto"/>
                <w:kern w:val="0"/>
                <w:szCs w:val="21"/>
                <w:lang w:eastAsia="zh-CN"/>
              </w:rPr>
              <w:t>。</w:t>
            </w:r>
          </w:p>
        </w:tc>
        <w:tc>
          <w:tcPr>
            <w:tcW w:w="763" w:type="dxa"/>
            <w:vAlign w:val="center"/>
          </w:tcPr>
          <w:p w14:paraId="2A4B14BA">
            <w:pPr>
              <w:jc w:val="center"/>
              <w:textAlignment w:val="baseline"/>
              <w:rPr>
                <w:color w:val="auto"/>
                <w:kern w:val="0"/>
                <w:szCs w:val="21"/>
              </w:rPr>
            </w:pPr>
            <w:r>
              <w:rPr>
                <w:color w:val="auto"/>
                <w:kern w:val="0"/>
                <w:szCs w:val="21"/>
              </w:rPr>
              <w:t>符合</w:t>
            </w:r>
          </w:p>
        </w:tc>
      </w:tr>
      <w:tr w14:paraId="4948C92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29D00499">
            <w:pPr>
              <w:jc w:val="center"/>
              <w:textAlignment w:val="baseline"/>
              <w:rPr>
                <w:color w:val="auto"/>
                <w:kern w:val="0"/>
                <w:szCs w:val="21"/>
              </w:rPr>
            </w:pPr>
            <w:r>
              <w:rPr>
                <w:rFonts w:hint="eastAsia"/>
                <w:color w:val="auto"/>
                <w:kern w:val="0"/>
                <w:szCs w:val="21"/>
              </w:rPr>
              <w:t>7</w:t>
            </w:r>
          </w:p>
        </w:tc>
        <w:tc>
          <w:tcPr>
            <w:tcW w:w="352" w:type="dxa"/>
            <w:vMerge w:val="continue"/>
            <w:vAlign w:val="center"/>
          </w:tcPr>
          <w:p w14:paraId="2DB896FD">
            <w:pPr>
              <w:widowControl/>
              <w:jc w:val="center"/>
              <w:textAlignment w:val="baseline"/>
              <w:rPr>
                <w:color w:val="auto"/>
                <w:kern w:val="0"/>
                <w:szCs w:val="21"/>
              </w:rPr>
            </w:pPr>
          </w:p>
        </w:tc>
        <w:tc>
          <w:tcPr>
            <w:tcW w:w="3818" w:type="dxa"/>
            <w:vAlign w:val="center"/>
          </w:tcPr>
          <w:p w14:paraId="2CB7C97D">
            <w:pPr>
              <w:widowControl/>
              <w:jc w:val="center"/>
              <w:textAlignment w:val="baseline"/>
              <w:rPr>
                <w:color w:val="auto"/>
                <w:kern w:val="0"/>
                <w:szCs w:val="21"/>
              </w:rPr>
            </w:pPr>
            <w:r>
              <w:rPr>
                <w:color w:val="auto"/>
                <w:kern w:val="0"/>
                <w:szCs w:val="21"/>
              </w:rPr>
              <w:t>贮存设施的位置必须远离各类功能地表水体（距离不得小于</w:t>
            </w:r>
            <w:r>
              <w:rPr>
                <w:rFonts w:hint="eastAsia"/>
                <w:color w:val="auto"/>
                <w:kern w:val="0"/>
                <w:szCs w:val="21"/>
              </w:rPr>
              <w:t>400</w:t>
            </w:r>
            <w:r>
              <w:rPr>
                <w:color w:val="auto"/>
                <w:kern w:val="0"/>
                <w:szCs w:val="21"/>
              </w:rPr>
              <w:t>m）</w:t>
            </w:r>
            <w:r>
              <w:rPr>
                <w:rFonts w:hint="eastAsia"/>
                <w:color w:val="auto"/>
                <w:kern w:val="0"/>
                <w:szCs w:val="21"/>
              </w:rPr>
              <w:t>，</w:t>
            </w:r>
            <w:r>
              <w:rPr>
                <w:color w:val="auto"/>
                <w:kern w:val="0"/>
                <w:szCs w:val="21"/>
              </w:rPr>
              <w:t>并应设在养殖场生产及生活管理区的常年主导风向的下风向或侧风向处。</w:t>
            </w:r>
          </w:p>
        </w:tc>
        <w:tc>
          <w:tcPr>
            <w:tcW w:w="2955" w:type="dxa"/>
            <w:vAlign w:val="center"/>
          </w:tcPr>
          <w:p w14:paraId="75E68F27">
            <w:pPr>
              <w:widowControl/>
              <w:jc w:val="center"/>
              <w:textAlignment w:val="baseline"/>
              <w:rPr>
                <w:rFonts w:hint="default" w:eastAsia="宋体"/>
                <w:color w:val="auto"/>
                <w:kern w:val="0"/>
                <w:szCs w:val="21"/>
                <w:lang w:val="en-US" w:eastAsia="zh-CN"/>
              </w:rPr>
            </w:pPr>
            <w:r>
              <w:rPr>
                <w:rFonts w:hint="eastAsia"/>
                <w:color w:val="auto"/>
                <w:kern w:val="0"/>
                <w:szCs w:val="21"/>
              </w:rPr>
              <w:t>本项目</w:t>
            </w:r>
            <w:r>
              <w:rPr>
                <w:rFonts w:hint="eastAsia"/>
                <w:color w:val="auto"/>
                <w:kern w:val="0"/>
                <w:szCs w:val="21"/>
                <w:lang w:eastAsia="zh-CN"/>
              </w:rPr>
              <w:t>临时堆粪场</w:t>
            </w:r>
            <w:r>
              <w:rPr>
                <w:rFonts w:hint="eastAsia"/>
                <w:color w:val="auto"/>
                <w:kern w:val="0"/>
                <w:szCs w:val="21"/>
              </w:rPr>
              <w:t>位于生产区</w:t>
            </w:r>
            <w:r>
              <w:rPr>
                <w:rFonts w:hint="eastAsia"/>
                <w:color w:val="auto"/>
                <w:kern w:val="0"/>
                <w:szCs w:val="21"/>
                <w:lang w:eastAsia="zh-CN"/>
              </w:rPr>
              <w:t>北</w:t>
            </w:r>
            <w:r>
              <w:rPr>
                <w:rFonts w:hint="eastAsia"/>
                <w:color w:val="auto"/>
                <w:kern w:val="0"/>
                <w:szCs w:val="21"/>
              </w:rPr>
              <w:t>侧，即常年主导风向的</w:t>
            </w:r>
            <w:r>
              <w:rPr>
                <w:rFonts w:hint="eastAsia"/>
                <w:color w:val="auto"/>
                <w:kern w:val="0"/>
                <w:szCs w:val="21"/>
                <w:lang w:eastAsia="zh-CN"/>
              </w:rPr>
              <w:t>下</w:t>
            </w:r>
            <w:r>
              <w:rPr>
                <w:rFonts w:hint="eastAsia"/>
                <w:color w:val="auto"/>
                <w:kern w:val="0"/>
                <w:szCs w:val="21"/>
              </w:rPr>
              <w:t>风向</w:t>
            </w:r>
            <w:r>
              <w:rPr>
                <w:rFonts w:hint="eastAsia"/>
                <w:color w:val="auto"/>
                <w:kern w:val="0"/>
                <w:szCs w:val="21"/>
                <w:lang w:eastAsia="zh-CN"/>
              </w:rPr>
              <w:t>；</w:t>
            </w:r>
            <w:r>
              <w:rPr>
                <w:rFonts w:hint="eastAsia" w:ascii="Times New Roman" w:hAnsi="Times New Roman" w:cs="Times New Roman"/>
                <w:color w:val="auto"/>
                <w:kern w:val="0"/>
                <w:sz w:val="21"/>
                <w:szCs w:val="21"/>
                <w:lang w:eastAsia="zh-CN"/>
              </w:rPr>
              <w:t>本项目</w:t>
            </w:r>
            <w:r>
              <w:rPr>
                <w:rFonts w:hint="eastAsia" w:cs="Times New Roman"/>
                <w:color w:val="auto"/>
                <w:kern w:val="0"/>
                <w:sz w:val="21"/>
                <w:szCs w:val="21"/>
                <w:lang w:eastAsia="zh-CN"/>
              </w:rPr>
              <w:t>厂区厂界四周</w:t>
            </w:r>
            <w:r>
              <w:rPr>
                <w:rFonts w:hint="eastAsia" w:cs="Times New Roman"/>
                <w:color w:val="auto"/>
                <w:kern w:val="0"/>
                <w:sz w:val="21"/>
                <w:szCs w:val="21"/>
                <w:lang w:val="en-US" w:eastAsia="zh-CN"/>
              </w:rPr>
              <w:t>400m范围内无明显地表水体</w:t>
            </w:r>
            <w:r>
              <w:rPr>
                <w:rFonts w:hint="eastAsia" w:ascii="Times New Roman" w:hAnsi="Times New Roman" w:cs="Times New Roman"/>
                <w:color w:val="auto"/>
                <w:kern w:val="0"/>
                <w:sz w:val="21"/>
                <w:szCs w:val="21"/>
                <w:lang w:eastAsia="zh-CN"/>
              </w:rPr>
              <w:t>，</w:t>
            </w:r>
            <w:r>
              <w:rPr>
                <w:rFonts w:hint="eastAsia" w:cs="Times New Roman"/>
                <w:color w:val="auto"/>
                <w:kern w:val="0"/>
                <w:sz w:val="21"/>
                <w:szCs w:val="21"/>
                <w:lang w:val="en-US" w:eastAsia="zh-CN"/>
              </w:rPr>
              <w:t>符合贮存设施选址要求</w:t>
            </w:r>
            <w:r>
              <w:rPr>
                <w:rFonts w:hint="eastAsia"/>
                <w:color w:val="auto"/>
                <w:kern w:val="0"/>
                <w:szCs w:val="21"/>
                <w:lang w:val="en-US" w:eastAsia="zh-CN"/>
              </w:rPr>
              <w:t>。</w:t>
            </w:r>
          </w:p>
        </w:tc>
        <w:tc>
          <w:tcPr>
            <w:tcW w:w="763" w:type="dxa"/>
            <w:vAlign w:val="center"/>
          </w:tcPr>
          <w:p w14:paraId="421C2666">
            <w:pPr>
              <w:jc w:val="center"/>
              <w:textAlignment w:val="baseline"/>
              <w:rPr>
                <w:color w:val="auto"/>
                <w:kern w:val="0"/>
                <w:szCs w:val="21"/>
              </w:rPr>
            </w:pPr>
            <w:r>
              <w:rPr>
                <w:color w:val="auto"/>
                <w:kern w:val="0"/>
                <w:szCs w:val="21"/>
              </w:rPr>
              <w:t>符合</w:t>
            </w:r>
          </w:p>
        </w:tc>
      </w:tr>
      <w:tr w14:paraId="63177D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27F71BB4">
            <w:pPr>
              <w:jc w:val="center"/>
              <w:textAlignment w:val="baseline"/>
              <w:rPr>
                <w:color w:val="auto"/>
                <w:kern w:val="0"/>
                <w:szCs w:val="21"/>
              </w:rPr>
            </w:pPr>
            <w:r>
              <w:rPr>
                <w:rFonts w:hint="eastAsia"/>
                <w:color w:val="auto"/>
                <w:kern w:val="0"/>
                <w:szCs w:val="21"/>
              </w:rPr>
              <w:t>8</w:t>
            </w:r>
          </w:p>
        </w:tc>
        <w:tc>
          <w:tcPr>
            <w:tcW w:w="352" w:type="dxa"/>
            <w:vMerge w:val="continue"/>
            <w:vAlign w:val="center"/>
          </w:tcPr>
          <w:p w14:paraId="69E1927C">
            <w:pPr>
              <w:widowControl/>
              <w:jc w:val="center"/>
              <w:textAlignment w:val="baseline"/>
              <w:rPr>
                <w:color w:val="auto"/>
                <w:kern w:val="0"/>
                <w:szCs w:val="21"/>
              </w:rPr>
            </w:pPr>
          </w:p>
        </w:tc>
        <w:tc>
          <w:tcPr>
            <w:tcW w:w="3818" w:type="dxa"/>
            <w:vAlign w:val="center"/>
          </w:tcPr>
          <w:p w14:paraId="119C48BD">
            <w:pPr>
              <w:widowControl/>
              <w:jc w:val="center"/>
              <w:textAlignment w:val="baseline"/>
              <w:rPr>
                <w:color w:val="auto"/>
                <w:kern w:val="0"/>
                <w:szCs w:val="21"/>
              </w:rPr>
            </w:pPr>
            <w:r>
              <w:rPr>
                <w:color w:val="auto"/>
                <w:kern w:val="0"/>
                <w:szCs w:val="21"/>
              </w:rPr>
              <w:t>贮存设施应采取</w:t>
            </w:r>
            <w:r>
              <w:rPr>
                <w:rFonts w:hint="eastAsia"/>
                <w:color w:val="auto"/>
                <w:kern w:val="0"/>
                <w:szCs w:val="21"/>
              </w:rPr>
              <w:t>有</w:t>
            </w:r>
            <w:r>
              <w:rPr>
                <w:color w:val="auto"/>
                <w:kern w:val="0"/>
                <w:szCs w:val="21"/>
              </w:rPr>
              <w:t>效的防渗处理工艺，防止畜禽粪便污染地下水。</w:t>
            </w:r>
          </w:p>
        </w:tc>
        <w:tc>
          <w:tcPr>
            <w:tcW w:w="2955" w:type="dxa"/>
            <w:vAlign w:val="center"/>
          </w:tcPr>
          <w:p w14:paraId="467A32A4">
            <w:pPr>
              <w:widowControl/>
              <w:jc w:val="center"/>
              <w:textAlignment w:val="baseline"/>
              <w:rPr>
                <w:rFonts w:hint="eastAsia" w:eastAsia="宋体"/>
                <w:color w:val="auto"/>
                <w:kern w:val="0"/>
                <w:szCs w:val="21"/>
                <w:lang w:eastAsia="zh-CN"/>
              </w:rPr>
            </w:pPr>
            <w:r>
              <w:rPr>
                <w:rFonts w:hint="eastAsia"/>
                <w:color w:val="auto"/>
                <w:kern w:val="0"/>
                <w:szCs w:val="21"/>
              </w:rPr>
              <w:t>本项目</w:t>
            </w:r>
            <w:r>
              <w:rPr>
                <w:rFonts w:hint="eastAsia"/>
                <w:color w:val="auto"/>
                <w:kern w:val="0"/>
                <w:szCs w:val="21"/>
                <w:lang w:eastAsia="zh-CN"/>
              </w:rPr>
              <w:t>临时储粪场、废水收集池</w:t>
            </w:r>
            <w:r>
              <w:rPr>
                <w:rFonts w:hint="eastAsia"/>
                <w:color w:val="auto"/>
                <w:kern w:val="0"/>
                <w:szCs w:val="21"/>
              </w:rPr>
              <w:t>、污水管网</w:t>
            </w:r>
            <w:r>
              <w:rPr>
                <w:rFonts w:hint="eastAsia"/>
                <w:color w:val="auto"/>
                <w:kern w:val="0"/>
                <w:szCs w:val="21"/>
                <w:lang w:eastAsia="zh-CN"/>
              </w:rPr>
              <w:t>均</w:t>
            </w:r>
            <w:r>
              <w:rPr>
                <w:rFonts w:hint="eastAsia"/>
                <w:color w:val="auto"/>
                <w:kern w:val="0"/>
                <w:szCs w:val="21"/>
              </w:rPr>
              <w:t>为一般防渗区，按照等效黏土防渗层Mb≥1.5m，K≤1×10</w:t>
            </w:r>
            <w:r>
              <w:rPr>
                <w:rFonts w:hint="eastAsia"/>
                <w:color w:val="auto"/>
                <w:kern w:val="0"/>
                <w:szCs w:val="21"/>
                <w:vertAlign w:val="superscript"/>
              </w:rPr>
              <w:t>-7</w:t>
            </w:r>
            <w:r>
              <w:rPr>
                <w:rFonts w:hint="eastAsia"/>
                <w:color w:val="auto"/>
                <w:kern w:val="0"/>
                <w:szCs w:val="21"/>
              </w:rPr>
              <w:t xml:space="preserve"> cm/s</w:t>
            </w:r>
            <w:r>
              <w:rPr>
                <w:rFonts w:hint="eastAsia"/>
                <w:color w:val="auto"/>
                <w:kern w:val="0"/>
                <w:szCs w:val="21"/>
                <w:lang w:eastAsia="zh-CN"/>
              </w:rPr>
              <w:t>；</w:t>
            </w:r>
          </w:p>
        </w:tc>
        <w:tc>
          <w:tcPr>
            <w:tcW w:w="763" w:type="dxa"/>
            <w:vAlign w:val="center"/>
          </w:tcPr>
          <w:p w14:paraId="06ED5509">
            <w:pPr>
              <w:jc w:val="center"/>
              <w:textAlignment w:val="baseline"/>
              <w:rPr>
                <w:color w:val="auto"/>
                <w:kern w:val="0"/>
                <w:szCs w:val="21"/>
              </w:rPr>
            </w:pPr>
            <w:r>
              <w:rPr>
                <w:color w:val="auto"/>
                <w:kern w:val="0"/>
                <w:szCs w:val="21"/>
              </w:rPr>
              <w:t>符合</w:t>
            </w:r>
          </w:p>
        </w:tc>
      </w:tr>
      <w:tr w14:paraId="3E9F99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62521E23">
            <w:pPr>
              <w:jc w:val="center"/>
              <w:textAlignment w:val="baseline"/>
              <w:rPr>
                <w:color w:val="auto"/>
                <w:kern w:val="0"/>
                <w:szCs w:val="21"/>
              </w:rPr>
            </w:pPr>
            <w:r>
              <w:rPr>
                <w:rFonts w:hint="eastAsia"/>
                <w:color w:val="auto"/>
                <w:kern w:val="0"/>
                <w:szCs w:val="21"/>
              </w:rPr>
              <w:t>9</w:t>
            </w:r>
          </w:p>
        </w:tc>
        <w:tc>
          <w:tcPr>
            <w:tcW w:w="352" w:type="dxa"/>
            <w:vMerge w:val="continue"/>
            <w:vAlign w:val="center"/>
          </w:tcPr>
          <w:p w14:paraId="068B9A76">
            <w:pPr>
              <w:widowControl/>
              <w:jc w:val="center"/>
              <w:textAlignment w:val="baseline"/>
              <w:rPr>
                <w:color w:val="auto"/>
                <w:kern w:val="0"/>
                <w:szCs w:val="21"/>
              </w:rPr>
            </w:pPr>
          </w:p>
        </w:tc>
        <w:tc>
          <w:tcPr>
            <w:tcW w:w="3818" w:type="dxa"/>
            <w:vAlign w:val="center"/>
          </w:tcPr>
          <w:p w14:paraId="3EE735E5">
            <w:pPr>
              <w:widowControl/>
              <w:jc w:val="center"/>
              <w:textAlignment w:val="baseline"/>
              <w:rPr>
                <w:color w:val="auto"/>
                <w:kern w:val="0"/>
                <w:szCs w:val="21"/>
              </w:rPr>
            </w:pPr>
            <w:r>
              <w:rPr>
                <w:color w:val="auto"/>
                <w:kern w:val="0"/>
                <w:szCs w:val="21"/>
              </w:rPr>
              <w:t>对于种养结合的养殖场，畜禽粪便贮存设施的总容积不得低于当地农林作物生产用肥的最大间隔时间内本养殖场所产生粪便的总量。</w:t>
            </w:r>
          </w:p>
        </w:tc>
        <w:tc>
          <w:tcPr>
            <w:tcW w:w="2955" w:type="dxa"/>
            <w:vAlign w:val="center"/>
          </w:tcPr>
          <w:p w14:paraId="58427D92">
            <w:pPr>
              <w:widowControl/>
              <w:jc w:val="center"/>
              <w:textAlignment w:val="baseline"/>
              <w:rPr>
                <w:rFonts w:hint="eastAsia" w:eastAsia="宋体"/>
                <w:color w:val="auto"/>
                <w:kern w:val="0"/>
                <w:szCs w:val="21"/>
                <w:highlight w:val="none"/>
                <w:lang w:eastAsia="zh-CN"/>
              </w:rPr>
            </w:pPr>
            <w:r>
              <w:rPr>
                <w:rFonts w:hint="eastAsia"/>
                <w:color w:val="auto"/>
                <w:kern w:val="0"/>
                <w:szCs w:val="21"/>
                <w:highlight w:val="none"/>
                <w:lang w:eastAsia="zh-CN"/>
              </w:rPr>
              <w:t>本</w:t>
            </w:r>
            <w:r>
              <w:rPr>
                <w:rFonts w:hint="eastAsia"/>
                <w:color w:val="auto"/>
                <w:kern w:val="0"/>
                <w:szCs w:val="21"/>
                <w:highlight w:val="none"/>
              </w:rPr>
              <w:t>项目</w:t>
            </w:r>
            <w:r>
              <w:rPr>
                <w:rFonts w:hint="eastAsia"/>
                <w:color w:val="auto"/>
                <w:kern w:val="0"/>
                <w:szCs w:val="21"/>
                <w:highlight w:val="none"/>
                <w:lang w:eastAsia="zh-CN"/>
              </w:rPr>
              <w:t>粪便与废水均日产日清，外售至辰泰（辽宁）生物科技有限公司制造有机肥，极端天气在厂区内贮存</w:t>
            </w:r>
            <w:r>
              <w:rPr>
                <w:rFonts w:hint="eastAsia"/>
                <w:color w:val="auto"/>
                <w:kern w:val="0"/>
                <w:szCs w:val="21"/>
                <w:highlight w:val="none"/>
                <w:lang w:val="en-US" w:eastAsia="zh-CN"/>
              </w:rPr>
              <w:t>50d/a</w:t>
            </w:r>
            <w:r>
              <w:rPr>
                <w:rFonts w:hint="eastAsia"/>
                <w:color w:val="auto"/>
                <w:kern w:val="0"/>
                <w:szCs w:val="21"/>
                <w:highlight w:val="none"/>
              </w:rPr>
              <w:t>；</w:t>
            </w:r>
          </w:p>
        </w:tc>
        <w:tc>
          <w:tcPr>
            <w:tcW w:w="763" w:type="dxa"/>
            <w:vAlign w:val="center"/>
          </w:tcPr>
          <w:p w14:paraId="495EE8A6">
            <w:pPr>
              <w:jc w:val="center"/>
              <w:textAlignment w:val="baseline"/>
              <w:rPr>
                <w:color w:val="auto"/>
                <w:kern w:val="0"/>
                <w:szCs w:val="21"/>
              </w:rPr>
            </w:pPr>
            <w:r>
              <w:rPr>
                <w:color w:val="auto"/>
                <w:kern w:val="0"/>
                <w:szCs w:val="21"/>
              </w:rPr>
              <w:t>符合</w:t>
            </w:r>
          </w:p>
        </w:tc>
      </w:tr>
      <w:tr w14:paraId="755BE4B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4CB5F388">
            <w:pPr>
              <w:jc w:val="center"/>
              <w:textAlignment w:val="baseline"/>
              <w:rPr>
                <w:color w:val="auto"/>
                <w:kern w:val="0"/>
                <w:szCs w:val="21"/>
              </w:rPr>
            </w:pPr>
            <w:r>
              <w:rPr>
                <w:rFonts w:hint="eastAsia"/>
                <w:color w:val="auto"/>
                <w:kern w:val="0"/>
                <w:szCs w:val="21"/>
              </w:rPr>
              <w:t>10</w:t>
            </w:r>
          </w:p>
        </w:tc>
        <w:tc>
          <w:tcPr>
            <w:tcW w:w="352" w:type="dxa"/>
            <w:vMerge w:val="continue"/>
            <w:vAlign w:val="center"/>
          </w:tcPr>
          <w:p w14:paraId="24B65383">
            <w:pPr>
              <w:widowControl/>
              <w:jc w:val="center"/>
              <w:textAlignment w:val="baseline"/>
              <w:rPr>
                <w:color w:val="auto"/>
                <w:kern w:val="0"/>
                <w:szCs w:val="21"/>
              </w:rPr>
            </w:pPr>
          </w:p>
        </w:tc>
        <w:tc>
          <w:tcPr>
            <w:tcW w:w="3818" w:type="dxa"/>
            <w:vAlign w:val="center"/>
          </w:tcPr>
          <w:p w14:paraId="4018C94B">
            <w:pPr>
              <w:widowControl/>
              <w:jc w:val="center"/>
              <w:textAlignment w:val="baseline"/>
              <w:rPr>
                <w:color w:val="auto"/>
                <w:kern w:val="0"/>
                <w:szCs w:val="21"/>
              </w:rPr>
            </w:pPr>
            <w:r>
              <w:rPr>
                <w:color w:val="auto"/>
                <w:kern w:val="0"/>
                <w:szCs w:val="21"/>
              </w:rPr>
              <w:t>贮存设施应采取设置顶盖等防止降雨（水）进入的措施。</w:t>
            </w:r>
          </w:p>
        </w:tc>
        <w:tc>
          <w:tcPr>
            <w:tcW w:w="2955" w:type="dxa"/>
            <w:vAlign w:val="center"/>
          </w:tcPr>
          <w:p w14:paraId="0EF6C3E4">
            <w:pPr>
              <w:widowControl/>
              <w:jc w:val="center"/>
              <w:textAlignment w:val="baseline"/>
              <w:rPr>
                <w:rFonts w:hint="eastAsia" w:eastAsia="宋体"/>
                <w:color w:val="auto"/>
                <w:kern w:val="0"/>
                <w:szCs w:val="21"/>
                <w:lang w:eastAsia="zh-CN"/>
              </w:rPr>
            </w:pPr>
            <w:r>
              <w:rPr>
                <w:rFonts w:hint="eastAsia"/>
                <w:color w:val="auto"/>
                <w:kern w:val="0"/>
                <w:szCs w:val="21"/>
              </w:rPr>
              <w:t>本项目</w:t>
            </w:r>
            <w:r>
              <w:rPr>
                <w:rFonts w:hint="eastAsia"/>
                <w:color w:val="auto"/>
                <w:kern w:val="0"/>
                <w:szCs w:val="21"/>
                <w:lang w:eastAsia="zh-CN"/>
              </w:rPr>
              <w:t>临时储粪场设置为封闭结构四周做围堰，废水收集池采区加盖措施。</w:t>
            </w:r>
          </w:p>
        </w:tc>
        <w:tc>
          <w:tcPr>
            <w:tcW w:w="763" w:type="dxa"/>
            <w:vAlign w:val="center"/>
          </w:tcPr>
          <w:p w14:paraId="43088780">
            <w:pPr>
              <w:jc w:val="center"/>
              <w:textAlignment w:val="baseline"/>
              <w:rPr>
                <w:color w:val="auto"/>
                <w:kern w:val="0"/>
                <w:szCs w:val="21"/>
              </w:rPr>
            </w:pPr>
            <w:r>
              <w:rPr>
                <w:color w:val="auto"/>
                <w:kern w:val="0"/>
                <w:szCs w:val="21"/>
              </w:rPr>
              <w:t>符合</w:t>
            </w:r>
          </w:p>
        </w:tc>
      </w:tr>
      <w:tr w14:paraId="7A2A009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0240A8C2">
            <w:pPr>
              <w:jc w:val="center"/>
              <w:textAlignment w:val="baseline"/>
              <w:rPr>
                <w:color w:val="auto"/>
                <w:kern w:val="0"/>
                <w:szCs w:val="21"/>
              </w:rPr>
            </w:pPr>
            <w:r>
              <w:rPr>
                <w:rFonts w:hint="eastAsia"/>
                <w:color w:val="auto"/>
                <w:kern w:val="0"/>
                <w:szCs w:val="21"/>
              </w:rPr>
              <w:t>11</w:t>
            </w:r>
          </w:p>
        </w:tc>
        <w:tc>
          <w:tcPr>
            <w:tcW w:w="352" w:type="dxa"/>
            <w:vMerge w:val="restart"/>
            <w:vAlign w:val="center"/>
          </w:tcPr>
          <w:p w14:paraId="7B773B47">
            <w:pPr>
              <w:widowControl/>
              <w:jc w:val="center"/>
              <w:textAlignment w:val="baseline"/>
              <w:rPr>
                <w:color w:val="auto"/>
                <w:kern w:val="0"/>
                <w:szCs w:val="21"/>
              </w:rPr>
            </w:pPr>
            <w:r>
              <w:rPr>
                <w:rFonts w:hint="eastAsia"/>
                <w:color w:val="auto"/>
                <w:kern w:val="0"/>
                <w:szCs w:val="21"/>
              </w:rPr>
              <w:t>污水的</w:t>
            </w:r>
          </w:p>
          <w:p w14:paraId="446635C8">
            <w:pPr>
              <w:widowControl/>
              <w:jc w:val="center"/>
              <w:textAlignment w:val="baseline"/>
              <w:rPr>
                <w:color w:val="auto"/>
                <w:kern w:val="0"/>
                <w:szCs w:val="21"/>
              </w:rPr>
            </w:pPr>
            <w:r>
              <w:rPr>
                <w:rFonts w:hint="eastAsia"/>
                <w:color w:val="auto"/>
                <w:kern w:val="0"/>
                <w:szCs w:val="21"/>
              </w:rPr>
              <w:t>处理</w:t>
            </w:r>
          </w:p>
        </w:tc>
        <w:tc>
          <w:tcPr>
            <w:tcW w:w="3818" w:type="dxa"/>
            <w:vAlign w:val="center"/>
          </w:tcPr>
          <w:p w14:paraId="6F450EB5">
            <w:pPr>
              <w:widowControl/>
              <w:jc w:val="center"/>
              <w:textAlignment w:val="baseline"/>
              <w:rPr>
                <w:color w:val="auto"/>
                <w:kern w:val="0"/>
                <w:szCs w:val="21"/>
              </w:rPr>
            </w:pPr>
            <w:r>
              <w:rPr>
                <w:color w:val="auto"/>
                <w:kern w:val="0"/>
                <w:szCs w:val="21"/>
              </w:rPr>
              <w:t>畜禽养殖过程中产生的污水应坚持种养结合的原则，经无害化处理后尽量充分还田，实现污水资源化利用。</w:t>
            </w:r>
          </w:p>
        </w:tc>
        <w:tc>
          <w:tcPr>
            <w:tcW w:w="2955" w:type="dxa"/>
            <w:vAlign w:val="center"/>
          </w:tcPr>
          <w:p w14:paraId="57049258">
            <w:pPr>
              <w:widowControl/>
              <w:jc w:val="center"/>
              <w:textAlignment w:val="baseline"/>
              <w:rPr>
                <w:rFonts w:hint="eastAsia" w:eastAsia="宋体"/>
                <w:color w:val="auto"/>
                <w:kern w:val="0"/>
                <w:szCs w:val="21"/>
                <w:highlight w:val="none"/>
                <w:lang w:eastAsia="zh-CN"/>
              </w:rPr>
            </w:pPr>
            <w:r>
              <w:rPr>
                <w:rFonts w:hint="eastAsia"/>
                <w:color w:val="auto"/>
                <w:kern w:val="0"/>
                <w:szCs w:val="21"/>
                <w:highlight w:val="none"/>
              </w:rPr>
              <w:t>本项目养殖废水</w:t>
            </w:r>
            <w:r>
              <w:rPr>
                <w:rFonts w:hint="eastAsia"/>
                <w:color w:val="auto"/>
                <w:kern w:val="0"/>
                <w:szCs w:val="21"/>
                <w:highlight w:val="none"/>
                <w:lang w:eastAsia="zh-CN"/>
              </w:rPr>
              <w:t>日产日清，由罐车直接拉走外售至辰泰（辽宁）生物科技有限公司做有机肥，实现污水资源化利用。</w:t>
            </w:r>
          </w:p>
        </w:tc>
        <w:tc>
          <w:tcPr>
            <w:tcW w:w="763" w:type="dxa"/>
            <w:vAlign w:val="center"/>
          </w:tcPr>
          <w:p w14:paraId="5DC23CF5">
            <w:pPr>
              <w:jc w:val="center"/>
              <w:textAlignment w:val="baseline"/>
              <w:rPr>
                <w:color w:val="auto"/>
                <w:kern w:val="0"/>
                <w:szCs w:val="21"/>
              </w:rPr>
            </w:pPr>
            <w:r>
              <w:rPr>
                <w:color w:val="auto"/>
                <w:kern w:val="0"/>
                <w:szCs w:val="21"/>
              </w:rPr>
              <w:t>符合</w:t>
            </w:r>
          </w:p>
        </w:tc>
      </w:tr>
      <w:tr w14:paraId="372B66E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639F4BFA">
            <w:pPr>
              <w:jc w:val="center"/>
              <w:textAlignment w:val="baseline"/>
              <w:rPr>
                <w:color w:val="auto"/>
                <w:kern w:val="0"/>
                <w:szCs w:val="21"/>
              </w:rPr>
            </w:pPr>
            <w:r>
              <w:rPr>
                <w:rFonts w:hint="eastAsia"/>
                <w:color w:val="auto"/>
                <w:kern w:val="0"/>
                <w:szCs w:val="21"/>
              </w:rPr>
              <w:t>12</w:t>
            </w:r>
          </w:p>
        </w:tc>
        <w:tc>
          <w:tcPr>
            <w:tcW w:w="352" w:type="dxa"/>
            <w:vMerge w:val="continue"/>
            <w:vAlign w:val="center"/>
          </w:tcPr>
          <w:p w14:paraId="4026B389">
            <w:pPr>
              <w:widowControl/>
              <w:jc w:val="center"/>
              <w:textAlignment w:val="baseline"/>
              <w:rPr>
                <w:color w:val="auto"/>
                <w:kern w:val="0"/>
                <w:szCs w:val="21"/>
              </w:rPr>
            </w:pPr>
          </w:p>
        </w:tc>
        <w:tc>
          <w:tcPr>
            <w:tcW w:w="3818" w:type="dxa"/>
            <w:vAlign w:val="center"/>
          </w:tcPr>
          <w:p w14:paraId="4F0E3207">
            <w:pPr>
              <w:widowControl/>
              <w:jc w:val="center"/>
              <w:textAlignment w:val="baseline"/>
              <w:rPr>
                <w:color w:val="auto"/>
                <w:szCs w:val="21"/>
              </w:rPr>
            </w:pPr>
            <w:r>
              <w:rPr>
                <w:color w:val="auto"/>
                <w:szCs w:val="21"/>
              </w:rPr>
              <w:t>畜禽污水经治理后向环境中排放，应符合《畜禽养殖业污染物排放标准的规定，有地方排放标准的应执行地方排放标准。</w:t>
            </w:r>
          </w:p>
          <w:p w14:paraId="1CFDBB7D">
            <w:pPr>
              <w:widowControl/>
              <w:jc w:val="center"/>
              <w:textAlignment w:val="baseline"/>
              <w:rPr>
                <w:color w:val="auto"/>
                <w:szCs w:val="21"/>
              </w:rPr>
            </w:pPr>
            <w:r>
              <w:rPr>
                <w:color w:val="auto"/>
                <w:szCs w:val="21"/>
              </w:rPr>
              <w:t>污水作为灌溉用水排入农田前，必须采取有效措施进行净化处理（包括机械的、物理的、化学的 和生物学的），并须符合《农田灌溉水质标准》（GB5084—92）的要求。</w:t>
            </w:r>
          </w:p>
          <w:p w14:paraId="77405783">
            <w:pPr>
              <w:pStyle w:val="69"/>
              <w:jc w:val="center"/>
              <w:rPr>
                <w:rFonts w:ascii="Times New Roman" w:hAnsi="Times New Roman" w:eastAsia="宋体"/>
                <w:color w:val="auto"/>
                <w:sz w:val="21"/>
                <w:szCs w:val="21"/>
              </w:rPr>
            </w:pPr>
            <w:r>
              <w:rPr>
                <w:rFonts w:ascii="Times New Roman" w:hAnsi="Times New Roman" w:eastAsia="宋体"/>
                <w:color w:val="auto"/>
                <w:sz w:val="21"/>
                <w:szCs w:val="21"/>
              </w:rPr>
              <w:t>①在畜禽养殖场与还田利用的农田之间应建立有效的污水输送网络通过车载或管道形式将处理 （置）后的污水输送至农田，要加强管理，严格控制污水输送沿途的弃、撒和跑、冒、滴、漏。</w:t>
            </w:r>
          </w:p>
          <w:p w14:paraId="6795C360">
            <w:pPr>
              <w:jc w:val="center"/>
              <w:rPr>
                <w:color w:val="auto"/>
                <w:szCs w:val="21"/>
              </w:rPr>
            </w:pPr>
            <w:r>
              <w:rPr>
                <w:color w:val="auto"/>
                <w:kern w:val="0"/>
                <w:szCs w:val="21"/>
              </w:rPr>
              <w:t>②畜禽养殖场污水排入农田前必须进行预处理（采用格栅、厌氧、沉淀等工艺、流程）</w:t>
            </w:r>
            <w:r>
              <w:rPr>
                <w:rFonts w:hint="eastAsia"/>
                <w:color w:val="auto"/>
                <w:kern w:val="0"/>
                <w:szCs w:val="21"/>
              </w:rPr>
              <w:t>，</w:t>
            </w:r>
            <w:r>
              <w:rPr>
                <w:color w:val="auto"/>
                <w:kern w:val="0"/>
                <w:szCs w:val="21"/>
              </w:rPr>
              <w:t>并应配套设置田间储存池，以解决农田在非施肥期间的污水出路问题.田间储存池的总容积不得低于当地农林作物生产用肥的最大间隔时间内畜禽养殖场排放污水的总量。</w:t>
            </w:r>
          </w:p>
        </w:tc>
        <w:tc>
          <w:tcPr>
            <w:tcW w:w="2955" w:type="dxa"/>
            <w:vAlign w:val="center"/>
          </w:tcPr>
          <w:p w14:paraId="063D2687">
            <w:pPr>
              <w:pStyle w:val="69"/>
              <w:jc w:val="center"/>
              <w:rPr>
                <w:rFonts w:hint="default" w:eastAsia="宋体"/>
                <w:color w:val="auto"/>
                <w:kern w:val="0"/>
                <w:sz w:val="21"/>
                <w:szCs w:val="21"/>
                <w:highlight w:val="none"/>
                <w:lang w:val="en-US" w:eastAsia="zh-CN"/>
              </w:rPr>
            </w:pPr>
            <w:r>
              <w:rPr>
                <w:rFonts w:hint="eastAsia" w:ascii="Times New Roman" w:hAnsi="Times New Roman" w:eastAsia="宋体"/>
                <w:color w:val="auto"/>
                <w:kern w:val="0"/>
                <w:sz w:val="21"/>
                <w:szCs w:val="21"/>
                <w:highlight w:val="none"/>
              </w:rPr>
              <w:t>本项目</w:t>
            </w:r>
            <w:r>
              <w:rPr>
                <w:rFonts w:ascii="Times New Roman" w:hAnsi="Times New Roman" w:eastAsia="宋体"/>
                <w:color w:val="auto"/>
                <w:kern w:val="0"/>
                <w:sz w:val="21"/>
                <w:szCs w:val="21"/>
                <w:highlight w:val="none"/>
              </w:rPr>
              <w:t>设置</w:t>
            </w:r>
            <w:r>
              <w:rPr>
                <w:rFonts w:hint="eastAsia" w:ascii="Times New Roman" w:hAnsi="Times New Roman" w:eastAsia="宋体"/>
                <w:color w:val="auto"/>
                <w:kern w:val="0"/>
                <w:sz w:val="21"/>
                <w:szCs w:val="21"/>
                <w:highlight w:val="none"/>
                <w:lang w:val="en-US" w:eastAsia="zh-CN"/>
              </w:rPr>
              <w:t>8</w:t>
            </w:r>
            <w:r>
              <w:rPr>
                <w:rFonts w:ascii="Times New Roman" w:hAnsi="Times New Roman" w:eastAsia="宋体"/>
                <w:color w:val="auto"/>
                <w:kern w:val="0"/>
                <w:sz w:val="21"/>
                <w:szCs w:val="21"/>
                <w:highlight w:val="none"/>
              </w:rPr>
              <w:t>个</w:t>
            </w:r>
            <w:r>
              <w:rPr>
                <w:rFonts w:hint="eastAsia" w:ascii="Times New Roman" w:hAnsi="Times New Roman" w:eastAsia="宋体"/>
                <w:color w:val="auto"/>
                <w:kern w:val="0"/>
                <w:sz w:val="21"/>
                <w:szCs w:val="21"/>
                <w:highlight w:val="none"/>
                <w:lang w:val="en-US" w:eastAsia="zh-CN"/>
              </w:rPr>
              <w:t>10</w:t>
            </w:r>
            <w:r>
              <w:rPr>
                <w:rFonts w:ascii="Times New Roman" w:hAnsi="Times New Roman" w:eastAsia="宋体"/>
                <w:color w:val="auto"/>
                <w:kern w:val="0"/>
                <w:sz w:val="21"/>
                <w:szCs w:val="21"/>
                <w:highlight w:val="none"/>
              </w:rPr>
              <w:t>m</w:t>
            </w:r>
            <w:r>
              <w:rPr>
                <w:rFonts w:ascii="Times New Roman" w:hAnsi="Times New Roman" w:eastAsia="宋体"/>
                <w:color w:val="auto"/>
                <w:kern w:val="0"/>
                <w:sz w:val="21"/>
                <w:szCs w:val="21"/>
                <w:highlight w:val="none"/>
                <w:vertAlign w:val="superscript"/>
              </w:rPr>
              <w:t>3</w:t>
            </w:r>
            <w:r>
              <w:rPr>
                <w:rFonts w:hint="eastAsia" w:ascii="Times New Roman" w:hAnsi="Times New Roman" w:eastAsia="宋体"/>
                <w:color w:val="auto"/>
                <w:kern w:val="0"/>
                <w:sz w:val="21"/>
                <w:szCs w:val="21"/>
                <w:highlight w:val="none"/>
                <w:lang w:eastAsia="zh-CN"/>
              </w:rPr>
              <w:t>废水收集池</w:t>
            </w:r>
            <w:r>
              <w:rPr>
                <w:rFonts w:ascii="Times New Roman" w:hAnsi="Times New Roman" w:eastAsia="宋体"/>
                <w:color w:val="auto"/>
                <w:kern w:val="0"/>
                <w:sz w:val="21"/>
                <w:szCs w:val="21"/>
                <w:highlight w:val="none"/>
              </w:rPr>
              <w:t>用于存储鸡舍的养殖废水</w:t>
            </w:r>
            <w:r>
              <w:rPr>
                <w:rFonts w:hint="eastAsia" w:ascii="Times New Roman" w:hAnsi="Times New Roman" w:eastAsia="宋体"/>
                <w:color w:val="auto"/>
                <w:kern w:val="0"/>
                <w:sz w:val="21"/>
                <w:szCs w:val="21"/>
                <w:highlight w:val="none"/>
                <w:lang w:eastAsia="zh-CN"/>
              </w:rPr>
              <w:t>，</w:t>
            </w:r>
            <w:r>
              <w:rPr>
                <w:rFonts w:ascii="Times New Roman" w:hAnsi="Times New Roman" w:eastAsia="宋体"/>
                <w:color w:val="auto"/>
                <w:kern w:val="0"/>
                <w:sz w:val="21"/>
                <w:szCs w:val="21"/>
                <w:highlight w:val="none"/>
              </w:rPr>
              <w:t>养殖废水</w:t>
            </w:r>
            <w:r>
              <w:rPr>
                <w:rFonts w:hint="eastAsia" w:ascii="Times New Roman" w:hAnsi="Times New Roman" w:eastAsia="宋体"/>
                <w:color w:val="auto"/>
                <w:kern w:val="0"/>
                <w:sz w:val="21"/>
                <w:szCs w:val="21"/>
                <w:highlight w:val="none"/>
                <w:lang w:eastAsia="zh-CN"/>
              </w:rPr>
              <w:t>日产日清，由罐车直接拉走外售至辰泰（辽宁）生物科技有限公司做有机肥，实现污水资源化利用。极端天气在厂区内贮存</w:t>
            </w:r>
            <w:r>
              <w:rPr>
                <w:rFonts w:hint="eastAsia" w:ascii="Times New Roman" w:hAnsi="Times New Roman" w:eastAsia="宋体"/>
                <w:color w:val="auto"/>
                <w:kern w:val="0"/>
                <w:sz w:val="21"/>
                <w:szCs w:val="21"/>
                <w:highlight w:val="none"/>
                <w:lang w:val="en-US" w:eastAsia="zh-CN"/>
              </w:rPr>
              <w:t>50d/a。</w:t>
            </w:r>
          </w:p>
        </w:tc>
        <w:tc>
          <w:tcPr>
            <w:tcW w:w="763" w:type="dxa"/>
            <w:vAlign w:val="center"/>
          </w:tcPr>
          <w:p w14:paraId="216F18CD">
            <w:pPr>
              <w:jc w:val="center"/>
              <w:textAlignment w:val="baseline"/>
              <w:rPr>
                <w:color w:val="auto"/>
                <w:kern w:val="0"/>
                <w:szCs w:val="21"/>
              </w:rPr>
            </w:pPr>
            <w:r>
              <w:rPr>
                <w:color w:val="auto"/>
                <w:kern w:val="0"/>
                <w:szCs w:val="21"/>
              </w:rPr>
              <w:t>符合</w:t>
            </w:r>
          </w:p>
        </w:tc>
      </w:tr>
      <w:tr w14:paraId="75F2F7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309ACB79">
            <w:pPr>
              <w:jc w:val="center"/>
              <w:textAlignment w:val="baseline"/>
              <w:rPr>
                <w:color w:val="auto"/>
                <w:kern w:val="0"/>
                <w:szCs w:val="21"/>
              </w:rPr>
            </w:pPr>
            <w:r>
              <w:rPr>
                <w:rFonts w:hint="eastAsia"/>
                <w:color w:val="auto"/>
                <w:kern w:val="0"/>
                <w:szCs w:val="21"/>
              </w:rPr>
              <w:t>13</w:t>
            </w:r>
          </w:p>
        </w:tc>
        <w:tc>
          <w:tcPr>
            <w:tcW w:w="352" w:type="dxa"/>
            <w:vMerge w:val="continue"/>
            <w:vAlign w:val="center"/>
          </w:tcPr>
          <w:p w14:paraId="53E192EA">
            <w:pPr>
              <w:widowControl/>
              <w:jc w:val="center"/>
              <w:textAlignment w:val="baseline"/>
              <w:rPr>
                <w:color w:val="auto"/>
                <w:kern w:val="0"/>
                <w:szCs w:val="21"/>
              </w:rPr>
            </w:pPr>
          </w:p>
        </w:tc>
        <w:tc>
          <w:tcPr>
            <w:tcW w:w="3818" w:type="dxa"/>
            <w:vAlign w:val="center"/>
          </w:tcPr>
          <w:p w14:paraId="2A3E79B3">
            <w:pPr>
              <w:widowControl/>
              <w:jc w:val="center"/>
              <w:textAlignment w:val="baseline"/>
              <w:rPr>
                <w:color w:val="auto"/>
                <w:kern w:val="0"/>
                <w:szCs w:val="21"/>
              </w:rPr>
            </w:pPr>
            <w:r>
              <w:rPr>
                <w:color w:val="auto"/>
                <w:kern w:val="0"/>
                <w:szCs w:val="21"/>
              </w:rPr>
              <w:t>对没有充足土地消纳污水的畜禽养殖场，可根据当地实际情况选用下列综合利用措施：</w:t>
            </w:r>
          </w:p>
          <w:p w14:paraId="24325CE3">
            <w:pPr>
              <w:widowControl/>
              <w:jc w:val="center"/>
              <w:textAlignment w:val="baseline"/>
              <w:rPr>
                <w:color w:val="auto"/>
                <w:kern w:val="0"/>
                <w:szCs w:val="21"/>
              </w:rPr>
            </w:pPr>
            <w:r>
              <w:rPr>
                <w:rFonts w:hint="eastAsia"/>
                <w:color w:val="auto"/>
                <w:kern w:val="0"/>
                <w:szCs w:val="21"/>
              </w:rPr>
              <w:t>①经过生物发酵后，可浓缩制成商品液体有机肥料；</w:t>
            </w:r>
          </w:p>
          <w:p w14:paraId="62B231FF">
            <w:pPr>
              <w:widowControl/>
              <w:jc w:val="center"/>
              <w:textAlignment w:val="baseline"/>
              <w:rPr>
                <w:color w:val="auto"/>
                <w:kern w:val="0"/>
                <w:szCs w:val="21"/>
              </w:rPr>
            </w:pPr>
            <w:r>
              <w:rPr>
                <w:rFonts w:hint="eastAsia"/>
                <w:color w:val="auto"/>
                <w:kern w:val="0"/>
                <w:szCs w:val="21"/>
              </w:rPr>
              <w:t>②进行沼气发酵，对沼渣、沼液应尽可能实现综合利用，同时要避免产生新的污染，沼渣及时清运至粪便贮存场所；沼液尽可能进行还田利用，不能还田利用并需外排的要进行进一步净化</w:t>
            </w:r>
            <w:r>
              <w:rPr>
                <w:rFonts w:hint="eastAsia"/>
                <w:color w:val="auto"/>
                <w:kern w:val="0"/>
                <w:szCs w:val="21"/>
                <w:lang w:val="zh-CN"/>
              </w:rPr>
              <w:t>处理</w:t>
            </w:r>
            <w:r>
              <w:rPr>
                <w:rFonts w:hint="eastAsia"/>
                <w:color w:val="auto"/>
                <w:kern w:val="0"/>
                <w:szCs w:val="21"/>
              </w:rPr>
              <w:t>达到排放标准。</w:t>
            </w:r>
          </w:p>
          <w:p w14:paraId="74BE7B06">
            <w:pPr>
              <w:widowControl/>
              <w:jc w:val="center"/>
              <w:textAlignment w:val="baseline"/>
              <w:rPr>
                <w:color w:val="auto"/>
                <w:kern w:val="0"/>
                <w:szCs w:val="21"/>
              </w:rPr>
            </w:pPr>
            <w:r>
              <w:rPr>
                <w:rFonts w:hint="eastAsia"/>
                <w:color w:val="auto"/>
                <w:kern w:val="0"/>
                <w:szCs w:val="21"/>
              </w:rPr>
              <w:t>沼气发酵产物应符合《粪便无害化卫生标准》（GB 7959—87）。</w:t>
            </w:r>
          </w:p>
          <w:p w14:paraId="5AD58B81">
            <w:pPr>
              <w:widowControl/>
              <w:jc w:val="center"/>
              <w:textAlignment w:val="baseline"/>
              <w:rPr>
                <w:color w:val="auto"/>
                <w:kern w:val="0"/>
                <w:szCs w:val="21"/>
              </w:rPr>
            </w:pPr>
            <w:r>
              <w:rPr>
                <w:rFonts w:hint="eastAsia"/>
                <w:color w:val="auto"/>
                <w:kern w:val="0"/>
                <w:szCs w:val="21"/>
              </w:rPr>
              <w:t>③制取其它生物能源或进行其它类型的资源回收综合利用.要避免二次污染，并应符合《畜禽养殖业污染物排放标准》的规定。</w:t>
            </w:r>
          </w:p>
        </w:tc>
        <w:tc>
          <w:tcPr>
            <w:tcW w:w="2955" w:type="dxa"/>
            <w:vAlign w:val="center"/>
          </w:tcPr>
          <w:p w14:paraId="182592CC">
            <w:pPr>
              <w:widowControl/>
              <w:jc w:val="center"/>
              <w:textAlignment w:val="baseline"/>
              <w:rPr>
                <w:color w:val="auto"/>
                <w:kern w:val="0"/>
                <w:szCs w:val="21"/>
                <w:highlight w:val="none"/>
              </w:rPr>
            </w:pPr>
            <w:r>
              <w:rPr>
                <w:rFonts w:hint="eastAsia" w:eastAsia="宋体"/>
                <w:color w:val="auto"/>
                <w:kern w:val="0"/>
                <w:sz w:val="21"/>
                <w:szCs w:val="21"/>
                <w:highlight w:val="none"/>
                <w:lang w:eastAsia="zh-CN"/>
              </w:rPr>
              <w:t>本项目</w:t>
            </w:r>
            <w:r>
              <w:rPr>
                <w:rFonts w:ascii="Times New Roman" w:hAnsi="Times New Roman" w:eastAsia="宋体"/>
                <w:color w:val="auto"/>
                <w:kern w:val="0"/>
                <w:sz w:val="21"/>
                <w:szCs w:val="21"/>
                <w:highlight w:val="none"/>
              </w:rPr>
              <w:t>设置</w:t>
            </w:r>
            <w:r>
              <w:rPr>
                <w:rFonts w:hint="eastAsia" w:ascii="Times New Roman" w:hAnsi="Times New Roman" w:eastAsia="宋体"/>
                <w:color w:val="auto"/>
                <w:kern w:val="0"/>
                <w:sz w:val="21"/>
                <w:szCs w:val="21"/>
                <w:highlight w:val="none"/>
                <w:lang w:val="en-US" w:eastAsia="zh-CN"/>
              </w:rPr>
              <w:t>8</w:t>
            </w:r>
            <w:r>
              <w:rPr>
                <w:rFonts w:ascii="Times New Roman" w:hAnsi="Times New Roman" w:eastAsia="宋体"/>
                <w:color w:val="auto"/>
                <w:kern w:val="0"/>
                <w:sz w:val="21"/>
                <w:szCs w:val="21"/>
                <w:highlight w:val="none"/>
              </w:rPr>
              <w:t>个</w:t>
            </w:r>
            <w:r>
              <w:rPr>
                <w:rFonts w:hint="eastAsia"/>
                <w:color w:val="auto"/>
                <w:kern w:val="0"/>
                <w:sz w:val="21"/>
                <w:szCs w:val="21"/>
                <w:highlight w:val="none"/>
                <w:lang w:val="en-US" w:eastAsia="zh-CN"/>
              </w:rPr>
              <w:t>10</w:t>
            </w:r>
            <w:r>
              <w:rPr>
                <w:rFonts w:ascii="Times New Roman" w:hAnsi="Times New Roman" w:eastAsia="宋体"/>
                <w:color w:val="auto"/>
                <w:kern w:val="0"/>
                <w:sz w:val="21"/>
                <w:szCs w:val="21"/>
                <w:highlight w:val="none"/>
              </w:rPr>
              <w:t>m</w:t>
            </w:r>
            <w:r>
              <w:rPr>
                <w:rFonts w:ascii="Times New Roman" w:hAnsi="Times New Roman" w:eastAsia="宋体"/>
                <w:color w:val="auto"/>
                <w:kern w:val="0"/>
                <w:sz w:val="21"/>
                <w:szCs w:val="21"/>
                <w:highlight w:val="none"/>
                <w:vertAlign w:val="superscript"/>
              </w:rPr>
              <w:t>3</w:t>
            </w:r>
            <w:r>
              <w:rPr>
                <w:rFonts w:hint="eastAsia"/>
                <w:color w:val="auto"/>
                <w:kern w:val="0"/>
                <w:sz w:val="21"/>
                <w:szCs w:val="21"/>
                <w:highlight w:val="none"/>
                <w:lang w:eastAsia="zh-CN"/>
              </w:rPr>
              <w:t>废水收集池</w:t>
            </w:r>
            <w:r>
              <w:rPr>
                <w:rFonts w:ascii="Times New Roman" w:hAnsi="Times New Roman" w:eastAsia="宋体"/>
                <w:color w:val="auto"/>
                <w:kern w:val="0"/>
                <w:sz w:val="21"/>
                <w:szCs w:val="21"/>
                <w:highlight w:val="none"/>
              </w:rPr>
              <w:t>用于存储鸡舍的养殖废水</w:t>
            </w:r>
            <w:r>
              <w:rPr>
                <w:rFonts w:hint="eastAsia" w:ascii="Times New Roman" w:hAnsi="Times New Roman" w:eastAsia="宋体"/>
                <w:color w:val="auto"/>
                <w:kern w:val="0"/>
                <w:sz w:val="21"/>
                <w:szCs w:val="21"/>
                <w:highlight w:val="none"/>
                <w:lang w:eastAsia="zh-CN"/>
              </w:rPr>
              <w:t>，</w:t>
            </w:r>
            <w:r>
              <w:rPr>
                <w:rFonts w:ascii="Times New Roman" w:hAnsi="Times New Roman" w:eastAsia="宋体"/>
                <w:color w:val="auto"/>
                <w:kern w:val="0"/>
                <w:sz w:val="21"/>
                <w:szCs w:val="21"/>
                <w:highlight w:val="none"/>
              </w:rPr>
              <w:t>养殖废水</w:t>
            </w:r>
            <w:r>
              <w:rPr>
                <w:rFonts w:hint="eastAsia" w:ascii="Times New Roman" w:hAnsi="Times New Roman" w:eastAsia="宋体"/>
                <w:color w:val="auto"/>
                <w:kern w:val="0"/>
                <w:sz w:val="21"/>
                <w:szCs w:val="21"/>
                <w:highlight w:val="none"/>
                <w:lang w:eastAsia="zh-CN"/>
              </w:rPr>
              <w:t>日产日清，由罐车直接拉走外售至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eastAsia="宋体"/>
                <w:color w:val="auto"/>
                <w:kern w:val="0"/>
                <w:sz w:val="21"/>
                <w:szCs w:val="21"/>
                <w:highlight w:val="none"/>
                <w:lang w:eastAsia="zh-CN"/>
              </w:rPr>
              <w:t>，无需消纳土地。</w:t>
            </w:r>
          </w:p>
        </w:tc>
        <w:tc>
          <w:tcPr>
            <w:tcW w:w="763" w:type="dxa"/>
            <w:vAlign w:val="center"/>
          </w:tcPr>
          <w:p w14:paraId="518A565A">
            <w:pPr>
              <w:jc w:val="center"/>
              <w:textAlignment w:val="baseline"/>
              <w:rPr>
                <w:color w:val="auto"/>
                <w:kern w:val="0"/>
                <w:szCs w:val="21"/>
              </w:rPr>
            </w:pPr>
            <w:r>
              <w:rPr>
                <w:color w:val="auto"/>
                <w:kern w:val="0"/>
                <w:szCs w:val="21"/>
              </w:rPr>
              <w:t>符合</w:t>
            </w:r>
          </w:p>
        </w:tc>
      </w:tr>
      <w:tr w14:paraId="38654F1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6FAD472F">
            <w:pPr>
              <w:jc w:val="center"/>
              <w:textAlignment w:val="baseline"/>
              <w:rPr>
                <w:color w:val="auto"/>
                <w:kern w:val="0"/>
                <w:szCs w:val="21"/>
              </w:rPr>
            </w:pPr>
            <w:r>
              <w:rPr>
                <w:rFonts w:hint="eastAsia"/>
                <w:color w:val="auto"/>
                <w:kern w:val="0"/>
                <w:szCs w:val="21"/>
              </w:rPr>
              <w:t>14</w:t>
            </w:r>
          </w:p>
        </w:tc>
        <w:tc>
          <w:tcPr>
            <w:tcW w:w="352" w:type="dxa"/>
            <w:vMerge w:val="continue"/>
            <w:vAlign w:val="center"/>
          </w:tcPr>
          <w:p w14:paraId="140F1831">
            <w:pPr>
              <w:widowControl/>
              <w:jc w:val="center"/>
              <w:textAlignment w:val="baseline"/>
              <w:rPr>
                <w:color w:val="auto"/>
                <w:kern w:val="0"/>
                <w:szCs w:val="21"/>
              </w:rPr>
            </w:pPr>
          </w:p>
        </w:tc>
        <w:tc>
          <w:tcPr>
            <w:tcW w:w="3818" w:type="dxa"/>
            <w:vAlign w:val="center"/>
          </w:tcPr>
          <w:p w14:paraId="4BB8E1C8">
            <w:pPr>
              <w:widowControl/>
              <w:jc w:val="center"/>
              <w:textAlignment w:val="baseline"/>
              <w:rPr>
                <w:color w:val="auto"/>
                <w:kern w:val="0"/>
                <w:szCs w:val="21"/>
              </w:rPr>
            </w:pPr>
            <w:r>
              <w:rPr>
                <w:color w:val="auto"/>
                <w:szCs w:val="21"/>
              </w:rPr>
              <w:t>污水的净化处理应根据养殖种类、养殖规模、清粪方式和当地的自然地理条件，选择合理、适用的污水净化处理工艺和技术路线，尽可能采用自然生物处理的方法</w:t>
            </w:r>
            <w:r>
              <w:rPr>
                <w:rFonts w:hint="eastAsia"/>
                <w:color w:val="auto"/>
                <w:szCs w:val="21"/>
              </w:rPr>
              <w:t>，</w:t>
            </w:r>
            <w:r>
              <w:rPr>
                <w:color w:val="auto"/>
                <w:szCs w:val="21"/>
              </w:rPr>
              <w:t>达到回用标准或排放标准。</w:t>
            </w:r>
          </w:p>
        </w:tc>
        <w:tc>
          <w:tcPr>
            <w:tcW w:w="2955" w:type="dxa"/>
            <w:vAlign w:val="center"/>
          </w:tcPr>
          <w:p w14:paraId="786421FC">
            <w:pPr>
              <w:widowControl/>
              <w:jc w:val="center"/>
              <w:textAlignment w:val="baseline"/>
              <w:rPr>
                <w:rFonts w:hint="eastAsia" w:eastAsia="宋体"/>
                <w:color w:val="auto"/>
                <w:kern w:val="0"/>
                <w:szCs w:val="21"/>
                <w:highlight w:val="none"/>
                <w:lang w:eastAsia="zh-CN"/>
              </w:rPr>
            </w:pPr>
            <w:r>
              <w:rPr>
                <w:rFonts w:hint="eastAsia" w:eastAsia="宋体"/>
                <w:color w:val="auto"/>
                <w:kern w:val="0"/>
                <w:sz w:val="21"/>
                <w:szCs w:val="21"/>
                <w:highlight w:val="none"/>
                <w:lang w:eastAsia="zh-CN"/>
              </w:rPr>
              <w:t>本项目</w:t>
            </w:r>
            <w:r>
              <w:rPr>
                <w:rFonts w:ascii="Times New Roman" w:hAnsi="Times New Roman" w:eastAsia="宋体"/>
                <w:color w:val="auto"/>
                <w:kern w:val="0"/>
                <w:sz w:val="21"/>
                <w:szCs w:val="21"/>
                <w:highlight w:val="none"/>
              </w:rPr>
              <w:t>设置</w:t>
            </w:r>
            <w:r>
              <w:rPr>
                <w:rFonts w:hint="eastAsia" w:ascii="Times New Roman" w:hAnsi="Times New Roman" w:eastAsia="宋体"/>
                <w:color w:val="auto"/>
                <w:kern w:val="0"/>
                <w:sz w:val="21"/>
                <w:szCs w:val="21"/>
                <w:highlight w:val="none"/>
                <w:lang w:val="en-US" w:eastAsia="zh-CN"/>
              </w:rPr>
              <w:t>8</w:t>
            </w:r>
            <w:r>
              <w:rPr>
                <w:rFonts w:ascii="Times New Roman" w:hAnsi="Times New Roman" w:eastAsia="宋体"/>
                <w:color w:val="auto"/>
                <w:kern w:val="0"/>
                <w:sz w:val="21"/>
                <w:szCs w:val="21"/>
                <w:highlight w:val="none"/>
              </w:rPr>
              <w:t>个</w:t>
            </w:r>
            <w:r>
              <w:rPr>
                <w:rFonts w:hint="eastAsia"/>
                <w:color w:val="auto"/>
                <w:kern w:val="0"/>
                <w:sz w:val="21"/>
                <w:szCs w:val="21"/>
                <w:highlight w:val="none"/>
                <w:lang w:val="en-US" w:eastAsia="zh-CN"/>
              </w:rPr>
              <w:t>1</w:t>
            </w:r>
            <w:r>
              <w:rPr>
                <w:rFonts w:ascii="Times New Roman" w:hAnsi="Times New Roman" w:eastAsia="宋体"/>
                <w:color w:val="auto"/>
                <w:kern w:val="0"/>
                <w:sz w:val="21"/>
                <w:szCs w:val="21"/>
                <w:highlight w:val="none"/>
              </w:rPr>
              <w:t>m</w:t>
            </w:r>
            <w:r>
              <w:rPr>
                <w:rFonts w:ascii="Times New Roman" w:hAnsi="Times New Roman" w:eastAsia="宋体"/>
                <w:color w:val="auto"/>
                <w:kern w:val="0"/>
                <w:sz w:val="21"/>
                <w:szCs w:val="21"/>
                <w:highlight w:val="none"/>
                <w:vertAlign w:val="superscript"/>
              </w:rPr>
              <w:t>3</w:t>
            </w:r>
            <w:r>
              <w:rPr>
                <w:rFonts w:hint="eastAsia"/>
                <w:color w:val="auto"/>
                <w:kern w:val="0"/>
                <w:sz w:val="21"/>
                <w:szCs w:val="21"/>
                <w:highlight w:val="none"/>
                <w:lang w:eastAsia="zh-CN"/>
              </w:rPr>
              <w:t>废水收集池</w:t>
            </w:r>
            <w:r>
              <w:rPr>
                <w:rFonts w:ascii="Times New Roman" w:hAnsi="Times New Roman" w:eastAsia="宋体"/>
                <w:color w:val="auto"/>
                <w:kern w:val="0"/>
                <w:sz w:val="21"/>
                <w:szCs w:val="21"/>
                <w:highlight w:val="none"/>
              </w:rPr>
              <w:t>用于存储鸡舍的养殖废水</w:t>
            </w:r>
            <w:r>
              <w:rPr>
                <w:rFonts w:hint="eastAsia" w:ascii="Times New Roman" w:hAnsi="Times New Roman" w:eastAsia="宋体"/>
                <w:color w:val="auto"/>
                <w:kern w:val="0"/>
                <w:sz w:val="21"/>
                <w:szCs w:val="21"/>
                <w:highlight w:val="none"/>
                <w:lang w:eastAsia="zh-CN"/>
              </w:rPr>
              <w:t>，</w:t>
            </w:r>
            <w:r>
              <w:rPr>
                <w:rFonts w:ascii="Times New Roman" w:hAnsi="Times New Roman" w:eastAsia="宋体"/>
                <w:color w:val="auto"/>
                <w:kern w:val="0"/>
                <w:sz w:val="21"/>
                <w:szCs w:val="21"/>
                <w:highlight w:val="none"/>
              </w:rPr>
              <w:t>养殖废水</w:t>
            </w:r>
            <w:r>
              <w:rPr>
                <w:rFonts w:hint="eastAsia" w:ascii="Times New Roman" w:hAnsi="Times New Roman" w:eastAsia="宋体"/>
                <w:color w:val="auto"/>
                <w:kern w:val="0"/>
                <w:sz w:val="21"/>
                <w:szCs w:val="21"/>
                <w:highlight w:val="none"/>
                <w:lang w:eastAsia="zh-CN"/>
              </w:rPr>
              <w:t>日产日清，由罐车直接拉走外售至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eastAsia="宋体"/>
                <w:color w:val="auto"/>
                <w:kern w:val="0"/>
                <w:sz w:val="21"/>
                <w:szCs w:val="21"/>
                <w:highlight w:val="none"/>
                <w:lang w:eastAsia="zh-CN"/>
              </w:rPr>
              <w:t>，</w:t>
            </w:r>
            <w:r>
              <w:rPr>
                <w:rFonts w:hint="eastAsia"/>
                <w:color w:val="auto"/>
                <w:kern w:val="0"/>
                <w:szCs w:val="21"/>
                <w:highlight w:val="none"/>
              </w:rPr>
              <w:t>无污水外排</w:t>
            </w:r>
            <w:r>
              <w:rPr>
                <w:rFonts w:hint="eastAsia"/>
                <w:color w:val="auto"/>
                <w:kern w:val="0"/>
                <w:szCs w:val="21"/>
                <w:highlight w:val="none"/>
                <w:lang w:eastAsia="zh-CN"/>
              </w:rPr>
              <w:t>。</w:t>
            </w:r>
          </w:p>
        </w:tc>
        <w:tc>
          <w:tcPr>
            <w:tcW w:w="763" w:type="dxa"/>
            <w:vAlign w:val="center"/>
          </w:tcPr>
          <w:p w14:paraId="2527B7CA">
            <w:pPr>
              <w:jc w:val="center"/>
              <w:textAlignment w:val="baseline"/>
              <w:rPr>
                <w:color w:val="auto"/>
                <w:kern w:val="0"/>
                <w:szCs w:val="21"/>
              </w:rPr>
            </w:pPr>
            <w:r>
              <w:rPr>
                <w:color w:val="auto"/>
                <w:kern w:val="0"/>
                <w:szCs w:val="21"/>
              </w:rPr>
              <w:t>符合</w:t>
            </w:r>
          </w:p>
        </w:tc>
      </w:tr>
      <w:tr w14:paraId="2114502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389359D5">
            <w:pPr>
              <w:jc w:val="center"/>
              <w:textAlignment w:val="baseline"/>
              <w:rPr>
                <w:color w:val="auto"/>
                <w:kern w:val="0"/>
                <w:szCs w:val="21"/>
              </w:rPr>
            </w:pPr>
            <w:r>
              <w:rPr>
                <w:rFonts w:hint="eastAsia"/>
                <w:color w:val="auto"/>
                <w:kern w:val="0"/>
                <w:szCs w:val="21"/>
              </w:rPr>
              <w:t>15</w:t>
            </w:r>
          </w:p>
        </w:tc>
        <w:tc>
          <w:tcPr>
            <w:tcW w:w="352" w:type="dxa"/>
            <w:vMerge w:val="restart"/>
            <w:vAlign w:val="center"/>
          </w:tcPr>
          <w:p w14:paraId="7FAD3510">
            <w:pPr>
              <w:widowControl/>
              <w:jc w:val="center"/>
              <w:textAlignment w:val="baseline"/>
              <w:rPr>
                <w:color w:val="auto"/>
                <w:kern w:val="0"/>
                <w:szCs w:val="21"/>
              </w:rPr>
            </w:pPr>
            <w:r>
              <w:rPr>
                <w:color w:val="auto"/>
                <w:kern w:val="0"/>
                <w:szCs w:val="21"/>
              </w:rPr>
              <w:t>固体粪肥的处理</w:t>
            </w:r>
          </w:p>
          <w:p w14:paraId="2FC62458">
            <w:pPr>
              <w:widowControl/>
              <w:jc w:val="center"/>
              <w:textAlignment w:val="baseline"/>
              <w:rPr>
                <w:color w:val="auto"/>
                <w:kern w:val="0"/>
                <w:szCs w:val="21"/>
              </w:rPr>
            </w:pPr>
            <w:r>
              <w:rPr>
                <w:color w:val="auto"/>
                <w:kern w:val="0"/>
                <w:szCs w:val="21"/>
              </w:rPr>
              <w:t>利用</w:t>
            </w:r>
          </w:p>
        </w:tc>
        <w:tc>
          <w:tcPr>
            <w:tcW w:w="3818" w:type="dxa"/>
            <w:vAlign w:val="center"/>
          </w:tcPr>
          <w:p w14:paraId="24DEE537">
            <w:pPr>
              <w:widowControl/>
              <w:jc w:val="center"/>
              <w:textAlignment w:val="baseline"/>
              <w:rPr>
                <w:color w:val="auto"/>
                <w:kern w:val="0"/>
                <w:szCs w:val="21"/>
              </w:rPr>
            </w:pPr>
            <w:r>
              <w:rPr>
                <w:rFonts w:hint="eastAsia"/>
                <w:color w:val="auto"/>
                <w:kern w:val="0"/>
                <w:szCs w:val="21"/>
              </w:rPr>
              <w:t>土地利用：</w:t>
            </w:r>
          </w:p>
          <w:p w14:paraId="76371357">
            <w:pPr>
              <w:widowControl/>
              <w:jc w:val="center"/>
              <w:textAlignment w:val="baseline"/>
              <w:rPr>
                <w:color w:val="auto"/>
                <w:kern w:val="0"/>
                <w:szCs w:val="21"/>
              </w:rPr>
            </w:pPr>
            <w:r>
              <w:rPr>
                <w:rFonts w:hint="eastAsia"/>
                <w:color w:val="auto"/>
                <w:kern w:val="0"/>
                <w:szCs w:val="21"/>
              </w:rPr>
              <w:t>①</w:t>
            </w:r>
            <w:r>
              <w:rPr>
                <w:color w:val="auto"/>
                <w:kern w:val="0"/>
                <w:szCs w:val="21"/>
              </w:rPr>
              <w:t>畜禽粪便必须经过无害化处理，并且须符合《粪便无害化卫生标准》后，才能进行土地利用，禁止未经处理的畜禽粪便直接施入农田。</w:t>
            </w:r>
          </w:p>
          <w:p w14:paraId="32E2D176">
            <w:pPr>
              <w:widowControl/>
              <w:jc w:val="center"/>
              <w:textAlignment w:val="baseline"/>
              <w:rPr>
                <w:color w:val="auto"/>
                <w:kern w:val="0"/>
                <w:szCs w:val="21"/>
              </w:rPr>
            </w:pPr>
            <w:r>
              <w:rPr>
                <w:rFonts w:hint="eastAsia"/>
                <w:color w:val="auto"/>
                <w:kern w:val="0"/>
                <w:szCs w:val="21"/>
              </w:rPr>
              <w:t>②</w:t>
            </w:r>
            <w:r>
              <w:rPr>
                <w:color w:val="auto"/>
                <w:kern w:val="0"/>
                <w:szCs w:val="21"/>
              </w:rPr>
              <w:t>经过处理的粪肥作为土地的肥料或土壊调节剂来满足作物生长的需要，其用量不能超过作物当 年生长所需养分的需求量。</w:t>
            </w:r>
          </w:p>
          <w:p w14:paraId="65903A74">
            <w:pPr>
              <w:widowControl/>
              <w:jc w:val="center"/>
              <w:textAlignment w:val="baseline"/>
              <w:rPr>
                <w:color w:val="auto"/>
                <w:kern w:val="0"/>
                <w:szCs w:val="21"/>
              </w:rPr>
            </w:pPr>
            <w:r>
              <w:rPr>
                <w:color w:val="auto"/>
                <w:kern w:val="0"/>
                <w:szCs w:val="21"/>
              </w:rPr>
              <w:t>在确定粪肥的最佳使用量时需要对土壤肥力和粪肥肥效进行测试评价，并应符合当地环境容量的 要求。</w:t>
            </w:r>
          </w:p>
          <w:p w14:paraId="20A1655C">
            <w:pPr>
              <w:widowControl/>
              <w:jc w:val="center"/>
              <w:textAlignment w:val="baseline"/>
              <w:rPr>
                <w:color w:val="auto"/>
                <w:kern w:val="0"/>
                <w:szCs w:val="21"/>
              </w:rPr>
            </w:pPr>
            <w:r>
              <w:rPr>
                <w:rFonts w:hint="eastAsia"/>
                <w:color w:val="auto"/>
                <w:kern w:val="0"/>
                <w:szCs w:val="21"/>
              </w:rPr>
              <w:t>③</w:t>
            </w:r>
            <w:r>
              <w:rPr>
                <w:color w:val="auto"/>
                <w:kern w:val="0"/>
                <w:szCs w:val="21"/>
              </w:rPr>
              <w:t>对高降雨区、坡地及沙质容易产生径流和渗透性较强的土壤，不适宜施用粪肥或粪肥使用量过高易使粪肥流失引起地表水或地下水污染时，应禁止或暂停使用粪肥。</w:t>
            </w:r>
          </w:p>
        </w:tc>
        <w:tc>
          <w:tcPr>
            <w:tcW w:w="2955" w:type="dxa"/>
            <w:vAlign w:val="center"/>
          </w:tcPr>
          <w:p w14:paraId="5B60D518">
            <w:pPr>
              <w:widowControl/>
              <w:jc w:val="center"/>
              <w:textAlignment w:val="baseline"/>
              <w:rPr>
                <w:rFonts w:hint="eastAsia" w:eastAsia="宋体"/>
                <w:color w:val="auto"/>
                <w:kern w:val="0"/>
                <w:szCs w:val="21"/>
                <w:highlight w:val="none"/>
                <w:lang w:eastAsia="zh-CN"/>
              </w:rPr>
            </w:pPr>
            <w:r>
              <w:rPr>
                <w:rFonts w:hint="eastAsia"/>
                <w:color w:val="auto"/>
                <w:kern w:val="0"/>
                <w:szCs w:val="21"/>
                <w:highlight w:val="none"/>
              </w:rPr>
              <w:t>本项目采取干清粪方式，鸡粪、鸡羽毛、饲料残渣</w:t>
            </w:r>
            <w:r>
              <w:rPr>
                <w:rFonts w:hint="eastAsia"/>
                <w:color w:val="auto"/>
                <w:kern w:val="0"/>
                <w:szCs w:val="21"/>
                <w:highlight w:val="none"/>
                <w:lang w:eastAsia="zh-CN"/>
              </w:rPr>
              <w:t>日产日清，</w:t>
            </w:r>
            <w:r>
              <w:rPr>
                <w:rFonts w:hint="eastAsia"/>
                <w:color w:val="auto"/>
                <w:kern w:val="0"/>
                <w:szCs w:val="21"/>
                <w:highlight w:val="none"/>
              </w:rPr>
              <w:t>外售</w:t>
            </w:r>
            <w:r>
              <w:rPr>
                <w:rFonts w:hint="eastAsia" w:ascii="Times New Roman" w:hAnsi="Times New Roman" w:eastAsia="宋体"/>
                <w:color w:val="auto"/>
                <w:kern w:val="0"/>
                <w:sz w:val="21"/>
                <w:szCs w:val="21"/>
                <w:highlight w:val="none"/>
                <w:lang w:eastAsia="zh-CN"/>
              </w:rPr>
              <w:t>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lang w:eastAsia="zh-CN"/>
              </w:rPr>
              <w:t>。</w:t>
            </w:r>
          </w:p>
        </w:tc>
        <w:tc>
          <w:tcPr>
            <w:tcW w:w="763" w:type="dxa"/>
            <w:vAlign w:val="center"/>
          </w:tcPr>
          <w:p w14:paraId="62EE284F">
            <w:pPr>
              <w:jc w:val="center"/>
              <w:textAlignment w:val="baseline"/>
              <w:rPr>
                <w:color w:val="auto"/>
                <w:kern w:val="0"/>
                <w:szCs w:val="21"/>
              </w:rPr>
            </w:pPr>
            <w:r>
              <w:rPr>
                <w:color w:val="auto"/>
                <w:kern w:val="0"/>
                <w:szCs w:val="21"/>
              </w:rPr>
              <w:t>符合</w:t>
            </w:r>
          </w:p>
        </w:tc>
      </w:tr>
      <w:tr w14:paraId="25C129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0898D0B4">
            <w:pPr>
              <w:jc w:val="center"/>
              <w:textAlignment w:val="baseline"/>
              <w:rPr>
                <w:color w:val="auto"/>
                <w:kern w:val="0"/>
                <w:szCs w:val="21"/>
              </w:rPr>
            </w:pPr>
            <w:r>
              <w:rPr>
                <w:rFonts w:hint="eastAsia"/>
                <w:color w:val="auto"/>
                <w:kern w:val="0"/>
                <w:szCs w:val="21"/>
              </w:rPr>
              <w:t>16</w:t>
            </w:r>
          </w:p>
        </w:tc>
        <w:tc>
          <w:tcPr>
            <w:tcW w:w="352" w:type="dxa"/>
            <w:vMerge w:val="continue"/>
            <w:vAlign w:val="center"/>
          </w:tcPr>
          <w:p w14:paraId="5484B4BC">
            <w:pPr>
              <w:widowControl/>
              <w:jc w:val="center"/>
              <w:textAlignment w:val="baseline"/>
              <w:rPr>
                <w:color w:val="auto"/>
                <w:kern w:val="0"/>
                <w:szCs w:val="21"/>
              </w:rPr>
            </w:pPr>
          </w:p>
        </w:tc>
        <w:tc>
          <w:tcPr>
            <w:tcW w:w="3818" w:type="dxa"/>
            <w:vAlign w:val="center"/>
          </w:tcPr>
          <w:p w14:paraId="61CC116A">
            <w:pPr>
              <w:widowControl/>
              <w:jc w:val="center"/>
              <w:textAlignment w:val="baseline"/>
              <w:rPr>
                <w:color w:val="auto"/>
                <w:kern w:val="0"/>
                <w:szCs w:val="21"/>
              </w:rPr>
            </w:pPr>
            <w:r>
              <w:rPr>
                <w:color w:val="auto"/>
                <w:kern w:val="0"/>
                <w:szCs w:val="21"/>
              </w:rPr>
              <w:t>对没有充足土地消纳利用粪肥的大中型畜禽养殖场和养殖小区，应建立集中处理畜禽粪便的有机肥厂或处理（置）机制。</w:t>
            </w:r>
          </w:p>
          <w:p w14:paraId="2483E658">
            <w:pPr>
              <w:widowControl/>
              <w:jc w:val="center"/>
              <w:textAlignment w:val="baseline"/>
              <w:rPr>
                <w:color w:val="auto"/>
                <w:kern w:val="0"/>
                <w:szCs w:val="21"/>
              </w:rPr>
            </w:pPr>
            <w:r>
              <w:rPr>
                <w:rFonts w:hint="eastAsia"/>
                <w:color w:val="auto"/>
                <w:kern w:val="0"/>
                <w:szCs w:val="21"/>
              </w:rPr>
              <w:t>①</w:t>
            </w:r>
            <w:r>
              <w:rPr>
                <w:color w:val="auto"/>
                <w:kern w:val="0"/>
                <w:szCs w:val="21"/>
              </w:rPr>
              <w:t>固体粪肥的堆制可采用高温好氧发酵或其它适用技术和方法，以杀死其中的病原菌和蛔虫卵，缩短堆制时间，实现无害化。</w:t>
            </w:r>
          </w:p>
          <w:p w14:paraId="1806097C">
            <w:pPr>
              <w:widowControl/>
              <w:jc w:val="center"/>
              <w:textAlignment w:val="baseline"/>
              <w:rPr>
                <w:color w:val="auto"/>
                <w:kern w:val="0"/>
                <w:szCs w:val="21"/>
              </w:rPr>
            </w:pPr>
            <w:r>
              <w:rPr>
                <w:rFonts w:hint="eastAsia"/>
                <w:color w:val="auto"/>
                <w:kern w:val="0"/>
                <w:szCs w:val="21"/>
              </w:rPr>
              <w:t>②</w:t>
            </w:r>
            <w:r>
              <w:rPr>
                <w:color w:val="auto"/>
                <w:kern w:val="0"/>
                <w:szCs w:val="21"/>
              </w:rPr>
              <w:t>高温好氧堆制法分自然堆制发酵法和机械强化发酵法，可根据本场的具体情况选用。</w:t>
            </w:r>
          </w:p>
        </w:tc>
        <w:tc>
          <w:tcPr>
            <w:tcW w:w="2955" w:type="dxa"/>
            <w:vAlign w:val="center"/>
          </w:tcPr>
          <w:p w14:paraId="03A4A031">
            <w:pPr>
              <w:widowControl/>
              <w:jc w:val="center"/>
              <w:textAlignment w:val="baseline"/>
              <w:rPr>
                <w:color w:val="auto"/>
                <w:kern w:val="0"/>
                <w:szCs w:val="21"/>
                <w:highlight w:val="none"/>
              </w:rPr>
            </w:pPr>
            <w:r>
              <w:rPr>
                <w:rFonts w:hint="eastAsia"/>
                <w:color w:val="auto"/>
                <w:kern w:val="0"/>
                <w:szCs w:val="21"/>
                <w:highlight w:val="none"/>
              </w:rPr>
              <w:t>本项目采取干清粪方式，鸡粪、鸡羽毛、饲料残渣</w:t>
            </w:r>
            <w:r>
              <w:rPr>
                <w:rFonts w:hint="eastAsia"/>
                <w:color w:val="auto"/>
                <w:kern w:val="0"/>
                <w:szCs w:val="21"/>
                <w:highlight w:val="none"/>
                <w:lang w:eastAsia="zh-CN"/>
              </w:rPr>
              <w:t>日产日清，</w:t>
            </w:r>
            <w:r>
              <w:rPr>
                <w:rFonts w:hint="eastAsia"/>
                <w:color w:val="auto"/>
                <w:kern w:val="0"/>
                <w:szCs w:val="21"/>
                <w:highlight w:val="none"/>
              </w:rPr>
              <w:t>外售</w:t>
            </w:r>
            <w:r>
              <w:rPr>
                <w:rFonts w:hint="eastAsia" w:ascii="Times New Roman" w:hAnsi="Times New Roman" w:eastAsia="宋体"/>
                <w:color w:val="auto"/>
                <w:kern w:val="0"/>
                <w:sz w:val="21"/>
                <w:szCs w:val="21"/>
                <w:highlight w:val="none"/>
                <w:lang w:eastAsia="zh-CN"/>
              </w:rPr>
              <w:t>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lang w:eastAsia="zh-CN"/>
              </w:rPr>
              <w:t>。</w:t>
            </w:r>
          </w:p>
        </w:tc>
        <w:tc>
          <w:tcPr>
            <w:tcW w:w="763" w:type="dxa"/>
            <w:vAlign w:val="center"/>
          </w:tcPr>
          <w:p w14:paraId="694D9EC0">
            <w:pPr>
              <w:jc w:val="center"/>
              <w:textAlignment w:val="baseline"/>
              <w:rPr>
                <w:color w:val="auto"/>
                <w:kern w:val="0"/>
                <w:szCs w:val="21"/>
              </w:rPr>
            </w:pPr>
            <w:r>
              <w:rPr>
                <w:color w:val="auto"/>
                <w:kern w:val="0"/>
                <w:szCs w:val="21"/>
              </w:rPr>
              <w:t>符合</w:t>
            </w:r>
          </w:p>
        </w:tc>
      </w:tr>
      <w:tr w14:paraId="669C70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46C19437">
            <w:pPr>
              <w:jc w:val="center"/>
              <w:textAlignment w:val="baseline"/>
              <w:rPr>
                <w:color w:val="auto"/>
                <w:kern w:val="0"/>
                <w:szCs w:val="21"/>
              </w:rPr>
            </w:pPr>
            <w:r>
              <w:rPr>
                <w:rFonts w:hint="eastAsia"/>
                <w:color w:val="auto"/>
                <w:kern w:val="0"/>
                <w:szCs w:val="21"/>
              </w:rPr>
              <w:t>17</w:t>
            </w:r>
          </w:p>
        </w:tc>
        <w:tc>
          <w:tcPr>
            <w:tcW w:w="352" w:type="dxa"/>
            <w:vMerge w:val="restart"/>
            <w:vAlign w:val="center"/>
          </w:tcPr>
          <w:p w14:paraId="3DB08C63">
            <w:pPr>
              <w:widowControl/>
              <w:jc w:val="center"/>
              <w:textAlignment w:val="baseline"/>
              <w:rPr>
                <w:color w:val="auto"/>
                <w:kern w:val="0"/>
                <w:szCs w:val="21"/>
              </w:rPr>
            </w:pPr>
            <w:r>
              <w:rPr>
                <w:color w:val="auto"/>
                <w:kern w:val="0"/>
                <w:szCs w:val="21"/>
              </w:rPr>
              <w:t>饲料和饲养管理</w:t>
            </w:r>
          </w:p>
        </w:tc>
        <w:tc>
          <w:tcPr>
            <w:tcW w:w="3818" w:type="dxa"/>
            <w:vAlign w:val="center"/>
          </w:tcPr>
          <w:p w14:paraId="05852888">
            <w:pPr>
              <w:widowControl/>
              <w:jc w:val="center"/>
              <w:textAlignment w:val="baseline"/>
              <w:rPr>
                <w:color w:val="auto"/>
                <w:kern w:val="0"/>
                <w:szCs w:val="21"/>
              </w:rPr>
            </w:pPr>
            <w:r>
              <w:rPr>
                <w:color w:val="auto"/>
                <w:kern w:val="0"/>
                <w:szCs w:val="21"/>
              </w:rPr>
              <w:t>畜禽养殖饲料应采用合理配方，如理想蛋白质体系配方等，提高蛋白质及其它营养的吸收效率</w:t>
            </w:r>
            <w:r>
              <w:rPr>
                <w:rFonts w:hint="eastAsia"/>
                <w:color w:val="auto"/>
                <w:kern w:val="0"/>
                <w:szCs w:val="21"/>
              </w:rPr>
              <w:t>，</w:t>
            </w:r>
            <w:r>
              <w:rPr>
                <w:color w:val="auto"/>
                <w:kern w:val="0"/>
                <w:szCs w:val="21"/>
              </w:rPr>
              <w:t>减少氮的排放量和粪的产生</w:t>
            </w:r>
            <w:r>
              <w:rPr>
                <w:rFonts w:hint="eastAsia"/>
                <w:color w:val="auto"/>
                <w:kern w:val="0"/>
                <w:szCs w:val="21"/>
              </w:rPr>
              <w:t>量</w:t>
            </w:r>
            <w:r>
              <w:rPr>
                <w:color w:val="auto"/>
                <w:kern w:val="0"/>
                <w:szCs w:val="21"/>
              </w:rPr>
              <w:t>。</w:t>
            </w:r>
          </w:p>
        </w:tc>
        <w:tc>
          <w:tcPr>
            <w:tcW w:w="2955" w:type="dxa"/>
            <w:vAlign w:val="center"/>
          </w:tcPr>
          <w:p w14:paraId="72CCA6C6">
            <w:pPr>
              <w:widowControl/>
              <w:jc w:val="center"/>
              <w:textAlignment w:val="baseline"/>
              <w:rPr>
                <w:rFonts w:hint="eastAsia" w:eastAsia="宋体"/>
                <w:color w:val="auto"/>
                <w:kern w:val="0"/>
                <w:szCs w:val="21"/>
                <w:lang w:eastAsia="zh-CN"/>
              </w:rPr>
            </w:pPr>
            <w:r>
              <w:rPr>
                <w:rFonts w:hint="eastAsia"/>
                <w:color w:val="auto"/>
                <w:kern w:val="0"/>
                <w:szCs w:val="21"/>
              </w:rPr>
              <w:t>本项目饲料</w:t>
            </w:r>
            <w:r>
              <w:rPr>
                <w:rFonts w:hint="eastAsia"/>
                <w:color w:val="auto"/>
                <w:kern w:val="0"/>
                <w:szCs w:val="21"/>
                <w:lang w:eastAsia="zh-CN"/>
              </w:rPr>
              <w:t>外购成品</w:t>
            </w:r>
            <w:r>
              <w:rPr>
                <w:rFonts w:hint="eastAsia"/>
                <w:color w:val="auto"/>
                <w:kern w:val="0"/>
                <w:szCs w:val="21"/>
              </w:rPr>
              <w:t>富硒配方饲料</w:t>
            </w:r>
            <w:r>
              <w:rPr>
                <w:rFonts w:hint="eastAsia"/>
                <w:color w:val="auto"/>
                <w:kern w:val="0"/>
                <w:szCs w:val="21"/>
                <w:lang w:eastAsia="zh-CN"/>
              </w:rPr>
              <w:t>。</w:t>
            </w:r>
          </w:p>
        </w:tc>
        <w:tc>
          <w:tcPr>
            <w:tcW w:w="763" w:type="dxa"/>
            <w:vAlign w:val="center"/>
          </w:tcPr>
          <w:p w14:paraId="3F1E90D7">
            <w:pPr>
              <w:jc w:val="center"/>
              <w:textAlignment w:val="baseline"/>
              <w:rPr>
                <w:color w:val="auto"/>
                <w:kern w:val="0"/>
                <w:szCs w:val="21"/>
              </w:rPr>
            </w:pPr>
            <w:r>
              <w:rPr>
                <w:color w:val="auto"/>
                <w:kern w:val="0"/>
                <w:szCs w:val="21"/>
              </w:rPr>
              <w:t>符合</w:t>
            </w:r>
          </w:p>
        </w:tc>
      </w:tr>
      <w:tr w14:paraId="36F5EEF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69408049">
            <w:pPr>
              <w:jc w:val="center"/>
              <w:textAlignment w:val="baseline"/>
              <w:rPr>
                <w:color w:val="auto"/>
                <w:kern w:val="0"/>
                <w:szCs w:val="21"/>
              </w:rPr>
            </w:pPr>
            <w:r>
              <w:rPr>
                <w:rFonts w:hint="eastAsia"/>
                <w:color w:val="auto"/>
                <w:kern w:val="0"/>
                <w:szCs w:val="21"/>
              </w:rPr>
              <w:t>18</w:t>
            </w:r>
          </w:p>
        </w:tc>
        <w:tc>
          <w:tcPr>
            <w:tcW w:w="352" w:type="dxa"/>
            <w:vMerge w:val="continue"/>
            <w:vAlign w:val="center"/>
          </w:tcPr>
          <w:p w14:paraId="0EE150EC">
            <w:pPr>
              <w:widowControl/>
              <w:jc w:val="center"/>
              <w:textAlignment w:val="baseline"/>
              <w:rPr>
                <w:color w:val="auto"/>
                <w:kern w:val="0"/>
                <w:szCs w:val="21"/>
              </w:rPr>
            </w:pPr>
          </w:p>
        </w:tc>
        <w:tc>
          <w:tcPr>
            <w:tcW w:w="3818" w:type="dxa"/>
            <w:vAlign w:val="center"/>
          </w:tcPr>
          <w:p w14:paraId="44D1B8B6">
            <w:pPr>
              <w:widowControl/>
              <w:jc w:val="center"/>
              <w:textAlignment w:val="baseline"/>
              <w:rPr>
                <w:color w:val="auto"/>
                <w:kern w:val="0"/>
                <w:szCs w:val="21"/>
              </w:rPr>
            </w:pPr>
            <w:r>
              <w:rPr>
                <w:color w:val="auto"/>
                <w:kern w:val="0"/>
                <w:szCs w:val="21"/>
              </w:rPr>
              <w:t>提倡使用微生物制剂、酶制剂和植物提取液等活性物质，减少污染物排放和恶臭气体的产生。</w:t>
            </w:r>
          </w:p>
        </w:tc>
        <w:tc>
          <w:tcPr>
            <w:tcW w:w="2955" w:type="dxa"/>
            <w:vAlign w:val="center"/>
          </w:tcPr>
          <w:p w14:paraId="7B54DF57">
            <w:pPr>
              <w:widowControl/>
              <w:jc w:val="center"/>
              <w:textAlignment w:val="baseline"/>
              <w:rPr>
                <w:rFonts w:hint="eastAsia" w:eastAsia="宋体"/>
                <w:color w:val="auto"/>
                <w:kern w:val="0"/>
                <w:szCs w:val="21"/>
                <w:lang w:eastAsia="zh-CN"/>
              </w:rPr>
            </w:pPr>
            <w:r>
              <w:rPr>
                <w:rFonts w:hint="eastAsia"/>
                <w:color w:val="auto"/>
                <w:kern w:val="0"/>
                <w:szCs w:val="21"/>
              </w:rPr>
              <w:t>本项目定期喷洒</w:t>
            </w:r>
            <w:r>
              <w:rPr>
                <w:rFonts w:hint="eastAsia"/>
                <w:color w:val="auto"/>
                <w:kern w:val="0"/>
                <w:szCs w:val="21"/>
                <w:lang w:eastAsia="zh-CN"/>
              </w:rPr>
              <w:t>生物</w:t>
            </w:r>
            <w:r>
              <w:rPr>
                <w:rFonts w:hint="eastAsia"/>
                <w:color w:val="auto"/>
                <w:kern w:val="0"/>
                <w:szCs w:val="21"/>
              </w:rPr>
              <w:t>除臭剂</w:t>
            </w:r>
            <w:r>
              <w:rPr>
                <w:rFonts w:hint="eastAsia"/>
                <w:color w:val="auto"/>
                <w:kern w:val="0"/>
                <w:szCs w:val="21"/>
                <w:lang w:eastAsia="zh-CN"/>
              </w:rPr>
              <w:t>。</w:t>
            </w:r>
          </w:p>
        </w:tc>
        <w:tc>
          <w:tcPr>
            <w:tcW w:w="763" w:type="dxa"/>
            <w:vAlign w:val="center"/>
          </w:tcPr>
          <w:p w14:paraId="086781B3">
            <w:pPr>
              <w:jc w:val="center"/>
              <w:textAlignment w:val="baseline"/>
              <w:rPr>
                <w:color w:val="auto"/>
                <w:kern w:val="0"/>
                <w:szCs w:val="21"/>
              </w:rPr>
            </w:pPr>
            <w:r>
              <w:rPr>
                <w:color w:val="auto"/>
                <w:kern w:val="0"/>
                <w:szCs w:val="21"/>
              </w:rPr>
              <w:t>符合</w:t>
            </w:r>
          </w:p>
        </w:tc>
      </w:tr>
      <w:tr w14:paraId="044EB63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622B510B">
            <w:pPr>
              <w:jc w:val="center"/>
              <w:textAlignment w:val="baseline"/>
              <w:rPr>
                <w:color w:val="auto"/>
                <w:kern w:val="0"/>
                <w:szCs w:val="21"/>
              </w:rPr>
            </w:pPr>
            <w:r>
              <w:rPr>
                <w:rFonts w:hint="eastAsia"/>
                <w:color w:val="auto"/>
                <w:kern w:val="0"/>
                <w:szCs w:val="21"/>
              </w:rPr>
              <w:t>19</w:t>
            </w:r>
          </w:p>
        </w:tc>
        <w:tc>
          <w:tcPr>
            <w:tcW w:w="352" w:type="dxa"/>
            <w:vMerge w:val="continue"/>
            <w:vAlign w:val="center"/>
          </w:tcPr>
          <w:p w14:paraId="598599CF">
            <w:pPr>
              <w:widowControl/>
              <w:jc w:val="center"/>
              <w:textAlignment w:val="baseline"/>
              <w:rPr>
                <w:color w:val="auto"/>
                <w:kern w:val="0"/>
                <w:szCs w:val="21"/>
              </w:rPr>
            </w:pPr>
          </w:p>
        </w:tc>
        <w:tc>
          <w:tcPr>
            <w:tcW w:w="3818" w:type="dxa"/>
            <w:vAlign w:val="center"/>
          </w:tcPr>
          <w:p w14:paraId="533522F6">
            <w:pPr>
              <w:widowControl/>
              <w:jc w:val="center"/>
              <w:textAlignment w:val="baseline"/>
              <w:rPr>
                <w:color w:val="auto"/>
                <w:kern w:val="0"/>
                <w:szCs w:val="21"/>
              </w:rPr>
            </w:pPr>
            <w:r>
              <w:rPr>
                <w:rFonts w:hint="eastAsia"/>
                <w:color w:val="auto"/>
                <w:kern w:val="0"/>
                <w:szCs w:val="21"/>
              </w:rPr>
              <w:t>养</w:t>
            </w:r>
            <w:r>
              <w:rPr>
                <w:color w:val="auto"/>
                <w:kern w:val="0"/>
                <w:szCs w:val="21"/>
              </w:rPr>
              <w:t>殖场场区、畜禽舍、器械等消毒应采用环境友好的消毒剂和消毒措施（包括紫外、臭氧、双</w:t>
            </w:r>
            <w:r>
              <w:rPr>
                <w:rFonts w:hint="eastAsia"/>
                <w:color w:val="auto"/>
                <w:kern w:val="0"/>
                <w:szCs w:val="21"/>
              </w:rPr>
              <w:t>氧</w:t>
            </w:r>
            <w:r>
              <w:rPr>
                <w:color w:val="auto"/>
                <w:kern w:val="0"/>
                <w:szCs w:val="21"/>
              </w:rPr>
              <w:t>水等方法），防止产生氯代有机物及其它的二次污染物。</w:t>
            </w:r>
          </w:p>
        </w:tc>
        <w:tc>
          <w:tcPr>
            <w:tcW w:w="2955" w:type="dxa"/>
            <w:vAlign w:val="center"/>
          </w:tcPr>
          <w:p w14:paraId="6FB9503D">
            <w:pPr>
              <w:widowControl/>
              <w:jc w:val="center"/>
              <w:textAlignment w:val="baseline"/>
              <w:rPr>
                <w:rFonts w:hint="eastAsia" w:eastAsia="宋体"/>
                <w:color w:val="auto"/>
                <w:kern w:val="0"/>
                <w:szCs w:val="21"/>
                <w:lang w:eastAsia="zh-CN"/>
              </w:rPr>
            </w:pPr>
            <w:r>
              <w:rPr>
                <w:rFonts w:hint="eastAsia"/>
                <w:color w:val="auto"/>
                <w:kern w:val="0"/>
                <w:szCs w:val="21"/>
              </w:rPr>
              <w:t>本项目使用复方酚溶液、碘伏</w:t>
            </w:r>
            <w:r>
              <w:rPr>
                <w:color w:val="auto"/>
                <w:szCs w:val="21"/>
              </w:rPr>
              <w:t>用于厂区消毒</w:t>
            </w:r>
            <w:r>
              <w:rPr>
                <w:rFonts w:hint="eastAsia"/>
                <w:color w:val="auto"/>
                <w:szCs w:val="21"/>
                <w:lang w:eastAsia="zh-CN"/>
              </w:rPr>
              <w:t>。</w:t>
            </w:r>
          </w:p>
        </w:tc>
        <w:tc>
          <w:tcPr>
            <w:tcW w:w="763" w:type="dxa"/>
            <w:vAlign w:val="center"/>
          </w:tcPr>
          <w:p w14:paraId="661FBCBA">
            <w:pPr>
              <w:jc w:val="center"/>
              <w:textAlignment w:val="baseline"/>
              <w:rPr>
                <w:color w:val="auto"/>
                <w:kern w:val="0"/>
                <w:szCs w:val="21"/>
              </w:rPr>
            </w:pPr>
            <w:r>
              <w:rPr>
                <w:color w:val="auto"/>
                <w:kern w:val="0"/>
                <w:szCs w:val="21"/>
              </w:rPr>
              <w:t>符合</w:t>
            </w:r>
          </w:p>
        </w:tc>
      </w:tr>
      <w:tr w14:paraId="308A0F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612E8509">
            <w:pPr>
              <w:jc w:val="center"/>
              <w:textAlignment w:val="baseline"/>
              <w:rPr>
                <w:color w:val="auto"/>
                <w:kern w:val="0"/>
                <w:szCs w:val="21"/>
              </w:rPr>
            </w:pPr>
            <w:r>
              <w:rPr>
                <w:rFonts w:hint="eastAsia"/>
                <w:color w:val="auto"/>
                <w:kern w:val="0"/>
                <w:szCs w:val="21"/>
              </w:rPr>
              <w:t>20</w:t>
            </w:r>
          </w:p>
        </w:tc>
        <w:tc>
          <w:tcPr>
            <w:tcW w:w="352" w:type="dxa"/>
            <w:vAlign w:val="center"/>
          </w:tcPr>
          <w:p w14:paraId="01588170">
            <w:pPr>
              <w:widowControl/>
              <w:jc w:val="center"/>
              <w:textAlignment w:val="baseline"/>
              <w:rPr>
                <w:color w:val="auto"/>
                <w:kern w:val="0"/>
                <w:szCs w:val="21"/>
              </w:rPr>
            </w:pPr>
            <w:r>
              <w:rPr>
                <w:color w:val="auto"/>
                <w:kern w:val="0"/>
                <w:szCs w:val="21"/>
              </w:rPr>
              <w:t>病死畜禽尸体的处理与处置</w:t>
            </w:r>
          </w:p>
        </w:tc>
        <w:tc>
          <w:tcPr>
            <w:tcW w:w="3818" w:type="dxa"/>
            <w:vAlign w:val="center"/>
          </w:tcPr>
          <w:p w14:paraId="1C33D1C8">
            <w:pPr>
              <w:widowControl/>
              <w:jc w:val="center"/>
              <w:textAlignment w:val="baseline"/>
              <w:rPr>
                <w:color w:val="auto"/>
                <w:kern w:val="0"/>
                <w:szCs w:val="21"/>
              </w:rPr>
            </w:pPr>
            <w:r>
              <w:rPr>
                <w:color w:val="auto"/>
                <w:kern w:val="0"/>
                <w:szCs w:val="21"/>
              </w:rPr>
              <w:t>病死禽畜尸体要及时处理，严禁随意丢弃，严禁岀售或作为饲料再利用。</w:t>
            </w:r>
          </w:p>
        </w:tc>
        <w:tc>
          <w:tcPr>
            <w:tcW w:w="2955" w:type="dxa"/>
            <w:vAlign w:val="center"/>
          </w:tcPr>
          <w:p w14:paraId="27094528">
            <w:pPr>
              <w:widowControl/>
              <w:jc w:val="center"/>
              <w:textAlignment w:val="baseline"/>
              <w:rPr>
                <w:color w:val="auto"/>
                <w:kern w:val="0"/>
                <w:szCs w:val="21"/>
              </w:rPr>
            </w:pPr>
            <w:r>
              <w:rPr>
                <w:rFonts w:hint="eastAsia"/>
                <w:color w:val="auto"/>
                <w:szCs w:val="21"/>
              </w:rPr>
              <w:t>本项目病死鸡</w:t>
            </w:r>
            <w:r>
              <w:rPr>
                <w:rFonts w:hint="eastAsia"/>
                <w:color w:val="auto"/>
                <w:szCs w:val="21"/>
                <w:lang w:eastAsia="zh-CN"/>
              </w:rPr>
              <w:t>暂存于冷柜</w:t>
            </w:r>
            <w:r>
              <w:rPr>
                <w:rFonts w:hint="eastAsia"/>
                <w:color w:val="auto"/>
                <w:szCs w:val="21"/>
                <w:highlight w:val="none"/>
                <w:lang w:eastAsia="zh-CN"/>
              </w:rPr>
              <w:t>，委托北票市汇宏动物无害化处理有限公司定期运走做无害化</w:t>
            </w:r>
            <w:r>
              <w:rPr>
                <w:rFonts w:hint="eastAsia"/>
                <w:color w:val="auto"/>
                <w:szCs w:val="21"/>
                <w:highlight w:val="none"/>
              </w:rPr>
              <w:t>处理；</w:t>
            </w:r>
          </w:p>
        </w:tc>
        <w:tc>
          <w:tcPr>
            <w:tcW w:w="763" w:type="dxa"/>
            <w:vAlign w:val="center"/>
          </w:tcPr>
          <w:p w14:paraId="241637CE">
            <w:pPr>
              <w:jc w:val="center"/>
              <w:textAlignment w:val="baseline"/>
              <w:rPr>
                <w:color w:val="auto"/>
                <w:kern w:val="0"/>
                <w:szCs w:val="21"/>
              </w:rPr>
            </w:pPr>
            <w:r>
              <w:rPr>
                <w:color w:val="auto"/>
                <w:kern w:val="0"/>
                <w:szCs w:val="21"/>
              </w:rPr>
              <w:t>符合</w:t>
            </w:r>
          </w:p>
        </w:tc>
      </w:tr>
    </w:tbl>
    <w:p w14:paraId="218991FD">
      <w:pPr>
        <w:snapToGrid w:val="0"/>
        <w:spacing w:line="360" w:lineRule="auto"/>
        <w:ind w:firstLine="482" w:firstLineChars="200"/>
        <w:rPr>
          <w:b/>
          <w:color w:val="auto"/>
          <w:sz w:val="24"/>
        </w:rPr>
      </w:pPr>
      <w:r>
        <w:rPr>
          <w:rFonts w:hint="eastAsia"/>
          <w:b/>
          <w:color w:val="auto"/>
          <w:sz w:val="24"/>
        </w:rPr>
        <w:t>（</w:t>
      </w:r>
      <w:r>
        <w:rPr>
          <w:rFonts w:hint="eastAsia"/>
          <w:b/>
          <w:color w:val="auto"/>
          <w:sz w:val="24"/>
          <w:lang w:eastAsia="zh-CN"/>
        </w:rPr>
        <w:t>六</w:t>
      </w:r>
      <w:r>
        <w:rPr>
          <w:rFonts w:hint="eastAsia"/>
          <w:b/>
          <w:color w:val="auto"/>
          <w:sz w:val="24"/>
        </w:rPr>
        <w:t>）</w:t>
      </w:r>
      <w:r>
        <w:rPr>
          <w:b/>
          <w:color w:val="auto"/>
          <w:sz w:val="24"/>
        </w:rPr>
        <w:t>与</w:t>
      </w:r>
      <w:r>
        <w:rPr>
          <w:rFonts w:hint="eastAsia"/>
          <w:b/>
          <w:color w:val="auto"/>
          <w:sz w:val="24"/>
        </w:rPr>
        <w:t>《关于做好畜禽规模养殖项目环境影响评价管理工作的通知》（环办环评[2018]31号）</w:t>
      </w:r>
      <w:r>
        <w:rPr>
          <w:b/>
          <w:color w:val="auto"/>
          <w:sz w:val="24"/>
        </w:rPr>
        <w:t>相符性分析</w:t>
      </w:r>
    </w:p>
    <w:p w14:paraId="08664AE1">
      <w:pPr>
        <w:ind w:firstLine="413" w:firstLineChars="196"/>
        <w:jc w:val="center"/>
        <w:textAlignment w:val="baseline"/>
        <w:rPr>
          <w:b/>
          <w:color w:val="auto"/>
          <w:kern w:val="0"/>
          <w:szCs w:val="21"/>
        </w:rPr>
      </w:pPr>
      <w:r>
        <w:rPr>
          <w:b/>
          <w:color w:val="auto"/>
          <w:kern w:val="0"/>
          <w:szCs w:val="21"/>
        </w:rPr>
        <w:t>表1</w:t>
      </w:r>
      <w:r>
        <w:rPr>
          <w:rFonts w:hint="eastAsia"/>
          <w:b/>
          <w:color w:val="auto"/>
          <w:kern w:val="0"/>
          <w:szCs w:val="21"/>
          <w:lang w:val="en-US" w:eastAsia="zh-CN"/>
        </w:rPr>
        <w:t>.4</w:t>
      </w:r>
      <w:r>
        <w:rPr>
          <w:b/>
          <w:color w:val="auto"/>
          <w:kern w:val="0"/>
          <w:szCs w:val="21"/>
        </w:rPr>
        <w:t>-</w:t>
      </w:r>
      <w:r>
        <w:rPr>
          <w:rFonts w:hint="eastAsia"/>
          <w:b/>
          <w:color w:val="auto"/>
          <w:kern w:val="0"/>
          <w:szCs w:val="21"/>
          <w:lang w:val="en-US" w:eastAsia="zh-CN"/>
        </w:rPr>
        <w:t>4</w:t>
      </w:r>
      <w:r>
        <w:rPr>
          <w:b/>
          <w:color w:val="auto"/>
          <w:kern w:val="0"/>
          <w:szCs w:val="21"/>
        </w:rPr>
        <w:t xml:space="preserve">    与相关管理要求相符性分析一览表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5"/>
        <w:gridCol w:w="732"/>
        <w:gridCol w:w="3460"/>
        <w:gridCol w:w="2918"/>
        <w:gridCol w:w="763"/>
      </w:tblGrid>
      <w:tr w14:paraId="12CAF9F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Align w:val="center"/>
          </w:tcPr>
          <w:p w14:paraId="2356E02C">
            <w:pPr>
              <w:jc w:val="center"/>
              <w:textAlignment w:val="baseline"/>
              <w:rPr>
                <w:color w:val="auto"/>
                <w:kern w:val="0"/>
                <w:szCs w:val="21"/>
                <w:highlight w:val="none"/>
              </w:rPr>
            </w:pPr>
            <w:r>
              <w:rPr>
                <w:color w:val="auto"/>
                <w:kern w:val="0"/>
                <w:szCs w:val="21"/>
                <w:highlight w:val="none"/>
              </w:rPr>
              <w:t>序号</w:t>
            </w:r>
          </w:p>
        </w:tc>
        <w:tc>
          <w:tcPr>
            <w:tcW w:w="4192" w:type="dxa"/>
            <w:gridSpan w:val="2"/>
            <w:vAlign w:val="center"/>
          </w:tcPr>
          <w:p w14:paraId="3F9EAA0C">
            <w:pPr>
              <w:ind w:left="-107" w:leftChars="-51" w:right="-107" w:rightChars="-51"/>
              <w:jc w:val="center"/>
              <w:rPr>
                <w:color w:val="auto"/>
                <w:kern w:val="0"/>
                <w:szCs w:val="21"/>
                <w:highlight w:val="none"/>
              </w:rPr>
            </w:pPr>
            <w:r>
              <w:rPr>
                <w:color w:val="auto"/>
                <w:kern w:val="0"/>
                <w:szCs w:val="21"/>
                <w:highlight w:val="none"/>
              </w:rPr>
              <w:t>管理要求</w:t>
            </w:r>
          </w:p>
        </w:tc>
        <w:tc>
          <w:tcPr>
            <w:tcW w:w="2918" w:type="dxa"/>
            <w:vAlign w:val="center"/>
          </w:tcPr>
          <w:p w14:paraId="1680337A">
            <w:pPr>
              <w:ind w:left="-107" w:leftChars="-51" w:right="-107" w:rightChars="-51"/>
              <w:jc w:val="center"/>
              <w:rPr>
                <w:color w:val="auto"/>
                <w:kern w:val="0"/>
                <w:szCs w:val="21"/>
                <w:highlight w:val="none"/>
              </w:rPr>
            </w:pPr>
            <w:r>
              <w:rPr>
                <w:color w:val="auto"/>
                <w:kern w:val="0"/>
                <w:szCs w:val="21"/>
                <w:highlight w:val="none"/>
              </w:rPr>
              <w:t>符合性分析</w:t>
            </w:r>
          </w:p>
        </w:tc>
        <w:tc>
          <w:tcPr>
            <w:tcW w:w="763" w:type="dxa"/>
            <w:vAlign w:val="center"/>
          </w:tcPr>
          <w:p w14:paraId="60784471">
            <w:pPr>
              <w:jc w:val="center"/>
              <w:textAlignment w:val="baseline"/>
              <w:rPr>
                <w:color w:val="auto"/>
                <w:kern w:val="0"/>
                <w:szCs w:val="21"/>
                <w:highlight w:val="none"/>
              </w:rPr>
            </w:pPr>
            <w:r>
              <w:rPr>
                <w:color w:val="auto"/>
                <w:kern w:val="0"/>
                <w:szCs w:val="21"/>
                <w:highlight w:val="none"/>
              </w:rPr>
              <w:t>结论</w:t>
            </w:r>
          </w:p>
        </w:tc>
      </w:tr>
      <w:tr w14:paraId="64D805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Align w:val="center"/>
          </w:tcPr>
          <w:p w14:paraId="6C1F8B25">
            <w:pPr>
              <w:jc w:val="center"/>
              <w:textAlignment w:val="baseline"/>
              <w:rPr>
                <w:color w:val="auto"/>
                <w:kern w:val="0"/>
                <w:szCs w:val="21"/>
                <w:highlight w:val="none"/>
              </w:rPr>
            </w:pPr>
            <w:r>
              <w:rPr>
                <w:color w:val="auto"/>
                <w:kern w:val="0"/>
                <w:szCs w:val="21"/>
                <w:highlight w:val="none"/>
              </w:rPr>
              <w:t>1</w:t>
            </w:r>
          </w:p>
        </w:tc>
        <w:tc>
          <w:tcPr>
            <w:tcW w:w="732" w:type="dxa"/>
            <w:vMerge w:val="restart"/>
            <w:vAlign w:val="center"/>
          </w:tcPr>
          <w:p w14:paraId="72CEC875">
            <w:pPr>
              <w:widowControl/>
              <w:jc w:val="center"/>
              <w:textAlignment w:val="baseline"/>
              <w:rPr>
                <w:color w:val="auto"/>
                <w:kern w:val="0"/>
                <w:szCs w:val="21"/>
                <w:highlight w:val="none"/>
              </w:rPr>
            </w:pPr>
            <w:r>
              <w:rPr>
                <w:rFonts w:hint="eastAsia"/>
                <w:color w:val="auto"/>
                <w:kern w:val="0"/>
                <w:szCs w:val="21"/>
                <w:highlight w:val="none"/>
              </w:rPr>
              <w:t>优化项目选址，合理布置养殖场区</w:t>
            </w:r>
          </w:p>
        </w:tc>
        <w:tc>
          <w:tcPr>
            <w:tcW w:w="3460" w:type="dxa"/>
            <w:vAlign w:val="center"/>
          </w:tcPr>
          <w:p w14:paraId="6A2F2FB8">
            <w:pPr>
              <w:widowControl/>
              <w:jc w:val="center"/>
              <w:textAlignment w:val="baseline"/>
              <w:rPr>
                <w:color w:val="auto"/>
                <w:kern w:val="0"/>
                <w:szCs w:val="21"/>
                <w:highlight w:val="none"/>
              </w:rPr>
            </w:pPr>
            <w:r>
              <w:rPr>
                <w:rFonts w:hint="eastAsia"/>
                <w:color w:val="auto"/>
                <w:kern w:val="0"/>
                <w:szCs w:val="21"/>
                <w:highlight w:val="none"/>
              </w:rPr>
              <w:t>项目环评应充分论证选址的环境合理性，选址应避开当地划定的禁止养殖区域，并与区域主体功能区规划、环境功能区划、土地利用规划、城乡规划、畜牧业发展规划、畜禽养殖污染防治规划等规划相协调。当地未划定禁止养殖区域的，应避开饮用水水源保护区、风景名胜区、自然保护区的核心区和缓冲区、村镇人口集中区域，以及法律、法规规定的禁止养殖区域。</w:t>
            </w:r>
          </w:p>
        </w:tc>
        <w:tc>
          <w:tcPr>
            <w:tcW w:w="2918" w:type="dxa"/>
            <w:vAlign w:val="center"/>
          </w:tcPr>
          <w:p w14:paraId="619FE082">
            <w:pPr>
              <w:widowControl/>
              <w:jc w:val="center"/>
              <w:textAlignment w:val="baseline"/>
              <w:rPr>
                <w:rFonts w:hint="eastAsia"/>
                <w:color w:val="auto"/>
                <w:kern w:val="0"/>
                <w:szCs w:val="21"/>
                <w:highlight w:val="none"/>
                <w:lang w:val="en-US" w:eastAsia="zh-CN"/>
              </w:rPr>
            </w:pPr>
            <w:r>
              <w:rPr>
                <w:rFonts w:hint="default"/>
                <w:color w:val="auto"/>
                <w:kern w:val="0"/>
                <w:szCs w:val="21"/>
                <w:highlight w:val="none"/>
                <w:lang w:val="en-US" w:eastAsia="zh-CN"/>
              </w:rPr>
              <w:t>①</w:t>
            </w:r>
            <w:r>
              <w:rPr>
                <w:rFonts w:hint="eastAsia"/>
                <w:color w:val="auto"/>
                <w:kern w:val="0"/>
                <w:szCs w:val="21"/>
                <w:highlight w:val="none"/>
              </w:rPr>
              <w:t>本项目位于</w:t>
            </w:r>
            <w:r>
              <w:rPr>
                <w:rFonts w:hint="eastAsia"/>
                <w:color w:val="auto"/>
                <w:kern w:val="0"/>
                <w:szCs w:val="21"/>
                <w:highlight w:val="none"/>
                <w:lang w:eastAsia="zh-CN"/>
              </w:rPr>
              <w:t>辽宁省朝阳市北票市西官镇大巴里村</w:t>
            </w:r>
            <w:r>
              <w:rPr>
                <w:rFonts w:hint="eastAsia"/>
                <w:color w:val="auto"/>
                <w:kern w:val="0"/>
                <w:szCs w:val="21"/>
                <w:highlight w:val="none"/>
              </w:rPr>
              <w:t>，不在饮用水水源保护区、风景名胜区、自然保护区的核心区和缓冲区、村镇人口集中区域，以及法律、法规规定的禁止养殖区域以及划定的禁养区范围内</w:t>
            </w:r>
            <w:r>
              <w:rPr>
                <w:rFonts w:hint="eastAsia"/>
                <w:color w:val="auto"/>
                <w:kern w:val="0"/>
                <w:szCs w:val="21"/>
                <w:highlight w:val="none"/>
                <w:lang w:val="en-US" w:eastAsia="zh-CN"/>
              </w:rPr>
              <w:t>；</w:t>
            </w:r>
          </w:p>
          <w:p w14:paraId="6BE0FEB3">
            <w:pPr>
              <w:widowControl/>
              <w:jc w:val="center"/>
              <w:textAlignment w:val="baseline"/>
              <w:rPr>
                <w:rFonts w:hint="eastAsia"/>
                <w:color w:val="auto"/>
                <w:kern w:val="0"/>
                <w:szCs w:val="21"/>
                <w:highlight w:val="none"/>
                <w:lang w:val="en-US" w:eastAsia="zh-CN"/>
              </w:rPr>
            </w:pPr>
            <w:r>
              <w:rPr>
                <w:rFonts w:hint="default"/>
                <w:color w:val="auto"/>
                <w:kern w:val="0"/>
                <w:szCs w:val="21"/>
                <w:highlight w:val="none"/>
                <w:lang w:val="en-US" w:eastAsia="zh-CN"/>
              </w:rPr>
              <w:t>②</w:t>
            </w:r>
            <w:r>
              <w:rPr>
                <w:rFonts w:hint="eastAsia"/>
                <w:color w:val="auto"/>
                <w:kern w:val="0"/>
                <w:szCs w:val="21"/>
                <w:highlight w:val="none"/>
                <w:lang w:val="en-US" w:eastAsia="zh-CN"/>
              </w:rPr>
              <w:t>区域环境质量均可满足环境功能区划要求。</w:t>
            </w:r>
          </w:p>
          <w:p w14:paraId="53BF8E3E">
            <w:pPr>
              <w:widowControl/>
              <w:jc w:val="center"/>
              <w:textAlignment w:val="baseline"/>
              <w:rPr>
                <w:rFonts w:hint="eastAsia"/>
                <w:color w:val="auto"/>
                <w:kern w:val="0"/>
                <w:szCs w:val="21"/>
                <w:highlight w:val="none"/>
              </w:rPr>
            </w:pPr>
            <w:r>
              <w:rPr>
                <w:rFonts w:hint="default"/>
                <w:color w:val="auto"/>
                <w:kern w:val="0"/>
                <w:szCs w:val="21"/>
                <w:highlight w:val="none"/>
              </w:rPr>
              <w:t>③本项目选址所占地为农业设施用地</w:t>
            </w:r>
            <w:r>
              <w:rPr>
                <w:rFonts w:hint="default"/>
                <w:color w:val="auto"/>
                <w:kern w:val="0"/>
                <w:szCs w:val="21"/>
                <w:highlight w:val="none"/>
                <w:lang w:eastAsia="zh-CN"/>
              </w:rPr>
              <w:t>（用地手续正在办理中）</w:t>
            </w:r>
            <w:r>
              <w:rPr>
                <w:rFonts w:hint="default"/>
                <w:color w:val="auto"/>
                <w:kern w:val="0"/>
                <w:szCs w:val="21"/>
                <w:highlight w:val="none"/>
              </w:rPr>
              <w:t>，</w:t>
            </w:r>
            <w:r>
              <w:rPr>
                <w:rFonts w:hint="eastAsia"/>
                <w:color w:val="auto"/>
                <w:kern w:val="0"/>
                <w:szCs w:val="21"/>
                <w:highlight w:val="none"/>
                <w:lang w:val="en-US" w:eastAsia="zh-CN"/>
              </w:rPr>
              <w:t>符合土地利用规划</w:t>
            </w:r>
            <w:r>
              <w:rPr>
                <w:rFonts w:hint="eastAsia"/>
                <w:color w:val="auto"/>
                <w:kern w:val="0"/>
                <w:szCs w:val="21"/>
                <w:highlight w:val="none"/>
              </w:rPr>
              <w:t>。</w:t>
            </w:r>
          </w:p>
          <w:p w14:paraId="41DB820F">
            <w:pPr>
              <w:widowControl/>
              <w:jc w:val="center"/>
              <w:textAlignment w:val="baseline"/>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④项目</w:t>
            </w:r>
            <w:r>
              <w:rPr>
                <w:rFonts w:hint="eastAsia" w:ascii="宋体" w:hAnsi="宋体" w:cs="宋体"/>
                <w:color w:val="auto"/>
                <w:kern w:val="0"/>
                <w:szCs w:val="21"/>
                <w:highlight w:val="none"/>
                <w:lang w:eastAsia="zh-CN"/>
              </w:rPr>
              <w:t>符合《朝阳市“十四五”畜禽养殖污染防治规划》要求</w:t>
            </w:r>
            <w:r>
              <w:rPr>
                <w:rFonts w:hint="eastAsia" w:ascii="宋体" w:hAnsi="宋体" w:eastAsia="宋体" w:cs="宋体"/>
                <w:color w:val="auto"/>
                <w:kern w:val="0"/>
                <w:szCs w:val="21"/>
                <w:highlight w:val="none"/>
              </w:rPr>
              <w:t>。</w:t>
            </w:r>
          </w:p>
          <w:p w14:paraId="204B88DD">
            <w:pPr>
              <w:widowControl/>
              <w:jc w:val="center"/>
              <w:textAlignment w:val="baseline"/>
              <w:rPr>
                <w:rFonts w:hint="default" w:eastAsia="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⑤</w:t>
            </w:r>
            <w:r>
              <w:rPr>
                <w:rFonts w:hint="eastAsia" w:ascii="宋体" w:hAnsi="宋体" w:cs="宋体"/>
                <w:color w:val="auto"/>
                <w:kern w:val="0"/>
                <w:szCs w:val="21"/>
                <w:highlight w:val="none"/>
                <w:lang w:val="en-US" w:eastAsia="zh-CN"/>
              </w:rPr>
              <w:t>根据下文分析，本项目符合《辽宁省主体功能区规划》的相关要求。</w:t>
            </w:r>
          </w:p>
        </w:tc>
        <w:tc>
          <w:tcPr>
            <w:tcW w:w="763" w:type="dxa"/>
            <w:vAlign w:val="center"/>
          </w:tcPr>
          <w:p w14:paraId="70B6358D">
            <w:pPr>
              <w:jc w:val="center"/>
              <w:textAlignment w:val="baseline"/>
              <w:rPr>
                <w:color w:val="auto"/>
                <w:kern w:val="0"/>
                <w:szCs w:val="21"/>
                <w:highlight w:val="none"/>
              </w:rPr>
            </w:pPr>
            <w:r>
              <w:rPr>
                <w:color w:val="auto"/>
                <w:kern w:val="0"/>
                <w:szCs w:val="21"/>
                <w:highlight w:val="none"/>
              </w:rPr>
              <w:t>符合</w:t>
            </w:r>
          </w:p>
        </w:tc>
      </w:tr>
      <w:tr w14:paraId="18AB028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Align w:val="center"/>
          </w:tcPr>
          <w:p w14:paraId="0CE82855">
            <w:pPr>
              <w:jc w:val="center"/>
              <w:textAlignment w:val="baseline"/>
              <w:rPr>
                <w:color w:val="auto"/>
                <w:kern w:val="0"/>
                <w:szCs w:val="21"/>
                <w:highlight w:val="none"/>
              </w:rPr>
            </w:pPr>
            <w:r>
              <w:rPr>
                <w:rFonts w:hint="eastAsia"/>
                <w:color w:val="auto"/>
                <w:kern w:val="0"/>
                <w:szCs w:val="21"/>
                <w:highlight w:val="none"/>
              </w:rPr>
              <w:t>2</w:t>
            </w:r>
          </w:p>
        </w:tc>
        <w:tc>
          <w:tcPr>
            <w:tcW w:w="732" w:type="dxa"/>
            <w:vMerge w:val="continue"/>
            <w:vAlign w:val="center"/>
          </w:tcPr>
          <w:p w14:paraId="06BBDA4E">
            <w:pPr>
              <w:widowControl/>
              <w:jc w:val="center"/>
              <w:textAlignment w:val="baseline"/>
              <w:rPr>
                <w:color w:val="auto"/>
                <w:kern w:val="0"/>
                <w:szCs w:val="21"/>
                <w:highlight w:val="none"/>
              </w:rPr>
            </w:pPr>
          </w:p>
        </w:tc>
        <w:tc>
          <w:tcPr>
            <w:tcW w:w="3460" w:type="dxa"/>
            <w:vAlign w:val="center"/>
          </w:tcPr>
          <w:p w14:paraId="78E5C271">
            <w:pPr>
              <w:widowControl/>
              <w:jc w:val="center"/>
              <w:textAlignment w:val="baseline"/>
              <w:rPr>
                <w:color w:val="auto"/>
                <w:kern w:val="0"/>
                <w:szCs w:val="21"/>
                <w:highlight w:val="none"/>
              </w:rPr>
            </w:pPr>
            <w:r>
              <w:rPr>
                <w:rFonts w:hint="eastAsia"/>
                <w:color w:val="auto"/>
                <w:kern w:val="0"/>
                <w:szCs w:val="21"/>
                <w:highlight w:val="none"/>
              </w:rPr>
              <w:t>项目环评应结合环境保护要求优化养殖场区内部布置。畜禽养殖区及畜禽粪污贮存、处理和畜禽尸体无害化处理等产生恶臭影响的设施，应位于养殖场区主导风向的下风向位置，并尽量远离周边环境保护目标。参照《畜禽养殖业污染防治技术规范》，并根据恶臭污染物无组织排放源强，以及当地的环境及气象等因素，按照《环境影响评价技术导则 大气环境》要求计算大气环境防护距离，作为养殖场选址以及周边规划控制的依据，减轻对周围环境保护目标的不利影响。</w:t>
            </w:r>
          </w:p>
        </w:tc>
        <w:tc>
          <w:tcPr>
            <w:tcW w:w="2918" w:type="dxa"/>
            <w:vAlign w:val="center"/>
          </w:tcPr>
          <w:p w14:paraId="703EE452">
            <w:pPr>
              <w:widowControl/>
              <w:jc w:val="center"/>
              <w:textAlignment w:val="baseline"/>
              <w:rPr>
                <w:rFonts w:hint="eastAsia" w:eastAsia="宋体"/>
                <w:color w:val="auto"/>
                <w:kern w:val="0"/>
                <w:szCs w:val="21"/>
                <w:highlight w:val="none"/>
                <w:lang w:eastAsia="zh-CN"/>
              </w:rPr>
            </w:pPr>
            <w:r>
              <w:rPr>
                <w:rFonts w:hint="eastAsia"/>
                <w:color w:val="auto"/>
                <w:kern w:val="0"/>
                <w:szCs w:val="21"/>
                <w:highlight w:val="none"/>
              </w:rPr>
              <w:t>本项目粪污处置</w:t>
            </w:r>
            <w:r>
              <w:rPr>
                <w:rFonts w:hint="eastAsia"/>
                <w:color w:val="auto"/>
                <w:kern w:val="0"/>
                <w:szCs w:val="21"/>
                <w:highlight w:val="none"/>
                <w:lang w:eastAsia="zh-CN"/>
              </w:rPr>
              <w:t>区</w:t>
            </w:r>
            <w:r>
              <w:rPr>
                <w:rFonts w:hint="eastAsia"/>
                <w:color w:val="auto"/>
                <w:kern w:val="0"/>
                <w:szCs w:val="21"/>
                <w:highlight w:val="none"/>
              </w:rPr>
              <w:t>位于生产区</w:t>
            </w:r>
            <w:r>
              <w:rPr>
                <w:rFonts w:hint="eastAsia"/>
                <w:color w:val="auto"/>
                <w:kern w:val="0"/>
                <w:szCs w:val="21"/>
                <w:highlight w:val="none"/>
                <w:lang w:eastAsia="zh-CN"/>
              </w:rPr>
              <w:t>北</w:t>
            </w:r>
            <w:r>
              <w:rPr>
                <w:rFonts w:hint="eastAsia"/>
                <w:color w:val="auto"/>
                <w:kern w:val="0"/>
                <w:szCs w:val="21"/>
                <w:highlight w:val="none"/>
              </w:rPr>
              <w:t>侧，即常年主导风向的</w:t>
            </w:r>
            <w:r>
              <w:rPr>
                <w:rFonts w:hint="eastAsia"/>
                <w:color w:val="auto"/>
                <w:kern w:val="0"/>
                <w:szCs w:val="21"/>
                <w:highlight w:val="none"/>
                <w:lang w:eastAsia="zh-CN"/>
              </w:rPr>
              <w:t>下</w:t>
            </w:r>
            <w:r>
              <w:rPr>
                <w:rFonts w:hint="eastAsia"/>
                <w:color w:val="auto"/>
                <w:kern w:val="0"/>
                <w:szCs w:val="21"/>
                <w:highlight w:val="none"/>
              </w:rPr>
              <w:t>风向；</w:t>
            </w:r>
            <w:r>
              <w:rPr>
                <w:rFonts w:hint="eastAsia"/>
                <w:color w:val="auto"/>
                <w:szCs w:val="21"/>
              </w:rPr>
              <w:t>病死鸡</w:t>
            </w:r>
            <w:r>
              <w:rPr>
                <w:rFonts w:hint="eastAsia"/>
                <w:color w:val="auto"/>
                <w:szCs w:val="21"/>
                <w:lang w:eastAsia="zh-CN"/>
              </w:rPr>
              <w:t>暂存于冷柜，</w:t>
            </w:r>
            <w:r>
              <w:rPr>
                <w:rFonts w:hint="eastAsia"/>
                <w:color w:val="auto"/>
                <w:szCs w:val="21"/>
                <w:highlight w:val="none"/>
                <w:lang w:eastAsia="zh-CN"/>
              </w:rPr>
              <w:t>委托北票市汇宏动物无害化处理有限公司定期运走做无害化</w:t>
            </w:r>
            <w:r>
              <w:rPr>
                <w:rFonts w:hint="eastAsia"/>
                <w:color w:val="auto"/>
                <w:szCs w:val="21"/>
                <w:highlight w:val="none"/>
              </w:rPr>
              <w:t>处理；</w:t>
            </w:r>
            <w:r>
              <w:rPr>
                <w:rFonts w:hint="eastAsia"/>
                <w:color w:val="auto"/>
                <w:szCs w:val="21"/>
                <w:highlight w:val="none"/>
                <w:lang w:eastAsia="zh-CN"/>
              </w:rPr>
              <w:t>临时储粪场设置为封</w:t>
            </w:r>
            <w:r>
              <w:rPr>
                <w:rFonts w:hint="eastAsia"/>
                <w:color w:val="auto"/>
                <w:szCs w:val="21"/>
                <w:lang w:eastAsia="zh-CN"/>
              </w:rPr>
              <w:t>闭结构四周做围堰，</w:t>
            </w:r>
            <w:r>
              <w:rPr>
                <w:color w:val="auto"/>
                <w:szCs w:val="21"/>
                <w:highlight w:val="none"/>
              </w:rPr>
              <w:t>喷</w:t>
            </w:r>
            <w:r>
              <w:rPr>
                <w:rFonts w:hint="eastAsia"/>
                <w:color w:val="auto"/>
                <w:szCs w:val="21"/>
                <w:highlight w:val="none"/>
              </w:rPr>
              <w:t>洒</w:t>
            </w:r>
            <w:r>
              <w:rPr>
                <w:color w:val="auto"/>
                <w:szCs w:val="21"/>
                <w:highlight w:val="none"/>
              </w:rPr>
              <w:t>生物除臭剂，周围加强绿化，</w:t>
            </w:r>
            <w:r>
              <w:rPr>
                <w:rFonts w:hint="eastAsia"/>
                <w:color w:val="auto"/>
                <w:szCs w:val="21"/>
                <w:highlight w:val="none"/>
                <w:lang w:eastAsia="zh-CN"/>
              </w:rPr>
              <w:t>废水收集池</w:t>
            </w:r>
            <w:r>
              <w:rPr>
                <w:color w:val="auto"/>
                <w:szCs w:val="21"/>
                <w:highlight w:val="none"/>
              </w:rPr>
              <w:t>加盖板密闭</w:t>
            </w:r>
            <w:r>
              <w:rPr>
                <w:rFonts w:hint="eastAsia"/>
                <w:color w:val="auto"/>
                <w:szCs w:val="21"/>
                <w:highlight w:val="none"/>
                <w:lang w:eastAsia="zh-CN"/>
              </w:rPr>
              <w:t>等措施。</w:t>
            </w:r>
          </w:p>
        </w:tc>
        <w:tc>
          <w:tcPr>
            <w:tcW w:w="763" w:type="dxa"/>
            <w:vAlign w:val="center"/>
          </w:tcPr>
          <w:p w14:paraId="2A717EF3">
            <w:pPr>
              <w:jc w:val="center"/>
              <w:textAlignment w:val="baseline"/>
              <w:rPr>
                <w:color w:val="auto"/>
                <w:kern w:val="0"/>
                <w:szCs w:val="21"/>
                <w:highlight w:val="none"/>
              </w:rPr>
            </w:pPr>
            <w:r>
              <w:rPr>
                <w:color w:val="auto"/>
                <w:kern w:val="0"/>
                <w:szCs w:val="21"/>
                <w:highlight w:val="none"/>
              </w:rPr>
              <w:t>符合</w:t>
            </w:r>
          </w:p>
        </w:tc>
      </w:tr>
      <w:tr w14:paraId="411771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Align w:val="center"/>
          </w:tcPr>
          <w:p w14:paraId="71A6D7EB">
            <w:pPr>
              <w:jc w:val="center"/>
              <w:textAlignment w:val="baseline"/>
              <w:rPr>
                <w:color w:val="auto"/>
                <w:kern w:val="0"/>
                <w:szCs w:val="21"/>
                <w:highlight w:val="none"/>
              </w:rPr>
            </w:pPr>
            <w:r>
              <w:rPr>
                <w:rFonts w:hint="eastAsia"/>
                <w:color w:val="auto"/>
                <w:kern w:val="0"/>
                <w:szCs w:val="21"/>
                <w:highlight w:val="none"/>
              </w:rPr>
              <w:t>3</w:t>
            </w:r>
          </w:p>
        </w:tc>
        <w:tc>
          <w:tcPr>
            <w:tcW w:w="732" w:type="dxa"/>
            <w:vMerge w:val="restart"/>
            <w:vAlign w:val="center"/>
          </w:tcPr>
          <w:p w14:paraId="510F2147">
            <w:pPr>
              <w:widowControl/>
              <w:jc w:val="center"/>
              <w:textAlignment w:val="baseline"/>
              <w:rPr>
                <w:color w:val="auto"/>
                <w:kern w:val="0"/>
                <w:szCs w:val="21"/>
                <w:highlight w:val="none"/>
              </w:rPr>
            </w:pPr>
            <w:r>
              <w:rPr>
                <w:rFonts w:hint="eastAsia"/>
                <w:color w:val="auto"/>
                <w:kern w:val="0"/>
                <w:szCs w:val="21"/>
                <w:highlight w:val="none"/>
              </w:rPr>
              <w:t>加强粪污减量控制，促进畜禽养殖粪污资源化利用</w:t>
            </w:r>
          </w:p>
        </w:tc>
        <w:tc>
          <w:tcPr>
            <w:tcW w:w="3460" w:type="dxa"/>
            <w:vAlign w:val="center"/>
          </w:tcPr>
          <w:p w14:paraId="76E4EC33">
            <w:pPr>
              <w:widowControl/>
              <w:jc w:val="center"/>
              <w:textAlignment w:val="baseline"/>
              <w:rPr>
                <w:color w:val="auto"/>
                <w:kern w:val="0"/>
                <w:szCs w:val="21"/>
                <w:highlight w:val="none"/>
              </w:rPr>
            </w:pPr>
            <w:r>
              <w:rPr>
                <w:color w:val="auto"/>
                <w:kern w:val="0"/>
                <w:szCs w:val="21"/>
                <w:highlight w:val="none"/>
              </w:rPr>
              <w:t>项目环评应以农业绿色发展为导向，优化工艺，通过采取优化饲料配方、提高饲养技术等措施，从源头减少粪污的产生量。鼓励采取干清粪方式，采取水泡粪工艺的应最大限度降低用水量。场区应采取雨污分离措施，防止雨水进入粪污收集系统。</w:t>
            </w:r>
          </w:p>
        </w:tc>
        <w:tc>
          <w:tcPr>
            <w:tcW w:w="2918" w:type="dxa"/>
            <w:vAlign w:val="center"/>
          </w:tcPr>
          <w:p w14:paraId="73F1C418">
            <w:pPr>
              <w:jc w:val="center"/>
              <w:rPr>
                <w:color w:val="auto"/>
                <w:kern w:val="0"/>
                <w:szCs w:val="21"/>
                <w:highlight w:val="none"/>
              </w:rPr>
            </w:pPr>
            <w:r>
              <w:rPr>
                <w:rFonts w:hint="eastAsia"/>
                <w:color w:val="auto"/>
                <w:kern w:val="0"/>
                <w:szCs w:val="21"/>
                <w:highlight w:val="none"/>
              </w:rPr>
              <w:t>本项目饲料</w:t>
            </w:r>
            <w:r>
              <w:rPr>
                <w:rFonts w:hint="eastAsia"/>
                <w:color w:val="auto"/>
                <w:kern w:val="0"/>
                <w:szCs w:val="21"/>
                <w:highlight w:val="none"/>
                <w:lang w:eastAsia="zh-CN"/>
              </w:rPr>
              <w:t>外购成品的</w:t>
            </w:r>
            <w:r>
              <w:rPr>
                <w:rFonts w:hint="eastAsia"/>
                <w:color w:val="auto"/>
                <w:kern w:val="0"/>
                <w:szCs w:val="21"/>
                <w:highlight w:val="none"/>
              </w:rPr>
              <w:t>富硒</w:t>
            </w:r>
            <w:r>
              <w:rPr>
                <w:rFonts w:hint="eastAsia"/>
                <w:color w:val="auto"/>
                <w:kern w:val="0"/>
                <w:szCs w:val="21"/>
                <w:highlight w:val="none"/>
                <w:lang w:eastAsia="zh-CN"/>
              </w:rPr>
              <w:t>配方</w:t>
            </w:r>
            <w:r>
              <w:rPr>
                <w:rFonts w:hint="eastAsia"/>
                <w:color w:val="auto"/>
                <w:kern w:val="0"/>
                <w:szCs w:val="21"/>
                <w:highlight w:val="none"/>
              </w:rPr>
              <w:t>饲料；采取干清粪方式；养殖废水</w:t>
            </w:r>
            <w:r>
              <w:rPr>
                <w:rFonts w:hint="eastAsia" w:ascii="Times New Roman" w:hAnsi="Times New Roman" w:eastAsia="宋体"/>
                <w:color w:val="auto"/>
                <w:kern w:val="0"/>
                <w:sz w:val="21"/>
                <w:szCs w:val="21"/>
                <w:highlight w:val="none"/>
                <w:lang w:eastAsia="zh-CN"/>
              </w:rPr>
              <w:t>日产日清，由罐车直接拉走外售至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eastAsia="宋体"/>
                <w:color w:val="auto"/>
                <w:kern w:val="0"/>
                <w:sz w:val="21"/>
                <w:szCs w:val="21"/>
                <w:highlight w:val="none"/>
                <w:lang w:eastAsia="zh-CN"/>
              </w:rPr>
              <w:t>，</w:t>
            </w:r>
            <w:r>
              <w:rPr>
                <w:rFonts w:hint="eastAsia"/>
                <w:color w:val="auto"/>
                <w:kern w:val="0"/>
                <w:szCs w:val="21"/>
                <w:highlight w:val="none"/>
              </w:rPr>
              <w:t>无污水外排；</w:t>
            </w:r>
            <w:r>
              <w:rPr>
                <w:color w:val="auto"/>
                <w:kern w:val="0"/>
                <w:szCs w:val="21"/>
                <w:highlight w:val="none"/>
              </w:rPr>
              <w:t>雨污分流，厂区内设置专用污水管道和雨水管道</w:t>
            </w:r>
            <w:r>
              <w:rPr>
                <w:rFonts w:hint="eastAsia"/>
                <w:color w:val="auto"/>
                <w:kern w:val="0"/>
                <w:szCs w:val="21"/>
                <w:highlight w:val="none"/>
                <w:lang w:eastAsia="zh-CN"/>
              </w:rPr>
              <w:t>，雨水通过雨水管网排出厂区。</w:t>
            </w:r>
          </w:p>
        </w:tc>
        <w:tc>
          <w:tcPr>
            <w:tcW w:w="763" w:type="dxa"/>
            <w:vAlign w:val="center"/>
          </w:tcPr>
          <w:p w14:paraId="7649832E">
            <w:pPr>
              <w:jc w:val="center"/>
              <w:textAlignment w:val="baseline"/>
              <w:rPr>
                <w:color w:val="auto"/>
                <w:kern w:val="0"/>
                <w:szCs w:val="21"/>
                <w:highlight w:val="none"/>
              </w:rPr>
            </w:pPr>
            <w:r>
              <w:rPr>
                <w:color w:val="auto"/>
                <w:kern w:val="0"/>
                <w:szCs w:val="21"/>
                <w:highlight w:val="none"/>
              </w:rPr>
              <w:t>符合</w:t>
            </w:r>
          </w:p>
        </w:tc>
      </w:tr>
      <w:tr w14:paraId="231077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Align w:val="center"/>
          </w:tcPr>
          <w:p w14:paraId="178EA3F7">
            <w:pPr>
              <w:jc w:val="center"/>
              <w:textAlignment w:val="baseline"/>
              <w:rPr>
                <w:color w:val="auto"/>
                <w:kern w:val="0"/>
                <w:szCs w:val="21"/>
                <w:highlight w:val="none"/>
              </w:rPr>
            </w:pPr>
            <w:r>
              <w:rPr>
                <w:rFonts w:hint="eastAsia"/>
                <w:color w:val="auto"/>
                <w:kern w:val="0"/>
                <w:szCs w:val="21"/>
                <w:highlight w:val="none"/>
              </w:rPr>
              <w:t>4</w:t>
            </w:r>
          </w:p>
        </w:tc>
        <w:tc>
          <w:tcPr>
            <w:tcW w:w="732" w:type="dxa"/>
            <w:vMerge w:val="continue"/>
            <w:vAlign w:val="center"/>
          </w:tcPr>
          <w:p w14:paraId="0ABDBD1E">
            <w:pPr>
              <w:widowControl/>
              <w:jc w:val="center"/>
              <w:textAlignment w:val="baseline"/>
              <w:rPr>
                <w:color w:val="auto"/>
                <w:kern w:val="0"/>
                <w:szCs w:val="21"/>
                <w:highlight w:val="none"/>
              </w:rPr>
            </w:pPr>
          </w:p>
        </w:tc>
        <w:tc>
          <w:tcPr>
            <w:tcW w:w="3460" w:type="dxa"/>
            <w:vAlign w:val="center"/>
          </w:tcPr>
          <w:p w14:paraId="24312A36">
            <w:pPr>
              <w:widowControl/>
              <w:jc w:val="center"/>
              <w:textAlignment w:val="baseline"/>
              <w:rPr>
                <w:color w:val="auto"/>
                <w:kern w:val="0"/>
                <w:szCs w:val="21"/>
                <w:highlight w:val="none"/>
              </w:rPr>
            </w:pPr>
            <w:r>
              <w:rPr>
                <w:color w:val="auto"/>
                <w:kern w:val="0"/>
                <w:szCs w:val="21"/>
                <w:highlight w:val="none"/>
              </w:rPr>
              <w:t>项目环评应结合地域、畜种、规模等特点以及地方相关部门制定的畜禽粪污综合利用目标等要求，加强畜禽养殖粪污资源化利用，因地制宜选择经济高效适用的处理利用模式，采取粪污全量收集还田利用、污水肥料化利用、粪便垫料回用、异位发酵床、粪污专业化能源利用等模式处理利用畜禽粪污，促进畜禽规模养殖项目“种养结合”绿色发展。</w:t>
            </w:r>
          </w:p>
        </w:tc>
        <w:tc>
          <w:tcPr>
            <w:tcW w:w="2918" w:type="dxa"/>
            <w:vAlign w:val="center"/>
          </w:tcPr>
          <w:p w14:paraId="0E9D58CD">
            <w:pPr>
              <w:widowControl/>
              <w:jc w:val="center"/>
              <w:textAlignment w:val="baseline"/>
              <w:rPr>
                <w:color w:val="auto"/>
                <w:kern w:val="0"/>
                <w:szCs w:val="21"/>
                <w:highlight w:val="none"/>
              </w:rPr>
            </w:pPr>
            <w:r>
              <w:rPr>
                <w:rFonts w:hint="eastAsia"/>
                <w:color w:val="auto"/>
                <w:kern w:val="0"/>
                <w:szCs w:val="21"/>
                <w:highlight w:val="none"/>
              </w:rPr>
              <w:t>本项目鸡粪、鸡羽毛、饲料残渣外售</w:t>
            </w:r>
            <w:r>
              <w:rPr>
                <w:rFonts w:hint="eastAsia" w:ascii="Times New Roman" w:hAnsi="Times New Roman" w:eastAsia="宋体"/>
                <w:color w:val="auto"/>
                <w:kern w:val="0"/>
                <w:sz w:val="21"/>
                <w:szCs w:val="21"/>
                <w:highlight w:val="none"/>
                <w:lang w:eastAsia="zh-CN"/>
              </w:rPr>
              <w:t>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rPr>
              <w:t>；养殖废水</w:t>
            </w:r>
            <w:r>
              <w:rPr>
                <w:rFonts w:hint="eastAsia" w:ascii="Times New Roman" w:hAnsi="Times New Roman" w:eastAsia="宋体"/>
                <w:color w:val="auto"/>
                <w:kern w:val="0"/>
                <w:sz w:val="21"/>
                <w:szCs w:val="21"/>
                <w:highlight w:val="none"/>
                <w:lang w:eastAsia="zh-CN"/>
              </w:rPr>
              <w:t>日产日清，由罐车直接拉走外售至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eastAsia="宋体"/>
                <w:color w:val="auto"/>
                <w:kern w:val="0"/>
                <w:sz w:val="21"/>
                <w:szCs w:val="21"/>
                <w:highlight w:val="none"/>
                <w:lang w:eastAsia="zh-CN"/>
              </w:rPr>
              <w:t>，</w:t>
            </w:r>
            <w:r>
              <w:rPr>
                <w:rFonts w:hint="eastAsia"/>
                <w:color w:val="auto"/>
                <w:kern w:val="0"/>
                <w:szCs w:val="21"/>
                <w:highlight w:val="none"/>
              </w:rPr>
              <w:t>无污水外排；</w:t>
            </w:r>
          </w:p>
        </w:tc>
        <w:tc>
          <w:tcPr>
            <w:tcW w:w="763" w:type="dxa"/>
            <w:vAlign w:val="center"/>
          </w:tcPr>
          <w:p w14:paraId="1205D485">
            <w:pPr>
              <w:jc w:val="center"/>
              <w:textAlignment w:val="baseline"/>
              <w:rPr>
                <w:color w:val="auto"/>
                <w:kern w:val="0"/>
                <w:szCs w:val="21"/>
                <w:highlight w:val="none"/>
              </w:rPr>
            </w:pPr>
            <w:r>
              <w:rPr>
                <w:color w:val="auto"/>
                <w:kern w:val="0"/>
                <w:szCs w:val="21"/>
                <w:highlight w:val="none"/>
              </w:rPr>
              <w:t>符合</w:t>
            </w:r>
          </w:p>
        </w:tc>
      </w:tr>
      <w:tr w14:paraId="401E327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Align w:val="center"/>
          </w:tcPr>
          <w:p w14:paraId="579F6DFE">
            <w:pPr>
              <w:jc w:val="center"/>
              <w:textAlignment w:val="baseline"/>
              <w:rPr>
                <w:color w:val="auto"/>
                <w:kern w:val="0"/>
                <w:szCs w:val="21"/>
                <w:highlight w:val="none"/>
              </w:rPr>
            </w:pPr>
            <w:r>
              <w:rPr>
                <w:rFonts w:hint="eastAsia"/>
                <w:color w:val="auto"/>
                <w:kern w:val="0"/>
                <w:szCs w:val="21"/>
                <w:highlight w:val="none"/>
              </w:rPr>
              <w:t>5</w:t>
            </w:r>
          </w:p>
        </w:tc>
        <w:tc>
          <w:tcPr>
            <w:tcW w:w="732" w:type="dxa"/>
            <w:vMerge w:val="continue"/>
            <w:vAlign w:val="center"/>
          </w:tcPr>
          <w:p w14:paraId="61C7E6BF">
            <w:pPr>
              <w:widowControl/>
              <w:jc w:val="center"/>
              <w:textAlignment w:val="baseline"/>
              <w:rPr>
                <w:color w:val="auto"/>
                <w:kern w:val="0"/>
                <w:szCs w:val="21"/>
                <w:highlight w:val="none"/>
              </w:rPr>
            </w:pPr>
          </w:p>
        </w:tc>
        <w:tc>
          <w:tcPr>
            <w:tcW w:w="3460" w:type="dxa"/>
            <w:vAlign w:val="center"/>
          </w:tcPr>
          <w:p w14:paraId="6C1D71A8">
            <w:pPr>
              <w:widowControl/>
              <w:jc w:val="center"/>
              <w:textAlignment w:val="baseline"/>
              <w:rPr>
                <w:color w:val="auto"/>
                <w:kern w:val="0"/>
                <w:szCs w:val="21"/>
                <w:highlight w:val="none"/>
              </w:rPr>
            </w:pPr>
            <w:r>
              <w:rPr>
                <w:color w:val="auto"/>
                <w:kern w:val="0"/>
                <w:szCs w:val="21"/>
                <w:highlight w:val="none"/>
              </w:rPr>
              <w:t>鼓励根据土地承载能力确定畜禽养殖场的适宜养殖规模，土地承载能力可采用农业农村主管部门发布的测算技术方法确定。耕地面积大、土地消纳能力相对较高的区域，畜禽养殖场产生的粪污应力争实现全部就地就近资源化利用或委托第三方处理</w:t>
            </w:r>
            <w:r>
              <w:rPr>
                <w:rFonts w:hint="eastAsia"/>
                <w:color w:val="auto"/>
                <w:kern w:val="0"/>
                <w:szCs w:val="21"/>
                <w:highlight w:val="none"/>
              </w:rPr>
              <w:t>；</w:t>
            </w:r>
            <w:r>
              <w:rPr>
                <w:color w:val="auto"/>
                <w:kern w:val="0"/>
                <w:szCs w:val="21"/>
                <w:highlight w:val="none"/>
              </w:rPr>
              <w:t>当土地消纳能力不足时，应进一步提高资源化利用能力或适当减少养殖规模。鼓励依托符合环保要求的专业化粪污处理利用企业，提高畜禽养殖粪污集中收集利用能力。环评应明确畜禽养殖粪污资源化利用的主体，严格落实利用渠道或途径，确保资源化利用有效实施。</w:t>
            </w:r>
          </w:p>
        </w:tc>
        <w:tc>
          <w:tcPr>
            <w:tcW w:w="2918" w:type="dxa"/>
            <w:vAlign w:val="center"/>
          </w:tcPr>
          <w:p w14:paraId="5E8EF5BB">
            <w:pPr>
              <w:widowControl/>
              <w:jc w:val="center"/>
              <w:textAlignment w:val="baseline"/>
              <w:rPr>
                <w:color w:val="auto"/>
                <w:kern w:val="0"/>
                <w:szCs w:val="21"/>
                <w:highlight w:val="none"/>
              </w:rPr>
            </w:pPr>
            <w:r>
              <w:rPr>
                <w:rFonts w:hint="eastAsia"/>
                <w:color w:val="auto"/>
                <w:kern w:val="0"/>
                <w:szCs w:val="21"/>
                <w:highlight w:val="none"/>
              </w:rPr>
              <w:t>本项目鸡粪、鸡羽毛、饲料残渣外售</w:t>
            </w:r>
            <w:r>
              <w:rPr>
                <w:rFonts w:hint="eastAsia" w:ascii="Times New Roman" w:hAnsi="Times New Roman" w:eastAsia="宋体"/>
                <w:color w:val="auto"/>
                <w:kern w:val="0"/>
                <w:sz w:val="21"/>
                <w:szCs w:val="21"/>
                <w:highlight w:val="none"/>
                <w:lang w:eastAsia="zh-CN"/>
              </w:rPr>
              <w:t>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rPr>
              <w:t>；养殖废水</w:t>
            </w:r>
            <w:r>
              <w:rPr>
                <w:rFonts w:hint="eastAsia" w:ascii="Times New Roman" w:hAnsi="Times New Roman" w:eastAsia="宋体"/>
                <w:color w:val="auto"/>
                <w:kern w:val="0"/>
                <w:sz w:val="21"/>
                <w:szCs w:val="21"/>
                <w:highlight w:val="none"/>
                <w:lang w:eastAsia="zh-CN"/>
              </w:rPr>
              <w:t>日产日清，由罐车直接拉走外售至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eastAsia="宋体"/>
                <w:color w:val="auto"/>
                <w:kern w:val="0"/>
                <w:sz w:val="21"/>
                <w:szCs w:val="21"/>
                <w:highlight w:val="none"/>
                <w:lang w:eastAsia="zh-CN"/>
              </w:rPr>
              <w:t>，</w:t>
            </w:r>
            <w:r>
              <w:rPr>
                <w:rFonts w:hint="eastAsia"/>
                <w:color w:val="auto"/>
                <w:kern w:val="0"/>
                <w:szCs w:val="21"/>
                <w:highlight w:val="none"/>
              </w:rPr>
              <w:t>无污水外排；</w:t>
            </w:r>
          </w:p>
        </w:tc>
        <w:tc>
          <w:tcPr>
            <w:tcW w:w="763" w:type="dxa"/>
            <w:vAlign w:val="center"/>
          </w:tcPr>
          <w:p w14:paraId="2E3A7100">
            <w:pPr>
              <w:jc w:val="center"/>
              <w:textAlignment w:val="baseline"/>
              <w:rPr>
                <w:color w:val="auto"/>
                <w:kern w:val="0"/>
                <w:szCs w:val="21"/>
                <w:highlight w:val="none"/>
              </w:rPr>
            </w:pPr>
            <w:r>
              <w:rPr>
                <w:color w:val="auto"/>
                <w:kern w:val="0"/>
                <w:szCs w:val="21"/>
                <w:highlight w:val="none"/>
              </w:rPr>
              <w:t>符合</w:t>
            </w:r>
          </w:p>
        </w:tc>
      </w:tr>
      <w:tr w14:paraId="49FC28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Align w:val="center"/>
          </w:tcPr>
          <w:p w14:paraId="08785711">
            <w:pPr>
              <w:jc w:val="center"/>
              <w:textAlignment w:val="baseline"/>
              <w:rPr>
                <w:color w:val="auto"/>
                <w:kern w:val="0"/>
                <w:szCs w:val="21"/>
                <w:highlight w:val="none"/>
              </w:rPr>
            </w:pPr>
            <w:r>
              <w:rPr>
                <w:rFonts w:hint="eastAsia"/>
                <w:color w:val="auto"/>
                <w:kern w:val="0"/>
                <w:szCs w:val="21"/>
                <w:highlight w:val="none"/>
              </w:rPr>
              <w:t>6</w:t>
            </w:r>
          </w:p>
        </w:tc>
        <w:tc>
          <w:tcPr>
            <w:tcW w:w="732" w:type="dxa"/>
            <w:vMerge w:val="restart"/>
            <w:vAlign w:val="center"/>
          </w:tcPr>
          <w:p w14:paraId="4922470B">
            <w:pPr>
              <w:widowControl/>
              <w:jc w:val="center"/>
              <w:textAlignment w:val="baseline"/>
              <w:rPr>
                <w:color w:val="auto"/>
                <w:kern w:val="0"/>
                <w:szCs w:val="21"/>
                <w:highlight w:val="none"/>
              </w:rPr>
            </w:pPr>
            <w:r>
              <w:rPr>
                <w:rFonts w:hint="eastAsia"/>
                <w:color w:val="auto"/>
                <w:kern w:val="0"/>
                <w:szCs w:val="21"/>
                <w:highlight w:val="none"/>
              </w:rPr>
              <w:t>强化粪污治理措施，做好污染防治</w:t>
            </w:r>
          </w:p>
        </w:tc>
        <w:tc>
          <w:tcPr>
            <w:tcW w:w="3460" w:type="dxa"/>
            <w:vAlign w:val="center"/>
          </w:tcPr>
          <w:p w14:paraId="4B38A084">
            <w:pPr>
              <w:widowControl/>
              <w:jc w:val="center"/>
              <w:textAlignment w:val="baseline"/>
              <w:rPr>
                <w:color w:val="auto"/>
                <w:kern w:val="0"/>
                <w:szCs w:val="21"/>
                <w:highlight w:val="none"/>
              </w:rPr>
            </w:pPr>
            <w:r>
              <w:rPr>
                <w:color w:val="auto"/>
                <w:kern w:val="0"/>
                <w:szCs w:val="21"/>
                <w:highlight w:val="none"/>
              </w:rPr>
              <w:t>项目环评应强化对粪污的治理措施，加强畜禽养殖粪污资源化利用过程中的污染控制，推进粪污资源的良性利用，应对无法资源化利用的粪污采取治理措施确保达标排放。畜禽规模养殖项目应配套建设与养殖规模相匹配的雨污分离设施，以及粪污贮存、处理和利用设施等，委托满足相关环保要求的第三方代为利用或者处理的，可不自行建设粪污处理或利用设施。</w:t>
            </w:r>
          </w:p>
        </w:tc>
        <w:tc>
          <w:tcPr>
            <w:tcW w:w="2918" w:type="dxa"/>
            <w:vAlign w:val="center"/>
          </w:tcPr>
          <w:p w14:paraId="51104FCB">
            <w:pPr>
              <w:widowControl/>
              <w:jc w:val="center"/>
              <w:textAlignment w:val="baseline"/>
              <w:rPr>
                <w:color w:val="auto"/>
                <w:kern w:val="0"/>
                <w:szCs w:val="21"/>
                <w:highlight w:val="none"/>
              </w:rPr>
            </w:pPr>
            <w:r>
              <w:rPr>
                <w:rFonts w:hint="eastAsia"/>
                <w:color w:val="auto"/>
                <w:kern w:val="0"/>
                <w:szCs w:val="21"/>
                <w:highlight w:val="none"/>
              </w:rPr>
              <w:t>本项目鸡粪、鸡羽毛、饲料残渣外售</w:t>
            </w:r>
            <w:r>
              <w:rPr>
                <w:rFonts w:hint="eastAsia" w:ascii="Times New Roman" w:hAnsi="Times New Roman" w:eastAsia="宋体"/>
                <w:color w:val="auto"/>
                <w:kern w:val="0"/>
                <w:sz w:val="21"/>
                <w:szCs w:val="21"/>
                <w:highlight w:val="none"/>
                <w:lang w:eastAsia="zh-CN"/>
              </w:rPr>
              <w:t>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rPr>
              <w:t>；养殖废水</w:t>
            </w:r>
            <w:r>
              <w:rPr>
                <w:rFonts w:hint="eastAsia" w:ascii="Times New Roman" w:hAnsi="Times New Roman" w:eastAsia="宋体"/>
                <w:color w:val="auto"/>
                <w:kern w:val="0"/>
                <w:sz w:val="21"/>
                <w:szCs w:val="21"/>
                <w:highlight w:val="none"/>
                <w:lang w:eastAsia="zh-CN"/>
              </w:rPr>
              <w:t>日产日清，由罐车直接拉走外售至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eastAsia="宋体"/>
                <w:color w:val="auto"/>
                <w:kern w:val="0"/>
                <w:sz w:val="21"/>
                <w:szCs w:val="21"/>
                <w:highlight w:val="none"/>
                <w:lang w:eastAsia="zh-CN"/>
              </w:rPr>
              <w:t>，</w:t>
            </w:r>
            <w:r>
              <w:rPr>
                <w:rFonts w:hint="eastAsia"/>
                <w:color w:val="auto"/>
                <w:kern w:val="0"/>
                <w:szCs w:val="21"/>
                <w:highlight w:val="none"/>
              </w:rPr>
              <w:t>无污水外排；</w:t>
            </w:r>
          </w:p>
        </w:tc>
        <w:tc>
          <w:tcPr>
            <w:tcW w:w="763" w:type="dxa"/>
            <w:vAlign w:val="center"/>
          </w:tcPr>
          <w:p w14:paraId="34DB3463">
            <w:pPr>
              <w:jc w:val="center"/>
              <w:textAlignment w:val="baseline"/>
              <w:rPr>
                <w:color w:val="auto"/>
                <w:kern w:val="0"/>
                <w:szCs w:val="21"/>
                <w:highlight w:val="none"/>
              </w:rPr>
            </w:pPr>
            <w:r>
              <w:rPr>
                <w:color w:val="auto"/>
                <w:kern w:val="0"/>
                <w:szCs w:val="21"/>
                <w:highlight w:val="none"/>
              </w:rPr>
              <w:t>符合</w:t>
            </w:r>
          </w:p>
        </w:tc>
      </w:tr>
      <w:tr w14:paraId="702DE4E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Align w:val="center"/>
          </w:tcPr>
          <w:p w14:paraId="30A14CF5">
            <w:pPr>
              <w:jc w:val="center"/>
              <w:textAlignment w:val="baseline"/>
              <w:rPr>
                <w:color w:val="auto"/>
                <w:kern w:val="0"/>
                <w:szCs w:val="21"/>
                <w:highlight w:val="none"/>
              </w:rPr>
            </w:pPr>
            <w:r>
              <w:rPr>
                <w:rFonts w:hint="eastAsia"/>
                <w:color w:val="auto"/>
                <w:kern w:val="0"/>
                <w:szCs w:val="21"/>
                <w:highlight w:val="none"/>
              </w:rPr>
              <w:t>7</w:t>
            </w:r>
          </w:p>
        </w:tc>
        <w:tc>
          <w:tcPr>
            <w:tcW w:w="732" w:type="dxa"/>
            <w:vMerge w:val="continue"/>
            <w:vAlign w:val="center"/>
          </w:tcPr>
          <w:p w14:paraId="5A3EBBC7">
            <w:pPr>
              <w:widowControl/>
              <w:jc w:val="center"/>
              <w:textAlignment w:val="baseline"/>
              <w:rPr>
                <w:color w:val="auto"/>
                <w:kern w:val="0"/>
                <w:szCs w:val="21"/>
                <w:highlight w:val="none"/>
              </w:rPr>
            </w:pPr>
          </w:p>
        </w:tc>
        <w:tc>
          <w:tcPr>
            <w:tcW w:w="3460" w:type="dxa"/>
            <w:vAlign w:val="center"/>
          </w:tcPr>
          <w:p w14:paraId="0B086BAD">
            <w:pPr>
              <w:widowControl/>
              <w:jc w:val="center"/>
              <w:textAlignment w:val="baseline"/>
              <w:rPr>
                <w:color w:val="auto"/>
                <w:kern w:val="0"/>
                <w:szCs w:val="21"/>
                <w:highlight w:val="none"/>
              </w:rPr>
            </w:pPr>
            <w:r>
              <w:rPr>
                <w:color w:val="auto"/>
                <w:kern w:val="0"/>
                <w:szCs w:val="21"/>
                <w:highlight w:val="none"/>
              </w:rPr>
              <w:t>项目环评应明确畜禽粪污贮存、处理和利用措施。贮存池应采取有效的防雨、防渗和防溢流措施，防止畜禽粪污污染地下水。贮存池总有效容积应根据贮存期确定。进行资源化利用的畜禽粪污须处理并达到畜禽粪便还田、无害化处理等技术规范要求。畜禽规模养殖项目配套建设沼气工程的，应充分考虑沼气制备及贮存过程中的环境风险，制定环境风险防范措施及应急预案。</w:t>
            </w:r>
          </w:p>
        </w:tc>
        <w:tc>
          <w:tcPr>
            <w:tcW w:w="2918" w:type="dxa"/>
            <w:vAlign w:val="center"/>
          </w:tcPr>
          <w:p w14:paraId="2B135B86">
            <w:pPr>
              <w:widowControl/>
              <w:jc w:val="center"/>
              <w:textAlignment w:val="baseline"/>
              <w:rPr>
                <w:rFonts w:hint="eastAsia" w:eastAsia="宋体"/>
                <w:color w:val="auto"/>
                <w:kern w:val="0"/>
                <w:szCs w:val="21"/>
                <w:highlight w:val="none"/>
                <w:lang w:eastAsia="zh-CN"/>
              </w:rPr>
            </w:pPr>
            <w:r>
              <w:rPr>
                <w:rFonts w:hint="eastAsia"/>
                <w:color w:val="auto"/>
                <w:kern w:val="0"/>
                <w:szCs w:val="21"/>
                <w:highlight w:val="none"/>
              </w:rPr>
              <w:t>本项目鸡粪、鸡羽毛、饲料残渣外售</w:t>
            </w:r>
            <w:r>
              <w:rPr>
                <w:rFonts w:hint="eastAsia" w:ascii="Times New Roman" w:hAnsi="Times New Roman" w:eastAsia="宋体"/>
                <w:color w:val="auto"/>
                <w:kern w:val="0"/>
                <w:sz w:val="21"/>
                <w:szCs w:val="21"/>
                <w:highlight w:val="none"/>
                <w:lang w:eastAsia="zh-CN"/>
              </w:rPr>
              <w:t>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rPr>
              <w:t>；养殖废水</w:t>
            </w:r>
            <w:r>
              <w:rPr>
                <w:rFonts w:hint="eastAsia" w:ascii="Times New Roman" w:hAnsi="Times New Roman" w:eastAsia="宋体"/>
                <w:color w:val="auto"/>
                <w:kern w:val="0"/>
                <w:sz w:val="21"/>
                <w:szCs w:val="21"/>
                <w:highlight w:val="none"/>
                <w:lang w:eastAsia="zh-CN"/>
              </w:rPr>
              <w:t>日产日清，由罐车直接拉走外售至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eastAsia="宋体"/>
                <w:color w:val="auto"/>
                <w:kern w:val="0"/>
                <w:sz w:val="21"/>
                <w:szCs w:val="21"/>
                <w:highlight w:val="none"/>
                <w:lang w:eastAsia="zh-CN"/>
              </w:rPr>
              <w:t>，</w:t>
            </w:r>
            <w:r>
              <w:rPr>
                <w:rFonts w:hint="eastAsia"/>
                <w:color w:val="auto"/>
                <w:kern w:val="0"/>
                <w:szCs w:val="21"/>
                <w:highlight w:val="none"/>
              </w:rPr>
              <w:t>无污水外排；</w:t>
            </w:r>
            <w:r>
              <w:rPr>
                <w:rFonts w:hint="eastAsia"/>
                <w:color w:val="auto"/>
                <w:kern w:val="0"/>
                <w:szCs w:val="21"/>
                <w:highlight w:val="none"/>
                <w:lang w:eastAsia="zh-CN"/>
              </w:rPr>
              <w:t>临时储粪场、废水收集池</w:t>
            </w:r>
            <w:r>
              <w:rPr>
                <w:rFonts w:hint="eastAsia"/>
                <w:color w:val="auto"/>
                <w:kern w:val="0"/>
                <w:szCs w:val="21"/>
                <w:highlight w:val="none"/>
              </w:rPr>
              <w:t>、污水管网等为一般防渗区，按照等效黏土防渗层Mb≥1.5，K≤1×10</w:t>
            </w:r>
            <w:r>
              <w:rPr>
                <w:rFonts w:hint="eastAsia"/>
                <w:color w:val="auto"/>
                <w:kern w:val="0"/>
                <w:szCs w:val="21"/>
                <w:highlight w:val="none"/>
                <w:vertAlign w:val="superscript"/>
              </w:rPr>
              <w:t xml:space="preserve">-7 </w:t>
            </w:r>
            <w:r>
              <w:rPr>
                <w:rFonts w:hint="eastAsia"/>
                <w:color w:val="auto"/>
                <w:kern w:val="0"/>
                <w:szCs w:val="21"/>
                <w:highlight w:val="none"/>
              </w:rPr>
              <w:t>cm/s，做好防雨、防渗和防溢流等措施</w:t>
            </w:r>
            <w:r>
              <w:rPr>
                <w:rFonts w:hint="eastAsia"/>
                <w:color w:val="auto"/>
                <w:kern w:val="0"/>
                <w:szCs w:val="21"/>
                <w:highlight w:val="none"/>
                <w:lang w:eastAsia="zh-CN"/>
              </w:rPr>
              <w:t>。</w:t>
            </w:r>
          </w:p>
        </w:tc>
        <w:tc>
          <w:tcPr>
            <w:tcW w:w="763" w:type="dxa"/>
            <w:vAlign w:val="center"/>
          </w:tcPr>
          <w:p w14:paraId="345F69A6">
            <w:pPr>
              <w:jc w:val="center"/>
              <w:textAlignment w:val="baseline"/>
              <w:rPr>
                <w:color w:val="auto"/>
                <w:kern w:val="0"/>
                <w:szCs w:val="21"/>
                <w:highlight w:val="none"/>
              </w:rPr>
            </w:pPr>
            <w:r>
              <w:rPr>
                <w:color w:val="auto"/>
                <w:kern w:val="0"/>
                <w:szCs w:val="21"/>
                <w:highlight w:val="none"/>
              </w:rPr>
              <w:t>符合</w:t>
            </w:r>
          </w:p>
        </w:tc>
      </w:tr>
      <w:tr w14:paraId="159D30D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Align w:val="center"/>
          </w:tcPr>
          <w:p w14:paraId="0DF576B9">
            <w:pPr>
              <w:jc w:val="center"/>
              <w:textAlignment w:val="baseline"/>
              <w:rPr>
                <w:color w:val="auto"/>
                <w:kern w:val="0"/>
                <w:szCs w:val="21"/>
                <w:highlight w:val="none"/>
              </w:rPr>
            </w:pPr>
            <w:r>
              <w:rPr>
                <w:rFonts w:hint="eastAsia"/>
                <w:color w:val="auto"/>
                <w:kern w:val="0"/>
                <w:szCs w:val="21"/>
                <w:highlight w:val="none"/>
              </w:rPr>
              <w:t>8</w:t>
            </w:r>
          </w:p>
        </w:tc>
        <w:tc>
          <w:tcPr>
            <w:tcW w:w="732" w:type="dxa"/>
            <w:vMerge w:val="continue"/>
            <w:vAlign w:val="center"/>
          </w:tcPr>
          <w:p w14:paraId="326269F7">
            <w:pPr>
              <w:widowControl/>
              <w:jc w:val="center"/>
              <w:textAlignment w:val="baseline"/>
              <w:rPr>
                <w:color w:val="auto"/>
                <w:kern w:val="0"/>
                <w:szCs w:val="21"/>
                <w:highlight w:val="none"/>
              </w:rPr>
            </w:pPr>
          </w:p>
        </w:tc>
        <w:tc>
          <w:tcPr>
            <w:tcW w:w="3460" w:type="dxa"/>
            <w:vAlign w:val="center"/>
          </w:tcPr>
          <w:p w14:paraId="2A676640">
            <w:pPr>
              <w:widowControl/>
              <w:jc w:val="center"/>
              <w:textAlignment w:val="baseline"/>
              <w:rPr>
                <w:color w:val="auto"/>
                <w:kern w:val="0"/>
                <w:szCs w:val="21"/>
                <w:highlight w:val="none"/>
              </w:rPr>
            </w:pPr>
            <w:r>
              <w:rPr>
                <w:color w:val="auto"/>
                <w:kern w:val="0"/>
                <w:szCs w:val="21"/>
                <w:highlight w:val="none"/>
              </w:rPr>
              <w:t>畜禽养殖粪污作为肥料还田利用的，应明确畜禽养殖场与还田利用的林地、农田之间的输送系统及环境管理措施，严格控制肥水输送沿途的弃、撒和跑冒滴漏，防止进入外部水体。对无法采取资源化利用的畜禽养殖废水应明确处理措施及工艺，确保达标排放或消毒回用，排放去向应符合国家和地方的有关规定，不得排入敏感水域和有特殊功能的水域。</w:t>
            </w:r>
          </w:p>
        </w:tc>
        <w:tc>
          <w:tcPr>
            <w:tcW w:w="2918" w:type="dxa"/>
            <w:vAlign w:val="center"/>
          </w:tcPr>
          <w:p w14:paraId="40EF167F">
            <w:pPr>
              <w:widowControl/>
              <w:jc w:val="center"/>
              <w:textAlignment w:val="baseline"/>
              <w:rPr>
                <w:color w:val="auto"/>
                <w:kern w:val="0"/>
                <w:szCs w:val="21"/>
                <w:highlight w:val="none"/>
              </w:rPr>
            </w:pPr>
            <w:r>
              <w:rPr>
                <w:rFonts w:hint="eastAsia"/>
                <w:color w:val="auto"/>
                <w:kern w:val="0"/>
                <w:szCs w:val="21"/>
                <w:highlight w:val="none"/>
              </w:rPr>
              <w:t>本项目鸡粪、鸡羽毛、饲料残渣外售</w:t>
            </w:r>
            <w:r>
              <w:rPr>
                <w:rFonts w:hint="eastAsia" w:ascii="Times New Roman" w:hAnsi="Times New Roman" w:eastAsia="宋体"/>
                <w:color w:val="auto"/>
                <w:kern w:val="0"/>
                <w:sz w:val="21"/>
                <w:szCs w:val="21"/>
                <w:highlight w:val="none"/>
                <w:lang w:eastAsia="zh-CN"/>
              </w:rPr>
              <w:t>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rPr>
              <w:t>；养殖废水</w:t>
            </w:r>
            <w:r>
              <w:rPr>
                <w:rFonts w:hint="eastAsia" w:ascii="Times New Roman" w:hAnsi="Times New Roman" w:eastAsia="宋体"/>
                <w:color w:val="auto"/>
                <w:kern w:val="0"/>
                <w:sz w:val="21"/>
                <w:szCs w:val="21"/>
                <w:highlight w:val="none"/>
                <w:lang w:eastAsia="zh-CN"/>
              </w:rPr>
              <w:t>日产日清，由罐车直接拉走外售至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eastAsia="宋体"/>
                <w:color w:val="auto"/>
                <w:kern w:val="0"/>
                <w:sz w:val="21"/>
                <w:szCs w:val="21"/>
                <w:highlight w:val="none"/>
                <w:lang w:eastAsia="zh-CN"/>
              </w:rPr>
              <w:t>，</w:t>
            </w:r>
            <w:r>
              <w:rPr>
                <w:rFonts w:hint="eastAsia"/>
                <w:color w:val="auto"/>
                <w:kern w:val="0"/>
                <w:szCs w:val="21"/>
                <w:highlight w:val="none"/>
              </w:rPr>
              <w:t>无污水外排；</w:t>
            </w:r>
          </w:p>
        </w:tc>
        <w:tc>
          <w:tcPr>
            <w:tcW w:w="763" w:type="dxa"/>
            <w:vAlign w:val="center"/>
          </w:tcPr>
          <w:p w14:paraId="41B56193">
            <w:pPr>
              <w:jc w:val="center"/>
              <w:textAlignment w:val="baseline"/>
              <w:rPr>
                <w:color w:val="auto"/>
                <w:kern w:val="0"/>
                <w:szCs w:val="21"/>
                <w:highlight w:val="none"/>
              </w:rPr>
            </w:pPr>
            <w:r>
              <w:rPr>
                <w:color w:val="auto"/>
                <w:kern w:val="0"/>
                <w:szCs w:val="21"/>
                <w:highlight w:val="none"/>
              </w:rPr>
              <w:t>符合</w:t>
            </w:r>
          </w:p>
        </w:tc>
      </w:tr>
      <w:tr w14:paraId="2F85467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Align w:val="center"/>
          </w:tcPr>
          <w:p w14:paraId="5C5BD488">
            <w:pPr>
              <w:jc w:val="center"/>
              <w:textAlignment w:val="baseline"/>
              <w:rPr>
                <w:color w:val="auto"/>
                <w:kern w:val="0"/>
                <w:szCs w:val="21"/>
                <w:highlight w:val="none"/>
              </w:rPr>
            </w:pPr>
            <w:r>
              <w:rPr>
                <w:rFonts w:hint="eastAsia"/>
                <w:color w:val="auto"/>
                <w:kern w:val="0"/>
                <w:szCs w:val="21"/>
                <w:highlight w:val="none"/>
              </w:rPr>
              <w:t>9</w:t>
            </w:r>
          </w:p>
        </w:tc>
        <w:tc>
          <w:tcPr>
            <w:tcW w:w="732" w:type="dxa"/>
            <w:vMerge w:val="continue"/>
            <w:vAlign w:val="center"/>
          </w:tcPr>
          <w:p w14:paraId="797205B5">
            <w:pPr>
              <w:widowControl/>
              <w:jc w:val="center"/>
              <w:textAlignment w:val="baseline"/>
              <w:rPr>
                <w:color w:val="auto"/>
                <w:kern w:val="0"/>
                <w:szCs w:val="21"/>
                <w:highlight w:val="none"/>
              </w:rPr>
            </w:pPr>
          </w:p>
        </w:tc>
        <w:tc>
          <w:tcPr>
            <w:tcW w:w="3460" w:type="dxa"/>
            <w:vAlign w:val="center"/>
          </w:tcPr>
          <w:p w14:paraId="4D55D4EB">
            <w:pPr>
              <w:widowControl/>
              <w:jc w:val="center"/>
              <w:textAlignment w:val="baseline"/>
              <w:rPr>
                <w:color w:val="auto"/>
                <w:kern w:val="0"/>
                <w:szCs w:val="21"/>
                <w:highlight w:val="none"/>
              </w:rPr>
            </w:pPr>
            <w:r>
              <w:rPr>
                <w:color w:val="auto"/>
                <w:kern w:val="0"/>
                <w:szCs w:val="21"/>
                <w:highlight w:val="none"/>
              </w:rPr>
              <w:t>依据相关法律法规和技术规范，制定明确的病死畜禽处理、处置方案，及时处理病死畜禽。针对畜禽规模养殖项目的恶臭影响，可采取控制饲养密度、改善舍内通风、及时清粪、采用除臭剂、集中收集处理等措施，确保项目恶臭污染物达标排放。</w:t>
            </w:r>
          </w:p>
        </w:tc>
        <w:tc>
          <w:tcPr>
            <w:tcW w:w="2918" w:type="dxa"/>
            <w:vAlign w:val="center"/>
          </w:tcPr>
          <w:p w14:paraId="244A9061">
            <w:pPr>
              <w:widowControl/>
              <w:jc w:val="center"/>
              <w:textAlignment w:val="baseline"/>
              <w:rPr>
                <w:rFonts w:hint="eastAsia" w:eastAsia="宋体"/>
                <w:color w:val="auto"/>
                <w:kern w:val="0"/>
                <w:szCs w:val="21"/>
                <w:highlight w:val="none"/>
                <w:lang w:eastAsia="zh-CN"/>
              </w:rPr>
            </w:pPr>
            <w:r>
              <w:rPr>
                <w:rFonts w:hint="eastAsia"/>
                <w:color w:val="auto"/>
                <w:szCs w:val="21"/>
                <w:highlight w:val="none"/>
              </w:rPr>
              <w:t>本项目病死鸡</w:t>
            </w:r>
            <w:r>
              <w:rPr>
                <w:rFonts w:hint="eastAsia"/>
                <w:color w:val="auto"/>
                <w:szCs w:val="21"/>
                <w:highlight w:val="none"/>
                <w:lang w:eastAsia="zh-CN"/>
              </w:rPr>
              <w:t>暂存于冷柜，委托北票市汇宏动物无害化处理有限公司定期运走做无害化</w:t>
            </w:r>
            <w:r>
              <w:rPr>
                <w:rFonts w:hint="eastAsia"/>
                <w:color w:val="auto"/>
                <w:szCs w:val="21"/>
                <w:highlight w:val="none"/>
              </w:rPr>
              <w:t>处理；</w:t>
            </w:r>
            <w:r>
              <w:rPr>
                <w:rFonts w:hint="eastAsia"/>
                <w:color w:val="auto"/>
                <w:szCs w:val="21"/>
                <w:highlight w:val="none"/>
                <w:lang w:eastAsia="zh-CN"/>
              </w:rPr>
              <w:t>临时储粪场设置为封闭结构四周做围堰，</w:t>
            </w:r>
            <w:r>
              <w:rPr>
                <w:color w:val="auto"/>
                <w:szCs w:val="21"/>
                <w:highlight w:val="none"/>
              </w:rPr>
              <w:t>喷</w:t>
            </w:r>
            <w:r>
              <w:rPr>
                <w:rFonts w:hint="eastAsia"/>
                <w:color w:val="auto"/>
                <w:szCs w:val="21"/>
                <w:highlight w:val="none"/>
              </w:rPr>
              <w:t>洒</w:t>
            </w:r>
            <w:r>
              <w:rPr>
                <w:color w:val="auto"/>
                <w:szCs w:val="21"/>
                <w:highlight w:val="none"/>
              </w:rPr>
              <w:t>生物除臭剂，周围加强绿化，</w:t>
            </w:r>
            <w:r>
              <w:rPr>
                <w:rFonts w:hint="eastAsia"/>
                <w:color w:val="auto"/>
                <w:szCs w:val="21"/>
                <w:highlight w:val="none"/>
                <w:lang w:eastAsia="zh-CN"/>
              </w:rPr>
              <w:t>废水收集池</w:t>
            </w:r>
            <w:r>
              <w:rPr>
                <w:color w:val="auto"/>
                <w:szCs w:val="21"/>
                <w:highlight w:val="none"/>
              </w:rPr>
              <w:t>加盖板密闭</w:t>
            </w:r>
            <w:r>
              <w:rPr>
                <w:rFonts w:hint="eastAsia"/>
                <w:color w:val="auto"/>
                <w:szCs w:val="21"/>
                <w:highlight w:val="none"/>
                <w:lang w:eastAsia="zh-CN"/>
              </w:rPr>
              <w:t>等措施</w:t>
            </w:r>
            <w:r>
              <w:rPr>
                <w:rFonts w:hint="eastAsia"/>
                <w:color w:val="auto"/>
                <w:szCs w:val="21"/>
                <w:highlight w:val="none"/>
              </w:rPr>
              <w:t>，鸡舍采取</w:t>
            </w:r>
            <w:r>
              <w:rPr>
                <w:color w:val="auto"/>
                <w:kern w:val="0"/>
                <w:szCs w:val="21"/>
                <w:highlight w:val="none"/>
              </w:rPr>
              <w:t>干清粪、喷洒除臭剂</w:t>
            </w:r>
            <w:r>
              <w:rPr>
                <w:rFonts w:hint="eastAsia"/>
                <w:color w:val="auto"/>
                <w:kern w:val="0"/>
                <w:szCs w:val="21"/>
                <w:highlight w:val="none"/>
              </w:rPr>
              <w:t>等措施，可确保项目恶臭污染物达标排放</w:t>
            </w:r>
            <w:r>
              <w:rPr>
                <w:rFonts w:hint="eastAsia"/>
                <w:color w:val="auto"/>
                <w:kern w:val="0"/>
                <w:szCs w:val="21"/>
                <w:highlight w:val="none"/>
                <w:lang w:eastAsia="zh-CN"/>
              </w:rPr>
              <w:t>。</w:t>
            </w:r>
          </w:p>
        </w:tc>
        <w:tc>
          <w:tcPr>
            <w:tcW w:w="763" w:type="dxa"/>
            <w:vAlign w:val="center"/>
          </w:tcPr>
          <w:p w14:paraId="7B0C7085">
            <w:pPr>
              <w:jc w:val="center"/>
              <w:textAlignment w:val="baseline"/>
              <w:rPr>
                <w:color w:val="auto"/>
                <w:kern w:val="0"/>
                <w:szCs w:val="21"/>
                <w:highlight w:val="none"/>
              </w:rPr>
            </w:pPr>
            <w:r>
              <w:rPr>
                <w:color w:val="auto"/>
                <w:kern w:val="0"/>
                <w:szCs w:val="21"/>
                <w:highlight w:val="none"/>
              </w:rPr>
              <w:t>符合</w:t>
            </w:r>
          </w:p>
        </w:tc>
      </w:tr>
    </w:tbl>
    <w:p w14:paraId="5B62659D">
      <w:pPr>
        <w:numPr>
          <w:ilvl w:val="0"/>
          <w:numId w:val="0"/>
        </w:numPr>
        <w:adjustRightInd w:val="0"/>
        <w:spacing w:line="360" w:lineRule="auto"/>
        <w:ind w:firstLine="482" w:firstLineChars="200"/>
        <w:rPr>
          <w:rFonts w:hint="eastAsia"/>
          <w:b/>
          <w:bCs/>
          <w:color w:val="auto"/>
          <w:sz w:val="24"/>
          <w:highlight w:val="none"/>
        </w:rPr>
      </w:pPr>
      <w:r>
        <w:rPr>
          <w:rFonts w:hint="eastAsia"/>
          <w:b/>
          <w:bCs/>
          <w:color w:val="auto"/>
          <w:sz w:val="24"/>
          <w:highlight w:val="none"/>
          <w:lang w:eastAsia="zh-CN"/>
        </w:rPr>
        <w:t>（七）</w:t>
      </w:r>
      <w:r>
        <w:rPr>
          <w:rFonts w:hint="eastAsia"/>
          <w:b/>
          <w:bCs/>
          <w:color w:val="auto"/>
          <w:sz w:val="24"/>
          <w:highlight w:val="none"/>
        </w:rPr>
        <w:t>与《辽宁省生态环境厅关于进一步改进工作作风强化环评服务保障工作的通知》相符性</w:t>
      </w:r>
    </w:p>
    <w:p w14:paraId="60B148D7">
      <w:pPr>
        <w:ind w:firstLine="413" w:firstLineChars="196"/>
        <w:jc w:val="center"/>
        <w:textAlignment w:val="baseline"/>
        <w:rPr>
          <w:rFonts w:hint="eastAsia"/>
          <w:b w:val="0"/>
          <w:bCs w:val="0"/>
          <w:color w:val="auto"/>
          <w:sz w:val="24"/>
          <w:highlight w:val="none"/>
        </w:rPr>
      </w:pPr>
      <w:r>
        <w:rPr>
          <w:b/>
          <w:color w:val="auto"/>
          <w:kern w:val="0"/>
          <w:szCs w:val="21"/>
          <w:highlight w:val="none"/>
        </w:rPr>
        <w:t>表1</w:t>
      </w:r>
      <w:r>
        <w:rPr>
          <w:rFonts w:hint="eastAsia"/>
          <w:b/>
          <w:color w:val="auto"/>
          <w:kern w:val="0"/>
          <w:szCs w:val="21"/>
          <w:highlight w:val="none"/>
          <w:lang w:val="en-US" w:eastAsia="zh-CN"/>
        </w:rPr>
        <w:t>.4</w:t>
      </w:r>
      <w:r>
        <w:rPr>
          <w:b/>
          <w:color w:val="auto"/>
          <w:kern w:val="0"/>
          <w:szCs w:val="21"/>
          <w:highlight w:val="none"/>
        </w:rPr>
        <w:t>-</w:t>
      </w:r>
      <w:r>
        <w:rPr>
          <w:rFonts w:hint="eastAsia"/>
          <w:b/>
          <w:color w:val="auto"/>
          <w:kern w:val="0"/>
          <w:szCs w:val="21"/>
          <w:highlight w:val="none"/>
          <w:lang w:val="en-US" w:eastAsia="zh-CN"/>
        </w:rPr>
        <w:t>5</w:t>
      </w:r>
      <w:r>
        <w:rPr>
          <w:b/>
          <w:color w:val="auto"/>
          <w:kern w:val="0"/>
          <w:szCs w:val="21"/>
          <w:highlight w:val="none"/>
        </w:rPr>
        <w:t xml:space="preserve">    与相关管理要求相符性分析一览表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1"/>
        <w:gridCol w:w="4515"/>
        <w:gridCol w:w="2499"/>
        <w:gridCol w:w="763"/>
      </w:tblGrid>
      <w:tr w14:paraId="6DB895B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5C068944">
            <w:pPr>
              <w:jc w:val="center"/>
              <w:textAlignment w:val="baseline"/>
              <w:rPr>
                <w:color w:val="auto"/>
                <w:kern w:val="0"/>
                <w:sz w:val="21"/>
                <w:szCs w:val="21"/>
                <w:highlight w:val="none"/>
              </w:rPr>
            </w:pPr>
            <w:r>
              <w:rPr>
                <w:color w:val="auto"/>
                <w:kern w:val="0"/>
                <w:sz w:val="21"/>
                <w:szCs w:val="21"/>
                <w:highlight w:val="none"/>
              </w:rPr>
              <w:t>序号</w:t>
            </w:r>
          </w:p>
        </w:tc>
        <w:tc>
          <w:tcPr>
            <w:tcW w:w="4515" w:type="dxa"/>
            <w:vAlign w:val="center"/>
          </w:tcPr>
          <w:p w14:paraId="1C2B31A1">
            <w:pPr>
              <w:ind w:left="-107" w:leftChars="-51" w:right="-107" w:rightChars="-51"/>
              <w:jc w:val="center"/>
              <w:rPr>
                <w:color w:val="auto"/>
                <w:kern w:val="0"/>
                <w:sz w:val="21"/>
                <w:szCs w:val="21"/>
                <w:highlight w:val="none"/>
              </w:rPr>
            </w:pPr>
            <w:r>
              <w:rPr>
                <w:color w:val="auto"/>
                <w:kern w:val="0"/>
                <w:sz w:val="21"/>
                <w:szCs w:val="21"/>
                <w:highlight w:val="none"/>
              </w:rPr>
              <w:t>管理要求</w:t>
            </w:r>
          </w:p>
        </w:tc>
        <w:tc>
          <w:tcPr>
            <w:tcW w:w="2499" w:type="dxa"/>
            <w:vAlign w:val="center"/>
          </w:tcPr>
          <w:p w14:paraId="66CB7B28">
            <w:pPr>
              <w:ind w:left="-107" w:leftChars="-51" w:right="-107" w:rightChars="-51"/>
              <w:jc w:val="center"/>
              <w:rPr>
                <w:color w:val="auto"/>
                <w:kern w:val="0"/>
                <w:sz w:val="21"/>
                <w:szCs w:val="21"/>
                <w:highlight w:val="none"/>
              </w:rPr>
            </w:pPr>
            <w:r>
              <w:rPr>
                <w:color w:val="auto"/>
                <w:kern w:val="0"/>
                <w:sz w:val="21"/>
                <w:szCs w:val="21"/>
                <w:highlight w:val="none"/>
              </w:rPr>
              <w:t>符合性分析</w:t>
            </w:r>
          </w:p>
        </w:tc>
        <w:tc>
          <w:tcPr>
            <w:tcW w:w="763" w:type="dxa"/>
            <w:vAlign w:val="center"/>
          </w:tcPr>
          <w:p w14:paraId="38C97E4B">
            <w:pPr>
              <w:jc w:val="center"/>
              <w:textAlignment w:val="baseline"/>
              <w:rPr>
                <w:color w:val="auto"/>
                <w:kern w:val="0"/>
                <w:sz w:val="21"/>
                <w:szCs w:val="21"/>
                <w:highlight w:val="none"/>
              </w:rPr>
            </w:pPr>
            <w:r>
              <w:rPr>
                <w:color w:val="auto"/>
                <w:kern w:val="0"/>
                <w:sz w:val="21"/>
                <w:szCs w:val="21"/>
                <w:highlight w:val="none"/>
              </w:rPr>
              <w:t>结论</w:t>
            </w:r>
          </w:p>
        </w:tc>
      </w:tr>
      <w:tr w14:paraId="3988307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37D06D9A">
            <w:pPr>
              <w:jc w:val="center"/>
              <w:textAlignment w:val="baseline"/>
              <w:rPr>
                <w:color w:val="auto"/>
                <w:kern w:val="0"/>
                <w:sz w:val="21"/>
                <w:szCs w:val="21"/>
                <w:highlight w:val="none"/>
              </w:rPr>
            </w:pPr>
            <w:r>
              <w:rPr>
                <w:color w:val="auto"/>
                <w:kern w:val="0"/>
                <w:sz w:val="21"/>
                <w:szCs w:val="21"/>
                <w:highlight w:val="none"/>
              </w:rPr>
              <w:t>1</w:t>
            </w:r>
          </w:p>
        </w:tc>
        <w:tc>
          <w:tcPr>
            <w:tcW w:w="4515" w:type="dxa"/>
            <w:vAlign w:val="center"/>
          </w:tcPr>
          <w:p w14:paraId="213BF0A1">
            <w:pPr>
              <w:widowControl/>
              <w:jc w:val="center"/>
              <w:textAlignment w:val="baseline"/>
              <w:rPr>
                <w:color w:val="auto"/>
                <w:kern w:val="0"/>
                <w:sz w:val="21"/>
                <w:szCs w:val="21"/>
                <w:highlight w:val="none"/>
              </w:rPr>
            </w:pPr>
            <w:r>
              <w:rPr>
                <w:rFonts w:hint="eastAsia"/>
                <w:b w:val="0"/>
                <w:bCs w:val="0"/>
                <w:color w:val="auto"/>
                <w:sz w:val="21"/>
                <w:szCs w:val="21"/>
                <w:highlight w:val="none"/>
              </w:rPr>
              <w:t>守好生态环境底线。要始终保持加强生态环境保护的战略定力，牢固树立以高质量项目促进高质量发展的鲜明导向，发挥环评在源头预防体系中的主体制度作用，将环保法律法规和深入打好污染防治攻坚战、“三线一单”生态环境分区管控等要求贯穿环评全过程，从源头上严防环境污染和生态破坏，推动全省生态环境质量持续改善。要发扬斗争精神，对不符合法律法规要求的项目坚决说不，坚决顶住压力、守住底线、不碰红线。</w:t>
            </w:r>
          </w:p>
        </w:tc>
        <w:tc>
          <w:tcPr>
            <w:tcW w:w="2499" w:type="dxa"/>
            <w:vAlign w:val="center"/>
          </w:tcPr>
          <w:p w14:paraId="16902587">
            <w:pPr>
              <w:widowControl/>
              <w:jc w:val="center"/>
              <w:textAlignment w:val="baseline"/>
              <w:rPr>
                <w:rFonts w:hint="eastAsia" w:eastAsia="宋体"/>
                <w:color w:val="auto"/>
                <w:kern w:val="0"/>
                <w:sz w:val="21"/>
                <w:szCs w:val="21"/>
                <w:highlight w:val="none"/>
                <w:lang w:eastAsia="zh-CN"/>
              </w:rPr>
            </w:pPr>
            <w:r>
              <w:rPr>
                <w:rFonts w:hint="eastAsia"/>
                <w:b w:val="0"/>
                <w:bCs w:val="0"/>
                <w:color w:val="auto"/>
                <w:sz w:val="21"/>
                <w:szCs w:val="21"/>
                <w:highlight w:val="none"/>
              </w:rPr>
              <w:t>本项目符合环保法律法规、符合深入打好污染防治攻坚战、符合“三线一单”生态环境分区管控等要求。</w:t>
            </w:r>
          </w:p>
        </w:tc>
        <w:tc>
          <w:tcPr>
            <w:tcW w:w="763" w:type="dxa"/>
            <w:vAlign w:val="center"/>
          </w:tcPr>
          <w:p w14:paraId="436BA004">
            <w:pPr>
              <w:jc w:val="center"/>
              <w:textAlignment w:val="baseline"/>
              <w:rPr>
                <w:color w:val="auto"/>
                <w:kern w:val="0"/>
                <w:sz w:val="21"/>
                <w:szCs w:val="21"/>
                <w:highlight w:val="none"/>
              </w:rPr>
            </w:pPr>
            <w:r>
              <w:rPr>
                <w:color w:val="auto"/>
                <w:kern w:val="0"/>
                <w:sz w:val="21"/>
                <w:szCs w:val="21"/>
                <w:highlight w:val="none"/>
              </w:rPr>
              <w:t>符合</w:t>
            </w:r>
          </w:p>
        </w:tc>
      </w:tr>
      <w:tr w14:paraId="6BD79BD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041CD8C0">
            <w:pPr>
              <w:jc w:val="center"/>
              <w:textAlignment w:val="baseline"/>
              <w:rPr>
                <w:color w:val="auto"/>
                <w:kern w:val="0"/>
                <w:sz w:val="21"/>
                <w:szCs w:val="21"/>
                <w:highlight w:val="none"/>
              </w:rPr>
            </w:pPr>
            <w:r>
              <w:rPr>
                <w:color w:val="auto"/>
                <w:kern w:val="0"/>
                <w:sz w:val="21"/>
                <w:szCs w:val="21"/>
                <w:highlight w:val="none"/>
              </w:rPr>
              <w:t>2</w:t>
            </w:r>
          </w:p>
        </w:tc>
        <w:tc>
          <w:tcPr>
            <w:tcW w:w="4515" w:type="dxa"/>
            <w:vAlign w:val="center"/>
          </w:tcPr>
          <w:p w14:paraId="007D9C51">
            <w:pPr>
              <w:widowControl/>
              <w:jc w:val="center"/>
              <w:textAlignment w:val="baseline"/>
              <w:rPr>
                <w:color w:val="auto"/>
                <w:kern w:val="0"/>
                <w:sz w:val="21"/>
                <w:szCs w:val="21"/>
                <w:highlight w:val="none"/>
              </w:rPr>
            </w:pPr>
            <w:r>
              <w:rPr>
                <w:rFonts w:hint="eastAsia"/>
                <w:b w:val="0"/>
                <w:bCs w:val="0"/>
                <w:color w:val="auto"/>
                <w:sz w:val="21"/>
                <w:szCs w:val="21"/>
                <w:highlight w:val="none"/>
              </w:rPr>
              <w:t>充分发挥“三线一单”在优化区域发展格局、改善生态环境质量中的基础性作用。加强“两高”项目生态环境源头管控，新、改、扩建“两高”项目要严格落实主要污染物区域削减、产能置换、煤炭消费减量替代等措施。严格落实防沙治沙相关要求，沈阳、大连、鞍山、锦州、阜新、盘锦、铁岭、朝阳、葫芦岛等市19个沙化土地主要分布县（市、区）应在环评文件中落实防沙治沙相关内容。</w:t>
            </w:r>
          </w:p>
        </w:tc>
        <w:tc>
          <w:tcPr>
            <w:tcW w:w="2499" w:type="dxa"/>
            <w:vAlign w:val="center"/>
          </w:tcPr>
          <w:p w14:paraId="42FE7FCC">
            <w:pPr>
              <w:rPr>
                <w:color w:val="auto"/>
                <w:kern w:val="0"/>
                <w:sz w:val="21"/>
                <w:szCs w:val="21"/>
                <w:highlight w:val="none"/>
              </w:rPr>
            </w:pPr>
            <w:r>
              <w:rPr>
                <w:rFonts w:hint="eastAsia"/>
                <w:b w:val="0"/>
                <w:bCs w:val="0"/>
                <w:color w:val="auto"/>
                <w:sz w:val="21"/>
                <w:szCs w:val="21"/>
                <w:highlight w:val="none"/>
              </w:rPr>
              <w:t>项目符合“三线一单”生态环境分区管控等要求</w:t>
            </w:r>
            <w:r>
              <w:rPr>
                <w:rFonts w:hint="eastAsia"/>
                <w:b w:val="0"/>
                <w:bCs w:val="0"/>
                <w:color w:val="auto"/>
                <w:sz w:val="21"/>
                <w:szCs w:val="21"/>
                <w:highlight w:val="none"/>
                <w:lang w:eastAsia="zh-CN"/>
              </w:rPr>
              <w:t>，</w:t>
            </w:r>
            <w:r>
              <w:rPr>
                <w:rFonts w:hint="eastAsia"/>
                <w:b w:val="0"/>
                <w:bCs w:val="0"/>
                <w:color w:val="auto"/>
                <w:sz w:val="21"/>
                <w:szCs w:val="21"/>
                <w:highlight w:val="none"/>
              </w:rPr>
              <w:t>项目属于畜牧业，不是“两高”项目。</w:t>
            </w:r>
          </w:p>
        </w:tc>
        <w:tc>
          <w:tcPr>
            <w:tcW w:w="763" w:type="dxa"/>
            <w:vAlign w:val="center"/>
          </w:tcPr>
          <w:p w14:paraId="3778A7BE">
            <w:pPr>
              <w:jc w:val="center"/>
              <w:textAlignment w:val="baseline"/>
              <w:rPr>
                <w:color w:val="auto"/>
                <w:kern w:val="0"/>
                <w:sz w:val="21"/>
                <w:szCs w:val="21"/>
                <w:highlight w:val="none"/>
              </w:rPr>
            </w:pPr>
            <w:r>
              <w:rPr>
                <w:color w:val="auto"/>
                <w:kern w:val="0"/>
                <w:sz w:val="21"/>
                <w:szCs w:val="21"/>
                <w:highlight w:val="none"/>
              </w:rPr>
              <w:t>符合</w:t>
            </w:r>
          </w:p>
        </w:tc>
      </w:tr>
    </w:tbl>
    <w:p w14:paraId="4BC46576">
      <w:pPr>
        <w:adjustRightInd w:val="0"/>
        <w:spacing w:line="360" w:lineRule="auto"/>
        <w:ind w:firstLine="482" w:firstLineChars="200"/>
        <w:rPr>
          <w:rFonts w:hint="eastAsia"/>
          <w:b/>
          <w:bCs/>
          <w:color w:val="auto"/>
          <w:sz w:val="24"/>
          <w:highlight w:val="none"/>
        </w:rPr>
      </w:pPr>
      <w:r>
        <w:rPr>
          <w:rFonts w:hint="eastAsia"/>
          <w:b/>
          <w:bCs/>
          <w:color w:val="auto"/>
          <w:sz w:val="24"/>
          <w:highlight w:val="none"/>
          <w:lang w:eastAsia="zh-CN"/>
        </w:rPr>
        <w:t>（八）</w:t>
      </w:r>
      <w:r>
        <w:rPr>
          <w:rFonts w:hint="eastAsia"/>
          <w:b/>
          <w:bCs/>
          <w:color w:val="auto"/>
          <w:sz w:val="24"/>
          <w:highlight w:val="none"/>
        </w:rPr>
        <w:t>与国家林业局关于做好沙区开发建设项目环评中防沙治沙内容评价工作的意见相符性</w:t>
      </w:r>
    </w:p>
    <w:p w14:paraId="05D7B940">
      <w:pPr>
        <w:ind w:firstLine="413" w:firstLineChars="196"/>
        <w:jc w:val="center"/>
        <w:textAlignment w:val="baseline"/>
        <w:rPr>
          <w:rFonts w:hint="eastAsia"/>
          <w:b w:val="0"/>
          <w:bCs w:val="0"/>
          <w:color w:val="auto"/>
          <w:sz w:val="24"/>
          <w:highlight w:val="none"/>
        </w:rPr>
      </w:pPr>
      <w:r>
        <w:rPr>
          <w:b/>
          <w:color w:val="auto"/>
          <w:kern w:val="0"/>
          <w:szCs w:val="21"/>
          <w:highlight w:val="none"/>
        </w:rPr>
        <w:t>表1</w:t>
      </w:r>
      <w:r>
        <w:rPr>
          <w:rFonts w:hint="eastAsia"/>
          <w:b/>
          <w:color w:val="auto"/>
          <w:kern w:val="0"/>
          <w:szCs w:val="21"/>
          <w:highlight w:val="none"/>
          <w:lang w:val="en-US" w:eastAsia="zh-CN"/>
        </w:rPr>
        <w:t>.4</w:t>
      </w:r>
      <w:r>
        <w:rPr>
          <w:b/>
          <w:color w:val="auto"/>
          <w:kern w:val="0"/>
          <w:szCs w:val="21"/>
          <w:highlight w:val="none"/>
        </w:rPr>
        <w:t>-</w:t>
      </w:r>
      <w:r>
        <w:rPr>
          <w:rFonts w:hint="eastAsia"/>
          <w:b/>
          <w:color w:val="auto"/>
          <w:kern w:val="0"/>
          <w:szCs w:val="21"/>
          <w:highlight w:val="none"/>
          <w:lang w:val="en-US" w:eastAsia="zh-CN"/>
        </w:rPr>
        <w:t>6</w:t>
      </w:r>
      <w:r>
        <w:rPr>
          <w:b/>
          <w:color w:val="auto"/>
          <w:kern w:val="0"/>
          <w:szCs w:val="21"/>
          <w:highlight w:val="none"/>
        </w:rPr>
        <w:t xml:space="preserve">    与相关管理要求相符性分析一览表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1"/>
        <w:gridCol w:w="4515"/>
        <w:gridCol w:w="2499"/>
        <w:gridCol w:w="763"/>
      </w:tblGrid>
      <w:tr w14:paraId="5E853A2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6D3EB6C0">
            <w:pPr>
              <w:jc w:val="center"/>
              <w:textAlignment w:val="baseline"/>
              <w:rPr>
                <w:color w:val="auto"/>
                <w:kern w:val="0"/>
                <w:sz w:val="21"/>
                <w:szCs w:val="21"/>
                <w:highlight w:val="none"/>
              </w:rPr>
            </w:pPr>
            <w:r>
              <w:rPr>
                <w:color w:val="auto"/>
                <w:kern w:val="0"/>
                <w:sz w:val="21"/>
                <w:szCs w:val="21"/>
                <w:highlight w:val="none"/>
              </w:rPr>
              <w:t>序号</w:t>
            </w:r>
          </w:p>
        </w:tc>
        <w:tc>
          <w:tcPr>
            <w:tcW w:w="4515" w:type="dxa"/>
            <w:vAlign w:val="center"/>
          </w:tcPr>
          <w:p w14:paraId="62E38D2C">
            <w:pPr>
              <w:ind w:left="-107" w:leftChars="-51" w:right="-107" w:rightChars="-51"/>
              <w:jc w:val="center"/>
              <w:rPr>
                <w:color w:val="auto"/>
                <w:kern w:val="0"/>
                <w:sz w:val="21"/>
                <w:szCs w:val="21"/>
                <w:highlight w:val="none"/>
              </w:rPr>
            </w:pPr>
            <w:r>
              <w:rPr>
                <w:color w:val="auto"/>
                <w:kern w:val="0"/>
                <w:sz w:val="21"/>
                <w:szCs w:val="21"/>
                <w:highlight w:val="none"/>
              </w:rPr>
              <w:t>管理要求</w:t>
            </w:r>
          </w:p>
        </w:tc>
        <w:tc>
          <w:tcPr>
            <w:tcW w:w="2499" w:type="dxa"/>
            <w:vAlign w:val="center"/>
          </w:tcPr>
          <w:p w14:paraId="26C12B63">
            <w:pPr>
              <w:ind w:left="-107" w:leftChars="-51" w:right="-107" w:rightChars="-51"/>
              <w:jc w:val="center"/>
              <w:rPr>
                <w:color w:val="auto"/>
                <w:kern w:val="0"/>
                <w:sz w:val="21"/>
                <w:szCs w:val="21"/>
                <w:highlight w:val="none"/>
              </w:rPr>
            </w:pPr>
            <w:r>
              <w:rPr>
                <w:color w:val="auto"/>
                <w:kern w:val="0"/>
                <w:sz w:val="21"/>
                <w:szCs w:val="21"/>
                <w:highlight w:val="none"/>
              </w:rPr>
              <w:t>符合性分析</w:t>
            </w:r>
          </w:p>
        </w:tc>
        <w:tc>
          <w:tcPr>
            <w:tcW w:w="763" w:type="dxa"/>
            <w:vAlign w:val="center"/>
          </w:tcPr>
          <w:p w14:paraId="2FFA55F3">
            <w:pPr>
              <w:jc w:val="center"/>
              <w:textAlignment w:val="baseline"/>
              <w:rPr>
                <w:color w:val="auto"/>
                <w:kern w:val="0"/>
                <w:sz w:val="21"/>
                <w:szCs w:val="21"/>
                <w:highlight w:val="none"/>
              </w:rPr>
            </w:pPr>
            <w:r>
              <w:rPr>
                <w:color w:val="auto"/>
                <w:kern w:val="0"/>
                <w:sz w:val="21"/>
                <w:szCs w:val="21"/>
                <w:highlight w:val="none"/>
              </w:rPr>
              <w:t>结论</w:t>
            </w:r>
          </w:p>
        </w:tc>
      </w:tr>
      <w:tr w14:paraId="372D03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6892E379">
            <w:pPr>
              <w:jc w:val="center"/>
              <w:textAlignment w:val="baseline"/>
              <w:rPr>
                <w:color w:val="auto"/>
                <w:kern w:val="0"/>
                <w:sz w:val="21"/>
                <w:szCs w:val="21"/>
                <w:highlight w:val="none"/>
              </w:rPr>
            </w:pPr>
            <w:r>
              <w:rPr>
                <w:color w:val="auto"/>
                <w:kern w:val="0"/>
                <w:sz w:val="21"/>
                <w:szCs w:val="21"/>
                <w:highlight w:val="none"/>
              </w:rPr>
              <w:t>1</w:t>
            </w:r>
          </w:p>
        </w:tc>
        <w:tc>
          <w:tcPr>
            <w:tcW w:w="4515" w:type="dxa"/>
            <w:vAlign w:val="center"/>
          </w:tcPr>
          <w:p w14:paraId="4882CB54">
            <w:pPr>
              <w:widowControl/>
              <w:jc w:val="center"/>
              <w:textAlignment w:val="baseline"/>
              <w:rPr>
                <w:color w:val="auto"/>
                <w:kern w:val="0"/>
                <w:sz w:val="21"/>
                <w:szCs w:val="21"/>
                <w:highlight w:val="none"/>
              </w:rPr>
            </w:pPr>
            <w:r>
              <w:rPr>
                <w:rFonts w:hint="eastAsia"/>
                <w:b w:val="0"/>
                <w:bCs w:val="0"/>
                <w:color w:val="auto"/>
                <w:sz w:val="21"/>
                <w:szCs w:val="21"/>
                <w:highlight w:val="none"/>
              </w:rPr>
              <w:t>沙区开发建设项目应尽量减少占用已经治理好的沙化土地。需要占用固定沙地、半固定沙地、流动沙地，要根据各地实际情况，搞好生态保护、治沙等方面的科学论证，做好沙区开发建设项目环评中防沙治沙内容的评价工作。</w:t>
            </w:r>
          </w:p>
        </w:tc>
        <w:tc>
          <w:tcPr>
            <w:tcW w:w="2499" w:type="dxa"/>
            <w:vAlign w:val="center"/>
          </w:tcPr>
          <w:p w14:paraId="3A839C99">
            <w:pPr>
              <w:widowControl/>
              <w:jc w:val="center"/>
              <w:textAlignment w:val="baseline"/>
              <w:rPr>
                <w:rFonts w:hint="eastAsia" w:eastAsia="宋体"/>
                <w:color w:val="auto"/>
                <w:kern w:val="0"/>
                <w:sz w:val="21"/>
                <w:szCs w:val="21"/>
                <w:highlight w:val="none"/>
                <w:lang w:eastAsia="zh-CN"/>
              </w:rPr>
            </w:pPr>
            <w:r>
              <w:rPr>
                <w:rFonts w:hint="eastAsia"/>
                <w:b w:val="0"/>
                <w:bCs w:val="0"/>
                <w:color w:val="auto"/>
                <w:sz w:val="21"/>
                <w:szCs w:val="21"/>
                <w:highlight w:val="none"/>
              </w:rPr>
              <w:t>本项目符合用地规划，不占用已治理好的沙化土地，而且项目建成后，会对周边进行绿化，能直接促进治沙工作的开展。</w:t>
            </w:r>
          </w:p>
        </w:tc>
        <w:tc>
          <w:tcPr>
            <w:tcW w:w="763" w:type="dxa"/>
            <w:vAlign w:val="center"/>
          </w:tcPr>
          <w:p w14:paraId="3E67D9B6">
            <w:pPr>
              <w:jc w:val="center"/>
              <w:textAlignment w:val="baseline"/>
              <w:rPr>
                <w:color w:val="auto"/>
                <w:kern w:val="0"/>
                <w:sz w:val="21"/>
                <w:szCs w:val="21"/>
                <w:highlight w:val="none"/>
              </w:rPr>
            </w:pPr>
            <w:r>
              <w:rPr>
                <w:color w:val="auto"/>
                <w:kern w:val="0"/>
                <w:sz w:val="21"/>
                <w:szCs w:val="21"/>
                <w:highlight w:val="none"/>
              </w:rPr>
              <w:t>符合</w:t>
            </w:r>
          </w:p>
        </w:tc>
      </w:tr>
      <w:tr w14:paraId="58FCEE4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763E1DC1">
            <w:pPr>
              <w:jc w:val="center"/>
              <w:textAlignment w:val="baseline"/>
              <w:rPr>
                <w:color w:val="auto"/>
                <w:kern w:val="0"/>
                <w:sz w:val="21"/>
                <w:szCs w:val="21"/>
                <w:highlight w:val="none"/>
              </w:rPr>
            </w:pPr>
            <w:r>
              <w:rPr>
                <w:color w:val="auto"/>
                <w:kern w:val="0"/>
                <w:sz w:val="21"/>
                <w:szCs w:val="21"/>
                <w:highlight w:val="none"/>
              </w:rPr>
              <w:t>2</w:t>
            </w:r>
          </w:p>
        </w:tc>
        <w:tc>
          <w:tcPr>
            <w:tcW w:w="4515" w:type="dxa"/>
            <w:vAlign w:val="center"/>
          </w:tcPr>
          <w:p w14:paraId="604296E6">
            <w:pPr>
              <w:widowControl/>
              <w:jc w:val="center"/>
              <w:textAlignment w:val="baseline"/>
              <w:rPr>
                <w:color w:val="auto"/>
                <w:kern w:val="0"/>
                <w:sz w:val="21"/>
                <w:szCs w:val="21"/>
                <w:highlight w:val="none"/>
              </w:rPr>
            </w:pPr>
            <w:r>
              <w:rPr>
                <w:rFonts w:hint="eastAsia"/>
                <w:b w:val="0"/>
                <w:bCs w:val="0"/>
                <w:color w:val="auto"/>
                <w:sz w:val="21"/>
                <w:szCs w:val="21"/>
                <w:highlight w:val="none"/>
              </w:rPr>
              <w:t>沙区开发建设项目应尽量减少占用沙区植被地。确需占用沙区植被地的建设项目，要严格按程序报批，并做好沙区开发建设项目环评中防沙治沙内容评价报告的编制工作。</w:t>
            </w:r>
          </w:p>
        </w:tc>
        <w:tc>
          <w:tcPr>
            <w:tcW w:w="2499" w:type="dxa"/>
            <w:vAlign w:val="center"/>
          </w:tcPr>
          <w:p w14:paraId="6B6B5C0F">
            <w:pPr>
              <w:jc w:val="center"/>
              <w:rPr>
                <w:color w:val="auto"/>
                <w:kern w:val="0"/>
                <w:sz w:val="21"/>
                <w:szCs w:val="21"/>
                <w:highlight w:val="none"/>
              </w:rPr>
            </w:pPr>
            <w:r>
              <w:rPr>
                <w:rFonts w:hint="eastAsia"/>
                <w:b w:val="0"/>
                <w:bCs w:val="0"/>
                <w:color w:val="auto"/>
                <w:sz w:val="21"/>
                <w:szCs w:val="21"/>
                <w:highlight w:val="none"/>
              </w:rPr>
              <w:t>本项目符合用地规划，不占用沙区植被地。</w:t>
            </w:r>
          </w:p>
        </w:tc>
        <w:tc>
          <w:tcPr>
            <w:tcW w:w="763" w:type="dxa"/>
            <w:vAlign w:val="center"/>
          </w:tcPr>
          <w:p w14:paraId="59B25F1B">
            <w:pPr>
              <w:jc w:val="center"/>
              <w:textAlignment w:val="baseline"/>
              <w:rPr>
                <w:color w:val="auto"/>
                <w:kern w:val="0"/>
                <w:sz w:val="21"/>
                <w:szCs w:val="21"/>
                <w:highlight w:val="none"/>
              </w:rPr>
            </w:pPr>
            <w:r>
              <w:rPr>
                <w:color w:val="auto"/>
                <w:kern w:val="0"/>
                <w:sz w:val="21"/>
                <w:szCs w:val="21"/>
                <w:highlight w:val="none"/>
              </w:rPr>
              <w:t>符合</w:t>
            </w:r>
          </w:p>
        </w:tc>
      </w:tr>
      <w:tr w14:paraId="6DABF2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72796355">
            <w:pPr>
              <w:jc w:val="center"/>
              <w:textAlignment w:val="baseline"/>
              <w:rPr>
                <w:rFonts w:hint="eastAsia" w:eastAsia="宋体"/>
                <w:color w:val="auto"/>
                <w:kern w:val="0"/>
                <w:sz w:val="21"/>
                <w:szCs w:val="21"/>
                <w:highlight w:val="none"/>
                <w:lang w:val="en-US" w:eastAsia="zh-CN"/>
              </w:rPr>
            </w:pPr>
            <w:r>
              <w:rPr>
                <w:rFonts w:hint="eastAsia"/>
                <w:color w:val="auto"/>
                <w:kern w:val="0"/>
                <w:sz w:val="21"/>
                <w:szCs w:val="21"/>
                <w:highlight w:val="none"/>
                <w:lang w:val="en-US" w:eastAsia="zh-CN"/>
              </w:rPr>
              <w:t>3</w:t>
            </w:r>
          </w:p>
        </w:tc>
        <w:tc>
          <w:tcPr>
            <w:tcW w:w="4515" w:type="dxa"/>
            <w:vAlign w:val="center"/>
          </w:tcPr>
          <w:p w14:paraId="3E37E5CD">
            <w:pPr>
              <w:widowControl/>
              <w:jc w:val="center"/>
              <w:textAlignment w:val="baseline"/>
              <w:rPr>
                <w:rFonts w:hint="eastAsia"/>
                <w:b w:val="0"/>
                <w:bCs w:val="0"/>
                <w:color w:val="auto"/>
                <w:sz w:val="21"/>
                <w:szCs w:val="21"/>
                <w:highlight w:val="none"/>
              </w:rPr>
            </w:pPr>
            <w:r>
              <w:rPr>
                <w:rFonts w:hint="eastAsia"/>
                <w:b w:val="0"/>
                <w:bCs w:val="0"/>
                <w:color w:val="auto"/>
                <w:sz w:val="21"/>
                <w:szCs w:val="21"/>
                <w:highlight w:val="none"/>
              </w:rPr>
              <w:t>要对项目所在区域的土地沙化现状及发展趋势进行评估。要分析区域内导致土地沙化的主导因素，研究开发建设项目对沙化土地扩展和沙尘天气变化的影响，确保开发建设项目符合国家防沙治沙的相关政策规定。</w:t>
            </w:r>
          </w:p>
        </w:tc>
        <w:tc>
          <w:tcPr>
            <w:tcW w:w="2499" w:type="dxa"/>
            <w:vAlign w:val="center"/>
          </w:tcPr>
          <w:p w14:paraId="419F841D">
            <w:pPr>
              <w:jc w:val="center"/>
              <w:rPr>
                <w:color w:val="auto"/>
                <w:kern w:val="0"/>
                <w:sz w:val="21"/>
                <w:szCs w:val="21"/>
                <w:highlight w:val="none"/>
              </w:rPr>
            </w:pPr>
            <w:r>
              <w:rPr>
                <w:rFonts w:hint="eastAsia"/>
                <w:b w:val="0"/>
                <w:bCs w:val="0"/>
                <w:color w:val="auto"/>
                <w:sz w:val="21"/>
                <w:szCs w:val="21"/>
                <w:highlight w:val="none"/>
              </w:rPr>
              <w:t>本项目选址所占地为农业设施用地</w:t>
            </w:r>
            <w:r>
              <w:rPr>
                <w:rFonts w:hint="eastAsia"/>
                <w:b w:val="0"/>
                <w:bCs w:val="0"/>
                <w:color w:val="auto"/>
                <w:sz w:val="21"/>
                <w:szCs w:val="21"/>
                <w:highlight w:val="none"/>
                <w:lang w:eastAsia="zh-CN"/>
              </w:rPr>
              <w:t>（用地手续正在办理中）</w:t>
            </w:r>
            <w:r>
              <w:rPr>
                <w:rFonts w:hint="eastAsia"/>
                <w:b w:val="0"/>
                <w:bCs w:val="0"/>
                <w:color w:val="auto"/>
                <w:sz w:val="21"/>
                <w:szCs w:val="21"/>
                <w:highlight w:val="none"/>
              </w:rPr>
              <w:t>，项目企业在项目周边进行了绿化建设，有效的减缓了土地沙化进程。北票市近年来环境空气质量一直处于达标区水平，项目对土壤沙化的影响较小。因此，项目符合国家林业局关于做好沙区开发建设项目环评中防沙治沙内容评价工作的意见相关要求。</w:t>
            </w:r>
          </w:p>
        </w:tc>
        <w:tc>
          <w:tcPr>
            <w:tcW w:w="763" w:type="dxa"/>
            <w:vAlign w:val="center"/>
          </w:tcPr>
          <w:p w14:paraId="3F7AFD87">
            <w:pPr>
              <w:jc w:val="center"/>
              <w:textAlignment w:val="baseline"/>
              <w:rPr>
                <w:color w:val="auto"/>
                <w:kern w:val="0"/>
                <w:sz w:val="21"/>
                <w:szCs w:val="21"/>
                <w:highlight w:val="none"/>
              </w:rPr>
            </w:pPr>
          </w:p>
        </w:tc>
      </w:tr>
    </w:tbl>
    <w:p w14:paraId="07C724CA">
      <w:pPr>
        <w:adjustRightInd w:val="0"/>
        <w:spacing w:line="360" w:lineRule="auto"/>
        <w:ind w:firstLine="482" w:firstLineChars="200"/>
        <w:rPr>
          <w:rFonts w:hint="eastAsia"/>
          <w:b/>
          <w:bCs/>
          <w:color w:val="auto"/>
          <w:sz w:val="24"/>
          <w:highlight w:val="none"/>
        </w:rPr>
      </w:pPr>
      <w:r>
        <w:rPr>
          <w:rFonts w:hint="eastAsia"/>
          <w:b/>
          <w:bCs/>
          <w:color w:val="auto"/>
          <w:sz w:val="24"/>
          <w:highlight w:val="none"/>
          <w:lang w:eastAsia="zh-CN"/>
        </w:rPr>
        <w:t>（九）</w:t>
      </w:r>
      <w:r>
        <w:rPr>
          <w:rFonts w:hint="eastAsia"/>
          <w:b/>
          <w:bCs/>
          <w:color w:val="auto"/>
          <w:sz w:val="24"/>
          <w:highlight w:val="none"/>
        </w:rPr>
        <w:t>与《辽宁省防沙治沙条例》相符性</w:t>
      </w:r>
    </w:p>
    <w:p w14:paraId="447E46A8">
      <w:pPr>
        <w:ind w:firstLine="413" w:firstLineChars="196"/>
        <w:jc w:val="center"/>
        <w:textAlignment w:val="baseline"/>
        <w:rPr>
          <w:rFonts w:hint="eastAsia"/>
          <w:b w:val="0"/>
          <w:bCs w:val="0"/>
          <w:color w:val="auto"/>
          <w:sz w:val="24"/>
          <w:highlight w:val="none"/>
        </w:rPr>
      </w:pPr>
      <w:r>
        <w:rPr>
          <w:b/>
          <w:color w:val="auto"/>
          <w:kern w:val="0"/>
          <w:szCs w:val="21"/>
          <w:highlight w:val="none"/>
        </w:rPr>
        <w:t>表1</w:t>
      </w:r>
      <w:r>
        <w:rPr>
          <w:rFonts w:hint="eastAsia"/>
          <w:b/>
          <w:color w:val="auto"/>
          <w:kern w:val="0"/>
          <w:szCs w:val="21"/>
          <w:highlight w:val="none"/>
          <w:lang w:val="en-US" w:eastAsia="zh-CN"/>
        </w:rPr>
        <w:t>.4</w:t>
      </w:r>
      <w:r>
        <w:rPr>
          <w:b/>
          <w:color w:val="auto"/>
          <w:kern w:val="0"/>
          <w:szCs w:val="21"/>
          <w:highlight w:val="none"/>
        </w:rPr>
        <w:t>-</w:t>
      </w:r>
      <w:r>
        <w:rPr>
          <w:rFonts w:hint="eastAsia"/>
          <w:b/>
          <w:color w:val="auto"/>
          <w:kern w:val="0"/>
          <w:szCs w:val="21"/>
          <w:highlight w:val="none"/>
          <w:lang w:val="en-US" w:eastAsia="zh-CN"/>
        </w:rPr>
        <w:t>7</w:t>
      </w:r>
      <w:r>
        <w:rPr>
          <w:b/>
          <w:color w:val="auto"/>
          <w:kern w:val="0"/>
          <w:szCs w:val="21"/>
          <w:highlight w:val="none"/>
        </w:rPr>
        <w:t xml:space="preserve">    与相关管理要求相符性分析一览表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1"/>
        <w:gridCol w:w="4515"/>
        <w:gridCol w:w="2499"/>
        <w:gridCol w:w="763"/>
      </w:tblGrid>
      <w:tr w14:paraId="40700B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7D75DBF1">
            <w:pPr>
              <w:spacing w:line="240" w:lineRule="auto"/>
              <w:jc w:val="center"/>
              <w:textAlignment w:val="baseline"/>
              <w:rPr>
                <w:color w:val="auto"/>
                <w:kern w:val="0"/>
                <w:sz w:val="21"/>
                <w:szCs w:val="21"/>
                <w:highlight w:val="none"/>
              </w:rPr>
            </w:pPr>
            <w:r>
              <w:rPr>
                <w:color w:val="auto"/>
                <w:kern w:val="0"/>
                <w:sz w:val="21"/>
                <w:szCs w:val="21"/>
                <w:highlight w:val="none"/>
              </w:rPr>
              <w:t>序号</w:t>
            </w:r>
          </w:p>
        </w:tc>
        <w:tc>
          <w:tcPr>
            <w:tcW w:w="4515" w:type="dxa"/>
            <w:vAlign w:val="center"/>
          </w:tcPr>
          <w:p w14:paraId="7FCCA11F">
            <w:pPr>
              <w:spacing w:line="240" w:lineRule="auto"/>
              <w:ind w:left="-107" w:leftChars="-51" w:right="-107" w:rightChars="-51"/>
              <w:jc w:val="center"/>
              <w:rPr>
                <w:color w:val="auto"/>
                <w:kern w:val="0"/>
                <w:sz w:val="21"/>
                <w:szCs w:val="21"/>
                <w:highlight w:val="none"/>
              </w:rPr>
            </w:pPr>
            <w:r>
              <w:rPr>
                <w:color w:val="auto"/>
                <w:kern w:val="0"/>
                <w:sz w:val="21"/>
                <w:szCs w:val="21"/>
                <w:highlight w:val="none"/>
              </w:rPr>
              <w:t>管理要求</w:t>
            </w:r>
          </w:p>
        </w:tc>
        <w:tc>
          <w:tcPr>
            <w:tcW w:w="2499" w:type="dxa"/>
            <w:vAlign w:val="center"/>
          </w:tcPr>
          <w:p w14:paraId="63006996">
            <w:pPr>
              <w:spacing w:line="240" w:lineRule="auto"/>
              <w:ind w:left="-107" w:leftChars="-51" w:right="-107" w:rightChars="-51"/>
              <w:jc w:val="center"/>
              <w:rPr>
                <w:color w:val="auto"/>
                <w:kern w:val="0"/>
                <w:sz w:val="21"/>
                <w:szCs w:val="21"/>
                <w:highlight w:val="none"/>
              </w:rPr>
            </w:pPr>
            <w:r>
              <w:rPr>
                <w:color w:val="auto"/>
                <w:kern w:val="0"/>
                <w:sz w:val="21"/>
                <w:szCs w:val="21"/>
                <w:highlight w:val="none"/>
              </w:rPr>
              <w:t>符合性分析</w:t>
            </w:r>
          </w:p>
        </w:tc>
        <w:tc>
          <w:tcPr>
            <w:tcW w:w="763" w:type="dxa"/>
            <w:vAlign w:val="center"/>
          </w:tcPr>
          <w:p w14:paraId="5B53B68B">
            <w:pPr>
              <w:spacing w:line="240" w:lineRule="auto"/>
              <w:jc w:val="center"/>
              <w:textAlignment w:val="baseline"/>
              <w:rPr>
                <w:color w:val="auto"/>
                <w:kern w:val="0"/>
                <w:sz w:val="21"/>
                <w:szCs w:val="21"/>
                <w:highlight w:val="none"/>
              </w:rPr>
            </w:pPr>
            <w:r>
              <w:rPr>
                <w:color w:val="auto"/>
                <w:kern w:val="0"/>
                <w:sz w:val="21"/>
                <w:szCs w:val="21"/>
                <w:highlight w:val="none"/>
              </w:rPr>
              <w:t>结论</w:t>
            </w:r>
          </w:p>
        </w:tc>
      </w:tr>
      <w:tr w14:paraId="045047B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0AC7834D">
            <w:pPr>
              <w:spacing w:line="240" w:lineRule="auto"/>
              <w:jc w:val="center"/>
              <w:textAlignment w:val="baseline"/>
              <w:rPr>
                <w:color w:val="auto"/>
                <w:kern w:val="0"/>
                <w:sz w:val="21"/>
                <w:szCs w:val="21"/>
                <w:highlight w:val="none"/>
              </w:rPr>
            </w:pPr>
            <w:r>
              <w:rPr>
                <w:color w:val="auto"/>
                <w:kern w:val="0"/>
                <w:sz w:val="21"/>
                <w:szCs w:val="21"/>
                <w:highlight w:val="none"/>
              </w:rPr>
              <w:t>1</w:t>
            </w:r>
          </w:p>
        </w:tc>
        <w:tc>
          <w:tcPr>
            <w:tcW w:w="4515" w:type="dxa"/>
            <w:vAlign w:val="center"/>
          </w:tcPr>
          <w:p w14:paraId="7AF845A5">
            <w:pPr>
              <w:adjustRightInd w:val="0"/>
              <w:spacing w:line="240" w:lineRule="auto"/>
              <w:jc w:val="center"/>
              <w:rPr>
                <w:color w:val="auto"/>
                <w:kern w:val="0"/>
                <w:sz w:val="21"/>
                <w:szCs w:val="21"/>
                <w:highlight w:val="none"/>
              </w:rPr>
            </w:pPr>
            <w:r>
              <w:rPr>
                <w:rFonts w:hint="eastAsia"/>
                <w:b w:val="0"/>
                <w:bCs w:val="0"/>
                <w:color w:val="auto"/>
                <w:sz w:val="21"/>
                <w:szCs w:val="21"/>
                <w:highlight w:val="none"/>
              </w:rPr>
              <w:t>在沙化土地范围内从事开发建设活动的，必须依法进行环境影响评价，提交环境影响报告。环境影响报告应当包括有关防沙治沙的内容。环境保护行政主管部门在审批环境影响报告时，应当就报告中有关防沙治沙的内容征求同级林业行政主管部门的意见。开发建设项目中的防沙治沙工程设施建设和生态保护措施的实施，必须与开发建设同步进行。</w:t>
            </w:r>
          </w:p>
        </w:tc>
        <w:tc>
          <w:tcPr>
            <w:tcW w:w="2499" w:type="dxa"/>
            <w:vAlign w:val="center"/>
          </w:tcPr>
          <w:p w14:paraId="3EEA144E">
            <w:pPr>
              <w:widowControl/>
              <w:spacing w:line="240" w:lineRule="auto"/>
              <w:jc w:val="center"/>
              <w:textAlignment w:val="baseline"/>
              <w:rPr>
                <w:rFonts w:hint="eastAsia" w:eastAsia="宋体"/>
                <w:color w:val="auto"/>
                <w:kern w:val="0"/>
                <w:sz w:val="21"/>
                <w:szCs w:val="21"/>
                <w:highlight w:val="none"/>
                <w:lang w:eastAsia="zh-CN"/>
              </w:rPr>
            </w:pPr>
            <w:r>
              <w:rPr>
                <w:rFonts w:hint="eastAsia"/>
                <w:b w:val="0"/>
                <w:bCs w:val="0"/>
                <w:color w:val="auto"/>
                <w:sz w:val="21"/>
                <w:szCs w:val="21"/>
                <w:highlight w:val="none"/>
              </w:rPr>
              <w:t>本项目符合用地规划，不占用已治理好的沙化土地，项目企业在项目周边进行了绿化建设，有效的减缓了土地沙化进程。北票市近年来环境空气质量一直处于达标区水平，项目对土壤沙化的影响较小。</w:t>
            </w:r>
          </w:p>
        </w:tc>
        <w:tc>
          <w:tcPr>
            <w:tcW w:w="763" w:type="dxa"/>
            <w:vAlign w:val="center"/>
          </w:tcPr>
          <w:p w14:paraId="11F09990">
            <w:pPr>
              <w:spacing w:line="240" w:lineRule="auto"/>
              <w:jc w:val="center"/>
              <w:textAlignment w:val="baseline"/>
              <w:rPr>
                <w:color w:val="auto"/>
                <w:kern w:val="0"/>
                <w:sz w:val="21"/>
                <w:szCs w:val="21"/>
                <w:highlight w:val="none"/>
              </w:rPr>
            </w:pPr>
            <w:r>
              <w:rPr>
                <w:color w:val="auto"/>
                <w:kern w:val="0"/>
                <w:sz w:val="21"/>
                <w:szCs w:val="21"/>
                <w:highlight w:val="none"/>
              </w:rPr>
              <w:t>符合</w:t>
            </w:r>
          </w:p>
        </w:tc>
      </w:tr>
    </w:tbl>
    <w:p w14:paraId="290491C3">
      <w:pPr>
        <w:adjustRightInd w:val="0"/>
        <w:spacing w:line="360" w:lineRule="auto"/>
        <w:ind w:firstLine="482" w:firstLineChars="200"/>
        <w:rPr>
          <w:rFonts w:hint="eastAsia"/>
          <w:b/>
          <w:bCs/>
          <w:color w:val="auto"/>
          <w:sz w:val="24"/>
          <w:highlight w:val="none"/>
        </w:rPr>
      </w:pPr>
      <w:r>
        <w:rPr>
          <w:rFonts w:hint="eastAsia"/>
          <w:b/>
          <w:bCs/>
          <w:color w:val="auto"/>
          <w:sz w:val="24"/>
          <w:highlight w:val="none"/>
          <w:lang w:eastAsia="zh-CN"/>
        </w:rPr>
        <w:t>（十）</w:t>
      </w:r>
      <w:r>
        <w:rPr>
          <w:rFonts w:hint="eastAsia"/>
          <w:b/>
          <w:bCs/>
          <w:color w:val="auto"/>
          <w:sz w:val="24"/>
          <w:highlight w:val="none"/>
        </w:rPr>
        <w:t>与辽宁省人民政府关于进一步加强防沙治沙工作的实施意见相符性</w:t>
      </w:r>
    </w:p>
    <w:p w14:paraId="7A7F0186">
      <w:pPr>
        <w:ind w:firstLine="413" w:firstLineChars="196"/>
        <w:jc w:val="center"/>
        <w:textAlignment w:val="baseline"/>
        <w:rPr>
          <w:rFonts w:hint="eastAsia"/>
          <w:b w:val="0"/>
          <w:bCs w:val="0"/>
          <w:color w:val="auto"/>
          <w:sz w:val="24"/>
          <w:highlight w:val="none"/>
        </w:rPr>
      </w:pPr>
      <w:r>
        <w:rPr>
          <w:b/>
          <w:color w:val="auto"/>
          <w:kern w:val="0"/>
          <w:szCs w:val="21"/>
          <w:highlight w:val="none"/>
        </w:rPr>
        <w:t>表1</w:t>
      </w:r>
      <w:r>
        <w:rPr>
          <w:rFonts w:hint="eastAsia"/>
          <w:b/>
          <w:color w:val="auto"/>
          <w:kern w:val="0"/>
          <w:szCs w:val="21"/>
          <w:highlight w:val="none"/>
          <w:lang w:val="en-US" w:eastAsia="zh-CN"/>
        </w:rPr>
        <w:t>.4</w:t>
      </w:r>
      <w:r>
        <w:rPr>
          <w:b/>
          <w:color w:val="auto"/>
          <w:kern w:val="0"/>
          <w:szCs w:val="21"/>
          <w:highlight w:val="none"/>
        </w:rPr>
        <w:t>-</w:t>
      </w:r>
      <w:r>
        <w:rPr>
          <w:rFonts w:hint="eastAsia"/>
          <w:b/>
          <w:color w:val="auto"/>
          <w:kern w:val="0"/>
          <w:szCs w:val="21"/>
          <w:highlight w:val="none"/>
          <w:lang w:val="en-US" w:eastAsia="zh-CN"/>
        </w:rPr>
        <w:t>8</w:t>
      </w:r>
      <w:r>
        <w:rPr>
          <w:b/>
          <w:color w:val="auto"/>
          <w:kern w:val="0"/>
          <w:szCs w:val="21"/>
          <w:highlight w:val="none"/>
        </w:rPr>
        <w:t xml:space="preserve">    与相关管理要求相符性分析一览表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1"/>
        <w:gridCol w:w="4296"/>
        <w:gridCol w:w="2718"/>
        <w:gridCol w:w="763"/>
      </w:tblGrid>
      <w:tr w14:paraId="49AD038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225D30A7">
            <w:pPr>
              <w:spacing w:line="240" w:lineRule="auto"/>
              <w:jc w:val="center"/>
              <w:textAlignment w:val="baseline"/>
              <w:rPr>
                <w:color w:val="auto"/>
                <w:kern w:val="0"/>
                <w:sz w:val="21"/>
                <w:szCs w:val="21"/>
                <w:highlight w:val="none"/>
              </w:rPr>
            </w:pPr>
            <w:r>
              <w:rPr>
                <w:color w:val="auto"/>
                <w:kern w:val="0"/>
                <w:sz w:val="21"/>
                <w:szCs w:val="21"/>
                <w:highlight w:val="none"/>
              </w:rPr>
              <w:t>序号</w:t>
            </w:r>
          </w:p>
        </w:tc>
        <w:tc>
          <w:tcPr>
            <w:tcW w:w="4296" w:type="dxa"/>
            <w:vAlign w:val="center"/>
          </w:tcPr>
          <w:p w14:paraId="55F4E4B4">
            <w:pPr>
              <w:spacing w:line="240" w:lineRule="auto"/>
              <w:ind w:left="-107" w:leftChars="-51" w:right="-107" w:rightChars="-51"/>
              <w:jc w:val="center"/>
              <w:rPr>
                <w:color w:val="auto"/>
                <w:kern w:val="0"/>
                <w:sz w:val="21"/>
                <w:szCs w:val="21"/>
                <w:highlight w:val="none"/>
              </w:rPr>
            </w:pPr>
            <w:r>
              <w:rPr>
                <w:color w:val="auto"/>
                <w:kern w:val="0"/>
                <w:sz w:val="21"/>
                <w:szCs w:val="21"/>
                <w:highlight w:val="none"/>
              </w:rPr>
              <w:t>管理要求</w:t>
            </w:r>
          </w:p>
        </w:tc>
        <w:tc>
          <w:tcPr>
            <w:tcW w:w="2718" w:type="dxa"/>
            <w:vAlign w:val="center"/>
          </w:tcPr>
          <w:p w14:paraId="53787B1C">
            <w:pPr>
              <w:spacing w:line="240" w:lineRule="auto"/>
              <w:ind w:left="-107" w:leftChars="-51" w:right="-107" w:rightChars="-51"/>
              <w:jc w:val="center"/>
              <w:rPr>
                <w:color w:val="auto"/>
                <w:kern w:val="0"/>
                <w:sz w:val="21"/>
                <w:szCs w:val="21"/>
                <w:highlight w:val="none"/>
              </w:rPr>
            </w:pPr>
            <w:r>
              <w:rPr>
                <w:color w:val="auto"/>
                <w:kern w:val="0"/>
                <w:sz w:val="21"/>
                <w:szCs w:val="21"/>
                <w:highlight w:val="none"/>
              </w:rPr>
              <w:t>符合性分析</w:t>
            </w:r>
          </w:p>
        </w:tc>
        <w:tc>
          <w:tcPr>
            <w:tcW w:w="763" w:type="dxa"/>
            <w:vAlign w:val="center"/>
          </w:tcPr>
          <w:p w14:paraId="1D68EA3B">
            <w:pPr>
              <w:spacing w:line="240" w:lineRule="auto"/>
              <w:jc w:val="center"/>
              <w:textAlignment w:val="baseline"/>
              <w:rPr>
                <w:color w:val="auto"/>
                <w:kern w:val="0"/>
                <w:sz w:val="21"/>
                <w:szCs w:val="21"/>
                <w:highlight w:val="none"/>
              </w:rPr>
            </w:pPr>
            <w:r>
              <w:rPr>
                <w:color w:val="auto"/>
                <w:kern w:val="0"/>
                <w:sz w:val="21"/>
                <w:szCs w:val="21"/>
                <w:highlight w:val="none"/>
              </w:rPr>
              <w:t>结论</w:t>
            </w:r>
          </w:p>
        </w:tc>
      </w:tr>
      <w:tr w14:paraId="64491B1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4F94B4E9">
            <w:pPr>
              <w:spacing w:line="240" w:lineRule="auto"/>
              <w:jc w:val="center"/>
              <w:textAlignment w:val="baseline"/>
              <w:rPr>
                <w:color w:val="auto"/>
                <w:kern w:val="0"/>
                <w:sz w:val="21"/>
                <w:szCs w:val="21"/>
                <w:highlight w:val="none"/>
              </w:rPr>
            </w:pPr>
            <w:r>
              <w:rPr>
                <w:color w:val="auto"/>
                <w:kern w:val="0"/>
                <w:sz w:val="21"/>
                <w:szCs w:val="21"/>
                <w:highlight w:val="none"/>
              </w:rPr>
              <w:t>1</w:t>
            </w:r>
          </w:p>
        </w:tc>
        <w:tc>
          <w:tcPr>
            <w:tcW w:w="4296" w:type="dxa"/>
            <w:vAlign w:val="center"/>
          </w:tcPr>
          <w:p w14:paraId="477E9E20">
            <w:pPr>
              <w:adjustRightInd w:val="0"/>
              <w:spacing w:line="240" w:lineRule="auto"/>
              <w:jc w:val="center"/>
              <w:rPr>
                <w:color w:val="auto"/>
                <w:kern w:val="0"/>
                <w:sz w:val="21"/>
                <w:szCs w:val="21"/>
                <w:highlight w:val="none"/>
              </w:rPr>
            </w:pPr>
            <w:r>
              <w:rPr>
                <w:rFonts w:hint="eastAsia"/>
                <w:color w:val="auto"/>
                <w:kern w:val="0"/>
                <w:sz w:val="21"/>
                <w:szCs w:val="21"/>
                <w:highlight w:val="none"/>
              </w:rPr>
              <w:t>在沙区从事开发建设活动，必须事先就开发建设项目可能对当地及相关地区生态环境产生的影响进行环境影响评价和水资源论证，编制水土保持方案。环境影响报告中应包括防治土地沙化的内容。对不具备水源条件、有可能造成土地沙化和水土流失等破坏生态环境的项目，不得批准立项。要严格限制高耗水产业发展，农业开发需在生态承载力范围内实行林、牧、农综合开发，限制不合理的耕作农业，积极推广农业保护性耕作。批准实施的开发建设项目，环保、林业、水利等行政主管部门要加强监督检查，对经检查验收不合格的，有关部门不得进行竣工验收。因防治措施不力造成土地沙化的，有关部门要责令项目建设单位限期进行治理，对情节严重的应依法追究责任。</w:t>
            </w:r>
          </w:p>
        </w:tc>
        <w:tc>
          <w:tcPr>
            <w:tcW w:w="2718" w:type="dxa"/>
            <w:vAlign w:val="center"/>
          </w:tcPr>
          <w:p w14:paraId="3DE71849">
            <w:pPr>
              <w:widowControl/>
              <w:spacing w:line="240" w:lineRule="auto"/>
              <w:jc w:val="center"/>
              <w:textAlignment w:val="baseline"/>
              <w:rPr>
                <w:rFonts w:hint="eastAsia" w:eastAsia="宋体"/>
                <w:color w:val="auto"/>
                <w:kern w:val="0"/>
                <w:sz w:val="21"/>
                <w:szCs w:val="21"/>
                <w:highlight w:val="none"/>
                <w:lang w:eastAsia="zh-CN"/>
              </w:rPr>
            </w:pPr>
            <w:r>
              <w:rPr>
                <w:rFonts w:hint="eastAsia" w:eastAsia="宋体"/>
                <w:color w:val="auto"/>
                <w:kern w:val="0"/>
                <w:sz w:val="21"/>
                <w:szCs w:val="21"/>
                <w:highlight w:val="none"/>
                <w:lang w:eastAsia="zh-CN"/>
              </w:rPr>
              <w:t>根据水利部在2019年发布了《关于印发钢铁等十八项工业用水定额 的通知》，钢铁、火力发电、石油炼制、选煤、罐头食品、食用糖、毛皮、皮革、核电、氨纶、锦纶、聚醋涤纶、维纶、再生涤纶、多晶硅、离子型稀士矿冶炼分离、对二甲苯、精对苯二甲酸等十八个行业为高耗水行业，本项目属畜牧业，不属于高耗水行业。</w:t>
            </w:r>
            <w:r>
              <w:rPr>
                <w:rFonts w:hint="eastAsia"/>
                <w:b w:val="0"/>
                <w:bCs w:val="0"/>
                <w:color w:val="auto"/>
                <w:sz w:val="21"/>
                <w:szCs w:val="21"/>
                <w:highlight w:val="none"/>
              </w:rPr>
              <w:t>本项目符合用地规划，不占用已治理好的沙化土地，项目企业在项目周边进行了绿化建设，有效的减缓了土地沙化进程。</w:t>
            </w:r>
          </w:p>
        </w:tc>
        <w:tc>
          <w:tcPr>
            <w:tcW w:w="763" w:type="dxa"/>
            <w:vAlign w:val="center"/>
          </w:tcPr>
          <w:p w14:paraId="12332240">
            <w:pPr>
              <w:spacing w:line="240" w:lineRule="auto"/>
              <w:jc w:val="center"/>
              <w:textAlignment w:val="baseline"/>
              <w:rPr>
                <w:color w:val="auto"/>
                <w:kern w:val="0"/>
                <w:sz w:val="21"/>
                <w:szCs w:val="21"/>
                <w:highlight w:val="none"/>
              </w:rPr>
            </w:pPr>
            <w:r>
              <w:rPr>
                <w:color w:val="auto"/>
                <w:kern w:val="0"/>
                <w:sz w:val="21"/>
                <w:szCs w:val="21"/>
                <w:highlight w:val="none"/>
              </w:rPr>
              <w:t>符合</w:t>
            </w:r>
          </w:p>
        </w:tc>
      </w:tr>
    </w:tbl>
    <w:p w14:paraId="7268F776">
      <w:pPr>
        <w:adjustRightInd w:val="0"/>
        <w:spacing w:line="360" w:lineRule="auto"/>
        <w:ind w:firstLine="482" w:firstLineChars="200"/>
        <w:rPr>
          <w:b/>
          <w:bCs/>
          <w:color w:val="auto"/>
          <w:sz w:val="24"/>
        </w:rPr>
      </w:pPr>
      <w:r>
        <w:rPr>
          <w:rFonts w:hint="eastAsia"/>
          <w:b/>
          <w:bCs/>
          <w:color w:val="auto"/>
          <w:sz w:val="24"/>
          <w:lang w:eastAsia="zh-CN"/>
        </w:rPr>
        <w:t>（</w:t>
      </w:r>
      <w:r>
        <w:rPr>
          <w:rFonts w:hint="eastAsia"/>
          <w:b/>
          <w:bCs/>
          <w:color w:val="auto"/>
          <w:sz w:val="24"/>
          <w:lang w:val="en-US" w:eastAsia="zh-CN"/>
        </w:rPr>
        <w:t>十一</w:t>
      </w:r>
      <w:r>
        <w:rPr>
          <w:rFonts w:hint="eastAsia"/>
          <w:b/>
          <w:bCs/>
          <w:color w:val="auto"/>
          <w:sz w:val="24"/>
          <w:lang w:eastAsia="zh-CN"/>
        </w:rPr>
        <w:t>）</w:t>
      </w:r>
      <w:r>
        <w:rPr>
          <w:rFonts w:hint="eastAsia"/>
          <w:b/>
          <w:bCs/>
          <w:color w:val="auto"/>
          <w:sz w:val="24"/>
        </w:rPr>
        <w:t>与《畜禽规模养殖污染防治条例》相符性分析</w:t>
      </w:r>
    </w:p>
    <w:p w14:paraId="491F0FDB">
      <w:pPr>
        <w:ind w:firstLine="413" w:firstLineChars="196"/>
        <w:jc w:val="center"/>
        <w:textAlignment w:val="baseline"/>
        <w:rPr>
          <w:b/>
          <w:color w:val="auto"/>
          <w:kern w:val="0"/>
          <w:szCs w:val="21"/>
        </w:rPr>
      </w:pPr>
      <w:r>
        <w:rPr>
          <w:b/>
          <w:color w:val="auto"/>
          <w:kern w:val="0"/>
          <w:szCs w:val="21"/>
        </w:rPr>
        <w:t>表1</w:t>
      </w:r>
      <w:r>
        <w:rPr>
          <w:rFonts w:hint="eastAsia"/>
          <w:b/>
          <w:color w:val="auto"/>
          <w:kern w:val="0"/>
          <w:szCs w:val="21"/>
          <w:lang w:val="en-US" w:eastAsia="zh-CN"/>
        </w:rPr>
        <w:t>.4</w:t>
      </w:r>
      <w:r>
        <w:rPr>
          <w:b/>
          <w:color w:val="auto"/>
          <w:kern w:val="0"/>
          <w:szCs w:val="21"/>
        </w:rPr>
        <w:t>-</w:t>
      </w:r>
      <w:r>
        <w:rPr>
          <w:rFonts w:hint="eastAsia"/>
          <w:b/>
          <w:color w:val="auto"/>
          <w:kern w:val="0"/>
          <w:szCs w:val="21"/>
          <w:lang w:val="en-US" w:eastAsia="zh-CN"/>
        </w:rPr>
        <w:t>9</w:t>
      </w:r>
      <w:r>
        <w:rPr>
          <w:b/>
          <w:color w:val="auto"/>
          <w:kern w:val="0"/>
          <w:szCs w:val="21"/>
        </w:rPr>
        <w:t xml:space="preserve">    与相关管理要求相符性分析一览表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1"/>
        <w:gridCol w:w="3789"/>
        <w:gridCol w:w="3225"/>
        <w:gridCol w:w="763"/>
      </w:tblGrid>
      <w:tr w14:paraId="77B57D4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19AB35E9">
            <w:pPr>
              <w:jc w:val="center"/>
              <w:textAlignment w:val="baseline"/>
              <w:rPr>
                <w:color w:val="auto"/>
                <w:kern w:val="0"/>
                <w:szCs w:val="21"/>
              </w:rPr>
            </w:pPr>
            <w:r>
              <w:rPr>
                <w:color w:val="auto"/>
                <w:kern w:val="0"/>
                <w:szCs w:val="21"/>
              </w:rPr>
              <w:t>序号</w:t>
            </w:r>
          </w:p>
        </w:tc>
        <w:tc>
          <w:tcPr>
            <w:tcW w:w="3789" w:type="dxa"/>
            <w:vAlign w:val="center"/>
          </w:tcPr>
          <w:p w14:paraId="7F9EA223">
            <w:pPr>
              <w:ind w:left="-107" w:leftChars="-51" w:right="-107" w:rightChars="-51"/>
              <w:jc w:val="center"/>
              <w:rPr>
                <w:color w:val="auto"/>
                <w:kern w:val="0"/>
                <w:szCs w:val="21"/>
              </w:rPr>
            </w:pPr>
            <w:r>
              <w:rPr>
                <w:color w:val="auto"/>
                <w:kern w:val="0"/>
                <w:szCs w:val="21"/>
              </w:rPr>
              <w:t>管理要求</w:t>
            </w:r>
          </w:p>
        </w:tc>
        <w:tc>
          <w:tcPr>
            <w:tcW w:w="3225" w:type="dxa"/>
            <w:vAlign w:val="center"/>
          </w:tcPr>
          <w:p w14:paraId="56B2F62C">
            <w:pPr>
              <w:ind w:left="-107" w:leftChars="-51" w:right="-107" w:rightChars="-51"/>
              <w:jc w:val="center"/>
              <w:rPr>
                <w:color w:val="auto"/>
                <w:kern w:val="0"/>
                <w:szCs w:val="21"/>
              </w:rPr>
            </w:pPr>
            <w:r>
              <w:rPr>
                <w:color w:val="auto"/>
                <w:kern w:val="0"/>
                <w:szCs w:val="21"/>
              </w:rPr>
              <w:t>符合性分析</w:t>
            </w:r>
          </w:p>
        </w:tc>
        <w:tc>
          <w:tcPr>
            <w:tcW w:w="763" w:type="dxa"/>
            <w:vAlign w:val="center"/>
          </w:tcPr>
          <w:p w14:paraId="4B75A509">
            <w:pPr>
              <w:jc w:val="center"/>
              <w:textAlignment w:val="baseline"/>
              <w:rPr>
                <w:color w:val="auto"/>
                <w:kern w:val="0"/>
                <w:szCs w:val="21"/>
              </w:rPr>
            </w:pPr>
            <w:r>
              <w:rPr>
                <w:color w:val="auto"/>
                <w:kern w:val="0"/>
                <w:szCs w:val="21"/>
              </w:rPr>
              <w:t>结论</w:t>
            </w:r>
          </w:p>
        </w:tc>
      </w:tr>
      <w:tr w14:paraId="5F02C3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38BEE507">
            <w:pPr>
              <w:jc w:val="center"/>
              <w:textAlignment w:val="baseline"/>
              <w:rPr>
                <w:color w:val="auto"/>
                <w:kern w:val="0"/>
                <w:szCs w:val="21"/>
              </w:rPr>
            </w:pPr>
            <w:r>
              <w:rPr>
                <w:color w:val="auto"/>
                <w:kern w:val="0"/>
                <w:szCs w:val="21"/>
              </w:rPr>
              <w:t>1</w:t>
            </w:r>
          </w:p>
        </w:tc>
        <w:tc>
          <w:tcPr>
            <w:tcW w:w="3789" w:type="dxa"/>
            <w:vAlign w:val="center"/>
          </w:tcPr>
          <w:p w14:paraId="0FC5195F">
            <w:pPr>
              <w:widowControl/>
              <w:jc w:val="center"/>
              <w:textAlignment w:val="baseline"/>
              <w:rPr>
                <w:color w:val="auto"/>
                <w:kern w:val="0"/>
                <w:szCs w:val="21"/>
              </w:rPr>
            </w:pPr>
            <w:r>
              <w:rPr>
                <w:color w:val="auto"/>
                <w:kern w:val="0"/>
                <w:szCs w:val="21"/>
              </w:rPr>
              <w:t>第十一条　禁止在下列区域内建设畜禽养殖场、养殖小区：</w:t>
            </w:r>
          </w:p>
          <w:p w14:paraId="5833F84D">
            <w:pPr>
              <w:widowControl/>
              <w:jc w:val="center"/>
              <w:textAlignment w:val="baseline"/>
              <w:rPr>
                <w:color w:val="auto"/>
                <w:kern w:val="0"/>
                <w:szCs w:val="21"/>
              </w:rPr>
            </w:pPr>
            <w:r>
              <w:rPr>
                <w:color w:val="auto"/>
                <w:kern w:val="0"/>
                <w:szCs w:val="21"/>
              </w:rPr>
              <w:t>（一）饮用水水源保护区，风景名胜区；</w:t>
            </w:r>
          </w:p>
          <w:p w14:paraId="7A04AEA7">
            <w:pPr>
              <w:widowControl/>
              <w:jc w:val="center"/>
              <w:textAlignment w:val="baseline"/>
              <w:rPr>
                <w:color w:val="auto"/>
                <w:kern w:val="0"/>
                <w:szCs w:val="21"/>
              </w:rPr>
            </w:pPr>
            <w:r>
              <w:rPr>
                <w:color w:val="auto"/>
                <w:kern w:val="0"/>
                <w:szCs w:val="21"/>
              </w:rPr>
              <w:t>（二）自然保护区的核心区和缓冲区；</w:t>
            </w:r>
          </w:p>
          <w:p w14:paraId="24BC550C">
            <w:pPr>
              <w:widowControl/>
              <w:jc w:val="center"/>
              <w:textAlignment w:val="baseline"/>
              <w:rPr>
                <w:color w:val="auto"/>
                <w:kern w:val="0"/>
                <w:szCs w:val="21"/>
              </w:rPr>
            </w:pPr>
            <w:r>
              <w:rPr>
                <w:color w:val="auto"/>
                <w:kern w:val="0"/>
                <w:szCs w:val="21"/>
              </w:rPr>
              <w:t>（三）城镇居民区、文化教育科学研究区等人口集中区域；</w:t>
            </w:r>
          </w:p>
          <w:p w14:paraId="7F29947C">
            <w:pPr>
              <w:widowControl/>
              <w:jc w:val="center"/>
              <w:textAlignment w:val="baseline"/>
              <w:rPr>
                <w:color w:val="auto"/>
                <w:kern w:val="0"/>
                <w:szCs w:val="21"/>
              </w:rPr>
            </w:pPr>
            <w:r>
              <w:rPr>
                <w:color w:val="auto"/>
                <w:kern w:val="0"/>
                <w:szCs w:val="21"/>
              </w:rPr>
              <w:t>（四）法律、法规规定的其他禁止养殖区域。</w:t>
            </w:r>
          </w:p>
        </w:tc>
        <w:tc>
          <w:tcPr>
            <w:tcW w:w="3225" w:type="dxa"/>
            <w:vAlign w:val="center"/>
          </w:tcPr>
          <w:p w14:paraId="3BD92335">
            <w:pPr>
              <w:widowControl/>
              <w:jc w:val="center"/>
              <w:textAlignment w:val="baseline"/>
              <w:rPr>
                <w:rFonts w:hint="eastAsia" w:eastAsia="宋体"/>
                <w:color w:val="auto"/>
                <w:kern w:val="0"/>
                <w:szCs w:val="21"/>
                <w:lang w:eastAsia="zh-CN"/>
              </w:rPr>
            </w:pPr>
            <w:r>
              <w:rPr>
                <w:rFonts w:hint="eastAsia"/>
                <w:color w:val="auto"/>
                <w:kern w:val="0"/>
                <w:szCs w:val="21"/>
              </w:rPr>
              <w:t>本项目位于</w:t>
            </w:r>
            <w:r>
              <w:rPr>
                <w:rFonts w:hint="eastAsia"/>
                <w:color w:val="auto"/>
                <w:kern w:val="0"/>
                <w:szCs w:val="21"/>
                <w:lang w:eastAsia="zh-CN"/>
              </w:rPr>
              <w:t>辽宁省朝阳市北票市西官镇大巴里村</w:t>
            </w:r>
            <w:r>
              <w:rPr>
                <w:rFonts w:hint="eastAsia"/>
                <w:color w:val="auto"/>
                <w:kern w:val="0"/>
                <w:szCs w:val="21"/>
              </w:rPr>
              <w:t>，不在上述禁养区内</w:t>
            </w:r>
            <w:r>
              <w:rPr>
                <w:rFonts w:hint="eastAsia"/>
                <w:color w:val="auto"/>
                <w:kern w:val="0"/>
                <w:szCs w:val="21"/>
                <w:lang w:eastAsia="zh-CN"/>
              </w:rPr>
              <w:t>。</w:t>
            </w:r>
          </w:p>
        </w:tc>
        <w:tc>
          <w:tcPr>
            <w:tcW w:w="763" w:type="dxa"/>
            <w:vAlign w:val="center"/>
          </w:tcPr>
          <w:p w14:paraId="0510BA83">
            <w:pPr>
              <w:jc w:val="center"/>
              <w:textAlignment w:val="baseline"/>
              <w:rPr>
                <w:color w:val="auto"/>
                <w:kern w:val="0"/>
                <w:szCs w:val="21"/>
              </w:rPr>
            </w:pPr>
            <w:r>
              <w:rPr>
                <w:color w:val="auto"/>
                <w:kern w:val="0"/>
                <w:szCs w:val="21"/>
              </w:rPr>
              <w:t>符合</w:t>
            </w:r>
          </w:p>
        </w:tc>
      </w:tr>
      <w:tr w14:paraId="136C6B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324D7FAA">
            <w:pPr>
              <w:jc w:val="center"/>
              <w:textAlignment w:val="baseline"/>
              <w:rPr>
                <w:color w:val="auto"/>
                <w:kern w:val="0"/>
                <w:szCs w:val="21"/>
              </w:rPr>
            </w:pPr>
            <w:r>
              <w:rPr>
                <w:color w:val="auto"/>
                <w:kern w:val="0"/>
                <w:szCs w:val="21"/>
              </w:rPr>
              <w:t>2</w:t>
            </w:r>
          </w:p>
        </w:tc>
        <w:tc>
          <w:tcPr>
            <w:tcW w:w="3789" w:type="dxa"/>
            <w:vAlign w:val="center"/>
          </w:tcPr>
          <w:p w14:paraId="047EBF42">
            <w:pPr>
              <w:widowControl/>
              <w:jc w:val="center"/>
              <w:textAlignment w:val="baseline"/>
              <w:rPr>
                <w:color w:val="auto"/>
                <w:kern w:val="0"/>
                <w:szCs w:val="21"/>
              </w:rPr>
            </w:pPr>
            <w:r>
              <w:rPr>
                <w:color w:val="auto"/>
                <w:kern w:val="0"/>
                <w:szCs w:val="21"/>
              </w:rPr>
              <w:t>第十二条　新建、改建、扩建畜禽养殖场、养殖小区，应当符合畜牧业发展规划、畜禽养殖污染防治规划，满足动物防疫条件，并进行环境影响评价。对环境可能造成重大影响的大型畜禽养殖场、养殖小区，应当编制环境影响报告书；其他畜禽养殖场、养殖小区应当填报环境影响登记表。大型畜禽养殖场、养殖小区的管理目录，由国务院环境保护主管部门商国务院农牧主管部门确定。</w:t>
            </w:r>
          </w:p>
          <w:p w14:paraId="3033205F">
            <w:pPr>
              <w:widowControl/>
              <w:jc w:val="center"/>
              <w:textAlignment w:val="baseline"/>
              <w:rPr>
                <w:color w:val="auto"/>
                <w:kern w:val="0"/>
                <w:szCs w:val="21"/>
              </w:rPr>
            </w:pPr>
            <w:r>
              <w:rPr>
                <w:color w:val="auto"/>
                <w:kern w:val="0"/>
                <w:szCs w:val="21"/>
              </w:rPr>
              <w:t>环境影响评价的重点应当包括：畜禽养殖产生的废弃物种类和数量，废弃物综合利用和无害化处理方案和措施，废弃物的消纳和处理情况以及向环境直接排放的情况，最终可能对水体、土壤等环境和人体健康产生的影响以及控制和减少影响的方案和措施等。</w:t>
            </w:r>
          </w:p>
        </w:tc>
        <w:tc>
          <w:tcPr>
            <w:tcW w:w="3225" w:type="dxa"/>
            <w:vAlign w:val="center"/>
          </w:tcPr>
          <w:p w14:paraId="33E6DFE7">
            <w:pPr>
              <w:rPr>
                <w:color w:val="auto"/>
                <w:kern w:val="0"/>
                <w:szCs w:val="21"/>
                <w:highlight w:val="none"/>
              </w:rPr>
            </w:pPr>
            <w:r>
              <w:rPr>
                <w:rFonts w:hint="eastAsia"/>
                <w:color w:val="auto"/>
                <w:highlight w:val="none"/>
              </w:rPr>
              <w:t>本项目属</w:t>
            </w:r>
            <w:r>
              <w:rPr>
                <w:rFonts w:hint="eastAsia"/>
                <w:color w:val="auto"/>
                <w:highlight w:val="none"/>
                <w:lang w:eastAsia="zh-CN"/>
              </w:rPr>
              <w:t>新建</w:t>
            </w:r>
            <w:r>
              <w:rPr>
                <w:rFonts w:hint="eastAsia"/>
                <w:color w:val="auto"/>
                <w:highlight w:val="none"/>
              </w:rPr>
              <w:t>项目，按照要求编制环境影响评价报告书；</w:t>
            </w:r>
            <w:r>
              <w:rPr>
                <w:rFonts w:hint="eastAsia"/>
                <w:color w:val="auto"/>
                <w:kern w:val="0"/>
                <w:szCs w:val="21"/>
                <w:highlight w:val="none"/>
              </w:rPr>
              <w:t>采取干清粪方式，鸡粪、鸡羽毛、饲料残渣除极端天气（约50天/年）需暂存</w:t>
            </w:r>
            <w:r>
              <w:rPr>
                <w:rFonts w:hint="eastAsia"/>
                <w:color w:val="auto"/>
                <w:kern w:val="0"/>
                <w:szCs w:val="21"/>
                <w:highlight w:val="none"/>
                <w:lang w:eastAsia="zh-CN"/>
              </w:rPr>
              <w:t>临时储粪场</w:t>
            </w:r>
            <w:r>
              <w:rPr>
                <w:rFonts w:hint="eastAsia"/>
                <w:color w:val="auto"/>
                <w:kern w:val="0"/>
                <w:szCs w:val="21"/>
                <w:highlight w:val="none"/>
              </w:rPr>
              <w:t>外，均日产日清由清粪车直接拉走外售</w:t>
            </w:r>
            <w:r>
              <w:rPr>
                <w:rFonts w:hint="eastAsia" w:ascii="Times New Roman" w:hAnsi="Times New Roman" w:eastAsia="宋体"/>
                <w:color w:val="auto"/>
                <w:kern w:val="0"/>
                <w:sz w:val="21"/>
                <w:szCs w:val="21"/>
                <w:highlight w:val="none"/>
                <w:lang w:eastAsia="zh-CN"/>
              </w:rPr>
              <w:t>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rPr>
              <w:t>；养殖废水</w:t>
            </w:r>
            <w:r>
              <w:rPr>
                <w:rFonts w:hint="eastAsia" w:ascii="Times New Roman" w:hAnsi="Times New Roman" w:eastAsia="宋体"/>
                <w:color w:val="auto"/>
                <w:kern w:val="0"/>
                <w:sz w:val="21"/>
                <w:szCs w:val="21"/>
                <w:highlight w:val="none"/>
                <w:lang w:eastAsia="zh-CN"/>
              </w:rPr>
              <w:t>日产日清，由罐车直接拉走外售至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eastAsia="宋体"/>
                <w:color w:val="auto"/>
                <w:kern w:val="0"/>
                <w:sz w:val="21"/>
                <w:szCs w:val="21"/>
                <w:highlight w:val="none"/>
                <w:lang w:eastAsia="zh-CN"/>
              </w:rPr>
              <w:t>，</w:t>
            </w:r>
            <w:r>
              <w:rPr>
                <w:rFonts w:hint="eastAsia"/>
                <w:color w:val="auto"/>
                <w:kern w:val="0"/>
                <w:szCs w:val="21"/>
                <w:highlight w:val="none"/>
              </w:rPr>
              <w:t>无污水外排；</w:t>
            </w:r>
          </w:p>
        </w:tc>
        <w:tc>
          <w:tcPr>
            <w:tcW w:w="763" w:type="dxa"/>
            <w:vAlign w:val="center"/>
          </w:tcPr>
          <w:p w14:paraId="249299CE">
            <w:pPr>
              <w:jc w:val="center"/>
              <w:textAlignment w:val="baseline"/>
              <w:rPr>
                <w:color w:val="auto"/>
                <w:kern w:val="0"/>
                <w:szCs w:val="21"/>
              </w:rPr>
            </w:pPr>
            <w:r>
              <w:rPr>
                <w:color w:val="auto"/>
                <w:kern w:val="0"/>
                <w:szCs w:val="21"/>
              </w:rPr>
              <w:t>符合</w:t>
            </w:r>
          </w:p>
        </w:tc>
      </w:tr>
      <w:tr w14:paraId="49B1218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4886EB16">
            <w:pPr>
              <w:jc w:val="center"/>
              <w:textAlignment w:val="baseline"/>
              <w:rPr>
                <w:color w:val="auto"/>
                <w:kern w:val="0"/>
                <w:szCs w:val="21"/>
              </w:rPr>
            </w:pPr>
            <w:r>
              <w:rPr>
                <w:color w:val="auto"/>
                <w:kern w:val="0"/>
                <w:szCs w:val="21"/>
              </w:rPr>
              <w:t>3</w:t>
            </w:r>
          </w:p>
        </w:tc>
        <w:tc>
          <w:tcPr>
            <w:tcW w:w="3789" w:type="dxa"/>
            <w:vAlign w:val="center"/>
          </w:tcPr>
          <w:p w14:paraId="63C99EA2">
            <w:pPr>
              <w:widowControl/>
              <w:jc w:val="center"/>
              <w:textAlignment w:val="baseline"/>
              <w:rPr>
                <w:color w:val="auto"/>
                <w:kern w:val="0"/>
                <w:szCs w:val="21"/>
              </w:rPr>
            </w:pPr>
            <w:r>
              <w:rPr>
                <w:color w:val="auto"/>
                <w:kern w:val="0"/>
                <w:szCs w:val="21"/>
              </w:rPr>
              <w:t>第十三条　畜禽养殖场、养殖小区应当根据养殖规模和污染防治需要，建设相应的畜禽粪便、污水与雨水分流设施，畜禽粪便、污水的贮存设施，粪污厌氧消化和堆沤、有机肥加工、制取沼气、沼渣沼液分离和输送、污水处理、畜禽尸体处理等综合利用和无害化处理设施。已经委托他人对畜禽养殖废弃物代为综合利用和无害化处理的，可以不自行建设综合利用和无害化处理设施。</w:t>
            </w:r>
          </w:p>
          <w:p w14:paraId="7B5B231C">
            <w:pPr>
              <w:widowControl/>
              <w:jc w:val="center"/>
              <w:textAlignment w:val="baseline"/>
              <w:rPr>
                <w:color w:val="auto"/>
                <w:kern w:val="0"/>
                <w:szCs w:val="21"/>
              </w:rPr>
            </w:pPr>
            <w:r>
              <w:rPr>
                <w:color w:val="auto"/>
                <w:kern w:val="0"/>
                <w:szCs w:val="21"/>
              </w:rPr>
              <w:t>未建设污染防治配套设施、自行建设的配套设施不合格，或者未委托他人对畜禽养殖废弃物进行综合利用和无害化处理的，畜禽养殖场、养殖小区不得投入生产或者使用。</w:t>
            </w:r>
          </w:p>
          <w:p w14:paraId="3E000383">
            <w:pPr>
              <w:widowControl/>
              <w:jc w:val="center"/>
              <w:textAlignment w:val="baseline"/>
              <w:rPr>
                <w:color w:val="auto"/>
                <w:kern w:val="0"/>
                <w:szCs w:val="21"/>
              </w:rPr>
            </w:pPr>
            <w:r>
              <w:rPr>
                <w:color w:val="auto"/>
                <w:kern w:val="0"/>
                <w:szCs w:val="21"/>
              </w:rPr>
              <w:t>畜禽养殖场、养殖小区自行建设污染防治配套设施的，应当确保其正常运行。</w:t>
            </w:r>
          </w:p>
        </w:tc>
        <w:tc>
          <w:tcPr>
            <w:tcW w:w="3225" w:type="dxa"/>
            <w:vAlign w:val="center"/>
          </w:tcPr>
          <w:p w14:paraId="71763EFE">
            <w:pPr>
              <w:jc w:val="center"/>
              <w:rPr>
                <w:rFonts w:hint="eastAsia" w:eastAsia="宋体"/>
                <w:color w:val="auto"/>
                <w:kern w:val="0"/>
                <w:szCs w:val="21"/>
                <w:highlight w:val="none"/>
                <w:lang w:eastAsia="zh-CN"/>
              </w:rPr>
            </w:pPr>
            <w:r>
              <w:rPr>
                <w:rFonts w:hint="eastAsia"/>
                <w:color w:val="auto"/>
                <w:kern w:val="0"/>
                <w:szCs w:val="21"/>
                <w:highlight w:val="none"/>
              </w:rPr>
              <w:t>本项目</w:t>
            </w:r>
            <w:r>
              <w:rPr>
                <w:color w:val="auto"/>
                <w:kern w:val="0"/>
                <w:szCs w:val="21"/>
                <w:highlight w:val="none"/>
              </w:rPr>
              <w:t>雨污分流，厂区内设置专用污水管道和雨水管道</w:t>
            </w:r>
            <w:r>
              <w:rPr>
                <w:rFonts w:hint="eastAsia"/>
                <w:color w:val="auto"/>
                <w:kern w:val="0"/>
                <w:szCs w:val="21"/>
                <w:highlight w:val="none"/>
              </w:rPr>
              <w:t>，雨水通过雨水管网排出厂区</w:t>
            </w:r>
            <w:r>
              <w:rPr>
                <w:rFonts w:hint="eastAsia"/>
                <w:color w:val="auto"/>
                <w:kern w:val="0"/>
                <w:szCs w:val="21"/>
                <w:highlight w:val="none"/>
                <w:lang w:eastAsia="zh-CN"/>
              </w:rPr>
              <w:t>。</w:t>
            </w:r>
            <w:r>
              <w:rPr>
                <w:rFonts w:hint="eastAsia"/>
                <w:color w:val="auto"/>
                <w:kern w:val="0"/>
                <w:szCs w:val="21"/>
                <w:highlight w:val="none"/>
              </w:rPr>
              <w:t>鸡粪、鸡羽毛、饲料残渣除极端天气（约50天/年）需暂存</w:t>
            </w:r>
            <w:r>
              <w:rPr>
                <w:rFonts w:hint="eastAsia"/>
                <w:color w:val="auto"/>
                <w:kern w:val="0"/>
                <w:szCs w:val="21"/>
                <w:highlight w:val="none"/>
                <w:lang w:eastAsia="zh-CN"/>
              </w:rPr>
              <w:t>临时储粪场</w:t>
            </w:r>
            <w:r>
              <w:rPr>
                <w:rFonts w:hint="eastAsia"/>
                <w:color w:val="auto"/>
                <w:kern w:val="0"/>
                <w:szCs w:val="21"/>
                <w:highlight w:val="none"/>
              </w:rPr>
              <w:t>外，均日产日清由清粪车直接拉走外售</w:t>
            </w:r>
            <w:r>
              <w:rPr>
                <w:rFonts w:hint="eastAsia" w:ascii="Times New Roman" w:hAnsi="Times New Roman" w:eastAsia="宋体"/>
                <w:color w:val="auto"/>
                <w:kern w:val="0"/>
                <w:sz w:val="21"/>
                <w:szCs w:val="21"/>
                <w:highlight w:val="none"/>
                <w:lang w:eastAsia="zh-CN"/>
              </w:rPr>
              <w:t>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rPr>
              <w:t>；养殖废水</w:t>
            </w:r>
            <w:r>
              <w:rPr>
                <w:rFonts w:hint="eastAsia" w:ascii="Times New Roman" w:hAnsi="Times New Roman" w:eastAsia="宋体"/>
                <w:color w:val="auto"/>
                <w:kern w:val="0"/>
                <w:sz w:val="21"/>
                <w:szCs w:val="21"/>
                <w:highlight w:val="none"/>
                <w:lang w:eastAsia="zh-CN"/>
              </w:rPr>
              <w:t>日产日清，由罐车直接拉走外售至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eastAsia="宋体"/>
                <w:color w:val="auto"/>
                <w:kern w:val="0"/>
                <w:sz w:val="21"/>
                <w:szCs w:val="21"/>
                <w:highlight w:val="none"/>
                <w:lang w:eastAsia="zh-CN"/>
              </w:rPr>
              <w:t>，</w:t>
            </w:r>
            <w:r>
              <w:rPr>
                <w:rFonts w:hint="eastAsia"/>
                <w:color w:val="auto"/>
                <w:kern w:val="0"/>
                <w:szCs w:val="21"/>
                <w:highlight w:val="none"/>
              </w:rPr>
              <w:t>无污水外排；厂内</w:t>
            </w:r>
            <w:r>
              <w:rPr>
                <w:rFonts w:hint="eastAsia"/>
                <w:color w:val="auto"/>
                <w:kern w:val="0"/>
                <w:szCs w:val="21"/>
                <w:highlight w:val="none"/>
                <w:lang w:eastAsia="zh-CN"/>
              </w:rPr>
              <w:t>不设置</w:t>
            </w:r>
            <w:r>
              <w:rPr>
                <w:rFonts w:hint="eastAsia"/>
                <w:color w:val="auto"/>
                <w:kern w:val="0"/>
                <w:szCs w:val="21"/>
                <w:highlight w:val="none"/>
              </w:rPr>
              <w:t>无害化处理设施，</w:t>
            </w:r>
            <w:r>
              <w:rPr>
                <w:rFonts w:hint="eastAsia"/>
                <w:color w:val="auto"/>
                <w:szCs w:val="21"/>
                <w:highlight w:val="none"/>
              </w:rPr>
              <w:t>病死鸡</w:t>
            </w:r>
            <w:r>
              <w:rPr>
                <w:rFonts w:hint="eastAsia"/>
                <w:color w:val="auto"/>
                <w:szCs w:val="21"/>
                <w:highlight w:val="none"/>
                <w:lang w:eastAsia="zh-CN"/>
              </w:rPr>
              <w:t>暂存于冷柜，委托北票市汇宏动物无害化处理有限公司定期运走做无害化</w:t>
            </w:r>
            <w:r>
              <w:rPr>
                <w:rFonts w:hint="eastAsia"/>
                <w:color w:val="auto"/>
                <w:szCs w:val="21"/>
                <w:highlight w:val="none"/>
              </w:rPr>
              <w:t>处理</w:t>
            </w:r>
            <w:r>
              <w:rPr>
                <w:rFonts w:hint="eastAsia"/>
                <w:bCs/>
                <w:color w:val="auto"/>
                <w:szCs w:val="21"/>
                <w:highlight w:val="none"/>
                <w:lang w:eastAsia="zh-CN"/>
              </w:rPr>
              <w:t>。</w:t>
            </w:r>
          </w:p>
        </w:tc>
        <w:tc>
          <w:tcPr>
            <w:tcW w:w="763" w:type="dxa"/>
            <w:vAlign w:val="center"/>
          </w:tcPr>
          <w:p w14:paraId="24B18A43">
            <w:pPr>
              <w:jc w:val="center"/>
              <w:textAlignment w:val="baseline"/>
              <w:rPr>
                <w:color w:val="auto"/>
                <w:kern w:val="0"/>
                <w:szCs w:val="21"/>
              </w:rPr>
            </w:pPr>
            <w:r>
              <w:rPr>
                <w:color w:val="auto"/>
                <w:kern w:val="0"/>
                <w:szCs w:val="21"/>
              </w:rPr>
              <w:t>符合</w:t>
            </w:r>
          </w:p>
        </w:tc>
      </w:tr>
      <w:tr w14:paraId="750D7C2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1" w:type="dxa"/>
            <w:vAlign w:val="center"/>
          </w:tcPr>
          <w:p w14:paraId="74CB6AAA">
            <w:pPr>
              <w:jc w:val="center"/>
              <w:textAlignment w:val="baseline"/>
              <w:rPr>
                <w:color w:val="auto"/>
                <w:kern w:val="0"/>
                <w:szCs w:val="21"/>
              </w:rPr>
            </w:pPr>
            <w:r>
              <w:rPr>
                <w:color w:val="auto"/>
                <w:kern w:val="0"/>
                <w:szCs w:val="21"/>
              </w:rPr>
              <w:t>4</w:t>
            </w:r>
          </w:p>
        </w:tc>
        <w:tc>
          <w:tcPr>
            <w:tcW w:w="3789" w:type="dxa"/>
            <w:vAlign w:val="center"/>
          </w:tcPr>
          <w:p w14:paraId="71B998CE">
            <w:pPr>
              <w:widowControl/>
              <w:jc w:val="center"/>
              <w:textAlignment w:val="baseline"/>
              <w:rPr>
                <w:color w:val="auto"/>
                <w:kern w:val="0"/>
                <w:szCs w:val="21"/>
              </w:rPr>
            </w:pPr>
            <w:r>
              <w:rPr>
                <w:color w:val="auto"/>
                <w:kern w:val="0"/>
                <w:szCs w:val="21"/>
              </w:rPr>
              <w:t>第十四条　从事畜禽养殖活动，应当采取科学的饲养方式和废弃物处理工艺等有效措施，减少畜禽养殖废弃物的产生量和向环境的排放量。</w:t>
            </w:r>
          </w:p>
        </w:tc>
        <w:tc>
          <w:tcPr>
            <w:tcW w:w="3225" w:type="dxa"/>
            <w:vAlign w:val="center"/>
          </w:tcPr>
          <w:p w14:paraId="7F8DCBC5">
            <w:pPr>
              <w:widowControl/>
              <w:jc w:val="center"/>
              <w:textAlignment w:val="baseline"/>
              <w:rPr>
                <w:rFonts w:hint="eastAsia" w:eastAsia="宋体"/>
                <w:color w:val="auto"/>
                <w:kern w:val="0"/>
                <w:szCs w:val="21"/>
                <w:lang w:eastAsia="zh-CN"/>
              </w:rPr>
            </w:pPr>
            <w:r>
              <w:rPr>
                <w:rFonts w:hint="eastAsia"/>
                <w:bCs/>
                <w:color w:val="auto"/>
                <w:szCs w:val="21"/>
              </w:rPr>
              <w:t>企业采取科学饲养方式，且</w:t>
            </w:r>
            <w:r>
              <w:rPr>
                <w:rFonts w:hint="eastAsia"/>
                <w:bCs/>
                <w:color w:val="auto"/>
                <w:szCs w:val="21"/>
                <w:lang w:eastAsia="zh-CN"/>
              </w:rPr>
              <w:t>临时储粪场设置为封闭结构四周做围堰，</w:t>
            </w:r>
            <w:r>
              <w:rPr>
                <w:color w:val="auto"/>
                <w:szCs w:val="21"/>
                <w:highlight w:val="none"/>
              </w:rPr>
              <w:t>喷</w:t>
            </w:r>
            <w:r>
              <w:rPr>
                <w:rFonts w:hint="eastAsia"/>
                <w:color w:val="auto"/>
                <w:szCs w:val="21"/>
                <w:highlight w:val="none"/>
              </w:rPr>
              <w:t>洒</w:t>
            </w:r>
            <w:r>
              <w:rPr>
                <w:color w:val="auto"/>
                <w:szCs w:val="21"/>
                <w:highlight w:val="none"/>
              </w:rPr>
              <w:t>生物除臭剂，周围加强绿化，</w:t>
            </w:r>
            <w:r>
              <w:rPr>
                <w:rFonts w:hint="eastAsia"/>
                <w:color w:val="auto"/>
                <w:szCs w:val="21"/>
                <w:highlight w:val="none"/>
                <w:lang w:eastAsia="zh-CN"/>
              </w:rPr>
              <w:t>废水收集池</w:t>
            </w:r>
            <w:r>
              <w:rPr>
                <w:color w:val="auto"/>
                <w:szCs w:val="21"/>
                <w:highlight w:val="none"/>
              </w:rPr>
              <w:t>加盖板密闭</w:t>
            </w:r>
            <w:r>
              <w:rPr>
                <w:rFonts w:hint="eastAsia"/>
                <w:color w:val="auto"/>
                <w:szCs w:val="21"/>
                <w:highlight w:val="none"/>
                <w:lang w:eastAsia="zh-CN"/>
              </w:rPr>
              <w:t>等措施</w:t>
            </w:r>
            <w:r>
              <w:rPr>
                <w:rFonts w:hint="eastAsia"/>
                <w:color w:val="auto"/>
                <w:szCs w:val="21"/>
                <w:highlight w:val="none"/>
              </w:rPr>
              <w:t>，鸡舍采取</w:t>
            </w:r>
            <w:r>
              <w:rPr>
                <w:color w:val="auto"/>
                <w:kern w:val="0"/>
                <w:szCs w:val="21"/>
                <w:highlight w:val="none"/>
              </w:rPr>
              <w:t>干清粪、喷洒除臭剂</w:t>
            </w:r>
            <w:r>
              <w:rPr>
                <w:rFonts w:hint="eastAsia"/>
                <w:color w:val="auto"/>
                <w:kern w:val="0"/>
                <w:szCs w:val="21"/>
                <w:highlight w:val="none"/>
              </w:rPr>
              <w:t>等措施，可确保项目恶臭污染物达标排放</w:t>
            </w:r>
            <w:r>
              <w:rPr>
                <w:rFonts w:hint="eastAsia"/>
                <w:color w:val="auto"/>
                <w:kern w:val="0"/>
                <w:szCs w:val="21"/>
                <w:highlight w:val="none"/>
                <w:lang w:eastAsia="zh-CN"/>
              </w:rPr>
              <w:t>。</w:t>
            </w:r>
          </w:p>
        </w:tc>
        <w:tc>
          <w:tcPr>
            <w:tcW w:w="763" w:type="dxa"/>
            <w:vAlign w:val="center"/>
          </w:tcPr>
          <w:p w14:paraId="41202D0E">
            <w:pPr>
              <w:jc w:val="center"/>
              <w:textAlignment w:val="baseline"/>
              <w:rPr>
                <w:color w:val="auto"/>
                <w:kern w:val="0"/>
                <w:szCs w:val="21"/>
              </w:rPr>
            </w:pPr>
            <w:r>
              <w:rPr>
                <w:color w:val="auto"/>
                <w:kern w:val="0"/>
                <w:szCs w:val="21"/>
              </w:rPr>
              <w:t>符合</w:t>
            </w:r>
          </w:p>
        </w:tc>
      </w:tr>
    </w:tbl>
    <w:p w14:paraId="624C00C0">
      <w:pPr>
        <w:adjustRightInd w:val="0"/>
        <w:spacing w:line="360" w:lineRule="auto"/>
        <w:ind w:firstLine="482" w:firstLineChars="200"/>
        <w:rPr>
          <w:b/>
          <w:bCs/>
          <w:color w:val="auto"/>
          <w:sz w:val="24"/>
        </w:rPr>
      </w:pPr>
      <w:r>
        <w:rPr>
          <w:b/>
          <w:bCs/>
          <w:color w:val="auto"/>
          <w:sz w:val="24"/>
        </w:rPr>
        <w:t>（</w:t>
      </w:r>
      <w:r>
        <w:rPr>
          <w:rFonts w:hint="eastAsia"/>
          <w:b/>
          <w:bCs/>
          <w:color w:val="auto"/>
          <w:sz w:val="24"/>
          <w:lang w:val="en-US" w:eastAsia="zh-CN"/>
        </w:rPr>
        <w:t>十二</w:t>
      </w:r>
      <w:r>
        <w:rPr>
          <w:b/>
          <w:bCs/>
          <w:color w:val="auto"/>
          <w:sz w:val="24"/>
        </w:rPr>
        <w:t>）与《农业农村部办公厅、生态环境部办公厅</w:t>
      </w:r>
      <w:r>
        <w:rPr>
          <w:rFonts w:hint="eastAsia"/>
          <w:b/>
          <w:bCs/>
          <w:color w:val="auto"/>
          <w:sz w:val="24"/>
        </w:rPr>
        <w:t xml:space="preserve"> </w:t>
      </w:r>
      <w:r>
        <w:rPr>
          <w:b/>
          <w:bCs/>
          <w:color w:val="auto"/>
          <w:sz w:val="24"/>
        </w:rPr>
        <w:t>关于进一步明确畜禽粪污还田利用要求强化养殖污染监管的通知》（农办牧〔2020〕23号）相符性分析</w:t>
      </w:r>
    </w:p>
    <w:p w14:paraId="206E932A">
      <w:pPr>
        <w:ind w:firstLine="413" w:firstLineChars="196"/>
        <w:jc w:val="center"/>
        <w:textAlignment w:val="baseline"/>
        <w:rPr>
          <w:b/>
          <w:color w:val="auto"/>
          <w:kern w:val="0"/>
          <w:szCs w:val="21"/>
        </w:rPr>
      </w:pPr>
      <w:r>
        <w:rPr>
          <w:b/>
          <w:color w:val="auto"/>
          <w:kern w:val="0"/>
          <w:szCs w:val="21"/>
        </w:rPr>
        <w:t>表1</w:t>
      </w:r>
      <w:r>
        <w:rPr>
          <w:rFonts w:hint="eastAsia"/>
          <w:b/>
          <w:color w:val="auto"/>
          <w:kern w:val="0"/>
          <w:szCs w:val="21"/>
          <w:lang w:val="en-US" w:eastAsia="zh-CN"/>
        </w:rPr>
        <w:t>.4</w:t>
      </w:r>
      <w:r>
        <w:rPr>
          <w:b/>
          <w:color w:val="auto"/>
          <w:kern w:val="0"/>
          <w:szCs w:val="21"/>
        </w:rPr>
        <w:t>-</w:t>
      </w:r>
      <w:r>
        <w:rPr>
          <w:rFonts w:hint="eastAsia"/>
          <w:b/>
          <w:color w:val="auto"/>
          <w:kern w:val="0"/>
          <w:szCs w:val="21"/>
          <w:lang w:val="en-US" w:eastAsia="zh-CN"/>
        </w:rPr>
        <w:t>10</w:t>
      </w:r>
      <w:r>
        <w:rPr>
          <w:b/>
          <w:color w:val="auto"/>
          <w:kern w:val="0"/>
          <w:szCs w:val="21"/>
        </w:rPr>
        <w:t xml:space="preserve">    与相关管理要求相符性分析一览表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4"/>
        <w:gridCol w:w="796"/>
        <w:gridCol w:w="3088"/>
        <w:gridCol w:w="3127"/>
        <w:gridCol w:w="763"/>
      </w:tblGrid>
      <w:tr w14:paraId="1A8C4C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5CB9C7EA">
            <w:pPr>
              <w:jc w:val="center"/>
              <w:textAlignment w:val="baseline"/>
              <w:rPr>
                <w:color w:val="auto"/>
                <w:kern w:val="0"/>
                <w:szCs w:val="21"/>
              </w:rPr>
            </w:pPr>
            <w:r>
              <w:rPr>
                <w:color w:val="auto"/>
                <w:kern w:val="0"/>
                <w:szCs w:val="21"/>
              </w:rPr>
              <w:t>序号</w:t>
            </w:r>
          </w:p>
        </w:tc>
        <w:tc>
          <w:tcPr>
            <w:tcW w:w="3884" w:type="dxa"/>
            <w:gridSpan w:val="2"/>
            <w:vAlign w:val="center"/>
          </w:tcPr>
          <w:p w14:paraId="44CC8FB0">
            <w:pPr>
              <w:ind w:left="-107" w:leftChars="-51" w:right="-107" w:rightChars="-51"/>
              <w:jc w:val="center"/>
              <w:rPr>
                <w:color w:val="auto"/>
                <w:kern w:val="0"/>
                <w:szCs w:val="21"/>
              </w:rPr>
            </w:pPr>
            <w:r>
              <w:rPr>
                <w:color w:val="auto"/>
                <w:kern w:val="0"/>
                <w:szCs w:val="21"/>
              </w:rPr>
              <w:t>管理要求</w:t>
            </w:r>
          </w:p>
        </w:tc>
        <w:tc>
          <w:tcPr>
            <w:tcW w:w="3127" w:type="dxa"/>
            <w:vAlign w:val="center"/>
          </w:tcPr>
          <w:p w14:paraId="359147E6">
            <w:pPr>
              <w:ind w:left="-107" w:leftChars="-51" w:right="-107" w:rightChars="-51"/>
              <w:jc w:val="center"/>
              <w:rPr>
                <w:color w:val="auto"/>
                <w:kern w:val="0"/>
                <w:szCs w:val="21"/>
              </w:rPr>
            </w:pPr>
            <w:r>
              <w:rPr>
                <w:color w:val="auto"/>
                <w:kern w:val="0"/>
                <w:szCs w:val="21"/>
              </w:rPr>
              <w:t>符合性分析</w:t>
            </w:r>
          </w:p>
        </w:tc>
        <w:tc>
          <w:tcPr>
            <w:tcW w:w="763" w:type="dxa"/>
            <w:vAlign w:val="center"/>
          </w:tcPr>
          <w:p w14:paraId="686499CB">
            <w:pPr>
              <w:jc w:val="center"/>
              <w:textAlignment w:val="baseline"/>
              <w:rPr>
                <w:color w:val="auto"/>
                <w:kern w:val="0"/>
                <w:szCs w:val="21"/>
              </w:rPr>
            </w:pPr>
            <w:r>
              <w:rPr>
                <w:color w:val="auto"/>
                <w:kern w:val="0"/>
                <w:szCs w:val="21"/>
              </w:rPr>
              <w:t>结论</w:t>
            </w:r>
          </w:p>
        </w:tc>
      </w:tr>
      <w:tr w14:paraId="735C9D3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7405C5D2">
            <w:pPr>
              <w:jc w:val="center"/>
              <w:textAlignment w:val="baseline"/>
              <w:rPr>
                <w:color w:val="auto"/>
                <w:kern w:val="0"/>
                <w:szCs w:val="21"/>
              </w:rPr>
            </w:pPr>
            <w:r>
              <w:rPr>
                <w:color w:val="auto"/>
                <w:kern w:val="0"/>
                <w:szCs w:val="21"/>
              </w:rPr>
              <w:t>1</w:t>
            </w:r>
          </w:p>
        </w:tc>
        <w:tc>
          <w:tcPr>
            <w:tcW w:w="796" w:type="dxa"/>
            <w:vAlign w:val="center"/>
          </w:tcPr>
          <w:p w14:paraId="0E099C81">
            <w:pPr>
              <w:widowControl/>
              <w:jc w:val="center"/>
              <w:textAlignment w:val="baseline"/>
              <w:rPr>
                <w:color w:val="auto"/>
                <w:kern w:val="0"/>
                <w:szCs w:val="21"/>
              </w:rPr>
            </w:pPr>
            <w:r>
              <w:rPr>
                <w:rFonts w:hint="eastAsia"/>
                <w:color w:val="auto"/>
                <w:kern w:val="0"/>
                <w:szCs w:val="21"/>
              </w:rPr>
              <w:t>鼓励畜禽粪污还田利用</w:t>
            </w:r>
          </w:p>
        </w:tc>
        <w:tc>
          <w:tcPr>
            <w:tcW w:w="3088" w:type="dxa"/>
            <w:vAlign w:val="center"/>
          </w:tcPr>
          <w:p w14:paraId="00FA23FB">
            <w:pPr>
              <w:widowControl/>
              <w:jc w:val="center"/>
              <w:textAlignment w:val="baseline"/>
              <w:rPr>
                <w:color w:val="auto"/>
                <w:kern w:val="0"/>
                <w:szCs w:val="21"/>
              </w:rPr>
            </w:pPr>
            <w:r>
              <w:rPr>
                <w:rFonts w:hint="eastAsia"/>
                <w:color w:val="auto"/>
                <w:kern w:val="0"/>
                <w:szCs w:val="21"/>
              </w:rPr>
              <w:t>国家支持畜禽养殖场户建设畜禽粪污无害化处理和资源化利用设施，鼓励采取粪肥还田、制取沼气、生产有机肥等方式进行资源化利用。</w:t>
            </w:r>
          </w:p>
        </w:tc>
        <w:tc>
          <w:tcPr>
            <w:tcW w:w="3127" w:type="dxa"/>
            <w:vAlign w:val="center"/>
          </w:tcPr>
          <w:p w14:paraId="4B6E70C5">
            <w:pPr>
              <w:widowControl/>
              <w:jc w:val="center"/>
              <w:textAlignment w:val="baseline"/>
              <w:rPr>
                <w:color w:val="auto"/>
                <w:kern w:val="0"/>
                <w:szCs w:val="21"/>
                <w:highlight w:val="none"/>
              </w:rPr>
            </w:pPr>
            <w:r>
              <w:rPr>
                <w:rFonts w:hint="eastAsia"/>
                <w:color w:val="auto"/>
                <w:kern w:val="0"/>
                <w:szCs w:val="21"/>
                <w:highlight w:val="none"/>
              </w:rPr>
              <w:t>鸡粪、鸡羽毛、饲料残渣日产日清</w:t>
            </w:r>
            <w:r>
              <w:rPr>
                <w:rFonts w:hint="eastAsia"/>
                <w:color w:val="auto"/>
                <w:kern w:val="0"/>
                <w:szCs w:val="21"/>
                <w:highlight w:val="none"/>
                <w:lang w:eastAsia="zh-CN"/>
              </w:rPr>
              <w:t>，</w:t>
            </w:r>
            <w:r>
              <w:rPr>
                <w:rFonts w:hint="eastAsia"/>
                <w:color w:val="auto"/>
                <w:kern w:val="0"/>
                <w:szCs w:val="21"/>
                <w:highlight w:val="none"/>
              </w:rPr>
              <w:t>由清粪车直接拉走外售</w:t>
            </w:r>
            <w:r>
              <w:rPr>
                <w:rFonts w:hint="eastAsia" w:ascii="Times New Roman" w:hAnsi="Times New Roman" w:eastAsia="宋体"/>
                <w:color w:val="auto"/>
                <w:kern w:val="0"/>
                <w:sz w:val="21"/>
                <w:szCs w:val="21"/>
                <w:highlight w:val="none"/>
                <w:lang w:eastAsia="zh-CN"/>
              </w:rPr>
              <w:t>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rPr>
              <w:t>；养殖废水</w:t>
            </w:r>
            <w:r>
              <w:rPr>
                <w:rFonts w:hint="eastAsia" w:ascii="Times New Roman" w:hAnsi="Times New Roman" w:eastAsia="宋体"/>
                <w:color w:val="auto"/>
                <w:kern w:val="0"/>
                <w:sz w:val="21"/>
                <w:szCs w:val="21"/>
                <w:highlight w:val="none"/>
                <w:lang w:eastAsia="zh-CN"/>
              </w:rPr>
              <w:t>日产日清，由罐车直接拉走外售至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rPr>
              <w:t>；</w:t>
            </w:r>
          </w:p>
        </w:tc>
        <w:tc>
          <w:tcPr>
            <w:tcW w:w="763" w:type="dxa"/>
            <w:vAlign w:val="center"/>
          </w:tcPr>
          <w:p w14:paraId="3AD8BA53">
            <w:pPr>
              <w:jc w:val="center"/>
              <w:textAlignment w:val="baseline"/>
              <w:rPr>
                <w:color w:val="auto"/>
                <w:kern w:val="0"/>
                <w:szCs w:val="21"/>
              </w:rPr>
            </w:pPr>
            <w:r>
              <w:rPr>
                <w:color w:val="auto"/>
                <w:kern w:val="0"/>
                <w:szCs w:val="21"/>
              </w:rPr>
              <w:t>符合</w:t>
            </w:r>
          </w:p>
        </w:tc>
      </w:tr>
      <w:tr w14:paraId="7B7F361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764FFF6E">
            <w:pPr>
              <w:jc w:val="center"/>
              <w:textAlignment w:val="baseline"/>
              <w:rPr>
                <w:color w:val="auto"/>
                <w:kern w:val="0"/>
                <w:szCs w:val="21"/>
              </w:rPr>
            </w:pPr>
            <w:r>
              <w:rPr>
                <w:color w:val="auto"/>
                <w:kern w:val="0"/>
                <w:szCs w:val="21"/>
              </w:rPr>
              <w:t>2</w:t>
            </w:r>
          </w:p>
        </w:tc>
        <w:tc>
          <w:tcPr>
            <w:tcW w:w="796" w:type="dxa"/>
            <w:vAlign w:val="center"/>
          </w:tcPr>
          <w:p w14:paraId="7680E547">
            <w:pPr>
              <w:widowControl/>
              <w:jc w:val="center"/>
              <w:textAlignment w:val="baseline"/>
              <w:rPr>
                <w:color w:val="auto"/>
                <w:kern w:val="0"/>
                <w:szCs w:val="21"/>
              </w:rPr>
            </w:pPr>
            <w:r>
              <w:rPr>
                <w:rFonts w:hint="eastAsia"/>
                <w:color w:val="auto"/>
                <w:kern w:val="0"/>
                <w:szCs w:val="21"/>
              </w:rPr>
              <w:t>明确还田利用标准规范</w:t>
            </w:r>
          </w:p>
        </w:tc>
        <w:tc>
          <w:tcPr>
            <w:tcW w:w="3088" w:type="dxa"/>
            <w:vAlign w:val="center"/>
          </w:tcPr>
          <w:p w14:paraId="53AE61B4">
            <w:pPr>
              <w:widowControl/>
              <w:jc w:val="center"/>
              <w:textAlignment w:val="baseline"/>
              <w:rPr>
                <w:color w:val="auto"/>
                <w:kern w:val="0"/>
                <w:szCs w:val="21"/>
              </w:rPr>
            </w:pPr>
            <w:r>
              <w:rPr>
                <w:rFonts w:hint="eastAsia"/>
                <w:color w:val="auto"/>
                <w:kern w:val="0"/>
                <w:szCs w:val="21"/>
              </w:rPr>
              <w:t>对配套土地充足的养殖场户，粪污经无害化处理后还田利用具体要求及限量应符合《畜禽粪便无害化处理技术规范》（GB/T 36195）和《畜禽粪便还田技术规范》（GB/T25246），配套土地面积应达到《畜禽粪污土地承载力测算技术指南》（以下简称《指南》）要求的最小面积。对配套土地不足的养殖场户，粪污经处理后向环境排放的，应符合《畜禽养殖业污染物排放标准》（GB 18596）和地方有关排放标准。用于农田灌溉的，应符合《农田灌溉水质标准》（GB5084）。</w:t>
            </w:r>
          </w:p>
        </w:tc>
        <w:tc>
          <w:tcPr>
            <w:tcW w:w="3127" w:type="dxa"/>
            <w:vAlign w:val="center"/>
          </w:tcPr>
          <w:p w14:paraId="6527CA5B">
            <w:pPr>
              <w:jc w:val="center"/>
              <w:rPr>
                <w:color w:val="auto"/>
                <w:kern w:val="0"/>
                <w:szCs w:val="21"/>
                <w:highlight w:val="none"/>
              </w:rPr>
            </w:pPr>
            <w:r>
              <w:rPr>
                <w:rFonts w:hint="eastAsia"/>
                <w:color w:val="auto"/>
                <w:kern w:val="0"/>
                <w:szCs w:val="21"/>
                <w:highlight w:val="none"/>
              </w:rPr>
              <w:t>鸡粪、鸡羽毛、饲料残渣日产日清</w:t>
            </w:r>
            <w:r>
              <w:rPr>
                <w:rFonts w:hint="eastAsia"/>
                <w:color w:val="auto"/>
                <w:kern w:val="0"/>
                <w:szCs w:val="21"/>
                <w:highlight w:val="none"/>
                <w:lang w:eastAsia="zh-CN"/>
              </w:rPr>
              <w:t>，</w:t>
            </w:r>
            <w:r>
              <w:rPr>
                <w:rFonts w:hint="eastAsia"/>
                <w:color w:val="auto"/>
                <w:kern w:val="0"/>
                <w:szCs w:val="21"/>
                <w:highlight w:val="none"/>
              </w:rPr>
              <w:t>由清粪车直接拉走外售</w:t>
            </w:r>
            <w:r>
              <w:rPr>
                <w:rFonts w:hint="eastAsia" w:ascii="Times New Roman" w:hAnsi="Times New Roman" w:eastAsia="宋体"/>
                <w:color w:val="auto"/>
                <w:kern w:val="0"/>
                <w:sz w:val="21"/>
                <w:szCs w:val="21"/>
                <w:highlight w:val="none"/>
                <w:lang w:eastAsia="zh-CN"/>
              </w:rPr>
              <w:t>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rPr>
              <w:t>；养殖废水</w:t>
            </w:r>
            <w:r>
              <w:rPr>
                <w:rFonts w:hint="eastAsia" w:ascii="Times New Roman" w:hAnsi="Times New Roman" w:eastAsia="宋体"/>
                <w:color w:val="auto"/>
                <w:kern w:val="0"/>
                <w:sz w:val="21"/>
                <w:szCs w:val="21"/>
                <w:highlight w:val="none"/>
                <w:lang w:eastAsia="zh-CN"/>
              </w:rPr>
              <w:t>日产日清，由罐车直接拉走外售至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 w:val="21"/>
                <w:szCs w:val="21"/>
                <w:highlight w:val="none"/>
                <w:lang w:eastAsia="zh-CN"/>
              </w:rPr>
              <w:t>，无废水外排</w:t>
            </w:r>
            <w:r>
              <w:rPr>
                <w:rFonts w:hint="eastAsia"/>
                <w:color w:val="auto"/>
                <w:kern w:val="0"/>
                <w:szCs w:val="21"/>
                <w:highlight w:val="none"/>
              </w:rPr>
              <w:t>；</w:t>
            </w:r>
          </w:p>
        </w:tc>
        <w:tc>
          <w:tcPr>
            <w:tcW w:w="763" w:type="dxa"/>
            <w:vAlign w:val="center"/>
          </w:tcPr>
          <w:p w14:paraId="0E02C20F">
            <w:pPr>
              <w:jc w:val="center"/>
              <w:textAlignment w:val="baseline"/>
              <w:rPr>
                <w:color w:val="auto"/>
                <w:kern w:val="0"/>
                <w:szCs w:val="21"/>
              </w:rPr>
            </w:pPr>
            <w:r>
              <w:rPr>
                <w:color w:val="auto"/>
                <w:kern w:val="0"/>
                <w:szCs w:val="21"/>
              </w:rPr>
              <w:t>符合</w:t>
            </w:r>
          </w:p>
        </w:tc>
      </w:tr>
      <w:tr w14:paraId="6FA6E7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6EE1712F">
            <w:pPr>
              <w:jc w:val="center"/>
              <w:textAlignment w:val="baseline"/>
              <w:rPr>
                <w:color w:val="auto"/>
                <w:kern w:val="0"/>
                <w:szCs w:val="21"/>
              </w:rPr>
            </w:pPr>
            <w:r>
              <w:rPr>
                <w:color w:val="auto"/>
                <w:kern w:val="0"/>
                <w:szCs w:val="21"/>
              </w:rPr>
              <w:t>3</w:t>
            </w:r>
          </w:p>
        </w:tc>
        <w:tc>
          <w:tcPr>
            <w:tcW w:w="796" w:type="dxa"/>
            <w:vAlign w:val="center"/>
          </w:tcPr>
          <w:p w14:paraId="4D66F993">
            <w:pPr>
              <w:widowControl/>
              <w:jc w:val="center"/>
              <w:textAlignment w:val="baseline"/>
              <w:rPr>
                <w:color w:val="auto"/>
                <w:kern w:val="0"/>
                <w:szCs w:val="21"/>
              </w:rPr>
            </w:pPr>
            <w:r>
              <w:rPr>
                <w:rFonts w:hint="eastAsia"/>
                <w:color w:val="auto"/>
                <w:kern w:val="0"/>
                <w:szCs w:val="21"/>
              </w:rPr>
              <w:t>落实养殖场户主体责任</w:t>
            </w:r>
          </w:p>
        </w:tc>
        <w:tc>
          <w:tcPr>
            <w:tcW w:w="3088" w:type="dxa"/>
            <w:vAlign w:val="center"/>
          </w:tcPr>
          <w:p w14:paraId="5EA4456B">
            <w:pPr>
              <w:widowControl/>
              <w:jc w:val="center"/>
              <w:textAlignment w:val="baseline"/>
              <w:rPr>
                <w:color w:val="auto"/>
                <w:kern w:val="0"/>
                <w:szCs w:val="21"/>
              </w:rPr>
            </w:pPr>
            <w:r>
              <w:rPr>
                <w:rFonts w:hint="eastAsia"/>
                <w:color w:val="auto"/>
                <w:kern w:val="0"/>
                <w:szCs w:val="21"/>
              </w:rPr>
              <w:t>建设粪污无害化处理和资源化利用设施并确保其正常运行，或委托第三方代为实现粪污无害化处理和资源化利用。</w:t>
            </w:r>
          </w:p>
        </w:tc>
        <w:tc>
          <w:tcPr>
            <w:tcW w:w="3127" w:type="dxa"/>
            <w:vAlign w:val="center"/>
          </w:tcPr>
          <w:p w14:paraId="76CBA0B4">
            <w:pPr>
              <w:widowControl/>
              <w:jc w:val="center"/>
              <w:textAlignment w:val="baseline"/>
              <w:rPr>
                <w:color w:val="auto"/>
                <w:kern w:val="0"/>
                <w:szCs w:val="21"/>
                <w:highlight w:val="none"/>
              </w:rPr>
            </w:pPr>
            <w:r>
              <w:rPr>
                <w:rFonts w:hint="eastAsia"/>
                <w:color w:val="auto"/>
                <w:kern w:val="0"/>
                <w:szCs w:val="21"/>
                <w:highlight w:val="none"/>
              </w:rPr>
              <w:t>鸡粪、鸡羽毛、饲料残渣日产日清</w:t>
            </w:r>
            <w:r>
              <w:rPr>
                <w:rFonts w:hint="eastAsia"/>
                <w:color w:val="auto"/>
                <w:kern w:val="0"/>
                <w:szCs w:val="21"/>
                <w:highlight w:val="none"/>
                <w:lang w:eastAsia="zh-CN"/>
              </w:rPr>
              <w:t>，</w:t>
            </w:r>
            <w:r>
              <w:rPr>
                <w:rFonts w:hint="eastAsia"/>
                <w:color w:val="auto"/>
                <w:kern w:val="0"/>
                <w:szCs w:val="21"/>
                <w:highlight w:val="none"/>
              </w:rPr>
              <w:t>由清粪车直接拉走外售</w:t>
            </w:r>
            <w:r>
              <w:rPr>
                <w:rFonts w:hint="eastAsia" w:ascii="Times New Roman" w:hAnsi="Times New Roman" w:eastAsia="宋体"/>
                <w:color w:val="auto"/>
                <w:kern w:val="0"/>
                <w:sz w:val="21"/>
                <w:szCs w:val="21"/>
                <w:highlight w:val="none"/>
                <w:lang w:eastAsia="zh-CN"/>
              </w:rPr>
              <w:t>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rPr>
              <w:t>；养殖废水</w:t>
            </w:r>
            <w:r>
              <w:rPr>
                <w:rFonts w:hint="eastAsia" w:ascii="Times New Roman" w:hAnsi="Times New Roman" w:eastAsia="宋体"/>
                <w:color w:val="auto"/>
                <w:kern w:val="0"/>
                <w:sz w:val="21"/>
                <w:szCs w:val="21"/>
                <w:highlight w:val="none"/>
                <w:lang w:eastAsia="zh-CN"/>
              </w:rPr>
              <w:t>日产日清，由罐车直接拉走外售至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 w:val="21"/>
                <w:szCs w:val="21"/>
                <w:highlight w:val="none"/>
                <w:lang w:eastAsia="zh-CN"/>
              </w:rPr>
              <w:t>，无废水外排</w:t>
            </w:r>
            <w:r>
              <w:rPr>
                <w:rFonts w:hint="eastAsia"/>
                <w:color w:val="auto"/>
                <w:kern w:val="0"/>
                <w:szCs w:val="21"/>
                <w:highlight w:val="none"/>
              </w:rPr>
              <w:t>；</w:t>
            </w:r>
          </w:p>
        </w:tc>
        <w:tc>
          <w:tcPr>
            <w:tcW w:w="763" w:type="dxa"/>
            <w:vAlign w:val="center"/>
          </w:tcPr>
          <w:p w14:paraId="3C05CA42">
            <w:pPr>
              <w:jc w:val="center"/>
              <w:textAlignment w:val="baseline"/>
              <w:rPr>
                <w:color w:val="auto"/>
                <w:kern w:val="0"/>
                <w:szCs w:val="21"/>
              </w:rPr>
            </w:pPr>
            <w:r>
              <w:rPr>
                <w:color w:val="auto"/>
                <w:kern w:val="0"/>
                <w:szCs w:val="21"/>
              </w:rPr>
              <w:t>符合</w:t>
            </w:r>
          </w:p>
        </w:tc>
      </w:tr>
      <w:tr w14:paraId="0FDE02E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42177973">
            <w:pPr>
              <w:jc w:val="center"/>
              <w:textAlignment w:val="baseline"/>
              <w:rPr>
                <w:color w:val="auto"/>
                <w:kern w:val="0"/>
                <w:szCs w:val="21"/>
              </w:rPr>
            </w:pPr>
            <w:r>
              <w:rPr>
                <w:color w:val="auto"/>
                <w:kern w:val="0"/>
                <w:szCs w:val="21"/>
              </w:rPr>
              <w:t>4</w:t>
            </w:r>
          </w:p>
        </w:tc>
        <w:tc>
          <w:tcPr>
            <w:tcW w:w="796" w:type="dxa"/>
            <w:vAlign w:val="center"/>
          </w:tcPr>
          <w:p w14:paraId="481D288D">
            <w:pPr>
              <w:widowControl/>
              <w:jc w:val="center"/>
              <w:textAlignment w:val="baseline"/>
              <w:rPr>
                <w:color w:val="auto"/>
                <w:kern w:val="0"/>
                <w:szCs w:val="21"/>
              </w:rPr>
            </w:pPr>
            <w:r>
              <w:rPr>
                <w:rFonts w:hint="eastAsia"/>
                <w:color w:val="auto"/>
                <w:kern w:val="0"/>
                <w:szCs w:val="21"/>
              </w:rPr>
              <w:t>强化粪污还田利用过程监管</w:t>
            </w:r>
          </w:p>
        </w:tc>
        <w:tc>
          <w:tcPr>
            <w:tcW w:w="3088" w:type="dxa"/>
            <w:vAlign w:val="center"/>
          </w:tcPr>
          <w:p w14:paraId="35C177A3">
            <w:pPr>
              <w:widowControl/>
              <w:jc w:val="center"/>
              <w:textAlignment w:val="baseline"/>
              <w:rPr>
                <w:color w:val="auto"/>
                <w:kern w:val="0"/>
                <w:szCs w:val="21"/>
              </w:rPr>
            </w:pPr>
            <w:r>
              <w:rPr>
                <w:rFonts w:hint="eastAsia"/>
                <w:color w:val="auto"/>
                <w:kern w:val="0"/>
                <w:szCs w:val="21"/>
              </w:rPr>
              <w:t>养殖场户应依法配置粪污贮存设施，设施总容积不得低于当地农林作物生产用肥的最大间隔时间内产生粪污的总量，配套土地面积不得小于《指南》要求的最小面积；配套土地面积不足的，应委托第三方代为实现粪污资源化。达不到前述要求且无法证明粪污去向的，视同超出土地消纳能力。</w:t>
            </w:r>
          </w:p>
        </w:tc>
        <w:tc>
          <w:tcPr>
            <w:tcW w:w="3127" w:type="dxa"/>
            <w:vAlign w:val="center"/>
          </w:tcPr>
          <w:p w14:paraId="709FDEBC">
            <w:pPr>
              <w:widowControl/>
              <w:jc w:val="center"/>
              <w:textAlignment w:val="baseline"/>
              <w:rPr>
                <w:rFonts w:hint="eastAsia"/>
                <w:color w:val="auto"/>
                <w:kern w:val="0"/>
                <w:szCs w:val="21"/>
                <w:highlight w:val="none"/>
              </w:rPr>
            </w:pPr>
            <w:r>
              <w:rPr>
                <w:rFonts w:hint="eastAsia"/>
                <w:color w:val="auto"/>
                <w:kern w:val="0"/>
                <w:szCs w:val="21"/>
                <w:highlight w:val="none"/>
              </w:rPr>
              <w:t>鸡粪、鸡羽毛、饲料残渣日产日清</w:t>
            </w:r>
            <w:r>
              <w:rPr>
                <w:rFonts w:hint="eastAsia"/>
                <w:color w:val="auto"/>
                <w:kern w:val="0"/>
                <w:szCs w:val="21"/>
                <w:highlight w:val="none"/>
                <w:lang w:eastAsia="zh-CN"/>
              </w:rPr>
              <w:t>，</w:t>
            </w:r>
            <w:r>
              <w:rPr>
                <w:rFonts w:hint="eastAsia"/>
                <w:color w:val="auto"/>
                <w:kern w:val="0"/>
                <w:szCs w:val="21"/>
                <w:highlight w:val="none"/>
              </w:rPr>
              <w:t>由清粪车直接拉走外售</w:t>
            </w:r>
            <w:r>
              <w:rPr>
                <w:rFonts w:hint="eastAsia" w:ascii="Times New Roman" w:hAnsi="Times New Roman" w:eastAsia="宋体"/>
                <w:color w:val="auto"/>
                <w:kern w:val="0"/>
                <w:sz w:val="21"/>
                <w:szCs w:val="21"/>
                <w:highlight w:val="none"/>
                <w:lang w:eastAsia="zh-CN"/>
              </w:rPr>
              <w:t>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Cs w:val="21"/>
                <w:highlight w:val="none"/>
              </w:rPr>
              <w:t>；</w:t>
            </w:r>
          </w:p>
          <w:p w14:paraId="43DCAA60">
            <w:pPr>
              <w:widowControl/>
              <w:jc w:val="center"/>
              <w:textAlignment w:val="baseline"/>
              <w:rPr>
                <w:color w:val="auto"/>
                <w:kern w:val="0"/>
                <w:szCs w:val="21"/>
                <w:highlight w:val="none"/>
              </w:rPr>
            </w:pPr>
            <w:r>
              <w:rPr>
                <w:rFonts w:hint="eastAsia"/>
                <w:color w:val="auto"/>
                <w:kern w:val="0"/>
                <w:szCs w:val="21"/>
                <w:highlight w:val="none"/>
              </w:rPr>
              <w:t>本项目鸡舍冲洗废水产生总量为</w:t>
            </w:r>
            <w:r>
              <w:rPr>
                <w:rFonts w:hint="eastAsia"/>
                <w:color w:val="auto"/>
                <w:kern w:val="0"/>
                <w:szCs w:val="21"/>
                <w:highlight w:val="none"/>
                <w:lang w:val="en-US" w:eastAsia="zh-CN"/>
              </w:rPr>
              <w:t>5.08</w:t>
            </w:r>
            <w:r>
              <w:rPr>
                <w:rFonts w:hint="eastAsia"/>
                <w:color w:val="auto"/>
                <w:kern w:val="0"/>
                <w:szCs w:val="21"/>
                <w:highlight w:val="none"/>
              </w:rPr>
              <w:t>m</w:t>
            </w:r>
            <w:r>
              <w:rPr>
                <w:rFonts w:hint="eastAsia"/>
                <w:color w:val="auto"/>
                <w:kern w:val="0"/>
                <w:szCs w:val="21"/>
                <w:highlight w:val="none"/>
                <w:vertAlign w:val="superscript"/>
              </w:rPr>
              <w:t>3</w:t>
            </w:r>
            <w:r>
              <w:rPr>
                <w:rFonts w:hint="eastAsia"/>
                <w:color w:val="auto"/>
                <w:kern w:val="0"/>
                <w:szCs w:val="21"/>
                <w:highlight w:val="none"/>
              </w:rPr>
              <w:t>/a，设置</w:t>
            </w:r>
            <w:r>
              <w:rPr>
                <w:rFonts w:hint="eastAsia"/>
                <w:color w:val="auto"/>
                <w:kern w:val="0"/>
                <w:szCs w:val="21"/>
                <w:highlight w:val="none"/>
                <w:lang w:val="en-US" w:eastAsia="zh-CN"/>
              </w:rPr>
              <w:t>8</w:t>
            </w:r>
            <w:r>
              <w:rPr>
                <w:rFonts w:hint="eastAsia"/>
                <w:color w:val="auto"/>
                <w:kern w:val="0"/>
                <w:szCs w:val="21"/>
                <w:highlight w:val="none"/>
              </w:rPr>
              <w:t>个</w:t>
            </w:r>
            <w:r>
              <w:rPr>
                <w:rFonts w:hint="eastAsia"/>
                <w:color w:val="auto"/>
                <w:kern w:val="0"/>
                <w:szCs w:val="21"/>
                <w:highlight w:val="none"/>
                <w:lang w:val="en-US" w:eastAsia="zh-CN"/>
              </w:rPr>
              <w:t>10</w:t>
            </w:r>
            <w:r>
              <w:rPr>
                <w:rFonts w:hint="eastAsia"/>
                <w:color w:val="auto"/>
                <w:kern w:val="0"/>
                <w:szCs w:val="21"/>
                <w:highlight w:val="none"/>
              </w:rPr>
              <w:t>m</w:t>
            </w:r>
            <w:r>
              <w:rPr>
                <w:rFonts w:hint="eastAsia"/>
                <w:color w:val="auto"/>
                <w:kern w:val="0"/>
                <w:szCs w:val="21"/>
                <w:highlight w:val="none"/>
                <w:vertAlign w:val="superscript"/>
              </w:rPr>
              <w:t>3</w:t>
            </w:r>
            <w:r>
              <w:rPr>
                <w:rFonts w:hint="eastAsia"/>
                <w:color w:val="auto"/>
                <w:kern w:val="0"/>
                <w:szCs w:val="21"/>
                <w:highlight w:val="none"/>
                <w:lang w:eastAsia="zh-CN"/>
              </w:rPr>
              <w:t>废水收集池</w:t>
            </w:r>
            <w:r>
              <w:rPr>
                <w:rFonts w:hint="eastAsia"/>
                <w:color w:val="auto"/>
                <w:kern w:val="0"/>
                <w:szCs w:val="21"/>
                <w:highlight w:val="none"/>
              </w:rPr>
              <w:t>，除极端天气（约50天/年）需暂存</w:t>
            </w:r>
            <w:r>
              <w:rPr>
                <w:rFonts w:hint="eastAsia"/>
                <w:color w:val="auto"/>
                <w:kern w:val="0"/>
                <w:szCs w:val="21"/>
                <w:highlight w:val="none"/>
                <w:lang w:eastAsia="zh-CN"/>
              </w:rPr>
              <w:t>于废水收集池</w:t>
            </w:r>
            <w:r>
              <w:rPr>
                <w:rFonts w:hint="eastAsia"/>
                <w:color w:val="auto"/>
                <w:kern w:val="0"/>
                <w:szCs w:val="21"/>
                <w:highlight w:val="none"/>
              </w:rPr>
              <w:t>外，均日产日清</w:t>
            </w:r>
            <w:r>
              <w:rPr>
                <w:rFonts w:hint="eastAsia" w:ascii="Times New Roman" w:hAnsi="Times New Roman" w:eastAsia="宋体"/>
                <w:color w:val="auto"/>
                <w:kern w:val="0"/>
                <w:sz w:val="21"/>
                <w:szCs w:val="21"/>
                <w:highlight w:val="none"/>
                <w:lang w:eastAsia="zh-CN"/>
              </w:rPr>
              <w:t>由罐车直接拉走外售至</w:t>
            </w:r>
            <w:r>
              <w:rPr>
                <w:rFonts w:hint="eastAsia"/>
                <w:color w:val="auto"/>
                <w:kern w:val="0"/>
                <w:sz w:val="21"/>
                <w:szCs w:val="21"/>
                <w:highlight w:val="none"/>
                <w:lang w:eastAsia="zh-CN"/>
              </w:rPr>
              <w:t>辰泰（辽宁）生物科技有限公司</w:t>
            </w:r>
            <w:r>
              <w:rPr>
                <w:rFonts w:hint="eastAsia" w:ascii="Times New Roman" w:hAnsi="Times New Roman" w:eastAsia="宋体"/>
                <w:color w:val="auto"/>
                <w:kern w:val="0"/>
                <w:sz w:val="21"/>
                <w:szCs w:val="21"/>
                <w:highlight w:val="none"/>
                <w:lang w:eastAsia="zh-CN"/>
              </w:rPr>
              <w:t>做有机肥</w:t>
            </w:r>
            <w:r>
              <w:rPr>
                <w:rFonts w:hint="eastAsia"/>
                <w:color w:val="auto"/>
                <w:kern w:val="0"/>
                <w:sz w:val="21"/>
                <w:szCs w:val="21"/>
                <w:highlight w:val="none"/>
                <w:lang w:eastAsia="zh-CN"/>
              </w:rPr>
              <w:t>。</w:t>
            </w:r>
          </w:p>
        </w:tc>
        <w:tc>
          <w:tcPr>
            <w:tcW w:w="763" w:type="dxa"/>
            <w:vAlign w:val="center"/>
          </w:tcPr>
          <w:p w14:paraId="64F9354C">
            <w:pPr>
              <w:jc w:val="center"/>
              <w:textAlignment w:val="baseline"/>
              <w:rPr>
                <w:color w:val="auto"/>
                <w:kern w:val="0"/>
                <w:szCs w:val="21"/>
              </w:rPr>
            </w:pPr>
            <w:r>
              <w:rPr>
                <w:color w:val="auto"/>
                <w:kern w:val="0"/>
                <w:szCs w:val="21"/>
              </w:rPr>
              <w:t>符合</w:t>
            </w:r>
          </w:p>
        </w:tc>
      </w:tr>
    </w:tbl>
    <w:p w14:paraId="29B7AFC6">
      <w:pPr>
        <w:adjustRightInd w:val="0"/>
        <w:spacing w:line="360" w:lineRule="auto"/>
        <w:ind w:firstLine="482" w:firstLineChars="200"/>
        <w:rPr>
          <w:b/>
          <w:bCs/>
          <w:color w:val="auto"/>
          <w:sz w:val="24"/>
        </w:rPr>
      </w:pPr>
      <w:r>
        <w:rPr>
          <w:rFonts w:hint="eastAsia"/>
          <w:b/>
          <w:bCs/>
          <w:color w:val="auto"/>
          <w:sz w:val="24"/>
        </w:rPr>
        <w:t>（</w:t>
      </w:r>
      <w:r>
        <w:rPr>
          <w:rFonts w:hint="eastAsia"/>
          <w:b/>
          <w:bCs/>
          <w:color w:val="auto"/>
          <w:sz w:val="24"/>
          <w:lang w:val="en-US" w:eastAsia="zh-CN"/>
        </w:rPr>
        <w:t>十三</w:t>
      </w:r>
      <w:r>
        <w:rPr>
          <w:rFonts w:hint="eastAsia"/>
          <w:b/>
          <w:bCs/>
          <w:color w:val="auto"/>
          <w:sz w:val="24"/>
        </w:rPr>
        <w:t>）与《规模畜禽养殖场污染防治最佳可行技术指南（试行）》（HJ-BAT-10）相符性分析</w:t>
      </w:r>
    </w:p>
    <w:p w14:paraId="78B46655">
      <w:pPr>
        <w:spacing w:line="360" w:lineRule="auto"/>
        <w:ind w:firstLine="480" w:firstLineChars="200"/>
        <w:jc w:val="left"/>
        <w:rPr>
          <w:bCs/>
          <w:color w:val="auto"/>
          <w:kern w:val="21"/>
          <w:sz w:val="24"/>
        </w:rPr>
      </w:pPr>
      <w:r>
        <w:rPr>
          <w:bCs/>
          <w:color w:val="auto"/>
          <w:kern w:val="21"/>
          <w:sz w:val="24"/>
        </w:rPr>
        <w:t>《规模畜禽养殖场污染防治最佳可行技术指南（试行）》（HJ-BAT-10）中最佳可行性技术简述如下：（1）科学配料畜禽养殖饲料应采用合理配方，在饲料中补充合成氨基酸，提高蛋白质及其他营养的吸收效率，减少氨气排放量和粪便的产生量；推行干清粪方式；对不具备高温灭菌法及焚烧法的养殖场需设置填埋井处理病死畜禽尸体。（2）厂区内采用物理、化学或者生物法进行除臭；（3）畜禽粪便堆肥发酵技术采用自然堆肥法、条垛式主动供氧堆肥、机械翻堆堆肥、转筒式堆肥；（4）畜禽养殖粪污厌氧消化及发酵产污综合利用技术，即在厌氧条件下，通过微生物作用将畜禽粪污中的有机物转化为沼气的技术，畜禽粪污经调节池调节水质水量后，提升到厌氧消化池，厌氧消化池产生的沼气经净化后再利用，出料经干湿分离后，沼液可作为有机肥回田利用。</w:t>
      </w:r>
    </w:p>
    <w:p w14:paraId="4DDCEE4C">
      <w:pPr>
        <w:spacing w:line="360" w:lineRule="auto"/>
        <w:ind w:firstLine="480" w:firstLineChars="200"/>
        <w:jc w:val="left"/>
        <w:rPr>
          <w:bCs/>
          <w:color w:val="auto"/>
          <w:kern w:val="21"/>
          <w:sz w:val="24"/>
        </w:rPr>
      </w:pPr>
      <w:r>
        <w:rPr>
          <w:bCs/>
          <w:color w:val="auto"/>
          <w:kern w:val="21"/>
          <w:sz w:val="24"/>
        </w:rPr>
        <w:t>本项目属于规模化</w:t>
      </w:r>
      <w:r>
        <w:rPr>
          <w:rFonts w:hint="eastAsia"/>
          <w:bCs/>
          <w:color w:val="auto"/>
          <w:kern w:val="21"/>
          <w:sz w:val="24"/>
        </w:rPr>
        <w:t>蛋鸡</w:t>
      </w:r>
      <w:r>
        <w:rPr>
          <w:bCs/>
          <w:color w:val="auto"/>
          <w:kern w:val="21"/>
          <w:sz w:val="24"/>
        </w:rPr>
        <w:t>的养殖项目，采用干清粪工艺，</w:t>
      </w:r>
      <w:r>
        <w:rPr>
          <w:rFonts w:hint="eastAsia"/>
          <w:bCs/>
          <w:color w:val="auto"/>
          <w:kern w:val="21"/>
          <w:sz w:val="24"/>
        </w:rPr>
        <w:t>鸡粪、鸡羽毛、饲料残渣除极端天气（约50天/年）需暂存</w:t>
      </w:r>
      <w:r>
        <w:rPr>
          <w:rFonts w:hint="eastAsia"/>
          <w:bCs/>
          <w:color w:val="auto"/>
          <w:kern w:val="21"/>
          <w:sz w:val="24"/>
          <w:lang w:eastAsia="zh-CN"/>
        </w:rPr>
        <w:t>临时储粪场</w:t>
      </w:r>
      <w:r>
        <w:rPr>
          <w:rFonts w:hint="eastAsia"/>
          <w:bCs/>
          <w:color w:val="auto"/>
          <w:kern w:val="21"/>
          <w:sz w:val="24"/>
        </w:rPr>
        <w:t>外</w:t>
      </w:r>
      <w:r>
        <w:rPr>
          <w:rFonts w:hint="eastAsia"/>
          <w:bCs/>
          <w:color w:val="auto"/>
          <w:kern w:val="21"/>
          <w:sz w:val="24"/>
          <w:highlight w:val="none"/>
        </w:rPr>
        <w:t>，均日产日清由清粪车直接拉走外售</w:t>
      </w:r>
      <w:r>
        <w:rPr>
          <w:rFonts w:hint="eastAsia"/>
          <w:bCs/>
          <w:color w:val="auto"/>
          <w:kern w:val="21"/>
          <w:sz w:val="24"/>
          <w:highlight w:val="none"/>
          <w:lang w:eastAsia="zh-CN"/>
        </w:rPr>
        <w:t>至辰泰（辽宁）生物科技有限公司</w:t>
      </w:r>
      <w:r>
        <w:rPr>
          <w:rFonts w:hint="eastAsia"/>
          <w:bCs/>
          <w:color w:val="auto"/>
          <w:kern w:val="21"/>
          <w:sz w:val="24"/>
          <w:highlight w:val="none"/>
        </w:rPr>
        <w:t>进行有机肥制造；</w:t>
      </w:r>
      <w:r>
        <w:rPr>
          <w:bCs/>
          <w:color w:val="auto"/>
          <w:kern w:val="21"/>
          <w:sz w:val="24"/>
          <w:highlight w:val="none"/>
        </w:rPr>
        <w:t>养殖废水</w:t>
      </w:r>
      <w:r>
        <w:rPr>
          <w:rFonts w:hint="eastAsia"/>
          <w:bCs/>
          <w:color w:val="auto"/>
          <w:kern w:val="21"/>
          <w:sz w:val="24"/>
          <w:highlight w:val="none"/>
        </w:rPr>
        <w:t>日产日清</w:t>
      </w:r>
      <w:r>
        <w:rPr>
          <w:rFonts w:hint="eastAsia"/>
          <w:bCs/>
          <w:color w:val="auto"/>
          <w:kern w:val="21"/>
          <w:sz w:val="24"/>
          <w:highlight w:val="none"/>
          <w:lang w:eastAsia="zh-CN"/>
        </w:rPr>
        <w:t>，由罐车直接拉走外售至辰泰（辽宁）生物科技有限公司做有机肥</w:t>
      </w:r>
      <w:r>
        <w:rPr>
          <w:bCs/>
          <w:color w:val="auto"/>
          <w:kern w:val="21"/>
          <w:sz w:val="24"/>
          <w:highlight w:val="none"/>
        </w:rPr>
        <w:t>；</w:t>
      </w:r>
      <w:r>
        <w:rPr>
          <w:rFonts w:hint="eastAsia"/>
          <w:bCs/>
          <w:color w:val="auto"/>
          <w:kern w:val="21"/>
          <w:sz w:val="24"/>
          <w:highlight w:val="none"/>
        </w:rPr>
        <w:t>病死鸡病死鸡</w:t>
      </w:r>
      <w:r>
        <w:rPr>
          <w:rFonts w:hint="eastAsia"/>
          <w:bCs/>
          <w:color w:val="auto"/>
          <w:kern w:val="21"/>
          <w:sz w:val="24"/>
          <w:highlight w:val="none"/>
          <w:lang w:eastAsia="zh-CN"/>
        </w:rPr>
        <w:t>暂存于冷柜，委托北票市汇宏动物无害化处理有限公司定期运走做无害化</w:t>
      </w:r>
      <w:r>
        <w:rPr>
          <w:rFonts w:hint="eastAsia"/>
          <w:bCs/>
          <w:color w:val="auto"/>
          <w:kern w:val="21"/>
          <w:sz w:val="24"/>
          <w:highlight w:val="none"/>
        </w:rPr>
        <w:t>处理；企业采取科学饲养方式，且</w:t>
      </w:r>
      <w:r>
        <w:rPr>
          <w:rFonts w:hint="eastAsia"/>
          <w:color w:val="auto"/>
          <w:sz w:val="24"/>
          <w:szCs w:val="20"/>
          <w:highlight w:val="none"/>
          <w:lang w:eastAsia="zh-CN"/>
        </w:rPr>
        <w:t>临时储粪场设置为封闭结构四周做围堰，</w:t>
      </w:r>
      <w:r>
        <w:rPr>
          <w:bCs/>
          <w:color w:val="auto"/>
          <w:kern w:val="21"/>
          <w:sz w:val="24"/>
          <w:highlight w:val="none"/>
        </w:rPr>
        <w:t>喷</w:t>
      </w:r>
      <w:r>
        <w:rPr>
          <w:rFonts w:hint="eastAsia"/>
          <w:bCs/>
          <w:color w:val="auto"/>
          <w:kern w:val="21"/>
          <w:sz w:val="24"/>
          <w:highlight w:val="none"/>
        </w:rPr>
        <w:t>洒</w:t>
      </w:r>
      <w:r>
        <w:rPr>
          <w:bCs/>
          <w:color w:val="auto"/>
          <w:kern w:val="21"/>
          <w:sz w:val="24"/>
          <w:highlight w:val="none"/>
        </w:rPr>
        <w:t>生物除臭剂，周围加强绿化，</w:t>
      </w:r>
      <w:r>
        <w:rPr>
          <w:rFonts w:hint="eastAsia"/>
          <w:bCs/>
          <w:color w:val="auto"/>
          <w:kern w:val="21"/>
          <w:sz w:val="24"/>
          <w:highlight w:val="none"/>
          <w:lang w:eastAsia="zh-CN"/>
        </w:rPr>
        <w:t>废水收集池</w:t>
      </w:r>
      <w:r>
        <w:rPr>
          <w:bCs/>
          <w:color w:val="auto"/>
          <w:kern w:val="21"/>
          <w:sz w:val="24"/>
          <w:highlight w:val="none"/>
        </w:rPr>
        <w:t>加盖板密闭</w:t>
      </w:r>
      <w:r>
        <w:rPr>
          <w:rFonts w:hint="eastAsia"/>
          <w:bCs/>
          <w:color w:val="auto"/>
          <w:kern w:val="21"/>
          <w:sz w:val="24"/>
          <w:highlight w:val="none"/>
        </w:rPr>
        <w:t>，鸡舍采取</w:t>
      </w:r>
      <w:r>
        <w:rPr>
          <w:bCs/>
          <w:color w:val="auto"/>
          <w:kern w:val="21"/>
          <w:sz w:val="24"/>
          <w:highlight w:val="none"/>
        </w:rPr>
        <w:t>干清粪、喷洒除臭剂，同时加强通风换气</w:t>
      </w:r>
      <w:r>
        <w:rPr>
          <w:rFonts w:hint="eastAsia"/>
          <w:bCs/>
          <w:color w:val="auto"/>
          <w:kern w:val="21"/>
          <w:sz w:val="24"/>
          <w:highlight w:val="none"/>
        </w:rPr>
        <w:t>等措施，可确保项目恶臭污染物达标排放。</w:t>
      </w:r>
      <w:r>
        <w:rPr>
          <w:bCs/>
          <w:color w:val="auto"/>
          <w:kern w:val="21"/>
          <w:sz w:val="24"/>
          <w:highlight w:val="none"/>
        </w:rPr>
        <w:t>经采取以上措施后可以有效减少项目建设对环境的影响，因此，本项目建设基本符合《</w:t>
      </w:r>
      <w:r>
        <w:rPr>
          <w:bCs/>
          <w:color w:val="auto"/>
          <w:kern w:val="21"/>
          <w:sz w:val="24"/>
        </w:rPr>
        <w:t>规模畜禽养殖场污染防治最佳可行技术指南（试行）》相关要求。</w:t>
      </w:r>
    </w:p>
    <w:p w14:paraId="3DA16769">
      <w:pPr>
        <w:adjustRightInd w:val="0"/>
        <w:spacing w:line="360" w:lineRule="auto"/>
        <w:ind w:firstLine="482" w:firstLineChars="200"/>
        <w:rPr>
          <w:b/>
          <w:bCs/>
          <w:color w:val="auto"/>
          <w:sz w:val="24"/>
        </w:rPr>
      </w:pPr>
      <w:r>
        <w:rPr>
          <w:rFonts w:hint="eastAsia"/>
          <w:b/>
          <w:bCs/>
          <w:color w:val="auto"/>
          <w:sz w:val="24"/>
        </w:rPr>
        <w:t>（</w:t>
      </w:r>
      <w:r>
        <w:rPr>
          <w:rFonts w:hint="eastAsia"/>
          <w:b/>
          <w:bCs/>
          <w:color w:val="auto"/>
          <w:sz w:val="24"/>
          <w:lang w:val="en-US" w:eastAsia="zh-CN"/>
        </w:rPr>
        <w:t>十四</w:t>
      </w:r>
      <w:r>
        <w:rPr>
          <w:rFonts w:hint="eastAsia"/>
          <w:b/>
          <w:bCs/>
          <w:color w:val="auto"/>
          <w:sz w:val="24"/>
        </w:rPr>
        <w:t>）与《畜禽规模养殖场粪污资源化利用设施建设规范（试行）》（农办牧〔2018〕2号）相符性分析</w:t>
      </w:r>
    </w:p>
    <w:p w14:paraId="6DD71C45">
      <w:pPr>
        <w:ind w:firstLine="413" w:firstLineChars="196"/>
        <w:jc w:val="center"/>
        <w:textAlignment w:val="baseline"/>
        <w:rPr>
          <w:b/>
          <w:color w:val="auto"/>
          <w:kern w:val="0"/>
          <w:szCs w:val="21"/>
        </w:rPr>
      </w:pPr>
      <w:r>
        <w:rPr>
          <w:b/>
          <w:color w:val="auto"/>
          <w:kern w:val="0"/>
          <w:szCs w:val="21"/>
        </w:rPr>
        <w:t>表1</w:t>
      </w:r>
      <w:r>
        <w:rPr>
          <w:rFonts w:hint="eastAsia"/>
          <w:b/>
          <w:color w:val="auto"/>
          <w:kern w:val="0"/>
          <w:szCs w:val="21"/>
          <w:lang w:val="en-US" w:eastAsia="zh-CN"/>
        </w:rPr>
        <w:t>.4</w:t>
      </w:r>
      <w:r>
        <w:rPr>
          <w:b/>
          <w:color w:val="auto"/>
          <w:kern w:val="0"/>
          <w:szCs w:val="21"/>
        </w:rPr>
        <w:t>-</w:t>
      </w:r>
      <w:r>
        <w:rPr>
          <w:rFonts w:hint="eastAsia"/>
          <w:b/>
          <w:color w:val="auto"/>
          <w:kern w:val="0"/>
          <w:szCs w:val="21"/>
          <w:lang w:val="en-US" w:eastAsia="zh-CN"/>
        </w:rPr>
        <w:t>11</w:t>
      </w:r>
      <w:r>
        <w:rPr>
          <w:b/>
          <w:color w:val="auto"/>
          <w:kern w:val="0"/>
          <w:szCs w:val="21"/>
        </w:rPr>
        <w:t xml:space="preserve">    与相关管理要求相符性分析一览表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4"/>
        <w:gridCol w:w="3524"/>
        <w:gridCol w:w="3486"/>
        <w:gridCol w:w="764"/>
      </w:tblGrid>
      <w:tr w14:paraId="2C85928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30462915">
            <w:pPr>
              <w:jc w:val="center"/>
              <w:textAlignment w:val="baseline"/>
              <w:rPr>
                <w:color w:val="auto"/>
                <w:kern w:val="0"/>
                <w:szCs w:val="21"/>
              </w:rPr>
            </w:pPr>
            <w:r>
              <w:rPr>
                <w:color w:val="auto"/>
                <w:kern w:val="0"/>
                <w:szCs w:val="21"/>
              </w:rPr>
              <w:t>序号</w:t>
            </w:r>
          </w:p>
        </w:tc>
        <w:tc>
          <w:tcPr>
            <w:tcW w:w="3524" w:type="dxa"/>
            <w:vAlign w:val="center"/>
          </w:tcPr>
          <w:p w14:paraId="3FFB5C5C">
            <w:pPr>
              <w:jc w:val="center"/>
              <w:rPr>
                <w:color w:val="auto"/>
                <w:kern w:val="0"/>
                <w:szCs w:val="21"/>
              </w:rPr>
            </w:pPr>
            <w:r>
              <w:rPr>
                <w:color w:val="auto"/>
                <w:kern w:val="0"/>
                <w:szCs w:val="21"/>
              </w:rPr>
              <w:t>管理要求</w:t>
            </w:r>
          </w:p>
        </w:tc>
        <w:tc>
          <w:tcPr>
            <w:tcW w:w="3486" w:type="dxa"/>
            <w:vAlign w:val="center"/>
          </w:tcPr>
          <w:p w14:paraId="09A5FBDD">
            <w:pPr>
              <w:jc w:val="center"/>
              <w:rPr>
                <w:color w:val="auto"/>
                <w:kern w:val="0"/>
                <w:szCs w:val="21"/>
              </w:rPr>
            </w:pPr>
            <w:r>
              <w:rPr>
                <w:color w:val="auto"/>
                <w:kern w:val="0"/>
                <w:szCs w:val="21"/>
              </w:rPr>
              <w:t>符合性分析</w:t>
            </w:r>
          </w:p>
        </w:tc>
        <w:tc>
          <w:tcPr>
            <w:tcW w:w="764" w:type="dxa"/>
            <w:vAlign w:val="center"/>
          </w:tcPr>
          <w:p w14:paraId="3FB7D2DA">
            <w:pPr>
              <w:jc w:val="center"/>
              <w:textAlignment w:val="baseline"/>
              <w:rPr>
                <w:color w:val="auto"/>
                <w:kern w:val="0"/>
                <w:szCs w:val="21"/>
              </w:rPr>
            </w:pPr>
            <w:r>
              <w:rPr>
                <w:color w:val="auto"/>
                <w:kern w:val="0"/>
                <w:szCs w:val="21"/>
              </w:rPr>
              <w:t>结论</w:t>
            </w:r>
          </w:p>
        </w:tc>
      </w:tr>
      <w:tr w14:paraId="626CB8D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0E6E5B90">
            <w:pPr>
              <w:jc w:val="center"/>
              <w:textAlignment w:val="baseline"/>
              <w:rPr>
                <w:color w:val="auto"/>
                <w:kern w:val="0"/>
                <w:szCs w:val="21"/>
              </w:rPr>
            </w:pPr>
            <w:r>
              <w:rPr>
                <w:color w:val="auto"/>
                <w:kern w:val="0"/>
                <w:szCs w:val="21"/>
              </w:rPr>
              <w:t>1</w:t>
            </w:r>
          </w:p>
        </w:tc>
        <w:tc>
          <w:tcPr>
            <w:tcW w:w="3524" w:type="dxa"/>
            <w:vAlign w:val="center"/>
          </w:tcPr>
          <w:p w14:paraId="2879B31B">
            <w:pPr>
              <w:widowControl/>
              <w:jc w:val="center"/>
              <w:textAlignment w:val="baseline"/>
              <w:rPr>
                <w:color w:val="auto"/>
                <w:kern w:val="0"/>
                <w:szCs w:val="21"/>
              </w:rPr>
            </w:pPr>
            <w:r>
              <w:rPr>
                <w:color w:val="auto"/>
                <w:kern w:val="0"/>
                <w:szCs w:val="21"/>
              </w:rPr>
              <w:t>畜禽规模养殖场粪污资源化利用应坚持农牧结合、种养平衡，按照资源化、减量化、无害化的原则，对源头减量、过程控制和末端利用各环节进行全程管理，提高粪污综合利用率和设施装备配套率</w:t>
            </w:r>
          </w:p>
        </w:tc>
        <w:tc>
          <w:tcPr>
            <w:tcW w:w="3486" w:type="dxa"/>
            <w:vAlign w:val="center"/>
          </w:tcPr>
          <w:p w14:paraId="312A15E2">
            <w:pPr>
              <w:widowControl/>
              <w:jc w:val="center"/>
              <w:textAlignment w:val="baseline"/>
              <w:rPr>
                <w:color w:val="auto"/>
                <w:kern w:val="0"/>
                <w:szCs w:val="21"/>
                <w:highlight w:val="none"/>
              </w:rPr>
            </w:pPr>
            <w:r>
              <w:rPr>
                <w:rFonts w:hint="eastAsia"/>
                <w:color w:val="auto"/>
                <w:kern w:val="0"/>
                <w:szCs w:val="21"/>
                <w:highlight w:val="none"/>
              </w:rPr>
              <w:t>本项目鸡粪、鸡羽毛、饲料残渣除极端天气（约50天/年）需暂存</w:t>
            </w:r>
            <w:r>
              <w:rPr>
                <w:rFonts w:hint="eastAsia"/>
                <w:color w:val="auto"/>
                <w:kern w:val="0"/>
                <w:szCs w:val="21"/>
                <w:highlight w:val="none"/>
                <w:lang w:eastAsia="zh-CN"/>
              </w:rPr>
              <w:t>临时储粪场</w:t>
            </w:r>
            <w:r>
              <w:rPr>
                <w:rFonts w:hint="eastAsia"/>
                <w:color w:val="auto"/>
                <w:kern w:val="0"/>
                <w:szCs w:val="21"/>
                <w:highlight w:val="none"/>
              </w:rPr>
              <w:t>外，均日产日清由清粪车直接拉走外售</w:t>
            </w:r>
            <w:r>
              <w:rPr>
                <w:rFonts w:hint="eastAsia"/>
                <w:color w:val="auto"/>
                <w:kern w:val="0"/>
                <w:szCs w:val="21"/>
                <w:highlight w:val="none"/>
                <w:lang w:eastAsia="zh-CN"/>
              </w:rPr>
              <w:t>至辰泰（辽宁）生物科技有限公司</w:t>
            </w:r>
            <w:r>
              <w:rPr>
                <w:rFonts w:hint="eastAsia"/>
                <w:color w:val="auto"/>
                <w:kern w:val="0"/>
                <w:szCs w:val="21"/>
                <w:highlight w:val="none"/>
              </w:rPr>
              <w:t>进行有机肥制造；养殖废水日产日清</w:t>
            </w:r>
            <w:r>
              <w:rPr>
                <w:rFonts w:hint="eastAsia"/>
                <w:color w:val="auto"/>
                <w:kern w:val="0"/>
                <w:szCs w:val="21"/>
                <w:highlight w:val="none"/>
                <w:lang w:eastAsia="zh-CN"/>
              </w:rPr>
              <w:t>，由罐车直接拉走外售至辰泰（辽宁）生物科技有限公司做有机肥</w:t>
            </w:r>
            <w:r>
              <w:rPr>
                <w:rFonts w:hint="eastAsia"/>
                <w:color w:val="auto"/>
                <w:kern w:val="0"/>
                <w:szCs w:val="21"/>
                <w:highlight w:val="none"/>
              </w:rPr>
              <w:t>；</w:t>
            </w:r>
          </w:p>
        </w:tc>
        <w:tc>
          <w:tcPr>
            <w:tcW w:w="764" w:type="dxa"/>
            <w:vAlign w:val="center"/>
          </w:tcPr>
          <w:p w14:paraId="00745868">
            <w:pPr>
              <w:jc w:val="center"/>
              <w:textAlignment w:val="baseline"/>
              <w:rPr>
                <w:color w:val="auto"/>
                <w:kern w:val="0"/>
                <w:szCs w:val="21"/>
              </w:rPr>
            </w:pPr>
            <w:r>
              <w:rPr>
                <w:color w:val="auto"/>
                <w:kern w:val="0"/>
                <w:szCs w:val="21"/>
              </w:rPr>
              <w:t>符合</w:t>
            </w:r>
          </w:p>
        </w:tc>
      </w:tr>
      <w:tr w14:paraId="4120ED7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46184A2A">
            <w:pPr>
              <w:jc w:val="center"/>
              <w:textAlignment w:val="baseline"/>
              <w:rPr>
                <w:color w:val="auto"/>
                <w:kern w:val="0"/>
                <w:szCs w:val="21"/>
              </w:rPr>
            </w:pPr>
            <w:r>
              <w:rPr>
                <w:color w:val="auto"/>
                <w:kern w:val="0"/>
                <w:szCs w:val="21"/>
              </w:rPr>
              <w:t>2</w:t>
            </w:r>
          </w:p>
        </w:tc>
        <w:tc>
          <w:tcPr>
            <w:tcW w:w="3524" w:type="dxa"/>
            <w:vAlign w:val="center"/>
          </w:tcPr>
          <w:p w14:paraId="2809C652">
            <w:pPr>
              <w:pStyle w:val="434"/>
              <w:autoSpaceDE/>
              <w:autoSpaceDN/>
              <w:adjustRightInd/>
              <w:spacing w:before="29" w:line="268" w:lineRule="auto"/>
              <w:jc w:val="center"/>
              <w:rPr>
                <w:color w:val="auto"/>
                <w:sz w:val="21"/>
                <w:szCs w:val="21"/>
              </w:rPr>
            </w:pPr>
            <w:r>
              <w:rPr>
                <w:color w:val="auto"/>
                <w:sz w:val="21"/>
                <w:szCs w:val="21"/>
              </w:rPr>
              <w:t>畜禽规模养殖场应根据养殖污染防治要求，建设与养殖规模相配套的粪污资源化利用设施设备，并确保正常运行</w:t>
            </w:r>
          </w:p>
        </w:tc>
        <w:tc>
          <w:tcPr>
            <w:tcW w:w="3486" w:type="dxa"/>
            <w:vAlign w:val="center"/>
          </w:tcPr>
          <w:p w14:paraId="61887E2F">
            <w:pPr>
              <w:widowControl/>
              <w:jc w:val="center"/>
              <w:textAlignment w:val="baseline"/>
              <w:rPr>
                <w:color w:val="auto"/>
                <w:kern w:val="0"/>
                <w:szCs w:val="21"/>
                <w:highlight w:val="none"/>
              </w:rPr>
            </w:pPr>
            <w:r>
              <w:rPr>
                <w:rFonts w:hint="eastAsia"/>
                <w:color w:val="auto"/>
                <w:kern w:val="0"/>
                <w:szCs w:val="21"/>
                <w:highlight w:val="none"/>
              </w:rPr>
              <w:t>本项目</w:t>
            </w:r>
            <w:r>
              <w:rPr>
                <w:rFonts w:hint="eastAsia"/>
                <w:color w:val="auto"/>
                <w:kern w:val="0"/>
                <w:szCs w:val="21"/>
                <w:highlight w:val="none"/>
                <w:lang w:eastAsia="zh-CN"/>
              </w:rPr>
              <w:t>临时储粪场容积</w:t>
            </w:r>
            <w:r>
              <w:rPr>
                <w:rFonts w:hint="eastAsia"/>
                <w:color w:val="auto"/>
                <w:kern w:val="0"/>
                <w:szCs w:val="21"/>
                <w:highlight w:val="none"/>
                <w:lang w:val="en-US" w:eastAsia="zh-CN"/>
              </w:rPr>
              <w:t>6000m</w:t>
            </w:r>
            <w:r>
              <w:rPr>
                <w:rFonts w:hint="eastAsia"/>
                <w:color w:val="auto"/>
                <w:kern w:val="0"/>
                <w:szCs w:val="21"/>
                <w:highlight w:val="none"/>
                <w:vertAlign w:val="superscript"/>
                <w:lang w:val="en-US" w:eastAsia="zh-CN"/>
              </w:rPr>
              <w:t>3</w:t>
            </w:r>
            <w:r>
              <w:rPr>
                <w:rFonts w:hint="eastAsia"/>
                <w:color w:val="auto"/>
                <w:kern w:val="0"/>
                <w:szCs w:val="21"/>
                <w:highlight w:val="none"/>
                <w:lang w:val="en-US" w:eastAsia="zh-CN"/>
              </w:rPr>
              <w:t>，最多可容纳</w:t>
            </w:r>
            <w:r>
              <w:rPr>
                <w:rFonts w:hint="eastAsia"/>
                <w:color w:val="auto"/>
                <w:kern w:val="0"/>
                <w:szCs w:val="21"/>
                <w:highlight w:val="none"/>
              </w:rPr>
              <w:t>50天</w:t>
            </w:r>
            <w:r>
              <w:rPr>
                <w:rFonts w:hint="eastAsia"/>
                <w:color w:val="auto"/>
                <w:kern w:val="0"/>
                <w:szCs w:val="21"/>
                <w:highlight w:val="none"/>
                <w:lang w:eastAsia="zh-CN"/>
              </w:rPr>
              <w:t>产生的粪便量</w:t>
            </w:r>
            <w:r>
              <w:rPr>
                <w:rFonts w:hint="eastAsia"/>
                <w:color w:val="auto"/>
                <w:kern w:val="0"/>
                <w:szCs w:val="21"/>
                <w:highlight w:val="none"/>
              </w:rPr>
              <w:t>，</w:t>
            </w:r>
            <w:r>
              <w:rPr>
                <w:rFonts w:hint="eastAsia"/>
                <w:color w:val="auto"/>
                <w:kern w:val="0"/>
                <w:szCs w:val="21"/>
                <w:highlight w:val="none"/>
                <w:lang w:eastAsia="zh-CN"/>
              </w:rPr>
              <w:t>满足极端天气下粪便临时储存需求</w:t>
            </w:r>
            <w:r>
              <w:rPr>
                <w:rFonts w:hint="eastAsia"/>
                <w:color w:val="auto"/>
                <w:kern w:val="0"/>
                <w:szCs w:val="21"/>
                <w:highlight w:val="none"/>
              </w:rPr>
              <w:t>；</w:t>
            </w:r>
            <w:r>
              <w:rPr>
                <w:rFonts w:hint="eastAsia"/>
                <w:color w:val="auto"/>
                <w:kern w:val="0"/>
                <w:szCs w:val="21"/>
                <w:highlight w:val="none"/>
                <w:lang w:eastAsia="zh-CN"/>
              </w:rPr>
              <w:t>鸡舍冲洗废水产生量为</w:t>
            </w:r>
            <w:r>
              <w:rPr>
                <w:rFonts w:hint="eastAsia"/>
                <w:color w:val="auto"/>
                <w:kern w:val="0"/>
                <w:szCs w:val="21"/>
                <w:highlight w:val="none"/>
                <w:lang w:val="en-US" w:eastAsia="zh-CN"/>
              </w:rPr>
              <w:t>5.08m</w:t>
            </w:r>
            <w:r>
              <w:rPr>
                <w:rFonts w:hint="eastAsia"/>
                <w:color w:val="auto"/>
                <w:kern w:val="0"/>
                <w:szCs w:val="21"/>
                <w:highlight w:val="none"/>
                <w:vertAlign w:val="superscript"/>
                <w:lang w:val="en-US" w:eastAsia="zh-CN"/>
              </w:rPr>
              <w:t>3</w:t>
            </w:r>
            <w:r>
              <w:rPr>
                <w:rFonts w:hint="eastAsia"/>
                <w:color w:val="auto"/>
                <w:kern w:val="0"/>
                <w:szCs w:val="21"/>
                <w:highlight w:val="none"/>
                <w:lang w:val="en-US" w:eastAsia="zh-CN"/>
              </w:rPr>
              <w:t>/a，每栋鸡舍各配置1座10m</w:t>
            </w:r>
            <w:r>
              <w:rPr>
                <w:rFonts w:hint="eastAsia"/>
                <w:color w:val="auto"/>
                <w:kern w:val="0"/>
                <w:szCs w:val="21"/>
                <w:highlight w:val="none"/>
                <w:vertAlign w:val="superscript"/>
                <w:lang w:val="en-US" w:eastAsia="zh-CN"/>
              </w:rPr>
              <w:t>3</w:t>
            </w:r>
            <w:r>
              <w:rPr>
                <w:rFonts w:hint="eastAsia"/>
                <w:color w:val="auto"/>
                <w:kern w:val="0"/>
                <w:szCs w:val="21"/>
                <w:highlight w:val="none"/>
                <w:lang w:val="en-US" w:eastAsia="zh-CN"/>
              </w:rPr>
              <w:t>的</w:t>
            </w:r>
            <w:r>
              <w:rPr>
                <w:rFonts w:hint="eastAsia"/>
                <w:color w:val="auto"/>
                <w:kern w:val="0"/>
                <w:szCs w:val="21"/>
                <w:highlight w:val="none"/>
                <w:lang w:eastAsia="zh-CN"/>
              </w:rPr>
              <w:t>废水收集池，满足极端天气下废水临时储存需求</w:t>
            </w:r>
            <w:r>
              <w:rPr>
                <w:rFonts w:hint="eastAsia"/>
                <w:color w:val="auto"/>
                <w:kern w:val="0"/>
                <w:szCs w:val="21"/>
                <w:highlight w:val="none"/>
              </w:rPr>
              <w:t>；</w:t>
            </w:r>
          </w:p>
        </w:tc>
        <w:tc>
          <w:tcPr>
            <w:tcW w:w="764" w:type="dxa"/>
            <w:vAlign w:val="center"/>
          </w:tcPr>
          <w:p w14:paraId="439E523A">
            <w:pPr>
              <w:jc w:val="center"/>
              <w:textAlignment w:val="baseline"/>
              <w:rPr>
                <w:color w:val="auto"/>
                <w:kern w:val="0"/>
                <w:szCs w:val="21"/>
              </w:rPr>
            </w:pPr>
            <w:r>
              <w:rPr>
                <w:color w:val="auto"/>
                <w:kern w:val="0"/>
                <w:szCs w:val="21"/>
              </w:rPr>
              <w:t>符合</w:t>
            </w:r>
          </w:p>
        </w:tc>
      </w:tr>
      <w:tr w14:paraId="176705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29D35B66">
            <w:pPr>
              <w:jc w:val="center"/>
              <w:textAlignment w:val="baseline"/>
              <w:rPr>
                <w:color w:val="auto"/>
                <w:kern w:val="0"/>
                <w:szCs w:val="21"/>
              </w:rPr>
            </w:pPr>
            <w:r>
              <w:rPr>
                <w:color w:val="auto"/>
                <w:kern w:val="0"/>
                <w:szCs w:val="21"/>
              </w:rPr>
              <w:t>3</w:t>
            </w:r>
          </w:p>
        </w:tc>
        <w:tc>
          <w:tcPr>
            <w:tcW w:w="3524" w:type="dxa"/>
            <w:vAlign w:val="center"/>
          </w:tcPr>
          <w:p w14:paraId="77D604A5">
            <w:pPr>
              <w:pStyle w:val="434"/>
              <w:autoSpaceDE/>
              <w:autoSpaceDN/>
              <w:adjustRightInd/>
              <w:spacing w:before="29"/>
              <w:jc w:val="center"/>
              <w:rPr>
                <w:color w:val="auto"/>
                <w:sz w:val="21"/>
                <w:szCs w:val="21"/>
              </w:rPr>
            </w:pPr>
            <w:r>
              <w:rPr>
                <w:color w:val="auto"/>
                <w:sz w:val="21"/>
                <w:szCs w:val="21"/>
              </w:rPr>
              <w:t>畜禽规模养殖场宜采用干清粪工艺。采用水泡粪工艺的，要控制用水量，减少粪污产生总量。鼓励水冲粪工艺改造为干清粪或水泡粪。不同畜种不同清粪工艺最高允许排水量按照（GB 18596）执行</w:t>
            </w:r>
          </w:p>
        </w:tc>
        <w:tc>
          <w:tcPr>
            <w:tcW w:w="3486" w:type="dxa"/>
            <w:vAlign w:val="center"/>
          </w:tcPr>
          <w:p w14:paraId="7D5070FB">
            <w:pPr>
              <w:widowControl/>
              <w:jc w:val="center"/>
              <w:textAlignment w:val="baseline"/>
              <w:rPr>
                <w:rFonts w:hint="eastAsia" w:eastAsia="宋体"/>
                <w:color w:val="auto"/>
                <w:kern w:val="0"/>
                <w:szCs w:val="21"/>
                <w:lang w:eastAsia="zh-CN"/>
              </w:rPr>
            </w:pPr>
            <w:r>
              <w:rPr>
                <w:rFonts w:hint="eastAsia"/>
                <w:color w:val="auto"/>
                <w:kern w:val="0"/>
                <w:szCs w:val="21"/>
              </w:rPr>
              <w:t>本项目采取干清粪工艺</w:t>
            </w:r>
            <w:r>
              <w:rPr>
                <w:rFonts w:hint="eastAsia"/>
                <w:color w:val="auto"/>
                <w:kern w:val="0"/>
                <w:szCs w:val="21"/>
                <w:lang w:eastAsia="zh-CN"/>
              </w:rPr>
              <w:t>。</w:t>
            </w:r>
          </w:p>
        </w:tc>
        <w:tc>
          <w:tcPr>
            <w:tcW w:w="764" w:type="dxa"/>
            <w:vAlign w:val="center"/>
          </w:tcPr>
          <w:p w14:paraId="02A2F7A3">
            <w:pPr>
              <w:jc w:val="center"/>
              <w:textAlignment w:val="baseline"/>
              <w:rPr>
                <w:color w:val="auto"/>
                <w:kern w:val="0"/>
                <w:szCs w:val="21"/>
              </w:rPr>
            </w:pPr>
            <w:r>
              <w:rPr>
                <w:color w:val="auto"/>
                <w:kern w:val="0"/>
                <w:szCs w:val="21"/>
              </w:rPr>
              <w:t>符合</w:t>
            </w:r>
          </w:p>
        </w:tc>
      </w:tr>
      <w:tr w14:paraId="11AF0F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330165A1">
            <w:pPr>
              <w:jc w:val="center"/>
              <w:textAlignment w:val="baseline"/>
              <w:rPr>
                <w:color w:val="auto"/>
                <w:kern w:val="0"/>
                <w:szCs w:val="21"/>
              </w:rPr>
            </w:pPr>
            <w:r>
              <w:rPr>
                <w:color w:val="auto"/>
                <w:kern w:val="0"/>
                <w:szCs w:val="21"/>
              </w:rPr>
              <w:t>4</w:t>
            </w:r>
          </w:p>
        </w:tc>
        <w:tc>
          <w:tcPr>
            <w:tcW w:w="3524" w:type="dxa"/>
            <w:vAlign w:val="center"/>
          </w:tcPr>
          <w:p w14:paraId="3DA13913">
            <w:pPr>
              <w:pStyle w:val="434"/>
              <w:autoSpaceDE/>
              <w:autoSpaceDN/>
              <w:adjustRightInd/>
              <w:spacing w:line="268" w:lineRule="auto"/>
              <w:jc w:val="center"/>
              <w:rPr>
                <w:color w:val="auto"/>
                <w:sz w:val="21"/>
                <w:szCs w:val="21"/>
              </w:rPr>
            </w:pPr>
            <w:r>
              <w:rPr>
                <w:color w:val="auto"/>
                <w:sz w:val="21"/>
                <w:szCs w:val="21"/>
              </w:rPr>
              <w:t>畜禽规模养殖场应及时对粪污进行收集、贮存，粪污暂存池（场）应满足防渗、防雨、防溢流等要求</w:t>
            </w:r>
          </w:p>
        </w:tc>
        <w:tc>
          <w:tcPr>
            <w:tcW w:w="3486" w:type="dxa"/>
            <w:vAlign w:val="center"/>
          </w:tcPr>
          <w:p w14:paraId="5BF91F2E">
            <w:pPr>
              <w:widowControl/>
              <w:jc w:val="center"/>
              <w:textAlignment w:val="baseline"/>
              <w:rPr>
                <w:rFonts w:hint="eastAsia" w:eastAsia="宋体"/>
                <w:color w:val="auto"/>
                <w:kern w:val="0"/>
                <w:szCs w:val="21"/>
                <w:lang w:eastAsia="zh-CN"/>
              </w:rPr>
            </w:pPr>
            <w:r>
              <w:rPr>
                <w:rFonts w:hint="eastAsia"/>
                <w:bCs/>
                <w:color w:val="auto"/>
                <w:szCs w:val="21"/>
                <w:lang w:eastAsia="zh-CN"/>
              </w:rPr>
              <w:t>临时储粪场</w:t>
            </w:r>
            <w:r>
              <w:rPr>
                <w:rFonts w:hint="eastAsia"/>
                <w:bCs/>
                <w:color w:val="auto"/>
                <w:szCs w:val="21"/>
                <w:lang w:val="en-GB"/>
              </w:rPr>
              <w:t>的池体</w:t>
            </w:r>
            <w:r>
              <w:rPr>
                <w:rFonts w:hint="eastAsia"/>
                <w:bCs/>
                <w:color w:val="auto"/>
                <w:szCs w:val="21"/>
              </w:rPr>
              <w:t>四周分别设置</w:t>
            </w:r>
            <w:r>
              <w:rPr>
                <w:rFonts w:hint="eastAsia"/>
                <w:bCs/>
                <w:color w:val="auto"/>
                <w:szCs w:val="21"/>
                <w:lang w:val="en-US" w:eastAsia="zh-CN"/>
              </w:rPr>
              <w:t>1.0</w:t>
            </w:r>
            <w:r>
              <w:rPr>
                <w:rFonts w:hint="eastAsia"/>
                <w:bCs/>
                <w:color w:val="auto"/>
                <w:szCs w:val="21"/>
              </w:rPr>
              <w:t>m高围堰，</w:t>
            </w:r>
            <w:r>
              <w:rPr>
                <w:color w:val="auto"/>
                <w:kern w:val="0"/>
                <w:szCs w:val="21"/>
              </w:rPr>
              <w:t>防止粪便溢流</w:t>
            </w:r>
            <w:r>
              <w:rPr>
                <w:rFonts w:hint="eastAsia"/>
                <w:color w:val="auto"/>
                <w:kern w:val="0"/>
                <w:szCs w:val="21"/>
              </w:rPr>
              <w:t>；养殖废水</w:t>
            </w:r>
            <w:r>
              <w:rPr>
                <w:rFonts w:hint="eastAsia"/>
                <w:color w:val="auto"/>
                <w:kern w:val="0"/>
                <w:szCs w:val="21"/>
                <w:lang w:eastAsia="zh-CN"/>
              </w:rPr>
              <w:t>进入废水收</w:t>
            </w:r>
            <w:r>
              <w:rPr>
                <w:rFonts w:hint="eastAsia"/>
                <w:color w:val="auto"/>
                <w:kern w:val="0"/>
                <w:szCs w:val="21"/>
                <w:highlight w:val="none"/>
                <w:lang w:eastAsia="zh-CN"/>
              </w:rPr>
              <w:t>集池，</w:t>
            </w:r>
            <w:r>
              <w:rPr>
                <w:rFonts w:hint="eastAsia"/>
                <w:color w:val="auto"/>
                <w:kern w:val="0"/>
                <w:szCs w:val="21"/>
                <w:highlight w:val="none"/>
              </w:rPr>
              <w:t>日产日清</w:t>
            </w:r>
            <w:r>
              <w:rPr>
                <w:rFonts w:hint="eastAsia"/>
                <w:color w:val="auto"/>
                <w:kern w:val="0"/>
                <w:szCs w:val="21"/>
                <w:highlight w:val="none"/>
                <w:lang w:eastAsia="zh-CN"/>
              </w:rPr>
              <w:t>由罐车直接拉走外售至辰泰（辽宁）生物科技有限公司做有机肥</w:t>
            </w:r>
            <w:r>
              <w:rPr>
                <w:rFonts w:hint="eastAsia"/>
                <w:color w:val="auto"/>
                <w:kern w:val="0"/>
                <w:szCs w:val="21"/>
                <w:highlight w:val="none"/>
              </w:rPr>
              <w:t>；</w:t>
            </w:r>
            <w:r>
              <w:rPr>
                <w:rFonts w:hint="eastAsia"/>
                <w:color w:val="auto"/>
                <w:kern w:val="0"/>
                <w:szCs w:val="21"/>
                <w:highlight w:val="none"/>
                <w:lang w:eastAsia="zh-CN"/>
              </w:rPr>
              <w:t>临时储粪场、废水收集池</w:t>
            </w:r>
            <w:r>
              <w:rPr>
                <w:rFonts w:hint="eastAsia"/>
                <w:color w:val="auto"/>
                <w:kern w:val="0"/>
                <w:szCs w:val="21"/>
                <w:highlight w:val="none"/>
              </w:rPr>
              <w:t>、污水管网等为一</w:t>
            </w:r>
            <w:r>
              <w:rPr>
                <w:rFonts w:hint="eastAsia"/>
                <w:color w:val="auto"/>
                <w:kern w:val="0"/>
                <w:szCs w:val="21"/>
              </w:rPr>
              <w:t>般防渗区，按照等效黏土防渗层Mb≥1.5，K≤1×10</w:t>
            </w:r>
            <w:r>
              <w:rPr>
                <w:rFonts w:hint="eastAsia"/>
                <w:color w:val="auto"/>
                <w:kern w:val="0"/>
                <w:szCs w:val="21"/>
                <w:vertAlign w:val="superscript"/>
              </w:rPr>
              <w:t>-7</w:t>
            </w:r>
            <w:r>
              <w:rPr>
                <w:rFonts w:hint="eastAsia"/>
                <w:color w:val="auto"/>
                <w:kern w:val="0"/>
                <w:szCs w:val="21"/>
              </w:rPr>
              <w:t>cm/s，做好防雨、防渗和防溢流等措施</w:t>
            </w:r>
            <w:r>
              <w:rPr>
                <w:rFonts w:hint="eastAsia"/>
                <w:color w:val="auto"/>
                <w:kern w:val="0"/>
                <w:szCs w:val="21"/>
                <w:lang w:eastAsia="zh-CN"/>
              </w:rPr>
              <w:t>。</w:t>
            </w:r>
          </w:p>
        </w:tc>
        <w:tc>
          <w:tcPr>
            <w:tcW w:w="764" w:type="dxa"/>
            <w:vAlign w:val="center"/>
          </w:tcPr>
          <w:p w14:paraId="041265D4">
            <w:pPr>
              <w:jc w:val="center"/>
              <w:textAlignment w:val="baseline"/>
              <w:rPr>
                <w:color w:val="auto"/>
                <w:kern w:val="0"/>
                <w:szCs w:val="21"/>
              </w:rPr>
            </w:pPr>
            <w:r>
              <w:rPr>
                <w:color w:val="auto"/>
                <w:kern w:val="0"/>
                <w:szCs w:val="21"/>
              </w:rPr>
              <w:t>符合</w:t>
            </w:r>
          </w:p>
        </w:tc>
      </w:tr>
      <w:tr w14:paraId="093676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201294BF">
            <w:pPr>
              <w:jc w:val="center"/>
              <w:textAlignment w:val="baseline"/>
              <w:rPr>
                <w:color w:val="auto"/>
                <w:kern w:val="0"/>
                <w:szCs w:val="21"/>
              </w:rPr>
            </w:pPr>
            <w:r>
              <w:rPr>
                <w:rFonts w:hint="eastAsia"/>
                <w:color w:val="auto"/>
                <w:kern w:val="0"/>
                <w:szCs w:val="21"/>
              </w:rPr>
              <w:t>5</w:t>
            </w:r>
          </w:p>
        </w:tc>
        <w:tc>
          <w:tcPr>
            <w:tcW w:w="3524" w:type="dxa"/>
            <w:vAlign w:val="center"/>
          </w:tcPr>
          <w:p w14:paraId="6C0E16A0">
            <w:pPr>
              <w:pStyle w:val="434"/>
              <w:autoSpaceDE/>
              <w:autoSpaceDN/>
              <w:adjustRightInd/>
              <w:spacing w:before="30"/>
              <w:jc w:val="center"/>
              <w:rPr>
                <w:color w:val="auto"/>
                <w:sz w:val="21"/>
                <w:szCs w:val="21"/>
              </w:rPr>
            </w:pPr>
            <w:r>
              <w:rPr>
                <w:color w:val="auto"/>
                <w:sz w:val="21"/>
                <w:szCs w:val="21"/>
              </w:rPr>
              <w:t>畜禽规模养殖场应建设雨污分离设施，污水宜采用暗沟或管道输送</w:t>
            </w:r>
          </w:p>
        </w:tc>
        <w:tc>
          <w:tcPr>
            <w:tcW w:w="3486" w:type="dxa"/>
            <w:vAlign w:val="center"/>
          </w:tcPr>
          <w:p w14:paraId="48F6D838">
            <w:pPr>
              <w:widowControl/>
              <w:jc w:val="center"/>
              <w:textAlignment w:val="baseline"/>
              <w:rPr>
                <w:color w:val="auto"/>
                <w:kern w:val="0"/>
                <w:szCs w:val="21"/>
              </w:rPr>
            </w:pPr>
            <w:r>
              <w:rPr>
                <w:rFonts w:hint="eastAsia"/>
                <w:color w:val="auto"/>
                <w:kern w:val="0"/>
                <w:szCs w:val="21"/>
              </w:rPr>
              <w:t>本项目</w:t>
            </w:r>
            <w:r>
              <w:rPr>
                <w:color w:val="auto"/>
                <w:kern w:val="0"/>
                <w:szCs w:val="21"/>
              </w:rPr>
              <w:t>雨污分流，厂区内设置专用污水管道和雨水管道</w:t>
            </w:r>
            <w:r>
              <w:rPr>
                <w:rFonts w:hint="eastAsia"/>
                <w:color w:val="auto"/>
                <w:kern w:val="0"/>
                <w:szCs w:val="21"/>
              </w:rPr>
              <w:t>，雨水通过雨水管网排出厂区</w:t>
            </w:r>
            <w:r>
              <w:rPr>
                <w:rFonts w:hint="eastAsia"/>
                <w:color w:val="auto"/>
                <w:kern w:val="0"/>
                <w:szCs w:val="21"/>
                <w:lang w:eastAsia="zh-CN"/>
              </w:rPr>
              <w:t>。</w:t>
            </w:r>
          </w:p>
        </w:tc>
        <w:tc>
          <w:tcPr>
            <w:tcW w:w="764" w:type="dxa"/>
            <w:vAlign w:val="center"/>
          </w:tcPr>
          <w:p w14:paraId="4B65E733">
            <w:pPr>
              <w:jc w:val="center"/>
              <w:textAlignment w:val="baseline"/>
              <w:rPr>
                <w:color w:val="auto"/>
                <w:kern w:val="0"/>
                <w:szCs w:val="21"/>
              </w:rPr>
            </w:pPr>
            <w:r>
              <w:rPr>
                <w:color w:val="auto"/>
                <w:kern w:val="0"/>
                <w:szCs w:val="21"/>
              </w:rPr>
              <w:t>符合</w:t>
            </w:r>
          </w:p>
        </w:tc>
      </w:tr>
      <w:bookmarkEnd w:id="77"/>
    </w:tbl>
    <w:p w14:paraId="41907A47">
      <w:pPr>
        <w:adjustRightInd w:val="0"/>
        <w:spacing w:line="360" w:lineRule="auto"/>
        <w:ind w:firstLine="482" w:firstLineChars="200"/>
        <w:rPr>
          <w:b/>
          <w:bCs/>
          <w:color w:val="auto"/>
          <w:sz w:val="24"/>
        </w:rPr>
      </w:pPr>
      <w:r>
        <w:rPr>
          <w:rFonts w:hint="eastAsia"/>
          <w:b/>
          <w:bCs/>
          <w:color w:val="auto"/>
          <w:sz w:val="24"/>
        </w:rPr>
        <w:t>（</w:t>
      </w:r>
      <w:r>
        <w:rPr>
          <w:rFonts w:hint="eastAsia"/>
          <w:b/>
          <w:bCs/>
          <w:color w:val="auto"/>
          <w:sz w:val="24"/>
          <w:lang w:val="en-US" w:eastAsia="zh-CN"/>
        </w:rPr>
        <w:t>十五</w:t>
      </w:r>
      <w:r>
        <w:rPr>
          <w:rFonts w:hint="eastAsia"/>
          <w:b/>
          <w:bCs/>
          <w:color w:val="auto"/>
          <w:sz w:val="24"/>
        </w:rPr>
        <w:t>）与《</w:t>
      </w:r>
      <w:r>
        <w:rPr>
          <w:rFonts w:hint="eastAsia"/>
          <w:b/>
          <w:bCs/>
          <w:color w:val="auto"/>
          <w:sz w:val="24"/>
          <w:lang w:eastAsia="zh-CN"/>
        </w:rPr>
        <w:t>畜禽养殖场（户）粪污处理设施建设技术指南</w:t>
      </w:r>
      <w:r>
        <w:rPr>
          <w:rFonts w:hint="eastAsia"/>
          <w:b/>
          <w:bCs/>
          <w:color w:val="auto"/>
          <w:sz w:val="24"/>
        </w:rPr>
        <w:t>》（农办牧〔20</w:t>
      </w:r>
      <w:r>
        <w:rPr>
          <w:rFonts w:hint="eastAsia"/>
          <w:b/>
          <w:bCs/>
          <w:color w:val="auto"/>
          <w:sz w:val="24"/>
          <w:lang w:val="en-US" w:eastAsia="zh-CN"/>
        </w:rPr>
        <w:t>22</w:t>
      </w:r>
      <w:r>
        <w:rPr>
          <w:rFonts w:hint="eastAsia"/>
          <w:b/>
          <w:bCs/>
          <w:color w:val="auto"/>
          <w:sz w:val="24"/>
        </w:rPr>
        <w:t>〕</w:t>
      </w:r>
      <w:r>
        <w:rPr>
          <w:rFonts w:hint="eastAsia"/>
          <w:b/>
          <w:bCs/>
          <w:color w:val="auto"/>
          <w:sz w:val="24"/>
          <w:lang w:val="en-US" w:eastAsia="zh-CN"/>
        </w:rPr>
        <w:t>19</w:t>
      </w:r>
      <w:r>
        <w:rPr>
          <w:rFonts w:hint="eastAsia"/>
          <w:b/>
          <w:bCs/>
          <w:color w:val="auto"/>
          <w:sz w:val="24"/>
        </w:rPr>
        <w:t>号）相符性分析</w:t>
      </w:r>
    </w:p>
    <w:p w14:paraId="5565EF59">
      <w:pPr>
        <w:ind w:firstLine="413" w:firstLineChars="196"/>
        <w:jc w:val="center"/>
        <w:textAlignment w:val="baseline"/>
        <w:rPr>
          <w:b/>
          <w:color w:val="auto"/>
          <w:kern w:val="0"/>
          <w:szCs w:val="21"/>
        </w:rPr>
      </w:pPr>
      <w:r>
        <w:rPr>
          <w:b/>
          <w:color w:val="auto"/>
          <w:kern w:val="0"/>
          <w:szCs w:val="21"/>
        </w:rPr>
        <w:t>表1</w:t>
      </w:r>
      <w:r>
        <w:rPr>
          <w:rFonts w:hint="eastAsia"/>
          <w:b/>
          <w:color w:val="auto"/>
          <w:kern w:val="0"/>
          <w:szCs w:val="21"/>
          <w:lang w:val="en-US" w:eastAsia="zh-CN"/>
        </w:rPr>
        <w:t>.4</w:t>
      </w:r>
      <w:r>
        <w:rPr>
          <w:b/>
          <w:color w:val="auto"/>
          <w:kern w:val="0"/>
          <w:szCs w:val="21"/>
        </w:rPr>
        <w:t>-</w:t>
      </w:r>
      <w:r>
        <w:rPr>
          <w:rFonts w:hint="eastAsia"/>
          <w:b/>
          <w:color w:val="auto"/>
          <w:kern w:val="0"/>
          <w:szCs w:val="21"/>
          <w:lang w:val="en-US" w:eastAsia="zh-CN"/>
        </w:rPr>
        <w:t xml:space="preserve">12 </w:t>
      </w:r>
      <w:r>
        <w:rPr>
          <w:b/>
          <w:color w:val="auto"/>
          <w:kern w:val="0"/>
          <w:szCs w:val="21"/>
        </w:rPr>
        <w:t xml:space="preserve">   与相关管理要求相符性分析一览表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4"/>
        <w:gridCol w:w="3524"/>
        <w:gridCol w:w="3486"/>
        <w:gridCol w:w="764"/>
      </w:tblGrid>
      <w:tr w14:paraId="52B0B0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3DDE079B">
            <w:pPr>
              <w:jc w:val="center"/>
              <w:textAlignment w:val="baseline"/>
              <w:rPr>
                <w:color w:val="auto"/>
                <w:kern w:val="0"/>
                <w:szCs w:val="21"/>
              </w:rPr>
            </w:pPr>
            <w:r>
              <w:rPr>
                <w:color w:val="auto"/>
                <w:kern w:val="0"/>
                <w:szCs w:val="21"/>
              </w:rPr>
              <w:t>序号</w:t>
            </w:r>
          </w:p>
        </w:tc>
        <w:tc>
          <w:tcPr>
            <w:tcW w:w="3524" w:type="dxa"/>
            <w:vAlign w:val="center"/>
          </w:tcPr>
          <w:p w14:paraId="51667F8B">
            <w:pPr>
              <w:jc w:val="center"/>
              <w:rPr>
                <w:color w:val="auto"/>
                <w:kern w:val="0"/>
                <w:szCs w:val="21"/>
              </w:rPr>
            </w:pPr>
            <w:r>
              <w:rPr>
                <w:color w:val="auto"/>
                <w:kern w:val="0"/>
                <w:szCs w:val="21"/>
              </w:rPr>
              <w:t>管理要求</w:t>
            </w:r>
          </w:p>
        </w:tc>
        <w:tc>
          <w:tcPr>
            <w:tcW w:w="3486" w:type="dxa"/>
            <w:vAlign w:val="center"/>
          </w:tcPr>
          <w:p w14:paraId="61329424">
            <w:pPr>
              <w:jc w:val="center"/>
              <w:rPr>
                <w:color w:val="auto"/>
                <w:kern w:val="0"/>
                <w:szCs w:val="21"/>
              </w:rPr>
            </w:pPr>
            <w:r>
              <w:rPr>
                <w:color w:val="auto"/>
                <w:kern w:val="0"/>
                <w:szCs w:val="21"/>
              </w:rPr>
              <w:t>符合性分析</w:t>
            </w:r>
          </w:p>
        </w:tc>
        <w:tc>
          <w:tcPr>
            <w:tcW w:w="764" w:type="dxa"/>
            <w:vAlign w:val="center"/>
          </w:tcPr>
          <w:p w14:paraId="4F99BBB5">
            <w:pPr>
              <w:jc w:val="center"/>
              <w:textAlignment w:val="baseline"/>
              <w:rPr>
                <w:color w:val="auto"/>
                <w:kern w:val="0"/>
                <w:szCs w:val="21"/>
              </w:rPr>
            </w:pPr>
            <w:r>
              <w:rPr>
                <w:color w:val="auto"/>
                <w:kern w:val="0"/>
                <w:szCs w:val="21"/>
              </w:rPr>
              <w:t>结论</w:t>
            </w:r>
          </w:p>
        </w:tc>
      </w:tr>
      <w:tr w14:paraId="263B44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2D4DBC01">
            <w:pPr>
              <w:jc w:val="center"/>
              <w:textAlignment w:val="baseline"/>
              <w:rPr>
                <w:color w:val="auto"/>
                <w:kern w:val="0"/>
                <w:szCs w:val="21"/>
              </w:rPr>
            </w:pPr>
            <w:r>
              <w:rPr>
                <w:color w:val="auto"/>
                <w:kern w:val="0"/>
                <w:szCs w:val="21"/>
              </w:rPr>
              <w:t>1</w:t>
            </w:r>
          </w:p>
        </w:tc>
        <w:tc>
          <w:tcPr>
            <w:tcW w:w="3524" w:type="dxa"/>
            <w:vAlign w:val="center"/>
          </w:tcPr>
          <w:p w14:paraId="634D1F9B">
            <w:pPr>
              <w:widowControl/>
              <w:jc w:val="center"/>
              <w:textAlignment w:val="baseline"/>
              <w:rPr>
                <w:color w:val="auto"/>
                <w:kern w:val="0"/>
                <w:szCs w:val="21"/>
              </w:rPr>
            </w:pPr>
            <w:r>
              <w:rPr>
                <w:color w:val="auto"/>
                <w:kern w:val="0"/>
                <w:szCs w:val="21"/>
              </w:rPr>
              <w:t>5.1设施设备总体要求</w:t>
            </w:r>
          </w:p>
          <w:p w14:paraId="52014B08">
            <w:pPr>
              <w:widowControl/>
              <w:jc w:val="center"/>
              <w:textAlignment w:val="baseline"/>
              <w:rPr>
                <w:color w:val="auto"/>
                <w:kern w:val="0"/>
                <w:szCs w:val="21"/>
              </w:rPr>
            </w:pPr>
            <w:r>
              <w:rPr>
                <w:color w:val="auto"/>
                <w:kern w:val="0"/>
                <w:szCs w:val="21"/>
              </w:rPr>
              <w:t>畜禽养殖场应根据养殖污染防治要求和当地环境承载力，配备与设计生产能力、粪污处理利用方式相匹配的畜禽粪污处理设施设备，满足防雨、防渗、防溢流和安全防护要求，并确保正常运行。交由第三方处理机构处理畜禽粪污的，应按照转运时间间隔建设粪污暂存设施。畜禽养殖户应当采取措施，对畜禽粪污进行科学处理，防止污染环境。</w:t>
            </w:r>
          </w:p>
        </w:tc>
        <w:tc>
          <w:tcPr>
            <w:tcW w:w="3486" w:type="dxa"/>
            <w:vAlign w:val="center"/>
          </w:tcPr>
          <w:p w14:paraId="4260A00C">
            <w:pPr>
              <w:widowControl/>
              <w:jc w:val="center"/>
              <w:textAlignment w:val="baseline"/>
              <w:rPr>
                <w:color w:val="auto"/>
                <w:kern w:val="0"/>
                <w:szCs w:val="21"/>
              </w:rPr>
            </w:pPr>
            <w:r>
              <w:rPr>
                <w:rFonts w:hint="eastAsia"/>
                <w:color w:val="auto"/>
                <w:kern w:val="0"/>
                <w:szCs w:val="21"/>
              </w:rPr>
              <w:t>本项目</w:t>
            </w:r>
            <w:r>
              <w:rPr>
                <w:rFonts w:hint="eastAsia"/>
                <w:color w:val="auto"/>
                <w:kern w:val="0"/>
                <w:szCs w:val="21"/>
                <w:lang w:eastAsia="zh-CN"/>
              </w:rPr>
              <w:t>粪污委托</w:t>
            </w:r>
            <w:r>
              <w:rPr>
                <w:rFonts w:hint="eastAsia"/>
                <w:color w:val="auto"/>
                <w:kern w:val="0"/>
                <w:szCs w:val="21"/>
                <w:highlight w:val="none"/>
                <w:lang w:eastAsia="zh-CN"/>
              </w:rPr>
              <w:t>第三方处理机构（辰泰（辽宁）生物科技有限公司）进行处理，利用粪污进行</w:t>
            </w:r>
            <w:r>
              <w:rPr>
                <w:rFonts w:hint="eastAsia"/>
                <w:color w:val="auto"/>
                <w:kern w:val="0"/>
                <w:szCs w:val="21"/>
                <w:highlight w:val="none"/>
              </w:rPr>
              <w:t>有机肥制造；</w:t>
            </w:r>
            <w:r>
              <w:rPr>
                <w:rFonts w:hint="eastAsia"/>
                <w:color w:val="auto"/>
                <w:kern w:val="0"/>
                <w:szCs w:val="21"/>
                <w:highlight w:val="none"/>
                <w:lang w:eastAsia="zh-CN"/>
              </w:rPr>
              <w:t>考虑极端天气，厂区内设置</w:t>
            </w:r>
            <w:r>
              <w:rPr>
                <w:rFonts w:hint="eastAsia"/>
                <w:color w:val="auto"/>
                <w:kern w:val="0"/>
                <w:szCs w:val="21"/>
                <w:lang w:eastAsia="zh-CN"/>
              </w:rPr>
              <w:t>临时的粪污储存设施，并采取相应的防腐防渗防雨淋措施，防止污染环境</w:t>
            </w:r>
            <w:r>
              <w:rPr>
                <w:rFonts w:hint="eastAsia"/>
                <w:color w:val="auto"/>
                <w:kern w:val="0"/>
                <w:szCs w:val="21"/>
              </w:rPr>
              <w:t>；</w:t>
            </w:r>
          </w:p>
        </w:tc>
        <w:tc>
          <w:tcPr>
            <w:tcW w:w="764" w:type="dxa"/>
            <w:vAlign w:val="center"/>
          </w:tcPr>
          <w:p w14:paraId="6FA660D5">
            <w:pPr>
              <w:jc w:val="center"/>
              <w:textAlignment w:val="baseline"/>
              <w:rPr>
                <w:color w:val="auto"/>
                <w:kern w:val="0"/>
                <w:szCs w:val="21"/>
              </w:rPr>
            </w:pPr>
            <w:r>
              <w:rPr>
                <w:color w:val="auto"/>
                <w:kern w:val="0"/>
                <w:szCs w:val="21"/>
              </w:rPr>
              <w:t>符合</w:t>
            </w:r>
          </w:p>
        </w:tc>
      </w:tr>
      <w:tr w14:paraId="4986DD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5D6D9892">
            <w:pPr>
              <w:jc w:val="center"/>
              <w:textAlignment w:val="baseline"/>
              <w:rPr>
                <w:color w:val="auto"/>
                <w:kern w:val="0"/>
                <w:szCs w:val="21"/>
              </w:rPr>
            </w:pPr>
            <w:r>
              <w:rPr>
                <w:color w:val="auto"/>
                <w:kern w:val="0"/>
                <w:szCs w:val="21"/>
              </w:rPr>
              <w:t>2</w:t>
            </w:r>
          </w:p>
        </w:tc>
        <w:tc>
          <w:tcPr>
            <w:tcW w:w="3524" w:type="dxa"/>
            <w:vAlign w:val="center"/>
          </w:tcPr>
          <w:p w14:paraId="5D10415D">
            <w:pPr>
              <w:pStyle w:val="434"/>
              <w:autoSpaceDE/>
              <w:autoSpaceDN/>
              <w:adjustRightInd/>
              <w:spacing w:before="29" w:line="268" w:lineRule="auto"/>
              <w:jc w:val="center"/>
              <w:rPr>
                <w:color w:val="auto"/>
                <w:sz w:val="21"/>
                <w:szCs w:val="21"/>
              </w:rPr>
            </w:pPr>
            <w:r>
              <w:rPr>
                <w:rFonts w:hint="eastAsia"/>
                <w:color w:val="auto"/>
                <w:sz w:val="21"/>
                <w:szCs w:val="21"/>
              </w:rPr>
              <w:t>5.2圈舍及运动场粪污减量设施</w:t>
            </w:r>
          </w:p>
          <w:p w14:paraId="45282831">
            <w:pPr>
              <w:pStyle w:val="434"/>
              <w:autoSpaceDE/>
              <w:autoSpaceDN/>
              <w:adjustRightInd/>
              <w:spacing w:before="29" w:line="268" w:lineRule="auto"/>
              <w:jc w:val="center"/>
              <w:rPr>
                <w:rFonts w:hint="eastAsia"/>
                <w:color w:val="auto"/>
                <w:sz w:val="21"/>
                <w:szCs w:val="21"/>
              </w:rPr>
            </w:pPr>
            <w:r>
              <w:rPr>
                <w:rFonts w:hint="eastAsia"/>
                <w:color w:val="auto"/>
                <w:sz w:val="21"/>
                <w:szCs w:val="21"/>
              </w:rPr>
              <w:t>畜禽养殖场（户）宜采用干清粪、水泡粪、地面垫料、床（网）下垫料等清粪工艺，逐步淘汰水冲粪工艺，合理控制清粪环节用水量。新建养殖场采用干清粪工艺的，鼓励进行机械干清粪。鼓励畜禽养殖场采用碗式或液位控制等防溢漏饮水器，减少饮水漏水。新建猪、鸡等养殖场宜采取圈舍封闭半封闭管理，鼓励有条件的现有畜禽养殖场开展圈舍封闭改造，对恶臭气体进行收集处理。</w:t>
            </w:r>
          </w:p>
          <w:p w14:paraId="74241924">
            <w:pPr>
              <w:pStyle w:val="434"/>
              <w:autoSpaceDE/>
              <w:autoSpaceDN/>
              <w:adjustRightInd/>
              <w:spacing w:before="29" w:line="268" w:lineRule="auto"/>
              <w:jc w:val="center"/>
              <w:rPr>
                <w:color w:val="auto"/>
                <w:sz w:val="21"/>
                <w:szCs w:val="21"/>
              </w:rPr>
            </w:pPr>
            <w:r>
              <w:rPr>
                <w:rFonts w:hint="eastAsia"/>
                <w:color w:val="auto"/>
                <w:sz w:val="21"/>
                <w:szCs w:val="21"/>
              </w:rPr>
              <w:t>畜禽养殖场（户）应保持合理的清粪频次，及时收集圈舍和运动场的粪污。</w:t>
            </w:r>
          </w:p>
        </w:tc>
        <w:tc>
          <w:tcPr>
            <w:tcW w:w="3486" w:type="dxa"/>
            <w:vAlign w:val="center"/>
          </w:tcPr>
          <w:p w14:paraId="7AC39355">
            <w:pPr>
              <w:widowControl/>
              <w:jc w:val="center"/>
              <w:textAlignment w:val="baseline"/>
              <w:rPr>
                <w:rFonts w:hint="eastAsia" w:eastAsia="宋体"/>
                <w:color w:val="auto"/>
                <w:kern w:val="0"/>
                <w:szCs w:val="21"/>
                <w:highlight w:val="none"/>
                <w:lang w:eastAsia="zh-CN"/>
              </w:rPr>
            </w:pPr>
            <w:r>
              <w:rPr>
                <w:rFonts w:hint="eastAsia"/>
                <w:color w:val="auto"/>
                <w:kern w:val="0"/>
                <w:szCs w:val="21"/>
                <w:highlight w:val="none"/>
                <w:lang w:eastAsia="zh-CN"/>
              </w:rPr>
              <w:t>本项目采用干清粪工艺，全部为机械干清粪，粪便不落地，清粪环节不需水；鸡舍内采用先进的饮水器，圈舍采取封闭管理，合理设置排风设施。本项目鸡舍每日清粪，减少鸡舍内粪污的停留时间。</w:t>
            </w:r>
          </w:p>
        </w:tc>
        <w:tc>
          <w:tcPr>
            <w:tcW w:w="764" w:type="dxa"/>
            <w:vAlign w:val="center"/>
          </w:tcPr>
          <w:p w14:paraId="4FE273CA">
            <w:pPr>
              <w:jc w:val="center"/>
              <w:textAlignment w:val="baseline"/>
              <w:rPr>
                <w:color w:val="auto"/>
                <w:kern w:val="0"/>
                <w:szCs w:val="21"/>
              </w:rPr>
            </w:pPr>
            <w:r>
              <w:rPr>
                <w:color w:val="auto"/>
                <w:kern w:val="0"/>
                <w:szCs w:val="21"/>
              </w:rPr>
              <w:t>符合</w:t>
            </w:r>
          </w:p>
        </w:tc>
      </w:tr>
      <w:tr w14:paraId="7A8733C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549D733D">
            <w:pPr>
              <w:jc w:val="center"/>
              <w:textAlignment w:val="baseline"/>
              <w:rPr>
                <w:color w:val="auto"/>
                <w:kern w:val="0"/>
                <w:szCs w:val="21"/>
              </w:rPr>
            </w:pPr>
            <w:r>
              <w:rPr>
                <w:color w:val="auto"/>
                <w:kern w:val="0"/>
                <w:szCs w:val="21"/>
              </w:rPr>
              <w:t>3</w:t>
            </w:r>
          </w:p>
        </w:tc>
        <w:tc>
          <w:tcPr>
            <w:tcW w:w="3524" w:type="dxa"/>
            <w:vAlign w:val="center"/>
          </w:tcPr>
          <w:p w14:paraId="5EF41140">
            <w:pPr>
              <w:pStyle w:val="434"/>
              <w:autoSpaceDE/>
              <w:autoSpaceDN/>
              <w:adjustRightInd/>
              <w:spacing w:before="29"/>
              <w:jc w:val="center"/>
              <w:rPr>
                <w:color w:val="auto"/>
                <w:sz w:val="21"/>
                <w:szCs w:val="21"/>
              </w:rPr>
            </w:pPr>
            <w:r>
              <w:rPr>
                <w:rFonts w:hint="eastAsia"/>
                <w:color w:val="auto"/>
                <w:sz w:val="21"/>
                <w:szCs w:val="21"/>
              </w:rPr>
              <w:t>5.3雨污分流设施</w:t>
            </w:r>
          </w:p>
          <w:p w14:paraId="4AFEB912">
            <w:pPr>
              <w:pStyle w:val="434"/>
              <w:autoSpaceDE/>
              <w:autoSpaceDN/>
              <w:adjustRightInd/>
              <w:spacing w:before="29"/>
              <w:jc w:val="center"/>
              <w:rPr>
                <w:color w:val="auto"/>
                <w:sz w:val="21"/>
                <w:szCs w:val="21"/>
              </w:rPr>
            </w:pPr>
            <w:r>
              <w:rPr>
                <w:rFonts w:hint="eastAsia"/>
                <w:color w:val="auto"/>
                <w:sz w:val="21"/>
                <w:szCs w:val="21"/>
              </w:rPr>
              <w:t>畜禽养殖场（户）应建设雨污分流设施，液体粪污应采用暗沟或管道输送，采取密闭措施，做好安全防护，输送管路要合理设置检查口，检查口应加盖且一般高于地面5厘米以上，防止雨水倒灌。</w:t>
            </w:r>
          </w:p>
        </w:tc>
        <w:tc>
          <w:tcPr>
            <w:tcW w:w="3486" w:type="dxa"/>
            <w:vAlign w:val="center"/>
          </w:tcPr>
          <w:p w14:paraId="506DCC0C">
            <w:pPr>
              <w:widowControl/>
              <w:jc w:val="center"/>
              <w:textAlignment w:val="baseline"/>
              <w:rPr>
                <w:rFonts w:hint="eastAsia" w:eastAsia="宋体"/>
                <w:color w:val="auto"/>
                <w:kern w:val="0"/>
                <w:szCs w:val="21"/>
                <w:lang w:eastAsia="zh-CN"/>
              </w:rPr>
            </w:pPr>
            <w:r>
              <w:rPr>
                <w:rFonts w:hint="eastAsia" w:eastAsia="宋体"/>
                <w:color w:val="auto"/>
                <w:kern w:val="0"/>
                <w:szCs w:val="21"/>
                <w:lang w:eastAsia="zh-CN"/>
              </w:rPr>
              <w:t>本项目采取雨污分流制，鸡舍冲洗废水通过管道输送至废水收集池，即产即清，废水收集池上加盖板。雨水通过雨水管道排出厂外。</w:t>
            </w:r>
          </w:p>
        </w:tc>
        <w:tc>
          <w:tcPr>
            <w:tcW w:w="764" w:type="dxa"/>
            <w:vAlign w:val="center"/>
          </w:tcPr>
          <w:p w14:paraId="6801FC75">
            <w:pPr>
              <w:jc w:val="center"/>
              <w:textAlignment w:val="baseline"/>
              <w:rPr>
                <w:color w:val="auto"/>
                <w:kern w:val="0"/>
                <w:szCs w:val="21"/>
              </w:rPr>
            </w:pPr>
            <w:r>
              <w:rPr>
                <w:color w:val="auto"/>
                <w:kern w:val="0"/>
                <w:szCs w:val="21"/>
              </w:rPr>
              <w:t>符合</w:t>
            </w:r>
          </w:p>
        </w:tc>
      </w:tr>
      <w:tr w14:paraId="2DF8586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Align w:val="center"/>
          </w:tcPr>
          <w:p w14:paraId="28AE446D">
            <w:pPr>
              <w:jc w:val="center"/>
              <w:textAlignment w:val="baseline"/>
              <w:rPr>
                <w:color w:val="auto"/>
                <w:kern w:val="0"/>
                <w:szCs w:val="21"/>
              </w:rPr>
            </w:pPr>
            <w:r>
              <w:rPr>
                <w:color w:val="auto"/>
                <w:kern w:val="0"/>
                <w:szCs w:val="21"/>
              </w:rPr>
              <w:t>4</w:t>
            </w:r>
          </w:p>
        </w:tc>
        <w:tc>
          <w:tcPr>
            <w:tcW w:w="3524" w:type="dxa"/>
            <w:vAlign w:val="center"/>
          </w:tcPr>
          <w:p w14:paraId="169800C7">
            <w:pPr>
              <w:pStyle w:val="434"/>
              <w:autoSpaceDE/>
              <w:autoSpaceDN/>
              <w:adjustRightInd/>
              <w:spacing w:line="268" w:lineRule="auto"/>
              <w:jc w:val="center"/>
              <w:rPr>
                <w:color w:val="auto"/>
                <w:sz w:val="21"/>
                <w:szCs w:val="21"/>
              </w:rPr>
            </w:pPr>
            <w:r>
              <w:rPr>
                <w:rFonts w:hint="eastAsia"/>
                <w:color w:val="auto"/>
                <w:sz w:val="21"/>
                <w:szCs w:val="21"/>
              </w:rPr>
              <w:t>5.4畜禽粪污暂存设施</w:t>
            </w:r>
          </w:p>
          <w:p w14:paraId="5D46B9D0">
            <w:pPr>
              <w:pStyle w:val="434"/>
              <w:autoSpaceDE/>
              <w:autoSpaceDN/>
              <w:adjustRightInd/>
              <w:spacing w:line="268" w:lineRule="auto"/>
              <w:jc w:val="center"/>
              <w:rPr>
                <w:color w:val="auto"/>
                <w:sz w:val="21"/>
                <w:szCs w:val="21"/>
              </w:rPr>
            </w:pPr>
            <w:r>
              <w:rPr>
                <w:rFonts w:hint="eastAsia"/>
                <w:color w:val="auto"/>
                <w:sz w:val="21"/>
                <w:szCs w:val="21"/>
              </w:rPr>
              <w:t>畜禽养殖场（户）建设畜禽粪污暂存池（场）的，液体粪污暂存池容积不小于单位畜禽液体粪污日产生量（立方米/天·头、只、羽）×暂存周期（天）×设计存栏量（头、只、羽），固体粪污暂存场容积不小于单位畜禽固体粪污日产生量（立方米/天·头、只、羽）×暂存周期（天）×设计存栏量（头、只、羽），暂存周期按转运处理最大时间间隔确定。鼓励采取加盖等措施，减少恶臭气体排放和雨水进入。</w:t>
            </w:r>
          </w:p>
        </w:tc>
        <w:tc>
          <w:tcPr>
            <w:tcW w:w="3486" w:type="dxa"/>
            <w:vAlign w:val="center"/>
          </w:tcPr>
          <w:p w14:paraId="182F898B">
            <w:pPr>
              <w:widowControl/>
              <w:jc w:val="center"/>
              <w:textAlignment w:val="baseline"/>
              <w:rPr>
                <w:rFonts w:hint="eastAsia" w:eastAsia="宋体"/>
                <w:color w:val="auto"/>
                <w:kern w:val="0"/>
                <w:szCs w:val="21"/>
                <w:lang w:eastAsia="zh-CN"/>
              </w:rPr>
            </w:pPr>
            <w:r>
              <w:rPr>
                <w:rFonts w:hint="eastAsia" w:eastAsia="宋体"/>
                <w:color w:val="auto"/>
                <w:kern w:val="0"/>
                <w:szCs w:val="21"/>
                <w:lang w:eastAsia="zh-CN"/>
              </w:rPr>
              <w:t>本项目临时储粪场设置为封闭结构，废水收集池上方设置盖板，减少恶臭气体排放和防止雨水进入。</w:t>
            </w:r>
          </w:p>
          <w:p w14:paraId="7F0D5084">
            <w:pPr>
              <w:widowControl/>
              <w:jc w:val="center"/>
              <w:textAlignment w:val="baseline"/>
              <w:rPr>
                <w:rFonts w:hint="eastAsia" w:eastAsia="宋体"/>
                <w:color w:val="auto"/>
                <w:kern w:val="0"/>
                <w:szCs w:val="21"/>
                <w:highlight w:val="none"/>
                <w:lang w:eastAsia="zh-CN"/>
              </w:rPr>
            </w:pPr>
            <w:r>
              <w:rPr>
                <w:rFonts w:hint="eastAsia" w:eastAsia="宋体"/>
                <w:color w:val="auto"/>
                <w:kern w:val="0"/>
                <w:szCs w:val="21"/>
                <w:highlight w:val="none"/>
                <w:lang w:eastAsia="zh-CN"/>
              </w:rPr>
              <w:t>临时储粪场：经计算，本项目粪便产生量为117m</w:t>
            </w:r>
            <w:r>
              <w:rPr>
                <w:rFonts w:hint="eastAsia" w:eastAsia="宋体"/>
                <w:color w:val="auto"/>
                <w:kern w:val="0"/>
                <w:szCs w:val="21"/>
                <w:highlight w:val="none"/>
                <w:vertAlign w:val="superscript"/>
                <w:lang w:eastAsia="zh-CN"/>
              </w:rPr>
              <w:t>3</w:t>
            </w:r>
            <w:r>
              <w:rPr>
                <w:rFonts w:hint="eastAsia" w:eastAsia="宋体"/>
                <w:color w:val="auto"/>
                <w:kern w:val="0"/>
                <w:szCs w:val="21"/>
                <w:highlight w:val="none"/>
                <w:lang w:eastAsia="zh-CN"/>
              </w:rPr>
              <w:t>/d，固体粪污暂存场容积应为</w:t>
            </w:r>
            <w:r>
              <w:rPr>
                <w:rFonts w:hint="eastAsia" w:eastAsia="宋体"/>
                <w:color w:val="auto"/>
                <w:kern w:val="0"/>
                <w:szCs w:val="21"/>
                <w:highlight w:val="none"/>
                <w:lang w:val="en-US" w:eastAsia="zh-CN"/>
              </w:rPr>
              <w:t>5850m</w:t>
            </w:r>
            <w:r>
              <w:rPr>
                <w:rFonts w:hint="eastAsia" w:eastAsia="宋体"/>
                <w:color w:val="auto"/>
                <w:kern w:val="0"/>
                <w:szCs w:val="21"/>
                <w:highlight w:val="none"/>
                <w:vertAlign w:val="superscript"/>
                <w:lang w:val="en-US" w:eastAsia="zh-CN"/>
              </w:rPr>
              <w:t>2</w:t>
            </w:r>
            <w:r>
              <w:rPr>
                <w:rFonts w:hint="eastAsia" w:eastAsia="宋体"/>
                <w:color w:val="auto"/>
                <w:kern w:val="0"/>
                <w:szCs w:val="21"/>
                <w:highlight w:val="none"/>
                <w:lang w:eastAsia="zh-CN"/>
              </w:rPr>
              <w:t>。本项目临时储粪场占地面积</w:t>
            </w:r>
            <w:r>
              <w:rPr>
                <w:rFonts w:hint="eastAsia" w:eastAsia="宋体"/>
                <w:color w:val="auto"/>
                <w:kern w:val="0"/>
                <w:szCs w:val="21"/>
                <w:highlight w:val="none"/>
                <w:lang w:val="en-US" w:eastAsia="zh-CN"/>
              </w:rPr>
              <w:t>20</w:t>
            </w:r>
            <w:r>
              <w:rPr>
                <w:rFonts w:hint="eastAsia" w:eastAsia="宋体"/>
                <w:color w:val="auto"/>
                <w:kern w:val="0"/>
                <w:szCs w:val="21"/>
                <w:highlight w:val="none"/>
                <w:lang w:eastAsia="zh-CN"/>
              </w:rPr>
              <w:t>00m</w:t>
            </w:r>
            <w:r>
              <w:rPr>
                <w:rFonts w:hint="eastAsia" w:eastAsia="宋体"/>
                <w:color w:val="auto"/>
                <w:kern w:val="0"/>
                <w:szCs w:val="21"/>
                <w:highlight w:val="none"/>
                <w:vertAlign w:val="superscript"/>
                <w:lang w:eastAsia="zh-CN"/>
              </w:rPr>
              <w:t>2</w:t>
            </w:r>
            <w:r>
              <w:rPr>
                <w:rFonts w:hint="eastAsia" w:eastAsia="宋体"/>
                <w:color w:val="auto"/>
                <w:kern w:val="0"/>
                <w:szCs w:val="21"/>
                <w:highlight w:val="none"/>
                <w:lang w:eastAsia="zh-CN"/>
              </w:rPr>
              <w:t>，最大堆存高度按3m计算，则粪便贮存池容积为</w:t>
            </w:r>
            <w:r>
              <w:rPr>
                <w:rFonts w:hint="eastAsia" w:eastAsia="宋体"/>
                <w:color w:val="auto"/>
                <w:kern w:val="0"/>
                <w:szCs w:val="21"/>
                <w:highlight w:val="none"/>
                <w:lang w:val="en-US" w:eastAsia="zh-CN"/>
              </w:rPr>
              <w:t>6</w:t>
            </w:r>
            <w:r>
              <w:rPr>
                <w:rFonts w:hint="eastAsia" w:eastAsia="宋体"/>
                <w:color w:val="auto"/>
                <w:kern w:val="0"/>
                <w:szCs w:val="21"/>
                <w:highlight w:val="none"/>
                <w:lang w:eastAsia="zh-CN"/>
              </w:rPr>
              <w:t>000m</w:t>
            </w:r>
            <w:r>
              <w:rPr>
                <w:rFonts w:hint="eastAsia" w:eastAsia="宋体"/>
                <w:color w:val="auto"/>
                <w:kern w:val="0"/>
                <w:szCs w:val="21"/>
                <w:highlight w:val="none"/>
                <w:vertAlign w:val="superscript"/>
                <w:lang w:eastAsia="zh-CN"/>
              </w:rPr>
              <w:t>3</w:t>
            </w:r>
            <w:r>
              <w:rPr>
                <w:rFonts w:hint="eastAsia" w:eastAsia="宋体"/>
                <w:color w:val="auto"/>
                <w:kern w:val="0"/>
                <w:szCs w:val="21"/>
                <w:highlight w:val="none"/>
                <w:lang w:eastAsia="zh-CN"/>
              </w:rPr>
              <w:t>，满足极端气候条件下粪便暂存50d的要求，因此粪便贮存池容量满足本项目粪便暂存容量的要求。</w:t>
            </w:r>
          </w:p>
          <w:p w14:paraId="77F4BC0A">
            <w:pPr>
              <w:widowControl/>
              <w:jc w:val="center"/>
              <w:textAlignment w:val="baseline"/>
              <w:rPr>
                <w:rFonts w:hint="eastAsia" w:eastAsia="宋体"/>
                <w:color w:val="auto"/>
                <w:kern w:val="0"/>
                <w:szCs w:val="21"/>
                <w:lang w:eastAsia="zh-CN"/>
              </w:rPr>
            </w:pPr>
            <w:r>
              <w:rPr>
                <w:rFonts w:hint="eastAsia" w:eastAsia="宋体"/>
                <w:color w:val="auto"/>
                <w:kern w:val="0"/>
                <w:szCs w:val="21"/>
                <w:highlight w:val="none"/>
                <w:lang w:eastAsia="zh-CN"/>
              </w:rPr>
              <w:t>废水收集池：经计算，本项目每栋鸡舍一次冲洗废水最大产生量为</w:t>
            </w:r>
            <w:r>
              <w:rPr>
                <w:rFonts w:hint="eastAsia" w:eastAsia="宋体"/>
                <w:color w:val="auto"/>
                <w:kern w:val="0"/>
                <w:szCs w:val="21"/>
                <w:highlight w:val="none"/>
                <w:lang w:val="en-US" w:eastAsia="zh-CN"/>
              </w:rPr>
              <w:t>1.69m</w:t>
            </w:r>
            <w:r>
              <w:rPr>
                <w:rFonts w:hint="eastAsia" w:eastAsia="宋体"/>
                <w:color w:val="auto"/>
                <w:kern w:val="0"/>
                <w:szCs w:val="21"/>
                <w:highlight w:val="none"/>
                <w:vertAlign w:val="superscript"/>
                <w:lang w:val="en-US" w:eastAsia="zh-CN"/>
              </w:rPr>
              <w:t>3</w:t>
            </w:r>
            <w:r>
              <w:rPr>
                <w:rFonts w:hint="eastAsia" w:eastAsia="宋体"/>
                <w:color w:val="auto"/>
                <w:kern w:val="0"/>
                <w:szCs w:val="21"/>
                <w:highlight w:val="none"/>
                <w:lang w:val="en-US" w:eastAsia="zh-CN"/>
              </w:rPr>
              <w:t>，每出栏一次冲洗一次，出栏一次时间为410天，即每栋鸡舍废水产生量为1.69m</w:t>
            </w:r>
            <w:r>
              <w:rPr>
                <w:rFonts w:hint="eastAsia" w:eastAsia="宋体"/>
                <w:color w:val="auto"/>
                <w:kern w:val="0"/>
                <w:szCs w:val="21"/>
                <w:highlight w:val="none"/>
                <w:vertAlign w:val="superscript"/>
                <w:lang w:val="en-US" w:eastAsia="zh-CN"/>
              </w:rPr>
              <w:t>3</w:t>
            </w:r>
            <w:r>
              <w:rPr>
                <w:rFonts w:hint="eastAsia" w:eastAsia="宋体"/>
                <w:color w:val="auto"/>
                <w:kern w:val="0"/>
                <w:szCs w:val="21"/>
                <w:highlight w:val="none"/>
                <w:lang w:val="en-US" w:eastAsia="zh-CN"/>
              </w:rPr>
              <w:t>/410d，液体粪污暂存场容积应不小于1.69m</w:t>
            </w:r>
            <w:r>
              <w:rPr>
                <w:rFonts w:hint="eastAsia" w:eastAsia="宋体"/>
                <w:color w:val="auto"/>
                <w:kern w:val="0"/>
                <w:szCs w:val="21"/>
                <w:highlight w:val="none"/>
                <w:vertAlign w:val="superscript"/>
                <w:lang w:val="en-US" w:eastAsia="zh-CN"/>
              </w:rPr>
              <w:t>3</w:t>
            </w:r>
            <w:r>
              <w:rPr>
                <w:rFonts w:hint="eastAsia" w:eastAsia="宋体"/>
                <w:color w:val="auto"/>
                <w:kern w:val="0"/>
                <w:szCs w:val="21"/>
                <w:highlight w:val="none"/>
                <w:lang w:val="en-US" w:eastAsia="zh-CN"/>
              </w:rPr>
              <w:t>，企业鸡舍东侧端头各设置1座10m</w:t>
            </w:r>
            <w:r>
              <w:rPr>
                <w:rFonts w:hint="eastAsia" w:eastAsia="宋体"/>
                <w:color w:val="auto"/>
                <w:kern w:val="0"/>
                <w:szCs w:val="21"/>
                <w:highlight w:val="none"/>
                <w:vertAlign w:val="superscript"/>
                <w:lang w:val="en-US" w:eastAsia="zh-CN"/>
              </w:rPr>
              <w:t>3</w:t>
            </w:r>
            <w:r>
              <w:rPr>
                <w:rFonts w:hint="eastAsia" w:eastAsia="宋体"/>
                <w:color w:val="auto"/>
                <w:kern w:val="0"/>
                <w:szCs w:val="21"/>
                <w:highlight w:val="none"/>
                <w:lang w:val="en-US" w:eastAsia="zh-CN"/>
              </w:rPr>
              <w:t>的废水收集池，鸡舍冲洗废水全部进入废水收集池，日产日清，考虑极端天气储存50d，废水收集池也能满足本项目废水储存需求。</w:t>
            </w:r>
          </w:p>
        </w:tc>
        <w:tc>
          <w:tcPr>
            <w:tcW w:w="764" w:type="dxa"/>
            <w:vAlign w:val="center"/>
          </w:tcPr>
          <w:p w14:paraId="24998633">
            <w:pPr>
              <w:jc w:val="center"/>
              <w:textAlignment w:val="baseline"/>
              <w:rPr>
                <w:color w:val="auto"/>
                <w:kern w:val="0"/>
                <w:szCs w:val="21"/>
              </w:rPr>
            </w:pPr>
            <w:r>
              <w:rPr>
                <w:color w:val="auto"/>
                <w:kern w:val="0"/>
                <w:szCs w:val="21"/>
              </w:rPr>
              <w:t>符合</w:t>
            </w:r>
          </w:p>
        </w:tc>
      </w:tr>
    </w:tbl>
    <w:p w14:paraId="6F35BC33">
      <w:pPr>
        <w:spacing w:line="360" w:lineRule="auto"/>
        <w:ind w:firstLine="482" w:firstLineChars="200"/>
        <w:jc w:val="left"/>
        <w:rPr>
          <w:rFonts w:hint="eastAsia"/>
          <w:b/>
          <w:bCs w:val="0"/>
          <w:color w:val="auto"/>
          <w:kern w:val="21"/>
          <w:sz w:val="24"/>
          <w:lang w:eastAsia="zh-CN"/>
        </w:rPr>
      </w:pPr>
      <w:r>
        <w:rPr>
          <w:rFonts w:hint="eastAsia"/>
          <w:b/>
          <w:bCs w:val="0"/>
          <w:color w:val="auto"/>
          <w:kern w:val="21"/>
          <w:sz w:val="24"/>
          <w:lang w:eastAsia="zh-CN"/>
        </w:rPr>
        <w:t>（十六）与中共中央国务院关于深入打好污染防治攻坚战的意见的相符性分析</w:t>
      </w:r>
    </w:p>
    <w:p w14:paraId="6F511424">
      <w:pPr>
        <w:spacing w:line="360" w:lineRule="auto"/>
        <w:ind w:firstLine="480" w:firstLineChars="200"/>
        <w:jc w:val="left"/>
        <w:rPr>
          <w:bCs/>
          <w:color w:val="auto"/>
          <w:kern w:val="21"/>
          <w:sz w:val="24"/>
        </w:rPr>
      </w:pPr>
      <w:r>
        <w:rPr>
          <w:bCs/>
          <w:color w:val="auto"/>
          <w:kern w:val="21"/>
          <w:sz w:val="24"/>
        </w:rPr>
        <w:t>与《中共中央国务院关于深入打好污染防治攻坚战的意见》(中发[2021]40号)(国务院中共中央委员会，2021.11.2)的相符性分析详见下表（与本项目无关条目略过）。</w:t>
      </w:r>
    </w:p>
    <w:p w14:paraId="173A9F12">
      <w:pPr>
        <w:ind w:firstLine="413" w:firstLineChars="196"/>
        <w:jc w:val="center"/>
        <w:textAlignment w:val="baseline"/>
        <w:rPr>
          <w:b/>
          <w:color w:val="auto"/>
          <w:kern w:val="0"/>
          <w:szCs w:val="21"/>
        </w:rPr>
      </w:pPr>
      <w:r>
        <w:rPr>
          <w:b/>
          <w:color w:val="auto"/>
          <w:kern w:val="0"/>
          <w:szCs w:val="21"/>
        </w:rPr>
        <w:t>表1</w:t>
      </w:r>
      <w:r>
        <w:rPr>
          <w:rFonts w:hint="eastAsia"/>
          <w:b/>
          <w:color w:val="auto"/>
          <w:kern w:val="0"/>
          <w:szCs w:val="21"/>
          <w:lang w:val="en-US" w:eastAsia="zh-CN"/>
        </w:rPr>
        <w:t>.4-13</w:t>
      </w:r>
      <w:r>
        <w:rPr>
          <w:b/>
          <w:color w:val="auto"/>
          <w:kern w:val="0"/>
          <w:szCs w:val="21"/>
        </w:rPr>
        <w:t xml:space="preserve"> 本项目与中共中央国务院关于深入打好污染防治攻坚战的意见的相符性分析</w:t>
      </w:r>
    </w:p>
    <w:tbl>
      <w:tblPr>
        <w:tblStyle w:val="551"/>
        <w:tblW w:w="4998" w:type="pct"/>
        <w:tblInd w:w="0"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803"/>
        <w:gridCol w:w="5562"/>
        <w:gridCol w:w="1298"/>
        <w:gridCol w:w="646"/>
      </w:tblGrid>
      <w:tr w14:paraId="5224344B">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74" w:hRule="atLeast"/>
        </w:trPr>
        <w:tc>
          <w:tcPr>
            <w:tcW w:w="483" w:type="pct"/>
            <w:tcBorders>
              <w:tl2br w:val="nil"/>
              <w:tr2bl w:val="nil"/>
            </w:tcBorders>
            <w:vAlign w:val="center"/>
          </w:tcPr>
          <w:p w14:paraId="190E93B7">
            <w:pPr>
              <w:jc w:val="center"/>
            </w:pPr>
            <w:r>
              <w:t>序号</w:t>
            </w:r>
          </w:p>
        </w:tc>
        <w:tc>
          <w:tcPr>
            <w:tcW w:w="3346" w:type="pct"/>
            <w:tcBorders>
              <w:tl2br w:val="nil"/>
              <w:tr2bl w:val="nil"/>
            </w:tcBorders>
            <w:vAlign w:val="center"/>
          </w:tcPr>
          <w:p w14:paraId="0EDCF09C">
            <w:pPr>
              <w:jc w:val="center"/>
            </w:pPr>
            <w:r>
              <w:t>意见要求</w:t>
            </w:r>
          </w:p>
        </w:tc>
        <w:tc>
          <w:tcPr>
            <w:tcW w:w="781" w:type="pct"/>
            <w:tcBorders>
              <w:tl2br w:val="nil"/>
              <w:tr2bl w:val="nil"/>
            </w:tcBorders>
            <w:vAlign w:val="center"/>
          </w:tcPr>
          <w:p w14:paraId="7168FE6B">
            <w:pPr>
              <w:jc w:val="center"/>
            </w:pPr>
            <w:r>
              <w:t>本项目情况</w:t>
            </w:r>
          </w:p>
        </w:tc>
        <w:tc>
          <w:tcPr>
            <w:tcW w:w="388" w:type="pct"/>
            <w:tcBorders>
              <w:tl2br w:val="nil"/>
              <w:tr2bl w:val="nil"/>
            </w:tcBorders>
            <w:vAlign w:val="center"/>
          </w:tcPr>
          <w:p w14:paraId="0A35D621">
            <w:pPr>
              <w:jc w:val="center"/>
            </w:pPr>
            <w:r>
              <w:t>符合 性</w:t>
            </w:r>
          </w:p>
        </w:tc>
      </w:tr>
      <w:tr w14:paraId="48659DB3">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26" w:hRule="atLeast"/>
        </w:trPr>
        <w:tc>
          <w:tcPr>
            <w:tcW w:w="483" w:type="pct"/>
            <w:tcBorders>
              <w:tl2br w:val="nil"/>
              <w:tr2bl w:val="nil"/>
            </w:tcBorders>
            <w:vAlign w:val="center"/>
          </w:tcPr>
          <w:p w14:paraId="06024904">
            <w:pPr>
              <w:jc w:val="center"/>
            </w:pPr>
            <w:r>
              <w:t>1</w:t>
            </w:r>
          </w:p>
        </w:tc>
        <w:tc>
          <w:tcPr>
            <w:tcW w:w="3346" w:type="pct"/>
            <w:tcBorders>
              <w:tl2br w:val="nil"/>
              <w:tr2bl w:val="nil"/>
            </w:tcBorders>
            <w:vAlign w:val="center"/>
          </w:tcPr>
          <w:p w14:paraId="2561A1C3">
            <w:pPr>
              <w:jc w:val="center"/>
            </w:pPr>
            <w:r>
              <w:t>（六）推动能源清洁低碳转型。在保障能源安全的前提下，加快煤炭减量步伐，实施可再生能源替代行动。“十四五”时期，严控煤炭消费增长，非化石能源消费比重提高到20%左右，京津冀及周边地区、长三角地区煤炭消费量分别下降10%、5%左右，汾渭平原煤炭消费量实现负增长。原则上不再新增自备燃煤机组，支持自备燃煤机组实施清洁能源替代，鼓励自备电厂转为公用电厂。坚持“增气减煤”同步，新增天然气优先保障居民生活和清洁取暖需求。提高电能占终端能源消费比重。重点区域的平原地区散煤基本清零。有序扩大清洁取暖试点城市范围，稳步提升北方地区清洁取暖水平。</w:t>
            </w:r>
          </w:p>
        </w:tc>
        <w:tc>
          <w:tcPr>
            <w:tcW w:w="781" w:type="pct"/>
            <w:tcBorders>
              <w:tl2br w:val="nil"/>
              <w:tr2bl w:val="nil"/>
            </w:tcBorders>
            <w:vAlign w:val="center"/>
          </w:tcPr>
          <w:p w14:paraId="7DCAB732">
            <w:pPr>
              <w:jc w:val="center"/>
              <w:rPr>
                <w:rFonts w:hint="eastAsia" w:eastAsia="宋体"/>
                <w:lang w:eastAsia="zh-CN"/>
              </w:rPr>
            </w:pPr>
            <w:r>
              <w:t>本项目不使用煤，</w:t>
            </w:r>
            <w:r>
              <w:rPr>
                <w:rFonts w:hint="eastAsia"/>
                <w:lang w:eastAsia="zh-CN"/>
              </w:rPr>
              <w:t>冬季供暖采用生物质锅炉取暖。</w:t>
            </w:r>
          </w:p>
        </w:tc>
        <w:tc>
          <w:tcPr>
            <w:tcW w:w="388" w:type="pct"/>
            <w:tcBorders>
              <w:tl2br w:val="nil"/>
              <w:tr2bl w:val="nil"/>
            </w:tcBorders>
            <w:vAlign w:val="center"/>
          </w:tcPr>
          <w:p w14:paraId="2ED8B6F6">
            <w:pPr>
              <w:jc w:val="center"/>
            </w:pPr>
            <w:r>
              <w:t>符合</w:t>
            </w:r>
          </w:p>
        </w:tc>
      </w:tr>
      <w:tr w14:paraId="4AC6B201">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637" w:hRule="atLeast"/>
        </w:trPr>
        <w:tc>
          <w:tcPr>
            <w:tcW w:w="483" w:type="pct"/>
            <w:tcBorders>
              <w:tl2br w:val="nil"/>
              <w:tr2bl w:val="nil"/>
            </w:tcBorders>
            <w:vAlign w:val="center"/>
          </w:tcPr>
          <w:p w14:paraId="754E55CD">
            <w:pPr>
              <w:jc w:val="center"/>
            </w:pPr>
            <w:r>
              <w:t>2</w:t>
            </w:r>
          </w:p>
        </w:tc>
        <w:tc>
          <w:tcPr>
            <w:tcW w:w="3346" w:type="pct"/>
            <w:tcBorders>
              <w:tl2br w:val="nil"/>
              <w:tr2bl w:val="nil"/>
            </w:tcBorders>
            <w:vAlign w:val="center"/>
          </w:tcPr>
          <w:p w14:paraId="5C0AE5EB">
            <w:pPr>
              <w:jc w:val="center"/>
            </w:pPr>
            <w:r>
              <w:t>（七）坚决遏制高耗能高排放项目盲目发展。严把高耗能高排放项目准入关口，严格落实污染物排放区域削减要求，对不符合规定的项目坚决停批停建。依法依规淘汰落后产能和化解过剩产能。推动高炉－转炉长流程炼钢转型为电炉短流程炼钢。重点区域严禁新增钢铁、焦化、水泥熟料、平板玻璃、电解铝、氧化铝、煤化工产能，合理控制煤制油气产能规模，严控新增炼油产能。</w:t>
            </w:r>
          </w:p>
        </w:tc>
        <w:tc>
          <w:tcPr>
            <w:tcW w:w="781" w:type="pct"/>
            <w:tcBorders>
              <w:tl2br w:val="nil"/>
              <w:tr2bl w:val="nil"/>
            </w:tcBorders>
            <w:vAlign w:val="center"/>
          </w:tcPr>
          <w:p w14:paraId="6E52169B">
            <w:pPr>
              <w:jc w:val="center"/>
            </w:pPr>
            <w:r>
              <w:t>项目不属高耗能高排放项目。</w:t>
            </w:r>
          </w:p>
        </w:tc>
        <w:tc>
          <w:tcPr>
            <w:tcW w:w="388" w:type="pct"/>
            <w:tcBorders>
              <w:tl2br w:val="nil"/>
              <w:tr2bl w:val="nil"/>
            </w:tcBorders>
            <w:vAlign w:val="center"/>
          </w:tcPr>
          <w:p w14:paraId="2703ABB2">
            <w:pPr>
              <w:jc w:val="center"/>
            </w:pPr>
            <w:r>
              <w:t>符合</w:t>
            </w:r>
          </w:p>
        </w:tc>
      </w:tr>
      <w:tr w14:paraId="33A111C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116" w:hRule="atLeast"/>
        </w:trPr>
        <w:tc>
          <w:tcPr>
            <w:tcW w:w="483" w:type="pct"/>
            <w:tcBorders>
              <w:tl2br w:val="nil"/>
              <w:tr2bl w:val="nil"/>
            </w:tcBorders>
            <w:vAlign w:val="center"/>
          </w:tcPr>
          <w:p w14:paraId="3177552C">
            <w:pPr>
              <w:jc w:val="center"/>
            </w:pPr>
            <w:r>
              <w:t>3</w:t>
            </w:r>
          </w:p>
        </w:tc>
        <w:tc>
          <w:tcPr>
            <w:tcW w:w="3346" w:type="pct"/>
            <w:tcBorders>
              <w:tl2br w:val="nil"/>
              <w:tr2bl w:val="nil"/>
            </w:tcBorders>
            <w:vAlign w:val="center"/>
          </w:tcPr>
          <w:p w14:paraId="386A8003">
            <w:pPr>
              <w:jc w:val="center"/>
            </w:pPr>
            <w:r>
              <w:t>（八）推进清洁生产和能源资源节约高效利用。引导重点行业深入实施清洁生产改造，依法开展自愿性清洁生产评价认证。大力推行绿色制造，构建资源循环利用体系。推动煤炭等化石能源清洁高效利用。加强重点领域节能，提高能源使用效率。实施国家节水行动，强化农业节水增效、工业节水减排、城镇节水降损。推进污水资源化利用和海水淡化规模化利用。</w:t>
            </w:r>
          </w:p>
        </w:tc>
        <w:tc>
          <w:tcPr>
            <w:tcW w:w="781" w:type="pct"/>
            <w:tcBorders>
              <w:tl2br w:val="nil"/>
              <w:tr2bl w:val="nil"/>
            </w:tcBorders>
            <w:vAlign w:val="center"/>
          </w:tcPr>
          <w:p w14:paraId="24508D80">
            <w:pPr>
              <w:jc w:val="center"/>
            </w:pPr>
            <w:r>
              <w:t>本项目不涉及煤炭的使用，项目正在完善用水手续，</w:t>
            </w:r>
            <w:r>
              <w:rPr>
                <w:rFonts w:hint="eastAsia"/>
                <w:lang w:eastAsia="zh-CN"/>
              </w:rPr>
              <w:t>项目鸡舍冲洗废</w:t>
            </w:r>
            <w:r>
              <w:rPr>
                <w:rFonts w:hint="eastAsia"/>
                <w:highlight w:val="none"/>
                <w:lang w:eastAsia="zh-CN"/>
              </w:rPr>
              <w:t>水</w:t>
            </w:r>
            <w:r>
              <w:rPr>
                <w:rFonts w:hint="eastAsia"/>
                <w:color w:val="auto"/>
                <w:kern w:val="0"/>
                <w:szCs w:val="21"/>
                <w:highlight w:val="none"/>
                <w:lang w:eastAsia="zh-CN"/>
              </w:rPr>
              <w:t>由罐车直接拉走外售至辰泰（辽宁）生物科技有限公司做有机肥</w:t>
            </w:r>
            <w:r>
              <w:rPr>
                <w:highlight w:val="none"/>
              </w:rPr>
              <w:t>。</w:t>
            </w:r>
          </w:p>
        </w:tc>
        <w:tc>
          <w:tcPr>
            <w:tcW w:w="388" w:type="pct"/>
            <w:tcBorders>
              <w:tl2br w:val="nil"/>
              <w:tr2bl w:val="nil"/>
            </w:tcBorders>
            <w:vAlign w:val="center"/>
          </w:tcPr>
          <w:p w14:paraId="6EB33F24">
            <w:pPr>
              <w:jc w:val="center"/>
            </w:pPr>
            <w:r>
              <w:t>符合</w:t>
            </w:r>
          </w:p>
        </w:tc>
      </w:tr>
      <w:tr w14:paraId="74DDBB5A">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116" w:hRule="atLeast"/>
        </w:trPr>
        <w:tc>
          <w:tcPr>
            <w:tcW w:w="483" w:type="pct"/>
            <w:tcBorders>
              <w:tl2br w:val="nil"/>
              <w:tr2bl w:val="nil"/>
            </w:tcBorders>
            <w:vAlign w:val="center"/>
          </w:tcPr>
          <w:p w14:paraId="44B6A51C">
            <w:pPr>
              <w:jc w:val="center"/>
              <w:rPr>
                <w:rFonts w:hint="eastAsia" w:eastAsia="宋体"/>
                <w:lang w:val="en-US" w:eastAsia="zh-CN"/>
              </w:rPr>
            </w:pPr>
            <w:r>
              <w:rPr>
                <w:rFonts w:hint="eastAsia"/>
                <w:lang w:val="en-US" w:eastAsia="zh-CN"/>
              </w:rPr>
              <w:t>4</w:t>
            </w:r>
          </w:p>
        </w:tc>
        <w:tc>
          <w:tcPr>
            <w:tcW w:w="3346" w:type="pct"/>
            <w:tcBorders>
              <w:tl2br w:val="nil"/>
              <w:tr2bl w:val="nil"/>
            </w:tcBorders>
            <w:vAlign w:val="center"/>
          </w:tcPr>
          <w:p w14:paraId="3BC5FA77">
            <w:pPr>
              <w:jc w:val="center"/>
            </w:pPr>
            <w:r>
              <w:t>（九）加强生态环境分区管控。衔接国土空间规划分区和用途管制要求，将生态保护红线、环境质量底线、资源利用上线的硬约束落实到环境管控单元，建立差别化的生态环境准入清单，加强“三线一单”成果在政策制定、环境准入、园区管理、执法监管等方面的应用。健全以环评制度为主体的源头预防体系，严格规划环评审查和项目环评准入，开展重大经济技术政策的生态环境影响分析和重大生态环境政策的社会经济影响评估。</w:t>
            </w:r>
          </w:p>
        </w:tc>
        <w:tc>
          <w:tcPr>
            <w:tcW w:w="781" w:type="pct"/>
            <w:tcBorders>
              <w:tl2br w:val="nil"/>
              <w:tr2bl w:val="nil"/>
            </w:tcBorders>
            <w:vAlign w:val="center"/>
          </w:tcPr>
          <w:p w14:paraId="292F52AC">
            <w:pPr>
              <w:jc w:val="center"/>
            </w:pPr>
            <w:r>
              <w:t>项目符合朝阳市“三线一单”生态环境分区管控要求。</w:t>
            </w:r>
          </w:p>
        </w:tc>
        <w:tc>
          <w:tcPr>
            <w:tcW w:w="388" w:type="pct"/>
            <w:tcBorders>
              <w:tl2br w:val="nil"/>
              <w:tr2bl w:val="nil"/>
            </w:tcBorders>
            <w:vAlign w:val="center"/>
          </w:tcPr>
          <w:p w14:paraId="6CA60DC6">
            <w:pPr>
              <w:jc w:val="center"/>
            </w:pPr>
            <w:r>
              <w:t>符合</w:t>
            </w:r>
          </w:p>
        </w:tc>
      </w:tr>
      <w:tr w14:paraId="41B476B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116" w:hRule="atLeast"/>
        </w:trPr>
        <w:tc>
          <w:tcPr>
            <w:tcW w:w="483" w:type="pct"/>
            <w:tcBorders>
              <w:tl2br w:val="nil"/>
              <w:tr2bl w:val="nil"/>
            </w:tcBorders>
            <w:vAlign w:val="center"/>
          </w:tcPr>
          <w:p w14:paraId="4EFFB52D">
            <w:pPr>
              <w:jc w:val="center"/>
              <w:rPr>
                <w:rFonts w:hint="eastAsia" w:eastAsia="宋体"/>
                <w:lang w:val="en-US" w:eastAsia="zh-CN"/>
              </w:rPr>
            </w:pPr>
            <w:r>
              <w:rPr>
                <w:rFonts w:hint="eastAsia"/>
                <w:lang w:val="en-US" w:eastAsia="zh-CN"/>
              </w:rPr>
              <w:t>5</w:t>
            </w:r>
          </w:p>
        </w:tc>
        <w:tc>
          <w:tcPr>
            <w:tcW w:w="3346" w:type="pct"/>
            <w:tcBorders>
              <w:tl2br w:val="nil"/>
              <w:tr2bl w:val="nil"/>
            </w:tcBorders>
            <w:vAlign w:val="center"/>
          </w:tcPr>
          <w:p w14:paraId="76984B74">
            <w:pPr>
              <w:jc w:val="center"/>
            </w:pPr>
            <w:r>
              <w:t>（十一）着力打好重污染天气消除攻坚战。聚焦秋冬季细颗粒物污染，加大重点区域、重点行业结构调整和污染治理力度。京津冀及周边地区、汾渭平原持续开展秋冬季大气污染综合治理专项行动。东北地区加强秸秆禁烧管控和采暖燃煤污染治理。天山北坡城市群加强兵地协作，钢铁、有色金属、化工等行业参照重点区域执行重污染天气应急减排措施。科学调整大气污染防治重点区域范围，构建省市县三级重污染天气应急预案体系，实施重点行业企业绩效分级管理，依法严厉打击不落实应急减排措施行为。到2025年，全国重度及以上污染天数比率控制在1%以内。</w:t>
            </w:r>
          </w:p>
        </w:tc>
        <w:tc>
          <w:tcPr>
            <w:tcW w:w="781" w:type="pct"/>
            <w:tcBorders>
              <w:tl2br w:val="nil"/>
              <w:tr2bl w:val="nil"/>
            </w:tcBorders>
            <w:vAlign w:val="center"/>
          </w:tcPr>
          <w:p w14:paraId="479DAA10">
            <w:pPr>
              <w:jc w:val="center"/>
            </w:pPr>
            <w:r>
              <w:t>本项目位于</w:t>
            </w:r>
            <w:r>
              <w:rPr>
                <w:rFonts w:hint="eastAsia"/>
                <w:color w:val="auto"/>
                <w:kern w:val="0"/>
                <w:szCs w:val="21"/>
                <w:lang w:eastAsia="zh-CN"/>
              </w:rPr>
              <w:t>北票市西官镇大巴里村</w:t>
            </w:r>
            <w:r>
              <w:t>，本项目</w:t>
            </w:r>
            <w:r>
              <w:rPr>
                <w:rFonts w:hint="eastAsia"/>
                <w:lang w:eastAsia="zh-CN"/>
              </w:rPr>
              <w:t>冬季取暖采用生物质锅炉取暖</w:t>
            </w:r>
            <w:r>
              <w:t>。</w:t>
            </w:r>
          </w:p>
        </w:tc>
        <w:tc>
          <w:tcPr>
            <w:tcW w:w="388" w:type="pct"/>
            <w:tcBorders>
              <w:tl2br w:val="nil"/>
              <w:tr2bl w:val="nil"/>
            </w:tcBorders>
            <w:vAlign w:val="center"/>
          </w:tcPr>
          <w:p w14:paraId="5175200D">
            <w:pPr>
              <w:jc w:val="center"/>
            </w:pPr>
            <w:r>
              <w:t>符合</w:t>
            </w:r>
          </w:p>
        </w:tc>
      </w:tr>
      <w:tr w14:paraId="76C63FBF">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116" w:hRule="atLeast"/>
        </w:trPr>
        <w:tc>
          <w:tcPr>
            <w:tcW w:w="483" w:type="pct"/>
            <w:tcBorders>
              <w:tl2br w:val="nil"/>
              <w:tr2bl w:val="nil"/>
            </w:tcBorders>
            <w:vAlign w:val="center"/>
          </w:tcPr>
          <w:p w14:paraId="6DB07AAE">
            <w:pPr>
              <w:jc w:val="center"/>
              <w:rPr>
                <w:rFonts w:hint="eastAsia" w:eastAsia="宋体"/>
                <w:lang w:val="en-US" w:eastAsia="zh-CN"/>
              </w:rPr>
            </w:pPr>
            <w:r>
              <w:rPr>
                <w:rFonts w:hint="eastAsia"/>
                <w:lang w:val="en-US" w:eastAsia="zh-CN"/>
              </w:rPr>
              <w:t>6</w:t>
            </w:r>
          </w:p>
        </w:tc>
        <w:tc>
          <w:tcPr>
            <w:tcW w:w="3346" w:type="pct"/>
            <w:tcBorders>
              <w:tl2br w:val="nil"/>
              <w:tr2bl w:val="nil"/>
            </w:tcBorders>
            <w:vAlign w:val="center"/>
          </w:tcPr>
          <w:p w14:paraId="41F5C158">
            <w:pPr>
              <w:jc w:val="center"/>
            </w:pPr>
            <w:r>
              <w:t>（十二）着力打好臭氧污染防治攻坚战。聚焦夏秋季臭氧污染，大力推进挥发性有机物和氮氧化物协同减排。以石化、化工、涂装、医药、包装印刷、油品储运销等行业领域为重点，安全高效推进挥发性有机物综合治理，实施原辅材料和产品源头替代工程。完善挥发性有机物产品标准体系，建立低挥发性有机物含量产品标识制度。完善挥发性有机物监测技术和排放量计算方法，在相关条件成熟后，研究适时将挥发性有机物纳入环境保护税征收范围。推进钢铁、水泥、焦化行业企业超低排放改造，重点区域钢铁、燃煤机组、燃煤锅炉实现超低排放。开展涉气产业集群排查及分类治理，推进企业升级改造和区域环境综合整治。到2025年，挥发性有机物、氮氧化物排放总量比2020年分别下降10%以上，臭氧浓度增长趋势得到有效遏制，实现细颗粒物和臭氧协同控制。</w:t>
            </w:r>
          </w:p>
        </w:tc>
        <w:tc>
          <w:tcPr>
            <w:tcW w:w="781" w:type="pct"/>
            <w:tcBorders>
              <w:tl2br w:val="nil"/>
              <w:tr2bl w:val="nil"/>
            </w:tcBorders>
            <w:vAlign w:val="center"/>
          </w:tcPr>
          <w:p w14:paraId="6D5FF82D">
            <w:pPr>
              <w:jc w:val="center"/>
              <w:rPr>
                <w:rFonts w:hint="eastAsia" w:eastAsia="宋体"/>
                <w:lang w:eastAsia="zh-CN"/>
              </w:rPr>
            </w:pPr>
            <w:r>
              <w:t>本项目属养殖业，不属于重点行业。本项目</w:t>
            </w:r>
            <w:r>
              <w:rPr>
                <w:rFonts w:hint="eastAsia"/>
                <w:lang w:eastAsia="zh-CN"/>
              </w:rPr>
              <w:t>冬季采用生物质锅炉取暖。</w:t>
            </w:r>
          </w:p>
        </w:tc>
        <w:tc>
          <w:tcPr>
            <w:tcW w:w="388" w:type="pct"/>
            <w:tcBorders>
              <w:tl2br w:val="nil"/>
              <w:tr2bl w:val="nil"/>
            </w:tcBorders>
            <w:vAlign w:val="center"/>
          </w:tcPr>
          <w:p w14:paraId="4A81C823">
            <w:pPr>
              <w:jc w:val="center"/>
            </w:pPr>
            <w:r>
              <w:t>符合</w:t>
            </w:r>
          </w:p>
        </w:tc>
      </w:tr>
      <w:tr w14:paraId="6B3A7CE7">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116" w:hRule="atLeast"/>
        </w:trPr>
        <w:tc>
          <w:tcPr>
            <w:tcW w:w="483" w:type="pct"/>
            <w:tcBorders>
              <w:tl2br w:val="nil"/>
              <w:tr2bl w:val="nil"/>
            </w:tcBorders>
            <w:vAlign w:val="center"/>
          </w:tcPr>
          <w:p w14:paraId="625CFC54">
            <w:pPr>
              <w:jc w:val="center"/>
              <w:rPr>
                <w:rFonts w:hint="eastAsia" w:eastAsia="宋体"/>
                <w:lang w:val="en-US" w:eastAsia="zh-CN"/>
              </w:rPr>
            </w:pPr>
            <w:r>
              <w:rPr>
                <w:rFonts w:hint="eastAsia"/>
                <w:lang w:val="en-US" w:eastAsia="zh-CN"/>
              </w:rPr>
              <w:t>7</w:t>
            </w:r>
          </w:p>
        </w:tc>
        <w:tc>
          <w:tcPr>
            <w:tcW w:w="3346" w:type="pct"/>
            <w:tcBorders>
              <w:tl2br w:val="nil"/>
              <w:tr2bl w:val="nil"/>
            </w:tcBorders>
            <w:vAlign w:val="center"/>
          </w:tcPr>
          <w:p w14:paraId="1FA3BF5E">
            <w:pPr>
              <w:jc w:val="center"/>
            </w:pPr>
            <w:r>
              <w:t>有效管控建设用地土壤污染风险。严格建设用地土壤污染风险管控和修复名录内地块的准入管理。未依法完成土壤污染状况调查和风险评估的地块，不得开工建设与风险管控和修复无关的项目。从严管控农药、化工等行业的重度污染地块规划用途，确需开发利用的，鼓励用于拓展生态空间。完成重点地区危险化学品生产企业搬迁改造，推进腾退地块风险管控和修复。</w:t>
            </w:r>
          </w:p>
        </w:tc>
        <w:tc>
          <w:tcPr>
            <w:tcW w:w="781" w:type="pct"/>
            <w:tcBorders>
              <w:tl2br w:val="nil"/>
              <w:tr2bl w:val="nil"/>
            </w:tcBorders>
            <w:vAlign w:val="center"/>
          </w:tcPr>
          <w:p w14:paraId="6FBB784D">
            <w:pPr>
              <w:jc w:val="center"/>
            </w:pPr>
            <w:r>
              <w:t>本项目位于</w:t>
            </w:r>
            <w:r>
              <w:rPr>
                <w:rFonts w:hint="eastAsia"/>
                <w:color w:val="auto"/>
                <w:kern w:val="0"/>
                <w:szCs w:val="21"/>
                <w:lang w:eastAsia="zh-CN"/>
              </w:rPr>
              <w:t>北票市西官镇大巴里村</w:t>
            </w:r>
            <w:r>
              <w:rPr>
                <w:highlight w:val="none"/>
              </w:rPr>
              <w:t>，</w:t>
            </w:r>
            <w:r>
              <w:rPr>
                <w:rFonts w:hint="eastAsia"/>
                <w:highlight w:val="none"/>
              </w:rPr>
              <w:t>所占地为农业设施用地</w:t>
            </w:r>
            <w:r>
              <w:rPr>
                <w:rFonts w:hint="eastAsia"/>
                <w:highlight w:val="none"/>
                <w:lang w:eastAsia="zh-CN"/>
              </w:rPr>
              <w:t>（用地手续正在办理中）</w:t>
            </w:r>
            <w:r>
              <w:rPr>
                <w:rFonts w:hint="eastAsia"/>
                <w:highlight w:val="none"/>
              </w:rPr>
              <w:t>，</w:t>
            </w:r>
            <w:r>
              <w:rPr>
                <w:rFonts w:hint="eastAsia"/>
                <w:lang w:eastAsia="zh-CN"/>
              </w:rPr>
              <w:t>不属于土壤污染风险管控和修复名录范围内</w:t>
            </w:r>
            <w:r>
              <w:t>。</w:t>
            </w:r>
          </w:p>
        </w:tc>
        <w:tc>
          <w:tcPr>
            <w:tcW w:w="388" w:type="pct"/>
            <w:tcBorders>
              <w:tl2br w:val="nil"/>
              <w:tr2bl w:val="nil"/>
            </w:tcBorders>
            <w:vAlign w:val="center"/>
          </w:tcPr>
          <w:p w14:paraId="3671765D">
            <w:pPr>
              <w:jc w:val="center"/>
            </w:pPr>
            <w:r>
              <w:t>符合</w:t>
            </w:r>
          </w:p>
        </w:tc>
      </w:tr>
    </w:tbl>
    <w:p w14:paraId="0ACD4D64">
      <w:pPr>
        <w:spacing w:line="360" w:lineRule="auto"/>
        <w:ind w:firstLine="482" w:firstLineChars="200"/>
        <w:jc w:val="left"/>
        <w:rPr>
          <w:rFonts w:hint="eastAsia"/>
          <w:b/>
          <w:bCs w:val="0"/>
          <w:color w:val="auto"/>
          <w:kern w:val="21"/>
          <w:sz w:val="24"/>
          <w:lang w:eastAsia="zh-CN"/>
        </w:rPr>
      </w:pPr>
      <w:r>
        <w:rPr>
          <w:rFonts w:hint="eastAsia"/>
          <w:b/>
          <w:bCs w:val="0"/>
          <w:color w:val="auto"/>
          <w:kern w:val="21"/>
          <w:sz w:val="24"/>
          <w:lang w:eastAsia="zh-CN"/>
        </w:rPr>
        <w:t>（十七）与《辽宁省深入打好污染防治攻坚战实施方案》相符性分析</w:t>
      </w:r>
    </w:p>
    <w:p w14:paraId="1B66D622">
      <w:pPr>
        <w:spacing w:line="360" w:lineRule="auto"/>
        <w:ind w:firstLine="480" w:firstLineChars="200"/>
        <w:jc w:val="left"/>
        <w:rPr>
          <w:bCs/>
          <w:color w:val="auto"/>
          <w:kern w:val="21"/>
          <w:sz w:val="24"/>
        </w:rPr>
      </w:pPr>
      <w:r>
        <w:rPr>
          <w:bCs/>
          <w:color w:val="auto"/>
          <w:kern w:val="21"/>
          <w:sz w:val="24"/>
        </w:rPr>
        <w:t>本项目</w:t>
      </w:r>
      <w:r>
        <w:rPr>
          <w:rFonts w:hint="eastAsia"/>
          <w:bCs/>
          <w:color w:val="auto"/>
          <w:kern w:val="21"/>
          <w:sz w:val="24"/>
          <w:lang w:eastAsia="zh-CN"/>
        </w:rPr>
        <w:t>与</w:t>
      </w:r>
      <w:r>
        <w:rPr>
          <w:bCs/>
          <w:color w:val="auto"/>
          <w:kern w:val="21"/>
          <w:sz w:val="24"/>
        </w:rPr>
        <w:t>《辽宁省深入打好污染防治攻坚战实施方案》(辽委发[2022]8号)相符性分析见下表（与本项目无关条目略过）。</w:t>
      </w:r>
    </w:p>
    <w:p w14:paraId="3DC6FA60">
      <w:pPr>
        <w:ind w:firstLine="413" w:firstLineChars="196"/>
        <w:jc w:val="center"/>
        <w:textAlignment w:val="baseline"/>
        <w:rPr>
          <w:b/>
          <w:color w:val="auto"/>
          <w:kern w:val="0"/>
          <w:szCs w:val="21"/>
        </w:rPr>
      </w:pPr>
      <w:r>
        <w:rPr>
          <w:b/>
          <w:color w:val="auto"/>
          <w:kern w:val="0"/>
          <w:szCs w:val="21"/>
        </w:rPr>
        <w:t>表1</w:t>
      </w:r>
      <w:r>
        <w:rPr>
          <w:rFonts w:hint="eastAsia"/>
          <w:b/>
          <w:color w:val="auto"/>
          <w:kern w:val="0"/>
          <w:szCs w:val="21"/>
          <w:lang w:val="en-US" w:eastAsia="zh-CN"/>
        </w:rPr>
        <w:t>.4-14</w:t>
      </w:r>
      <w:r>
        <w:rPr>
          <w:b/>
          <w:color w:val="auto"/>
          <w:kern w:val="0"/>
          <w:szCs w:val="21"/>
        </w:rPr>
        <w:t xml:space="preserve"> </w:t>
      </w:r>
      <w:r>
        <w:rPr>
          <w:rFonts w:hint="eastAsia"/>
          <w:b/>
          <w:color w:val="auto"/>
          <w:kern w:val="0"/>
          <w:szCs w:val="21"/>
          <w:lang w:val="en-US" w:eastAsia="zh-CN"/>
        </w:rPr>
        <w:t xml:space="preserve">  </w:t>
      </w:r>
      <w:r>
        <w:rPr>
          <w:b/>
          <w:color w:val="auto"/>
          <w:kern w:val="0"/>
          <w:szCs w:val="21"/>
        </w:rPr>
        <w:t xml:space="preserve"> 与《辽宁省深入打好污染防治攻坚战实施方案》符合性分析</w:t>
      </w:r>
    </w:p>
    <w:tbl>
      <w:tblPr>
        <w:tblStyle w:val="551"/>
        <w:tblW w:w="4998" w:type="pct"/>
        <w:tblInd w:w="0"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803"/>
        <w:gridCol w:w="4662"/>
        <w:gridCol w:w="1938"/>
        <w:gridCol w:w="906"/>
      </w:tblGrid>
      <w:tr w14:paraId="009E5C4B">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2" w:hRule="atLeast"/>
        </w:trPr>
        <w:tc>
          <w:tcPr>
            <w:tcW w:w="483" w:type="pct"/>
            <w:tcBorders>
              <w:tl2br w:val="nil"/>
              <w:tr2bl w:val="nil"/>
            </w:tcBorders>
            <w:vAlign w:val="center"/>
          </w:tcPr>
          <w:p w14:paraId="06452D32">
            <w:pPr>
              <w:jc w:val="center"/>
            </w:pPr>
            <w:r>
              <w:t>序号</w:t>
            </w:r>
          </w:p>
        </w:tc>
        <w:tc>
          <w:tcPr>
            <w:tcW w:w="2805" w:type="pct"/>
            <w:tcBorders>
              <w:tl2br w:val="nil"/>
              <w:tr2bl w:val="nil"/>
            </w:tcBorders>
            <w:vAlign w:val="center"/>
          </w:tcPr>
          <w:p w14:paraId="1D7FE505">
            <w:pPr>
              <w:jc w:val="center"/>
            </w:pPr>
            <w:r>
              <w:t>文件要求</w:t>
            </w:r>
          </w:p>
        </w:tc>
        <w:tc>
          <w:tcPr>
            <w:tcW w:w="1166" w:type="pct"/>
            <w:tcBorders>
              <w:tl2br w:val="nil"/>
              <w:tr2bl w:val="nil"/>
            </w:tcBorders>
            <w:vAlign w:val="center"/>
          </w:tcPr>
          <w:p w14:paraId="0C8995A0">
            <w:pPr>
              <w:jc w:val="center"/>
            </w:pPr>
            <w:r>
              <w:t>本项目情况</w:t>
            </w:r>
          </w:p>
        </w:tc>
        <w:tc>
          <w:tcPr>
            <w:tcW w:w="545" w:type="pct"/>
            <w:tcBorders>
              <w:tl2br w:val="nil"/>
              <w:tr2bl w:val="nil"/>
            </w:tcBorders>
            <w:vAlign w:val="center"/>
          </w:tcPr>
          <w:p w14:paraId="1708B90F">
            <w:pPr>
              <w:jc w:val="center"/>
            </w:pPr>
            <w:r>
              <w:t>符合性</w:t>
            </w:r>
          </w:p>
        </w:tc>
      </w:tr>
      <w:tr w14:paraId="747BD5A1">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365" w:hRule="atLeast"/>
        </w:trPr>
        <w:tc>
          <w:tcPr>
            <w:tcW w:w="483" w:type="pct"/>
            <w:tcBorders>
              <w:tl2br w:val="nil"/>
              <w:tr2bl w:val="nil"/>
            </w:tcBorders>
            <w:vAlign w:val="center"/>
          </w:tcPr>
          <w:p w14:paraId="29093F00">
            <w:pPr>
              <w:jc w:val="center"/>
            </w:pPr>
            <w:r>
              <w:t>1</w:t>
            </w:r>
          </w:p>
        </w:tc>
        <w:tc>
          <w:tcPr>
            <w:tcW w:w="2805" w:type="pct"/>
            <w:tcBorders>
              <w:tl2br w:val="nil"/>
              <w:tr2bl w:val="nil"/>
            </w:tcBorders>
            <w:vAlign w:val="center"/>
          </w:tcPr>
          <w:p w14:paraId="1974EBE5">
            <w:pPr>
              <w:jc w:val="center"/>
            </w:pPr>
            <w:r>
              <w:t>着力打好重污染天气消除攻坚战。聚焦细颗粒物（PM2.5）污染，以秋冬季（10月至次年3月）为重点时段，强化区域协作机制，坚持精准应对、科学应对、依法应对，完善重污染天气应对和重点行业绩效分级管理体系，实施大气减污降碳协同增效等“四大行动”。</w:t>
            </w:r>
          </w:p>
        </w:tc>
        <w:tc>
          <w:tcPr>
            <w:tcW w:w="1166" w:type="pct"/>
            <w:tcBorders>
              <w:tl2br w:val="nil"/>
              <w:tr2bl w:val="nil"/>
            </w:tcBorders>
            <w:vAlign w:val="center"/>
          </w:tcPr>
          <w:p w14:paraId="1A918C5B">
            <w:pPr>
              <w:jc w:val="center"/>
            </w:pPr>
            <w:r>
              <w:t>本项目</w:t>
            </w:r>
            <w:r>
              <w:rPr>
                <w:rFonts w:hint="eastAsia"/>
                <w:lang w:eastAsia="zh-CN"/>
              </w:rPr>
              <w:t>冬季供暖采用生物质锅炉供暖</w:t>
            </w:r>
            <w:r>
              <w:t>。</w:t>
            </w:r>
          </w:p>
        </w:tc>
        <w:tc>
          <w:tcPr>
            <w:tcW w:w="545" w:type="pct"/>
            <w:tcBorders>
              <w:tl2br w:val="nil"/>
              <w:tr2bl w:val="nil"/>
            </w:tcBorders>
            <w:vAlign w:val="center"/>
          </w:tcPr>
          <w:p w14:paraId="3EB63972">
            <w:pPr>
              <w:jc w:val="center"/>
            </w:pPr>
            <w:r>
              <w:t>符合</w:t>
            </w:r>
          </w:p>
        </w:tc>
      </w:tr>
      <w:tr w14:paraId="6FC6E891">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366" w:hRule="atLeast"/>
        </w:trPr>
        <w:tc>
          <w:tcPr>
            <w:tcW w:w="483" w:type="pct"/>
            <w:tcBorders>
              <w:tl2br w:val="nil"/>
              <w:tr2bl w:val="nil"/>
            </w:tcBorders>
            <w:vAlign w:val="center"/>
          </w:tcPr>
          <w:p w14:paraId="57F45AB2">
            <w:pPr>
              <w:jc w:val="center"/>
            </w:pPr>
            <w:r>
              <w:t>2</w:t>
            </w:r>
          </w:p>
        </w:tc>
        <w:tc>
          <w:tcPr>
            <w:tcW w:w="2805" w:type="pct"/>
            <w:tcBorders>
              <w:tl2br w:val="nil"/>
              <w:tr2bl w:val="nil"/>
            </w:tcBorders>
            <w:vAlign w:val="center"/>
          </w:tcPr>
          <w:p w14:paraId="0C50C324">
            <w:pPr>
              <w:jc w:val="center"/>
            </w:pPr>
            <w:r>
              <w:t>着力打好臭氧污染治理攻坚战。聚焦挥发性有机物和氮氧化物协同减排，以每年5月至9月为重点时段，以辽宁中部城市群为重点区域，实施挥发性有机物原辅材料源头替代等“五大行动”。</w:t>
            </w:r>
          </w:p>
        </w:tc>
        <w:tc>
          <w:tcPr>
            <w:tcW w:w="1166" w:type="pct"/>
            <w:tcBorders>
              <w:tl2br w:val="nil"/>
              <w:tr2bl w:val="nil"/>
            </w:tcBorders>
            <w:vAlign w:val="center"/>
          </w:tcPr>
          <w:p w14:paraId="614B3D1B">
            <w:pPr>
              <w:jc w:val="center"/>
            </w:pPr>
            <w:r>
              <w:t>本项目</w:t>
            </w:r>
            <w:r>
              <w:rPr>
                <w:rFonts w:hint="eastAsia"/>
                <w:lang w:eastAsia="zh-CN"/>
              </w:rPr>
              <w:t>生物质锅炉</w:t>
            </w:r>
            <w:r>
              <w:t>燃烧</w:t>
            </w:r>
            <w:r>
              <w:rPr>
                <w:rFonts w:hint="eastAsia"/>
                <w:lang w:eastAsia="zh-CN"/>
              </w:rPr>
              <w:t>废气</w:t>
            </w:r>
            <w:r>
              <w:t>能做到达标排放，项目不排放挥发性有机物。</w:t>
            </w:r>
          </w:p>
        </w:tc>
        <w:tc>
          <w:tcPr>
            <w:tcW w:w="545" w:type="pct"/>
            <w:tcBorders>
              <w:tl2br w:val="nil"/>
              <w:tr2bl w:val="nil"/>
            </w:tcBorders>
            <w:vAlign w:val="center"/>
          </w:tcPr>
          <w:p w14:paraId="0D4BEAAE">
            <w:pPr>
              <w:jc w:val="center"/>
            </w:pPr>
            <w:r>
              <w:t>符合</w:t>
            </w:r>
          </w:p>
        </w:tc>
      </w:tr>
      <w:tr w14:paraId="73923219">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638" w:hRule="atLeast"/>
        </w:trPr>
        <w:tc>
          <w:tcPr>
            <w:tcW w:w="483" w:type="pct"/>
            <w:tcBorders>
              <w:tl2br w:val="nil"/>
              <w:tr2bl w:val="nil"/>
            </w:tcBorders>
            <w:vAlign w:val="center"/>
          </w:tcPr>
          <w:p w14:paraId="129B69D2">
            <w:pPr>
              <w:jc w:val="center"/>
            </w:pPr>
            <w:r>
              <w:t>3</w:t>
            </w:r>
          </w:p>
        </w:tc>
        <w:tc>
          <w:tcPr>
            <w:tcW w:w="2805" w:type="pct"/>
            <w:tcBorders>
              <w:tl2br w:val="nil"/>
              <w:tr2bl w:val="nil"/>
            </w:tcBorders>
            <w:vAlign w:val="center"/>
          </w:tcPr>
          <w:p w14:paraId="73AED49E">
            <w:pPr>
              <w:jc w:val="center"/>
            </w:pPr>
            <w:r>
              <w:t>持续打好辽河流域综合治理攻坚战。以水生态环境持续改善为核心，统筹水资源利用、水生态保护和水环境治理，污染减排与生态扩容两手发力，推动河流水系连通，统筹实施水润辽宁工程，合理调配水资源，逐步恢复水体生态基流，实施入河排污口整治等“四大行动”。</w:t>
            </w:r>
          </w:p>
        </w:tc>
        <w:tc>
          <w:tcPr>
            <w:tcW w:w="1166" w:type="pct"/>
            <w:tcBorders>
              <w:tl2br w:val="nil"/>
              <w:tr2bl w:val="nil"/>
            </w:tcBorders>
            <w:vAlign w:val="center"/>
          </w:tcPr>
          <w:p w14:paraId="6790C56C">
            <w:pPr>
              <w:jc w:val="center"/>
            </w:pPr>
            <w:r>
              <w:t>本项</w:t>
            </w:r>
            <w:r>
              <w:rPr>
                <w:highlight w:val="none"/>
              </w:rPr>
              <w:t>目</w:t>
            </w:r>
            <w:r>
              <w:rPr>
                <w:rFonts w:hint="eastAsia"/>
                <w:highlight w:val="none"/>
                <w:lang w:eastAsia="zh-CN"/>
              </w:rPr>
              <w:t>鸡舍冲洗废水，</w:t>
            </w:r>
            <w:r>
              <w:rPr>
                <w:rFonts w:hint="eastAsia"/>
                <w:color w:val="auto"/>
                <w:kern w:val="0"/>
                <w:szCs w:val="21"/>
                <w:highlight w:val="none"/>
                <w:lang w:eastAsia="zh-CN"/>
              </w:rPr>
              <w:t>由罐车直接拉走外售至辰泰（辽宁）生物科技有限公司做有机肥，无废水外排</w:t>
            </w:r>
            <w:r>
              <w:rPr>
                <w:highlight w:val="none"/>
              </w:rPr>
              <w:t>；生活</w:t>
            </w:r>
            <w:r>
              <w:t>用水排入防渗化粪池后定期清掏堆肥，不直接排放。</w:t>
            </w:r>
          </w:p>
        </w:tc>
        <w:tc>
          <w:tcPr>
            <w:tcW w:w="545" w:type="pct"/>
            <w:tcBorders>
              <w:tl2br w:val="nil"/>
              <w:tr2bl w:val="nil"/>
            </w:tcBorders>
            <w:vAlign w:val="center"/>
          </w:tcPr>
          <w:p w14:paraId="668CB565">
            <w:pPr>
              <w:jc w:val="center"/>
            </w:pPr>
            <w:r>
              <w:t>符合</w:t>
            </w:r>
          </w:p>
        </w:tc>
      </w:tr>
      <w:tr w14:paraId="4C9F339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661" w:hRule="atLeast"/>
        </w:trPr>
        <w:tc>
          <w:tcPr>
            <w:tcW w:w="483" w:type="pct"/>
            <w:tcBorders>
              <w:tl2br w:val="nil"/>
              <w:tr2bl w:val="nil"/>
            </w:tcBorders>
            <w:vAlign w:val="center"/>
          </w:tcPr>
          <w:p w14:paraId="32718587">
            <w:pPr>
              <w:jc w:val="center"/>
            </w:pPr>
            <w:r>
              <w:t>4</w:t>
            </w:r>
          </w:p>
        </w:tc>
        <w:tc>
          <w:tcPr>
            <w:tcW w:w="2805" w:type="pct"/>
            <w:tcBorders>
              <w:tl2br w:val="nil"/>
              <w:tr2bl w:val="nil"/>
            </w:tcBorders>
            <w:vAlign w:val="center"/>
          </w:tcPr>
          <w:p w14:paraId="75329893">
            <w:pPr>
              <w:jc w:val="center"/>
            </w:pPr>
            <w:r>
              <w:t>有效管控建设用地土壤污染风险。以用途变更为住宅、 公共管理与公共服务用地的地块为重点，依法开展土壤污染状况调查和风险评估。未依法完成土壤污染状况调查和风险评估的，以及未达到风险管控和修复目标的地块，不得开工建设与风险管控和修复无关的项目。</w:t>
            </w:r>
          </w:p>
        </w:tc>
        <w:tc>
          <w:tcPr>
            <w:tcW w:w="1166" w:type="pct"/>
            <w:tcBorders>
              <w:tl2br w:val="nil"/>
              <w:tr2bl w:val="nil"/>
            </w:tcBorders>
            <w:vAlign w:val="center"/>
          </w:tcPr>
          <w:p w14:paraId="6C85276C">
            <w:pPr>
              <w:jc w:val="center"/>
            </w:pPr>
            <w:r>
              <w:t>本项目位于</w:t>
            </w:r>
            <w:r>
              <w:rPr>
                <w:rFonts w:hint="eastAsia"/>
                <w:color w:val="auto"/>
                <w:kern w:val="0"/>
                <w:szCs w:val="21"/>
                <w:lang w:eastAsia="zh-CN"/>
              </w:rPr>
              <w:t>北票市西官镇大巴里村</w:t>
            </w:r>
            <w:r>
              <w:t>，项目未涉及到土壤用途变更。</w:t>
            </w:r>
          </w:p>
        </w:tc>
        <w:tc>
          <w:tcPr>
            <w:tcW w:w="545" w:type="pct"/>
            <w:tcBorders>
              <w:tl2br w:val="nil"/>
              <w:tr2bl w:val="nil"/>
            </w:tcBorders>
            <w:vAlign w:val="center"/>
          </w:tcPr>
          <w:p w14:paraId="7A3EAD5C">
            <w:pPr>
              <w:jc w:val="center"/>
            </w:pPr>
            <w:r>
              <w:t>符合</w:t>
            </w:r>
          </w:p>
        </w:tc>
      </w:tr>
    </w:tbl>
    <w:p w14:paraId="0A132182">
      <w:pPr>
        <w:pStyle w:val="192"/>
        <w:rPr>
          <w:rFonts w:hint="default"/>
          <w:color w:val="auto"/>
          <w:lang w:val="en-US" w:eastAsia="zh-CN"/>
        </w:rPr>
      </w:pPr>
      <w:bookmarkStart w:id="78" w:name="_Toc10229"/>
      <w:r>
        <w:rPr>
          <w:rFonts w:hint="eastAsia"/>
          <w:color w:val="auto"/>
          <w:lang w:val="en-US" w:eastAsia="zh-CN"/>
        </w:rPr>
        <w:t>1.4.3规划符合性分析</w:t>
      </w:r>
      <w:bookmarkEnd w:id="78"/>
    </w:p>
    <w:p w14:paraId="56E65568">
      <w:pPr>
        <w:spacing w:line="360" w:lineRule="auto"/>
        <w:ind w:firstLine="482" w:firstLineChars="200"/>
        <w:jc w:val="left"/>
        <w:rPr>
          <w:b/>
          <w:bCs w:val="0"/>
          <w:color w:val="auto"/>
          <w:kern w:val="21"/>
          <w:sz w:val="24"/>
        </w:rPr>
      </w:pPr>
      <w:r>
        <w:rPr>
          <w:rFonts w:hint="eastAsia"/>
          <w:b/>
          <w:bCs w:val="0"/>
          <w:color w:val="auto"/>
          <w:kern w:val="21"/>
          <w:sz w:val="24"/>
          <w:lang w:eastAsia="zh-CN"/>
        </w:rPr>
        <w:t>（一）</w:t>
      </w:r>
      <w:r>
        <w:rPr>
          <w:b/>
          <w:bCs w:val="0"/>
          <w:color w:val="auto"/>
          <w:kern w:val="21"/>
          <w:sz w:val="24"/>
        </w:rPr>
        <w:t>与《中华人民共和国国民经济和社会发展第十四个五年规划和2035年远景目标纲要》相符性</w:t>
      </w:r>
    </w:p>
    <w:p w14:paraId="337468BB">
      <w:pPr>
        <w:spacing w:line="360" w:lineRule="auto"/>
        <w:ind w:firstLine="480" w:firstLineChars="200"/>
        <w:jc w:val="left"/>
        <w:rPr>
          <w:bCs/>
          <w:color w:val="auto"/>
          <w:kern w:val="21"/>
          <w:sz w:val="24"/>
        </w:rPr>
      </w:pPr>
      <w:r>
        <w:rPr>
          <w:bCs/>
          <w:color w:val="auto"/>
          <w:kern w:val="21"/>
          <w:sz w:val="24"/>
        </w:rPr>
        <w:t>（1）第二十三章</w:t>
      </w:r>
      <w:r>
        <w:rPr>
          <w:rFonts w:hint="eastAsia"/>
          <w:bCs/>
          <w:color w:val="auto"/>
          <w:kern w:val="21"/>
          <w:sz w:val="24"/>
          <w:lang w:val="en-US" w:eastAsia="zh-CN"/>
        </w:rPr>
        <w:t xml:space="preserve">  </w:t>
      </w:r>
      <w:r>
        <w:rPr>
          <w:bCs/>
          <w:color w:val="auto"/>
          <w:kern w:val="21"/>
          <w:sz w:val="24"/>
        </w:rPr>
        <w:t>提高农业质量效益和竞争力 第二节：深化农业结构调整优化农业生产布局，建设优势农产品产业带和特色农产品优势区。推进粮经饲统筹、农林牧渔协调，优化种植业结构，大力发展现代畜牧业，促进水产生态健康养殖。</w:t>
      </w:r>
    </w:p>
    <w:p w14:paraId="6C5A7A0F">
      <w:pPr>
        <w:spacing w:line="360" w:lineRule="auto"/>
        <w:ind w:firstLine="480" w:firstLineChars="200"/>
        <w:jc w:val="left"/>
        <w:rPr>
          <w:bCs/>
          <w:color w:val="auto"/>
          <w:kern w:val="21"/>
          <w:sz w:val="24"/>
        </w:rPr>
      </w:pPr>
      <w:r>
        <w:rPr>
          <w:bCs/>
          <w:color w:val="auto"/>
          <w:kern w:val="21"/>
          <w:sz w:val="24"/>
        </w:rPr>
        <w:t>（2）第三十八章  持续改善环境质量 第一节  深入开展污染防治行动</w:t>
      </w:r>
    </w:p>
    <w:p w14:paraId="32C08B7F">
      <w:pPr>
        <w:spacing w:line="360" w:lineRule="auto"/>
        <w:ind w:firstLine="480" w:firstLineChars="200"/>
        <w:jc w:val="left"/>
        <w:rPr>
          <w:bCs/>
          <w:color w:val="auto"/>
          <w:kern w:val="21"/>
          <w:sz w:val="24"/>
        </w:rPr>
      </w:pPr>
      <w:r>
        <w:rPr>
          <w:bCs/>
          <w:color w:val="auto"/>
          <w:kern w:val="21"/>
          <w:sz w:val="24"/>
        </w:rPr>
        <w:t>坚持源头防治、综合施策，强化多污染物协同控制和区域协同治理。加强城市大气质量达标管理，推进细颗粒物（PM</w:t>
      </w:r>
      <w:r>
        <w:rPr>
          <w:bCs/>
          <w:color w:val="auto"/>
          <w:kern w:val="21"/>
          <w:sz w:val="24"/>
          <w:vertAlign w:val="subscript"/>
        </w:rPr>
        <w:t>2.5</w:t>
      </w:r>
      <w:r>
        <w:rPr>
          <w:bCs/>
          <w:color w:val="auto"/>
          <w:kern w:val="21"/>
          <w:sz w:val="24"/>
        </w:rPr>
        <w:t>）和臭氧（O</w:t>
      </w:r>
      <w:r>
        <w:rPr>
          <w:bCs/>
          <w:color w:val="auto"/>
          <w:kern w:val="21"/>
          <w:sz w:val="24"/>
          <w:vertAlign w:val="subscript"/>
        </w:rPr>
        <w:t>3</w:t>
      </w:r>
      <w:r>
        <w:rPr>
          <w:bCs/>
          <w:color w:val="auto"/>
          <w:kern w:val="21"/>
          <w:sz w:val="24"/>
        </w:rPr>
        <w:t>）协同控制，地级及以上城市PM2.5浓度下降10%，有效遏制O</w:t>
      </w:r>
      <w:r>
        <w:rPr>
          <w:bCs/>
          <w:color w:val="auto"/>
          <w:kern w:val="21"/>
          <w:sz w:val="24"/>
          <w:vertAlign w:val="subscript"/>
        </w:rPr>
        <w:t>3</w:t>
      </w:r>
      <w:r>
        <w:rPr>
          <w:bCs/>
          <w:color w:val="auto"/>
          <w:kern w:val="21"/>
          <w:sz w:val="24"/>
        </w:rPr>
        <w:t>浓度增长趋势，基本消除重污染天气。持续改善京津冀及周边地区、汾渭平原、长三角地区空气质量，因地制宜推动北方地区清洁取暖、工业窑炉治理、非电行业超低排放改造，加快挥发性有机物排放综合整治，氮氧化物和挥发性有机物排放总量分别下降10%以上。完善水污染防治流域协同机制，加强重点流域、重点湖泊、城市水体和近岸海域综合治理，推进美丽河湖保护与建设，化学需氧量和氨氮排放总量分别下降8%，基本消除劣Ⅴ类国控断面和城市黑臭水体。开展城市饮用水水源地规范化建设，推进重点流域重污染企业搬迁改造。推进受污染耕地和建设用地管控修复，实施水土环境风险协同防控。加强塑料污染全链条防治。加强环境噪声污染治理。重视新污染物治理。</w:t>
      </w:r>
    </w:p>
    <w:p w14:paraId="47C72BB3">
      <w:pPr>
        <w:spacing w:line="360" w:lineRule="auto"/>
        <w:ind w:firstLine="480" w:firstLineChars="200"/>
        <w:jc w:val="left"/>
        <w:rPr>
          <w:bCs/>
          <w:color w:val="auto"/>
          <w:kern w:val="21"/>
          <w:sz w:val="24"/>
        </w:rPr>
      </w:pPr>
      <w:r>
        <w:rPr>
          <w:bCs/>
          <w:color w:val="auto"/>
          <w:kern w:val="21"/>
          <w:sz w:val="24"/>
        </w:rPr>
        <w:t>本项目情况：（1）本项目采用机械</w:t>
      </w:r>
      <w:r>
        <w:rPr>
          <w:rFonts w:hint="eastAsia"/>
          <w:bCs/>
          <w:color w:val="auto"/>
          <w:kern w:val="21"/>
          <w:sz w:val="24"/>
          <w:lang w:eastAsia="zh-CN"/>
        </w:rPr>
        <w:t>干</w:t>
      </w:r>
      <w:r>
        <w:rPr>
          <w:bCs/>
          <w:color w:val="auto"/>
          <w:kern w:val="21"/>
          <w:sz w:val="24"/>
        </w:rPr>
        <w:t>清粪工艺，</w:t>
      </w:r>
      <w:r>
        <w:rPr>
          <w:rFonts w:hint="eastAsia"/>
          <w:bCs/>
          <w:color w:val="auto"/>
          <w:kern w:val="21"/>
          <w:sz w:val="24"/>
          <w:lang w:eastAsia="zh-CN"/>
        </w:rPr>
        <w:t>粪污委托第三方处理机构</w:t>
      </w:r>
      <w:r>
        <w:rPr>
          <w:rFonts w:hint="eastAsia"/>
          <w:bCs/>
          <w:color w:val="auto"/>
          <w:kern w:val="21"/>
          <w:sz w:val="24"/>
          <w:highlight w:val="none"/>
          <w:lang w:eastAsia="zh-CN"/>
        </w:rPr>
        <w:t>（辰泰（辽宁）生物科技有限公司）进行处理，</w:t>
      </w:r>
      <w:r>
        <w:rPr>
          <w:rFonts w:hint="eastAsia"/>
          <w:bCs/>
          <w:color w:val="auto"/>
          <w:kern w:val="21"/>
          <w:sz w:val="24"/>
          <w:lang w:eastAsia="zh-CN"/>
        </w:rPr>
        <w:t>利用粪污进行</w:t>
      </w:r>
      <w:r>
        <w:rPr>
          <w:rFonts w:hint="eastAsia"/>
          <w:bCs/>
          <w:color w:val="auto"/>
          <w:kern w:val="21"/>
          <w:sz w:val="24"/>
        </w:rPr>
        <w:t>有机肥制造</w:t>
      </w:r>
      <w:r>
        <w:rPr>
          <w:rFonts w:hint="eastAsia"/>
          <w:bCs/>
          <w:color w:val="auto"/>
          <w:kern w:val="21"/>
          <w:sz w:val="24"/>
          <w:lang w:eastAsia="zh-CN"/>
        </w:rPr>
        <w:t>，粪污不外排</w:t>
      </w:r>
      <w:r>
        <w:rPr>
          <w:rFonts w:hint="eastAsia"/>
          <w:bCs/>
          <w:color w:val="auto"/>
          <w:kern w:val="21"/>
          <w:sz w:val="24"/>
        </w:rPr>
        <w:t>；</w:t>
      </w:r>
    </w:p>
    <w:p w14:paraId="204BA0E1">
      <w:pPr>
        <w:spacing w:line="360" w:lineRule="auto"/>
        <w:ind w:firstLine="480" w:firstLineChars="200"/>
        <w:jc w:val="left"/>
        <w:rPr>
          <w:bCs/>
          <w:color w:val="auto"/>
          <w:kern w:val="21"/>
          <w:sz w:val="24"/>
        </w:rPr>
      </w:pPr>
      <w:r>
        <w:rPr>
          <w:bCs/>
          <w:color w:val="auto"/>
          <w:kern w:val="21"/>
          <w:sz w:val="24"/>
        </w:rPr>
        <w:t>（2）本项目大气污染物主要为NH</w:t>
      </w:r>
      <w:r>
        <w:rPr>
          <w:bCs/>
          <w:color w:val="auto"/>
          <w:kern w:val="21"/>
          <w:sz w:val="24"/>
          <w:vertAlign w:val="subscript"/>
        </w:rPr>
        <w:t>3</w:t>
      </w:r>
      <w:r>
        <w:rPr>
          <w:bCs/>
          <w:color w:val="auto"/>
          <w:kern w:val="21"/>
          <w:sz w:val="24"/>
        </w:rPr>
        <w:t>和H</w:t>
      </w:r>
      <w:r>
        <w:rPr>
          <w:bCs/>
          <w:color w:val="auto"/>
          <w:kern w:val="21"/>
          <w:sz w:val="24"/>
          <w:vertAlign w:val="subscript"/>
        </w:rPr>
        <w:t>2</w:t>
      </w:r>
      <w:r>
        <w:rPr>
          <w:bCs/>
          <w:color w:val="auto"/>
          <w:kern w:val="21"/>
          <w:sz w:val="24"/>
        </w:rPr>
        <w:t>S，不排放PM</w:t>
      </w:r>
      <w:r>
        <w:rPr>
          <w:bCs/>
          <w:color w:val="auto"/>
          <w:kern w:val="21"/>
          <w:sz w:val="24"/>
          <w:vertAlign w:val="subscript"/>
        </w:rPr>
        <w:t>2.5</w:t>
      </w:r>
      <w:r>
        <w:rPr>
          <w:bCs/>
          <w:color w:val="auto"/>
          <w:kern w:val="21"/>
          <w:sz w:val="24"/>
        </w:rPr>
        <w:t>和O</w:t>
      </w:r>
      <w:r>
        <w:rPr>
          <w:bCs/>
          <w:color w:val="auto"/>
          <w:kern w:val="21"/>
          <w:sz w:val="24"/>
          <w:vertAlign w:val="subscript"/>
        </w:rPr>
        <w:t>3</w:t>
      </w:r>
      <w:r>
        <w:rPr>
          <w:bCs/>
          <w:color w:val="auto"/>
          <w:kern w:val="21"/>
          <w:sz w:val="24"/>
        </w:rPr>
        <w:t>，并且采取了定期喷洒生物除臭剂、加强通风、污水收集处理设施封闭等措施进行治理，能达标排放。项目噪声经厂区合理布局、采购低噪声设备、基础减振、建筑隔声、距离衰减等措施，预测厂界噪声能达标排放。</w:t>
      </w:r>
    </w:p>
    <w:p w14:paraId="2B27E89B">
      <w:pPr>
        <w:spacing w:line="360" w:lineRule="auto"/>
        <w:ind w:firstLine="480" w:firstLineChars="200"/>
        <w:jc w:val="left"/>
        <w:rPr>
          <w:bCs/>
          <w:color w:val="auto"/>
          <w:kern w:val="21"/>
          <w:sz w:val="24"/>
        </w:rPr>
      </w:pPr>
      <w:r>
        <w:rPr>
          <w:bCs/>
          <w:color w:val="auto"/>
          <w:kern w:val="21"/>
          <w:sz w:val="24"/>
        </w:rPr>
        <w:t>因此，本项目符合《中华人民共和国国民经济和社会发展第十四个五年规划和2035年远景目标纲要》要求。</w:t>
      </w:r>
    </w:p>
    <w:p w14:paraId="7C0956ED">
      <w:pPr>
        <w:spacing w:line="360" w:lineRule="auto"/>
        <w:ind w:firstLine="482" w:firstLineChars="200"/>
        <w:jc w:val="left"/>
        <w:rPr>
          <w:b/>
          <w:bCs w:val="0"/>
          <w:color w:val="auto"/>
          <w:kern w:val="21"/>
          <w:sz w:val="24"/>
        </w:rPr>
      </w:pPr>
      <w:r>
        <w:rPr>
          <w:rFonts w:hint="eastAsia"/>
          <w:b/>
          <w:bCs w:val="0"/>
          <w:color w:val="auto"/>
          <w:kern w:val="21"/>
          <w:sz w:val="24"/>
          <w:lang w:eastAsia="zh-CN"/>
        </w:rPr>
        <w:t>（二）</w:t>
      </w:r>
      <w:r>
        <w:rPr>
          <w:b/>
          <w:bCs w:val="0"/>
          <w:color w:val="auto"/>
          <w:kern w:val="21"/>
          <w:sz w:val="24"/>
        </w:rPr>
        <w:t>与《辽宁省国民经济和社会发展第十四个五年规划和二〇三五年远景目标纲要》相符性</w:t>
      </w:r>
    </w:p>
    <w:p w14:paraId="19D76C86">
      <w:pPr>
        <w:spacing w:line="360" w:lineRule="auto"/>
        <w:ind w:firstLine="480" w:firstLineChars="200"/>
        <w:jc w:val="left"/>
        <w:rPr>
          <w:bCs/>
          <w:color w:val="auto"/>
          <w:kern w:val="21"/>
          <w:sz w:val="24"/>
        </w:rPr>
      </w:pPr>
      <w:r>
        <w:rPr>
          <w:bCs/>
          <w:color w:val="auto"/>
          <w:kern w:val="21"/>
          <w:sz w:val="24"/>
        </w:rPr>
        <w:t>第十六章 推进绿色发展建设美丽辽宁，第三节 深入打好污染防治攻坚战：</w:t>
      </w:r>
    </w:p>
    <w:p w14:paraId="1B50C664">
      <w:pPr>
        <w:spacing w:line="360" w:lineRule="auto"/>
        <w:ind w:firstLine="480" w:firstLineChars="200"/>
        <w:jc w:val="left"/>
        <w:rPr>
          <w:bCs/>
          <w:color w:val="auto"/>
          <w:kern w:val="21"/>
          <w:sz w:val="24"/>
        </w:rPr>
      </w:pPr>
      <w:r>
        <w:rPr>
          <w:bCs/>
          <w:color w:val="auto"/>
          <w:kern w:val="21"/>
          <w:sz w:val="24"/>
        </w:rPr>
        <w:t>（1）提升环境空气质量。继续加强PM</w:t>
      </w:r>
      <w:r>
        <w:rPr>
          <w:bCs/>
          <w:color w:val="auto"/>
          <w:kern w:val="21"/>
          <w:sz w:val="24"/>
          <w:vertAlign w:val="subscript"/>
        </w:rPr>
        <w:t>2.5</w:t>
      </w:r>
      <w:r>
        <w:rPr>
          <w:bCs/>
          <w:color w:val="auto"/>
          <w:kern w:val="21"/>
          <w:sz w:val="24"/>
        </w:rPr>
        <w:t>污染防治，强化细颗粒物和臭氧协同控制。推进工业炉窑治理和非电行业超低排放改造，大力推进挥发性有机物和氮氧化物减排</w:t>
      </w:r>
      <w:r>
        <w:rPr>
          <w:rFonts w:hint="eastAsia"/>
          <w:bCs/>
          <w:color w:val="auto"/>
          <w:kern w:val="21"/>
          <w:sz w:val="24"/>
          <w:lang w:eastAsia="zh-CN"/>
        </w:rPr>
        <w:t>，</w:t>
      </w:r>
      <w:r>
        <w:rPr>
          <w:bCs/>
          <w:color w:val="auto"/>
          <w:kern w:val="21"/>
          <w:sz w:val="24"/>
        </w:rPr>
        <w:t>带动多污染物、多污染源协同控制。逐步建立城市大气污染来源解析和污染源清单等业务化机制。采取措施降低细颗粒物平均浓度，基本消除重污染天气。</w:t>
      </w:r>
    </w:p>
    <w:p w14:paraId="64308DF5">
      <w:pPr>
        <w:spacing w:line="360" w:lineRule="auto"/>
        <w:ind w:firstLine="480" w:firstLineChars="200"/>
        <w:jc w:val="left"/>
        <w:rPr>
          <w:bCs/>
          <w:color w:val="auto"/>
          <w:kern w:val="21"/>
          <w:sz w:val="24"/>
        </w:rPr>
      </w:pPr>
      <w:r>
        <w:rPr>
          <w:bCs/>
          <w:color w:val="auto"/>
          <w:kern w:val="21"/>
          <w:sz w:val="24"/>
        </w:rPr>
        <w:t>（2）改善水生态环境质量。优化水环境质量目标管理，推进污染源—排污口—水 体全过程监管。加强生活污水治理，巩固城市黑臭水体治理成效，推进重点流域和环渤 海区域城市污水管网全覆盖。持续深化水污染物减排，推动工业企业污染排放全面达标。加强水源地保护，保障饮水安全。到2025年，基本消除劣V类水质断面和城市黑臭水体，有效降低化学需氧量和氨氮排放量。</w:t>
      </w:r>
    </w:p>
    <w:p w14:paraId="4DC1C3D4">
      <w:pPr>
        <w:spacing w:line="360" w:lineRule="auto"/>
        <w:ind w:firstLine="480" w:firstLineChars="200"/>
        <w:jc w:val="left"/>
        <w:rPr>
          <w:bCs/>
          <w:color w:val="auto"/>
          <w:kern w:val="21"/>
          <w:sz w:val="24"/>
        </w:rPr>
      </w:pPr>
      <w:r>
        <w:rPr>
          <w:bCs/>
          <w:color w:val="auto"/>
          <w:kern w:val="21"/>
          <w:sz w:val="24"/>
        </w:rPr>
        <w:t>（3）加强土壤治理和保护。强化土壤污染源头管控,分类管理、分区施策，全面提升土壤环境监管能力。加强土壤污染重点行业企业监管，开展涉镉等重金属行业企业排查整治。</w:t>
      </w:r>
    </w:p>
    <w:p w14:paraId="3B89E374">
      <w:pPr>
        <w:spacing w:line="360" w:lineRule="auto"/>
        <w:ind w:firstLine="480" w:firstLineChars="200"/>
        <w:jc w:val="left"/>
        <w:rPr>
          <w:bCs/>
          <w:color w:val="auto"/>
          <w:kern w:val="21"/>
          <w:sz w:val="24"/>
        </w:rPr>
      </w:pPr>
      <w:r>
        <w:rPr>
          <w:bCs/>
          <w:color w:val="auto"/>
          <w:kern w:val="21"/>
          <w:sz w:val="24"/>
        </w:rPr>
        <w:t>本项目情况：（1）本项目大气污染物主要为NH</w:t>
      </w:r>
      <w:r>
        <w:rPr>
          <w:bCs/>
          <w:color w:val="auto"/>
          <w:kern w:val="21"/>
          <w:sz w:val="24"/>
          <w:vertAlign w:val="subscript"/>
        </w:rPr>
        <w:t>3</w:t>
      </w:r>
      <w:r>
        <w:rPr>
          <w:bCs/>
          <w:color w:val="auto"/>
          <w:kern w:val="21"/>
          <w:sz w:val="24"/>
        </w:rPr>
        <w:t>和H</w:t>
      </w:r>
      <w:r>
        <w:rPr>
          <w:bCs/>
          <w:color w:val="auto"/>
          <w:kern w:val="21"/>
          <w:sz w:val="24"/>
          <w:vertAlign w:val="subscript"/>
        </w:rPr>
        <w:t>2</w:t>
      </w:r>
      <w:r>
        <w:rPr>
          <w:bCs/>
          <w:color w:val="auto"/>
          <w:kern w:val="21"/>
          <w:sz w:val="24"/>
        </w:rPr>
        <w:t>S，不排放PM</w:t>
      </w:r>
      <w:r>
        <w:rPr>
          <w:bCs/>
          <w:color w:val="auto"/>
          <w:kern w:val="21"/>
          <w:sz w:val="24"/>
          <w:vertAlign w:val="subscript"/>
        </w:rPr>
        <w:t>2.5</w:t>
      </w:r>
      <w:r>
        <w:rPr>
          <w:bCs/>
          <w:color w:val="auto"/>
          <w:kern w:val="21"/>
          <w:sz w:val="24"/>
        </w:rPr>
        <w:t>和O</w:t>
      </w:r>
      <w:r>
        <w:rPr>
          <w:bCs/>
          <w:color w:val="auto"/>
          <w:kern w:val="21"/>
          <w:sz w:val="24"/>
          <w:vertAlign w:val="subscript"/>
        </w:rPr>
        <w:t>3</w:t>
      </w:r>
      <w:r>
        <w:rPr>
          <w:bCs/>
          <w:color w:val="auto"/>
          <w:kern w:val="21"/>
          <w:sz w:val="24"/>
        </w:rPr>
        <w:t>，并且采取了定期喷洒生物除臭剂、加强通风、污水收集处理设施封闭等措施进行治理，能达标排放。</w:t>
      </w:r>
    </w:p>
    <w:p w14:paraId="409473F4">
      <w:pPr>
        <w:spacing w:line="360" w:lineRule="auto"/>
        <w:ind w:firstLine="480" w:firstLineChars="200"/>
        <w:jc w:val="left"/>
        <w:rPr>
          <w:bCs/>
          <w:color w:val="auto"/>
          <w:kern w:val="21"/>
          <w:sz w:val="24"/>
          <w:highlight w:val="none"/>
        </w:rPr>
      </w:pPr>
      <w:r>
        <w:rPr>
          <w:bCs/>
          <w:color w:val="auto"/>
          <w:kern w:val="21"/>
          <w:sz w:val="24"/>
        </w:rPr>
        <w:t>（2）本项目采用机械</w:t>
      </w:r>
      <w:r>
        <w:rPr>
          <w:rFonts w:hint="eastAsia"/>
          <w:bCs/>
          <w:color w:val="auto"/>
          <w:kern w:val="21"/>
          <w:sz w:val="24"/>
          <w:lang w:eastAsia="zh-CN"/>
        </w:rPr>
        <w:t>干</w:t>
      </w:r>
      <w:r>
        <w:rPr>
          <w:bCs/>
          <w:color w:val="auto"/>
          <w:kern w:val="21"/>
          <w:sz w:val="24"/>
        </w:rPr>
        <w:t>清粪工艺，</w:t>
      </w:r>
      <w:r>
        <w:rPr>
          <w:rFonts w:hint="eastAsia"/>
          <w:bCs/>
          <w:color w:val="auto"/>
          <w:kern w:val="21"/>
          <w:sz w:val="24"/>
          <w:lang w:eastAsia="zh-CN"/>
        </w:rPr>
        <w:t>粪污委托第三方</w:t>
      </w:r>
      <w:r>
        <w:rPr>
          <w:rFonts w:hint="eastAsia"/>
          <w:bCs/>
          <w:color w:val="auto"/>
          <w:kern w:val="21"/>
          <w:sz w:val="24"/>
          <w:highlight w:val="none"/>
          <w:lang w:eastAsia="zh-CN"/>
        </w:rPr>
        <w:t>处理机构（辰泰（辽宁）生物科技有限公司）进行处理，利用粪污进行</w:t>
      </w:r>
      <w:r>
        <w:rPr>
          <w:rFonts w:hint="eastAsia"/>
          <w:bCs/>
          <w:color w:val="auto"/>
          <w:kern w:val="21"/>
          <w:sz w:val="24"/>
          <w:highlight w:val="none"/>
        </w:rPr>
        <w:t>有机肥制造</w:t>
      </w:r>
      <w:r>
        <w:rPr>
          <w:rFonts w:hint="eastAsia"/>
          <w:bCs/>
          <w:color w:val="auto"/>
          <w:kern w:val="21"/>
          <w:sz w:val="24"/>
          <w:highlight w:val="none"/>
          <w:lang w:eastAsia="zh-CN"/>
        </w:rPr>
        <w:t>，粪污不外排</w:t>
      </w:r>
      <w:r>
        <w:rPr>
          <w:rFonts w:hint="eastAsia"/>
          <w:bCs/>
          <w:color w:val="auto"/>
          <w:kern w:val="21"/>
          <w:sz w:val="24"/>
          <w:highlight w:val="none"/>
        </w:rPr>
        <w:t>；</w:t>
      </w:r>
    </w:p>
    <w:p w14:paraId="4CAB6259">
      <w:pPr>
        <w:spacing w:line="360" w:lineRule="auto"/>
        <w:ind w:firstLine="480" w:firstLineChars="200"/>
        <w:jc w:val="left"/>
        <w:rPr>
          <w:bCs/>
          <w:color w:val="auto"/>
          <w:kern w:val="21"/>
          <w:sz w:val="24"/>
        </w:rPr>
      </w:pPr>
      <w:r>
        <w:rPr>
          <w:bCs/>
          <w:color w:val="auto"/>
          <w:kern w:val="21"/>
          <w:sz w:val="24"/>
          <w:highlight w:val="none"/>
        </w:rPr>
        <w:t>（3）项目采取分区防渗措施，养殖区和粪污处理设施等</w:t>
      </w:r>
      <w:r>
        <w:rPr>
          <w:bCs/>
          <w:color w:val="auto"/>
          <w:kern w:val="21"/>
          <w:sz w:val="24"/>
        </w:rPr>
        <w:t>位置按一般分区防渗措施进行防渗，厂区其余位置除绿化区外，均进行地面硬化的简单防渗，采取此措施后能有效防止土壤污染。</w:t>
      </w:r>
    </w:p>
    <w:p w14:paraId="591715CB">
      <w:pPr>
        <w:spacing w:line="360" w:lineRule="auto"/>
        <w:ind w:firstLine="480" w:firstLineChars="200"/>
        <w:jc w:val="left"/>
        <w:rPr>
          <w:bCs/>
          <w:color w:val="auto"/>
          <w:kern w:val="21"/>
          <w:sz w:val="24"/>
        </w:rPr>
      </w:pPr>
      <w:r>
        <w:rPr>
          <w:bCs/>
          <w:color w:val="auto"/>
          <w:kern w:val="21"/>
          <w:sz w:val="24"/>
        </w:rPr>
        <w:t>因此，项目符合《辽宁省国民经济和社会发展第十四个五年规划和二〇三五年远景目标纲要》相关要求。</w:t>
      </w:r>
    </w:p>
    <w:p w14:paraId="730F1804">
      <w:pPr>
        <w:spacing w:line="360" w:lineRule="auto"/>
        <w:ind w:firstLine="482" w:firstLineChars="200"/>
        <w:jc w:val="left"/>
        <w:rPr>
          <w:b/>
          <w:bCs w:val="0"/>
          <w:color w:val="auto"/>
          <w:kern w:val="21"/>
          <w:sz w:val="24"/>
        </w:rPr>
      </w:pPr>
      <w:r>
        <w:rPr>
          <w:rFonts w:hint="eastAsia"/>
          <w:b/>
          <w:bCs w:val="0"/>
          <w:color w:val="auto"/>
          <w:kern w:val="21"/>
          <w:sz w:val="24"/>
          <w:lang w:eastAsia="zh-CN"/>
        </w:rPr>
        <w:t>（三）</w:t>
      </w:r>
      <w:r>
        <w:rPr>
          <w:b/>
          <w:bCs w:val="0"/>
          <w:color w:val="auto"/>
          <w:kern w:val="21"/>
          <w:sz w:val="24"/>
        </w:rPr>
        <w:t>与《朝阳市国民经济和社会发展第十四个五年规划和2035年远景目标纲要》相符性</w:t>
      </w:r>
    </w:p>
    <w:p w14:paraId="7462EB04">
      <w:pPr>
        <w:spacing w:line="360" w:lineRule="auto"/>
        <w:ind w:firstLine="480" w:firstLineChars="200"/>
        <w:jc w:val="left"/>
        <w:rPr>
          <w:bCs/>
          <w:color w:val="auto"/>
          <w:kern w:val="21"/>
          <w:sz w:val="24"/>
        </w:rPr>
      </w:pPr>
      <w:r>
        <w:rPr>
          <w:bCs/>
          <w:color w:val="auto"/>
          <w:kern w:val="21"/>
          <w:sz w:val="24"/>
        </w:rPr>
        <w:t>第十一章 构建现代化生态环境及治理体系，第二节 加强环境综合整治</w:t>
      </w:r>
    </w:p>
    <w:p w14:paraId="2063779C">
      <w:pPr>
        <w:spacing w:line="360" w:lineRule="auto"/>
        <w:ind w:firstLine="480" w:firstLineChars="200"/>
        <w:jc w:val="left"/>
        <w:rPr>
          <w:bCs/>
          <w:color w:val="auto"/>
          <w:kern w:val="21"/>
          <w:sz w:val="24"/>
        </w:rPr>
      </w:pPr>
      <w:r>
        <w:rPr>
          <w:bCs/>
          <w:color w:val="auto"/>
          <w:kern w:val="21"/>
          <w:sz w:val="24"/>
        </w:rPr>
        <w:t>（1）深化水环境综合治理。围绕改善水环境，深入实施水污染防治行动，加强对集中式饮用水水源保护，加快入河排污口综合整治，严格落实河长制，推动城镇污水管网建设和改造，强化城中村、老旧城区和城乡结合部污水截流、收集、纳管工作，实施凤凰谷环境综合治理项目、榆树林沟环境综合治理等项目，不断提升水环境质量；实施大凌河上游（阎王鼻水库以上）以及青龙河流域河滨生态带、河口湿地修复工程，水土保持、水源涵养及污染阻控能力进一步提升。实施老虎山河贾家店段、青龙河凌源段两个美丽河湖工程；实施大凌河西支、第二牤牛河、大凌河城市段水质改善工程，大凌河西支入河口、水泉村桥、章吉营、大北海四个稳定达标压力大的断面实现稳定达标；实施北洞村、李家湾大桥、南大桥（凌鸿大桥）、牤牛河大桥、白石、东山根、松岭门、侯杨丈子村西、虎头石等9个断面水质改善工程。至2025年末，饮用水水源水质100%达标，六个考核断面达到或优于Ⅲ类水质比例达到80%以上，境内无劣V类水体。</w:t>
      </w:r>
    </w:p>
    <w:p w14:paraId="3D2EC4CC">
      <w:pPr>
        <w:spacing w:line="360" w:lineRule="auto"/>
        <w:ind w:firstLine="480" w:firstLineChars="200"/>
        <w:jc w:val="left"/>
        <w:rPr>
          <w:bCs/>
          <w:color w:val="auto"/>
          <w:kern w:val="21"/>
          <w:sz w:val="24"/>
        </w:rPr>
      </w:pPr>
      <w:r>
        <w:rPr>
          <w:bCs/>
          <w:color w:val="auto"/>
          <w:kern w:val="21"/>
          <w:sz w:val="24"/>
        </w:rPr>
        <w:t>（2）大力改善空气质量。严格控制燃煤污染，加强工业污染源管控。继续推进清洁取暖和煤炭减量替代工作，调整能源结构，控制燃煤总量；淘汰污染严重的锅炉，实施锅炉特别排放限值；深入推进鞍钢朝阳钢铁、凌源钢铁窑炉整治项目，达到超低排放标准，加强扬尘污染管控。做好管工地、管路面、管矿山、管车辆措施，加快城区沙土道路硬化。加强机动车管理。推进大气网格化精细管理，实施机动车尾气遥感监测治理。推进城区内及城乡结合部民用散煤治理工程，减少散煤燃烧污染，改善空气质量。实施挥发性有机物综合治理工程，推进我市化工、钢铁、包装印刷、工业喷涂等重点工业企业挥发性有机物排放治理，减少臭氧对空气达标率的影响。严格控制秸秆焚烧。提高秸秆肥料化、饲料化、燃料化综合利用水平，从根本上解决秸秆焚烧问题。建设雾霾天气预防及预警应急体系。</w:t>
      </w:r>
    </w:p>
    <w:p w14:paraId="3161C1D3">
      <w:pPr>
        <w:spacing w:line="360" w:lineRule="auto"/>
        <w:ind w:firstLine="480" w:firstLineChars="200"/>
        <w:jc w:val="left"/>
        <w:rPr>
          <w:bCs/>
          <w:color w:val="auto"/>
          <w:kern w:val="21"/>
          <w:sz w:val="24"/>
        </w:rPr>
      </w:pPr>
      <w:r>
        <w:rPr>
          <w:bCs/>
          <w:color w:val="auto"/>
          <w:kern w:val="21"/>
          <w:sz w:val="24"/>
        </w:rPr>
        <w:t>（3）积极防治土壤污染。加强农用地安全利用，完成全市耕地环境质量类别划定，实施农用地分类管理，开展污染耕地的安全利用并进行严格管控，有序推进治理与修复；加强土壤环境监管能力建设，开展重点区域土壤污染风险调查及评估工作，做好土壤环境质量动态监测，建立污染场地档案和数据库系统，推进朝阳市狼山垃圾排放填埋场土壤修复项目建设。</w:t>
      </w:r>
    </w:p>
    <w:p w14:paraId="42448B82">
      <w:pPr>
        <w:spacing w:line="360" w:lineRule="auto"/>
        <w:ind w:firstLine="480" w:firstLineChars="200"/>
        <w:jc w:val="left"/>
        <w:rPr>
          <w:bCs/>
          <w:color w:val="auto"/>
          <w:kern w:val="21"/>
          <w:sz w:val="24"/>
        </w:rPr>
      </w:pPr>
      <w:r>
        <w:rPr>
          <w:bCs/>
          <w:color w:val="auto"/>
          <w:kern w:val="21"/>
          <w:sz w:val="24"/>
        </w:rPr>
        <w:t>（4）加强固体废弃物管理。落实危险固体废物申报登记、转移联单和经营许可证制度，严格危废和医疗废物收集、贮存、转移、利用、处置全过程监管。加快城乡垃圾处理设施建设，规范建设建筑垃圾处理消纳场，推进建筑垃圾循环利用。逐步取消城区现有小散乱的垃圾中转站，统一规划建设一批大型综合垃圾收集中转站。搞好餐厨垃圾处理、粪便无害化处理、城区垃圾分类一体化项目建设，开展生活垃圾分类投放、收运和处理试点，建设再生资源循环经济产业园，促进垃圾源头减量化、资源化利用。</w:t>
      </w:r>
    </w:p>
    <w:p w14:paraId="3796FB92">
      <w:pPr>
        <w:spacing w:line="360" w:lineRule="auto"/>
        <w:ind w:firstLine="480" w:firstLineChars="200"/>
        <w:jc w:val="left"/>
        <w:rPr>
          <w:bCs/>
          <w:color w:val="auto"/>
          <w:kern w:val="21"/>
          <w:sz w:val="24"/>
        </w:rPr>
      </w:pPr>
      <w:r>
        <w:rPr>
          <w:bCs/>
          <w:color w:val="auto"/>
          <w:kern w:val="21"/>
          <w:sz w:val="24"/>
        </w:rPr>
        <w:t>（5）推进农业农村环境综合整治。抓好农村环境综合整治。稳步开展农户无害化卫生厕所建设与改造，配建村庄公共厕所，新建无害化卫生厕所4万个，省级美丽示范村无害化卫生厕所普及率达到85%；推动城镇污水管网向周边村庄延伸覆盖，推广农村生活污水治理技术与装备，逐步消除农村黑臭水体；着力解决农村道路硬化、生态环境优化、村庄美化绿化、村内主干路亮化等问题；大力推行农村垃圾就地分类减量和资源化利用，实施全市农村生活污水治理项目，争取“十四五”期间使全市50%行政村生活污水得到有效治理。强化农业面源污染治理。抓好耕地质量类别划分，探索推进受污染耕地安全利用技术与模式，推广测土配方施肥技术，推广高效低毒农药和高效植保机械，提高受污染耕地安全利用率。继续实施化肥“零增长”、农药“负增长”行动，积极争取果菜有机肥替代化肥项目，五县（市）全部争创国家化肥减量增效试点县。开展农田林网及道路两侧的塑料袋清理回收，推广0.010mm以上标准地膜使用，抓好地膜回收与综合利用农业清洁生产示范项目，鼓励创新农田残膜回收与再利用，加强喀左农药包装废弃物回收试点县建设、支持喀左县建设国家农业绿色发展先行区。推进畜禽粪污及 农业废弃物资源化利用。7个县（市）区全部列为粪污资源化利用、秸秆综合利用整县推进项目，建设一批畜禽粪污原地收集储存转运、固体粪便集中堆肥或能源化利用、污水高效生物处理等设施和有机肥加工厂。抓好农作物秸秆“五化”利用，加快推进秸秆生物反应堆技术20万亩，饲料化利用100万吨，能源化利用30万吨，秸秆综合利用率达到90%以上。到“十四五”末，畜禽规模养殖场粪污资源化利用率达到90%以上。</w:t>
      </w:r>
    </w:p>
    <w:p w14:paraId="69B78F8F">
      <w:pPr>
        <w:spacing w:line="360" w:lineRule="auto"/>
        <w:ind w:firstLine="480" w:firstLineChars="200"/>
        <w:jc w:val="left"/>
        <w:rPr>
          <w:bCs/>
          <w:color w:val="auto"/>
          <w:kern w:val="21"/>
          <w:sz w:val="24"/>
          <w:highlight w:val="none"/>
        </w:rPr>
      </w:pPr>
      <w:r>
        <w:rPr>
          <w:bCs/>
          <w:color w:val="auto"/>
          <w:kern w:val="21"/>
          <w:sz w:val="24"/>
        </w:rPr>
        <w:t>本项目情况：（1）本项目采用机械</w:t>
      </w:r>
      <w:r>
        <w:rPr>
          <w:rFonts w:hint="eastAsia"/>
          <w:bCs/>
          <w:color w:val="auto"/>
          <w:kern w:val="21"/>
          <w:sz w:val="24"/>
          <w:lang w:eastAsia="zh-CN"/>
        </w:rPr>
        <w:t>干</w:t>
      </w:r>
      <w:r>
        <w:rPr>
          <w:bCs/>
          <w:color w:val="auto"/>
          <w:kern w:val="21"/>
          <w:sz w:val="24"/>
          <w:highlight w:val="none"/>
        </w:rPr>
        <w:t>清粪工艺，</w:t>
      </w:r>
      <w:r>
        <w:rPr>
          <w:rFonts w:hint="eastAsia"/>
          <w:bCs/>
          <w:color w:val="auto"/>
          <w:kern w:val="21"/>
          <w:sz w:val="24"/>
          <w:highlight w:val="none"/>
          <w:lang w:eastAsia="zh-CN"/>
        </w:rPr>
        <w:t>粪污委托第三方处理机构（辰泰（辽宁）生物科技有限公司）进行处理，利用粪污进行</w:t>
      </w:r>
      <w:r>
        <w:rPr>
          <w:rFonts w:hint="eastAsia"/>
          <w:bCs/>
          <w:color w:val="auto"/>
          <w:kern w:val="21"/>
          <w:sz w:val="24"/>
          <w:highlight w:val="none"/>
        </w:rPr>
        <w:t>有机肥制造</w:t>
      </w:r>
      <w:r>
        <w:rPr>
          <w:rFonts w:hint="eastAsia"/>
          <w:bCs/>
          <w:color w:val="auto"/>
          <w:kern w:val="21"/>
          <w:sz w:val="24"/>
          <w:highlight w:val="none"/>
          <w:lang w:eastAsia="zh-CN"/>
        </w:rPr>
        <w:t>，粪污不外排，</w:t>
      </w:r>
      <w:r>
        <w:rPr>
          <w:bCs/>
          <w:color w:val="auto"/>
          <w:kern w:val="21"/>
          <w:sz w:val="24"/>
          <w:highlight w:val="none"/>
        </w:rPr>
        <w:t>因此不会对表水体造成负担。</w:t>
      </w:r>
    </w:p>
    <w:p w14:paraId="2E940971">
      <w:pPr>
        <w:spacing w:line="360" w:lineRule="auto"/>
        <w:ind w:firstLine="480" w:firstLineChars="200"/>
        <w:jc w:val="left"/>
        <w:rPr>
          <w:bCs/>
          <w:color w:val="auto"/>
          <w:kern w:val="21"/>
          <w:sz w:val="24"/>
          <w:highlight w:val="none"/>
        </w:rPr>
      </w:pPr>
      <w:r>
        <w:rPr>
          <w:bCs/>
          <w:color w:val="auto"/>
          <w:kern w:val="21"/>
          <w:sz w:val="24"/>
          <w:highlight w:val="none"/>
        </w:rPr>
        <w:t>（2）本项目大气污染物主要为NH</w:t>
      </w:r>
      <w:r>
        <w:rPr>
          <w:bCs/>
          <w:color w:val="auto"/>
          <w:kern w:val="21"/>
          <w:sz w:val="24"/>
          <w:highlight w:val="none"/>
          <w:vertAlign w:val="subscript"/>
        </w:rPr>
        <w:t>3</w:t>
      </w:r>
      <w:r>
        <w:rPr>
          <w:bCs/>
          <w:color w:val="auto"/>
          <w:kern w:val="21"/>
          <w:sz w:val="24"/>
          <w:highlight w:val="none"/>
        </w:rPr>
        <w:t>和H</w:t>
      </w:r>
      <w:r>
        <w:rPr>
          <w:bCs/>
          <w:color w:val="auto"/>
          <w:kern w:val="21"/>
          <w:sz w:val="24"/>
          <w:highlight w:val="none"/>
          <w:vertAlign w:val="subscript"/>
        </w:rPr>
        <w:t>2</w:t>
      </w:r>
      <w:r>
        <w:rPr>
          <w:bCs/>
          <w:color w:val="auto"/>
          <w:kern w:val="21"/>
          <w:sz w:val="24"/>
          <w:highlight w:val="none"/>
        </w:rPr>
        <w:t>S，不排放PM</w:t>
      </w:r>
      <w:r>
        <w:rPr>
          <w:bCs/>
          <w:color w:val="auto"/>
          <w:kern w:val="21"/>
          <w:sz w:val="24"/>
          <w:highlight w:val="none"/>
          <w:vertAlign w:val="subscript"/>
        </w:rPr>
        <w:t>2.5</w:t>
      </w:r>
      <w:r>
        <w:rPr>
          <w:bCs/>
          <w:color w:val="auto"/>
          <w:kern w:val="21"/>
          <w:sz w:val="24"/>
          <w:highlight w:val="none"/>
        </w:rPr>
        <w:t>和O</w:t>
      </w:r>
      <w:r>
        <w:rPr>
          <w:bCs/>
          <w:color w:val="auto"/>
          <w:kern w:val="21"/>
          <w:sz w:val="24"/>
          <w:highlight w:val="none"/>
          <w:vertAlign w:val="subscript"/>
        </w:rPr>
        <w:t>3</w:t>
      </w:r>
      <w:r>
        <w:rPr>
          <w:bCs/>
          <w:color w:val="auto"/>
          <w:kern w:val="21"/>
          <w:sz w:val="24"/>
          <w:highlight w:val="none"/>
        </w:rPr>
        <w:t>，并且采取了定期喷洒生物除臭剂、加强通风、污水收集处理设施封闭等措施进行治理，能达标排放。</w:t>
      </w:r>
    </w:p>
    <w:p w14:paraId="3EECF83F">
      <w:pPr>
        <w:spacing w:line="360" w:lineRule="auto"/>
        <w:ind w:firstLine="480" w:firstLineChars="200"/>
        <w:jc w:val="left"/>
        <w:rPr>
          <w:bCs/>
          <w:color w:val="auto"/>
          <w:kern w:val="21"/>
          <w:sz w:val="24"/>
          <w:highlight w:val="none"/>
        </w:rPr>
      </w:pPr>
      <w:r>
        <w:rPr>
          <w:bCs/>
          <w:color w:val="auto"/>
          <w:kern w:val="21"/>
          <w:sz w:val="24"/>
          <w:highlight w:val="none"/>
        </w:rPr>
        <w:t>（3）项目采取分区防渗措施，养殖区和粪污处理设施等位置按一般分区防渗措施进行防渗，厂区其余位置除绿化区外，均进行地面硬化的简单防渗，采取此措施后能有效防止土壤污染。</w:t>
      </w:r>
    </w:p>
    <w:p w14:paraId="423C1629">
      <w:pPr>
        <w:spacing w:line="360" w:lineRule="auto"/>
        <w:ind w:firstLine="480" w:firstLineChars="200"/>
        <w:jc w:val="left"/>
        <w:rPr>
          <w:bCs/>
          <w:color w:val="auto"/>
          <w:kern w:val="21"/>
          <w:sz w:val="24"/>
        </w:rPr>
      </w:pPr>
      <w:r>
        <w:rPr>
          <w:bCs/>
          <w:color w:val="auto"/>
          <w:kern w:val="21"/>
          <w:sz w:val="24"/>
          <w:highlight w:val="none"/>
        </w:rPr>
        <w:t>（4）本项目采用机械</w:t>
      </w:r>
      <w:r>
        <w:rPr>
          <w:rFonts w:hint="eastAsia"/>
          <w:bCs/>
          <w:color w:val="auto"/>
          <w:kern w:val="21"/>
          <w:sz w:val="24"/>
          <w:highlight w:val="none"/>
          <w:lang w:eastAsia="zh-CN"/>
        </w:rPr>
        <w:t>干</w:t>
      </w:r>
      <w:r>
        <w:rPr>
          <w:bCs/>
          <w:color w:val="auto"/>
          <w:kern w:val="21"/>
          <w:sz w:val="24"/>
          <w:highlight w:val="none"/>
        </w:rPr>
        <w:t>清粪工艺，</w:t>
      </w:r>
      <w:r>
        <w:rPr>
          <w:rFonts w:hint="eastAsia"/>
          <w:bCs/>
          <w:color w:val="auto"/>
          <w:kern w:val="21"/>
          <w:sz w:val="24"/>
          <w:highlight w:val="none"/>
          <w:lang w:eastAsia="zh-CN"/>
        </w:rPr>
        <w:t>粪污委托第三方处理机构（辰泰（辽宁）生物科技有限公司）进行处理，利用粪污进行</w:t>
      </w:r>
      <w:r>
        <w:rPr>
          <w:rFonts w:hint="eastAsia"/>
          <w:bCs/>
          <w:color w:val="auto"/>
          <w:kern w:val="21"/>
          <w:sz w:val="24"/>
          <w:highlight w:val="none"/>
        </w:rPr>
        <w:t>有机肥制造</w:t>
      </w:r>
      <w:r>
        <w:rPr>
          <w:rFonts w:hint="eastAsia"/>
          <w:bCs/>
          <w:color w:val="auto"/>
          <w:kern w:val="21"/>
          <w:sz w:val="24"/>
          <w:highlight w:val="none"/>
          <w:lang w:eastAsia="zh-CN"/>
        </w:rPr>
        <w:t>，粪污不外排</w:t>
      </w:r>
      <w:r>
        <w:rPr>
          <w:rFonts w:hint="eastAsia"/>
          <w:bCs/>
          <w:color w:val="auto"/>
          <w:kern w:val="21"/>
          <w:sz w:val="24"/>
          <w:highlight w:val="none"/>
        </w:rPr>
        <w:t>；</w:t>
      </w:r>
      <w:r>
        <w:rPr>
          <w:bCs/>
          <w:color w:val="auto"/>
          <w:kern w:val="21"/>
          <w:sz w:val="24"/>
          <w:highlight w:val="none"/>
        </w:rPr>
        <w:t>项目产生</w:t>
      </w:r>
      <w:r>
        <w:rPr>
          <w:bCs/>
          <w:color w:val="auto"/>
          <w:kern w:val="21"/>
          <w:sz w:val="24"/>
        </w:rPr>
        <w:t>的</w:t>
      </w:r>
      <w:r>
        <w:rPr>
          <w:rFonts w:hint="eastAsia"/>
          <w:bCs/>
          <w:color w:val="auto"/>
          <w:kern w:val="21"/>
          <w:sz w:val="24"/>
          <w:lang w:eastAsia="zh-CN"/>
        </w:rPr>
        <w:t>病死鸡</w:t>
      </w:r>
      <w:r>
        <w:rPr>
          <w:bCs/>
          <w:color w:val="auto"/>
          <w:kern w:val="21"/>
          <w:sz w:val="24"/>
        </w:rPr>
        <w:t>，</w:t>
      </w:r>
      <w:r>
        <w:rPr>
          <w:bCs/>
          <w:color w:val="auto"/>
          <w:kern w:val="21"/>
          <w:sz w:val="24"/>
          <w:highlight w:val="none"/>
        </w:rPr>
        <w:t>委托北票市汇宏动物无害化处理有限公司处理。</w:t>
      </w:r>
      <w:r>
        <w:rPr>
          <w:bCs/>
          <w:color w:val="auto"/>
          <w:kern w:val="21"/>
          <w:sz w:val="24"/>
        </w:rPr>
        <w:t>项目建成后需积级配合管理要求，落实相关制度，严格管理。</w:t>
      </w:r>
    </w:p>
    <w:p w14:paraId="18B77577">
      <w:pPr>
        <w:spacing w:line="360" w:lineRule="auto"/>
        <w:ind w:firstLine="480" w:firstLineChars="200"/>
        <w:jc w:val="left"/>
        <w:rPr>
          <w:bCs/>
          <w:color w:val="auto"/>
          <w:kern w:val="21"/>
          <w:sz w:val="24"/>
        </w:rPr>
      </w:pPr>
      <w:r>
        <w:rPr>
          <w:bCs/>
          <w:color w:val="auto"/>
          <w:kern w:val="21"/>
          <w:sz w:val="24"/>
        </w:rPr>
        <w:t>因此，项目符合《朝阳市国民经济和社会发展第十四个五年规划和2035年远景目标纲要》相关要求。</w:t>
      </w:r>
    </w:p>
    <w:p w14:paraId="62A78D5E">
      <w:pPr>
        <w:numPr>
          <w:ilvl w:val="0"/>
          <w:numId w:val="0"/>
        </w:numPr>
        <w:spacing w:line="360" w:lineRule="auto"/>
        <w:ind w:firstLine="482" w:firstLineChars="200"/>
        <w:jc w:val="left"/>
        <w:rPr>
          <w:b/>
          <w:bCs w:val="0"/>
          <w:color w:val="auto"/>
          <w:kern w:val="21"/>
          <w:sz w:val="24"/>
        </w:rPr>
      </w:pPr>
      <w:r>
        <w:rPr>
          <w:rFonts w:hint="eastAsia"/>
          <w:b/>
          <w:bCs w:val="0"/>
          <w:color w:val="auto"/>
          <w:kern w:val="21"/>
          <w:sz w:val="24"/>
          <w:lang w:eastAsia="zh-CN"/>
        </w:rPr>
        <w:t>（四）</w:t>
      </w:r>
      <w:r>
        <w:rPr>
          <w:b/>
          <w:bCs w:val="0"/>
          <w:color w:val="auto"/>
          <w:kern w:val="21"/>
          <w:sz w:val="24"/>
        </w:rPr>
        <w:t>与《朝阳市“十四五”生态环境保护规划》相符性</w:t>
      </w:r>
    </w:p>
    <w:p w14:paraId="66E20A76">
      <w:pPr>
        <w:numPr>
          <w:ilvl w:val="0"/>
          <w:numId w:val="0"/>
        </w:numPr>
        <w:spacing w:line="360" w:lineRule="auto"/>
        <w:ind w:firstLine="480" w:firstLineChars="200"/>
        <w:jc w:val="left"/>
        <w:rPr>
          <w:bCs/>
          <w:color w:val="auto"/>
          <w:kern w:val="21"/>
          <w:sz w:val="24"/>
        </w:rPr>
      </w:pPr>
      <w:r>
        <w:rPr>
          <w:bCs/>
          <w:color w:val="auto"/>
          <w:kern w:val="21"/>
          <w:sz w:val="24"/>
        </w:rPr>
        <w:t>（1）推进结构调整，促进绿色低碳高质量发展。</w:t>
      </w:r>
    </w:p>
    <w:p w14:paraId="2301227A">
      <w:pPr>
        <w:spacing w:line="360" w:lineRule="auto"/>
        <w:ind w:firstLine="480" w:firstLineChars="200"/>
        <w:jc w:val="left"/>
        <w:rPr>
          <w:bCs/>
          <w:color w:val="auto"/>
          <w:kern w:val="21"/>
          <w:sz w:val="24"/>
        </w:rPr>
      </w:pPr>
      <w:r>
        <w:rPr>
          <w:bCs/>
          <w:color w:val="auto"/>
          <w:kern w:val="21"/>
          <w:sz w:val="24"/>
        </w:rPr>
        <w:t>以环境承载力、水环境容量、农业源水污染物允许排放量为约束，推动种植业和畜牧业布局调整。种植业主要发展设施农业基地、杂粮种植基地等，实现集群式发展。畜牧业主要发展生猪、肉鸡等产业，实现规模化、标准化、环境友好型养殖。试点开展设施农业、杂粮种植、中药材、食用菌等种植业农药化肥减量施用以及各种植业以及畜牧业废弃物资源化利用。</w:t>
      </w:r>
    </w:p>
    <w:p w14:paraId="647BA018">
      <w:pPr>
        <w:spacing w:line="360" w:lineRule="auto"/>
        <w:ind w:firstLine="480" w:firstLineChars="200"/>
        <w:jc w:val="left"/>
        <w:rPr>
          <w:bCs/>
          <w:color w:val="auto"/>
          <w:kern w:val="21"/>
          <w:sz w:val="24"/>
        </w:rPr>
      </w:pPr>
      <w:r>
        <w:rPr>
          <w:bCs/>
          <w:color w:val="auto"/>
          <w:kern w:val="21"/>
          <w:sz w:val="24"/>
        </w:rPr>
        <w:t>（2）推进三水共治战略，持续改善水生态环境质量。</w:t>
      </w:r>
    </w:p>
    <w:p w14:paraId="5C3E0BAE">
      <w:pPr>
        <w:spacing w:line="360" w:lineRule="auto"/>
        <w:ind w:firstLine="480" w:firstLineChars="200"/>
        <w:jc w:val="left"/>
        <w:rPr>
          <w:bCs/>
          <w:color w:val="auto"/>
          <w:kern w:val="21"/>
          <w:sz w:val="24"/>
        </w:rPr>
      </w:pPr>
      <w:r>
        <w:rPr>
          <w:bCs/>
          <w:color w:val="auto"/>
          <w:kern w:val="21"/>
          <w:sz w:val="24"/>
        </w:rPr>
        <w:t>加强农业种植源、畜禽养殖源、农村生活源污水治理。采取农业灌溉系统改造、生态拦截沟建设等措施，减少农田退水污染负荷；推进测土施肥及有机肥使用，降低化肥使用量，推进农业种植源污染管控，2025年农田灌溉水有效利用系数达到0.75。新建、改建、扩建规模化畜禽养殖场（小区）实施雨污分流、粪便污水资源化利用；散养畜禽户试点实施粪便污水分户收集、集中处理利用，防范畜禽养殖污染。加强农村生活污水处理设施规划、建设与管理，推广分散式生活污水处理设施利用，试点推进城镇污水处理设施和服务向农村延伸。</w:t>
      </w:r>
    </w:p>
    <w:p w14:paraId="61248F81">
      <w:pPr>
        <w:spacing w:line="360" w:lineRule="auto"/>
        <w:ind w:firstLine="480" w:firstLineChars="200"/>
        <w:jc w:val="left"/>
        <w:rPr>
          <w:bCs/>
          <w:color w:val="auto"/>
          <w:kern w:val="21"/>
          <w:sz w:val="24"/>
        </w:rPr>
      </w:pPr>
      <w:r>
        <w:rPr>
          <w:bCs/>
          <w:color w:val="auto"/>
          <w:kern w:val="21"/>
          <w:sz w:val="24"/>
        </w:rPr>
        <w:t>（3）深化农村农业环境治理，建设生态宜居美丽乡村。</w:t>
      </w:r>
    </w:p>
    <w:p w14:paraId="5B77D10D">
      <w:pPr>
        <w:spacing w:line="360" w:lineRule="auto"/>
        <w:ind w:firstLine="480" w:firstLineChars="200"/>
        <w:jc w:val="left"/>
        <w:rPr>
          <w:bCs/>
          <w:color w:val="auto"/>
          <w:kern w:val="21"/>
          <w:sz w:val="24"/>
        </w:rPr>
      </w:pPr>
      <w:r>
        <w:rPr>
          <w:bCs/>
          <w:color w:val="auto"/>
          <w:kern w:val="21"/>
          <w:sz w:val="24"/>
        </w:rPr>
        <w:t>加强畜禽养殖污染治理，坚持新建、改建、扩建规模化畜禽养殖场（区）实施雨污分流，配套建设粪污贮存、处理、利用设施，到2025年，全市规模化畜禽养殖场粪污处理设施装备配套率达到100%。进一步推进畜禽散养户粪污处理利用，喀左县2021年底前建设村级畜禽粪污集中收集储存设施22个，基本完成域内散养户粪污收集、储存和资源化利用；凌源市对未建设配套畜禽养殖粪污治理设施的养殖户开展填平找齐和配套升级改造，因户施策、因地制宜的选择粪污处理模式，2022年底前配套完成畜禽粪污收集处理池、堆积发酵厂等设施建设和运行。</w:t>
      </w:r>
    </w:p>
    <w:p w14:paraId="5630BEC2">
      <w:pPr>
        <w:spacing w:line="360" w:lineRule="auto"/>
        <w:ind w:firstLine="480" w:firstLineChars="200"/>
        <w:jc w:val="left"/>
        <w:rPr>
          <w:bCs/>
          <w:color w:val="auto"/>
          <w:kern w:val="21"/>
          <w:sz w:val="24"/>
        </w:rPr>
      </w:pPr>
      <w:r>
        <w:rPr>
          <w:bCs/>
          <w:color w:val="auto"/>
          <w:kern w:val="21"/>
          <w:sz w:val="24"/>
        </w:rPr>
        <w:t>加快推进畜禽粪污资源化利用，实施“种养结合、农牧循环、就近消纳、综合利用”的治理思路，大力推广堆（沤）肥、固液混合发酵等经济高效的利用方式，拓宽粪肥利用渠道，推动畜禽粪污就地就近全量肥料化利用，力争2022年完成喀左县、龙城区畜禽粪污资源化利用整县推进项目，2025年全市畜禽粪污综合符合利用率达到90%。指导规模化养殖场制定畜禽粪肥还田利用计划、建立畜禽粪污处理和粪肥利用台账，加强畜禽粪污不同资源化利用方式执行标准的监督管理，加密日常监测，严防畜禽粪污还田环境风险。</w:t>
      </w:r>
    </w:p>
    <w:p w14:paraId="235CC289">
      <w:pPr>
        <w:spacing w:line="360" w:lineRule="auto"/>
        <w:ind w:firstLine="480" w:firstLineChars="200"/>
        <w:jc w:val="left"/>
        <w:rPr>
          <w:bCs/>
          <w:color w:val="auto"/>
          <w:kern w:val="21"/>
          <w:sz w:val="24"/>
        </w:rPr>
      </w:pPr>
      <w:r>
        <w:rPr>
          <w:bCs/>
          <w:color w:val="auto"/>
          <w:kern w:val="21"/>
          <w:sz w:val="24"/>
        </w:rPr>
        <w:t>本项目情况：（1）本项目企业的产品即是</w:t>
      </w:r>
      <w:r>
        <w:rPr>
          <w:rFonts w:hint="eastAsia"/>
          <w:bCs/>
          <w:color w:val="auto"/>
          <w:kern w:val="21"/>
          <w:sz w:val="24"/>
          <w:lang w:eastAsia="zh-CN"/>
        </w:rPr>
        <w:t>鸡蛋</w:t>
      </w:r>
      <w:r>
        <w:rPr>
          <w:bCs/>
          <w:color w:val="auto"/>
          <w:kern w:val="21"/>
          <w:sz w:val="24"/>
        </w:rPr>
        <w:t>，符合朝阳市“十四五”生态环境保护规划重点任务的畜牧业发展方向。</w:t>
      </w:r>
    </w:p>
    <w:p w14:paraId="74AC24AC">
      <w:pPr>
        <w:spacing w:line="360" w:lineRule="auto"/>
        <w:ind w:firstLine="480" w:firstLineChars="200"/>
        <w:jc w:val="left"/>
        <w:rPr>
          <w:bCs/>
          <w:color w:val="auto"/>
          <w:kern w:val="21"/>
          <w:sz w:val="24"/>
          <w:highlight w:val="none"/>
        </w:rPr>
      </w:pPr>
      <w:r>
        <w:rPr>
          <w:bCs/>
          <w:color w:val="auto"/>
          <w:kern w:val="21"/>
          <w:sz w:val="24"/>
        </w:rPr>
        <w:t>（2）本项目的</w:t>
      </w:r>
      <w:r>
        <w:rPr>
          <w:rFonts w:hint="eastAsia"/>
          <w:bCs/>
          <w:color w:val="auto"/>
          <w:kern w:val="21"/>
          <w:sz w:val="24"/>
        </w:rPr>
        <w:t>养殖废水</w:t>
      </w:r>
      <w:r>
        <w:rPr>
          <w:rFonts w:hint="eastAsia"/>
          <w:bCs/>
          <w:color w:val="auto"/>
          <w:kern w:val="21"/>
          <w:sz w:val="24"/>
          <w:lang w:eastAsia="zh-CN"/>
        </w:rPr>
        <w:t>日产日清，由罐车直接拉</w:t>
      </w:r>
      <w:r>
        <w:rPr>
          <w:rFonts w:hint="eastAsia"/>
          <w:bCs/>
          <w:color w:val="auto"/>
          <w:kern w:val="21"/>
          <w:sz w:val="24"/>
          <w:highlight w:val="none"/>
          <w:lang w:eastAsia="zh-CN"/>
        </w:rPr>
        <w:t>走外售至辰泰（辽宁）生物科技有限公司做有机肥，</w:t>
      </w:r>
      <w:r>
        <w:rPr>
          <w:rFonts w:hint="eastAsia"/>
          <w:bCs/>
          <w:color w:val="auto"/>
          <w:kern w:val="21"/>
          <w:sz w:val="24"/>
          <w:highlight w:val="none"/>
        </w:rPr>
        <w:t>无污水外排</w:t>
      </w:r>
      <w:r>
        <w:rPr>
          <w:bCs/>
          <w:color w:val="auto"/>
          <w:kern w:val="21"/>
          <w:sz w:val="24"/>
          <w:highlight w:val="none"/>
        </w:rPr>
        <w:t>，不增加水污染负荷。项目养殖场通过对各产排污设施进行封闭式处理，达到雨污分流的效果。项目生活污水排入化粪池，定期清掏至农田堆肥。</w:t>
      </w:r>
    </w:p>
    <w:p w14:paraId="7898BC37">
      <w:pPr>
        <w:spacing w:line="360" w:lineRule="auto"/>
        <w:ind w:firstLine="480" w:firstLineChars="200"/>
        <w:jc w:val="left"/>
        <w:rPr>
          <w:bCs/>
          <w:color w:val="auto"/>
          <w:kern w:val="21"/>
          <w:sz w:val="24"/>
          <w:highlight w:val="none"/>
        </w:rPr>
      </w:pPr>
      <w:r>
        <w:rPr>
          <w:bCs/>
          <w:color w:val="auto"/>
          <w:kern w:val="21"/>
          <w:sz w:val="24"/>
          <w:highlight w:val="none"/>
        </w:rPr>
        <w:t>（3）本项目采用机械</w:t>
      </w:r>
      <w:r>
        <w:rPr>
          <w:rFonts w:hint="eastAsia"/>
          <w:bCs/>
          <w:color w:val="auto"/>
          <w:kern w:val="21"/>
          <w:sz w:val="24"/>
          <w:highlight w:val="none"/>
          <w:lang w:eastAsia="zh-CN"/>
        </w:rPr>
        <w:t>干</w:t>
      </w:r>
      <w:r>
        <w:rPr>
          <w:bCs/>
          <w:color w:val="auto"/>
          <w:kern w:val="21"/>
          <w:sz w:val="24"/>
          <w:highlight w:val="none"/>
        </w:rPr>
        <w:t>清粪工艺，</w:t>
      </w:r>
      <w:r>
        <w:rPr>
          <w:rFonts w:hint="eastAsia"/>
          <w:bCs/>
          <w:color w:val="auto"/>
          <w:kern w:val="21"/>
          <w:sz w:val="24"/>
          <w:highlight w:val="none"/>
          <w:lang w:eastAsia="zh-CN"/>
        </w:rPr>
        <w:t>粪污委托第三方处理机构（辰泰（辽宁）生物科技有限公司）进行处理，利用粪污进行</w:t>
      </w:r>
      <w:r>
        <w:rPr>
          <w:rFonts w:hint="eastAsia"/>
          <w:bCs/>
          <w:color w:val="auto"/>
          <w:kern w:val="21"/>
          <w:sz w:val="24"/>
          <w:highlight w:val="none"/>
        </w:rPr>
        <w:t>有机肥制造</w:t>
      </w:r>
      <w:r>
        <w:rPr>
          <w:rFonts w:hint="eastAsia"/>
          <w:bCs/>
          <w:color w:val="auto"/>
          <w:kern w:val="21"/>
          <w:sz w:val="24"/>
          <w:highlight w:val="none"/>
          <w:lang w:eastAsia="zh-CN"/>
        </w:rPr>
        <w:t>，粪污不外排</w:t>
      </w:r>
      <w:r>
        <w:rPr>
          <w:rFonts w:hint="eastAsia"/>
          <w:bCs/>
          <w:color w:val="auto"/>
          <w:kern w:val="21"/>
          <w:sz w:val="24"/>
          <w:highlight w:val="none"/>
        </w:rPr>
        <w:t>；</w:t>
      </w:r>
    </w:p>
    <w:p w14:paraId="1A210997">
      <w:pPr>
        <w:spacing w:line="360" w:lineRule="auto"/>
        <w:ind w:firstLine="480" w:firstLineChars="200"/>
        <w:jc w:val="left"/>
        <w:rPr>
          <w:bCs/>
          <w:color w:val="auto"/>
          <w:kern w:val="21"/>
          <w:sz w:val="24"/>
        </w:rPr>
      </w:pPr>
      <w:r>
        <w:rPr>
          <w:bCs/>
          <w:color w:val="auto"/>
          <w:kern w:val="21"/>
          <w:sz w:val="24"/>
        </w:rPr>
        <w:t>因此，项目符合《朝阳市“十四五”生态环境保护规划》相关要求。</w:t>
      </w:r>
    </w:p>
    <w:p w14:paraId="43F7F9E0">
      <w:pPr>
        <w:spacing w:line="360" w:lineRule="auto"/>
        <w:ind w:firstLine="482" w:firstLineChars="200"/>
        <w:jc w:val="left"/>
        <w:rPr>
          <w:b/>
          <w:bCs w:val="0"/>
          <w:color w:val="auto"/>
          <w:kern w:val="21"/>
          <w:sz w:val="24"/>
        </w:rPr>
      </w:pPr>
      <w:r>
        <w:rPr>
          <w:rFonts w:hint="eastAsia"/>
          <w:b/>
          <w:bCs w:val="0"/>
          <w:color w:val="auto"/>
          <w:kern w:val="21"/>
          <w:sz w:val="24"/>
          <w:lang w:eastAsia="zh-CN"/>
        </w:rPr>
        <w:t>（五）</w:t>
      </w:r>
      <w:r>
        <w:rPr>
          <w:b/>
          <w:bCs w:val="0"/>
          <w:color w:val="auto"/>
          <w:kern w:val="21"/>
          <w:sz w:val="24"/>
        </w:rPr>
        <w:t>与《北票市畜禽养殖污染防治规划》（2021-2025年）相符性</w:t>
      </w:r>
    </w:p>
    <w:p w14:paraId="609994F6">
      <w:pPr>
        <w:spacing w:line="360" w:lineRule="auto"/>
        <w:ind w:firstLine="480" w:firstLineChars="200"/>
        <w:jc w:val="left"/>
        <w:rPr>
          <w:bCs/>
          <w:color w:val="auto"/>
          <w:kern w:val="21"/>
          <w:sz w:val="24"/>
        </w:rPr>
      </w:pPr>
      <w:r>
        <w:rPr>
          <w:bCs/>
          <w:color w:val="auto"/>
          <w:kern w:val="21"/>
          <w:sz w:val="24"/>
        </w:rPr>
        <w:t>（1）规划目标</w:t>
      </w:r>
    </w:p>
    <w:p w14:paraId="4C6E24CF">
      <w:pPr>
        <w:spacing w:line="360" w:lineRule="auto"/>
        <w:ind w:firstLine="480" w:firstLineChars="200"/>
        <w:jc w:val="left"/>
        <w:rPr>
          <w:bCs/>
          <w:color w:val="auto"/>
          <w:kern w:val="21"/>
          <w:sz w:val="24"/>
        </w:rPr>
      </w:pPr>
      <w:r>
        <w:rPr>
          <w:bCs/>
          <w:color w:val="auto"/>
          <w:kern w:val="21"/>
          <w:sz w:val="24"/>
        </w:rPr>
        <w:t>到2025年，基本建立科学规范、权责清晰、约束有力的畜禽养殖废弃物资源化利用体系和种养结合循环发展机制。畜禽粪污综合利用率达到86%以上，畜禽规模养殖场粪污处理设施装备配套率稳定在100% … …</w:t>
      </w:r>
    </w:p>
    <w:p w14:paraId="03E16D1A">
      <w:pPr>
        <w:spacing w:line="360" w:lineRule="auto"/>
        <w:ind w:firstLine="480" w:firstLineChars="200"/>
        <w:jc w:val="left"/>
        <w:rPr>
          <w:bCs/>
          <w:color w:val="auto"/>
          <w:kern w:val="21"/>
          <w:sz w:val="24"/>
        </w:rPr>
      </w:pPr>
      <w:r>
        <w:rPr>
          <w:bCs/>
          <w:color w:val="auto"/>
          <w:kern w:val="21"/>
          <w:sz w:val="24"/>
        </w:rPr>
        <w:t>（2）畜禽养殖污染治理总体要求</w:t>
      </w:r>
    </w:p>
    <w:p w14:paraId="55BD34C6">
      <w:pPr>
        <w:spacing w:line="360" w:lineRule="auto"/>
        <w:ind w:firstLine="480" w:firstLineChars="200"/>
        <w:jc w:val="left"/>
        <w:rPr>
          <w:bCs/>
          <w:color w:val="auto"/>
          <w:kern w:val="21"/>
          <w:sz w:val="24"/>
        </w:rPr>
      </w:pPr>
      <w:r>
        <w:rPr>
          <w:bCs/>
          <w:color w:val="auto"/>
          <w:kern w:val="21"/>
          <w:sz w:val="24"/>
        </w:rPr>
        <w:t>①加强分区管控</w:t>
      </w:r>
    </w:p>
    <w:p w14:paraId="7C696594">
      <w:pPr>
        <w:spacing w:line="360" w:lineRule="auto"/>
        <w:ind w:firstLine="480" w:firstLineChars="200"/>
        <w:jc w:val="left"/>
        <w:rPr>
          <w:bCs/>
          <w:color w:val="auto"/>
          <w:kern w:val="21"/>
          <w:sz w:val="24"/>
        </w:rPr>
      </w:pPr>
      <w:r>
        <w:rPr>
          <w:bCs/>
          <w:color w:val="auto"/>
          <w:kern w:val="21"/>
          <w:sz w:val="24"/>
        </w:rPr>
        <w:t>对禁限养区内养殖场户，严格执行禁、限养区管理相关规定。在限养区内，严格控制畜禽规模养殖场区的数量和规模，加强环境监管，鼓励引导畜禽养殖场户逐步向非禁养区转移。在非禁养区内，根据土地承载能力确定畜禽养殖规模，坚持以地定畜、以种定养，宜增则增、宜减则减。鼓励引导发展畜禽规模化养殖，逐步提高畜禽规模化养殖比重。</w:t>
      </w:r>
    </w:p>
    <w:p w14:paraId="68F78C8B">
      <w:pPr>
        <w:spacing w:line="360" w:lineRule="auto"/>
        <w:ind w:firstLine="480" w:firstLineChars="200"/>
        <w:jc w:val="left"/>
        <w:rPr>
          <w:bCs/>
          <w:color w:val="auto"/>
          <w:kern w:val="21"/>
          <w:sz w:val="24"/>
        </w:rPr>
      </w:pPr>
      <w:r>
        <w:rPr>
          <w:bCs/>
          <w:color w:val="auto"/>
          <w:kern w:val="21"/>
          <w:sz w:val="24"/>
        </w:rPr>
        <w:t>②优化种养布局，以地定养</w:t>
      </w:r>
    </w:p>
    <w:p w14:paraId="1659A876">
      <w:pPr>
        <w:spacing w:line="360" w:lineRule="auto"/>
        <w:ind w:firstLine="480" w:firstLineChars="200"/>
        <w:jc w:val="left"/>
        <w:rPr>
          <w:bCs/>
          <w:color w:val="auto"/>
          <w:kern w:val="21"/>
          <w:sz w:val="24"/>
        </w:rPr>
      </w:pPr>
      <w:r>
        <w:rPr>
          <w:bCs/>
          <w:color w:val="auto"/>
          <w:kern w:val="21"/>
          <w:sz w:val="24"/>
        </w:rPr>
        <w:t>调整区域布局，调整畜禽养殖业向资源、环境和土地承载力较强的地区发展，新建的畜禽规模养殖场鼓励向五间房、东宫、娄家店、蒙古营等乡镇倾斜，在规划用地时，结合北票市总体规划，适当预留出畜牧用地，种养结合，以地定养，发展绿色循环农业。</w:t>
      </w:r>
    </w:p>
    <w:p w14:paraId="14E35C19">
      <w:pPr>
        <w:spacing w:line="360" w:lineRule="auto"/>
        <w:ind w:firstLine="480" w:firstLineChars="200"/>
        <w:jc w:val="left"/>
        <w:rPr>
          <w:bCs/>
          <w:color w:val="auto"/>
          <w:kern w:val="21"/>
          <w:sz w:val="24"/>
        </w:rPr>
      </w:pPr>
      <w:r>
        <w:rPr>
          <w:bCs/>
          <w:color w:val="auto"/>
          <w:kern w:val="21"/>
          <w:sz w:val="24"/>
        </w:rPr>
        <w:t>根据北票市现有畜禽养殖场分布特点，结合动物防疫条件，可采取合理布局，分片养殖。比如将肉鸡养殖基地布局在西片、北片乡镇，即龙潭、哈尔脑、大三家、西官营、东官营、北四家、北塔子、娄家店、宝国老、台吉营、黑城子；将超润集团肉鸭养殖基地布局在东片、南片乡镇，即泉巨永、小塔子、马友营、长皋、常河营、上园、三宝营、巴图营、大板、南八家、章吉营。</w:t>
      </w:r>
    </w:p>
    <w:p w14:paraId="7AB7A762">
      <w:pPr>
        <w:spacing w:line="360" w:lineRule="auto"/>
        <w:ind w:firstLine="480" w:firstLineChars="200"/>
        <w:jc w:val="left"/>
        <w:rPr>
          <w:bCs/>
          <w:color w:val="auto"/>
          <w:kern w:val="21"/>
          <w:sz w:val="24"/>
        </w:rPr>
      </w:pPr>
      <w:r>
        <w:rPr>
          <w:bCs/>
          <w:color w:val="auto"/>
          <w:kern w:val="21"/>
          <w:sz w:val="24"/>
        </w:rPr>
        <w:t>（3）提升畜禽粪污资源化利用水平</w:t>
      </w:r>
    </w:p>
    <w:p w14:paraId="3EA583ED">
      <w:pPr>
        <w:spacing w:line="360" w:lineRule="auto"/>
        <w:ind w:firstLine="480" w:firstLineChars="200"/>
        <w:jc w:val="left"/>
        <w:rPr>
          <w:bCs/>
          <w:color w:val="auto"/>
          <w:kern w:val="21"/>
          <w:sz w:val="24"/>
        </w:rPr>
      </w:pPr>
      <w:r>
        <w:rPr>
          <w:bCs/>
          <w:color w:val="auto"/>
          <w:kern w:val="21"/>
          <w:sz w:val="24"/>
        </w:rPr>
        <w:t>①推进畜禽养殖废弃物生态循环利用</w:t>
      </w:r>
    </w:p>
    <w:p w14:paraId="7633246F">
      <w:pPr>
        <w:spacing w:line="360" w:lineRule="auto"/>
        <w:ind w:firstLine="480" w:firstLineChars="200"/>
        <w:jc w:val="left"/>
        <w:rPr>
          <w:bCs/>
          <w:color w:val="auto"/>
          <w:kern w:val="21"/>
          <w:sz w:val="24"/>
        </w:rPr>
      </w:pPr>
      <w:r>
        <w:rPr>
          <w:bCs/>
          <w:color w:val="auto"/>
          <w:kern w:val="21"/>
          <w:sz w:val="24"/>
        </w:rPr>
        <w:t>建立畜禽养殖废弃物收集、转化、应用三级网络体系，并探索三级网络体系的社会化运营机制，不断提高畜禽养殖废弃物收集处理利用的规模化、专业化、社会化水平。培育壮大多种类型的粪污处理社会化服务组织，实行专业化生产、市场化运营。以畜禽规模养殖场为中心，辐射周边养殖密集区域，由专业化的畜禽养殖废弃物收储运公司构建高效收、储、运链条。鼓励和支持畜禽养殖户密集区实行畜禽粪污分户收集、集中处理，积极引导畜禽养殖户向养殖小区集中。或将废弃物委托给具备处理能力的单位进行综合处置和利用，降低处理成本，提高利用水平，实现散养密集区畜禽养殖废弃物的统一管理。</w:t>
      </w:r>
    </w:p>
    <w:p w14:paraId="4486A328">
      <w:pPr>
        <w:spacing w:line="360" w:lineRule="auto"/>
        <w:ind w:firstLine="480" w:firstLineChars="200"/>
        <w:jc w:val="left"/>
        <w:rPr>
          <w:bCs/>
          <w:color w:val="auto"/>
          <w:kern w:val="21"/>
          <w:sz w:val="24"/>
        </w:rPr>
      </w:pPr>
      <w:r>
        <w:rPr>
          <w:bCs/>
          <w:color w:val="auto"/>
          <w:kern w:val="21"/>
          <w:sz w:val="24"/>
        </w:rPr>
        <w:t>大力推广应用有机肥。支持农业生产经营主体使用经资源化利用后的粪源有机肥。健全畜禽养殖废弃物还田利用和检测方法标准体系。加强粪肥还田技术指导，建立健全检测体系，确保科学合理施用。支持专业化公司、畜禽规模养殖场或农民专业合作社等建设大型有机肥加工厂，就近就地处理周边畜禽养殖废弃物。</w:t>
      </w:r>
    </w:p>
    <w:p w14:paraId="4E095B3B">
      <w:pPr>
        <w:spacing w:line="360" w:lineRule="auto"/>
        <w:ind w:firstLine="480" w:firstLineChars="200"/>
        <w:jc w:val="left"/>
        <w:rPr>
          <w:bCs/>
          <w:color w:val="auto"/>
          <w:kern w:val="21"/>
          <w:sz w:val="24"/>
        </w:rPr>
      </w:pPr>
      <w:r>
        <w:rPr>
          <w:bCs/>
          <w:color w:val="auto"/>
          <w:kern w:val="21"/>
          <w:sz w:val="24"/>
        </w:rPr>
        <w:t>②优化粪污处理利用模式</w:t>
      </w:r>
    </w:p>
    <w:p w14:paraId="54E93720">
      <w:pPr>
        <w:spacing w:line="360" w:lineRule="auto"/>
        <w:ind w:firstLine="480" w:firstLineChars="200"/>
        <w:jc w:val="left"/>
        <w:rPr>
          <w:bCs/>
          <w:color w:val="auto"/>
          <w:kern w:val="21"/>
          <w:sz w:val="24"/>
        </w:rPr>
      </w:pPr>
      <w:r>
        <w:rPr>
          <w:bCs/>
          <w:color w:val="auto"/>
          <w:kern w:val="21"/>
          <w:sz w:val="24"/>
        </w:rPr>
        <w:t>通过区域畜禽粪污环境承载力测算结果和畜禽规模养殖场、畜禽养殖户消纳土地配备情况可知，从整体上看北票市消纳土地充足，但从单个畜禽规模养殖场看，部分畜禽规模养殖场尚未配套充足的消纳土地。</w:t>
      </w:r>
    </w:p>
    <w:p w14:paraId="1CD05956">
      <w:pPr>
        <w:spacing w:line="360" w:lineRule="auto"/>
        <w:ind w:firstLine="480" w:firstLineChars="200"/>
        <w:jc w:val="left"/>
        <w:rPr>
          <w:bCs/>
          <w:color w:val="auto"/>
          <w:kern w:val="21"/>
          <w:sz w:val="24"/>
        </w:rPr>
      </w:pPr>
      <w:r>
        <w:rPr>
          <w:bCs/>
          <w:color w:val="auto"/>
          <w:kern w:val="21"/>
          <w:sz w:val="24"/>
        </w:rPr>
        <w:t>周边自有消纳土地充足的畜禽规模养殖场、畜禽养殖户优先采用低成本、低排放、易操作的粪污处理工艺，粪肥就近还田利用。</w:t>
      </w:r>
    </w:p>
    <w:p w14:paraId="2D5A5D60">
      <w:pPr>
        <w:spacing w:line="360" w:lineRule="auto"/>
        <w:ind w:firstLine="480" w:firstLineChars="200"/>
        <w:jc w:val="left"/>
        <w:rPr>
          <w:bCs/>
          <w:color w:val="auto"/>
          <w:kern w:val="21"/>
          <w:sz w:val="24"/>
        </w:rPr>
      </w:pPr>
      <w:r>
        <w:rPr>
          <w:bCs/>
          <w:color w:val="auto"/>
          <w:kern w:val="21"/>
          <w:sz w:val="24"/>
        </w:rPr>
        <w:t>（4）完善粪污处理和利用设施</w:t>
      </w:r>
    </w:p>
    <w:p w14:paraId="4FC052C9">
      <w:pPr>
        <w:spacing w:line="360" w:lineRule="auto"/>
        <w:ind w:firstLine="480" w:firstLineChars="200"/>
        <w:jc w:val="left"/>
        <w:rPr>
          <w:bCs/>
          <w:color w:val="auto"/>
          <w:kern w:val="21"/>
          <w:sz w:val="24"/>
        </w:rPr>
      </w:pPr>
      <w:r>
        <w:rPr>
          <w:bCs/>
          <w:color w:val="auto"/>
          <w:kern w:val="21"/>
          <w:sz w:val="24"/>
        </w:rPr>
        <w:t>①大力执行标准化清洁生产</w:t>
      </w:r>
    </w:p>
    <w:p w14:paraId="67937139">
      <w:pPr>
        <w:spacing w:line="360" w:lineRule="auto"/>
        <w:ind w:firstLine="480" w:firstLineChars="200"/>
        <w:jc w:val="left"/>
        <w:rPr>
          <w:bCs/>
          <w:color w:val="auto"/>
          <w:kern w:val="21"/>
          <w:sz w:val="24"/>
        </w:rPr>
      </w:pPr>
      <w:r>
        <w:rPr>
          <w:bCs/>
          <w:color w:val="auto"/>
          <w:kern w:val="21"/>
          <w:sz w:val="24"/>
        </w:rPr>
        <w:t>畜禽养殖场环境质量及卫生控制应符合NY/T1167的有关要求。在源头减量上，支持畜禽规模养殖场的标准化改造与建设，实施养殖业节水工程，推进养殖污水无害化处理和适度再生利用，提高畜禽饮水、畜禽规模养殖场舍冲洗、粪便污水资源化等效率。推广干清粪、雨污分流、固液分离等技术模式，控制养殖污水产生量。</w:t>
      </w:r>
    </w:p>
    <w:p w14:paraId="524884CA">
      <w:pPr>
        <w:spacing w:line="360" w:lineRule="auto"/>
        <w:ind w:firstLine="480" w:firstLineChars="200"/>
        <w:jc w:val="left"/>
        <w:rPr>
          <w:bCs/>
          <w:color w:val="auto"/>
          <w:kern w:val="21"/>
          <w:sz w:val="24"/>
        </w:rPr>
      </w:pPr>
      <w:r>
        <w:rPr>
          <w:bCs/>
          <w:color w:val="auto"/>
          <w:kern w:val="21"/>
          <w:sz w:val="24"/>
        </w:rPr>
        <w:t>②深化畜禽规模养殖场污染治理</w:t>
      </w:r>
    </w:p>
    <w:p w14:paraId="0AC8ABE1">
      <w:pPr>
        <w:spacing w:line="360" w:lineRule="auto"/>
        <w:ind w:firstLine="480" w:firstLineChars="200"/>
        <w:jc w:val="left"/>
        <w:rPr>
          <w:bCs/>
          <w:color w:val="auto"/>
          <w:kern w:val="21"/>
          <w:sz w:val="24"/>
        </w:rPr>
      </w:pPr>
      <w:r>
        <w:rPr>
          <w:bCs/>
          <w:color w:val="auto"/>
          <w:kern w:val="21"/>
          <w:sz w:val="24"/>
        </w:rPr>
        <w:t>完成对北票市辖区内畜禽规模养殖场数量、规模，污染处置方式的摸排，及时更新、完善畜禽规模养殖场信息数据库。统筹考虑畜牧业发展的环境承载能力以及畜禽养殖污染防治要求，对畜禽规模养殖场污染防治设施的建设、验收和运行实行“三同时”制度。鼓励更新设施设备和标准化改造栏舍，采取清污分流和粪尿的干湿分离，及时更换饮水设备，限制畜禽用水额度，建立粪便收集池，定点收集垃圾，设置畜禽废渣的储存设施，防止畜禽废渣渗漏、散落、溢流、雨水淋湿。采用固液分离、酸化调节池、高效生物处理池、好氧膜生物反应池等污染防治措施，达到减量化的要求，做到达标排放或零排放。</w:t>
      </w:r>
    </w:p>
    <w:p w14:paraId="6F5915E4">
      <w:pPr>
        <w:spacing w:line="360" w:lineRule="auto"/>
        <w:ind w:firstLine="480" w:firstLineChars="200"/>
        <w:jc w:val="left"/>
        <w:rPr>
          <w:bCs/>
          <w:color w:val="auto"/>
          <w:kern w:val="21"/>
          <w:sz w:val="24"/>
        </w:rPr>
      </w:pPr>
      <w:r>
        <w:rPr>
          <w:bCs/>
          <w:color w:val="auto"/>
          <w:kern w:val="21"/>
          <w:sz w:val="24"/>
        </w:rPr>
        <w:t>③加强畜禽养殖户污染治理管控</w:t>
      </w:r>
    </w:p>
    <w:p w14:paraId="20A2AF94">
      <w:pPr>
        <w:spacing w:line="360" w:lineRule="auto"/>
        <w:ind w:firstLine="480" w:firstLineChars="200"/>
        <w:jc w:val="left"/>
        <w:rPr>
          <w:bCs/>
          <w:color w:val="auto"/>
          <w:kern w:val="21"/>
          <w:sz w:val="24"/>
        </w:rPr>
      </w:pPr>
      <w:r>
        <w:rPr>
          <w:bCs/>
          <w:color w:val="auto"/>
          <w:kern w:val="21"/>
          <w:sz w:val="24"/>
        </w:rPr>
        <w:t>按照“梳堵结合、种养平衡、资源利用”的原则，通过下降排污量、废弃物资源化利用等方式，大力推进畜禽养殖户污染治理。根据养殖规模和污染防治需要，建设相应的畜禽粪便、污水与雨水分流设施，畜禽粪便、污水的贮存设施，粪污厌氧消化和堆沤、有机肥加工、制取沼气、沼渣沼液分离和输送、污水处理、畜禽尸体处理等综合利用和无害化处理设施。</w:t>
      </w:r>
    </w:p>
    <w:p w14:paraId="1C91A080">
      <w:pPr>
        <w:spacing w:line="360" w:lineRule="auto"/>
        <w:ind w:firstLine="480" w:firstLineChars="200"/>
        <w:jc w:val="left"/>
        <w:rPr>
          <w:bCs/>
          <w:color w:val="auto"/>
          <w:kern w:val="21"/>
          <w:sz w:val="24"/>
          <w:highlight w:val="none"/>
        </w:rPr>
      </w:pPr>
      <w:r>
        <w:rPr>
          <w:bCs/>
          <w:color w:val="auto"/>
          <w:kern w:val="21"/>
          <w:sz w:val="24"/>
        </w:rPr>
        <w:t>本项目情况</w:t>
      </w:r>
      <w:r>
        <w:rPr>
          <w:bCs/>
          <w:color w:val="auto"/>
          <w:kern w:val="21"/>
          <w:sz w:val="24"/>
          <w:highlight w:val="none"/>
        </w:rPr>
        <w:t>：（1）本项目采用机械</w:t>
      </w:r>
      <w:r>
        <w:rPr>
          <w:rFonts w:hint="eastAsia"/>
          <w:bCs/>
          <w:color w:val="auto"/>
          <w:kern w:val="21"/>
          <w:sz w:val="24"/>
          <w:highlight w:val="none"/>
          <w:lang w:eastAsia="zh-CN"/>
        </w:rPr>
        <w:t>干</w:t>
      </w:r>
      <w:r>
        <w:rPr>
          <w:bCs/>
          <w:color w:val="auto"/>
          <w:kern w:val="21"/>
          <w:sz w:val="24"/>
          <w:highlight w:val="none"/>
        </w:rPr>
        <w:t>清粪工艺，</w:t>
      </w:r>
      <w:r>
        <w:rPr>
          <w:rFonts w:hint="eastAsia"/>
          <w:bCs/>
          <w:color w:val="auto"/>
          <w:kern w:val="21"/>
          <w:sz w:val="24"/>
          <w:highlight w:val="none"/>
          <w:lang w:eastAsia="zh-CN"/>
        </w:rPr>
        <w:t>粪污委托第三方处理机构（辰泰（辽宁）生物科技有限公司）进行处理，利用粪污进行</w:t>
      </w:r>
      <w:r>
        <w:rPr>
          <w:rFonts w:hint="eastAsia"/>
          <w:bCs/>
          <w:color w:val="auto"/>
          <w:kern w:val="21"/>
          <w:sz w:val="24"/>
          <w:highlight w:val="none"/>
        </w:rPr>
        <w:t>有机肥制造</w:t>
      </w:r>
      <w:r>
        <w:rPr>
          <w:rFonts w:hint="eastAsia"/>
          <w:bCs/>
          <w:color w:val="auto"/>
          <w:kern w:val="21"/>
          <w:sz w:val="24"/>
          <w:highlight w:val="none"/>
          <w:lang w:eastAsia="zh-CN"/>
        </w:rPr>
        <w:t>，粪污不外排</w:t>
      </w:r>
      <w:r>
        <w:rPr>
          <w:rFonts w:hint="eastAsia"/>
          <w:bCs/>
          <w:color w:val="auto"/>
          <w:kern w:val="21"/>
          <w:sz w:val="24"/>
          <w:highlight w:val="none"/>
        </w:rPr>
        <w:t>；</w:t>
      </w:r>
      <w:r>
        <w:rPr>
          <w:bCs/>
          <w:color w:val="auto"/>
          <w:kern w:val="21"/>
          <w:sz w:val="24"/>
          <w:highlight w:val="none"/>
        </w:rPr>
        <w:t>粪污综合利用率100%，有可靠稳定的粪污处理设施。</w:t>
      </w:r>
    </w:p>
    <w:p w14:paraId="7AD4C37B">
      <w:pPr>
        <w:spacing w:line="360" w:lineRule="auto"/>
        <w:ind w:firstLine="480" w:firstLineChars="200"/>
        <w:jc w:val="left"/>
        <w:rPr>
          <w:bCs/>
          <w:color w:val="auto"/>
          <w:kern w:val="21"/>
          <w:sz w:val="24"/>
          <w:highlight w:val="none"/>
        </w:rPr>
      </w:pPr>
      <w:r>
        <w:rPr>
          <w:bCs/>
          <w:color w:val="auto"/>
          <w:kern w:val="21"/>
          <w:sz w:val="24"/>
          <w:highlight w:val="none"/>
        </w:rPr>
        <w:t>（2）①本项目位于</w:t>
      </w:r>
      <w:r>
        <w:rPr>
          <w:rFonts w:hint="eastAsia"/>
          <w:bCs/>
          <w:color w:val="auto"/>
          <w:kern w:val="21"/>
          <w:sz w:val="24"/>
          <w:highlight w:val="none"/>
          <w:lang w:eastAsia="zh-CN"/>
        </w:rPr>
        <w:t>北票市西官镇大巴里村</w:t>
      </w:r>
      <w:r>
        <w:rPr>
          <w:bCs/>
          <w:color w:val="auto"/>
          <w:kern w:val="21"/>
          <w:sz w:val="24"/>
          <w:highlight w:val="none"/>
        </w:rPr>
        <w:t>。经与《北票市人民政府办公室关于印发北票市畜禽禁养区调整划定方案的通知》〔2018〕59号核对，项目所在地不属于北票市禁养区和限养区范围，同时北票市环境保护局也给出具了本项目不在禁养区的证明。详见附件。</w:t>
      </w:r>
    </w:p>
    <w:p w14:paraId="6BFBB5C2">
      <w:pPr>
        <w:spacing w:line="360" w:lineRule="auto"/>
        <w:ind w:firstLine="480" w:firstLineChars="200"/>
        <w:jc w:val="left"/>
        <w:rPr>
          <w:bCs/>
          <w:color w:val="auto"/>
          <w:kern w:val="21"/>
          <w:sz w:val="24"/>
          <w:highlight w:val="none"/>
        </w:rPr>
      </w:pPr>
      <w:r>
        <w:rPr>
          <w:bCs/>
          <w:color w:val="auto"/>
          <w:kern w:val="21"/>
          <w:sz w:val="24"/>
          <w:highlight w:val="none"/>
        </w:rPr>
        <w:t>②本项目位于</w:t>
      </w:r>
      <w:r>
        <w:rPr>
          <w:rFonts w:hint="eastAsia"/>
          <w:bCs/>
          <w:color w:val="auto"/>
          <w:kern w:val="21"/>
          <w:sz w:val="24"/>
          <w:highlight w:val="none"/>
          <w:lang w:eastAsia="zh-CN"/>
        </w:rPr>
        <w:t>北票市西官镇大巴里村</w:t>
      </w:r>
      <w:r>
        <w:rPr>
          <w:bCs/>
          <w:color w:val="auto"/>
          <w:kern w:val="21"/>
          <w:sz w:val="24"/>
          <w:highlight w:val="none"/>
        </w:rPr>
        <w:t>，</w:t>
      </w:r>
      <w:r>
        <w:rPr>
          <w:rFonts w:hint="eastAsia"/>
          <w:bCs/>
          <w:color w:val="auto"/>
          <w:kern w:val="21"/>
          <w:sz w:val="24"/>
          <w:highlight w:val="none"/>
          <w:lang w:eastAsia="zh-CN"/>
        </w:rPr>
        <w:t>根据《产业结构调整指导目录》（</w:t>
      </w:r>
      <w:r>
        <w:rPr>
          <w:rFonts w:hint="eastAsia"/>
          <w:bCs/>
          <w:color w:val="auto"/>
          <w:kern w:val="21"/>
          <w:sz w:val="24"/>
          <w:highlight w:val="none"/>
          <w:lang w:val="en-US" w:eastAsia="zh-CN"/>
        </w:rPr>
        <w:t>2024年本</w:t>
      </w:r>
      <w:r>
        <w:rPr>
          <w:rFonts w:hint="eastAsia"/>
          <w:bCs/>
          <w:color w:val="auto"/>
          <w:kern w:val="21"/>
          <w:sz w:val="24"/>
          <w:highlight w:val="none"/>
          <w:lang w:eastAsia="zh-CN"/>
        </w:rPr>
        <w:t>）规定，项目</w:t>
      </w:r>
      <w:r>
        <w:rPr>
          <w:bCs/>
          <w:color w:val="auto"/>
          <w:kern w:val="21"/>
          <w:sz w:val="24"/>
          <w:highlight w:val="none"/>
        </w:rPr>
        <w:t>属于鼓励</w:t>
      </w:r>
      <w:r>
        <w:rPr>
          <w:rFonts w:hint="eastAsia"/>
          <w:bCs/>
          <w:color w:val="auto"/>
          <w:kern w:val="21"/>
          <w:sz w:val="24"/>
          <w:highlight w:val="none"/>
          <w:lang w:eastAsia="zh-CN"/>
        </w:rPr>
        <w:t>类</w:t>
      </w:r>
      <w:r>
        <w:rPr>
          <w:bCs/>
          <w:color w:val="auto"/>
          <w:kern w:val="21"/>
          <w:sz w:val="24"/>
          <w:highlight w:val="none"/>
        </w:rPr>
        <w:t>。</w:t>
      </w:r>
    </w:p>
    <w:p w14:paraId="147D8DFD">
      <w:pPr>
        <w:spacing w:line="360" w:lineRule="auto"/>
        <w:ind w:firstLine="480" w:firstLineChars="200"/>
        <w:jc w:val="left"/>
        <w:rPr>
          <w:bCs/>
          <w:color w:val="auto"/>
          <w:kern w:val="21"/>
          <w:sz w:val="24"/>
          <w:highlight w:val="none"/>
        </w:rPr>
      </w:pPr>
      <w:r>
        <w:rPr>
          <w:bCs/>
          <w:color w:val="auto"/>
          <w:kern w:val="21"/>
          <w:sz w:val="24"/>
          <w:highlight w:val="none"/>
        </w:rPr>
        <w:t>（3）本项目的</w:t>
      </w:r>
      <w:r>
        <w:rPr>
          <w:rFonts w:hint="eastAsia"/>
          <w:bCs/>
          <w:color w:val="auto"/>
          <w:kern w:val="21"/>
          <w:sz w:val="24"/>
          <w:highlight w:val="none"/>
        </w:rPr>
        <w:t>养殖废水</w:t>
      </w:r>
      <w:r>
        <w:rPr>
          <w:rFonts w:hint="eastAsia"/>
          <w:bCs/>
          <w:color w:val="auto"/>
          <w:kern w:val="21"/>
          <w:sz w:val="24"/>
          <w:highlight w:val="none"/>
          <w:lang w:eastAsia="zh-CN"/>
        </w:rPr>
        <w:t>日产日清，由罐车直接拉走外售至辰泰（辽宁）生物科技有限公司做有机肥，</w:t>
      </w:r>
      <w:r>
        <w:rPr>
          <w:rFonts w:hint="eastAsia"/>
          <w:bCs/>
          <w:color w:val="auto"/>
          <w:kern w:val="21"/>
          <w:sz w:val="24"/>
          <w:highlight w:val="none"/>
        </w:rPr>
        <w:t>无污水外排</w:t>
      </w:r>
      <w:r>
        <w:rPr>
          <w:rFonts w:hint="eastAsia"/>
          <w:bCs/>
          <w:color w:val="auto"/>
          <w:kern w:val="21"/>
          <w:sz w:val="24"/>
          <w:highlight w:val="none"/>
          <w:lang w:eastAsia="zh-CN"/>
        </w:rPr>
        <w:t>；</w:t>
      </w:r>
      <w:r>
        <w:rPr>
          <w:bCs/>
          <w:color w:val="auto"/>
          <w:kern w:val="21"/>
          <w:sz w:val="24"/>
          <w:highlight w:val="none"/>
        </w:rPr>
        <w:t>采用机械</w:t>
      </w:r>
      <w:r>
        <w:rPr>
          <w:rFonts w:hint="eastAsia"/>
          <w:bCs/>
          <w:color w:val="auto"/>
          <w:kern w:val="21"/>
          <w:sz w:val="24"/>
          <w:highlight w:val="none"/>
          <w:lang w:eastAsia="zh-CN"/>
        </w:rPr>
        <w:t>干</w:t>
      </w:r>
      <w:r>
        <w:rPr>
          <w:bCs/>
          <w:color w:val="auto"/>
          <w:kern w:val="21"/>
          <w:sz w:val="24"/>
          <w:highlight w:val="none"/>
        </w:rPr>
        <w:t>清粪工艺，</w:t>
      </w:r>
      <w:r>
        <w:rPr>
          <w:rFonts w:hint="eastAsia"/>
          <w:bCs/>
          <w:color w:val="auto"/>
          <w:kern w:val="21"/>
          <w:sz w:val="24"/>
          <w:highlight w:val="none"/>
          <w:lang w:eastAsia="zh-CN"/>
        </w:rPr>
        <w:t>粪污委托第三方处理机构（辰泰（辽宁）生物科技有限公司）进行处理，利用粪污进行</w:t>
      </w:r>
      <w:r>
        <w:rPr>
          <w:rFonts w:hint="eastAsia"/>
          <w:bCs/>
          <w:color w:val="auto"/>
          <w:kern w:val="21"/>
          <w:sz w:val="24"/>
          <w:highlight w:val="none"/>
        </w:rPr>
        <w:t>有机肥制造</w:t>
      </w:r>
      <w:r>
        <w:rPr>
          <w:rFonts w:hint="eastAsia"/>
          <w:bCs/>
          <w:color w:val="auto"/>
          <w:kern w:val="21"/>
          <w:sz w:val="24"/>
          <w:highlight w:val="none"/>
          <w:lang w:eastAsia="zh-CN"/>
        </w:rPr>
        <w:t>，粪污不外排</w:t>
      </w:r>
      <w:r>
        <w:rPr>
          <w:rFonts w:hint="eastAsia"/>
          <w:bCs/>
          <w:color w:val="auto"/>
          <w:kern w:val="21"/>
          <w:sz w:val="24"/>
          <w:highlight w:val="none"/>
        </w:rPr>
        <w:t>；</w:t>
      </w:r>
    </w:p>
    <w:p w14:paraId="3AE7ED68">
      <w:pPr>
        <w:spacing w:line="360" w:lineRule="auto"/>
        <w:ind w:firstLine="480" w:firstLineChars="200"/>
        <w:jc w:val="left"/>
        <w:rPr>
          <w:bCs/>
          <w:color w:val="auto"/>
          <w:kern w:val="21"/>
          <w:sz w:val="24"/>
          <w:highlight w:val="none"/>
        </w:rPr>
      </w:pPr>
      <w:r>
        <w:rPr>
          <w:bCs/>
          <w:color w:val="auto"/>
          <w:kern w:val="21"/>
          <w:sz w:val="24"/>
          <w:highlight w:val="none"/>
        </w:rPr>
        <w:t>（4）①本项目的</w:t>
      </w:r>
      <w:r>
        <w:rPr>
          <w:rFonts w:hint="eastAsia"/>
          <w:bCs/>
          <w:color w:val="auto"/>
          <w:kern w:val="21"/>
          <w:sz w:val="24"/>
          <w:highlight w:val="none"/>
        </w:rPr>
        <w:t>养殖废水</w:t>
      </w:r>
      <w:r>
        <w:rPr>
          <w:rFonts w:hint="eastAsia"/>
          <w:bCs/>
          <w:color w:val="auto"/>
          <w:kern w:val="21"/>
          <w:sz w:val="24"/>
          <w:highlight w:val="none"/>
          <w:lang w:eastAsia="zh-CN"/>
        </w:rPr>
        <w:t>日产日清，由罐车直接拉走外售至辰泰（辽宁）生物科技有限公司做有机肥，</w:t>
      </w:r>
      <w:r>
        <w:rPr>
          <w:rFonts w:hint="eastAsia"/>
          <w:bCs/>
          <w:color w:val="auto"/>
          <w:kern w:val="21"/>
          <w:sz w:val="24"/>
          <w:highlight w:val="none"/>
        </w:rPr>
        <w:t>无污水外排</w:t>
      </w:r>
      <w:r>
        <w:rPr>
          <w:rFonts w:hint="eastAsia"/>
          <w:bCs/>
          <w:color w:val="auto"/>
          <w:kern w:val="21"/>
          <w:sz w:val="24"/>
          <w:highlight w:val="none"/>
          <w:lang w:eastAsia="zh-CN"/>
        </w:rPr>
        <w:t>；</w:t>
      </w:r>
    </w:p>
    <w:p w14:paraId="0AB55F43">
      <w:pPr>
        <w:spacing w:line="360" w:lineRule="auto"/>
        <w:ind w:firstLine="480" w:firstLineChars="200"/>
        <w:jc w:val="left"/>
        <w:rPr>
          <w:bCs/>
          <w:color w:val="auto"/>
          <w:kern w:val="21"/>
          <w:sz w:val="24"/>
        </w:rPr>
      </w:pPr>
      <w:r>
        <w:rPr>
          <w:bCs/>
          <w:color w:val="auto"/>
          <w:kern w:val="21"/>
          <w:sz w:val="24"/>
        </w:rPr>
        <w:t>②项目用水量符合《辽宁省行业用水定额》（DB21/T1237-2020）要求，项目每个</w:t>
      </w:r>
      <w:r>
        <w:rPr>
          <w:rFonts w:hint="eastAsia"/>
          <w:bCs/>
          <w:color w:val="auto"/>
          <w:kern w:val="21"/>
          <w:sz w:val="24"/>
          <w:lang w:eastAsia="zh-CN"/>
        </w:rPr>
        <w:t>鸡舍</w:t>
      </w:r>
      <w:r>
        <w:rPr>
          <w:bCs/>
          <w:color w:val="auto"/>
          <w:kern w:val="21"/>
          <w:sz w:val="24"/>
        </w:rPr>
        <w:t>配有一个污水收集池，用于收集</w:t>
      </w:r>
      <w:r>
        <w:rPr>
          <w:rFonts w:hint="eastAsia"/>
          <w:bCs/>
          <w:color w:val="auto"/>
          <w:kern w:val="21"/>
          <w:sz w:val="24"/>
          <w:lang w:eastAsia="zh-CN"/>
        </w:rPr>
        <w:t>鸡舍冲洗废水</w:t>
      </w:r>
      <w:r>
        <w:rPr>
          <w:bCs/>
          <w:color w:val="auto"/>
          <w:kern w:val="21"/>
          <w:sz w:val="24"/>
        </w:rPr>
        <w:t>，</w:t>
      </w:r>
      <w:r>
        <w:rPr>
          <w:rFonts w:hint="eastAsia"/>
          <w:bCs/>
          <w:color w:val="auto"/>
          <w:kern w:val="21"/>
          <w:sz w:val="24"/>
        </w:rPr>
        <w:t>养殖废水</w:t>
      </w:r>
      <w:r>
        <w:rPr>
          <w:rFonts w:hint="eastAsia"/>
          <w:bCs/>
          <w:color w:val="auto"/>
          <w:kern w:val="21"/>
          <w:sz w:val="24"/>
          <w:lang w:eastAsia="zh-CN"/>
        </w:rPr>
        <w:t>日产日清，由罐车直接拉走外</w:t>
      </w:r>
      <w:r>
        <w:rPr>
          <w:rFonts w:hint="eastAsia"/>
          <w:bCs/>
          <w:color w:val="auto"/>
          <w:kern w:val="21"/>
          <w:sz w:val="24"/>
          <w:highlight w:val="none"/>
          <w:lang w:eastAsia="zh-CN"/>
        </w:rPr>
        <w:t>售至辰泰（辽宁）生物科技有限公司做有机肥，</w:t>
      </w:r>
      <w:r>
        <w:rPr>
          <w:rFonts w:hint="eastAsia"/>
          <w:bCs/>
          <w:color w:val="auto"/>
          <w:kern w:val="21"/>
          <w:sz w:val="24"/>
          <w:highlight w:val="none"/>
        </w:rPr>
        <w:t>无</w:t>
      </w:r>
      <w:r>
        <w:rPr>
          <w:rFonts w:hint="eastAsia"/>
          <w:bCs/>
          <w:color w:val="auto"/>
          <w:kern w:val="21"/>
          <w:sz w:val="24"/>
        </w:rPr>
        <w:t>污水外排</w:t>
      </w:r>
      <w:r>
        <w:rPr>
          <w:rFonts w:hint="eastAsia"/>
          <w:bCs/>
          <w:color w:val="auto"/>
          <w:kern w:val="21"/>
          <w:sz w:val="24"/>
          <w:lang w:eastAsia="zh-CN"/>
        </w:rPr>
        <w:t>；</w:t>
      </w:r>
    </w:p>
    <w:p w14:paraId="5ED0DBCE">
      <w:pPr>
        <w:spacing w:line="360" w:lineRule="auto"/>
        <w:ind w:firstLine="480" w:firstLineChars="200"/>
        <w:jc w:val="left"/>
        <w:rPr>
          <w:bCs/>
          <w:color w:val="auto"/>
          <w:kern w:val="21"/>
          <w:sz w:val="24"/>
        </w:rPr>
      </w:pPr>
      <w:r>
        <w:rPr>
          <w:bCs/>
          <w:color w:val="auto"/>
          <w:kern w:val="21"/>
          <w:sz w:val="24"/>
        </w:rPr>
        <w:t>③项目污水收集池为有盖设施，且高出地面1.5m以上，因此保证了雨污分流不合流。根据《农业农村部办公厅 生态环境部办公厅 关于进一步明确畜禽粪污还田利用要求强化养殖污染监管的通知》（农办牧〔2020〕23号）文件精神：鼓励养殖场户全量收集和利用畜禽粪污，根据实际情况选择合理的输送和施用方式，不再强制要求固液分离。结合本地实际，推行经济高效的粪污资源化利用技术模式，积极推广全量机械化施用，逐步改进粪肥施用方式。</w:t>
      </w:r>
    </w:p>
    <w:p w14:paraId="58F951D1">
      <w:pPr>
        <w:spacing w:line="360" w:lineRule="auto"/>
        <w:ind w:firstLine="480" w:firstLineChars="200"/>
        <w:jc w:val="left"/>
        <w:rPr>
          <w:bCs/>
          <w:color w:val="auto"/>
          <w:kern w:val="21"/>
          <w:sz w:val="24"/>
        </w:rPr>
      </w:pPr>
      <w:r>
        <w:rPr>
          <w:bCs/>
          <w:color w:val="auto"/>
          <w:kern w:val="21"/>
          <w:sz w:val="24"/>
        </w:rPr>
        <w:t>因此，项目符合《北票市畜禽养殖污染防治规划》（2021-2025年）相关要求。</w:t>
      </w:r>
    </w:p>
    <w:p w14:paraId="310E9274">
      <w:pPr>
        <w:pStyle w:val="3"/>
        <w:jc w:val="both"/>
        <w:rPr>
          <w:rFonts w:eastAsia="宋体"/>
          <w:color w:val="auto"/>
        </w:rPr>
      </w:pPr>
      <w:bookmarkStart w:id="79" w:name="_Toc14944"/>
      <w:bookmarkStart w:id="80" w:name="_Toc12618"/>
      <w:r>
        <w:rPr>
          <w:rFonts w:eastAsia="宋体"/>
          <w:color w:val="auto"/>
        </w:rPr>
        <w:t>1.5相关规划及环境功能区划</w:t>
      </w:r>
      <w:bookmarkEnd w:id="79"/>
      <w:bookmarkEnd w:id="80"/>
    </w:p>
    <w:p w14:paraId="59369943">
      <w:pPr>
        <w:pStyle w:val="192"/>
        <w:rPr>
          <w:color w:val="auto"/>
        </w:rPr>
      </w:pPr>
      <w:bookmarkStart w:id="81" w:name="_Toc17499"/>
      <w:r>
        <w:rPr>
          <w:color w:val="auto"/>
        </w:rPr>
        <w:t>1.5.</w:t>
      </w:r>
      <w:r>
        <w:rPr>
          <w:rFonts w:hint="eastAsia"/>
          <w:color w:val="auto"/>
        </w:rPr>
        <w:t>1</w:t>
      </w:r>
      <w:r>
        <w:rPr>
          <w:color w:val="auto"/>
        </w:rPr>
        <w:t>项目选址合理性分析</w:t>
      </w:r>
      <w:bookmarkEnd w:id="81"/>
    </w:p>
    <w:p w14:paraId="1D07F08F">
      <w:pPr>
        <w:spacing w:line="360" w:lineRule="auto"/>
        <w:ind w:firstLine="482" w:firstLineChars="200"/>
        <w:jc w:val="left"/>
        <w:rPr>
          <w:b/>
          <w:bCs/>
          <w:color w:val="auto"/>
          <w:kern w:val="21"/>
          <w:sz w:val="24"/>
        </w:rPr>
      </w:pPr>
      <w:r>
        <w:rPr>
          <w:b/>
          <w:bCs/>
          <w:color w:val="auto"/>
          <w:kern w:val="21"/>
          <w:sz w:val="24"/>
        </w:rPr>
        <w:t>（1）与行业技术规范的</w:t>
      </w:r>
      <w:r>
        <w:rPr>
          <w:rFonts w:hint="eastAsia"/>
          <w:b/>
          <w:bCs/>
          <w:color w:val="auto"/>
          <w:kern w:val="21"/>
          <w:sz w:val="24"/>
        </w:rPr>
        <w:t>选址</w:t>
      </w:r>
      <w:r>
        <w:rPr>
          <w:b/>
          <w:bCs/>
          <w:color w:val="auto"/>
          <w:kern w:val="21"/>
          <w:sz w:val="24"/>
        </w:rPr>
        <w:t>相符性分析</w:t>
      </w:r>
    </w:p>
    <w:p w14:paraId="199C75DE">
      <w:pPr>
        <w:spacing w:line="360" w:lineRule="auto"/>
        <w:ind w:firstLine="482" w:firstLineChars="200"/>
        <w:jc w:val="left"/>
        <w:rPr>
          <w:b/>
          <w:color w:val="auto"/>
          <w:kern w:val="21"/>
          <w:sz w:val="24"/>
        </w:rPr>
      </w:pPr>
      <w:r>
        <w:rPr>
          <w:rFonts w:hint="eastAsia"/>
          <w:b/>
          <w:color w:val="auto"/>
          <w:kern w:val="21"/>
          <w:sz w:val="24"/>
        </w:rPr>
        <w:t>1</w:t>
      </w:r>
      <w:r>
        <w:rPr>
          <w:b/>
          <w:color w:val="auto"/>
          <w:kern w:val="21"/>
          <w:sz w:val="24"/>
        </w:rPr>
        <w:t>）与《畜禽养殖业污染防治技术规范》</w:t>
      </w:r>
      <w:r>
        <w:rPr>
          <w:rFonts w:hint="eastAsia"/>
          <w:b/>
          <w:color w:val="auto"/>
          <w:kern w:val="21"/>
          <w:sz w:val="24"/>
          <w:lang w:eastAsia="zh-CN"/>
        </w:rPr>
        <w:t>（</w:t>
      </w:r>
      <w:r>
        <w:rPr>
          <w:b/>
          <w:color w:val="auto"/>
          <w:kern w:val="21"/>
          <w:sz w:val="24"/>
        </w:rPr>
        <w:t>HJ/T81-2001</w:t>
      </w:r>
      <w:r>
        <w:rPr>
          <w:rFonts w:hint="eastAsia"/>
          <w:b/>
          <w:color w:val="auto"/>
          <w:kern w:val="21"/>
          <w:sz w:val="24"/>
          <w:lang w:eastAsia="zh-CN"/>
        </w:rPr>
        <w:t>）</w:t>
      </w:r>
      <w:r>
        <w:rPr>
          <w:b/>
          <w:color w:val="auto"/>
          <w:kern w:val="21"/>
          <w:sz w:val="24"/>
        </w:rPr>
        <w:t>相符性分析</w:t>
      </w:r>
    </w:p>
    <w:p w14:paraId="7F22B08C">
      <w:pPr>
        <w:pStyle w:val="125"/>
        <w:spacing w:line="240" w:lineRule="auto"/>
        <w:ind w:firstLine="413" w:firstLineChars="196"/>
        <w:jc w:val="center"/>
        <w:rPr>
          <w:b/>
          <w:color w:val="auto"/>
          <w:sz w:val="21"/>
          <w:szCs w:val="21"/>
        </w:rPr>
      </w:pPr>
      <w:r>
        <w:rPr>
          <w:b/>
          <w:color w:val="auto"/>
          <w:sz w:val="21"/>
          <w:szCs w:val="21"/>
        </w:rPr>
        <w:t>表1</w:t>
      </w:r>
      <w:r>
        <w:rPr>
          <w:rFonts w:hint="eastAsia"/>
          <w:b/>
          <w:color w:val="auto"/>
          <w:sz w:val="21"/>
          <w:szCs w:val="21"/>
          <w:lang w:val="en-US" w:eastAsia="zh-CN"/>
        </w:rPr>
        <w:t>.5-1</w:t>
      </w:r>
      <w:r>
        <w:rPr>
          <w:b/>
          <w:color w:val="auto"/>
          <w:sz w:val="21"/>
          <w:szCs w:val="21"/>
        </w:rPr>
        <w:t xml:space="preserve">  </w:t>
      </w:r>
      <w:r>
        <w:rPr>
          <w:rFonts w:hint="eastAsia"/>
          <w:b/>
          <w:color w:val="auto"/>
          <w:sz w:val="21"/>
          <w:szCs w:val="21"/>
          <w:lang w:val="en-US" w:eastAsia="zh-CN"/>
        </w:rPr>
        <w:t xml:space="preserve"> </w:t>
      </w:r>
      <w:r>
        <w:rPr>
          <w:b/>
          <w:color w:val="auto"/>
          <w:sz w:val="21"/>
          <w:szCs w:val="21"/>
        </w:rPr>
        <w:t xml:space="preserve"> 本项目与《畜禽养殖业污染防治技术规范》对照表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8"/>
        <w:gridCol w:w="4019"/>
        <w:gridCol w:w="2909"/>
        <w:gridCol w:w="915"/>
      </w:tblGrid>
      <w:tr w14:paraId="51A70F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8" w:type="dxa"/>
            <w:vAlign w:val="center"/>
          </w:tcPr>
          <w:p w14:paraId="5ECC9FF5">
            <w:pPr>
              <w:jc w:val="center"/>
              <w:rPr>
                <w:bCs/>
                <w:color w:val="auto"/>
                <w:kern w:val="21"/>
                <w:szCs w:val="21"/>
              </w:rPr>
            </w:pPr>
            <w:r>
              <w:rPr>
                <w:bCs/>
                <w:color w:val="auto"/>
                <w:kern w:val="21"/>
                <w:szCs w:val="21"/>
              </w:rPr>
              <w:t>序号</w:t>
            </w:r>
          </w:p>
        </w:tc>
        <w:tc>
          <w:tcPr>
            <w:tcW w:w="4019" w:type="dxa"/>
            <w:vAlign w:val="center"/>
          </w:tcPr>
          <w:p w14:paraId="23DA4858">
            <w:pPr>
              <w:pStyle w:val="149"/>
              <w:jc w:val="center"/>
              <w:rPr>
                <w:rFonts w:ascii="Times New Roman" w:cs="Times New Roman"/>
                <w:color w:val="auto"/>
                <w:sz w:val="21"/>
                <w:szCs w:val="21"/>
              </w:rPr>
            </w:pPr>
            <w:r>
              <w:rPr>
                <w:rFonts w:ascii="Times New Roman" w:cs="Times New Roman"/>
                <w:color w:val="auto"/>
                <w:sz w:val="21"/>
                <w:szCs w:val="21"/>
              </w:rPr>
              <w:t>《</w:t>
            </w:r>
            <w:r>
              <w:rPr>
                <w:rFonts w:ascii="Times New Roman" w:cs="Times New Roman"/>
                <w:bCs/>
                <w:color w:val="auto"/>
                <w:sz w:val="21"/>
                <w:szCs w:val="21"/>
              </w:rPr>
              <w:t>畜禽养殖业污染防治技术规范</w:t>
            </w:r>
            <w:r>
              <w:rPr>
                <w:rFonts w:ascii="Times New Roman" w:cs="Times New Roman"/>
                <w:color w:val="auto"/>
                <w:sz w:val="21"/>
                <w:szCs w:val="21"/>
              </w:rPr>
              <w:t>》中要求</w:t>
            </w:r>
          </w:p>
        </w:tc>
        <w:tc>
          <w:tcPr>
            <w:tcW w:w="2909" w:type="dxa"/>
            <w:vAlign w:val="center"/>
          </w:tcPr>
          <w:p w14:paraId="799CB17F">
            <w:pPr>
              <w:pStyle w:val="149"/>
              <w:jc w:val="center"/>
              <w:rPr>
                <w:rFonts w:ascii="Times New Roman" w:cs="Times New Roman"/>
                <w:color w:val="auto"/>
                <w:sz w:val="21"/>
                <w:szCs w:val="21"/>
              </w:rPr>
            </w:pPr>
            <w:r>
              <w:rPr>
                <w:rFonts w:ascii="Times New Roman" w:cs="Times New Roman"/>
                <w:color w:val="auto"/>
                <w:sz w:val="21"/>
                <w:szCs w:val="21"/>
              </w:rPr>
              <w:t>本项目实际建设内容</w:t>
            </w:r>
          </w:p>
        </w:tc>
        <w:tc>
          <w:tcPr>
            <w:tcW w:w="915" w:type="dxa"/>
            <w:vAlign w:val="center"/>
          </w:tcPr>
          <w:p w14:paraId="2F63B07D">
            <w:pPr>
              <w:pStyle w:val="149"/>
              <w:jc w:val="center"/>
              <w:rPr>
                <w:rFonts w:ascii="Times New Roman" w:cs="Times New Roman"/>
                <w:color w:val="auto"/>
                <w:sz w:val="21"/>
                <w:szCs w:val="21"/>
              </w:rPr>
            </w:pPr>
            <w:r>
              <w:rPr>
                <w:rFonts w:ascii="Times New Roman" w:cs="Times New Roman"/>
                <w:color w:val="auto"/>
                <w:sz w:val="21"/>
                <w:szCs w:val="21"/>
              </w:rPr>
              <w:t>符合性</w:t>
            </w:r>
          </w:p>
        </w:tc>
      </w:tr>
      <w:tr w14:paraId="31C5ED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8" w:type="dxa"/>
            <w:vAlign w:val="center"/>
          </w:tcPr>
          <w:p w14:paraId="3786B2E1">
            <w:pPr>
              <w:jc w:val="center"/>
              <w:rPr>
                <w:bCs/>
                <w:color w:val="auto"/>
                <w:kern w:val="21"/>
                <w:szCs w:val="21"/>
              </w:rPr>
            </w:pPr>
            <w:r>
              <w:rPr>
                <w:bCs/>
                <w:color w:val="auto"/>
                <w:kern w:val="21"/>
                <w:szCs w:val="21"/>
              </w:rPr>
              <w:t>1</w:t>
            </w:r>
          </w:p>
        </w:tc>
        <w:tc>
          <w:tcPr>
            <w:tcW w:w="4019" w:type="dxa"/>
            <w:vAlign w:val="center"/>
          </w:tcPr>
          <w:p w14:paraId="26CC4B55">
            <w:pPr>
              <w:pStyle w:val="149"/>
              <w:jc w:val="center"/>
              <w:rPr>
                <w:rFonts w:ascii="Times New Roman" w:cs="Times New Roman"/>
                <w:color w:val="auto"/>
                <w:sz w:val="21"/>
                <w:szCs w:val="21"/>
              </w:rPr>
            </w:pPr>
            <w:r>
              <w:rPr>
                <w:rFonts w:ascii="Times New Roman" w:cs="Times New Roman"/>
                <w:color w:val="auto"/>
                <w:sz w:val="21"/>
                <w:szCs w:val="21"/>
              </w:rPr>
              <w:t>禁止在</w:t>
            </w:r>
            <w:r>
              <w:rPr>
                <w:rFonts w:ascii="Times New Roman" w:cs="Times New Roman"/>
                <w:bCs/>
                <w:color w:val="auto"/>
                <w:sz w:val="21"/>
                <w:szCs w:val="21"/>
              </w:rPr>
              <w:t>生活饮用水水源保护区、风景名胜区、自然保护区的核心区及缓冲区</w:t>
            </w:r>
            <w:r>
              <w:rPr>
                <w:rFonts w:ascii="Times New Roman" w:cs="Times New Roman"/>
                <w:color w:val="auto"/>
                <w:sz w:val="21"/>
                <w:szCs w:val="21"/>
              </w:rPr>
              <w:t>建设畜禽养殖场、养殖小区。</w:t>
            </w:r>
          </w:p>
        </w:tc>
        <w:tc>
          <w:tcPr>
            <w:tcW w:w="2909" w:type="dxa"/>
            <w:vAlign w:val="center"/>
          </w:tcPr>
          <w:p w14:paraId="3A0C7C1A">
            <w:pPr>
              <w:pStyle w:val="149"/>
              <w:jc w:val="center"/>
              <w:rPr>
                <w:rFonts w:ascii="Times New Roman" w:cs="Times New Roman"/>
                <w:color w:val="auto"/>
                <w:sz w:val="21"/>
                <w:szCs w:val="21"/>
              </w:rPr>
            </w:pPr>
            <w:r>
              <w:rPr>
                <w:rFonts w:ascii="Times New Roman" w:cs="Times New Roman"/>
                <w:color w:val="auto"/>
                <w:sz w:val="21"/>
                <w:szCs w:val="21"/>
              </w:rPr>
              <w:t>本项目不在</w:t>
            </w:r>
            <w:r>
              <w:rPr>
                <w:rFonts w:ascii="Times New Roman" w:cs="Times New Roman"/>
                <w:bCs/>
                <w:color w:val="auto"/>
                <w:kern w:val="21"/>
                <w:sz w:val="21"/>
                <w:szCs w:val="21"/>
              </w:rPr>
              <w:t>生活饮用水水源保护区、风景名胜区、自然保护区的核心区及缓冲区</w:t>
            </w:r>
            <w:r>
              <w:rPr>
                <w:rFonts w:ascii="Times New Roman" w:cs="Times New Roman"/>
                <w:color w:val="auto"/>
                <w:sz w:val="21"/>
                <w:szCs w:val="21"/>
              </w:rPr>
              <w:t>内。</w:t>
            </w:r>
          </w:p>
        </w:tc>
        <w:tc>
          <w:tcPr>
            <w:tcW w:w="915" w:type="dxa"/>
            <w:vAlign w:val="center"/>
          </w:tcPr>
          <w:p w14:paraId="243E47CF">
            <w:pPr>
              <w:jc w:val="center"/>
              <w:rPr>
                <w:bCs/>
                <w:color w:val="auto"/>
                <w:kern w:val="21"/>
                <w:szCs w:val="21"/>
              </w:rPr>
            </w:pPr>
            <w:r>
              <w:rPr>
                <w:bCs/>
                <w:color w:val="auto"/>
                <w:kern w:val="21"/>
                <w:szCs w:val="21"/>
              </w:rPr>
              <w:t>符合</w:t>
            </w:r>
          </w:p>
        </w:tc>
      </w:tr>
      <w:tr w14:paraId="60A26F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8" w:type="dxa"/>
            <w:vAlign w:val="center"/>
          </w:tcPr>
          <w:p w14:paraId="2DFF24DD">
            <w:pPr>
              <w:jc w:val="center"/>
              <w:rPr>
                <w:bCs/>
                <w:color w:val="auto"/>
                <w:kern w:val="21"/>
                <w:szCs w:val="21"/>
              </w:rPr>
            </w:pPr>
            <w:r>
              <w:rPr>
                <w:bCs/>
                <w:color w:val="auto"/>
                <w:kern w:val="21"/>
                <w:szCs w:val="21"/>
              </w:rPr>
              <w:t>2</w:t>
            </w:r>
          </w:p>
        </w:tc>
        <w:tc>
          <w:tcPr>
            <w:tcW w:w="4019" w:type="dxa"/>
            <w:vAlign w:val="center"/>
          </w:tcPr>
          <w:p w14:paraId="134A6BB8">
            <w:pPr>
              <w:pStyle w:val="149"/>
              <w:jc w:val="center"/>
              <w:rPr>
                <w:rFonts w:ascii="Times New Roman" w:cs="Times New Roman"/>
                <w:color w:val="auto"/>
                <w:sz w:val="21"/>
                <w:szCs w:val="21"/>
              </w:rPr>
            </w:pPr>
            <w:r>
              <w:rPr>
                <w:rFonts w:ascii="Times New Roman" w:cs="Times New Roman"/>
                <w:color w:val="auto"/>
                <w:sz w:val="21"/>
                <w:szCs w:val="21"/>
              </w:rPr>
              <w:t>禁止在</w:t>
            </w:r>
            <w:r>
              <w:rPr>
                <w:rFonts w:ascii="Times New Roman" w:cs="Times New Roman"/>
                <w:bCs/>
                <w:color w:val="auto"/>
                <w:sz w:val="21"/>
                <w:szCs w:val="21"/>
              </w:rPr>
              <w:t>城市和城镇居民区，包括文教科研区、医疗区、商业区、工业区、游览区等人口集中地区</w:t>
            </w:r>
            <w:r>
              <w:rPr>
                <w:rFonts w:ascii="Times New Roman" w:cs="Times New Roman"/>
                <w:color w:val="auto"/>
                <w:sz w:val="21"/>
                <w:szCs w:val="21"/>
              </w:rPr>
              <w:t>建设畜禽养殖场、养殖小区。</w:t>
            </w:r>
          </w:p>
        </w:tc>
        <w:tc>
          <w:tcPr>
            <w:tcW w:w="2909" w:type="dxa"/>
            <w:vAlign w:val="center"/>
          </w:tcPr>
          <w:p w14:paraId="26CF8B0B">
            <w:pPr>
              <w:pStyle w:val="149"/>
              <w:jc w:val="center"/>
              <w:rPr>
                <w:rFonts w:ascii="Times New Roman" w:cs="Times New Roman"/>
                <w:color w:val="auto"/>
                <w:sz w:val="21"/>
                <w:szCs w:val="21"/>
              </w:rPr>
            </w:pPr>
            <w:r>
              <w:rPr>
                <w:rFonts w:ascii="Times New Roman" w:cs="Times New Roman"/>
                <w:color w:val="auto"/>
                <w:sz w:val="21"/>
                <w:szCs w:val="21"/>
              </w:rPr>
              <w:t>本项目不在</w:t>
            </w:r>
            <w:r>
              <w:rPr>
                <w:rFonts w:ascii="Times New Roman" w:cs="Times New Roman"/>
                <w:bCs/>
                <w:color w:val="auto"/>
                <w:sz w:val="21"/>
                <w:szCs w:val="21"/>
              </w:rPr>
              <w:t>城市和城镇居民区，包括文教科研区、医疗区、商业区、工业区、游览区等人口集中地区</w:t>
            </w:r>
            <w:r>
              <w:rPr>
                <w:rFonts w:ascii="Times New Roman" w:cs="Times New Roman"/>
                <w:color w:val="auto"/>
                <w:sz w:val="21"/>
                <w:szCs w:val="21"/>
              </w:rPr>
              <w:t>内。</w:t>
            </w:r>
          </w:p>
        </w:tc>
        <w:tc>
          <w:tcPr>
            <w:tcW w:w="915" w:type="dxa"/>
            <w:vAlign w:val="center"/>
          </w:tcPr>
          <w:p w14:paraId="22C81633">
            <w:pPr>
              <w:jc w:val="center"/>
              <w:rPr>
                <w:bCs/>
                <w:color w:val="auto"/>
                <w:kern w:val="21"/>
                <w:szCs w:val="21"/>
              </w:rPr>
            </w:pPr>
            <w:r>
              <w:rPr>
                <w:bCs/>
                <w:color w:val="auto"/>
                <w:kern w:val="21"/>
                <w:szCs w:val="21"/>
              </w:rPr>
              <w:t>符合</w:t>
            </w:r>
          </w:p>
        </w:tc>
      </w:tr>
      <w:tr w14:paraId="5676F6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8" w:type="dxa"/>
            <w:vAlign w:val="center"/>
          </w:tcPr>
          <w:p w14:paraId="6F7B905E">
            <w:pPr>
              <w:jc w:val="center"/>
              <w:rPr>
                <w:bCs/>
                <w:color w:val="auto"/>
                <w:kern w:val="21"/>
                <w:szCs w:val="21"/>
              </w:rPr>
            </w:pPr>
            <w:r>
              <w:rPr>
                <w:bCs/>
                <w:color w:val="auto"/>
                <w:kern w:val="21"/>
                <w:szCs w:val="21"/>
              </w:rPr>
              <w:t>3</w:t>
            </w:r>
          </w:p>
        </w:tc>
        <w:tc>
          <w:tcPr>
            <w:tcW w:w="4019" w:type="dxa"/>
            <w:vAlign w:val="center"/>
          </w:tcPr>
          <w:p w14:paraId="30B154E2">
            <w:pPr>
              <w:pStyle w:val="149"/>
              <w:jc w:val="center"/>
              <w:rPr>
                <w:rFonts w:ascii="Times New Roman" w:cs="Times New Roman"/>
                <w:color w:val="auto"/>
                <w:sz w:val="21"/>
                <w:szCs w:val="21"/>
              </w:rPr>
            </w:pPr>
            <w:r>
              <w:rPr>
                <w:rFonts w:ascii="Times New Roman" w:cs="Times New Roman"/>
                <w:color w:val="auto"/>
                <w:sz w:val="21"/>
                <w:szCs w:val="21"/>
              </w:rPr>
              <w:t>禁止在</w:t>
            </w:r>
            <w:r>
              <w:rPr>
                <w:rFonts w:ascii="Times New Roman" w:cs="Times New Roman"/>
                <w:bCs/>
                <w:color w:val="auto"/>
                <w:sz w:val="21"/>
                <w:szCs w:val="21"/>
              </w:rPr>
              <w:t>县级人民政府依法划定的禁养区域</w:t>
            </w:r>
            <w:r>
              <w:rPr>
                <w:rFonts w:ascii="Times New Roman" w:cs="Times New Roman"/>
                <w:color w:val="auto"/>
                <w:sz w:val="21"/>
                <w:szCs w:val="21"/>
              </w:rPr>
              <w:t>建设畜禽养殖场、养殖小区。</w:t>
            </w:r>
          </w:p>
        </w:tc>
        <w:tc>
          <w:tcPr>
            <w:tcW w:w="2909" w:type="dxa"/>
            <w:vAlign w:val="center"/>
          </w:tcPr>
          <w:p w14:paraId="3740F54B">
            <w:pPr>
              <w:pStyle w:val="149"/>
              <w:jc w:val="center"/>
              <w:rPr>
                <w:rFonts w:ascii="Times New Roman" w:cs="Times New Roman"/>
                <w:color w:val="auto"/>
                <w:sz w:val="21"/>
                <w:szCs w:val="21"/>
              </w:rPr>
            </w:pPr>
            <w:r>
              <w:rPr>
                <w:rFonts w:ascii="Times New Roman" w:cs="Times New Roman"/>
                <w:color w:val="auto"/>
                <w:sz w:val="21"/>
                <w:szCs w:val="21"/>
              </w:rPr>
              <w:t>本项目不在</w:t>
            </w:r>
            <w:r>
              <w:rPr>
                <w:rFonts w:ascii="Times New Roman" w:cs="Times New Roman"/>
                <w:bCs/>
                <w:color w:val="auto"/>
                <w:sz w:val="21"/>
                <w:szCs w:val="21"/>
              </w:rPr>
              <w:t>县级人民政府</w:t>
            </w:r>
            <w:r>
              <w:rPr>
                <w:rFonts w:hint="eastAsia" w:ascii="Times New Roman" w:cs="Times New Roman"/>
                <w:bCs/>
                <w:color w:val="auto"/>
                <w:sz w:val="21"/>
                <w:szCs w:val="21"/>
                <w:lang w:eastAsia="zh-CN"/>
              </w:rPr>
              <w:t>（北票市）</w:t>
            </w:r>
            <w:r>
              <w:rPr>
                <w:rFonts w:ascii="Times New Roman" w:cs="Times New Roman"/>
                <w:bCs/>
                <w:color w:val="auto"/>
                <w:sz w:val="21"/>
                <w:szCs w:val="21"/>
              </w:rPr>
              <w:t>依法划定的禁养区域内</w:t>
            </w:r>
            <w:r>
              <w:rPr>
                <w:rFonts w:ascii="Times New Roman" w:cs="Times New Roman"/>
                <w:color w:val="auto"/>
                <w:sz w:val="21"/>
                <w:szCs w:val="21"/>
              </w:rPr>
              <w:t>。</w:t>
            </w:r>
          </w:p>
        </w:tc>
        <w:tc>
          <w:tcPr>
            <w:tcW w:w="915" w:type="dxa"/>
            <w:vAlign w:val="center"/>
          </w:tcPr>
          <w:p w14:paraId="4BC86A79">
            <w:pPr>
              <w:jc w:val="center"/>
              <w:rPr>
                <w:bCs/>
                <w:color w:val="auto"/>
                <w:kern w:val="21"/>
                <w:szCs w:val="21"/>
              </w:rPr>
            </w:pPr>
            <w:r>
              <w:rPr>
                <w:bCs/>
                <w:color w:val="auto"/>
                <w:kern w:val="21"/>
                <w:szCs w:val="21"/>
              </w:rPr>
              <w:t>符合</w:t>
            </w:r>
          </w:p>
        </w:tc>
      </w:tr>
      <w:tr w14:paraId="5E1FF38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8" w:type="dxa"/>
            <w:vAlign w:val="center"/>
          </w:tcPr>
          <w:p w14:paraId="4A8D5CC5">
            <w:pPr>
              <w:jc w:val="center"/>
              <w:rPr>
                <w:bCs/>
                <w:color w:val="auto"/>
                <w:kern w:val="21"/>
                <w:szCs w:val="21"/>
              </w:rPr>
            </w:pPr>
            <w:r>
              <w:rPr>
                <w:bCs/>
                <w:color w:val="auto"/>
                <w:kern w:val="21"/>
                <w:szCs w:val="21"/>
              </w:rPr>
              <w:t>4</w:t>
            </w:r>
          </w:p>
        </w:tc>
        <w:tc>
          <w:tcPr>
            <w:tcW w:w="4019" w:type="dxa"/>
            <w:vAlign w:val="center"/>
          </w:tcPr>
          <w:p w14:paraId="60B7E4E9">
            <w:pPr>
              <w:pStyle w:val="149"/>
              <w:jc w:val="center"/>
              <w:rPr>
                <w:rFonts w:ascii="Times New Roman" w:cs="Times New Roman"/>
                <w:color w:val="auto"/>
                <w:sz w:val="21"/>
                <w:szCs w:val="21"/>
              </w:rPr>
            </w:pPr>
            <w:r>
              <w:rPr>
                <w:rFonts w:ascii="Times New Roman" w:cs="Times New Roman"/>
                <w:color w:val="auto"/>
                <w:sz w:val="21"/>
                <w:szCs w:val="21"/>
              </w:rPr>
              <w:t>禁止在</w:t>
            </w:r>
            <w:r>
              <w:rPr>
                <w:rFonts w:ascii="Times New Roman" w:cs="Times New Roman"/>
                <w:bCs/>
                <w:color w:val="auto"/>
                <w:sz w:val="21"/>
                <w:szCs w:val="21"/>
              </w:rPr>
              <w:t>国家或地方法律、法规规定需特殊保护的其它区域</w:t>
            </w:r>
            <w:r>
              <w:rPr>
                <w:rFonts w:ascii="Times New Roman" w:cs="Times New Roman"/>
                <w:color w:val="auto"/>
                <w:sz w:val="21"/>
                <w:szCs w:val="21"/>
              </w:rPr>
              <w:t>建设畜禽养殖场、养殖小区。</w:t>
            </w:r>
          </w:p>
        </w:tc>
        <w:tc>
          <w:tcPr>
            <w:tcW w:w="2909" w:type="dxa"/>
            <w:vAlign w:val="center"/>
          </w:tcPr>
          <w:p w14:paraId="5436987B">
            <w:pPr>
              <w:pStyle w:val="149"/>
              <w:jc w:val="center"/>
              <w:rPr>
                <w:rFonts w:ascii="Times New Roman" w:cs="Times New Roman"/>
                <w:color w:val="auto"/>
                <w:sz w:val="21"/>
                <w:szCs w:val="21"/>
              </w:rPr>
            </w:pPr>
            <w:r>
              <w:rPr>
                <w:rFonts w:ascii="Times New Roman" w:cs="Times New Roman"/>
                <w:color w:val="auto"/>
                <w:sz w:val="21"/>
                <w:szCs w:val="21"/>
              </w:rPr>
              <w:t>本项目不在</w:t>
            </w:r>
            <w:r>
              <w:rPr>
                <w:rFonts w:ascii="Times New Roman" w:cs="Times New Roman"/>
                <w:bCs/>
                <w:color w:val="auto"/>
                <w:sz w:val="21"/>
                <w:szCs w:val="21"/>
              </w:rPr>
              <w:t>国家或地方法律、法规规定需特殊保护的其它区域</w:t>
            </w:r>
            <w:r>
              <w:rPr>
                <w:rFonts w:ascii="Times New Roman" w:cs="Times New Roman"/>
                <w:color w:val="auto"/>
                <w:sz w:val="21"/>
                <w:szCs w:val="21"/>
              </w:rPr>
              <w:t>。</w:t>
            </w:r>
          </w:p>
        </w:tc>
        <w:tc>
          <w:tcPr>
            <w:tcW w:w="915" w:type="dxa"/>
            <w:vAlign w:val="center"/>
          </w:tcPr>
          <w:p w14:paraId="5FD80C91">
            <w:pPr>
              <w:jc w:val="center"/>
              <w:rPr>
                <w:bCs/>
                <w:color w:val="auto"/>
                <w:kern w:val="21"/>
                <w:szCs w:val="21"/>
              </w:rPr>
            </w:pPr>
            <w:r>
              <w:rPr>
                <w:bCs/>
                <w:color w:val="auto"/>
                <w:kern w:val="21"/>
                <w:szCs w:val="21"/>
              </w:rPr>
              <w:t>符合</w:t>
            </w:r>
          </w:p>
        </w:tc>
      </w:tr>
      <w:tr w14:paraId="2EE8ECF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8" w:type="dxa"/>
            <w:vAlign w:val="center"/>
          </w:tcPr>
          <w:p w14:paraId="57EE9818">
            <w:pPr>
              <w:jc w:val="center"/>
              <w:rPr>
                <w:bCs/>
                <w:color w:val="auto"/>
                <w:kern w:val="21"/>
                <w:szCs w:val="21"/>
              </w:rPr>
            </w:pPr>
            <w:r>
              <w:rPr>
                <w:bCs/>
                <w:color w:val="auto"/>
                <w:kern w:val="21"/>
                <w:szCs w:val="21"/>
              </w:rPr>
              <w:t>5</w:t>
            </w:r>
          </w:p>
        </w:tc>
        <w:tc>
          <w:tcPr>
            <w:tcW w:w="4019" w:type="dxa"/>
            <w:vAlign w:val="center"/>
          </w:tcPr>
          <w:p w14:paraId="75B5DF92">
            <w:pPr>
              <w:pStyle w:val="149"/>
              <w:jc w:val="center"/>
              <w:rPr>
                <w:rFonts w:ascii="Times New Roman" w:cs="Times New Roman"/>
                <w:color w:val="auto"/>
                <w:sz w:val="21"/>
                <w:szCs w:val="21"/>
              </w:rPr>
            </w:pPr>
            <w:r>
              <w:rPr>
                <w:rFonts w:ascii="Times New Roman" w:cs="Times New Roman"/>
                <w:color w:val="auto"/>
                <w:sz w:val="21"/>
                <w:szCs w:val="21"/>
              </w:rPr>
              <w:t>畜禽粪便贮存设施的位置必须远离各类功能地表水体（距离不得小于400m），并应设在养殖场生产及生活管理区的常年主导风向的下风向或侧风向处。</w:t>
            </w:r>
          </w:p>
        </w:tc>
        <w:tc>
          <w:tcPr>
            <w:tcW w:w="2909" w:type="dxa"/>
            <w:vAlign w:val="center"/>
          </w:tcPr>
          <w:p w14:paraId="7118D8CF">
            <w:pPr>
              <w:pStyle w:val="149"/>
              <w:jc w:val="center"/>
              <w:rPr>
                <w:rFonts w:hint="eastAsia" w:ascii="Times New Roman" w:eastAsia="宋体" w:cs="Times New Roman"/>
                <w:color w:val="auto"/>
                <w:sz w:val="21"/>
                <w:szCs w:val="21"/>
                <w:lang w:eastAsia="zh-CN"/>
              </w:rPr>
            </w:pPr>
            <w:r>
              <w:rPr>
                <w:rFonts w:ascii="Times New Roman" w:hAnsi="Times New Roman" w:cs="Times New Roman"/>
                <w:bCs/>
                <w:color w:val="auto"/>
                <w:kern w:val="21"/>
                <w:sz w:val="21"/>
                <w:szCs w:val="21"/>
              </w:rPr>
              <w:t>本项目</w:t>
            </w:r>
            <w:r>
              <w:rPr>
                <w:rFonts w:hint="eastAsia" w:ascii="Times New Roman" w:hAnsi="Times New Roman" w:cs="Times New Roman"/>
                <w:color w:val="auto"/>
                <w:kern w:val="0"/>
                <w:sz w:val="21"/>
                <w:szCs w:val="21"/>
                <w:lang w:eastAsia="zh-CN"/>
              </w:rPr>
              <w:t>临时储粪场</w:t>
            </w:r>
            <w:r>
              <w:rPr>
                <w:rFonts w:ascii="Times New Roman" w:hAnsi="Times New Roman" w:cs="Times New Roman"/>
                <w:color w:val="auto"/>
                <w:kern w:val="0"/>
                <w:sz w:val="21"/>
                <w:szCs w:val="21"/>
              </w:rPr>
              <w:t>位于生产区</w:t>
            </w:r>
            <w:r>
              <w:rPr>
                <w:rFonts w:hint="eastAsia" w:ascii="Times New Roman" w:hAnsi="Times New Roman" w:cs="Times New Roman"/>
                <w:color w:val="auto"/>
                <w:kern w:val="0"/>
                <w:sz w:val="21"/>
                <w:szCs w:val="21"/>
                <w:lang w:eastAsia="zh-CN"/>
              </w:rPr>
              <w:t>北</w:t>
            </w:r>
            <w:r>
              <w:rPr>
                <w:rFonts w:ascii="Times New Roman" w:hAnsi="Times New Roman" w:cs="Times New Roman"/>
                <w:color w:val="auto"/>
                <w:kern w:val="0"/>
                <w:sz w:val="21"/>
                <w:szCs w:val="21"/>
              </w:rPr>
              <w:t>侧，即常年主导风向的</w:t>
            </w:r>
            <w:r>
              <w:rPr>
                <w:rFonts w:hint="eastAsia" w:ascii="Times New Roman" w:hAnsi="Times New Roman" w:cs="Times New Roman"/>
                <w:color w:val="auto"/>
                <w:kern w:val="0"/>
                <w:sz w:val="21"/>
                <w:szCs w:val="21"/>
                <w:lang w:eastAsia="zh-CN"/>
              </w:rPr>
              <w:t>下</w:t>
            </w:r>
            <w:r>
              <w:rPr>
                <w:rFonts w:ascii="Times New Roman" w:hAnsi="Times New Roman" w:cs="Times New Roman"/>
                <w:color w:val="auto"/>
                <w:kern w:val="0"/>
                <w:sz w:val="21"/>
                <w:szCs w:val="21"/>
              </w:rPr>
              <w:t>风向</w:t>
            </w:r>
            <w:r>
              <w:rPr>
                <w:rFonts w:hint="eastAsia" w:ascii="Times New Roman" w:hAnsi="Times New Roman" w:cs="Times New Roman"/>
                <w:color w:val="auto"/>
                <w:kern w:val="0"/>
                <w:sz w:val="21"/>
                <w:szCs w:val="21"/>
                <w:lang w:eastAsia="zh-CN"/>
              </w:rPr>
              <w:t>；本项目厂界四周</w:t>
            </w:r>
            <w:r>
              <w:rPr>
                <w:rFonts w:hint="eastAsia" w:ascii="Times New Roman" w:hAnsi="Times New Roman" w:cs="Times New Roman"/>
                <w:color w:val="auto"/>
                <w:kern w:val="0"/>
                <w:sz w:val="21"/>
                <w:szCs w:val="21"/>
                <w:lang w:val="en-US" w:eastAsia="zh-CN"/>
              </w:rPr>
              <w:t>400m范围内无明显地表水体</w:t>
            </w:r>
            <w:r>
              <w:rPr>
                <w:rFonts w:hint="eastAsia" w:ascii="Times New Roman" w:hAnsi="Times New Roman" w:cs="Times New Roman"/>
                <w:color w:val="auto"/>
                <w:kern w:val="0"/>
                <w:sz w:val="21"/>
                <w:szCs w:val="21"/>
                <w:lang w:eastAsia="zh-CN"/>
              </w:rPr>
              <w:t>，粪便贮存设施选址符合要求</w:t>
            </w:r>
            <w:r>
              <w:rPr>
                <w:rFonts w:hint="eastAsia" w:ascii="Times New Roman" w:hAnsi="Times New Roman" w:cs="Times New Roman"/>
                <w:color w:val="auto"/>
                <w:kern w:val="0"/>
                <w:sz w:val="21"/>
                <w:szCs w:val="21"/>
                <w:lang w:val="en-US" w:eastAsia="zh-CN"/>
              </w:rPr>
              <w:t>。</w:t>
            </w:r>
          </w:p>
        </w:tc>
        <w:tc>
          <w:tcPr>
            <w:tcW w:w="915" w:type="dxa"/>
            <w:vAlign w:val="center"/>
          </w:tcPr>
          <w:p w14:paraId="29F6EC2B">
            <w:pPr>
              <w:jc w:val="center"/>
              <w:rPr>
                <w:bCs/>
                <w:color w:val="auto"/>
                <w:kern w:val="21"/>
                <w:szCs w:val="21"/>
              </w:rPr>
            </w:pPr>
            <w:r>
              <w:rPr>
                <w:bCs/>
                <w:color w:val="auto"/>
                <w:kern w:val="21"/>
                <w:szCs w:val="21"/>
              </w:rPr>
              <w:t>符合</w:t>
            </w:r>
          </w:p>
        </w:tc>
      </w:tr>
    </w:tbl>
    <w:p w14:paraId="5A5DBF18">
      <w:pPr>
        <w:spacing w:line="360" w:lineRule="auto"/>
        <w:ind w:firstLine="482" w:firstLineChars="200"/>
        <w:jc w:val="left"/>
        <w:rPr>
          <w:b/>
          <w:color w:val="auto"/>
          <w:kern w:val="21"/>
          <w:sz w:val="24"/>
        </w:rPr>
      </w:pPr>
      <w:r>
        <w:rPr>
          <w:rFonts w:hint="eastAsia"/>
          <w:b/>
          <w:color w:val="auto"/>
          <w:kern w:val="21"/>
          <w:sz w:val="24"/>
        </w:rPr>
        <w:t>2</w:t>
      </w:r>
      <w:r>
        <w:rPr>
          <w:b/>
          <w:color w:val="auto"/>
          <w:kern w:val="21"/>
          <w:sz w:val="24"/>
        </w:rPr>
        <w:t>）与《畜禽养殖业污染治理工程技术规范》（HJ497-2009）中选址要求相符性见下表</w:t>
      </w:r>
    </w:p>
    <w:p w14:paraId="441A2113">
      <w:pPr>
        <w:pStyle w:val="125"/>
        <w:spacing w:line="240" w:lineRule="auto"/>
        <w:ind w:firstLine="413" w:firstLineChars="196"/>
        <w:jc w:val="center"/>
        <w:rPr>
          <w:b/>
          <w:color w:val="auto"/>
          <w:sz w:val="21"/>
          <w:szCs w:val="21"/>
        </w:rPr>
      </w:pPr>
      <w:r>
        <w:rPr>
          <w:b/>
          <w:color w:val="auto"/>
          <w:sz w:val="21"/>
          <w:szCs w:val="21"/>
        </w:rPr>
        <w:t>表1</w:t>
      </w:r>
      <w:r>
        <w:rPr>
          <w:rFonts w:hint="eastAsia"/>
          <w:b/>
          <w:color w:val="auto"/>
          <w:sz w:val="21"/>
          <w:szCs w:val="21"/>
          <w:lang w:val="en-US" w:eastAsia="zh-CN"/>
        </w:rPr>
        <w:t>.5-2</w:t>
      </w:r>
      <w:r>
        <w:rPr>
          <w:rFonts w:hint="eastAsia"/>
          <w:b/>
          <w:color w:val="auto"/>
          <w:sz w:val="21"/>
          <w:szCs w:val="21"/>
        </w:rPr>
        <w:t xml:space="preserve">  </w:t>
      </w:r>
      <w:r>
        <w:rPr>
          <w:b/>
          <w:color w:val="auto"/>
          <w:sz w:val="21"/>
          <w:szCs w:val="21"/>
        </w:rPr>
        <w:t xml:space="preserve">  本项目与《畜禽养殖业污染治理工程技术规范》对照表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8"/>
        <w:gridCol w:w="3780"/>
        <w:gridCol w:w="3240"/>
        <w:gridCol w:w="860"/>
      </w:tblGrid>
      <w:tr w14:paraId="644FF2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Align w:val="center"/>
          </w:tcPr>
          <w:p w14:paraId="5E53024B">
            <w:pPr>
              <w:spacing w:line="240" w:lineRule="auto"/>
              <w:jc w:val="center"/>
              <w:rPr>
                <w:bCs/>
                <w:color w:val="auto"/>
                <w:kern w:val="21"/>
                <w:szCs w:val="21"/>
              </w:rPr>
            </w:pPr>
            <w:r>
              <w:rPr>
                <w:bCs/>
                <w:color w:val="auto"/>
                <w:kern w:val="21"/>
                <w:szCs w:val="21"/>
              </w:rPr>
              <w:t>序号</w:t>
            </w:r>
          </w:p>
        </w:tc>
        <w:tc>
          <w:tcPr>
            <w:tcW w:w="3780" w:type="dxa"/>
            <w:vAlign w:val="center"/>
          </w:tcPr>
          <w:p w14:paraId="4E6E92F5">
            <w:pPr>
              <w:pStyle w:val="149"/>
              <w:jc w:val="center"/>
              <w:rPr>
                <w:rFonts w:ascii="Times New Roman" w:cs="Times New Roman"/>
                <w:color w:val="auto"/>
                <w:sz w:val="21"/>
                <w:szCs w:val="21"/>
              </w:rPr>
            </w:pPr>
            <w:r>
              <w:rPr>
                <w:rFonts w:ascii="Times New Roman" w:cs="Times New Roman"/>
                <w:color w:val="auto"/>
                <w:sz w:val="21"/>
                <w:szCs w:val="21"/>
              </w:rPr>
              <w:t>《畜禽养殖业污染治理工程技术规范》中要求</w:t>
            </w:r>
          </w:p>
        </w:tc>
        <w:tc>
          <w:tcPr>
            <w:tcW w:w="3240" w:type="dxa"/>
            <w:vAlign w:val="center"/>
          </w:tcPr>
          <w:p w14:paraId="52989F2A">
            <w:pPr>
              <w:pStyle w:val="149"/>
              <w:jc w:val="center"/>
              <w:rPr>
                <w:rFonts w:ascii="Times New Roman" w:cs="Times New Roman"/>
                <w:color w:val="auto"/>
                <w:sz w:val="21"/>
                <w:szCs w:val="21"/>
              </w:rPr>
            </w:pPr>
            <w:r>
              <w:rPr>
                <w:rFonts w:ascii="Times New Roman" w:cs="Times New Roman"/>
                <w:color w:val="auto"/>
                <w:sz w:val="21"/>
                <w:szCs w:val="21"/>
              </w:rPr>
              <w:t>本项目实际建设内容</w:t>
            </w:r>
          </w:p>
        </w:tc>
        <w:tc>
          <w:tcPr>
            <w:tcW w:w="860" w:type="dxa"/>
            <w:vAlign w:val="center"/>
          </w:tcPr>
          <w:p w14:paraId="5AC1B62A">
            <w:pPr>
              <w:pStyle w:val="149"/>
              <w:jc w:val="center"/>
              <w:rPr>
                <w:rFonts w:ascii="Times New Roman" w:cs="Times New Roman"/>
                <w:color w:val="auto"/>
                <w:sz w:val="21"/>
                <w:szCs w:val="21"/>
              </w:rPr>
            </w:pPr>
            <w:r>
              <w:rPr>
                <w:rFonts w:ascii="Times New Roman" w:cs="Times New Roman"/>
                <w:color w:val="auto"/>
                <w:sz w:val="21"/>
                <w:szCs w:val="21"/>
              </w:rPr>
              <w:t>符合性</w:t>
            </w:r>
          </w:p>
        </w:tc>
      </w:tr>
      <w:tr w14:paraId="7B5014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Align w:val="center"/>
          </w:tcPr>
          <w:p w14:paraId="57B71EA0">
            <w:pPr>
              <w:spacing w:line="360" w:lineRule="auto"/>
              <w:jc w:val="center"/>
              <w:rPr>
                <w:bCs/>
                <w:color w:val="auto"/>
                <w:kern w:val="21"/>
                <w:szCs w:val="21"/>
              </w:rPr>
            </w:pPr>
            <w:r>
              <w:rPr>
                <w:bCs/>
                <w:color w:val="auto"/>
                <w:kern w:val="21"/>
                <w:szCs w:val="21"/>
              </w:rPr>
              <w:t>1</w:t>
            </w:r>
          </w:p>
        </w:tc>
        <w:tc>
          <w:tcPr>
            <w:tcW w:w="3780" w:type="dxa"/>
            <w:vAlign w:val="center"/>
          </w:tcPr>
          <w:p w14:paraId="152367CB">
            <w:pPr>
              <w:pStyle w:val="149"/>
              <w:jc w:val="center"/>
              <w:rPr>
                <w:rFonts w:hint="eastAsia" w:ascii="Times New Roman" w:eastAsia="宋体" w:cs="Times New Roman"/>
                <w:color w:val="auto"/>
                <w:sz w:val="21"/>
                <w:szCs w:val="21"/>
                <w:lang w:eastAsia="zh-CN"/>
              </w:rPr>
            </w:pPr>
            <w:r>
              <w:rPr>
                <w:rFonts w:ascii="Times New Roman" w:cs="Times New Roman"/>
                <w:color w:val="auto"/>
                <w:sz w:val="21"/>
                <w:szCs w:val="21"/>
              </w:rPr>
              <w:t>畜禽养殖业污染治理工程与养殖场生产区、居民区等建筑保持一定的卫生防护距离，设置在畜禽养殖场的生产区、生活区主导风向的下风向或侧风向处</w:t>
            </w:r>
            <w:r>
              <w:rPr>
                <w:rFonts w:hint="eastAsia" w:ascii="Times New Roman" w:cs="Times New Roman"/>
                <w:color w:val="auto"/>
                <w:sz w:val="21"/>
                <w:szCs w:val="21"/>
                <w:lang w:eastAsia="zh-CN"/>
              </w:rPr>
              <w:t>。</w:t>
            </w:r>
          </w:p>
        </w:tc>
        <w:tc>
          <w:tcPr>
            <w:tcW w:w="3240" w:type="dxa"/>
            <w:vAlign w:val="center"/>
          </w:tcPr>
          <w:p w14:paraId="2D08655A">
            <w:pPr>
              <w:pStyle w:val="149"/>
              <w:jc w:val="center"/>
              <w:rPr>
                <w:rFonts w:hint="eastAsia" w:ascii="Times New Roman" w:eastAsia="宋体" w:cs="Times New Roman"/>
                <w:color w:val="auto"/>
                <w:sz w:val="21"/>
                <w:szCs w:val="21"/>
                <w:lang w:eastAsia="zh-CN"/>
              </w:rPr>
            </w:pPr>
            <w:r>
              <w:rPr>
                <w:rFonts w:ascii="Times New Roman" w:hAnsi="Times New Roman" w:cs="Times New Roman"/>
                <w:color w:val="auto"/>
                <w:sz w:val="21"/>
                <w:szCs w:val="21"/>
                <w:highlight w:val="none"/>
              </w:rPr>
              <w:t>本项目设置</w:t>
            </w:r>
            <w:r>
              <w:rPr>
                <w:rFonts w:hint="eastAsia" w:ascii="Times New Roman" w:hAnsi="Times New Roman" w:cs="Times New Roman"/>
                <w:color w:val="auto"/>
                <w:sz w:val="21"/>
                <w:szCs w:val="21"/>
                <w:highlight w:val="none"/>
                <w:lang w:val="en-US" w:eastAsia="zh-CN"/>
              </w:rPr>
              <w:t>5</w:t>
            </w:r>
            <w:r>
              <w:rPr>
                <w:rFonts w:ascii="Times New Roman" w:hAnsi="Times New Roman" w:cs="Times New Roman"/>
                <w:color w:val="auto"/>
                <w:sz w:val="21"/>
                <w:szCs w:val="21"/>
                <w:highlight w:val="none"/>
              </w:rPr>
              <w:t>00m卫生防护距离</w:t>
            </w:r>
            <w:r>
              <w:rPr>
                <w:rFonts w:hint="eastAsia" w:ascii="Times New Roman" w:hAnsi="Times New Roman" w:cs="Times New Roman"/>
                <w:color w:val="auto"/>
                <w:sz w:val="21"/>
                <w:szCs w:val="21"/>
                <w:highlight w:val="none"/>
              </w:rPr>
              <w:t>，</w:t>
            </w:r>
            <w:r>
              <w:rPr>
                <w:rFonts w:ascii="Times New Roman" w:hAnsi="Times New Roman" w:cs="Times New Roman"/>
                <w:color w:val="auto"/>
                <w:spacing w:val="4"/>
                <w:sz w:val="21"/>
                <w:szCs w:val="21"/>
              </w:rPr>
              <w:t>自蛋鸡舍1#~</w:t>
            </w:r>
            <w:r>
              <w:rPr>
                <w:rFonts w:hint="eastAsia" w:ascii="Times New Roman" w:hAnsi="Times New Roman" w:cs="Times New Roman"/>
                <w:color w:val="auto"/>
                <w:spacing w:val="4"/>
                <w:sz w:val="21"/>
                <w:szCs w:val="21"/>
                <w:lang w:val="en-US" w:eastAsia="zh-CN"/>
              </w:rPr>
              <w:t>8</w:t>
            </w:r>
            <w:r>
              <w:rPr>
                <w:rFonts w:ascii="Times New Roman" w:hAnsi="Times New Roman" w:cs="Times New Roman"/>
                <w:color w:val="auto"/>
                <w:spacing w:val="4"/>
                <w:sz w:val="21"/>
                <w:szCs w:val="21"/>
              </w:rPr>
              <w:t>#和</w:t>
            </w:r>
            <w:r>
              <w:rPr>
                <w:rFonts w:hint="eastAsia" w:ascii="Times New Roman" w:hAnsi="Times New Roman" w:cs="Times New Roman"/>
                <w:color w:val="auto"/>
                <w:spacing w:val="4"/>
                <w:sz w:val="21"/>
                <w:szCs w:val="21"/>
                <w:lang w:eastAsia="zh-CN"/>
              </w:rPr>
              <w:t>临时储粪场</w:t>
            </w:r>
            <w:r>
              <w:rPr>
                <w:rFonts w:ascii="Times New Roman" w:hAnsi="Times New Roman" w:cs="Times New Roman"/>
                <w:color w:val="auto"/>
                <w:sz w:val="21"/>
                <w:szCs w:val="21"/>
              </w:rPr>
              <w:t>边界位置开始向外扩展</w:t>
            </w:r>
            <w:r>
              <w:rPr>
                <w:rFonts w:hint="eastAsia" w:ascii="Times New Roman" w:hAnsi="Times New Roman" w:cs="Times New Roman"/>
                <w:color w:val="auto"/>
                <w:sz w:val="21"/>
                <w:szCs w:val="21"/>
                <w:lang w:val="en-US" w:eastAsia="zh-CN"/>
              </w:rPr>
              <w:t>5</w:t>
            </w:r>
            <w:r>
              <w:rPr>
                <w:rFonts w:ascii="Times New Roman" w:hAnsi="Times New Roman" w:cs="Times New Roman"/>
                <w:color w:val="auto"/>
                <w:sz w:val="21"/>
                <w:szCs w:val="21"/>
              </w:rPr>
              <w:t>00m</w:t>
            </w:r>
            <w:r>
              <w:rPr>
                <w:rFonts w:hint="eastAsia" w:ascii="Times New Roman" w:hAnsi="Times New Roman" w:cs="Times New Roman"/>
                <w:color w:val="auto"/>
                <w:sz w:val="21"/>
                <w:szCs w:val="21"/>
                <w:lang w:eastAsia="zh-CN"/>
              </w:rPr>
              <w:t>，卫生防护距离范围内无居民区等环境敏感目标（距离南侧姜家沟村最近距离为</w:t>
            </w:r>
            <w:r>
              <w:rPr>
                <w:rFonts w:hint="eastAsia" w:ascii="Times New Roman" w:hAnsi="Times New Roman" w:cs="Times New Roman"/>
                <w:color w:val="auto"/>
                <w:sz w:val="21"/>
                <w:szCs w:val="21"/>
                <w:lang w:val="en-US" w:eastAsia="zh-CN"/>
              </w:rPr>
              <w:t>576m</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rPr>
              <w:t>；</w:t>
            </w:r>
            <w:r>
              <w:rPr>
                <w:rFonts w:hint="eastAsia" w:ascii="Times New Roman" w:hAnsi="Times New Roman" w:cs="Times New Roman"/>
                <w:color w:val="auto"/>
                <w:kern w:val="0"/>
                <w:sz w:val="21"/>
                <w:szCs w:val="21"/>
                <w:lang w:eastAsia="zh-CN"/>
              </w:rPr>
              <w:t>临时储粪场</w:t>
            </w:r>
            <w:r>
              <w:rPr>
                <w:rFonts w:ascii="Times New Roman" w:hAnsi="Times New Roman" w:cs="Times New Roman"/>
                <w:color w:val="auto"/>
                <w:kern w:val="0"/>
                <w:sz w:val="21"/>
                <w:szCs w:val="21"/>
              </w:rPr>
              <w:t>位于生产区</w:t>
            </w:r>
            <w:r>
              <w:rPr>
                <w:rFonts w:hint="eastAsia" w:ascii="Times New Roman" w:hAnsi="Times New Roman" w:cs="Times New Roman"/>
                <w:color w:val="auto"/>
                <w:kern w:val="0"/>
                <w:sz w:val="21"/>
                <w:szCs w:val="21"/>
                <w:lang w:eastAsia="zh-CN"/>
              </w:rPr>
              <w:t>北</w:t>
            </w:r>
            <w:r>
              <w:rPr>
                <w:rFonts w:ascii="Times New Roman" w:hAnsi="Times New Roman" w:cs="Times New Roman"/>
                <w:color w:val="auto"/>
                <w:kern w:val="0"/>
                <w:sz w:val="21"/>
                <w:szCs w:val="21"/>
              </w:rPr>
              <w:t>侧，即常年主导风向的</w:t>
            </w:r>
            <w:r>
              <w:rPr>
                <w:rFonts w:hint="eastAsia" w:ascii="Times New Roman" w:hAnsi="Times New Roman" w:cs="Times New Roman"/>
                <w:color w:val="auto"/>
                <w:kern w:val="0"/>
                <w:sz w:val="21"/>
                <w:szCs w:val="21"/>
                <w:lang w:eastAsia="zh-CN"/>
              </w:rPr>
              <w:t>下</w:t>
            </w:r>
            <w:r>
              <w:rPr>
                <w:rFonts w:ascii="Times New Roman" w:hAnsi="Times New Roman" w:cs="Times New Roman"/>
                <w:color w:val="auto"/>
                <w:kern w:val="0"/>
                <w:sz w:val="21"/>
                <w:szCs w:val="21"/>
              </w:rPr>
              <w:t>风向</w:t>
            </w:r>
            <w:r>
              <w:rPr>
                <w:rFonts w:hint="eastAsia" w:ascii="Times New Roman" w:hAnsi="Times New Roman" w:cs="Times New Roman"/>
                <w:color w:val="auto"/>
                <w:kern w:val="0"/>
                <w:sz w:val="21"/>
                <w:szCs w:val="21"/>
                <w:lang w:eastAsia="zh-CN"/>
              </w:rPr>
              <w:t>。</w:t>
            </w:r>
          </w:p>
        </w:tc>
        <w:tc>
          <w:tcPr>
            <w:tcW w:w="860" w:type="dxa"/>
            <w:vAlign w:val="center"/>
          </w:tcPr>
          <w:p w14:paraId="1A2F93BA">
            <w:pPr>
              <w:spacing w:line="360" w:lineRule="auto"/>
              <w:jc w:val="center"/>
              <w:rPr>
                <w:bCs/>
                <w:color w:val="auto"/>
                <w:kern w:val="21"/>
                <w:szCs w:val="21"/>
              </w:rPr>
            </w:pPr>
            <w:r>
              <w:rPr>
                <w:bCs/>
                <w:color w:val="auto"/>
                <w:kern w:val="21"/>
                <w:szCs w:val="21"/>
              </w:rPr>
              <w:t>符合</w:t>
            </w:r>
          </w:p>
        </w:tc>
      </w:tr>
      <w:tr w14:paraId="3296D8D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Align w:val="center"/>
          </w:tcPr>
          <w:p w14:paraId="49FE98BB">
            <w:pPr>
              <w:spacing w:line="360" w:lineRule="auto"/>
              <w:jc w:val="center"/>
              <w:rPr>
                <w:bCs/>
                <w:color w:val="auto"/>
                <w:kern w:val="21"/>
                <w:szCs w:val="21"/>
              </w:rPr>
            </w:pPr>
            <w:r>
              <w:rPr>
                <w:bCs/>
                <w:color w:val="auto"/>
                <w:kern w:val="21"/>
                <w:szCs w:val="21"/>
              </w:rPr>
              <w:t>2</w:t>
            </w:r>
          </w:p>
        </w:tc>
        <w:tc>
          <w:tcPr>
            <w:tcW w:w="3780" w:type="dxa"/>
            <w:vAlign w:val="center"/>
          </w:tcPr>
          <w:p w14:paraId="55372178">
            <w:pPr>
              <w:pStyle w:val="149"/>
              <w:jc w:val="center"/>
              <w:rPr>
                <w:rFonts w:ascii="Times New Roman" w:cs="Times New Roman"/>
                <w:color w:val="auto"/>
                <w:sz w:val="21"/>
                <w:szCs w:val="21"/>
              </w:rPr>
            </w:pPr>
            <w:r>
              <w:rPr>
                <w:rFonts w:ascii="Times New Roman" w:cs="Times New Roman"/>
                <w:color w:val="auto"/>
                <w:sz w:val="21"/>
                <w:szCs w:val="21"/>
              </w:rPr>
              <w:t>畜禽养殖业污染治理工程的位置应有利于排放、资源化利用和运输，并留有扩建的余地，方便施工、运行和维护。</w:t>
            </w:r>
          </w:p>
        </w:tc>
        <w:tc>
          <w:tcPr>
            <w:tcW w:w="3240" w:type="dxa"/>
            <w:vAlign w:val="center"/>
          </w:tcPr>
          <w:p w14:paraId="43134646">
            <w:pPr>
              <w:pStyle w:val="149"/>
              <w:jc w:val="center"/>
              <w:rPr>
                <w:rFonts w:hint="eastAsia" w:ascii="Times New Roman" w:eastAsia="宋体" w:cs="Times New Roman"/>
                <w:color w:val="auto"/>
                <w:sz w:val="21"/>
                <w:szCs w:val="21"/>
                <w:lang w:eastAsia="zh-CN"/>
              </w:rPr>
            </w:pPr>
            <w:r>
              <w:rPr>
                <w:rFonts w:ascii="Times New Roman" w:cs="Times New Roman"/>
                <w:color w:val="auto"/>
                <w:sz w:val="21"/>
                <w:szCs w:val="21"/>
              </w:rPr>
              <w:t>本项目距离乡镇道路较近，交通方便</w:t>
            </w:r>
            <w:r>
              <w:rPr>
                <w:rFonts w:hint="eastAsia" w:ascii="Times New Roman" w:cs="Times New Roman"/>
                <w:color w:val="auto"/>
                <w:sz w:val="21"/>
                <w:szCs w:val="21"/>
                <w:lang w:eastAsia="zh-CN"/>
              </w:rPr>
              <w:t>。</w:t>
            </w:r>
          </w:p>
        </w:tc>
        <w:tc>
          <w:tcPr>
            <w:tcW w:w="860" w:type="dxa"/>
            <w:vAlign w:val="center"/>
          </w:tcPr>
          <w:p w14:paraId="419CB815">
            <w:pPr>
              <w:spacing w:line="360" w:lineRule="auto"/>
              <w:jc w:val="center"/>
              <w:rPr>
                <w:bCs/>
                <w:color w:val="auto"/>
                <w:kern w:val="21"/>
                <w:szCs w:val="21"/>
              </w:rPr>
            </w:pPr>
            <w:r>
              <w:rPr>
                <w:bCs/>
                <w:color w:val="auto"/>
                <w:kern w:val="21"/>
                <w:szCs w:val="21"/>
              </w:rPr>
              <w:t>符合</w:t>
            </w:r>
          </w:p>
        </w:tc>
      </w:tr>
    </w:tbl>
    <w:p w14:paraId="53214177">
      <w:pPr>
        <w:spacing w:line="360" w:lineRule="auto"/>
        <w:ind w:firstLine="480" w:firstLineChars="200"/>
        <w:jc w:val="left"/>
        <w:rPr>
          <w:bCs/>
          <w:color w:val="auto"/>
          <w:kern w:val="21"/>
          <w:sz w:val="24"/>
        </w:rPr>
      </w:pPr>
      <w:r>
        <w:rPr>
          <w:bCs/>
          <w:color w:val="auto"/>
          <w:kern w:val="21"/>
          <w:sz w:val="24"/>
        </w:rPr>
        <w:t>综上，本项目符合《畜禽养殖业污染防治技术规范》（HJ/T81-2001）及《畜禽养殖业污染治理工程技术规范》（HJ497-2009）的选址要求。</w:t>
      </w:r>
    </w:p>
    <w:p w14:paraId="08B13CA4">
      <w:pPr>
        <w:spacing w:line="360" w:lineRule="auto"/>
        <w:ind w:firstLine="482" w:firstLineChars="200"/>
        <w:jc w:val="left"/>
        <w:rPr>
          <w:b/>
          <w:bCs/>
          <w:color w:val="auto"/>
          <w:kern w:val="21"/>
          <w:sz w:val="24"/>
        </w:rPr>
      </w:pPr>
      <w:r>
        <w:rPr>
          <w:b/>
          <w:bCs/>
          <w:color w:val="auto"/>
          <w:kern w:val="21"/>
          <w:sz w:val="24"/>
        </w:rPr>
        <w:t>（</w:t>
      </w:r>
      <w:r>
        <w:rPr>
          <w:rFonts w:hint="eastAsia"/>
          <w:b/>
          <w:bCs/>
          <w:color w:val="auto"/>
          <w:kern w:val="21"/>
          <w:sz w:val="24"/>
        </w:rPr>
        <w:t>2</w:t>
      </w:r>
      <w:r>
        <w:rPr>
          <w:b/>
          <w:bCs/>
          <w:color w:val="auto"/>
          <w:kern w:val="21"/>
          <w:sz w:val="24"/>
        </w:rPr>
        <w:t>）与</w:t>
      </w:r>
      <w:r>
        <w:rPr>
          <w:rFonts w:hint="eastAsia"/>
          <w:b/>
          <w:bCs/>
          <w:color w:val="auto"/>
          <w:kern w:val="21"/>
          <w:sz w:val="24"/>
        </w:rPr>
        <w:t>法律法规</w:t>
      </w:r>
      <w:r>
        <w:rPr>
          <w:b/>
          <w:bCs/>
          <w:color w:val="auto"/>
          <w:kern w:val="21"/>
          <w:sz w:val="24"/>
        </w:rPr>
        <w:t>的</w:t>
      </w:r>
      <w:r>
        <w:rPr>
          <w:rFonts w:hint="eastAsia"/>
          <w:b/>
          <w:bCs/>
          <w:color w:val="auto"/>
          <w:kern w:val="21"/>
          <w:sz w:val="24"/>
        </w:rPr>
        <w:t>选址</w:t>
      </w:r>
      <w:r>
        <w:rPr>
          <w:b/>
          <w:bCs/>
          <w:color w:val="auto"/>
          <w:kern w:val="21"/>
          <w:sz w:val="24"/>
        </w:rPr>
        <w:t>相符性分析</w:t>
      </w:r>
    </w:p>
    <w:p w14:paraId="5D5F8E62">
      <w:pPr>
        <w:spacing w:line="360" w:lineRule="auto"/>
        <w:ind w:firstLine="482" w:firstLineChars="200"/>
        <w:jc w:val="left"/>
        <w:rPr>
          <w:b/>
          <w:color w:val="auto"/>
          <w:kern w:val="21"/>
          <w:sz w:val="24"/>
        </w:rPr>
      </w:pPr>
      <w:r>
        <w:rPr>
          <w:rFonts w:hint="eastAsia"/>
          <w:b/>
          <w:color w:val="auto"/>
          <w:kern w:val="21"/>
          <w:sz w:val="24"/>
        </w:rPr>
        <w:t>1）</w:t>
      </w:r>
      <w:r>
        <w:rPr>
          <w:b/>
          <w:color w:val="auto"/>
          <w:kern w:val="21"/>
          <w:sz w:val="24"/>
        </w:rPr>
        <w:t>与《中华人民共和国畜牧法》相符性分析</w:t>
      </w:r>
    </w:p>
    <w:p w14:paraId="4D78EA71">
      <w:pPr>
        <w:pStyle w:val="125"/>
        <w:spacing w:line="240" w:lineRule="auto"/>
        <w:ind w:firstLine="413" w:firstLineChars="196"/>
        <w:jc w:val="center"/>
        <w:rPr>
          <w:b/>
          <w:color w:val="auto"/>
          <w:sz w:val="21"/>
          <w:szCs w:val="21"/>
        </w:rPr>
      </w:pPr>
      <w:r>
        <w:rPr>
          <w:b/>
          <w:color w:val="auto"/>
          <w:sz w:val="21"/>
          <w:szCs w:val="21"/>
        </w:rPr>
        <w:t>表1</w:t>
      </w:r>
      <w:r>
        <w:rPr>
          <w:rFonts w:hint="eastAsia"/>
          <w:b/>
          <w:color w:val="auto"/>
          <w:sz w:val="21"/>
          <w:szCs w:val="21"/>
          <w:lang w:val="en-US" w:eastAsia="zh-CN"/>
        </w:rPr>
        <w:t>.5-3</w:t>
      </w:r>
      <w:r>
        <w:rPr>
          <w:rFonts w:hint="eastAsia"/>
          <w:b/>
          <w:color w:val="auto"/>
          <w:sz w:val="21"/>
          <w:szCs w:val="21"/>
        </w:rPr>
        <w:t xml:space="preserve">   </w:t>
      </w:r>
      <w:r>
        <w:rPr>
          <w:b/>
          <w:color w:val="auto"/>
          <w:sz w:val="21"/>
          <w:szCs w:val="21"/>
        </w:rPr>
        <w:t xml:space="preserve"> 本项目与《中华人民共和国畜牧法》对照表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7"/>
        <w:gridCol w:w="3943"/>
        <w:gridCol w:w="3082"/>
        <w:gridCol w:w="856"/>
      </w:tblGrid>
      <w:tr w14:paraId="57362C5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7" w:type="dxa"/>
            <w:vAlign w:val="center"/>
          </w:tcPr>
          <w:p w14:paraId="239F337A">
            <w:pPr>
              <w:pStyle w:val="149"/>
              <w:jc w:val="center"/>
              <w:rPr>
                <w:rFonts w:ascii="Times New Roman" w:hAnsi="Times New Roman" w:cs="Times New Roman"/>
                <w:bCs/>
                <w:color w:val="auto"/>
                <w:kern w:val="21"/>
                <w:sz w:val="21"/>
                <w:szCs w:val="21"/>
              </w:rPr>
            </w:pPr>
            <w:r>
              <w:rPr>
                <w:rFonts w:ascii="Times New Roman" w:hAnsi="Times New Roman" w:cs="Times New Roman"/>
                <w:color w:val="auto"/>
                <w:sz w:val="21"/>
                <w:szCs w:val="21"/>
              </w:rPr>
              <w:t>序号</w:t>
            </w:r>
          </w:p>
        </w:tc>
        <w:tc>
          <w:tcPr>
            <w:tcW w:w="3943" w:type="dxa"/>
            <w:vAlign w:val="center"/>
          </w:tcPr>
          <w:p w14:paraId="1374A87A">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《中华人民共和国畜牧法》中要求</w:t>
            </w:r>
          </w:p>
        </w:tc>
        <w:tc>
          <w:tcPr>
            <w:tcW w:w="3082" w:type="dxa"/>
            <w:vAlign w:val="center"/>
          </w:tcPr>
          <w:p w14:paraId="6BF0236C">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本项目实际建设内容</w:t>
            </w:r>
          </w:p>
        </w:tc>
        <w:tc>
          <w:tcPr>
            <w:tcW w:w="856" w:type="dxa"/>
            <w:vAlign w:val="center"/>
          </w:tcPr>
          <w:p w14:paraId="07D2EBE8">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符合性</w:t>
            </w:r>
          </w:p>
        </w:tc>
      </w:tr>
      <w:tr w14:paraId="3638AD2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7" w:type="dxa"/>
            <w:vAlign w:val="center"/>
          </w:tcPr>
          <w:p w14:paraId="5F8E8F42">
            <w:pPr>
              <w:spacing w:line="360" w:lineRule="auto"/>
              <w:jc w:val="center"/>
              <w:rPr>
                <w:bCs/>
                <w:color w:val="auto"/>
                <w:kern w:val="21"/>
                <w:szCs w:val="21"/>
              </w:rPr>
            </w:pPr>
            <w:r>
              <w:rPr>
                <w:bCs/>
                <w:color w:val="auto"/>
                <w:kern w:val="21"/>
                <w:szCs w:val="21"/>
              </w:rPr>
              <w:t>1</w:t>
            </w:r>
          </w:p>
        </w:tc>
        <w:tc>
          <w:tcPr>
            <w:tcW w:w="3943" w:type="dxa"/>
            <w:vAlign w:val="center"/>
          </w:tcPr>
          <w:p w14:paraId="5900B856">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第三十九条 畜禽养殖场、养殖小区应当具备下列条件：</w:t>
            </w:r>
          </w:p>
          <w:p w14:paraId="26B81285">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（一）有与其饲养规模相适应的生产场所和配套的生产设施</w:t>
            </w:r>
          </w:p>
          <w:p w14:paraId="2EFC6ECD">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（二）有为其服务的畜牧兽医技术人员</w:t>
            </w:r>
          </w:p>
          <w:p w14:paraId="14F0EB85">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（三）具备法律、行政法规和国务院畜牧兽医行政主管部门规定的防疫条件</w:t>
            </w:r>
          </w:p>
          <w:p w14:paraId="3413A070">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（四）有对畜禽粪便、废水和其他固体废弃物进行综合利用的沼气池等设施或者其他无害化处理设施</w:t>
            </w:r>
          </w:p>
          <w:p w14:paraId="7FC767A3">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（五）具备法律、行政法规规定的其他</w:t>
            </w:r>
          </w:p>
          <w:p w14:paraId="52463C76">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条件</w:t>
            </w:r>
          </w:p>
        </w:tc>
        <w:tc>
          <w:tcPr>
            <w:tcW w:w="3082" w:type="dxa"/>
            <w:vAlign w:val="center"/>
          </w:tcPr>
          <w:p w14:paraId="419CEDCA">
            <w:pPr>
              <w:pStyle w:val="149"/>
              <w:jc w:val="both"/>
              <w:rPr>
                <w:rFonts w:hint="eastAsia" w:ascii="Times New Roman" w:hAnsi="Times New Roman" w:cs="Times New Roman"/>
                <w:color w:val="auto"/>
                <w:sz w:val="21"/>
                <w:szCs w:val="21"/>
              </w:rPr>
            </w:pPr>
            <w:r>
              <w:rPr>
                <w:rFonts w:hint="eastAsia" w:ascii="Times New Roman" w:hAnsi="Times New Roman" w:cs="Times New Roman"/>
                <w:color w:val="auto"/>
                <w:sz w:val="21"/>
                <w:szCs w:val="21"/>
                <w:highlight w:val="none"/>
              </w:rPr>
              <w:t>本项目占地面积</w:t>
            </w:r>
            <w:r>
              <w:rPr>
                <w:rFonts w:hint="eastAsia" w:ascii="Times New Roman" w:hAnsi="Times New Roman" w:cs="Times New Roman"/>
                <w:color w:val="auto"/>
                <w:sz w:val="21"/>
                <w:szCs w:val="21"/>
                <w:highlight w:val="none"/>
                <w:lang w:val="en-US" w:eastAsia="zh-CN"/>
              </w:rPr>
              <w:t>78234.55</w:t>
            </w:r>
            <w:r>
              <w:rPr>
                <w:rFonts w:hint="eastAsia" w:ascii="Times New Roman" w:hAnsi="Times New Roman" w:cs="Times New Roman"/>
                <w:color w:val="auto"/>
                <w:sz w:val="21"/>
                <w:szCs w:val="21"/>
                <w:highlight w:val="none"/>
                <w:lang w:eastAsia="zh-CN"/>
              </w:rPr>
              <w:t>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w:t>
            </w:r>
            <w:r>
              <w:rPr>
                <w:rFonts w:hint="eastAsia" w:ascii="Times New Roman" w:hAnsi="Times New Roman" w:cs="Times New Roman"/>
                <w:color w:val="auto"/>
                <w:sz w:val="21"/>
                <w:szCs w:val="21"/>
              </w:rPr>
              <w:t>养殖规模为年存栏蛋鸡100万只，年产鸡蛋20000吨，生产设施及生产场所满足需求；</w:t>
            </w:r>
          </w:p>
          <w:p w14:paraId="1F8D31AD">
            <w:pPr>
              <w:pStyle w:val="149"/>
              <w:jc w:val="both"/>
              <w:rPr>
                <w:rFonts w:hint="eastAsia" w:ascii="Times New Roman" w:hAnsi="Times New Roman" w:cs="Times New Roman"/>
                <w:color w:val="auto"/>
                <w:sz w:val="21"/>
                <w:szCs w:val="21"/>
              </w:rPr>
            </w:pPr>
            <w:r>
              <w:rPr>
                <w:rFonts w:hint="eastAsia" w:ascii="Times New Roman" w:hAnsi="Times New Roman" w:cs="Times New Roman"/>
                <w:color w:val="auto"/>
                <w:sz w:val="21"/>
                <w:szCs w:val="21"/>
                <w:lang w:eastAsia="zh-CN"/>
              </w:rPr>
              <w:t>本项目卫生防疫委托专业的</w:t>
            </w:r>
            <w:r>
              <w:rPr>
                <w:rFonts w:hint="eastAsia" w:ascii="Times New Roman" w:hAnsi="Times New Roman" w:cs="Times New Roman"/>
                <w:color w:val="auto"/>
                <w:sz w:val="21"/>
                <w:szCs w:val="21"/>
              </w:rPr>
              <w:t>畜牧兽医技术人员，符合</w:t>
            </w:r>
            <w:r>
              <w:rPr>
                <w:rFonts w:ascii="Times New Roman" w:hAnsi="Times New Roman" w:cs="Times New Roman"/>
                <w:color w:val="auto"/>
                <w:sz w:val="21"/>
                <w:szCs w:val="21"/>
              </w:rPr>
              <w:t>法律、行政法规和国务院畜牧兽医行政主管部门规定的防疫条件</w:t>
            </w:r>
            <w:r>
              <w:rPr>
                <w:rFonts w:hint="eastAsia" w:ascii="Times New Roman" w:hAnsi="Times New Roman" w:cs="Times New Roman"/>
                <w:color w:val="auto"/>
                <w:sz w:val="21"/>
                <w:szCs w:val="21"/>
              </w:rPr>
              <w:t>；</w:t>
            </w:r>
          </w:p>
          <w:p w14:paraId="353B3EB1">
            <w:pPr>
              <w:pStyle w:val="149"/>
              <w:jc w:val="both"/>
              <w:rPr>
                <w:rFonts w:hint="eastAsia"/>
                <w:color w:val="auto"/>
                <w:kern w:val="0"/>
                <w:sz w:val="21"/>
                <w:szCs w:val="21"/>
                <w:highlight w:val="none"/>
              </w:rPr>
            </w:pPr>
            <w:r>
              <w:rPr>
                <w:rFonts w:hint="eastAsia"/>
                <w:color w:val="auto"/>
                <w:kern w:val="0"/>
                <w:sz w:val="21"/>
                <w:szCs w:val="21"/>
              </w:rPr>
              <w:t>鸡粪、鸡羽毛、</w:t>
            </w:r>
            <w:r>
              <w:rPr>
                <w:rFonts w:hint="eastAsia"/>
                <w:color w:val="auto"/>
                <w:kern w:val="0"/>
                <w:sz w:val="21"/>
                <w:szCs w:val="21"/>
                <w:highlight w:val="none"/>
              </w:rPr>
              <w:t>饲料残渣均日产日清由清粪车直接拉走外售</w:t>
            </w:r>
            <w:r>
              <w:rPr>
                <w:rFonts w:hint="eastAsia"/>
                <w:color w:val="auto"/>
                <w:kern w:val="0"/>
                <w:sz w:val="21"/>
                <w:szCs w:val="21"/>
                <w:highlight w:val="none"/>
                <w:lang w:eastAsia="zh-CN"/>
              </w:rPr>
              <w:t>至辰泰（辽宁）生物科技有限公司</w:t>
            </w:r>
            <w:r>
              <w:rPr>
                <w:rFonts w:hint="eastAsia"/>
                <w:color w:val="auto"/>
                <w:kern w:val="0"/>
                <w:sz w:val="21"/>
                <w:szCs w:val="21"/>
                <w:highlight w:val="none"/>
              </w:rPr>
              <w:t>进行有机肥制造；养殖废水日产日清</w:t>
            </w:r>
            <w:r>
              <w:rPr>
                <w:rFonts w:hint="eastAsia"/>
                <w:color w:val="auto"/>
                <w:kern w:val="0"/>
                <w:sz w:val="21"/>
                <w:szCs w:val="21"/>
                <w:highlight w:val="none"/>
                <w:lang w:eastAsia="zh-CN"/>
              </w:rPr>
              <w:t>，由罐车直接拉走外售至辰泰（辽宁）生物科技有限公司做有机肥</w:t>
            </w:r>
            <w:r>
              <w:rPr>
                <w:rFonts w:hint="eastAsia"/>
                <w:color w:val="auto"/>
                <w:kern w:val="0"/>
                <w:sz w:val="21"/>
                <w:szCs w:val="21"/>
                <w:highlight w:val="none"/>
              </w:rPr>
              <w:t>；病死鸡病死鸡</w:t>
            </w:r>
            <w:r>
              <w:rPr>
                <w:rFonts w:hint="eastAsia"/>
                <w:color w:val="auto"/>
                <w:kern w:val="0"/>
                <w:sz w:val="21"/>
                <w:szCs w:val="21"/>
                <w:highlight w:val="none"/>
                <w:lang w:eastAsia="zh-CN"/>
              </w:rPr>
              <w:t>暂存于冷柜，委托北票市汇宏动物无害化处理有限公司定期运走做无害化</w:t>
            </w:r>
            <w:r>
              <w:rPr>
                <w:rFonts w:hint="eastAsia"/>
                <w:color w:val="auto"/>
                <w:kern w:val="0"/>
                <w:sz w:val="21"/>
                <w:szCs w:val="21"/>
                <w:highlight w:val="none"/>
              </w:rPr>
              <w:t>处理；</w:t>
            </w:r>
          </w:p>
          <w:p w14:paraId="382F7D86">
            <w:pPr>
              <w:pStyle w:val="149"/>
              <w:jc w:val="both"/>
              <w:rPr>
                <w:rFonts w:ascii="Times New Roman" w:hAnsi="Times New Roman" w:cs="Times New Roman"/>
                <w:color w:val="auto"/>
                <w:sz w:val="21"/>
                <w:szCs w:val="21"/>
              </w:rPr>
            </w:pPr>
            <w:r>
              <w:rPr>
                <w:rFonts w:hint="eastAsia" w:ascii="Times New Roman" w:hAnsi="Times New Roman" w:cs="Times New Roman"/>
                <w:color w:val="auto"/>
                <w:sz w:val="21"/>
                <w:szCs w:val="21"/>
              </w:rPr>
              <w:t>符合</w:t>
            </w:r>
            <w:r>
              <w:rPr>
                <w:rFonts w:ascii="Times New Roman" w:hAnsi="Times New Roman" w:cs="Times New Roman"/>
                <w:color w:val="auto"/>
                <w:sz w:val="21"/>
                <w:szCs w:val="21"/>
              </w:rPr>
              <w:t>法律、行政法规规定的其他条件</w:t>
            </w:r>
            <w:r>
              <w:rPr>
                <w:rFonts w:hint="eastAsia" w:ascii="Times New Roman" w:hAnsi="Times New Roman" w:cs="Times New Roman"/>
                <w:color w:val="auto"/>
                <w:sz w:val="21"/>
                <w:szCs w:val="21"/>
              </w:rPr>
              <w:t>；</w:t>
            </w:r>
          </w:p>
        </w:tc>
        <w:tc>
          <w:tcPr>
            <w:tcW w:w="856" w:type="dxa"/>
            <w:vAlign w:val="center"/>
          </w:tcPr>
          <w:p w14:paraId="4F978F31">
            <w:pPr>
              <w:spacing w:line="360" w:lineRule="auto"/>
              <w:jc w:val="center"/>
              <w:rPr>
                <w:bCs/>
                <w:color w:val="auto"/>
                <w:kern w:val="21"/>
                <w:szCs w:val="21"/>
              </w:rPr>
            </w:pPr>
            <w:r>
              <w:rPr>
                <w:bCs/>
                <w:color w:val="auto"/>
                <w:kern w:val="21"/>
                <w:szCs w:val="21"/>
              </w:rPr>
              <w:t>符合</w:t>
            </w:r>
          </w:p>
        </w:tc>
      </w:tr>
      <w:tr w14:paraId="0DEE2E7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7" w:type="dxa"/>
            <w:vAlign w:val="center"/>
          </w:tcPr>
          <w:p w14:paraId="36D764FB">
            <w:pPr>
              <w:spacing w:line="360" w:lineRule="auto"/>
              <w:jc w:val="center"/>
              <w:rPr>
                <w:bCs/>
                <w:color w:val="auto"/>
                <w:kern w:val="21"/>
                <w:szCs w:val="21"/>
              </w:rPr>
            </w:pPr>
            <w:r>
              <w:rPr>
                <w:bCs/>
                <w:color w:val="auto"/>
                <w:kern w:val="21"/>
                <w:szCs w:val="21"/>
              </w:rPr>
              <w:t>2</w:t>
            </w:r>
          </w:p>
        </w:tc>
        <w:tc>
          <w:tcPr>
            <w:tcW w:w="3943" w:type="dxa"/>
            <w:vAlign w:val="center"/>
          </w:tcPr>
          <w:p w14:paraId="289A7D75">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第四十条 禁止在下列区域内建设畜禽养殖场、养殖小区：</w:t>
            </w:r>
          </w:p>
          <w:p w14:paraId="78935558">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（一）生活饮用水的水源保护区，风景名胜区，以及自然保护区的核心区和缓冲区</w:t>
            </w:r>
          </w:p>
          <w:p w14:paraId="39DA9B3A">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（二）城镇居民区、文化教育科学研究区等人口集中区域</w:t>
            </w:r>
          </w:p>
          <w:p w14:paraId="1BD7A1B7">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（三）法律、法规规定的其他禁养区域</w:t>
            </w:r>
          </w:p>
        </w:tc>
        <w:tc>
          <w:tcPr>
            <w:tcW w:w="3082" w:type="dxa"/>
            <w:vAlign w:val="center"/>
          </w:tcPr>
          <w:p w14:paraId="4F6AF56F">
            <w:pPr>
              <w:pStyle w:val="149"/>
              <w:jc w:val="center"/>
              <w:rPr>
                <w:rFonts w:hint="eastAsia" w:ascii="Times New Roman" w:hAnsi="Times New Roman" w:eastAsia="宋体" w:cs="Times New Roman"/>
                <w:color w:val="auto"/>
                <w:sz w:val="21"/>
                <w:szCs w:val="21"/>
                <w:lang w:eastAsia="zh-CN"/>
              </w:rPr>
            </w:pPr>
            <w:r>
              <w:rPr>
                <w:rFonts w:hint="eastAsia"/>
                <w:color w:val="auto"/>
                <w:kern w:val="0"/>
                <w:sz w:val="21"/>
                <w:szCs w:val="21"/>
              </w:rPr>
              <w:t>本项目位于</w:t>
            </w:r>
            <w:r>
              <w:rPr>
                <w:rFonts w:hint="eastAsia"/>
                <w:color w:val="auto"/>
                <w:kern w:val="0"/>
                <w:sz w:val="21"/>
                <w:szCs w:val="21"/>
                <w:lang w:eastAsia="zh-CN"/>
              </w:rPr>
              <w:t>辽宁省朝阳市北票市西官镇大巴里村</w:t>
            </w:r>
            <w:r>
              <w:rPr>
                <w:rFonts w:hint="eastAsia"/>
                <w:color w:val="auto"/>
                <w:kern w:val="0"/>
                <w:sz w:val="21"/>
                <w:szCs w:val="21"/>
              </w:rPr>
              <w:t>，不在上述禁养区内</w:t>
            </w:r>
            <w:r>
              <w:rPr>
                <w:rFonts w:hint="eastAsia"/>
                <w:color w:val="auto"/>
                <w:kern w:val="0"/>
                <w:sz w:val="21"/>
                <w:szCs w:val="21"/>
                <w:lang w:eastAsia="zh-CN"/>
              </w:rPr>
              <w:t>。</w:t>
            </w:r>
          </w:p>
        </w:tc>
        <w:tc>
          <w:tcPr>
            <w:tcW w:w="856" w:type="dxa"/>
            <w:vAlign w:val="center"/>
          </w:tcPr>
          <w:p w14:paraId="3B5DEFCA">
            <w:pPr>
              <w:spacing w:line="360" w:lineRule="auto"/>
              <w:jc w:val="center"/>
              <w:rPr>
                <w:bCs/>
                <w:color w:val="auto"/>
                <w:kern w:val="21"/>
                <w:szCs w:val="21"/>
              </w:rPr>
            </w:pPr>
            <w:r>
              <w:rPr>
                <w:bCs/>
                <w:color w:val="auto"/>
                <w:kern w:val="21"/>
                <w:szCs w:val="21"/>
              </w:rPr>
              <w:t>符合</w:t>
            </w:r>
          </w:p>
        </w:tc>
      </w:tr>
      <w:tr w14:paraId="4C0195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7" w:type="dxa"/>
            <w:vAlign w:val="center"/>
          </w:tcPr>
          <w:p w14:paraId="6A9368A0">
            <w:pPr>
              <w:spacing w:line="360" w:lineRule="auto"/>
              <w:jc w:val="center"/>
              <w:rPr>
                <w:bCs/>
                <w:color w:val="auto"/>
                <w:kern w:val="21"/>
                <w:szCs w:val="21"/>
              </w:rPr>
            </w:pPr>
            <w:r>
              <w:rPr>
                <w:bCs/>
                <w:color w:val="auto"/>
                <w:kern w:val="21"/>
                <w:szCs w:val="21"/>
              </w:rPr>
              <w:t>3</w:t>
            </w:r>
          </w:p>
        </w:tc>
        <w:tc>
          <w:tcPr>
            <w:tcW w:w="3943" w:type="dxa"/>
            <w:vAlign w:val="center"/>
          </w:tcPr>
          <w:p w14:paraId="480B3772">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第四十二条 畜禽养殖场应当为其饲养的畜禽提供适当的繁殖条件和生存、生</w:t>
            </w:r>
          </w:p>
          <w:p w14:paraId="54431720">
            <w:pPr>
              <w:pStyle w:val="149"/>
              <w:jc w:val="center"/>
              <w:rPr>
                <w:rFonts w:ascii="Times New Roman" w:hAnsi="Times New Roman" w:cs="Times New Roman"/>
                <w:color w:val="auto"/>
                <w:sz w:val="21"/>
                <w:szCs w:val="21"/>
              </w:rPr>
            </w:pPr>
            <w:r>
              <w:rPr>
                <w:rFonts w:ascii="Times New Roman" w:hAnsi="Times New Roman" w:cs="Times New Roman"/>
                <w:color w:val="auto"/>
                <w:sz w:val="21"/>
                <w:szCs w:val="21"/>
              </w:rPr>
              <w:t>长环境</w:t>
            </w:r>
          </w:p>
        </w:tc>
        <w:tc>
          <w:tcPr>
            <w:tcW w:w="3082" w:type="dxa"/>
            <w:vAlign w:val="center"/>
          </w:tcPr>
          <w:p w14:paraId="73CC10B2">
            <w:pPr>
              <w:pStyle w:val="149"/>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本项目合计科学建设，为</w:t>
            </w:r>
            <w:r>
              <w:rPr>
                <w:rFonts w:ascii="Times New Roman" w:hAnsi="Times New Roman" w:cs="Times New Roman"/>
                <w:color w:val="auto"/>
                <w:sz w:val="21"/>
                <w:szCs w:val="21"/>
              </w:rPr>
              <w:t>饲养的</w:t>
            </w:r>
            <w:r>
              <w:rPr>
                <w:rFonts w:hint="eastAsia" w:ascii="Times New Roman" w:hAnsi="Times New Roman" w:cs="Times New Roman"/>
                <w:color w:val="auto"/>
                <w:sz w:val="21"/>
                <w:szCs w:val="21"/>
              </w:rPr>
              <w:t>蛋鸡</w:t>
            </w:r>
            <w:r>
              <w:rPr>
                <w:rFonts w:ascii="Times New Roman" w:hAnsi="Times New Roman" w:cs="Times New Roman"/>
                <w:color w:val="auto"/>
                <w:sz w:val="21"/>
                <w:szCs w:val="21"/>
              </w:rPr>
              <w:t>提供适当的繁殖条件和生存、生长环境</w:t>
            </w:r>
          </w:p>
        </w:tc>
        <w:tc>
          <w:tcPr>
            <w:tcW w:w="856" w:type="dxa"/>
            <w:vAlign w:val="center"/>
          </w:tcPr>
          <w:p w14:paraId="2ED65B88">
            <w:pPr>
              <w:spacing w:line="360" w:lineRule="auto"/>
              <w:jc w:val="center"/>
              <w:rPr>
                <w:bCs/>
                <w:color w:val="auto"/>
                <w:kern w:val="21"/>
                <w:szCs w:val="21"/>
              </w:rPr>
            </w:pPr>
            <w:r>
              <w:rPr>
                <w:bCs/>
                <w:color w:val="auto"/>
                <w:kern w:val="21"/>
                <w:szCs w:val="21"/>
              </w:rPr>
              <w:t>符合</w:t>
            </w:r>
          </w:p>
        </w:tc>
      </w:tr>
      <w:tr w14:paraId="699C07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7" w:type="dxa"/>
            <w:vAlign w:val="center"/>
          </w:tcPr>
          <w:p w14:paraId="3181BBF6">
            <w:pPr>
              <w:spacing w:line="360" w:lineRule="auto"/>
              <w:jc w:val="center"/>
              <w:rPr>
                <w:bCs/>
                <w:color w:val="auto"/>
                <w:kern w:val="21"/>
                <w:szCs w:val="21"/>
              </w:rPr>
            </w:pPr>
            <w:r>
              <w:rPr>
                <w:rFonts w:hint="eastAsia"/>
                <w:bCs/>
                <w:color w:val="auto"/>
                <w:kern w:val="21"/>
                <w:szCs w:val="21"/>
              </w:rPr>
              <w:t>4</w:t>
            </w:r>
          </w:p>
        </w:tc>
        <w:tc>
          <w:tcPr>
            <w:tcW w:w="3943" w:type="dxa"/>
            <w:vAlign w:val="center"/>
          </w:tcPr>
          <w:p w14:paraId="51CB51E1">
            <w:pPr>
              <w:jc w:val="center"/>
              <w:rPr>
                <w:color w:val="auto"/>
                <w:szCs w:val="21"/>
              </w:rPr>
            </w:pPr>
            <w:r>
              <w:rPr>
                <w:color w:val="auto"/>
                <w:szCs w:val="21"/>
              </w:rPr>
              <w:t>第四十六条 畜禽养殖场、养殖小区应当保证畜禽粪便、废水及其他固体废弃物综合利用或者无害化处理设施的正常运转，保证污染物达标排放，防止污染环境</w:t>
            </w:r>
          </w:p>
        </w:tc>
        <w:tc>
          <w:tcPr>
            <w:tcW w:w="3082" w:type="dxa"/>
            <w:vAlign w:val="center"/>
          </w:tcPr>
          <w:p w14:paraId="40BAC9F5">
            <w:pPr>
              <w:jc w:val="center"/>
              <w:rPr>
                <w:color w:val="auto"/>
                <w:szCs w:val="21"/>
              </w:rPr>
            </w:pPr>
            <w:r>
              <w:rPr>
                <w:rFonts w:hint="eastAsia"/>
                <w:color w:val="auto"/>
                <w:kern w:val="0"/>
                <w:szCs w:val="21"/>
              </w:rPr>
              <w:t>本项目采取干清粪工艺，鸡粪、饲料残渣除极端天气（约50天/年）需暂存</w:t>
            </w:r>
            <w:r>
              <w:rPr>
                <w:rFonts w:hint="eastAsia"/>
                <w:color w:val="auto"/>
                <w:kern w:val="0"/>
                <w:szCs w:val="21"/>
                <w:lang w:eastAsia="zh-CN"/>
              </w:rPr>
              <w:t>临时储粪场</w:t>
            </w:r>
            <w:r>
              <w:rPr>
                <w:rFonts w:hint="eastAsia"/>
                <w:color w:val="auto"/>
                <w:kern w:val="0"/>
                <w:szCs w:val="21"/>
              </w:rPr>
              <w:t>外，</w:t>
            </w:r>
            <w:r>
              <w:rPr>
                <w:rFonts w:hint="eastAsia"/>
                <w:color w:val="auto"/>
                <w:kern w:val="0"/>
                <w:sz w:val="21"/>
                <w:szCs w:val="21"/>
              </w:rPr>
              <w:t>均日产日清由清粪车直接拉</w:t>
            </w:r>
            <w:r>
              <w:rPr>
                <w:rFonts w:hint="eastAsia"/>
                <w:color w:val="auto"/>
                <w:kern w:val="0"/>
                <w:sz w:val="21"/>
                <w:szCs w:val="21"/>
                <w:highlight w:val="none"/>
              </w:rPr>
              <w:t>走外售</w:t>
            </w:r>
            <w:r>
              <w:rPr>
                <w:rFonts w:hint="eastAsia"/>
                <w:color w:val="auto"/>
                <w:kern w:val="0"/>
                <w:sz w:val="21"/>
                <w:szCs w:val="21"/>
                <w:highlight w:val="none"/>
                <w:lang w:eastAsia="zh-CN"/>
              </w:rPr>
              <w:t>至辰泰（辽宁）生物科技有限公司</w:t>
            </w:r>
            <w:r>
              <w:rPr>
                <w:rFonts w:hint="eastAsia"/>
                <w:color w:val="auto"/>
                <w:kern w:val="0"/>
                <w:sz w:val="21"/>
                <w:szCs w:val="21"/>
                <w:highlight w:val="none"/>
              </w:rPr>
              <w:t>进行有机肥制造；养殖废水日产日清</w:t>
            </w:r>
            <w:r>
              <w:rPr>
                <w:rFonts w:hint="eastAsia"/>
                <w:color w:val="auto"/>
                <w:kern w:val="0"/>
                <w:sz w:val="21"/>
                <w:szCs w:val="21"/>
                <w:highlight w:val="none"/>
                <w:lang w:eastAsia="zh-CN"/>
              </w:rPr>
              <w:t>，由罐车直接拉走外售至辰泰（辽宁）生物科技有限公司做有机肥</w:t>
            </w:r>
            <w:r>
              <w:rPr>
                <w:rFonts w:hint="eastAsia"/>
                <w:color w:val="auto"/>
                <w:kern w:val="0"/>
                <w:sz w:val="21"/>
                <w:szCs w:val="21"/>
                <w:highlight w:val="none"/>
              </w:rPr>
              <w:t>；病死鸡病死鸡</w:t>
            </w:r>
            <w:r>
              <w:rPr>
                <w:rFonts w:hint="eastAsia"/>
                <w:color w:val="auto"/>
                <w:kern w:val="0"/>
                <w:sz w:val="21"/>
                <w:szCs w:val="21"/>
                <w:highlight w:val="none"/>
                <w:lang w:eastAsia="zh-CN"/>
              </w:rPr>
              <w:t>暂存于冷柜，委托北票市汇宏动物无害化处理有限公司定期运走做无害化</w:t>
            </w:r>
            <w:r>
              <w:rPr>
                <w:rFonts w:hint="eastAsia"/>
                <w:color w:val="auto"/>
                <w:kern w:val="0"/>
                <w:sz w:val="21"/>
                <w:szCs w:val="21"/>
                <w:highlight w:val="none"/>
              </w:rPr>
              <w:t>处理；</w:t>
            </w:r>
          </w:p>
        </w:tc>
        <w:tc>
          <w:tcPr>
            <w:tcW w:w="856" w:type="dxa"/>
            <w:vAlign w:val="center"/>
          </w:tcPr>
          <w:p w14:paraId="5226EAD1">
            <w:pPr>
              <w:jc w:val="center"/>
              <w:rPr>
                <w:color w:val="auto"/>
                <w:szCs w:val="21"/>
              </w:rPr>
            </w:pPr>
            <w:r>
              <w:rPr>
                <w:color w:val="auto"/>
                <w:szCs w:val="21"/>
              </w:rPr>
              <w:t>符合</w:t>
            </w:r>
          </w:p>
        </w:tc>
      </w:tr>
    </w:tbl>
    <w:p w14:paraId="27974F1D">
      <w:pPr>
        <w:spacing w:line="360" w:lineRule="auto"/>
        <w:ind w:firstLine="482" w:firstLineChars="200"/>
        <w:jc w:val="left"/>
        <w:rPr>
          <w:b/>
          <w:color w:val="auto"/>
          <w:kern w:val="21"/>
          <w:sz w:val="24"/>
        </w:rPr>
      </w:pPr>
      <w:r>
        <w:rPr>
          <w:rFonts w:hint="eastAsia"/>
          <w:b/>
          <w:color w:val="auto"/>
          <w:kern w:val="21"/>
          <w:sz w:val="24"/>
        </w:rPr>
        <w:t>2</w:t>
      </w:r>
      <w:r>
        <w:rPr>
          <w:b/>
          <w:color w:val="auto"/>
          <w:kern w:val="21"/>
          <w:sz w:val="24"/>
        </w:rPr>
        <w:t>）与《畜禽规模养殖污染防治条例》(国务院令第643号，2014年1月1日起施行)相符性分析</w:t>
      </w:r>
    </w:p>
    <w:p w14:paraId="549A7D55">
      <w:pPr>
        <w:pStyle w:val="125"/>
        <w:spacing w:line="240" w:lineRule="auto"/>
        <w:ind w:firstLine="413" w:firstLineChars="196"/>
        <w:jc w:val="center"/>
        <w:rPr>
          <w:b/>
          <w:color w:val="auto"/>
          <w:sz w:val="21"/>
          <w:szCs w:val="21"/>
        </w:rPr>
      </w:pPr>
      <w:r>
        <w:rPr>
          <w:b/>
          <w:color w:val="auto"/>
          <w:sz w:val="21"/>
          <w:szCs w:val="21"/>
        </w:rPr>
        <w:t>表1</w:t>
      </w:r>
      <w:r>
        <w:rPr>
          <w:rFonts w:hint="eastAsia"/>
          <w:b/>
          <w:color w:val="auto"/>
          <w:sz w:val="21"/>
          <w:szCs w:val="21"/>
          <w:lang w:val="en-US" w:eastAsia="zh-CN"/>
        </w:rPr>
        <w:t>.5-4</w:t>
      </w:r>
      <w:r>
        <w:rPr>
          <w:b/>
          <w:color w:val="auto"/>
          <w:sz w:val="21"/>
          <w:szCs w:val="21"/>
        </w:rPr>
        <w:t xml:space="preserve">    本项目与《畜禽规模养殖污染防治条例》对照表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8"/>
        <w:gridCol w:w="4230"/>
        <w:gridCol w:w="2689"/>
        <w:gridCol w:w="911"/>
      </w:tblGrid>
      <w:tr w14:paraId="599BEB6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dxa"/>
            <w:vAlign w:val="center"/>
          </w:tcPr>
          <w:p w14:paraId="5AEED4FA">
            <w:pPr>
              <w:pStyle w:val="149"/>
              <w:jc w:val="center"/>
              <w:rPr>
                <w:rFonts w:ascii="Times New Roman" w:cs="Times New Roman"/>
                <w:bCs/>
                <w:color w:val="auto"/>
                <w:kern w:val="21"/>
                <w:szCs w:val="21"/>
              </w:rPr>
            </w:pPr>
            <w:r>
              <w:rPr>
                <w:rFonts w:ascii="Times New Roman" w:cs="Times New Roman"/>
                <w:color w:val="auto"/>
                <w:sz w:val="21"/>
                <w:szCs w:val="21"/>
              </w:rPr>
              <w:t>序号</w:t>
            </w:r>
          </w:p>
        </w:tc>
        <w:tc>
          <w:tcPr>
            <w:tcW w:w="4230" w:type="dxa"/>
            <w:vAlign w:val="center"/>
          </w:tcPr>
          <w:p w14:paraId="0184263C">
            <w:pPr>
              <w:pStyle w:val="149"/>
              <w:jc w:val="center"/>
              <w:rPr>
                <w:rFonts w:ascii="Times New Roman" w:cs="Times New Roman"/>
                <w:color w:val="auto"/>
                <w:sz w:val="21"/>
                <w:szCs w:val="21"/>
              </w:rPr>
            </w:pPr>
            <w:r>
              <w:rPr>
                <w:rFonts w:ascii="Times New Roman" w:cs="Times New Roman"/>
                <w:color w:val="auto"/>
                <w:sz w:val="21"/>
                <w:szCs w:val="21"/>
              </w:rPr>
              <w:t>《畜禽养殖业污染防治条例》中要求</w:t>
            </w:r>
          </w:p>
        </w:tc>
        <w:tc>
          <w:tcPr>
            <w:tcW w:w="2689" w:type="dxa"/>
            <w:vAlign w:val="center"/>
          </w:tcPr>
          <w:p w14:paraId="21E00774">
            <w:pPr>
              <w:pStyle w:val="149"/>
              <w:jc w:val="center"/>
              <w:rPr>
                <w:rFonts w:ascii="Times New Roman" w:cs="Times New Roman"/>
                <w:color w:val="auto"/>
                <w:sz w:val="21"/>
                <w:szCs w:val="21"/>
              </w:rPr>
            </w:pPr>
            <w:r>
              <w:rPr>
                <w:rFonts w:ascii="Times New Roman" w:cs="Times New Roman"/>
                <w:color w:val="auto"/>
                <w:sz w:val="21"/>
                <w:szCs w:val="21"/>
              </w:rPr>
              <w:t>本项目实际建设内容</w:t>
            </w:r>
          </w:p>
        </w:tc>
        <w:tc>
          <w:tcPr>
            <w:tcW w:w="911" w:type="dxa"/>
            <w:vAlign w:val="center"/>
          </w:tcPr>
          <w:p w14:paraId="478EE1A7">
            <w:pPr>
              <w:pStyle w:val="149"/>
              <w:jc w:val="center"/>
              <w:rPr>
                <w:rFonts w:ascii="Times New Roman" w:cs="Times New Roman"/>
                <w:color w:val="auto"/>
                <w:sz w:val="21"/>
                <w:szCs w:val="21"/>
              </w:rPr>
            </w:pPr>
            <w:r>
              <w:rPr>
                <w:rFonts w:ascii="Times New Roman" w:cs="Times New Roman"/>
                <w:color w:val="auto"/>
                <w:sz w:val="21"/>
                <w:szCs w:val="21"/>
              </w:rPr>
              <w:t>符合性</w:t>
            </w:r>
          </w:p>
        </w:tc>
      </w:tr>
      <w:tr w14:paraId="197F37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dxa"/>
            <w:vAlign w:val="center"/>
          </w:tcPr>
          <w:p w14:paraId="49B95884">
            <w:pPr>
              <w:spacing w:line="360" w:lineRule="auto"/>
              <w:jc w:val="center"/>
              <w:rPr>
                <w:bCs/>
                <w:color w:val="auto"/>
                <w:kern w:val="21"/>
                <w:szCs w:val="21"/>
              </w:rPr>
            </w:pPr>
            <w:r>
              <w:rPr>
                <w:bCs/>
                <w:color w:val="auto"/>
                <w:kern w:val="21"/>
                <w:szCs w:val="21"/>
              </w:rPr>
              <w:t>1</w:t>
            </w:r>
          </w:p>
        </w:tc>
        <w:tc>
          <w:tcPr>
            <w:tcW w:w="4230" w:type="dxa"/>
            <w:vAlign w:val="center"/>
          </w:tcPr>
          <w:p w14:paraId="2AE59AA8">
            <w:pPr>
              <w:pStyle w:val="149"/>
              <w:jc w:val="center"/>
              <w:rPr>
                <w:rFonts w:ascii="Times New Roman" w:cs="Times New Roman"/>
                <w:color w:val="auto"/>
                <w:sz w:val="21"/>
                <w:szCs w:val="21"/>
              </w:rPr>
            </w:pPr>
            <w:r>
              <w:rPr>
                <w:rFonts w:ascii="Times New Roman" w:cs="Times New Roman"/>
                <w:color w:val="auto"/>
                <w:sz w:val="21"/>
                <w:szCs w:val="21"/>
              </w:rPr>
              <w:t>禁止在饮用水源保护区，风景名胜区建设畜禽养殖场、养殖小区。</w:t>
            </w:r>
          </w:p>
        </w:tc>
        <w:tc>
          <w:tcPr>
            <w:tcW w:w="2689" w:type="dxa"/>
            <w:vAlign w:val="center"/>
          </w:tcPr>
          <w:p w14:paraId="63B7E60D">
            <w:pPr>
              <w:pStyle w:val="149"/>
              <w:jc w:val="center"/>
              <w:rPr>
                <w:rFonts w:ascii="Times New Roman" w:cs="Times New Roman"/>
                <w:color w:val="auto"/>
                <w:sz w:val="21"/>
                <w:szCs w:val="21"/>
              </w:rPr>
            </w:pPr>
            <w:r>
              <w:rPr>
                <w:rFonts w:ascii="Times New Roman" w:cs="Times New Roman"/>
                <w:color w:val="auto"/>
                <w:sz w:val="21"/>
                <w:szCs w:val="21"/>
              </w:rPr>
              <w:t>本项目不在饮用水源保护区，风景名胜区内。</w:t>
            </w:r>
          </w:p>
        </w:tc>
        <w:tc>
          <w:tcPr>
            <w:tcW w:w="911" w:type="dxa"/>
            <w:vAlign w:val="center"/>
          </w:tcPr>
          <w:p w14:paraId="12F5C1D0">
            <w:pPr>
              <w:spacing w:line="360" w:lineRule="auto"/>
              <w:jc w:val="center"/>
              <w:rPr>
                <w:bCs/>
                <w:color w:val="auto"/>
                <w:kern w:val="21"/>
                <w:szCs w:val="21"/>
              </w:rPr>
            </w:pPr>
            <w:r>
              <w:rPr>
                <w:bCs/>
                <w:color w:val="auto"/>
                <w:kern w:val="21"/>
                <w:szCs w:val="21"/>
              </w:rPr>
              <w:t>符合</w:t>
            </w:r>
          </w:p>
        </w:tc>
      </w:tr>
      <w:tr w14:paraId="0039EBC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dxa"/>
            <w:vAlign w:val="center"/>
          </w:tcPr>
          <w:p w14:paraId="4F36BFEA">
            <w:pPr>
              <w:spacing w:line="360" w:lineRule="auto"/>
              <w:jc w:val="center"/>
              <w:rPr>
                <w:bCs/>
                <w:color w:val="auto"/>
                <w:kern w:val="21"/>
                <w:szCs w:val="21"/>
              </w:rPr>
            </w:pPr>
            <w:r>
              <w:rPr>
                <w:bCs/>
                <w:color w:val="auto"/>
                <w:kern w:val="21"/>
                <w:szCs w:val="21"/>
              </w:rPr>
              <w:t>2</w:t>
            </w:r>
          </w:p>
        </w:tc>
        <w:tc>
          <w:tcPr>
            <w:tcW w:w="4230" w:type="dxa"/>
            <w:vAlign w:val="center"/>
          </w:tcPr>
          <w:p w14:paraId="07F4724E">
            <w:pPr>
              <w:pStyle w:val="149"/>
              <w:jc w:val="center"/>
              <w:rPr>
                <w:rFonts w:ascii="Times New Roman" w:cs="Times New Roman"/>
                <w:color w:val="auto"/>
                <w:sz w:val="21"/>
                <w:szCs w:val="21"/>
              </w:rPr>
            </w:pPr>
            <w:r>
              <w:rPr>
                <w:rFonts w:ascii="Times New Roman" w:cs="Times New Roman"/>
                <w:color w:val="auto"/>
                <w:sz w:val="21"/>
                <w:szCs w:val="21"/>
              </w:rPr>
              <w:t>禁止在自然保护区的核心区和缓冲区建设畜禽养殖场、养殖小区。</w:t>
            </w:r>
          </w:p>
        </w:tc>
        <w:tc>
          <w:tcPr>
            <w:tcW w:w="2689" w:type="dxa"/>
            <w:vAlign w:val="center"/>
          </w:tcPr>
          <w:p w14:paraId="16CB729A">
            <w:pPr>
              <w:pStyle w:val="149"/>
              <w:jc w:val="center"/>
              <w:rPr>
                <w:rFonts w:ascii="Times New Roman" w:cs="Times New Roman"/>
                <w:color w:val="auto"/>
                <w:sz w:val="21"/>
                <w:szCs w:val="21"/>
              </w:rPr>
            </w:pPr>
            <w:r>
              <w:rPr>
                <w:rFonts w:ascii="Times New Roman" w:cs="Times New Roman"/>
                <w:color w:val="auto"/>
                <w:sz w:val="21"/>
                <w:szCs w:val="21"/>
              </w:rPr>
              <w:t>本项目不在自然保护区的核心区和缓冲区内。</w:t>
            </w:r>
          </w:p>
        </w:tc>
        <w:tc>
          <w:tcPr>
            <w:tcW w:w="911" w:type="dxa"/>
            <w:vAlign w:val="center"/>
          </w:tcPr>
          <w:p w14:paraId="7C3FB1C9">
            <w:pPr>
              <w:spacing w:line="360" w:lineRule="auto"/>
              <w:jc w:val="center"/>
              <w:rPr>
                <w:bCs/>
                <w:color w:val="auto"/>
                <w:kern w:val="21"/>
                <w:szCs w:val="21"/>
              </w:rPr>
            </w:pPr>
            <w:r>
              <w:rPr>
                <w:bCs/>
                <w:color w:val="auto"/>
                <w:kern w:val="21"/>
                <w:szCs w:val="21"/>
              </w:rPr>
              <w:t>符合</w:t>
            </w:r>
          </w:p>
        </w:tc>
      </w:tr>
      <w:tr w14:paraId="461B95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dxa"/>
            <w:vAlign w:val="center"/>
          </w:tcPr>
          <w:p w14:paraId="5B7F7677">
            <w:pPr>
              <w:spacing w:line="360" w:lineRule="auto"/>
              <w:jc w:val="center"/>
              <w:rPr>
                <w:bCs/>
                <w:color w:val="auto"/>
                <w:kern w:val="21"/>
                <w:szCs w:val="21"/>
              </w:rPr>
            </w:pPr>
            <w:r>
              <w:rPr>
                <w:bCs/>
                <w:color w:val="auto"/>
                <w:kern w:val="21"/>
                <w:szCs w:val="21"/>
              </w:rPr>
              <w:t>3</w:t>
            </w:r>
          </w:p>
        </w:tc>
        <w:tc>
          <w:tcPr>
            <w:tcW w:w="4230" w:type="dxa"/>
            <w:vAlign w:val="center"/>
          </w:tcPr>
          <w:p w14:paraId="2A6692EB">
            <w:pPr>
              <w:pStyle w:val="149"/>
              <w:jc w:val="center"/>
              <w:rPr>
                <w:rFonts w:ascii="Times New Roman" w:cs="Times New Roman"/>
                <w:color w:val="auto"/>
                <w:sz w:val="21"/>
                <w:szCs w:val="21"/>
              </w:rPr>
            </w:pPr>
            <w:r>
              <w:rPr>
                <w:rFonts w:ascii="Times New Roman" w:cs="Times New Roman"/>
                <w:color w:val="auto"/>
                <w:sz w:val="21"/>
                <w:szCs w:val="21"/>
              </w:rPr>
              <w:t>禁止在城镇居民区、文化教育科学研究区等人口集中区域建设畜禽养殖场、养殖小区。</w:t>
            </w:r>
          </w:p>
        </w:tc>
        <w:tc>
          <w:tcPr>
            <w:tcW w:w="2689" w:type="dxa"/>
            <w:vAlign w:val="center"/>
          </w:tcPr>
          <w:p w14:paraId="03B7B35C">
            <w:pPr>
              <w:pStyle w:val="149"/>
              <w:jc w:val="center"/>
              <w:rPr>
                <w:rFonts w:ascii="Times New Roman" w:cs="Times New Roman"/>
                <w:color w:val="auto"/>
                <w:sz w:val="21"/>
                <w:szCs w:val="21"/>
              </w:rPr>
            </w:pPr>
            <w:r>
              <w:rPr>
                <w:rFonts w:ascii="Times New Roman" w:cs="Times New Roman"/>
                <w:color w:val="auto"/>
                <w:sz w:val="21"/>
                <w:szCs w:val="21"/>
              </w:rPr>
              <w:t>本项目位于农村地区。</w:t>
            </w:r>
          </w:p>
        </w:tc>
        <w:tc>
          <w:tcPr>
            <w:tcW w:w="911" w:type="dxa"/>
            <w:vAlign w:val="center"/>
          </w:tcPr>
          <w:p w14:paraId="6F9DAC91">
            <w:pPr>
              <w:spacing w:line="360" w:lineRule="auto"/>
              <w:jc w:val="center"/>
              <w:rPr>
                <w:bCs/>
                <w:color w:val="auto"/>
                <w:kern w:val="21"/>
                <w:szCs w:val="21"/>
              </w:rPr>
            </w:pPr>
            <w:r>
              <w:rPr>
                <w:bCs/>
                <w:color w:val="auto"/>
                <w:kern w:val="21"/>
                <w:szCs w:val="21"/>
              </w:rPr>
              <w:t>符合</w:t>
            </w:r>
          </w:p>
        </w:tc>
      </w:tr>
      <w:tr w14:paraId="75A6CF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dxa"/>
            <w:vAlign w:val="center"/>
          </w:tcPr>
          <w:p w14:paraId="2B13D1D8">
            <w:pPr>
              <w:spacing w:line="360" w:lineRule="auto"/>
              <w:jc w:val="center"/>
              <w:rPr>
                <w:bCs/>
                <w:color w:val="auto"/>
                <w:kern w:val="21"/>
                <w:szCs w:val="21"/>
              </w:rPr>
            </w:pPr>
            <w:r>
              <w:rPr>
                <w:bCs/>
                <w:color w:val="auto"/>
                <w:kern w:val="21"/>
                <w:szCs w:val="21"/>
              </w:rPr>
              <w:t>4</w:t>
            </w:r>
          </w:p>
        </w:tc>
        <w:tc>
          <w:tcPr>
            <w:tcW w:w="4230" w:type="dxa"/>
            <w:vAlign w:val="center"/>
          </w:tcPr>
          <w:p w14:paraId="1B07DC67">
            <w:pPr>
              <w:pStyle w:val="149"/>
              <w:jc w:val="center"/>
              <w:rPr>
                <w:rFonts w:ascii="Times New Roman" w:cs="Times New Roman"/>
                <w:color w:val="auto"/>
                <w:sz w:val="21"/>
                <w:szCs w:val="21"/>
              </w:rPr>
            </w:pPr>
            <w:r>
              <w:rPr>
                <w:rFonts w:ascii="Times New Roman" w:cs="Times New Roman"/>
                <w:color w:val="auto"/>
                <w:sz w:val="21"/>
                <w:szCs w:val="21"/>
              </w:rPr>
              <w:t>禁止在法律、法规规定的其他禁止养殖区域建设畜禽养殖场、养殖小区。</w:t>
            </w:r>
          </w:p>
        </w:tc>
        <w:tc>
          <w:tcPr>
            <w:tcW w:w="2689" w:type="dxa"/>
            <w:vAlign w:val="center"/>
          </w:tcPr>
          <w:p w14:paraId="3723691C">
            <w:pPr>
              <w:pStyle w:val="149"/>
              <w:jc w:val="center"/>
              <w:rPr>
                <w:rFonts w:ascii="Times New Roman" w:cs="Times New Roman"/>
                <w:color w:val="auto"/>
                <w:sz w:val="21"/>
                <w:szCs w:val="21"/>
              </w:rPr>
            </w:pPr>
            <w:r>
              <w:rPr>
                <w:rFonts w:ascii="Times New Roman" w:cs="Times New Roman"/>
                <w:color w:val="auto"/>
                <w:sz w:val="21"/>
                <w:szCs w:val="21"/>
              </w:rPr>
              <w:t>本项目不在法律、法规规定的其他禁止养殖区域。</w:t>
            </w:r>
          </w:p>
        </w:tc>
        <w:tc>
          <w:tcPr>
            <w:tcW w:w="911" w:type="dxa"/>
            <w:vAlign w:val="center"/>
          </w:tcPr>
          <w:p w14:paraId="78C9B8AD">
            <w:pPr>
              <w:spacing w:line="360" w:lineRule="auto"/>
              <w:jc w:val="center"/>
              <w:rPr>
                <w:bCs/>
                <w:color w:val="auto"/>
                <w:kern w:val="21"/>
                <w:szCs w:val="21"/>
              </w:rPr>
            </w:pPr>
            <w:r>
              <w:rPr>
                <w:bCs/>
                <w:color w:val="auto"/>
                <w:kern w:val="21"/>
                <w:szCs w:val="21"/>
              </w:rPr>
              <w:t>符合</w:t>
            </w:r>
          </w:p>
        </w:tc>
      </w:tr>
      <w:tr w14:paraId="285951B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dxa"/>
            <w:vAlign w:val="center"/>
          </w:tcPr>
          <w:p w14:paraId="7346DA45">
            <w:pPr>
              <w:spacing w:line="360" w:lineRule="auto"/>
              <w:jc w:val="center"/>
              <w:rPr>
                <w:bCs/>
                <w:color w:val="auto"/>
                <w:kern w:val="21"/>
                <w:szCs w:val="21"/>
              </w:rPr>
            </w:pPr>
            <w:r>
              <w:rPr>
                <w:bCs/>
                <w:color w:val="auto"/>
                <w:kern w:val="21"/>
                <w:szCs w:val="21"/>
              </w:rPr>
              <w:t>5</w:t>
            </w:r>
          </w:p>
        </w:tc>
        <w:tc>
          <w:tcPr>
            <w:tcW w:w="4230" w:type="dxa"/>
            <w:vAlign w:val="center"/>
          </w:tcPr>
          <w:p w14:paraId="72E023F5">
            <w:pPr>
              <w:jc w:val="center"/>
              <w:rPr>
                <w:color w:val="auto"/>
                <w:szCs w:val="21"/>
              </w:rPr>
            </w:pPr>
            <w:r>
              <w:rPr>
                <w:color w:val="auto"/>
                <w:szCs w:val="21"/>
              </w:rPr>
              <w:t>第十三条：畜禽养殖场、养殖小区应当根据养殖规模和污染防治需要，建设相应的畜禽粪便、污水与雨水分流设施，畜禽粪便、污水的贮存设施，粪污厌氧消化和堆沤、有机肥加工、制取沼气、沼渣沼液分离和输送、污水处理、畜禽尸体处理等综合利用和无害化处理设施。</w:t>
            </w:r>
          </w:p>
        </w:tc>
        <w:tc>
          <w:tcPr>
            <w:tcW w:w="2689" w:type="dxa"/>
            <w:vAlign w:val="center"/>
          </w:tcPr>
          <w:p w14:paraId="5E590333">
            <w:pPr>
              <w:jc w:val="center"/>
              <w:rPr>
                <w:color w:val="auto"/>
                <w:szCs w:val="21"/>
              </w:rPr>
            </w:pPr>
            <w:r>
              <w:rPr>
                <w:color w:val="auto"/>
                <w:szCs w:val="21"/>
              </w:rPr>
              <w:t>本项</w:t>
            </w:r>
            <w:r>
              <w:rPr>
                <w:color w:val="auto"/>
                <w:kern w:val="0"/>
                <w:szCs w:val="21"/>
              </w:rPr>
              <w:t>雨污分流，厂区内设置专用污水管道和雨水管道</w:t>
            </w:r>
            <w:r>
              <w:rPr>
                <w:rFonts w:hint="eastAsia"/>
                <w:color w:val="auto"/>
                <w:kern w:val="0"/>
                <w:szCs w:val="21"/>
                <w:lang w:eastAsia="zh-CN"/>
              </w:rPr>
              <w:t>，</w:t>
            </w:r>
            <w:r>
              <w:rPr>
                <w:rFonts w:hint="eastAsia"/>
                <w:color w:val="auto"/>
                <w:kern w:val="0"/>
                <w:szCs w:val="21"/>
              </w:rPr>
              <w:t>雨水通过雨水管网排出厂区</w:t>
            </w:r>
            <w:r>
              <w:rPr>
                <w:rFonts w:hint="eastAsia"/>
                <w:color w:val="auto"/>
              </w:rPr>
              <w:t>；</w:t>
            </w:r>
            <w:r>
              <w:rPr>
                <w:rFonts w:hint="eastAsia"/>
                <w:color w:val="auto"/>
                <w:kern w:val="0"/>
                <w:szCs w:val="21"/>
              </w:rPr>
              <w:t>鸡粪、鸡羽毛、饲料残渣</w:t>
            </w:r>
            <w:r>
              <w:rPr>
                <w:rFonts w:hint="eastAsia"/>
                <w:color w:val="auto"/>
                <w:kern w:val="0"/>
                <w:sz w:val="21"/>
                <w:szCs w:val="21"/>
              </w:rPr>
              <w:t>均日产日清由</w:t>
            </w:r>
            <w:r>
              <w:rPr>
                <w:rFonts w:hint="eastAsia"/>
                <w:color w:val="auto"/>
                <w:kern w:val="0"/>
                <w:sz w:val="21"/>
                <w:szCs w:val="21"/>
                <w:highlight w:val="none"/>
              </w:rPr>
              <w:t>清粪车直接拉走外售</w:t>
            </w:r>
            <w:r>
              <w:rPr>
                <w:rFonts w:hint="eastAsia"/>
                <w:color w:val="auto"/>
                <w:kern w:val="0"/>
                <w:sz w:val="21"/>
                <w:szCs w:val="21"/>
                <w:highlight w:val="none"/>
                <w:lang w:eastAsia="zh-CN"/>
              </w:rPr>
              <w:t>至辰泰（辽宁）生物科技有限公司</w:t>
            </w:r>
            <w:r>
              <w:rPr>
                <w:rFonts w:hint="eastAsia"/>
                <w:color w:val="auto"/>
                <w:kern w:val="0"/>
                <w:sz w:val="21"/>
                <w:szCs w:val="21"/>
                <w:highlight w:val="none"/>
              </w:rPr>
              <w:t>进行有机肥制造；养殖废水日产日清</w:t>
            </w:r>
            <w:r>
              <w:rPr>
                <w:rFonts w:hint="eastAsia"/>
                <w:color w:val="auto"/>
                <w:kern w:val="0"/>
                <w:sz w:val="21"/>
                <w:szCs w:val="21"/>
                <w:highlight w:val="none"/>
                <w:lang w:eastAsia="zh-CN"/>
              </w:rPr>
              <w:t>，由罐车直接拉走外售至辰泰（辽宁）生物科技有限公司做有机肥</w:t>
            </w:r>
            <w:r>
              <w:rPr>
                <w:rFonts w:hint="eastAsia"/>
                <w:color w:val="auto"/>
                <w:kern w:val="0"/>
                <w:sz w:val="21"/>
                <w:szCs w:val="21"/>
                <w:highlight w:val="none"/>
              </w:rPr>
              <w:t>；病死鸡病死鸡</w:t>
            </w:r>
            <w:r>
              <w:rPr>
                <w:rFonts w:hint="eastAsia"/>
                <w:color w:val="auto"/>
                <w:kern w:val="0"/>
                <w:sz w:val="21"/>
                <w:szCs w:val="21"/>
                <w:highlight w:val="none"/>
                <w:lang w:eastAsia="zh-CN"/>
              </w:rPr>
              <w:t>暂存于冷柜，委托北票市汇宏动物无害化处理有限公司定期运走做无害化</w:t>
            </w:r>
            <w:r>
              <w:rPr>
                <w:rFonts w:hint="eastAsia"/>
                <w:color w:val="auto"/>
                <w:kern w:val="0"/>
                <w:sz w:val="21"/>
                <w:szCs w:val="21"/>
                <w:highlight w:val="none"/>
              </w:rPr>
              <w:t>处理；</w:t>
            </w:r>
          </w:p>
        </w:tc>
        <w:tc>
          <w:tcPr>
            <w:tcW w:w="911" w:type="dxa"/>
            <w:vAlign w:val="center"/>
          </w:tcPr>
          <w:p w14:paraId="195B7999">
            <w:pPr>
              <w:jc w:val="center"/>
              <w:rPr>
                <w:color w:val="auto"/>
                <w:szCs w:val="21"/>
              </w:rPr>
            </w:pPr>
            <w:r>
              <w:rPr>
                <w:color w:val="auto"/>
                <w:szCs w:val="21"/>
              </w:rPr>
              <w:t>符合</w:t>
            </w:r>
          </w:p>
        </w:tc>
      </w:tr>
      <w:tr w14:paraId="790066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dxa"/>
            <w:vAlign w:val="center"/>
          </w:tcPr>
          <w:p w14:paraId="60EEFB77">
            <w:pPr>
              <w:spacing w:line="360" w:lineRule="auto"/>
              <w:jc w:val="center"/>
              <w:rPr>
                <w:bCs/>
                <w:color w:val="auto"/>
                <w:kern w:val="21"/>
                <w:szCs w:val="21"/>
              </w:rPr>
            </w:pPr>
            <w:r>
              <w:rPr>
                <w:bCs/>
                <w:color w:val="auto"/>
                <w:kern w:val="21"/>
                <w:szCs w:val="21"/>
              </w:rPr>
              <w:t>6</w:t>
            </w:r>
          </w:p>
        </w:tc>
        <w:tc>
          <w:tcPr>
            <w:tcW w:w="4230" w:type="dxa"/>
            <w:vAlign w:val="center"/>
          </w:tcPr>
          <w:p w14:paraId="75D7C9AC">
            <w:pPr>
              <w:jc w:val="center"/>
              <w:rPr>
                <w:color w:val="auto"/>
                <w:szCs w:val="21"/>
              </w:rPr>
            </w:pPr>
            <w:r>
              <w:rPr>
                <w:color w:val="auto"/>
                <w:szCs w:val="21"/>
              </w:rPr>
              <w:t>第十五条：国家鼓励和支持采取粪肥还田、制取沼气、制造肥料等方法，对畜禽养殖废物进行综合利用</w:t>
            </w:r>
          </w:p>
        </w:tc>
        <w:tc>
          <w:tcPr>
            <w:tcW w:w="2689" w:type="dxa"/>
            <w:vAlign w:val="center"/>
          </w:tcPr>
          <w:p w14:paraId="0C2E2221">
            <w:pPr>
              <w:jc w:val="center"/>
              <w:rPr>
                <w:rFonts w:hint="eastAsia" w:eastAsia="宋体"/>
                <w:color w:val="auto"/>
                <w:szCs w:val="21"/>
                <w:lang w:eastAsia="zh-CN"/>
              </w:rPr>
            </w:pPr>
            <w:r>
              <w:rPr>
                <w:color w:val="auto"/>
                <w:szCs w:val="21"/>
              </w:rPr>
              <w:t>本项目鸡粪</w:t>
            </w:r>
            <w:r>
              <w:rPr>
                <w:rFonts w:hint="eastAsia"/>
                <w:color w:val="auto"/>
                <w:szCs w:val="21"/>
              </w:rPr>
              <w:t>、鸡羽毛、饲料残渣</w:t>
            </w:r>
            <w:r>
              <w:rPr>
                <w:color w:val="auto"/>
                <w:szCs w:val="21"/>
              </w:rPr>
              <w:t>外</w:t>
            </w:r>
            <w:r>
              <w:rPr>
                <w:rFonts w:hint="eastAsia"/>
                <w:color w:val="auto"/>
                <w:szCs w:val="21"/>
              </w:rPr>
              <w:t>售</w:t>
            </w:r>
            <w:r>
              <w:rPr>
                <w:rFonts w:hint="eastAsia"/>
                <w:color w:val="auto"/>
                <w:kern w:val="0"/>
                <w:szCs w:val="21"/>
              </w:rPr>
              <w:t>进行有机肥制造</w:t>
            </w:r>
            <w:r>
              <w:rPr>
                <w:rFonts w:hint="eastAsia"/>
                <w:color w:val="auto"/>
                <w:kern w:val="0"/>
                <w:szCs w:val="21"/>
                <w:lang w:eastAsia="zh-CN"/>
              </w:rPr>
              <w:t>；</w:t>
            </w:r>
          </w:p>
        </w:tc>
        <w:tc>
          <w:tcPr>
            <w:tcW w:w="911" w:type="dxa"/>
            <w:vAlign w:val="center"/>
          </w:tcPr>
          <w:p w14:paraId="438005E1">
            <w:pPr>
              <w:jc w:val="center"/>
              <w:rPr>
                <w:color w:val="auto"/>
                <w:szCs w:val="21"/>
              </w:rPr>
            </w:pPr>
            <w:r>
              <w:rPr>
                <w:color w:val="auto"/>
                <w:szCs w:val="21"/>
              </w:rPr>
              <w:t>符合</w:t>
            </w:r>
          </w:p>
        </w:tc>
      </w:tr>
      <w:tr w14:paraId="701E11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dxa"/>
            <w:vAlign w:val="center"/>
          </w:tcPr>
          <w:p w14:paraId="7D5748E8">
            <w:pPr>
              <w:spacing w:line="360" w:lineRule="auto"/>
              <w:jc w:val="center"/>
              <w:rPr>
                <w:bCs/>
                <w:color w:val="auto"/>
                <w:kern w:val="21"/>
                <w:szCs w:val="21"/>
              </w:rPr>
            </w:pPr>
            <w:r>
              <w:rPr>
                <w:bCs/>
                <w:color w:val="auto"/>
                <w:kern w:val="21"/>
                <w:szCs w:val="21"/>
              </w:rPr>
              <w:t>7</w:t>
            </w:r>
          </w:p>
        </w:tc>
        <w:tc>
          <w:tcPr>
            <w:tcW w:w="4230" w:type="dxa"/>
            <w:vAlign w:val="center"/>
          </w:tcPr>
          <w:p w14:paraId="3D52B6F7">
            <w:pPr>
              <w:jc w:val="center"/>
              <w:rPr>
                <w:rFonts w:hint="eastAsia" w:eastAsia="宋体"/>
                <w:color w:val="auto"/>
                <w:szCs w:val="21"/>
                <w:lang w:eastAsia="zh-CN"/>
              </w:rPr>
            </w:pPr>
            <w:r>
              <w:rPr>
                <w:color w:val="auto"/>
                <w:szCs w:val="21"/>
              </w:rPr>
              <w:t>第二十一条：染疫畜禽以及染疫畜禽排泄物、染疫畜禽产品、病死或者死因不明的畜禽尸体等病害畜禽养殖废弃物，应当按照有关法律、法规和国务院农牧主管部门的规定，进行深埋、化制、焚烧等无害化处理，不得随意处置</w:t>
            </w:r>
            <w:r>
              <w:rPr>
                <w:rFonts w:hint="eastAsia"/>
                <w:color w:val="auto"/>
                <w:szCs w:val="21"/>
                <w:lang w:eastAsia="zh-CN"/>
              </w:rPr>
              <w:t>。</w:t>
            </w:r>
          </w:p>
        </w:tc>
        <w:tc>
          <w:tcPr>
            <w:tcW w:w="2689" w:type="dxa"/>
            <w:vAlign w:val="center"/>
          </w:tcPr>
          <w:p w14:paraId="5475CF8B">
            <w:pPr>
              <w:jc w:val="center"/>
              <w:rPr>
                <w:color w:val="auto"/>
                <w:szCs w:val="21"/>
                <w:highlight w:val="none"/>
              </w:rPr>
            </w:pPr>
            <w:r>
              <w:rPr>
                <w:rFonts w:hint="eastAsia"/>
                <w:color w:val="auto"/>
                <w:kern w:val="0"/>
                <w:sz w:val="21"/>
                <w:szCs w:val="21"/>
                <w:highlight w:val="none"/>
              </w:rPr>
              <w:t>病死鸡病死鸡</w:t>
            </w:r>
            <w:r>
              <w:rPr>
                <w:rFonts w:hint="eastAsia"/>
                <w:color w:val="auto"/>
                <w:kern w:val="0"/>
                <w:sz w:val="21"/>
                <w:szCs w:val="21"/>
                <w:highlight w:val="none"/>
                <w:lang w:eastAsia="zh-CN"/>
              </w:rPr>
              <w:t>暂存于冷柜，委托北票市汇宏动物无害化处理有限公司定期运走做无害化</w:t>
            </w:r>
            <w:r>
              <w:rPr>
                <w:rFonts w:hint="eastAsia"/>
                <w:color w:val="auto"/>
                <w:kern w:val="0"/>
                <w:sz w:val="21"/>
                <w:szCs w:val="21"/>
                <w:highlight w:val="none"/>
              </w:rPr>
              <w:t>处理；</w:t>
            </w:r>
          </w:p>
        </w:tc>
        <w:tc>
          <w:tcPr>
            <w:tcW w:w="911" w:type="dxa"/>
            <w:vAlign w:val="center"/>
          </w:tcPr>
          <w:p w14:paraId="20B9F901">
            <w:pPr>
              <w:jc w:val="center"/>
              <w:rPr>
                <w:color w:val="auto"/>
                <w:szCs w:val="21"/>
              </w:rPr>
            </w:pPr>
            <w:r>
              <w:rPr>
                <w:color w:val="auto"/>
                <w:szCs w:val="21"/>
              </w:rPr>
              <w:t>符合</w:t>
            </w:r>
          </w:p>
        </w:tc>
      </w:tr>
      <w:tr w14:paraId="5940ECA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dxa"/>
            <w:vAlign w:val="center"/>
          </w:tcPr>
          <w:p w14:paraId="6C590821">
            <w:pPr>
              <w:spacing w:line="360" w:lineRule="auto"/>
              <w:jc w:val="center"/>
              <w:rPr>
                <w:bCs/>
                <w:color w:val="auto"/>
                <w:kern w:val="21"/>
                <w:szCs w:val="21"/>
              </w:rPr>
            </w:pPr>
            <w:r>
              <w:rPr>
                <w:bCs/>
                <w:color w:val="auto"/>
                <w:kern w:val="21"/>
                <w:szCs w:val="21"/>
              </w:rPr>
              <w:t>8</w:t>
            </w:r>
          </w:p>
        </w:tc>
        <w:tc>
          <w:tcPr>
            <w:tcW w:w="4230" w:type="dxa"/>
            <w:vAlign w:val="center"/>
          </w:tcPr>
          <w:p w14:paraId="7E1A7FDB">
            <w:pPr>
              <w:jc w:val="center"/>
              <w:rPr>
                <w:color w:val="auto"/>
                <w:szCs w:val="21"/>
              </w:rPr>
            </w:pPr>
            <w:r>
              <w:rPr>
                <w:color w:val="auto"/>
                <w:szCs w:val="21"/>
              </w:rPr>
              <w:t>新建、改建、扩建的畜禽养殖场宜采用干清粪工艺</w:t>
            </w:r>
          </w:p>
        </w:tc>
        <w:tc>
          <w:tcPr>
            <w:tcW w:w="2689" w:type="dxa"/>
            <w:vAlign w:val="center"/>
          </w:tcPr>
          <w:p w14:paraId="4070EA10">
            <w:pPr>
              <w:jc w:val="center"/>
              <w:rPr>
                <w:rFonts w:hint="eastAsia" w:eastAsia="宋体"/>
                <w:color w:val="auto"/>
                <w:szCs w:val="21"/>
                <w:lang w:eastAsia="zh-CN"/>
              </w:rPr>
            </w:pPr>
            <w:r>
              <w:rPr>
                <w:color w:val="auto"/>
                <w:szCs w:val="21"/>
              </w:rPr>
              <w:t>本项目养殖采用干清粪工艺</w:t>
            </w:r>
            <w:r>
              <w:rPr>
                <w:rFonts w:hint="eastAsia"/>
                <w:color w:val="auto"/>
                <w:szCs w:val="21"/>
                <w:lang w:eastAsia="zh-CN"/>
              </w:rPr>
              <w:t>；</w:t>
            </w:r>
          </w:p>
        </w:tc>
        <w:tc>
          <w:tcPr>
            <w:tcW w:w="911" w:type="dxa"/>
            <w:vAlign w:val="center"/>
          </w:tcPr>
          <w:p w14:paraId="5A6B7B60">
            <w:pPr>
              <w:jc w:val="center"/>
              <w:rPr>
                <w:color w:val="auto"/>
                <w:szCs w:val="21"/>
              </w:rPr>
            </w:pPr>
            <w:r>
              <w:rPr>
                <w:color w:val="auto"/>
                <w:szCs w:val="21"/>
              </w:rPr>
              <w:t>符合</w:t>
            </w:r>
          </w:p>
        </w:tc>
      </w:tr>
      <w:tr w14:paraId="494CA2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dxa"/>
            <w:vAlign w:val="center"/>
          </w:tcPr>
          <w:p w14:paraId="38F0815F">
            <w:pPr>
              <w:spacing w:line="360" w:lineRule="auto"/>
              <w:jc w:val="center"/>
              <w:rPr>
                <w:bCs/>
                <w:color w:val="auto"/>
                <w:kern w:val="21"/>
                <w:szCs w:val="21"/>
              </w:rPr>
            </w:pPr>
            <w:r>
              <w:rPr>
                <w:bCs/>
                <w:color w:val="auto"/>
                <w:kern w:val="21"/>
                <w:szCs w:val="21"/>
              </w:rPr>
              <w:t>9</w:t>
            </w:r>
          </w:p>
        </w:tc>
        <w:tc>
          <w:tcPr>
            <w:tcW w:w="4230" w:type="dxa"/>
            <w:vAlign w:val="center"/>
          </w:tcPr>
          <w:p w14:paraId="010CABF6">
            <w:pPr>
              <w:jc w:val="center"/>
              <w:rPr>
                <w:color w:val="auto"/>
                <w:szCs w:val="21"/>
              </w:rPr>
            </w:pPr>
            <w:r>
              <w:rPr>
                <w:color w:val="auto"/>
                <w:szCs w:val="21"/>
              </w:rPr>
              <w:t>畜禽养殖场应建立排水系统，并实行雨污分流</w:t>
            </w:r>
          </w:p>
        </w:tc>
        <w:tc>
          <w:tcPr>
            <w:tcW w:w="2689" w:type="dxa"/>
            <w:vAlign w:val="center"/>
          </w:tcPr>
          <w:p w14:paraId="7E7A4297">
            <w:pPr>
              <w:jc w:val="center"/>
              <w:rPr>
                <w:rFonts w:hint="eastAsia" w:eastAsia="宋体"/>
                <w:color w:val="auto"/>
                <w:szCs w:val="21"/>
                <w:lang w:eastAsia="zh-CN"/>
              </w:rPr>
            </w:pPr>
            <w:r>
              <w:rPr>
                <w:color w:val="auto"/>
                <w:szCs w:val="21"/>
              </w:rPr>
              <w:t>本项目</w:t>
            </w:r>
            <w:r>
              <w:rPr>
                <w:color w:val="auto"/>
                <w:kern w:val="0"/>
                <w:szCs w:val="21"/>
              </w:rPr>
              <w:t>雨污分流，厂区内设置专用污水管道和雨水管道</w:t>
            </w:r>
            <w:r>
              <w:rPr>
                <w:rFonts w:hint="eastAsia"/>
                <w:color w:val="auto"/>
                <w:kern w:val="0"/>
                <w:szCs w:val="21"/>
                <w:lang w:eastAsia="zh-CN"/>
              </w:rPr>
              <w:t>，</w:t>
            </w:r>
            <w:r>
              <w:rPr>
                <w:rFonts w:hint="eastAsia"/>
                <w:color w:val="auto"/>
                <w:kern w:val="0"/>
                <w:szCs w:val="21"/>
              </w:rPr>
              <w:t>雨水通过雨水管网排出厂区</w:t>
            </w:r>
            <w:r>
              <w:rPr>
                <w:rFonts w:hint="eastAsia"/>
                <w:color w:val="auto"/>
                <w:kern w:val="0"/>
                <w:szCs w:val="21"/>
                <w:lang w:eastAsia="zh-CN"/>
              </w:rPr>
              <w:t>。</w:t>
            </w:r>
          </w:p>
        </w:tc>
        <w:tc>
          <w:tcPr>
            <w:tcW w:w="911" w:type="dxa"/>
            <w:vAlign w:val="center"/>
          </w:tcPr>
          <w:p w14:paraId="6C58B5BA">
            <w:pPr>
              <w:jc w:val="center"/>
              <w:rPr>
                <w:color w:val="auto"/>
                <w:szCs w:val="21"/>
              </w:rPr>
            </w:pPr>
            <w:r>
              <w:rPr>
                <w:color w:val="auto"/>
                <w:szCs w:val="21"/>
              </w:rPr>
              <w:t>符合</w:t>
            </w:r>
          </w:p>
        </w:tc>
      </w:tr>
      <w:tr w14:paraId="382D1DC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dxa"/>
            <w:vAlign w:val="center"/>
          </w:tcPr>
          <w:p w14:paraId="440866FC">
            <w:pPr>
              <w:spacing w:line="360" w:lineRule="auto"/>
              <w:jc w:val="center"/>
              <w:rPr>
                <w:bCs/>
                <w:color w:val="auto"/>
                <w:kern w:val="21"/>
                <w:szCs w:val="21"/>
              </w:rPr>
            </w:pPr>
            <w:r>
              <w:rPr>
                <w:bCs/>
                <w:color w:val="auto"/>
                <w:kern w:val="21"/>
                <w:szCs w:val="21"/>
              </w:rPr>
              <w:t>10</w:t>
            </w:r>
          </w:p>
        </w:tc>
        <w:tc>
          <w:tcPr>
            <w:tcW w:w="4230" w:type="dxa"/>
            <w:vAlign w:val="center"/>
          </w:tcPr>
          <w:p w14:paraId="0F3260E6">
            <w:pPr>
              <w:jc w:val="center"/>
              <w:rPr>
                <w:color w:val="auto"/>
                <w:szCs w:val="21"/>
              </w:rPr>
            </w:pPr>
            <w:r>
              <w:rPr>
                <w:color w:val="auto"/>
                <w:szCs w:val="21"/>
              </w:rPr>
              <w:t>病死畜禽尸体应及时处理，不得随意丢弃，不得出售或作为饲料再利用。</w:t>
            </w:r>
          </w:p>
        </w:tc>
        <w:tc>
          <w:tcPr>
            <w:tcW w:w="2689" w:type="dxa"/>
            <w:vAlign w:val="center"/>
          </w:tcPr>
          <w:p w14:paraId="3A530D26">
            <w:pPr>
              <w:jc w:val="center"/>
              <w:rPr>
                <w:color w:val="auto"/>
                <w:szCs w:val="21"/>
                <w:highlight w:val="none"/>
              </w:rPr>
            </w:pPr>
            <w:r>
              <w:rPr>
                <w:rFonts w:hint="eastAsia"/>
                <w:color w:val="auto"/>
                <w:kern w:val="0"/>
                <w:sz w:val="21"/>
                <w:szCs w:val="21"/>
                <w:highlight w:val="none"/>
              </w:rPr>
              <w:t>病死鸡病死鸡</w:t>
            </w:r>
            <w:r>
              <w:rPr>
                <w:rFonts w:hint="eastAsia"/>
                <w:color w:val="auto"/>
                <w:kern w:val="0"/>
                <w:sz w:val="21"/>
                <w:szCs w:val="21"/>
                <w:highlight w:val="none"/>
                <w:lang w:eastAsia="zh-CN"/>
              </w:rPr>
              <w:t>暂存于冷柜，委托北票市汇宏动物无害化处理有限公司定期运走做无害化</w:t>
            </w:r>
            <w:r>
              <w:rPr>
                <w:rFonts w:hint="eastAsia"/>
                <w:color w:val="auto"/>
                <w:kern w:val="0"/>
                <w:sz w:val="21"/>
                <w:szCs w:val="21"/>
                <w:highlight w:val="none"/>
              </w:rPr>
              <w:t>处理；</w:t>
            </w:r>
          </w:p>
        </w:tc>
        <w:tc>
          <w:tcPr>
            <w:tcW w:w="911" w:type="dxa"/>
            <w:vAlign w:val="center"/>
          </w:tcPr>
          <w:p w14:paraId="3E96F599">
            <w:pPr>
              <w:jc w:val="center"/>
              <w:rPr>
                <w:color w:val="auto"/>
                <w:szCs w:val="21"/>
              </w:rPr>
            </w:pPr>
            <w:r>
              <w:rPr>
                <w:color w:val="auto"/>
                <w:szCs w:val="21"/>
              </w:rPr>
              <w:t>符合</w:t>
            </w:r>
          </w:p>
        </w:tc>
      </w:tr>
    </w:tbl>
    <w:p w14:paraId="42BA54BB">
      <w:pPr>
        <w:spacing w:line="360" w:lineRule="auto"/>
        <w:ind w:firstLine="482" w:firstLineChars="200"/>
        <w:jc w:val="left"/>
        <w:rPr>
          <w:b/>
          <w:color w:val="auto"/>
          <w:kern w:val="21"/>
          <w:sz w:val="24"/>
        </w:rPr>
      </w:pPr>
      <w:r>
        <w:rPr>
          <w:rFonts w:hint="eastAsia"/>
          <w:b/>
          <w:bCs/>
          <w:color w:val="auto"/>
          <w:kern w:val="21"/>
          <w:sz w:val="24"/>
        </w:rPr>
        <w:t>3</w:t>
      </w:r>
      <w:r>
        <w:rPr>
          <w:b/>
          <w:color w:val="auto"/>
          <w:kern w:val="21"/>
          <w:sz w:val="24"/>
        </w:rPr>
        <w:t>）与《动物防疫条件审查办法》（</w:t>
      </w:r>
      <w:r>
        <w:rPr>
          <w:rFonts w:hint="eastAsia"/>
          <w:b/>
          <w:color w:val="auto"/>
          <w:kern w:val="21"/>
          <w:sz w:val="24"/>
        </w:rPr>
        <w:t>中华人民共和国农业农村部令2022年第8号</w:t>
      </w:r>
      <w:r>
        <w:rPr>
          <w:b/>
          <w:color w:val="auto"/>
          <w:kern w:val="21"/>
          <w:sz w:val="24"/>
        </w:rPr>
        <w:t>）中选址要求相符性见下表</w:t>
      </w:r>
    </w:p>
    <w:p w14:paraId="3BF13115">
      <w:pPr>
        <w:pStyle w:val="125"/>
        <w:spacing w:line="240" w:lineRule="auto"/>
        <w:ind w:firstLine="413" w:firstLineChars="196"/>
        <w:jc w:val="center"/>
        <w:rPr>
          <w:b/>
          <w:color w:val="auto"/>
          <w:sz w:val="21"/>
          <w:szCs w:val="21"/>
        </w:rPr>
      </w:pPr>
      <w:r>
        <w:rPr>
          <w:b/>
          <w:color w:val="auto"/>
          <w:sz w:val="21"/>
          <w:szCs w:val="21"/>
        </w:rPr>
        <w:t>表1</w:t>
      </w:r>
      <w:r>
        <w:rPr>
          <w:rFonts w:hint="eastAsia"/>
          <w:b/>
          <w:color w:val="auto"/>
          <w:sz w:val="21"/>
          <w:szCs w:val="21"/>
          <w:lang w:val="en-US" w:eastAsia="zh-CN"/>
        </w:rPr>
        <w:t>.5-5</w:t>
      </w:r>
      <w:r>
        <w:rPr>
          <w:b/>
          <w:color w:val="auto"/>
          <w:sz w:val="21"/>
          <w:szCs w:val="21"/>
        </w:rPr>
        <w:t xml:space="preserve">   </w:t>
      </w:r>
      <w:r>
        <w:rPr>
          <w:rFonts w:hint="eastAsia"/>
          <w:b/>
          <w:color w:val="auto"/>
          <w:sz w:val="21"/>
          <w:szCs w:val="21"/>
          <w:lang w:val="en-US" w:eastAsia="zh-CN"/>
        </w:rPr>
        <w:t xml:space="preserve"> </w:t>
      </w:r>
      <w:r>
        <w:rPr>
          <w:b/>
          <w:color w:val="auto"/>
          <w:sz w:val="21"/>
          <w:szCs w:val="21"/>
        </w:rPr>
        <w:t>本项目与</w:t>
      </w:r>
      <w:r>
        <w:rPr>
          <w:b/>
          <w:bCs/>
          <w:color w:val="auto"/>
          <w:sz w:val="21"/>
          <w:szCs w:val="21"/>
        </w:rPr>
        <w:t>《动物防疫条件审查办法》</w:t>
      </w:r>
      <w:r>
        <w:rPr>
          <w:b/>
          <w:color w:val="auto"/>
          <w:sz w:val="21"/>
          <w:szCs w:val="21"/>
        </w:rPr>
        <w:t>对照表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8"/>
        <w:gridCol w:w="3780"/>
        <w:gridCol w:w="3240"/>
        <w:gridCol w:w="860"/>
      </w:tblGrid>
      <w:tr w14:paraId="410065C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Align w:val="center"/>
          </w:tcPr>
          <w:p w14:paraId="282C5E4E">
            <w:pPr>
              <w:jc w:val="center"/>
              <w:rPr>
                <w:bCs/>
                <w:color w:val="auto"/>
                <w:kern w:val="21"/>
                <w:szCs w:val="21"/>
              </w:rPr>
            </w:pPr>
            <w:r>
              <w:rPr>
                <w:bCs/>
                <w:color w:val="auto"/>
                <w:kern w:val="21"/>
                <w:szCs w:val="21"/>
              </w:rPr>
              <w:t>序号</w:t>
            </w:r>
          </w:p>
        </w:tc>
        <w:tc>
          <w:tcPr>
            <w:tcW w:w="3780" w:type="dxa"/>
            <w:vAlign w:val="center"/>
          </w:tcPr>
          <w:p w14:paraId="0E665852">
            <w:pPr>
              <w:pStyle w:val="149"/>
              <w:jc w:val="center"/>
              <w:rPr>
                <w:rFonts w:ascii="Times New Roman" w:cs="Times New Roman"/>
                <w:color w:val="auto"/>
                <w:sz w:val="21"/>
                <w:szCs w:val="21"/>
              </w:rPr>
            </w:pPr>
            <w:r>
              <w:rPr>
                <w:rFonts w:ascii="Times New Roman" w:cs="Times New Roman"/>
                <w:bCs/>
                <w:color w:val="auto"/>
                <w:kern w:val="21"/>
                <w:sz w:val="21"/>
                <w:szCs w:val="21"/>
              </w:rPr>
              <w:t>《动物防疫条件审查办法》</w:t>
            </w:r>
            <w:r>
              <w:rPr>
                <w:rFonts w:ascii="Times New Roman" w:cs="Times New Roman"/>
                <w:color w:val="auto"/>
                <w:sz w:val="21"/>
                <w:szCs w:val="21"/>
              </w:rPr>
              <w:t>中要求</w:t>
            </w:r>
          </w:p>
        </w:tc>
        <w:tc>
          <w:tcPr>
            <w:tcW w:w="3240" w:type="dxa"/>
            <w:vAlign w:val="center"/>
          </w:tcPr>
          <w:p w14:paraId="0501DB74">
            <w:pPr>
              <w:pStyle w:val="149"/>
              <w:jc w:val="center"/>
              <w:rPr>
                <w:rFonts w:ascii="Times New Roman" w:cs="Times New Roman"/>
                <w:color w:val="auto"/>
                <w:sz w:val="21"/>
                <w:szCs w:val="21"/>
              </w:rPr>
            </w:pPr>
            <w:r>
              <w:rPr>
                <w:rFonts w:ascii="Times New Roman" w:cs="Times New Roman"/>
                <w:color w:val="auto"/>
                <w:sz w:val="21"/>
                <w:szCs w:val="21"/>
              </w:rPr>
              <w:t>本项目实际建设内容</w:t>
            </w:r>
          </w:p>
        </w:tc>
        <w:tc>
          <w:tcPr>
            <w:tcW w:w="860" w:type="dxa"/>
            <w:vAlign w:val="center"/>
          </w:tcPr>
          <w:p w14:paraId="3D943BF3">
            <w:pPr>
              <w:pStyle w:val="149"/>
              <w:jc w:val="center"/>
              <w:rPr>
                <w:rFonts w:ascii="Times New Roman" w:cs="Times New Roman"/>
                <w:color w:val="auto"/>
                <w:sz w:val="21"/>
                <w:szCs w:val="21"/>
              </w:rPr>
            </w:pPr>
            <w:r>
              <w:rPr>
                <w:rFonts w:ascii="Times New Roman" w:cs="Times New Roman"/>
                <w:color w:val="auto"/>
                <w:sz w:val="21"/>
                <w:szCs w:val="21"/>
              </w:rPr>
              <w:t>符合性</w:t>
            </w:r>
          </w:p>
        </w:tc>
      </w:tr>
      <w:tr w14:paraId="3C571B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8" w:type="dxa"/>
            <w:gridSpan w:val="4"/>
            <w:vAlign w:val="center"/>
          </w:tcPr>
          <w:p w14:paraId="010DCDDC">
            <w:pPr>
              <w:jc w:val="center"/>
              <w:rPr>
                <w:bCs/>
                <w:color w:val="auto"/>
                <w:kern w:val="21"/>
                <w:szCs w:val="21"/>
              </w:rPr>
            </w:pPr>
            <w:r>
              <w:rPr>
                <w:rFonts w:hint="eastAsia"/>
                <w:bCs/>
                <w:color w:val="auto"/>
                <w:kern w:val="21"/>
                <w:szCs w:val="21"/>
                <w:lang w:val="en-US" w:eastAsia="zh-CN"/>
              </w:rPr>
              <w:t>第六条　动物饲养场、动物隔离场所、动物屠宰加工场所以及动物和动物产品无害化处理场所应当符合下列条件</w:t>
            </w:r>
          </w:p>
        </w:tc>
      </w:tr>
      <w:tr w14:paraId="1D873FC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Align w:val="center"/>
          </w:tcPr>
          <w:p w14:paraId="16A767F1">
            <w:pPr>
              <w:jc w:val="center"/>
              <w:rPr>
                <w:rFonts w:hint="eastAsia" w:eastAsia="宋体"/>
                <w:bCs/>
                <w:color w:val="auto"/>
                <w:kern w:val="21"/>
                <w:szCs w:val="21"/>
                <w:lang w:val="en-US" w:eastAsia="zh-CN"/>
              </w:rPr>
            </w:pPr>
            <w:r>
              <w:rPr>
                <w:rFonts w:hint="eastAsia"/>
                <w:bCs/>
                <w:color w:val="auto"/>
                <w:kern w:val="21"/>
                <w:szCs w:val="21"/>
                <w:lang w:val="en-US" w:eastAsia="zh-CN"/>
              </w:rPr>
              <w:t>1</w:t>
            </w:r>
          </w:p>
        </w:tc>
        <w:tc>
          <w:tcPr>
            <w:tcW w:w="3780" w:type="dxa"/>
            <w:vAlign w:val="center"/>
          </w:tcPr>
          <w:p w14:paraId="7E62FD7A">
            <w:pPr>
              <w:jc w:val="center"/>
              <w:rPr>
                <w:rFonts w:hint="eastAsia"/>
                <w:bCs/>
                <w:color w:val="auto"/>
                <w:kern w:val="21"/>
                <w:szCs w:val="21"/>
                <w:lang w:val="en-US" w:eastAsia="zh-CN"/>
              </w:rPr>
            </w:pPr>
            <w:r>
              <w:rPr>
                <w:rFonts w:hint="eastAsia"/>
                <w:bCs/>
                <w:color w:val="auto"/>
                <w:kern w:val="21"/>
                <w:szCs w:val="21"/>
                <w:lang w:val="en-US" w:eastAsia="zh-CN"/>
              </w:rPr>
              <w:t>各场所之间，各场所与动物诊疗场所、居民生活区、生活饮用水水源地、学校、医院等公共场所之间保持必要的距离</w:t>
            </w:r>
          </w:p>
        </w:tc>
        <w:tc>
          <w:tcPr>
            <w:tcW w:w="3240" w:type="dxa"/>
            <w:vAlign w:val="center"/>
          </w:tcPr>
          <w:p w14:paraId="4ABB15F5">
            <w:pPr>
              <w:pStyle w:val="149"/>
              <w:jc w:val="center"/>
              <w:rPr>
                <w:rFonts w:ascii="Times New Roman" w:cs="Times New Roman"/>
                <w:color w:val="auto"/>
                <w:sz w:val="21"/>
                <w:szCs w:val="21"/>
              </w:rPr>
            </w:pPr>
            <w:r>
              <w:rPr>
                <w:rFonts w:ascii="Times New Roman" w:cs="Times New Roman"/>
                <w:color w:val="auto"/>
                <w:sz w:val="21"/>
                <w:szCs w:val="21"/>
              </w:rPr>
              <w:t>本项目</w:t>
            </w:r>
            <w:r>
              <w:rPr>
                <w:rFonts w:hint="eastAsia" w:ascii="Times New Roman" w:cs="Times New Roman"/>
                <w:color w:val="auto"/>
                <w:sz w:val="21"/>
                <w:szCs w:val="21"/>
                <w:lang w:val="en-US" w:eastAsia="zh-CN"/>
              </w:rPr>
              <w:t>5</w:t>
            </w:r>
            <w:r>
              <w:rPr>
                <w:rFonts w:ascii="Times New Roman" w:cs="Times New Roman"/>
                <w:color w:val="auto"/>
                <w:sz w:val="21"/>
                <w:szCs w:val="21"/>
              </w:rPr>
              <w:t>00m范围内无上述场所。</w:t>
            </w:r>
          </w:p>
        </w:tc>
        <w:tc>
          <w:tcPr>
            <w:tcW w:w="860" w:type="dxa"/>
            <w:vAlign w:val="center"/>
          </w:tcPr>
          <w:p w14:paraId="4E211990">
            <w:pPr>
              <w:jc w:val="center"/>
              <w:rPr>
                <w:bCs/>
                <w:color w:val="auto"/>
                <w:kern w:val="21"/>
                <w:szCs w:val="21"/>
              </w:rPr>
            </w:pPr>
            <w:r>
              <w:rPr>
                <w:bCs/>
                <w:color w:val="auto"/>
                <w:kern w:val="21"/>
                <w:szCs w:val="21"/>
              </w:rPr>
              <w:t>符合</w:t>
            </w:r>
          </w:p>
        </w:tc>
      </w:tr>
      <w:tr w14:paraId="6A8FA6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Align w:val="center"/>
          </w:tcPr>
          <w:p w14:paraId="4EED2B04">
            <w:pPr>
              <w:jc w:val="center"/>
              <w:rPr>
                <w:rFonts w:hint="eastAsia" w:eastAsia="宋体"/>
                <w:bCs/>
                <w:color w:val="auto"/>
                <w:kern w:val="21"/>
                <w:szCs w:val="21"/>
                <w:lang w:val="en-US" w:eastAsia="zh-CN"/>
              </w:rPr>
            </w:pPr>
            <w:r>
              <w:rPr>
                <w:rFonts w:hint="eastAsia"/>
                <w:bCs/>
                <w:color w:val="auto"/>
                <w:kern w:val="21"/>
                <w:szCs w:val="21"/>
                <w:lang w:val="en-US" w:eastAsia="zh-CN"/>
              </w:rPr>
              <w:t>2</w:t>
            </w:r>
          </w:p>
        </w:tc>
        <w:tc>
          <w:tcPr>
            <w:tcW w:w="3780" w:type="dxa"/>
            <w:vAlign w:val="center"/>
          </w:tcPr>
          <w:p w14:paraId="7A27FFDC">
            <w:pPr>
              <w:jc w:val="center"/>
              <w:rPr>
                <w:rFonts w:ascii="Times New Roman" w:hAnsi="Courier New" w:eastAsia="宋体" w:cs="Times New Roman"/>
                <w:color w:val="auto"/>
                <w:kern w:val="2"/>
                <w:sz w:val="21"/>
                <w:szCs w:val="21"/>
                <w:lang w:val="en-US" w:eastAsia="zh-CN" w:bidi="ar-SA"/>
              </w:rPr>
            </w:pPr>
            <w:r>
              <w:rPr>
                <w:rFonts w:hint="eastAsia"/>
                <w:bCs/>
                <w:color w:val="auto"/>
                <w:kern w:val="21"/>
                <w:szCs w:val="21"/>
                <w:lang w:val="en-US" w:eastAsia="zh-CN"/>
              </w:rPr>
              <w:t>场区周围建有围墙等隔离设施；场区出入口处设置运输车辆消毒通道或者消毒池，并单独设置人员消毒通道；生产经营区与生活办公区分开，并有隔离设施；生产经营区入口处设置人员更衣消毒室</w:t>
            </w:r>
          </w:p>
        </w:tc>
        <w:tc>
          <w:tcPr>
            <w:tcW w:w="3240" w:type="dxa"/>
            <w:vAlign w:val="center"/>
          </w:tcPr>
          <w:p w14:paraId="71ED5EB4">
            <w:pPr>
              <w:pStyle w:val="149"/>
              <w:jc w:val="center"/>
              <w:rPr>
                <w:rFonts w:ascii="Times New Roman" w:cs="Times New Roman"/>
                <w:color w:val="auto"/>
                <w:sz w:val="21"/>
                <w:szCs w:val="21"/>
              </w:rPr>
            </w:pPr>
            <w:r>
              <w:rPr>
                <w:rFonts w:hint="eastAsia" w:ascii="Times New Roman" w:hAnsi="Courier New" w:cs="Times New Roman"/>
                <w:color w:val="auto"/>
                <w:sz w:val="21"/>
                <w:szCs w:val="21"/>
                <w:lang w:val="en-US" w:eastAsia="zh-CN"/>
              </w:rPr>
              <w:t>场区周围建有围墙，场区出入口处设置运输车辆消毒通道，并单独设置人员消毒通道，生产经营区与生活办公区分开，生产经营区入口处设置人员更衣消毒室</w:t>
            </w:r>
            <w:r>
              <w:rPr>
                <w:rFonts w:hint="eastAsia" w:ascii="Times New Roman" w:cs="Times New Roman"/>
                <w:color w:val="auto"/>
                <w:sz w:val="21"/>
                <w:szCs w:val="21"/>
                <w:lang w:val="en-US" w:eastAsia="zh-CN"/>
              </w:rPr>
              <w:t>；</w:t>
            </w:r>
          </w:p>
        </w:tc>
        <w:tc>
          <w:tcPr>
            <w:tcW w:w="860" w:type="dxa"/>
            <w:vAlign w:val="center"/>
          </w:tcPr>
          <w:p w14:paraId="2DD3A764">
            <w:pPr>
              <w:jc w:val="center"/>
              <w:rPr>
                <w:bCs/>
                <w:color w:val="auto"/>
                <w:kern w:val="21"/>
                <w:szCs w:val="21"/>
              </w:rPr>
            </w:pPr>
            <w:r>
              <w:rPr>
                <w:bCs/>
                <w:color w:val="auto"/>
                <w:kern w:val="21"/>
                <w:szCs w:val="21"/>
              </w:rPr>
              <w:t>符合</w:t>
            </w:r>
          </w:p>
        </w:tc>
      </w:tr>
      <w:tr w14:paraId="7BDA53D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Align w:val="center"/>
          </w:tcPr>
          <w:p w14:paraId="11195437">
            <w:pPr>
              <w:jc w:val="center"/>
              <w:rPr>
                <w:rFonts w:hint="eastAsia" w:eastAsia="宋体"/>
                <w:bCs/>
                <w:color w:val="auto"/>
                <w:kern w:val="21"/>
                <w:szCs w:val="21"/>
                <w:lang w:val="en-US" w:eastAsia="zh-CN"/>
              </w:rPr>
            </w:pPr>
            <w:r>
              <w:rPr>
                <w:rFonts w:hint="eastAsia"/>
                <w:bCs/>
                <w:color w:val="auto"/>
                <w:kern w:val="21"/>
                <w:szCs w:val="21"/>
                <w:lang w:val="en-US" w:eastAsia="zh-CN"/>
              </w:rPr>
              <w:t>3</w:t>
            </w:r>
          </w:p>
        </w:tc>
        <w:tc>
          <w:tcPr>
            <w:tcW w:w="3780" w:type="dxa"/>
            <w:vAlign w:val="center"/>
          </w:tcPr>
          <w:p w14:paraId="085D190C">
            <w:pPr>
              <w:jc w:val="center"/>
              <w:rPr>
                <w:rFonts w:ascii="Times New Roman" w:hAnsi="Courier New" w:eastAsia="宋体" w:cs="Times New Roman"/>
                <w:color w:val="auto"/>
                <w:kern w:val="2"/>
                <w:sz w:val="21"/>
                <w:szCs w:val="21"/>
                <w:lang w:val="en-US" w:eastAsia="zh-CN" w:bidi="ar-SA"/>
              </w:rPr>
            </w:pPr>
            <w:r>
              <w:rPr>
                <w:rFonts w:hint="eastAsia"/>
                <w:bCs/>
                <w:color w:val="auto"/>
                <w:kern w:val="21"/>
                <w:szCs w:val="21"/>
                <w:lang w:val="en-US" w:eastAsia="zh-CN"/>
              </w:rPr>
              <w:t>配备与其生产经营规模相适应的执业兽医或者动物防疫技术人员</w:t>
            </w:r>
          </w:p>
        </w:tc>
        <w:tc>
          <w:tcPr>
            <w:tcW w:w="3240" w:type="dxa"/>
            <w:vAlign w:val="center"/>
          </w:tcPr>
          <w:p w14:paraId="5936BC46">
            <w:pPr>
              <w:pStyle w:val="149"/>
              <w:jc w:val="center"/>
              <w:rPr>
                <w:rFonts w:hint="default" w:ascii="Times New Roman" w:eastAsia="宋体" w:cs="Times New Roman"/>
                <w:color w:val="auto"/>
                <w:sz w:val="21"/>
                <w:szCs w:val="21"/>
                <w:lang w:val="en-US" w:eastAsia="zh-CN"/>
              </w:rPr>
            </w:pPr>
            <w:r>
              <w:rPr>
                <w:rFonts w:hint="eastAsia" w:ascii="Times New Roman" w:cs="Times New Roman"/>
                <w:color w:val="auto"/>
                <w:sz w:val="21"/>
                <w:szCs w:val="21"/>
                <w:lang w:val="en-US" w:eastAsia="zh-CN"/>
              </w:rPr>
              <w:t>本项目动物防疫外委专业技术人员；</w:t>
            </w:r>
          </w:p>
        </w:tc>
        <w:tc>
          <w:tcPr>
            <w:tcW w:w="860" w:type="dxa"/>
            <w:vAlign w:val="center"/>
          </w:tcPr>
          <w:p w14:paraId="75A2CD68">
            <w:pPr>
              <w:jc w:val="center"/>
              <w:rPr>
                <w:bCs/>
                <w:color w:val="auto"/>
                <w:kern w:val="21"/>
                <w:szCs w:val="21"/>
              </w:rPr>
            </w:pPr>
            <w:r>
              <w:rPr>
                <w:bCs/>
                <w:color w:val="auto"/>
                <w:kern w:val="21"/>
                <w:szCs w:val="21"/>
              </w:rPr>
              <w:t>符合</w:t>
            </w:r>
          </w:p>
        </w:tc>
      </w:tr>
      <w:tr w14:paraId="1155E34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Align w:val="center"/>
          </w:tcPr>
          <w:p w14:paraId="5F244E88">
            <w:pPr>
              <w:jc w:val="center"/>
              <w:rPr>
                <w:rFonts w:hint="eastAsia" w:eastAsia="宋体"/>
                <w:bCs/>
                <w:color w:val="auto"/>
                <w:kern w:val="21"/>
                <w:szCs w:val="21"/>
                <w:lang w:val="en-US" w:eastAsia="zh-CN"/>
              </w:rPr>
            </w:pPr>
            <w:r>
              <w:rPr>
                <w:rFonts w:hint="eastAsia"/>
                <w:bCs/>
                <w:color w:val="auto"/>
                <w:kern w:val="21"/>
                <w:szCs w:val="21"/>
                <w:lang w:val="en-US" w:eastAsia="zh-CN"/>
              </w:rPr>
              <w:t>4</w:t>
            </w:r>
          </w:p>
        </w:tc>
        <w:tc>
          <w:tcPr>
            <w:tcW w:w="3780" w:type="dxa"/>
            <w:vAlign w:val="center"/>
          </w:tcPr>
          <w:p w14:paraId="5683C74F">
            <w:pPr>
              <w:jc w:val="center"/>
              <w:rPr>
                <w:rFonts w:hint="eastAsia"/>
                <w:bCs/>
                <w:color w:val="auto"/>
                <w:kern w:val="21"/>
                <w:szCs w:val="21"/>
                <w:lang w:val="en-US" w:eastAsia="zh-CN"/>
              </w:rPr>
            </w:pPr>
            <w:r>
              <w:rPr>
                <w:rFonts w:hint="eastAsia"/>
                <w:bCs/>
                <w:color w:val="auto"/>
                <w:kern w:val="21"/>
                <w:szCs w:val="21"/>
                <w:lang w:val="en-US" w:eastAsia="zh-CN"/>
              </w:rPr>
              <w:t>配备与其生产经营规模相适应的污水、污物处理设施，清洗消毒设施设备，以及必要的防鼠、防鸟、防虫设施设备</w:t>
            </w:r>
          </w:p>
        </w:tc>
        <w:tc>
          <w:tcPr>
            <w:tcW w:w="3240" w:type="dxa"/>
            <w:vAlign w:val="center"/>
          </w:tcPr>
          <w:p w14:paraId="274FAAE3">
            <w:pPr>
              <w:pStyle w:val="149"/>
              <w:jc w:val="center"/>
              <w:rPr>
                <w:rFonts w:hint="eastAsia" w:ascii="Times New Roman" w:cs="Times New Roman"/>
                <w:color w:val="auto"/>
                <w:sz w:val="21"/>
                <w:szCs w:val="21"/>
                <w:lang w:val="en-US" w:eastAsia="zh-CN"/>
              </w:rPr>
            </w:pPr>
            <w:r>
              <w:rPr>
                <w:rFonts w:hint="eastAsia" w:ascii="Times New Roman" w:cs="Times New Roman"/>
                <w:color w:val="auto"/>
                <w:sz w:val="21"/>
                <w:szCs w:val="21"/>
                <w:highlight w:val="none"/>
                <w:lang w:val="en-US" w:eastAsia="zh-CN"/>
              </w:rPr>
              <w:t>本项目鸡舍冲洗废水产生总量为5.08m</w:t>
            </w:r>
            <w:r>
              <w:rPr>
                <w:rFonts w:hint="eastAsia" w:ascii="Times New Roman" w:cs="Times New Roman"/>
                <w:color w:val="auto"/>
                <w:sz w:val="21"/>
                <w:szCs w:val="21"/>
                <w:highlight w:val="none"/>
                <w:vertAlign w:val="superscript"/>
                <w:lang w:val="en-US" w:eastAsia="zh-CN"/>
              </w:rPr>
              <w:t>3</w:t>
            </w:r>
            <w:r>
              <w:rPr>
                <w:rFonts w:hint="eastAsia" w:ascii="Times New Roman" w:cs="Times New Roman"/>
                <w:color w:val="auto"/>
                <w:sz w:val="21"/>
                <w:szCs w:val="21"/>
                <w:highlight w:val="none"/>
                <w:vertAlign w:val="baseline"/>
                <w:lang w:val="en-US" w:eastAsia="zh-CN"/>
              </w:rPr>
              <w:t>/</w:t>
            </w:r>
            <w:r>
              <w:rPr>
                <w:rFonts w:hint="eastAsia" w:ascii="Times New Roman" w:cs="Times New Roman"/>
                <w:color w:val="auto"/>
                <w:sz w:val="21"/>
                <w:szCs w:val="21"/>
                <w:highlight w:val="none"/>
                <w:lang w:val="en-US" w:eastAsia="zh-CN"/>
              </w:rPr>
              <w:t>a，</w:t>
            </w:r>
            <w:r>
              <w:rPr>
                <w:rFonts w:hint="eastAsia" w:ascii="Times New Roman" w:cs="Times New Roman"/>
                <w:color w:val="auto"/>
                <w:sz w:val="21"/>
                <w:szCs w:val="21"/>
                <w:lang w:val="en-US" w:eastAsia="zh-CN"/>
              </w:rPr>
              <w:t>设置8个10m</w:t>
            </w:r>
            <w:r>
              <w:rPr>
                <w:rFonts w:hint="eastAsia" w:ascii="Times New Roman" w:cs="Times New Roman"/>
                <w:color w:val="auto"/>
                <w:sz w:val="21"/>
                <w:szCs w:val="21"/>
                <w:vertAlign w:val="superscript"/>
                <w:lang w:val="en-US" w:eastAsia="zh-CN"/>
              </w:rPr>
              <w:t>3</w:t>
            </w:r>
            <w:r>
              <w:rPr>
                <w:rFonts w:hint="eastAsia" w:ascii="Times New Roman" w:cs="Times New Roman"/>
                <w:color w:val="auto"/>
                <w:sz w:val="21"/>
                <w:szCs w:val="21"/>
                <w:lang w:val="en-US" w:eastAsia="zh-CN"/>
              </w:rPr>
              <w:t>废水收集池用于存储鸡舍养殖废水，除极端天气临时贮存50d外，均日产日清，</w:t>
            </w:r>
            <w:r>
              <w:rPr>
                <w:rFonts w:hint="eastAsia"/>
                <w:color w:val="auto"/>
                <w:kern w:val="0"/>
                <w:sz w:val="21"/>
                <w:szCs w:val="21"/>
                <w:highlight w:val="none"/>
                <w:lang w:eastAsia="zh-CN"/>
              </w:rPr>
              <w:t>由罐车直接拉走外售至辰泰（辽宁）生物科技有限公司做有机肥</w:t>
            </w:r>
            <w:r>
              <w:rPr>
                <w:rFonts w:hint="eastAsia"/>
                <w:color w:val="auto"/>
                <w:kern w:val="0"/>
                <w:sz w:val="21"/>
                <w:szCs w:val="21"/>
                <w:highlight w:val="none"/>
              </w:rPr>
              <w:t>；</w:t>
            </w:r>
          </w:p>
        </w:tc>
        <w:tc>
          <w:tcPr>
            <w:tcW w:w="860" w:type="dxa"/>
            <w:vAlign w:val="center"/>
          </w:tcPr>
          <w:p w14:paraId="3D1A8B77">
            <w:pPr>
              <w:jc w:val="center"/>
              <w:rPr>
                <w:bCs/>
                <w:color w:val="auto"/>
                <w:kern w:val="21"/>
                <w:szCs w:val="21"/>
              </w:rPr>
            </w:pPr>
            <w:r>
              <w:rPr>
                <w:bCs/>
                <w:color w:val="auto"/>
                <w:kern w:val="21"/>
                <w:szCs w:val="21"/>
              </w:rPr>
              <w:t>符合</w:t>
            </w:r>
          </w:p>
        </w:tc>
      </w:tr>
      <w:tr w14:paraId="031AE2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Align w:val="center"/>
          </w:tcPr>
          <w:p w14:paraId="185786D2">
            <w:pPr>
              <w:jc w:val="center"/>
              <w:rPr>
                <w:rFonts w:hint="eastAsia" w:eastAsia="宋体"/>
                <w:bCs/>
                <w:color w:val="auto"/>
                <w:kern w:val="21"/>
                <w:szCs w:val="21"/>
                <w:lang w:val="en-US" w:eastAsia="zh-CN"/>
              </w:rPr>
            </w:pPr>
            <w:r>
              <w:rPr>
                <w:rFonts w:hint="eastAsia"/>
                <w:bCs/>
                <w:color w:val="auto"/>
                <w:kern w:val="21"/>
                <w:szCs w:val="21"/>
                <w:lang w:val="en-US" w:eastAsia="zh-CN"/>
              </w:rPr>
              <w:t>5</w:t>
            </w:r>
          </w:p>
        </w:tc>
        <w:tc>
          <w:tcPr>
            <w:tcW w:w="3780" w:type="dxa"/>
            <w:vAlign w:val="center"/>
          </w:tcPr>
          <w:p w14:paraId="2FEAEB66">
            <w:pPr>
              <w:jc w:val="center"/>
              <w:rPr>
                <w:rFonts w:ascii="Times New Roman" w:cs="Times New Roman"/>
                <w:color w:val="auto"/>
                <w:sz w:val="21"/>
                <w:szCs w:val="21"/>
              </w:rPr>
            </w:pPr>
            <w:r>
              <w:rPr>
                <w:rFonts w:hint="eastAsia"/>
                <w:bCs/>
                <w:color w:val="auto"/>
                <w:kern w:val="21"/>
                <w:szCs w:val="21"/>
                <w:lang w:val="en-US" w:eastAsia="zh-CN"/>
              </w:rPr>
              <w:t>建立隔离消毒、购销台账、日常巡查等动物防疫制度。</w:t>
            </w:r>
          </w:p>
        </w:tc>
        <w:tc>
          <w:tcPr>
            <w:tcW w:w="3240" w:type="dxa"/>
            <w:vAlign w:val="center"/>
          </w:tcPr>
          <w:p w14:paraId="7C02CB2E">
            <w:pPr>
              <w:pStyle w:val="149"/>
              <w:jc w:val="center"/>
              <w:rPr>
                <w:rFonts w:hint="default" w:ascii="Times New Roman" w:eastAsia="宋体" w:cs="Times New Roman"/>
                <w:color w:val="auto"/>
                <w:sz w:val="21"/>
                <w:szCs w:val="21"/>
                <w:lang w:val="en-US" w:eastAsia="zh-CN"/>
              </w:rPr>
            </w:pPr>
            <w:r>
              <w:rPr>
                <w:rFonts w:hint="eastAsia" w:ascii="Times New Roman" w:cs="Times New Roman"/>
                <w:color w:val="auto"/>
                <w:sz w:val="21"/>
                <w:szCs w:val="21"/>
                <w:lang w:val="en-US" w:eastAsia="zh-CN"/>
              </w:rPr>
              <w:t>本项目建成后建立隔离消毒、购销台账、日常巡查等动物防疫制度。</w:t>
            </w:r>
          </w:p>
        </w:tc>
        <w:tc>
          <w:tcPr>
            <w:tcW w:w="860" w:type="dxa"/>
            <w:vAlign w:val="center"/>
          </w:tcPr>
          <w:p w14:paraId="44B39F7D">
            <w:pPr>
              <w:jc w:val="center"/>
              <w:rPr>
                <w:bCs/>
                <w:color w:val="auto"/>
                <w:kern w:val="21"/>
                <w:szCs w:val="21"/>
              </w:rPr>
            </w:pPr>
            <w:r>
              <w:rPr>
                <w:bCs/>
                <w:color w:val="auto"/>
                <w:kern w:val="21"/>
                <w:szCs w:val="21"/>
              </w:rPr>
              <w:t>符合</w:t>
            </w:r>
          </w:p>
        </w:tc>
      </w:tr>
      <w:tr w14:paraId="0B3CA7F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8" w:type="dxa"/>
            <w:gridSpan w:val="4"/>
            <w:vAlign w:val="center"/>
          </w:tcPr>
          <w:p w14:paraId="794DA80F">
            <w:pPr>
              <w:jc w:val="center"/>
              <w:rPr>
                <w:rFonts w:hint="eastAsia" w:ascii="Times New Roman" w:hAnsi="Courier New" w:eastAsia="宋体" w:cs="Times New Roman"/>
                <w:color w:val="auto"/>
                <w:kern w:val="2"/>
                <w:sz w:val="21"/>
                <w:szCs w:val="21"/>
                <w:lang w:val="en-US" w:eastAsia="zh-CN" w:bidi="ar-SA"/>
              </w:rPr>
            </w:pPr>
            <w:r>
              <w:rPr>
                <w:rFonts w:hint="eastAsia" w:ascii="Times New Roman" w:hAnsi="Courier New" w:eastAsia="宋体" w:cs="Times New Roman"/>
                <w:color w:val="auto"/>
                <w:kern w:val="2"/>
                <w:sz w:val="21"/>
                <w:szCs w:val="21"/>
                <w:lang w:val="en-US" w:eastAsia="zh-CN" w:bidi="ar-SA"/>
              </w:rPr>
              <w:t>第七条　动物饲养场除符合本办法第六条规定外，还应当符合下列条件</w:t>
            </w:r>
          </w:p>
        </w:tc>
      </w:tr>
      <w:tr w14:paraId="334C67C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Align w:val="center"/>
          </w:tcPr>
          <w:p w14:paraId="175EEB77">
            <w:pPr>
              <w:jc w:val="center"/>
              <w:rPr>
                <w:rFonts w:hint="default" w:ascii="Times New Roman" w:hAnsi="Courier New" w:eastAsia="宋体" w:cs="Times New Roman"/>
                <w:color w:val="auto"/>
                <w:kern w:val="2"/>
                <w:sz w:val="21"/>
                <w:szCs w:val="21"/>
                <w:lang w:val="en-US" w:eastAsia="zh-CN" w:bidi="ar-SA"/>
              </w:rPr>
            </w:pPr>
            <w:r>
              <w:rPr>
                <w:rFonts w:hint="eastAsia" w:hAnsi="Courier New" w:cs="Times New Roman"/>
                <w:color w:val="auto"/>
                <w:kern w:val="2"/>
                <w:sz w:val="21"/>
                <w:szCs w:val="21"/>
                <w:lang w:val="en-US" w:eastAsia="zh-CN" w:bidi="ar-SA"/>
              </w:rPr>
              <w:t>6</w:t>
            </w:r>
          </w:p>
        </w:tc>
        <w:tc>
          <w:tcPr>
            <w:tcW w:w="3780" w:type="dxa"/>
            <w:vAlign w:val="center"/>
          </w:tcPr>
          <w:p w14:paraId="3D593D30">
            <w:pPr>
              <w:jc w:val="center"/>
              <w:rPr>
                <w:rFonts w:hint="eastAsia" w:ascii="Times New Roman" w:hAnsi="Courier New" w:eastAsia="宋体" w:cs="Times New Roman"/>
                <w:color w:val="auto"/>
                <w:kern w:val="2"/>
                <w:sz w:val="21"/>
                <w:szCs w:val="21"/>
                <w:lang w:val="en-US" w:eastAsia="zh-CN" w:bidi="ar-SA"/>
              </w:rPr>
            </w:pPr>
            <w:r>
              <w:rPr>
                <w:rFonts w:hint="eastAsia" w:ascii="Times New Roman" w:hAnsi="Courier New" w:eastAsia="宋体" w:cs="Times New Roman"/>
                <w:color w:val="auto"/>
                <w:kern w:val="2"/>
                <w:sz w:val="21"/>
                <w:szCs w:val="21"/>
                <w:lang w:val="en-US" w:eastAsia="zh-CN" w:bidi="ar-SA"/>
              </w:rPr>
              <w:t>设置配备疫苗冷藏冷冻设备、消毒和诊疗等防疫设备的兽医室</w:t>
            </w:r>
          </w:p>
        </w:tc>
        <w:tc>
          <w:tcPr>
            <w:tcW w:w="3240" w:type="dxa"/>
            <w:vAlign w:val="center"/>
          </w:tcPr>
          <w:p w14:paraId="3B3E5362">
            <w:pPr>
              <w:pStyle w:val="149"/>
              <w:jc w:val="center"/>
              <w:rPr>
                <w:rFonts w:hint="eastAsia" w:ascii="Times New Roman" w:hAnsi="Courier New" w:eastAsia="宋体" w:cs="Times New Roman"/>
                <w:color w:val="auto"/>
                <w:kern w:val="2"/>
                <w:sz w:val="21"/>
                <w:szCs w:val="21"/>
                <w:lang w:val="en-US" w:eastAsia="zh-CN" w:bidi="ar-SA"/>
              </w:rPr>
            </w:pPr>
            <w:r>
              <w:rPr>
                <w:rFonts w:hint="eastAsia" w:ascii="Times New Roman" w:hAnsi="Times New Roman" w:cs="Times New Roman"/>
                <w:color w:val="auto"/>
                <w:sz w:val="21"/>
                <w:szCs w:val="21"/>
                <w:lang w:eastAsia="zh-CN"/>
              </w:rPr>
              <w:t>本项目卫生防疫委托专业的</w:t>
            </w:r>
            <w:r>
              <w:rPr>
                <w:rFonts w:hint="eastAsia" w:ascii="Times New Roman" w:hAnsi="Times New Roman" w:cs="Times New Roman"/>
                <w:color w:val="auto"/>
                <w:sz w:val="21"/>
                <w:szCs w:val="21"/>
              </w:rPr>
              <w:t>畜牧兽医技术人员</w:t>
            </w:r>
            <w:r>
              <w:rPr>
                <w:rFonts w:hint="eastAsia" w:ascii="Times New Roman" w:hAnsi="Times New Roman" w:cs="Times New Roman"/>
                <w:color w:val="auto"/>
                <w:sz w:val="21"/>
                <w:szCs w:val="21"/>
                <w:lang w:eastAsia="zh-CN"/>
              </w:rPr>
              <w:t>，具有专业的卫生防疫资质。</w:t>
            </w:r>
          </w:p>
        </w:tc>
        <w:tc>
          <w:tcPr>
            <w:tcW w:w="860" w:type="dxa"/>
            <w:vAlign w:val="center"/>
          </w:tcPr>
          <w:p w14:paraId="1E073070">
            <w:pPr>
              <w:jc w:val="center"/>
              <w:rPr>
                <w:rFonts w:hint="eastAsia" w:ascii="Times New Roman" w:hAnsi="Courier New" w:eastAsia="宋体" w:cs="Times New Roman"/>
                <w:color w:val="auto"/>
                <w:kern w:val="2"/>
                <w:sz w:val="21"/>
                <w:szCs w:val="21"/>
                <w:lang w:val="en-US" w:eastAsia="zh-CN" w:bidi="ar-SA"/>
              </w:rPr>
            </w:pPr>
            <w:r>
              <w:rPr>
                <w:bCs/>
                <w:color w:val="auto"/>
                <w:kern w:val="21"/>
                <w:szCs w:val="21"/>
              </w:rPr>
              <w:t>符合</w:t>
            </w:r>
          </w:p>
        </w:tc>
      </w:tr>
      <w:tr w14:paraId="09D97C2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Align w:val="center"/>
          </w:tcPr>
          <w:p w14:paraId="1B9C72E8">
            <w:pPr>
              <w:jc w:val="center"/>
              <w:rPr>
                <w:rFonts w:hint="default" w:ascii="Times New Roman" w:hAnsi="Courier New" w:eastAsia="宋体" w:cs="Times New Roman"/>
                <w:color w:val="auto"/>
                <w:kern w:val="2"/>
                <w:sz w:val="21"/>
                <w:szCs w:val="21"/>
                <w:lang w:val="en-US" w:eastAsia="zh-CN" w:bidi="ar-SA"/>
              </w:rPr>
            </w:pPr>
            <w:r>
              <w:rPr>
                <w:rFonts w:hint="eastAsia" w:hAnsi="Courier New" w:cs="Times New Roman"/>
                <w:color w:val="auto"/>
                <w:kern w:val="2"/>
                <w:sz w:val="21"/>
                <w:szCs w:val="21"/>
                <w:lang w:val="en-US" w:eastAsia="zh-CN" w:bidi="ar-SA"/>
              </w:rPr>
              <w:t>7</w:t>
            </w:r>
          </w:p>
        </w:tc>
        <w:tc>
          <w:tcPr>
            <w:tcW w:w="3780" w:type="dxa"/>
            <w:vAlign w:val="center"/>
          </w:tcPr>
          <w:p w14:paraId="605934AF">
            <w:pPr>
              <w:pStyle w:val="149"/>
              <w:jc w:val="center"/>
              <w:rPr>
                <w:rFonts w:hint="eastAsia" w:ascii="Times New Roman" w:hAnsi="Courier New" w:eastAsia="宋体" w:cs="Times New Roman"/>
                <w:color w:val="auto"/>
                <w:kern w:val="2"/>
                <w:sz w:val="21"/>
                <w:szCs w:val="21"/>
                <w:lang w:val="en-US" w:eastAsia="zh-CN" w:bidi="ar-SA"/>
              </w:rPr>
            </w:pPr>
            <w:r>
              <w:rPr>
                <w:rFonts w:hint="eastAsia" w:ascii="Times New Roman" w:hAnsi="Courier New" w:eastAsia="宋体" w:cs="Times New Roman"/>
                <w:color w:val="auto"/>
                <w:kern w:val="2"/>
                <w:sz w:val="21"/>
                <w:szCs w:val="21"/>
                <w:lang w:val="en-US" w:eastAsia="zh-CN" w:bidi="ar-SA"/>
              </w:rPr>
              <w:t>配备符合国家规定的病死动物和病害动物产品无害化处理设施设备或者冷藏冷冻等暂存设施设备</w:t>
            </w:r>
          </w:p>
        </w:tc>
        <w:tc>
          <w:tcPr>
            <w:tcW w:w="3240" w:type="dxa"/>
            <w:vAlign w:val="center"/>
          </w:tcPr>
          <w:p w14:paraId="73DEF7E2">
            <w:pPr>
              <w:pStyle w:val="149"/>
              <w:jc w:val="center"/>
              <w:rPr>
                <w:rFonts w:hint="eastAsia" w:ascii="Times New Roman" w:hAnsi="Courier New" w:eastAsia="宋体" w:cs="Times New Roman"/>
                <w:color w:val="auto"/>
                <w:kern w:val="2"/>
                <w:sz w:val="21"/>
                <w:szCs w:val="21"/>
                <w:lang w:val="en-US" w:eastAsia="zh-CN" w:bidi="ar-SA"/>
              </w:rPr>
            </w:pPr>
            <w:r>
              <w:rPr>
                <w:rFonts w:hint="eastAsia"/>
                <w:color w:val="auto"/>
                <w:kern w:val="0"/>
                <w:sz w:val="21"/>
                <w:szCs w:val="21"/>
              </w:rPr>
              <w:t>病死鸡病死鸡</w:t>
            </w:r>
            <w:r>
              <w:rPr>
                <w:rFonts w:hint="eastAsia"/>
                <w:color w:val="auto"/>
                <w:kern w:val="0"/>
                <w:sz w:val="21"/>
                <w:szCs w:val="21"/>
                <w:lang w:eastAsia="zh-CN"/>
              </w:rPr>
              <w:t>暂存于冷柜，</w:t>
            </w:r>
            <w:r>
              <w:rPr>
                <w:rFonts w:hint="eastAsia"/>
                <w:color w:val="auto"/>
                <w:kern w:val="0"/>
                <w:sz w:val="21"/>
                <w:szCs w:val="21"/>
                <w:highlight w:val="none"/>
                <w:lang w:eastAsia="zh-CN"/>
              </w:rPr>
              <w:t>委托北票市汇宏动物无害化处理有限公司定期运走做无害化</w:t>
            </w:r>
            <w:r>
              <w:rPr>
                <w:rFonts w:hint="eastAsia"/>
                <w:color w:val="auto"/>
                <w:kern w:val="0"/>
                <w:sz w:val="21"/>
                <w:szCs w:val="21"/>
                <w:highlight w:val="none"/>
              </w:rPr>
              <w:t>处理；</w:t>
            </w:r>
          </w:p>
        </w:tc>
        <w:tc>
          <w:tcPr>
            <w:tcW w:w="860" w:type="dxa"/>
            <w:vAlign w:val="center"/>
          </w:tcPr>
          <w:p w14:paraId="7CACE765">
            <w:pPr>
              <w:jc w:val="center"/>
              <w:rPr>
                <w:rFonts w:hint="eastAsia" w:ascii="Times New Roman" w:hAnsi="Courier New" w:eastAsia="宋体" w:cs="Times New Roman"/>
                <w:color w:val="auto"/>
                <w:kern w:val="2"/>
                <w:sz w:val="21"/>
                <w:szCs w:val="21"/>
                <w:lang w:val="en-US" w:eastAsia="zh-CN" w:bidi="ar-SA"/>
              </w:rPr>
            </w:pPr>
            <w:r>
              <w:rPr>
                <w:bCs/>
                <w:color w:val="auto"/>
                <w:kern w:val="21"/>
                <w:szCs w:val="21"/>
              </w:rPr>
              <w:t>符合</w:t>
            </w:r>
          </w:p>
        </w:tc>
      </w:tr>
      <w:tr w14:paraId="14ED0F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dxa"/>
            <w:vAlign w:val="center"/>
          </w:tcPr>
          <w:p w14:paraId="39872CBC">
            <w:pPr>
              <w:jc w:val="center"/>
              <w:rPr>
                <w:rFonts w:hint="default" w:ascii="Times New Roman" w:hAnsi="Courier New" w:eastAsia="宋体" w:cs="Times New Roman"/>
                <w:color w:val="auto"/>
                <w:kern w:val="2"/>
                <w:sz w:val="21"/>
                <w:szCs w:val="21"/>
                <w:lang w:val="en-US" w:eastAsia="zh-CN" w:bidi="ar-SA"/>
              </w:rPr>
            </w:pPr>
            <w:r>
              <w:rPr>
                <w:rFonts w:hint="eastAsia" w:hAnsi="Courier New" w:cs="Times New Roman"/>
                <w:color w:val="auto"/>
                <w:kern w:val="2"/>
                <w:sz w:val="21"/>
                <w:szCs w:val="21"/>
                <w:lang w:val="en-US" w:eastAsia="zh-CN" w:bidi="ar-SA"/>
              </w:rPr>
              <w:t>8</w:t>
            </w:r>
          </w:p>
        </w:tc>
        <w:tc>
          <w:tcPr>
            <w:tcW w:w="3780" w:type="dxa"/>
            <w:vAlign w:val="center"/>
          </w:tcPr>
          <w:p w14:paraId="724825B1">
            <w:pPr>
              <w:pStyle w:val="149"/>
              <w:jc w:val="center"/>
              <w:rPr>
                <w:rFonts w:hint="eastAsia" w:ascii="Times New Roman" w:hAnsi="Courier New" w:eastAsia="宋体" w:cs="Times New Roman"/>
                <w:color w:val="auto"/>
                <w:kern w:val="2"/>
                <w:sz w:val="21"/>
                <w:szCs w:val="21"/>
                <w:lang w:val="en-US" w:eastAsia="zh-CN" w:bidi="ar-SA"/>
              </w:rPr>
            </w:pPr>
            <w:r>
              <w:rPr>
                <w:rFonts w:hint="eastAsia" w:ascii="Times New Roman" w:hAnsi="Courier New" w:eastAsia="宋体" w:cs="Times New Roman"/>
                <w:color w:val="auto"/>
                <w:kern w:val="2"/>
                <w:sz w:val="21"/>
                <w:szCs w:val="21"/>
                <w:lang w:val="en-US" w:eastAsia="zh-CN" w:bidi="ar-SA"/>
              </w:rPr>
              <w:t>建立免疫、用药、检疫申报、疫情报告、无害化处理、畜禽标识及养殖档案管理等动物防疫制度</w:t>
            </w:r>
          </w:p>
        </w:tc>
        <w:tc>
          <w:tcPr>
            <w:tcW w:w="3240" w:type="dxa"/>
            <w:vAlign w:val="center"/>
          </w:tcPr>
          <w:p w14:paraId="2D6F9EB8">
            <w:pPr>
              <w:pStyle w:val="149"/>
              <w:jc w:val="center"/>
              <w:rPr>
                <w:rFonts w:hint="eastAsia" w:ascii="Times New Roman" w:hAnsi="Courier New" w:eastAsia="宋体" w:cs="Times New Roman"/>
                <w:color w:val="auto"/>
                <w:kern w:val="2"/>
                <w:sz w:val="21"/>
                <w:szCs w:val="21"/>
                <w:lang w:val="en-US" w:eastAsia="zh-CN" w:bidi="ar-SA"/>
              </w:rPr>
            </w:pPr>
            <w:r>
              <w:rPr>
                <w:rFonts w:hint="eastAsia" w:ascii="Times New Roman" w:hAnsi="Courier New" w:eastAsia="宋体" w:cs="Times New Roman"/>
                <w:color w:val="auto"/>
                <w:kern w:val="2"/>
                <w:sz w:val="21"/>
                <w:szCs w:val="21"/>
                <w:lang w:val="en-US" w:eastAsia="zh-CN" w:bidi="ar-SA"/>
              </w:rPr>
              <w:t>本项目建成后建立免疫、用药、检疫申报、疫情报告、无害化处理、畜禽标识及养殖档案管理等动物防疫制度。</w:t>
            </w:r>
          </w:p>
        </w:tc>
        <w:tc>
          <w:tcPr>
            <w:tcW w:w="860" w:type="dxa"/>
            <w:vAlign w:val="center"/>
          </w:tcPr>
          <w:p w14:paraId="7D28CA86">
            <w:pPr>
              <w:jc w:val="center"/>
              <w:rPr>
                <w:rFonts w:hint="eastAsia" w:ascii="Times New Roman" w:hAnsi="Courier New" w:eastAsia="宋体" w:cs="Times New Roman"/>
                <w:color w:val="auto"/>
                <w:kern w:val="2"/>
                <w:sz w:val="21"/>
                <w:szCs w:val="21"/>
                <w:lang w:val="en-US" w:eastAsia="zh-CN" w:bidi="ar-SA"/>
              </w:rPr>
            </w:pPr>
            <w:r>
              <w:rPr>
                <w:bCs/>
                <w:color w:val="auto"/>
                <w:kern w:val="21"/>
                <w:szCs w:val="21"/>
              </w:rPr>
              <w:t>符合</w:t>
            </w:r>
          </w:p>
        </w:tc>
      </w:tr>
    </w:tbl>
    <w:p w14:paraId="77603449">
      <w:pPr>
        <w:spacing w:line="360" w:lineRule="auto"/>
        <w:ind w:firstLine="480" w:firstLineChars="200"/>
        <w:jc w:val="left"/>
        <w:rPr>
          <w:bCs/>
          <w:color w:val="auto"/>
          <w:kern w:val="21"/>
          <w:sz w:val="24"/>
        </w:rPr>
      </w:pPr>
      <w:r>
        <w:rPr>
          <w:bCs/>
          <w:color w:val="auto"/>
          <w:kern w:val="21"/>
          <w:sz w:val="24"/>
        </w:rPr>
        <w:t>综上，本项目符合《动物防疫条件审查办法》（</w:t>
      </w:r>
      <w:r>
        <w:rPr>
          <w:rFonts w:hint="eastAsia"/>
          <w:bCs/>
          <w:color w:val="auto"/>
          <w:kern w:val="21"/>
          <w:sz w:val="24"/>
        </w:rPr>
        <w:t>中华人民共和国农业农村部令2022年第8号</w:t>
      </w:r>
      <w:r>
        <w:rPr>
          <w:bCs/>
          <w:color w:val="auto"/>
          <w:kern w:val="21"/>
          <w:sz w:val="24"/>
        </w:rPr>
        <w:t>）</w:t>
      </w:r>
      <w:r>
        <w:rPr>
          <w:rFonts w:hint="eastAsia"/>
          <w:bCs/>
          <w:color w:val="auto"/>
          <w:kern w:val="21"/>
          <w:sz w:val="24"/>
        </w:rPr>
        <w:t>、《畜禽规模养殖污染防治条例》(国务院令第643号，2014年1月1日起施行)</w:t>
      </w:r>
      <w:r>
        <w:rPr>
          <w:bCs/>
          <w:color w:val="auto"/>
          <w:kern w:val="21"/>
          <w:sz w:val="24"/>
        </w:rPr>
        <w:t>及《中华人民共和国畜牧法》的选址要求。</w:t>
      </w:r>
    </w:p>
    <w:p w14:paraId="4239DCEC">
      <w:pPr>
        <w:numPr>
          <w:ilvl w:val="0"/>
          <w:numId w:val="4"/>
        </w:numPr>
        <w:spacing w:line="360" w:lineRule="auto"/>
        <w:ind w:firstLine="482" w:firstLineChars="200"/>
        <w:jc w:val="left"/>
        <w:rPr>
          <w:rFonts w:hint="eastAsia"/>
          <w:b/>
          <w:bCs/>
          <w:color w:val="auto"/>
          <w:kern w:val="21"/>
          <w:sz w:val="24"/>
          <w:highlight w:val="none"/>
          <w:lang w:eastAsia="zh-CN"/>
        </w:rPr>
      </w:pPr>
      <w:r>
        <w:rPr>
          <w:rFonts w:hint="eastAsia"/>
          <w:b/>
          <w:bCs/>
          <w:color w:val="auto"/>
          <w:kern w:val="21"/>
          <w:sz w:val="24"/>
          <w:highlight w:val="none"/>
          <w:lang w:eastAsia="zh-CN"/>
        </w:rPr>
        <w:t>与当地政府规划方案选址相符性分析</w:t>
      </w:r>
    </w:p>
    <w:p w14:paraId="058E5C41">
      <w:pPr>
        <w:numPr>
          <w:ilvl w:val="0"/>
          <w:numId w:val="0"/>
        </w:numPr>
        <w:spacing w:line="240" w:lineRule="auto"/>
        <w:jc w:val="center"/>
        <w:rPr>
          <w:rFonts w:hint="eastAsia"/>
          <w:b/>
          <w:bCs/>
          <w:color w:val="auto"/>
          <w:kern w:val="21"/>
          <w:sz w:val="21"/>
          <w:szCs w:val="21"/>
          <w:highlight w:val="none"/>
          <w:lang w:eastAsia="zh-CN"/>
        </w:rPr>
      </w:pPr>
    </w:p>
    <w:p w14:paraId="3A0022E1">
      <w:pPr>
        <w:numPr>
          <w:ilvl w:val="0"/>
          <w:numId w:val="0"/>
        </w:numPr>
        <w:spacing w:line="240" w:lineRule="auto"/>
        <w:jc w:val="center"/>
        <w:rPr>
          <w:rFonts w:hint="eastAsia"/>
          <w:b/>
          <w:bCs/>
          <w:color w:val="auto"/>
          <w:kern w:val="21"/>
          <w:sz w:val="21"/>
          <w:szCs w:val="21"/>
          <w:highlight w:val="none"/>
          <w:lang w:eastAsia="zh-CN"/>
        </w:rPr>
      </w:pPr>
    </w:p>
    <w:p w14:paraId="0893FA1D">
      <w:pPr>
        <w:numPr>
          <w:ilvl w:val="0"/>
          <w:numId w:val="0"/>
        </w:numPr>
        <w:spacing w:line="240" w:lineRule="auto"/>
        <w:jc w:val="center"/>
        <w:rPr>
          <w:rFonts w:hint="default"/>
          <w:b/>
          <w:bCs/>
          <w:color w:val="auto"/>
          <w:kern w:val="21"/>
          <w:sz w:val="21"/>
          <w:szCs w:val="21"/>
          <w:highlight w:val="none"/>
          <w:lang w:val="en-US" w:eastAsia="zh-CN"/>
        </w:rPr>
      </w:pPr>
      <w:r>
        <w:rPr>
          <w:rFonts w:hint="eastAsia"/>
          <w:b/>
          <w:bCs/>
          <w:color w:val="auto"/>
          <w:kern w:val="21"/>
          <w:sz w:val="21"/>
          <w:szCs w:val="21"/>
          <w:highlight w:val="none"/>
          <w:lang w:eastAsia="zh-CN"/>
        </w:rPr>
        <w:t>表</w:t>
      </w:r>
      <w:r>
        <w:rPr>
          <w:rFonts w:hint="eastAsia"/>
          <w:b/>
          <w:bCs/>
          <w:color w:val="auto"/>
          <w:kern w:val="21"/>
          <w:sz w:val="21"/>
          <w:szCs w:val="21"/>
          <w:highlight w:val="none"/>
          <w:lang w:val="en-US" w:eastAsia="zh-CN"/>
        </w:rPr>
        <w:t>1.5-6    与政府规划方案选址相符性分析表</w:t>
      </w:r>
    </w:p>
    <w:tbl>
      <w:tblPr>
        <w:tblStyle w:val="551"/>
        <w:tblW w:w="4998" w:type="pct"/>
        <w:tblInd w:w="0"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2142"/>
        <w:gridCol w:w="3758"/>
        <w:gridCol w:w="1694"/>
        <w:gridCol w:w="715"/>
      </w:tblGrid>
      <w:tr w14:paraId="2012B21A">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3550" w:type="pct"/>
            <w:gridSpan w:val="2"/>
            <w:tcBorders>
              <w:tl2br w:val="nil"/>
              <w:tr2bl w:val="nil"/>
            </w:tcBorders>
            <w:vAlign w:val="center"/>
          </w:tcPr>
          <w:p w14:paraId="1361CD5A">
            <w:pPr>
              <w:jc w:val="center"/>
              <w:rPr>
                <w:rFonts w:hint="eastAsia" w:eastAsia="宋体"/>
                <w:lang w:eastAsia="zh-CN"/>
              </w:rPr>
            </w:pPr>
            <w:r>
              <w:rPr>
                <w:rFonts w:hint="eastAsia"/>
                <w:lang w:eastAsia="zh-CN"/>
              </w:rPr>
              <w:t>规范要求</w:t>
            </w:r>
          </w:p>
        </w:tc>
        <w:tc>
          <w:tcPr>
            <w:tcW w:w="1019" w:type="pct"/>
            <w:tcBorders>
              <w:tl2br w:val="nil"/>
              <w:tr2bl w:val="nil"/>
            </w:tcBorders>
            <w:vAlign w:val="center"/>
          </w:tcPr>
          <w:p w14:paraId="2FE7E28A">
            <w:pPr>
              <w:jc w:val="center"/>
              <w:rPr>
                <w:rFonts w:hint="eastAsia" w:eastAsia="宋体"/>
                <w:lang w:eastAsia="zh-CN"/>
              </w:rPr>
            </w:pPr>
            <w:r>
              <w:rPr>
                <w:rFonts w:hint="eastAsia"/>
                <w:lang w:eastAsia="zh-CN"/>
              </w:rPr>
              <w:t>本项目情况</w:t>
            </w:r>
          </w:p>
        </w:tc>
        <w:tc>
          <w:tcPr>
            <w:tcW w:w="430" w:type="pct"/>
            <w:tcBorders>
              <w:tl2br w:val="nil"/>
              <w:tr2bl w:val="nil"/>
            </w:tcBorders>
            <w:vAlign w:val="center"/>
          </w:tcPr>
          <w:p w14:paraId="4549B810">
            <w:pPr>
              <w:jc w:val="center"/>
              <w:rPr>
                <w:rFonts w:hint="eastAsia" w:eastAsia="宋体"/>
                <w:lang w:eastAsia="zh-CN"/>
              </w:rPr>
            </w:pPr>
            <w:r>
              <w:rPr>
                <w:rFonts w:hint="eastAsia"/>
                <w:lang w:eastAsia="zh-CN"/>
              </w:rPr>
              <w:t>符合性</w:t>
            </w:r>
          </w:p>
        </w:tc>
      </w:tr>
      <w:tr w14:paraId="18574B07">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48" w:hRule="atLeast"/>
        </w:trPr>
        <w:tc>
          <w:tcPr>
            <w:tcW w:w="1289" w:type="pct"/>
            <w:tcBorders>
              <w:tl2br w:val="nil"/>
              <w:tr2bl w:val="nil"/>
            </w:tcBorders>
            <w:vAlign w:val="center"/>
          </w:tcPr>
          <w:p w14:paraId="04866B8F">
            <w:pPr>
              <w:jc w:val="center"/>
            </w:pPr>
            <w:r>
              <w:t>北票市人民政府办公室关于印发北票市畜禽禁养区调整划定方案的通知〔2018〕59号</w:t>
            </w:r>
          </w:p>
        </w:tc>
        <w:tc>
          <w:tcPr>
            <w:tcW w:w="2260" w:type="pct"/>
            <w:tcBorders>
              <w:tl2br w:val="nil"/>
              <w:tr2bl w:val="nil"/>
            </w:tcBorders>
            <w:vAlign w:val="top"/>
          </w:tcPr>
          <w:p w14:paraId="560B93F8">
            <w:r>
              <w:t>北票市畜禽禁养区区域分为：</w:t>
            </w:r>
          </w:p>
          <w:p w14:paraId="170B31DD">
            <w:r>
              <w:t>1.饮用水水源保护区：包括北票市第一水源地饮用水水源保护区、北票市第三水源地饮用水水源保护区、北票市第四水源地饮用水水源保护区、白石水库饮用水水源保护区；面积206.21km</w:t>
            </w:r>
            <w:r>
              <w:rPr>
                <w:vertAlign w:val="superscript"/>
              </w:rPr>
              <w:t>2</w:t>
            </w:r>
            <w:r>
              <w:t>。</w:t>
            </w:r>
          </w:p>
          <w:p w14:paraId="29A54A42">
            <w:r>
              <w:t>2.自然保护区：大黑山国家级自然保护区的核心区和缓冲区，面积92.34km</w:t>
            </w:r>
            <w:r>
              <w:rPr>
                <w:vertAlign w:val="superscript"/>
              </w:rPr>
              <w:t>2</w:t>
            </w:r>
            <w:r>
              <w:t>；鸟化石国家级自然保护区，面积46.3km</w:t>
            </w:r>
            <w:r>
              <w:rPr>
                <w:vertAlign w:val="superscript"/>
              </w:rPr>
              <w:t>2</w:t>
            </w:r>
            <w:r>
              <w:t>；合计138.64km</w:t>
            </w:r>
            <w:r>
              <w:rPr>
                <w:vertAlign w:val="superscript"/>
              </w:rPr>
              <w:t>2</w:t>
            </w:r>
            <w:r>
              <w:t>。</w:t>
            </w:r>
          </w:p>
          <w:p w14:paraId="12ECD3D1">
            <w:r>
              <w:t>3.北票市城市建成区及乡镇集中建成区，面积约68km</w:t>
            </w:r>
            <w:r>
              <w:rPr>
                <w:vertAlign w:val="superscript"/>
              </w:rPr>
              <w:t>2</w:t>
            </w:r>
            <w:r>
              <w:t>。</w:t>
            </w:r>
          </w:p>
          <w:p w14:paraId="5CC33024">
            <w:r>
              <w:t>4.北票市经济技术开发区（包括五间房新市镇），面积32km</w:t>
            </w:r>
            <w:r>
              <w:rPr>
                <w:vertAlign w:val="superscript"/>
              </w:rPr>
              <w:t>2</w:t>
            </w:r>
            <w:r>
              <w:t>；北塔页岩油园区，面积4.87km</w:t>
            </w:r>
            <w:r>
              <w:rPr>
                <w:vertAlign w:val="superscript"/>
              </w:rPr>
              <w:t>2</w:t>
            </w:r>
            <w:r>
              <w:t>；三宝营工业园区，面积0.8031km</w:t>
            </w:r>
            <w:r>
              <w:rPr>
                <w:vertAlign w:val="superscript"/>
              </w:rPr>
              <w:t>2</w:t>
            </w:r>
            <w:r>
              <w:t>；工矿企业集中区，面积4.3km</w:t>
            </w:r>
            <w:r>
              <w:rPr>
                <w:vertAlign w:val="superscript"/>
              </w:rPr>
              <w:t>2</w:t>
            </w:r>
            <w:r>
              <w:t>；合计41.97km</w:t>
            </w:r>
            <w:r>
              <w:rPr>
                <w:vertAlign w:val="superscript"/>
              </w:rPr>
              <w:t>2</w:t>
            </w:r>
            <w:r>
              <w:t>。</w:t>
            </w:r>
          </w:p>
          <w:p w14:paraId="2940EB7E">
            <w:r>
              <w:t>5.国家或地方法律、法规规定的其他禁养区域。</w:t>
            </w:r>
          </w:p>
        </w:tc>
        <w:tc>
          <w:tcPr>
            <w:tcW w:w="1019" w:type="pct"/>
            <w:tcBorders>
              <w:tl2br w:val="nil"/>
              <w:tr2bl w:val="nil"/>
            </w:tcBorders>
            <w:vAlign w:val="center"/>
          </w:tcPr>
          <w:p w14:paraId="2A4B7905">
            <w:pPr>
              <w:jc w:val="center"/>
              <w:rPr>
                <w:rFonts w:hint="eastAsia" w:eastAsia="宋体"/>
                <w:lang w:eastAsia="zh-CN"/>
              </w:rPr>
            </w:pPr>
            <w:r>
              <w:t>依据北票市环境保护局出具的证明，结合2019年《北票市畜禽养殖禁养区划定方案》，本项目不在</w:t>
            </w:r>
            <w:r>
              <w:rPr>
                <w:rFonts w:hint="eastAsia"/>
                <w:lang w:eastAsia="zh-CN"/>
              </w:rPr>
              <w:t>北票</w:t>
            </w:r>
            <w:r>
              <w:t>市禁养区内（详见附件）</w:t>
            </w:r>
            <w:r>
              <w:rPr>
                <w:rFonts w:hint="eastAsia"/>
                <w:lang w:eastAsia="zh-CN"/>
              </w:rPr>
              <w:t>。</w:t>
            </w:r>
          </w:p>
        </w:tc>
        <w:tc>
          <w:tcPr>
            <w:tcW w:w="430" w:type="pct"/>
            <w:tcBorders>
              <w:tl2br w:val="nil"/>
              <w:tr2bl w:val="nil"/>
            </w:tcBorders>
            <w:vAlign w:val="center"/>
          </w:tcPr>
          <w:p w14:paraId="35D80CD8">
            <w:pPr>
              <w:jc w:val="center"/>
            </w:pPr>
            <w:r>
              <w:t>符合</w:t>
            </w:r>
          </w:p>
        </w:tc>
      </w:tr>
      <w:tr w14:paraId="3274BB0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289" w:type="pct"/>
            <w:tcBorders>
              <w:tl2br w:val="nil"/>
              <w:tr2bl w:val="nil"/>
            </w:tcBorders>
            <w:vAlign w:val="center"/>
          </w:tcPr>
          <w:p w14:paraId="244104EF">
            <w:pPr>
              <w:jc w:val="center"/>
            </w:pPr>
            <w:r>
              <w:t>朝阳市人民政府关于印发朝阳市畜禽禁养区划定方案的通知朝政发〔2016〕28号</w:t>
            </w:r>
          </w:p>
        </w:tc>
        <w:tc>
          <w:tcPr>
            <w:tcW w:w="2260" w:type="pct"/>
            <w:tcBorders>
              <w:tl2br w:val="nil"/>
              <w:tr2bl w:val="nil"/>
            </w:tcBorders>
            <w:vAlign w:val="top"/>
          </w:tcPr>
          <w:p w14:paraId="51C8A7E4">
            <w:r>
              <w:t>朝阳市畜禽养殖禁养区区域划定分为七大类第一类为饮用水水源保护区，包括饮用水水源一级保护区和二级保护区的路域范围。第二类为风景名胜区，包括国家级和省级风景名胜区。第三类为自然保护区，包括国家级和地方级自然保护区的核心区和缓冲区。第四类为城镇居民区，包括城镇建成区、工矿区、开发区、农场林场的场部驻地。第五类为文化教育科学研究区，指以培养人才，发展文化、科学、技术为主的区域。第六类为生态保护红线区，指生态保护红线所包围的区域，包含凌河保护区管理范围。第七类国家或地方法律、法规规定的其他禁养区域。</w:t>
            </w:r>
          </w:p>
        </w:tc>
        <w:tc>
          <w:tcPr>
            <w:tcW w:w="1019" w:type="pct"/>
            <w:tcBorders>
              <w:tl2br w:val="nil"/>
              <w:tr2bl w:val="nil"/>
            </w:tcBorders>
            <w:vAlign w:val="center"/>
          </w:tcPr>
          <w:p w14:paraId="1F5CE8BA">
            <w:pPr>
              <w:jc w:val="center"/>
              <w:rPr>
                <w:rFonts w:hint="eastAsia" w:eastAsia="宋体"/>
                <w:lang w:eastAsia="zh-CN"/>
              </w:rPr>
            </w:pPr>
            <w:r>
              <w:t>本项目不在上述禁建区域内</w:t>
            </w:r>
            <w:r>
              <w:rPr>
                <w:rFonts w:hint="eastAsia"/>
                <w:lang w:eastAsia="zh-CN"/>
              </w:rPr>
              <w:t>。</w:t>
            </w:r>
          </w:p>
        </w:tc>
        <w:tc>
          <w:tcPr>
            <w:tcW w:w="430" w:type="pct"/>
            <w:tcBorders>
              <w:tl2br w:val="nil"/>
              <w:tr2bl w:val="nil"/>
            </w:tcBorders>
            <w:vAlign w:val="center"/>
          </w:tcPr>
          <w:p w14:paraId="66B3D4BB">
            <w:pPr>
              <w:jc w:val="center"/>
              <w:rPr>
                <w:rFonts w:hint="eastAsia" w:eastAsia="宋体"/>
                <w:lang w:eastAsia="zh-CN"/>
              </w:rPr>
            </w:pPr>
            <w:r>
              <w:rPr>
                <w:rFonts w:hint="eastAsia"/>
                <w:lang w:eastAsia="zh-CN"/>
              </w:rPr>
              <w:t>符合</w:t>
            </w:r>
          </w:p>
        </w:tc>
      </w:tr>
      <w:tr w14:paraId="419D06AA">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538" w:hRule="atLeast"/>
        </w:trPr>
        <w:tc>
          <w:tcPr>
            <w:tcW w:w="1289" w:type="pct"/>
            <w:tcBorders>
              <w:tl2br w:val="nil"/>
              <w:tr2bl w:val="nil"/>
            </w:tcBorders>
            <w:vAlign w:val="center"/>
          </w:tcPr>
          <w:p w14:paraId="7E694AC9">
            <w:pPr>
              <w:jc w:val="center"/>
            </w:pPr>
            <w:r>
              <w:t>《关于转发辽宁省人民政府办公厅关于划定畜禽禁养区和依法关闭或搬迁禁养区内规模养殖场（小区）、养殖专业户工作的通知的通知》（朝环发〔2015〕134号）</w:t>
            </w:r>
          </w:p>
        </w:tc>
        <w:tc>
          <w:tcPr>
            <w:tcW w:w="2260" w:type="pct"/>
            <w:tcBorders>
              <w:tl2br w:val="nil"/>
              <w:tr2bl w:val="nil"/>
            </w:tcBorders>
            <w:vAlign w:val="center"/>
          </w:tcPr>
          <w:p w14:paraId="40A107B1">
            <w:pPr>
              <w:jc w:val="center"/>
              <w:rPr>
                <w:rFonts w:hint="eastAsia" w:eastAsia="宋体"/>
                <w:lang w:eastAsia="zh-CN"/>
              </w:rPr>
            </w:pPr>
            <w:r>
              <w:t>以下区域应依法划定为禁养区：饮用水水源保护区；风景名胜区；自然保护区；城镇居民区和文化教育科学研究区；其他确需纳入禁养区范围进行特殊保护的区域</w:t>
            </w:r>
            <w:r>
              <w:rPr>
                <w:rFonts w:hint="eastAsia"/>
                <w:lang w:eastAsia="zh-CN"/>
              </w:rPr>
              <w:t>。</w:t>
            </w:r>
          </w:p>
        </w:tc>
        <w:tc>
          <w:tcPr>
            <w:tcW w:w="1019" w:type="pct"/>
            <w:tcBorders>
              <w:tl2br w:val="nil"/>
              <w:tr2bl w:val="nil"/>
            </w:tcBorders>
            <w:vAlign w:val="center"/>
          </w:tcPr>
          <w:p w14:paraId="1B5E0443">
            <w:pPr>
              <w:jc w:val="center"/>
              <w:rPr>
                <w:rFonts w:hint="eastAsia" w:eastAsia="宋体"/>
                <w:lang w:eastAsia="zh-CN"/>
              </w:rPr>
            </w:pPr>
            <w:r>
              <w:t>本项目不在上述禁建区域内</w:t>
            </w:r>
            <w:r>
              <w:rPr>
                <w:rFonts w:hint="eastAsia"/>
                <w:lang w:eastAsia="zh-CN"/>
              </w:rPr>
              <w:t>。</w:t>
            </w:r>
          </w:p>
        </w:tc>
        <w:tc>
          <w:tcPr>
            <w:tcW w:w="430" w:type="pct"/>
            <w:tcBorders>
              <w:tl2br w:val="nil"/>
              <w:tr2bl w:val="nil"/>
            </w:tcBorders>
            <w:vAlign w:val="center"/>
          </w:tcPr>
          <w:p w14:paraId="719C7C98">
            <w:pPr>
              <w:jc w:val="center"/>
              <w:rPr>
                <w:rFonts w:hint="eastAsia" w:eastAsia="宋体"/>
                <w:lang w:eastAsia="zh-CN"/>
              </w:rPr>
            </w:pPr>
            <w:r>
              <w:rPr>
                <w:rFonts w:hint="eastAsia"/>
                <w:lang w:eastAsia="zh-CN"/>
              </w:rPr>
              <w:t>符合</w:t>
            </w:r>
          </w:p>
        </w:tc>
      </w:tr>
    </w:tbl>
    <w:p w14:paraId="641FADA8">
      <w:pPr>
        <w:spacing w:line="360" w:lineRule="auto"/>
        <w:ind w:firstLine="482" w:firstLineChars="200"/>
        <w:jc w:val="left"/>
        <w:rPr>
          <w:b/>
          <w:bCs/>
          <w:color w:val="auto"/>
          <w:kern w:val="21"/>
          <w:sz w:val="24"/>
        </w:rPr>
      </w:pPr>
      <w:r>
        <w:rPr>
          <w:b/>
          <w:bCs/>
          <w:color w:val="auto"/>
          <w:kern w:val="21"/>
          <w:sz w:val="24"/>
        </w:rPr>
        <w:t>（</w:t>
      </w:r>
      <w:r>
        <w:rPr>
          <w:rFonts w:hint="eastAsia"/>
          <w:b/>
          <w:bCs/>
          <w:color w:val="auto"/>
          <w:kern w:val="21"/>
          <w:sz w:val="24"/>
        </w:rPr>
        <w:t>4</w:t>
      </w:r>
      <w:r>
        <w:rPr>
          <w:b/>
          <w:bCs/>
          <w:color w:val="auto"/>
          <w:kern w:val="21"/>
          <w:sz w:val="24"/>
        </w:rPr>
        <w:t>）环境现状分析</w:t>
      </w:r>
    </w:p>
    <w:p w14:paraId="05F0CC84">
      <w:pPr>
        <w:spacing w:line="360" w:lineRule="auto"/>
        <w:ind w:firstLine="480" w:firstLineChars="200"/>
        <w:rPr>
          <w:color w:val="auto"/>
          <w:sz w:val="24"/>
          <w:shd w:val="clear" w:color="auto" w:fill="FFFFFF"/>
        </w:rPr>
      </w:pPr>
      <w:r>
        <w:rPr>
          <w:bCs/>
          <w:color w:val="auto"/>
          <w:sz w:val="24"/>
        </w:rPr>
        <w:t>根据监测数据可知：项目所在区域大气环境主要污染物</w:t>
      </w:r>
      <w:r>
        <w:rPr>
          <w:color w:val="auto"/>
          <w:sz w:val="24"/>
        </w:rPr>
        <w:t>H</w:t>
      </w:r>
      <w:r>
        <w:rPr>
          <w:color w:val="auto"/>
          <w:sz w:val="24"/>
          <w:vertAlign w:val="subscript"/>
        </w:rPr>
        <w:t>2</w:t>
      </w:r>
      <w:r>
        <w:rPr>
          <w:color w:val="auto"/>
          <w:sz w:val="24"/>
        </w:rPr>
        <w:t>S、NH</w:t>
      </w:r>
      <w:r>
        <w:rPr>
          <w:color w:val="auto"/>
          <w:sz w:val="24"/>
          <w:vertAlign w:val="subscript"/>
        </w:rPr>
        <w:t>3</w:t>
      </w:r>
      <w:r>
        <w:rPr>
          <w:color w:val="auto"/>
          <w:sz w:val="24"/>
        </w:rPr>
        <w:t>一次值符合</w:t>
      </w:r>
      <w:r>
        <w:rPr>
          <w:color w:val="auto"/>
          <w:kern w:val="0"/>
          <w:sz w:val="24"/>
        </w:rPr>
        <w:t>《环境影响评价技术导则 大气环境》</w:t>
      </w:r>
      <w:r>
        <w:rPr>
          <w:rFonts w:hint="eastAsia"/>
          <w:color w:val="auto"/>
          <w:kern w:val="0"/>
          <w:sz w:val="24"/>
          <w:lang w:eastAsia="zh-CN"/>
        </w:rPr>
        <w:t>（</w:t>
      </w:r>
      <w:r>
        <w:rPr>
          <w:color w:val="auto"/>
          <w:kern w:val="0"/>
          <w:sz w:val="24"/>
        </w:rPr>
        <w:t>HJ2.2-2018</w:t>
      </w:r>
      <w:r>
        <w:rPr>
          <w:rFonts w:hint="eastAsia"/>
          <w:color w:val="auto"/>
          <w:kern w:val="0"/>
          <w:sz w:val="24"/>
          <w:lang w:eastAsia="zh-CN"/>
        </w:rPr>
        <w:t>）中</w:t>
      </w:r>
      <w:r>
        <w:rPr>
          <w:color w:val="auto"/>
          <w:kern w:val="0"/>
          <w:sz w:val="24"/>
        </w:rPr>
        <w:t>附录D</w:t>
      </w:r>
      <w:r>
        <w:rPr>
          <w:color w:val="auto"/>
          <w:sz w:val="24"/>
        </w:rPr>
        <w:t>(一次浓度限值：H</w:t>
      </w:r>
      <w:r>
        <w:rPr>
          <w:color w:val="auto"/>
          <w:sz w:val="24"/>
          <w:vertAlign w:val="subscript"/>
        </w:rPr>
        <w:t>2</w:t>
      </w:r>
      <w:r>
        <w:rPr>
          <w:color w:val="auto"/>
          <w:sz w:val="24"/>
        </w:rPr>
        <w:t>S10µg/m</w:t>
      </w:r>
      <w:r>
        <w:rPr>
          <w:color w:val="auto"/>
          <w:sz w:val="24"/>
          <w:vertAlign w:val="superscript"/>
        </w:rPr>
        <w:t>3</w:t>
      </w:r>
      <w:r>
        <w:rPr>
          <w:color w:val="auto"/>
          <w:sz w:val="24"/>
        </w:rPr>
        <w:t>、NH</w:t>
      </w:r>
      <w:r>
        <w:rPr>
          <w:color w:val="auto"/>
          <w:sz w:val="24"/>
          <w:vertAlign w:val="subscript"/>
        </w:rPr>
        <w:t>3</w:t>
      </w:r>
      <w:r>
        <w:rPr>
          <w:color w:val="auto"/>
          <w:sz w:val="24"/>
        </w:rPr>
        <w:t>200µg/m</w:t>
      </w:r>
      <w:r>
        <w:rPr>
          <w:color w:val="auto"/>
          <w:sz w:val="24"/>
          <w:vertAlign w:val="superscript"/>
        </w:rPr>
        <w:t>3</w:t>
      </w:r>
      <w:r>
        <w:rPr>
          <w:color w:val="auto"/>
          <w:sz w:val="24"/>
        </w:rPr>
        <w:t>)，</w:t>
      </w:r>
      <w:r>
        <w:rPr>
          <w:bCs/>
          <w:color w:val="auto"/>
          <w:sz w:val="24"/>
        </w:rPr>
        <w:t>符合环境空气功能区划要求；项目区域地下水环境质量符合</w:t>
      </w:r>
      <w:r>
        <w:rPr>
          <w:color w:val="auto"/>
          <w:kern w:val="0"/>
          <w:sz w:val="24"/>
        </w:rPr>
        <w:t>《地下水质量标准》(GB/T14848-2017)</w:t>
      </w:r>
      <w:r>
        <w:rPr>
          <w:bCs/>
          <w:color w:val="auto"/>
          <w:kern w:val="0"/>
          <w:sz w:val="24"/>
        </w:rPr>
        <w:t>Ⅲ类</w:t>
      </w:r>
      <w:r>
        <w:rPr>
          <w:color w:val="auto"/>
          <w:kern w:val="0"/>
          <w:sz w:val="24"/>
        </w:rPr>
        <w:t>标准；</w:t>
      </w:r>
      <w:r>
        <w:rPr>
          <w:color w:val="auto"/>
          <w:kern w:val="0"/>
          <w:sz w:val="24"/>
          <w:highlight w:val="none"/>
        </w:rPr>
        <w:t xml:space="preserve">项目区域土壤环境质量符合《土壤环境质量 </w:t>
      </w:r>
      <w:r>
        <w:rPr>
          <w:rFonts w:hint="eastAsia"/>
          <w:color w:val="auto"/>
          <w:kern w:val="0"/>
          <w:sz w:val="24"/>
          <w:highlight w:val="none"/>
          <w:lang w:eastAsia="zh-CN"/>
        </w:rPr>
        <w:t>农用地</w:t>
      </w:r>
      <w:r>
        <w:rPr>
          <w:color w:val="auto"/>
          <w:kern w:val="0"/>
          <w:sz w:val="24"/>
          <w:highlight w:val="none"/>
        </w:rPr>
        <w:t>土壤污染风险管控标准（试行）》(GB</w:t>
      </w:r>
      <w:r>
        <w:rPr>
          <w:rFonts w:hint="eastAsia"/>
          <w:color w:val="auto"/>
          <w:kern w:val="0"/>
          <w:sz w:val="24"/>
          <w:highlight w:val="none"/>
          <w:lang w:val="en-US" w:eastAsia="zh-CN"/>
        </w:rPr>
        <w:t>15618</w:t>
      </w:r>
      <w:r>
        <w:rPr>
          <w:color w:val="auto"/>
          <w:kern w:val="0"/>
          <w:sz w:val="24"/>
          <w:highlight w:val="none"/>
        </w:rPr>
        <w:t>-2018)中</w:t>
      </w:r>
      <w:r>
        <w:rPr>
          <w:rFonts w:hint="eastAsia"/>
          <w:color w:val="auto"/>
          <w:kern w:val="0"/>
          <w:sz w:val="24"/>
          <w:highlight w:val="none"/>
          <w:lang w:eastAsia="zh-CN"/>
        </w:rPr>
        <w:t>农用地</w:t>
      </w:r>
      <w:r>
        <w:rPr>
          <w:color w:val="auto"/>
          <w:kern w:val="0"/>
          <w:sz w:val="24"/>
          <w:highlight w:val="none"/>
        </w:rPr>
        <w:t>土壤污染风险筛选值标准；</w:t>
      </w:r>
      <w:r>
        <w:rPr>
          <w:bCs/>
          <w:color w:val="auto"/>
          <w:sz w:val="24"/>
        </w:rPr>
        <w:t>项目厂界声环境质量符合《声环境质量标准》(GB3096-2008)中1类标准，符合声环境功能区划要求。</w:t>
      </w:r>
    </w:p>
    <w:p w14:paraId="02F54517">
      <w:pPr>
        <w:pStyle w:val="20"/>
        <w:spacing w:line="360" w:lineRule="auto"/>
        <w:ind w:firstLine="482" w:firstLineChars="200"/>
        <w:rPr>
          <w:bCs/>
          <w:color w:val="auto"/>
          <w:kern w:val="21"/>
          <w:sz w:val="24"/>
        </w:rPr>
      </w:pPr>
      <w:r>
        <w:rPr>
          <w:b/>
          <w:color w:val="auto"/>
          <w:kern w:val="21"/>
          <w:sz w:val="24"/>
        </w:rPr>
        <w:t>（</w:t>
      </w:r>
      <w:r>
        <w:rPr>
          <w:rFonts w:hint="eastAsia"/>
          <w:b/>
          <w:color w:val="auto"/>
          <w:kern w:val="21"/>
          <w:sz w:val="24"/>
        </w:rPr>
        <w:t>5</w:t>
      </w:r>
      <w:r>
        <w:rPr>
          <w:b/>
          <w:color w:val="auto"/>
          <w:kern w:val="21"/>
          <w:sz w:val="24"/>
        </w:rPr>
        <w:t>）环境影响分析</w:t>
      </w:r>
    </w:p>
    <w:p w14:paraId="01DEFB56">
      <w:pPr>
        <w:pStyle w:val="20"/>
        <w:spacing w:line="360" w:lineRule="auto"/>
        <w:ind w:firstLine="480" w:firstLineChars="200"/>
        <w:rPr>
          <w:color w:val="auto"/>
          <w:sz w:val="24"/>
          <w:highlight w:val="none"/>
        </w:rPr>
      </w:pPr>
      <w:r>
        <w:rPr>
          <w:bCs/>
          <w:color w:val="auto"/>
          <w:kern w:val="21"/>
          <w:sz w:val="24"/>
          <w:highlight w:val="none"/>
        </w:rPr>
        <w:t>1）废气：</w:t>
      </w:r>
      <w:r>
        <w:rPr>
          <w:color w:val="auto"/>
          <w:sz w:val="24"/>
          <w:highlight w:val="none"/>
        </w:rPr>
        <w:t>项目鸡舍产生的恶臭气体经干清粪工艺、喷洒除臭剂、厂区四周设置隔离绿化带</w:t>
      </w:r>
      <w:r>
        <w:rPr>
          <w:rFonts w:hint="eastAsia"/>
          <w:color w:val="auto"/>
          <w:sz w:val="24"/>
          <w:highlight w:val="none"/>
        </w:rPr>
        <w:t>，</w:t>
      </w:r>
      <w:r>
        <w:rPr>
          <w:rFonts w:hint="eastAsia"/>
          <w:color w:val="auto"/>
          <w:sz w:val="24"/>
          <w:szCs w:val="20"/>
          <w:lang w:eastAsia="zh-CN"/>
        </w:rPr>
        <w:t>临时储粪场设置为封闭结构四周做围堰，</w:t>
      </w:r>
      <w:r>
        <w:rPr>
          <w:color w:val="auto"/>
          <w:sz w:val="24"/>
          <w:highlight w:val="none"/>
        </w:rPr>
        <w:t>喷</w:t>
      </w:r>
      <w:r>
        <w:rPr>
          <w:rFonts w:hint="eastAsia"/>
          <w:color w:val="auto"/>
          <w:sz w:val="24"/>
          <w:highlight w:val="none"/>
        </w:rPr>
        <w:t>洒</w:t>
      </w:r>
      <w:r>
        <w:rPr>
          <w:color w:val="auto"/>
          <w:sz w:val="24"/>
          <w:highlight w:val="none"/>
        </w:rPr>
        <w:t>生物除臭剂，周围加强绿化，</w:t>
      </w:r>
      <w:r>
        <w:rPr>
          <w:rFonts w:hint="eastAsia"/>
          <w:color w:val="auto"/>
          <w:sz w:val="24"/>
          <w:highlight w:val="none"/>
          <w:lang w:eastAsia="zh-CN"/>
        </w:rPr>
        <w:t>废水收集池</w:t>
      </w:r>
      <w:r>
        <w:rPr>
          <w:color w:val="auto"/>
          <w:sz w:val="24"/>
          <w:highlight w:val="none"/>
        </w:rPr>
        <w:t>加盖板密闭</w:t>
      </w:r>
      <w:r>
        <w:rPr>
          <w:rFonts w:hint="eastAsia"/>
          <w:color w:val="auto"/>
          <w:sz w:val="24"/>
          <w:highlight w:val="none"/>
        </w:rPr>
        <w:t>，其恶臭污染物排放</w:t>
      </w:r>
      <w:r>
        <w:rPr>
          <w:color w:val="auto"/>
          <w:sz w:val="24"/>
          <w:highlight w:val="none"/>
        </w:rPr>
        <w:t>符合《恶臭污染物排放标准》(GB14554-93)</w:t>
      </w:r>
      <w:r>
        <w:rPr>
          <w:rFonts w:hint="eastAsia"/>
          <w:color w:val="auto"/>
          <w:sz w:val="24"/>
          <w:highlight w:val="none"/>
        </w:rPr>
        <w:t>中</w:t>
      </w:r>
      <w:r>
        <w:rPr>
          <w:color w:val="auto"/>
          <w:sz w:val="24"/>
          <w:highlight w:val="none"/>
        </w:rPr>
        <w:t>标准</w:t>
      </w:r>
      <w:r>
        <w:rPr>
          <w:rFonts w:hint="eastAsia"/>
          <w:color w:val="auto"/>
          <w:sz w:val="24"/>
          <w:highlight w:val="none"/>
          <w:lang w:eastAsia="zh-CN"/>
        </w:rPr>
        <w:t>及</w:t>
      </w:r>
      <w:r>
        <w:rPr>
          <w:rFonts w:hint="eastAsia"/>
          <w:color w:val="auto"/>
          <w:sz w:val="24"/>
          <w:highlight w:val="none"/>
        </w:rPr>
        <w:t>《畜禽养殖业污染物排放标准》</w:t>
      </w:r>
      <w:r>
        <w:rPr>
          <w:rFonts w:hint="eastAsia"/>
          <w:color w:val="auto"/>
          <w:sz w:val="24"/>
          <w:highlight w:val="none"/>
          <w:lang w:eastAsia="zh-CN"/>
        </w:rPr>
        <w:t>（</w:t>
      </w:r>
      <w:r>
        <w:rPr>
          <w:rFonts w:hint="eastAsia"/>
          <w:color w:val="auto"/>
          <w:sz w:val="24"/>
          <w:highlight w:val="none"/>
          <w:lang w:val="en-US" w:eastAsia="zh-CN"/>
        </w:rPr>
        <w:t>GB18596-2001</w:t>
      </w:r>
      <w:r>
        <w:rPr>
          <w:rFonts w:hint="eastAsia"/>
          <w:color w:val="auto"/>
          <w:sz w:val="24"/>
          <w:highlight w:val="none"/>
          <w:lang w:eastAsia="zh-CN"/>
        </w:rPr>
        <w:t>）中标准</w:t>
      </w:r>
      <w:r>
        <w:rPr>
          <w:rFonts w:hint="eastAsia"/>
          <w:color w:val="auto"/>
          <w:sz w:val="24"/>
          <w:highlight w:val="none"/>
        </w:rPr>
        <w:t>；</w:t>
      </w:r>
      <w:r>
        <w:rPr>
          <w:color w:val="auto"/>
          <w:kern w:val="0"/>
          <w:sz w:val="24"/>
          <w:highlight w:val="none"/>
        </w:rPr>
        <w:t>锅炉燃烧废气主要污染物颗粒物(烟尘)、SO</w:t>
      </w:r>
      <w:r>
        <w:rPr>
          <w:color w:val="auto"/>
          <w:kern w:val="0"/>
          <w:sz w:val="24"/>
          <w:highlight w:val="none"/>
          <w:vertAlign w:val="subscript"/>
        </w:rPr>
        <w:t>2</w:t>
      </w:r>
      <w:r>
        <w:rPr>
          <w:color w:val="auto"/>
          <w:kern w:val="0"/>
          <w:sz w:val="24"/>
          <w:highlight w:val="none"/>
        </w:rPr>
        <w:t>、NOx经</w:t>
      </w:r>
      <w:r>
        <w:rPr>
          <w:rFonts w:hint="eastAsia"/>
          <w:color w:val="auto"/>
          <w:kern w:val="0"/>
          <w:sz w:val="24"/>
          <w:highlight w:val="none"/>
          <w:lang w:eastAsia="zh-CN"/>
        </w:rPr>
        <w:t>旋风除尘器</w:t>
      </w:r>
      <w:r>
        <w:rPr>
          <w:rFonts w:hint="eastAsia"/>
          <w:color w:val="auto"/>
          <w:kern w:val="0"/>
          <w:sz w:val="24"/>
          <w:highlight w:val="none"/>
          <w:lang w:val="en-US" w:eastAsia="zh-CN"/>
        </w:rPr>
        <w:t>+</w:t>
      </w:r>
      <w:r>
        <w:rPr>
          <w:rFonts w:hint="eastAsia"/>
          <w:color w:val="auto"/>
          <w:kern w:val="0"/>
          <w:sz w:val="24"/>
          <w:highlight w:val="none"/>
          <w:lang w:eastAsia="zh-CN"/>
        </w:rPr>
        <w:t>布袋除尘器处理后通过</w:t>
      </w:r>
      <w:r>
        <w:rPr>
          <w:rFonts w:hint="eastAsia"/>
          <w:color w:val="auto"/>
          <w:kern w:val="0"/>
          <w:sz w:val="24"/>
          <w:highlight w:val="none"/>
          <w:lang w:val="en-US" w:eastAsia="zh-CN"/>
        </w:rPr>
        <w:t>30m高烟囱（DA001）</w:t>
      </w:r>
      <w:r>
        <w:rPr>
          <w:color w:val="auto"/>
          <w:kern w:val="0"/>
          <w:sz w:val="24"/>
          <w:highlight w:val="none"/>
        </w:rPr>
        <w:t>排放，</w:t>
      </w:r>
      <w:r>
        <w:rPr>
          <w:rFonts w:hint="eastAsia"/>
          <w:color w:val="auto"/>
          <w:kern w:val="0"/>
          <w:sz w:val="24"/>
          <w:highlight w:val="none"/>
        </w:rPr>
        <w:t>满足</w:t>
      </w:r>
      <w:r>
        <w:rPr>
          <w:color w:val="auto"/>
          <w:kern w:val="0"/>
          <w:sz w:val="24"/>
          <w:highlight w:val="none"/>
        </w:rPr>
        <w:t>《锅炉大气污染物排放标准》（GB13271-2014）中表</w:t>
      </w:r>
      <w:r>
        <w:rPr>
          <w:rFonts w:hint="eastAsia"/>
          <w:color w:val="auto"/>
          <w:kern w:val="0"/>
          <w:sz w:val="24"/>
          <w:highlight w:val="none"/>
          <w:lang w:val="en-US" w:eastAsia="zh-CN"/>
        </w:rPr>
        <w:t>3</w:t>
      </w:r>
      <w:r>
        <w:rPr>
          <w:color w:val="auto"/>
          <w:kern w:val="0"/>
          <w:sz w:val="24"/>
          <w:highlight w:val="none"/>
        </w:rPr>
        <w:t>大气污染物</w:t>
      </w:r>
      <w:r>
        <w:rPr>
          <w:rFonts w:hint="eastAsia"/>
          <w:color w:val="auto"/>
          <w:kern w:val="0"/>
          <w:sz w:val="24"/>
          <w:highlight w:val="none"/>
          <w:lang w:eastAsia="zh-CN"/>
        </w:rPr>
        <w:t>特别</w:t>
      </w:r>
      <w:r>
        <w:rPr>
          <w:color w:val="auto"/>
          <w:kern w:val="0"/>
          <w:sz w:val="24"/>
          <w:highlight w:val="none"/>
        </w:rPr>
        <w:t>排放限值</w:t>
      </w:r>
      <w:r>
        <w:rPr>
          <w:rFonts w:hint="eastAsia"/>
          <w:color w:val="auto"/>
          <w:kern w:val="0"/>
          <w:sz w:val="24"/>
          <w:highlight w:val="none"/>
          <w:lang w:eastAsia="zh-CN"/>
        </w:rPr>
        <w:t>中燃煤锅炉</w:t>
      </w:r>
      <w:r>
        <w:rPr>
          <w:color w:val="auto"/>
          <w:kern w:val="0"/>
          <w:sz w:val="24"/>
          <w:highlight w:val="none"/>
        </w:rPr>
        <w:t>。</w:t>
      </w:r>
    </w:p>
    <w:p w14:paraId="622D0E64">
      <w:pPr>
        <w:spacing w:line="360" w:lineRule="auto"/>
        <w:ind w:firstLine="480" w:firstLineChars="200"/>
        <w:rPr>
          <w:color w:val="auto"/>
          <w:sz w:val="24"/>
          <w:highlight w:val="none"/>
        </w:rPr>
      </w:pPr>
      <w:r>
        <w:rPr>
          <w:color w:val="auto"/>
          <w:sz w:val="24"/>
        </w:rPr>
        <w:t>2）废水：</w:t>
      </w:r>
      <w:r>
        <w:rPr>
          <w:rFonts w:hint="eastAsia"/>
          <w:color w:val="auto"/>
          <w:sz w:val="24"/>
        </w:rPr>
        <w:t>本项目</w:t>
      </w:r>
      <w:r>
        <w:rPr>
          <w:color w:val="auto"/>
          <w:sz w:val="24"/>
        </w:rPr>
        <w:t>养殖废水</w:t>
      </w:r>
      <w:r>
        <w:rPr>
          <w:rFonts w:hint="eastAsia"/>
          <w:color w:val="auto"/>
          <w:sz w:val="24"/>
        </w:rPr>
        <w:t>养殖废水日产日清</w:t>
      </w:r>
      <w:r>
        <w:rPr>
          <w:rFonts w:hint="eastAsia"/>
          <w:color w:val="auto"/>
          <w:sz w:val="24"/>
          <w:lang w:eastAsia="zh-CN"/>
        </w:rPr>
        <w:t>，</w:t>
      </w:r>
      <w:r>
        <w:rPr>
          <w:rFonts w:hint="eastAsia"/>
          <w:color w:val="auto"/>
          <w:sz w:val="24"/>
          <w:highlight w:val="none"/>
          <w:lang w:eastAsia="zh-CN"/>
        </w:rPr>
        <w:t>由罐车直接拉走外售至辰泰（辽宁）生物科技有限公司做有机肥，</w:t>
      </w:r>
      <w:r>
        <w:rPr>
          <w:rFonts w:hint="eastAsia"/>
          <w:color w:val="auto"/>
          <w:sz w:val="24"/>
          <w:highlight w:val="none"/>
        </w:rPr>
        <w:t>养殖废水</w:t>
      </w:r>
      <w:r>
        <w:rPr>
          <w:rFonts w:hint="eastAsia"/>
          <w:color w:val="auto"/>
          <w:sz w:val="24"/>
          <w:highlight w:val="none"/>
          <w:lang w:eastAsia="zh-CN"/>
        </w:rPr>
        <w:t>不</w:t>
      </w:r>
      <w:r>
        <w:rPr>
          <w:rFonts w:hint="eastAsia"/>
          <w:color w:val="auto"/>
          <w:sz w:val="24"/>
          <w:highlight w:val="none"/>
        </w:rPr>
        <w:t>外排</w:t>
      </w:r>
      <w:r>
        <w:rPr>
          <w:color w:val="auto"/>
          <w:sz w:val="24"/>
          <w:highlight w:val="none"/>
        </w:rPr>
        <w:t>；食堂废水经隔油池处理后同生活污水排入旱厕定期清掏</w:t>
      </w:r>
      <w:r>
        <w:rPr>
          <w:rFonts w:hint="eastAsia"/>
          <w:color w:val="auto"/>
          <w:sz w:val="24"/>
          <w:highlight w:val="none"/>
        </w:rPr>
        <w:t>，</w:t>
      </w:r>
      <w:r>
        <w:rPr>
          <w:rFonts w:hint="eastAsia"/>
          <w:color w:val="auto"/>
          <w:sz w:val="24"/>
          <w:highlight w:val="none"/>
          <w:lang w:eastAsia="zh-CN"/>
        </w:rPr>
        <w:t>用作农肥</w:t>
      </w:r>
      <w:r>
        <w:rPr>
          <w:color w:val="auto"/>
          <w:sz w:val="24"/>
          <w:highlight w:val="none"/>
        </w:rPr>
        <w:t>。</w:t>
      </w:r>
      <w:r>
        <w:rPr>
          <w:rFonts w:hint="eastAsia"/>
          <w:color w:val="auto"/>
          <w:sz w:val="24"/>
          <w:highlight w:val="none"/>
        </w:rPr>
        <w:t>反冲洗废水及锅炉排污水</w:t>
      </w:r>
      <w:r>
        <w:rPr>
          <w:rFonts w:hint="eastAsia"/>
          <w:color w:val="auto"/>
          <w:sz w:val="24"/>
          <w:highlight w:val="none"/>
          <w:lang w:eastAsia="zh-CN"/>
        </w:rPr>
        <w:t>用于厂区绿化及地面降尘</w:t>
      </w:r>
      <w:r>
        <w:rPr>
          <w:rFonts w:hint="eastAsia"/>
          <w:color w:val="auto"/>
          <w:sz w:val="24"/>
          <w:highlight w:val="none"/>
        </w:rPr>
        <w:t>。</w:t>
      </w:r>
      <w:r>
        <w:rPr>
          <w:color w:val="auto"/>
          <w:sz w:val="24"/>
          <w:highlight w:val="none"/>
        </w:rPr>
        <w:t>湿帘</w:t>
      </w:r>
      <w:r>
        <w:rPr>
          <w:rFonts w:hint="eastAsia"/>
          <w:color w:val="auto"/>
          <w:sz w:val="24"/>
          <w:highlight w:val="none"/>
        </w:rPr>
        <w:t>、</w:t>
      </w:r>
      <w:r>
        <w:rPr>
          <w:color w:val="auto"/>
          <w:sz w:val="24"/>
          <w:highlight w:val="none"/>
        </w:rPr>
        <w:t>消毒、绿化用水自然蒸发损耗</w:t>
      </w:r>
      <w:r>
        <w:rPr>
          <w:rFonts w:hint="eastAsia"/>
          <w:color w:val="auto"/>
          <w:sz w:val="24"/>
          <w:highlight w:val="none"/>
        </w:rPr>
        <w:t>。</w:t>
      </w:r>
    </w:p>
    <w:p w14:paraId="0839F6EF">
      <w:pPr>
        <w:pStyle w:val="20"/>
        <w:spacing w:line="360" w:lineRule="auto"/>
        <w:ind w:firstLine="480" w:firstLineChars="200"/>
        <w:rPr>
          <w:color w:val="auto"/>
          <w:sz w:val="24"/>
          <w:highlight w:val="none"/>
        </w:rPr>
      </w:pPr>
      <w:r>
        <w:rPr>
          <w:color w:val="auto"/>
          <w:sz w:val="24"/>
          <w:highlight w:val="none"/>
        </w:rPr>
        <w:t>3）噪声：设备噪声经墙体隔声、距离衰减后，厂界噪声符合《工业企业厂界环境噪声排放标准》(GB12348-2008)中1类标准，达标排放；</w:t>
      </w:r>
    </w:p>
    <w:p w14:paraId="6AA4810B">
      <w:pPr>
        <w:spacing w:line="360" w:lineRule="auto"/>
        <w:ind w:firstLine="480" w:firstLineChars="200"/>
        <w:rPr>
          <w:color w:val="auto"/>
          <w:sz w:val="24"/>
        </w:rPr>
      </w:pPr>
      <w:r>
        <w:rPr>
          <w:color w:val="auto"/>
          <w:sz w:val="24"/>
          <w:highlight w:val="none"/>
        </w:rPr>
        <w:t>4）固废：鸡粪、</w:t>
      </w:r>
      <w:r>
        <w:rPr>
          <w:rFonts w:hint="eastAsia"/>
          <w:color w:val="auto"/>
          <w:sz w:val="24"/>
          <w:highlight w:val="none"/>
        </w:rPr>
        <w:t>鸡羽毛、</w:t>
      </w:r>
      <w:r>
        <w:rPr>
          <w:color w:val="auto"/>
          <w:sz w:val="24"/>
          <w:highlight w:val="none"/>
        </w:rPr>
        <w:t>饲料残渣除</w:t>
      </w:r>
      <w:r>
        <w:rPr>
          <w:rFonts w:hint="eastAsia"/>
          <w:color w:val="auto"/>
          <w:sz w:val="24"/>
          <w:highlight w:val="none"/>
        </w:rPr>
        <w:t>极端天气</w:t>
      </w:r>
      <w:r>
        <w:rPr>
          <w:color w:val="auto"/>
          <w:sz w:val="24"/>
          <w:highlight w:val="none"/>
        </w:rPr>
        <w:t>（约50天/年）需暂存</w:t>
      </w:r>
      <w:r>
        <w:rPr>
          <w:rFonts w:hint="eastAsia"/>
          <w:color w:val="auto"/>
          <w:sz w:val="24"/>
          <w:highlight w:val="none"/>
          <w:lang w:eastAsia="zh-CN"/>
        </w:rPr>
        <w:t>临时储粪场</w:t>
      </w:r>
      <w:r>
        <w:rPr>
          <w:color w:val="auto"/>
          <w:sz w:val="24"/>
          <w:highlight w:val="none"/>
        </w:rPr>
        <w:t>外，均日产日清由清粪车直接拉走外</w:t>
      </w:r>
      <w:r>
        <w:rPr>
          <w:rFonts w:hint="eastAsia"/>
          <w:color w:val="auto"/>
          <w:sz w:val="24"/>
          <w:highlight w:val="none"/>
        </w:rPr>
        <w:t>售</w:t>
      </w:r>
      <w:r>
        <w:rPr>
          <w:rFonts w:hint="eastAsia"/>
          <w:color w:val="auto"/>
          <w:sz w:val="24"/>
          <w:highlight w:val="none"/>
          <w:lang w:eastAsia="zh-CN"/>
        </w:rPr>
        <w:t>至辰泰（辽宁）生物科技有限公司</w:t>
      </w:r>
      <w:r>
        <w:rPr>
          <w:rFonts w:hint="eastAsia"/>
          <w:color w:val="auto"/>
          <w:sz w:val="24"/>
          <w:highlight w:val="none"/>
        </w:rPr>
        <w:t>进行有机肥制造</w:t>
      </w:r>
      <w:r>
        <w:rPr>
          <w:color w:val="auto"/>
          <w:sz w:val="24"/>
          <w:highlight w:val="none"/>
        </w:rPr>
        <w:t>；病死鸡</w:t>
      </w:r>
      <w:r>
        <w:rPr>
          <w:rFonts w:hint="eastAsia"/>
          <w:color w:val="auto"/>
          <w:sz w:val="24"/>
          <w:highlight w:val="none"/>
          <w:lang w:eastAsia="zh-CN"/>
        </w:rPr>
        <w:t>暂存于冷柜，委托北票市汇宏动物无害化处理有限公司定期运走做无害化</w:t>
      </w:r>
      <w:r>
        <w:rPr>
          <w:rFonts w:hint="eastAsia"/>
          <w:color w:val="auto"/>
          <w:sz w:val="24"/>
          <w:highlight w:val="none"/>
        </w:rPr>
        <w:t>处理；</w:t>
      </w:r>
      <w:r>
        <w:rPr>
          <w:color w:val="auto"/>
          <w:sz w:val="24"/>
        </w:rPr>
        <w:t>医疗废物</w:t>
      </w:r>
      <w:r>
        <w:rPr>
          <w:rFonts w:hint="eastAsia"/>
          <w:color w:val="auto"/>
          <w:sz w:val="24"/>
          <w:lang w:eastAsia="zh-CN"/>
        </w:rPr>
        <w:t>暂存于医疗废物暂存间，委托有资质单位定期收集处理</w:t>
      </w:r>
      <w:r>
        <w:rPr>
          <w:color w:val="auto"/>
          <w:sz w:val="24"/>
        </w:rPr>
        <w:t>；</w:t>
      </w:r>
      <w:r>
        <w:rPr>
          <w:rFonts w:hint="eastAsia"/>
          <w:color w:val="auto"/>
          <w:sz w:val="24"/>
        </w:rPr>
        <w:t>废离子交换树脂由厂家进行更换处理；员工生活产生生活垃圾，厂区内设置垃圾点，定期清运至附近垃圾点</w:t>
      </w:r>
      <w:r>
        <w:rPr>
          <w:color w:val="auto"/>
          <w:sz w:val="24"/>
        </w:rPr>
        <w:t>。本项目固体废物可以做到妥善处理处置。</w:t>
      </w:r>
    </w:p>
    <w:p w14:paraId="1BA2EE27">
      <w:pPr>
        <w:pStyle w:val="20"/>
        <w:spacing w:line="360" w:lineRule="auto"/>
        <w:ind w:firstLine="482" w:firstLineChars="200"/>
        <w:rPr>
          <w:b/>
          <w:color w:val="auto"/>
          <w:kern w:val="21"/>
          <w:sz w:val="24"/>
        </w:rPr>
      </w:pPr>
      <w:r>
        <w:rPr>
          <w:b/>
          <w:color w:val="auto"/>
          <w:kern w:val="21"/>
          <w:sz w:val="24"/>
        </w:rPr>
        <w:t>（</w:t>
      </w:r>
      <w:r>
        <w:rPr>
          <w:rFonts w:hint="eastAsia"/>
          <w:b/>
          <w:color w:val="auto"/>
          <w:kern w:val="21"/>
          <w:sz w:val="24"/>
        </w:rPr>
        <w:t>6</w:t>
      </w:r>
      <w:r>
        <w:rPr>
          <w:b/>
          <w:color w:val="auto"/>
          <w:kern w:val="21"/>
          <w:sz w:val="24"/>
        </w:rPr>
        <w:t>）生态影响分析</w:t>
      </w:r>
    </w:p>
    <w:p w14:paraId="3BBB32CE">
      <w:pPr>
        <w:pStyle w:val="20"/>
        <w:spacing w:line="360" w:lineRule="auto"/>
        <w:ind w:firstLine="480" w:firstLineChars="200"/>
        <w:rPr>
          <w:color w:val="auto"/>
          <w:sz w:val="24"/>
        </w:rPr>
      </w:pPr>
      <w:r>
        <w:rPr>
          <w:color w:val="auto"/>
          <w:sz w:val="24"/>
        </w:rPr>
        <w:t>生态影响分析：项目施工期地面开挖改变土地利用格局、破坏土壤和自然植被，造成水土流失，通过尽量缩短工期、施工结束后及时清理施工迹地、恢复地表植被等生态保护措施降低对生态环境的影响。</w:t>
      </w:r>
    </w:p>
    <w:p w14:paraId="7E5BD5A8">
      <w:pPr>
        <w:pStyle w:val="20"/>
        <w:spacing w:line="360" w:lineRule="auto"/>
        <w:ind w:firstLine="482" w:firstLineChars="200"/>
        <w:rPr>
          <w:b/>
          <w:color w:val="auto"/>
          <w:kern w:val="21"/>
          <w:sz w:val="24"/>
        </w:rPr>
      </w:pPr>
      <w:r>
        <w:rPr>
          <w:b/>
          <w:color w:val="auto"/>
          <w:kern w:val="21"/>
          <w:sz w:val="24"/>
        </w:rPr>
        <w:t>（</w:t>
      </w:r>
      <w:r>
        <w:rPr>
          <w:rFonts w:hint="eastAsia"/>
          <w:b/>
          <w:color w:val="auto"/>
          <w:kern w:val="21"/>
          <w:sz w:val="24"/>
        </w:rPr>
        <w:t>7</w:t>
      </w:r>
      <w:r>
        <w:rPr>
          <w:b/>
          <w:color w:val="auto"/>
          <w:kern w:val="21"/>
          <w:sz w:val="24"/>
        </w:rPr>
        <w:t>）公众参与可接受性</w:t>
      </w:r>
    </w:p>
    <w:p w14:paraId="40707328">
      <w:pPr>
        <w:pStyle w:val="20"/>
        <w:spacing w:line="360" w:lineRule="auto"/>
        <w:ind w:firstLine="480" w:firstLineChars="200"/>
        <w:rPr>
          <w:color w:val="auto"/>
          <w:sz w:val="24"/>
          <w:highlight w:val="green"/>
        </w:rPr>
      </w:pPr>
      <w:r>
        <w:rPr>
          <w:color w:val="auto"/>
          <w:sz w:val="24"/>
        </w:rPr>
        <w:t>建设单位对该项目以及企业情况进行公众参与调查，使民众了解该项目的生产情况和拟采取的污染防治措施，已取得民众对该项目建设的理解和支持</w:t>
      </w:r>
      <w:r>
        <w:rPr>
          <w:color w:val="auto"/>
          <w:sz w:val="24"/>
          <w:highlight w:val="none"/>
        </w:rPr>
        <w:t>。</w:t>
      </w:r>
    </w:p>
    <w:p w14:paraId="18F05A17">
      <w:pPr>
        <w:autoSpaceDE w:val="0"/>
        <w:autoSpaceDN w:val="0"/>
        <w:adjustRightInd w:val="0"/>
        <w:spacing w:line="360" w:lineRule="auto"/>
        <w:ind w:firstLine="482" w:firstLineChars="200"/>
        <w:jc w:val="left"/>
        <w:rPr>
          <w:b/>
          <w:color w:val="auto"/>
          <w:kern w:val="21"/>
          <w:sz w:val="24"/>
        </w:rPr>
      </w:pPr>
      <w:r>
        <w:rPr>
          <w:rFonts w:hint="eastAsia"/>
          <w:b/>
          <w:color w:val="auto"/>
          <w:kern w:val="21"/>
          <w:sz w:val="24"/>
        </w:rPr>
        <w:t>（8）选址合理性分析</w:t>
      </w:r>
    </w:p>
    <w:p w14:paraId="2D9BF2D9">
      <w:pPr>
        <w:autoSpaceDE w:val="0"/>
        <w:autoSpaceDN w:val="0"/>
        <w:adjustRightInd w:val="0"/>
        <w:spacing w:line="360" w:lineRule="auto"/>
        <w:ind w:firstLine="480" w:firstLineChars="200"/>
        <w:jc w:val="left"/>
        <w:rPr>
          <w:bCs/>
          <w:color w:val="auto"/>
          <w:kern w:val="21"/>
          <w:sz w:val="24"/>
        </w:rPr>
      </w:pPr>
      <w:r>
        <w:rPr>
          <w:rFonts w:hint="eastAsia"/>
          <w:bCs/>
          <w:color w:val="auto"/>
          <w:kern w:val="21"/>
          <w:sz w:val="24"/>
        </w:rPr>
        <w:t>A、项目区环境保护目标情况</w:t>
      </w:r>
    </w:p>
    <w:p w14:paraId="6E54A35A">
      <w:pPr>
        <w:autoSpaceDE w:val="0"/>
        <w:autoSpaceDN w:val="0"/>
        <w:adjustRightInd w:val="0"/>
        <w:spacing w:line="360" w:lineRule="auto"/>
        <w:ind w:firstLine="480" w:firstLineChars="200"/>
        <w:jc w:val="left"/>
        <w:rPr>
          <w:bCs/>
          <w:color w:val="auto"/>
          <w:kern w:val="21"/>
          <w:sz w:val="24"/>
        </w:rPr>
      </w:pPr>
      <w:r>
        <w:rPr>
          <w:bCs/>
          <w:color w:val="auto"/>
          <w:kern w:val="21"/>
          <w:sz w:val="24"/>
        </w:rPr>
        <w:t>根据现场勘查，本项目位于</w:t>
      </w:r>
      <w:r>
        <w:rPr>
          <w:rFonts w:hint="eastAsia"/>
          <w:bCs/>
          <w:color w:val="auto"/>
          <w:kern w:val="21"/>
          <w:sz w:val="24"/>
          <w:lang w:eastAsia="zh-CN"/>
        </w:rPr>
        <w:t>辽宁省朝阳市北票市西官镇大巴里村</w:t>
      </w:r>
      <w:r>
        <w:rPr>
          <w:bCs/>
          <w:color w:val="auto"/>
          <w:kern w:val="21"/>
          <w:sz w:val="24"/>
        </w:rPr>
        <w:t>，项目周边为农村环境，周边主要为耕地，通过现场调查，对项目周边四至环境进行详细介绍：</w:t>
      </w:r>
    </w:p>
    <w:p w14:paraId="66478A3A">
      <w:pPr>
        <w:autoSpaceDE w:val="0"/>
        <w:autoSpaceDN w:val="0"/>
        <w:adjustRightInd w:val="0"/>
        <w:spacing w:line="360" w:lineRule="auto"/>
        <w:ind w:firstLine="480" w:firstLineChars="200"/>
        <w:jc w:val="left"/>
        <w:rPr>
          <w:bCs/>
          <w:color w:val="auto"/>
          <w:kern w:val="21"/>
          <w:sz w:val="24"/>
        </w:rPr>
      </w:pPr>
      <w:r>
        <w:rPr>
          <w:bCs/>
          <w:color w:val="auto"/>
          <w:kern w:val="21"/>
          <w:sz w:val="24"/>
        </w:rPr>
        <w:t>项目厂界外</w:t>
      </w:r>
      <w:r>
        <w:rPr>
          <w:rFonts w:hint="eastAsia"/>
          <w:bCs/>
          <w:color w:val="auto"/>
          <w:kern w:val="21"/>
          <w:sz w:val="24"/>
          <w:lang w:eastAsia="zh-CN"/>
        </w:rPr>
        <w:t>东南</w:t>
      </w:r>
      <w:r>
        <w:rPr>
          <w:color w:val="auto"/>
          <w:kern w:val="0"/>
          <w:sz w:val="24"/>
        </w:rPr>
        <w:t>侧为</w:t>
      </w:r>
      <w:r>
        <w:rPr>
          <w:rFonts w:hint="eastAsia"/>
          <w:color w:val="auto"/>
          <w:kern w:val="0"/>
          <w:sz w:val="24"/>
          <w:lang w:eastAsia="zh-CN"/>
        </w:rPr>
        <w:t>大棚</w:t>
      </w:r>
      <w:r>
        <w:rPr>
          <w:color w:val="auto"/>
          <w:kern w:val="0"/>
          <w:sz w:val="24"/>
        </w:rPr>
        <w:t>，</w:t>
      </w:r>
      <w:r>
        <w:rPr>
          <w:rFonts w:hint="eastAsia"/>
          <w:color w:val="auto"/>
          <w:kern w:val="0"/>
          <w:sz w:val="24"/>
          <w:lang w:eastAsia="zh-CN"/>
        </w:rPr>
        <w:t>西</w:t>
      </w:r>
      <w:r>
        <w:rPr>
          <w:color w:val="auto"/>
          <w:kern w:val="0"/>
          <w:sz w:val="24"/>
        </w:rPr>
        <w:t>侧</w:t>
      </w:r>
      <w:r>
        <w:rPr>
          <w:rFonts w:hint="eastAsia"/>
          <w:color w:val="auto"/>
          <w:kern w:val="0"/>
          <w:sz w:val="24"/>
          <w:lang w:eastAsia="zh-CN"/>
        </w:rPr>
        <w:t>、北侧均</w:t>
      </w:r>
      <w:r>
        <w:rPr>
          <w:color w:val="auto"/>
          <w:kern w:val="0"/>
          <w:sz w:val="24"/>
        </w:rPr>
        <w:t>为</w:t>
      </w:r>
      <w:r>
        <w:rPr>
          <w:rFonts w:hint="eastAsia"/>
          <w:color w:val="auto"/>
          <w:kern w:val="0"/>
          <w:sz w:val="24"/>
        </w:rPr>
        <w:t>耕地</w:t>
      </w:r>
      <w:r>
        <w:rPr>
          <w:bCs/>
          <w:color w:val="auto"/>
          <w:kern w:val="21"/>
          <w:sz w:val="24"/>
        </w:rPr>
        <w:t>，主要种植作物为玉米，距离项目厂界最近的农村居民居住区为</w:t>
      </w:r>
      <w:r>
        <w:rPr>
          <w:rFonts w:hint="eastAsia"/>
          <w:bCs/>
          <w:color w:val="auto"/>
          <w:kern w:val="21"/>
          <w:sz w:val="24"/>
        </w:rPr>
        <w:t>南</w:t>
      </w:r>
      <w:r>
        <w:rPr>
          <w:bCs/>
          <w:color w:val="auto"/>
          <w:kern w:val="21"/>
          <w:sz w:val="24"/>
        </w:rPr>
        <w:t>侧最近直线距离</w:t>
      </w:r>
      <w:r>
        <w:rPr>
          <w:rFonts w:hint="eastAsia"/>
          <w:bCs/>
          <w:color w:val="auto"/>
          <w:kern w:val="21"/>
          <w:sz w:val="24"/>
          <w:lang w:eastAsia="zh-CN"/>
        </w:rPr>
        <w:t>为</w:t>
      </w:r>
      <w:r>
        <w:rPr>
          <w:rFonts w:hint="eastAsia"/>
          <w:bCs/>
          <w:color w:val="auto"/>
          <w:kern w:val="21"/>
          <w:sz w:val="24"/>
          <w:lang w:val="en-US" w:eastAsia="zh-CN"/>
        </w:rPr>
        <w:t>490</w:t>
      </w:r>
      <w:r>
        <w:rPr>
          <w:bCs/>
          <w:color w:val="auto"/>
          <w:kern w:val="21"/>
          <w:sz w:val="24"/>
        </w:rPr>
        <w:t>m的</w:t>
      </w:r>
      <w:r>
        <w:rPr>
          <w:rFonts w:hint="eastAsia"/>
          <w:bCs/>
          <w:color w:val="auto"/>
          <w:kern w:val="21"/>
          <w:sz w:val="24"/>
          <w:lang w:eastAsia="zh-CN"/>
        </w:rPr>
        <w:t>姜家沟村</w:t>
      </w:r>
      <w:r>
        <w:rPr>
          <w:bCs/>
          <w:color w:val="auto"/>
          <w:kern w:val="21"/>
          <w:sz w:val="24"/>
        </w:rPr>
        <w:t>。</w:t>
      </w:r>
    </w:p>
    <w:p w14:paraId="636F3635">
      <w:pPr>
        <w:autoSpaceDE w:val="0"/>
        <w:autoSpaceDN w:val="0"/>
        <w:adjustRightInd w:val="0"/>
        <w:spacing w:line="360" w:lineRule="auto"/>
        <w:ind w:firstLine="480" w:firstLineChars="200"/>
        <w:jc w:val="left"/>
        <w:rPr>
          <w:bCs/>
          <w:color w:val="auto"/>
          <w:kern w:val="21"/>
          <w:sz w:val="24"/>
        </w:rPr>
      </w:pPr>
      <w:r>
        <w:rPr>
          <w:rFonts w:hint="eastAsia"/>
          <w:bCs/>
          <w:color w:val="auto"/>
          <w:kern w:val="21"/>
          <w:sz w:val="24"/>
        </w:rPr>
        <w:t>B、</w:t>
      </w:r>
      <w:r>
        <w:rPr>
          <w:bCs/>
          <w:color w:val="auto"/>
          <w:kern w:val="21"/>
          <w:sz w:val="24"/>
        </w:rPr>
        <w:t>选址合理性</w:t>
      </w:r>
    </w:p>
    <w:p w14:paraId="29DE4A3F">
      <w:pPr>
        <w:autoSpaceDE w:val="0"/>
        <w:autoSpaceDN w:val="0"/>
        <w:adjustRightInd w:val="0"/>
        <w:spacing w:line="360" w:lineRule="auto"/>
        <w:ind w:firstLine="480" w:firstLineChars="200"/>
        <w:jc w:val="left"/>
        <w:rPr>
          <w:bCs/>
          <w:color w:val="auto"/>
          <w:kern w:val="21"/>
          <w:sz w:val="24"/>
        </w:rPr>
      </w:pPr>
      <w:r>
        <w:rPr>
          <w:bCs/>
          <w:color w:val="auto"/>
          <w:kern w:val="21"/>
          <w:sz w:val="24"/>
        </w:rPr>
        <w:t>本次评价将从基础设施依托合理性、粪污接纳条件分析、场址环境条件、场址周边制约因素等各方面综合分析项目选址合理性。</w:t>
      </w:r>
    </w:p>
    <w:p w14:paraId="736CECF4">
      <w:pPr>
        <w:autoSpaceDE w:val="0"/>
        <w:autoSpaceDN w:val="0"/>
        <w:adjustRightInd w:val="0"/>
        <w:spacing w:line="360" w:lineRule="auto"/>
        <w:ind w:firstLine="480" w:firstLineChars="200"/>
        <w:jc w:val="left"/>
        <w:rPr>
          <w:bCs/>
          <w:color w:val="auto"/>
          <w:kern w:val="21"/>
          <w:sz w:val="24"/>
        </w:rPr>
      </w:pPr>
      <w:r>
        <w:rPr>
          <w:bCs/>
          <w:color w:val="auto"/>
          <w:kern w:val="21"/>
          <w:sz w:val="24"/>
        </w:rPr>
        <w:t>1）基础设施依托合理性分析</w:t>
      </w:r>
    </w:p>
    <w:p w14:paraId="4F23DF84">
      <w:pPr>
        <w:autoSpaceDE w:val="0"/>
        <w:autoSpaceDN w:val="0"/>
        <w:adjustRightInd w:val="0"/>
        <w:spacing w:line="360" w:lineRule="auto"/>
        <w:ind w:firstLine="480" w:firstLineChars="200"/>
        <w:jc w:val="left"/>
        <w:rPr>
          <w:bCs/>
          <w:color w:val="auto"/>
          <w:kern w:val="21"/>
          <w:sz w:val="24"/>
        </w:rPr>
      </w:pPr>
      <w:r>
        <w:rPr>
          <w:bCs/>
          <w:color w:val="auto"/>
          <w:kern w:val="21"/>
          <w:sz w:val="24"/>
        </w:rPr>
        <w:t>项目选址通过乡村道路可到达</w:t>
      </w:r>
      <w:r>
        <w:rPr>
          <w:rFonts w:hint="eastAsia"/>
          <w:bCs/>
          <w:color w:val="auto"/>
          <w:kern w:val="21"/>
          <w:sz w:val="24"/>
          <w:lang w:eastAsia="zh-CN"/>
        </w:rPr>
        <w:t>北金线</w:t>
      </w:r>
      <w:r>
        <w:rPr>
          <w:bCs/>
          <w:color w:val="auto"/>
          <w:kern w:val="21"/>
          <w:sz w:val="24"/>
        </w:rPr>
        <w:t>，区域交通条件便利；</w:t>
      </w:r>
      <w:r>
        <w:rPr>
          <w:rFonts w:hint="eastAsia"/>
          <w:bCs/>
          <w:color w:val="auto"/>
          <w:kern w:val="21"/>
          <w:sz w:val="24"/>
          <w:lang w:eastAsia="zh-CN"/>
        </w:rPr>
        <w:t>用水为厂区自备水井</w:t>
      </w:r>
      <w:r>
        <w:rPr>
          <w:bCs/>
          <w:color w:val="auto"/>
          <w:kern w:val="21"/>
          <w:sz w:val="24"/>
        </w:rPr>
        <w:t>，水质水量均可得到保障；项目供电</w:t>
      </w:r>
      <w:r>
        <w:rPr>
          <w:rFonts w:hint="eastAsia"/>
          <w:bCs/>
          <w:color w:val="auto"/>
          <w:kern w:val="21"/>
          <w:sz w:val="24"/>
          <w:lang w:eastAsia="zh-CN"/>
        </w:rPr>
        <w:t>西官镇</w:t>
      </w:r>
      <w:r>
        <w:rPr>
          <w:bCs/>
          <w:color w:val="auto"/>
          <w:kern w:val="21"/>
          <w:sz w:val="24"/>
        </w:rPr>
        <w:t>供电所供应，厂内自建变压器一座，供电可得到保障。从区域配套基础设施分析，其选址具有合理性。</w:t>
      </w:r>
    </w:p>
    <w:p w14:paraId="35339BE3">
      <w:pPr>
        <w:autoSpaceDE w:val="0"/>
        <w:autoSpaceDN w:val="0"/>
        <w:adjustRightInd w:val="0"/>
        <w:spacing w:line="360" w:lineRule="auto"/>
        <w:ind w:firstLine="480" w:firstLineChars="200"/>
        <w:jc w:val="left"/>
        <w:rPr>
          <w:bCs/>
          <w:color w:val="auto"/>
          <w:kern w:val="21"/>
          <w:sz w:val="24"/>
          <w:highlight w:val="none"/>
        </w:rPr>
      </w:pPr>
      <w:r>
        <w:rPr>
          <w:bCs/>
          <w:color w:val="auto"/>
          <w:kern w:val="21"/>
          <w:sz w:val="24"/>
          <w:highlight w:val="none"/>
        </w:rPr>
        <w:t>2）粪污接纳条件分析</w:t>
      </w:r>
    </w:p>
    <w:p w14:paraId="3CA0F32B">
      <w:pPr>
        <w:autoSpaceDE w:val="0"/>
        <w:autoSpaceDN w:val="0"/>
        <w:adjustRightInd w:val="0"/>
        <w:spacing w:line="360" w:lineRule="auto"/>
        <w:ind w:firstLine="480" w:firstLineChars="200"/>
        <w:jc w:val="left"/>
        <w:rPr>
          <w:color w:val="auto"/>
          <w:sz w:val="24"/>
          <w:highlight w:val="none"/>
        </w:rPr>
      </w:pPr>
      <w:r>
        <w:rPr>
          <w:bCs/>
          <w:color w:val="auto"/>
          <w:kern w:val="21"/>
          <w:sz w:val="24"/>
          <w:highlight w:val="none"/>
        </w:rPr>
        <w:t>本项目采取干清粪工艺，各</w:t>
      </w:r>
      <w:r>
        <w:rPr>
          <w:rFonts w:hint="eastAsia"/>
          <w:bCs/>
          <w:color w:val="auto"/>
          <w:kern w:val="21"/>
          <w:sz w:val="24"/>
          <w:highlight w:val="none"/>
        </w:rPr>
        <w:t>鸡</w:t>
      </w:r>
      <w:r>
        <w:rPr>
          <w:bCs/>
          <w:color w:val="auto"/>
          <w:kern w:val="21"/>
          <w:sz w:val="24"/>
          <w:highlight w:val="none"/>
        </w:rPr>
        <w:t>舍粪污日产日清，</w:t>
      </w:r>
      <w:r>
        <w:rPr>
          <w:rFonts w:hint="eastAsia"/>
          <w:color w:val="auto"/>
          <w:sz w:val="24"/>
          <w:highlight w:val="none"/>
        </w:rPr>
        <w:t>鸡粪落在自动清粪系统中的传粪带上，每天启动传粪带，收集装入粪车中，除极端天气等特殊天气</w:t>
      </w:r>
      <w:r>
        <w:rPr>
          <w:rFonts w:hint="eastAsia"/>
          <w:color w:val="auto"/>
          <w:sz w:val="24"/>
          <w:highlight w:val="none"/>
          <w:lang w:eastAsia="zh-CN"/>
        </w:rPr>
        <w:t>需在临时储粪场暂存</w:t>
      </w:r>
      <w:r>
        <w:rPr>
          <w:rFonts w:hint="eastAsia"/>
          <w:color w:val="auto"/>
          <w:sz w:val="24"/>
          <w:highlight w:val="none"/>
        </w:rPr>
        <w:t>外，粪便均日产日清直接外售</w:t>
      </w:r>
      <w:r>
        <w:rPr>
          <w:rFonts w:hint="eastAsia"/>
          <w:color w:val="auto"/>
          <w:sz w:val="24"/>
          <w:highlight w:val="none"/>
          <w:lang w:eastAsia="zh-CN"/>
        </w:rPr>
        <w:t>至辰泰（辽宁）生物科技有限公司</w:t>
      </w:r>
      <w:r>
        <w:rPr>
          <w:rFonts w:hint="eastAsia"/>
          <w:color w:val="auto"/>
          <w:sz w:val="24"/>
          <w:highlight w:val="none"/>
        </w:rPr>
        <w:t>进行有机肥制造。</w:t>
      </w:r>
    </w:p>
    <w:p w14:paraId="4D7A1318">
      <w:pPr>
        <w:pStyle w:val="23"/>
        <w:autoSpaceDE w:val="0"/>
        <w:autoSpaceDN w:val="0"/>
        <w:spacing w:after="0" w:line="360" w:lineRule="auto"/>
        <w:ind w:firstLine="480" w:firstLineChars="200"/>
        <w:rPr>
          <w:bCs/>
          <w:color w:val="auto"/>
          <w:kern w:val="21"/>
          <w:sz w:val="24"/>
        </w:rPr>
      </w:pPr>
      <w:r>
        <w:rPr>
          <w:rFonts w:hint="eastAsia"/>
          <w:bCs/>
          <w:color w:val="auto"/>
          <w:kern w:val="21"/>
          <w:sz w:val="24"/>
          <w:highlight w:val="none"/>
        </w:rPr>
        <w:t>本项目鸡舍冲洗废水</w:t>
      </w:r>
      <w:r>
        <w:rPr>
          <w:rFonts w:hint="eastAsia"/>
          <w:bCs/>
          <w:color w:val="auto"/>
          <w:kern w:val="21"/>
          <w:sz w:val="24"/>
          <w:highlight w:val="none"/>
          <w:lang w:eastAsia="zh-CN"/>
        </w:rPr>
        <w:t>总产生量为</w:t>
      </w:r>
      <w:r>
        <w:rPr>
          <w:rFonts w:hint="eastAsia"/>
          <w:bCs/>
          <w:color w:val="auto"/>
          <w:kern w:val="21"/>
          <w:sz w:val="24"/>
          <w:highlight w:val="none"/>
          <w:lang w:val="en-US" w:eastAsia="zh-CN"/>
        </w:rPr>
        <w:t>5.08t/a，每栋鸡舍每次冲洗废水</w:t>
      </w:r>
      <w:r>
        <w:rPr>
          <w:rFonts w:hint="eastAsia"/>
          <w:bCs/>
          <w:color w:val="auto"/>
          <w:kern w:val="21"/>
          <w:sz w:val="24"/>
          <w:highlight w:val="none"/>
        </w:rPr>
        <w:t>产生量为</w:t>
      </w:r>
      <w:r>
        <w:rPr>
          <w:rFonts w:hint="eastAsia"/>
          <w:bCs/>
          <w:color w:val="auto"/>
          <w:kern w:val="21"/>
          <w:sz w:val="24"/>
          <w:highlight w:val="none"/>
          <w:lang w:val="en-US" w:eastAsia="zh-CN"/>
        </w:rPr>
        <w:t>1.27</w:t>
      </w:r>
      <w:r>
        <w:rPr>
          <w:rFonts w:hint="eastAsia"/>
          <w:bCs/>
          <w:color w:val="auto"/>
          <w:kern w:val="21"/>
          <w:sz w:val="24"/>
          <w:highlight w:val="none"/>
        </w:rPr>
        <w:t>m</w:t>
      </w:r>
      <w:r>
        <w:rPr>
          <w:rFonts w:hint="eastAsia"/>
          <w:bCs/>
          <w:color w:val="auto"/>
          <w:kern w:val="21"/>
          <w:sz w:val="24"/>
          <w:highlight w:val="none"/>
          <w:vertAlign w:val="superscript"/>
        </w:rPr>
        <w:t>3</w:t>
      </w:r>
      <w:r>
        <w:rPr>
          <w:rFonts w:hint="eastAsia"/>
          <w:bCs/>
          <w:color w:val="auto"/>
          <w:kern w:val="21"/>
          <w:sz w:val="24"/>
          <w:highlight w:val="none"/>
        </w:rPr>
        <w:t>/</w:t>
      </w:r>
      <w:r>
        <w:rPr>
          <w:rFonts w:hint="eastAsia"/>
          <w:bCs/>
          <w:color w:val="auto"/>
          <w:kern w:val="21"/>
          <w:sz w:val="24"/>
          <w:highlight w:val="none"/>
          <w:lang w:eastAsia="zh-CN"/>
        </w:rPr>
        <w:t>次</w:t>
      </w:r>
      <w:r>
        <w:rPr>
          <w:rFonts w:hint="default" w:ascii="Times New Roman" w:hAnsi="Times New Roman" w:cs="Times New Roman"/>
          <w:bCs/>
          <w:color w:val="auto"/>
          <w:kern w:val="21"/>
          <w:sz w:val="24"/>
          <w:highlight w:val="none"/>
          <w:lang w:eastAsia="zh-CN"/>
        </w:rPr>
        <w:t>·</w:t>
      </w:r>
      <w:r>
        <w:rPr>
          <w:rFonts w:hint="eastAsia"/>
          <w:bCs/>
          <w:color w:val="auto"/>
          <w:kern w:val="21"/>
          <w:sz w:val="24"/>
          <w:highlight w:val="none"/>
          <w:lang w:eastAsia="zh-CN"/>
        </w:rPr>
        <w:t>座</w:t>
      </w:r>
      <w:r>
        <w:rPr>
          <w:rFonts w:hint="eastAsia"/>
          <w:bCs/>
          <w:color w:val="auto"/>
          <w:kern w:val="21"/>
          <w:sz w:val="24"/>
          <w:highlight w:val="none"/>
        </w:rPr>
        <w:t>，</w:t>
      </w:r>
      <w:r>
        <w:rPr>
          <w:rFonts w:hint="eastAsia"/>
          <w:bCs/>
          <w:color w:val="auto"/>
          <w:kern w:val="21"/>
          <w:sz w:val="24"/>
          <w:highlight w:val="none"/>
          <w:lang w:eastAsia="zh-CN"/>
        </w:rPr>
        <w:t>每栋鸡舍配套</w:t>
      </w:r>
      <w:r>
        <w:rPr>
          <w:rFonts w:hint="eastAsia"/>
          <w:bCs/>
          <w:color w:val="auto"/>
          <w:kern w:val="21"/>
          <w:sz w:val="24"/>
          <w:highlight w:val="none"/>
        </w:rPr>
        <w:t>设置</w:t>
      </w:r>
      <w:r>
        <w:rPr>
          <w:rFonts w:hint="eastAsia"/>
          <w:bCs/>
          <w:color w:val="auto"/>
          <w:kern w:val="21"/>
          <w:sz w:val="24"/>
          <w:highlight w:val="none"/>
          <w:lang w:val="en-US" w:eastAsia="zh-CN"/>
        </w:rPr>
        <w:t>1</w:t>
      </w:r>
      <w:r>
        <w:rPr>
          <w:rFonts w:hint="eastAsia"/>
          <w:bCs/>
          <w:color w:val="auto"/>
          <w:kern w:val="21"/>
          <w:sz w:val="24"/>
          <w:highlight w:val="none"/>
        </w:rPr>
        <w:t>个</w:t>
      </w:r>
      <w:r>
        <w:rPr>
          <w:rFonts w:hint="eastAsia"/>
          <w:bCs/>
          <w:color w:val="auto"/>
          <w:kern w:val="21"/>
          <w:sz w:val="24"/>
          <w:highlight w:val="none"/>
          <w:lang w:val="en-US" w:eastAsia="zh-CN"/>
        </w:rPr>
        <w:t>10</w:t>
      </w:r>
      <w:r>
        <w:rPr>
          <w:rFonts w:hint="eastAsia"/>
          <w:bCs/>
          <w:color w:val="auto"/>
          <w:kern w:val="21"/>
          <w:sz w:val="24"/>
          <w:highlight w:val="none"/>
        </w:rPr>
        <w:t>m</w:t>
      </w:r>
      <w:r>
        <w:rPr>
          <w:rFonts w:hint="eastAsia"/>
          <w:bCs/>
          <w:color w:val="auto"/>
          <w:kern w:val="21"/>
          <w:sz w:val="24"/>
          <w:highlight w:val="none"/>
          <w:vertAlign w:val="superscript"/>
        </w:rPr>
        <w:t>3</w:t>
      </w:r>
      <w:r>
        <w:rPr>
          <w:rFonts w:hint="eastAsia"/>
          <w:bCs/>
          <w:color w:val="auto"/>
          <w:kern w:val="21"/>
          <w:sz w:val="24"/>
          <w:highlight w:val="none"/>
          <w:lang w:eastAsia="zh-CN"/>
        </w:rPr>
        <w:t>废水收集池，</w:t>
      </w:r>
      <w:r>
        <w:rPr>
          <w:rFonts w:hint="eastAsia"/>
          <w:bCs/>
          <w:color w:val="auto"/>
          <w:kern w:val="21"/>
          <w:sz w:val="24"/>
          <w:highlight w:val="none"/>
        </w:rPr>
        <w:t>用于</w:t>
      </w:r>
      <w:r>
        <w:rPr>
          <w:rFonts w:hint="eastAsia"/>
          <w:bCs/>
          <w:color w:val="auto"/>
          <w:kern w:val="21"/>
          <w:sz w:val="24"/>
          <w:highlight w:val="none"/>
          <w:lang w:eastAsia="zh-CN"/>
        </w:rPr>
        <w:t>收集</w:t>
      </w:r>
      <w:r>
        <w:rPr>
          <w:rFonts w:hint="eastAsia"/>
          <w:bCs/>
          <w:color w:val="auto"/>
          <w:kern w:val="21"/>
          <w:sz w:val="24"/>
          <w:highlight w:val="none"/>
        </w:rPr>
        <w:t>养殖废水，</w:t>
      </w:r>
      <w:r>
        <w:rPr>
          <w:rFonts w:hint="eastAsia"/>
          <w:bCs/>
          <w:color w:val="auto"/>
          <w:kern w:val="21"/>
          <w:sz w:val="24"/>
          <w:highlight w:val="none"/>
          <w:lang w:eastAsia="zh-CN"/>
        </w:rPr>
        <w:t>除极端天气需在废水收集池暂存</w:t>
      </w:r>
      <w:r>
        <w:rPr>
          <w:rFonts w:hint="eastAsia"/>
          <w:bCs/>
          <w:color w:val="auto"/>
          <w:kern w:val="21"/>
          <w:sz w:val="24"/>
          <w:highlight w:val="none"/>
          <w:lang w:val="en-US" w:eastAsia="zh-CN"/>
        </w:rPr>
        <w:t>50d外，养殖废水日产日清，由罐车</w:t>
      </w:r>
      <w:r>
        <w:rPr>
          <w:rFonts w:hint="eastAsia"/>
          <w:color w:val="auto"/>
          <w:sz w:val="24"/>
          <w:highlight w:val="none"/>
        </w:rPr>
        <w:t>直接外</w:t>
      </w:r>
      <w:r>
        <w:rPr>
          <w:rFonts w:hint="eastAsia"/>
          <w:color w:val="auto"/>
          <w:sz w:val="24"/>
          <w:highlight w:val="none"/>
          <w:lang w:eastAsia="zh-CN"/>
        </w:rPr>
        <w:t>运至辰泰（辽宁）生物科技有限公司</w:t>
      </w:r>
      <w:r>
        <w:rPr>
          <w:rFonts w:hint="eastAsia"/>
          <w:color w:val="auto"/>
          <w:sz w:val="24"/>
          <w:highlight w:val="none"/>
        </w:rPr>
        <w:t>进行有机肥制造</w:t>
      </w:r>
      <w:r>
        <w:rPr>
          <w:rFonts w:hint="eastAsia"/>
          <w:color w:val="auto"/>
          <w:sz w:val="24"/>
          <w:highlight w:val="none"/>
          <w:lang w:eastAsia="zh-CN"/>
        </w:rPr>
        <w:t>，养殖废水不外排</w:t>
      </w:r>
      <w:r>
        <w:rPr>
          <w:rFonts w:hint="eastAsia"/>
          <w:bCs/>
          <w:color w:val="auto"/>
          <w:kern w:val="21"/>
          <w:sz w:val="24"/>
        </w:rPr>
        <w:t>。</w:t>
      </w:r>
    </w:p>
    <w:p w14:paraId="5BEEBE8D">
      <w:pPr>
        <w:autoSpaceDE w:val="0"/>
        <w:autoSpaceDN w:val="0"/>
        <w:adjustRightInd w:val="0"/>
        <w:spacing w:line="360" w:lineRule="auto"/>
        <w:ind w:firstLine="480" w:firstLineChars="200"/>
        <w:jc w:val="left"/>
        <w:rPr>
          <w:rFonts w:hint="default" w:eastAsia="宋体"/>
          <w:bCs/>
          <w:color w:val="auto"/>
          <w:kern w:val="21"/>
          <w:sz w:val="24"/>
          <w:lang w:val="en-US" w:eastAsia="zh-CN"/>
        </w:rPr>
      </w:pPr>
      <w:r>
        <w:rPr>
          <w:rFonts w:hint="eastAsia"/>
          <w:bCs/>
          <w:color w:val="auto"/>
          <w:kern w:val="21"/>
          <w:sz w:val="24"/>
          <w:lang w:val="en-US" w:eastAsia="zh-CN"/>
        </w:rPr>
        <w:t>3）病死动物处理合理性分析</w:t>
      </w:r>
    </w:p>
    <w:p w14:paraId="0772CB94">
      <w:pPr>
        <w:autoSpaceDE w:val="0"/>
        <w:autoSpaceDN w:val="0"/>
        <w:adjustRightInd w:val="0"/>
        <w:spacing w:line="360" w:lineRule="auto"/>
        <w:ind w:firstLine="480" w:firstLineChars="200"/>
        <w:jc w:val="left"/>
        <w:rPr>
          <w:bCs/>
          <w:color w:val="auto"/>
          <w:kern w:val="21"/>
          <w:sz w:val="24"/>
        </w:rPr>
      </w:pPr>
      <w:r>
        <w:rPr>
          <w:bCs/>
          <w:color w:val="auto"/>
          <w:sz w:val="24"/>
        </w:rPr>
        <w:t>本项目</w:t>
      </w:r>
      <w:r>
        <w:rPr>
          <w:color w:val="auto"/>
          <w:sz w:val="24"/>
        </w:rPr>
        <w:t>病死鸡</w:t>
      </w:r>
      <w:r>
        <w:rPr>
          <w:rFonts w:hint="eastAsia"/>
          <w:color w:val="auto"/>
          <w:sz w:val="24"/>
          <w:lang w:eastAsia="zh-CN"/>
        </w:rPr>
        <w:t>暂存于冷柜，</w:t>
      </w:r>
      <w:r>
        <w:rPr>
          <w:rFonts w:hint="eastAsia"/>
          <w:color w:val="auto"/>
          <w:sz w:val="24"/>
          <w:highlight w:val="none"/>
          <w:lang w:eastAsia="zh-CN"/>
        </w:rPr>
        <w:t>委托北票市汇宏动物无害化处理有限公司定期运走做无</w:t>
      </w:r>
      <w:r>
        <w:rPr>
          <w:rFonts w:hint="eastAsia"/>
          <w:color w:val="auto"/>
          <w:sz w:val="24"/>
          <w:lang w:eastAsia="zh-CN"/>
        </w:rPr>
        <w:t>害化</w:t>
      </w:r>
      <w:r>
        <w:rPr>
          <w:rFonts w:hint="eastAsia"/>
          <w:color w:val="auto"/>
          <w:sz w:val="24"/>
        </w:rPr>
        <w:t>处理</w:t>
      </w:r>
      <w:r>
        <w:rPr>
          <w:rFonts w:hint="eastAsia"/>
          <w:color w:val="auto"/>
          <w:sz w:val="24"/>
          <w:lang w:eastAsia="zh-CN"/>
        </w:rPr>
        <w:t>，</w:t>
      </w:r>
      <w:r>
        <w:rPr>
          <w:rFonts w:hint="eastAsia"/>
          <w:color w:val="auto"/>
          <w:sz w:val="24"/>
          <w:highlight w:val="none"/>
          <w:lang w:eastAsia="zh-CN"/>
        </w:rPr>
        <w:t>厂区内设置</w:t>
      </w:r>
      <w:r>
        <w:rPr>
          <w:rFonts w:hint="eastAsia"/>
          <w:color w:val="auto"/>
          <w:sz w:val="24"/>
          <w:highlight w:val="none"/>
          <w:lang w:val="en-US" w:eastAsia="zh-CN"/>
        </w:rPr>
        <w:t>1台容积为850L的冷柜用于暂存病死鸡，</w:t>
      </w:r>
      <w:r>
        <w:rPr>
          <w:rFonts w:hint="eastAsia"/>
          <w:color w:val="auto"/>
          <w:sz w:val="24"/>
          <w:lang w:val="en-US" w:eastAsia="zh-CN"/>
        </w:rPr>
        <w:t>由病死动物无害化处理公司定期运走做无害化处理</w:t>
      </w:r>
      <w:r>
        <w:rPr>
          <w:bCs/>
          <w:color w:val="auto"/>
          <w:sz w:val="24"/>
        </w:rPr>
        <w:t>。本项目</w:t>
      </w:r>
      <w:r>
        <w:rPr>
          <w:rFonts w:hint="eastAsia"/>
          <w:bCs/>
          <w:color w:val="auto"/>
          <w:sz w:val="24"/>
          <w:lang w:eastAsia="zh-CN"/>
        </w:rPr>
        <w:t>病死鸡的处理方式符合</w:t>
      </w:r>
      <w:r>
        <w:rPr>
          <w:bCs/>
          <w:color w:val="auto"/>
          <w:sz w:val="24"/>
        </w:rPr>
        <w:t>《病死及病害动物无害化处理技术规范》（农医发</w:t>
      </w:r>
      <w:r>
        <w:rPr>
          <w:rFonts w:hint="eastAsia"/>
          <w:bCs/>
          <w:color w:val="auto"/>
          <w:sz w:val="24"/>
          <w:lang w:val="en-US" w:eastAsia="zh-CN"/>
        </w:rPr>
        <w:t>[</w:t>
      </w:r>
      <w:r>
        <w:rPr>
          <w:bCs/>
          <w:color w:val="auto"/>
          <w:sz w:val="24"/>
        </w:rPr>
        <w:t>2017</w:t>
      </w:r>
      <w:r>
        <w:rPr>
          <w:rFonts w:hint="eastAsia"/>
          <w:bCs/>
          <w:color w:val="auto"/>
          <w:sz w:val="24"/>
          <w:lang w:val="en-US" w:eastAsia="zh-CN"/>
        </w:rPr>
        <w:t>]</w:t>
      </w:r>
      <w:r>
        <w:rPr>
          <w:bCs/>
          <w:color w:val="auto"/>
          <w:sz w:val="24"/>
        </w:rPr>
        <w:t>25号）、《畜禽养殖业污染防治技术规范》（HJ/T81-2001）</w:t>
      </w:r>
      <w:r>
        <w:rPr>
          <w:rFonts w:hint="eastAsia"/>
          <w:bCs/>
          <w:color w:val="auto"/>
          <w:sz w:val="24"/>
          <w:lang w:eastAsia="zh-CN"/>
        </w:rPr>
        <w:t>等规范</w:t>
      </w:r>
      <w:r>
        <w:rPr>
          <w:bCs/>
          <w:color w:val="auto"/>
          <w:sz w:val="24"/>
        </w:rPr>
        <w:t>中相关规定。</w:t>
      </w:r>
    </w:p>
    <w:p w14:paraId="2567FD0B">
      <w:pPr>
        <w:autoSpaceDE w:val="0"/>
        <w:autoSpaceDN w:val="0"/>
        <w:adjustRightInd w:val="0"/>
        <w:spacing w:line="360" w:lineRule="auto"/>
        <w:ind w:firstLine="480" w:firstLineChars="200"/>
        <w:jc w:val="left"/>
        <w:rPr>
          <w:bCs/>
          <w:color w:val="auto"/>
          <w:kern w:val="21"/>
          <w:sz w:val="24"/>
        </w:rPr>
      </w:pPr>
      <w:r>
        <w:rPr>
          <w:rFonts w:hint="eastAsia"/>
          <w:bCs/>
          <w:color w:val="auto"/>
          <w:kern w:val="21"/>
          <w:sz w:val="24"/>
          <w:lang w:val="en-US" w:eastAsia="zh-CN"/>
        </w:rPr>
        <w:t>4</w:t>
      </w:r>
      <w:r>
        <w:rPr>
          <w:bCs/>
          <w:color w:val="auto"/>
          <w:kern w:val="21"/>
          <w:sz w:val="24"/>
        </w:rPr>
        <w:t>）场址环境条件分析</w:t>
      </w:r>
    </w:p>
    <w:p w14:paraId="23D864BC">
      <w:pPr>
        <w:autoSpaceDE w:val="0"/>
        <w:autoSpaceDN w:val="0"/>
        <w:adjustRightInd w:val="0"/>
        <w:spacing w:line="360" w:lineRule="auto"/>
        <w:ind w:firstLine="480" w:firstLineChars="200"/>
        <w:jc w:val="left"/>
        <w:rPr>
          <w:bCs/>
          <w:color w:val="auto"/>
          <w:kern w:val="21"/>
          <w:sz w:val="24"/>
        </w:rPr>
      </w:pPr>
      <w:r>
        <w:rPr>
          <w:bCs/>
          <w:color w:val="auto"/>
          <w:kern w:val="21"/>
          <w:sz w:val="24"/>
        </w:rPr>
        <w:t>根据监测站对项目区域环境质量现状监测结果分析可知：项目区域环境空气质量、地表水环境质量、声环境质量</w:t>
      </w:r>
      <w:r>
        <w:rPr>
          <w:rFonts w:hint="eastAsia"/>
          <w:bCs/>
          <w:color w:val="auto"/>
          <w:kern w:val="21"/>
          <w:sz w:val="24"/>
          <w:lang w:eastAsia="zh-CN"/>
        </w:rPr>
        <w:t>、土壤环境质量</w:t>
      </w:r>
      <w:r>
        <w:rPr>
          <w:bCs/>
          <w:color w:val="auto"/>
          <w:kern w:val="21"/>
          <w:sz w:val="24"/>
        </w:rPr>
        <w:t>较好。项目所在地区</w:t>
      </w:r>
      <w:r>
        <w:rPr>
          <w:rFonts w:hint="eastAsia"/>
          <w:bCs/>
          <w:color w:val="auto"/>
          <w:kern w:val="21"/>
          <w:sz w:val="24"/>
          <w:lang w:eastAsia="zh-CN"/>
        </w:rPr>
        <w:t>原为废弃养猪场，根据现场勘察，养猪场已废弃多年，</w:t>
      </w:r>
      <w:r>
        <w:rPr>
          <w:rFonts w:hint="eastAsia"/>
          <w:bCs/>
          <w:color w:val="auto"/>
          <w:kern w:val="21"/>
          <w:sz w:val="24"/>
          <w:highlight w:val="none"/>
          <w:lang w:eastAsia="zh-CN"/>
        </w:rPr>
        <w:t>厂区内现状为种植玉米等农作物</w:t>
      </w:r>
      <w:r>
        <w:rPr>
          <w:bCs/>
          <w:color w:val="auto"/>
          <w:kern w:val="21"/>
          <w:sz w:val="24"/>
          <w:highlight w:val="none"/>
        </w:rPr>
        <w:t>，</w:t>
      </w:r>
      <w:r>
        <w:rPr>
          <w:bCs/>
          <w:color w:val="auto"/>
          <w:kern w:val="21"/>
          <w:sz w:val="24"/>
        </w:rPr>
        <w:t>附近主要为</w:t>
      </w:r>
      <w:r>
        <w:rPr>
          <w:rFonts w:hint="eastAsia"/>
          <w:bCs/>
          <w:color w:val="auto"/>
          <w:kern w:val="21"/>
          <w:sz w:val="24"/>
          <w:lang w:eastAsia="zh-CN"/>
        </w:rPr>
        <w:t>耕地和林地</w:t>
      </w:r>
      <w:r>
        <w:rPr>
          <w:bCs/>
          <w:color w:val="auto"/>
          <w:kern w:val="21"/>
          <w:sz w:val="24"/>
        </w:rPr>
        <w:t>，土壤环境未受到污染。区域环境各项污染物质量满足《畜禽养殖产地环境评价规范》（HJ568-2010）的相关要求。</w:t>
      </w:r>
    </w:p>
    <w:p w14:paraId="42C00B74">
      <w:pPr>
        <w:autoSpaceDE w:val="0"/>
        <w:autoSpaceDN w:val="0"/>
        <w:adjustRightInd w:val="0"/>
        <w:spacing w:line="360" w:lineRule="auto"/>
        <w:ind w:firstLine="480" w:firstLineChars="200"/>
        <w:jc w:val="left"/>
        <w:rPr>
          <w:bCs/>
          <w:color w:val="auto"/>
          <w:kern w:val="21"/>
          <w:sz w:val="24"/>
        </w:rPr>
      </w:pPr>
      <w:r>
        <w:rPr>
          <w:rFonts w:hint="eastAsia"/>
          <w:bCs/>
          <w:color w:val="auto"/>
          <w:kern w:val="21"/>
          <w:sz w:val="24"/>
          <w:lang w:val="en-US" w:eastAsia="zh-CN"/>
        </w:rPr>
        <w:t>5</w:t>
      </w:r>
      <w:r>
        <w:rPr>
          <w:bCs/>
          <w:color w:val="auto"/>
          <w:kern w:val="21"/>
          <w:sz w:val="24"/>
        </w:rPr>
        <w:t>）场址周边制约性因素分析</w:t>
      </w:r>
    </w:p>
    <w:p w14:paraId="129DBE4A">
      <w:pPr>
        <w:autoSpaceDE w:val="0"/>
        <w:autoSpaceDN w:val="0"/>
        <w:adjustRightInd w:val="0"/>
        <w:spacing w:line="360" w:lineRule="auto"/>
        <w:ind w:firstLine="480" w:firstLineChars="200"/>
        <w:jc w:val="left"/>
        <w:rPr>
          <w:bCs/>
          <w:color w:val="auto"/>
          <w:kern w:val="21"/>
          <w:sz w:val="24"/>
        </w:rPr>
      </w:pPr>
      <w:r>
        <w:rPr>
          <w:bCs/>
          <w:color w:val="auto"/>
          <w:kern w:val="21"/>
          <w:sz w:val="24"/>
        </w:rPr>
        <w:t>本项目拟选场址周边拟划定的卫生防护距离范围内无居民分布，通过环评预测，项目产生的恶臭及噪声对周围环境的影响在可接受范围内，因此项目选址通过从环保角度而言是合理的。</w:t>
      </w:r>
    </w:p>
    <w:p w14:paraId="017A7D34">
      <w:pPr>
        <w:autoSpaceDE w:val="0"/>
        <w:autoSpaceDN w:val="0"/>
        <w:adjustRightInd w:val="0"/>
        <w:spacing w:line="360" w:lineRule="auto"/>
        <w:ind w:firstLine="480" w:firstLineChars="200"/>
        <w:jc w:val="left"/>
        <w:rPr>
          <w:bCs/>
          <w:color w:val="auto"/>
          <w:kern w:val="21"/>
          <w:sz w:val="24"/>
          <w:highlight w:val="yellow"/>
        </w:rPr>
      </w:pPr>
      <w:r>
        <w:rPr>
          <w:bCs/>
          <w:color w:val="auto"/>
          <w:kern w:val="21"/>
          <w:sz w:val="24"/>
        </w:rPr>
        <w:t>本项目周围属农村环境，不属于禁止畜禽规模养殖区，生态环境良好，人口较稀疏且距离本项目</w:t>
      </w:r>
      <w:r>
        <w:rPr>
          <w:rFonts w:hint="eastAsia"/>
          <w:bCs/>
          <w:color w:val="auto"/>
          <w:kern w:val="21"/>
          <w:sz w:val="24"/>
          <w:lang w:eastAsia="zh-CN"/>
        </w:rPr>
        <w:t>养殖区及粪污处置区</w:t>
      </w:r>
      <w:r>
        <w:rPr>
          <w:bCs/>
          <w:color w:val="auto"/>
          <w:kern w:val="21"/>
          <w:sz w:val="24"/>
        </w:rPr>
        <w:t>较远，不涉及水源保护区、风景名胜区、自然保护区等环境敏感区，养殖区</w:t>
      </w:r>
      <w:r>
        <w:rPr>
          <w:rFonts w:hint="eastAsia"/>
          <w:bCs/>
          <w:color w:val="auto"/>
          <w:kern w:val="21"/>
          <w:sz w:val="24"/>
          <w:lang w:eastAsia="zh-CN"/>
        </w:rPr>
        <w:t>及粪污处置区</w:t>
      </w:r>
      <w:r>
        <w:rPr>
          <w:bCs/>
          <w:color w:val="auto"/>
          <w:kern w:val="21"/>
          <w:sz w:val="24"/>
        </w:rPr>
        <w:t>周围500m范围内、水源上游没有对产地环境构成威胁的污染源。本外环境关系相对简单，场址周围无明显环境制约因素，且项目周边无功能性水体；项目不在城镇规划区、农村集中居住区以及主要河流纵深100米范围内，距离高速公路、主要交通干道两侧纵深50米以外。选址《畜禽养殖业污染防治技术规范》等规范相符合。</w:t>
      </w:r>
    </w:p>
    <w:p w14:paraId="2C8EFB0A">
      <w:pPr>
        <w:autoSpaceDE w:val="0"/>
        <w:autoSpaceDN w:val="0"/>
        <w:adjustRightInd w:val="0"/>
        <w:spacing w:line="360" w:lineRule="auto"/>
        <w:ind w:firstLine="480" w:firstLineChars="200"/>
        <w:jc w:val="left"/>
        <w:rPr>
          <w:bCs/>
          <w:color w:val="auto"/>
          <w:kern w:val="21"/>
          <w:sz w:val="24"/>
        </w:rPr>
      </w:pPr>
      <w:r>
        <w:rPr>
          <w:rFonts w:hint="eastAsia"/>
          <w:bCs/>
          <w:color w:val="auto"/>
          <w:kern w:val="21"/>
          <w:sz w:val="24"/>
        </w:rPr>
        <w:t>C、</w:t>
      </w:r>
      <w:r>
        <w:rPr>
          <w:bCs/>
          <w:color w:val="auto"/>
          <w:kern w:val="21"/>
          <w:sz w:val="24"/>
        </w:rPr>
        <w:t>场址选址合理性分析结论</w:t>
      </w:r>
    </w:p>
    <w:p w14:paraId="40F65709">
      <w:pPr>
        <w:autoSpaceDE w:val="0"/>
        <w:autoSpaceDN w:val="0"/>
        <w:adjustRightInd w:val="0"/>
        <w:spacing w:line="360" w:lineRule="auto"/>
        <w:ind w:firstLine="480" w:firstLineChars="200"/>
        <w:jc w:val="left"/>
        <w:rPr>
          <w:bCs/>
          <w:color w:val="auto"/>
          <w:kern w:val="21"/>
          <w:sz w:val="24"/>
        </w:rPr>
      </w:pPr>
      <w:r>
        <w:rPr>
          <w:bCs/>
          <w:color w:val="auto"/>
          <w:kern w:val="21"/>
          <w:sz w:val="24"/>
        </w:rPr>
        <w:t>通过上述分析，本项目选址位置交通便利；项目区配套基础设施完善，为项目建设提供了可靠的保障；场址所在区域环境空气质量、地表水环境质量、声环境质量</w:t>
      </w:r>
      <w:r>
        <w:rPr>
          <w:rFonts w:hint="eastAsia"/>
          <w:bCs/>
          <w:color w:val="auto"/>
          <w:kern w:val="21"/>
          <w:sz w:val="24"/>
          <w:lang w:eastAsia="zh-CN"/>
        </w:rPr>
        <w:t>、土壤环境质量</w:t>
      </w:r>
      <w:r>
        <w:rPr>
          <w:bCs/>
          <w:color w:val="auto"/>
          <w:kern w:val="21"/>
          <w:sz w:val="24"/>
        </w:rPr>
        <w:t>较好，适合</w:t>
      </w:r>
      <w:r>
        <w:rPr>
          <w:rFonts w:hint="eastAsia"/>
          <w:bCs/>
          <w:color w:val="auto"/>
          <w:kern w:val="21"/>
          <w:sz w:val="24"/>
        </w:rPr>
        <w:t>鸡</w:t>
      </w:r>
      <w:r>
        <w:rPr>
          <w:bCs/>
          <w:color w:val="auto"/>
          <w:kern w:val="21"/>
          <w:sz w:val="24"/>
        </w:rPr>
        <w:t>的成长；同时项目周边无任何对本项目存在污染影响的工业企业；周边分布的农户距离本项目均较远，同时采取措施抑制恶臭的产生，周边</w:t>
      </w:r>
      <w:r>
        <w:rPr>
          <w:rFonts w:hint="eastAsia"/>
          <w:bCs/>
          <w:color w:val="auto"/>
          <w:kern w:val="21"/>
          <w:sz w:val="24"/>
          <w:lang w:eastAsia="zh-CN"/>
        </w:rPr>
        <w:t>居民</w:t>
      </w:r>
      <w:r>
        <w:rPr>
          <w:bCs/>
          <w:color w:val="auto"/>
          <w:kern w:val="21"/>
          <w:sz w:val="24"/>
        </w:rPr>
        <w:t>对本项目选址制约因素不明显。</w:t>
      </w:r>
      <w:r>
        <w:rPr>
          <w:rFonts w:hint="eastAsia"/>
          <w:b w:val="0"/>
          <w:bCs/>
          <w:color w:val="auto"/>
          <w:sz w:val="24"/>
          <w:highlight w:val="none"/>
        </w:rPr>
        <w:t>本项目选址所占地为农业设施用地</w:t>
      </w:r>
      <w:r>
        <w:rPr>
          <w:rFonts w:hint="eastAsia"/>
          <w:b w:val="0"/>
          <w:bCs/>
          <w:color w:val="auto"/>
          <w:sz w:val="24"/>
          <w:highlight w:val="none"/>
          <w:lang w:eastAsia="zh-CN"/>
        </w:rPr>
        <w:t>（用地手续正在办理中）</w:t>
      </w:r>
      <w:r>
        <w:rPr>
          <w:rFonts w:hint="eastAsia"/>
          <w:b w:val="0"/>
          <w:bCs/>
          <w:color w:val="auto"/>
          <w:sz w:val="24"/>
          <w:highlight w:val="none"/>
        </w:rPr>
        <w:t>，</w:t>
      </w:r>
      <w:r>
        <w:rPr>
          <w:bCs/>
          <w:color w:val="auto"/>
          <w:kern w:val="21"/>
          <w:sz w:val="24"/>
        </w:rPr>
        <w:t>综上所述，本项目选址合理，环境可行。</w:t>
      </w:r>
    </w:p>
    <w:p w14:paraId="035A20E7">
      <w:pPr>
        <w:pStyle w:val="192"/>
        <w:rPr>
          <w:color w:val="auto"/>
        </w:rPr>
      </w:pPr>
      <w:bookmarkStart w:id="82" w:name="_Toc21868"/>
      <w:r>
        <w:rPr>
          <w:color w:val="auto"/>
        </w:rPr>
        <w:t>1.5.</w:t>
      </w:r>
      <w:r>
        <w:rPr>
          <w:rFonts w:hint="eastAsia"/>
          <w:color w:val="auto"/>
        </w:rPr>
        <w:t>2与</w:t>
      </w:r>
      <w:r>
        <w:rPr>
          <w:rFonts w:hint="eastAsia"/>
          <w:color w:val="auto"/>
          <w:lang w:eastAsia="zh-CN"/>
        </w:rPr>
        <w:t>朝阳市</w:t>
      </w:r>
      <w:r>
        <w:rPr>
          <w:rFonts w:hint="eastAsia"/>
          <w:color w:val="auto"/>
        </w:rPr>
        <w:t>“三线一单”及生态环境分区管控意见符合性分析</w:t>
      </w:r>
      <w:bookmarkEnd w:id="82"/>
    </w:p>
    <w:p w14:paraId="1FD23015">
      <w:pPr>
        <w:autoSpaceDE w:val="0"/>
        <w:autoSpaceDN w:val="0"/>
        <w:adjustRightInd w:val="0"/>
        <w:spacing w:line="360" w:lineRule="auto"/>
        <w:ind w:firstLine="480" w:firstLineChars="200"/>
        <w:jc w:val="left"/>
        <w:rPr>
          <w:rFonts w:hint="eastAsia"/>
          <w:bCs/>
          <w:color w:val="auto"/>
          <w:kern w:val="21"/>
          <w:sz w:val="24"/>
          <w:lang w:val="en-US" w:eastAsia="zh-CN"/>
        </w:rPr>
      </w:pPr>
      <w:r>
        <w:rPr>
          <w:rFonts w:hint="eastAsia"/>
          <w:bCs/>
          <w:color w:val="auto"/>
          <w:kern w:val="21"/>
          <w:sz w:val="24"/>
          <w:lang w:val="en-US" w:eastAsia="zh-CN"/>
        </w:rPr>
        <w:t>根据环保部发布的《关于以改善环境质量为核心加强环境影响评价管理的通知》（环环评</w:t>
      </w:r>
      <w:r>
        <w:rPr>
          <w:rFonts w:hint="default"/>
          <w:bCs/>
          <w:color w:val="auto"/>
          <w:kern w:val="21"/>
          <w:sz w:val="24"/>
          <w:lang w:val="en-US" w:eastAsia="zh-CN"/>
        </w:rPr>
        <w:t>[2016]150</w:t>
      </w:r>
      <w:r>
        <w:rPr>
          <w:rFonts w:hint="eastAsia"/>
          <w:bCs/>
          <w:color w:val="auto"/>
          <w:kern w:val="21"/>
          <w:sz w:val="24"/>
          <w:lang w:val="en-US" w:eastAsia="zh-CN"/>
        </w:rPr>
        <w:t>号）（以下简称《通知》），《通知》要求切实加强环境影响评价管理，落实</w:t>
      </w:r>
      <w:r>
        <w:rPr>
          <w:rFonts w:hint="default"/>
          <w:bCs/>
          <w:color w:val="auto"/>
          <w:kern w:val="21"/>
          <w:sz w:val="24"/>
          <w:lang w:val="en-US" w:eastAsia="zh-CN"/>
        </w:rPr>
        <w:t>“</w:t>
      </w:r>
      <w:r>
        <w:rPr>
          <w:rFonts w:hint="eastAsia"/>
          <w:bCs/>
          <w:color w:val="auto"/>
          <w:kern w:val="21"/>
          <w:sz w:val="24"/>
          <w:lang w:val="en-US" w:eastAsia="zh-CN"/>
        </w:rPr>
        <w:t>生态保护红线、环境质量底线、资源利用上线和环境准入负面清单</w:t>
      </w:r>
      <w:r>
        <w:rPr>
          <w:rFonts w:hint="default"/>
          <w:bCs/>
          <w:color w:val="auto"/>
          <w:kern w:val="21"/>
          <w:sz w:val="24"/>
          <w:lang w:val="en-US" w:eastAsia="zh-CN"/>
        </w:rPr>
        <w:t>”</w:t>
      </w:r>
      <w:r>
        <w:rPr>
          <w:rFonts w:hint="eastAsia"/>
          <w:bCs/>
          <w:color w:val="auto"/>
          <w:kern w:val="21"/>
          <w:sz w:val="24"/>
          <w:lang w:val="en-US" w:eastAsia="zh-CN"/>
        </w:rPr>
        <w:t>约束，建立项目环评审批与规划环评、原项目环境管理、区域环境质量联动机制，更好地发挥环评制度从源头防范环境污染和生态破坏的作用，加快推进改善环境质量。</w:t>
      </w:r>
    </w:p>
    <w:p w14:paraId="4D45375E">
      <w:pPr>
        <w:autoSpaceDE w:val="0"/>
        <w:autoSpaceDN w:val="0"/>
        <w:adjustRightInd w:val="0"/>
        <w:spacing w:line="240" w:lineRule="auto"/>
        <w:ind w:firstLine="422" w:firstLineChars="200"/>
        <w:jc w:val="center"/>
        <w:rPr>
          <w:rFonts w:hint="eastAsia"/>
          <w:b/>
          <w:bCs w:val="0"/>
          <w:color w:val="auto"/>
          <w:kern w:val="21"/>
          <w:sz w:val="21"/>
          <w:szCs w:val="21"/>
          <w:lang w:val="en-US" w:eastAsia="zh-CN"/>
        </w:rPr>
      </w:pPr>
      <w:r>
        <w:rPr>
          <w:rFonts w:hint="eastAsia"/>
          <w:b/>
          <w:bCs w:val="0"/>
          <w:color w:val="auto"/>
          <w:kern w:val="21"/>
          <w:sz w:val="21"/>
          <w:szCs w:val="21"/>
          <w:lang w:val="en-US" w:eastAsia="zh-CN"/>
        </w:rPr>
        <w:t>表1.5-7    “三线一单”符合性分析</w:t>
      </w:r>
    </w:p>
    <w:tbl>
      <w:tblPr>
        <w:tblStyle w:val="5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7128"/>
        <w:gridCol w:w="676"/>
      </w:tblGrid>
      <w:tr w14:paraId="43AACF2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tcBorders>
              <w:tl2br w:val="nil"/>
              <w:tr2bl w:val="nil"/>
            </w:tcBorders>
            <w:vAlign w:val="center"/>
          </w:tcPr>
          <w:p w14:paraId="7810A432">
            <w:pPr>
              <w:jc w:val="center"/>
              <w:rPr>
                <w:rFonts w:hint="eastAsia"/>
                <w:lang w:eastAsia="zh-CN"/>
              </w:rPr>
            </w:pPr>
            <w:r>
              <w:rPr>
                <w:rFonts w:hint="eastAsia"/>
                <w:lang w:eastAsia="zh-CN"/>
              </w:rPr>
              <w:t>内容</w:t>
            </w:r>
          </w:p>
        </w:tc>
        <w:tc>
          <w:tcPr>
            <w:tcW w:w="4178" w:type="pct"/>
            <w:tcBorders>
              <w:tl2br w:val="nil"/>
              <w:tr2bl w:val="nil"/>
            </w:tcBorders>
            <w:vAlign w:val="center"/>
          </w:tcPr>
          <w:p w14:paraId="27A0FF53">
            <w:pPr>
              <w:jc w:val="center"/>
              <w:rPr>
                <w:rFonts w:hint="eastAsia"/>
                <w:lang w:eastAsia="zh-CN"/>
              </w:rPr>
            </w:pPr>
            <w:r>
              <w:rPr>
                <w:rFonts w:hint="eastAsia"/>
                <w:lang w:eastAsia="zh-CN"/>
              </w:rPr>
              <w:t>符合性分析</w:t>
            </w:r>
          </w:p>
        </w:tc>
        <w:tc>
          <w:tcPr>
            <w:tcW w:w="396" w:type="pct"/>
            <w:tcBorders>
              <w:tl2br w:val="nil"/>
              <w:tr2bl w:val="nil"/>
            </w:tcBorders>
            <w:vAlign w:val="center"/>
          </w:tcPr>
          <w:p w14:paraId="51270875">
            <w:pPr>
              <w:jc w:val="center"/>
              <w:rPr>
                <w:rFonts w:hint="eastAsia"/>
                <w:lang w:eastAsia="zh-CN"/>
              </w:rPr>
            </w:pPr>
            <w:r>
              <w:rPr>
                <w:rFonts w:hint="eastAsia"/>
                <w:lang w:eastAsia="zh-CN"/>
              </w:rPr>
              <w:t>符合性</w:t>
            </w:r>
          </w:p>
        </w:tc>
      </w:tr>
      <w:tr w14:paraId="333A190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tcBorders>
              <w:tl2br w:val="nil"/>
              <w:tr2bl w:val="nil"/>
            </w:tcBorders>
            <w:vAlign w:val="center"/>
          </w:tcPr>
          <w:p w14:paraId="6E44B5B6">
            <w:pPr>
              <w:jc w:val="center"/>
              <w:rPr>
                <w:rFonts w:hint="eastAsia"/>
                <w:lang w:eastAsia="zh-CN"/>
              </w:rPr>
            </w:pPr>
            <w:r>
              <w:rPr>
                <w:rFonts w:hint="eastAsia"/>
                <w:lang w:eastAsia="zh-CN"/>
              </w:rPr>
              <w:t>生态保护红线</w:t>
            </w:r>
          </w:p>
        </w:tc>
        <w:tc>
          <w:tcPr>
            <w:tcW w:w="4178" w:type="pct"/>
            <w:tcBorders>
              <w:tl2br w:val="nil"/>
              <w:tr2bl w:val="nil"/>
            </w:tcBorders>
            <w:vAlign w:val="center"/>
          </w:tcPr>
          <w:p w14:paraId="261970B9">
            <w:pPr>
              <w:jc w:val="both"/>
            </w:pPr>
            <w:r>
              <w:rPr>
                <w:rFonts w:hint="eastAsia"/>
                <w:lang w:val="en-US" w:eastAsia="zh-CN"/>
              </w:rPr>
              <w:t>朝阳市生态保护红线将包括省级以上自然保护区和重要饮用水源地、生态功能区红线、生态敏感区红线。生态功能区包括水源涵养区、土壤保持区、防风固沙区、生物多样性保护区。敏感区、脆弱区生态保护红线包括水土流失敏感区和土地沙化敏感区、脆弱区。</w:t>
            </w:r>
          </w:p>
          <w:p w14:paraId="594C31BC">
            <w:pPr>
              <w:jc w:val="both"/>
            </w:pPr>
            <w:r>
              <w:rPr>
                <w:rFonts w:hint="eastAsia"/>
                <w:lang w:val="en-US" w:eastAsia="zh-CN"/>
              </w:rPr>
              <w:t>本项目位于北票市西官镇大巴里村，选址区域及影响范围内不涉及自然保护区、森林公园、风景名胜区、世界文化自然遗产、地质公园等，并且不在生态功能区生态红线和生态环境敏感区、脆弱区生态红线内。本项目不在北票市生态保护红线范围内，符合生态保护红线要求。</w:t>
            </w:r>
          </w:p>
        </w:tc>
        <w:tc>
          <w:tcPr>
            <w:tcW w:w="396" w:type="pct"/>
            <w:tcBorders>
              <w:tl2br w:val="nil"/>
              <w:tr2bl w:val="nil"/>
            </w:tcBorders>
            <w:vAlign w:val="center"/>
          </w:tcPr>
          <w:p w14:paraId="0EABA459">
            <w:pPr>
              <w:jc w:val="center"/>
              <w:rPr>
                <w:rFonts w:hint="eastAsia" w:eastAsia="宋体"/>
                <w:lang w:eastAsia="zh-CN"/>
              </w:rPr>
            </w:pPr>
            <w:r>
              <w:rPr>
                <w:rFonts w:hint="eastAsia"/>
                <w:lang w:eastAsia="zh-CN"/>
              </w:rPr>
              <w:t>符合</w:t>
            </w:r>
          </w:p>
        </w:tc>
      </w:tr>
      <w:tr w14:paraId="71068BD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tcBorders>
              <w:tl2br w:val="nil"/>
              <w:tr2bl w:val="nil"/>
            </w:tcBorders>
            <w:vAlign w:val="center"/>
          </w:tcPr>
          <w:p w14:paraId="64DAA3DD">
            <w:pPr>
              <w:jc w:val="center"/>
              <w:rPr>
                <w:rFonts w:hint="eastAsia"/>
                <w:lang w:eastAsia="zh-CN"/>
              </w:rPr>
            </w:pPr>
            <w:r>
              <w:rPr>
                <w:rFonts w:hint="eastAsia"/>
                <w:lang w:eastAsia="zh-CN"/>
              </w:rPr>
              <w:t>资源利用上线</w:t>
            </w:r>
          </w:p>
        </w:tc>
        <w:tc>
          <w:tcPr>
            <w:tcW w:w="4178" w:type="pct"/>
            <w:tcBorders>
              <w:tl2br w:val="nil"/>
              <w:tr2bl w:val="nil"/>
            </w:tcBorders>
            <w:vAlign w:val="center"/>
          </w:tcPr>
          <w:p w14:paraId="5268485A">
            <w:pPr>
              <w:jc w:val="both"/>
            </w:pPr>
            <w:r>
              <w:t>本项目运行过程中消耗一定量的电源、水资源等资源消耗，项目资源消耗量相对区域资源利用总量较小，符合资源利用上线要求。</w:t>
            </w:r>
          </w:p>
        </w:tc>
        <w:tc>
          <w:tcPr>
            <w:tcW w:w="396" w:type="pct"/>
            <w:tcBorders>
              <w:tl2br w:val="nil"/>
              <w:tr2bl w:val="nil"/>
            </w:tcBorders>
            <w:vAlign w:val="center"/>
          </w:tcPr>
          <w:p w14:paraId="1D4EFEA7">
            <w:pPr>
              <w:jc w:val="center"/>
            </w:pPr>
            <w:r>
              <w:t>符合</w:t>
            </w:r>
          </w:p>
        </w:tc>
      </w:tr>
      <w:tr w14:paraId="49BE686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tcBorders>
              <w:tl2br w:val="nil"/>
              <w:tr2bl w:val="nil"/>
            </w:tcBorders>
            <w:vAlign w:val="center"/>
          </w:tcPr>
          <w:p w14:paraId="21A91BD5">
            <w:pPr>
              <w:jc w:val="center"/>
              <w:rPr>
                <w:rFonts w:hint="eastAsia"/>
                <w:lang w:eastAsia="zh-CN"/>
              </w:rPr>
            </w:pPr>
            <w:r>
              <w:rPr>
                <w:rFonts w:hint="eastAsia"/>
                <w:lang w:eastAsia="zh-CN"/>
              </w:rPr>
              <w:t>环境质量底线</w:t>
            </w:r>
          </w:p>
        </w:tc>
        <w:tc>
          <w:tcPr>
            <w:tcW w:w="4178" w:type="pct"/>
            <w:tcBorders>
              <w:tl2br w:val="nil"/>
              <w:tr2bl w:val="nil"/>
            </w:tcBorders>
            <w:vAlign w:val="center"/>
          </w:tcPr>
          <w:p w14:paraId="4F76C7B7">
            <w:pPr>
              <w:jc w:val="both"/>
            </w:pPr>
            <w:r>
              <w:t>根据环境空气质量现状数据，项目区域环境空气质量能够满足《环境空气质量标准》（GB3095-2012）二级标准及修改单，空气质量好，尚有容量进行项目建设。</w:t>
            </w:r>
          </w:p>
          <w:p w14:paraId="3DECD3FA">
            <w:pPr>
              <w:jc w:val="both"/>
            </w:pPr>
            <w:r>
              <w:t>本项目所在区域为1类声环境功能区，根据环境噪声现状监测结果，项目区域目前能够满足《声环境质量标准》1类标准要求，运营不会改变项目所在区域的声环境功能，因此项目建设声环境质量是符合要求的。</w:t>
            </w:r>
          </w:p>
          <w:p w14:paraId="64DA1CC4">
            <w:pPr>
              <w:jc w:val="both"/>
            </w:pPr>
            <w:r>
              <w:t>本项目产生的固体废物通过规范处置，符合国家相关法律法规要求。综上，本项目建设符合环境质量底线要求。</w:t>
            </w:r>
          </w:p>
        </w:tc>
        <w:tc>
          <w:tcPr>
            <w:tcW w:w="396" w:type="pct"/>
            <w:tcBorders>
              <w:tl2br w:val="nil"/>
              <w:tr2bl w:val="nil"/>
            </w:tcBorders>
            <w:vAlign w:val="center"/>
          </w:tcPr>
          <w:p w14:paraId="7FC49AA3">
            <w:pPr>
              <w:jc w:val="center"/>
            </w:pPr>
            <w:r>
              <w:t>符合</w:t>
            </w:r>
          </w:p>
        </w:tc>
      </w:tr>
      <w:tr w14:paraId="22F76AB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tcBorders>
              <w:tl2br w:val="nil"/>
              <w:tr2bl w:val="nil"/>
            </w:tcBorders>
            <w:vAlign w:val="center"/>
          </w:tcPr>
          <w:p w14:paraId="2D173574">
            <w:pPr>
              <w:jc w:val="center"/>
              <w:rPr>
                <w:rFonts w:hint="eastAsia"/>
                <w:lang w:eastAsia="zh-CN"/>
              </w:rPr>
            </w:pPr>
            <w:r>
              <w:rPr>
                <w:rFonts w:hint="eastAsia"/>
                <w:lang w:eastAsia="zh-CN"/>
              </w:rPr>
              <w:t>负面清单</w:t>
            </w:r>
          </w:p>
        </w:tc>
        <w:tc>
          <w:tcPr>
            <w:tcW w:w="4178" w:type="pct"/>
            <w:tcBorders>
              <w:tl2br w:val="nil"/>
              <w:tr2bl w:val="nil"/>
            </w:tcBorders>
            <w:vAlign w:val="center"/>
          </w:tcPr>
          <w:p w14:paraId="7B9C4089">
            <w:pPr>
              <w:jc w:val="both"/>
            </w:pPr>
            <w:r>
              <w:t>本项目符合国家及地方的产业政策，不属于北票市划定的禁养限养区范围，并且未列入环境准入负面清单，不属于禁止、限制类项目。</w:t>
            </w:r>
          </w:p>
        </w:tc>
        <w:tc>
          <w:tcPr>
            <w:tcW w:w="396" w:type="pct"/>
            <w:tcBorders>
              <w:tl2br w:val="nil"/>
              <w:tr2bl w:val="nil"/>
            </w:tcBorders>
            <w:vAlign w:val="center"/>
          </w:tcPr>
          <w:p w14:paraId="54035408">
            <w:pPr>
              <w:jc w:val="center"/>
            </w:pPr>
            <w:r>
              <w:t>符合</w:t>
            </w:r>
          </w:p>
        </w:tc>
      </w:tr>
    </w:tbl>
    <w:p w14:paraId="3155F02D">
      <w:pPr>
        <w:autoSpaceDE w:val="0"/>
        <w:autoSpaceDN w:val="0"/>
        <w:adjustRightInd w:val="0"/>
        <w:spacing w:line="360" w:lineRule="auto"/>
        <w:ind w:firstLine="480" w:firstLineChars="200"/>
        <w:jc w:val="left"/>
        <w:rPr>
          <w:bCs/>
          <w:color w:val="auto"/>
          <w:kern w:val="21"/>
          <w:sz w:val="24"/>
        </w:rPr>
      </w:pPr>
      <w:r>
        <w:rPr>
          <w:bCs/>
          <w:color w:val="auto"/>
          <w:kern w:val="21"/>
          <w:sz w:val="24"/>
        </w:rPr>
        <w:t>朝阳市人民政府于2021年9月发布了《朝阳市人民政府关于实施“三线一单”生态环境分区管控的意见》(朝政发[2021]13号)，并附文《朝阳市生态环境准入总体管控要求》及《朝阳市管控单元生态环境准入清单》，本项目与朝阳市生态环境准入总体管控要求符合性分析见</w:t>
      </w:r>
      <w:r>
        <w:rPr>
          <w:rFonts w:hint="eastAsia"/>
          <w:bCs/>
          <w:color w:val="auto"/>
          <w:kern w:val="21"/>
          <w:sz w:val="24"/>
          <w:lang w:eastAsia="zh-CN"/>
        </w:rPr>
        <w:t>下</w:t>
      </w:r>
      <w:r>
        <w:rPr>
          <w:bCs/>
          <w:color w:val="auto"/>
          <w:kern w:val="21"/>
          <w:sz w:val="24"/>
        </w:rPr>
        <w:t>表。</w:t>
      </w:r>
    </w:p>
    <w:p w14:paraId="0361545E">
      <w:pPr>
        <w:autoSpaceDE w:val="0"/>
        <w:autoSpaceDN w:val="0"/>
        <w:adjustRightInd w:val="0"/>
        <w:spacing w:line="240" w:lineRule="auto"/>
        <w:ind w:firstLine="422" w:firstLineChars="200"/>
        <w:jc w:val="center"/>
        <w:rPr>
          <w:rFonts w:hint="eastAsia"/>
          <w:b/>
          <w:bCs w:val="0"/>
          <w:color w:val="auto"/>
          <w:kern w:val="21"/>
          <w:sz w:val="21"/>
          <w:szCs w:val="21"/>
          <w:lang w:val="en-US" w:eastAsia="zh-CN"/>
        </w:rPr>
      </w:pPr>
      <w:r>
        <w:rPr>
          <w:rFonts w:hint="eastAsia"/>
          <w:b/>
          <w:bCs w:val="0"/>
          <w:color w:val="auto"/>
          <w:kern w:val="21"/>
          <w:sz w:val="21"/>
          <w:szCs w:val="21"/>
          <w:lang w:val="en-US" w:eastAsia="zh-CN"/>
        </w:rPr>
        <w:t>表1.5-8    与朝阳市生态环境准入总体管控要求符合性分析</w:t>
      </w:r>
    </w:p>
    <w:tbl>
      <w:tblPr>
        <w:tblStyle w:val="551"/>
        <w:tblW w:w="8359" w:type="dxa"/>
        <w:tblInd w:w="0"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416"/>
        <w:gridCol w:w="4672"/>
        <w:gridCol w:w="1491"/>
        <w:gridCol w:w="780"/>
      </w:tblGrid>
      <w:tr w14:paraId="2FEAE83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1416" w:type="dxa"/>
            <w:tcBorders>
              <w:tl2br w:val="nil"/>
              <w:tr2bl w:val="nil"/>
            </w:tcBorders>
            <w:vAlign w:val="center"/>
          </w:tcPr>
          <w:p w14:paraId="0CE12E65">
            <w:pPr>
              <w:jc w:val="center"/>
              <w:rPr>
                <w:rFonts w:hint="eastAsia"/>
                <w:lang w:eastAsia="zh-CN"/>
              </w:rPr>
            </w:pPr>
            <w:r>
              <w:rPr>
                <w:rFonts w:hint="eastAsia"/>
                <w:lang w:eastAsia="zh-CN"/>
              </w:rPr>
              <w:t>管控类别</w:t>
            </w:r>
          </w:p>
        </w:tc>
        <w:tc>
          <w:tcPr>
            <w:tcW w:w="4672" w:type="dxa"/>
            <w:tcBorders>
              <w:tl2br w:val="nil"/>
              <w:tr2bl w:val="nil"/>
            </w:tcBorders>
            <w:vAlign w:val="center"/>
          </w:tcPr>
          <w:p w14:paraId="114AEA68">
            <w:pPr>
              <w:jc w:val="center"/>
              <w:rPr>
                <w:rFonts w:hint="eastAsia"/>
                <w:lang w:eastAsia="zh-CN"/>
              </w:rPr>
            </w:pPr>
            <w:r>
              <w:rPr>
                <w:rFonts w:hint="eastAsia"/>
                <w:lang w:eastAsia="zh-CN"/>
              </w:rPr>
              <w:t>重点管控要求</w:t>
            </w:r>
          </w:p>
        </w:tc>
        <w:tc>
          <w:tcPr>
            <w:tcW w:w="1491" w:type="dxa"/>
            <w:tcBorders>
              <w:tl2br w:val="nil"/>
              <w:tr2bl w:val="nil"/>
            </w:tcBorders>
            <w:vAlign w:val="center"/>
          </w:tcPr>
          <w:p w14:paraId="05CE70AF">
            <w:pPr>
              <w:jc w:val="center"/>
              <w:rPr>
                <w:rFonts w:hint="eastAsia"/>
                <w:lang w:eastAsia="zh-CN"/>
              </w:rPr>
            </w:pPr>
            <w:r>
              <w:rPr>
                <w:rFonts w:hint="eastAsia"/>
                <w:lang w:eastAsia="zh-CN"/>
              </w:rPr>
              <w:t>本项目建设情况</w:t>
            </w:r>
          </w:p>
        </w:tc>
        <w:tc>
          <w:tcPr>
            <w:tcW w:w="780" w:type="dxa"/>
            <w:tcBorders>
              <w:tl2br w:val="nil"/>
              <w:tr2bl w:val="nil"/>
            </w:tcBorders>
            <w:vAlign w:val="center"/>
          </w:tcPr>
          <w:p w14:paraId="6085EA1A">
            <w:pPr>
              <w:jc w:val="center"/>
              <w:rPr>
                <w:rFonts w:hint="eastAsia"/>
                <w:lang w:eastAsia="zh-CN"/>
              </w:rPr>
            </w:pPr>
            <w:r>
              <w:rPr>
                <w:rFonts w:hint="eastAsia"/>
                <w:lang w:eastAsia="zh-CN"/>
              </w:rPr>
              <w:t>符合性</w:t>
            </w:r>
          </w:p>
        </w:tc>
      </w:tr>
      <w:tr w14:paraId="0560D8A4">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29" w:hRule="atLeast"/>
        </w:trPr>
        <w:tc>
          <w:tcPr>
            <w:tcW w:w="1416" w:type="dxa"/>
            <w:tcBorders>
              <w:tl2br w:val="nil"/>
              <w:tr2bl w:val="nil"/>
            </w:tcBorders>
            <w:vAlign w:val="center"/>
          </w:tcPr>
          <w:p w14:paraId="648AC9CD">
            <w:pPr>
              <w:jc w:val="center"/>
              <w:rPr>
                <w:rFonts w:hint="eastAsia"/>
                <w:lang w:eastAsia="zh-CN"/>
              </w:rPr>
            </w:pPr>
            <w:r>
              <w:rPr>
                <w:rFonts w:hint="eastAsia"/>
                <w:lang w:eastAsia="zh-CN"/>
              </w:rPr>
              <w:t>空间布局约束</w:t>
            </w:r>
          </w:p>
        </w:tc>
        <w:tc>
          <w:tcPr>
            <w:tcW w:w="4672" w:type="dxa"/>
            <w:tcBorders>
              <w:tl2br w:val="nil"/>
              <w:tr2bl w:val="nil"/>
            </w:tcBorders>
            <w:vAlign w:val="top"/>
          </w:tcPr>
          <w:p w14:paraId="1145F760">
            <w:pPr>
              <w:jc w:val="both"/>
              <w:rPr>
                <w:rFonts w:hint="eastAsia"/>
                <w:lang w:eastAsia="zh-CN"/>
              </w:rPr>
            </w:pPr>
            <w:r>
              <w:rPr>
                <w:rFonts w:hint="eastAsia"/>
                <w:lang w:eastAsia="zh-CN"/>
              </w:rPr>
              <w:t>1.严格执行《朝阳市国民经济和社会发展第十四个 五年规划纲要》、《朝阳市打赢蓝天保卫战三年行动方案》、《朝阳市黑臭水体治理攻坚战实施方案》、《朝阳市土壤污染防治工作方案》、《中共朝阳市委朝阳市人民政府关于全面加强生态环境保护坚决打好污染防治攻坚战的实施意见》等文件要求。</w:t>
            </w:r>
          </w:p>
          <w:p w14:paraId="3AF6FF62">
            <w:pPr>
              <w:jc w:val="both"/>
              <w:rPr>
                <w:rFonts w:hint="eastAsia"/>
                <w:lang w:eastAsia="zh-CN"/>
              </w:rPr>
            </w:pPr>
            <w:r>
              <w:rPr>
                <w:rFonts w:hint="eastAsia"/>
                <w:lang w:eastAsia="zh-CN"/>
              </w:rPr>
              <w:t>2.严格执行《关于试行辽宁省企业投资项目负面清 单管理的指导意见》；禁止引进列入《产业结构调整指导目录》淘汰类的产业以及列入《市场准入负面清单》严格禁止的技术改造工艺装备及产品。</w:t>
            </w:r>
          </w:p>
          <w:p w14:paraId="56692CB3">
            <w:pPr>
              <w:jc w:val="both"/>
              <w:rPr>
                <w:rFonts w:hint="eastAsia"/>
                <w:lang w:eastAsia="zh-CN"/>
              </w:rPr>
            </w:pPr>
            <w:r>
              <w:rPr>
                <w:rFonts w:hint="eastAsia"/>
                <w:lang w:eastAsia="zh-CN"/>
              </w:rPr>
              <w:t>3.根据《朝阳市生态文明先行示范区建设实施方 案》，禁止开发区域有：辽宁大黑山国家级自然保护区（北票市）、辽宁努鲁尔虎山国家级自然保护区（朝阳县）、辽宁北票鸟化石国家级自然保护区（北票市）。国家级风景名胜区：辽宁凤凰山国家森林公园（双塔区）；辽宁大黑山国家森林公园（北 票市）。国家地质公园：辽宁朝阳鸟化石国家地质公园。省级自然保护区：朝阳清风岭省级自然保护 区（朝阳县）、朝阳小凌河中华鳖省级自然保护区 （朝阳县）、朝阳天秀山省级自然保护区（建平县）、 朝阳椴木头沟省级自然保护区（龙城区）、朝阳楼子山省级自然保护区（喀左县）、凌源青龙河自然保护区（凌源市）、凌源青龙河源省级自然保护区 （凌源市）、建平老虎洞山省级自然保护区（建平 县）。</w:t>
            </w:r>
          </w:p>
          <w:p w14:paraId="19FEF9E9">
            <w:pPr>
              <w:jc w:val="center"/>
              <w:rPr>
                <w:rFonts w:hint="eastAsia"/>
                <w:lang w:eastAsia="zh-CN"/>
              </w:rPr>
            </w:pPr>
            <w:r>
              <w:rPr>
                <w:rFonts w:hint="eastAsia"/>
                <w:lang w:eastAsia="zh-CN"/>
              </w:rPr>
              <w:t>4.根据《朝阳椴木头沟省级自然保护区管理办法（暂 行）的通知》，禁止在（椴木头沟）自然保护区内进行砍伐、放牧、狩猎、捕捞、采药、开垦、烧荒、 开矿、采石、挖沙等活动。</w:t>
            </w:r>
          </w:p>
          <w:p w14:paraId="535E282D">
            <w:pPr>
              <w:jc w:val="center"/>
              <w:rPr>
                <w:rFonts w:hint="eastAsia"/>
                <w:lang w:eastAsia="zh-CN"/>
              </w:rPr>
            </w:pPr>
            <w:r>
              <w:rPr>
                <w:rFonts w:hint="eastAsia"/>
                <w:lang w:eastAsia="zh-CN"/>
              </w:rPr>
              <w:t>5.根据《大凌河朝阳城区段风景区管理办法》，在大凌河风景区及其外围保护地带范围内，不得建设工矿企业、医院等破坏环境、污染水源、影响堤防安全、妨碍游览的项目和设施。</w:t>
            </w:r>
          </w:p>
          <w:p w14:paraId="3A16BCF7">
            <w:pPr>
              <w:jc w:val="center"/>
              <w:rPr>
                <w:rFonts w:hint="eastAsia"/>
                <w:lang w:eastAsia="zh-CN"/>
              </w:rPr>
            </w:pPr>
            <w:r>
              <w:rPr>
                <w:rFonts w:hint="eastAsia"/>
                <w:lang w:eastAsia="zh-CN"/>
              </w:rPr>
              <w:t>6.根据《朝阳市国民经济和社会发展第十三个五年 规划纲要》，禁止在饮用水水源准保护区内新建、扩建对水体污染严重的建设项目。</w:t>
            </w:r>
          </w:p>
          <w:p w14:paraId="58D01F53">
            <w:pPr>
              <w:jc w:val="center"/>
              <w:rPr>
                <w:rFonts w:hint="eastAsia"/>
                <w:lang w:eastAsia="zh-CN"/>
              </w:rPr>
            </w:pPr>
            <w:r>
              <w:rPr>
                <w:rFonts w:hint="eastAsia"/>
                <w:lang w:eastAsia="zh-CN"/>
              </w:rPr>
              <w:t>7.根据《朝阳市环境保护“十四五”规划》，严格项目环境准入，推动新建、转移产业项目依据产业类型进入相应工业园区；有序推进城区工业企业“退 城入园”，促进企业转型升级；重点区域原则上禁止新建露天矿山建设项目；青龙河源头生物多样性保护与水源涵养生态功能区以及宫山嘴水库等区域 限制金、铁、石灰石等矿产开发活动。</w:t>
            </w:r>
          </w:p>
          <w:p w14:paraId="7EE64E9F">
            <w:pPr>
              <w:jc w:val="center"/>
              <w:rPr>
                <w:rFonts w:hint="eastAsia"/>
                <w:lang w:eastAsia="zh-CN"/>
              </w:rPr>
            </w:pPr>
            <w:r>
              <w:rPr>
                <w:rFonts w:hint="eastAsia"/>
                <w:lang w:eastAsia="zh-CN"/>
              </w:rPr>
              <w:t>8.根据《朝阳市水资源管理条例》，在农村饮用水水源保护区或保护范围内，禁止新建、改建、扩建与供水设施和保护水源无关的建设项目及影响饮水井取水量的其他取水设施。禁止在农村饮水工程管 理范围内设置排污口，排放污水等污染物；禁止建 设渗水厕所、渗水坑；禁止养殖畜禽；禁止堆放秸 秆、粪便、废弃物；禁止使用不符合国家标准的化 肥、农药或者从事其他可能污染饮用水体的活动。 9.根据《朝阳市土壤污染防治工作方案》《污染地块土壤环境管理办法（试行）》《工矿用地土壤环境管理办法(试行)》，在永久基本农田集中区域，不得新建任何可能造成土壤污染的项目；严格控制在优先保护类耕地集中区域新建有色金属冶炼、石油 化工、化工、焦化、电镀、制革等行业企业，有关主管部门依法不予审批可能造成耕地土壤污染的建 设项目环境影响报告书或者报告表；控制和引导土壤污染重点监管单位规模和布局，主要包括以下行 业企业：有色金属冶炼、石油加工、化工、焦化、电镀、制革等行业中纳入排污许可重点管理的企业， 有色金属矿采选、石油开采行业规模以上企业，其 他根据有关规定纳入土壤环境污染重点监管单位名 录的企业事业单位。</w:t>
            </w:r>
          </w:p>
          <w:p w14:paraId="231BBE2F">
            <w:pPr>
              <w:jc w:val="center"/>
              <w:rPr>
                <w:rFonts w:hint="eastAsia"/>
                <w:lang w:eastAsia="zh-CN"/>
              </w:rPr>
            </w:pPr>
            <w:r>
              <w:rPr>
                <w:rFonts w:hint="eastAsia"/>
                <w:lang w:eastAsia="zh-CN"/>
              </w:rPr>
              <w:t>10.根据《朝阳市环境保护“十三五”规划》《朝阳市建设高污染燃料禁燃区实施方案》，城市建成区要结合大型热电企业建设，实行集中供热，不再批准建设新的分散燃煤锅炉；所有新建燃煤热源须经市主管部门审批后方可开工建设，工业园区、新城镇只规划建设一个区域高效热源或依托大型热电联产企业集中供热；完善配套环境污染治理设施建设，各类建设项目必须严格按照产业布局和环境准入情况进入相应的产业园区和发展平台。</w:t>
            </w:r>
          </w:p>
        </w:tc>
        <w:tc>
          <w:tcPr>
            <w:tcW w:w="1491" w:type="dxa"/>
            <w:tcBorders>
              <w:tl2br w:val="nil"/>
              <w:tr2bl w:val="nil"/>
            </w:tcBorders>
            <w:vAlign w:val="top"/>
          </w:tcPr>
          <w:p w14:paraId="00645178">
            <w:pPr>
              <w:jc w:val="center"/>
              <w:rPr>
                <w:rFonts w:hint="eastAsia"/>
                <w:lang w:eastAsia="zh-CN"/>
              </w:rPr>
            </w:pPr>
            <w:r>
              <w:rPr>
                <w:rFonts w:hint="eastAsia"/>
                <w:lang w:eastAsia="zh-CN"/>
              </w:rPr>
              <w:t>1、本项目按照上述文件要求进行生产建设，符合上述各项文件要求。</w:t>
            </w:r>
          </w:p>
          <w:p w14:paraId="0E66958E">
            <w:pPr>
              <w:jc w:val="center"/>
              <w:rPr>
                <w:rFonts w:hint="eastAsia"/>
                <w:lang w:eastAsia="zh-CN"/>
              </w:rPr>
            </w:pPr>
            <w:r>
              <w:rPr>
                <w:rFonts w:hint="eastAsia"/>
                <w:lang w:eastAsia="zh-CN"/>
              </w:rPr>
              <w:t>2、本项目属于《产业结构调整指导目录（20</w:t>
            </w:r>
            <w:r>
              <w:rPr>
                <w:rFonts w:hint="eastAsia"/>
                <w:lang w:val="en-US" w:eastAsia="zh-CN"/>
              </w:rPr>
              <w:t>24</w:t>
            </w:r>
            <w:r>
              <w:rPr>
                <w:rFonts w:hint="eastAsia"/>
                <w:lang w:eastAsia="zh-CN"/>
              </w:rPr>
              <w:t>年本）》中的鼓励类项目，不涉及列入《市场准入负面清单》严格禁止的技术改造工艺装备及产品、符合《关于辽宁省企业投资项目负面清单管理的指导意见》要求。</w:t>
            </w:r>
          </w:p>
          <w:p w14:paraId="0384D4FD">
            <w:pPr>
              <w:jc w:val="center"/>
              <w:rPr>
                <w:rFonts w:hint="eastAsia"/>
                <w:lang w:eastAsia="zh-CN"/>
              </w:rPr>
            </w:pPr>
            <w:r>
              <w:rPr>
                <w:rFonts w:hint="eastAsia"/>
                <w:lang w:eastAsia="zh-CN"/>
              </w:rPr>
              <w:t>3、本项目位于北票市西官镇大巴里村，项目选址不属于上述规定的禁止开发区域。</w:t>
            </w:r>
          </w:p>
          <w:p w14:paraId="59E2EC30">
            <w:pPr>
              <w:jc w:val="center"/>
              <w:rPr>
                <w:rFonts w:hint="eastAsia"/>
                <w:lang w:eastAsia="zh-CN"/>
              </w:rPr>
            </w:pPr>
            <w:r>
              <w:rPr>
                <w:rFonts w:hint="eastAsia"/>
                <w:lang w:eastAsia="zh-CN"/>
              </w:rPr>
              <w:t>4、本项目不涉及砍伐等行为。</w:t>
            </w:r>
          </w:p>
          <w:p w14:paraId="5A2CC20F">
            <w:pPr>
              <w:jc w:val="center"/>
              <w:rPr>
                <w:rFonts w:hint="eastAsia"/>
                <w:lang w:eastAsia="zh-CN"/>
              </w:rPr>
            </w:pPr>
            <w:r>
              <w:rPr>
                <w:rFonts w:hint="eastAsia"/>
                <w:lang w:eastAsia="zh-CN"/>
              </w:rPr>
              <w:t>5、本项目不在大凌河风景区及其外围保护地带范围内；</w:t>
            </w:r>
          </w:p>
          <w:p w14:paraId="05158C17">
            <w:pPr>
              <w:jc w:val="center"/>
              <w:rPr>
                <w:rFonts w:hint="eastAsia"/>
                <w:lang w:eastAsia="zh-CN"/>
              </w:rPr>
            </w:pPr>
            <w:r>
              <w:rPr>
                <w:rFonts w:hint="eastAsia"/>
                <w:lang w:eastAsia="zh-CN"/>
              </w:rPr>
              <w:t>6、本项目不在饮用水水源准保护区内；</w:t>
            </w:r>
          </w:p>
          <w:p w14:paraId="0B7E00B6">
            <w:pPr>
              <w:jc w:val="center"/>
              <w:rPr>
                <w:rFonts w:hint="eastAsia"/>
                <w:lang w:eastAsia="zh-CN"/>
              </w:rPr>
            </w:pPr>
            <w:r>
              <w:rPr>
                <w:rFonts w:hint="eastAsia"/>
                <w:lang w:eastAsia="zh-CN"/>
              </w:rPr>
              <w:t>7、不涉及此条内容；</w:t>
            </w:r>
          </w:p>
          <w:p w14:paraId="7D239F1C">
            <w:pPr>
              <w:jc w:val="center"/>
              <w:rPr>
                <w:rFonts w:hint="eastAsia"/>
                <w:lang w:eastAsia="zh-CN"/>
              </w:rPr>
            </w:pPr>
            <w:r>
              <w:rPr>
                <w:rFonts w:hint="eastAsia"/>
                <w:lang w:eastAsia="zh-CN"/>
              </w:rPr>
              <w:t>8、项目不在农村饮用水 水源保护区或保护范围 内；</w:t>
            </w:r>
          </w:p>
          <w:p w14:paraId="13E5FCE4">
            <w:pPr>
              <w:jc w:val="center"/>
              <w:rPr>
                <w:rFonts w:hint="eastAsia"/>
                <w:lang w:eastAsia="zh-CN"/>
              </w:rPr>
            </w:pPr>
            <w:r>
              <w:rPr>
                <w:rFonts w:hint="eastAsia"/>
                <w:lang w:eastAsia="zh-CN"/>
              </w:rPr>
              <w:t>9、项目不涉及永久基本 农田集中区域；</w:t>
            </w:r>
          </w:p>
          <w:p w14:paraId="3F020A5C">
            <w:pPr>
              <w:jc w:val="center"/>
              <w:rPr>
                <w:rFonts w:hint="eastAsia"/>
                <w:lang w:eastAsia="zh-CN"/>
              </w:rPr>
            </w:pPr>
            <w:r>
              <w:rPr>
                <w:rFonts w:hint="eastAsia"/>
                <w:lang w:eastAsia="zh-CN"/>
              </w:rPr>
              <w:t>10、本项目冬季采用生物质锅炉取暖。</w:t>
            </w:r>
          </w:p>
        </w:tc>
        <w:tc>
          <w:tcPr>
            <w:tcW w:w="780" w:type="dxa"/>
            <w:tcBorders>
              <w:tl2br w:val="nil"/>
              <w:tr2bl w:val="nil"/>
            </w:tcBorders>
            <w:vAlign w:val="top"/>
          </w:tcPr>
          <w:p w14:paraId="4FCC6D3A">
            <w:pPr>
              <w:jc w:val="center"/>
              <w:rPr>
                <w:rFonts w:hint="eastAsia"/>
                <w:lang w:eastAsia="zh-CN"/>
              </w:rPr>
            </w:pPr>
            <w:r>
              <w:rPr>
                <w:rFonts w:hint="eastAsia"/>
                <w:lang w:eastAsia="zh-CN"/>
              </w:rPr>
              <w:t>符合</w:t>
            </w:r>
          </w:p>
        </w:tc>
      </w:tr>
      <w:tr w14:paraId="6A1E4518">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89" w:hRule="atLeast"/>
        </w:trPr>
        <w:tc>
          <w:tcPr>
            <w:tcW w:w="1416" w:type="dxa"/>
            <w:tcBorders>
              <w:tl2br w:val="nil"/>
              <w:tr2bl w:val="nil"/>
            </w:tcBorders>
            <w:vAlign w:val="center"/>
          </w:tcPr>
          <w:p w14:paraId="561CB06F">
            <w:pPr>
              <w:jc w:val="center"/>
              <w:rPr>
                <w:rFonts w:hint="eastAsia"/>
                <w:lang w:eastAsia="zh-CN"/>
              </w:rPr>
            </w:pPr>
            <w:r>
              <w:rPr>
                <w:rFonts w:hint="eastAsia"/>
                <w:lang w:eastAsia="zh-CN"/>
              </w:rPr>
              <w:t>污染物排放管控</w:t>
            </w:r>
          </w:p>
        </w:tc>
        <w:tc>
          <w:tcPr>
            <w:tcW w:w="4672" w:type="dxa"/>
            <w:tcBorders>
              <w:tl2br w:val="nil"/>
              <w:tr2bl w:val="nil"/>
            </w:tcBorders>
            <w:vAlign w:val="top"/>
          </w:tcPr>
          <w:p w14:paraId="768D9474">
            <w:pPr>
              <w:numPr>
                <w:ilvl w:val="0"/>
                <w:numId w:val="0"/>
              </w:numPr>
              <w:jc w:val="both"/>
              <w:rPr>
                <w:rFonts w:hint="eastAsia"/>
                <w:lang w:eastAsia="zh-CN"/>
              </w:rPr>
            </w:pPr>
            <w:r>
              <w:rPr>
                <w:rFonts w:hint="eastAsia"/>
                <w:lang w:val="en-US" w:eastAsia="zh-CN"/>
              </w:rPr>
              <w:t>1.</w:t>
            </w:r>
            <w:r>
              <w:rPr>
                <w:rFonts w:hint="eastAsia"/>
                <w:lang w:eastAsia="zh-CN"/>
              </w:rPr>
              <w:t>严格实施污染物排放总量控制，建立覆盖所有固 定污染源的企业排放许可制，从源头防治污染和保 护生态，支持企业实施近零排放示范工程。</w:t>
            </w:r>
          </w:p>
          <w:p w14:paraId="1FC0D01B">
            <w:pPr>
              <w:numPr>
                <w:ilvl w:val="0"/>
                <w:numId w:val="0"/>
              </w:numPr>
              <w:jc w:val="both"/>
              <w:rPr>
                <w:rFonts w:hint="eastAsia"/>
                <w:lang w:eastAsia="zh-CN"/>
              </w:rPr>
            </w:pPr>
            <w:r>
              <w:rPr>
                <w:rFonts w:hint="eastAsia"/>
                <w:lang w:eastAsia="zh-CN"/>
              </w:rPr>
              <w:t>2.根据《辽宁省水污染防治工作方案》《朝阳市实行最严格水资源管理制度“十三五”工作方案》，造纸行业完成纸浆无元素氯漂白改造或采取其他低污染制浆技术，钢铁企业焦炉完成干熄焦技术改造，氮肥行业尿素生产完成工艺冷凝液水解解析技术改造，印染行业实施低排水染整工艺改造，制革行业实施铬减量化和封闭循环利用技术改造；推进污水处理厂和处理设施新、改、扩建工程，进一步提高污水处理设施出水水质；实施污水再生利用，提高污水再生利用率；补齐污水配套管网短板，提升污泥处理处置能力，推进雨污分流。</w:t>
            </w:r>
          </w:p>
          <w:p w14:paraId="7FAB3141">
            <w:pPr>
              <w:numPr>
                <w:ilvl w:val="0"/>
                <w:numId w:val="0"/>
              </w:numPr>
              <w:jc w:val="both"/>
              <w:rPr>
                <w:rFonts w:hint="eastAsia"/>
                <w:lang w:eastAsia="zh-CN"/>
              </w:rPr>
            </w:pPr>
            <w:r>
              <w:rPr>
                <w:rFonts w:hint="eastAsia"/>
                <w:lang w:eastAsia="zh-CN"/>
              </w:rPr>
              <w:t>3.根据《朝阳市打赢蓝天保卫战三年行动方案》《中共朝阳市委朝阳市人民政府关于全面加强生态环境保护坚决打好污染治攻坚战的实施意见》《朝阳市生态环境保护十四五规划》，大气环境受体敏感重点管控区禁止焚烧秸秆、工业废弃物、环卫清扫物、建筑垃圾、生活垃圾等废弃物，加强餐饮服务业燃料烟气及油烟防治，鼓励餐饮业及居民生活能源使用天然气、液化石油气、生物酒精等洁净能源，重点防控机动车废气排放，综合整治扬尘污染，城市建成区生物质锅炉实施超低排放改造；到2025年，NOx、VOCs、SO</w:t>
            </w:r>
            <w:r>
              <w:rPr>
                <w:rFonts w:hint="eastAsia"/>
                <w:vertAlign w:val="subscript"/>
                <w:lang w:eastAsia="zh-CN"/>
              </w:rPr>
              <w:t>2</w:t>
            </w:r>
            <w:r>
              <w:rPr>
                <w:rFonts w:hint="eastAsia"/>
                <w:lang w:eastAsia="zh-CN"/>
              </w:rPr>
              <w:t>等主要污染物排放量大幅度削减 ，冬春季以PM</w:t>
            </w:r>
            <w:r>
              <w:rPr>
                <w:rFonts w:hint="eastAsia"/>
                <w:vertAlign w:val="subscript"/>
                <w:lang w:eastAsia="zh-CN"/>
              </w:rPr>
              <w:t>2.5</w:t>
            </w:r>
            <w:r>
              <w:rPr>
                <w:rFonts w:hint="eastAsia"/>
                <w:lang w:eastAsia="zh-CN"/>
              </w:rPr>
              <w:t>为主要污染物的重污染天数减少到 5天以内，夏季O</w:t>
            </w:r>
            <w:r>
              <w:rPr>
                <w:rFonts w:hint="eastAsia"/>
                <w:vertAlign w:val="subscript"/>
                <w:lang w:eastAsia="zh-CN"/>
              </w:rPr>
              <w:t>3</w:t>
            </w:r>
            <w:r>
              <w:rPr>
                <w:rFonts w:hint="eastAsia"/>
                <w:lang w:eastAsia="zh-CN"/>
              </w:rPr>
              <w:t>污染加重的趋势得到遏制，力争全年PM</w:t>
            </w:r>
            <w:r>
              <w:rPr>
                <w:rFonts w:hint="eastAsia"/>
                <w:vertAlign w:val="subscript"/>
                <w:lang w:eastAsia="zh-CN"/>
              </w:rPr>
              <w:t>2.5</w:t>
            </w:r>
            <w:r>
              <w:rPr>
                <w:rFonts w:hint="eastAsia"/>
                <w:lang w:eastAsia="zh-CN"/>
              </w:rPr>
              <w:t>浓度下降至35微克/立方米以内，空气质量优良天数比例保持在88%以上，空气质量持续改善；实行区域性削峰管控，一区一策开展大气污染防治工作，市区主要治理O</w:t>
            </w:r>
            <w:r>
              <w:rPr>
                <w:rFonts w:hint="eastAsia"/>
                <w:vertAlign w:val="subscript"/>
                <w:lang w:eastAsia="zh-CN"/>
              </w:rPr>
              <w:t>3</w:t>
            </w:r>
            <w:r>
              <w:rPr>
                <w:rFonts w:hint="eastAsia"/>
                <w:lang w:eastAsia="zh-CN"/>
              </w:rPr>
              <w:t>、PM</w:t>
            </w:r>
            <w:r>
              <w:rPr>
                <w:rFonts w:hint="eastAsia"/>
                <w:vertAlign w:val="subscript"/>
                <w:lang w:eastAsia="zh-CN"/>
              </w:rPr>
              <w:t>2.5</w:t>
            </w:r>
            <w:r>
              <w:rPr>
                <w:rFonts w:hint="eastAsia"/>
                <w:lang w:eastAsia="zh-CN"/>
              </w:rPr>
              <w:t>、PM</w:t>
            </w:r>
            <w:r>
              <w:rPr>
                <w:rFonts w:hint="eastAsia"/>
                <w:vertAlign w:val="subscript"/>
                <w:lang w:eastAsia="zh-CN"/>
              </w:rPr>
              <w:t>10</w:t>
            </w:r>
            <w:r>
              <w:rPr>
                <w:rFonts w:hint="eastAsia"/>
                <w:lang w:eastAsia="zh-CN"/>
              </w:rPr>
              <w:t>污染，凌源市主要治理PM</w:t>
            </w:r>
            <w:r>
              <w:rPr>
                <w:rFonts w:hint="eastAsia"/>
                <w:vertAlign w:val="subscript"/>
                <w:lang w:eastAsia="zh-CN"/>
              </w:rPr>
              <w:t>2.5</w:t>
            </w:r>
            <w:r>
              <w:rPr>
                <w:rFonts w:hint="eastAsia"/>
                <w:lang w:eastAsia="zh-CN"/>
              </w:rPr>
              <w:t>污染，喀左县主要治理 O</w:t>
            </w:r>
            <w:r>
              <w:rPr>
                <w:rFonts w:hint="eastAsia"/>
                <w:vertAlign w:val="subscript"/>
                <w:lang w:eastAsia="zh-CN"/>
              </w:rPr>
              <w:t>3</w:t>
            </w:r>
            <w:r>
              <w:rPr>
                <w:rFonts w:hint="eastAsia"/>
                <w:lang w:eastAsia="zh-CN"/>
              </w:rPr>
              <w:t>污染，北票市主要治理CO污染并开展重污染天气应对。</w:t>
            </w:r>
          </w:p>
          <w:p w14:paraId="7D5F480D">
            <w:pPr>
              <w:numPr>
                <w:ilvl w:val="0"/>
                <w:numId w:val="0"/>
              </w:numPr>
              <w:jc w:val="both"/>
              <w:rPr>
                <w:rFonts w:hint="eastAsia"/>
                <w:lang w:eastAsia="zh-CN"/>
              </w:rPr>
            </w:pPr>
            <w:r>
              <w:rPr>
                <w:rFonts w:hint="eastAsia"/>
                <w:lang w:eastAsia="zh-CN"/>
              </w:rPr>
              <w:t>4.根据《朝阳市土壤污染防治工作方案》《朝阳市“十三五”节能减排综合工作实施方案》《朝阳市生态文明先行示范区建设实施方案》《朝阳市突破辽西北暨推进县域经济发展三年攻坚计划》，加大畜禽养殖行业环境监管，促进畜禽规模养殖场粪便污水收集处理和资源化利用，建设秸秆、粪便等有机废物处理设施；推广使用生物化肥，防止和解决耕地板结、土壤毒化、贵金属超标问题，推进重金属污染治理；加强农膜科学使用，推广使用生物化肥，防止和解决耕地板结、土壤毒化问题，推进重金属污染治理；生产、使用、贮存、运输、回收、处置排放有毒有害物质的单位和个人，应当采取有效措施，防止有毒有害物质渗漏、流失、扬散，避免土壤受到污染；企事业单位拆除设施、设备或者建筑物、构筑物的，应当采取相应的土壤污染防治措施。土壤污染重点监管单位拆除设施、设备或者建筑物、构筑物的，应当制定包括应急措施在内的土壤污染防治工作方案，报地方人民政府生态环境主管部门备案并实施。</w:t>
            </w:r>
          </w:p>
        </w:tc>
        <w:tc>
          <w:tcPr>
            <w:tcW w:w="1491" w:type="dxa"/>
            <w:tcBorders>
              <w:tl2br w:val="nil"/>
              <w:tr2bl w:val="nil"/>
            </w:tcBorders>
            <w:vAlign w:val="top"/>
          </w:tcPr>
          <w:p w14:paraId="3CC25E9C">
            <w:pPr>
              <w:jc w:val="center"/>
              <w:rPr>
                <w:rFonts w:hint="eastAsia"/>
                <w:lang w:eastAsia="zh-CN"/>
              </w:rPr>
            </w:pPr>
            <w:r>
              <w:rPr>
                <w:rFonts w:hint="eastAsia"/>
                <w:lang w:eastAsia="zh-CN"/>
              </w:rPr>
              <w:t>1、本项目采用高效污染防治措施，减少总量的排放。</w:t>
            </w:r>
          </w:p>
          <w:p w14:paraId="75CEFAF6">
            <w:pPr>
              <w:jc w:val="center"/>
              <w:rPr>
                <w:rFonts w:hint="eastAsia"/>
                <w:lang w:eastAsia="zh-CN"/>
              </w:rPr>
            </w:pPr>
            <w:r>
              <w:rPr>
                <w:rFonts w:hint="eastAsia"/>
                <w:lang w:eastAsia="zh-CN"/>
              </w:rPr>
              <w:t>2、本项目无生产废水外排。</w:t>
            </w:r>
          </w:p>
          <w:p w14:paraId="42A6FD8E">
            <w:pPr>
              <w:jc w:val="center"/>
              <w:rPr>
                <w:rFonts w:hint="eastAsia"/>
                <w:lang w:eastAsia="zh-CN"/>
              </w:rPr>
            </w:pPr>
            <w:r>
              <w:rPr>
                <w:rFonts w:hint="eastAsia"/>
                <w:lang w:eastAsia="zh-CN"/>
              </w:rPr>
              <w:t>3、根据《202</w:t>
            </w:r>
            <w:r>
              <w:rPr>
                <w:rFonts w:hint="eastAsia"/>
                <w:lang w:val="en-US" w:eastAsia="zh-CN"/>
              </w:rPr>
              <w:t>3</w:t>
            </w:r>
            <w:r>
              <w:rPr>
                <w:rFonts w:hint="eastAsia"/>
                <w:lang w:eastAsia="zh-CN"/>
              </w:rPr>
              <w:t>年度朝阳市环境质量公报》，朝阳市为环境质量达标区，环境空气质量状况良好。</w:t>
            </w:r>
          </w:p>
          <w:p w14:paraId="3BA4E8CA">
            <w:pPr>
              <w:jc w:val="center"/>
              <w:rPr>
                <w:rFonts w:hint="eastAsia"/>
                <w:lang w:eastAsia="zh-CN"/>
              </w:rPr>
            </w:pPr>
            <w:r>
              <w:rPr>
                <w:rFonts w:hint="eastAsia"/>
                <w:lang w:eastAsia="zh-CN"/>
              </w:rPr>
              <w:t>4、本项目为畜禽养殖项目，营运过程中不涉及重金属、持久性有机污染物等有毒有害物质，厂房地面已全部水泥硬化，无土壤及地下水的污染途径。</w:t>
            </w:r>
          </w:p>
        </w:tc>
        <w:tc>
          <w:tcPr>
            <w:tcW w:w="780" w:type="dxa"/>
            <w:tcBorders>
              <w:tl2br w:val="nil"/>
              <w:tr2bl w:val="nil"/>
            </w:tcBorders>
            <w:vAlign w:val="top"/>
          </w:tcPr>
          <w:p w14:paraId="0EE31115">
            <w:pPr>
              <w:jc w:val="center"/>
              <w:rPr>
                <w:rFonts w:hint="eastAsia"/>
                <w:lang w:eastAsia="zh-CN"/>
              </w:rPr>
            </w:pPr>
            <w:r>
              <w:rPr>
                <w:rFonts w:hint="eastAsia"/>
                <w:lang w:eastAsia="zh-CN"/>
              </w:rPr>
              <w:t>符合</w:t>
            </w:r>
          </w:p>
        </w:tc>
      </w:tr>
      <w:tr w14:paraId="464EDBA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1416" w:type="dxa"/>
            <w:tcBorders>
              <w:tl2br w:val="nil"/>
              <w:tr2bl w:val="nil"/>
            </w:tcBorders>
            <w:vAlign w:val="center"/>
          </w:tcPr>
          <w:p w14:paraId="6767E854">
            <w:pPr>
              <w:jc w:val="center"/>
              <w:rPr>
                <w:rFonts w:hint="eastAsia"/>
                <w:lang w:eastAsia="zh-CN"/>
              </w:rPr>
            </w:pPr>
            <w:r>
              <w:rPr>
                <w:rFonts w:hint="eastAsia"/>
                <w:lang w:eastAsia="zh-CN"/>
              </w:rPr>
              <w:t>环境风险防控</w:t>
            </w:r>
          </w:p>
        </w:tc>
        <w:tc>
          <w:tcPr>
            <w:tcW w:w="4672" w:type="dxa"/>
            <w:tcBorders>
              <w:tl2br w:val="nil"/>
              <w:tr2bl w:val="nil"/>
            </w:tcBorders>
            <w:vAlign w:val="top"/>
          </w:tcPr>
          <w:p w14:paraId="2B0D9EB1">
            <w:pPr>
              <w:numPr>
                <w:ilvl w:val="0"/>
                <w:numId w:val="0"/>
              </w:numPr>
              <w:jc w:val="both"/>
              <w:rPr>
                <w:rFonts w:hint="eastAsia"/>
                <w:lang w:val="en-US" w:eastAsia="zh-CN"/>
              </w:rPr>
            </w:pPr>
            <w:r>
              <w:rPr>
                <w:rFonts w:hint="eastAsia"/>
                <w:lang w:val="en-US" w:eastAsia="zh-CN"/>
              </w:rPr>
              <w:t>1.落实《朝阳市突发环境事件应急预案》相关风险 防范要求。</w:t>
            </w:r>
          </w:p>
          <w:p w14:paraId="713F2C16">
            <w:pPr>
              <w:numPr>
                <w:ilvl w:val="0"/>
                <w:numId w:val="0"/>
              </w:numPr>
              <w:jc w:val="both"/>
              <w:rPr>
                <w:rFonts w:hint="eastAsia"/>
                <w:lang w:val="en-US" w:eastAsia="zh-CN"/>
              </w:rPr>
            </w:pPr>
            <w:r>
              <w:rPr>
                <w:rFonts w:hint="eastAsia"/>
                <w:lang w:val="en-US" w:eastAsia="zh-CN"/>
              </w:rPr>
              <w:t>2.根据《中共朝阳市委朝阳市人民政府关于全面加 强生态环境保护坚决打好污染防治攻坚战的实施意 见》，排气口高度超过45米的高架源，以及化工、 包装印刷、工业涂装等挥发性有机物排放重点源纳 入重点排污单位名录，督促企业安装烟气排放自动 监控设施；将挥发性有机物重点源纳入重点排污单 位名录，主要排污口安装挥发性有机物自动监测设 备，并与环保部门联网。</w:t>
            </w:r>
          </w:p>
          <w:p w14:paraId="19D6306A">
            <w:pPr>
              <w:numPr>
                <w:ilvl w:val="0"/>
                <w:numId w:val="0"/>
              </w:numPr>
              <w:jc w:val="both"/>
              <w:rPr>
                <w:rFonts w:hint="eastAsia"/>
                <w:lang w:val="en-US" w:eastAsia="zh-CN"/>
              </w:rPr>
            </w:pPr>
            <w:r>
              <w:rPr>
                <w:rFonts w:hint="eastAsia"/>
                <w:lang w:val="en-US" w:eastAsia="zh-CN"/>
              </w:rPr>
              <w:t>3.根据《朝阳市土壤污染防治工作方案》《朝阳市城镇人口密集区危险化学品生产企业搬迁改造实施 方案》，按照国家有关环境标准和技术规范，编制风险管控方案，对暂不开发利用的污染地块，实施以防止污染扩散为目的的风险管控；对拟开发利用 为居住用地和商业、学校、医疗、养老机构等公共设施用地的污染地块，实施以安全利用为目的的风险管控；各类涉及土地利用的规划和可能造成土壤污染的建设项目，应当依法进行环境影响评价；重点行业企业新、改、扩建项目用地应当符合或者有关建设用地土壤污染风险管控标准；项目用地污染物含量超过有关建设用地土壤污染风险管控标准的，参照污染地块土壤环境管理有关规定开展调查、评估、治理与修复等活动；对于防疫废物等危险固废采取外协集中处理，市内不设工业危废处置企业； 化学品生产存贮销售企业工业集聚区、矿山开采区、 尾矿库、危险废物处置场、垃圾填埋场等运营、管理单位，应当采取防渗漏等措施，并建设地下水水质监测井进行监测，防止地下水污染；加强项目审批、选址、安全、环保等环节的管理措施，严禁搬迁改造企业在原址新建、扩建危险化学品项目。</w:t>
            </w:r>
          </w:p>
          <w:p w14:paraId="65041AD1">
            <w:pPr>
              <w:numPr>
                <w:ilvl w:val="0"/>
                <w:numId w:val="0"/>
              </w:numPr>
              <w:jc w:val="both"/>
              <w:rPr>
                <w:rFonts w:hint="eastAsia"/>
                <w:lang w:val="en-US" w:eastAsia="zh-CN"/>
              </w:rPr>
            </w:pPr>
            <w:r>
              <w:rPr>
                <w:rFonts w:hint="eastAsia"/>
                <w:lang w:val="en-US" w:eastAsia="zh-CN"/>
              </w:rPr>
              <w:t>4.根据《朝阳市生态环境保护十四五规划》，开展农村饮用水水源水质监测及环境风险排查整治，加强水源周边生活污水、垃圾及畜禽养殖废弃物的处理处置及化工、造纸、冶炼、制药等重点行业及重点污染源风险防范，确保农村居民饮水安全；推进园区技术升级，创新污染控制技术，完善废物资源化利用水平，强化环境安全，消除环境风险；加强园区环保设施建设，建设集中供热设施、污水集中处理设施、固废集中处理设施等。</w:t>
            </w:r>
          </w:p>
        </w:tc>
        <w:tc>
          <w:tcPr>
            <w:tcW w:w="1491" w:type="dxa"/>
            <w:tcBorders>
              <w:tl2br w:val="nil"/>
              <w:tr2bl w:val="nil"/>
            </w:tcBorders>
            <w:vAlign w:val="top"/>
          </w:tcPr>
          <w:p w14:paraId="74929834">
            <w:pPr>
              <w:numPr>
                <w:ilvl w:val="0"/>
                <w:numId w:val="0"/>
              </w:numPr>
              <w:jc w:val="both"/>
              <w:rPr>
                <w:rFonts w:hint="eastAsia"/>
                <w:lang w:val="en-US" w:eastAsia="zh-CN"/>
              </w:rPr>
            </w:pPr>
            <w:r>
              <w:rPr>
                <w:rFonts w:hint="eastAsia"/>
                <w:lang w:val="en-US" w:eastAsia="zh-CN"/>
              </w:rPr>
              <w:t>1、本项目建设完成后，企业将落实《朝阳市突发环境事件应急预案》相关风险防范要求。</w:t>
            </w:r>
          </w:p>
          <w:p w14:paraId="48965BE9">
            <w:pPr>
              <w:numPr>
                <w:ilvl w:val="0"/>
                <w:numId w:val="0"/>
              </w:numPr>
              <w:jc w:val="both"/>
              <w:rPr>
                <w:rFonts w:hint="eastAsia"/>
                <w:lang w:val="en-US" w:eastAsia="zh-CN"/>
              </w:rPr>
            </w:pPr>
            <w:r>
              <w:rPr>
                <w:rFonts w:hint="eastAsia"/>
                <w:lang w:val="en-US" w:eastAsia="zh-CN"/>
              </w:rPr>
              <w:t>2、本项目为畜禽养殖项目，不属于辽宁省《“十三五”挥发性有机物污染防治与削减工作实施方案》（辽环发〔2018〕69号）中VOCs排放重点行业，不属于涉VOCs排放的重点工业企业</w:t>
            </w:r>
          </w:p>
          <w:p w14:paraId="26C078C6">
            <w:pPr>
              <w:numPr>
                <w:ilvl w:val="0"/>
                <w:numId w:val="0"/>
              </w:numPr>
              <w:jc w:val="both"/>
              <w:rPr>
                <w:rFonts w:hint="eastAsia"/>
                <w:lang w:val="en-US" w:eastAsia="zh-CN"/>
              </w:rPr>
            </w:pPr>
            <w:r>
              <w:rPr>
                <w:rFonts w:hint="eastAsia"/>
                <w:lang w:val="en-US" w:eastAsia="zh-CN"/>
              </w:rPr>
              <w:t>3、本项目采取“源头削减、过程控制、末端治理”措施对环境风险进行防控。</w:t>
            </w:r>
          </w:p>
          <w:p w14:paraId="250955E0">
            <w:pPr>
              <w:numPr>
                <w:ilvl w:val="0"/>
                <w:numId w:val="0"/>
              </w:numPr>
              <w:jc w:val="both"/>
              <w:rPr>
                <w:rFonts w:hint="eastAsia"/>
                <w:lang w:val="en-US" w:eastAsia="zh-CN"/>
              </w:rPr>
            </w:pPr>
            <w:r>
              <w:rPr>
                <w:rFonts w:hint="eastAsia"/>
                <w:lang w:val="en-US" w:eastAsia="zh-CN"/>
              </w:rPr>
              <w:t>4、本项目取暖采用生物质锅炉取暖；</w:t>
            </w:r>
            <w:r>
              <w:rPr>
                <w:rFonts w:hint="eastAsia"/>
                <w:highlight w:val="none"/>
                <w:lang w:val="en-US" w:eastAsia="zh-CN"/>
              </w:rPr>
              <w:t>项目产生的粪便委托单位进行处置。病死鸡交由北票市汇宏动物无害化处理有限公司处理。危险废物暂存于危废暂存间内，定期委托有资质单位处置。</w:t>
            </w:r>
          </w:p>
        </w:tc>
        <w:tc>
          <w:tcPr>
            <w:tcW w:w="780" w:type="dxa"/>
            <w:tcBorders>
              <w:tl2br w:val="nil"/>
              <w:tr2bl w:val="nil"/>
            </w:tcBorders>
            <w:vAlign w:val="top"/>
          </w:tcPr>
          <w:p w14:paraId="737E56A0">
            <w:pPr>
              <w:jc w:val="center"/>
              <w:rPr>
                <w:rFonts w:hint="eastAsia"/>
                <w:lang w:eastAsia="zh-CN"/>
              </w:rPr>
            </w:pPr>
            <w:r>
              <w:rPr>
                <w:rFonts w:hint="eastAsia"/>
                <w:lang w:eastAsia="zh-CN"/>
              </w:rPr>
              <w:t>复合</w:t>
            </w:r>
          </w:p>
        </w:tc>
      </w:tr>
      <w:tr w14:paraId="77EF2A8B">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89" w:hRule="atLeast"/>
        </w:trPr>
        <w:tc>
          <w:tcPr>
            <w:tcW w:w="1416" w:type="dxa"/>
            <w:tcBorders>
              <w:tl2br w:val="nil"/>
              <w:tr2bl w:val="nil"/>
            </w:tcBorders>
            <w:vAlign w:val="center"/>
          </w:tcPr>
          <w:p w14:paraId="264717F9">
            <w:pPr>
              <w:jc w:val="center"/>
              <w:rPr>
                <w:rFonts w:hint="eastAsia"/>
                <w:lang w:eastAsia="zh-CN"/>
              </w:rPr>
            </w:pPr>
            <w:r>
              <w:rPr>
                <w:rFonts w:hint="eastAsia"/>
                <w:lang w:eastAsia="zh-CN"/>
              </w:rPr>
              <w:t>资源利用效率要求</w:t>
            </w:r>
          </w:p>
        </w:tc>
        <w:tc>
          <w:tcPr>
            <w:tcW w:w="4672" w:type="dxa"/>
            <w:tcBorders>
              <w:tl2br w:val="nil"/>
              <w:tr2bl w:val="nil"/>
            </w:tcBorders>
            <w:vAlign w:val="top"/>
          </w:tcPr>
          <w:p w14:paraId="49B5151B">
            <w:pPr>
              <w:numPr>
                <w:ilvl w:val="0"/>
                <w:numId w:val="0"/>
              </w:numPr>
              <w:jc w:val="both"/>
              <w:rPr>
                <w:rFonts w:hint="eastAsia"/>
                <w:lang w:val="en-US" w:eastAsia="zh-CN"/>
              </w:rPr>
            </w:pPr>
            <w:r>
              <w:rPr>
                <w:rFonts w:hint="eastAsia"/>
                <w:lang w:val="en-US" w:eastAsia="zh-CN"/>
              </w:rPr>
              <w:t>1.根据《朝阳市生态环境保护十四五规划》，以柳 、城经济技术开发区为试点开展园区中水回用，2023年实现园区中水全部回用。利用信息化手段加强排放监管，安装自动在线监控装置，防范偷排直排现象发生；强化造纸、印染、化工、制革、电镀等企业污染治理设施运维管理和清洁化改造，鼓励高耗水企业废水深度回用；“十四五”时期，实现万元国内生产总值用水量下降比例12%，万元工业增加值用水量下降比例8%；实施煤炭消费总量控制，降低煤炭消耗量。耗煤新项目实施煤炭减量替代，按照朝阳市“十四五 ”国民经济和社会发展规划，控制煤炭消耗总量和煤炭消费比例。</w:t>
            </w:r>
          </w:p>
          <w:p w14:paraId="05356A92">
            <w:pPr>
              <w:numPr>
                <w:ilvl w:val="0"/>
                <w:numId w:val="0"/>
              </w:numPr>
              <w:jc w:val="both"/>
              <w:rPr>
                <w:rFonts w:hint="eastAsia"/>
                <w:lang w:val="en-US" w:eastAsia="zh-CN"/>
              </w:rPr>
            </w:pPr>
            <w:r>
              <w:rPr>
                <w:rFonts w:hint="eastAsia"/>
                <w:lang w:val="en-US" w:eastAsia="zh-CN"/>
              </w:rPr>
              <w:t>2.根据《辽宁省节约用水条例》《朝阳市黑臭水体治理攻坚战实施方案》，公共建筑应当使用节水型器具，保障用水设备、器具和管网正常运行，已建成的公共建筑未使用节水型器具的，应当进行节能化改造，国家机关、事业单位、社会团体等公共机构应当率先安装使用节水型设备和器具，鼓励居民家庭使用节水型器具；城镇绿化、环境卫生、建筑施工、道路维护等市政用水和观赏性景观、生态湿地等环境用水，具备使用再生水、雨水等非传统水源条件的，应当使用；集中办公的机关、学校、宾馆饭店、住宅小区等适宜使用再生水的，应当鼓励使用；推进朝阳市管辖内高速公路服务区污水处理和利用，具备使用再生水条件但未充分利用的工业项目不再批准其新增取水许可；自2017年起，单体建筑面积超过2万平方米的新建公共建筑必须安装建筑中水设施，并积极推动其他新建住房安装建筑中水设施。</w:t>
            </w:r>
          </w:p>
          <w:p w14:paraId="0FD43285">
            <w:pPr>
              <w:numPr>
                <w:ilvl w:val="0"/>
                <w:numId w:val="0"/>
              </w:numPr>
              <w:jc w:val="both"/>
              <w:rPr>
                <w:rFonts w:hint="eastAsia"/>
                <w:lang w:val="en-US" w:eastAsia="zh-CN"/>
              </w:rPr>
            </w:pPr>
            <w:r>
              <w:rPr>
                <w:rFonts w:hint="eastAsia"/>
                <w:lang w:val="en-US" w:eastAsia="zh-CN"/>
              </w:rPr>
              <w:t>3.根据《辽宁省地下水保护条例》、《朝阳市人民政府关于实行最严格水资源管理制度的实施意见》，建立取水许可总量指标体系，对已经超采或取水总量基本达到允许开采量、生态环境不断恶化的区域，实行取水许可限批和禁批，控制新增用水过快增长；继续实行区域地下水禁采、限采制度，在地下水保护区、城市公共供水管网覆盖区、水库等地表水能够供水区域和无防止地下水污染措施的地区，停止批建新的地下水取水工程，不再新增地下水取水指标。</w:t>
            </w:r>
          </w:p>
          <w:p w14:paraId="4A15C659">
            <w:pPr>
              <w:numPr>
                <w:ilvl w:val="0"/>
                <w:numId w:val="0"/>
              </w:numPr>
              <w:jc w:val="both"/>
              <w:rPr>
                <w:rFonts w:hint="eastAsia"/>
                <w:lang w:val="en-US" w:eastAsia="zh-CN"/>
              </w:rPr>
            </w:pPr>
            <w:r>
              <w:rPr>
                <w:rFonts w:hint="eastAsia"/>
                <w:lang w:val="en-US" w:eastAsia="zh-CN"/>
              </w:rPr>
              <w:t>4.根据《朝阳市建设高污染燃料禁燃区实施方案》，朝阳市高污染禁燃区包括以下六个区块：燕都新区建成区、凤凰新城、锦承铁路以东老城区、锦承铁路以西生活区、豪德及周边配套服务区、鸟化石国家地质公园。禁燃区管理：一、禁燃区内禁止销售、使用、转运、存放高污染燃料。二、除城中村等暂不具备条件推行天然气等清洁能源的区域外，禁燃区内禁止燃用蜂窝煤；城中村等暂不具备条件推行天热气等清洁能源的区域燃用蜂窝煤的，煤质必须符合《民用蜂窝煤》（GB/T13593-1992）规定并且硫含量小于 0.3%。三、禁燃区及控制区内集中供热企业必须使用符合国标《GB/T15224.2-2010》的低硫低灰煤，不得擅自改用其它类型的高污染燃料，同时要建设运行高效除尘、脱硫、脱硝设施，确保大气污染物达标排放。四、禁燃区内不得新建、改建、扩建任何燃用高污染燃料的设备。包括：所有燃用高污染燃料的蒸汽和热水锅炉，各类窑炉及加热装置等；所有经营性和非经营性餐饮业、服务业燃用高污染燃料的炉灶、炉具等。五、燃用生物质成型燃料必须配备生物质成型燃料专用锅炉，并按规定安装除尘设施。“生物质成型燃料”必须符合《生物质固体成型燃料技术条件》（NY/T1878-2010）国家行业标准。</w:t>
            </w:r>
          </w:p>
          <w:p w14:paraId="384F1154">
            <w:pPr>
              <w:numPr>
                <w:ilvl w:val="0"/>
                <w:numId w:val="0"/>
              </w:numPr>
              <w:jc w:val="both"/>
              <w:rPr>
                <w:rFonts w:hint="eastAsia"/>
                <w:lang w:val="en-US" w:eastAsia="zh-CN"/>
              </w:rPr>
            </w:pPr>
            <w:r>
              <w:rPr>
                <w:rFonts w:hint="eastAsia"/>
                <w:lang w:val="en-US" w:eastAsia="zh-CN"/>
              </w:rPr>
              <w:t>5.根据《朝阳市打赢蓝天保卫战三年行动方案》《朝阳市生态文明先行示范区建设实施方案》《朝阳市贯彻落实中央第三环境保护督察组督察反馈意见整改方案》，大气环境优先保护区禁止使用煤、煤矸石、燃料油（重油和渣油）、石油焦、污染物含量超过国家限值的柴油、煤油等高污染燃料，使用天然气、液化石油气、太阳能、电能等清洁能源；推进建平县陶瓷园区内建材企业进行天然气清洁能源替代；各县（市）区城市建成区新、改、扩建热源，单台燃煤锅炉蒸发量原则上不小于65蒸吨/小时，其他区域禁止新、改、扩建单台蒸发量小于20蒸吨/小时的燃煤锅炉；基本淘汰热电联产供热管网覆盖范围内的燃煤加热、烘干炉（窑）；淘汰炉膛直径3米以下燃料类煤气发生炉；以冶金、建材、石化行业为重点，实施煤改气和油改气，加快推进工业燃料的天然气替代。</w:t>
            </w:r>
          </w:p>
        </w:tc>
        <w:tc>
          <w:tcPr>
            <w:tcW w:w="1491" w:type="dxa"/>
            <w:tcBorders>
              <w:tl2br w:val="nil"/>
              <w:tr2bl w:val="nil"/>
            </w:tcBorders>
            <w:vAlign w:val="top"/>
          </w:tcPr>
          <w:p w14:paraId="725A8CD6">
            <w:pPr>
              <w:numPr>
                <w:ilvl w:val="0"/>
                <w:numId w:val="0"/>
              </w:numPr>
              <w:jc w:val="both"/>
              <w:rPr>
                <w:rFonts w:hint="eastAsia"/>
                <w:lang w:val="en-US" w:eastAsia="zh-CN"/>
              </w:rPr>
            </w:pPr>
            <w:r>
              <w:rPr>
                <w:rFonts w:hint="eastAsia"/>
                <w:lang w:val="en-US" w:eastAsia="zh-CN"/>
              </w:rPr>
              <w:t>1、本项目无外排生产废水。</w:t>
            </w:r>
          </w:p>
          <w:p w14:paraId="3FE3F12E">
            <w:pPr>
              <w:numPr>
                <w:ilvl w:val="0"/>
                <w:numId w:val="0"/>
              </w:numPr>
              <w:jc w:val="both"/>
              <w:rPr>
                <w:rFonts w:hint="eastAsia"/>
                <w:lang w:val="en-US" w:eastAsia="zh-CN"/>
              </w:rPr>
            </w:pPr>
            <w:r>
              <w:rPr>
                <w:rFonts w:hint="eastAsia"/>
                <w:lang w:val="en-US" w:eastAsia="zh-CN"/>
              </w:rPr>
              <w:t>2、本项目工作人员生活用水量较小，由厂区水井供给，清洗用水安装节水型设备和器具，对项目区域水资源的消耗较小。</w:t>
            </w:r>
          </w:p>
          <w:p w14:paraId="4D387021">
            <w:pPr>
              <w:numPr>
                <w:ilvl w:val="0"/>
                <w:numId w:val="0"/>
              </w:numPr>
              <w:jc w:val="both"/>
              <w:rPr>
                <w:rFonts w:hint="eastAsia"/>
                <w:lang w:val="en-US" w:eastAsia="zh-CN"/>
              </w:rPr>
            </w:pPr>
            <w:r>
              <w:rPr>
                <w:rFonts w:hint="eastAsia"/>
                <w:lang w:val="en-US" w:eastAsia="zh-CN"/>
              </w:rPr>
              <w:t>3、本项目位置不属于地下水保护区，须完善用水手续方可投入运营。</w:t>
            </w:r>
          </w:p>
          <w:p w14:paraId="5A3C55C8">
            <w:pPr>
              <w:numPr>
                <w:ilvl w:val="0"/>
                <w:numId w:val="0"/>
              </w:numPr>
              <w:jc w:val="both"/>
              <w:rPr>
                <w:rFonts w:hint="eastAsia"/>
                <w:lang w:val="en-US" w:eastAsia="zh-CN"/>
              </w:rPr>
            </w:pPr>
            <w:r>
              <w:rPr>
                <w:rFonts w:hint="eastAsia"/>
                <w:lang w:val="en-US" w:eastAsia="zh-CN"/>
              </w:rPr>
              <w:t>4、本项目取暖采用生物质锅炉取暖，生物质成型燃料”符合《生物质固体成型燃料技术条件》。</w:t>
            </w:r>
          </w:p>
        </w:tc>
        <w:tc>
          <w:tcPr>
            <w:tcW w:w="780" w:type="dxa"/>
            <w:tcBorders>
              <w:tl2br w:val="nil"/>
              <w:tr2bl w:val="nil"/>
            </w:tcBorders>
            <w:vAlign w:val="top"/>
          </w:tcPr>
          <w:p w14:paraId="3B8C40F8">
            <w:pPr>
              <w:jc w:val="center"/>
              <w:rPr>
                <w:rFonts w:hint="eastAsia"/>
                <w:lang w:eastAsia="zh-CN"/>
              </w:rPr>
            </w:pPr>
            <w:r>
              <w:rPr>
                <w:rFonts w:hint="eastAsia"/>
                <w:lang w:eastAsia="zh-CN"/>
              </w:rPr>
              <w:t>复合</w:t>
            </w:r>
          </w:p>
        </w:tc>
      </w:tr>
    </w:tbl>
    <w:p w14:paraId="53A4EB21">
      <w:pPr>
        <w:autoSpaceDE w:val="0"/>
        <w:autoSpaceDN w:val="0"/>
        <w:adjustRightInd w:val="0"/>
        <w:spacing w:line="360" w:lineRule="auto"/>
        <w:ind w:firstLine="480" w:firstLineChars="200"/>
        <w:jc w:val="left"/>
        <w:rPr>
          <w:bCs/>
          <w:color w:val="auto"/>
          <w:kern w:val="21"/>
          <w:sz w:val="24"/>
        </w:rPr>
      </w:pPr>
      <w:r>
        <w:rPr>
          <w:bCs/>
          <w:color w:val="auto"/>
          <w:kern w:val="21"/>
          <w:sz w:val="24"/>
        </w:rPr>
        <w:t>根据</w:t>
      </w:r>
      <w:r>
        <w:rPr>
          <w:rFonts w:hint="eastAsia"/>
          <w:bCs/>
          <w:color w:val="auto"/>
          <w:kern w:val="21"/>
          <w:sz w:val="24"/>
          <w:lang w:eastAsia="zh-CN"/>
        </w:rPr>
        <w:t>“辽宁省三线一单数据应用系统”</w:t>
      </w:r>
      <w:r>
        <w:rPr>
          <w:bCs/>
          <w:color w:val="auto"/>
          <w:kern w:val="21"/>
          <w:sz w:val="24"/>
        </w:rPr>
        <w:t>查询结果，项目所在位置部分位于北票市</w:t>
      </w:r>
      <w:r>
        <w:rPr>
          <w:rFonts w:hint="eastAsia"/>
          <w:bCs/>
          <w:color w:val="auto"/>
          <w:kern w:val="21"/>
          <w:sz w:val="24"/>
          <w:lang w:eastAsia="zh-CN"/>
        </w:rPr>
        <w:t>重点管控区</w:t>
      </w:r>
      <w:r>
        <w:rPr>
          <w:rFonts w:hint="eastAsia"/>
          <w:bCs/>
          <w:color w:val="auto"/>
          <w:kern w:val="21"/>
          <w:sz w:val="24"/>
          <w:lang w:val="en-US" w:eastAsia="zh-CN"/>
        </w:rPr>
        <w:t>4</w:t>
      </w:r>
      <w:r>
        <w:rPr>
          <w:bCs/>
          <w:color w:val="auto"/>
          <w:kern w:val="21"/>
          <w:sz w:val="24"/>
        </w:rPr>
        <w:t>（编码：ZH21138120007），位置与管控单元的关系见</w:t>
      </w:r>
      <w:r>
        <w:rPr>
          <w:rFonts w:hint="eastAsia"/>
          <w:bCs/>
          <w:color w:val="auto"/>
          <w:kern w:val="21"/>
          <w:sz w:val="24"/>
          <w:lang w:eastAsia="zh-CN"/>
        </w:rPr>
        <w:t>附图</w:t>
      </w:r>
      <w:r>
        <w:rPr>
          <w:bCs/>
          <w:color w:val="auto"/>
          <w:kern w:val="21"/>
          <w:sz w:val="24"/>
        </w:rPr>
        <w:t>。与各单元管控要求相符性分析见</w:t>
      </w:r>
      <w:r>
        <w:rPr>
          <w:rFonts w:hint="eastAsia"/>
          <w:bCs/>
          <w:color w:val="auto"/>
          <w:kern w:val="21"/>
          <w:sz w:val="24"/>
          <w:lang w:eastAsia="zh-CN"/>
        </w:rPr>
        <w:t>下</w:t>
      </w:r>
      <w:r>
        <w:rPr>
          <w:bCs/>
          <w:color w:val="auto"/>
          <w:kern w:val="21"/>
          <w:sz w:val="24"/>
        </w:rPr>
        <w:t>表。</w:t>
      </w:r>
    </w:p>
    <w:p w14:paraId="7D6F8B5F">
      <w:pPr>
        <w:autoSpaceDE w:val="0"/>
        <w:autoSpaceDN w:val="0"/>
        <w:adjustRightInd w:val="0"/>
        <w:spacing w:line="240" w:lineRule="auto"/>
        <w:ind w:firstLine="422" w:firstLineChars="200"/>
        <w:jc w:val="center"/>
        <w:rPr>
          <w:rFonts w:hint="eastAsia"/>
          <w:b/>
          <w:bCs w:val="0"/>
          <w:color w:val="auto"/>
          <w:kern w:val="21"/>
          <w:sz w:val="21"/>
          <w:szCs w:val="21"/>
          <w:lang w:val="en-US" w:eastAsia="zh-CN"/>
        </w:rPr>
      </w:pPr>
      <w:r>
        <w:rPr>
          <w:rFonts w:hint="eastAsia"/>
          <w:b/>
          <w:bCs w:val="0"/>
          <w:color w:val="auto"/>
          <w:kern w:val="21"/>
          <w:sz w:val="21"/>
          <w:szCs w:val="21"/>
          <w:lang w:val="en-US" w:eastAsia="zh-CN"/>
        </w:rPr>
        <w:t>表1.5-9   与朝阳市管控单元生态环境准入清单符合性分析</w:t>
      </w:r>
    </w:p>
    <w:tbl>
      <w:tblPr>
        <w:tblStyle w:val="54"/>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0"/>
        <w:gridCol w:w="871"/>
        <w:gridCol w:w="810"/>
        <w:gridCol w:w="810"/>
        <w:gridCol w:w="3187"/>
        <w:gridCol w:w="1309"/>
        <w:gridCol w:w="611"/>
      </w:tblGrid>
      <w:tr w14:paraId="44D7B83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5" w:type="pct"/>
            <w:tcBorders>
              <w:tl2br w:val="nil"/>
              <w:tr2bl w:val="nil"/>
            </w:tcBorders>
            <w:vAlign w:val="center"/>
          </w:tcPr>
          <w:p w14:paraId="183D6698">
            <w:pPr>
              <w:jc w:val="center"/>
            </w:pPr>
            <w:r>
              <w:t>管控单元编码</w:t>
            </w:r>
          </w:p>
        </w:tc>
        <w:tc>
          <w:tcPr>
            <w:tcW w:w="510" w:type="pct"/>
            <w:tcBorders>
              <w:tl2br w:val="nil"/>
              <w:tr2bl w:val="nil"/>
            </w:tcBorders>
            <w:vAlign w:val="center"/>
          </w:tcPr>
          <w:p w14:paraId="11061FAC">
            <w:pPr>
              <w:jc w:val="center"/>
            </w:pPr>
            <w:r>
              <w:t>管控单元名称</w:t>
            </w:r>
          </w:p>
        </w:tc>
        <w:tc>
          <w:tcPr>
            <w:tcW w:w="474" w:type="pct"/>
            <w:tcBorders>
              <w:tl2br w:val="nil"/>
              <w:tr2bl w:val="nil"/>
            </w:tcBorders>
            <w:vAlign w:val="center"/>
          </w:tcPr>
          <w:p w14:paraId="6DB3400F">
            <w:pPr>
              <w:jc w:val="center"/>
            </w:pPr>
            <w:r>
              <w:t>管控单元分类</w:t>
            </w:r>
          </w:p>
        </w:tc>
        <w:tc>
          <w:tcPr>
            <w:tcW w:w="474" w:type="pct"/>
            <w:tcBorders>
              <w:tl2br w:val="nil"/>
              <w:tr2bl w:val="nil"/>
            </w:tcBorders>
            <w:vAlign w:val="center"/>
          </w:tcPr>
          <w:p w14:paraId="0D0E34A4">
            <w:pPr>
              <w:jc w:val="center"/>
            </w:pPr>
            <w:r>
              <w:t>管控项目</w:t>
            </w:r>
          </w:p>
        </w:tc>
        <w:tc>
          <w:tcPr>
            <w:tcW w:w="1868" w:type="pct"/>
            <w:tcBorders>
              <w:tl2br w:val="nil"/>
              <w:tr2bl w:val="nil"/>
            </w:tcBorders>
            <w:vAlign w:val="center"/>
          </w:tcPr>
          <w:p w14:paraId="00CF90D6">
            <w:pPr>
              <w:jc w:val="center"/>
            </w:pPr>
            <w:r>
              <w:t>管控内容</w:t>
            </w:r>
          </w:p>
        </w:tc>
        <w:tc>
          <w:tcPr>
            <w:tcW w:w="767" w:type="pct"/>
            <w:tcBorders>
              <w:tl2br w:val="nil"/>
              <w:tr2bl w:val="nil"/>
            </w:tcBorders>
            <w:vAlign w:val="center"/>
          </w:tcPr>
          <w:p w14:paraId="602FE8D2">
            <w:pPr>
              <w:jc w:val="center"/>
            </w:pPr>
            <w:r>
              <w:t>本项目情况</w:t>
            </w:r>
          </w:p>
        </w:tc>
        <w:tc>
          <w:tcPr>
            <w:tcW w:w="358" w:type="pct"/>
            <w:tcBorders>
              <w:tl2br w:val="nil"/>
              <w:tr2bl w:val="nil"/>
            </w:tcBorders>
            <w:vAlign w:val="center"/>
          </w:tcPr>
          <w:p w14:paraId="50D254F8">
            <w:pPr>
              <w:jc w:val="center"/>
            </w:pPr>
            <w:r>
              <w:t>符合性</w:t>
            </w:r>
          </w:p>
        </w:tc>
      </w:tr>
      <w:tr w14:paraId="72C973E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5" w:type="pct"/>
            <w:vMerge w:val="restart"/>
            <w:tcBorders>
              <w:tl2br w:val="nil"/>
              <w:tr2bl w:val="nil"/>
            </w:tcBorders>
            <w:vAlign w:val="center"/>
          </w:tcPr>
          <w:p w14:paraId="0E8B19D6">
            <w:pPr>
              <w:jc w:val="center"/>
            </w:pPr>
            <w:r>
              <w:t>ZH21138120007</w:t>
            </w:r>
          </w:p>
        </w:tc>
        <w:tc>
          <w:tcPr>
            <w:tcW w:w="510" w:type="pct"/>
            <w:vMerge w:val="restart"/>
            <w:tcBorders>
              <w:tl2br w:val="nil"/>
              <w:tr2bl w:val="nil"/>
            </w:tcBorders>
            <w:vAlign w:val="center"/>
          </w:tcPr>
          <w:p w14:paraId="37779E6E">
            <w:pPr>
              <w:jc w:val="center"/>
            </w:pPr>
            <w:r>
              <w:rPr>
                <w:rFonts w:hint="eastAsia"/>
                <w:lang w:eastAsia="zh-CN"/>
              </w:rPr>
              <w:t>朝阳市</w:t>
            </w:r>
            <w:r>
              <w:t>北票市</w:t>
            </w:r>
            <w:r>
              <w:rPr>
                <w:rFonts w:hint="eastAsia"/>
                <w:lang w:eastAsia="zh-CN"/>
              </w:rPr>
              <w:t>重点管控区</w:t>
            </w:r>
            <w:r>
              <w:rPr>
                <w:rFonts w:hint="eastAsia"/>
                <w:lang w:val="en-US" w:eastAsia="zh-CN"/>
              </w:rPr>
              <w:t>4</w:t>
            </w:r>
          </w:p>
        </w:tc>
        <w:tc>
          <w:tcPr>
            <w:tcW w:w="474" w:type="pct"/>
            <w:vMerge w:val="restart"/>
            <w:tcBorders>
              <w:tl2br w:val="nil"/>
              <w:tr2bl w:val="nil"/>
            </w:tcBorders>
            <w:vAlign w:val="center"/>
          </w:tcPr>
          <w:p w14:paraId="591939BC">
            <w:pPr>
              <w:jc w:val="center"/>
            </w:pPr>
            <w:r>
              <w:rPr>
                <w:rFonts w:hint="eastAsia"/>
                <w:lang w:eastAsia="zh-CN"/>
              </w:rPr>
              <w:t>重点管控区</w:t>
            </w:r>
          </w:p>
        </w:tc>
        <w:tc>
          <w:tcPr>
            <w:tcW w:w="474" w:type="pct"/>
            <w:tcBorders>
              <w:tl2br w:val="nil"/>
              <w:tr2bl w:val="nil"/>
            </w:tcBorders>
            <w:vAlign w:val="center"/>
          </w:tcPr>
          <w:p w14:paraId="28081C38">
            <w:pPr>
              <w:jc w:val="center"/>
            </w:pPr>
            <w:r>
              <w:t>空间布局约束</w:t>
            </w:r>
          </w:p>
        </w:tc>
        <w:tc>
          <w:tcPr>
            <w:tcW w:w="1868" w:type="pct"/>
            <w:tcBorders>
              <w:tl2br w:val="nil"/>
              <w:tr2bl w:val="nil"/>
            </w:tcBorders>
          </w:tcPr>
          <w:p w14:paraId="0ECD89E8">
            <w:pPr>
              <w:numPr>
                <w:ilvl w:val="0"/>
                <w:numId w:val="0"/>
              </w:numPr>
            </w:pPr>
            <w:r>
              <w:rPr>
                <w:rFonts w:hint="eastAsia"/>
                <w:lang w:val="en-US" w:eastAsia="zh-CN"/>
              </w:rPr>
              <w:t>1.</w:t>
            </w:r>
            <w:r>
              <w:t>遵守《自然生态空间用途管制办法（试行）》生态保护红线以外的生态空间原则上按照限制开发区域管理，从严控制生态空间转为城镇空间和农业空间。依法控制新增建设占用生态保护红线外的生态空间；严格限制农业开发占用生态保护红线外的生态空间，符合条件的农业开发项目，须依法由市县级及以上地方人民政府统筹安排。</w:t>
            </w:r>
          </w:p>
          <w:p w14:paraId="7B63D2A7">
            <w:pPr>
              <w:numPr>
                <w:ilvl w:val="0"/>
                <w:numId w:val="0"/>
              </w:numPr>
              <w:ind w:leftChars="0"/>
            </w:pPr>
            <w:r>
              <w:rPr>
                <w:rFonts w:hint="eastAsia"/>
                <w:lang w:val="en-US" w:eastAsia="zh-CN"/>
              </w:rPr>
              <w:t>2.</w:t>
            </w:r>
            <w:r>
              <w:t>干流和受养殖污染影响较大的支流沿岸依法划定300米至500米的禁（限）养区；对禁（限）养区内养殖场户实施搬迁关闭整治工作。</w:t>
            </w:r>
          </w:p>
          <w:p w14:paraId="5A76CA94">
            <w:pPr>
              <w:numPr>
                <w:ilvl w:val="0"/>
                <w:numId w:val="0"/>
              </w:numPr>
              <w:ind w:leftChars="0"/>
            </w:pPr>
            <w:r>
              <w:t>3.基本农田，实行严格保护，确保其面积不减少、土壤环境质量不下降，除法律规定的重点建设项目选址确实无法避让外，其他任何建设不得占用。</w:t>
            </w:r>
          </w:p>
        </w:tc>
        <w:tc>
          <w:tcPr>
            <w:tcW w:w="767" w:type="pct"/>
            <w:tcBorders>
              <w:tl2br w:val="nil"/>
              <w:tr2bl w:val="nil"/>
            </w:tcBorders>
          </w:tcPr>
          <w:p w14:paraId="0621A997">
            <w:pPr>
              <w:rPr>
                <w:rFonts w:hint="eastAsia" w:eastAsia="宋体"/>
                <w:lang w:eastAsia="zh-CN"/>
              </w:rPr>
            </w:pPr>
            <w:r>
              <w:t>项目所在地位于</w:t>
            </w:r>
            <w:r>
              <w:rPr>
                <w:rFonts w:hint="eastAsia"/>
                <w:lang w:eastAsia="zh-CN"/>
              </w:rPr>
              <w:t>北票市西官镇大巴里村</w:t>
            </w:r>
            <w:r>
              <w:t>，</w:t>
            </w:r>
            <w:r>
              <w:rPr>
                <w:rFonts w:hint="eastAsia"/>
              </w:rPr>
              <w:t>所占地为农业设施用地</w:t>
            </w:r>
            <w:r>
              <w:rPr>
                <w:rFonts w:hint="eastAsia"/>
                <w:lang w:eastAsia="zh-CN"/>
              </w:rPr>
              <w:t>（用地手续正在办理中）</w:t>
            </w:r>
            <w:r>
              <w:rPr>
                <w:rFonts w:hint="eastAsia"/>
              </w:rPr>
              <w:t>，</w:t>
            </w:r>
            <w:r>
              <w:t>项目不占用基本农田</w:t>
            </w:r>
            <w:r>
              <w:rPr>
                <w:rFonts w:hint="eastAsia"/>
                <w:lang w:eastAsia="zh-CN"/>
              </w:rPr>
              <w:t>，</w:t>
            </w:r>
            <w:r>
              <w:t>且雨污分流，不会造成土壤质量下降</w:t>
            </w:r>
            <w:r>
              <w:rPr>
                <w:rFonts w:hint="eastAsia"/>
                <w:lang w:eastAsia="zh-CN"/>
              </w:rPr>
              <w:t>。</w:t>
            </w:r>
            <w:r>
              <w:t>项目</w:t>
            </w:r>
            <w:r>
              <w:rPr>
                <w:rFonts w:hint="eastAsia"/>
                <w:lang w:eastAsia="zh-CN"/>
              </w:rPr>
              <w:t>不在禁（限）养区范围内。</w:t>
            </w:r>
          </w:p>
        </w:tc>
        <w:tc>
          <w:tcPr>
            <w:tcW w:w="358" w:type="pct"/>
            <w:tcBorders>
              <w:tl2br w:val="nil"/>
              <w:tr2bl w:val="nil"/>
            </w:tcBorders>
            <w:vAlign w:val="center"/>
          </w:tcPr>
          <w:p w14:paraId="1A9607E1">
            <w:pPr>
              <w:jc w:val="center"/>
              <w:rPr>
                <w:rFonts w:hint="eastAsia" w:eastAsia="宋体"/>
                <w:lang w:eastAsia="zh-CN"/>
              </w:rPr>
            </w:pPr>
            <w:r>
              <w:rPr>
                <w:rFonts w:hint="eastAsia"/>
                <w:lang w:eastAsia="zh-CN"/>
              </w:rPr>
              <w:t>符合</w:t>
            </w:r>
          </w:p>
        </w:tc>
      </w:tr>
      <w:tr w14:paraId="09B0CA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tl2br w:val="nil"/>
              <w:tr2bl w:val="nil"/>
            </w:tcBorders>
          </w:tcPr>
          <w:p w14:paraId="3C4CB02E"/>
        </w:tc>
        <w:tc>
          <w:tcPr>
            <w:tcW w:w="510" w:type="pct"/>
            <w:vMerge w:val="continue"/>
            <w:tcBorders>
              <w:tl2br w:val="nil"/>
              <w:tr2bl w:val="nil"/>
            </w:tcBorders>
          </w:tcPr>
          <w:p w14:paraId="007C7A23"/>
        </w:tc>
        <w:tc>
          <w:tcPr>
            <w:tcW w:w="474" w:type="pct"/>
            <w:vMerge w:val="continue"/>
            <w:tcBorders>
              <w:tl2br w:val="nil"/>
              <w:tr2bl w:val="nil"/>
            </w:tcBorders>
          </w:tcPr>
          <w:p w14:paraId="62626703"/>
        </w:tc>
        <w:tc>
          <w:tcPr>
            <w:tcW w:w="474" w:type="pct"/>
            <w:tcBorders>
              <w:tl2br w:val="nil"/>
              <w:tr2bl w:val="nil"/>
            </w:tcBorders>
            <w:vAlign w:val="center"/>
          </w:tcPr>
          <w:p w14:paraId="3F2F5BBD">
            <w:pPr>
              <w:jc w:val="center"/>
            </w:pPr>
            <w:r>
              <w:t>污染物排放管控</w:t>
            </w:r>
          </w:p>
        </w:tc>
        <w:tc>
          <w:tcPr>
            <w:tcW w:w="1868" w:type="pct"/>
            <w:tcBorders>
              <w:tl2br w:val="nil"/>
              <w:tr2bl w:val="nil"/>
            </w:tcBorders>
          </w:tcPr>
          <w:p w14:paraId="26DA0CF7">
            <w:pPr>
              <w:numPr>
                <w:ilvl w:val="0"/>
                <w:numId w:val="0"/>
              </w:numPr>
            </w:pPr>
            <w:r>
              <w:rPr>
                <w:rFonts w:hint="eastAsia"/>
                <w:lang w:val="en-US" w:eastAsia="zh-CN"/>
              </w:rPr>
              <w:t>1.</w:t>
            </w:r>
            <w:r>
              <w:t>畜禽养殖场、养殖小区应当按照国家和省有关规定将畜禽粪便、废水进行综合利用或者无害化处理；规模化畜禽养殖场、养殖小区应当配套建设粪便污水贮存、处理、利用设施，推进粪便污水资源化利用；养殖专业户应当建设防雨、防渗、防漏、防外溢的粪便污水收集贮存设施，采用堆肥处理等措施实现粪便污水综合利用。</w:t>
            </w:r>
          </w:p>
          <w:p w14:paraId="718ECEB8">
            <w:pPr>
              <w:numPr>
                <w:ilvl w:val="0"/>
                <w:numId w:val="0"/>
              </w:numPr>
            </w:pPr>
            <w:r>
              <w:t>2.从2021年1月1日起，全面执行国家排放标准大气污染物特别排放限值；推进工业企业污染治理设施升级改造，逐步推进生物质燃料锅炉污染治理设施升级改造，工业污染源全面达标排放；加强堆场扬尘和施工扬尘治理；热电企业完成超低排放改造和无组织排放深度治理；实施钢铁等行业超低排放改造和无组织排放深度治理，推进挥发性有机物综合整治。</w:t>
            </w:r>
          </w:p>
          <w:p w14:paraId="071E1226">
            <w:pPr>
              <w:numPr>
                <w:ilvl w:val="0"/>
                <w:numId w:val="0"/>
              </w:numPr>
            </w:pPr>
            <w:r>
              <w:t>3.加强农业面源污染防治，加大种养业特别是规模化畜禽养殖污染防治力度，引导农民使用生物农药或高效、低毒、低残留农药，对农药包装进行无害化处理。</w:t>
            </w:r>
          </w:p>
        </w:tc>
        <w:tc>
          <w:tcPr>
            <w:tcW w:w="767" w:type="pct"/>
            <w:tcBorders>
              <w:tl2br w:val="nil"/>
              <w:tr2bl w:val="nil"/>
            </w:tcBorders>
          </w:tcPr>
          <w:p w14:paraId="182EF241">
            <w:pPr>
              <w:rPr>
                <w:rFonts w:hint="eastAsia" w:eastAsia="宋体"/>
                <w:lang w:eastAsia="zh-CN"/>
              </w:rPr>
            </w:pPr>
            <w:r>
              <w:rPr>
                <w:rFonts w:hint="eastAsia" w:eastAsia="宋体"/>
                <w:lang w:eastAsia="zh-CN"/>
              </w:rPr>
              <w:t>项目产生的</w:t>
            </w:r>
            <w:r>
              <w:rPr>
                <w:rFonts w:hint="eastAsia"/>
                <w:lang w:eastAsia="zh-CN"/>
              </w:rPr>
              <w:t>粪便委托公司进行处置，厂区设置防雨、防渗、防漏、房外溢的粪便贮存池</w:t>
            </w:r>
            <w:r>
              <w:rPr>
                <w:rFonts w:hint="eastAsia" w:eastAsia="宋体"/>
                <w:lang w:eastAsia="zh-CN"/>
              </w:rPr>
              <w:t>。本项目</w:t>
            </w:r>
            <w:r>
              <w:rPr>
                <w:rFonts w:hint="eastAsia"/>
                <w:lang w:eastAsia="zh-CN"/>
              </w:rPr>
              <w:t>冬季取暖采用生物质锅炉供暖，配套建设污染防治设施，确保污染物达标排放。</w:t>
            </w:r>
          </w:p>
        </w:tc>
        <w:tc>
          <w:tcPr>
            <w:tcW w:w="358" w:type="pct"/>
            <w:tcBorders>
              <w:tl2br w:val="nil"/>
              <w:tr2bl w:val="nil"/>
            </w:tcBorders>
            <w:vAlign w:val="center"/>
          </w:tcPr>
          <w:p w14:paraId="3D5FFD3D">
            <w:pPr>
              <w:jc w:val="center"/>
              <w:rPr>
                <w:rFonts w:hint="eastAsia" w:eastAsia="宋体"/>
                <w:lang w:eastAsia="zh-CN"/>
              </w:rPr>
            </w:pPr>
            <w:r>
              <w:rPr>
                <w:rFonts w:hint="eastAsia"/>
                <w:lang w:eastAsia="zh-CN"/>
              </w:rPr>
              <w:t>符合</w:t>
            </w:r>
          </w:p>
        </w:tc>
      </w:tr>
      <w:tr w14:paraId="40873FA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tl2br w:val="nil"/>
              <w:tr2bl w:val="nil"/>
            </w:tcBorders>
          </w:tcPr>
          <w:p w14:paraId="06E023AA"/>
        </w:tc>
        <w:tc>
          <w:tcPr>
            <w:tcW w:w="510" w:type="pct"/>
            <w:vMerge w:val="continue"/>
            <w:tcBorders>
              <w:tl2br w:val="nil"/>
              <w:tr2bl w:val="nil"/>
            </w:tcBorders>
          </w:tcPr>
          <w:p w14:paraId="62EA175C"/>
        </w:tc>
        <w:tc>
          <w:tcPr>
            <w:tcW w:w="474" w:type="pct"/>
            <w:vMerge w:val="continue"/>
            <w:tcBorders>
              <w:tl2br w:val="nil"/>
              <w:tr2bl w:val="nil"/>
            </w:tcBorders>
          </w:tcPr>
          <w:p w14:paraId="6732686D"/>
        </w:tc>
        <w:tc>
          <w:tcPr>
            <w:tcW w:w="474" w:type="pct"/>
            <w:tcBorders>
              <w:tl2br w:val="nil"/>
              <w:tr2bl w:val="nil"/>
            </w:tcBorders>
            <w:vAlign w:val="center"/>
          </w:tcPr>
          <w:p w14:paraId="148D3F5E">
            <w:pPr>
              <w:jc w:val="center"/>
            </w:pPr>
            <w:r>
              <w:t>环境风险防控</w:t>
            </w:r>
          </w:p>
        </w:tc>
        <w:tc>
          <w:tcPr>
            <w:tcW w:w="1868" w:type="pct"/>
            <w:tcBorders>
              <w:tl2br w:val="nil"/>
              <w:tr2bl w:val="nil"/>
            </w:tcBorders>
          </w:tcPr>
          <w:p w14:paraId="009CE615">
            <w:pPr>
              <w:numPr>
                <w:ilvl w:val="0"/>
                <w:numId w:val="0"/>
              </w:numPr>
            </w:pPr>
            <w:r>
              <w:rPr>
                <w:rFonts w:hint="eastAsia"/>
                <w:lang w:val="en-US" w:eastAsia="zh-CN"/>
              </w:rPr>
              <w:t>1.</w:t>
            </w:r>
            <w:r>
              <w:t>加大执法检查力度，推动辖区内化工企业落实安全生产和环境保护主体责任，提升突发环境事件风险防控能力。</w:t>
            </w:r>
          </w:p>
          <w:p w14:paraId="5247B89F">
            <w:pPr>
              <w:numPr>
                <w:ilvl w:val="0"/>
                <w:numId w:val="0"/>
              </w:numPr>
            </w:pPr>
            <w:r>
              <w:t>2.严格落实大气污染物达标排放、总量控制、环保设施“三同时”、在线监测、排污许可等环保制度。</w:t>
            </w:r>
          </w:p>
          <w:p w14:paraId="2959A543">
            <w:pPr>
              <w:numPr>
                <w:ilvl w:val="0"/>
                <w:numId w:val="0"/>
              </w:numPr>
            </w:pPr>
            <w:r>
              <w:t>3.优先保护耕地土壤环境，强化乡镇工业污染场地治理，开展土壤污染治理与修复试点工作。</w:t>
            </w:r>
          </w:p>
        </w:tc>
        <w:tc>
          <w:tcPr>
            <w:tcW w:w="767" w:type="pct"/>
            <w:tcBorders>
              <w:tl2br w:val="nil"/>
              <w:tr2bl w:val="nil"/>
            </w:tcBorders>
          </w:tcPr>
          <w:p w14:paraId="40BADEEB">
            <w:r>
              <w:t>项目产生的防疫废物委托有资质单位收集处置。</w:t>
            </w:r>
          </w:p>
        </w:tc>
        <w:tc>
          <w:tcPr>
            <w:tcW w:w="358" w:type="pct"/>
            <w:tcBorders>
              <w:tl2br w:val="nil"/>
              <w:tr2bl w:val="nil"/>
            </w:tcBorders>
            <w:vAlign w:val="center"/>
          </w:tcPr>
          <w:p w14:paraId="4DAD7FF9">
            <w:pPr>
              <w:jc w:val="center"/>
              <w:rPr>
                <w:rFonts w:hint="eastAsia" w:eastAsia="宋体"/>
                <w:lang w:eastAsia="zh-CN"/>
              </w:rPr>
            </w:pPr>
            <w:r>
              <w:rPr>
                <w:rFonts w:hint="eastAsia"/>
                <w:lang w:eastAsia="zh-CN"/>
              </w:rPr>
              <w:t>符合</w:t>
            </w:r>
          </w:p>
        </w:tc>
      </w:tr>
      <w:tr w14:paraId="1E9B61B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tl2br w:val="nil"/>
              <w:tr2bl w:val="nil"/>
            </w:tcBorders>
          </w:tcPr>
          <w:p w14:paraId="4A258DE9"/>
        </w:tc>
        <w:tc>
          <w:tcPr>
            <w:tcW w:w="510" w:type="pct"/>
            <w:vMerge w:val="continue"/>
            <w:tcBorders>
              <w:tl2br w:val="nil"/>
              <w:tr2bl w:val="nil"/>
            </w:tcBorders>
          </w:tcPr>
          <w:p w14:paraId="624623E4"/>
        </w:tc>
        <w:tc>
          <w:tcPr>
            <w:tcW w:w="474" w:type="pct"/>
            <w:vMerge w:val="continue"/>
            <w:tcBorders>
              <w:tl2br w:val="nil"/>
              <w:tr2bl w:val="nil"/>
            </w:tcBorders>
          </w:tcPr>
          <w:p w14:paraId="10A9C9A6"/>
        </w:tc>
        <w:tc>
          <w:tcPr>
            <w:tcW w:w="474" w:type="pct"/>
            <w:tcBorders>
              <w:tl2br w:val="nil"/>
              <w:tr2bl w:val="nil"/>
            </w:tcBorders>
            <w:vAlign w:val="center"/>
          </w:tcPr>
          <w:p w14:paraId="549D6400">
            <w:pPr>
              <w:jc w:val="center"/>
            </w:pPr>
            <w:r>
              <w:t>资源开发效率要求</w:t>
            </w:r>
          </w:p>
        </w:tc>
        <w:tc>
          <w:tcPr>
            <w:tcW w:w="1868" w:type="pct"/>
            <w:tcBorders>
              <w:tl2br w:val="nil"/>
              <w:tr2bl w:val="nil"/>
            </w:tcBorders>
          </w:tcPr>
          <w:p w14:paraId="1127A433">
            <w:pPr>
              <w:numPr>
                <w:ilvl w:val="0"/>
                <w:numId w:val="0"/>
              </w:numPr>
            </w:pPr>
            <w:r>
              <w:rPr>
                <w:rFonts w:hint="eastAsia"/>
                <w:lang w:val="en-US" w:eastAsia="zh-CN"/>
              </w:rPr>
              <w:t>1.</w:t>
            </w:r>
            <w:r>
              <w:t>控制煤炭消费总量，严把新上、改扩建耗煤项目立项，对未实行煤炭消费减量替代的耗煤项目一律不予立项。</w:t>
            </w:r>
          </w:p>
          <w:p w14:paraId="58D45CF5">
            <w:pPr>
              <w:numPr>
                <w:ilvl w:val="0"/>
                <w:numId w:val="0"/>
              </w:numPr>
            </w:pPr>
            <w:r>
              <w:t>2.实施水资源总量控制，严格计划用水管理；加快推广农业节水技术和措施，提高农田灌溉水资源利用效率，未依法完成水资源论证工作的建设项目，不予批准</w:t>
            </w:r>
          </w:p>
        </w:tc>
        <w:tc>
          <w:tcPr>
            <w:tcW w:w="767" w:type="pct"/>
            <w:tcBorders>
              <w:tl2br w:val="nil"/>
              <w:tr2bl w:val="nil"/>
            </w:tcBorders>
          </w:tcPr>
          <w:p w14:paraId="102A8831">
            <w:r>
              <w:rPr>
                <w:rFonts w:hint="eastAsia"/>
                <w:lang w:eastAsia="zh-CN"/>
              </w:rPr>
              <w:t>本项目冬季取暖采用生物质锅炉进行供暖，不涉及化石燃料使用；</w:t>
            </w:r>
            <w:r>
              <w:t>项目用水来自厂区水井供给</w:t>
            </w:r>
            <w:r>
              <w:rPr>
                <w:rFonts w:hint="eastAsia"/>
                <w:lang w:eastAsia="zh-CN"/>
              </w:rPr>
              <w:t>，</w:t>
            </w:r>
            <w:r>
              <w:rPr>
                <w:rFonts w:hint="eastAsia"/>
                <w:lang w:val="en-US" w:eastAsia="zh-CN"/>
              </w:rPr>
              <w:t>本项目工作人员生活用水量较小，由厂区水井供给，清洗用水安装节水型设备和器具，对项目区域水资源的消耗较小。</w:t>
            </w:r>
          </w:p>
        </w:tc>
        <w:tc>
          <w:tcPr>
            <w:tcW w:w="358" w:type="pct"/>
            <w:tcBorders>
              <w:tl2br w:val="nil"/>
              <w:tr2bl w:val="nil"/>
            </w:tcBorders>
            <w:vAlign w:val="center"/>
          </w:tcPr>
          <w:p w14:paraId="7CBDE720">
            <w:pPr>
              <w:jc w:val="center"/>
              <w:rPr>
                <w:rFonts w:hint="eastAsia" w:eastAsia="宋体"/>
                <w:lang w:eastAsia="zh-CN"/>
              </w:rPr>
            </w:pPr>
            <w:r>
              <w:rPr>
                <w:rFonts w:hint="eastAsia"/>
                <w:lang w:eastAsia="zh-CN"/>
              </w:rPr>
              <w:t>符合</w:t>
            </w:r>
          </w:p>
        </w:tc>
      </w:tr>
    </w:tbl>
    <w:p w14:paraId="2E8831D7">
      <w:pPr>
        <w:autoSpaceDE w:val="0"/>
        <w:autoSpaceDN w:val="0"/>
        <w:adjustRightInd w:val="0"/>
        <w:spacing w:line="360" w:lineRule="auto"/>
        <w:jc w:val="left"/>
        <w:rPr>
          <w:bCs/>
          <w:color w:val="auto"/>
          <w:kern w:val="21"/>
          <w:sz w:val="24"/>
        </w:rPr>
      </w:pPr>
      <w:r>
        <w:drawing>
          <wp:inline distT="0" distB="0" distL="114300" distR="114300">
            <wp:extent cx="5167630" cy="2337435"/>
            <wp:effectExtent l="0" t="0" r="13970" b="5715"/>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17"/>
                    <a:stretch>
                      <a:fillRect/>
                    </a:stretch>
                  </pic:blipFill>
                  <pic:spPr>
                    <a:xfrm>
                      <a:off x="0" y="0"/>
                      <a:ext cx="5167630" cy="2337435"/>
                    </a:xfrm>
                    <a:prstGeom prst="rect">
                      <a:avLst/>
                    </a:prstGeom>
                    <a:noFill/>
                    <a:ln>
                      <a:noFill/>
                    </a:ln>
                  </pic:spPr>
                </pic:pic>
              </a:graphicData>
            </a:graphic>
          </wp:inline>
        </w:drawing>
      </w:r>
    </w:p>
    <w:p w14:paraId="7C0CA53B">
      <w:pPr>
        <w:autoSpaceDE w:val="0"/>
        <w:autoSpaceDN w:val="0"/>
        <w:adjustRightInd w:val="0"/>
        <w:spacing w:line="360" w:lineRule="auto"/>
        <w:jc w:val="left"/>
        <w:rPr>
          <w:bCs/>
          <w:color w:val="auto"/>
          <w:kern w:val="21"/>
          <w:sz w:val="24"/>
        </w:rPr>
      </w:pPr>
      <w:r>
        <w:drawing>
          <wp:inline distT="0" distB="0" distL="114300" distR="114300">
            <wp:extent cx="5172710" cy="2586355"/>
            <wp:effectExtent l="0" t="0" r="8890" b="4445"/>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18"/>
                    <a:stretch>
                      <a:fillRect/>
                    </a:stretch>
                  </pic:blipFill>
                  <pic:spPr>
                    <a:xfrm>
                      <a:off x="0" y="0"/>
                      <a:ext cx="5172710" cy="2586355"/>
                    </a:xfrm>
                    <a:prstGeom prst="rect">
                      <a:avLst/>
                    </a:prstGeom>
                    <a:noFill/>
                    <a:ln>
                      <a:noFill/>
                    </a:ln>
                  </pic:spPr>
                </pic:pic>
              </a:graphicData>
            </a:graphic>
          </wp:inline>
        </w:drawing>
      </w:r>
    </w:p>
    <w:p w14:paraId="28DFBEBB">
      <w:pPr>
        <w:autoSpaceDE w:val="0"/>
        <w:autoSpaceDN w:val="0"/>
        <w:adjustRightInd w:val="0"/>
        <w:spacing w:line="360" w:lineRule="auto"/>
        <w:jc w:val="center"/>
        <w:rPr>
          <w:rFonts w:hint="default" w:eastAsia="宋体"/>
          <w:b/>
          <w:bCs w:val="0"/>
          <w:color w:val="auto"/>
          <w:kern w:val="21"/>
          <w:sz w:val="24"/>
          <w:lang w:val="en-US" w:eastAsia="zh-CN"/>
        </w:rPr>
      </w:pPr>
      <w:r>
        <w:rPr>
          <w:rFonts w:hint="eastAsia"/>
          <w:b/>
          <w:bCs w:val="0"/>
          <w:color w:val="auto"/>
          <w:kern w:val="21"/>
          <w:sz w:val="24"/>
          <w:lang w:eastAsia="zh-CN"/>
        </w:rPr>
        <w:t>图</w:t>
      </w:r>
      <w:r>
        <w:rPr>
          <w:rFonts w:hint="eastAsia"/>
          <w:b/>
          <w:bCs w:val="0"/>
          <w:color w:val="auto"/>
          <w:kern w:val="21"/>
          <w:sz w:val="24"/>
          <w:lang w:val="en-US" w:eastAsia="zh-CN"/>
        </w:rPr>
        <w:t>1.5-1    本项目与朝阳市管控单元位置关系</w:t>
      </w:r>
    </w:p>
    <w:p w14:paraId="400AB651">
      <w:pPr>
        <w:spacing w:before="37" w:line="345" w:lineRule="auto"/>
        <w:ind w:left="123" w:right="108" w:firstLine="476"/>
        <w:rPr>
          <w:bCs/>
          <w:color w:val="auto"/>
          <w:kern w:val="21"/>
          <w:sz w:val="24"/>
        </w:rPr>
      </w:pPr>
      <w:r>
        <w:rPr>
          <w:rFonts w:ascii="宋体" w:hAnsi="宋体" w:eastAsia="宋体" w:cs="宋体"/>
          <w:spacing w:val="-2"/>
          <w:sz w:val="24"/>
          <w:szCs w:val="24"/>
        </w:rPr>
        <w:t>通过以上分析，本项目符合朝阳市生态环境准入总体管控要求和朝阳市北票市管控单元生态环境准入清单要求。</w:t>
      </w:r>
    </w:p>
    <w:p w14:paraId="766FD61C">
      <w:pPr>
        <w:pStyle w:val="3"/>
        <w:jc w:val="both"/>
        <w:rPr>
          <w:rFonts w:eastAsia="宋体"/>
          <w:color w:val="auto"/>
        </w:rPr>
      </w:pPr>
      <w:bookmarkStart w:id="83" w:name="_Toc28301"/>
      <w:bookmarkStart w:id="84" w:name="_Toc32032"/>
      <w:r>
        <w:rPr>
          <w:rFonts w:eastAsia="宋体"/>
          <w:color w:val="auto"/>
        </w:rPr>
        <w:t>1.6环境影响报告书主要结论</w:t>
      </w:r>
      <w:bookmarkEnd w:id="74"/>
      <w:bookmarkEnd w:id="83"/>
      <w:bookmarkEnd w:id="84"/>
    </w:p>
    <w:p w14:paraId="66A8FAF5">
      <w:pPr>
        <w:spacing w:line="360" w:lineRule="auto"/>
        <w:ind w:firstLine="480" w:firstLineChars="200"/>
        <w:rPr>
          <w:color w:val="auto"/>
          <w:kern w:val="0"/>
          <w:sz w:val="24"/>
        </w:rPr>
      </w:pPr>
      <w:r>
        <w:rPr>
          <w:color w:val="auto"/>
          <w:kern w:val="0"/>
          <w:sz w:val="24"/>
        </w:rPr>
        <w:t>我单位接受委托后，认真研究了工程项目的有关资料，调查了项目所在地区的自然环境状况、社会经济状况和环境质量现状，根据国家的有关环保法规和建设项目的行业特点开展环境影响评价工作，编制本项目环境影响报告书。现就本报告书主要结论摘录如下：</w:t>
      </w:r>
    </w:p>
    <w:p w14:paraId="460D03F5">
      <w:pPr>
        <w:spacing w:line="360" w:lineRule="auto"/>
        <w:ind w:firstLine="480" w:firstLineChars="200"/>
        <w:rPr>
          <w:color w:val="auto"/>
          <w:kern w:val="0"/>
          <w:sz w:val="24"/>
        </w:rPr>
      </w:pPr>
      <w:r>
        <w:rPr>
          <w:color w:val="auto"/>
          <w:kern w:val="0"/>
          <w:sz w:val="24"/>
        </w:rPr>
        <w:t>本项目为</w:t>
      </w:r>
      <w:r>
        <w:rPr>
          <w:rFonts w:hint="eastAsia"/>
          <w:color w:val="auto"/>
          <w:kern w:val="0"/>
          <w:sz w:val="24"/>
        </w:rPr>
        <w:t>富硒蛋鸡养殖项目</w:t>
      </w:r>
      <w:r>
        <w:rPr>
          <w:color w:val="auto"/>
          <w:kern w:val="0"/>
          <w:sz w:val="24"/>
        </w:rPr>
        <w:t>，生产过程中所采用的污染防治措施技术经济可行，能保证各种污染物稳定达标排放，同时满足总量控制要求；项目实施后，在正常工况下排放的污染物对周围环境影响小；环境风险处于可接受程度内。</w:t>
      </w:r>
    </w:p>
    <w:p w14:paraId="750DF721">
      <w:pPr>
        <w:spacing w:line="360" w:lineRule="auto"/>
        <w:ind w:firstLine="480" w:firstLineChars="200"/>
        <w:rPr>
          <w:color w:val="auto"/>
          <w:kern w:val="0"/>
          <w:sz w:val="24"/>
        </w:rPr>
      </w:pPr>
      <w:r>
        <w:rPr>
          <w:color w:val="auto"/>
          <w:kern w:val="0"/>
          <w:sz w:val="24"/>
        </w:rPr>
        <w:t>该项目的建设对当地经济发展、社会和谐有积极的促进作用。在项目建设过程中，需要认真落实相关污染物特别是粪污的净化或安全处置设计和本评价提出的环境保护对策措施，在项目营运过程中，需强化环保意识，严格进行环保管理，保证相应的环保措施的正常运行，最大限度减少环境风险事故的发生，做到污染物达标排放。同时，培训专职的环保管理人员加强环境保护工作。由此，本项目的实施可以做到社会效益、经济效益和环境效益三者的和谐统一、协调发展。</w:t>
      </w:r>
    </w:p>
    <w:p w14:paraId="76B896EC">
      <w:pPr>
        <w:spacing w:line="360" w:lineRule="auto"/>
        <w:ind w:firstLine="480" w:firstLineChars="200"/>
        <w:rPr>
          <w:color w:val="auto"/>
          <w:kern w:val="0"/>
          <w:sz w:val="24"/>
        </w:rPr>
      </w:pPr>
      <w:r>
        <w:rPr>
          <w:color w:val="auto"/>
          <w:kern w:val="0"/>
          <w:sz w:val="24"/>
        </w:rPr>
        <w:t>本次公众参与按照《环境影响评价公众参与办法》(生态环境部令第4号)进行，本项目已取得民众对该项目建设的理解和支持。</w:t>
      </w:r>
    </w:p>
    <w:p w14:paraId="2A6426A1">
      <w:pPr>
        <w:spacing w:line="360" w:lineRule="auto"/>
        <w:ind w:firstLine="480" w:firstLineChars="200"/>
        <w:rPr>
          <w:color w:val="auto"/>
          <w:kern w:val="0"/>
          <w:sz w:val="24"/>
        </w:rPr>
      </w:pPr>
      <w:r>
        <w:rPr>
          <w:color w:val="auto"/>
          <w:kern w:val="0"/>
          <w:sz w:val="24"/>
        </w:rPr>
        <w:t>综上所述，建设单位在切实落实各项环保措施、认真落实“三同时”制度，各污染物稳定达标排放的前提下，从环境保护角度分析，本项目建设是可行的。</w:t>
      </w:r>
    </w:p>
    <w:p w14:paraId="238233C6">
      <w:pPr>
        <w:spacing w:line="360" w:lineRule="auto"/>
        <w:ind w:firstLine="480" w:firstLineChars="200"/>
        <w:rPr>
          <w:color w:val="auto"/>
          <w:kern w:val="0"/>
          <w:sz w:val="24"/>
        </w:rPr>
      </w:pPr>
    </w:p>
    <w:p w14:paraId="4F5172E4">
      <w:pPr>
        <w:pStyle w:val="33"/>
        <w:rPr>
          <w:color w:val="auto"/>
        </w:rPr>
        <w:sectPr>
          <w:footerReference r:id="rId6" w:type="default"/>
          <w:pgSz w:w="11906" w:h="16838"/>
          <w:pgMar w:top="1440" w:right="1797" w:bottom="1440" w:left="1797" w:header="851" w:footer="992" w:gutter="0"/>
          <w:pgBorders>
            <w:top w:val="none" w:sz="0" w:space="0"/>
            <w:left w:val="none" w:sz="0" w:space="0"/>
            <w:bottom w:val="none" w:sz="0" w:space="0"/>
            <w:right w:val="none" w:sz="0" w:space="0"/>
          </w:pgBorders>
          <w:pgNumType w:fmt="numberInDash" w:start="1"/>
          <w:cols w:space="720" w:num="1"/>
          <w:docGrid w:linePitch="312" w:charSpace="0"/>
        </w:sectPr>
      </w:pPr>
    </w:p>
    <w:p w14:paraId="4530D16D">
      <w:pPr>
        <w:pStyle w:val="2"/>
        <w:snapToGrid w:val="0"/>
        <w:spacing w:line="360" w:lineRule="auto"/>
        <w:ind w:left="0"/>
        <w:jc w:val="both"/>
        <w:rPr>
          <w:rFonts w:ascii="Times New Roman" w:eastAsia="宋体"/>
          <w:bCs/>
          <w:color w:val="auto"/>
          <w:sz w:val="32"/>
          <w:szCs w:val="32"/>
        </w:rPr>
      </w:pPr>
      <w:bookmarkStart w:id="85" w:name="_Toc2108"/>
      <w:bookmarkStart w:id="86" w:name="_Toc22597"/>
      <w:bookmarkStart w:id="87" w:name="_Toc46"/>
      <w:bookmarkStart w:id="88" w:name="_Toc448771385"/>
      <w:bookmarkStart w:id="89" w:name="_Toc446938376"/>
      <w:bookmarkStart w:id="90" w:name="_Toc24027888"/>
      <w:bookmarkStart w:id="91" w:name="_Toc448693420"/>
      <w:bookmarkStart w:id="92" w:name="_Toc448765650"/>
      <w:bookmarkStart w:id="93" w:name="_Toc448693342"/>
      <w:r>
        <w:rPr>
          <w:rFonts w:ascii="Times New Roman" w:eastAsia="宋体"/>
          <w:bCs/>
          <w:color w:val="auto"/>
          <w:sz w:val="32"/>
          <w:szCs w:val="32"/>
        </w:rPr>
        <w:t>2、总则</w:t>
      </w:r>
      <w:bookmarkEnd w:id="85"/>
      <w:bookmarkEnd w:id="86"/>
      <w:bookmarkEnd w:id="87"/>
    </w:p>
    <w:p w14:paraId="0D05A8C5">
      <w:pPr>
        <w:pStyle w:val="3"/>
        <w:adjustRightInd w:val="0"/>
        <w:jc w:val="both"/>
        <w:rPr>
          <w:rFonts w:eastAsia="宋体"/>
          <w:color w:val="auto"/>
          <w:sz w:val="30"/>
          <w:szCs w:val="30"/>
        </w:rPr>
      </w:pPr>
      <w:bookmarkStart w:id="94" w:name="_Toc39648575"/>
      <w:bookmarkStart w:id="95" w:name="_Toc26481"/>
      <w:bookmarkStart w:id="96" w:name="_Toc21443"/>
      <w:bookmarkStart w:id="97" w:name="_Toc12521"/>
      <w:r>
        <w:rPr>
          <w:rFonts w:eastAsia="宋体"/>
          <w:color w:val="auto"/>
          <w:sz w:val="30"/>
          <w:szCs w:val="30"/>
        </w:rPr>
        <w:t>2.1 编制依据</w:t>
      </w:r>
      <w:bookmarkEnd w:id="94"/>
      <w:bookmarkEnd w:id="95"/>
      <w:bookmarkEnd w:id="96"/>
    </w:p>
    <w:p w14:paraId="75D42F85">
      <w:pPr>
        <w:pStyle w:val="4"/>
        <w:snapToGrid w:val="0"/>
        <w:spacing w:before="0"/>
        <w:rPr>
          <w:rFonts w:ascii="Times New Roman" w:hAnsi="Times New Roman" w:eastAsia="宋体"/>
          <w:bCs/>
          <w:color w:val="auto"/>
          <w:sz w:val="28"/>
          <w:szCs w:val="28"/>
        </w:rPr>
      </w:pPr>
      <w:bookmarkStart w:id="98" w:name="_Toc29353"/>
      <w:r>
        <w:rPr>
          <w:rFonts w:ascii="Times New Roman" w:hAnsi="Times New Roman" w:eastAsia="宋体"/>
          <w:bCs/>
          <w:color w:val="auto"/>
          <w:sz w:val="28"/>
          <w:szCs w:val="28"/>
        </w:rPr>
        <w:t>2.1.1 相关法律法规及有关文件</w:t>
      </w:r>
      <w:bookmarkEnd w:id="98"/>
    </w:p>
    <w:p w14:paraId="4E4D6252">
      <w:pPr>
        <w:spacing w:line="360" w:lineRule="auto"/>
        <w:ind w:firstLine="480" w:firstLineChars="200"/>
        <w:rPr>
          <w:color w:val="auto"/>
          <w:sz w:val="24"/>
        </w:rPr>
      </w:pPr>
      <w:r>
        <w:rPr>
          <w:color w:val="auto"/>
          <w:sz w:val="24"/>
        </w:rPr>
        <w:t>(1)中华人民共和国主席令第九号《中华人民共和国环境保护法》，2015.1.1；</w:t>
      </w:r>
    </w:p>
    <w:p w14:paraId="08C4AC7B">
      <w:pPr>
        <w:spacing w:line="360" w:lineRule="auto"/>
        <w:ind w:firstLine="480" w:firstLineChars="200"/>
        <w:rPr>
          <w:color w:val="auto"/>
          <w:sz w:val="24"/>
        </w:rPr>
      </w:pPr>
      <w:r>
        <w:rPr>
          <w:color w:val="auto"/>
          <w:sz w:val="24"/>
        </w:rPr>
        <w:t>(2)中华人民共和国主席令第</w:t>
      </w:r>
      <w:r>
        <w:rPr>
          <w:rFonts w:hint="eastAsia"/>
          <w:color w:val="auto"/>
          <w:sz w:val="24"/>
        </w:rPr>
        <w:t>十六</w:t>
      </w:r>
      <w:r>
        <w:rPr>
          <w:color w:val="auto"/>
          <w:sz w:val="24"/>
        </w:rPr>
        <w:t>号《中华人民共和国大气污染防治法》，201</w:t>
      </w:r>
      <w:r>
        <w:rPr>
          <w:rFonts w:hint="eastAsia"/>
          <w:color w:val="auto"/>
          <w:sz w:val="24"/>
        </w:rPr>
        <w:t>8.10.26修订</w:t>
      </w:r>
      <w:r>
        <w:rPr>
          <w:color w:val="auto"/>
          <w:sz w:val="24"/>
        </w:rPr>
        <w:t>；</w:t>
      </w:r>
    </w:p>
    <w:p w14:paraId="137DE4D1">
      <w:pPr>
        <w:spacing w:line="360" w:lineRule="auto"/>
        <w:ind w:firstLine="480" w:firstLineChars="200"/>
        <w:rPr>
          <w:color w:val="auto"/>
          <w:sz w:val="24"/>
        </w:rPr>
      </w:pPr>
      <w:r>
        <w:rPr>
          <w:color w:val="auto"/>
          <w:sz w:val="24"/>
        </w:rPr>
        <w:t>(3)中华人民共和国主席令第八十七号《中华人民共和国水污染防治法》，2018.1.1修订；</w:t>
      </w:r>
    </w:p>
    <w:p w14:paraId="4D19A096">
      <w:pPr>
        <w:spacing w:line="360" w:lineRule="auto"/>
        <w:ind w:firstLine="480" w:firstLineChars="200"/>
        <w:rPr>
          <w:color w:val="auto"/>
          <w:sz w:val="24"/>
        </w:rPr>
      </w:pPr>
      <w:r>
        <w:rPr>
          <w:color w:val="auto"/>
          <w:sz w:val="24"/>
        </w:rPr>
        <w:t>(4)中华人民共和国第十三届全国人民代表大会常务委员会第三十二次会议《中华人民共和国噪声污染防治法》，（20</w:t>
      </w:r>
      <w:r>
        <w:rPr>
          <w:rFonts w:hint="eastAsia"/>
          <w:color w:val="auto"/>
          <w:sz w:val="24"/>
        </w:rPr>
        <w:t>22</w:t>
      </w:r>
      <w:r>
        <w:rPr>
          <w:color w:val="auto"/>
          <w:sz w:val="24"/>
        </w:rPr>
        <w:t>年</w:t>
      </w:r>
      <w:r>
        <w:rPr>
          <w:rFonts w:hint="eastAsia"/>
          <w:color w:val="auto"/>
          <w:sz w:val="24"/>
        </w:rPr>
        <w:t>6</w:t>
      </w:r>
      <w:r>
        <w:rPr>
          <w:color w:val="auto"/>
          <w:sz w:val="24"/>
        </w:rPr>
        <w:t>月</w:t>
      </w:r>
      <w:r>
        <w:rPr>
          <w:rFonts w:hint="eastAsia"/>
          <w:color w:val="auto"/>
          <w:sz w:val="24"/>
        </w:rPr>
        <w:t>5</w:t>
      </w:r>
      <w:r>
        <w:rPr>
          <w:color w:val="auto"/>
          <w:sz w:val="24"/>
        </w:rPr>
        <w:t>日起实施）；</w:t>
      </w:r>
    </w:p>
    <w:p w14:paraId="4D1C09F4">
      <w:pPr>
        <w:spacing w:line="360" w:lineRule="auto"/>
        <w:ind w:firstLine="480" w:firstLineChars="200"/>
        <w:rPr>
          <w:color w:val="auto"/>
          <w:sz w:val="24"/>
        </w:rPr>
      </w:pPr>
      <w:r>
        <w:rPr>
          <w:color w:val="auto"/>
          <w:sz w:val="24"/>
        </w:rPr>
        <w:t>(5)中华人民共和国主席令第四十三号《中华人民共和国固体废物污染环境防治法》，2020.9.1实施；</w:t>
      </w:r>
    </w:p>
    <w:p w14:paraId="137EEB8F">
      <w:pPr>
        <w:spacing w:line="360" w:lineRule="auto"/>
        <w:ind w:firstLine="480" w:firstLineChars="200"/>
        <w:rPr>
          <w:color w:val="auto"/>
          <w:sz w:val="24"/>
        </w:rPr>
      </w:pPr>
      <w:r>
        <w:rPr>
          <w:color w:val="auto"/>
          <w:sz w:val="24"/>
        </w:rPr>
        <w:t>(6)中华人民共和国主席令第</w:t>
      </w:r>
      <w:r>
        <w:rPr>
          <w:rFonts w:hint="eastAsia"/>
          <w:color w:val="auto"/>
          <w:sz w:val="24"/>
        </w:rPr>
        <w:t>24</w:t>
      </w:r>
      <w:r>
        <w:rPr>
          <w:color w:val="auto"/>
          <w:sz w:val="24"/>
        </w:rPr>
        <w:t>号《中华人民共和国环境影响评价法》，2018.12.29修订；</w:t>
      </w:r>
    </w:p>
    <w:p w14:paraId="12012AB5">
      <w:pPr>
        <w:spacing w:line="360" w:lineRule="auto"/>
        <w:ind w:firstLine="480" w:firstLineChars="200"/>
        <w:rPr>
          <w:color w:val="auto"/>
          <w:sz w:val="24"/>
        </w:rPr>
      </w:pPr>
      <w:r>
        <w:rPr>
          <w:color w:val="auto"/>
          <w:sz w:val="24"/>
        </w:rPr>
        <w:t>(7)中华人民共和国生态环境部令第4号《环境影响评价公众参与办法》，2019.1.1；</w:t>
      </w:r>
    </w:p>
    <w:p w14:paraId="131DA14C">
      <w:pPr>
        <w:spacing w:line="360" w:lineRule="auto"/>
        <w:ind w:firstLine="480" w:firstLineChars="200"/>
        <w:rPr>
          <w:color w:val="auto"/>
          <w:kern w:val="0"/>
          <w:sz w:val="24"/>
        </w:rPr>
      </w:pPr>
      <w:r>
        <w:rPr>
          <w:snapToGrid w:val="0"/>
          <w:color w:val="auto"/>
          <w:kern w:val="0"/>
          <w:sz w:val="24"/>
        </w:rPr>
        <w:t>(8)</w:t>
      </w:r>
      <w:r>
        <w:rPr>
          <w:color w:val="auto"/>
          <w:kern w:val="0"/>
          <w:sz w:val="24"/>
        </w:rPr>
        <w:t>环境环保部令第31号《企业事业单位环境信息公开</w:t>
      </w:r>
      <w:r>
        <w:rPr>
          <w:rFonts w:hint="eastAsia"/>
          <w:color w:val="auto"/>
          <w:kern w:val="0"/>
          <w:sz w:val="24"/>
        </w:rPr>
        <w:t>暂行</w:t>
      </w:r>
      <w:r>
        <w:rPr>
          <w:color w:val="auto"/>
          <w:kern w:val="0"/>
          <w:sz w:val="24"/>
        </w:rPr>
        <w:t>办法》，2015.1.1；</w:t>
      </w:r>
    </w:p>
    <w:p w14:paraId="654F2016">
      <w:pPr>
        <w:spacing w:line="360" w:lineRule="auto"/>
        <w:ind w:firstLine="480" w:firstLineChars="200"/>
        <w:rPr>
          <w:color w:val="auto"/>
          <w:sz w:val="24"/>
        </w:rPr>
      </w:pPr>
      <w:r>
        <w:rPr>
          <w:color w:val="auto"/>
          <w:sz w:val="24"/>
        </w:rPr>
        <w:t>(9)生态环境部令第16号《建设项目环境影响评价分类管理名录</w:t>
      </w:r>
      <w:r>
        <w:rPr>
          <w:rFonts w:hint="eastAsia"/>
          <w:color w:val="auto"/>
          <w:sz w:val="24"/>
        </w:rPr>
        <w:t>（2021年版）</w:t>
      </w:r>
      <w:r>
        <w:rPr>
          <w:color w:val="auto"/>
          <w:sz w:val="24"/>
        </w:rPr>
        <w:t>》，2020.11.30；</w:t>
      </w:r>
    </w:p>
    <w:p w14:paraId="705D95AA">
      <w:pPr>
        <w:spacing w:line="360" w:lineRule="auto"/>
        <w:ind w:firstLine="480" w:firstLineChars="200"/>
        <w:rPr>
          <w:color w:val="auto"/>
          <w:sz w:val="24"/>
        </w:rPr>
      </w:pPr>
      <w:r>
        <w:rPr>
          <w:color w:val="auto"/>
          <w:sz w:val="24"/>
        </w:rPr>
        <w:t>(1</w:t>
      </w:r>
      <w:r>
        <w:rPr>
          <w:rFonts w:hint="eastAsia"/>
          <w:color w:val="auto"/>
          <w:sz w:val="24"/>
          <w:lang w:val="en-US" w:eastAsia="zh-CN"/>
        </w:rPr>
        <w:t>0</w:t>
      </w:r>
      <w:r>
        <w:rPr>
          <w:color w:val="auto"/>
          <w:sz w:val="24"/>
        </w:rPr>
        <w:t>)</w:t>
      </w:r>
      <w:r>
        <w:rPr>
          <w:color w:val="auto"/>
          <w:kern w:val="0"/>
          <w:sz w:val="24"/>
        </w:rPr>
        <w:t>国务院令第682号《建设项目环境保护管理条例》，2017.10.1；</w:t>
      </w:r>
    </w:p>
    <w:p w14:paraId="39226195">
      <w:pPr>
        <w:spacing w:line="360" w:lineRule="auto"/>
        <w:ind w:firstLine="480" w:firstLineChars="200"/>
        <w:rPr>
          <w:color w:val="auto"/>
          <w:sz w:val="24"/>
        </w:rPr>
      </w:pPr>
      <w:r>
        <w:rPr>
          <w:color w:val="auto"/>
          <w:sz w:val="24"/>
        </w:rPr>
        <w:t>(1</w:t>
      </w:r>
      <w:r>
        <w:rPr>
          <w:rFonts w:hint="eastAsia"/>
          <w:color w:val="auto"/>
          <w:sz w:val="24"/>
          <w:lang w:val="en-US" w:eastAsia="zh-CN"/>
        </w:rPr>
        <w:t>1</w:t>
      </w:r>
      <w:r>
        <w:rPr>
          <w:color w:val="auto"/>
          <w:sz w:val="24"/>
        </w:rPr>
        <w:t>)</w:t>
      </w:r>
      <w:r>
        <w:rPr>
          <w:color w:val="auto"/>
          <w:kern w:val="0"/>
          <w:sz w:val="24"/>
        </w:rPr>
        <w:t>国务院令第643号《畜禽规模养殖污染防治条例》，2013.11.11；</w:t>
      </w:r>
    </w:p>
    <w:p w14:paraId="463AD6A2">
      <w:pPr>
        <w:spacing w:line="360" w:lineRule="auto"/>
        <w:ind w:firstLine="480" w:firstLineChars="200"/>
        <w:rPr>
          <w:color w:val="auto"/>
          <w:sz w:val="24"/>
        </w:rPr>
      </w:pPr>
      <w:r>
        <w:rPr>
          <w:color w:val="auto"/>
          <w:kern w:val="0"/>
          <w:sz w:val="24"/>
        </w:rPr>
        <w:t>(1</w:t>
      </w:r>
      <w:r>
        <w:rPr>
          <w:rFonts w:hint="eastAsia"/>
          <w:color w:val="auto"/>
          <w:kern w:val="0"/>
          <w:sz w:val="24"/>
          <w:lang w:val="en-US" w:eastAsia="zh-CN"/>
        </w:rPr>
        <w:t>2</w:t>
      </w:r>
      <w:r>
        <w:rPr>
          <w:color w:val="auto"/>
          <w:kern w:val="0"/>
          <w:sz w:val="24"/>
        </w:rPr>
        <w:t>)</w:t>
      </w:r>
      <w:r>
        <w:rPr>
          <w:color w:val="auto"/>
          <w:sz w:val="24"/>
        </w:rPr>
        <w:t>产业结构调整指导目录(20</w:t>
      </w:r>
      <w:r>
        <w:rPr>
          <w:rFonts w:hint="eastAsia"/>
          <w:color w:val="auto"/>
          <w:sz w:val="24"/>
          <w:lang w:val="en-US" w:eastAsia="zh-CN"/>
        </w:rPr>
        <w:t>24</w:t>
      </w:r>
      <w:r>
        <w:rPr>
          <w:color w:val="auto"/>
          <w:sz w:val="24"/>
        </w:rPr>
        <w:t>年本)；</w:t>
      </w:r>
    </w:p>
    <w:p w14:paraId="3842BA24">
      <w:pPr>
        <w:spacing w:line="360" w:lineRule="auto"/>
        <w:ind w:firstLine="480" w:firstLineChars="200"/>
        <w:rPr>
          <w:color w:val="auto"/>
          <w:sz w:val="24"/>
          <w:highlight w:val="none"/>
        </w:rPr>
      </w:pPr>
      <w:r>
        <w:rPr>
          <w:color w:val="auto"/>
          <w:kern w:val="0"/>
          <w:sz w:val="24"/>
          <w:highlight w:val="none"/>
        </w:rPr>
        <w:t>(1</w:t>
      </w:r>
      <w:r>
        <w:rPr>
          <w:rFonts w:hint="eastAsia"/>
          <w:color w:val="auto"/>
          <w:kern w:val="0"/>
          <w:sz w:val="24"/>
          <w:highlight w:val="none"/>
          <w:lang w:val="en-US" w:eastAsia="zh-CN"/>
        </w:rPr>
        <w:t>3</w:t>
      </w:r>
      <w:r>
        <w:rPr>
          <w:color w:val="auto"/>
          <w:kern w:val="0"/>
          <w:sz w:val="24"/>
          <w:highlight w:val="none"/>
        </w:rPr>
        <w:t>)</w:t>
      </w:r>
      <w:r>
        <w:rPr>
          <w:color w:val="auto"/>
          <w:sz w:val="24"/>
          <w:highlight w:val="none"/>
        </w:rPr>
        <w:t>中华人民共和国农业部令</w:t>
      </w:r>
      <w:r>
        <w:rPr>
          <w:rFonts w:hint="eastAsia"/>
          <w:color w:val="auto"/>
          <w:sz w:val="24"/>
          <w:highlight w:val="none"/>
          <w:lang w:val="en-US" w:eastAsia="zh-CN"/>
        </w:rPr>
        <w:t>2022年</w:t>
      </w:r>
      <w:r>
        <w:rPr>
          <w:color w:val="auto"/>
          <w:sz w:val="24"/>
          <w:highlight w:val="none"/>
        </w:rPr>
        <w:t>第</w:t>
      </w:r>
      <w:r>
        <w:rPr>
          <w:rFonts w:hint="eastAsia"/>
          <w:color w:val="auto"/>
          <w:sz w:val="24"/>
          <w:highlight w:val="none"/>
          <w:lang w:val="en-US" w:eastAsia="zh-CN"/>
        </w:rPr>
        <w:t>8</w:t>
      </w:r>
      <w:r>
        <w:rPr>
          <w:color w:val="auto"/>
          <w:sz w:val="24"/>
          <w:highlight w:val="none"/>
        </w:rPr>
        <w:t>号《动物防疫条件审查办法》，20</w:t>
      </w:r>
      <w:r>
        <w:rPr>
          <w:rFonts w:hint="eastAsia"/>
          <w:color w:val="auto"/>
          <w:sz w:val="24"/>
          <w:highlight w:val="none"/>
          <w:lang w:val="en-US" w:eastAsia="zh-CN"/>
        </w:rPr>
        <w:t>22.12.1</w:t>
      </w:r>
      <w:r>
        <w:rPr>
          <w:color w:val="auto"/>
          <w:sz w:val="24"/>
          <w:highlight w:val="none"/>
        </w:rPr>
        <w:t>；</w:t>
      </w:r>
    </w:p>
    <w:p w14:paraId="63E7569D">
      <w:pPr>
        <w:spacing w:line="360" w:lineRule="auto"/>
        <w:ind w:firstLine="480" w:firstLineChars="200"/>
        <w:rPr>
          <w:color w:val="auto"/>
          <w:kern w:val="0"/>
          <w:sz w:val="24"/>
        </w:rPr>
      </w:pPr>
      <w:r>
        <w:rPr>
          <w:color w:val="auto"/>
          <w:kern w:val="0"/>
          <w:sz w:val="24"/>
        </w:rPr>
        <w:t>(1</w:t>
      </w:r>
      <w:r>
        <w:rPr>
          <w:rFonts w:hint="eastAsia"/>
          <w:color w:val="auto"/>
          <w:kern w:val="0"/>
          <w:sz w:val="24"/>
          <w:lang w:val="en-US" w:eastAsia="zh-CN"/>
        </w:rPr>
        <w:t>4</w:t>
      </w:r>
      <w:r>
        <w:rPr>
          <w:color w:val="auto"/>
          <w:kern w:val="0"/>
          <w:sz w:val="24"/>
        </w:rPr>
        <w:t>)《中华人民共和国清洁生产促进法》（主席令[2012]第54号）2012年7月1日施行；</w:t>
      </w:r>
    </w:p>
    <w:p w14:paraId="5EB78766">
      <w:pPr>
        <w:pStyle w:val="371"/>
        <w:ind w:firstLine="480" w:firstLineChars="200"/>
        <w:rPr>
          <w:b w:val="0"/>
          <w:color w:val="auto"/>
        </w:rPr>
      </w:pPr>
      <w:r>
        <w:rPr>
          <w:b w:val="0"/>
          <w:color w:val="auto"/>
        </w:rPr>
        <w:t>(1</w:t>
      </w:r>
      <w:r>
        <w:rPr>
          <w:rFonts w:hint="eastAsia"/>
          <w:b w:val="0"/>
          <w:color w:val="auto"/>
          <w:lang w:val="en-US" w:eastAsia="zh-CN"/>
        </w:rPr>
        <w:t>5</w:t>
      </w:r>
      <w:r>
        <w:rPr>
          <w:b w:val="0"/>
          <w:color w:val="auto"/>
        </w:rPr>
        <w:t>)环境保护部环发[2013]103号《关于印发&lt;建设项目环境影响评价政府信息公开指南(试行)&gt;的通知》；·</w:t>
      </w:r>
    </w:p>
    <w:p w14:paraId="33490A7B">
      <w:pPr>
        <w:spacing w:line="360" w:lineRule="auto"/>
        <w:ind w:firstLine="480" w:firstLineChars="200"/>
        <w:jc w:val="left"/>
        <w:rPr>
          <w:color w:val="auto"/>
          <w:sz w:val="24"/>
        </w:rPr>
      </w:pPr>
      <w:r>
        <w:rPr>
          <w:color w:val="auto"/>
          <w:sz w:val="24"/>
        </w:rPr>
        <w:t>(</w:t>
      </w:r>
      <w:r>
        <w:rPr>
          <w:rFonts w:hint="eastAsia"/>
          <w:color w:val="auto"/>
          <w:sz w:val="24"/>
          <w:lang w:val="en-US" w:eastAsia="zh-CN"/>
        </w:rPr>
        <w:t>16</w:t>
      </w:r>
      <w:r>
        <w:rPr>
          <w:color w:val="auto"/>
          <w:sz w:val="24"/>
        </w:rPr>
        <w:t>)</w:t>
      </w:r>
      <w:r>
        <w:rPr>
          <w:snapToGrid w:val="0"/>
          <w:color w:val="auto"/>
          <w:kern w:val="0"/>
          <w:sz w:val="24"/>
        </w:rPr>
        <w:t>农业部农医发[2012]12号《</w:t>
      </w:r>
      <w:r>
        <w:rPr>
          <w:bCs/>
          <w:snapToGrid w:val="0"/>
          <w:color w:val="auto"/>
          <w:kern w:val="0"/>
          <w:sz w:val="24"/>
        </w:rPr>
        <w:t>关于进一步加强病死动物无害化处理监管工作的通知</w:t>
      </w:r>
      <w:r>
        <w:rPr>
          <w:snapToGrid w:val="0"/>
          <w:color w:val="auto"/>
          <w:kern w:val="0"/>
          <w:sz w:val="24"/>
        </w:rPr>
        <w:t>》，2012.4.10；</w:t>
      </w:r>
    </w:p>
    <w:p w14:paraId="4DBA9BAF">
      <w:pPr>
        <w:pStyle w:val="16"/>
        <w:spacing w:line="360" w:lineRule="auto"/>
        <w:ind w:firstLine="480" w:firstLineChars="200"/>
        <w:rPr>
          <w:snapToGrid w:val="0"/>
          <w:color w:val="auto"/>
          <w:kern w:val="0"/>
          <w:sz w:val="24"/>
        </w:rPr>
      </w:pPr>
      <w:r>
        <w:rPr>
          <w:color w:val="auto"/>
          <w:sz w:val="24"/>
        </w:rPr>
        <w:t>(</w:t>
      </w:r>
      <w:r>
        <w:rPr>
          <w:rFonts w:hint="eastAsia"/>
          <w:color w:val="auto"/>
          <w:sz w:val="24"/>
          <w:lang w:val="en-US" w:eastAsia="zh-CN"/>
        </w:rPr>
        <w:t>17</w:t>
      </w:r>
      <w:r>
        <w:rPr>
          <w:color w:val="auto"/>
          <w:sz w:val="24"/>
        </w:rPr>
        <w:t>)</w:t>
      </w:r>
      <w:r>
        <w:rPr>
          <w:snapToGrid w:val="0"/>
          <w:color w:val="auto"/>
          <w:kern w:val="0"/>
          <w:sz w:val="24"/>
        </w:rPr>
        <w:t>环境保护部办公厅环办函[2014]789号《关于病害动物无害化处理有关意见的复函》，2014.6.26；</w:t>
      </w:r>
    </w:p>
    <w:p w14:paraId="0FBE2634">
      <w:pPr>
        <w:pStyle w:val="16"/>
        <w:spacing w:line="360" w:lineRule="auto"/>
        <w:ind w:firstLine="480" w:firstLineChars="200"/>
        <w:rPr>
          <w:color w:val="auto"/>
          <w:sz w:val="24"/>
        </w:rPr>
      </w:pPr>
      <w:r>
        <w:rPr>
          <w:snapToGrid w:val="0"/>
          <w:color w:val="auto"/>
          <w:kern w:val="0"/>
          <w:sz w:val="24"/>
        </w:rPr>
        <w:t>(</w:t>
      </w:r>
      <w:r>
        <w:rPr>
          <w:rFonts w:hint="eastAsia"/>
          <w:snapToGrid w:val="0"/>
          <w:color w:val="auto"/>
          <w:kern w:val="0"/>
          <w:sz w:val="24"/>
          <w:lang w:val="en-US" w:eastAsia="zh-CN"/>
        </w:rPr>
        <w:t>18</w:t>
      </w:r>
      <w:r>
        <w:rPr>
          <w:snapToGrid w:val="0"/>
          <w:color w:val="auto"/>
          <w:kern w:val="0"/>
          <w:sz w:val="24"/>
        </w:rPr>
        <w:t>)</w:t>
      </w:r>
      <w:r>
        <w:rPr>
          <w:color w:val="auto"/>
          <w:sz w:val="24"/>
        </w:rPr>
        <w:t>《关于落实大气污染防治行动计划严格环境影响评价准入的通知》，环办[2014]30号；</w:t>
      </w:r>
    </w:p>
    <w:p w14:paraId="277FFDB5">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lang w:val="en-US" w:eastAsia="zh-CN"/>
        </w:rPr>
        <w:t>19</w:t>
      </w:r>
      <w:r>
        <w:rPr>
          <w:snapToGrid w:val="0"/>
          <w:color w:val="auto"/>
          <w:kern w:val="0"/>
          <w:sz w:val="24"/>
        </w:rPr>
        <w:t>)《关于发布&lt;环境影响评价公众参与办法&gt;配套文件的公告》（生态环境部公告2018年第48号，2019.1.1</w:t>
      </w:r>
      <w:r>
        <w:rPr>
          <w:rFonts w:hint="eastAsia"/>
          <w:snapToGrid w:val="0"/>
          <w:color w:val="auto"/>
          <w:kern w:val="0"/>
          <w:sz w:val="24"/>
        </w:rPr>
        <w:t>；</w:t>
      </w:r>
    </w:p>
    <w:p w14:paraId="21C6A259">
      <w:pPr>
        <w:pStyle w:val="16"/>
        <w:spacing w:line="360" w:lineRule="auto"/>
        <w:ind w:firstLine="480" w:firstLineChars="200"/>
        <w:rPr>
          <w:snapToGrid w:val="0"/>
          <w:color w:val="auto"/>
          <w:kern w:val="0"/>
          <w:sz w:val="24"/>
        </w:rPr>
      </w:pPr>
      <w:r>
        <w:rPr>
          <w:color w:val="auto"/>
          <w:sz w:val="24"/>
        </w:rPr>
        <w:t>(2</w:t>
      </w:r>
      <w:r>
        <w:rPr>
          <w:rFonts w:hint="eastAsia"/>
          <w:color w:val="auto"/>
          <w:sz w:val="24"/>
          <w:lang w:val="en-US" w:eastAsia="zh-CN"/>
        </w:rPr>
        <w:t>0</w:t>
      </w:r>
      <w:r>
        <w:rPr>
          <w:color w:val="auto"/>
          <w:sz w:val="24"/>
        </w:rPr>
        <w:t>)《全国地下水污染防治规划(2011-2020年)》，环发〔2011〕128号；</w:t>
      </w:r>
    </w:p>
    <w:p w14:paraId="088A5F6C">
      <w:pPr>
        <w:pStyle w:val="16"/>
        <w:spacing w:line="360" w:lineRule="auto"/>
        <w:ind w:firstLine="480" w:firstLineChars="200"/>
        <w:rPr>
          <w:color w:val="auto"/>
          <w:sz w:val="24"/>
        </w:rPr>
      </w:pPr>
      <w:r>
        <w:rPr>
          <w:color w:val="auto"/>
          <w:sz w:val="24"/>
        </w:rPr>
        <w:t>(2</w:t>
      </w:r>
      <w:r>
        <w:rPr>
          <w:rFonts w:hint="eastAsia"/>
          <w:color w:val="auto"/>
          <w:sz w:val="24"/>
          <w:lang w:val="en-US" w:eastAsia="zh-CN"/>
        </w:rPr>
        <w:t>1</w:t>
      </w:r>
      <w:r>
        <w:rPr>
          <w:color w:val="auto"/>
          <w:sz w:val="24"/>
        </w:rPr>
        <w:t>)《土壤污染防治行动计划》，国发〔2016〕31号；</w:t>
      </w:r>
    </w:p>
    <w:p w14:paraId="61A29E64">
      <w:pPr>
        <w:adjustRightInd w:val="0"/>
        <w:snapToGrid w:val="0"/>
        <w:spacing w:line="360" w:lineRule="auto"/>
        <w:ind w:firstLine="480" w:firstLineChars="200"/>
        <w:rPr>
          <w:snapToGrid w:val="0"/>
          <w:color w:val="auto"/>
          <w:sz w:val="24"/>
        </w:rPr>
      </w:pPr>
      <w:r>
        <w:rPr>
          <w:snapToGrid w:val="0"/>
          <w:color w:val="auto"/>
          <w:sz w:val="24"/>
        </w:rPr>
        <w:t>(2</w:t>
      </w:r>
      <w:r>
        <w:rPr>
          <w:rFonts w:hint="eastAsia"/>
          <w:snapToGrid w:val="0"/>
          <w:color w:val="auto"/>
          <w:sz w:val="24"/>
          <w:lang w:val="en-US" w:eastAsia="zh-CN"/>
        </w:rPr>
        <w:t>2</w:t>
      </w:r>
      <w:r>
        <w:rPr>
          <w:snapToGrid w:val="0"/>
          <w:color w:val="auto"/>
          <w:sz w:val="24"/>
        </w:rPr>
        <w:t>)《国务院关于印发畜禽养殖禁养区划定技术指南的通知》，2018年；</w:t>
      </w:r>
    </w:p>
    <w:p w14:paraId="649BF9A1">
      <w:pPr>
        <w:adjustRightInd w:val="0"/>
        <w:snapToGrid w:val="0"/>
        <w:spacing w:line="360" w:lineRule="auto"/>
        <w:ind w:firstLine="480" w:firstLineChars="200"/>
        <w:rPr>
          <w:snapToGrid w:val="0"/>
          <w:color w:val="auto"/>
          <w:sz w:val="24"/>
        </w:rPr>
      </w:pPr>
      <w:r>
        <w:rPr>
          <w:snapToGrid w:val="0"/>
          <w:color w:val="auto"/>
          <w:sz w:val="24"/>
        </w:rPr>
        <w:t>(2</w:t>
      </w:r>
      <w:r>
        <w:rPr>
          <w:rFonts w:hint="eastAsia"/>
          <w:snapToGrid w:val="0"/>
          <w:color w:val="auto"/>
          <w:sz w:val="24"/>
          <w:lang w:val="en-US" w:eastAsia="zh-CN"/>
        </w:rPr>
        <w:t>3</w:t>
      </w:r>
      <w:r>
        <w:rPr>
          <w:snapToGrid w:val="0"/>
          <w:color w:val="auto"/>
          <w:sz w:val="24"/>
        </w:rPr>
        <w:t>)《农业部关于印发病死及病害动物无害化处理技术规范的通知》，2017.7.3；</w:t>
      </w:r>
    </w:p>
    <w:p w14:paraId="072FFD59">
      <w:pPr>
        <w:adjustRightInd w:val="0"/>
        <w:snapToGrid w:val="0"/>
        <w:spacing w:line="360" w:lineRule="auto"/>
        <w:ind w:firstLine="480" w:firstLineChars="200"/>
        <w:rPr>
          <w:snapToGrid w:val="0"/>
          <w:color w:val="auto"/>
          <w:kern w:val="0"/>
          <w:sz w:val="24"/>
        </w:rPr>
      </w:pPr>
      <w:r>
        <w:rPr>
          <w:snapToGrid w:val="0"/>
          <w:color w:val="auto"/>
          <w:kern w:val="0"/>
          <w:sz w:val="24"/>
        </w:rPr>
        <w:t>(2</w:t>
      </w:r>
      <w:r>
        <w:rPr>
          <w:rFonts w:hint="eastAsia"/>
          <w:snapToGrid w:val="0"/>
          <w:color w:val="auto"/>
          <w:kern w:val="0"/>
          <w:sz w:val="24"/>
          <w:lang w:val="en-US" w:eastAsia="zh-CN"/>
        </w:rPr>
        <w:t>4</w:t>
      </w:r>
      <w:r>
        <w:rPr>
          <w:snapToGrid w:val="0"/>
          <w:color w:val="auto"/>
          <w:kern w:val="0"/>
          <w:sz w:val="24"/>
        </w:rPr>
        <w:t>)</w:t>
      </w:r>
      <w:r>
        <w:rPr>
          <w:color w:val="auto"/>
          <w:sz w:val="24"/>
        </w:rPr>
        <w:t>生态环境部令第15号</w:t>
      </w:r>
      <w:r>
        <w:rPr>
          <w:snapToGrid w:val="0"/>
          <w:color w:val="auto"/>
          <w:kern w:val="0"/>
          <w:sz w:val="24"/>
        </w:rPr>
        <w:t>《国家危险废物名录（2021年版）》,2020.11.25；</w:t>
      </w:r>
    </w:p>
    <w:p w14:paraId="6E540200">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lang w:val="en-US" w:eastAsia="zh-CN"/>
        </w:rPr>
        <w:t>25</w:t>
      </w:r>
      <w:r>
        <w:rPr>
          <w:snapToGrid w:val="0"/>
          <w:color w:val="auto"/>
          <w:kern w:val="0"/>
          <w:sz w:val="24"/>
        </w:rPr>
        <w:t>)</w:t>
      </w:r>
      <w:r>
        <w:rPr>
          <w:rFonts w:hint="eastAsia"/>
          <w:snapToGrid w:val="0"/>
          <w:color w:val="auto"/>
          <w:kern w:val="0"/>
          <w:sz w:val="24"/>
        </w:rPr>
        <w:t>《关于做好畜禽规模养殖项目环境影响评价管理工作的通知》，环办环评〔2018〕31号；</w:t>
      </w:r>
    </w:p>
    <w:p w14:paraId="2AD52CCA">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lang w:val="en-US" w:eastAsia="zh-CN"/>
        </w:rPr>
        <w:t>26</w:t>
      </w:r>
      <w:r>
        <w:rPr>
          <w:snapToGrid w:val="0"/>
          <w:color w:val="auto"/>
          <w:kern w:val="0"/>
          <w:sz w:val="24"/>
        </w:rPr>
        <w:t>)</w:t>
      </w:r>
      <w:r>
        <w:rPr>
          <w:rFonts w:hint="eastAsia"/>
          <w:snapToGrid w:val="0"/>
          <w:color w:val="auto"/>
          <w:kern w:val="0"/>
          <w:sz w:val="24"/>
        </w:rPr>
        <w:t>农业农村部办公厅 生态环境部办公厅，《关于进一步明确畜禽粪污还田利用要求强化养殖污染监管的通知》，农办牧〔2020〕23号；</w:t>
      </w:r>
    </w:p>
    <w:p w14:paraId="7A5E3D2B">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lang w:val="en-US" w:eastAsia="zh-CN"/>
        </w:rPr>
        <w:t>27</w:t>
      </w:r>
      <w:r>
        <w:rPr>
          <w:snapToGrid w:val="0"/>
          <w:color w:val="auto"/>
          <w:kern w:val="0"/>
          <w:sz w:val="24"/>
        </w:rPr>
        <w:t>)</w:t>
      </w:r>
      <w:r>
        <w:rPr>
          <w:rFonts w:hint="eastAsia"/>
          <w:snapToGrid w:val="0"/>
          <w:color w:val="auto"/>
          <w:kern w:val="0"/>
          <w:sz w:val="24"/>
        </w:rPr>
        <w:t>《中华人民共和国土壤污染防治法》（2019年1月1日实施）；</w:t>
      </w:r>
    </w:p>
    <w:p w14:paraId="30062C6A">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lang w:val="en-US" w:eastAsia="zh-CN"/>
        </w:rPr>
        <w:t>28</w:t>
      </w:r>
      <w:r>
        <w:rPr>
          <w:snapToGrid w:val="0"/>
          <w:color w:val="auto"/>
          <w:kern w:val="0"/>
          <w:sz w:val="24"/>
        </w:rPr>
        <w:t>)《中华人民共和国循环经济促进法》2018年修正</w:t>
      </w:r>
      <w:r>
        <w:rPr>
          <w:rFonts w:hint="eastAsia"/>
          <w:snapToGrid w:val="0"/>
          <w:color w:val="auto"/>
          <w:kern w:val="0"/>
          <w:sz w:val="24"/>
        </w:rPr>
        <w:t>；</w:t>
      </w:r>
    </w:p>
    <w:p w14:paraId="12B00000">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lang w:val="en-US" w:eastAsia="zh-CN"/>
        </w:rPr>
        <w:t>29</w:t>
      </w:r>
      <w:r>
        <w:rPr>
          <w:snapToGrid w:val="0"/>
          <w:color w:val="auto"/>
          <w:kern w:val="0"/>
          <w:sz w:val="24"/>
        </w:rPr>
        <w:t>)</w:t>
      </w:r>
      <w:r>
        <w:rPr>
          <w:rFonts w:hint="eastAsia"/>
          <w:snapToGrid w:val="0"/>
          <w:color w:val="auto"/>
          <w:kern w:val="0"/>
          <w:sz w:val="24"/>
        </w:rPr>
        <w:t>《建设项目环境影响评价分类管理名录》（2021版）；</w:t>
      </w:r>
    </w:p>
    <w:p w14:paraId="3334F6AD">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lang w:val="en-US" w:eastAsia="zh-CN"/>
        </w:rPr>
        <w:t>30</w:t>
      </w:r>
      <w:r>
        <w:rPr>
          <w:snapToGrid w:val="0"/>
          <w:color w:val="auto"/>
          <w:kern w:val="0"/>
          <w:sz w:val="24"/>
        </w:rPr>
        <w:t>)《关于切实加强风险防范严格环境影响评价管理的通知》（环发[2012]98号，2012.8.8）</w:t>
      </w:r>
      <w:r>
        <w:rPr>
          <w:rFonts w:hint="eastAsia"/>
          <w:snapToGrid w:val="0"/>
          <w:color w:val="auto"/>
          <w:kern w:val="0"/>
          <w:sz w:val="24"/>
        </w:rPr>
        <w:t>；</w:t>
      </w:r>
    </w:p>
    <w:p w14:paraId="41A00869">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rPr>
        <w:t>3</w:t>
      </w:r>
      <w:r>
        <w:rPr>
          <w:rFonts w:hint="eastAsia"/>
          <w:snapToGrid w:val="0"/>
          <w:color w:val="auto"/>
          <w:kern w:val="0"/>
          <w:sz w:val="24"/>
          <w:lang w:val="en-US" w:eastAsia="zh-CN"/>
        </w:rPr>
        <w:t>1</w:t>
      </w:r>
      <w:r>
        <w:rPr>
          <w:snapToGrid w:val="0"/>
          <w:color w:val="auto"/>
          <w:kern w:val="0"/>
          <w:sz w:val="24"/>
        </w:rPr>
        <w:t>)《关于以改善环境质量为核心加强环境影响评价管理的通知》（环发环评[2016]150号，2016.10.26）；</w:t>
      </w:r>
    </w:p>
    <w:p w14:paraId="4CA63A27">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rPr>
        <w:t>3</w:t>
      </w:r>
      <w:r>
        <w:rPr>
          <w:rFonts w:hint="eastAsia"/>
          <w:snapToGrid w:val="0"/>
          <w:color w:val="auto"/>
          <w:kern w:val="0"/>
          <w:sz w:val="24"/>
          <w:lang w:val="en-US" w:eastAsia="zh-CN"/>
        </w:rPr>
        <w:t>2</w:t>
      </w:r>
      <w:r>
        <w:rPr>
          <w:snapToGrid w:val="0"/>
          <w:color w:val="auto"/>
          <w:kern w:val="0"/>
          <w:sz w:val="24"/>
        </w:rPr>
        <w:t>)《建设项目危险废物环境影响评价指南》（环保部公告2017年第43号，2017.9.1）</w:t>
      </w:r>
      <w:r>
        <w:rPr>
          <w:rFonts w:hint="eastAsia"/>
          <w:snapToGrid w:val="0"/>
          <w:color w:val="auto"/>
          <w:kern w:val="0"/>
          <w:sz w:val="24"/>
        </w:rPr>
        <w:t>；</w:t>
      </w:r>
    </w:p>
    <w:p w14:paraId="5E0E9F00">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rPr>
        <w:t>3</w:t>
      </w:r>
      <w:r>
        <w:rPr>
          <w:rFonts w:hint="eastAsia"/>
          <w:snapToGrid w:val="0"/>
          <w:color w:val="auto"/>
          <w:kern w:val="0"/>
          <w:sz w:val="24"/>
          <w:lang w:val="en-US" w:eastAsia="zh-CN"/>
        </w:rPr>
        <w:t>3</w:t>
      </w:r>
      <w:r>
        <w:rPr>
          <w:snapToGrid w:val="0"/>
          <w:color w:val="auto"/>
          <w:kern w:val="0"/>
          <w:sz w:val="24"/>
        </w:rPr>
        <w:t>)《国务院办公厅关于加快推进畜禽养殖废弃物资源化利用的意见》，国办发[2017]48号；</w:t>
      </w:r>
    </w:p>
    <w:p w14:paraId="2133EDF8">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lang w:val="en-US" w:eastAsia="zh-CN"/>
        </w:rPr>
        <w:t>34</w:t>
      </w:r>
      <w:r>
        <w:rPr>
          <w:snapToGrid w:val="0"/>
          <w:color w:val="auto"/>
          <w:kern w:val="0"/>
          <w:sz w:val="24"/>
        </w:rPr>
        <w:t>)《环境保护部农业部关于进一步加强畜禽养殖污染防治的通知》，环水体[2016]144号；</w:t>
      </w:r>
    </w:p>
    <w:p w14:paraId="3766D49F">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lang w:val="en-US" w:eastAsia="zh-CN"/>
        </w:rPr>
        <w:t>35</w:t>
      </w:r>
      <w:r>
        <w:rPr>
          <w:snapToGrid w:val="0"/>
          <w:color w:val="auto"/>
          <w:kern w:val="0"/>
          <w:sz w:val="24"/>
        </w:rPr>
        <w:t>)《关于促进畜禽粪污还田利用依法加强养殖污染治理的指导意见》，农办牧[2019]84号；</w:t>
      </w:r>
    </w:p>
    <w:p w14:paraId="43F6473E">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lang w:val="en-US" w:eastAsia="zh-CN"/>
        </w:rPr>
        <w:t>36</w:t>
      </w:r>
      <w:r>
        <w:rPr>
          <w:snapToGrid w:val="0"/>
          <w:color w:val="auto"/>
          <w:kern w:val="0"/>
          <w:sz w:val="24"/>
        </w:rPr>
        <w:t>)《农业农村部关于调整动物防疫条件审查有关规定的通知》，农牧发[2019]42号；</w:t>
      </w:r>
    </w:p>
    <w:p w14:paraId="0DDDBA2B">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lang w:val="en-US" w:eastAsia="zh-CN"/>
        </w:rPr>
        <w:t>37</w:t>
      </w:r>
      <w:r>
        <w:rPr>
          <w:snapToGrid w:val="0"/>
          <w:color w:val="auto"/>
          <w:kern w:val="0"/>
          <w:sz w:val="24"/>
        </w:rPr>
        <w:t>)《农业农村部财政部关于进一步加强病死畜禽无害化处理工作的通知》，（农牧发〔2020〕6号）</w:t>
      </w:r>
      <w:r>
        <w:rPr>
          <w:rFonts w:hint="eastAsia"/>
          <w:snapToGrid w:val="0"/>
          <w:color w:val="auto"/>
          <w:kern w:val="0"/>
          <w:sz w:val="24"/>
        </w:rPr>
        <w:t>；</w:t>
      </w:r>
    </w:p>
    <w:p w14:paraId="5D12EC16">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lang w:val="en-US" w:eastAsia="zh-CN"/>
        </w:rPr>
        <w:t>38</w:t>
      </w:r>
      <w:r>
        <w:rPr>
          <w:snapToGrid w:val="0"/>
          <w:color w:val="auto"/>
          <w:kern w:val="0"/>
          <w:sz w:val="24"/>
        </w:rPr>
        <w:t>)《固定污染源排污许可分类管理名录（2019 年版）》（生态环境部令第11号，2019年12月20日）</w:t>
      </w:r>
      <w:r>
        <w:rPr>
          <w:rFonts w:hint="eastAsia"/>
          <w:snapToGrid w:val="0"/>
          <w:color w:val="auto"/>
          <w:kern w:val="0"/>
          <w:sz w:val="24"/>
        </w:rPr>
        <w:t>；</w:t>
      </w:r>
    </w:p>
    <w:p w14:paraId="15720307">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lang w:val="en-US" w:eastAsia="zh-CN"/>
        </w:rPr>
        <w:t>39</w:t>
      </w:r>
      <w:r>
        <w:rPr>
          <w:snapToGrid w:val="0"/>
          <w:color w:val="auto"/>
          <w:kern w:val="0"/>
          <w:sz w:val="24"/>
        </w:rPr>
        <w:t>)《排污许可管理办法（试行）》（环境保护部令第48号，2018年1月10日）</w:t>
      </w:r>
    </w:p>
    <w:p w14:paraId="1D9FA645">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rPr>
        <w:t>4</w:t>
      </w:r>
      <w:r>
        <w:rPr>
          <w:rFonts w:hint="eastAsia"/>
          <w:snapToGrid w:val="0"/>
          <w:color w:val="auto"/>
          <w:kern w:val="0"/>
          <w:sz w:val="24"/>
          <w:lang w:val="en-US" w:eastAsia="zh-CN"/>
        </w:rPr>
        <w:t>0</w:t>
      </w:r>
      <w:r>
        <w:rPr>
          <w:snapToGrid w:val="0"/>
          <w:color w:val="auto"/>
          <w:kern w:val="0"/>
          <w:sz w:val="24"/>
        </w:rPr>
        <w:t>)《危险废物转移管理办法》（2021年11月30日生态环境部、公安部、交通运输部令第23号公布，自2022年1月1日起施行）；</w:t>
      </w:r>
    </w:p>
    <w:p w14:paraId="43EF4ADE">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rPr>
        <w:t>41</w:t>
      </w:r>
      <w:r>
        <w:rPr>
          <w:snapToGrid w:val="0"/>
          <w:color w:val="auto"/>
          <w:kern w:val="0"/>
          <w:sz w:val="24"/>
        </w:rPr>
        <w:t>)《病死畜禽和病害畜禽产品无害化处理管理办法》（2022年5月11日农业农村部2022年第3号，自2022年7月1日起施行）</w:t>
      </w:r>
      <w:r>
        <w:rPr>
          <w:rFonts w:hint="eastAsia"/>
          <w:snapToGrid w:val="0"/>
          <w:color w:val="auto"/>
          <w:kern w:val="0"/>
          <w:sz w:val="24"/>
        </w:rPr>
        <w:t>；</w:t>
      </w:r>
    </w:p>
    <w:p w14:paraId="61C194DD">
      <w:pPr>
        <w:pStyle w:val="16"/>
        <w:spacing w:line="360" w:lineRule="auto"/>
        <w:ind w:firstLine="480" w:firstLineChars="200"/>
        <w:rPr>
          <w:snapToGrid w:val="0"/>
          <w:color w:val="auto"/>
          <w:kern w:val="0"/>
          <w:sz w:val="24"/>
        </w:rPr>
      </w:pPr>
      <w:r>
        <w:rPr>
          <w:snapToGrid w:val="0"/>
          <w:color w:val="auto"/>
          <w:kern w:val="0"/>
          <w:sz w:val="24"/>
        </w:rPr>
        <w:t>(</w:t>
      </w:r>
      <w:r>
        <w:rPr>
          <w:rFonts w:hint="eastAsia"/>
          <w:snapToGrid w:val="0"/>
          <w:color w:val="auto"/>
          <w:kern w:val="0"/>
          <w:sz w:val="24"/>
        </w:rPr>
        <w:t>42</w:t>
      </w:r>
      <w:r>
        <w:rPr>
          <w:snapToGrid w:val="0"/>
          <w:color w:val="auto"/>
          <w:kern w:val="0"/>
          <w:sz w:val="24"/>
        </w:rPr>
        <w:t>)</w:t>
      </w:r>
      <w:r>
        <w:rPr>
          <w:rFonts w:hint="eastAsia"/>
          <w:snapToGrid w:val="0"/>
          <w:color w:val="auto"/>
          <w:kern w:val="0"/>
          <w:sz w:val="24"/>
        </w:rPr>
        <w:t>《排污许可管理条例》（国令第736号）2021年3月1日起施行。</w:t>
      </w:r>
    </w:p>
    <w:p w14:paraId="64B910BE">
      <w:pPr>
        <w:pStyle w:val="4"/>
        <w:snapToGrid w:val="0"/>
        <w:spacing w:before="0"/>
        <w:rPr>
          <w:rFonts w:ascii="Times New Roman" w:hAnsi="Times New Roman" w:eastAsia="宋体"/>
          <w:bCs/>
          <w:color w:val="auto"/>
          <w:sz w:val="28"/>
          <w:szCs w:val="28"/>
        </w:rPr>
      </w:pPr>
      <w:bookmarkStart w:id="99" w:name="_Toc5929"/>
      <w:r>
        <w:rPr>
          <w:rFonts w:ascii="Times New Roman" w:hAnsi="Times New Roman" w:eastAsia="宋体"/>
          <w:bCs/>
          <w:color w:val="auto"/>
          <w:sz w:val="28"/>
          <w:szCs w:val="28"/>
        </w:rPr>
        <w:t>2.1.2 相关导则与技术规范</w:t>
      </w:r>
      <w:bookmarkEnd w:id="99"/>
    </w:p>
    <w:p w14:paraId="3F9EC08F">
      <w:pPr>
        <w:spacing w:line="360" w:lineRule="auto"/>
        <w:ind w:firstLine="480" w:firstLineChars="200"/>
        <w:jc w:val="left"/>
        <w:rPr>
          <w:color w:val="auto"/>
          <w:sz w:val="24"/>
        </w:rPr>
      </w:pPr>
      <w:r>
        <w:rPr>
          <w:color w:val="auto"/>
          <w:sz w:val="24"/>
        </w:rPr>
        <w:t>(1)《建设项目环境影响评价技术导则 总纲》(HJ2.1-2016)；</w:t>
      </w:r>
    </w:p>
    <w:p w14:paraId="6552CF92">
      <w:pPr>
        <w:spacing w:line="360" w:lineRule="auto"/>
        <w:ind w:firstLine="480" w:firstLineChars="200"/>
        <w:jc w:val="left"/>
        <w:rPr>
          <w:color w:val="auto"/>
          <w:sz w:val="24"/>
        </w:rPr>
      </w:pPr>
      <w:r>
        <w:rPr>
          <w:color w:val="auto"/>
          <w:sz w:val="24"/>
        </w:rPr>
        <w:t>(2)《环境影响评价技术导则 大气环境》(HJ2.2-2018)；</w:t>
      </w:r>
    </w:p>
    <w:p w14:paraId="04A3B99F">
      <w:pPr>
        <w:spacing w:line="360" w:lineRule="auto"/>
        <w:ind w:firstLine="480" w:firstLineChars="200"/>
        <w:jc w:val="left"/>
        <w:rPr>
          <w:color w:val="auto"/>
          <w:sz w:val="24"/>
        </w:rPr>
      </w:pPr>
      <w:r>
        <w:rPr>
          <w:color w:val="auto"/>
          <w:sz w:val="24"/>
        </w:rPr>
        <w:t>(3)《环境影响评价技术导则 地</w:t>
      </w:r>
      <w:r>
        <w:rPr>
          <w:rFonts w:hint="eastAsia"/>
          <w:color w:val="auto"/>
          <w:sz w:val="24"/>
        </w:rPr>
        <w:t>表</w:t>
      </w:r>
      <w:r>
        <w:rPr>
          <w:color w:val="auto"/>
          <w:sz w:val="24"/>
        </w:rPr>
        <w:t>水环境》(HJ2.3-2018)；</w:t>
      </w:r>
    </w:p>
    <w:p w14:paraId="11E61EBC">
      <w:pPr>
        <w:spacing w:line="360" w:lineRule="auto"/>
        <w:ind w:firstLine="480" w:firstLineChars="200"/>
        <w:jc w:val="left"/>
        <w:rPr>
          <w:color w:val="auto"/>
          <w:sz w:val="24"/>
        </w:rPr>
      </w:pPr>
      <w:r>
        <w:rPr>
          <w:color w:val="auto"/>
          <w:sz w:val="24"/>
        </w:rPr>
        <w:t>(4)《环境影响评价技术导则 地下水》(HJ610-2016)；</w:t>
      </w:r>
    </w:p>
    <w:p w14:paraId="192B1E1F">
      <w:pPr>
        <w:spacing w:line="360" w:lineRule="auto"/>
        <w:ind w:firstLine="480" w:firstLineChars="200"/>
        <w:jc w:val="left"/>
        <w:rPr>
          <w:color w:val="auto"/>
          <w:sz w:val="24"/>
        </w:rPr>
      </w:pPr>
      <w:r>
        <w:rPr>
          <w:color w:val="auto"/>
          <w:sz w:val="24"/>
        </w:rPr>
        <w:t>(5)《环境影响评价技术导则 声环境》(HJ2.4-2021)；</w:t>
      </w:r>
    </w:p>
    <w:p w14:paraId="61B1EDA4">
      <w:pPr>
        <w:spacing w:line="360" w:lineRule="auto"/>
        <w:ind w:firstLine="480" w:firstLineChars="200"/>
        <w:jc w:val="left"/>
        <w:rPr>
          <w:color w:val="auto"/>
          <w:sz w:val="24"/>
        </w:rPr>
      </w:pPr>
      <w:r>
        <w:rPr>
          <w:color w:val="auto"/>
          <w:sz w:val="24"/>
        </w:rPr>
        <w:t>(6)《环境影响评价技术导则 生态环境》(HJ19-20</w:t>
      </w:r>
      <w:r>
        <w:rPr>
          <w:rFonts w:hint="eastAsia"/>
          <w:color w:val="auto"/>
          <w:sz w:val="24"/>
        </w:rPr>
        <w:t>22</w:t>
      </w:r>
      <w:r>
        <w:rPr>
          <w:color w:val="auto"/>
          <w:sz w:val="24"/>
        </w:rPr>
        <w:t>)；</w:t>
      </w:r>
    </w:p>
    <w:p w14:paraId="0E5C6185">
      <w:pPr>
        <w:spacing w:line="360" w:lineRule="auto"/>
        <w:ind w:firstLine="480" w:firstLineChars="200"/>
        <w:jc w:val="left"/>
        <w:rPr>
          <w:color w:val="auto"/>
          <w:sz w:val="24"/>
        </w:rPr>
      </w:pPr>
      <w:r>
        <w:rPr>
          <w:color w:val="auto"/>
          <w:sz w:val="24"/>
        </w:rPr>
        <w:t>(7)《建设项目环境风险评价技术导则》(HJ169-2018)；</w:t>
      </w:r>
    </w:p>
    <w:p w14:paraId="7484E1E2">
      <w:pPr>
        <w:spacing w:line="360" w:lineRule="auto"/>
        <w:ind w:firstLine="480" w:firstLineChars="200"/>
        <w:jc w:val="left"/>
        <w:rPr>
          <w:color w:val="auto"/>
          <w:sz w:val="24"/>
        </w:rPr>
      </w:pPr>
      <w:r>
        <w:rPr>
          <w:color w:val="auto"/>
          <w:sz w:val="24"/>
        </w:rPr>
        <w:t>(8)《建设项目环境影响评价技术导则 土壤环境（试行）》（HJ964 -2018）；</w:t>
      </w:r>
    </w:p>
    <w:p w14:paraId="5FC97697">
      <w:pPr>
        <w:spacing w:line="360" w:lineRule="auto"/>
        <w:ind w:firstLine="480" w:firstLineChars="200"/>
        <w:jc w:val="left"/>
        <w:rPr>
          <w:color w:val="auto"/>
          <w:sz w:val="24"/>
        </w:rPr>
      </w:pPr>
      <w:r>
        <w:rPr>
          <w:color w:val="auto"/>
          <w:sz w:val="24"/>
        </w:rPr>
        <w:t>(9)《环境空气质量功能区划原则与技术方法》(HJ14-1996)；</w:t>
      </w:r>
    </w:p>
    <w:p w14:paraId="7493E474">
      <w:pPr>
        <w:spacing w:line="360" w:lineRule="auto"/>
        <w:ind w:firstLine="480" w:firstLineChars="200"/>
        <w:jc w:val="left"/>
        <w:rPr>
          <w:color w:val="auto"/>
          <w:sz w:val="24"/>
        </w:rPr>
      </w:pPr>
      <w:r>
        <w:rPr>
          <w:color w:val="auto"/>
          <w:sz w:val="24"/>
        </w:rPr>
        <w:t>(10)</w:t>
      </w:r>
      <w:r>
        <w:rPr>
          <w:snapToGrid w:val="0"/>
          <w:color w:val="auto"/>
          <w:kern w:val="0"/>
          <w:sz w:val="24"/>
        </w:rPr>
        <w:t>《声环境功能区划分技术规范》(GB/T15190-2014)；</w:t>
      </w:r>
    </w:p>
    <w:p w14:paraId="38BAD4AB">
      <w:pPr>
        <w:spacing w:line="360" w:lineRule="auto"/>
        <w:ind w:firstLine="480" w:firstLineChars="200"/>
        <w:jc w:val="left"/>
        <w:rPr>
          <w:snapToGrid w:val="0"/>
          <w:color w:val="auto"/>
          <w:kern w:val="0"/>
          <w:sz w:val="24"/>
        </w:rPr>
      </w:pPr>
      <w:r>
        <w:rPr>
          <w:color w:val="auto"/>
          <w:sz w:val="24"/>
        </w:rPr>
        <w:t>(11)</w:t>
      </w:r>
      <w:r>
        <w:rPr>
          <w:snapToGrid w:val="0"/>
          <w:color w:val="auto"/>
          <w:kern w:val="0"/>
          <w:sz w:val="24"/>
        </w:rPr>
        <w:t>《生态环境状况评价技术规范》(HJ192-2006)；</w:t>
      </w:r>
    </w:p>
    <w:p w14:paraId="363E166A">
      <w:pPr>
        <w:spacing w:line="360" w:lineRule="auto"/>
        <w:ind w:firstLine="480" w:firstLineChars="200"/>
        <w:jc w:val="left"/>
        <w:rPr>
          <w:snapToGrid w:val="0"/>
          <w:color w:val="auto"/>
          <w:kern w:val="0"/>
          <w:sz w:val="24"/>
        </w:rPr>
      </w:pPr>
      <w:r>
        <w:rPr>
          <w:snapToGrid w:val="0"/>
          <w:color w:val="auto"/>
          <w:kern w:val="0"/>
          <w:sz w:val="24"/>
        </w:rPr>
        <w:t>(12)《畜禽养殖业污染防治技术规范》(HJ/T81-2001)；</w:t>
      </w:r>
    </w:p>
    <w:p w14:paraId="32662C94">
      <w:pPr>
        <w:spacing w:line="360" w:lineRule="auto"/>
        <w:ind w:firstLine="480" w:firstLineChars="200"/>
        <w:jc w:val="left"/>
        <w:rPr>
          <w:snapToGrid w:val="0"/>
          <w:color w:val="auto"/>
          <w:kern w:val="0"/>
          <w:sz w:val="24"/>
        </w:rPr>
      </w:pPr>
      <w:r>
        <w:rPr>
          <w:color w:val="auto"/>
          <w:sz w:val="24"/>
        </w:rPr>
        <w:t>(13)《畜禽养殖业污染治理工程技术规范》(</w:t>
      </w:r>
      <w:r>
        <w:rPr>
          <w:snapToGrid w:val="0"/>
          <w:color w:val="auto"/>
          <w:kern w:val="0"/>
          <w:sz w:val="24"/>
        </w:rPr>
        <w:t>HJ497-2009</w:t>
      </w:r>
      <w:r>
        <w:rPr>
          <w:color w:val="auto"/>
          <w:sz w:val="24"/>
        </w:rPr>
        <w:t>)</w:t>
      </w:r>
      <w:r>
        <w:rPr>
          <w:snapToGrid w:val="0"/>
          <w:color w:val="auto"/>
          <w:kern w:val="0"/>
          <w:sz w:val="24"/>
        </w:rPr>
        <w:t>；</w:t>
      </w:r>
    </w:p>
    <w:p w14:paraId="1A8C12FB">
      <w:pPr>
        <w:spacing w:line="360" w:lineRule="auto"/>
        <w:ind w:firstLine="480" w:firstLineChars="200"/>
        <w:jc w:val="left"/>
        <w:rPr>
          <w:color w:val="auto"/>
          <w:sz w:val="24"/>
        </w:rPr>
      </w:pPr>
      <w:r>
        <w:rPr>
          <w:color w:val="auto"/>
          <w:sz w:val="24"/>
        </w:rPr>
        <w:t>(14)《规模畜禽养殖场污染防治最佳可行技术指南(试行)》(HJ-BAT-10)；</w:t>
      </w:r>
    </w:p>
    <w:p w14:paraId="4C1BF8A1">
      <w:pPr>
        <w:spacing w:line="360" w:lineRule="auto"/>
        <w:ind w:firstLine="480" w:firstLineChars="200"/>
        <w:jc w:val="left"/>
        <w:rPr>
          <w:color w:val="auto"/>
          <w:sz w:val="24"/>
        </w:rPr>
      </w:pPr>
      <w:r>
        <w:rPr>
          <w:color w:val="auto"/>
          <w:sz w:val="24"/>
        </w:rPr>
        <w:t>(15)《地下水环境监测技术规范》（HJ164-2020）；</w:t>
      </w:r>
    </w:p>
    <w:p w14:paraId="17E70377">
      <w:pPr>
        <w:spacing w:line="360" w:lineRule="auto"/>
        <w:ind w:firstLine="480" w:firstLineChars="200"/>
        <w:jc w:val="left"/>
        <w:rPr>
          <w:color w:val="auto"/>
          <w:sz w:val="24"/>
        </w:rPr>
      </w:pPr>
      <w:r>
        <w:rPr>
          <w:color w:val="auto"/>
          <w:sz w:val="24"/>
        </w:rPr>
        <w:t>(16)《畜禽粪污土地承载力测算技术指南》（农办牧[2018]1号）</w:t>
      </w:r>
      <w:r>
        <w:rPr>
          <w:rFonts w:hint="eastAsia"/>
          <w:color w:val="auto"/>
          <w:sz w:val="24"/>
        </w:rPr>
        <w:t>；</w:t>
      </w:r>
    </w:p>
    <w:p w14:paraId="3A283F36">
      <w:pPr>
        <w:spacing w:line="360" w:lineRule="auto"/>
        <w:ind w:firstLine="480" w:firstLineChars="200"/>
        <w:rPr>
          <w:color w:val="auto"/>
          <w:sz w:val="24"/>
        </w:rPr>
      </w:pPr>
      <w:r>
        <w:rPr>
          <w:color w:val="auto"/>
          <w:sz w:val="24"/>
        </w:rPr>
        <w:t>(1</w:t>
      </w:r>
      <w:r>
        <w:rPr>
          <w:rFonts w:hint="eastAsia"/>
          <w:color w:val="auto"/>
          <w:sz w:val="24"/>
        </w:rPr>
        <w:t>7</w:t>
      </w:r>
      <w:r>
        <w:rPr>
          <w:color w:val="auto"/>
          <w:sz w:val="24"/>
        </w:rPr>
        <w:t>)《大气污染治理工程技术导则》（HJ2000-2010）；</w:t>
      </w:r>
    </w:p>
    <w:p w14:paraId="489D17F7">
      <w:pPr>
        <w:spacing w:line="360" w:lineRule="auto"/>
        <w:ind w:firstLine="480" w:firstLineChars="200"/>
        <w:rPr>
          <w:color w:val="auto"/>
          <w:sz w:val="24"/>
        </w:rPr>
      </w:pPr>
      <w:r>
        <w:rPr>
          <w:color w:val="auto"/>
          <w:sz w:val="24"/>
        </w:rPr>
        <w:t>(1</w:t>
      </w:r>
      <w:r>
        <w:rPr>
          <w:rFonts w:hint="eastAsia"/>
          <w:color w:val="auto"/>
          <w:sz w:val="24"/>
        </w:rPr>
        <w:t>8</w:t>
      </w:r>
      <w:r>
        <w:rPr>
          <w:color w:val="auto"/>
          <w:sz w:val="24"/>
        </w:rPr>
        <w:t>)《水污染治理工程技术导则》(HJ2015-2012)；</w:t>
      </w:r>
    </w:p>
    <w:p w14:paraId="56098A30">
      <w:pPr>
        <w:spacing w:line="360" w:lineRule="auto"/>
        <w:ind w:firstLine="480" w:firstLineChars="200"/>
        <w:rPr>
          <w:color w:val="auto"/>
          <w:sz w:val="24"/>
        </w:rPr>
      </w:pPr>
      <w:r>
        <w:rPr>
          <w:color w:val="auto"/>
          <w:sz w:val="24"/>
        </w:rPr>
        <w:t>(1</w:t>
      </w:r>
      <w:r>
        <w:rPr>
          <w:rFonts w:hint="eastAsia"/>
          <w:color w:val="auto"/>
          <w:sz w:val="24"/>
        </w:rPr>
        <w:t>9</w:t>
      </w:r>
      <w:r>
        <w:rPr>
          <w:color w:val="auto"/>
          <w:sz w:val="24"/>
        </w:rPr>
        <w:t>)《突发环境事件应急监测技术规范》（HJ589-2010）；</w:t>
      </w:r>
    </w:p>
    <w:p w14:paraId="30BA2090">
      <w:pPr>
        <w:spacing w:line="360" w:lineRule="auto"/>
        <w:ind w:firstLine="480" w:firstLineChars="200"/>
        <w:rPr>
          <w:color w:val="auto"/>
          <w:sz w:val="24"/>
        </w:rPr>
      </w:pPr>
      <w:r>
        <w:rPr>
          <w:color w:val="auto"/>
          <w:sz w:val="24"/>
        </w:rPr>
        <w:t>(</w:t>
      </w:r>
      <w:r>
        <w:rPr>
          <w:rFonts w:hint="eastAsia"/>
          <w:color w:val="auto"/>
          <w:sz w:val="24"/>
        </w:rPr>
        <w:t>20</w:t>
      </w:r>
      <w:r>
        <w:rPr>
          <w:color w:val="auto"/>
          <w:sz w:val="24"/>
        </w:rPr>
        <w:t>)《环境保护图形标志-固体废物贮存(处置)场》(GB15562.2-1995)；</w:t>
      </w:r>
    </w:p>
    <w:p w14:paraId="72D895AC">
      <w:pPr>
        <w:spacing w:line="360" w:lineRule="auto"/>
        <w:ind w:firstLine="480" w:firstLineChars="200"/>
        <w:rPr>
          <w:color w:val="auto"/>
          <w:sz w:val="24"/>
        </w:rPr>
      </w:pPr>
      <w:r>
        <w:rPr>
          <w:color w:val="auto"/>
          <w:sz w:val="24"/>
        </w:rPr>
        <w:t>(</w:t>
      </w:r>
      <w:r>
        <w:rPr>
          <w:rFonts w:hint="eastAsia"/>
          <w:color w:val="auto"/>
          <w:sz w:val="24"/>
        </w:rPr>
        <w:t>21</w:t>
      </w:r>
      <w:r>
        <w:rPr>
          <w:color w:val="auto"/>
          <w:sz w:val="24"/>
        </w:rPr>
        <w:t>)《固体废物处理处置工程技术导则》（HJ2035-2013）；</w:t>
      </w:r>
    </w:p>
    <w:p w14:paraId="25F20BFB">
      <w:pPr>
        <w:spacing w:line="360" w:lineRule="auto"/>
        <w:ind w:firstLine="480" w:firstLineChars="200"/>
        <w:rPr>
          <w:color w:val="auto"/>
          <w:sz w:val="24"/>
        </w:rPr>
      </w:pPr>
      <w:r>
        <w:rPr>
          <w:color w:val="auto"/>
          <w:sz w:val="24"/>
        </w:rPr>
        <w:t>(</w:t>
      </w:r>
      <w:r>
        <w:rPr>
          <w:rFonts w:hint="eastAsia"/>
          <w:color w:val="auto"/>
          <w:sz w:val="24"/>
        </w:rPr>
        <w:t>22</w:t>
      </w:r>
      <w:r>
        <w:rPr>
          <w:color w:val="auto"/>
          <w:sz w:val="24"/>
        </w:rPr>
        <w:t>)《一般工业固体废物贮存和填埋污染控制标准》（GB18599-2020）</w:t>
      </w:r>
      <w:r>
        <w:rPr>
          <w:rFonts w:hint="eastAsia"/>
          <w:color w:val="auto"/>
          <w:sz w:val="24"/>
        </w:rPr>
        <w:t>；</w:t>
      </w:r>
    </w:p>
    <w:p w14:paraId="6DD43AB3">
      <w:pPr>
        <w:spacing w:line="360" w:lineRule="auto"/>
        <w:ind w:firstLine="480" w:firstLineChars="200"/>
        <w:rPr>
          <w:color w:val="auto"/>
          <w:sz w:val="24"/>
        </w:rPr>
      </w:pPr>
      <w:r>
        <w:rPr>
          <w:color w:val="auto"/>
          <w:sz w:val="24"/>
        </w:rPr>
        <w:t>(</w:t>
      </w:r>
      <w:r>
        <w:rPr>
          <w:rFonts w:hint="eastAsia"/>
          <w:color w:val="auto"/>
          <w:sz w:val="24"/>
        </w:rPr>
        <w:t>23</w:t>
      </w:r>
      <w:r>
        <w:rPr>
          <w:color w:val="auto"/>
          <w:sz w:val="24"/>
        </w:rPr>
        <w:t>)</w:t>
      </w:r>
      <w:r>
        <w:rPr>
          <w:rFonts w:hint="eastAsia"/>
          <w:color w:val="auto"/>
          <w:sz w:val="24"/>
        </w:rPr>
        <w:t>《固体废物鉴别标准 通则》（GB34330-2017）</w:t>
      </w:r>
    </w:p>
    <w:p w14:paraId="01F70F15">
      <w:pPr>
        <w:spacing w:line="360" w:lineRule="auto"/>
        <w:ind w:firstLine="480" w:firstLineChars="200"/>
        <w:rPr>
          <w:color w:val="auto"/>
          <w:sz w:val="24"/>
        </w:rPr>
      </w:pPr>
      <w:r>
        <w:rPr>
          <w:color w:val="auto"/>
          <w:sz w:val="24"/>
        </w:rPr>
        <w:t>(</w:t>
      </w:r>
      <w:r>
        <w:rPr>
          <w:rFonts w:hint="eastAsia"/>
          <w:color w:val="auto"/>
          <w:sz w:val="24"/>
        </w:rPr>
        <w:t>24</w:t>
      </w:r>
      <w:r>
        <w:rPr>
          <w:color w:val="auto"/>
          <w:sz w:val="24"/>
        </w:rPr>
        <w:t>)</w:t>
      </w:r>
      <w:r>
        <w:rPr>
          <w:rFonts w:hint="eastAsia"/>
          <w:color w:val="auto"/>
          <w:sz w:val="24"/>
        </w:rPr>
        <w:t>《</w:t>
      </w:r>
      <w:r>
        <w:rPr>
          <w:color w:val="auto"/>
          <w:sz w:val="24"/>
        </w:rPr>
        <w:t>禽场环境污染控制技术规范》（NY/T1169-2006）；</w:t>
      </w:r>
    </w:p>
    <w:p w14:paraId="3BA0CABE">
      <w:pPr>
        <w:spacing w:line="360" w:lineRule="auto"/>
        <w:ind w:firstLine="480" w:firstLineChars="200"/>
        <w:rPr>
          <w:color w:val="auto"/>
          <w:sz w:val="24"/>
        </w:rPr>
      </w:pPr>
      <w:r>
        <w:rPr>
          <w:color w:val="auto"/>
          <w:sz w:val="24"/>
        </w:rPr>
        <w:t>(</w:t>
      </w:r>
      <w:r>
        <w:rPr>
          <w:rFonts w:hint="eastAsia"/>
          <w:color w:val="auto"/>
          <w:sz w:val="24"/>
        </w:rPr>
        <w:t>25</w:t>
      </w:r>
      <w:r>
        <w:rPr>
          <w:color w:val="auto"/>
          <w:sz w:val="24"/>
        </w:rPr>
        <w:t>)《畜禽粪便无害化处理技术规范》（GB/T36195-2018）</w:t>
      </w:r>
      <w:r>
        <w:rPr>
          <w:rFonts w:hint="eastAsia"/>
          <w:color w:val="auto"/>
          <w:sz w:val="24"/>
        </w:rPr>
        <w:t>；</w:t>
      </w:r>
    </w:p>
    <w:p w14:paraId="49921FF6">
      <w:pPr>
        <w:spacing w:line="360" w:lineRule="auto"/>
        <w:ind w:firstLine="480" w:firstLineChars="200"/>
        <w:rPr>
          <w:color w:val="auto"/>
          <w:sz w:val="24"/>
        </w:rPr>
      </w:pPr>
      <w:r>
        <w:rPr>
          <w:color w:val="auto"/>
          <w:sz w:val="24"/>
        </w:rPr>
        <w:t>(</w:t>
      </w:r>
      <w:r>
        <w:rPr>
          <w:rFonts w:hint="eastAsia"/>
          <w:color w:val="auto"/>
          <w:sz w:val="24"/>
        </w:rPr>
        <w:t>26</w:t>
      </w:r>
      <w:r>
        <w:rPr>
          <w:color w:val="auto"/>
          <w:sz w:val="24"/>
        </w:rPr>
        <w:t>)《畜禽粪便还田技术规范》（GB/T25246-2010）</w:t>
      </w:r>
      <w:r>
        <w:rPr>
          <w:rFonts w:hint="eastAsia"/>
          <w:color w:val="auto"/>
          <w:sz w:val="24"/>
        </w:rPr>
        <w:t>；</w:t>
      </w:r>
    </w:p>
    <w:p w14:paraId="2253DFD1">
      <w:pPr>
        <w:spacing w:line="360" w:lineRule="auto"/>
        <w:ind w:firstLine="480" w:firstLineChars="200"/>
        <w:rPr>
          <w:color w:val="auto"/>
          <w:sz w:val="24"/>
        </w:rPr>
      </w:pPr>
      <w:r>
        <w:rPr>
          <w:color w:val="auto"/>
          <w:sz w:val="24"/>
        </w:rPr>
        <w:t>(</w:t>
      </w:r>
      <w:r>
        <w:rPr>
          <w:rFonts w:hint="eastAsia"/>
          <w:color w:val="auto"/>
          <w:sz w:val="24"/>
        </w:rPr>
        <w:t>27</w:t>
      </w:r>
      <w:r>
        <w:rPr>
          <w:color w:val="auto"/>
          <w:sz w:val="24"/>
        </w:rPr>
        <w:t>)《病死及病害动物无害化处理技术规范》（农业部，农医发〔2017〕25号，2017年7月3日）；</w:t>
      </w:r>
    </w:p>
    <w:p w14:paraId="466661BA">
      <w:pPr>
        <w:spacing w:line="360" w:lineRule="auto"/>
        <w:ind w:firstLine="480" w:firstLineChars="200"/>
        <w:rPr>
          <w:color w:val="auto"/>
          <w:sz w:val="24"/>
        </w:rPr>
      </w:pPr>
      <w:r>
        <w:rPr>
          <w:color w:val="auto"/>
          <w:sz w:val="24"/>
        </w:rPr>
        <w:t>(</w:t>
      </w:r>
      <w:r>
        <w:rPr>
          <w:rFonts w:hint="eastAsia"/>
          <w:color w:val="auto"/>
          <w:sz w:val="24"/>
        </w:rPr>
        <w:t>28</w:t>
      </w:r>
      <w:r>
        <w:rPr>
          <w:color w:val="auto"/>
          <w:sz w:val="24"/>
        </w:rPr>
        <w:t xml:space="preserve">)《排污许可申请核发技术规范 </w:t>
      </w:r>
      <w:r>
        <w:rPr>
          <w:rFonts w:hint="eastAsia"/>
          <w:color w:val="auto"/>
          <w:sz w:val="24"/>
        </w:rPr>
        <w:t>锅炉</w:t>
      </w:r>
      <w:r>
        <w:rPr>
          <w:color w:val="auto"/>
          <w:sz w:val="24"/>
        </w:rPr>
        <w:t>》（HJ</w:t>
      </w:r>
      <w:r>
        <w:rPr>
          <w:rFonts w:hint="eastAsia"/>
          <w:color w:val="auto"/>
          <w:sz w:val="24"/>
        </w:rPr>
        <w:t>953-2018</w:t>
      </w:r>
      <w:r>
        <w:rPr>
          <w:color w:val="auto"/>
          <w:sz w:val="24"/>
        </w:rPr>
        <w:t>）</w:t>
      </w:r>
    </w:p>
    <w:p w14:paraId="43319E10">
      <w:pPr>
        <w:spacing w:line="360" w:lineRule="auto"/>
        <w:ind w:firstLine="480" w:firstLineChars="200"/>
        <w:rPr>
          <w:color w:val="auto"/>
          <w:sz w:val="24"/>
        </w:rPr>
      </w:pPr>
      <w:r>
        <w:rPr>
          <w:color w:val="auto"/>
          <w:sz w:val="24"/>
        </w:rPr>
        <w:t>(</w:t>
      </w:r>
      <w:r>
        <w:rPr>
          <w:rFonts w:hint="eastAsia"/>
          <w:color w:val="auto"/>
          <w:sz w:val="24"/>
        </w:rPr>
        <w:t>29</w:t>
      </w:r>
      <w:r>
        <w:rPr>
          <w:color w:val="auto"/>
          <w:sz w:val="24"/>
        </w:rPr>
        <w:t>)农业农村部办公厅、生态环境部办公厅关于印发《畜禽养殖场（户）粪污处理设施建设技术指南》的通知（农办牧[2022]19号）</w:t>
      </w:r>
    </w:p>
    <w:p w14:paraId="6EFDC42A">
      <w:pPr>
        <w:spacing w:line="360" w:lineRule="auto"/>
        <w:ind w:firstLine="480" w:firstLineChars="200"/>
        <w:rPr>
          <w:color w:val="auto"/>
          <w:sz w:val="24"/>
        </w:rPr>
      </w:pPr>
      <w:r>
        <w:rPr>
          <w:color w:val="auto"/>
          <w:sz w:val="24"/>
        </w:rPr>
        <w:t>(</w:t>
      </w:r>
      <w:r>
        <w:rPr>
          <w:rFonts w:hint="eastAsia"/>
          <w:color w:val="auto"/>
          <w:sz w:val="24"/>
        </w:rPr>
        <w:t>30</w:t>
      </w:r>
      <w:r>
        <w:rPr>
          <w:color w:val="auto"/>
          <w:sz w:val="24"/>
        </w:rPr>
        <w:t>)《畜禽养殖业产污系数与排污系数手册》</w:t>
      </w:r>
    </w:p>
    <w:p w14:paraId="1E256831">
      <w:pPr>
        <w:spacing w:line="360" w:lineRule="auto"/>
        <w:ind w:firstLine="480" w:firstLineChars="200"/>
        <w:rPr>
          <w:color w:val="auto"/>
          <w:sz w:val="24"/>
        </w:rPr>
      </w:pPr>
      <w:r>
        <w:rPr>
          <w:color w:val="auto"/>
          <w:sz w:val="24"/>
        </w:rPr>
        <w:t>(</w:t>
      </w:r>
      <w:r>
        <w:rPr>
          <w:rFonts w:hint="eastAsia"/>
          <w:color w:val="auto"/>
          <w:sz w:val="24"/>
        </w:rPr>
        <w:t>31</w:t>
      </w:r>
      <w:r>
        <w:rPr>
          <w:color w:val="auto"/>
          <w:sz w:val="24"/>
        </w:rPr>
        <w:t>)</w:t>
      </w:r>
      <w:r>
        <w:rPr>
          <w:rFonts w:hint="eastAsia"/>
          <w:color w:val="auto"/>
          <w:sz w:val="24"/>
        </w:rPr>
        <w:t>《排污单位自行监测技术指南 总则》（HJ819-2017）；</w:t>
      </w:r>
    </w:p>
    <w:p w14:paraId="32EF1E5C">
      <w:pPr>
        <w:spacing w:line="360" w:lineRule="auto"/>
        <w:ind w:firstLine="480" w:firstLineChars="200"/>
        <w:rPr>
          <w:color w:val="auto"/>
          <w:sz w:val="24"/>
          <w:highlight w:val="yellow"/>
        </w:rPr>
      </w:pPr>
      <w:r>
        <w:rPr>
          <w:color w:val="auto"/>
          <w:sz w:val="24"/>
        </w:rPr>
        <w:t>(</w:t>
      </w:r>
      <w:r>
        <w:rPr>
          <w:rFonts w:hint="eastAsia"/>
          <w:color w:val="auto"/>
          <w:sz w:val="24"/>
        </w:rPr>
        <w:t>32</w:t>
      </w:r>
      <w:r>
        <w:rPr>
          <w:color w:val="auto"/>
          <w:sz w:val="24"/>
        </w:rPr>
        <w:t>)《排污单位自行监测技术指南</w:t>
      </w:r>
      <w:r>
        <w:rPr>
          <w:rFonts w:hint="eastAsia"/>
          <w:color w:val="auto"/>
          <w:sz w:val="24"/>
        </w:rPr>
        <w:t xml:space="preserve"> </w:t>
      </w:r>
      <w:r>
        <w:rPr>
          <w:color w:val="auto"/>
          <w:sz w:val="24"/>
        </w:rPr>
        <w:t>畜禽养殖行业》（HJ1252-2022）；</w:t>
      </w:r>
    </w:p>
    <w:p w14:paraId="500A47CF">
      <w:pPr>
        <w:spacing w:line="360" w:lineRule="auto"/>
        <w:ind w:firstLine="480" w:firstLineChars="200"/>
        <w:rPr>
          <w:color w:val="auto"/>
          <w:sz w:val="24"/>
        </w:rPr>
      </w:pPr>
      <w:r>
        <w:rPr>
          <w:rFonts w:hint="eastAsia"/>
          <w:color w:val="auto"/>
          <w:sz w:val="24"/>
        </w:rPr>
        <w:t>(33)</w:t>
      </w:r>
      <w:r>
        <w:rPr>
          <w:color w:val="auto"/>
          <w:sz w:val="24"/>
        </w:rPr>
        <w:t>《排污许可申请核发技术规范 畜禽养殖行业》（HJ1029-2019）。</w:t>
      </w:r>
    </w:p>
    <w:p w14:paraId="2EB70A88">
      <w:pPr>
        <w:pStyle w:val="4"/>
        <w:snapToGrid w:val="0"/>
        <w:spacing w:before="0"/>
        <w:rPr>
          <w:rFonts w:ascii="Times New Roman" w:hAnsi="Times New Roman" w:eastAsia="宋体"/>
          <w:bCs/>
          <w:color w:val="auto"/>
          <w:sz w:val="28"/>
          <w:szCs w:val="28"/>
          <w:highlight w:val="none"/>
        </w:rPr>
      </w:pPr>
      <w:bookmarkStart w:id="100" w:name="_Toc21796"/>
      <w:r>
        <w:rPr>
          <w:rFonts w:ascii="Times New Roman" w:hAnsi="Times New Roman" w:eastAsia="宋体"/>
          <w:bCs/>
          <w:color w:val="auto"/>
          <w:sz w:val="28"/>
          <w:szCs w:val="28"/>
          <w:highlight w:val="none"/>
        </w:rPr>
        <w:t>2.1.3 地方法规、规章文件</w:t>
      </w:r>
      <w:bookmarkEnd w:id="100"/>
    </w:p>
    <w:p w14:paraId="2D1A4EE9">
      <w:pPr>
        <w:spacing w:line="360" w:lineRule="auto"/>
        <w:ind w:firstLine="480" w:firstLineChars="200"/>
        <w:jc w:val="left"/>
        <w:rPr>
          <w:color w:val="auto"/>
          <w:sz w:val="24"/>
        </w:rPr>
      </w:pPr>
      <w:r>
        <w:rPr>
          <w:color w:val="auto"/>
          <w:sz w:val="24"/>
        </w:rPr>
        <w:t>（1）《辽宁省环境保护条例》（2018.2.1）；</w:t>
      </w:r>
    </w:p>
    <w:p w14:paraId="20271258">
      <w:pPr>
        <w:spacing w:line="360" w:lineRule="auto"/>
        <w:ind w:firstLine="480" w:firstLineChars="200"/>
        <w:jc w:val="left"/>
        <w:rPr>
          <w:color w:val="auto"/>
          <w:sz w:val="24"/>
        </w:rPr>
      </w:pPr>
      <w:r>
        <w:rPr>
          <w:color w:val="auto"/>
          <w:sz w:val="24"/>
        </w:rPr>
        <w:t>（2）《辽宁省固体废物污染环境防治办法》辽宁省人民政府第311号（2017年11月29日）；</w:t>
      </w:r>
    </w:p>
    <w:p w14:paraId="11B63990">
      <w:pPr>
        <w:spacing w:line="360" w:lineRule="auto"/>
        <w:ind w:firstLine="480" w:firstLineChars="200"/>
        <w:jc w:val="left"/>
        <w:rPr>
          <w:color w:val="auto"/>
          <w:sz w:val="24"/>
        </w:rPr>
      </w:pPr>
      <w:r>
        <w:rPr>
          <w:color w:val="auto"/>
          <w:sz w:val="24"/>
        </w:rPr>
        <w:t>（3）辽宁省环境保护厅《关于贯彻执行环保部建设项目主要污染物排放总量指标审核及管理暂行办法的通知》（辽环发[2015]17号）；</w:t>
      </w:r>
    </w:p>
    <w:p w14:paraId="22FBBB8D">
      <w:pPr>
        <w:spacing w:line="360" w:lineRule="auto"/>
        <w:ind w:firstLine="480" w:firstLineChars="200"/>
        <w:jc w:val="left"/>
        <w:rPr>
          <w:color w:val="auto"/>
          <w:sz w:val="24"/>
        </w:rPr>
      </w:pPr>
      <w:r>
        <w:rPr>
          <w:color w:val="auto"/>
          <w:sz w:val="24"/>
        </w:rPr>
        <w:t>（4）《辽宁省人民政府关于印发辽宁省大气污染防治行动计划实施方案的通知》（辽政发[2014]8号）；</w:t>
      </w:r>
    </w:p>
    <w:p w14:paraId="443C1FD2">
      <w:pPr>
        <w:spacing w:line="360" w:lineRule="auto"/>
        <w:ind w:firstLine="480" w:firstLineChars="200"/>
        <w:jc w:val="left"/>
        <w:rPr>
          <w:color w:val="auto"/>
          <w:sz w:val="24"/>
        </w:rPr>
      </w:pPr>
      <w:r>
        <w:rPr>
          <w:color w:val="auto"/>
          <w:sz w:val="24"/>
        </w:rPr>
        <w:t>（5）《辽宁省水污染防治工作方案》辽政发[2015]79号；</w:t>
      </w:r>
    </w:p>
    <w:p w14:paraId="1C60C714">
      <w:pPr>
        <w:spacing w:line="360" w:lineRule="auto"/>
        <w:ind w:firstLine="480" w:firstLineChars="200"/>
        <w:jc w:val="left"/>
        <w:rPr>
          <w:color w:val="auto"/>
          <w:sz w:val="24"/>
        </w:rPr>
      </w:pPr>
      <w:r>
        <w:rPr>
          <w:color w:val="auto"/>
          <w:sz w:val="24"/>
        </w:rPr>
        <w:t>（6）《关于印发辽宁省土壤污染防治工作方案》（辽政发[2016]58号）；</w:t>
      </w:r>
    </w:p>
    <w:p w14:paraId="50F8ADF1">
      <w:pPr>
        <w:spacing w:line="360" w:lineRule="auto"/>
        <w:ind w:firstLine="480" w:firstLineChars="200"/>
        <w:jc w:val="left"/>
        <w:rPr>
          <w:color w:val="auto"/>
          <w:sz w:val="24"/>
        </w:rPr>
      </w:pPr>
      <w:r>
        <w:rPr>
          <w:color w:val="auto"/>
          <w:sz w:val="24"/>
        </w:rPr>
        <w:t>（7）《辽宁省人民政府关于蓝天工程的实施意见》（辽政发[2012]36号）；</w:t>
      </w:r>
    </w:p>
    <w:p w14:paraId="26319D1C">
      <w:pPr>
        <w:spacing w:line="360" w:lineRule="auto"/>
        <w:ind w:firstLine="480" w:firstLineChars="200"/>
        <w:jc w:val="left"/>
        <w:rPr>
          <w:color w:val="auto"/>
          <w:sz w:val="24"/>
        </w:rPr>
      </w:pPr>
      <w:r>
        <w:rPr>
          <w:color w:val="auto"/>
          <w:sz w:val="24"/>
        </w:rPr>
        <w:t>（8）《关于加强大气污染治理工作的实施意见》（辽委发[2016]2号）；</w:t>
      </w:r>
    </w:p>
    <w:p w14:paraId="0F517EB4">
      <w:pPr>
        <w:spacing w:line="360" w:lineRule="auto"/>
        <w:ind w:firstLine="480" w:firstLineChars="200"/>
        <w:jc w:val="left"/>
        <w:rPr>
          <w:color w:val="auto"/>
          <w:sz w:val="24"/>
        </w:rPr>
      </w:pPr>
      <w:r>
        <w:rPr>
          <w:color w:val="auto"/>
          <w:sz w:val="24"/>
        </w:rPr>
        <w:t>（9）《辽宁省畜牧局关于病死动物无害化处理设施建设原则的通知》（辽牧发[2014]164号），辽宁省畜牧兽医局，2014年8月1日；</w:t>
      </w:r>
    </w:p>
    <w:p w14:paraId="2FAA9647">
      <w:pPr>
        <w:spacing w:line="360" w:lineRule="auto"/>
        <w:ind w:firstLine="480" w:firstLineChars="200"/>
        <w:jc w:val="left"/>
        <w:rPr>
          <w:color w:val="auto"/>
          <w:sz w:val="24"/>
        </w:rPr>
      </w:pPr>
      <w:r>
        <w:rPr>
          <w:color w:val="auto"/>
          <w:sz w:val="24"/>
        </w:rPr>
        <w:t>（10）《关于全面开展农村环境治理的实施意见》（辽政发[2013]11号）；</w:t>
      </w:r>
    </w:p>
    <w:p w14:paraId="1E0E5078">
      <w:pPr>
        <w:spacing w:line="360" w:lineRule="auto"/>
        <w:ind w:firstLine="480" w:firstLineChars="200"/>
        <w:jc w:val="left"/>
        <w:rPr>
          <w:color w:val="auto"/>
          <w:sz w:val="24"/>
        </w:rPr>
      </w:pPr>
      <w:r>
        <w:rPr>
          <w:color w:val="auto"/>
          <w:sz w:val="24"/>
        </w:rPr>
        <w:t>（11）《辽宁省人民政府关于印发辽宁省打赢蓝天保卫战三年行动方案（2018~2020年）的通知》(辽政发[2018]31号)；</w:t>
      </w:r>
    </w:p>
    <w:p w14:paraId="2C2A1AA2">
      <w:pPr>
        <w:spacing w:line="360" w:lineRule="auto"/>
        <w:ind w:firstLine="480" w:firstLineChars="200"/>
        <w:jc w:val="left"/>
        <w:rPr>
          <w:color w:val="auto"/>
          <w:sz w:val="24"/>
        </w:rPr>
      </w:pPr>
      <w:r>
        <w:rPr>
          <w:color w:val="auto"/>
          <w:sz w:val="24"/>
        </w:rPr>
        <w:t>（12）《辽宁省人民政府关于印发辽宁省大气污染防治行动计划实施方案的通知》（辽政发[2014]8号）；</w:t>
      </w:r>
    </w:p>
    <w:p w14:paraId="3533D860">
      <w:pPr>
        <w:spacing w:line="360" w:lineRule="auto"/>
        <w:ind w:firstLine="480" w:firstLineChars="200"/>
        <w:jc w:val="left"/>
        <w:rPr>
          <w:color w:val="auto"/>
          <w:sz w:val="24"/>
        </w:rPr>
      </w:pPr>
      <w:r>
        <w:rPr>
          <w:color w:val="auto"/>
          <w:sz w:val="24"/>
        </w:rPr>
        <w:t>（13）辽宁省人民政府关于印发辽宁省水污染防治工作方案的通知（辽政发[2015]79号）；</w:t>
      </w:r>
    </w:p>
    <w:p w14:paraId="32F5F254">
      <w:pPr>
        <w:spacing w:line="360" w:lineRule="auto"/>
        <w:ind w:firstLine="480" w:firstLineChars="200"/>
        <w:jc w:val="left"/>
        <w:rPr>
          <w:color w:val="auto"/>
          <w:sz w:val="24"/>
        </w:rPr>
      </w:pPr>
      <w:r>
        <w:rPr>
          <w:color w:val="auto"/>
          <w:sz w:val="24"/>
        </w:rPr>
        <w:t>（14）《辽宁省人民政府关于印发辽宁省土壤污染防治工作方案的通知》（辽政发[2016]58号）；</w:t>
      </w:r>
    </w:p>
    <w:p w14:paraId="12DC6E20">
      <w:pPr>
        <w:spacing w:line="360" w:lineRule="auto"/>
        <w:ind w:firstLine="480" w:firstLineChars="200"/>
        <w:jc w:val="left"/>
        <w:rPr>
          <w:color w:val="auto"/>
          <w:sz w:val="24"/>
        </w:rPr>
      </w:pPr>
      <w:r>
        <w:rPr>
          <w:color w:val="auto"/>
          <w:sz w:val="24"/>
        </w:rPr>
        <w:t>（15）《辽宁省建设项目环境监理管理暂行办法》；</w:t>
      </w:r>
    </w:p>
    <w:p w14:paraId="30CDE428">
      <w:pPr>
        <w:spacing w:line="360" w:lineRule="auto"/>
        <w:ind w:firstLine="480" w:firstLineChars="200"/>
        <w:jc w:val="left"/>
        <w:rPr>
          <w:color w:val="auto"/>
          <w:sz w:val="24"/>
        </w:rPr>
      </w:pPr>
      <w:r>
        <w:rPr>
          <w:color w:val="auto"/>
          <w:sz w:val="24"/>
        </w:rPr>
        <w:t>（16）《朝阳市畜禽养殖业及畜产品加工倍增行动实施方案》；</w:t>
      </w:r>
    </w:p>
    <w:p w14:paraId="0095064C">
      <w:pPr>
        <w:spacing w:line="360" w:lineRule="auto"/>
        <w:ind w:firstLine="480" w:firstLineChars="200"/>
        <w:jc w:val="left"/>
        <w:rPr>
          <w:color w:val="auto"/>
          <w:sz w:val="24"/>
        </w:rPr>
      </w:pPr>
      <w:r>
        <w:rPr>
          <w:color w:val="auto"/>
          <w:sz w:val="24"/>
        </w:rPr>
        <w:t>（17）《朝阳市农村环境综合治理工作实施方案》（朝政办发[2013]50号）；</w:t>
      </w:r>
    </w:p>
    <w:p w14:paraId="550AD466">
      <w:pPr>
        <w:spacing w:line="360" w:lineRule="auto"/>
        <w:ind w:firstLine="480" w:firstLineChars="200"/>
        <w:jc w:val="left"/>
        <w:rPr>
          <w:color w:val="auto"/>
          <w:sz w:val="24"/>
        </w:rPr>
      </w:pPr>
      <w:r>
        <w:rPr>
          <w:color w:val="auto"/>
          <w:sz w:val="24"/>
        </w:rPr>
        <w:t>（18）《关于转发辽宁省人民政府办公厅关于划定畜禽禁养区和依法关闭或搬迁禁养区内规模养殖场（小区）、养殖专业户工作的通知的通知》（朝环发〔2015〕134号）；</w:t>
      </w:r>
    </w:p>
    <w:p w14:paraId="6E133F6A">
      <w:pPr>
        <w:spacing w:line="360" w:lineRule="auto"/>
        <w:ind w:firstLine="480" w:firstLineChars="200"/>
        <w:jc w:val="left"/>
        <w:rPr>
          <w:color w:val="auto"/>
          <w:sz w:val="24"/>
        </w:rPr>
      </w:pPr>
      <w:r>
        <w:rPr>
          <w:color w:val="auto"/>
          <w:sz w:val="24"/>
        </w:rPr>
        <w:t>（19）《朝阳市人民政府关于印发朝阳市畜禽禁养区划定方案的通知》朝政发〔2016〕28号；</w:t>
      </w:r>
    </w:p>
    <w:p w14:paraId="046E1D18">
      <w:pPr>
        <w:spacing w:line="360" w:lineRule="auto"/>
        <w:ind w:firstLine="480" w:firstLineChars="200"/>
        <w:jc w:val="left"/>
        <w:rPr>
          <w:color w:val="auto"/>
          <w:sz w:val="24"/>
        </w:rPr>
      </w:pPr>
      <w:r>
        <w:rPr>
          <w:color w:val="auto"/>
          <w:sz w:val="24"/>
        </w:rPr>
        <w:t>（20）《朝阳市人民政府关于印发朝阳市打赢蓝天保卫战三年行动方案（2018—2020年）的通知》（朝政发[2019]6号）；</w:t>
      </w:r>
    </w:p>
    <w:p w14:paraId="2E2A2874">
      <w:pPr>
        <w:spacing w:line="360" w:lineRule="auto"/>
        <w:ind w:firstLine="480" w:firstLineChars="200"/>
        <w:jc w:val="left"/>
        <w:rPr>
          <w:color w:val="auto"/>
          <w:sz w:val="24"/>
        </w:rPr>
      </w:pPr>
      <w:r>
        <w:rPr>
          <w:color w:val="auto"/>
          <w:sz w:val="24"/>
        </w:rPr>
        <w:t>（21）《朝阳市“十四五”生态环境保护规划》；</w:t>
      </w:r>
    </w:p>
    <w:p w14:paraId="0A0AE714">
      <w:pPr>
        <w:spacing w:line="360" w:lineRule="auto"/>
        <w:ind w:firstLine="480" w:firstLineChars="200"/>
        <w:jc w:val="left"/>
        <w:rPr>
          <w:color w:val="auto"/>
          <w:sz w:val="24"/>
        </w:rPr>
      </w:pPr>
      <w:r>
        <w:rPr>
          <w:color w:val="auto"/>
          <w:sz w:val="24"/>
        </w:rPr>
        <w:t>（21）《北票市人民政府办公室关于印发北票市畜禽禁养区调整划定方案的通知》（北政办发[2018]59号）。</w:t>
      </w:r>
    </w:p>
    <w:p w14:paraId="1C2DDEA3">
      <w:pPr>
        <w:pStyle w:val="4"/>
        <w:snapToGrid w:val="0"/>
        <w:spacing w:before="0"/>
        <w:rPr>
          <w:rFonts w:ascii="Times New Roman" w:hAnsi="Times New Roman" w:eastAsia="宋体"/>
          <w:bCs/>
          <w:color w:val="auto"/>
          <w:sz w:val="28"/>
          <w:szCs w:val="28"/>
          <w:highlight w:val="none"/>
        </w:rPr>
      </w:pPr>
      <w:bookmarkStart w:id="101" w:name="_Toc24303"/>
      <w:r>
        <w:rPr>
          <w:rFonts w:ascii="Times New Roman" w:hAnsi="Times New Roman" w:eastAsia="宋体"/>
          <w:bCs/>
          <w:color w:val="auto"/>
          <w:sz w:val="28"/>
          <w:szCs w:val="28"/>
          <w:highlight w:val="none"/>
        </w:rPr>
        <w:t>2.1.</w:t>
      </w:r>
      <w:r>
        <w:rPr>
          <w:rFonts w:hint="eastAsia" w:ascii="Times New Roman" w:hAnsi="Times New Roman" w:eastAsia="宋体"/>
          <w:bCs/>
          <w:color w:val="auto"/>
          <w:sz w:val="28"/>
          <w:szCs w:val="28"/>
          <w:highlight w:val="none"/>
          <w:lang w:val="en-US" w:eastAsia="zh-CN"/>
        </w:rPr>
        <w:t>4</w:t>
      </w:r>
      <w:r>
        <w:rPr>
          <w:rFonts w:ascii="Times New Roman" w:hAnsi="Times New Roman" w:eastAsia="宋体"/>
          <w:bCs/>
          <w:color w:val="auto"/>
          <w:sz w:val="28"/>
          <w:szCs w:val="28"/>
          <w:highlight w:val="none"/>
        </w:rPr>
        <w:t xml:space="preserve"> 养殖行业相关规范</w:t>
      </w:r>
      <w:bookmarkEnd w:id="101"/>
    </w:p>
    <w:p w14:paraId="4504BA00">
      <w:pPr>
        <w:spacing w:line="360" w:lineRule="auto"/>
        <w:ind w:firstLine="480" w:firstLineChars="200"/>
        <w:jc w:val="left"/>
        <w:rPr>
          <w:color w:val="auto"/>
          <w:sz w:val="24"/>
        </w:rPr>
      </w:pPr>
      <w:r>
        <w:rPr>
          <w:color w:val="auto"/>
          <w:sz w:val="24"/>
        </w:rPr>
        <w:t>（1）《畜禽养殖业污染防治技术规范》（HJ/T81-2001）；</w:t>
      </w:r>
    </w:p>
    <w:p w14:paraId="0C387467">
      <w:pPr>
        <w:spacing w:line="360" w:lineRule="auto"/>
        <w:ind w:firstLine="480" w:firstLineChars="200"/>
        <w:jc w:val="left"/>
        <w:rPr>
          <w:color w:val="auto"/>
          <w:sz w:val="24"/>
        </w:rPr>
      </w:pPr>
      <w:r>
        <w:rPr>
          <w:color w:val="auto"/>
          <w:sz w:val="24"/>
        </w:rPr>
        <w:t>（2）《畜禽养殖业污染治理工程技术规范》（HJ497-2009）；</w:t>
      </w:r>
    </w:p>
    <w:p w14:paraId="73F60460">
      <w:pPr>
        <w:spacing w:line="360" w:lineRule="auto"/>
        <w:ind w:firstLine="480" w:firstLineChars="200"/>
        <w:jc w:val="left"/>
        <w:rPr>
          <w:color w:val="auto"/>
          <w:sz w:val="24"/>
        </w:rPr>
      </w:pPr>
      <w:r>
        <w:rPr>
          <w:color w:val="auto"/>
          <w:sz w:val="24"/>
        </w:rPr>
        <w:t>（3）《畜禽养殖业污染物排放标准》（GB18596-2001）；</w:t>
      </w:r>
    </w:p>
    <w:p w14:paraId="2A8759FC">
      <w:pPr>
        <w:spacing w:line="360" w:lineRule="auto"/>
        <w:ind w:firstLine="480" w:firstLineChars="200"/>
        <w:jc w:val="left"/>
        <w:rPr>
          <w:color w:val="auto"/>
          <w:sz w:val="24"/>
        </w:rPr>
      </w:pPr>
      <w:r>
        <w:rPr>
          <w:color w:val="auto"/>
          <w:sz w:val="24"/>
        </w:rPr>
        <w:t>（4）《畜禽养殖产地环境评价规范》（HJ568-2010）；</w:t>
      </w:r>
    </w:p>
    <w:p w14:paraId="4AFEDE3D">
      <w:pPr>
        <w:spacing w:line="360" w:lineRule="auto"/>
        <w:ind w:firstLine="480" w:firstLineChars="200"/>
        <w:jc w:val="left"/>
        <w:rPr>
          <w:color w:val="auto"/>
          <w:sz w:val="24"/>
        </w:rPr>
      </w:pPr>
      <w:r>
        <w:rPr>
          <w:color w:val="auto"/>
          <w:sz w:val="24"/>
        </w:rPr>
        <w:t>（5）《畜禽粪便无害化处理技术规范》（GB/T36195-2018）；</w:t>
      </w:r>
    </w:p>
    <w:p w14:paraId="3355B387">
      <w:pPr>
        <w:spacing w:line="360" w:lineRule="auto"/>
        <w:ind w:firstLine="480" w:firstLineChars="200"/>
        <w:jc w:val="left"/>
        <w:rPr>
          <w:color w:val="auto"/>
          <w:sz w:val="24"/>
        </w:rPr>
      </w:pPr>
      <w:r>
        <w:rPr>
          <w:color w:val="auto"/>
          <w:sz w:val="24"/>
        </w:rPr>
        <w:t>（6）《畜禽粪便还田技术规范》（GB/T25246-2010）；</w:t>
      </w:r>
    </w:p>
    <w:p w14:paraId="04F669FB">
      <w:pPr>
        <w:spacing w:line="360" w:lineRule="auto"/>
        <w:ind w:firstLine="480" w:firstLineChars="200"/>
        <w:jc w:val="left"/>
        <w:rPr>
          <w:color w:val="auto"/>
          <w:sz w:val="24"/>
        </w:rPr>
      </w:pPr>
      <w:r>
        <w:rPr>
          <w:color w:val="auto"/>
          <w:sz w:val="24"/>
        </w:rPr>
        <w:t>（7）《畜禽养殖业产污系数与排污系数手册》；</w:t>
      </w:r>
    </w:p>
    <w:p w14:paraId="4456D41D">
      <w:pPr>
        <w:spacing w:line="360" w:lineRule="auto"/>
        <w:ind w:firstLine="480" w:firstLineChars="200"/>
        <w:jc w:val="left"/>
        <w:rPr>
          <w:color w:val="auto"/>
          <w:sz w:val="24"/>
        </w:rPr>
      </w:pPr>
      <w:r>
        <w:rPr>
          <w:color w:val="auto"/>
          <w:sz w:val="24"/>
        </w:rPr>
        <w:t>（</w:t>
      </w:r>
      <w:r>
        <w:rPr>
          <w:rFonts w:hint="eastAsia"/>
          <w:color w:val="auto"/>
          <w:sz w:val="24"/>
          <w:lang w:val="en-US" w:eastAsia="zh-CN"/>
        </w:rPr>
        <w:t>8</w:t>
      </w:r>
      <w:r>
        <w:rPr>
          <w:color w:val="auto"/>
          <w:sz w:val="24"/>
        </w:rPr>
        <w:t>）《粪便无害化卫生要求》（GB7959-2012）；</w:t>
      </w:r>
    </w:p>
    <w:p w14:paraId="025ED24F">
      <w:pPr>
        <w:spacing w:line="360" w:lineRule="auto"/>
        <w:ind w:firstLine="480" w:firstLineChars="200"/>
        <w:jc w:val="left"/>
        <w:rPr>
          <w:color w:val="auto"/>
          <w:sz w:val="24"/>
        </w:rPr>
      </w:pPr>
      <w:r>
        <w:rPr>
          <w:color w:val="auto"/>
          <w:sz w:val="24"/>
        </w:rPr>
        <w:t>（</w:t>
      </w:r>
      <w:r>
        <w:rPr>
          <w:rFonts w:hint="eastAsia"/>
          <w:color w:val="auto"/>
          <w:sz w:val="24"/>
          <w:lang w:val="en-US" w:eastAsia="zh-CN"/>
        </w:rPr>
        <w:t>9</w:t>
      </w:r>
      <w:r>
        <w:rPr>
          <w:color w:val="auto"/>
          <w:sz w:val="24"/>
        </w:rPr>
        <w:t>）《病死及病害动物无害化处理技术规范》农医发[2017]25号；</w:t>
      </w:r>
    </w:p>
    <w:p w14:paraId="03075821">
      <w:pPr>
        <w:spacing w:line="360" w:lineRule="auto"/>
        <w:ind w:firstLine="480" w:firstLineChars="200"/>
        <w:jc w:val="left"/>
        <w:rPr>
          <w:color w:val="auto"/>
          <w:sz w:val="24"/>
        </w:rPr>
      </w:pPr>
      <w:r>
        <w:rPr>
          <w:color w:val="auto"/>
          <w:sz w:val="24"/>
        </w:rPr>
        <w:t>（1</w:t>
      </w:r>
      <w:r>
        <w:rPr>
          <w:rFonts w:hint="eastAsia"/>
          <w:color w:val="auto"/>
          <w:sz w:val="24"/>
          <w:lang w:val="en-US" w:eastAsia="zh-CN"/>
        </w:rPr>
        <w:t>0</w:t>
      </w:r>
      <w:r>
        <w:rPr>
          <w:color w:val="auto"/>
          <w:sz w:val="24"/>
        </w:rPr>
        <w:t>）《高致病性禽流感疫情处置技术规范》（农业部，2005年11月14日）；</w:t>
      </w:r>
    </w:p>
    <w:p w14:paraId="3256B902">
      <w:pPr>
        <w:spacing w:line="360" w:lineRule="auto"/>
        <w:ind w:firstLine="480" w:firstLineChars="200"/>
        <w:jc w:val="left"/>
        <w:rPr>
          <w:color w:val="auto"/>
          <w:sz w:val="24"/>
        </w:rPr>
      </w:pPr>
      <w:r>
        <w:rPr>
          <w:color w:val="auto"/>
          <w:sz w:val="24"/>
        </w:rPr>
        <w:t>（1</w:t>
      </w:r>
      <w:r>
        <w:rPr>
          <w:rFonts w:hint="eastAsia"/>
          <w:color w:val="auto"/>
          <w:sz w:val="24"/>
          <w:lang w:val="en-US" w:eastAsia="zh-CN"/>
        </w:rPr>
        <w:t>1</w:t>
      </w:r>
      <w:r>
        <w:rPr>
          <w:color w:val="auto"/>
          <w:sz w:val="24"/>
        </w:rPr>
        <w:t>）《村镇规划卫生规范》（GB18055-2012）；</w:t>
      </w:r>
    </w:p>
    <w:p w14:paraId="7D91476B">
      <w:pPr>
        <w:spacing w:line="360" w:lineRule="auto"/>
        <w:ind w:firstLine="480" w:firstLineChars="200"/>
        <w:jc w:val="left"/>
        <w:rPr>
          <w:color w:val="auto"/>
          <w:sz w:val="24"/>
        </w:rPr>
      </w:pPr>
      <w:r>
        <w:rPr>
          <w:color w:val="auto"/>
          <w:sz w:val="24"/>
        </w:rPr>
        <w:t>（1</w:t>
      </w:r>
      <w:r>
        <w:rPr>
          <w:rFonts w:hint="eastAsia"/>
          <w:color w:val="auto"/>
          <w:sz w:val="24"/>
          <w:lang w:val="en-US" w:eastAsia="zh-CN"/>
        </w:rPr>
        <w:t>2</w:t>
      </w:r>
      <w:r>
        <w:rPr>
          <w:color w:val="auto"/>
          <w:sz w:val="24"/>
        </w:rPr>
        <w:t>）《畜禽粪污土地承载力测算技术指南》（农办牧[2018]1号）；</w:t>
      </w:r>
    </w:p>
    <w:p w14:paraId="78F41B49">
      <w:pPr>
        <w:spacing w:line="360" w:lineRule="auto"/>
        <w:ind w:firstLine="480" w:firstLineChars="200"/>
        <w:jc w:val="left"/>
        <w:rPr>
          <w:color w:val="auto"/>
          <w:sz w:val="24"/>
        </w:rPr>
      </w:pPr>
      <w:r>
        <w:rPr>
          <w:color w:val="auto"/>
          <w:sz w:val="24"/>
        </w:rPr>
        <w:t>（1</w:t>
      </w:r>
      <w:r>
        <w:rPr>
          <w:rFonts w:hint="eastAsia"/>
          <w:color w:val="auto"/>
          <w:sz w:val="24"/>
          <w:lang w:val="en-US" w:eastAsia="zh-CN"/>
        </w:rPr>
        <w:t>3</w:t>
      </w:r>
      <w:r>
        <w:rPr>
          <w:color w:val="auto"/>
          <w:sz w:val="24"/>
        </w:rPr>
        <w:t>）《国务院办公厅关于加快推进畜禽养殖废弃物资源化利用的意见》（国办发〔2017〕48号）；</w:t>
      </w:r>
    </w:p>
    <w:p w14:paraId="779AE3BD">
      <w:pPr>
        <w:spacing w:line="360" w:lineRule="auto"/>
        <w:ind w:firstLine="480" w:firstLineChars="200"/>
        <w:jc w:val="left"/>
        <w:rPr>
          <w:color w:val="auto"/>
          <w:sz w:val="24"/>
        </w:rPr>
      </w:pPr>
      <w:r>
        <w:rPr>
          <w:color w:val="auto"/>
          <w:sz w:val="24"/>
        </w:rPr>
        <w:t>（1</w:t>
      </w:r>
      <w:r>
        <w:rPr>
          <w:rFonts w:hint="eastAsia"/>
          <w:color w:val="auto"/>
          <w:sz w:val="24"/>
          <w:lang w:val="en-US" w:eastAsia="zh-CN"/>
        </w:rPr>
        <w:t>4</w:t>
      </w:r>
      <w:r>
        <w:rPr>
          <w:color w:val="auto"/>
          <w:sz w:val="24"/>
        </w:rPr>
        <w:t>）《畜禽规模养殖场粪污资源化利用设施建设规范（试行）》（农办牧[2018]2号）；</w:t>
      </w:r>
    </w:p>
    <w:p w14:paraId="171E2833">
      <w:pPr>
        <w:spacing w:line="360" w:lineRule="auto"/>
        <w:ind w:firstLine="480" w:firstLineChars="200"/>
        <w:jc w:val="left"/>
        <w:rPr>
          <w:color w:val="auto"/>
          <w:sz w:val="24"/>
        </w:rPr>
      </w:pPr>
      <w:r>
        <w:rPr>
          <w:color w:val="auto"/>
          <w:sz w:val="24"/>
        </w:rPr>
        <w:t>（1</w:t>
      </w:r>
      <w:r>
        <w:rPr>
          <w:rFonts w:hint="eastAsia"/>
          <w:color w:val="auto"/>
          <w:sz w:val="24"/>
          <w:lang w:val="en-US" w:eastAsia="zh-CN"/>
        </w:rPr>
        <w:t>5</w:t>
      </w:r>
      <w:r>
        <w:rPr>
          <w:color w:val="auto"/>
          <w:sz w:val="24"/>
        </w:rPr>
        <w:t>））农业农村部关于印发《“十四五”全国农业农村信息化发展规划》的通知（农市发〔2022〕4号）；</w:t>
      </w:r>
    </w:p>
    <w:p w14:paraId="4B6ECA9D">
      <w:pPr>
        <w:spacing w:line="360" w:lineRule="auto"/>
        <w:ind w:firstLine="480" w:firstLineChars="200"/>
        <w:jc w:val="left"/>
        <w:rPr>
          <w:color w:val="auto"/>
          <w:sz w:val="24"/>
        </w:rPr>
      </w:pPr>
      <w:r>
        <w:rPr>
          <w:color w:val="auto"/>
          <w:sz w:val="24"/>
        </w:rPr>
        <w:t>（1</w:t>
      </w:r>
      <w:r>
        <w:rPr>
          <w:rFonts w:hint="eastAsia"/>
          <w:color w:val="auto"/>
          <w:sz w:val="24"/>
          <w:lang w:val="en-US" w:eastAsia="zh-CN"/>
        </w:rPr>
        <w:t>6</w:t>
      </w:r>
      <w:r>
        <w:rPr>
          <w:color w:val="auto"/>
          <w:sz w:val="24"/>
        </w:rPr>
        <w:t>）农业农村部办公厅 生态环境部办公厅关于印发《畜禽养殖场（户）粪污处理设施建设技术指南》的通知（农办牧〔2022〕19号）；</w:t>
      </w:r>
    </w:p>
    <w:p w14:paraId="5D2B2D89">
      <w:pPr>
        <w:spacing w:line="360" w:lineRule="auto"/>
        <w:ind w:firstLine="480" w:firstLineChars="200"/>
        <w:jc w:val="left"/>
        <w:rPr>
          <w:color w:val="auto"/>
          <w:sz w:val="24"/>
        </w:rPr>
      </w:pPr>
      <w:r>
        <w:rPr>
          <w:color w:val="auto"/>
          <w:sz w:val="24"/>
        </w:rPr>
        <w:t>（</w:t>
      </w:r>
      <w:r>
        <w:rPr>
          <w:rFonts w:hint="eastAsia"/>
          <w:color w:val="auto"/>
          <w:sz w:val="24"/>
          <w:lang w:val="en-US" w:eastAsia="zh-CN"/>
        </w:rPr>
        <w:t>17</w:t>
      </w:r>
      <w:r>
        <w:rPr>
          <w:color w:val="auto"/>
          <w:sz w:val="24"/>
        </w:rPr>
        <w:t>）《一般工业固体废物贮存和填埋场污染控制标准》（GB18599-2020）；</w:t>
      </w:r>
    </w:p>
    <w:p w14:paraId="4E9AE29F">
      <w:pPr>
        <w:spacing w:line="360" w:lineRule="auto"/>
        <w:ind w:firstLine="480" w:firstLineChars="200"/>
        <w:jc w:val="left"/>
        <w:rPr>
          <w:color w:val="auto"/>
          <w:sz w:val="24"/>
        </w:rPr>
      </w:pPr>
      <w:r>
        <w:rPr>
          <w:color w:val="auto"/>
          <w:sz w:val="24"/>
        </w:rPr>
        <w:t>（</w:t>
      </w:r>
      <w:r>
        <w:rPr>
          <w:rFonts w:hint="eastAsia"/>
          <w:color w:val="auto"/>
          <w:sz w:val="24"/>
          <w:lang w:val="en-US" w:eastAsia="zh-CN"/>
        </w:rPr>
        <w:t>18</w:t>
      </w:r>
      <w:r>
        <w:rPr>
          <w:color w:val="auto"/>
          <w:sz w:val="24"/>
        </w:rPr>
        <w:t>）《危险废物贮存污染控制标准》（GB18597-2023）。</w:t>
      </w:r>
    </w:p>
    <w:bookmarkEnd w:id="97"/>
    <w:p w14:paraId="5D9F9884">
      <w:pPr>
        <w:pStyle w:val="4"/>
        <w:snapToGrid w:val="0"/>
        <w:spacing w:before="0"/>
        <w:rPr>
          <w:rFonts w:ascii="Times New Roman" w:hAnsi="Times New Roman" w:eastAsia="宋体"/>
          <w:bCs/>
          <w:color w:val="auto"/>
          <w:sz w:val="28"/>
          <w:szCs w:val="28"/>
        </w:rPr>
      </w:pPr>
      <w:bookmarkStart w:id="102" w:name="_Toc441053044"/>
      <w:bookmarkStart w:id="103" w:name="_Toc440874755"/>
      <w:bookmarkStart w:id="104" w:name="_Toc440874574"/>
      <w:bookmarkStart w:id="105" w:name="_Toc25544"/>
      <w:r>
        <w:rPr>
          <w:rFonts w:ascii="Times New Roman" w:hAnsi="Times New Roman" w:eastAsia="宋体"/>
          <w:bCs/>
          <w:color w:val="auto"/>
          <w:sz w:val="28"/>
          <w:szCs w:val="28"/>
        </w:rPr>
        <w:t>2.1.</w:t>
      </w:r>
      <w:r>
        <w:rPr>
          <w:rFonts w:hint="eastAsia" w:ascii="Times New Roman" w:hAnsi="Times New Roman" w:eastAsia="宋体"/>
          <w:bCs/>
          <w:color w:val="auto"/>
          <w:sz w:val="28"/>
          <w:szCs w:val="28"/>
          <w:lang w:val="en-US" w:eastAsia="zh-CN"/>
        </w:rPr>
        <w:t xml:space="preserve">5 </w:t>
      </w:r>
      <w:r>
        <w:rPr>
          <w:rFonts w:ascii="Times New Roman" w:hAnsi="Times New Roman" w:eastAsia="宋体"/>
          <w:bCs/>
          <w:color w:val="auto"/>
          <w:sz w:val="28"/>
          <w:szCs w:val="28"/>
        </w:rPr>
        <w:t>相关规划</w:t>
      </w:r>
      <w:bookmarkEnd w:id="102"/>
      <w:bookmarkEnd w:id="103"/>
      <w:bookmarkEnd w:id="104"/>
      <w:r>
        <w:rPr>
          <w:rFonts w:ascii="Times New Roman" w:hAnsi="Times New Roman" w:eastAsia="宋体"/>
          <w:bCs/>
          <w:color w:val="auto"/>
          <w:sz w:val="28"/>
          <w:szCs w:val="28"/>
        </w:rPr>
        <w:t>及引用资料</w:t>
      </w:r>
      <w:bookmarkEnd w:id="105"/>
    </w:p>
    <w:bookmarkEnd w:id="88"/>
    <w:bookmarkEnd w:id="89"/>
    <w:bookmarkEnd w:id="90"/>
    <w:bookmarkEnd w:id="91"/>
    <w:bookmarkEnd w:id="92"/>
    <w:bookmarkEnd w:id="93"/>
    <w:p w14:paraId="642A92B6">
      <w:pPr>
        <w:spacing w:line="360" w:lineRule="auto"/>
        <w:ind w:firstLine="470" w:firstLineChars="196"/>
        <w:rPr>
          <w:color w:val="auto"/>
          <w:sz w:val="24"/>
        </w:rPr>
      </w:pPr>
      <w:r>
        <w:rPr>
          <w:color w:val="auto"/>
          <w:sz w:val="24"/>
        </w:rPr>
        <w:t>（1）环境影响评价委托书；</w:t>
      </w:r>
    </w:p>
    <w:p w14:paraId="74129EA6">
      <w:pPr>
        <w:spacing w:line="360" w:lineRule="auto"/>
        <w:ind w:firstLine="470" w:firstLineChars="196"/>
        <w:rPr>
          <w:color w:val="auto"/>
          <w:sz w:val="24"/>
        </w:rPr>
      </w:pPr>
      <w:r>
        <w:rPr>
          <w:color w:val="auto"/>
          <w:sz w:val="24"/>
        </w:rPr>
        <w:t>（</w:t>
      </w:r>
      <w:r>
        <w:rPr>
          <w:rFonts w:hint="eastAsia"/>
          <w:color w:val="auto"/>
          <w:sz w:val="24"/>
        </w:rPr>
        <w:t>2</w:t>
      </w:r>
      <w:r>
        <w:rPr>
          <w:color w:val="auto"/>
          <w:sz w:val="24"/>
        </w:rPr>
        <w:t>）环境质量现状监测报告；</w:t>
      </w:r>
    </w:p>
    <w:p w14:paraId="0684F752">
      <w:pPr>
        <w:spacing w:line="360" w:lineRule="auto"/>
        <w:ind w:firstLine="470" w:firstLineChars="196"/>
        <w:rPr>
          <w:color w:val="auto"/>
          <w:sz w:val="24"/>
        </w:rPr>
      </w:pPr>
      <w:r>
        <w:rPr>
          <w:color w:val="auto"/>
          <w:sz w:val="24"/>
        </w:rPr>
        <w:t>（</w:t>
      </w:r>
      <w:r>
        <w:rPr>
          <w:rFonts w:hint="eastAsia"/>
          <w:color w:val="auto"/>
          <w:sz w:val="24"/>
        </w:rPr>
        <w:t>3</w:t>
      </w:r>
      <w:r>
        <w:rPr>
          <w:color w:val="auto"/>
          <w:sz w:val="24"/>
        </w:rPr>
        <w:t>）建设单位提供的其他相关环评资料。</w:t>
      </w:r>
    </w:p>
    <w:p w14:paraId="0675A823">
      <w:pPr>
        <w:pStyle w:val="3"/>
        <w:jc w:val="both"/>
        <w:rPr>
          <w:rFonts w:eastAsia="宋体"/>
          <w:color w:val="auto"/>
          <w:sz w:val="30"/>
          <w:szCs w:val="30"/>
        </w:rPr>
      </w:pPr>
      <w:bookmarkStart w:id="106" w:name="_Toc18122"/>
      <w:bookmarkStart w:id="107" w:name="_Toc27660"/>
      <w:bookmarkStart w:id="108" w:name="_Toc26175"/>
      <w:r>
        <w:rPr>
          <w:rFonts w:eastAsia="宋体"/>
          <w:color w:val="auto"/>
          <w:sz w:val="30"/>
          <w:szCs w:val="30"/>
        </w:rPr>
        <w:t>2.2评价因子与评价标准</w:t>
      </w:r>
      <w:bookmarkEnd w:id="106"/>
      <w:bookmarkEnd w:id="107"/>
      <w:bookmarkEnd w:id="108"/>
    </w:p>
    <w:p w14:paraId="3BE84B75">
      <w:pPr>
        <w:pStyle w:val="4"/>
        <w:spacing w:before="0"/>
        <w:rPr>
          <w:rFonts w:ascii="Times New Roman" w:hAnsi="Times New Roman" w:eastAsia="宋体"/>
          <w:color w:val="auto"/>
          <w:sz w:val="28"/>
          <w:szCs w:val="28"/>
        </w:rPr>
      </w:pPr>
      <w:bookmarkStart w:id="109" w:name="_Toc1223"/>
      <w:r>
        <w:rPr>
          <w:rFonts w:ascii="Times New Roman" w:hAnsi="Times New Roman" w:eastAsia="宋体"/>
          <w:color w:val="auto"/>
          <w:sz w:val="28"/>
          <w:szCs w:val="28"/>
        </w:rPr>
        <w:t>2.2.1评价因子</w:t>
      </w:r>
      <w:bookmarkEnd w:id="109"/>
    </w:p>
    <w:p w14:paraId="574A9B03">
      <w:pPr>
        <w:pStyle w:val="276"/>
        <w:ind w:left="0" w:leftChars="0" w:firstLine="0" w:firstLineChars="0"/>
        <w:rPr>
          <w:b/>
          <w:color w:val="auto"/>
        </w:rPr>
      </w:pPr>
      <w:r>
        <w:rPr>
          <w:b/>
          <w:color w:val="auto"/>
        </w:rPr>
        <w:t>2.2.1.1环境影响因素识别</w:t>
      </w:r>
    </w:p>
    <w:p w14:paraId="66754E31">
      <w:pPr>
        <w:spacing w:line="360" w:lineRule="auto"/>
        <w:ind w:firstLine="480" w:firstLineChars="200"/>
        <w:rPr>
          <w:color w:val="auto"/>
          <w:sz w:val="24"/>
        </w:rPr>
      </w:pPr>
      <w:r>
        <w:rPr>
          <w:color w:val="auto"/>
          <w:sz w:val="24"/>
        </w:rPr>
        <w:t>在本项目工程概况和环境概况分析的基础上，通过对各环境要素影响的初步分析，采用矩阵法对本项目的环境影响因素进行识别和筛选，结果见表2</w:t>
      </w:r>
      <w:r>
        <w:rPr>
          <w:rFonts w:hint="eastAsia"/>
          <w:color w:val="auto"/>
          <w:sz w:val="24"/>
          <w:lang w:val="en-US" w:eastAsia="zh-CN"/>
        </w:rPr>
        <w:t>.2</w:t>
      </w:r>
      <w:r>
        <w:rPr>
          <w:color w:val="auto"/>
          <w:sz w:val="24"/>
        </w:rPr>
        <w:t>-1。</w:t>
      </w:r>
    </w:p>
    <w:p w14:paraId="6D4E8CE3">
      <w:pPr>
        <w:ind w:firstLine="422" w:firstLineChars="200"/>
        <w:jc w:val="center"/>
        <w:rPr>
          <w:b/>
          <w:color w:val="auto"/>
          <w:szCs w:val="21"/>
        </w:rPr>
      </w:pPr>
      <w:r>
        <w:rPr>
          <w:b/>
          <w:color w:val="auto"/>
          <w:szCs w:val="21"/>
        </w:rPr>
        <w:t>表2</w:t>
      </w:r>
      <w:r>
        <w:rPr>
          <w:rFonts w:hint="eastAsia"/>
          <w:b/>
          <w:color w:val="auto"/>
          <w:szCs w:val="21"/>
          <w:lang w:val="en-US" w:eastAsia="zh-CN"/>
        </w:rPr>
        <w:t>.2</w:t>
      </w:r>
      <w:r>
        <w:rPr>
          <w:b/>
          <w:color w:val="auto"/>
          <w:szCs w:val="21"/>
        </w:rPr>
        <w:t>-1   主要环境要素影响识别矩阵</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32"/>
        <w:gridCol w:w="1092"/>
        <w:gridCol w:w="1092"/>
        <w:gridCol w:w="1361"/>
        <w:gridCol w:w="3348"/>
      </w:tblGrid>
      <w:tr w14:paraId="757E008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2" w:type="dxa"/>
            <w:vAlign w:val="center"/>
          </w:tcPr>
          <w:p w14:paraId="281FC09A">
            <w:pPr>
              <w:jc w:val="center"/>
              <w:rPr>
                <w:color w:val="auto"/>
                <w:szCs w:val="21"/>
              </w:rPr>
            </w:pPr>
            <w:r>
              <w:rPr>
                <w:color w:val="auto"/>
                <w:szCs w:val="21"/>
              </w:rPr>
              <w:t>环境要素</w:t>
            </w:r>
          </w:p>
        </w:tc>
        <w:tc>
          <w:tcPr>
            <w:tcW w:w="1092" w:type="dxa"/>
            <w:vAlign w:val="center"/>
          </w:tcPr>
          <w:p w14:paraId="36962030">
            <w:pPr>
              <w:jc w:val="center"/>
              <w:rPr>
                <w:color w:val="auto"/>
                <w:szCs w:val="21"/>
              </w:rPr>
            </w:pPr>
            <w:r>
              <w:rPr>
                <w:color w:val="auto"/>
                <w:szCs w:val="21"/>
              </w:rPr>
              <w:t>施工期</w:t>
            </w:r>
          </w:p>
        </w:tc>
        <w:tc>
          <w:tcPr>
            <w:tcW w:w="1092" w:type="dxa"/>
            <w:vAlign w:val="center"/>
          </w:tcPr>
          <w:p w14:paraId="7F485D0D">
            <w:pPr>
              <w:jc w:val="center"/>
              <w:rPr>
                <w:color w:val="auto"/>
                <w:szCs w:val="21"/>
              </w:rPr>
            </w:pPr>
            <w:r>
              <w:rPr>
                <w:color w:val="auto"/>
                <w:szCs w:val="21"/>
              </w:rPr>
              <w:t>生产期</w:t>
            </w:r>
          </w:p>
        </w:tc>
        <w:tc>
          <w:tcPr>
            <w:tcW w:w="1361" w:type="dxa"/>
            <w:vAlign w:val="center"/>
          </w:tcPr>
          <w:p w14:paraId="13D16AF1">
            <w:pPr>
              <w:jc w:val="center"/>
              <w:rPr>
                <w:color w:val="auto"/>
                <w:szCs w:val="21"/>
              </w:rPr>
            </w:pPr>
            <w:r>
              <w:rPr>
                <w:color w:val="auto"/>
                <w:szCs w:val="21"/>
              </w:rPr>
              <w:t>服务期满</w:t>
            </w:r>
          </w:p>
        </w:tc>
        <w:tc>
          <w:tcPr>
            <w:tcW w:w="3348" w:type="dxa"/>
            <w:vAlign w:val="center"/>
          </w:tcPr>
          <w:p w14:paraId="75749246">
            <w:pPr>
              <w:jc w:val="center"/>
              <w:rPr>
                <w:color w:val="auto"/>
                <w:szCs w:val="21"/>
              </w:rPr>
            </w:pPr>
            <w:r>
              <w:rPr>
                <w:color w:val="auto"/>
                <w:szCs w:val="21"/>
              </w:rPr>
              <w:t>备注</w:t>
            </w:r>
          </w:p>
        </w:tc>
      </w:tr>
      <w:tr w14:paraId="42C9368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2" w:type="dxa"/>
            <w:vAlign w:val="center"/>
          </w:tcPr>
          <w:p w14:paraId="122FE6D3">
            <w:pPr>
              <w:jc w:val="center"/>
              <w:rPr>
                <w:color w:val="auto"/>
                <w:szCs w:val="21"/>
              </w:rPr>
            </w:pPr>
            <w:r>
              <w:rPr>
                <w:color w:val="auto"/>
                <w:szCs w:val="21"/>
              </w:rPr>
              <w:t>大气</w:t>
            </w:r>
          </w:p>
        </w:tc>
        <w:tc>
          <w:tcPr>
            <w:tcW w:w="1092" w:type="dxa"/>
            <w:vAlign w:val="center"/>
          </w:tcPr>
          <w:p w14:paraId="5C222EB7">
            <w:pPr>
              <w:jc w:val="center"/>
              <w:rPr>
                <w:color w:val="auto"/>
                <w:szCs w:val="21"/>
              </w:rPr>
            </w:pPr>
            <w:r>
              <w:rPr>
                <w:color w:val="auto"/>
                <w:szCs w:val="21"/>
              </w:rPr>
              <w:t>+</w:t>
            </w:r>
          </w:p>
        </w:tc>
        <w:tc>
          <w:tcPr>
            <w:tcW w:w="1092" w:type="dxa"/>
            <w:vAlign w:val="center"/>
          </w:tcPr>
          <w:p w14:paraId="48985E80">
            <w:pPr>
              <w:jc w:val="center"/>
              <w:rPr>
                <w:color w:val="auto"/>
                <w:szCs w:val="21"/>
              </w:rPr>
            </w:pPr>
            <w:r>
              <w:rPr>
                <w:color w:val="auto"/>
                <w:szCs w:val="21"/>
              </w:rPr>
              <w:t>++</w:t>
            </w:r>
          </w:p>
        </w:tc>
        <w:tc>
          <w:tcPr>
            <w:tcW w:w="1361" w:type="dxa"/>
            <w:vAlign w:val="center"/>
          </w:tcPr>
          <w:p w14:paraId="51067544">
            <w:pPr>
              <w:jc w:val="center"/>
              <w:rPr>
                <w:color w:val="auto"/>
                <w:szCs w:val="21"/>
              </w:rPr>
            </w:pPr>
            <w:r>
              <w:rPr>
                <w:color w:val="auto"/>
                <w:szCs w:val="21"/>
              </w:rPr>
              <w:t>-</w:t>
            </w:r>
          </w:p>
        </w:tc>
        <w:tc>
          <w:tcPr>
            <w:tcW w:w="3348" w:type="dxa"/>
            <w:vMerge w:val="restart"/>
            <w:vAlign w:val="center"/>
          </w:tcPr>
          <w:p w14:paraId="2CF93894">
            <w:pPr>
              <w:jc w:val="center"/>
              <w:rPr>
                <w:color w:val="auto"/>
                <w:szCs w:val="21"/>
              </w:rPr>
            </w:pPr>
            <w:r>
              <w:rPr>
                <w:color w:val="auto"/>
                <w:szCs w:val="21"/>
              </w:rPr>
              <w:t>“-”影响轻微或无影响；</w:t>
            </w:r>
          </w:p>
          <w:p w14:paraId="6D73F417">
            <w:pPr>
              <w:jc w:val="center"/>
              <w:rPr>
                <w:color w:val="auto"/>
                <w:szCs w:val="21"/>
              </w:rPr>
            </w:pPr>
            <w:r>
              <w:rPr>
                <w:color w:val="auto"/>
                <w:szCs w:val="21"/>
              </w:rPr>
              <w:t>“+”轻度影响；</w:t>
            </w:r>
          </w:p>
          <w:p w14:paraId="6C772D5F">
            <w:pPr>
              <w:jc w:val="center"/>
              <w:rPr>
                <w:color w:val="auto"/>
                <w:szCs w:val="21"/>
              </w:rPr>
            </w:pPr>
            <w:r>
              <w:rPr>
                <w:color w:val="auto"/>
                <w:szCs w:val="21"/>
              </w:rPr>
              <w:t>“++”中度影响；</w:t>
            </w:r>
          </w:p>
          <w:p w14:paraId="557DB661">
            <w:pPr>
              <w:jc w:val="center"/>
              <w:rPr>
                <w:color w:val="auto"/>
                <w:szCs w:val="21"/>
              </w:rPr>
            </w:pPr>
            <w:r>
              <w:rPr>
                <w:color w:val="auto"/>
                <w:szCs w:val="21"/>
              </w:rPr>
              <w:t>“+++”重度影响。</w:t>
            </w:r>
          </w:p>
        </w:tc>
      </w:tr>
      <w:tr w14:paraId="01C66D3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2" w:type="dxa"/>
            <w:vAlign w:val="center"/>
          </w:tcPr>
          <w:p w14:paraId="13B1D717">
            <w:pPr>
              <w:jc w:val="center"/>
              <w:rPr>
                <w:color w:val="auto"/>
                <w:szCs w:val="21"/>
              </w:rPr>
            </w:pPr>
            <w:r>
              <w:rPr>
                <w:color w:val="auto"/>
                <w:szCs w:val="21"/>
              </w:rPr>
              <w:t>地</w:t>
            </w:r>
            <w:r>
              <w:rPr>
                <w:rFonts w:hint="eastAsia"/>
                <w:color w:val="auto"/>
                <w:szCs w:val="21"/>
              </w:rPr>
              <w:t>表</w:t>
            </w:r>
            <w:r>
              <w:rPr>
                <w:color w:val="auto"/>
                <w:szCs w:val="21"/>
              </w:rPr>
              <w:t>水</w:t>
            </w:r>
          </w:p>
        </w:tc>
        <w:tc>
          <w:tcPr>
            <w:tcW w:w="1092" w:type="dxa"/>
            <w:vAlign w:val="center"/>
          </w:tcPr>
          <w:p w14:paraId="5553A9CC">
            <w:pPr>
              <w:jc w:val="center"/>
              <w:rPr>
                <w:color w:val="auto"/>
                <w:szCs w:val="21"/>
              </w:rPr>
            </w:pPr>
            <w:r>
              <w:rPr>
                <w:color w:val="auto"/>
                <w:szCs w:val="21"/>
              </w:rPr>
              <w:t>+</w:t>
            </w:r>
          </w:p>
        </w:tc>
        <w:tc>
          <w:tcPr>
            <w:tcW w:w="1092" w:type="dxa"/>
            <w:vAlign w:val="center"/>
          </w:tcPr>
          <w:p w14:paraId="60CAE62E">
            <w:pPr>
              <w:jc w:val="center"/>
              <w:rPr>
                <w:color w:val="auto"/>
                <w:szCs w:val="21"/>
              </w:rPr>
            </w:pPr>
            <w:r>
              <w:rPr>
                <w:color w:val="auto"/>
                <w:szCs w:val="21"/>
              </w:rPr>
              <w:t>+</w:t>
            </w:r>
          </w:p>
        </w:tc>
        <w:tc>
          <w:tcPr>
            <w:tcW w:w="1361" w:type="dxa"/>
            <w:vAlign w:val="center"/>
          </w:tcPr>
          <w:p w14:paraId="6E74B1C8">
            <w:pPr>
              <w:jc w:val="center"/>
              <w:rPr>
                <w:color w:val="auto"/>
                <w:szCs w:val="21"/>
              </w:rPr>
            </w:pPr>
            <w:r>
              <w:rPr>
                <w:color w:val="auto"/>
                <w:szCs w:val="21"/>
              </w:rPr>
              <w:t>-</w:t>
            </w:r>
          </w:p>
        </w:tc>
        <w:tc>
          <w:tcPr>
            <w:tcW w:w="3348" w:type="dxa"/>
            <w:vMerge w:val="continue"/>
            <w:vAlign w:val="center"/>
          </w:tcPr>
          <w:p w14:paraId="54F4B73E">
            <w:pPr>
              <w:jc w:val="center"/>
              <w:rPr>
                <w:color w:val="auto"/>
                <w:szCs w:val="21"/>
              </w:rPr>
            </w:pPr>
          </w:p>
        </w:tc>
      </w:tr>
      <w:tr w14:paraId="0B37318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2" w:type="dxa"/>
            <w:vAlign w:val="center"/>
          </w:tcPr>
          <w:p w14:paraId="1B071974">
            <w:pPr>
              <w:jc w:val="center"/>
              <w:rPr>
                <w:color w:val="auto"/>
                <w:szCs w:val="21"/>
              </w:rPr>
            </w:pPr>
            <w:r>
              <w:rPr>
                <w:color w:val="auto"/>
                <w:szCs w:val="21"/>
              </w:rPr>
              <w:t>地下</w:t>
            </w:r>
            <w:r>
              <w:rPr>
                <w:rFonts w:hint="eastAsia"/>
                <w:color w:val="auto"/>
                <w:szCs w:val="21"/>
              </w:rPr>
              <w:t>水</w:t>
            </w:r>
          </w:p>
        </w:tc>
        <w:tc>
          <w:tcPr>
            <w:tcW w:w="1092" w:type="dxa"/>
            <w:vAlign w:val="center"/>
          </w:tcPr>
          <w:p w14:paraId="0358850A">
            <w:pPr>
              <w:jc w:val="center"/>
              <w:rPr>
                <w:color w:val="auto"/>
                <w:szCs w:val="21"/>
              </w:rPr>
            </w:pPr>
            <w:r>
              <w:rPr>
                <w:color w:val="auto"/>
                <w:szCs w:val="21"/>
              </w:rPr>
              <w:t>-</w:t>
            </w:r>
          </w:p>
        </w:tc>
        <w:tc>
          <w:tcPr>
            <w:tcW w:w="1092" w:type="dxa"/>
            <w:vAlign w:val="center"/>
          </w:tcPr>
          <w:p w14:paraId="07CF3376">
            <w:pPr>
              <w:jc w:val="center"/>
              <w:rPr>
                <w:color w:val="auto"/>
                <w:szCs w:val="21"/>
              </w:rPr>
            </w:pPr>
            <w:r>
              <w:rPr>
                <w:color w:val="auto"/>
                <w:szCs w:val="21"/>
              </w:rPr>
              <w:t>++</w:t>
            </w:r>
          </w:p>
        </w:tc>
        <w:tc>
          <w:tcPr>
            <w:tcW w:w="1361" w:type="dxa"/>
            <w:vAlign w:val="center"/>
          </w:tcPr>
          <w:p w14:paraId="5FB9D1D7">
            <w:pPr>
              <w:jc w:val="center"/>
              <w:rPr>
                <w:color w:val="auto"/>
                <w:szCs w:val="21"/>
              </w:rPr>
            </w:pPr>
            <w:r>
              <w:rPr>
                <w:color w:val="auto"/>
                <w:szCs w:val="21"/>
              </w:rPr>
              <w:t>-</w:t>
            </w:r>
          </w:p>
        </w:tc>
        <w:tc>
          <w:tcPr>
            <w:tcW w:w="3348" w:type="dxa"/>
            <w:vMerge w:val="continue"/>
            <w:vAlign w:val="center"/>
          </w:tcPr>
          <w:p w14:paraId="1F6920CE">
            <w:pPr>
              <w:jc w:val="center"/>
              <w:rPr>
                <w:color w:val="auto"/>
                <w:szCs w:val="21"/>
              </w:rPr>
            </w:pPr>
          </w:p>
        </w:tc>
      </w:tr>
      <w:tr w14:paraId="58D4115E">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2" w:type="dxa"/>
            <w:vAlign w:val="center"/>
          </w:tcPr>
          <w:p w14:paraId="0B742F48">
            <w:pPr>
              <w:jc w:val="center"/>
              <w:rPr>
                <w:color w:val="auto"/>
                <w:szCs w:val="21"/>
              </w:rPr>
            </w:pPr>
            <w:r>
              <w:rPr>
                <w:color w:val="auto"/>
                <w:szCs w:val="21"/>
              </w:rPr>
              <w:t>生态</w:t>
            </w:r>
          </w:p>
        </w:tc>
        <w:tc>
          <w:tcPr>
            <w:tcW w:w="1092" w:type="dxa"/>
            <w:vAlign w:val="center"/>
          </w:tcPr>
          <w:p w14:paraId="07ABF371">
            <w:pPr>
              <w:jc w:val="center"/>
              <w:rPr>
                <w:color w:val="auto"/>
                <w:szCs w:val="21"/>
              </w:rPr>
            </w:pPr>
            <w:r>
              <w:rPr>
                <w:color w:val="auto"/>
                <w:szCs w:val="21"/>
              </w:rPr>
              <w:t>+</w:t>
            </w:r>
          </w:p>
        </w:tc>
        <w:tc>
          <w:tcPr>
            <w:tcW w:w="1092" w:type="dxa"/>
            <w:vAlign w:val="center"/>
          </w:tcPr>
          <w:p w14:paraId="3B0AAA14">
            <w:pPr>
              <w:jc w:val="center"/>
              <w:rPr>
                <w:color w:val="auto"/>
                <w:szCs w:val="21"/>
              </w:rPr>
            </w:pPr>
            <w:r>
              <w:rPr>
                <w:color w:val="auto"/>
                <w:szCs w:val="21"/>
              </w:rPr>
              <w:t>+</w:t>
            </w:r>
          </w:p>
        </w:tc>
        <w:tc>
          <w:tcPr>
            <w:tcW w:w="1361" w:type="dxa"/>
            <w:vAlign w:val="center"/>
          </w:tcPr>
          <w:p w14:paraId="56A20823">
            <w:pPr>
              <w:jc w:val="center"/>
              <w:rPr>
                <w:color w:val="auto"/>
                <w:szCs w:val="21"/>
              </w:rPr>
            </w:pPr>
            <w:r>
              <w:rPr>
                <w:color w:val="auto"/>
                <w:szCs w:val="21"/>
              </w:rPr>
              <w:t>-</w:t>
            </w:r>
          </w:p>
        </w:tc>
        <w:tc>
          <w:tcPr>
            <w:tcW w:w="3348" w:type="dxa"/>
            <w:vMerge w:val="continue"/>
            <w:vAlign w:val="center"/>
          </w:tcPr>
          <w:p w14:paraId="3601D034">
            <w:pPr>
              <w:jc w:val="center"/>
              <w:rPr>
                <w:color w:val="auto"/>
                <w:szCs w:val="21"/>
              </w:rPr>
            </w:pPr>
          </w:p>
        </w:tc>
      </w:tr>
      <w:tr w14:paraId="49BC8C0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2" w:type="dxa"/>
            <w:vAlign w:val="center"/>
          </w:tcPr>
          <w:p w14:paraId="3A6D0364">
            <w:pPr>
              <w:jc w:val="center"/>
              <w:rPr>
                <w:color w:val="auto"/>
                <w:szCs w:val="21"/>
              </w:rPr>
            </w:pPr>
            <w:r>
              <w:rPr>
                <w:color w:val="auto"/>
                <w:szCs w:val="21"/>
              </w:rPr>
              <w:t>声环境</w:t>
            </w:r>
          </w:p>
        </w:tc>
        <w:tc>
          <w:tcPr>
            <w:tcW w:w="1092" w:type="dxa"/>
            <w:vAlign w:val="center"/>
          </w:tcPr>
          <w:p w14:paraId="4A888061">
            <w:pPr>
              <w:jc w:val="center"/>
              <w:rPr>
                <w:color w:val="auto"/>
                <w:szCs w:val="21"/>
              </w:rPr>
            </w:pPr>
            <w:r>
              <w:rPr>
                <w:color w:val="auto"/>
                <w:szCs w:val="21"/>
              </w:rPr>
              <w:t>+</w:t>
            </w:r>
          </w:p>
        </w:tc>
        <w:tc>
          <w:tcPr>
            <w:tcW w:w="1092" w:type="dxa"/>
            <w:vAlign w:val="center"/>
          </w:tcPr>
          <w:p w14:paraId="62D5EB61">
            <w:pPr>
              <w:jc w:val="center"/>
              <w:rPr>
                <w:color w:val="auto"/>
                <w:szCs w:val="21"/>
              </w:rPr>
            </w:pPr>
            <w:r>
              <w:rPr>
                <w:color w:val="auto"/>
                <w:szCs w:val="21"/>
              </w:rPr>
              <w:t>+</w:t>
            </w:r>
          </w:p>
        </w:tc>
        <w:tc>
          <w:tcPr>
            <w:tcW w:w="1361" w:type="dxa"/>
            <w:vAlign w:val="center"/>
          </w:tcPr>
          <w:p w14:paraId="4C463C80">
            <w:pPr>
              <w:jc w:val="center"/>
              <w:rPr>
                <w:color w:val="auto"/>
                <w:szCs w:val="21"/>
              </w:rPr>
            </w:pPr>
            <w:r>
              <w:rPr>
                <w:color w:val="auto"/>
                <w:szCs w:val="21"/>
              </w:rPr>
              <w:t>-</w:t>
            </w:r>
          </w:p>
        </w:tc>
        <w:tc>
          <w:tcPr>
            <w:tcW w:w="3348" w:type="dxa"/>
            <w:vMerge w:val="continue"/>
            <w:vAlign w:val="center"/>
          </w:tcPr>
          <w:p w14:paraId="1685AB6C">
            <w:pPr>
              <w:jc w:val="center"/>
              <w:rPr>
                <w:color w:val="auto"/>
                <w:szCs w:val="21"/>
              </w:rPr>
            </w:pPr>
          </w:p>
        </w:tc>
      </w:tr>
      <w:tr w14:paraId="0E1BE2F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632" w:type="dxa"/>
            <w:vAlign w:val="center"/>
          </w:tcPr>
          <w:p w14:paraId="633F47D0">
            <w:pPr>
              <w:jc w:val="center"/>
              <w:rPr>
                <w:color w:val="auto"/>
                <w:szCs w:val="21"/>
              </w:rPr>
            </w:pPr>
            <w:r>
              <w:rPr>
                <w:rFonts w:hint="eastAsia"/>
                <w:color w:val="auto"/>
                <w:szCs w:val="21"/>
              </w:rPr>
              <w:t>土壤</w:t>
            </w:r>
          </w:p>
        </w:tc>
        <w:tc>
          <w:tcPr>
            <w:tcW w:w="1092" w:type="dxa"/>
            <w:vAlign w:val="center"/>
          </w:tcPr>
          <w:p w14:paraId="02EBD14B">
            <w:pPr>
              <w:jc w:val="center"/>
              <w:rPr>
                <w:color w:val="auto"/>
                <w:szCs w:val="21"/>
              </w:rPr>
            </w:pPr>
            <w:r>
              <w:rPr>
                <w:color w:val="auto"/>
                <w:szCs w:val="21"/>
              </w:rPr>
              <w:t>+</w:t>
            </w:r>
          </w:p>
        </w:tc>
        <w:tc>
          <w:tcPr>
            <w:tcW w:w="1092" w:type="dxa"/>
            <w:vAlign w:val="center"/>
          </w:tcPr>
          <w:p w14:paraId="300C1677">
            <w:pPr>
              <w:jc w:val="center"/>
              <w:rPr>
                <w:color w:val="auto"/>
                <w:szCs w:val="21"/>
              </w:rPr>
            </w:pPr>
            <w:r>
              <w:rPr>
                <w:color w:val="auto"/>
                <w:szCs w:val="21"/>
              </w:rPr>
              <w:t>++</w:t>
            </w:r>
          </w:p>
        </w:tc>
        <w:tc>
          <w:tcPr>
            <w:tcW w:w="1361" w:type="dxa"/>
            <w:vAlign w:val="center"/>
          </w:tcPr>
          <w:p w14:paraId="52BF16C8">
            <w:pPr>
              <w:jc w:val="center"/>
              <w:rPr>
                <w:color w:val="auto"/>
                <w:szCs w:val="21"/>
              </w:rPr>
            </w:pPr>
            <w:r>
              <w:rPr>
                <w:color w:val="auto"/>
                <w:szCs w:val="21"/>
              </w:rPr>
              <w:t>+</w:t>
            </w:r>
          </w:p>
        </w:tc>
        <w:tc>
          <w:tcPr>
            <w:tcW w:w="3348" w:type="dxa"/>
            <w:vMerge w:val="continue"/>
            <w:vAlign w:val="center"/>
          </w:tcPr>
          <w:p w14:paraId="67903527">
            <w:pPr>
              <w:jc w:val="center"/>
              <w:rPr>
                <w:color w:val="auto"/>
                <w:szCs w:val="21"/>
              </w:rPr>
            </w:pPr>
          </w:p>
        </w:tc>
      </w:tr>
    </w:tbl>
    <w:p w14:paraId="740FDC4C">
      <w:pPr>
        <w:pStyle w:val="276"/>
        <w:ind w:left="0" w:leftChars="0" w:firstLine="0" w:firstLineChars="0"/>
        <w:rPr>
          <w:b/>
          <w:color w:val="auto"/>
        </w:rPr>
      </w:pPr>
      <w:r>
        <w:rPr>
          <w:b/>
          <w:color w:val="auto"/>
        </w:rPr>
        <w:t>2.2.1.2评价因子的确定</w:t>
      </w:r>
    </w:p>
    <w:p w14:paraId="7DECD1EA">
      <w:pPr>
        <w:adjustRightInd w:val="0"/>
        <w:spacing w:line="360" w:lineRule="auto"/>
        <w:ind w:firstLine="480" w:firstLineChars="200"/>
        <w:rPr>
          <w:color w:val="auto"/>
          <w:sz w:val="24"/>
        </w:rPr>
      </w:pPr>
      <w:r>
        <w:rPr>
          <w:color w:val="auto"/>
          <w:sz w:val="24"/>
        </w:rPr>
        <w:t>在识别出该项目主要环境影响因素的基础上，根据本工程的特点，同时类比同类规模项目情况，确定本次评价因子见表2</w:t>
      </w:r>
      <w:r>
        <w:rPr>
          <w:rFonts w:hint="eastAsia"/>
          <w:color w:val="auto"/>
          <w:sz w:val="24"/>
          <w:lang w:val="en-US" w:eastAsia="zh-CN"/>
        </w:rPr>
        <w:t>.2</w:t>
      </w:r>
      <w:r>
        <w:rPr>
          <w:color w:val="auto"/>
          <w:sz w:val="24"/>
        </w:rPr>
        <w:t>-2。</w:t>
      </w:r>
    </w:p>
    <w:p w14:paraId="6BA9282E">
      <w:pPr>
        <w:ind w:firstLine="422" w:firstLineChars="200"/>
        <w:jc w:val="center"/>
        <w:rPr>
          <w:b/>
          <w:color w:val="auto"/>
          <w:szCs w:val="21"/>
        </w:rPr>
      </w:pPr>
      <w:r>
        <w:rPr>
          <w:b/>
          <w:color w:val="auto"/>
          <w:szCs w:val="21"/>
        </w:rPr>
        <w:t>表2</w:t>
      </w:r>
      <w:r>
        <w:rPr>
          <w:rFonts w:hint="eastAsia"/>
          <w:b/>
          <w:color w:val="auto"/>
          <w:szCs w:val="21"/>
          <w:lang w:val="en-US" w:eastAsia="zh-CN"/>
        </w:rPr>
        <w:t>.2</w:t>
      </w:r>
      <w:r>
        <w:rPr>
          <w:b/>
          <w:color w:val="auto"/>
          <w:szCs w:val="21"/>
        </w:rPr>
        <w:t>-2   环境影响评价因子表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19"/>
        <w:gridCol w:w="1165"/>
        <w:gridCol w:w="5942"/>
      </w:tblGrid>
      <w:tr w14:paraId="30C7075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84" w:type="dxa"/>
            <w:gridSpan w:val="2"/>
            <w:tcBorders>
              <w:top w:val="double" w:color="auto" w:sz="4" w:space="0"/>
              <w:left w:val="nil"/>
              <w:bottom w:val="single" w:color="auto" w:sz="6" w:space="0"/>
              <w:right w:val="single" w:color="auto" w:sz="6" w:space="0"/>
            </w:tcBorders>
            <w:vAlign w:val="center"/>
          </w:tcPr>
          <w:p w14:paraId="6428B22A">
            <w:pPr>
              <w:jc w:val="center"/>
              <w:rPr>
                <w:color w:val="auto"/>
              </w:rPr>
            </w:pPr>
            <w:r>
              <w:rPr>
                <w:color w:val="auto"/>
              </w:rPr>
              <w:t>环境类别</w:t>
            </w:r>
          </w:p>
        </w:tc>
        <w:tc>
          <w:tcPr>
            <w:tcW w:w="5942" w:type="dxa"/>
            <w:tcBorders>
              <w:top w:val="double" w:color="auto" w:sz="4" w:space="0"/>
              <w:left w:val="single" w:color="auto" w:sz="6" w:space="0"/>
              <w:bottom w:val="single" w:color="auto" w:sz="6" w:space="0"/>
              <w:right w:val="nil"/>
            </w:tcBorders>
            <w:vAlign w:val="center"/>
          </w:tcPr>
          <w:p w14:paraId="2B9482EF">
            <w:pPr>
              <w:jc w:val="center"/>
              <w:rPr>
                <w:color w:val="auto"/>
              </w:rPr>
            </w:pPr>
            <w:r>
              <w:rPr>
                <w:color w:val="auto"/>
              </w:rPr>
              <w:t>评价因子</w:t>
            </w:r>
          </w:p>
        </w:tc>
      </w:tr>
      <w:tr w14:paraId="3E49F76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19" w:type="dxa"/>
            <w:vMerge w:val="restart"/>
            <w:tcBorders>
              <w:top w:val="single" w:color="auto" w:sz="6" w:space="0"/>
              <w:left w:val="nil"/>
              <w:bottom w:val="single" w:color="auto" w:sz="6" w:space="0"/>
              <w:right w:val="single" w:color="auto" w:sz="4" w:space="0"/>
            </w:tcBorders>
            <w:vAlign w:val="center"/>
          </w:tcPr>
          <w:p w14:paraId="6E0852C9">
            <w:pPr>
              <w:jc w:val="center"/>
              <w:rPr>
                <w:color w:val="auto"/>
              </w:rPr>
            </w:pPr>
            <w:r>
              <w:rPr>
                <w:color w:val="auto"/>
              </w:rPr>
              <w:t>大气环境</w:t>
            </w:r>
          </w:p>
        </w:tc>
        <w:tc>
          <w:tcPr>
            <w:tcW w:w="1165" w:type="dxa"/>
            <w:tcBorders>
              <w:top w:val="single" w:color="auto" w:sz="6" w:space="0"/>
              <w:left w:val="single" w:color="auto" w:sz="4" w:space="0"/>
              <w:bottom w:val="single" w:color="auto" w:sz="6" w:space="0"/>
              <w:right w:val="single" w:color="auto" w:sz="6" w:space="0"/>
            </w:tcBorders>
            <w:vAlign w:val="center"/>
          </w:tcPr>
          <w:p w14:paraId="3ECD62F4">
            <w:pPr>
              <w:pStyle w:val="351"/>
              <w:ind w:left="420" w:hanging="420"/>
              <w:rPr>
                <w:color w:val="auto"/>
                <w:szCs w:val="21"/>
              </w:rPr>
            </w:pPr>
            <w:r>
              <w:rPr>
                <w:color w:val="auto"/>
                <w:szCs w:val="21"/>
              </w:rPr>
              <w:t>现状评价</w:t>
            </w:r>
          </w:p>
        </w:tc>
        <w:tc>
          <w:tcPr>
            <w:tcW w:w="5942" w:type="dxa"/>
            <w:tcBorders>
              <w:top w:val="single" w:color="auto" w:sz="6" w:space="0"/>
              <w:left w:val="single" w:color="auto" w:sz="6" w:space="0"/>
              <w:bottom w:val="single" w:color="auto" w:sz="6" w:space="0"/>
              <w:right w:val="nil"/>
            </w:tcBorders>
            <w:vAlign w:val="center"/>
          </w:tcPr>
          <w:p w14:paraId="72FC7177">
            <w:pPr>
              <w:jc w:val="center"/>
              <w:rPr>
                <w:rFonts w:hint="eastAsia" w:eastAsia="宋体"/>
                <w:color w:val="auto"/>
                <w:szCs w:val="21"/>
                <w:lang w:eastAsia="zh-CN"/>
              </w:rPr>
            </w:pPr>
            <w:r>
              <w:rPr>
                <w:color w:val="auto"/>
                <w:kern w:val="0"/>
                <w:szCs w:val="21"/>
              </w:rPr>
              <w:t>CO、SO</w:t>
            </w:r>
            <w:r>
              <w:rPr>
                <w:color w:val="auto"/>
                <w:kern w:val="0"/>
                <w:szCs w:val="21"/>
                <w:vertAlign w:val="subscript"/>
              </w:rPr>
              <w:t>2</w:t>
            </w:r>
            <w:r>
              <w:rPr>
                <w:color w:val="auto"/>
                <w:kern w:val="0"/>
                <w:szCs w:val="21"/>
              </w:rPr>
              <w:t>、NO</w:t>
            </w:r>
            <w:r>
              <w:rPr>
                <w:color w:val="auto"/>
                <w:kern w:val="0"/>
                <w:szCs w:val="21"/>
                <w:vertAlign w:val="subscript"/>
              </w:rPr>
              <w:t>2</w:t>
            </w:r>
            <w:r>
              <w:rPr>
                <w:color w:val="auto"/>
                <w:kern w:val="0"/>
                <w:szCs w:val="21"/>
              </w:rPr>
              <w:t>、PM</w:t>
            </w:r>
            <w:r>
              <w:rPr>
                <w:color w:val="auto"/>
                <w:kern w:val="0"/>
                <w:szCs w:val="21"/>
                <w:vertAlign w:val="subscript"/>
              </w:rPr>
              <w:t>2.5</w:t>
            </w:r>
            <w:r>
              <w:rPr>
                <w:color w:val="auto"/>
                <w:kern w:val="0"/>
                <w:szCs w:val="21"/>
              </w:rPr>
              <w:t>、PM</w:t>
            </w:r>
            <w:r>
              <w:rPr>
                <w:color w:val="auto"/>
                <w:kern w:val="0"/>
                <w:szCs w:val="21"/>
                <w:vertAlign w:val="subscript"/>
              </w:rPr>
              <w:t>10</w:t>
            </w:r>
            <w:r>
              <w:rPr>
                <w:color w:val="auto"/>
                <w:kern w:val="0"/>
                <w:szCs w:val="21"/>
              </w:rPr>
              <w:t>、O</w:t>
            </w:r>
            <w:r>
              <w:rPr>
                <w:color w:val="auto"/>
                <w:kern w:val="0"/>
                <w:szCs w:val="21"/>
                <w:vertAlign w:val="subscript"/>
              </w:rPr>
              <w:t>3</w:t>
            </w:r>
            <w:r>
              <w:rPr>
                <w:color w:val="auto"/>
                <w:kern w:val="0"/>
                <w:szCs w:val="21"/>
              </w:rPr>
              <w:t>、</w:t>
            </w:r>
            <w:r>
              <w:rPr>
                <w:color w:val="auto"/>
              </w:rPr>
              <w:t>NH</w:t>
            </w:r>
            <w:r>
              <w:rPr>
                <w:color w:val="auto"/>
                <w:vertAlign w:val="subscript"/>
              </w:rPr>
              <w:t>3</w:t>
            </w:r>
            <w:r>
              <w:rPr>
                <w:color w:val="auto"/>
              </w:rPr>
              <w:t>、H</w:t>
            </w:r>
            <w:r>
              <w:rPr>
                <w:color w:val="auto"/>
                <w:vertAlign w:val="subscript"/>
              </w:rPr>
              <w:t>2</w:t>
            </w:r>
            <w:r>
              <w:rPr>
                <w:color w:val="auto"/>
              </w:rPr>
              <w:t>S</w:t>
            </w:r>
            <w:r>
              <w:rPr>
                <w:rStyle w:val="67"/>
                <w:rFonts w:hint="eastAsia"/>
                <w:color w:val="auto"/>
                <w:lang w:eastAsia="zh-CN"/>
              </w:rPr>
              <w:t>、TSP、NOx、臭气浓度</w:t>
            </w:r>
          </w:p>
        </w:tc>
      </w:tr>
      <w:tr w14:paraId="2E4C589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19" w:type="dxa"/>
            <w:vMerge w:val="continue"/>
            <w:tcBorders>
              <w:top w:val="single" w:color="auto" w:sz="6" w:space="0"/>
              <w:left w:val="nil"/>
              <w:bottom w:val="single" w:color="auto" w:sz="6" w:space="0"/>
              <w:right w:val="single" w:color="auto" w:sz="4" w:space="0"/>
            </w:tcBorders>
            <w:vAlign w:val="center"/>
          </w:tcPr>
          <w:p w14:paraId="40BB825A">
            <w:pPr>
              <w:widowControl/>
              <w:jc w:val="center"/>
              <w:rPr>
                <w:color w:val="auto"/>
              </w:rPr>
            </w:pPr>
          </w:p>
        </w:tc>
        <w:tc>
          <w:tcPr>
            <w:tcW w:w="1165" w:type="dxa"/>
            <w:tcBorders>
              <w:top w:val="single" w:color="auto" w:sz="6" w:space="0"/>
              <w:left w:val="single" w:color="auto" w:sz="4" w:space="0"/>
              <w:bottom w:val="single" w:color="auto" w:sz="6" w:space="0"/>
              <w:right w:val="single" w:color="auto" w:sz="6" w:space="0"/>
            </w:tcBorders>
            <w:vAlign w:val="center"/>
          </w:tcPr>
          <w:p w14:paraId="741E6DEF">
            <w:pPr>
              <w:pStyle w:val="351"/>
              <w:ind w:left="420" w:hanging="420"/>
              <w:rPr>
                <w:color w:val="auto"/>
                <w:szCs w:val="21"/>
              </w:rPr>
            </w:pPr>
            <w:r>
              <w:rPr>
                <w:color w:val="auto"/>
                <w:szCs w:val="21"/>
              </w:rPr>
              <w:t>影响分析</w:t>
            </w:r>
          </w:p>
        </w:tc>
        <w:tc>
          <w:tcPr>
            <w:tcW w:w="5942" w:type="dxa"/>
            <w:tcBorders>
              <w:top w:val="single" w:color="auto" w:sz="6" w:space="0"/>
              <w:left w:val="single" w:color="auto" w:sz="6" w:space="0"/>
              <w:bottom w:val="single" w:color="auto" w:sz="6" w:space="0"/>
              <w:right w:val="nil"/>
            </w:tcBorders>
            <w:vAlign w:val="center"/>
          </w:tcPr>
          <w:p w14:paraId="336FBDD8">
            <w:pPr>
              <w:jc w:val="center"/>
              <w:rPr>
                <w:color w:val="auto"/>
              </w:rPr>
            </w:pPr>
            <w:r>
              <w:rPr>
                <w:color w:val="auto"/>
              </w:rPr>
              <w:t>NH</w:t>
            </w:r>
            <w:r>
              <w:rPr>
                <w:color w:val="auto"/>
                <w:vertAlign w:val="subscript"/>
              </w:rPr>
              <w:t>3</w:t>
            </w:r>
            <w:r>
              <w:rPr>
                <w:color w:val="auto"/>
              </w:rPr>
              <w:t>、H</w:t>
            </w:r>
            <w:r>
              <w:rPr>
                <w:color w:val="auto"/>
                <w:vertAlign w:val="subscript"/>
              </w:rPr>
              <w:t>2</w:t>
            </w:r>
            <w:r>
              <w:rPr>
                <w:color w:val="auto"/>
              </w:rPr>
              <w:t>S</w:t>
            </w:r>
            <w:r>
              <w:rPr>
                <w:rFonts w:hint="eastAsia"/>
                <w:color w:val="auto"/>
              </w:rPr>
              <w:t>、臭气浓度、</w:t>
            </w:r>
            <w:r>
              <w:rPr>
                <w:color w:val="auto"/>
                <w:kern w:val="0"/>
                <w:szCs w:val="21"/>
              </w:rPr>
              <w:t>SO</w:t>
            </w:r>
            <w:r>
              <w:rPr>
                <w:color w:val="auto"/>
                <w:kern w:val="0"/>
                <w:szCs w:val="21"/>
                <w:vertAlign w:val="subscript"/>
              </w:rPr>
              <w:t>2</w:t>
            </w:r>
            <w:r>
              <w:rPr>
                <w:color w:val="auto"/>
                <w:kern w:val="0"/>
                <w:szCs w:val="21"/>
              </w:rPr>
              <w:t>、NO</w:t>
            </w:r>
            <w:r>
              <w:rPr>
                <w:rFonts w:hint="eastAsia"/>
                <w:color w:val="auto"/>
                <w:kern w:val="0"/>
                <w:szCs w:val="21"/>
                <w:vertAlign w:val="subscript"/>
              </w:rPr>
              <w:t>x</w:t>
            </w:r>
            <w:r>
              <w:rPr>
                <w:color w:val="auto"/>
                <w:kern w:val="0"/>
                <w:szCs w:val="21"/>
              </w:rPr>
              <w:t>、PM</w:t>
            </w:r>
            <w:r>
              <w:rPr>
                <w:color w:val="auto"/>
                <w:kern w:val="0"/>
                <w:szCs w:val="21"/>
                <w:vertAlign w:val="subscript"/>
              </w:rPr>
              <w:t>10</w:t>
            </w:r>
          </w:p>
        </w:tc>
      </w:tr>
      <w:tr w14:paraId="4149878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19" w:type="dxa"/>
            <w:vMerge w:val="restart"/>
            <w:tcBorders>
              <w:top w:val="single" w:color="auto" w:sz="6" w:space="0"/>
              <w:left w:val="nil"/>
              <w:bottom w:val="single" w:color="auto" w:sz="6" w:space="0"/>
              <w:right w:val="single" w:color="auto" w:sz="4" w:space="0"/>
            </w:tcBorders>
            <w:vAlign w:val="center"/>
          </w:tcPr>
          <w:p w14:paraId="4491A6C7">
            <w:pPr>
              <w:jc w:val="center"/>
              <w:rPr>
                <w:color w:val="auto"/>
              </w:rPr>
            </w:pPr>
            <w:r>
              <w:rPr>
                <w:color w:val="auto"/>
              </w:rPr>
              <w:t>噪声环境</w:t>
            </w:r>
          </w:p>
        </w:tc>
        <w:tc>
          <w:tcPr>
            <w:tcW w:w="1165" w:type="dxa"/>
            <w:tcBorders>
              <w:top w:val="single" w:color="auto" w:sz="6" w:space="0"/>
              <w:left w:val="single" w:color="auto" w:sz="4" w:space="0"/>
              <w:bottom w:val="single" w:color="auto" w:sz="6" w:space="0"/>
              <w:right w:val="single" w:color="auto" w:sz="6" w:space="0"/>
            </w:tcBorders>
            <w:vAlign w:val="center"/>
          </w:tcPr>
          <w:p w14:paraId="53F75EBD">
            <w:pPr>
              <w:pStyle w:val="351"/>
              <w:ind w:left="420" w:hanging="420"/>
              <w:rPr>
                <w:color w:val="auto"/>
                <w:szCs w:val="21"/>
              </w:rPr>
            </w:pPr>
            <w:r>
              <w:rPr>
                <w:color w:val="auto"/>
                <w:szCs w:val="21"/>
              </w:rPr>
              <w:t>现状评价</w:t>
            </w:r>
          </w:p>
        </w:tc>
        <w:tc>
          <w:tcPr>
            <w:tcW w:w="5942" w:type="dxa"/>
            <w:tcBorders>
              <w:top w:val="single" w:color="auto" w:sz="6" w:space="0"/>
              <w:left w:val="single" w:color="auto" w:sz="6" w:space="0"/>
              <w:bottom w:val="single" w:color="auto" w:sz="6" w:space="0"/>
              <w:right w:val="nil"/>
            </w:tcBorders>
            <w:vAlign w:val="center"/>
          </w:tcPr>
          <w:p w14:paraId="232B42CE">
            <w:pPr>
              <w:jc w:val="center"/>
              <w:rPr>
                <w:color w:val="auto"/>
              </w:rPr>
            </w:pPr>
            <w:r>
              <w:rPr>
                <w:color w:val="auto"/>
              </w:rPr>
              <w:t>等效连续A声级（Leq（A））</w:t>
            </w:r>
          </w:p>
        </w:tc>
      </w:tr>
      <w:tr w14:paraId="18F0858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19" w:type="dxa"/>
            <w:vMerge w:val="continue"/>
            <w:tcBorders>
              <w:top w:val="single" w:color="auto" w:sz="6" w:space="0"/>
              <w:left w:val="nil"/>
              <w:bottom w:val="single" w:color="auto" w:sz="6" w:space="0"/>
              <w:right w:val="single" w:color="auto" w:sz="4" w:space="0"/>
            </w:tcBorders>
            <w:vAlign w:val="center"/>
          </w:tcPr>
          <w:p w14:paraId="7FB66526">
            <w:pPr>
              <w:widowControl/>
              <w:jc w:val="center"/>
              <w:rPr>
                <w:color w:val="auto"/>
              </w:rPr>
            </w:pPr>
          </w:p>
        </w:tc>
        <w:tc>
          <w:tcPr>
            <w:tcW w:w="1165" w:type="dxa"/>
            <w:tcBorders>
              <w:top w:val="single" w:color="auto" w:sz="6" w:space="0"/>
              <w:left w:val="single" w:color="auto" w:sz="4" w:space="0"/>
              <w:bottom w:val="single" w:color="auto" w:sz="6" w:space="0"/>
              <w:right w:val="single" w:color="auto" w:sz="6" w:space="0"/>
            </w:tcBorders>
            <w:vAlign w:val="center"/>
          </w:tcPr>
          <w:p w14:paraId="275BC633">
            <w:pPr>
              <w:pStyle w:val="351"/>
              <w:ind w:left="420" w:hanging="420"/>
              <w:rPr>
                <w:color w:val="auto"/>
                <w:szCs w:val="21"/>
              </w:rPr>
            </w:pPr>
            <w:r>
              <w:rPr>
                <w:color w:val="auto"/>
                <w:szCs w:val="21"/>
              </w:rPr>
              <w:t>影响分析</w:t>
            </w:r>
          </w:p>
        </w:tc>
        <w:tc>
          <w:tcPr>
            <w:tcW w:w="5942" w:type="dxa"/>
            <w:tcBorders>
              <w:top w:val="single" w:color="auto" w:sz="6" w:space="0"/>
              <w:left w:val="single" w:color="auto" w:sz="6" w:space="0"/>
              <w:bottom w:val="single" w:color="auto" w:sz="6" w:space="0"/>
              <w:right w:val="nil"/>
            </w:tcBorders>
            <w:vAlign w:val="center"/>
          </w:tcPr>
          <w:p w14:paraId="3D145F41">
            <w:pPr>
              <w:jc w:val="center"/>
              <w:rPr>
                <w:color w:val="auto"/>
              </w:rPr>
            </w:pPr>
            <w:r>
              <w:rPr>
                <w:color w:val="auto"/>
              </w:rPr>
              <w:t>等效连续A声级（Leq（A））</w:t>
            </w:r>
          </w:p>
        </w:tc>
      </w:tr>
      <w:tr w14:paraId="3FE6F1F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19" w:type="dxa"/>
            <w:vMerge w:val="restart"/>
            <w:tcBorders>
              <w:top w:val="single" w:color="auto" w:sz="6" w:space="0"/>
              <w:left w:val="nil"/>
              <w:bottom w:val="single" w:color="auto" w:sz="6" w:space="0"/>
              <w:right w:val="single" w:color="auto" w:sz="4" w:space="0"/>
            </w:tcBorders>
            <w:vAlign w:val="center"/>
          </w:tcPr>
          <w:p w14:paraId="400B83E6">
            <w:pPr>
              <w:widowControl/>
              <w:jc w:val="center"/>
              <w:rPr>
                <w:color w:val="auto"/>
              </w:rPr>
            </w:pPr>
            <w:r>
              <w:rPr>
                <w:color w:val="auto"/>
              </w:rPr>
              <w:t>地表水环境</w:t>
            </w:r>
          </w:p>
        </w:tc>
        <w:tc>
          <w:tcPr>
            <w:tcW w:w="1165" w:type="dxa"/>
            <w:tcBorders>
              <w:top w:val="single" w:color="auto" w:sz="6" w:space="0"/>
              <w:left w:val="single" w:color="auto" w:sz="4" w:space="0"/>
              <w:bottom w:val="single" w:color="auto" w:sz="6" w:space="0"/>
              <w:right w:val="single" w:color="auto" w:sz="6" w:space="0"/>
            </w:tcBorders>
            <w:vAlign w:val="center"/>
          </w:tcPr>
          <w:p w14:paraId="26443E6D">
            <w:pPr>
              <w:pStyle w:val="351"/>
              <w:ind w:left="420" w:hanging="420"/>
              <w:rPr>
                <w:color w:val="auto"/>
                <w:szCs w:val="21"/>
              </w:rPr>
            </w:pPr>
            <w:r>
              <w:rPr>
                <w:color w:val="auto"/>
                <w:szCs w:val="21"/>
              </w:rPr>
              <w:t>现状评价</w:t>
            </w:r>
          </w:p>
        </w:tc>
        <w:tc>
          <w:tcPr>
            <w:tcW w:w="5942" w:type="dxa"/>
            <w:tcBorders>
              <w:top w:val="single" w:color="auto" w:sz="6" w:space="0"/>
              <w:left w:val="single" w:color="auto" w:sz="6" w:space="0"/>
              <w:bottom w:val="single" w:color="auto" w:sz="6" w:space="0"/>
              <w:right w:val="nil"/>
            </w:tcBorders>
            <w:vAlign w:val="center"/>
          </w:tcPr>
          <w:p w14:paraId="7F5F0C55">
            <w:pPr>
              <w:jc w:val="center"/>
              <w:rPr>
                <w:color w:val="auto"/>
              </w:rPr>
            </w:pPr>
            <w:r>
              <w:rPr>
                <w:rFonts w:hint="eastAsia"/>
                <w:color w:val="auto"/>
              </w:rPr>
              <w:t>——</w:t>
            </w:r>
          </w:p>
        </w:tc>
      </w:tr>
      <w:tr w14:paraId="3C810B0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19" w:type="dxa"/>
            <w:vMerge w:val="continue"/>
            <w:tcBorders>
              <w:top w:val="single" w:color="auto" w:sz="6" w:space="0"/>
              <w:left w:val="nil"/>
              <w:bottom w:val="single" w:color="auto" w:sz="6" w:space="0"/>
              <w:right w:val="single" w:color="auto" w:sz="4" w:space="0"/>
            </w:tcBorders>
            <w:vAlign w:val="center"/>
          </w:tcPr>
          <w:p w14:paraId="7B84C672">
            <w:pPr>
              <w:widowControl/>
              <w:jc w:val="center"/>
              <w:rPr>
                <w:color w:val="auto"/>
              </w:rPr>
            </w:pPr>
          </w:p>
        </w:tc>
        <w:tc>
          <w:tcPr>
            <w:tcW w:w="1165" w:type="dxa"/>
            <w:tcBorders>
              <w:top w:val="single" w:color="auto" w:sz="6" w:space="0"/>
              <w:left w:val="single" w:color="auto" w:sz="4" w:space="0"/>
              <w:bottom w:val="single" w:color="auto" w:sz="6" w:space="0"/>
              <w:right w:val="single" w:color="auto" w:sz="6" w:space="0"/>
            </w:tcBorders>
            <w:vAlign w:val="center"/>
          </w:tcPr>
          <w:p w14:paraId="65444A8E">
            <w:pPr>
              <w:pStyle w:val="351"/>
              <w:ind w:left="420" w:hanging="420"/>
              <w:rPr>
                <w:color w:val="auto"/>
                <w:szCs w:val="21"/>
              </w:rPr>
            </w:pPr>
            <w:r>
              <w:rPr>
                <w:color w:val="auto"/>
                <w:szCs w:val="21"/>
              </w:rPr>
              <w:t>影响分析</w:t>
            </w:r>
          </w:p>
        </w:tc>
        <w:tc>
          <w:tcPr>
            <w:tcW w:w="5942" w:type="dxa"/>
            <w:tcBorders>
              <w:top w:val="single" w:color="auto" w:sz="6" w:space="0"/>
              <w:left w:val="single" w:color="auto" w:sz="6" w:space="0"/>
              <w:bottom w:val="single" w:color="auto" w:sz="6" w:space="0"/>
              <w:right w:val="nil"/>
            </w:tcBorders>
            <w:vAlign w:val="center"/>
          </w:tcPr>
          <w:p w14:paraId="5216EA19">
            <w:pPr>
              <w:jc w:val="center"/>
              <w:rPr>
                <w:color w:val="auto"/>
              </w:rPr>
            </w:pPr>
            <w:r>
              <w:rPr>
                <w:rFonts w:hint="eastAsia"/>
                <w:color w:val="auto"/>
              </w:rPr>
              <w:t>——</w:t>
            </w:r>
          </w:p>
        </w:tc>
      </w:tr>
      <w:tr w14:paraId="6BCACDB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19" w:type="dxa"/>
            <w:vMerge w:val="restart"/>
            <w:tcBorders>
              <w:top w:val="single" w:color="auto" w:sz="6" w:space="0"/>
              <w:left w:val="nil"/>
              <w:bottom w:val="single" w:color="auto" w:sz="6" w:space="0"/>
              <w:right w:val="single" w:color="auto" w:sz="4" w:space="0"/>
            </w:tcBorders>
            <w:vAlign w:val="center"/>
          </w:tcPr>
          <w:p w14:paraId="01800200">
            <w:pPr>
              <w:jc w:val="center"/>
              <w:rPr>
                <w:color w:val="auto"/>
              </w:rPr>
            </w:pPr>
            <w:r>
              <w:rPr>
                <w:color w:val="auto"/>
              </w:rPr>
              <w:t>地下水环境</w:t>
            </w:r>
          </w:p>
        </w:tc>
        <w:tc>
          <w:tcPr>
            <w:tcW w:w="1165" w:type="dxa"/>
            <w:tcBorders>
              <w:top w:val="single" w:color="auto" w:sz="6" w:space="0"/>
              <w:left w:val="single" w:color="auto" w:sz="4" w:space="0"/>
              <w:bottom w:val="single" w:color="auto" w:sz="6" w:space="0"/>
              <w:right w:val="single" w:color="auto" w:sz="6" w:space="0"/>
            </w:tcBorders>
            <w:vAlign w:val="center"/>
          </w:tcPr>
          <w:p w14:paraId="613CA916">
            <w:pPr>
              <w:pStyle w:val="351"/>
              <w:ind w:left="420" w:hanging="420"/>
              <w:rPr>
                <w:color w:val="auto"/>
                <w:szCs w:val="21"/>
              </w:rPr>
            </w:pPr>
            <w:r>
              <w:rPr>
                <w:color w:val="auto"/>
                <w:szCs w:val="21"/>
              </w:rPr>
              <w:t>现状评价</w:t>
            </w:r>
          </w:p>
        </w:tc>
        <w:tc>
          <w:tcPr>
            <w:tcW w:w="5942" w:type="dxa"/>
            <w:tcBorders>
              <w:top w:val="single" w:color="auto" w:sz="6" w:space="0"/>
              <w:left w:val="single" w:color="auto" w:sz="6" w:space="0"/>
              <w:bottom w:val="single" w:color="auto" w:sz="6" w:space="0"/>
              <w:right w:val="nil"/>
            </w:tcBorders>
            <w:vAlign w:val="center"/>
          </w:tcPr>
          <w:p w14:paraId="46609F2B">
            <w:pPr>
              <w:jc w:val="center"/>
              <w:rPr>
                <w:color w:val="auto"/>
                <w:szCs w:val="21"/>
              </w:rPr>
            </w:pPr>
            <w:r>
              <w:rPr>
                <w:color w:val="auto"/>
                <w:szCs w:val="21"/>
              </w:rPr>
              <w:t>K</w:t>
            </w:r>
            <w:r>
              <w:rPr>
                <w:color w:val="auto"/>
                <w:szCs w:val="21"/>
                <w:vertAlign w:val="superscript"/>
              </w:rPr>
              <w:t>+</w:t>
            </w:r>
            <w:r>
              <w:rPr>
                <w:color w:val="auto"/>
                <w:szCs w:val="21"/>
              </w:rPr>
              <w:t>、Na</w:t>
            </w:r>
            <w:r>
              <w:rPr>
                <w:color w:val="auto"/>
                <w:szCs w:val="21"/>
                <w:vertAlign w:val="superscript"/>
              </w:rPr>
              <w:t>+</w:t>
            </w:r>
            <w:r>
              <w:rPr>
                <w:color w:val="auto"/>
                <w:szCs w:val="21"/>
              </w:rPr>
              <w:t>、Ca</w:t>
            </w:r>
            <w:r>
              <w:rPr>
                <w:color w:val="auto"/>
                <w:szCs w:val="21"/>
                <w:vertAlign w:val="superscript"/>
              </w:rPr>
              <w:t>2+</w:t>
            </w:r>
            <w:r>
              <w:rPr>
                <w:color w:val="auto"/>
                <w:szCs w:val="21"/>
              </w:rPr>
              <w:t>、Mg</w:t>
            </w:r>
            <w:r>
              <w:rPr>
                <w:color w:val="auto"/>
                <w:szCs w:val="21"/>
                <w:vertAlign w:val="superscript"/>
              </w:rPr>
              <w:t>2+</w:t>
            </w:r>
            <w:r>
              <w:rPr>
                <w:color w:val="auto"/>
                <w:szCs w:val="21"/>
              </w:rPr>
              <w:t>、CO</w:t>
            </w:r>
            <w:r>
              <w:rPr>
                <w:color w:val="auto"/>
                <w:szCs w:val="21"/>
                <w:vertAlign w:val="subscript"/>
              </w:rPr>
              <w:t>3</w:t>
            </w:r>
            <w:r>
              <w:rPr>
                <w:color w:val="auto"/>
                <w:szCs w:val="21"/>
                <w:vertAlign w:val="superscript"/>
              </w:rPr>
              <w:t>2-</w:t>
            </w:r>
            <w:r>
              <w:rPr>
                <w:color w:val="auto"/>
                <w:szCs w:val="21"/>
              </w:rPr>
              <w:t>、HCO</w:t>
            </w:r>
            <w:r>
              <w:rPr>
                <w:color w:val="auto"/>
                <w:szCs w:val="21"/>
                <w:vertAlign w:val="superscript"/>
              </w:rPr>
              <w:t>3-</w:t>
            </w:r>
            <w:r>
              <w:rPr>
                <w:color w:val="auto"/>
                <w:szCs w:val="21"/>
              </w:rPr>
              <w:t>、Cl</w:t>
            </w:r>
            <w:r>
              <w:rPr>
                <w:color w:val="auto"/>
                <w:szCs w:val="21"/>
                <w:vertAlign w:val="superscript"/>
              </w:rPr>
              <w:t>-</w:t>
            </w:r>
            <w:r>
              <w:rPr>
                <w:color w:val="auto"/>
                <w:szCs w:val="21"/>
              </w:rPr>
              <w:t>、SO</w:t>
            </w:r>
            <w:r>
              <w:rPr>
                <w:color w:val="auto"/>
                <w:szCs w:val="21"/>
                <w:vertAlign w:val="subscript"/>
              </w:rPr>
              <w:t>4</w:t>
            </w:r>
            <w:r>
              <w:rPr>
                <w:color w:val="auto"/>
                <w:szCs w:val="21"/>
                <w:vertAlign w:val="superscript"/>
              </w:rPr>
              <w:t>2-</w:t>
            </w:r>
            <w:r>
              <w:rPr>
                <w:color w:val="auto"/>
                <w:szCs w:val="21"/>
              </w:rPr>
              <w:t>；</w:t>
            </w:r>
            <w:r>
              <w:rPr>
                <w:color w:val="auto"/>
              </w:rPr>
              <w:t>pH值</w:t>
            </w:r>
            <w:r>
              <w:rPr>
                <w:rFonts w:hint="eastAsia"/>
                <w:color w:val="auto"/>
                <w:lang w:eastAsia="zh-CN"/>
              </w:rPr>
              <w:t>、</w:t>
            </w:r>
            <w:r>
              <w:rPr>
                <w:color w:val="auto"/>
                <w:kern w:val="0"/>
                <w:szCs w:val="21"/>
              </w:rPr>
              <w:t>氨氮(以N计)</w:t>
            </w:r>
            <w:r>
              <w:rPr>
                <w:rFonts w:hint="eastAsia"/>
                <w:color w:val="auto"/>
                <w:kern w:val="0"/>
                <w:szCs w:val="21"/>
                <w:lang w:eastAsia="zh-CN"/>
              </w:rPr>
              <w:t>、</w:t>
            </w:r>
            <w:r>
              <w:rPr>
                <w:rFonts w:hint="eastAsia"/>
                <w:color w:val="auto"/>
                <w:lang w:eastAsia="zh-CN"/>
              </w:rPr>
              <w:t>硝酸盐、亚硝酸盐、</w:t>
            </w:r>
            <w:r>
              <w:rPr>
                <w:rFonts w:hint="eastAsia" w:ascii="宋体" w:hAnsi="宋体"/>
                <w:color w:val="auto"/>
                <w:szCs w:val="21"/>
                <w:lang w:eastAsia="zh-CN"/>
              </w:rPr>
              <w:t>挥发性酚类、氰化物、砷、汞、铬（六价）、</w:t>
            </w:r>
            <w:r>
              <w:rPr>
                <w:color w:val="auto"/>
              </w:rPr>
              <w:t>总硬度（以CaCO</w:t>
            </w:r>
            <w:r>
              <w:rPr>
                <w:color w:val="auto"/>
                <w:vertAlign w:val="subscript"/>
              </w:rPr>
              <w:t>3</w:t>
            </w:r>
            <w:r>
              <w:rPr>
                <w:color w:val="auto"/>
              </w:rPr>
              <w:t>计）</w:t>
            </w:r>
            <w:r>
              <w:rPr>
                <w:rFonts w:hint="eastAsia"/>
                <w:color w:val="auto"/>
                <w:lang w:eastAsia="zh-CN"/>
              </w:rPr>
              <w:t>、</w:t>
            </w:r>
            <w:r>
              <w:rPr>
                <w:rFonts w:hint="eastAsia" w:ascii="宋体" w:hAnsi="宋体"/>
                <w:color w:val="auto"/>
                <w:szCs w:val="21"/>
                <w:lang w:eastAsia="zh-CN"/>
              </w:rPr>
              <w:t>铅、氟、镉、</w:t>
            </w:r>
            <w:r>
              <w:rPr>
                <w:color w:val="auto"/>
              </w:rPr>
              <w:t>锰</w:t>
            </w:r>
            <w:r>
              <w:rPr>
                <w:rFonts w:hint="eastAsia"/>
                <w:color w:val="auto"/>
                <w:lang w:eastAsia="zh-CN"/>
              </w:rPr>
              <w:t>、</w:t>
            </w:r>
            <w:r>
              <w:rPr>
                <w:color w:val="auto"/>
              </w:rPr>
              <w:t>溶解性总固体</w:t>
            </w:r>
            <w:r>
              <w:rPr>
                <w:rFonts w:hint="eastAsia"/>
                <w:color w:val="auto"/>
                <w:lang w:eastAsia="zh-CN"/>
              </w:rPr>
              <w:t>、</w:t>
            </w:r>
            <w:r>
              <w:rPr>
                <w:color w:val="auto"/>
              </w:rPr>
              <w:t>耗氧量（COD</w:t>
            </w:r>
            <w:r>
              <w:rPr>
                <w:color w:val="auto"/>
                <w:vertAlign w:val="subscript"/>
              </w:rPr>
              <w:t>Mn</w:t>
            </w:r>
            <w:r>
              <w:rPr>
                <w:color w:val="auto"/>
              </w:rPr>
              <w:t>法，以O</w:t>
            </w:r>
            <w:r>
              <w:rPr>
                <w:color w:val="auto"/>
                <w:vertAlign w:val="subscript"/>
              </w:rPr>
              <w:t>2</w:t>
            </w:r>
            <w:r>
              <w:rPr>
                <w:color w:val="auto"/>
              </w:rPr>
              <w:t>计</w:t>
            </w:r>
            <w:r>
              <w:rPr>
                <w:rFonts w:hint="eastAsia"/>
                <w:color w:val="auto"/>
                <w:lang w:eastAsia="zh-CN"/>
              </w:rPr>
              <w:t>、高锰酸盐指数</w:t>
            </w:r>
            <w:r>
              <w:rPr>
                <w:color w:val="auto"/>
              </w:rPr>
              <w:t>）</w:t>
            </w:r>
            <w:r>
              <w:rPr>
                <w:rFonts w:hint="eastAsia"/>
                <w:color w:val="auto"/>
                <w:lang w:eastAsia="zh-CN"/>
              </w:rPr>
              <w:t>、</w:t>
            </w:r>
            <w:r>
              <w:rPr>
                <w:rFonts w:hint="eastAsia" w:ascii="宋体" w:hAnsi="宋体"/>
                <w:color w:val="auto"/>
                <w:szCs w:val="21"/>
                <w:lang w:eastAsia="zh-CN"/>
              </w:rPr>
              <w:t>硫酸盐、氯化物、</w:t>
            </w:r>
            <w:r>
              <w:rPr>
                <w:color w:val="auto"/>
              </w:rPr>
              <w:t>总大肠菌群(个/L)</w:t>
            </w:r>
            <w:r>
              <w:rPr>
                <w:rFonts w:hint="eastAsia"/>
                <w:color w:val="auto"/>
                <w:lang w:eastAsia="zh-CN"/>
              </w:rPr>
              <w:t>、细菌</w:t>
            </w:r>
            <w:r>
              <w:rPr>
                <w:color w:val="auto"/>
              </w:rPr>
              <w:t>总数(个/L)</w:t>
            </w:r>
          </w:p>
        </w:tc>
      </w:tr>
      <w:tr w14:paraId="14A3A6C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19" w:type="dxa"/>
            <w:vMerge w:val="continue"/>
            <w:tcBorders>
              <w:top w:val="single" w:color="auto" w:sz="6" w:space="0"/>
              <w:left w:val="nil"/>
              <w:bottom w:val="single" w:color="auto" w:sz="6" w:space="0"/>
              <w:right w:val="single" w:color="auto" w:sz="4" w:space="0"/>
            </w:tcBorders>
            <w:vAlign w:val="center"/>
          </w:tcPr>
          <w:p w14:paraId="2679E479">
            <w:pPr>
              <w:widowControl/>
              <w:jc w:val="center"/>
              <w:rPr>
                <w:color w:val="auto"/>
              </w:rPr>
            </w:pPr>
          </w:p>
        </w:tc>
        <w:tc>
          <w:tcPr>
            <w:tcW w:w="1165" w:type="dxa"/>
            <w:tcBorders>
              <w:top w:val="single" w:color="auto" w:sz="6" w:space="0"/>
              <w:left w:val="single" w:color="auto" w:sz="4" w:space="0"/>
              <w:bottom w:val="single" w:color="auto" w:sz="6" w:space="0"/>
              <w:right w:val="single" w:color="auto" w:sz="6" w:space="0"/>
            </w:tcBorders>
            <w:vAlign w:val="center"/>
          </w:tcPr>
          <w:p w14:paraId="59C75B48">
            <w:pPr>
              <w:pStyle w:val="351"/>
              <w:ind w:left="420" w:hanging="420"/>
              <w:rPr>
                <w:color w:val="auto"/>
                <w:szCs w:val="21"/>
              </w:rPr>
            </w:pPr>
            <w:r>
              <w:rPr>
                <w:color w:val="auto"/>
                <w:szCs w:val="21"/>
              </w:rPr>
              <w:t>影响分析</w:t>
            </w:r>
          </w:p>
        </w:tc>
        <w:tc>
          <w:tcPr>
            <w:tcW w:w="5942" w:type="dxa"/>
            <w:tcBorders>
              <w:top w:val="single" w:color="auto" w:sz="6" w:space="0"/>
              <w:left w:val="single" w:color="auto" w:sz="6" w:space="0"/>
              <w:bottom w:val="single" w:color="auto" w:sz="6" w:space="0"/>
              <w:right w:val="nil"/>
            </w:tcBorders>
            <w:vAlign w:val="center"/>
          </w:tcPr>
          <w:p w14:paraId="114962BC">
            <w:pPr>
              <w:jc w:val="center"/>
              <w:rPr>
                <w:color w:val="auto"/>
              </w:rPr>
            </w:pPr>
            <w:r>
              <w:rPr>
                <w:color w:val="auto"/>
                <w:szCs w:val="21"/>
              </w:rPr>
              <w:t>化学需氧量、氨氮</w:t>
            </w:r>
          </w:p>
        </w:tc>
      </w:tr>
      <w:tr w14:paraId="615ECDF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19" w:type="dxa"/>
            <w:tcBorders>
              <w:top w:val="single" w:color="auto" w:sz="6" w:space="0"/>
              <w:left w:val="nil"/>
              <w:bottom w:val="single" w:color="auto" w:sz="6" w:space="0"/>
              <w:right w:val="single" w:color="auto" w:sz="4" w:space="0"/>
            </w:tcBorders>
            <w:vAlign w:val="center"/>
          </w:tcPr>
          <w:p w14:paraId="7090948E">
            <w:pPr>
              <w:widowControl/>
              <w:jc w:val="center"/>
              <w:rPr>
                <w:color w:val="auto"/>
              </w:rPr>
            </w:pPr>
            <w:r>
              <w:rPr>
                <w:color w:val="auto"/>
              </w:rPr>
              <w:t>土壤环境</w:t>
            </w:r>
          </w:p>
        </w:tc>
        <w:tc>
          <w:tcPr>
            <w:tcW w:w="1165" w:type="dxa"/>
            <w:tcBorders>
              <w:top w:val="single" w:color="auto" w:sz="6" w:space="0"/>
              <w:left w:val="single" w:color="auto" w:sz="4" w:space="0"/>
              <w:bottom w:val="single" w:color="auto" w:sz="6" w:space="0"/>
              <w:right w:val="single" w:color="auto" w:sz="6" w:space="0"/>
            </w:tcBorders>
            <w:vAlign w:val="center"/>
          </w:tcPr>
          <w:p w14:paraId="705BB2BF">
            <w:pPr>
              <w:pStyle w:val="351"/>
              <w:ind w:left="420" w:hanging="420"/>
              <w:rPr>
                <w:color w:val="auto"/>
                <w:szCs w:val="21"/>
              </w:rPr>
            </w:pPr>
            <w:r>
              <w:rPr>
                <w:color w:val="auto"/>
                <w:szCs w:val="21"/>
              </w:rPr>
              <w:t>现状评价</w:t>
            </w:r>
          </w:p>
        </w:tc>
        <w:tc>
          <w:tcPr>
            <w:tcW w:w="5942" w:type="dxa"/>
            <w:tcBorders>
              <w:top w:val="single" w:color="auto" w:sz="6" w:space="0"/>
              <w:left w:val="single" w:color="auto" w:sz="6" w:space="0"/>
              <w:bottom w:val="single" w:color="auto" w:sz="6" w:space="0"/>
              <w:right w:val="nil"/>
            </w:tcBorders>
            <w:vAlign w:val="center"/>
          </w:tcPr>
          <w:p w14:paraId="384054BB">
            <w:pPr>
              <w:jc w:val="center"/>
              <w:rPr>
                <w:color w:val="auto"/>
                <w:szCs w:val="21"/>
              </w:rPr>
            </w:pPr>
            <w:r>
              <w:rPr>
                <w:color w:val="auto"/>
                <w:szCs w:val="21"/>
                <w:lang w:val="pt-BR"/>
              </w:rPr>
              <w:t>pH值、砷、镉、铬（六价）、铜、铅、汞、镍、四氯化碳、氯仿、氯甲烷、1,1-二氯乙烷、1,2-二氯乙烷、1,1-二氯乙烯、顺-1,2-二氯乙烯、反-1,2 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含盐量。</w:t>
            </w:r>
          </w:p>
        </w:tc>
      </w:tr>
      <w:tr w14:paraId="1D3DE5CE">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19" w:type="dxa"/>
            <w:tcBorders>
              <w:top w:val="single" w:color="auto" w:sz="6" w:space="0"/>
              <w:left w:val="nil"/>
              <w:bottom w:val="single" w:color="auto" w:sz="6" w:space="0"/>
              <w:right w:val="single" w:color="auto" w:sz="4" w:space="0"/>
            </w:tcBorders>
            <w:vAlign w:val="center"/>
          </w:tcPr>
          <w:p w14:paraId="0080DE5A">
            <w:pPr>
              <w:jc w:val="center"/>
              <w:rPr>
                <w:color w:val="auto"/>
              </w:rPr>
            </w:pPr>
            <w:r>
              <w:rPr>
                <w:color w:val="auto"/>
              </w:rPr>
              <w:t>固体废物</w:t>
            </w:r>
          </w:p>
        </w:tc>
        <w:tc>
          <w:tcPr>
            <w:tcW w:w="1165" w:type="dxa"/>
            <w:tcBorders>
              <w:top w:val="single" w:color="auto" w:sz="6" w:space="0"/>
              <w:left w:val="single" w:color="auto" w:sz="4" w:space="0"/>
              <w:bottom w:val="single" w:color="auto" w:sz="6" w:space="0"/>
              <w:right w:val="single" w:color="auto" w:sz="6" w:space="0"/>
            </w:tcBorders>
            <w:vAlign w:val="center"/>
          </w:tcPr>
          <w:p w14:paraId="6CA88E15">
            <w:pPr>
              <w:jc w:val="center"/>
              <w:rPr>
                <w:color w:val="auto"/>
              </w:rPr>
            </w:pPr>
            <w:r>
              <w:rPr>
                <w:color w:val="auto"/>
                <w:szCs w:val="21"/>
              </w:rPr>
              <w:t>影响分析</w:t>
            </w:r>
          </w:p>
        </w:tc>
        <w:tc>
          <w:tcPr>
            <w:tcW w:w="5942" w:type="dxa"/>
            <w:tcBorders>
              <w:top w:val="single" w:color="auto" w:sz="6" w:space="0"/>
              <w:left w:val="single" w:color="auto" w:sz="6" w:space="0"/>
              <w:bottom w:val="single" w:color="auto" w:sz="6" w:space="0"/>
              <w:right w:val="nil"/>
            </w:tcBorders>
            <w:vAlign w:val="center"/>
          </w:tcPr>
          <w:p w14:paraId="05DC09AC">
            <w:pPr>
              <w:jc w:val="center"/>
              <w:rPr>
                <w:color w:val="auto"/>
              </w:rPr>
            </w:pPr>
            <w:r>
              <w:rPr>
                <w:color w:val="auto"/>
              </w:rPr>
              <w:t>一般工业固体废物、</w:t>
            </w:r>
            <w:r>
              <w:rPr>
                <w:rFonts w:hint="eastAsia"/>
                <w:color w:val="auto"/>
                <w:lang w:val="en-US" w:eastAsia="zh-CN"/>
              </w:rPr>
              <w:t>医疗废物</w:t>
            </w:r>
            <w:r>
              <w:rPr>
                <w:color w:val="auto"/>
              </w:rPr>
              <w:t>、生活垃圾</w:t>
            </w:r>
          </w:p>
        </w:tc>
      </w:tr>
      <w:tr w14:paraId="743CBE7E">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19" w:type="dxa"/>
            <w:vMerge w:val="restart"/>
            <w:tcBorders>
              <w:top w:val="single" w:color="auto" w:sz="6" w:space="0"/>
              <w:left w:val="nil"/>
              <w:bottom w:val="double" w:color="auto" w:sz="4" w:space="0"/>
              <w:right w:val="single" w:color="auto" w:sz="4" w:space="0"/>
            </w:tcBorders>
            <w:vAlign w:val="center"/>
          </w:tcPr>
          <w:p w14:paraId="5D95877C">
            <w:pPr>
              <w:jc w:val="center"/>
              <w:rPr>
                <w:color w:val="auto"/>
              </w:rPr>
            </w:pPr>
            <w:r>
              <w:rPr>
                <w:color w:val="auto"/>
              </w:rPr>
              <w:t>生态环境</w:t>
            </w:r>
          </w:p>
        </w:tc>
        <w:tc>
          <w:tcPr>
            <w:tcW w:w="1165" w:type="dxa"/>
            <w:tcBorders>
              <w:top w:val="single" w:color="auto" w:sz="6" w:space="0"/>
              <w:left w:val="single" w:color="auto" w:sz="4" w:space="0"/>
              <w:bottom w:val="single" w:color="auto" w:sz="6" w:space="0"/>
              <w:right w:val="single" w:color="auto" w:sz="6" w:space="0"/>
            </w:tcBorders>
            <w:vAlign w:val="center"/>
          </w:tcPr>
          <w:p w14:paraId="3E96C142">
            <w:pPr>
              <w:jc w:val="center"/>
              <w:rPr>
                <w:color w:val="auto"/>
                <w:szCs w:val="21"/>
              </w:rPr>
            </w:pPr>
            <w:r>
              <w:rPr>
                <w:color w:val="auto"/>
                <w:szCs w:val="21"/>
              </w:rPr>
              <w:t>现状评价</w:t>
            </w:r>
          </w:p>
        </w:tc>
        <w:tc>
          <w:tcPr>
            <w:tcW w:w="5942" w:type="dxa"/>
            <w:tcBorders>
              <w:top w:val="single" w:color="auto" w:sz="6" w:space="0"/>
              <w:left w:val="single" w:color="auto" w:sz="6" w:space="0"/>
              <w:bottom w:val="single" w:color="auto" w:sz="6" w:space="0"/>
              <w:right w:val="nil"/>
            </w:tcBorders>
            <w:vAlign w:val="center"/>
          </w:tcPr>
          <w:p w14:paraId="5CC1B469">
            <w:pPr>
              <w:jc w:val="center"/>
              <w:rPr>
                <w:color w:val="auto"/>
              </w:rPr>
            </w:pPr>
            <w:r>
              <w:rPr>
                <w:color w:val="auto"/>
              </w:rPr>
              <w:t>植被覆盖度、生态系统功能、群落结构等</w:t>
            </w:r>
          </w:p>
        </w:tc>
      </w:tr>
      <w:tr w14:paraId="538F368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19" w:type="dxa"/>
            <w:vMerge w:val="continue"/>
            <w:tcBorders>
              <w:top w:val="single" w:color="auto" w:sz="6" w:space="0"/>
              <w:left w:val="nil"/>
              <w:bottom w:val="double" w:color="auto" w:sz="4" w:space="0"/>
              <w:right w:val="single" w:color="auto" w:sz="4" w:space="0"/>
            </w:tcBorders>
            <w:vAlign w:val="center"/>
          </w:tcPr>
          <w:p w14:paraId="685710DC">
            <w:pPr>
              <w:widowControl/>
              <w:jc w:val="center"/>
              <w:rPr>
                <w:color w:val="auto"/>
              </w:rPr>
            </w:pPr>
          </w:p>
        </w:tc>
        <w:tc>
          <w:tcPr>
            <w:tcW w:w="1165" w:type="dxa"/>
            <w:tcBorders>
              <w:top w:val="single" w:color="auto" w:sz="6" w:space="0"/>
              <w:left w:val="single" w:color="auto" w:sz="4" w:space="0"/>
              <w:bottom w:val="double" w:color="auto" w:sz="4" w:space="0"/>
              <w:right w:val="single" w:color="auto" w:sz="6" w:space="0"/>
            </w:tcBorders>
            <w:vAlign w:val="center"/>
          </w:tcPr>
          <w:p w14:paraId="1DBFA3BD">
            <w:pPr>
              <w:jc w:val="center"/>
              <w:rPr>
                <w:color w:val="auto"/>
                <w:szCs w:val="21"/>
              </w:rPr>
            </w:pPr>
            <w:r>
              <w:rPr>
                <w:color w:val="auto"/>
                <w:szCs w:val="21"/>
              </w:rPr>
              <w:t>影响分析</w:t>
            </w:r>
          </w:p>
        </w:tc>
        <w:tc>
          <w:tcPr>
            <w:tcW w:w="5942" w:type="dxa"/>
            <w:tcBorders>
              <w:top w:val="single" w:color="auto" w:sz="6" w:space="0"/>
              <w:left w:val="single" w:color="auto" w:sz="6" w:space="0"/>
              <w:bottom w:val="double" w:color="auto" w:sz="4" w:space="0"/>
              <w:right w:val="nil"/>
            </w:tcBorders>
            <w:vAlign w:val="center"/>
          </w:tcPr>
          <w:p w14:paraId="1920EC6F">
            <w:pPr>
              <w:jc w:val="center"/>
              <w:rPr>
                <w:color w:val="auto"/>
              </w:rPr>
            </w:pPr>
            <w:r>
              <w:rPr>
                <w:color w:val="auto"/>
              </w:rPr>
              <w:t>建设项目对区域生态、动植物的影响</w:t>
            </w:r>
          </w:p>
        </w:tc>
      </w:tr>
    </w:tbl>
    <w:p w14:paraId="14FD8DC6">
      <w:pPr>
        <w:pStyle w:val="4"/>
        <w:snapToGrid w:val="0"/>
        <w:spacing w:before="0"/>
        <w:rPr>
          <w:rFonts w:ascii="Times New Roman" w:hAnsi="Times New Roman" w:eastAsia="宋体"/>
          <w:bCs/>
          <w:color w:val="auto"/>
          <w:sz w:val="28"/>
          <w:szCs w:val="28"/>
        </w:rPr>
      </w:pPr>
      <w:bookmarkStart w:id="110" w:name="_Toc440874579"/>
      <w:bookmarkStart w:id="111" w:name="_Toc440874760"/>
      <w:bookmarkStart w:id="112" w:name="_Toc441053048"/>
      <w:bookmarkStart w:id="113" w:name="_Toc27804"/>
      <w:bookmarkStart w:id="114" w:name="_Toc137797379"/>
      <w:bookmarkStart w:id="115" w:name="_Toc498417073"/>
      <w:bookmarkStart w:id="116" w:name="_Toc18907180"/>
      <w:bookmarkStart w:id="117" w:name="_Toc494684058"/>
      <w:bookmarkStart w:id="118" w:name="_Toc2668641"/>
      <w:r>
        <w:rPr>
          <w:rFonts w:ascii="Times New Roman" w:hAnsi="Times New Roman" w:eastAsia="宋体"/>
          <w:bCs/>
          <w:color w:val="auto"/>
          <w:sz w:val="28"/>
          <w:szCs w:val="28"/>
        </w:rPr>
        <w:t>2.2.2环境质量评价标准</w:t>
      </w:r>
      <w:bookmarkEnd w:id="110"/>
      <w:bookmarkEnd w:id="111"/>
      <w:bookmarkEnd w:id="112"/>
      <w:bookmarkEnd w:id="113"/>
    </w:p>
    <w:bookmarkEnd w:id="114"/>
    <w:bookmarkEnd w:id="115"/>
    <w:bookmarkEnd w:id="116"/>
    <w:bookmarkEnd w:id="117"/>
    <w:bookmarkEnd w:id="118"/>
    <w:p w14:paraId="321D487D">
      <w:pPr>
        <w:spacing w:line="360" w:lineRule="auto"/>
        <w:ind w:firstLine="480" w:firstLineChars="200"/>
        <w:rPr>
          <w:color w:val="auto"/>
          <w:kern w:val="0"/>
          <w:sz w:val="24"/>
        </w:rPr>
      </w:pPr>
      <w:r>
        <w:rPr>
          <w:color w:val="auto"/>
          <w:kern w:val="0"/>
          <w:sz w:val="24"/>
        </w:rPr>
        <w:t>(1)环境空气</w:t>
      </w:r>
    </w:p>
    <w:p w14:paraId="67378A3F">
      <w:pPr>
        <w:spacing w:line="360" w:lineRule="auto"/>
        <w:ind w:firstLine="480" w:firstLineChars="200"/>
        <w:rPr>
          <w:color w:val="auto"/>
          <w:kern w:val="0"/>
          <w:sz w:val="24"/>
        </w:rPr>
      </w:pPr>
      <w:r>
        <w:rPr>
          <w:color w:val="auto"/>
          <w:kern w:val="0"/>
          <w:sz w:val="24"/>
        </w:rPr>
        <w:t>项目建设地属于环境空气质量功能二类地区，环境空气质量执行《环境空气质量标准》(GB3095-2012)二级标准</w:t>
      </w:r>
      <w:r>
        <w:rPr>
          <w:rFonts w:hint="eastAsia"/>
          <w:color w:val="auto"/>
          <w:kern w:val="0"/>
          <w:sz w:val="24"/>
        </w:rPr>
        <w:t>及修改单要求</w:t>
      </w:r>
      <w:r>
        <w:rPr>
          <w:color w:val="auto"/>
          <w:kern w:val="0"/>
          <w:sz w:val="24"/>
        </w:rPr>
        <w:t>；特征污染物氨、硫化氢执行《环境影响评价技术导则 大气环境》HJ2.2-2018附录D。各污染因子环境质量执行标准见表2</w:t>
      </w:r>
      <w:r>
        <w:rPr>
          <w:rFonts w:hint="eastAsia"/>
          <w:color w:val="auto"/>
          <w:kern w:val="0"/>
          <w:sz w:val="24"/>
          <w:lang w:val="en-US" w:eastAsia="zh-CN"/>
        </w:rPr>
        <w:t>.2</w:t>
      </w:r>
      <w:r>
        <w:rPr>
          <w:color w:val="auto"/>
          <w:kern w:val="0"/>
          <w:sz w:val="24"/>
        </w:rPr>
        <w:t>-3。</w:t>
      </w:r>
    </w:p>
    <w:p w14:paraId="7D5E0981">
      <w:pPr>
        <w:ind w:firstLine="422" w:firstLineChars="200"/>
        <w:jc w:val="center"/>
        <w:rPr>
          <w:b/>
          <w:bCs/>
          <w:color w:val="auto"/>
          <w:kern w:val="0"/>
          <w:szCs w:val="21"/>
        </w:rPr>
      </w:pPr>
      <w:r>
        <w:rPr>
          <w:b/>
          <w:bCs/>
          <w:color w:val="auto"/>
          <w:kern w:val="0"/>
          <w:szCs w:val="21"/>
        </w:rPr>
        <w:t>表2</w:t>
      </w:r>
      <w:r>
        <w:rPr>
          <w:rFonts w:hint="eastAsia"/>
          <w:b/>
          <w:bCs/>
          <w:color w:val="auto"/>
          <w:kern w:val="0"/>
          <w:szCs w:val="21"/>
          <w:lang w:val="en-US" w:eastAsia="zh-CN"/>
        </w:rPr>
        <w:t>.2</w:t>
      </w:r>
      <w:r>
        <w:rPr>
          <w:b/>
          <w:bCs/>
          <w:color w:val="auto"/>
          <w:kern w:val="0"/>
          <w:szCs w:val="21"/>
        </w:rPr>
        <w:t>-3   环境空气质量标准</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04"/>
        <w:gridCol w:w="1835"/>
        <w:gridCol w:w="1148"/>
        <w:gridCol w:w="1188"/>
        <w:gridCol w:w="3053"/>
      </w:tblGrid>
      <w:tr w14:paraId="4377099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Align w:val="center"/>
          </w:tcPr>
          <w:p w14:paraId="59A19038">
            <w:pPr>
              <w:kinsoku w:val="0"/>
              <w:overflowPunct w:val="0"/>
              <w:autoSpaceDE w:val="0"/>
              <w:autoSpaceDN w:val="0"/>
              <w:adjustRightInd w:val="0"/>
              <w:snapToGrid w:val="0"/>
              <w:jc w:val="center"/>
              <w:rPr>
                <w:color w:val="auto"/>
                <w:kern w:val="0"/>
                <w:szCs w:val="21"/>
              </w:rPr>
            </w:pPr>
            <w:r>
              <w:rPr>
                <w:b/>
                <w:bCs/>
                <w:color w:val="auto"/>
                <w:kern w:val="0"/>
                <w:szCs w:val="21"/>
              </w:rPr>
              <w:t>污染物名称</w:t>
            </w:r>
          </w:p>
        </w:tc>
        <w:tc>
          <w:tcPr>
            <w:tcW w:w="1835" w:type="dxa"/>
            <w:vAlign w:val="center"/>
          </w:tcPr>
          <w:p w14:paraId="27B65234">
            <w:pPr>
              <w:kinsoku w:val="0"/>
              <w:overflowPunct w:val="0"/>
              <w:autoSpaceDE w:val="0"/>
              <w:autoSpaceDN w:val="0"/>
              <w:adjustRightInd w:val="0"/>
              <w:snapToGrid w:val="0"/>
              <w:jc w:val="center"/>
              <w:rPr>
                <w:color w:val="auto"/>
                <w:kern w:val="0"/>
                <w:szCs w:val="21"/>
              </w:rPr>
            </w:pPr>
            <w:r>
              <w:rPr>
                <w:b/>
                <w:bCs/>
                <w:color w:val="auto"/>
                <w:spacing w:val="1"/>
                <w:kern w:val="0"/>
                <w:szCs w:val="21"/>
              </w:rPr>
              <w:t>取值时间</w:t>
            </w:r>
          </w:p>
        </w:tc>
        <w:tc>
          <w:tcPr>
            <w:tcW w:w="1148" w:type="dxa"/>
            <w:vAlign w:val="center"/>
          </w:tcPr>
          <w:p w14:paraId="73D0ADFA">
            <w:pPr>
              <w:kinsoku w:val="0"/>
              <w:overflowPunct w:val="0"/>
              <w:autoSpaceDE w:val="0"/>
              <w:autoSpaceDN w:val="0"/>
              <w:adjustRightInd w:val="0"/>
              <w:snapToGrid w:val="0"/>
              <w:jc w:val="center"/>
              <w:rPr>
                <w:color w:val="auto"/>
                <w:kern w:val="0"/>
                <w:szCs w:val="21"/>
              </w:rPr>
            </w:pPr>
            <w:r>
              <w:rPr>
                <w:b/>
                <w:bCs/>
                <w:color w:val="auto"/>
                <w:spacing w:val="1"/>
                <w:kern w:val="0"/>
                <w:szCs w:val="21"/>
              </w:rPr>
              <w:t>浓度限值</w:t>
            </w:r>
          </w:p>
        </w:tc>
        <w:tc>
          <w:tcPr>
            <w:tcW w:w="1188" w:type="dxa"/>
            <w:vAlign w:val="center"/>
          </w:tcPr>
          <w:p w14:paraId="0A93AE9A">
            <w:pPr>
              <w:kinsoku w:val="0"/>
              <w:overflowPunct w:val="0"/>
              <w:autoSpaceDE w:val="0"/>
              <w:autoSpaceDN w:val="0"/>
              <w:adjustRightInd w:val="0"/>
              <w:snapToGrid w:val="0"/>
              <w:jc w:val="center"/>
              <w:rPr>
                <w:color w:val="auto"/>
                <w:kern w:val="0"/>
                <w:szCs w:val="21"/>
              </w:rPr>
            </w:pPr>
            <w:r>
              <w:rPr>
                <w:b/>
                <w:bCs/>
                <w:color w:val="auto"/>
                <w:spacing w:val="1"/>
                <w:kern w:val="0"/>
                <w:szCs w:val="21"/>
              </w:rPr>
              <w:t>单位</w:t>
            </w:r>
          </w:p>
        </w:tc>
        <w:tc>
          <w:tcPr>
            <w:tcW w:w="3053" w:type="dxa"/>
            <w:vAlign w:val="center"/>
          </w:tcPr>
          <w:p w14:paraId="5BE1CC74">
            <w:pPr>
              <w:kinsoku w:val="0"/>
              <w:overflowPunct w:val="0"/>
              <w:autoSpaceDE w:val="0"/>
              <w:autoSpaceDN w:val="0"/>
              <w:adjustRightInd w:val="0"/>
              <w:snapToGrid w:val="0"/>
              <w:jc w:val="center"/>
              <w:rPr>
                <w:color w:val="auto"/>
                <w:kern w:val="0"/>
                <w:szCs w:val="21"/>
              </w:rPr>
            </w:pPr>
            <w:r>
              <w:rPr>
                <w:b/>
                <w:bCs/>
                <w:color w:val="auto"/>
                <w:spacing w:val="1"/>
                <w:kern w:val="0"/>
                <w:szCs w:val="21"/>
              </w:rPr>
              <w:t>标准来源</w:t>
            </w:r>
          </w:p>
        </w:tc>
      </w:tr>
      <w:tr w14:paraId="0FBFCCC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Merge w:val="restart"/>
            <w:vAlign w:val="center"/>
          </w:tcPr>
          <w:p w14:paraId="5392F47E">
            <w:pPr>
              <w:kinsoku w:val="0"/>
              <w:overflowPunct w:val="0"/>
              <w:autoSpaceDE w:val="0"/>
              <w:autoSpaceDN w:val="0"/>
              <w:adjustRightInd w:val="0"/>
              <w:snapToGrid w:val="0"/>
              <w:jc w:val="center"/>
              <w:rPr>
                <w:color w:val="auto"/>
                <w:kern w:val="0"/>
                <w:szCs w:val="21"/>
                <w:highlight w:val="yellow"/>
              </w:rPr>
            </w:pPr>
            <w:r>
              <w:rPr>
                <w:color w:val="auto"/>
                <w:kern w:val="0"/>
                <w:szCs w:val="21"/>
              </w:rPr>
              <w:t>PM</w:t>
            </w:r>
            <w:r>
              <w:rPr>
                <w:color w:val="auto"/>
                <w:kern w:val="0"/>
                <w:position w:val="-2"/>
                <w:szCs w:val="21"/>
                <w:vertAlign w:val="subscript"/>
              </w:rPr>
              <w:t>10</w:t>
            </w:r>
          </w:p>
        </w:tc>
        <w:tc>
          <w:tcPr>
            <w:tcW w:w="1835" w:type="dxa"/>
            <w:vAlign w:val="center"/>
          </w:tcPr>
          <w:p w14:paraId="281370A4">
            <w:pPr>
              <w:kinsoku w:val="0"/>
              <w:overflowPunct w:val="0"/>
              <w:autoSpaceDE w:val="0"/>
              <w:autoSpaceDN w:val="0"/>
              <w:adjustRightInd w:val="0"/>
              <w:snapToGrid w:val="0"/>
              <w:jc w:val="center"/>
              <w:rPr>
                <w:color w:val="auto"/>
                <w:kern w:val="0"/>
                <w:szCs w:val="21"/>
              </w:rPr>
            </w:pPr>
            <w:r>
              <w:rPr>
                <w:color w:val="auto"/>
                <w:kern w:val="0"/>
                <w:szCs w:val="21"/>
              </w:rPr>
              <w:t>年平均</w:t>
            </w:r>
          </w:p>
        </w:tc>
        <w:tc>
          <w:tcPr>
            <w:tcW w:w="1148" w:type="dxa"/>
            <w:vAlign w:val="center"/>
          </w:tcPr>
          <w:p w14:paraId="7A9E6EA6">
            <w:pPr>
              <w:kinsoku w:val="0"/>
              <w:overflowPunct w:val="0"/>
              <w:autoSpaceDE w:val="0"/>
              <w:autoSpaceDN w:val="0"/>
              <w:adjustRightInd w:val="0"/>
              <w:snapToGrid w:val="0"/>
              <w:jc w:val="center"/>
              <w:rPr>
                <w:color w:val="auto"/>
                <w:kern w:val="0"/>
                <w:szCs w:val="21"/>
              </w:rPr>
            </w:pPr>
            <w:r>
              <w:rPr>
                <w:color w:val="auto"/>
                <w:kern w:val="0"/>
                <w:szCs w:val="21"/>
              </w:rPr>
              <w:t>70</w:t>
            </w:r>
          </w:p>
        </w:tc>
        <w:tc>
          <w:tcPr>
            <w:tcW w:w="1188" w:type="dxa"/>
            <w:vAlign w:val="center"/>
          </w:tcPr>
          <w:p w14:paraId="27F516A3">
            <w:pPr>
              <w:adjustRightInd w:val="0"/>
              <w:snapToGrid w:val="0"/>
              <w:jc w:val="center"/>
              <w:rPr>
                <w:color w:val="auto"/>
                <w:szCs w:val="21"/>
              </w:rPr>
            </w:pPr>
            <w:r>
              <w:rPr>
                <w:color w:val="auto"/>
                <w:szCs w:val="21"/>
              </w:rPr>
              <w:t>μg/m</w:t>
            </w:r>
            <w:r>
              <w:rPr>
                <w:color w:val="auto"/>
                <w:szCs w:val="21"/>
                <w:vertAlign w:val="superscript"/>
              </w:rPr>
              <w:t>3</w:t>
            </w:r>
          </w:p>
        </w:tc>
        <w:tc>
          <w:tcPr>
            <w:tcW w:w="3053" w:type="dxa"/>
            <w:vMerge w:val="restart"/>
            <w:vAlign w:val="center"/>
          </w:tcPr>
          <w:p w14:paraId="2BD601A6">
            <w:pPr>
              <w:kinsoku w:val="0"/>
              <w:overflowPunct w:val="0"/>
              <w:autoSpaceDE w:val="0"/>
              <w:autoSpaceDN w:val="0"/>
              <w:adjustRightInd w:val="0"/>
              <w:snapToGrid w:val="0"/>
              <w:jc w:val="center"/>
              <w:rPr>
                <w:color w:val="auto"/>
                <w:kern w:val="0"/>
                <w:szCs w:val="21"/>
              </w:rPr>
            </w:pPr>
            <w:r>
              <w:rPr>
                <w:color w:val="auto"/>
                <w:kern w:val="0"/>
                <w:szCs w:val="21"/>
              </w:rPr>
              <w:t>《环境空气质量标准》</w:t>
            </w:r>
          </w:p>
          <w:p w14:paraId="76B8B640">
            <w:pPr>
              <w:kinsoku w:val="0"/>
              <w:overflowPunct w:val="0"/>
              <w:autoSpaceDE w:val="0"/>
              <w:autoSpaceDN w:val="0"/>
              <w:adjustRightInd w:val="0"/>
              <w:snapToGrid w:val="0"/>
              <w:jc w:val="center"/>
              <w:rPr>
                <w:b/>
                <w:bCs/>
                <w:color w:val="auto"/>
                <w:spacing w:val="1"/>
                <w:kern w:val="0"/>
                <w:szCs w:val="21"/>
              </w:rPr>
            </w:pPr>
            <w:r>
              <w:rPr>
                <w:color w:val="auto"/>
                <w:spacing w:val="-1"/>
                <w:kern w:val="0"/>
                <w:szCs w:val="21"/>
              </w:rPr>
              <w:t>(GB3095-2012)二级标准</w:t>
            </w:r>
          </w:p>
        </w:tc>
      </w:tr>
      <w:tr w14:paraId="5323EF6E">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Merge w:val="continue"/>
            <w:vAlign w:val="center"/>
          </w:tcPr>
          <w:p w14:paraId="5B2591C9">
            <w:pPr>
              <w:widowControl/>
              <w:jc w:val="left"/>
              <w:rPr>
                <w:color w:val="auto"/>
                <w:kern w:val="0"/>
                <w:szCs w:val="21"/>
                <w:highlight w:val="yellow"/>
              </w:rPr>
            </w:pPr>
          </w:p>
        </w:tc>
        <w:tc>
          <w:tcPr>
            <w:tcW w:w="1835" w:type="dxa"/>
            <w:vAlign w:val="center"/>
          </w:tcPr>
          <w:p w14:paraId="33C31B8A">
            <w:pPr>
              <w:kinsoku w:val="0"/>
              <w:overflowPunct w:val="0"/>
              <w:autoSpaceDE w:val="0"/>
              <w:autoSpaceDN w:val="0"/>
              <w:adjustRightInd w:val="0"/>
              <w:snapToGrid w:val="0"/>
              <w:jc w:val="center"/>
              <w:rPr>
                <w:color w:val="auto"/>
                <w:kern w:val="0"/>
                <w:szCs w:val="21"/>
              </w:rPr>
            </w:pPr>
            <w:r>
              <w:rPr>
                <w:color w:val="auto"/>
                <w:kern w:val="0"/>
                <w:szCs w:val="21"/>
              </w:rPr>
              <w:t>24小时平均</w:t>
            </w:r>
          </w:p>
        </w:tc>
        <w:tc>
          <w:tcPr>
            <w:tcW w:w="1148" w:type="dxa"/>
            <w:vAlign w:val="center"/>
          </w:tcPr>
          <w:p w14:paraId="703FA638">
            <w:pPr>
              <w:kinsoku w:val="0"/>
              <w:overflowPunct w:val="0"/>
              <w:autoSpaceDE w:val="0"/>
              <w:autoSpaceDN w:val="0"/>
              <w:adjustRightInd w:val="0"/>
              <w:snapToGrid w:val="0"/>
              <w:jc w:val="center"/>
              <w:rPr>
                <w:color w:val="auto"/>
                <w:kern w:val="0"/>
                <w:szCs w:val="21"/>
              </w:rPr>
            </w:pPr>
            <w:r>
              <w:rPr>
                <w:color w:val="auto"/>
                <w:kern w:val="0"/>
                <w:szCs w:val="21"/>
              </w:rPr>
              <w:t>150</w:t>
            </w:r>
          </w:p>
        </w:tc>
        <w:tc>
          <w:tcPr>
            <w:tcW w:w="1188" w:type="dxa"/>
            <w:vAlign w:val="center"/>
          </w:tcPr>
          <w:p w14:paraId="21AE40AD">
            <w:pPr>
              <w:adjustRightInd w:val="0"/>
              <w:snapToGrid w:val="0"/>
              <w:jc w:val="center"/>
              <w:rPr>
                <w:color w:val="auto"/>
                <w:szCs w:val="21"/>
              </w:rPr>
            </w:pPr>
            <w:r>
              <w:rPr>
                <w:color w:val="auto"/>
                <w:szCs w:val="21"/>
              </w:rPr>
              <w:t>μg/m</w:t>
            </w:r>
            <w:r>
              <w:rPr>
                <w:color w:val="auto"/>
                <w:szCs w:val="21"/>
                <w:vertAlign w:val="superscript"/>
              </w:rPr>
              <w:t>3</w:t>
            </w:r>
          </w:p>
        </w:tc>
        <w:tc>
          <w:tcPr>
            <w:tcW w:w="3053" w:type="dxa"/>
            <w:vMerge w:val="continue"/>
            <w:vAlign w:val="center"/>
          </w:tcPr>
          <w:p w14:paraId="59897664">
            <w:pPr>
              <w:widowControl/>
              <w:jc w:val="left"/>
              <w:rPr>
                <w:b/>
                <w:bCs/>
                <w:color w:val="auto"/>
                <w:spacing w:val="1"/>
                <w:kern w:val="0"/>
                <w:szCs w:val="21"/>
              </w:rPr>
            </w:pPr>
          </w:p>
        </w:tc>
      </w:tr>
      <w:tr w14:paraId="27B20DC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Merge w:val="restart"/>
            <w:vAlign w:val="center"/>
          </w:tcPr>
          <w:p w14:paraId="19B749EE">
            <w:pPr>
              <w:kinsoku w:val="0"/>
              <w:overflowPunct w:val="0"/>
              <w:autoSpaceDE w:val="0"/>
              <w:autoSpaceDN w:val="0"/>
              <w:adjustRightInd w:val="0"/>
              <w:snapToGrid w:val="0"/>
              <w:jc w:val="center"/>
              <w:rPr>
                <w:color w:val="auto"/>
                <w:kern w:val="0"/>
                <w:szCs w:val="21"/>
              </w:rPr>
            </w:pPr>
            <w:r>
              <w:rPr>
                <w:color w:val="auto"/>
                <w:kern w:val="0"/>
                <w:szCs w:val="21"/>
              </w:rPr>
              <w:t>PM</w:t>
            </w:r>
            <w:r>
              <w:rPr>
                <w:color w:val="auto"/>
                <w:kern w:val="0"/>
                <w:position w:val="-2"/>
                <w:szCs w:val="21"/>
                <w:vertAlign w:val="subscript"/>
              </w:rPr>
              <w:t>2.5</w:t>
            </w:r>
          </w:p>
        </w:tc>
        <w:tc>
          <w:tcPr>
            <w:tcW w:w="1835" w:type="dxa"/>
            <w:vAlign w:val="center"/>
          </w:tcPr>
          <w:p w14:paraId="326017A8">
            <w:pPr>
              <w:kinsoku w:val="0"/>
              <w:overflowPunct w:val="0"/>
              <w:autoSpaceDE w:val="0"/>
              <w:autoSpaceDN w:val="0"/>
              <w:adjustRightInd w:val="0"/>
              <w:snapToGrid w:val="0"/>
              <w:jc w:val="center"/>
              <w:rPr>
                <w:color w:val="auto"/>
                <w:kern w:val="0"/>
                <w:szCs w:val="21"/>
              </w:rPr>
            </w:pPr>
            <w:r>
              <w:rPr>
                <w:color w:val="auto"/>
                <w:kern w:val="0"/>
                <w:szCs w:val="21"/>
              </w:rPr>
              <w:t>年平均</w:t>
            </w:r>
          </w:p>
        </w:tc>
        <w:tc>
          <w:tcPr>
            <w:tcW w:w="1148" w:type="dxa"/>
            <w:vAlign w:val="center"/>
          </w:tcPr>
          <w:p w14:paraId="2E1F25B8">
            <w:pPr>
              <w:kinsoku w:val="0"/>
              <w:overflowPunct w:val="0"/>
              <w:autoSpaceDE w:val="0"/>
              <w:autoSpaceDN w:val="0"/>
              <w:adjustRightInd w:val="0"/>
              <w:snapToGrid w:val="0"/>
              <w:jc w:val="center"/>
              <w:rPr>
                <w:color w:val="auto"/>
                <w:kern w:val="0"/>
                <w:szCs w:val="21"/>
              </w:rPr>
            </w:pPr>
            <w:r>
              <w:rPr>
                <w:color w:val="auto"/>
                <w:kern w:val="0"/>
                <w:szCs w:val="21"/>
              </w:rPr>
              <w:t>35</w:t>
            </w:r>
          </w:p>
        </w:tc>
        <w:tc>
          <w:tcPr>
            <w:tcW w:w="1188" w:type="dxa"/>
            <w:vAlign w:val="center"/>
          </w:tcPr>
          <w:p w14:paraId="4DD2049B">
            <w:pPr>
              <w:adjustRightInd w:val="0"/>
              <w:snapToGrid w:val="0"/>
              <w:jc w:val="center"/>
              <w:rPr>
                <w:color w:val="auto"/>
                <w:szCs w:val="21"/>
              </w:rPr>
            </w:pPr>
            <w:r>
              <w:rPr>
                <w:color w:val="auto"/>
                <w:szCs w:val="21"/>
              </w:rPr>
              <w:t>μg/m</w:t>
            </w:r>
            <w:r>
              <w:rPr>
                <w:color w:val="auto"/>
                <w:szCs w:val="21"/>
                <w:vertAlign w:val="superscript"/>
              </w:rPr>
              <w:t>3</w:t>
            </w:r>
          </w:p>
        </w:tc>
        <w:tc>
          <w:tcPr>
            <w:tcW w:w="3053" w:type="dxa"/>
            <w:vMerge w:val="continue"/>
            <w:vAlign w:val="center"/>
          </w:tcPr>
          <w:p w14:paraId="74A33BFD">
            <w:pPr>
              <w:widowControl/>
              <w:jc w:val="left"/>
              <w:rPr>
                <w:b/>
                <w:bCs/>
                <w:color w:val="auto"/>
                <w:spacing w:val="1"/>
                <w:kern w:val="0"/>
                <w:szCs w:val="21"/>
              </w:rPr>
            </w:pPr>
          </w:p>
        </w:tc>
      </w:tr>
      <w:tr w14:paraId="2796479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Merge w:val="continue"/>
            <w:vAlign w:val="center"/>
          </w:tcPr>
          <w:p w14:paraId="7600D66A">
            <w:pPr>
              <w:widowControl/>
              <w:jc w:val="left"/>
              <w:rPr>
                <w:color w:val="auto"/>
                <w:kern w:val="0"/>
                <w:szCs w:val="21"/>
              </w:rPr>
            </w:pPr>
          </w:p>
        </w:tc>
        <w:tc>
          <w:tcPr>
            <w:tcW w:w="1835" w:type="dxa"/>
            <w:vAlign w:val="center"/>
          </w:tcPr>
          <w:p w14:paraId="32965197">
            <w:pPr>
              <w:kinsoku w:val="0"/>
              <w:overflowPunct w:val="0"/>
              <w:autoSpaceDE w:val="0"/>
              <w:autoSpaceDN w:val="0"/>
              <w:adjustRightInd w:val="0"/>
              <w:snapToGrid w:val="0"/>
              <w:jc w:val="center"/>
              <w:rPr>
                <w:color w:val="auto"/>
                <w:kern w:val="0"/>
                <w:szCs w:val="21"/>
              </w:rPr>
            </w:pPr>
            <w:r>
              <w:rPr>
                <w:color w:val="auto"/>
                <w:kern w:val="0"/>
                <w:szCs w:val="21"/>
              </w:rPr>
              <w:t>24小时平均</w:t>
            </w:r>
          </w:p>
        </w:tc>
        <w:tc>
          <w:tcPr>
            <w:tcW w:w="1148" w:type="dxa"/>
            <w:vAlign w:val="center"/>
          </w:tcPr>
          <w:p w14:paraId="71175308">
            <w:pPr>
              <w:kinsoku w:val="0"/>
              <w:overflowPunct w:val="0"/>
              <w:autoSpaceDE w:val="0"/>
              <w:autoSpaceDN w:val="0"/>
              <w:adjustRightInd w:val="0"/>
              <w:snapToGrid w:val="0"/>
              <w:jc w:val="center"/>
              <w:rPr>
                <w:color w:val="auto"/>
                <w:kern w:val="0"/>
                <w:szCs w:val="21"/>
              </w:rPr>
            </w:pPr>
            <w:r>
              <w:rPr>
                <w:color w:val="auto"/>
                <w:kern w:val="0"/>
                <w:szCs w:val="21"/>
              </w:rPr>
              <w:t>75</w:t>
            </w:r>
          </w:p>
        </w:tc>
        <w:tc>
          <w:tcPr>
            <w:tcW w:w="1188" w:type="dxa"/>
            <w:vAlign w:val="center"/>
          </w:tcPr>
          <w:p w14:paraId="212B8E95">
            <w:pPr>
              <w:adjustRightInd w:val="0"/>
              <w:snapToGrid w:val="0"/>
              <w:jc w:val="center"/>
              <w:rPr>
                <w:color w:val="auto"/>
                <w:szCs w:val="21"/>
              </w:rPr>
            </w:pPr>
            <w:r>
              <w:rPr>
                <w:color w:val="auto"/>
                <w:szCs w:val="21"/>
              </w:rPr>
              <w:t>μg/m</w:t>
            </w:r>
            <w:r>
              <w:rPr>
                <w:color w:val="auto"/>
                <w:szCs w:val="21"/>
                <w:vertAlign w:val="superscript"/>
              </w:rPr>
              <w:t>3</w:t>
            </w:r>
          </w:p>
        </w:tc>
        <w:tc>
          <w:tcPr>
            <w:tcW w:w="3053" w:type="dxa"/>
            <w:vMerge w:val="continue"/>
            <w:vAlign w:val="center"/>
          </w:tcPr>
          <w:p w14:paraId="72A00CC6">
            <w:pPr>
              <w:widowControl/>
              <w:jc w:val="left"/>
              <w:rPr>
                <w:b/>
                <w:bCs/>
                <w:color w:val="auto"/>
                <w:spacing w:val="1"/>
                <w:kern w:val="0"/>
                <w:szCs w:val="21"/>
              </w:rPr>
            </w:pPr>
          </w:p>
        </w:tc>
      </w:tr>
      <w:tr w14:paraId="6DDFB81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Merge w:val="restart"/>
            <w:vAlign w:val="center"/>
          </w:tcPr>
          <w:p w14:paraId="68B00254">
            <w:pPr>
              <w:kinsoku w:val="0"/>
              <w:overflowPunct w:val="0"/>
              <w:autoSpaceDE w:val="0"/>
              <w:autoSpaceDN w:val="0"/>
              <w:adjustRightInd w:val="0"/>
              <w:snapToGrid w:val="0"/>
              <w:jc w:val="center"/>
              <w:rPr>
                <w:color w:val="auto"/>
                <w:kern w:val="0"/>
                <w:szCs w:val="21"/>
              </w:rPr>
            </w:pPr>
            <w:r>
              <w:rPr>
                <w:color w:val="auto"/>
                <w:kern w:val="0"/>
                <w:position w:val="1"/>
                <w:szCs w:val="21"/>
              </w:rPr>
              <w:t>SO</w:t>
            </w:r>
            <w:r>
              <w:rPr>
                <w:color w:val="auto"/>
                <w:kern w:val="0"/>
                <w:szCs w:val="21"/>
                <w:vertAlign w:val="subscript"/>
              </w:rPr>
              <w:t>2</w:t>
            </w:r>
          </w:p>
        </w:tc>
        <w:tc>
          <w:tcPr>
            <w:tcW w:w="1835" w:type="dxa"/>
            <w:vAlign w:val="center"/>
          </w:tcPr>
          <w:p w14:paraId="33205076">
            <w:pPr>
              <w:kinsoku w:val="0"/>
              <w:overflowPunct w:val="0"/>
              <w:autoSpaceDE w:val="0"/>
              <w:autoSpaceDN w:val="0"/>
              <w:adjustRightInd w:val="0"/>
              <w:snapToGrid w:val="0"/>
              <w:jc w:val="center"/>
              <w:rPr>
                <w:color w:val="auto"/>
                <w:kern w:val="0"/>
                <w:szCs w:val="21"/>
              </w:rPr>
            </w:pPr>
            <w:r>
              <w:rPr>
                <w:color w:val="auto"/>
                <w:kern w:val="0"/>
                <w:szCs w:val="21"/>
              </w:rPr>
              <w:t>年平均</w:t>
            </w:r>
          </w:p>
        </w:tc>
        <w:tc>
          <w:tcPr>
            <w:tcW w:w="1148" w:type="dxa"/>
            <w:vAlign w:val="center"/>
          </w:tcPr>
          <w:p w14:paraId="6659268F">
            <w:pPr>
              <w:kinsoku w:val="0"/>
              <w:overflowPunct w:val="0"/>
              <w:autoSpaceDE w:val="0"/>
              <w:autoSpaceDN w:val="0"/>
              <w:adjustRightInd w:val="0"/>
              <w:snapToGrid w:val="0"/>
              <w:jc w:val="center"/>
              <w:rPr>
                <w:color w:val="auto"/>
                <w:kern w:val="0"/>
                <w:szCs w:val="21"/>
              </w:rPr>
            </w:pPr>
            <w:r>
              <w:rPr>
                <w:color w:val="auto"/>
                <w:kern w:val="0"/>
                <w:szCs w:val="21"/>
              </w:rPr>
              <w:t>60</w:t>
            </w:r>
          </w:p>
        </w:tc>
        <w:tc>
          <w:tcPr>
            <w:tcW w:w="1188" w:type="dxa"/>
            <w:vAlign w:val="center"/>
          </w:tcPr>
          <w:p w14:paraId="7306C6A4">
            <w:pPr>
              <w:adjustRightInd w:val="0"/>
              <w:snapToGrid w:val="0"/>
              <w:jc w:val="center"/>
              <w:rPr>
                <w:color w:val="auto"/>
                <w:szCs w:val="21"/>
              </w:rPr>
            </w:pPr>
            <w:r>
              <w:rPr>
                <w:color w:val="auto"/>
                <w:szCs w:val="21"/>
              </w:rPr>
              <w:t>μg/m</w:t>
            </w:r>
            <w:r>
              <w:rPr>
                <w:color w:val="auto"/>
                <w:szCs w:val="21"/>
                <w:vertAlign w:val="superscript"/>
              </w:rPr>
              <w:t>3</w:t>
            </w:r>
          </w:p>
        </w:tc>
        <w:tc>
          <w:tcPr>
            <w:tcW w:w="3053" w:type="dxa"/>
            <w:vMerge w:val="continue"/>
            <w:vAlign w:val="center"/>
          </w:tcPr>
          <w:p w14:paraId="0155F6D6">
            <w:pPr>
              <w:widowControl/>
              <w:jc w:val="left"/>
              <w:rPr>
                <w:b/>
                <w:bCs/>
                <w:color w:val="auto"/>
                <w:spacing w:val="1"/>
                <w:kern w:val="0"/>
                <w:szCs w:val="21"/>
              </w:rPr>
            </w:pPr>
          </w:p>
        </w:tc>
      </w:tr>
      <w:tr w14:paraId="630A943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Merge w:val="continue"/>
            <w:vAlign w:val="center"/>
          </w:tcPr>
          <w:p w14:paraId="661B7A50">
            <w:pPr>
              <w:widowControl/>
              <w:jc w:val="left"/>
              <w:rPr>
                <w:color w:val="auto"/>
                <w:kern w:val="0"/>
                <w:szCs w:val="21"/>
              </w:rPr>
            </w:pPr>
          </w:p>
        </w:tc>
        <w:tc>
          <w:tcPr>
            <w:tcW w:w="1835" w:type="dxa"/>
            <w:vAlign w:val="center"/>
          </w:tcPr>
          <w:p w14:paraId="57AB7168">
            <w:pPr>
              <w:kinsoku w:val="0"/>
              <w:overflowPunct w:val="0"/>
              <w:autoSpaceDE w:val="0"/>
              <w:autoSpaceDN w:val="0"/>
              <w:adjustRightInd w:val="0"/>
              <w:snapToGrid w:val="0"/>
              <w:jc w:val="center"/>
              <w:rPr>
                <w:color w:val="auto"/>
                <w:kern w:val="0"/>
                <w:szCs w:val="21"/>
              </w:rPr>
            </w:pPr>
            <w:r>
              <w:rPr>
                <w:color w:val="auto"/>
                <w:kern w:val="0"/>
                <w:szCs w:val="21"/>
              </w:rPr>
              <w:t>24小时平均</w:t>
            </w:r>
          </w:p>
        </w:tc>
        <w:tc>
          <w:tcPr>
            <w:tcW w:w="1148" w:type="dxa"/>
            <w:vAlign w:val="center"/>
          </w:tcPr>
          <w:p w14:paraId="7C5FCA14">
            <w:pPr>
              <w:kinsoku w:val="0"/>
              <w:overflowPunct w:val="0"/>
              <w:autoSpaceDE w:val="0"/>
              <w:autoSpaceDN w:val="0"/>
              <w:adjustRightInd w:val="0"/>
              <w:snapToGrid w:val="0"/>
              <w:jc w:val="center"/>
              <w:rPr>
                <w:color w:val="auto"/>
                <w:kern w:val="0"/>
                <w:szCs w:val="21"/>
              </w:rPr>
            </w:pPr>
            <w:r>
              <w:rPr>
                <w:color w:val="auto"/>
                <w:kern w:val="0"/>
                <w:szCs w:val="21"/>
              </w:rPr>
              <w:t>150</w:t>
            </w:r>
          </w:p>
        </w:tc>
        <w:tc>
          <w:tcPr>
            <w:tcW w:w="1188" w:type="dxa"/>
            <w:vAlign w:val="center"/>
          </w:tcPr>
          <w:p w14:paraId="4C0A5FA7">
            <w:pPr>
              <w:adjustRightInd w:val="0"/>
              <w:snapToGrid w:val="0"/>
              <w:jc w:val="center"/>
              <w:rPr>
                <w:color w:val="auto"/>
                <w:szCs w:val="21"/>
              </w:rPr>
            </w:pPr>
            <w:r>
              <w:rPr>
                <w:color w:val="auto"/>
                <w:szCs w:val="21"/>
              </w:rPr>
              <w:t>μg/m</w:t>
            </w:r>
            <w:r>
              <w:rPr>
                <w:color w:val="auto"/>
                <w:szCs w:val="21"/>
                <w:vertAlign w:val="superscript"/>
              </w:rPr>
              <w:t>3</w:t>
            </w:r>
          </w:p>
        </w:tc>
        <w:tc>
          <w:tcPr>
            <w:tcW w:w="3053" w:type="dxa"/>
            <w:vMerge w:val="continue"/>
            <w:vAlign w:val="center"/>
          </w:tcPr>
          <w:p w14:paraId="7B786E1B">
            <w:pPr>
              <w:widowControl/>
              <w:jc w:val="left"/>
              <w:rPr>
                <w:b/>
                <w:bCs/>
                <w:color w:val="auto"/>
                <w:spacing w:val="1"/>
                <w:kern w:val="0"/>
                <w:szCs w:val="21"/>
              </w:rPr>
            </w:pPr>
          </w:p>
        </w:tc>
      </w:tr>
      <w:tr w14:paraId="613CEB2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Merge w:val="restart"/>
            <w:vAlign w:val="center"/>
          </w:tcPr>
          <w:p w14:paraId="0341298C">
            <w:pPr>
              <w:kinsoku w:val="0"/>
              <w:overflowPunct w:val="0"/>
              <w:autoSpaceDE w:val="0"/>
              <w:autoSpaceDN w:val="0"/>
              <w:adjustRightInd w:val="0"/>
              <w:snapToGrid w:val="0"/>
              <w:jc w:val="center"/>
              <w:rPr>
                <w:color w:val="auto"/>
                <w:kern w:val="0"/>
                <w:szCs w:val="21"/>
              </w:rPr>
            </w:pPr>
            <w:r>
              <w:rPr>
                <w:color w:val="auto"/>
                <w:kern w:val="0"/>
                <w:position w:val="1"/>
                <w:szCs w:val="21"/>
              </w:rPr>
              <w:t>NO</w:t>
            </w:r>
            <w:r>
              <w:rPr>
                <w:color w:val="auto"/>
                <w:kern w:val="0"/>
                <w:szCs w:val="21"/>
                <w:vertAlign w:val="subscript"/>
              </w:rPr>
              <w:t>2</w:t>
            </w:r>
          </w:p>
        </w:tc>
        <w:tc>
          <w:tcPr>
            <w:tcW w:w="1835" w:type="dxa"/>
            <w:vAlign w:val="center"/>
          </w:tcPr>
          <w:p w14:paraId="38AD44FC">
            <w:pPr>
              <w:kinsoku w:val="0"/>
              <w:overflowPunct w:val="0"/>
              <w:autoSpaceDE w:val="0"/>
              <w:autoSpaceDN w:val="0"/>
              <w:adjustRightInd w:val="0"/>
              <w:snapToGrid w:val="0"/>
              <w:jc w:val="center"/>
              <w:rPr>
                <w:color w:val="auto"/>
                <w:kern w:val="0"/>
                <w:szCs w:val="21"/>
              </w:rPr>
            </w:pPr>
            <w:r>
              <w:rPr>
                <w:color w:val="auto"/>
                <w:kern w:val="0"/>
                <w:szCs w:val="21"/>
              </w:rPr>
              <w:t>年平均</w:t>
            </w:r>
          </w:p>
        </w:tc>
        <w:tc>
          <w:tcPr>
            <w:tcW w:w="1148" w:type="dxa"/>
            <w:vAlign w:val="center"/>
          </w:tcPr>
          <w:p w14:paraId="363A65BF">
            <w:pPr>
              <w:kinsoku w:val="0"/>
              <w:overflowPunct w:val="0"/>
              <w:autoSpaceDE w:val="0"/>
              <w:autoSpaceDN w:val="0"/>
              <w:adjustRightInd w:val="0"/>
              <w:snapToGrid w:val="0"/>
              <w:jc w:val="center"/>
              <w:rPr>
                <w:color w:val="auto"/>
                <w:kern w:val="0"/>
                <w:szCs w:val="21"/>
              </w:rPr>
            </w:pPr>
            <w:r>
              <w:rPr>
                <w:color w:val="auto"/>
                <w:kern w:val="0"/>
                <w:szCs w:val="21"/>
              </w:rPr>
              <w:t>40</w:t>
            </w:r>
          </w:p>
        </w:tc>
        <w:tc>
          <w:tcPr>
            <w:tcW w:w="1188" w:type="dxa"/>
            <w:vAlign w:val="center"/>
          </w:tcPr>
          <w:p w14:paraId="1322CE93">
            <w:pPr>
              <w:adjustRightInd w:val="0"/>
              <w:snapToGrid w:val="0"/>
              <w:jc w:val="center"/>
              <w:rPr>
                <w:color w:val="auto"/>
                <w:szCs w:val="21"/>
              </w:rPr>
            </w:pPr>
            <w:r>
              <w:rPr>
                <w:color w:val="auto"/>
                <w:szCs w:val="21"/>
              </w:rPr>
              <w:t>μg/m</w:t>
            </w:r>
            <w:r>
              <w:rPr>
                <w:color w:val="auto"/>
                <w:szCs w:val="21"/>
                <w:vertAlign w:val="superscript"/>
              </w:rPr>
              <w:t>3</w:t>
            </w:r>
          </w:p>
        </w:tc>
        <w:tc>
          <w:tcPr>
            <w:tcW w:w="3053" w:type="dxa"/>
            <w:vMerge w:val="continue"/>
            <w:vAlign w:val="center"/>
          </w:tcPr>
          <w:p w14:paraId="0752EEE6">
            <w:pPr>
              <w:widowControl/>
              <w:jc w:val="left"/>
              <w:rPr>
                <w:b/>
                <w:bCs/>
                <w:color w:val="auto"/>
                <w:spacing w:val="1"/>
                <w:kern w:val="0"/>
                <w:szCs w:val="21"/>
              </w:rPr>
            </w:pPr>
          </w:p>
        </w:tc>
      </w:tr>
      <w:tr w14:paraId="4EE0A45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Merge w:val="continue"/>
            <w:vAlign w:val="center"/>
          </w:tcPr>
          <w:p w14:paraId="7AA6A2E7">
            <w:pPr>
              <w:widowControl/>
              <w:jc w:val="left"/>
              <w:rPr>
                <w:color w:val="auto"/>
                <w:kern w:val="0"/>
                <w:szCs w:val="21"/>
              </w:rPr>
            </w:pPr>
          </w:p>
        </w:tc>
        <w:tc>
          <w:tcPr>
            <w:tcW w:w="1835" w:type="dxa"/>
            <w:vAlign w:val="center"/>
          </w:tcPr>
          <w:p w14:paraId="5731AB40">
            <w:pPr>
              <w:kinsoku w:val="0"/>
              <w:overflowPunct w:val="0"/>
              <w:autoSpaceDE w:val="0"/>
              <w:autoSpaceDN w:val="0"/>
              <w:adjustRightInd w:val="0"/>
              <w:snapToGrid w:val="0"/>
              <w:jc w:val="center"/>
              <w:rPr>
                <w:color w:val="auto"/>
                <w:kern w:val="0"/>
                <w:szCs w:val="21"/>
              </w:rPr>
            </w:pPr>
            <w:r>
              <w:rPr>
                <w:color w:val="auto"/>
                <w:kern w:val="0"/>
                <w:szCs w:val="21"/>
              </w:rPr>
              <w:t>24小时平均</w:t>
            </w:r>
          </w:p>
        </w:tc>
        <w:tc>
          <w:tcPr>
            <w:tcW w:w="1148" w:type="dxa"/>
            <w:vAlign w:val="center"/>
          </w:tcPr>
          <w:p w14:paraId="678B2FD6">
            <w:pPr>
              <w:kinsoku w:val="0"/>
              <w:overflowPunct w:val="0"/>
              <w:autoSpaceDE w:val="0"/>
              <w:autoSpaceDN w:val="0"/>
              <w:adjustRightInd w:val="0"/>
              <w:snapToGrid w:val="0"/>
              <w:jc w:val="center"/>
              <w:rPr>
                <w:color w:val="auto"/>
                <w:kern w:val="0"/>
                <w:szCs w:val="21"/>
              </w:rPr>
            </w:pPr>
            <w:r>
              <w:rPr>
                <w:color w:val="auto"/>
                <w:kern w:val="0"/>
                <w:szCs w:val="21"/>
              </w:rPr>
              <w:t>80</w:t>
            </w:r>
          </w:p>
        </w:tc>
        <w:tc>
          <w:tcPr>
            <w:tcW w:w="1188" w:type="dxa"/>
            <w:vAlign w:val="center"/>
          </w:tcPr>
          <w:p w14:paraId="612FE2EF">
            <w:pPr>
              <w:adjustRightInd w:val="0"/>
              <w:snapToGrid w:val="0"/>
              <w:jc w:val="center"/>
              <w:rPr>
                <w:color w:val="auto"/>
                <w:szCs w:val="21"/>
              </w:rPr>
            </w:pPr>
            <w:r>
              <w:rPr>
                <w:color w:val="auto"/>
                <w:szCs w:val="21"/>
              </w:rPr>
              <w:t>μg/m</w:t>
            </w:r>
            <w:r>
              <w:rPr>
                <w:color w:val="auto"/>
                <w:szCs w:val="21"/>
                <w:vertAlign w:val="superscript"/>
              </w:rPr>
              <w:t>3</w:t>
            </w:r>
          </w:p>
        </w:tc>
        <w:tc>
          <w:tcPr>
            <w:tcW w:w="3053" w:type="dxa"/>
            <w:vMerge w:val="continue"/>
            <w:vAlign w:val="center"/>
          </w:tcPr>
          <w:p w14:paraId="4236CADE">
            <w:pPr>
              <w:widowControl/>
              <w:jc w:val="left"/>
              <w:rPr>
                <w:b/>
                <w:bCs/>
                <w:color w:val="auto"/>
                <w:spacing w:val="1"/>
                <w:kern w:val="0"/>
                <w:szCs w:val="21"/>
              </w:rPr>
            </w:pPr>
          </w:p>
        </w:tc>
      </w:tr>
      <w:tr w14:paraId="3C75C40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Merge w:val="restart"/>
            <w:vAlign w:val="center"/>
          </w:tcPr>
          <w:p w14:paraId="15D37DFB">
            <w:pPr>
              <w:kinsoku w:val="0"/>
              <w:overflowPunct w:val="0"/>
              <w:autoSpaceDE w:val="0"/>
              <w:autoSpaceDN w:val="0"/>
              <w:adjustRightInd w:val="0"/>
              <w:snapToGrid w:val="0"/>
              <w:jc w:val="center"/>
              <w:rPr>
                <w:color w:val="auto"/>
                <w:kern w:val="0"/>
                <w:szCs w:val="21"/>
              </w:rPr>
            </w:pPr>
            <w:r>
              <w:rPr>
                <w:color w:val="auto"/>
                <w:kern w:val="0"/>
                <w:szCs w:val="21"/>
              </w:rPr>
              <w:t>CO</w:t>
            </w:r>
          </w:p>
        </w:tc>
        <w:tc>
          <w:tcPr>
            <w:tcW w:w="1835" w:type="dxa"/>
            <w:vAlign w:val="center"/>
          </w:tcPr>
          <w:p w14:paraId="3D33EC7A">
            <w:pPr>
              <w:kinsoku w:val="0"/>
              <w:overflowPunct w:val="0"/>
              <w:autoSpaceDE w:val="0"/>
              <w:autoSpaceDN w:val="0"/>
              <w:adjustRightInd w:val="0"/>
              <w:snapToGrid w:val="0"/>
              <w:jc w:val="center"/>
              <w:rPr>
                <w:color w:val="auto"/>
                <w:kern w:val="0"/>
                <w:szCs w:val="21"/>
              </w:rPr>
            </w:pPr>
            <w:r>
              <w:rPr>
                <w:color w:val="auto"/>
                <w:kern w:val="0"/>
                <w:szCs w:val="21"/>
              </w:rPr>
              <w:t>24小时平均</w:t>
            </w:r>
          </w:p>
        </w:tc>
        <w:tc>
          <w:tcPr>
            <w:tcW w:w="1148" w:type="dxa"/>
            <w:vAlign w:val="center"/>
          </w:tcPr>
          <w:p w14:paraId="7FF10DC0">
            <w:pPr>
              <w:kinsoku w:val="0"/>
              <w:overflowPunct w:val="0"/>
              <w:autoSpaceDE w:val="0"/>
              <w:autoSpaceDN w:val="0"/>
              <w:adjustRightInd w:val="0"/>
              <w:snapToGrid w:val="0"/>
              <w:jc w:val="center"/>
              <w:rPr>
                <w:color w:val="auto"/>
                <w:kern w:val="0"/>
                <w:szCs w:val="21"/>
              </w:rPr>
            </w:pPr>
            <w:r>
              <w:rPr>
                <w:color w:val="auto"/>
                <w:kern w:val="0"/>
                <w:szCs w:val="21"/>
              </w:rPr>
              <w:t>4</w:t>
            </w:r>
          </w:p>
        </w:tc>
        <w:tc>
          <w:tcPr>
            <w:tcW w:w="1188" w:type="dxa"/>
            <w:vAlign w:val="center"/>
          </w:tcPr>
          <w:p w14:paraId="41E47695">
            <w:pPr>
              <w:adjustRightInd w:val="0"/>
              <w:snapToGrid w:val="0"/>
              <w:jc w:val="center"/>
              <w:rPr>
                <w:color w:val="auto"/>
                <w:szCs w:val="21"/>
              </w:rPr>
            </w:pPr>
            <w:r>
              <w:rPr>
                <w:color w:val="auto"/>
                <w:kern w:val="0"/>
                <w:szCs w:val="21"/>
              </w:rPr>
              <w:t>mg/m</w:t>
            </w:r>
            <w:r>
              <w:rPr>
                <w:color w:val="auto"/>
                <w:kern w:val="0"/>
                <w:szCs w:val="21"/>
                <w:vertAlign w:val="superscript"/>
              </w:rPr>
              <w:t>3</w:t>
            </w:r>
          </w:p>
        </w:tc>
        <w:tc>
          <w:tcPr>
            <w:tcW w:w="3053" w:type="dxa"/>
            <w:vMerge w:val="continue"/>
            <w:vAlign w:val="center"/>
          </w:tcPr>
          <w:p w14:paraId="3FD25E9C">
            <w:pPr>
              <w:widowControl/>
              <w:jc w:val="left"/>
              <w:rPr>
                <w:b/>
                <w:bCs/>
                <w:color w:val="auto"/>
                <w:spacing w:val="1"/>
                <w:kern w:val="0"/>
                <w:szCs w:val="21"/>
              </w:rPr>
            </w:pPr>
          </w:p>
        </w:tc>
      </w:tr>
      <w:tr w14:paraId="4D6EC24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Merge w:val="continue"/>
            <w:vAlign w:val="center"/>
          </w:tcPr>
          <w:p w14:paraId="0EE7F852">
            <w:pPr>
              <w:widowControl/>
              <w:jc w:val="left"/>
              <w:rPr>
                <w:color w:val="auto"/>
                <w:kern w:val="0"/>
                <w:szCs w:val="21"/>
              </w:rPr>
            </w:pPr>
          </w:p>
        </w:tc>
        <w:tc>
          <w:tcPr>
            <w:tcW w:w="1835" w:type="dxa"/>
            <w:vAlign w:val="center"/>
          </w:tcPr>
          <w:p w14:paraId="6ED3B46D">
            <w:pPr>
              <w:kinsoku w:val="0"/>
              <w:overflowPunct w:val="0"/>
              <w:autoSpaceDE w:val="0"/>
              <w:autoSpaceDN w:val="0"/>
              <w:adjustRightInd w:val="0"/>
              <w:snapToGrid w:val="0"/>
              <w:jc w:val="center"/>
              <w:rPr>
                <w:color w:val="auto"/>
                <w:kern w:val="0"/>
                <w:szCs w:val="21"/>
              </w:rPr>
            </w:pPr>
            <w:r>
              <w:rPr>
                <w:color w:val="auto"/>
                <w:kern w:val="0"/>
                <w:szCs w:val="21"/>
              </w:rPr>
              <w:t>1小时平均</w:t>
            </w:r>
          </w:p>
        </w:tc>
        <w:tc>
          <w:tcPr>
            <w:tcW w:w="1148" w:type="dxa"/>
            <w:vAlign w:val="center"/>
          </w:tcPr>
          <w:p w14:paraId="22050ADF">
            <w:pPr>
              <w:kinsoku w:val="0"/>
              <w:overflowPunct w:val="0"/>
              <w:autoSpaceDE w:val="0"/>
              <w:autoSpaceDN w:val="0"/>
              <w:adjustRightInd w:val="0"/>
              <w:snapToGrid w:val="0"/>
              <w:jc w:val="center"/>
              <w:rPr>
                <w:color w:val="auto"/>
                <w:kern w:val="0"/>
                <w:szCs w:val="21"/>
              </w:rPr>
            </w:pPr>
            <w:r>
              <w:rPr>
                <w:color w:val="auto"/>
                <w:kern w:val="0"/>
                <w:szCs w:val="21"/>
              </w:rPr>
              <w:t>10</w:t>
            </w:r>
          </w:p>
        </w:tc>
        <w:tc>
          <w:tcPr>
            <w:tcW w:w="1188" w:type="dxa"/>
            <w:vAlign w:val="center"/>
          </w:tcPr>
          <w:p w14:paraId="24C102B2">
            <w:pPr>
              <w:adjustRightInd w:val="0"/>
              <w:snapToGrid w:val="0"/>
              <w:jc w:val="center"/>
              <w:rPr>
                <w:color w:val="auto"/>
                <w:szCs w:val="21"/>
              </w:rPr>
            </w:pPr>
            <w:r>
              <w:rPr>
                <w:color w:val="auto"/>
                <w:kern w:val="0"/>
                <w:szCs w:val="21"/>
              </w:rPr>
              <w:t>mg/m</w:t>
            </w:r>
            <w:r>
              <w:rPr>
                <w:color w:val="auto"/>
                <w:kern w:val="0"/>
                <w:szCs w:val="21"/>
                <w:vertAlign w:val="superscript"/>
              </w:rPr>
              <w:t>3</w:t>
            </w:r>
          </w:p>
        </w:tc>
        <w:tc>
          <w:tcPr>
            <w:tcW w:w="3053" w:type="dxa"/>
            <w:vMerge w:val="continue"/>
            <w:vAlign w:val="center"/>
          </w:tcPr>
          <w:p w14:paraId="15D3AD5A">
            <w:pPr>
              <w:widowControl/>
              <w:jc w:val="left"/>
              <w:rPr>
                <w:b/>
                <w:bCs/>
                <w:color w:val="auto"/>
                <w:spacing w:val="1"/>
                <w:kern w:val="0"/>
                <w:szCs w:val="21"/>
              </w:rPr>
            </w:pPr>
          </w:p>
        </w:tc>
      </w:tr>
      <w:tr w14:paraId="2DA4C4A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Merge w:val="restart"/>
            <w:vAlign w:val="center"/>
          </w:tcPr>
          <w:p w14:paraId="4E98D6EE">
            <w:pPr>
              <w:kinsoku w:val="0"/>
              <w:overflowPunct w:val="0"/>
              <w:autoSpaceDE w:val="0"/>
              <w:autoSpaceDN w:val="0"/>
              <w:adjustRightInd w:val="0"/>
              <w:snapToGrid w:val="0"/>
              <w:jc w:val="center"/>
              <w:rPr>
                <w:color w:val="auto"/>
                <w:kern w:val="0"/>
                <w:szCs w:val="21"/>
              </w:rPr>
            </w:pPr>
            <w:r>
              <w:rPr>
                <w:color w:val="auto"/>
                <w:kern w:val="0"/>
                <w:szCs w:val="21"/>
              </w:rPr>
              <w:t>O</w:t>
            </w:r>
            <w:r>
              <w:rPr>
                <w:color w:val="auto"/>
                <w:kern w:val="0"/>
                <w:szCs w:val="21"/>
                <w:vertAlign w:val="subscript"/>
              </w:rPr>
              <w:t>3</w:t>
            </w:r>
          </w:p>
        </w:tc>
        <w:tc>
          <w:tcPr>
            <w:tcW w:w="1835" w:type="dxa"/>
            <w:vAlign w:val="center"/>
          </w:tcPr>
          <w:p w14:paraId="5E7A2494">
            <w:pPr>
              <w:kinsoku w:val="0"/>
              <w:overflowPunct w:val="0"/>
              <w:autoSpaceDE w:val="0"/>
              <w:autoSpaceDN w:val="0"/>
              <w:adjustRightInd w:val="0"/>
              <w:snapToGrid w:val="0"/>
              <w:jc w:val="center"/>
              <w:rPr>
                <w:color w:val="auto"/>
                <w:kern w:val="0"/>
                <w:szCs w:val="21"/>
              </w:rPr>
            </w:pPr>
            <w:r>
              <w:rPr>
                <w:color w:val="auto"/>
                <w:kern w:val="0"/>
                <w:szCs w:val="21"/>
              </w:rPr>
              <w:t>日最大8小时平均</w:t>
            </w:r>
          </w:p>
        </w:tc>
        <w:tc>
          <w:tcPr>
            <w:tcW w:w="1148" w:type="dxa"/>
            <w:vAlign w:val="center"/>
          </w:tcPr>
          <w:p w14:paraId="7C2B37FE">
            <w:pPr>
              <w:kinsoku w:val="0"/>
              <w:overflowPunct w:val="0"/>
              <w:autoSpaceDE w:val="0"/>
              <w:autoSpaceDN w:val="0"/>
              <w:adjustRightInd w:val="0"/>
              <w:snapToGrid w:val="0"/>
              <w:jc w:val="center"/>
              <w:rPr>
                <w:color w:val="auto"/>
                <w:kern w:val="0"/>
                <w:szCs w:val="21"/>
              </w:rPr>
            </w:pPr>
            <w:r>
              <w:rPr>
                <w:color w:val="auto"/>
                <w:kern w:val="0"/>
                <w:szCs w:val="21"/>
              </w:rPr>
              <w:t>160</w:t>
            </w:r>
          </w:p>
        </w:tc>
        <w:tc>
          <w:tcPr>
            <w:tcW w:w="1188" w:type="dxa"/>
            <w:vAlign w:val="center"/>
          </w:tcPr>
          <w:p w14:paraId="75DB04A5">
            <w:pPr>
              <w:adjustRightInd w:val="0"/>
              <w:snapToGrid w:val="0"/>
              <w:jc w:val="center"/>
              <w:rPr>
                <w:color w:val="auto"/>
                <w:szCs w:val="21"/>
              </w:rPr>
            </w:pPr>
            <w:r>
              <w:rPr>
                <w:color w:val="auto"/>
                <w:szCs w:val="21"/>
              </w:rPr>
              <w:t>μg/m</w:t>
            </w:r>
            <w:r>
              <w:rPr>
                <w:color w:val="auto"/>
                <w:szCs w:val="21"/>
                <w:vertAlign w:val="superscript"/>
              </w:rPr>
              <w:t>3</w:t>
            </w:r>
          </w:p>
        </w:tc>
        <w:tc>
          <w:tcPr>
            <w:tcW w:w="3053" w:type="dxa"/>
            <w:vMerge w:val="continue"/>
            <w:vAlign w:val="center"/>
          </w:tcPr>
          <w:p w14:paraId="525571B1">
            <w:pPr>
              <w:widowControl/>
              <w:jc w:val="left"/>
              <w:rPr>
                <w:b/>
                <w:bCs/>
                <w:color w:val="auto"/>
                <w:spacing w:val="1"/>
                <w:kern w:val="0"/>
                <w:szCs w:val="21"/>
              </w:rPr>
            </w:pPr>
          </w:p>
        </w:tc>
      </w:tr>
      <w:tr w14:paraId="5BF63A00">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Merge w:val="continue"/>
            <w:vAlign w:val="center"/>
          </w:tcPr>
          <w:p w14:paraId="2540340A">
            <w:pPr>
              <w:widowControl/>
              <w:jc w:val="left"/>
              <w:rPr>
                <w:color w:val="auto"/>
                <w:kern w:val="0"/>
                <w:szCs w:val="21"/>
              </w:rPr>
            </w:pPr>
          </w:p>
        </w:tc>
        <w:tc>
          <w:tcPr>
            <w:tcW w:w="1835" w:type="dxa"/>
            <w:vAlign w:val="center"/>
          </w:tcPr>
          <w:p w14:paraId="1D72A530">
            <w:pPr>
              <w:kinsoku w:val="0"/>
              <w:overflowPunct w:val="0"/>
              <w:autoSpaceDE w:val="0"/>
              <w:autoSpaceDN w:val="0"/>
              <w:adjustRightInd w:val="0"/>
              <w:snapToGrid w:val="0"/>
              <w:jc w:val="center"/>
              <w:rPr>
                <w:color w:val="auto"/>
                <w:kern w:val="0"/>
                <w:szCs w:val="21"/>
              </w:rPr>
            </w:pPr>
            <w:r>
              <w:rPr>
                <w:color w:val="auto"/>
                <w:kern w:val="0"/>
                <w:szCs w:val="21"/>
              </w:rPr>
              <w:t>1小时平均</w:t>
            </w:r>
          </w:p>
        </w:tc>
        <w:tc>
          <w:tcPr>
            <w:tcW w:w="1148" w:type="dxa"/>
            <w:vAlign w:val="center"/>
          </w:tcPr>
          <w:p w14:paraId="3D7F1C5B">
            <w:pPr>
              <w:kinsoku w:val="0"/>
              <w:overflowPunct w:val="0"/>
              <w:autoSpaceDE w:val="0"/>
              <w:autoSpaceDN w:val="0"/>
              <w:adjustRightInd w:val="0"/>
              <w:snapToGrid w:val="0"/>
              <w:jc w:val="center"/>
              <w:rPr>
                <w:color w:val="auto"/>
                <w:kern w:val="0"/>
                <w:szCs w:val="21"/>
              </w:rPr>
            </w:pPr>
            <w:r>
              <w:rPr>
                <w:color w:val="auto"/>
                <w:kern w:val="0"/>
                <w:szCs w:val="21"/>
              </w:rPr>
              <w:t>200</w:t>
            </w:r>
          </w:p>
        </w:tc>
        <w:tc>
          <w:tcPr>
            <w:tcW w:w="1188" w:type="dxa"/>
            <w:vAlign w:val="center"/>
          </w:tcPr>
          <w:p w14:paraId="6DA8CA0E">
            <w:pPr>
              <w:adjustRightInd w:val="0"/>
              <w:snapToGrid w:val="0"/>
              <w:jc w:val="center"/>
              <w:rPr>
                <w:color w:val="auto"/>
                <w:szCs w:val="21"/>
              </w:rPr>
            </w:pPr>
            <w:r>
              <w:rPr>
                <w:color w:val="auto"/>
                <w:szCs w:val="21"/>
              </w:rPr>
              <w:t>μg/m</w:t>
            </w:r>
            <w:r>
              <w:rPr>
                <w:color w:val="auto"/>
                <w:szCs w:val="21"/>
                <w:vertAlign w:val="superscript"/>
              </w:rPr>
              <w:t>3</w:t>
            </w:r>
          </w:p>
        </w:tc>
        <w:tc>
          <w:tcPr>
            <w:tcW w:w="3053" w:type="dxa"/>
            <w:vMerge w:val="continue"/>
            <w:vAlign w:val="center"/>
          </w:tcPr>
          <w:p w14:paraId="62759B54">
            <w:pPr>
              <w:widowControl/>
              <w:jc w:val="left"/>
              <w:rPr>
                <w:b/>
                <w:bCs/>
                <w:color w:val="auto"/>
                <w:spacing w:val="1"/>
                <w:kern w:val="0"/>
                <w:szCs w:val="21"/>
              </w:rPr>
            </w:pPr>
          </w:p>
        </w:tc>
      </w:tr>
      <w:tr w14:paraId="0297E2C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Align w:val="center"/>
          </w:tcPr>
          <w:p w14:paraId="54781F20">
            <w:pPr>
              <w:jc w:val="center"/>
              <w:rPr>
                <w:color w:val="auto"/>
                <w:szCs w:val="21"/>
              </w:rPr>
            </w:pPr>
            <w:r>
              <w:rPr>
                <w:color w:val="auto"/>
                <w:szCs w:val="21"/>
              </w:rPr>
              <w:t>H</w:t>
            </w:r>
            <w:r>
              <w:rPr>
                <w:color w:val="auto"/>
                <w:szCs w:val="21"/>
                <w:vertAlign w:val="subscript"/>
              </w:rPr>
              <w:t>2</w:t>
            </w:r>
            <w:r>
              <w:rPr>
                <w:color w:val="auto"/>
                <w:szCs w:val="21"/>
              </w:rPr>
              <w:t>S</w:t>
            </w:r>
          </w:p>
        </w:tc>
        <w:tc>
          <w:tcPr>
            <w:tcW w:w="1835" w:type="dxa"/>
            <w:vAlign w:val="center"/>
          </w:tcPr>
          <w:p w14:paraId="41A560BB">
            <w:pPr>
              <w:jc w:val="center"/>
              <w:rPr>
                <w:color w:val="auto"/>
                <w:szCs w:val="21"/>
              </w:rPr>
            </w:pPr>
            <w:r>
              <w:rPr>
                <w:color w:val="auto"/>
                <w:szCs w:val="21"/>
              </w:rPr>
              <w:t>一次值</w:t>
            </w:r>
          </w:p>
        </w:tc>
        <w:tc>
          <w:tcPr>
            <w:tcW w:w="1148" w:type="dxa"/>
            <w:vAlign w:val="center"/>
          </w:tcPr>
          <w:p w14:paraId="40EEB6EB">
            <w:pPr>
              <w:jc w:val="center"/>
              <w:rPr>
                <w:color w:val="auto"/>
                <w:szCs w:val="21"/>
              </w:rPr>
            </w:pPr>
            <w:r>
              <w:rPr>
                <w:color w:val="auto"/>
                <w:szCs w:val="21"/>
              </w:rPr>
              <w:t>10</w:t>
            </w:r>
          </w:p>
        </w:tc>
        <w:tc>
          <w:tcPr>
            <w:tcW w:w="1188" w:type="dxa"/>
            <w:vAlign w:val="center"/>
          </w:tcPr>
          <w:p w14:paraId="7025F2F3">
            <w:pPr>
              <w:kinsoku w:val="0"/>
              <w:overflowPunct w:val="0"/>
              <w:autoSpaceDE w:val="0"/>
              <w:autoSpaceDN w:val="0"/>
              <w:adjustRightInd w:val="0"/>
              <w:snapToGrid w:val="0"/>
              <w:jc w:val="center"/>
              <w:rPr>
                <w:color w:val="auto"/>
                <w:kern w:val="0"/>
                <w:szCs w:val="21"/>
              </w:rPr>
            </w:pPr>
            <w:r>
              <w:rPr>
                <w:color w:val="auto"/>
                <w:szCs w:val="21"/>
              </w:rPr>
              <w:t>μ</w:t>
            </w:r>
            <w:r>
              <w:rPr>
                <w:color w:val="auto"/>
                <w:kern w:val="0"/>
                <w:szCs w:val="21"/>
              </w:rPr>
              <w:t>g/m</w:t>
            </w:r>
            <w:r>
              <w:rPr>
                <w:color w:val="auto"/>
                <w:kern w:val="0"/>
                <w:szCs w:val="21"/>
                <w:vertAlign w:val="superscript"/>
              </w:rPr>
              <w:t>3</w:t>
            </w:r>
          </w:p>
        </w:tc>
        <w:tc>
          <w:tcPr>
            <w:tcW w:w="3053" w:type="dxa"/>
            <w:vMerge w:val="restart"/>
            <w:vAlign w:val="center"/>
          </w:tcPr>
          <w:p w14:paraId="40EF73B8">
            <w:pPr>
              <w:kinsoku w:val="0"/>
              <w:overflowPunct w:val="0"/>
              <w:autoSpaceDE w:val="0"/>
              <w:autoSpaceDN w:val="0"/>
              <w:adjustRightInd w:val="0"/>
              <w:snapToGrid w:val="0"/>
              <w:jc w:val="center"/>
              <w:rPr>
                <w:snapToGrid w:val="0"/>
                <w:color w:val="auto"/>
                <w:spacing w:val="-12"/>
                <w:kern w:val="0"/>
                <w:szCs w:val="21"/>
              </w:rPr>
            </w:pPr>
            <w:r>
              <w:rPr>
                <w:color w:val="auto"/>
                <w:kern w:val="0"/>
                <w:szCs w:val="21"/>
              </w:rPr>
              <w:t>《环境影响评价技术导则 大气环境》HJ2.2-2018居附录D</w:t>
            </w:r>
          </w:p>
        </w:tc>
      </w:tr>
      <w:tr w14:paraId="6F71ACB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04" w:type="dxa"/>
            <w:vAlign w:val="center"/>
          </w:tcPr>
          <w:p w14:paraId="53790224">
            <w:pPr>
              <w:jc w:val="center"/>
              <w:rPr>
                <w:color w:val="auto"/>
                <w:szCs w:val="21"/>
              </w:rPr>
            </w:pPr>
            <w:r>
              <w:rPr>
                <w:color w:val="auto"/>
                <w:szCs w:val="21"/>
              </w:rPr>
              <w:t>NH</w:t>
            </w:r>
            <w:r>
              <w:rPr>
                <w:color w:val="auto"/>
                <w:szCs w:val="21"/>
                <w:vertAlign w:val="subscript"/>
              </w:rPr>
              <w:t>3</w:t>
            </w:r>
          </w:p>
        </w:tc>
        <w:tc>
          <w:tcPr>
            <w:tcW w:w="1835" w:type="dxa"/>
            <w:vAlign w:val="center"/>
          </w:tcPr>
          <w:p w14:paraId="77C6FE0A">
            <w:pPr>
              <w:jc w:val="center"/>
              <w:rPr>
                <w:color w:val="auto"/>
                <w:szCs w:val="21"/>
              </w:rPr>
            </w:pPr>
            <w:r>
              <w:rPr>
                <w:color w:val="auto"/>
                <w:szCs w:val="21"/>
              </w:rPr>
              <w:t>一次值</w:t>
            </w:r>
          </w:p>
        </w:tc>
        <w:tc>
          <w:tcPr>
            <w:tcW w:w="1148" w:type="dxa"/>
            <w:vAlign w:val="center"/>
          </w:tcPr>
          <w:p w14:paraId="0B5E4605">
            <w:pPr>
              <w:jc w:val="center"/>
              <w:rPr>
                <w:color w:val="auto"/>
                <w:szCs w:val="21"/>
              </w:rPr>
            </w:pPr>
            <w:r>
              <w:rPr>
                <w:color w:val="auto"/>
                <w:szCs w:val="21"/>
              </w:rPr>
              <w:t>200</w:t>
            </w:r>
          </w:p>
        </w:tc>
        <w:tc>
          <w:tcPr>
            <w:tcW w:w="1188" w:type="dxa"/>
            <w:vAlign w:val="center"/>
          </w:tcPr>
          <w:p w14:paraId="5C0EC6C4">
            <w:pPr>
              <w:kinsoku w:val="0"/>
              <w:overflowPunct w:val="0"/>
              <w:autoSpaceDE w:val="0"/>
              <w:autoSpaceDN w:val="0"/>
              <w:adjustRightInd w:val="0"/>
              <w:snapToGrid w:val="0"/>
              <w:jc w:val="center"/>
              <w:rPr>
                <w:color w:val="auto"/>
                <w:kern w:val="0"/>
                <w:szCs w:val="21"/>
              </w:rPr>
            </w:pPr>
            <w:r>
              <w:rPr>
                <w:color w:val="auto"/>
                <w:szCs w:val="21"/>
              </w:rPr>
              <w:t>μ</w:t>
            </w:r>
            <w:r>
              <w:rPr>
                <w:color w:val="auto"/>
                <w:kern w:val="0"/>
                <w:szCs w:val="21"/>
              </w:rPr>
              <w:t>g/m</w:t>
            </w:r>
            <w:r>
              <w:rPr>
                <w:color w:val="auto"/>
                <w:kern w:val="0"/>
                <w:szCs w:val="21"/>
                <w:vertAlign w:val="superscript"/>
              </w:rPr>
              <w:t>3</w:t>
            </w:r>
          </w:p>
        </w:tc>
        <w:tc>
          <w:tcPr>
            <w:tcW w:w="3053" w:type="dxa"/>
            <w:vMerge w:val="continue"/>
            <w:vAlign w:val="center"/>
          </w:tcPr>
          <w:p w14:paraId="19A84AD7">
            <w:pPr>
              <w:widowControl/>
              <w:jc w:val="left"/>
              <w:rPr>
                <w:snapToGrid w:val="0"/>
                <w:color w:val="auto"/>
                <w:spacing w:val="-12"/>
                <w:kern w:val="0"/>
                <w:szCs w:val="21"/>
              </w:rPr>
            </w:pPr>
          </w:p>
        </w:tc>
      </w:tr>
    </w:tbl>
    <w:p w14:paraId="768D9362">
      <w:pPr>
        <w:spacing w:line="360" w:lineRule="auto"/>
        <w:ind w:firstLine="480" w:firstLineChars="200"/>
        <w:rPr>
          <w:color w:val="auto"/>
          <w:kern w:val="0"/>
          <w:sz w:val="24"/>
        </w:rPr>
      </w:pPr>
      <w:r>
        <w:rPr>
          <w:color w:val="auto"/>
          <w:kern w:val="0"/>
          <w:sz w:val="24"/>
        </w:rPr>
        <w:t>(</w:t>
      </w:r>
      <w:r>
        <w:rPr>
          <w:rFonts w:hint="eastAsia"/>
          <w:color w:val="auto"/>
          <w:kern w:val="0"/>
          <w:sz w:val="24"/>
          <w:lang w:val="en-US" w:eastAsia="zh-CN"/>
        </w:rPr>
        <w:t>2</w:t>
      </w:r>
      <w:r>
        <w:rPr>
          <w:color w:val="auto"/>
          <w:kern w:val="0"/>
          <w:sz w:val="24"/>
        </w:rPr>
        <w:t>)声环境质量标准</w:t>
      </w:r>
    </w:p>
    <w:p w14:paraId="2386BE45">
      <w:pPr>
        <w:spacing w:line="360" w:lineRule="auto"/>
        <w:ind w:firstLine="480" w:firstLineChars="200"/>
        <w:rPr>
          <w:color w:val="auto"/>
          <w:kern w:val="0"/>
          <w:sz w:val="24"/>
        </w:rPr>
      </w:pPr>
      <w:r>
        <w:rPr>
          <w:color w:val="auto"/>
          <w:kern w:val="0"/>
          <w:sz w:val="24"/>
        </w:rPr>
        <w:t>本项目拟建项目区域属于农村地区，</w:t>
      </w:r>
      <w:r>
        <w:rPr>
          <w:rFonts w:hint="eastAsia"/>
          <w:color w:val="auto"/>
          <w:kern w:val="0"/>
          <w:sz w:val="24"/>
          <w:lang w:val="en-US" w:eastAsia="zh-CN"/>
        </w:rPr>
        <w:t>根据</w:t>
      </w:r>
      <w:r>
        <w:rPr>
          <w:color w:val="auto"/>
          <w:kern w:val="0"/>
          <w:sz w:val="24"/>
        </w:rPr>
        <w:t>《声环境质量标准》(GB3096-2008)</w:t>
      </w:r>
      <w:r>
        <w:rPr>
          <w:rFonts w:hint="eastAsia"/>
          <w:color w:val="auto"/>
          <w:kern w:val="0"/>
          <w:sz w:val="24"/>
          <w:lang w:val="en-US" w:eastAsia="zh-CN"/>
        </w:rPr>
        <w:t>中“7.2村庄原则上执行1类声环境功能区要求”，村庄是指农村村民居住和从事各种生产的聚居区，因此，本项目</w:t>
      </w:r>
      <w:r>
        <w:rPr>
          <w:color w:val="auto"/>
          <w:kern w:val="0"/>
          <w:sz w:val="24"/>
        </w:rPr>
        <w:t>声环境执行《声环境质量标准》(GB3096-2008)中1类，主要指标见表2</w:t>
      </w:r>
      <w:r>
        <w:rPr>
          <w:rFonts w:hint="eastAsia"/>
          <w:color w:val="auto"/>
          <w:kern w:val="0"/>
          <w:sz w:val="24"/>
          <w:lang w:val="en-US" w:eastAsia="zh-CN"/>
        </w:rPr>
        <w:t>.2</w:t>
      </w:r>
      <w:r>
        <w:rPr>
          <w:color w:val="auto"/>
          <w:kern w:val="0"/>
          <w:sz w:val="24"/>
        </w:rPr>
        <w:t>-</w:t>
      </w:r>
      <w:r>
        <w:rPr>
          <w:rFonts w:hint="eastAsia"/>
          <w:color w:val="auto"/>
          <w:kern w:val="0"/>
          <w:sz w:val="24"/>
          <w:lang w:val="en-US" w:eastAsia="zh-CN"/>
        </w:rPr>
        <w:t>4</w:t>
      </w:r>
      <w:r>
        <w:rPr>
          <w:color w:val="auto"/>
          <w:kern w:val="0"/>
          <w:sz w:val="24"/>
        </w:rPr>
        <w:t>。</w:t>
      </w:r>
    </w:p>
    <w:p w14:paraId="663DE87F">
      <w:pPr>
        <w:ind w:firstLine="422" w:firstLineChars="200"/>
        <w:jc w:val="center"/>
        <w:rPr>
          <w:b/>
          <w:bCs/>
          <w:color w:val="auto"/>
          <w:kern w:val="0"/>
          <w:szCs w:val="21"/>
        </w:rPr>
      </w:pPr>
      <w:r>
        <w:rPr>
          <w:b/>
          <w:bCs/>
          <w:color w:val="auto"/>
          <w:kern w:val="0"/>
          <w:szCs w:val="21"/>
        </w:rPr>
        <w:t>表2</w:t>
      </w:r>
      <w:r>
        <w:rPr>
          <w:rFonts w:hint="eastAsia"/>
          <w:b/>
          <w:bCs/>
          <w:color w:val="auto"/>
          <w:kern w:val="0"/>
          <w:szCs w:val="21"/>
          <w:lang w:val="en-US" w:eastAsia="zh-CN"/>
        </w:rPr>
        <w:t>.2</w:t>
      </w:r>
      <w:r>
        <w:rPr>
          <w:b/>
          <w:bCs/>
          <w:color w:val="auto"/>
          <w:kern w:val="0"/>
          <w:szCs w:val="21"/>
        </w:rPr>
        <w:t>-</w:t>
      </w:r>
      <w:r>
        <w:rPr>
          <w:rFonts w:hint="eastAsia"/>
          <w:b/>
          <w:bCs/>
          <w:color w:val="auto"/>
          <w:kern w:val="0"/>
          <w:szCs w:val="21"/>
          <w:lang w:val="en-US" w:eastAsia="zh-CN"/>
        </w:rPr>
        <w:t>4</w:t>
      </w:r>
      <w:r>
        <w:rPr>
          <w:b/>
          <w:bCs/>
          <w:color w:val="auto"/>
          <w:kern w:val="0"/>
          <w:szCs w:val="21"/>
        </w:rPr>
        <w:t xml:space="preserve">     声环境质量标准</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011"/>
        <w:gridCol w:w="2419"/>
        <w:gridCol w:w="2047"/>
        <w:gridCol w:w="2048"/>
      </w:tblGrid>
      <w:tr w14:paraId="4E43B67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11" w:type="dxa"/>
            <w:vMerge w:val="restart"/>
            <w:vAlign w:val="center"/>
          </w:tcPr>
          <w:p w14:paraId="38F0D2DC">
            <w:pPr>
              <w:jc w:val="center"/>
              <w:rPr>
                <w:b/>
                <w:bCs/>
                <w:color w:val="auto"/>
                <w:kern w:val="0"/>
                <w:szCs w:val="21"/>
              </w:rPr>
            </w:pPr>
            <w:r>
              <w:rPr>
                <w:b/>
                <w:bCs/>
                <w:color w:val="auto"/>
                <w:kern w:val="0"/>
                <w:szCs w:val="21"/>
              </w:rPr>
              <w:t>范围</w:t>
            </w:r>
          </w:p>
        </w:tc>
        <w:tc>
          <w:tcPr>
            <w:tcW w:w="2419" w:type="dxa"/>
            <w:vMerge w:val="restart"/>
            <w:vAlign w:val="center"/>
          </w:tcPr>
          <w:p w14:paraId="212D4133">
            <w:pPr>
              <w:jc w:val="center"/>
              <w:rPr>
                <w:b/>
                <w:bCs/>
                <w:color w:val="auto"/>
                <w:kern w:val="0"/>
                <w:szCs w:val="21"/>
              </w:rPr>
            </w:pPr>
            <w:r>
              <w:rPr>
                <w:b/>
                <w:bCs/>
                <w:color w:val="auto"/>
                <w:kern w:val="0"/>
                <w:szCs w:val="21"/>
              </w:rPr>
              <w:t>声环境功能区类别</w:t>
            </w:r>
          </w:p>
        </w:tc>
        <w:tc>
          <w:tcPr>
            <w:tcW w:w="4095" w:type="dxa"/>
            <w:gridSpan w:val="2"/>
            <w:vAlign w:val="center"/>
          </w:tcPr>
          <w:p w14:paraId="3B79C6F3">
            <w:pPr>
              <w:jc w:val="center"/>
              <w:rPr>
                <w:b/>
                <w:bCs/>
                <w:color w:val="auto"/>
                <w:kern w:val="0"/>
                <w:szCs w:val="21"/>
              </w:rPr>
            </w:pPr>
            <w:r>
              <w:rPr>
                <w:b/>
                <w:bCs/>
                <w:color w:val="auto"/>
                <w:kern w:val="0"/>
                <w:szCs w:val="21"/>
              </w:rPr>
              <w:t>等效声级Leq[dB(A)]</w:t>
            </w:r>
          </w:p>
        </w:tc>
      </w:tr>
      <w:tr w14:paraId="476F3AF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11" w:type="dxa"/>
            <w:vMerge w:val="continue"/>
            <w:vAlign w:val="center"/>
          </w:tcPr>
          <w:p w14:paraId="2A27B4F8">
            <w:pPr>
              <w:widowControl/>
              <w:jc w:val="left"/>
              <w:rPr>
                <w:b/>
                <w:bCs/>
                <w:color w:val="auto"/>
                <w:kern w:val="0"/>
                <w:szCs w:val="21"/>
              </w:rPr>
            </w:pPr>
          </w:p>
        </w:tc>
        <w:tc>
          <w:tcPr>
            <w:tcW w:w="2419" w:type="dxa"/>
            <w:vMerge w:val="continue"/>
            <w:vAlign w:val="center"/>
          </w:tcPr>
          <w:p w14:paraId="0CC3AA7A">
            <w:pPr>
              <w:widowControl/>
              <w:jc w:val="left"/>
              <w:rPr>
                <w:b/>
                <w:bCs/>
                <w:color w:val="auto"/>
                <w:kern w:val="0"/>
                <w:szCs w:val="21"/>
              </w:rPr>
            </w:pPr>
          </w:p>
        </w:tc>
        <w:tc>
          <w:tcPr>
            <w:tcW w:w="2047" w:type="dxa"/>
            <w:vAlign w:val="center"/>
          </w:tcPr>
          <w:p w14:paraId="07DC5974">
            <w:pPr>
              <w:jc w:val="center"/>
              <w:rPr>
                <w:b/>
                <w:bCs/>
                <w:color w:val="auto"/>
                <w:kern w:val="0"/>
                <w:szCs w:val="21"/>
              </w:rPr>
            </w:pPr>
            <w:r>
              <w:rPr>
                <w:b/>
                <w:bCs/>
                <w:color w:val="auto"/>
                <w:kern w:val="0"/>
                <w:szCs w:val="21"/>
              </w:rPr>
              <w:t>昼间</w:t>
            </w:r>
          </w:p>
        </w:tc>
        <w:tc>
          <w:tcPr>
            <w:tcW w:w="2048" w:type="dxa"/>
            <w:vAlign w:val="center"/>
          </w:tcPr>
          <w:p w14:paraId="6532527C">
            <w:pPr>
              <w:jc w:val="center"/>
              <w:rPr>
                <w:b/>
                <w:bCs/>
                <w:color w:val="auto"/>
                <w:kern w:val="0"/>
                <w:szCs w:val="21"/>
              </w:rPr>
            </w:pPr>
            <w:r>
              <w:rPr>
                <w:b/>
                <w:bCs/>
                <w:color w:val="auto"/>
                <w:kern w:val="0"/>
                <w:szCs w:val="21"/>
              </w:rPr>
              <w:t>夜间</w:t>
            </w:r>
          </w:p>
        </w:tc>
      </w:tr>
      <w:tr w14:paraId="2BB147BC">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11" w:type="dxa"/>
            <w:vAlign w:val="center"/>
          </w:tcPr>
          <w:p w14:paraId="1D3EFCF9">
            <w:pPr>
              <w:jc w:val="center"/>
              <w:rPr>
                <w:color w:val="auto"/>
                <w:kern w:val="0"/>
                <w:szCs w:val="21"/>
              </w:rPr>
            </w:pPr>
            <w:r>
              <w:rPr>
                <w:color w:val="auto"/>
                <w:kern w:val="0"/>
                <w:szCs w:val="21"/>
              </w:rPr>
              <w:t>拟建区域</w:t>
            </w:r>
          </w:p>
        </w:tc>
        <w:tc>
          <w:tcPr>
            <w:tcW w:w="2419" w:type="dxa"/>
            <w:vAlign w:val="center"/>
          </w:tcPr>
          <w:p w14:paraId="42EF838B">
            <w:pPr>
              <w:jc w:val="center"/>
              <w:rPr>
                <w:color w:val="auto"/>
                <w:kern w:val="0"/>
                <w:szCs w:val="21"/>
              </w:rPr>
            </w:pPr>
            <w:r>
              <w:rPr>
                <w:color w:val="auto"/>
                <w:kern w:val="0"/>
                <w:szCs w:val="21"/>
              </w:rPr>
              <w:t>1类</w:t>
            </w:r>
          </w:p>
        </w:tc>
        <w:tc>
          <w:tcPr>
            <w:tcW w:w="2047" w:type="dxa"/>
            <w:vAlign w:val="center"/>
          </w:tcPr>
          <w:p w14:paraId="519044C6">
            <w:pPr>
              <w:jc w:val="center"/>
              <w:rPr>
                <w:color w:val="auto"/>
                <w:kern w:val="0"/>
                <w:szCs w:val="21"/>
              </w:rPr>
            </w:pPr>
            <w:r>
              <w:rPr>
                <w:color w:val="auto"/>
                <w:kern w:val="0"/>
                <w:szCs w:val="21"/>
              </w:rPr>
              <w:t>55</w:t>
            </w:r>
          </w:p>
        </w:tc>
        <w:tc>
          <w:tcPr>
            <w:tcW w:w="2048" w:type="dxa"/>
            <w:vAlign w:val="center"/>
          </w:tcPr>
          <w:p w14:paraId="075D2259">
            <w:pPr>
              <w:jc w:val="center"/>
              <w:rPr>
                <w:color w:val="auto"/>
                <w:kern w:val="0"/>
                <w:szCs w:val="21"/>
              </w:rPr>
            </w:pPr>
            <w:r>
              <w:rPr>
                <w:color w:val="auto"/>
                <w:kern w:val="0"/>
                <w:szCs w:val="21"/>
              </w:rPr>
              <w:t>45</w:t>
            </w:r>
          </w:p>
        </w:tc>
      </w:tr>
    </w:tbl>
    <w:p w14:paraId="48D9830F">
      <w:pPr>
        <w:spacing w:line="360" w:lineRule="auto"/>
        <w:ind w:firstLine="480" w:firstLineChars="200"/>
        <w:rPr>
          <w:color w:val="auto"/>
          <w:kern w:val="0"/>
          <w:sz w:val="24"/>
        </w:rPr>
      </w:pPr>
      <w:r>
        <w:rPr>
          <w:color w:val="auto"/>
          <w:kern w:val="0"/>
          <w:sz w:val="24"/>
        </w:rPr>
        <w:t>(</w:t>
      </w:r>
      <w:r>
        <w:rPr>
          <w:rFonts w:hint="eastAsia"/>
          <w:color w:val="auto"/>
          <w:kern w:val="0"/>
          <w:sz w:val="24"/>
          <w:lang w:val="en-US" w:eastAsia="zh-CN"/>
        </w:rPr>
        <w:t>3</w:t>
      </w:r>
      <w:r>
        <w:rPr>
          <w:color w:val="auto"/>
          <w:kern w:val="0"/>
          <w:sz w:val="24"/>
        </w:rPr>
        <w:t>)地下水质量标准</w:t>
      </w:r>
    </w:p>
    <w:p w14:paraId="3C70B20F">
      <w:pPr>
        <w:spacing w:line="360" w:lineRule="auto"/>
        <w:ind w:firstLine="480" w:firstLineChars="200"/>
        <w:rPr>
          <w:color w:val="auto"/>
          <w:kern w:val="0"/>
          <w:sz w:val="24"/>
        </w:rPr>
      </w:pPr>
      <w:r>
        <w:rPr>
          <w:color w:val="auto"/>
          <w:kern w:val="0"/>
          <w:sz w:val="24"/>
        </w:rPr>
        <w:t>项目区内居民生活饮用水和工、农业用水部分来自当地地下水。根据《地下水质量标准》（GB/T14848-2017）的地下水分类要求，“以人体健康基准值为依据，主要适用于集中式生活饮用水水源及工、农业用水”的地下水为Ⅲ类水质，所以评价区的地下水质量定为Ⅲ类，见表2</w:t>
      </w:r>
      <w:r>
        <w:rPr>
          <w:rFonts w:hint="eastAsia"/>
          <w:color w:val="auto"/>
          <w:kern w:val="0"/>
          <w:sz w:val="24"/>
          <w:lang w:val="en-US" w:eastAsia="zh-CN"/>
        </w:rPr>
        <w:t>.2</w:t>
      </w:r>
      <w:r>
        <w:rPr>
          <w:color w:val="auto"/>
          <w:kern w:val="0"/>
          <w:sz w:val="24"/>
        </w:rPr>
        <w:t>-</w:t>
      </w:r>
      <w:r>
        <w:rPr>
          <w:rFonts w:hint="eastAsia"/>
          <w:color w:val="auto"/>
          <w:kern w:val="0"/>
          <w:sz w:val="24"/>
          <w:lang w:val="en-US" w:eastAsia="zh-CN"/>
        </w:rPr>
        <w:t>5</w:t>
      </w:r>
      <w:r>
        <w:rPr>
          <w:color w:val="auto"/>
          <w:kern w:val="0"/>
          <w:sz w:val="24"/>
        </w:rPr>
        <w:t>。</w:t>
      </w:r>
    </w:p>
    <w:p w14:paraId="3F702EC1">
      <w:pPr>
        <w:ind w:firstLine="422" w:firstLineChars="200"/>
        <w:jc w:val="center"/>
        <w:rPr>
          <w:b/>
          <w:bCs/>
          <w:color w:val="auto"/>
          <w:szCs w:val="21"/>
        </w:rPr>
      </w:pPr>
    </w:p>
    <w:p w14:paraId="5FD31764">
      <w:pPr>
        <w:ind w:firstLine="422" w:firstLineChars="200"/>
        <w:jc w:val="center"/>
        <w:rPr>
          <w:b/>
          <w:color w:val="auto"/>
          <w:szCs w:val="21"/>
        </w:rPr>
      </w:pPr>
      <w:r>
        <w:rPr>
          <w:b/>
          <w:bCs/>
          <w:color w:val="auto"/>
          <w:szCs w:val="21"/>
        </w:rPr>
        <w:t>表2</w:t>
      </w:r>
      <w:r>
        <w:rPr>
          <w:rFonts w:hint="eastAsia"/>
          <w:b/>
          <w:bCs/>
          <w:color w:val="auto"/>
          <w:szCs w:val="21"/>
          <w:lang w:val="en-US" w:eastAsia="zh-CN"/>
        </w:rPr>
        <w:t>.2</w:t>
      </w:r>
      <w:r>
        <w:rPr>
          <w:b/>
          <w:bCs/>
          <w:color w:val="auto"/>
          <w:szCs w:val="21"/>
        </w:rPr>
        <w:t>-</w:t>
      </w:r>
      <w:r>
        <w:rPr>
          <w:rFonts w:hint="eastAsia"/>
          <w:b/>
          <w:bCs/>
          <w:color w:val="auto"/>
          <w:szCs w:val="21"/>
          <w:lang w:val="en-US" w:eastAsia="zh-CN"/>
        </w:rPr>
        <w:t>5</w:t>
      </w:r>
      <w:r>
        <w:rPr>
          <w:b/>
          <w:color w:val="auto"/>
          <w:szCs w:val="21"/>
        </w:rPr>
        <w:t xml:space="preserve">   地下水质量执行标准      单位：</w:t>
      </w:r>
      <w:r>
        <w:rPr>
          <w:b/>
          <w:bCs/>
          <w:color w:val="auto"/>
          <w:szCs w:val="21"/>
        </w:rPr>
        <w:t>m</w:t>
      </w:r>
      <w:r>
        <w:rPr>
          <w:b/>
          <w:color w:val="auto"/>
          <w:szCs w:val="21"/>
        </w:rPr>
        <w:t>g/L(pH除外)</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044"/>
        <w:gridCol w:w="1482"/>
        <w:gridCol w:w="3999"/>
      </w:tblGrid>
      <w:tr w14:paraId="1069DC15">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2E073CA2">
            <w:pPr>
              <w:jc w:val="center"/>
              <w:rPr>
                <w:b/>
                <w:color w:val="auto"/>
                <w:szCs w:val="21"/>
              </w:rPr>
            </w:pPr>
            <w:r>
              <w:rPr>
                <w:b/>
                <w:color w:val="auto"/>
                <w:szCs w:val="21"/>
              </w:rPr>
              <w:t>项目</w:t>
            </w:r>
          </w:p>
        </w:tc>
        <w:tc>
          <w:tcPr>
            <w:tcW w:w="1482" w:type="dxa"/>
            <w:vAlign w:val="center"/>
          </w:tcPr>
          <w:p w14:paraId="1704AB3E">
            <w:pPr>
              <w:jc w:val="center"/>
              <w:rPr>
                <w:b/>
                <w:color w:val="auto"/>
                <w:szCs w:val="21"/>
              </w:rPr>
            </w:pPr>
            <w:r>
              <w:rPr>
                <w:b/>
                <w:color w:val="auto"/>
                <w:szCs w:val="21"/>
              </w:rPr>
              <w:t>标准值</w:t>
            </w:r>
          </w:p>
        </w:tc>
        <w:tc>
          <w:tcPr>
            <w:tcW w:w="3999" w:type="dxa"/>
            <w:vAlign w:val="center"/>
          </w:tcPr>
          <w:p w14:paraId="7058EF87">
            <w:pPr>
              <w:jc w:val="center"/>
              <w:rPr>
                <w:b/>
                <w:color w:val="auto"/>
                <w:szCs w:val="21"/>
              </w:rPr>
            </w:pPr>
            <w:r>
              <w:rPr>
                <w:b/>
                <w:color w:val="auto"/>
                <w:szCs w:val="21"/>
              </w:rPr>
              <w:t>标准来源</w:t>
            </w:r>
          </w:p>
        </w:tc>
      </w:tr>
      <w:tr w14:paraId="07491100">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7D5D751B">
            <w:pPr>
              <w:jc w:val="center"/>
              <w:rPr>
                <w:color w:val="auto"/>
              </w:rPr>
            </w:pPr>
            <w:r>
              <w:rPr>
                <w:color w:val="auto"/>
              </w:rPr>
              <w:t>pH值</w:t>
            </w:r>
          </w:p>
        </w:tc>
        <w:tc>
          <w:tcPr>
            <w:tcW w:w="1482" w:type="dxa"/>
            <w:vAlign w:val="center"/>
          </w:tcPr>
          <w:p w14:paraId="28F0E0E5">
            <w:pPr>
              <w:jc w:val="center"/>
              <w:rPr>
                <w:color w:val="auto"/>
              </w:rPr>
            </w:pPr>
            <w:r>
              <w:rPr>
                <w:color w:val="auto"/>
              </w:rPr>
              <w:t>6.5~8.5</w:t>
            </w:r>
          </w:p>
        </w:tc>
        <w:tc>
          <w:tcPr>
            <w:tcW w:w="3999" w:type="dxa"/>
            <w:vMerge w:val="restart"/>
            <w:vAlign w:val="center"/>
          </w:tcPr>
          <w:p w14:paraId="0555DD3B">
            <w:pPr>
              <w:jc w:val="center"/>
              <w:rPr>
                <w:color w:val="auto"/>
                <w:szCs w:val="21"/>
              </w:rPr>
            </w:pPr>
            <w:r>
              <w:rPr>
                <w:color w:val="auto"/>
                <w:szCs w:val="21"/>
              </w:rPr>
              <w:t>《地下水质量标准》</w:t>
            </w:r>
          </w:p>
          <w:p w14:paraId="380E82B5">
            <w:pPr>
              <w:jc w:val="center"/>
              <w:rPr>
                <w:color w:val="auto"/>
              </w:rPr>
            </w:pPr>
            <w:r>
              <w:rPr>
                <w:color w:val="auto"/>
                <w:szCs w:val="21"/>
              </w:rPr>
              <w:t>(GB/T14848</w:t>
            </w:r>
            <w:r>
              <w:rPr>
                <w:color w:val="auto"/>
              </w:rPr>
              <w:t>-</w:t>
            </w:r>
            <w:r>
              <w:rPr>
                <w:color w:val="auto"/>
                <w:szCs w:val="21"/>
              </w:rPr>
              <w:t>2017)中Ⅲ类标准</w:t>
            </w:r>
          </w:p>
        </w:tc>
      </w:tr>
      <w:tr w14:paraId="64F8D405">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084E8918">
            <w:pPr>
              <w:jc w:val="center"/>
              <w:rPr>
                <w:color w:val="auto"/>
              </w:rPr>
            </w:pPr>
            <w:r>
              <w:rPr>
                <w:color w:val="auto"/>
                <w:kern w:val="0"/>
                <w:szCs w:val="21"/>
              </w:rPr>
              <w:t>氨氮(以N计)</w:t>
            </w:r>
          </w:p>
        </w:tc>
        <w:tc>
          <w:tcPr>
            <w:tcW w:w="1482" w:type="dxa"/>
            <w:vAlign w:val="center"/>
          </w:tcPr>
          <w:p w14:paraId="58EF0DF4">
            <w:pPr>
              <w:jc w:val="center"/>
              <w:rPr>
                <w:color w:val="auto"/>
              </w:rPr>
            </w:pPr>
            <w:r>
              <w:rPr>
                <w:color w:val="auto"/>
              </w:rPr>
              <w:t>≤0.5</w:t>
            </w:r>
          </w:p>
        </w:tc>
        <w:tc>
          <w:tcPr>
            <w:tcW w:w="3999" w:type="dxa"/>
            <w:vMerge w:val="continue"/>
            <w:vAlign w:val="center"/>
          </w:tcPr>
          <w:p w14:paraId="07DBFD0F">
            <w:pPr>
              <w:jc w:val="center"/>
              <w:rPr>
                <w:color w:val="auto"/>
                <w:szCs w:val="21"/>
              </w:rPr>
            </w:pPr>
          </w:p>
        </w:tc>
      </w:tr>
      <w:tr w14:paraId="3D1FD80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4EE6F986">
            <w:pPr>
              <w:jc w:val="center"/>
              <w:rPr>
                <w:rFonts w:hint="eastAsia" w:eastAsia="宋体"/>
                <w:color w:val="auto"/>
                <w:lang w:eastAsia="zh-CN"/>
              </w:rPr>
            </w:pPr>
            <w:r>
              <w:rPr>
                <w:rFonts w:hint="eastAsia"/>
                <w:color w:val="auto"/>
                <w:lang w:eastAsia="zh-CN"/>
              </w:rPr>
              <w:t>硝酸盐</w:t>
            </w:r>
          </w:p>
        </w:tc>
        <w:tc>
          <w:tcPr>
            <w:tcW w:w="1482" w:type="dxa"/>
            <w:vAlign w:val="center"/>
          </w:tcPr>
          <w:p w14:paraId="7E44BD8A">
            <w:pPr>
              <w:jc w:val="center"/>
              <w:rPr>
                <w:rFonts w:hint="default" w:eastAsia="宋体"/>
                <w:color w:val="auto"/>
                <w:lang w:val="en-US" w:eastAsia="zh-CN"/>
              </w:rPr>
            </w:pPr>
            <w:r>
              <w:rPr>
                <w:color w:val="auto"/>
              </w:rPr>
              <w:t>≤</w:t>
            </w:r>
            <w:r>
              <w:rPr>
                <w:rFonts w:hint="eastAsia"/>
                <w:color w:val="auto"/>
                <w:lang w:val="en-US" w:eastAsia="zh-CN"/>
              </w:rPr>
              <w:t>20</w:t>
            </w:r>
          </w:p>
        </w:tc>
        <w:tc>
          <w:tcPr>
            <w:tcW w:w="3999" w:type="dxa"/>
            <w:vMerge w:val="continue"/>
            <w:vAlign w:val="center"/>
          </w:tcPr>
          <w:p w14:paraId="35E3E48A">
            <w:pPr>
              <w:jc w:val="center"/>
              <w:rPr>
                <w:color w:val="auto"/>
                <w:szCs w:val="21"/>
              </w:rPr>
            </w:pPr>
          </w:p>
        </w:tc>
      </w:tr>
      <w:tr w14:paraId="4182FF7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207E56B2">
            <w:pPr>
              <w:jc w:val="center"/>
              <w:rPr>
                <w:rFonts w:hint="eastAsia" w:eastAsia="宋体"/>
                <w:color w:val="auto"/>
                <w:lang w:eastAsia="zh-CN"/>
              </w:rPr>
            </w:pPr>
            <w:r>
              <w:rPr>
                <w:rFonts w:hint="eastAsia"/>
                <w:color w:val="auto"/>
                <w:lang w:eastAsia="zh-CN"/>
              </w:rPr>
              <w:t>亚硝酸盐</w:t>
            </w:r>
          </w:p>
        </w:tc>
        <w:tc>
          <w:tcPr>
            <w:tcW w:w="1482" w:type="dxa"/>
            <w:vAlign w:val="center"/>
          </w:tcPr>
          <w:p w14:paraId="5466809B">
            <w:pPr>
              <w:jc w:val="center"/>
              <w:rPr>
                <w:rFonts w:hint="default" w:eastAsia="宋体"/>
                <w:color w:val="auto"/>
                <w:lang w:val="en-US" w:eastAsia="zh-CN"/>
              </w:rPr>
            </w:pPr>
            <w:r>
              <w:rPr>
                <w:color w:val="auto"/>
              </w:rPr>
              <w:t>≤</w:t>
            </w:r>
            <w:r>
              <w:rPr>
                <w:rFonts w:hint="eastAsia"/>
                <w:color w:val="auto"/>
                <w:lang w:val="en-US" w:eastAsia="zh-CN"/>
              </w:rPr>
              <w:t>1.0</w:t>
            </w:r>
          </w:p>
        </w:tc>
        <w:tc>
          <w:tcPr>
            <w:tcW w:w="3999" w:type="dxa"/>
            <w:vMerge w:val="continue"/>
            <w:vAlign w:val="center"/>
          </w:tcPr>
          <w:p w14:paraId="587B608F">
            <w:pPr>
              <w:jc w:val="center"/>
              <w:rPr>
                <w:color w:val="auto"/>
                <w:szCs w:val="21"/>
              </w:rPr>
            </w:pPr>
          </w:p>
        </w:tc>
      </w:tr>
      <w:tr w14:paraId="51FF70D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5E047158">
            <w:pPr>
              <w:jc w:val="center"/>
              <w:rPr>
                <w:color w:val="auto"/>
              </w:rPr>
            </w:pPr>
            <w:r>
              <w:rPr>
                <w:rFonts w:hint="eastAsia" w:ascii="宋体" w:hAnsi="宋体"/>
                <w:color w:val="auto"/>
                <w:szCs w:val="21"/>
                <w:lang w:eastAsia="zh-CN"/>
              </w:rPr>
              <w:t>挥发性酚类</w:t>
            </w:r>
          </w:p>
        </w:tc>
        <w:tc>
          <w:tcPr>
            <w:tcW w:w="1482" w:type="dxa"/>
            <w:vAlign w:val="center"/>
          </w:tcPr>
          <w:p w14:paraId="216776D7">
            <w:pPr>
              <w:jc w:val="center"/>
              <w:rPr>
                <w:rFonts w:hint="default" w:eastAsia="宋体"/>
                <w:color w:val="auto"/>
                <w:lang w:val="en-US" w:eastAsia="zh-CN"/>
              </w:rPr>
            </w:pPr>
            <w:r>
              <w:rPr>
                <w:color w:val="auto"/>
              </w:rPr>
              <w:t>≤</w:t>
            </w:r>
            <w:r>
              <w:rPr>
                <w:rFonts w:hint="eastAsia"/>
                <w:color w:val="auto"/>
                <w:lang w:val="en-US" w:eastAsia="zh-CN"/>
              </w:rPr>
              <w:t>0.002</w:t>
            </w:r>
          </w:p>
        </w:tc>
        <w:tc>
          <w:tcPr>
            <w:tcW w:w="3999" w:type="dxa"/>
            <w:vMerge w:val="continue"/>
            <w:vAlign w:val="center"/>
          </w:tcPr>
          <w:p w14:paraId="2EFE4B8B">
            <w:pPr>
              <w:jc w:val="center"/>
              <w:rPr>
                <w:color w:val="auto"/>
                <w:szCs w:val="21"/>
              </w:rPr>
            </w:pPr>
          </w:p>
        </w:tc>
      </w:tr>
      <w:tr w14:paraId="0CA08E3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5339DA4E">
            <w:pPr>
              <w:jc w:val="center"/>
              <w:rPr>
                <w:rFonts w:hint="eastAsia" w:ascii="宋体" w:hAnsi="宋体"/>
                <w:color w:val="auto"/>
                <w:szCs w:val="21"/>
                <w:lang w:eastAsia="zh-CN"/>
              </w:rPr>
            </w:pPr>
            <w:r>
              <w:rPr>
                <w:rFonts w:hint="eastAsia" w:ascii="宋体" w:hAnsi="宋体"/>
                <w:color w:val="auto"/>
                <w:szCs w:val="21"/>
                <w:lang w:eastAsia="zh-CN"/>
              </w:rPr>
              <w:t>氰化物</w:t>
            </w:r>
          </w:p>
        </w:tc>
        <w:tc>
          <w:tcPr>
            <w:tcW w:w="1482" w:type="dxa"/>
            <w:vAlign w:val="center"/>
          </w:tcPr>
          <w:p w14:paraId="32DAF56B">
            <w:pPr>
              <w:jc w:val="center"/>
              <w:rPr>
                <w:rFonts w:hint="default" w:eastAsia="宋体"/>
                <w:color w:val="auto"/>
                <w:lang w:val="en-US" w:eastAsia="zh-CN"/>
              </w:rPr>
            </w:pPr>
            <w:r>
              <w:rPr>
                <w:color w:val="auto"/>
              </w:rPr>
              <w:t>≤</w:t>
            </w:r>
            <w:r>
              <w:rPr>
                <w:rFonts w:hint="eastAsia"/>
                <w:color w:val="auto"/>
                <w:lang w:val="en-US" w:eastAsia="zh-CN"/>
              </w:rPr>
              <w:t>0.05</w:t>
            </w:r>
          </w:p>
        </w:tc>
        <w:tc>
          <w:tcPr>
            <w:tcW w:w="3999" w:type="dxa"/>
            <w:vMerge w:val="continue"/>
            <w:vAlign w:val="center"/>
          </w:tcPr>
          <w:p w14:paraId="5D4889F1">
            <w:pPr>
              <w:jc w:val="center"/>
              <w:rPr>
                <w:color w:val="auto"/>
                <w:szCs w:val="21"/>
              </w:rPr>
            </w:pPr>
          </w:p>
        </w:tc>
      </w:tr>
      <w:tr w14:paraId="4AE70470">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370B101F">
            <w:pPr>
              <w:jc w:val="center"/>
              <w:rPr>
                <w:rFonts w:hint="eastAsia" w:ascii="宋体" w:hAnsi="宋体"/>
                <w:color w:val="auto"/>
                <w:szCs w:val="21"/>
                <w:lang w:eastAsia="zh-CN"/>
              </w:rPr>
            </w:pPr>
            <w:r>
              <w:rPr>
                <w:rFonts w:hint="eastAsia" w:ascii="宋体" w:hAnsi="宋体"/>
                <w:color w:val="auto"/>
                <w:szCs w:val="21"/>
                <w:lang w:eastAsia="zh-CN"/>
              </w:rPr>
              <w:t>砷</w:t>
            </w:r>
          </w:p>
        </w:tc>
        <w:tc>
          <w:tcPr>
            <w:tcW w:w="1482" w:type="dxa"/>
            <w:vAlign w:val="center"/>
          </w:tcPr>
          <w:p w14:paraId="4C4DC49B">
            <w:pPr>
              <w:jc w:val="center"/>
              <w:rPr>
                <w:rFonts w:hint="default" w:eastAsia="宋体"/>
                <w:color w:val="auto"/>
                <w:lang w:val="en-US" w:eastAsia="zh-CN"/>
              </w:rPr>
            </w:pPr>
            <w:r>
              <w:rPr>
                <w:color w:val="auto"/>
              </w:rPr>
              <w:t>≤</w:t>
            </w:r>
            <w:r>
              <w:rPr>
                <w:rFonts w:hint="eastAsia"/>
                <w:color w:val="auto"/>
                <w:lang w:val="en-US" w:eastAsia="zh-CN"/>
              </w:rPr>
              <w:t>0.01</w:t>
            </w:r>
          </w:p>
        </w:tc>
        <w:tc>
          <w:tcPr>
            <w:tcW w:w="3999" w:type="dxa"/>
            <w:vMerge w:val="continue"/>
            <w:vAlign w:val="center"/>
          </w:tcPr>
          <w:p w14:paraId="506B5017">
            <w:pPr>
              <w:jc w:val="center"/>
              <w:rPr>
                <w:color w:val="auto"/>
                <w:szCs w:val="21"/>
              </w:rPr>
            </w:pPr>
          </w:p>
        </w:tc>
      </w:tr>
      <w:tr w14:paraId="1961C1A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7D4E73C1">
            <w:pPr>
              <w:jc w:val="center"/>
              <w:rPr>
                <w:rFonts w:hint="eastAsia" w:ascii="宋体" w:hAnsi="宋体"/>
                <w:color w:val="auto"/>
                <w:szCs w:val="21"/>
                <w:lang w:eastAsia="zh-CN"/>
              </w:rPr>
            </w:pPr>
            <w:r>
              <w:rPr>
                <w:rFonts w:hint="eastAsia" w:ascii="宋体" w:hAnsi="宋体"/>
                <w:color w:val="auto"/>
                <w:szCs w:val="21"/>
                <w:lang w:eastAsia="zh-CN"/>
              </w:rPr>
              <w:t>汞</w:t>
            </w:r>
          </w:p>
        </w:tc>
        <w:tc>
          <w:tcPr>
            <w:tcW w:w="1482" w:type="dxa"/>
            <w:vAlign w:val="center"/>
          </w:tcPr>
          <w:p w14:paraId="63D95C06">
            <w:pPr>
              <w:jc w:val="center"/>
              <w:rPr>
                <w:rFonts w:hint="default" w:eastAsia="宋体"/>
                <w:color w:val="auto"/>
                <w:lang w:val="en-US" w:eastAsia="zh-CN"/>
              </w:rPr>
            </w:pPr>
            <w:r>
              <w:rPr>
                <w:color w:val="auto"/>
              </w:rPr>
              <w:t>≤</w:t>
            </w:r>
            <w:r>
              <w:rPr>
                <w:rFonts w:hint="eastAsia"/>
                <w:color w:val="auto"/>
                <w:lang w:val="en-US" w:eastAsia="zh-CN"/>
              </w:rPr>
              <w:t>0.001</w:t>
            </w:r>
          </w:p>
        </w:tc>
        <w:tc>
          <w:tcPr>
            <w:tcW w:w="3999" w:type="dxa"/>
            <w:vMerge w:val="continue"/>
            <w:vAlign w:val="center"/>
          </w:tcPr>
          <w:p w14:paraId="2AF0BFBA">
            <w:pPr>
              <w:jc w:val="center"/>
              <w:rPr>
                <w:color w:val="auto"/>
                <w:szCs w:val="21"/>
              </w:rPr>
            </w:pPr>
          </w:p>
        </w:tc>
      </w:tr>
      <w:tr w14:paraId="1662DCA5">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4559CBD6">
            <w:pPr>
              <w:jc w:val="center"/>
              <w:rPr>
                <w:rFonts w:hint="eastAsia" w:ascii="宋体" w:hAnsi="宋体"/>
                <w:color w:val="auto"/>
                <w:szCs w:val="21"/>
                <w:lang w:eastAsia="zh-CN"/>
              </w:rPr>
            </w:pPr>
            <w:r>
              <w:rPr>
                <w:rFonts w:hint="eastAsia" w:ascii="宋体" w:hAnsi="宋体"/>
                <w:color w:val="auto"/>
                <w:szCs w:val="21"/>
                <w:lang w:eastAsia="zh-CN"/>
              </w:rPr>
              <w:t>铬（六价）</w:t>
            </w:r>
          </w:p>
        </w:tc>
        <w:tc>
          <w:tcPr>
            <w:tcW w:w="1482" w:type="dxa"/>
            <w:vAlign w:val="center"/>
          </w:tcPr>
          <w:p w14:paraId="47510A5D">
            <w:pPr>
              <w:jc w:val="center"/>
              <w:rPr>
                <w:rFonts w:hint="default" w:eastAsia="宋体"/>
                <w:color w:val="auto"/>
                <w:lang w:val="en-US" w:eastAsia="zh-CN"/>
              </w:rPr>
            </w:pPr>
            <w:r>
              <w:rPr>
                <w:color w:val="auto"/>
              </w:rPr>
              <w:t>≤</w:t>
            </w:r>
            <w:r>
              <w:rPr>
                <w:rFonts w:hint="eastAsia"/>
                <w:color w:val="auto"/>
                <w:lang w:val="en-US" w:eastAsia="zh-CN"/>
              </w:rPr>
              <w:t>0.05</w:t>
            </w:r>
          </w:p>
        </w:tc>
        <w:tc>
          <w:tcPr>
            <w:tcW w:w="3999" w:type="dxa"/>
            <w:vMerge w:val="continue"/>
            <w:vAlign w:val="center"/>
          </w:tcPr>
          <w:p w14:paraId="40DF3111">
            <w:pPr>
              <w:jc w:val="center"/>
              <w:rPr>
                <w:color w:val="auto"/>
                <w:szCs w:val="21"/>
              </w:rPr>
            </w:pPr>
          </w:p>
        </w:tc>
      </w:tr>
      <w:tr w14:paraId="15C9BE3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6D96E468">
            <w:pPr>
              <w:jc w:val="center"/>
              <w:rPr>
                <w:color w:val="auto"/>
              </w:rPr>
            </w:pPr>
            <w:r>
              <w:rPr>
                <w:color w:val="auto"/>
              </w:rPr>
              <w:t>总硬度（以CaCO</w:t>
            </w:r>
            <w:r>
              <w:rPr>
                <w:color w:val="auto"/>
                <w:vertAlign w:val="subscript"/>
              </w:rPr>
              <w:t>3</w:t>
            </w:r>
            <w:r>
              <w:rPr>
                <w:color w:val="auto"/>
              </w:rPr>
              <w:t>计）</w:t>
            </w:r>
          </w:p>
        </w:tc>
        <w:tc>
          <w:tcPr>
            <w:tcW w:w="1482" w:type="dxa"/>
            <w:vAlign w:val="center"/>
          </w:tcPr>
          <w:p w14:paraId="1F517B89">
            <w:pPr>
              <w:jc w:val="center"/>
              <w:rPr>
                <w:color w:val="auto"/>
              </w:rPr>
            </w:pPr>
            <w:r>
              <w:rPr>
                <w:color w:val="auto"/>
              </w:rPr>
              <w:t>≤</w:t>
            </w:r>
            <w:r>
              <w:rPr>
                <w:rFonts w:hint="eastAsia"/>
                <w:color w:val="auto"/>
              </w:rPr>
              <w:t>45</w:t>
            </w:r>
            <w:r>
              <w:rPr>
                <w:color w:val="auto"/>
              </w:rPr>
              <w:t>0</w:t>
            </w:r>
          </w:p>
        </w:tc>
        <w:tc>
          <w:tcPr>
            <w:tcW w:w="3999" w:type="dxa"/>
            <w:vMerge w:val="continue"/>
            <w:vAlign w:val="center"/>
          </w:tcPr>
          <w:p w14:paraId="7EEE4136">
            <w:pPr>
              <w:jc w:val="center"/>
              <w:rPr>
                <w:color w:val="auto"/>
                <w:szCs w:val="21"/>
              </w:rPr>
            </w:pPr>
          </w:p>
        </w:tc>
      </w:tr>
      <w:tr w14:paraId="6B5A2CC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2CE37817">
            <w:pPr>
              <w:jc w:val="center"/>
              <w:rPr>
                <w:color w:val="auto"/>
              </w:rPr>
            </w:pPr>
            <w:r>
              <w:rPr>
                <w:rFonts w:hint="eastAsia" w:ascii="宋体" w:hAnsi="宋体"/>
                <w:color w:val="auto"/>
                <w:szCs w:val="21"/>
                <w:lang w:eastAsia="zh-CN"/>
              </w:rPr>
              <w:t>铅</w:t>
            </w:r>
          </w:p>
        </w:tc>
        <w:tc>
          <w:tcPr>
            <w:tcW w:w="1482" w:type="dxa"/>
            <w:vAlign w:val="center"/>
          </w:tcPr>
          <w:p w14:paraId="417F97A6">
            <w:pPr>
              <w:jc w:val="center"/>
              <w:rPr>
                <w:rFonts w:hint="default" w:eastAsia="宋体"/>
                <w:color w:val="auto"/>
                <w:lang w:val="en-US" w:eastAsia="zh-CN"/>
              </w:rPr>
            </w:pPr>
            <w:r>
              <w:rPr>
                <w:color w:val="auto"/>
              </w:rPr>
              <w:t>≤</w:t>
            </w:r>
            <w:r>
              <w:rPr>
                <w:rFonts w:hint="eastAsia"/>
                <w:color w:val="auto"/>
                <w:lang w:val="en-US" w:eastAsia="zh-CN"/>
              </w:rPr>
              <w:t>0.01</w:t>
            </w:r>
          </w:p>
        </w:tc>
        <w:tc>
          <w:tcPr>
            <w:tcW w:w="3999" w:type="dxa"/>
            <w:vMerge w:val="continue"/>
            <w:vAlign w:val="center"/>
          </w:tcPr>
          <w:p w14:paraId="702467A6">
            <w:pPr>
              <w:jc w:val="center"/>
              <w:rPr>
                <w:color w:val="auto"/>
                <w:szCs w:val="21"/>
              </w:rPr>
            </w:pPr>
          </w:p>
        </w:tc>
      </w:tr>
      <w:tr w14:paraId="698E620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3D020C6F">
            <w:pPr>
              <w:jc w:val="center"/>
              <w:rPr>
                <w:color w:val="auto"/>
              </w:rPr>
            </w:pPr>
            <w:r>
              <w:rPr>
                <w:rFonts w:hint="eastAsia" w:ascii="宋体" w:hAnsi="宋体"/>
                <w:color w:val="auto"/>
                <w:szCs w:val="21"/>
                <w:lang w:eastAsia="zh-CN"/>
              </w:rPr>
              <w:t>氟</w:t>
            </w:r>
          </w:p>
        </w:tc>
        <w:tc>
          <w:tcPr>
            <w:tcW w:w="1482" w:type="dxa"/>
            <w:vAlign w:val="center"/>
          </w:tcPr>
          <w:p w14:paraId="30BB368F">
            <w:pPr>
              <w:jc w:val="center"/>
              <w:rPr>
                <w:rFonts w:hint="default" w:eastAsia="宋体"/>
                <w:color w:val="auto"/>
                <w:lang w:val="en-US" w:eastAsia="zh-CN"/>
              </w:rPr>
            </w:pPr>
            <w:r>
              <w:rPr>
                <w:color w:val="auto"/>
              </w:rPr>
              <w:t>≤</w:t>
            </w:r>
            <w:r>
              <w:rPr>
                <w:rFonts w:hint="eastAsia"/>
                <w:color w:val="auto"/>
                <w:lang w:val="en-US" w:eastAsia="zh-CN"/>
              </w:rPr>
              <w:t>1.0</w:t>
            </w:r>
          </w:p>
        </w:tc>
        <w:tc>
          <w:tcPr>
            <w:tcW w:w="3999" w:type="dxa"/>
            <w:vMerge w:val="continue"/>
            <w:vAlign w:val="center"/>
          </w:tcPr>
          <w:p w14:paraId="77AE9822">
            <w:pPr>
              <w:jc w:val="center"/>
              <w:rPr>
                <w:color w:val="auto"/>
                <w:szCs w:val="21"/>
              </w:rPr>
            </w:pPr>
          </w:p>
        </w:tc>
      </w:tr>
      <w:tr w14:paraId="2AFE756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16C12E4C">
            <w:pPr>
              <w:jc w:val="center"/>
              <w:rPr>
                <w:rFonts w:hint="eastAsia" w:ascii="宋体" w:hAnsi="宋体"/>
                <w:color w:val="auto"/>
                <w:szCs w:val="21"/>
                <w:lang w:eastAsia="zh-CN"/>
              </w:rPr>
            </w:pPr>
            <w:r>
              <w:rPr>
                <w:rFonts w:hint="eastAsia" w:ascii="宋体" w:hAnsi="宋体"/>
                <w:color w:val="auto"/>
                <w:szCs w:val="21"/>
                <w:lang w:eastAsia="zh-CN"/>
              </w:rPr>
              <w:t>镉</w:t>
            </w:r>
          </w:p>
        </w:tc>
        <w:tc>
          <w:tcPr>
            <w:tcW w:w="1482" w:type="dxa"/>
            <w:vAlign w:val="center"/>
          </w:tcPr>
          <w:p w14:paraId="236DD96C">
            <w:pPr>
              <w:jc w:val="center"/>
              <w:rPr>
                <w:rFonts w:hint="default" w:eastAsia="宋体"/>
                <w:color w:val="auto"/>
                <w:lang w:val="en-US" w:eastAsia="zh-CN"/>
              </w:rPr>
            </w:pPr>
            <w:r>
              <w:rPr>
                <w:color w:val="auto"/>
              </w:rPr>
              <w:t>≤</w:t>
            </w:r>
            <w:r>
              <w:rPr>
                <w:rFonts w:hint="eastAsia"/>
                <w:color w:val="auto"/>
                <w:lang w:val="en-US" w:eastAsia="zh-CN"/>
              </w:rPr>
              <w:t>0.005</w:t>
            </w:r>
          </w:p>
        </w:tc>
        <w:tc>
          <w:tcPr>
            <w:tcW w:w="3999" w:type="dxa"/>
            <w:vMerge w:val="continue"/>
            <w:vAlign w:val="center"/>
          </w:tcPr>
          <w:p w14:paraId="723EF774">
            <w:pPr>
              <w:jc w:val="center"/>
              <w:rPr>
                <w:color w:val="auto"/>
                <w:szCs w:val="21"/>
              </w:rPr>
            </w:pPr>
          </w:p>
        </w:tc>
      </w:tr>
      <w:tr w14:paraId="2BD8F48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31BD2459">
            <w:pPr>
              <w:jc w:val="center"/>
              <w:rPr>
                <w:rFonts w:hint="eastAsia" w:ascii="宋体" w:hAnsi="宋体"/>
                <w:color w:val="auto"/>
                <w:szCs w:val="21"/>
                <w:lang w:eastAsia="zh-CN"/>
              </w:rPr>
            </w:pPr>
            <w:r>
              <w:rPr>
                <w:color w:val="auto"/>
              </w:rPr>
              <w:t>铁</w:t>
            </w:r>
          </w:p>
        </w:tc>
        <w:tc>
          <w:tcPr>
            <w:tcW w:w="1482" w:type="dxa"/>
            <w:vAlign w:val="center"/>
          </w:tcPr>
          <w:p w14:paraId="49339A4B">
            <w:pPr>
              <w:jc w:val="center"/>
              <w:rPr>
                <w:color w:val="auto"/>
              </w:rPr>
            </w:pPr>
            <w:r>
              <w:rPr>
                <w:color w:val="auto"/>
              </w:rPr>
              <w:t>≤</w:t>
            </w:r>
            <w:r>
              <w:rPr>
                <w:rFonts w:hint="eastAsia"/>
                <w:color w:val="auto"/>
              </w:rPr>
              <w:t>0.3</w:t>
            </w:r>
          </w:p>
        </w:tc>
        <w:tc>
          <w:tcPr>
            <w:tcW w:w="3999" w:type="dxa"/>
            <w:vMerge w:val="continue"/>
            <w:vAlign w:val="center"/>
          </w:tcPr>
          <w:p w14:paraId="54654A7E">
            <w:pPr>
              <w:jc w:val="center"/>
              <w:rPr>
                <w:color w:val="auto"/>
                <w:szCs w:val="21"/>
              </w:rPr>
            </w:pPr>
          </w:p>
        </w:tc>
      </w:tr>
      <w:tr w14:paraId="63364D2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2FB52190">
            <w:pPr>
              <w:jc w:val="center"/>
              <w:rPr>
                <w:rFonts w:hint="eastAsia" w:ascii="宋体" w:hAnsi="宋体"/>
                <w:color w:val="auto"/>
                <w:szCs w:val="21"/>
                <w:lang w:eastAsia="zh-CN"/>
              </w:rPr>
            </w:pPr>
            <w:r>
              <w:rPr>
                <w:color w:val="auto"/>
              </w:rPr>
              <w:t>锰</w:t>
            </w:r>
          </w:p>
        </w:tc>
        <w:tc>
          <w:tcPr>
            <w:tcW w:w="1482" w:type="dxa"/>
            <w:vAlign w:val="center"/>
          </w:tcPr>
          <w:p w14:paraId="70FC98CA">
            <w:pPr>
              <w:jc w:val="center"/>
              <w:rPr>
                <w:color w:val="auto"/>
              </w:rPr>
            </w:pPr>
            <w:r>
              <w:rPr>
                <w:color w:val="auto"/>
              </w:rPr>
              <w:t>≤</w:t>
            </w:r>
            <w:r>
              <w:rPr>
                <w:rFonts w:hint="eastAsia"/>
                <w:color w:val="auto"/>
              </w:rPr>
              <w:t>0.10</w:t>
            </w:r>
          </w:p>
        </w:tc>
        <w:tc>
          <w:tcPr>
            <w:tcW w:w="3999" w:type="dxa"/>
            <w:vMerge w:val="continue"/>
            <w:vAlign w:val="center"/>
          </w:tcPr>
          <w:p w14:paraId="12CD3697">
            <w:pPr>
              <w:jc w:val="center"/>
              <w:rPr>
                <w:color w:val="auto"/>
                <w:szCs w:val="21"/>
              </w:rPr>
            </w:pPr>
          </w:p>
        </w:tc>
      </w:tr>
      <w:tr w14:paraId="5A7EAEB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63D4DB7D">
            <w:pPr>
              <w:jc w:val="center"/>
              <w:rPr>
                <w:rFonts w:hint="eastAsia" w:ascii="宋体" w:hAnsi="宋体"/>
                <w:color w:val="auto"/>
                <w:szCs w:val="21"/>
                <w:lang w:eastAsia="zh-CN"/>
              </w:rPr>
            </w:pPr>
            <w:r>
              <w:rPr>
                <w:color w:val="auto"/>
              </w:rPr>
              <w:t>溶解性总固体</w:t>
            </w:r>
          </w:p>
        </w:tc>
        <w:tc>
          <w:tcPr>
            <w:tcW w:w="1482" w:type="dxa"/>
            <w:vAlign w:val="center"/>
          </w:tcPr>
          <w:p w14:paraId="49DF293F">
            <w:pPr>
              <w:jc w:val="center"/>
              <w:rPr>
                <w:color w:val="auto"/>
              </w:rPr>
            </w:pPr>
            <w:r>
              <w:rPr>
                <w:color w:val="auto"/>
              </w:rPr>
              <w:t>≤</w:t>
            </w:r>
            <w:r>
              <w:rPr>
                <w:rFonts w:hint="eastAsia"/>
                <w:color w:val="auto"/>
              </w:rPr>
              <w:t>1000</w:t>
            </w:r>
          </w:p>
        </w:tc>
        <w:tc>
          <w:tcPr>
            <w:tcW w:w="3999" w:type="dxa"/>
            <w:vMerge w:val="continue"/>
            <w:vAlign w:val="center"/>
          </w:tcPr>
          <w:p w14:paraId="62CFEAFD">
            <w:pPr>
              <w:jc w:val="center"/>
              <w:rPr>
                <w:color w:val="auto"/>
                <w:szCs w:val="21"/>
              </w:rPr>
            </w:pPr>
          </w:p>
        </w:tc>
      </w:tr>
      <w:tr w14:paraId="68E91A4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68C3F46F">
            <w:pPr>
              <w:jc w:val="center"/>
              <w:rPr>
                <w:color w:val="auto"/>
              </w:rPr>
            </w:pPr>
            <w:r>
              <w:rPr>
                <w:color w:val="auto"/>
              </w:rPr>
              <w:t>耗氧量（COD</w:t>
            </w:r>
            <w:r>
              <w:rPr>
                <w:color w:val="auto"/>
                <w:vertAlign w:val="subscript"/>
              </w:rPr>
              <w:t>Mn</w:t>
            </w:r>
            <w:r>
              <w:rPr>
                <w:color w:val="auto"/>
              </w:rPr>
              <w:t>法，以O</w:t>
            </w:r>
            <w:r>
              <w:rPr>
                <w:color w:val="auto"/>
                <w:vertAlign w:val="subscript"/>
              </w:rPr>
              <w:t>2</w:t>
            </w:r>
            <w:r>
              <w:rPr>
                <w:color w:val="auto"/>
              </w:rPr>
              <w:t>计</w:t>
            </w:r>
            <w:r>
              <w:rPr>
                <w:rFonts w:hint="eastAsia"/>
                <w:color w:val="auto"/>
                <w:lang w:eastAsia="zh-CN"/>
              </w:rPr>
              <w:t>、高锰酸盐指数</w:t>
            </w:r>
            <w:r>
              <w:rPr>
                <w:color w:val="auto"/>
              </w:rPr>
              <w:t>）</w:t>
            </w:r>
          </w:p>
        </w:tc>
        <w:tc>
          <w:tcPr>
            <w:tcW w:w="1482" w:type="dxa"/>
            <w:vAlign w:val="center"/>
          </w:tcPr>
          <w:p w14:paraId="083E49D8">
            <w:pPr>
              <w:jc w:val="center"/>
              <w:rPr>
                <w:color w:val="auto"/>
              </w:rPr>
            </w:pPr>
            <w:r>
              <w:rPr>
                <w:color w:val="auto"/>
                <w:kern w:val="0"/>
                <w:szCs w:val="21"/>
              </w:rPr>
              <w:t>≤</w:t>
            </w:r>
            <w:r>
              <w:rPr>
                <w:color w:val="auto"/>
              </w:rPr>
              <w:t>3.0</w:t>
            </w:r>
          </w:p>
        </w:tc>
        <w:tc>
          <w:tcPr>
            <w:tcW w:w="3999" w:type="dxa"/>
            <w:vMerge w:val="continue"/>
            <w:vAlign w:val="center"/>
          </w:tcPr>
          <w:p w14:paraId="57B7AE3F">
            <w:pPr>
              <w:jc w:val="center"/>
              <w:rPr>
                <w:color w:val="auto"/>
                <w:szCs w:val="21"/>
              </w:rPr>
            </w:pPr>
          </w:p>
        </w:tc>
      </w:tr>
      <w:tr w14:paraId="0133764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679A00F3">
            <w:pPr>
              <w:jc w:val="center"/>
              <w:rPr>
                <w:color w:val="auto"/>
              </w:rPr>
            </w:pPr>
            <w:r>
              <w:rPr>
                <w:rFonts w:hint="eastAsia" w:ascii="宋体" w:hAnsi="宋体"/>
                <w:color w:val="auto"/>
                <w:szCs w:val="21"/>
                <w:lang w:eastAsia="zh-CN"/>
              </w:rPr>
              <w:t>硫酸盐</w:t>
            </w:r>
          </w:p>
        </w:tc>
        <w:tc>
          <w:tcPr>
            <w:tcW w:w="1482" w:type="dxa"/>
            <w:vAlign w:val="center"/>
          </w:tcPr>
          <w:p w14:paraId="082E8236">
            <w:pPr>
              <w:jc w:val="center"/>
              <w:rPr>
                <w:rFonts w:hint="default" w:eastAsia="宋体"/>
                <w:color w:val="auto"/>
                <w:lang w:val="en-US" w:eastAsia="zh-CN"/>
              </w:rPr>
            </w:pPr>
            <w:r>
              <w:rPr>
                <w:color w:val="auto"/>
              </w:rPr>
              <w:t>≤</w:t>
            </w:r>
            <w:r>
              <w:rPr>
                <w:rFonts w:hint="eastAsia"/>
                <w:color w:val="auto"/>
                <w:lang w:val="en-US" w:eastAsia="zh-CN"/>
              </w:rPr>
              <w:t>250</w:t>
            </w:r>
          </w:p>
        </w:tc>
        <w:tc>
          <w:tcPr>
            <w:tcW w:w="3999" w:type="dxa"/>
            <w:vMerge w:val="continue"/>
            <w:vAlign w:val="center"/>
          </w:tcPr>
          <w:p w14:paraId="0FF4272C">
            <w:pPr>
              <w:jc w:val="center"/>
              <w:rPr>
                <w:color w:val="auto"/>
                <w:szCs w:val="21"/>
              </w:rPr>
            </w:pPr>
          </w:p>
        </w:tc>
      </w:tr>
      <w:tr w14:paraId="39ACB7C5">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22A5034D">
            <w:pPr>
              <w:jc w:val="center"/>
              <w:rPr>
                <w:color w:val="auto"/>
              </w:rPr>
            </w:pPr>
            <w:r>
              <w:rPr>
                <w:rFonts w:hint="eastAsia" w:ascii="宋体" w:hAnsi="宋体"/>
                <w:color w:val="auto"/>
                <w:szCs w:val="21"/>
                <w:lang w:eastAsia="zh-CN"/>
              </w:rPr>
              <w:t>氯化物</w:t>
            </w:r>
          </w:p>
        </w:tc>
        <w:tc>
          <w:tcPr>
            <w:tcW w:w="1482" w:type="dxa"/>
            <w:vAlign w:val="center"/>
          </w:tcPr>
          <w:p w14:paraId="110E8A51">
            <w:pPr>
              <w:jc w:val="center"/>
              <w:rPr>
                <w:rFonts w:hint="default" w:eastAsia="宋体"/>
                <w:color w:val="auto"/>
                <w:lang w:val="en-US" w:eastAsia="zh-CN"/>
              </w:rPr>
            </w:pPr>
            <w:r>
              <w:rPr>
                <w:color w:val="auto"/>
              </w:rPr>
              <w:t>≤</w:t>
            </w:r>
            <w:r>
              <w:rPr>
                <w:rFonts w:hint="eastAsia"/>
                <w:color w:val="auto"/>
                <w:lang w:val="en-US" w:eastAsia="zh-CN"/>
              </w:rPr>
              <w:t>250</w:t>
            </w:r>
          </w:p>
        </w:tc>
        <w:tc>
          <w:tcPr>
            <w:tcW w:w="3999" w:type="dxa"/>
            <w:vMerge w:val="continue"/>
            <w:vAlign w:val="center"/>
          </w:tcPr>
          <w:p w14:paraId="2AAF82AD">
            <w:pPr>
              <w:jc w:val="center"/>
              <w:rPr>
                <w:color w:val="auto"/>
                <w:szCs w:val="21"/>
              </w:rPr>
            </w:pPr>
          </w:p>
        </w:tc>
      </w:tr>
      <w:tr w14:paraId="0340658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18060609">
            <w:pPr>
              <w:jc w:val="center"/>
              <w:rPr>
                <w:color w:val="auto"/>
              </w:rPr>
            </w:pPr>
            <w:r>
              <w:rPr>
                <w:color w:val="auto"/>
              </w:rPr>
              <w:t>总大肠菌群(个/L)</w:t>
            </w:r>
          </w:p>
        </w:tc>
        <w:tc>
          <w:tcPr>
            <w:tcW w:w="1482" w:type="dxa"/>
            <w:vAlign w:val="center"/>
          </w:tcPr>
          <w:p w14:paraId="426E202B">
            <w:pPr>
              <w:jc w:val="center"/>
              <w:rPr>
                <w:color w:val="auto"/>
                <w:kern w:val="0"/>
                <w:szCs w:val="21"/>
              </w:rPr>
            </w:pPr>
            <w:r>
              <w:rPr>
                <w:color w:val="auto"/>
                <w:kern w:val="0"/>
                <w:szCs w:val="21"/>
              </w:rPr>
              <w:t>≤3.0</w:t>
            </w:r>
          </w:p>
        </w:tc>
        <w:tc>
          <w:tcPr>
            <w:tcW w:w="3999" w:type="dxa"/>
            <w:vMerge w:val="continue"/>
            <w:vAlign w:val="center"/>
          </w:tcPr>
          <w:p w14:paraId="52F22B13">
            <w:pPr>
              <w:jc w:val="center"/>
              <w:rPr>
                <w:color w:val="auto"/>
                <w:szCs w:val="21"/>
              </w:rPr>
            </w:pPr>
          </w:p>
        </w:tc>
      </w:tr>
      <w:tr w14:paraId="2019F75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44" w:type="dxa"/>
            <w:vAlign w:val="center"/>
          </w:tcPr>
          <w:p w14:paraId="4CD8E263">
            <w:pPr>
              <w:jc w:val="center"/>
              <w:rPr>
                <w:color w:val="auto"/>
              </w:rPr>
            </w:pPr>
            <w:r>
              <w:rPr>
                <w:rFonts w:hint="eastAsia"/>
                <w:color w:val="auto"/>
                <w:lang w:eastAsia="zh-CN"/>
              </w:rPr>
              <w:t>细菌</w:t>
            </w:r>
            <w:r>
              <w:rPr>
                <w:color w:val="auto"/>
              </w:rPr>
              <w:t>总数(个/L)</w:t>
            </w:r>
          </w:p>
        </w:tc>
        <w:tc>
          <w:tcPr>
            <w:tcW w:w="1482" w:type="dxa"/>
            <w:vAlign w:val="center"/>
          </w:tcPr>
          <w:p w14:paraId="530194FB">
            <w:pPr>
              <w:jc w:val="center"/>
              <w:rPr>
                <w:color w:val="auto"/>
              </w:rPr>
            </w:pPr>
            <w:r>
              <w:rPr>
                <w:color w:val="auto"/>
              </w:rPr>
              <w:t>≤100</w:t>
            </w:r>
          </w:p>
        </w:tc>
        <w:tc>
          <w:tcPr>
            <w:tcW w:w="3999" w:type="dxa"/>
            <w:vMerge w:val="continue"/>
            <w:vAlign w:val="center"/>
          </w:tcPr>
          <w:p w14:paraId="3221B5C7">
            <w:pPr>
              <w:jc w:val="center"/>
              <w:rPr>
                <w:color w:val="auto"/>
                <w:szCs w:val="21"/>
              </w:rPr>
            </w:pPr>
          </w:p>
        </w:tc>
      </w:tr>
    </w:tbl>
    <w:p w14:paraId="29A9F2DA">
      <w:pPr>
        <w:snapToGrid w:val="0"/>
        <w:spacing w:line="360" w:lineRule="auto"/>
        <w:ind w:firstLine="480" w:firstLineChars="200"/>
        <w:rPr>
          <w:color w:val="auto"/>
          <w:kern w:val="0"/>
          <w:sz w:val="24"/>
        </w:rPr>
      </w:pPr>
      <w:r>
        <w:rPr>
          <w:color w:val="auto"/>
          <w:kern w:val="0"/>
          <w:sz w:val="24"/>
        </w:rPr>
        <w:t>(</w:t>
      </w:r>
      <w:r>
        <w:rPr>
          <w:rFonts w:hint="eastAsia"/>
          <w:color w:val="auto"/>
          <w:kern w:val="0"/>
          <w:sz w:val="24"/>
          <w:lang w:val="en-US" w:eastAsia="zh-CN"/>
        </w:rPr>
        <w:t>4</w:t>
      </w:r>
      <w:r>
        <w:rPr>
          <w:color w:val="auto"/>
          <w:kern w:val="0"/>
          <w:sz w:val="24"/>
        </w:rPr>
        <w:t>)土壤环境质量标准</w:t>
      </w:r>
    </w:p>
    <w:p w14:paraId="13F0EFA2">
      <w:pPr>
        <w:spacing w:line="360" w:lineRule="auto"/>
        <w:ind w:firstLine="480" w:firstLineChars="200"/>
        <w:rPr>
          <w:b/>
          <w:color w:val="auto"/>
          <w:sz w:val="24"/>
        </w:rPr>
      </w:pPr>
      <w:r>
        <w:rPr>
          <w:color w:val="auto"/>
          <w:kern w:val="0"/>
          <w:sz w:val="24"/>
        </w:rPr>
        <w:t>本项目</w:t>
      </w:r>
      <w:r>
        <w:rPr>
          <w:rFonts w:hint="eastAsia"/>
          <w:color w:val="auto"/>
          <w:kern w:val="0"/>
          <w:sz w:val="24"/>
          <w:lang w:eastAsia="zh-CN"/>
        </w:rPr>
        <w:t>占地范围内地类为设施农用地，项目周围存在林地、耕地，</w:t>
      </w:r>
      <w:r>
        <w:rPr>
          <w:rFonts w:hint="eastAsia" w:hAnsi="宋体"/>
          <w:color w:val="000000"/>
          <w:kern w:val="0"/>
          <w:sz w:val="24"/>
        </w:rPr>
        <w:t>根据《畜禽规模养殖污染防治条例》（国务院令第643号）“二十七条 畜禽养殖用地按农用地管理，并按照国家有关规定确定生产设施用地和必要的污染防治等附属设施用地”，因此，本项目拟建区域土壤环境执行《土壤环境质量</w:t>
      </w:r>
      <w:r>
        <w:rPr>
          <w:color w:val="000000"/>
          <w:kern w:val="0"/>
          <w:sz w:val="24"/>
        </w:rPr>
        <w:t xml:space="preserve"> </w:t>
      </w:r>
      <w:r>
        <w:rPr>
          <w:rFonts w:hint="eastAsia" w:hAnsi="宋体"/>
          <w:color w:val="000000"/>
          <w:kern w:val="0"/>
          <w:sz w:val="24"/>
        </w:rPr>
        <w:t>农用地土壤污染风险管控标准（试行）》</w:t>
      </w:r>
      <w:r>
        <w:rPr>
          <w:color w:val="000000"/>
          <w:kern w:val="0"/>
          <w:sz w:val="24"/>
        </w:rPr>
        <w:t>(GB15618-2018)</w:t>
      </w:r>
      <w:r>
        <w:rPr>
          <w:rFonts w:hint="eastAsia" w:hAnsi="宋体"/>
          <w:color w:val="000000"/>
          <w:kern w:val="0"/>
          <w:sz w:val="24"/>
        </w:rPr>
        <w:t>中农用地土壤污染风险筛选值标准，</w:t>
      </w:r>
      <w:r>
        <w:rPr>
          <w:color w:val="auto"/>
          <w:kern w:val="0"/>
          <w:sz w:val="24"/>
        </w:rPr>
        <w:t>主要指标见表2</w:t>
      </w:r>
      <w:r>
        <w:rPr>
          <w:rFonts w:hint="eastAsia"/>
          <w:color w:val="auto"/>
          <w:kern w:val="0"/>
          <w:sz w:val="24"/>
          <w:lang w:val="en-US" w:eastAsia="zh-CN"/>
        </w:rPr>
        <w:t>.2</w:t>
      </w:r>
      <w:r>
        <w:rPr>
          <w:color w:val="auto"/>
          <w:kern w:val="0"/>
          <w:sz w:val="24"/>
        </w:rPr>
        <w:t>-</w:t>
      </w:r>
      <w:r>
        <w:rPr>
          <w:rFonts w:hint="eastAsia"/>
          <w:color w:val="auto"/>
          <w:kern w:val="0"/>
          <w:sz w:val="24"/>
          <w:lang w:val="en-US" w:eastAsia="zh-CN"/>
        </w:rPr>
        <w:t>6</w:t>
      </w:r>
      <w:r>
        <w:rPr>
          <w:color w:val="auto"/>
          <w:kern w:val="0"/>
          <w:sz w:val="24"/>
        </w:rPr>
        <w:t>。</w:t>
      </w:r>
    </w:p>
    <w:p w14:paraId="3039E25D">
      <w:pPr>
        <w:jc w:val="center"/>
        <w:rPr>
          <w:b/>
          <w:bCs/>
          <w:color w:val="auto"/>
          <w:kern w:val="0"/>
          <w:szCs w:val="21"/>
        </w:rPr>
      </w:pPr>
      <w:r>
        <w:rPr>
          <w:rFonts w:hint="eastAsia" w:hAnsi="宋体"/>
          <w:b/>
          <w:bCs/>
          <w:color w:val="auto"/>
          <w:kern w:val="0"/>
          <w:szCs w:val="21"/>
        </w:rPr>
        <w:t>表</w:t>
      </w:r>
      <w:r>
        <w:rPr>
          <w:b/>
          <w:bCs/>
          <w:color w:val="auto"/>
          <w:kern w:val="0"/>
          <w:szCs w:val="21"/>
        </w:rPr>
        <w:t>2</w:t>
      </w:r>
      <w:r>
        <w:rPr>
          <w:rFonts w:hint="eastAsia"/>
          <w:b/>
          <w:bCs/>
          <w:color w:val="auto"/>
          <w:kern w:val="0"/>
          <w:szCs w:val="21"/>
          <w:lang w:val="en-US" w:eastAsia="zh-CN"/>
        </w:rPr>
        <w:t>.2</w:t>
      </w:r>
      <w:r>
        <w:rPr>
          <w:b/>
          <w:bCs/>
          <w:color w:val="auto"/>
          <w:kern w:val="0"/>
          <w:szCs w:val="21"/>
        </w:rPr>
        <w:t>-</w:t>
      </w:r>
      <w:r>
        <w:rPr>
          <w:rFonts w:hint="eastAsia"/>
          <w:b/>
          <w:bCs/>
          <w:color w:val="auto"/>
          <w:kern w:val="0"/>
          <w:szCs w:val="21"/>
          <w:lang w:val="en-US" w:eastAsia="zh-CN"/>
        </w:rPr>
        <w:t>6</w:t>
      </w:r>
      <w:r>
        <w:rPr>
          <w:b/>
          <w:bCs/>
          <w:color w:val="auto"/>
          <w:kern w:val="0"/>
          <w:szCs w:val="21"/>
        </w:rPr>
        <w:t xml:space="preserve"> </w:t>
      </w:r>
      <w:r>
        <w:rPr>
          <w:rFonts w:hint="eastAsia"/>
          <w:b/>
          <w:bCs/>
          <w:color w:val="auto"/>
          <w:kern w:val="0"/>
          <w:szCs w:val="21"/>
        </w:rPr>
        <w:t xml:space="preserve">   </w:t>
      </w:r>
      <w:r>
        <w:rPr>
          <w:rFonts w:hint="eastAsia" w:hAnsi="宋体"/>
          <w:b/>
          <w:bCs/>
          <w:color w:val="auto"/>
          <w:kern w:val="0"/>
          <w:szCs w:val="21"/>
        </w:rPr>
        <w:t>土壤环境质量标准</w:t>
      </w:r>
      <w:r>
        <w:rPr>
          <w:b/>
          <w:bCs/>
          <w:color w:val="auto"/>
          <w:kern w:val="0"/>
          <w:szCs w:val="21"/>
        </w:rPr>
        <w:t xml:space="preserve">  </w:t>
      </w:r>
      <w:r>
        <w:rPr>
          <w:rFonts w:hint="eastAsia"/>
          <w:b/>
          <w:bCs/>
          <w:color w:val="auto"/>
          <w:kern w:val="0"/>
          <w:szCs w:val="21"/>
        </w:rPr>
        <w:t xml:space="preserve">  </w:t>
      </w:r>
      <w:r>
        <w:rPr>
          <w:rFonts w:hint="eastAsia" w:hAnsi="宋体"/>
          <w:b/>
          <w:color w:val="auto"/>
          <w:szCs w:val="21"/>
        </w:rPr>
        <w:t>单位：</w:t>
      </w:r>
      <w:r>
        <w:rPr>
          <w:b/>
          <w:bCs/>
          <w:color w:val="auto"/>
          <w:szCs w:val="21"/>
        </w:rPr>
        <w:t>m</w:t>
      </w:r>
      <w:r>
        <w:rPr>
          <w:b/>
          <w:color w:val="auto"/>
          <w:szCs w:val="21"/>
        </w:rPr>
        <w:t>g/kg</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9"/>
        <w:gridCol w:w="1341"/>
        <w:gridCol w:w="1023"/>
        <w:gridCol w:w="1227"/>
        <w:gridCol w:w="1620"/>
        <w:gridCol w:w="1444"/>
        <w:gridCol w:w="1107"/>
      </w:tblGrid>
      <w:tr w14:paraId="5DA276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729" w:type="dxa"/>
            <w:vMerge w:val="restart"/>
            <w:tcBorders>
              <w:top w:val="double" w:color="auto" w:sz="4" w:space="0"/>
              <w:left w:val="nil"/>
              <w:bottom w:val="single" w:color="auto" w:sz="4" w:space="0"/>
              <w:right w:val="single" w:color="auto" w:sz="4" w:space="0"/>
            </w:tcBorders>
            <w:noWrap w:val="0"/>
            <w:vAlign w:val="center"/>
          </w:tcPr>
          <w:p w14:paraId="433783F8">
            <w:pPr>
              <w:pStyle w:val="20"/>
              <w:jc w:val="center"/>
              <w:rPr>
                <w:color w:val="auto"/>
                <w:kern w:val="0"/>
                <w:szCs w:val="21"/>
              </w:rPr>
            </w:pPr>
            <w:r>
              <w:rPr>
                <w:rFonts w:hint="eastAsia" w:hAnsi="宋体"/>
                <w:color w:val="auto"/>
                <w:kern w:val="0"/>
                <w:szCs w:val="21"/>
              </w:rPr>
              <w:t>序号</w:t>
            </w:r>
          </w:p>
        </w:tc>
        <w:tc>
          <w:tcPr>
            <w:tcW w:w="2364" w:type="dxa"/>
            <w:gridSpan w:val="2"/>
            <w:vMerge w:val="restart"/>
            <w:tcBorders>
              <w:top w:val="double" w:color="auto" w:sz="4" w:space="0"/>
              <w:left w:val="single" w:color="auto" w:sz="4" w:space="0"/>
              <w:bottom w:val="single" w:color="auto" w:sz="4" w:space="0"/>
              <w:right w:val="single" w:color="auto" w:sz="4" w:space="0"/>
            </w:tcBorders>
            <w:noWrap w:val="0"/>
            <w:vAlign w:val="center"/>
          </w:tcPr>
          <w:p w14:paraId="4D317829">
            <w:pPr>
              <w:pStyle w:val="20"/>
              <w:jc w:val="center"/>
              <w:rPr>
                <w:color w:val="auto"/>
                <w:kern w:val="0"/>
                <w:szCs w:val="21"/>
              </w:rPr>
            </w:pPr>
            <w:r>
              <w:rPr>
                <w:rFonts w:hint="eastAsia" w:hAnsi="宋体"/>
                <w:color w:val="auto"/>
                <w:kern w:val="0"/>
                <w:szCs w:val="21"/>
              </w:rPr>
              <w:t>污染物项目</w:t>
            </w:r>
          </w:p>
        </w:tc>
        <w:tc>
          <w:tcPr>
            <w:tcW w:w="5398" w:type="dxa"/>
            <w:gridSpan w:val="4"/>
            <w:tcBorders>
              <w:top w:val="double" w:color="auto" w:sz="4" w:space="0"/>
              <w:left w:val="single" w:color="auto" w:sz="4" w:space="0"/>
              <w:bottom w:val="single" w:color="auto" w:sz="4" w:space="0"/>
              <w:right w:val="nil"/>
            </w:tcBorders>
            <w:noWrap w:val="0"/>
            <w:vAlign w:val="center"/>
          </w:tcPr>
          <w:p w14:paraId="146C143B">
            <w:pPr>
              <w:adjustRightInd w:val="0"/>
              <w:snapToGrid w:val="0"/>
              <w:jc w:val="center"/>
              <w:rPr>
                <w:color w:val="auto"/>
                <w:kern w:val="0"/>
                <w:szCs w:val="21"/>
              </w:rPr>
            </w:pPr>
            <w:r>
              <w:rPr>
                <w:rFonts w:hint="eastAsia" w:hAnsi="宋体"/>
                <w:color w:val="auto"/>
                <w:szCs w:val="21"/>
              </w:rPr>
              <w:t>风险筛选值</w:t>
            </w:r>
          </w:p>
        </w:tc>
      </w:tr>
      <w:tr w14:paraId="4711F6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0" w:type="auto"/>
            <w:vMerge w:val="continue"/>
            <w:tcBorders>
              <w:top w:val="double" w:color="auto" w:sz="4" w:space="0"/>
              <w:left w:val="nil"/>
              <w:bottom w:val="single" w:color="auto" w:sz="4" w:space="0"/>
              <w:right w:val="single" w:color="auto" w:sz="4" w:space="0"/>
            </w:tcBorders>
            <w:noWrap w:val="0"/>
            <w:vAlign w:val="center"/>
          </w:tcPr>
          <w:p w14:paraId="58D789ED">
            <w:pPr>
              <w:widowControl/>
              <w:jc w:val="left"/>
              <w:rPr>
                <w:color w:val="auto"/>
                <w:kern w:val="0"/>
                <w:szCs w:val="21"/>
              </w:rPr>
            </w:pPr>
          </w:p>
        </w:tc>
        <w:tc>
          <w:tcPr>
            <w:tcW w:w="0" w:type="auto"/>
            <w:gridSpan w:val="2"/>
            <w:vMerge w:val="continue"/>
            <w:tcBorders>
              <w:top w:val="double" w:color="auto" w:sz="4" w:space="0"/>
              <w:left w:val="single" w:color="auto" w:sz="4" w:space="0"/>
              <w:bottom w:val="single" w:color="auto" w:sz="4" w:space="0"/>
              <w:right w:val="single" w:color="auto" w:sz="4" w:space="0"/>
            </w:tcBorders>
            <w:noWrap w:val="0"/>
            <w:vAlign w:val="center"/>
          </w:tcPr>
          <w:p w14:paraId="7F8840C6">
            <w:pPr>
              <w:widowControl/>
              <w:jc w:val="left"/>
              <w:rPr>
                <w:color w:val="auto"/>
                <w:kern w:val="0"/>
                <w:szCs w:val="21"/>
              </w:rPr>
            </w:pPr>
          </w:p>
        </w:tc>
        <w:tc>
          <w:tcPr>
            <w:tcW w:w="1227" w:type="dxa"/>
            <w:tcBorders>
              <w:top w:val="single" w:color="auto" w:sz="4" w:space="0"/>
              <w:left w:val="single" w:color="auto" w:sz="4" w:space="0"/>
              <w:bottom w:val="single" w:color="auto" w:sz="4" w:space="0"/>
              <w:right w:val="single" w:color="auto" w:sz="4" w:space="0"/>
            </w:tcBorders>
            <w:noWrap w:val="0"/>
            <w:vAlign w:val="center"/>
          </w:tcPr>
          <w:p w14:paraId="22BBE507">
            <w:pPr>
              <w:adjustRightInd w:val="0"/>
              <w:snapToGrid w:val="0"/>
              <w:jc w:val="center"/>
              <w:rPr>
                <w:color w:val="auto"/>
                <w:szCs w:val="21"/>
              </w:rPr>
            </w:pPr>
            <w:r>
              <w:rPr>
                <w:color w:val="auto"/>
                <w:szCs w:val="21"/>
              </w:rPr>
              <w:t>PH≤5.5</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4DB29F74">
            <w:pPr>
              <w:adjustRightInd w:val="0"/>
              <w:snapToGrid w:val="0"/>
              <w:jc w:val="center"/>
              <w:rPr>
                <w:color w:val="auto"/>
                <w:szCs w:val="21"/>
              </w:rPr>
            </w:pPr>
            <w:r>
              <w:rPr>
                <w:color w:val="auto"/>
                <w:szCs w:val="21"/>
              </w:rPr>
              <w:t>5.5&lt;PH≤6.5</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6C627F07">
            <w:pPr>
              <w:adjustRightInd w:val="0"/>
              <w:snapToGrid w:val="0"/>
              <w:jc w:val="center"/>
              <w:rPr>
                <w:color w:val="auto"/>
                <w:kern w:val="0"/>
                <w:szCs w:val="21"/>
              </w:rPr>
            </w:pPr>
            <w:r>
              <w:rPr>
                <w:color w:val="auto"/>
                <w:szCs w:val="21"/>
              </w:rPr>
              <w:t>6.5&lt;PH≤7.5</w:t>
            </w:r>
          </w:p>
        </w:tc>
        <w:tc>
          <w:tcPr>
            <w:tcW w:w="1107" w:type="dxa"/>
            <w:tcBorders>
              <w:top w:val="single" w:color="auto" w:sz="4" w:space="0"/>
              <w:left w:val="single" w:color="auto" w:sz="4" w:space="0"/>
              <w:bottom w:val="single" w:color="auto" w:sz="4" w:space="0"/>
              <w:right w:val="nil"/>
            </w:tcBorders>
            <w:noWrap w:val="0"/>
            <w:vAlign w:val="center"/>
          </w:tcPr>
          <w:p w14:paraId="15B6B064">
            <w:pPr>
              <w:adjustRightInd w:val="0"/>
              <w:snapToGrid w:val="0"/>
              <w:jc w:val="center"/>
              <w:rPr>
                <w:color w:val="auto"/>
                <w:kern w:val="0"/>
                <w:szCs w:val="21"/>
              </w:rPr>
            </w:pPr>
            <w:r>
              <w:rPr>
                <w:color w:val="auto"/>
                <w:kern w:val="0"/>
                <w:szCs w:val="21"/>
              </w:rPr>
              <w:t>PH&gt;7.5</w:t>
            </w:r>
          </w:p>
        </w:tc>
      </w:tr>
      <w:tr w14:paraId="050969B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729" w:type="dxa"/>
            <w:vMerge w:val="restart"/>
            <w:tcBorders>
              <w:top w:val="single" w:color="auto" w:sz="4" w:space="0"/>
              <w:left w:val="nil"/>
              <w:bottom w:val="single" w:color="auto" w:sz="4" w:space="0"/>
              <w:right w:val="single" w:color="auto" w:sz="4" w:space="0"/>
            </w:tcBorders>
            <w:noWrap w:val="0"/>
            <w:vAlign w:val="center"/>
          </w:tcPr>
          <w:p w14:paraId="115C529C">
            <w:pPr>
              <w:pStyle w:val="20"/>
              <w:jc w:val="center"/>
              <w:rPr>
                <w:color w:val="auto"/>
                <w:kern w:val="0"/>
                <w:szCs w:val="21"/>
              </w:rPr>
            </w:pPr>
            <w:r>
              <w:rPr>
                <w:color w:val="auto"/>
                <w:kern w:val="0"/>
                <w:szCs w:val="21"/>
              </w:rPr>
              <w:t>1</w:t>
            </w:r>
          </w:p>
        </w:tc>
        <w:tc>
          <w:tcPr>
            <w:tcW w:w="1341" w:type="dxa"/>
            <w:vMerge w:val="restart"/>
            <w:tcBorders>
              <w:top w:val="single" w:color="auto" w:sz="4" w:space="0"/>
              <w:left w:val="single" w:color="auto" w:sz="4" w:space="0"/>
              <w:bottom w:val="single" w:color="auto" w:sz="4" w:space="0"/>
              <w:right w:val="single" w:color="auto" w:sz="4" w:space="0"/>
            </w:tcBorders>
            <w:noWrap w:val="0"/>
            <w:vAlign w:val="center"/>
          </w:tcPr>
          <w:p w14:paraId="324ACD2D">
            <w:pPr>
              <w:pStyle w:val="20"/>
              <w:jc w:val="center"/>
              <w:rPr>
                <w:color w:val="auto"/>
                <w:kern w:val="0"/>
                <w:szCs w:val="21"/>
              </w:rPr>
            </w:pPr>
            <w:r>
              <w:rPr>
                <w:rFonts w:hint="eastAsia" w:hAnsi="宋体"/>
                <w:color w:val="auto"/>
                <w:kern w:val="0"/>
                <w:szCs w:val="21"/>
              </w:rPr>
              <w:t>镉</w:t>
            </w:r>
          </w:p>
        </w:tc>
        <w:tc>
          <w:tcPr>
            <w:tcW w:w="1023" w:type="dxa"/>
            <w:tcBorders>
              <w:top w:val="single" w:color="auto" w:sz="4" w:space="0"/>
              <w:left w:val="single" w:color="auto" w:sz="4" w:space="0"/>
              <w:bottom w:val="single" w:color="auto" w:sz="4" w:space="0"/>
              <w:right w:val="single" w:color="auto" w:sz="4" w:space="0"/>
            </w:tcBorders>
            <w:noWrap w:val="0"/>
            <w:vAlign w:val="center"/>
          </w:tcPr>
          <w:p w14:paraId="281DFC29">
            <w:pPr>
              <w:pStyle w:val="20"/>
              <w:jc w:val="center"/>
              <w:rPr>
                <w:color w:val="auto"/>
                <w:kern w:val="0"/>
                <w:szCs w:val="21"/>
              </w:rPr>
            </w:pPr>
            <w:r>
              <w:rPr>
                <w:rFonts w:hint="eastAsia" w:hAnsi="宋体"/>
                <w:color w:val="auto"/>
                <w:kern w:val="0"/>
                <w:szCs w:val="21"/>
              </w:rPr>
              <w:t>水田</w:t>
            </w:r>
          </w:p>
        </w:tc>
        <w:tc>
          <w:tcPr>
            <w:tcW w:w="1227" w:type="dxa"/>
            <w:tcBorders>
              <w:top w:val="single" w:color="auto" w:sz="4" w:space="0"/>
              <w:left w:val="single" w:color="auto" w:sz="4" w:space="0"/>
              <w:bottom w:val="single" w:color="auto" w:sz="4" w:space="0"/>
              <w:right w:val="single" w:color="auto" w:sz="4" w:space="0"/>
            </w:tcBorders>
            <w:noWrap w:val="0"/>
            <w:vAlign w:val="center"/>
          </w:tcPr>
          <w:p w14:paraId="517E4614">
            <w:pPr>
              <w:pStyle w:val="20"/>
              <w:jc w:val="center"/>
              <w:rPr>
                <w:color w:val="auto"/>
                <w:szCs w:val="21"/>
              </w:rPr>
            </w:pPr>
            <w:r>
              <w:rPr>
                <w:color w:val="auto"/>
                <w:szCs w:val="21"/>
              </w:rPr>
              <w:t>0.3</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78ED6CE2">
            <w:pPr>
              <w:pStyle w:val="20"/>
              <w:jc w:val="center"/>
              <w:rPr>
                <w:color w:val="auto"/>
                <w:szCs w:val="21"/>
              </w:rPr>
            </w:pPr>
            <w:r>
              <w:rPr>
                <w:color w:val="auto"/>
                <w:szCs w:val="21"/>
              </w:rPr>
              <w:t>0.4</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1C091306">
            <w:pPr>
              <w:pStyle w:val="20"/>
              <w:jc w:val="center"/>
              <w:rPr>
                <w:color w:val="auto"/>
                <w:kern w:val="0"/>
                <w:szCs w:val="21"/>
              </w:rPr>
            </w:pPr>
            <w:r>
              <w:rPr>
                <w:color w:val="auto"/>
                <w:kern w:val="0"/>
                <w:szCs w:val="21"/>
              </w:rPr>
              <w:t>0.6</w:t>
            </w:r>
          </w:p>
        </w:tc>
        <w:tc>
          <w:tcPr>
            <w:tcW w:w="1107" w:type="dxa"/>
            <w:tcBorders>
              <w:top w:val="single" w:color="auto" w:sz="4" w:space="0"/>
              <w:left w:val="single" w:color="auto" w:sz="4" w:space="0"/>
              <w:bottom w:val="single" w:color="auto" w:sz="4" w:space="0"/>
              <w:right w:val="nil"/>
            </w:tcBorders>
            <w:noWrap w:val="0"/>
            <w:vAlign w:val="center"/>
          </w:tcPr>
          <w:p w14:paraId="48908ABA">
            <w:pPr>
              <w:pStyle w:val="20"/>
              <w:jc w:val="center"/>
              <w:rPr>
                <w:color w:val="auto"/>
                <w:kern w:val="0"/>
                <w:szCs w:val="21"/>
              </w:rPr>
            </w:pPr>
            <w:r>
              <w:rPr>
                <w:color w:val="auto"/>
                <w:kern w:val="0"/>
                <w:szCs w:val="21"/>
              </w:rPr>
              <w:t>0.8</w:t>
            </w:r>
          </w:p>
        </w:tc>
      </w:tr>
      <w:tr w14:paraId="23D7CF0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0" w:type="auto"/>
            <w:vMerge w:val="continue"/>
            <w:tcBorders>
              <w:top w:val="single" w:color="auto" w:sz="4" w:space="0"/>
              <w:left w:val="nil"/>
              <w:bottom w:val="single" w:color="auto" w:sz="4" w:space="0"/>
              <w:right w:val="single" w:color="auto" w:sz="4" w:space="0"/>
            </w:tcBorders>
            <w:noWrap w:val="0"/>
            <w:vAlign w:val="center"/>
          </w:tcPr>
          <w:p w14:paraId="59BBB9B4">
            <w:pPr>
              <w:widowControl/>
              <w:jc w:val="left"/>
              <w:rPr>
                <w:color w:val="auto"/>
                <w:kern w:val="0"/>
                <w:szCs w:val="21"/>
              </w:rPr>
            </w:pPr>
          </w:p>
        </w:tc>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14:paraId="30384C19">
            <w:pPr>
              <w:widowControl/>
              <w:jc w:val="left"/>
              <w:rPr>
                <w:color w:val="auto"/>
                <w:kern w:val="0"/>
                <w:szCs w:val="21"/>
              </w:rPr>
            </w:pPr>
          </w:p>
        </w:tc>
        <w:tc>
          <w:tcPr>
            <w:tcW w:w="1023" w:type="dxa"/>
            <w:tcBorders>
              <w:top w:val="single" w:color="auto" w:sz="4" w:space="0"/>
              <w:left w:val="single" w:color="auto" w:sz="4" w:space="0"/>
              <w:bottom w:val="single" w:color="auto" w:sz="4" w:space="0"/>
              <w:right w:val="single" w:color="auto" w:sz="4" w:space="0"/>
            </w:tcBorders>
            <w:noWrap w:val="0"/>
            <w:vAlign w:val="center"/>
          </w:tcPr>
          <w:p w14:paraId="0525D6AC">
            <w:pPr>
              <w:pStyle w:val="20"/>
              <w:jc w:val="center"/>
              <w:rPr>
                <w:color w:val="auto"/>
                <w:kern w:val="0"/>
                <w:szCs w:val="21"/>
              </w:rPr>
            </w:pPr>
            <w:r>
              <w:rPr>
                <w:rFonts w:hint="eastAsia" w:hAnsi="宋体"/>
                <w:color w:val="auto"/>
                <w:kern w:val="0"/>
                <w:szCs w:val="21"/>
              </w:rPr>
              <w:t>其他</w:t>
            </w:r>
          </w:p>
        </w:tc>
        <w:tc>
          <w:tcPr>
            <w:tcW w:w="1227" w:type="dxa"/>
            <w:tcBorders>
              <w:top w:val="single" w:color="auto" w:sz="4" w:space="0"/>
              <w:left w:val="single" w:color="auto" w:sz="4" w:space="0"/>
              <w:bottom w:val="single" w:color="auto" w:sz="4" w:space="0"/>
              <w:right w:val="single" w:color="auto" w:sz="4" w:space="0"/>
            </w:tcBorders>
            <w:noWrap w:val="0"/>
            <w:vAlign w:val="center"/>
          </w:tcPr>
          <w:p w14:paraId="46D08C1A">
            <w:pPr>
              <w:pStyle w:val="20"/>
              <w:jc w:val="center"/>
              <w:rPr>
                <w:color w:val="auto"/>
                <w:szCs w:val="21"/>
              </w:rPr>
            </w:pPr>
            <w:r>
              <w:rPr>
                <w:color w:val="auto"/>
                <w:szCs w:val="21"/>
              </w:rPr>
              <w:t>0.3</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154F81EB">
            <w:pPr>
              <w:pStyle w:val="20"/>
              <w:jc w:val="center"/>
              <w:rPr>
                <w:color w:val="auto"/>
                <w:szCs w:val="21"/>
              </w:rPr>
            </w:pPr>
            <w:r>
              <w:rPr>
                <w:color w:val="auto"/>
                <w:szCs w:val="21"/>
              </w:rPr>
              <w:t>0.3</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6F26D129">
            <w:pPr>
              <w:pStyle w:val="20"/>
              <w:jc w:val="center"/>
              <w:rPr>
                <w:color w:val="auto"/>
                <w:kern w:val="0"/>
                <w:szCs w:val="21"/>
              </w:rPr>
            </w:pPr>
            <w:r>
              <w:rPr>
                <w:color w:val="auto"/>
                <w:kern w:val="0"/>
                <w:szCs w:val="21"/>
              </w:rPr>
              <w:t>0.3</w:t>
            </w:r>
          </w:p>
        </w:tc>
        <w:tc>
          <w:tcPr>
            <w:tcW w:w="1107" w:type="dxa"/>
            <w:tcBorders>
              <w:top w:val="single" w:color="auto" w:sz="4" w:space="0"/>
              <w:left w:val="single" w:color="auto" w:sz="4" w:space="0"/>
              <w:bottom w:val="single" w:color="auto" w:sz="4" w:space="0"/>
              <w:right w:val="nil"/>
            </w:tcBorders>
            <w:noWrap w:val="0"/>
            <w:vAlign w:val="center"/>
          </w:tcPr>
          <w:p w14:paraId="17F92109">
            <w:pPr>
              <w:pStyle w:val="20"/>
              <w:jc w:val="center"/>
              <w:rPr>
                <w:color w:val="auto"/>
                <w:kern w:val="0"/>
                <w:szCs w:val="21"/>
              </w:rPr>
            </w:pPr>
            <w:r>
              <w:rPr>
                <w:color w:val="auto"/>
                <w:kern w:val="0"/>
                <w:szCs w:val="21"/>
              </w:rPr>
              <w:t>0.6</w:t>
            </w:r>
          </w:p>
        </w:tc>
      </w:tr>
      <w:tr w14:paraId="0FE7D9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729" w:type="dxa"/>
            <w:vMerge w:val="restart"/>
            <w:tcBorders>
              <w:top w:val="single" w:color="auto" w:sz="4" w:space="0"/>
              <w:left w:val="nil"/>
              <w:bottom w:val="single" w:color="auto" w:sz="4" w:space="0"/>
              <w:right w:val="single" w:color="auto" w:sz="4" w:space="0"/>
            </w:tcBorders>
            <w:noWrap w:val="0"/>
            <w:vAlign w:val="center"/>
          </w:tcPr>
          <w:p w14:paraId="46FA0147">
            <w:pPr>
              <w:pStyle w:val="20"/>
              <w:jc w:val="center"/>
              <w:rPr>
                <w:color w:val="auto"/>
                <w:kern w:val="0"/>
                <w:szCs w:val="21"/>
              </w:rPr>
            </w:pPr>
            <w:r>
              <w:rPr>
                <w:color w:val="auto"/>
                <w:kern w:val="0"/>
                <w:szCs w:val="21"/>
              </w:rPr>
              <w:t>2</w:t>
            </w:r>
          </w:p>
        </w:tc>
        <w:tc>
          <w:tcPr>
            <w:tcW w:w="1341" w:type="dxa"/>
            <w:vMerge w:val="restart"/>
            <w:tcBorders>
              <w:top w:val="single" w:color="auto" w:sz="4" w:space="0"/>
              <w:left w:val="single" w:color="auto" w:sz="4" w:space="0"/>
              <w:bottom w:val="single" w:color="auto" w:sz="4" w:space="0"/>
              <w:right w:val="single" w:color="auto" w:sz="4" w:space="0"/>
            </w:tcBorders>
            <w:noWrap w:val="0"/>
            <w:vAlign w:val="center"/>
          </w:tcPr>
          <w:p w14:paraId="3CCFF58F">
            <w:pPr>
              <w:pStyle w:val="20"/>
              <w:jc w:val="center"/>
              <w:rPr>
                <w:color w:val="auto"/>
                <w:kern w:val="0"/>
                <w:szCs w:val="21"/>
              </w:rPr>
            </w:pPr>
            <w:r>
              <w:rPr>
                <w:rFonts w:hint="eastAsia" w:hAnsi="宋体"/>
                <w:color w:val="auto"/>
                <w:kern w:val="0"/>
                <w:szCs w:val="21"/>
              </w:rPr>
              <w:t>汞</w:t>
            </w:r>
          </w:p>
        </w:tc>
        <w:tc>
          <w:tcPr>
            <w:tcW w:w="1023" w:type="dxa"/>
            <w:tcBorders>
              <w:top w:val="single" w:color="auto" w:sz="4" w:space="0"/>
              <w:left w:val="single" w:color="auto" w:sz="4" w:space="0"/>
              <w:bottom w:val="single" w:color="auto" w:sz="4" w:space="0"/>
              <w:right w:val="single" w:color="auto" w:sz="4" w:space="0"/>
            </w:tcBorders>
            <w:noWrap w:val="0"/>
            <w:vAlign w:val="center"/>
          </w:tcPr>
          <w:p w14:paraId="26C176B5">
            <w:pPr>
              <w:pStyle w:val="20"/>
              <w:jc w:val="center"/>
              <w:rPr>
                <w:color w:val="auto"/>
                <w:kern w:val="0"/>
                <w:szCs w:val="21"/>
              </w:rPr>
            </w:pPr>
            <w:r>
              <w:rPr>
                <w:rFonts w:hint="eastAsia" w:hAnsi="宋体"/>
                <w:color w:val="auto"/>
                <w:kern w:val="0"/>
                <w:szCs w:val="21"/>
              </w:rPr>
              <w:t>水田</w:t>
            </w:r>
          </w:p>
        </w:tc>
        <w:tc>
          <w:tcPr>
            <w:tcW w:w="1227" w:type="dxa"/>
            <w:tcBorders>
              <w:top w:val="single" w:color="auto" w:sz="4" w:space="0"/>
              <w:left w:val="single" w:color="auto" w:sz="4" w:space="0"/>
              <w:bottom w:val="single" w:color="auto" w:sz="4" w:space="0"/>
              <w:right w:val="single" w:color="auto" w:sz="4" w:space="0"/>
            </w:tcBorders>
            <w:noWrap w:val="0"/>
            <w:vAlign w:val="center"/>
          </w:tcPr>
          <w:p w14:paraId="1BF2A753">
            <w:pPr>
              <w:pStyle w:val="20"/>
              <w:jc w:val="center"/>
              <w:rPr>
                <w:color w:val="auto"/>
                <w:kern w:val="0"/>
                <w:szCs w:val="21"/>
              </w:rPr>
            </w:pPr>
            <w:r>
              <w:rPr>
                <w:color w:val="auto"/>
                <w:kern w:val="0"/>
                <w:szCs w:val="21"/>
              </w:rPr>
              <w:t>0.5</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129717E2">
            <w:pPr>
              <w:pStyle w:val="20"/>
              <w:jc w:val="center"/>
              <w:rPr>
                <w:color w:val="auto"/>
                <w:kern w:val="0"/>
                <w:szCs w:val="21"/>
              </w:rPr>
            </w:pPr>
            <w:r>
              <w:rPr>
                <w:color w:val="auto"/>
                <w:kern w:val="0"/>
                <w:szCs w:val="21"/>
              </w:rPr>
              <w:t>0.5</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3A2B3310">
            <w:pPr>
              <w:pStyle w:val="20"/>
              <w:jc w:val="center"/>
              <w:rPr>
                <w:color w:val="auto"/>
                <w:kern w:val="0"/>
                <w:szCs w:val="21"/>
              </w:rPr>
            </w:pPr>
            <w:r>
              <w:rPr>
                <w:color w:val="auto"/>
                <w:kern w:val="0"/>
                <w:szCs w:val="21"/>
              </w:rPr>
              <w:t>0.6</w:t>
            </w:r>
          </w:p>
        </w:tc>
        <w:tc>
          <w:tcPr>
            <w:tcW w:w="1107" w:type="dxa"/>
            <w:tcBorders>
              <w:top w:val="single" w:color="auto" w:sz="4" w:space="0"/>
              <w:left w:val="single" w:color="auto" w:sz="4" w:space="0"/>
              <w:bottom w:val="single" w:color="auto" w:sz="4" w:space="0"/>
              <w:right w:val="nil"/>
            </w:tcBorders>
            <w:noWrap w:val="0"/>
            <w:vAlign w:val="center"/>
          </w:tcPr>
          <w:p w14:paraId="6197FF5B">
            <w:pPr>
              <w:pStyle w:val="20"/>
              <w:jc w:val="center"/>
              <w:rPr>
                <w:color w:val="auto"/>
                <w:kern w:val="0"/>
                <w:szCs w:val="21"/>
              </w:rPr>
            </w:pPr>
            <w:r>
              <w:rPr>
                <w:color w:val="auto"/>
                <w:kern w:val="0"/>
                <w:szCs w:val="21"/>
              </w:rPr>
              <w:t>1.0</w:t>
            </w:r>
          </w:p>
        </w:tc>
      </w:tr>
      <w:tr w14:paraId="730D00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0" w:type="auto"/>
            <w:vMerge w:val="continue"/>
            <w:tcBorders>
              <w:top w:val="single" w:color="auto" w:sz="4" w:space="0"/>
              <w:left w:val="nil"/>
              <w:bottom w:val="single" w:color="auto" w:sz="4" w:space="0"/>
              <w:right w:val="single" w:color="auto" w:sz="4" w:space="0"/>
            </w:tcBorders>
            <w:noWrap w:val="0"/>
            <w:vAlign w:val="center"/>
          </w:tcPr>
          <w:p w14:paraId="3BE75D18">
            <w:pPr>
              <w:widowControl/>
              <w:jc w:val="left"/>
              <w:rPr>
                <w:color w:val="auto"/>
                <w:kern w:val="0"/>
                <w:szCs w:val="21"/>
              </w:rPr>
            </w:pPr>
          </w:p>
        </w:tc>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14:paraId="228E0752">
            <w:pPr>
              <w:widowControl/>
              <w:jc w:val="left"/>
              <w:rPr>
                <w:color w:val="auto"/>
                <w:kern w:val="0"/>
                <w:szCs w:val="21"/>
              </w:rPr>
            </w:pPr>
          </w:p>
        </w:tc>
        <w:tc>
          <w:tcPr>
            <w:tcW w:w="1023" w:type="dxa"/>
            <w:tcBorders>
              <w:top w:val="single" w:color="auto" w:sz="4" w:space="0"/>
              <w:left w:val="single" w:color="auto" w:sz="4" w:space="0"/>
              <w:bottom w:val="single" w:color="auto" w:sz="4" w:space="0"/>
              <w:right w:val="single" w:color="auto" w:sz="4" w:space="0"/>
            </w:tcBorders>
            <w:noWrap w:val="0"/>
            <w:vAlign w:val="center"/>
          </w:tcPr>
          <w:p w14:paraId="4B3BD282">
            <w:pPr>
              <w:pStyle w:val="20"/>
              <w:jc w:val="center"/>
              <w:rPr>
                <w:color w:val="auto"/>
                <w:kern w:val="0"/>
                <w:szCs w:val="21"/>
              </w:rPr>
            </w:pPr>
            <w:r>
              <w:rPr>
                <w:rFonts w:hint="eastAsia" w:hAnsi="宋体"/>
                <w:color w:val="auto"/>
                <w:kern w:val="0"/>
                <w:szCs w:val="21"/>
              </w:rPr>
              <w:t>其他</w:t>
            </w:r>
          </w:p>
        </w:tc>
        <w:tc>
          <w:tcPr>
            <w:tcW w:w="1227" w:type="dxa"/>
            <w:tcBorders>
              <w:top w:val="single" w:color="auto" w:sz="4" w:space="0"/>
              <w:left w:val="single" w:color="auto" w:sz="4" w:space="0"/>
              <w:bottom w:val="single" w:color="auto" w:sz="4" w:space="0"/>
              <w:right w:val="single" w:color="auto" w:sz="4" w:space="0"/>
            </w:tcBorders>
            <w:noWrap w:val="0"/>
            <w:vAlign w:val="center"/>
          </w:tcPr>
          <w:p w14:paraId="1EC98C3E">
            <w:pPr>
              <w:pStyle w:val="20"/>
              <w:jc w:val="center"/>
              <w:rPr>
                <w:color w:val="auto"/>
                <w:kern w:val="0"/>
                <w:szCs w:val="21"/>
              </w:rPr>
            </w:pPr>
            <w:r>
              <w:rPr>
                <w:color w:val="auto"/>
                <w:kern w:val="0"/>
                <w:szCs w:val="21"/>
              </w:rPr>
              <w:t>1.3</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2338DD46">
            <w:pPr>
              <w:pStyle w:val="20"/>
              <w:jc w:val="center"/>
              <w:rPr>
                <w:color w:val="auto"/>
                <w:kern w:val="0"/>
                <w:szCs w:val="21"/>
              </w:rPr>
            </w:pPr>
            <w:r>
              <w:rPr>
                <w:color w:val="auto"/>
                <w:kern w:val="0"/>
                <w:szCs w:val="21"/>
              </w:rPr>
              <w:t>1.8</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64B06EC0">
            <w:pPr>
              <w:pStyle w:val="20"/>
              <w:jc w:val="center"/>
              <w:rPr>
                <w:color w:val="auto"/>
                <w:kern w:val="0"/>
                <w:szCs w:val="21"/>
              </w:rPr>
            </w:pPr>
            <w:r>
              <w:rPr>
                <w:color w:val="auto"/>
                <w:kern w:val="0"/>
                <w:szCs w:val="21"/>
              </w:rPr>
              <w:t>2.4</w:t>
            </w:r>
          </w:p>
        </w:tc>
        <w:tc>
          <w:tcPr>
            <w:tcW w:w="1107" w:type="dxa"/>
            <w:tcBorders>
              <w:top w:val="single" w:color="auto" w:sz="4" w:space="0"/>
              <w:left w:val="single" w:color="auto" w:sz="4" w:space="0"/>
              <w:bottom w:val="single" w:color="auto" w:sz="4" w:space="0"/>
              <w:right w:val="nil"/>
            </w:tcBorders>
            <w:noWrap w:val="0"/>
            <w:vAlign w:val="center"/>
          </w:tcPr>
          <w:p w14:paraId="58C4B09E">
            <w:pPr>
              <w:pStyle w:val="20"/>
              <w:jc w:val="center"/>
              <w:rPr>
                <w:color w:val="auto"/>
                <w:kern w:val="0"/>
                <w:szCs w:val="21"/>
              </w:rPr>
            </w:pPr>
            <w:r>
              <w:rPr>
                <w:color w:val="auto"/>
                <w:kern w:val="0"/>
                <w:szCs w:val="21"/>
              </w:rPr>
              <w:t>3.4</w:t>
            </w:r>
          </w:p>
        </w:tc>
      </w:tr>
      <w:tr w14:paraId="3170F90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729" w:type="dxa"/>
            <w:vMerge w:val="restart"/>
            <w:tcBorders>
              <w:top w:val="single" w:color="auto" w:sz="4" w:space="0"/>
              <w:left w:val="nil"/>
              <w:bottom w:val="single" w:color="auto" w:sz="4" w:space="0"/>
              <w:right w:val="single" w:color="auto" w:sz="4" w:space="0"/>
            </w:tcBorders>
            <w:noWrap w:val="0"/>
            <w:vAlign w:val="center"/>
          </w:tcPr>
          <w:p w14:paraId="6372F536">
            <w:pPr>
              <w:pStyle w:val="20"/>
              <w:jc w:val="center"/>
              <w:rPr>
                <w:color w:val="auto"/>
                <w:kern w:val="0"/>
                <w:szCs w:val="21"/>
              </w:rPr>
            </w:pPr>
            <w:r>
              <w:rPr>
                <w:color w:val="auto"/>
                <w:kern w:val="0"/>
                <w:szCs w:val="21"/>
              </w:rPr>
              <w:t>3</w:t>
            </w:r>
          </w:p>
        </w:tc>
        <w:tc>
          <w:tcPr>
            <w:tcW w:w="1341" w:type="dxa"/>
            <w:vMerge w:val="restart"/>
            <w:tcBorders>
              <w:top w:val="single" w:color="auto" w:sz="4" w:space="0"/>
              <w:left w:val="single" w:color="auto" w:sz="4" w:space="0"/>
              <w:bottom w:val="single" w:color="auto" w:sz="4" w:space="0"/>
              <w:right w:val="single" w:color="auto" w:sz="4" w:space="0"/>
            </w:tcBorders>
            <w:noWrap w:val="0"/>
            <w:vAlign w:val="center"/>
          </w:tcPr>
          <w:p w14:paraId="2A635014">
            <w:pPr>
              <w:pStyle w:val="20"/>
              <w:jc w:val="center"/>
              <w:rPr>
                <w:color w:val="auto"/>
                <w:kern w:val="0"/>
                <w:szCs w:val="21"/>
              </w:rPr>
            </w:pPr>
            <w:r>
              <w:rPr>
                <w:rFonts w:hint="eastAsia" w:hAnsi="宋体"/>
                <w:color w:val="auto"/>
                <w:kern w:val="0"/>
                <w:szCs w:val="21"/>
              </w:rPr>
              <w:t>砷</w:t>
            </w:r>
          </w:p>
        </w:tc>
        <w:tc>
          <w:tcPr>
            <w:tcW w:w="1023" w:type="dxa"/>
            <w:tcBorders>
              <w:top w:val="single" w:color="auto" w:sz="4" w:space="0"/>
              <w:left w:val="single" w:color="auto" w:sz="4" w:space="0"/>
              <w:bottom w:val="single" w:color="auto" w:sz="4" w:space="0"/>
              <w:right w:val="single" w:color="auto" w:sz="4" w:space="0"/>
            </w:tcBorders>
            <w:noWrap w:val="0"/>
            <w:vAlign w:val="center"/>
          </w:tcPr>
          <w:p w14:paraId="2F1F94E6">
            <w:pPr>
              <w:pStyle w:val="20"/>
              <w:jc w:val="center"/>
              <w:rPr>
                <w:color w:val="auto"/>
                <w:kern w:val="0"/>
                <w:szCs w:val="21"/>
              </w:rPr>
            </w:pPr>
            <w:r>
              <w:rPr>
                <w:rFonts w:hint="eastAsia" w:hAnsi="宋体"/>
                <w:color w:val="auto"/>
                <w:kern w:val="0"/>
                <w:szCs w:val="21"/>
              </w:rPr>
              <w:t>水田</w:t>
            </w:r>
          </w:p>
        </w:tc>
        <w:tc>
          <w:tcPr>
            <w:tcW w:w="1227" w:type="dxa"/>
            <w:tcBorders>
              <w:top w:val="single" w:color="auto" w:sz="4" w:space="0"/>
              <w:left w:val="single" w:color="auto" w:sz="4" w:space="0"/>
              <w:bottom w:val="single" w:color="auto" w:sz="4" w:space="0"/>
              <w:right w:val="single" w:color="auto" w:sz="4" w:space="0"/>
            </w:tcBorders>
            <w:noWrap w:val="0"/>
            <w:vAlign w:val="center"/>
          </w:tcPr>
          <w:p w14:paraId="68D9CC13">
            <w:pPr>
              <w:pStyle w:val="20"/>
              <w:jc w:val="center"/>
              <w:rPr>
                <w:color w:val="auto"/>
                <w:kern w:val="0"/>
                <w:szCs w:val="21"/>
              </w:rPr>
            </w:pPr>
            <w:r>
              <w:rPr>
                <w:color w:val="auto"/>
                <w:kern w:val="0"/>
                <w:szCs w:val="21"/>
              </w:rPr>
              <w:t>30</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6F402D11">
            <w:pPr>
              <w:pStyle w:val="20"/>
              <w:jc w:val="center"/>
              <w:rPr>
                <w:color w:val="auto"/>
                <w:kern w:val="0"/>
                <w:szCs w:val="21"/>
              </w:rPr>
            </w:pPr>
            <w:r>
              <w:rPr>
                <w:color w:val="auto"/>
                <w:kern w:val="0"/>
                <w:szCs w:val="21"/>
              </w:rPr>
              <w:t>30</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3CEF28B2">
            <w:pPr>
              <w:pStyle w:val="20"/>
              <w:jc w:val="center"/>
              <w:rPr>
                <w:color w:val="auto"/>
                <w:kern w:val="0"/>
                <w:szCs w:val="21"/>
              </w:rPr>
            </w:pPr>
            <w:r>
              <w:rPr>
                <w:color w:val="auto"/>
                <w:kern w:val="0"/>
                <w:szCs w:val="21"/>
              </w:rPr>
              <w:t>25</w:t>
            </w:r>
          </w:p>
        </w:tc>
        <w:tc>
          <w:tcPr>
            <w:tcW w:w="1107" w:type="dxa"/>
            <w:tcBorders>
              <w:top w:val="single" w:color="auto" w:sz="4" w:space="0"/>
              <w:left w:val="single" w:color="auto" w:sz="4" w:space="0"/>
              <w:bottom w:val="single" w:color="auto" w:sz="4" w:space="0"/>
              <w:right w:val="nil"/>
            </w:tcBorders>
            <w:noWrap w:val="0"/>
            <w:vAlign w:val="center"/>
          </w:tcPr>
          <w:p w14:paraId="674DC291">
            <w:pPr>
              <w:pStyle w:val="20"/>
              <w:jc w:val="center"/>
              <w:rPr>
                <w:color w:val="auto"/>
                <w:kern w:val="0"/>
                <w:szCs w:val="21"/>
              </w:rPr>
            </w:pPr>
            <w:r>
              <w:rPr>
                <w:color w:val="auto"/>
                <w:kern w:val="0"/>
                <w:szCs w:val="21"/>
              </w:rPr>
              <w:t>20</w:t>
            </w:r>
          </w:p>
        </w:tc>
      </w:tr>
      <w:tr w14:paraId="15BF94E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0" w:type="auto"/>
            <w:vMerge w:val="continue"/>
            <w:tcBorders>
              <w:top w:val="single" w:color="auto" w:sz="4" w:space="0"/>
              <w:left w:val="nil"/>
              <w:bottom w:val="single" w:color="auto" w:sz="4" w:space="0"/>
              <w:right w:val="single" w:color="auto" w:sz="4" w:space="0"/>
            </w:tcBorders>
            <w:noWrap w:val="0"/>
            <w:vAlign w:val="center"/>
          </w:tcPr>
          <w:p w14:paraId="308238EB">
            <w:pPr>
              <w:widowControl/>
              <w:jc w:val="left"/>
              <w:rPr>
                <w:color w:val="auto"/>
                <w:kern w:val="0"/>
                <w:szCs w:val="21"/>
              </w:rPr>
            </w:pPr>
          </w:p>
        </w:tc>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14:paraId="458A3A6F">
            <w:pPr>
              <w:widowControl/>
              <w:jc w:val="left"/>
              <w:rPr>
                <w:color w:val="auto"/>
                <w:kern w:val="0"/>
                <w:szCs w:val="21"/>
              </w:rPr>
            </w:pPr>
          </w:p>
        </w:tc>
        <w:tc>
          <w:tcPr>
            <w:tcW w:w="1023" w:type="dxa"/>
            <w:tcBorders>
              <w:top w:val="single" w:color="auto" w:sz="4" w:space="0"/>
              <w:left w:val="single" w:color="auto" w:sz="4" w:space="0"/>
              <w:bottom w:val="single" w:color="auto" w:sz="4" w:space="0"/>
              <w:right w:val="single" w:color="auto" w:sz="4" w:space="0"/>
            </w:tcBorders>
            <w:noWrap w:val="0"/>
            <w:vAlign w:val="center"/>
          </w:tcPr>
          <w:p w14:paraId="3F6452B9">
            <w:pPr>
              <w:pStyle w:val="20"/>
              <w:jc w:val="center"/>
              <w:rPr>
                <w:color w:val="auto"/>
                <w:kern w:val="0"/>
                <w:szCs w:val="21"/>
              </w:rPr>
            </w:pPr>
            <w:r>
              <w:rPr>
                <w:rFonts w:hint="eastAsia" w:hAnsi="宋体"/>
                <w:color w:val="auto"/>
                <w:kern w:val="0"/>
                <w:szCs w:val="21"/>
              </w:rPr>
              <w:t>其他</w:t>
            </w:r>
          </w:p>
        </w:tc>
        <w:tc>
          <w:tcPr>
            <w:tcW w:w="1227" w:type="dxa"/>
            <w:tcBorders>
              <w:top w:val="single" w:color="auto" w:sz="4" w:space="0"/>
              <w:left w:val="single" w:color="auto" w:sz="4" w:space="0"/>
              <w:bottom w:val="single" w:color="auto" w:sz="4" w:space="0"/>
              <w:right w:val="single" w:color="auto" w:sz="4" w:space="0"/>
            </w:tcBorders>
            <w:noWrap w:val="0"/>
            <w:vAlign w:val="center"/>
          </w:tcPr>
          <w:p w14:paraId="41886B7C">
            <w:pPr>
              <w:pStyle w:val="20"/>
              <w:jc w:val="center"/>
              <w:rPr>
                <w:color w:val="auto"/>
                <w:kern w:val="0"/>
                <w:szCs w:val="21"/>
              </w:rPr>
            </w:pPr>
            <w:r>
              <w:rPr>
                <w:color w:val="auto"/>
                <w:kern w:val="0"/>
                <w:szCs w:val="21"/>
              </w:rPr>
              <w:t>40</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2297DD7B">
            <w:pPr>
              <w:pStyle w:val="20"/>
              <w:jc w:val="center"/>
              <w:rPr>
                <w:color w:val="auto"/>
                <w:kern w:val="0"/>
                <w:szCs w:val="21"/>
              </w:rPr>
            </w:pPr>
            <w:r>
              <w:rPr>
                <w:color w:val="auto"/>
                <w:kern w:val="0"/>
                <w:szCs w:val="21"/>
              </w:rPr>
              <w:t>40</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1C221FA5">
            <w:pPr>
              <w:pStyle w:val="20"/>
              <w:jc w:val="center"/>
              <w:rPr>
                <w:color w:val="auto"/>
                <w:kern w:val="0"/>
                <w:szCs w:val="21"/>
              </w:rPr>
            </w:pPr>
            <w:r>
              <w:rPr>
                <w:color w:val="auto"/>
                <w:kern w:val="0"/>
                <w:szCs w:val="21"/>
              </w:rPr>
              <w:t>30</w:t>
            </w:r>
          </w:p>
        </w:tc>
        <w:tc>
          <w:tcPr>
            <w:tcW w:w="1107" w:type="dxa"/>
            <w:tcBorders>
              <w:top w:val="single" w:color="auto" w:sz="4" w:space="0"/>
              <w:left w:val="single" w:color="auto" w:sz="4" w:space="0"/>
              <w:bottom w:val="single" w:color="auto" w:sz="4" w:space="0"/>
              <w:right w:val="nil"/>
            </w:tcBorders>
            <w:noWrap w:val="0"/>
            <w:vAlign w:val="center"/>
          </w:tcPr>
          <w:p w14:paraId="221D4174">
            <w:pPr>
              <w:pStyle w:val="20"/>
              <w:jc w:val="center"/>
              <w:rPr>
                <w:color w:val="auto"/>
                <w:kern w:val="0"/>
                <w:szCs w:val="21"/>
              </w:rPr>
            </w:pPr>
            <w:r>
              <w:rPr>
                <w:color w:val="auto"/>
                <w:kern w:val="0"/>
                <w:szCs w:val="21"/>
              </w:rPr>
              <w:t>25</w:t>
            </w:r>
          </w:p>
        </w:tc>
      </w:tr>
      <w:tr w14:paraId="3B0E4EB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729" w:type="dxa"/>
            <w:vMerge w:val="restart"/>
            <w:tcBorders>
              <w:top w:val="single" w:color="auto" w:sz="4" w:space="0"/>
              <w:left w:val="nil"/>
              <w:bottom w:val="single" w:color="auto" w:sz="4" w:space="0"/>
              <w:right w:val="single" w:color="auto" w:sz="4" w:space="0"/>
            </w:tcBorders>
            <w:noWrap w:val="0"/>
            <w:vAlign w:val="center"/>
          </w:tcPr>
          <w:p w14:paraId="13BC065F">
            <w:pPr>
              <w:pStyle w:val="20"/>
              <w:jc w:val="center"/>
              <w:rPr>
                <w:color w:val="auto"/>
                <w:kern w:val="0"/>
                <w:szCs w:val="21"/>
              </w:rPr>
            </w:pPr>
            <w:r>
              <w:rPr>
                <w:color w:val="auto"/>
                <w:kern w:val="0"/>
                <w:szCs w:val="21"/>
              </w:rPr>
              <w:t>4</w:t>
            </w:r>
          </w:p>
        </w:tc>
        <w:tc>
          <w:tcPr>
            <w:tcW w:w="1341" w:type="dxa"/>
            <w:vMerge w:val="restart"/>
            <w:tcBorders>
              <w:top w:val="single" w:color="auto" w:sz="4" w:space="0"/>
              <w:left w:val="single" w:color="auto" w:sz="4" w:space="0"/>
              <w:bottom w:val="single" w:color="auto" w:sz="4" w:space="0"/>
              <w:right w:val="single" w:color="auto" w:sz="4" w:space="0"/>
            </w:tcBorders>
            <w:noWrap w:val="0"/>
            <w:vAlign w:val="center"/>
          </w:tcPr>
          <w:p w14:paraId="0B520E1E">
            <w:pPr>
              <w:pStyle w:val="20"/>
              <w:jc w:val="center"/>
              <w:rPr>
                <w:color w:val="auto"/>
                <w:kern w:val="0"/>
                <w:szCs w:val="21"/>
              </w:rPr>
            </w:pPr>
            <w:r>
              <w:rPr>
                <w:rFonts w:hint="eastAsia" w:hAnsi="宋体"/>
                <w:color w:val="auto"/>
                <w:kern w:val="0"/>
                <w:szCs w:val="21"/>
              </w:rPr>
              <w:t>铅</w:t>
            </w:r>
          </w:p>
        </w:tc>
        <w:tc>
          <w:tcPr>
            <w:tcW w:w="1023" w:type="dxa"/>
            <w:tcBorders>
              <w:top w:val="single" w:color="auto" w:sz="4" w:space="0"/>
              <w:left w:val="single" w:color="auto" w:sz="4" w:space="0"/>
              <w:bottom w:val="single" w:color="auto" w:sz="4" w:space="0"/>
              <w:right w:val="single" w:color="auto" w:sz="4" w:space="0"/>
            </w:tcBorders>
            <w:noWrap w:val="0"/>
            <w:vAlign w:val="center"/>
          </w:tcPr>
          <w:p w14:paraId="276052F1">
            <w:pPr>
              <w:pStyle w:val="20"/>
              <w:jc w:val="center"/>
              <w:rPr>
                <w:color w:val="auto"/>
                <w:kern w:val="0"/>
                <w:szCs w:val="21"/>
              </w:rPr>
            </w:pPr>
            <w:r>
              <w:rPr>
                <w:rFonts w:hint="eastAsia" w:hAnsi="宋体"/>
                <w:color w:val="auto"/>
                <w:kern w:val="0"/>
                <w:szCs w:val="21"/>
              </w:rPr>
              <w:t>水田</w:t>
            </w:r>
          </w:p>
        </w:tc>
        <w:tc>
          <w:tcPr>
            <w:tcW w:w="1227" w:type="dxa"/>
            <w:tcBorders>
              <w:top w:val="single" w:color="auto" w:sz="4" w:space="0"/>
              <w:left w:val="single" w:color="auto" w:sz="4" w:space="0"/>
              <w:bottom w:val="single" w:color="auto" w:sz="4" w:space="0"/>
              <w:right w:val="single" w:color="auto" w:sz="4" w:space="0"/>
            </w:tcBorders>
            <w:noWrap w:val="0"/>
            <w:vAlign w:val="center"/>
          </w:tcPr>
          <w:p w14:paraId="07827BB2">
            <w:pPr>
              <w:pStyle w:val="20"/>
              <w:jc w:val="center"/>
              <w:rPr>
                <w:color w:val="auto"/>
                <w:kern w:val="0"/>
                <w:szCs w:val="21"/>
              </w:rPr>
            </w:pPr>
            <w:r>
              <w:rPr>
                <w:color w:val="auto"/>
                <w:kern w:val="0"/>
                <w:szCs w:val="21"/>
              </w:rPr>
              <w:t>80</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74CBD37C">
            <w:pPr>
              <w:pStyle w:val="20"/>
              <w:jc w:val="center"/>
              <w:rPr>
                <w:color w:val="auto"/>
                <w:kern w:val="0"/>
                <w:szCs w:val="21"/>
              </w:rPr>
            </w:pPr>
            <w:r>
              <w:rPr>
                <w:color w:val="auto"/>
                <w:kern w:val="0"/>
                <w:szCs w:val="21"/>
              </w:rPr>
              <w:t>100</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5B6E7531">
            <w:pPr>
              <w:pStyle w:val="20"/>
              <w:jc w:val="center"/>
              <w:rPr>
                <w:color w:val="auto"/>
                <w:kern w:val="0"/>
                <w:szCs w:val="21"/>
              </w:rPr>
            </w:pPr>
            <w:r>
              <w:rPr>
                <w:color w:val="auto"/>
                <w:kern w:val="0"/>
                <w:szCs w:val="21"/>
              </w:rPr>
              <w:t>140</w:t>
            </w:r>
          </w:p>
        </w:tc>
        <w:tc>
          <w:tcPr>
            <w:tcW w:w="1107" w:type="dxa"/>
            <w:tcBorders>
              <w:top w:val="single" w:color="auto" w:sz="4" w:space="0"/>
              <w:left w:val="single" w:color="auto" w:sz="4" w:space="0"/>
              <w:bottom w:val="single" w:color="auto" w:sz="4" w:space="0"/>
              <w:right w:val="nil"/>
            </w:tcBorders>
            <w:noWrap w:val="0"/>
            <w:vAlign w:val="center"/>
          </w:tcPr>
          <w:p w14:paraId="4750AD4C">
            <w:pPr>
              <w:pStyle w:val="20"/>
              <w:jc w:val="center"/>
              <w:rPr>
                <w:color w:val="auto"/>
                <w:kern w:val="0"/>
                <w:szCs w:val="21"/>
              </w:rPr>
            </w:pPr>
            <w:r>
              <w:rPr>
                <w:color w:val="auto"/>
                <w:kern w:val="0"/>
                <w:szCs w:val="21"/>
              </w:rPr>
              <w:t>240</w:t>
            </w:r>
          </w:p>
        </w:tc>
      </w:tr>
      <w:tr w14:paraId="58B5F5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0" w:type="auto"/>
            <w:vMerge w:val="continue"/>
            <w:tcBorders>
              <w:top w:val="single" w:color="auto" w:sz="4" w:space="0"/>
              <w:left w:val="nil"/>
              <w:bottom w:val="single" w:color="auto" w:sz="4" w:space="0"/>
              <w:right w:val="single" w:color="auto" w:sz="4" w:space="0"/>
            </w:tcBorders>
            <w:noWrap w:val="0"/>
            <w:vAlign w:val="center"/>
          </w:tcPr>
          <w:p w14:paraId="7DCA273E">
            <w:pPr>
              <w:widowControl/>
              <w:jc w:val="left"/>
              <w:rPr>
                <w:color w:val="auto"/>
                <w:kern w:val="0"/>
                <w:szCs w:val="21"/>
              </w:rPr>
            </w:pPr>
          </w:p>
        </w:tc>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14:paraId="29F76E0D">
            <w:pPr>
              <w:widowControl/>
              <w:jc w:val="left"/>
              <w:rPr>
                <w:color w:val="auto"/>
                <w:kern w:val="0"/>
                <w:szCs w:val="21"/>
              </w:rPr>
            </w:pPr>
          </w:p>
        </w:tc>
        <w:tc>
          <w:tcPr>
            <w:tcW w:w="1023" w:type="dxa"/>
            <w:tcBorders>
              <w:top w:val="single" w:color="auto" w:sz="4" w:space="0"/>
              <w:left w:val="single" w:color="auto" w:sz="4" w:space="0"/>
              <w:bottom w:val="single" w:color="auto" w:sz="4" w:space="0"/>
              <w:right w:val="single" w:color="auto" w:sz="4" w:space="0"/>
            </w:tcBorders>
            <w:noWrap w:val="0"/>
            <w:vAlign w:val="center"/>
          </w:tcPr>
          <w:p w14:paraId="51E56355">
            <w:pPr>
              <w:pStyle w:val="20"/>
              <w:jc w:val="center"/>
              <w:rPr>
                <w:color w:val="auto"/>
                <w:kern w:val="0"/>
                <w:szCs w:val="21"/>
              </w:rPr>
            </w:pPr>
            <w:r>
              <w:rPr>
                <w:rFonts w:hint="eastAsia" w:hAnsi="宋体"/>
                <w:color w:val="auto"/>
                <w:kern w:val="0"/>
                <w:szCs w:val="21"/>
              </w:rPr>
              <w:t>其他</w:t>
            </w:r>
          </w:p>
        </w:tc>
        <w:tc>
          <w:tcPr>
            <w:tcW w:w="1227" w:type="dxa"/>
            <w:tcBorders>
              <w:top w:val="single" w:color="auto" w:sz="4" w:space="0"/>
              <w:left w:val="single" w:color="auto" w:sz="4" w:space="0"/>
              <w:bottom w:val="single" w:color="auto" w:sz="4" w:space="0"/>
              <w:right w:val="single" w:color="auto" w:sz="4" w:space="0"/>
            </w:tcBorders>
            <w:noWrap w:val="0"/>
            <w:vAlign w:val="center"/>
          </w:tcPr>
          <w:p w14:paraId="6382CAD8">
            <w:pPr>
              <w:pStyle w:val="20"/>
              <w:jc w:val="center"/>
              <w:rPr>
                <w:color w:val="auto"/>
                <w:kern w:val="0"/>
                <w:szCs w:val="21"/>
              </w:rPr>
            </w:pPr>
            <w:r>
              <w:rPr>
                <w:color w:val="auto"/>
                <w:kern w:val="0"/>
                <w:szCs w:val="21"/>
              </w:rPr>
              <w:t>70</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7BE693DE">
            <w:pPr>
              <w:pStyle w:val="20"/>
              <w:jc w:val="center"/>
              <w:rPr>
                <w:color w:val="auto"/>
                <w:kern w:val="0"/>
                <w:szCs w:val="21"/>
              </w:rPr>
            </w:pPr>
            <w:r>
              <w:rPr>
                <w:color w:val="auto"/>
                <w:kern w:val="0"/>
                <w:szCs w:val="21"/>
              </w:rPr>
              <w:t>90</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149B8397">
            <w:pPr>
              <w:pStyle w:val="20"/>
              <w:jc w:val="center"/>
              <w:rPr>
                <w:color w:val="auto"/>
                <w:kern w:val="0"/>
                <w:szCs w:val="21"/>
              </w:rPr>
            </w:pPr>
            <w:r>
              <w:rPr>
                <w:color w:val="auto"/>
                <w:kern w:val="0"/>
                <w:szCs w:val="21"/>
              </w:rPr>
              <w:t>120</w:t>
            </w:r>
          </w:p>
        </w:tc>
        <w:tc>
          <w:tcPr>
            <w:tcW w:w="1107" w:type="dxa"/>
            <w:tcBorders>
              <w:top w:val="single" w:color="auto" w:sz="4" w:space="0"/>
              <w:left w:val="single" w:color="auto" w:sz="4" w:space="0"/>
              <w:bottom w:val="single" w:color="auto" w:sz="4" w:space="0"/>
              <w:right w:val="nil"/>
            </w:tcBorders>
            <w:noWrap w:val="0"/>
            <w:vAlign w:val="center"/>
          </w:tcPr>
          <w:p w14:paraId="3A418AAC">
            <w:pPr>
              <w:pStyle w:val="20"/>
              <w:jc w:val="center"/>
              <w:rPr>
                <w:color w:val="auto"/>
                <w:kern w:val="0"/>
                <w:szCs w:val="21"/>
              </w:rPr>
            </w:pPr>
            <w:r>
              <w:rPr>
                <w:color w:val="auto"/>
                <w:kern w:val="0"/>
                <w:szCs w:val="21"/>
              </w:rPr>
              <w:t>170</w:t>
            </w:r>
          </w:p>
        </w:tc>
      </w:tr>
      <w:tr w14:paraId="3F2AD0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729" w:type="dxa"/>
            <w:vMerge w:val="restart"/>
            <w:tcBorders>
              <w:top w:val="single" w:color="auto" w:sz="4" w:space="0"/>
              <w:left w:val="nil"/>
              <w:bottom w:val="single" w:color="auto" w:sz="4" w:space="0"/>
              <w:right w:val="single" w:color="auto" w:sz="4" w:space="0"/>
            </w:tcBorders>
            <w:noWrap w:val="0"/>
            <w:vAlign w:val="center"/>
          </w:tcPr>
          <w:p w14:paraId="245ACE8E">
            <w:pPr>
              <w:pStyle w:val="20"/>
              <w:jc w:val="center"/>
              <w:rPr>
                <w:color w:val="auto"/>
                <w:kern w:val="0"/>
                <w:szCs w:val="21"/>
              </w:rPr>
            </w:pPr>
            <w:r>
              <w:rPr>
                <w:color w:val="auto"/>
                <w:kern w:val="0"/>
                <w:szCs w:val="21"/>
              </w:rPr>
              <w:t>5</w:t>
            </w:r>
          </w:p>
        </w:tc>
        <w:tc>
          <w:tcPr>
            <w:tcW w:w="1341" w:type="dxa"/>
            <w:vMerge w:val="restart"/>
            <w:tcBorders>
              <w:top w:val="single" w:color="auto" w:sz="4" w:space="0"/>
              <w:left w:val="single" w:color="auto" w:sz="4" w:space="0"/>
              <w:bottom w:val="single" w:color="auto" w:sz="4" w:space="0"/>
              <w:right w:val="single" w:color="auto" w:sz="4" w:space="0"/>
            </w:tcBorders>
            <w:noWrap w:val="0"/>
            <w:vAlign w:val="center"/>
          </w:tcPr>
          <w:p w14:paraId="0FCA0DA7">
            <w:pPr>
              <w:pStyle w:val="20"/>
              <w:jc w:val="center"/>
              <w:rPr>
                <w:color w:val="auto"/>
                <w:kern w:val="0"/>
                <w:szCs w:val="21"/>
              </w:rPr>
            </w:pPr>
            <w:r>
              <w:rPr>
                <w:rFonts w:hint="eastAsia" w:hAnsi="宋体"/>
                <w:color w:val="auto"/>
                <w:kern w:val="0"/>
                <w:szCs w:val="21"/>
              </w:rPr>
              <w:t>铬（六价）</w:t>
            </w:r>
          </w:p>
        </w:tc>
        <w:tc>
          <w:tcPr>
            <w:tcW w:w="1023" w:type="dxa"/>
            <w:tcBorders>
              <w:top w:val="single" w:color="auto" w:sz="4" w:space="0"/>
              <w:left w:val="single" w:color="auto" w:sz="4" w:space="0"/>
              <w:bottom w:val="single" w:color="auto" w:sz="4" w:space="0"/>
              <w:right w:val="single" w:color="auto" w:sz="4" w:space="0"/>
            </w:tcBorders>
            <w:noWrap w:val="0"/>
            <w:vAlign w:val="center"/>
          </w:tcPr>
          <w:p w14:paraId="3599241E">
            <w:pPr>
              <w:pStyle w:val="20"/>
              <w:jc w:val="center"/>
              <w:rPr>
                <w:color w:val="auto"/>
                <w:kern w:val="0"/>
                <w:szCs w:val="21"/>
              </w:rPr>
            </w:pPr>
            <w:r>
              <w:rPr>
                <w:rFonts w:hint="eastAsia" w:hAnsi="宋体"/>
                <w:color w:val="auto"/>
                <w:kern w:val="0"/>
                <w:szCs w:val="21"/>
              </w:rPr>
              <w:t>水田</w:t>
            </w:r>
          </w:p>
        </w:tc>
        <w:tc>
          <w:tcPr>
            <w:tcW w:w="1227" w:type="dxa"/>
            <w:tcBorders>
              <w:top w:val="single" w:color="auto" w:sz="4" w:space="0"/>
              <w:left w:val="single" w:color="auto" w:sz="4" w:space="0"/>
              <w:bottom w:val="single" w:color="auto" w:sz="4" w:space="0"/>
              <w:right w:val="single" w:color="auto" w:sz="4" w:space="0"/>
            </w:tcBorders>
            <w:noWrap w:val="0"/>
            <w:vAlign w:val="center"/>
          </w:tcPr>
          <w:p w14:paraId="25ACCF84">
            <w:pPr>
              <w:pStyle w:val="20"/>
              <w:jc w:val="center"/>
              <w:rPr>
                <w:color w:val="auto"/>
                <w:kern w:val="0"/>
                <w:szCs w:val="21"/>
              </w:rPr>
            </w:pPr>
            <w:r>
              <w:rPr>
                <w:color w:val="auto"/>
                <w:kern w:val="0"/>
                <w:szCs w:val="21"/>
              </w:rPr>
              <w:t>250</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28D2E7F5">
            <w:pPr>
              <w:pStyle w:val="20"/>
              <w:jc w:val="center"/>
              <w:rPr>
                <w:color w:val="auto"/>
                <w:kern w:val="0"/>
                <w:szCs w:val="21"/>
              </w:rPr>
            </w:pPr>
            <w:r>
              <w:rPr>
                <w:color w:val="auto"/>
                <w:kern w:val="0"/>
                <w:szCs w:val="21"/>
              </w:rPr>
              <w:t>250</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3550A2FA">
            <w:pPr>
              <w:pStyle w:val="20"/>
              <w:jc w:val="center"/>
              <w:rPr>
                <w:color w:val="auto"/>
                <w:kern w:val="0"/>
                <w:szCs w:val="21"/>
              </w:rPr>
            </w:pPr>
            <w:r>
              <w:rPr>
                <w:color w:val="auto"/>
                <w:kern w:val="0"/>
                <w:szCs w:val="21"/>
              </w:rPr>
              <w:t>300</w:t>
            </w:r>
          </w:p>
        </w:tc>
        <w:tc>
          <w:tcPr>
            <w:tcW w:w="1107" w:type="dxa"/>
            <w:tcBorders>
              <w:top w:val="single" w:color="auto" w:sz="4" w:space="0"/>
              <w:left w:val="single" w:color="auto" w:sz="4" w:space="0"/>
              <w:bottom w:val="single" w:color="auto" w:sz="4" w:space="0"/>
              <w:right w:val="nil"/>
            </w:tcBorders>
            <w:noWrap w:val="0"/>
            <w:vAlign w:val="center"/>
          </w:tcPr>
          <w:p w14:paraId="663F03F9">
            <w:pPr>
              <w:pStyle w:val="20"/>
              <w:jc w:val="center"/>
              <w:rPr>
                <w:color w:val="auto"/>
                <w:kern w:val="0"/>
                <w:szCs w:val="21"/>
              </w:rPr>
            </w:pPr>
            <w:r>
              <w:rPr>
                <w:color w:val="auto"/>
                <w:kern w:val="0"/>
                <w:szCs w:val="21"/>
              </w:rPr>
              <w:t>350</w:t>
            </w:r>
          </w:p>
        </w:tc>
      </w:tr>
      <w:tr w14:paraId="27D2FE6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0" w:type="auto"/>
            <w:vMerge w:val="continue"/>
            <w:tcBorders>
              <w:top w:val="single" w:color="auto" w:sz="4" w:space="0"/>
              <w:left w:val="nil"/>
              <w:bottom w:val="single" w:color="auto" w:sz="4" w:space="0"/>
              <w:right w:val="single" w:color="auto" w:sz="4" w:space="0"/>
            </w:tcBorders>
            <w:noWrap w:val="0"/>
            <w:vAlign w:val="center"/>
          </w:tcPr>
          <w:p w14:paraId="290F85B0">
            <w:pPr>
              <w:widowControl/>
              <w:jc w:val="left"/>
              <w:rPr>
                <w:color w:val="auto"/>
                <w:kern w:val="0"/>
                <w:szCs w:val="21"/>
              </w:rPr>
            </w:pPr>
          </w:p>
        </w:tc>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14:paraId="6F25A4EA">
            <w:pPr>
              <w:widowControl/>
              <w:jc w:val="left"/>
              <w:rPr>
                <w:color w:val="auto"/>
                <w:kern w:val="0"/>
                <w:szCs w:val="21"/>
              </w:rPr>
            </w:pPr>
          </w:p>
        </w:tc>
        <w:tc>
          <w:tcPr>
            <w:tcW w:w="1023" w:type="dxa"/>
            <w:tcBorders>
              <w:top w:val="single" w:color="auto" w:sz="4" w:space="0"/>
              <w:left w:val="single" w:color="auto" w:sz="4" w:space="0"/>
              <w:bottom w:val="single" w:color="auto" w:sz="4" w:space="0"/>
              <w:right w:val="single" w:color="auto" w:sz="4" w:space="0"/>
            </w:tcBorders>
            <w:noWrap w:val="0"/>
            <w:vAlign w:val="center"/>
          </w:tcPr>
          <w:p w14:paraId="4B9AF48E">
            <w:pPr>
              <w:pStyle w:val="20"/>
              <w:jc w:val="center"/>
              <w:rPr>
                <w:color w:val="auto"/>
                <w:kern w:val="0"/>
                <w:szCs w:val="21"/>
              </w:rPr>
            </w:pPr>
            <w:r>
              <w:rPr>
                <w:rFonts w:hint="eastAsia" w:hAnsi="宋体"/>
                <w:color w:val="auto"/>
                <w:kern w:val="0"/>
                <w:szCs w:val="21"/>
              </w:rPr>
              <w:t>其他</w:t>
            </w:r>
          </w:p>
        </w:tc>
        <w:tc>
          <w:tcPr>
            <w:tcW w:w="1227" w:type="dxa"/>
            <w:tcBorders>
              <w:top w:val="single" w:color="auto" w:sz="4" w:space="0"/>
              <w:left w:val="single" w:color="auto" w:sz="4" w:space="0"/>
              <w:bottom w:val="single" w:color="auto" w:sz="4" w:space="0"/>
              <w:right w:val="single" w:color="auto" w:sz="4" w:space="0"/>
            </w:tcBorders>
            <w:noWrap w:val="0"/>
            <w:vAlign w:val="center"/>
          </w:tcPr>
          <w:p w14:paraId="5D91CAF9">
            <w:pPr>
              <w:pStyle w:val="20"/>
              <w:jc w:val="center"/>
              <w:rPr>
                <w:color w:val="auto"/>
                <w:kern w:val="0"/>
                <w:szCs w:val="21"/>
              </w:rPr>
            </w:pPr>
            <w:r>
              <w:rPr>
                <w:color w:val="auto"/>
                <w:kern w:val="0"/>
                <w:szCs w:val="21"/>
              </w:rPr>
              <w:t>150</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0534E788">
            <w:pPr>
              <w:pStyle w:val="20"/>
              <w:jc w:val="center"/>
              <w:rPr>
                <w:color w:val="auto"/>
                <w:kern w:val="0"/>
                <w:szCs w:val="21"/>
              </w:rPr>
            </w:pPr>
            <w:r>
              <w:rPr>
                <w:color w:val="auto"/>
                <w:kern w:val="0"/>
                <w:szCs w:val="21"/>
              </w:rPr>
              <w:t>150</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0109C195">
            <w:pPr>
              <w:pStyle w:val="20"/>
              <w:jc w:val="center"/>
              <w:rPr>
                <w:color w:val="auto"/>
                <w:kern w:val="0"/>
                <w:szCs w:val="21"/>
              </w:rPr>
            </w:pPr>
            <w:r>
              <w:rPr>
                <w:color w:val="auto"/>
                <w:kern w:val="0"/>
                <w:szCs w:val="21"/>
              </w:rPr>
              <w:t>200</w:t>
            </w:r>
          </w:p>
        </w:tc>
        <w:tc>
          <w:tcPr>
            <w:tcW w:w="1107" w:type="dxa"/>
            <w:tcBorders>
              <w:top w:val="single" w:color="auto" w:sz="4" w:space="0"/>
              <w:left w:val="single" w:color="auto" w:sz="4" w:space="0"/>
              <w:bottom w:val="single" w:color="auto" w:sz="4" w:space="0"/>
              <w:right w:val="nil"/>
            </w:tcBorders>
            <w:noWrap w:val="0"/>
            <w:vAlign w:val="center"/>
          </w:tcPr>
          <w:p w14:paraId="27CC35A6">
            <w:pPr>
              <w:pStyle w:val="20"/>
              <w:jc w:val="center"/>
              <w:rPr>
                <w:color w:val="auto"/>
                <w:kern w:val="0"/>
                <w:szCs w:val="21"/>
              </w:rPr>
            </w:pPr>
            <w:r>
              <w:rPr>
                <w:color w:val="auto"/>
                <w:kern w:val="0"/>
                <w:szCs w:val="21"/>
              </w:rPr>
              <w:t>250</w:t>
            </w:r>
          </w:p>
        </w:tc>
      </w:tr>
      <w:tr w14:paraId="50E94AE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729" w:type="dxa"/>
            <w:vMerge w:val="restart"/>
            <w:tcBorders>
              <w:top w:val="single" w:color="auto" w:sz="4" w:space="0"/>
              <w:left w:val="nil"/>
              <w:bottom w:val="single" w:color="auto" w:sz="4" w:space="0"/>
              <w:right w:val="single" w:color="auto" w:sz="4" w:space="0"/>
            </w:tcBorders>
            <w:noWrap w:val="0"/>
            <w:vAlign w:val="center"/>
          </w:tcPr>
          <w:p w14:paraId="2C44E849">
            <w:pPr>
              <w:pStyle w:val="20"/>
              <w:jc w:val="center"/>
              <w:rPr>
                <w:color w:val="auto"/>
                <w:kern w:val="0"/>
                <w:szCs w:val="21"/>
              </w:rPr>
            </w:pPr>
            <w:r>
              <w:rPr>
                <w:color w:val="auto"/>
                <w:kern w:val="0"/>
                <w:szCs w:val="21"/>
              </w:rPr>
              <w:t>6</w:t>
            </w:r>
          </w:p>
        </w:tc>
        <w:tc>
          <w:tcPr>
            <w:tcW w:w="1341" w:type="dxa"/>
            <w:vMerge w:val="restart"/>
            <w:tcBorders>
              <w:top w:val="single" w:color="auto" w:sz="4" w:space="0"/>
              <w:left w:val="single" w:color="auto" w:sz="4" w:space="0"/>
              <w:bottom w:val="single" w:color="auto" w:sz="4" w:space="0"/>
              <w:right w:val="single" w:color="auto" w:sz="4" w:space="0"/>
            </w:tcBorders>
            <w:noWrap w:val="0"/>
            <w:vAlign w:val="center"/>
          </w:tcPr>
          <w:p w14:paraId="45A18306">
            <w:pPr>
              <w:pStyle w:val="20"/>
              <w:jc w:val="center"/>
              <w:rPr>
                <w:color w:val="auto"/>
                <w:kern w:val="0"/>
                <w:szCs w:val="21"/>
              </w:rPr>
            </w:pPr>
            <w:r>
              <w:rPr>
                <w:rFonts w:hint="eastAsia" w:hAnsi="宋体"/>
                <w:color w:val="auto"/>
                <w:kern w:val="0"/>
                <w:szCs w:val="21"/>
              </w:rPr>
              <w:t>铜</w:t>
            </w:r>
          </w:p>
        </w:tc>
        <w:tc>
          <w:tcPr>
            <w:tcW w:w="1023" w:type="dxa"/>
            <w:tcBorders>
              <w:top w:val="single" w:color="auto" w:sz="4" w:space="0"/>
              <w:left w:val="single" w:color="auto" w:sz="4" w:space="0"/>
              <w:bottom w:val="single" w:color="auto" w:sz="4" w:space="0"/>
              <w:right w:val="single" w:color="auto" w:sz="4" w:space="0"/>
            </w:tcBorders>
            <w:noWrap w:val="0"/>
            <w:vAlign w:val="center"/>
          </w:tcPr>
          <w:p w14:paraId="33EDF897">
            <w:pPr>
              <w:pStyle w:val="20"/>
              <w:jc w:val="center"/>
              <w:rPr>
                <w:color w:val="auto"/>
                <w:kern w:val="0"/>
                <w:szCs w:val="21"/>
              </w:rPr>
            </w:pPr>
            <w:r>
              <w:rPr>
                <w:rFonts w:hint="eastAsia" w:hAnsi="宋体"/>
                <w:color w:val="auto"/>
                <w:kern w:val="0"/>
                <w:szCs w:val="21"/>
              </w:rPr>
              <w:t>水田</w:t>
            </w:r>
          </w:p>
        </w:tc>
        <w:tc>
          <w:tcPr>
            <w:tcW w:w="1227" w:type="dxa"/>
            <w:tcBorders>
              <w:top w:val="single" w:color="auto" w:sz="4" w:space="0"/>
              <w:left w:val="single" w:color="auto" w:sz="4" w:space="0"/>
              <w:bottom w:val="single" w:color="auto" w:sz="4" w:space="0"/>
              <w:right w:val="single" w:color="auto" w:sz="4" w:space="0"/>
            </w:tcBorders>
            <w:noWrap w:val="0"/>
            <w:vAlign w:val="center"/>
          </w:tcPr>
          <w:p w14:paraId="4D65CD7A">
            <w:pPr>
              <w:pStyle w:val="20"/>
              <w:jc w:val="center"/>
              <w:rPr>
                <w:color w:val="auto"/>
                <w:kern w:val="0"/>
                <w:szCs w:val="21"/>
              </w:rPr>
            </w:pPr>
            <w:r>
              <w:rPr>
                <w:color w:val="auto"/>
                <w:kern w:val="0"/>
                <w:szCs w:val="21"/>
              </w:rPr>
              <w:t>150</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2F43F62A">
            <w:pPr>
              <w:pStyle w:val="20"/>
              <w:jc w:val="center"/>
              <w:rPr>
                <w:color w:val="auto"/>
                <w:kern w:val="0"/>
                <w:szCs w:val="21"/>
              </w:rPr>
            </w:pPr>
            <w:r>
              <w:rPr>
                <w:color w:val="auto"/>
                <w:kern w:val="0"/>
                <w:szCs w:val="21"/>
              </w:rPr>
              <w:t>150</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3B4F6BBC">
            <w:pPr>
              <w:pStyle w:val="20"/>
              <w:jc w:val="center"/>
              <w:rPr>
                <w:color w:val="auto"/>
                <w:kern w:val="0"/>
                <w:szCs w:val="21"/>
              </w:rPr>
            </w:pPr>
            <w:r>
              <w:rPr>
                <w:color w:val="auto"/>
                <w:kern w:val="0"/>
                <w:szCs w:val="21"/>
              </w:rPr>
              <w:t>200</w:t>
            </w:r>
          </w:p>
        </w:tc>
        <w:tc>
          <w:tcPr>
            <w:tcW w:w="1107" w:type="dxa"/>
            <w:tcBorders>
              <w:top w:val="single" w:color="auto" w:sz="4" w:space="0"/>
              <w:left w:val="single" w:color="auto" w:sz="4" w:space="0"/>
              <w:bottom w:val="single" w:color="auto" w:sz="4" w:space="0"/>
              <w:right w:val="nil"/>
            </w:tcBorders>
            <w:noWrap w:val="0"/>
            <w:vAlign w:val="center"/>
          </w:tcPr>
          <w:p w14:paraId="346E2D5D">
            <w:pPr>
              <w:pStyle w:val="20"/>
              <w:jc w:val="center"/>
              <w:rPr>
                <w:color w:val="auto"/>
                <w:kern w:val="0"/>
                <w:szCs w:val="21"/>
              </w:rPr>
            </w:pPr>
            <w:r>
              <w:rPr>
                <w:color w:val="auto"/>
                <w:kern w:val="0"/>
                <w:szCs w:val="21"/>
              </w:rPr>
              <w:t>200</w:t>
            </w:r>
          </w:p>
        </w:tc>
      </w:tr>
      <w:tr w14:paraId="14CA35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0" w:type="auto"/>
            <w:vMerge w:val="continue"/>
            <w:tcBorders>
              <w:top w:val="single" w:color="auto" w:sz="4" w:space="0"/>
              <w:left w:val="nil"/>
              <w:bottom w:val="single" w:color="auto" w:sz="4" w:space="0"/>
              <w:right w:val="single" w:color="auto" w:sz="4" w:space="0"/>
            </w:tcBorders>
            <w:noWrap w:val="0"/>
            <w:vAlign w:val="center"/>
          </w:tcPr>
          <w:p w14:paraId="52CD060A">
            <w:pPr>
              <w:widowControl/>
              <w:jc w:val="left"/>
              <w:rPr>
                <w:color w:val="auto"/>
                <w:kern w:val="0"/>
                <w:szCs w:val="21"/>
              </w:rPr>
            </w:pPr>
          </w:p>
        </w:tc>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14:paraId="2BA49775">
            <w:pPr>
              <w:widowControl/>
              <w:jc w:val="left"/>
              <w:rPr>
                <w:color w:val="auto"/>
                <w:kern w:val="0"/>
                <w:szCs w:val="21"/>
              </w:rPr>
            </w:pPr>
          </w:p>
        </w:tc>
        <w:tc>
          <w:tcPr>
            <w:tcW w:w="1023" w:type="dxa"/>
            <w:tcBorders>
              <w:top w:val="single" w:color="auto" w:sz="4" w:space="0"/>
              <w:left w:val="single" w:color="auto" w:sz="4" w:space="0"/>
              <w:bottom w:val="single" w:color="auto" w:sz="4" w:space="0"/>
              <w:right w:val="single" w:color="auto" w:sz="4" w:space="0"/>
            </w:tcBorders>
            <w:noWrap w:val="0"/>
            <w:vAlign w:val="center"/>
          </w:tcPr>
          <w:p w14:paraId="5C51D539">
            <w:pPr>
              <w:pStyle w:val="20"/>
              <w:jc w:val="center"/>
              <w:rPr>
                <w:color w:val="auto"/>
                <w:kern w:val="0"/>
                <w:szCs w:val="21"/>
              </w:rPr>
            </w:pPr>
            <w:r>
              <w:rPr>
                <w:rFonts w:hint="eastAsia" w:hAnsi="宋体"/>
                <w:color w:val="auto"/>
                <w:kern w:val="0"/>
                <w:szCs w:val="21"/>
              </w:rPr>
              <w:t>其他</w:t>
            </w:r>
          </w:p>
        </w:tc>
        <w:tc>
          <w:tcPr>
            <w:tcW w:w="1227" w:type="dxa"/>
            <w:tcBorders>
              <w:top w:val="single" w:color="auto" w:sz="4" w:space="0"/>
              <w:left w:val="single" w:color="auto" w:sz="4" w:space="0"/>
              <w:bottom w:val="single" w:color="auto" w:sz="4" w:space="0"/>
              <w:right w:val="single" w:color="auto" w:sz="4" w:space="0"/>
            </w:tcBorders>
            <w:noWrap w:val="0"/>
            <w:vAlign w:val="center"/>
          </w:tcPr>
          <w:p w14:paraId="3A21809F">
            <w:pPr>
              <w:pStyle w:val="20"/>
              <w:jc w:val="center"/>
              <w:rPr>
                <w:color w:val="auto"/>
                <w:kern w:val="0"/>
                <w:szCs w:val="21"/>
              </w:rPr>
            </w:pPr>
            <w:r>
              <w:rPr>
                <w:color w:val="auto"/>
                <w:kern w:val="0"/>
                <w:szCs w:val="21"/>
              </w:rPr>
              <w:t>50</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69C303B5">
            <w:pPr>
              <w:pStyle w:val="20"/>
              <w:jc w:val="center"/>
              <w:rPr>
                <w:color w:val="auto"/>
                <w:kern w:val="0"/>
                <w:szCs w:val="21"/>
              </w:rPr>
            </w:pPr>
            <w:r>
              <w:rPr>
                <w:color w:val="auto"/>
                <w:kern w:val="0"/>
                <w:szCs w:val="21"/>
              </w:rPr>
              <w:t>50</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02023ED7">
            <w:pPr>
              <w:pStyle w:val="20"/>
              <w:jc w:val="center"/>
              <w:rPr>
                <w:color w:val="auto"/>
                <w:kern w:val="0"/>
                <w:szCs w:val="21"/>
              </w:rPr>
            </w:pPr>
            <w:r>
              <w:rPr>
                <w:color w:val="auto"/>
                <w:kern w:val="0"/>
                <w:szCs w:val="21"/>
              </w:rPr>
              <w:t>100</w:t>
            </w:r>
          </w:p>
        </w:tc>
        <w:tc>
          <w:tcPr>
            <w:tcW w:w="1107" w:type="dxa"/>
            <w:tcBorders>
              <w:top w:val="single" w:color="auto" w:sz="4" w:space="0"/>
              <w:left w:val="single" w:color="auto" w:sz="4" w:space="0"/>
              <w:bottom w:val="single" w:color="auto" w:sz="4" w:space="0"/>
              <w:right w:val="nil"/>
            </w:tcBorders>
            <w:noWrap w:val="0"/>
            <w:vAlign w:val="center"/>
          </w:tcPr>
          <w:p w14:paraId="277D4F13">
            <w:pPr>
              <w:pStyle w:val="20"/>
              <w:jc w:val="center"/>
              <w:rPr>
                <w:color w:val="auto"/>
                <w:kern w:val="0"/>
                <w:szCs w:val="21"/>
              </w:rPr>
            </w:pPr>
            <w:r>
              <w:rPr>
                <w:color w:val="auto"/>
                <w:kern w:val="0"/>
                <w:szCs w:val="21"/>
              </w:rPr>
              <w:t>100</w:t>
            </w:r>
          </w:p>
        </w:tc>
      </w:tr>
      <w:tr w14:paraId="2113C69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729" w:type="dxa"/>
            <w:tcBorders>
              <w:top w:val="single" w:color="auto" w:sz="4" w:space="0"/>
              <w:left w:val="nil"/>
              <w:bottom w:val="single" w:color="auto" w:sz="4" w:space="0"/>
              <w:right w:val="single" w:color="auto" w:sz="4" w:space="0"/>
            </w:tcBorders>
            <w:noWrap w:val="0"/>
            <w:vAlign w:val="center"/>
          </w:tcPr>
          <w:p w14:paraId="012D424A">
            <w:pPr>
              <w:pStyle w:val="20"/>
              <w:jc w:val="center"/>
              <w:rPr>
                <w:color w:val="auto"/>
                <w:kern w:val="0"/>
                <w:szCs w:val="21"/>
              </w:rPr>
            </w:pPr>
            <w:r>
              <w:rPr>
                <w:color w:val="auto"/>
                <w:kern w:val="0"/>
                <w:szCs w:val="21"/>
              </w:rPr>
              <w:t>7</w:t>
            </w:r>
          </w:p>
        </w:tc>
        <w:tc>
          <w:tcPr>
            <w:tcW w:w="2364" w:type="dxa"/>
            <w:gridSpan w:val="2"/>
            <w:tcBorders>
              <w:top w:val="single" w:color="auto" w:sz="4" w:space="0"/>
              <w:left w:val="single" w:color="auto" w:sz="4" w:space="0"/>
              <w:bottom w:val="single" w:color="auto" w:sz="4" w:space="0"/>
              <w:right w:val="single" w:color="auto" w:sz="4" w:space="0"/>
            </w:tcBorders>
            <w:noWrap w:val="0"/>
            <w:vAlign w:val="center"/>
          </w:tcPr>
          <w:p w14:paraId="4D091998">
            <w:pPr>
              <w:pStyle w:val="20"/>
              <w:jc w:val="center"/>
              <w:rPr>
                <w:color w:val="auto"/>
                <w:kern w:val="0"/>
                <w:szCs w:val="21"/>
              </w:rPr>
            </w:pPr>
            <w:r>
              <w:rPr>
                <w:rFonts w:hint="eastAsia" w:hAnsi="宋体"/>
                <w:color w:val="auto"/>
                <w:kern w:val="0"/>
                <w:szCs w:val="21"/>
              </w:rPr>
              <w:t>镍</w:t>
            </w:r>
          </w:p>
        </w:tc>
        <w:tc>
          <w:tcPr>
            <w:tcW w:w="1227" w:type="dxa"/>
            <w:tcBorders>
              <w:top w:val="single" w:color="auto" w:sz="4" w:space="0"/>
              <w:left w:val="single" w:color="auto" w:sz="4" w:space="0"/>
              <w:bottom w:val="single" w:color="auto" w:sz="4" w:space="0"/>
              <w:right w:val="single" w:color="auto" w:sz="4" w:space="0"/>
            </w:tcBorders>
            <w:noWrap w:val="0"/>
            <w:vAlign w:val="center"/>
          </w:tcPr>
          <w:p w14:paraId="4FF28252">
            <w:pPr>
              <w:pStyle w:val="20"/>
              <w:jc w:val="center"/>
              <w:rPr>
                <w:color w:val="auto"/>
                <w:kern w:val="0"/>
                <w:szCs w:val="21"/>
              </w:rPr>
            </w:pPr>
            <w:r>
              <w:rPr>
                <w:color w:val="auto"/>
                <w:kern w:val="0"/>
                <w:szCs w:val="21"/>
              </w:rPr>
              <w:t>60</w:t>
            </w:r>
          </w:p>
        </w:tc>
        <w:tc>
          <w:tcPr>
            <w:tcW w:w="1620" w:type="dxa"/>
            <w:tcBorders>
              <w:top w:val="single" w:color="auto" w:sz="4" w:space="0"/>
              <w:left w:val="single" w:color="auto" w:sz="4" w:space="0"/>
              <w:bottom w:val="single" w:color="auto" w:sz="4" w:space="0"/>
              <w:right w:val="single" w:color="auto" w:sz="4" w:space="0"/>
            </w:tcBorders>
            <w:noWrap w:val="0"/>
            <w:vAlign w:val="center"/>
          </w:tcPr>
          <w:p w14:paraId="0330E590">
            <w:pPr>
              <w:pStyle w:val="20"/>
              <w:jc w:val="center"/>
              <w:rPr>
                <w:color w:val="auto"/>
                <w:kern w:val="0"/>
                <w:szCs w:val="21"/>
              </w:rPr>
            </w:pPr>
            <w:r>
              <w:rPr>
                <w:color w:val="auto"/>
                <w:kern w:val="0"/>
                <w:szCs w:val="21"/>
              </w:rPr>
              <w:t>70</w:t>
            </w:r>
          </w:p>
        </w:tc>
        <w:tc>
          <w:tcPr>
            <w:tcW w:w="1444" w:type="dxa"/>
            <w:tcBorders>
              <w:top w:val="single" w:color="auto" w:sz="4" w:space="0"/>
              <w:left w:val="single" w:color="auto" w:sz="4" w:space="0"/>
              <w:bottom w:val="single" w:color="auto" w:sz="4" w:space="0"/>
              <w:right w:val="single" w:color="auto" w:sz="4" w:space="0"/>
            </w:tcBorders>
            <w:noWrap w:val="0"/>
            <w:vAlign w:val="center"/>
          </w:tcPr>
          <w:p w14:paraId="6A802116">
            <w:pPr>
              <w:pStyle w:val="20"/>
              <w:jc w:val="center"/>
              <w:rPr>
                <w:color w:val="auto"/>
                <w:kern w:val="0"/>
                <w:szCs w:val="21"/>
              </w:rPr>
            </w:pPr>
            <w:r>
              <w:rPr>
                <w:color w:val="auto"/>
                <w:kern w:val="0"/>
                <w:szCs w:val="21"/>
              </w:rPr>
              <w:t>100</w:t>
            </w:r>
          </w:p>
        </w:tc>
        <w:tc>
          <w:tcPr>
            <w:tcW w:w="1107" w:type="dxa"/>
            <w:tcBorders>
              <w:top w:val="single" w:color="auto" w:sz="4" w:space="0"/>
              <w:left w:val="single" w:color="auto" w:sz="4" w:space="0"/>
              <w:bottom w:val="single" w:color="auto" w:sz="4" w:space="0"/>
              <w:right w:val="nil"/>
            </w:tcBorders>
            <w:noWrap w:val="0"/>
            <w:vAlign w:val="center"/>
          </w:tcPr>
          <w:p w14:paraId="3A63D5AE">
            <w:pPr>
              <w:pStyle w:val="20"/>
              <w:jc w:val="center"/>
              <w:rPr>
                <w:color w:val="auto"/>
                <w:kern w:val="0"/>
                <w:szCs w:val="21"/>
              </w:rPr>
            </w:pPr>
            <w:r>
              <w:rPr>
                <w:color w:val="auto"/>
                <w:kern w:val="0"/>
                <w:szCs w:val="21"/>
              </w:rPr>
              <w:t>190</w:t>
            </w:r>
          </w:p>
        </w:tc>
      </w:tr>
      <w:tr w14:paraId="2CD9072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729" w:type="dxa"/>
            <w:tcBorders>
              <w:top w:val="single" w:color="auto" w:sz="4" w:space="0"/>
              <w:left w:val="nil"/>
              <w:bottom w:val="double" w:color="auto" w:sz="4" w:space="0"/>
              <w:right w:val="single" w:color="auto" w:sz="4" w:space="0"/>
            </w:tcBorders>
            <w:noWrap w:val="0"/>
            <w:vAlign w:val="center"/>
          </w:tcPr>
          <w:p w14:paraId="4AA527AB">
            <w:pPr>
              <w:pStyle w:val="20"/>
              <w:jc w:val="center"/>
              <w:rPr>
                <w:color w:val="auto"/>
                <w:kern w:val="0"/>
                <w:szCs w:val="21"/>
              </w:rPr>
            </w:pPr>
            <w:r>
              <w:rPr>
                <w:color w:val="auto"/>
                <w:kern w:val="0"/>
                <w:szCs w:val="21"/>
              </w:rPr>
              <w:t>8</w:t>
            </w:r>
          </w:p>
        </w:tc>
        <w:tc>
          <w:tcPr>
            <w:tcW w:w="2364" w:type="dxa"/>
            <w:gridSpan w:val="2"/>
            <w:tcBorders>
              <w:top w:val="single" w:color="auto" w:sz="4" w:space="0"/>
              <w:left w:val="single" w:color="auto" w:sz="4" w:space="0"/>
              <w:bottom w:val="double" w:color="auto" w:sz="4" w:space="0"/>
              <w:right w:val="single" w:color="auto" w:sz="4" w:space="0"/>
            </w:tcBorders>
            <w:noWrap w:val="0"/>
            <w:vAlign w:val="center"/>
          </w:tcPr>
          <w:p w14:paraId="732CD447">
            <w:pPr>
              <w:pStyle w:val="20"/>
              <w:jc w:val="center"/>
              <w:rPr>
                <w:color w:val="auto"/>
                <w:kern w:val="0"/>
                <w:szCs w:val="21"/>
              </w:rPr>
            </w:pPr>
            <w:r>
              <w:rPr>
                <w:rFonts w:hint="eastAsia" w:hAnsi="宋体"/>
                <w:color w:val="auto"/>
                <w:kern w:val="0"/>
                <w:szCs w:val="21"/>
              </w:rPr>
              <w:t>锌</w:t>
            </w:r>
          </w:p>
        </w:tc>
        <w:tc>
          <w:tcPr>
            <w:tcW w:w="1227" w:type="dxa"/>
            <w:tcBorders>
              <w:top w:val="single" w:color="auto" w:sz="4" w:space="0"/>
              <w:left w:val="single" w:color="auto" w:sz="4" w:space="0"/>
              <w:bottom w:val="double" w:color="auto" w:sz="4" w:space="0"/>
              <w:right w:val="single" w:color="auto" w:sz="4" w:space="0"/>
            </w:tcBorders>
            <w:noWrap w:val="0"/>
            <w:vAlign w:val="center"/>
          </w:tcPr>
          <w:p w14:paraId="6BC0A263">
            <w:pPr>
              <w:pStyle w:val="20"/>
              <w:jc w:val="center"/>
              <w:rPr>
                <w:color w:val="auto"/>
                <w:kern w:val="0"/>
                <w:szCs w:val="21"/>
              </w:rPr>
            </w:pPr>
            <w:r>
              <w:rPr>
                <w:color w:val="auto"/>
                <w:kern w:val="0"/>
                <w:szCs w:val="21"/>
              </w:rPr>
              <w:t>200</w:t>
            </w:r>
          </w:p>
        </w:tc>
        <w:tc>
          <w:tcPr>
            <w:tcW w:w="1620" w:type="dxa"/>
            <w:tcBorders>
              <w:top w:val="single" w:color="auto" w:sz="4" w:space="0"/>
              <w:left w:val="single" w:color="auto" w:sz="4" w:space="0"/>
              <w:bottom w:val="double" w:color="auto" w:sz="4" w:space="0"/>
              <w:right w:val="single" w:color="auto" w:sz="4" w:space="0"/>
            </w:tcBorders>
            <w:noWrap w:val="0"/>
            <w:vAlign w:val="center"/>
          </w:tcPr>
          <w:p w14:paraId="019820AA">
            <w:pPr>
              <w:pStyle w:val="20"/>
              <w:jc w:val="center"/>
              <w:rPr>
                <w:color w:val="auto"/>
                <w:kern w:val="0"/>
                <w:szCs w:val="21"/>
              </w:rPr>
            </w:pPr>
            <w:r>
              <w:rPr>
                <w:color w:val="auto"/>
                <w:kern w:val="0"/>
                <w:szCs w:val="21"/>
              </w:rPr>
              <w:t>200</w:t>
            </w:r>
          </w:p>
        </w:tc>
        <w:tc>
          <w:tcPr>
            <w:tcW w:w="1444" w:type="dxa"/>
            <w:tcBorders>
              <w:top w:val="single" w:color="auto" w:sz="4" w:space="0"/>
              <w:left w:val="single" w:color="auto" w:sz="4" w:space="0"/>
              <w:bottom w:val="double" w:color="auto" w:sz="4" w:space="0"/>
              <w:right w:val="single" w:color="auto" w:sz="4" w:space="0"/>
            </w:tcBorders>
            <w:noWrap w:val="0"/>
            <w:vAlign w:val="center"/>
          </w:tcPr>
          <w:p w14:paraId="1455F0A2">
            <w:pPr>
              <w:pStyle w:val="20"/>
              <w:jc w:val="center"/>
              <w:rPr>
                <w:color w:val="auto"/>
                <w:kern w:val="0"/>
                <w:szCs w:val="21"/>
              </w:rPr>
            </w:pPr>
            <w:r>
              <w:rPr>
                <w:color w:val="auto"/>
                <w:kern w:val="0"/>
                <w:szCs w:val="21"/>
              </w:rPr>
              <w:t>250</w:t>
            </w:r>
          </w:p>
        </w:tc>
        <w:tc>
          <w:tcPr>
            <w:tcW w:w="1107" w:type="dxa"/>
            <w:tcBorders>
              <w:top w:val="single" w:color="auto" w:sz="4" w:space="0"/>
              <w:left w:val="single" w:color="auto" w:sz="4" w:space="0"/>
              <w:bottom w:val="double" w:color="auto" w:sz="4" w:space="0"/>
              <w:right w:val="nil"/>
            </w:tcBorders>
            <w:noWrap w:val="0"/>
            <w:vAlign w:val="center"/>
          </w:tcPr>
          <w:p w14:paraId="6E46DF1B">
            <w:pPr>
              <w:pStyle w:val="20"/>
              <w:jc w:val="center"/>
              <w:rPr>
                <w:color w:val="auto"/>
                <w:kern w:val="0"/>
                <w:szCs w:val="21"/>
              </w:rPr>
            </w:pPr>
            <w:r>
              <w:rPr>
                <w:color w:val="auto"/>
                <w:kern w:val="0"/>
                <w:szCs w:val="21"/>
              </w:rPr>
              <w:t>300</w:t>
            </w:r>
          </w:p>
        </w:tc>
      </w:tr>
    </w:tbl>
    <w:p w14:paraId="4B5A9162">
      <w:pPr>
        <w:pStyle w:val="4"/>
        <w:snapToGrid w:val="0"/>
        <w:spacing w:before="0"/>
        <w:rPr>
          <w:rFonts w:ascii="Times New Roman" w:hAnsi="Times New Roman" w:eastAsia="宋体"/>
          <w:bCs/>
          <w:color w:val="auto"/>
          <w:sz w:val="28"/>
          <w:szCs w:val="28"/>
        </w:rPr>
      </w:pPr>
      <w:bookmarkStart w:id="119" w:name="_Toc2883"/>
      <w:r>
        <w:rPr>
          <w:rFonts w:ascii="Times New Roman" w:hAnsi="Times New Roman" w:eastAsia="宋体"/>
          <w:bCs/>
          <w:color w:val="auto"/>
          <w:sz w:val="28"/>
          <w:szCs w:val="28"/>
        </w:rPr>
        <w:t>2.2.3污染物排放标准</w:t>
      </w:r>
      <w:bookmarkEnd w:id="119"/>
    </w:p>
    <w:p w14:paraId="429ECC78">
      <w:pPr>
        <w:pStyle w:val="276"/>
        <w:ind w:left="0" w:leftChars="0" w:firstLine="0" w:firstLineChars="0"/>
        <w:rPr>
          <w:b/>
          <w:color w:val="auto"/>
        </w:rPr>
      </w:pPr>
      <w:r>
        <w:rPr>
          <w:b/>
          <w:color w:val="auto"/>
        </w:rPr>
        <w:t>2.2.3.1施工期污染物排放标准</w:t>
      </w:r>
    </w:p>
    <w:p w14:paraId="53D753EC">
      <w:pPr>
        <w:adjustRightInd w:val="0"/>
        <w:snapToGrid w:val="0"/>
        <w:spacing w:line="360" w:lineRule="auto"/>
        <w:ind w:firstLine="480" w:firstLineChars="200"/>
        <w:rPr>
          <w:color w:val="auto"/>
          <w:kern w:val="0"/>
          <w:sz w:val="24"/>
        </w:rPr>
      </w:pPr>
      <w:r>
        <w:rPr>
          <w:color w:val="auto"/>
          <w:kern w:val="0"/>
          <w:sz w:val="24"/>
        </w:rPr>
        <w:t>(1)废气排放标准</w:t>
      </w:r>
    </w:p>
    <w:p w14:paraId="32A91A29">
      <w:pPr>
        <w:adjustRightInd w:val="0"/>
        <w:snapToGrid w:val="0"/>
        <w:spacing w:line="360" w:lineRule="auto"/>
        <w:ind w:firstLine="480" w:firstLineChars="200"/>
        <w:rPr>
          <w:color w:val="auto"/>
          <w:kern w:val="0"/>
          <w:sz w:val="24"/>
        </w:rPr>
      </w:pPr>
      <w:r>
        <w:rPr>
          <w:color w:val="auto"/>
          <w:kern w:val="0"/>
          <w:sz w:val="24"/>
        </w:rPr>
        <w:t>施工期大气污染物排放执行《大气污染物综合排放标准》（GB16297－1996）表2二级标准，见表2</w:t>
      </w:r>
      <w:r>
        <w:rPr>
          <w:rFonts w:hint="eastAsia"/>
          <w:color w:val="auto"/>
          <w:kern w:val="0"/>
          <w:sz w:val="24"/>
          <w:lang w:val="en-US" w:eastAsia="zh-CN"/>
        </w:rPr>
        <w:t>.2</w:t>
      </w:r>
      <w:r>
        <w:rPr>
          <w:color w:val="auto"/>
          <w:kern w:val="0"/>
          <w:sz w:val="24"/>
        </w:rPr>
        <w:t>-</w:t>
      </w:r>
      <w:r>
        <w:rPr>
          <w:rFonts w:hint="eastAsia"/>
          <w:color w:val="auto"/>
          <w:kern w:val="0"/>
          <w:sz w:val="24"/>
          <w:lang w:val="en-US" w:eastAsia="zh-CN"/>
        </w:rPr>
        <w:t>7</w:t>
      </w:r>
      <w:r>
        <w:rPr>
          <w:color w:val="auto"/>
          <w:kern w:val="0"/>
          <w:sz w:val="24"/>
        </w:rPr>
        <w:t>。</w:t>
      </w:r>
    </w:p>
    <w:p w14:paraId="01C4D4A5">
      <w:pPr>
        <w:ind w:firstLine="422" w:firstLineChars="200"/>
        <w:jc w:val="center"/>
        <w:rPr>
          <w:b/>
          <w:color w:val="auto"/>
          <w:szCs w:val="21"/>
        </w:rPr>
      </w:pPr>
      <w:r>
        <w:rPr>
          <w:b/>
          <w:color w:val="auto"/>
          <w:szCs w:val="21"/>
        </w:rPr>
        <w:t>表2</w:t>
      </w:r>
      <w:r>
        <w:rPr>
          <w:rFonts w:hint="eastAsia"/>
          <w:b/>
          <w:color w:val="auto"/>
          <w:szCs w:val="21"/>
          <w:lang w:val="en-US" w:eastAsia="zh-CN"/>
        </w:rPr>
        <w:t>.2</w:t>
      </w:r>
      <w:r>
        <w:rPr>
          <w:b/>
          <w:color w:val="auto"/>
          <w:szCs w:val="21"/>
        </w:rPr>
        <w:t>-</w:t>
      </w:r>
      <w:r>
        <w:rPr>
          <w:rFonts w:hint="eastAsia"/>
          <w:b/>
          <w:color w:val="auto"/>
          <w:szCs w:val="21"/>
          <w:lang w:val="en-US" w:eastAsia="zh-CN"/>
        </w:rPr>
        <w:t>7</w:t>
      </w:r>
      <w:r>
        <w:rPr>
          <w:b/>
          <w:color w:val="auto"/>
          <w:szCs w:val="21"/>
        </w:rPr>
        <w:t xml:space="preserve">    施工期大气污染物执行标准     单位：mg/m</w:t>
      </w:r>
      <w:r>
        <w:rPr>
          <w:b/>
          <w:color w:val="auto"/>
          <w:szCs w:val="21"/>
          <w:vertAlign w:val="superscript"/>
        </w:rPr>
        <w:t>3</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751"/>
        <w:gridCol w:w="5775"/>
      </w:tblGrid>
      <w:tr w14:paraId="6819BF3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51" w:type="dxa"/>
            <w:vAlign w:val="center"/>
          </w:tcPr>
          <w:p w14:paraId="019EF338">
            <w:pPr>
              <w:jc w:val="center"/>
              <w:rPr>
                <w:b/>
                <w:color w:val="auto"/>
                <w:szCs w:val="21"/>
              </w:rPr>
            </w:pPr>
            <w:r>
              <w:rPr>
                <w:b/>
                <w:bCs/>
                <w:color w:val="auto"/>
                <w:kern w:val="0"/>
                <w:szCs w:val="21"/>
              </w:rPr>
              <w:t>污染物名称</w:t>
            </w:r>
          </w:p>
        </w:tc>
        <w:tc>
          <w:tcPr>
            <w:tcW w:w="5775" w:type="dxa"/>
            <w:vAlign w:val="center"/>
          </w:tcPr>
          <w:p w14:paraId="6AA76DBD">
            <w:pPr>
              <w:widowControl/>
              <w:jc w:val="center"/>
              <w:rPr>
                <w:b/>
                <w:color w:val="auto"/>
                <w:szCs w:val="21"/>
              </w:rPr>
            </w:pPr>
            <w:r>
              <w:rPr>
                <w:b/>
                <w:color w:val="auto"/>
                <w:szCs w:val="21"/>
              </w:rPr>
              <w:t>无组织排放监控浓度限值</w:t>
            </w:r>
          </w:p>
        </w:tc>
      </w:tr>
      <w:tr w14:paraId="7B753FA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51" w:type="dxa"/>
            <w:vAlign w:val="center"/>
          </w:tcPr>
          <w:p w14:paraId="6D7FB508">
            <w:pPr>
              <w:jc w:val="center"/>
              <w:rPr>
                <w:color w:val="auto"/>
                <w:szCs w:val="21"/>
              </w:rPr>
            </w:pPr>
            <w:r>
              <w:rPr>
                <w:color w:val="auto"/>
                <w:szCs w:val="21"/>
              </w:rPr>
              <w:t>颗粒物</w:t>
            </w:r>
          </w:p>
        </w:tc>
        <w:tc>
          <w:tcPr>
            <w:tcW w:w="5775" w:type="dxa"/>
            <w:vAlign w:val="center"/>
          </w:tcPr>
          <w:p w14:paraId="19C15261">
            <w:pPr>
              <w:jc w:val="center"/>
              <w:rPr>
                <w:color w:val="auto"/>
                <w:szCs w:val="21"/>
              </w:rPr>
            </w:pPr>
            <w:r>
              <w:rPr>
                <w:color w:val="auto"/>
                <w:szCs w:val="21"/>
              </w:rPr>
              <w:t>周界外浓度最高点1.0mg/m</w:t>
            </w:r>
            <w:r>
              <w:rPr>
                <w:color w:val="auto"/>
                <w:szCs w:val="21"/>
                <w:vertAlign w:val="superscript"/>
              </w:rPr>
              <w:t>3</w:t>
            </w:r>
          </w:p>
        </w:tc>
      </w:tr>
    </w:tbl>
    <w:p w14:paraId="45EED575">
      <w:pPr>
        <w:adjustRightInd w:val="0"/>
        <w:snapToGrid w:val="0"/>
        <w:spacing w:line="360" w:lineRule="auto"/>
        <w:ind w:firstLine="480" w:firstLineChars="200"/>
        <w:rPr>
          <w:color w:val="auto"/>
          <w:kern w:val="0"/>
          <w:sz w:val="24"/>
        </w:rPr>
      </w:pPr>
      <w:r>
        <w:rPr>
          <w:color w:val="auto"/>
          <w:sz w:val="24"/>
        </w:rPr>
        <w:t>(2)</w:t>
      </w:r>
      <w:r>
        <w:rPr>
          <w:color w:val="auto"/>
          <w:kern w:val="0"/>
          <w:sz w:val="24"/>
        </w:rPr>
        <w:t>噪声排放标准</w:t>
      </w:r>
    </w:p>
    <w:p w14:paraId="14B57787">
      <w:pPr>
        <w:pStyle w:val="347"/>
        <w:widowControl/>
        <w:spacing w:line="360" w:lineRule="auto"/>
        <w:ind w:firstLine="480"/>
        <w:rPr>
          <w:rFonts w:ascii="Times New Roman" w:eastAsia="宋体"/>
          <w:color w:val="auto"/>
          <w:kern w:val="0"/>
        </w:rPr>
      </w:pPr>
      <w:r>
        <w:rPr>
          <w:rFonts w:ascii="Times New Roman" w:eastAsia="宋体"/>
          <w:color w:val="auto"/>
          <w:kern w:val="0"/>
        </w:rPr>
        <w:t>施工期边界噪声执行《建筑施工场界环境噪声排放标准》(GB12523-2011)，见表2</w:t>
      </w:r>
      <w:r>
        <w:rPr>
          <w:rFonts w:hint="eastAsia" w:ascii="Times New Roman" w:eastAsia="宋体"/>
          <w:color w:val="auto"/>
          <w:kern w:val="0"/>
          <w:lang w:val="en-US" w:eastAsia="zh-CN"/>
        </w:rPr>
        <w:t>.2</w:t>
      </w:r>
      <w:r>
        <w:rPr>
          <w:rFonts w:ascii="Times New Roman" w:eastAsia="宋体"/>
          <w:color w:val="auto"/>
          <w:kern w:val="0"/>
        </w:rPr>
        <w:t>-</w:t>
      </w:r>
      <w:r>
        <w:rPr>
          <w:rFonts w:hint="eastAsia" w:ascii="Times New Roman" w:eastAsia="宋体"/>
          <w:color w:val="auto"/>
          <w:kern w:val="0"/>
          <w:lang w:val="en-US" w:eastAsia="zh-CN"/>
        </w:rPr>
        <w:t>8</w:t>
      </w:r>
      <w:r>
        <w:rPr>
          <w:rFonts w:ascii="Times New Roman" w:eastAsia="宋体"/>
          <w:color w:val="auto"/>
          <w:kern w:val="0"/>
        </w:rPr>
        <w:t>。</w:t>
      </w:r>
    </w:p>
    <w:p w14:paraId="3F7A252D">
      <w:pPr>
        <w:widowControl/>
        <w:ind w:firstLine="422" w:firstLineChars="200"/>
        <w:jc w:val="center"/>
        <w:rPr>
          <w:b/>
          <w:bCs/>
          <w:color w:val="auto"/>
          <w:kern w:val="0"/>
          <w:szCs w:val="21"/>
        </w:rPr>
      </w:pPr>
      <w:r>
        <w:rPr>
          <w:b/>
          <w:bCs/>
          <w:color w:val="auto"/>
          <w:kern w:val="0"/>
          <w:szCs w:val="21"/>
        </w:rPr>
        <w:t>表2</w:t>
      </w:r>
      <w:r>
        <w:rPr>
          <w:rFonts w:hint="eastAsia"/>
          <w:b/>
          <w:bCs/>
          <w:color w:val="auto"/>
          <w:kern w:val="0"/>
          <w:szCs w:val="21"/>
          <w:lang w:val="en-US" w:eastAsia="zh-CN"/>
        </w:rPr>
        <w:t>.2</w:t>
      </w:r>
      <w:r>
        <w:rPr>
          <w:b/>
          <w:bCs/>
          <w:color w:val="auto"/>
          <w:kern w:val="0"/>
          <w:szCs w:val="21"/>
        </w:rPr>
        <w:t>-</w:t>
      </w:r>
      <w:r>
        <w:rPr>
          <w:rFonts w:hint="eastAsia"/>
          <w:b/>
          <w:bCs/>
          <w:color w:val="auto"/>
          <w:kern w:val="0"/>
          <w:szCs w:val="21"/>
          <w:lang w:val="en-US" w:eastAsia="zh-CN"/>
        </w:rPr>
        <w:t>8</w:t>
      </w:r>
      <w:r>
        <w:rPr>
          <w:b/>
          <w:bCs/>
          <w:color w:val="auto"/>
          <w:kern w:val="0"/>
          <w:szCs w:val="21"/>
        </w:rPr>
        <w:t xml:space="preserve">     建筑施工场界噪声限值标准</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64"/>
        <w:gridCol w:w="4264"/>
      </w:tblGrid>
      <w:tr w14:paraId="1C90A3D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64" w:type="dxa"/>
            <w:vAlign w:val="center"/>
          </w:tcPr>
          <w:p w14:paraId="73B30312">
            <w:pPr>
              <w:adjustRightInd w:val="0"/>
              <w:snapToGrid w:val="0"/>
              <w:ind w:firstLine="422" w:firstLineChars="200"/>
              <w:jc w:val="center"/>
              <w:rPr>
                <w:b/>
                <w:bCs/>
                <w:color w:val="auto"/>
                <w:kern w:val="0"/>
                <w:szCs w:val="21"/>
              </w:rPr>
            </w:pPr>
            <w:r>
              <w:rPr>
                <w:b/>
                <w:bCs/>
                <w:color w:val="auto"/>
                <w:kern w:val="0"/>
              </w:rPr>
              <w:t>昼间</w:t>
            </w:r>
          </w:p>
        </w:tc>
        <w:tc>
          <w:tcPr>
            <w:tcW w:w="4264" w:type="dxa"/>
            <w:vAlign w:val="center"/>
          </w:tcPr>
          <w:p w14:paraId="65080873">
            <w:pPr>
              <w:adjustRightInd w:val="0"/>
              <w:snapToGrid w:val="0"/>
              <w:ind w:firstLine="422" w:firstLineChars="200"/>
              <w:jc w:val="center"/>
              <w:rPr>
                <w:b/>
                <w:bCs/>
                <w:color w:val="auto"/>
                <w:kern w:val="0"/>
                <w:szCs w:val="21"/>
              </w:rPr>
            </w:pPr>
            <w:r>
              <w:rPr>
                <w:b/>
                <w:bCs/>
                <w:color w:val="auto"/>
                <w:kern w:val="0"/>
              </w:rPr>
              <w:t>夜间</w:t>
            </w:r>
          </w:p>
        </w:tc>
      </w:tr>
      <w:tr w14:paraId="142269F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64" w:type="dxa"/>
            <w:vAlign w:val="center"/>
          </w:tcPr>
          <w:p w14:paraId="0729EA55">
            <w:pPr>
              <w:adjustRightInd w:val="0"/>
              <w:snapToGrid w:val="0"/>
              <w:ind w:firstLine="420" w:firstLineChars="200"/>
              <w:jc w:val="center"/>
              <w:rPr>
                <w:color w:val="auto"/>
                <w:kern w:val="0"/>
                <w:szCs w:val="21"/>
              </w:rPr>
            </w:pPr>
            <w:r>
              <w:rPr>
                <w:color w:val="auto"/>
                <w:kern w:val="0"/>
              </w:rPr>
              <w:t>70dB(A)</w:t>
            </w:r>
          </w:p>
        </w:tc>
        <w:tc>
          <w:tcPr>
            <w:tcW w:w="4264" w:type="dxa"/>
            <w:vAlign w:val="center"/>
          </w:tcPr>
          <w:p w14:paraId="40211175">
            <w:pPr>
              <w:adjustRightInd w:val="0"/>
              <w:snapToGrid w:val="0"/>
              <w:ind w:firstLine="420" w:firstLineChars="200"/>
              <w:jc w:val="center"/>
              <w:rPr>
                <w:color w:val="auto"/>
                <w:kern w:val="0"/>
                <w:szCs w:val="21"/>
              </w:rPr>
            </w:pPr>
            <w:r>
              <w:rPr>
                <w:color w:val="auto"/>
                <w:kern w:val="0"/>
              </w:rPr>
              <w:t>55dB(A)</w:t>
            </w:r>
          </w:p>
        </w:tc>
      </w:tr>
    </w:tbl>
    <w:p w14:paraId="78C716B3">
      <w:pPr>
        <w:pStyle w:val="276"/>
        <w:ind w:left="0" w:leftChars="0" w:firstLine="0" w:firstLineChars="0"/>
        <w:rPr>
          <w:b/>
          <w:color w:val="auto"/>
        </w:rPr>
      </w:pPr>
      <w:r>
        <w:rPr>
          <w:b/>
          <w:color w:val="auto"/>
        </w:rPr>
        <w:t>2.2.3.2运营期污染物排放标准</w:t>
      </w:r>
    </w:p>
    <w:p w14:paraId="1AA8DA36">
      <w:pPr>
        <w:tabs>
          <w:tab w:val="left" w:pos="2880"/>
        </w:tabs>
        <w:spacing w:line="360" w:lineRule="auto"/>
        <w:ind w:firstLine="480" w:firstLineChars="200"/>
        <w:rPr>
          <w:color w:val="auto"/>
          <w:sz w:val="24"/>
        </w:rPr>
      </w:pPr>
      <w:r>
        <w:rPr>
          <w:color w:val="auto"/>
          <w:sz w:val="24"/>
        </w:rPr>
        <w:t>(1)废气排放标准</w:t>
      </w:r>
    </w:p>
    <w:p w14:paraId="49D78F26">
      <w:pPr>
        <w:tabs>
          <w:tab w:val="left" w:pos="2880"/>
        </w:tabs>
        <w:spacing w:line="360" w:lineRule="auto"/>
        <w:ind w:firstLine="480" w:firstLineChars="200"/>
        <w:rPr>
          <w:color w:val="auto"/>
          <w:sz w:val="24"/>
        </w:rPr>
      </w:pPr>
      <w:r>
        <w:rPr>
          <w:color w:val="auto"/>
          <w:sz w:val="24"/>
        </w:rPr>
        <w:t>运营期臭气浓度执行《畜禽养殖业污染物排放标准》(GB18596-2001)要求，见表2</w:t>
      </w:r>
      <w:r>
        <w:rPr>
          <w:rFonts w:hint="eastAsia"/>
          <w:color w:val="auto"/>
          <w:sz w:val="24"/>
          <w:lang w:val="en-US" w:eastAsia="zh-CN"/>
        </w:rPr>
        <w:t>.2</w:t>
      </w:r>
      <w:r>
        <w:rPr>
          <w:color w:val="auto"/>
          <w:sz w:val="24"/>
        </w:rPr>
        <w:t>-</w:t>
      </w:r>
      <w:r>
        <w:rPr>
          <w:rFonts w:hint="eastAsia"/>
          <w:color w:val="auto"/>
          <w:sz w:val="24"/>
          <w:lang w:val="en-US" w:eastAsia="zh-CN"/>
        </w:rPr>
        <w:t>9</w:t>
      </w:r>
      <w:r>
        <w:rPr>
          <w:color w:val="auto"/>
          <w:sz w:val="24"/>
        </w:rPr>
        <w:t>。NH</w:t>
      </w:r>
      <w:r>
        <w:rPr>
          <w:color w:val="auto"/>
          <w:sz w:val="24"/>
          <w:vertAlign w:val="subscript"/>
        </w:rPr>
        <w:t>3</w:t>
      </w:r>
      <w:r>
        <w:rPr>
          <w:color w:val="auto"/>
          <w:sz w:val="24"/>
        </w:rPr>
        <w:t>、H</w:t>
      </w:r>
      <w:r>
        <w:rPr>
          <w:color w:val="auto"/>
          <w:sz w:val="24"/>
          <w:vertAlign w:val="subscript"/>
        </w:rPr>
        <w:t>2</w:t>
      </w:r>
      <w:r>
        <w:rPr>
          <w:color w:val="auto"/>
          <w:sz w:val="24"/>
        </w:rPr>
        <w:t>S</w:t>
      </w:r>
      <w:r>
        <w:rPr>
          <w:rFonts w:hint="eastAsia"/>
          <w:color w:val="auto"/>
          <w:sz w:val="24"/>
          <w:lang w:val="en-US" w:eastAsia="zh-CN"/>
        </w:rPr>
        <w:t>无组织</w:t>
      </w:r>
      <w:r>
        <w:rPr>
          <w:color w:val="auto"/>
          <w:sz w:val="24"/>
        </w:rPr>
        <w:t>执行《恶臭污染物排放标准》(GB14554-93)厂界二级标准。</w:t>
      </w:r>
    </w:p>
    <w:p w14:paraId="1426E24E">
      <w:pPr>
        <w:tabs>
          <w:tab w:val="left" w:pos="2880"/>
        </w:tabs>
        <w:ind w:firstLine="422" w:firstLineChars="200"/>
        <w:jc w:val="center"/>
        <w:rPr>
          <w:color w:val="auto"/>
          <w:szCs w:val="21"/>
        </w:rPr>
      </w:pPr>
      <w:r>
        <w:rPr>
          <w:b/>
          <w:color w:val="auto"/>
          <w:szCs w:val="21"/>
        </w:rPr>
        <w:t>表2</w:t>
      </w:r>
      <w:r>
        <w:rPr>
          <w:rFonts w:hint="eastAsia"/>
          <w:b/>
          <w:color w:val="auto"/>
          <w:szCs w:val="21"/>
          <w:lang w:val="en-US" w:eastAsia="zh-CN"/>
        </w:rPr>
        <w:t>.2</w:t>
      </w:r>
      <w:r>
        <w:rPr>
          <w:b/>
          <w:color w:val="auto"/>
          <w:szCs w:val="21"/>
        </w:rPr>
        <w:t>-</w:t>
      </w:r>
      <w:r>
        <w:rPr>
          <w:rFonts w:hint="eastAsia"/>
          <w:b/>
          <w:color w:val="auto"/>
          <w:szCs w:val="21"/>
          <w:lang w:val="en-US" w:eastAsia="zh-CN"/>
        </w:rPr>
        <w:t>9</w:t>
      </w:r>
      <w:r>
        <w:rPr>
          <w:b/>
          <w:color w:val="auto"/>
          <w:szCs w:val="21"/>
        </w:rPr>
        <w:t xml:space="preserve">    染物排放标准值</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73"/>
        <w:gridCol w:w="1414"/>
        <w:gridCol w:w="1237"/>
        <w:gridCol w:w="1237"/>
        <w:gridCol w:w="2764"/>
      </w:tblGrid>
      <w:tr w14:paraId="184C95D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73" w:type="dxa"/>
            <w:tcBorders>
              <w:bottom w:val="single" w:color="000000" w:sz="6" w:space="0"/>
            </w:tcBorders>
            <w:vAlign w:val="center"/>
          </w:tcPr>
          <w:p w14:paraId="127C3FB4">
            <w:pPr>
              <w:tabs>
                <w:tab w:val="left" w:pos="2880"/>
              </w:tabs>
              <w:jc w:val="center"/>
              <w:rPr>
                <w:b/>
                <w:color w:val="auto"/>
                <w:szCs w:val="21"/>
              </w:rPr>
            </w:pPr>
            <w:r>
              <w:rPr>
                <w:b/>
                <w:color w:val="auto"/>
                <w:szCs w:val="21"/>
              </w:rPr>
              <w:t>污染物名称</w:t>
            </w:r>
          </w:p>
        </w:tc>
        <w:tc>
          <w:tcPr>
            <w:tcW w:w="1414" w:type="dxa"/>
            <w:tcBorders>
              <w:bottom w:val="single" w:color="000000" w:sz="6" w:space="0"/>
            </w:tcBorders>
            <w:vAlign w:val="center"/>
          </w:tcPr>
          <w:p w14:paraId="2929513B">
            <w:pPr>
              <w:tabs>
                <w:tab w:val="left" w:pos="2880"/>
              </w:tabs>
              <w:jc w:val="center"/>
              <w:rPr>
                <w:b/>
                <w:color w:val="auto"/>
                <w:szCs w:val="21"/>
              </w:rPr>
            </w:pPr>
            <w:r>
              <w:rPr>
                <w:b/>
                <w:color w:val="auto"/>
                <w:szCs w:val="21"/>
              </w:rPr>
              <w:t>排放类别</w:t>
            </w:r>
          </w:p>
        </w:tc>
        <w:tc>
          <w:tcPr>
            <w:tcW w:w="1237" w:type="dxa"/>
            <w:tcBorders>
              <w:right w:val="single" w:color="auto" w:sz="4" w:space="0"/>
            </w:tcBorders>
            <w:vAlign w:val="center"/>
          </w:tcPr>
          <w:p w14:paraId="47896555">
            <w:pPr>
              <w:tabs>
                <w:tab w:val="left" w:pos="2880"/>
              </w:tabs>
              <w:jc w:val="center"/>
              <w:rPr>
                <w:b/>
                <w:color w:val="auto"/>
                <w:szCs w:val="21"/>
              </w:rPr>
            </w:pPr>
            <w:r>
              <w:rPr>
                <w:b/>
                <w:color w:val="auto"/>
                <w:szCs w:val="21"/>
              </w:rPr>
              <w:t>标准值</w:t>
            </w:r>
          </w:p>
        </w:tc>
        <w:tc>
          <w:tcPr>
            <w:tcW w:w="1237" w:type="dxa"/>
            <w:tcBorders>
              <w:left w:val="single" w:color="auto" w:sz="4" w:space="0"/>
            </w:tcBorders>
            <w:vAlign w:val="center"/>
          </w:tcPr>
          <w:p w14:paraId="327EA4E7">
            <w:pPr>
              <w:tabs>
                <w:tab w:val="left" w:pos="2880"/>
              </w:tabs>
              <w:jc w:val="center"/>
              <w:rPr>
                <w:b/>
                <w:color w:val="auto"/>
                <w:szCs w:val="21"/>
              </w:rPr>
            </w:pPr>
            <w:r>
              <w:rPr>
                <w:b/>
                <w:color w:val="auto"/>
                <w:szCs w:val="21"/>
              </w:rPr>
              <w:t>单位</w:t>
            </w:r>
          </w:p>
        </w:tc>
        <w:tc>
          <w:tcPr>
            <w:tcW w:w="2764" w:type="dxa"/>
            <w:vAlign w:val="center"/>
          </w:tcPr>
          <w:p w14:paraId="381E3188">
            <w:pPr>
              <w:tabs>
                <w:tab w:val="left" w:pos="2880"/>
              </w:tabs>
              <w:jc w:val="center"/>
              <w:rPr>
                <w:b/>
                <w:color w:val="auto"/>
                <w:szCs w:val="21"/>
              </w:rPr>
            </w:pPr>
            <w:r>
              <w:rPr>
                <w:b/>
                <w:color w:val="auto"/>
                <w:szCs w:val="21"/>
              </w:rPr>
              <w:t>标准来源</w:t>
            </w:r>
          </w:p>
        </w:tc>
      </w:tr>
      <w:tr w14:paraId="100AE740">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73" w:type="dxa"/>
            <w:vAlign w:val="center"/>
          </w:tcPr>
          <w:p w14:paraId="4856E7DA">
            <w:pPr>
              <w:tabs>
                <w:tab w:val="left" w:pos="2880"/>
              </w:tabs>
              <w:jc w:val="center"/>
              <w:rPr>
                <w:color w:val="auto"/>
                <w:szCs w:val="21"/>
              </w:rPr>
            </w:pPr>
            <w:r>
              <w:rPr>
                <w:color w:val="auto"/>
              </w:rPr>
              <w:t>臭气浓度</w:t>
            </w:r>
          </w:p>
        </w:tc>
        <w:tc>
          <w:tcPr>
            <w:tcW w:w="1414" w:type="dxa"/>
            <w:vMerge w:val="restart"/>
            <w:tcBorders>
              <w:top w:val="single" w:color="000000" w:sz="6" w:space="0"/>
            </w:tcBorders>
            <w:vAlign w:val="center"/>
          </w:tcPr>
          <w:p w14:paraId="367FF2B8">
            <w:pPr>
              <w:tabs>
                <w:tab w:val="left" w:pos="2880"/>
              </w:tabs>
              <w:jc w:val="center"/>
              <w:rPr>
                <w:color w:val="auto"/>
                <w:szCs w:val="21"/>
              </w:rPr>
            </w:pPr>
            <w:r>
              <w:rPr>
                <w:color w:val="auto"/>
                <w:szCs w:val="21"/>
              </w:rPr>
              <w:t>无组织排放</w:t>
            </w:r>
          </w:p>
        </w:tc>
        <w:tc>
          <w:tcPr>
            <w:tcW w:w="1237" w:type="dxa"/>
            <w:tcBorders>
              <w:right w:val="single" w:color="auto" w:sz="4" w:space="0"/>
            </w:tcBorders>
            <w:vAlign w:val="center"/>
          </w:tcPr>
          <w:p w14:paraId="04D971E0">
            <w:pPr>
              <w:tabs>
                <w:tab w:val="left" w:pos="2880"/>
              </w:tabs>
              <w:jc w:val="center"/>
              <w:rPr>
                <w:color w:val="auto"/>
                <w:szCs w:val="21"/>
              </w:rPr>
            </w:pPr>
            <w:r>
              <w:rPr>
                <w:color w:val="auto"/>
                <w:szCs w:val="21"/>
              </w:rPr>
              <w:t>70</w:t>
            </w:r>
          </w:p>
        </w:tc>
        <w:tc>
          <w:tcPr>
            <w:tcW w:w="1237" w:type="dxa"/>
            <w:tcBorders>
              <w:left w:val="single" w:color="auto" w:sz="4" w:space="0"/>
            </w:tcBorders>
            <w:vAlign w:val="center"/>
          </w:tcPr>
          <w:p w14:paraId="16582DC6">
            <w:pPr>
              <w:tabs>
                <w:tab w:val="left" w:pos="2880"/>
              </w:tabs>
              <w:jc w:val="center"/>
              <w:rPr>
                <w:color w:val="auto"/>
                <w:szCs w:val="21"/>
              </w:rPr>
            </w:pPr>
            <w:r>
              <w:rPr>
                <w:color w:val="auto"/>
                <w:szCs w:val="21"/>
              </w:rPr>
              <w:t>无量纲</w:t>
            </w:r>
          </w:p>
        </w:tc>
        <w:tc>
          <w:tcPr>
            <w:tcW w:w="2764" w:type="dxa"/>
            <w:vAlign w:val="center"/>
          </w:tcPr>
          <w:p w14:paraId="49BB5E4E">
            <w:pPr>
              <w:tabs>
                <w:tab w:val="left" w:pos="2880"/>
              </w:tabs>
              <w:jc w:val="center"/>
              <w:rPr>
                <w:color w:val="auto"/>
                <w:szCs w:val="21"/>
              </w:rPr>
            </w:pPr>
            <w:r>
              <w:rPr>
                <w:color w:val="auto"/>
                <w:szCs w:val="21"/>
              </w:rPr>
              <w:t>《畜禽养殖业污染物排放标准》(GB18596-2001)</w:t>
            </w:r>
          </w:p>
        </w:tc>
      </w:tr>
      <w:tr w14:paraId="0417773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73" w:type="dxa"/>
            <w:vAlign w:val="center"/>
          </w:tcPr>
          <w:p w14:paraId="1FDD778E">
            <w:pPr>
              <w:snapToGrid w:val="0"/>
              <w:ind w:firstLine="106"/>
              <w:jc w:val="center"/>
              <w:rPr>
                <w:color w:val="auto"/>
                <w:szCs w:val="22"/>
              </w:rPr>
            </w:pPr>
            <w:r>
              <w:rPr>
                <w:color w:val="auto"/>
              </w:rPr>
              <w:t>NH</w:t>
            </w:r>
            <w:r>
              <w:rPr>
                <w:color w:val="auto"/>
                <w:vertAlign w:val="subscript"/>
              </w:rPr>
              <w:t>3</w:t>
            </w:r>
          </w:p>
        </w:tc>
        <w:tc>
          <w:tcPr>
            <w:tcW w:w="1414" w:type="dxa"/>
            <w:vMerge w:val="continue"/>
            <w:vAlign w:val="center"/>
          </w:tcPr>
          <w:p w14:paraId="5754AD55">
            <w:pPr>
              <w:tabs>
                <w:tab w:val="left" w:pos="2880"/>
              </w:tabs>
              <w:jc w:val="center"/>
              <w:rPr>
                <w:color w:val="auto"/>
                <w:szCs w:val="21"/>
              </w:rPr>
            </w:pPr>
          </w:p>
        </w:tc>
        <w:tc>
          <w:tcPr>
            <w:tcW w:w="1237" w:type="dxa"/>
            <w:tcBorders>
              <w:right w:val="single" w:color="auto" w:sz="4" w:space="0"/>
            </w:tcBorders>
            <w:vAlign w:val="center"/>
          </w:tcPr>
          <w:p w14:paraId="1640BC4B">
            <w:pPr>
              <w:snapToGrid w:val="0"/>
              <w:jc w:val="center"/>
              <w:rPr>
                <w:color w:val="auto"/>
                <w:szCs w:val="22"/>
              </w:rPr>
            </w:pPr>
            <w:r>
              <w:rPr>
                <w:color w:val="auto"/>
              </w:rPr>
              <w:t>1.5</w:t>
            </w:r>
          </w:p>
        </w:tc>
        <w:tc>
          <w:tcPr>
            <w:tcW w:w="1237" w:type="dxa"/>
            <w:tcBorders>
              <w:left w:val="single" w:color="auto" w:sz="4" w:space="0"/>
            </w:tcBorders>
            <w:vAlign w:val="center"/>
          </w:tcPr>
          <w:p w14:paraId="6F1C322E">
            <w:pPr>
              <w:autoSpaceDE w:val="0"/>
              <w:autoSpaceDN w:val="0"/>
              <w:adjustRightInd w:val="0"/>
              <w:snapToGrid w:val="0"/>
              <w:jc w:val="center"/>
              <w:rPr>
                <w:color w:val="auto"/>
                <w:szCs w:val="21"/>
              </w:rPr>
            </w:pPr>
            <w:r>
              <w:rPr>
                <w:color w:val="auto"/>
                <w:szCs w:val="21"/>
              </w:rPr>
              <w:t>mg/m</w:t>
            </w:r>
            <w:r>
              <w:rPr>
                <w:color w:val="auto"/>
                <w:szCs w:val="21"/>
                <w:vertAlign w:val="superscript"/>
              </w:rPr>
              <w:t>3</w:t>
            </w:r>
          </w:p>
        </w:tc>
        <w:tc>
          <w:tcPr>
            <w:tcW w:w="2764" w:type="dxa"/>
            <w:vMerge w:val="restart"/>
            <w:vAlign w:val="center"/>
          </w:tcPr>
          <w:p w14:paraId="6E84D8BC">
            <w:pPr>
              <w:tabs>
                <w:tab w:val="left" w:pos="2880"/>
              </w:tabs>
              <w:jc w:val="center"/>
              <w:rPr>
                <w:color w:val="auto"/>
                <w:szCs w:val="21"/>
              </w:rPr>
            </w:pPr>
            <w:r>
              <w:rPr>
                <w:color w:val="auto"/>
                <w:szCs w:val="21"/>
              </w:rPr>
              <w:t>《恶臭污染物排放标准》(GB14554-93)</w:t>
            </w:r>
          </w:p>
        </w:tc>
      </w:tr>
      <w:tr w14:paraId="557A092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73" w:type="dxa"/>
            <w:vAlign w:val="center"/>
          </w:tcPr>
          <w:p w14:paraId="3F3F8C8D">
            <w:pPr>
              <w:snapToGrid w:val="0"/>
              <w:ind w:firstLine="106"/>
              <w:jc w:val="center"/>
              <w:rPr>
                <w:color w:val="auto"/>
                <w:szCs w:val="22"/>
              </w:rPr>
            </w:pPr>
            <w:r>
              <w:rPr>
                <w:color w:val="auto"/>
              </w:rPr>
              <w:t>H</w:t>
            </w:r>
            <w:r>
              <w:rPr>
                <w:color w:val="auto"/>
                <w:vertAlign w:val="subscript"/>
              </w:rPr>
              <w:t>2</w:t>
            </w:r>
            <w:r>
              <w:rPr>
                <w:color w:val="auto"/>
              </w:rPr>
              <w:t>S</w:t>
            </w:r>
          </w:p>
        </w:tc>
        <w:tc>
          <w:tcPr>
            <w:tcW w:w="1414" w:type="dxa"/>
            <w:vMerge w:val="continue"/>
            <w:vAlign w:val="center"/>
          </w:tcPr>
          <w:p w14:paraId="55283DEB">
            <w:pPr>
              <w:tabs>
                <w:tab w:val="left" w:pos="2880"/>
              </w:tabs>
              <w:jc w:val="center"/>
              <w:rPr>
                <w:color w:val="auto"/>
                <w:szCs w:val="21"/>
              </w:rPr>
            </w:pPr>
          </w:p>
        </w:tc>
        <w:tc>
          <w:tcPr>
            <w:tcW w:w="1237" w:type="dxa"/>
            <w:tcBorders>
              <w:right w:val="single" w:color="auto" w:sz="4" w:space="0"/>
            </w:tcBorders>
            <w:vAlign w:val="center"/>
          </w:tcPr>
          <w:p w14:paraId="7D6B912A">
            <w:pPr>
              <w:widowControl/>
              <w:snapToGrid w:val="0"/>
              <w:jc w:val="center"/>
              <w:rPr>
                <w:color w:val="auto"/>
                <w:szCs w:val="22"/>
              </w:rPr>
            </w:pPr>
            <w:r>
              <w:rPr>
                <w:color w:val="auto"/>
              </w:rPr>
              <w:t>0.06</w:t>
            </w:r>
          </w:p>
        </w:tc>
        <w:tc>
          <w:tcPr>
            <w:tcW w:w="1237" w:type="dxa"/>
            <w:tcBorders>
              <w:left w:val="single" w:color="auto" w:sz="4" w:space="0"/>
            </w:tcBorders>
            <w:vAlign w:val="center"/>
          </w:tcPr>
          <w:p w14:paraId="7E388CD8">
            <w:pPr>
              <w:autoSpaceDE w:val="0"/>
              <w:autoSpaceDN w:val="0"/>
              <w:adjustRightInd w:val="0"/>
              <w:snapToGrid w:val="0"/>
              <w:jc w:val="center"/>
              <w:rPr>
                <w:color w:val="auto"/>
                <w:szCs w:val="21"/>
              </w:rPr>
            </w:pPr>
            <w:r>
              <w:rPr>
                <w:color w:val="auto"/>
                <w:szCs w:val="21"/>
              </w:rPr>
              <w:t>mg/m</w:t>
            </w:r>
            <w:r>
              <w:rPr>
                <w:color w:val="auto"/>
                <w:szCs w:val="21"/>
                <w:vertAlign w:val="superscript"/>
              </w:rPr>
              <w:t>3</w:t>
            </w:r>
          </w:p>
        </w:tc>
        <w:tc>
          <w:tcPr>
            <w:tcW w:w="2764" w:type="dxa"/>
            <w:vMerge w:val="continue"/>
          </w:tcPr>
          <w:p w14:paraId="3AD00CA0">
            <w:pPr>
              <w:tabs>
                <w:tab w:val="left" w:pos="2880"/>
              </w:tabs>
              <w:jc w:val="center"/>
              <w:rPr>
                <w:color w:val="auto"/>
                <w:szCs w:val="21"/>
              </w:rPr>
            </w:pPr>
          </w:p>
        </w:tc>
      </w:tr>
    </w:tbl>
    <w:p w14:paraId="54CB0C53">
      <w:pPr>
        <w:adjustRightInd w:val="0"/>
        <w:snapToGrid w:val="0"/>
        <w:spacing w:line="360" w:lineRule="auto"/>
        <w:ind w:firstLine="480" w:firstLineChars="200"/>
        <w:rPr>
          <w:color w:val="auto"/>
          <w:kern w:val="0"/>
          <w:sz w:val="24"/>
        </w:rPr>
      </w:pPr>
      <w:r>
        <w:rPr>
          <w:color w:val="auto"/>
          <w:kern w:val="0"/>
          <w:sz w:val="24"/>
        </w:rPr>
        <w:t>食堂油烟排放执行</w:t>
      </w:r>
      <w:r>
        <w:rPr>
          <w:bCs/>
          <w:color w:val="auto"/>
          <w:kern w:val="0"/>
          <w:sz w:val="24"/>
        </w:rPr>
        <w:t>《饮食业油烟排放标准》（</w:t>
      </w:r>
      <w:r>
        <w:rPr>
          <w:color w:val="auto"/>
          <w:kern w:val="0"/>
          <w:sz w:val="24"/>
        </w:rPr>
        <w:t>GB18483—2001）中小型饮食业标准，见表2</w:t>
      </w:r>
      <w:r>
        <w:rPr>
          <w:rFonts w:hint="eastAsia"/>
          <w:color w:val="auto"/>
          <w:kern w:val="0"/>
          <w:sz w:val="24"/>
          <w:lang w:val="en-US" w:eastAsia="zh-CN"/>
        </w:rPr>
        <w:t>.2</w:t>
      </w:r>
      <w:r>
        <w:rPr>
          <w:color w:val="auto"/>
          <w:kern w:val="0"/>
          <w:sz w:val="24"/>
        </w:rPr>
        <w:t>-</w:t>
      </w:r>
      <w:r>
        <w:rPr>
          <w:rFonts w:hint="eastAsia"/>
          <w:color w:val="auto"/>
          <w:kern w:val="0"/>
          <w:sz w:val="24"/>
          <w:lang w:val="en-US" w:eastAsia="zh-CN"/>
        </w:rPr>
        <w:t>10</w:t>
      </w:r>
      <w:r>
        <w:rPr>
          <w:color w:val="auto"/>
          <w:kern w:val="0"/>
          <w:sz w:val="24"/>
        </w:rPr>
        <w:t>。</w:t>
      </w:r>
    </w:p>
    <w:p w14:paraId="0ABC3B87">
      <w:pPr>
        <w:ind w:firstLine="422" w:firstLineChars="200"/>
        <w:jc w:val="center"/>
        <w:rPr>
          <w:b/>
          <w:color w:val="auto"/>
          <w:szCs w:val="21"/>
        </w:rPr>
      </w:pPr>
      <w:r>
        <w:rPr>
          <w:b/>
          <w:color w:val="auto"/>
          <w:szCs w:val="21"/>
        </w:rPr>
        <w:t>表2</w:t>
      </w:r>
      <w:r>
        <w:rPr>
          <w:rFonts w:hint="eastAsia"/>
          <w:b/>
          <w:color w:val="auto"/>
          <w:szCs w:val="21"/>
          <w:lang w:val="en-US" w:eastAsia="zh-CN"/>
        </w:rPr>
        <w:t>.2</w:t>
      </w:r>
      <w:r>
        <w:rPr>
          <w:b/>
          <w:color w:val="auto"/>
          <w:szCs w:val="21"/>
        </w:rPr>
        <w:t>-</w:t>
      </w:r>
      <w:r>
        <w:rPr>
          <w:rFonts w:hint="eastAsia"/>
          <w:b/>
          <w:color w:val="auto"/>
          <w:szCs w:val="21"/>
          <w:lang w:val="en-US" w:eastAsia="zh-CN"/>
        </w:rPr>
        <w:t>10</w:t>
      </w:r>
      <w:r>
        <w:rPr>
          <w:b/>
          <w:color w:val="auto"/>
          <w:szCs w:val="21"/>
        </w:rPr>
        <w:t xml:space="preserve"> </w:t>
      </w:r>
      <w:r>
        <w:rPr>
          <w:rFonts w:hint="eastAsia"/>
          <w:b/>
          <w:color w:val="auto"/>
          <w:szCs w:val="21"/>
        </w:rPr>
        <w:t xml:space="preserve">  </w:t>
      </w:r>
      <w:r>
        <w:rPr>
          <w:b/>
          <w:color w:val="auto"/>
          <w:szCs w:val="21"/>
        </w:rPr>
        <w:t xml:space="preserve"> 食堂油烟排放标准值  单位：mg/m</w:t>
      </w:r>
      <w:r>
        <w:rPr>
          <w:b/>
          <w:color w:val="auto"/>
          <w:szCs w:val="21"/>
          <w:vertAlign w:val="superscript"/>
        </w:rPr>
        <w:t>3</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41"/>
        <w:gridCol w:w="1330"/>
        <w:gridCol w:w="1475"/>
        <w:gridCol w:w="4279"/>
      </w:tblGrid>
      <w:tr w14:paraId="60DFE6F0">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41" w:type="dxa"/>
            <w:vAlign w:val="center"/>
          </w:tcPr>
          <w:p w14:paraId="5CD1775E">
            <w:pPr>
              <w:tabs>
                <w:tab w:val="left" w:pos="2880"/>
              </w:tabs>
              <w:jc w:val="center"/>
              <w:rPr>
                <w:color w:val="auto"/>
                <w:szCs w:val="21"/>
              </w:rPr>
            </w:pPr>
            <w:r>
              <w:rPr>
                <w:color w:val="auto"/>
                <w:szCs w:val="21"/>
              </w:rPr>
              <w:t>控制项目</w:t>
            </w:r>
          </w:p>
        </w:tc>
        <w:tc>
          <w:tcPr>
            <w:tcW w:w="1330" w:type="dxa"/>
            <w:vAlign w:val="center"/>
          </w:tcPr>
          <w:p w14:paraId="73E2DCC5">
            <w:pPr>
              <w:tabs>
                <w:tab w:val="left" w:pos="2880"/>
              </w:tabs>
              <w:jc w:val="center"/>
              <w:rPr>
                <w:color w:val="auto"/>
                <w:szCs w:val="21"/>
              </w:rPr>
            </w:pPr>
            <w:r>
              <w:rPr>
                <w:color w:val="auto"/>
                <w:szCs w:val="21"/>
              </w:rPr>
              <w:t>限值</w:t>
            </w:r>
          </w:p>
        </w:tc>
        <w:tc>
          <w:tcPr>
            <w:tcW w:w="1475" w:type="dxa"/>
            <w:vAlign w:val="center"/>
          </w:tcPr>
          <w:p w14:paraId="569BEEC7">
            <w:pPr>
              <w:tabs>
                <w:tab w:val="left" w:pos="2880"/>
              </w:tabs>
              <w:jc w:val="center"/>
              <w:rPr>
                <w:color w:val="auto"/>
                <w:szCs w:val="21"/>
              </w:rPr>
            </w:pPr>
            <w:r>
              <w:rPr>
                <w:color w:val="auto"/>
                <w:szCs w:val="21"/>
              </w:rPr>
              <w:t>最低去除率</w:t>
            </w:r>
          </w:p>
        </w:tc>
        <w:tc>
          <w:tcPr>
            <w:tcW w:w="4279" w:type="dxa"/>
            <w:vAlign w:val="center"/>
          </w:tcPr>
          <w:p w14:paraId="4BD09597">
            <w:pPr>
              <w:tabs>
                <w:tab w:val="left" w:pos="2880"/>
              </w:tabs>
              <w:jc w:val="center"/>
              <w:rPr>
                <w:color w:val="auto"/>
                <w:szCs w:val="21"/>
              </w:rPr>
            </w:pPr>
            <w:r>
              <w:rPr>
                <w:color w:val="auto"/>
                <w:szCs w:val="21"/>
              </w:rPr>
              <w:t>标准来源</w:t>
            </w:r>
          </w:p>
        </w:tc>
      </w:tr>
      <w:tr w14:paraId="151F336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41" w:type="dxa"/>
            <w:vAlign w:val="center"/>
          </w:tcPr>
          <w:p w14:paraId="2C1B0081">
            <w:pPr>
              <w:tabs>
                <w:tab w:val="left" w:pos="2880"/>
              </w:tabs>
              <w:jc w:val="center"/>
              <w:rPr>
                <w:color w:val="auto"/>
                <w:szCs w:val="21"/>
              </w:rPr>
            </w:pPr>
            <w:r>
              <w:rPr>
                <w:color w:val="auto"/>
                <w:szCs w:val="21"/>
              </w:rPr>
              <w:t>油烟</w:t>
            </w:r>
          </w:p>
        </w:tc>
        <w:tc>
          <w:tcPr>
            <w:tcW w:w="1330" w:type="dxa"/>
            <w:vAlign w:val="center"/>
          </w:tcPr>
          <w:p w14:paraId="67371C43">
            <w:pPr>
              <w:tabs>
                <w:tab w:val="left" w:pos="2880"/>
              </w:tabs>
              <w:jc w:val="center"/>
              <w:rPr>
                <w:color w:val="auto"/>
                <w:szCs w:val="21"/>
              </w:rPr>
            </w:pPr>
            <w:r>
              <w:rPr>
                <w:color w:val="auto"/>
                <w:szCs w:val="21"/>
              </w:rPr>
              <w:t>2.0</w:t>
            </w:r>
          </w:p>
        </w:tc>
        <w:tc>
          <w:tcPr>
            <w:tcW w:w="1475" w:type="dxa"/>
            <w:vAlign w:val="center"/>
          </w:tcPr>
          <w:p w14:paraId="6FB1AE58">
            <w:pPr>
              <w:tabs>
                <w:tab w:val="left" w:pos="2880"/>
              </w:tabs>
              <w:jc w:val="center"/>
              <w:rPr>
                <w:color w:val="auto"/>
                <w:szCs w:val="21"/>
              </w:rPr>
            </w:pPr>
            <w:r>
              <w:rPr>
                <w:color w:val="auto"/>
                <w:szCs w:val="21"/>
              </w:rPr>
              <w:t>60%</w:t>
            </w:r>
          </w:p>
        </w:tc>
        <w:tc>
          <w:tcPr>
            <w:tcW w:w="4279" w:type="dxa"/>
            <w:vAlign w:val="center"/>
          </w:tcPr>
          <w:p w14:paraId="04E77A1B">
            <w:pPr>
              <w:tabs>
                <w:tab w:val="left" w:pos="2880"/>
              </w:tabs>
              <w:jc w:val="center"/>
              <w:rPr>
                <w:color w:val="auto"/>
                <w:szCs w:val="21"/>
              </w:rPr>
            </w:pPr>
            <w:r>
              <w:rPr>
                <w:bCs/>
                <w:color w:val="auto"/>
                <w:kern w:val="0"/>
                <w:szCs w:val="21"/>
              </w:rPr>
              <w:t>《饮食业油烟排放标准》（</w:t>
            </w:r>
            <w:r>
              <w:rPr>
                <w:color w:val="auto"/>
                <w:kern w:val="0"/>
                <w:szCs w:val="21"/>
              </w:rPr>
              <w:t>GB18483-2001）</w:t>
            </w:r>
          </w:p>
        </w:tc>
      </w:tr>
    </w:tbl>
    <w:p w14:paraId="7EA909E3">
      <w:pPr>
        <w:adjustRightInd w:val="0"/>
        <w:snapToGrid w:val="0"/>
        <w:spacing w:line="360" w:lineRule="auto"/>
        <w:ind w:firstLine="480" w:firstLineChars="200"/>
        <w:rPr>
          <w:color w:val="auto"/>
          <w:kern w:val="0"/>
          <w:sz w:val="24"/>
        </w:rPr>
      </w:pPr>
      <w:r>
        <w:rPr>
          <w:rFonts w:hint="eastAsia"/>
          <w:color w:val="auto"/>
          <w:kern w:val="0"/>
          <w:sz w:val="24"/>
          <w:lang w:eastAsia="zh-CN"/>
        </w:rPr>
        <w:t>生物质</w:t>
      </w:r>
      <w:r>
        <w:rPr>
          <w:color w:val="auto"/>
          <w:kern w:val="0"/>
          <w:sz w:val="24"/>
        </w:rPr>
        <w:t>锅炉燃烧废气主要污染物颗粒物(烟尘)、SO</w:t>
      </w:r>
      <w:r>
        <w:rPr>
          <w:color w:val="auto"/>
          <w:kern w:val="0"/>
          <w:sz w:val="24"/>
          <w:vertAlign w:val="subscript"/>
        </w:rPr>
        <w:t>2</w:t>
      </w:r>
      <w:r>
        <w:rPr>
          <w:color w:val="auto"/>
          <w:kern w:val="0"/>
          <w:sz w:val="24"/>
        </w:rPr>
        <w:t>、NOx经收集后高空排放，</w:t>
      </w:r>
      <w:r>
        <w:rPr>
          <w:rFonts w:hint="eastAsia"/>
          <w:color w:val="auto"/>
          <w:kern w:val="0"/>
          <w:sz w:val="24"/>
          <w:lang w:eastAsia="zh-CN"/>
        </w:rPr>
        <w:t>生物质</w:t>
      </w:r>
      <w:r>
        <w:rPr>
          <w:color w:val="auto"/>
          <w:kern w:val="0"/>
          <w:sz w:val="24"/>
        </w:rPr>
        <w:t>锅炉参照《锅炉大气污染物排放标准》（GB13271-2014）中</w:t>
      </w:r>
      <w:r>
        <w:rPr>
          <w:rFonts w:hint="eastAsia"/>
          <w:color w:val="auto"/>
          <w:kern w:val="0"/>
          <w:sz w:val="24"/>
          <w:lang w:eastAsia="zh-CN"/>
        </w:rPr>
        <w:t>表</w:t>
      </w:r>
      <w:r>
        <w:rPr>
          <w:rFonts w:hint="eastAsia"/>
          <w:color w:val="auto"/>
          <w:kern w:val="0"/>
          <w:sz w:val="24"/>
          <w:lang w:val="en-US" w:eastAsia="zh-CN"/>
        </w:rPr>
        <w:t>3大气污染物特别排放限值中燃煤锅炉</w:t>
      </w:r>
      <w:r>
        <w:rPr>
          <w:color w:val="auto"/>
          <w:kern w:val="0"/>
          <w:sz w:val="24"/>
        </w:rPr>
        <w:t>要求。</w:t>
      </w:r>
      <w:r>
        <w:rPr>
          <w:rFonts w:hint="eastAsia"/>
          <w:color w:val="auto"/>
          <w:kern w:val="0"/>
          <w:sz w:val="24"/>
          <w:lang w:val="en-US" w:eastAsia="zh-CN"/>
        </w:rPr>
        <w:t>1.4MW的</w:t>
      </w:r>
      <w:r>
        <w:rPr>
          <w:color w:val="auto"/>
          <w:kern w:val="0"/>
          <w:sz w:val="24"/>
        </w:rPr>
        <w:t>锅炉烟囱</w:t>
      </w:r>
      <w:r>
        <w:rPr>
          <w:rFonts w:hint="eastAsia"/>
          <w:color w:val="auto"/>
          <w:kern w:val="0"/>
          <w:sz w:val="24"/>
          <w:lang w:eastAsia="zh-CN"/>
        </w:rPr>
        <w:t>高度</w:t>
      </w:r>
      <w:r>
        <w:rPr>
          <w:rFonts w:hint="eastAsia"/>
          <w:color w:val="auto"/>
          <w:kern w:val="0"/>
          <w:sz w:val="24"/>
          <w:lang w:val="en-US" w:eastAsia="zh-CN"/>
        </w:rPr>
        <w:t>30</w:t>
      </w:r>
      <w:r>
        <w:rPr>
          <w:color w:val="auto"/>
          <w:kern w:val="0"/>
          <w:sz w:val="24"/>
        </w:rPr>
        <w:t>米，新建锅炉房的烟囱周围半径200m距离内有建筑物时，其烟囱应高出最高建筑物3m以上</w:t>
      </w:r>
      <w:r>
        <w:rPr>
          <w:rFonts w:hint="eastAsia"/>
          <w:color w:val="auto"/>
          <w:kern w:val="0"/>
          <w:sz w:val="24"/>
          <w:lang w:eastAsia="zh-CN"/>
        </w:rPr>
        <w:t>，项目位于农村地区，周围半径</w:t>
      </w:r>
      <w:r>
        <w:rPr>
          <w:rFonts w:hint="eastAsia"/>
          <w:color w:val="auto"/>
          <w:kern w:val="0"/>
          <w:sz w:val="24"/>
          <w:lang w:val="en-US" w:eastAsia="zh-CN"/>
        </w:rPr>
        <w:t>200m范围内无建筑物，因此本项目锅炉烟囱高度为30m</w:t>
      </w:r>
      <w:r>
        <w:rPr>
          <w:color w:val="auto"/>
          <w:kern w:val="0"/>
          <w:sz w:val="24"/>
        </w:rPr>
        <w:t>。</w:t>
      </w:r>
    </w:p>
    <w:p w14:paraId="46BCA0DD">
      <w:pPr>
        <w:pStyle w:val="35"/>
        <w:ind w:firstLine="422" w:firstLineChars="200"/>
        <w:jc w:val="center"/>
        <w:rPr>
          <w:b/>
          <w:color w:val="auto"/>
          <w:sz w:val="21"/>
          <w:szCs w:val="21"/>
        </w:rPr>
      </w:pPr>
      <w:r>
        <w:rPr>
          <w:b/>
          <w:color w:val="auto"/>
          <w:sz w:val="21"/>
          <w:szCs w:val="21"/>
        </w:rPr>
        <w:t>表</w:t>
      </w:r>
      <w:r>
        <w:rPr>
          <w:rFonts w:hint="eastAsia"/>
          <w:b/>
          <w:color w:val="auto"/>
          <w:sz w:val="21"/>
          <w:szCs w:val="21"/>
        </w:rPr>
        <w:t>2</w:t>
      </w:r>
      <w:r>
        <w:rPr>
          <w:rFonts w:hint="eastAsia"/>
          <w:b/>
          <w:color w:val="auto"/>
          <w:sz w:val="21"/>
          <w:szCs w:val="21"/>
          <w:lang w:val="en-US" w:eastAsia="zh-CN"/>
        </w:rPr>
        <w:t>.2</w:t>
      </w:r>
      <w:r>
        <w:rPr>
          <w:rFonts w:hint="eastAsia"/>
          <w:b/>
          <w:color w:val="auto"/>
          <w:sz w:val="21"/>
          <w:szCs w:val="21"/>
        </w:rPr>
        <w:t>-1</w:t>
      </w:r>
      <w:r>
        <w:rPr>
          <w:rFonts w:hint="eastAsia"/>
          <w:b/>
          <w:color w:val="auto"/>
          <w:sz w:val="21"/>
          <w:szCs w:val="21"/>
          <w:lang w:val="en-US" w:eastAsia="zh-CN"/>
        </w:rPr>
        <w:t>1</w:t>
      </w:r>
      <w:r>
        <w:rPr>
          <w:b/>
          <w:color w:val="auto"/>
          <w:sz w:val="21"/>
          <w:szCs w:val="21"/>
        </w:rPr>
        <w:t xml:space="preserve">    锅炉大气污染物排放标准      单位：mg/m</w:t>
      </w:r>
      <w:r>
        <w:rPr>
          <w:b/>
          <w:color w:val="auto"/>
          <w:sz w:val="21"/>
          <w:szCs w:val="21"/>
          <w:vertAlign w:val="superscript"/>
        </w:rPr>
        <w:t>3</w:t>
      </w:r>
    </w:p>
    <w:tbl>
      <w:tblPr>
        <w:tblStyle w:val="53"/>
        <w:tblW w:w="4999"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919"/>
        <w:gridCol w:w="1382"/>
        <w:gridCol w:w="1338"/>
        <w:gridCol w:w="1445"/>
        <w:gridCol w:w="2442"/>
      </w:tblGrid>
      <w:tr w14:paraId="5ADC981A">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25" w:type="pct"/>
            <w:tcBorders>
              <w:tl2br w:val="nil"/>
              <w:tr2bl w:val="nil"/>
            </w:tcBorders>
            <w:vAlign w:val="center"/>
          </w:tcPr>
          <w:p w14:paraId="29D5D317">
            <w:pPr>
              <w:pStyle w:val="35"/>
              <w:jc w:val="center"/>
              <w:rPr>
                <w:color w:val="auto"/>
                <w:sz w:val="21"/>
                <w:szCs w:val="21"/>
              </w:rPr>
            </w:pPr>
            <w:r>
              <w:rPr>
                <w:color w:val="auto"/>
                <w:sz w:val="21"/>
                <w:szCs w:val="21"/>
              </w:rPr>
              <w:t>污染物</w:t>
            </w:r>
          </w:p>
        </w:tc>
        <w:tc>
          <w:tcPr>
            <w:tcW w:w="810" w:type="pct"/>
            <w:tcBorders>
              <w:tl2br w:val="nil"/>
              <w:tr2bl w:val="nil"/>
            </w:tcBorders>
            <w:vAlign w:val="center"/>
          </w:tcPr>
          <w:p w14:paraId="55979C40">
            <w:pPr>
              <w:pStyle w:val="35"/>
              <w:jc w:val="center"/>
              <w:rPr>
                <w:color w:val="auto"/>
                <w:sz w:val="21"/>
                <w:szCs w:val="21"/>
              </w:rPr>
            </w:pPr>
            <w:r>
              <w:rPr>
                <w:color w:val="auto"/>
                <w:sz w:val="21"/>
                <w:szCs w:val="21"/>
              </w:rPr>
              <w:t>颗粒物</w:t>
            </w:r>
          </w:p>
        </w:tc>
        <w:tc>
          <w:tcPr>
            <w:tcW w:w="784" w:type="pct"/>
            <w:tcBorders>
              <w:tl2br w:val="nil"/>
              <w:tr2bl w:val="nil"/>
            </w:tcBorders>
            <w:vAlign w:val="center"/>
          </w:tcPr>
          <w:p w14:paraId="1A1D8630">
            <w:pPr>
              <w:pStyle w:val="35"/>
              <w:jc w:val="center"/>
              <w:rPr>
                <w:color w:val="auto"/>
                <w:sz w:val="21"/>
                <w:szCs w:val="21"/>
              </w:rPr>
            </w:pPr>
            <w:r>
              <w:rPr>
                <w:color w:val="auto"/>
                <w:sz w:val="21"/>
                <w:szCs w:val="21"/>
              </w:rPr>
              <w:t>二氧化硫</w:t>
            </w:r>
          </w:p>
        </w:tc>
        <w:tc>
          <w:tcPr>
            <w:tcW w:w="847" w:type="pct"/>
            <w:tcBorders>
              <w:tl2br w:val="nil"/>
              <w:tr2bl w:val="nil"/>
            </w:tcBorders>
            <w:vAlign w:val="center"/>
          </w:tcPr>
          <w:p w14:paraId="1BB0370D">
            <w:pPr>
              <w:pStyle w:val="35"/>
              <w:jc w:val="center"/>
              <w:rPr>
                <w:color w:val="auto"/>
                <w:sz w:val="21"/>
                <w:szCs w:val="21"/>
              </w:rPr>
            </w:pPr>
            <w:r>
              <w:rPr>
                <w:color w:val="auto"/>
                <w:sz w:val="21"/>
                <w:szCs w:val="21"/>
              </w:rPr>
              <w:t>氮氧化物</w:t>
            </w:r>
          </w:p>
        </w:tc>
        <w:tc>
          <w:tcPr>
            <w:tcW w:w="1431" w:type="pct"/>
            <w:tcBorders>
              <w:tl2br w:val="nil"/>
              <w:tr2bl w:val="nil"/>
            </w:tcBorders>
            <w:vAlign w:val="center"/>
          </w:tcPr>
          <w:p w14:paraId="2FD33FFA">
            <w:pPr>
              <w:pStyle w:val="35"/>
              <w:jc w:val="center"/>
              <w:rPr>
                <w:color w:val="auto"/>
                <w:sz w:val="21"/>
                <w:szCs w:val="21"/>
              </w:rPr>
            </w:pPr>
            <w:r>
              <w:rPr>
                <w:color w:val="auto"/>
                <w:sz w:val="21"/>
                <w:szCs w:val="21"/>
              </w:rPr>
              <w:t>烟气黑度（林格曼黑度）</w:t>
            </w:r>
          </w:p>
        </w:tc>
      </w:tr>
      <w:tr w14:paraId="7383246F">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25" w:type="pct"/>
            <w:tcBorders>
              <w:tl2br w:val="nil"/>
              <w:tr2bl w:val="nil"/>
            </w:tcBorders>
            <w:vAlign w:val="center"/>
          </w:tcPr>
          <w:p w14:paraId="1F22D0F7">
            <w:pPr>
              <w:pStyle w:val="35"/>
              <w:jc w:val="center"/>
              <w:rPr>
                <w:color w:val="auto"/>
                <w:sz w:val="21"/>
                <w:szCs w:val="21"/>
              </w:rPr>
            </w:pPr>
            <w:r>
              <w:rPr>
                <w:color w:val="auto"/>
                <w:sz w:val="21"/>
                <w:szCs w:val="21"/>
              </w:rPr>
              <w:t>最高允许排放浓度</w:t>
            </w:r>
          </w:p>
        </w:tc>
        <w:tc>
          <w:tcPr>
            <w:tcW w:w="810" w:type="pct"/>
            <w:tcBorders>
              <w:tl2br w:val="nil"/>
              <w:tr2bl w:val="nil"/>
            </w:tcBorders>
            <w:vAlign w:val="center"/>
          </w:tcPr>
          <w:p w14:paraId="6C40A196">
            <w:pPr>
              <w:pStyle w:val="35"/>
              <w:jc w:val="center"/>
              <w:rPr>
                <w:rFonts w:hint="default" w:eastAsia="宋体"/>
                <w:color w:val="auto"/>
                <w:sz w:val="21"/>
                <w:szCs w:val="21"/>
                <w:lang w:val="en-US" w:eastAsia="zh-CN"/>
              </w:rPr>
            </w:pPr>
            <w:r>
              <w:rPr>
                <w:rFonts w:hint="eastAsia"/>
                <w:color w:val="auto"/>
                <w:sz w:val="21"/>
                <w:szCs w:val="21"/>
                <w:lang w:val="en-US" w:eastAsia="zh-CN"/>
              </w:rPr>
              <w:t>30</w:t>
            </w:r>
          </w:p>
        </w:tc>
        <w:tc>
          <w:tcPr>
            <w:tcW w:w="784" w:type="pct"/>
            <w:tcBorders>
              <w:tl2br w:val="nil"/>
              <w:tr2bl w:val="nil"/>
            </w:tcBorders>
            <w:vAlign w:val="center"/>
          </w:tcPr>
          <w:p w14:paraId="34E4187D">
            <w:pPr>
              <w:pStyle w:val="35"/>
              <w:jc w:val="center"/>
              <w:rPr>
                <w:rFonts w:hint="default" w:eastAsia="宋体"/>
                <w:color w:val="auto"/>
                <w:sz w:val="21"/>
                <w:szCs w:val="21"/>
                <w:lang w:val="en-US" w:eastAsia="zh-CN"/>
              </w:rPr>
            </w:pPr>
            <w:r>
              <w:rPr>
                <w:rFonts w:hint="eastAsia"/>
                <w:color w:val="auto"/>
                <w:sz w:val="21"/>
                <w:szCs w:val="21"/>
                <w:lang w:val="en-US" w:eastAsia="zh-CN"/>
              </w:rPr>
              <w:t>200</w:t>
            </w:r>
          </w:p>
        </w:tc>
        <w:tc>
          <w:tcPr>
            <w:tcW w:w="847" w:type="pct"/>
            <w:tcBorders>
              <w:tl2br w:val="nil"/>
              <w:tr2bl w:val="nil"/>
            </w:tcBorders>
            <w:vAlign w:val="center"/>
          </w:tcPr>
          <w:p w14:paraId="1409D574">
            <w:pPr>
              <w:pStyle w:val="35"/>
              <w:jc w:val="center"/>
              <w:rPr>
                <w:rFonts w:hint="default" w:eastAsia="宋体"/>
                <w:color w:val="auto"/>
                <w:sz w:val="21"/>
                <w:szCs w:val="21"/>
                <w:lang w:val="en-US" w:eastAsia="zh-CN"/>
              </w:rPr>
            </w:pPr>
            <w:r>
              <w:rPr>
                <w:rFonts w:hint="eastAsia"/>
                <w:color w:val="auto"/>
                <w:sz w:val="21"/>
                <w:szCs w:val="21"/>
                <w:lang w:val="en-US" w:eastAsia="zh-CN"/>
              </w:rPr>
              <w:t>200</w:t>
            </w:r>
          </w:p>
        </w:tc>
        <w:tc>
          <w:tcPr>
            <w:tcW w:w="1431" w:type="pct"/>
            <w:tcBorders>
              <w:tl2br w:val="nil"/>
              <w:tr2bl w:val="nil"/>
            </w:tcBorders>
            <w:vAlign w:val="center"/>
          </w:tcPr>
          <w:p w14:paraId="59799A73">
            <w:pPr>
              <w:pStyle w:val="35"/>
              <w:jc w:val="center"/>
              <w:rPr>
                <w:color w:val="auto"/>
                <w:sz w:val="21"/>
                <w:szCs w:val="21"/>
              </w:rPr>
            </w:pPr>
            <w:r>
              <w:rPr>
                <w:rFonts w:hint="eastAsia"/>
                <w:color w:val="auto"/>
                <w:sz w:val="21"/>
                <w:szCs w:val="21"/>
              </w:rPr>
              <w:t>≤</w:t>
            </w:r>
            <w:r>
              <w:rPr>
                <w:color w:val="auto"/>
                <w:sz w:val="21"/>
                <w:szCs w:val="21"/>
              </w:rPr>
              <w:t>1</w:t>
            </w:r>
          </w:p>
        </w:tc>
      </w:tr>
    </w:tbl>
    <w:p w14:paraId="6BF43C5A">
      <w:pPr>
        <w:adjustRightInd w:val="0"/>
        <w:snapToGrid w:val="0"/>
        <w:spacing w:line="360" w:lineRule="auto"/>
        <w:ind w:firstLine="480" w:firstLineChars="200"/>
        <w:rPr>
          <w:color w:val="auto"/>
          <w:kern w:val="0"/>
          <w:sz w:val="24"/>
        </w:rPr>
      </w:pPr>
      <w:r>
        <w:rPr>
          <w:color w:val="auto"/>
          <w:kern w:val="0"/>
          <w:sz w:val="24"/>
        </w:rPr>
        <w:t>(</w:t>
      </w:r>
      <w:r>
        <w:rPr>
          <w:rFonts w:hint="eastAsia"/>
          <w:color w:val="auto"/>
          <w:kern w:val="0"/>
          <w:sz w:val="24"/>
          <w:lang w:val="en-US" w:eastAsia="zh-CN"/>
        </w:rPr>
        <w:t>2</w:t>
      </w:r>
      <w:r>
        <w:rPr>
          <w:color w:val="auto"/>
          <w:kern w:val="0"/>
          <w:sz w:val="24"/>
        </w:rPr>
        <w:t>)噪声排放标准</w:t>
      </w:r>
    </w:p>
    <w:p w14:paraId="03C3E6E7">
      <w:pPr>
        <w:tabs>
          <w:tab w:val="left" w:pos="2880"/>
        </w:tabs>
        <w:spacing w:line="360" w:lineRule="auto"/>
        <w:ind w:firstLine="480" w:firstLineChars="200"/>
        <w:rPr>
          <w:b/>
          <w:color w:val="auto"/>
          <w:szCs w:val="21"/>
        </w:rPr>
      </w:pPr>
      <w:r>
        <w:rPr>
          <w:color w:val="auto"/>
          <w:sz w:val="24"/>
        </w:rPr>
        <w:t>运营期厂界噪声执行《工业企业厂界环境噪声排放标准》(GB12348-2008)中1类标准，见表2</w:t>
      </w:r>
      <w:r>
        <w:rPr>
          <w:rFonts w:hint="eastAsia"/>
          <w:color w:val="auto"/>
          <w:sz w:val="24"/>
          <w:lang w:val="en-US" w:eastAsia="zh-CN"/>
        </w:rPr>
        <w:t>.2</w:t>
      </w:r>
      <w:r>
        <w:rPr>
          <w:color w:val="auto"/>
          <w:sz w:val="24"/>
        </w:rPr>
        <w:t>-</w:t>
      </w:r>
      <w:r>
        <w:rPr>
          <w:rFonts w:hint="eastAsia"/>
          <w:color w:val="auto"/>
          <w:sz w:val="24"/>
        </w:rPr>
        <w:t>1</w:t>
      </w:r>
      <w:r>
        <w:rPr>
          <w:rFonts w:hint="eastAsia"/>
          <w:color w:val="auto"/>
          <w:sz w:val="24"/>
          <w:lang w:val="en-US" w:eastAsia="zh-CN"/>
        </w:rPr>
        <w:t>2</w:t>
      </w:r>
      <w:r>
        <w:rPr>
          <w:color w:val="auto"/>
          <w:sz w:val="24"/>
        </w:rPr>
        <w:t>。</w:t>
      </w:r>
    </w:p>
    <w:p w14:paraId="6139746A">
      <w:pPr>
        <w:tabs>
          <w:tab w:val="left" w:pos="2880"/>
        </w:tabs>
        <w:ind w:firstLine="422" w:firstLineChars="200"/>
        <w:jc w:val="center"/>
        <w:rPr>
          <w:color w:val="auto"/>
          <w:szCs w:val="21"/>
        </w:rPr>
      </w:pPr>
      <w:r>
        <w:rPr>
          <w:b/>
          <w:color w:val="auto"/>
          <w:szCs w:val="21"/>
        </w:rPr>
        <w:t>表2</w:t>
      </w:r>
      <w:r>
        <w:rPr>
          <w:rFonts w:hint="eastAsia"/>
          <w:b/>
          <w:color w:val="auto"/>
          <w:szCs w:val="21"/>
          <w:lang w:val="en-US" w:eastAsia="zh-CN"/>
        </w:rPr>
        <w:t>.2</w:t>
      </w:r>
      <w:r>
        <w:rPr>
          <w:b/>
          <w:color w:val="auto"/>
          <w:szCs w:val="21"/>
        </w:rPr>
        <w:t>-1</w:t>
      </w:r>
      <w:r>
        <w:rPr>
          <w:rFonts w:hint="eastAsia"/>
          <w:b/>
          <w:color w:val="auto"/>
          <w:szCs w:val="21"/>
          <w:lang w:val="en-US" w:eastAsia="zh-CN"/>
        </w:rPr>
        <w:t xml:space="preserve">2  </w:t>
      </w:r>
      <w:r>
        <w:rPr>
          <w:b/>
          <w:color w:val="auto"/>
          <w:szCs w:val="21"/>
        </w:rPr>
        <w:t xml:space="preserve">  工业企业厂界环境噪声排放标准   单位dB(A)</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42"/>
        <w:gridCol w:w="2842"/>
        <w:gridCol w:w="2842"/>
      </w:tblGrid>
      <w:tr w14:paraId="17E2389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842" w:type="dxa"/>
            <w:vAlign w:val="center"/>
          </w:tcPr>
          <w:p w14:paraId="0FBBDFAF">
            <w:pPr>
              <w:tabs>
                <w:tab w:val="left" w:pos="2880"/>
              </w:tabs>
              <w:jc w:val="center"/>
              <w:rPr>
                <w:b/>
                <w:color w:val="auto"/>
                <w:szCs w:val="21"/>
              </w:rPr>
            </w:pPr>
            <w:r>
              <w:rPr>
                <w:b/>
                <w:color w:val="auto"/>
                <w:szCs w:val="21"/>
              </w:rPr>
              <w:t>类别</w:t>
            </w:r>
          </w:p>
        </w:tc>
        <w:tc>
          <w:tcPr>
            <w:tcW w:w="2842" w:type="dxa"/>
            <w:vAlign w:val="center"/>
          </w:tcPr>
          <w:p w14:paraId="0C54E96A">
            <w:pPr>
              <w:tabs>
                <w:tab w:val="left" w:pos="2880"/>
              </w:tabs>
              <w:jc w:val="center"/>
              <w:rPr>
                <w:b/>
                <w:color w:val="auto"/>
                <w:szCs w:val="21"/>
              </w:rPr>
            </w:pPr>
            <w:r>
              <w:rPr>
                <w:b/>
                <w:color w:val="auto"/>
                <w:szCs w:val="21"/>
              </w:rPr>
              <w:t>昼间</w:t>
            </w:r>
          </w:p>
        </w:tc>
        <w:tc>
          <w:tcPr>
            <w:tcW w:w="2842" w:type="dxa"/>
            <w:vAlign w:val="center"/>
          </w:tcPr>
          <w:p w14:paraId="67190FB5">
            <w:pPr>
              <w:tabs>
                <w:tab w:val="left" w:pos="2880"/>
              </w:tabs>
              <w:jc w:val="center"/>
              <w:rPr>
                <w:b/>
                <w:color w:val="auto"/>
                <w:szCs w:val="21"/>
              </w:rPr>
            </w:pPr>
            <w:r>
              <w:rPr>
                <w:b/>
                <w:color w:val="auto"/>
                <w:szCs w:val="21"/>
              </w:rPr>
              <w:t>夜间</w:t>
            </w:r>
          </w:p>
        </w:tc>
      </w:tr>
      <w:tr w14:paraId="40B55240">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842" w:type="dxa"/>
            <w:vAlign w:val="center"/>
          </w:tcPr>
          <w:p w14:paraId="25DD341A">
            <w:pPr>
              <w:tabs>
                <w:tab w:val="left" w:pos="2880"/>
              </w:tabs>
              <w:jc w:val="center"/>
              <w:rPr>
                <w:color w:val="auto"/>
                <w:szCs w:val="21"/>
              </w:rPr>
            </w:pPr>
            <w:r>
              <w:rPr>
                <w:color w:val="auto"/>
                <w:szCs w:val="21"/>
              </w:rPr>
              <w:t>1类标准</w:t>
            </w:r>
          </w:p>
        </w:tc>
        <w:tc>
          <w:tcPr>
            <w:tcW w:w="2842" w:type="dxa"/>
            <w:vAlign w:val="center"/>
          </w:tcPr>
          <w:p w14:paraId="7E3169DF">
            <w:pPr>
              <w:tabs>
                <w:tab w:val="left" w:pos="2880"/>
              </w:tabs>
              <w:jc w:val="center"/>
              <w:rPr>
                <w:color w:val="auto"/>
                <w:szCs w:val="21"/>
              </w:rPr>
            </w:pPr>
            <w:r>
              <w:rPr>
                <w:color w:val="auto"/>
                <w:szCs w:val="21"/>
              </w:rPr>
              <w:t>55</w:t>
            </w:r>
          </w:p>
        </w:tc>
        <w:tc>
          <w:tcPr>
            <w:tcW w:w="2842" w:type="dxa"/>
            <w:vAlign w:val="center"/>
          </w:tcPr>
          <w:p w14:paraId="512CC95A">
            <w:pPr>
              <w:tabs>
                <w:tab w:val="left" w:pos="2880"/>
              </w:tabs>
              <w:jc w:val="center"/>
              <w:rPr>
                <w:color w:val="auto"/>
                <w:szCs w:val="21"/>
              </w:rPr>
            </w:pPr>
            <w:r>
              <w:rPr>
                <w:color w:val="auto"/>
                <w:szCs w:val="21"/>
              </w:rPr>
              <w:t>45</w:t>
            </w:r>
          </w:p>
        </w:tc>
      </w:tr>
    </w:tbl>
    <w:p w14:paraId="036722AE">
      <w:pPr>
        <w:spacing w:line="360" w:lineRule="auto"/>
        <w:ind w:firstLine="480" w:firstLineChars="200"/>
        <w:rPr>
          <w:color w:val="auto"/>
          <w:sz w:val="24"/>
        </w:rPr>
      </w:pPr>
      <w:r>
        <w:rPr>
          <w:color w:val="auto"/>
          <w:sz w:val="24"/>
        </w:rPr>
        <w:t>(</w:t>
      </w:r>
      <w:r>
        <w:rPr>
          <w:rFonts w:hint="eastAsia"/>
          <w:color w:val="auto"/>
          <w:sz w:val="24"/>
          <w:lang w:val="en-US" w:eastAsia="zh-CN"/>
        </w:rPr>
        <w:t>3</w:t>
      </w:r>
      <w:r>
        <w:rPr>
          <w:color w:val="auto"/>
          <w:sz w:val="24"/>
        </w:rPr>
        <w:t>)固体废物标准</w:t>
      </w:r>
    </w:p>
    <w:p w14:paraId="4286E69D">
      <w:pPr>
        <w:tabs>
          <w:tab w:val="left" w:pos="4425"/>
        </w:tabs>
        <w:spacing w:line="360" w:lineRule="auto"/>
        <w:ind w:firstLine="480" w:firstLineChars="200"/>
        <w:rPr>
          <w:color w:val="auto"/>
          <w:sz w:val="24"/>
        </w:rPr>
      </w:pPr>
      <w:r>
        <w:rPr>
          <w:color w:val="auto"/>
          <w:sz w:val="24"/>
        </w:rPr>
        <w:t>①项目产生的粪便</w:t>
      </w:r>
      <w:r>
        <w:rPr>
          <w:rFonts w:hint="eastAsia"/>
          <w:color w:val="auto"/>
          <w:sz w:val="24"/>
        </w:rPr>
        <w:t>、鸡羽毛、饲料残渣执行《畜禽养殖业污染物排放标准》(GB18596-2001)中表6及相关规定；</w:t>
      </w:r>
    </w:p>
    <w:p w14:paraId="1DA96478">
      <w:pPr>
        <w:tabs>
          <w:tab w:val="left" w:pos="2880"/>
        </w:tabs>
        <w:ind w:firstLine="422" w:firstLineChars="200"/>
        <w:jc w:val="center"/>
        <w:rPr>
          <w:color w:val="auto"/>
          <w:szCs w:val="21"/>
        </w:rPr>
      </w:pPr>
      <w:r>
        <w:rPr>
          <w:b/>
          <w:color w:val="auto"/>
          <w:szCs w:val="21"/>
        </w:rPr>
        <w:t>表2</w:t>
      </w:r>
      <w:r>
        <w:rPr>
          <w:rFonts w:hint="eastAsia"/>
          <w:b/>
          <w:color w:val="auto"/>
          <w:szCs w:val="21"/>
          <w:lang w:val="en-US" w:eastAsia="zh-CN"/>
        </w:rPr>
        <w:t>.2</w:t>
      </w:r>
      <w:r>
        <w:rPr>
          <w:b/>
          <w:color w:val="auto"/>
          <w:szCs w:val="21"/>
        </w:rPr>
        <w:t>-1</w:t>
      </w:r>
      <w:r>
        <w:rPr>
          <w:rFonts w:hint="eastAsia"/>
          <w:b/>
          <w:color w:val="auto"/>
          <w:szCs w:val="21"/>
          <w:lang w:val="en-US" w:eastAsia="zh-CN"/>
        </w:rPr>
        <w:t xml:space="preserve">3  </w:t>
      </w:r>
      <w:r>
        <w:rPr>
          <w:b/>
          <w:color w:val="auto"/>
          <w:szCs w:val="21"/>
        </w:rPr>
        <w:t xml:space="preserve">  畜禽养殖业污染物排放标准（GB18596-2001）</w:t>
      </w:r>
    </w:p>
    <w:tbl>
      <w:tblPr>
        <w:tblStyle w:val="53"/>
        <w:tblW w:w="5000" w:type="pct"/>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64"/>
        <w:gridCol w:w="4264"/>
      </w:tblGrid>
      <w:tr w14:paraId="73A13FE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00" w:type="pct"/>
            <w:vAlign w:val="center"/>
          </w:tcPr>
          <w:p w14:paraId="6DF3ED50">
            <w:pPr>
              <w:tabs>
                <w:tab w:val="left" w:pos="2880"/>
              </w:tabs>
              <w:jc w:val="center"/>
              <w:rPr>
                <w:b/>
                <w:color w:val="auto"/>
                <w:szCs w:val="21"/>
              </w:rPr>
            </w:pPr>
            <w:r>
              <w:rPr>
                <w:rFonts w:hint="eastAsia"/>
                <w:b/>
                <w:color w:val="auto"/>
                <w:szCs w:val="21"/>
              </w:rPr>
              <w:t>控制项目</w:t>
            </w:r>
          </w:p>
        </w:tc>
        <w:tc>
          <w:tcPr>
            <w:tcW w:w="2500" w:type="pct"/>
            <w:vAlign w:val="center"/>
          </w:tcPr>
          <w:p w14:paraId="6C2C2A44">
            <w:pPr>
              <w:tabs>
                <w:tab w:val="left" w:pos="2880"/>
              </w:tabs>
              <w:jc w:val="center"/>
              <w:rPr>
                <w:b/>
                <w:color w:val="auto"/>
                <w:szCs w:val="21"/>
              </w:rPr>
            </w:pPr>
            <w:r>
              <w:rPr>
                <w:rFonts w:hint="eastAsia"/>
                <w:b/>
                <w:color w:val="auto"/>
                <w:szCs w:val="21"/>
              </w:rPr>
              <w:t>指标</w:t>
            </w:r>
          </w:p>
        </w:tc>
      </w:tr>
      <w:tr w14:paraId="284EA34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00" w:type="pct"/>
            <w:vAlign w:val="center"/>
          </w:tcPr>
          <w:p w14:paraId="1D791FA7">
            <w:pPr>
              <w:tabs>
                <w:tab w:val="left" w:pos="2880"/>
              </w:tabs>
              <w:jc w:val="center"/>
              <w:rPr>
                <w:color w:val="auto"/>
                <w:szCs w:val="21"/>
              </w:rPr>
            </w:pPr>
            <w:r>
              <w:rPr>
                <w:rFonts w:hint="eastAsia"/>
                <w:color w:val="auto"/>
                <w:szCs w:val="21"/>
              </w:rPr>
              <w:t>蛔虫卵</w:t>
            </w:r>
          </w:p>
        </w:tc>
        <w:tc>
          <w:tcPr>
            <w:tcW w:w="2500" w:type="pct"/>
            <w:vAlign w:val="center"/>
          </w:tcPr>
          <w:p w14:paraId="3F9AECA7">
            <w:pPr>
              <w:tabs>
                <w:tab w:val="left" w:pos="2880"/>
              </w:tabs>
              <w:jc w:val="center"/>
              <w:rPr>
                <w:color w:val="auto"/>
                <w:szCs w:val="21"/>
              </w:rPr>
            </w:pPr>
            <w:r>
              <w:rPr>
                <w:rFonts w:hint="eastAsia"/>
                <w:color w:val="auto"/>
                <w:szCs w:val="21"/>
              </w:rPr>
              <w:t>死亡率≥95%</w:t>
            </w:r>
          </w:p>
        </w:tc>
      </w:tr>
      <w:tr w14:paraId="498FAFE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00" w:type="pct"/>
            <w:vAlign w:val="center"/>
          </w:tcPr>
          <w:p w14:paraId="7E2B18D0">
            <w:pPr>
              <w:tabs>
                <w:tab w:val="left" w:pos="2880"/>
              </w:tabs>
              <w:jc w:val="center"/>
              <w:rPr>
                <w:color w:val="auto"/>
                <w:szCs w:val="21"/>
              </w:rPr>
            </w:pPr>
            <w:r>
              <w:rPr>
                <w:rFonts w:hint="eastAsia"/>
                <w:color w:val="auto"/>
                <w:szCs w:val="21"/>
              </w:rPr>
              <w:t>粪大肠菌群数</w:t>
            </w:r>
          </w:p>
        </w:tc>
        <w:tc>
          <w:tcPr>
            <w:tcW w:w="2500" w:type="pct"/>
            <w:vAlign w:val="center"/>
          </w:tcPr>
          <w:p w14:paraId="09BD503A">
            <w:pPr>
              <w:tabs>
                <w:tab w:val="left" w:pos="2880"/>
              </w:tabs>
              <w:jc w:val="center"/>
              <w:rPr>
                <w:color w:val="auto"/>
                <w:szCs w:val="21"/>
              </w:rPr>
            </w:pPr>
            <w:r>
              <w:rPr>
                <w:rFonts w:hint="eastAsia"/>
                <w:color w:val="auto"/>
                <w:szCs w:val="21"/>
              </w:rPr>
              <w:t>≤10</w:t>
            </w:r>
            <w:r>
              <w:rPr>
                <w:rFonts w:hint="eastAsia"/>
                <w:color w:val="auto"/>
                <w:szCs w:val="21"/>
                <w:vertAlign w:val="superscript"/>
              </w:rPr>
              <w:t>5</w:t>
            </w:r>
            <w:r>
              <w:rPr>
                <w:rFonts w:hint="eastAsia"/>
                <w:color w:val="auto"/>
                <w:szCs w:val="21"/>
              </w:rPr>
              <w:t>个/kg</w:t>
            </w:r>
          </w:p>
        </w:tc>
      </w:tr>
    </w:tbl>
    <w:p w14:paraId="17C15A6B">
      <w:pPr>
        <w:tabs>
          <w:tab w:val="left" w:pos="4425"/>
        </w:tabs>
        <w:spacing w:line="360" w:lineRule="auto"/>
        <w:ind w:firstLine="480" w:firstLineChars="200"/>
        <w:rPr>
          <w:color w:val="auto"/>
          <w:sz w:val="24"/>
        </w:rPr>
      </w:pPr>
      <w:r>
        <w:rPr>
          <w:color w:val="auto"/>
          <w:sz w:val="24"/>
        </w:rPr>
        <w:t>②病死鸡处理执行《病死及病害动物无害化处理技术规范》（农医发[2017]25号）、《畜禽养殖业污染防治技术规范》（HJ/T81-2001）和《畜禽养殖业污染治理工程技术规范》（HJ497-2009）中相关规定执行；</w:t>
      </w:r>
    </w:p>
    <w:p w14:paraId="24C899AD">
      <w:pPr>
        <w:tabs>
          <w:tab w:val="left" w:pos="4425"/>
        </w:tabs>
        <w:spacing w:line="360" w:lineRule="auto"/>
        <w:ind w:firstLine="480" w:firstLineChars="200"/>
        <w:rPr>
          <w:color w:val="auto"/>
          <w:sz w:val="24"/>
        </w:rPr>
      </w:pPr>
      <w:r>
        <w:rPr>
          <w:color w:val="auto"/>
          <w:sz w:val="24"/>
        </w:rPr>
        <w:t>③</w:t>
      </w:r>
      <w:r>
        <w:rPr>
          <w:rFonts w:hint="eastAsia"/>
          <w:color w:val="auto"/>
          <w:sz w:val="24"/>
          <w:lang w:val="en-US" w:eastAsia="zh-CN"/>
        </w:rPr>
        <w:t>医疗废物</w:t>
      </w:r>
      <w:r>
        <w:rPr>
          <w:color w:val="auto"/>
          <w:sz w:val="24"/>
        </w:rPr>
        <w:t>的收集、贮存和运输执行《危险废物贮存污染控制标准》（GB18597-20</w:t>
      </w:r>
      <w:r>
        <w:rPr>
          <w:rFonts w:hint="eastAsia"/>
          <w:color w:val="auto"/>
          <w:sz w:val="24"/>
          <w:lang w:val="en-US" w:eastAsia="zh-CN"/>
        </w:rPr>
        <w:t>23</w:t>
      </w:r>
      <w:r>
        <w:rPr>
          <w:color w:val="auto"/>
          <w:sz w:val="24"/>
        </w:rPr>
        <w:t>）、《危险废物收集贮存运输技术规范》（HJ2025-2012）、《危险废物转移管理办法》</w:t>
      </w:r>
      <w:r>
        <w:rPr>
          <w:rFonts w:hint="eastAsia"/>
          <w:color w:val="auto"/>
          <w:sz w:val="24"/>
          <w:lang w:eastAsia="zh-CN"/>
        </w:rPr>
        <w:t>（</w:t>
      </w:r>
      <w:r>
        <w:rPr>
          <w:rFonts w:hint="eastAsia"/>
          <w:color w:val="auto"/>
          <w:sz w:val="24"/>
          <w:lang w:val="en-US" w:eastAsia="zh-CN"/>
        </w:rPr>
        <w:t>生态环境部公安部交通运输部部令第23号</w:t>
      </w:r>
      <w:r>
        <w:rPr>
          <w:rFonts w:hint="eastAsia"/>
          <w:color w:val="auto"/>
          <w:sz w:val="24"/>
          <w:lang w:eastAsia="zh-CN"/>
        </w:rPr>
        <w:t>）</w:t>
      </w:r>
      <w:r>
        <w:rPr>
          <w:color w:val="auto"/>
          <w:sz w:val="24"/>
        </w:rPr>
        <w:t>。</w:t>
      </w:r>
    </w:p>
    <w:bookmarkEnd w:id="46"/>
    <w:bookmarkEnd w:id="47"/>
    <w:p w14:paraId="25AF47F4">
      <w:pPr>
        <w:pStyle w:val="3"/>
        <w:adjustRightInd w:val="0"/>
        <w:jc w:val="both"/>
        <w:rPr>
          <w:rFonts w:eastAsia="宋体"/>
          <w:color w:val="auto"/>
          <w:sz w:val="30"/>
          <w:szCs w:val="30"/>
        </w:rPr>
      </w:pPr>
      <w:bookmarkStart w:id="120" w:name="_Toc20174"/>
      <w:bookmarkStart w:id="121" w:name="_Toc2951"/>
      <w:bookmarkStart w:id="122" w:name="_Toc448693423"/>
      <w:bookmarkStart w:id="123" w:name="_Toc448765653"/>
      <w:bookmarkStart w:id="124" w:name="_Toc24027891"/>
      <w:bookmarkStart w:id="125" w:name="_Toc448693345"/>
      <w:bookmarkStart w:id="126" w:name="_Toc446938379"/>
      <w:bookmarkStart w:id="127" w:name="_Toc448771388"/>
      <w:r>
        <w:rPr>
          <w:rFonts w:eastAsia="宋体"/>
          <w:color w:val="auto"/>
          <w:sz w:val="30"/>
          <w:szCs w:val="30"/>
        </w:rPr>
        <w:t>2.3评价工作等级与评价重点</w:t>
      </w:r>
      <w:bookmarkEnd w:id="120"/>
      <w:bookmarkEnd w:id="121"/>
    </w:p>
    <w:bookmarkEnd w:id="122"/>
    <w:bookmarkEnd w:id="123"/>
    <w:bookmarkEnd w:id="124"/>
    <w:bookmarkEnd w:id="125"/>
    <w:bookmarkEnd w:id="126"/>
    <w:bookmarkEnd w:id="127"/>
    <w:p w14:paraId="6807C7F0">
      <w:pPr>
        <w:pStyle w:val="4"/>
        <w:snapToGrid w:val="0"/>
        <w:spacing w:before="0"/>
        <w:rPr>
          <w:rFonts w:ascii="Times New Roman" w:hAnsi="Times New Roman" w:eastAsia="宋体"/>
          <w:bCs/>
          <w:color w:val="auto"/>
          <w:sz w:val="28"/>
          <w:szCs w:val="28"/>
        </w:rPr>
      </w:pPr>
      <w:bookmarkStart w:id="128" w:name="_Toc6659"/>
      <w:r>
        <w:rPr>
          <w:rFonts w:ascii="Times New Roman" w:hAnsi="Times New Roman" w:eastAsia="宋体"/>
          <w:bCs/>
          <w:color w:val="auto"/>
          <w:sz w:val="28"/>
          <w:szCs w:val="28"/>
        </w:rPr>
        <w:t>2.3.1评价工作等级</w:t>
      </w:r>
      <w:bookmarkEnd w:id="128"/>
    </w:p>
    <w:p w14:paraId="49731ED8">
      <w:pPr>
        <w:snapToGrid w:val="0"/>
        <w:spacing w:line="360" w:lineRule="auto"/>
        <w:outlineLvl w:val="3"/>
        <w:rPr>
          <w:rFonts w:hint="eastAsia" w:eastAsia="宋体"/>
          <w:b/>
          <w:color w:val="auto"/>
          <w:sz w:val="24"/>
          <w:lang w:eastAsia="zh-CN"/>
        </w:rPr>
      </w:pPr>
      <w:r>
        <w:rPr>
          <w:b/>
          <w:color w:val="auto"/>
          <w:sz w:val="24"/>
        </w:rPr>
        <w:t>2.3.1.1环境空气影响评价工作等级</w:t>
      </w:r>
      <w:r>
        <w:rPr>
          <w:rFonts w:hint="eastAsia"/>
          <w:b/>
          <w:color w:val="auto"/>
          <w:sz w:val="24"/>
          <w:lang w:eastAsia="zh-CN"/>
        </w:rPr>
        <w:t>及评价范围</w:t>
      </w:r>
    </w:p>
    <w:p w14:paraId="22CDF2D1">
      <w:pPr>
        <w:spacing w:line="360" w:lineRule="auto"/>
        <w:ind w:firstLine="480" w:firstLineChars="200"/>
        <w:jc w:val="left"/>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）评价工作等级</w:t>
      </w:r>
    </w:p>
    <w:p w14:paraId="1D863D8B">
      <w:pPr>
        <w:spacing w:line="360" w:lineRule="auto"/>
        <w:ind w:firstLine="480" w:firstLineChars="200"/>
        <w:jc w:val="left"/>
        <w:rPr>
          <w:color w:val="auto"/>
          <w:sz w:val="24"/>
        </w:rPr>
      </w:pPr>
      <w:r>
        <w:rPr>
          <w:color w:val="auto"/>
          <w:sz w:val="24"/>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14:paraId="7EF8F38D">
      <w:pPr>
        <w:spacing w:line="360" w:lineRule="auto"/>
        <w:ind w:firstLine="480" w:firstLineChars="200"/>
        <w:jc w:val="left"/>
        <w:rPr>
          <w:color w:val="auto"/>
          <w:sz w:val="24"/>
        </w:rPr>
      </w:pPr>
      <w:r>
        <w:rPr>
          <w:color w:val="auto"/>
          <w:sz w:val="24"/>
        </w:rPr>
        <w:t>Pmax及D</w:t>
      </w:r>
      <w:r>
        <w:rPr>
          <w:color w:val="auto"/>
          <w:sz w:val="24"/>
          <w:vertAlign w:val="subscript"/>
        </w:rPr>
        <w:t>10%</w:t>
      </w:r>
      <w:r>
        <w:rPr>
          <w:color w:val="auto"/>
          <w:sz w:val="24"/>
        </w:rPr>
        <w:t>的确定：</w:t>
      </w:r>
    </w:p>
    <w:p w14:paraId="3F559890">
      <w:pPr>
        <w:spacing w:line="360" w:lineRule="auto"/>
        <w:ind w:firstLine="480" w:firstLineChars="200"/>
        <w:jc w:val="left"/>
        <w:rPr>
          <w:color w:val="auto"/>
          <w:sz w:val="24"/>
        </w:rPr>
      </w:pPr>
      <w:r>
        <w:rPr>
          <w:color w:val="auto"/>
          <w:sz w:val="24"/>
        </w:rPr>
        <w:t>依据《环境影响评价技术导则 大气环境》（HJ2.2-2018）中最大地面浓度占标率Pi定义如下：</w:t>
      </w:r>
    </w:p>
    <w:p w14:paraId="5BE9521E">
      <w:pPr>
        <w:widowControl/>
        <w:adjustRightInd w:val="0"/>
        <w:snapToGrid w:val="0"/>
        <w:spacing w:line="360" w:lineRule="auto"/>
        <w:jc w:val="center"/>
        <w:rPr>
          <w:bCs/>
          <w:color w:val="auto"/>
          <w:kern w:val="0"/>
          <w:sz w:val="24"/>
        </w:rPr>
      </w:pPr>
      <w:r>
        <w:rPr>
          <w:bCs/>
          <w:color w:val="auto"/>
          <w:kern w:val="0"/>
          <w:position w:val="-30"/>
          <w:sz w:val="24"/>
        </w:rPr>
        <w:object>
          <v:shape id="_x0000_i1025" o:spt="75" type="#_x0000_t75" style="height:33.75pt;width:75pt;" o:ole="t" filled="f" o:preferrelative="t" stroked="f" coordsize="21600,21600">
            <v:path/>
            <v:fill on="f" focussize="0,0"/>
            <v:stroke on="f"/>
            <v:imagedata r:id="rId20" o:title=""/>
            <o:lock v:ext="edit" aspectratio="t"/>
            <w10:wrap type="none"/>
            <w10:anchorlock/>
          </v:shape>
          <o:OLEObject Type="Embed" ProgID="Equation.3" ShapeID="_x0000_i1025" DrawAspect="Content" ObjectID="_1468075725" r:id="rId19">
            <o:LockedField>false</o:LockedField>
          </o:OLEObject>
        </w:object>
      </w:r>
    </w:p>
    <w:p w14:paraId="5648725C">
      <w:pPr>
        <w:widowControl/>
        <w:adjustRightInd w:val="0"/>
        <w:snapToGrid w:val="0"/>
        <w:spacing w:line="360" w:lineRule="auto"/>
        <w:rPr>
          <w:bCs/>
          <w:color w:val="auto"/>
          <w:kern w:val="0"/>
          <w:sz w:val="24"/>
        </w:rPr>
      </w:pPr>
      <w:r>
        <w:rPr>
          <w:bCs/>
          <w:color w:val="auto"/>
          <w:kern w:val="0"/>
          <w:sz w:val="24"/>
        </w:rPr>
        <w:t>式中：</w:t>
      </w:r>
    </w:p>
    <w:p w14:paraId="05DD11D5">
      <w:pPr>
        <w:widowControl/>
        <w:adjustRightInd w:val="0"/>
        <w:snapToGrid w:val="0"/>
        <w:spacing w:line="360" w:lineRule="auto"/>
        <w:ind w:firstLine="480" w:firstLineChars="200"/>
        <w:rPr>
          <w:bCs/>
          <w:color w:val="auto"/>
          <w:kern w:val="0"/>
          <w:sz w:val="24"/>
        </w:rPr>
      </w:pPr>
      <w:r>
        <w:rPr>
          <w:bCs/>
          <w:color w:val="auto"/>
          <w:kern w:val="0"/>
          <w:sz w:val="24"/>
        </w:rPr>
        <w:t>P</w:t>
      </w:r>
      <w:r>
        <w:rPr>
          <w:bCs/>
          <w:color w:val="auto"/>
          <w:kern w:val="0"/>
          <w:sz w:val="24"/>
          <w:vertAlign w:val="subscript"/>
        </w:rPr>
        <w:t>i</w:t>
      </w:r>
      <w:r>
        <w:rPr>
          <w:bCs/>
          <w:color w:val="auto"/>
          <w:kern w:val="0"/>
          <w:sz w:val="24"/>
        </w:rPr>
        <w:t>—第i个污染物的最大地面浓度占标率，%；</w:t>
      </w:r>
    </w:p>
    <w:p w14:paraId="1CB3AFD0">
      <w:pPr>
        <w:widowControl/>
        <w:adjustRightInd w:val="0"/>
        <w:snapToGrid w:val="0"/>
        <w:spacing w:line="360" w:lineRule="auto"/>
        <w:ind w:firstLine="480" w:firstLineChars="200"/>
        <w:rPr>
          <w:bCs/>
          <w:color w:val="auto"/>
          <w:kern w:val="0"/>
          <w:sz w:val="24"/>
        </w:rPr>
      </w:pPr>
      <w:r>
        <w:rPr>
          <w:bCs/>
          <w:color w:val="auto"/>
          <w:kern w:val="0"/>
          <w:sz w:val="24"/>
        </w:rPr>
        <w:t>C</w:t>
      </w:r>
      <w:r>
        <w:rPr>
          <w:bCs/>
          <w:color w:val="auto"/>
          <w:kern w:val="0"/>
          <w:sz w:val="24"/>
          <w:vertAlign w:val="subscript"/>
        </w:rPr>
        <w:t>i</w:t>
      </w:r>
      <w:r>
        <w:rPr>
          <w:bCs/>
          <w:color w:val="auto"/>
          <w:kern w:val="0"/>
          <w:sz w:val="24"/>
        </w:rPr>
        <w:t>—采用估算模式计算出的第i个污染物的最大地面浓度，mg/m</w:t>
      </w:r>
      <w:r>
        <w:rPr>
          <w:bCs/>
          <w:color w:val="auto"/>
          <w:kern w:val="0"/>
          <w:sz w:val="24"/>
          <w:vertAlign w:val="superscript"/>
        </w:rPr>
        <w:t>3</w:t>
      </w:r>
      <w:r>
        <w:rPr>
          <w:bCs/>
          <w:color w:val="auto"/>
          <w:kern w:val="0"/>
          <w:sz w:val="24"/>
        </w:rPr>
        <w:t>；</w:t>
      </w:r>
    </w:p>
    <w:p w14:paraId="13F6E03E">
      <w:pPr>
        <w:widowControl/>
        <w:adjustRightInd w:val="0"/>
        <w:snapToGrid w:val="0"/>
        <w:spacing w:line="360" w:lineRule="auto"/>
        <w:ind w:firstLine="480" w:firstLineChars="200"/>
        <w:rPr>
          <w:bCs/>
          <w:color w:val="auto"/>
          <w:kern w:val="0"/>
          <w:sz w:val="24"/>
        </w:rPr>
      </w:pPr>
      <w:r>
        <w:rPr>
          <w:bCs/>
          <w:color w:val="auto"/>
          <w:kern w:val="0"/>
          <w:sz w:val="24"/>
        </w:rPr>
        <w:t>C</w:t>
      </w:r>
      <w:r>
        <w:rPr>
          <w:bCs/>
          <w:color w:val="auto"/>
          <w:kern w:val="0"/>
          <w:sz w:val="24"/>
          <w:vertAlign w:val="subscript"/>
        </w:rPr>
        <w:t>0i</w:t>
      </w:r>
      <w:r>
        <w:rPr>
          <w:bCs/>
          <w:color w:val="auto"/>
          <w:kern w:val="0"/>
          <w:sz w:val="24"/>
        </w:rPr>
        <w:t>—第i个污染物的环境空气质量标准，mg/m</w:t>
      </w:r>
      <w:r>
        <w:rPr>
          <w:bCs/>
          <w:color w:val="auto"/>
          <w:kern w:val="0"/>
          <w:sz w:val="24"/>
          <w:vertAlign w:val="superscript"/>
        </w:rPr>
        <w:t>3</w:t>
      </w:r>
      <w:r>
        <w:rPr>
          <w:bCs/>
          <w:color w:val="auto"/>
          <w:kern w:val="0"/>
          <w:sz w:val="24"/>
        </w:rPr>
        <w:t>。</w:t>
      </w:r>
    </w:p>
    <w:p w14:paraId="441C5A3C">
      <w:pPr>
        <w:widowControl/>
        <w:adjustRightInd w:val="0"/>
        <w:snapToGrid w:val="0"/>
        <w:spacing w:line="360" w:lineRule="auto"/>
        <w:ind w:firstLine="480" w:firstLineChars="200"/>
        <w:rPr>
          <w:bCs/>
          <w:color w:val="auto"/>
          <w:kern w:val="0"/>
          <w:sz w:val="24"/>
        </w:rPr>
      </w:pPr>
      <w:r>
        <w:rPr>
          <w:bCs/>
          <w:color w:val="auto"/>
          <w:kern w:val="0"/>
          <w:sz w:val="24"/>
        </w:rPr>
        <w:t>根据《环境影响评价技术导则 大气环境》（HJ2.2-2018）的规定，根据表</w:t>
      </w:r>
      <w:r>
        <w:rPr>
          <w:rFonts w:hint="eastAsia"/>
          <w:bCs/>
          <w:color w:val="auto"/>
          <w:kern w:val="0"/>
          <w:sz w:val="24"/>
          <w:lang w:val="en-US" w:eastAsia="zh-CN"/>
        </w:rPr>
        <w:t>2.3-1</w:t>
      </w:r>
      <w:r>
        <w:rPr>
          <w:bCs/>
          <w:color w:val="auto"/>
          <w:kern w:val="0"/>
          <w:sz w:val="24"/>
        </w:rPr>
        <w:t>判定大气评价工作等级。</w:t>
      </w:r>
    </w:p>
    <w:p w14:paraId="1F7E149F">
      <w:pPr>
        <w:snapToGrid w:val="0"/>
        <w:ind w:firstLine="413" w:firstLineChars="196"/>
        <w:jc w:val="center"/>
        <w:rPr>
          <w:b/>
          <w:color w:val="auto"/>
          <w:szCs w:val="21"/>
        </w:rPr>
      </w:pPr>
      <w:r>
        <w:rPr>
          <w:b/>
          <w:color w:val="auto"/>
          <w:szCs w:val="21"/>
        </w:rPr>
        <w:t>表</w:t>
      </w:r>
      <w:r>
        <w:rPr>
          <w:rFonts w:hint="eastAsia"/>
          <w:b/>
          <w:color w:val="auto"/>
          <w:szCs w:val="21"/>
          <w:lang w:val="en-US" w:eastAsia="zh-CN"/>
        </w:rPr>
        <w:t>2.3-1</w:t>
      </w:r>
      <w:r>
        <w:rPr>
          <w:rFonts w:hint="eastAsia"/>
          <w:b/>
          <w:color w:val="auto"/>
          <w:szCs w:val="21"/>
        </w:rPr>
        <w:t xml:space="preserve">  </w:t>
      </w:r>
      <w:r>
        <w:rPr>
          <w:b/>
          <w:color w:val="auto"/>
          <w:szCs w:val="21"/>
        </w:rPr>
        <w:t xml:space="preserve"> 评价工作等级判据</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681"/>
        <w:gridCol w:w="5845"/>
      </w:tblGrid>
      <w:tr w14:paraId="00E769A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81" w:type="dxa"/>
            <w:tcBorders>
              <w:top w:val="double" w:color="auto" w:sz="4" w:space="0"/>
              <w:left w:val="nil"/>
              <w:bottom w:val="single" w:color="auto" w:sz="6" w:space="0"/>
              <w:right w:val="single" w:color="auto" w:sz="6" w:space="0"/>
            </w:tcBorders>
            <w:vAlign w:val="center"/>
          </w:tcPr>
          <w:p w14:paraId="7F622E50">
            <w:pPr>
              <w:pStyle w:val="353"/>
              <w:rPr>
                <w:rFonts w:ascii="Times New Roman" w:hAnsi="Times New Roman"/>
                <w:bCs/>
                <w:color w:val="auto"/>
                <w:kern w:val="2"/>
              </w:rPr>
            </w:pPr>
            <w:r>
              <w:rPr>
                <w:rFonts w:ascii="Times New Roman" w:hAnsi="Times New Roman"/>
                <w:bCs/>
                <w:color w:val="auto"/>
                <w:kern w:val="2"/>
              </w:rPr>
              <w:t>评价工作等级</w:t>
            </w:r>
          </w:p>
        </w:tc>
        <w:tc>
          <w:tcPr>
            <w:tcW w:w="5845" w:type="dxa"/>
            <w:tcBorders>
              <w:top w:val="double" w:color="auto" w:sz="4" w:space="0"/>
              <w:left w:val="single" w:color="auto" w:sz="6" w:space="0"/>
              <w:bottom w:val="single" w:color="auto" w:sz="6" w:space="0"/>
              <w:right w:val="nil"/>
            </w:tcBorders>
            <w:vAlign w:val="center"/>
          </w:tcPr>
          <w:p w14:paraId="138C95B8">
            <w:pPr>
              <w:pStyle w:val="353"/>
              <w:rPr>
                <w:rFonts w:ascii="Times New Roman" w:hAnsi="Times New Roman"/>
                <w:bCs/>
                <w:color w:val="auto"/>
                <w:kern w:val="2"/>
              </w:rPr>
            </w:pPr>
            <w:r>
              <w:rPr>
                <w:rFonts w:ascii="Times New Roman" w:hAnsi="Times New Roman"/>
                <w:bCs/>
                <w:color w:val="auto"/>
                <w:kern w:val="2"/>
              </w:rPr>
              <w:t>评价工作分级判据</w:t>
            </w:r>
          </w:p>
        </w:tc>
      </w:tr>
      <w:tr w14:paraId="5E69EE7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81" w:type="dxa"/>
            <w:tcBorders>
              <w:top w:val="single" w:color="auto" w:sz="6" w:space="0"/>
              <w:left w:val="nil"/>
              <w:bottom w:val="single" w:color="auto" w:sz="6" w:space="0"/>
              <w:right w:val="single" w:color="auto" w:sz="6" w:space="0"/>
            </w:tcBorders>
            <w:vAlign w:val="center"/>
          </w:tcPr>
          <w:p w14:paraId="05FB4BDD">
            <w:pPr>
              <w:pStyle w:val="353"/>
              <w:rPr>
                <w:rFonts w:ascii="Times New Roman" w:hAnsi="Times New Roman"/>
                <w:color w:val="auto"/>
                <w:kern w:val="2"/>
              </w:rPr>
            </w:pPr>
            <w:r>
              <w:rPr>
                <w:rFonts w:ascii="Times New Roman" w:hAnsi="Times New Roman"/>
                <w:color w:val="auto"/>
                <w:kern w:val="2"/>
              </w:rPr>
              <w:t>一级</w:t>
            </w:r>
          </w:p>
        </w:tc>
        <w:tc>
          <w:tcPr>
            <w:tcW w:w="5845" w:type="dxa"/>
            <w:tcBorders>
              <w:top w:val="single" w:color="auto" w:sz="6" w:space="0"/>
              <w:left w:val="single" w:color="auto" w:sz="6" w:space="0"/>
              <w:bottom w:val="single" w:color="auto" w:sz="6" w:space="0"/>
              <w:right w:val="nil"/>
            </w:tcBorders>
            <w:vAlign w:val="center"/>
          </w:tcPr>
          <w:p w14:paraId="385DBE34">
            <w:pPr>
              <w:pStyle w:val="353"/>
              <w:rPr>
                <w:rFonts w:ascii="Times New Roman" w:hAnsi="Times New Roman"/>
                <w:color w:val="auto"/>
                <w:kern w:val="2"/>
              </w:rPr>
            </w:pPr>
            <w:r>
              <w:rPr>
                <w:rFonts w:ascii="Times New Roman" w:hAnsi="Times New Roman"/>
                <w:color w:val="auto"/>
                <w:kern w:val="2"/>
              </w:rPr>
              <w:t>P</w:t>
            </w:r>
            <w:r>
              <w:rPr>
                <w:rFonts w:ascii="Times New Roman" w:hAnsi="Times New Roman"/>
                <w:color w:val="auto"/>
                <w:kern w:val="2"/>
                <w:vertAlign w:val="subscript"/>
              </w:rPr>
              <w:t xml:space="preserve">max </w:t>
            </w:r>
            <w:r>
              <w:rPr>
                <w:rFonts w:ascii="Times New Roman" w:hAnsi="Times New Roman"/>
                <w:color w:val="auto"/>
                <w:kern w:val="2"/>
              </w:rPr>
              <w:t>≧10%</w:t>
            </w:r>
          </w:p>
        </w:tc>
      </w:tr>
      <w:tr w14:paraId="5BB7850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81" w:type="dxa"/>
            <w:tcBorders>
              <w:top w:val="single" w:color="auto" w:sz="6" w:space="0"/>
              <w:left w:val="nil"/>
              <w:bottom w:val="single" w:color="auto" w:sz="6" w:space="0"/>
              <w:right w:val="single" w:color="auto" w:sz="6" w:space="0"/>
            </w:tcBorders>
            <w:vAlign w:val="center"/>
          </w:tcPr>
          <w:p w14:paraId="094E8C0D">
            <w:pPr>
              <w:pStyle w:val="353"/>
              <w:rPr>
                <w:rFonts w:ascii="Times New Roman" w:hAnsi="Times New Roman"/>
                <w:color w:val="auto"/>
                <w:kern w:val="2"/>
              </w:rPr>
            </w:pPr>
            <w:r>
              <w:rPr>
                <w:rFonts w:ascii="Times New Roman" w:hAnsi="Times New Roman"/>
                <w:color w:val="auto"/>
                <w:kern w:val="2"/>
              </w:rPr>
              <w:t>二级</w:t>
            </w:r>
          </w:p>
        </w:tc>
        <w:tc>
          <w:tcPr>
            <w:tcW w:w="5845" w:type="dxa"/>
            <w:tcBorders>
              <w:top w:val="single" w:color="auto" w:sz="6" w:space="0"/>
              <w:left w:val="single" w:color="auto" w:sz="6" w:space="0"/>
              <w:bottom w:val="single" w:color="auto" w:sz="6" w:space="0"/>
              <w:right w:val="nil"/>
            </w:tcBorders>
            <w:vAlign w:val="center"/>
          </w:tcPr>
          <w:p w14:paraId="63F9F009">
            <w:pPr>
              <w:pStyle w:val="353"/>
              <w:rPr>
                <w:rFonts w:ascii="Times New Roman" w:hAnsi="Times New Roman"/>
                <w:color w:val="auto"/>
                <w:kern w:val="2"/>
              </w:rPr>
            </w:pPr>
            <w:r>
              <w:rPr>
                <w:rFonts w:ascii="Times New Roman" w:hAnsi="Times New Roman"/>
                <w:color w:val="auto"/>
                <w:kern w:val="2"/>
              </w:rPr>
              <w:t>1%≦P</w:t>
            </w:r>
            <w:r>
              <w:rPr>
                <w:rFonts w:ascii="Times New Roman" w:hAnsi="Times New Roman"/>
                <w:color w:val="auto"/>
                <w:kern w:val="2"/>
                <w:vertAlign w:val="subscript"/>
              </w:rPr>
              <w:t xml:space="preserve">max </w:t>
            </w:r>
            <w:r>
              <w:rPr>
                <w:rFonts w:ascii="Times New Roman" w:hAnsi="Times New Roman"/>
                <w:color w:val="auto"/>
                <w:kern w:val="2"/>
              </w:rPr>
              <w:t>＜10%</w:t>
            </w:r>
          </w:p>
        </w:tc>
      </w:tr>
      <w:tr w14:paraId="1A481D5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81" w:type="dxa"/>
            <w:tcBorders>
              <w:top w:val="single" w:color="auto" w:sz="6" w:space="0"/>
              <w:left w:val="nil"/>
              <w:bottom w:val="double" w:color="auto" w:sz="4" w:space="0"/>
              <w:right w:val="single" w:color="auto" w:sz="6" w:space="0"/>
            </w:tcBorders>
            <w:vAlign w:val="center"/>
          </w:tcPr>
          <w:p w14:paraId="3FD309CC">
            <w:pPr>
              <w:pStyle w:val="353"/>
              <w:rPr>
                <w:rFonts w:ascii="Times New Roman" w:hAnsi="Times New Roman"/>
                <w:color w:val="auto"/>
                <w:kern w:val="2"/>
              </w:rPr>
            </w:pPr>
            <w:r>
              <w:rPr>
                <w:rFonts w:ascii="Times New Roman" w:hAnsi="Times New Roman"/>
                <w:color w:val="auto"/>
                <w:kern w:val="2"/>
              </w:rPr>
              <w:t>三级</w:t>
            </w:r>
          </w:p>
        </w:tc>
        <w:tc>
          <w:tcPr>
            <w:tcW w:w="5845" w:type="dxa"/>
            <w:tcBorders>
              <w:top w:val="single" w:color="auto" w:sz="6" w:space="0"/>
              <w:left w:val="single" w:color="auto" w:sz="6" w:space="0"/>
              <w:bottom w:val="double" w:color="auto" w:sz="4" w:space="0"/>
              <w:right w:val="nil"/>
            </w:tcBorders>
            <w:vAlign w:val="center"/>
          </w:tcPr>
          <w:p w14:paraId="1FA4BAF4">
            <w:pPr>
              <w:pStyle w:val="353"/>
              <w:rPr>
                <w:rFonts w:ascii="Times New Roman" w:hAnsi="Times New Roman"/>
                <w:color w:val="auto"/>
                <w:kern w:val="2"/>
              </w:rPr>
            </w:pPr>
            <w:r>
              <w:rPr>
                <w:rFonts w:ascii="Times New Roman" w:hAnsi="Times New Roman"/>
                <w:color w:val="auto"/>
                <w:kern w:val="2"/>
              </w:rPr>
              <w:t>P</w:t>
            </w:r>
            <w:r>
              <w:rPr>
                <w:rFonts w:ascii="Times New Roman" w:hAnsi="Times New Roman"/>
                <w:color w:val="auto"/>
                <w:kern w:val="2"/>
                <w:vertAlign w:val="subscript"/>
              </w:rPr>
              <w:t>max</w:t>
            </w:r>
            <w:r>
              <w:rPr>
                <w:rFonts w:ascii="Times New Roman" w:hAnsi="Times New Roman"/>
                <w:color w:val="auto"/>
                <w:kern w:val="2"/>
              </w:rPr>
              <w:t>＜1%</w:t>
            </w:r>
          </w:p>
        </w:tc>
      </w:tr>
    </w:tbl>
    <w:p w14:paraId="375F5D1F">
      <w:pPr>
        <w:spacing w:line="360" w:lineRule="auto"/>
        <w:ind w:firstLine="480" w:firstLineChars="200"/>
        <w:rPr>
          <w:color w:val="auto"/>
          <w:sz w:val="24"/>
        </w:rPr>
      </w:pPr>
      <w:r>
        <w:rPr>
          <w:color w:val="auto"/>
          <w:sz w:val="24"/>
        </w:rPr>
        <w:t>本项目评价因子和评价标准见表</w:t>
      </w:r>
      <w:r>
        <w:rPr>
          <w:rFonts w:hint="eastAsia"/>
          <w:color w:val="auto"/>
          <w:sz w:val="24"/>
          <w:lang w:val="en-US" w:eastAsia="zh-CN"/>
        </w:rPr>
        <w:t>2.3-2</w:t>
      </w:r>
      <w:r>
        <w:rPr>
          <w:color w:val="auto"/>
          <w:sz w:val="24"/>
        </w:rPr>
        <w:t>。</w:t>
      </w:r>
    </w:p>
    <w:p w14:paraId="2FD5C52A">
      <w:pPr>
        <w:ind w:firstLine="422" w:firstLineChars="200"/>
        <w:jc w:val="center"/>
        <w:rPr>
          <w:b/>
          <w:color w:val="auto"/>
          <w:szCs w:val="21"/>
        </w:rPr>
      </w:pPr>
      <w:r>
        <w:rPr>
          <w:b/>
          <w:color w:val="auto"/>
          <w:szCs w:val="21"/>
        </w:rPr>
        <w:t>表</w:t>
      </w:r>
      <w:r>
        <w:rPr>
          <w:rFonts w:hint="eastAsia"/>
          <w:b/>
          <w:color w:val="auto"/>
          <w:szCs w:val="21"/>
          <w:lang w:val="en-US" w:eastAsia="zh-CN"/>
        </w:rPr>
        <w:t xml:space="preserve">2.3-2  </w:t>
      </w:r>
      <w:r>
        <w:rPr>
          <w:b/>
          <w:color w:val="auto"/>
          <w:szCs w:val="21"/>
        </w:rPr>
        <w:t xml:space="preserve">  评价因子和评价标准表</w:t>
      </w:r>
    </w:p>
    <w:tbl>
      <w:tblPr>
        <w:tblStyle w:val="5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1"/>
        <w:gridCol w:w="1847"/>
        <w:gridCol w:w="1663"/>
        <w:gridCol w:w="3714"/>
      </w:tblGrid>
      <w:tr w14:paraId="5075B1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Align w:val="center"/>
          </w:tcPr>
          <w:p w14:paraId="5089B584">
            <w:pPr>
              <w:jc w:val="center"/>
              <w:rPr>
                <w:b/>
                <w:color w:val="auto"/>
              </w:rPr>
            </w:pPr>
            <w:r>
              <w:rPr>
                <w:b/>
                <w:color w:val="auto"/>
              </w:rPr>
              <w:t>评价因子</w:t>
            </w:r>
          </w:p>
        </w:tc>
        <w:tc>
          <w:tcPr>
            <w:tcW w:w="1083" w:type="pct"/>
            <w:vAlign w:val="center"/>
          </w:tcPr>
          <w:p w14:paraId="796F4BF2">
            <w:pPr>
              <w:jc w:val="center"/>
              <w:rPr>
                <w:b/>
                <w:color w:val="auto"/>
              </w:rPr>
            </w:pPr>
            <w:r>
              <w:rPr>
                <w:b/>
                <w:color w:val="auto"/>
              </w:rPr>
              <w:t>平均时段</w:t>
            </w:r>
          </w:p>
        </w:tc>
        <w:tc>
          <w:tcPr>
            <w:tcW w:w="975" w:type="pct"/>
            <w:vAlign w:val="center"/>
          </w:tcPr>
          <w:p w14:paraId="4EE6EC23">
            <w:pPr>
              <w:jc w:val="center"/>
              <w:rPr>
                <w:b/>
                <w:color w:val="auto"/>
              </w:rPr>
            </w:pPr>
            <w:r>
              <w:rPr>
                <w:b/>
                <w:color w:val="auto"/>
              </w:rPr>
              <w:t>标准值/(</w:t>
            </w:r>
            <w:r>
              <w:rPr>
                <w:b/>
                <w:color w:val="auto"/>
                <w:szCs w:val="21"/>
              </w:rPr>
              <w:t>μg/m</w:t>
            </w:r>
            <w:r>
              <w:rPr>
                <w:b/>
                <w:color w:val="auto"/>
                <w:szCs w:val="21"/>
                <w:vertAlign w:val="superscript"/>
              </w:rPr>
              <w:t>3</w:t>
            </w:r>
            <w:r>
              <w:rPr>
                <w:b/>
                <w:color w:val="auto"/>
              </w:rPr>
              <w:t>)</w:t>
            </w:r>
          </w:p>
        </w:tc>
        <w:tc>
          <w:tcPr>
            <w:tcW w:w="2177" w:type="pct"/>
            <w:vAlign w:val="center"/>
          </w:tcPr>
          <w:p w14:paraId="492F50D4">
            <w:pPr>
              <w:jc w:val="center"/>
              <w:rPr>
                <w:b/>
                <w:color w:val="auto"/>
              </w:rPr>
            </w:pPr>
            <w:r>
              <w:rPr>
                <w:b/>
                <w:color w:val="auto"/>
              </w:rPr>
              <w:t>标准来源</w:t>
            </w:r>
          </w:p>
        </w:tc>
      </w:tr>
      <w:tr w14:paraId="1AEE172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Align w:val="center"/>
          </w:tcPr>
          <w:p w14:paraId="2B5EA372">
            <w:pPr>
              <w:jc w:val="center"/>
              <w:rPr>
                <w:color w:val="auto"/>
              </w:rPr>
            </w:pPr>
            <w:r>
              <w:rPr>
                <w:color w:val="auto"/>
              </w:rPr>
              <w:t>NH</w:t>
            </w:r>
            <w:r>
              <w:rPr>
                <w:color w:val="auto"/>
                <w:vertAlign w:val="subscript"/>
              </w:rPr>
              <w:t>3</w:t>
            </w:r>
          </w:p>
        </w:tc>
        <w:tc>
          <w:tcPr>
            <w:tcW w:w="1083" w:type="pct"/>
            <w:vAlign w:val="center"/>
          </w:tcPr>
          <w:p w14:paraId="2B7D321A">
            <w:pPr>
              <w:jc w:val="center"/>
              <w:rPr>
                <w:color w:val="auto"/>
                <w:szCs w:val="21"/>
              </w:rPr>
            </w:pPr>
            <w:r>
              <w:rPr>
                <w:color w:val="auto"/>
                <w:kern w:val="0"/>
                <w:szCs w:val="21"/>
              </w:rPr>
              <w:t>1小时平均</w:t>
            </w:r>
          </w:p>
        </w:tc>
        <w:tc>
          <w:tcPr>
            <w:tcW w:w="975" w:type="pct"/>
            <w:vAlign w:val="center"/>
          </w:tcPr>
          <w:p w14:paraId="1A118CE0">
            <w:pPr>
              <w:kinsoku w:val="0"/>
              <w:overflowPunct w:val="0"/>
              <w:autoSpaceDE w:val="0"/>
              <w:autoSpaceDN w:val="0"/>
              <w:adjustRightInd w:val="0"/>
              <w:snapToGrid w:val="0"/>
              <w:jc w:val="center"/>
              <w:rPr>
                <w:color w:val="auto"/>
                <w:kern w:val="0"/>
                <w:szCs w:val="21"/>
              </w:rPr>
            </w:pPr>
            <w:r>
              <w:rPr>
                <w:color w:val="auto"/>
                <w:kern w:val="0"/>
                <w:szCs w:val="21"/>
              </w:rPr>
              <w:t>200</w:t>
            </w:r>
          </w:p>
        </w:tc>
        <w:tc>
          <w:tcPr>
            <w:tcW w:w="2177" w:type="pct"/>
            <w:vMerge w:val="restart"/>
            <w:vAlign w:val="center"/>
          </w:tcPr>
          <w:p w14:paraId="0323D31C">
            <w:pPr>
              <w:jc w:val="center"/>
              <w:rPr>
                <w:color w:val="auto"/>
              </w:rPr>
            </w:pPr>
            <w:r>
              <w:rPr>
                <w:color w:val="auto"/>
                <w:szCs w:val="21"/>
              </w:rPr>
              <w:t>《环境影响评价技术导则 大气环境》(HJ2.2-2018) 附录D表D.1</w:t>
            </w:r>
          </w:p>
        </w:tc>
      </w:tr>
      <w:tr w14:paraId="380F7D4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Align w:val="center"/>
          </w:tcPr>
          <w:p w14:paraId="224BF201">
            <w:pPr>
              <w:jc w:val="center"/>
              <w:rPr>
                <w:color w:val="auto"/>
              </w:rPr>
            </w:pPr>
            <w:r>
              <w:rPr>
                <w:color w:val="auto"/>
              </w:rPr>
              <w:t>H</w:t>
            </w:r>
            <w:r>
              <w:rPr>
                <w:color w:val="auto"/>
                <w:vertAlign w:val="subscript"/>
              </w:rPr>
              <w:t>2</w:t>
            </w:r>
            <w:r>
              <w:rPr>
                <w:color w:val="auto"/>
              </w:rPr>
              <w:t>S</w:t>
            </w:r>
          </w:p>
        </w:tc>
        <w:tc>
          <w:tcPr>
            <w:tcW w:w="1083" w:type="pct"/>
            <w:vAlign w:val="center"/>
          </w:tcPr>
          <w:p w14:paraId="71DF9046">
            <w:pPr>
              <w:jc w:val="center"/>
              <w:rPr>
                <w:color w:val="auto"/>
                <w:szCs w:val="21"/>
              </w:rPr>
            </w:pPr>
            <w:r>
              <w:rPr>
                <w:color w:val="auto"/>
                <w:kern w:val="0"/>
                <w:szCs w:val="21"/>
              </w:rPr>
              <w:t>1小时平均</w:t>
            </w:r>
          </w:p>
        </w:tc>
        <w:tc>
          <w:tcPr>
            <w:tcW w:w="975" w:type="pct"/>
            <w:vAlign w:val="center"/>
          </w:tcPr>
          <w:p w14:paraId="05E6FAD3">
            <w:pPr>
              <w:kinsoku w:val="0"/>
              <w:overflowPunct w:val="0"/>
              <w:autoSpaceDE w:val="0"/>
              <w:autoSpaceDN w:val="0"/>
              <w:adjustRightInd w:val="0"/>
              <w:snapToGrid w:val="0"/>
              <w:jc w:val="center"/>
              <w:rPr>
                <w:color w:val="auto"/>
                <w:kern w:val="0"/>
                <w:szCs w:val="21"/>
              </w:rPr>
            </w:pPr>
            <w:r>
              <w:rPr>
                <w:color w:val="auto"/>
                <w:kern w:val="0"/>
                <w:szCs w:val="21"/>
              </w:rPr>
              <w:t>10</w:t>
            </w:r>
          </w:p>
        </w:tc>
        <w:tc>
          <w:tcPr>
            <w:tcW w:w="2177" w:type="pct"/>
            <w:vMerge w:val="continue"/>
            <w:vAlign w:val="center"/>
          </w:tcPr>
          <w:p w14:paraId="6B9F85AD">
            <w:pPr>
              <w:jc w:val="center"/>
              <w:rPr>
                <w:color w:val="auto"/>
              </w:rPr>
            </w:pPr>
          </w:p>
        </w:tc>
      </w:tr>
      <w:tr w14:paraId="6FC84ED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Align w:val="center"/>
          </w:tcPr>
          <w:p w14:paraId="309C3B3D">
            <w:pPr>
              <w:jc w:val="center"/>
              <w:rPr>
                <w:color w:val="auto"/>
              </w:rPr>
            </w:pPr>
            <w:r>
              <w:rPr>
                <w:rFonts w:hint="eastAsia"/>
                <w:color w:val="auto"/>
              </w:rPr>
              <w:t>PM</w:t>
            </w:r>
            <w:r>
              <w:rPr>
                <w:rFonts w:hint="eastAsia"/>
                <w:color w:val="auto"/>
                <w:vertAlign w:val="subscript"/>
              </w:rPr>
              <w:t>10</w:t>
            </w:r>
          </w:p>
        </w:tc>
        <w:tc>
          <w:tcPr>
            <w:tcW w:w="1083" w:type="pct"/>
            <w:vAlign w:val="center"/>
          </w:tcPr>
          <w:p w14:paraId="5D28A174">
            <w:pPr>
              <w:jc w:val="center"/>
              <w:rPr>
                <w:color w:val="auto"/>
                <w:kern w:val="0"/>
                <w:szCs w:val="21"/>
              </w:rPr>
            </w:pPr>
            <w:r>
              <w:rPr>
                <w:color w:val="auto"/>
                <w:kern w:val="0"/>
                <w:szCs w:val="21"/>
              </w:rPr>
              <w:t>1小时平均</w:t>
            </w:r>
            <w:r>
              <w:rPr>
                <w:rFonts w:hint="eastAsia"/>
                <w:color w:val="auto"/>
                <w:kern w:val="0"/>
                <w:szCs w:val="21"/>
              </w:rPr>
              <w:t>（24h均值折算）</w:t>
            </w:r>
          </w:p>
        </w:tc>
        <w:tc>
          <w:tcPr>
            <w:tcW w:w="975" w:type="pct"/>
            <w:vAlign w:val="center"/>
          </w:tcPr>
          <w:p w14:paraId="54A5CCC1">
            <w:pPr>
              <w:kinsoku w:val="0"/>
              <w:overflowPunct w:val="0"/>
              <w:autoSpaceDE w:val="0"/>
              <w:autoSpaceDN w:val="0"/>
              <w:adjustRightInd w:val="0"/>
              <w:snapToGrid w:val="0"/>
              <w:jc w:val="center"/>
              <w:rPr>
                <w:color w:val="auto"/>
                <w:kern w:val="0"/>
                <w:szCs w:val="21"/>
              </w:rPr>
            </w:pPr>
            <w:r>
              <w:rPr>
                <w:rFonts w:hint="eastAsia"/>
                <w:color w:val="auto"/>
                <w:kern w:val="0"/>
                <w:szCs w:val="21"/>
              </w:rPr>
              <w:t>450（24h均值3倍）</w:t>
            </w:r>
          </w:p>
        </w:tc>
        <w:tc>
          <w:tcPr>
            <w:tcW w:w="2177" w:type="pct"/>
            <w:vMerge w:val="restart"/>
            <w:vAlign w:val="center"/>
          </w:tcPr>
          <w:p w14:paraId="05C6A19C">
            <w:pPr>
              <w:jc w:val="center"/>
              <w:rPr>
                <w:color w:val="auto"/>
              </w:rPr>
            </w:pPr>
            <w:r>
              <w:rPr>
                <w:rFonts w:hint="eastAsia"/>
                <w:color w:val="auto"/>
              </w:rPr>
              <w:t>《环境空气质量标准》（GB3095-2012）及2018修改单二级标准</w:t>
            </w:r>
          </w:p>
        </w:tc>
      </w:tr>
      <w:tr w14:paraId="143F28D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Align w:val="center"/>
          </w:tcPr>
          <w:p w14:paraId="0CB3073C">
            <w:pPr>
              <w:jc w:val="center"/>
              <w:rPr>
                <w:color w:val="auto"/>
              </w:rPr>
            </w:pPr>
            <w:r>
              <w:rPr>
                <w:rFonts w:hint="eastAsia"/>
                <w:color w:val="auto"/>
              </w:rPr>
              <w:t>SO</w:t>
            </w:r>
            <w:r>
              <w:rPr>
                <w:rFonts w:hint="eastAsia"/>
                <w:color w:val="auto"/>
                <w:vertAlign w:val="subscript"/>
              </w:rPr>
              <w:t>2</w:t>
            </w:r>
          </w:p>
        </w:tc>
        <w:tc>
          <w:tcPr>
            <w:tcW w:w="1083" w:type="pct"/>
            <w:vAlign w:val="center"/>
          </w:tcPr>
          <w:p w14:paraId="3C82C96D">
            <w:pPr>
              <w:jc w:val="center"/>
              <w:rPr>
                <w:color w:val="auto"/>
                <w:kern w:val="0"/>
                <w:szCs w:val="21"/>
              </w:rPr>
            </w:pPr>
            <w:r>
              <w:rPr>
                <w:color w:val="auto"/>
                <w:kern w:val="0"/>
                <w:szCs w:val="21"/>
              </w:rPr>
              <w:t>1小时平均</w:t>
            </w:r>
          </w:p>
        </w:tc>
        <w:tc>
          <w:tcPr>
            <w:tcW w:w="975" w:type="pct"/>
            <w:vAlign w:val="center"/>
          </w:tcPr>
          <w:p w14:paraId="6195A6DA">
            <w:pPr>
              <w:kinsoku w:val="0"/>
              <w:overflowPunct w:val="0"/>
              <w:autoSpaceDE w:val="0"/>
              <w:autoSpaceDN w:val="0"/>
              <w:adjustRightInd w:val="0"/>
              <w:snapToGrid w:val="0"/>
              <w:jc w:val="center"/>
              <w:rPr>
                <w:rFonts w:hint="default" w:eastAsia="宋体"/>
                <w:color w:val="auto"/>
                <w:kern w:val="0"/>
                <w:szCs w:val="21"/>
                <w:lang w:val="en-US" w:eastAsia="zh-CN"/>
              </w:rPr>
            </w:pPr>
            <w:r>
              <w:rPr>
                <w:rFonts w:hint="eastAsia"/>
                <w:color w:val="auto"/>
                <w:kern w:val="0"/>
                <w:szCs w:val="21"/>
                <w:lang w:val="en-US" w:eastAsia="zh-CN"/>
              </w:rPr>
              <w:t>500</w:t>
            </w:r>
          </w:p>
        </w:tc>
        <w:tc>
          <w:tcPr>
            <w:tcW w:w="2177" w:type="pct"/>
            <w:vMerge w:val="continue"/>
            <w:vAlign w:val="center"/>
          </w:tcPr>
          <w:p w14:paraId="6E0B51CB">
            <w:pPr>
              <w:jc w:val="center"/>
              <w:rPr>
                <w:color w:val="auto"/>
              </w:rPr>
            </w:pPr>
          </w:p>
        </w:tc>
      </w:tr>
      <w:tr w14:paraId="2CCB7C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3" w:type="pct"/>
            <w:vAlign w:val="center"/>
          </w:tcPr>
          <w:p w14:paraId="63D7C4F7">
            <w:pPr>
              <w:jc w:val="center"/>
              <w:rPr>
                <w:rFonts w:hint="eastAsia" w:eastAsia="宋体"/>
                <w:color w:val="auto"/>
                <w:lang w:eastAsia="zh-CN"/>
              </w:rPr>
            </w:pPr>
            <w:r>
              <w:rPr>
                <w:rFonts w:hint="eastAsia"/>
                <w:color w:val="auto"/>
              </w:rPr>
              <w:t>NO</w:t>
            </w:r>
            <w:r>
              <w:rPr>
                <w:rFonts w:hint="eastAsia"/>
                <w:color w:val="auto"/>
                <w:vertAlign w:val="subscript"/>
                <w:lang w:val="en-US" w:eastAsia="zh-CN"/>
              </w:rPr>
              <w:t>2</w:t>
            </w:r>
          </w:p>
        </w:tc>
        <w:tc>
          <w:tcPr>
            <w:tcW w:w="1083" w:type="pct"/>
            <w:vAlign w:val="center"/>
          </w:tcPr>
          <w:p w14:paraId="3F70BAE7">
            <w:pPr>
              <w:jc w:val="center"/>
              <w:rPr>
                <w:color w:val="auto"/>
                <w:kern w:val="0"/>
                <w:szCs w:val="21"/>
              </w:rPr>
            </w:pPr>
            <w:r>
              <w:rPr>
                <w:color w:val="auto"/>
                <w:kern w:val="0"/>
                <w:szCs w:val="21"/>
              </w:rPr>
              <w:t>1小时平均</w:t>
            </w:r>
          </w:p>
        </w:tc>
        <w:tc>
          <w:tcPr>
            <w:tcW w:w="975" w:type="pct"/>
            <w:vAlign w:val="center"/>
          </w:tcPr>
          <w:p w14:paraId="336B67E2">
            <w:pPr>
              <w:kinsoku w:val="0"/>
              <w:overflowPunct w:val="0"/>
              <w:autoSpaceDE w:val="0"/>
              <w:autoSpaceDN w:val="0"/>
              <w:adjustRightInd w:val="0"/>
              <w:snapToGrid w:val="0"/>
              <w:jc w:val="center"/>
              <w:rPr>
                <w:rFonts w:hint="default" w:eastAsia="宋体"/>
                <w:color w:val="auto"/>
                <w:kern w:val="0"/>
                <w:szCs w:val="21"/>
                <w:lang w:val="en-US" w:eastAsia="zh-CN"/>
              </w:rPr>
            </w:pPr>
            <w:r>
              <w:rPr>
                <w:rFonts w:hint="eastAsia"/>
                <w:color w:val="auto"/>
                <w:kern w:val="0"/>
                <w:szCs w:val="21"/>
                <w:lang w:val="en-US" w:eastAsia="zh-CN"/>
              </w:rPr>
              <w:t>200</w:t>
            </w:r>
          </w:p>
        </w:tc>
        <w:tc>
          <w:tcPr>
            <w:tcW w:w="2177" w:type="pct"/>
            <w:vMerge w:val="continue"/>
            <w:vAlign w:val="center"/>
          </w:tcPr>
          <w:p w14:paraId="5351DA96">
            <w:pPr>
              <w:jc w:val="center"/>
              <w:rPr>
                <w:color w:val="auto"/>
              </w:rPr>
            </w:pPr>
          </w:p>
        </w:tc>
      </w:tr>
    </w:tbl>
    <w:p w14:paraId="69D7AD94">
      <w:pPr>
        <w:spacing w:line="360" w:lineRule="auto"/>
        <w:ind w:firstLine="480" w:firstLineChars="200"/>
        <w:rPr>
          <w:color w:val="auto"/>
          <w:sz w:val="24"/>
        </w:rPr>
      </w:pPr>
      <w:r>
        <w:rPr>
          <w:color w:val="auto"/>
          <w:sz w:val="24"/>
        </w:rPr>
        <w:t>本环评预测模式选择《环境影响评价技术导则—大气环境》(HJ2.2－2018)中推荐的ARESCREEN模式对项目排放的污染物扩散情况进行估算。模式中参数设置如下：</w:t>
      </w:r>
    </w:p>
    <w:p w14:paraId="1F41BB28">
      <w:pPr>
        <w:snapToGrid w:val="0"/>
        <w:ind w:firstLine="422" w:firstLineChars="200"/>
        <w:jc w:val="center"/>
        <w:rPr>
          <w:b/>
          <w:color w:val="auto"/>
        </w:rPr>
      </w:pPr>
      <w:r>
        <w:rPr>
          <w:b/>
          <w:color w:val="auto"/>
        </w:rPr>
        <w:t>表</w:t>
      </w:r>
      <w:r>
        <w:rPr>
          <w:rFonts w:hint="eastAsia"/>
          <w:b/>
          <w:color w:val="auto"/>
        </w:rPr>
        <w:t>2</w:t>
      </w:r>
      <w:r>
        <w:rPr>
          <w:rFonts w:hint="eastAsia"/>
          <w:b/>
          <w:color w:val="auto"/>
          <w:lang w:val="en-US" w:eastAsia="zh-CN"/>
        </w:rPr>
        <w:t xml:space="preserve">.3-3  </w:t>
      </w:r>
      <w:r>
        <w:rPr>
          <w:b/>
          <w:color w:val="auto"/>
        </w:rPr>
        <w:t xml:space="preserve">  估算模型参数表</w:t>
      </w:r>
    </w:p>
    <w:tbl>
      <w:tblPr>
        <w:tblStyle w:val="53"/>
        <w:tblW w:w="4999"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82"/>
        <w:gridCol w:w="2935"/>
        <w:gridCol w:w="2809"/>
      </w:tblGrid>
      <w:tr w14:paraId="12EBFDA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52" w:type="pct"/>
            <w:gridSpan w:val="2"/>
            <w:vAlign w:val="center"/>
          </w:tcPr>
          <w:p w14:paraId="0A685278">
            <w:pPr>
              <w:jc w:val="center"/>
              <w:rPr>
                <w:b/>
                <w:color w:val="auto"/>
              </w:rPr>
            </w:pPr>
            <w:r>
              <w:rPr>
                <w:b/>
                <w:color w:val="auto"/>
              </w:rPr>
              <w:t>参数</w:t>
            </w:r>
          </w:p>
        </w:tc>
        <w:tc>
          <w:tcPr>
            <w:tcW w:w="1647" w:type="pct"/>
            <w:vAlign w:val="center"/>
          </w:tcPr>
          <w:p w14:paraId="340E9D64">
            <w:pPr>
              <w:jc w:val="center"/>
              <w:rPr>
                <w:b/>
                <w:color w:val="auto"/>
              </w:rPr>
            </w:pPr>
            <w:r>
              <w:rPr>
                <w:b/>
                <w:color w:val="auto"/>
              </w:rPr>
              <w:t>取值</w:t>
            </w:r>
          </w:p>
        </w:tc>
      </w:tr>
      <w:tr w14:paraId="10A8F6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restart"/>
            <w:vAlign w:val="center"/>
          </w:tcPr>
          <w:p w14:paraId="0A974089">
            <w:pPr>
              <w:jc w:val="center"/>
              <w:rPr>
                <w:color w:val="auto"/>
              </w:rPr>
            </w:pPr>
            <w:r>
              <w:rPr>
                <w:color w:val="auto"/>
              </w:rPr>
              <w:t>城市农村/选项</w:t>
            </w:r>
          </w:p>
        </w:tc>
        <w:tc>
          <w:tcPr>
            <w:tcW w:w="1720" w:type="pct"/>
            <w:vAlign w:val="center"/>
          </w:tcPr>
          <w:p w14:paraId="16B5D82F">
            <w:pPr>
              <w:jc w:val="center"/>
              <w:rPr>
                <w:color w:val="auto"/>
              </w:rPr>
            </w:pPr>
            <w:r>
              <w:rPr>
                <w:color w:val="auto"/>
              </w:rPr>
              <w:t>城市/农村</w:t>
            </w:r>
          </w:p>
        </w:tc>
        <w:tc>
          <w:tcPr>
            <w:tcW w:w="1647" w:type="pct"/>
            <w:vAlign w:val="center"/>
          </w:tcPr>
          <w:p w14:paraId="28511E68">
            <w:pPr>
              <w:jc w:val="center"/>
              <w:rPr>
                <w:color w:val="auto"/>
              </w:rPr>
            </w:pPr>
            <w:r>
              <w:rPr>
                <w:color w:val="auto"/>
              </w:rPr>
              <w:t>农村</w:t>
            </w:r>
          </w:p>
        </w:tc>
      </w:tr>
      <w:tr w14:paraId="1C41B9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continue"/>
            <w:vAlign w:val="center"/>
          </w:tcPr>
          <w:p w14:paraId="746B0314">
            <w:pPr>
              <w:widowControl/>
              <w:jc w:val="left"/>
              <w:rPr>
                <w:color w:val="auto"/>
              </w:rPr>
            </w:pPr>
          </w:p>
        </w:tc>
        <w:tc>
          <w:tcPr>
            <w:tcW w:w="1720" w:type="pct"/>
            <w:vAlign w:val="center"/>
          </w:tcPr>
          <w:p w14:paraId="090D6922">
            <w:pPr>
              <w:jc w:val="center"/>
              <w:rPr>
                <w:color w:val="auto"/>
              </w:rPr>
            </w:pPr>
            <w:r>
              <w:rPr>
                <w:color w:val="auto"/>
              </w:rPr>
              <w:t>人口数(城市人口数)</w:t>
            </w:r>
          </w:p>
        </w:tc>
        <w:tc>
          <w:tcPr>
            <w:tcW w:w="1647" w:type="pct"/>
            <w:vAlign w:val="center"/>
          </w:tcPr>
          <w:p w14:paraId="5AF5D753">
            <w:pPr>
              <w:jc w:val="center"/>
              <w:rPr>
                <w:color w:val="auto"/>
              </w:rPr>
            </w:pPr>
            <w:r>
              <w:rPr>
                <w:color w:val="auto"/>
              </w:rPr>
              <w:t>/</w:t>
            </w:r>
          </w:p>
        </w:tc>
      </w:tr>
      <w:tr w14:paraId="2A0E35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52" w:type="pct"/>
            <w:gridSpan w:val="2"/>
            <w:vAlign w:val="center"/>
          </w:tcPr>
          <w:p w14:paraId="368FCB7D">
            <w:pPr>
              <w:jc w:val="center"/>
              <w:rPr>
                <w:color w:val="auto"/>
              </w:rPr>
            </w:pPr>
            <w:r>
              <w:rPr>
                <w:color w:val="auto"/>
              </w:rPr>
              <w:t>最高环境温度</w:t>
            </w:r>
          </w:p>
        </w:tc>
        <w:tc>
          <w:tcPr>
            <w:tcW w:w="1647" w:type="pct"/>
            <w:vAlign w:val="center"/>
          </w:tcPr>
          <w:p w14:paraId="16B3482E">
            <w:pPr>
              <w:jc w:val="center"/>
              <w:rPr>
                <w:color w:val="auto"/>
              </w:rPr>
            </w:pPr>
            <w:r>
              <w:rPr>
                <w:rFonts w:hint="eastAsia"/>
                <w:color w:val="auto"/>
              </w:rPr>
              <w:t>42</w:t>
            </w:r>
            <w:r>
              <w:rPr>
                <w:color w:val="auto"/>
              </w:rPr>
              <w:t>°C</w:t>
            </w:r>
          </w:p>
        </w:tc>
      </w:tr>
      <w:tr w14:paraId="2C8579F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52" w:type="pct"/>
            <w:gridSpan w:val="2"/>
            <w:vAlign w:val="center"/>
          </w:tcPr>
          <w:p w14:paraId="404E9749">
            <w:pPr>
              <w:jc w:val="center"/>
              <w:rPr>
                <w:color w:val="auto"/>
              </w:rPr>
            </w:pPr>
            <w:r>
              <w:rPr>
                <w:color w:val="auto"/>
              </w:rPr>
              <w:t>最低环境温度</w:t>
            </w:r>
          </w:p>
        </w:tc>
        <w:tc>
          <w:tcPr>
            <w:tcW w:w="1647" w:type="pct"/>
            <w:vAlign w:val="center"/>
          </w:tcPr>
          <w:p w14:paraId="0CECAD9F">
            <w:pPr>
              <w:jc w:val="center"/>
              <w:rPr>
                <w:color w:val="auto"/>
              </w:rPr>
            </w:pPr>
            <w:r>
              <w:rPr>
                <w:rFonts w:hint="eastAsia"/>
                <w:color w:val="auto"/>
              </w:rPr>
              <w:t>-31.2</w:t>
            </w:r>
          </w:p>
        </w:tc>
      </w:tr>
      <w:tr w14:paraId="69C510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52" w:type="pct"/>
            <w:gridSpan w:val="2"/>
            <w:vAlign w:val="center"/>
          </w:tcPr>
          <w:p w14:paraId="4D2161AE">
            <w:pPr>
              <w:jc w:val="center"/>
              <w:rPr>
                <w:color w:val="auto"/>
              </w:rPr>
            </w:pPr>
            <w:r>
              <w:rPr>
                <w:color w:val="auto"/>
              </w:rPr>
              <w:t>土地利用类型</w:t>
            </w:r>
          </w:p>
        </w:tc>
        <w:tc>
          <w:tcPr>
            <w:tcW w:w="1647" w:type="pct"/>
            <w:vAlign w:val="center"/>
          </w:tcPr>
          <w:p w14:paraId="5F4400CE">
            <w:pPr>
              <w:jc w:val="center"/>
              <w:rPr>
                <w:color w:val="auto"/>
              </w:rPr>
            </w:pPr>
            <w:r>
              <w:rPr>
                <w:rFonts w:hint="eastAsia"/>
                <w:color w:val="auto"/>
              </w:rPr>
              <w:t>草地</w:t>
            </w:r>
          </w:p>
        </w:tc>
      </w:tr>
      <w:tr w14:paraId="1A78B56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52" w:type="pct"/>
            <w:gridSpan w:val="2"/>
            <w:vAlign w:val="center"/>
          </w:tcPr>
          <w:p w14:paraId="261CA444">
            <w:pPr>
              <w:jc w:val="center"/>
              <w:rPr>
                <w:color w:val="auto"/>
              </w:rPr>
            </w:pPr>
            <w:r>
              <w:rPr>
                <w:color w:val="auto"/>
              </w:rPr>
              <w:t>区域湿度条件</w:t>
            </w:r>
          </w:p>
        </w:tc>
        <w:tc>
          <w:tcPr>
            <w:tcW w:w="1647" w:type="pct"/>
            <w:vAlign w:val="center"/>
          </w:tcPr>
          <w:p w14:paraId="73FBD4FC">
            <w:pPr>
              <w:jc w:val="center"/>
              <w:rPr>
                <w:rFonts w:hint="eastAsia" w:eastAsia="宋体"/>
                <w:color w:val="auto"/>
                <w:lang w:eastAsia="zh-CN"/>
              </w:rPr>
            </w:pPr>
            <w:r>
              <w:rPr>
                <w:rFonts w:hint="eastAsia"/>
                <w:color w:val="auto"/>
                <w:lang w:eastAsia="zh-CN"/>
              </w:rPr>
              <w:t>干燥气候</w:t>
            </w:r>
          </w:p>
        </w:tc>
      </w:tr>
      <w:tr w14:paraId="58CEC35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restart"/>
            <w:vAlign w:val="center"/>
          </w:tcPr>
          <w:p w14:paraId="34155E04">
            <w:pPr>
              <w:jc w:val="center"/>
              <w:rPr>
                <w:color w:val="auto"/>
              </w:rPr>
            </w:pPr>
            <w:r>
              <w:rPr>
                <w:color w:val="auto"/>
              </w:rPr>
              <w:t>是否考虑地形</w:t>
            </w:r>
          </w:p>
        </w:tc>
        <w:tc>
          <w:tcPr>
            <w:tcW w:w="1720" w:type="pct"/>
            <w:vAlign w:val="center"/>
          </w:tcPr>
          <w:p w14:paraId="42103A25">
            <w:pPr>
              <w:jc w:val="center"/>
              <w:rPr>
                <w:color w:val="auto"/>
              </w:rPr>
            </w:pPr>
            <w:r>
              <w:rPr>
                <w:color w:val="auto"/>
              </w:rPr>
              <w:t>考虑地形</w:t>
            </w:r>
          </w:p>
        </w:tc>
        <w:tc>
          <w:tcPr>
            <w:tcW w:w="1647" w:type="pct"/>
            <w:vAlign w:val="center"/>
          </w:tcPr>
          <w:p w14:paraId="5CB50B13">
            <w:pPr>
              <w:jc w:val="center"/>
              <w:rPr>
                <w:color w:val="auto"/>
              </w:rPr>
            </w:pPr>
            <w:r>
              <w:rPr>
                <w:color w:val="auto"/>
              </w:rPr>
              <w:t>是</w:t>
            </w:r>
          </w:p>
        </w:tc>
      </w:tr>
      <w:tr w14:paraId="2BA50F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continue"/>
            <w:vAlign w:val="center"/>
          </w:tcPr>
          <w:p w14:paraId="25F832F5">
            <w:pPr>
              <w:widowControl/>
              <w:jc w:val="left"/>
              <w:rPr>
                <w:color w:val="auto"/>
              </w:rPr>
            </w:pPr>
          </w:p>
        </w:tc>
        <w:tc>
          <w:tcPr>
            <w:tcW w:w="1720" w:type="pct"/>
            <w:vAlign w:val="center"/>
          </w:tcPr>
          <w:p w14:paraId="51DF2F57">
            <w:pPr>
              <w:jc w:val="center"/>
              <w:rPr>
                <w:color w:val="auto"/>
              </w:rPr>
            </w:pPr>
            <w:r>
              <w:rPr>
                <w:color w:val="auto"/>
              </w:rPr>
              <w:t>地形数据分辨率(m)</w:t>
            </w:r>
          </w:p>
        </w:tc>
        <w:tc>
          <w:tcPr>
            <w:tcW w:w="1647" w:type="pct"/>
            <w:vAlign w:val="center"/>
          </w:tcPr>
          <w:p w14:paraId="08FCFB84">
            <w:pPr>
              <w:jc w:val="center"/>
              <w:rPr>
                <w:color w:val="auto"/>
              </w:rPr>
            </w:pPr>
            <w:r>
              <w:rPr>
                <w:color w:val="auto"/>
              </w:rPr>
              <w:t>90</w:t>
            </w:r>
          </w:p>
        </w:tc>
      </w:tr>
      <w:tr w14:paraId="4782B33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restart"/>
            <w:vAlign w:val="center"/>
          </w:tcPr>
          <w:p w14:paraId="3A190481">
            <w:pPr>
              <w:jc w:val="center"/>
              <w:rPr>
                <w:color w:val="auto"/>
              </w:rPr>
            </w:pPr>
            <w:r>
              <w:rPr>
                <w:color w:val="auto"/>
              </w:rPr>
              <w:t>是否考虑海岸线熏烟</w:t>
            </w:r>
          </w:p>
        </w:tc>
        <w:tc>
          <w:tcPr>
            <w:tcW w:w="1720" w:type="pct"/>
            <w:vAlign w:val="center"/>
          </w:tcPr>
          <w:p w14:paraId="0C056568">
            <w:pPr>
              <w:jc w:val="center"/>
              <w:rPr>
                <w:color w:val="auto"/>
              </w:rPr>
            </w:pPr>
            <w:r>
              <w:rPr>
                <w:color w:val="auto"/>
              </w:rPr>
              <w:t>考虑海岸线熏烟</w:t>
            </w:r>
          </w:p>
        </w:tc>
        <w:tc>
          <w:tcPr>
            <w:tcW w:w="1647" w:type="pct"/>
            <w:vAlign w:val="center"/>
          </w:tcPr>
          <w:p w14:paraId="1850055D">
            <w:pPr>
              <w:jc w:val="center"/>
              <w:rPr>
                <w:color w:val="auto"/>
              </w:rPr>
            </w:pPr>
            <w:r>
              <w:rPr>
                <w:color w:val="auto"/>
              </w:rPr>
              <w:t>否</w:t>
            </w:r>
          </w:p>
        </w:tc>
      </w:tr>
      <w:tr w14:paraId="107FB6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continue"/>
            <w:vAlign w:val="center"/>
          </w:tcPr>
          <w:p w14:paraId="7070EB07">
            <w:pPr>
              <w:widowControl/>
              <w:jc w:val="left"/>
              <w:rPr>
                <w:color w:val="auto"/>
              </w:rPr>
            </w:pPr>
          </w:p>
        </w:tc>
        <w:tc>
          <w:tcPr>
            <w:tcW w:w="1720" w:type="pct"/>
            <w:vAlign w:val="center"/>
          </w:tcPr>
          <w:p w14:paraId="615B50A6">
            <w:pPr>
              <w:jc w:val="center"/>
              <w:rPr>
                <w:color w:val="auto"/>
              </w:rPr>
            </w:pPr>
            <w:r>
              <w:rPr>
                <w:color w:val="auto"/>
              </w:rPr>
              <w:t>海岸线距离/m</w:t>
            </w:r>
          </w:p>
        </w:tc>
        <w:tc>
          <w:tcPr>
            <w:tcW w:w="1647" w:type="pct"/>
            <w:vAlign w:val="center"/>
          </w:tcPr>
          <w:p w14:paraId="137BF0A6">
            <w:pPr>
              <w:jc w:val="center"/>
              <w:rPr>
                <w:color w:val="auto"/>
              </w:rPr>
            </w:pPr>
            <w:r>
              <w:rPr>
                <w:color w:val="auto"/>
              </w:rPr>
              <w:t>/</w:t>
            </w:r>
          </w:p>
        </w:tc>
      </w:tr>
      <w:tr w14:paraId="0737BD9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continue"/>
            <w:vAlign w:val="center"/>
          </w:tcPr>
          <w:p w14:paraId="26254792">
            <w:pPr>
              <w:widowControl/>
              <w:jc w:val="left"/>
              <w:rPr>
                <w:color w:val="auto"/>
              </w:rPr>
            </w:pPr>
          </w:p>
        </w:tc>
        <w:tc>
          <w:tcPr>
            <w:tcW w:w="1720" w:type="pct"/>
            <w:vAlign w:val="center"/>
          </w:tcPr>
          <w:p w14:paraId="38E49B38">
            <w:pPr>
              <w:jc w:val="center"/>
              <w:rPr>
                <w:color w:val="auto"/>
              </w:rPr>
            </w:pPr>
            <w:r>
              <w:rPr>
                <w:color w:val="auto"/>
              </w:rPr>
              <w:t>海岸线方向/</w:t>
            </w:r>
            <w:r>
              <w:rPr>
                <w:color w:val="auto"/>
                <w:vertAlign w:val="superscript"/>
              </w:rPr>
              <w:t>o</w:t>
            </w:r>
          </w:p>
        </w:tc>
        <w:tc>
          <w:tcPr>
            <w:tcW w:w="1647" w:type="pct"/>
            <w:vAlign w:val="center"/>
          </w:tcPr>
          <w:p w14:paraId="34562878">
            <w:pPr>
              <w:jc w:val="center"/>
              <w:rPr>
                <w:color w:val="auto"/>
              </w:rPr>
            </w:pPr>
            <w:r>
              <w:rPr>
                <w:color w:val="auto"/>
              </w:rPr>
              <w:t>/</w:t>
            </w:r>
          </w:p>
        </w:tc>
      </w:tr>
    </w:tbl>
    <w:p w14:paraId="64C27681">
      <w:pPr>
        <w:pStyle w:val="233"/>
        <w:spacing w:before="0" w:beforeLines="0" w:line="240" w:lineRule="auto"/>
        <w:jc w:val="both"/>
        <w:rPr>
          <w:color w:val="auto"/>
        </w:rPr>
      </w:pPr>
      <w:r>
        <w:rPr>
          <w:color w:val="auto"/>
        </w:rPr>
        <w:drawing>
          <wp:anchor distT="0" distB="0" distL="114300" distR="114300" simplePos="0" relativeHeight="251756544" behindDoc="0" locked="0" layoutInCell="1" allowOverlap="1">
            <wp:simplePos x="0" y="0"/>
            <wp:positionH relativeFrom="column">
              <wp:posOffset>4662805</wp:posOffset>
            </wp:positionH>
            <wp:positionV relativeFrom="paragraph">
              <wp:posOffset>200025</wp:posOffset>
            </wp:positionV>
            <wp:extent cx="617855" cy="584835"/>
            <wp:effectExtent l="0" t="0" r="10795" b="5715"/>
            <wp:wrapNone/>
            <wp:docPr id="4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3"/>
                    <pic:cNvPicPr>
                      <a:picLocks noChangeAspect="1"/>
                    </pic:cNvPicPr>
                  </pic:nvPicPr>
                  <pic:blipFill>
                    <a:blip r:embed="rId21"/>
                    <a:stretch>
                      <a:fillRect/>
                    </a:stretch>
                  </pic:blipFill>
                  <pic:spPr>
                    <a:xfrm>
                      <a:off x="0" y="0"/>
                      <a:ext cx="617855" cy="584835"/>
                    </a:xfrm>
                    <a:prstGeom prst="rect">
                      <a:avLst/>
                    </a:prstGeom>
                    <a:noFill/>
                    <a:ln>
                      <a:noFill/>
                    </a:ln>
                  </pic:spPr>
                </pic:pic>
              </a:graphicData>
            </a:graphic>
          </wp:anchor>
        </w:drawing>
      </w:r>
    </w:p>
    <w:p w14:paraId="4F357552">
      <w:pPr>
        <w:pStyle w:val="233"/>
        <w:spacing w:before="0" w:beforeLines="0" w:line="240" w:lineRule="auto"/>
        <w:jc w:val="both"/>
        <w:rPr>
          <w:color w:val="auto"/>
        </w:rPr>
      </w:pPr>
      <w:r>
        <w:rPr>
          <w:color w:val="auto"/>
          <w:sz w:val="28"/>
        </w:rPr>
        <mc:AlternateContent>
          <mc:Choice Requires="wps">
            <w:drawing>
              <wp:anchor distT="0" distB="0" distL="114300" distR="114300" simplePos="0" relativeHeight="251745280" behindDoc="0" locked="0" layoutInCell="1" allowOverlap="1">
                <wp:simplePos x="0" y="0"/>
                <wp:positionH relativeFrom="column">
                  <wp:posOffset>4326890</wp:posOffset>
                </wp:positionH>
                <wp:positionV relativeFrom="paragraph">
                  <wp:posOffset>1092200</wp:posOffset>
                </wp:positionV>
                <wp:extent cx="676275" cy="304800"/>
                <wp:effectExtent l="6350" t="339725" r="22225" b="22225"/>
                <wp:wrapNone/>
                <wp:docPr id="304" name="圆角矩形标注 304"/>
                <wp:cNvGraphicFramePr/>
                <a:graphic xmlns:a="http://schemas.openxmlformats.org/drawingml/2006/main">
                  <a:graphicData uri="http://schemas.microsoft.com/office/word/2010/wordprocessingShape">
                    <wps:wsp>
                      <wps:cNvSpPr/>
                      <wps:spPr>
                        <a:xfrm>
                          <a:off x="3401060" y="7028180"/>
                          <a:ext cx="676275" cy="304800"/>
                        </a:xfrm>
                        <a:prstGeom prst="wedgeRoundRectCallout">
                          <a:avLst>
                            <a:gd name="adj1" fmla="val -33004"/>
                            <a:gd name="adj2" fmla="val -159375"/>
                            <a:gd name="adj3" fmla="val 16667"/>
                          </a:avLst>
                        </a:prstGeom>
                        <a:solidFill>
                          <a:srgbClr val="FFFF00"/>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3D4A3F3">
                            <w:pPr>
                              <w:jc w:val="center"/>
                              <w:rPr>
                                <w:rFonts w:hint="default" w:eastAsia="宋体"/>
                                <w:b/>
                                <w:bCs/>
                                <w:color w:val="FF0000"/>
                                <w:lang w:val="en-US" w:eastAsia="zh-CN"/>
                              </w:rPr>
                            </w:pPr>
                            <w:r>
                              <w:rPr>
                                <w:rFonts w:hint="eastAsia"/>
                                <w:b/>
                                <w:bCs/>
                                <w:color w:val="FF0000"/>
                                <w:lang w:val="en-US" w:eastAsia="zh-CN"/>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40.7pt;margin-top:86pt;height:24pt;width:53.25pt;z-index:251745280;v-text-anchor:middle;mso-width-relative:page;mso-height-relative:page;" fillcolor="#FFFF00" filled="t" stroked="t" coordsize="21600,21600" o:gfxdata="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BEb2CM&#10;2QAAAAsBAAAPAAAAAAAAAAEAIAAAACIAAABkcnMvZG93bnJldi54bWxQSwECFAAUAAAACACHTuJA&#10;qV0iJssCAACMBQAADgAAAAAAAAABACAAAAAoAQAAZHJzL2Uyb0RvYy54bWxQSwUGAAAAAAYABgBZ&#10;AQAAZQYAAAAA&#10;" adj="3671,-23625,14400">
                <v:fill on="t" focussize="0,0"/>
                <v:stroke weight="1pt" color="#000000 [3213]" joinstyle="round"/>
                <v:imagedata o:title=""/>
                <o:lock v:ext="edit" aspectratio="f"/>
                <v:textbox>
                  <w:txbxContent>
                    <w:p w14:paraId="33D4A3F3">
                      <w:pPr>
                        <w:jc w:val="center"/>
                        <w:rPr>
                          <w:rFonts w:hint="default" w:eastAsia="宋体"/>
                          <w:b/>
                          <w:bCs/>
                          <w:color w:val="FF0000"/>
                          <w:lang w:val="en-US" w:eastAsia="zh-CN"/>
                        </w:rPr>
                      </w:pPr>
                      <w:r>
                        <w:rPr>
                          <w:rFonts w:hint="eastAsia"/>
                          <w:b/>
                          <w:bCs/>
                          <w:color w:val="FF0000"/>
                          <w:lang w:val="en-US" w:eastAsia="zh-CN"/>
                        </w:rPr>
                        <w:t>DA001</w:t>
                      </w:r>
                    </w:p>
                  </w:txbxContent>
                </v:textbox>
              </v:shape>
            </w:pict>
          </mc:Fallback>
        </mc:AlternateContent>
      </w:r>
      <w:r>
        <w:rPr>
          <w:color w:val="auto"/>
          <w:sz w:val="28"/>
        </w:rPr>
        <mc:AlternateContent>
          <mc:Choice Requires="wps">
            <w:drawing>
              <wp:anchor distT="0" distB="0" distL="114300" distR="114300" simplePos="0" relativeHeight="251744256" behindDoc="0" locked="0" layoutInCell="1" allowOverlap="1">
                <wp:simplePos x="0" y="0"/>
                <wp:positionH relativeFrom="column">
                  <wp:posOffset>4393565</wp:posOffset>
                </wp:positionH>
                <wp:positionV relativeFrom="paragraph">
                  <wp:posOffset>720725</wp:posOffset>
                </wp:positionV>
                <wp:extent cx="75565" cy="75565"/>
                <wp:effectExtent l="6350" t="6350" r="13335" b="13335"/>
                <wp:wrapNone/>
                <wp:docPr id="303" name="椭圆 303"/>
                <wp:cNvGraphicFramePr/>
                <a:graphic xmlns:a="http://schemas.openxmlformats.org/drawingml/2006/main">
                  <a:graphicData uri="http://schemas.microsoft.com/office/word/2010/wordprocessingShape">
                    <wps:wsp>
                      <wps:cNvSpPr/>
                      <wps:spPr>
                        <a:xfrm>
                          <a:off x="4182110" y="7066280"/>
                          <a:ext cx="75565" cy="75565"/>
                        </a:xfrm>
                        <a:prstGeom prst="ellipse">
                          <a:avLst/>
                        </a:prstGeom>
                        <a:solidFill>
                          <a:srgbClr val="FF0000"/>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5.95pt;margin-top:56.75pt;height:5.95pt;width:5.95pt;z-index:251744256;v-text-anchor:middle;mso-width-relative:page;mso-height-relative:page;" fillcolor="#FF0000" filled="t" stroked="t" coordsize="21600,21600" o:gfxdata="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ISFOOt0AAAALAQAADwAAAAAAAAABACAAAAAiAAAAZHJz&#10;L2Rvd25yZXYueG1sUEsBAhQAFAAAAAgAh07iQLDDWRVxAgAA7QQAAA4AAAAAAAAAAQAgAAAALAEA&#10;AGRycy9lMm9Eb2MueG1sUEsFBgAAAAAGAAYAWQEAAA8GAAAAAA==&#10;">
                <v:fill on="t" focussize="0,0"/>
                <v:stroke weight="1pt" color="#000000 [3213]" joinstyle="round"/>
                <v:imagedata o:title=""/>
                <o:lock v:ext="edit" aspectratio="f"/>
              </v:shape>
            </w:pict>
          </mc:Fallback>
        </mc:AlternateContent>
      </w:r>
      <w:r>
        <w:drawing>
          <wp:inline distT="0" distB="0" distL="114300" distR="114300">
            <wp:extent cx="5273040" cy="3424555"/>
            <wp:effectExtent l="9525" t="9525" r="13335" b="13970"/>
            <wp:docPr id="4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19"/>
                    <pic:cNvPicPr>
                      <a:picLocks noChangeAspect="1"/>
                    </pic:cNvPicPr>
                  </pic:nvPicPr>
                  <pic:blipFill>
                    <a:blip r:embed="rId22"/>
                    <a:stretch>
                      <a:fillRect/>
                    </a:stretch>
                  </pic:blipFill>
                  <pic:spPr>
                    <a:xfrm>
                      <a:off x="0" y="0"/>
                      <a:ext cx="5273040" cy="3424555"/>
                    </a:xfrm>
                    <a:prstGeom prst="rect">
                      <a:avLst/>
                    </a:prstGeom>
                    <a:noFill/>
                    <a:ln>
                      <a:solidFill>
                        <a:schemeClr val="tx1"/>
                      </a:solidFill>
                    </a:ln>
                  </pic:spPr>
                </pic:pic>
              </a:graphicData>
            </a:graphic>
          </wp:inline>
        </w:drawing>
      </w:r>
    </w:p>
    <w:p w14:paraId="1E6268D0">
      <w:pPr>
        <w:spacing w:line="360" w:lineRule="auto"/>
        <w:jc w:val="center"/>
        <w:rPr>
          <w:b/>
          <w:bCs/>
          <w:color w:val="auto"/>
          <w:kern w:val="0"/>
          <w:sz w:val="24"/>
          <w:szCs w:val="24"/>
          <w:highlight w:val="none"/>
        </w:rPr>
      </w:pPr>
      <w:r>
        <w:rPr>
          <w:rFonts w:hint="eastAsia"/>
          <w:b/>
          <w:bCs/>
          <w:color w:val="auto"/>
          <w:kern w:val="0"/>
          <w:sz w:val="24"/>
          <w:szCs w:val="24"/>
          <w:highlight w:val="none"/>
        </w:rPr>
        <w:t>图2</w:t>
      </w:r>
      <w:r>
        <w:rPr>
          <w:rFonts w:hint="eastAsia"/>
          <w:b/>
          <w:bCs/>
          <w:color w:val="auto"/>
          <w:kern w:val="0"/>
          <w:sz w:val="24"/>
          <w:szCs w:val="24"/>
          <w:highlight w:val="none"/>
          <w:lang w:val="en-US" w:eastAsia="zh-CN"/>
        </w:rPr>
        <w:t>.3</w:t>
      </w:r>
      <w:r>
        <w:rPr>
          <w:b/>
          <w:bCs/>
          <w:color w:val="auto"/>
          <w:kern w:val="0"/>
          <w:sz w:val="24"/>
          <w:szCs w:val="24"/>
          <w:highlight w:val="none"/>
        </w:rPr>
        <w:t xml:space="preserve">-1 </w:t>
      </w:r>
      <w:r>
        <w:rPr>
          <w:rFonts w:hint="eastAsia"/>
          <w:b/>
          <w:bCs/>
          <w:color w:val="auto"/>
          <w:kern w:val="0"/>
          <w:sz w:val="24"/>
          <w:szCs w:val="24"/>
          <w:highlight w:val="none"/>
          <w:lang w:val="en-US" w:eastAsia="zh-CN"/>
        </w:rPr>
        <w:t xml:space="preserve"> </w:t>
      </w:r>
      <w:r>
        <w:rPr>
          <w:rFonts w:hint="eastAsia"/>
          <w:b/>
          <w:bCs/>
          <w:color w:val="auto"/>
          <w:kern w:val="0"/>
          <w:sz w:val="24"/>
          <w:szCs w:val="24"/>
          <w:highlight w:val="none"/>
        </w:rPr>
        <w:t>大气排放口位置图</w:t>
      </w:r>
    </w:p>
    <w:p w14:paraId="41286B93">
      <w:pPr>
        <w:pStyle w:val="233"/>
        <w:spacing w:before="0" w:beforeLines="0" w:line="360" w:lineRule="auto"/>
        <w:ind w:left="6" w:firstLine="480" w:firstLineChars="200"/>
        <w:jc w:val="both"/>
        <w:rPr>
          <w:rFonts w:hint="default" w:eastAsia="宋体"/>
          <w:b w:val="0"/>
          <w:color w:val="auto"/>
          <w:sz w:val="24"/>
          <w:szCs w:val="24"/>
          <w:lang w:val="en-US" w:eastAsia="zh-CN"/>
        </w:rPr>
      </w:pPr>
      <w:r>
        <w:rPr>
          <w:rFonts w:eastAsia="宋体"/>
          <w:b w:val="0"/>
          <w:color w:val="auto"/>
          <w:sz w:val="24"/>
          <w:szCs w:val="24"/>
        </w:rPr>
        <w:t>本项目污染源强参数见表2</w:t>
      </w:r>
      <w:r>
        <w:rPr>
          <w:rFonts w:hint="eastAsia" w:eastAsia="宋体"/>
          <w:b w:val="0"/>
          <w:color w:val="auto"/>
          <w:sz w:val="24"/>
          <w:szCs w:val="24"/>
          <w:lang w:val="en-US" w:eastAsia="zh-CN"/>
        </w:rPr>
        <w:t>.3-4~2.3-5，评价等级汇总见表2.3-6。</w:t>
      </w:r>
    </w:p>
    <w:p w14:paraId="37BE774E">
      <w:pPr>
        <w:snapToGrid w:val="0"/>
        <w:jc w:val="center"/>
        <w:rPr>
          <w:rFonts w:ascii="Times New Roman" w:hAnsi="Times New Roman" w:eastAsia="宋体" w:cs="Times New Roman"/>
          <w:b/>
          <w:bCs/>
          <w:color w:val="auto"/>
          <w:szCs w:val="21"/>
        </w:rPr>
      </w:pPr>
    </w:p>
    <w:p w14:paraId="08C5EBB4">
      <w:pPr>
        <w:snapToGrid w:val="0"/>
        <w:jc w:val="center"/>
        <w:rPr>
          <w:rFonts w:ascii="Times New Roman" w:hAnsi="Times New Roman" w:eastAsia="宋体" w:cs="Times New Roman"/>
          <w:b/>
          <w:bCs/>
          <w:color w:val="auto"/>
          <w:szCs w:val="21"/>
        </w:rPr>
      </w:pPr>
    </w:p>
    <w:p w14:paraId="1498E2EA">
      <w:pPr>
        <w:snapToGrid w:val="0"/>
        <w:jc w:val="center"/>
        <w:rPr>
          <w:rFonts w:ascii="Times New Roman" w:hAnsi="Times New Roman" w:eastAsia="宋体" w:cs="Times New Roman"/>
          <w:b/>
          <w:bCs/>
          <w:color w:val="auto"/>
          <w:szCs w:val="21"/>
        </w:rPr>
      </w:pPr>
    </w:p>
    <w:p w14:paraId="7A685BF6">
      <w:pPr>
        <w:snapToGrid w:val="0"/>
        <w:jc w:val="center"/>
        <w:rPr>
          <w:rFonts w:hint="eastAsia" w:ascii="Times New Roman" w:hAnsi="Times New Roman" w:eastAsia="宋体" w:cs="Times New Roman"/>
          <w:b/>
          <w:bCs/>
          <w:color w:val="auto"/>
          <w:szCs w:val="21"/>
          <w:lang w:eastAsia="zh-CN"/>
        </w:rPr>
      </w:pPr>
      <w:r>
        <w:rPr>
          <w:rFonts w:ascii="Times New Roman" w:hAnsi="Times New Roman" w:eastAsia="宋体" w:cs="Times New Roman"/>
          <w:b/>
          <w:bCs/>
          <w:color w:val="auto"/>
          <w:szCs w:val="21"/>
        </w:rPr>
        <w:t>表</w:t>
      </w:r>
      <w:r>
        <w:rPr>
          <w:rFonts w:hint="eastAsia" w:cs="Times New Roman"/>
          <w:b/>
          <w:bCs/>
          <w:color w:val="auto"/>
          <w:szCs w:val="21"/>
          <w:lang w:val="en-US" w:eastAsia="zh-CN"/>
        </w:rPr>
        <w:t>2.3-4</w:t>
      </w:r>
      <w:r>
        <w:rPr>
          <w:rFonts w:hint="eastAsia" w:ascii="Times New Roman" w:hAnsi="Times New Roman" w:eastAsia="宋体" w:cs="Times New Roman"/>
          <w:b/>
          <w:bCs/>
          <w:color w:val="auto"/>
          <w:szCs w:val="21"/>
          <w:lang w:val="en-US" w:eastAsia="zh-CN"/>
        </w:rPr>
        <w:t xml:space="preserve">  </w:t>
      </w:r>
      <w:r>
        <w:rPr>
          <w:rFonts w:ascii="Times New Roman" w:hAnsi="Times New Roman" w:eastAsia="宋体" w:cs="Times New Roman"/>
          <w:b/>
          <w:bCs/>
          <w:color w:val="auto"/>
          <w:szCs w:val="21"/>
        </w:rPr>
        <w:t xml:space="preserve">  本项目</w:t>
      </w:r>
      <w:r>
        <w:rPr>
          <w:rFonts w:hint="eastAsia" w:cs="Times New Roman"/>
          <w:b/>
          <w:bCs/>
          <w:color w:val="auto"/>
          <w:szCs w:val="21"/>
          <w:lang w:eastAsia="zh-CN"/>
        </w:rPr>
        <w:t>点</w:t>
      </w:r>
      <w:r>
        <w:rPr>
          <w:rFonts w:hint="eastAsia" w:ascii="Times New Roman" w:hAnsi="Times New Roman" w:eastAsia="宋体" w:cs="Times New Roman"/>
          <w:b/>
          <w:bCs/>
          <w:color w:val="auto"/>
          <w:szCs w:val="21"/>
          <w:lang w:eastAsia="zh-CN"/>
        </w:rPr>
        <w:t>源参数表</w:t>
      </w:r>
    </w:p>
    <w:tbl>
      <w:tblPr>
        <w:tblStyle w:val="53"/>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254"/>
        <w:gridCol w:w="1036"/>
        <w:gridCol w:w="555"/>
        <w:gridCol w:w="540"/>
        <w:gridCol w:w="720"/>
        <w:gridCol w:w="555"/>
        <w:gridCol w:w="555"/>
        <w:gridCol w:w="720"/>
        <w:gridCol w:w="615"/>
        <w:gridCol w:w="645"/>
        <w:gridCol w:w="525"/>
        <w:gridCol w:w="555"/>
        <w:gridCol w:w="615"/>
        <w:gridCol w:w="633"/>
      </w:tblGrid>
      <w:tr w14:paraId="0110BF1C">
        <w:tblPrEx>
          <w:tblBorders>
            <w:top w:val="double" w:color="auto" w:sz="4" w:space="0"/>
            <w:left w:val="none" w:color="auto" w:sz="0" w:space="0"/>
            <w:bottom w:val="double" w:color="auto" w:sz="4"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03" w:hRule="atLeast"/>
          <w:tblHeader/>
          <w:jc w:val="center"/>
        </w:trPr>
        <w:tc>
          <w:tcPr>
            <w:tcW w:w="149" w:type="pct"/>
            <w:vMerge w:val="restart"/>
            <w:tcBorders>
              <w:tl2br w:val="nil"/>
              <w:tr2bl w:val="nil"/>
            </w:tcBorders>
            <w:noWrap w:val="0"/>
            <w:vAlign w:val="center"/>
          </w:tcPr>
          <w:p w14:paraId="786D5472">
            <w:pPr>
              <w:autoSpaceDE w:val="0"/>
              <w:autoSpaceDN w:val="0"/>
              <w:adjustRightInd w:val="0"/>
              <w:jc w:val="center"/>
              <w:rPr>
                <w:bCs/>
                <w:color w:val="auto"/>
                <w:sz w:val="15"/>
                <w:szCs w:val="15"/>
                <w:highlight w:val="none"/>
              </w:rPr>
            </w:pPr>
            <w:r>
              <w:rPr>
                <w:bCs/>
                <w:color w:val="auto"/>
                <w:sz w:val="15"/>
                <w:szCs w:val="15"/>
                <w:highlight w:val="none"/>
              </w:rPr>
              <w:t>编号</w:t>
            </w:r>
          </w:p>
        </w:tc>
        <w:tc>
          <w:tcPr>
            <w:tcW w:w="607" w:type="pct"/>
            <w:vMerge w:val="restart"/>
            <w:tcBorders>
              <w:tl2br w:val="nil"/>
              <w:tr2bl w:val="nil"/>
            </w:tcBorders>
            <w:noWrap w:val="0"/>
            <w:vAlign w:val="center"/>
          </w:tcPr>
          <w:p w14:paraId="12906701">
            <w:pPr>
              <w:autoSpaceDE w:val="0"/>
              <w:autoSpaceDN w:val="0"/>
              <w:adjustRightInd w:val="0"/>
              <w:jc w:val="center"/>
              <w:rPr>
                <w:bCs/>
                <w:color w:val="auto"/>
                <w:sz w:val="15"/>
                <w:szCs w:val="15"/>
                <w:highlight w:val="none"/>
              </w:rPr>
            </w:pPr>
            <w:r>
              <w:rPr>
                <w:bCs/>
                <w:color w:val="auto"/>
                <w:sz w:val="15"/>
                <w:szCs w:val="15"/>
                <w:highlight w:val="none"/>
              </w:rPr>
              <w:t>名称</w:t>
            </w:r>
          </w:p>
        </w:tc>
        <w:tc>
          <w:tcPr>
            <w:tcW w:w="642" w:type="pct"/>
            <w:gridSpan w:val="2"/>
            <w:tcBorders>
              <w:tl2br w:val="nil"/>
              <w:tr2bl w:val="nil"/>
            </w:tcBorders>
            <w:noWrap w:val="0"/>
            <w:vAlign w:val="center"/>
          </w:tcPr>
          <w:p w14:paraId="14325190">
            <w:pPr>
              <w:autoSpaceDE w:val="0"/>
              <w:autoSpaceDN w:val="0"/>
              <w:adjustRightInd w:val="0"/>
              <w:jc w:val="center"/>
              <w:rPr>
                <w:rFonts w:hint="eastAsia" w:eastAsia="宋体"/>
                <w:bCs/>
                <w:color w:val="auto"/>
                <w:sz w:val="15"/>
                <w:szCs w:val="15"/>
                <w:highlight w:val="none"/>
                <w:lang w:eastAsia="zh-CN"/>
              </w:rPr>
            </w:pPr>
            <w:r>
              <w:rPr>
                <w:bCs/>
                <w:color w:val="auto"/>
                <w:sz w:val="15"/>
                <w:szCs w:val="15"/>
                <w:highlight w:val="none"/>
              </w:rPr>
              <w:t>排气筒底部中心坐标</w:t>
            </w:r>
            <w:r>
              <w:rPr>
                <w:rFonts w:hint="eastAsia"/>
                <w:bCs/>
                <w:color w:val="auto"/>
                <w:sz w:val="15"/>
                <w:szCs w:val="15"/>
                <w:highlight w:val="none"/>
                <w:lang w:val="en-US" w:eastAsia="zh-CN"/>
              </w:rPr>
              <w:t>m</w:t>
            </w:r>
          </w:p>
        </w:tc>
        <w:tc>
          <w:tcPr>
            <w:tcW w:w="422" w:type="pct"/>
            <w:vMerge w:val="restart"/>
            <w:tcBorders>
              <w:tl2br w:val="nil"/>
              <w:tr2bl w:val="nil"/>
            </w:tcBorders>
            <w:noWrap w:val="0"/>
            <w:vAlign w:val="center"/>
          </w:tcPr>
          <w:p w14:paraId="7CDBB73A">
            <w:pPr>
              <w:autoSpaceDE w:val="0"/>
              <w:autoSpaceDN w:val="0"/>
              <w:adjustRightInd w:val="0"/>
              <w:jc w:val="center"/>
              <w:rPr>
                <w:bCs/>
                <w:color w:val="auto"/>
                <w:sz w:val="15"/>
                <w:szCs w:val="15"/>
                <w:highlight w:val="none"/>
              </w:rPr>
            </w:pPr>
            <w:r>
              <w:rPr>
                <w:bCs/>
                <w:color w:val="auto"/>
                <w:sz w:val="15"/>
                <w:szCs w:val="15"/>
                <w:highlight w:val="none"/>
              </w:rPr>
              <w:t>排气筒底部海拔高度/m</w:t>
            </w:r>
          </w:p>
        </w:tc>
        <w:tc>
          <w:tcPr>
            <w:tcW w:w="325" w:type="pct"/>
            <w:vMerge w:val="restart"/>
            <w:tcBorders>
              <w:tl2br w:val="nil"/>
              <w:tr2bl w:val="nil"/>
            </w:tcBorders>
            <w:noWrap w:val="0"/>
            <w:vAlign w:val="center"/>
          </w:tcPr>
          <w:p w14:paraId="4DFBEEB2">
            <w:pPr>
              <w:autoSpaceDE w:val="0"/>
              <w:autoSpaceDN w:val="0"/>
              <w:adjustRightInd w:val="0"/>
              <w:jc w:val="center"/>
              <w:rPr>
                <w:bCs/>
                <w:color w:val="auto"/>
                <w:sz w:val="15"/>
                <w:szCs w:val="15"/>
                <w:highlight w:val="none"/>
              </w:rPr>
            </w:pPr>
            <w:r>
              <w:rPr>
                <w:bCs/>
                <w:color w:val="auto"/>
                <w:sz w:val="15"/>
                <w:szCs w:val="15"/>
                <w:highlight w:val="none"/>
              </w:rPr>
              <w:t>排气筒高度/m</w:t>
            </w:r>
          </w:p>
        </w:tc>
        <w:tc>
          <w:tcPr>
            <w:tcW w:w="325" w:type="pct"/>
            <w:vMerge w:val="restart"/>
            <w:tcBorders>
              <w:tl2br w:val="nil"/>
              <w:tr2bl w:val="nil"/>
            </w:tcBorders>
            <w:noWrap w:val="0"/>
            <w:vAlign w:val="center"/>
          </w:tcPr>
          <w:p w14:paraId="0B7FB3BA">
            <w:pPr>
              <w:autoSpaceDE w:val="0"/>
              <w:autoSpaceDN w:val="0"/>
              <w:adjustRightInd w:val="0"/>
              <w:jc w:val="center"/>
              <w:rPr>
                <w:bCs/>
                <w:color w:val="auto"/>
                <w:sz w:val="15"/>
                <w:szCs w:val="15"/>
                <w:highlight w:val="none"/>
              </w:rPr>
            </w:pPr>
            <w:r>
              <w:rPr>
                <w:bCs/>
                <w:color w:val="auto"/>
                <w:sz w:val="15"/>
                <w:szCs w:val="15"/>
                <w:highlight w:val="none"/>
              </w:rPr>
              <w:t>出口内径/m</w:t>
            </w:r>
          </w:p>
        </w:tc>
        <w:tc>
          <w:tcPr>
            <w:tcW w:w="422" w:type="pct"/>
            <w:vMerge w:val="restart"/>
            <w:tcBorders>
              <w:tl2br w:val="nil"/>
              <w:tr2bl w:val="nil"/>
            </w:tcBorders>
            <w:noWrap w:val="0"/>
            <w:vAlign w:val="center"/>
          </w:tcPr>
          <w:p w14:paraId="320236FE">
            <w:pPr>
              <w:autoSpaceDE w:val="0"/>
              <w:autoSpaceDN w:val="0"/>
              <w:adjustRightInd w:val="0"/>
              <w:jc w:val="center"/>
              <w:rPr>
                <w:bCs/>
                <w:color w:val="auto"/>
                <w:sz w:val="15"/>
                <w:szCs w:val="15"/>
                <w:highlight w:val="none"/>
              </w:rPr>
            </w:pPr>
            <w:r>
              <w:rPr>
                <w:bCs/>
                <w:color w:val="auto"/>
                <w:sz w:val="15"/>
                <w:szCs w:val="15"/>
                <w:highlight w:val="none"/>
              </w:rPr>
              <w:t>烟气流速/（m/s）</w:t>
            </w:r>
          </w:p>
        </w:tc>
        <w:tc>
          <w:tcPr>
            <w:tcW w:w="360" w:type="pct"/>
            <w:vMerge w:val="restart"/>
            <w:tcBorders>
              <w:tl2br w:val="nil"/>
              <w:tr2bl w:val="nil"/>
            </w:tcBorders>
            <w:noWrap w:val="0"/>
            <w:vAlign w:val="center"/>
          </w:tcPr>
          <w:p w14:paraId="0D5FDB77">
            <w:pPr>
              <w:autoSpaceDE w:val="0"/>
              <w:autoSpaceDN w:val="0"/>
              <w:adjustRightInd w:val="0"/>
              <w:jc w:val="center"/>
              <w:rPr>
                <w:bCs/>
                <w:color w:val="auto"/>
                <w:sz w:val="15"/>
                <w:szCs w:val="15"/>
                <w:highlight w:val="none"/>
              </w:rPr>
            </w:pPr>
            <w:r>
              <w:rPr>
                <w:bCs/>
                <w:color w:val="auto"/>
                <w:sz w:val="15"/>
                <w:szCs w:val="15"/>
                <w:highlight w:val="none"/>
              </w:rPr>
              <w:t>烟气温度/</w:t>
            </w:r>
            <w:r>
              <w:rPr>
                <w:rFonts w:hAnsi="宋体"/>
                <w:bCs/>
                <w:color w:val="auto"/>
                <w:sz w:val="15"/>
                <w:szCs w:val="15"/>
                <w:highlight w:val="none"/>
              </w:rPr>
              <w:t>℃</w:t>
            </w:r>
          </w:p>
        </w:tc>
        <w:tc>
          <w:tcPr>
            <w:tcW w:w="378" w:type="pct"/>
            <w:vMerge w:val="restart"/>
            <w:tcBorders>
              <w:tl2br w:val="nil"/>
              <w:tr2bl w:val="nil"/>
            </w:tcBorders>
            <w:noWrap w:val="0"/>
            <w:vAlign w:val="center"/>
          </w:tcPr>
          <w:p w14:paraId="78962ADC">
            <w:pPr>
              <w:autoSpaceDE w:val="0"/>
              <w:autoSpaceDN w:val="0"/>
              <w:adjustRightInd w:val="0"/>
              <w:jc w:val="center"/>
              <w:rPr>
                <w:bCs/>
                <w:color w:val="auto"/>
                <w:sz w:val="15"/>
                <w:szCs w:val="15"/>
                <w:highlight w:val="none"/>
              </w:rPr>
            </w:pPr>
            <w:r>
              <w:rPr>
                <w:bCs/>
                <w:color w:val="auto"/>
                <w:sz w:val="15"/>
                <w:szCs w:val="15"/>
                <w:highlight w:val="none"/>
              </w:rPr>
              <w:t>年排放小时数/h</w:t>
            </w:r>
          </w:p>
        </w:tc>
        <w:tc>
          <w:tcPr>
            <w:tcW w:w="307" w:type="pct"/>
            <w:vMerge w:val="restart"/>
            <w:tcBorders>
              <w:tl2br w:val="nil"/>
              <w:tr2bl w:val="nil"/>
            </w:tcBorders>
            <w:noWrap w:val="0"/>
            <w:vAlign w:val="center"/>
          </w:tcPr>
          <w:p w14:paraId="28E36E45">
            <w:pPr>
              <w:autoSpaceDE w:val="0"/>
              <w:autoSpaceDN w:val="0"/>
              <w:adjustRightInd w:val="0"/>
              <w:jc w:val="center"/>
              <w:rPr>
                <w:bCs/>
                <w:color w:val="auto"/>
                <w:sz w:val="15"/>
                <w:szCs w:val="15"/>
                <w:highlight w:val="none"/>
              </w:rPr>
            </w:pPr>
            <w:r>
              <w:rPr>
                <w:bCs/>
                <w:color w:val="auto"/>
                <w:sz w:val="15"/>
                <w:szCs w:val="15"/>
                <w:highlight w:val="none"/>
              </w:rPr>
              <w:t>排放工况</w:t>
            </w:r>
          </w:p>
        </w:tc>
        <w:tc>
          <w:tcPr>
            <w:tcW w:w="686" w:type="pct"/>
            <w:gridSpan w:val="2"/>
            <w:vMerge w:val="restart"/>
            <w:tcBorders>
              <w:tl2br w:val="nil"/>
              <w:tr2bl w:val="nil"/>
            </w:tcBorders>
            <w:noWrap w:val="0"/>
            <w:vAlign w:val="center"/>
          </w:tcPr>
          <w:p w14:paraId="10029188">
            <w:pPr>
              <w:autoSpaceDE w:val="0"/>
              <w:autoSpaceDN w:val="0"/>
              <w:adjustRightInd w:val="0"/>
              <w:jc w:val="center"/>
              <w:rPr>
                <w:bCs/>
                <w:color w:val="auto"/>
                <w:sz w:val="15"/>
                <w:szCs w:val="15"/>
                <w:highlight w:val="none"/>
              </w:rPr>
            </w:pPr>
            <w:r>
              <w:rPr>
                <w:bCs/>
                <w:color w:val="auto"/>
                <w:sz w:val="15"/>
                <w:szCs w:val="15"/>
                <w:highlight w:val="none"/>
              </w:rPr>
              <w:t>污染物排放速率/（kg/h）</w:t>
            </w:r>
          </w:p>
        </w:tc>
        <w:tc>
          <w:tcPr>
            <w:tcW w:w="371" w:type="pct"/>
            <w:vMerge w:val="restart"/>
            <w:tcBorders>
              <w:tl2br w:val="nil"/>
              <w:tr2bl w:val="nil"/>
            </w:tcBorders>
            <w:noWrap w:val="0"/>
            <w:vAlign w:val="center"/>
          </w:tcPr>
          <w:p w14:paraId="76770417">
            <w:pPr>
              <w:autoSpaceDE w:val="0"/>
              <w:autoSpaceDN w:val="0"/>
              <w:adjustRightInd w:val="0"/>
              <w:jc w:val="center"/>
              <w:rPr>
                <w:rFonts w:hint="eastAsia" w:eastAsia="宋体"/>
                <w:bCs/>
                <w:color w:val="auto"/>
                <w:sz w:val="15"/>
                <w:szCs w:val="15"/>
                <w:highlight w:val="none"/>
                <w:lang w:eastAsia="zh-CN"/>
              </w:rPr>
            </w:pPr>
            <w:r>
              <w:rPr>
                <w:rFonts w:hint="eastAsia"/>
                <w:bCs/>
                <w:color w:val="auto"/>
                <w:sz w:val="15"/>
                <w:szCs w:val="15"/>
                <w:highlight w:val="none"/>
                <w:lang w:eastAsia="zh-CN"/>
              </w:rPr>
              <w:t>排放口类型</w:t>
            </w:r>
          </w:p>
        </w:tc>
      </w:tr>
      <w:tr w14:paraId="4E5D9FEF">
        <w:tblPrEx>
          <w:tblBorders>
            <w:top w:val="double" w:color="auto" w:sz="4" w:space="0"/>
            <w:left w:val="none" w:color="auto" w:sz="0" w:space="0"/>
            <w:bottom w:val="double" w:color="auto" w:sz="4"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8" w:hRule="atLeast"/>
          <w:tblHeader/>
          <w:jc w:val="center"/>
        </w:trPr>
        <w:tc>
          <w:tcPr>
            <w:tcW w:w="149" w:type="pct"/>
            <w:vMerge w:val="continue"/>
            <w:tcBorders>
              <w:tl2br w:val="nil"/>
              <w:tr2bl w:val="nil"/>
            </w:tcBorders>
            <w:noWrap w:val="0"/>
            <w:vAlign w:val="center"/>
          </w:tcPr>
          <w:p w14:paraId="0562A741">
            <w:pPr>
              <w:widowControl/>
              <w:jc w:val="center"/>
              <w:rPr>
                <w:bCs/>
                <w:color w:val="auto"/>
                <w:sz w:val="15"/>
                <w:szCs w:val="15"/>
                <w:highlight w:val="none"/>
              </w:rPr>
            </w:pPr>
          </w:p>
        </w:tc>
        <w:tc>
          <w:tcPr>
            <w:tcW w:w="607" w:type="pct"/>
            <w:vMerge w:val="continue"/>
            <w:tcBorders>
              <w:tl2br w:val="nil"/>
              <w:tr2bl w:val="nil"/>
            </w:tcBorders>
            <w:noWrap w:val="0"/>
            <w:vAlign w:val="center"/>
          </w:tcPr>
          <w:p w14:paraId="446ECCCB">
            <w:pPr>
              <w:widowControl/>
              <w:jc w:val="center"/>
              <w:rPr>
                <w:bCs/>
                <w:color w:val="auto"/>
                <w:sz w:val="15"/>
                <w:szCs w:val="15"/>
                <w:highlight w:val="none"/>
              </w:rPr>
            </w:pPr>
          </w:p>
        </w:tc>
        <w:tc>
          <w:tcPr>
            <w:tcW w:w="325" w:type="pct"/>
            <w:tcBorders>
              <w:tl2br w:val="nil"/>
              <w:tr2bl w:val="nil"/>
            </w:tcBorders>
            <w:noWrap w:val="0"/>
            <w:vAlign w:val="center"/>
          </w:tcPr>
          <w:p w14:paraId="487B87CA">
            <w:pPr>
              <w:autoSpaceDE w:val="0"/>
              <w:autoSpaceDN w:val="0"/>
              <w:adjustRightInd w:val="0"/>
              <w:jc w:val="center"/>
              <w:rPr>
                <w:rFonts w:hint="default" w:eastAsia="宋体"/>
                <w:bCs/>
                <w:color w:val="auto"/>
                <w:sz w:val="15"/>
                <w:szCs w:val="15"/>
                <w:highlight w:val="none"/>
                <w:lang w:val="en-US" w:eastAsia="zh-CN"/>
              </w:rPr>
            </w:pPr>
            <w:r>
              <w:rPr>
                <w:rFonts w:hint="eastAsia"/>
                <w:bCs/>
                <w:color w:val="auto"/>
                <w:sz w:val="15"/>
                <w:szCs w:val="15"/>
                <w:highlight w:val="none"/>
                <w:lang w:val="en-US" w:eastAsia="zh-CN"/>
              </w:rPr>
              <w:t>X</w:t>
            </w:r>
          </w:p>
        </w:tc>
        <w:tc>
          <w:tcPr>
            <w:tcW w:w="316" w:type="pct"/>
            <w:tcBorders>
              <w:tl2br w:val="nil"/>
              <w:tr2bl w:val="nil"/>
            </w:tcBorders>
            <w:noWrap w:val="0"/>
            <w:vAlign w:val="center"/>
          </w:tcPr>
          <w:p w14:paraId="79D87E35">
            <w:pPr>
              <w:autoSpaceDE w:val="0"/>
              <w:autoSpaceDN w:val="0"/>
              <w:adjustRightInd w:val="0"/>
              <w:jc w:val="center"/>
              <w:rPr>
                <w:rFonts w:hint="default" w:eastAsia="宋体"/>
                <w:bCs/>
                <w:color w:val="auto"/>
                <w:sz w:val="15"/>
                <w:szCs w:val="15"/>
                <w:highlight w:val="none"/>
                <w:lang w:val="en-US" w:eastAsia="zh-CN"/>
              </w:rPr>
            </w:pPr>
            <w:r>
              <w:rPr>
                <w:rFonts w:hint="eastAsia"/>
                <w:bCs/>
                <w:color w:val="auto"/>
                <w:sz w:val="15"/>
                <w:szCs w:val="15"/>
                <w:highlight w:val="none"/>
                <w:lang w:val="en-US" w:eastAsia="zh-CN"/>
              </w:rPr>
              <w:t>Y</w:t>
            </w:r>
          </w:p>
        </w:tc>
        <w:tc>
          <w:tcPr>
            <w:tcW w:w="422" w:type="pct"/>
            <w:vMerge w:val="continue"/>
            <w:tcBorders>
              <w:tl2br w:val="nil"/>
              <w:tr2bl w:val="nil"/>
            </w:tcBorders>
            <w:noWrap w:val="0"/>
            <w:vAlign w:val="center"/>
          </w:tcPr>
          <w:p w14:paraId="40667053">
            <w:pPr>
              <w:widowControl/>
              <w:jc w:val="center"/>
              <w:rPr>
                <w:bCs/>
                <w:color w:val="auto"/>
                <w:sz w:val="15"/>
                <w:szCs w:val="15"/>
                <w:highlight w:val="none"/>
              </w:rPr>
            </w:pPr>
          </w:p>
        </w:tc>
        <w:tc>
          <w:tcPr>
            <w:tcW w:w="325" w:type="pct"/>
            <w:vMerge w:val="continue"/>
            <w:tcBorders>
              <w:tl2br w:val="nil"/>
              <w:tr2bl w:val="nil"/>
            </w:tcBorders>
            <w:noWrap w:val="0"/>
            <w:vAlign w:val="center"/>
          </w:tcPr>
          <w:p w14:paraId="5F809BB3">
            <w:pPr>
              <w:widowControl/>
              <w:jc w:val="center"/>
              <w:rPr>
                <w:bCs/>
                <w:color w:val="auto"/>
                <w:sz w:val="15"/>
                <w:szCs w:val="15"/>
                <w:highlight w:val="none"/>
              </w:rPr>
            </w:pPr>
          </w:p>
        </w:tc>
        <w:tc>
          <w:tcPr>
            <w:tcW w:w="325" w:type="pct"/>
            <w:vMerge w:val="continue"/>
            <w:tcBorders>
              <w:tl2br w:val="nil"/>
              <w:tr2bl w:val="nil"/>
            </w:tcBorders>
            <w:noWrap w:val="0"/>
            <w:vAlign w:val="center"/>
          </w:tcPr>
          <w:p w14:paraId="684E4166">
            <w:pPr>
              <w:widowControl/>
              <w:jc w:val="center"/>
              <w:rPr>
                <w:bCs/>
                <w:color w:val="auto"/>
                <w:sz w:val="15"/>
                <w:szCs w:val="15"/>
                <w:highlight w:val="none"/>
              </w:rPr>
            </w:pPr>
          </w:p>
        </w:tc>
        <w:tc>
          <w:tcPr>
            <w:tcW w:w="422" w:type="pct"/>
            <w:vMerge w:val="continue"/>
            <w:tcBorders>
              <w:tl2br w:val="nil"/>
              <w:tr2bl w:val="nil"/>
            </w:tcBorders>
            <w:noWrap w:val="0"/>
            <w:vAlign w:val="center"/>
          </w:tcPr>
          <w:p w14:paraId="56FE98FF">
            <w:pPr>
              <w:widowControl/>
              <w:jc w:val="center"/>
              <w:rPr>
                <w:bCs/>
                <w:color w:val="auto"/>
                <w:sz w:val="15"/>
                <w:szCs w:val="15"/>
                <w:highlight w:val="none"/>
              </w:rPr>
            </w:pPr>
          </w:p>
        </w:tc>
        <w:tc>
          <w:tcPr>
            <w:tcW w:w="360" w:type="pct"/>
            <w:vMerge w:val="continue"/>
            <w:tcBorders>
              <w:tl2br w:val="nil"/>
              <w:tr2bl w:val="nil"/>
            </w:tcBorders>
            <w:noWrap w:val="0"/>
            <w:vAlign w:val="center"/>
          </w:tcPr>
          <w:p w14:paraId="78953EB8">
            <w:pPr>
              <w:widowControl/>
              <w:jc w:val="center"/>
              <w:rPr>
                <w:bCs/>
                <w:color w:val="auto"/>
                <w:sz w:val="15"/>
                <w:szCs w:val="15"/>
                <w:highlight w:val="none"/>
              </w:rPr>
            </w:pPr>
          </w:p>
        </w:tc>
        <w:tc>
          <w:tcPr>
            <w:tcW w:w="378" w:type="pct"/>
            <w:vMerge w:val="continue"/>
            <w:tcBorders>
              <w:tl2br w:val="nil"/>
              <w:tr2bl w:val="nil"/>
            </w:tcBorders>
            <w:noWrap w:val="0"/>
            <w:vAlign w:val="center"/>
          </w:tcPr>
          <w:p w14:paraId="56B96599">
            <w:pPr>
              <w:widowControl/>
              <w:jc w:val="center"/>
              <w:rPr>
                <w:bCs/>
                <w:color w:val="auto"/>
                <w:sz w:val="15"/>
                <w:szCs w:val="15"/>
                <w:highlight w:val="none"/>
              </w:rPr>
            </w:pPr>
          </w:p>
        </w:tc>
        <w:tc>
          <w:tcPr>
            <w:tcW w:w="307" w:type="pct"/>
            <w:vMerge w:val="continue"/>
            <w:tcBorders>
              <w:tl2br w:val="nil"/>
              <w:tr2bl w:val="nil"/>
            </w:tcBorders>
            <w:noWrap w:val="0"/>
            <w:vAlign w:val="center"/>
          </w:tcPr>
          <w:p w14:paraId="437B9A12">
            <w:pPr>
              <w:widowControl/>
              <w:jc w:val="center"/>
              <w:rPr>
                <w:bCs/>
                <w:color w:val="auto"/>
                <w:sz w:val="15"/>
                <w:szCs w:val="15"/>
                <w:highlight w:val="none"/>
              </w:rPr>
            </w:pPr>
          </w:p>
        </w:tc>
        <w:tc>
          <w:tcPr>
            <w:tcW w:w="686" w:type="pct"/>
            <w:gridSpan w:val="2"/>
            <w:vMerge w:val="continue"/>
            <w:tcBorders>
              <w:tl2br w:val="nil"/>
              <w:tr2bl w:val="nil"/>
            </w:tcBorders>
            <w:noWrap w:val="0"/>
            <w:vAlign w:val="center"/>
          </w:tcPr>
          <w:p w14:paraId="401682E8">
            <w:pPr>
              <w:widowControl/>
              <w:jc w:val="center"/>
              <w:rPr>
                <w:bCs/>
                <w:color w:val="auto"/>
                <w:sz w:val="15"/>
                <w:szCs w:val="15"/>
                <w:highlight w:val="none"/>
              </w:rPr>
            </w:pPr>
          </w:p>
        </w:tc>
        <w:tc>
          <w:tcPr>
            <w:tcW w:w="371" w:type="pct"/>
            <w:vMerge w:val="continue"/>
            <w:tcBorders>
              <w:tl2br w:val="nil"/>
              <w:tr2bl w:val="nil"/>
            </w:tcBorders>
            <w:noWrap w:val="0"/>
            <w:vAlign w:val="center"/>
          </w:tcPr>
          <w:p w14:paraId="6096F910">
            <w:pPr>
              <w:widowControl/>
              <w:jc w:val="center"/>
              <w:rPr>
                <w:bCs/>
                <w:color w:val="auto"/>
                <w:sz w:val="15"/>
                <w:szCs w:val="15"/>
                <w:highlight w:val="none"/>
              </w:rPr>
            </w:pPr>
          </w:p>
        </w:tc>
      </w:tr>
      <w:tr w14:paraId="48CDC8C3">
        <w:tblPrEx>
          <w:tblBorders>
            <w:top w:val="double" w:color="auto" w:sz="4" w:space="0"/>
            <w:left w:val="none" w:color="auto" w:sz="0" w:space="0"/>
            <w:bottom w:val="double" w:color="auto" w:sz="4"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27" w:hRule="atLeast"/>
          <w:tblHeader/>
          <w:jc w:val="center"/>
        </w:trPr>
        <w:tc>
          <w:tcPr>
            <w:tcW w:w="149" w:type="pct"/>
            <w:vMerge w:val="restart"/>
            <w:tcBorders>
              <w:tl2br w:val="nil"/>
              <w:tr2bl w:val="nil"/>
            </w:tcBorders>
            <w:noWrap w:val="0"/>
            <w:vAlign w:val="center"/>
          </w:tcPr>
          <w:p w14:paraId="083363D2">
            <w:pPr>
              <w:autoSpaceDE w:val="0"/>
              <w:autoSpaceDN w:val="0"/>
              <w:adjustRightInd w:val="0"/>
              <w:jc w:val="center"/>
              <w:rPr>
                <w:rFonts w:hint="default" w:eastAsia="宋体"/>
                <w:color w:val="auto"/>
                <w:sz w:val="15"/>
                <w:szCs w:val="15"/>
                <w:highlight w:val="none"/>
                <w:lang w:val="en-US" w:eastAsia="zh-CN"/>
              </w:rPr>
            </w:pPr>
            <w:r>
              <w:rPr>
                <w:rFonts w:hint="eastAsia"/>
                <w:color w:val="auto"/>
                <w:sz w:val="15"/>
                <w:szCs w:val="15"/>
                <w:highlight w:val="none"/>
                <w:lang w:val="en-US" w:eastAsia="zh-CN"/>
              </w:rPr>
              <w:t>1</w:t>
            </w:r>
          </w:p>
        </w:tc>
        <w:tc>
          <w:tcPr>
            <w:tcW w:w="607" w:type="pct"/>
            <w:vMerge w:val="restart"/>
            <w:tcBorders>
              <w:tl2br w:val="nil"/>
              <w:tr2bl w:val="nil"/>
            </w:tcBorders>
            <w:noWrap w:val="0"/>
            <w:vAlign w:val="center"/>
          </w:tcPr>
          <w:p w14:paraId="3206FADB">
            <w:pPr>
              <w:widowControl/>
              <w:jc w:val="center"/>
              <w:textAlignment w:val="center"/>
              <w:rPr>
                <w:rFonts w:hint="default"/>
                <w:color w:val="auto"/>
                <w:sz w:val="15"/>
                <w:szCs w:val="15"/>
                <w:highlight w:val="none"/>
                <w:lang w:val="en-US" w:eastAsia="zh-CN"/>
              </w:rPr>
            </w:pPr>
            <w:r>
              <w:rPr>
                <w:rFonts w:hint="eastAsia"/>
                <w:color w:val="auto"/>
                <w:sz w:val="15"/>
                <w:szCs w:val="15"/>
                <w:highlight w:val="none"/>
                <w:lang w:val="en-US" w:eastAsia="zh-CN"/>
              </w:rPr>
              <w:t>生物质锅炉（DA001）</w:t>
            </w:r>
          </w:p>
        </w:tc>
        <w:tc>
          <w:tcPr>
            <w:tcW w:w="325" w:type="pct"/>
            <w:vMerge w:val="restart"/>
            <w:tcBorders>
              <w:tl2br w:val="nil"/>
              <w:tr2bl w:val="nil"/>
            </w:tcBorders>
            <w:noWrap w:val="0"/>
            <w:vAlign w:val="center"/>
          </w:tcPr>
          <w:p w14:paraId="6F03EE11">
            <w:pPr>
              <w:jc w:val="center"/>
              <w:rPr>
                <w:rFonts w:hint="default" w:ascii="Times New Roman" w:hAnsi="Times New Roman" w:eastAsia="宋体" w:cs="Times New Roman"/>
                <w:color w:val="auto"/>
                <w:sz w:val="15"/>
                <w:szCs w:val="15"/>
                <w:highlight w:val="none"/>
                <w:lang w:val="en-US" w:eastAsia="zh-CN"/>
              </w:rPr>
            </w:pPr>
            <w:r>
              <w:rPr>
                <w:rFonts w:hint="eastAsia" w:cs="Times New Roman"/>
                <w:color w:val="auto"/>
                <w:sz w:val="15"/>
                <w:szCs w:val="15"/>
                <w:highlight w:val="none"/>
                <w:lang w:val="en-US" w:eastAsia="zh-CN"/>
              </w:rPr>
              <w:t>541</w:t>
            </w:r>
          </w:p>
        </w:tc>
        <w:tc>
          <w:tcPr>
            <w:tcW w:w="316" w:type="pct"/>
            <w:vMerge w:val="restart"/>
            <w:tcBorders>
              <w:tl2br w:val="nil"/>
              <w:tr2bl w:val="nil"/>
            </w:tcBorders>
            <w:noWrap w:val="0"/>
            <w:vAlign w:val="center"/>
          </w:tcPr>
          <w:p w14:paraId="3F29ACC1">
            <w:pPr>
              <w:jc w:val="center"/>
              <w:rPr>
                <w:rFonts w:hint="default" w:ascii="Times New Roman" w:hAnsi="Times New Roman" w:eastAsia="宋体" w:cs="Times New Roman"/>
                <w:color w:val="auto"/>
                <w:sz w:val="15"/>
                <w:szCs w:val="15"/>
                <w:highlight w:val="none"/>
                <w:lang w:val="en-US" w:eastAsia="zh-CN"/>
              </w:rPr>
            </w:pPr>
            <w:r>
              <w:rPr>
                <w:rFonts w:hint="eastAsia" w:cs="Times New Roman"/>
                <w:color w:val="auto"/>
                <w:sz w:val="15"/>
                <w:szCs w:val="15"/>
                <w:highlight w:val="none"/>
                <w:lang w:val="en-US" w:eastAsia="zh-CN"/>
              </w:rPr>
              <w:t>216</w:t>
            </w:r>
          </w:p>
        </w:tc>
        <w:tc>
          <w:tcPr>
            <w:tcW w:w="422" w:type="pct"/>
            <w:vMerge w:val="restart"/>
            <w:tcBorders>
              <w:tl2br w:val="nil"/>
              <w:tr2bl w:val="nil"/>
            </w:tcBorders>
            <w:noWrap w:val="0"/>
            <w:vAlign w:val="center"/>
          </w:tcPr>
          <w:p w14:paraId="0A6A8E04">
            <w:pPr>
              <w:jc w:val="center"/>
              <w:rPr>
                <w:rFonts w:hint="default" w:ascii="Times New Roman" w:hAnsi="Times New Roman" w:eastAsia="宋体" w:cs="Times New Roman"/>
                <w:color w:val="auto"/>
                <w:sz w:val="15"/>
                <w:szCs w:val="15"/>
                <w:highlight w:val="none"/>
                <w:lang w:val="en-US" w:eastAsia="zh-CN"/>
              </w:rPr>
            </w:pPr>
            <w:r>
              <w:rPr>
                <w:rFonts w:hint="eastAsia" w:cs="Times New Roman"/>
                <w:color w:val="auto"/>
                <w:sz w:val="15"/>
                <w:szCs w:val="15"/>
                <w:highlight w:val="none"/>
                <w:lang w:val="en-US" w:eastAsia="zh-CN"/>
              </w:rPr>
              <w:t>611</w:t>
            </w:r>
          </w:p>
        </w:tc>
        <w:tc>
          <w:tcPr>
            <w:tcW w:w="325" w:type="pct"/>
            <w:vMerge w:val="restart"/>
            <w:tcBorders>
              <w:tl2br w:val="nil"/>
              <w:tr2bl w:val="nil"/>
            </w:tcBorders>
            <w:noWrap w:val="0"/>
            <w:vAlign w:val="center"/>
          </w:tcPr>
          <w:p w14:paraId="46B84000">
            <w:pPr>
              <w:jc w:val="center"/>
              <w:rPr>
                <w:rFonts w:hint="eastAsia" w:ascii="Times New Roman" w:hAnsi="Times New Roman" w:eastAsia="宋体" w:cs="Times New Roman"/>
                <w:color w:val="auto"/>
                <w:sz w:val="15"/>
                <w:szCs w:val="15"/>
                <w:highlight w:val="none"/>
                <w:lang w:val="en-US" w:eastAsia="zh-CN"/>
              </w:rPr>
            </w:pPr>
            <w:r>
              <w:rPr>
                <w:rFonts w:hint="eastAsia" w:ascii="Times New Roman" w:hAnsi="Times New Roman" w:eastAsia="宋体" w:cs="Times New Roman"/>
                <w:color w:val="auto"/>
                <w:sz w:val="15"/>
                <w:szCs w:val="15"/>
                <w:highlight w:val="none"/>
                <w:lang w:val="en-US" w:eastAsia="zh-CN"/>
              </w:rPr>
              <w:t>30</w:t>
            </w:r>
          </w:p>
        </w:tc>
        <w:tc>
          <w:tcPr>
            <w:tcW w:w="325" w:type="pct"/>
            <w:vMerge w:val="restart"/>
            <w:tcBorders>
              <w:tl2br w:val="nil"/>
              <w:tr2bl w:val="nil"/>
            </w:tcBorders>
            <w:noWrap w:val="0"/>
            <w:vAlign w:val="center"/>
          </w:tcPr>
          <w:p w14:paraId="6814B9D9">
            <w:pPr>
              <w:jc w:val="center"/>
              <w:rPr>
                <w:rFonts w:hint="eastAsia" w:eastAsia="宋体"/>
                <w:color w:val="auto"/>
                <w:sz w:val="15"/>
                <w:szCs w:val="15"/>
                <w:highlight w:val="none"/>
                <w:lang w:val="en-US" w:eastAsia="zh-CN"/>
              </w:rPr>
            </w:pPr>
            <w:r>
              <w:rPr>
                <w:rFonts w:hint="eastAsia"/>
                <w:color w:val="auto"/>
                <w:sz w:val="15"/>
                <w:szCs w:val="15"/>
                <w:highlight w:val="none"/>
                <w:lang w:val="en-US" w:eastAsia="zh-CN"/>
              </w:rPr>
              <w:t>0.3</w:t>
            </w:r>
          </w:p>
        </w:tc>
        <w:tc>
          <w:tcPr>
            <w:tcW w:w="422" w:type="pct"/>
            <w:vMerge w:val="restart"/>
            <w:tcBorders>
              <w:tl2br w:val="nil"/>
              <w:tr2bl w:val="nil"/>
            </w:tcBorders>
            <w:noWrap w:val="0"/>
            <w:vAlign w:val="center"/>
          </w:tcPr>
          <w:p w14:paraId="375880E6">
            <w:pPr>
              <w:jc w:val="center"/>
              <w:rPr>
                <w:rFonts w:hint="default" w:ascii="Times New Roman" w:hAnsi="Times New Roman" w:eastAsia="宋体" w:cs="Times New Roman"/>
                <w:color w:val="auto"/>
                <w:sz w:val="15"/>
                <w:szCs w:val="15"/>
                <w:highlight w:val="none"/>
                <w:lang w:val="en-US" w:eastAsia="zh-CN"/>
              </w:rPr>
            </w:pPr>
            <w:r>
              <w:rPr>
                <w:rFonts w:hint="eastAsia" w:cs="Times New Roman"/>
                <w:color w:val="auto"/>
                <w:sz w:val="15"/>
                <w:szCs w:val="15"/>
                <w:highlight w:val="none"/>
                <w:lang w:val="en-US" w:eastAsia="zh-CN"/>
              </w:rPr>
              <w:t>8.31</w:t>
            </w:r>
          </w:p>
        </w:tc>
        <w:tc>
          <w:tcPr>
            <w:tcW w:w="360" w:type="pct"/>
            <w:vMerge w:val="restart"/>
            <w:tcBorders>
              <w:tl2br w:val="nil"/>
              <w:tr2bl w:val="nil"/>
            </w:tcBorders>
            <w:noWrap w:val="0"/>
            <w:vAlign w:val="center"/>
          </w:tcPr>
          <w:p w14:paraId="25645497">
            <w:pPr>
              <w:jc w:val="center"/>
              <w:rPr>
                <w:rFonts w:hint="eastAsia" w:ascii="Times New Roman" w:hAnsi="Times New Roman" w:eastAsia="宋体" w:cs="Times New Roman"/>
                <w:color w:val="auto"/>
                <w:sz w:val="15"/>
                <w:szCs w:val="15"/>
                <w:highlight w:val="none"/>
                <w:lang w:val="en-US" w:eastAsia="zh-CN"/>
              </w:rPr>
            </w:pPr>
            <w:r>
              <w:rPr>
                <w:rFonts w:hint="eastAsia" w:cs="Times New Roman"/>
                <w:color w:val="auto"/>
                <w:sz w:val="15"/>
                <w:szCs w:val="15"/>
                <w:highlight w:val="none"/>
                <w:lang w:val="en-US" w:eastAsia="zh-CN"/>
              </w:rPr>
              <w:t>60</w:t>
            </w:r>
          </w:p>
        </w:tc>
        <w:tc>
          <w:tcPr>
            <w:tcW w:w="378" w:type="pct"/>
            <w:vMerge w:val="restart"/>
            <w:tcBorders>
              <w:tl2br w:val="nil"/>
              <w:tr2bl w:val="nil"/>
            </w:tcBorders>
            <w:noWrap w:val="0"/>
            <w:vAlign w:val="center"/>
          </w:tcPr>
          <w:p w14:paraId="34914443">
            <w:pPr>
              <w:jc w:val="center"/>
              <w:rPr>
                <w:rFonts w:hint="default" w:ascii="Times New Roman" w:hAnsi="Times New Roman" w:eastAsia="宋体" w:cs="Times New Roman"/>
                <w:color w:val="auto"/>
                <w:sz w:val="15"/>
                <w:szCs w:val="15"/>
                <w:highlight w:val="none"/>
                <w:lang w:val="en-US" w:eastAsia="zh-CN"/>
              </w:rPr>
            </w:pPr>
            <w:r>
              <w:rPr>
                <w:rFonts w:hint="eastAsia" w:cs="Times New Roman"/>
                <w:color w:val="auto"/>
                <w:sz w:val="15"/>
                <w:szCs w:val="15"/>
                <w:highlight w:val="none"/>
                <w:lang w:val="en-US" w:eastAsia="zh-CN"/>
              </w:rPr>
              <w:t>2880</w:t>
            </w:r>
          </w:p>
        </w:tc>
        <w:tc>
          <w:tcPr>
            <w:tcW w:w="307" w:type="pct"/>
            <w:vMerge w:val="restart"/>
            <w:tcBorders>
              <w:tl2br w:val="nil"/>
              <w:tr2bl w:val="nil"/>
            </w:tcBorders>
            <w:noWrap w:val="0"/>
            <w:vAlign w:val="center"/>
          </w:tcPr>
          <w:p w14:paraId="7CA5DCCD">
            <w:pPr>
              <w:pStyle w:val="554"/>
              <w:jc w:val="center"/>
              <w:rPr>
                <w:rFonts w:hAnsi="宋体" w:eastAsia="宋体"/>
                <w:color w:val="auto"/>
                <w:sz w:val="15"/>
                <w:szCs w:val="15"/>
                <w:highlight w:val="none"/>
              </w:rPr>
            </w:pPr>
            <w:r>
              <w:rPr>
                <w:rFonts w:hAnsi="宋体" w:eastAsia="宋体"/>
                <w:color w:val="auto"/>
                <w:sz w:val="15"/>
                <w:szCs w:val="15"/>
                <w:highlight w:val="none"/>
              </w:rPr>
              <w:t>正常工况</w:t>
            </w:r>
          </w:p>
        </w:tc>
        <w:tc>
          <w:tcPr>
            <w:tcW w:w="325" w:type="pct"/>
            <w:tcBorders>
              <w:tl2br w:val="nil"/>
              <w:tr2bl w:val="nil"/>
            </w:tcBorders>
            <w:noWrap w:val="0"/>
            <w:vAlign w:val="center"/>
          </w:tcPr>
          <w:p w14:paraId="3285407D">
            <w:pPr>
              <w:widowControl/>
              <w:jc w:val="center"/>
              <w:textAlignment w:val="center"/>
              <w:rPr>
                <w:rFonts w:hint="eastAsia"/>
                <w:color w:val="auto"/>
                <w:sz w:val="15"/>
                <w:szCs w:val="15"/>
                <w:highlight w:val="none"/>
                <w:lang w:val="en-US" w:eastAsia="zh-CN"/>
              </w:rPr>
            </w:pPr>
            <w:r>
              <w:rPr>
                <w:rFonts w:hint="eastAsia"/>
                <w:bCs/>
                <w:color w:val="auto"/>
                <w:sz w:val="15"/>
                <w:szCs w:val="15"/>
                <w:highlight w:val="none"/>
                <w:lang w:val="en-US" w:eastAsia="zh-CN"/>
              </w:rPr>
              <w:t>PM</w:t>
            </w:r>
            <w:r>
              <w:rPr>
                <w:rFonts w:hint="eastAsia"/>
                <w:bCs/>
                <w:color w:val="auto"/>
                <w:sz w:val="15"/>
                <w:szCs w:val="15"/>
                <w:highlight w:val="none"/>
                <w:vertAlign w:val="subscript"/>
                <w:lang w:val="en-US" w:eastAsia="zh-CN"/>
              </w:rPr>
              <w:t>10</w:t>
            </w:r>
          </w:p>
        </w:tc>
        <w:tc>
          <w:tcPr>
            <w:tcW w:w="360" w:type="pct"/>
            <w:tcBorders>
              <w:tl2br w:val="nil"/>
              <w:tr2bl w:val="nil"/>
            </w:tcBorders>
            <w:noWrap w:val="0"/>
            <w:vAlign w:val="center"/>
          </w:tcPr>
          <w:p w14:paraId="19BCA55A">
            <w:pPr>
              <w:jc w:val="center"/>
              <w:rPr>
                <w:rFonts w:hint="eastAsia"/>
                <w:color w:val="auto"/>
                <w:sz w:val="15"/>
                <w:szCs w:val="15"/>
                <w:highlight w:val="none"/>
                <w:lang w:val="en-US" w:eastAsia="zh-CN"/>
              </w:rPr>
            </w:pPr>
            <w:r>
              <w:rPr>
                <w:rFonts w:hint="eastAsia"/>
                <w:color w:val="auto"/>
                <w:sz w:val="15"/>
                <w:szCs w:val="15"/>
                <w:highlight w:val="none"/>
                <w:lang w:val="en-US" w:eastAsia="zh-CN"/>
              </w:rPr>
              <w:t>0.002</w:t>
            </w:r>
          </w:p>
        </w:tc>
        <w:tc>
          <w:tcPr>
            <w:tcW w:w="371" w:type="pct"/>
            <w:vMerge w:val="restart"/>
            <w:tcBorders>
              <w:tl2br w:val="nil"/>
              <w:tr2bl w:val="nil"/>
            </w:tcBorders>
            <w:noWrap w:val="0"/>
            <w:vAlign w:val="center"/>
          </w:tcPr>
          <w:p w14:paraId="55923265">
            <w:pPr>
              <w:widowControl/>
              <w:jc w:val="center"/>
              <w:textAlignment w:val="center"/>
              <w:rPr>
                <w:rFonts w:hint="default" w:eastAsia="宋体"/>
                <w:color w:val="auto"/>
                <w:sz w:val="15"/>
                <w:szCs w:val="15"/>
                <w:highlight w:val="none"/>
                <w:lang w:val="en-US" w:eastAsia="zh-CN"/>
              </w:rPr>
            </w:pPr>
            <w:r>
              <w:rPr>
                <w:rFonts w:hint="eastAsia"/>
                <w:color w:val="auto"/>
                <w:sz w:val="15"/>
                <w:szCs w:val="15"/>
                <w:highlight w:val="none"/>
                <w:lang w:val="en-US" w:eastAsia="zh-CN"/>
              </w:rPr>
              <w:t>一般排放口</w:t>
            </w:r>
          </w:p>
        </w:tc>
      </w:tr>
      <w:tr w14:paraId="0AAE3A62">
        <w:tblPrEx>
          <w:tblBorders>
            <w:top w:val="double" w:color="auto" w:sz="4" w:space="0"/>
            <w:left w:val="none" w:color="auto" w:sz="0" w:space="0"/>
            <w:bottom w:val="double" w:color="auto" w:sz="4"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60" w:hRule="atLeast"/>
          <w:tblHeader/>
          <w:jc w:val="center"/>
        </w:trPr>
        <w:tc>
          <w:tcPr>
            <w:tcW w:w="149" w:type="pct"/>
            <w:vMerge w:val="continue"/>
            <w:tcBorders>
              <w:tl2br w:val="nil"/>
              <w:tr2bl w:val="nil"/>
            </w:tcBorders>
            <w:noWrap w:val="0"/>
            <w:vAlign w:val="center"/>
          </w:tcPr>
          <w:p w14:paraId="14D5A233">
            <w:pPr>
              <w:autoSpaceDE w:val="0"/>
              <w:autoSpaceDN w:val="0"/>
              <w:adjustRightInd w:val="0"/>
              <w:jc w:val="center"/>
              <w:rPr>
                <w:rFonts w:hint="eastAsia"/>
                <w:color w:val="auto"/>
                <w:sz w:val="15"/>
                <w:szCs w:val="15"/>
                <w:highlight w:val="none"/>
                <w:lang w:val="en-US" w:eastAsia="zh-CN"/>
              </w:rPr>
            </w:pPr>
          </w:p>
        </w:tc>
        <w:tc>
          <w:tcPr>
            <w:tcW w:w="607" w:type="pct"/>
            <w:vMerge w:val="continue"/>
            <w:tcBorders>
              <w:tl2br w:val="nil"/>
              <w:tr2bl w:val="nil"/>
            </w:tcBorders>
            <w:noWrap w:val="0"/>
            <w:vAlign w:val="center"/>
          </w:tcPr>
          <w:p w14:paraId="3F08D299">
            <w:pPr>
              <w:widowControl/>
              <w:jc w:val="center"/>
              <w:textAlignment w:val="center"/>
              <w:rPr>
                <w:rFonts w:hint="eastAsia"/>
                <w:color w:val="auto"/>
                <w:sz w:val="15"/>
                <w:szCs w:val="15"/>
                <w:highlight w:val="none"/>
                <w:lang w:val="en-US" w:eastAsia="zh-CN"/>
              </w:rPr>
            </w:pPr>
          </w:p>
        </w:tc>
        <w:tc>
          <w:tcPr>
            <w:tcW w:w="325" w:type="pct"/>
            <w:vMerge w:val="continue"/>
            <w:tcBorders>
              <w:tl2br w:val="nil"/>
              <w:tr2bl w:val="nil"/>
            </w:tcBorders>
            <w:noWrap w:val="0"/>
            <w:vAlign w:val="center"/>
          </w:tcPr>
          <w:p w14:paraId="3F45039B">
            <w:pPr>
              <w:jc w:val="center"/>
              <w:rPr>
                <w:rFonts w:hint="default" w:ascii="Times New Roman" w:hAnsi="Times New Roman" w:eastAsia="宋体" w:cs="Times New Roman"/>
                <w:color w:val="auto"/>
                <w:sz w:val="15"/>
                <w:szCs w:val="15"/>
                <w:highlight w:val="none"/>
              </w:rPr>
            </w:pPr>
          </w:p>
        </w:tc>
        <w:tc>
          <w:tcPr>
            <w:tcW w:w="316" w:type="pct"/>
            <w:vMerge w:val="continue"/>
            <w:tcBorders>
              <w:tl2br w:val="nil"/>
              <w:tr2bl w:val="nil"/>
            </w:tcBorders>
            <w:noWrap w:val="0"/>
            <w:vAlign w:val="center"/>
          </w:tcPr>
          <w:p w14:paraId="3814CDF5">
            <w:pPr>
              <w:jc w:val="center"/>
              <w:rPr>
                <w:rFonts w:hint="default" w:ascii="Times New Roman" w:hAnsi="Times New Roman" w:eastAsia="宋体" w:cs="Times New Roman"/>
                <w:color w:val="auto"/>
                <w:sz w:val="15"/>
                <w:szCs w:val="15"/>
                <w:highlight w:val="none"/>
              </w:rPr>
            </w:pPr>
          </w:p>
        </w:tc>
        <w:tc>
          <w:tcPr>
            <w:tcW w:w="422" w:type="pct"/>
            <w:vMerge w:val="continue"/>
            <w:tcBorders>
              <w:tl2br w:val="nil"/>
              <w:tr2bl w:val="nil"/>
            </w:tcBorders>
            <w:noWrap w:val="0"/>
            <w:vAlign w:val="center"/>
          </w:tcPr>
          <w:p w14:paraId="1C8CFBDA">
            <w:pPr>
              <w:jc w:val="center"/>
              <w:rPr>
                <w:rFonts w:hint="eastAsia" w:ascii="Times New Roman" w:hAnsi="Times New Roman" w:eastAsia="宋体" w:cs="Times New Roman"/>
                <w:color w:val="auto"/>
                <w:sz w:val="15"/>
                <w:szCs w:val="15"/>
                <w:highlight w:val="none"/>
                <w:lang w:val="en-US" w:eastAsia="zh-CN"/>
              </w:rPr>
            </w:pPr>
          </w:p>
        </w:tc>
        <w:tc>
          <w:tcPr>
            <w:tcW w:w="325" w:type="pct"/>
            <w:vMerge w:val="continue"/>
            <w:tcBorders>
              <w:tl2br w:val="nil"/>
              <w:tr2bl w:val="nil"/>
            </w:tcBorders>
            <w:noWrap w:val="0"/>
            <w:vAlign w:val="center"/>
          </w:tcPr>
          <w:p w14:paraId="773DB79A">
            <w:pPr>
              <w:jc w:val="center"/>
              <w:rPr>
                <w:rFonts w:hint="eastAsia" w:ascii="Times New Roman" w:hAnsi="Times New Roman" w:eastAsia="宋体" w:cs="Times New Roman"/>
                <w:color w:val="auto"/>
                <w:sz w:val="15"/>
                <w:szCs w:val="15"/>
                <w:highlight w:val="none"/>
                <w:lang w:val="en-US" w:eastAsia="zh-CN"/>
              </w:rPr>
            </w:pPr>
          </w:p>
        </w:tc>
        <w:tc>
          <w:tcPr>
            <w:tcW w:w="325" w:type="pct"/>
            <w:vMerge w:val="continue"/>
            <w:tcBorders>
              <w:tl2br w:val="nil"/>
              <w:tr2bl w:val="nil"/>
            </w:tcBorders>
            <w:noWrap w:val="0"/>
            <w:vAlign w:val="center"/>
          </w:tcPr>
          <w:p w14:paraId="5938E5E2">
            <w:pPr>
              <w:jc w:val="center"/>
              <w:rPr>
                <w:rFonts w:hint="eastAsia" w:eastAsia="宋体"/>
                <w:color w:val="auto"/>
                <w:sz w:val="15"/>
                <w:szCs w:val="15"/>
                <w:highlight w:val="none"/>
                <w:lang w:val="en-US" w:eastAsia="zh-CN"/>
              </w:rPr>
            </w:pPr>
          </w:p>
        </w:tc>
        <w:tc>
          <w:tcPr>
            <w:tcW w:w="422" w:type="pct"/>
            <w:vMerge w:val="continue"/>
            <w:tcBorders>
              <w:tl2br w:val="nil"/>
              <w:tr2bl w:val="nil"/>
            </w:tcBorders>
            <w:noWrap w:val="0"/>
            <w:vAlign w:val="center"/>
          </w:tcPr>
          <w:p w14:paraId="1FAD5BA9">
            <w:pPr>
              <w:jc w:val="center"/>
              <w:rPr>
                <w:rFonts w:hint="eastAsia" w:ascii="Times New Roman" w:hAnsi="Times New Roman" w:eastAsia="宋体" w:cs="Times New Roman"/>
                <w:color w:val="auto"/>
                <w:sz w:val="15"/>
                <w:szCs w:val="15"/>
                <w:highlight w:val="none"/>
                <w:lang w:val="en-US" w:eastAsia="zh-CN"/>
              </w:rPr>
            </w:pPr>
          </w:p>
        </w:tc>
        <w:tc>
          <w:tcPr>
            <w:tcW w:w="360" w:type="pct"/>
            <w:vMerge w:val="continue"/>
            <w:tcBorders>
              <w:tl2br w:val="nil"/>
              <w:tr2bl w:val="nil"/>
            </w:tcBorders>
            <w:noWrap w:val="0"/>
            <w:vAlign w:val="center"/>
          </w:tcPr>
          <w:p w14:paraId="3867731C">
            <w:pPr>
              <w:jc w:val="center"/>
              <w:rPr>
                <w:rFonts w:hint="eastAsia" w:ascii="Times New Roman" w:hAnsi="Times New Roman" w:eastAsia="宋体" w:cs="Times New Roman"/>
                <w:color w:val="auto"/>
                <w:sz w:val="15"/>
                <w:szCs w:val="15"/>
                <w:highlight w:val="none"/>
                <w:lang w:val="en-US" w:eastAsia="zh-CN"/>
              </w:rPr>
            </w:pPr>
          </w:p>
        </w:tc>
        <w:tc>
          <w:tcPr>
            <w:tcW w:w="378" w:type="pct"/>
            <w:vMerge w:val="continue"/>
            <w:tcBorders>
              <w:tl2br w:val="nil"/>
              <w:tr2bl w:val="nil"/>
            </w:tcBorders>
            <w:noWrap w:val="0"/>
            <w:vAlign w:val="center"/>
          </w:tcPr>
          <w:p w14:paraId="749F9C02">
            <w:pPr>
              <w:jc w:val="center"/>
              <w:rPr>
                <w:rFonts w:hint="eastAsia" w:ascii="Times New Roman" w:hAnsi="Times New Roman" w:eastAsia="宋体" w:cs="Times New Roman"/>
                <w:color w:val="auto"/>
                <w:sz w:val="15"/>
                <w:szCs w:val="15"/>
                <w:highlight w:val="none"/>
                <w:lang w:val="en-US" w:eastAsia="zh-CN"/>
              </w:rPr>
            </w:pPr>
          </w:p>
        </w:tc>
        <w:tc>
          <w:tcPr>
            <w:tcW w:w="307" w:type="pct"/>
            <w:vMerge w:val="continue"/>
            <w:tcBorders>
              <w:tl2br w:val="nil"/>
              <w:tr2bl w:val="nil"/>
            </w:tcBorders>
            <w:noWrap w:val="0"/>
            <w:vAlign w:val="center"/>
          </w:tcPr>
          <w:p w14:paraId="127081AB">
            <w:pPr>
              <w:pStyle w:val="554"/>
              <w:jc w:val="center"/>
              <w:rPr>
                <w:rFonts w:hAnsi="宋体" w:eastAsia="宋体"/>
                <w:color w:val="auto"/>
                <w:sz w:val="15"/>
                <w:szCs w:val="15"/>
                <w:highlight w:val="none"/>
              </w:rPr>
            </w:pPr>
          </w:p>
        </w:tc>
        <w:tc>
          <w:tcPr>
            <w:tcW w:w="325" w:type="pct"/>
            <w:tcBorders>
              <w:tl2br w:val="nil"/>
              <w:tr2bl w:val="nil"/>
            </w:tcBorders>
            <w:noWrap w:val="0"/>
            <w:vAlign w:val="center"/>
          </w:tcPr>
          <w:p w14:paraId="1257F7BA">
            <w:pPr>
              <w:widowControl/>
              <w:jc w:val="center"/>
              <w:textAlignment w:val="center"/>
              <w:rPr>
                <w:rFonts w:hint="eastAsia"/>
                <w:color w:val="auto"/>
                <w:sz w:val="15"/>
                <w:szCs w:val="15"/>
                <w:highlight w:val="none"/>
                <w:lang w:val="en-US" w:eastAsia="zh-CN"/>
              </w:rPr>
            </w:pPr>
            <w:r>
              <w:rPr>
                <w:rFonts w:hint="eastAsia"/>
                <w:color w:val="auto"/>
                <w:sz w:val="15"/>
                <w:szCs w:val="15"/>
                <w:highlight w:val="none"/>
                <w:lang w:val="en-US" w:eastAsia="zh-CN"/>
              </w:rPr>
              <w:t>SO</w:t>
            </w:r>
            <w:r>
              <w:rPr>
                <w:rFonts w:hint="eastAsia"/>
                <w:color w:val="auto"/>
                <w:sz w:val="15"/>
                <w:szCs w:val="15"/>
                <w:highlight w:val="none"/>
                <w:vertAlign w:val="subscript"/>
                <w:lang w:val="en-US" w:eastAsia="zh-CN"/>
              </w:rPr>
              <w:t>2</w:t>
            </w:r>
          </w:p>
        </w:tc>
        <w:tc>
          <w:tcPr>
            <w:tcW w:w="360" w:type="pct"/>
            <w:tcBorders>
              <w:tl2br w:val="nil"/>
              <w:tr2bl w:val="nil"/>
            </w:tcBorders>
            <w:noWrap w:val="0"/>
            <w:vAlign w:val="center"/>
          </w:tcPr>
          <w:p w14:paraId="36186BF2">
            <w:pPr>
              <w:jc w:val="center"/>
              <w:rPr>
                <w:rFonts w:hint="default"/>
                <w:color w:val="auto"/>
                <w:sz w:val="15"/>
                <w:szCs w:val="15"/>
                <w:highlight w:val="none"/>
                <w:lang w:val="en-US" w:eastAsia="zh-CN"/>
              </w:rPr>
            </w:pPr>
            <w:r>
              <w:rPr>
                <w:rFonts w:hint="eastAsia"/>
                <w:color w:val="auto"/>
                <w:sz w:val="15"/>
                <w:szCs w:val="15"/>
                <w:highlight w:val="none"/>
                <w:lang w:val="en-US" w:eastAsia="zh-CN"/>
              </w:rPr>
              <w:t>0.167</w:t>
            </w:r>
          </w:p>
        </w:tc>
        <w:tc>
          <w:tcPr>
            <w:tcW w:w="371" w:type="pct"/>
            <w:vMerge w:val="continue"/>
            <w:tcBorders>
              <w:tl2br w:val="nil"/>
              <w:tr2bl w:val="nil"/>
            </w:tcBorders>
            <w:noWrap w:val="0"/>
            <w:vAlign w:val="center"/>
          </w:tcPr>
          <w:p w14:paraId="1F66B773">
            <w:pPr>
              <w:widowControl/>
              <w:jc w:val="center"/>
              <w:textAlignment w:val="center"/>
              <w:rPr>
                <w:rFonts w:hint="eastAsia" w:eastAsia="宋体"/>
                <w:color w:val="auto"/>
                <w:sz w:val="15"/>
                <w:szCs w:val="15"/>
                <w:highlight w:val="none"/>
                <w:lang w:val="en-US" w:eastAsia="zh-CN"/>
              </w:rPr>
            </w:pPr>
          </w:p>
        </w:tc>
      </w:tr>
      <w:tr w14:paraId="5C515D80">
        <w:tblPrEx>
          <w:tblBorders>
            <w:top w:val="double" w:color="auto" w:sz="4" w:space="0"/>
            <w:left w:val="none" w:color="auto" w:sz="0" w:space="0"/>
            <w:bottom w:val="double" w:color="auto" w:sz="4"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62" w:hRule="atLeast"/>
          <w:tblHeader/>
          <w:jc w:val="center"/>
        </w:trPr>
        <w:tc>
          <w:tcPr>
            <w:tcW w:w="149" w:type="pct"/>
            <w:vMerge w:val="continue"/>
            <w:tcBorders>
              <w:tl2br w:val="nil"/>
              <w:tr2bl w:val="nil"/>
            </w:tcBorders>
            <w:noWrap w:val="0"/>
            <w:vAlign w:val="center"/>
          </w:tcPr>
          <w:p w14:paraId="7C9FBCB6">
            <w:pPr>
              <w:autoSpaceDE w:val="0"/>
              <w:autoSpaceDN w:val="0"/>
              <w:adjustRightInd w:val="0"/>
              <w:jc w:val="center"/>
              <w:rPr>
                <w:rFonts w:hint="eastAsia"/>
                <w:color w:val="auto"/>
                <w:sz w:val="15"/>
                <w:szCs w:val="15"/>
                <w:highlight w:val="none"/>
                <w:lang w:val="en-US" w:eastAsia="zh-CN"/>
              </w:rPr>
            </w:pPr>
          </w:p>
        </w:tc>
        <w:tc>
          <w:tcPr>
            <w:tcW w:w="607" w:type="pct"/>
            <w:vMerge w:val="continue"/>
            <w:tcBorders>
              <w:tl2br w:val="nil"/>
              <w:tr2bl w:val="nil"/>
            </w:tcBorders>
            <w:noWrap w:val="0"/>
            <w:vAlign w:val="center"/>
          </w:tcPr>
          <w:p w14:paraId="2915F258">
            <w:pPr>
              <w:widowControl/>
              <w:jc w:val="center"/>
              <w:textAlignment w:val="center"/>
              <w:rPr>
                <w:rFonts w:hint="eastAsia"/>
                <w:color w:val="auto"/>
                <w:sz w:val="15"/>
                <w:szCs w:val="15"/>
                <w:highlight w:val="none"/>
                <w:lang w:val="en-US" w:eastAsia="zh-CN"/>
              </w:rPr>
            </w:pPr>
          </w:p>
        </w:tc>
        <w:tc>
          <w:tcPr>
            <w:tcW w:w="325" w:type="pct"/>
            <w:vMerge w:val="continue"/>
            <w:tcBorders>
              <w:tl2br w:val="nil"/>
              <w:tr2bl w:val="nil"/>
            </w:tcBorders>
            <w:noWrap w:val="0"/>
            <w:vAlign w:val="center"/>
          </w:tcPr>
          <w:p w14:paraId="28EB4CE5">
            <w:pPr>
              <w:jc w:val="center"/>
              <w:rPr>
                <w:rFonts w:hint="default" w:ascii="Times New Roman" w:hAnsi="Times New Roman" w:eastAsia="宋体" w:cs="Times New Roman"/>
                <w:color w:val="auto"/>
                <w:sz w:val="15"/>
                <w:szCs w:val="15"/>
                <w:highlight w:val="none"/>
              </w:rPr>
            </w:pPr>
          </w:p>
        </w:tc>
        <w:tc>
          <w:tcPr>
            <w:tcW w:w="316" w:type="pct"/>
            <w:vMerge w:val="continue"/>
            <w:tcBorders>
              <w:tl2br w:val="nil"/>
              <w:tr2bl w:val="nil"/>
            </w:tcBorders>
            <w:noWrap w:val="0"/>
            <w:vAlign w:val="center"/>
          </w:tcPr>
          <w:p w14:paraId="29CB82E8">
            <w:pPr>
              <w:jc w:val="center"/>
              <w:rPr>
                <w:rFonts w:hint="default" w:ascii="Times New Roman" w:hAnsi="Times New Roman" w:eastAsia="宋体" w:cs="Times New Roman"/>
                <w:color w:val="auto"/>
                <w:sz w:val="15"/>
                <w:szCs w:val="15"/>
                <w:highlight w:val="none"/>
              </w:rPr>
            </w:pPr>
          </w:p>
        </w:tc>
        <w:tc>
          <w:tcPr>
            <w:tcW w:w="422" w:type="pct"/>
            <w:vMerge w:val="continue"/>
            <w:tcBorders>
              <w:tl2br w:val="nil"/>
              <w:tr2bl w:val="nil"/>
            </w:tcBorders>
            <w:noWrap w:val="0"/>
            <w:vAlign w:val="center"/>
          </w:tcPr>
          <w:p w14:paraId="7AC96437">
            <w:pPr>
              <w:jc w:val="center"/>
              <w:rPr>
                <w:rFonts w:hint="eastAsia" w:ascii="Times New Roman" w:hAnsi="Times New Roman" w:eastAsia="宋体" w:cs="Times New Roman"/>
                <w:color w:val="auto"/>
                <w:sz w:val="15"/>
                <w:szCs w:val="15"/>
                <w:highlight w:val="none"/>
                <w:lang w:val="en-US" w:eastAsia="zh-CN"/>
              </w:rPr>
            </w:pPr>
          </w:p>
        </w:tc>
        <w:tc>
          <w:tcPr>
            <w:tcW w:w="325" w:type="pct"/>
            <w:vMerge w:val="continue"/>
            <w:tcBorders>
              <w:tl2br w:val="nil"/>
              <w:tr2bl w:val="nil"/>
            </w:tcBorders>
            <w:noWrap w:val="0"/>
            <w:vAlign w:val="center"/>
          </w:tcPr>
          <w:p w14:paraId="7FE0CBC5">
            <w:pPr>
              <w:jc w:val="center"/>
              <w:rPr>
                <w:rFonts w:hint="eastAsia" w:ascii="Times New Roman" w:hAnsi="Times New Roman" w:eastAsia="宋体" w:cs="Times New Roman"/>
                <w:color w:val="auto"/>
                <w:sz w:val="15"/>
                <w:szCs w:val="15"/>
                <w:highlight w:val="none"/>
                <w:lang w:val="en-US" w:eastAsia="zh-CN"/>
              </w:rPr>
            </w:pPr>
          </w:p>
        </w:tc>
        <w:tc>
          <w:tcPr>
            <w:tcW w:w="325" w:type="pct"/>
            <w:vMerge w:val="continue"/>
            <w:tcBorders>
              <w:tl2br w:val="nil"/>
              <w:tr2bl w:val="nil"/>
            </w:tcBorders>
            <w:noWrap w:val="0"/>
            <w:vAlign w:val="center"/>
          </w:tcPr>
          <w:p w14:paraId="703A2C6E">
            <w:pPr>
              <w:jc w:val="center"/>
              <w:rPr>
                <w:rFonts w:hint="eastAsia" w:eastAsia="宋体"/>
                <w:color w:val="auto"/>
                <w:sz w:val="15"/>
                <w:szCs w:val="15"/>
                <w:highlight w:val="none"/>
                <w:lang w:val="en-US" w:eastAsia="zh-CN"/>
              </w:rPr>
            </w:pPr>
          </w:p>
        </w:tc>
        <w:tc>
          <w:tcPr>
            <w:tcW w:w="422" w:type="pct"/>
            <w:vMerge w:val="continue"/>
            <w:tcBorders>
              <w:tl2br w:val="nil"/>
              <w:tr2bl w:val="nil"/>
            </w:tcBorders>
            <w:noWrap w:val="0"/>
            <w:vAlign w:val="center"/>
          </w:tcPr>
          <w:p w14:paraId="06D33145">
            <w:pPr>
              <w:jc w:val="center"/>
              <w:rPr>
                <w:rFonts w:hint="eastAsia" w:ascii="Times New Roman" w:hAnsi="Times New Roman" w:eastAsia="宋体" w:cs="Times New Roman"/>
                <w:color w:val="auto"/>
                <w:sz w:val="15"/>
                <w:szCs w:val="15"/>
                <w:highlight w:val="none"/>
                <w:lang w:val="en-US" w:eastAsia="zh-CN"/>
              </w:rPr>
            </w:pPr>
          </w:p>
        </w:tc>
        <w:tc>
          <w:tcPr>
            <w:tcW w:w="360" w:type="pct"/>
            <w:vMerge w:val="continue"/>
            <w:tcBorders>
              <w:tl2br w:val="nil"/>
              <w:tr2bl w:val="nil"/>
            </w:tcBorders>
            <w:noWrap w:val="0"/>
            <w:vAlign w:val="center"/>
          </w:tcPr>
          <w:p w14:paraId="3BD6126D">
            <w:pPr>
              <w:jc w:val="center"/>
              <w:rPr>
                <w:rFonts w:hint="eastAsia" w:ascii="Times New Roman" w:hAnsi="Times New Roman" w:eastAsia="宋体" w:cs="Times New Roman"/>
                <w:color w:val="auto"/>
                <w:sz w:val="15"/>
                <w:szCs w:val="15"/>
                <w:highlight w:val="none"/>
                <w:lang w:val="en-US" w:eastAsia="zh-CN"/>
              </w:rPr>
            </w:pPr>
          </w:p>
        </w:tc>
        <w:tc>
          <w:tcPr>
            <w:tcW w:w="378" w:type="pct"/>
            <w:vMerge w:val="continue"/>
            <w:tcBorders>
              <w:tl2br w:val="nil"/>
              <w:tr2bl w:val="nil"/>
            </w:tcBorders>
            <w:noWrap w:val="0"/>
            <w:vAlign w:val="center"/>
          </w:tcPr>
          <w:p w14:paraId="062E6028">
            <w:pPr>
              <w:jc w:val="center"/>
              <w:rPr>
                <w:rFonts w:hint="eastAsia" w:ascii="Times New Roman" w:hAnsi="Times New Roman" w:eastAsia="宋体" w:cs="Times New Roman"/>
                <w:color w:val="auto"/>
                <w:sz w:val="15"/>
                <w:szCs w:val="15"/>
                <w:highlight w:val="none"/>
                <w:lang w:val="en-US" w:eastAsia="zh-CN"/>
              </w:rPr>
            </w:pPr>
          </w:p>
        </w:tc>
        <w:tc>
          <w:tcPr>
            <w:tcW w:w="307" w:type="pct"/>
            <w:vMerge w:val="continue"/>
            <w:tcBorders>
              <w:tl2br w:val="nil"/>
              <w:tr2bl w:val="nil"/>
            </w:tcBorders>
            <w:noWrap w:val="0"/>
            <w:vAlign w:val="center"/>
          </w:tcPr>
          <w:p w14:paraId="0B9478B3">
            <w:pPr>
              <w:pStyle w:val="554"/>
              <w:jc w:val="center"/>
              <w:rPr>
                <w:rFonts w:hAnsi="宋体" w:eastAsia="宋体"/>
                <w:color w:val="auto"/>
                <w:sz w:val="15"/>
                <w:szCs w:val="15"/>
                <w:highlight w:val="none"/>
              </w:rPr>
            </w:pPr>
          </w:p>
        </w:tc>
        <w:tc>
          <w:tcPr>
            <w:tcW w:w="325" w:type="pct"/>
            <w:tcBorders>
              <w:tl2br w:val="nil"/>
              <w:tr2bl w:val="nil"/>
            </w:tcBorders>
            <w:noWrap w:val="0"/>
            <w:vAlign w:val="center"/>
          </w:tcPr>
          <w:p w14:paraId="39978913">
            <w:pPr>
              <w:widowControl/>
              <w:jc w:val="center"/>
              <w:textAlignment w:val="center"/>
              <w:rPr>
                <w:rFonts w:hint="eastAsia"/>
                <w:color w:val="auto"/>
                <w:sz w:val="15"/>
                <w:szCs w:val="15"/>
                <w:highlight w:val="none"/>
                <w:lang w:val="en-US" w:eastAsia="zh-CN"/>
              </w:rPr>
            </w:pPr>
            <w:r>
              <w:rPr>
                <w:rFonts w:hint="eastAsia"/>
                <w:color w:val="auto"/>
                <w:sz w:val="15"/>
                <w:szCs w:val="15"/>
                <w:highlight w:val="none"/>
                <w:lang w:val="en-US" w:eastAsia="zh-CN"/>
              </w:rPr>
              <w:t>NO</w:t>
            </w:r>
            <w:r>
              <w:rPr>
                <w:rFonts w:hint="eastAsia"/>
                <w:color w:val="auto"/>
                <w:sz w:val="15"/>
                <w:szCs w:val="15"/>
                <w:highlight w:val="none"/>
                <w:vertAlign w:val="subscript"/>
                <w:lang w:val="en-US" w:eastAsia="zh-CN"/>
              </w:rPr>
              <w:t>2</w:t>
            </w:r>
          </w:p>
        </w:tc>
        <w:tc>
          <w:tcPr>
            <w:tcW w:w="360" w:type="pct"/>
            <w:tcBorders>
              <w:tl2br w:val="nil"/>
              <w:tr2bl w:val="nil"/>
            </w:tcBorders>
            <w:noWrap w:val="0"/>
            <w:vAlign w:val="center"/>
          </w:tcPr>
          <w:p w14:paraId="50DAEC53">
            <w:pPr>
              <w:jc w:val="center"/>
              <w:rPr>
                <w:rFonts w:hint="default"/>
                <w:color w:val="auto"/>
                <w:sz w:val="15"/>
                <w:szCs w:val="15"/>
                <w:highlight w:val="none"/>
                <w:lang w:val="en-US" w:eastAsia="zh-CN"/>
              </w:rPr>
            </w:pPr>
            <w:r>
              <w:rPr>
                <w:rFonts w:hint="eastAsia"/>
                <w:color w:val="auto"/>
                <w:sz w:val="15"/>
                <w:szCs w:val="15"/>
                <w:highlight w:val="none"/>
                <w:lang w:val="en-US" w:eastAsia="zh-CN"/>
              </w:rPr>
              <w:t>0.233</w:t>
            </w:r>
          </w:p>
        </w:tc>
        <w:tc>
          <w:tcPr>
            <w:tcW w:w="371" w:type="pct"/>
            <w:vMerge w:val="continue"/>
            <w:tcBorders>
              <w:tl2br w:val="nil"/>
              <w:tr2bl w:val="nil"/>
            </w:tcBorders>
            <w:noWrap w:val="0"/>
            <w:vAlign w:val="center"/>
          </w:tcPr>
          <w:p w14:paraId="1808A063">
            <w:pPr>
              <w:widowControl/>
              <w:jc w:val="center"/>
              <w:textAlignment w:val="center"/>
              <w:rPr>
                <w:rFonts w:hint="eastAsia" w:eastAsia="宋体"/>
                <w:color w:val="auto"/>
                <w:sz w:val="15"/>
                <w:szCs w:val="15"/>
                <w:highlight w:val="none"/>
                <w:lang w:val="en-US" w:eastAsia="zh-CN"/>
              </w:rPr>
            </w:pPr>
          </w:p>
        </w:tc>
      </w:tr>
    </w:tbl>
    <w:p w14:paraId="1234A8C2">
      <w:pPr>
        <w:jc w:val="center"/>
        <w:rPr>
          <w:rFonts w:hint="eastAsia" w:eastAsia="宋体"/>
          <w:b/>
          <w:color w:val="auto"/>
          <w:szCs w:val="21"/>
          <w:lang w:eastAsia="zh-CN"/>
        </w:rPr>
      </w:pPr>
      <w:r>
        <w:rPr>
          <w:b/>
          <w:color w:val="auto"/>
          <w:szCs w:val="21"/>
        </w:rPr>
        <w:t>表</w:t>
      </w:r>
      <w:r>
        <w:rPr>
          <w:rFonts w:hint="eastAsia"/>
          <w:b/>
          <w:color w:val="auto"/>
          <w:szCs w:val="21"/>
          <w:lang w:val="en-US" w:eastAsia="zh-CN"/>
        </w:rPr>
        <w:t xml:space="preserve">2.3-5  </w:t>
      </w:r>
      <w:r>
        <w:rPr>
          <w:b/>
          <w:color w:val="auto"/>
          <w:szCs w:val="21"/>
        </w:rPr>
        <w:t xml:space="preserve">  </w:t>
      </w:r>
      <w:r>
        <w:rPr>
          <w:rFonts w:hint="eastAsia"/>
          <w:b/>
          <w:color w:val="auto"/>
          <w:szCs w:val="21"/>
        </w:rPr>
        <w:t>无组织面源</w:t>
      </w:r>
      <w:r>
        <w:rPr>
          <w:rFonts w:hint="eastAsia"/>
          <w:b/>
          <w:color w:val="auto"/>
          <w:szCs w:val="21"/>
          <w:lang w:eastAsia="zh-CN"/>
        </w:rPr>
        <w:t>参数表（矩形面源）</w:t>
      </w:r>
    </w:p>
    <w:tbl>
      <w:tblPr>
        <w:tblStyle w:val="5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3"/>
        <w:gridCol w:w="590"/>
        <w:gridCol w:w="546"/>
        <w:gridCol w:w="587"/>
        <w:gridCol w:w="674"/>
        <w:gridCol w:w="660"/>
        <w:gridCol w:w="720"/>
        <w:gridCol w:w="735"/>
        <w:gridCol w:w="764"/>
        <w:gridCol w:w="636"/>
        <w:gridCol w:w="476"/>
        <w:gridCol w:w="793"/>
        <w:gridCol w:w="921"/>
      </w:tblGrid>
      <w:tr w14:paraId="014E9F4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248" w:type="pct"/>
            <w:vMerge w:val="restart"/>
            <w:tcBorders>
              <w:tl2br w:val="nil"/>
              <w:tr2bl w:val="nil"/>
            </w:tcBorders>
            <w:noWrap w:val="0"/>
            <w:vAlign w:val="center"/>
          </w:tcPr>
          <w:p w14:paraId="272CCBE8">
            <w:pPr>
              <w:autoSpaceDE w:val="0"/>
              <w:autoSpaceDN w:val="0"/>
              <w:adjustRightInd w:val="0"/>
              <w:jc w:val="center"/>
              <w:rPr>
                <w:bCs/>
                <w:color w:val="auto"/>
                <w:sz w:val="18"/>
                <w:szCs w:val="18"/>
                <w:highlight w:val="none"/>
              </w:rPr>
            </w:pPr>
            <w:r>
              <w:rPr>
                <w:bCs/>
                <w:color w:val="auto"/>
                <w:sz w:val="18"/>
                <w:szCs w:val="18"/>
                <w:highlight w:val="none"/>
              </w:rPr>
              <w:t>编号</w:t>
            </w:r>
          </w:p>
        </w:tc>
        <w:tc>
          <w:tcPr>
            <w:tcW w:w="346" w:type="pct"/>
            <w:vMerge w:val="restart"/>
            <w:tcBorders>
              <w:tl2br w:val="nil"/>
              <w:tr2bl w:val="nil"/>
            </w:tcBorders>
            <w:noWrap w:val="0"/>
            <w:vAlign w:val="center"/>
          </w:tcPr>
          <w:p w14:paraId="35B04CB9">
            <w:pPr>
              <w:autoSpaceDE w:val="0"/>
              <w:autoSpaceDN w:val="0"/>
              <w:adjustRightInd w:val="0"/>
              <w:jc w:val="center"/>
              <w:rPr>
                <w:bCs/>
                <w:color w:val="auto"/>
                <w:sz w:val="18"/>
                <w:szCs w:val="18"/>
                <w:highlight w:val="none"/>
              </w:rPr>
            </w:pPr>
            <w:r>
              <w:rPr>
                <w:bCs/>
                <w:color w:val="auto"/>
                <w:sz w:val="18"/>
                <w:szCs w:val="18"/>
                <w:highlight w:val="none"/>
              </w:rPr>
              <w:t>名称</w:t>
            </w:r>
          </w:p>
        </w:tc>
        <w:tc>
          <w:tcPr>
            <w:tcW w:w="664" w:type="pct"/>
            <w:gridSpan w:val="2"/>
            <w:tcBorders>
              <w:tl2br w:val="nil"/>
              <w:tr2bl w:val="nil"/>
            </w:tcBorders>
            <w:noWrap w:val="0"/>
            <w:vAlign w:val="center"/>
          </w:tcPr>
          <w:p w14:paraId="3342E7C5">
            <w:pPr>
              <w:autoSpaceDE w:val="0"/>
              <w:autoSpaceDN w:val="0"/>
              <w:adjustRightInd w:val="0"/>
              <w:jc w:val="center"/>
              <w:rPr>
                <w:rFonts w:hint="default" w:eastAsia="宋体"/>
                <w:bCs/>
                <w:color w:val="auto"/>
                <w:sz w:val="18"/>
                <w:szCs w:val="18"/>
                <w:highlight w:val="none"/>
                <w:lang w:val="en-US" w:eastAsia="zh-CN"/>
              </w:rPr>
            </w:pPr>
            <w:r>
              <w:rPr>
                <w:bCs/>
                <w:color w:val="auto"/>
                <w:sz w:val="18"/>
                <w:szCs w:val="18"/>
                <w:highlight w:val="none"/>
              </w:rPr>
              <w:t>面源</w:t>
            </w:r>
            <w:r>
              <w:rPr>
                <w:rFonts w:hint="eastAsia"/>
                <w:bCs/>
                <w:color w:val="auto"/>
                <w:sz w:val="18"/>
                <w:szCs w:val="18"/>
                <w:highlight w:val="none"/>
                <w:lang w:eastAsia="zh-CN"/>
              </w:rPr>
              <w:t>起点</w:t>
            </w:r>
            <w:r>
              <w:rPr>
                <w:bCs/>
                <w:color w:val="auto"/>
                <w:sz w:val="18"/>
                <w:szCs w:val="18"/>
                <w:highlight w:val="none"/>
              </w:rPr>
              <w:t>坐标</w:t>
            </w:r>
            <w:r>
              <w:rPr>
                <w:rFonts w:hint="eastAsia"/>
                <w:bCs/>
                <w:color w:val="auto"/>
                <w:sz w:val="18"/>
                <w:szCs w:val="18"/>
                <w:highlight w:val="none"/>
                <w:lang w:val="en-US" w:eastAsia="zh-CN"/>
              </w:rPr>
              <w:t>/m</w:t>
            </w:r>
          </w:p>
        </w:tc>
        <w:tc>
          <w:tcPr>
            <w:tcW w:w="395" w:type="pct"/>
            <w:vMerge w:val="restart"/>
            <w:tcBorders>
              <w:tl2br w:val="nil"/>
              <w:tr2bl w:val="nil"/>
            </w:tcBorders>
            <w:noWrap w:val="0"/>
            <w:vAlign w:val="center"/>
          </w:tcPr>
          <w:p w14:paraId="177559E7">
            <w:pPr>
              <w:autoSpaceDE w:val="0"/>
              <w:autoSpaceDN w:val="0"/>
              <w:adjustRightInd w:val="0"/>
              <w:jc w:val="center"/>
              <w:rPr>
                <w:bCs/>
                <w:color w:val="auto"/>
                <w:sz w:val="18"/>
                <w:szCs w:val="18"/>
                <w:highlight w:val="none"/>
              </w:rPr>
            </w:pPr>
            <w:r>
              <w:rPr>
                <w:bCs/>
                <w:color w:val="auto"/>
                <w:sz w:val="18"/>
                <w:szCs w:val="18"/>
                <w:highlight w:val="none"/>
              </w:rPr>
              <w:t>面源海拔高度/m</w:t>
            </w:r>
          </w:p>
        </w:tc>
        <w:tc>
          <w:tcPr>
            <w:tcW w:w="387" w:type="pct"/>
            <w:vMerge w:val="restart"/>
            <w:tcBorders>
              <w:tl2br w:val="nil"/>
              <w:tr2bl w:val="nil"/>
            </w:tcBorders>
            <w:noWrap w:val="0"/>
            <w:vAlign w:val="center"/>
          </w:tcPr>
          <w:p w14:paraId="380B1356">
            <w:pPr>
              <w:autoSpaceDE w:val="0"/>
              <w:autoSpaceDN w:val="0"/>
              <w:adjustRightInd w:val="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面源长度/m</w:t>
            </w:r>
          </w:p>
        </w:tc>
        <w:tc>
          <w:tcPr>
            <w:tcW w:w="422" w:type="pct"/>
            <w:vMerge w:val="restart"/>
            <w:tcBorders>
              <w:tl2br w:val="nil"/>
              <w:tr2bl w:val="nil"/>
            </w:tcBorders>
            <w:noWrap w:val="0"/>
            <w:vAlign w:val="center"/>
          </w:tcPr>
          <w:p w14:paraId="44810DC1">
            <w:pPr>
              <w:autoSpaceDE w:val="0"/>
              <w:autoSpaceDN w:val="0"/>
              <w:adjustRightInd w:val="0"/>
              <w:jc w:val="center"/>
              <w:rPr>
                <w:rFonts w:hint="default" w:eastAsia="宋体"/>
                <w:bCs/>
                <w:color w:val="auto"/>
                <w:sz w:val="18"/>
                <w:szCs w:val="18"/>
                <w:highlight w:val="none"/>
                <w:lang w:val="en-US" w:eastAsia="zh-CN"/>
              </w:rPr>
            </w:pPr>
            <w:r>
              <w:rPr>
                <w:rFonts w:hint="eastAsia"/>
                <w:bCs/>
                <w:color w:val="auto"/>
                <w:sz w:val="18"/>
                <w:szCs w:val="18"/>
                <w:highlight w:val="none"/>
                <w:lang w:eastAsia="zh-CN"/>
              </w:rPr>
              <w:t>面源宽度</w:t>
            </w:r>
            <w:r>
              <w:rPr>
                <w:rFonts w:hint="eastAsia"/>
                <w:bCs/>
                <w:color w:val="auto"/>
                <w:sz w:val="18"/>
                <w:szCs w:val="18"/>
                <w:highlight w:val="none"/>
                <w:lang w:val="en-US" w:eastAsia="zh-CN"/>
              </w:rPr>
              <w:t>/m</w:t>
            </w:r>
          </w:p>
        </w:tc>
        <w:tc>
          <w:tcPr>
            <w:tcW w:w="431" w:type="pct"/>
            <w:vMerge w:val="restart"/>
            <w:tcBorders>
              <w:tl2br w:val="nil"/>
              <w:tr2bl w:val="nil"/>
            </w:tcBorders>
            <w:noWrap w:val="0"/>
            <w:vAlign w:val="center"/>
          </w:tcPr>
          <w:p w14:paraId="014CB491">
            <w:pPr>
              <w:autoSpaceDE w:val="0"/>
              <w:autoSpaceDN w:val="0"/>
              <w:adjustRightInd w:val="0"/>
              <w:jc w:val="center"/>
              <w:rPr>
                <w:rFonts w:hint="default" w:ascii="Times New Roman" w:hAnsi="Times New Roman" w:eastAsia="宋体" w:cs="Times New Roman"/>
                <w:bCs/>
                <w:color w:val="auto"/>
                <w:sz w:val="18"/>
                <w:szCs w:val="18"/>
                <w:highlight w:val="none"/>
                <w:lang w:val="en-US" w:eastAsia="zh-CN"/>
              </w:rPr>
            </w:pPr>
            <w:r>
              <w:rPr>
                <w:rFonts w:hint="eastAsia"/>
                <w:bCs/>
                <w:color w:val="auto"/>
                <w:sz w:val="18"/>
                <w:szCs w:val="18"/>
                <w:highlight w:val="none"/>
                <w:lang w:eastAsia="zh-CN"/>
              </w:rPr>
              <w:t>与正北向夹角</w:t>
            </w:r>
            <w:r>
              <w:rPr>
                <w:rFonts w:hint="eastAsia"/>
                <w:bCs/>
                <w:color w:val="auto"/>
                <w:sz w:val="18"/>
                <w:szCs w:val="18"/>
                <w:highlight w:val="none"/>
                <w:lang w:val="en-US" w:eastAsia="zh-CN"/>
              </w:rPr>
              <w:t>/</w:t>
            </w:r>
            <w:r>
              <w:rPr>
                <w:rFonts w:hint="default" w:ascii="Times New Roman" w:hAnsi="Times New Roman" w:cs="Times New Roman"/>
                <w:bCs/>
                <w:color w:val="auto"/>
                <w:sz w:val="18"/>
                <w:szCs w:val="18"/>
                <w:highlight w:val="none"/>
                <w:lang w:val="en-US" w:eastAsia="zh-CN"/>
              </w:rPr>
              <w:t>°</w:t>
            </w:r>
          </w:p>
        </w:tc>
        <w:tc>
          <w:tcPr>
            <w:tcW w:w="448" w:type="pct"/>
            <w:vMerge w:val="restart"/>
            <w:tcBorders>
              <w:tl2br w:val="nil"/>
              <w:tr2bl w:val="nil"/>
            </w:tcBorders>
            <w:noWrap w:val="0"/>
            <w:vAlign w:val="center"/>
          </w:tcPr>
          <w:p w14:paraId="5ABE5F21">
            <w:pPr>
              <w:autoSpaceDE w:val="0"/>
              <w:autoSpaceDN w:val="0"/>
              <w:adjustRightInd w:val="0"/>
              <w:jc w:val="center"/>
              <w:rPr>
                <w:bCs/>
                <w:color w:val="auto"/>
                <w:sz w:val="18"/>
                <w:szCs w:val="18"/>
                <w:highlight w:val="none"/>
              </w:rPr>
            </w:pPr>
            <w:r>
              <w:rPr>
                <w:bCs/>
                <w:color w:val="auto"/>
                <w:sz w:val="18"/>
                <w:szCs w:val="18"/>
                <w:highlight w:val="none"/>
              </w:rPr>
              <w:t>面源有效排放高度/m</w:t>
            </w:r>
          </w:p>
        </w:tc>
        <w:tc>
          <w:tcPr>
            <w:tcW w:w="373" w:type="pct"/>
            <w:vMerge w:val="restart"/>
            <w:tcBorders>
              <w:tl2br w:val="nil"/>
              <w:tr2bl w:val="nil"/>
            </w:tcBorders>
            <w:noWrap w:val="0"/>
            <w:vAlign w:val="center"/>
          </w:tcPr>
          <w:p w14:paraId="6CF8924D">
            <w:pPr>
              <w:autoSpaceDE w:val="0"/>
              <w:autoSpaceDN w:val="0"/>
              <w:adjustRightInd w:val="0"/>
              <w:jc w:val="center"/>
              <w:rPr>
                <w:bCs/>
                <w:color w:val="auto"/>
                <w:sz w:val="18"/>
                <w:szCs w:val="18"/>
                <w:highlight w:val="none"/>
              </w:rPr>
            </w:pPr>
            <w:r>
              <w:rPr>
                <w:bCs/>
                <w:color w:val="auto"/>
                <w:sz w:val="18"/>
                <w:szCs w:val="18"/>
                <w:highlight w:val="none"/>
              </w:rPr>
              <w:t>年排放小时数/h</w:t>
            </w:r>
          </w:p>
        </w:tc>
        <w:tc>
          <w:tcPr>
            <w:tcW w:w="279" w:type="pct"/>
            <w:vMerge w:val="restart"/>
            <w:tcBorders>
              <w:tl2br w:val="nil"/>
              <w:tr2bl w:val="nil"/>
            </w:tcBorders>
            <w:noWrap w:val="0"/>
            <w:vAlign w:val="center"/>
          </w:tcPr>
          <w:p w14:paraId="6417C935">
            <w:pPr>
              <w:autoSpaceDE w:val="0"/>
              <w:autoSpaceDN w:val="0"/>
              <w:adjustRightInd w:val="0"/>
              <w:jc w:val="center"/>
              <w:rPr>
                <w:bCs/>
                <w:color w:val="auto"/>
                <w:sz w:val="18"/>
                <w:szCs w:val="18"/>
                <w:highlight w:val="none"/>
              </w:rPr>
            </w:pPr>
            <w:r>
              <w:rPr>
                <w:bCs/>
                <w:color w:val="auto"/>
                <w:sz w:val="18"/>
                <w:szCs w:val="18"/>
                <w:highlight w:val="none"/>
              </w:rPr>
              <w:t>排放工况</w:t>
            </w:r>
          </w:p>
        </w:tc>
        <w:tc>
          <w:tcPr>
            <w:tcW w:w="1004" w:type="pct"/>
            <w:gridSpan w:val="2"/>
            <w:vMerge w:val="restart"/>
            <w:tcBorders>
              <w:tl2br w:val="nil"/>
              <w:tr2bl w:val="nil"/>
            </w:tcBorders>
            <w:noWrap w:val="0"/>
            <w:vAlign w:val="center"/>
          </w:tcPr>
          <w:p w14:paraId="1FC27E0D">
            <w:pPr>
              <w:autoSpaceDE w:val="0"/>
              <w:autoSpaceDN w:val="0"/>
              <w:adjustRightInd w:val="0"/>
              <w:jc w:val="center"/>
              <w:rPr>
                <w:bCs/>
                <w:color w:val="auto"/>
                <w:sz w:val="18"/>
                <w:szCs w:val="18"/>
                <w:highlight w:val="none"/>
              </w:rPr>
            </w:pPr>
            <w:r>
              <w:rPr>
                <w:bCs/>
                <w:color w:val="auto"/>
                <w:sz w:val="18"/>
                <w:szCs w:val="18"/>
                <w:highlight w:val="none"/>
              </w:rPr>
              <w:t>污染物排放速率（kg/h）</w:t>
            </w:r>
          </w:p>
        </w:tc>
      </w:tr>
      <w:tr w14:paraId="6F2267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48" w:type="pct"/>
            <w:vMerge w:val="continue"/>
            <w:tcBorders>
              <w:tl2br w:val="nil"/>
              <w:tr2bl w:val="nil"/>
            </w:tcBorders>
            <w:noWrap w:val="0"/>
            <w:vAlign w:val="center"/>
          </w:tcPr>
          <w:p w14:paraId="3157F671">
            <w:pPr>
              <w:widowControl/>
              <w:jc w:val="left"/>
              <w:rPr>
                <w:bCs/>
                <w:color w:val="auto"/>
                <w:sz w:val="18"/>
                <w:szCs w:val="18"/>
                <w:highlight w:val="none"/>
              </w:rPr>
            </w:pPr>
          </w:p>
        </w:tc>
        <w:tc>
          <w:tcPr>
            <w:tcW w:w="346" w:type="pct"/>
            <w:vMerge w:val="continue"/>
            <w:tcBorders>
              <w:tl2br w:val="nil"/>
              <w:tr2bl w:val="nil"/>
            </w:tcBorders>
            <w:noWrap w:val="0"/>
            <w:vAlign w:val="center"/>
          </w:tcPr>
          <w:p w14:paraId="51B14D79">
            <w:pPr>
              <w:widowControl/>
              <w:jc w:val="left"/>
              <w:rPr>
                <w:bCs/>
                <w:color w:val="auto"/>
                <w:sz w:val="18"/>
                <w:szCs w:val="18"/>
                <w:highlight w:val="none"/>
              </w:rPr>
            </w:pPr>
          </w:p>
        </w:tc>
        <w:tc>
          <w:tcPr>
            <w:tcW w:w="320" w:type="pct"/>
            <w:tcBorders>
              <w:tl2br w:val="nil"/>
              <w:tr2bl w:val="nil"/>
            </w:tcBorders>
            <w:noWrap w:val="0"/>
            <w:vAlign w:val="center"/>
          </w:tcPr>
          <w:p w14:paraId="02607341">
            <w:pPr>
              <w:autoSpaceDE w:val="0"/>
              <w:autoSpaceDN w:val="0"/>
              <w:adjustRightInd w:val="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X</w:t>
            </w:r>
          </w:p>
        </w:tc>
        <w:tc>
          <w:tcPr>
            <w:tcW w:w="344" w:type="pct"/>
            <w:tcBorders>
              <w:tl2br w:val="nil"/>
              <w:tr2bl w:val="nil"/>
            </w:tcBorders>
            <w:noWrap w:val="0"/>
            <w:vAlign w:val="center"/>
          </w:tcPr>
          <w:p w14:paraId="09CE5803">
            <w:pPr>
              <w:autoSpaceDE w:val="0"/>
              <w:autoSpaceDN w:val="0"/>
              <w:adjustRightInd w:val="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Y</w:t>
            </w:r>
          </w:p>
        </w:tc>
        <w:tc>
          <w:tcPr>
            <w:tcW w:w="395" w:type="pct"/>
            <w:vMerge w:val="continue"/>
            <w:tcBorders>
              <w:tl2br w:val="nil"/>
              <w:tr2bl w:val="nil"/>
            </w:tcBorders>
            <w:noWrap w:val="0"/>
            <w:vAlign w:val="center"/>
          </w:tcPr>
          <w:p w14:paraId="5A417B2B">
            <w:pPr>
              <w:widowControl/>
              <w:jc w:val="left"/>
              <w:rPr>
                <w:bCs/>
                <w:color w:val="auto"/>
                <w:sz w:val="18"/>
                <w:szCs w:val="18"/>
                <w:highlight w:val="none"/>
              </w:rPr>
            </w:pPr>
          </w:p>
        </w:tc>
        <w:tc>
          <w:tcPr>
            <w:tcW w:w="387" w:type="pct"/>
            <w:vMerge w:val="continue"/>
            <w:tcBorders>
              <w:tl2br w:val="nil"/>
              <w:tr2bl w:val="nil"/>
            </w:tcBorders>
            <w:noWrap w:val="0"/>
            <w:vAlign w:val="center"/>
          </w:tcPr>
          <w:p w14:paraId="6E1DE2C2">
            <w:pPr>
              <w:widowControl/>
              <w:jc w:val="left"/>
              <w:rPr>
                <w:bCs/>
                <w:color w:val="auto"/>
                <w:sz w:val="18"/>
                <w:szCs w:val="18"/>
                <w:highlight w:val="none"/>
              </w:rPr>
            </w:pPr>
          </w:p>
        </w:tc>
        <w:tc>
          <w:tcPr>
            <w:tcW w:w="422" w:type="pct"/>
            <w:vMerge w:val="continue"/>
            <w:tcBorders>
              <w:tl2br w:val="nil"/>
              <w:tr2bl w:val="nil"/>
            </w:tcBorders>
            <w:noWrap w:val="0"/>
            <w:vAlign w:val="center"/>
          </w:tcPr>
          <w:p w14:paraId="2AD78B5A">
            <w:pPr>
              <w:widowControl/>
              <w:jc w:val="left"/>
              <w:rPr>
                <w:bCs/>
                <w:color w:val="auto"/>
                <w:sz w:val="18"/>
                <w:szCs w:val="18"/>
                <w:highlight w:val="none"/>
              </w:rPr>
            </w:pPr>
          </w:p>
        </w:tc>
        <w:tc>
          <w:tcPr>
            <w:tcW w:w="431" w:type="pct"/>
            <w:vMerge w:val="continue"/>
            <w:tcBorders>
              <w:tl2br w:val="nil"/>
              <w:tr2bl w:val="nil"/>
            </w:tcBorders>
            <w:noWrap w:val="0"/>
            <w:vAlign w:val="center"/>
          </w:tcPr>
          <w:p w14:paraId="72E37894">
            <w:pPr>
              <w:widowControl/>
              <w:jc w:val="left"/>
              <w:rPr>
                <w:bCs/>
                <w:color w:val="auto"/>
                <w:sz w:val="18"/>
                <w:szCs w:val="18"/>
                <w:highlight w:val="none"/>
              </w:rPr>
            </w:pPr>
          </w:p>
        </w:tc>
        <w:tc>
          <w:tcPr>
            <w:tcW w:w="448" w:type="pct"/>
            <w:vMerge w:val="continue"/>
            <w:tcBorders>
              <w:tl2br w:val="nil"/>
              <w:tr2bl w:val="nil"/>
            </w:tcBorders>
            <w:noWrap w:val="0"/>
            <w:vAlign w:val="center"/>
          </w:tcPr>
          <w:p w14:paraId="28AE6A54">
            <w:pPr>
              <w:widowControl/>
              <w:jc w:val="left"/>
              <w:rPr>
                <w:bCs/>
                <w:color w:val="auto"/>
                <w:sz w:val="18"/>
                <w:szCs w:val="18"/>
                <w:highlight w:val="none"/>
              </w:rPr>
            </w:pPr>
          </w:p>
        </w:tc>
        <w:tc>
          <w:tcPr>
            <w:tcW w:w="373" w:type="pct"/>
            <w:vMerge w:val="continue"/>
            <w:tcBorders>
              <w:tl2br w:val="nil"/>
              <w:tr2bl w:val="nil"/>
            </w:tcBorders>
            <w:noWrap w:val="0"/>
            <w:vAlign w:val="center"/>
          </w:tcPr>
          <w:p w14:paraId="1CBA16CB">
            <w:pPr>
              <w:widowControl/>
              <w:jc w:val="left"/>
              <w:rPr>
                <w:bCs/>
                <w:color w:val="auto"/>
                <w:sz w:val="18"/>
                <w:szCs w:val="18"/>
                <w:highlight w:val="none"/>
              </w:rPr>
            </w:pPr>
          </w:p>
        </w:tc>
        <w:tc>
          <w:tcPr>
            <w:tcW w:w="279" w:type="pct"/>
            <w:vMerge w:val="continue"/>
            <w:tcBorders>
              <w:tl2br w:val="nil"/>
              <w:tr2bl w:val="nil"/>
            </w:tcBorders>
            <w:noWrap w:val="0"/>
            <w:vAlign w:val="center"/>
          </w:tcPr>
          <w:p w14:paraId="00186675">
            <w:pPr>
              <w:widowControl/>
              <w:jc w:val="left"/>
              <w:rPr>
                <w:bCs/>
                <w:color w:val="auto"/>
                <w:sz w:val="18"/>
                <w:szCs w:val="18"/>
                <w:highlight w:val="none"/>
              </w:rPr>
            </w:pPr>
          </w:p>
        </w:tc>
        <w:tc>
          <w:tcPr>
            <w:tcW w:w="1004" w:type="pct"/>
            <w:gridSpan w:val="2"/>
            <w:vMerge w:val="continue"/>
            <w:tcBorders>
              <w:tl2br w:val="nil"/>
              <w:tr2bl w:val="nil"/>
            </w:tcBorders>
            <w:noWrap w:val="0"/>
            <w:vAlign w:val="center"/>
          </w:tcPr>
          <w:p w14:paraId="36B804D2">
            <w:pPr>
              <w:widowControl/>
              <w:jc w:val="left"/>
              <w:rPr>
                <w:bCs/>
                <w:color w:val="auto"/>
                <w:sz w:val="18"/>
                <w:szCs w:val="18"/>
                <w:highlight w:val="none"/>
              </w:rPr>
            </w:pPr>
          </w:p>
        </w:tc>
      </w:tr>
      <w:tr w14:paraId="3072D13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48" w:type="pct"/>
            <w:vMerge w:val="restart"/>
            <w:tcBorders>
              <w:tl2br w:val="nil"/>
              <w:tr2bl w:val="nil"/>
            </w:tcBorders>
            <w:noWrap w:val="0"/>
            <w:vAlign w:val="center"/>
          </w:tcPr>
          <w:p w14:paraId="3B6CD581">
            <w:pPr>
              <w:widowControl/>
              <w:jc w:val="center"/>
              <w:rPr>
                <w:rFonts w:hint="default"/>
                <w:bCs/>
                <w:color w:val="auto"/>
                <w:sz w:val="18"/>
                <w:szCs w:val="18"/>
                <w:highlight w:val="none"/>
                <w:lang w:val="en-US" w:eastAsia="zh-CN"/>
              </w:rPr>
            </w:pPr>
            <w:r>
              <w:rPr>
                <w:rFonts w:hint="eastAsia"/>
                <w:bCs/>
                <w:color w:val="auto"/>
                <w:sz w:val="18"/>
                <w:szCs w:val="18"/>
                <w:highlight w:val="none"/>
                <w:lang w:val="en-US" w:eastAsia="zh-CN"/>
              </w:rPr>
              <w:t>1</w:t>
            </w:r>
          </w:p>
        </w:tc>
        <w:tc>
          <w:tcPr>
            <w:tcW w:w="346" w:type="pct"/>
            <w:vMerge w:val="restart"/>
            <w:tcBorders>
              <w:tl2br w:val="nil"/>
              <w:tr2bl w:val="nil"/>
            </w:tcBorders>
            <w:noWrap w:val="0"/>
            <w:vAlign w:val="center"/>
          </w:tcPr>
          <w:p w14:paraId="6628CB61">
            <w:pPr>
              <w:widowControl/>
              <w:jc w:val="center"/>
              <w:rPr>
                <w:rFonts w:hint="eastAsia" w:eastAsia="宋体"/>
                <w:bCs/>
                <w:color w:val="auto"/>
                <w:sz w:val="18"/>
                <w:szCs w:val="18"/>
                <w:highlight w:val="none"/>
                <w:lang w:eastAsia="zh-CN"/>
              </w:rPr>
            </w:pPr>
            <w:r>
              <w:rPr>
                <w:rFonts w:hint="eastAsia"/>
                <w:bCs/>
                <w:color w:val="auto"/>
                <w:sz w:val="18"/>
                <w:szCs w:val="18"/>
                <w:highlight w:val="none"/>
                <w:lang w:val="en-US" w:eastAsia="zh-CN"/>
              </w:rPr>
              <w:t>鸡舍区域</w:t>
            </w:r>
          </w:p>
        </w:tc>
        <w:tc>
          <w:tcPr>
            <w:tcW w:w="320" w:type="pct"/>
            <w:vMerge w:val="restart"/>
            <w:tcBorders>
              <w:tl2br w:val="nil"/>
              <w:tr2bl w:val="nil"/>
            </w:tcBorders>
            <w:noWrap w:val="0"/>
            <w:vAlign w:val="center"/>
          </w:tcPr>
          <w:p w14:paraId="571D4785">
            <w:pPr>
              <w:autoSpaceDE w:val="0"/>
              <w:autoSpaceDN w:val="0"/>
              <w:adjustRightInd w:val="0"/>
              <w:jc w:val="center"/>
              <w:rPr>
                <w:rFonts w:hint="default" w:ascii="Times New Roman" w:hAnsi="Times New Roman" w:eastAsia="宋体" w:cs="Times New Roman"/>
                <w:bCs/>
                <w:iCs/>
                <w:color w:val="auto"/>
                <w:sz w:val="18"/>
                <w:szCs w:val="18"/>
                <w:highlight w:val="none"/>
                <w:lang w:val="en-US" w:eastAsia="zh-CN"/>
              </w:rPr>
            </w:pPr>
            <w:r>
              <w:rPr>
                <w:rFonts w:hint="eastAsia" w:cs="Times New Roman"/>
                <w:bCs/>
                <w:iCs/>
                <w:color w:val="auto"/>
                <w:sz w:val="18"/>
                <w:szCs w:val="18"/>
                <w:highlight w:val="none"/>
                <w:lang w:val="en-US" w:eastAsia="zh-CN"/>
              </w:rPr>
              <w:t>578</w:t>
            </w:r>
          </w:p>
        </w:tc>
        <w:tc>
          <w:tcPr>
            <w:tcW w:w="344" w:type="pct"/>
            <w:vMerge w:val="restart"/>
            <w:tcBorders>
              <w:tl2br w:val="nil"/>
              <w:tr2bl w:val="nil"/>
            </w:tcBorders>
            <w:noWrap w:val="0"/>
            <w:vAlign w:val="center"/>
          </w:tcPr>
          <w:p w14:paraId="6F6FB2C0">
            <w:pPr>
              <w:autoSpaceDE w:val="0"/>
              <w:autoSpaceDN w:val="0"/>
              <w:adjustRightInd w:val="0"/>
              <w:jc w:val="center"/>
              <w:rPr>
                <w:rFonts w:hint="default" w:ascii="Times New Roman" w:hAnsi="Times New Roman" w:eastAsia="宋体" w:cs="Times New Roman"/>
                <w:bCs/>
                <w:iCs/>
                <w:color w:val="auto"/>
                <w:sz w:val="18"/>
                <w:szCs w:val="18"/>
                <w:highlight w:val="none"/>
                <w:lang w:val="en-US" w:eastAsia="zh-CN"/>
              </w:rPr>
            </w:pPr>
            <w:r>
              <w:rPr>
                <w:rFonts w:hint="eastAsia" w:cs="Times New Roman"/>
                <w:bCs/>
                <w:iCs/>
                <w:color w:val="auto"/>
                <w:sz w:val="18"/>
                <w:szCs w:val="18"/>
                <w:highlight w:val="none"/>
                <w:lang w:val="en-US" w:eastAsia="zh-CN"/>
              </w:rPr>
              <w:t>228</w:t>
            </w:r>
          </w:p>
        </w:tc>
        <w:tc>
          <w:tcPr>
            <w:tcW w:w="395" w:type="pct"/>
            <w:vMerge w:val="restart"/>
            <w:tcBorders>
              <w:tl2br w:val="nil"/>
              <w:tr2bl w:val="nil"/>
            </w:tcBorders>
            <w:noWrap w:val="0"/>
            <w:vAlign w:val="center"/>
          </w:tcPr>
          <w:p w14:paraId="30FBD69D">
            <w:pPr>
              <w:widowControl/>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613</w:t>
            </w:r>
          </w:p>
        </w:tc>
        <w:tc>
          <w:tcPr>
            <w:tcW w:w="387" w:type="pct"/>
            <w:vMerge w:val="restart"/>
            <w:tcBorders>
              <w:tl2br w:val="nil"/>
              <w:tr2bl w:val="nil"/>
            </w:tcBorders>
            <w:noWrap w:val="0"/>
            <w:vAlign w:val="center"/>
          </w:tcPr>
          <w:p w14:paraId="7DC8A12C">
            <w:pPr>
              <w:widowControl/>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250</w:t>
            </w:r>
          </w:p>
        </w:tc>
        <w:tc>
          <w:tcPr>
            <w:tcW w:w="422" w:type="pct"/>
            <w:vMerge w:val="restart"/>
            <w:tcBorders>
              <w:tl2br w:val="nil"/>
              <w:tr2bl w:val="nil"/>
            </w:tcBorders>
            <w:noWrap w:val="0"/>
            <w:vAlign w:val="center"/>
          </w:tcPr>
          <w:p w14:paraId="6DB36B29">
            <w:pPr>
              <w:widowControl/>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105</w:t>
            </w:r>
          </w:p>
        </w:tc>
        <w:tc>
          <w:tcPr>
            <w:tcW w:w="431" w:type="pct"/>
            <w:vMerge w:val="restart"/>
            <w:tcBorders>
              <w:tl2br w:val="nil"/>
              <w:tr2bl w:val="nil"/>
            </w:tcBorders>
            <w:noWrap w:val="0"/>
            <w:vAlign w:val="center"/>
          </w:tcPr>
          <w:p w14:paraId="58BAB8E3">
            <w:pPr>
              <w:widowControl/>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130</w:t>
            </w:r>
          </w:p>
        </w:tc>
        <w:tc>
          <w:tcPr>
            <w:tcW w:w="448" w:type="pct"/>
            <w:vMerge w:val="restart"/>
            <w:tcBorders>
              <w:tl2br w:val="nil"/>
              <w:tr2bl w:val="nil"/>
            </w:tcBorders>
            <w:noWrap w:val="0"/>
            <w:vAlign w:val="center"/>
          </w:tcPr>
          <w:p w14:paraId="538844A4">
            <w:pPr>
              <w:widowControl/>
              <w:jc w:val="center"/>
              <w:rPr>
                <w:rFonts w:hint="default" w:eastAsia="宋体"/>
                <w:bCs/>
                <w:color w:val="auto"/>
                <w:sz w:val="18"/>
                <w:szCs w:val="18"/>
                <w:highlight w:val="none"/>
                <w:lang w:val="en-US" w:eastAsia="zh-CN"/>
              </w:rPr>
            </w:pPr>
            <w:r>
              <w:rPr>
                <w:rFonts w:hint="eastAsia" w:eastAsia="宋体"/>
                <w:bCs/>
                <w:color w:val="auto"/>
                <w:sz w:val="18"/>
                <w:szCs w:val="18"/>
                <w:highlight w:val="none"/>
                <w:lang w:val="en-US" w:eastAsia="zh-CN"/>
              </w:rPr>
              <w:t>6</w:t>
            </w:r>
          </w:p>
        </w:tc>
        <w:tc>
          <w:tcPr>
            <w:tcW w:w="373" w:type="pct"/>
            <w:vMerge w:val="restart"/>
            <w:tcBorders>
              <w:tl2br w:val="nil"/>
              <w:tr2bl w:val="nil"/>
            </w:tcBorders>
            <w:noWrap w:val="0"/>
            <w:vAlign w:val="center"/>
          </w:tcPr>
          <w:p w14:paraId="3C49C537">
            <w:pPr>
              <w:widowControl/>
              <w:jc w:val="center"/>
              <w:rPr>
                <w:rFonts w:hint="default" w:eastAsia="宋体"/>
                <w:bCs/>
                <w:color w:val="auto"/>
                <w:sz w:val="18"/>
                <w:szCs w:val="18"/>
                <w:highlight w:val="none"/>
                <w:lang w:val="en-US" w:eastAsia="zh-CN"/>
              </w:rPr>
            </w:pPr>
            <w:r>
              <w:rPr>
                <w:rFonts w:hint="eastAsia" w:eastAsia="宋体"/>
                <w:bCs/>
                <w:color w:val="auto"/>
                <w:sz w:val="18"/>
                <w:szCs w:val="18"/>
                <w:highlight w:val="none"/>
                <w:lang w:val="en-US" w:eastAsia="zh-CN"/>
              </w:rPr>
              <w:t>8760</w:t>
            </w:r>
          </w:p>
        </w:tc>
        <w:tc>
          <w:tcPr>
            <w:tcW w:w="279" w:type="pct"/>
            <w:vMerge w:val="restart"/>
            <w:tcBorders>
              <w:tl2br w:val="nil"/>
              <w:tr2bl w:val="nil"/>
            </w:tcBorders>
            <w:noWrap w:val="0"/>
            <w:vAlign w:val="center"/>
          </w:tcPr>
          <w:p w14:paraId="2DC7CA48">
            <w:pPr>
              <w:widowControl/>
              <w:jc w:val="center"/>
              <w:rPr>
                <w:rFonts w:hint="eastAsia" w:eastAsia="宋体"/>
                <w:bCs/>
                <w:color w:val="auto"/>
                <w:sz w:val="18"/>
                <w:szCs w:val="18"/>
                <w:highlight w:val="none"/>
                <w:lang w:eastAsia="zh-CN"/>
              </w:rPr>
            </w:pPr>
            <w:r>
              <w:rPr>
                <w:rFonts w:hint="eastAsia"/>
                <w:bCs/>
                <w:color w:val="auto"/>
                <w:sz w:val="18"/>
                <w:szCs w:val="18"/>
                <w:highlight w:val="none"/>
                <w:lang w:eastAsia="zh-CN"/>
              </w:rPr>
              <w:t>正常</w:t>
            </w:r>
          </w:p>
        </w:tc>
        <w:tc>
          <w:tcPr>
            <w:tcW w:w="465" w:type="pct"/>
            <w:tcBorders>
              <w:tl2br w:val="nil"/>
              <w:tr2bl w:val="nil"/>
            </w:tcBorders>
            <w:noWrap w:val="0"/>
            <w:vAlign w:val="center"/>
          </w:tcPr>
          <w:p w14:paraId="6C304E88">
            <w:pPr>
              <w:autoSpaceDE w:val="0"/>
              <w:autoSpaceDN w:val="0"/>
              <w:adjustRightInd w:val="0"/>
              <w:jc w:val="center"/>
              <w:rPr>
                <w:bCs/>
                <w:color w:val="auto"/>
                <w:sz w:val="18"/>
                <w:szCs w:val="18"/>
                <w:highlight w:val="none"/>
              </w:rPr>
            </w:pPr>
            <w:r>
              <w:rPr>
                <w:color w:val="auto"/>
                <w:sz w:val="18"/>
                <w:szCs w:val="18"/>
                <w:highlight w:val="none"/>
              </w:rPr>
              <w:t>NH</w:t>
            </w:r>
            <w:r>
              <w:rPr>
                <w:color w:val="auto"/>
                <w:sz w:val="18"/>
                <w:szCs w:val="18"/>
                <w:highlight w:val="none"/>
                <w:vertAlign w:val="subscript"/>
              </w:rPr>
              <w:t>3</w:t>
            </w:r>
          </w:p>
        </w:tc>
        <w:tc>
          <w:tcPr>
            <w:tcW w:w="539" w:type="pct"/>
            <w:tcBorders>
              <w:tl2br w:val="nil"/>
              <w:tr2bl w:val="nil"/>
            </w:tcBorders>
            <w:noWrap w:val="0"/>
            <w:vAlign w:val="center"/>
          </w:tcPr>
          <w:p w14:paraId="45E918CB">
            <w:pPr>
              <w:widowControl/>
              <w:jc w:val="center"/>
              <w:textAlignment w:val="center"/>
              <w:rPr>
                <w:rFonts w:hint="default" w:eastAsia="宋体"/>
                <w:bCs/>
                <w:color w:val="auto"/>
                <w:sz w:val="18"/>
                <w:szCs w:val="18"/>
                <w:highlight w:val="none"/>
                <w:lang w:val="en-US" w:eastAsia="zh-CN"/>
              </w:rPr>
            </w:pPr>
            <w:r>
              <w:rPr>
                <w:color w:val="auto"/>
                <w:sz w:val="18"/>
                <w:szCs w:val="18"/>
                <w:highlight w:val="none"/>
              </w:rPr>
              <w:t>0.005</w:t>
            </w:r>
          </w:p>
        </w:tc>
      </w:tr>
      <w:tr w14:paraId="60308C8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48" w:type="pct"/>
            <w:vMerge w:val="continue"/>
            <w:tcBorders>
              <w:tl2br w:val="nil"/>
              <w:tr2bl w:val="nil"/>
            </w:tcBorders>
            <w:noWrap w:val="0"/>
            <w:vAlign w:val="center"/>
          </w:tcPr>
          <w:p w14:paraId="60B24AF1">
            <w:pPr>
              <w:widowControl/>
              <w:jc w:val="center"/>
              <w:rPr>
                <w:rFonts w:hint="default"/>
                <w:bCs/>
                <w:color w:val="auto"/>
                <w:sz w:val="18"/>
                <w:szCs w:val="18"/>
                <w:highlight w:val="none"/>
                <w:lang w:val="en-US" w:eastAsia="zh-CN"/>
              </w:rPr>
            </w:pPr>
          </w:p>
        </w:tc>
        <w:tc>
          <w:tcPr>
            <w:tcW w:w="346" w:type="pct"/>
            <w:vMerge w:val="continue"/>
            <w:tcBorders>
              <w:tl2br w:val="nil"/>
              <w:tr2bl w:val="nil"/>
            </w:tcBorders>
            <w:noWrap w:val="0"/>
            <w:vAlign w:val="center"/>
          </w:tcPr>
          <w:p w14:paraId="31A2F118">
            <w:pPr>
              <w:widowControl/>
              <w:jc w:val="center"/>
              <w:rPr>
                <w:rFonts w:hint="eastAsia"/>
                <w:bCs/>
                <w:color w:val="auto"/>
                <w:sz w:val="18"/>
                <w:szCs w:val="18"/>
                <w:highlight w:val="none"/>
                <w:lang w:eastAsia="zh-CN"/>
              </w:rPr>
            </w:pPr>
          </w:p>
        </w:tc>
        <w:tc>
          <w:tcPr>
            <w:tcW w:w="320" w:type="pct"/>
            <w:vMerge w:val="continue"/>
            <w:tcBorders>
              <w:tl2br w:val="nil"/>
              <w:tr2bl w:val="nil"/>
            </w:tcBorders>
            <w:noWrap w:val="0"/>
            <w:vAlign w:val="center"/>
          </w:tcPr>
          <w:p w14:paraId="23994FE2">
            <w:pPr>
              <w:autoSpaceDE w:val="0"/>
              <w:autoSpaceDN w:val="0"/>
              <w:adjustRightInd w:val="0"/>
              <w:jc w:val="center"/>
              <w:rPr>
                <w:rFonts w:hint="default" w:ascii="Times New Roman" w:hAnsi="Times New Roman" w:cs="Times New Roman"/>
                <w:bCs/>
                <w:iCs/>
                <w:color w:val="auto"/>
                <w:sz w:val="18"/>
                <w:szCs w:val="18"/>
                <w:highlight w:val="none"/>
              </w:rPr>
            </w:pPr>
          </w:p>
        </w:tc>
        <w:tc>
          <w:tcPr>
            <w:tcW w:w="344" w:type="pct"/>
            <w:vMerge w:val="continue"/>
            <w:tcBorders>
              <w:tl2br w:val="nil"/>
              <w:tr2bl w:val="nil"/>
            </w:tcBorders>
            <w:noWrap w:val="0"/>
            <w:vAlign w:val="center"/>
          </w:tcPr>
          <w:p w14:paraId="6864A707">
            <w:pPr>
              <w:autoSpaceDE w:val="0"/>
              <w:autoSpaceDN w:val="0"/>
              <w:adjustRightInd w:val="0"/>
              <w:jc w:val="center"/>
              <w:rPr>
                <w:rFonts w:hint="default" w:ascii="Times New Roman" w:hAnsi="Times New Roman" w:cs="Times New Roman"/>
                <w:bCs/>
                <w:iCs/>
                <w:color w:val="auto"/>
                <w:sz w:val="18"/>
                <w:szCs w:val="18"/>
                <w:highlight w:val="none"/>
              </w:rPr>
            </w:pPr>
          </w:p>
        </w:tc>
        <w:tc>
          <w:tcPr>
            <w:tcW w:w="395" w:type="pct"/>
            <w:vMerge w:val="continue"/>
            <w:tcBorders>
              <w:tl2br w:val="nil"/>
              <w:tr2bl w:val="nil"/>
            </w:tcBorders>
            <w:noWrap w:val="0"/>
            <w:vAlign w:val="center"/>
          </w:tcPr>
          <w:p w14:paraId="3C323161">
            <w:pPr>
              <w:widowControl/>
              <w:jc w:val="center"/>
              <w:rPr>
                <w:rFonts w:hint="eastAsia"/>
                <w:bCs/>
                <w:color w:val="auto"/>
                <w:sz w:val="18"/>
                <w:szCs w:val="18"/>
                <w:highlight w:val="none"/>
                <w:lang w:val="en-US" w:eastAsia="zh-CN"/>
              </w:rPr>
            </w:pPr>
          </w:p>
        </w:tc>
        <w:tc>
          <w:tcPr>
            <w:tcW w:w="387" w:type="pct"/>
            <w:vMerge w:val="continue"/>
            <w:tcBorders>
              <w:tl2br w:val="nil"/>
              <w:tr2bl w:val="nil"/>
            </w:tcBorders>
            <w:noWrap w:val="0"/>
            <w:vAlign w:val="center"/>
          </w:tcPr>
          <w:p w14:paraId="5C6554B8">
            <w:pPr>
              <w:widowControl/>
              <w:jc w:val="center"/>
              <w:rPr>
                <w:rFonts w:hint="eastAsia"/>
                <w:bCs/>
                <w:color w:val="auto"/>
                <w:sz w:val="18"/>
                <w:szCs w:val="18"/>
                <w:highlight w:val="none"/>
                <w:lang w:val="en-US" w:eastAsia="zh-CN"/>
              </w:rPr>
            </w:pPr>
          </w:p>
        </w:tc>
        <w:tc>
          <w:tcPr>
            <w:tcW w:w="422" w:type="pct"/>
            <w:vMerge w:val="continue"/>
            <w:tcBorders>
              <w:tl2br w:val="nil"/>
              <w:tr2bl w:val="nil"/>
            </w:tcBorders>
            <w:noWrap w:val="0"/>
            <w:vAlign w:val="center"/>
          </w:tcPr>
          <w:p w14:paraId="4316864A">
            <w:pPr>
              <w:widowControl/>
              <w:jc w:val="center"/>
              <w:rPr>
                <w:rFonts w:hint="eastAsia"/>
                <w:bCs/>
                <w:color w:val="auto"/>
                <w:sz w:val="18"/>
                <w:szCs w:val="18"/>
                <w:highlight w:val="none"/>
                <w:lang w:val="en-US" w:eastAsia="zh-CN"/>
              </w:rPr>
            </w:pPr>
          </w:p>
        </w:tc>
        <w:tc>
          <w:tcPr>
            <w:tcW w:w="431" w:type="pct"/>
            <w:vMerge w:val="continue"/>
            <w:tcBorders>
              <w:tl2br w:val="nil"/>
              <w:tr2bl w:val="nil"/>
            </w:tcBorders>
            <w:noWrap w:val="0"/>
            <w:vAlign w:val="center"/>
          </w:tcPr>
          <w:p w14:paraId="39327714">
            <w:pPr>
              <w:widowControl/>
              <w:jc w:val="center"/>
              <w:rPr>
                <w:rFonts w:hint="eastAsia"/>
                <w:bCs/>
                <w:color w:val="auto"/>
                <w:sz w:val="18"/>
                <w:szCs w:val="18"/>
                <w:highlight w:val="none"/>
                <w:lang w:val="en-US" w:eastAsia="zh-CN"/>
              </w:rPr>
            </w:pPr>
          </w:p>
        </w:tc>
        <w:tc>
          <w:tcPr>
            <w:tcW w:w="448" w:type="pct"/>
            <w:vMerge w:val="continue"/>
            <w:tcBorders>
              <w:tl2br w:val="nil"/>
              <w:tr2bl w:val="nil"/>
            </w:tcBorders>
            <w:noWrap w:val="0"/>
            <w:vAlign w:val="center"/>
          </w:tcPr>
          <w:p w14:paraId="141EBBC8">
            <w:pPr>
              <w:widowControl/>
              <w:jc w:val="center"/>
              <w:rPr>
                <w:rFonts w:hint="eastAsia"/>
                <w:bCs/>
                <w:color w:val="auto"/>
                <w:sz w:val="18"/>
                <w:szCs w:val="18"/>
                <w:highlight w:val="none"/>
                <w:lang w:val="en-US" w:eastAsia="zh-CN"/>
              </w:rPr>
            </w:pPr>
          </w:p>
        </w:tc>
        <w:tc>
          <w:tcPr>
            <w:tcW w:w="373" w:type="pct"/>
            <w:vMerge w:val="continue"/>
            <w:tcBorders>
              <w:tl2br w:val="nil"/>
              <w:tr2bl w:val="nil"/>
            </w:tcBorders>
            <w:noWrap w:val="0"/>
            <w:vAlign w:val="center"/>
          </w:tcPr>
          <w:p w14:paraId="3E907234">
            <w:pPr>
              <w:widowControl/>
              <w:jc w:val="center"/>
              <w:rPr>
                <w:rFonts w:hint="eastAsia"/>
                <w:bCs/>
                <w:color w:val="auto"/>
                <w:sz w:val="18"/>
                <w:szCs w:val="18"/>
                <w:highlight w:val="none"/>
                <w:lang w:val="en-US" w:eastAsia="zh-CN"/>
              </w:rPr>
            </w:pPr>
          </w:p>
        </w:tc>
        <w:tc>
          <w:tcPr>
            <w:tcW w:w="279" w:type="pct"/>
            <w:vMerge w:val="continue"/>
            <w:tcBorders>
              <w:tl2br w:val="nil"/>
              <w:tr2bl w:val="nil"/>
            </w:tcBorders>
            <w:noWrap w:val="0"/>
            <w:vAlign w:val="center"/>
          </w:tcPr>
          <w:p w14:paraId="74834543">
            <w:pPr>
              <w:widowControl/>
              <w:jc w:val="center"/>
              <w:rPr>
                <w:rFonts w:hint="eastAsia"/>
                <w:bCs/>
                <w:color w:val="auto"/>
                <w:sz w:val="18"/>
                <w:szCs w:val="18"/>
                <w:highlight w:val="none"/>
                <w:lang w:eastAsia="zh-CN"/>
              </w:rPr>
            </w:pPr>
          </w:p>
        </w:tc>
        <w:tc>
          <w:tcPr>
            <w:tcW w:w="465" w:type="pct"/>
            <w:tcBorders>
              <w:tl2br w:val="nil"/>
              <w:tr2bl w:val="nil"/>
            </w:tcBorders>
            <w:noWrap w:val="0"/>
            <w:vAlign w:val="center"/>
          </w:tcPr>
          <w:p w14:paraId="718B6D1C">
            <w:pPr>
              <w:autoSpaceDE w:val="0"/>
              <w:autoSpaceDN w:val="0"/>
              <w:adjustRightInd w:val="0"/>
              <w:jc w:val="center"/>
              <w:rPr>
                <w:bCs/>
                <w:color w:val="auto"/>
                <w:sz w:val="18"/>
                <w:szCs w:val="18"/>
                <w:highlight w:val="none"/>
              </w:rPr>
            </w:pPr>
            <w:r>
              <w:rPr>
                <w:color w:val="auto"/>
                <w:sz w:val="18"/>
                <w:szCs w:val="18"/>
                <w:highlight w:val="none"/>
              </w:rPr>
              <w:t>H</w:t>
            </w:r>
            <w:r>
              <w:rPr>
                <w:color w:val="auto"/>
                <w:sz w:val="18"/>
                <w:szCs w:val="18"/>
                <w:highlight w:val="none"/>
                <w:vertAlign w:val="subscript"/>
              </w:rPr>
              <w:t>2</w:t>
            </w:r>
            <w:r>
              <w:rPr>
                <w:color w:val="auto"/>
                <w:sz w:val="18"/>
                <w:szCs w:val="18"/>
                <w:highlight w:val="none"/>
              </w:rPr>
              <w:t>S</w:t>
            </w:r>
          </w:p>
        </w:tc>
        <w:tc>
          <w:tcPr>
            <w:tcW w:w="539" w:type="pct"/>
            <w:tcBorders>
              <w:tl2br w:val="nil"/>
              <w:tr2bl w:val="nil"/>
            </w:tcBorders>
            <w:noWrap w:val="0"/>
            <w:vAlign w:val="center"/>
          </w:tcPr>
          <w:p w14:paraId="32D74AE7">
            <w:pPr>
              <w:widowControl/>
              <w:jc w:val="center"/>
              <w:textAlignment w:val="center"/>
              <w:rPr>
                <w:rFonts w:hint="eastAsia" w:eastAsia="宋体"/>
                <w:bCs/>
                <w:color w:val="auto"/>
                <w:sz w:val="18"/>
                <w:szCs w:val="18"/>
                <w:highlight w:val="none"/>
                <w:lang w:val="en-US" w:eastAsia="zh-CN"/>
              </w:rPr>
            </w:pPr>
            <w:r>
              <w:rPr>
                <w:color w:val="auto"/>
                <w:sz w:val="18"/>
                <w:szCs w:val="18"/>
                <w:highlight w:val="none"/>
              </w:rPr>
              <w:t>0.00025</w:t>
            </w:r>
          </w:p>
        </w:tc>
      </w:tr>
      <w:tr w14:paraId="5294579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48" w:type="pct"/>
            <w:vMerge w:val="restart"/>
            <w:tcBorders>
              <w:tl2br w:val="nil"/>
              <w:tr2bl w:val="nil"/>
            </w:tcBorders>
            <w:noWrap w:val="0"/>
            <w:vAlign w:val="center"/>
          </w:tcPr>
          <w:p w14:paraId="6187E8FE">
            <w:pPr>
              <w:widowControl/>
              <w:jc w:val="center"/>
              <w:rPr>
                <w:rFonts w:hint="default"/>
                <w:bCs/>
                <w:color w:val="auto"/>
                <w:sz w:val="18"/>
                <w:szCs w:val="18"/>
                <w:highlight w:val="none"/>
                <w:lang w:val="en-US" w:eastAsia="zh-CN"/>
              </w:rPr>
            </w:pPr>
            <w:r>
              <w:rPr>
                <w:rFonts w:hint="eastAsia"/>
                <w:bCs/>
                <w:color w:val="auto"/>
                <w:sz w:val="18"/>
                <w:szCs w:val="18"/>
                <w:highlight w:val="none"/>
                <w:lang w:val="en-US" w:eastAsia="zh-CN"/>
              </w:rPr>
              <w:t>2</w:t>
            </w:r>
          </w:p>
        </w:tc>
        <w:tc>
          <w:tcPr>
            <w:tcW w:w="346" w:type="pct"/>
            <w:vMerge w:val="restart"/>
            <w:tcBorders>
              <w:tl2br w:val="nil"/>
              <w:tr2bl w:val="nil"/>
            </w:tcBorders>
            <w:noWrap w:val="0"/>
            <w:vAlign w:val="center"/>
          </w:tcPr>
          <w:p w14:paraId="010AA066">
            <w:pPr>
              <w:widowControl/>
              <w:jc w:val="center"/>
              <w:rPr>
                <w:rFonts w:hint="eastAsia"/>
                <w:bCs/>
                <w:color w:val="auto"/>
                <w:sz w:val="18"/>
                <w:szCs w:val="18"/>
                <w:highlight w:val="none"/>
                <w:lang w:eastAsia="zh-CN"/>
              </w:rPr>
            </w:pPr>
            <w:r>
              <w:rPr>
                <w:rFonts w:hint="eastAsia"/>
                <w:bCs/>
                <w:color w:val="auto"/>
                <w:sz w:val="18"/>
                <w:szCs w:val="18"/>
                <w:highlight w:val="none"/>
                <w:lang w:eastAsia="zh-CN"/>
              </w:rPr>
              <w:t>临时储粪场</w:t>
            </w:r>
          </w:p>
        </w:tc>
        <w:tc>
          <w:tcPr>
            <w:tcW w:w="320" w:type="pct"/>
            <w:vMerge w:val="restart"/>
            <w:tcBorders>
              <w:tl2br w:val="nil"/>
              <w:tr2bl w:val="nil"/>
            </w:tcBorders>
            <w:noWrap w:val="0"/>
            <w:vAlign w:val="center"/>
          </w:tcPr>
          <w:p w14:paraId="0C8F91BB">
            <w:pPr>
              <w:autoSpaceDE w:val="0"/>
              <w:autoSpaceDN w:val="0"/>
              <w:adjustRightInd w:val="0"/>
              <w:jc w:val="center"/>
              <w:rPr>
                <w:rFonts w:hint="default" w:ascii="Times New Roman" w:hAnsi="Times New Roman" w:eastAsia="宋体" w:cs="Times New Roman"/>
                <w:bCs/>
                <w:iCs/>
                <w:color w:val="auto"/>
                <w:sz w:val="18"/>
                <w:szCs w:val="18"/>
                <w:highlight w:val="none"/>
                <w:lang w:val="en-US" w:eastAsia="zh-CN"/>
              </w:rPr>
            </w:pPr>
            <w:r>
              <w:rPr>
                <w:rFonts w:hint="eastAsia" w:cs="Times New Roman"/>
                <w:bCs/>
                <w:iCs/>
                <w:color w:val="auto"/>
                <w:sz w:val="18"/>
                <w:szCs w:val="18"/>
                <w:highlight w:val="none"/>
                <w:lang w:val="en-US" w:eastAsia="zh-CN"/>
              </w:rPr>
              <w:t>381</w:t>
            </w:r>
          </w:p>
        </w:tc>
        <w:tc>
          <w:tcPr>
            <w:tcW w:w="344" w:type="pct"/>
            <w:vMerge w:val="restart"/>
            <w:tcBorders>
              <w:tl2br w:val="nil"/>
              <w:tr2bl w:val="nil"/>
            </w:tcBorders>
            <w:noWrap w:val="0"/>
            <w:vAlign w:val="center"/>
          </w:tcPr>
          <w:p w14:paraId="3293CCD6">
            <w:pPr>
              <w:autoSpaceDE w:val="0"/>
              <w:autoSpaceDN w:val="0"/>
              <w:adjustRightInd w:val="0"/>
              <w:jc w:val="center"/>
              <w:rPr>
                <w:rFonts w:hint="default" w:ascii="Times New Roman" w:hAnsi="Times New Roman" w:eastAsia="宋体" w:cs="Times New Roman"/>
                <w:bCs/>
                <w:iCs/>
                <w:color w:val="auto"/>
                <w:sz w:val="18"/>
                <w:szCs w:val="18"/>
                <w:highlight w:val="none"/>
                <w:lang w:val="en-US" w:eastAsia="zh-CN"/>
              </w:rPr>
            </w:pPr>
            <w:r>
              <w:rPr>
                <w:rFonts w:hint="eastAsia" w:cs="Times New Roman"/>
                <w:bCs/>
                <w:iCs/>
                <w:color w:val="auto"/>
                <w:sz w:val="18"/>
                <w:szCs w:val="18"/>
                <w:highlight w:val="none"/>
                <w:lang w:val="en-US" w:eastAsia="zh-CN"/>
              </w:rPr>
              <w:t>358</w:t>
            </w:r>
          </w:p>
        </w:tc>
        <w:tc>
          <w:tcPr>
            <w:tcW w:w="395" w:type="pct"/>
            <w:vMerge w:val="restart"/>
            <w:tcBorders>
              <w:tl2br w:val="nil"/>
              <w:tr2bl w:val="nil"/>
            </w:tcBorders>
            <w:noWrap w:val="0"/>
            <w:vAlign w:val="center"/>
          </w:tcPr>
          <w:p w14:paraId="09F60B17">
            <w:pPr>
              <w:widowControl/>
              <w:jc w:val="center"/>
              <w:rPr>
                <w:rFonts w:hint="default"/>
                <w:bCs/>
                <w:color w:val="auto"/>
                <w:sz w:val="18"/>
                <w:szCs w:val="18"/>
                <w:highlight w:val="none"/>
                <w:lang w:val="en-US" w:eastAsia="zh-CN"/>
              </w:rPr>
            </w:pPr>
            <w:r>
              <w:rPr>
                <w:rFonts w:hint="eastAsia"/>
                <w:bCs/>
                <w:color w:val="auto"/>
                <w:sz w:val="18"/>
                <w:szCs w:val="18"/>
                <w:highlight w:val="none"/>
                <w:lang w:val="en-US" w:eastAsia="zh-CN"/>
              </w:rPr>
              <w:t>597</w:t>
            </w:r>
          </w:p>
        </w:tc>
        <w:tc>
          <w:tcPr>
            <w:tcW w:w="387" w:type="pct"/>
            <w:vMerge w:val="restart"/>
            <w:tcBorders>
              <w:tl2br w:val="nil"/>
              <w:tr2bl w:val="nil"/>
            </w:tcBorders>
            <w:noWrap w:val="0"/>
            <w:vAlign w:val="center"/>
          </w:tcPr>
          <w:p w14:paraId="037A19B4">
            <w:pPr>
              <w:widowControl/>
              <w:jc w:val="center"/>
              <w:rPr>
                <w:rFonts w:hint="default"/>
                <w:bCs/>
                <w:color w:val="auto"/>
                <w:sz w:val="18"/>
                <w:szCs w:val="18"/>
                <w:highlight w:val="none"/>
                <w:lang w:val="en-US" w:eastAsia="zh-CN"/>
              </w:rPr>
            </w:pPr>
            <w:r>
              <w:rPr>
                <w:rFonts w:hint="eastAsia"/>
                <w:bCs/>
                <w:color w:val="auto"/>
                <w:sz w:val="18"/>
                <w:szCs w:val="18"/>
                <w:highlight w:val="none"/>
                <w:lang w:val="en-US" w:eastAsia="zh-CN"/>
              </w:rPr>
              <w:t>50</w:t>
            </w:r>
          </w:p>
        </w:tc>
        <w:tc>
          <w:tcPr>
            <w:tcW w:w="422" w:type="pct"/>
            <w:vMerge w:val="restart"/>
            <w:tcBorders>
              <w:tl2br w:val="nil"/>
              <w:tr2bl w:val="nil"/>
            </w:tcBorders>
            <w:noWrap w:val="0"/>
            <w:vAlign w:val="center"/>
          </w:tcPr>
          <w:p w14:paraId="0C3A265C">
            <w:pPr>
              <w:widowControl/>
              <w:jc w:val="center"/>
              <w:rPr>
                <w:rFonts w:hint="default"/>
                <w:bCs/>
                <w:color w:val="auto"/>
                <w:sz w:val="18"/>
                <w:szCs w:val="18"/>
                <w:highlight w:val="none"/>
                <w:lang w:val="en-US" w:eastAsia="zh-CN"/>
              </w:rPr>
            </w:pPr>
            <w:r>
              <w:rPr>
                <w:rFonts w:hint="eastAsia"/>
                <w:bCs/>
                <w:color w:val="auto"/>
                <w:sz w:val="18"/>
                <w:szCs w:val="18"/>
                <w:highlight w:val="none"/>
                <w:lang w:val="en-US" w:eastAsia="zh-CN"/>
              </w:rPr>
              <w:t>20</w:t>
            </w:r>
          </w:p>
        </w:tc>
        <w:tc>
          <w:tcPr>
            <w:tcW w:w="431" w:type="pct"/>
            <w:vMerge w:val="restart"/>
            <w:tcBorders>
              <w:tl2br w:val="nil"/>
              <w:tr2bl w:val="nil"/>
            </w:tcBorders>
            <w:noWrap w:val="0"/>
            <w:vAlign w:val="center"/>
          </w:tcPr>
          <w:p w14:paraId="6CEEB768">
            <w:pPr>
              <w:widowControl/>
              <w:jc w:val="center"/>
              <w:rPr>
                <w:rFonts w:hint="default"/>
                <w:bCs/>
                <w:color w:val="auto"/>
                <w:sz w:val="18"/>
                <w:szCs w:val="18"/>
                <w:highlight w:val="none"/>
                <w:lang w:val="en-US" w:eastAsia="zh-CN"/>
              </w:rPr>
            </w:pPr>
            <w:r>
              <w:rPr>
                <w:rFonts w:hint="eastAsia"/>
                <w:bCs/>
                <w:color w:val="auto"/>
                <w:sz w:val="18"/>
                <w:szCs w:val="18"/>
                <w:highlight w:val="none"/>
                <w:lang w:val="en-US" w:eastAsia="zh-CN"/>
              </w:rPr>
              <w:t>130</w:t>
            </w:r>
          </w:p>
        </w:tc>
        <w:tc>
          <w:tcPr>
            <w:tcW w:w="448" w:type="pct"/>
            <w:vMerge w:val="restart"/>
            <w:tcBorders>
              <w:tl2br w:val="nil"/>
              <w:tr2bl w:val="nil"/>
            </w:tcBorders>
            <w:noWrap w:val="0"/>
            <w:vAlign w:val="center"/>
          </w:tcPr>
          <w:p w14:paraId="38F7C97D">
            <w:pPr>
              <w:widowControl/>
              <w:jc w:val="center"/>
              <w:rPr>
                <w:rFonts w:hint="default"/>
                <w:bCs/>
                <w:color w:val="auto"/>
                <w:sz w:val="18"/>
                <w:szCs w:val="18"/>
                <w:highlight w:val="none"/>
                <w:lang w:val="en-US" w:eastAsia="zh-CN"/>
              </w:rPr>
            </w:pPr>
            <w:r>
              <w:rPr>
                <w:rFonts w:hint="eastAsia"/>
                <w:bCs/>
                <w:color w:val="auto"/>
                <w:sz w:val="18"/>
                <w:szCs w:val="18"/>
                <w:highlight w:val="none"/>
                <w:lang w:val="en-US" w:eastAsia="zh-CN"/>
              </w:rPr>
              <w:t>4</w:t>
            </w:r>
          </w:p>
        </w:tc>
        <w:tc>
          <w:tcPr>
            <w:tcW w:w="373" w:type="pct"/>
            <w:vMerge w:val="restart"/>
            <w:tcBorders>
              <w:tl2br w:val="nil"/>
              <w:tr2bl w:val="nil"/>
            </w:tcBorders>
            <w:noWrap w:val="0"/>
            <w:vAlign w:val="center"/>
          </w:tcPr>
          <w:p w14:paraId="24F96D23">
            <w:pPr>
              <w:widowControl/>
              <w:jc w:val="center"/>
              <w:rPr>
                <w:rFonts w:hint="default"/>
                <w:bCs/>
                <w:color w:val="auto"/>
                <w:sz w:val="18"/>
                <w:szCs w:val="18"/>
                <w:highlight w:val="none"/>
                <w:lang w:val="en-US" w:eastAsia="zh-CN"/>
              </w:rPr>
            </w:pPr>
            <w:r>
              <w:rPr>
                <w:rFonts w:hint="eastAsia"/>
                <w:bCs/>
                <w:color w:val="auto"/>
                <w:sz w:val="18"/>
                <w:szCs w:val="18"/>
                <w:highlight w:val="none"/>
                <w:lang w:val="en-US" w:eastAsia="zh-CN"/>
              </w:rPr>
              <w:t>1200</w:t>
            </w:r>
          </w:p>
        </w:tc>
        <w:tc>
          <w:tcPr>
            <w:tcW w:w="279" w:type="pct"/>
            <w:vMerge w:val="restart"/>
            <w:tcBorders>
              <w:tl2br w:val="nil"/>
              <w:tr2bl w:val="nil"/>
            </w:tcBorders>
            <w:noWrap w:val="0"/>
            <w:vAlign w:val="center"/>
          </w:tcPr>
          <w:p w14:paraId="14D20C42">
            <w:pPr>
              <w:widowControl/>
              <w:jc w:val="center"/>
              <w:rPr>
                <w:rFonts w:hint="default"/>
                <w:bCs/>
                <w:color w:val="auto"/>
                <w:sz w:val="18"/>
                <w:szCs w:val="18"/>
                <w:highlight w:val="none"/>
                <w:lang w:val="en-US" w:eastAsia="zh-CN"/>
              </w:rPr>
            </w:pPr>
            <w:r>
              <w:rPr>
                <w:rFonts w:hint="eastAsia"/>
                <w:bCs/>
                <w:color w:val="auto"/>
                <w:sz w:val="18"/>
                <w:szCs w:val="18"/>
                <w:highlight w:val="none"/>
                <w:lang w:val="en-US" w:eastAsia="zh-CN"/>
              </w:rPr>
              <w:t>正常</w:t>
            </w:r>
          </w:p>
        </w:tc>
        <w:tc>
          <w:tcPr>
            <w:tcW w:w="465" w:type="pct"/>
            <w:tcBorders>
              <w:tl2br w:val="nil"/>
              <w:tr2bl w:val="nil"/>
            </w:tcBorders>
            <w:noWrap w:val="0"/>
            <w:vAlign w:val="center"/>
          </w:tcPr>
          <w:p w14:paraId="4FB98AF1">
            <w:pPr>
              <w:autoSpaceDE w:val="0"/>
              <w:autoSpaceDN w:val="0"/>
              <w:adjustRightInd w:val="0"/>
              <w:jc w:val="center"/>
              <w:rPr>
                <w:bCs/>
                <w:color w:val="auto"/>
                <w:sz w:val="18"/>
                <w:szCs w:val="18"/>
                <w:highlight w:val="none"/>
              </w:rPr>
            </w:pPr>
            <w:r>
              <w:rPr>
                <w:color w:val="auto"/>
                <w:sz w:val="18"/>
                <w:szCs w:val="18"/>
                <w:highlight w:val="none"/>
              </w:rPr>
              <w:t>NH</w:t>
            </w:r>
            <w:r>
              <w:rPr>
                <w:color w:val="auto"/>
                <w:sz w:val="18"/>
                <w:szCs w:val="18"/>
                <w:highlight w:val="none"/>
                <w:vertAlign w:val="subscript"/>
              </w:rPr>
              <w:t>3</w:t>
            </w:r>
          </w:p>
        </w:tc>
        <w:tc>
          <w:tcPr>
            <w:tcW w:w="539" w:type="pct"/>
            <w:tcBorders>
              <w:tl2br w:val="nil"/>
              <w:tr2bl w:val="nil"/>
            </w:tcBorders>
            <w:noWrap w:val="0"/>
            <w:vAlign w:val="center"/>
          </w:tcPr>
          <w:p w14:paraId="342CD7FB">
            <w:pPr>
              <w:widowControl/>
              <w:jc w:val="center"/>
              <w:textAlignment w:val="center"/>
              <w:rPr>
                <w:rFonts w:hint="eastAsia" w:eastAsia="宋体"/>
                <w:bCs/>
                <w:color w:val="auto"/>
                <w:sz w:val="18"/>
                <w:szCs w:val="18"/>
                <w:highlight w:val="none"/>
                <w:lang w:val="en-US" w:eastAsia="zh-CN"/>
              </w:rPr>
            </w:pPr>
            <w:r>
              <w:rPr>
                <w:rFonts w:hint="eastAsia"/>
                <w:color w:val="auto"/>
                <w:sz w:val="18"/>
                <w:szCs w:val="18"/>
                <w:highlight w:val="none"/>
                <w:lang w:val="en-US" w:eastAsia="zh-CN"/>
              </w:rPr>
              <w:t>0.09</w:t>
            </w:r>
          </w:p>
        </w:tc>
      </w:tr>
      <w:tr w14:paraId="08672B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8" w:type="pct"/>
            <w:vMerge w:val="continue"/>
            <w:tcBorders>
              <w:tl2br w:val="nil"/>
              <w:tr2bl w:val="nil"/>
            </w:tcBorders>
            <w:noWrap w:val="0"/>
            <w:vAlign w:val="center"/>
          </w:tcPr>
          <w:p w14:paraId="352E0440">
            <w:pPr>
              <w:widowControl/>
              <w:jc w:val="center"/>
              <w:rPr>
                <w:rFonts w:hint="eastAsia"/>
                <w:bCs/>
                <w:color w:val="auto"/>
                <w:sz w:val="18"/>
                <w:szCs w:val="18"/>
                <w:highlight w:val="none"/>
                <w:lang w:val="en-US" w:eastAsia="zh-CN"/>
              </w:rPr>
            </w:pPr>
          </w:p>
        </w:tc>
        <w:tc>
          <w:tcPr>
            <w:tcW w:w="346" w:type="pct"/>
            <w:vMerge w:val="continue"/>
            <w:tcBorders>
              <w:tl2br w:val="nil"/>
              <w:tr2bl w:val="nil"/>
            </w:tcBorders>
            <w:noWrap w:val="0"/>
            <w:vAlign w:val="center"/>
          </w:tcPr>
          <w:p w14:paraId="03740810">
            <w:pPr>
              <w:widowControl/>
              <w:jc w:val="center"/>
              <w:rPr>
                <w:rFonts w:hint="eastAsia"/>
                <w:bCs/>
                <w:color w:val="auto"/>
                <w:sz w:val="18"/>
                <w:szCs w:val="18"/>
                <w:highlight w:val="none"/>
                <w:lang w:eastAsia="zh-CN"/>
              </w:rPr>
            </w:pPr>
          </w:p>
        </w:tc>
        <w:tc>
          <w:tcPr>
            <w:tcW w:w="320" w:type="pct"/>
            <w:vMerge w:val="continue"/>
            <w:tcBorders>
              <w:tl2br w:val="nil"/>
              <w:tr2bl w:val="nil"/>
            </w:tcBorders>
            <w:noWrap w:val="0"/>
            <w:vAlign w:val="center"/>
          </w:tcPr>
          <w:p w14:paraId="15CCD22B">
            <w:pPr>
              <w:autoSpaceDE w:val="0"/>
              <w:autoSpaceDN w:val="0"/>
              <w:adjustRightInd w:val="0"/>
              <w:jc w:val="center"/>
              <w:rPr>
                <w:rFonts w:hint="default" w:ascii="Times New Roman" w:hAnsi="Times New Roman" w:cs="Times New Roman"/>
                <w:bCs/>
                <w:iCs/>
                <w:color w:val="auto"/>
                <w:sz w:val="18"/>
                <w:szCs w:val="18"/>
                <w:highlight w:val="none"/>
              </w:rPr>
            </w:pPr>
          </w:p>
        </w:tc>
        <w:tc>
          <w:tcPr>
            <w:tcW w:w="344" w:type="pct"/>
            <w:vMerge w:val="continue"/>
            <w:tcBorders>
              <w:tl2br w:val="nil"/>
              <w:tr2bl w:val="nil"/>
            </w:tcBorders>
            <w:noWrap w:val="0"/>
            <w:vAlign w:val="center"/>
          </w:tcPr>
          <w:p w14:paraId="6FFC7F47">
            <w:pPr>
              <w:autoSpaceDE w:val="0"/>
              <w:autoSpaceDN w:val="0"/>
              <w:adjustRightInd w:val="0"/>
              <w:jc w:val="center"/>
              <w:rPr>
                <w:rFonts w:hint="default" w:ascii="Times New Roman" w:hAnsi="Times New Roman" w:cs="Times New Roman"/>
                <w:bCs/>
                <w:iCs/>
                <w:color w:val="auto"/>
                <w:sz w:val="18"/>
                <w:szCs w:val="18"/>
                <w:highlight w:val="none"/>
              </w:rPr>
            </w:pPr>
          </w:p>
        </w:tc>
        <w:tc>
          <w:tcPr>
            <w:tcW w:w="395" w:type="pct"/>
            <w:vMerge w:val="continue"/>
            <w:tcBorders>
              <w:tl2br w:val="nil"/>
              <w:tr2bl w:val="nil"/>
            </w:tcBorders>
            <w:noWrap w:val="0"/>
            <w:vAlign w:val="center"/>
          </w:tcPr>
          <w:p w14:paraId="7821EC95">
            <w:pPr>
              <w:widowControl/>
              <w:jc w:val="center"/>
              <w:rPr>
                <w:rFonts w:hint="eastAsia"/>
                <w:bCs/>
                <w:color w:val="auto"/>
                <w:sz w:val="18"/>
                <w:szCs w:val="18"/>
                <w:highlight w:val="none"/>
                <w:lang w:val="en-US" w:eastAsia="zh-CN"/>
              </w:rPr>
            </w:pPr>
          </w:p>
        </w:tc>
        <w:tc>
          <w:tcPr>
            <w:tcW w:w="387" w:type="pct"/>
            <w:vMerge w:val="continue"/>
            <w:tcBorders>
              <w:tl2br w:val="nil"/>
              <w:tr2bl w:val="nil"/>
            </w:tcBorders>
            <w:noWrap w:val="0"/>
            <w:vAlign w:val="center"/>
          </w:tcPr>
          <w:p w14:paraId="2C9E2E8F">
            <w:pPr>
              <w:widowControl/>
              <w:jc w:val="center"/>
              <w:rPr>
                <w:rFonts w:hint="eastAsia"/>
                <w:bCs/>
                <w:color w:val="auto"/>
                <w:sz w:val="18"/>
                <w:szCs w:val="18"/>
                <w:highlight w:val="none"/>
                <w:lang w:val="en-US" w:eastAsia="zh-CN"/>
              </w:rPr>
            </w:pPr>
          </w:p>
        </w:tc>
        <w:tc>
          <w:tcPr>
            <w:tcW w:w="422" w:type="pct"/>
            <w:vMerge w:val="continue"/>
            <w:tcBorders>
              <w:tl2br w:val="nil"/>
              <w:tr2bl w:val="nil"/>
            </w:tcBorders>
            <w:noWrap w:val="0"/>
            <w:vAlign w:val="center"/>
          </w:tcPr>
          <w:p w14:paraId="4090C704">
            <w:pPr>
              <w:widowControl/>
              <w:jc w:val="center"/>
              <w:rPr>
                <w:rFonts w:hint="eastAsia"/>
                <w:bCs/>
                <w:color w:val="auto"/>
                <w:sz w:val="18"/>
                <w:szCs w:val="18"/>
                <w:highlight w:val="none"/>
                <w:lang w:val="en-US" w:eastAsia="zh-CN"/>
              </w:rPr>
            </w:pPr>
          </w:p>
        </w:tc>
        <w:tc>
          <w:tcPr>
            <w:tcW w:w="431" w:type="pct"/>
            <w:vMerge w:val="continue"/>
            <w:tcBorders>
              <w:tl2br w:val="nil"/>
              <w:tr2bl w:val="nil"/>
            </w:tcBorders>
            <w:noWrap w:val="0"/>
            <w:vAlign w:val="center"/>
          </w:tcPr>
          <w:p w14:paraId="73C4EEE2">
            <w:pPr>
              <w:widowControl/>
              <w:jc w:val="center"/>
              <w:rPr>
                <w:rFonts w:hint="eastAsia"/>
                <w:bCs/>
                <w:color w:val="auto"/>
                <w:sz w:val="18"/>
                <w:szCs w:val="18"/>
                <w:highlight w:val="none"/>
                <w:lang w:val="en-US" w:eastAsia="zh-CN"/>
              </w:rPr>
            </w:pPr>
          </w:p>
        </w:tc>
        <w:tc>
          <w:tcPr>
            <w:tcW w:w="448" w:type="pct"/>
            <w:vMerge w:val="continue"/>
            <w:tcBorders>
              <w:tl2br w:val="nil"/>
              <w:tr2bl w:val="nil"/>
            </w:tcBorders>
            <w:noWrap w:val="0"/>
            <w:vAlign w:val="center"/>
          </w:tcPr>
          <w:p w14:paraId="7AC7B3E1">
            <w:pPr>
              <w:widowControl/>
              <w:jc w:val="center"/>
              <w:rPr>
                <w:rFonts w:hint="eastAsia"/>
                <w:bCs/>
                <w:color w:val="auto"/>
                <w:sz w:val="18"/>
                <w:szCs w:val="18"/>
                <w:highlight w:val="none"/>
                <w:lang w:val="en-US" w:eastAsia="zh-CN"/>
              </w:rPr>
            </w:pPr>
          </w:p>
        </w:tc>
        <w:tc>
          <w:tcPr>
            <w:tcW w:w="373" w:type="pct"/>
            <w:vMerge w:val="continue"/>
            <w:tcBorders>
              <w:tl2br w:val="nil"/>
              <w:tr2bl w:val="nil"/>
            </w:tcBorders>
            <w:noWrap w:val="0"/>
            <w:vAlign w:val="center"/>
          </w:tcPr>
          <w:p w14:paraId="484695DE">
            <w:pPr>
              <w:widowControl/>
              <w:jc w:val="center"/>
              <w:rPr>
                <w:rFonts w:hint="eastAsia"/>
                <w:bCs/>
                <w:color w:val="auto"/>
                <w:sz w:val="18"/>
                <w:szCs w:val="18"/>
                <w:highlight w:val="none"/>
                <w:lang w:val="en-US" w:eastAsia="zh-CN"/>
              </w:rPr>
            </w:pPr>
          </w:p>
        </w:tc>
        <w:tc>
          <w:tcPr>
            <w:tcW w:w="279" w:type="pct"/>
            <w:vMerge w:val="continue"/>
            <w:tcBorders>
              <w:tl2br w:val="nil"/>
              <w:tr2bl w:val="nil"/>
            </w:tcBorders>
            <w:noWrap w:val="0"/>
            <w:vAlign w:val="center"/>
          </w:tcPr>
          <w:p w14:paraId="627EF9F5">
            <w:pPr>
              <w:widowControl/>
              <w:jc w:val="center"/>
              <w:rPr>
                <w:rFonts w:hint="eastAsia"/>
                <w:bCs/>
                <w:color w:val="auto"/>
                <w:sz w:val="18"/>
                <w:szCs w:val="18"/>
                <w:highlight w:val="none"/>
                <w:lang w:eastAsia="zh-CN"/>
              </w:rPr>
            </w:pPr>
          </w:p>
        </w:tc>
        <w:tc>
          <w:tcPr>
            <w:tcW w:w="465" w:type="pct"/>
            <w:tcBorders>
              <w:tl2br w:val="nil"/>
              <w:tr2bl w:val="nil"/>
            </w:tcBorders>
            <w:noWrap w:val="0"/>
            <w:vAlign w:val="center"/>
          </w:tcPr>
          <w:p w14:paraId="2A941B79">
            <w:pPr>
              <w:autoSpaceDE w:val="0"/>
              <w:autoSpaceDN w:val="0"/>
              <w:adjustRightInd w:val="0"/>
              <w:jc w:val="center"/>
              <w:rPr>
                <w:bCs/>
                <w:color w:val="auto"/>
                <w:sz w:val="18"/>
                <w:szCs w:val="18"/>
                <w:highlight w:val="none"/>
              </w:rPr>
            </w:pPr>
            <w:r>
              <w:rPr>
                <w:color w:val="auto"/>
                <w:sz w:val="18"/>
                <w:szCs w:val="18"/>
                <w:highlight w:val="none"/>
              </w:rPr>
              <w:t>H</w:t>
            </w:r>
            <w:r>
              <w:rPr>
                <w:color w:val="auto"/>
                <w:sz w:val="18"/>
                <w:szCs w:val="18"/>
                <w:highlight w:val="none"/>
                <w:vertAlign w:val="subscript"/>
              </w:rPr>
              <w:t>2</w:t>
            </w:r>
            <w:r>
              <w:rPr>
                <w:color w:val="auto"/>
                <w:sz w:val="18"/>
                <w:szCs w:val="18"/>
                <w:highlight w:val="none"/>
              </w:rPr>
              <w:t>S</w:t>
            </w:r>
          </w:p>
        </w:tc>
        <w:tc>
          <w:tcPr>
            <w:tcW w:w="539" w:type="pct"/>
            <w:tcBorders>
              <w:tl2br w:val="nil"/>
              <w:tr2bl w:val="nil"/>
            </w:tcBorders>
            <w:noWrap w:val="0"/>
            <w:vAlign w:val="center"/>
          </w:tcPr>
          <w:p w14:paraId="371A529B">
            <w:pPr>
              <w:widowControl/>
              <w:jc w:val="center"/>
              <w:textAlignment w:val="center"/>
              <w:rPr>
                <w:rFonts w:hint="eastAsia" w:eastAsia="宋体"/>
                <w:bCs/>
                <w:color w:val="auto"/>
                <w:sz w:val="18"/>
                <w:szCs w:val="18"/>
                <w:highlight w:val="none"/>
                <w:lang w:val="en-US" w:eastAsia="zh-CN"/>
              </w:rPr>
            </w:pPr>
            <w:r>
              <w:rPr>
                <w:rFonts w:hint="eastAsia"/>
                <w:color w:val="auto"/>
                <w:sz w:val="18"/>
                <w:szCs w:val="18"/>
                <w:highlight w:val="none"/>
                <w:lang w:val="en-US" w:eastAsia="zh-CN"/>
              </w:rPr>
              <w:t>0.0045</w:t>
            </w:r>
          </w:p>
        </w:tc>
      </w:tr>
    </w:tbl>
    <w:p w14:paraId="0D6615C8">
      <w:pPr>
        <w:tabs>
          <w:tab w:val="left" w:pos="4425"/>
        </w:tabs>
        <w:ind w:firstLine="482"/>
        <w:jc w:val="both"/>
        <w:rPr>
          <w:rFonts w:hint="default" w:eastAsia="宋体"/>
          <w:b/>
          <w:color w:val="auto"/>
          <w:szCs w:val="21"/>
          <w:highlight w:val="none"/>
          <w:lang w:val="en-US" w:eastAsia="zh-CN"/>
        </w:rPr>
      </w:pPr>
      <w:r>
        <w:rPr>
          <w:rFonts w:hint="eastAsia"/>
          <w:b/>
          <w:color w:val="auto"/>
          <w:szCs w:val="21"/>
          <w:highlight w:val="none"/>
          <w:lang w:eastAsia="zh-CN"/>
        </w:rPr>
        <w:t>注：本项目</w:t>
      </w:r>
      <w:r>
        <w:rPr>
          <w:rFonts w:hint="eastAsia"/>
          <w:b/>
          <w:color w:val="auto"/>
          <w:szCs w:val="21"/>
          <w:highlight w:val="none"/>
          <w:lang w:val="en-US" w:eastAsia="zh-CN"/>
        </w:rPr>
        <w:t>8栋鸡舍整体作为一个矩形面源</w:t>
      </w:r>
    </w:p>
    <w:p w14:paraId="23146CE9">
      <w:pPr>
        <w:tabs>
          <w:tab w:val="left" w:pos="4425"/>
        </w:tabs>
        <w:ind w:firstLine="482"/>
        <w:jc w:val="center"/>
        <w:rPr>
          <w:b/>
          <w:color w:val="auto"/>
          <w:szCs w:val="21"/>
          <w:highlight w:val="none"/>
        </w:rPr>
      </w:pPr>
      <w:r>
        <w:rPr>
          <w:b/>
          <w:color w:val="auto"/>
          <w:szCs w:val="21"/>
          <w:highlight w:val="none"/>
        </w:rPr>
        <w:t>表</w:t>
      </w:r>
      <w:r>
        <w:rPr>
          <w:rFonts w:hint="eastAsia"/>
          <w:b/>
          <w:color w:val="auto"/>
          <w:szCs w:val="21"/>
          <w:highlight w:val="none"/>
          <w:lang w:val="en-US" w:eastAsia="zh-CN"/>
        </w:rPr>
        <w:t>2.3-6</w:t>
      </w:r>
      <w:r>
        <w:rPr>
          <w:b/>
          <w:color w:val="auto"/>
          <w:szCs w:val="21"/>
          <w:highlight w:val="none"/>
        </w:rPr>
        <w:t xml:space="preserve">    评价等级汇总表</w:t>
      </w:r>
    </w:p>
    <w:tbl>
      <w:tblPr>
        <w:tblStyle w:val="551"/>
        <w:tblW w:w="4995" w:type="pct"/>
        <w:tblInd w:w="0"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223"/>
        <w:gridCol w:w="1446"/>
        <w:gridCol w:w="1007"/>
        <w:gridCol w:w="1042"/>
        <w:gridCol w:w="1225"/>
        <w:gridCol w:w="921"/>
        <w:gridCol w:w="720"/>
        <w:gridCol w:w="720"/>
      </w:tblGrid>
      <w:tr w14:paraId="68B8BAD1">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71" w:hRule="atLeast"/>
        </w:trPr>
        <w:tc>
          <w:tcPr>
            <w:tcW w:w="736" w:type="pct"/>
            <w:tcBorders>
              <w:tl2br w:val="nil"/>
              <w:tr2bl w:val="nil"/>
            </w:tcBorders>
            <w:noWrap w:val="0"/>
            <w:vAlign w:val="center"/>
          </w:tcPr>
          <w:p w14:paraId="2CE54A67">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污染源</w:t>
            </w:r>
          </w:p>
          <w:p w14:paraId="595AEA89">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870" w:type="pct"/>
            <w:tcBorders>
              <w:tl2br w:val="nil"/>
              <w:tr2bl w:val="nil"/>
            </w:tcBorders>
            <w:noWrap w:val="0"/>
            <w:vAlign w:val="center"/>
          </w:tcPr>
          <w:p w14:paraId="638C6A09">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评价因子</w:t>
            </w:r>
          </w:p>
        </w:tc>
        <w:tc>
          <w:tcPr>
            <w:tcW w:w="606" w:type="pct"/>
            <w:tcBorders>
              <w:tl2br w:val="nil"/>
              <w:tr2bl w:val="nil"/>
            </w:tcBorders>
            <w:noWrap w:val="0"/>
            <w:vAlign w:val="center"/>
          </w:tcPr>
          <w:p w14:paraId="68562F6A">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评价标准</w:t>
            </w:r>
          </w:p>
          <w:p w14:paraId="3E03A4CB">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627" w:type="pct"/>
            <w:tcBorders>
              <w:tl2br w:val="nil"/>
              <w:tr2bl w:val="nil"/>
            </w:tcBorders>
            <w:noWrap w:val="0"/>
            <w:vAlign w:val="center"/>
          </w:tcPr>
          <w:p w14:paraId="18142157">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Cmax</w:t>
            </w:r>
          </w:p>
          <w:p w14:paraId="199968FE">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737" w:type="pct"/>
            <w:tcBorders>
              <w:tl2br w:val="nil"/>
              <w:tr2bl w:val="nil"/>
            </w:tcBorders>
            <w:noWrap w:val="0"/>
            <w:vAlign w:val="center"/>
          </w:tcPr>
          <w:p w14:paraId="1D475D34">
            <w:pPr>
              <w:pStyle w:val="554"/>
              <w:jc w:val="center"/>
              <w:rPr>
                <w:rFonts w:hint="default"/>
                <w:color w:val="auto"/>
                <w:highlight w:val="none"/>
              </w:rPr>
            </w:pPr>
            <w:r>
              <w:rPr>
                <w:rFonts w:hint="default"/>
                <w:color w:val="auto"/>
                <w:highlight w:val="none"/>
              </w:rPr>
              <w:t>最大浓度</w:t>
            </w:r>
          </w:p>
          <w:p w14:paraId="06CB5ED4">
            <w:pPr>
              <w:pStyle w:val="554"/>
              <w:jc w:val="center"/>
              <w:rPr>
                <w:rFonts w:hint="eastAsia"/>
                <w:color w:val="auto"/>
                <w:highlight w:val="none"/>
                <w:lang w:val="en-US" w:eastAsia="zh-CN"/>
              </w:rPr>
            </w:pPr>
            <w:r>
              <w:rPr>
                <w:rFonts w:hint="default"/>
                <w:color w:val="auto"/>
                <w:highlight w:val="none"/>
              </w:rPr>
              <w:t>出现距离</w:t>
            </w:r>
            <w:r>
              <w:rPr>
                <w:rFonts w:hint="eastAsia" w:eastAsia="宋体"/>
                <w:color w:val="auto"/>
                <w:highlight w:val="none"/>
                <w:lang w:val="en-US" w:eastAsia="zh-CN"/>
              </w:rPr>
              <w:t>m</w:t>
            </w:r>
          </w:p>
        </w:tc>
        <w:tc>
          <w:tcPr>
            <w:tcW w:w="554" w:type="pct"/>
            <w:tcBorders>
              <w:tl2br w:val="nil"/>
              <w:tr2bl w:val="nil"/>
            </w:tcBorders>
            <w:noWrap w:val="0"/>
            <w:vAlign w:val="center"/>
          </w:tcPr>
          <w:p w14:paraId="1F8947C2">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Pmax</w:t>
            </w:r>
          </w:p>
          <w:p w14:paraId="282F0E2A">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433" w:type="pct"/>
            <w:tcBorders>
              <w:tl2br w:val="nil"/>
              <w:tr2bl w:val="nil"/>
            </w:tcBorders>
            <w:noWrap w:val="0"/>
            <w:vAlign w:val="center"/>
          </w:tcPr>
          <w:p w14:paraId="5F894279">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D10% (m)</w:t>
            </w:r>
          </w:p>
        </w:tc>
        <w:tc>
          <w:tcPr>
            <w:tcW w:w="433" w:type="pct"/>
            <w:tcBorders>
              <w:tl2br w:val="nil"/>
              <w:tr2bl w:val="nil"/>
            </w:tcBorders>
            <w:noWrap w:val="0"/>
            <w:vAlign w:val="center"/>
          </w:tcPr>
          <w:p w14:paraId="348DD556">
            <w:pPr>
              <w:pStyle w:val="554"/>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评价等级</w:t>
            </w:r>
          </w:p>
        </w:tc>
      </w:tr>
      <w:tr w14:paraId="22CC988A">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736" w:type="pct"/>
            <w:vMerge w:val="restart"/>
            <w:tcBorders>
              <w:tl2br w:val="nil"/>
              <w:tr2bl w:val="nil"/>
            </w:tcBorders>
            <w:noWrap w:val="0"/>
            <w:vAlign w:val="center"/>
          </w:tcPr>
          <w:p w14:paraId="7F612247">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生物质锅炉</w:t>
            </w:r>
          </w:p>
        </w:tc>
        <w:tc>
          <w:tcPr>
            <w:tcW w:w="870" w:type="pct"/>
            <w:tcBorders>
              <w:tl2br w:val="nil"/>
              <w:tr2bl w:val="nil"/>
            </w:tcBorders>
            <w:noWrap w:val="0"/>
            <w:vAlign w:val="center"/>
          </w:tcPr>
          <w:p w14:paraId="5E1A3B61">
            <w:pPr>
              <w:pStyle w:val="554"/>
              <w:jc w:val="center"/>
              <w:rPr>
                <w:rFonts w:hint="eastAsia"/>
                <w:color w:val="auto"/>
                <w:szCs w:val="21"/>
                <w:highlight w:val="none"/>
                <w:lang w:val="en-US" w:eastAsia="zh-CN"/>
              </w:rPr>
            </w:pPr>
            <w:r>
              <w:rPr>
                <w:rFonts w:hint="default" w:ascii="Times New Roman" w:hAnsi="Times New Roman" w:eastAsia="宋体" w:cs="Times New Roman"/>
                <w:color w:val="auto"/>
                <w:highlight w:val="none"/>
              </w:rPr>
              <w:t>颗粒物</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PM</w:t>
            </w:r>
            <w:r>
              <w:rPr>
                <w:rFonts w:hint="eastAsia" w:ascii="Times New Roman" w:hAnsi="Times New Roman" w:eastAsia="宋体" w:cs="Times New Roman"/>
                <w:color w:val="auto"/>
                <w:highlight w:val="none"/>
                <w:vertAlign w:val="subscript"/>
                <w:lang w:val="en-US" w:eastAsia="zh-CN"/>
              </w:rPr>
              <w:t>10</w:t>
            </w:r>
            <w:r>
              <w:rPr>
                <w:rFonts w:hint="eastAsia" w:ascii="Times New Roman" w:hAnsi="Times New Roman" w:eastAsia="宋体" w:cs="Times New Roman"/>
                <w:color w:val="auto"/>
                <w:highlight w:val="none"/>
                <w:lang w:eastAsia="zh-CN"/>
              </w:rPr>
              <w:t>）</w:t>
            </w:r>
          </w:p>
        </w:tc>
        <w:tc>
          <w:tcPr>
            <w:tcW w:w="606" w:type="pct"/>
            <w:tcBorders>
              <w:tl2br w:val="nil"/>
              <w:tr2bl w:val="nil"/>
            </w:tcBorders>
            <w:noWrap w:val="0"/>
            <w:vAlign w:val="center"/>
          </w:tcPr>
          <w:p w14:paraId="788FA5F8">
            <w:pPr>
              <w:pStyle w:val="554"/>
              <w:jc w:val="center"/>
              <w:rPr>
                <w:rFonts w:hint="eastAsia" w:hAnsi="Times New Roman" w:eastAsia="宋体" w:cs="Times New Roman"/>
                <w:color w:val="auto"/>
                <w:highlight w:val="none"/>
                <w:lang w:val="en-US" w:eastAsia="zh-CN"/>
              </w:rPr>
            </w:pPr>
            <w:r>
              <w:rPr>
                <w:rFonts w:hint="eastAsia" w:eastAsia="宋体" w:cs="Times New Roman"/>
                <w:color w:val="auto"/>
                <w:highlight w:val="none"/>
                <w:lang w:val="en-US" w:eastAsia="zh-CN"/>
              </w:rPr>
              <w:t>900</w:t>
            </w:r>
          </w:p>
        </w:tc>
        <w:tc>
          <w:tcPr>
            <w:tcW w:w="627" w:type="pct"/>
            <w:tcBorders>
              <w:tl2br w:val="nil"/>
              <w:tr2bl w:val="nil"/>
            </w:tcBorders>
            <w:noWrap w:val="0"/>
            <w:vAlign w:val="center"/>
          </w:tcPr>
          <w:p w14:paraId="4DDA5EB1">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0.406</w:t>
            </w:r>
          </w:p>
        </w:tc>
        <w:tc>
          <w:tcPr>
            <w:tcW w:w="737" w:type="pct"/>
            <w:tcBorders>
              <w:tl2br w:val="nil"/>
              <w:tr2bl w:val="nil"/>
            </w:tcBorders>
            <w:noWrap w:val="0"/>
            <w:vAlign w:val="center"/>
          </w:tcPr>
          <w:p w14:paraId="52E36756">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554" w:type="pct"/>
            <w:tcBorders>
              <w:tl2br w:val="nil"/>
              <w:tr2bl w:val="nil"/>
            </w:tcBorders>
            <w:noWrap w:val="0"/>
            <w:vAlign w:val="center"/>
          </w:tcPr>
          <w:p w14:paraId="1598E86A">
            <w:pPr>
              <w:pStyle w:val="554"/>
              <w:jc w:val="center"/>
              <w:rPr>
                <w:rFonts w:hint="eastAsia" w:hAnsi="Times New Roman" w:eastAsia="宋体" w:cs="Times New Roman"/>
                <w:color w:val="auto"/>
                <w:highlight w:val="none"/>
                <w:lang w:val="en-US" w:eastAsia="zh-CN"/>
              </w:rPr>
            </w:pPr>
            <w:r>
              <w:rPr>
                <w:rFonts w:hint="eastAsia" w:eastAsia="宋体" w:cs="Times New Roman"/>
                <w:color w:val="auto"/>
                <w:highlight w:val="none"/>
                <w:lang w:val="en-US" w:eastAsia="zh-CN"/>
              </w:rPr>
              <w:t>0.09</w:t>
            </w:r>
          </w:p>
        </w:tc>
        <w:tc>
          <w:tcPr>
            <w:tcW w:w="433" w:type="pct"/>
            <w:tcBorders>
              <w:tl2br w:val="nil"/>
              <w:tr2bl w:val="nil"/>
            </w:tcBorders>
            <w:noWrap w:val="0"/>
            <w:vAlign w:val="center"/>
          </w:tcPr>
          <w:p w14:paraId="317CC9BE">
            <w:pPr>
              <w:pStyle w:val="554"/>
              <w:jc w:val="center"/>
              <w:rPr>
                <w:rFonts w:hint="eastAsia"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433" w:type="pct"/>
            <w:tcBorders>
              <w:tl2br w:val="nil"/>
              <w:tr2bl w:val="nil"/>
            </w:tcBorders>
            <w:noWrap w:val="0"/>
            <w:vAlign w:val="center"/>
          </w:tcPr>
          <w:p w14:paraId="0CF5358E">
            <w:pPr>
              <w:pStyle w:val="554"/>
              <w:jc w:val="center"/>
              <w:rPr>
                <w:rFonts w:hint="eastAsia"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三级</w:t>
            </w:r>
          </w:p>
        </w:tc>
      </w:tr>
      <w:tr w14:paraId="22018E50">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736" w:type="pct"/>
            <w:vMerge w:val="continue"/>
            <w:tcBorders>
              <w:tl2br w:val="nil"/>
              <w:tr2bl w:val="nil"/>
            </w:tcBorders>
            <w:noWrap w:val="0"/>
            <w:vAlign w:val="center"/>
          </w:tcPr>
          <w:p w14:paraId="43E61A1F">
            <w:pPr>
              <w:widowControl/>
              <w:jc w:val="center"/>
              <w:textAlignment w:val="center"/>
              <w:rPr>
                <w:rFonts w:hint="eastAsia"/>
                <w:color w:val="auto"/>
                <w:szCs w:val="21"/>
                <w:highlight w:val="none"/>
                <w:lang w:val="en-US" w:eastAsia="zh-CN"/>
              </w:rPr>
            </w:pPr>
          </w:p>
        </w:tc>
        <w:tc>
          <w:tcPr>
            <w:tcW w:w="870" w:type="pct"/>
            <w:tcBorders>
              <w:tl2br w:val="nil"/>
              <w:tr2bl w:val="nil"/>
            </w:tcBorders>
            <w:noWrap w:val="0"/>
            <w:vAlign w:val="center"/>
          </w:tcPr>
          <w:p w14:paraId="2C20C968">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SO</w:t>
            </w:r>
            <w:r>
              <w:rPr>
                <w:rFonts w:hint="eastAsia"/>
                <w:color w:val="auto"/>
                <w:szCs w:val="21"/>
                <w:highlight w:val="none"/>
                <w:vertAlign w:val="subscript"/>
                <w:lang w:val="en-US" w:eastAsia="zh-CN"/>
              </w:rPr>
              <w:t>2</w:t>
            </w:r>
          </w:p>
        </w:tc>
        <w:tc>
          <w:tcPr>
            <w:tcW w:w="606" w:type="pct"/>
            <w:tcBorders>
              <w:tl2br w:val="nil"/>
              <w:tr2bl w:val="nil"/>
            </w:tcBorders>
            <w:noWrap w:val="0"/>
            <w:vAlign w:val="center"/>
          </w:tcPr>
          <w:p w14:paraId="1ED32BFB">
            <w:pPr>
              <w:pStyle w:val="554"/>
              <w:jc w:val="center"/>
              <w:rPr>
                <w:rFonts w:hint="eastAsia" w:hAnsi="Times New Roman" w:eastAsia="宋体" w:cs="Times New Roman"/>
                <w:color w:val="auto"/>
                <w:highlight w:val="none"/>
                <w:lang w:val="en-US" w:eastAsia="zh-CN"/>
              </w:rPr>
            </w:pPr>
            <w:r>
              <w:rPr>
                <w:rFonts w:hint="eastAsia" w:eastAsia="宋体" w:cs="Times New Roman"/>
                <w:color w:val="auto"/>
                <w:highlight w:val="none"/>
                <w:lang w:val="en-US" w:eastAsia="zh-CN"/>
              </w:rPr>
              <w:t>500</w:t>
            </w:r>
          </w:p>
        </w:tc>
        <w:tc>
          <w:tcPr>
            <w:tcW w:w="627" w:type="pct"/>
            <w:tcBorders>
              <w:tl2br w:val="nil"/>
              <w:tr2bl w:val="nil"/>
            </w:tcBorders>
            <w:noWrap w:val="0"/>
            <w:vAlign w:val="center"/>
          </w:tcPr>
          <w:p w14:paraId="6B7D1E35">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11.8</w:t>
            </w:r>
          </w:p>
        </w:tc>
        <w:tc>
          <w:tcPr>
            <w:tcW w:w="737" w:type="pct"/>
            <w:tcBorders>
              <w:tl2br w:val="nil"/>
              <w:tr2bl w:val="nil"/>
            </w:tcBorders>
            <w:noWrap w:val="0"/>
            <w:vAlign w:val="center"/>
          </w:tcPr>
          <w:p w14:paraId="7FD08AED">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554" w:type="pct"/>
            <w:tcBorders>
              <w:tl2br w:val="nil"/>
              <w:tr2bl w:val="nil"/>
            </w:tcBorders>
            <w:noWrap w:val="0"/>
            <w:vAlign w:val="center"/>
          </w:tcPr>
          <w:p w14:paraId="31412E0D">
            <w:pPr>
              <w:pStyle w:val="554"/>
              <w:jc w:val="center"/>
              <w:rPr>
                <w:rFonts w:hint="eastAsia" w:hAnsi="Times New Roman" w:eastAsia="宋体" w:cs="Times New Roman"/>
                <w:color w:val="auto"/>
                <w:highlight w:val="none"/>
                <w:lang w:val="en-US" w:eastAsia="zh-CN"/>
              </w:rPr>
            </w:pPr>
            <w:r>
              <w:rPr>
                <w:rFonts w:hint="eastAsia" w:eastAsia="宋体" w:cs="Times New Roman"/>
                <w:color w:val="auto"/>
                <w:highlight w:val="none"/>
                <w:lang w:val="en-US" w:eastAsia="zh-CN"/>
              </w:rPr>
              <w:t>2.36</w:t>
            </w:r>
          </w:p>
        </w:tc>
        <w:tc>
          <w:tcPr>
            <w:tcW w:w="433" w:type="pct"/>
            <w:tcBorders>
              <w:tl2br w:val="nil"/>
              <w:tr2bl w:val="nil"/>
            </w:tcBorders>
            <w:noWrap w:val="0"/>
            <w:vAlign w:val="center"/>
          </w:tcPr>
          <w:p w14:paraId="58B4075F">
            <w:pPr>
              <w:pStyle w:val="554"/>
              <w:jc w:val="center"/>
              <w:rPr>
                <w:rFonts w:hint="eastAsia"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w:t>
            </w:r>
          </w:p>
        </w:tc>
        <w:tc>
          <w:tcPr>
            <w:tcW w:w="433" w:type="pct"/>
            <w:tcBorders>
              <w:tl2br w:val="nil"/>
              <w:tr2bl w:val="nil"/>
            </w:tcBorders>
            <w:noWrap w:val="0"/>
            <w:vAlign w:val="center"/>
          </w:tcPr>
          <w:p w14:paraId="019D60B4">
            <w:pPr>
              <w:pStyle w:val="554"/>
              <w:jc w:val="center"/>
              <w:rPr>
                <w:rFonts w:hint="eastAsia" w:hAnsi="Times New Roman" w:eastAsia="宋体" w:cs="Times New Roman"/>
                <w:color w:val="auto"/>
                <w:highlight w:val="none"/>
                <w:lang w:eastAsia="zh-CN"/>
              </w:rPr>
            </w:pPr>
            <w:r>
              <w:rPr>
                <w:rFonts w:hint="eastAsia" w:hAnsi="Times New Roman" w:eastAsia="宋体" w:cs="Times New Roman"/>
                <w:color w:val="auto"/>
                <w:highlight w:val="none"/>
                <w:lang w:eastAsia="zh-CN"/>
              </w:rPr>
              <w:t>二级</w:t>
            </w:r>
          </w:p>
        </w:tc>
      </w:tr>
      <w:tr w14:paraId="4AF7CD43">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736" w:type="pct"/>
            <w:vMerge w:val="continue"/>
            <w:tcBorders>
              <w:tl2br w:val="nil"/>
              <w:tr2bl w:val="nil"/>
            </w:tcBorders>
            <w:noWrap w:val="0"/>
            <w:vAlign w:val="center"/>
          </w:tcPr>
          <w:p w14:paraId="346B6A20">
            <w:pPr>
              <w:widowControl/>
              <w:jc w:val="center"/>
              <w:textAlignment w:val="center"/>
              <w:rPr>
                <w:rFonts w:hint="eastAsia"/>
                <w:color w:val="auto"/>
                <w:szCs w:val="21"/>
                <w:highlight w:val="none"/>
                <w:lang w:val="en-US" w:eastAsia="zh-CN"/>
              </w:rPr>
            </w:pPr>
          </w:p>
        </w:tc>
        <w:tc>
          <w:tcPr>
            <w:tcW w:w="870" w:type="pct"/>
            <w:tcBorders>
              <w:tl2br w:val="nil"/>
              <w:tr2bl w:val="nil"/>
            </w:tcBorders>
            <w:noWrap w:val="0"/>
            <w:vAlign w:val="center"/>
          </w:tcPr>
          <w:p w14:paraId="5E8328F3">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NO</w:t>
            </w:r>
            <w:r>
              <w:rPr>
                <w:rFonts w:hint="eastAsia"/>
                <w:color w:val="auto"/>
                <w:szCs w:val="21"/>
                <w:highlight w:val="none"/>
                <w:vertAlign w:val="subscript"/>
                <w:lang w:val="en-US" w:eastAsia="zh-CN"/>
              </w:rPr>
              <w:t>2</w:t>
            </w:r>
          </w:p>
        </w:tc>
        <w:tc>
          <w:tcPr>
            <w:tcW w:w="606" w:type="pct"/>
            <w:tcBorders>
              <w:tl2br w:val="nil"/>
              <w:tr2bl w:val="nil"/>
            </w:tcBorders>
            <w:noWrap w:val="0"/>
            <w:vAlign w:val="center"/>
          </w:tcPr>
          <w:p w14:paraId="20E4F4B9">
            <w:pPr>
              <w:pStyle w:val="554"/>
              <w:jc w:val="center"/>
              <w:rPr>
                <w:rFonts w:hint="eastAsia" w:hAnsi="Times New Roman" w:eastAsia="宋体" w:cs="Times New Roman"/>
                <w:color w:val="auto"/>
                <w:highlight w:val="none"/>
                <w:lang w:val="en-US" w:eastAsia="zh-CN"/>
              </w:rPr>
            </w:pPr>
            <w:r>
              <w:rPr>
                <w:rFonts w:hint="eastAsia" w:eastAsia="宋体" w:cs="Times New Roman"/>
                <w:color w:val="auto"/>
                <w:highlight w:val="none"/>
                <w:lang w:val="en-US" w:eastAsia="zh-CN"/>
              </w:rPr>
              <w:t>250</w:t>
            </w:r>
          </w:p>
        </w:tc>
        <w:tc>
          <w:tcPr>
            <w:tcW w:w="627" w:type="pct"/>
            <w:tcBorders>
              <w:tl2br w:val="nil"/>
              <w:tr2bl w:val="nil"/>
            </w:tcBorders>
            <w:noWrap w:val="0"/>
            <w:vAlign w:val="center"/>
          </w:tcPr>
          <w:p w14:paraId="750BBDF8">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4.88</w:t>
            </w:r>
          </w:p>
        </w:tc>
        <w:tc>
          <w:tcPr>
            <w:tcW w:w="737" w:type="pct"/>
            <w:tcBorders>
              <w:tl2br w:val="nil"/>
              <w:tr2bl w:val="nil"/>
            </w:tcBorders>
            <w:noWrap w:val="0"/>
            <w:vAlign w:val="center"/>
          </w:tcPr>
          <w:p w14:paraId="48BE889F">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554" w:type="pct"/>
            <w:tcBorders>
              <w:tl2br w:val="nil"/>
              <w:tr2bl w:val="nil"/>
            </w:tcBorders>
            <w:noWrap w:val="0"/>
            <w:vAlign w:val="center"/>
          </w:tcPr>
          <w:p w14:paraId="668A9374">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1.95</w:t>
            </w:r>
          </w:p>
        </w:tc>
        <w:tc>
          <w:tcPr>
            <w:tcW w:w="433" w:type="pct"/>
            <w:tcBorders>
              <w:tl2br w:val="nil"/>
              <w:tr2bl w:val="nil"/>
            </w:tcBorders>
            <w:noWrap w:val="0"/>
            <w:vAlign w:val="center"/>
          </w:tcPr>
          <w:p w14:paraId="261B4C87">
            <w:pPr>
              <w:pStyle w:val="554"/>
              <w:jc w:val="center"/>
              <w:rPr>
                <w:rFonts w:hint="eastAsia"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w:t>
            </w:r>
          </w:p>
        </w:tc>
        <w:tc>
          <w:tcPr>
            <w:tcW w:w="433" w:type="pct"/>
            <w:tcBorders>
              <w:tl2br w:val="nil"/>
              <w:tr2bl w:val="nil"/>
            </w:tcBorders>
            <w:noWrap w:val="0"/>
            <w:vAlign w:val="center"/>
          </w:tcPr>
          <w:p w14:paraId="0263A22B">
            <w:pPr>
              <w:pStyle w:val="554"/>
              <w:jc w:val="center"/>
              <w:rPr>
                <w:rFonts w:hint="eastAsia" w:hAnsi="Times New Roman" w:eastAsia="宋体" w:cs="Times New Roman"/>
                <w:color w:val="auto"/>
                <w:highlight w:val="none"/>
                <w:lang w:eastAsia="zh-CN"/>
              </w:rPr>
            </w:pPr>
            <w:r>
              <w:rPr>
                <w:rFonts w:hint="eastAsia" w:hAnsi="Times New Roman" w:eastAsia="宋体" w:cs="Times New Roman"/>
                <w:color w:val="auto"/>
                <w:highlight w:val="none"/>
                <w:lang w:eastAsia="zh-CN"/>
              </w:rPr>
              <w:t>二级</w:t>
            </w:r>
          </w:p>
        </w:tc>
      </w:tr>
      <w:tr w14:paraId="51A74373">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736" w:type="pct"/>
            <w:vMerge w:val="restart"/>
            <w:tcBorders>
              <w:tl2br w:val="nil"/>
              <w:tr2bl w:val="nil"/>
            </w:tcBorders>
            <w:noWrap w:val="0"/>
            <w:vAlign w:val="center"/>
          </w:tcPr>
          <w:p w14:paraId="0A735981">
            <w:pPr>
              <w:widowControl/>
              <w:jc w:val="center"/>
              <w:textAlignment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鸡舍区域</w:t>
            </w:r>
          </w:p>
        </w:tc>
        <w:tc>
          <w:tcPr>
            <w:tcW w:w="870" w:type="pct"/>
            <w:tcBorders>
              <w:tl2br w:val="nil"/>
              <w:tr2bl w:val="nil"/>
            </w:tcBorders>
            <w:noWrap w:val="0"/>
            <w:vAlign w:val="center"/>
          </w:tcPr>
          <w:p w14:paraId="73D2C95B">
            <w:pPr>
              <w:autoSpaceDE w:val="0"/>
              <w:autoSpaceDN w:val="0"/>
              <w:adjustRightInd w:val="0"/>
              <w:jc w:val="center"/>
              <w:rPr>
                <w:rFonts w:hint="default" w:ascii="Times New Roman" w:hAnsi="Times New Roman" w:eastAsia="宋体" w:cs="Times New Roman"/>
                <w:color w:val="auto"/>
                <w:highlight w:val="none"/>
              </w:rPr>
            </w:pPr>
            <w:r>
              <w:rPr>
                <w:color w:val="auto"/>
                <w:szCs w:val="21"/>
                <w:highlight w:val="none"/>
              </w:rPr>
              <w:t>NH</w:t>
            </w:r>
            <w:r>
              <w:rPr>
                <w:color w:val="auto"/>
                <w:szCs w:val="21"/>
                <w:highlight w:val="none"/>
                <w:vertAlign w:val="subscript"/>
              </w:rPr>
              <w:t>3</w:t>
            </w:r>
          </w:p>
        </w:tc>
        <w:tc>
          <w:tcPr>
            <w:tcW w:w="606" w:type="pct"/>
            <w:tcBorders>
              <w:tl2br w:val="nil"/>
              <w:tr2bl w:val="nil"/>
            </w:tcBorders>
            <w:noWrap w:val="0"/>
            <w:vAlign w:val="center"/>
          </w:tcPr>
          <w:p w14:paraId="0CF12C81">
            <w:pPr>
              <w:pStyle w:val="554"/>
              <w:jc w:val="center"/>
              <w:rPr>
                <w:rFonts w:hint="default" w:ascii="Times New Roman"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200</w:t>
            </w:r>
          </w:p>
        </w:tc>
        <w:tc>
          <w:tcPr>
            <w:tcW w:w="627" w:type="pct"/>
            <w:tcBorders>
              <w:tl2br w:val="nil"/>
              <w:tr2bl w:val="nil"/>
            </w:tcBorders>
            <w:noWrap w:val="0"/>
            <w:vAlign w:val="center"/>
          </w:tcPr>
          <w:p w14:paraId="49C1D049">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1.64</w:t>
            </w:r>
          </w:p>
        </w:tc>
        <w:tc>
          <w:tcPr>
            <w:tcW w:w="737" w:type="pct"/>
            <w:tcBorders>
              <w:tl2br w:val="nil"/>
              <w:tr2bl w:val="nil"/>
            </w:tcBorders>
            <w:noWrap w:val="0"/>
            <w:vAlign w:val="center"/>
          </w:tcPr>
          <w:p w14:paraId="0E4A8067">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554" w:type="pct"/>
            <w:tcBorders>
              <w:tl2br w:val="nil"/>
              <w:tr2bl w:val="nil"/>
            </w:tcBorders>
            <w:noWrap w:val="0"/>
            <w:vAlign w:val="center"/>
          </w:tcPr>
          <w:p w14:paraId="4B98F47D">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0.82</w:t>
            </w:r>
          </w:p>
        </w:tc>
        <w:tc>
          <w:tcPr>
            <w:tcW w:w="433" w:type="pct"/>
            <w:tcBorders>
              <w:tl2br w:val="nil"/>
              <w:tr2bl w:val="nil"/>
            </w:tcBorders>
            <w:noWrap w:val="0"/>
            <w:vAlign w:val="center"/>
          </w:tcPr>
          <w:p w14:paraId="1C2E11B3">
            <w:pPr>
              <w:pStyle w:val="554"/>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433" w:type="pct"/>
            <w:tcBorders>
              <w:tl2br w:val="nil"/>
              <w:tr2bl w:val="nil"/>
            </w:tcBorders>
            <w:noWrap w:val="0"/>
            <w:vAlign w:val="center"/>
          </w:tcPr>
          <w:p w14:paraId="19E9F7BF">
            <w:pPr>
              <w:pStyle w:val="554"/>
              <w:jc w:val="center"/>
              <w:rPr>
                <w:rFonts w:hint="default" w:ascii="Times New Roman" w:hAnsi="Times New Roman" w:eastAsia="宋体" w:cs="Times New Roman"/>
                <w:color w:val="auto"/>
                <w:highlight w:val="none"/>
              </w:rPr>
            </w:pPr>
            <w:r>
              <w:rPr>
                <w:rFonts w:hint="eastAsia" w:hAnsi="Times New Roman" w:eastAsia="宋体" w:cs="Times New Roman"/>
                <w:color w:val="auto"/>
                <w:highlight w:val="none"/>
                <w:lang w:eastAsia="zh-CN"/>
              </w:rPr>
              <w:t>二级</w:t>
            </w:r>
          </w:p>
        </w:tc>
      </w:tr>
      <w:tr w14:paraId="42BD04C2">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736" w:type="pct"/>
            <w:vMerge w:val="continue"/>
            <w:tcBorders>
              <w:tl2br w:val="nil"/>
              <w:tr2bl w:val="nil"/>
            </w:tcBorders>
            <w:noWrap w:val="0"/>
            <w:vAlign w:val="center"/>
          </w:tcPr>
          <w:p w14:paraId="3BBA070E">
            <w:pPr>
              <w:pStyle w:val="554"/>
              <w:jc w:val="center"/>
              <w:rPr>
                <w:rFonts w:hint="default" w:ascii="Times New Roman" w:hAnsi="Times New Roman" w:eastAsia="宋体" w:cs="Times New Roman"/>
                <w:color w:val="auto"/>
                <w:highlight w:val="none"/>
              </w:rPr>
            </w:pPr>
          </w:p>
        </w:tc>
        <w:tc>
          <w:tcPr>
            <w:tcW w:w="870" w:type="pct"/>
            <w:tcBorders>
              <w:tl2br w:val="nil"/>
              <w:tr2bl w:val="nil"/>
            </w:tcBorders>
            <w:noWrap w:val="0"/>
            <w:vAlign w:val="center"/>
          </w:tcPr>
          <w:p w14:paraId="21AF2068">
            <w:pPr>
              <w:autoSpaceDE w:val="0"/>
              <w:autoSpaceDN w:val="0"/>
              <w:adjustRightInd w:val="0"/>
              <w:jc w:val="center"/>
              <w:rPr>
                <w:rFonts w:hint="default" w:ascii="Times New Roman" w:hAnsi="Times New Roman" w:eastAsia="宋体" w:cs="Times New Roman"/>
                <w:color w:val="auto"/>
                <w:highlight w:val="none"/>
              </w:rPr>
            </w:pPr>
            <w:r>
              <w:rPr>
                <w:color w:val="auto"/>
                <w:szCs w:val="21"/>
                <w:highlight w:val="none"/>
              </w:rPr>
              <w:t>H</w:t>
            </w:r>
            <w:r>
              <w:rPr>
                <w:color w:val="auto"/>
                <w:szCs w:val="21"/>
                <w:highlight w:val="none"/>
                <w:vertAlign w:val="subscript"/>
              </w:rPr>
              <w:t>2</w:t>
            </w:r>
            <w:r>
              <w:rPr>
                <w:color w:val="auto"/>
                <w:szCs w:val="21"/>
                <w:highlight w:val="none"/>
              </w:rPr>
              <w:t>S</w:t>
            </w:r>
          </w:p>
        </w:tc>
        <w:tc>
          <w:tcPr>
            <w:tcW w:w="606" w:type="pct"/>
            <w:tcBorders>
              <w:tl2br w:val="nil"/>
              <w:tr2bl w:val="nil"/>
            </w:tcBorders>
            <w:noWrap w:val="0"/>
            <w:vAlign w:val="center"/>
          </w:tcPr>
          <w:p w14:paraId="79EBC575">
            <w:pPr>
              <w:pStyle w:val="554"/>
              <w:jc w:val="center"/>
              <w:rPr>
                <w:rFonts w:hint="default" w:ascii="Times New Roman"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10</w:t>
            </w:r>
          </w:p>
        </w:tc>
        <w:tc>
          <w:tcPr>
            <w:tcW w:w="627" w:type="pct"/>
            <w:tcBorders>
              <w:tl2br w:val="nil"/>
              <w:tr2bl w:val="nil"/>
            </w:tcBorders>
            <w:noWrap w:val="0"/>
            <w:vAlign w:val="center"/>
          </w:tcPr>
          <w:p w14:paraId="2EEBB34E">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0.082</w:t>
            </w:r>
          </w:p>
        </w:tc>
        <w:tc>
          <w:tcPr>
            <w:tcW w:w="737" w:type="pct"/>
            <w:tcBorders>
              <w:tl2br w:val="nil"/>
              <w:tr2bl w:val="nil"/>
            </w:tcBorders>
            <w:noWrap w:val="0"/>
            <w:vAlign w:val="center"/>
          </w:tcPr>
          <w:p w14:paraId="2265699B">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554" w:type="pct"/>
            <w:tcBorders>
              <w:tl2br w:val="nil"/>
              <w:tr2bl w:val="nil"/>
            </w:tcBorders>
            <w:noWrap w:val="0"/>
            <w:vAlign w:val="center"/>
          </w:tcPr>
          <w:p w14:paraId="75D2D9C8">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0.82</w:t>
            </w:r>
          </w:p>
        </w:tc>
        <w:tc>
          <w:tcPr>
            <w:tcW w:w="433" w:type="pct"/>
            <w:tcBorders>
              <w:tl2br w:val="nil"/>
              <w:tr2bl w:val="nil"/>
            </w:tcBorders>
            <w:noWrap w:val="0"/>
            <w:vAlign w:val="center"/>
          </w:tcPr>
          <w:p w14:paraId="2E79FEAE">
            <w:pPr>
              <w:pStyle w:val="554"/>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433" w:type="pct"/>
            <w:tcBorders>
              <w:tl2br w:val="nil"/>
              <w:tr2bl w:val="nil"/>
            </w:tcBorders>
            <w:noWrap w:val="0"/>
            <w:vAlign w:val="center"/>
          </w:tcPr>
          <w:p w14:paraId="14C6BCEE">
            <w:pPr>
              <w:pStyle w:val="554"/>
              <w:jc w:val="center"/>
              <w:rPr>
                <w:rFonts w:hint="default" w:ascii="Times New Roman" w:hAnsi="Times New Roman" w:eastAsia="宋体" w:cs="Times New Roman"/>
                <w:color w:val="auto"/>
                <w:highlight w:val="none"/>
              </w:rPr>
            </w:pPr>
            <w:r>
              <w:rPr>
                <w:rFonts w:hint="eastAsia" w:hAnsi="Times New Roman" w:eastAsia="宋体" w:cs="Times New Roman"/>
                <w:color w:val="auto"/>
                <w:highlight w:val="none"/>
                <w:lang w:eastAsia="zh-CN"/>
              </w:rPr>
              <w:t>二级</w:t>
            </w:r>
          </w:p>
        </w:tc>
      </w:tr>
      <w:tr w14:paraId="4B1D566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736" w:type="pct"/>
            <w:vMerge w:val="restart"/>
            <w:tcBorders>
              <w:tl2br w:val="nil"/>
              <w:tr2bl w:val="nil"/>
            </w:tcBorders>
            <w:noWrap w:val="0"/>
            <w:vAlign w:val="center"/>
          </w:tcPr>
          <w:p w14:paraId="4E15BD05">
            <w:pPr>
              <w:widowControl/>
              <w:jc w:val="center"/>
              <w:textAlignment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临时储粪场</w:t>
            </w:r>
          </w:p>
        </w:tc>
        <w:tc>
          <w:tcPr>
            <w:tcW w:w="870" w:type="pct"/>
            <w:tcBorders>
              <w:tl2br w:val="nil"/>
              <w:tr2bl w:val="nil"/>
            </w:tcBorders>
            <w:noWrap w:val="0"/>
            <w:vAlign w:val="center"/>
          </w:tcPr>
          <w:p w14:paraId="511E947F">
            <w:pPr>
              <w:autoSpaceDE w:val="0"/>
              <w:autoSpaceDN w:val="0"/>
              <w:adjustRightInd w:val="0"/>
              <w:jc w:val="center"/>
              <w:rPr>
                <w:rFonts w:hint="default" w:ascii="Times New Roman" w:hAnsi="Times New Roman" w:eastAsia="宋体" w:cs="Times New Roman"/>
                <w:color w:val="auto"/>
                <w:highlight w:val="none"/>
              </w:rPr>
            </w:pPr>
            <w:r>
              <w:rPr>
                <w:color w:val="auto"/>
                <w:szCs w:val="21"/>
                <w:highlight w:val="none"/>
              </w:rPr>
              <w:t>NH</w:t>
            </w:r>
            <w:r>
              <w:rPr>
                <w:color w:val="auto"/>
                <w:szCs w:val="21"/>
                <w:highlight w:val="none"/>
                <w:vertAlign w:val="subscript"/>
              </w:rPr>
              <w:t>3</w:t>
            </w:r>
          </w:p>
        </w:tc>
        <w:tc>
          <w:tcPr>
            <w:tcW w:w="606" w:type="pct"/>
            <w:tcBorders>
              <w:tl2br w:val="nil"/>
              <w:tr2bl w:val="nil"/>
            </w:tcBorders>
            <w:noWrap w:val="0"/>
            <w:vAlign w:val="center"/>
          </w:tcPr>
          <w:p w14:paraId="4C460D89">
            <w:pPr>
              <w:pStyle w:val="554"/>
              <w:jc w:val="center"/>
              <w:rPr>
                <w:rFonts w:hint="default" w:ascii="Times New Roman"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200</w:t>
            </w:r>
          </w:p>
        </w:tc>
        <w:tc>
          <w:tcPr>
            <w:tcW w:w="627" w:type="pct"/>
            <w:tcBorders>
              <w:tl2br w:val="nil"/>
              <w:tr2bl w:val="nil"/>
            </w:tcBorders>
            <w:noWrap w:val="0"/>
            <w:vAlign w:val="center"/>
          </w:tcPr>
          <w:p w14:paraId="65E46F58">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8.98</w:t>
            </w:r>
          </w:p>
        </w:tc>
        <w:tc>
          <w:tcPr>
            <w:tcW w:w="737" w:type="pct"/>
            <w:tcBorders>
              <w:tl2br w:val="nil"/>
              <w:tr2bl w:val="nil"/>
            </w:tcBorders>
            <w:noWrap w:val="0"/>
            <w:vAlign w:val="center"/>
          </w:tcPr>
          <w:p w14:paraId="72C81FFD">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554" w:type="pct"/>
            <w:tcBorders>
              <w:tl2br w:val="nil"/>
              <w:tr2bl w:val="nil"/>
            </w:tcBorders>
            <w:noWrap w:val="0"/>
            <w:vAlign w:val="center"/>
          </w:tcPr>
          <w:p w14:paraId="70A028AC">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4.49</w:t>
            </w:r>
          </w:p>
        </w:tc>
        <w:tc>
          <w:tcPr>
            <w:tcW w:w="433" w:type="pct"/>
            <w:tcBorders>
              <w:tl2br w:val="nil"/>
              <w:tr2bl w:val="nil"/>
            </w:tcBorders>
            <w:noWrap w:val="0"/>
            <w:vAlign w:val="center"/>
          </w:tcPr>
          <w:p w14:paraId="7D56C1C6">
            <w:pPr>
              <w:pStyle w:val="554"/>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433" w:type="pct"/>
            <w:tcBorders>
              <w:tl2br w:val="nil"/>
              <w:tr2bl w:val="nil"/>
            </w:tcBorders>
            <w:noWrap w:val="0"/>
            <w:vAlign w:val="center"/>
          </w:tcPr>
          <w:p w14:paraId="553563D6">
            <w:pPr>
              <w:pStyle w:val="554"/>
              <w:jc w:val="center"/>
              <w:rPr>
                <w:rFonts w:hint="default" w:ascii="Times New Roman" w:hAnsi="Times New Roman" w:eastAsia="宋体" w:cs="Times New Roman"/>
                <w:color w:val="auto"/>
                <w:highlight w:val="none"/>
              </w:rPr>
            </w:pPr>
            <w:r>
              <w:rPr>
                <w:rFonts w:hint="eastAsia" w:hAnsi="Times New Roman" w:eastAsia="宋体" w:cs="Times New Roman"/>
                <w:color w:val="auto"/>
                <w:highlight w:val="none"/>
                <w:lang w:eastAsia="zh-CN"/>
              </w:rPr>
              <w:t>二级</w:t>
            </w:r>
          </w:p>
        </w:tc>
      </w:tr>
      <w:tr w14:paraId="79BA312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736" w:type="pct"/>
            <w:vMerge w:val="continue"/>
            <w:tcBorders>
              <w:tl2br w:val="nil"/>
              <w:tr2bl w:val="nil"/>
            </w:tcBorders>
            <w:noWrap w:val="0"/>
            <w:vAlign w:val="center"/>
          </w:tcPr>
          <w:p w14:paraId="7C6B5635">
            <w:pPr>
              <w:pStyle w:val="554"/>
              <w:jc w:val="center"/>
              <w:rPr>
                <w:rFonts w:hint="default" w:ascii="Times New Roman" w:hAnsi="Times New Roman" w:eastAsia="宋体" w:cs="Times New Roman"/>
                <w:color w:val="auto"/>
                <w:highlight w:val="none"/>
              </w:rPr>
            </w:pPr>
          </w:p>
        </w:tc>
        <w:tc>
          <w:tcPr>
            <w:tcW w:w="870" w:type="pct"/>
            <w:tcBorders>
              <w:tl2br w:val="nil"/>
              <w:tr2bl w:val="nil"/>
            </w:tcBorders>
            <w:noWrap w:val="0"/>
            <w:vAlign w:val="center"/>
          </w:tcPr>
          <w:p w14:paraId="428BFBFB">
            <w:pPr>
              <w:autoSpaceDE w:val="0"/>
              <w:autoSpaceDN w:val="0"/>
              <w:adjustRightInd w:val="0"/>
              <w:jc w:val="center"/>
              <w:rPr>
                <w:rFonts w:hint="default" w:ascii="Times New Roman" w:hAnsi="Times New Roman" w:eastAsia="宋体" w:cs="Times New Roman"/>
                <w:color w:val="auto"/>
                <w:highlight w:val="none"/>
              </w:rPr>
            </w:pPr>
            <w:r>
              <w:rPr>
                <w:color w:val="auto"/>
                <w:szCs w:val="21"/>
                <w:highlight w:val="none"/>
              </w:rPr>
              <w:t>H</w:t>
            </w:r>
            <w:r>
              <w:rPr>
                <w:color w:val="auto"/>
                <w:szCs w:val="21"/>
                <w:highlight w:val="none"/>
                <w:vertAlign w:val="subscript"/>
              </w:rPr>
              <w:t>2</w:t>
            </w:r>
            <w:r>
              <w:rPr>
                <w:color w:val="auto"/>
                <w:szCs w:val="21"/>
                <w:highlight w:val="none"/>
              </w:rPr>
              <w:t>S</w:t>
            </w:r>
          </w:p>
        </w:tc>
        <w:tc>
          <w:tcPr>
            <w:tcW w:w="606" w:type="pct"/>
            <w:tcBorders>
              <w:tl2br w:val="nil"/>
              <w:tr2bl w:val="nil"/>
            </w:tcBorders>
            <w:noWrap w:val="0"/>
            <w:vAlign w:val="center"/>
          </w:tcPr>
          <w:p w14:paraId="34EC99EA">
            <w:pPr>
              <w:pStyle w:val="554"/>
              <w:jc w:val="center"/>
              <w:rPr>
                <w:rFonts w:hint="default" w:ascii="Times New Roman"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10</w:t>
            </w:r>
          </w:p>
        </w:tc>
        <w:tc>
          <w:tcPr>
            <w:tcW w:w="627" w:type="pct"/>
            <w:tcBorders>
              <w:tl2br w:val="nil"/>
              <w:tr2bl w:val="nil"/>
            </w:tcBorders>
            <w:noWrap w:val="0"/>
            <w:vAlign w:val="center"/>
          </w:tcPr>
          <w:p w14:paraId="5B797368">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0.449</w:t>
            </w:r>
          </w:p>
        </w:tc>
        <w:tc>
          <w:tcPr>
            <w:tcW w:w="737" w:type="pct"/>
            <w:tcBorders>
              <w:tl2br w:val="nil"/>
              <w:tr2bl w:val="nil"/>
            </w:tcBorders>
            <w:noWrap w:val="0"/>
            <w:vAlign w:val="center"/>
          </w:tcPr>
          <w:p w14:paraId="00629A8B">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w:t>
            </w:r>
          </w:p>
        </w:tc>
        <w:tc>
          <w:tcPr>
            <w:tcW w:w="554" w:type="pct"/>
            <w:tcBorders>
              <w:tl2br w:val="nil"/>
              <w:tr2bl w:val="nil"/>
            </w:tcBorders>
            <w:noWrap w:val="0"/>
            <w:vAlign w:val="center"/>
          </w:tcPr>
          <w:p w14:paraId="1AC35B68">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4.49</w:t>
            </w:r>
          </w:p>
        </w:tc>
        <w:tc>
          <w:tcPr>
            <w:tcW w:w="433" w:type="pct"/>
            <w:tcBorders>
              <w:tl2br w:val="nil"/>
              <w:tr2bl w:val="nil"/>
            </w:tcBorders>
            <w:noWrap w:val="0"/>
            <w:vAlign w:val="center"/>
          </w:tcPr>
          <w:p w14:paraId="71217A54">
            <w:pPr>
              <w:pStyle w:val="554"/>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433" w:type="pct"/>
            <w:tcBorders>
              <w:tl2br w:val="nil"/>
              <w:tr2bl w:val="nil"/>
            </w:tcBorders>
            <w:noWrap w:val="0"/>
            <w:vAlign w:val="center"/>
          </w:tcPr>
          <w:p w14:paraId="27B7FA14">
            <w:pPr>
              <w:pStyle w:val="554"/>
              <w:jc w:val="center"/>
              <w:rPr>
                <w:rFonts w:hint="default" w:ascii="Times New Roman" w:hAnsi="Times New Roman" w:eastAsia="宋体" w:cs="Times New Roman"/>
                <w:color w:val="auto"/>
                <w:highlight w:val="none"/>
              </w:rPr>
            </w:pPr>
            <w:r>
              <w:rPr>
                <w:rFonts w:hint="eastAsia" w:hAnsi="Times New Roman" w:eastAsia="宋体" w:cs="Times New Roman"/>
                <w:color w:val="auto"/>
                <w:highlight w:val="none"/>
                <w:lang w:eastAsia="zh-CN"/>
              </w:rPr>
              <w:t>二级</w:t>
            </w:r>
          </w:p>
        </w:tc>
      </w:tr>
    </w:tbl>
    <w:p w14:paraId="7C159264">
      <w:pPr>
        <w:pStyle w:val="450"/>
        <w:spacing w:line="240" w:lineRule="auto"/>
        <w:ind w:left="0" w:leftChars="0" w:firstLine="0" w:firstLineChars="0"/>
        <w:rPr>
          <w:rFonts w:hint="eastAsia" w:hAnsi="宋体"/>
          <w:bCs w:val="0"/>
          <w:snapToGrid/>
          <w:color w:val="auto"/>
          <w:szCs w:val="24"/>
          <w:highlight w:val="green"/>
        </w:rPr>
      </w:pPr>
      <w:r>
        <w:rPr>
          <w:color w:val="auto"/>
        </w:rPr>
        <w:drawing>
          <wp:inline distT="0" distB="0" distL="114300" distR="114300">
            <wp:extent cx="5268595" cy="2045335"/>
            <wp:effectExtent l="0" t="0" r="8255" b="12065"/>
            <wp:docPr id="50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21"/>
                    <pic:cNvPicPr>
                      <a:picLocks noChangeAspect="1"/>
                    </pic:cNvPicPr>
                  </pic:nvPicPr>
                  <pic:blipFill>
                    <a:blip r:embed="rId23"/>
                    <a:stretch>
                      <a:fillRect/>
                    </a:stretch>
                  </pic:blipFill>
                  <pic:spPr>
                    <a:xfrm>
                      <a:off x="0" y="0"/>
                      <a:ext cx="5268595" cy="2045335"/>
                    </a:xfrm>
                    <a:prstGeom prst="rect">
                      <a:avLst/>
                    </a:prstGeom>
                    <a:noFill/>
                    <a:ln>
                      <a:noFill/>
                    </a:ln>
                  </pic:spPr>
                </pic:pic>
              </a:graphicData>
            </a:graphic>
          </wp:inline>
        </w:drawing>
      </w:r>
    </w:p>
    <w:p w14:paraId="01891CE1">
      <w:pPr>
        <w:pStyle w:val="450"/>
        <w:ind w:left="0" w:leftChars="0" w:firstLine="0" w:firstLineChars="0"/>
        <w:jc w:val="center"/>
        <w:rPr>
          <w:rFonts w:hint="eastAsia" w:ascii="Times New Roman" w:hAnsi="宋体" w:eastAsia="宋体" w:cs="Times New Roman"/>
          <w:b/>
          <w:bCs w:val="0"/>
          <w:snapToGrid/>
          <w:color w:val="auto"/>
          <w:szCs w:val="24"/>
          <w:highlight w:val="none"/>
          <w:lang w:eastAsia="zh-CN"/>
        </w:rPr>
      </w:pPr>
      <w:r>
        <w:rPr>
          <w:rFonts w:hint="eastAsia" w:ascii="Times New Roman" w:hAnsi="宋体" w:eastAsia="宋体" w:cs="Times New Roman"/>
          <w:b/>
          <w:bCs w:val="0"/>
          <w:snapToGrid/>
          <w:color w:val="auto"/>
          <w:szCs w:val="24"/>
          <w:highlight w:val="none"/>
          <w:lang w:eastAsia="zh-CN"/>
        </w:rPr>
        <w:t>图</w:t>
      </w:r>
      <w:r>
        <w:rPr>
          <w:rFonts w:hint="eastAsia" w:hAnsi="宋体" w:eastAsia="宋体" w:cs="Times New Roman"/>
          <w:b/>
          <w:bCs w:val="0"/>
          <w:snapToGrid/>
          <w:color w:val="auto"/>
          <w:szCs w:val="24"/>
          <w:highlight w:val="none"/>
          <w:lang w:val="en-US" w:eastAsia="zh-CN"/>
        </w:rPr>
        <w:t>2.3-2</w:t>
      </w:r>
      <w:r>
        <w:rPr>
          <w:rFonts w:hint="eastAsia" w:ascii="Times New Roman" w:hAnsi="宋体" w:eastAsia="宋体" w:cs="Times New Roman"/>
          <w:b/>
          <w:bCs w:val="0"/>
          <w:snapToGrid/>
          <w:color w:val="auto"/>
          <w:szCs w:val="24"/>
          <w:highlight w:val="none"/>
          <w:lang w:val="en-US" w:eastAsia="zh-CN"/>
        </w:rPr>
        <w:t xml:space="preserve">    </w:t>
      </w:r>
      <w:r>
        <w:rPr>
          <w:rFonts w:hint="eastAsia" w:ascii="Times New Roman" w:hAnsi="宋体" w:eastAsia="宋体" w:cs="Times New Roman"/>
          <w:b/>
          <w:bCs w:val="0"/>
          <w:snapToGrid/>
          <w:color w:val="auto"/>
          <w:szCs w:val="24"/>
          <w:highlight w:val="none"/>
          <w:lang w:eastAsia="zh-CN"/>
        </w:rPr>
        <w:t>估算模型计算结果截图</w:t>
      </w:r>
    </w:p>
    <w:p w14:paraId="3BE9B2EA">
      <w:pPr>
        <w:pStyle w:val="450"/>
        <w:rPr>
          <w:color w:val="auto"/>
          <w:sz w:val="24"/>
          <w:highlight w:val="none"/>
        </w:rPr>
      </w:pPr>
      <w:r>
        <w:rPr>
          <w:bCs/>
          <w:color w:val="auto"/>
          <w:sz w:val="24"/>
          <w:highlight w:val="none"/>
        </w:rPr>
        <w:t>分析预测结果表明，</w:t>
      </w:r>
      <w:r>
        <w:rPr>
          <w:rFonts w:hint="eastAsia" w:ascii="Times New Roman" w:hAnsi="宋体" w:eastAsia="宋体" w:cs="Times New Roman"/>
          <w:bCs/>
          <w:snapToGrid/>
          <w:color w:val="auto"/>
          <w:szCs w:val="24"/>
          <w:highlight w:val="none"/>
        </w:rPr>
        <w:t>本项目Pmax最大值出现为</w:t>
      </w:r>
      <w:r>
        <w:rPr>
          <w:rFonts w:hint="eastAsia" w:ascii="Times New Roman" w:hAnsi="宋体" w:eastAsia="宋体" w:cs="Times New Roman"/>
          <w:bCs/>
          <w:snapToGrid/>
          <w:color w:val="auto"/>
          <w:szCs w:val="24"/>
          <w:highlight w:val="none"/>
          <w:lang w:eastAsia="zh-CN"/>
        </w:rPr>
        <w:t>临时储粪场</w:t>
      </w:r>
      <w:r>
        <w:rPr>
          <w:rFonts w:hint="eastAsia" w:ascii="Times New Roman" w:hAnsi="宋体" w:eastAsia="宋体" w:cs="Times New Roman"/>
          <w:bCs/>
          <w:snapToGrid/>
          <w:color w:val="auto"/>
          <w:szCs w:val="24"/>
          <w:highlight w:val="none"/>
        </w:rPr>
        <w:t>无组织排放</w:t>
      </w:r>
      <w:r>
        <w:rPr>
          <w:rFonts w:hint="eastAsia" w:ascii="Times New Roman" w:hAnsi="宋体" w:eastAsia="宋体" w:cs="Times New Roman"/>
          <w:bCs/>
          <w:snapToGrid/>
          <w:color w:val="auto"/>
          <w:szCs w:val="24"/>
          <w:highlight w:val="none"/>
          <w:lang w:eastAsia="zh-CN"/>
        </w:rPr>
        <w:t>，</w:t>
      </w:r>
      <w:r>
        <w:rPr>
          <w:rFonts w:hint="eastAsia" w:ascii="Times New Roman" w:hAnsi="宋体" w:eastAsia="宋体" w:cs="Times New Roman"/>
          <w:bCs/>
          <w:snapToGrid/>
          <w:color w:val="auto"/>
          <w:szCs w:val="24"/>
          <w:highlight w:val="none"/>
          <w:lang w:val="en-US" w:eastAsia="zh-CN"/>
        </w:rPr>
        <w:t>HN</w:t>
      </w:r>
      <w:r>
        <w:rPr>
          <w:rFonts w:hint="eastAsia" w:ascii="Times New Roman" w:hAnsi="宋体" w:eastAsia="宋体" w:cs="Times New Roman"/>
          <w:bCs/>
          <w:snapToGrid/>
          <w:color w:val="auto"/>
          <w:szCs w:val="24"/>
          <w:highlight w:val="none"/>
          <w:vertAlign w:val="subscript"/>
          <w:lang w:val="en-US" w:eastAsia="zh-CN"/>
        </w:rPr>
        <w:t>3</w:t>
      </w:r>
      <w:r>
        <w:rPr>
          <w:rFonts w:hint="eastAsia" w:ascii="Times New Roman" w:hAnsi="宋体" w:eastAsia="宋体" w:cs="Times New Roman"/>
          <w:bCs/>
          <w:snapToGrid/>
          <w:color w:val="auto"/>
          <w:szCs w:val="24"/>
          <w:highlight w:val="none"/>
          <w:lang w:eastAsia="zh-CN"/>
        </w:rPr>
        <w:t>：</w:t>
      </w:r>
      <w:r>
        <w:rPr>
          <w:rFonts w:hint="eastAsia" w:ascii="Times New Roman" w:hAnsi="宋体" w:eastAsia="宋体" w:cs="Times New Roman"/>
          <w:bCs/>
          <w:snapToGrid/>
          <w:color w:val="auto"/>
          <w:szCs w:val="24"/>
          <w:highlight w:val="none"/>
        </w:rPr>
        <w:t>Pmax值为</w:t>
      </w:r>
      <w:r>
        <w:rPr>
          <w:rFonts w:hint="eastAsia" w:hAnsi="宋体" w:eastAsia="宋体" w:cs="Times New Roman"/>
          <w:bCs/>
          <w:snapToGrid/>
          <w:color w:val="auto"/>
          <w:szCs w:val="24"/>
          <w:highlight w:val="none"/>
          <w:lang w:val="en-US" w:eastAsia="zh-CN"/>
        </w:rPr>
        <w:t>4.49</w:t>
      </w:r>
      <w:r>
        <w:rPr>
          <w:rFonts w:hint="eastAsia" w:ascii="Times New Roman" w:hAnsi="宋体" w:eastAsia="宋体" w:cs="Times New Roman"/>
          <w:bCs/>
          <w:snapToGrid/>
          <w:color w:val="auto"/>
          <w:szCs w:val="24"/>
          <w:highlight w:val="none"/>
        </w:rPr>
        <w:t>%，Cmax为</w:t>
      </w:r>
      <w:r>
        <w:rPr>
          <w:rFonts w:hint="eastAsia" w:hAnsi="宋体" w:eastAsia="宋体" w:cs="Times New Roman"/>
          <w:bCs/>
          <w:snapToGrid/>
          <w:color w:val="auto"/>
          <w:szCs w:val="24"/>
          <w:highlight w:val="none"/>
          <w:lang w:val="en-US" w:eastAsia="zh-CN"/>
        </w:rPr>
        <w:t>8.98</w:t>
      </w:r>
      <w:r>
        <w:rPr>
          <w:rFonts w:hint="default" w:ascii="Times New Roman" w:hAnsi="Times New Roman" w:eastAsia="宋体" w:cs="Times New Roman"/>
          <w:color w:val="auto"/>
          <w:highlight w:val="none"/>
        </w:rPr>
        <w:t>μ</w:t>
      </w:r>
      <w:r>
        <w:rPr>
          <w:rFonts w:hint="eastAsia" w:ascii="Times New Roman" w:hAnsi="宋体" w:eastAsia="宋体" w:cs="Times New Roman"/>
          <w:bCs/>
          <w:snapToGrid/>
          <w:color w:val="auto"/>
          <w:szCs w:val="24"/>
          <w:highlight w:val="none"/>
        </w:rPr>
        <w:t>g/m</w:t>
      </w:r>
      <w:r>
        <w:rPr>
          <w:rFonts w:hint="eastAsia" w:ascii="Times New Roman" w:hAnsi="宋体" w:eastAsia="宋体" w:cs="Times New Roman"/>
          <w:bCs/>
          <w:snapToGrid/>
          <w:color w:val="auto"/>
          <w:szCs w:val="24"/>
          <w:highlight w:val="none"/>
          <w:vertAlign w:val="superscript"/>
        </w:rPr>
        <w:t>3</w:t>
      </w:r>
      <w:r>
        <w:rPr>
          <w:rFonts w:hint="eastAsia" w:ascii="Times New Roman" w:hAnsi="宋体" w:eastAsia="宋体" w:cs="Times New Roman"/>
          <w:bCs/>
          <w:snapToGrid/>
          <w:color w:val="auto"/>
          <w:szCs w:val="24"/>
          <w:highlight w:val="none"/>
        </w:rPr>
        <w:t>，</w:t>
      </w:r>
      <w:r>
        <w:rPr>
          <w:rFonts w:hint="eastAsia" w:ascii="Times New Roman" w:hAnsi="宋体" w:eastAsia="宋体" w:cs="Times New Roman"/>
          <w:bCs/>
          <w:snapToGrid/>
          <w:color w:val="auto"/>
          <w:szCs w:val="24"/>
          <w:highlight w:val="none"/>
          <w:lang w:val="en-US" w:eastAsia="zh-CN"/>
        </w:rPr>
        <w:t>H</w:t>
      </w:r>
      <w:r>
        <w:rPr>
          <w:rFonts w:hint="eastAsia" w:ascii="Times New Roman" w:hAnsi="宋体" w:eastAsia="宋体" w:cs="Times New Roman"/>
          <w:bCs/>
          <w:snapToGrid/>
          <w:color w:val="auto"/>
          <w:szCs w:val="24"/>
          <w:highlight w:val="none"/>
          <w:vertAlign w:val="subscript"/>
          <w:lang w:val="en-US" w:eastAsia="zh-CN"/>
        </w:rPr>
        <w:t>2</w:t>
      </w:r>
      <w:r>
        <w:rPr>
          <w:rFonts w:hint="eastAsia" w:ascii="Times New Roman" w:hAnsi="宋体" w:eastAsia="宋体" w:cs="Times New Roman"/>
          <w:bCs/>
          <w:snapToGrid/>
          <w:color w:val="auto"/>
          <w:szCs w:val="24"/>
          <w:highlight w:val="none"/>
          <w:lang w:val="en-US" w:eastAsia="zh-CN"/>
        </w:rPr>
        <w:t>S</w:t>
      </w:r>
      <w:r>
        <w:rPr>
          <w:rFonts w:hint="eastAsia" w:ascii="Times New Roman" w:hAnsi="宋体" w:eastAsia="宋体" w:cs="Times New Roman"/>
          <w:bCs/>
          <w:snapToGrid/>
          <w:color w:val="auto"/>
          <w:szCs w:val="24"/>
          <w:highlight w:val="none"/>
          <w:lang w:eastAsia="zh-CN"/>
        </w:rPr>
        <w:t>：</w:t>
      </w:r>
      <w:r>
        <w:rPr>
          <w:rFonts w:hint="eastAsia" w:ascii="Times New Roman" w:hAnsi="宋体" w:eastAsia="宋体" w:cs="Times New Roman"/>
          <w:bCs/>
          <w:snapToGrid/>
          <w:color w:val="auto"/>
          <w:szCs w:val="24"/>
          <w:highlight w:val="none"/>
        </w:rPr>
        <w:t>Pmax值为</w:t>
      </w:r>
      <w:r>
        <w:rPr>
          <w:rFonts w:hint="eastAsia" w:hAnsi="宋体" w:eastAsia="宋体" w:cs="Times New Roman"/>
          <w:bCs/>
          <w:snapToGrid/>
          <w:color w:val="auto"/>
          <w:szCs w:val="24"/>
          <w:highlight w:val="none"/>
          <w:lang w:val="en-US" w:eastAsia="zh-CN"/>
        </w:rPr>
        <w:t>4.49</w:t>
      </w:r>
      <w:r>
        <w:rPr>
          <w:rFonts w:hint="eastAsia" w:ascii="Times New Roman" w:hAnsi="宋体" w:eastAsia="宋体" w:cs="Times New Roman"/>
          <w:bCs/>
          <w:snapToGrid/>
          <w:color w:val="auto"/>
          <w:szCs w:val="24"/>
          <w:highlight w:val="none"/>
        </w:rPr>
        <w:t>%，Cmax为</w:t>
      </w:r>
      <w:r>
        <w:rPr>
          <w:rFonts w:hint="eastAsia" w:hAnsi="宋体" w:eastAsia="宋体" w:cs="Times New Roman"/>
          <w:bCs/>
          <w:snapToGrid/>
          <w:color w:val="auto"/>
          <w:szCs w:val="24"/>
          <w:highlight w:val="none"/>
          <w:lang w:val="en-US" w:eastAsia="zh-CN"/>
        </w:rPr>
        <w:t>0.449</w:t>
      </w:r>
      <w:r>
        <w:rPr>
          <w:rFonts w:hint="default" w:ascii="Times New Roman" w:hAnsi="Times New Roman" w:eastAsia="宋体" w:cs="Times New Roman"/>
          <w:color w:val="auto"/>
          <w:highlight w:val="none"/>
        </w:rPr>
        <w:t>μ</w:t>
      </w:r>
      <w:r>
        <w:rPr>
          <w:rFonts w:hint="eastAsia" w:ascii="Times New Roman" w:hAnsi="宋体" w:eastAsia="宋体" w:cs="Times New Roman"/>
          <w:bCs/>
          <w:snapToGrid/>
          <w:color w:val="auto"/>
          <w:szCs w:val="24"/>
          <w:highlight w:val="none"/>
        </w:rPr>
        <w:t>g/m</w:t>
      </w:r>
      <w:r>
        <w:rPr>
          <w:rFonts w:hint="eastAsia" w:ascii="Times New Roman" w:hAnsi="宋体" w:eastAsia="宋体" w:cs="Times New Roman"/>
          <w:bCs/>
          <w:snapToGrid/>
          <w:color w:val="auto"/>
          <w:szCs w:val="24"/>
          <w:highlight w:val="none"/>
          <w:vertAlign w:val="superscript"/>
        </w:rPr>
        <w:t>3</w:t>
      </w:r>
      <w:r>
        <w:rPr>
          <w:rFonts w:hint="eastAsia" w:ascii="Times New Roman" w:hAnsi="宋体" w:eastAsia="宋体" w:cs="Times New Roman"/>
          <w:bCs/>
          <w:snapToGrid/>
          <w:color w:val="auto"/>
          <w:szCs w:val="24"/>
          <w:highlight w:val="none"/>
        </w:rPr>
        <w:t>，根据《环境影响评价技术导则</w:t>
      </w:r>
      <w:r>
        <w:rPr>
          <w:rFonts w:hint="eastAsia" w:ascii="Times New Roman" w:hAnsi="宋体" w:eastAsia="宋体" w:cs="Times New Roman"/>
          <w:bCs/>
          <w:snapToGrid/>
          <w:color w:val="auto"/>
          <w:szCs w:val="24"/>
          <w:highlight w:val="none"/>
          <w:lang w:val="en-US" w:eastAsia="zh-CN"/>
        </w:rPr>
        <w:t xml:space="preserve"> </w:t>
      </w:r>
      <w:r>
        <w:rPr>
          <w:rFonts w:hint="eastAsia" w:ascii="Times New Roman" w:hAnsi="宋体" w:eastAsia="宋体" w:cs="Times New Roman"/>
          <w:bCs/>
          <w:snapToGrid/>
          <w:color w:val="auto"/>
          <w:szCs w:val="24"/>
          <w:highlight w:val="none"/>
        </w:rPr>
        <w:t>大气环境》(HJ2.2-2018)分级判据，确定本项目大气环境影响评价工作等级为二级。</w:t>
      </w:r>
    </w:p>
    <w:p w14:paraId="43BE5BE5">
      <w:pPr>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）评价范围</w:t>
      </w:r>
    </w:p>
    <w:p w14:paraId="243EFD93">
      <w:pPr>
        <w:spacing w:line="360" w:lineRule="auto"/>
        <w:ind w:firstLine="480" w:firstLineChars="200"/>
        <w:rPr>
          <w:rFonts w:hint="eastAsia"/>
          <w:color w:val="auto"/>
          <w:sz w:val="24"/>
        </w:rPr>
      </w:pPr>
      <w:r>
        <w:rPr>
          <w:rFonts w:hint="eastAsia"/>
          <w:color w:val="auto"/>
          <w:sz w:val="24"/>
        </w:rPr>
        <w:t>由估算模型计算结果可知，估算结果</w:t>
      </w:r>
      <w:r>
        <w:rPr>
          <w:color w:val="auto"/>
          <w:sz w:val="24"/>
        </w:rPr>
        <w:t>D10%=0</w:t>
      </w:r>
      <w:r>
        <w:rPr>
          <w:rFonts w:hint="eastAsia"/>
          <w:color w:val="auto"/>
          <w:sz w:val="24"/>
        </w:rPr>
        <w:t>。根据《环境影响评价技术导则大气环境》（</w:t>
      </w:r>
      <w:r>
        <w:rPr>
          <w:color w:val="auto"/>
          <w:sz w:val="24"/>
        </w:rPr>
        <w:t>HJ2.2-2018</w:t>
      </w:r>
      <w:r>
        <w:rPr>
          <w:rFonts w:hint="eastAsia"/>
          <w:color w:val="auto"/>
          <w:sz w:val="24"/>
        </w:rPr>
        <w:t>）</w:t>
      </w:r>
      <w:r>
        <w:rPr>
          <w:color w:val="auto"/>
          <w:sz w:val="24"/>
        </w:rPr>
        <w:t>5.4</w:t>
      </w:r>
      <w:r>
        <w:rPr>
          <w:rFonts w:hint="eastAsia"/>
          <w:color w:val="auto"/>
          <w:sz w:val="24"/>
        </w:rPr>
        <w:t>条规定，二级评价项目大气环境影响评价范围边长取</w:t>
      </w:r>
      <w:r>
        <w:rPr>
          <w:color w:val="auto"/>
          <w:sz w:val="24"/>
        </w:rPr>
        <w:t>5km</w:t>
      </w:r>
      <w:r>
        <w:rPr>
          <w:rFonts w:hint="eastAsia"/>
          <w:color w:val="auto"/>
          <w:sz w:val="24"/>
        </w:rPr>
        <w:t>。因此，本项目以项目厂址为中心区域，大气环境影响评价范围为边长</w:t>
      </w:r>
      <w:r>
        <w:rPr>
          <w:color w:val="auto"/>
          <w:sz w:val="24"/>
        </w:rPr>
        <w:t>5km</w:t>
      </w:r>
      <w:r>
        <w:rPr>
          <w:rFonts w:hint="eastAsia"/>
          <w:color w:val="auto"/>
          <w:sz w:val="24"/>
        </w:rPr>
        <w:t>的矩形区域。</w:t>
      </w:r>
    </w:p>
    <w:p w14:paraId="121033B1">
      <w:pPr>
        <w:snapToGrid w:val="0"/>
        <w:spacing w:line="360" w:lineRule="auto"/>
        <w:outlineLvl w:val="3"/>
        <w:rPr>
          <w:rFonts w:hint="eastAsia" w:eastAsia="宋体"/>
          <w:b/>
          <w:color w:val="auto"/>
          <w:sz w:val="24"/>
          <w:lang w:eastAsia="zh-CN"/>
        </w:rPr>
      </w:pPr>
      <w:r>
        <w:rPr>
          <w:b/>
          <w:color w:val="auto"/>
          <w:sz w:val="24"/>
        </w:rPr>
        <w:t>2.3.1.</w:t>
      </w:r>
      <w:r>
        <w:rPr>
          <w:rFonts w:hint="eastAsia"/>
          <w:b/>
          <w:color w:val="auto"/>
          <w:sz w:val="24"/>
          <w:lang w:val="en-US" w:eastAsia="zh-CN"/>
        </w:rPr>
        <w:t>2</w:t>
      </w:r>
      <w:r>
        <w:rPr>
          <w:rFonts w:hint="eastAsia"/>
          <w:b/>
          <w:color w:val="auto"/>
          <w:sz w:val="24"/>
          <w:lang w:eastAsia="zh-CN"/>
        </w:rPr>
        <w:t>声环境</w:t>
      </w:r>
      <w:r>
        <w:rPr>
          <w:b/>
          <w:color w:val="auto"/>
          <w:sz w:val="24"/>
        </w:rPr>
        <w:t>影响评价工作等级</w:t>
      </w:r>
      <w:r>
        <w:rPr>
          <w:rFonts w:hint="eastAsia"/>
          <w:b/>
          <w:color w:val="auto"/>
          <w:sz w:val="24"/>
          <w:lang w:eastAsia="zh-CN"/>
        </w:rPr>
        <w:t>及评价范围</w:t>
      </w:r>
    </w:p>
    <w:p w14:paraId="4480F87F">
      <w:pPr>
        <w:snapToGrid w:val="0"/>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）评价工作等级</w:t>
      </w:r>
    </w:p>
    <w:p w14:paraId="453604E6">
      <w:pPr>
        <w:snapToGrid w:val="0"/>
        <w:spacing w:line="360" w:lineRule="auto"/>
        <w:ind w:firstLine="480" w:firstLineChars="200"/>
        <w:rPr>
          <w:color w:val="auto"/>
          <w:sz w:val="24"/>
        </w:rPr>
      </w:pPr>
      <w:r>
        <w:rPr>
          <w:color w:val="auto"/>
          <w:sz w:val="24"/>
        </w:rPr>
        <w:t>根据《环境影响评价技术导则 声环境》（HJ2.4-2021）中评价等级的划分原则，建设项目所处的声环境功能区为GB3096规定的</w:t>
      </w:r>
      <w:r>
        <w:rPr>
          <w:rFonts w:hint="eastAsia"/>
          <w:color w:val="auto"/>
          <w:sz w:val="24"/>
        </w:rPr>
        <w:t>1</w:t>
      </w:r>
      <w:r>
        <w:rPr>
          <w:color w:val="auto"/>
          <w:sz w:val="24"/>
        </w:rPr>
        <w:t>类、2类地区，或建设项目建设前后评价范围内声环境保护目标噪声级增量达3dB(A)~5dB(A)，或受噪声影响人口数量增加较多时，按二级评价。</w:t>
      </w:r>
    </w:p>
    <w:p w14:paraId="2562B202">
      <w:pPr>
        <w:snapToGrid w:val="0"/>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）评价范围</w:t>
      </w:r>
    </w:p>
    <w:p w14:paraId="249F9965">
      <w:pPr>
        <w:snapToGrid w:val="0"/>
        <w:spacing w:line="360" w:lineRule="auto"/>
        <w:ind w:firstLine="480" w:firstLineChars="200"/>
        <w:rPr>
          <w:color w:val="auto"/>
          <w:sz w:val="24"/>
        </w:rPr>
      </w:pPr>
      <w:r>
        <w:rPr>
          <w:color w:val="auto"/>
          <w:sz w:val="24"/>
        </w:rPr>
        <w:t>本项目所在区域为《声环境质量标准》（GB3096-2008）规定的1类标准</w:t>
      </w:r>
      <w:r>
        <w:rPr>
          <w:rFonts w:hint="eastAsia"/>
          <w:color w:val="auto"/>
          <w:sz w:val="24"/>
        </w:rPr>
        <w:t>，</w:t>
      </w:r>
      <w:r>
        <w:rPr>
          <w:color w:val="auto"/>
          <w:sz w:val="24"/>
        </w:rPr>
        <w:t>运行期噪声源为</w:t>
      </w:r>
      <w:r>
        <w:rPr>
          <w:rFonts w:hint="eastAsia"/>
          <w:color w:val="auto"/>
          <w:sz w:val="24"/>
        </w:rPr>
        <w:t>鸡</w:t>
      </w:r>
      <w:r>
        <w:rPr>
          <w:color w:val="auto"/>
          <w:sz w:val="24"/>
        </w:rPr>
        <w:t>叫声及设备、车辆进出产生的噪声，但都是间断性产生，项目区周围200m范围内无人居住，建设前后噪声级的增加量以及受影响人口变化情况均不明显，建设前后建设项目敏感保护目标噪声声级的增加量＜3dB（A），对周围环境影响较小。因此将声环境评价工作级别确定为二级。根据《环境影响评价技术导则 声环境》（HJ2.4-2021）中对评价范围的规定，确定本次声环境评价范围为厂界外200m的范围内。</w:t>
      </w:r>
    </w:p>
    <w:p w14:paraId="2ED901D3">
      <w:pPr>
        <w:snapToGrid w:val="0"/>
        <w:spacing w:line="360" w:lineRule="auto"/>
        <w:outlineLvl w:val="3"/>
        <w:rPr>
          <w:b/>
          <w:color w:val="auto"/>
          <w:sz w:val="24"/>
        </w:rPr>
      </w:pPr>
      <w:r>
        <w:rPr>
          <w:b/>
          <w:color w:val="auto"/>
          <w:sz w:val="24"/>
        </w:rPr>
        <w:t>2.3.1.3地表水环境影响评价工作等级</w:t>
      </w:r>
    </w:p>
    <w:p w14:paraId="7B6FC39E">
      <w:pPr>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）评价工作等级</w:t>
      </w:r>
    </w:p>
    <w:p w14:paraId="3844CE43">
      <w:pPr>
        <w:spacing w:line="360" w:lineRule="auto"/>
        <w:ind w:firstLine="480" w:firstLineChars="200"/>
        <w:rPr>
          <w:color w:val="auto"/>
          <w:sz w:val="24"/>
        </w:rPr>
      </w:pPr>
      <w:r>
        <w:rPr>
          <w:color w:val="auto"/>
          <w:sz w:val="24"/>
        </w:rPr>
        <w:t>本项目对</w:t>
      </w:r>
      <w:r>
        <w:rPr>
          <w:rFonts w:hint="eastAsia"/>
          <w:color w:val="auto"/>
          <w:sz w:val="24"/>
        </w:rPr>
        <w:t>养殖废水</w:t>
      </w:r>
      <w:r>
        <w:rPr>
          <w:color w:val="auto"/>
          <w:sz w:val="24"/>
        </w:rPr>
        <w:t>实行资源化利用，主要污染物为COD、氨氮等，</w:t>
      </w:r>
      <w:r>
        <w:rPr>
          <w:rFonts w:hint="eastAsia"/>
          <w:color w:val="auto"/>
          <w:sz w:val="24"/>
          <w:lang w:eastAsia="zh-CN"/>
        </w:rPr>
        <w:t>养殖废水日产日清，</w:t>
      </w:r>
      <w:r>
        <w:rPr>
          <w:rFonts w:hint="eastAsia"/>
          <w:color w:val="auto"/>
          <w:sz w:val="24"/>
          <w:highlight w:val="none"/>
          <w:lang w:eastAsia="zh-CN"/>
        </w:rPr>
        <w:t>由罐车运至辰泰（辽宁）生物科技有限公司进行有机肥制造，</w:t>
      </w:r>
      <w:r>
        <w:rPr>
          <w:color w:val="auto"/>
          <w:sz w:val="24"/>
        </w:rPr>
        <w:t>食堂废水经隔油池处理后同生活污水一起排入旱厕定期清掏</w:t>
      </w:r>
      <w:r>
        <w:rPr>
          <w:rFonts w:hint="eastAsia"/>
          <w:color w:val="auto"/>
          <w:sz w:val="24"/>
        </w:rPr>
        <w:t>，</w:t>
      </w:r>
      <w:r>
        <w:rPr>
          <w:rFonts w:hint="eastAsia"/>
          <w:color w:val="auto"/>
          <w:sz w:val="24"/>
          <w:lang w:eastAsia="zh-CN"/>
        </w:rPr>
        <w:t>用作农肥</w:t>
      </w:r>
      <w:r>
        <w:rPr>
          <w:rFonts w:hint="eastAsia"/>
          <w:color w:val="auto"/>
          <w:sz w:val="24"/>
        </w:rPr>
        <w:t>，均</w:t>
      </w:r>
      <w:r>
        <w:rPr>
          <w:color w:val="auto"/>
          <w:sz w:val="24"/>
        </w:rPr>
        <w:t>不排入地表水体。根据《环境影响评价技术导则 地表水环境》（HJ2.3-2018）规定，确定地表水环境评价等级为三级B。</w:t>
      </w:r>
    </w:p>
    <w:p w14:paraId="2892F1C5">
      <w:pPr>
        <w:snapToGrid w:val="0"/>
        <w:spacing w:line="360" w:lineRule="auto"/>
        <w:outlineLvl w:val="3"/>
        <w:rPr>
          <w:color w:val="auto"/>
          <w:kern w:val="0"/>
          <w:sz w:val="24"/>
        </w:rPr>
      </w:pPr>
      <w:r>
        <w:rPr>
          <w:b/>
          <w:color w:val="auto"/>
          <w:kern w:val="0"/>
          <w:sz w:val="24"/>
        </w:rPr>
        <w:t>2.3.1.4地下水环境</w:t>
      </w:r>
      <w:r>
        <w:rPr>
          <w:b/>
          <w:color w:val="auto"/>
          <w:sz w:val="24"/>
        </w:rPr>
        <w:t>影响评价工作等级</w:t>
      </w:r>
    </w:p>
    <w:p w14:paraId="5EC9227D">
      <w:pPr>
        <w:pStyle w:val="24"/>
        <w:rPr>
          <w:rFonts w:hint="eastAsia" w:eastAsia="宋体"/>
          <w:color w:val="auto"/>
          <w:lang w:eastAsia="zh-CN"/>
        </w:rPr>
      </w:pPr>
      <w:r>
        <w:rPr>
          <w:rFonts w:hint="eastAsia"/>
          <w:color w:val="auto"/>
          <w:lang w:eastAsia="zh-CN"/>
        </w:rPr>
        <w:t>（</w:t>
      </w:r>
      <w:r>
        <w:rPr>
          <w:rFonts w:hint="eastAsia"/>
          <w:color w:val="auto"/>
          <w:lang w:val="en-US" w:eastAsia="zh-CN"/>
        </w:rPr>
        <w:t>1</w:t>
      </w:r>
      <w:r>
        <w:rPr>
          <w:rFonts w:hint="eastAsia"/>
          <w:color w:val="auto"/>
          <w:lang w:eastAsia="zh-CN"/>
        </w:rPr>
        <w:t>）评价工作等级</w:t>
      </w:r>
    </w:p>
    <w:p w14:paraId="322FEF70">
      <w:pPr>
        <w:pStyle w:val="24"/>
        <w:rPr>
          <w:color w:val="auto"/>
        </w:rPr>
      </w:pPr>
      <w:r>
        <w:rPr>
          <w:color w:val="auto"/>
        </w:rPr>
        <w:t>根据《环境影响评价技术导则 地下水环境》（HJ610-2016），确定本项目地下水环境影响评价等级。</w:t>
      </w:r>
    </w:p>
    <w:p w14:paraId="6062A0A3">
      <w:pPr>
        <w:pStyle w:val="24"/>
        <w:rPr>
          <w:color w:val="auto"/>
          <w:kern w:val="0"/>
          <w:szCs w:val="21"/>
        </w:rPr>
      </w:pPr>
      <w:r>
        <w:rPr>
          <w:color w:val="auto"/>
          <w:kern w:val="0"/>
          <w:szCs w:val="21"/>
        </w:rPr>
        <w:fldChar w:fldCharType="begin"/>
      </w:r>
      <w:r>
        <w:rPr>
          <w:color w:val="auto"/>
          <w:kern w:val="0"/>
          <w:szCs w:val="21"/>
        </w:rPr>
        <w:instrText xml:space="preserve"> = 1 \* GB3 </w:instrText>
      </w:r>
      <w:r>
        <w:rPr>
          <w:color w:val="auto"/>
          <w:kern w:val="0"/>
          <w:szCs w:val="21"/>
        </w:rPr>
        <w:fldChar w:fldCharType="separate"/>
      </w:r>
      <w:r>
        <w:rPr>
          <w:color w:val="auto"/>
          <w:kern w:val="0"/>
          <w:szCs w:val="21"/>
        </w:rPr>
        <w:t>①</w:t>
      </w:r>
      <w:r>
        <w:rPr>
          <w:color w:val="auto"/>
          <w:kern w:val="0"/>
          <w:szCs w:val="21"/>
        </w:rPr>
        <w:fldChar w:fldCharType="end"/>
      </w:r>
      <w:r>
        <w:rPr>
          <w:color w:val="auto"/>
          <w:kern w:val="0"/>
          <w:szCs w:val="21"/>
        </w:rPr>
        <w:t>地下水环境影响评价项目类别确定</w:t>
      </w:r>
    </w:p>
    <w:p w14:paraId="0BA8BDD7">
      <w:pPr>
        <w:pStyle w:val="24"/>
        <w:rPr>
          <w:color w:val="auto"/>
        </w:rPr>
      </w:pPr>
      <w:r>
        <w:rPr>
          <w:color w:val="auto"/>
          <w:kern w:val="0"/>
          <w:szCs w:val="21"/>
        </w:rPr>
        <w:t>根据附录A确定建设项目所属的地下水环境影响评价项目类别，本项目为畜禽养殖场、养殖小区类，编制环境影响报告书，地下水环境影响评价项目类别为</w:t>
      </w:r>
      <w:r>
        <w:rPr>
          <w:color w:val="auto"/>
        </w:rPr>
        <w:t>Ⅲ</w:t>
      </w:r>
      <w:r>
        <w:rPr>
          <w:color w:val="auto"/>
          <w:kern w:val="0"/>
          <w:szCs w:val="21"/>
        </w:rPr>
        <w:t>类。</w:t>
      </w:r>
    </w:p>
    <w:p w14:paraId="5B5F1864">
      <w:pPr>
        <w:pStyle w:val="24"/>
        <w:rPr>
          <w:color w:val="auto"/>
        </w:rPr>
      </w:pPr>
      <w:r>
        <w:rPr>
          <w:color w:val="auto"/>
        </w:rPr>
        <w:fldChar w:fldCharType="begin"/>
      </w:r>
      <w:r>
        <w:rPr>
          <w:color w:val="auto"/>
        </w:rPr>
        <w:instrText xml:space="preserve"> = 2 \* GB3 </w:instrText>
      </w:r>
      <w:r>
        <w:rPr>
          <w:color w:val="auto"/>
        </w:rPr>
        <w:fldChar w:fldCharType="separate"/>
      </w:r>
      <w:r>
        <w:rPr>
          <w:color w:val="auto"/>
        </w:rPr>
        <w:t>②</w:t>
      </w:r>
      <w:r>
        <w:rPr>
          <w:color w:val="auto"/>
        </w:rPr>
        <w:fldChar w:fldCharType="end"/>
      </w:r>
      <w:r>
        <w:rPr>
          <w:color w:val="auto"/>
        </w:rPr>
        <w:t>地下水敏感程度</w:t>
      </w:r>
    </w:p>
    <w:p w14:paraId="33F61CBD">
      <w:pPr>
        <w:pStyle w:val="24"/>
        <w:rPr>
          <w:color w:val="auto"/>
        </w:rPr>
      </w:pPr>
      <w:r>
        <w:rPr>
          <w:color w:val="auto"/>
        </w:rPr>
        <w:t>地下水环境敏感程度分级依据见表</w:t>
      </w:r>
      <w:r>
        <w:rPr>
          <w:rFonts w:hint="eastAsia"/>
          <w:color w:val="auto"/>
          <w:lang w:val="en-US" w:eastAsia="zh-CN"/>
        </w:rPr>
        <w:t>2.3-7</w:t>
      </w:r>
      <w:r>
        <w:rPr>
          <w:color w:val="auto"/>
        </w:rPr>
        <w:t>。</w:t>
      </w:r>
    </w:p>
    <w:p w14:paraId="252A978A">
      <w:pPr>
        <w:pStyle w:val="29"/>
        <w:ind w:firstLine="1857" w:firstLineChars="881"/>
        <w:rPr>
          <w:rFonts w:ascii="Times New Roman" w:hAnsi="Times New Roman"/>
          <w:b/>
          <w:color w:val="auto"/>
          <w:szCs w:val="21"/>
        </w:rPr>
      </w:pPr>
      <w:r>
        <w:rPr>
          <w:rFonts w:ascii="Times New Roman" w:hAnsi="Times New Roman"/>
          <w:b/>
          <w:color w:val="auto"/>
          <w:szCs w:val="21"/>
        </w:rPr>
        <w:t>表</w:t>
      </w:r>
      <w:r>
        <w:rPr>
          <w:rFonts w:hint="eastAsia" w:ascii="Times New Roman" w:hAnsi="Times New Roman"/>
          <w:b/>
          <w:color w:val="auto"/>
          <w:szCs w:val="21"/>
          <w:lang w:val="en-US" w:eastAsia="zh-CN"/>
        </w:rPr>
        <w:t xml:space="preserve">2.3-7 </w:t>
      </w:r>
      <w:r>
        <w:rPr>
          <w:rFonts w:hint="eastAsia" w:ascii="Times New Roman" w:hAnsi="Times New Roman"/>
          <w:b/>
          <w:color w:val="auto"/>
          <w:szCs w:val="21"/>
        </w:rPr>
        <w:t xml:space="preserve">  </w:t>
      </w:r>
      <w:r>
        <w:rPr>
          <w:rFonts w:ascii="Times New Roman" w:hAnsi="Times New Roman"/>
          <w:b/>
          <w:color w:val="auto"/>
          <w:szCs w:val="21"/>
        </w:rPr>
        <w:t xml:space="preserve"> 地下水环境敏感程度分级表</w:t>
      </w:r>
    </w:p>
    <w:tbl>
      <w:tblPr>
        <w:tblStyle w:val="53"/>
        <w:tblW w:w="0" w:type="auto"/>
        <w:jc w:val="center"/>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22"/>
        <w:gridCol w:w="7388"/>
      </w:tblGrid>
      <w:tr w14:paraId="52F027FA">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22" w:type="dxa"/>
            <w:vAlign w:val="center"/>
          </w:tcPr>
          <w:p w14:paraId="13F14543">
            <w:pPr>
              <w:jc w:val="center"/>
              <w:rPr>
                <w:b/>
                <w:color w:val="auto"/>
              </w:rPr>
            </w:pPr>
            <w:r>
              <w:rPr>
                <w:b/>
                <w:color w:val="auto"/>
              </w:rPr>
              <w:t>敏感程度</w:t>
            </w:r>
          </w:p>
        </w:tc>
        <w:tc>
          <w:tcPr>
            <w:tcW w:w="7388" w:type="dxa"/>
            <w:vAlign w:val="center"/>
          </w:tcPr>
          <w:p w14:paraId="1B7CC98D">
            <w:pPr>
              <w:jc w:val="center"/>
              <w:rPr>
                <w:b/>
                <w:color w:val="auto"/>
              </w:rPr>
            </w:pPr>
            <w:r>
              <w:rPr>
                <w:b/>
                <w:color w:val="auto"/>
              </w:rPr>
              <w:t>地下水环境敏感特征</w:t>
            </w:r>
          </w:p>
        </w:tc>
      </w:tr>
      <w:tr w14:paraId="2D55329B">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22" w:type="dxa"/>
            <w:vAlign w:val="center"/>
          </w:tcPr>
          <w:p w14:paraId="05E9F0EA">
            <w:pPr>
              <w:jc w:val="center"/>
              <w:rPr>
                <w:color w:val="auto"/>
              </w:rPr>
            </w:pPr>
            <w:r>
              <w:rPr>
                <w:color w:val="auto"/>
              </w:rPr>
              <w:t>敏感</w:t>
            </w:r>
          </w:p>
        </w:tc>
        <w:tc>
          <w:tcPr>
            <w:tcW w:w="7388" w:type="dxa"/>
            <w:vAlign w:val="center"/>
          </w:tcPr>
          <w:p w14:paraId="79142857">
            <w:pPr>
              <w:jc w:val="center"/>
              <w:rPr>
                <w:color w:val="auto"/>
              </w:rPr>
            </w:pPr>
            <w:r>
              <w:rPr>
                <w:color w:val="auto"/>
              </w:rPr>
              <w:t>集中式饮用水水源（包括已建成的在用、备用、应急水源，在建和规划的饮用水水源）准保护区；除集中式饮用水水源以外的国家或地方政府设定的与地下水环境相关的其它保护区，如热 水、矿泉水、温泉等特殊地下水资源保护区。</w:t>
            </w:r>
          </w:p>
        </w:tc>
      </w:tr>
      <w:tr w14:paraId="380B8B2C">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22" w:type="dxa"/>
            <w:vAlign w:val="center"/>
          </w:tcPr>
          <w:p w14:paraId="5FC31D23">
            <w:pPr>
              <w:jc w:val="center"/>
              <w:rPr>
                <w:color w:val="auto"/>
              </w:rPr>
            </w:pPr>
            <w:r>
              <w:rPr>
                <w:color w:val="auto"/>
              </w:rPr>
              <w:t>较敏感</w:t>
            </w:r>
          </w:p>
        </w:tc>
        <w:tc>
          <w:tcPr>
            <w:tcW w:w="7388" w:type="dxa"/>
            <w:vAlign w:val="center"/>
          </w:tcPr>
          <w:p w14:paraId="455A87F6">
            <w:pPr>
              <w:jc w:val="center"/>
              <w:rPr>
                <w:color w:val="auto"/>
              </w:rPr>
            </w:pPr>
            <w:r>
              <w:rPr>
                <w:color w:val="auto"/>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p>
        </w:tc>
      </w:tr>
      <w:tr w14:paraId="45B3FDD5">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22" w:type="dxa"/>
            <w:vAlign w:val="center"/>
          </w:tcPr>
          <w:p w14:paraId="5DD9A448">
            <w:pPr>
              <w:jc w:val="center"/>
              <w:rPr>
                <w:color w:val="auto"/>
              </w:rPr>
            </w:pPr>
            <w:r>
              <w:rPr>
                <w:color w:val="auto"/>
              </w:rPr>
              <w:t>不敏感</w:t>
            </w:r>
          </w:p>
        </w:tc>
        <w:tc>
          <w:tcPr>
            <w:tcW w:w="7388" w:type="dxa"/>
            <w:vAlign w:val="center"/>
          </w:tcPr>
          <w:p w14:paraId="5E703422">
            <w:pPr>
              <w:jc w:val="center"/>
              <w:rPr>
                <w:color w:val="auto"/>
              </w:rPr>
            </w:pPr>
            <w:r>
              <w:rPr>
                <w:color w:val="auto"/>
              </w:rPr>
              <w:t>上述地区之外的其它地区。</w:t>
            </w:r>
          </w:p>
        </w:tc>
      </w:tr>
      <w:tr w14:paraId="04A6E0BF">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310" w:type="dxa"/>
            <w:gridSpan w:val="2"/>
            <w:vAlign w:val="center"/>
          </w:tcPr>
          <w:p w14:paraId="18631574">
            <w:pPr>
              <w:jc w:val="center"/>
              <w:rPr>
                <w:color w:val="auto"/>
              </w:rPr>
            </w:pPr>
            <w:r>
              <w:rPr>
                <w:color w:val="auto"/>
              </w:rPr>
              <w:t>注：a“环境敏感区”是指《建设项目环境影响评价分类管理名录》中所界定的涉及地下水的环境敏感区。</w:t>
            </w:r>
          </w:p>
        </w:tc>
      </w:tr>
    </w:tbl>
    <w:p w14:paraId="0136778D">
      <w:pPr>
        <w:snapToGrid w:val="0"/>
        <w:spacing w:line="360" w:lineRule="auto"/>
        <w:ind w:firstLine="480" w:firstLineChars="200"/>
        <w:rPr>
          <w:color w:val="auto"/>
          <w:sz w:val="24"/>
        </w:rPr>
      </w:pPr>
      <w:r>
        <w:rPr>
          <w:color w:val="auto"/>
          <w:sz w:val="24"/>
          <w:lang w:bidi="ar"/>
        </w:rPr>
        <w:t>根据《分散式饮用水水源地环境保护指南(试行)》(环办[2010]132号)，项目附近的居民</w:t>
      </w:r>
      <w:r>
        <w:rPr>
          <w:rFonts w:hint="eastAsia"/>
          <w:color w:val="auto"/>
          <w:sz w:val="24"/>
          <w:lang w:eastAsia="zh-CN" w:bidi="ar"/>
        </w:rPr>
        <w:t>采用地下水井作为饮用水水源</w:t>
      </w:r>
      <w:r>
        <w:rPr>
          <w:color w:val="auto"/>
          <w:sz w:val="24"/>
          <w:lang w:bidi="ar"/>
        </w:rPr>
        <w:t>，属于分散式饮用水水源地区，所以地下水敏感程度等级为：</w:t>
      </w:r>
      <w:r>
        <w:rPr>
          <w:rFonts w:hint="eastAsia"/>
          <w:color w:val="auto"/>
          <w:sz w:val="24"/>
          <w:lang w:val="en-US" w:eastAsia="zh-CN" w:bidi="ar"/>
        </w:rPr>
        <w:t>较</w:t>
      </w:r>
      <w:r>
        <w:rPr>
          <w:color w:val="auto"/>
          <w:sz w:val="24"/>
          <w:lang w:bidi="ar"/>
        </w:rPr>
        <w:t>敏感。</w:t>
      </w:r>
    </w:p>
    <w:p w14:paraId="5D7EAF7B">
      <w:pPr>
        <w:autoSpaceDE w:val="0"/>
        <w:autoSpaceDN w:val="0"/>
        <w:adjustRightInd w:val="0"/>
        <w:spacing w:line="360" w:lineRule="auto"/>
        <w:ind w:firstLine="480" w:firstLineChars="200"/>
        <w:jc w:val="left"/>
        <w:rPr>
          <w:color w:val="auto"/>
          <w:kern w:val="0"/>
          <w:sz w:val="24"/>
        </w:rPr>
      </w:pPr>
      <w:r>
        <w:rPr>
          <w:color w:val="auto"/>
          <w:kern w:val="0"/>
          <w:sz w:val="24"/>
        </w:rPr>
        <w:fldChar w:fldCharType="begin"/>
      </w:r>
      <w:r>
        <w:rPr>
          <w:color w:val="auto"/>
          <w:kern w:val="0"/>
          <w:sz w:val="24"/>
        </w:rPr>
        <w:instrText xml:space="preserve"> = 3 \* GB3 </w:instrText>
      </w:r>
      <w:r>
        <w:rPr>
          <w:color w:val="auto"/>
          <w:kern w:val="0"/>
          <w:sz w:val="24"/>
        </w:rPr>
        <w:fldChar w:fldCharType="separate"/>
      </w:r>
      <w:r>
        <w:rPr>
          <w:color w:val="auto"/>
          <w:kern w:val="0"/>
          <w:sz w:val="24"/>
        </w:rPr>
        <w:t>③</w:t>
      </w:r>
      <w:r>
        <w:rPr>
          <w:color w:val="auto"/>
          <w:kern w:val="0"/>
          <w:sz w:val="24"/>
        </w:rPr>
        <w:fldChar w:fldCharType="end"/>
      </w:r>
      <w:r>
        <w:rPr>
          <w:color w:val="auto"/>
          <w:kern w:val="0"/>
          <w:sz w:val="24"/>
        </w:rPr>
        <w:t>评价工作等级确定</w:t>
      </w:r>
    </w:p>
    <w:p w14:paraId="17249DDF">
      <w:pPr>
        <w:pStyle w:val="24"/>
        <w:rPr>
          <w:color w:val="auto"/>
          <w:kern w:val="0"/>
          <w:szCs w:val="21"/>
        </w:rPr>
      </w:pPr>
      <w:r>
        <w:rPr>
          <w:color w:val="auto"/>
          <w:kern w:val="0"/>
          <w:szCs w:val="21"/>
        </w:rPr>
        <w:t>评价工作等级划分依据见表</w:t>
      </w:r>
      <w:r>
        <w:rPr>
          <w:rFonts w:hint="eastAsia"/>
          <w:color w:val="auto"/>
          <w:kern w:val="0"/>
          <w:szCs w:val="21"/>
          <w:lang w:val="en-US" w:eastAsia="zh-CN"/>
        </w:rPr>
        <w:t>2.3-8</w:t>
      </w:r>
      <w:r>
        <w:rPr>
          <w:color w:val="auto"/>
          <w:kern w:val="0"/>
          <w:szCs w:val="21"/>
        </w:rPr>
        <w:t>。</w:t>
      </w:r>
    </w:p>
    <w:p w14:paraId="1C0743DB">
      <w:pPr>
        <w:pStyle w:val="29"/>
        <w:jc w:val="center"/>
        <w:rPr>
          <w:rFonts w:ascii="Times New Roman" w:hAnsi="Times New Roman"/>
          <w:b/>
          <w:color w:val="auto"/>
          <w:szCs w:val="21"/>
        </w:rPr>
      </w:pPr>
      <w:r>
        <w:rPr>
          <w:rFonts w:ascii="Times New Roman" w:hAnsi="Times New Roman"/>
          <w:b/>
          <w:color w:val="auto"/>
          <w:szCs w:val="21"/>
        </w:rPr>
        <w:t>表</w:t>
      </w:r>
      <w:r>
        <w:rPr>
          <w:rFonts w:hint="eastAsia" w:ascii="Times New Roman" w:hAnsi="Times New Roman"/>
          <w:b/>
          <w:color w:val="auto"/>
          <w:szCs w:val="21"/>
          <w:lang w:val="en-US" w:eastAsia="zh-CN"/>
        </w:rPr>
        <w:t xml:space="preserve">2.3-8 </w:t>
      </w:r>
      <w:r>
        <w:rPr>
          <w:rFonts w:ascii="Times New Roman" w:hAnsi="Times New Roman"/>
          <w:b/>
          <w:color w:val="auto"/>
          <w:szCs w:val="21"/>
        </w:rPr>
        <w:t xml:space="preserve">   评价工作等级分级表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05"/>
        <w:gridCol w:w="1842"/>
        <w:gridCol w:w="1723"/>
        <w:gridCol w:w="2055"/>
      </w:tblGrid>
      <w:tr w14:paraId="3E2A85C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2905" w:type="dxa"/>
            <mc:AlternateContent>
              <mc:Choice Requires="wpsCustomData">
                <wpsCustomData:diagonals>
                  <wpsCustomData:diagonal from="10000" to="30000">
                    <wpsCustomData:border w:val="single" w:color="auto" w:sz="4" w:space="0"/>
                  </wpsCustomData:diagonal>
                </wpsCustomData:diagonals>
              </mc:Choice>
            </mc:AlternateContent>
          </w:tcPr>
          <w:p w14:paraId="2E3474FD">
            <w:pPr>
              <w:autoSpaceDE w:val="0"/>
              <w:autoSpaceDN w:val="0"/>
              <w:adjustRightInd w:val="0"/>
              <w:snapToGrid w:val="0"/>
              <w:ind w:right="-20"/>
              <w:jc w:val="left"/>
              <w:rPr>
                <w:b/>
                <w:color w:val="auto"/>
                <w:kern w:val="0"/>
                <w:szCs w:val="21"/>
              </w:rPr>
            </w:pPr>
          </w:p>
          <w:p w14:paraId="7DBB7A4C">
            <w:pPr>
              <w:autoSpaceDE w:val="0"/>
              <w:autoSpaceDN w:val="0"/>
              <w:adjustRightInd w:val="0"/>
              <w:ind w:right="-20"/>
              <w:jc w:val="right"/>
              <mc:AlternateContent>
                <mc:Choice Requires="wpsCustomData">
                  <wpsCustomData:diagonalParaType/>
                </mc:Choice>
              </mc:AlternateContent>
              <w:rPr>
                <w:b/>
                <w:color w:val="auto"/>
                <w:kern w:val="0"/>
                <w:szCs w:val="21"/>
              </w:rPr>
            </w:pPr>
            <w:r>
              <w:rPr>
                <w:b/>
                <w:color w:val="auto"/>
                <w:kern w:val="0"/>
                <w:position w:val="-2"/>
                <w:szCs w:val="21"/>
              </w:rPr>
              <w:t>项目类别</w:t>
            </w:r>
          </w:p>
          <w:p w14:paraId="5800BEC0">
            <w:pPr>
              <w:autoSpaceDE w:val="0"/>
              <w:autoSpaceDN w:val="0"/>
              <w:adjustRightInd w:val="0"/>
              <w:snapToGrid w:val="0"/>
              <w:ind w:right="-20"/>
              <w:jc w:val="left"/>
              <w:rPr>
                <w:b/>
                <w:color w:val="auto"/>
                <w:kern w:val="0"/>
                <w:szCs w:val="21"/>
              </w:rPr>
            </w:pPr>
            <w:r>
              <w:rPr>
                <w:b/>
                <w:color w:val="auto"/>
                <w:kern w:val="0"/>
                <w:szCs w:val="21"/>
              </w:rPr>
              <w:t>环境敏感程度</w:t>
            </w:r>
          </w:p>
          <w:p w14:paraId="24A9C6A9">
            <w:pPr>
              <w:autoSpaceDE w:val="0"/>
              <w:autoSpaceDN w:val="0"/>
              <w:adjustRightInd w:val="0"/>
              <w:ind w:right="-20"/>
              <w:jc w:val="left"/>
              <w:rPr>
                <w:b/>
                <w:color w:val="auto"/>
                <w:kern w:val="0"/>
                <w:szCs w:val="21"/>
              </w:rPr>
            </w:pPr>
          </w:p>
        </w:tc>
        <w:tc>
          <w:tcPr>
            <w:tcW w:w="1842" w:type="dxa"/>
            <w:vAlign w:val="center"/>
          </w:tcPr>
          <w:p w14:paraId="252A8C98">
            <w:pPr>
              <w:jc w:val="center"/>
              <w:rPr>
                <w:b/>
                <w:color w:val="auto"/>
              </w:rPr>
            </w:pPr>
            <w:r>
              <w:rPr>
                <w:b/>
                <w:color w:val="auto"/>
              </w:rPr>
              <w:t>Ⅰ类项目</w:t>
            </w:r>
          </w:p>
        </w:tc>
        <w:tc>
          <w:tcPr>
            <w:tcW w:w="1723" w:type="dxa"/>
            <w:vAlign w:val="center"/>
          </w:tcPr>
          <w:p w14:paraId="6B2846CB">
            <w:pPr>
              <w:jc w:val="center"/>
              <w:rPr>
                <w:b/>
                <w:color w:val="auto"/>
              </w:rPr>
            </w:pPr>
            <w:r>
              <w:rPr>
                <w:b/>
                <w:color w:val="auto"/>
              </w:rPr>
              <w:t>Ⅱ类项目</w:t>
            </w:r>
          </w:p>
        </w:tc>
        <w:tc>
          <w:tcPr>
            <w:tcW w:w="2055" w:type="dxa"/>
            <w:vAlign w:val="center"/>
          </w:tcPr>
          <w:p w14:paraId="2BDC8B21">
            <w:pPr>
              <w:jc w:val="center"/>
              <w:rPr>
                <w:b/>
                <w:color w:val="auto"/>
              </w:rPr>
            </w:pPr>
            <w:r>
              <w:rPr>
                <w:b/>
                <w:color w:val="auto"/>
              </w:rPr>
              <w:t>Ⅲ类项目</w:t>
            </w:r>
          </w:p>
        </w:tc>
      </w:tr>
      <w:tr w14:paraId="44D4031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5" w:type="dxa"/>
            <w:vAlign w:val="center"/>
          </w:tcPr>
          <w:p w14:paraId="532EDD38">
            <w:pPr>
              <w:jc w:val="center"/>
              <w:rPr>
                <w:color w:val="auto"/>
              </w:rPr>
            </w:pPr>
            <w:r>
              <w:rPr>
                <w:color w:val="auto"/>
              </w:rPr>
              <w:t>敏感</w:t>
            </w:r>
          </w:p>
        </w:tc>
        <w:tc>
          <w:tcPr>
            <w:tcW w:w="1842" w:type="dxa"/>
            <w:vAlign w:val="center"/>
          </w:tcPr>
          <w:p w14:paraId="1979D86F">
            <w:pPr>
              <w:jc w:val="center"/>
              <w:rPr>
                <w:color w:val="auto"/>
              </w:rPr>
            </w:pPr>
            <w:r>
              <w:rPr>
                <w:color w:val="auto"/>
              </w:rPr>
              <w:t>一</w:t>
            </w:r>
          </w:p>
        </w:tc>
        <w:tc>
          <w:tcPr>
            <w:tcW w:w="1723" w:type="dxa"/>
            <w:vAlign w:val="center"/>
          </w:tcPr>
          <w:p w14:paraId="332AA5A5">
            <w:pPr>
              <w:jc w:val="center"/>
              <w:rPr>
                <w:color w:val="auto"/>
              </w:rPr>
            </w:pPr>
            <w:r>
              <w:rPr>
                <w:color w:val="auto"/>
              </w:rPr>
              <w:t>一</w:t>
            </w:r>
          </w:p>
        </w:tc>
        <w:tc>
          <w:tcPr>
            <w:tcW w:w="2055" w:type="dxa"/>
            <w:vAlign w:val="center"/>
          </w:tcPr>
          <w:p w14:paraId="43D0A572">
            <w:pPr>
              <w:jc w:val="center"/>
              <w:rPr>
                <w:color w:val="auto"/>
              </w:rPr>
            </w:pPr>
            <w:r>
              <w:rPr>
                <w:color w:val="auto"/>
              </w:rPr>
              <w:t>二</w:t>
            </w:r>
          </w:p>
        </w:tc>
      </w:tr>
      <w:tr w14:paraId="6A169AF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5" w:type="dxa"/>
            <w:vAlign w:val="center"/>
          </w:tcPr>
          <w:p w14:paraId="554ABF70">
            <w:pPr>
              <w:jc w:val="center"/>
              <w:rPr>
                <w:color w:val="auto"/>
              </w:rPr>
            </w:pPr>
            <w:r>
              <w:rPr>
                <w:color w:val="auto"/>
              </w:rPr>
              <w:t>较敏感</w:t>
            </w:r>
          </w:p>
        </w:tc>
        <w:tc>
          <w:tcPr>
            <w:tcW w:w="1842" w:type="dxa"/>
            <w:vAlign w:val="center"/>
          </w:tcPr>
          <w:p w14:paraId="18C18170">
            <w:pPr>
              <w:jc w:val="center"/>
              <w:rPr>
                <w:color w:val="auto"/>
              </w:rPr>
            </w:pPr>
            <w:r>
              <w:rPr>
                <w:color w:val="auto"/>
              </w:rPr>
              <w:t>一</w:t>
            </w:r>
          </w:p>
        </w:tc>
        <w:tc>
          <w:tcPr>
            <w:tcW w:w="1723" w:type="dxa"/>
            <w:vAlign w:val="center"/>
          </w:tcPr>
          <w:p w14:paraId="17848A22">
            <w:pPr>
              <w:jc w:val="center"/>
              <w:rPr>
                <w:color w:val="auto"/>
              </w:rPr>
            </w:pPr>
            <w:r>
              <w:rPr>
                <w:color w:val="auto"/>
              </w:rPr>
              <w:t>二</w:t>
            </w:r>
          </w:p>
        </w:tc>
        <w:tc>
          <w:tcPr>
            <w:tcW w:w="2055" w:type="dxa"/>
            <w:vAlign w:val="center"/>
          </w:tcPr>
          <w:p w14:paraId="2E7CD76F">
            <w:pPr>
              <w:jc w:val="center"/>
              <w:rPr>
                <w:color w:val="auto"/>
              </w:rPr>
            </w:pPr>
            <w:r>
              <w:rPr>
                <w:b/>
                <w:bCs/>
                <w:color w:val="auto"/>
                <w:highlight w:val="red"/>
              </w:rPr>
              <w:t>三</w:t>
            </w:r>
          </w:p>
        </w:tc>
      </w:tr>
      <w:tr w14:paraId="52E0C4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5" w:type="dxa"/>
            <w:vAlign w:val="center"/>
          </w:tcPr>
          <w:p w14:paraId="10DC0527">
            <w:pPr>
              <w:jc w:val="center"/>
              <w:rPr>
                <w:color w:val="auto"/>
              </w:rPr>
            </w:pPr>
            <w:r>
              <w:rPr>
                <w:color w:val="auto"/>
              </w:rPr>
              <w:t>不敏感</w:t>
            </w:r>
          </w:p>
        </w:tc>
        <w:tc>
          <w:tcPr>
            <w:tcW w:w="1842" w:type="dxa"/>
            <w:vAlign w:val="center"/>
          </w:tcPr>
          <w:p w14:paraId="4A1DECC5">
            <w:pPr>
              <w:jc w:val="center"/>
              <w:rPr>
                <w:color w:val="auto"/>
              </w:rPr>
            </w:pPr>
            <w:r>
              <w:rPr>
                <w:color w:val="auto"/>
              </w:rPr>
              <w:t>二</w:t>
            </w:r>
          </w:p>
        </w:tc>
        <w:tc>
          <w:tcPr>
            <w:tcW w:w="1723" w:type="dxa"/>
            <w:vAlign w:val="center"/>
          </w:tcPr>
          <w:p w14:paraId="611DE18B">
            <w:pPr>
              <w:jc w:val="center"/>
              <w:rPr>
                <w:color w:val="auto"/>
              </w:rPr>
            </w:pPr>
            <w:r>
              <w:rPr>
                <w:color w:val="auto"/>
              </w:rPr>
              <w:t>三</w:t>
            </w:r>
          </w:p>
        </w:tc>
        <w:tc>
          <w:tcPr>
            <w:tcW w:w="2055" w:type="dxa"/>
            <w:vAlign w:val="center"/>
          </w:tcPr>
          <w:p w14:paraId="01FFA801">
            <w:pPr>
              <w:jc w:val="center"/>
              <w:rPr>
                <w:color w:val="auto"/>
              </w:rPr>
            </w:pPr>
            <w:r>
              <w:rPr>
                <w:color w:val="auto"/>
              </w:rPr>
              <w:t>三</w:t>
            </w:r>
          </w:p>
        </w:tc>
      </w:tr>
    </w:tbl>
    <w:p w14:paraId="662BC047">
      <w:pPr>
        <w:snapToGrid w:val="0"/>
        <w:spacing w:line="360" w:lineRule="auto"/>
        <w:ind w:firstLine="480" w:firstLineChars="200"/>
        <w:rPr>
          <w:color w:val="auto"/>
          <w:kern w:val="0"/>
          <w:sz w:val="24"/>
        </w:rPr>
      </w:pPr>
      <w:r>
        <w:rPr>
          <w:color w:val="auto"/>
          <w:kern w:val="0"/>
          <w:sz w:val="24"/>
        </w:rPr>
        <w:t>根据上表可知，本项目地下水评价等级为三级。</w:t>
      </w:r>
    </w:p>
    <w:p w14:paraId="3919A3A7">
      <w:pPr>
        <w:autoSpaceDE w:val="0"/>
        <w:autoSpaceDN w:val="0"/>
        <w:adjustRightInd w:val="0"/>
        <w:spacing w:line="360" w:lineRule="auto"/>
        <w:ind w:firstLine="480" w:firstLineChars="200"/>
        <w:jc w:val="left"/>
        <w:rPr>
          <w:color w:val="auto"/>
          <w:kern w:val="0"/>
          <w:sz w:val="24"/>
        </w:rPr>
      </w:pPr>
      <w:r>
        <w:rPr>
          <w:rFonts w:hint="eastAsia"/>
          <w:color w:val="auto"/>
          <w:kern w:val="0"/>
          <w:sz w:val="24"/>
          <w:lang w:eastAsia="zh-CN"/>
        </w:rPr>
        <w:t>（</w:t>
      </w:r>
      <w:r>
        <w:rPr>
          <w:rFonts w:hint="eastAsia"/>
          <w:color w:val="auto"/>
          <w:kern w:val="0"/>
          <w:sz w:val="24"/>
          <w:lang w:val="en-US" w:eastAsia="zh-CN"/>
        </w:rPr>
        <w:t>2</w:t>
      </w:r>
      <w:r>
        <w:rPr>
          <w:rFonts w:hint="eastAsia"/>
          <w:color w:val="auto"/>
          <w:kern w:val="0"/>
          <w:sz w:val="24"/>
          <w:lang w:eastAsia="zh-CN"/>
        </w:rPr>
        <w:t>）</w:t>
      </w:r>
      <w:r>
        <w:rPr>
          <w:color w:val="auto"/>
          <w:kern w:val="0"/>
          <w:sz w:val="24"/>
        </w:rPr>
        <w:t>评价</w:t>
      </w:r>
      <w:r>
        <w:rPr>
          <w:rFonts w:hint="eastAsia"/>
          <w:color w:val="auto"/>
          <w:kern w:val="0"/>
          <w:sz w:val="24"/>
          <w:lang w:eastAsia="zh-CN"/>
        </w:rPr>
        <w:t>范围</w:t>
      </w:r>
    </w:p>
    <w:p w14:paraId="20C056C2">
      <w:pPr>
        <w:snapToGrid w:val="0"/>
        <w:spacing w:line="360" w:lineRule="auto"/>
        <w:ind w:firstLine="480" w:firstLineChars="200"/>
        <w:rPr>
          <w:color w:val="auto"/>
          <w:kern w:val="0"/>
          <w:sz w:val="24"/>
        </w:rPr>
      </w:pPr>
      <w:r>
        <w:rPr>
          <w:rFonts w:hint="eastAsia"/>
          <w:color w:val="auto"/>
          <w:kern w:val="0"/>
          <w:sz w:val="24"/>
        </w:rPr>
        <w:t>本项目选址位于</w:t>
      </w:r>
      <w:r>
        <w:rPr>
          <w:rFonts w:hint="eastAsia"/>
          <w:color w:val="auto"/>
          <w:kern w:val="0"/>
          <w:sz w:val="24"/>
          <w:lang w:eastAsia="zh-CN"/>
        </w:rPr>
        <w:t>辽宁省朝阳市北票市西官镇大巴里村</w:t>
      </w:r>
      <w:r>
        <w:rPr>
          <w:rFonts w:hint="eastAsia"/>
          <w:color w:val="auto"/>
          <w:kern w:val="0"/>
          <w:sz w:val="24"/>
        </w:rPr>
        <w:t>，周围无名胜古迹、风景区及自然保护区等其他重要环境敏感点，项目区域地下水流向为自北向南运移。</w:t>
      </w:r>
    </w:p>
    <w:p w14:paraId="7C1622BB">
      <w:pPr>
        <w:snapToGrid w:val="0"/>
        <w:spacing w:line="360" w:lineRule="auto"/>
        <w:ind w:firstLine="480" w:firstLineChars="200"/>
        <w:rPr>
          <w:rFonts w:hint="eastAsia"/>
          <w:color w:val="auto"/>
          <w:kern w:val="0"/>
          <w:sz w:val="24"/>
        </w:rPr>
      </w:pPr>
      <w:r>
        <w:rPr>
          <w:rFonts w:hint="eastAsia"/>
          <w:color w:val="auto"/>
          <w:kern w:val="0"/>
          <w:sz w:val="24"/>
        </w:rPr>
        <w:t>根据《环境影响评价技术导则 地下水环境》（</w:t>
      </w:r>
      <w:r>
        <w:rPr>
          <w:color w:val="auto"/>
          <w:kern w:val="0"/>
          <w:sz w:val="24"/>
        </w:rPr>
        <w:t>HJ610-2016</w:t>
      </w:r>
      <w:r>
        <w:rPr>
          <w:rFonts w:hint="eastAsia"/>
          <w:color w:val="auto"/>
          <w:kern w:val="0"/>
          <w:sz w:val="24"/>
        </w:rPr>
        <w:t>）</w:t>
      </w:r>
      <w:r>
        <w:rPr>
          <w:rFonts w:hint="eastAsia"/>
          <w:color w:val="auto"/>
          <w:kern w:val="0"/>
          <w:sz w:val="24"/>
          <w:lang w:val="en-US" w:eastAsia="zh-CN"/>
        </w:rPr>
        <w:t>中的公式进行计算。</w:t>
      </w:r>
    </w:p>
    <w:p w14:paraId="26EC13E2">
      <w:pPr>
        <w:snapToGrid w:val="0"/>
        <w:spacing w:line="360" w:lineRule="auto"/>
        <w:ind w:firstLine="480" w:firstLineChars="200"/>
        <w:rPr>
          <w:rFonts w:hint="eastAsia"/>
          <w:color w:val="auto"/>
          <w:kern w:val="0"/>
          <w:sz w:val="24"/>
        </w:rPr>
      </w:pPr>
      <w:r>
        <w:rPr>
          <w:rFonts w:hint="eastAsia"/>
          <w:color w:val="auto"/>
          <w:kern w:val="0"/>
          <w:sz w:val="24"/>
          <w:lang w:val="en-US" w:eastAsia="zh-CN"/>
        </w:rPr>
        <w:t>L=a×K×I×T/ne</w:t>
      </w:r>
    </w:p>
    <w:p w14:paraId="1304A290">
      <w:pPr>
        <w:snapToGrid w:val="0"/>
        <w:spacing w:line="360" w:lineRule="auto"/>
        <w:ind w:firstLine="480" w:firstLineChars="200"/>
        <w:rPr>
          <w:rFonts w:hint="eastAsia"/>
          <w:color w:val="auto"/>
          <w:kern w:val="0"/>
          <w:sz w:val="24"/>
        </w:rPr>
      </w:pPr>
      <w:r>
        <w:rPr>
          <w:rFonts w:hint="eastAsia"/>
          <w:color w:val="auto"/>
          <w:kern w:val="0"/>
          <w:sz w:val="24"/>
          <w:lang w:val="en-US" w:eastAsia="zh-CN"/>
        </w:rPr>
        <w:t>式中：L——下游迁移距离，m；</w:t>
      </w:r>
    </w:p>
    <w:p w14:paraId="1211290F">
      <w:pPr>
        <w:snapToGrid w:val="0"/>
        <w:spacing w:line="360" w:lineRule="auto"/>
        <w:ind w:firstLine="480" w:firstLineChars="200"/>
        <w:rPr>
          <w:rFonts w:hint="eastAsia"/>
          <w:color w:val="auto"/>
          <w:kern w:val="0"/>
          <w:sz w:val="24"/>
        </w:rPr>
      </w:pPr>
      <w:r>
        <w:rPr>
          <w:rFonts w:hint="eastAsia"/>
          <w:color w:val="auto"/>
          <w:kern w:val="0"/>
          <w:sz w:val="24"/>
          <w:lang w:val="en-US" w:eastAsia="zh-CN"/>
        </w:rPr>
        <w:t>a——变化系数，a≥1，一般取2；</w:t>
      </w:r>
    </w:p>
    <w:p w14:paraId="6E3A5232">
      <w:pPr>
        <w:snapToGrid w:val="0"/>
        <w:spacing w:line="360" w:lineRule="auto"/>
        <w:ind w:firstLine="480" w:firstLineChars="200"/>
        <w:rPr>
          <w:rFonts w:hint="eastAsia"/>
          <w:color w:val="auto"/>
          <w:kern w:val="0"/>
          <w:sz w:val="24"/>
        </w:rPr>
      </w:pPr>
      <w:r>
        <w:rPr>
          <w:rFonts w:hint="eastAsia"/>
          <w:color w:val="auto"/>
          <w:kern w:val="0"/>
          <w:sz w:val="24"/>
          <w:lang w:val="en-US" w:eastAsia="zh-CN"/>
        </w:rPr>
        <w:t>K——渗透系数，m/d，引用《辽宁省地下水功能区划分方法与实践》中的数据19.28；</w:t>
      </w:r>
    </w:p>
    <w:p w14:paraId="69C3FF26">
      <w:pPr>
        <w:snapToGrid w:val="0"/>
        <w:spacing w:line="360" w:lineRule="auto"/>
        <w:ind w:firstLine="480" w:firstLineChars="200"/>
        <w:rPr>
          <w:rFonts w:hint="eastAsia"/>
          <w:color w:val="auto"/>
          <w:kern w:val="0"/>
          <w:sz w:val="24"/>
        </w:rPr>
      </w:pPr>
      <w:r>
        <w:rPr>
          <w:rFonts w:hint="eastAsia"/>
          <w:color w:val="auto"/>
          <w:kern w:val="0"/>
          <w:sz w:val="24"/>
          <w:lang w:val="en-US" w:eastAsia="zh-CN"/>
        </w:rPr>
        <w:t>I——水力坡度，无量纲，2.6‰；</w:t>
      </w:r>
    </w:p>
    <w:p w14:paraId="07B3A10F">
      <w:pPr>
        <w:snapToGrid w:val="0"/>
        <w:spacing w:line="360" w:lineRule="auto"/>
        <w:ind w:firstLine="480" w:firstLineChars="200"/>
        <w:rPr>
          <w:rFonts w:hint="eastAsia"/>
          <w:color w:val="auto"/>
          <w:kern w:val="0"/>
          <w:sz w:val="24"/>
        </w:rPr>
      </w:pPr>
      <w:r>
        <w:rPr>
          <w:rFonts w:hint="eastAsia"/>
          <w:color w:val="auto"/>
          <w:kern w:val="0"/>
          <w:sz w:val="24"/>
          <w:lang w:val="en-US" w:eastAsia="zh-CN"/>
        </w:rPr>
        <w:t>T——质点迁移天数，5000天；</w:t>
      </w:r>
    </w:p>
    <w:p w14:paraId="4E9A5383">
      <w:pPr>
        <w:snapToGrid w:val="0"/>
        <w:spacing w:line="360" w:lineRule="auto"/>
        <w:ind w:firstLine="480" w:firstLineChars="200"/>
        <w:rPr>
          <w:rFonts w:hint="eastAsia"/>
          <w:color w:val="auto"/>
          <w:kern w:val="0"/>
          <w:sz w:val="24"/>
        </w:rPr>
      </w:pPr>
      <w:r>
        <w:rPr>
          <w:rFonts w:hint="eastAsia"/>
          <w:color w:val="auto"/>
          <w:kern w:val="0"/>
          <w:sz w:val="24"/>
          <w:lang w:val="en-US" w:eastAsia="zh-CN"/>
        </w:rPr>
        <w:t>ne——有效孔隙度，无量纲，本次取0.33。</w:t>
      </w:r>
    </w:p>
    <w:p w14:paraId="1DDA05EC">
      <w:pPr>
        <w:snapToGrid w:val="0"/>
        <w:spacing w:line="360" w:lineRule="auto"/>
        <w:ind w:firstLine="480" w:firstLineChars="200"/>
        <w:rPr>
          <w:rFonts w:hint="eastAsia"/>
          <w:color w:val="auto"/>
          <w:kern w:val="0"/>
          <w:sz w:val="24"/>
        </w:rPr>
      </w:pPr>
      <w:r>
        <w:rPr>
          <w:rFonts w:hint="eastAsia"/>
          <w:color w:val="auto"/>
          <w:kern w:val="0"/>
          <w:sz w:val="24"/>
          <w:lang w:val="en-US" w:eastAsia="zh-CN"/>
        </w:rPr>
        <w:t>根据《环境影响评价技术导则-地下水环境》（HJ610-2016）计算出L=1519m，故本次地下水评价范围为：项目区下游L=1519m，上游及两侧各L/2=750km的范围，面积3.4km</w:t>
      </w:r>
      <w:r>
        <w:rPr>
          <w:rFonts w:hint="eastAsia"/>
          <w:color w:val="auto"/>
          <w:kern w:val="0"/>
          <w:sz w:val="24"/>
          <w:vertAlign w:val="superscript"/>
          <w:lang w:val="en-US" w:eastAsia="zh-CN"/>
        </w:rPr>
        <w:t>2</w:t>
      </w:r>
      <w:r>
        <w:rPr>
          <w:rFonts w:hint="eastAsia"/>
          <w:color w:val="auto"/>
          <w:kern w:val="0"/>
          <w:sz w:val="24"/>
          <w:lang w:val="en-US" w:eastAsia="zh-CN"/>
        </w:rPr>
        <w:t>范围内的潜水含水层为评价范围。</w:t>
      </w:r>
    </w:p>
    <w:p w14:paraId="62942D82">
      <w:pPr>
        <w:snapToGrid w:val="0"/>
        <w:spacing w:line="360" w:lineRule="auto"/>
        <w:outlineLvl w:val="3"/>
        <w:rPr>
          <w:color w:val="auto"/>
          <w:kern w:val="0"/>
          <w:sz w:val="24"/>
        </w:rPr>
      </w:pPr>
      <w:r>
        <w:rPr>
          <w:b/>
          <w:color w:val="auto"/>
          <w:sz w:val="24"/>
        </w:rPr>
        <w:t>2.3.1.5生态环境影响评价工作等级</w:t>
      </w:r>
    </w:p>
    <w:p w14:paraId="45B4BC93">
      <w:pPr>
        <w:spacing w:before="120" w:beforeLines="50"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）评价工作等级</w:t>
      </w:r>
    </w:p>
    <w:p w14:paraId="1FBAB152">
      <w:pPr>
        <w:spacing w:before="120" w:beforeLines="50" w:line="360" w:lineRule="auto"/>
        <w:ind w:firstLine="480" w:firstLineChars="200"/>
        <w:rPr>
          <w:color w:val="auto"/>
          <w:sz w:val="24"/>
        </w:rPr>
      </w:pPr>
      <w:r>
        <w:rPr>
          <w:rFonts w:hint="eastAsia"/>
          <w:color w:val="auto"/>
          <w:sz w:val="24"/>
        </w:rPr>
        <w:t>《环境影响评价技术导则-生态影响》（HJ19－2022）中依据影响区域的生态敏感性和影响程度，评价等级划分为一级、二级和三级，判断本项目生态环境评价等级。评价等级判定依据：</w:t>
      </w:r>
    </w:p>
    <w:p w14:paraId="3CE81BCC">
      <w:pPr>
        <w:spacing w:before="120" w:beforeLines="50" w:line="360" w:lineRule="auto"/>
        <w:ind w:firstLine="480" w:firstLineChars="200"/>
        <w:rPr>
          <w:color w:val="auto"/>
          <w:sz w:val="24"/>
        </w:rPr>
      </w:pPr>
      <w:r>
        <w:rPr>
          <w:rFonts w:hint="eastAsia"/>
          <w:color w:val="auto"/>
          <w:sz w:val="24"/>
        </w:rPr>
        <w:t>①涉及国家公园、自然保护区、世界自然遗产、重要生境时，评价等级为一级；</w:t>
      </w:r>
    </w:p>
    <w:p w14:paraId="31D242C1">
      <w:pPr>
        <w:spacing w:before="120" w:beforeLines="50" w:line="360" w:lineRule="auto"/>
        <w:ind w:firstLine="480" w:firstLineChars="200"/>
        <w:rPr>
          <w:rFonts w:hint="eastAsia"/>
          <w:color w:val="auto"/>
          <w:sz w:val="24"/>
        </w:rPr>
      </w:pPr>
      <w:r>
        <w:rPr>
          <w:rFonts w:hint="eastAsia"/>
          <w:color w:val="auto"/>
          <w:sz w:val="24"/>
        </w:rPr>
        <w:t>②涉及自然公园，评级等级为二级；</w:t>
      </w:r>
    </w:p>
    <w:p w14:paraId="154004BD">
      <w:pPr>
        <w:spacing w:before="120" w:beforeLines="50" w:line="360" w:lineRule="auto"/>
        <w:ind w:firstLine="480" w:firstLineChars="200"/>
        <w:rPr>
          <w:color w:val="auto"/>
          <w:sz w:val="24"/>
        </w:rPr>
      </w:pPr>
      <w:r>
        <w:rPr>
          <w:rFonts w:hint="eastAsia"/>
          <w:color w:val="auto"/>
          <w:sz w:val="24"/>
        </w:rPr>
        <w:t>③涉及生态保护红线时，评价等级不低于二级；</w:t>
      </w:r>
    </w:p>
    <w:p w14:paraId="19664C2C">
      <w:pPr>
        <w:spacing w:before="120" w:beforeLines="50" w:line="360" w:lineRule="auto"/>
        <w:ind w:firstLine="480" w:firstLineChars="200"/>
        <w:rPr>
          <w:color w:val="auto"/>
          <w:sz w:val="24"/>
        </w:rPr>
      </w:pPr>
      <w:r>
        <w:rPr>
          <w:rFonts w:hint="eastAsia"/>
          <w:color w:val="auto"/>
          <w:sz w:val="24"/>
        </w:rPr>
        <w:t>④根据HJ2.3判定属于水文要素影响型且地表水评价等级不低于二级的建设项目，生态评价等级不低于二级；</w:t>
      </w:r>
    </w:p>
    <w:p w14:paraId="5381B35A">
      <w:pPr>
        <w:spacing w:before="120" w:beforeLines="50" w:line="360" w:lineRule="auto"/>
        <w:ind w:firstLine="480" w:firstLineChars="200"/>
        <w:rPr>
          <w:color w:val="auto"/>
          <w:sz w:val="24"/>
        </w:rPr>
      </w:pPr>
      <w:r>
        <w:rPr>
          <w:rFonts w:hint="eastAsia"/>
          <w:color w:val="auto"/>
          <w:sz w:val="24"/>
        </w:rPr>
        <w:t>⑤根据HJ610、HJ964判定地下水水位或土壤影响范围内分布有天然林、公益林、湿地等生态保护目标的建设项目，生态评价等级不低于二级；</w:t>
      </w:r>
    </w:p>
    <w:p w14:paraId="649BA04F">
      <w:pPr>
        <w:spacing w:before="120" w:beforeLines="50" w:line="360" w:lineRule="auto"/>
        <w:ind w:firstLine="480" w:firstLineChars="200"/>
        <w:rPr>
          <w:color w:val="auto"/>
          <w:sz w:val="24"/>
        </w:rPr>
      </w:pPr>
      <w:r>
        <w:rPr>
          <w:rFonts w:hint="eastAsia"/>
          <w:color w:val="auto"/>
          <w:sz w:val="24"/>
        </w:rPr>
        <w:t>⑥当工程占地规模大于20km</w:t>
      </w:r>
      <w:r>
        <w:rPr>
          <w:rFonts w:hint="eastAsia"/>
          <w:color w:val="auto"/>
          <w:sz w:val="24"/>
          <w:vertAlign w:val="superscript"/>
        </w:rPr>
        <w:t>2</w:t>
      </w:r>
      <w:r>
        <w:rPr>
          <w:rFonts w:hint="eastAsia"/>
          <w:color w:val="auto"/>
          <w:sz w:val="24"/>
        </w:rPr>
        <w:t>时（包括永久和临时占用陆域和水域），评价等级不低于二级；改扩建项目的占地范围以新增占地（包括陆域和水域）确定；</w:t>
      </w:r>
    </w:p>
    <w:p w14:paraId="0755C7D8">
      <w:pPr>
        <w:spacing w:before="120" w:beforeLines="50" w:line="360" w:lineRule="auto"/>
        <w:ind w:firstLine="480" w:firstLineChars="200"/>
        <w:rPr>
          <w:color w:val="auto"/>
          <w:sz w:val="24"/>
        </w:rPr>
      </w:pPr>
      <w:r>
        <w:rPr>
          <w:rFonts w:hint="eastAsia"/>
          <w:color w:val="auto"/>
          <w:sz w:val="24"/>
        </w:rPr>
        <w:t>⑦除本条①、②、③、④、⑤、⑥以外的情况，评价等级为三级。</w:t>
      </w:r>
    </w:p>
    <w:p w14:paraId="1A7E6918">
      <w:pPr>
        <w:snapToGrid w:val="0"/>
        <w:spacing w:line="360" w:lineRule="auto"/>
        <w:ind w:firstLine="480" w:firstLineChars="200"/>
        <w:rPr>
          <w:rFonts w:hint="eastAsia"/>
          <w:color w:val="auto"/>
          <w:sz w:val="24"/>
          <w:lang w:eastAsia="zh-CN"/>
        </w:rPr>
      </w:pPr>
      <w:r>
        <w:rPr>
          <w:rFonts w:hint="eastAsia"/>
          <w:color w:val="auto"/>
          <w:kern w:val="0"/>
          <w:sz w:val="24"/>
        </w:rPr>
        <w:t>本项目为蛋鸡养殖项目，选址位于</w:t>
      </w:r>
      <w:r>
        <w:rPr>
          <w:rFonts w:hint="eastAsia"/>
          <w:color w:val="auto"/>
          <w:kern w:val="0"/>
          <w:sz w:val="24"/>
          <w:lang w:eastAsia="zh-CN"/>
        </w:rPr>
        <w:t>辽宁省朝阳市北票市西官镇大巴里村</w:t>
      </w:r>
      <w:r>
        <w:rPr>
          <w:rFonts w:hint="eastAsia"/>
          <w:color w:val="auto"/>
          <w:kern w:val="0"/>
          <w:sz w:val="24"/>
        </w:rPr>
        <w:t>，</w:t>
      </w:r>
      <w:r>
        <w:rPr>
          <w:rFonts w:hint="eastAsia"/>
          <w:color w:val="auto"/>
          <w:kern w:val="0"/>
          <w:sz w:val="24"/>
          <w:lang w:eastAsia="zh-CN"/>
        </w:rPr>
        <w:t>项目所在区域不涉及</w:t>
      </w:r>
      <w:r>
        <w:rPr>
          <w:rFonts w:hint="eastAsia"/>
          <w:color w:val="auto"/>
          <w:sz w:val="24"/>
        </w:rPr>
        <w:t>国家公园、自然保护区、世界自然遗产、重要生境</w:t>
      </w:r>
      <w:r>
        <w:rPr>
          <w:rFonts w:hint="eastAsia"/>
          <w:color w:val="auto"/>
          <w:sz w:val="24"/>
          <w:lang w:eastAsia="zh-CN"/>
        </w:rPr>
        <w:t>，不</w:t>
      </w:r>
      <w:r>
        <w:rPr>
          <w:rFonts w:hint="eastAsia"/>
          <w:color w:val="auto"/>
          <w:sz w:val="24"/>
        </w:rPr>
        <w:t>涉及自然公园</w:t>
      </w:r>
      <w:r>
        <w:rPr>
          <w:rFonts w:hint="eastAsia"/>
          <w:color w:val="auto"/>
          <w:sz w:val="24"/>
          <w:lang w:eastAsia="zh-CN"/>
        </w:rPr>
        <w:t>，不</w:t>
      </w:r>
      <w:r>
        <w:rPr>
          <w:rFonts w:hint="eastAsia"/>
          <w:color w:val="auto"/>
          <w:sz w:val="24"/>
        </w:rPr>
        <w:t>涉及生态保护红线</w:t>
      </w:r>
      <w:r>
        <w:rPr>
          <w:rFonts w:hint="eastAsia"/>
          <w:color w:val="auto"/>
          <w:sz w:val="24"/>
          <w:lang w:eastAsia="zh-CN"/>
        </w:rPr>
        <w:t>，不涉及地表水水文影响型二级及以上评价等级，地下水水位影响范围及土壤影响范围内无</w:t>
      </w:r>
      <w:r>
        <w:rPr>
          <w:rFonts w:hint="eastAsia"/>
          <w:color w:val="auto"/>
          <w:sz w:val="24"/>
        </w:rPr>
        <w:t>天然林、公益林、湿地等生态保护目标</w:t>
      </w:r>
      <w:r>
        <w:rPr>
          <w:rFonts w:hint="eastAsia"/>
          <w:color w:val="auto"/>
          <w:sz w:val="24"/>
          <w:lang w:eastAsia="zh-CN"/>
        </w:rPr>
        <w:t>，项目</w:t>
      </w:r>
      <w:r>
        <w:rPr>
          <w:rFonts w:hint="eastAsia"/>
          <w:color w:val="auto"/>
          <w:kern w:val="0"/>
          <w:sz w:val="24"/>
        </w:rPr>
        <w:t>总占地面积为</w:t>
      </w:r>
      <w:r>
        <w:rPr>
          <w:rFonts w:hint="eastAsia"/>
          <w:color w:val="auto"/>
          <w:kern w:val="0"/>
          <w:sz w:val="24"/>
          <w:lang w:val="en-US" w:eastAsia="zh-CN"/>
        </w:rPr>
        <w:t>78234.55</w:t>
      </w:r>
      <w:r>
        <w:rPr>
          <w:rFonts w:hint="eastAsia"/>
          <w:color w:val="auto"/>
          <w:kern w:val="0"/>
          <w:sz w:val="24"/>
          <w:lang w:eastAsia="zh-CN"/>
        </w:rPr>
        <w:t>m</w:t>
      </w:r>
      <w:r>
        <w:rPr>
          <w:rFonts w:hint="eastAsia"/>
          <w:color w:val="auto"/>
          <w:kern w:val="0"/>
          <w:sz w:val="24"/>
          <w:vertAlign w:val="superscript"/>
        </w:rPr>
        <w:t>2</w:t>
      </w:r>
      <w:r>
        <w:rPr>
          <w:rFonts w:hint="eastAsia"/>
          <w:color w:val="auto"/>
          <w:kern w:val="0"/>
          <w:sz w:val="24"/>
          <w:lang w:eastAsia="zh-CN"/>
        </w:rPr>
        <w:t>小</w:t>
      </w:r>
      <w:r>
        <w:rPr>
          <w:rFonts w:hint="eastAsia"/>
          <w:color w:val="auto"/>
          <w:sz w:val="24"/>
        </w:rPr>
        <w:t>于20km</w:t>
      </w:r>
      <w:r>
        <w:rPr>
          <w:rFonts w:hint="eastAsia"/>
          <w:color w:val="auto"/>
          <w:sz w:val="24"/>
          <w:vertAlign w:val="superscript"/>
        </w:rPr>
        <w:t>2</w:t>
      </w:r>
      <w:r>
        <w:rPr>
          <w:rFonts w:hint="eastAsia"/>
          <w:color w:val="auto"/>
          <w:sz w:val="24"/>
          <w:vertAlign w:val="baseline"/>
          <w:lang w:eastAsia="zh-CN"/>
        </w:rPr>
        <w:t>，</w:t>
      </w:r>
      <w:r>
        <w:rPr>
          <w:rFonts w:hint="eastAsia"/>
          <w:color w:val="auto"/>
          <w:kern w:val="0"/>
          <w:sz w:val="24"/>
          <w:lang w:eastAsia="zh-CN"/>
        </w:rPr>
        <w:t>因此本项目符合</w:t>
      </w:r>
      <w:r>
        <w:rPr>
          <w:rFonts w:hint="eastAsia"/>
          <w:color w:val="auto"/>
          <w:sz w:val="24"/>
        </w:rPr>
        <w:t>⑦</w:t>
      </w:r>
      <w:r>
        <w:rPr>
          <w:rFonts w:hint="eastAsia"/>
          <w:color w:val="auto"/>
          <w:sz w:val="24"/>
          <w:lang w:eastAsia="zh-CN"/>
        </w:rPr>
        <w:t>条规定，生态影响评价等级为三级。</w:t>
      </w:r>
    </w:p>
    <w:p w14:paraId="0F074952">
      <w:pPr>
        <w:snapToGrid w:val="0"/>
        <w:spacing w:line="360" w:lineRule="auto"/>
        <w:ind w:firstLine="480" w:firstLineChars="200"/>
        <w:rPr>
          <w:rFonts w:hint="eastAsia" w:ascii="Times New Roman" w:hAnsi="Times New Roman" w:eastAsia="宋体" w:cs="Times New Roman"/>
          <w:color w:val="auto"/>
          <w:kern w:val="0"/>
          <w:sz w:val="24"/>
          <w:lang w:eastAsia="zh-CN"/>
        </w:rPr>
      </w:pPr>
      <w:r>
        <w:rPr>
          <w:rFonts w:hint="eastAsia" w:ascii="Times New Roman" w:hAnsi="Times New Roman" w:eastAsia="宋体" w:cs="Times New Roman"/>
          <w:color w:val="auto"/>
          <w:kern w:val="0"/>
          <w:sz w:val="24"/>
          <w:lang w:eastAsia="zh-CN"/>
        </w:rPr>
        <w:t>（</w:t>
      </w:r>
      <w:r>
        <w:rPr>
          <w:rFonts w:hint="eastAsia" w:ascii="Times New Roman" w:hAnsi="Times New Roman" w:eastAsia="宋体" w:cs="Times New Roman"/>
          <w:color w:val="auto"/>
          <w:kern w:val="0"/>
          <w:sz w:val="24"/>
          <w:lang w:val="en-US" w:eastAsia="zh-CN"/>
        </w:rPr>
        <w:t>2</w:t>
      </w:r>
      <w:r>
        <w:rPr>
          <w:rFonts w:hint="eastAsia" w:ascii="Times New Roman" w:hAnsi="Times New Roman" w:eastAsia="宋体" w:cs="Times New Roman"/>
          <w:color w:val="auto"/>
          <w:kern w:val="0"/>
          <w:sz w:val="24"/>
          <w:lang w:eastAsia="zh-CN"/>
        </w:rPr>
        <w:t>）评价范围</w:t>
      </w:r>
    </w:p>
    <w:p w14:paraId="3FC976EA">
      <w:pPr>
        <w:snapToGrid w:val="0"/>
        <w:spacing w:line="360" w:lineRule="auto"/>
        <w:ind w:firstLine="480" w:firstLineChars="200"/>
        <w:rPr>
          <w:rFonts w:hint="default"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rPr>
        <w:t xml:space="preserve">根据《环境影响评价技术导则 </w:t>
      </w:r>
      <w:r>
        <w:rPr>
          <w:rFonts w:hint="eastAsia" w:ascii="Times New Roman" w:hAnsi="Times New Roman" w:eastAsia="宋体" w:cs="Times New Roman"/>
          <w:color w:val="auto"/>
          <w:kern w:val="0"/>
          <w:sz w:val="24"/>
          <w:lang w:eastAsia="zh-CN"/>
        </w:rPr>
        <w:t>生态影响</w:t>
      </w:r>
      <w:r>
        <w:rPr>
          <w:rFonts w:hint="eastAsia" w:ascii="Times New Roman" w:hAnsi="Times New Roman" w:eastAsia="宋体" w:cs="Times New Roman"/>
          <w:color w:val="auto"/>
          <w:kern w:val="0"/>
          <w:sz w:val="24"/>
        </w:rPr>
        <w:t>》（HJ</w:t>
      </w:r>
      <w:r>
        <w:rPr>
          <w:rFonts w:hint="eastAsia" w:ascii="Times New Roman" w:hAnsi="Times New Roman" w:eastAsia="宋体" w:cs="Times New Roman"/>
          <w:color w:val="auto"/>
          <w:kern w:val="0"/>
          <w:sz w:val="24"/>
          <w:lang w:val="en-US" w:eastAsia="zh-CN"/>
        </w:rPr>
        <w:t>19</w:t>
      </w:r>
      <w:r>
        <w:rPr>
          <w:rFonts w:hint="eastAsia" w:ascii="Times New Roman" w:hAnsi="Times New Roman" w:eastAsia="宋体" w:cs="Times New Roman"/>
          <w:color w:val="auto"/>
          <w:kern w:val="0"/>
          <w:sz w:val="24"/>
        </w:rPr>
        <w:t>-20</w:t>
      </w:r>
      <w:r>
        <w:rPr>
          <w:rFonts w:hint="eastAsia" w:ascii="Times New Roman" w:hAnsi="Times New Roman" w:eastAsia="宋体" w:cs="Times New Roman"/>
          <w:color w:val="auto"/>
          <w:kern w:val="0"/>
          <w:sz w:val="24"/>
          <w:lang w:val="en-US" w:eastAsia="zh-CN"/>
        </w:rPr>
        <w:t>22</w:t>
      </w:r>
      <w:r>
        <w:rPr>
          <w:rFonts w:hint="eastAsia" w:ascii="Times New Roman" w:hAnsi="Times New Roman" w:eastAsia="宋体" w:cs="Times New Roman"/>
          <w:color w:val="auto"/>
          <w:kern w:val="0"/>
          <w:sz w:val="24"/>
        </w:rPr>
        <w:t>）</w:t>
      </w:r>
      <w:r>
        <w:rPr>
          <w:rFonts w:hint="eastAsia" w:ascii="Times New Roman" w:hAnsi="Times New Roman" w:eastAsia="宋体" w:cs="Times New Roman"/>
          <w:color w:val="auto"/>
          <w:kern w:val="0"/>
          <w:sz w:val="24"/>
          <w:lang w:eastAsia="zh-CN"/>
        </w:rPr>
        <w:t>中“</w:t>
      </w:r>
      <w:r>
        <w:rPr>
          <w:rFonts w:hint="eastAsia" w:ascii="Times New Roman" w:hAnsi="Times New Roman" w:eastAsia="宋体" w:cs="Times New Roman"/>
          <w:color w:val="auto"/>
          <w:kern w:val="0"/>
          <w:sz w:val="24"/>
          <w:lang w:val="en-US" w:eastAsia="zh-CN"/>
        </w:rPr>
        <w:t>6.2.8 污染影响类建设项目评价范围应涵盖直接占用区域及污染物排放产生的间接生态影响区域</w:t>
      </w:r>
      <w:r>
        <w:rPr>
          <w:rFonts w:hint="eastAsia" w:ascii="Times New Roman" w:hAnsi="Times New Roman" w:eastAsia="宋体" w:cs="Times New Roman"/>
          <w:color w:val="auto"/>
          <w:kern w:val="0"/>
          <w:sz w:val="24"/>
          <w:lang w:eastAsia="zh-CN"/>
        </w:rPr>
        <w:t>”，确定本次生态影响评价范围为厂区占地范围及厂区外</w:t>
      </w:r>
      <w:r>
        <w:rPr>
          <w:rFonts w:hint="eastAsia" w:ascii="Times New Roman" w:hAnsi="Times New Roman" w:eastAsia="宋体" w:cs="Times New Roman"/>
          <w:color w:val="auto"/>
          <w:kern w:val="0"/>
          <w:sz w:val="24"/>
          <w:lang w:val="en-US" w:eastAsia="zh-CN"/>
        </w:rPr>
        <w:t>500m范围。</w:t>
      </w:r>
    </w:p>
    <w:p w14:paraId="1CFC4981">
      <w:pPr>
        <w:snapToGrid w:val="0"/>
        <w:spacing w:line="360" w:lineRule="auto"/>
        <w:outlineLvl w:val="3"/>
        <w:rPr>
          <w:b/>
          <w:color w:val="auto"/>
          <w:sz w:val="24"/>
        </w:rPr>
      </w:pPr>
      <w:r>
        <w:rPr>
          <w:b/>
          <w:color w:val="auto"/>
          <w:sz w:val="24"/>
        </w:rPr>
        <w:t>2.3.1</w:t>
      </w:r>
      <w:r>
        <w:rPr>
          <w:rFonts w:hint="eastAsia"/>
          <w:b/>
          <w:color w:val="auto"/>
          <w:sz w:val="24"/>
        </w:rPr>
        <w:t>.</w:t>
      </w:r>
      <w:r>
        <w:rPr>
          <w:b/>
          <w:color w:val="auto"/>
          <w:sz w:val="24"/>
        </w:rPr>
        <w:t>6环境风险评价工作等级</w:t>
      </w:r>
    </w:p>
    <w:p w14:paraId="4898D400">
      <w:pPr>
        <w:snapToGrid w:val="0"/>
        <w:spacing w:line="360" w:lineRule="auto"/>
        <w:ind w:firstLine="480" w:firstLineChars="200"/>
        <w:rPr>
          <w:color w:val="auto"/>
          <w:kern w:val="0"/>
          <w:sz w:val="24"/>
        </w:rPr>
      </w:pPr>
      <w:r>
        <w:rPr>
          <w:color w:val="auto"/>
          <w:kern w:val="0"/>
          <w:sz w:val="24"/>
        </w:rPr>
        <w:t>根据《建设项目环境风险评价技术导则》（HJ169-2018），环境风险评价等级根据表</w:t>
      </w:r>
      <w:r>
        <w:rPr>
          <w:rFonts w:hint="eastAsia"/>
          <w:color w:val="auto"/>
          <w:kern w:val="0"/>
          <w:sz w:val="24"/>
          <w:lang w:val="en-US" w:eastAsia="zh-CN"/>
        </w:rPr>
        <w:t>2.3-9</w:t>
      </w:r>
      <w:r>
        <w:rPr>
          <w:color w:val="auto"/>
          <w:kern w:val="0"/>
          <w:sz w:val="24"/>
        </w:rPr>
        <w:t>进行划分。</w:t>
      </w:r>
    </w:p>
    <w:p w14:paraId="5A12B45C">
      <w:pPr>
        <w:jc w:val="center"/>
        <w:rPr>
          <w:b/>
          <w:color w:val="auto"/>
          <w:szCs w:val="22"/>
        </w:rPr>
      </w:pPr>
      <w:r>
        <w:rPr>
          <w:b/>
          <w:color w:val="auto"/>
          <w:szCs w:val="22"/>
        </w:rPr>
        <w:t>表</w:t>
      </w:r>
      <w:r>
        <w:rPr>
          <w:rFonts w:hint="eastAsia"/>
          <w:b/>
          <w:color w:val="auto"/>
          <w:szCs w:val="22"/>
          <w:lang w:val="en-US" w:eastAsia="zh-CN"/>
        </w:rPr>
        <w:t xml:space="preserve">2.3-9  </w:t>
      </w:r>
      <w:r>
        <w:rPr>
          <w:rFonts w:hint="eastAsia"/>
          <w:b/>
          <w:color w:val="auto"/>
          <w:szCs w:val="22"/>
        </w:rPr>
        <w:t xml:space="preserve"> </w:t>
      </w:r>
      <w:r>
        <w:rPr>
          <w:b/>
          <w:color w:val="auto"/>
          <w:szCs w:val="22"/>
        </w:rPr>
        <w:t xml:space="preserve"> 环境评价等级划分表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1703"/>
        <w:gridCol w:w="1703"/>
        <w:gridCol w:w="1703"/>
        <w:gridCol w:w="1713"/>
      </w:tblGrid>
      <w:tr w14:paraId="1F8A4F9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dxa"/>
            <w:tcBorders>
              <w:top w:val="double" w:color="auto" w:sz="4" w:space="0"/>
              <w:left w:val="nil"/>
              <w:bottom w:val="single" w:color="auto" w:sz="4" w:space="0"/>
              <w:right w:val="single" w:color="auto" w:sz="4" w:space="0"/>
            </w:tcBorders>
            <w:vAlign w:val="center"/>
          </w:tcPr>
          <w:p w14:paraId="048EAB7D">
            <w:pPr>
              <w:jc w:val="center"/>
              <w:rPr>
                <w:color w:val="auto"/>
                <w:szCs w:val="21"/>
              </w:rPr>
            </w:pPr>
            <w:r>
              <w:rPr>
                <w:color w:val="auto"/>
                <w:szCs w:val="21"/>
              </w:rPr>
              <w:t>环境风险潜势</w:t>
            </w:r>
          </w:p>
        </w:tc>
        <w:tc>
          <w:tcPr>
            <w:tcW w:w="1703" w:type="dxa"/>
            <w:tcBorders>
              <w:top w:val="double" w:color="auto" w:sz="4" w:space="0"/>
              <w:left w:val="single" w:color="auto" w:sz="4" w:space="0"/>
              <w:bottom w:val="single" w:color="auto" w:sz="4" w:space="0"/>
              <w:right w:val="single" w:color="auto" w:sz="4" w:space="0"/>
            </w:tcBorders>
            <w:vAlign w:val="center"/>
          </w:tcPr>
          <w:p w14:paraId="6AFFD983">
            <w:pPr>
              <w:jc w:val="center"/>
              <w:rPr>
                <w:color w:val="auto"/>
                <w:szCs w:val="21"/>
              </w:rPr>
            </w:pPr>
            <w:r>
              <w:rPr>
                <w:color w:val="auto"/>
                <w:szCs w:val="21"/>
              </w:rPr>
              <w:t>Ⅳ、Ⅳ</w:t>
            </w:r>
            <w:r>
              <w:rPr>
                <w:color w:val="auto"/>
                <w:szCs w:val="21"/>
                <w:vertAlign w:val="superscript"/>
              </w:rPr>
              <w:t>+</w:t>
            </w:r>
          </w:p>
        </w:tc>
        <w:tc>
          <w:tcPr>
            <w:tcW w:w="1703" w:type="dxa"/>
            <w:tcBorders>
              <w:top w:val="double" w:color="auto" w:sz="4" w:space="0"/>
              <w:left w:val="single" w:color="auto" w:sz="4" w:space="0"/>
              <w:bottom w:val="single" w:color="auto" w:sz="4" w:space="0"/>
              <w:right w:val="single" w:color="auto" w:sz="4" w:space="0"/>
            </w:tcBorders>
            <w:vAlign w:val="center"/>
          </w:tcPr>
          <w:p w14:paraId="075BB59E">
            <w:pPr>
              <w:jc w:val="center"/>
              <w:rPr>
                <w:color w:val="auto"/>
                <w:szCs w:val="21"/>
              </w:rPr>
            </w:pPr>
            <w:r>
              <w:rPr>
                <w:color w:val="auto"/>
                <w:szCs w:val="21"/>
              </w:rPr>
              <w:t>Ⅲ</w:t>
            </w:r>
          </w:p>
        </w:tc>
        <w:tc>
          <w:tcPr>
            <w:tcW w:w="1703" w:type="dxa"/>
            <w:tcBorders>
              <w:top w:val="double" w:color="auto" w:sz="4" w:space="0"/>
              <w:left w:val="single" w:color="auto" w:sz="4" w:space="0"/>
              <w:bottom w:val="single" w:color="auto" w:sz="4" w:space="0"/>
              <w:right w:val="single" w:color="auto" w:sz="4" w:space="0"/>
            </w:tcBorders>
            <w:vAlign w:val="center"/>
          </w:tcPr>
          <w:p w14:paraId="2CBC62A7">
            <w:pPr>
              <w:jc w:val="center"/>
              <w:rPr>
                <w:color w:val="auto"/>
                <w:szCs w:val="21"/>
              </w:rPr>
            </w:pPr>
            <w:r>
              <w:rPr>
                <w:color w:val="auto"/>
                <w:szCs w:val="21"/>
              </w:rPr>
              <w:t>Ⅱ</w:t>
            </w:r>
          </w:p>
        </w:tc>
        <w:tc>
          <w:tcPr>
            <w:tcW w:w="1713" w:type="dxa"/>
            <w:tcBorders>
              <w:top w:val="double" w:color="auto" w:sz="4" w:space="0"/>
              <w:left w:val="single" w:color="auto" w:sz="4" w:space="0"/>
              <w:bottom w:val="single" w:color="auto" w:sz="4" w:space="0"/>
              <w:right w:val="nil"/>
            </w:tcBorders>
            <w:vAlign w:val="center"/>
          </w:tcPr>
          <w:p w14:paraId="364C7B8A">
            <w:pPr>
              <w:jc w:val="center"/>
              <w:rPr>
                <w:color w:val="auto"/>
                <w:szCs w:val="21"/>
              </w:rPr>
            </w:pPr>
            <w:r>
              <w:rPr>
                <w:color w:val="auto"/>
                <w:szCs w:val="21"/>
              </w:rPr>
              <w:t>Ⅰ</w:t>
            </w:r>
          </w:p>
        </w:tc>
      </w:tr>
      <w:tr w14:paraId="59A6D3F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dxa"/>
            <w:tcBorders>
              <w:top w:val="single" w:color="auto" w:sz="4" w:space="0"/>
              <w:left w:val="nil"/>
              <w:bottom w:val="single" w:color="auto" w:sz="4" w:space="0"/>
              <w:right w:val="single" w:color="auto" w:sz="4" w:space="0"/>
            </w:tcBorders>
            <w:vAlign w:val="center"/>
          </w:tcPr>
          <w:p w14:paraId="7E7E94BD">
            <w:pPr>
              <w:jc w:val="center"/>
              <w:rPr>
                <w:color w:val="auto"/>
                <w:szCs w:val="21"/>
              </w:rPr>
            </w:pPr>
            <w:r>
              <w:rPr>
                <w:color w:val="auto"/>
                <w:szCs w:val="21"/>
              </w:rPr>
              <w:t>评价工作等级</w:t>
            </w:r>
          </w:p>
        </w:tc>
        <w:tc>
          <w:tcPr>
            <w:tcW w:w="1703" w:type="dxa"/>
            <w:tcBorders>
              <w:top w:val="single" w:color="auto" w:sz="4" w:space="0"/>
              <w:left w:val="single" w:color="auto" w:sz="4" w:space="0"/>
              <w:bottom w:val="single" w:color="auto" w:sz="4" w:space="0"/>
              <w:right w:val="single" w:color="auto" w:sz="4" w:space="0"/>
            </w:tcBorders>
            <w:vAlign w:val="center"/>
          </w:tcPr>
          <w:p w14:paraId="379830AC">
            <w:pPr>
              <w:jc w:val="center"/>
              <w:rPr>
                <w:color w:val="auto"/>
                <w:szCs w:val="21"/>
              </w:rPr>
            </w:pPr>
            <w:r>
              <w:rPr>
                <w:color w:val="auto"/>
                <w:szCs w:val="21"/>
              </w:rPr>
              <w:t>一</w:t>
            </w:r>
          </w:p>
        </w:tc>
        <w:tc>
          <w:tcPr>
            <w:tcW w:w="1703" w:type="dxa"/>
            <w:tcBorders>
              <w:top w:val="single" w:color="auto" w:sz="4" w:space="0"/>
              <w:left w:val="single" w:color="auto" w:sz="4" w:space="0"/>
              <w:bottom w:val="single" w:color="auto" w:sz="4" w:space="0"/>
              <w:right w:val="single" w:color="auto" w:sz="4" w:space="0"/>
            </w:tcBorders>
            <w:vAlign w:val="center"/>
          </w:tcPr>
          <w:p w14:paraId="69189318">
            <w:pPr>
              <w:jc w:val="center"/>
              <w:rPr>
                <w:color w:val="auto"/>
                <w:szCs w:val="21"/>
              </w:rPr>
            </w:pPr>
            <w:r>
              <w:rPr>
                <w:color w:val="auto"/>
                <w:szCs w:val="21"/>
              </w:rPr>
              <w:t>二</w:t>
            </w:r>
          </w:p>
        </w:tc>
        <w:tc>
          <w:tcPr>
            <w:tcW w:w="1703" w:type="dxa"/>
            <w:tcBorders>
              <w:top w:val="single" w:color="auto" w:sz="4" w:space="0"/>
              <w:left w:val="single" w:color="auto" w:sz="4" w:space="0"/>
              <w:bottom w:val="single" w:color="auto" w:sz="4" w:space="0"/>
              <w:right w:val="single" w:color="auto" w:sz="4" w:space="0"/>
            </w:tcBorders>
            <w:vAlign w:val="center"/>
          </w:tcPr>
          <w:p w14:paraId="78B4D981">
            <w:pPr>
              <w:jc w:val="center"/>
              <w:rPr>
                <w:color w:val="auto"/>
                <w:szCs w:val="21"/>
              </w:rPr>
            </w:pPr>
            <w:r>
              <w:rPr>
                <w:color w:val="auto"/>
                <w:szCs w:val="21"/>
              </w:rPr>
              <w:t>三</w:t>
            </w:r>
          </w:p>
        </w:tc>
        <w:tc>
          <w:tcPr>
            <w:tcW w:w="1713" w:type="dxa"/>
            <w:tcBorders>
              <w:top w:val="single" w:color="auto" w:sz="4" w:space="0"/>
              <w:left w:val="single" w:color="auto" w:sz="4" w:space="0"/>
              <w:bottom w:val="single" w:color="auto" w:sz="4" w:space="0"/>
              <w:right w:val="nil"/>
            </w:tcBorders>
            <w:vAlign w:val="center"/>
          </w:tcPr>
          <w:p w14:paraId="6EC63E3B">
            <w:pPr>
              <w:jc w:val="center"/>
              <w:rPr>
                <w:color w:val="auto"/>
                <w:szCs w:val="21"/>
              </w:rPr>
            </w:pPr>
            <w:r>
              <w:rPr>
                <w:color w:val="auto"/>
                <w:szCs w:val="21"/>
              </w:rPr>
              <w:t>简单分析</w:t>
            </w:r>
            <w:r>
              <w:rPr>
                <w:color w:val="auto"/>
                <w:szCs w:val="21"/>
                <w:vertAlign w:val="superscript"/>
              </w:rPr>
              <w:t>a</w:t>
            </w:r>
          </w:p>
        </w:tc>
      </w:tr>
      <w:tr w14:paraId="102D0F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40" w:hRule="atLeast"/>
          <w:jc w:val="center"/>
        </w:trPr>
        <w:tc>
          <w:tcPr>
            <w:tcW w:w="8525" w:type="dxa"/>
            <w:gridSpan w:val="5"/>
            <w:tcBorders>
              <w:top w:val="single" w:color="auto" w:sz="4" w:space="0"/>
              <w:left w:val="nil"/>
              <w:bottom w:val="double" w:color="auto" w:sz="4" w:space="0"/>
              <w:right w:val="nil"/>
            </w:tcBorders>
            <w:vAlign w:val="center"/>
          </w:tcPr>
          <w:p w14:paraId="7DF0826A">
            <w:pPr>
              <w:rPr>
                <w:color w:val="auto"/>
                <w:szCs w:val="21"/>
              </w:rPr>
            </w:pPr>
            <w:r>
              <w:rPr>
                <w:color w:val="auto"/>
                <w:szCs w:val="21"/>
              </w:rPr>
              <w:t>a是相对于详细评价工作内容而言，在描述危险物质、环境影响途径、环境危害后果、风险防范措施等方面给出定性的说明。见附录A。</w:t>
            </w:r>
          </w:p>
        </w:tc>
      </w:tr>
    </w:tbl>
    <w:p w14:paraId="3C2C19B6">
      <w:pPr>
        <w:spacing w:line="360" w:lineRule="auto"/>
        <w:ind w:left="105" w:leftChars="50" w:firstLine="360" w:firstLineChars="150"/>
        <w:rPr>
          <w:color w:val="auto"/>
          <w:sz w:val="24"/>
        </w:rPr>
      </w:pPr>
      <w:r>
        <w:rPr>
          <w:color w:val="auto"/>
          <w:sz w:val="24"/>
        </w:rPr>
        <w:t>建设项目环境风险潜势划分为Ⅰ、Ⅱ、Ⅲ、Ⅳ/Ⅳ</w:t>
      </w:r>
      <w:r>
        <w:rPr>
          <w:color w:val="auto"/>
          <w:sz w:val="24"/>
          <w:vertAlign w:val="superscript"/>
        </w:rPr>
        <w:t>+</w:t>
      </w:r>
      <w:r>
        <w:rPr>
          <w:color w:val="auto"/>
          <w:sz w:val="24"/>
        </w:rPr>
        <w:t>级。环境风险潜势根据表</w:t>
      </w:r>
      <w:r>
        <w:rPr>
          <w:rFonts w:hint="eastAsia"/>
          <w:color w:val="auto"/>
          <w:sz w:val="24"/>
          <w:lang w:val="en-US" w:eastAsia="zh-CN"/>
        </w:rPr>
        <w:t>2.3-10</w:t>
      </w:r>
      <w:r>
        <w:rPr>
          <w:color w:val="auto"/>
          <w:sz w:val="24"/>
        </w:rPr>
        <w:t>确定。</w:t>
      </w:r>
    </w:p>
    <w:p w14:paraId="68106188">
      <w:pPr>
        <w:jc w:val="center"/>
        <w:rPr>
          <w:color w:val="auto"/>
          <w:szCs w:val="20"/>
        </w:rPr>
      </w:pPr>
      <w:r>
        <w:rPr>
          <w:b/>
          <w:color w:val="auto"/>
          <w:szCs w:val="22"/>
        </w:rPr>
        <w:t>表</w:t>
      </w:r>
      <w:r>
        <w:rPr>
          <w:rFonts w:hint="eastAsia"/>
          <w:b/>
          <w:color w:val="auto"/>
          <w:szCs w:val="22"/>
          <w:lang w:val="en-US" w:eastAsia="zh-CN"/>
        </w:rPr>
        <w:t xml:space="preserve">2.3-10 </w:t>
      </w:r>
      <w:r>
        <w:rPr>
          <w:rFonts w:hint="eastAsia"/>
          <w:b/>
          <w:color w:val="auto"/>
          <w:szCs w:val="22"/>
        </w:rPr>
        <w:t xml:space="preserve"> </w:t>
      </w:r>
      <w:r>
        <w:rPr>
          <w:b/>
          <w:color w:val="auto"/>
          <w:szCs w:val="22"/>
        </w:rPr>
        <w:t xml:space="preserve">  建设项目环境风险潜势划分表</w:t>
      </w:r>
    </w:p>
    <w:tbl>
      <w:tblPr>
        <w:tblStyle w:val="53"/>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895"/>
        <w:gridCol w:w="1602"/>
        <w:gridCol w:w="1602"/>
        <w:gridCol w:w="1602"/>
        <w:gridCol w:w="1609"/>
      </w:tblGrid>
      <w:tr w14:paraId="7425C3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895" w:type="dxa"/>
            <w:vMerge w:val="restart"/>
            <w:tcBorders>
              <w:top w:val="double" w:color="auto" w:sz="4" w:space="0"/>
              <w:left w:val="nil"/>
              <w:bottom w:val="single" w:color="000000" w:sz="4" w:space="0"/>
              <w:right w:val="single" w:color="000000" w:sz="4" w:space="0"/>
            </w:tcBorders>
            <w:vAlign w:val="center"/>
          </w:tcPr>
          <w:p w14:paraId="2D9601D7">
            <w:pPr>
              <w:pStyle w:val="434"/>
              <w:jc w:val="center"/>
              <w:rPr>
                <w:color w:val="auto"/>
                <w:sz w:val="21"/>
                <w:szCs w:val="21"/>
              </w:rPr>
            </w:pPr>
            <w:r>
              <w:rPr>
                <w:color w:val="auto"/>
                <w:sz w:val="21"/>
                <w:szCs w:val="21"/>
              </w:rPr>
              <w:t>环境敏感程度（E）</w:t>
            </w:r>
          </w:p>
        </w:tc>
        <w:tc>
          <w:tcPr>
            <w:tcW w:w="6415" w:type="dxa"/>
            <w:gridSpan w:val="4"/>
            <w:tcBorders>
              <w:top w:val="double" w:color="auto" w:sz="4" w:space="0"/>
              <w:left w:val="single" w:color="000000" w:sz="4" w:space="0"/>
              <w:bottom w:val="single" w:color="000000" w:sz="4" w:space="0"/>
              <w:right w:val="nil"/>
            </w:tcBorders>
            <w:vAlign w:val="center"/>
          </w:tcPr>
          <w:p w14:paraId="44E1D63B">
            <w:pPr>
              <w:pStyle w:val="434"/>
              <w:jc w:val="center"/>
              <w:rPr>
                <w:color w:val="auto"/>
                <w:sz w:val="21"/>
                <w:szCs w:val="21"/>
              </w:rPr>
            </w:pPr>
            <w:r>
              <w:rPr>
                <w:color w:val="auto"/>
                <w:sz w:val="21"/>
                <w:szCs w:val="21"/>
              </w:rPr>
              <w:t>危险物质及工艺系统危险（P）</w:t>
            </w:r>
          </w:p>
        </w:tc>
      </w:tr>
      <w:tr w14:paraId="39C0EF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895" w:type="dxa"/>
            <w:vMerge w:val="continue"/>
            <w:tcBorders>
              <w:top w:val="double" w:color="auto" w:sz="4" w:space="0"/>
              <w:left w:val="nil"/>
              <w:bottom w:val="single" w:color="000000" w:sz="4" w:space="0"/>
              <w:right w:val="single" w:color="000000" w:sz="4" w:space="0"/>
            </w:tcBorders>
            <w:vAlign w:val="center"/>
          </w:tcPr>
          <w:p w14:paraId="5606245F">
            <w:pPr>
              <w:widowControl/>
              <w:jc w:val="left"/>
              <w:rPr>
                <w:color w:val="auto"/>
                <w:kern w:val="0"/>
                <w:szCs w:val="21"/>
              </w:rPr>
            </w:pPr>
          </w:p>
        </w:tc>
        <w:tc>
          <w:tcPr>
            <w:tcW w:w="1602" w:type="dxa"/>
            <w:tcBorders>
              <w:top w:val="single" w:color="000000" w:sz="4" w:space="0"/>
              <w:left w:val="single" w:color="000000" w:sz="4" w:space="0"/>
              <w:bottom w:val="single" w:color="000000" w:sz="4" w:space="0"/>
              <w:right w:val="single" w:color="000000" w:sz="4" w:space="0"/>
            </w:tcBorders>
            <w:vAlign w:val="center"/>
          </w:tcPr>
          <w:p w14:paraId="15A14F80">
            <w:pPr>
              <w:pStyle w:val="434"/>
              <w:jc w:val="center"/>
              <w:rPr>
                <w:color w:val="auto"/>
                <w:sz w:val="21"/>
                <w:szCs w:val="21"/>
              </w:rPr>
            </w:pPr>
            <w:r>
              <w:rPr>
                <w:color w:val="auto"/>
                <w:sz w:val="21"/>
                <w:szCs w:val="21"/>
              </w:rPr>
              <w:t>极高危害（P1）</w:t>
            </w:r>
          </w:p>
        </w:tc>
        <w:tc>
          <w:tcPr>
            <w:tcW w:w="1602" w:type="dxa"/>
            <w:tcBorders>
              <w:top w:val="single" w:color="000000" w:sz="4" w:space="0"/>
              <w:left w:val="single" w:color="000000" w:sz="4" w:space="0"/>
              <w:bottom w:val="single" w:color="000000" w:sz="4" w:space="0"/>
              <w:right w:val="single" w:color="000000" w:sz="4" w:space="0"/>
            </w:tcBorders>
            <w:vAlign w:val="center"/>
          </w:tcPr>
          <w:p w14:paraId="2B1420EA">
            <w:pPr>
              <w:pStyle w:val="434"/>
              <w:jc w:val="center"/>
              <w:rPr>
                <w:color w:val="auto"/>
                <w:sz w:val="21"/>
                <w:szCs w:val="21"/>
              </w:rPr>
            </w:pPr>
            <w:r>
              <w:rPr>
                <w:color w:val="auto"/>
                <w:sz w:val="21"/>
                <w:szCs w:val="21"/>
              </w:rPr>
              <w:t>高度危害（P2）</w:t>
            </w:r>
          </w:p>
        </w:tc>
        <w:tc>
          <w:tcPr>
            <w:tcW w:w="1602" w:type="dxa"/>
            <w:tcBorders>
              <w:top w:val="single" w:color="000000" w:sz="4" w:space="0"/>
              <w:left w:val="single" w:color="000000" w:sz="4" w:space="0"/>
              <w:bottom w:val="single" w:color="000000" w:sz="4" w:space="0"/>
              <w:right w:val="single" w:color="000000" w:sz="4" w:space="0"/>
            </w:tcBorders>
            <w:vAlign w:val="center"/>
          </w:tcPr>
          <w:p w14:paraId="515B1532">
            <w:pPr>
              <w:pStyle w:val="434"/>
              <w:jc w:val="center"/>
              <w:rPr>
                <w:color w:val="auto"/>
                <w:sz w:val="21"/>
                <w:szCs w:val="21"/>
              </w:rPr>
            </w:pPr>
            <w:r>
              <w:rPr>
                <w:color w:val="auto"/>
                <w:sz w:val="21"/>
                <w:szCs w:val="21"/>
              </w:rPr>
              <w:t>中度危害（P3）</w:t>
            </w:r>
          </w:p>
        </w:tc>
        <w:tc>
          <w:tcPr>
            <w:tcW w:w="1609" w:type="dxa"/>
            <w:tcBorders>
              <w:top w:val="single" w:color="000000" w:sz="4" w:space="0"/>
              <w:left w:val="single" w:color="000000" w:sz="4" w:space="0"/>
              <w:bottom w:val="single" w:color="000000" w:sz="4" w:space="0"/>
              <w:right w:val="nil"/>
            </w:tcBorders>
            <w:vAlign w:val="center"/>
          </w:tcPr>
          <w:p w14:paraId="43F1630A">
            <w:pPr>
              <w:pStyle w:val="434"/>
              <w:jc w:val="center"/>
              <w:rPr>
                <w:color w:val="auto"/>
                <w:sz w:val="21"/>
                <w:szCs w:val="21"/>
              </w:rPr>
            </w:pPr>
            <w:r>
              <w:rPr>
                <w:color w:val="auto"/>
                <w:sz w:val="21"/>
                <w:szCs w:val="21"/>
              </w:rPr>
              <w:t>轻度危害（P4）</w:t>
            </w:r>
          </w:p>
        </w:tc>
      </w:tr>
      <w:tr w14:paraId="079B9C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895" w:type="dxa"/>
            <w:tcBorders>
              <w:top w:val="single" w:color="000000" w:sz="4" w:space="0"/>
              <w:left w:val="nil"/>
              <w:bottom w:val="single" w:color="000000" w:sz="4" w:space="0"/>
              <w:right w:val="single" w:color="000000" w:sz="4" w:space="0"/>
            </w:tcBorders>
            <w:vAlign w:val="center"/>
          </w:tcPr>
          <w:p w14:paraId="06D110D4">
            <w:pPr>
              <w:pStyle w:val="434"/>
              <w:jc w:val="center"/>
              <w:rPr>
                <w:color w:val="auto"/>
                <w:sz w:val="21"/>
                <w:szCs w:val="21"/>
              </w:rPr>
            </w:pPr>
            <w:r>
              <w:rPr>
                <w:color w:val="auto"/>
                <w:sz w:val="21"/>
                <w:szCs w:val="21"/>
              </w:rPr>
              <w:t>环境高度敏感区</w:t>
            </w:r>
            <w:r>
              <w:rPr>
                <w:color w:val="auto"/>
                <w:sz w:val="18"/>
                <w:szCs w:val="18"/>
              </w:rPr>
              <w:t>（E1）</w:t>
            </w:r>
          </w:p>
        </w:tc>
        <w:tc>
          <w:tcPr>
            <w:tcW w:w="1602" w:type="dxa"/>
            <w:tcBorders>
              <w:top w:val="single" w:color="000000" w:sz="4" w:space="0"/>
              <w:left w:val="single" w:color="000000" w:sz="4" w:space="0"/>
              <w:bottom w:val="single" w:color="000000" w:sz="4" w:space="0"/>
              <w:right w:val="single" w:color="000000" w:sz="4" w:space="0"/>
            </w:tcBorders>
            <w:vAlign w:val="center"/>
          </w:tcPr>
          <w:p w14:paraId="40146541">
            <w:pPr>
              <w:pStyle w:val="434"/>
              <w:jc w:val="center"/>
              <w:rPr>
                <w:color w:val="auto"/>
                <w:sz w:val="21"/>
                <w:szCs w:val="21"/>
              </w:rPr>
            </w:pPr>
            <w:r>
              <w:rPr>
                <w:color w:val="auto"/>
                <w:sz w:val="21"/>
                <w:szCs w:val="21"/>
              </w:rPr>
              <w:t>Ⅳ</w:t>
            </w:r>
            <w:r>
              <w:rPr>
                <w:color w:val="auto"/>
                <w:sz w:val="21"/>
                <w:szCs w:val="21"/>
                <w:vertAlign w:val="superscript"/>
              </w:rPr>
              <w:t>+</w:t>
            </w:r>
          </w:p>
        </w:tc>
        <w:tc>
          <w:tcPr>
            <w:tcW w:w="1602" w:type="dxa"/>
            <w:tcBorders>
              <w:top w:val="single" w:color="000000" w:sz="4" w:space="0"/>
              <w:left w:val="single" w:color="000000" w:sz="4" w:space="0"/>
              <w:bottom w:val="single" w:color="000000" w:sz="4" w:space="0"/>
              <w:right w:val="single" w:color="000000" w:sz="4" w:space="0"/>
            </w:tcBorders>
            <w:vAlign w:val="center"/>
          </w:tcPr>
          <w:p w14:paraId="502AB74E">
            <w:pPr>
              <w:pStyle w:val="434"/>
              <w:jc w:val="center"/>
              <w:rPr>
                <w:color w:val="auto"/>
                <w:sz w:val="21"/>
                <w:szCs w:val="21"/>
              </w:rPr>
            </w:pPr>
            <w:r>
              <w:rPr>
                <w:color w:val="auto"/>
                <w:sz w:val="21"/>
                <w:szCs w:val="21"/>
              </w:rPr>
              <w:t>Ⅳ</w:t>
            </w:r>
          </w:p>
        </w:tc>
        <w:tc>
          <w:tcPr>
            <w:tcW w:w="1602" w:type="dxa"/>
            <w:tcBorders>
              <w:top w:val="single" w:color="000000" w:sz="4" w:space="0"/>
              <w:left w:val="single" w:color="000000" w:sz="4" w:space="0"/>
              <w:bottom w:val="single" w:color="000000" w:sz="4" w:space="0"/>
              <w:right w:val="single" w:color="000000" w:sz="4" w:space="0"/>
            </w:tcBorders>
            <w:vAlign w:val="center"/>
          </w:tcPr>
          <w:p w14:paraId="5C363871">
            <w:pPr>
              <w:pStyle w:val="434"/>
              <w:jc w:val="center"/>
              <w:rPr>
                <w:color w:val="auto"/>
                <w:sz w:val="21"/>
                <w:szCs w:val="21"/>
              </w:rPr>
            </w:pPr>
            <w:r>
              <w:rPr>
                <w:color w:val="auto"/>
                <w:sz w:val="21"/>
                <w:szCs w:val="21"/>
              </w:rPr>
              <w:t>Ⅲ</w:t>
            </w:r>
          </w:p>
        </w:tc>
        <w:tc>
          <w:tcPr>
            <w:tcW w:w="1609" w:type="dxa"/>
            <w:tcBorders>
              <w:top w:val="single" w:color="000000" w:sz="4" w:space="0"/>
              <w:left w:val="single" w:color="000000" w:sz="4" w:space="0"/>
              <w:bottom w:val="single" w:color="000000" w:sz="4" w:space="0"/>
              <w:right w:val="nil"/>
            </w:tcBorders>
            <w:vAlign w:val="center"/>
          </w:tcPr>
          <w:p w14:paraId="307D417C">
            <w:pPr>
              <w:pStyle w:val="434"/>
              <w:jc w:val="center"/>
              <w:rPr>
                <w:color w:val="auto"/>
                <w:sz w:val="21"/>
                <w:szCs w:val="21"/>
              </w:rPr>
            </w:pPr>
            <w:r>
              <w:rPr>
                <w:color w:val="auto"/>
                <w:sz w:val="21"/>
                <w:szCs w:val="21"/>
              </w:rPr>
              <w:t>Ⅲ</w:t>
            </w:r>
          </w:p>
        </w:tc>
      </w:tr>
      <w:tr w14:paraId="2CD4CB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895" w:type="dxa"/>
            <w:tcBorders>
              <w:top w:val="single" w:color="000000" w:sz="4" w:space="0"/>
              <w:left w:val="nil"/>
              <w:bottom w:val="single" w:color="000000" w:sz="4" w:space="0"/>
              <w:right w:val="single" w:color="000000" w:sz="4" w:space="0"/>
            </w:tcBorders>
            <w:vAlign w:val="center"/>
          </w:tcPr>
          <w:p w14:paraId="2BC16136">
            <w:pPr>
              <w:pStyle w:val="434"/>
              <w:jc w:val="center"/>
              <w:rPr>
                <w:color w:val="auto"/>
                <w:sz w:val="21"/>
                <w:szCs w:val="21"/>
              </w:rPr>
            </w:pPr>
            <w:r>
              <w:rPr>
                <w:color w:val="auto"/>
                <w:sz w:val="21"/>
                <w:szCs w:val="21"/>
              </w:rPr>
              <w:t>环境中度敏感区</w:t>
            </w:r>
            <w:r>
              <w:rPr>
                <w:color w:val="auto"/>
                <w:sz w:val="18"/>
                <w:szCs w:val="18"/>
              </w:rPr>
              <w:t>（E2）</w:t>
            </w:r>
          </w:p>
        </w:tc>
        <w:tc>
          <w:tcPr>
            <w:tcW w:w="1602" w:type="dxa"/>
            <w:tcBorders>
              <w:top w:val="single" w:color="000000" w:sz="4" w:space="0"/>
              <w:left w:val="single" w:color="000000" w:sz="4" w:space="0"/>
              <w:bottom w:val="single" w:color="000000" w:sz="4" w:space="0"/>
              <w:right w:val="single" w:color="000000" w:sz="4" w:space="0"/>
            </w:tcBorders>
            <w:vAlign w:val="center"/>
          </w:tcPr>
          <w:p w14:paraId="629DAA01">
            <w:pPr>
              <w:pStyle w:val="434"/>
              <w:jc w:val="center"/>
              <w:rPr>
                <w:color w:val="auto"/>
                <w:sz w:val="21"/>
                <w:szCs w:val="21"/>
              </w:rPr>
            </w:pPr>
            <w:r>
              <w:rPr>
                <w:color w:val="auto"/>
                <w:sz w:val="21"/>
                <w:szCs w:val="21"/>
              </w:rPr>
              <w:t>Ⅳ</w:t>
            </w:r>
          </w:p>
        </w:tc>
        <w:tc>
          <w:tcPr>
            <w:tcW w:w="1602" w:type="dxa"/>
            <w:tcBorders>
              <w:top w:val="single" w:color="000000" w:sz="4" w:space="0"/>
              <w:left w:val="single" w:color="000000" w:sz="4" w:space="0"/>
              <w:bottom w:val="single" w:color="000000" w:sz="4" w:space="0"/>
              <w:right w:val="single" w:color="000000" w:sz="4" w:space="0"/>
            </w:tcBorders>
            <w:vAlign w:val="center"/>
          </w:tcPr>
          <w:p w14:paraId="39250F44">
            <w:pPr>
              <w:pStyle w:val="434"/>
              <w:jc w:val="center"/>
              <w:rPr>
                <w:color w:val="auto"/>
                <w:sz w:val="21"/>
                <w:szCs w:val="21"/>
              </w:rPr>
            </w:pPr>
            <w:r>
              <w:rPr>
                <w:color w:val="auto"/>
                <w:sz w:val="21"/>
                <w:szCs w:val="21"/>
              </w:rPr>
              <w:t>Ⅲ</w:t>
            </w:r>
          </w:p>
        </w:tc>
        <w:tc>
          <w:tcPr>
            <w:tcW w:w="1602" w:type="dxa"/>
            <w:tcBorders>
              <w:top w:val="single" w:color="000000" w:sz="4" w:space="0"/>
              <w:left w:val="single" w:color="000000" w:sz="4" w:space="0"/>
              <w:bottom w:val="single" w:color="000000" w:sz="4" w:space="0"/>
              <w:right w:val="single" w:color="000000" w:sz="4" w:space="0"/>
            </w:tcBorders>
            <w:vAlign w:val="center"/>
          </w:tcPr>
          <w:p w14:paraId="557C1EE2">
            <w:pPr>
              <w:pStyle w:val="434"/>
              <w:jc w:val="center"/>
              <w:rPr>
                <w:color w:val="auto"/>
                <w:sz w:val="21"/>
                <w:szCs w:val="21"/>
              </w:rPr>
            </w:pPr>
            <w:r>
              <w:rPr>
                <w:color w:val="auto"/>
                <w:sz w:val="21"/>
                <w:szCs w:val="21"/>
              </w:rPr>
              <w:t>Ⅲ</w:t>
            </w:r>
          </w:p>
        </w:tc>
        <w:tc>
          <w:tcPr>
            <w:tcW w:w="1609" w:type="dxa"/>
            <w:tcBorders>
              <w:top w:val="single" w:color="000000" w:sz="4" w:space="0"/>
              <w:left w:val="single" w:color="000000" w:sz="4" w:space="0"/>
              <w:bottom w:val="single" w:color="000000" w:sz="4" w:space="0"/>
              <w:right w:val="nil"/>
            </w:tcBorders>
            <w:vAlign w:val="center"/>
          </w:tcPr>
          <w:p w14:paraId="2DE46BC9">
            <w:pPr>
              <w:pStyle w:val="434"/>
              <w:jc w:val="center"/>
              <w:rPr>
                <w:color w:val="auto"/>
                <w:sz w:val="21"/>
                <w:szCs w:val="21"/>
              </w:rPr>
            </w:pPr>
            <w:r>
              <w:rPr>
                <w:color w:val="auto"/>
                <w:sz w:val="21"/>
                <w:szCs w:val="21"/>
              </w:rPr>
              <w:t>Ⅱ</w:t>
            </w:r>
          </w:p>
        </w:tc>
      </w:tr>
      <w:tr w14:paraId="5FC0E8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895" w:type="dxa"/>
            <w:tcBorders>
              <w:top w:val="single" w:color="000000" w:sz="4" w:space="0"/>
              <w:left w:val="nil"/>
              <w:bottom w:val="single" w:color="000000" w:sz="4" w:space="0"/>
              <w:right w:val="single" w:color="000000" w:sz="4" w:space="0"/>
            </w:tcBorders>
            <w:vAlign w:val="center"/>
          </w:tcPr>
          <w:p w14:paraId="2D9080D6">
            <w:pPr>
              <w:pStyle w:val="434"/>
              <w:jc w:val="center"/>
              <w:rPr>
                <w:color w:val="auto"/>
                <w:sz w:val="21"/>
                <w:szCs w:val="21"/>
              </w:rPr>
            </w:pPr>
            <w:r>
              <w:rPr>
                <w:color w:val="auto"/>
                <w:sz w:val="21"/>
                <w:szCs w:val="21"/>
              </w:rPr>
              <w:t>环境低度敏感区</w:t>
            </w:r>
            <w:r>
              <w:rPr>
                <w:color w:val="auto"/>
                <w:sz w:val="18"/>
                <w:szCs w:val="18"/>
              </w:rPr>
              <w:t>（E3）</w:t>
            </w:r>
          </w:p>
        </w:tc>
        <w:tc>
          <w:tcPr>
            <w:tcW w:w="1602" w:type="dxa"/>
            <w:tcBorders>
              <w:top w:val="single" w:color="000000" w:sz="4" w:space="0"/>
              <w:left w:val="single" w:color="000000" w:sz="4" w:space="0"/>
              <w:bottom w:val="single" w:color="000000" w:sz="4" w:space="0"/>
              <w:right w:val="single" w:color="000000" w:sz="4" w:space="0"/>
            </w:tcBorders>
            <w:vAlign w:val="center"/>
          </w:tcPr>
          <w:p w14:paraId="237B5976">
            <w:pPr>
              <w:pStyle w:val="434"/>
              <w:jc w:val="center"/>
              <w:rPr>
                <w:color w:val="auto"/>
                <w:sz w:val="21"/>
                <w:szCs w:val="21"/>
              </w:rPr>
            </w:pPr>
            <w:r>
              <w:rPr>
                <w:color w:val="auto"/>
                <w:sz w:val="21"/>
                <w:szCs w:val="21"/>
              </w:rPr>
              <w:t>Ⅲ</w:t>
            </w:r>
          </w:p>
        </w:tc>
        <w:tc>
          <w:tcPr>
            <w:tcW w:w="1602" w:type="dxa"/>
            <w:tcBorders>
              <w:top w:val="single" w:color="000000" w:sz="4" w:space="0"/>
              <w:left w:val="single" w:color="000000" w:sz="4" w:space="0"/>
              <w:bottom w:val="single" w:color="000000" w:sz="4" w:space="0"/>
              <w:right w:val="single" w:color="000000" w:sz="4" w:space="0"/>
            </w:tcBorders>
            <w:vAlign w:val="center"/>
          </w:tcPr>
          <w:p w14:paraId="11E02670">
            <w:pPr>
              <w:pStyle w:val="434"/>
              <w:jc w:val="center"/>
              <w:rPr>
                <w:color w:val="auto"/>
                <w:sz w:val="21"/>
                <w:szCs w:val="21"/>
              </w:rPr>
            </w:pPr>
            <w:r>
              <w:rPr>
                <w:color w:val="auto"/>
                <w:sz w:val="21"/>
                <w:szCs w:val="21"/>
              </w:rPr>
              <w:t>Ⅲ</w:t>
            </w:r>
          </w:p>
        </w:tc>
        <w:tc>
          <w:tcPr>
            <w:tcW w:w="1602" w:type="dxa"/>
            <w:tcBorders>
              <w:top w:val="single" w:color="000000" w:sz="4" w:space="0"/>
              <w:left w:val="single" w:color="000000" w:sz="4" w:space="0"/>
              <w:bottom w:val="single" w:color="000000" w:sz="4" w:space="0"/>
              <w:right w:val="single" w:color="000000" w:sz="4" w:space="0"/>
            </w:tcBorders>
            <w:vAlign w:val="center"/>
          </w:tcPr>
          <w:p w14:paraId="5B13BDD4">
            <w:pPr>
              <w:pStyle w:val="434"/>
              <w:jc w:val="center"/>
              <w:rPr>
                <w:color w:val="auto"/>
                <w:sz w:val="21"/>
                <w:szCs w:val="21"/>
              </w:rPr>
            </w:pPr>
            <w:r>
              <w:rPr>
                <w:color w:val="auto"/>
                <w:sz w:val="21"/>
                <w:szCs w:val="21"/>
              </w:rPr>
              <w:t>Ⅱ</w:t>
            </w:r>
          </w:p>
        </w:tc>
        <w:tc>
          <w:tcPr>
            <w:tcW w:w="1609" w:type="dxa"/>
            <w:tcBorders>
              <w:top w:val="single" w:color="000000" w:sz="4" w:space="0"/>
              <w:left w:val="single" w:color="000000" w:sz="4" w:space="0"/>
              <w:bottom w:val="single" w:color="000000" w:sz="4" w:space="0"/>
              <w:right w:val="nil"/>
            </w:tcBorders>
            <w:vAlign w:val="center"/>
          </w:tcPr>
          <w:p w14:paraId="0CFA0BAA">
            <w:pPr>
              <w:pStyle w:val="434"/>
              <w:jc w:val="center"/>
              <w:rPr>
                <w:color w:val="auto"/>
                <w:sz w:val="21"/>
                <w:szCs w:val="21"/>
              </w:rPr>
            </w:pPr>
            <w:r>
              <w:rPr>
                <w:color w:val="auto"/>
                <w:sz w:val="21"/>
                <w:szCs w:val="21"/>
              </w:rPr>
              <w:t>Ⅰ</w:t>
            </w:r>
          </w:p>
        </w:tc>
      </w:tr>
      <w:tr w14:paraId="147E79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310" w:type="dxa"/>
            <w:gridSpan w:val="5"/>
            <w:tcBorders>
              <w:top w:val="single" w:color="000000" w:sz="4" w:space="0"/>
              <w:left w:val="nil"/>
              <w:bottom w:val="double" w:color="auto" w:sz="4" w:space="0"/>
              <w:right w:val="nil"/>
            </w:tcBorders>
            <w:vAlign w:val="center"/>
          </w:tcPr>
          <w:p w14:paraId="2BA51C5A">
            <w:pPr>
              <w:pStyle w:val="434"/>
              <w:jc w:val="center"/>
              <w:rPr>
                <w:color w:val="auto"/>
                <w:sz w:val="21"/>
                <w:szCs w:val="21"/>
              </w:rPr>
            </w:pPr>
            <w:r>
              <w:rPr>
                <w:color w:val="auto"/>
                <w:sz w:val="21"/>
                <w:szCs w:val="21"/>
              </w:rPr>
              <w:t>注：Ⅳ</w:t>
            </w:r>
            <w:r>
              <w:rPr>
                <w:color w:val="auto"/>
                <w:sz w:val="21"/>
                <w:szCs w:val="21"/>
                <w:vertAlign w:val="superscript"/>
              </w:rPr>
              <w:t>+</w:t>
            </w:r>
            <w:r>
              <w:rPr>
                <w:color w:val="auto"/>
                <w:sz w:val="21"/>
                <w:szCs w:val="21"/>
              </w:rPr>
              <w:t>为极高环境风险。</w:t>
            </w:r>
          </w:p>
        </w:tc>
      </w:tr>
    </w:tbl>
    <w:p w14:paraId="168278D6">
      <w:pPr>
        <w:pStyle w:val="23"/>
        <w:spacing w:after="0" w:line="360" w:lineRule="auto"/>
        <w:ind w:firstLine="480" w:firstLineChars="200"/>
        <w:rPr>
          <w:color w:val="auto"/>
          <w:sz w:val="24"/>
        </w:rPr>
      </w:pPr>
      <w:r>
        <w:rPr>
          <w:color w:val="auto"/>
          <w:sz w:val="24"/>
        </w:rPr>
        <w:t>（P）值判定</w:t>
      </w:r>
    </w:p>
    <w:p w14:paraId="7B102586">
      <w:pPr>
        <w:pStyle w:val="23"/>
        <w:spacing w:after="0" w:line="360" w:lineRule="auto"/>
        <w:ind w:firstLine="480" w:firstLineChars="200"/>
        <w:rPr>
          <w:color w:val="auto"/>
          <w:sz w:val="24"/>
        </w:rPr>
      </w:pPr>
      <w:r>
        <w:rPr>
          <w:color w:val="auto"/>
          <w:sz w:val="24"/>
        </w:rPr>
        <w:t>根据危险物质数量与临界量比值（Q）和行业及生产工艺（M），按照表2-2</w:t>
      </w:r>
      <w:r>
        <w:rPr>
          <w:rFonts w:hint="eastAsia"/>
          <w:color w:val="auto"/>
          <w:sz w:val="24"/>
        </w:rPr>
        <w:t>8</w:t>
      </w:r>
      <w:r>
        <w:rPr>
          <w:color w:val="auto"/>
          <w:sz w:val="24"/>
        </w:rPr>
        <w:t>确定危险物质及工艺系统危险性等级（P），分别以P1、P2、P3、P4表示。</w:t>
      </w:r>
    </w:p>
    <w:p w14:paraId="1A5B03A1">
      <w:pPr>
        <w:jc w:val="center"/>
        <w:rPr>
          <w:b/>
          <w:color w:val="auto"/>
          <w:sz w:val="24"/>
          <w:szCs w:val="22"/>
        </w:rPr>
      </w:pPr>
      <w:r>
        <w:rPr>
          <w:b/>
          <w:color w:val="auto"/>
          <w:szCs w:val="22"/>
        </w:rPr>
        <w:t>表</w:t>
      </w:r>
      <w:r>
        <w:rPr>
          <w:rFonts w:hint="eastAsia"/>
          <w:b/>
          <w:color w:val="auto"/>
          <w:szCs w:val="22"/>
          <w:lang w:val="en-US" w:eastAsia="zh-CN"/>
        </w:rPr>
        <w:t xml:space="preserve">2.3-11 </w:t>
      </w:r>
      <w:r>
        <w:rPr>
          <w:rFonts w:hint="eastAsia"/>
          <w:b/>
          <w:color w:val="auto"/>
          <w:szCs w:val="22"/>
        </w:rPr>
        <w:t xml:space="preserve"> </w:t>
      </w:r>
      <w:r>
        <w:rPr>
          <w:b/>
          <w:color w:val="auto"/>
          <w:szCs w:val="22"/>
        </w:rPr>
        <w:t xml:space="preserve">  危险物质及工艺系统危险性等级判断（P）</w:t>
      </w:r>
    </w:p>
    <w:tbl>
      <w:tblPr>
        <w:tblStyle w:val="53"/>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020"/>
        <w:gridCol w:w="1573"/>
        <w:gridCol w:w="1573"/>
        <w:gridCol w:w="1573"/>
        <w:gridCol w:w="1571"/>
      </w:tblGrid>
      <w:tr w14:paraId="3B8FEA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6" w:type="pct"/>
            <w:vMerge w:val="restart"/>
            <w:tcBorders>
              <w:top w:val="double" w:color="auto" w:sz="4" w:space="0"/>
              <w:left w:val="nil"/>
              <w:bottom w:val="single" w:color="000000" w:sz="4" w:space="0"/>
              <w:right w:val="single" w:color="000000" w:sz="4" w:space="0"/>
            </w:tcBorders>
            <w:vAlign w:val="center"/>
          </w:tcPr>
          <w:p w14:paraId="7E8CF5CE">
            <w:pPr>
              <w:pStyle w:val="434"/>
              <w:jc w:val="center"/>
              <w:rPr>
                <w:color w:val="auto"/>
                <w:sz w:val="21"/>
                <w:szCs w:val="21"/>
              </w:rPr>
            </w:pPr>
            <w:r>
              <w:rPr>
                <w:color w:val="auto"/>
                <w:spacing w:val="7"/>
                <w:sz w:val="21"/>
                <w:szCs w:val="21"/>
              </w:rPr>
              <w:t>危险物质数量与临界量比值</w:t>
            </w:r>
            <w:r>
              <w:rPr>
                <w:color w:val="auto"/>
                <w:sz w:val="21"/>
                <w:szCs w:val="21"/>
              </w:rPr>
              <w:t>（</w:t>
            </w:r>
            <w:r>
              <w:rPr>
                <w:i/>
                <w:color w:val="auto"/>
                <w:sz w:val="21"/>
                <w:szCs w:val="21"/>
              </w:rPr>
              <w:t>Q</w:t>
            </w:r>
            <w:r>
              <w:rPr>
                <w:color w:val="auto"/>
                <w:sz w:val="21"/>
                <w:szCs w:val="21"/>
              </w:rPr>
              <w:t>）</w:t>
            </w:r>
          </w:p>
        </w:tc>
        <w:tc>
          <w:tcPr>
            <w:tcW w:w="3783" w:type="pct"/>
            <w:gridSpan w:val="4"/>
            <w:tcBorders>
              <w:top w:val="double" w:color="auto" w:sz="4" w:space="0"/>
              <w:left w:val="single" w:color="000000" w:sz="4" w:space="0"/>
              <w:bottom w:val="single" w:color="000000" w:sz="4" w:space="0"/>
              <w:right w:val="nil"/>
            </w:tcBorders>
            <w:vAlign w:val="center"/>
          </w:tcPr>
          <w:p w14:paraId="2145DF7D">
            <w:pPr>
              <w:pStyle w:val="434"/>
              <w:jc w:val="center"/>
              <w:rPr>
                <w:color w:val="auto"/>
                <w:sz w:val="21"/>
                <w:szCs w:val="21"/>
              </w:rPr>
            </w:pPr>
            <w:r>
              <w:rPr>
                <w:color w:val="auto"/>
                <w:sz w:val="21"/>
                <w:szCs w:val="21"/>
              </w:rPr>
              <w:t>行业及生产工艺（M）</w:t>
            </w:r>
          </w:p>
        </w:tc>
      </w:tr>
      <w:tr w14:paraId="0FF8F2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6" w:type="pct"/>
            <w:vMerge w:val="continue"/>
            <w:tcBorders>
              <w:top w:val="double" w:color="auto" w:sz="4" w:space="0"/>
              <w:left w:val="nil"/>
              <w:bottom w:val="single" w:color="000000" w:sz="4" w:space="0"/>
              <w:right w:val="single" w:color="000000" w:sz="4" w:space="0"/>
            </w:tcBorders>
            <w:vAlign w:val="center"/>
          </w:tcPr>
          <w:p w14:paraId="50B63B6C">
            <w:pPr>
              <w:widowControl/>
              <w:jc w:val="left"/>
              <w:rPr>
                <w:color w:val="auto"/>
                <w:kern w:val="0"/>
                <w:szCs w:val="21"/>
              </w:rPr>
            </w:pPr>
          </w:p>
        </w:tc>
        <w:tc>
          <w:tcPr>
            <w:tcW w:w="946" w:type="pct"/>
            <w:tcBorders>
              <w:top w:val="single" w:color="000000" w:sz="4" w:space="0"/>
              <w:left w:val="single" w:color="000000" w:sz="4" w:space="0"/>
              <w:bottom w:val="single" w:color="000000" w:sz="4" w:space="0"/>
              <w:right w:val="single" w:color="000000" w:sz="4" w:space="0"/>
            </w:tcBorders>
            <w:vAlign w:val="center"/>
          </w:tcPr>
          <w:p w14:paraId="343DBA7F">
            <w:pPr>
              <w:pStyle w:val="434"/>
              <w:jc w:val="center"/>
              <w:rPr>
                <w:color w:val="auto"/>
                <w:sz w:val="21"/>
                <w:szCs w:val="21"/>
              </w:rPr>
            </w:pPr>
            <w:r>
              <w:rPr>
                <w:color w:val="auto"/>
                <w:sz w:val="21"/>
                <w:szCs w:val="21"/>
              </w:rPr>
              <w:t>M1</w:t>
            </w:r>
          </w:p>
        </w:tc>
        <w:tc>
          <w:tcPr>
            <w:tcW w:w="946" w:type="pct"/>
            <w:tcBorders>
              <w:top w:val="single" w:color="000000" w:sz="4" w:space="0"/>
              <w:left w:val="single" w:color="000000" w:sz="4" w:space="0"/>
              <w:bottom w:val="single" w:color="000000" w:sz="4" w:space="0"/>
              <w:right w:val="single" w:color="000000" w:sz="4" w:space="0"/>
            </w:tcBorders>
            <w:vAlign w:val="center"/>
          </w:tcPr>
          <w:p w14:paraId="05F3C6CF">
            <w:pPr>
              <w:pStyle w:val="434"/>
              <w:jc w:val="center"/>
              <w:rPr>
                <w:color w:val="auto"/>
                <w:sz w:val="21"/>
                <w:szCs w:val="21"/>
              </w:rPr>
            </w:pPr>
            <w:r>
              <w:rPr>
                <w:color w:val="auto"/>
                <w:sz w:val="21"/>
                <w:szCs w:val="21"/>
              </w:rPr>
              <w:t>M2</w:t>
            </w:r>
          </w:p>
        </w:tc>
        <w:tc>
          <w:tcPr>
            <w:tcW w:w="946" w:type="pct"/>
            <w:tcBorders>
              <w:top w:val="single" w:color="000000" w:sz="4" w:space="0"/>
              <w:left w:val="single" w:color="000000" w:sz="4" w:space="0"/>
              <w:bottom w:val="single" w:color="000000" w:sz="4" w:space="0"/>
              <w:right w:val="single" w:color="000000" w:sz="4" w:space="0"/>
            </w:tcBorders>
            <w:vAlign w:val="center"/>
          </w:tcPr>
          <w:p w14:paraId="25C048C8">
            <w:pPr>
              <w:pStyle w:val="434"/>
              <w:jc w:val="center"/>
              <w:rPr>
                <w:color w:val="auto"/>
                <w:sz w:val="21"/>
                <w:szCs w:val="21"/>
              </w:rPr>
            </w:pPr>
            <w:r>
              <w:rPr>
                <w:color w:val="auto"/>
                <w:sz w:val="21"/>
                <w:szCs w:val="21"/>
              </w:rPr>
              <w:t>M3</w:t>
            </w:r>
          </w:p>
        </w:tc>
        <w:tc>
          <w:tcPr>
            <w:tcW w:w="944" w:type="pct"/>
            <w:tcBorders>
              <w:top w:val="single" w:color="000000" w:sz="4" w:space="0"/>
              <w:left w:val="single" w:color="000000" w:sz="4" w:space="0"/>
              <w:bottom w:val="single" w:color="000000" w:sz="4" w:space="0"/>
              <w:right w:val="nil"/>
            </w:tcBorders>
            <w:vAlign w:val="center"/>
          </w:tcPr>
          <w:p w14:paraId="2C12E4B5">
            <w:pPr>
              <w:pStyle w:val="434"/>
              <w:jc w:val="center"/>
              <w:rPr>
                <w:color w:val="auto"/>
                <w:sz w:val="21"/>
                <w:szCs w:val="21"/>
              </w:rPr>
            </w:pPr>
            <w:r>
              <w:rPr>
                <w:color w:val="auto"/>
                <w:sz w:val="21"/>
                <w:szCs w:val="21"/>
              </w:rPr>
              <w:t>M4</w:t>
            </w:r>
          </w:p>
        </w:tc>
      </w:tr>
      <w:tr w14:paraId="2C5AD6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6" w:type="pct"/>
            <w:tcBorders>
              <w:top w:val="single" w:color="000000" w:sz="4" w:space="0"/>
              <w:left w:val="nil"/>
              <w:bottom w:val="single" w:color="000000" w:sz="4" w:space="0"/>
              <w:right w:val="single" w:color="000000" w:sz="4" w:space="0"/>
            </w:tcBorders>
            <w:vAlign w:val="center"/>
          </w:tcPr>
          <w:p w14:paraId="1E4371F7">
            <w:pPr>
              <w:pStyle w:val="434"/>
              <w:jc w:val="center"/>
              <w:rPr>
                <w:color w:val="auto"/>
                <w:sz w:val="21"/>
                <w:szCs w:val="21"/>
              </w:rPr>
            </w:pPr>
            <w:r>
              <w:rPr>
                <w:i/>
                <w:color w:val="auto"/>
                <w:sz w:val="21"/>
                <w:szCs w:val="21"/>
              </w:rPr>
              <w:t>Q</w:t>
            </w:r>
            <w:r>
              <w:rPr>
                <w:color w:val="auto"/>
                <w:sz w:val="21"/>
                <w:szCs w:val="21"/>
              </w:rPr>
              <w:t>≥100</w:t>
            </w:r>
          </w:p>
        </w:tc>
        <w:tc>
          <w:tcPr>
            <w:tcW w:w="946" w:type="pct"/>
            <w:tcBorders>
              <w:top w:val="single" w:color="000000" w:sz="4" w:space="0"/>
              <w:left w:val="single" w:color="000000" w:sz="4" w:space="0"/>
              <w:bottom w:val="single" w:color="000000" w:sz="4" w:space="0"/>
              <w:right w:val="single" w:color="000000" w:sz="4" w:space="0"/>
            </w:tcBorders>
            <w:vAlign w:val="center"/>
          </w:tcPr>
          <w:p w14:paraId="540FA3FB">
            <w:pPr>
              <w:pStyle w:val="434"/>
              <w:jc w:val="center"/>
              <w:rPr>
                <w:color w:val="auto"/>
                <w:sz w:val="21"/>
                <w:szCs w:val="21"/>
              </w:rPr>
            </w:pPr>
            <w:r>
              <w:rPr>
                <w:color w:val="auto"/>
                <w:sz w:val="21"/>
                <w:szCs w:val="21"/>
              </w:rPr>
              <w:t>P1</w:t>
            </w:r>
          </w:p>
        </w:tc>
        <w:tc>
          <w:tcPr>
            <w:tcW w:w="946" w:type="pct"/>
            <w:tcBorders>
              <w:top w:val="single" w:color="000000" w:sz="4" w:space="0"/>
              <w:left w:val="single" w:color="000000" w:sz="4" w:space="0"/>
              <w:bottom w:val="single" w:color="000000" w:sz="4" w:space="0"/>
              <w:right w:val="single" w:color="000000" w:sz="4" w:space="0"/>
            </w:tcBorders>
            <w:vAlign w:val="center"/>
          </w:tcPr>
          <w:p w14:paraId="63A829CC">
            <w:pPr>
              <w:pStyle w:val="434"/>
              <w:jc w:val="center"/>
              <w:rPr>
                <w:color w:val="auto"/>
                <w:sz w:val="21"/>
                <w:szCs w:val="21"/>
              </w:rPr>
            </w:pPr>
            <w:r>
              <w:rPr>
                <w:color w:val="auto"/>
                <w:sz w:val="21"/>
                <w:szCs w:val="21"/>
              </w:rPr>
              <w:t>P1</w:t>
            </w:r>
          </w:p>
        </w:tc>
        <w:tc>
          <w:tcPr>
            <w:tcW w:w="946" w:type="pct"/>
            <w:tcBorders>
              <w:top w:val="single" w:color="000000" w:sz="4" w:space="0"/>
              <w:left w:val="single" w:color="000000" w:sz="4" w:space="0"/>
              <w:bottom w:val="single" w:color="000000" w:sz="4" w:space="0"/>
              <w:right w:val="single" w:color="000000" w:sz="4" w:space="0"/>
            </w:tcBorders>
            <w:vAlign w:val="center"/>
          </w:tcPr>
          <w:p w14:paraId="10241CB1">
            <w:pPr>
              <w:pStyle w:val="434"/>
              <w:jc w:val="center"/>
              <w:rPr>
                <w:color w:val="auto"/>
                <w:sz w:val="21"/>
                <w:szCs w:val="21"/>
              </w:rPr>
            </w:pPr>
            <w:r>
              <w:rPr>
                <w:color w:val="auto"/>
                <w:sz w:val="21"/>
                <w:szCs w:val="21"/>
              </w:rPr>
              <w:t>P2</w:t>
            </w:r>
          </w:p>
        </w:tc>
        <w:tc>
          <w:tcPr>
            <w:tcW w:w="944" w:type="pct"/>
            <w:tcBorders>
              <w:top w:val="single" w:color="000000" w:sz="4" w:space="0"/>
              <w:left w:val="single" w:color="000000" w:sz="4" w:space="0"/>
              <w:bottom w:val="single" w:color="000000" w:sz="4" w:space="0"/>
              <w:right w:val="nil"/>
            </w:tcBorders>
            <w:vAlign w:val="center"/>
          </w:tcPr>
          <w:p w14:paraId="0286CCAB">
            <w:pPr>
              <w:pStyle w:val="434"/>
              <w:jc w:val="center"/>
              <w:rPr>
                <w:color w:val="auto"/>
                <w:sz w:val="21"/>
                <w:szCs w:val="21"/>
              </w:rPr>
            </w:pPr>
            <w:r>
              <w:rPr>
                <w:color w:val="auto"/>
                <w:sz w:val="21"/>
                <w:szCs w:val="21"/>
              </w:rPr>
              <w:t>P3</w:t>
            </w:r>
          </w:p>
        </w:tc>
      </w:tr>
      <w:tr w14:paraId="36B3D9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6" w:type="pct"/>
            <w:tcBorders>
              <w:top w:val="single" w:color="000000" w:sz="4" w:space="0"/>
              <w:left w:val="nil"/>
              <w:bottom w:val="single" w:color="000000" w:sz="4" w:space="0"/>
              <w:right w:val="single" w:color="000000" w:sz="4" w:space="0"/>
            </w:tcBorders>
            <w:vAlign w:val="center"/>
          </w:tcPr>
          <w:p w14:paraId="089308A0">
            <w:pPr>
              <w:pStyle w:val="434"/>
              <w:jc w:val="center"/>
              <w:rPr>
                <w:color w:val="auto"/>
                <w:sz w:val="21"/>
                <w:szCs w:val="21"/>
              </w:rPr>
            </w:pPr>
            <w:r>
              <w:rPr>
                <w:color w:val="auto"/>
                <w:sz w:val="21"/>
                <w:szCs w:val="21"/>
              </w:rPr>
              <w:t>10≤</w:t>
            </w:r>
            <w:r>
              <w:rPr>
                <w:i/>
                <w:color w:val="auto"/>
                <w:sz w:val="21"/>
                <w:szCs w:val="21"/>
              </w:rPr>
              <w:t>Q</w:t>
            </w:r>
            <w:r>
              <w:rPr>
                <w:color w:val="auto"/>
                <w:sz w:val="21"/>
                <w:szCs w:val="21"/>
              </w:rPr>
              <w:t>＜100</w:t>
            </w:r>
          </w:p>
        </w:tc>
        <w:tc>
          <w:tcPr>
            <w:tcW w:w="946" w:type="pct"/>
            <w:tcBorders>
              <w:top w:val="single" w:color="000000" w:sz="4" w:space="0"/>
              <w:left w:val="single" w:color="000000" w:sz="4" w:space="0"/>
              <w:bottom w:val="single" w:color="000000" w:sz="4" w:space="0"/>
              <w:right w:val="single" w:color="000000" w:sz="4" w:space="0"/>
            </w:tcBorders>
            <w:vAlign w:val="center"/>
          </w:tcPr>
          <w:p w14:paraId="1C9825CE">
            <w:pPr>
              <w:pStyle w:val="434"/>
              <w:jc w:val="center"/>
              <w:rPr>
                <w:color w:val="auto"/>
                <w:sz w:val="21"/>
                <w:szCs w:val="21"/>
              </w:rPr>
            </w:pPr>
            <w:r>
              <w:rPr>
                <w:color w:val="auto"/>
                <w:sz w:val="21"/>
                <w:szCs w:val="21"/>
              </w:rPr>
              <w:t>P1</w:t>
            </w:r>
          </w:p>
        </w:tc>
        <w:tc>
          <w:tcPr>
            <w:tcW w:w="946" w:type="pct"/>
            <w:tcBorders>
              <w:top w:val="single" w:color="000000" w:sz="4" w:space="0"/>
              <w:left w:val="single" w:color="000000" w:sz="4" w:space="0"/>
              <w:bottom w:val="single" w:color="000000" w:sz="4" w:space="0"/>
              <w:right w:val="single" w:color="000000" w:sz="4" w:space="0"/>
            </w:tcBorders>
            <w:vAlign w:val="center"/>
          </w:tcPr>
          <w:p w14:paraId="36CEBB13">
            <w:pPr>
              <w:pStyle w:val="434"/>
              <w:jc w:val="center"/>
              <w:rPr>
                <w:color w:val="auto"/>
                <w:sz w:val="21"/>
                <w:szCs w:val="21"/>
              </w:rPr>
            </w:pPr>
            <w:r>
              <w:rPr>
                <w:color w:val="auto"/>
                <w:sz w:val="21"/>
                <w:szCs w:val="21"/>
              </w:rPr>
              <w:t>P2</w:t>
            </w:r>
          </w:p>
        </w:tc>
        <w:tc>
          <w:tcPr>
            <w:tcW w:w="946" w:type="pct"/>
            <w:tcBorders>
              <w:top w:val="single" w:color="000000" w:sz="4" w:space="0"/>
              <w:left w:val="single" w:color="000000" w:sz="4" w:space="0"/>
              <w:bottom w:val="single" w:color="000000" w:sz="4" w:space="0"/>
              <w:right w:val="single" w:color="000000" w:sz="4" w:space="0"/>
            </w:tcBorders>
            <w:vAlign w:val="center"/>
          </w:tcPr>
          <w:p w14:paraId="5302427B">
            <w:pPr>
              <w:pStyle w:val="434"/>
              <w:jc w:val="center"/>
              <w:rPr>
                <w:color w:val="auto"/>
                <w:sz w:val="21"/>
                <w:szCs w:val="21"/>
              </w:rPr>
            </w:pPr>
            <w:r>
              <w:rPr>
                <w:color w:val="auto"/>
                <w:sz w:val="21"/>
                <w:szCs w:val="21"/>
              </w:rPr>
              <w:t>P3</w:t>
            </w:r>
          </w:p>
        </w:tc>
        <w:tc>
          <w:tcPr>
            <w:tcW w:w="944" w:type="pct"/>
            <w:tcBorders>
              <w:top w:val="single" w:color="000000" w:sz="4" w:space="0"/>
              <w:left w:val="single" w:color="000000" w:sz="4" w:space="0"/>
              <w:bottom w:val="single" w:color="000000" w:sz="4" w:space="0"/>
              <w:right w:val="nil"/>
            </w:tcBorders>
            <w:vAlign w:val="center"/>
          </w:tcPr>
          <w:p w14:paraId="38F510B1">
            <w:pPr>
              <w:pStyle w:val="434"/>
              <w:jc w:val="center"/>
              <w:rPr>
                <w:color w:val="auto"/>
                <w:sz w:val="21"/>
                <w:szCs w:val="21"/>
              </w:rPr>
            </w:pPr>
            <w:r>
              <w:rPr>
                <w:color w:val="auto"/>
                <w:sz w:val="21"/>
                <w:szCs w:val="21"/>
              </w:rPr>
              <w:t>P4</w:t>
            </w:r>
          </w:p>
        </w:tc>
      </w:tr>
      <w:tr w14:paraId="163A84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6" w:type="pct"/>
            <w:tcBorders>
              <w:top w:val="single" w:color="000000" w:sz="4" w:space="0"/>
              <w:left w:val="nil"/>
              <w:bottom w:val="double" w:color="auto" w:sz="4" w:space="0"/>
              <w:right w:val="single" w:color="000000" w:sz="4" w:space="0"/>
            </w:tcBorders>
            <w:vAlign w:val="center"/>
          </w:tcPr>
          <w:p w14:paraId="42655B6A">
            <w:pPr>
              <w:pStyle w:val="434"/>
              <w:jc w:val="center"/>
              <w:rPr>
                <w:color w:val="auto"/>
                <w:sz w:val="21"/>
                <w:szCs w:val="21"/>
              </w:rPr>
            </w:pPr>
            <w:r>
              <w:rPr>
                <w:color w:val="auto"/>
                <w:sz w:val="21"/>
                <w:szCs w:val="21"/>
              </w:rPr>
              <w:t>1≤</w:t>
            </w:r>
            <w:r>
              <w:rPr>
                <w:i/>
                <w:color w:val="auto"/>
                <w:sz w:val="21"/>
                <w:szCs w:val="21"/>
              </w:rPr>
              <w:t>Q</w:t>
            </w:r>
            <w:r>
              <w:rPr>
                <w:color w:val="auto"/>
                <w:sz w:val="21"/>
                <w:szCs w:val="21"/>
              </w:rPr>
              <w:t>＜10</w:t>
            </w:r>
          </w:p>
        </w:tc>
        <w:tc>
          <w:tcPr>
            <w:tcW w:w="946" w:type="pct"/>
            <w:tcBorders>
              <w:top w:val="single" w:color="000000" w:sz="4" w:space="0"/>
              <w:left w:val="single" w:color="000000" w:sz="4" w:space="0"/>
              <w:bottom w:val="double" w:color="auto" w:sz="4" w:space="0"/>
              <w:right w:val="single" w:color="000000" w:sz="4" w:space="0"/>
            </w:tcBorders>
            <w:vAlign w:val="center"/>
          </w:tcPr>
          <w:p w14:paraId="1F69F31D">
            <w:pPr>
              <w:pStyle w:val="434"/>
              <w:jc w:val="center"/>
              <w:rPr>
                <w:color w:val="auto"/>
                <w:sz w:val="21"/>
                <w:szCs w:val="21"/>
              </w:rPr>
            </w:pPr>
            <w:r>
              <w:rPr>
                <w:color w:val="auto"/>
                <w:sz w:val="21"/>
                <w:szCs w:val="21"/>
              </w:rPr>
              <w:t>P2</w:t>
            </w:r>
          </w:p>
        </w:tc>
        <w:tc>
          <w:tcPr>
            <w:tcW w:w="946" w:type="pct"/>
            <w:tcBorders>
              <w:top w:val="single" w:color="000000" w:sz="4" w:space="0"/>
              <w:left w:val="single" w:color="000000" w:sz="4" w:space="0"/>
              <w:bottom w:val="double" w:color="auto" w:sz="4" w:space="0"/>
              <w:right w:val="single" w:color="000000" w:sz="4" w:space="0"/>
            </w:tcBorders>
            <w:vAlign w:val="center"/>
          </w:tcPr>
          <w:p w14:paraId="50D8670D">
            <w:pPr>
              <w:pStyle w:val="434"/>
              <w:jc w:val="center"/>
              <w:rPr>
                <w:color w:val="auto"/>
                <w:sz w:val="21"/>
                <w:szCs w:val="21"/>
              </w:rPr>
            </w:pPr>
            <w:r>
              <w:rPr>
                <w:color w:val="auto"/>
                <w:sz w:val="21"/>
                <w:szCs w:val="21"/>
              </w:rPr>
              <w:t>P3</w:t>
            </w:r>
          </w:p>
        </w:tc>
        <w:tc>
          <w:tcPr>
            <w:tcW w:w="946" w:type="pct"/>
            <w:tcBorders>
              <w:top w:val="single" w:color="000000" w:sz="4" w:space="0"/>
              <w:left w:val="single" w:color="000000" w:sz="4" w:space="0"/>
              <w:bottom w:val="double" w:color="auto" w:sz="4" w:space="0"/>
              <w:right w:val="single" w:color="000000" w:sz="4" w:space="0"/>
            </w:tcBorders>
            <w:vAlign w:val="center"/>
          </w:tcPr>
          <w:p w14:paraId="5CD77280">
            <w:pPr>
              <w:pStyle w:val="434"/>
              <w:jc w:val="center"/>
              <w:rPr>
                <w:color w:val="auto"/>
                <w:sz w:val="21"/>
                <w:szCs w:val="21"/>
              </w:rPr>
            </w:pPr>
            <w:r>
              <w:rPr>
                <w:color w:val="auto"/>
                <w:sz w:val="21"/>
                <w:szCs w:val="21"/>
              </w:rPr>
              <w:t>P4</w:t>
            </w:r>
          </w:p>
        </w:tc>
        <w:tc>
          <w:tcPr>
            <w:tcW w:w="944" w:type="pct"/>
            <w:tcBorders>
              <w:top w:val="single" w:color="000000" w:sz="4" w:space="0"/>
              <w:left w:val="single" w:color="000000" w:sz="4" w:space="0"/>
              <w:bottom w:val="double" w:color="auto" w:sz="4" w:space="0"/>
              <w:right w:val="nil"/>
            </w:tcBorders>
            <w:vAlign w:val="center"/>
          </w:tcPr>
          <w:p w14:paraId="5187C187">
            <w:pPr>
              <w:pStyle w:val="434"/>
              <w:jc w:val="center"/>
              <w:rPr>
                <w:color w:val="auto"/>
                <w:sz w:val="21"/>
                <w:szCs w:val="21"/>
              </w:rPr>
            </w:pPr>
            <w:r>
              <w:rPr>
                <w:color w:val="auto"/>
                <w:sz w:val="21"/>
                <w:szCs w:val="21"/>
              </w:rPr>
              <w:t>P4</w:t>
            </w:r>
          </w:p>
        </w:tc>
      </w:tr>
    </w:tbl>
    <w:p w14:paraId="34C0497F">
      <w:pPr>
        <w:pStyle w:val="23"/>
        <w:widowControl/>
        <w:numPr>
          <w:ilvl w:val="0"/>
          <w:numId w:val="5"/>
        </w:numPr>
        <w:spacing w:after="0" w:line="360" w:lineRule="auto"/>
        <w:rPr>
          <w:color w:val="auto"/>
          <w:sz w:val="24"/>
        </w:rPr>
      </w:pPr>
      <w:r>
        <w:rPr>
          <w:i/>
          <w:color w:val="auto"/>
          <w:sz w:val="24"/>
        </w:rPr>
        <w:t>Q</w:t>
      </w:r>
      <w:r>
        <w:rPr>
          <w:color w:val="auto"/>
          <w:sz w:val="24"/>
        </w:rPr>
        <w:t>值确定</w:t>
      </w:r>
    </w:p>
    <w:p w14:paraId="13ED53A2">
      <w:pPr>
        <w:pStyle w:val="23"/>
        <w:spacing w:after="0" w:line="360" w:lineRule="auto"/>
        <w:ind w:firstLine="480" w:firstLineChars="200"/>
        <w:rPr>
          <w:color w:val="auto"/>
          <w:sz w:val="24"/>
        </w:rPr>
      </w:pPr>
      <w:r>
        <w:rPr>
          <w:color w:val="auto"/>
          <w:sz w:val="24"/>
        </w:rPr>
        <w:t xml:space="preserve">当只涉及一种危险物质时，计算该物质的总量与其临界量比值，即为 </w:t>
      </w:r>
      <w:r>
        <w:rPr>
          <w:i/>
          <w:color w:val="auto"/>
          <w:sz w:val="24"/>
        </w:rPr>
        <w:t>Q</w:t>
      </w:r>
      <w:r>
        <w:rPr>
          <w:color w:val="auto"/>
          <w:sz w:val="24"/>
        </w:rPr>
        <w:t>；</w:t>
      </w:r>
    </w:p>
    <w:p w14:paraId="1FBE020B">
      <w:pPr>
        <w:pStyle w:val="23"/>
        <w:spacing w:after="0" w:line="360" w:lineRule="auto"/>
        <w:ind w:firstLine="508" w:firstLineChars="200"/>
        <w:rPr>
          <w:color w:val="auto"/>
          <w:spacing w:val="7"/>
          <w:sz w:val="24"/>
        </w:rPr>
      </w:pPr>
      <w:r>
        <w:rPr>
          <w:color w:val="auto"/>
          <w:spacing w:val="7"/>
          <w:sz w:val="24"/>
        </w:rPr>
        <w:t>当存在多种危险物质时，则按下式计算物质总量与其临界量比值（</w:t>
      </w:r>
      <w:r>
        <w:rPr>
          <w:i/>
          <w:color w:val="auto"/>
          <w:sz w:val="24"/>
        </w:rPr>
        <w:t>Q</w:t>
      </w:r>
      <w:r>
        <w:rPr>
          <w:color w:val="auto"/>
          <w:spacing w:val="7"/>
          <w:sz w:val="24"/>
        </w:rPr>
        <w:t>）：</w:t>
      </w:r>
    </w:p>
    <w:p w14:paraId="260FE70B">
      <w:pPr>
        <w:pStyle w:val="23"/>
        <w:spacing w:after="0" w:line="360" w:lineRule="auto"/>
        <w:ind w:firstLine="508" w:firstLineChars="200"/>
        <w:jc w:val="center"/>
        <w:rPr>
          <w:color w:val="auto"/>
          <w:spacing w:val="7"/>
          <w:sz w:val="24"/>
        </w:rPr>
      </w:pPr>
      <w:r>
        <w:rPr>
          <w:color w:val="auto"/>
          <w:spacing w:val="7"/>
          <w:sz w:val="24"/>
        </w:rPr>
        <w:drawing>
          <wp:inline distT="0" distB="0" distL="114300" distR="114300">
            <wp:extent cx="1563370" cy="380365"/>
            <wp:effectExtent l="0" t="0" r="0" b="0"/>
            <wp:docPr id="25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87"/>
                    <pic:cNvPicPr>
                      <a:picLocks noChangeAspect="1"/>
                    </pic:cNvPicPr>
                  </pic:nvPicPr>
                  <pic:blipFill>
                    <a:blip r:embed="rId24">
                      <a:clrChange>
                        <a:clrFrom>
                          <a:srgbClr val="FFFFFF"/>
                        </a:clrFrom>
                        <a:clrTo>
                          <a:srgbClr val="FFFFFF">
                            <a:alpha val="0"/>
                          </a:srgbClr>
                        </a:clrTo>
                      </a:clrChange>
                    </a:blip>
                    <a:stretch>
                      <a:fillRect/>
                    </a:stretch>
                  </pic:blipFill>
                  <pic:spPr>
                    <a:xfrm>
                      <a:off x="0" y="0"/>
                      <a:ext cx="1563370" cy="380365"/>
                    </a:xfrm>
                    <a:prstGeom prst="rect">
                      <a:avLst/>
                    </a:prstGeom>
                    <a:noFill/>
                    <a:ln>
                      <a:noFill/>
                    </a:ln>
                  </pic:spPr>
                </pic:pic>
              </a:graphicData>
            </a:graphic>
          </wp:inline>
        </w:drawing>
      </w:r>
    </w:p>
    <w:p w14:paraId="5BDDF94A">
      <w:pPr>
        <w:pStyle w:val="23"/>
        <w:spacing w:after="0" w:line="360" w:lineRule="auto"/>
        <w:ind w:firstLine="480" w:firstLineChars="200"/>
        <w:rPr>
          <w:color w:val="auto"/>
          <w:sz w:val="24"/>
        </w:rPr>
      </w:pPr>
      <w:r>
        <w:rPr>
          <w:color w:val="auto"/>
          <w:sz w:val="24"/>
        </w:rPr>
        <w:t>式中：</w:t>
      </w:r>
      <w:r>
        <w:rPr>
          <w:i/>
          <w:color w:val="auto"/>
          <w:sz w:val="24"/>
        </w:rPr>
        <w:t>q</w:t>
      </w:r>
      <w:r>
        <w:rPr>
          <w:color w:val="auto"/>
          <w:sz w:val="24"/>
          <w:vertAlign w:val="subscript"/>
        </w:rPr>
        <w:t>1</w:t>
      </w:r>
      <w:r>
        <w:rPr>
          <w:color w:val="auto"/>
          <w:sz w:val="24"/>
        </w:rPr>
        <w:t>，</w:t>
      </w:r>
      <w:r>
        <w:rPr>
          <w:i/>
          <w:color w:val="auto"/>
          <w:sz w:val="24"/>
        </w:rPr>
        <w:t>q</w:t>
      </w:r>
      <w:r>
        <w:rPr>
          <w:color w:val="auto"/>
          <w:sz w:val="24"/>
          <w:vertAlign w:val="subscript"/>
        </w:rPr>
        <w:t>2</w:t>
      </w:r>
      <w:r>
        <w:rPr>
          <w:color w:val="auto"/>
          <w:sz w:val="24"/>
        </w:rPr>
        <w:t>，...，</w:t>
      </w:r>
      <w:r>
        <w:rPr>
          <w:i/>
          <w:color w:val="auto"/>
          <w:sz w:val="24"/>
        </w:rPr>
        <w:t>q</w:t>
      </w:r>
      <w:r>
        <w:rPr>
          <w:i/>
          <w:color w:val="auto"/>
          <w:sz w:val="24"/>
          <w:vertAlign w:val="subscript"/>
        </w:rPr>
        <w:t>n</w:t>
      </w:r>
      <w:r>
        <w:rPr>
          <w:color w:val="auto"/>
          <w:sz w:val="24"/>
        </w:rPr>
        <w:t>——每种危险物质的最大存在总量，t；</w:t>
      </w:r>
    </w:p>
    <w:p w14:paraId="68D15BE5">
      <w:pPr>
        <w:pStyle w:val="23"/>
        <w:spacing w:after="0" w:line="360" w:lineRule="auto"/>
        <w:ind w:firstLine="480" w:firstLineChars="200"/>
        <w:rPr>
          <w:color w:val="auto"/>
          <w:sz w:val="24"/>
        </w:rPr>
      </w:pPr>
      <w:r>
        <w:rPr>
          <w:i/>
          <w:color w:val="auto"/>
          <w:sz w:val="24"/>
        </w:rPr>
        <w:t>Q</w:t>
      </w:r>
      <w:r>
        <w:rPr>
          <w:color w:val="auto"/>
          <w:sz w:val="24"/>
          <w:vertAlign w:val="subscript"/>
        </w:rPr>
        <w:t>1</w:t>
      </w:r>
      <w:r>
        <w:rPr>
          <w:color w:val="auto"/>
          <w:sz w:val="24"/>
        </w:rPr>
        <w:t xml:space="preserve">, </w:t>
      </w:r>
      <w:r>
        <w:rPr>
          <w:i/>
          <w:color w:val="auto"/>
          <w:sz w:val="24"/>
        </w:rPr>
        <w:t>Q</w:t>
      </w:r>
      <w:r>
        <w:rPr>
          <w:color w:val="auto"/>
          <w:sz w:val="24"/>
          <w:vertAlign w:val="subscript"/>
        </w:rPr>
        <w:t>2</w:t>
      </w:r>
      <w:r>
        <w:rPr>
          <w:color w:val="auto"/>
          <w:sz w:val="24"/>
        </w:rPr>
        <w:t xml:space="preserve">, ..., </w:t>
      </w:r>
      <w:r>
        <w:rPr>
          <w:i/>
          <w:color w:val="auto"/>
          <w:sz w:val="24"/>
        </w:rPr>
        <w:t>Q</w:t>
      </w:r>
      <w:r>
        <w:rPr>
          <w:i/>
          <w:color w:val="auto"/>
          <w:sz w:val="24"/>
          <w:vertAlign w:val="subscript"/>
        </w:rPr>
        <w:t>n</w:t>
      </w:r>
      <w:r>
        <w:rPr>
          <w:color w:val="auto"/>
          <w:sz w:val="24"/>
        </w:rPr>
        <w:t>——每种危险物的临界量，t。</w:t>
      </w:r>
    </w:p>
    <w:p w14:paraId="20035CBD">
      <w:pPr>
        <w:pStyle w:val="23"/>
        <w:spacing w:after="0" w:line="360" w:lineRule="auto"/>
        <w:ind w:firstLine="480" w:firstLineChars="200"/>
        <w:rPr>
          <w:color w:val="auto"/>
          <w:sz w:val="24"/>
        </w:rPr>
      </w:pPr>
      <w:r>
        <w:rPr>
          <w:color w:val="auto"/>
          <w:sz w:val="24"/>
        </w:rPr>
        <w:t>当</w:t>
      </w:r>
      <w:r>
        <w:rPr>
          <w:i/>
          <w:color w:val="auto"/>
          <w:sz w:val="24"/>
        </w:rPr>
        <w:t>Q</w:t>
      </w:r>
      <w:r>
        <w:rPr>
          <w:color w:val="auto"/>
          <w:sz w:val="24"/>
        </w:rPr>
        <w:t>＜1 时，该项目环境风险潜势为Ⅰ。</w:t>
      </w:r>
    </w:p>
    <w:p w14:paraId="62C55953">
      <w:pPr>
        <w:snapToGrid w:val="0"/>
        <w:spacing w:line="360" w:lineRule="auto"/>
        <w:ind w:firstLine="372" w:firstLineChars="200"/>
        <w:rPr>
          <w:b/>
          <w:color w:val="auto"/>
          <w:kern w:val="0"/>
          <w:sz w:val="24"/>
        </w:rPr>
      </w:pPr>
      <w:r>
        <w:rPr>
          <w:color w:val="auto"/>
          <w:spacing w:val="-27"/>
          <w:sz w:val="24"/>
        </w:rPr>
        <w:t xml:space="preserve">  当 </w:t>
      </w:r>
      <w:r>
        <w:rPr>
          <w:i/>
          <w:color w:val="auto"/>
          <w:spacing w:val="-1"/>
          <w:sz w:val="24"/>
        </w:rPr>
        <w:t>Q</w:t>
      </w:r>
      <w:r>
        <w:rPr>
          <w:color w:val="auto"/>
          <w:sz w:val="24"/>
        </w:rPr>
        <w:t xml:space="preserve">≥1 </w:t>
      </w:r>
      <w:r>
        <w:rPr>
          <w:color w:val="auto"/>
          <w:spacing w:val="-14"/>
          <w:sz w:val="24"/>
        </w:rPr>
        <w:t xml:space="preserve">时，将 </w:t>
      </w:r>
      <w:r>
        <w:rPr>
          <w:i/>
          <w:color w:val="auto"/>
          <w:sz w:val="24"/>
        </w:rPr>
        <w:t>Q</w:t>
      </w:r>
      <w:r>
        <w:rPr>
          <w:color w:val="auto"/>
          <w:spacing w:val="-21"/>
          <w:sz w:val="24"/>
        </w:rPr>
        <w:t>值划分为：</w:t>
      </w:r>
      <w:r>
        <w:rPr>
          <w:color w:val="auto"/>
          <w:sz w:val="24"/>
        </w:rPr>
        <w:t>（1</w:t>
      </w:r>
      <w:r>
        <w:rPr>
          <w:color w:val="auto"/>
          <w:spacing w:val="-2"/>
          <w:sz w:val="24"/>
        </w:rPr>
        <w:t>）</w:t>
      </w:r>
      <w:r>
        <w:rPr>
          <w:color w:val="auto"/>
          <w:sz w:val="24"/>
        </w:rPr>
        <w:t>1</w:t>
      </w:r>
      <w:r>
        <w:rPr>
          <w:color w:val="auto"/>
          <w:spacing w:val="-2"/>
          <w:sz w:val="24"/>
        </w:rPr>
        <w:t>≤</w:t>
      </w:r>
      <w:r>
        <w:rPr>
          <w:i/>
          <w:color w:val="auto"/>
          <w:spacing w:val="-1"/>
          <w:sz w:val="24"/>
        </w:rPr>
        <w:t>Q</w:t>
      </w:r>
      <w:r>
        <w:rPr>
          <w:color w:val="auto"/>
          <w:sz w:val="24"/>
        </w:rPr>
        <w:t>＜10</w:t>
      </w:r>
      <w:r>
        <w:rPr>
          <w:color w:val="auto"/>
          <w:spacing w:val="-105"/>
          <w:sz w:val="24"/>
        </w:rPr>
        <w:t>；</w:t>
      </w:r>
      <w:r>
        <w:rPr>
          <w:color w:val="auto"/>
          <w:spacing w:val="-2"/>
          <w:sz w:val="24"/>
        </w:rPr>
        <w:t>（</w:t>
      </w:r>
      <w:r>
        <w:rPr>
          <w:color w:val="auto"/>
          <w:sz w:val="24"/>
        </w:rPr>
        <w:t>2</w:t>
      </w:r>
      <w:r>
        <w:rPr>
          <w:color w:val="auto"/>
          <w:spacing w:val="-2"/>
          <w:sz w:val="24"/>
        </w:rPr>
        <w:t>）</w:t>
      </w:r>
      <w:r>
        <w:rPr>
          <w:color w:val="auto"/>
          <w:sz w:val="24"/>
        </w:rPr>
        <w:t>10≤</w:t>
      </w:r>
      <w:r>
        <w:rPr>
          <w:i/>
          <w:color w:val="auto"/>
          <w:spacing w:val="-1"/>
          <w:sz w:val="24"/>
        </w:rPr>
        <w:t>Q</w:t>
      </w:r>
      <w:r>
        <w:rPr>
          <w:color w:val="auto"/>
          <w:sz w:val="24"/>
        </w:rPr>
        <w:t>＜</w:t>
      </w:r>
      <w:r>
        <w:rPr>
          <w:color w:val="auto"/>
          <w:spacing w:val="-1"/>
          <w:sz w:val="24"/>
        </w:rPr>
        <w:t>1</w:t>
      </w:r>
      <w:r>
        <w:rPr>
          <w:color w:val="auto"/>
          <w:sz w:val="24"/>
        </w:rPr>
        <w:t>0</w:t>
      </w:r>
      <w:r>
        <w:rPr>
          <w:color w:val="auto"/>
          <w:spacing w:val="-1"/>
          <w:sz w:val="24"/>
        </w:rPr>
        <w:t>0</w:t>
      </w:r>
      <w:r>
        <w:rPr>
          <w:color w:val="auto"/>
          <w:spacing w:val="-106"/>
          <w:sz w:val="24"/>
        </w:rPr>
        <w:t>；</w:t>
      </w:r>
      <w:r>
        <w:rPr>
          <w:color w:val="auto"/>
          <w:sz w:val="24"/>
        </w:rPr>
        <w:t>（3）</w:t>
      </w:r>
      <w:r>
        <w:rPr>
          <w:i/>
          <w:color w:val="auto"/>
          <w:spacing w:val="-1"/>
          <w:sz w:val="24"/>
        </w:rPr>
        <w:t>Q</w:t>
      </w:r>
      <w:r>
        <w:rPr>
          <w:color w:val="auto"/>
          <w:sz w:val="24"/>
        </w:rPr>
        <w:t>≥1</w:t>
      </w:r>
      <w:r>
        <w:rPr>
          <w:color w:val="auto"/>
          <w:spacing w:val="-1"/>
          <w:sz w:val="24"/>
        </w:rPr>
        <w:t>00</w:t>
      </w:r>
      <w:r>
        <w:rPr>
          <w:color w:val="auto"/>
          <w:sz w:val="24"/>
        </w:rPr>
        <w:t>。</w:t>
      </w:r>
    </w:p>
    <w:p w14:paraId="5E0B1A7C">
      <w:pPr>
        <w:spacing w:line="360" w:lineRule="auto"/>
        <w:ind w:firstLine="480" w:firstLineChars="200"/>
        <w:rPr>
          <w:color w:val="auto"/>
          <w:sz w:val="24"/>
          <w:highlight w:val="none"/>
        </w:rPr>
      </w:pPr>
      <w:r>
        <w:rPr>
          <w:color w:val="auto"/>
          <w:kern w:val="0"/>
          <w:sz w:val="24"/>
          <w:highlight w:val="none"/>
        </w:rPr>
        <w:t>本项目危险物质为</w:t>
      </w:r>
      <w:r>
        <w:rPr>
          <w:rFonts w:hint="eastAsia"/>
          <w:color w:val="auto"/>
          <w:kern w:val="0"/>
          <w:sz w:val="24"/>
          <w:highlight w:val="none"/>
          <w:lang w:eastAsia="zh-CN"/>
        </w:rPr>
        <w:t>柴油</w:t>
      </w:r>
      <w:r>
        <w:rPr>
          <w:color w:val="auto"/>
          <w:kern w:val="0"/>
          <w:sz w:val="24"/>
          <w:highlight w:val="none"/>
        </w:rPr>
        <w:t>，</w:t>
      </w:r>
      <w:r>
        <w:rPr>
          <w:color w:val="auto"/>
          <w:sz w:val="24"/>
          <w:highlight w:val="none"/>
        </w:rPr>
        <w:t>厂内最大储存量为0.5</w:t>
      </w:r>
      <w:r>
        <w:rPr>
          <w:rFonts w:hint="eastAsia"/>
          <w:color w:val="auto"/>
          <w:sz w:val="24"/>
          <w:highlight w:val="none"/>
          <w:lang w:val="en-US" w:eastAsia="zh-CN"/>
        </w:rPr>
        <w:t>1</w:t>
      </w:r>
      <w:r>
        <w:rPr>
          <w:color w:val="auto"/>
          <w:sz w:val="24"/>
          <w:highlight w:val="none"/>
        </w:rPr>
        <w:t>t，</w:t>
      </w:r>
      <w:r>
        <w:rPr>
          <w:rFonts w:hint="eastAsia"/>
          <w:color w:val="auto"/>
          <w:sz w:val="24"/>
          <w:highlight w:val="none"/>
        </w:rPr>
        <w:t>临界量为2500t；</w:t>
      </w:r>
      <w:r>
        <w:rPr>
          <w:color w:val="auto"/>
          <w:kern w:val="0"/>
          <w:sz w:val="24"/>
          <w:highlight w:val="none"/>
        </w:rPr>
        <w:t>经计算</w:t>
      </w:r>
      <w:r>
        <w:rPr>
          <w:color w:val="auto"/>
          <w:sz w:val="24"/>
          <w:highlight w:val="none"/>
        </w:rPr>
        <w:t>Q</w:t>
      </w:r>
      <w:r>
        <w:rPr>
          <w:rFonts w:hint="eastAsia"/>
          <w:color w:val="auto"/>
          <w:sz w:val="24"/>
          <w:highlight w:val="none"/>
        </w:rPr>
        <w:t>=</w:t>
      </w:r>
      <w:r>
        <w:rPr>
          <w:rFonts w:hint="eastAsia"/>
          <w:color w:val="auto"/>
          <w:sz w:val="24"/>
          <w:highlight w:val="none"/>
          <w:lang w:val="en-US" w:eastAsia="zh-CN"/>
        </w:rPr>
        <w:t>0.0002</w:t>
      </w:r>
      <w:r>
        <w:rPr>
          <w:rFonts w:hint="eastAsia"/>
          <w:color w:val="auto"/>
          <w:sz w:val="24"/>
          <w:highlight w:val="none"/>
        </w:rPr>
        <w:t>，属于Q＜1</w:t>
      </w:r>
      <w:r>
        <w:rPr>
          <w:color w:val="auto"/>
          <w:sz w:val="24"/>
          <w:highlight w:val="none"/>
        </w:rPr>
        <w:t>。</w:t>
      </w:r>
    </w:p>
    <w:p w14:paraId="5A882D4B">
      <w:pPr>
        <w:spacing w:line="360" w:lineRule="auto"/>
        <w:ind w:firstLine="480" w:firstLineChars="200"/>
        <w:rPr>
          <w:color w:val="auto"/>
          <w:sz w:val="24"/>
        </w:rPr>
      </w:pPr>
      <w:r>
        <w:rPr>
          <w:rFonts w:hint="eastAsia"/>
          <w:color w:val="auto"/>
          <w:sz w:val="24"/>
        </w:rPr>
        <w:t>因此，本项目环境风险</w:t>
      </w:r>
      <w:r>
        <w:rPr>
          <w:color w:val="auto"/>
          <w:sz w:val="24"/>
        </w:rPr>
        <w:t>潜势为Ⅰ，评价工作等级为简单分析。</w:t>
      </w:r>
    </w:p>
    <w:p w14:paraId="0CD8D25C">
      <w:pPr>
        <w:spacing w:line="360" w:lineRule="auto"/>
        <w:ind w:firstLine="480" w:firstLineChars="200"/>
        <w:rPr>
          <w:color w:val="auto"/>
          <w:sz w:val="24"/>
        </w:rPr>
      </w:pPr>
      <w:r>
        <w:rPr>
          <w:rFonts w:hint="eastAsia"/>
          <w:color w:val="auto"/>
          <w:sz w:val="24"/>
        </w:rPr>
        <w:t>本项目环境风险等级为简单分析，根据《建设项目环境风险评价技术导则》（</w:t>
      </w:r>
      <w:r>
        <w:rPr>
          <w:color w:val="auto"/>
          <w:sz w:val="24"/>
        </w:rPr>
        <w:t>HJ169-2018</w:t>
      </w:r>
      <w:r>
        <w:rPr>
          <w:rFonts w:hint="eastAsia"/>
          <w:color w:val="auto"/>
          <w:sz w:val="24"/>
        </w:rPr>
        <w:t>），不设置大气环境风险评价范围。</w:t>
      </w:r>
    </w:p>
    <w:p w14:paraId="322FF9AC">
      <w:pPr>
        <w:spacing w:line="360" w:lineRule="auto"/>
        <w:ind w:firstLine="480" w:firstLineChars="200"/>
        <w:rPr>
          <w:color w:val="auto"/>
          <w:sz w:val="24"/>
        </w:rPr>
      </w:pPr>
      <w:r>
        <w:rPr>
          <w:rFonts w:hint="eastAsia"/>
          <w:color w:val="auto"/>
          <w:sz w:val="24"/>
        </w:rPr>
        <w:t>②地表水环境风险评价范围</w:t>
      </w:r>
    </w:p>
    <w:p w14:paraId="23A4A6E5">
      <w:pPr>
        <w:spacing w:line="360" w:lineRule="auto"/>
        <w:ind w:firstLine="480" w:firstLineChars="200"/>
        <w:rPr>
          <w:color w:val="auto"/>
          <w:sz w:val="24"/>
        </w:rPr>
      </w:pPr>
      <w:r>
        <w:rPr>
          <w:rFonts w:hint="eastAsia"/>
          <w:color w:val="auto"/>
          <w:sz w:val="24"/>
        </w:rPr>
        <w:t>本项目环境风险等级为简单分析，根据《建设项目环境风险评价技术导则》（</w:t>
      </w:r>
      <w:r>
        <w:rPr>
          <w:color w:val="auto"/>
          <w:sz w:val="24"/>
        </w:rPr>
        <w:t>HJ169-2018</w:t>
      </w:r>
      <w:r>
        <w:rPr>
          <w:rFonts w:hint="eastAsia"/>
          <w:color w:val="auto"/>
          <w:sz w:val="24"/>
        </w:rPr>
        <w:t>），地表水环境风险评价范围参照</w:t>
      </w:r>
      <w:r>
        <w:rPr>
          <w:color w:val="auto"/>
          <w:sz w:val="24"/>
        </w:rPr>
        <w:t>HJ2.3</w:t>
      </w:r>
      <w:r>
        <w:rPr>
          <w:rFonts w:hint="eastAsia"/>
          <w:color w:val="auto"/>
          <w:sz w:val="24"/>
        </w:rPr>
        <w:t>确定，因此不设置地表水环境风险评价范围。</w:t>
      </w:r>
    </w:p>
    <w:p w14:paraId="71538F94">
      <w:pPr>
        <w:spacing w:line="360" w:lineRule="auto"/>
        <w:ind w:firstLine="480" w:firstLineChars="200"/>
        <w:rPr>
          <w:color w:val="auto"/>
          <w:sz w:val="24"/>
        </w:rPr>
      </w:pPr>
      <w:r>
        <w:rPr>
          <w:rFonts w:hint="eastAsia"/>
          <w:color w:val="auto"/>
          <w:sz w:val="24"/>
        </w:rPr>
        <w:t>③地下水环境风险评价范围</w:t>
      </w:r>
    </w:p>
    <w:p w14:paraId="50805D5E">
      <w:pPr>
        <w:spacing w:line="360" w:lineRule="auto"/>
        <w:ind w:firstLine="480" w:firstLineChars="200"/>
        <w:rPr>
          <w:color w:val="auto"/>
          <w:sz w:val="24"/>
          <w:highlight w:val="green"/>
        </w:rPr>
      </w:pPr>
      <w:r>
        <w:rPr>
          <w:rFonts w:hint="eastAsia"/>
          <w:color w:val="auto"/>
          <w:sz w:val="24"/>
        </w:rPr>
        <w:t>本项目环境风险等级为简单分析，根据《建设项目环境风险评价技术导则》（</w:t>
      </w:r>
      <w:r>
        <w:rPr>
          <w:color w:val="auto"/>
          <w:sz w:val="24"/>
        </w:rPr>
        <w:t>HJ169-2018</w:t>
      </w:r>
      <w:r>
        <w:rPr>
          <w:rFonts w:hint="eastAsia"/>
          <w:color w:val="auto"/>
          <w:sz w:val="24"/>
        </w:rPr>
        <w:t>），地下水环境风险评价范围参照</w:t>
      </w:r>
      <w:r>
        <w:rPr>
          <w:color w:val="auto"/>
          <w:sz w:val="24"/>
        </w:rPr>
        <w:t>HJ610</w:t>
      </w:r>
      <w:r>
        <w:rPr>
          <w:rFonts w:hint="eastAsia"/>
          <w:color w:val="auto"/>
          <w:sz w:val="24"/>
        </w:rPr>
        <w:t>确定，</w:t>
      </w:r>
      <w:r>
        <w:rPr>
          <w:rFonts w:hint="eastAsia"/>
          <w:color w:val="auto"/>
          <w:kern w:val="0"/>
          <w:sz w:val="24"/>
          <w:highlight w:val="none"/>
        </w:rPr>
        <w:t>以项目区为起点，上游距厂界</w:t>
      </w:r>
      <w:r>
        <w:rPr>
          <w:rFonts w:hint="eastAsia"/>
          <w:color w:val="auto"/>
          <w:kern w:val="0"/>
          <w:sz w:val="24"/>
          <w:highlight w:val="none"/>
          <w:lang w:val="en-US" w:eastAsia="zh-CN"/>
        </w:rPr>
        <w:t>75</w:t>
      </w:r>
      <w:r>
        <w:rPr>
          <w:color w:val="auto"/>
          <w:kern w:val="0"/>
          <w:sz w:val="24"/>
          <w:highlight w:val="none"/>
        </w:rPr>
        <w:t>0m</w:t>
      </w:r>
      <w:r>
        <w:rPr>
          <w:rFonts w:hint="eastAsia"/>
          <w:color w:val="auto"/>
          <w:kern w:val="0"/>
          <w:sz w:val="24"/>
          <w:highlight w:val="none"/>
        </w:rPr>
        <w:t>、</w:t>
      </w:r>
      <w:r>
        <w:rPr>
          <w:rFonts w:hint="eastAsia"/>
          <w:color w:val="auto"/>
          <w:kern w:val="0"/>
          <w:sz w:val="24"/>
          <w:highlight w:val="none"/>
          <w:lang w:eastAsia="zh-CN"/>
        </w:rPr>
        <w:t>东侧、西侧以</w:t>
      </w:r>
      <w:r>
        <w:rPr>
          <w:rFonts w:hint="eastAsia"/>
          <w:color w:val="auto"/>
          <w:kern w:val="0"/>
          <w:sz w:val="24"/>
          <w:highlight w:val="none"/>
          <w:lang w:val="en-US" w:eastAsia="zh-CN"/>
        </w:rPr>
        <w:t>750m</w:t>
      </w:r>
      <w:r>
        <w:rPr>
          <w:rFonts w:hint="eastAsia"/>
          <w:color w:val="auto"/>
          <w:kern w:val="0"/>
          <w:sz w:val="24"/>
          <w:highlight w:val="none"/>
          <w:lang w:eastAsia="zh-CN"/>
        </w:rPr>
        <w:t>为界，</w:t>
      </w:r>
      <w:r>
        <w:rPr>
          <w:rFonts w:hint="eastAsia"/>
          <w:color w:val="auto"/>
          <w:kern w:val="0"/>
          <w:sz w:val="24"/>
          <w:highlight w:val="none"/>
        </w:rPr>
        <w:t>下游距厂界</w:t>
      </w:r>
      <w:r>
        <w:rPr>
          <w:color w:val="auto"/>
          <w:kern w:val="0"/>
          <w:sz w:val="24"/>
          <w:highlight w:val="none"/>
        </w:rPr>
        <w:t>1500m</w:t>
      </w:r>
      <w:r>
        <w:rPr>
          <w:rFonts w:hint="eastAsia"/>
          <w:color w:val="auto"/>
          <w:kern w:val="0"/>
          <w:sz w:val="24"/>
          <w:highlight w:val="none"/>
        </w:rPr>
        <w:t>，划定调查评价区面积约为</w:t>
      </w:r>
      <w:r>
        <w:rPr>
          <w:rFonts w:hint="eastAsia"/>
          <w:color w:val="auto"/>
          <w:kern w:val="0"/>
          <w:sz w:val="24"/>
          <w:highlight w:val="none"/>
          <w:lang w:val="en-US" w:eastAsia="zh-CN"/>
        </w:rPr>
        <w:t>3.26</w:t>
      </w:r>
      <w:r>
        <w:rPr>
          <w:color w:val="auto"/>
          <w:kern w:val="0"/>
          <w:sz w:val="24"/>
          <w:highlight w:val="none"/>
        </w:rPr>
        <w:t>km</w:t>
      </w:r>
      <w:r>
        <w:rPr>
          <w:color w:val="auto"/>
          <w:kern w:val="0"/>
          <w:sz w:val="24"/>
          <w:highlight w:val="none"/>
          <w:vertAlign w:val="superscript"/>
        </w:rPr>
        <w:t>2</w:t>
      </w:r>
      <w:r>
        <w:rPr>
          <w:rFonts w:hint="eastAsia"/>
          <w:color w:val="auto"/>
          <w:kern w:val="0"/>
          <w:sz w:val="24"/>
          <w:highlight w:val="none"/>
        </w:rPr>
        <w:t>。</w:t>
      </w:r>
    </w:p>
    <w:p w14:paraId="6945FA79">
      <w:pPr>
        <w:spacing w:line="360" w:lineRule="auto"/>
        <w:ind w:firstLine="480" w:firstLineChars="200"/>
        <w:rPr>
          <w:color w:val="auto"/>
          <w:sz w:val="24"/>
          <w:highlight w:val="none"/>
        </w:rPr>
      </w:pPr>
      <w:r>
        <w:rPr>
          <w:rFonts w:hint="eastAsia"/>
          <w:color w:val="auto"/>
          <w:sz w:val="24"/>
          <w:highlight w:val="none"/>
        </w:rPr>
        <w:t>建设项目环境风险评价范围图同建设项目地下水环境影响评价范围图，见图2</w:t>
      </w:r>
      <w:r>
        <w:rPr>
          <w:rFonts w:hint="eastAsia"/>
          <w:color w:val="auto"/>
          <w:sz w:val="24"/>
          <w:highlight w:val="none"/>
          <w:lang w:val="en-US" w:eastAsia="zh-CN"/>
        </w:rPr>
        <w:t>.3-4</w:t>
      </w:r>
      <w:r>
        <w:rPr>
          <w:rFonts w:hint="eastAsia"/>
          <w:color w:val="auto"/>
          <w:sz w:val="24"/>
          <w:highlight w:val="none"/>
        </w:rPr>
        <w:t>。</w:t>
      </w:r>
    </w:p>
    <w:p w14:paraId="27FB637C">
      <w:pPr>
        <w:snapToGrid w:val="0"/>
        <w:spacing w:line="360" w:lineRule="auto"/>
        <w:outlineLvl w:val="3"/>
        <w:rPr>
          <w:b/>
          <w:color w:val="auto"/>
          <w:sz w:val="24"/>
        </w:rPr>
      </w:pPr>
      <w:r>
        <w:rPr>
          <w:b/>
          <w:color w:val="auto"/>
          <w:sz w:val="24"/>
        </w:rPr>
        <w:t>2.3.1.7土壤环境评价工作等级</w:t>
      </w:r>
    </w:p>
    <w:p w14:paraId="269B05CA">
      <w:pPr>
        <w:snapToGrid w:val="0"/>
        <w:spacing w:line="360" w:lineRule="auto"/>
        <w:ind w:firstLine="480" w:firstLineChars="200"/>
        <w:rPr>
          <w:rFonts w:hint="eastAsia" w:eastAsia="宋体"/>
          <w:bCs/>
          <w:color w:val="auto"/>
          <w:sz w:val="24"/>
          <w:lang w:val="en-US" w:eastAsia="zh-CN"/>
        </w:rPr>
      </w:pPr>
      <w:r>
        <w:rPr>
          <w:bCs/>
          <w:color w:val="auto"/>
          <w:sz w:val="24"/>
        </w:rPr>
        <w:t>本项目位于</w:t>
      </w:r>
      <w:r>
        <w:rPr>
          <w:rFonts w:hint="eastAsia"/>
          <w:color w:val="auto"/>
          <w:sz w:val="24"/>
          <w:lang w:eastAsia="zh-CN"/>
        </w:rPr>
        <w:t>辽宁省朝阳市北票市西官镇大巴里村</w:t>
      </w:r>
      <w:r>
        <w:rPr>
          <w:bCs/>
          <w:color w:val="auto"/>
          <w:sz w:val="24"/>
        </w:rPr>
        <w:t>，</w:t>
      </w:r>
      <w:r>
        <w:rPr>
          <w:bCs/>
          <w:color w:val="auto"/>
          <w:sz w:val="24"/>
          <w:highlight w:val="none"/>
        </w:rPr>
        <w:t>占地面积</w:t>
      </w:r>
      <w:r>
        <w:rPr>
          <w:rFonts w:hint="eastAsia"/>
          <w:color w:val="auto"/>
          <w:sz w:val="24"/>
          <w:highlight w:val="none"/>
          <w:lang w:val="en-US" w:eastAsia="zh-CN"/>
        </w:rPr>
        <w:t>78234.55</w:t>
      </w:r>
      <w:r>
        <w:rPr>
          <w:rFonts w:hint="eastAsia"/>
          <w:color w:val="auto"/>
          <w:sz w:val="24"/>
          <w:highlight w:val="none"/>
          <w:lang w:eastAsia="zh-CN"/>
        </w:rPr>
        <w:t>m</w:t>
      </w:r>
      <w:r>
        <w:rPr>
          <w:rFonts w:hint="eastAsia"/>
          <w:color w:val="auto"/>
          <w:sz w:val="24"/>
          <w:highlight w:val="none"/>
          <w:vertAlign w:val="superscript"/>
        </w:rPr>
        <w:t>2</w:t>
      </w:r>
      <w:r>
        <w:rPr>
          <w:bCs/>
          <w:color w:val="auto"/>
          <w:sz w:val="24"/>
          <w:highlight w:val="none"/>
        </w:rPr>
        <w:t>=</w:t>
      </w:r>
      <w:r>
        <w:rPr>
          <w:rFonts w:hint="eastAsia"/>
          <w:bCs/>
          <w:color w:val="auto"/>
          <w:sz w:val="24"/>
          <w:highlight w:val="none"/>
          <w:lang w:val="en-US" w:eastAsia="zh-CN"/>
        </w:rPr>
        <w:t>7.823455</w:t>
      </w:r>
      <w:r>
        <w:rPr>
          <w:bCs/>
          <w:color w:val="auto"/>
          <w:sz w:val="24"/>
          <w:highlight w:val="none"/>
        </w:rPr>
        <w:t>hm</w:t>
      </w:r>
      <w:r>
        <w:rPr>
          <w:bCs/>
          <w:color w:val="auto"/>
          <w:sz w:val="24"/>
          <w:highlight w:val="none"/>
          <w:vertAlign w:val="superscript"/>
        </w:rPr>
        <w:t>2</w:t>
      </w:r>
      <w:r>
        <w:rPr>
          <w:bCs/>
          <w:color w:val="auto"/>
          <w:sz w:val="24"/>
          <w:highlight w:val="none"/>
        </w:rPr>
        <w:t>＞5hm</w:t>
      </w:r>
      <w:r>
        <w:rPr>
          <w:bCs/>
          <w:color w:val="auto"/>
          <w:sz w:val="24"/>
          <w:highlight w:val="none"/>
          <w:vertAlign w:val="superscript"/>
        </w:rPr>
        <w:t>2</w:t>
      </w:r>
      <w:r>
        <w:rPr>
          <w:bCs/>
          <w:color w:val="auto"/>
          <w:sz w:val="24"/>
          <w:highlight w:val="none"/>
        </w:rPr>
        <w:t>，周围50m范围</w:t>
      </w:r>
      <w:r>
        <w:rPr>
          <w:bCs/>
          <w:color w:val="auto"/>
          <w:sz w:val="24"/>
        </w:rPr>
        <w:t>内存在</w:t>
      </w:r>
      <w:r>
        <w:rPr>
          <w:rFonts w:hint="eastAsia"/>
          <w:bCs/>
          <w:color w:val="auto"/>
          <w:sz w:val="24"/>
          <w:lang w:eastAsia="zh-CN"/>
        </w:rPr>
        <w:t>耕地（不属于基本农田）和林地</w:t>
      </w:r>
      <w:r>
        <w:rPr>
          <w:bCs/>
          <w:color w:val="auto"/>
          <w:sz w:val="24"/>
        </w:rPr>
        <w:t>，建成后年存栏蛋鸡100万只，</w:t>
      </w:r>
      <w:r>
        <w:rPr>
          <w:color w:val="auto"/>
          <w:sz w:val="24"/>
        </w:rPr>
        <w:t>折算</w:t>
      </w:r>
      <w:r>
        <w:rPr>
          <w:rFonts w:hint="eastAsia"/>
          <w:color w:val="auto"/>
          <w:sz w:val="24"/>
        </w:rPr>
        <w:t>存栏生猪33333头（1头猪折合30只蛋鸡）</w:t>
      </w:r>
      <w:r>
        <w:rPr>
          <w:color w:val="auto"/>
          <w:sz w:val="24"/>
        </w:rPr>
        <w:t>，</w:t>
      </w:r>
      <w:r>
        <w:rPr>
          <w:bCs/>
          <w:color w:val="auto"/>
          <w:sz w:val="24"/>
        </w:rPr>
        <w:t>年产鸡蛋20000吨。</w:t>
      </w:r>
      <w:r>
        <w:rPr>
          <w:rFonts w:hint="eastAsia"/>
          <w:bCs/>
          <w:color w:val="auto"/>
          <w:sz w:val="24"/>
          <w:lang w:val="en-US" w:eastAsia="zh-CN"/>
        </w:rPr>
        <w:t>根据后文分析，本</w:t>
      </w:r>
      <w:r>
        <w:rPr>
          <w:rFonts w:hint="eastAsia"/>
          <w:bCs/>
          <w:color w:val="auto"/>
          <w:sz w:val="24"/>
        </w:rPr>
        <w:t>项目每年淘汰2批，每批淘汰品质较差的鸡只约为35万只，</w:t>
      </w:r>
      <w:r>
        <w:rPr>
          <w:rFonts w:hint="eastAsia"/>
          <w:bCs/>
          <w:color w:val="auto"/>
          <w:sz w:val="24"/>
          <w:lang w:val="en-US" w:eastAsia="zh-CN"/>
        </w:rPr>
        <w:t>则年淘汰约70万只</w:t>
      </w:r>
      <w:r>
        <w:rPr>
          <w:rFonts w:hint="eastAsia"/>
          <w:bCs/>
          <w:color w:val="auto"/>
          <w:sz w:val="24"/>
        </w:rPr>
        <w:t>品质较差的鸡只</w:t>
      </w:r>
      <w:r>
        <w:rPr>
          <w:rFonts w:hint="eastAsia"/>
          <w:bCs/>
          <w:color w:val="auto"/>
          <w:sz w:val="24"/>
          <w:lang w:eastAsia="zh-CN"/>
        </w:rPr>
        <w:t>，</w:t>
      </w:r>
      <w:r>
        <w:rPr>
          <w:rFonts w:hint="eastAsia"/>
          <w:bCs/>
          <w:color w:val="auto"/>
          <w:sz w:val="24"/>
          <w:lang w:val="en-US" w:eastAsia="zh-CN"/>
        </w:rPr>
        <w:t>即年出栏量为70万只，</w:t>
      </w:r>
      <w:r>
        <w:rPr>
          <w:color w:val="auto"/>
          <w:sz w:val="24"/>
        </w:rPr>
        <w:t>折算</w:t>
      </w:r>
      <w:r>
        <w:rPr>
          <w:rFonts w:hint="eastAsia"/>
          <w:color w:val="auto"/>
          <w:sz w:val="24"/>
          <w:lang w:val="en-US" w:eastAsia="zh-CN"/>
        </w:rPr>
        <w:t>出栏</w:t>
      </w:r>
      <w:r>
        <w:rPr>
          <w:rFonts w:hint="eastAsia"/>
          <w:color w:val="auto"/>
          <w:sz w:val="24"/>
        </w:rPr>
        <w:t>生猪</w:t>
      </w:r>
      <w:r>
        <w:rPr>
          <w:rFonts w:hint="eastAsia"/>
          <w:color w:val="auto"/>
          <w:sz w:val="24"/>
          <w:lang w:val="en-US" w:eastAsia="zh-CN"/>
        </w:rPr>
        <w:t>2</w:t>
      </w:r>
      <w:r>
        <w:rPr>
          <w:rFonts w:hint="eastAsia"/>
          <w:color w:val="auto"/>
          <w:sz w:val="24"/>
        </w:rPr>
        <w:t>3333头</w:t>
      </w:r>
      <w:r>
        <w:rPr>
          <w:rFonts w:hint="eastAsia"/>
          <w:color w:val="auto"/>
          <w:sz w:val="24"/>
          <w:lang w:eastAsia="zh-CN"/>
        </w:rPr>
        <w:t>。</w:t>
      </w:r>
    </w:p>
    <w:p w14:paraId="01C71D73">
      <w:pPr>
        <w:snapToGrid w:val="0"/>
        <w:spacing w:line="360" w:lineRule="auto"/>
        <w:ind w:firstLine="480" w:firstLineChars="200"/>
        <w:rPr>
          <w:bCs/>
          <w:color w:val="auto"/>
          <w:sz w:val="24"/>
          <w:szCs w:val="16"/>
          <w:highlight w:val="yellow"/>
        </w:rPr>
      </w:pPr>
      <w:r>
        <w:rPr>
          <w:bCs/>
          <w:color w:val="auto"/>
          <w:sz w:val="24"/>
        </w:rPr>
        <w:t>根据《环境影响评价技术导则 土壤》(HJ964-2018)，本项目属于“III类项目、占地规模为中型、敏感程度为敏感”，评价工作等级为三级</w:t>
      </w:r>
      <w:r>
        <w:rPr>
          <w:bCs/>
          <w:color w:val="auto"/>
          <w:sz w:val="24"/>
          <w:szCs w:val="16"/>
        </w:rPr>
        <w:t>，详见表2</w:t>
      </w:r>
      <w:r>
        <w:rPr>
          <w:rFonts w:hint="eastAsia"/>
          <w:bCs/>
          <w:color w:val="auto"/>
          <w:sz w:val="24"/>
          <w:szCs w:val="16"/>
          <w:lang w:val="en-US" w:eastAsia="zh-CN"/>
        </w:rPr>
        <w:t>.3-12~2.3-15</w:t>
      </w:r>
      <w:r>
        <w:rPr>
          <w:bCs/>
          <w:color w:val="auto"/>
          <w:sz w:val="24"/>
          <w:szCs w:val="16"/>
        </w:rPr>
        <w:t>。</w:t>
      </w:r>
    </w:p>
    <w:p w14:paraId="39654DA7">
      <w:pPr>
        <w:snapToGrid w:val="0"/>
        <w:ind w:firstLine="422" w:firstLineChars="200"/>
        <w:jc w:val="center"/>
        <w:rPr>
          <w:b/>
          <w:bCs/>
          <w:color w:val="auto"/>
        </w:rPr>
      </w:pPr>
      <w:r>
        <w:rPr>
          <w:b/>
          <w:bCs/>
          <w:color w:val="auto"/>
        </w:rPr>
        <w:t>表</w:t>
      </w:r>
      <w:r>
        <w:rPr>
          <w:rFonts w:hint="eastAsia"/>
          <w:b/>
          <w:bCs/>
          <w:color w:val="auto"/>
          <w:lang w:val="en-US" w:eastAsia="zh-CN"/>
        </w:rPr>
        <w:t xml:space="preserve">2.3-12  </w:t>
      </w:r>
      <w:r>
        <w:rPr>
          <w:b/>
          <w:bCs/>
          <w:color w:val="auto"/>
        </w:rPr>
        <w:t xml:space="preserve">  土壤环境影响评价项目类别</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4"/>
        <w:gridCol w:w="1401"/>
        <w:gridCol w:w="3360"/>
        <w:gridCol w:w="2206"/>
        <w:gridCol w:w="865"/>
      </w:tblGrid>
      <w:tr w14:paraId="05C8677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4" w:type="dxa"/>
            <w:vMerge w:val="restart"/>
            <w:vAlign w:val="center"/>
          </w:tcPr>
          <w:p w14:paraId="4921AD8D">
            <w:pPr>
              <w:ind w:left="-2" w:leftChars="-1" w:firstLine="1"/>
              <w:jc w:val="center"/>
              <w:rPr>
                <w:color w:val="auto"/>
                <w:szCs w:val="21"/>
              </w:rPr>
            </w:pPr>
            <w:r>
              <w:rPr>
                <w:color w:val="auto"/>
                <w:szCs w:val="21"/>
              </w:rPr>
              <w:t>行业类别</w:t>
            </w:r>
          </w:p>
        </w:tc>
        <w:tc>
          <w:tcPr>
            <w:tcW w:w="7832" w:type="dxa"/>
            <w:gridSpan w:val="4"/>
            <w:vAlign w:val="center"/>
          </w:tcPr>
          <w:p w14:paraId="2EC8F05E">
            <w:pPr>
              <w:jc w:val="center"/>
              <w:rPr>
                <w:color w:val="auto"/>
                <w:szCs w:val="21"/>
              </w:rPr>
            </w:pPr>
            <w:r>
              <w:rPr>
                <w:color w:val="auto"/>
                <w:szCs w:val="21"/>
              </w:rPr>
              <w:t>项目类别</w:t>
            </w:r>
          </w:p>
        </w:tc>
      </w:tr>
      <w:tr w14:paraId="1F16007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4" w:type="dxa"/>
            <w:vMerge w:val="continue"/>
            <w:vAlign w:val="center"/>
          </w:tcPr>
          <w:p w14:paraId="4215C0EF">
            <w:pPr>
              <w:jc w:val="center"/>
              <w:rPr>
                <w:color w:val="auto"/>
                <w:spacing w:val="12"/>
                <w:szCs w:val="21"/>
              </w:rPr>
            </w:pPr>
          </w:p>
        </w:tc>
        <w:tc>
          <w:tcPr>
            <w:tcW w:w="1401" w:type="dxa"/>
            <w:vAlign w:val="center"/>
          </w:tcPr>
          <w:p w14:paraId="41D40DED">
            <w:pPr>
              <w:jc w:val="center"/>
              <w:rPr>
                <w:color w:val="auto"/>
                <w:szCs w:val="21"/>
              </w:rPr>
            </w:pPr>
            <w:r>
              <w:rPr>
                <w:color w:val="auto"/>
                <w:szCs w:val="21"/>
              </w:rPr>
              <w:t>Ⅰ类</w:t>
            </w:r>
          </w:p>
        </w:tc>
        <w:tc>
          <w:tcPr>
            <w:tcW w:w="3360" w:type="dxa"/>
            <w:vAlign w:val="center"/>
          </w:tcPr>
          <w:p w14:paraId="73915D66">
            <w:pPr>
              <w:jc w:val="center"/>
              <w:rPr>
                <w:color w:val="auto"/>
                <w:spacing w:val="12"/>
                <w:szCs w:val="21"/>
              </w:rPr>
            </w:pPr>
            <w:r>
              <w:rPr>
                <w:color w:val="auto"/>
                <w:spacing w:val="12"/>
                <w:szCs w:val="21"/>
              </w:rPr>
              <w:t>Ⅱ类</w:t>
            </w:r>
          </w:p>
        </w:tc>
        <w:tc>
          <w:tcPr>
            <w:tcW w:w="2206" w:type="dxa"/>
            <w:vAlign w:val="center"/>
          </w:tcPr>
          <w:p w14:paraId="22961A31">
            <w:pPr>
              <w:jc w:val="center"/>
              <w:rPr>
                <w:color w:val="auto"/>
                <w:spacing w:val="12"/>
                <w:szCs w:val="21"/>
              </w:rPr>
            </w:pPr>
            <w:r>
              <w:rPr>
                <w:color w:val="auto"/>
                <w:spacing w:val="12"/>
                <w:szCs w:val="21"/>
              </w:rPr>
              <w:t>Ⅲ类</w:t>
            </w:r>
          </w:p>
        </w:tc>
        <w:tc>
          <w:tcPr>
            <w:tcW w:w="865" w:type="dxa"/>
            <w:vAlign w:val="center"/>
          </w:tcPr>
          <w:p w14:paraId="57178829">
            <w:pPr>
              <w:jc w:val="center"/>
              <w:rPr>
                <w:color w:val="auto"/>
                <w:szCs w:val="21"/>
              </w:rPr>
            </w:pPr>
            <w:r>
              <w:rPr>
                <w:color w:val="auto"/>
                <w:szCs w:val="21"/>
              </w:rPr>
              <w:t>Ⅳ类</w:t>
            </w:r>
          </w:p>
        </w:tc>
      </w:tr>
      <w:tr w14:paraId="24C84F4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4" w:type="dxa"/>
            <w:vAlign w:val="center"/>
          </w:tcPr>
          <w:p w14:paraId="16E62861">
            <w:pPr>
              <w:jc w:val="center"/>
              <w:rPr>
                <w:color w:val="auto"/>
                <w:spacing w:val="12"/>
                <w:szCs w:val="21"/>
              </w:rPr>
            </w:pPr>
            <w:r>
              <w:rPr>
                <w:color w:val="auto"/>
                <w:spacing w:val="12"/>
                <w:szCs w:val="21"/>
              </w:rPr>
              <w:t>农林牧渔业</w:t>
            </w:r>
          </w:p>
        </w:tc>
        <w:tc>
          <w:tcPr>
            <w:tcW w:w="1401" w:type="dxa"/>
            <w:vAlign w:val="center"/>
          </w:tcPr>
          <w:p w14:paraId="59E95692">
            <w:pPr>
              <w:jc w:val="center"/>
              <w:rPr>
                <w:color w:val="auto"/>
                <w:szCs w:val="21"/>
              </w:rPr>
            </w:pPr>
            <w:r>
              <w:rPr>
                <w:color w:val="auto"/>
                <w:szCs w:val="21"/>
              </w:rPr>
              <w:t>灌溉面积大于50万亩的灌区工程</w:t>
            </w:r>
          </w:p>
        </w:tc>
        <w:tc>
          <w:tcPr>
            <w:tcW w:w="3360" w:type="dxa"/>
            <w:vAlign w:val="center"/>
          </w:tcPr>
          <w:p w14:paraId="4DA7F3E5">
            <w:pPr>
              <w:jc w:val="center"/>
              <w:rPr>
                <w:color w:val="auto"/>
                <w:spacing w:val="12"/>
                <w:szCs w:val="21"/>
              </w:rPr>
            </w:pPr>
            <w:r>
              <w:rPr>
                <w:color w:val="auto"/>
                <w:spacing w:val="12"/>
                <w:szCs w:val="21"/>
              </w:rPr>
              <w:t>新建5万亩至50万亩的、改造30万亩及以上的灌区工程；年出栏生猪10万头（其他畜禽种类折合猪的养殖规模）及以上的畜禽养殖场或养殖小区</w:t>
            </w:r>
          </w:p>
        </w:tc>
        <w:tc>
          <w:tcPr>
            <w:tcW w:w="2206" w:type="dxa"/>
            <w:vAlign w:val="center"/>
          </w:tcPr>
          <w:p w14:paraId="4E618A1F">
            <w:pPr>
              <w:jc w:val="center"/>
              <w:rPr>
                <w:color w:val="auto"/>
                <w:spacing w:val="12"/>
                <w:szCs w:val="21"/>
              </w:rPr>
            </w:pPr>
            <w:r>
              <w:rPr>
                <w:color w:val="auto"/>
                <w:spacing w:val="12"/>
                <w:szCs w:val="21"/>
              </w:rPr>
              <w:t>年出栏生猪5000头（其他畜禽种类折合猪的养殖规模）及以上的畜禽养殖场或养殖小区</w:t>
            </w:r>
          </w:p>
        </w:tc>
        <w:tc>
          <w:tcPr>
            <w:tcW w:w="865" w:type="dxa"/>
            <w:vAlign w:val="center"/>
          </w:tcPr>
          <w:p w14:paraId="0C61A771">
            <w:pPr>
              <w:jc w:val="center"/>
              <w:rPr>
                <w:color w:val="auto"/>
                <w:szCs w:val="21"/>
              </w:rPr>
            </w:pPr>
            <w:r>
              <w:rPr>
                <w:color w:val="auto"/>
                <w:szCs w:val="21"/>
              </w:rPr>
              <w:t>其他</w:t>
            </w:r>
          </w:p>
        </w:tc>
      </w:tr>
    </w:tbl>
    <w:p w14:paraId="0A171079">
      <w:pPr>
        <w:snapToGrid w:val="0"/>
        <w:ind w:firstLine="422" w:firstLineChars="200"/>
        <w:jc w:val="center"/>
        <w:rPr>
          <w:b/>
          <w:bCs/>
          <w:color w:val="auto"/>
          <w:szCs w:val="21"/>
        </w:rPr>
      </w:pPr>
    </w:p>
    <w:p w14:paraId="33986AF2">
      <w:pPr>
        <w:snapToGrid w:val="0"/>
        <w:ind w:firstLine="422" w:firstLineChars="200"/>
        <w:jc w:val="center"/>
        <w:rPr>
          <w:b/>
          <w:bCs/>
          <w:color w:val="auto"/>
          <w:szCs w:val="21"/>
        </w:rPr>
      </w:pPr>
      <w:r>
        <w:rPr>
          <w:b/>
          <w:bCs/>
          <w:color w:val="auto"/>
          <w:szCs w:val="21"/>
        </w:rPr>
        <w:t>表2</w:t>
      </w:r>
      <w:r>
        <w:rPr>
          <w:rFonts w:hint="eastAsia"/>
          <w:b/>
          <w:bCs/>
          <w:color w:val="auto"/>
          <w:szCs w:val="21"/>
          <w:lang w:val="en-US" w:eastAsia="zh-CN"/>
        </w:rPr>
        <w:t xml:space="preserve">.3-13  </w:t>
      </w:r>
      <w:r>
        <w:rPr>
          <w:b/>
          <w:bCs/>
          <w:color w:val="auto"/>
          <w:szCs w:val="21"/>
        </w:rPr>
        <w:t xml:space="preserve">  污染型建设项目占地规模分类表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92"/>
        <w:gridCol w:w="2444"/>
        <w:gridCol w:w="2445"/>
        <w:gridCol w:w="2445"/>
      </w:tblGrid>
      <w:tr w14:paraId="24894915">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92" w:type="dxa"/>
            <w:vAlign w:val="center"/>
          </w:tcPr>
          <w:p w14:paraId="50B5E4BE">
            <w:pPr>
              <w:ind w:firstLine="1"/>
              <w:jc w:val="center"/>
              <w:rPr>
                <w:color w:val="auto"/>
                <w:szCs w:val="21"/>
              </w:rPr>
            </w:pPr>
            <w:r>
              <w:rPr>
                <w:color w:val="auto"/>
                <w:szCs w:val="21"/>
              </w:rPr>
              <w:t>占地面积</w:t>
            </w:r>
          </w:p>
        </w:tc>
        <w:tc>
          <w:tcPr>
            <w:tcW w:w="2444" w:type="dxa"/>
            <w:vAlign w:val="center"/>
          </w:tcPr>
          <w:p w14:paraId="19BE7F63">
            <w:pPr>
              <w:jc w:val="center"/>
              <w:rPr>
                <w:color w:val="auto"/>
                <w:szCs w:val="21"/>
              </w:rPr>
            </w:pPr>
            <w:r>
              <w:rPr>
                <w:color w:val="auto"/>
                <w:szCs w:val="21"/>
              </w:rPr>
              <w:t>≥50</w:t>
            </w:r>
            <w:r>
              <w:rPr>
                <w:bCs/>
                <w:color w:val="auto"/>
                <w:szCs w:val="21"/>
              </w:rPr>
              <w:t>hm</w:t>
            </w:r>
            <w:r>
              <w:rPr>
                <w:bCs/>
                <w:color w:val="auto"/>
                <w:szCs w:val="21"/>
                <w:vertAlign w:val="superscript"/>
              </w:rPr>
              <w:t>2</w:t>
            </w:r>
          </w:p>
        </w:tc>
        <w:tc>
          <w:tcPr>
            <w:tcW w:w="2445" w:type="dxa"/>
            <w:vAlign w:val="center"/>
          </w:tcPr>
          <w:p w14:paraId="3496C63B">
            <w:pPr>
              <w:jc w:val="center"/>
              <w:rPr>
                <w:color w:val="auto"/>
                <w:szCs w:val="21"/>
              </w:rPr>
            </w:pPr>
            <w:r>
              <w:rPr>
                <w:color w:val="auto"/>
                <w:szCs w:val="21"/>
              </w:rPr>
              <w:t>5</w:t>
            </w:r>
            <w:r>
              <w:rPr>
                <w:color w:val="auto"/>
                <w:spacing w:val="12"/>
                <w:szCs w:val="21"/>
              </w:rPr>
              <w:t>～</w:t>
            </w:r>
            <w:r>
              <w:rPr>
                <w:color w:val="auto"/>
                <w:szCs w:val="21"/>
              </w:rPr>
              <w:t>50</w:t>
            </w:r>
            <w:r>
              <w:rPr>
                <w:bCs/>
                <w:color w:val="auto"/>
                <w:szCs w:val="21"/>
              </w:rPr>
              <w:t>hm</w:t>
            </w:r>
            <w:r>
              <w:rPr>
                <w:bCs/>
                <w:color w:val="auto"/>
                <w:szCs w:val="21"/>
                <w:vertAlign w:val="superscript"/>
              </w:rPr>
              <w:t>2</w:t>
            </w:r>
          </w:p>
        </w:tc>
        <w:tc>
          <w:tcPr>
            <w:tcW w:w="2445" w:type="dxa"/>
            <w:vAlign w:val="center"/>
          </w:tcPr>
          <w:p w14:paraId="7749456D">
            <w:pPr>
              <w:jc w:val="center"/>
              <w:rPr>
                <w:color w:val="auto"/>
                <w:szCs w:val="21"/>
              </w:rPr>
            </w:pPr>
            <w:r>
              <w:rPr>
                <w:color w:val="auto"/>
                <w:szCs w:val="21"/>
              </w:rPr>
              <w:t>≤</w:t>
            </w:r>
            <w:r>
              <w:rPr>
                <w:bCs/>
                <w:color w:val="auto"/>
                <w:szCs w:val="21"/>
              </w:rPr>
              <w:t>5hm</w:t>
            </w:r>
            <w:r>
              <w:rPr>
                <w:bCs/>
                <w:color w:val="auto"/>
                <w:szCs w:val="21"/>
                <w:vertAlign w:val="superscript"/>
              </w:rPr>
              <w:t>2</w:t>
            </w:r>
          </w:p>
        </w:tc>
      </w:tr>
      <w:tr w14:paraId="0E8F8C5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92" w:type="dxa"/>
            <w:vAlign w:val="center"/>
          </w:tcPr>
          <w:p w14:paraId="024ABCB9">
            <w:pPr>
              <w:jc w:val="center"/>
              <w:rPr>
                <w:color w:val="auto"/>
                <w:spacing w:val="12"/>
                <w:szCs w:val="21"/>
              </w:rPr>
            </w:pPr>
            <w:r>
              <w:rPr>
                <w:color w:val="auto"/>
                <w:spacing w:val="12"/>
                <w:szCs w:val="21"/>
              </w:rPr>
              <w:t>占地规模</w:t>
            </w:r>
          </w:p>
        </w:tc>
        <w:tc>
          <w:tcPr>
            <w:tcW w:w="2444" w:type="dxa"/>
            <w:vAlign w:val="center"/>
          </w:tcPr>
          <w:p w14:paraId="420C4856">
            <w:pPr>
              <w:jc w:val="center"/>
              <w:rPr>
                <w:color w:val="auto"/>
                <w:szCs w:val="21"/>
              </w:rPr>
            </w:pPr>
            <w:r>
              <w:rPr>
                <w:color w:val="auto"/>
                <w:szCs w:val="21"/>
              </w:rPr>
              <w:t>大型</w:t>
            </w:r>
          </w:p>
        </w:tc>
        <w:tc>
          <w:tcPr>
            <w:tcW w:w="2445" w:type="dxa"/>
            <w:vAlign w:val="center"/>
          </w:tcPr>
          <w:p w14:paraId="6A742D39">
            <w:pPr>
              <w:jc w:val="center"/>
              <w:rPr>
                <w:color w:val="auto"/>
                <w:spacing w:val="12"/>
                <w:szCs w:val="21"/>
              </w:rPr>
            </w:pPr>
            <w:r>
              <w:rPr>
                <w:color w:val="auto"/>
                <w:szCs w:val="21"/>
              </w:rPr>
              <w:t>中型</w:t>
            </w:r>
          </w:p>
        </w:tc>
        <w:tc>
          <w:tcPr>
            <w:tcW w:w="2445" w:type="dxa"/>
            <w:vAlign w:val="center"/>
          </w:tcPr>
          <w:p w14:paraId="2C034E2F">
            <w:pPr>
              <w:jc w:val="center"/>
              <w:rPr>
                <w:color w:val="auto"/>
                <w:spacing w:val="12"/>
                <w:szCs w:val="21"/>
              </w:rPr>
            </w:pPr>
            <w:r>
              <w:rPr>
                <w:color w:val="auto"/>
                <w:szCs w:val="21"/>
              </w:rPr>
              <w:t>小型</w:t>
            </w:r>
          </w:p>
        </w:tc>
      </w:tr>
    </w:tbl>
    <w:p w14:paraId="0A1C7C95">
      <w:pPr>
        <w:snapToGrid w:val="0"/>
        <w:ind w:firstLine="422" w:firstLineChars="200"/>
        <w:jc w:val="center"/>
        <w:rPr>
          <w:b/>
          <w:bCs/>
          <w:color w:val="auto"/>
        </w:rPr>
      </w:pPr>
      <w:r>
        <w:rPr>
          <w:b/>
          <w:bCs/>
          <w:color w:val="auto"/>
        </w:rPr>
        <w:t>表</w:t>
      </w:r>
      <w:r>
        <w:rPr>
          <w:rFonts w:hint="eastAsia"/>
          <w:b/>
          <w:bCs/>
          <w:color w:val="auto"/>
          <w:lang w:val="en-US" w:eastAsia="zh-CN"/>
        </w:rPr>
        <w:t>2.3-14</w:t>
      </w:r>
      <w:r>
        <w:rPr>
          <w:b/>
          <w:bCs/>
          <w:color w:val="auto"/>
        </w:rPr>
        <w:t xml:space="preserve">    污染影响型敏感程度分级表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29"/>
        <w:gridCol w:w="6597"/>
      </w:tblGrid>
      <w:tr w14:paraId="13E5E76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929" w:type="dxa"/>
            <w:vAlign w:val="center"/>
          </w:tcPr>
          <w:p w14:paraId="3C7D574B">
            <w:pPr>
              <w:ind w:left="-2" w:leftChars="-1" w:firstLine="1"/>
              <w:jc w:val="center"/>
              <w:rPr>
                <w:color w:val="auto"/>
                <w:szCs w:val="21"/>
              </w:rPr>
            </w:pPr>
            <w:r>
              <w:rPr>
                <w:color w:val="auto"/>
                <w:szCs w:val="21"/>
              </w:rPr>
              <w:t>敏感程度</w:t>
            </w:r>
          </w:p>
        </w:tc>
        <w:tc>
          <w:tcPr>
            <w:tcW w:w="6597" w:type="dxa"/>
            <w:vAlign w:val="center"/>
          </w:tcPr>
          <w:p w14:paraId="7833F560">
            <w:pPr>
              <w:jc w:val="center"/>
              <w:rPr>
                <w:color w:val="auto"/>
                <w:szCs w:val="21"/>
              </w:rPr>
            </w:pPr>
            <w:r>
              <w:rPr>
                <w:color w:val="auto"/>
                <w:szCs w:val="21"/>
              </w:rPr>
              <w:t>判别依据</w:t>
            </w:r>
          </w:p>
        </w:tc>
      </w:tr>
      <w:tr w14:paraId="6D109D2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929" w:type="dxa"/>
            <w:vAlign w:val="center"/>
          </w:tcPr>
          <w:p w14:paraId="797268F4">
            <w:pPr>
              <w:jc w:val="center"/>
              <w:rPr>
                <w:color w:val="auto"/>
                <w:spacing w:val="12"/>
                <w:szCs w:val="21"/>
              </w:rPr>
            </w:pPr>
            <w:r>
              <w:rPr>
                <w:color w:val="auto"/>
                <w:spacing w:val="12"/>
                <w:szCs w:val="21"/>
              </w:rPr>
              <w:t>敏感</w:t>
            </w:r>
          </w:p>
        </w:tc>
        <w:tc>
          <w:tcPr>
            <w:tcW w:w="6597" w:type="dxa"/>
            <w:vAlign w:val="center"/>
          </w:tcPr>
          <w:p w14:paraId="6255F52E">
            <w:pPr>
              <w:jc w:val="left"/>
              <w:rPr>
                <w:color w:val="auto"/>
                <w:spacing w:val="12"/>
                <w:szCs w:val="21"/>
              </w:rPr>
            </w:pPr>
            <w:r>
              <w:rPr>
                <w:color w:val="auto"/>
                <w:spacing w:val="12"/>
                <w:szCs w:val="21"/>
              </w:rPr>
              <w:t>建设项目周边存在耕地、园地、牧草地、饮用水水源地或居民区、学校、医院、疗养院、养老院等土壤环境敏感目标的</w:t>
            </w:r>
          </w:p>
        </w:tc>
      </w:tr>
      <w:tr w14:paraId="73412A1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PrEx>
        <w:trPr>
          <w:trHeight w:val="340" w:hRule="atLeast"/>
        </w:trPr>
        <w:tc>
          <w:tcPr>
            <w:tcW w:w="1929" w:type="dxa"/>
            <w:vAlign w:val="center"/>
          </w:tcPr>
          <w:p w14:paraId="19C96745">
            <w:pPr>
              <w:jc w:val="center"/>
              <w:rPr>
                <w:color w:val="auto"/>
                <w:spacing w:val="12"/>
                <w:szCs w:val="21"/>
              </w:rPr>
            </w:pPr>
            <w:r>
              <w:rPr>
                <w:color w:val="auto"/>
                <w:spacing w:val="12"/>
                <w:szCs w:val="21"/>
              </w:rPr>
              <w:t>较敏感</w:t>
            </w:r>
          </w:p>
        </w:tc>
        <w:tc>
          <w:tcPr>
            <w:tcW w:w="6597" w:type="dxa"/>
            <w:vAlign w:val="center"/>
          </w:tcPr>
          <w:p w14:paraId="040E00F5">
            <w:pPr>
              <w:jc w:val="left"/>
              <w:rPr>
                <w:color w:val="auto"/>
                <w:spacing w:val="12"/>
                <w:szCs w:val="21"/>
              </w:rPr>
            </w:pPr>
            <w:r>
              <w:rPr>
                <w:color w:val="auto"/>
                <w:spacing w:val="12"/>
                <w:szCs w:val="21"/>
              </w:rPr>
              <w:t>建设项目周边存在其他土壤环境敏感目标的</w:t>
            </w:r>
          </w:p>
        </w:tc>
      </w:tr>
      <w:tr w14:paraId="6DFA506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PrEx>
        <w:trPr>
          <w:trHeight w:val="340" w:hRule="atLeast"/>
        </w:trPr>
        <w:tc>
          <w:tcPr>
            <w:tcW w:w="1929" w:type="dxa"/>
            <w:vAlign w:val="center"/>
          </w:tcPr>
          <w:p w14:paraId="1C70D5A1">
            <w:pPr>
              <w:jc w:val="center"/>
              <w:rPr>
                <w:color w:val="auto"/>
                <w:spacing w:val="12"/>
                <w:szCs w:val="21"/>
              </w:rPr>
            </w:pPr>
            <w:r>
              <w:rPr>
                <w:color w:val="auto"/>
                <w:spacing w:val="12"/>
                <w:szCs w:val="21"/>
              </w:rPr>
              <w:t>不敏感</w:t>
            </w:r>
          </w:p>
        </w:tc>
        <w:tc>
          <w:tcPr>
            <w:tcW w:w="6597" w:type="dxa"/>
            <w:vAlign w:val="center"/>
          </w:tcPr>
          <w:p w14:paraId="793FEE6E">
            <w:pPr>
              <w:jc w:val="left"/>
              <w:rPr>
                <w:color w:val="auto"/>
                <w:spacing w:val="12"/>
                <w:szCs w:val="21"/>
              </w:rPr>
            </w:pPr>
            <w:r>
              <w:rPr>
                <w:color w:val="auto"/>
                <w:spacing w:val="12"/>
                <w:szCs w:val="21"/>
              </w:rPr>
              <w:t>其他情况</w:t>
            </w:r>
          </w:p>
        </w:tc>
      </w:tr>
    </w:tbl>
    <w:p w14:paraId="3372A99F">
      <w:pPr>
        <w:snapToGrid w:val="0"/>
        <w:ind w:firstLine="422" w:firstLineChars="200"/>
        <w:jc w:val="center"/>
        <w:rPr>
          <w:b/>
          <w:bCs/>
          <w:color w:val="auto"/>
        </w:rPr>
      </w:pPr>
      <w:r>
        <w:rPr>
          <w:b/>
          <w:bCs/>
          <w:color w:val="auto"/>
        </w:rPr>
        <w:t>表</w:t>
      </w:r>
      <w:r>
        <w:rPr>
          <w:rFonts w:hint="eastAsia"/>
          <w:b/>
          <w:bCs/>
          <w:color w:val="auto"/>
          <w:lang w:val="en-US" w:eastAsia="zh-CN"/>
        </w:rPr>
        <w:t>2.3-15</w:t>
      </w:r>
      <w:r>
        <w:rPr>
          <w:b/>
          <w:bCs/>
          <w:color w:val="auto"/>
        </w:rPr>
        <w:t xml:space="preserve">    污染影响型评价工作等级分级表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16"/>
        <w:gridCol w:w="738"/>
        <w:gridCol w:w="638"/>
        <w:gridCol w:w="694"/>
        <w:gridCol w:w="699"/>
        <w:gridCol w:w="651"/>
        <w:gridCol w:w="680"/>
        <w:gridCol w:w="651"/>
        <w:gridCol w:w="650"/>
        <w:gridCol w:w="708"/>
      </w:tblGrid>
      <w:tr w14:paraId="3BAF5C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2416" w:type="dxa"/>
            <w:vMerge w:val="restart"/>
            <w:vAlign w:val="center"/>
          </w:tcPr>
          <w:p w14:paraId="70702001">
            <w:pPr>
              <w:snapToGrid w:val="0"/>
              <w:jc w:val="center"/>
              <w:rPr>
                <w:b/>
                <w:bCs/>
                <w:color w:val="auto"/>
                <w:szCs w:val="21"/>
              </w:rPr>
            </w:pPr>
            <w:r>
              <w:rPr>
                <w:b/>
                <w:bCs/>
                <w:color w:val="auto"/>
                <w:szCs w:val="21"/>
              </w:rPr>
              <mc:AlternateContent>
                <mc:Choice Requires="wps">
                  <w:drawing>
                    <wp:anchor distT="0" distB="0" distL="114300" distR="114300" simplePos="0" relativeHeight="251664384" behindDoc="0" locked="0" layoutInCell="1" allowOverlap="1">
                      <wp:simplePos x="0" y="0"/>
                      <wp:positionH relativeFrom="column">
                        <wp:posOffset>-78105</wp:posOffset>
                      </wp:positionH>
                      <wp:positionV relativeFrom="paragraph">
                        <wp:posOffset>285750</wp:posOffset>
                      </wp:positionV>
                      <wp:extent cx="1056640" cy="325120"/>
                      <wp:effectExtent l="0" t="0" r="0" b="0"/>
                      <wp:wrapNone/>
                      <wp:docPr id="91" name="文本框 3971"/>
                      <wp:cNvGraphicFramePr/>
                      <a:graphic xmlns:a="http://schemas.openxmlformats.org/drawingml/2006/main">
                        <a:graphicData uri="http://schemas.microsoft.com/office/word/2010/wordprocessingShape">
                          <wps:wsp>
                            <wps:cNvSpPr txBox="1"/>
                            <wps:spPr>
                              <a:xfrm>
                                <a:off x="0" y="0"/>
                                <a:ext cx="1056640" cy="325120"/>
                              </a:xfrm>
                              <a:prstGeom prst="rect">
                                <a:avLst/>
                              </a:prstGeom>
                              <a:noFill/>
                              <a:ln>
                                <a:noFill/>
                              </a:ln>
                            </wps:spPr>
                            <wps:txbx>
                              <w:txbxContent>
                                <w:p w14:paraId="03211DE4">
                                  <w:r>
                                    <w:rPr>
                                      <w:rFonts w:hint="eastAsia"/>
                                    </w:rPr>
                                    <w:t>敏感程度</w:t>
                                  </w:r>
                                </w:p>
                              </w:txbxContent>
                            </wps:txbx>
                            <wps:bodyPr wrap="square" upright="1"/>
                          </wps:wsp>
                        </a:graphicData>
                      </a:graphic>
                    </wp:anchor>
                  </w:drawing>
                </mc:Choice>
                <mc:Fallback>
                  <w:pict>
                    <v:shape id="文本框 3971" o:spid="_x0000_s1026" o:spt="202" type="#_x0000_t202" style="position:absolute;left:0pt;margin-left:-6.15pt;margin-top:22.5pt;height:25.6pt;width:83.2pt;z-index:251664384;mso-width-relative:page;mso-height-relative:page;" filled="f" stroked="f" coordsize="21600,21600" o:gfxdata="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dNzuadYAAAAJAQAADwAAAAAAAAABACAAAAAiAAAAZHJzL2Rvd25yZXYueG1sUEsBAhQA&#10;FAAAAAgAh07iQKtVENm7AQAAYAMAAA4AAAAAAAAAAQAgAAAAJQEAAGRycy9lMm9Eb2MueG1sUEsF&#10;BgAAAAAGAAYAWQEAAFIFAAAAAA==&#10;">
                      <v:fill on="f" focussize="0,0"/>
                      <v:stroke on="f"/>
                      <v:imagedata o:title=""/>
                      <o:lock v:ext="edit" aspectratio="f"/>
                      <v:textbox>
                        <w:txbxContent>
                          <w:p w14:paraId="03211DE4">
                            <w:r>
                              <w:rPr>
                                <w:rFonts w:hint="eastAsia"/>
                              </w:rPr>
                              <w:t>敏感程度</w:t>
                            </w:r>
                          </w:p>
                        </w:txbxContent>
                      </v:textbox>
                    </v:shape>
                  </w:pict>
                </mc:Fallback>
              </mc:AlternateContent>
            </w:r>
            <w:r>
              <w:rPr>
                <w:b/>
                <w:bCs/>
                <w:color w:val="auto"/>
                <w:szCs w:val="21"/>
              </w:rPr>
              <mc:AlternateContent>
                <mc:Choice Requires="wps">
                  <w:drawing>
                    <wp:anchor distT="0" distB="0" distL="114300" distR="114300" simplePos="0" relativeHeight="251661312" behindDoc="0" locked="0" layoutInCell="1" allowOverlap="1">
                      <wp:simplePos x="0" y="0"/>
                      <wp:positionH relativeFrom="column">
                        <wp:posOffset>-53340</wp:posOffset>
                      </wp:positionH>
                      <wp:positionV relativeFrom="paragraph">
                        <wp:posOffset>235585</wp:posOffset>
                      </wp:positionV>
                      <wp:extent cx="1537335" cy="287655"/>
                      <wp:effectExtent l="635" t="4445" r="5080" b="12700"/>
                      <wp:wrapNone/>
                      <wp:docPr id="88" name="直线 3970"/>
                      <wp:cNvGraphicFramePr/>
                      <a:graphic xmlns:a="http://schemas.openxmlformats.org/drawingml/2006/main">
                        <a:graphicData uri="http://schemas.microsoft.com/office/word/2010/wordprocessingShape">
                          <wps:wsp>
                            <wps:cNvCnPr/>
                            <wps:spPr>
                              <a:xfrm flipH="1" flipV="1">
                                <a:off x="0" y="0"/>
                                <a:ext cx="1537335" cy="28765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3970" o:spid="_x0000_s1026" o:spt="20" style="position:absolute;left:0pt;flip:x y;margin-left:-4.2pt;margin-top:18.55pt;height:22.65pt;width:121.05pt;z-index:251661312;mso-width-relative:page;mso-height-relative:page;" filled="f" stroked="t" coordsize="21600,21600" o:gfxdata="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TkQs81AAAAAgBAAAPAAAAAAAAAAEAIAAAACIAAABkcnMvZG93bnJldi54bWxQSwECFAAUAAAA&#10;CACHTuJA+7uYxvIBAADsAwAADgAAAAAAAAABACAAAAAjAQAAZHJzL2Uyb0RvYy54bWxQSwUGAAAA&#10;AAYABgBZAQAAhwUAAAAA&#10;">
                      <v:fill on="f" focussize="0,0"/>
                      <v:stroke color="#000000" joinstyle="round"/>
                      <v:imagedata o:title=""/>
                      <o:lock v:ext="edit" aspectratio="f"/>
                    </v:line>
                  </w:pict>
                </mc:Fallback>
              </mc:AlternateContent>
            </w:r>
            <w:r>
              <w:rPr>
                <w:b/>
                <w:bCs/>
                <w:color w:val="auto"/>
                <w:szCs w:val="21"/>
              </w:rPr>
              <mc:AlternateContent>
                <mc:Choice Requires="wps">
                  <w:drawing>
                    <wp:anchor distT="0" distB="0" distL="114300" distR="114300" simplePos="0" relativeHeight="251663360" behindDoc="0" locked="0" layoutInCell="1" allowOverlap="1">
                      <wp:simplePos x="0" y="0"/>
                      <wp:positionH relativeFrom="column">
                        <wp:posOffset>-90170</wp:posOffset>
                      </wp:positionH>
                      <wp:positionV relativeFrom="paragraph">
                        <wp:posOffset>52070</wp:posOffset>
                      </wp:positionV>
                      <wp:extent cx="1056640" cy="284480"/>
                      <wp:effectExtent l="0" t="0" r="0" b="0"/>
                      <wp:wrapNone/>
                      <wp:docPr id="90" name="文本框 3969"/>
                      <wp:cNvGraphicFramePr/>
                      <a:graphic xmlns:a="http://schemas.openxmlformats.org/drawingml/2006/main">
                        <a:graphicData uri="http://schemas.microsoft.com/office/word/2010/wordprocessingShape">
                          <wps:wsp>
                            <wps:cNvSpPr txBox="1"/>
                            <wps:spPr>
                              <a:xfrm>
                                <a:off x="0" y="0"/>
                                <a:ext cx="1056640" cy="284480"/>
                              </a:xfrm>
                              <a:prstGeom prst="rect">
                                <a:avLst/>
                              </a:prstGeom>
                              <a:noFill/>
                              <a:ln>
                                <a:noFill/>
                              </a:ln>
                            </wps:spPr>
                            <wps:txbx>
                              <w:txbxContent>
                                <w:p w14:paraId="4A541A41">
                                  <w:r>
                                    <w:rPr>
                                      <w:rFonts w:hint="eastAsia"/>
                                    </w:rPr>
                                    <w:t>评价工作等级</w:t>
                                  </w:r>
                                </w:p>
                              </w:txbxContent>
                            </wps:txbx>
                            <wps:bodyPr wrap="square" upright="1"/>
                          </wps:wsp>
                        </a:graphicData>
                      </a:graphic>
                    </wp:anchor>
                  </w:drawing>
                </mc:Choice>
                <mc:Fallback>
                  <w:pict>
                    <v:shape id="文本框 3969" o:spid="_x0000_s1026" o:spt="202" type="#_x0000_t202" style="position:absolute;left:0pt;margin-left:-7.1pt;margin-top:4.1pt;height:22.4pt;width:83.2pt;z-index:251663360;mso-width-relative:page;mso-height-relative:page;" filled="f" stroked="f" coordsize="21600,21600" o:gfxdata="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K7ScOvWAAAACAEAAA8AAAAAAAAAAQAgAAAAIgAAAGRycy9kb3ducmV2LnhtbFBLAQIUABQA&#10;AAAIAIdO4kB39hcZuQEAAGADAAAOAAAAAAAAAAEAIAAAACUBAABkcnMvZTJvRG9jLnhtbFBLBQYA&#10;AAAABgAGAFkBAABQBQAAAAA=&#10;">
                      <v:fill on="f" focussize="0,0"/>
                      <v:stroke on="f"/>
                      <v:imagedata o:title=""/>
                      <o:lock v:ext="edit" aspectratio="f"/>
                      <v:textbox>
                        <w:txbxContent>
                          <w:p w14:paraId="4A541A41">
                            <w:r>
                              <w:rPr>
                                <w:rFonts w:hint="eastAsia"/>
                              </w:rPr>
                              <w:t>评价工作等级</w:t>
                            </w:r>
                          </w:p>
                        </w:txbxContent>
                      </v:textbox>
                    </v:shape>
                  </w:pict>
                </mc:Fallback>
              </mc:AlternateContent>
            </w:r>
            <w:r>
              <w:rPr>
                <w:b/>
                <w:bCs/>
                <w:color w:val="auto"/>
                <w:szCs w:val="21"/>
              </w:rPr>
              <mc:AlternateContent>
                <mc:Choice Requires="wps">
                  <w:drawing>
                    <wp:anchor distT="0" distB="0" distL="114300" distR="114300" simplePos="0" relativeHeight="251660288" behindDoc="0" locked="0" layoutInCell="1" allowOverlap="1">
                      <wp:simplePos x="0" y="0"/>
                      <wp:positionH relativeFrom="column">
                        <wp:posOffset>633730</wp:posOffset>
                      </wp:positionH>
                      <wp:positionV relativeFrom="paragraph">
                        <wp:posOffset>26035</wp:posOffset>
                      </wp:positionV>
                      <wp:extent cx="846455" cy="498475"/>
                      <wp:effectExtent l="2540" t="3810" r="8255" b="12065"/>
                      <wp:wrapNone/>
                      <wp:docPr id="87" name="直线 3973"/>
                      <wp:cNvGraphicFramePr/>
                      <a:graphic xmlns:a="http://schemas.openxmlformats.org/drawingml/2006/main">
                        <a:graphicData uri="http://schemas.microsoft.com/office/word/2010/wordprocessingShape">
                          <wps:wsp>
                            <wps:cNvCnPr/>
                            <wps:spPr>
                              <a:xfrm flipH="1" flipV="1">
                                <a:off x="0" y="0"/>
                                <a:ext cx="846455" cy="49847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3973" o:spid="_x0000_s1026" o:spt="20" style="position:absolute;left:0pt;flip:x y;margin-left:49.9pt;margin-top:2.05pt;height:39.25pt;width:66.65pt;z-index:251660288;mso-width-relative:page;mso-height-relative:page;" filled="f" stroked="t" coordsize="21600,21600" o:gfxdata="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OmTi/bTAAAABwEAAA8AAAAAAAAAAQAgAAAAIgAAAGRycy9kb3ducmV2LnhtbFBLAQIUABQAAAAI&#10;AIdO4kA+3moz8gEAAOsDAAAOAAAAAAAAAAEAIAAAACIBAABkcnMvZTJvRG9jLnhtbFBLBQYAAAAA&#10;BgAGAFkBAACGBQAAAAA=&#10;">
                      <v:fill on="f" focussize="0,0"/>
                      <v:stroke color="#000000" joinstyle="round"/>
                      <v:imagedata o:title=""/>
                      <o:lock v:ext="edit" aspectratio="f"/>
                    </v:line>
                  </w:pict>
                </mc:Fallback>
              </mc:AlternateContent>
            </w:r>
            <w:r>
              <w:rPr>
                <w:b/>
                <w:bCs/>
                <w:color w:val="auto"/>
                <w:szCs w:val="21"/>
              </w:rPr>
              <mc:AlternateContent>
                <mc:Choice Requires="wps">
                  <w:drawing>
                    <wp:anchor distT="0" distB="0" distL="114300" distR="114300" simplePos="0" relativeHeight="251662336" behindDoc="0" locked="0" layoutInCell="1" allowOverlap="1">
                      <wp:simplePos x="0" y="0"/>
                      <wp:positionH relativeFrom="column">
                        <wp:posOffset>775335</wp:posOffset>
                      </wp:positionH>
                      <wp:positionV relativeFrom="paragraph">
                        <wp:posOffset>-7620</wp:posOffset>
                      </wp:positionV>
                      <wp:extent cx="807720" cy="325120"/>
                      <wp:effectExtent l="0" t="0" r="0" b="0"/>
                      <wp:wrapNone/>
                      <wp:docPr id="89" name="文本框 3972"/>
                      <wp:cNvGraphicFramePr/>
                      <a:graphic xmlns:a="http://schemas.openxmlformats.org/drawingml/2006/main">
                        <a:graphicData uri="http://schemas.microsoft.com/office/word/2010/wordprocessingShape">
                          <wps:wsp>
                            <wps:cNvSpPr txBox="1"/>
                            <wps:spPr>
                              <a:xfrm>
                                <a:off x="0" y="0"/>
                                <a:ext cx="807720" cy="325120"/>
                              </a:xfrm>
                              <a:prstGeom prst="rect">
                                <a:avLst/>
                              </a:prstGeom>
                              <a:noFill/>
                              <a:ln>
                                <a:noFill/>
                              </a:ln>
                            </wps:spPr>
                            <wps:txbx>
                              <w:txbxContent>
                                <w:p w14:paraId="5B47E9E7">
                                  <w:r>
                                    <w:rPr>
                                      <w:rFonts w:hint="eastAsia"/>
                                    </w:rPr>
                                    <w:t>占地规模</w:t>
                                  </w:r>
                                </w:p>
                              </w:txbxContent>
                            </wps:txbx>
                            <wps:bodyPr wrap="square" upright="1"/>
                          </wps:wsp>
                        </a:graphicData>
                      </a:graphic>
                    </wp:anchor>
                  </w:drawing>
                </mc:Choice>
                <mc:Fallback>
                  <w:pict>
                    <v:shape id="文本框 3972" o:spid="_x0000_s1026" o:spt="202" type="#_x0000_t202" style="position:absolute;left:0pt;margin-left:61.05pt;margin-top:-0.6pt;height:25.6pt;width:63.6pt;z-index:251662336;mso-width-relative:page;mso-height-relative:page;" filled="f" stroked="f" coordsize="21600,21600" o:gfxdata="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HRlCTjWAAAACQEAAA8AAAAAAAAAAQAgAAAAIgAAAGRycy9kb3ducmV2LnhtbFBLAQIUABQA&#10;AAAIAIdO4kCWPX+iuQEAAF8DAAAOAAAAAAAAAAEAIAAAACUBAABkcnMvZTJvRG9jLnhtbFBLBQYA&#10;AAAABgAGAFkBAABQBQAAAAA=&#10;">
                      <v:fill on="f" focussize="0,0"/>
                      <v:stroke on="f"/>
                      <v:imagedata o:title=""/>
                      <o:lock v:ext="edit" aspectratio="f"/>
                      <v:textbox>
                        <w:txbxContent>
                          <w:p w14:paraId="5B47E9E7">
                            <w:r>
                              <w:rPr>
                                <w:rFonts w:hint="eastAsia"/>
                              </w:rPr>
                              <w:t>占地规模</w:t>
                            </w:r>
                          </w:p>
                        </w:txbxContent>
                      </v:textbox>
                    </v:shape>
                  </w:pict>
                </mc:Fallback>
              </mc:AlternateContent>
            </w:r>
          </w:p>
        </w:tc>
        <w:tc>
          <w:tcPr>
            <w:tcW w:w="2070" w:type="dxa"/>
            <w:gridSpan w:val="3"/>
            <w:vAlign w:val="center"/>
          </w:tcPr>
          <w:p w14:paraId="50A48D48">
            <w:pPr>
              <w:snapToGrid w:val="0"/>
              <w:jc w:val="center"/>
              <w:rPr>
                <w:b/>
                <w:bCs/>
                <w:color w:val="auto"/>
                <w:szCs w:val="21"/>
              </w:rPr>
            </w:pPr>
            <w:r>
              <w:rPr>
                <w:b/>
                <w:bCs/>
                <w:color w:val="auto"/>
                <w:szCs w:val="21"/>
              </w:rPr>
              <w:t>I类</w:t>
            </w:r>
          </w:p>
        </w:tc>
        <w:tc>
          <w:tcPr>
            <w:tcW w:w="2030" w:type="dxa"/>
            <w:gridSpan w:val="3"/>
            <w:vAlign w:val="center"/>
          </w:tcPr>
          <w:p w14:paraId="65105A4A">
            <w:pPr>
              <w:snapToGrid w:val="0"/>
              <w:jc w:val="center"/>
              <w:rPr>
                <w:b/>
                <w:bCs/>
                <w:color w:val="auto"/>
                <w:szCs w:val="21"/>
              </w:rPr>
            </w:pPr>
            <w:r>
              <w:rPr>
                <w:b/>
                <w:bCs/>
                <w:color w:val="auto"/>
                <w:szCs w:val="21"/>
              </w:rPr>
              <w:t>II类</w:t>
            </w:r>
          </w:p>
        </w:tc>
        <w:tc>
          <w:tcPr>
            <w:tcW w:w="2009" w:type="dxa"/>
            <w:gridSpan w:val="3"/>
            <w:vAlign w:val="center"/>
          </w:tcPr>
          <w:p w14:paraId="40809B1D">
            <w:pPr>
              <w:snapToGrid w:val="0"/>
              <w:jc w:val="center"/>
              <w:rPr>
                <w:b/>
                <w:bCs/>
                <w:color w:val="auto"/>
                <w:szCs w:val="21"/>
              </w:rPr>
            </w:pPr>
            <w:r>
              <w:rPr>
                <w:b/>
                <w:bCs/>
                <w:color w:val="auto"/>
                <w:szCs w:val="21"/>
              </w:rPr>
              <w:t>III类</w:t>
            </w:r>
          </w:p>
        </w:tc>
      </w:tr>
      <w:tr w14:paraId="645506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2416" w:type="dxa"/>
            <w:vMerge w:val="continue"/>
            <w:vAlign w:val="center"/>
          </w:tcPr>
          <w:p w14:paraId="021A4CC0">
            <w:pPr>
              <w:snapToGrid w:val="0"/>
              <w:jc w:val="center"/>
              <w:rPr>
                <w:b/>
                <w:bCs/>
                <w:color w:val="auto"/>
                <w:szCs w:val="21"/>
              </w:rPr>
            </w:pPr>
          </w:p>
        </w:tc>
        <w:tc>
          <w:tcPr>
            <w:tcW w:w="738" w:type="dxa"/>
            <w:vAlign w:val="center"/>
          </w:tcPr>
          <w:p w14:paraId="3578644D">
            <w:pPr>
              <w:snapToGrid w:val="0"/>
              <w:jc w:val="center"/>
              <w:rPr>
                <w:b/>
                <w:bCs/>
                <w:color w:val="auto"/>
                <w:szCs w:val="21"/>
              </w:rPr>
            </w:pPr>
            <w:r>
              <w:rPr>
                <w:b/>
                <w:bCs/>
                <w:color w:val="auto"/>
                <w:szCs w:val="21"/>
              </w:rPr>
              <w:t>大</w:t>
            </w:r>
          </w:p>
        </w:tc>
        <w:tc>
          <w:tcPr>
            <w:tcW w:w="638" w:type="dxa"/>
            <w:vAlign w:val="center"/>
          </w:tcPr>
          <w:p w14:paraId="14C6B713">
            <w:pPr>
              <w:snapToGrid w:val="0"/>
              <w:jc w:val="center"/>
              <w:rPr>
                <w:b/>
                <w:bCs/>
                <w:color w:val="auto"/>
                <w:szCs w:val="21"/>
              </w:rPr>
            </w:pPr>
            <w:r>
              <w:rPr>
                <w:b/>
                <w:bCs/>
                <w:color w:val="auto"/>
                <w:szCs w:val="21"/>
              </w:rPr>
              <w:t>中</w:t>
            </w:r>
          </w:p>
        </w:tc>
        <w:tc>
          <w:tcPr>
            <w:tcW w:w="694" w:type="dxa"/>
            <w:vAlign w:val="center"/>
          </w:tcPr>
          <w:p w14:paraId="098808BB">
            <w:pPr>
              <w:snapToGrid w:val="0"/>
              <w:jc w:val="center"/>
              <w:rPr>
                <w:b/>
                <w:bCs/>
                <w:color w:val="auto"/>
                <w:szCs w:val="21"/>
              </w:rPr>
            </w:pPr>
            <w:r>
              <w:rPr>
                <w:b/>
                <w:bCs/>
                <w:color w:val="auto"/>
                <w:szCs w:val="21"/>
              </w:rPr>
              <w:t>小</w:t>
            </w:r>
          </w:p>
        </w:tc>
        <w:tc>
          <w:tcPr>
            <w:tcW w:w="699" w:type="dxa"/>
            <w:vAlign w:val="center"/>
          </w:tcPr>
          <w:p w14:paraId="580EFE29">
            <w:pPr>
              <w:snapToGrid w:val="0"/>
              <w:jc w:val="center"/>
              <w:rPr>
                <w:b/>
                <w:bCs/>
                <w:color w:val="auto"/>
                <w:szCs w:val="21"/>
              </w:rPr>
            </w:pPr>
            <w:r>
              <w:rPr>
                <w:b/>
                <w:bCs/>
                <w:color w:val="auto"/>
                <w:szCs w:val="21"/>
              </w:rPr>
              <w:t>大</w:t>
            </w:r>
          </w:p>
        </w:tc>
        <w:tc>
          <w:tcPr>
            <w:tcW w:w="651" w:type="dxa"/>
            <w:vAlign w:val="center"/>
          </w:tcPr>
          <w:p w14:paraId="1E735A08">
            <w:pPr>
              <w:snapToGrid w:val="0"/>
              <w:jc w:val="center"/>
              <w:rPr>
                <w:b/>
                <w:bCs/>
                <w:color w:val="auto"/>
                <w:szCs w:val="21"/>
              </w:rPr>
            </w:pPr>
            <w:r>
              <w:rPr>
                <w:b/>
                <w:bCs/>
                <w:color w:val="auto"/>
                <w:szCs w:val="21"/>
              </w:rPr>
              <w:t>中</w:t>
            </w:r>
          </w:p>
        </w:tc>
        <w:tc>
          <w:tcPr>
            <w:tcW w:w="680" w:type="dxa"/>
            <w:vAlign w:val="center"/>
          </w:tcPr>
          <w:p w14:paraId="4AFF5D83">
            <w:pPr>
              <w:snapToGrid w:val="0"/>
              <w:jc w:val="center"/>
              <w:rPr>
                <w:b/>
                <w:bCs/>
                <w:color w:val="auto"/>
                <w:szCs w:val="21"/>
              </w:rPr>
            </w:pPr>
            <w:r>
              <w:rPr>
                <w:b/>
                <w:bCs/>
                <w:color w:val="auto"/>
                <w:szCs w:val="21"/>
              </w:rPr>
              <w:t>小</w:t>
            </w:r>
          </w:p>
        </w:tc>
        <w:tc>
          <w:tcPr>
            <w:tcW w:w="651" w:type="dxa"/>
            <w:vAlign w:val="center"/>
          </w:tcPr>
          <w:p w14:paraId="3FD497B0">
            <w:pPr>
              <w:snapToGrid w:val="0"/>
              <w:jc w:val="center"/>
              <w:rPr>
                <w:b/>
                <w:bCs/>
                <w:color w:val="auto"/>
                <w:szCs w:val="21"/>
              </w:rPr>
            </w:pPr>
            <w:r>
              <w:rPr>
                <w:b/>
                <w:bCs/>
                <w:color w:val="auto"/>
                <w:szCs w:val="21"/>
              </w:rPr>
              <w:t>大</w:t>
            </w:r>
          </w:p>
        </w:tc>
        <w:tc>
          <w:tcPr>
            <w:tcW w:w="650" w:type="dxa"/>
            <w:vAlign w:val="center"/>
          </w:tcPr>
          <w:p w14:paraId="52437D38">
            <w:pPr>
              <w:snapToGrid w:val="0"/>
              <w:jc w:val="center"/>
              <w:rPr>
                <w:b/>
                <w:bCs/>
                <w:color w:val="auto"/>
                <w:szCs w:val="21"/>
              </w:rPr>
            </w:pPr>
            <w:r>
              <w:rPr>
                <w:b/>
                <w:bCs/>
                <w:color w:val="auto"/>
                <w:szCs w:val="21"/>
              </w:rPr>
              <w:t>中</w:t>
            </w:r>
          </w:p>
        </w:tc>
        <w:tc>
          <w:tcPr>
            <w:tcW w:w="708" w:type="dxa"/>
            <w:vAlign w:val="center"/>
          </w:tcPr>
          <w:p w14:paraId="020058AD">
            <w:pPr>
              <w:snapToGrid w:val="0"/>
              <w:jc w:val="center"/>
              <w:rPr>
                <w:b/>
                <w:bCs/>
                <w:color w:val="auto"/>
                <w:szCs w:val="21"/>
              </w:rPr>
            </w:pPr>
            <w:r>
              <w:rPr>
                <w:b/>
                <w:bCs/>
                <w:color w:val="auto"/>
                <w:szCs w:val="21"/>
              </w:rPr>
              <w:t>小</w:t>
            </w:r>
          </w:p>
        </w:tc>
      </w:tr>
      <w:tr w14:paraId="785B001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16" w:type="dxa"/>
            <w:vAlign w:val="center"/>
          </w:tcPr>
          <w:p w14:paraId="581C8058">
            <w:pPr>
              <w:snapToGrid w:val="0"/>
              <w:jc w:val="center"/>
              <w:rPr>
                <w:color w:val="auto"/>
                <w:szCs w:val="21"/>
              </w:rPr>
            </w:pPr>
            <w:r>
              <w:rPr>
                <w:color w:val="auto"/>
                <w:szCs w:val="21"/>
              </w:rPr>
              <w:t>敏感</w:t>
            </w:r>
          </w:p>
        </w:tc>
        <w:tc>
          <w:tcPr>
            <w:tcW w:w="738" w:type="dxa"/>
            <w:vAlign w:val="center"/>
          </w:tcPr>
          <w:p w14:paraId="65A2C04A">
            <w:pPr>
              <w:jc w:val="center"/>
              <w:rPr>
                <w:color w:val="auto"/>
                <w:szCs w:val="21"/>
              </w:rPr>
            </w:pPr>
            <w:r>
              <w:rPr>
                <w:color w:val="auto"/>
                <w:szCs w:val="21"/>
              </w:rPr>
              <w:t>一级</w:t>
            </w:r>
          </w:p>
        </w:tc>
        <w:tc>
          <w:tcPr>
            <w:tcW w:w="638" w:type="dxa"/>
            <w:vAlign w:val="center"/>
          </w:tcPr>
          <w:p w14:paraId="4B99F01A">
            <w:pPr>
              <w:jc w:val="center"/>
              <w:rPr>
                <w:color w:val="auto"/>
                <w:szCs w:val="21"/>
              </w:rPr>
            </w:pPr>
            <w:r>
              <w:rPr>
                <w:color w:val="auto"/>
                <w:szCs w:val="21"/>
              </w:rPr>
              <w:t>一级</w:t>
            </w:r>
          </w:p>
        </w:tc>
        <w:tc>
          <w:tcPr>
            <w:tcW w:w="694" w:type="dxa"/>
            <w:vAlign w:val="center"/>
          </w:tcPr>
          <w:p w14:paraId="629BA5F8">
            <w:pPr>
              <w:jc w:val="center"/>
              <w:rPr>
                <w:color w:val="auto"/>
                <w:szCs w:val="21"/>
              </w:rPr>
            </w:pPr>
            <w:r>
              <w:rPr>
                <w:color w:val="auto"/>
                <w:szCs w:val="21"/>
              </w:rPr>
              <w:t>一级</w:t>
            </w:r>
          </w:p>
        </w:tc>
        <w:tc>
          <w:tcPr>
            <w:tcW w:w="699" w:type="dxa"/>
            <w:vAlign w:val="center"/>
          </w:tcPr>
          <w:p w14:paraId="413E8D5D">
            <w:pPr>
              <w:jc w:val="center"/>
              <w:rPr>
                <w:color w:val="auto"/>
                <w:szCs w:val="21"/>
              </w:rPr>
            </w:pPr>
            <w:r>
              <w:rPr>
                <w:color w:val="auto"/>
                <w:szCs w:val="21"/>
              </w:rPr>
              <w:t>二级</w:t>
            </w:r>
          </w:p>
        </w:tc>
        <w:tc>
          <w:tcPr>
            <w:tcW w:w="651" w:type="dxa"/>
            <w:vAlign w:val="center"/>
          </w:tcPr>
          <w:p w14:paraId="640CD348">
            <w:pPr>
              <w:jc w:val="center"/>
              <w:rPr>
                <w:color w:val="auto"/>
                <w:szCs w:val="21"/>
              </w:rPr>
            </w:pPr>
            <w:r>
              <w:rPr>
                <w:color w:val="auto"/>
                <w:szCs w:val="21"/>
              </w:rPr>
              <w:t>二级</w:t>
            </w:r>
          </w:p>
        </w:tc>
        <w:tc>
          <w:tcPr>
            <w:tcW w:w="680" w:type="dxa"/>
            <w:vAlign w:val="center"/>
          </w:tcPr>
          <w:p w14:paraId="6292F556">
            <w:pPr>
              <w:jc w:val="center"/>
              <w:rPr>
                <w:color w:val="auto"/>
                <w:szCs w:val="21"/>
              </w:rPr>
            </w:pPr>
            <w:r>
              <w:rPr>
                <w:color w:val="auto"/>
                <w:szCs w:val="21"/>
              </w:rPr>
              <w:t>二级</w:t>
            </w:r>
          </w:p>
        </w:tc>
        <w:tc>
          <w:tcPr>
            <w:tcW w:w="651" w:type="dxa"/>
            <w:vAlign w:val="center"/>
          </w:tcPr>
          <w:p w14:paraId="0E2E8F4E">
            <w:pPr>
              <w:jc w:val="center"/>
              <w:rPr>
                <w:color w:val="auto"/>
                <w:szCs w:val="21"/>
              </w:rPr>
            </w:pPr>
            <w:r>
              <w:rPr>
                <w:color w:val="auto"/>
                <w:szCs w:val="21"/>
              </w:rPr>
              <w:t>三级</w:t>
            </w:r>
          </w:p>
        </w:tc>
        <w:tc>
          <w:tcPr>
            <w:tcW w:w="650" w:type="dxa"/>
            <w:shd w:val="clear" w:color="auto" w:fill="FF0000"/>
            <w:vAlign w:val="center"/>
          </w:tcPr>
          <w:p w14:paraId="5BBA13C3">
            <w:pPr>
              <w:jc w:val="center"/>
              <w:rPr>
                <w:color w:val="auto"/>
                <w:szCs w:val="21"/>
              </w:rPr>
            </w:pPr>
            <w:r>
              <w:rPr>
                <w:color w:val="auto"/>
                <w:szCs w:val="21"/>
              </w:rPr>
              <w:t>三级</w:t>
            </w:r>
          </w:p>
        </w:tc>
        <w:tc>
          <w:tcPr>
            <w:tcW w:w="708" w:type="dxa"/>
            <w:vAlign w:val="center"/>
          </w:tcPr>
          <w:p w14:paraId="19BAFD9C">
            <w:pPr>
              <w:snapToGrid w:val="0"/>
              <w:jc w:val="center"/>
              <w:rPr>
                <w:color w:val="auto"/>
                <w:szCs w:val="21"/>
              </w:rPr>
            </w:pPr>
            <w:r>
              <w:rPr>
                <w:color w:val="auto"/>
                <w:szCs w:val="21"/>
              </w:rPr>
              <w:t>三级</w:t>
            </w:r>
          </w:p>
        </w:tc>
      </w:tr>
      <w:tr w14:paraId="62A2A36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16" w:type="dxa"/>
            <w:shd w:val="clear" w:color="auto" w:fill="auto"/>
            <w:vAlign w:val="center"/>
          </w:tcPr>
          <w:p w14:paraId="07582225">
            <w:pPr>
              <w:jc w:val="center"/>
              <w:rPr>
                <w:color w:val="auto"/>
                <w:szCs w:val="21"/>
              </w:rPr>
            </w:pPr>
            <w:r>
              <w:rPr>
                <w:color w:val="auto"/>
                <w:szCs w:val="21"/>
              </w:rPr>
              <w:t>较敏感</w:t>
            </w:r>
          </w:p>
        </w:tc>
        <w:tc>
          <w:tcPr>
            <w:tcW w:w="738" w:type="dxa"/>
            <w:shd w:val="clear" w:color="auto" w:fill="auto"/>
            <w:vAlign w:val="center"/>
          </w:tcPr>
          <w:p w14:paraId="0769100F">
            <w:pPr>
              <w:jc w:val="center"/>
              <w:rPr>
                <w:color w:val="auto"/>
                <w:szCs w:val="21"/>
              </w:rPr>
            </w:pPr>
            <w:r>
              <w:rPr>
                <w:color w:val="auto"/>
                <w:szCs w:val="21"/>
              </w:rPr>
              <w:t>一级</w:t>
            </w:r>
          </w:p>
        </w:tc>
        <w:tc>
          <w:tcPr>
            <w:tcW w:w="638" w:type="dxa"/>
            <w:shd w:val="clear" w:color="auto" w:fill="auto"/>
            <w:vAlign w:val="center"/>
          </w:tcPr>
          <w:p w14:paraId="2E6FEBC1">
            <w:pPr>
              <w:jc w:val="center"/>
              <w:rPr>
                <w:color w:val="auto"/>
                <w:szCs w:val="21"/>
              </w:rPr>
            </w:pPr>
            <w:r>
              <w:rPr>
                <w:color w:val="auto"/>
                <w:szCs w:val="21"/>
              </w:rPr>
              <w:t>一级</w:t>
            </w:r>
          </w:p>
        </w:tc>
        <w:tc>
          <w:tcPr>
            <w:tcW w:w="694" w:type="dxa"/>
            <w:shd w:val="clear" w:color="auto" w:fill="auto"/>
            <w:vAlign w:val="center"/>
          </w:tcPr>
          <w:p w14:paraId="7D5FC0BE">
            <w:pPr>
              <w:jc w:val="center"/>
              <w:rPr>
                <w:color w:val="auto"/>
                <w:szCs w:val="21"/>
              </w:rPr>
            </w:pPr>
            <w:r>
              <w:rPr>
                <w:color w:val="auto"/>
                <w:szCs w:val="21"/>
              </w:rPr>
              <w:t>二级</w:t>
            </w:r>
          </w:p>
        </w:tc>
        <w:tc>
          <w:tcPr>
            <w:tcW w:w="699" w:type="dxa"/>
            <w:shd w:val="clear" w:color="auto" w:fill="auto"/>
            <w:vAlign w:val="center"/>
          </w:tcPr>
          <w:p w14:paraId="4F559A87">
            <w:pPr>
              <w:jc w:val="center"/>
              <w:rPr>
                <w:color w:val="auto"/>
                <w:szCs w:val="21"/>
              </w:rPr>
            </w:pPr>
            <w:r>
              <w:rPr>
                <w:color w:val="auto"/>
                <w:szCs w:val="21"/>
              </w:rPr>
              <w:t>二级</w:t>
            </w:r>
          </w:p>
        </w:tc>
        <w:tc>
          <w:tcPr>
            <w:tcW w:w="651" w:type="dxa"/>
            <w:shd w:val="clear" w:color="auto" w:fill="auto"/>
            <w:vAlign w:val="center"/>
          </w:tcPr>
          <w:p w14:paraId="5045CBEB">
            <w:pPr>
              <w:jc w:val="center"/>
              <w:rPr>
                <w:color w:val="auto"/>
                <w:szCs w:val="21"/>
              </w:rPr>
            </w:pPr>
            <w:r>
              <w:rPr>
                <w:color w:val="auto"/>
                <w:szCs w:val="21"/>
              </w:rPr>
              <w:t>二级</w:t>
            </w:r>
          </w:p>
        </w:tc>
        <w:tc>
          <w:tcPr>
            <w:tcW w:w="680" w:type="dxa"/>
            <w:shd w:val="clear" w:color="auto" w:fill="auto"/>
            <w:vAlign w:val="center"/>
          </w:tcPr>
          <w:p w14:paraId="0DF999ED">
            <w:pPr>
              <w:jc w:val="center"/>
              <w:rPr>
                <w:color w:val="auto"/>
                <w:szCs w:val="21"/>
              </w:rPr>
            </w:pPr>
            <w:r>
              <w:rPr>
                <w:color w:val="auto"/>
                <w:szCs w:val="21"/>
              </w:rPr>
              <w:t>三级</w:t>
            </w:r>
          </w:p>
        </w:tc>
        <w:tc>
          <w:tcPr>
            <w:tcW w:w="651" w:type="dxa"/>
            <w:shd w:val="clear" w:color="auto" w:fill="auto"/>
            <w:vAlign w:val="center"/>
          </w:tcPr>
          <w:p w14:paraId="5752B191">
            <w:pPr>
              <w:jc w:val="center"/>
              <w:rPr>
                <w:color w:val="auto"/>
                <w:szCs w:val="21"/>
              </w:rPr>
            </w:pPr>
            <w:r>
              <w:rPr>
                <w:color w:val="auto"/>
                <w:szCs w:val="21"/>
              </w:rPr>
              <w:t>三级</w:t>
            </w:r>
          </w:p>
        </w:tc>
        <w:tc>
          <w:tcPr>
            <w:tcW w:w="650" w:type="dxa"/>
            <w:shd w:val="clear" w:color="auto" w:fill="C7EDCC" w:themeFill="background1"/>
            <w:vAlign w:val="center"/>
          </w:tcPr>
          <w:p w14:paraId="5A2D403D">
            <w:pPr>
              <w:jc w:val="center"/>
              <w:rPr>
                <w:color w:val="auto"/>
                <w:szCs w:val="21"/>
              </w:rPr>
            </w:pPr>
            <w:r>
              <w:rPr>
                <w:color w:val="auto"/>
                <w:szCs w:val="21"/>
              </w:rPr>
              <w:t>三级</w:t>
            </w:r>
          </w:p>
        </w:tc>
        <w:tc>
          <w:tcPr>
            <w:tcW w:w="708" w:type="dxa"/>
            <w:vAlign w:val="center"/>
          </w:tcPr>
          <w:p w14:paraId="62FD92E6">
            <w:pPr>
              <w:snapToGrid w:val="0"/>
              <w:jc w:val="center"/>
              <w:rPr>
                <w:color w:val="auto"/>
                <w:szCs w:val="21"/>
              </w:rPr>
            </w:pPr>
            <w:r>
              <w:rPr>
                <w:color w:val="auto"/>
                <w:szCs w:val="21"/>
              </w:rPr>
              <w:t>-</w:t>
            </w:r>
          </w:p>
        </w:tc>
      </w:tr>
      <w:tr w14:paraId="7E4A5A9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16" w:type="dxa"/>
            <w:vAlign w:val="center"/>
          </w:tcPr>
          <w:p w14:paraId="31552FAC">
            <w:pPr>
              <w:jc w:val="center"/>
              <w:rPr>
                <w:color w:val="auto"/>
                <w:szCs w:val="21"/>
              </w:rPr>
            </w:pPr>
            <w:r>
              <w:rPr>
                <w:color w:val="auto"/>
                <w:szCs w:val="21"/>
              </w:rPr>
              <w:t>不敏感</w:t>
            </w:r>
          </w:p>
        </w:tc>
        <w:tc>
          <w:tcPr>
            <w:tcW w:w="738" w:type="dxa"/>
            <w:vAlign w:val="center"/>
          </w:tcPr>
          <w:p w14:paraId="7438DDBC">
            <w:pPr>
              <w:jc w:val="center"/>
              <w:rPr>
                <w:color w:val="auto"/>
                <w:szCs w:val="21"/>
              </w:rPr>
            </w:pPr>
            <w:r>
              <w:rPr>
                <w:color w:val="auto"/>
                <w:szCs w:val="21"/>
              </w:rPr>
              <w:t>一级</w:t>
            </w:r>
          </w:p>
        </w:tc>
        <w:tc>
          <w:tcPr>
            <w:tcW w:w="638" w:type="dxa"/>
            <w:vAlign w:val="center"/>
          </w:tcPr>
          <w:p w14:paraId="6BFCFC9F">
            <w:pPr>
              <w:jc w:val="center"/>
              <w:rPr>
                <w:color w:val="auto"/>
                <w:szCs w:val="21"/>
              </w:rPr>
            </w:pPr>
            <w:r>
              <w:rPr>
                <w:color w:val="auto"/>
                <w:szCs w:val="21"/>
              </w:rPr>
              <w:t>二级</w:t>
            </w:r>
          </w:p>
        </w:tc>
        <w:tc>
          <w:tcPr>
            <w:tcW w:w="694" w:type="dxa"/>
            <w:vAlign w:val="center"/>
          </w:tcPr>
          <w:p w14:paraId="2633BFAC">
            <w:pPr>
              <w:jc w:val="center"/>
              <w:rPr>
                <w:color w:val="auto"/>
                <w:szCs w:val="21"/>
              </w:rPr>
            </w:pPr>
            <w:r>
              <w:rPr>
                <w:color w:val="auto"/>
                <w:szCs w:val="21"/>
              </w:rPr>
              <w:t>二级</w:t>
            </w:r>
          </w:p>
        </w:tc>
        <w:tc>
          <w:tcPr>
            <w:tcW w:w="699" w:type="dxa"/>
            <w:vAlign w:val="center"/>
          </w:tcPr>
          <w:p w14:paraId="1A0DDD26">
            <w:pPr>
              <w:jc w:val="center"/>
              <w:rPr>
                <w:color w:val="auto"/>
                <w:szCs w:val="21"/>
              </w:rPr>
            </w:pPr>
            <w:r>
              <w:rPr>
                <w:color w:val="auto"/>
                <w:szCs w:val="21"/>
              </w:rPr>
              <w:t>二级</w:t>
            </w:r>
          </w:p>
        </w:tc>
        <w:tc>
          <w:tcPr>
            <w:tcW w:w="651" w:type="dxa"/>
            <w:vAlign w:val="center"/>
          </w:tcPr>
          <w:p w14:paraId="69376698">
            <w:pPr>
              <w:jc w:val="center"/>
              <w:rPr>
                <w:color w:val="auto"/>
                <w:szCs w:val="21"/>
              </w:rPr>
            </w:pPr>
            <w:r>
              <w:rPr>
                <w:color w:val="auto"/>
                <w:szCs w:val="21"/>
              </w:rPr>
              <w:t>三级</w:t>
            </w:r>
          </w:p>
        </w:tc>
        <w:tc>
          <w:tcPr>
            <w:tcW w:w="680" w:type="dxa"/>
            <w:vAlign w:val="center"/>
          </w:tcPr>
          <w:p w14:paraId="7F3B9D78">
            <w:pPr>
              <w:jc w:val="center"/>
              <w:rPr>
                <w:color w:val="auto"/>
                <w:szCs w:val="21"/>
              </w:rPr>
            </w:pPr>
            <w:r>
              <w:rPr>
                <w:color w:val="auto"/>
                <w:szCs w:val="21"/>
              </w:rPr>
              <w:t>三级</w:t>
            </w:r>
          </w:p>
        </w:tc>
        <w:tc>
          <w:tcPr>
            <w:tcW w:w="651" w:type="dxa"/>
            <w:vAlign w:val="center"/>
          </w:tcPr>
          <w:p w14:paraId="4D5269FA">
            <w:pPr>
              <w:jc w:val="center"/>
              <w:rPr>
                <w:color w:val="auto"/>
                <w:szCs w:val="21"/>
              </w:rPr>
            </w:pPr>
            <w:r>
              <w:rPr>
                <w:color w:val="auto"/>
                <w:szCs w:val="21"/>
              </w:rPr>
              <w:t>三级</w:t>
            </w:r>
          </w:p>
        </w:tc>
        <w:tc>
          <w:tcPr>
            <w:tcW w:w="650" w:type="dxa"/>
            <w:vAlign w:val="center"/>
          </w:tcPr>
          <w:p w14:paraId="3492144B">
            <w:pPr>
              <w:snapToGrid w:val="0"/>
              <w:jc w:val="center"/>
              <w:rPr>
                <w:color w:val="auto"/>
                <w:szCs w:val="21"/>
              </w:rPr>
            </w:pPr>
            <w:r>
              <w:rPr>
                <w:color w:val="auto"/>
                <w:szCs w:val="21"/>
              </w:rPr>
              <w:t>-</w:t>
            </w:r>
          </w:p>
        </w:tc>
        <w:tc>
          <w:tcPr>
            <w:tcW w:w="708" w:type="dxa"/>
            <w:vAlign w:val="center"/>
          </w:tcPr>
          <w:p w14:paraId="6D76BAA4">
            <w:pPr>
              <w:snapToGrid w:val="0"/>
              <w:jc w:val="center"/>
              <w:rPr>
                <w:color w:val="auto"/>
                <w:szCs w:val="21"/>
              </w:rPr>
            </w:pPr>
            <w:r>
              <w:rPr>
                <w:color w:val="auto"/>
                <w:szCs w:val="21"/>
              </w:rPr>
              <w:t>-</w:t>
            </w:r>
          </w:p>
        </w:tc>
      </w:tr>
      <w:tr w14:paraId="0B9C80A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5" w:type="dxa"/>
            <w:gridSpan w:val="10"/>
            <w:vAlign w:val="center"/>
          </w:tcPr>
          <w:p w14:paraId="62651CF4">
            <w:pPr>
              <w:snapToGrid w:val="0"/>
              <w:rPr>
                <w:color w:val="auto"/>
                <w:szCs w:val="21"/>
              </w:rPr>
            </w:pPr>
            <w:r>
              <w:rPr>
                <w:color w:val="auto"/>
                <w:szCs w:val="21"/>
              </w:rPr>
              <w:t>注：“-”表示可不开展土壤环境影响评价工作</w:t>
            </w:r>
          </w:p>
          <w:p w14:paraId="18851900">
            <w:pPr>
              <w:jc w:val="left"/>
              <w:rPr>
                <w:color w:val="auto"/>
                <w:szCs w:val="21"/>
              </w:rPr>
            </w:pPr>
            <w:r>
              <w:rPr>
                <w:color w:val="auto"/>
                <w:szCs w:val="21"/>
              </w:rPr>
              <w:t>将建设项目占地规模分为大型(≥50hm</w:t>
            </w:r>
            <w:r>
              <w:rPr>
                <w:color w:val="auto"/>
                <w:szCs w:val="21"/>
                <w:vertAlign w:val="superscript"/>
              </w:rPr>
              <w:t>2</w:t>
            </w:r>
            <w:r>
              <w:rPr>
                <w:color w:val="auto"/>
                <w:szCs w:val="21"/>
              </w:rPr>
              <w:t>) 、中型(≥5~50hm</w:t>
            </w:r>
            <w:r>
              <w:rPr>
                <w:color w:val="auto"/>
                <w:szCs w:val="21"/>
                <w:vertAlign w:val="superscript"/>
              </w:rPr>
              <w:t>2</w:t>
            </w:r>
            <w:r>
              <w:rPr>
                <w:color w:val="auto"/>
                <w:szCs w:val="21"/>
              </w:rPr>
              <w:t>) 、小型(≤5hm</w:t>
            </w:r>
            <w:r>
              <w:rPr>
                <w:color w:val="auto"/>
                <w:szCs w:val="21"/>
                <w:vertAlign w:val="superscript"/>
              </w:rPr>
              <w:t>2</w:t>
            </w:r>
            <w:r>
              <w:rPr>
                <w:color w:val="auto"/>
                <w:szCs w:val="21"/>
              </w:rPr>
              <w:t>) ，建设项目占地主要为永久占地</w:t>
            </w:r>
          </w:p>
        </w:tc>
      </w:tr>
    </w:tbl>
    <w:p w14:paraId="2A45BA90">
      <w:pPr>
        <w:snapToGrid w:val="0"/>
        <w:spacing w:line="360" w:lineRule="auto"/>
        <w:ind w:firstLine="480" w:firstLineChars="200"/>
        <w:rPr>
          <w:rFonts w:hint="eastAsia"/>
          <w:color w:val="auto"/>
          <w:kern w:val="0"/>
          <w:sz w:val="24"/>
        </w:rPr>
      </w:pPr>
      <w:r>
        <w:rPr>
          <w:rFonts w:hint="eastAsia"/>
          <w:color w:val="auto"/>
          <w:kern w:val="0"/>
          <w:sz w:val="24"/>
        </w:rPr>
        <w:t>根据《环境影响评价技术导则 土壤环境》（</w:t>
      </w:r>
      <w:r>
        <w:rPr>
          <w:color w:val="auto"/>
          <w:kern w:val="0"/>
          <w:sz w:val="24"/>
        </w:rPr>
        <w:t>HJ964-2018</w:t>
      </w:r>
      <w:r>
        <w:rPr>
          <w:rFonts w:hint="eastAsia"/>
          <w:color w:val="auto"/>
          <w:kern w:val="0"/>
          <w:sz w:val="24"/>
        </w:rPr>
        <w:t>）中相关规定，调查评价范围应包括建设项目可能影响的范围，能满足土壤环境影响预测和评价要求。三级污染型土壤环境影响评价范围为占地范围内全部及厂区外</w:t>
      </w:r>
      <w:r>
        <w:rPr>
          <w:color w:val="auto"/>
          <w:kern w:val="0"/>
          <w:sz w:val="24"/>
        </w:rPr>
        <w:t>0.05km</w:t>
      </w:r>
      <w:r>
        <w:rPr>
          <w:rFonts w:hint="eastAsia"/>
          <w:color w:val="auto"/>
          <w:kern w:val="0"/>
          <w:sz w:val="24"/>
        </w:rPr>
        <w:t>范围内。</w:t>
      </w:r>
    </w:p>
    <w:p w14:paraId="4562C2DA">
      <w:pPr>
        <w:snapToGrid w:val="0"/>
        <w:spacing w:line="360" w:lineRule="auto"/>
        <w:ind w:firstLine="480" w:firstLineChars="200"/>
        <w:rPr>
          <w:color w:val="auto"/>
          <w:kern w:val="0"/>
          <w:sz w:val="24"/>
        </w:rPr>
      </w:pPr>
      <w:r>
        <w:rPr>
          <w:color w:val="auto"/>
          <w:kern w:val="0"/>
          <w:sz w:val="24"/>
        </w:rPr>
        <w:t>综上所述，确定本项目环境影响评价工作等级见</w:t>
      </w:r>
      <w:r>
        <w:rPr>
          <w:rFonts w:hint="eastAsia"/>
          <w:color w:val="auto"/>
          <w:kern w:val="0"/>
          <w:sz w:val="24"/>
          <w:lang w:eastAsia="zh-CN"/>
        </w:rPr>
        <w:t>下</w:t>
      </w:r>
      <w:r>
        <w:rPr>
          <w:color w:val="auto"/>
          <w:kern w:val="0"/>
          <w:sz w:val="24"/>
        </w:rPr>
        <w:t>表。</w:t>
      </w:r>
    </w:p>
    <w:p w14:paraId="549D5FB4">
      <w:pPr>
        <w:snapToGrid w:val="0"/>
        <w:ind w:firstLine="422" w:firstLineChars="200"/>
        <w:jc w:val="center"/>
        <w:rPr>
          <w:b/>
          <w:bCs/>
          <w:color w:val="auto"/>
        </w:rPr>
      </w:pPr>
      <w:r>
        <w:rPr>
          <w:b/>
          <w:bCs/>
          <w:color w:val="auto"/>
        </w:rPr>
        <w:t>表</w:t>
      </w:r>
      <w:r>
        <w:rPr>
          <w:rFonts w:hint="eastAsia"/>
          <w:b/>
          <w:bCs/>
          <w:color w:val="auto"/>
          <w:lang w:val="en-US" w:eastAsia="zh-CN"/>
        </w:rPr>
        <w:t>2.3-16</w:t>
      </w:r>
      <w:r>
        <w:rPr>
          <w:b/>
          <w:bCs/>
          <w:color w:val="auto"/>
        </w:rPr>
        <w:t xml:space="preserve">       建设项目环境影响评价工作等级表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14"/>
        <w:gridCol w:w="1059"/>
        <w:gridCol w:w="1059"/>
        <w:gridCol w:w="1059"/>
        <w:gridCol w:w="1059"/>
        <w:gridCol w:w="1059"/>
        <w:gridCol w:w="1059"/>
        <w:gridCol w:w="1060"/>
      </w:tblGrid>
      <w:tr w14:paraId="4EB9674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14" w:type="dxa"/>
            <w:vAlign w:val="center"/>
          </w:tcPr>
          <w:p w14:paraId="48D5BC11">
            <w:pPr>
              <w:snapToGrid w:val="0"/>
              <w:jc w:val="center"/>
              <w:rPr>
                <w:b/>
                <w:color w:val="auto"/>
                <w:kern w:val="0"/>
                <w:szCs w:val="21"/>
              </w:rPr>
            </w:pPr>
            <w:r>
              <w:rPr>
                <w:b/>
                <w:color w:val="auto"/>
                <w:kern w:val="0"/>
                <w:szCs w:val="21"/>
              </w:rPr>
              <w:t>类别</w:t>
            </w:r>
          </w:p>
        </w:tc>
        <w:tc>
          <w:tcPr>
            <w:tcW w:w="1059" w:type="dxa"/>
            <w:vAlign w:val="center"/>
          </w:tcPr>
          <w:p w14:paraId="5170DE28">
            <w:pPr>
              <w:snapToGrid w:val="0"/>
              <w:jc w:val="center"/>
              <w:rPr>
                <w:b/>
                <w:color w:val="auto"/>
                <w:kern w:val="0"/>
                <w:szCs w:val="21"/>
              </w:rPr>
            </w:pPr>
            <w:r>
              <w:rPr>
                <w:b/>
                <w:color w:val="auto"/>
                <w:kern w:val="0"/>
                <w:szCs w:val="21"/>
              </w:rPr>
              <w:t>大气</w:t>
            </w:r>
          </w:p>
        </w:tc>
        <w:tc>
          <w:tcPr>
            <w:tcW w:w="1059" w:type="dxa"/>
            <w:vAlign w:val="center"/>
          </w:tcPr>
          <w:p w14:paraId="132A95B4">
            <w:pPr>
              <w:snapToGrid w:val="0"/>
              <w:jc w:val="center"/>
              <w:rPr>
                <w:b/>
                <w:color w:val="auto"/>
                <w:kern w:val="0"/>
                <w:szCs w:val="21"/>
              </w:rPr>
            </w:pPr>
            <w:r>
              <w:rPr>
                <w:b/>
                <w:color w:val="auto"/>
                <w:kern w:val="0"/>
                <w:szCs w:val="21"/>
              </w:rPr>
              <w:t>地表水</w:t>
            </w:r>
          </w:p>
        </w:tc>
        <w:tc>
          <w:tcPr>
            <w:tcW w:w="1059" w:type="dxa"/>
            <w:vAlign w:val="center"/>
          </w:tcPr>
          <w:p w14:paraId="0149B7E0">
            <w:pPr>
              <w:snapToGrid w:val="0"/>
              <w:jc w:val="center"/>
              <w:rPr>
                <w:b/>
                <w:color w:val="auto"/>
                <w:kern w:val="0"/>
                <w:szCs w:val="21"/>
              </w:rPr>
            </w:pPr>
            <w:r>
              <w:rPr>
                <w:b/>
                <w:color w:val="auto"/>
                <w:kern w:val="0"/>
                <w:szCs w:val="21"/>
              </w:rPr>
              <w:t>噪声</w:t>
            </w:r>
          </w:p>
        </w:tc>
        <w:tc>
          <w:tcPr>
            <w:tcW w:w="1059" w:type="dxa"/>
            <w:vAlign w:val="center"/>
          </w:tcPr>
          <w:p w14:paraId="2D4A1E6E">
            <w:pPr>
              <w:snapToGrid w:val="0"/>
              <w:jc w:val="center"/>
              <w:rPr>
                <w:b/>
                <w:color w:val="auto"/>
                <w:kern w:val="0"/>
                <w:szCs w:val="21"/>
              </w:rPr>
            </w:pPr>
            <w:r>
              <w:rPr>
                <w:b/>
                <w:color w:val="auto"/>
                <w:kern w:val="0"/>
                <w:szCs w:val="21"/>
              </w:rPr>
              <w:t>生态</w:t>
            </w:r>
          </w:p>
        </w:tc>
        <w:tc>
          <w:tcPr>
            <w:tcW w:w="1059" w:type="dxa"/>
            <w:tcBorders>
              <w:right w:val="single" w:color="auto" w:sz="4" w:space="0"/>
            </w:tcBorders>
            <w:vAlign w:val="center"/>
          </w:tcPr>
          <w:p w14:paraId="2E7DCD7B">
            <w:pPr>
              <w:snapToGrid w:val="0"/>
              <w:jc w:val="center"/>
              <w:rPr>
                <w:b/>
                <w:color w:val="auto"/>
                <w:kern w:val="0"/>
                <w:szCs w:val="21"/>
              </w:rPr>
            </w:pPr>
            <w:r>
              <w:rPr>
                <w:b/>
                <w:color w:val="auto"/>
                <w:kern w:val="0"/>
                <w:szCs w:val="21"/>
              </w:rPr>
              <w:t>地下水</w:t>
            </w:r>
          </w:p>
        </w:tc>
        <w:tc>
          <w:tcPr>
            <w:tcW w:w="1059" w:type="dxa"/>
            <w:tcBorders>
              <w:left w:val="single" w:color="auto" w:sz="4" w:space="0"/>
              <w:right w:val="single" w:color="auto" w:sz="4" w:space="0"/>
            </w:tcBorders>
            <w:vAlign w:val="center"/>
          </w:tcPr>
          <w:p w14:paraId="63ABC431">
            <w:pPr>
              <w:snapToGrid w:val="0"/>
              <w:jc w:val="center"/>
              <w:rPr>
                <w:b/>
                <w:color w:val="auto"/>
                <w:kern w:val="0"/>
                <w:szCs w:val="21"/>
              </w:rPr>
            </w:pPr>
            <w:r>
              <w:rPr>
                <w:b/>
                <w:color w:val="auto"/>
                <w:kern w:val="0"/>
                <w:szCs w:val="21"/>
              </w:rPr>
              <w:t>土壤</w:t>
            </w:r>
          </w:p>
        </w:tc>
        <w:tc>
          <w:tcPr>
            <w:tcW w:w="1060" w:type="dxa"/>
            <w:tcBorders>
              <w:left w:val="single" w:color="auto" w:sz="4" w:space="0"/>
            </w:tcBorders>
            <w:vAlign w:val="center"/>
          </w:tcPr>
          <w:p w14:paraId="2C2296C0">
            <w:pPr>
              <w:snapToGrid w:val="0"/>
              <w:jc w:val="center"/>
              <w:rPr>
                <w:b/>
                <w:color w:val="auto"/>
                <w:kern w:val="0"/>
                <w:szCs w:val="21"/>
              </w:rPr>
            </w:pPr>
            <w:r>
              <w:rPr>
                <w:b/>
                <w:color w:val="auto"/>
                <w:kern w:val="0"/>
                <w:szCs w:val="21"/>
              </w:rPr>
              <w:t>风险</w:t>
            </w:r>
          </w:p>
        </w:tc>
      </w:tr>
      <w:tr w14:paraId="3A681FA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14" w:type="dxa"/>
            <w:vAlign w:val="center"/>
          </w:tcPr>
          <w:p w14:paraId="4DF41069">
            <w:pPr>
              <w:snapToGrid w:val="0"/>
              <w:jc w:val="center"/>
              <w:rPr>
                <w:color w:val="auto"/>
                <w:kern w:val="0"/>
                <w:szCs w:val="21"/>
              </w:rPr>
            </w:pPr>
            <w:r>
              <w:rPr>
                <w:color w:val="auto"/>
                <w:kern w:val="0"/>
                <w:szCs w:val="21"/>
              </w:rPr>
              <w:t>评价等级</w:t>
            </w:r>
          </w:p>
        </w:tc>
        <w:tc>
          <w:tcPr>
            <w:tcW w:w="1059" w:type="dxa"/>
            <w:vAlign w:val="center"/>
          </w:tcPr>
          <w:p w14:paraId="6C6447BA">
            <w:pPr>
              <w:snapToGrid w:val="0"/>
              <w:jc w:val="center"/>
              <w:rPr>
                <w:color w:val="auto"/>
                <w:kern w:val="0"/>
                <w:szCs w:val="21"/>
              </w:rPr>
            </w:pPr>
            <w:r>
              <w:rPr>
                <w:color w:val="auto"/>
                <w:kern w:val="0"/>
                <w:szCs w:val="21"/>
              </w:rPr>
              <w:t>二级</w:t>
            </w:r>
          </w:p>
        </w:tc>
        <w:tc>
          <w:tcPr>
            <w:tcW w:w="1059" w:type="dxa"/>
            <w:vAlign w:val="center"/>
          </w:tcPr>
          <w:p w14:paraId="7EB21521">
            <w:pPr>
              <w:snapToGrid w:val="0"/>
              <w:jc w:val="center"/>
              <w:rPr>
                <w:color w:val="auto"/>
                <w:kern w:val="0"/>
                <w:szCs w:val="21"/>
              </w:rPr>
            </w:pPr>
            <w:r>
              <w:rPr>
                <w:color w:val="auto"/>
                <w:kern w:val="0"/>
                <w:szCs w:val="21"/>
              </w:rPr>
              <w:t>三级B</w:t>
            </w:r>
          </w:p>
        </w:tc>
        <w:tc>
          <w:tcPr>
            <w:tcW w:w="1059" w:type="dxa"/>
            <w:vAlign w:val="center"/>
          </w:tcPr>
          <w:p w14:paraId="4B2610FE">
            <w:pPr>
              <w:snapToGrid w:val="0"/>
              <w:jc w:val="center"/>
              <w:rPr>
                <w:color w:val="auto"/>
                <w:kern w:val="0"/>
                <w:szCs w:val="21"/>
              </w:rPr>
            </w:pPr>
            <w:r>
              <w:rPr>
                <w:color w:val="auto"/>
                <w:kern w:val="0"/>
                <w:szCs w:val="21"/>
              </w:rPr>
              <w:t>二级</w:t>
            </w:r>
          </w:p>
        </w:tc>
        <w:tc>
          <w:tcPr>
            <w:tcW w:w="1059" w:type="dxa"/>
            <w:vAlign w:val="center"/>
          </w:tcPr>
          <w:p w14:paraId="294B72B6">
            <w:pPr>
              <w:snapToGrid w:val="0"/>
              <w:jc w:val="center"/>
              <w:rPr>
                <w:rFonts w:hint="eastAsia" w:eastAsia="宋体"/>
                <w:color w:val="auto"/>
                <w:kern w:val="0"/>
                <w:szCs w:val="21"/>
                <w:lang w:eastAsia="zh-CN"/>
              </w:rPr>
            </w:pPr>
            <w:r>
              <w:rPr>
                <w:rFonts w:hint="eastAsia"/>
                <w:color w:val="auto"/>
                <w:kern w:val="0"/>
                <w:szCs w:val="21"/>
                <w:lang w:eastAsia="zh-CN"/>
              </w:rPr>
              <w:t>三级</w:t>
            </w:r>
          </w:p>
        </w:tc>
        <w:tc>
          <w:tcPr>
            <w:tcW w:w="1059" w:type="dxa"/>
            <w:tcBorders>
              <w:right w:val="single" w:color="auto" w:sz="4" w:space="0"/>
            </w:tcBorders>
            <w:vAlign w:val="center"/>
          </w:tcPr>
          <w:p w14:paraId="47D791E1">
            <w:pPr>
              <w:snapToGrid w:val="0"/>
              <w:jc w:val="center"/>
              <w:rPr>
                <w:color w:val="auto"/>
                <w:kern w:val="0"/>
                <w:szCs w:val="21"/>
              </w:rPr>
            </w:pPr>
            <w:r>
              <w:rPr>
                <w:color w:val="auto"/>
                <w:szCs w:val="21"/>
              </w:rPr>
              <w:t>三级</w:t>
            </w:r>
          </w:p>
        </w:tc>
        <w:tc>
          <w:tcPr>
            <w:tcW w:w="1059" w:type="dxa"/>
            <w:tcBorders>
              <w:left w:val="single" w:color="auto" w:sz="4" w:space="0"/>
              <w:right w:val="single" w:color="auto" w:sz="4" w:space="0"/>
            </w:tcBorders>
            <w:vAlign w:val="center"/>
          </w:tcPr>
          <w:p w14:paraId="0C68132E">
            <w:pPr>
              <w:snapToGrid w:val="0"/>
              <w:jc w:val="center"/>
              <w:rPr>
                <w:color w:val="auto"/>
                <w:szCs w:val="21"/>
              </w:rPr>
            </w:pPr>
            <w:r>
              <w:rPr>
                <w:color w:val="auto"/>
                <w:szCs w:val="21"/>
              </w:rPr>
              <w:t>三级</w:t>
            </w:r>
          </w:p>
        </w:tc>
        <w:tc>
          <w:tcPr>
            <w:tcW w:w="1060" w:type="dxa"/>
            <w:tcBorders>
              <w:left w:val="single" w:color="auto" w:sz="4" w:space="0"/>
            </w:tcBorders>
            <w:vAlign w:val="center"/>
          </w:tcPr>
          <w:p w14:paraId="21E88217">
            <w:pPr>
              <w:snapToGrid w:val="0"/>
              <w:jc w:val="center"/>
              <w:rPr>
                <w:color w:val="auto"/>
                <w:szCs w:val="21"/>
              </w:rPr>
            </w:pPr>
            <w:r>
              <w:rPr>
                <w:color w:val="auto"/>
                <w:szCs w:val="21"/>
              </w:rPr>
              <w:t>简单分析</w:t>
            </w:r>
          </w:p>
        </w:tc>
      </w:tr>
    </w:tbl>
    <w:p w14:paraId="351DB5C9">
      <w:pPr>
        <w:pStyle w:val="4"/>
        <w:snapToGrid w:val="0"/>
        <w:spacing w:before="0"/>
        <w:rPr>
          <w:rFonts w:ascii="Times New Roman" w:hAnsi="Times New Roman" w:eastAsia="宋体"/>
          <w:bCs/>
          <w:color w:val="auto"/>
          <w:sz w:val="28"/>
          <w:szCs w:val="28"/>
        </w:rPr>
      </w:pPr>
      <w:bookmarkStart w:id="129" w:name="_Toc5352"/>
      <w:r>
        <w:rPr>
          <w:rFonts w:ascii="Times New Roman" w:hAnsi="Times New Roman" w:eastAsia="宋体"/>
          <w:bCs/>
          <w:color w:val="auto"/>
          <w:sz w:val="28"/>
          <w:szCs w:val="28"/>
        </w:rPr>
        <w:t>2.3.2评价目的及重点</w:t>
      </w:r>
      <w:bookmarkEnd w:id="129"/>
    </w:p>
    <w:p w14:paraId="4F180F50">
      <w:pPr>
        <w:snapToGrid w:val="0"/>
        <w:spacing w:line="360" w:lineRule="auto"/>
        <w:ind w:firstLine="480" w:firstLineChars="200"/>
        <w:rPr>
          <w:color w:val="auto"/>
          <w:kern w:val="0"/>
          <w:sz w:val="24"/>
        </w:rPr>
      </w:pPr>
      <w:r>
        <w:rPr>
          <w:color w:val="auto"/>
          <w:kern w:val="0"/>
          <w:sz w:val="24"/>
        </w:rPr>
        <w:t>（1）评价目的</w:t>
      </w:r>
    </w:p>
    <w:p w14:paraId="39C22E7B">
      <w:pPr>
        <w:snapToGrid w:val="0"/>
        <w:spacing w:line="360" w:lineRule="auto"/>
        <w:ind w:firstLine="480" w:firstLineChars="200"/>
        <w:rPr>
          <w:color w:val="auto"/>
          <w:kern w:val="0"/>
          <w:sz w:val="24"/>
        </w:rPr>
      </w:pPr>
      <w:r>
        <w:rPr>
          <w:color w:val="auto"/>
          <w:kern w:val="0"/>
          <w:sz w:val="24"/>
        </w:rPr>
        <w:t>1）通过对拟建场址的现状调查，了解建设区域的自然环境、社会环境和经济状况、自然资源及土地利用情况，掌握项目所在区域的环境质量和生态现状。</w:t>
      </w:r>
    </w:p>
    <w:p w14:paraId="2D2EB2CE">
      <w:pPr>
        <w:snapToGrid w:val="0"/>
        <w:spacing w:line="360" w:lineRule="auto"/>
        <w:ind w:firstLine="480" w:firstLineChars="200"/>
        <w:rPr>
          <w:color w:val="auto"/>
          <w:kern w:val="0"/>
          <w:sz w:val="24"/>
        </w:rPr>
      </w:pPr>
      <w:r>
        <w:rPr>
          <w:color w:val="auto"/>
          <w:kern w:val="0"/>
          <w:sz w:val="24"/>
        </w:rPr>
        <w:t>2）通过工程分析，明确本项目建设及生产阶段主要污染源、污染物种类、排放强度，分析环境污染的影响特征，预测和评价本项目建设期和营运期对环境的影响程度，并提出应采取的污染防治和生态保护措施。</w:t>
      </w:r>
    </w:p>
    <w:p w14:paraId="54697C47">
      <w:pPr>
        <w:snapToGrid w:val="0"/>
        <w:spacing w:line="360" w:lineRule="auto"/>
        <w:ind w:firstLine="480" w:firstLineChars="200"/>
        <w:rPr>
          <w:color w:val="auto"/>
          <w:kern w:val="0"/>
          <w:sz w:val="24"/>
        </w:rPr>
      </w:pPr>
      <w:r>
        <w:rPr>
          <w:color w:val="auto"/>
          <w:kern w:val="0"/>
          <w:sz w:val="24"/>
        </w:rPr>
        <w:t>3）评述拟采取的环境保护措施的可行性、合理性及清洁生产水平，并针对存在的问题，提出建设及生产阶段不同的、有针对性的、切实可行的环保措施和建议。</w:t>
      </w:r>
    </w:p>
    <w:p w14:paraId="2F339DD2">
      <w:pPr>
        <w:snapToGrid w:val="0"/>
        <w:spacing w:line="360" w:lineRule="auto"/>
        <w:ind w:firstLine="480" w:firstLineChars="200"/>
        <w:rPr>
          <w:color w:val="auto"/>
          <w:kern w:val="0"/>
          <w:sz w:val="24"/>
        </w:rPr>
      </w:pPr>
      <w:r>
        <w:rPr>
          <w:color w:val="auto"/>
          <w:kern w:val="0"/>
          <w:sz w:val="24"/>
        </w:rPr>
        <w:t>4）评价该项目与国家产业政策、区域总体发展规划、环境保护规划、达标排放和污染物排放总量控制的符合性。</w:t>
      </w:r>
    </w:p>
    <w:p w14:paraId="3816802A">
      <w:pPr>
        <w:snapToGrid w:val="0"/>
        <w:spacing w:line="360" w:lineRule="auto"/>
        <w:ind w:firstLine="480" w:firstLineChars="200"/>
        <w:rPr>
          <w:color w:val="auto"/>
          <w:kern w:val="0"/>
          <w:sz w:val="24"/>
        </w:rPr>
      </w:pPr>
      <w:r>
        <w:rPr>
          <w:color w:val="auto"/>
          <w:kern w:val="0"/>
          <w:sz w:val="24"/>
        </w:rPr>
        <w:t>5）论证项目在环境方面的可行性，给出环境影响评价结论，为项目的设计、施工、验收及建成投产后的环境管理提供技术依据，为环境保护主管部门提供决策依据。</w:t>
      </w:r>
    </w:p>
    <w:p w14:paraId="49D6BC59">
      <w:pPr>
        <w:snapToGrid w:val="0"/>
        <w:spacing w:line="360" w:lineRule="auto"/>
        <w:ind w:firstLine="480" w:firstLineChars="200"/>
        <w:rPr>
          <w:color w:val="auto"/>
          <w:kern w:val="0"/>
          <w:sz w:val="24"/>
        </w:rPr>
      </w:pPr>
      <w:r>
        <w:rPr>
          <w:color w:val="auto"/>
          <w:kern w:val="0"/>
          <w:sz w:val="24"/>
        </w:rPr>
        <w:t>（2）评价原则</w:t>
      </w:r>
    </w:p>
    <w:p w14:paraId="53EA113E">
      <w:pPr>
        <w:snapToGrid w:val="0"/>
        <w:spacing w:line="360" w:lineRule="auto"/>
        <w:ind w:firstLine="480" w:firstLineChars="200"/>
        <w:rPr>
          <w:color w:val="auto"/>
          <w:kern w:val="0"/>
          <w:sz w:val="24"/>
        </w:rPr>
      </w:pPr>
      <w:r>
        <w:rPr>
          <w:color w:val="auto"/>
          <w:kern w:val="0"/>
          <w:sz w:val="24"/>
        </w:rPr>
        <w:t>1）坚持环境影响评价工作为经济建设服务，为环境管理服务的原则，注重评价工作的实用性、针对性，为环境管理决策提供科学依据。</w:t>
      </w:r>
    </w:p>
    <w:p w14:paraId="3BD53164">
      <w:pPr>
        <w:snapToGrid w:val="0"/>
        <w:spacing w:line="360" w:lineRule="auto"/>
        <w:ind w:firstLine="480" w:firstLineChars="200"/>
        <w:rPr>
          <w:color w:val="auto"/>
          <w:kern w:val="0"/>
          <w:sz w:val="24"/>
        </w:rPr>
      </w:pPr>
      <w:r>
        <w:rPr>
          <w:color w:val="auto"/>
          <w:kern w:val="0"/>
          <w:sz w:val="24"/>
        </w:rPr>
        <w:t>2）坚持“预防为主，防治结合”原则，做好建设项目污染防治工作。</w:t>
      </w:r>
    </w:p>
    <w:p w14:paraId="176E5A76">
      <w:pPr>
        <w:snapToGrid w:val="0"/>
        <w:spacing w:line="360" w:lineRule="auto"/>
        <w:ind w:firstLine="480" w:firstLineChars="200"/>
        <w:rPr>
          <w:color w:val="auto"/>
          <w:kern w:val="0"/>
          <w:sz w:val="24"/>
        </w:rPr>
      </w:pPr>
      <w:r>
        <w:rPr>
          <w:color w:val="auto"/>
          <w:kern w:val="0"/>
          <w:sz w:val="24"/>
        </w:rPr>
        <w:t>3）以国家有关环境保护法规为依据，严格执行“清洁生产、达标排放、总量控制”的原则。</w:t>
      </w:r>
    </w:p>
    <w:p w14:paraId="117527AA">
      <w:pPr>
        <w:snapToGrid w:val="0"/>
        <w:spacing w:line="360" w:lineRule="auto"/>
        <w:ind w:firstLine="480" w:firstLineChars="200"/>
        <w:rPr>
          <w:color w:val="auto"/>
          <w:kern w:val="0"/>
          <w:sz w:val="24"/>
        </w:rPr>
      </w:pPr>
      <w:r>
        <w:rPr>
          <w:color w:val="auto"/>
          <w:kern w:val="0"/>
          <w:sz w:val="24"/>
        </w:rPr>
        <w:t>4）以科学、客观、公正的原则，开展评价工作，评价内容力求主次分明、重点突出、数据正确、结论可靠，确保评价工作质量。</w:t>
      </w:r>
    </w:p>
    <w:p w14:paraId="58E88628">
      <w:pPr>
        <w:snapToGrid w:val="0"/>
        <w:spacing w:line="360" w:lineRule="auto"/>
        <w:ind w:firstLine="480" w:firstLineChars="200"/>
        <w:rPr>
          <w:color w:val="auto"/>
          <w:kern w:val="0"/>
          <w:sz w:val="24"/>
        </w:rPr>
      </w:pPr>
      <w:r>
        <w:rPr>
          <w:color w:val="auto"/>
          <w:kern w:val="0"/>
          <w:sz w:val="24"/>
        </w:rPr>
        <w:t>（3）评价内容</w:t>
      </w:r>
    </w:p>
    <w:p w14:paraId="6EC00F30">
      <w:pPr>
        <w:snapToGrid w:val="0"/>
        <w:spacing w:line="360" w:lineRule="auto"/>
        <w:ind w:firstLine="480" w:firstLineChars="200"/>
        <w:rPr>
          <w:color w:val="auto"/>
          <w:kern w:val="0"/>
          <w:sz w:val="24"/>
        </w:rPr>
      </w:pPr>
      <w:r>
        <w:rPr>
          <w:color w:val="auto"/>
          <w:kern w:val="0"/>
          <w:sz w:val="24"/>
        </w:rPr>
        <w:t>本次评价内容包括：工程分析、污染源分析、区域环境概况、环境质量现状调查、环境影响预测与评价、环境保护措施及其可行性论证、环境影响损益分析、环境管理与环境监测、结论与建议等。</w:t>
      </w:r>
    </w:p>
    <w:p w14:paraId="1DD2A2CE">
      <w:pPr>
        <w:snapToGrid w:val="0"/>
        <w:spacing w:line="360" w:lineRule="auto"/>
        <w:ind w:firstLine="480" w:firstLineChars="200"/>
        <w:rPr>
          <w:color w:val="auto"/>
          <w:kern w:val="0"/>
          <w:sz w:val="24"/>
        </w:rPr>
      </w:pPr>
      <w:r>
        <w:rPr>
          <w:color w:val="auto"/>
          <w:kern w:val="0"/>
          <w:sz w:val="24"/>
        </w:rPr>
        <w:t>（4）评价重点</w:t>
      </w:r>
    </w:p>
    <w:p w14:paraId="1BFD30D5">
      <w:pPr>
        <w:snapToGrid w:val="0"/>
        <w:spacing w:line="360" w:lineRule="auto"/>
        <w:ind w:firstLine="480" w:firstLineChars="200"/>
        <w:rPr>
          <w:color w:val="auto"/>
          <w:kern w:val="0"/>
          <w:sz w:val="24"/>
        </w:rPr>
      </w:pPr>
      <w:r>
        <w:rPr>
          <w:color w:val="auto"/>
          <w:kern w:val="0"/>
          <w:sz w:val="24"/>
        </w:rPr>
        <w:t>经过工程分析，结合项目周围的环境现状，确定本项目环境影响评价工作的重点为：</w:t>
      </w:r>
    </w:p>
    <w:p w14:paraId="7DD06BF4">
      <w:pPr>
        <w:spacing w:line="360" w:lineRule="auto"/>
        <w:ind w:firstLine="480" w:firstLineChars="200"/>
        <w:rPr>
          <w:color w:val="auto"/>
          <w:sz w:val="24"/>
        </w:rPr>
      </w:pPr>
      <w:r>
        <w:rPr>
          <w:color w:val="auto"/>
          <w:sz w:val="24"/>
        </w:rPr>
        <w:t>1)项目养殖过程产生的污染物为</w:t>
      </w:r>
      <w:r>
        <w:rPr>
          <w:color w:val="auto"/>
          <w:sz w:val="24"/>
        </w:rPr>
        <w:fldChar w:fldCharType="begin"/>
      </w:r>
      <w:r>
        <w:rPr>
          <w:color w:val="auto"/>
          <w:sz w:val="24"/>
        </w:rPr>
        <w:instrText xml:space="preserve"> = 1 \* GB3 </w:instrText>
      </w:r>
      <w:r>
        <w:rPr>
          <w:color w:val="auto"/>
          <w:sz w:val="24"/>
        </w:rPr>
        <w:fldChar w:fldCharType="separate"/>
      </w:r>
      <w:r>
        <w:rPr>
          <w:color w:val="auto"/>
          <w:sz w:val="24"/>
        </w:rPr>
        <w:t>①</w:t>
      </w:r>
      <w:r>
        <w:rPr>
          <w:color w:val="auto"/>
          <w:sz w:val="24"/>
        </w:rPr>
        <w:fldChar w:fldCharType="end"/>
      </w:r>
      <w:r>
        <w:rPr>
          <w:color w:val="auto"/>
          <w:sz w:val="24"/>
        </w:rPr>
        <w:t>废气：鸡舍恶臭</w:t>
      </w:r>
      <w:r>
        <w:rPr>
          <w:rFonts w:hint="eastAsia"/>
          <w:color w:val="auto"/>
          <w:sz w:val="24"/>
        </w:rPr>
        <w:t>、</w:t>
      </w:r>
      <w:r>
        <w:rPr>
          <w:rFonts w:hint="eastAsia"/>
          <w:color w:val="auto"/>
          <w:sz w:val="24"/>
          <w:lang w:eastAsia="zh-CN"/>
        </w:rPr>
        <w:t>临时储粪场恶臭</w:t>
      </w:r>
      <w:r>
        <w:rPr>
          <w:rFonts w:hint="eastAsia"/>
          <w:color w:val="auto"/>
          <w:sz w:val="24"/>
        </w:rPr>
        <w:t>、锅炉产生的废气</w:t>
      </w:r>
      <w:r>
        <w:rPr>
          <w:rFonts w:hint="eastAsia"/>
          <w:color w:val="auto"/>
          <w:sz w:val="24"/>
          <w:lang w:eastAsia="zh-CN"/>
        </w:rPr>
        <w:t>；</w:t>
      </w:r>
      <w:r>
        <w:rPr>
          <w:color w:val="auto"/>
          <w:sz w:val="24"/>
        </w:rPr>
        <w:fldChar w:fldCharType="begin"/>
      </w:r>
      <w:r>
        <w:rPr>
          <w:color w:val="auto"/>
          <w:sz w:val="24"/>
        </w:rPr>
        <w:instrText xml:space="preserve"> = 2 \* GB3 </w:instrText>
      </w:r>
      <w:r>
        <w:rPr>
          <w:color w:val="auto"/>
          <w:sz w:val="24"/>
        </w:rPr>
        <w:fldChar w:fldCharType="separate"/>
      </w:r>
      <w:r>
        <w:rPr>
          <w:color w:val="auto"/>
          <w:sz w:val="24"/>
        </w:rPr>
        <w:t>②</w:t>
      </w:r>
      <w:r>
        <w:rPr>
          <w:color w:val="auto"/>
          <w:sz w:val="24"/>
        </w:rPr>
        <w:fldChar w:fldCharType="end"/>
      </w:r>
      <w:r>
        <w:rPr>
          <w:color w:val="auto"/>
          <w:sz w:val="24"/>
        </w:rPr>
        <w:t>废水：鸡舍冲洗水、生活污水、食堂废水</w:t>
      </w:r>
      <w:r>
        <w:rPr>
          <w:rFonts w:hint="eastAsia"/>
          <w:color w:val="auto"/>
          <w:sz w:val="24"/>
        </w:rPr>
        <w:t>、反冲洗废水及锅炉排污水</w:t>
      </w:r>
      <w:r>
        <w:rPr>
          <w:color w:val="auto"/>
          <w:sz w:val="24"/>
        </w:rPr>
        <w:fldChar w:fldCharType="begin"/>
      </w:r>
      <w:r>
        <w:rPr>
          <w:color w:val="auto"/>
          <w:sz w:val="24"/>
        </w:rPr>
        <w:instrText xml:space="preserve"> = 3 \* GB3 </w:instrText>
      </w:r>
      <w:r>
        <w:rPr>
          <w:color w:val="auto"/>
          <w:sz w:val="24"/>
        </w:rPr>
        <w:fldChar w:fldCharType="separate"/>
      </w:r>
      <w:r>
        <w:rPr>
          <w:color w:val="auto"/>
          <w:sz w:val="24"/>
        </w:rPr>
        <w:t>③</w:t>
      </w:r>
      <w:r>
        <w:rPr>
          <w:color w:val="auto"/>
          <w:sz w:val="24"/>
        </w:rPr>
        <w:fldChar w:fldCharType="end"/>
      </w:r>
      <w:r>
        <w:rPr>
          <w:color w:val="auto"/>
          <w:sz w:val="24"/>
        </w:rPr>
        <w:t>噪声：风扇、水泵、包装机、发风机等设备噪声；</w:t>
      </w:r>
      <w:r>
        <w:rPr>
          <w:color w:val="auto"/>
          <w:sz w:val="24"/>
        </w:rPr>
        <w:fldChar w:fldCharType="begin"/>
      </w:r>
      <w:r>
        <w:rPr>
          <w:color w:val="auto"/>
          <w:sz w:val="24"/>
        </w:rPr>
        <w:instrText xml:space="preserve"> = 4 \* GB3 </w:instrText>
      </w:r>
      <w:r>
        <w:rPr>
          <w:color w:val="auto"/>
          <w:sz w:val="24"/>
        </w:rPr>
        <w:fldChar w:fldCharType="separate"/>
      </w:r>
      <w:r>
        <w:rPr>
          <w:color w:val="auto"/>
          <w:sz w:val="24"/>
        </w:rPr>
        <w:t>④</w:t>
      </w:r>
      <w:r>
        <w:rPr>
          <w:color w:val="auto"/>
          <w:sz w:val="24"/>
        </w:rPr>
        <w:fldChar w:fldCharType="end"/>
      </w:r>
      <w:r>
        <w:rPr>
          <w:color w:val="auto"/>
          <w:sz w:val="24"/>
        </w:rPr>
        <w:t>固废：鸡粪、</w:t>
      </w:r>
      <w:r>
        <w:rPr>
          <w:rFonts w:hint="eastAsia"/>
          <w:color w:val="auto"/>
          <w:sz w:val="24"/>
        </w:rPr>
        <w:t>鸡羽毛、</w:t>
      </w:r>
      <w:r>
        <w:rPr>
          <w:color w:val="auto"/>
          <w:sz w:val="24"/>
        </w:rPr>
        <w:t>病死鸡、饲料残渣、医疗废物、生活垃圾</w:t>
      </w:r>
      <w:r>
        <w:rPr>
          <w:rFonts w:hint="eastAsia"/>
          <w:color w:val="auto"/>
          <w:sz w:val="24"/>
        </w:rPr>
        <w:t>、废离子交换树脂</w:t>
      </w:r>
      <w:r>
        <w:rPr>
          <w:color w:val="auto"/>
          <w:sz w:val="24"/>
        </w:rPr>
        <w:t>等</w:t>
      </w:r>
      <w:r>
        <w:rPr>
          <w:rFonts w:hint="eastAsia"/>
          <w:color w:val="auto"/>
          <w:sz w:val="24"/>
        </w:rPr>
        <w:t>。</w:t>
      </w:r>
      <w:r>
        <w:rPr>
          <w:color w:val="auto"/>
          <w:sz w:val="24"/>
        </w:rPr>
        <w:t>各污染物对周围环境空气、地表水、地下水及敏感点的影响</w:t>
      </w:r>
      <w:r>
        <w:rPr>
          <w:rFonts w:hint="eastAsia"/>
          <w:color w:val="auto"/>
          <w:sz w:val="24"/>
        </w:rPr>
        <w:t>较小</w:t>
      </w:r>
      <w:r>
        <w:rPr>
          <w:color w:val="auto"/>
          <w:sz w:val="24"/>
        </w:rPr>
        <w:t>。</w:t>
      </w:r>
    </w:p>
    <w:p w14:paraId="26FD5E98">
      <w:pPr>
        <w:spacing w:line="360" w:lineRule="auto"/>
        <w:ind w:firstLine="480" w:firstLineChars="200"/>
        <w:rPr>
          <w:color w:val="auto"/>
          <w:sz w:val="24"/>
        </w:rPr>
      </w:pPr>
      <w:r>
        <w:rPr>
          <w:color w:val="auto"/>
          <w:sz w:val="24"/>
        </w:rPr>
        <w:t>2)污染防治措施的技术可行性、经济合理性及长期稳定运行的可达性。</w:t>
      </w:r>
    </w:p>
    <w:p w14:paraId="2FA575FC">
      <w:pPr>
        <w:spacing w:line="360" w:lineRule="auto"/>
        <w:ind w:firstLine="480" w:firstLineChars="200"/>
        <w:rPr>
          <w:color w:val="auto"/>
          <w:sz w:val="24"/>
        </w:rPr>
      </w:pPr>
      <w:r>
        <w:rPr>
          <w:color w:val="auto"/>
          <w:sz w:val="24"/>
        </w:rPr>
        <w:t>3)选址合理性分析。</w:t>
      </w:r>
    </w:p>
    <w:p w14:paraId="3F856C4F">
      <w:pPr>
        <w:spacing w:line="360" w:lineRule="auto"/>
        <w:ind w:firstLine="480" w:firstLineChars="200"/>
        <w:rPr>
          <w:color w:val="auto"/>
          <w:sz w:val="24"/>
        </w:rPr>
      </w:pPr>
      <w:r>
        <w:rPr>
          <w:color w:val="auto"/>
          <w:sz w:val="24"/>
        </w:rPr>
        <w:t>4)防护距离的合理性分析。</w:t>
      </w:r>
    </w:p>
    <w:p w14:paraId="39D4E85F">
      <w:pPr>
        <w:snapToGrid w:val="0"/>
        <w:spacing w:line="360" w:lineRule="auto"/>
        <w:ind w:firstLine="480" w:firstLineChars="200"/>
        <w:rPr>
          <w:color w:val="auto"/>
          <w:kern w:val="0"/>
          <w:sz w:val="24"/>
        </w:rPr>
      </w:pPr>
      <w:r>
        <w:rPr>
          <w:color w:val="auto"/>
          <w:kern w:val="0"/>
          <w:sz w:val="24"/>
        </w:rPr>
        <w:t>（5）评价时段</w:t>
      </w:r>
    </w:p>
    <w:p w14:paraId="5B515341">
      <w:pPr>
        <w:snapToGrid w:val="0"/>
        <w:spacing w:line="360" w:lineRule="auto"/>
        <w:ind w:firstLine="480" w:firstLineChars="200"/>
        <w:rPr>
          <w:color w:val="auto"/>
          <w:kern w:val="0"/>
          <w:sz w:val="24"/>
        </w:rPr>
      </w:pPr>
      <w:r>
        <w:rPr>
          <w:color w:val="auto"/>
          <w:kern w:val="0"/>
          <w:sz w:val="24"/>
        </w:rPr>
        <w:t>根据建设项目特点，本次环评评价时段为建设期和运营期两个时段。</w:t>
      </w:r>
    </w:p>
    <w:p w14:paraId="7EF8EEEF">
      <w:pPr>
        <w:pStyle w:val="3"/>
        <w:adjustRightInd w:val="0"/>
        <w:jc w:val="both"/>
        <w:rPr>
          <w:rFonts w:eastAsia="宋体"/>
          <w:color w:val="auto"/>
          <w:sz w:val="30"/>
          <w:szCs w:val="30"/>
        </w:rPr>
      </w:pPr>
      <w:bookmarkStart w:id="130" w:name="_Toc440874764"/>
      <w:bookmarkStart w:id="131" w:name="_Toc440874583"/>
      <w:bookmarkStart w:id="132" w:name="_Toc448693424"/>
      <w:bookmarkStart w:id="133" w:name="_Toc24027892"/>
      <w:bookmarkStart w:id="134" w:name="_Toc448765654"/>
      <w:bookmarkStart w:id="135" w:name="_Toc448693346"/>
      <w:bookmarkStart w:id="136" w:name="_Toc446938380"/>
      <w:bookmarkStart w:id="137" w:name="_Toc21544"/>
      <w:bookmarkStart w:id="138" w:name="_Toc448771389"/>
      <w:bookmarkStart w:id="139" w:name="_Toc29850"/>
      <w:r>
        <w:rPr>
          <w:rFonts w:eastAsia="宋体"/>
          <w:color w:val="auto"/>
          <w:sz w:val="30"/>
          <w:szCs w:val="30"/>
        </w:rPr>
        <w:t>2.4评价范围</w:t>
      </w:r>
      <w:bookmarkEnd w:id="130"/>
      <w:bookmarkEnd w:id="131"/>
      <w:r>
        <w:rPr>
          <w:rFonts w:eastAsia="宋体"/>
          <w:color w:val="auto"/>
          <w:sz w:val="30"/>
          <w:szCs w:val="30"/>
        </w:rPr>
        <w:t>及环境敏感区</w:t>
      </w:r>
      <w:bookmarkEnd w:id="132"/>
      <w:bookmarkEnd w:id="133"/>
      <w:bookmarkEnd w:id="134"/>
      <w:bookmarkEnd w:id="135"/>
      <w:bookmarkEnd w:id="136"/>
      <w:bookmarkEnd w:id="137"/>
      <w:bookmarkEnd w:id="138"/>
      <w:bookmarkEnd w:id="139"/>
    </w:p>
    <w:p w14:paraId="004123B4">
      <w:pPr>
        <w:pStyle w:val="4"/>
        <w:snapToGrid w:val="0"/>
        <w:spacing w:before="0"/>
        <w:rPr>
          <w:rFonts w:ascii="Times New Roman" w:hAnsi="Times New Roman" w:eastAsia="宋体"/>
          <w:bCs/>
          <w:color w:val="auto"/>
          <w:sz w:val="28"/>
          <w:szCs w:val="28"/>
        </w:rPr>
      </w:pPr>
      <w:bookmarkStart w:id="140" w:name="_Toc441053052"/>
      <w:bookmarkStart w:id="141" w:name="_Toc23057"/>
      <w:r>
        <w:rPr>
          <w:rFonts w:ascii="Times New Roman" w:hAnsi="Times New Roman" w:eastAsia="宋体"/>
          <w:bCs/>
          <w:color w:val="auto"/>
          <w:sz w:val="28"/>
          <w:szCs w:val="28"/>
        </w:rPr>
        <w:t>2.4.1评价范围</w:t>
      </w:r>
      <w:bookmarkEnd w:id="140"/>
      <w:bookmarkEnd w:id="141"/>
    </w:p>
    <w:p w14:paraId="0559CBEF">
      <w:pPr>
        <w:snapToGrid w:val="0"/>
        <w:spacing w:line="360" w:lineRule="auto"/>
        <w:ind w:firstLine="480" w:firstLineChars="200"/>
        <w:rPr>
          <w:color w:val="auto"/>
          <w:sz w:val="24"/>
        </w:rPr>
      </w:pPr>
      <w:r>
        <w:rPr>
          <w:color w:val="auto"/>
          <w:sz w:val="24"/>
        </w:rPr>
        <w:t>依据各环境要素的技术导则及总纲要求，结合建设项目污染物的排放特点及当地气象条件、自然环境状况，确定各环境要素评价范围见表</w:t>
      </w:r>
      <w:r>
        <w:rPr>
          <w:rFonts w:hint="eastAsia"/>
          <w:color w:val="auto"/>
          <w:sz w:val="24"/>
          <w:lang w:val="en-US" w:eastAsia="zh-CN"/>
        </w:rPr>
        <w:t>2.4-1</w:t>
      </w:r>
      <w:r>
        <w:rPr>
          <w:color w:val="auto"/>
          <w:sz w:val="24"/>
        </w:rPr>
        <w:t>。</w:t>
      </w:r>
    </w:p>
    <w:p w14:paraId="06A3C142">
      <w:pPr>
        <w:snapToGrid w:val="0"/>
        <w:jc w:val="center"/>
        <w:rPr>
          <w:b/>
          <w:color w:val="auto"/>
          <w:szCs w:val="21"/>
        </w:rPr>
      </w:pPr>
      <w:r>
        <w:rPr>
          <w:b/>
          <w:color w:val="auto"/>
          <w:szCs w:val="21"/>
        </w:rPr>
        <w:t>表</w:t>
      </w:r>
      <w:r>
        <w:rPr>
          <w:rFonts w:hint="eastAsia"/>
          <w:b/>
          <w:color w:val="auto"/>
          <w:szCs w:val="21"/>
          <w:lang w:val="en-US" w:eastAsia="zh-CN"/>
        </w:rPr>
        <w:t xml:space="preserve">2.4-1  </w:t>
      </w:r>
      <w:r>
        <w:rPr>
          <w:b/>
          <w:color w:val="auto"/>
          <w:szCs w:val="21"/>
        </w:rPr>
        <w:t xml:space="preserve">  建设项目环境影响评价范围表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71"/>
        <w:gridCol w:w="6955"/>
      </w:tblGrid>
      <w:tr w14:paraId="7EE397A5">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1" w:type="dxa"/>
            <w:tcBorders>
              <w:top w:val="double" w:color="auto" w:sz="4" w:space="0"/>
              <w:left w:val="nil"/>
              <w:bottom w:val="single" w:color="auto" w:sz="6" w:space="0"/>
              <w:right w:val="single" w:color="auto" w:sz="6" w:space="0"/>
            </w:tcBorders>
            <w:vAlign w:val="center"/>
          </w:tcPr>
          <w:p w14:paraId="27A69B1D">
            <w:pPr>
              <w:snapToGrid w:val="0"/>
              <w:jc w:val="center"/>
              <w:rPr>
                <w:color w:val="auto"/>
                <w:szCs w:val="21"/>
              </w:rPr>
            </w:pPr>
            <w:r>
              <w:rPr>
                <w:color w:val="auto"/>
                <w:szCs w:val="21"/>
              </w:rPr>
              <w:t>评价内容</w:t>
            </w:r>
          </w:p>
        </w:tc>
        <w:tc>
          <w:tcPr>
            <w:tcW w:w="6955" w:type="dxa"/>
            <w:tcBorders>
              <w:top w:val="double" w:color="auto" w:sz="4" w:space="0"/>
              <w:left w:val="single" w:color="auto" w:sz="6" w:space="0"/>
              <w:bottom w:val="single" w:color="auto" w:sz="6" w:space="0"/>
              <w:right w:val="nil"/>
            </w:tcBorders>
            <w:vAlign w:val="center"/>
          </w:tcPr>
          <w:p w14:paraId="7300C828">
            <w:pPr>
              <w:snapToGrid w:val="0"/>
              <w:jc w:val="center"/>
              <w:rPr>
                <w:color w:val="auto"/>
                <w:szCs w:val="21"/>
              </w:rPr>
            </w:pPr>
            <w:r>
              <w:rPr>
                <w:color w:val="auto"/>
                <w:szCs w:val="21"/>
              </w:rPr>
              <w:t>评价范围</w:t>
            </w:r>
          </w:p>
        </w:tc>
      </w:tr>
      <w:tr w14:paraId="683A8AA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1" w:type="dxa"/>
            <w:tcBorders>
              <w:top w:val="single" w:color="auto" w:sz="6" w:space="0"/>
              <w:left w:val="nil"/>
              <w:bottom w:val="single" w:color="auto" w:sz="6" w:space="0"/>
              <w:right w:val="single" w:color="auto" w:sz="6" w:space="0"/>
            </w:tcBorders>
            <w:vAlign w:val="center"/>
          </w:tcPr>
          <w:p w14:paraId="227B0981">
            <w:pPr>
              <w:snapToGrid w:val="0"/>
              <w:jc w:val="center"/>
              <w:rPr>
                <w:color w:val="auto"/>
                <w:szCs w:val="21"/>
              </w:rPr>
            </w:pPr>
            <w:r>
              <w:rPr>
                <w:color w:val="auto"/>
                <w:szCs w:val="21"/>
              </w:rPr>
              <w:t>大气</w:t>
            </w:r>
          </w:p>
        </w:tc>
        <w:tc>
          <w:tcPr>
            <w:tcW w:w="6955" w:type="dxa"/>
            <w:tcBorders>
              <w:top w:val="single" w:color="auto" w:sz="6" w:space="0"/>
              <w:left w:val="single" w:color="auto" w:sz="6" w:space="0"/>
              <w:bottom w:val="single" w:color="auto" w:sz="6" w:space="0"/>
              <w:right w:val="nil"/>
            </w:tcBorders>
            <w:vAlign w:val="center"/>
          </w:tcPr>
          <w:p w14:paraId="7A4DF3B1">
            <w:pPr>
              <w:pStyle w:val="149"/>
              <w:jc w:val="center"/>
              <w:rPr>
                <w:rFonts w:ascii="Times New Roman" w:cs="Times New Roman"/>
                <w:color w:val="auto"/>
                <w:sz w:val="21"/>
                <w:szCs w:val="21"/>
              </w:rPr>
            </w:pPr>
            <w:r>
              <w:rPr>
                <w:rFonts w:ascii="Times New Roman" w:cs="Times New Roman"/>
                <w:color w:val="auto"/>
                <w:sz w:val="21"/>
                <w:szCs w:val="21"/>
              </w:rPr>
              <w:t>以项目厂址为中心区域，项目边界外边长5km×5km的矩形区域</w:t>
            </w:r>
          </w:p>
        </w:tc>
      </w:tr>
      <w:tr w14:paraId="07571AD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1" w:type="dxa"/>
            <w:tcBorders>
              <w:top w:val="single" w:color="auto" w:sz="6" w:space="0"/>
              <w:left w:val="nil"/>
              <w:bottom w:val="single" w:color="auto" w:sz="6" w:space="0"/>
              <w:right w:val="single" w:color="auto" w:sz="6" w:space="0"/>
            </w:tcBorders>
            <w:vAlign w:val="center"/>
          </w:tcPr>
          <w:p w14:paraId="320F303D">
            <w:pPr>
              <w:snapToGrid w:val="0"/>
              <w:jc w:val="center"/>
              <w:rPr>
                <w:color w:val="auto"/>
                <w:szCs w:val="21"/>
              </w:rPr>
            </w:pPr>
            <w:r>
              <w:rPr>
                <w:color w:val="auto"/>
                <w:szCs w:val="21"/>
              </w:rPr>
              <w:t>地表水</w:t>
            </w:r>
          </w:p>
        </w:tc>
        <w:tc>
          <w:tcPr>
            <w:tcW w:w="6955" w:type="dxa"/>
            <w:tcBorders>
              <w:top w:val="single" w:color="auto" w:sz="6" w:space="0"/>
              <w:left w:val="single" w:color="auto" w:sz="6" w:space="0"/>
              <w:bottom w:val="single" w:color="auto" w:sz="6" w:space="0"/>
              <w:right w:val="nil"/>
            </w:tcBorders>
            <w:vAlign w:val="center"/>
          </w:tcPr>
          <w:p w14:paraId="4E64186E">
            <w:pPr>
              <w:pStyle w:val="149"/>
              <w:jc w:val="center"/>
              <w:rPr>
                <w:rFonts w:ascii="Times New Roman" w:cs="Times New Roman"/>
                <w:color w:val="auto"/>
                <w:sz w:val="21"/>
                <w:szCs w:val="21"/>
              </w:rPr>
            </w:pPr>
            <w:r>
              <w:rPr>
                <w:rFonts w:ascii="Times New Roman" w:cs="Times New Roman"/>
                <w:color w:val="auto"/>
                <w:sz w:val="21"/>
                <w:szCs w:val="21"/>
              </w:rPr>
              <w:t>对废水处理方式的可行性进行分析</w:t>
            </w:r>
          </w:p>
        </w:tc>
      </w:tr>
      <w:tr w14:paraId="3AD1FC1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1" w:type="dxa"/>
            <w:tcBorders>
              <w:top w:val="single" w:color="auto" w:sz="6" w:space="0"/>
              <w:left w:val="nil"/>
              <w:bottom w:val="single" w:color="auto" w:sz="6" w:space="0"/>
              <w:right w:val="single" w:color="auto" w:sz="6" w:space="0"/>
            </w:tcBorders>
            <w:vAlign w:val="center"/>
          </w:tcPr>
          <w:p w14:paraId="11065416">
            <w:pPr>
              <w:snapToGrid w:val="0"/>
              <w:jc w:val="center"/>
              <w:rPr>
                <w:color w:val="auto"/>
                <w:szCs w:val="21"/>
              </w:rPr>
            </w:pPr>
            <w:r>
              <w:rPr>
                <w:color w:val="auto"/>
                <w:szCs w:val="21"/>
              </w:rPr>
              <w:t>噪声</w:t>
            </w:r>
          </w:p>
        </w:tc>
        <w:tc>
          <w:tcPr>
            <w:tcW w:w="6955" w:type="dxa"/>
            <w:tcBorders>
              <w:top w:val="single" w:color="auto" w:sz="6" w:space="0"/>
              <w:left w:val="single" w:color="auto" w:sz="6" w:space="0"/>
              <w:bottom w:val="single" w:color="auto" w:sz="6" w:space="0"/>
              <w:right w:val="nil"/>
            </w:tcBorders>
            <w:vAlign w:val="center"/>
          </w:tcPr>
          <w:p w14:paraId="54C3D19A">
            <w:pPr>
              <w:snapToGrid w:val="0"/>
              <w:jc w:val="center"/>
              <w:rPr>
                <w:color w:val="auto"/>
                <w:szCs w:val="21"/>
              </w:rPr>
            </w:pPr>
            <w:r>
              <w:rPr>
                <w:color w:val="auto"/>
                <w:szCs w:val="21"/>
              </w:rPr>
              <w:t>建设项目边界外延200m范围</w:t>
            </w:r>
          </w:p>
        </w:tc>
      </w:tr>
      <w:tr w14:paraId="7465CF7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1" w:type="dxa"/>
            <w:tcBorders>
              <w:top w:val="single" w:color="auto" w:sz="6" w:space="0"/>
              <w:left w:val="nil"/>
              <w:bottom w:val="single" w:color="auto" w:sz="6" w:space="0"/>
              <w:right w:val="single" w:color="auto" w:sz="6" w:space="0"/>
            </w:tcBorders>
            <w:vAlign w:val="center"/>
          </w:tcPr>
          <w:p w14:paraId="4F93E7C7">
            <w:pPr>
              <w:snapToGrid w:val="0"/>
              <w:jc w:val="center"/>
              <w:rPr>
                <w:color w:val="auto"/>
                <w:szCs w:val="21"/>
              </w:rPr>
            </w:pPr>
            <w:r>
              <w:rPr>
                <w:color w:val="auto"/>
                <w:szCs w:val="21"/>
              </w:rPr>
              <w:t>地下水</w:t>
            </w:r>
          </w:p>
        </w:tc>
        <w:tc>
          <w:tcPr>
            <w:tcW w:w="6955" w:type="dxa"/>
            <w:tcBorders>
              <w:top w:val="single" w:color="auto" w:sz="6" w:space="0"/>
              <w:left w:val="single" w:color="auto" w:sz="6" w:space="0"/>
              <w:bottom w:val="single" w:color="auto" w:sz="6" w:space="0"/>
              <w:right w:val="nil"/>
            </w:tcBorders>
            <w:vAlign w:val="center"/>
          </w:tcPr>
          <w:p w14:paraId="6A405C73">
            <w:pPr>
              <w:snapToGrid w:val="0"/>
              <w:jc w:val="center"/>
              <w:rPr>
                <w:color w:val="auto"/>
                <w:szCs w:val="21"/>
              </w:rPr>
            </w:pPr>
            <w:r>
              <w:rPr>
                <w:rFonts w:hint="eastAsia"/>
                <w:color w:val="auto"/>
                <w:szCs w:val="21"/>
                <w:lang w:val="en-US" w:eastAsia="zh-CN"/>
              </w:rPr>
              <w:t>根据《环境影响评价技术导则-地下水环境》（HJ610-2016）计算出L=1519m，故本次地下水评价范围为：项目区下游L=1519m，上游及两侧各L/2=750km的范围，面积3.4km</w:t>
            </w:r>
            <w:r>
              <w:rPr>
                <w:rFonts w:hint="eastAsia"/>
                <w:color w:val="auto"/>
                <w:szCs w:val="21"/>
                <w:vertAlign w:val="superscript"/>
                <w:lang w:val="en-US" w:eastAsia="zh-CN"/>
              </w:rPr>
              <w:t>2</w:t>
            </w:r>
            <w:r>
              <w:rPr>
                <w:rFonts w:hint="eastAsia"/>
                <w:color w:val="auto"/>
                <w:szCs w:val="21"/>
                <w:lang w:val="en-US" w:eastAsia="zh-CN"/>
              </w:rPr>
              <w:t>范围内的潜水含水层为评价范围。</w:t>
            </w:r>
          </w:p>
        </w:tc>
      </w:tr>
      <w:tr w14:paraId="64B0037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1" w:type="dxa"/>
            <w:tcBorders>
              <w:top w:val="single" w:color="auto" w:sz="6" w:space="0"/>
              <w:left w:val="nil"/>
              <w:bottom w:val="single" w:color="auto" w:sz="6" w:space="0"/>
              <w:right w:val="single" w:color="auto" w:sz="6" w:space="0"/>
            </w:tcBorders>
            <w:vAlign w:val="center"/>
          </w:tcPr>
          <w:p w14:paraId="0EFDC991">
            <w:pPr>
              <w:snapToGrid w:val="0"/>
              <w:jc w:val="center"/>
              <w:rPr>
                <w:color w:val="auto"/>
                <w:szCs w:val="21"/>
              </w:rPr>
            </w:pPr>
            <w:r>
              <w:rPr>
                <w:color w:val="auto"/>
                <w:szCs w:val="21"/>
              </w:rPr>
              <w:t>生态</w:t>
            </w:r>
          </w:p>
        </w:tc>
        <w:tc>
          <w:tcPr>
            <w:tcW w:w="6955" w:type="dxa"/>
            <w:tcBorders>
              <w:top w:val="single" w:color="auto" w:sz="6" w:space="0"/>
              <w:left w:val="single" w:color="auto" w:sz="6" w:space="0"/>
              <w:bottom w:val="single" w:color="auto" w:sz="6" w:space="0"/>
              <w:right w:val="nil"/>
            </w:tcBorders>
            <w:vAlign w:val="center"/>
          </w:tcPr>
          <w:p w14:paraId="3A027F03">
            <w:pPr>
              <w:snapToGrid w:val="0"/>
              <w:jc w:val="center"/>
              <w:rPr>
                <w:rFonts w:hint="default" w:eastAsia="宋体"/>
                <w:color w:val="auto"/>
                <w:szCs w:val="21"/>
                <w:lang w:val="en-US" w:eastAsia="zh-CN"/>
              </w:rPr>
            </w:pPr>
            <w:r>
              <w:rPr>
                <w:rFonts w:hint="eastAsia"/>
                <w:color w:val="auto"/>
                <w:szCs w:val="21"/>
                <w:lang w:eastAsia="zh-CN"/>
              </w:rPr>
              <w:t>以项目影响区域所涉及的完成生态单元界限为参照边界，以项目边界外延</w:t>
            </w:r>
            <w:r>
              <w:rPr>
                <w:rFonts w:hint="eastAsia"/>
                <w:color w:val="auto"/>
                <w:szCs w:val="21"/>
                <w:lang w:val="en-US" w:eastAsia="zh-CN"/>
              </w:rPr>
              <w:t>500m范围</w:t>
            </w:r>
          </w:p>
        </w:tc>
      </w:tr>
      <w:tr w14:paraId="00C556E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1" w:type="dxa"/>
            <w:vMerge w:val="restart"/>
            <w:tcBorders>
              <w:top w:val="single" w:color="auto" w:sz="6" w:space="0"/>
              <w:left w:val="nil"/>
              <w:right w:val="single" w:color="auto" w:sz="6" w:space="0"/>
            </w:tcBorders>
            <w:vAlign w:val="center"/>
          </w:tcPr>
          <w:p w14:paraId="40651865">
            <w:pPr>
              <w:snapToGrid w:val="0"/>
              <w:jc w:val="center"/>
              <w:rPr>
                <w:color w:val="auto"/>
                <w:szCs w:val="21"/>
              </w:rPr>
            </w:pPr>
            <w:r>
              <w:rPr>
                <w:color w:val="auto"/>
                <w:szCs w:val="21"/>
              </w:rPr>
              <w:t>环境风险</w:t>
            </w:r>
          </w:p>
        </w:tc>
        <w:tc>
          <w:tcPr>
            <w:tcW w:w="6955" w:type="dxa"/>
            <w:tcBorders>
              <w:top w:val="single" w:color="auto" w:sz="6" w:space="0"/>
              <w:left w:val="single" w:color="auto" w:sz="6" w:space="0"/>
              <w:bottom w:val="single" w:color="auto" w:sz="6" w:space="0"/>
              <w:right w:val="nil"/>
            </w:tcBorders>
            <w:vAlign w:val="center"/>
          </w:tcPr>
          <w:p w14:paraId="00497734">
            <w:pPr>
              <w:snapToGrid w:val="0"/>
              <w:jc w:val="center"/>
              <w:rPr>
                <w:color w:val="auto"/>
                <w:szCs w:val="21"/>
              </w:rPr>
            </w:pPr>
            <w:r>
              <w:rPr>
                <w:color w:val="auto"/>
                <w:szCs w:val="21"/>
              </w:rPr>
              <w:t>本项目环境风险等级为简单分析，不设置大气环境风险评价范围</w:t>
            </w:r>
          </w:p>
        </w:tc>
      </w:tr>
      <w:tr w14:paraId="6DD3424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1" w:type="dxa"/>
            <w:vMerge w:val="continue"/>
            <w:tcBorders>
              <w:left w:val="nil"/>
              <w:right w:val="single" w:color="auto" w:sz="6" w:space="0"/>
            </w:tcBorders>
            <w:vAlign w:val="center"/>
          </w:tcPr>
          <w:p w14:paraId="47C3BB88">
            <w:pPr>
              <w:snapToGrid w:val="0"/>
              <w:jc w:val="center"/>
              <w:rPr>
                <w:color w:val="auto"/>
                <w:szCs w:val="21"/>
              </w:rPr>
            </w:pPr>
          </w:p>
        </w:tc>
        <w:tc>
          <w:tcPr>
            <w:tcW w:w="6955" w:type="dxa"/>
            <w:tcBorders>
              <w:top w:val="single" w:color="auto" w:sz="6" w:space="0"/>
              <w:left w:val="single" w:color="auto" w:sz="6" w:space="0"/>
              <w:bottom w:val="single" w:color="auto" w:sz="6" w:space="0"/>
              <w:right w:val="nil"/>
            </w:tcBorders>
            <w:vAlign w:val="center"/>
          </w:tcPr>
          <w:p w14:paraId="5E08E44B">
            <w:pPr>
              <w:snapToGrid w:val="0"/>
              <w:jc w:val="center"/>
              <w:rPr>
                <w:color w:val="auto"/>
                <w:szCs w:val="21"/>
              </w:rPr>
            </w:pPr>
            <w:r>
              <w:rPr>
                <w:color w:val="auto"/>
                <w:szCs w:val="21"/>
              </w:rPr>
              <w:t>本项目环境风险等级为简单分析，不设置地表水环境风险评价范围</w:t>
            </w:r>
          </w:p>
        </w:tc>
      </w:tr>
      <w:tr w14:paraId="446F7C60">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1" w:type="dxa"/>
            <w:vMerge w:val="continue"/>
            <w:tcBorders>
              <w:left w:val="nil"/>
              <w:bottom w:val="single" w:color="auto" w:sz="6" w:space="0"/>
              <w:right w:val="single" w:color="auto" w:sz="6" w:space="0"/>
            </w:tcBorders>
            <w:vAlign w:val="center"/>
          </w:tcPr>
          <w:p w14:paraId="16495295">
            <w:pPr>
              <w:snapToGrid w:val="0"/>
              <w:jc w:val="center"/>
              <w:rPr>
                <w:color w:val="auto"/>
                <w:szCs w:val="21"/>
              </w:rPr>
            </w:pPr>
          </w:p>
        </w:tc>
        <w:tc>
          <w:tcPr>
            <w:tcW w:w="6955" w:type="dxa"/>
            <w:tcBorders>
              <w:top w:val="single" w:color="auto" w:sz="6" w:space="0"/>
              <w:left w:val="single" w:color="auto" w:sz="6" w:space="0"/>
              <w:bottom w:val="single" w:color="auto" w:sz="6" w:space="0"/>
              <w:right w:val="nil"/>
            </w:tcBorders>
            <w:vAlign w:val="center"/>
          </w:tcPr>
          <w:p w14:paraId="5283FDA5">
            <w:pPr>
              <w:snapToGrid w:val="0"/>
              <w:jc w:val="center"/>
              <w:rPr>
                <w:color w:val="auto"/>
                <w:szCs w:val="21"/>
              </w:rPr>
            </w:pPr>
            <w:r>
              <w:rPr>
                <w:color w:val="auto"/>
                <w:szCs w:val="21"/>
              </w:rPr>
              <w:t>本项目环境风险等级为简单分析，地下水环境风险评价范围参照HJ610确定，</w:t>
            </w:r>
            <w:r>
              <w:rPr>
                <w:rFonts w:hint="eastAsia"/>
                <w:color w:val="auto"/>
                <w:kern w:val="0"/>
                <w:sz w:val="21"/>
                <w:szCs w:val="21"/>
                <w:lang w:val="en-US" w:eastAsia="zh-CN"/>
              </w:rPr>
              <w:t>根据《环境影响评价技术导则-地下水环境》（HJ610-2016）计算出L=1519m，故本次地下水评价范围为：项目区下游L=1519m，上游及两侧各L/2=750km的范围，面积3.4km</w:t>
            </w:r>
            <w:r>
              <w:rPr>
                <w:rFonts w:hint="eastAsia"/>
                <w:color w:val="auto"/>
                <w:kern w:val="0"/>
                <w:sz w:val="21"/>
                <w:szCs w:val="21"/>
                <w:vertAlign w:val="superscript"/>
                <w:lang w:val="en-US" w:eastAsia="zh-CN"/>
              </w:rPr>
              <w:t>2</w:t>
            </w:r>
            <w:r>
              <w:rPr>
                <w:rFonts w:hint="eastAsia"/>
                <w:color w:val="auto"/>
                <w:kern w:val="0"/>
                <w:sz w:val="21"/>
                <w:szCs w:val="21"/>
                <w:lang w:val="en-US" w:eastAsia="zh-CN"/>
              </w:rPr>
              <w:t>范围内的潜水含水层为评价范围。</w:t>
            </w:r>
          </w:p>
        </w:tc>
      </w:tr>
      <w:tr w14:paraId="6008923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71" w:type="dxa"/>
            <w:tcBorders>
              <w:top w:val="single" w:color="auto" w:sz="6" w:space="0"/>
              <w:left w:val="nil"/>
              <w:bottom w:val="double" w:color="auto" w:sz="4" w:space="0"/>
              <w:right w:val="single" w:color="auto" w:sz="6" w:space="0"/>
            </w:tcBorders>
            <w:vAlign w:val="center"/>
          </w:tcPr>
          <w:p w14:paraId="584C8F43">
            <w:pPr>
              <w:snapToGrid w:val="0"/>
              <w:jc w:val="center"/>
              <w:rPr>
                <w:color w:val="auto"/>
                <w:szCs w:val="21"/>
              </w:rPr>
            </w:pPr>
            <w:r>
              <w:rPr>
                <w:color w:val="auto"/>
                <w:szCs w:val="21"/>
              </w:rPr>
              <w:t>土壤环境</w:t>
            </w:r>
          </w:p>
        </w:tc>
        <w:tc>
          <w:tcPr>
            <w:tcW w:w="6955" w:type="dxa"/>
            <w:tcBorders>
              <w:top w:val="single" w:color="auto" w:sz="6" w:space="0"/>
              <w:left w:val="single" w:color="auto" w:sz="6" w:space="0"/>
              <w:bottom w:val="double" w:color="auto" w:sz="4" w:space="0"/>
              <w:right w:val="nil"/>
            </w:tcBorders>
            <w:vAlign w:val="center"/>
          </w:tcPr>
          <w:p w14:paraId="36AB7408">
            <w:pPr>
              <w:snapToGrid w:val="0"/>
              <w:jc w:val="center"/>
              <w:rPr>
                <w:color w:val="auto"/>
                <w:szCs w:val="21"/>
              </w:rPr>
            </w:pPr>
            <w:r>
              <w:rPr>
                <w:color w:val="auto"/>
                <w:szCs w:val="21"/>
              </w:rPr>
              <w:t>占地范围内及向外延伸0.05km</w:t>
            </w:r>
          </w:p>
        </w:tc>
      </w:tr>
    </w:tbl>
    <w:p w14:paraId="030C68AD">
      <w:pPr>
        <w:pStyle w:val="4"/>
        <w:snapToGrid w:val="0"/>
        <w:spacing w:before="0"/>
        <w:rPr>
          <w:rFonts w:ascii="Times New Roman" w:hAnsi="Times New Roman" w:eastAsia="宋体"/>
          <w:bCs/>
          <w:color w:val="auto"/>
          <w:sz w:val="28"/>
          <w:szCs w:val="28"/>
        </w:rPr>
      </w:pPr>
      <w:bookmarkStart w:id="142" w:name="_Toc31483"/>
      <w:bookmarkStart w:id="143" w:name="_Toc20384"/>
      <w:r>
        <w:rPr>
          <w:rFonts w:ascii="Times New Roman" w:hAnsi="Times New Roman" w:eastAsia="宋体"/>
          <w:bCs/>
          <w:color w:val="auto"/>
          <w:sz w:val="28"/>
          <w:szCs w:val="28"/>
        </w:rPr>
        <w:t>2.4.2区域环境功能区划</w:t>
      </w:r>
      <w:bookmarkEnd w:id="142"/>
    </w:p>
    <w:p w14:paraId="68CA8994">
      <w:pPr>
        <w:pStyle w:val="68"/>
        <w:ind w:firstLine="480"/>
        <w:rPr>
          <w:color w:val="auto"/>
        </w:rPr>
      </w:pPr>
      <w:r>
        <w:rPr>
          <w:color w:val="auto"/>
        </w:rPr>
        <w:t>环境功能区划一览表见表</w:t>
      </w:r>
      <w:r>
        <w:rPr>
          <w:rFonts w:hint="eastAsia"/>
          <w:color w:val="auto"/>
          <w:lang w:val="en-US" w:eastAsia="zh-CN"/>
        </w:rPr>
        <w:t>2.4-2</w:t>
      </w:r>
      <w:r>
        <w:rPr>
          <w:color w:val="auto"/>
        </w:rPr>
        <w:t>。</w:t>
      </w:r>
    </w:p>
    <w:p w14:paraId="086BEAFF">
      <w:pPr>
        <w:snapToGrid w:val="0"/>
        <w:ind w:firstLine="422" w:firstLineChars="200"/>
        <w:jc w:val="center"/>
        <w:rPr>
          <w:b/>
          <w:color w:val="auto"/>
          <w:szCs w:val="21"/>
        </w:rPr>
      </w:pPr>
    </w:p>
    <w:p w14:paraId="3F4BB067">
      <w:pPr>
        <w:snapToGrid w:val="0"/>
        <w:ind w:firstLine="422" w:firstLineChars="200"/>
        <w:jc w:val="center"/>
        <w:rPr>
          <w:b/>
          <w:color w:val="auto"/>
          <w:szCs w:val="21"/>
        </w:rPr>
      </w:pPr>
      <w:r>
        <w:rPr>
          <w:b/>
          <w:color w:val="auto"/>
          <w:szCs w:val="21"/>
        </w:rPr>
        <w:t>表</w:t>
      </w:r>
      <w:r>
        <w:rPr>
          <w:rFonts w:hint="eastAsia"/>
          <w:b/>
          <w:color w:val="auto"/>
          <w:szCs w:val="21"/>
          <w:lang w:val="en-US" w:eastAsia="zh-CN"/>
        </w:rPr>
        <w:t>2.4-2</w:t>
      </w:r>
      <w:r>
        <w:rPr>
          <w:b/>
          <w:color w:val="auto"/>
          <w:szCs w:val="21"/>
        </w:rPr>
        <w:t xml:space="preserve">    环境功能区划一览表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19"/>
        <w:gridCol w:w="1079"/>
        <w:gridCol w:w="1376"/>
        <w:gridCol w:w="5354"/>
      </w:tblGrid>
      <w:tr w14:paraId="6E5105C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9" w:type="dxa"/>
            <w:tcBorders>
              <w:top w:val="double" w:color="auto" w:sz="4" w:space="0"/>
              <w:left w:val="nil"/>
              <w:bottom w:val="single" w:color="auto" w:sz="6" w:space="0"/>
              <w:right w:val="single" w:color="auto" w:sz="6" w:space="0"/>
            </w:tcBorders>
            <w:vAlign w:val="center"/>
          </w:tcPr>
          <w:p w14:paraId="6216CD06">
            <w:pPr>
              <w:spacing w:line="300" w:lineRule="exact"/>
              <w:jc w:val="center"/>
              <w:rPr>
                <w:b/>
                <w:color w:val="auto"/>
                <w:szCs w:val="21"/>
              </w:rPr>
            </w:pPr>
            <w:r>
              <w:rPr>
                <w:b/>
                <w:color w:val="auto"/>
                <w:szCs w:val="21"/>
              </w:rPr>
              <w:t>序号</w:t>
            </w:r>
          </w:p>
        </w:tc>
        <w:tc>
          <w:tcPr>
            <w:tcW w:w="1079" w:type="dxa"/>
            <w:tcBorders>
              <w:top w:val="double" w:color="auto" w:sz="4" w:space="0"/>
              <w:left w:val="single" w:color="auto" w:sz="6" w:space="0"/>
              <w:bottom w:val="single" w:color="auto" w:sz="6" w:space="0"/>
              <w:right w:val="single" w:color="auto" w:sz="6" w:space="0"/>
            </w:tcBorders>
            <w:vAlign w:val="center"/>
          </w:tcPr>
          <w:p w14:paraId="6760DE1C">
            <w:pPr>
              <w:spacing w:line="300" w:lineRule="exact"/>
              <w:jc w:val="center"/>
              <w:rPr>
                <w:b/>
                <w:color w:val="auto"/>
                <w:szCs w:val="21"/>
              </w:rPr>
            </w:pPr>
            <w:r>
              <w:rPr>
                <w:b/>
                <w:color w:val="auto"/>
                <w:szCs w:val="21"/>
              </w:rPr>
              <w:t>名称</w:t>
            </w:r>
          </w:p>
        </w:tc>
        <w:tc>
          <w:tcPr>
            <w:tcW w:w="1376" w:type="dxa"/>
            <w:tcBorders>
              <w:top w:val="double" w:color="auto" w:sz="4" w:space="0"/>
              <w:left w:val="single" w:color="auto" w:sz="6" w:space="0"/>
              <w:bottom w:val="single" w:color="auto" w:sz="6" w:space="0"/>
              <w:right w:val="single" w:color="auto" w:sz="6" w:space="0"/>
            </w:tcBorders>
            <w:vAlign w:val="center"/>
          </w:tcPr>
          <w:p w14:paraId="6AEDB69F">
            <w:pPr>
              <w:spacing w:line="300" w:lineRule="exact"/>
              <w:jc w:val="center"/>
              <w:rPr>
                <w:b/>
                <w:color w:val="auto"/>
                <w:szCs w:val="21"/>
              </w:rPr>
            </w:pPr>
            <w:r>
              <w:rPr>
                <w:b/>
                <w:color w:val="auto"/>
                <w:szCs w:val="21"/>
              </w:rPr>
              <w:t>功能区级别</w:t>
            </w:r>
          </w:p>
        </w:tc>
        <w:tc>
          <w:tcPr>
            <w:tcW w:w="5354" w:type="dxa"/>
            <w:tcBorders>
              <w:top w:val="double" w:color="auto" w:sz="4" w:space="0"/>
              <w:left w:val="single" w:color="auto" w:sz="6" w:space="0"/>
              <w:bottom w:val="single" w:color="auto" w:sz="6" w:space="0"/>
              <w:right w:val="nil"/>
            </w:tcBorders>
            <w:vAlign w:val="center"/>
          </w:tcPr>
          <w:p w14:paraId="6B6B799C">
            <w:pPr>
              <w:spacing w:line="300" w:lineRule="exact"/>
              <w:jc w:val="center"/>
              <w:rPr>
                <w:b/>
                <w:color w:val="auto"/>
                <w:szCs w:val="21"/>
              </w:rPr>
            </w:pPr>
            <w:r>
              <w:rPr>
                <w:b/>
                <w:color w:val="auto"/>
                <w:szCs w:val="21"/>
              </w:rPr>
              <w:t>备注</w:t>
            </w:r>
          </w:p>
        </w:tc>
      </w:tr>
      <w:tr w14:paraId="4B0AFFA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9" w:type="dxa"/>
            <w:tcBorders>
              <w:top w:val="single" w:color="auto" w:sz="6" w:space="0"/>
              <w:left w:val="nil"/>
              <w:bottom w:val="single" w:color="auto" w:sz="6" w:space="0"/>
              <w:right w:val="single" w:color="auto" w:sz="6" w:space="0"/>
            </w:tcBorders>
            <w:vAlign w:val="center"/>
          </w:tcPr>
          <w:p w14:paraId="2DC6AA6D">
            <w:pPr>
              <w:spacing w:line="300" w:lineRule="exact"/>
              <w:jc w:val="center"/>
              <w:rPr>
                <w:color w:val="auto"/>
                <w:szCs w:val="21"/>
              </w:rPr>
            </w:pPr>
            <w:r>
              <w:rPr>
                <w:color w:val="auto"/>
                <w:szCs w:val="21"/>
              </w:rPr>
              <w:t>1</w:t>
            </w:r>
          </w:p>
        </w:tc>
        <w:tc>
          <w:tcPr>
            <w:tcW w:w="1079" w:type="dxa"/>
            <w:tcBorders>
              <w:top w:val="single" w:color="auto" w:sz="6" w:space="0"/>
              <w:left w:val="single" w:color="auto" w:sz="6" w:space="0"/>
              <w:bottom w:val="single" w:color="auto" w:sz="6" w:space="0"/>
              <w:right w:val="single" w:color="auto" w:sz="6" w:space="0"/>
            </w:tcBorders>
            <w:vAlign w:val="center"/>
          </w:tcPr>
          <w:p w14:paraId="5DF93889">
            <w:pPr>
              <w:spacing w:line="300" w:lineRule="exact"/>
              <w:jc w:val="center"/>
              <w:rPr>
                <w:color w:val="auto"/>
                <w:szCs w:val="21"/>
              </w:rPr>
            </w:pPr>
            <w:r>
              <w:rPr>
                <w:color w:val="auto"/>
                <w:szCs w:val="21"/>
              </w:rPr>
              <w:t>环境空气</w:t>
            </w:r>
          </w:p>
        </w:tc>
        <w:tc>
          <w:tcPr>
            <w:tcW w:w="1376" w:type="dxa"/>
            <w:tcBorders>
              <w:top w:val="single" w:color="auto" w:sz="6" w:space="0"/>
              <w:left w:val="single" w:color="auto" w:sz="6" w:space="0"/>
              <w:bottom w:val="single" w:color="auto" w:sz="6" w:space="0"/>
              <w:right w:val="single" w:color="auto" w:sz="6" w:space="0"/>
            </w:tcBorders>
            <w:vAlign w:val="center"/>
          </w:tcPr>
          <w:p w14:paraId="4E07D9DC">
            <w:pPr>
              <w:spacing w:line="300" w:lineRule="exact"/>
              <w:jc w:val="center"/>
              <w:rPr>
                <w:color w:val="auto"/>
                <w:szCs w:val="21"/>
              </w:rPr>
            </w:pPr>
            <w:r>
              <w:rPr>
                <w:color w:val="auto"/>
                <w:szCs w:val="21"/>
              </w:rPr>
              <w:t>二类</w:t>
            </w:r>
          </w:p>
        </w:tc>
        <w:tc>
          <w:tcPr>
            <w:tcW w:w="5354" w:type="dxa"/>
            <w:tcBorders>
              <w:top w:val="single" w:color="auto" w:sz="6" w:space="0"/>
              <w:left w:val="single" w:color="auto" w:sz="6" w:space="0"/>
              <w:bottom w:val="single" w:color="auto" w:sz="6" w:space="0"/>
              <w:right w:val="nil"/>
            </w:tcBorders>
            <w:vAlign w:val="center"/>
          </w:tcPr>
          <w:p w14:paraId="2B177E04">
            <w:pPr>
              <w:snapToGrid w:val="0"/>
              <w:spacing w:line="300" w:lineRule="exact"/>
              <w:jc w:val="center"/>
              <w:rPr>
                <w:bCs/>
                <w:color w:val="auto"/>
                <w:szCs w:val="21"/>
              </w:rPr>
            </w:pPr>
            <w:r>
              <w:rPr>
                <w:bCs/>
                <w:color w:val="auto"/>
                <w:szCs w:val="21"/>
              </w:rPr>
              <w:t>《环境空气质量标准》（GB3095-2012）二级标准</w:t>
            </w:r>
          </w:p>
        </w:tc>
      </w:tr>
      <w:tr w14:paraId="11E881C0">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9" w:type="dxa"/>
            <w:tcBorders>
              <w:top w:val="single" w:color="auto" w:sz="6" w:space="0"/>
              <w:left w:val="nil"/>
              <w:bottom w:val="single" w:color="auto" w:sz="6" w:space="0"/>
              <w:right w:val="single" w:color="auto" w:sz="6" w:space="0"/>
            </w:tcBorders>
            <w:vAlign w:val="center"/>
          </w:tcPr>
          <w:p w14:paraId="4D4BEB26">
            <w:pPr>
              <w:spacing w:line="300" w:lineRule="exact"/>
              <w:jc w:val="center"/>
              <w:rPr>
                <w:color w:val="auto"/>
                <w:szCs w:val="21"/>
              </w:rPr>
            </w:pPr>
            <w:r>
              <w:rPr>
                <w:color w:val="auto"/>
                <w:szCs w:val="21"/>
              </w:rPr>
              <w:t>2</w:t>
            </w:r>
          </w:p>
        </w:tc>
        <w:tc>
          <w:tcPr>
            <w:tcW w:w="1079" w:type="dxa"/>
            <w:tcBorders>
              <w:top w:val="single" w:color="auto" w:sz="6" w:space="0"/>
              <w:left w:val="single" w:color="auto" w:sz="6" w:space="0"/>
              <w:bottom w:val="single" w:color="auto" w:sz="6" w:space="0"/>
              <w:right w:val="single" w:color="auto" w:sz="6" w:space="0"/>
            </w:tcBorders>
            <w:vAlign w:val="center"/>
          </w:tcPr>
          <w:p w14:paraId="3C3C0D7A">
            <w:pPr>
              <w:spacing w:line="300" w:lineRule="exact"/>
              <w:jc w:val="center"/>
              <w:rPr>
                <w:color w:val="auto"/>
                <w:szCs w:val="21"/>
              </w:rPr>
            </w:pPr>
            <w:r>
              <w:rPr>
                <w:color w:val="auto"/>
                <w:szCs w:val="21"/>
              </w:rPr>
              <w:t>声环境</w:t>
            </w:r>
          </w:p>
        </w:tc>
        <w:tc>
          <w:tcPr>
            <w:tcW w:w="1376" w:type="dxa"/>
            <w:tcBorders>
              <w:top w:val="single" w:color="auto" w:sz="6" w:space="0"/>
              <w:left w:val="single" w:color="auto" w:sz="6" w:space="0"/>
              <w:bottom w:val="single" w:color="auto" w:sz="6" w:space="0"/>
              <w:right w:val="single" w:color="auto" w:sz="6" w:space="0"/>
            </w:tcBorders>
            <w:vAlign w:val="center"/>
          </w:tcPr>
          <w:p w14:paraId="225A1744">
            <w:pPr>
              <w:spacing w:line="300" w:lineRule="exact"/>
              <w:jc w:val="center"/>
              <w:rPr>
                <w:color w:val="auto"/>
                <w:szCs w:val="21"/>
              </w:rPr>
            </w:pPr>
            <w:r>
              <w:rPr>
                <w:color w:val="auto"/>
                <w:szCs w:val="21"/>
              </w:rPr>
              <w:t>1类</w:t>
            </w:r>
          </w:p>
        </w:tc>
        <w:tc>
          <w:tcPr>
            <w:tcW w:w="5354" w:type="dxa"/>
            <w:tcBorders>
              <w:top w:val="single" w:color="auto" w:sz="6" w:space="0"/>
              <w:left w:val="single" w:color="auto" w:sz="6" w:space="0"/>
              <w:bottom w:val="single" w:color="auto" w:sz="6" w:space="0"/>
              <w:right w:val="nil"/>
            </w:tcBorders>
            <w:vAlign w:val="center"/>
          </w:tcPr>
          <w:p w14:paraId="3A6E115C">
            <w:pPr>
              <w:snapToGrid w:val="0"/>
              <w:spacing w:line="300" w:lineRule="exact"/>
              <w:jc w:val="center"/>
              <w:rPr>
                <w:bCs/>
                <w:color w:val="auto"/>
                <w:szCs w:val="21"/>
              </w:rPr>
            </w:pPr>
            <w:r>
              <w:rPr>
                <w:bCs/>
                <w:color w:val="auto"/>
                <w:szCs w:val="21"/>
              </w:rPr>
              <w:t>《声环境质量标准》（GB3096-2008）1类标准</w:t>
            </w:r>
          </w:p>
        </w:tc>
      </w:tr>
      <w:tr w14:paraId="25F6FBB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9" w:type="dxa"/>
            <w:tcBorders>
              <w:top w:val="single" w:color="auto" w:sz="6" w:space="0"/>
              <w:left w:val="nil"/>
              <w:bottom w:val="single" w:color="auto" w:sz="6" w:space="0"/>
              <w:right w:val="single" w:color="auto" w:sz="6" w:space="0"/>
            </w:tcBorders>
            <w:vAlign w:val="center"/>
          </w:tcPr>
          <w:p w14:paraId="6C1BE7AC">
            <w:pPr>
              <w:spacing w:line="300" w:lineRule="exact"/>
              <w:jc w:val="center"/>
              <w:rPr>
                <w:color w:val="auto"/>
                <w:szCs w:val="21"/>
              </w:rPr>
            </w:pPr>
            <w:r>
              <w:rPr>
                <w:color w:val="auto"/>
                <w:szCs w:val="21"/>
              </w:rPr>
              <w:t>3</w:t>
            </w:r>
          </w:p>
        </w:tc>
        <w:tc>
          <w:tcPr>
            <w:tcW w:w="1079" w:type="dxa"/>
            <w:tcBorders>
              <w:top w:val="single" w:color="auto" w:sz="6" w:space="0"/>
              <w:left w:val="single" w:color="auto" w:sz="6" w:space="0"/>
              <w:bottom w:val="single" w:color="auto" w:sz="6" w:space="0"/>
              <w:right w:val="single" w:color="auto" w:sz="6" w:space="0"/>
            </w:tcBorders>
            <w:vAlign w:val="center"/>
          </w:tcPr>
          <w:p w14:paraId="20A136E3">
            <w:pPr>
              <w:spacing w:line="300" w:lineRule="exact"/>
              <w:jc w:val="center"/>
              <w:rPr>
                <w:color w:val="auto"/>
                <w:szCs w:val="21"/>
              </w:rPr>
            </w:pPr>
            <w:r>
              <w:rPr>
                <w:color w:val="auto"/>
                <w:szCs w:val="21"/>
              </w:rPr>
              <w:t>地下水</w:t>
            </w:r>
          </w:p>
        </w:tc>
        <w:tc>
          <w:tcPr>
            <w:tcW w:w="1376" w:type="dxa"/>
            <w:tcBorders>
              <w:top w:val="single" w:color="auto" w:sz="6" w:space="0"/>
              <w:left w:val="single" w:color="auto" w:sz="6" w:space="0"/>
              <w:bottom w:val="single" w:color="auto" w:sz="6" w:space="0"/>
              <w:right w:val="single" w:color="auto" w:sz="6" w:space="0"/>
            </w:tcBorders>
            <w:vAlign w:val="center"/>
          </w:tcPr>
          <w:p w14:paraId="12444598">
            <w:pPr>
              <w:spacing w:line="300" w:lineRule="exact"/>
              <w:jc w:val="center"/>
              <w:rPr>
                <w:color w:val="auto"/>
                <w:szCs w:val="21"/>
              </w:rPr>
            </w:pPr>
            <w:r>
              <w:rPr>
                <w:color w:val="auto"/>
                <w:szCs w:val="21"/>
              </w:rPr>
              <w:t>Ⅲ类</w:t>
            </w:r>
          </w:p>
        </w:tc>
        <w:tc>
          <w:tcPr>
            <w:tcW w:w="5354" w:type="dxa"/>
            <w:tcBorders>
              <w:top w:val="single" w:color="auto" w:sz="6" w:space="0"/>
              <w:left w:val="single" w:color="auto" w:sz="6" w:space="0"/>
              <w:bottom w:val="single" w:color="auto" w:sz="6" w:space="0"/>
              <w:right w:val="nil"/>
            </w:tcBorders>
            <w:vAlign w:val="center"/>
          </w:tcPr>
          <w:p w14:paraId="086C2644">
            <w:pPr>
              <w:snapToGrid w:val="0"/>
              <w:spacing w:line="300" w:lineRule="exact"/>
              <w:jc w:val="center"/>
              <w:rPr>
                <w:bCs/>
                <w:color w:val="auto"/>
                <w:szCs w:val="21"/>
              </w:rPr>
            </w:pPr>
            <w:r>
              <w:rPr>
                <w:bCs/>
                <w:color w:val="auto"/>
                <w:szCs w:val="21"/>
              </w:rPr>
              <w:t>《地下水质量标准》（GB/T14848-2017）中Ⅲ类标准</w:t>
            </w:r>
          </w:p>
        </w:tc>
      </w:tr>
      <w:tr w14:paraId="1A233D0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19" w:type="dxa"/>
            <w:tcBorders>
              <w:top w:val="single" w:color="auto" w:sz="6" w:space="0"/>
              <w:left w:val="nil"/>
              <w:bottom w:val="double" w:color="auto" w:sz="4" w:space="0"/>
              <w:right w:val="single" w:color="auto" w:sz="6" w:space="0"/>
            </w:tcBorders>
            <w:vAlign w:val="center"/>
          </w:tcPr>
          <w:p w14:paraId="120630DE">
            <w:pPr>
              <w:spacing w:line="300" w:lineRule="exact"/>
              <w:jc w:val="center"/>
              <w:rPr>
                <w:color w:val="auto"/>
                <w:szCs w:val="21"/>
              </w:rPr>
            </w:pPr>
            <w:r>
              <w:rPr>
                <w:color w:val="auto"/>
                <w:szCs w:val="21"/>
              </w:rPr>
              <w:t>4</w:t>
            </w:r>
          </w:p>
        </w:tc>
        <w:tc>
          <w:tcPr>
            <w:tcW w:w="1079" w:type="dxa"/>
            <w:tcBorders>
              <w:top w:val="single" w:color="auto" w:sz="6" w:space="0"/>
              <w:left w:val="single" w:color="auto" w:sz="6" w:space="0"/>
              <w:bottom w:val="double" w:color="auto" w:sz="4" w:space="0"/>
              <w:right w:val="single" w:color="auto" w:sz="6" w:space="0"/>
            </w:tcBorders>
            <w:vAlign w:val="center"/>
          </w:tcPr>
          <w:p w14:paraId="29B18281">
            <w:pPr>
              <w:spacing w:line="300" w:lineRule="exact"/>
              <w:jc w:val="center"/>
              <w:rPr>
                <w:color w:val="auto"/>
                <w:szCs w:val="21"/>
              </w:rPr>
            </w:pPr>
            <w:r>
              <w:rPr>
                <w:color w:val="auto"/>
                <w:szCs w:val="21"/>
              </w:rPr>
              <w:t>地表水</w:t>
            </w:r>
          </w:p>
        </w:tc>
        <w:tc>
          <w:tcPr>
            <w:tcW w:w="1376" w:type="dxa"/>
            <w:tcBorders>
              <w:top w:val="single" w:color="auto" w:sz="6" w:space="0"/>
              <w:left w:val="single" w:color="auto" w:sz="6" w:space="0"/>
              <w:bottom w:val="double" w:color="auto" w:sz="4" w:space="0"/>
              <w:right w:val="single" w:color="auto" w:sz="6" w:space="0"/>
            </w:tcBorders>
            <w:vAlign w:val="center"/>
          </w:tcPr>
          <w:p w14:paraId="07187456">
            <w:pPr>
              <w:spacing w:line="300" w:lineRule="exact"/>
              <w:jc w:val="center"/>
              <w:rPr>
                <w:rFonts w:hint="eastAsia" w:eastAsia="宋体"/>
                <w:color w:val="auto"/>
                <w:szCs w:val="21"/>
                <w:lang w:eastAsia="zh-CN"/>
              </w:rPr>
            </w:pPr>
            <w:r>
              <w:rPr>
                <w:rFonts w:hint="eastAsia"/>
                <w:color w:val="auto"/>
                <w:szCs w:val="21"/>
                <w:highlight w:val="none"/>
                <w:lang w:eastAsia="zh-CN"/>
              </w:rPr>
              <w:t>无</w:t>
            </w:r>
          </w:p>
        </w:tc>
        <w:tc>
          <w:tcPr>
            <w:tcW w:w="5354" w:type="dxa"/>
            <w:tcBorders>
              <w:top w:val="single" w:color="auto" w:sz="6" w:space="0"/>
              <w:left w:val="single" w:color="auto" w:sz="6" w:space="0"/>
              <w:bottom w:val="double" w:color="auto" w:sz="4" w:space="0"/>
              <w:right w:val="nil"/>
            </w:tcBorders>
            <w:vAlign w:val="center"/>
          </w:tcPr>
          <w:p w14:paraId="4568185D">
            <w:pPr>
              <w:snapToGrid w:val="0"/>
              <w:spacing w:line="300" w:lineRule="exact"/>
              <w:jc w:val="center"/>
              <w:rPr>
                <w:bCs/>
                <w:color w:val="auto"/>
                <w:szCs w:val="21"/>
              </w:rPr>
            </w:pPr>
            <w:r>
              <w:rPr>
                <w:rFonts w:hint="eastAsia"/>
                <w:bCs/>
                <w:color w:val="auto"/>
                <w:szCs w:val="21"/>
                <w:highlight w:val="none"/>
                <w:lang w:val="en-US" w:eastAsia="zh-CN"/>
              </w:rPr>
              <w:t>项目周围无明显地表水体</w:t>
            </w:r>
          </w:p>
        </w:tc>
      </w:tr>
      <w:bookmarkEnd w:id="143"/>
    </w:tbl>
    <w:p w14:paraId="5ED8E5F0">
      <w:pPr>
        <w:pStyle w:val="4"/>
        <w:snapToGrid w:val="0"/>
        <w:spacing w:before="0"/>
        <w:rPr>
          <w:rFonts w:ascii="Times New Roman" w:hAnsi="Times New Roman" w:eastAsia="宋体"/>
          <w:color w:val="auto"/>
        </w:rPr>
      </w:pPr>
      <w:bookmarkStart w:id="144" w:name="_Toc18304"/>
      <w:r>
        <w:rPr>
          <w:rFonts w:ascii="Times New Roman" w:hAnsi="Times New Roman" w:eastAsia="宋体"/>
          <w:bCs/>
          <w:color w:val="auto"/>
          <w:sz w:val="28"/>
          <w:szCs w:val="28"/>
        </w:rPr>
        <w:t>2.4.3评价范围内的环境敏感点</w:t>
      </w:r>
      <w:bookmarkEnd w:id="144"/>
    </w:p>
    <w:p w14:paraId="50E8E5A6">
      <w:pPr>
        <w:adjustRightInd w:val="0"/>
        <w:spacing w:line="360" w:lineRule="auto"/>
        <w:ind w:firstLine="480" w:firstLineChars="200"/>
        <w:rPr>
          <w:bCs/>
          <w:color w:val="auto"/>
          <w:sz w:val="24"/>
        </w:rPr>
      </w:pPr>
      <w:r>
        <w:rPr>
          <w:color w:val="auto"/>
          <w:sz w:val="24"/>
        </w:rPr>
        <w:t>经实地调查，评价范围内无需要特殊保护的风景名胜区、自然保护区、饮用水水源保护区以及其他需要特殊保护的环境敏感对象。建设项目环境保护的目标是不降低区域环境质量现状功能级别，本项目周围主要环境保护目标见表</w:t>
      </w:r>
      <w:r>
        <w:rPr>
          <w:rFonts w:hint="eastAsia"/>
          <w:color w:val="auto"/>
          <w:sz w:val="24"/>
          <w:lang w:val="en-US" w:eastAsia="zh-CN"/>
        </w:rPr>
        <w:t>2.4-3</w:t>
      </w:r>
      <w:r>
        <w:rPr>
          <w:color w:val="auto"/>
          <w:sz w:val="24"/>
        </w:rPr>
        <w:t>，</w:t>
      </w:r>
      <w:r>
        <w:rPr>
          <w:bCs/>
          <w:color w:val="auto"/>
          <w:sz w:val="24"/>
        </w:rPr>
        <w:t>环境保护目</w:t>
      </w:r>
      <w:r>
        <w:rPr>
          <w:bCs/>
          <w:color w:val="auto"/>
          <w:sz w:val="24"/>
          <w:highlight w:val="none"/>
        </w:rPr>
        <w:t>标见</w:t>
      </w:r>
      <w:r>
        <w:rPr>
          <w:rFonts w:hint="eastAsia"/>
          <w:bCs/>
          <w:color w:val="auto"/>
          <w:sz w:val="24"/>
          <w:highlight w:val="none"/>
          <w:lang w:eastAsia="zh-CN"/>
        </w:rPr>
        <w:t>图</w:t>
      </w:r>
      <w:r>
        <w:rPr>
          <w:rFonts w:hint="eastAsia"/>
          <w:bCs/>
          <w:color w:val="auto"/>
          <w:sz w:val="24"/>
          <w:highlight w:val="none"/>
          <w:lang w:val="en-US" w:eastAsia="zh-CN"/>
        </w:rPr>
        <w:t>2.4-1</w:t>
      </w:r>
      <w:r>
        <w:rPr>
          <w:bCs/>
          <w:color w:val="auto"/>
          <w:sz w:val="24"/>
          <w:highlight w:val="none"/>
        </w:rPr>
        <w:t>。</w:t>
      </w:r>
    </w:p>
    <w:p w14:paraId="68FC8C86">
      <w:pPr>
        <w:ind w:firstLine="420"/>
        <w:jc w:val="center"/>
        <w:rPr>
          <w:b/>
          <w:bCs/>
          <w:color w:val="auto"/>
          <w:szCs w:val="21"/>
          <w:highlight w:val="none"/>
        </w:rPr>
      </w:pPr>
      <w:r>
        <w:rPr>
          <w:b/>
          <w:bCs/>
          <w:color w:val="auto"/>
          <w:szCs w:val="21"/>
          <w:highlight w:val="none"/>
        </w:rPr>
        <w:t>表</w:t>
      </w:r>
      <w:r>
        <w:rPr>
          <w:b/>
          <w:color w:val="auto"/>
          <w:szCs w:val="21"/>
          <w:highlight w:val="none"/>
        </w:rPr>
        <w:t>2</w:t>
      </w:r>
      <w:r>
        <w:rPr>
          <w:rFonts w:hint="eastAsia"/>
          <w:b/>
          <w:color w:val="auto"/>
          <w:szCs w:val="21"/>
          <w:highlight w:val="none"/>
          <w:lang w:val="en-US" w:eastAsia="zh-CN"/>
        </w:rPr>
        <w:t xml:space="preserve">.4-3 </w:t>
      </w:r>
      <w:r>
        <w:rPr>
          <w:b/>
          <w:color w:val="auto"/>
          <w:szCs w:val="21"/>
          <w:highlight w:val="none"/>
        </w:rPr>
        <w:t xml:space="preserve">   </w:t>
      </w:r>
      <w:r>
        <w:rPr>
          <w:b/>
          <w:bCs/>
          <w:color w:val="auto"/>
          <w:szCs w:val="21"/>
          <w:highlight w:val="none"/>
        </w:rPr>
        <w:t>主要环境保护目标一览表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0"/>
        <w:gridCol w:w="1386"/>
        <w:gridCol w:w="1305"/>
        <w:gridCol w:w="660"/>
        <w:gridCol w:w="1470"/>
        <w:gridCol w:w="1260"/>
        <w:gridCol w:w="705"/>
        <w:gridCol w:w="772"/>
      </w:tblGrid>
      <w:tr w14:paraId="07F769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restart"/>
            <w:vAlign w:val="center"/>
          </w:tcPr>
          <w:p w14:paraId="764093EF">
            <w:pPr>
              <w:jc w:val="center"/>
              <w:rPr>
                <w:color w:val="auto"/>
                <w:szCs w:val="21"/>
                <w:highlight w:val="none"/>
              </w:rPr>
            </w:pPr>
            <w:r>
              <w:rPr>
                <w:color w:val="auto"/>
                <w:szCs w:val="21"/>
                <w:highlight w:val="none"/>
              </w:rPr>
              <w:t>名称</w:t>
            </w:r>
          </w:p>
        </w:tc>
        <w:tc>
          <w:tcPr>
            <w:tcW w:w="2691" w:type="dxa"/>
            <w:gridSpan w:val="2"/>
            <w:vAlign w:val="center"/>
          </w:tcPr>
          <w:p w14:paraId="00695334">
            <w:pPr>
              <w:jc w:val="center"/>
              <w:rPr>
                <w:color w:val="auto"/>
                <w:szCs w:val="21"/>
                <w:highlight w:val="none"/>
              </w:rPr>
            </w:pPr>
            <w:r>
              <w:rPr>
                <w:color w:val="auto"/>
                <w:szCs w:val="21"/>
                <w:highlight w:val="none"/>
              </w:rPr>
              <w:t>坐标/</w:t>
            </w:r>
            <w:r>
              <w:rPr>
                <w:rFonts w:hint="eastAsia"/>
                <w:color w:val="auto"/>
                <w:szCs w:val="21"/>
                <w:highlight w:val="none"/>
              </w:rPr>
              <w:t>经纬度</w:t>
            </w:r>
          </w:p>
        </w:tc>
        <w:tc>
          <w:tcPr>
            <w:tcW w:w="660" w:type="dxa"/>
            <w:vMerge w:val="restart"/>
            <w:vAlign w:val="center"/>
          </w:tcPr>
          <w:p w14:paraId="679A9E89">
            <w:pPr>
              <w:jc w:val="center"/>
              <w:rPr>
                <w:color w:val="auto"/>
                <w:szCs w:val="21"/>
                <w:highlight w:val="none"/>
              </w:rPr>
            </w:pPr>
            <w:r>
              <w:rPr>
                <w:color w:val="auto"/>
                <w:szCs w:val="21"/>
                <w:highlight w:val="none"/>
              </w:rPr>
              <w:t>保护</w:t>
            </w:r>
          </w:p>
          <w:p w14:paraId="172BDEB2">
            <w:pPr>
              <w:jc w:val="center"/>
              <w:rPr>
                <w:color w:val="auto"/>
                <w:szCs w:val="21"/>
                <w:highlight w:val="none"/>
              </w:rPr>
            </w:pPr>
            <w:r>
              <w:rPr>
                <w:color w:val="auto"/>
                <w:szCs w:val="21"/>
                <w:highlight w:val="none"/>
              </w:rPr>
              <w:t>对象</w:t>
            </w:r>
          </w:p>
        </w:tc>
        <w:tc>
          <w:tcPr>
            <w:tcW w:w="1470" w:type="dxa"/>
            <w:vMerge w:val="restart"/>
            <w:vAlign w:val="center"/>
          </w:tcPr>
          <w:p w14:paraId="7F66D505">
            <w:pPr>
              <w:jc w:val="center"/>
              <w:rPr>
                <w:color w:val="auto"/>
                <w:szCs w:val="21"/>
                <w:highlight w:val="none"/>
              </w:rPr>
            </w:pPr>
            <w:r>
              <w:rPr>
                <w:color w:val="auto"/>
                <w:szCs w:val="21"/>
                <w:highlight w:val="none"/>
              </w:rPr>
              <w:t>保护</w:t>
            </w:r>
          </w:p>
          <w:p w14:paraId="71C9F631">
            <w:pPr>
              <w:jc w:val="center"/>
              <w:rPr>
                <w:color w:val="auto"/>
                <w:szCs w:val="21"/>
                <w:highlight w:val="none"/>
              </w:rPr>
            </w:pPr>
            <w:r>
              <w:rPr>
                <w:color w:val="auto"/>
                <w:szCs w:val="21"/>
                <w:highlight w:val="none"/>
              </w:rPr>
              <w:t>内容</w:t>
            </w:r>
          </w:p>
        </w:tc>
        <w:tc>
          <w:tcPr>
            <w:tcW w:w="1260" w:type="dxa"/>
            <w:vMerge w:val="restart"/>
            <w:vAlign w:val="center"/>
          </w:tcPr>
          <w:p w14:paraId="0FF686F3">
            <w:pPr>
              <w:jc w:val="center"/>
              <w:rPr>
                <w:color w:val="auto"/>
                <w:szCs w:val="21"/>
                <w:highlight w:val="none"/>
              </w:rPr>
            </w:pPr>
            <w:r>
              <w:rPr>
                <w:color w:val="auto"/>
                <w:szCs w:val="21"/>
                <w:highlight w:val="none"/>
              </w:rPr>
              <w:t>环境功</w:t>
            </w:r>
          </w:p>
          <w:p w14:paraId="1C9B7B03">
            <w:pPr>
              <w:jc w:val="center"/>
              <w:rPr>
                <w:color w:val="auto"/>
                <w:szCs w:val="21"/>
                <w:highlight w:val="none"/>
              </w:rPr>
            </w:pPr>
            <w:r>
              <w:rPr>
                <w:color w:val="auto"/>
                <w:szCs w:val="21"/>
                <w:highlight w:val="none"/>
              </w:rPr>
              <w:t>能区</w:t>
            </w:r>
          </w:p>
        </w:tc>
        <w:tc>
          <w:tcPr>
            <w:tcW w:w="705" w:type="dxa"/>
            <w:vMerge w:val="restart"/>
            <w:vAlign w:val="center"/>
          </w:tcPr>
          <w:p w14:paraId="6496628D">
            <w:pPr>
              <w:jc w:val="center"/>
              <w:rPr>
                <w:color w:val="auto"/>
                <w:szCs w:val="21"/>
                <w:highlight w:val="none"/>
              </w:rPr>
            </w:pPr>
            <w:r>
              <w:rPr>
                <w:color w:val="auto"/>
                <w:szCs w:val="21"/>
                <w:highlight w:val="none"/>
              </w:rPr>
              <w:t>相对厂址方位</w:t>
            </w:r>
          </w:p>
        </w:tc>
        <w:tc>
          <w:tcPr>
            <w:tcW w:w="772" w:type="dxa"/>
            <w:vMerge w:val="restart"/>
            <w:vAlign w:val="center"/>
          </w:tcPr>
          <w:p w14:paraId="13F9595D">
            <w:pPr>
              <w:jc w:val="center"/>
              <w:rPr>
                <w:color w:val="auto"/>
                <w:szCs w:val="21"/>
                <w:highlight w:val="none"/>
              </w:rPr>
            </w:pPr>
            <w:r>
              <w:rPr>
                <w:color w:val="auto"/>
                <w:szCs w:val="21"/>
                <w:highlight w:val="none"/>
              </w:rPr>
              <w:t>相对厂址距离</w:t>
            </w:r>
          </w:p>
        </w:tc>
      </w:tr>
      <w:tr w14:paraId="7FA4E3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continue"/>
            <w:vAlign w:val="center"/>
          </w:tcPr>
          <w:p w14:paraId="788C55E7">
            <w:pPr>
              <w:widowControl/>
              <w:jc w:val="left"/>
              <w:rPr>
                <w:color w:val="auto"/>
                <w:szCs w:val="21"/>
                <w:highlight w:val="none"/>
              </w:rPr>
            </w:pPr>
          </w:p>
        </w:tc>
        <w:tc>
          <w:tcPr>
            <w:tcW w:w="1386" w:type="dxa"/>
            <w:vAlign w:val="center"/>
          </w:tcPr>
          <w:p w14:paraId="68BFC92C">
            <w:pPr>
              <w:jc w:val="center"/>
              <w:rPr>
                <w:color w:val="auto"/>
                <w:szCs w:val="21"/>
                <w:highlight w:val="none"/>
              </w:rPr>
            </w:pPr>
            <w:r>
              <w:rPr>
                <w:color w:val="auto"/>
                <w:szCs w:val="21"/>
                <w:highlight w:val="none"/>
              </w:rPr>
              <w:t>东经</w:t>
            </w:r>
          </w:p>
        </w:tc>
        <w:tc>
          <w:tcPr>
            <w:tcW w:w="1305" w:type="dxa"/>
            <w:vAlign w:val="center"/>
          </w:tcPr>
          <w:p w14:paraId="1E2202B0">
            <w:pPr>
              <w:jc w:val="center"/>
              <w:rPr>
                <w:color w:val="auto"/>
                <w:szCs w:val="21"/>
                <w:highlight w:val="none"/>
              </w:rPr>
            </w:pPr>
            <w:r>
              <w:rPr>
                <w:color w:val="auto"/>
                <w:szCs w:val="21"/>
                <w:highlight w:val="none"/>
              </w:rPr>
              <w:t>北纬</w:t>
            </w:r>
          </w:p>
        </w:tc>
        <w:tc>
          <w:tcPr>
            <w:tcW w:w="660" w:type="dxa"/>
            <w:vMerge w:val="continue"/>
            <w:vAlign w:val="center"/>
          </w:tcPr>
          <w:p w14:paraId="02C8414E">
            <w:pPr>
              <w:widowControl/>
              <w:jc w:val="left"/>
              <w:rPr>
                <w:color w:val="auto"/>
                <w:szCs w:val="21"/>
                <w:highlight w:val="none"/>
              </w:rPr>
            </w:pPr>
          </w:p>
        </w:tc>
        <w:tc>
          <w:tcPr>
            <w:tcW w:w="1470" w:type="dxa"/>
            <w:vMerge w:val="continue"/>
            <w:vAlign w:val="center"/>
          </w:tcPr>
          <w:p w14:paraId="20AC9F16">
            <w:pPr>
              <w:widowControl/>
              <w:jc w:val="left"/>
              <w:rPr>
                <w:color w:val="auto"/>
                <w:szCs w:val="21"/>
                <w:highlight w:val="none"/>
              </w:rPr>
            </w:pPr>
          </w:p>
        </w:tc>
        <w:tc>
          <w:tcPr>
            <w:tcW w:w="1260" w:type="dxa"/>
            <w:vMerge w:val="continue"/>
            <w:vAlign w:val="center"/>
          </w:tcPr>
          <w:p w14:paraId="51392B91">
            <w:pPr>
              <w:widowControl/>
              <w:jc w:val="left"/>
              <w:rPr>
                <w:color w:val="auto"/>
                <w:szCs w:val="21"/>
                <w:highlight w:val="none"/>
              </w:rPr>
            </w:pPr>
          </w:p>
        </w:tc>
        <w:tc>
          <w:tcPr>
            <w:tcW w:w="705" w:type="dxa"/>
            <w:vMerge w:val="continue"/>
            <w:vAlign w:val="center"/>
          </w:tcPr>
          <w:p w14:paraId="4CDCE48E">
            <w:pPr>
              <w:widowControl/>
              <w:jc w:val="left"/>
              <w:rPr>
                <w:color w:val="auto"/>
                <w:szCs w:val="21"/>
                <w:highlight w:val="none"/>
              </w:rPr>
            </w:pPr>
          </w:p>
        </w:tc>
        <w:tc>
          <w:tcPr>
            <w:tcW w:w="772" w:type="dxa"/>
            <w:vMerge w:val="continue"/>
            <w:vAlign w:val="center"/>
          </w:tcPr>
          <w:p w14:paraId="4E5F3F8A">
            <w:pPr>
              <w:widowControl/>
              <w:jc w:val="left"/>
              <w:rPr>
                <w:color w:val="auto"/>
                <w:szCs w:val="21"/>
                <w:highlight w:val="none"/>
              </w:rPr>
            </w:pPr>
          </w:p>
        </w:tc>
      </w:tr>
      <w:tr w14:paraId="2C235D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1D781B68">
            <w:pPr>
              <w:jc w:val="center"/>
              <w:rPr>
                <w:rFonts w:hint="eastAsia" w:eastAsia="宋体"/>
                <w:color w:val="auto"/>
                <w:szCs w:val="21"/>
                <w:highlight w:val="none"/>
                <w:lang w:eastAsia="zh-CN"/>
              </w:rPr>
            </w:pPr>
            <w:r>
              <w:rPr>
                <w:rFonts w:hint="eastAsia"/>
                <w:color w:val="auto"/>
                <w:szCs w:val="21"/>
                <w:highlight w:val="none"/>
                <w:lang w:eastAsia="zh-CN"/>
              </w:rPr>
              <w:t>西高楼村</w:t>
            </w:r>
          </w:p>
        </w:tc>
        <w:tc>
          <w:tcPr>
            <w:tcW w:w="1386" w:type="dxa"/>
            <w:vAlign w:val="center"/>
          </w:tcPr>
          <w:p w14:paraId="38C748E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120°39′34.096″</w:t>
            </w:r>
          </w:p>
        </w:tc>
        <w:tc>
          <w:tcPr>
            <w:tcW w:w="1305" w:type="dxa"/>
            <w:vAlign w:val="center"/>
          </w:tcPr>
          <w:p w14:paraId="3378D40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41°51′54.257″</w:t>
            </w:r>
          </w:p>
        </w:tc>
        <w:tc>
          <w:tcPr>
            <w:tcW w:w="660" w:type="dxa"/>
            <w:vMerge w:val="restart"/>
            <w:vAlign w:val="center"/>
          </w:tcPr>
          <w:p w14:paraId="6AC8A7B8">
            <w:pPr>
              <w:jc w:val="center"/>
              <w:rPr>
                <w:rFonts w:hint="eastAsia" w:eastAsia="宋体"/>
                <w:color w:val="auto"/>
                <w:szCs w:val="21"/>
                <w:highlight w:val="none"/>
                <w:lang w:eastAsia="zh-CN"/>
              </w:rPr>
            </w:pPr>
            <w:r>
              <w:rPr>
                <w:rFonts w:hint="eastAsia"/>
                <w:color w:val="auto"/>
                <w:kern w:val="0"/>
                <w:szCs w:val="21"/>
                <w:highlight w:val="none"/>
                <w:lang w:eastAsia="zh-CN"/>
              </w:rPr>
              <w:t>居民</w:t>
            </w:r>
          </w:p>
        </w:tc>
        <w:tc>
          <w:tcPr>
            <w:tcW w:w="1470" w:type="dxa"/>
            <w:vAlign w:val="center"/>
          </w:tcPr>
          <w:p w14:paraId="175A5D8C">
            <w:pPr>
              <w:jc w:val="center"/>
              <w:rPr>
                <w:color w:val="auto"/>
                <w:szCs w:val="21"/>
                <w:highlight w:val="none"/>
              </w:rPr>
            </w:pPr>
            <w:r>
              <w:rPr>
                <w:rFonts w:hint="eastAsia"/>
                <w:color w:val="auto"/>
                <w:szCs w:val="21"/>
                <w:highlight w:val="none"/>
                <w:lang w:val="en-US" w:eastAsia="zh-CN"/>
              </w:rPr>
              <w:t>68</w:t>
            </w:r>
            <w:r>
              <w:rPr>
                <w:color w:val="auto"/>
                <w:szCs w:val="21"/>
                <w:highlight w:val="none"/>
              </w:rPr>
              <w:t>户/</w:t>
            </w:r>
            <w:r>
              <w:rPr>
                <w:rFonts w:hint="eastAsia"/>
                <w:color w:val="auto"/>
                <w:szCs w:val="21"/>
                <w:highlight w:val="none"/>
                <w:lang w:val="en-US" w:eastAsia="zh-CN"/>
              </w:rPr>
              <w:t>235</w:t>
            </w:r>
            <w:r>
              <w:rPr>
                <w:color w:val="auto"/>
                <w:szCs w:val="21"/>
                <w:highlight w:val="none"/>
              </w:rPr>
              <w:t>人</w:t>
            </w:r>
          </w:p>
        </w:tc>
        <w:tc>
          <w:tcPr>
            <w:tcW w:w="1260" w:type="dxa"/>
            <w:vMerge w:val="restart"/>
            <w:vAlign w:val="center"/>
          </w:tcPr>
          <w:p w14:paraId="7C715DAB">
            <w:pPr>
              <w:tabs>
                <w:tab w:val="left" w:pos="4425"/>
              </w:tabs>
              <w:jc w:val="center"/>
              <w:rPr>
                <w:color w:val="auto"/>
                <w:szCs w:val="21"/>
                <w:highlight w:val="none"/>
              </w:rPr>
            </w:pPr>
            <w:r>
              <w:rPr>
                <w:color w:val="auto"/>
                <w:szCs w:val="21"/>
                <w:highlight w:val="none"/>
              </w:rPr>
              <w:t>《环境空气质量标准》(GB3095-2012)</w:t>
            </w:r>
          </w:p>
          <w:p w14:paraId="67421ED0">
            <w:pPr>
              <w:jc w:val="center"/>
              <w:rPr>
                <w:rFonts w:hint="eastAsia" w:eastAsia="宋体"/>
                <w:color w:val="auto"/>
                <w:szCs w:val="21"/>
                <w:highlight w:val="none"/>
                <w:lang w:val="en-US" w:eastAsia="zh-CN"/>
              </w:rPr>
            </w:pPr>
            <w:r>
              <w:rPr>
                <w:color w:val="auto"/>
                <w:szCs w:val="21"/>
                <w:highlight w:val="none"/>
              </w:rPr>
              <w:t>二类</w:t>
            </w:r>
            <w:r>
              <w:rPr>
                <w:rStyle w:val="67"/>
                <w:rFonts w:hint="eastAsia"/>
                <w:color w:val="auto"/>
                <w:highlight w:val="none"/>
                <w:lang w:val="en-US" w:eastAsia="zh-CN"/>
              </w:rPr>
              <w:t>及修改单</w:t>
            </w:r>
          </w:p>
        </w:tc>
        <w:tc>
          <w:tcPr>
            <w:tcW w:w="705" w:type="dxa"/>
            <w:vAlign w:val="center"/>
          </w:tcPr>
          <w:p w14:paraId="04A6717B">
            <w:pPr>
              <w:jc w:val="center"/>
              <w:rPr>
                <w:rFonts w:hint="eastAsia" w:eastAsia="宋体"/>
                <w:color w:val="auto"/>
                <w:szCs w:val="21"/>
                <w:highlight w:val="none"/>
                <w:lang w:eastAsia="zh-CN"/>
              </w:rPr>
            </w:pPr>
            <w:r>
              <w:rPr>
                <w:rFonts w:hint="eastAsia"/>
                <w:color w:val="auto"/>
                <w:szCs w:val="21"/>
                <w:highlight w:val="none"/>
                <w:lang w:eastAsia="zh-CN"/>
              </w:rPr>
              <w:t>东</w:t>
            </w:r>
          </w:p>
        </w:tc>
        <w:tc>
          <w:tcPr>
            <w:tcW w:w="772" w:type="dxa"/>
            <w:vAlign w:val="center"/>
          </w:tcPr>
          <w:p w14:paraId="04E59235">
            <w:pPr>
              <w:jc w:val="center"/>
              <w:rPr>
                <w:rFonts w:hint="default" w:eastAsia="宋体"/>
                <w:color w:val="auto"/>
                <w:szCs w:val="21"/>
                <w:highlight w:val="none"/>
                <w:lang w:val="en-US" w:eastAsia="zh-CN"/>
              </w:rPr>
            </w:pPr>
            <w:r>
              <w:rPr>
                <w:rFonts w:hint="eastAsia"/>
                <w:color w:val="auto"/>
                <w:szCs w:val="21"/>
                <w:highlight w:val="none"/>
                <w:lang w:val="en-US" w:eastAsia="zh-CN"/>
              </w:rPr>
              <w:t>2192</w:t>
            </w:r>
          </w:p>
        </w:tc>
      </w:tr>
      <w:tr w14:paraId="069C9C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12A35E9A">
            <w:pPr>
              <w:jc w:val="center"/>
              <w:rPr>
                <w:rFonts w:hint="eastAsia" w:eastAsia="宋体"/>
                <w:color w:val="auto"/>
                <w:szCs w:val="21"/>
                <w:highlight w:val="none"/>
                <w:lang w:eastAsia="zh-CN"/>
              </w:rPr>
            </w:pPr>
            <w:r>
              <w:rPr>
                <w:rFonts w:hint="eastAsia"/>
                <w:color w:val="auto"/>
                <w:szCs w:val="21"/>
                <w:highlight w:val="none"/>
                <w:lang w:eastAsia="zh-CN"/>
              </w:rPr>
              <w:t>兴隆洼北沟</w:t>
            </w:r>
          </w:p>
        </w:tc>
        <w:tc>
          <w:tcPr>
            <w:tcW w:w="1386" w:type="dxa"/>
            <w:vAlign w:val="center"/>
          </w:tcPr>
          <w:p w14:paraId="4B5EBB2A">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120°38′35.233″</w:t>
            </w:r>
          </w:p>
        </w:tc>
        <w:tc>
          <w:tcPr>
            <w:tcW w:w="1305" w:type="dxa"/>
            <w:vAlign w:val="center"/>
          </w:tcPr>
          <w:p w14:paraId="7B94A26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41°51′12.852″</w:t>
            </w:r>
          </w:p>
        </w:tc>
        <w:tc>
          <w:tcPr>
            <w:tcW w:w="660" w:type="dxa"/>
            <w:vMerge w:val="continue"/>
            <w:vAlign w:val="center"/>
          </w:tcPr>
          <w:p w14:paraId="193226AC">
            <w:pPr>
              <w:jc w:val="center"/>
              <w:rPr>
                <w:color w:val="auto"/>
                <w:szCs w:val="21"/>
                <w:highlight w:val="none"/>
              </w:rPr>
            </w:pPr>
          </w:p>
        </w:tc>
        <w:tc>
          <w:tcPr>
            <w:tcW w:w="1470" w:type="dxa"/>
            <w:vAlign w:val="center"/>
          </w:tcPr>
          <w:p w14:paraId="0736BB77">
            <w:pPr>
              <w:jc w:val="center"/>
              <w:rPr>
                <w:color w:val="auto"/>
                <w:szCs w:val="21"/>
                <w:highlight w:val="none"/>
              </w:rPr>
            </w:pPr>
            <w:r>
              <w:rPr>
                <w:rFonts w:hint="eastAsia"/>
                <w:color w:val="auto"/>
                <w:szCs w:val="21"/>
                <w:highlight w:val="none"/>
                <w:lang w:val="en-US" w:eastAsia="zh-CN"/>
              </w:rPr>
              <w:t>48</w:t>
            </w:r>
            <w:r>
              <w:rPr>
                <w:color w:val="auto"/>
                <w:szCs w:val="21"/>
                <w:highlight w:val="none"/>
              </w:rPr>
              <w:t>户/</w:t>
            </w:r>
            <w:r>
              <w:rPr>
                <w:rFonts w:hint="eastAsia"/>
                <w:color w:val="auto"/>
                <w:szCs w:val="21"/>
                <w:highlight w:val="none"/>
              </w:rPr>
              <w:t>134</w:t>
            </w:r>
            <w:r>
              <w:rPr>
                <w:color w:val="auto"/>
                <w:szCs w:val="21"/>
                <w:highlight w:val="none"/>
              </w:rPr>
              <w:t>人</w:t>
            </w:r>
          </w:p>
        </w:tc>
        <w:tc>
          <w:tcPr>
            <w:tcW w:w="1260" w:type="dxa"/>
            <w:vMerge w:val="continue"/>
            <w:vAlign w:val="center"/>
          </w:tcPr>
          <w:p w14:paraId="6202CC68">
            <w:pPr>
              <w:widowControl/>
              <w:jc w:val="left"/>
              <w:rPr>
                <w:color w:val="auto"/>
                <w:szCs w:val="21"/>
                <w:highlight w:val="none"/>
              </w:rPr>
            </w:pPr>
          </w:p>
        </w:tc>
        <w:tc>
          <w:tcPr>
            <w:tcW w:w="705" w:type="dxa"/>
            <w:vAlign w:val="center"/>
          </w:tcPr>
          <w:p w14:paraId="39C7F16B">
            <w:pPr>
              <w:jc w:val="center"/>
              <w:rPr>
                <w:rFonts w:hint="default" w:eastAsia="宋体"/>
                <w:color w:val="auto"/>
                <w:szCs w:val="21"/>
                <w:highlight w:val="none"/>
                <w:lang w:val="en-US" w:eastAsia="zh-CN"/>
              </w:rPr>
            </w:pPr>
            <w:r>
              <w:rPr>
                <w:rFonts w:hint="eastAsia"/>
                <w:color w:val="auto"/>
                <w:szCs w:val="21"/>
                <w:highlight w:val="none"/>
                <w:lang w:val="en-US" w:eastAsia="zh-CN"/>
              </w:rPr>
              <w:t>东南</w:t>
            </w:r>
          </w:p>
        </w:tc>
        <w:tc>
          <w:tcPr>
            <w:tcW w:w="772" w:type="dxa"/>
            <w:vAlign w:val="center"/>
          </w:tcPr>
          <w:p w14:paraId="70D8E6DC">
            <w:pPr>
              <w:jc w:val="center"/>
              <w:rPr>
                <w:rFonts w:hint="default" w:eastAsia="宋体"/>
                <w:color w:val="auto"/>
                <w:szCs w:val="21"/>
                <w:highlight w:val="none"/>
                <w:lang w:val="en-US" w:eastAsia="zh-CN"/>
              </w:rPr>
            </w:pPr>
            <w:r>
              <w:rPr>
                <w:rFonts w:hint="eastAsia"/>
                <w:color w:val="auto"/>
                <w:szCs w:val="21"/>
                <w:highlight w:val="none"/>
                <w:lang w:val="en-US" w:eastAsia="zh-CN"/>
              </w:rPr>
              <w:t>1144</w:t>
            </w:r>
          </w:p>
        </w:tc>
      </w:tr>
      <w:tr w14:paraId="7C92B7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1FE8EE98">
            <w:pPr>
              <w:jc w:val="center"/>
              <w:rPr>
                <w:rFonts w:hint="eastAsia" w:eastAsia="宋体"/>
                <w:color w:val="auto"/>
                <w:szCs w:val="21"/>
                <w:highlight w:val="none"/>
                <w:lang w:eastAsia="zh-CN"/>
              </w:rPr>
            </w:pPr>
            <w:r>
              <w:rPr>
                <w:rFonts w:hint="eastAsia"/>
                <w:color w:val="auto"/>
                <w:szCs w:val="21"/>
                <w:highlight w:val="none"/>
                <w:lang w:eastAsia="zh-CN"/>
              </w:rPr>
              <w:t>马架子</w:t>
            </w:r>
          </w:p>
        </w:tc>
        <w:tc>
          <w:tcPr>
            <w:tcW w:w="1386" w:type="dxa"/>
            <w:vAlign w:val="center"/>
          </w:tcPr>
          <w:p w14:paraId="3E27C5D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120°38′26.118″</w:t>
            </w:r>
          </w:p>
        </w:tc>
        <w:tc>
          <w:tcPr>
            <w:tcW w:w="1305" w:type="dxa"/>
            <w:vAlign w:val="center"/>
          </w:tcPr>
          <w:p w14:paraId="4E02705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41°50′53.695″</w:t>
            </w:r>
          </w:p>
        </w:tc>
        <w:tc>
          <w:tcPr>
            <w:tcW w:w="660" w:type="dxa"/>
            <w:vMerge w:val="continue"/>
            <w:vAlign w:val="center"/>
          </w:tcPr>
          <w:p w14:paraId="2104621A">
            <w:pPr>
              <w:jc w:val="center"/>
              <w:rPr>
                <w:color w:val="auto"/>
                <w:szCs w:val="21"/>
                <w:highlight w:val="none"/>
              </w:rPr>
            </w:pPr>
          </w:p>
        </w:tc>
        <w:tc>
          <w:tcPr>
            <w:tcW w:w="1470" w:type="dxa"/>
            <w:vAlign w:val="center"/>
          </w:tcPr>
          <w:p w14:paraId="5EC878D3">
            <w:pPr>
              <w:jc w:val="center"/>
              <w:rPr>
                <w:color w:val="auto"/>
                <w:szCs w:val="21"/>
                <w:highlight w:val="none"/>
              </w:rPr>
            </w:pPr>
            <w:r>
              <w:rPr>
                <w:rFonts w:hint="eastAsia"/>
                <w:color w:val="auto"/>
                <w:szCs w:val="21"/>
                <w:highlight w:val="none"/>
                <w:lang w:val="en-US" w:eastAsia="zh-CN"/>
              </w:rPr>
              <w:t>52</w:t>
            </w:r>
            <w:r>
              <w:rPr>
                <w:color w:val="auto"/>
                <w:szCs w:val="21"/>
                <w:highlight w:val="none"/>
              </w:rPr>
              <w:t>户/</w:t>
            </w:r>
            <w:r>
              <w:rPr>
                <w:rFonts w:hint="eastAsia"/>
                <w:color w:val="auto"/>
                <w:szCs w:val="21"/>
                <w:highlight w:val="none"/>
                <w:lang w:val="en-US" w:eastAsia="zh-CN"/>
              </w:rPr>
              <w:t>172</w:t>
            </w:r>
            <w:r>
              <w:rPr>
                <w:color w:val="auto"/>
                <w:szCs w:val="21"/>
                <w:highlight w:val="none"/>
              </w:rPr>
              <w:t>人</w:t>
            </w:r>
          </w:p>
        </w:tc>
        <w:tc>
          <w:tcPr>
            <w:tcW w:w="1260" w:type="dxa"/>
            <w:vMerge w:val="continue"/>
            <w:vAlign w:val="center"/>
          </w:tcPr>
          <w:p w14:paraId="5093AF04">
            <w:pPr>
              <w:widowControl/>
              <w:jc w:val="left"/>
              <w:rPr>
                <w:color w:val="auto"/>
                <w:szCs w:val="21"/>
                <w:highlight w:val="none"/>
              </w:rPr>
            </w:pPr>
          </w:p>
        </w:tc>
        <w:tc>
          <w:tcPr>
            <w:tcW w:w="705" w:type="dxa"/>
            <w:vAlign w:val="center"/>
          </w:tcPr>
          <w:p w14:paraId="3B4D5C75">
            <w:pPr>
              <w:jc w:val="center"/>
              <w:rPr>
                <w:rFonts w:hint="eastAsia" w:eastAsia="宋体"/>
                <w:color w:val="auto"/>
                <w:szCs w:val="21"/>
                <w:highlight w:val="none"/>
                <w:lang w:eastAsia="zh-CN"/>
              </w:rPr>
            </w:pPr>
            <w:r>
              <w:rPr>
                <w:rFonts w:hint="eastAsia"/>
                <w:color w:val="auto"/>
                <w:szCs w:val="21"/>
                <w:highlight w:val="none"/>
                <w:lang w:eastAsia="zh-CN"/>
              </w:rPr>
              <w:t>东南</w:t>
            </w:r>
          </w:p>
        </w:tc>
        <w:tc>
          <w:tcPr>
            <w:tcW w:w="772" w:type="dxa"/>
            <w:vAlign w:val="center"/>
          </w:tcPr>
          <w:p w14:paraId="733C6D7F">
            <w:pPr>
              <w:jc w:val="center"/>
              <w:rPr>
                <w:rFonts w:hint="default" w:eastAsia="宋体"/>
                <w:color w:val="auto"/>
                <w:szCs w:val="21"/>
                <w:highlight w:val="none"/>
                <w:lang w:val="en-US" w:eastAsia="zh-CN"/>
              </w:rPr>
            </w:pPr>
            <w:r>
              <w:rPr>
                <w:rFonts w:hint="eastAsia"/>
                <w:color w:val="auto"/>
                <w:szCs w:val="21"/>
                <w:highlight w:val="none"/>
                <w:lang w:val="en-US" w:eastAsia="zh-CN"/>
              </w:rPr>
              <w:t>1243</w:t>
            </w:r>
          </w:p>
        </w:tc>
      </w:tr>
      <w:tr w14:paraId="5735788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6AAF87B3">
            <w:pPr>
              <w:widowControl/>
              <w:jc w:val="center"/>
              <w:rPr>
                <w:rFonts w:hint="eastAsia" w:eastAsia="宋体"/>
                <w:color w:val="auto"/>
                <w:szCs w:val="21"/>
                <w:highlight w:val="none"/>
                <w:lang w:eastAsia="zh-CN"/>
              </w:rPr>
            </w:pPr>
            <w:r>
              <w:rPr>
                <w:rFonts w:hint="eastAsia"/>
                <w:color w:val="auto"/>
                <w:szCs w:val="21"/>
                <w:highlight w:val="none"/>
                <w:lang w:eastAsia="zh-CN"/>
              </w:rPr>
              <w:t>兴隆洼</w:t>
            </w:r>
          </w:p>
        </w:tc>
        <w:tc>
          <w:tcPr>
            <w:tcW w:w="1386" w:type="dxa"/>
            <w:vAlign w:val="center"/>
          </w:tcPr>
          <w:p w14:paraId="115296D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120°39′13.394″</w:t>
            </w:r>
          </w:p>
        </w:tc>
        <w:tc>
          <w:tcPr>
            <w:tcW w:w="1305" w:type="dxa"/>
            <w:vAlign w:val="center"/>
          </w:tcPr>
          <w:p w14:paraId="381531C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41°50′57.094″</w:t>
            </w:r>
          </w:p>
        </w:tc>
        <w:tc>
          <w:tcPr>
            <w:tcW w:w="660" w:type="dxa"/>
            <w:vMerge w:val="continue"/>
            <w:vAlign w:val="center"/>
          </w:tcPr>
          <w:p w14:paraId="79E90374">
            <w:pPr>
              <w:jc w:val="center"/>
              <w:rPr>
                <w:color w:val="auto"/>
                <w:szCs w:val="21"/>
                <w:highlight w:val="none"/>
              </w:rPr>
            </w:pPr>
          </w:p>
        </w:tc>
        <w:tc>
          <w:tcPr>
            <w:tcW w:w="1470" w:type="dxa"/>
            <w:vAlign w:val="center"/>
          </w:tcPr>
          <w:p w14:paraId="4E169BBA">
            <w:pPr>
              <w:jc w:val="center"/>
              <w:rPr>
                <w:color w:val="auto"/>
                <w:szCs w:val="21"/>
                <w:highlight w:val="none"/>
              </w:rPr>
            </w:pPr>
            <w:r>
              <w:rPr>
                <w:rFonts w:hint="eastAsia"/>
                <w:color w:val="auto"/>
                <w:szCs w:val="21"/>
                <w:highlight w:val="none"/>
                <w:lang w:val="en-US" w:eastAsia="zh-CN"/>
              </w:rPr>
              <w:t>128</w:t>
            </w:r>
            <w:r>
              <w:rPr>
                <w:color w:val="auto"/>
                <w:szCs w:val="21"/>
                <w:highlight w:val="none"/>
              </w:rPr>
              <w:t>户/</w:t>
            </w:r>
            <w:r>
              <w:rPr>
                <w:rFonts w:hint="eastAsia"/>
                <w:color w:val="auto"/>
                <w:szCs w:val="21"/>
                <w:highlight w:val="none"/>
                <w:lang w:val="en-US" w:eastAsia="zh-CN"/>
              </w:rPr>
              <w:t>409</w:t>
            </w:r>
            <w:r>
              <w:rPr>
                <w:color w:val="auto"/>
                <w:szCs w:val="21"/>
                <w:highlight w:val="none"/>
              </w:rPr>
              <w:t>人</w:t>
            </w:r>
          </w:p>
        </w:tc>
        <w:tc>
          <w:tcPr>
            <w:tcW w:w="1260" w:type="dxa"/>
            <w:vMerge w:val="continue"/>
            <w:vAlign w:val="center"/>
          </w:tcPr>
          <w:p w14:paraId="5269D42C">
            <w:pPr>
              <w:widowControl/>
              <w:jc w:val="left"/>
              <w:rPr>
                <w:color w:val="auto"/>
                <w:szCs w:val="21"/>
                <w:highlight w:val="none"/>
              </w:rPr>
            </w:pPr>
          </w:p>
        </w:tc>
        <w:tc>
          <w:tcPr>
            <w:tcW w:w="705" w:type="dxa"/>
            <w:vAlign w:val="center"/>
          </w:tcPr>
          <w:p w14:paraId="75991B23">
            <w:pPr>
              <w:jc w:val="center"/>
              <w:rPr>
                <w:rFonts w:hint="eastAsia" w:eastAsia="宋体"/>
                <w:color w:val="auto"/>
                <w:szCs w:val="21"/>
                <w:highlight w:val="none"/>
                <w:lang w:eastAsia="zh-CN"/>
              </w:rPr>
            </w:pPr>
            <w:r>
              <w:rPr>
                <w:rFonts w:hint="eastAsia"/>
                <w:color w:val="auto"/>
                <w:szCs w:val="21"/>
                <w:highlight w:val="none"/>
                <w:lang w:eastAsia="zh-CN"/>
              </w:rPr>
              <w:t>东南</w:t>
            </w:r>
          </w:p>
        </w:tc>
        <w:tc>
          <w:tcPr>
            <w:tcW w:w="772" w:type="dxa"/>
            <w:vAlign w:val="center"/>
          </w:tcPr>
          <w:p w14:paraId="1A43D9AD">
            <w:pPr>
              <w:jc w:val="center"/>
              <w:rPr>
                <w:rFonts w:hint="default" w:eastAsia="宋体"/>
                <w:color w:val="auto"/>
                <w:szCs w:val="21"/>
                <w:highlight w:val="none"/>
                <w:lang w:val="en-US" w:eastAsia="zh-CN"/>
              </w:rPr>
            </w:pPr>
            <w:r>
              <w:rPr>
                <w:rFonts w:hint="eastAsia"/>
                <w:color w:val="auto"/>
                <w:szCs w:val="21"/>
                <w:highlight w:val="none"/>
                <w:lang w:val="en-US" w:eastAsia="zh-CN"/>
              </w:rPr>
              <w:t>1953</w:t>
            </w:r>
          </w:p>
        </w:tc>
      </w:tr>
      <w:tr w14:paraId="5FAFA04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56054ABD">
            <w:pPr>
              <w:widowControl/>
              <w:jc w:val="center"/>
              <w:rPr>
                <w:rFonts w:hint="eastAsia" w:eastAsia="宋体"/>
                <w:color w:val="auto"/>
                <w:szCs w:val="21"/>
                <w:highlight w:val="none"/>
                <w:lang w:eastAsia="zh-CN"/>
              </w:rPr>
            </w:pPr>
            <w:r>
              <w:rPr>
                <w:rFonts w:hint="eastAsia"/>
                <w:color w:val="auto"/>
                <w:szCs w:val="21"/>
                <w:highlight w:val="none"/>
                <w:lang w:eastAsia="zh-CN"/>
              </w:rPr>
              <w:t>姜家沟</w:t>
            </w:r>
          </w:p>
        </w:tc>
        <w:tc>
          <w:tcPr>
            <w:tcW w:w="1386" w:type="dxa"/>
            <w:vAlign w:val="center"/>
          </w:tcPr>
          <w:p w14:paraId="505D3FB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120°37′31.890″</w:t>
            </w:r>
          </w:p>
        </w:tc>
        <w:tc>
          <w:tcPr>
            <w:tcW w:w="1305" w:type="dxa"/>
            <w:vAlign w:val="center"/>
          </w:tcPr>
          <w:p w14:paraId="5029506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41°51′7.754″</w:t>
            </w:r>
          </w:p>
        </w:tc>
        <w:tc>
          <w:tcPr>
            <w:tcW w:w="660" w:type="dxa"/>
            <w:vMerge w:val="continue"/>
            <w:vAlign w:val="center"/>
          </w:tcPr>
          <w:p w14:paraId="64718319">
            <w:pPr>
              <w:jc w:val="center"/>
              <w:rPr>
                <w:color w:val="auto"/>
                <w:szCs w:val="21"/>
                <w:highlight w:val="none"/>
              </w:rPr>
            </w:pPr>
          </w:p>
        </w:tc>
        <w:tc>
          <w:tcPr>
            <w:tcW w:w="1470" w:type="dxa"/>
            <w:vAlign w:val="center"/>
          </w:tcPr>
          <w:p w14:paraId="7E764CB5">
            <w:pPr>
              <w:jc w:val="center"/>
              <w:rPr>
                <w:rFonts w:hint="eastAsia"/>
                <w:color w:val="auto"/>
                <w:szCs w:val="21"/>
                <w:highlight w:val="none"/>
              </w:rPr>
            </w:pPr>
            <w:r>
              <w:rPr>
                <w:rFonts w:hint="eastAsia"/>
                <w:color w:val="auto"/>
                <w:szCs w:val="21"/>
                <w:highlight w:val="none"/>
                <w:lang w:val="en-US" w:eastAsia="zh-CN"/>
              </w:rPr>
              <w:t>35</w:t>
            </w:r>
            <w:r>
              <w:rPr>
                <w:color w:val="auto"/>
                <w:szCs w:val="21"/>
                <w:highlight w:val="none"/>
              </w:rPr>
              <w:t>户/</w:t>
            </w:r>
            <w:r>
              <w:rPr>
                <w:rFonts w:hint="eastAsia"/>
                <w:color w:val="auto"/>
                <w:szCs w:val="21"/>
                <w:highlight w:val="none"/>
                <w:lang w:val="en-US" w:eastAsia="zh-CN"/>
              </w:rPr>
              <w:t>213</w:t>
            </w:r>
            <w:r>
              <w:rPr>
                <w:color w:val="auto"/>
                <w:szCs w:val="21"/>
                <w:highlight w:val="none"/>
              </w:rPr>
              <w:t>人</w:t>
            </w:r>
          </w:p>
        </w:tc>
        <w:tc>
          <w:tcPr>
            <w:tcW w:w="1260" w:type="dxa"/>
            <w:vMerge w:val="continue"/>
            <w:vAlign w:val="center"/>
          </w:tcPr>
          <w:p w14:paraId="27DBAB17">
            <w:pPr>
              <w:widowControl/>
              <w:jc w:val="left"/>
              <w:rPr>
                <w:color w:val="auto"/>
                <w:szCs w:val="21"/>
                <w:highlight w:val="none"/>
              </w:rPr>
            </w:pPr>
          </w:p>
        </w:tc>
        <w:tc>
          <w:tcPr>
            <w:tcW w:w="705" w:type="dxa"/>
            <w:vAlign w:val="center"/>
          </w:tcPr>
          <w:p w14:paraId="71F54337">
            <w:pPr>
              <w:jc w:val="center"/>
              <w:rPr>
                <w:rFonts w:hint="eastAsia" w:eastAsia="宋体"/>
                <w:color w:val="auto"/>
                <w:szCs w:val="21"/>
                <w:highlight w:val="none"/>
                <w:lang w:eastAsia="zh-CN"/>
              </w:rPr>
            </w:pPr>
            <w:r>
              <w:rPr>
                <w:rFonts w:hint="eastAsia"/>
                <w:color w:val="auto"/>
                <w:szCs w:val="21"/>
                <w:highlight w:val="none"/>
                <w:lang w:eastAsia="zh-CN"/>
              </w:rPr>
              <w:t>南</w:t>
            </w:r>
          </w:p>
        </w:tc>
        <w:tc>
          <w:tcPr>
            <w:tcW w:w="772" w:type="dxa"/>
            <w:vAlign w:val="center"/>
          </w:tcPr>
          <w:p w14:paraId="77D36FEC">
            <w:pPr>
              <w:jc w:val="center"/>
              <w:rPr>
                <w:rFonts w:hint="default" w:eastAsia="宋体"/>
                <w:color w:val="auto"/>
                <w:szCs w:val="21"/>
                <w:highlight w:val="none"/>
                <w:lang w:val="en-US" w:eastAsia="zh-CN"/>
              </w:rPr>
            </w:pPr>
            <w:r>
              <w:rPr>
                <w:rFonts w:hint="eastAsia"/>
                <w:color w:val="auto"/>
                <w:szCs w:val="21"/>
                <w:highlight w:val="none"/>
                <w:lang w:val="en-US" w:eastAsia="zh-CN"/>
              </w:rPr>
              <w:t>490</w:t>
            </w:r>
          </w:p>
        </w:tc>
      </w:tr>
      <w:tr w14:paraId="75D2824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734F7B5D">
            <w:pPr>
              <w:widowControl/>
              <w:jc w:val="center"/>
              <w:rPr>
                <w:rFonts w:hint="eastAsia" w:eastAsia="宋体"/>
                <w:color w:val="auto"/>
                <w:szCs w:val="21"/>
                <w:highlight w:val="none"/>
                <w:lang w:eastAsia="zh-CN"/>
              </w:rPr>
            </w:pPr>
            <w:r>
              <w:rPr>
                <w:rFonts w:hint="eastAsia"/>
                <w:color w:val="auto"/>
                <w:szCs w:val="21"/>
                <w:highlight w:val="none"/>
                <w:lang w:eastAsia="zh-CN"/>
              </w:rPr>
              <w:t>大巴里村</w:t>
            </w:r>
          </w:p>
        </w:tc>
        <w:tc>
          <w:tcPr>
            <w:tcW w:w="1386" w:type="dxa"/>
            <w:vAlign w:val="center"/>
          </w:tcPr>
          <w:p w14:paraId="7B421B84">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120°37′6.939″</w:t>
            </w:r>
          </w:p>
        </w:tc>
        <w:tc>
          <w:tcPr>
            <w:tcW w:w="1305" w:type="dxa"/>
            <w:vAlign w:val="center"/>
          </w:tcPr>
          <w:p w14:paraId="5114D9D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41°50′35.619″</w:t>
            </w:r>
          </w:p>
        </w:tc>
        <w:tc>
          <w:tcPr>
            <w:tcW w:w="660" w:type="dxa"/>
            <w:vMerge w:val="continue"/>
            <w:vAlign w:val="center"/>
          </w:tcPr>
          <w:p w14:paraId="616204E4">
            <w:pPr>
              <w:jc w:val="center"/>
              <w:rPr>
                <w:color w:val="auto"/>
                <w:szCs w:val="21"/>
                <w:highlight w:val="none"/>
              </w:rPr>
            </w:pPr>
          </w:p>
        </w:tc>
        <w:tc>
          <w:tcPr>
            <w:tcW w:w="1470" w:type="dxa"/>
            <w:vAlign w:val="center"/>
          </w:tcPr>
          <w:p w14:paraId="12AC4171">
            <w:pPr>
              <w:jc w:val="center"/>
              <w:rPr>
                <w:rFonts w:hint="eastAsia"/>
                <w:color w:val="auto"/>
                <w:szCs w:val="21"/>
                <w:highlight w:val="none"/>
              </w:rPr>
            </w:pPr>
            <w:r>
              <w:rPr>
                <w:rFonts w:hint="eastAsia"/>
                <w:color w:val="auto"/>
                <w:szCs w:val="21"/>
                <w:highlight w:val="none"/>
                <w:lang w:val="en-US" w:eastAsia="zh-CN"/>
              </w:rPr>
              <w:t>45</w:t>
            </w:r>
            <w:r>
              <w:rPr>
                <w:color w:val="auto"/>
                <w:szCs w:val="21"/>
                <w:highlight w:val="none"/>
              </w:rPr>
              <w:t>户/</w:t>
            </w:r>
            <w:r>
              <w:rPr>
                <w:rFonts w:hint="eastAsia"/>
                <w:color w:val="auto"/>
                <w:szCs w:val="21"/>
                <w:highlight w:val="none"/>
                <w:lang w:val="en-US" w:eastAsia="zh-CN"/>
              </w:rPr>
              <w:t>146</w:t>
            </w:r>
            <w:r>
              <w:rPr>
                <w:color w:val="auto"/>
                <w:szCs w:val="21"/>
                <w:highlight w:val="none"/>
              </w:rPr>
              <w:t>人</w:t>
            </w:r>
          </w:p>
        </w:tc>
        <w:tc>
          <w:tcPr>
            <w:tcW w:w="1260" w:type="dxa"/>
            <w:vMerge w:val="continue"/>
            <w:vAlign w:val="center"/>
          </w:tcPr>
          <w:p w14:paraId="2CC4E771">
            <w:pPr>
              <w:widowControl/>
              <w:jc w:val="left"/>
              <w:rPr>
                <w:color w:val="auto"/>
                <w:szCs w:val="21"/>
                <w:highlight w:val="none"/>
              </w:rPr>
            </w:pPr>
          </w:p>
        </w:tc>
        <w:tc>
          <w:tcPr>
            <w:tcW w:w="705" w:type="dxa"/>
            <w:vAlign w:val="center"/>
          </w:tcPr>
          <w:p w14:paraId="4FCD6B6B">
            <w:pPr>
              <w:jc w:val="center"/>
              <w:rPr>
                <w:rFonts w:hint="eastAsia" w:eastAsia="宋体"/>
                <w:color w:val="auto"/>
                <w:szCs w:val="21"/>
                <w:highlight w:val="none"/>
                <w:lang w:eastAsia="zh-CN"/>
              </w:rPr>
            </w:pPr>
            <w:r>
              <w:rPr>
                <w:rFonts w:hint="eastAsia"/>
                <w:color w:val="auto"/>
                <w:szCs w:val="21"/>
                <w:highlight w:val="none"/>
                <w:lang w:eastAsia="zh-CN"/>
              </w:rPr>
              <w:t>南</w:t>
            </w:r>
          </w:p>
        </w:tc>
        <w:tc>
          <w:tcPr>
            <w:tcW w:w="772" w:type="dxa"/>
            <w:vAlign w:val="center"/>
          </w:tcPr>
          <w:p w14:paraId="47B47293">
            <w:pPr>
              <w:jc w:val="center"/>
              <w:rPr>
                <w:rFonts w:hint="default" w:eastAsia="宋体"/>
                <w:color w:val="auto"/>
                <w:szCs w:val="21"/>
                <w:highlight w:val="none"/>
                <w:lang w:val="en-US" w:eastAsia="zh-CN"/>
              </w:rPr>
            </w:pPr>
            <w:r>
              <w:rPr>
                <w:rFonts w:hint="eastAsia"/>
                <w:color w:val="auto"/>
                <w:szCs w:val="21"/>
                <w:highlight w:val="none"/>
                <w:lang w:val="en-US" w:eastAsia="zh-CN"/>
              </w:rPr>
              <w:t>1780</w:t>
            </w:r>
          </w:p>
        </w:tc>
      </w:tr>
      <w:tr w14:paraId="4270C9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7D60C5B6">
            <w:pPr>
              <w:widowControl/>
              <w:jc w:val="center"/>
              <w:rPr>
                <w:rFonts w:hint="eastAsia" w:eastAsia="宋体"/>
                <w:color w:val="auto"/>
                <w:szCs w:val="21"/>
                <w:highlight w:val="none"/>
                <w:lang w:eastAsia="zh-CN"/>
              </w:rPr>
            </w:pPr>
            <w:r>
              <w:rPr>
                <w:rFonts w:hint="eastAsia"/>
                <w:color w:val="auto"/>
                <w:szCs w:val="21"/>
                <w:highlight w:val="none"/>
                <w:lang w:eastAsia="zh-CN"/>
              </w:rPr>
              <w:t>下扣卜营子</w:t>
            </w:r>
          </w:p>
        </w:tc>
        <w:tc>
          <w:tcPr>
            <w:tcW w:w="1386" w:type="dxa"/>
            <w:vAlign w:val="center"/>
          </w:tcPr>
          <w:p w14:paraId="6E0A85B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120°36′23.681″</w:t>
            </w:r>
          </w:p>
        </w:tc>
        <w:tc>
          <w:tcPr>
            <w:tcW w:w="1305" w:type="dxa"/>
            <w:vAlign w:val="center"/>
          </w:tcPr>
          <w:p w14:paraId="1903C88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41°50′54.776″</w:t>
            </w:r>
          </w:p>
        </w:tc>
        <w:tc>
          <w:tcPr>
            <w:tcW w:w="660" w:type="dxa"/>
            <w:vMerge w:val="continue"/>
            <w:vAlign w:val="center"/>
          </w:tcPr>
          <w:p w14:paraId="74078074">
            <w:pPr>
              <w:jc w:val="center"/>
              <w:rPr>
                <w:color w:val="auto"/>
                <w:szCs w:val="21"/>
                <w:highlight w:val="none"/>
              </w:rPr>
            </w:pPr>
          </w:p>
        </w:tc>
        <w:tc>
          <w:tcPr>
            <w:tcW w:w="1470" w:type="dxa"/>
            <w:vAlign w:val="center"/>
          </w:tcPr>
          <w:p w14:paraId="76A0D579">
            <w:pPr>
              <w:jc w:val="center"/>
              <w:rPr>
                <w:rFonts w:hint="eastAsia"/>
                <w:color w:val="auto"/>
                <w:szCs w:val="21"/>
                <w:highlight w:val="none"/>
              </w:rPr>
            </w:pPr>
            <w:r>
              <w:rPr>
                <w:rFonts w:hint="eastAsia"/>
                <w:color w:val="auto"/>
                <w:szCs w:val="21"/>
                <w:highlight w:val="none"/>
                <w:lang w:val="en-US" w:eastAsia="zh-CN"/>
              </w:rPr>
              <w:t>83</w:t>
            </w:r>
            <w:r>
              <w:rPr>
                <w:color w:val="auto"/>
                <w:szCs w:val="21"/>
                <w:highlight w:val="none"/>
              </w:rPr>
              <w:t>户/</w:t>
            </w:r>
            <w:r>
              <w:rPr>
                <w:rFonts w:hint="eastAsia"/>
                <w:color w:val="auto"/>
                <w:szCs w:val="21"/>
                <w:highlight w:val="none"/>
                <w:lang w:val="en-US" w:eastAsia="zh-CN"/>
              </w:rPr>
              <w:t>258</w:t>
            </w:r>
            <w:r>
              <w:rPr>
                <w:color w:val="auto"/>
                <w:szCs w:val="21"/>
                <w:highlight w:val="none"/>
              </w:rPr>
              <w:t>人</w:t>
            </w:r>
          </w:p>
        </w:tc>
        <w:tc>
          <w:tcPr>
            <w:tcW w:w="1260" w:type="dxa"/>
            <w:vMerge w:val="continue"/>
            <w:vAlign w:val="center"/>
          </w:tcPr>
          <w:p w14:paraId="4953E208">
            <w:pPr>
              <w:widowControl/>
              <w:jc w:val="left"/>
              <w:rPr>
                <w:color w:val="auto"/>
                <w:szCs w:val="21"/>
                <w:highlight w:val="none"/>
              </w:rPr>
            </w:pPr>
          </w:p>
        </w:tc>
        <w:tc>
          <w:tcPr>
            <w:tcW w:w="705" w:type="dxa"/>
            <w:vAlign w:val="center"/>
          </w:tcPr>
          <w:p w14:paraId="3F4F7A86">
            <w:pPr>
              <w:jc w:val="center"/>
              <w:rPr>
                <w:rFonts w:hint="eastAsia" w:eastAsia="宋体"/>
                <w:color w:val="auto"/>
                <w:szCs w:val="21"/>
                <w:highlight w:val="none"/>
                <w:lang w:eastAsia="zh-CN"/>
              </w:rPr>
            </w:pPr>
            <w:r>
              <w:rPr>
                <w:rFonts w:hint="eastAsia"/>
                <w:color w:val="auto"/>
                <w:szCs w:val="21"/>
                <w:highlight w:val="none"/>
                <w:lang w:eastAsia="zh-CN"/>
              </w:rPr>
              <w:t>西南</w:t>
            </w:r>
          </w:p>
        </w:tc>
        <w:tc>
          <w:tcPr>
            <w:tcW w:w="772" w:type="dxa"/>
            <w:vAlign w:val="center"/>
          </w:tcPr>
          <w:p w14:paraId="62D7EEF9">
            <w:pPr>
              <w:jc w:val="center"/>
              <w:rPr>
                <w:rFonts w:hint="default" w:eastAsia="宋体"/>
                <w:color w:val="auto"/>
                <w:szCs w:val="21"/>
                <w:highlight w:val="none"/>
                <w:lang w:val="en-US" w:eastAsia="zh-CN"/>
              </w:rPr>
            </w:pPr>
            <w:r>
              <w:rPr>
                <w:rFonts w:hint="eastAsia"/>
                <w:color w:val="auto"/>
                <w:szCs w:val="21"/>
                <w:highlight w:val="none"/>
                <w:lang w:val="en-US" w:eastAsia="zh-CN"/>
              </w:rPr>
              <w:t>2021</w:t>
            </w:r>
          </w:p>
        </w:tc>
      </w:tr>
      <w:tr w14:paraId="5F12B1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54382074">
            <w:pPr>
              <w:widowControl/>
              <w:jc w:val="center"/>
              <w:rPr>
                <w:rFonts w:hint="eastAsia" w:eastAsia="宋体"/>
                <w:color w:val="auto"/>
                <w:szCs w:val="21"/>
                <w:highlight w:val="none"/>
                <w:lang w:eastAsia="zh-CN"/>
              </w:rPr>
            </w:pPr>
            <w:r>
              <w:rPr>
                <w:rFonts w:hint="eastAsia"/>
                <w:color w:val="auto"/>
                <w:szCs w:val="21"/>
                <w:highlight w:val="none"/>
                <w:lang w:eastAsia="zh-CN"/>
              </w:rPr>
              <w:t>上扣卜营子</w:t>
            </w:r>
          </w:p>
        </w:tc>
        <w:tc>
          <w:tcPr>
            <w:tcW w:w="1386" w:type="dxa"/>
            <w:vAlign w:val="center"/>
          </w:tcPr>
          <w:p w14:paraId="53DD66E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120°35′56.799″</w:t>
            </w:r>
          </w:p>
        </w:tc>
        <w:tc>
          <w:tcPr>
            <w:tcW w:w="1305" w:type="dxa"/>
            <w:vAlign w:val="center"/>
          </w:tcPr>
          <w:p w14:paraId="5803C1E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41°51′13.470″</w:t>
            </w:r>
          </w:p>
        </w:tc>
        <w:tc>
          <w:tcPr>
            <w:tcW w:w="660" w:type="dxa"/>
            <w:vMerge w:val="continue"/>
            <w:vAlign w:val="center"/>
          </w:tcPr>
          <w:p w14:paraId="7A9EDD42">
            <w:pPr>
              <w:jc w:val="center"/>
              <w:rPr>
                <w:color w:val="auto"/>
                <w:szCs w:val="21"/>
                <w:highlight w:val="none"/>
              </w:rPr>
            </w:pPr>
          </w:p>
        </w:tc>
        <w:tc>
          <w:tcPr>
            <w:tcW w:w="1470" w:type="dxa"/>
            <w:vAlign w:val="center"/>
          </w:tcPr>
          <w:p w14:paraId="578A21FE">
            <w:pPr>
              <w:jc w:val="center"/>
              <w:rPr>
                <w:rFonts w:hint="eastAsia"/>
                <w:color w:val="auto"/>
                <w:szCs w:val="21"/>
                <w:highlight w:val="none"/>
              </w:rPr>
            </w:pPr>
            <w:r>
              <w:rPr>
                <w:rFonts w:hint="eastAsia"/>
                <w:color w:val="auto"/>
                <w:szCs w:val="21"/>
                <w:highlight w:val="none"/>
                <w:lang w:val="en-US" w:eastAsia="zh-CN"/>
              </w:rPr>
              <w:t>39</w:t>
            </w:r>
            <w:r>
              <w:rPr>
                <w:color w:val="auto"/>
                <w:szCs w:val="21"/>
                <w:highlight w:val="none"/>
              </w:rPr>
              <w:t>户/</w:t>
            </w:r>
            <w:r>
              <w:rPr>
                <w:rFonts w:hint="eastAsia"/>
                <w:color w:val="auto"/>
                <w:szCs w:val="21"/>
                <w:highlight w:val="none"/>
                <w:lang w:val="en-US" w:eastAsia="zh-CN"/>
              </w:rPr>
              <w:t>134</w:t>
            </w:r>
            <w:r>
              <w:rPr>
                <w:color w:val="auto"/>
                <w:szCs w:val="21"/>
                <w:highlight w:val="none"/>
              </w:rPr>
              <w:t>人</w:t>
            </w:r>
          </w:p>
        </w:tc>
        <w:tc>
          <w:tcPr>
            <w:tcW w:w="1260" w:type="dxa"/>
            <w:vMerge w:val="continue"/>
            <w:vAlign w:val="center"/>
          </w:tcPr>
          <w:p w14:paraId="23F0EED1">
            <w:pPr>
              <w:widowControl/>
              <w:jc w:val="left"/>
              <w:rPr>
                <w:color w:val="auto"/>
                <w:szCs w:val="21"/>
                <w:highlight w:val="none"/>
              </w:rPr>
            </w:pPr>
          </w:p>
        </w:tc>
        <w:tc>
          <w:tcPr>
            <w:tcW w:w="705" w:type="dxa"/>
            <w:vAlign w:val="center"/>
          </w:tcPr>
          <w:p w14:paraId="0EEC4C96">
            <w:pPr>
              <w:jc w:val="center"/>
              <w:rPr>
                <w:rFonts w:hint="eastAsia" w:eastAsia="宋体"/>
                <w:color w:val="auto"/>
                <w:szCs w:val="21"/>
                <w:highlight w:val="none"/>
                <w:lang w:eastAsia="zh-CN"/>
              </w:rPr>
            </w:pPr>
            <w:r>
              <w:rPr>
                <w:rFonts w:hint="eastAsia"/>
                <w:color w:val="auto"/>
                <w:szCs w:val="21"/>
                <w:highlight w:val="none"/>
                <w:lang w:eastAsia="zh-CN"/>
              </w:rPr>
              <w:t>西南</w:t>
            </w:r>
          </w:p>
        </w:tc>
        <w:tc>
          <w:tcPr>
            <w:tcW w:w="772" w:type="dxa"/>
            <w:vAlign w:val="center"/>
          </w:tcPr>
          <w:p w14:paraId="2319C2FF">
            <w:pPr>
              <w:jc w:val="center"/>
              <w:rPr>
                <w:rFonts w:hint="default" w:eastAsia="宋体"/>
                <w:color w:val="auto"/>
                <w:szCs w:val="21"/>
                <w:highlight w:val="none"/>
                <w:lang w:val="en-US" w:eastAsia="zh-CN"/>
              </w:rPr>
            </w:pPr>
            <w:r>
              <w:rPr>
                <w:rFonts w:hint="eastAsia"/>
                <w:color w:val="auto"/>
                <w:szCs w:val="21"/>
                <w:highlight w:val="none"/>
                <w:lang w:val="en-US" w:eastAsia="zh-CN"/>
              </w:rPr>
              <w:t>2220</w:t>
            </w:r>
          </w:p>
        </w:tc>
      </w:tr>
      <w:tr w14:paraId="6E72205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3CA7D181">
            <w:pPr>
              <w:widowControl/>
              <w:jc w:val="center"/>
              <w:rPr>
                <w:rFonts w:hint="eastAsia" w:eastAsia="宋体"/>
                <w:color w:val="auto"/>
                <w:szCs w:val="21"/>
                <w:highlight w:val="none"/>
                <w:lang w:eastAsia="zh-CN"/>
              </w:rPr>
            </w:pPr>
            <w:r>
              <w:rPr>
                <w:rFonts w:hint="eastAsia"/>
                <w:color w:val="auto"/>
                <w:szCs w:val="21"/>
                <w:highlight w:val="none"/>
                <w:lang w:eastAsia="zh-CN"/>
              </w:rPr>
              <w:t>文登营子</w:t>
            </w:r>
          </w:p>
        </w:tc>
        <w:tc>
          <w:tcPr>
            <w:tcW w:w="1386" w:type="dxa"/>
            <w:vAlign w:val="center"/>
          </w:tcPr>
          <w:p w14:paraId="7D8CBCF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120°37′3.541″</w:t>
            </w:r>
          </w:p>
        </w:tc>
        <w:tc>
          <w:tcPr>
            <w:tcW w:w="1305" w:type="dxa"/>
            <w:vAlign w:val="center"/>
          </w:tcPr>
          <w:p w14:paraId="3929B24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41°52′1.518″</w:t>
            </w:r>
          </w:p>
        </w:tc>
        <w:tc>
          <w:tcPr>
            <w:tcW w:w="660" w:type="dxa"/>
            <w:vMerge w:val="continue"/>
            <w:vAlign w:val="center"/>
          </w:tcPr>
          <w:p w14:paraId="4D46EFD2">
            <w:pPr>
              <w:jc w:val="center"/>
              <w:rPr>
                <w:color w:val="auto"/>
                <w:szCs w:val="21"/>
                <w:highlight w:val="none"/>
              </w:rPr>
            </w:pPr>
          </w:p>
        </w:tc>
        <w:tc>
          <w:tcPr>
            <w:tcW w:w="1470" w:type="dxa"/>
            <w:vAlign w:val="center"/>
          </w:tcPr>
          <w:p w14:paraId="057AC1D4">
            <w:pPr>
              <w:jc w:val="both"/>
              <w:rPr>
                <w:rFonts w:hint="eastAsia"/>
                <w:color w:val="auto"/>
                <w:szCs w:val="21"/>
                <w:highlight w:val="none"/>
              </w:rPr>
            </w:pPr>
            <w:r>
              <w:rPr>
                <w:rFonts w:hint="eastAsia"/>
                <w:color w:val="auto"/>
                <w:szCs w:val="21"/>
                <w:highlight w:val="none"/>
                <w:lang w:val="en-US" w:eastAsia="zh-CN"/>
              </w:rPr>
              <w:t>36</w:t>
            </w:r>
            <w:r>
              <w:rPr>
                <w:color w:val="auto"/>
                <w:szCs w:val="21"/>
                <w:highlight w:val="none"/>
              </w:rPr>
              <w:t>户/</w:t>
            </w:r>
            <w:r>
              <w:rPr>
                <w:rFonts w:hint="eastAsia"/>
                <w:color w:val="auto"/>
                <w:szCs w:val="21"/>
                <w:highlight w:val="none"/>
                <w:lang w:val="en-US" w:eastAsia="zh-CN"/>
              </w:rPr>
              <w:t>105</w:t>
            </w:r>
            <w:r>
              <w:rPr>
                <w:color w:val="auto"/>
                <w:szCs w:val="21"/>
                <w:highlight w:val="none"/>
              </w:rPr>
              <w:t>人</w:t>
            </w:r>
          </w:p>
        </w:tc>
        <w:tc>
          <w:tcPr>
            <w:tcW w:w="1260" w:type="dxa"/>
            <w:vMerge w:val="continue"/>
            <w:vAlign w:val="center"/>
          </w:tcPr>
          <w:p w14:paraId="6D5B0495">
            <w:pPr>
              <w:widowControl/>
              <w:jc w:val="left"/>
              <w:rPr>
                <w:color w:val="auto"/>
                <w:szCs w:val="21"/>
                <w:highlight w:val="none"/>
              </w:rPr>
            </w:pPr>
          </w:p>
        </w:tc>
        <w:tc>
          <w:tcPr>
            <w:tcW w:w="705" w:type="dxa"/>
            <w:vAlign w:val="center"/>
          </w:tcPr>
          <w:p w14:paraId="605F386E">
            <w:pPr>
              <w:jc w:val="center"/>
              <w:rPr>
                <w:rFonts w:hint="eastAsia" w:eastAsia="宋体"/>
                <w:color w:val="auto"/>
                <w:szCs w:val="21"/>
                <w:highlight w:val="none"/>
                <w:lang w:eastAsia="zh-CN"/>
              </w:rPr>
            </w:pPr>
            <w:r>
              <w:rPr>
                <w:rFonts w:hint="eastAsia"/>
                <w:color w:val="auto"/>
                <w:szCs w:val="21"/>
                <w:highlight w:val="none"/>
                <w:lang w:eastAsia="zh-CN"/>
              </w:rPr>
              <w:t>西北</w:t>
            </w:r>
          </w:p>
        </w:tc>
        <w:tc>
          <w:tcPr>
            <w:tcW w:w="772" w:type="dxa"/>
            <w:vAlign w:val="center"/>
          </w:tcPr>
          <w:p w14:paraId="55F65662">
            <w:pPr>
              <w:jc w:val="center"/>
              <w:rPr>
                <w:rFonts w:hint="default" w:eastAsia="宋体"/>
                <w:color w:val="auto"/>
                <w:szCs w:val="21"/>
                <w:highlight w:val="none"/>
                <w:lang w:val="en-US" w:eastAsia="zh-CN"/>
              </w:rPr>
            </w:pPr>
            <w:r>
              <w:rPr>
                <w:rFonts w:hint="eastAsia"/>
                <w:color w:val="auto"/>
                <w:szCs w:val="21"/>
                <w:highlight w:val="none"/>
                <w:lang w:val="en-US" w:eastAsia="zh-CN"/>
              </w:rPr>
              <w:t>768</w:t>
            </w:r>
          </w:p>
        </w:tc>
      </w:tr>
      <w:tr w14:paraId="06ECAE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7F37FE04">
            <w:pPr>
              <w:widowControl/>
              <w:jc w:val="center"/>
              <w:rPr>
                <w:rFonts w:hint="eastAsia"/>
                <w:color w:val="auto"/>
                <w:szCs w:val="21"/>
                <w:highlight w:val="none"/>
                <w:lang w:eastAsia="zh-CN"/>
              </w:rPr>
            </w:pPr>
            <w:r>
              <w:rPr>
                <w:rFonts w:hint="eastAsia"/>
                <w:color w:val="auto"/>
                <w:szCs w:val="21"/>
                <w:highlight w:val="none"/>
                <w:lang w:eastAsia="zh-CN"/>
              </w:rPr>
              <w:t>矫麻子沟</w:t>
            </w:r>
          </w:p>
        </w:tc>
        <w:tc>
          <w:tcPr>
            <w:tcW w:w="1386" w:type="dxa"/>
            <w:vAlign w:val="center"/>
          </w:tcPr>
          <w:p w14:paraId="7110FC1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120°36′7.459″</w:t>
            </w:r>
          </w:p>
        </w:tc>
        <w:tc>
          <w:tcPr>
            <w:tcW w:w="1305" w:type="dxa"/>
            <w:vAlign w:val="center"/>
          </w:tcPr>
          <w:p w14:paraId="3E73B2B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41°52′20.367″</w:t>
            </w:r>
          </w:p>
        </w:tc>
        <w:tc>
          <w:tcPr>
            <w:tcW w:w="660" w:type="dxa"/>
            <w:vMerge w:val="continue"/>
            <w:vAlign w:val="center"/>
          </w:tcPr>
          <w:p w14:paraId="06CE8365">
            <w:pPr>
              <w:jc w:val="center"/>
              <w:rPr>
                <w:color w:val="auto"/>
                <w:szCs w:val="21"/>
                <w:highlight w:val="none"/>
              </w:rPr>
            </w:pPr>
          </w:p>
        </w:tc>
        <w:tc>
          <w:tcPr>
            <w:tcW w:w="1470" w:type="dxa"/>
            <w:vAlign w:val="center"/>
          </w:tcPr>
          <w:p w14:paraId="73B794CD">
            <w:pPr>
              <w:jc w:val="center"/>
              <w:rPr>
                <w:rFonts w:hint="eastAsia"/>
                <w:color w:val="auto"/>
                <w:szCs w:val="21"/>
                <w:highlight w:val="none"/>
              </w:rPr>
            </w:pPr>
            <w:r>
              <w:rPr>
                <w:rFonts w:hint="eastAsia"/>
                <w:color w:val="auto"/>
                <w:szCs w:val="21"/>
                <w:highlight w:val="none"/>
                <w:lang w:val="en-US" w:eastAsia="zh-CN"/>
              </w:rPr>
              <w:t>65</w:t>
            </w:r>
            <w:r>
              <w:rPr>
                <w:color w:val="auto"/>
                <w:szCs w:val="21"/>
                <w:highlight w:val="none"/>
              </w:rPr>
              <w:t>户/</w:t>
            </w:r>
            <w:r>
              <w:rPr>
                <w:rFonts w:hint="eastAsia"/>
                <w:color w:val="auto"/>
                <w:szCs w:val="21"/>
                <w:highlight w:val="none"/>
                <w:lang w:val="en-US" w:eastAsia="zh-CN"/>
              </w:rPr>
              <w:t>215</w:t>
            </w:r>
            <w:r>
              <w:rPr>
                <w:color w:val="auto"/>
                <w:szCs w:val="21"/>
                <w:highlight w:val="none"/>
              </w:rPr>
              <w:t>人</w:t>
            </w:r>
          </w:p>
        </w:tc>
        <w:tc>
          <w:tcPr>
            <w:tcW w:w="1260" w:type="dxa"/>
            <w:vMerge w:val="continue"/>
            <w:vAlign w:val="center"/>
          </w:tcPr>
          <w:p w14:paraId="73FA9439">
            <w:pPr>
              <w:widowControl/>
              <w:jc w:val="left"/>
              <w:rPr>
                <w:color w:val="auto"/>
                <w:szCs w:val="21"/>
                <w:highlight w:val="none"/>
              </w:rPr>
            </w:pPr>
          </w:p>
        </w:tc>
        <w:tc>
          <w:tcPr>
            <w:tcW w:w="705" w:type="dxa"/>
            <w:vAlign w:val="center"/>
          </w:tcPr>
          <w:p w14:paraId="102C085D">
            <w:pPr>
              <w:jc w:val="center"/>
              <w:rPr>
                <w:rFonts w:hint="eastAsia" w:eastAsia="宋体"/>
                <w:color w:val="auto"/>
                <w:szCs w:val="21"/>
                <w:highlight w:val="none"/>
                <w:lang w:eastAsia="zh-CN"/>
              </w:rPr>
            </w:pPr>
            <w:r>
              <w:rPr>
                <w:rFonts w:hint="eastAsia"/>
                <w:color w:val="auto"/>
                <w:szCs w:val="21"/>
                <w:highlight w:val="none"/>
                <w:lang w:eastAsia="zh-CN"/>
              </w:rPr>
              <w:t>西北</w:t>
            </w:r>
          </w:p>
        </w:tc>
        <w:tc>
          <w:tcPr>
            <w:tcW w:w="772" w:type="dxa"/>
            <w:vAlign w:val="center"/>
          </w:tcPr>
          <w:p w14:paraId="246D8165">
            <w:pPr>
              <w:jc w:val="center"/>
              <w:rPr>
                <w:rFonts w:hint="default" w:eastAsia="宋体"/>
                <w:color w:val="auto"/>
                <w:szCs w:val="21"/>
                <w:highlight w:val="none"/>
                <w:lang w:val="en-US" w:eastAsia="zh-CN"/>
              </w:rPr>
            </w:pPr>
            <w:r>
              <w:rPr>
                <w:rFonts w:hint="eastAsia"/>
                <w:color w:val="auto"/>
                <w:szCs w:val="21"/>
                <w:highlight w:val="none"/>
                <w:lang w:val="en-US" w:eastAsia="zh-CN"/>
              </w:rPr>
              <w:t>2036</w:t>
            </w:r>
          </w:p>
        </w:tc>
      </w:tr>
      <w:tr w14:paraId="16E507E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2DD89C09">
            <w:pPr>
              <w:widowControl/>
              <w:jc w:val="center"/>
              <w:rPr>
                <w:rFonts w:hint="eastAsia"/>
                <w:color w:val="auto"/>
                <w:szCs w:val="21"/>
                <w:highlight w:val="none"/>
                <w:lang w:eastAsia="zh-CN"/>
              </w:rPr>
            </w:pPr>
            <w:r>
              <w:rPr>
                <w:rFonts w:hint="eastAsia"/>
                <w:color w:val="auto"/>
                <w:szCs w:val="21"/>
                <w:highlight w:val="none"/>
                <w:lang w:eastAsia="zh-CN"/>
              </w:rPr>
              <w:t>前柳条沟</w:t>
            </w:r>
          </w:p>
        </w:tc>
        <w:tc>
          <w:tcPr>
            <w:tcW w:w="1386" w:type="dxa"/>
            <w:vAlign w:val="center"/>
          </w:tcPr>
          <w:p w14:paraId="5381211C">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120°37′55.914″</w:t>
            </w:r>
          </w:p>
        </w:tc>
        <w:tc>
          <w:tcPr>
            <w:tcW w:w="1305" w:type="dxa"/>
            <w:vAlign w:val="center"/>
          </w:tcPr>
          <w:p w14:paraId="5DAA732F">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41°52′37.825″</w:t>
            </w:r>
          </w:p>
        </w:tc>
        <w:tc>
          <w:tcPr>
            <w:tcW w:w="660" w:type="dxa"/>
            <w:vMerge w:val="continue"/>
            <w:vAlign w:val="center"/>
          </w:tcPr>
          <w:p w14:paraId="6B342BBF">
            <w:pPr>
              <w:jc w:val="center"/>
              <w:rPr>
                <w:color w:val="auto"/>
                <w:szCs w:val="21"/>
                <w:highlight w:val="none"/>
              </w:rPr>
            </w:pPr>
          </w:p>
        </w:tc>
        <w:tc>
          <w:tcPr>
            <w:tcW w:w="1470" w:type="dxa"/>
            <w:vAlign w:val="center"/>
          </w:tcPr>
          <w:p w14:paraId="26DA47EB">
            <w:pPr>
              <w:jc w:val="center"/>
              <w:rPr>
                <w:rFonts w:hint="eastAsia"/>
                <w:color w:val="auto"/>
                <w:szCs w:val="21"/>
                <w:highlight w:val="none"/>
              </w:rPr>
            </w:pPr>
            <w:r>
              <w:rPr>
                <w:rFonts w:hint="eastAsia"/>
                <w:color w:val="auto"/>
                <w:szCs w:val="21"/>
                <w:highlight w:val="none"/>
                <w:lang w:val="en-US" w:eastAsia="zh-CN"/>
              </w:rPr>
              <w:t>29</w:t>
            </w:r>
            <w:r>
              <w:rPr>
                <w:color w:val="auto"/>
                <w:szCs w:val="21"/>
                <w:highlight w:val="none"/>
              </w:rPr>
              <w:t>户/</w:t>
            </w:r>
            <w:r>
              <w:rPr>
                <w:rFonts w:hint="eastAsia"/>
                <w:color w:val="auto"/>
                <w:szCs w:val="21"/>
                <w:highlight w:val="none"/>
                <w:lang w:val="en-US" w:eastAsia="zh-CN"/>
              </w:rPr>
              <w:t>101</w:t>
            </w:r>
            <w:r>
              <w:rPr>
                <w:color w:val="auto"/>
                <w:szCs w:val="21"/>
                <w:highlight w:val="none"/>
              </w:rPr>
              <w:t>人</w:t>
            </w:r>
          </w:p>
        </w:tc>
        <w:tc>
          <w:tcPr>
            <w:tcW w:w="1260" w:type="dxa"/>
            <w:vMerge w:val="continue"/>
            <w:vAlign w:val="center"/>
          </w:tcPr>
          <w:p w14:paraId="3A462EF3">
            <w:pPr>
              <w:widowControl/>
              <w:jc w:val="left"/>
              <w:rPr>
                <w:color w:val="auto"/>
                <w:szCs w:val="21"/>
                <w:highlight w:val="none"/>
              </w:rPr>
            </w:pPr>
          </w:p>
        </w:tc>
        <w:tc>
          <w:tcPr>
            <w:tcW w:w="705" w:type="dxa"/>
            <w:vAlign w:val="center"/>
          </w:tcPr>
          <w:p w14:paraId="3366C376">
            <w:pPr>
              <w:jc w:val="center"/>
              <w:rPr>
                <w:rFonts w:hint="eastAsia" w:eastAsia="宋体"/>
                <w:color w:val="auto"/>
                <w:szCs w:val="21"/>
                <w:highlight w:val="none"/>
                <w:lang w:eastAsia="zh-CN"/>
              </w:rPr>
            </w:pPr>
            <w:r>
              <w:rPr>
                <w:rFonts w:hint="eastAsia"/>
                <w:color w:val="auto"/>
                <w:szCs w:val="21"/>
                <w:highlight w:val="none"/>
                <w:lang w:eastAsia="zh-CN"/>
              </w:rPr>
              <w:t>北</w:t>
            </w:r>
          </w:p>
        </w:tc>
        <w:tc>
          <w:tcPr>
            <w:tcW w:w="772" w:type="dxa"/>
            <w:vAlign w:val="center"/>
          </w:tcPr>
          <w:p w14:paraId="6591F008">
            <w:pPr>
              <w:jc w:val="center"/>
              <w:rPr>
                <w:rFonts w:hint="default" w:eastAsia="宋体"/>
                <w:color w:val="auto"/>
                <w:szCs w:val="21"/>
                <w:highlight w:val="none"/>
                <w:lang w:val="en-US" w:eastAsia="zh-CN"/>
              </w:rPr>
            </w:pPr>
            <w:r>
              <w:rPr>
                <w:rFonts w:hint="eastAsia"/>
                <w:color w:val="auto"/>
                <w:szCs w:val="21"/>
                <w:highlight w:val="none"/>
                <w:lang w:val="en-US" w:eastAsia="zh-CN"/>
              </w:rPr>
              <w:t>1559</w:t>
            </w:r>
          </w:p>
        </w:tc>
      </w:tr>
      <w:tr w14:paraId="744DB0A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69AE02A6">
            <w:pPr>
              <w:widowControl/>
              <w:jc w:val="center"/>
              <w:rPr>
                <w:rFonts w:hint="eastAsia"/>
                <w:color w:val="auto"/>
                <w:szCs w:val="21"/>
                <w:highlight w:val="none"/>
                <w:lang w:eastAsia="zh-CN"/>
              </w:rPr>
            </w:pPr>
            <w:r>
              <w:rPr>
                <w:rFonts w:hint="eastAsia"/>
                <w:color w:val="auto"/>
                <w:szCs w:val="21"/>
                <w:highlight w:val="none"/>
                <w:lang w:eastAsia="zh-CN"/>
              </w:rPr>
              <w:t>后柳条沟</w:t>
            </w:r>
          </w:p>
        </w:tc>
        <w:tc>
          <w:tcPr>
            <w:tcW w:w="1386" w:type="dxa"/>
            <w:vAlign w:val="center"/>
          </w:tcPr>
          <w:p w14:paraId="5AD74CA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120°37′45.872″</w:t>
            </w:r>
          </w:p>
        </w:tc>
        <w:tc>
          <w:tcPr>
            <w:tcW w:w="1305" w:type="dxa"/>
            <w:vAlign w:val="center"/>
          </w:tcPr>
          <w:p w14:paraId="1115166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41°52′51.575″</w:t>
            </w:r>
          </w:p>
        </w:tc>
        <w:tc>
          <w:tcPr>
            <w:tcW w:w="660" w:type="dxa"/>
            <w:vMerge w:val="continue"/>
            <w:vAlign w:val="center"/>
          </w:tcPr>
          <w:p w14:paraId="2EBBF6B8">
            <w:pPr>
              <w:jc w:val="center"/>
              <w:rPr>
                <w:color w:val="auto"/>
                <w:szCs w:val="21"/>
                <w:highlight w:val="none"/>
              </w:rPr>
            </w:pPr>
          </w:p>
        </w:tc>
        <w:tc>
          <w:tcPr>
            <w:tcW w:w="1470" w:type="dxa"/>
            <w:vAlign w:val="center"/>
          </w:tcPr>
          <w:p w14:paraId="498517A6">
            <w:pPr>
              <w:jc w:val="center"/>
              <w:rPr>
                <w:rFonts w:hint="eastAsia"/>
                <w:color w:val="auto"/>
                <w:szCs w:val="21"/>
                <w:highlight w:val="none"/>
              </w:rPr>
            </w:pPr>
            <w:r>
              <w:rPr>
                <w:rFonts w:hint="eastAsia"/>
                <w:color w:val="auto"/>
                <w:szCs w:val="21"/>
                <w:highlight w:val="none"/>
                <w:lang w:val="en-US" w:eastAsia="zh-CN"/>
              </w:rPr>
              <w:t>36</w:t>
            </w:r>
            <w:r>
              <w:rPr>
                <w:color w:val="auto"/>
                <w:szCs w:val="21"/>
                <w:highlight w:val="none"/>
              </w:rPr>
              <w:t>户/</w:t>
            </w:r>
            <w:r>
              <w:rPr>
                <w:rFonts w:hint="eastAsia"/>
                <w:color w:val="auto"/>
                <w:szCs w:val="21"/>
                <w:highlight w:val="none"/>
                <w:lang w:val="en-US" w:eastAsia="zh-CN"/>
              </w:rPr>
              <w:t>111</w:t>
            </w:r>
            <w:r>
              <w:rPr>
                <w:color w:val="auto"/>
                <w:szCs w:val="21"/>
                <w:highlight w:val="none"/>
              </w:rPr>
              <w:t>人</w:t>
            </w:r>
          </w:p>
        </w:tc>
        <w:tc>
          <w:tcPr>
            <w:tcW w:w="1260" w:type="dxa"/>
            <w:vMerge w:val="continue"/>
            <w:vAlign w:val="center"/>
          </w:tcPr>
          <w:p w14:paraId="1BF42D76">
            <w:pPr>
              <w:widowControl/>
              <w:jc w:val="left"/>
              <w:rPr>
                <w:color w:val="auto"/>
                <w:szCs w:val="21"/>
                <w:highlight w:val="none"/>
              </w:rPr>
            </w:pPr>
          </w:p>
        </w:tc>
        <w:tc>
          <w:tcPr>
            <w:tcW w:w="705" w:type="dxa"/>
            <w:vAlign w:val="center"/>
          </w:tcPr>
          <w:p w14:paraId="6A680F57">
            <w:pPr>
              <w:jc w:val="center"/>
              <w:rPr>
                <w:rFonts w:hint="eastAsia" w:eastAsia="宋体"/>
                <w:color w:val="auto"/>
                <w:szCs w:val="21"/>
                <w:highlight w:val="none"/>
                <w:lang w:eastAsia="zh-CN"/>
              </w:rPr>
            </w:pPr>
            <w:r>
              <w:rPr>
                <w:rFonts w:hint="eastAsia"/>
                <w:color w:val="auto"/>
                <w:szCs w:val="21"/>
                <w:highlight w:val="none"/>
                <w:lang w:eastAsia="zh-CN"/>
              </w:rPr>
              <w:t>北</w:t>
            </w:r>
          </w:p>
        </w:tc>
        <w:tc>
          <w:tcPr>
            <w:tcW w:w="772" w:type="dxa"/>
            <w:vAlign w:val="center"/>
          </w:tcPr>
          <w:p w14:paraId="786EAC47">
            <w:pPr>
              <w:jc w:val="center"/>
              <w:rPr>
                <w:rFonts w:hint="default" w:eastAsia="宋体"/>
                <w:color w:val="auto"/>
                <w:szCs w:val="21"/>
                <w:highlight w:val="none"/>
                <w:lang w:val="en-US" w:eastAsia="zh-CN"/>
              </w:rPr>
            </w:pPr>
            <w:r>
              <w:rPr>
                <w:rFonts w:hint="eastAsia"/>
                <w:color w:val="auto"/>
                <w:szCs w:val="21"/>
                <w:highlight w:val="none"/>
                <w:lang w:val="en-US" w:eastAsia="zh-CN"/>
              </w:rPr>
              <w:t>2012</w:t>
            </w:r>
          </w:p>
        </w:tc>
      </w:tr>
      <w:tr w14:paraId="0734A01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970" w:type="dxa"/>
            <w:vAlign w:val="center"/>
          </w:tcPr>
          <w:p w14:paraId="5D015117">
            <w:pPr>
              <w:widowControl/>
              <w:jc w:val="center"/>
              <w:rPr>
                <w:rFonts w:hint="eastAsia"/>
                <w:color w:val="auto"/>
                <w:szCs w:val="21"/>
                <w:highlight w:val="none"/>
                <w:lang w:eastAsia="zh-CN"/>
              </w:rPr>
            </w:pPr>
            <w:r>
              <w:rPr>
                <w:rFonts w:hint="eastAsia"/>
                <w:color w:val="auto"/>
                <w:szCs w:val="21"/>
                <w:highlight w:val="none"/>
                <w:lang w:eastAsia="zh-CN"/>
              </w:rPr>
              <w:t>花子楼</w:t>
            </w:r>
          </w:p>
        </w:tc>
        <w:tc>
          <w:tcPr>
            <w:tcW w:w="1386" w:type="dxa"/>
            <w:vAlign w:val="center"/>
          </w:tcPr>
          <w:p w14:paraId="2031EED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120°37′28.878″</w:t>
            </w:r>
          </w:p>
        </w:tc>
        <w:tc>
          <w:tcPr>
            <w:tcW w:w="1305" w:type="dxa"/>
            <w:vAlign w:val="center"/>
          </w:tcPr>
          <w:p w14:paraId="3CC4ECCF">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41°53′11.350″</w:t>
            </w:r>
          </w:p>
        </w:tc>
        <w:tc>
          <w:tcPr>
            <w:tcW w:w="660" w:type="dxa"/>
            <w:vMerge w:val="continue"/>
            <w:vAlign w:val="center"/>
          </w:tcPr>
          <w:p w14:paraId="4703896A">
            <w:pPr>
              <w:jc w:val="center"/>
              <w:rPr>
                <w:color w:val="auto"/>
                <w:szCs w:val="21"/>
                <w:highlight w:val="none"/>
              </w:rPr>
            </w:pPr>
          </w:p>
        </w:tc>
        <w:tc>
          <w:tcPr>
            <w:tcW w:w="1470" w:type="dxa"/>
            <w:vAlign w:val="center"/>
          </w:tcPr>
          <w:p w14:paraId="55878AAB">
            <w:pPr>
              <w:jc w:val="center"/>
              <w:rPr>
                <w:rFonts w:hint="eastAsia"/>
                <w:color w:val="auto"/>
                <w:szCs w:val="21"/>
                <w:highlight w:val="none"/>
              </w:rPr>
            </w:pPr>
            <w:r>
              <w:rPr>
                <w:rFonts w:hint="eastAsia"/>
                <w:color w:val="auto"/>
                <w:szCs w:val="21"/>
                <w:highlight w:val="none"/>
                <w:lang w:val="en-US" w:eastAsia="zh-CN"/>
              </w:rPr>
              <w:t>19</w:t>
            </w:r>
            <w:r>
              <w:rPr>
                <w:color w:val="auto"/>
                <w:szCs w:val="21"/>
                <w:highlight w:val="none"/>
              </w:rPr>
              <w:t>户/</w:t>
            </w:r>
            <w:r>
              <w:rPr>
                <w:rFonts w:hint="eastAsia"/>
                <w:color w:val="auto"/>
                <w:szCs w:val="21"/>
                <w:highlight w:val="none"/>
                <w:lang w:val="en-US" w:eastAsia="zh-CN"/>
              </w:rPr>
              <w:t>61</w:t>
            </w:r>
            <w:r>
              <w:rPr>
                <w:color w:val="auto"/>
                <w:szCs w:val="21"/>
                <w:highlight w:val="none"/>
              </w:rPr>
              <w:t>人</w:t>
            </w:r>
          </w:p>
        </w:tc>
        <w:tc>
          <w:tcPr>
            <w:tcW w:w="1260" w:type="dxa"/>
            <w:vMerge w:val="continue"/>
            <w:vAlign w:val="center"/>
          </w:tcPr>
          <w:p w14:paraId="0280A61A">
            <w:pPr>
              <w:widowControl/>
              <w:jc w:val="left"/>
              <w:rPr>
                <w:color w:val="auto"/>
                <w:szCs w:val="21"/>
                <w:highlight w:val="none"/>
              </w:rPr>
            </w:pPr>
          </w:p>
        </w:tc>
        <w:tc>
          <w:tcPr>
            <w:tcW w:w="705" w:type="dxa"/>
            <w:vAlign w:val="center"/>
          </w:tcPr>
          <w:p w14:paraId="7E3814B3">
            <w:pPr>
              <w:jc w:val="center"/>
              <w:rPr>
                <w:rFonts w:hint="eastAsia" w:eastAsia="宋体"/>
                <w:color w:val="auto"/>
                <w:szCs w:val="21"/>
                <w:highlight w:val="none"/>
                <w:lang w:eastAsia="zh-CN"/>
              </w:rPr>
            </w:pPr>
            <w:r>
              <w:rPr>
                <w:rFonts w:hint="eastAsia"/>
                <w:color w:val="auto"/>
                <w:szCs w:val="21"/>
                <w:highlight w:val="none"/>
                <w:lang w:eastAsia="zh-CN"/>
              </w:rPr>
              <w:t>北</w:t>
            </w:r>
          </w:p>
        </w:tc>
        <w:tc>
          <w:tcPr>
            <w:tcW w:w="772" w:type="dxa"/>
            <w:vAlign w:val="center"/>
          </w:tcPr>
          <w:p w14:paraId="6B8673EC">
            <w:pPr>
              <w:jc w:val="center"/>
              <w:rPr>
                <w:rFonts w:hint="default" w:eastAsia="宋体"/>
                <w:color w:val="auto"/>
                <w:szCs w:val="21"/>
                <w:highlight w:val="none"/>
                <w:lang w:val="en-US" w:eastAsia="zh-CN"/>
              </w:rPr>
            </w:pPr>
            <w:r>
              <w:rPr>
                <w:rFonts w:hint="eastAsia"/>
                <w:color w:val="auto"/>
                <w:szCs w:val="21"/>
                <w:highlight w:val="none"/>
                <w:lang w:val="en-US" w:eastAsia="zh-CN"/>
              </w:rPr>
              <w:t>2741</w:t>
            </w:r>
          </w:p>
        </w:tc>
      </w:tr>
      <w:tr w14:paraId="7D7BBFA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6E2D9BF8">
            <w:pPr>
              <w:widowControl/>
              <w:jc w:val="center"/>
              <w:rPr>
                <w:rFonts w:hint="eastAsia"/>
                <w:color w:val="auto"/>
                <w:szCs w:val="21"/>
                <w:highlight w:val="none"/>
                <w:lang w:eastAsia="zh-CN"/>
              </w:rPr>
            </w:pPr>
            <w:r>
              <w:rPr>
                <w:rFonts w:hint="eastAsia"/>
                <w:color w:val="auto"/>
                <w:szCs w:val="21"/>
                <w:highlight w:val="none"/>
                <w:lang w:eastAsia="zh-CN"/>
              </w:rPr>
              <w:t>沟门子</w:t>
            </w:r>
          </w:p>
        </w:tc>
        <w:tc>
          <w:tcPr>
            <w:tcW w:w="1386" w:type="dxa"/>
            <w:vAlign w:val="center"/>
          </w:tcPr>
          <w:p w14:paraId="4192DFC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120°38′37.937″</w:t>
            </w:r>
          </w:p>
        </w:tc>
        <w:tc>
          <w:tcPr>
            <w:tcW w:w="1305" w:type="dxa"/>
            <w:vAlign w:val="center"/>
          </w:tcPr>
          <w:p w14:paraId="2832938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41°52′41.069″</w:t>
            </w:r>
          </w:p>
        </w:tc>
        <w:tc>
          <w:tcPr>
            <w:tcW w:w="660" w:type="dxa"/>
            <w:vMerge w:val="continue"/>
            <w:vAlign w:val="center"/>
          </w:tcPr>
          <w:p w14:paraId="70FB1551">
            <w:pPr>
              <w:jc w:val="center"/>
              <w:rPr>
                <w:color w:val="auto"/>
                <w:szCs w:val="21"/>
                <w:highlight w:val="none"/>
              </w:rPr>
            </w:pPr>
          </w:p>
        </w:tc>
        <w:tc>
          <w:tcPr>
            <w:tcW w:w="1470" w:type="dxa"/>
            <w:vAlign w:val="center"/>
          </w:tcPr>
          <w:p w14:paraId="04E3D034">
            <w:pPr>
              <w:jc w:val="center"/>
              <w:rPr>
                <w:rFonts w:hint="eastAsia"/>
                <w:color w:val="auto"/>
                <w:szCs w:val="21"/>
                <w:highlight w:val="none"/>
                <w:lang w:val="en-US" w:eastAsia="zh-CN"/>
              </w:rPr>
            </w:pPr>
            <w:r>
              <w:rPr>
                <w:rFonts w:hint="eastAsia"/>
                <w:color w:val="auto"/>
                <w:szCs w:val="21"/>
                <w:highlight w:val="none"/>
                <w:lang w:val="en-US" w:eastAsia="zh-CN"/>
              </w:rPr>
              <w:t>49</w:t>
            </w:r>
            <w:r>
              <w:rPr>
                <w:color w:val="auto"/>
                <w:szCs w:val="21"/>
                <w:highlight w:val="none"/>
              </w:rPr>
              <w:t>户/</w:t>
            </w:r>
            <w:r>
              <w:rPr>
                <w:rFonts w:hint="eastAsia"/>
                <w:color w:val="auto"/>
                <w:szCs w:val="21"/>
                <w:highlight w:val="none"/>
                <w:lang w:val="en-US" w:eastAsia="zh-CN"/>
              </w:rPr>
              <w:t>161</w:t>
            </w:r>
            <w:r>
              <w:rPr>
                <w:color w:val="auto"/>
                <w:szCs w:val="21"/>
                <w:highlight w:val="none"/>
              </w:rPr>
              <w:t>人</w:t>
            </w:r>
          </w:p>
        </w:tc>
        <w:tc>
          <w:tcPr>
            <w:tcW w:w="1260" w:type="dxa"/>
            <w:vMerge w:val="continue"/>
            <w:vAlign w:val="center"/>
          </w:tcPr>
          <w:p w14:paraId="0B69141C">
            <w:pPr>
              <w:widowControl/>
              <w:jc w:val="left"/>
              <w:rPr>
                <w:color w:val="auto"/>
                <w:szCs w:val="21"/>
                <w:highlight w:val="none"/>
              </w:rPr>
            </w:pPr>
          </w:p>
        </w:tc>
        <w:tc>
          <w:tcPr>
            <w:tcW w:w="705" w:type="dxa"/>
            <w:vAlign w:val="center"/>
          </w:tcPr>
          <w:p w14:paraId="76694376">
            <w:pPr>
              <w:jc w:val="center"/>
              <w:rPr>
                <w:rFonts w:hint="eastAsia"/>
                <w:color w:val="auto"/>
                <w:szCs w:val="21"/>
                <w:highlight w:val="none"/>
                <w:lang w:eastAsia="zh-CN"/>
              </w:rPr>
            </w:pPr>
            <w:r>
              <w:rPr>
                <w:rFonts w:hint="eastAsia"/>
                <w:color w:val="auto"/>
                <w:szCs w:val="21"/>
                <w:highlight w:val="none"/>
                <w:lang w:eastAsia="zh-CN"/>
              </w:rPr>
              <w:t>东北</w:t>
            </w:r>
          </w:p>
        </w:tc>
        <w:tc>
          <w:tcPr>
            <w:tcW w:w="772" w:type="dxa"/>
            <w:vAlign w:val="center"/>
          </w:tcPr>
          <w:p w14:paraId="4404AB22">
            <w:pPr>
              <w:jc w:val="center"/>
              <w:rPr>
                <w:rFonts w:hint="default" w:eastAsia="宋体"/>
                <w:color w:val="auto"/>
                <w:szCs w:val="21"/>
                <w:highlight w:val="none"/>
                <w:lang w:val="en-US" w:eastAsia="zh-CN"/>
              </w:rPr>
            </w:pPr>
            <w:r>
              <w:rPr>
                <w:rFonts w:hint="eastAsia"/>
                <w:color w:val="auto"/>
                <w:szCs w:val="21"/>
                <w:highlight w:val="none"/>
                <w:lang w:val="en-US" w:eastAsia="zh-CN"/>
              </w:rPr>
              <w:t>2102</w:t>
            </w:r>
          </w:p>
        </w:tc>
      </w:tr>
      <w:tr w14:paraId="08D91FF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0AA31A63">
            <w:pPr>
              <w:widowControl/>
              <w:jc w:val="center"/>
              <w:rPr>
                <w:rFonts w:hint="eastAsia"/>
                <w:color w:val="auto"/>
                <w:szCs w:val="21"/>
                <w:highlight w:val="none"/>
                <w:lang w:eastAsia="zh-CN"/>
              </w:rPr>
            </w:pPr>
            <w:r>
              <w:rPr>
                <w:rFonts w:hint="eastAsia"/>
                <w:color w:val="auto"/>
                <w:szCs w:val="21"/>
                <w:highlight w:val="none"/>
                <w:lang w:eastAsia="zh-CN"/>
              </w:rPr>
              <w:t>海丰村</w:t>
            </w:r>
          </w:p>
        </w:tc>
        <w:tc>
          <w:tcPr>
            <w:tcW w:w="1386" w:type="dxa"/>
            <w:vAlign w:val="center"/>
          </w:tcPr>
          <w:p w14:paraId="31FC2C2C">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120°38′34.384″</w:t>
            </w:r>
          </w:p>
        </w:tc>
        <w:tc>
          <w:tcPr>
            <w:tcW w:w="1305" w:type="dxa"/>
            <w:vAlign w:val="center"/>
          </w:tcPr>
          <w:p w14:paraId="4EBA09D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41°53′7.333″</w:t>
            </w:r>
          </w:p>
        </w:tc>
        <w:tc>
          <w:tcPr>
            <w:tcW w:w="660" w:type="dxa"/>
            <w:vMerge w:val="continue"/>
            <w:vAlign w:val="center"/>
          </w:tcPr>
          <w:p w14:paraId="6ED7AA1E">
            <w:pPr>
              <w:jc w:val="center"/>
              <w:rPr>
                <w:color w:val="auto"/>
                <w:szCs w:val="21"/>
                <w:highlight w:val="none"/>
              </w:rPr>
            </w:pPr>
          </w:p>
        </w:tc>
        <w:tc>
          <w:tcPr>
            <w:tcW w:w="1470" w:type="dxa"/>
            <w:vAlign w:val="center"/>
          </w:tcPr>
          <w:p w14:paraId="5AF23EEB">
            <w:pPr>
              <w:jc w:val="center"/>
              <w:rPr>
                <w:rFonts w:hint="eastAsia"/>
                <w:color w:val="auto"/>
                <w:szCs w:val="21"/>
                <w:highlight w:val="none"/>
                <w:lang w:val="en-US" w:eastAsia="zh-CN"/>
              </w:rPr>
            </w:pPr>
            <w:r>
              <w:rPr>
                <w:rFonts w:hint="eastAsia"/>
                <w:color w:val="auto"/>
                <w:szCs w:val="21"/>
                <w:highlight w:val="none"/>
                <w:lang w:val="en-US" w:eastAsia="zh-CN"/>
              </w:rPr>
              <w:t>78</w:t>
            </w:r>
            <w:r>
              <w:rPr>
                <w:color w:val="auto"/>
                <w:szCs w:val="21"/>
                <w:highlight w:val="none"/>
              </w:rPr>
              <w:t>户/</w:t>
            </w:r>
            <w:r>
              <w:rPr>
                <w:rFonts w:hint="eastAsia"/>
                <w:color w:val="auto"/>
                <w:szCs w:val="21"/>
                <w:highlight w:val="none"/>
                <w:lang w:val="en-US" w:eastAsia="zh-CN"/>
              </w:rPr>
              <w:t>241</w:t>
            </w:r>
            <w:r>
              <w:rPr>
                <w:color w:val="auto"/>
                <w:szCs w:val="21"/>
                <w:highlight w:val="none"/>
              </w:rPr>
              <w:t>人</w:t>
            </w:r>
          </w:p>
        </w:tc>
        <w:tc>
          <w:tcPr>
            <w:tcW w:w="1260" w:type="dxa"/>
            <w:vMerge w:val="continue"/>
            <w:vAlign w:val="center"/>
          </w:tcPr>
          <w:p w14:paraId="02205A11">
            <w:pPr>
              <w:widowControl/>
              <w:jc w:val="left"/>
              <w:rPr>
                <w:color w:val="auto"/>
                <w:szCs w:val="21"/>
                <w:highlight w:val="none"/>
              </w:rPr>
            </w:pPr>
          </w:p>
        </w:tc>
        <w:tc>
          <w:tcPr>
            <w:tcW w:w="705" w:type="dxa"/>
            <w:vAlign w:val="center"/>
          </w:tcPr>
          <w:p w14:paraId="67910895">
            <w:pPr>
              <w:jc w:val="center"/>
              <w:rPr>
                <w:rFonts w:hint="eastAsia"/>
                <w:color w:val="auto"/>
                <w:szCs w:val="21"/>
                <w:highlight w:val="none"/>
                <w:lang w:eastAsia="zh-CN"/>
              </w:rPr>
            </w:pPr>
            <w:r>
              <w:rPr>
                <w:rFonts w:hint="eastAsia"/>
                <w:color w:val="auto"/>
                <w:szCs w:val="21"/>
                <w:highlight w:val="none"/>
                <w:lang w:eastAsia="zh-CN"/>
              </w:rPr>
              <w:t>东北</w:t>
            </w:r>
          </w:p>
        </w:tc>
        <w:tc>
          <w:tcPr>
            <w:tcW w:w="772" w:type="dxa"/>
            <w:vAlign w:val="center"/>
          </w:tcPr>
          <w:p w14:paraId="15F92A91">
            <w:pPr>
              <w:jc w:val="center"/>
              <w:rPr>
                <w:rFonts w:hint="default" w:eastAsia="宋体"/>
                <w:color w:val="auto"/>
                <w:szCs w:val="21"/>
                <w:highlight w:val="none"/>
                <w:lang w:val="en-US" w:eastAsia="zh-CN"/>
              </w:rPr>
            </w:pPr>
            <w:r>
              <w:rPr>
                <w:rFonts w:hint="eastAsia"/>
                <w:color w:val="auto"/>
                <w:szCs w:val="21"/>
                <w:highlight w:val="none"/>
                <w:lang w:val="en-US" w:eastAsia="zh-CN"/>
              </w:rPr>
              <w:t>2592</w:t>
            </w:r>
          </w:p>
        </w:tc>
      </w:tr>
      <w:tr w14:paraId="65299CB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011E6580">
            <w:pPr>
              <w:autoSpaceDE w:val="0"/>
              <w:autoSpaceDN w:val="0"/>
              <w:jc w:val="center"/>
              <w:rPr>
                <w:rFonts w:hint="eastAsia" w:eastAsia="宋体"/>
                <w:color w:val="auto"/>
                <w:szCs w:val="21"/>
                <w:highlight w:val="none"/>
                <w:lang w:eastAsia="zh-CN"/>
              </w:rPr>
            </w:pPr>
            <w:r>
              <w:rPr>
                <w:rFonts w:hint="eastAsia"/>
                <w:color w:val="auto"/>
                <w:szCs w:val="21"/>
                <w:highlight w:val="none"/>
                <w:lang w:eastAsia="zh-CN"/>
              </w:rPr>
              <w:t>东官营河</w:t>
            </w:r>
          </w:p>
        </w:tc>
        <w:tc>
          <w:tcPr>
            <w:tcW w:w="1386" w:type="dxa"/>
            <w:vAlign w:val="center"/>
          </w:tcPr>
          <w:p w14:paraId="4952B8C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120°40′2.755″</w:t>
            </w:r>
          </w:p>
        </w:tc>
        <w:tc>
          <w:tcPr>
            <w:tcW w:w="1305" w:type="dxa"/>
            <w:vAlign w:val="center"/>
          </w:tcPr>
          <w:p w14:paraId="291309E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41°52′6.153″</w:t>
            </w:r>
          </w:p>
        </w:tc>
        <w:tc>
          <w:tcPr>
            <w:tcW w:w="660" w:type="dxa"/>
            <w:vAlign w:val="center"/>
          </w:tcPr>
          <w:p w14:paraId="230E0A05">
            <w:pPr>
              <w:jc w:val="center"/>
              <w:rPr>
                <w:color w:val="auto"/>
                <w:szCs w:val="21"/>
                <w:highlight w:val="none"/>
              </w:rPr>
            </w:pPr>
            <w:r>
              <w:rPr>
                <w:color w:val="auto"/>
                <w:szCs w:val="21"/>
                <w:highlight w:val="none"/>
              </w:rPr>
              <w:t>地表水</w:t>
            </w:r>
          </w:p>
        </w:tc>
        <w:tc>
          <w:tcPr>
            <w:tcW w:w="1470" w:type="dxa"/>
            <w:vAlign w:val="center"/>
          </w:tcPr>
          <w:p w14:paraId="0E3AAB1C">
            <w:pPr>
              <w:ind w:left="-109" w:leftChars="-52" w:right="-189" w:rightChars="-90"/>
              <w:jc w:val="center"/>
              <w:rPr>
                <w:color w:val="auto"/>
                <w:szCs w:val="21"/>
                <w:highlight w:val="none"/>
              </w:rPr>
            </w:pPr>
            <w:r>
              <w:rPr>
                <w:color w:val="auto"/>
                <w:szCs w:val="21"/>
                <w:highlight w:val="none"/>
              </w:rPr>
              <w:t>地表水体</w:t>
            </w:r>
          </w:p>
        </w:tc>
        <w:tc>
          <w:tcPr>
            <w:tcW w:w="1260" w:type="dxa"/>
            <w:vAlign w:val="center"/>
          </w:tcPr>
          <w:p w14:paraId="27116EEF">
            <w:pPr>
              <w:jc w:val="center"/>
              <w:rPr>
                <w:color w:val="auto"/>
                <w:szCs w:val="21"/>
                <w:highlight w:val="none"/>
              </w:rPr>
            </w:pPr>
            <w:r>
              <w:rPr>
                <w:bCs/>
                <w:color w:val="auto"/>
                <w:szCs w:val="21"/>
                <w:highlight w:val="none"/>
              </w:rPr>
              <w:t>《地表水环境质量标准》（GB3838-2002）中Ⅲ类标准</w:t>
            </w:r>
          </w:p>
        </w:tc>
        <w:tc>
          <w:tcPr>
            <w:tcW w:w="705" w:type="dxa"/>
            <w:vAlign w:val="center"/>
          </w:tcPr>
          <w:p w14:paraId="06522DBB">
            <w:pPr>
              <w:jc w:val="center"/>
              <w:rPr>
                <w:color w:val="auto"/>
                <w:szCs w:val="21"/>
                <w:highlight w:val="none"/>
              </w:rPr>
            </w:pPr>
            <w:r>
              <w:rPr>
                <w:rFonts w:hint="eastAsia"/>
                <w:color w:val="auto"/>
                <w:szCs w:val="21"/>
                <w:highlight w:val="none"/>
                <w:lang w:eastAsia="zh-CN"/>
              </w:rPr>
              <w:t>东</w:t>
            </w:r>
          </w:p>
        </w:tc>
        <w:tc>
          <w:tcPr>
            <w:tcW w:w="772" w:type="dxa"/>
            <w:vAlign w:val="center"/>
          </w:tcPr>
          <w:p w14:paraId="09C62F44">
            <w:pPr>
              <w:jc w:val="center"/>
              <w:rPr>
                <w:rFonts w:hint="default" w:eastAsia="宋体"/>
                <w:color w:val="auto"/>
                <w:szCs w:val="21"/>
                <w:highlight w:val="none"/>
                <w:lang w:val="en-US" w:eastAsia="zh-CN"/>
              </w:rPr>
            </w:pPr>
            <w:r>
              <w:rPr>
                <w:rFonts w:hint="eastAsia"/>
                <w:color w:val="auto"/>
                <w:szCs w:val="21"/>
                <w:highlight w:val="none"/>
                <w:lang w:val="en-US" w:eastAsia="zh-CN"/>
              </w:rPr>
              <w:t>2931</w:t>
            </w:r>
          </w:p>
        </w:tc>
      </w:tr>
      <w:tr w14:paraId="3430728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3661" w:type="dxa"/>
            <w:gridSpan w:val="3"/>
            <w:vAlign w:val="center"/>
          </w:tcPr>
          <w:p w14:paraId="10C067FC">
            <w:pPr>
              <w:widowControl/>
              <w:jc w:val="center"/>
              <w:rPr>
                <w:rFonts w:hint="eastAsia" w:eastAsia="宋体"/>
                <w:color w:val="auto"/>
                <w:szCs w:val="21"/>
                <w:highlight w:val="none"/>
                <w:lang w:eastAsia="zh-CN"/>
              </w:rPr>
            </w:pPr>
            <w:r>
              <w:rPr>
                <w:rFonts w:hint="eastAsia"/>
                <w:color w:val="auto"/>
                <w:kern w:val="0"/>
                <w:szCs w:val="21"/>
                <w:highlight w:val="none"/>
                <w:lang w:eastAsia="zh-CN"/>
              </w:rPr>
              <w:t>大棚</w:t>
            </w:r>
          </w:p>
        </w:tc>
        <w:tc>
          <w:tcPr>
            <w:tcW w:w="660" w:type="dxa"/>
            <w:vMerge w:val="restart"/>
            <w:vAlign w:val="center"/>
          </w:tcPr>
          <w:p w14:paraId="6455489A">
            <w:pPr>
              <w:jc w:val="center"/>
              <w:rPr>
                <w:color w:val="auto"/>
                <w:szCs w:val="21"/>
                <w:highlight w:val="none"/>
              </w:rPr>
            </w:pPr>
            <w:r>
              <w:rPr>
                <w:color w:val="auto"/>
                <w:szCs w:val="21"/>
                <w:highlight w:val="none"/>
              </w:rPr>
              <w:t>土壤</w:t>
            </w:r>
          </w:p>
        </w:tc>
        <w:tc>
          <w:tcPr>
            <w:tcW w:w="1470" w:type="dxa"/>
            <w:vMerge w:val="restart"/>
            <w:vAlign w:val="center"/>
          </w:tcPr>
          <w:p w14:paraId="6B45DAAC">
            <w:pPr>
              <w:jc w:val="center"/>
              <w:rPr>
                <w:color w:val="auto"/>
                <w:szCs w:val="21"/>
                <w:highlight w:val="none"/>
              </w:rPr>
            </w:pPr>
            <w:r>
              <w:rPr>
                <w:color w:val="auto"/>
                <w:szCs w:val="21"/>
                <w:highlight w:val="none"/>
              </w:rPr>
              <w:t>土壤</w:t>
            </w:r>
          </w:p>
        </w:tc>
        <w:tc>
          <w:tcPr>
            <w:tcW w:w="1260" w:type="dxa"/>
            <w:vMerge w:val="restart"/>
            <w:vAlign w:val="center"/>
          </w:tcPr>
          <w:p w14:paraId="4D6F59FF">
            <w:pPr>
              <w:widowControl/>
              <w:jc w:val="center"/>
              <w:rPr>
                <w:color w:val="auto"/>
                <w:szCs w:val="21"/>
                <w:highlight w:val="none"/>
              </w:rPr>
            </w:pPr>
            <w:r>
              <w:rPr>
                <w:color w:val="auto"/>
                <w:szCs w:val="21"/>
                <w:highlight w:val="none"/>
              </w:rPr>
              <w:t xml:space="preserve">《土壤环境质量 </w:t>
            </w:r>
            <w:r>
              <w:rPr>
                <w:rFonts w:hint="eastAsia"/>
                <w:color w:val="auto"/>
                <w:szCs w:val="21"/>
                <w:highlight w:val="none"/>
                <w:lang w:eastAsia="zh-CN"/>
              </w:rPr>
              <w:t>农用地</w:t>
            </w:r>
            <w:r>
              <w:rPr>
                <w:color w:val="auto"/>
                <w:szCs w:val="21"/>
                <w:highlight w:val="none"/>
              </w:rPr>
              <w:t>土壤污染风险管控标准（试行）》(GB</w:t>
            </w:r>
            <w:r>
              <w:rPr>
                <w:rFonts w:hint="eastAsia"/>
                <w:color w:val="auto"/>
                <w:szCs w:val="21"/>
                <w:highlight w:val="none"/>
                <w:lang w:val="en-US" w:eastAsia="zh-CN"/>
              </w:rPr>
              <w:t>15618</w:t>
            </w:r>
            <w:r>
              <w:rPr>
                <w:color w:val="auto"/>
                <w:szCs w:val="21"/>
                <w:highlight w:val="none"/>
              </w:rPr>
              <w:t>-2018)中风险筛选值标准</w:t>
            </w:r>
          </w:p>
        </w:tc>
        <w:tc>
          <w:tcPr>
            <w:tcW w:w="705" w:type="dxa"/>
            <w:vAlign w:val="center"/>
          </w:tcPr>
          <w:p w14:paraId="5C38EBF1">
            <w:pPr>
              <w:jc w:val="center"/>
              <w:rPr>
                <w:rFonts w:hint="eastAsia" w:eastAsia="宋体"/>
                <w:color w:val="auto"/>
                <w:szCs w:val="21"/>
                <w:highlight w:val="none"/>
                <w:lang w:eastAsia="zh-CN"/>
              </w:rPr>
            </w:pPr>
            <w:r>
              <w:rPr>
                <w:rFonts w:hint="eastAsia"/>
                <w:color w:val="auto"/>
                <w:spacing w:val="6"/>
                <w:szCs w:val="21"/>
                <w:highlight w:val="none"/>
              </w:rPr>
              <w:t>东</w:t>
            </w:r>
          </w:p>
        </w:tc>
        <w:tc>
          <w:tcPr>
            <w:tcW w:w="772" w:type="dxa"/>
            <w:vAlign w:val="center"/>
          </w:tcPr>
          <w:p w14:paraId="35269AC4">
            <w:pPr>
              <w:jc w:val="center"/>
              <w:rPr>
                <w:color w:val="auto"/>
                <w:szCs w:val="21"/>
                <w:highlight w:val="none"/>
              </w:rPr>
            </w:pPr>
            <w:r>
              <w:rPr>
                <w:color w:val="auto"/>
                <w:szCs w:val="21"/>
                <w:highlight w:val="none"/>
              </w:rPr>
              <w:t>相邻</w:t>
            </w:r>
          </w:p>
        </w:tc>
      </w:tr>
      <w:tr w14:paraId="3291760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3661" w:type="dxa"/>
            <w:gridSpan w:val="3"/>
            <w:vAlign w:val="center"/>
          </w:tcPr>
          <w:p w14:paraId="67EE8DB7">
            <w:pPr>
              <w:widowControl/>
              <w:jc w:val="center"/>
              <w:rPr>
                <w:color w:val="auto"/>
                <w:kern w:val="0"/>
                <w:szCs w:val="21"/>
                <w:highlight w:val="none"/>
              </w:rPr>
            </w:pPr>
            <w:r>
              <w:rPr>
                <w:color w:val="auto"/>
                <w:kern w:val="0"/>
                <w:szCs w:val="21"/>
                <w:highlight w:val="none"/>
              </w:rPr>
              <w:t>耕地</w:t>
            </w:r>
          </w:p>
        </w:tc>
        <w:tc>
          <w:tcPr>
            <w:tcW w:w="660" w:type="dxa"/>
            <w:vMerge w:val="continue"/>
            <w:vAlign w:val="center"/>
          </w:tcPr>
          <w:p w14:paraId="4A482B1A">
            <w:pPr>
              <w:jc w:val="center"/>
              <w:rPr>
                <w:color w:val="auto"/>
                <w:kern w:val="0"/>
                <w:szCs w:val="21"/>
                <w:highlight w:val="none"/>
              </w:rPr>
            </w:pPr>
          </w:p>
        </w:tc>
        <w:tc>
          <w:tcPr>
            <w:tcW w:w="1470" w:type="dxa"/>
            <w:vMerge w:val="continue"/>
            <w:vAlign w:val="center"/>
          </w:tcPr>
          <w:p w14:paraId="1E3E090C">
            <w:pPr>
              <w:jc w:val="center"/>
              <w:rPr>
                <w:color w:val="auto"/>
                <w:kern w:val="0"/>
                <w:szCs w:val="21"/>
                <w:highlight w:val="none"/>
              </w:rPr>
            </w:pPr>
          </w:p>
        </w:tc>
        <w:tc>
          <w:tcPr>
            <w:tcW w:w="1260" w:type="dxa"/>
            <w:vMerge w:val="continue"/>
            <w:vAlign w:val="center"/>
          </w:tcPr>
          <w:p w14:paraId="11884928">
            <w:pPr>
              <w:widowControl/>
              <w:jc w:val="left"/>
              <w:rPr>
                <w:color w:val="auto"/>
                <w:szCs w:val="21"/>
                <w:highlight w:val="none"/>
              </w:rPr>
            </w:pPr>
          </w:p>
        </w:tc>
        <w:tc>
          <w:tcPr>
            <w:tcW w:w="705" w:type="dxa"/>
            <w:vAlign w:val="center"/>
          </w:tcPr>
          <w:p w14:paraId="12994F01">
            <w:pPr>
              <w:jc w:val="center"/>
              <w:rPr>
                <w:color w:val="auto"/>
                <w:spacing w:val="6"/>
                <w:szCs w:val="21"/>
                <w:highlight w:val="none"/>
              </w:rPr>
            </w:pPr>
            <w:r>
              <w:rPr>
                <w:rFonts w:hint="eastAsia"/>
                <w:color w:val="auto"/>
                <w:spacing w:val="6"/>
                <w:szCs w:val="21"/>
                <w:highlight w:val="none"/>
                <w:lang w:eastAsia="zh-CN"/>
              </w:rPr>
              <w:t>南、西、北</w:t>
            </w:r>
          </w:p>
        </w:tc>
        <w:tc>
          <w:tcPr>
            <w:tcW w:w="772" w:type="dxa"/>
            <w:vAlign w:val="center"/>
          </w:tcPr>
          <w:p w14:paraId="3D4443C8">
            <w:pPr>
              <w:jc w:val="center"/>
              <w:rPr>
                <w:color w:val="auto"/>
                <w:szCs w:val="21"/>
                <w:highlight w:val="none"/>
              </w:rPr>
            </w:pPr>
            <w:r>
              <w:rPr>
                <w:color w:val="auto"/>
                <w:szCs w:val="21"/>
                <w:highlight w:val="none"/>
              </w:rPr>
              <w:t>相邻</w:t>
            </w:r>
          </w:p>
        </w:tc>
      </w:tr>
      <w:tr w14:paraId="69B9263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970" w:type="dxa"/>
            <w:vAlign w:val="center"/>
          </w:tcPr>
          <w:p w14:paraId="0225FA77">
            <w:pPr>
              <w:jc w:val="center"/>
              <w:rPr>
                <w:color w:val="auto"/>
                <w:szCs w:val="21"/>
                <w:highlight w:val="none"/>
              </w:rPr>
            </w:pPr>
            <w:r>
              <w:rPr>
                <w:rFonts w:hint="eastAsia"/>
                <w:color w:val="auto"/>
                <w:szCs w:val="21"/>
                <w:highlight w:val="none"/>
                <w:lang w:eastAsia="zh-CN"/>
              </w:rPr>
              <w:t>兴隆洼北沟</w:t>
            </w:r>
          </w:p>
        </w:tc>
        <w:tc>
          <w:tcPr>
            <w:tcW w:w="1386" w:type="dxa"/>
            <w:vAlign w:val="center"/>
          </w:tcPr>
          <w:p w14:paraId="2CF53515">
            <w:pPr>
              <w:jc w:val="center"/>
              <w:rPr>
                <w:color w:val="auto"/>
                <w:szCs w:val="21"/>
                <w:highlight w:val="none"/>
              </w:rPr>
            </w:pPr>
            <w:r>
              <w:rPr>
                <w:rFonts w:hint="default" w:ascii="Times New Roman" w:hAnsi="Times New Roman" w:cs="Times New Roman"/>
                <w:color w:val="auto"/>
                <w:sz w:val="18"/>
                <w:szCs w:val="18"/>
                <w:highlight w:val="none"/>
              </w:rPr>
              <w:t>120°38′35.233″</w:t>
            </w:r>
          </w:p>
        </w:tc>
        <w:tc>
          <w:tcPr>
            <w:tcW w:w="1305" w:type="dxa"/>
            <w:vAlign w:val="center"/>
          </w:tcPr>
          <w:p w14:paraId="3C1BFBF6">
            <w:pPr>
              <w:jc w:val="center"/>
              <w:rPr>
                <w:color w:val="auto"/>
                <w:szCs w:val="21"/>
                <w:highlight w:val="none"/>
              </w:rPr>
            </w:pPr>
            <w:r>
              <w:rPr>
                <w:rFonts w:hint="default" w:ascii="Times New Roman" w:hAnsi="Times New Roman" w:cs="Times New Roman"/>
                <w:color w:val="auto"/>
                <w:sz w:val="18"/>
                <w:szCs w:val="18"/>
                <w:highlight w:val="none"/>
              </w:rPr>
              <w:t>41°51′12.852″</w:t>
            </w:r>
          </w:p>
        </w:tc>
        <w:tc>
          <w:tcPr>
            <w:tcW w:w="660" w:type="dxa"/>
            <w:vMerge w:val="restart"/>
            <w:vAlign w:val="center"/>
          </w:tcPr>
          <w:p w14:paraId="41AB65AD">
            <w:pPr>
              <w:jc w:val="center"/>
              <w:rPr>
                <w:color w:val="auto"/>
                <w:szCs w:val="21"/>
                <w:highlight w:val="none"/>
              </w:rPr>
            </w:pPr>
            <w:r>
              <w:rPr>
                <w:color w:val="auto"/>
                <w:szCs w:val="21"/>
                <w:highlight w:val="none"/>
              </w:rPr>
              <w:t>分散式饮用水水源</w:t>
            </w:r>
          </w:p>
        </w:tc>
        <w:tc>
          <w:tcPr>
            <w:tcW w:w="1470" w:type="dxa"/>
            <w:vMerge w:val="restart"/>
            <w:vAlign w:val="center"/>
          </w:tcPr>
          <w:p w14:paraId="14E83567">
            <w:pPr>
              <w:ind w:left="-109" w:leftChars="-52" w:right="-189" w:rightChars="-90"/>
              <w:jc w:val="center"/>
              <w:rPr>
                <w:color w:val="auto"/>
                <w:szCs w:val="21"/>
                <w:highlight w:val="none"/>
              </w:rPr>
            </w:pPr>
            <w:r>
              <w:rPr>
                <w:rFonts w:hint="eastAsia"/>
                <w:color w:val="auto"/>
                <w:szCs w:val="21"/>
                <w:highlight w:val="none"/>
                <w:lang w:eastAsia="zh-CN"/>
              </w:rPr>
              <w:t>评价范围内</w:t>
            </w:r>
            <w:r>
              <w:rPr>
                <w:color w:val="auto"/>
                <w:szCs w:val="21"/>
                <w:highlight w:val="none"/>
              </w:rPr>
              <w:t>地下水</w:t>
            </w:r>
          </w:p>
        </w:tc>
        <w:tc>
          <w:tcPr>
            <w:tcW w:w="1260" w:type="dxa"/>
            <w:vMerge w:val="restart"/>
            <w:vAlign w:val="center"/>
          </w:tcPr>
          <w:p w14:paraId="0DAD8F33">
            <w:pPr>
              <w:jc w:val="center"/>
              <w:rPr>
                <w:color w:val="auto"/>
                <w:szCs w:val="21"/>
                <w:highlight w:val="none"/>
              </w:rPr>
            </w:pPr>
            <w:r>
              <w:rPr>
                <w:bCs/>
                <w:color w:val="auto"/>
                <w:szCs w:val="21"/>
                <w:highlight w:val="none"/>
              </w:rPr>
              <w:t>《地下水质量标准》（GB/T14848-2017）中Ⅲ类标准</w:t>
            </w:r>
          </w:p>
        </w:tc>
        <w:tc>
          <w:tcPr>
            <w:tcW w:w="705" w:type="dxa"/>
            <w:vAlign w:val="center"/>
          </w:tcPr>
          <w:p w14:paraId="796D3CBB">
            <w:pPr>
              <w:jc w:val="center"/>
              <w:rPr>
                <w:color w:val="auto"/>
                <w:szCs w:val="21"/>
                <w:highlight w:val="none"/>
              </w:rPr>
            </w:pPr>
            <w:r>
              <w:rPr>
                <w:rFonts w:hint="eastAsia"/>
                <w:color w:val="auto"/>
                <w:szCs w:val="21"/>
                <w:highlight w:val="none"/>
                <w:lang w:val="en-US" w:eastAsia="zh-CN"/>
              </w:rPr>
              <w:t>东南</w:t>
            </w:r>
          </w:p>
        </w:tc>
        <w:tc>
          <w:tcPr>
            <w:tcW w:w="772" w:type="dxa"/>
            <w:vAlign w:val="center"/>
          </w:tcPr>
          <w:p w14:paraId="6530DD4C">
            <w:pPr>
              <w:jc w:val="center"/>
              <w:rPr>
                <w:color w:val="auto"/>
                <w:szCs w:val="21"/>
                <w:highlight w:val="none"/>
              </w:rPr>
            </w:pPr>
            <w:r>
              <w:rPr>
                <w:rFonts w:hint="eastAsia"/>
                <w:color w:val="auto"/>
                <w:szCs w:val="21"/>
                <w:highlight w:val="none"/>
                <w:lang w:val="en-US" w:eastAsia="zh-CN"/>
              </w:rPr>
              <w:t>1144</w:t>
            </w:r>
          </w:p>
        </w:tc>
      </w:tr>
      <w:tr w14:paraId="7786E7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33215998">
            <w:pPr>
              <w:widowControl/>
              <w:jc w:val="center"/>
              <w:rPr>
                <w:color w:val="auto"/>
                <w:szCs w:val="21"/>
                <w:highlight w:val="none"/>
              </w:rPr>
            </w:pPr>
            <w:r>
              <w:rPr>
                <w:rFonts w:hint="eastAsia"/>
                <w:color w:val="auto"/>
                <w:szCs w:val="21"/>
                <w:highlight w:val="none"/>
                <w:lang w:eastAsia="zh-CN"/>
              </w:rPr>
              <w:t>兴隆洼</w:t>
            </w:r>
          </w:p>
        </w:tc>
        <w:tc>
          <w:tcPr>
            <w:tcW w:w="1386" w:type="dxa"/>
            <w:vAlign w:val="center"/>
          </w:tcPr>
          <w:p w14:paraId="2CAE0117">
            <w:pPr>
              <w:jc w:val="center"/>
              <w:rPr>
                <w:color w:val="auto"/>
                <w:szCs w:val="21"/>
                <w:highlight w:val="none"/>
              </w:rPr>
            </w:pPr>
            <w:r>
              <w:rPr>
                <w:rFonts w:hint="default" w:ascii="Times New Roman" w:hAnsi="Times New Roman" w:cs="Times New Roman"/>
                <w:color w:val="auto"/>
                <w:sz w:val="18"/>
                <w:szCs w:val="18"/>
                <w:highlight w:val="none"/>
              </w:rPr>
              <w:t>120°39′13.394″</w:t>
            </w:r>
          </w:p>
        </w:tc>
        <w:tc>
          <w:tcPr>
            <w:tcW w:w="1305" w:type="dxa"/>
            <w:vAlign w:val="center"/>
          </w:tcPr>
          <w:p w14:paraId="2AD3C611">
            <w:pPr>
              <w:jc w:val="center"/>
              <w:rPr>
                <w:color w:val="auto"/>
                <w:szCs w:val="21"/>
                <w:highlight w:val="none"/>
              </w:rPr>
            </w:pPr>
            <w:r>
              <w:rPr>
                <w:rFonts w:hint="default" w:ascii="Times New Roman" w:hAnsi="Times New Roman" w:cs="Times New Roman"/>
                <w:color w:val="auto"/>
                <w:sz w:val="18"/>
                <w:szCs w:val="18"/>
                <w:highlight w:val="none"/>
              </w:rPr>
              <w:t>41°50′57.094″</w:t>
            </w:r>
          </w:p>
        </w:tc>
        <w:tc>
          <w:tcPr>
            <w:tcW w:w="660" w:type="dxa"/>
            <w:vMerge w:val="continue"/>
            <w:vAlign w:val="center"/>
          </w:tcPr>
          <w:p w14:paraId="22C50036">
            <w:pPr>
              <w:jc w:val="center"/>
              <w:rPr>
                <w:color w:val="auto"/>
                <w:szCs w:val="21"/>
                <w:highlight w:val="none"/>
              </w:rPr>
            </w:pPr>
          </w:p>
        </w:tc>
        <w:tc>
          <w:tcPr>
            <w:tcW w:w="1470" w:type="dxa"/>
            <w:vMerge w:val="continue"/>
            <w:vAlign w:val="center"/>
          </w:tcPr>
          <w:p w14:paraId="1BC019F2">
            <w:pPr>
              <w:ind w:left="-109" w:leftChars="-52" w:right="-189" w:rightChars="-90"/>
              <w:jc w:val="center"/>
              <w:rPr>
                <w:color w:val="auto"/>
                <w:szCs w:val="21"/>
                <w:highlight w:val="none"/>
              </w:rPr>
            </w:pPr>
          </w:p>
        </w:tc>
        <w:tc>
          <w:tcPr>
            <w:tcW w:w="1260" w:type="dxa"/>
            <w:vMerge w:val="continue"/>
            <w:vAlign w:val="center"/>
          </w:tcPr>
          <w:p w14:paraId="12207A53">
            <w:pPr>
              <w:jc w:val="center"/>
              <w:rPr>
                <w:bCs/>
                <w:color w:val="auto"/>
                <w:szCs w:val="21"/>
                <w:highlight w:val="none"/>
              </w:rPr>
            </w:pPr>
          </w:p>
        </w:tc>
        <w:tc>
          <w:tcPr>
            <w:tcW w:w="705" w:type="dxa"/>
            <w:vAlign w:val="center"/>
          </w:tcPr>
          <w:p w14:paraId="341D3BBA">
            <w:pPr>
              <w:jc w:val="center"/>
              <w:rPr>
                <w:color w:val="auto"/>
                <w:szCs w:val="21"/>
                <w:highlight w:val="none"/>
              </w:rPr>
            </w:pPr>
            <w:r>
              <w:rPr>
                <w:rFonts w:hint="eastAsia"/>
                <w:color w:val="auto"/>
                <w:szCs w:val="21"/>
                <w:highlight w:val="none"/>
                <w:lang w:eastAsia="zh-CN"/>
              </w:rPr>
              <w:t>东南</w:t>
            </w:r>
          </w:p>
        </w:tc>
        <w:tc>
          <w:tcPr>
            <w:tcW w:w="772" w:type="dxa"/>
            <w:vAlign w:val="center"/>
          </w:tcPr>
          <w:p w14:paraId="0F602DC0">
            <w:pPr>
              <w:jc w:val="center"/>
              <w:rPr>
                <w:color w:val="auto"/>
                <w:szCs w:val="21"/>
                <w:highlight w:val="none"/>
              </w:rPr>
            </w:pPr>
            <w:r>
              <w:rPr>
                <w:rFonts w:hint="eastAsia"/>
                <w:color w:val="auto"/>
                <w:szCs w:val="21"/>
                <w:highlight w:val="none"/>
                <w:lang w:val="en-US" w:eastAsia="zh-CN"/>
              </w:rPr>
              <w:t>1953</w:t>
            </w:r>
          </w:p>
        </w:tc>
      </w:tr>
      <w:tr w14:paraId="5B2FB3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303A0650">
            <w:pPr>
              <w:widowControl/>
              <w:jc w:val="center"/>
              <w:rPr>
                <w:rFonts w:hint="eastAsia"/>
                <w:color w:val="auto"/>
                <w:szCs w:val="21"/>
                <w:highlight w:val="none"/>
                <w:lang w:eastAsia="zh-CN"/>
              </w:rPr>
            </w:pPr>
            <w:r>
              <w:rPr>
                <w:rFonts w:hint="eastAsia"/>
                <w:color w:val="auto"/>
                <w:szCs w:val="21"/>
                <w:highlight w:val="none"/>
                <w:lang w:eastAsia="zh-CN"/>
              </w:rPr>
              <w:t>文登营子</w:t>
            </w:r>
          </w:p>
        </w:tc>
        <w:tc>
          <w:tcPr>
            <w:tcW w:w="1386" w:type="dxa"/>
            <w:vAlign w:val="center"/>
          </w:tcPr>
          <w:p w14:paraId="5BA713B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120°37′3.541″</w:t>
            </w:r>
          </w:p>
        </w:tc>
        <w:tc>
          <w:tcPr>
            <w:tcW w:w="1305" w:type="dxa"/>
            <w:vAlign w:val="center"/>
          </w:tcPr>
          <w:p w14:paraId="09538A4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41°52′1.518″</w:t>
            </w:r>
          </w:p>
        </w:tc>
        <w:tc>
          <w:tcPr>
            <w:tcW w:w="660" w:type="dxa"/>
            <w:vMerge w:val="continue"/>
            <w:vAlign w:val="center"/>
          </w:tcPr>
          <w:p w14:paraId="25C027A4">
            <w:pPr>
              <w:jc w:val="center"/>
              <w:rPr>
                <w:color w:val="auto"/>
                <w:szCs w:val="21"/>
                <w:highlight w:val="none"/>
              </w:rPr>
            </w:pPr>
          </w:p>
        </w:tc>
        <w:tc>
          <w:tcPr>
            <w:tcW w:w="1470" w:type="dxa"/>
            <w:vMerge w:val="continue"/>
            <w:vAlign w:val="center"/>
          </w:tcPr>
          <w:p w14:paraId="41F28141">
            <w:pPr>
              <w:ind w:left="-109" w:leftChars="-52" w:right="-189" w:rightChars="-90"/>
              <w:jc w:val="center"/>
              <w:rPr>
                <w:color w:val="auto"/>
                <w:szCs w:val="21"/>
                <w:highlight w:val="none"/>
              </w:rPr>
            </w:pPr>
          </w:p>
        </w:tc>
        <w:tc>
          <w:tcPr>
            <w:tcW w:w="1260" w:type="dxa"/>
            <w:vMerge w:val="continue"/>
            <w:vAlign w:val="center"/>
          </w:tcPr>
          <w:p w14:paraId="3730AE44">
            <w:pPr>
              <w:jc w:val="center"/>
              <w:rPr>
                <w:bCs/>
                <w:color w:val="auto"/>
                <w:szCs w:val="21"/>
                <w:highlight w:val="none"/>
              </w:rPr>
            </w:pPr>
          </w:p>
        </w:tc>
        <w:tc>
          <w:tcPr>
            <w:tcW w:w="705" w:type="dxa"/>
            <w:vAlign w:val="center"/>
          </w:tcPr>
          <w:p w14:paraId="297D9439">
            <w:pPr>
              <w:jc w:val="center"/>
              <w:rPr>
                <w:rFonts w:hint="eastAsia"/>
                <w:color w:val="auto"/>
                <w:szCs w:val="21"/>
                <w:highlight w:val="none"/>
                <w:lang w:eastAsia="zh-CN"/>
              </w:rPr>
            </w:pPr>
            <w:r>
              <w:rPr>
                <w:rFonts w:hint="eastAsia"/>
                <w:color w:val="auto"/>
                <w:szCs w:val="21"/>
                <w:highlight w:val="none"/>
                <w:lang w:eastAsia="zh-CN"/>
              </w:rPr>
              <w:t>西北</w:t>
            </w:r>
          </w:p>
        </w:tc>
        <w:tc>
          <w:tcPr>
            <w:tcW w:w="772" w:type="dxa"/>
            <w:vAlign w:val="center"/>
          </w:tcPr>
          <w:p w14:paraId="02EA418B">
            <w:pPr>
              <w:jc w:val="center"/>
              <w:rPr>
                <w:rFonts w:hint="eastAsia"/>
                <w:color w:val="auto"/>
                <w:szCs w:val="21"/>
                <w:highlight w:val="none"/>
                <w:lang w:val="en-US" w:eastAsia="zh-CN"/>
              </w:rPr>
            </w:pPr>
            <w:r>
              <w:rPr>
                <w:rFonts w:hint="eastAsia"/>
                <w:color w:val="auto"/>
                <w:szCs w:val="21"/>
                <w:highlight w:val="none"/>
                <w:lang w:val="en-US" w:eastAsia="zh-CN"/>
              </w:rPr>
              <w:t>768</w:t>
            </w:r>
          </w:p>
        </w:tc>
      </w:tr>
      <w:tr w14:paraId="4393F7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11B3C5E8">
            <w:pPr>
              <w:jc w:val="center"/>
              <w:rPr>
                <w:rFonts w:hint="eastAsia"/>
                <w:color w:val="auto"/>
                <w:szCs w:val="21"/>
                <w:highlight w:val="none"/>
                <w:lang w:eastAsia="zh-CN"/>
              </w:rPr>
            </w:pPr>
            <w:r>
              <w:rPr>
                <w:rFonts w:hint="eastAsia"/>
                <w:color w:val="auto"/>
                <w:szCs w:val="21"/>
                <w:highlight w:val="none"/>
                <w:lang w:eastAsia="zh-CN"/>
              </w:rPr>
              <w:t>马架子</w:t>
            </w:r>
          </w:p>
        </w:tc>
        <w:tc>
          <w:tcPr>
            <w:tcW w:w="1386" w:type="dxa"/>
            <w:vAlign w:val="center"/>
          </w:tcPr>
          <w:p w14:paraId="1A7B984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120°38′26.118″</w:t>
            </w:r>
          </w:p>
        </w:tc>
        <w:tc>
          <w:tcPr>
            <w:tcW w:w="1305" w:type="dxa"/>
            <w:vAlign w:val="center"/>
          </w:tcPr>
          <w:p w14:paraId="30A0A61F">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41°50′53.695″</w:t>
            </w:r>
          </w:p>
        </w:tc>
        <w:tc>
          <w:tcPr>
            <w:tcW w:w="660" w:type="dxa"/>
            <w:vMerge w:val="continue"/>
            <w:vAlign w:val="center"/>
          </w:tcPr>
          <w:p w14:paraId="08207B73">
            <w:pPr>
              <w:jc w:val="center"/>
              <w:rPr>
                <w:color w:val="auto"/>
                <w:szCs w:val="21"/>
                <w:highlight w:val="none"/>
              </w:rPr>
            </w:pPr>
          </w:p>
        </w:tc>
        <w:tc>
          <w:tcPr>
            <w:tcW w:w="1470" w:type="dxa"/>
            <w:vMerge w:val="continue"/>
            <w:vAlign w:val="center"/>
          </w:tcPr>
          <w:p w14:paraId="02533954">
            <w:pPr>
              <w:ind w:left="-109" w:leftChars="-52" w:right="-189" w:rightChars="-90"/>
              <w:jc w:val="center"/>
              <w:rPr>
                <w:color w:val="auto"/>
                <w:szCs w:val="21"/>
                <w:highlight w:val="none"/>
              </w:rPr>
            </w:pPr>
          </w:p>
        </w:tc>
        <w:tc>
          <w:tcPr>
            <w:tcW w:w="1260" w:type="dxa"/>
            <w:vMerge w:val="continue"/>
            <w:vAlign w:val="center"/>
          </w:tcPr>
          <w:p w14:paraId="726D47ED">
            <w:pPr>
              <w:jc w:val="center"/>
              <w:rPr>
                <w:bCs/>
                <w:color w:val="auto"/>
                <w:szCs w:val="21"/>
                <w:highlight w:val="none"/>
              </w:rPr>
            </w:pPr>
          </w:p>
        </w:tc>
        <w:tc>
          <w:tcPr>
            <w:tcW w:w="705" w:type="dxa"/>
            <w:vAlign w:val="center"/>
          </w:tcPr>
          <w:p w14:paraId="12209C21">
            <w:pPr>
              <w:jc w:val="center"/>
              <w:rPr>
                <w:rFonts w:hint="eastAsia"/>
                <w:color w:val="auto"/>
                <w:szCs w:val="21"/>
                <w:highlight w:val="none"/>
                <w:lang w:eastAsia="zh-CN"/>
              </w:rPr>
            </w:pPr>
            <w:r>
              <w:rPr>
                <w:rFonts w:hint="eastAsia"/>
                <w:color w:val="auto"/>
                <w:szCs w:val="21"/>
                <w:highlight w:val="none"/>
                <w:lang w:eastAsia="zh-CN"/>
              </w:rPr>
              <w:t>东南</w:t>
            </w:r>
          </w:p>
        </w:tc>
        <w:tc>
          <w:tcPr>
            <w:tcW w:w="772" w:type="dxa"/>
            <w:vAlign w:val="center"/>
          </w:tcPr>
          <w:p w14:paraId="7DD7F7E2">
            <w:pPr>
              <w:jc w:val="center"/>
              <w:rPr>
                <w:rFonts w:hint="eastAsia"/>
                <w:color w:val="auto"/>
                <w:szCs w:val="21"/>
                <w:highlight w:val="none"/>
                <w:lang w:val="en-US" w:eastAsia="zh-CN"/>
              </w:rPr>
            </w:pPr>
            <w:r>
              <w:rPr>
                <w:rFonts w:hint="eastAsia"/>
                <w:color w:val="auto"/>
                <w:szCs w:val="21"/>
                <w:highlight w:val="none"/>
                <w:lang w:val="en-US" w:eastAsia="zh-CN"/>
              </w:rPr>
              <w:t>1243</w:t>
            </w:r>
          </w:p>
        </w:tc>
      </w:tr>
      <w:tr w14:paraId="61ECE3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Align w:val="center"/>
          </w:tcPr>
          <w:p w14:paraId="4BA2C205">
            <w:pPr>
              <w:widowControl/>
              <w:jc w:val="center"/>
              <w:rPr>
                <w:rFonts w:hint="eastAsia"/>
                <w:color w:val="auto"/>
                <w:szCs w:val="21"/>
                <w:highlight w:val="none"/>
                <w:lang w:eastAsia="zh-CN"/>
              </w:rPr>
            </w:pPr>
            <w:r>
              <w:rPr>
                <w:rFonts w:hint="eastAsia"/>
                <w:color w:val="auto"/>
                <w:szCs w:val="21"/>
                <w:highlight w:val="none"/>
                <w:lang w:eastAsia="zh-CN"/>
              </w:rPr>
              <w:t>前柳条沟</w:t>
            </w:r>
          </w:p>
        </w:tc>
        <w:tc>
          <w:tcPr>
            <w:tcW w:w="1386" w:type="dxa"/>
            <w:vAlign w:val="center"/>
          </w:tcPr>
          <w:p w14:paraId="4623EE0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120°37′55.914″</w:t>
            </w:r>
          </w:p>
        </w:tc>
        <w:tc>
          <w:tcPr>
            <w:tcW w:w="1305" w:type="dxa"/>
            <w:vAlign w:val="center"/>
          </w:tcPr>
          <w:p w14:paraId="53DEC57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41°52′37.825″</w:t>
            </w:r>
          </w:p>
        </w:tc>
        <w:tc>
          <w:tcPr>
            <w:tcW w:w="660" w:type="dxa"/>
            <w:vMerge w:val="continue"/>
            <w:vAlign w:val="center"/>
          </w:tcPr>
          <w:p w14:paraId="267E7846">
            <w:pPr>
              <w:jc w:val="center"/>
              <w:rPr>
                <w:color w:val="auto"/>
                <w:szCs w:val="21"/>
                <w:highlight w:val="none"/>
              </w:rPr>
            </w:pPr>
          </w:p>
        </w:tc>
        <w:tc>
          <w:tcPr>
            <w:tcW w:w="1470" w:type="dxa"/>
            <w:vMerge w:val="continue"/>
            <w:vAlign w:val="center"/>
          </w:tcPr>
          <w:p w14:paraId="26E13B6D">
            <w:pPr>
              <w:ind w:left="-109" w:leftChars="-52" w:right="-189" w:rightChars="-90"/>
              <w:jc w:val="center"/>
              <w:rPr>
                <w:color w:val="auto"/>
                <w:szCs w:val="21"/>
                <w:highlight w:val="none"/>
              </w:rPr>
            </w:pPr>
          </w:p>
        </w:tc>
        <w:tc>
          <w:tcPr>
            <w:tcW w:w="1260" w:type="dxa"/>
            <w:vMerge w:val="continue"/>
            <w:vAlign w:val="center"/>
          </w:tcPr>
          <w:p w14:paraId="4EAE825B">
            <w:pPr>
              <w:jc w:val="center"/>
              <w:rPr>
                <w:bCs/>
                <w:color w:val="auto"/>
                <w:szCs w:val="21"/>
                <w:highlight w:val="none"/>
              </w:rPr>
            </w:pPr>
          </w:p>
        </w:tc>
        <w:tc>
          <w:tcPr>
            <w:tcW w:w="705" w:type="dxa"/>
            <w:vAlign w:val="center"/>
          </w:tcPr>
          <w:p w14:paraId="78638CB1">
            <w:pPr>
              <w:jc w:val="center"/>
              <w:rPr>
                <w:rFonts w:hint="eastAsia"/>
                <w:color w:val="auto"/>
                <w:szCs w:val="21"/>
                <w:highlight w:val="none"/>
                <w:lang w:val="en-US" w:eastAsia="zh-CN"/>
              </w:rPr>
            </w:pPr>
            <w:r>
              <w:rPr>
                <w:rFonts w:hint="eastAsia"/>
                <w:color w:val="auto"/>
                <w:szCs w:val="21"/>
                <w:highlight w:val="none"/>
                <w:lang w:eastAsia="zh-CN"/>
              </w:rPr>
              <w:t>北</w:t>
            </w:r>
          </w:p>
        </w:tc>
        <w:tc>
          <w:tcPr>
            <w:tcW w:w="772" w:type="dxa"/>
            <w:vAlign w:val="center"/>
          </w:tcPr>
          <w:p w14:paraId="7FBFD8BC">
            <w:pPr>
              <w:jc w:val="center"/>
              <w:rPr>
                <w:rFonts w:hint="eastAsia"/>
                <w:color w:val="auto"/>
                <w:szCs w:val="21"/>
                <w:highlight w:val="none"/>
                <w:lang w:val="en-US" w:eastAsia="zh-CN"/>
              </w:rPr>
            </w:pPr>
            <w:r>
              <w:rPr>
                <w:rFonts w:hint="eastAsia"/>
                <w:color w:val="auto"/>
                <w:szCs w:val="21"/>
                <w:highlight w:val="none"/>
                <w:lang w:val="en-US" w:eastAsia="zh-CN"/>
              </w:rPr>
              <w:t>1559</w:t>
            </w:r>
          </w:p>
        </w:tc>
      </w:tr>
      <w:tr w14:paraId="3D1814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1" w:type="dxa"/>
            <w:gridSpan w:val="4"/>
            <w:vAlign w:val="center"/>
          </w:tcPr>
          <w:p w14:paraId="0601A8B0">
            <w:pPr>
              <w:jc w:val="center"/>
              <w:rPr>
                <w:color w:val="auto"/>
                <w:szCs w:val="21"/>
                <w:highlight w:val="none"/>
              </w:rPr>
            </w:pPr>
            <w:r>
              <w:rPr>
                <w:rFonts w:hint="eastAsia"/>
                <w:color w:val="auto"/>
                <w:szCs w:val="21"/>
                <w:highlight w:val="none"/>
              </w:rPr>
              <w:t>厂区范围</w:t>
            </w:r>
            <w:r>
              <w:rPr>
                <w:color w:val="auto"/>
                <w:szCs w:val="21"/>
                <w:highlight w:val="none"/>
              </w:rPr>
              <w:t>内</w:t>
            </w:r>
            <w:r>
              <w:rPr>
                <w:rFonts w:hint="eastAsia"/>
                <w:color w:val="auto"/>
                <w:szCs w:val="21"/>
                <w:highlight w:val="none"/>
              </w:rPr>
              <w:t>及周边</w:t>
            </w:r>
            <w:r>
              <w:rPr>
                <w:color w:val="auto"/>
                <w:szCs w:val="21"/>
                <w:highlight w:val="none"/>
              </w:rPr>
              <w:t>植被、动物</w:t>
            </w:r>
          </w:p>
        </w:tc>
        <w:tc>
          <w:tcPr>
            <w:tcW w:w="1470" w:type="dxa"/>
            <w:vAlign w:val="center"/>
          </w:tcPr>
          <w:p w14:paraId="61DAB522">
            <w:pPr>
              <w:jc w:val="center"/>
              <w:rPr>
                <w:color w:val="auto"/>
                <w:szCs w:val="21"/>
                <w:highlight w:val="none"/>
              </w:rPr>
            </w:pPr>
            <w:r>
              <w:rPr>
                <w:color w:val="auto"/>
                <w:szCs w:val="21"/>
                <w:highlight w:val="none"/>
              </w:rPr>
              <w:t>生态环境</w:t>
            </w:r>
          </w:p>
        </w:tc>
        <w:tc>
          <w:tcPr>
            <w:tcW w:w="2737" w:type="dxa"/>
            <w:gridSpan w:val="3"/>
            <w:vAlign w:val="center"/>
          </w:tcPr>
          <w:p w14:paraId="3C8C7231">
            <w:pPr>
              <w:jc w:val="center"/>
              <w:rPr>
                <w:color w:val="auto"/>
                <w:szCs w:val="21"/>
                <w:highlight w:val="none"/>
              </w:rPr>
            </w:pPr>
            <w:r>
              <w:rPr>
                <w:color w:val="auto"/>
                <w:szCs w:val="21"/>
                <w:highlight w:val="none"/>
              </w:rPr>
              <w:t>项目区的整体生态功能不改变，项目区周围的植被破坏保持在最小程度。</w:t>
            </w:r>
          </w:p>
        </w:tc>
      </w:tr>
    </w:tbl>
    <w:p w14:paraId="123C846C">
      <w:pPr>
        <w:rPr>
          <w:color w:val="auto"/>
        </w:rPr>
        <w:sectPr>
          <w:footerReference r:id="rId7" w:type="default"/>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bookmarkEnd w:id="48"/>
    <w:bookmarkEnd w:id="49"/>
    <w:bookmarkEnd w:id="50"/>
    <w:bookmarkEnd w:id="51"/>
    <w:p w14:paraId="4CBC302A">
      <w:pPr>
        <w:pStyle w:val="2"/>
        <w:snapToGrid w:val="0"/>
        <w:spacing w:line="360" w:lineRule="auto"/>
        <w:ind w:left="0"/>
        <w:jc w:val="both"/>
        <w:rPr>
          <w:rFonts w:ascii="Times New Roman" w:eastAsia="宋体"/>
          <w:bCs/>
          <w:color w:val="auto"/>
          <w:sz w:val="32"/>
          <w:szCs w:val="32"/>
        </w:rPr>
      </w:pPr>
      <w:bookmarkStart w:id="145" w:name="_Toc24027894"/>
      <w:bookmarkStart w:id="146" w:name="_Toc10904"/>
      <w:bookmarkStart w:id="147" w:name="_Toc27095"/>
      <w:r>
        <w:rPr>
          <w:rFonts w:ascii="Times New Roman" w:eastAsia="宋体"/>
          <w:bCs/>
          <w:color w:val="auto"/>
          <w:sz w:val="32"/>
          <w:szCs w:val="32"/>
        </w:rPr>
        <w:t>3、建设项目概况与工程分析</w:t>
      </w:r>
      <w:bookmarkEnd w:id="145"/>
      <w:bookmarkEnd w:id="146"/>
      <w:bookmarkEnd w:id="147"/>
    </w:p>
    <w:p w14:paraId="2E73CA38">
      <w:pPr>
        <w:pStyle w:val="3"/>
        <w:adjustRightInd w:val="0"/>
        <w:jc w:val="both"/>
        <w:rPr>
          <w:rFonts w:eastAsia="宋体"/>
          <w:color w:val="auto"/>
          <w:sz w:val="30"/>
          <w:szCs w:val="30"/>
        </w:rPr>
      </w:pPr>
      <w:bookmarkStart w:id="148" w:name="_Toc6498909"/>
      <w:bookmarkStart w:id="149" w:name="_Toc25611"/>
      <w:bookmarkStart w:id="150" w:name="_Toc32200"/>
      <w:bookmarkStart w:id="151" w:name="_Toc24027895"/>
      <w:r>
        <w:rPr>
          <w:rFonts w:eastAsia="宋体"/>
          <w:color w:val="auto"/>
          <w:sz w:val="30"/>
          <w:szCs w:val="30"/>
        </w:rPr>
        <w:t>3.1</w:t>
      </w:r>
      <w:bookmarkEnd w:id="148"/>
      <w:r>
        <w:rPr>
          <w:rFonts w:hint="eastAsia" w:eastAsia="宋体"/>
          <w:color w:val="auto"/>
          <w:sz w:val="30"/>
          <w:szCs w:val="30"/>
        </w:rPr>
        <w:t>项目概况</w:t>
      </w:r>
      <w:bookmarkEnd w:id="149"/>
      <w:bookmarkEnd w:id="150"/>
    </w:p>
    <w:p w14:paraId="03A09DE5">
      <w:pPr>
        <w:pStyle w:val="33"/>
        <w:spacing w:after="0" w:line="360" w:lineRule="auto"/>
        <w:ind w:left="0" w:leftChars="0" w:firstLine="480" w:firstLineChars="200"/>
        <w:rPr>
          <w:rFonts w:hint="eastAsia" w:eastAsia="宋体"/>
          <w:color w:val="auto"/>
          <w:sz w:val="24"/>
          <w:highlight w:val="none"/>
          <w:lang w:eastAsia="zh-CN"/>
        </w:rPr>
      </w:pPr>
      <w:r>
        <w:rPr>
          <w:color w:val="auto"/>
          <w:sz w:val="24"/>
          <w:highlight w:val="none"/>
        </w:rPr>
        <w:t>项目名称：</w:t>
      </w:r>
      <w:r>
        <w:rPr>
          <w:rFonts w:hint="eastAsia"/>
          <w:color w:val="auto"/>
          <w:sz w:val="24"/>
          <w:highlight w:val="none"/>
          <w:lang w:eastAsia="zh-CN"/>
        </w:rPr>
        <w:t>北票天勤农牧科技有限公司100万只蛋鸡养殖基地建设项目</w:t>
      </w:r>
    </w:p>
    <w:p w14:paraId="43F23D2A">
      <w:pPr>
        <w:spacing w:line="360" w:lineRule="auto"/>
        <w:ind w:firstLine="480" w:firstLineChars="200"/>
        <w:rPr>
          <w:rFonts w:hint="eastAsia" w:eastAsia="宋体"/>
          <w:color w:val="auto"/>
          <w:sz w:val="24"/>
          <w:highlight w:val="none"/>
          <w:lang w:eastAsia="zh-CN"/>
        </w:rPr>
      </w:pPr>
      <w:r>
        <w:rPr>
          <w:color w:val="auto"/>
          <w:sz w:val="24"/>
          <w:highlight w:val="none"/>
        </w:rPr>
        <w:t>建设单位：</w:t>
      </w:r>
      <w:r>
        <w:rPr>
          <w:rFonts w:hint="eastAsia"/>
          <w:color w:val="auto"/>
          <w:sz w:val="24"/>
          <w:highlight w:val="none"/>
          <w:lang w:eastAsia="zh-CN"/>
        </w:rPr>
        <w:t>北票天勤农牧科技有限公司</w:t>
      </w:r>
    </w:p>
    <w:p w14:paraId="217CDBE5">
      <w:pPr>
        <w:pStyle w:val="33"/>
        <w:spacing w:after="0" w:line="360" w:lineRule="auto"/>
        <w:ind w:left="0" w:leftChars="0" w:firstLine="480" w:firstLineChars="200"/>
        <w:rPr>
          <w:rFonts w:hint="eastAsia" w:eastAsia="宋体"/>
          <w:color w:val="auto"/>
          <w:sz w:val="24"/>
          <w:highlight w:val="none"/>
          <w:lang w:eastAsia="zh-CN"/>
        </w:rPr>
      </w:pPr>
      <w:r>
        <w:rPr>
          <w:color w:val="auto"/>
          <w:sz w:val="24"/>
          <w:highlight w:val="none"/>
        </w:rPr>
        <w:t>建设地点：</w:t>
      </w:r>
      <w:r>
        <w:rPr>
          <w:rFonts w:hint="eastAsia"/>
          <w:color w:val="auto"/>
          <w:sz w:val="24"/>
          <w:highlight w:val="none"/>
          <w:lang w:eastAsia="zh-CN"/>
        </w:rPr>
        <w:t>辽宁省朝阳市北票市西官镇大巴里村</w:t>
      </w:r>
    </w:p>
    <w:p w14:paraId="3989D491">
      <w:pPr>
        <w:spacing w:line="360" w:lineRule="auto"/>
        <w:ind w:firstLine="480" w:firstLineChars="200"/>
        <w:rPr>
          <w:rFonts w:hint="eastAsia" w:eastAsia="宋体"/>
          <w:color w:val="auto"/>
          <w:sz w:val="24"/>
          <w:highlight w:val="none"/>
          <w:lang w:eastAsia="zh-CN"/>
        </w:rPr>
      </w:pPr>
      <w:r>
        <w:rPr>
          <w:color w:val="auto"/>
          <w:sz w:val="24"/>
          <w:highlight w:val="none"/>
        </w:rPr>
        <w:t>建设性质：</w:t>
      </w:r>
      <w:r>
        <w:rPr>
          <w:rFonts w:hint="eastAsia"/>
          <w:color w:val="auto"/>
          <w:sz w:val="24"/>
          <w:highlight w:val="none"/>
          <w:lang w:eastAsia="zh-CN"/>
        </w:rPr>
        <w:t>新建</w:t>
      </w:r>
    </w:p>
    <w:p w14:paraId="4AA87EA6">
      <w:pPr>
        <w:pStyle w:val="33"/>
        <w:spacing w:after="0" w:line="360" w:lineRule="auto"/>
        <w:ind w:left="0" w:leftChars="0" w:firstLine="480" w:firstLineChars="200"/>
        <w:rPr>
          <w:color w:val="auto"/>
          <w:sz w:val="24"/>
          <w:highlight w:val="none"/>
        </w:rPr>
      </w:pPr>
      <w:r>
        <w:rPr>
          <w:rFonts w:hint="eastAsia"/>
          <w:color w:val="auto"/>
          <w:sz w:val="24"/>
          <w:highlight w:val="none"/>
          <w:lang w:eastAsia="zh-CN"/>
        </w:rPr>
        <w:t>项目</w:t>
      </w:r>
      <w:r>
        <w:rPr>
          <w:color w:val="auto"/>
          <w:sz w:val="24"/>
          <w:highlight w:val="none"/>
        </w:rPr>
        <w:t>投资：</w:t>
      </w:r>
      <w:r>
        <w:rPr>
          <w:rFonts w:hint="eastAsia"/>
          <w:color w:val="auto"/>
          <w:sz w:val="24"/>
          <w:highlight w:val="none"/>
          <w:lang w:val="en-US" w:eastAsia="zh-CN"/>
        </w:rPr>
        <w:t>1.2亿元</w:t>
      </w:r>
    </w:p>
    <w:p w14:paraId="22E1AE17">
      <w:pPr>
        <w:pStyle w:val="33"/>
        <w:spacing w:after="0" w:line="360" w:lineRule="auto"/>
        <w:ind w:left="0" w:leftChars="0" w:firstLine="480" w:firstLineChars="200"/>
        <w:rPr>
          <w:rFonts w:hint="eastAsia" w:eastAsia="宋体"/>
          <w:color w:val="auto"/>
          <w:sz w:val="24"/>
          <w:highlight w:val="none"/>
          <w:vertAlign w:val="baseline"/>
          <w:lang w:eastAsia="zh-CN"/>
        </w:rPr>
      </w:pPr>
      <w:r>
        <w:rPr>
          <w:color w:val="auto"/>
          <w:sz w:val="24"/>
          <w:highlight w:val="none"/>
        </w:rPr>
        <w:t>占地面积：</w:t>
      </w:r>
      <w:r>
        <w:rPr>
          <w:rFonts w:hint="eastAsia"/>
          <w:color w:val="auto"/>
          <w:sz w:val="24"/>
          <w:highlight w:val="none"/>
          <w:lang w:val="en-US" w:eastAsia="zh-CN"/>
        </w:rPr>
        <w:t>78234.55</w:t>
      </w:r>
      <w:r>
        <w:rPr>
          <w:color w:val="auto"/>
          <w:sz w:val="24"/>
          <w:highlight w:val="none"/>
        </w:rPr>
        <w:t>m</w:t>
      </w:r>
      <w:r>
        <w:rPr>
          <w:color w:val="auto"/>
          <w:sz w:val="24"/>
          <w:highlight w:val="none"/>
          <w:vertAlign w:val="superscript"/>
        </w:rPr>
        <w:t>2</w:t>
      </w:r>
      <w:r>
        <w:rPr>
          <w:rFonts w:hint="eastAsia"/>
          <w:color w:val="auto"/>
          <w:sz w:val="24"/>
          <w:highlight w:val="none"/>
          <w:vertAlign w:val="baseline"/>
          <w:lang w:eastAsia="zh-CN"/>
        </w:rPr>
        <w:t>（</w:t>
      </w:r>
      <w:r>
        <w:rPr>
          <w:rFonts w:hint="eastAsia"/>
          <w:color w:val="auto"/>
          <w:sz w:val="24"/>
          <w:highlight w:val="none"/>
          <w:vertAlign w:val="baseline"/>
          <w:lang w:val="en-US" w:eastAsia="zh-CN"/>
        </w:rPr>
        <w:t>117.35亩</w:t>
      </w:r>
      <w:r>
        <w:rPr>
          <w:rFonts w:hint="eastAsia"/>
          <w:color w:val="auto"/>
          <w:sz w:val="24"/>
          <w:highlight w:val="none"/>
          <w:vertAlign w:val="baseline"/>
          <w:lang w:eastAsia="zh-CN"/>
        </w:rPr>
        <w:t>）</w:t>
      </w:r>
    </w:p>
    <w:p w14:paraId="504115E8">
      <w:pPr>
        <w:pStyle w:val="33"/>
        <w:spacing w:after="0" w:line="360" w:lineRule="auto"/>
        <w:ind w:left="0" w:leftChars="0" w:firstLine="480" w:firstLineChars="200"/>
        <w:rPr>
          <w:rFonts w:hint="eastAsia"/>
          <w:color w:val="auto"/>
          <w:sz w:val="24"/>
          <w:highlight w:val="green"/>
          <w:lang w:eastAsia="zh-CN"/>
        </w:rPr>
      </w:pPr>
      <w:r>
        <w:rPr>
          <w:color w:val="auto"/>
          <w:sz w:val="24"/>
          <w:highlight w:val="none"/>
        </w:rPr>
        <w:t>占地类型：</w:t>
      </w:r>
      <w:r>
        <w:rPr>
          <w:rFonts w:hint="eastAsia"/>
          <w:color w:val="auto"/>
          <w:sz w:val="24"/>
          <w:highlight w:val="none"/>
          <w:lang w:eastAsia="zh-CN"/>
        </w:rPr>
        <w:t>项目占地面积为</w:t>
      </w:r>
      <w:r>
        <w:rPr>
          <w:rFonts w:hint="eastAsia"/>
          <w:color w:val="auto"/>
          <w:sz w:val="24"/>
          <w:highlight w:val="none"/>
          <w:lang w:val="en-US" w:eastAsia="zh-CN"/>
        </w:rPr>
        <w:t>78234.55m</w:t>
      </w:r>
      <w:r>
        <w:rPr>
          <w:rFonts w:hint="eastAsia"/>
          <w:color w:val="auto"/>
          <w:sz w:val="24"/>
          <w:highlight w:val="none"/>
          <w:vertAlign w:val="superscript"/>
          <w:lang w:val="en-US" w:eastAsia="zh-CN"/>
        </w:rPr>
        <w:t>2</w:t>
      </w:r>
      <w:r>
        <w:rPr>
          <w:rFonts w:hint="eastAsia"/>
          <w:color w:val="auto"/>
          <w:sz w:val="24"/>
          <w:highlight w:val="none"/>
          <w:lang w:val="en-US" w:eastAsia="zh-CN"/>
        </w:rPr>
        <w:t>，占地为农业设施用地（用地手续正在办理中）</w:t>
      </w:r>
      <w:r>
        <w:rPr>
          <w:rFonts w:hint="eastAsia"/>
          <w:color w:val="auto"/>
          <w:sz w:val="24"/>
          <w:highlight w:val="none"/>
          <w:lang w:eastAsia="zh-CN"/>
        </w:rPr>
        <w:t>，占地范围内无基本农田。</w:t>
      </w:r>
    </w:p>
    <w:p w14:paraId="610A4348">
      <w:pPr>
        <w:pStyle w:val="33"/>
        <w:spacing w:after="0" w:line="360" w:lineRule="auto"/>
        <w:ind w:left="0" w:leftChars="0" w:firstLine="480" w:firstLineChars="200"/>
        <w:rPr>
          <w:rFonts w:hint="default" w:eastAsia="宋体"/>
          <w:color w:val="auto"/>
          <w:sz w:val="24"/>
          <w:highlight w:val="none"/>
          <w:vertAlign w:val="baseline"/>
          <w:lang w:val="en-US" w:eastAsia="zh-CN"/>
        </w:rPr>
      </w:pPr>
      <w:r>
        <w:rPr>
          <w:color w:val="auto"/>
          <w:sz w:val="24"/>
          <w:highlight w:val="none"/>
        </w:rPr>
        <w:t>建筑面积：</w:t>
      </w:r>
      <w:r>
        <w:rPr>
          <w:rFonts w:hint="eastAsia"/>
          <w:color w:val="auto"/>
          <w:sz w:val="24"/>
          <w:highlight w:val="none"/>
          <w:lang w:eastAsia="zh-CN"/>
        </w:rPr>
        <w:t>总建筑面积为</w:t>
      </w:r>
      <w:r>
        <w:rPr>
          <w:rFonts w:hint="eastAsia"/>
          <w:color w:val="auto"/>
          <w:sz w:val="24"/>
          <w:highlight w:val="none"/>
          <w:lang w:val="en-US" w:eastAsia="zh-CN"/>
        </w:rPr>
        <w:t>40046.37</w:t>
      </w:r>
      <w:r>
        <w:rPr>
          <w:color w:val="auto"/>
          <w:sz w:val="24"/>
          <w:highlight w:val="none"/>
        </w:rPr>
        <w:t>m</w:t>
      </w:r>
      <w:r>
        <w:rPr>
          <w:color w:val="auto"/>
          <w:sz w:val="24"/>
          <w:highlight w:val="none"/>
          <w:vertAlign w:val="superscript"/>
        </w:rPr>
        <w:t>2</w:t>
      </w:r>
      <w:r>
        <w:rPr>
          <w:rFonts w:hint="eastAsia"/>
          <w:color w:val="auto"/>
          <w:sz w:val="24"/>
          <w:highlight w:val="none"/>
          <w:vertAlign w:val="baseline"/>
          <w:lang w:eastAsia="zh-CN"/>
        </w:rPr>
        <w:t>，建设鸡舍</w:t>
      </w:r>
      <w:r>
        <w:rPr>
          <w:rFonts w:hint="eastAsia"/>
          <w:color w:val="auto"/>
          <w:sz w:val="24"/>
          <w:highlight w:val="none"/>
          <w:vertAlign w:val="baseline"/>
          <w:lang w:val="en-US" w:eastAsia="zh-CN"/>
        </w:rPr>
        <w:t>8栋，临时储粪场、蛋库、办公室、发电机房、锅炉房、设备用房各1座，消毒室3座，门卫2座。</w:t>
      </w:r>
    </w:p>
    <w:p w14:paraId="6D52F8DD">
      <w:pPr>
        <w:pStyle w:val="33"/>
        <w:spacing w:after="0" w:line="360" w:lineRule="auto"/>
        <w:ind w:left="0" w:leftChars="0" w:firstLine="480" w:firstLineChars="200"/>
        <w:rPr>
          <w:color w:val="auto"/>
          <w:sz w:val="24"/>
          <w:highlight w:val="none"/>
        </w:rPr>
      </w:pPr>
      <w:r>
        <w:rPr>
          <w:color w:val="auto"/>
          <w:sz w:val="24"/>
          <w:highlight w:val="none"/>
        </w:rPr>
        <w:t>劳动定员：</w:t>
      </w:r>
      <w:r>
        <w:rPr>
          <w:rFonts w:hint="eastAsia"/>
          <w:color w:val="auto"/>
          <w:sz w:val="24"/>
          <w:highlight w:val="none"/>
        </w:rPr>
        <w:t>新增劳动定员</w:t>
      </w:r>
      <w:r>
        <w:rPr>
          <w:rFonts w:hint="eastAsia"/>
          <w:color w:val="auto"/>
          <w:sz w:val="24"/>
          <w:highlight w:val="none"/>
          <w:lang w:val="en-US" w:eastAsia="zh-CN"/>
        </w:rPr>
        <w:t>60</w:t>
      </w:r>
      <w:r>
        <w:rPr>
          <w:rFonts w:hint="eastAsia"/>
          <w:color w:val="auto"/>
          <w:sz w:val="24"/>
          <w:highlight w:val="none"/>
        </w:rPr>
        <w:t>人</w:t>
      </w:r>
      <w:r>
        <w:rPr>
          <w:rFonts w:hint="eastAsia"/>
          <w:color w:val="auto"/>
          <w:sz w:val="24"/>
          <w:szCs w:val="24"/>
          <w:highlight w:val="none"/>
          <w:lang w:eastAsia="zh-CN"/>
        </w:rPr>
        <w:t>；</w:t>
      </w:r>
    </w:p>
    <w:p w14:paraId="0C7FD5A5">
      <w:pPr>
        <w:pStyle w:val="33"/>
        <w:spacing w:after="0" w:line="360" w:lineRule="auto"/>
        <w:ind w:left="0" w:leftChars="0" w:firstLine="480" w:firstLineChars="200"/>
        <w:rPr>
          <w:rFonts w:hint="eastAsia"/>
          <w:color w:val="auto"/>
          <w:sz w:val="24"/>
          <w:szCs w:val="24"/>
          <w:highlight w:val="none"/>
          <w:lang w:eastAsia="zh-CN"/>
        </w:rPr>
      </w:pPr>
      <w:r>
        <w:rPr>
          <w:rFonts w:hint="eastAsia"/>
          <w:color w:val="auto"/>
          <w:sz w:val="24"/>
          <w:highlight w:val="none"/>
        </w:rPr>
        <w:t>工作制度：</w:t>
      </w:r>
      <w:r>
        <w:rPr>
          <w:rFonts w:hint="eastAsia" w:ascii="宋体" w:hAnsi="宋体" w:eastAsia="宋体" w:cs="宋体"/>
          <w:color w:val="auto"/>
          <w:spacing w:val="15"/>
          <w:sz w:val="24"/>
          <w:szCs w:val="24"/>
          <w:highlight w:val="none"/>
          <w:lang w:eastAsia="zh-CN"/>
        </w:rPr>
        <w:t>每天</w:t>
      </w:r>
      <w:r>
        <w:rPr>
          <w:rFonts w:hint="eastAsia" w:ascii="宋体" w:hAnsi="宋体" w:eastAsia="宋体" w:cs="宋体"/>
          <w:color w:val="auto"/>
          <w:spacing w:val="15"/>
          <w:sz w:val="24"/>
          <w:szCs w:val="24"/>
          <w:highlight w:val="none"/>
          <w:lang w:val="en-US" w:eastAsia="zh-CN"/>
        </w:rPr>
        <w:t>1班制</w:t>
      </w:r>
      <w:r>
        <w:rPr>
          <w:rFonts w:ascii="宋体" w:hAnsi="宋体" w:eastAsia="宋体" w:cs="宋体"/>
          <w:color w:val="auto"/>
          <w:spacing w:val="15"/>
          <w:sz w:val="24"/>
          <w:szCs w:val="24"/>
          <w:highlight w:val="none"/>
        </w:rPr>
        <w:t>，每</w:t>
      </w:r>
      <w:r>
        <w:rPr>
          <w:rFonts w:hint="eastAsia" w:ascii="宋体" w:hAnsi="宋体" w:eastAsia="宋体" w:cs="宋体"/>
          <w:color w:val="auto"/>
          <w:spacing w:val="15"/>
          <w:sz w:val="24"/>
          <w:szCs w:val="24"/>
          <w:highlight w:val="none"/>
          <w:lang w:eastAsia="zh-CN"/>
        </w:rPr>
        <w:t>班</w:t>
      </w:r>
      <w:r>
        <w:rPr>
          <w:rFonts w:ascii="Times New Roman" w:hAnsi="Times New Roman" w:eastAsia="Times New Roman" w:cs="Times New Roman"/>
          <w:color w:val="auto"/>
          <w:spacing w:val="15"/>
          <w:sz w:val="24"/>
          <w:szCs w:val="24"/>
          <w:highlight w:val="none"/>
        </w:rPr>
        <w:t>8</w:t>
      </w:r>
      <w:r>
        <w:rPr>
          <w:rFonts w:ascii="宋体" w:hAnsi="宋体" w:eastAsia="宋体" w:cs="宋体"/>
          <w:color w:val="auto"/>
          <w:spacing w:val="15"/>
          <w:sz w:val="24"/>
          <w:szCs w:val="24"/>
          <w:highlight w:val="none"/>
        </w:rPr>
        <w:t>小时，年</w:t>
      </w:r>
      <w:r>
        <w:rPr>
          <w:rFonts w:ascii="宋体" w:hAnsi="宋体" w:eastAsia="宋体" w:cs="宋体"/>
          <w:color w:val="auto"/>
          <w:spacing w:val="1"/>
          <w:sz w:val="24"/>
          <w:szCs w:val="24"/>
          <w:highlight w:val="none"/>
        </w:rPr>
        <w:t>工作</w:t>
      </w:r>
      <w:r>
        <w:rPr>
          <w:rFonts w:hint="eastAsia" w:eastAsia="宋体" w:cs="Times New Roman"/>
          <w:color w:val="auto"/>
          <w:spacing w:val="1"/>
          <w:sz w:val="24"/>
          <w:szCs w:val="24"/>
          <w:highlight w:val="none"/>
          <w:lang w:val="en-US" w:eastAsia="zh-CN"/>
        </w:rPr>
        <w:t>360</w:t>
      </w:r>
      <w:r>
        <w:rPr>
          <w:rFonts w:ascii="宋体" w:hAnsi="宋体" w:eastAsia="宋体" w:cs="宋体"/>
          <w:color w:val="auto"/>
          <w:spacing w:val="1"/>
          <w:sz w:val="24"/>
          <w:szCs w:val="24"/>
          <w:highlight w:val="none"/>
        </w:rPr>
        <w:t>天</w:t>
      </w:r>
      <w:r>
        <w:rPr>
          <w:rFonts w:hint="eastAsia"/>
          <w:color w:val="auto"/>
          <w:sz w:val="24"/>
          <w:szCs w:val="24"/>
          <w:highlight w:val="none"/>
          <w:lang w:eastAsia="zh-CN"/>
        </w:rPr>
        <w:t>。</w:t>
      </w:r>
    </w:p>
    <w:p w14:paraId="6F73132A">
      <w:pPr>
        <w:pStyle w:val="33"/>
        <w:spacing w:after="0" w:line="360" w:lineRule="auto"/>
        <w:ind w:left="0" w:leftChars="0" w:firstLine="480" w:firstLineChars="200"/>
        <w:rPr>
          <w:rFonts w:hint="default"/>
          <w:color w:val="auto"/>
          <w:sz w:val="24"/>
          <w:highlight w:val="none"/>
          <w:lang w:val="en-US"/>
        </w:rPr>
      </w:pPr>
      <w:r>
        <w:rPr>
          <w:rFonts w:hint="eastAsia"/>
          <w:color w:val="auto"/>
          <w:sz w:val="24"/>
          <w:highlight w:val="none"/>
          <w:lang w:eastAsia="zh-CN"/>
        </w:rPr>
        <w:t>建设周期：预计于</w:t>
      </w:r>
      <w:r>
        <w:rPr>
          <w:rFonts w:hint="eastAsia"/>
          <w:color w:val="auto"/>
          <w:sz w:val="24"/>
          <w:highlight w:val="none"/>
          <w:lang w:val="en-US" w:eastAsia="zh-CN"/>
        </w:rPr>
        <w:t>2025年3月开工建设，2025年9月投产，建设周期6个月。</w:t>
      </w:r>
    </w:p>
    <w:p w14:paraId="243E4D25">
      <w:pPr>
        <w:pStyle w:val="3"/>
        <w:adjustRightInd w:val="0"/>
        <w:jc w:val="both"/>
        <w:rPr>
          <w:rFonts w:hint="default" w:eastAsia="宋体"/>
          <w:color w:val="auto"/>
          <w:sz w:val="30"/>
          <w:szCs w:val="30"/>
          <w:lang w:val="en-US" w:eastAsia="zh-CN"/>
        </w:rPr>
      </w:pPr>
      <w:bookmarkStart w:id="152" w:name="_Toc6516"/>
      <w:bookmarkStart w:id="153" w:name="_Toc12398"/>
      <w:r>
        <w:rPr>
          <w:rFonts w:hint="eastAsia" w:eastAsia="宋体"/>
          <w:color w:val="auto"/>
          <w:sz w:val="30"/>
          <w:szCs w:val="30"/>
          <w:lang w:val="en-US" w:eastAsia="zh-CN"/>
        </w:rPr>
        <w:t>3.2项目建设内容</w:t>
      </w:r>
      <w:bookmarkEnd w:id="152"/>
      <w:bookmarkEnd w:id="153"/>
    </w:p>
    <w:p w14:paraId="374B6901">
      <w:pPr>
        <w:pStyle w:val="4"/>
        <w:snapToGrid w:val="0"/>
        <w:spacing w:before="0"/>
        <w:rPr>
          <w:rFonts w:hint="eastAsia" w:ascii="Times New Roman" w:hAnsi="Times New Roman" w:eastAsia="宋体"/>
          <w:bCs/>
          <w:color w:val="auto"/>
          <w:sz w:val="28"/>
          <w:szCs w:val="28"/>
          <w:lang w:eastAsia="zh-CN"/>
        </w:rPr>
      </w:pPr>
      <w:bookmarkStart w:id="154" w:name="_Toc30239"/>
      <w:r>
        <w:rPr>
          <w:rFonts w:hint="eastAsia" w:ascii="Times New Roman" w:hAnsi="Times New Roman" w:eastAsia="宋体"/>
          <w:bCs/>
          <w:color w:val="auto"/>
          <w:sz w:val="28"/>
          <w:szCs w:val="28"/>
        </w:rPr>
        <w:t>3.</w:t>
      </w:r>
      <w:r>
        <w:rPr>
          <w:rFonts w:hint="eastAsia" w:ascii="Times New Roman" w:hAnsi="Times New Roman" w:eastAsia="宋体"/>
          <w:bCs/>
          <w:color w:val="auto"/>
          <w:sz w:val="28"/>
          <w:szCs w:val="28"/>
          <w:lang w:val="en-US" w:eastAsia="zh-CN"/>
        </w:rPr>
        <w:t>2.1</w:t>
      </w:r>
      <w:r>
        <w:rPr>
          <w:rFonts w:hint="eastAsia" w:ascii="Times New Roman" w:hAnsi="Times New Roman" w:eastAsia="宋体"/>
          <w:bCs/>
          <w:color w:val="auto"/>
          <w:sz w:val="28"/>
          <w:szCs w:val="28"/>
        </w:rPr>
        <w:t>项目</w:t>
      </w:r>
      <w:r>
        <w:rPr>
          <w:rFonts w:hint="eastAsia" w:ascii="Times New Roman" w:hAnsi="Times New Roman" w:eastAsia="宋体"/>
          <w:bCs/>
          <w:color w:val="auto"/>
          <w:sz w:val="28"/>
          <w:szCs w:val="28"/>
          <w:lang w:eastAsia="zh-CN"/>
        </w:rPr>
        <w:t>工程组成</w:t>
      </w:r>
      <w:bookmarkEnd w:id="154"/>
    </w:p>
    <w:p w14:paraId="6B3D3F17">
      <w:pPr>
        <w:spacing w:line="360" w:lineRule="auto"/>
        <w:ind w:firstLine="480" w:firstLineChars="200"/>
        <w:rPr>
          <w:color w:val="auto"/>
          <w:sz w:val="24"/>
        </w:rPr>
      </w:pPr>
      <w:r>
        <w:rPr>
          <w:rFonts w:hint="eastAsia"/>
          <w:color w:val="auto"/>
          <w:sz w:val="24"/>
          <w:lang w:eastAsia="zh-CN"/>
        </w:rPr>
        <w:t>本</w:t>
      </w:r>
      <w:r>
        <w:rPr>
          <w:rFonts w:hint="eastAsia"/>
          <w:color w:val="auto"/>
          <w:sz w:val="24"/>
        </w:rPr>
        <w:t>项目工程组成情况见表3</w:t>
      </w:r>
      <w:r>
        <w:rPr>
          <w:rFonts w:hint="eastAsia"/>
          <w:color w:val="auto"/>
          <w:sz w:val="24"/>
          <w:lang w:val="en-US" w:eastAsia="zh-CN"/>
        </w:rPr>
        <w:t>.2</w:t>
      </w:r>
      <w:r>
        <w:rPr>
          <w:rFonts w:hint="eastAsia"/>
          <w:color w:val="auto"/>
          <w:sz w:val="24"/>
        </w:rPr>
        <w:t>-1。</w:t>
      </w:r>
    </w:p>
    <w:p w14:paraId="744E3E00">
      <w:pPr>
        <w:pStyle w:val="24"/>
        <w:spacing w:line="240" w:lineRule="auto"/>
        <w:ind w:firstLine="422" w:firstLineChars="200"/>
        <w:jc w:val="center"/>
        <w:rPr>
          <w:b/>
          <w:color w:val="auto"/>
          <w:sz w:val="21"/>
          <w:szCs w:val="21"/>
        </w:rPr>
      </w:pPr>
      <w:r>
        <w:rPr>
          <w:b/>
          <w:color w:val="auto"/>
          <w:sz w:val="21"/>
          <w:szCs w:val="21"/>
        </w:rPr>
        <w:t>表3</w:t>
      </w:r>
      <w:r>
        <w:rPr>
          <w:rFonts w:hint="eastAsia"/>
          <w:b/>
          <w:color w:val="auto"/>
          <w:sz w:val="21"/>
          <w:szCs w:val="21"/>
          <w:lang w:val="en-US" w:eastAsia="zh-CN"/>
        </w:rPr>
        <w:t>.2</w:t>
      </w:r>
      <w:r>
        <w:rPr>
          <w:b/>
          <w:color w:val="auto"/>
          <w:sz w:val="21"/>
          <w:szCs w:val="21"/>
        </w:rPr>
        <w:t>-</w:t>
      </w:r>
      <w:r>
        <w:rPr>
          <w:rFonts w:hint="eastAsia"/>
          <w:b/>
          <w:color w:val="auto"/>
          <w:sz w:val="21"/>
          <w:szCs w:val="21"/>
        </w:rPr>
        <w:t>1</w:t>
      </w:r>
      <w:r>
        <w:rPr>
          <w:b/>
          <w:color w:val="auto"/>
          <w:sz w:val="21"/>
          <w:szCs w:val="21"/>
        </w:rPr>
        <w:t xml:space="preserve">    </w:t>
      </w:r>
      <w:r>
        <w:rPr>
          <w:rFonts w:hint="eastAsia"/>
          <w:b/>
          <w:color w:val="auto"/>
          <w:sz w:val="21"/>
          <w:szCs w:val="21"/>
          <w:lang w:eastAsia="zh-CN"/>
        </w:rPr>
        <w:t>本</w:t>
      </w:r>
      <w:r>
        <w:rPr>
          <w:rFonts w:hint="eastAsia"/>
          <w:b/>
          <w:color w:val="auto"/>
          <w:sz w:val="21"/>
          <w:szCs w:val="21"/>
        </w:rPr>
        <w:t>项目</w:t>
      </w:r>
      <w:r>
        <w:rPr>
          <w:b/>
          <w:color w:val="auto"/>
          <w:sz w:val="21"/>
          <w:szCs w:val="21"/>
        </w:rPr>
        <w:t>工程组成一览表</w:t>
      </w:r>
    </w:p>
    <w:tbl>
      <w:tblPr>
        <w:tblStyle w:val="53"/>
        <w:tblW w:w="8525"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741"/>
        <w:gridCol w:w="8"/>
        <w:gridCol w:w="1085"/>
        <w:gridCol w:w="2969"/>
        <w:gridCol w:w="1216"/>
        <w:gridCol w:w="2079"/>
      </w:tblGrid>
      <w:tr w14:paraId="41B579F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61" w:type="dxa"/>
            <w:gridSpan w:val="4"/>
            <w:vAlign w:val="center"/>
          </w:tcPr>
          <w:p w14:paraId="7A752A15">
            <w:pPr>
              <w:jc w:val="center"/>
              <w:rPr>
                <w:b/>
                <w:color w:val="auto"/>
                <w:szCs w:val="21"/>
              </w:rPr>
            </w:pPr>
            <w:r>
              <w:rPr>
                <w:b/>
                <w:color w:val="auto"/>
                <w:szCs w:val="21"/>
              </w:rPr>
              <w:t>项目组成</w:t>
            </w:r>
          </w:p>
        </w:tc>
        <w:tc>
          <w:tcPr>
            <w:tcW w:w="2969" w:type="dxa"/>
            <w:vAlign w:val="center"/>
          </w:tcPr>
          <w:p w14:paraId="61B79C55">
            <w:pPr>
              <w:jc w:val="center"/>
              <w:rPr>
                <w:b/>
                <w:bCs/>
                <w:color w:val="auto"/>
                <w:szCs w:val="21"/>
              </w:rPr>
            </w:pPr>
            <w:r>
              <w:rPr>
                <w:b/>
                <w:bCs/>
                <w:color w:val="auto"/>
                <w:szCs w:val="21"/>
              </w:rPr>
              <w:t>建设内容</w:t>
            </w:r>
          </w:p>
        </w:tc>
        <w:tc>
          <w:tcPr>
            <w:tcW w:w="1216" w:type="dxa"/>
            <w:vAlign w:val="center"/>
          </w:tcPr>
          <w:p w14:paraId="1EBD4B07">
            <w:pPr>
              <w:jc w:val="center"/>
              <w:rPr>
                <w:b/>
                <w:bCs/>
                <w:color w:val="auto"/>
                <w:szCs w:val="21"/>
              </w:rPr>
            </w:pPr>
            <w:r>
              <w:rPr>
                <w:b/>
                <w:bCs/>
                <w:color w:val="auto"/>
                <w:szCs w:val="21"/>
              </w:rPr>
              <w:t>建筑面积</w:t>
            </w:r>
            <w:r>
              <w:rPr>
                <w:rFonts w:hint="eastAsia"/>
                <w:b/>
                <w:bCs/>
                <w:color w:val="auto"/>
                <w:szCs w:val="21"/>
              </w:rPr>
              <w:t>m</w:t>
            </w:r>
            <w:r>
              <w:rPr>
                <w:rFonts w:hint="eastAsia"/>
                <w:b/>
                <w:bCs/>
                <w:color w:val="auto"/>
                <w:szCs w:val="21"/>
                <w:vertAlign w:val="superscript"/>
              </w:rPr>
              <w:t>2</w:t>
            </w:r>
          </w:p>
        </w:tc>
        <w:tc>
          <w:tcPr>
            <w:tcW w:w="2079" w:type="dxa"/>
            <w:vAlign w:val="center"/>
          </w:tcPr>
          <w:p w14:paraId="4BD59ED4">
            <w:pPr>
              <w:jc w:val="center"/>
              <w:rPr>
                <w:b/>
                <w:bCs/>
                <w:color w:val="auto"/>
                <w:szCs w:val="21"/>
              </w:rPr>
            </w:pPr>
            <w:r>
              <w:rPr>
                <w:b/>
                <w:bCs/>
                <w:color w:val="auto"/>
                <w:szCs w:val="21"/>
              </w:rPr>
              <w:t>备注</w:t>
            </w:r>
          </w:p>
        </w:tc>
      </w:tr>
      <w:tr w14:paraId="73433D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restart"/>
            <w:vAlign w:val="center"/>
          </w:tcPr>
          <w:p w14:paraId="16557D57">
            <w:pPr>
              <w:jc w:val="center"/>
              <w:rPr>
                <w:color w:val="auto"/>
                <w:szCs w:val="21"/>
              </w:rPr>
            </w:pPr>
            <w:r>
              <w:rPr>
                <w:b/>
                <w:bCs/>
                <w:color w:val="auto"/>
                <w:szCs w:val="21"/>
              </w:rPr>
              <w:t>主体工程</w:t>
            </w:r>
          </w:p>
        </w:tc>
        <w:tc>
          <w:tcPr>
            <w:tcW w:w="1834" w:type="dxa"/>
            <w:gridSpan w:val="3"/>
            <w:vAlign w:val="center"/>
          </w:tcPr>
          <w:p w14:paraId="3E06FDCC">
            <w:pPr>
              <w:snapToGrid w:val="0"/>
              <w:jc w:val="center"/>
              <w:rPr>
                <w:color w:val="auto"/>
                <w:szCs w:val="21"/>
              </w:rPr>
            </w:pPr>
            <w:r>
              <w:rPr>
                <w:color w:val="auto"/>
                <w:szCs w:val="21"/>
              </w:rPr>
              <w:t>蛋鸡鸡舍1#</w:t>
            </w:r>
          </w:p>
        </w:tc>
        <w:tc>
          <w:tcPr>
            <w:tcW w:w="2969" w:type="dxa"/>
            <w:vMerge w:val="restart"/>
            <w:vAlign w:val="center"/>
          </w:tcPr>
          <w:p w14:paraId="2DF09A87">
            <w:pPr>
              <w:jc w:val="center"/>
              <w:rPr>
                <w:rFonts w:hint="default" w:eastAsia="宋体"/>
                <w:color w:val="auto"/>
                <w:szCs w:val="21"/>
                <w:lang w:val="en-US" w:eastAsia="zh-CN"/>
              </w:rPr>
            </w:pPr>
            <w:r>
              <w:rPr>
                <w:color w:val="auto"/>
                <w:szCs w:val="21"/>
              </w:rPr>
              <w:t>每栋鸡舍土建尺寸</w:t>
            </w:r>
            <w:r>
              <w:rPr>
                <w:rFonts w:hint="eastAsia"/>
                <w:color w:val="auto"/>
                <w:szCs w:val="21"/>
                <w:lang w:val="en-US" w:eastAsia="zh-CN"/>
              </w:rPr>
              <w:t>110</w:t>
            </w:r>
            <w:r>
              <w:rPr>
                <w:color w:val="auto"/>
                <w:szCs w:val="21"/>
              </w:rPr>
              <w:t>×15×</w:t>
            </w:r>
            <w:r>
              <w:rPr>
                <w:rFonts w:hint="eastAsia"/>
                <w:color w:val="auto"/>
                <w:szCs w:val="21"/>
              </w:rPr>
              <w:t>7.6</w:t>
            </w:r>
            <w:r>
              <w:rPr>
                <w:color w:val="auto"/>
                <w:szCs w:val="21"/>
              </w:rPr>
              <w:t>，单层，砖混墙体+彩钢顶结构</w:t>
            </w:r>
            <w:r>
              <w:rPr>
                <w:rFonts w:hint="eastAsia"/>
                <w:color w:val="auto"/>
                <w:szCs w:val="21"/>
                <w:lang w:eastAsia="zh-CN"/>
              </w:rPr>
              <w:t>，鸡舍东侧</w:t>
            </w:r>
            <w:r>
              <w:rPr>
                <w:rFonts w:hint="eastAsia"/>
                <w:color w:val="auto"/>
                <w:szCs w:val="21"/>
                <w:lang w:val="en-US" w:eastAsia="zh-CN"/>
              </w:rPr>
              <w:t>30m</w:t>
            </w:r>
            <w:r>
              <w:rPr>
                <w:rFonts w:hint="eastAsia"/>
                <w:color w:val="auto"/>
                <w:szCs w:val="21"/>
                <w:lang w:eastAsia="zh-CN"/>
              </w:rPr>
              <w:t>为二层控制间，单栋鸡舍建筑面积为</w:t>
            </w:r>
            <w:r>
              <w:rPr>
                <w:rFonts w:hint="eastAsia"/>
                <w:color w:val="auto"/>
                <w:szCs w:val="21"/>
                <w:lang w:val="en-US" w:eastAsia="zh-CN"/>
              </w:rPr>
              <w:t>3537.82m</w:t>
            </w:r>
            <w:r>
              <w:rPr>
                <w:rFonts w:hint="eastAsia"/>
                <w:color w:val="auto"/>
                <w:szCs w:val="21"/>
                <w:vertAlign w:val="superscript"/>
                <w:lang w:val="en-US" w:eastAsia="zh-CN"/>
              </w:rPr>
              <w:t>2</w:t>
            </w:r>
            <w:r>
              <w:rPr>
                <w:rFonts w:hint="eastAsia"/>
                <w:color w:val="auto"/>
                <w:szCs w:val="21"/>
                <w:lang w:val="en-US" w:eastAsia="zh-CN"/>
              </w:rPr>
              <w:t>。</w:t>
            </w:r>
          </w:p>
          <w:p w14:paraId="758AAD97">
            <w:pPr>
              <w:jc w:val="center"/>
              <w:rPr>
                <w:rFonts w:hint="eastAsia" w:eastAsia="宋体"/>
                <w:color w:val="auto"/>
                <w:szCs w:val="21"/>
                <w:lang w:eastAsia="zh-CN"/>
              </w:rPr>
            </w:pPr>
            <w:r>
              <w:rPr>
                <w:color w:val="auto"/>
                <w:szCs w:val="21"/>
              </w:rPr>
              <w:t>每栋</w:t>
            </w:r>
            <w:r>
              <w:rPr>
                <w:rFonts w:hint="eastAsia"/>
                <w:color w:val="auto"/>
                <w:szCs w:val="21"/>
              </w:rPr>
              <w:t>蛋</w:t>
            </w:r>
            <w:r>
              <w:rPr>
                <w:color w:val="auto"/>
                <w:szCs w:val="21"/>
              </w:rPr>
              <w:t>鸡舍外有2个自动称重料塔</w:t>
            </w:r>
            <w:r>
              <w:rPr>
                <w:rFonts w:hint="eastAsia"/>
                <w:color w:val="auto"/>
                <w:szCs w:val="21"/>
              </w:rPr>
              <w:t>，</w:t>
            </w:r>
            <w:r>
              <w:rPr>
                <w:color w:val="auto"/>
                <w:szCs w:val="21"/>
              </w:rPr>
              <w:t>直径</w:t>
            </w:r>
            <w:r>
              <w:rPr>
                <w:rFonts w:hint="eastAsia"/>
                <w:color w:val="auto"/>
                <w:szCs w:val="21"/>
              </w:rPr>
              <w:t>2.7</w:t>
            </w:r>
            <w:r>
              <w:rPr>
                <w:color w:val="auto"/>
                <w:szCs w:val="21"/>
              </w:rPr>
              <w:t>米，高</w:t>
            </w:r>
            <w:r>
              <w:rPr>
                <w:rFonts w:hint="eastAsia"/>
                <w:color w:val="auto"/>
                <w:szCs w:val="21"/>
              </w:rPr>
              <w:t>6.45</w:t>
            </w:r>
            <w:r>
              <w:rPr>
                <w:color w:val="auto"/>
                <w:szCs w:val="21"/>
              </w:rPr>
              <w:t>米，容积</w:t>
            </w:r>
            <w:r>
              <w:rPr>
                <w:rFonts w:hint="eastAsia"/>
                <w:color w:val="auto"/>
                <w:szCs w:val="21"/>
              </w:rPr>
              <w:t>25.48</w:t>
            </w:r>
            <w:r>
              <w:rPr>
                <w:color w:val="auto"/>
                <w:szCs w:val="21"/>
              </w:rPr>
              <w:t>m</w:t>
            </w:r>
            <w:r>
              <w:rPr>
                <w:color w:val="auto"/>
                <w:szCs w:val="21"/>
                <w:vertAlign w:val="superscript"/>
              </w:rPr>
              <w:t>3</w:t>
            </w:r>
            <w:r>
              <w:rPr>
                <w:color w:val="auto"/>
                <w:szCs w:val="21"/>
              </w:rPr>
              <w:t>，可容纳</w:t>
            </w:r>
            <w:r>
              <w:rPr>
                <w:rFonts w:hint="eastAsia"/>
                <w:color w:val="auto"/>
                <w:szCs w:val="21"/>
              </w:rPr>
              <w:t>18</w:t>
            </w:r>
            <w:r>
              <w:rPr>
                <w:color w:val="auto"/>
                <w:szCs w:val="21"/>
              </w:rPr>
              <w:t>吨饲料</w:t>
            </w:r>
            <w:r>
              <w:rPr>
                <w:rFonts w:hint="eastAsia"/>
                <w:color w:val="auto"/>
                <w:szCs w:val="21"/>
                <w:lang w:eastAsia="zh-CN"/>
              </w:rPr>
              <w:t>。</w:t>
            </w:r>
          </w:p>
        </w:tc>
        <w:tc>
          <w:tcPr>
            <w:tcW w:w="1216" w:type="dxa"/>
            <w:vMerge w:val="restart"/>
            <w:vAlign w:val="center"/>
          </w:tcPr>
          <w:p w14:paraId="66409117">
            <w:pPr>
              <w:jc w:val="center"/>
              <w:rPr>
                <w:rFonts w:hint="default" w:eastAsia="宋体"/>
                <w:color w:val="auto"/>
                <w:szCs w:val="21"/>
                <w:lang w:val="en-US" w:eastAsia="zh-CN"/>
              </w:rPr>
            </w:pPr>
            <w:r>
              <w:rPr>
                <w:rFonts w:hint="eastAsia"/>
                <w:color w:val="auto"/>
                <w:szCs w:val="21"/>
                <w:lang w:val="en-US" w:eastAsia="zh-CN"/>
              </w:rPr>
              <w:t>3537.82</w:t>
            </w:r>
            <w:r>
              <w:rPr>
                <w:rFonts w:hint="default" w:ascii="Arial" w:hAnsi="Arial" w:cs="Arial"/>
                <w:color w:val="auto"/>
                <w:szCs w:val="21"/>
                <w:lang w:val="en-US" w:eastAsia="zh-CN"/>
              </w:rPr>
              <w:t>×</w:t>
            </w:r>
            <w:r>
              <w:rPr>
                <w:rFonts w:hint="eastAsia"/>
                <w:color w:val="auto"/>
                <w:szCs w:val="21"/>
                <w:lang w:val="en-US" w:eastAsia="zh-CN"/>
              </w:rPr>
              <w:t>8=28302.56</w:t>
            </w:r>
          </w:p>
        </w:tc>
        <w:tc>
          <w:tcPr>
            <w:tcW w:w="2079" w:type="dxa"/>
            <w:vMerge w:val="restart"/>
            <w:vAlign w:val="center"/>
          </w:tcPr>
          <w:p w14:paraId="4D918DAD">
            <w:pPr>
              <w:jc w:val="center"/>
              <w:rPr>
                <w:color w:val="auto"/>
                <w:szCs w:val="21"/>
              </w:rPr>
            </w:pPr>
            <w:r>
              <w:rPr>
                <w:color w:val="auto"/>
                <w:szCs w:val="21"/>
              </w:rPr>
              <w:t>鸡舍笼具设备，采用自动饲喂系统、自动饮水系统、自动除粪系统、环控系统、保温系统、水帘系统</w:t>
            </w:r>
          </w:p>
        </w:tc>
      </w:tr>
      <w:tr w14:paraId="16746A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69D921A9">
            <w:pPr>
              <w:jc w:val="center"/>
              <w:rPr>
                <w:b/>
                <w:bCs/>
                <w:color w:val="auto"/>
                <w:szCs w:val="21"/>
              </w:rPr>
            </w:pPr>
          </w:p>
        </w:tc>
        <w:tc>
          <w:tcPr>
            <w:tcW w:w="1834" w:type="dxa"/>
            <w:gridSpan w:val="3"/>
            <w:vAlign w:val="center"/>
          </w:tcPr>
          <w:p w14:paraId="75B33E4C">
            <w:pPr>
              <w:snapToGrid w:val="0"/>
              <w:jc w:val="center"/>
              <w:rPr>
                <w:color w:val="auto"/>
                <w:szCs w:val="21"/>
              </w:rPr>
            </w:pPr>
            <w:r>
              <w:rPr>
                <w:color w:val="auto"/>
                <w:szCs w:val="21"/>
              </w:rPr>
              <w:t>蛋鸡鸡舍</w:t>
            </w:r>
            <w:r>
              <w:rPr>
                <w:rFonts w:hint="eastAsia"/>
                <w:color w:val="auto"/>
                <w:szCs w:val="21"/>
                <w:lang w:val="en-US" w:eastAsia="zh-CN"/>
              </w:rPr>
              <w:t>2</w:t>
            </w:r>
            <w:r>
              <w:rPr>
                <w:color w:val="auto"/>
                <w:szCs w:val="21"/>
              </w:rPr>
              <w:t>#</w:t>
            </w:r>
          </w:p>
        </w:tc>
        <w:tc>
          <w:tcPr>
            <w:tcW w:w="2969" w:type="dxa"/>
            <w:vMerge w:val="continue"/>
            <w:vAlign w:val="center"/>
          </w:tcPr>
          <w:p w14:paraId="359F1C35">
            <w:pPr>
              <w:jc w:val="center"/>
              <w:rPr>
                <w:color w:val="auto"/>
                <w:szCs w:val="21"/>
              </w:rPr>
            </w:pPr>
          </w:p>
        </w:tc>
        <w:tc>
          <w:tcPr>
            <w:tcW w:w="1216" w:type="dxa"/>
            <w:vMerge w:val="continue"/>
            <w:vAlign w:val="center"/>
          </w:tcPr>
          <w:p w14:paraId="37397580">
            <w:pPr>
              <w:jc w:val="center"/>
              <w:rPr>
                <w:rFonts w:hint="eastAsia"/>
                <w:color w:val="auto"/>
                <w:szCs w:val="21"/>
              </w:rPr>
            </w:pPr>
          </w:p>
        </w:tc>
        <w:tc>
          <w:tcPr>
            <w:tcW w:w="2079" w:type="dxa"/>
            <w:vMerge w:val="continue"/>
            <w:vAlign w:val="center"/>
          </w:tcPr>
          <w:p w14:paraId="51AABCEE">
            <w:pPr>
              <w:jc w:val="center"/>
              <w:rPr>
                <w:color w:val="auto"/>
                <w:szCs w:val="21"/>
              </w:rPr>
            </w:pPr>
          </w:p>
        </w:tc>
      </w:tr>
      <w:tr w14:paraId="6C3523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2AF35733">
            <w:pPr>
              <w:jc w:val="center"/>
              <w:rPr>
                <w:b/>
                <w:bCs/>
                <w:color w:val="auto"/>
                <w:szCs w:val="21"/>
              </w:rPr>
            </w:pPr>
          </w:p>
        </w:tc>
        <w:tc>
          <w:tcPr>
            <w:tcW w:w="1834" w:type="dxa"/>
            <w:gridSpan w:val="3"/>
            <w:vAlign w:val="center"/>
          </w:tcPr>
          <w:p w14:paraId="5B804249">
            <w:pPr>
              <w:snapToGrid w:val="0"/>
              <w:jc w:val="center"/>
              <w:rPr>
                <w:color w:val="auto"/>
                <w:szCs w:val="21"/>
              </w:rPr>
            </w:pPr>
            <w:r>
              <w:rPr>
                <w:color w:val="auto"/>
                <w:szCs w:val="21"/>
              </w:rPr>
              <w:t>蛋鸡鸡舍</w:t>
            </w:r>
            <w:r>
              <w:rPr>
                <w:rFonts w:hint="eastAsia"/>
                <w:color w:val="auto"/>
                <w:szCs w:val="21"/>
                <w:lang w:val="en-US" w:eastAsia="zh-CN"/>
              </w:rPr>
              <w:t>3</w:t>
            </w:r>
            <w:r>
              <w:rPr>
                <w:color w:val="auto"/>
                <w:szCs w:val="21"/>
              </w:rPr>
              <w:t>#</w:t>
            </w:r>
          </w:p>
        </w:tc>
        <w:tc>
          <w:tcPr>
            <w:tcW w:w="2969" w:type="dxa"/>
            <w:vMerge w:val="continue"/>
            <w:vAlign w:val="center"/>
          </w:tcPr>
          <w:p w14:paraId="5BB0CEEA">
            <w:pPr>
              <w:jc w:val="center"/>
              <w:rPr>
                <w:color w:val="auto"/>
                <w:szCs w:val="21"/>
              </w:rPr>
            </w:pPr>
          </w:p>
        </w:tc>
        <w:tc>
          <w:tcPr>
            <w:tcW w:w="1216" w:type="dxa"/>
            <w:vMerge w:val="continue"/>
            <w:vAlign w:val="center"/>
          </w:tcPr>
          <w:p w14:paraId="4E8E747B">
            <w:pPr>
              <w:jc w:val="center"/>
              <w:rPr>
                <w:rFonts w:hint="eastAsia"/>
                <w:color w:val="auto"/>
                <w:szCs w:val="21"/>
              </w:rPr>
            </w:pPr>
          </w:p>
        </w:tc>
        <w:tc>
          <w:tcPr>
            <w:tcW w:w="2079" w:type="dxa"/>
            <w:vMerge w:val="continue"/>
            <w:vAlign w:val="center"/>
          </w:tcPr>
          <w:p w14:paraId="23E2C581">
            <w:pPr>
              <w:jc w:val="center"/>
              <w:rPr>
                <w:color w:val="auto"/>
                <w:szCs w:val="21"/>
              </w:rPr>
            </w:pPr>
          </w:p>
        </w:tc>
      </w:tr>
      <w:tr w14:paraId="3A4E66F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21644F1A">
            <w:pPr>
              <w:jc w:val="center"/>
              <w:rPr>
                <w:b/>
                <w:bCs/>
                <w:color w:val="auto"/>
                <w:szCs w:val="21"/>
              </w:rPr>
            </w:pPr>
          </w:p>
        </w:tc>
        <w:tc>
          <w:tcPr>
            <w:tcW w:w="1834" w:type="dxa"/>
            <w:gridSpan w:val="3"/>
            <w:vAlign w:val="center"/>
          </w:tcPr>
          <w:p w14:paraId="69415D0F">
            <w:pPr>
              <w:snapToGrid w:val="0"/>
              <w:jc w:val="center"/>
              <w:rPr>
                <w:color w:val="auto"/>
                <w:szCs w:val="21"/>
              </w:rPr>
            </w:pPr>
            <w:r>
              <w:rPr>
                <w:color w:val="auto"/>
                <w:szCs w:val="21"/>
              </w:rPr>
              <w:t>蛋鸡鸡舍</w:t>
            </w:r>
            <w:r>
              <w:rPr>
                <w:rFonts w:hint="eastAsia"/>
                <w:color w:val="auto"/>
                <w:szCs w:val="21"/>
                <w:lang w:val="en-US" w:eastAsia="zh-CN"/>
              </w:rPr>
              <w:t>4</w:t>
            </w:r>
            <w:r>
              <w:rPr>
                <w:color w:val="auto"/>
                <w:szCs w:val="21"/>
              </w:rPr>
              <w:t>#</w:t>
            </w:r>
          </w:p>
        </w:tc>
        <w:tc>
          <w:tcPr>
            <w:tcW w:w="2969" w:type="dxa"/>
            <w:vMerge w:val="continue"/>
            <w:vAlign w:val="center"/>
          </w:tcPr>
          <w:p w14:paraId="2AF7A9D4">
            <w:pPr>
              <w:jc w:val="center"/>
              <w:rPr>
                <w:color w:val="auto"/>
                <w:szCs w:val="21"/>
              </w:rPr>
            </w:pPr>
          </w:p>
        </w:tc>
        <w:tc>
          <w:tcPr>
            <w:tcW w:w="1216" w:type="dxa"/>
            <w:vMerge w:val="continue"/>
            <w:vAlign w:val="center"/>
          </w:tcPr>
          <w:p w14:paraId="2B525D98">
            <w:pPr>
              <w:jc w:val="center"/>
              <w:rPr>
                <w:rFonts w:hint="eastAsia"/>
                <w:color w:val="auto"/>
                <w:szCs w:val="21"/>
              </w:rPr>
            </w:pPr>
          </w:p>
        </w:tc>
        <w:tc>
          <w:tcPr>
            <w:tcW w:w="2079" w:type="dxa"/>
            <w:vMerge w:val="continue"/>
            <w:vAlign w:val="center"/>
          </w:tcPr>
          <w:p w14:paraId="066497F1">
            <w:pPr>
              <w:jc w:val="center"/>
              <w:rPr>
                <w:color w:val="auto"/>
                <w:szCs w:val="21"/>
              </w:rPr>
            </w:pPr>
          </w:p>
        </w:tc>
      </w:tr>
      <w:tr w14:paraId="17B4A98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144F3E4B">
            <w:pPr>
              <w:jc w:val="center"/>
              <w:rPr>
                <w:b/>
                <w:bCs/>
                <w:color w:val="auto"/>
                <w:szCs w:val="21"/>
              </w:rPr>
            </w:pPr>
          </w:p>
        </w:tc>
        <w:tc>
          <w:tcPr>
            <w:tcW w:w="1834" w:type="dxa"/>
            <w:gridSpan w:val="3"/>
            <w:vAlign w:val="center"/>
          </w:tcPr>
          <w:p w14:paraId="38B1EFBD">
            <w:pPr>
              <w:snapToGrid w:val="0"/>
              <w:jc w:val="center"/>
              <w:rPr>
                <w:color w:val="auto"/>
                <w:szCs w:val="21"/>
              </w:rPr>
            </w:pPr>
            <w:r>
              <w:rPr>
                <w:color w:val="auto"/>
                <w:szCs w:val="21"/>
              </w:rPr>
              <w:t>蛋鸡鸡舍</w:t>
            </w:r>
            <w:r>
              <w:rPr>
                <w:rFonts w:hint="eastAsia"/>
                <w:color w:val="auto"/>
                <w:szCs w:val="21"/>
                <w:lang w:val="en-US" w:eastAsia="zh-CN"/>
              </w:rPr>
              <w:t>5</w:t>
            </w:r>
            <w:r>
              <w:rPr>
                <w:color w:val="auto"/>
                <w:szCs w:val="21"/>
              </w:rPr>
              <w:t>#</w:t>
            </w:r>
          </w:p>
        </w:tc>
        <w:tc>
          <w:tcPr>
            <w:tcW w:w="2969" w:type="dxa"/>
            <w:vMerge w:val="continue"/>
            <w:vAlign w:val="center"/>
          </w:tcPr>
          <w:p w14:paraId="0DF5A7E6">
            <w:pPr>
              <w:jc w:val="center"/>
              <w:rPr>
                <w:color w:val="auto"/>
                <w:szCs w:val="21"/>
              </w:rPr>
            </w:pPr>
          </w:p>
        </w:tc>
        <w:tc>
          <w:tcPr>
            <w:tcW w:w="1216" w:type="dxa"/>
            <w:vMerge w:val="continue"/>
            <w:vAlign w:val="center"/>
          </w:tcPr>
          <w:p w14:paraId="40451124">
            <w:pPr>
              <w:jc w:val="center"/>
              <w:rPr>
                <w:rFonts w:hint="eastAsia"/>
                <w:color w:val="auto"/>
                <w:szCs w:val="21"/>
              </w:rPr>
            </w:pPr>
          </w:p>
        </w:tc>
        <w:tc>
          <w:tcPr>
            <w:tcW w:w="2079" w:type="dxa"/>
            <w:vMerge w:val="continue"/>
            <w:vAlign w:val="center"/>
          </w:tcPr>
          <w:p w14:paraId="535A25C0">
            <w:pPr>
              <w:jc w:val="center"/>
              <w:rPr>
                <w:color w:val="auto"/>
                <w:szCs w:val="21"/>
              </w:rPr>
            </w:pPr>
          </w:p>
        </w:tc>
      </w:tr>
      <w:tr w14:paraId="1B98723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544A8AB6">
            <w:pPr>
              <w:jc w:val="center"/>
              <w:rPr>
                <w:b/>
                <w:bCs/>
                <w:color w:val="auto"/>
                <w:szCs w:val="21"/>
              </w:rPr>
            </w:pPr>
          </w:p>
        </w:tc>
        <w:tc>
          <w:tcPr>
            <w:tcW w:w="1834" w:type="dxa"/>
            <w:gridSpan w:val="3"/>
            <w:vAlign w:val="center"/>
          </w:tcPr>
          <w:p w14:paraId="682D215E">
            <w:pPr>
              <w:snapToGrid w:val="0"/>
              <w:jc w:val="center"/>
              <w:rPr>
                <w:color w:val="auto"/>
                <w:szCs w:val="21"/>
              </w:rPr>
            </w:pPr>
            <w:r>
              <w:rPr>
                <w:color w:val="auto"/>
                <w:szCs w:val="21"/>
              </w:rPr>
              <w:t>蛋鸡鸡舍</w:t>
            </w:r>
            <w:r>
              <w:rPr>
                <w:rFonts w:hint="eastAsia"/>
                <w:color w:val="auto"/>
                <w:szCs w:val="21"/>
                <w:lang w:val="en-US" w:eastAsia="zh-CN"/>
              </w:rPr>
              <w:t>6</w:t>
            </w:r>
            <w:r>
              <w:rPr>
                <w:color w:val="auto"/>
                <w:szCs w:val="21"/>
              </w:rPr>
              <w:t>#</w:t>
            </w:r>
          </w:p>
        </w:tc>
        <w:tc>
          <w:tcPr>
            <w:tcW w:w="2969" w:type="dxa"/>
            <w:vMerge w:val="continue"/>
            <w:vAlign w:val="center"/>
          </w:tcPr>
          <w:p w14:paraId="1D0469C4">
            <w:pPr>
              <w:jc w:val="center"/>
              <w:rPr>
                <w:color w:val="auto"/>
                <w:szCs w:val="21"/>
              </w:rPr>
            </w:pPr>
          </w:p>
        </w:tc>
        <w:tc>
          <w:tcPr>
            <w:tcW w:w="1216" w:type="dxa"/>
            <w:vMerge w:val="continue"/>
            <w:vAlign w:val="center"/>
          </w:tcPr>
          <w:p w14:paraId="216C98B6">
            <w:pPr>
              <w:jc w:val="center"/>
              <w:rPr>
                <w:rFonts w:hint="eastAsia"/>
                <w:color w:val="auto"/>
                <w:szCs w:val="21"/>
              </w:rPr>
            </w:pPr>
          </w:p>
        </w:tc>
        <w:tc>
          <w:tcPr>
            <w:tcW w:w="2079" w:type="dxa"/>
            <w:vMerge w:val="continue"/>
            <w:vAlign w:val="center"/>
          </w:tcPr>
          <w:p w14:paraId="3FB191D0">
            <w:pPr>
              <w:jc w:val="center"/>
              <w:rPr>
                <w:color w:val="auto"/>
                <w:szCs w:val="21"/>
              </w:rPr>
            </w:pPr>
          </w:p>
        </w:tc>
      </w:tr>
      <w:tr w14:paraId="346C4B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7CB0E96B">
            <w:pPr>
              <w:jc w:val="center"/>
              <w:rPr>
                <w:b/>
                <w:bCs/>
                <w:color w:val="auto"/>
                <w:szCs w:val="21"/>
              </w:rPr>
            </w:pPr>
          </w:p>
        </w:tc>
        <w:tc>
          <w:tcPr>
            <w:tcW w:w="1834" w:type="dxa"/>
            <w:gridSpan w:val="3"/>
            <w:vAlign w:val="center"/>
          </w:tcPr>
          <w:p w14:paraId="4F2478FD">
            <w:pPr>
              <w:snapToGrid w:val="0"/>
              <w:jc w:val="center"/>
              <w:rPr>
                <w:color w:val="auto"/>
                <w:szCs w:val="21"/>
              </w:rPr>
            </w:pPr>
            <w:r>
              <w:rPr>
                <w:color w:val="auto"/>
                <w:szCs w:val="21"/>
              </w:rPr>
              <w:t>蛋鸡鸡舍</w:t>
            </w:r>
            <w:r>
              <w:rPr>
                <w:rFonts w:hint="eastAsia"/>
                <w:color w:val="auto"/>
                <w:szCs w:val="21"/>
                <w:lang w:val="en-US" w:eastAsia="zh-CN"/>
              </w:rPr>
              <w:t>7</w:t>
            </w:r>
            <w:r>
              <w:rPr>
                <w:color w:val="auto"/>
                <w:szCs w:val="21"/>
              </w:rPr>
              <w:t>#</w:t>
            </w:r>
          </w:p>
        </w:tc>
        <w:tc>
          <w:tcPr>
            <w:tcW w:w="2969" w:type="dxa"/>
            <w:vMerge w:val="continue"/>
            <w:vAlign w:val="center"/>
          </w:tcPr>
          <w:p w14:paraId="6F59C4BC">
            <w:pPr>
              <w:jc w:val="center"/>
              <w:rPr>
                <w:color w:val="auto"/>
                <w:szCs w:val="21"/>
              </w:rPr>
            </w:pPr>
          </w:p>
        </w:tc>
        <w:tc>
          <w:tcPr>
            <w:tcW w:w="1216" w:type="dxa"/>
            <w:vMerge w:val="continue"/>
            <w:vAlign w:val="center"/>
          </w:tcPr>
          <w:p w14:paraId="1BC720D6">
            <w:pPr>
              <w:jc w:val="center"/>
              <w:rPr>
                <w:rFonts w:hint="eastAsia"/>
                <w:color w:val="auto"/>
                <w:szCs w:val="21"/>
              </w:rPr>
            </w:pPr>
          </w:p>
        </w:tc>
        <w:tc>
          <w:tcPr>
            <w:tcW w:w="2079" w:type="dxa"/>
            <w:vMerge w:val="continue"/>
            <w:vAlign w:val="center"/>
          </w:tcPr>
          <w:p w14:paraId="1DDC3488">
            <w:pPr>
              <w:jc w:val="center"/>
              <w:rPr>
                <w:color w:val="auto"/>
                <w:szCs w:val="21"/>
              </w:rPr>
            </w:pPr>
          </w:p>
        </w:tc>
      </w:tr>
      <w:tr w14:paraId="7FF0F81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322584A9">
            <w:pPr>
              <w:jc w:val="center"/>
              <w:rPr>
                <w:b/>
                <w:bCs/>
                <w:color w:val="auto"/>
                <w:szCs w:val="21"/>
              </w:rPr>
            </w:pPr>
          </w:p>
        </w:tc>
        <w:tc>
          <w:tcPr>
            <w:tcW w:w="1834" w:type="dxa"/>
            <w:gridSpan w:val="3"/>
            <w:vAlign w:val="center"/>
          </w:tcPr>
          <w:p w14:paraId="5477FF60">
            <w:pPr>
              <w:snapToGrid w:val="0"/>
              <w:jc w:val="center"/>
              <w:rPr>
                <w:color w:val="auto"/>
                <w:szCs w:val="21"/>
              </w:rPr>
            </w:pPr>
            <w:r>
              <w:rPr>
                <w:color w:val="auto"/>
                <w:szCs w:val="21"/>
              </w:rPr>
              <w:t>蛋鸡鸡舍</w:t>
            </w:r>
            <w:r>
              <w:rPr>
                <w:rFonts w:hint="eastAsia"/>
                <w:color w:val="auto"/>
                <w:szCs w:val="21"/>
                <w:lang w:val="en-US" w:eastAsia="zh-CN"/>
              </w:rPr>
              <w:t>8</w:t>
            </w:r>
            <w:r>
              <w:rPr>
                <w:color w:val="auto"/>
                <w:szCs w:val="21"/>
              </w:rPr>
              <w:t>#</w:t>
            </w:r>
          </w:p>
        </w:tc>
        <w:tc>
          <w:tcPr>
            <w:tcW w:w="2969" w:type="dxa"/>
            <w:vMerge w:val="continue"/>
            <w:vAlign w:val="center"/>
          </w:tcPr>
          <w:p w14:paraId="74A51C5A">
            <w:pPr>
              <w:jc w:val="center"/>
              <w:rPr>
                <w:color w:val="auto"/>
                <w:szCs w:val="21"/>
              </w:rPr>
            </w:pPr>
          </w:p>
        </w:tc>
        <w:tc>
          <w:tcPr>
            <w:tcW w:w="1216" w:type="dxa"/>
            <w:vMerge w:val="continue"/>
            <w:vAlign w:val="center"/>
          </w:tcPr>
          <w:p w14:paraId="3C4D0507">
            <w:pPr>
              <w:jc w:val="center"/>
              <w:rPr>
                <w:rFonts w:hint="eastAsia"/>
                <w:color w:val="auto"/>
                <w:szCs w:val="21"/>
              </w:rPr>
            </w:pPr>
          </w:p>
        </w:tc>
        <w:tc>
          <w:tcPr>
            <w:tcW w:w="2079" w:type="dxa"/>
            <w:vMerge w:val="continue"/>
            <w:vAlign w:val="center"/>
          </w:tcPr>
          <w:p w14:paraId="4CAB24BC">
            <w:pPr>
              <w:jc w:val="center"/>
              <w:rPr>
                <w:color w:val="auto"/>
                <w:szCs w:val="21"/>
              </w:rPr>
            </w:pPr>
          </w:p>
        </w:tc>
      </w:tr>
      <w:tr w14:paraId="730E6A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6D264050">
            <w:pPr>
              <w:jc w:val="center"/>
              <w:rPr>
                <w:color w:val="auto"/>
                <w:szCs w:val="21"/>
              </w:rPr>
            </w:pPr>
          </w:p>
        </w:tc>
        <w:tc>
          <w:tcPr>
            <w:tcW w:w="1834" w:type="dxa"/>
            <w:gridSpan w:val="3"/>
            <w:vAlign w:val="center"/>
          </w:tcPr>
          <w:p w14:paraId="76ADF26A">
            <w:pPr>
              <w:jc w:val="center"/>
              <w:rPr>
                <w:color w:val="auto"/>
                <w:szCs w:val="21"/>
              </w:rPr>
            </w:pPr>
            <w:r>
              <w:rPr>
                <w:rFonts w:hint="eastAsia"/>
                <w:color w:val="auto"/>
                <w:szCs w:val="21"/>
                <w:lang w:eastAsia="zh-CN"/>
              </w:rPr>
              <w:t>蛋库</w:t>
            </w:r>
          </w:p>
        </w:tc>
        <w:tc>
          <w:tcPr>
            <w:tcW w:w="2969" w:type="dxa"/>
            <w:vAlign w:val="center"/>
          </w:tcPr>
          <w:p w14:paraId="484C97EA">
            <w:pPr>
              <w:jc w:val="center"/>
              <w:rPr>
                <w:rFonts w:hint="eastAsia" w:eastAsia="宋体"/>
                <w:color w:val="auto"/>
                <w:szCs w:val="21"/>
                <w:lang w:eastAsia="zh-CN"/>
              </w:rPr>
            </w:pPr>
            <w:r>
              <w:rPr>
                <w:color w:val="auto"/>
                <w:szCs w:val="21"/>
              </w:rPr>
              <w:t>1栋，尺寸</w:t>
            </w:r>
            <w:r>
              <w:rPr>
                <w:rFonts w:hint="eastAsia"/>
                <w:color w:val="auto"/>
                <w:szCs w:val="21"/>
                <w:lang w:val="en-US" w:eastAsia="zh-CN"/>
              </w:rPr>
              <w:t>184.43</w:t>
            </w:r>
            <w:r>
              <w:rPr>
                <w:color w:val="auto"/>
                <w:szCs w:val="21"/>
              </w:rPr>
              <w:t>×</w:t>
            </w:r>
            <w:r>
              <w:rPr>
                <w:rFonts w:hint="eastAsia"/>
                <w:color w:val="auto"/>
                <w:szCs w:val="21"/>
                <w:lang w:val="en-US" w:eastAsia="zh-CN"/>
              </w:rPr>
              <w:t>30</w:t>
            </w:r>
            <w:r>
              <w:rPr>
                <w:color w:val="auto"/>
                <w:szCs w:val="21"/>
              </w:rPr>
              <w:t>×</w:t>
            </w:r>
            <w:r>
              <w:rPr>
                <w:rFonts w:hint="eastAsia"/>
                <w:color w:val="auto"/>
                <w:szCs w:val="21"/>
              </w:rPr>
              <w:t>7.6</w:t>
            </w:r>
            <w:r>
              <w:rPr>
                <w:color w:val="auto"/>
                <w:szCs w:val="21"/>
              </w:rPr>
              <w:t>，</w:t>
            </w:r>
            <w:r>
              <w:rPr>
                <w:rFonts w:hint="eastAsia"/>
                <w:color w:val="auto"/>
                <w:szCs w:val="21"/>
              </w:rPr>
              <w:t>建筑面积</w:t>
            </w:r>
            <w:r>
              <w:rPr>
                <w:rFonts w:hint="eastAsia"/>
                <w:color w:val="auto"/>
                <w:szCs w:val="21"/>
                <w:lang w:val="en-US" w:eastAsia="zh-CN"/>
              </w:rPr>
              <w:t>5532.75</w:t>
            </w:r>
            <w:r>
              <w:rPr>
                <w:rFonts w:hint="eastAsia"/>
                <w:color w:val="auto"/>
                <w:szCs w:val="21"/>
              </w:rPr>
              <w:t>m</w:t>
            </w:r>
            <w:r>
              <w:rPr>
                <w:rFonts w:hint="eastAsia"/>
                <w:color w:val="auto"/>
                <w:szCs w:val="21"/>
                <w:vertAlign w:val="superscript"/>
              </w:rPr>
              <w:t>2</w:t>
            </w:r>
            <w:r>
              <w:rPr>
                <w:color w:val="auto"/>
                <w:szCs w:val="21"/>
              </w:rPr>
              <w:t>，结构形式为砖混</w:t>
            </w:r>
            <w:r>
              <w:rPr>
                <w:rFonts w:hint="eastAsia"/>
                <w:color w:val="auto"/>
                <w:szCs w:val="21"/>
                <w:lang w:eastAsia="zh-CN"/>
              </w:rPr>
              <w:t>结构</w:t>
            </w:r>
          </w:p>
        </w:tc>
        <w:tc>
          <w:tcPr>
            <w:tcW w:w="1216" w:type="dxa"/>
            <w:vAlign w:val="center"/>
          </w:tcPr>
          <w:p w14:paraId="354E1A86">
            <w:pPr>
              <w:jc w:val="center"/>
              <w:rPr>
                <w:rFonts w:hint="default" w:eastAsia="宋体"/>
                <w:color w:val="auto"/>
                <w:szCs w:val="21"/>
                <w:lang w:val="en-US" w:eastAsia="zh-CN"/>
              </w:rPr>
            </w:pPr>
            <w:r>
              <w:rPr>
                <w:rFonts w:hint="eastAsia"/>
                <w:color w:val="auto"/>
                <w:szCs w:val="21"/>
                <w:lang w:val="en-US" w:eastAsia="zh-CN"/>
              </w:rPr>
              <w:t>5532.75</w:t>
            </w:r>
          </w:p>
        </w:tc>
        <w:tc>
          <w:tcPr>
            <w:tcW w:w="2079" w:type="dxa"/>
            <w:vAlign w:val="center"/>
          </w:tcPr>
          <w:p w14:paraId="48AB6BEA">
            <w:pPr>
              <w:jc w:val="center"/>
              <w:rPr>
                <w:color w:val="auto"/>
                <w:szCs w:val="21"/>
              </w:rPr>
            </w:pPr>
            <w:r>
              <w:rPr>
                <w:color w:val="auto"/>
                <w:szCs w:val="21"/>
              </w:rPr>
              <w:t>鸡蛋</w:t>
            </w:r>
            <w:r>
              <w:rPr>
                <w:rFonts w:hint="eastAsia"/>
                <w:color w:val="auto"/>
                <w:szCs w:val="21"/>
                <w:lang w:eastAsia="zh-CN"/>
              </w:rPr>
              <w:t>临时储存</w:t>
            </w:r>
            <w:r>
              <w:rPr>
                <w:color w:val="auto"/>
                <w:szCs w:val="21"/>
              </w:rPr>
              <w:t>，配有分级包装机</w:t>
            </w:r>
            <w:r>
              <w:rPr>
                <w:rFonts w:hint="eastAsia"/>
                <w:color w:val="auto"/>
                <w:szCs w:val="21"/>
              </w:rPr>
              <w:t>、配电室</w:t>
            </w:r>
          </w:p>
        </w:tc>
      </w:tr>
      <w:tr w14:paraId="649670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restart"/>
            <w:vAlign w:val="center"/>
          </w:tcPr>
          <w:p w14:paraId="1A768113">
            <w:pPr>
              <w:jc w:val="center"/>
              <w:rPr>
                <w:color w:val="auto"/>
                <w:szCs w:val="21"/>
              </w:rPr>
            </w:pPr>
            <w:r>
              <w:rPr>
                <w:b/>
                <w:bCs/>
                <w:color w:val="auto"/>
                <w:szCs w:val="21"/>
              </w:rPr>
              <w:t>辅助工程</w:t>
            </w:r>
          </w:p>
        </w:tc>
        <w:tc>
          <w:tcPr>
            <w:tcW w:w="1834" w:type="dxa"/>
            <w:gridSpan w:val="3"/>
            <w:vAlign w:val="center"/>
          </w:tcPr>
          <w:p w14:paraId="7984988E">
            <w:pPr>
              <w:widowControl/>
              <w:jc w:val="center"/>
              <w:rPr>
                <w:rFonts w:hint="eastAsia" w:eastAsia="宋体"/>
                <w:color w:val="auto"/>
                <w:szCs w:val="21"/>
                <w:lang w:eastAsia="zh-CN"/>
              </w:rPr>
            </w:pPr>
            <w:r>
              <w:rPr>
                <w:rFonts w:hint="eastAsia"/>
                <w:color w:val="auto"/>
                <w:szCs w:val="21"/>
                <w:lang w:eastAsia="zh-CN"/>
              </w:rPr>
              <w:t>办公室</w:t>
            </w:r>
          </w:p>
        </w:tc>
        <w:tc>
          <w:tcPr>
            <w:tcW w:w="2969" w:type="dxa"/>
            <w:vAlign w:val="center"/>
          </w:tcPr>
          <w:p w14:paraId="024FEF5D">
            <w:pPr>
              <w:jc w:val="center"/>
              <w:rPr>
                <w:rFonts w:hint="eastAsia" w:eastAsia="宋体"/>
                <w:color w:val="auto"/>
                <w:szCs w:val="21"/>
                <w:lang w:eastAsia="zh-CN"/>
              </w:rPr>
            </w:pPr>
            <w:r>
              <w:rPr>
                <w:color w:val="auto"/>
                <w:szCs w:val="21"/>
              </w:rPr>
              <w:t>1栋，尺寸</w:t>
            </w:r>
            <w:r>
              <w:rPr>
                <w:rFonts w:hint="eastAsia"/>
                <w:color w:val="auto"/>
                <w:szCs w:val="21"/>
                <w:lang w:val="en-US" w:eastAsia="zh-CN"/>
              </w:rPr>
              <w:t>62.4</w:t>
            </w:r>
            <w:r>
              <w:rPr>
                <w:color w:val="auto"/>
                <w:szCs w:val="21"/>
              </w:rPr>
              <w:t>×</w:t>
            </w:r>
            <w:r>
              <w:rPr>
                <w:rFonts w:hint="eastAsia"/>
                <w:color w:val="auto"/>
                <w:szCs w:val="21"/>
                <w:lang w:val="en-US" w:eastAsia="zh-CN"/>
              </w:rPr>
              <w:t>16</w:t>
            </w:r>
            <w:r>
              <w:rPr>
                <w:color w:val="auto"/>
                <w:szCs w:val="21"/>
              </w:rPr>
              <w:t>，</w:t>
            </w:r>
            <w:r>
              <w:rPr>
                <w:rFonts w:hint="eastAsia"/>
                <w:color w:val="auto"/>
                <w:szCs w:val="21"/>
              </w:rPr>
              <w:t>建筑面积</w:t>
            </w:r>
            <w:r>
              <w:rPr>
                <w:rFonts w:hint="eastAsia"/>
                <w:color w:val="auto"/>
                <w:szCs w:val="21"/>
                <w:lang w:val="en-US" w:eastAsia="zh-CN"/>
              </w:rPr>
              <w:t>998.4</w:t>
            </w:r>
            <w:r>
              <w:rPr>
                <w:rFonts w:hint="eastAsia"/>
                <w:color w:val="auto"/>
                <w:szCs w:val="21"/>
              </w:rPr>
              <w:t>m</w:t>
            </w:r>
            <w:r>
              <w:rPr>
                <w:rFonts w:hint="eastAsia"/>
                <w:color w:val="auto"/>
                <w:szCs w:val="21"/>
                <w:vertAlign w:val="superscript"/>
              </w:rPr>
              <w:t>2</w:t>
            </w:r>
            <w:r>
              <w:rPr>
                <w:color w:val="auto"/>
                <w:szCs w:val="21"/>
              </w:rPr>
              <w:t>，</w:t>
            </w:r>
            <w:r>
              <w:rPr>
                <w:rFonts w:hint="eastAsia"/>
                <w:color w:val="auto"/>
                <w:szCs w:val="21"/>
              </w:rPr>
              <w:t>一</w:t>
            </w:r>
            <w:r>
              <w:rPr>
                <w:color w:val="auto"/>
                <w:szCs w:val="21"/>
              </w:rPr>
              <w:t>层，</w:t>
            </w:r>
            <w:r>
              <w:rPr>
                <w:rFonts w:hint="eastAsia"/>
                <w:color w:val="auto"/>
                <w:szCs w:val="21"/>
                <w:lang w:eastAsia="zh-CN"/>
              </w:rPr>
              <w:t>砖混结构</w:t>
            </w:r>
          </w:p>
        </w:tc>
        <w:tc>
          <w:tcPr>
            <w:tcW w:w="1216" w:type="dxa"/>
            <w:vAlign w:val="center"/>
          </w:tcPr>
          <w:p w14:paraId="7867237A">
            <w:pPr>
              <w:widowControl/>
              <w:jc w:val="center"/>
              <w:rPr>
                <w:rFonts w:hint="default" w:eastAsia="宋体"/>
                <w:color w:val="auto"/>
                <w:szCs w:val="21"/>
                <w:lang w:val="en-US" w:eastAsia="zh-CN"/>
              </w:rPr>
            </w:pPr>
            <w:r>
              <w:rPr>
                <w:rFonts w:hint="eastAsia"/>
                <w:color w:val="auto"/>
                <w:szCs w:val="21"/>
                <w:lang w:val="en-US" w:eastAsia="zh-CN"/>
              </w:rPr>
              <w:t>998.4</w:t>
            </w:r>
          </w:p>
        </w:tc>
        <w:tc>
          <w:tcPr>
            <w:tcW w:w="2079" w:type="dxa"/>
            <w:vAlign w:val="center"/>
          </w:tcPr>
          <w:p w14:paraId="311A0783">
            <w:pPr>
              <w:jc w:val="center"/>
              <w:rPr>
                <w:color w:val="auto"/>
                <w:szCs w:val="21"/>
              </w:rPr>
            </w:pPr>
            <w:r>
              <w:rPr>
                <w:color w:val="auto"/>
                <w:kern w:val="0"/>
                <w:szCs w:val="21"/>
              </w:rPr>
              <w:t>内设办公室、食堂</w:t>
            </w:r>
          </w:p>
        </w:tc>
      </w:tr>
      <w:tr w14:paraId="0AC38F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57F8D71B">
            <w:pPr>
              <w:jc w:val="center"/>
              <w:rPr>
                <w:b/>
                <w:bCs/>
                <w:color w:val="auto"/>
                <w:szCs w:val="21"/>
              </w:rPr>
            </w:pPr>
          </w:p>
        </w:tc>
        <w:tc>
          <w:tcPr>
            <w:tcW w:w="1834" w:type="dxa"/>
            <w:gridSpan w:val="3"/>
            <w:vAlign w:val="center"/>
          </w:tcPr>
          <w:p w14:paraId="1639DC3A">
            <w:pPr>
              <w:widowControl/>
              <w:jc w:val="center"/>
              <w:rPr>
                <w:rFonts w:hint="eastAsia"/>
                <w:color w:val="auto"/>
                <w:szCs w:val="21"/>
                <w:lang w:eastAsia="zh-CN"/>
              </w:rPr>
            </w:pPr>
            <w:r>
              <w:rPr>
                <w:rFonts w:hint="eastAsia"/>
                <w:color w:val="auto"/>
                <w:szCs w:val="21"/>
                <w:lang w:eastAsia="zh-CN"/>
              </w:rPr>
              <w:t>人员消毒室</w:t>
            </w:r>
          </w:p>
        </w:tc>
        <w:tc>
          <w:tcPr>
            <w:tcW w:w="2969" w:type="dxa"/>
            <w:vAlign w:val="center"/>
          </w:tcPr>
          <w:p w14:paraId="70FD55A7">
            <w:pPr>
              <w:jc w:val="center"/>
              <w:rPr>
                <w:color w:val="auto"/>
                <w:szCs w:val="21"/>
              </w:rPr>
            </w:pPr>
            <w:r>
              <w:rPr>
                <w:color w:val="auto"/>
                <w:szCs w:val="21"/>
              </w:rPr>
              <w:t>1栋，尺寸</w:t>
            </w:r>
            <w:r>
              <w:rPr>
                <w:rFonts w:hint="eastAsia"/>
                <w:color w:val="auto"/>
                <w:szCs w:val="21"/>
                <w:lang w:val="en-US" w:eastAsia="zh-CN"/>
              </w:rPr>
              <w:t>15</w:t>
            </w:r>
            <w:r>
              <w:rPr>
                <w:color w:val="auto"/>
                <w:szCs w:val="21"/>
              </w:rPr>
              <w:t>×</w:t>
            </w:r>
            <w:r>
              <w:rPr>
                <w:rFonts w:hint="eastAsia"/>
                <w:color w:val="auto"/>
                <w:szCs w:val="21"/>
                <w:lang w:val="en-US" w:eastAsia="zh-CN"/>
              </w:rPr>
              <w:t>10.5</w:t>
            </w:r>
            <w:r>
              <w:rPr>
                <w:color w:val="auto"/>
                <w:szCs w:val="21"/>
              </w:rPr>
              <w:t>，</w:t>
            </w:r>
            <w:r>
              <w:rPr>
                <w:rFonts w:hint="eastAsia"/>
                <w:color w:val="auto"/>
                <w:szCs w:val="21"/>
              </w:rPr>
              <w:t>建筑面积</w:t>
            </w:r>
            <w:r>
              <w:rPr>
                <w:rFonts w:hint="eastAsia"/>
                <w:color w:val="auto"/>
                <w:szCs w:val="21"/>
                <w:lang w:val="en-US" w:eastAsia="zh-CN"/>
              </w:rPr>
              <w:t>157.5</w:t>
            </w:r>
            <w:r>
              <w:rPr>
                <w:rFonts w:hint="eastAsia"/>
                <w:color w:val="auto"/>
                <w:szCs w:val="21"/>
              </w:rPr>
              <w:t>m</w:t>
            </w:r>
            <w:r>
              <w:rPr>
                <w:rFonts w:hint="eastAsia"/>
                <w:color w:val="auto"/>
                <w:szCs w:val="21"/>
                <w:vertAlign w:val="superscript"/>
              </w:rPr>
              <w:t>2</w:t>
            </w:r>
            <w:r>
              <w:rPr>
                <w:color w:val="auto"/>
                <w:szCs w:val="21"/>
              </w:rPr>
              <w:t>，</w:t>
            </w:r>
            <w:r>
              <w:rPr>
                <w:rFonts w:hint="eastAsia"/>
                <w:color w:val="auto"/>
                <w:szCs w:val="21"/>
              </w:rPr>
              <w:t>一</w:t>
            </w:r>
            <w:r>
              <w:rPr>
                <w:color w:val="auto"/>
                <w:szCs w:val="21"/>
              </w:rPr>
              <w:t>层，</w:t>
            </w:r>
            <w:r>
              <w:rPr>
                <w:rFonts w:hint="eastAsia"/>
                <w:color w:val="auto"/>
                <w:szCs w:val="21"/>
                <w:lang w:eastAsia="zh-CN"/>
              </w:rPr>
              <w:t>砖混结构</w:t>
            </w:r>
          </w:p>
        </w:tc>
        <w:tc>
          <w:tcPr>
            <w:tcW w:w="1216" w:type="dxa"/>
            <w:vAlign w:val="center"/>
          </w:tcPr>
          <w:p w14:paraId="04C2C7EB">
            <w:pPr>
              <w:widowControl/>
              <w:jc w:val="center"/>
              <w:rPr>
                <w:rFonts w:hint="default"/>
                <w:color w:val="auto"/>
                <w:szCs w:val="21"/>
                <w:lang w:val="en-US" w:eastAsia="zh-CN"/>
              </w:rPr>
            </w:pPr>
            <w:r>
              <w:rPr>
                <w:rFonts w:hint="eastAsia"/>
                <w:color w:val="auto"/>
                <w:szCs w:val="21"/>
                <w:lang w:val="en-US" w:eastAsia="zh-CN"/>
              </w:rPr>
              <w:t>157.5</w:t>
            </w:r>
          </w:p>
        </w:tc>
        <w:tc>
          <w:tcPr>
            <w:tcW w:w="2079" w:type="dxa"/>
            <w:vAlign w:val="center"/>
          </w:tcPr>
          <w:p w14:paraId="5BFBA687">
            <w:pPr>
              <w:jc w:val="center"/>
              <w:rPr>
                <w:rFonts w:hint="eastAsia" w:eastAsia="宋体"/>
                <w:color w:val="auto"/>
                <w:kern w:val="0"/>
                <w:szCs w:val="21"/>
                <w:lang w:eastAsia="zh-CN"/>
              </w:rPr>
            </w:pPr>
            <w:r>
              <w:rPr>
                <w:rFonts w:hint="eastAsia"/>
                <w:color w:val="auto"/>
                <w:kern w:val="0"/>
                <w:szCs w:val="21"/>
                <w:lang w:eastAsia="zh-CN"/>
              </w:rPr>
              <w:t>用于人员消毒</w:t>
            </w:r>
          </w:p>
        </w:tc>
      </w:tr>
      <w:tr w14:paraId="0E2E47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27038A47">
            <w:pPr>
              <w:jc w:val="center"/>
              <w:rPr>
                <w:b/>
                <w:bCs/>
                <w:color w:val="auto"/>
                <w:szCs w:val="21"/>
              </w:rPr>
            </w:pPr>
          </w:p>
        </w:tc>
        <w:tc>
          <w:tcPr>
            <w:tcW w:w="1834" w:type="dxa"/>
            <w:gridSpan w:val="3"/>
            <w:vAlign w:val="center"/>
          </w:tcPr>
          <w:p w14:paraId="22C67100">
            <w:pPr>
              <w:widowControl/>
              <w:jc w:val="center"/>
              <w:rPr>
                <w:rFonts w:hint="default"/>
                <w:color w:val="auto"/>
                <w:szCs w:val="21"/>
                <w:lang w:val="en-US" w:eastAsia="zh-CN"/>
              </w:rPr>
            </w:pPr>
            <w:r>
              <w:rPr>
                <w:rFonts w:hint="eastAsia"/>
                <w:color w:val="auto"/>
                <w:szCs w:val="21"/>
                <w:lang w:eastAsia="zh-CN"/>
              </w:rPr>
              <w:t>车辆消毒室</w:t>
            </w:r>
            <w:r>
              <w:rPr>
                <w:rFonts w:hint="eastAsia"/>
                <w:color w:val="auto"/>
                <w:szCs w:val="21"/>
                <w:lang w:val="en-US" w:eastAsia="zh-CN"/>
              </w:rPr>
              <w:t>1</w:t>
            </w:r>
          </w:p>
        </w:tc>
        <w:tc>
          <w:tcPr>
            <w:tcW w:w="2969" w:type="dxa"/>
            <w:vAlign w:val="center"/>
          </w:tcPr>
          <w:p w14:paraId="70F18C3F">
            <w:pPr>
              <w:jc w:val="center"/>
              <w:rPr>
                <w:color w:val="auto"/>
                <w:szCs w:val="21"/>
              </w:rPr>
            </w:pPr>
            <w:r>
              <w:rPr>
                <w:color w:val="auto"/>
                <w:szCs w:val="21"/>
              </w:rPr>
              <w:t>1</w:t>
            </w:r>
            <w:r>
              <w:rPr>
                <w:rFonts w:hint="eastAsia"/>
                <w:color w:val="auto"/>
                <w:szCs w:val="21"/>
                <w:lang w:eastAsia="zh-CN"/>
              </w:rPr>
              <w:t>座</w:t>
            </w:r>
            <w:r>
              <w:rPr>
                <w:color w:val="auto"/>
                <w:szCs w:val="21"/>
              </w:rPr>
              <w:t>，尺寸</w:t>
            </w:r>
            <w:r>
              <w:rPr>
                <w:rFonts w:hint="eastAsia"/>
                <w:color w:val="auto"/>
                <w:szCs w:val="21"/>
                <w:lang w:val="en-US" w:eastAsia="zh-CN"/>
              </w:rPr>
              <w:t>20.9</w:t>
            </w:r>
            <w:r>
              <w:rPr>
                <w:color w:val="auto"/>
                <w:szCs w:val="21"/>
              </w:rPr>
              <w:t>×</w:t>
            </w:r>
            <w:r>
              <w:rPr>
                <w:rFonts w:hint="eastAsia"/>
                <w:color w:val="auto"/>
                <w:szCs w:val="21"/>
                <w:lang w:val="en-US" w:eastAsia="zh-CN"/>
              </w:rPr>
              <w:t>8.9</w:t>
            </w:r>
            <w:r>
              <w:rPr>
                <w:color w:val="auto"/>
                <w:szCs w:val="21"/>
              </w:rPr>
              <w:t>，</w:t>
            </w:r>
            <w:r>
              <w:rPr>
                <w:rFonts w:hint="eastAsia"/>
                <w:color w:val="auto"/>
                <w:szCs w:val="21"/>
              </w:rPr>
              <w:t>建筑面积</w:t>
            </w:r>
            <w:r>
              <w:rPr>
                <w:rFonts w:hint="eastAsia"/>
                <w:color w:val="auto"/>
                <w:szCs w:val="21"/>
                <w:lang w:val="en-US" w:eastAsia="zh-CN"/>
              </w:rPr>
              <w:t>186.01</w:t>
            </w:r>
            <w:r>
              <w:rPr>
                <w:rFonts w:hint="eastAsia"/>
                <w:color w:val="auto"/>
                <w:szCs w:val="21"/>
              </w:rPr>
              <w:t>m</w:t>
            </w:r>
            <w:r>
              <w:rPr>
                <w:rFonts w:hint="eastAsia"/>
                <w:color w:val="auto"/>
                <w:szCs w:val="21"/>
                <w:vertAlign w:val="superscript"/>
              </w:rPr>
              <w:t>2</w:t>
            </w:r>
            <w:r>
              <w:rPr>
                <w:color w:val="auto"/>
                <w:szCs w:val="21"/>
              </w:rPr>
              <w:t>，</w:t>
            </w:r>
            <w:r>
              <w:rPr>
                <w:rFonts w:hint="eastAsia"/>
                <w:color w:val="auto"/>
                <w:szCs w:val="21"/>
              </w:rPr>
              <w:t>一</w:t>
            </w:r>
            <w:r>
              <w:rPr>
                <w:color w:val="auto"/>
                <w:szCs w:val="21"/>
              </w:rPr>
              <w:t>层，</w:t>
            </w:r>
            <w:r>
              <w:rPr>
                <w:rFonts w:hint="eastAsia"/>
                <w:color w:val="auto"/>
                <w:szCs w:val="21"/>
                <w:lang w:eastAsia="zh-CN"/>
              </w:rPr>
              <w:t>砖混结构</w:t>
            </w:r>
          </w:p>
        </w:tc>
        <w:tc>
          <w:tcPr>
            <w:tcW w:w="1216" w:type="dxa"/>
            <w:vAlign w:val="center"/>
          </w:tcPr>
          <w:p w14:paraId="22B494B9">
            <w:pPr>
              <w:widowControl/>
              <w:jc w:val="center"/>
              <w:rPr>
                <w:rFonts w:hint="default"/>
                <w:color w:val="auto"/>
                <w:szCs w:val="21"/>
                <w:lang w:val="en-US" w:eastAsia="zh-CN"/>
              </w:rPr>
            </w:pPr>
            <w:r>
              <w:rPr>
                <w:rFonts w:hint="eastAsia"/>
                <w:color w:val="auto"/>
                <w:szCs w:val="21"/>
                <w:lang w:val="en-US" w:eastAsia="zh-CN"/>
              </w:rPr>
              <w:t>186.01</w:t>
            </w:r>
          </w:p>
        </w:tc>
        <w:tc>
          <w:tcPr>
            <w:tcW w:w="2079" w:type="dxa"/>
            <w:vAlign w:val="center"/>
          </w:tcPr>
          <w:p w14:paraId="6D4CBF08">
            <w:pPr>
              <w:jc w:val="center"/>
              <w:rPr>
                <w:rFonts w:hint="eastAsia"/>
                <w:color w:val="auto"/>
                <w:kern w:val="0"/>
                <w:szCs w:val="21"/>
                <w:lang w:eastAsia="zh-CN"/>
              </w:rPr>
            </w:pPr>
            <w:r>
              <w:rPr>
                <w:rFonts w:hint="eastAsia"/>
                <w:color w:val="auto"/>
                <w:kern w:val="0"/>
                <w:szCs w:val="21"/>
                <w:lang w:eastAsia="zh-CN"/>
              </w:rPr>
              <w:t>车辆进出厂区消毒</w:t>
            </w:r>
          </w:p>
        </w:tc>
      </w:tr>
      <w:tr w14:paraId="19FC8C1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32546BC1">
            <w:pPr>
              <w:jc w:val="center"/>
              <w:rPr>
                <w:b/>
                <w:bCs/>
                <w:color w:val="auto"/>
                <w:szCs w:val="21"/>
              </w:rPr>
            </w:pPr>
          </w:p>
        </w:tc>
        <w:tc>
          <w:tcPr>
            <w:tcW w:w="1834" w:type="dxa"/>
            <w:gridSpan w:val="3"/>
            <w:vAlign w:val="center"/>
          </w:tcPr>
          <w:p w14:paraId="655660CD">
            <w:pPr>
              <w:widowControl/>
              <w:jc w:val="center"/>
              <w:rPr>
                <w:rFonts w:hint="default"/>
                <w:color w:val="auto"/>
                <w:szCs w:val="21"/>
                <w:lang w:val="en-US" w:eastAsia="zh-CN"/>
              </w:rPr>
            </w:pPr>
            <w:r>
              <w:rPr>
                <w:rFonts w:hint="eastAsia"/>
                <w:color w:val="auto"/>
                <w:szCs w:val="21"/>
                <w:lang w:eastAsia="zh-CN"/>
              </w:rPr>
              <w:t>车辆消毒室</w:t>
            </w:r>
            <w:r>
              <w:rPr>
                <w:rFonts w:hint="eastAsia"/>
                <w:color w:val="auto"/>
                <w:szCs w:val="21"/>
                <w:lang w:val="en-US" w:eastAsia="zh-CN"/>
              </w:rPr>
              <w:t>2</w:t>
            </w:r>
          </w:p>
        </w:tc>
        <w:tc>
          <w:tcPr>
            <w:tcW w:w="2969" w:type="dxa"/>
            <w:vAlign w:val="center"/>
          </w:tcPr>
          <w:p w14:paraId="5266E7AC">
            <w:pPr>
              <w:jc w:val="center"/>
              <w:rPr>
                <w:color w:val="auto"/>
                <w:szCs w:val="21"/>
              </w:rPr>
            </w:pPr>
            <w:r>
              <w:rPr>
                <w:color w:val="auto"/>
                <w:szCs w:val="21"/>
              </w:rPr>
              <w:t>1</w:t>
            </w:r>
            <w:r>
              <w:rPr>
                <w:rFonts w:hint="eastAsia"/>
                <w:color w:val="auto"/>
                <w:szCs w:val="21"/>
                <w:lang w:eastAsia="zh-CN"/>
              </w:rPr>
              <w:t>座</w:t>
            </w:r>
            <w:r>
              <w:rPr>
                <w:color w:val="auto"/>
                <w:szCs w:val="21"/>
              </w:rPr>
              <w:t>，尺寸</w:t>
            </w:r>
            <w:r>
              <w:rPr>
                <w:rFonts w:hint="eastAsia"/>
                <w:color w:val="auto"/>
                <w:szCs w:val="21"/>
                <w:lang w:val="en-US" w:eastAsia="zh-CN"/>
              </w:rPr>
              <w:t>20.96</w:t>
            </w:r>
            <w:r>
              <w:rPr>
                <w:color w:val="auto"/>
                <w:szCs w:val="21"/>
              </w:rPr>
              <w:t>×</w:t>
            </w:r>
            <w:r>
              <w:rPr>
                <w:rFonts w:hint="eastAsia"/>
                <w:color w:val="auto"/>
                <w:szCs w:val="21"/>
                <w:lang w:val="en-US" w:eastAsia="zh-CN"/>
              </w:rPr>
              <w:t>8.9</w:t>
            </w:r>
            <w:r>
              <w:rPr>
                <w:color w:val="auto"/>
                <w:szCs w:val="21"/>
              </w:rPr>
              <w:t>，</w:t>
            </w:r>
            <w:r>
              <w:rPr>
                <w:rFonts w:hint="eastAsia"/>
                <w:color w:val="auto"/>
                <w:szCs w:val="21"/>
              </w:rPr>
              <w:t>建筑面积</w:t>
            </w:r>
            <w:r>
              <w:rPr>
                <w:rFonts w:hint="eastAsia"/>
                <w:color w:val="auto"/>
                <w:szCs w:val="21"/>
                <w:lang w:val="en-US" w:eastAsia="zh-CN"/>
              </w:rPr>
              <w:t>186.54</w:t>
            </w:r>
            <w:r>
              <w:rPr>
                <w:rFonts w:hint="eastAsia"/>
                <w:color w:val="auto"/>
                <w:szCs w:val="21"/>
              </w:rPr>
              <w:t>m</w:t>
            </w:r>
            <w:r>
              <w:rPr>
                <w:rFonts w:hint="eastAsia"/>
                <w:color w:val="auto"/>
                <w:szCs w:val="21"/>
                <w:vertAlign w:val="superscript"/>
              </w:rPr>
              <w:t>2</w:t>
            </w:r>
            <w:r>
              <w:rPr>
                <w:color w:val="auto"/>
                <w:szCs w:val="21"/>
              </w:rPr>
              <w:t>，</w:t>
            </w:r>
            <w:r>
              <w:rPr>
                <w:rFonts w:hint="eastAsia"/>
                <w:color w:val="auto"/>
                <w:szCs w:val="21"/>
              </w:rPr>
              <w:t>一</w:t>
            </w:r>
            <w:r>
              <w:rPr>
                <w:color w:val="auto"/>
                <w:szCs w:val="21"/>
              </w:rPr>
              <w:t>层，</w:t>
            </w:r>
            <w:r>
              <w:rPr>
                <w:rFonts w:hint="eastAsia"/>
                <w:color w:val="auto"/>
                <w:szCs w:val="21"/>
                <w:lang w:eastAsia="zh-CN"/>
              </w:rPr>
              <w:t>砖混结构</w:t>
            </w:r>
          </w:p>
        </w:tc>
        <w:tc>
          <w:tcPr>
            <w:tcW w:w="1216" w:type="dxa"/>
            <w:vAlign w:val="center"/>
          </w:tcPr>
          <w:p w14:paraId="30B4DEA9">
            <w:pPr>
              <w:widowControl/>
              <w:jc w:val="center"/>
              <w:rPr>
                <w:rFonts w:hint="default"/>
                <w:color w:val="auto"/>
                <w:szCs w:val="21"/>
                <w:lang w:val="en-US" w:eastAsia="zh-CN"/>
              </w:rPr>
            </w:pPr>
            <w:r>
              <w:rPr>
                <w:rFonts w:hint="eastAsia"/>
                <w:color w:val="auto"/>
                <w:szCs w:val="21"/>
                <w:lang w:val="en-US" w:eastAsia="zh-CN"/>
              </w:rPr>
              <w:t>186.54</w:t>
            </w:r>
          </w:p>
        </w:tc>
        <w:tc>
          <w:tcPr>
            <w:tcW w:w="2079" w:type="dxa"/>
            <w:vAlign w:val="center"/>
          </w:tcPr>
          <w:p w14:paraId="614BA560">
            <w:pPr>
              <w:jc w:val="center"/>
              <w:rPr>
                <w:rFonts w:hint="eastAsia"/>
                <w:color w:val="auto"/>
                <w:kern w:val="0"/>
                <w:szCs w:val="21"/>
                <w:lang w:eastAsia="zh-CN"/>
              </w:rPr>
            </w:pPr>
            <w:r>
              <w:rPr>
                <w:rFonts w:hint="eastAsia"/>
                <w:color w:val="auto"/>
                <w:kern w:val="0"/>
                <w:szCs w:val="21"/>
                <w:lang w:eastAsia="zh-CN"/>
              </w:rPr>
              <w:t>车辆进出厂区消毒</w:t>
            </w:r>
          </w:p>
        </w:tc>
      </w:tr>
      <w:tr w14:paraId="72BA9CE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427" w:type="dxa"/>
            <w:vMerge w:val="continue"/>
            <w:vAlign w:val="center"/>
          </w:tcPr>
          <w:p w14:paraId="1FCDBDAB">
            <w:pPr>
              <w:jc w:val="center"/>
              <w:rPr>
                <w:b/>
                <w:bCs/>
                <w:color w:val="auto"/>
                <w:szCs w:val="21"/>
              </w:rPr>
            </w:pPr>
          </w:p>
        </w:tc>
        <w:tc>
          <w:tcPr>
            <w:tcW w:w="1834" w:type="dxa"/>
            <w:gridSpan w:val="3"/>
            <w:vAlign w:val="center"/>
          </w:tcPr>
          <w:p w14:paraId="1D94410D">
            <w:pPr>
              <w:widowControl/>
              <w:jc w:val="center"/>
              <w:rPr>
                <w:rFonts w:hint="default"/>
                <w:color w:val="auto"/>
                <w:szCs w:val="21"/>
                <w:lang w:val="en-US" w:eastAsia="zh-CN"/>
              </w:rPr>
            </w:pPr>
            <w:r>
              <w:rPr>
                <w:rFonts w:hint="eastAsia"/>
                <w:color w:val="auto"/>
                <w:szCs w:val="21"/>
                <w:lang w:eastAsia="zh-CN"/>
              </w:rPr>
              <w:t>设备用房</w:t>
            </w:r>
          </w:p>
        </w:tc>
        <w:tc>
          <w:tcPr>
            <w:tcW w:w="2969" w:type="dxa"/>
            <w:vAlign w:val="center"/>
          </w:tcPr>
          <w:p w14:paraId="18899F9C">
            <w:pPr>
              <w:jc w:val="center"/>
              <w:rPr>
                <w:color w:val="auto"/>
                <w:szCs w:val="21"/>
              </w:rPr>
            </w:pPr>
            <w:r>
              <w:rPr>
                <w:color w:val="auto"/>
                <w:szCs w:val="21"/>
              </w:rPr>
              <w:t>1栋，尺寸</w:t>
            </w:r>
            <w:r>
              <w:rPr>
                <w:rFonts w:hint="eastAsia"/>
                <w:color w:val="auto"/>
                <w:szCs w:val="21"/>
                <w:lang w:val="en-US" w:eastAsia="zh-CN"/>
              </w:rPr>
              <w:t>55.2</w:t>
            </w:r>
            <w:r>
              <w:rPr>
                <w:color w:val="auto"/>
                <w:szCs w:val="21"/>
              </w:rPr>
              <w:t>×</w:t>
            </w:r>
            <w:r>
              <w:rPr>
                <w:rFonts w:hint="eastAsia"/>
                <w:color w:val="auto"/>
                <w:szCs w:val="21"/>
                <w:lang w:val="en-US" w:eastAsia="zh-CN"/>
              </w:rPr>
              <w:t>16.8</w:t>
            </w:r>
            <w:r>
              <w:rPr>
                <w:color w:val="auto"/>
                <w:szCs w:val="21"/>
              </w:rPr>
              <w:t>，</w:t>
            </w:r>
            <w:r>
              <w:rPr>
                <w:rFonts w:hint="eastAsia"/>
                <w:color w:val="auto"/>
                <w:szCs w:val="21"/>
              </w:rPr>
              <w:t>建筑面积</w:t>
            </w:r>
            <w:r>
              <w:rPr>
                <w:rFonts w:hint="eastAsia"/>
                <w:color w:val="auto"/>
                <w:szCs w:val="21"/>
                <w:lang w:val="en-US" w:eastAsia="zh-CN"/>
              </w:rPr>
              <w:t>1930.68</w:t>
            </w:r>
            <w:r>
              <w:rPr>
                <w:rFonts w:hint="eastAsia"/>
                <w:color w:val="auto"/>
                <w:szCs w:val="21"/>
              </w:rPr>
              <w:t>m</w:t>
            </w:r>
            <w:r>
              <w:rPr>
                <w:rFonts w:hint="eastAsia"/>
                <w:color w:val="auto"/>
                <w:szCs w:val="21"/>
                <w:vertAlign w:val="superscript"/>
              </w:rPr>
              <w:t>2</w:t>
            </w:r>
            <w:r>
              <w:rPr>
                <w:color w:val="auto"/>
                <w:szCs w:val="21"/>
              </w:rPr>
              <w:t>，</w:t>
            </w:r>
            <w:r>
              <w:rPr>
                <w:rFonts w:hint="eastAsia"/>
                <w:color w:val="auto"/>
                <w:szCs w:val="21"/>
                <w:lang w:eastAsia="zh-CN"/>
              </w:rPr>
              <w:t>两</w:t>
            </w:r>
            <w:r>
              <w:rPr>
                <w:color w:val="auto"/>
                <w:szCs w:val="21"/>
              </w:rPr>
              <w:t>层，</w:t>
            </w:r>
            <w:r>
              <w:rPr>
                <w:rFonts w:hint="eastAsia"/>
                <w:color w:val="auto"/>
                <w:szCs w:val="21"/>
                <w:lang w:eastAsia="zh-CN"/>
              </w:rPr>
              <w:t>砖混结构</w:t>
            </w:r>
          </w:p>
        </w:tc>
        <w:tc>
          <w:tcPr>
            <w:tcW w:w="1216" w:type="dxa"/>
            <w:vAlign w:val="center"/>
          </w:tcPr>
          <w:p w14:paraId="1E28F06E">
            <w:pPr>
              <w:widowControl/>
              <w:jc w:val="center"/>
              <w:rPr>
                <w:rFonts w:hint="default"/>
                <w:color w:val="auto"/>
                <w:szCs w:val="21"/>
                <w:lang w:val="en-US" w:eastAsia="zh-CN"/>
              </w:rPr>
            </w:pPr>
            <w:r>
              <w:rPr>
                <w:rFonts w:hint="eastAsia"/>
                <w:color w:val="auto"/>
                <w:szCs w:val="21"/>
                <w:lang w:val="en-US" w:eastAsia="zh-CN"/>
              </w:rPr>
              <w:t>1930.68</w:t>
            </w:r>
          </w:p>
        </w:tc>
        <w:tc>
          <w:tcPr>
            <w:tcW w:w="2079" w:type="dxa"/>
            <w:vAlign w:val="center"/>
          </w:tcPr>
          <w:p w14:paraId="4EADCCF3">
            <w:pPr>
              <w:jc w:val="center"/>
              <w:rPr>
                <w:rFonts w:hint="eastAsia"/>
                <w:color w:val="auto"/>
                <w:kern w:val="0"/>
                <w:szCs w:val="21"/>
                <w:lang w:eastAsia="zh-CN"/>
              </w:rPr>
            </w:pPr>
            <w:r>
              <w:rPr>
                <w:rFonts w:hint="eastAsia"/>
                <w:color w:val="auto"/>
                <w:kern w:val="0"/>
                <w:szCs w:val="21"/>
                <w:lang w:eastAsia="zh-CN"/>
              </w:rPr>
              <w:t>储存厂区内生产设备</w:t>
            </w:r>
          </w:p>
        </w:tc>
      </w:tr>
      <w:tr w14:paraId="27C4D3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427" w:type="dxa"/>
            <w:vMerge w:val="continue"/>
            <w:vAlign w:val="center"/>
          </w:tcPr>
          <w:p w14:paraId="1784BDBB">
            <w:pPr>
              <w:jc w:val="center"/>
              <w:rPr>
                <w:b/>
                <w:bCs/>
                <w:color w:val="auto"/>
                <w:szCs w:val="21"/>
              </w:rPr>
            </w:pPr>
          </w:p>
        </w:tc>
        <w:tc>
          <w:tcPr>
            <w:tcW w:w="1834" w:type="dxa"/>
            <w:gridSpan w:val="3"/>
            <w:vAlign w:val="center"/>
          </w:tcPr>
          <w:p w14:paraId="0E30F872">
            <w:pPr>
              <w:widowControl/>
              <w:jc w:val="center"/>
              <w:rPr>
                <w:rFonts w:hint="default"/>
                <w:color w:val="auto"/>
                <w:szCs w:val="21"/>
                <w:lang w:val="en-US" w:eastAsia="zh-CN"/>
              </w:rPr>
            </w:pPr>
            <w:r>
              <w:rPr>
                <w:rFonts w:hint="eastAsia"/>
                <w:color w:val="auto"/>
                <w:szCs w:val="21"/>
                <w:lang w:eastAsia="zh-CN"/>
              </w:rPr>
              <w:t>锅炉房</w:t>
            </w:r>
          </w:p>
        </w:tc>
        <w:tc>
          <w:tcPr>
            <w:tcW w:w="2969" w:type="dxa"/>
            <w:vAlign w:val="center"/>
          </w:tcPr>
          <w:p w14:paraId="573D94A3">
            <w:pPr>
              <w:jc w:val="center"/>
              <w:rPr>
                <w:color w:val="auto"/>
                <w:szCs w:val="21"/>
              </w:rPr>
            </w:pPr>
            <w:r>
              <w:rPr>
                <w:color w:val="auto"/>
                <w:szCs w:val="21"/>
              </w:rPr>
              <w:t>1栋，尺寸</w:t>
            </w:r>
            <w:r>
              <w:rPr>
                <w:rFonts w:hint="eastAsia"/>
                <w:color w:val="auto"/>
                <w:szCs w:val="21"/>
                <w:lang w:val="en-US" w:eastAsia="zh-CN"/>
              </w:rPr>
              <w:t>18.6</w:t>
            </w:r>
            <w:r>
              <w:rPr>
                <w:color w:val="auto"/>
                <w:szCs w:val="21"/>
              </w:rPr>
              <w:t>×</w:t>
            </w:r>
            <w:r>
              <w:rPr>
                <w:rFonts w:hint="eastAsia"/>
                <w:color w:val="auto"/>
                <w:szCs w:val="21"/>
                <w:lang w:val="en-US" w:eastAsia="zh-CN"/>
              </w:rPr>
              <w:t>10.6</w:t>
            </w:r>
            <w:r>
              <w:rPr>
                <w:color w:val="auto"/>
                <w:szCs w:val="21"/>
              </w:rPr>
              <w:t>，</w:t>
            </w:r>
            <w:r>
              <w:rPr>
                <w:rFonts w:hint="eastAsia"/>
                <w:color w:val="auto"/>
                <w:szCs w:val="21"/>
              </w:rPr>
              <w:t>建筑面积</w:t>
            </w:r>
            <w:r>
              <w:rPr>
                <w:rFonts w:hint="eastAsia"/>
                <w:color w:val="auto"/>
                <w:szCs w:val="21"/>
                <w:lang w:val="en-US" w:eastAsia="zh-CN"/>
              </w:rPr>
              <w:t>197.16</w:t>
            </w:r>
            <w:r>
              <w:rPr>
                <w:rFonts w:hint="eastAsia"/>
                <w:color w:val="auto"/>
                <w:szCs w:val="21"/>
              </w:rPr>
              <w:t>m</w:t>
            </w:r>
            <w:r>
              <w:rPr>
                <w:rFonts w:hint="eastAsia"/>
                <w:color w:val="auto"/>
                <w:szCs w:val="21"/>
                <w:vertAlign w:val="superscript"/>
              </w:rPr>
              <w:t>2</w:t>
            </w:r>
            <w:r>
              <w:rPr>
                <w:color w:val="auto"/>
                <w:szCs w:val="21"/>
              </w:rPr>
              <w:t>，</w:t>
            </w:r>
            <w:r>
              <w:rPr>
                <w:rFonts w:hint="eastAsia"/>
                <w:color w:val="auto"/>
                <w:szCs w:val="21"/>
                <w:lang w:eastAsia="zh-CN"/>
              </w:rPr>
              <w:t>一</w:t>
            </w:r>
            <w:r>
              <w:rPr>
                <w:color w:val="auto"/>
                <w:szCs w:val="21"/>
              </w:rPr>
              <w:t>层，</w:t>
            </w:r>
            <w:r>
              <w:rPr>
                <w:rFonts w:hint="eastAsia"/>
                <w:color w:val="auto"/>
                <w:szCs w:val="21"/>
                <w:lang w:eastAsia="zh-CN"/>
              </w:rPr>
              <w:t>砖混结构</w:t>
            </w:r>
          </w:p>
        </w:tc>
        <w:tc>
          <w:tcPr>
            <w:tcW w:w="1216" w:type="dxa"/>
            <w:vAlign w:val="center"/>
          </w:tcPr>
          <w:p w14:paraId="07D0073F">
            <w:pPr>
              <w:widowControl/>
              <w:jc w:val="center"/>
              <w:rPr>
                <w:rFonts w:hint="default"/>
                <w:color w:val="auto"/>
                <w:szCs w:val="21"/>
                <w:lang w:val="en-US" w:eastAsia="zh-CN"/>
              </w:rPr>
            </w:pPr>
            <w:r>
              <w:rPr>
                <w:rFonts w:hint="eastAsia"/>
                <w:color w:val="auto"/>
                <w:szCs w:val="21"/>
                <w:lang w:val="en-US" w:eastAsia="zh-CN"/>
              </w:rPr>
              <w:t>197.16</w:t>
            </w:r>
          </w:p>
        </w:tc>
        <w:tc>
          <w:tcPr>
            <w:tcW w:w="2079" w:type="dxa"/>
            <w:vAlign w:val="center"/>
          </w:tcPr>
          <w:p w14:paraId="7A941E03">
            <w:pPr>
              <w:jc w:val="center"/>
              <w:rPr>
                <w:rFonts w:hint="eastAsia"/>
                <w:color w:val="auto"/>
                <w:kern w:val="0"/>
                <w:szCs w:val="21"/>
                <w:lang w:eastAsia="zh-CN"/>
              </w:rPr>
            </w:pPr>
            <w:r>
              <w:rPr>
                <w:rFonts w:hint="eastAsia"/>
                <w:color w:val="auto"/>
                <w:kern w:val="0"/>
                <w:szCs w:val="21"/>
                <w:highlight w:val="none"/>
                <w:lang w:eastAsia="zh-CN"/>
              </w:rPr>
              <w:t>内设</w:t>
            </w:r>
            <w:r>
              <w:rPr>
                <w:rFonts w:hint="eastAsia"/>
                <w:color w:val="auto"/>
                <w:kern w:val="0"/>
                <w:szCs w:val="21"/>
                <w:highlight w:val="none"/>
                <w:lang w:val="en-US" w:eastAsia="zh-CN"/>
              </w:rPr>
              <w:t>1台1.4MW的生物质锅炉</w:t>
            </w:r>
          </w:p>
        </w:tc>
      </w:tr>
      <w:tr w14:paraId="3005621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4962E576">
            <w:pPr>
              <w:jc w:val="center"/>
              <w:rPr>
                <w:b/>
                <w:bCs/>
                <w:color w:val="auto"/>
                <w:szCs w:val="21"/>
              </w:rPr>
            </w:pPr>
          </w:p>
        </w:tc>
        <w:tc>
          <w:tcPr>
            <w:tcW w:w="1834" w:type="dxa"/>
            <w:gridSpan w:val="3"/>
            <w:vAlign w:val="center"/>
          </w:tcPr>
          <w:p w14:paraId="279C8C9B">
            <w:pPr>
              <w:jc w:val="center"/>
              <w:rPr>
                <w:rFonts w:hint="eastAsia" w:eastAsia="宋体"/>
                <w:color w:val="auto"/>
                <w:szCs w:val="21"/>
                <w:lang w:eastAsia="zh-CN"/>
              </w:rPr>
            </w:pPr>
            <w:r>
              <w:rPr>
                <w:rFonts w:hint="eastAsia"/>
                <w:color w:val="auto"/>
                <w:szCs w:val="21"/>
                <w:lang w:eastAsia="zh-CN"/>
              </w:rPr>
              <w:t>发电机房</w:t>
            </w:r>
          </w:p>
        </w:tc>
        <w:tc>
          <w:tcPr>
            <w:tcW w:w="2969" w:type="dxa"/>
            <w:vAlign w:val="center"/>
          </w:tcPr>
          <w:p w14:paraId="5BF0AC9D">
            <w:pPr>
              <w:jc w:val="center"/>
              <w:rPr>
                <w:rFonts w:hint="eastAsia" w:eastAsia="宋体"/>
                <w:color w:val="auto"/>
                <w:szCs w:val="21"/>
                <w:lang w:eastAsia="zh-CN"/>
              </w:rPr>
            </w:pPr>
            <w:r>
              <w:rPr>
                <w:color w:val="auto"/>
                <w:szCs w:val="21"/>
              </w:rPr>
              <w:t>1座，建筑尺寸</w:t>
            </w:r>
            <w:r>
              <w:rPr>
                <w:rFonts w:hint="eastAsia"/>
                <w:color w:val="auto"/>
                <w:szCs w:val="21"/>
                <w:lang w:val="en-US" w:eastAsia="zh-CN"/>
              </w:rPr>
              <w:t>12.87</w:t>
            </w:r>
            <w:r>
              <w:rPr>
                <w:color w:val="auto"/>
                <w:szCs w:val="21"/>
              </w:rPr>
              <w:t>×</w:t>
            </w:r>
            <w:r>
              <w:rPr>
                <w:rFonts w:hint="eastAsia"/>
                <w:color w:val="auto"/>
                <w:szCs w:val="21"/>
                <w:lang w:val="en-US" w:eastAsia="zh-CN"/>
              </w:rPr>
              <w:t>8</w:t>
            </w:r>
            <w:r>
              <w:rPr>
                <w:color w:val="auto"/>
                <w:szCs w:val="21"/>
              </w:rPr>
              <w:t>，单层结构形式为</w:t>
            </w:r>
            <w:r>
              <w:rPr>
                <w:color w:val="auto"/>
                <w:kern w:val="0"/>
                <w:szCs w:val="21"/>
              </w:rPr>
              <w:t>砖混</w:t>
            </w:r>
            <w:r>
              <w:rPr>
                <w:rFonts w:hint="eastAsia"/>
                <w:color w:val="auto"/>
                <w:kern w:val="0"/>
                <w:szCs w:val="21"/>
                <w:lang w:eastAsia="zh-CN"/>
              </w:rPr>
              <w:t>结构</w:t>
            </w:r>
          </w:p>
        </w:tc>
        <w:tc>
          <w:tcPr>
            <w:tcW w:w="1216" w:type="dxa"/>
            <w:vAlign w:val="center"/>
          </w:tcPr>
          <w:p w14:paraId="01FDCC0A">
            <w:pPr>
              <w:widowControl/>
              <w:jc w:val="center"/>
              <w:rPr>
                <w:rFonts w:hint="default" w:eastAsia="宋体"/>
                <w:color w:val="auto"/>
                <w:szCs w:val="21"/>
                <w:lang w:val="en-US" w:eastAsia="zh-CN"/>
              </w:rPr>
            </w:pPr>
            <w:r>
              <w:rPr>
                <w:rFonts w:hint="eastAsia"/>
                <w:color w:val="auto"/>
                <w:szCs w:val="21"/>
                <w:lang w:val="en-US" w:eastAsia="zh-CN"/>
              </w:rPr>
              <w:t>102.96</w:t>
            </w:r>
          </w:p>
        </w:tc>
        <w:tc>
          <w:tcPr>
            <w:tcW w:w="2079" w:type="dxa"/>
            <w:vAlign w:val="center"/>
          </w:tcPr>
          <w:p w14:paraId="4B6540F0">
            <w:pPr>
              <w:jc w:val="center"/>
              <w:rPr>
                <w:color w:val="auto"/>
                <w:szCs w:val="21"/>
              </w:rPr>
            </w:pPr>
            <w:r>
              <w:rPr>
                <w:color w:val="auto"/>
                <w:kern w:val="0"/>
                <w:szCs w:val="21"/>
              </w:rPr>
              <w:t>内设1台备用柴油发电机</w:t>
            </w:r>
          </w:p>
        </w:tc>
      </w:tr>
      <w:tr w14:paraId="56BD14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378EFF77">
            <w:pPr>
              <w:jc w:val="center"/>
              <w:rPr>
                <w:color w:val="auto"/>
                <w:szCs w:val="21"/>
              </w:rPr>
            </w:pPr>
          </w:p>
        </w:tc>
        <w:tc>
          <w:tcPr>
            <w:tcW w:w="1834" w:type="dxa"/>
            <w:gridSpan w:val="3"/>
            <w:vAlign w:val="center"/>
          </w:tcPr>
          <w:p w14:paraId="0103FBE7">
            <w:pPr>
              <w:jc w:val="center"/>
              <w:rPr>
                <w:rFonts w:hint="default" w:eastAsia="宋体"/>
                <w:color w:val="auto"/>
                <w:szCs w:val="21"/>
                <w:lang w:val="en-US" w:eastAsia="zh-CN"/>
              </w:rPr>
            </w:pPr>
            <w:r>
              <w:rPr>
                <w:rFonts w:hint="eastAsia"/>
                <w:color w:val="auto"/>
                <w:szCs w:val="21"/>
                <w:lang w:eastAsia="zh-CN"/>
              </w:rPr>
              <w:t>门卫</w:t>
            </w:r>
            <w:r>
              <w:rPr>
                <w:rFonts w:hint="eastAsia"/>
                <w:color w:val="auto"/>
                <w:szCs w:val="21"/>
                <w:lang w:val="en-US" w:eastAsia="zh-CN"/>
              </w:rPr>
              <w:t>1（人流）</w:t>
            </w:r>
          </w:p>
        </w:tc>
        <w:tc>
          <w:tcPr>
            <w:tcW w:w="2969" w:type="dxa"/>
            <w:vAlign w:val="center"/>
          </w:tcPr>
          <w:p w14:paraId="29B6E88E">
            <w:pPr>
              <w:jc w:val="center"/>
              <w:rPr>
                <w:color w:val="auto"/>
                <w:szCs w:val="21"/>
              </w:rPr>
            </w:pPr>
            <w:r>
              <w:rPr>
                <w:color w:val="auto"/>
                <w:szCs w:val="21"/>
              </w:rPr>
              <w:t>1座，建筑尺寸</w:t>
            </w:r>
            <w:r>
              <w:rPr>
                <w:rFonts w:hint="eastAsia"/>
                <w:color w:val="auto"/>
                <w:szCs w:val="21"/>
                <w:lang w:val="en-US" w:eastAsia="zh-CN"/>
              </w:rPr>
              <w:t>5.7</w:t>
            </w:r>
            <w:r>
              <w:rPr>
                <w:color w:val="auto"/>
                <w:szCs w:val="21"/>
              </w:rPr>
              <w:t>×</w:t>
            </w:r>
            <w:r>
              <w:rPr>
                <w:rFonts w:hint="eastAsia"/>
                <w:color w:val="auto"/>
                <w:szCs w:val="21"/>
                <w:lang w:val="en-US" w:eastAsia="zh-CN"/>
              </w:rPr>
              <w:t>9.6</w:t>
            </w:r>
            <w:r>
              <w:rPr>
                <w:color w:val="auto"/>
                <w:szCs w:val="21"/>
              </w:rPr>
              <w:t>，</w:t>
            </w:r>
            <w:r>
              <w:rPr>
                <w:rFonts w:hint="eastAsia"/>
                <w:color w:val="auto"/>
                <w:szCs w:val="21"/>
              </w:rPr>
              <w:t>建筑面积</w:t>
            </w:r>
            <w:r>
              <w:rPr>
                <w:rFonts w:hint="eastAsia"/>
                <w:color w:val="auto"/>
                <w:szCs w:val="21"/>
                <w:lang w:val="en-US" w:eastAsia="zh-CN"/>
              </w:rPr>
              <w:t>54.72</w:t>
            </w:r>
            <w:r>
              <w:rPr>
                <w:rFonts w:hint="eastAsia"/>
                <w:color w:val="auto"/>
                <w:szCs w:val="21"/>
              </w:rPr>
              <w:t>m</w:t>
            </w:r>
            <w:r>
              <w:rPr>
                <w:rFonts w:hint="eastAsia"/>
                <w:color w:val="auto"/>
                <w:szCs w:val="21"/>
                <w:vertAlign w:val="superscript"/>
              </w:rPr>
              <w:t>2</w:t>
            </w:r>
            <w:r>
              <w:rPr>
                <w:color w:val="auto"/>
                <w:szCs w:val="21"/>
              </w:rPr>
              <w:t>，</w:t>
            </w:r>
            <w:r>
              <w:rPr>
                <w:rFonts w:hint="eastAsia"/>
                <w:color w:val="auto"/>
                <w:szCs w:val="21"/>
              </w:rPr>
              <w:t>一</w:t>
            </w:r>
            <w:r>
              <w:rPr>
                <w:color w:val="auto"/>
                <w:szCs w:val="21"/>
              </w:rPr>
              <w:t>层，</w:t>
            </w:r>
            <w:r>
              <w:rPr>
                <w:rFonts w:hint="eastAsia"/>
                <w:color w:val="auto"/>
                <w:szCs w:val="21"/>
                <w:lang w:eastAsia="zh-CN"/>
              </w:rPr>
              <w:t>砖混结构</w:t>
            </w:r>
          </w:p>
        </w:tc>
        <w:tc>
          <w:tcPr>
            <w:tcW w:w="1216" w:type="dxa"/>
            <w:vAlign w:val="center"/>
          </w:tcPr>
          <w:p w14:paraId="34E444EB">
            <w:pPr>
              <w:widowControl/>
              <w:jc w:val="center"/>
              <w:rPr>
                <w:rFonts w:hint="default" w:eastAsia="宋体"/>
                <w:color w:val="auto"/>
                <w:szCs w:val="21"/>
                <w:lang w:val="en-US" w:eastAsia="zh-CN"/>
              </w:rPr>
            </w:pPr>
            <w:r>
              <w:rPr>
                <w:rFonts w:hint="eastAsia"/>
                <w:color w:val="auto"/>
                <w:szCs w:val="21"/>
                <w:lang w:val="en-US" w:eastAsia="zh-CN"/>
              </w:rPr>
              <w:t>54.72</w:t>
            </w:r>
          </w:p>
        </w:tc>
        <w:tc>
          <w:tcPr>
            <w:tcW w:w="2079" w:type="dxa"/>
            <w:vAlign w:val="center"/>
          </w:tcPr>
          <w:p w14:paraId="42600A7A">
            <w:pPr>
              <w:jc w:val="center"/>
              <w:rPr>
                <w:rFonts w:hint="eastAsia" w:eastAsia="宋体"/>
                <w:color w:val="auto"/>
                <w:szCs w:val="21"/>
                <w:lang w:val="en-US" w:eastAsia="zh-CN"/>
              </w:rPr>
            </w:pPr>
            <w:r>
              <w:rPr>
                <w:rFonts w:hint="eastAsia"/>
                <w:color w:val="auto"/>
                <w:szCs w:val="21"/>
                <w:lang w:val="en-US" w:eastAsia="zh-CN"/>
              </w:rPr>
              <w:t>/</w:t>
            </w:r>
          </w:p>
        </w:tc>
      </w:tr>
      <w:tr w14:paraId="3147E9B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52CD9276">
            <w:pPr>
              <w:jc w:val="center"/>
              <w:rPr>
                <w:color w:val="auto"/>
                <w:szCs w:val="21"/>
              </w:rPr>
            </w:pPr>
          </w:p>
        </w:tc>
        <w:tc>
          <w:tcPr>
            <w:tcW w:w="1834" w:type="dxa"/>
            <w:gridSpan w:val="3"/>
            <w:vAlign w:val="center"/>
          </w:tcPr>
          <w:p w14:paraId="253BAF6C">
            <w:pPr>
              <w:jc w:val="center"/>
              <w:rPr>
                <w:rFonts w:hint="eastAsia"/>
                <w:color w:val="auto"/>
                <w:szCs w:val="21"/>
                <w:lang w:eastAsia="zh-CN"/>
              </w:rPr>
            </w:pPr>
            <w:r>
              <w:rPr>
                <w:rFonts w:hint="eastAsia"/>
                <w:color w:val="auto"/>
                <w:szCs w:val="21"/>
                <w:lang w:eastAsia="zh-CN"/>
              </w:rPr>
              <w:t>门卫</w:t>
            </w:r>
            <w:r>
              <w:rPr>
                <w:rFonts w:hint="eastAsia"/>
                <w:color w:val="auto"/>
                <w:szCs w:val="21"/>
                <w:lang w:val="en-US" w:eastAsia="zh-CN"/>
              </w:rPr>
              <w:t>2（污流）</w:t>
            </w:r>
          </w:p>
        </w:tc>
        <w:tc>
          <w:tcPr>
            <w:tcW w:w="2969" w:type="dxa"/>
            <w:vAlign w:val="center"/>
          </w:tcPr>
          <w:p w14:paraId="3FD111FE">
            <w:pPr>
              <w:jc w:val="center"/>
              <w:rPr>
                <w:color w:val="auto"/>
                <w:szCs w:val="21"/>
              </w:rPr>
            </w:pPr>
            <w:r>
              <w:rPr>
                <w:color w:val="auto"/>
                <w:szCs w:val="21"/>
              </w:rPr>
              <w:t>1座，建筑尺寸</w:t>
            </w:r>
            <w:r>
              <w:rPr>
                <w:rFonts w:hint="eastAsia"/>
                <w:color w:val="auto"/>
                <w:szCs w:val="21"/>
                <w:lang w:val="en-US" w:eastAsia="zh-CN"/>
              </w:rPr>
              <w:t>5.7</w:t>
            </w:r>
            <w:r>
              <w:rPr>
                <w:color w:val="auto"/>
                <w:szCs w:val="21"/>
              </w:rPr>
              <w:t>×</w:t>
            </w:r>
            <w:r>
              <w:rPr>
                <w:rFonts w:hint="eastAsia"/>
                <w:color w:val="auto"/>
                <w:szCs w:val="21"/>
                <w:lang w:val="en-US" w:eastAsia="zh-CN"/>
              </w:rPr>
              <w:t>14.1</w:t>
            </w:r>
            <w:r>
              <w:rPr>
                <w:color w:val="auto"/>
                <w:szCs w:val="21"/>
              </w:rPr>
              <w:t>，</w:t>
            </w:r>
            <w:r>
              <w:rPr>
                <w:rFonts w:hint="eastAsia"/>
                <w:color w:val="auto"/>
                <w:szCs w:val="21"/>
              </w:rPr>
              <w:t>建筑面积</w:t>
            </w:r>
            <w:r>
              <w:rPr>
                <w:rFonts w:hint="eastAsia"/>
                <w:color w:val="auto"/>
                <w:szCs w:val="21"/>
                <w:lang w:val="en-US" w:eastAsia="zh-CN"/>
              </w:rPr>
              <w:t>80.37</w:t>
            </w:r>
            <w:r>
              <w:rPr>
                <w:rFonts w:hint="eastAsia"/>
                <w:color w:val="auto"/>
                <w:szCs w:val="21"/>
              </w:rPr>
              <w:t>m</w:t>
            </w:r>
            <w:r>
              <w:rPr>
                <w:rFonts w:hint="eastAsia"/>
                <w:color w:val="auto"/>
                <w:szCs w:val="21"/>
                <w:vertAlign w:val="superscript"/>
              </w:rPr>
              <w:t>2</w:t>
            </w:r>
            <w:r>
              <w:rPr>
                <w:color w:val="auto"/>
                <w:szCs w:val="21"/>
              </w:rPr>
              <w:t>，</w:t>
            </w:r>
            <w:r>
              <w:rPr>
                <w:rFonts w:hint="eastAsia"/>
                <w:color w:val="auto"/>
                <w:szCs w:val="21"/>
              </w:rPr>
              <w:t>一</w:t>
            </w:r>
            <w:r>
              <w:rPr>
                <w:color w:val="auto"/>
                <w:szCs w:val="21"/>
              </w:rPr>
              <w:t>层，</w:t>
            </w:r>
            <w:r>
              <w:rPr>
                <w:rFonts w:hint="eastAsia"/>
                <w:color w:val="auto"/>
                <w:szCs w:val="21"/>
                <w:lang w:eastAsia="zh-CN"/>
              </w:rPr>
              <w:t>砖混结构</w:t>
            </w:r>
          </w:p>
        </w:tc>
        <w:tc>
          <w:tcPr>
            <w:tcW w:w="1216" w:type="dxa"/>
            <w:vAlign w:val="center"/>
          </w:tcPr>
          <w:p w14:paraId="77586299">
            <w:pPr>
              <w:widowControl/>
              <w:jc w:val="center"/>
              <w:rPr>
                <w:rFonts w:hint="default"/>
                <w:color w:val="auto"/>
                <w:szCs w:val="21"/>
                <w:lang w:val="en-US" w:eastAsia="zh-CN"/>
              </w:rPr>
            </w:pPr>
            <w:r>
              <w:rPr>
                <w:rFonts w:hint="eastAsia"/>
                <w:color w:val="auto"/>
                <w:szCs w:val="21"/>
                <w:lang w:val="en-US" w:eastAsia="zh-CN"/>
              </w:rPr>
              <w:t>80.37</w:t>
            </w:r>
          </w:p>
        </w:tc>
        <w:tc>
          <w:tcPr>
            <w:tcW w:w="2079" w:type="dxa"/>
            <w:vAlign w:val="center"/>
          </w:tcPr>
          <w:p w14:paraId="69426F9B">
            <w:pPr>
              <w:jc w:val="center"/>
              <w:rPr>
                <w:rFonts w:hint="eastAsia"/>
                <w:color w:val="auto"/>
                <w:szCs w:val="21"/>
                <w:lang w:val="en-US" w:eastAsia="zh-CN"/>
              </w:rPr>
            </w:pPr>
            <w:r>
              <w:rPr>
                <w:rFonts w:hint="eastAsia"/>
                <w:color w:val="auto"/>
                <w:szCs w:val="21"/>
                <w:lang w:val="en-US" w:eastAsia="zh-CN"/>
              </w:rPr>
              <w:t>/</w:t>
            </w:r>
          </w:p>
        </w:tc>
      </w:tr>
      <w:tr w14:paraId="2B529EB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restart"/>
            <w:vAlign w:val="center"/>
          </w:tcPr>
          <w:p w14:paraId="1621DFB8">
            <w:pPr>
              <w:jc w:val="center"/>
              <w:rPr>
                <w:rFonts w:hint="eastAsia" w:eastAsia="宋体"/>
                <w:color w:val="auto"/>
                <w:szCs w:val="21"/>
                <w:lang w:eastAsia="zh-CN"/>
              </w:rPr>
            </w:pPr>
            <w:r>
              <w:rPr>
                <w:rFonts w:hint="eastAsia"/>
                <w:b/>
                <w:bCs/>
                <w:color w:val="auto"/>
                <w:szCs w:val="21"/>
                <w:lang w:eastAsia="zh-CN"/>
              </w:rPr>
              <w:t>储运工程</w:t>
            </w:r>
          </w:p>
        </w:tc>
        <w:tc>
          <w:tcPr>
            <w:tcW w:w="749" w:type="dxa"/>
            <w:gridSpan w:val="2"/>
            <w:vMerge w:val="restart"/>
            <w:vAlign w:val="center"/>
          </w:tcPr>
          <w:p w14:paraId="4EEEE52A">
            <w:pPr>
              <w:jc w:val="center"/>
              <w:rPr>
                <w:rFonts w:hint="eastAsia"/>
                <w:color w:val="auto"/>
                <w:szCs w:val="21"/>
                <w:lang w:eastAsia="zh-CN"/>
              </w:rPr>
            </w:pPr>
            <w:r>
              <w:rPr>
                <w:rFonts w:hint="eastAsia"/>
                <w:color w:val="auto"/>
                <w:szCs w:val="21"/>
                <w:lang w:eastAsia="zh-CN"/>
              </w:rPr>
              <w:t>燃料储运</w:t>
            </w:r>
          </w:p>
        </w:tc>
        <w:tc>
          <w:tcPr>
            <w:tcW w:w="1085" w:type="dxa"/>
            <w:vAlign w:val="center"/>
          </w:tcPr>
          <w:p w14:paraId="7440FECF">
            <w:pPr>
              <w:jc w:val="center"/>
              <w:rPr>
                <w:rFonts w:hint="eastAsia"/>
                <w:color w:val="auto"/>
                <w:szCs w:val="21"/>
                <w:lang w:eastAsia="zh-CN"/>
              </w:rPr>
            </w:pPr>
            <w:r>
              <w:rPr>
                <w:rFonts w:hint="eastAsia"/>
                <w:color w:val="auto"/>
                <w:szCs w:val="21"/>
                <w:lang w:eastAsia="zh-CN"/>
              </w:rPr>
              <w:t>柴油储存</w:t>
            </w:r>
          </w:p>
        </w:tc>
        <w:tc>
          <w:tcPr>
            <w:tcW w:w="2969" w:type="dxa"/>
            <w:vAlign w:val="center"/>
          </w:tcPr>
          <w:p w14:paraId="5A5F151E">
            <w:pPr>
              <w:jc w:val="center"/>
              <w:rPr>
                <w:rFonts w:hint="default" w:eastAsia="宋体"/>
                <w:color w:val="auto"/>
                <w:szCs w:val="21"/>
                <w:lang w:val="en-US" w:eastAsia="zh-CN"/>
              </w:rPr>
            </w:pPr>
            <w:r>
              <w:rPr>
                <w:rFonts w:hint="eastAsia"/>
                <w:color w:val="auto"/>
                <w:szCs w:val="21"/>
                <w:lang w:eastAsia="zh-CN"/>
              </w:rPr>
              <w:t>备用柴油发电机所用柴油，外购，暂存于发电机房内</w:t>
            </w:r>
          </w:p>
        </w:tc>
        <w:tc>
          <w:tcPr>
            <w:tcW w:w="1216" w:type="dxa"/>
            <w:vAlign w:val="center"/>
          </w:tcPr>
          <w:p w14:paraId="56977439">
            <w:pPr>
              <w:widowControl/>
              <w:jc w:val="center"/>
              <w:rPr>
                <w:rFonts w:hint="default"/>
                <w:color w:val="auto"/>
                <w:szCs w:val="21"/>
                <w:lang w:val="en-US" w:eastAsia="zh-CN"/>
              </w:rPr>
            </w:pPr>
            <w:r>
              <w:rPr>
                <w:rFonts w:hint="eastAsia"/>
                <w:color w:val="auto"/>
                <w:szCs w:val="21"/>
                <w:lang w:val="en-US" w:eastAsia="zh-CN"/>
              </w:rPr>
              <w:t>/</w:t>
            </w:r>
          </w:p>
        </w:tc>
        <w:tc>
          <w:tcPr>
            <w:tcW w:w="2079" w:type="dxa"/>
            <w:vAlign w:val="center"/>
          </w:tcPr>
          <w:p w14:paraId="3951C473">
            <w:pPr>
              <w:jc w:val="center"/>
              <w:rPr>
                <w:rFonts w:hint="default"/>
                <w:color w:val="auto"/>
                <w:szCs w:val="21"/>
                <w:lang w:val="en-US" w:eastAsia="zh-CN"/>
              </w:rPr>
            </w:pPr>
            <w:r>
              <w:rPr>
                <w:rFonts w:hint="eastAsia"/>
                <w:color w:val="auto"/>
                <w:szCs w:val="21"/>
                <w:lang w:val="en-US" w:eastAsia="zh-CN"/>
              </w:rPr>
              <w:t>最大储存量为600L</w:t>
            </w:r>
          </w:p>
        </w:tc>
      </w:tr>
      <w:tr w14:paraId="66D4F1C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5F7FFDE5">
            <w:pPr>
              <w:jc w:val="center"/>
              <w:rPr>
                <w:color w:val="auto"/>
                <w:szCs w:val="21"/>
              </w:rPr>
            </w:pPr>
          </w:p>
        </w:tc>
        <w:tc>
          <w:tcPr>
            <w:tcW w:w="749" w:type="dxa"/>
            <w:gridSpan w:val="2"/>
            <w:vMerge w:val="continue"/>
            <w:vAlign w:val="center"/>
          </w:tcPr>
          <w:p w14:paraId="0AB51767">
            <w:pPr>
              <w:jc w:val="center"/>
              <w:rPr>
                <w:rFonts w:hint="eastAsia"/>
                <w:color w:val="auto"/>
                <w:szCs w:val="21"/>
                <w:lang w:eastAsia="zh-CN"/>
              </w:rPr>
            </w:pPr>
          </w:p>
        </w:tc>
        <w:tc>
          <w:tcPr>
            <w:tcW w:w="1085" w:type="dxa"/>
            <w:vAlign w:val="center"/>
          </w:tcPr>
          <w:p w14:paraId="1B9EE0B6">
            <w:pPr>
              <w:jc w:val="center"/>
              <w:rPr>
                <w:rFonts w:hint="eastAsia"/>
                <w:color w:val="auto"/>
                <w:szCs w:val="21"/>
                <w:lang w:eastAsia="zh-CN"/>
              </w:rPr>
            </w:pPr>
            <w:r>
              <w:rPr>
                <w:rFonts w:hint="eastAsia"/>
                <w:color w:val="auto"/>
                <w:szCs w:val="21"/>
                <w:lang w:eastAsia="zh-CN"/>
              </w:rPr>
              <w:t>生物质颗粒储存</w:t>
            </w:r>
          </w:p>
        </w:tc>
        <w:tc>
          <w:tcPr>
            <w:tcW w:w="2969" w:type="dxa"/>
            <w:vAlign w:val="center"/>
          </w:tcPr>
          <w:p w14:paraId="71D593C7">
            <w:pPr>
              <w:jc w:val="center"/>
              <w:rPr>
                <w:rFonts w:hint="default" w:eastAsia="宋体"/>
                <w:color w:val="auto"/>
                <w:szCs w:val="21"/>
                <w:lang w:val="en-US" w:eastAsia="zh-CN"/>
              </w:rPr>
            </w:pPr>
            <w:r>
              <w:rPr>
                <w:rFonts w:hint="eastAsia"/>
                <w:color w:val="auto"/>
                <w:szCs w:val="21"/>
                <w:lang w:val="en-US" w:eastAsia="zh-CN"/>
              </w:rPr>
              <w:t>生物质锅炉所用燃料颗粒，储</w:t>
            </w:r>
            <w:r>
              <w:rPr>
                <w:rFonts w:hint="eastAsia"/>
                <w:color w:val="auto"/>
                <w:szCs w:val="21"/>
                <w:highlight w:val="none"/>
                <w:lang w:val="en-US" w:eastAsia="zh-CN"/>
              </w:rPr>
              <w:t>存于锅炉房内</w:t>
            </w:r>
          </w:p>
        </w:tc>
        <w:tc>
          <w:tcPr>
            <w:tcW w:w="1216" w:type="dxa"/>
            <w:vAlign w:val="center"/>
          </w:tcPr>
          <w:p w14:paraId="66822FFF">
            <w:pPr>
              <w:widowControl/>
              <w:jc w:val="center"/>
              <w:rPr>
                <w:rFonts w:hint="default"/>
                <w:color w:val="auto"/>
                <w:szCs w:val="21"/>
                <w:lang w:val="en-US" w:eastAsia="zh-CN"/>
              </w:rPr>
            </w:pPr>
            <w:r>
              <w:rPr>
                <w:rFonts w:hint="eastAsia"/>
                <w:color w:val="auto"/>
                <w:szCs w:val="21"/>
                <w:lang w:val="en-US" w:eastAsia="zh-CN"/>
              </w:rPr>
              <w:t>/</w:t>
            </w:r>
          </w:p>
        </w:tc>
        <w:tc>
          <w:tcPr>
            <w:tcW w:w="2079" w:type="dxa"/>
            <w:vAlign w:val="center"/>
          </w:tcPr>
          <w:p w14:paraId="50BB0D0C">
            <w:pPr>
              <w:jc w:val="center"/>
              <w:rPr>
                <w:rFonts w:hint="default"/>
                <w:color w:val="auto"/>
                <w:szCs w:val="21"/>
                <w:lang w:val="en-US" w:eastAsia="zh-CN"/>
              </w:rPr>
            </w:pPr>
            <w:r>
              <w:rPr>
                <w:rFonts w:hint="eastAsia"/>
                <w:color w:val="auto"/>
                <w:szCs w:val="21"/>
                <w:lang w:val="en-US" w:eastAsia="zh-CN"/>
              </w:rPr>
              <w:t>最大储存量为300t</w:t>
            </w:r>
          </w:p>
        </w:tc>
      </w:tr>
      <w:tr w14:paraId="0C5128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431A019B">
            <w:pPr>
              <w:jc w:val="center"/>
              <w:rPr>
                <w:color w:val="auto"/>
                <w:szCs w:val="21"/>
              </w:rPr>
            </w:pPr>
          </w:p>
        </w:tc>
        <w:tc>
          <w:tcPr>
            <w:tcW w:w="749" w:type="dxa"/>
            <w:gridSpan w:val="2"/>
            <w:vMerge w:val="restart"/>
            <w:vAlign w:val="center"/>
          </w:tcPr>
          <w:p w14:paraId="0257B099">
            <w:pPr>
              <w:jc w:val="center"/>
              <w:rPr>
                <w:rFonts w:hint="eastAsia"/>
                <w:color w:val="auto"/>
                <w:szCs w:val="21"/>
                <w:lang w:eastAsia="zh-CN"/>
              </w:rPr>
            </w:pPr>
            <w:r>
              <w:rPr>
                <w:rFonts w:hint="eastAsia"/>
                <w:color w:val="auto"/>
                <w:szCs w:val="21"/>
                <w:lang w:eastAsia="zh-CN"/>
              </w:rPr>
              <w:t>固废储运</w:t>
            </w:r>
          </w:p>
        </w:tc>
        <w:tc>
          <w:tcPr>
            <w:tcW w:w="1085" w:type="dxa"/>
            <w:vAlign w:val="center"/>
          </w:tcPr>
          <w:p w14:paraId="25C2F12D">
            <w:pPr>
              <w:jc w:val="center"/>
              <w:rPr>
                <w:rFonts w:hint="eastAsia"/>
                <w:color w:val="auto"/>
                <w:szCs w:val="21"/>
                <w:lang w:eastAsia="zh-CN"/>
              </w:rPr>
            </w:pPr>
            <w:r>
              <w:rPr>
                <w:rFonts w:hint="eastAsia"/>
                <w:color w:val="auto"/>
                <w:szCs w:val="21"/>
                <w:lang w:eastAsia="zh-CN"/>
              </w:rPr>
              <w:t>病死鸡储存</w:t>
            </w:r>
          </w:p>
        </w:tc>
        <w:tc>
          <w:tcPr>
            <w:tcW w:w="2969" w:type="dxa"/>
            <w:vAlign w:val="center"/>
          </w:tcPr>
          <w:p w14:paraId="54529E74">
            <w:pPr>
              <w:jc w:val="center"/>
              <w:rPr>
                <w:rFonts w:hint="eastAsia" w:eastAsia="宋体"/>
                <w:color w:val="auto"/>
                <w:szCs w:val="21"/>
                <w:lang w:val="en-US" w:eastAsia="zh-CN"/>
              </w:rPr>
            </w:pPr>
            <w:r>
              <w:rPr>
                <w:rFonts w:hint="eastAsia"/>
                <w:color w:val="auto"/>
                <w:szCs w:val="21"/>
              </w:rPr>
              <w:t>1个850L冷柜</w:t>
            </w:r>
            <w:r>
              <w:rPr>
                <w:rFonts w:hint="eastAsia"/>
                <w:color w:val="auto"/>
                <w:szCs w:val="21"/>
                <w:lang w:eastAsia="zh-CN"/>
              </w:rPr>
              <w:t>用于暂时存放病死鸡</w:t>
            </w:r>
          </w:p>
        </w:tc>
        <w:tc>
          <w:tcPr>
            <w:tcW w:w="1216" w:type="dxa"/>
            <w:vAlign w:val="center"/>
          </w:tcPr>
          <w:p w14:paraId="07D8E979">
            <w:pPr>
              <w:widowControl/>
              <w:jc w:val="center"/>
              <w:rPr>
                <w:rFonts w:hint="default"/>
                <w:color w:val="auto"/>
                <w:szCs w:val="21"/>
                <w:lang w:val="en-US" w:eastAsia="zh-CN"/>
              </w:rPr>
            </w:pPr>
            <w:r>
              <w:rPr>
                <w:rFonts w:hint="eastAsia"/>
                <w:color w:val="auto"/>
                <w:szCs w:val="21"/>
                <w:lang w:val="en-US" w:eastAsia="zh-CN"/>
              </w:rPr>
              <w:t>/</w:t>
            </w:r>
          </w:p>
        </w:tc>
        <w:tc>
          <w:tcPr>
            <w:tcW w:w="2079" w:type="dxa"/>
            <w:vAlign w:val="center"/>
          </w:tcPr>
          <w:p w14:paraId="4D5093A7">
            <w:pPr>
              <w:jc w:val="center"/>
              <w:rPr>
                <w:rFonts w:hint="eastAsia"/>
                <w:color w:val="auto"/>
                <w:szCs w:val="21"/>
                <w:lang w:val="en-US" w:eastAsia="zh-CN"/>
              </w:rPr>
            </w:pPr>
            <w:r>
              <w:rPr>
                <w:rFonts w:hint="eastAsia"/>
                <w:color w:val="auto"/>
                <w:szCs w:val="21"/>
                <w:lang w:val="en-US" w:eastAsia="zh-CN"/>
              </w:rPr>
              <w:t>仅用于临时储存</w:t>
            </w:r>
          </w:p>
        </w:tc>
      </w:tr>
      <w:tr w14:paraId="31E9D1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1493B15E">
            <w:pPr>
              <w:jc w:val="center"/>
              <w:rPr>
                <w:color w:val="auto"/>
                <w:szCs w:val="21"/>
              </w:rPr>
            </w:pPr>
          </w:p>
        </w:tc>
        <w:tc>
          <w:tcPr>
            <w:tcW w:w="749" w:type="dxa"/>
            <w:gridSpan w:val="2"/>
            <w:vMerge w:val="continue"/>
            <w:vAlign w:val="center"/>
          </w:tcPr>
          <w:p w14:paraId="18336C72">
            <w:pPr>
              <w:jc w:val="center"/>
              <w:rPr>
                <w:rFonts w:hint="eastAsia"/>
                <w:color w:val="auto"/>
                <w:szCs w:val="21"/>
                <w:lang w:eastAsia="zh-CN"/>
              </w:rPr>
            </w:pPr>
          </w:p>
        </w:tc>
        <w:tc>
          <w:tcPr>
            <w:tcW w:w="1085" w:type="dxa"/>
            <w:vAlign w:val="center"/>
          </w:tcPr>
          <w:p w14:paraId="447F6843">
            <w:pPr>
              <w:jc w:val="center"/>
              <w:rPr>
                <w:rFonts w:hint="eastAsia"/>
                <w:color w:val="auto"/>
                <w:szCs w:val="21"/>
                <w:lang w:eastAsia="zh-CN"/>
              </w:rPr>
            </w:pPr>
            <w:r>
              <w:rPr>
                <w:rFonts w:hint="eastAsia"/>
                <w:color w:val="auto"/>
                <w:szCs w:val="21"/>
                <w:lang w:eastAsia="zh-CN"/>
              </w:rPr>
              <w:t>医疗废物暂存间</w:t>
            </w:r>
          </w:p>
        </w:tc>
        <w:tc>
          <w:tcPr>
            <w:tcW w:w="2969" w:type="dxa"/>
            <w:vAlign w:val="center"/>
          </w:tcPr>
          <w:p w14:paraId="0EB4E34A">
            <w:pPr>
              <w:jc w:val="center"/>
              <w:rPr>
                <w:rFonts w:hint="default"/>
                <w:color w:val="auto"/>
                <w:szCs w:val="21"/>
                <w:lang w:val="en-US" w:eastAsia="zh-CN"/>
              </w:rPr>
            </w:pPr>
            <w:r>
              <w:rPr>
                <w:rFonts w:hint="eastAsia"/>
                <w:color w:val="auto"/>
                <w:szCs w:val="21"/>
                <w:lang w:val="en-US" w:eastAsia="zh-CN"/>
              </w:rPr>
              <w:t>厂区北侧建设1座医疗废物暂存间，做防腐防渗防遗失措施</w:t>
            </w:r>
          </w:p>
        </w:tc>
        <w:tc>
          <w:tcPr>
            <w:tcW w:w="1216" w:type="dxa"/>
            <w:vAlign w:val="center"/>
          </w:tcPr>
          <w:p w14:paraId="41E7E74C">
            <w:pPr>
              <w:widowControl/>
              <w:jc w:val="center"/>
              <w:rPr>
                <w:rFonts w:hint="default"/>
                <w:color w:val="auto"/>
                <w:szCs w:val="21"/>
                <w:lang w:val="en-US" w:eastAsia="zh-CN"/>
              </w:rPr>
            </w:pPr>
            <w:r>
              <w:rPr>
                <w:rFonts w:hint="eastAsia"/>
                <w:color w:val="auto"/>
                <w:szCs w:val="21"/>
                <w:lang w:val="en-US" w:eastAsia="zh-CN"/>
              </w:rPr>
              <w:t>10m</w:t>
            </w:r>
            <w:r>
              <w:rPr>
                <w:rFonts w:hint="eastAsia"/>
                <w:color w:val="auto"/>
                <w:szCs w:val="21"/>
                <w:vertAlign w:val="superscript"/>
                <w:lang w:val="en-US" w:eastAsia="zh-CN"/>
              </w:rPr>
              <w:t>2</w:t>
            </w:r>
          </w:p>
        </w:tc>
        <w:tc>
          <w:tcPr>
            <w:tcW w:w="2079" w:type="dxa"/>
            <w:vAlign w:val="center"/>
          </w:tcPr>
          <w:p w14:paraId="69C4D9FC">
            <w:pPr>
              <w:jc w:val="center"/>
              <w:rPr>
                <w:rFonts w:hint="eastAsia"/>
                <w:color w:val="auto"/>
                <w:szCs w:val="21"/>
                <w:lang w:val="en-US" w:eastAsia="zh-CN"/>
              </w:rPr>
            </w:pPr>
            <w:r>
              <w:rPr>
                <w:rFonts w:hint="eastAsia"/>
                <w:color w:val="auto"/>
                <w:szCs w:val="21"/>
                <w:lang w:eastAsia="zh-CN"/>
              </w:rPr>
              <w:t>委托有资质单位定期收集处理。</w:t>
            </w:r>
          </w:p>
        </w:tc>
      </w:tr>
      <w:tr w14:paraId="44BF9F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0F253D6B">
            <w:pPr>
              <w:jc w:val="center"/>
              <w:rPr>
                <w:color w:val="auto"/>
                <w:szCs w:val="21"/>
              </w:rPr>
            </w:pPr>
          </w:p>
        </w:tc>
        <w:tc>
          <w:tcPr>
            <w:tcW w:w="749" w:type="dxa"/>
            <w:gridSpan w:val="2"/>
            <w:vMerge w:val="continue"/>
            <w:vAlign w:val="center"/>
          </w:tcPr>
          <w:p w14:paraId="20F82247">
            <w:pPr>
              <w:jc w:val="center"/>
              <w:rPr>
                <w:rFonts w:hint="eastAsia"/>
                <w:color w:val="auto"/>
                <w:szCs w:val="21"/>
                <w:lang w:eastAsia="zh-CN"/>
              </w:rPr>
            </w:pPr>
          </w:p>
        </w:tc>
        <w:tc>
          <w:tcPr>
            <w:tcW w:w="1085" w:type="dxa"/>
            <w:vAlign w:val="center"/>
          </w:tcPr>
          <w:p w14:paraId="644AE57C">
            <w:pPr>
              <w:jc w:val="center"/>
              <w:rPr>
                <w:rFonts w:hint="eastAsia"/>
                <w:color w:val="auto"/>
                <w:szCs w:val="21"/>
                <w:lang w:eastAsia="zh-CN"/>
              </w:rPr>
            </w:pPr>
            <w:r>
              <w:rPr>
                <w:rFonts w:hint="eastAsia"/>
                <w:color w:val="auto"/>
                <w:szCs w:val="21"/>
                <w:lang w:eastAsia="zh-CN"/>
              </w:rPr>
              <w:t>渣库</w:t>
            </w:r>
          </w:p>
        </w:tc>
        <w:tc>
          <w:tcPr>
            <w:tcW w:w="2969" w:type="dxa"/>
            <w:vAlign w:val="center"/>
          </w:tcPr>
          <w:p w14:paraId="7750E6FB">
            <w:pPr>
              <w:jc w:val="center"/>
              <w:rPr>
                <w:rFonts w:hint="default"/>
                <w:color w:val="auto"/>
                <w:szCs w:val="21"/>
                <w:highlight w:val="green"/>
                <w:lang w:val="en-US" w:eastAsia="zh-CN"/>
              </w:rPr>
            </w:pPr>
            <w:r>
              <w:rPr>
                <w:rFonts w:hint="eastAsia"/>
                <w:color w:val="auto"/>
                <w:szCs w:val="21"/>
                <w:highlight w:val="none"/>
                <w:lang w:val="en-US" w:eastAsia="zh-CN"/>
              </w:rPr>
              <w:t>锅炉房内设置1座渣库</w:t>
            </w:r>
          </w:p>
        </w:tc>
        <w:tc>
          <w:tcPr>
            <w:tcW w:w="1216" w:type="dxa"/>
            <w:vAlign w:val="center"/>
          </w:tcPr>
          <w:p w14:paraId="21FAC5AF">
            <w:pPr>
              <w:widowControl/>
              <w:jc w:val="center"/>
              <w:rPr>
                <w:rFonts w:hint="default"/>
                <w:color w:val="auto"/>
                <w:szCs w:val="21"/>
                <w:lang w:val="en-US" w:eastAsia="zh-CN"/>
              </w:rPr>
            </w:pPr>
            <w:r>
              <w:rPr>
                <w:rFonts w:hint="eastAsia"/>
                <w:color w:val="auto"/>
                <w:szCs w:val="21"/>
                <w:lang w:val="en-US" w:eastAsia="zh-CN"/>
              </w:rPr>
              <w:t>5m</w:t>
            </w:r>
            <w:r>
              <w:rPr>
                <w:rFonts w:hint="eastAsia"/>
                <w:color w:val="auto"/>
                <w:szCs w:val="21"/>
                <w:vertAlign w:val="superscript"/>
                <w:lang w:val="en-US" w:eastAsia="zh-CN"/>
              </w:rPr>
              <w:t>2</w:t>
            </w:r>
          </w:p>
        </w:tc>
        <w:tc>
          <w:tcPr>
            <w:tcW w:w="2079" w:type="dxa"/>
            <w:vAlign w:val="center"/>
          </w:tcPr>
          <w:p w14:paraId="0BD608AC">
            <w:pPr>
              <w:jc w:val="center"/>
              <w:rPr>
                <w:rFonts w:hint="eastAsia"/>
                <w:color w:val="auto"/>
                <w:szCs w:val="21"/>
                <w:lang w:val="en-US" w:eastAsia="zh-CN"/>
              </w:rPr>
            </w:pPr>
            <w:r>
              <w:rPr>
                <w:rFonts w:hint="eastAsia"/>
                <w:color w:val="auto"/>
                <w:szCs w:val="21"/>
                <w:lang w:val="en-US" w:eastAsia="zh-CN"/>
              </w:rPr>
              <w:t>储存锅炉产生的灰渣和除尘灰</w:t>
            </w:r>
          </w:p>
        </w:tc>
      </w:tr>
      <w:tr w14:paraId="7FA3FA7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71CDABA5">
            <w:pPr>
              <w:jc w:val="center"/>
              <w:rPr>
                <w:color w:val="auto"/>
                <w:szCs w:val="21"/>
              </w:rPr>
            </w:pPr>
          </w:p>
        </w:tc>
        <w:tc>
          <w:tcPr>
            <w:tcW w:w="749" w:type="dxa"/>
            <w:gridSpan w:val="2"/>
            <w:vMerge w:val="continue"/>
            <w:vAlign w:val="center"/>
          </w:tcPr>
          <w:p w14:paraId="0592D62C">
            <w:pPr>
              <w:jc w:val="center"/>
              <w:rPr>
                <w:rFonts w:hint="eastAsia"/>
                <w:color w:val="auto"/>
                <w:szCs w:val="21"/>
                <w:lang w:eastAsia="zh-CN"/>
              </w:rPr>
            </w:pPr>
          </w:p>
        </w:tc>
        <w:tc>
          <w:tcPr>
            <w:tcW w:w="1085" w:type="dxa"/>
            <w:vAlign w:val="center"/>
          </w:tcPr>
          <w:p w14:paraId="1F87A98A">
            <w:pPr>
              <w:jc w:val="center"/>
              <w:rPr>
                <w:rFonts w:hint="eastAsia"/>
                <w:color w:val="auto"/>
                <w:szCs w:val="21"/>
                <w:lang w:eastAsia="zh-CN"/>
              </w:rPr>
            </w:pPr>
            <w:r>
              <w:rPr>
                <w:rFonts w:hint="eastAsia"/>
                <w:color w:val="auto"/>
                <w:szCs w:val="21"/>
                <w:lang w:eastAsia="zh-CN"/>
              </w:rPr>
              <w:t>临时储粪场</w:t>
            </w:r>
          </w:p>
        </w:tc>
        <w:tc>
          <w:tcPr>
            <w:tcW w:w="2969" w:type="dxa"/>
            <w:vAlign w:val="center"/>
          </w:tcPr>
          <w:p w14:paraId="6FEB4DDC">
            <w:pPr>
              <w:jc w:val="center"/>
              <w:rPr>
                <w:rFonts w:hint="default"/>
                <w:color w:val="auto"/>
                <w:szCs w:val="21"/>
                <w:highlight w:val="none"/>
                <w:lang w:val="en-US" w:eastAsia="zh-CN"/>
              </w:rPr>
            </w:pPr>
            <w:r>
              <w:rPr>
                <w:rFonts w:hint="eastAsia"/>
                <w:color w:val="auto"/>
                <w:szCs w:val="21"/>
                <w:highlight w:val="none"/>
                <w:lang w:val="en-US" w:eastAsia="zh-CN"/>
              </w:rPr>
              <w:t>厂区北侧建设1座临时储粪场2000m</w:t>
            </w:r>
            <w:r>
              <w:rPr>
                <w:rFonts w:hint="eastAsia"/>
                <w:color w:val="auto"/>
                <w:szCs w:val="21"/>
                <w:highlight w:val="none"/>
                <w:vertAlign w:val="superscript"/>
                <w:lang w:val="en-US" w:eastAsia="zh-CN"/>
              </w:rPr>
              <w:t>2</w:t>
            </w:r>
            <w:r>
              <w:rPr>
                <w:rFonts w:hint="eastAsia"/>
                <w:color w:val="auto"/>
                <w:szCs w:val="21"/>
                <w:highlight w:val="none"/>
                <w:lang w:val="en-US" w:eastAsia="zh-CN"/>
              </w:rPr>
              <w:t>，堆存高度3m，全封闭结构，做防腐防渗防雨淋措施，并设置1m高围堰</w:t>
            </w:r>
          </w:p>
        </w:tc>
        <w:tc>
          <w:tcPr>
            <w:tcW w:w="1216" w:type="dxa"/>
            <w:vAlign w:val="center"/>
          </w:tcPr>
          <w:p w14:paraId="181FA119">
            <w:pPr>
              <w:widowControl/>
              <w:jc w:val="center"/>
              <w:rPr>
                <w:rFonts w:hint="default"/>
                <w:color w:val="auto"/>
                <w:szCs w:val="21"/>
                <w:highlight w:val="none"/>
                <w:lang w:val="en-US" w:eastAsia="zh-CN"/>
              </w:rPr>
            </w:pPr>
            <w:r>
              <w:rPr>
                <w:rFonts w:hint="eastAsia"/>
                <w:color w:val="auto"/>
                <w:szCs w:val="21"/>
                <w:highlight w:val="none"/>
                <w:lang w:val="en-US" w:eastAsia="zh-CN"/>
              </w:rPr>
              <w:t>2000m</w:t>
            </w:r>
            <w:r>
              <w:rPr>
                <w:rFonts w:hint="eastAsia"/>
                <w:color w:val="auto"/>
                <w:szCs w:val="21"/>
                <w:highlight w:val="none"/>
                <w:vertAlign w:val="superscript"/>
                <w:lang w:val="en-US" w:eastAsia="zh-CN"/>
              </w:rPr>
              <w:t>2</w:t>
            </w:r>
          </w:p>
        </w:tc>
        <w:tc>
          <w:tcPr>
            <w:tcW w:w="2079" w:type="dxa"/>
            <w:vAlign w:val="center"/>
          </w:tcPr>
          <w:p w14:paraId="240CD4F3">
            <w:pPr>
              <w:jc w:val="center"/>
              <w:rPr>
                <w:rFonts w:hint="eastAsia"/>
                <w:color w:val="auto"/>
                <w:szCs w:val="21"/>
                <w:highlight w:val="none"/>
                <w:lang w:val="en-US" w:eastAsia="zh-CN"/>
              </w:rPr>
            </w:pPr>
            <w:r>
              <w:rPr>
                <w:rFonts w:hint="eastAsia"/>
                <w:color w:val="auto"/>
                <w:szCs w:val="21"/>
                <w:highlight w:val="none"/>
                <w:lang w:val="en-US" w:eastAsia="zh-CN"/>
              </w:rPr>
              <w:t>极端天气临时储存粪便</w:t>
            </w:r>
          </w:p>
        </w:tc>
      </w:tr>
      <w:tr w14:paraId="2FBB76F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7F2902E7">
            <w:pPr>
              <w:jc w:val="center"/>
              <w:rPr>
                <w:color w:val="auto"/>
                <w:szCs w:val="21"/>
              </w:rPr>
            </w:pPr>
          </w:p>
        </w:tc>
        <w:tc>
          <w:tcPr>
            <w:tcW w:w="749" w:type="dxa"/>
            <w:gridSpan w:val="2"/>
            <w:vMerge w:val="continue"/>
            <w:vAlign w:val="center"/>
          </w:tcPr>
          <w:p w14:paraId="00437CBF">
            <w:pPr>
              <w:jc w:val="center"/>
              <w:rPr>
                <w:rFonts w:hint="eastAsia"/>
                <w:color w:val="auto"/>
                <w:szCs w:val="21"/>
                <w:lang w:eastAsia="zh-CN"/>
              </w:rPr>
            </w:pPr>
          </w:p>
        </w:tc>
        <w:tc>
          <w:tcPr>
            <w:tcW w:w="1085" w:type="dxa"/>
            <w:vAlign w:val="center"/>
          </w:tcPr>
          <w:p w14:paraId="5A534AB1">
            <w:pPr>
              <w:jc w:val="center"/>
              <w:rPr>
                <w:rFonts w:hint="eastAsia"/>
                <w:color w:val="auto"/>
                <w:szCs w:val="21"/>
                <w:lang w:eastAsia="zh-CN"/>
              </w:rPr>
            </w:pPr>
            <w:r>
              <w:rPr>
                <w:rFonts w:hint="eastAsia"/>
                <w:color w:val="auto"/>
                <w:szCs w:val="21"/>
                <w:lang w:eastAsia="zh-CN"/>
              </w:rPr>
              <w:t>废水收集池</w:t>
            </w:r>
          </w:p>
        </w:tc>
        <w:tc>
          <w:tcPr>
            <w:tcW w:w="2969" w:type="dxa"/>
            <w:vAlign w:val="center"/>
          </w:tcPr>
          <w:p w14:paraId="2A1632F7">
            <w:pPr>
              <w:jc w:val="center"/>
              <w:rPr>
                <w:rFonts w:hint="default"/>
                <w:color w:val="auto"/>
                <w:szCs w:val="21"/>
                <w:lang w:val="en-US" w:eastAsia="zh-CN"/>
              </w:rPr>
            </w:pPr>
            <w:r>
              <w:rPr>
                <w:rFonts w:hint="eastAsia"/>
                <w:color w:val="auto"/>
                <w:szCs w:val="21"/>
                <w:lang w:val="en-US" w:eastAsia="zh-CN"/>
              </w:rPr>
              <w:t>每栋鸡舍西侧端头各设置1座废水收集池</w:t>
            </w:r>
          </w:p>
        </w:tc>
        <w:tc>
          <w:tcPr>
            <w:tcW w:w="1216" w:type="dxa"/>
            <w:vAlign w:val="center"/>
          </w:tcPr>
          <w:p w14:paraId="7AC6809A">
            <w:pPr>
              <w:widowControl/>
              <w:jc w:val="center"/>
              <w:rPr>
                <w:rFonts w:hint="default"/>
                <w:color w:val="auto"/>
                <w:szCs w:val="21"/>
                <w:lang w:val="en-US" w:eastAsia="zh-CN"/>
              </w:rPr>
            </w:pPr>
            <w:r>
              <w:rPr>
                <w:rFonts w:hint="eastAsia"/>
                <w:color w:val="auto"/>
                <w:szCs w:val="21"/>
                <w:lang w:val="en-US" w:eastAsia="zh-CN"/>
              </w:rPr>
              <w:t>8座，</w:t>
            </w:r>
            <w:r>
              <w:rPr>
                <w:rFonts w:hint="eastAsia"/>
                <w:color w:val="auto"/>
                <w:szCs w:val="21"/>
                <w:highlight w:val="none"/>
                <w:lang w:val="en-US" w:eastAsia="zh-CN"/>
              </w:rPr>
              <w:t>10m</w:t>
            </w:r>
            <w:r>
              <w:rPr>
                <w:rFonts w:hint="eastAsia"/>
                <w:color w:val="auto"/>
                <w:szCs w:val="21"/>
                <w:highlight w:val="none"/>
                <w:vertAlign w:val="superscript"/>
                <w:lang w:val="en-US" w:eastAsia="zh-CN"/>
              </w:rPr>
              <w:t>3</w:t>
            </w:r>
            <w:r>
              <w:rPr>
                <w:rFonts w:hint="eastAsia"/>
                <w:color w:val="auto"/>
                <w:szCs w:val="21"/>
                <w:highlight w:val="none"/>
                <w:vertAlign w:val="baseline"/>
                <w:lang w:val="en-US" w:eastAsia="zh-CN"/>
              </w:rPr>
              <w:t>/座</w:t>
            </w:r>
          </w:p>
        </w:tc>
        <w:tc>
          <w:tcPr>
            <w:tcW w:w="2079" w:type="dxa"/>
            <w:vAlign w:val="center"/>
          </w:tcPr>
          <w:p w14:paraId="28114885">
            <w:pPr>
              <w:jc w:val="center"/>
              <w:rPr>
                <w:rFonts w:hint="eastAsia"/>
                <w:color w:val="auto"/>
                <w:szCs w:val="21"/>
                <w:lang w:val="en-US" w:eastAsia="zh-CN"/>
              </w:rPr>
            </w:pPr>
            <w:r>
              <w:rPr>
                <w:rFonts w:hint="eastAsia"/>
                <w:color w:val="auto"/>
                <w:szCs w:val="21"/>
                <w:lang w:val="en-US" w:eastAsia="zh-CN"/>
              </w:rPr>
              <w:t>收集鸡舍冲洗废水，极端天气用于临时储存</w:t>
            </w:r>
          </w:p>
        </w:tc>
      </w:tr>
      <w:tr w14:paraId="474DA8E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restart"/>
            <w:vAlign w:val="center"/>
          </w:tcPr>
          <w:p w14:paraId="1F0F7CEC">
            <w:pPr>
              <w:jc w:val="center"/>
              <w:rPr>
                <w:color w:val="auto"/>
                <w:szCs w:val="21"/>
              </w:rPr>
            </w:pPr>
            <w:r>
              <w:rPr>
                <w:b/>
                <w:bCs/>
                <w:color w:val="auto"/>
                <w:szCs w:val="21"/>
              </w:rPr>
              <w:t>公用工程</w:t>
            </w:r>
          </w:p>
        </w:tc>
        <w:tc>
          <w:tcPr>
            <w:tcW w:w="1834" w:type="dxa"/>
            <w:gridSpan w:val="3"/>
            <w:vAlign w:val="center"/>
          </w:tcPr>
          <w:p w14:paraId="03DFF163">
            <w:pPr>
              <w:snapToGrid w:val="0"/>
              <w:jc w:val="center"/>
              <w:rPr>
                <w:color w:val="auto"/>
                <w:szCs w:val="21"/>
              </w:rPr>
            </w:pPr>
            <w:r>
              <w:rPr>
                <w:color w:val="auto"/>
                <w:szCs w:val="21"/>
              </w:rPr>
              <w:t>供水</w:t>
            </w:r>
          </w:p>
        </w:tc>
        <w:tc>
          <w:tcPr>
            <w:tcW w:w="2969" w:type="dxa"/>
            <w:vAlign w:val="center"/>
          </w:tcPr>
          <w:p w14:paraId="17CACCDD">
            <w:pPr>
              <w:jc w:val="center"/>
              <w:rPr>
                <w:rFonts w:hint="default" w:eastAsia="宋体"/>
                <w:color w:val="auto"/>
                <w:szCs w:val="21"/>
                <w:lang w:val="en-US" w:eastAsia="zh-CN"/>
              </w:rPr>
            </w:pPr>
            <w:r>
              <w:rPr>
                <w:rFonts w:hint="eastAsia"/>
                <w:color w:val="auto"/>
                <w:szCs w:val="21"/>
              </w:rPr>
              <w:t>由</w:t>
            </w:r>
            <w:r>
              <w:rPr>
                <w:rFonts w:hint="eastAsia"/>
                <w:color w:val="auto"/>
                <w:szCs w:val="21"/>
                <w:lang w:eastAsia="zh-CN"/>
              </w:rPr>
              <w:t>自备水井供应</w:t>
            </w:r>
            <w:r>
              <w:rPr>
                <w:color w:val="auto"/>
                <w:szCs w:val="21"/>
              </w:rPr>
              <w:t>，</w:t>
            </w:r>
            <w:r>
              <w:rPr>
                <w:rFonts w:hint="eastAsia"/>
                <w:color w:val="auto"/>
                <w:szCs w:val="21"/>
              </w:rPr>
              <w:t>厂区1座</w:t>
            </w:r>
            <w:r>
              <w:rPr>
                <w:rFonts w:hint="eastAsia"/>
                <w:color w:val="auto"/>
                <w:szCs w:val="21"/>
                <w:lang w:eastAsia="zh-CN"/>
              </w:rPr>
              <w:t>水塔，</w:t>
            </w:r>
            <w:r>
              <w:rPr>
                <w:rFonts w:hint="eastAsia"/>
                <w:color w:val="auto"/>
                <w:szCs w:val="21"/>
                <w:lang w:val="en-US" w:eastAsia="zh-CN"/>
              </w:rPr>
              <w:t>21.4</w:t>
            </w:r>
            <w:r>
              <w:rPr>
                <w:color w:val="auto"/>
                <w:szCs w:val="21"/>
                <w:highlight w:val="none"/>
              </w:rPr>
              <w:t>×</w:t>
            </w:r>
            <w:r>
              <w:rPr>
                <w:rFonts w:hint="eastAsia"/>
                <w:color w:val="auto"/>
                <w:szCs w:val="21"/>
                <w:highlight w:val="none"/>
                <w:lang w:val="en-US" w:eastAsia="zh-CN"/>
              </w:rPr>
              <w:t>14.80m</w:t>
            </w:r>
          </w:p>
        </w:tc>
        <w:tc>
          <w:tcPr>
            <w:tcW w:w="1216" w:type="dxa"/>
            <w:vAlign w:val="center"/>
          </w:tcPr>
          <w:p w14:paraId="095B4704">
            <w:pPr>
              <w:jc w:val="center"/>
              <w:rPr>
                <w:rFonts w:hint="default" w:eastAsia="宋体"/>
                <w:color w:val="auto"/>
                <w:szCs w:val="21"/>
                <w:lang w:val="en-US" w:eastAsia="zh-CN"/>
              </w:rPr>
            </w:pPr>
            <w:r>
              <w:rPr>
                <w:rFonts w:hint="eastAsia"/>
                <w:color w:val="auto"/>
                <w:szCs w:val="21"/>
                <w:lang w:val="en-US" w:eastAsia="zh-CN"/>
              </w:rPr>
              <w:t>316.72m</w:t>
            </w:r>
            <w:r>
              <w:rPr>
                <w:rFonts w:hint="eastAsia"/>
                <w:color w:val="auto"/>
                <w:szCs w:val="21"/>
                <w:vertAlign w:val="superscript"/>
                <w:lang w:val="en-US" w:eastAsia="zh-CN"/>
              </w:rPr>
              <w:t>2</w:t>
            </w:r>
          </w:p>
        </w:tc>
        <w:tc>
          <w:tcPr>
            <w:tcW w:w="2079" w:type="dxa"/>
            <w:vAlign w:val="center"/>
          </w:tcPr>
          <w:p w14:paraId="2BE7159C">
            <w:pPr>
              <w:jc w:val="center"/>
              <w:rPr>
                <w:rFonts w:hint="eastAsia" w:eastAsia="宋体"/>
                <w:color w:val="auto"/>
                <w:szCs w:val="21"/>
                <w:lang w:eastAsia="zh-CN"/>
              </w:rPr>
            </w:pPr>
            <w:r>
              <w:rPr>
                <w:rFonts w:hint="eastAsia"/>
                <w:color w:val="auto"/>
                <w:szCs w:val="21"/>
                <w:lang w:eastAsia="zh-CN"/>
              </w:rPr>
              <w:t>用于厂区供水</w:t>
            </w:r>
          </w:p>
        </w:tc>
      </w:tr>
      <w:tr w14:paraId="0D8A16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06CEAC0A">
            <w:pPr>
              <w:jc w:val="center"/>
              <w:rPr>
                <w:b/>
                <w:bCs/>
                <w:color w:val="auto"/>
                <w:szCs w:val="21"/>
              </w:rPr>
            </w:pPr>
          </w:p>
        </w:tc>
        <w:tc>
          <w:tcPr>
            <w:tcW w:w="1834" w:type="dxa"/>
            <w:gridSpan w:val="3"/>
            <w:vAlign w:val="center"/>
          </w:tcPr>
          <w:p w14:paraId="0CBE0CAC">
            <w:pPr>
              <w:snapToGrid w:val="0"/>
              <w:jc w:val="center"/>
              <w:rPr>
                <w:color w:val="auto"/>
                <w:szCs w:val="21"/>
              </w:rPr>
            </w:pPr>
            <w:r>
              <w:rPr>
                <w:color w:val="auto"/>
                <w:szCs w:val="21"/>
              </w:rPr>
              <w:t>排水</w:t>
            </w:r>
          </w:p>
        </w:tc>
        <w:tc>
          <w:tcPr>
            <w:tcW w:w="2969" w:type="dxa"/>
            <w:vAlign w:val="center"/>
          </w:tcPr>
          <w:p w14:paraId="216212E4">
            <w:pPr>
              <w:snapToGrid w:val="0"/>
              <w:jc w:val="center"/>
              <w:rPr>
                <w:rFonts w:hint="eastAsia" w:eastAsia="宋体"/>
                <w:color w:val="auto"/>
                <w:szCs w:val="21"/>
                <w:lang w:eastAsia="zh-CN"/>
              </w:rPr>
            </w:pPr>
            <w:r>
              <w:rPr>
                <w:color w:val="auto"/>
                <w:szCs w:val="21"/>
              </w:rPr>
              <w:t>雨污分流，污水进入污水</w:t>
            </w:r>
            <w:r>
              <w:rPr>
                <w:rFonts w:hint="eastAsia"/>
                <w:color w:val="auto"/>
                <w:szCs w:val="21"/>
                <w:lang w:eastAsia="zh-CN"/>
              </w:rPr>
              <w:t>收集</w:t>
            </w:r>
            <w:r>
              <w:rPr>
                <w:color w:val="auto"/>
                <w:szCs w:val="21"/>
              </w:rPr>
              <w:t>系统</w:t>
            </w:r>
            <w:r>
              <w:rPr>
                <w:rFonts w:hint="eastAsia"/>
                <w:color w:val="auto"/>
                <w:szCs w:val="21"/>
                <w:lang w:eastAsia="zh-CN"/>
              </w:rPr>
              <w:t>，</w:t>
            </w:r>
            <w:r>
              <w:rPr>
                <w:rFonts w:hint="eastAsia"/>
                <w:color w:val="auto"/>
                <w:kern w:val="0"/>
                <w:szCs w:val="21"/>
              </w:rPr>
              <w:t>雨水通过雨水管网排出厂区</w:t>
            </w:r>
          </w:p>
        </w:tc>
        <w:tc>
          <w:tcPr>
            <w:tcW w:w="1216" w:type="dxa"/>
            <w:vAlign w:val="center"/>
          </w:tcPr>
          <w:p w14:paraId="6437937C">
            <w:pPr>
              <w:jc w:val="center"/>
              <w:rPr>
                <w:color w:val="auto"/>
                <w:szCs w:val="21"/>
              </w:rPr>
            </w:pPr>
            <w:r>
              <w:rPr>
                <w:color w:val="auto"/>
                <w:szCs w:val="21"/>
              </w:rPr>
              <w:t>/</w:t>
            </w:r>
          </w:p>
        </w:tc>
        <w:tc>
          <w:tcPr>
            <w:tcW w:w="2079" w:type="dxa"/>
            <w:vAlign w:val="center"/>
          </w:tcPr>
          <w:p w14:paraId="34BC6573">
            <w:pPr>
              <w:jc w:val="center"/>
              <w:rPr>
                <w:color w:val="auto"/>
                <w:szCs w:val="21"/>
              </w:rPr>
            </w:pPr>
            <w:r>
              <w:rPr>
                <w:color w:val="auto"/>
                <w:szCs w:val="21"/>
              </w:rPr>
              <w:t>/</w:t>
            </w:r>
          </w:p>
        </w:tc>
      </w:tr>
      <w:tr w14:paraId="4F4CC6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4FB09AF5">
            <w:pPr>
              <w:jc w:val="center"/>
              <w:rPr>
                <w:color w:val="auto"/>
                <w:szCs w:val="21"/>
              </w:rPr>
            </w:pPr>
          </w:p>
        </w:tc>
        <w:tc>
          <w:tcPr>
            <w:tcW w:w="1834" w:type="dxa"/>
            <w:gridSpan w:val="3"/>
            <w:vAlign w:val="center"/>
          </w:tcPr>
          <w:p w14:paraId="539D4356">
            <w:pPr>
              <w:snapToGrid w:val="0"/>
              <w:jc w:val="center"/>
              <w:rPr>
                <w:color w:val="auto"/>
                <w:szCs w:val="21"/>
              </w:rPr>
            </w:pPr>
            <w:r>
              <w:rPr>
                <w:color w:val="auto"/>
                <w:szCs w:val="21"/>
              </w:rPr>
              <w:t>供电</w:t>
            </w:r>
          </w:p>
        </w:tc>
        <w:tc>
          <w:tcPr>
            <w:tcW w:w="2969" w:type="dxa"/>
            <w:vAlign w:val="center"/>
          </w:tcPr>
          <w:p w14:paraId="6279E422">
            <w:pPr>
              <w:snapToGrid w:val="0"/>
              <w:jc w:val="center"/>
              <w:rPr>
                <w:color w:val="auto"/>
                <w:szCs w:val="21"/>
              </w:rPr>
            </w:pPr>
            <w:r>
              <w:rPr>
                <w:color w:val="auto"/>
                <w:szCs w:val="21"/>
              </w:rPr>
              <w:t>由</w:t>
            </w:r>
            <w:r>
              <w:rPr>
                <w:rFonts w:hint="eastAsia"/>
                <w:color w:val="auto"/>
                <w:szCs w:val="21"/>
                <w:lang w:eastAsia="zh-CN"/>
              </w:rPr>
              <w:t>西官镇</w:t>
            </w:r>
            <w:r>
              <w:rPr>
                <w:color w:val="auto"/>
                <w:szCs w:val="21"/>
              </w:rPr>
              <w:t>供电所供应</w:t>
            </w:r>
          </w:p>
        </w:tc>
        <w:tc>
          <w:tcPr>
            <w:tcW w:w="1216" w:type="dxa"/>
            <w:vAlign w:val="center"/>
          </w:tcPr>
          <w:p w14:paraId="57A0010E">
            <w:pPr>
              <w:jc w:val="center"/>
              <w:rPr>
                <w:color w:val="auto"/>
                <w:szCs w:val="21"/>
              </w:rPr>
            </w:pPr>
            <w:r>
              <w:rPr>
                <w:color w:val="auto"/>
                <w:szCs w:val="21"/>
              </w:rPr>
              <w:t>/</w:t>
            </w:r>
          </w:p>
        </w:tc>
        <w:tc>
          <w:tcPr>
            <w:tcW w:w="2079" w:type="dxa"/>
            <w:vAlign w:val="center"/>
          </w:tcPr>
          <w:p w14:paraId="5C4669D2">
            <w:pPr>
              <w:jc w:val="center"/>
              <w:rPr>
                <w:color w:val="auto"/>
                <w:szCs w:val="21"/>
              </w:rPr>
            </w:pPr>
            <w:r>
              <w:rPr>
                <w:color w:val="auto"/>
                <w:szCs w:val="21"/>
              </w:rPr>
              <w:t>/</w:t>
            </w:r>
          </w:p>
        </w:tc>
      </w:tr>
      <w:tr w14:paraId="1B0B09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396D4BA9">
            <w:pPr>
              <w:jc w:val="center"/>
              <w:rPr>
                <w:color w:val="auto"/>
                <w:szCs w:val="21"/>
              </w:rPr>
            </w:pPr>
          </w:p>
        </w:tc>
        <w:tc>
          <w:tcPr>
            <w:tcW w:w="1834" w:type="dxa"/>
            <w:gridSpan w:val="3"/>
            <w:vAlign w:val="center"/>
          </w:tcPr>
          <w:p w14:paraId="4E0D2D16">
            <w:pPr>
              <w:snapToGrid w:val="0"/>
              <w:jc w:val="center"/>
              <w:rPr>
                <w:color w:val="auto"/>
                <w:szCs w:val="21"/>
              </w:rPr>
            </w:pPr>
            <w:r>
              <w:rPr>
                <w:color w:val="auto"/>
                <w:szCs w:val="21"/>
              </w:rPr>
              <w:t>供热</w:t>
            </w:r>
          </w:p>
        </w:tc>
        <w:tc>
          <w:tcPr>
            <w:tcW w:w="2969" w:type="dxa"/>
            <w:vAlign w:val="center"/>
          </w:tcPr>
          <w:p w14:paraId="10D9F0A6">
            <w:pPr>
              <w:snapToGrid w:val="0"/>
              <w:jc w:val="center"/>
              <w:rPr>
                <w:rFonts w:hint="eastAsia" w:eastAsia="宋体"/>
                <w:bCs/>
                <w:color w:val="auto"/>
                <w:szCs w:val="21"/>
                <w:lang w:eastAsia="zh-CN"/>
              </w:rPr>
            </w:pPr>
            <w:r>
              <w:rPr>
                <w:rFonts w:hint="eastAsia"/>
                <w:color w:val="auto"/>
                <w:szCs w:val="21"/>
                <w:lang w:eastAsia="zh-CN"/>
              </w:rPr>
              <w:t>门卫、蛋库</w:t>
            </w:r>
            <w:r>
              <w:rPr>
                <w:color w:val="auto"/>
                <w:szCs w:val="21"/>
              </w:rPr>
              <w:t>冬季</w:t>
            </w:r>
            <w:r>
              <w:rPr>
                <w:rFonts w:hint="eastAsia"/>
                <w:color w:val="auto"/>
                <w:szCs w:val="21"/>
              </w:rPr>
              <w:t>采用</w:t>
            </w:r>
            <w:r>
              <w:rPr>
                <w:rFonts w:hint="eastAsia"/>
                <w:color w:val="auto"/>
                <w:szCs w:val="21"/>
                <w:lang w:eastAsia="zh-CN"/>
              </w:rPr>
              <w:t>生物质成型燃料</w:t>
            </w:r>
            <w:r>
              <w:rPr>
                <w:rFonts w:hint="eastAsia"/>
                <w:color w:val="auto"/>
                <w:szCs w:val="21"/>
              </w:rPr>
              <w:t>锅炉</w:t>
            </w:r>
            <w:r>
              <w:rPr>
                <w:color w:val="auto"/>
                <w:szCs w:val="21"/>
              </w:rPr>
              <w:t>取暖</w:t>
            </w:r>
            <w:r>
              <w:rPr>
                <w:rFonts w:hint="eastAsia"/>
                <w:color w:val="auto"/>
                <w:szCs w:val="21"/>
                <w:lang w:eastAsia="zh-CN"/>
              </w:rPr>
              <w:t>；</w:t>
            </w:r>
            <w:r>
              <w:rPr>
                <w:color w:val="auto"/>
                <w:szCs w:val="21"/>
              </w:rPr>
              <w:t>办公</w:t>
            </w:r>
            <w:r>
              <w:rPr>
                <w:rFonts w:hint="eastAsia"/>
                <w:color w:val="auto"/>
                <w:szCs w:val="21"/>
              </w:rPr>
              <w:t>室</w:t>
            </w:r>
            <w:r>
              <w:rPr>
                <w:rFonts w:hint="eastAsia"/>
                <w:color w:val="auto"/>
                <w:szCs w:val="21"/>
                <w:lang w:eastAsia="zh-CN"/>
              </w:rPr>
              <w:t>冬季采用电锅炉供暖。</w:t>
            </w:r>
          </w:p>
        </w:tc>
        <w:tc>
          <w:tcPr>
            <w:tcW w:w="1216" w:type="dxa"/>
            <w:vAlign w:val="center"/>
          </w:tcPr>
          <w:p w14:paraId="6C83FF03">
            <w:pPr>
              <w:jc w:val="center"/>
              <w:rPr>
                <w:bCs/>
                <w:color w:val="auto"/>
                <w:szCs w:val="21"/>
              </w:rPr>
            </w:pPr>
            <w:r>
              <w:rPr>
                <w:bCs/>
                <w:color w:val="auto"/>
                <w:szCs w:val="21"/>
              </w:rPr>
              <w:t>/</w:t>
            </w:r>
          </w:p>
        </w:tc>
        <w:tc>
          <w:tcPr>
            <w:tcW w:w="2079" w:type="dxa"/>
            <w:vAlign w:val="center"/>
          </w:tcPr>
          <w:p w14:paraId="3F8F3B6C">
            <w:pPr>
              <w:jc w:val="center"/>
              <w:rPr>
                <w:rFonts w:hint="default" w:eastAsia="宋体"/>
                <w:bCs/>
                <w:color w:val="auto"/>
                <w:szCs w:val="21"/>
                <w:lang w:val="en-US" w:eastAsia="zh-CN"/>
              </w:rPr>
            </w:pPr>
            <w:r>
              <w:rPr>
                <w:rFonts w:hint="eastAsia"/>
                <w:bCs/>
                <w:color w:val="auto"/>
                <w:szCs w:val="21"/>
                <w:lang w:val="en-US" w:eastAsia="zh-CN"/>
              </w:rPr>
              <w:t>锅炉房内设置1台1.4MW的生物质成型燃料锅炉；</w:t>
            </w:r>
          </w:p>
        </w:tc>
      </w:tr>
      <w:tr w14:paraId="1F0A7D4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29378FCB">
            <w:pPr>
              <w:jc w:val="center"/>
              <w:rPr>
                <w:color w:val="auto"/>
                <w:szCs w:val="21"/>
              </w:rPr>
            </w:pPr>
          </w:p>
        </w:tc>
        <w:tc>
          <w:tcPr>
            <w:tcW w:w="1834" w:type="dxa"/>
            <w:gridSpan w:val="3"/>
            <w:vAlign w:val="center"/>
          </w:tcPr>
          <w:p w14:paraId="331A91B5">
            <w:pPr>
              <w:jc w:val="center"/>
              <w:rPr>
                <w:color w:val="auto"/>
                <w:szCs w:val="21"/>
              </w:rPr>
            </w:pPr>
            <w:r>
              <w:rPr>
                <w:color w:val="auto"/>
                <w:szCs w:val="21"/>
              </w:rPr>
              <w:t>通风</w:t>
            </w:r>
          </w:p>
        </w:tc>
        <w:tc>
          <w:tcPr>
            <w:tcW w:w="2969" w:type="dxa"/>
            <w:vAlign w:val="center"/>
          </w:tcPr>
          <w:p w14:paraId="10505B85">
            <w:pPr>
              <w:snapToGrid w:val="0"/>
              <w:jc w:val="center"/>
              <w:rPr>
                <w:color w:val="auto"/>
                <w:szCs w:val="21"/>
              </w:rPr>
            </w:pPr>
            <w:r>
              <w:rPr>
                <w:color w:val="auto"/>
                <w:szCs w:val="21"/>
              </w:rPr>
              <w:t>各鸡舍配备换气扇</w:t>
            </w:r>
          </w:p>
        </w:tc>
        <w:tc>
          <w:tcPr>
            <w:tcW w:w="1216" w:type="dxa"/>
            <w:vAlign w:val="center"/>
          </w:tcPr>
          <w:p w14:paraId="1D5D74EE">
            <w:pPr>
              <w:jc w:val="center"/>
              <w:rPr>
                <w:bCs/>
                <w:color w:val="auto"/>
                <w:szCs w:val="21"/>
              </w:rPr>
            </w:pPr>
            <w:r>
              <w:rPr>
                <w:bCs/>
                <w:color w:val="auto"/>
                <w:szCs w:val="21"/>
              </w:rPr>
              <w:t>/</w:t>
            </w:r>
          </w:p>
        </w:tc>
        <w:tc>
          <w:tcPr>
            <w:tcW w:w="2079" w:type="dxa"/>
            <w:vAlign w:val="center"/>
          </w:tcPr>
          <w:p w14:paraId="2A6FBAEB">
            <w:pPr>
              <w:jc w:val="center"/>
              <w:rPr>
                <w:bCs/>
                <w:color w:val="auto"/>
                <w:szCs w:val="21"/>
              </w:rPr>
            </w:pPr>
            <w:r>
              <w:rPr>
                <w:bCs/>
                <w:color w:val="auto"/>
                <w:szCs w:val="21"/>
              </w:rPr>
              <w:t>/</w:t>
            </w:r>
          </w:p>
        </w:tc>
      </w:tr>
      <w:tr w14:paraId="767715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restart"/>
            <w:vAlign w:val="center"/>
          </w:tcPr>
          <w:p w14:paraId="13CE8AAA">
            <w:pPr>
              <w:jc w:val="center"/>
              <w:rPr>
                <w:rFonts w:ascii="Times New Roman" w:hAnsi="Times New Roman" w:eastAsia="宋体"/>
                <w:color w:val="auto"/>
                <w:sz w:val="21"/>
                <w:szCs w:val="21"/>
              </w:rPr>
            </w:pPr>
            <w:r>
              <w:rPr>
                <w:b/>
                <w:bCs/>
                <w:color w:val="auto"/>
                <w:szCs w:val="21"/>
              </w:rPr>
              <w:t>环保工程</w:t>
            </w:r>
          </w:p>
        </w:tc>
        <w:tc>
          <w:tcPr>
            <w:tcW w:w="741" w:type="dxa"/>
            <w:vMerge w:val="restart"/>
            <w:vAlign w:val="center"/>
          </w:tcPr>
          <w:p w14:paraId="2E822143">
            <w:pPr>
              <w:widowControl/>
              <w:jc w:val="center"/>
              <w:rPr>
                <w:color w:val="auto"/>
                <w:szCs w:val="21"/>
              </w:rPr>
            </w:pPr>
            <w:r>
              <w:rPr>
                <w:color w:val="auto"/>
                <w:szCs w:val="21"/>
              </w:rPr>
              <w:t>废气</w:t>
            </w:r>
          </w:p>
        </w:tc>
        <w:tc>
          <w:tcPr>
            <w:tcW w:w="1093" w:type="dxa"/>
            <w:gridSpan w:val="2"/>
            <w:vAlign w:val="center"/>
          </w:tcPr>
          <w:p w14:paraId="17C7C2FD">
            <w:pPr>
              <w:bidi w:val="0"/>
              <w:jc w:val="center"/>
              <w:rPr>
                <w:color w:val="auto"/>
              </w:rPr>
            </w:pPr>
            <w:r>
              <w:rPr>
                <w:color w:val="auto"/>
              </w:rPr>
              <w:t>鸡舍恶臭</w:t>
            </w:r>
          </w:p>
        </w:tc>
        <w:tc>
          <w:tcPr>
            <w:tcW w:w="2969" w:type="dxa"/>
            <w:vAlign w:val="center"/>
          </w:tcPr>
          <w:p w14:paraId="0EE3F4E5">
            <w:pPr>
              <w:bidi w:val="0"/>
              <w:jc w:val="center"/>
              <w:rPr>
                <w:rFonts w:hint="eastAsia"/>
                <w:color w:val="auto"/>
                <w:lang w:val="en-US" w:eastAsia="zh-CN"/>
              </w:rPr>
            </w:pPr>
            <w:bookmarkStart w:id="155" w:name="_Toc17596"/>
            <w:bookmarkStart w:id="156" w:name="_Toc14530"/>
            <w:bookmarkStart w:id="157" w:name="_Toc27638"/>
            <w:bookmarkStart w:id="158" w:name="_Toc15329"/>
            <w:r>
              <w:rPr>
                <w:rFonts w:hint="eastAsia"/>
                <w:color w:val="auto"/>
                <w:lang w:val="en-US" w:eastAsia="zh-CN"/>
              </w:rPr>
              <w:t>干清粪、喷洒除臭剂</w:t>
            </w:r>
            <w:bookmarkEnd w:id="155"/>
            <w:bookmarkEnd w:id="156"/>
            <w:bookmarkEnd w:id="157"/>
            <w:bookmarkEnd w:id="158"/>
          </w:p>
        </w:tc>
        <w:tc>
          <w:tcPr>
            <w:tcW w:w="1216" w:type="dxa"/>
            <w:vAlign w:val="center"/>
          </w:tcPr>
          <w:p w14:paraId="17917FE7">
            <w:pPr>
              <w:jc w:val="center"/>
              <w:rPr>
                <w:bCs/>
                <w:color w:val="auto"/>
                <w:szCs w:val="21"/>
              </w:rPr>
            </w:pPr>
            <w:r>
              <w:rPr>
                <w:bCs/>
                <w:color w:val="auto"/>
                <w:szCs w:val="21"/>
              </w:rPr>
              <w:t>/</w:t>
            </w:r>
          </w:p>
        </w:tc>
        <w:tc>
          <w:tcPr>
            <w:tcW w:w="2079" w:type="dxa"/>
            <w:vAlign w:val="center"/>
          </w:tcPr>
          <w:p w14:paraId="61545985">
            <w:pPr>
              <w:jc w:val="center"/>
              <w:rPr>
                <w:bCs/>
                <w:color w:val="auto"/>
                <w:szCs w:val="21"/>
              </w:rPr>
            </w:pPr>
            <w:r>
              <w:rPr>
                <w:bCs/>
                <w:color w:val="auto"/>
                <w:szCs w:val="21"/>
              </w:rPr>
              <w:t>/</w:t>
            </w:r>
          </w:p>
        </w:tc>
      </w:tr>
      <w:tr w14:paraId="328AE92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20C68568">
            <w:pPr>
              <w:jc w:val="center"/>
              <w:rPr>
                <w:b/>
                <w:bCs/>
                <w:color w:val="auto"/>
                <w:szCs w:val="21"/>
              </w:rPr>
            </w:pPr>
          </w:p>
        </w:tc>
        <w:tc>
          <w:tcPr>
            <w:tcW w:w="741" w:type="dxa"/>
            <w:vMerge w:val="continue"/>
            <w:vAlign w:val="center"/>
          </w:tcPr>
          <w:p w14:paraId="3084E0E8">
            <w:pPr>
              <w:jc w:val="center"/>
              <w:rPr>
                <w:b/>
                <w:bCs/>
                <w:color w:val="auto"/>
                <w:szCs w:val="21"/>
              </w:rPr>
            </w:pPr>
          </w:p>
        </w:tc>
        <w:tc>
          <w:tcPr>
            <w:tcW w:w="1093" w:type="dxa"/>
            <w:gridSpan w:val="2"/>
            <w:vAlign w:val="center"/>
          </w:tcPr>
          <w:p w14:paraId="7D77569E">
            <w:pPr>
              <w:bidi w:val="0"/>
              <w:jc w:val="center"/>
              <w:rPr>
                <w:rFonts w:hint="eastAsia"/>
                <w:color w:val="auto"/>
                <w:lang w:eastAsia="zh-CN"/>
              </w:rPr>
            </w:pPr>
            <w:r>
              <w:rPr>
                <w:rFonts w:hint="eastAsia"/>
                <w:color w:val="auto"/>
                <w:lang w:eastAsia="zh-CN"/>
              </w:rPr>
              <w:t>临时储粪场、废水收集池</w:t>
            </w:r>
          </w:p>
        </w:tc>
        <w:tc>
          <w:tcPr>
            <w:tcW w:w="2969" w:type="dxa"/>
            <w:vAlign w:val="center"/>
          </w:tcPr>
          <w:p w14:paraId="51C4859D">
            <w:pPr>
              <w:bidi w:val="0"/>
              <w:jc w:val="center"/>
              <w:rPr>
                <w:rFonts w:hint="eastAsia"/>
                <w:color w:val="auto"/>
                <w:lang w:val="en-US" w:eastAsia="zh-CN"/>
              </w:rPr>
            </w:pPr>
            <w:bookmarkStart w:id="159" w:name="_Toc20511"/>
            <w:bookmarkStart w:id="160" w:name="_Toc7360"/>
            <w:bookmarkStart w:id="161" w:name="_Toc23552"/>
            <w:bookmarkStart w:id="162" w:name="_Toc3708"/>
            <w:r>
              <w:rPr>
                <w:rFonts w:hint="eastAsia"/>
                <w:color w:val="auto"/>
                <w:lang w:val="en-US" w:eastAsia="zh-CN"/>
              </w:rPr>
              <w:t>临时储粪场设置为封闭结构四周做围堰，喷洒生物除臭剂，周围加强绿化</w:t>
            </w:r>
            <w:bookmarkEnd w:id="159"/>
            <w:bookmarkEnd w:id="160"/>
            <w:r>
              <w:rPr>
                <w:rFonts w:hint="eastAsia"/>
                <w:color w:val="auto"/>
                <w:lang w:val="en-US" w:eastAsia="zh-CN"/>
              </w:rPr>
              <w:t>，废水收集池家盖板密闭</w:t>
            </w:r>
            <w:bookmarkEnd w:id="161"/>
            <w:bookmarkEnd w:id="162"/>
          </w:p>
        </w:tc>
        <w:tc>
          <w:tcPr>
            <w:tcW w:w="1216" w:type="dxa"/>
            <w:vAlign w:val="center"/>
          </w:tcPr>
          <w:p w14:paraId="6115A557">
            <w:pPr>
              <w:jc w:val="center"/>
              <w:rPr>
                <w:bCs/>
                <w:color w:val="auto"/>
                <w:szCs w:val="21"/>
              </w:rPr>
            </w:pPr>
            <w:r>
              <w:rPr>
                <w:color w:val="auto"/>
                <w:szCs w:val="21"/>
              </w:rPr>
              <w:t>/</w:t>
            </w:r>
          </w:p>
        </w:tc>
        <w:tc>
          <w:tcPr>
            <w:tcW w:w="2079" w:type="dxa"/>
            <w:vAlign w:val="center"/>
          </w:tcPr>
          <w:p w14:paraId="30EE389F">
            <w:pPr>
              <w:jc w:val="center"/>
              <w:rPr>
                <w:bCs/>
                <w:color w:val="auto"/>
                <w:szCs w:val="21"/>
              </w:rPr>
            </w:pPr>
            <w:r>
              <w:rPr>
                <w:color w:val="auto"/>
                <w:szCs w:val="21"/>
              </w:rPr>
              <w:t>/</w:t>
            </w:r>
          </w:p>
        </w:tc>
      </w:tr>
      <w:tr w14:paraId="6594F2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70C0A5BF">
            <w:pPr>
              <w:jc w:val="center"/>
              <w:rPr>
                <w:b/>
                <w:bCs/>
                <w:color w:val="auto"/>
                <w:szCs w:val="21"/>
              </w:rPr>
            </w:pPr>
          </w:p>
        </w:tc>
        <w:tc>
          <w:tcPr>
            <w:tcW w:w="741" w:type="dxa"/>
            <w:vMerge w:val="continue"/>
            <w:vAlign w:val="center"/>
          </w:tcPr>
          <w:p w14:paraId="7CF7ACF3">
            <w:pPr>
              <w:jc w:val="center"/>
              <w:rPr>
                <w:b/>
                <w:bCs/>
                <w:color w:val="auto"/>
                <w:szCs w:val="21"/>
              </w:rPr>
            </w:pPr>
          </w:p>
        </w:tc>
        <w:tc>
          <w:tcPr>
            <w:tcW w:w="1093" w:type="dxa"/>
            <w:gridSpan w:val="2"/>
            <w:vAlign w:val="center"/>
          </w:tcPr>
          <w:p w14:paraId="0617C2A4">
            <w:pPr>
              <w:bidi w:val="0"/>
              <w:jc w:val="center"/>
              <w:rPr>
                <w:rFonts w:hint="eastAsia" w:eastAsia="宋体"/>
                <w:color w:val="auto"/>
                <w:lang w:val="en-US" w:eastAsia="zh-CN"/>
              </w:rPr>
            </w:pPr>
            <w:r>
              <w:rPr>
                <w:rFonts w:hint="eastAsia"/>
                <w:color w:val="auto"/>
                <w:lang w:eastAsia="zh-CN"/>
              </w:rPr>
              <w:t>生物质</w:t>
            </w:r>
            <w:r>
              <w:rPr>
                <w:rFonts w:hint="eastAsia"/>
                <w:color w:val="auto"/>
              </w:rPr>
              <w:t>锅炉</w:t>
            </w:r>
          </w:p>
        </w:tc>
        <w:tc>
          <w:tcPr>
            <w:tcW w:w="2969" w:type="dxa"/>
            <w:vAlign w:val="center"/>
          </w:tcPr>
          <w:p w14:paraId="001040B9">
            <w:pPr>
              <w:bidi w:val="0"/>
              <w:jc w:val="center"/>
              <w:rPr>
                <w:rFonts w:hint="eastAsia"/>
                <w:color w:val="auto"/>
                <w:lang w:val="en-US" w:eastAsia="zh-CN"/>
              </w:rPr>
            </w:pPr>
            <w:r>
              <w:rPr>
                <w:rFonts w:hint="eastAsia"/>
                <w:color w:val="auto"/>
                <w:lang w:val="en-US" w:eastAsia="zh-CN"/>
              </w:rPr>
              <w:t>采用低氮燃烧法，产生的废气经旋风除尘器+布袋除尘器+30m高烟囱DA001</w:t>
            </w:r>
          </w:p>
        </w:tc>
        <w:tc>
          <w:tcPr>
            <w:tcW w:w="1216" w:type="dxa"/>
            <w:vAlign w:val="center"/>
          </w:tcPr>
          <w:p w14:paraId="746288E4">
            <w:pPr>
              <w:jc w:val="center"/>
              <w:rPr>
                <w:color w:val="auto"/>
                <w:szCs w:val="21"/>
              </w:rPr>
            </w:pPr>
            <w:r>
              <w:rPr>
                <w:color w:val="auto"/>
                <w:szCs w:val="21"/>
              </w:rPr>
              <w:t>/</w:t>
            </w:r>
          </w:p>
        </w:tc>
        <w:tc>
          <w:tcPr>
            <w:tcW w:w="2079" w:type="dxa"/>
            <w:vAlign w:val="center"/>
          </w:tcPr>
          <w:p w14:paraId="481A57B9">
            <w:pPr>
              <w:jc w:val="center"/>
              <w:rPr>
                <w:color w:val="auto"/>
                <w:szCs w:val="21"/>
              </w:rPr>
            </w:pPr>
            <w:r>
              <w:rPr>
                <w:color w:val="auto"/>
                <w:szCs w:val="21"/>
              </w:rPr>
              <w:t>/</w:t>
            </w:r>
          </w:p>
        </w:tc>
      </w:tr>
      <w:tr w14:paraId="0A72679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46244EC9">
            <w:pPr>
              <w:jc w:val="center"/>
              <w:rPr>
                <w:b/>
                <w:bCs/>
                <w:color w:val="auto"/>
                <w:szCs w:val="21"/>
              </w:rPr>
            </w:pPr>
          </w:p>
        </w:tc>
        <w:tc>
          <w:tcPr>
            <w:tcW w:w="741" w:type="dxa"/>
            <w:vMerge w:val="continue"/>
            <w:vAlign w:val="center"/>
          </w:tcPr>
          <w:p w14:paraId="4B59D6E4">
            <w:pPr>
              <w:jc w:val="center"/>
              <w:rPr>
                <w:b/>
                <w:bCs/>
                <w:color w:val="auto"/>
                <w:szCs w:val="21"/>
              </w:rPr>
            </w:pPr>
          </w:p>
        </w:tc>
        <w:tc>
          <w:tcPr>
            <w:tcW w:w="1093" w:type="dxa"/>
            <w:gridSpan w:val="2"/>
            <w:vAlign w:val="center"/>
          </w:tcPr>
          <w:p w14:paraId="2D5A5D76">
            <w:pPr>
              <w:bidi w:val="0"/>
              <w:jc w:val="center"/>
              <w:rPr>
                <w:color w:val="auto"/>
              </w:rPr>
            </w:pPr>
            <w:r>
              <w:rPr>
                <w:rFonts w:hint="eastAsia"/>
                <w:color w:val="auto"/>
              </w:rPr>
              <w:t>备用柴油发电机</w:t>
            </w:r>
          </w:p>
        </w:tc>
        <w:tc>
          <w:tcPr>
            <w:tcW w:w="2969" w:type="dxa"/>
            <w:vAlign w:val="center"/>
          </w:tcPr>
          <w:p w14:paraId="162C23D5">
            <w:pPr>
              <w:bidi w:val="0"/>
              <w:jc w:val="center"/>
              <w:rPr>
                <w:rFonts w:hint="eastAsia"/>
                <w:color w:val="auto"/>
                <w:lang w:val="en-US" w:eastAsia="zh-CN"/>
              </w:rPr>
            </w:pPr>
            <w:r>
              <w:rPr>
                <w:rFonts w:hint="eastAsia"/>
                <w:color w:val="auto"/>
                <w:lang w:val="en-US" w:eastAsia="zh-CN"/>
              </w:rPr>
              <w:t>无组织排放</w:t>
            </w:r>
          </w:p>
        </w:tc>
        <w:tc>
          <w:tcPr>
            <w:tcW w:w="1216" w:type="dxa"/>
            <w:vAlign w:val="center"/>
          </w:tcPr>
          <w:p w14:paraId="1C43540B">
            <w:pPr>
              <w:jc w:val="center"/>
              <w:rPr>
                <w:rFonts w:hint="eastAsia" w:eastAsia="宋体"/>
                <w:color w:val="auto"/>
                <w:szCs w:val="21"/>
                <w:lang w:val="en-US" w:eastAsia="zh-CN"/>
              </w:rPr>
            </w:pPr>
            <w:r>
              <w:rPr>
                <w:rFonts w:hint="eastAsia"/>
                <w:color w:val="auto"/>
                <w:szCs w:val="21"/>
                <w:lang w:val="en-US" w:eastAsia="zh-CN"/>
              </w:rPr>
              <w:t>/</w:t>
            </w:r>
          </w:p>
        </w:tc>
        <w:tc>
          <w:tcPr>
            <w:tcW w:w="2079" w:type="dxa"/>
            <w:vAlign w:val="center"/>
          </w:tcPr>
          <w:p w14:paraId="6E0FCDF7">
            <w:pPr>
              <w:jc w:val="center"/>
              <w:rPr>
                <w:rFonts w:hint="eastAsia" w:eastAsia="宋体"/>
                <w:color w:val="auto"/>
                <w:szCs w:val="21"/>
                <w:lang w:val="en-US" w:eastAsia="zh-CN"/>
              </w:rPr>
            </w:pPr>
            <w:r>
              <w:rPr>
                <w:rFonts w:hint="eastAsia"/>
                <w:color w:val="auto"/>
                <w:szCs w:val="21"/>
                <w:lang w:val="en-US" w:eastAsia="zh-CN"/>
              </w:rPr>
              <w:t>/</w:t>
            </w:r>
          </w:p>
        </w:tc>
      </w:tr>
      <w:tr w14:paraId="663E94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1E6B4195">
            <w:pPr>
              <w:jc w:val="center"/>
              <w:rPr>
                <w:b/>
                <w:bCs/>
                <w:color w:val="auto"/>
                <w:szCs w:val="21"/>
              </w:rPr>
            </w:pPr>
          </w:p>
        </w:tc>
        <w:tc>
          <w:tcPr>
            <w:tcW w:w="741" w:type="dxa"/>
            <w:vMerge w:val="continue"/>
            <w:vAlign w:val="center"/>
          </w:tcPr>
          <w:p w14:paraId="22BF4DD2">
            <w:pPr>
              <w:jc w:val="center"/>
              <w:rPr>
                <w:b/>
                <w:bCs/>
                <w:color w:val="auto"/>
                <w:szCs w:val="21"/>
              </w:rPr>
            </w:pPr>
          </w:p>
        </w:tc>
        <w:tc>
          <w:tcPr>
            <w:tcW w:w="1093" w:type="dxa"/>
            <w:gridSpan w:val="2"/>
            <w:vAlign w:val="center"/>
          </w:tcPr>
          <w:p w14:paraId="0F0B657E">
            <w:pPr>
              <w:bidi w:val="0"/>
              <w:jc w:val="center"/>
              <w:rPr>
                <w:color w:val="auto"/>
              </w:rPr>
            </w:pPr>
            <w:r>
              <w:rPr>
                <w:color w:val="auto"/>
              </w:rPr>
              <w:t>食堂</w:t>
            </w:r>
          </w:p>
          <w:p w14:paraId="1EDF7048">
            <w:pPr>
              <w:bidi w:val="0"/>
              <w:jc w:val="center"/>
              <w:rPr>
                <w:color w:val="auto"/>
              </w:rPr>
            </w:pPr>
            <w:r>
              <w:rPr>
                <w:color w:val="auto"/>
              </w:rPr>
              <w:t>油烟</w:t>
            </w:r>
          </w:p>
        </w:tc>
        <w:tc>
          <w:tcPr>
            <w:tcW w:w="2969" w:type="dxa"/>
            <w:vAlign w:val="center"/>
          </w:tcPr>
          <w:p w14:paraId="2137674D">
            <w:pPr>
              <w:bidi w:val="0"/>
              <w:jc w:val="center"/>
              <w:rPr>
                <w:rFonts w:hint="eastAsia"/>
                <w:color w:val="auto"/>
                <w:lang w:val="en-US" w:eastAsia="zh-CN"/>
              </w:rPr>
            </w:pPr>
            <w:bookmarkStart w:id="163" w:name="_Toc18241"/>
            <w:bookmarkStart w:id="164" w:name="_Toc27255"/>
            <w:bookmarkStart w:id="165" w:name="_Toc11449"/>
            <w:bookmarkStart w:id="166" w:name="_Toc20193"/>
            <w:r>
              <w:rPr>
                <w:rFonts w:hint="eastAsia"/>
                <w:color w:val="auto"/>
                <w:lang w:val="en-US" w:eastAsia="zh-CN"/>
              </w:rPr>
              <w:t>油烟净化装置1套</w:t>
            </w:r>
            <w:bookmarkEnd w:id="163"/>
            <w:bookmarkEnd w:id="164"/>
            <w:r>
              <w:rPr>
                <w:rFonts w:hint="eastAsia"/>
                <w:color w:val="auto"/>
                <w:lang w:val="en-US" w:eastAsia="zh-CN"/>
              </w:rPr>
              <w:t>，专用烟道排放（DA002）</w:t>
            </w:r>
            <w:bookmarkEnd w:id="165"/>
            <w:bookmarkEnd w:id="166"/>
          </w:p>
        </w:tc>
        <w:tc>
          <w:tcPr>
            <w:tcW w:w="1216" w:type="dxa"/>
            <w:vAlign w:val="center"/>
          </w:tcPr>
          <w:p w14:paraId="341C2EBF">
            <w:pPr>
              <w:jc w:val="center"/>
              <w:rPr>
                <w:bCs/>
                <w:color w:val="auto"/>
                <w:szCs w:val="21"/>
              </w:rPr>
            </w:pPr>
            <w:r>
              <w:rPr>
                <w:color w:val="auto"/>
                <w:szCs w:val="21"/>
              </w:rPr>
              <w:t>/</w:t>
            </w:r>
          </w:p>
        </w:tc>
        <w:tc>
          <w:tcPr>
            <w:tcW w:w="2079" w:type="dxa"/>
            <w:vAlign w:val="center"/>
          </w:tcPr>
          <w:p w14:paraId="4C51AC17">
            <w:pPr>
              <w:jc w:val="center"/>
              <w:rPr>
                <w:bCs/>
                <w:color w:val="auto"/>
                <w:szCs w:val="21"/>
              </w:rPr>
            </w:pPr>
            <w:r>
              <w:rPr>
                <w:color w:val="auto"/>
                <w:szCs w:val="21"/>
              </w:rPr>
              <w:t>/</w:t>
            </w:r>
          </w:p>
        </w:tc>
      </w:tr>
      <w:tr w14:paraId="0871788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4615AFC7">
            <w:pPr>
              <w:jc w:val="center"/>
              <w:rPr>
                <w:color w:val="auto"/>
                <w:szCs w:val="21"/>
              </w:rPr>
            </w:pPr>
          </w:p>
        </w:tc>
        <w:tc>
          <w:tcPr>
            <w:tcW w:w="1834" w:type="dxa"/>
            <w:gridSpan w:val="3"/>
            <w:vMerge w:val="restart"/>
            <w:vAlign w:val="center"/>
          </w:tcPr>
          <w:p w14:paraId="62B0A56A">
            <w:pPr>
              <w:widowControl/>
              <w:jc w:val="center"/>
              <w:rPr>
                <w:color w:val="auto"/>
                <w:szCs w:val="21"/>
              </w:rPr>
            </w:pPr>
            <w:r>
              <w:rPr>
                <w:color w:val="auto"/>
                <w:szCs w:val="21"/>
              </w:rPr>
              <w:t>废水</w:t>
            </w:r>
          </w:p>
        </w:tc>
        <w:tc>
          <w:tcPr>
            <w:tcW w:w="2969" w:type="dxa"/>
            <w:vAlign w:val="center"/>
          </w:tcPr>
          <w:p w14:paraId="7EE9F1A5">
            <w:pPr>
              <w:pStyle w:val="69"/>
              <w:jc w:val="center"/>
              <w:rPr>
                <w:rFonts w:ascii="Times New Roman" w:hAnsi="Times New Roman" w:eastAsia="宋体"/>
                <w:color w:val="auto"/>
                <w:sz w:val="21"/>
                <w:szCs w:val="21"/>
              </w:rPr>
            </w:pPr>
            <w:r>
              <w:rPr>
                <w:rFonts w:ascii="Times New Roman" w:hAnsi="Times New Roman" w:eastAsia="宋体"/>
                <w:color w:val="auto"/>
                <w:sz w:val="21"/>
                <w:szCs w:val="21"/>
              </w:rPr>
              <w:t>食堂废水经隔油池处理后同生活污水一起排入旱厕定期清掏</w:t>
            </w:r>
            <w:r>
              <w:rPr>
                <w:rFonts w:hint="eastAsia" w:ascii="Times New Roman" w:hAnsi="Times New Roman" w:eastAsia="宋体"/>
                <w:color w:val="auto"/>
                <w:sz w:val="21"/>
                <w:szCs w:val="21"/>
              </w:rPr>
              <w:t>，</w:t>
            </w:r>
            <w:r>
              <w:rPr>
                <w:rFonts w:hint="eastAsia" w:ascii="Times New Roman" w:hAnsi="Times New Roman" w:eastAsia="宋体"/>
                <w:color w:val="auto"/>
                <w:sz w:val="21"/>
                <w:szCs w:val="21"/>
                <w:lang w:eastAsia="zh-CN"/>
              </w:rPr>
              <w:t>用作农肥</w:t>
            </w:r>
            <w:r>
              <w:rPr>
                <w:rFonts w:ascii="Times New Roman" w:hAnsi="Times New Roman" w:eastAsia="宋体"/>
                <w:color w:val="auto"/>
                <w:sz w:val="21"/>
                <w:szCs w:val="21"/>
              </w:rPr>
              <w:t>；</w:t>
            </w:r>
          </w:p>
          <w:p w14:paraId="41DB9091">
            <w:pPr>
              <w:pStyle w:val="69"/>
              <w:jc w:val="center"/>
              <w:rPr>
                <w:rFonts w:ascii="Times New Roman" w:hAnsi="Times New Roman" w:eastAsia="宋体"/>
                <w:color w:val="auto"/>
                <w:sz w:val="21"/>
                <w:szCs w:val="21"/>
              </w:rPr>
            </w:pPr>
            <w:r>
              <w:rPr>
                <w:rFonts w:hint="eastAsia" w:ascii="Times New Roman" w:hAnsi="Times New Roman" w:eastAsia="宋体"/>
                <w:color w:val="auto"/>
                <w:sz w:val="21"/>
                <w:szCs w:val="21"/>
              </w:rPr>
              <w:t>养殖</w:t>
            </w:r>
            <w:r>
              <w:rPr>
                <w:rFonts w:ascii="Times New Roman" w:hAnsi="Times New Roman" w:eastAsia="宋体"/>
                <w:color w:val="auto"/>
                <w:sz w:val="21"/>
                <w:szCs w:val="21"/>
              </w:rPr>
              <w:t>废水</w:t>
            </w:r>
            <w:r>
              <w:rPr>
                <w:rFonts w:hint="eastAsia" w:ascii="Times New Roman" w:hAnsi="Times New Roman" w:eastAsia="宋体"/>
                <w:color w:val="auto"/>
                <w:sz w:val="21"/>
                <w:szCs w:val="21"/>
                <w:lang w:eastAsia="zh-CN"/>
              </w:rPr>
              <w:t>进入废水收集池，</w:t>
            </w:r>
            <w:r>
              <w:rPr>
                <w:rFonts w:hint="eastAsia" w:ascii="Times New Roman" w:hAnsi="Times New Roman" w:eastAsia="宋体"/>
                <w:color w:val="auto"/>
                <w:sz w:val="21"/>
                <w:szCs w:val="21"/>
              </w:rPr>
              <w:t>日产日清由</w:t>
            </w:r>
            <w:r>
              <w:rPr>
                <w:rFonts w:hint="eastAsia" w:ascii="Times New Roman" w:hAnsi="Times New Roman" w:eastAsia="宋体"/>
                <w:color w:val="auto"/>
                <w:sz w:val="21"/>
                <w:szCs w:val="21"/>
                <w:lang w:eastAsia="zh-CN"/>
              </w:rPr>
              <w:t>罐车</w:t>
            </w:r>
            <w:r>
              <w:rPr>
                <w:rFonts w:hint="eastAsia" w:ascii="Times New Roman" w:hAnsi="Times New Roman" w:eastAsia="宋体"/>
                <w:color w:val="auto"/>
                <w:sz w:val="21"/>
                <w:szCs w:val="21"/>
              </w:rPr>
              <w:t>外</w:t>
            </w:r>
            <w:r>
              <w:rPr>
                <w:rFonts w:hint="eastAsia" w:ascii="Times New Roman" w:hAnsi="Times New Roman" w:eastAsia="宋体"/>
                <w:color w:val="auto"/>
                <w:sz w:val="21"/>
                <w:szCs w:val="21"/>
                <w:lang w:eastAsia="zh-CN"/>
              </w:rPr>
              <w:t>运至辰泰（辽宁）生物科技有限公司</w:t>
            </w:r>
            <w:r>
              <w:rPr>
                <w:rFonts w:hint="eastAsia" w:ascii="Times New Roman" w:hAnsi="Times New Roman" w:eastAsia="宋体"/>
                <w:color w:val="auto"/>
                <w:sz w:val="21"/>
                <w:szCs w:val="21"/>
              </w:rPr>
              <w:t>进行有机肥制造。</w:t>
            </w:r>
          </w:p>
        </w:tc>
        <w:tc>
          <w:tcPr>
            <w:tcW w:w="1216" w:type="dxa"/>
            <w:vAlign w:val="center"/>
          </w:tcPr>
          <w:p w14:paraId="331EA516">
            <w:pPr>
              <w:jc w:val="center"/>
              <w:rPr>
                <w:bCs/>
                <w:color w:val="auto"/>
                <w:szCs w:val="21"/>
              </w:rPr>
            </w:pPr>
            <w:r>
              <w:rPr>
                <w:color w:val="auto"/>
                <w:szCs w:val="21"/>
              </w:rPr>
              <w:t>/</w:t>
            </w:r>
          </w:p>
        </w:tc>
        <w:tc>
          <w:tcPr>
            <w:tcW w:w="2079" w:type="dxa"/>
            <w:vAlign w:val="center"/>
          </w:tcPr>
          <w:p w14:paraId="1788AC79">
            <w:pPr>
              <w:jc w:val="center"/>
              <w:rPr>
                <w:rFonts w:hint="eastAsia"/>
                <w:color w:val="auto"/>
                <w:szCs w:val="21"/>
                <w:lang w:val="en-US" w:eastAsia="zh-CN"/>
              </w:rPr>
            </w:pPr>
            <w:r>
              <w:rPr>
                <w:rFonts w:hint="eastAsia"/>
                <w:color w:val="auto"/>
                <w:szCs w:val="21"/>
                <w:lang w:eastAsia="zh-CN"/>
              </w:rPr>
              <w:t>食堂设置</w:t>
            </w:r>
            <w:r>
              <w:rPr>
                <w:rFonts w:hint="eastAsia"/>
                <w:color w:val="auto"/>
                <w:szCs w:val="21"/>
                <w:lang w:val="en-US" w:eastAsia="zh-CN"/>
              </w:rPr>
              <w:t>1座10m</w:t>
            </w:r>
            <w:r>
              <w:rPr>
                <w:rFonts w:hint="eastAsia"/>
                <w:color w:val="auto"/>
                <w:szCs w:val="21"/>
                <w:vertAlign w:val="superscript"/>
                <w:lang w:val="en-US" w:eastAsia="zh-CN"/>
              </w:rPr>
              <w:t>3</w:t>
            </w:r>
            <w:r>
              <w:rPr>
                <w:rFonts w:hint="eastAsia"/>
                <w:color w:val="auto"/>
                <w:szCs w:val="21"/>
                <w:lang w:val="en-US" w:eastAsia="zh-CN"/>
              </w:rPr>
              <w:t>的隔油池；</w:t>
            </w:r>
          </w:p>
          <w:p w14:paraId="10C433EF">
            <w:pPr>
              <w:jc w:val="center"/>
              <w:rPr>
                <w:rFonts w:hint="default" w:eastAsia="宋体"/>
                <w:bCs/>
                <w:color w:val="auto"/>
                <w:szCs w:val="21"/>
                <w:lang w:val="en-US" w:eastAsia="zh-CN"/>
              </w:rPr>
            </w:pPr>
            <w:r>
              <w:rPr>
                <w:rFonts w:hint="eastAsia"/>
                <w:color w:val="auto"/>
                <w:szCs w:val="21"/>
                <w:lang w:eastAsia="zh-CN"/>
              </w:rPr>
              <w:t>每座鸡舍西侧各设置</w:t>
            </w:r>
            <w:r>
              <w:rPr>
                <w:rFonts w:hint="eastAsia"/>
                <w:color w:val="auto"/>
                <w:szCs w:val="21"/>
                <w:lang w:val="en-US" w:eastAsia="zh-CN"/>
              </w:rPr>
              <w:t>1座废水收集池，</w:t>
            </w:r>
            <w:r>
              <w:rPr>
                <w:rFonts w:hint="eastAsia"/>
                <w:color w:val="auto"/>
                <w:szCs w:val="21"/>
                <w:highlight w:val="none"/>
                <w:lang w:val="en-US" w:eastAsia="zh-CN"/>
              </w:rPr>
              <w:t>容积为10m</w:t>
            </w:r>
            <w:r>
              <w:rPr>
                <w:rFonts w:hint="eastAsia"/>
                <w:color w:val="auto"/>
                <w:szCs w:val="21"/>
                <w:highlight w:val="none"/>
                <w:vertAlign w:val="superscript"/>
                <w:lang w:val="en-US" w:eastAsia="zh-CN"/>
              </w:rPr>
              <w:t>3</w:t>
            </w:r>
            <w:r>
              <w:rPr>
                <w:rFonts w:hint="eastAsia"/>
                <w:color w:val="auto"/>
                <w:szCs w:val="21"/>
                <w:highlight w:val="none"/>
                <w:vertAlign w:val="baseline"/>
                <w:lang w:val="en-US" w:eastAsia="zh-CN"/>
              </w:rPr>
              <w:t>/座</w:t>
            </w:r>
            <w:r>
              <w:rPr>
                <w:rFonts w:hint="eastAsia"/>
                <w:color w:val="auto"/>
                <w:szCs w:val="21"/>
                <w:highlight w:val="none"/>
                <w:lang w:val="en-US" w:eastAsia="zh-CN"/>
              </w:rPr>
              <w:t>，共8座。</w:t>
            </w:r>
          </w:p>
        </w:tc>
      </w:tr>
      <w:tr w14:paraId="56F0C4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051C581E">
            <w:pPr>
              <w:jc w:val="center"/>
              <w:rPr>
                <w:color w:val="auto"/>
                <w:szCs w:val="21"/>
              </w:rPr>
            </w:pPr>
          </w:p>
        </w:tc>
        <w:tc>
          <w:tcPr>
            <w:tcW w:w="1834" w:type="dxa"/>
            <w:gridSpan w:val="3"/>
            <w:vMerge w:val="continue"/>
            <w:vAlign w:val="center"/>
          </w:tcPr>
          <w:p w14:paraId="2BBD7DD0">
            <w:pPr>
              <w:widowControl/>
              <w:jc w:val="center"/>
              <w:rPr>
                <w:color w:val="auto"/>
                <w:szCs w:val="21"/>
              </w:rPr>
            </w:pPr>
          </w:p>
        </w:tc>
        <w:tc>
          <w:tcPr>
            <w:tcW w:w="2969" w:type="dxa"/>
            <w:vAlign w:val="center"/>
          </w:tcPr>
          <w:p w14:paraId="5B8F039D">
            <w:pPr>
              <w:pStyle w:val="69"/>
              <w:jc w:val="center"/>
              <w:rPr>
                <w:rFonts w:hint="eastAsia" w:ascii="Times New Roman" w:hAnsi="Times New Roman" w:eastAsia="宋体"/>
                <w:color w:val="auto"/>
                <w:kern w:val="0"/>
                <w:sz w:val="21"/>
                <w:szCs w:val="21"/>
                <w:lang w:eastAsia="zh-CN"/>
              </w:rPr>
            </w:pPr>
            <w:r>
              <w:rPr>
                <w:rFonts w:ascii="Times New Roman" w:hAnsi="Times New Roman" w:eastAsia="宋体"/>
                <w:color w:val="auto"/>
                <w:kern w:val="0"/>
                <w:sz w:val="21"/>
                <w:szCs w:val="21"/>
              </w:rPr>
              <w:t>雨污分流，厂区内设置专用污水管道和雨水管道</w:t>
            </w:r>
            <w:r>
              <w:rPr>
                <w:rFonts w:hint="eastAsia" w:ascii="Times New Roman" w:hAnsi="Times New Roman" w:eastAsia="宋体"/>
                <w:color w:val="auto"/>
                <w:kern w:val="0"/>
                <w:sz w:val="21"/>
                <w:szCs w:val="21"/>
                <w:lang w:eastAsia="zh-CN"/>
              </w:rPr>
              <w:t>，雨水通过雨水管网排出厂区</w:t>
            </w:r>
          </w:p>
        </w:tc>
        <w:tc>
          <w:tcPr>
            <w:tcW w:w="1216" w:type="dxa"/>
            <w:vAlign w:val="center"/>
          </w:tcPr>
          <w:p w14:paraId="34797A3A">
            <w:pPr>
              <w:jc w:val="center"/>
              <w:rPr>
                <w:rFonts w:hint="eastAsia" w:eastAsia="宋体"/>
                <w:color w:val="auto"/>
                <w:szCs w:val="21"/>
                <w:lang w:val="en-US" w:eastAsia="zh-CN"/>
              </w:rPr>
            </w:pPr>
            <w:r>
              <w:rPr>
                <w:rFonts w:hint="eastAsia"/>
                <w:color w:val="auto"/>
                <w:szCs w:val="21"/>
                <w:lang w:val="en-US" w:eastAsia="zh-CN"/>
              </w:rPr>
              <w:t>/</w:t>
            </w:r>
          </w:p>
        </w:tc>
        <w:tc>
          <w:tcPr>
            <w:tcW w:w="2079" w:type="dxa"/>
            <w:vAlign w:val="center"/>
          </w:tcPr>
          <w:p w14:paraId="370D7FE5">
            <w:pPr>
              <w:jc w:val="center"/>
              <w:rPr>
                <w:rFonts w:hint="eastAsia" w:eastAsia="宋体"/>
                <w:color w:val="auto"/>
                <w:szCs w:val="21"/>
                <w:lang w:val="en-US" w:eastAsia="zh-CN"/>
              </w:rPr>
            </w:pPr>
            <w:r>
              <w:rPr>
                <w:rFonts w:hint="eastAsia"/>
                <w:color w:val="auto"/>
                <w:szCs w:val="21"/>
                <w:lang w:val="en-US" w:eastAsia="zh-CN"/>
              </w:rPr>
              <w:t>/</w:t>
            </w:r>
          </w:p>
        </w:tc>
      </w:tr>
      <w:tr w14:paraId="6D6D481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71C45ACB">
            <w:pPr>
              <w:jc w:val="center"/>
              <w:rPr>
                <w:color w:val="auto"/>
                <w:szCs w:val="21"/>
              </w:rPr>
            </w:pPr>
          </w:p>
        </w:tc>
        <w:tc>
          <w:tcPr>
            <w:tcW w:w="1834" w:type="dxa"/>
            <w:gridSpan w:val="3"/>
            <w:vAlign w:val="center"/>
          </w:tcPr>
          <w:p w14:paraId="0B4731BD">
            <w:pPr>
              <w:snapToGrid w:val="0"/>
              <w:jc w:val="center"/>
              <w:rPr>
                <w:color w:val="auto"/>
                <w:szCs w:val="21"/>
              </w:rPr>
            </w:pPr>
            <w:r>
              <w:rPr>
                <w:color w:val="auto"/>
                <w:szCs w:val="21"/>
              </w:rPr>
              <w:t>噪声</w:t>
            </w:r>
          </w:p>
        </w:tc>
        <w:tc>
          <w:tcPr>
            <w:tcW w:w="2969" w:type="dxa"/>
            <w:vAlign w:val="center"/>
          </w:tcPr>
          <w:p w14:paraId="7CD33AA1">
            <w:pPr>
              <w:snapToGrid w:val="0"/>
              <w:jc w:val="center"/>
              <w:rPr>
                <w:color w:val="auto"/>
                <w:szCs w:val="21"/>
              </w:rPr>
            </w:pPr>
            <w:r>
              <w:rPr>
                <w:color w:val="auto"/>
                <w:szCs w:val="21"/>
              </w:rPr>
              <w:t>采取了设备基座减振、风机设置隔声罩等措施</w:t>
            </w:r>
          </w:p>
        </w:tc>
        <w:tc>
          <w:tcPr>
            <w:tcW w:w="1216" w:type="dxa"/>
            <w:vAlign w:val="center"/>
          </w:tcPr>
          <w:p w14:paraId="753ADC71">
            <w:pPr>
              <w:jc w:val="center"/>
              <w:rPr>
                <w:bCs/>
                <w:color w:val="auto"/>
                <w:szCs w:val="21"/>
              </w:rPr>
            </w:pPr>
            <w:r>
              <w:rPr>
                <w:color w:val="auto"/>
                <w:szCs w:val="21"/>
              </w:rPr>
              <w:t>/</w:t>
            </w:r>
          </w:p>
        </w:tc>
        <w:tc>
          <w:tcPr>
            <w:tcW w:w="2079" w:type="dxa"/>
            <w:vAlign w:val="center"/>
          </w:tcPr>
          <w:p w14:paraId="28ADB60E">
            <w:pPr>
              <w:jc w:val="center"/>
              <w:rPr>
                <w:bCs/>
                <w:color w:val="auto"/>
                <w:szCs w:val="21"/>
              </w:rPr>
            </w:pPr>
            <w:r>
              <w:rPr>
                <w:color w:val="auto"/>
                <w:szCs w:val="21"/>
              </w:rPr>
              <w:t>/</w:t>
            </w:r>
          </w:p>
        </w:tc>
      </w:tr>
      <w:tr w14:paraId="2A0697D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195F51CA">
            <w:pPr>
              <w:jc w:val="center"/>
              <w:rPr>
                <w:color w:val="auto"/>
                <w:szCs w:val="21"/>
              </w:rPr>
            </w:pPr>
          </w:p>
        </w:tc>
        <w:tc>
          <w:tcPr>
            <w:tcW w:w="1834" w:type="dxa"/>
            <w:gridSpan w:val="3"/>
            <w:vMerge w:val="restart"/>
            <w:vAlign w:val="center"/>
          </w:tcPr>
          <w:p w14:paraId="2C14004A">
            <w:pPr>
              <w:snapToGrid w:val="0"/>
              <w:jc w:val="center"/>
              <w:rPr>
                <w:color w:val="auto"/>
                <w:szCs w:val="21"/>
              </w:rPr>
            </w:pPr>
            <w:r>
              <w:rPr>
                <w:color w:val="auto"/>
                <w:szCs w:val="21"/>
              </w:rPr>
              <w:t>固废</w:t>
            </w:r>
          </w:p>
        </w:tc>
        <w:tc>
          <w:tcPr>
            <w:tcW w:w="2969" w:type="dxa"/>
            <w:vAlign w:val="center"/>
          </w:tcPr>
          <w:p w14:paraId="2B7CA9EB">
            <w:pPr>
              <w:snapToGrid w:val="0"/>
              <w:jc w:val="center"/>
              <w:rPr>
                <w:rFonts w:hint="eastAsia" w:eastAsia="宋体"/>
                <w:color w:val="auto"/>
                <w:szCs w:val="21"/>
                <w:lang w:val="en-US" w:eastAsia="zh-CN"/>
              </w:rPr>
            </w:pPr>
            <w:r>
              <w:rPr>
                <w:rFonts w:hint="eastAsia"/>
                <w:color w:val="auto"/>
                <w:szCs w:val="21"/>
                <w:lang w:eastAsia="zh-CN"/>
              </w:rPr>
              <w:t>防疫产生的</w:t>
            </w:r>
            <w:r>
              <w:rPr>
                <w:color w:val="auto"/>
                <w:szCs w:val="21"/>
              </w:rPr>
              <w:t>医疗废物</w:t>
            </w:r>
            <w:r>
              <w:rPr>
                <w:rFonts w:hint="eastAsia"/>
                <w:color w:val="auto"/>
                <w:szCs w:val="21"/>
                <w:lang w:eastAsia="zh-CN"/>
              </w:rPr>
              <w:t>暂存于医疗废物</w:t>
            </w:r>
            <w:r>
              <w:rPr>
                <w:rFonts w:hint="eastAsia"/>
                <w:color w:val="auto"/>
                <w:szCs w:val="21"/>
                <w:lang w:val="en-US" w:eastAsia="zh-CN"/>
              </w:rPr>
              <w:t>暂存间</w:t>
            </w:r>
            <w:r>
              <w:rPr>
                <w:rFonts w:hint="eastAsia"/>
                <w:color w:val="auto"/>
                <w:szCs w:val="21"/>
                <w:lang w:eastAsia="zh-CN"/>
              </w:rPr>
              <w:t>，委托有资质单位定期收集处理。</w:t>
            </w:r>
          </w:p>
        </w:tc>
        <w:tc>
          <w:tcPr>
            <w:tcW w:w="1216" w:type="dxa"/>
            <w:vAlign w:val="center"/>
          </w:tcPr>
          <w:p w14:paraId="31D67541">
            <w:pPr>
              <w:jc w:val="center"/>
              <w:rPr>
                <w:bCs/>
                <w:color w:val="auto"/>
                <w:szCs w:val="21"/>
              </w:rPr>
            </w:pPr>
            <w:r>
              <w:rPr>
                <w:color w:val="auto"/>
                <w:szCs w:val="21"/>
              </w:rPr>
              <w:t>/</w:t>
            </w:r>
          </w:p>
        </w:tc>
        <w:tc>
          <w:tcPr>
            <w:tcW w:w="2079" w:type="dxa"/>
            <w:vAlign w:val="center"/>
          </w:tcPr>
          <w:p w14:paraId="6D0312B4">
            <w:pPr>
              <w:jc w:val="center"/>
              <w:rPr>
                <w:rFonts w:hint="default" w:eastAsia="宋体"/>
                <w:bCs/>
                <w:color w:val="auto"/>
                <w:szCs w:val="21"/>
                <w:lang w:val="en-US" w:eastAsia="zh-CN"/>
              </w:rPr>
            </w:pPr>
            <w:r>
              <w:rPr>
                <w:rFonts w:hint="eastAsia"/>
                <w:color w:val="auto"/>
                <w:szCs w:val="21"/>
                <w:lang w:eastAsia="zh-CN"/>
              </w:rPr>
              <w:t>厂区内建设</w:t>
            </w:r>
            <w:r>
              <w:rPr>
                <w:rFonts w:hint="eastAsia"/>
                <w:color w:val="auto"/>
                <w:szCs w:val="21"/>
                <w:lang w:val="en-US" w:eastAsia="zh-CN"/>
              </w:rPr>
              <w:t>1座10m</w:t>
            </w:r>
            <w:r>
              <w:rPr>
                <w:rFonts w:hint="eastAsia"/>
                <w:color w:val="auto"/>
                <w:szCs w:val="21"/>
                <w:vertAlign w:val="superscript"/>
                <w:lang w:val="en-US" w:eastAsia="zh-CN"/>
              </w:rPr>
              <w:t>3</w:t>
            </w:r>
            <w:r>
              <w:rPr>
                <w:rFonts w:hint="eastAsia"/>
                <w:color w:val="auto"/>
                <w:szCs w:val="21"/>
                <w:lang w:val="en-US" w:eastAsia="zh-CN"/>
              </w:rPr>
              <w:t>的医疗废物暂存间，做防腐防渗防遗失措施。</w:t>
            </w:r>
          </w:p>
        </w:tc>
      </w:tr>
      <w:tr w14:paraId="23993C2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741700E4">
            <w:pPr>
              <w:jc w:val="center"/>
              <w:rPr>
                <w:color w:val="auto"/>
                <w:szCs w:val="21"/>
              </w:rPr>
            </w:pPr>
          </w:p>
        </w:tc>
        <w:tc>
          <w:tcPr>
            <w:tcW w:w="1834" w:type="dxa"/>
            <w:gridSpan w:val="3"/>
            <w:vMerge w:val="continue"/>
            <w:vAlign w:val="center"/>
          </w:tcPr>
          <w:p w14:paraId="78B584B5">
            <w:pPr>
              <w:snapToGrid w:val="0"/>
              <w:jc w:val="center"/>
              <w:rPr>
                <w:color w:val="auto"/>
                <w:szCs w:val="21"/>
              </w:rPr>
            </w:pPr>
          </w:p>
        </w:tc>
        <w:tc>
          <w:tcPr>
            <w:tcW w:w="2969" w:type="dxa"/>
            <w:vAlign w:val="center"/>
          </w:tcPr>
          <w:p w14:paraId="23CEDC9E">
            <w:pPr>
              <w:snapToGrid w:val="0"/>
              <w:jc w:val="center"/>
              <w:rPr>
                <w:color w:val="auto"/>
                <w:szCs w:val="21"/>
              </w:rPr>
            </w:pPr>
            <w:r>
              <w:rPr>
                <w:color w:val="auto"/>
                <w:szCs w:val="21"/>
              </w:rPr>
              <w:t>鸡粪、</w:t>
            </w:r>
            <w:r>
              <w:rPr>
                <w:rFonts w:hint="eastAsia"/>
                <w:color w:val="auto"/>
                <w:szCs w:val="21"/>
              </w:rPr>
              <w:t>鸡羽毛、</w:t>
            </w:r>
            <w:r>
              <w:rPr>
                <w:color w:val="auto"/>
                <w:szCs w:val="21"/>
              </w:rPr>
              <w:t>饲料残渣</w:t>
            </w:r>
            <w:r>
              <w:rPr>
                <w:bCs/>
                <w:color w:val="auto"/>
                <w:szCs w:val="21"/>
              </w:rPr>
              <w:t>除</w:t>
            </w:r>
            <w:r>
              <w:rPr>
                <w:bCs/>
                <w:color w:val="auto"/>
                <w:spacing w:val="6"/>
                <w:szCs w:val="21"/>
              </w:rPr>
              <w:t>极端天气（约50天/年，每天24h）暂存</w:t>
            </w:r>
            <w:r>
              <w:rPr>
                <w:rFonts w:hint="eastAsia"/>
                <w:bCs/>
                <w:color w:val="auto"/>
                <w:spacing w:val="6"/>
                <w:szCs w:val="21"/>
                <w:lang w:eastAsia="zh-CN"/>
              </w:rPr>
              <w:t>临时储粪场</w:t>
            </w:r>
            <w:r>
              <w:rPr>
                <w:bCs/>
                <w:color w:val="auto"/>
                <w:spacing w:val="6"/>
                <w:szCs w:val="21"/>
              </w:rPr>
              <w:t>，均</w:t>
            </w:r>
            <w:r>
              <w:rPr>
                <w:bCs/>
                <w:color w:val="auto"/>
                <w:szCs w:val="21"/>
              </w:rPr>
              <w:t>日产日清由</w:t>
            </w:r>
            <w:r>
              <w:rPr>
                <w:rFonts w:hint="eastAsia"/>
                <w:bCs/>
                <w:color w:val="auto"/>
                <w:szCs w:val="21"/>
              </w:rPr>
              <w:t>清粪车</w:t>
            </w:r>
            <w:r>
              <w:rPr>
                <w:rFonts w:hint="eastAsia" w:ascii="Times New Roman" w:hAnsi="Times New Roman" w:eastAsia="宋体"/>
                <w:color w:val="auto"/>
                <w:sz w:val="21"/>
                <w:szCs w:val="21"/>
              </w:rPr>
              <w:t>外</w:t>
            </w:r>
            <w:r>
              <w:rPr>
                <w:rFonts w:hint="eastAsia" w:ascii="Times New Roman" w:hAnsi="Times New Roman" w:eastAsia="宋体"/>
                <w:color w:val="auto"/>
                <w:sz w:val="21"/>
                <w:szCs w:val="21"/>
                <w:lang w:eastAsia="zh-CN"/>
              </w:rPr>
              <w:t>运至</w:t>
            </w:r>
            <w:r>
              <w:rPr>
                <w:rFonts w:hint="eastAsia"/>
                <w:color w:val="auto"/>
                <w:sz w:val="21"/>
                <w:szCs w:val="21"/>
                <w:lang w:eastAsia="zh-CN"/>
              </w:rPr>
              <w:t>辰泰（辽宁）生物科技有限公司</w:t>
            </w:r>
            <w:r>
              <w:rPr>
                <w:rFonts w:hint="eastAsia" w:ascii="Times New Roman" w:hAnsi="Times New Roman" w:eastAsia="宋体"/>
                <w:color w:val="auto"/>
                <w:sz w:val="21"/>
                <w:szCs w:val="21"/>
              </w:rPr>
              <w:t>进行有机肥制造。</w:t>
            </w:r>
          </w:p>
        </w:tc>
        <w:tc>
          <w:tcPr>
            <w:tcW w:w="1216" w:type="dxa"/>
            <w:vAlign w:val="center"/>
          </w:tcPr>
          <w:p w14:paraId="37B09600">
            <w:pPr>
              <w:jc w:val="center"/>
              <w:rPr>
                <w:bCs/>
                <w:color w:val="auto"/>
                <w:szCs w:val="21"/>
              </w:rPr>
            </w:pPr>
            <w:r>
              <w:rPr>
                <w:color w:val="auto"/>
                <w:szCs w:val="21"/>
              </w:rPr>
              <w:t>/</w:t>
            </w:r>
          </w:p>
        </w:tc>
        <w:tc>
          <w:tcPr>
            <w:tcW w:w="2079" w:type="dxa"/>
            <w:vAlign w:val="center"/>
          </w:tcPr>
          <w:p w14:paraId="246F7E31">
            <w:pPr>
              <w:jc w:val="center"/>
              <w:rPr>
                <w:rFonts w:hint="default" w:eastAsia="宋体"/>
                <w:bCs/>
                <w:color w:val="auto"/>
                <w:szCs w:val="21"/>
                <w:vertAlign w:val="baseline"/>
                <w:lang w:val="en-US" w:eastAsia="zh-CN"/>
              </w:rPr>
            </w:pPr>
            <w:r>
              <w:rPr>
                <w:rFonts w:hint="eastAsia"/>
                <w:bCs/>
                <w:color w:val="auto"/>
                <w:szCs w:val="21"/>
                <w:lang w:eastAsia="zh-CN"/>
              </w:rPr>
              <w:t>临时储粪场占尺寸</w:t>
            </w:r>
            <w:r>
              <w:rPr>
                <w:rFonts w:hint="eastAsia"/>
                <w:color w:val="auto"/>
                <w:szCs w:val="21"/>
                <w:lang w:val="en-US" w:eastAsia="zh-CN"/>
              </w:rPr>
              <w:t>100</w:t>
            </w:r>
            <w:r>
              <w:rPr>
                <w:color w:val="auto"/>
                <w:szCs w:val="21"/>
              </w:rPr>
              <w:t>×</w:t>
            </w:r>
            <w:r>
              <w:rPr>
                <w:rFonts w:hint="eastAsia"/>
                <w:color w:val="auto"/>
                <w:szCs w:val="21"/>
                <w:lang w:val="en-US" w:eastAsia="zh-CN"/>
              </w:rPr>
              <w:t>20=2000m</w:t>
            </w:r>
            <w:r>
              <w:rPr>
                <w:rFonts w:hint="eastAsia"/>
                <w:color w:val="auto"/>
                <w:szCs w:val="21"/>
                <w:vertAlign w:val="superscript"/>
                <w:lang w:val="en-US" w:eastAsia="zh-CN"/>
              </w:rPr>
              <w:t>2</w:t>
            </w:r>
            <w:r>
              <w:rPr>
                <w:rFonts w:hint="eastAsia"/>
                <w:color w:val="auto"/>
                <w:szCs w:val="21"/>
                <w:vertAlign w:val="baseline"/>
                <w:lang w:val="en-US" w:eastAsia="zh-CN"/>
              </w:rPr>
              <w:t>，设置围堰，上方为防雨钢结构顶。</w:t>
            </w:r>
          </w:p>
        </w:tc>
      </w:tr>
      <w:tr w14:paraId="7A4006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4EF8EA43">
            <w:pPr>
              <w:jc w:val="center"/>
              <w:rPr>
                <w:color w:val="auto"/>
                <w:szCs w:val="21"/>
              </w:rPr>
            </w:pPr>
          </w:p>
        </w:tc>
        <w:tc>
          <w:tcPr>
            <w:tcW w:w="1834" w:type="dxa"/>
            <w:gridSpan w:val="3"/>
            <w:vMerge w:val="continue"/>
            <w:vAlign w:val="center"/>
          </w:tcPr>
          <w:p w14:paraId="0CCC8FB0">
            <w:pPr>
              <w:snapToGrid w:val="0"/>
              <w:jc w:val="center"/>
              <w:rPr>
                <w:color w:val="auto"/>
                <w:szCs w:val="21"/>
              </w:rPr>
            </w:pPr>
          </w:p>
        </w:tc>
        <w:tc>
          <w:tcPr>
            <w:tcW w:w="2969" w:type="dxa"/>
            <w:vAlign w:val="center"/>
          </w:tcPr>
          <w:p w14:paraId="30A91D26">
            <w:pPr>
              <w:snapToGrid w:val="0"/>
              <w:jc w:val="center"/>
              <w:rPr>
                <w:color w:val="auto"/>
                <w:szCs w:val="21"/>
              </w:rPr>
            </w:pPr>
            <w:r>
              <w:rPr>
                <w:rFonts w:hint="eastAsia"/>
                <w:color w:val="auto"/>
                <w:szCs w:val="21"/>
                <w:lang w:eastAsia="zh-CN"/>
              </w:rPr>
              <w:t>锅炉灰渣和除尘灰收集后袋装暂存于渣库，</w:t>
            </w:r>
            <w:r>
              <w:rPr>
                <w:rFonts w:hint="eastAsia"/>
                <w:color w:val="auto"/>
                <w:sz w:val="21"/>
                <w:szCs w:val="21"/>
                <w:lang w:eastAsia="zh-CN"/>
              </w:rPr>
              <w:t>作为有机肥原料</w:t>
            </w:r>
            <w:r>
              <w:rPr>
                <w:color w:val="auto"/>
                <w:sz w:val="21"/>
                <w:szCs w:val="21"/>
              </w:rPr>
              <w:t>外</w:t>
            </w:r>
            <w:r>
              <w:rPr>
                <w:rFonts w:hint="eastAsia"/>
                <w:color w:val="auto"/>
                <w:sz w:val="21"/>
                <w:szCs w:val="21"/>
              </w:rPr>
              <w:t>售</w:t>
            </w:r>
            <w:r>
              <w:rPr>
                <w:rFonts w:hint="eastAsia"/>
                <w:color w:val="auto"/>
                <w:sz w:val="21"/>
                <w:szCs w:val="21"/>
                <w:lang w:eastAsia="zh-CN"/>
              </w:rPr>
              <w:t>至辰泰（辽宁）生物科技有限公司做有机肥；</w:t>
            </w:r>
          </w:p>
        </w:tc>
        <w:tc>
          <w:tcPr>
            <w:tcW w:w="1216" w:type="dxa"/>
            <w:vAlign w:val="center"/>
          </w:tcPr>
          <w:p w14:paraId="67892FFA">
            <w:pPr>
              <w:jc w:val="center"/>
              <w:rPr>
                <w:rFonts w:hint="eastAsia" w:eastAsia="宋体"/>
                <w:color w:val="auto"/>
                <w:szCs w:val="21"/>
                <w:lang w:val="en-US" w:eastAsia="zh-CN"/>
              </w:rPr>
            </w:pPr>
            <w:r>
              <w:rPr>
                <w:rFonts w:hint="eastAsia"/>
                <w:color w:val="auto"/>
                <w:szCs w:val="21"/>
                <w:lang w:val="en-US" w:eastAsia="zh-CN"/>
              </w:rPr>
              <w:t>/</w:t>
            </w:r>
          </w:p>
        </w:tc>
        <w:tc>
          <w:tcPr>
            <w:tcW w:w="2079" w:type="dxa"/>
            <w:vAlign w:val="center"/>
          </w:tcPr>
          <w:p w14:paraId="1823FCCF">
            <w:pPr>
              <w:jc w:val="center"/>
              <w:rPr>
                <w:rFonts w:hint="default"/>
                <w:bCs/>
                <w:color w:val="auto"/>
                <w:szCs w:val="21"/>
                <w:lang w:val="en-US" w:eastAsia="zh-CN"/>
              </w:rPr>
            </w:pPr>
            <w:r>
              <w:rPr>
                <w:rFonts w:hint="eastAsia"/>
                <w:bCs/>
                <w:color w:val="auto"/>
                <w:szCs w:val="21"/>
                <w:highlight w:val="none"/>
                <w:lang w:val="en-US" w:eastAsia="zh-CN"/>
              </w:rPr>
              <w:t>锅炉房</w:t>
            </w:r>
            <w:r>
              <w:rPr>
                <w:rFonts w:hint="eastAsia"/>
                <w:bCs/>
                <w:color w:val="auto"/>
                <w:szCs w:val="21"/>
                <w:lang w:val="en-US" w:eastAsia="zh-CN"/>
              </w:rPr>
              <w:t>内设置1座5m</w:t>
            </w:r>
            <w:r>
              <w:rPr>
                <w:rFonts w:hint="eastAsia"/>
                <w:bCs/>
                <w:color w:val="auto"/>
                <w:szCs w:val="21"/>
                <w:vertAlign w:val="superscript"/>
                <w:lang w:val="en-US" w:eastAsia="zh-CN"/>
              </w:rPr>
              <w:t>2</w:t>
            </w:r>
            <w:r>
              <w:rPr>
                <w:rFonts w:hint="eastAsia"/>
                <w:bCs/>
                <w:color w:val="auto"/>
                <w:szCs w:val="21"/>
                <w:lang w:val="en-US" w:eastAsia="zh-CN"/>
              </w:rPr>
              <w:t>的渣库</w:t>
            </w:r>
          </w:p>
        </w:tc>
      </w:tr>
      <w:tr w14:paraId="1D706C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593C0292">
            <w:pPr>
              <w:pStyle w:val="69"/>
              <w:jc w:val="center"/>
              <w:rPr>
                <w:rFonts w:ascii="Times New Roman" w:hAnsi="Times New Roman" w:eastAsia="宋体"/>
                <w:color w:val="auto"/>
                <w:sz w:val="21"/>
                <w:szCs w:val="21"/>
              </w:rPr>
            </w:pPr>
          </w:p>
        </w:tc>
        <w:tc>
          <w:tcPr>
            <w:tcW w:w="1834" w:type="dxa"/>
            <w:gridSpan w:val="3"/>
            <w:vMerge w:val="continue"/>
            <w:vAlign w:val="center"/>
          </w:tcPr>
          <w:p w14:paraId="2DF368FF">
            <w:pPr>
              <w:snapToGrid w:val="0"/>
              <w:jc w:val="center"/>
              <w:rPr>
                <w:color w:val="auto"/>
                <w:szCs w:val="21"/>
              </w:rPr>
            </w:pPr>
          </w:p>
        </w:tc>
        <w:tc>
          <w:tcPr>
            <w:tcW w:w="2969" w:type="dxa"/>
            <w:vAlign w:val="center"/>
          </w:tcPr>
          <w:p w14:paraId="1C0E7FEF">
            <w:pPr>
              <w:snapToGrid w:val="0"/>
              <w:jc w:val="center"/>
              <w:rPr>
                <w:color w:val="auto"/>
                <w:szCs w:val="21"/>
              </w:rPr>
            </w:pPr>
            <w:r>
              <w:rPr>
                <w:rFonts w:hint="eastAsia"/>
                <w:color w:val="auto"/>
                <w:szCs w:val="21"/>
              </w:rPr>
              <w:t>病死鸡暂存厂内1个850L冷柜中，</w:t>
            </w:r>
            <w:r>
              <w:rPr>
                <w:rFonts w:hint="eastAsia"/>
                <w:bCs/>
                <w:color w:val="auto"/>
                <w:szCs w:val="21"/>
              </w:rPr>
              <w:t>由</w:t>
            </w:r>
            <w:r>
              <w:rPr>
                <w:rFonts w:hint="eastAsia"/>
                <w:bCs/>
                <w:color w:val="auto"/>
                <w:szCs w:val="21"/>
                <w:lang w:eastAsia="zh-CN"/>
              </w:rPr>
              <w:t>北票市汇宏动物无害化处理有限公司</w:t>
            </w:r>
            <w:r>
              <w:rPr>
                <w:rFonts w:hint="eastAsia"/>
                <w:bCs/>
                <w:color w:val="auto"/>
                <w:szCs w:val="21"/>
              </w:rPr>
              <w:t>及时收集处理</w:t>
            </w:r>
          </w:p>
        </w:tc>
        <w:tc>
          <w:tcPr>
            <w:tcW w:w="1216" w:type="dxa"/>
            <w:vAlign w:val="center"/>
          </w:tcPr>
          <w:p w14:paraId="6F2BB4BC">
            <w:pPr>
              <w:jc w:val="center"/>
              <w:rPr>
                <w:bCs/>
                <w:color w:val="auto"/>
                <w:szCs w:val="21"/>
              </w:rPr>
            </w:pPr>
            <w:r>
              <w:rPr>
                <w:color w:val="auto"/>
                <w:szCs w:val="21"/>
              </w:rPr>
              <w:t>/</w:t>
            </w:r>
          </w:p>
        </w:tc>
        <w:tc>
          <w:tcPr>
            <w:tcW w:w="2079" w:type="dxa"/>
            <w:vAlign w:val="center"/>
          </w:tcPr>
          <w:p w14:paraId="1EDC70B5">
            <w:pPr>
              <w:jc w:val="center"/>
              <w:rPr>
                <w:bCs/>
                <w:color w:val="auto"/>
                <w:szCs w:val="21"/>
              </w:rPr>
            </w:pPr>
            <w:r>
              <w:rPr>
                <w:color w:val="auto"/>
                <w:szCs w:val="21"/>
              </w:rPr>
              <w:t>/</w:t>
            </w:r>
          </w:p>
        </w:tc>
      </w:tr>
      <w:tr w14:paraId="1B2EFF3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5DCD093B">
            <w:pPr>
              <w:pStyle w:val="69"/>
              <w:jc w:val="center"/>
              <w:rPr>
                <w:rFonts w:ascii="Times New Roman" w:hAnsi="Times New Roman" w:eastAsia="宋体"/>
                <w:color w:val="auto"/>
                <w:sz w:val="21"/>
                <w:szCs w:val="21"/>
              </w:rPr>
            </w:pPr>
          </w:p>
        </w:tc>
        <w:tc>
          <w:tcPr>
            <w:tcW w:w="1834" w:type="dxa"/>
            <w:gridSpan w:val="3"/>
            <w:vMerge w:val="continue"/>
            <w:vAlign w:val="center"/>
          </w:tcPr>
          <w:p w14:paraId="369B4ACC">
            <w:pPr>
              <w:snapToGrid w:val="0"/>
              <w:jc w:val="center"/>
              <w:rPr>
                <w:color w:val="auto"/>
                <w:szCs w:val="21"/>
              </w:rPr>
            </w:pPr>
          </w:p>
        </w:tc>
        <w:tc>
          <w:tcPr>
            <w:tcW w:w="2969" w:type="dxa"/>
            <w:vAlign w:val="center"/>
          </w:tcPr>
          <w:p w14:paraId="36F230B7">
            <w:pPr>
              <w:snapToGrid w:val="0"/>
              <w:jc w:val="center"/>
              <w:rPr>
                <w:rFonts w:hint="eastAsia" w:eastAsia="宋体"/>
                <w:color w:val="auto"/>
                <w:szCs w:val="21"/>
                <w:lang w:eastAsia="zh-CN"/>
              </w:rPr>
            </w:pPr>
            <w:r>
              <w:rPr>
                <w:color w:val="auto"/>
                <w:szCs w:val="21"/>
              </w:rPr>
              <w:t>软化水制备设备</w:t>
            </w:r>
            <w:r>
              <w:rPr>
                <w:rFonts w:hint="eastAsia"/>
                <w:color w:val="auto"/>
                <w:szCs w:val="21"/>
              </w:rPr>
              <w:t>产生的废离子交换树脂，</w:t>
            </w:r>
            <w:r>
              <w:rPr>
                <w:color w:val="auto"/>
                <w:szCs w:val="21"/>
              </w:rPr>
              <w:t>由厂家进行更换处理</w:t>
            </w:r>
            <w:r>
              <w:rPr>
                <w:rFonts w:hint="eastAsia"/>
                <w:color w:val="auto"/>
                <w:szCs w:val="21"/>
                <w:lang w:eastAsia="zh-CN"/>
              </w:rPr>
              <w:t>。</w:t>
            </w:r>
          </w:p>
        </w:tc>
        <w:tc>
          <w:tcPr>
            <w:tcW w:w="1216" w:type="dxa"/>
            <w:vAlign w:val="center"/>
          </w:tcPr>
          <w:p w14:paraId="32AD650F">
            <w:pPr>
              <w:jc w:val="center"/>
              <w:rPr>
                <w:color w:val="auto"/>
                <w:szCs w:val="21"/>
              </w:rPr>
            </w:pPr>
          </w:p>
        </w:tc>
        <w:tc>
          <w:tcPr>
            <w:tcW w:w="2079" w:type="dxa"/>
            <w:vAlign w:val="center"/>
          </w:tcPr>
          <w:p w14:paraId="4B2E2180">
            <w:pPr>
              <w:jc w:val="center"/>
              <w:rPr>
                <w:color w:val="auto"/>
                <w:szCs w:val="21"/>
              </w:rPr>
            </w:pPr>
          </w:p>
        </w:tc>
      </w:tr>
      <w:tr w14:paraId="52B780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2CECEF49">
            <w:pPr>
              <w:jc w:val="center"/>
              <w:rPr>
                <w:color w:val="auto"/>
                <w:szCs w:val="21"/>
              </w:rPr>
            </w:pPr>
          </w:p>
        </w:tc>
        <w:tc>
          <w:tcPr>
            <w:tcW w:w="1834" w:type="dxa"/>
            <w:gridSpan w:val="3"/>
            <w:vMerge w:val="continue"/>
            <w:vAlign w:val="center"/>
          </w:tcPr>
          <w:p w14:paraId="4874FB1A">
            <w:pPr>
              <w:snapToGrid w:val="0"/>
              <w:jc w:val="center"/>
              <w:rPr>
                <w:color w:val="auto"/>
                <w:szCs w:val="21"/>
              </w:rPr>
            </w:pPr>
          </w:p>
        </w:tc>
        <w:tc>
          <w:tcPr>
            <w:tcW w:w="2969" w:type="dxa"/>
            <w:vAlign w:val="center"/>
          </w:tcPr>
          <w:p w14:paraId="63C004A1">
            <w:pPr>
              <w:jc w:val="center"/>
              <w:rPr>
                <w:color w:val="auto"/>
                <w:szCs w:val="21"/>
              </w:rPr>
            </w:pPr>
            <w:r>
              <w:rPr>
                <w:color w:val="auto"/>
                <w:szCs w:val="21"/>
              </w:rPr>
              <w:t>生活垃圾箱</w:t>
            </w:r>
            <w:r>
              <w:rPr>
                <w:rFonts w:hint="eastAsia"/>
                <w:color w:val="auto"/>
                <w:szCs w:val="21"/>
                <w:lang w:val="en-US" w:eastAsia="zh-CN"/>
              </w:rPr>
              <w:t>5</w:t>
            </w:r>
            <w:r>
              <w:rPr>
                <w:color w:val="auto"/>
                <w:szCs w:val="21"/>
              </w:rPr>
              <w:t>个</w:t>
            </w:r>
          </w:p>
        </w:tc>
        <w:tc>
          <w:tcPr>
            <w:tcW w:w="1216" w:type="dxa"/>
            <w:vAlign w:val="center"/>
          </w:tcPr>
          <w:p w14:paraId="01B1825D">
            <w:pPr>
              <w:jc w:val="center"/>
              <w:rPr>
                <w:bCs/>
                <w:color w:val="auto"/>
                <w:szCs w:val="21"/>
              </w:rPr>
            </w:pPr>
            <w:r>
              <w:rPr>
                <w:color w:val="auto"/>
                <w:szCs w:val="21"/>
              </w:rPr>
              <w:t>/</w:t>
            </w:r>
          </w:p>
        </w:tc>
        <w:tc>
          <w:tcPr>
            <w:tcW w:w="2079" w:type="dxa"/>
            <w:vAlign w:val="center"/>
          </w:tcPr>
          <w:p w14:paraId="757F9D95">
            <w:pPr>
              <w:jc w:val="center"/>
              <w:rPr>
                <w:bCs/>
                <w:color w:val="auto"/>
                <w:szCs w:val="21"/>
              </w:rPr>
            </w:pPr>
            <w:r>
              <w:rPr>
                <w:color w:val="auto"/>
                <w:szCs w:val="21"/>
              </w:rPr>
              <w:t>/</w:t>
            </w:r>
          </w:p>
        </w:tc>
      </w:tr>
      <w:tr w14:paraId="792F37C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6DDD00A5">
            <w:pPr>
              <w:jc w:val="center"/>
              <w:rPr>
                <w:color w:val="auto"/>
                <w:szCs w:val="21"/>
              </w:rPr>
            </w:pPr>
          </w:p>
        </w:tc>
        <w:tc>
          <w:tcPr>
            <w:tcW w:w="1834" w:type="dxa"/>
            <w:gridSpan w:val="3"/>
            <w:vMerge w:val="continue"/>
            <w:vAlign w:val="center"/>
          </w:tcPr>
          <w:p w14:paraId="1A1BCBDA">
            <w:pPr>
              <w:snapToGrid w:val="0"/>
              <w:jc w:val="center"/>
              <w:rPr>
                <w:color w:val="auto"/>
                <w:szCs w:val="21"/>
              </w:rPr>
            </w:pPr>
          </w:p>
        </w:tc>
        <w:tc>
          <w:tcPr>
            <w:tcW w:w="2969" w:type="dxa"/>
            <w:vAlign w:val="center"/>
          </w:tcPr>
          <w:p w14:paraId="04E611D8">
            <w:pPr>
              <w:jc w:val="center"/>
              <w:rPr>
                <w:rFonts w:hint="eastAsia" w:eastAsia="宋体"/>
                <w:color w:val="auto"/>
                <w:szCs w:val="21"/>
                <w:lang w:eastAsia="zh-CN"/>
              </w:rPr>
            </w:pPr>
            <w:r>
              <w:rPr>
                <w:color w:val="auto"/>
                <w:kern w:val="0"/>
                <w:szCs w:val="21"/>
              </w:rPr>
              <w:t>1辆，</w:t>
            </w:r>
            <w:r>
              <w:rPr>
                <w:color w:val="auto"/>
                <w:szCs w:val="21"/>
              </w:rPr>
              <w:t>鸡粪专用槽式运输车，车辆</w:t>
            </w:r>
            <w:r>
              <w:rPr>
                <w:rFonts w:hint="eastAsia"/>
                <w:color w:val="auto"/>
                <w:szCs w:val="21"/>
                <w:lang w:eastAsia="zh-CN"/>
              </w:rPr>
              <w:t>做</w:t>
            </w:r>
            <w:r>
              <w:rPr>
                <w:color w:val="auto"/>
                <w:szCs w:val="21"/>
              </w:rPr>
              <w:t>密闭、防渗漏</w:t>
            </w:r>
            <w:r>
              <w:rPr>
                <w:rFonts w:hint="eastAsia"/>
                <w:color w:val="auto"/>
                <w:szCs w:val="21"/>
                <w:lang w:eastAsia="zh-CN"/>
              </w:rPr>
              <w:t>处理</w:t>
            </w:r>
          </w:p>
        </w:tc>
        <w:tc>
          <w:tcPr>
            <w:tcW w:w="1216" w:type="dxa"/>
            <w:vAlign w:val="center"/>
          </w:tcPr>
          <w:p w14:paraId="3A7669BF">
            <w:pPr>
              <w:jc w:val="center"/>
              <w:rPr>
                <w:bCs/>
                <w:color w:val="auto"/>
                <w:szCs w:val="21"/>
              </w:rPr>
            </w:pPr>
            <w:r>
              <w:rPr>
                <w:color w:val="auto"/>
                <w:szCs w:val="21"/>
              </w:rPr>
              <w:t>/</w:t>
            </w:r>
          </w:p>
        </w:tc>
        <w:tc>
          <w:tcPr>
            <w:tcW w:w="2079" w:type="dxa"/>
            <w:vAlign w:val="center"/>
          </w:tcPr>
          <w:p w14:paraId="4AF96DD6">
            <w:pPr>
              <w:jc w:val="center"/>
              <w:rPr>
                <w:bCs/>
                <w:color w:val="auto"/>
                <w:szCs w:val="21"/>
              </w:rPr>
            </w:pPr>
            <w:r>
              <w:rPr>
                <w:color w:val="auto"/>
                <w:szCs w:val="21"/>
              </w:rPr>
              <w:t>/</w:t>
            </w:r>
          </w:p>
        </w:tc>
      </w:tr>
      <w:tr w14:paraId="337FD9F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1E14CA81">
            <w:pPr>
              <w:jc w:val="center"/>
              <w:rPr>
                <w:color w:val="auto"/>
                <w:szCs w:val="21"/>
              </w:rPr>
            </w:pPr>
          </w:p>
        </w:tc>
        <w:tc>
          <w:tcPr>
            <w:tcW w:w="1834" w:type="dxa"/>
            <w:gridSpan w:val="3"/>
            <w:vMerge w:val="restart"/>
            <w:vAlign w:val="center"/>
          </w:tcPr>
          <w:p w14:paraId="3342A1BC">
            <w:pPr>
              <w:pStyle w:val="369"/>
              <w:rPr>
                <w:rFonts w:ascii="Times New Roman" w:hAnsi="Times New Roman" w:eastAsia="宋体"/>
                <w:color w:val="auto"/>
                <w:szCs w:val="21"/>
              </w:rPr>
            </w:pPr>
            <w:r>
              <w:rPr>
                <w:rFonts w:ascii="Times New Roman" w:hAnsi="Times New Roman" w:eastAsia="宋体"/>
                <w:color w:val="auto"/>
                <w:szCs w:val="21"/>
              </w:rPr>
              <w:t>地下水</w:t>
            </w:r>
          </w:p>
        </w:tc>
        <w:tc>
          <w:tcPr>
            <w:tcW w:w="2969" w:type="dxa"/>
            <w:vAlign w:val="center"/>
          </w:tcPr>
          <w:p w14:paraId="4132824E">
            <w:pPr>
              <w:adjustRightInd w:val="0"/>
              <w:snapToGrid w:val="0"/>
              <w:jc w:val="center"/>
              <w:rPr>
                <w:color w:val="auto"/>
                <w:szCs w:val="21"/>
              </w:rPr>
            </w:pPr>
            <w:r>
              <w:rPr>
                <w:rFonts w:hint="eastAsia"/>
                <w:color w:val="auto"/>
                <w:szCs w:val="21"/>
                <w:lang w:eastAsia="zh-CN"/>
              </w:rPr>
              <w:t>临时储粪场</w:t>
            </w:r>
            <w:r>
              <w:rPr>
                <w:rFonts w:hint="eastAsia"/>
                <w:color w:val="auto"/>
                <w:szCs w:val="21"/>
              </w:rPr>
              <w:t>、污水收集</w:t>
            </w:r>
            <w:r>
              <w:rPr>
                <w:color w:val="auto"/>
                <w:szCs w:val="21"/>
              </w:rPr>
              <w:t>管道、</w:t>
            </w:r>
            <w:r>
              <w:rPr>
                <w:rFonts w:hint="eastAsia"/>
                <w:color w:val="auto"/>
                <w:szCs w:val="21"/>
                <w:lang w:eastAsia="zh-CN"/>
              </w:rPr>
              <w:t>废水收集池、</w:t>
            </w:r>
            <w:r>
              <w:rPr>
                <w:color w:val="auto"/>
                <w:szCs w:val="21"/>
              </w:rPr>
              <w:t>鸡舍</w:t>
            </w:r>
            <w:r>
              <w:rPr>
                <w:rFonts w:hint="eastAsia"/>
                <w:color w:val="auto"/>
                <w:szCs w:val="21"/>
              </w:rPr>
              <w:t>、旱厕</w:t>
            </w:r>
            <w:r>
              <w:rPr>
                <w:rFonts w:hint="eastAsia"/>
                <w:color w:val="auto"/>
                <w:szCs w:val="21"/>
                <w:lang w:eastAsia="zh-CN"/>
              </w:rPr>
              <w:t>为一般防渗区，</w:t>
            </w:r>
            <w:r>
              <w:rPr>
                <w:color w:val="auto"/>
                <w:szCs w:val="21"/>
              </w:rPr>
              <w:t>等效黏土防渗层Mb≥1.5m，K≤1×10</w:t>
            </w:r>
            <w:r>
              <w:rPr>
                <w:color w:val="auto"/>
                <w:szCs w:val="21"/>
                <w:vertAlign w:val="superscript"/>
              </w:rPr>
              <w:t>-7</w:t>
            </w:r>
            <w:r>
              <w:rPr>
                <w:color w:val="auto"/>
                <w:szCs w:val="21"/>
              </w:rPr>
              <w:t>cm/s；</w:t>
            </w:r>
          </w:p>
        </w:tc>
        <w:tc>
          <w:tcPr>
            <w:tcW w:w="1216" w:type="dxa"/>
            <w:vAlign w:val="center"/>
          </w:tcPr>
          <w:p w14:paraId="2CA06B5E">
            <w:pPr>
              <w:jc w:val="center"/>
              <w:rPr>
                <w:color w:val="auto"/>
                <w:szCs w:val="21"/>
              </w:rPr>
            </w:pPr>
            <w:r>
              <w:rPr>
                <w:color w:val="auto"/>
                <w:szCs w:val="21"/>
              </w:rPr>
              <w:t>/</w:t>
            </w:r>
          </w:p>
        </w:tc>
        <w:tc>
          <w:tcPr>
            <w:tcW w:w="2079" w:type="dxa"/>
            <w:vAlign w:val="center"/>
          </w:tcPr>
          <w:p w14:paraId="43C0D72C">
            <w:pPr>
              <w:jc w:val="center"/>
              <w:rPr>
                <w:color w:val="auto"/>
                <w:szCs w:val="21"/>
              </w:rPr>
            </w:pPr>
            <w:r>
              <w:rPr>
                <w:color w:val="auto"/>
                <w:szCs w:val="21"/>
              </w:rPr>
              <w:t>/</w:t>
            </w:r>
          </w:p>
        </w:tc>
      </w:tr>
      <w:tr w14:paraId="44818FF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24C26217">
            <w:pPr>
              <w:jc w:val="center"/>
              <w:rPr>
                <w:color w:val="auto"/>
                <w:szCs w:val="21"/>
              </w:rPr>
            </w:pPr>
          </w:p>
        </w:tc>
        <w:tc>
          <w:tcPr>
            <w:tcW w:w="1834" w:type="dxa"/>
            <w:gridSpan w:val="3"/>
            <w:vMerge w:val="continue"/>
            <w:vAlign w:val="center"/>
          </w:tcPr>
          <w:p w14:paraId="74E022F9">
            <w:pPr>
              <w:pStyle w:val="369"/>
              <w:rPr>
                <w:rFonts w:ascii="Times New Roman" w:hAnsi="Times New Roman" w:eastAsia="宋体"/>
                <w:color w:val="auto"/>
                <w:szCs w:val="21"/>
              </w:rPr>
            </w:pPr>
          </w:p>
        </w:tc>
        <w:tc>
          <w:tcPr>
            <w:tcW w:w="2969" w:type="dxa"/>
            <w:vAlign w:val="center"/>
          </w:tcPr>
          <w:p w14:paraId="07CD85D9">
            <w:pPr>
              <w:adjustRightInd w:val="0"/>
              <w:snapToGrid w:val="0"/>
              <w:jc w:val="center"/>
              <w:rPr>
                <w:color w:val="auto"/>
                <w:szCs w:val="21"/>
              </w:rPr>
            </w:pPr>
            <w:r>
              <w:rPr>
                <w:rFonts w:hint="eastAsia"/>
                <w:color w:val="auto"/>
                <w:szCs w:val="21"/>
                <w:lang w:eastAsia="zh-CN"/>
              </w:rPr>
              <w:t>锅炉房、蛋库</w:t>
            </w:r>
            <w:r>
              <w:rPr>
                <w:rFonts w:hint="eastAsia"/>
                <w:color w:val="auto"/>
                <w:szCs w:val="21"/>
              </w:rPr>
              <w:t>、</w:t>
            </w:r>
            <w:r>
              <w:rPr>
                <w:rFonts w:hint="eastAsia"/>
                <w:color w:val="auto"/>
                <w:szCs w:val="21"/>
                <w:lang w:eastAsia="zh-CN"/>
              </w:rPr>
              <w:t>发电机房</w:t>
            </w:r>
            <w:r>
              <w:rPr>
                <w:rFonts w:hint="eastAsia"/>
                <w:color w:val="auto"/>
                <w:szCs w:val="21"/>
              </w:rPr>
              <w:t>、</w:t>
            </w:r>
            <w:r>
              <w:rPr>
                <w:color w:val="auto"/>
                <w:szCs w:val="21"/>
              </w:rPr>
              <w:t>办公生活区、厂区内运输路面</w:t>
            </w:r>
            <w:r>
              <w:rPr>
                <w:rFonts w:hint="eastAsia"/>
                <w:color w:val="auto"/>
                <w:szCs w:val="21"/>
              </w:rPr>
              <w:t>、水塔</w:t>
            </w:r>
            <w:r>
              <w:rPr>
                <w:rFonts w:hint="eastAsia"/>
                <w:color w:val="auto"/>
                <w:szCs w:val="21"/>
                <w:lang w:eastAsia="zh-CN"/>
              </w:rPr>
              <w:t>为简单防渗区，做</w:t>
            </w:r>
            <w:r>
              <w:rPr>
                <w:color w:val="auto"/>
                <w:szCs w:val="21"/>
              </w:rPr>
              <w:t>一般地面硬化</w:t>
            </w:r>
          </w:p>
        </w:tc>
        <w:tc>
          <w:tcPr>
            <w:tcW w:w="1216" w:type="dxa"/>
            <w:vAlign w:val="center"/>
          </w:tcPr>
          <w:p w14:paraId="26A7105D">
            <w:pPr>
              <w:jc w:val="center"/>
              <w:rPr>
                <w:color w:val="auto"/>
                <w:szCs w:val="21"/>
              </w:rPr>
            </w:pPr>
            <w:r>
              <w:rPr>
                <w:color w:val="auto"/>
                <w:szCs w:val="21"/>
              </w:rPr>
              <w:t>/</w:t>
            </w:r>
          </w:p>
        </w:tc>
        <w:tc>
          <w:tcPr>
            <w:tcW w:w="2079" w:type="dxa"/>
            <w:vAlign w:val="center"/>
          </w:tcPr>
          <w:p w14:paraId="4AA0FD4B">
            <w:pPr>
              <w:jc w:val="center"/>
              <w:rPr>
                <w:color w:val="auto"/>
                <w:szCs w:val="21"/>
              </w:rPr>
            </w:pPr>
            <w:r>
              <w:rPr>
                <w:color w:val="auto"/>
                <w:szCs w:val="21"/>
              </w:rPr>
              <w:t>/</w:t>
            </w:r>
          </w:p>
        </w:tc>
      </w:tr>
      <w:tr w14:paraId="325123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00ABE1C5">
            <w:pPr>
              <w:jc w:val="center"/>
              <w:rPr>
                <w:color w:val="auto"/>
                <w:szCs w:val="21"/>
              </w:rPr>
            </w:pPr>
          </w:p>
        </w:tc>
        <w:tc>
          <w:tcPr>
            <w:tcW w:w="1834" w:type="dxa"/>
            <w:gridSpan w:val="3"/>
            <w:vAlign w:val="center"/>
          </w:tcPr>
          <w:p w14:paraId="6995D2AA">
            <w:pPr>
              <w:pStyle w:val="369"/>
              <w:rPr>
                <w:rFonts w:hint="eastAsia" w:ascii="Times New Roman" w:hAnsi="Times New Roman" w:eastAsia="宋体"/>
                <w:color w:val="auto"/>
                <w:szCs w:val="21"/>
                <w:lang w:eastAsia="zh-CN"/>
              </w:rPr>
            </w:pPr>
            <w:r>
              <w:rPr>
                <w:rFonts w:hint="eastAsia" w:ascii="Times New Roman" w:hAnsi="Times New Roman" w:eastAsia="宋体"/>
                <w:color w:val="auto"/>
                <w:szCs w:val="21"/>
                <w:lang w:eastAsia="zh-CN"/>
              </w:rPr>
              <w:t>环境风险</w:t>
            </w:r>
          </w:p>
        </w:tc>
        <w:tc>
          <w:tcPr>
            <w:tcW w:w="2969" w:type="dxa"/>
            <w:vAlign w:val="center"/>
          </w:tcPr>
          <w:p w14:paraId="033461BA">
            <w:pPr>
              <w:adjustRightInd w:val="0"/>
              <w:snapToGrid w:val="0"/>
              <w:jc w:val="center"/>
              <w:rPr>
                <w:rFonts w:hint="default"/>
                <w:color w:val="auto"/>
                <w:szCs w:val="21"/>
                <w:lang w:val="en-US" w:eastAsia="zh-CN"/>
              </w:rPr>
            </w:pPr>
            <w:r>
              <w:rPr>
                <w:rFonts w:hint="eastAsia"/>
                <w:color w:val="auto"/>
                <w:szCs w:val="21"/>
                <w:lang w:eastAsia="zh-CN"/>
              </w:rPr>
              <w:t>厂区内地势最低处设置</w:t>
            </w:r>
            <w:r>
              <w:rPr>
                <w:rFonts w:hint="eastAsia"/>
                <w:color w:val="auto"/>
                <w:szCs w:val="21"/>
                <w:lang w:val="en-US" w:eastAsia="zh-CN"/>
              </w:rPr>
              <w:t>1座事故池</w:t>
            </w:r>
          </w:p>
        </w:tc>
        <w:tc>
          <w:tcPr>
            <w:tcW w:w="1216" w:type="dxa"/>
            <w:vAlign w:val="center"/>
          </w:tcPr>
          <w:p w14:paraId="223E89E7">
            <w:pPr>
              <w:jc w:val="center"/>
              <w:rPr>
                <w:rFonts w:hint="default" w:eastAsia="宋体"/>
                <w:color w:val="auto"/>
                <w:szCs w:val="21"/>
                <w:lang w:val="en-US" w:eastAsia="zh-CN"/>
              </w:rPr>
            </w:pPr>
            <w:r>
              <w:rPr>
                <w:rFonts w:hint="eastAsia"/>
                <w:color w:val="auto"/>
                <w:szCs w:val="21"/>
                <w:lang w:val="en-US" w:eastAsia="zh-CN"/>
              </w:rPr>
              <w:t>150m</w:t>
            </w:r>
            <w:r>
              <w:rPr>
                <w:rFonts w:hint="eastAsia"/>
                <w:color w:val="auto"/>
                <w:szCs w:val="21"/>
                <w:vertAlign w:val="superscript"/>
                <w:lang w:val="en-US" w:eastAsia="zh-CN"/>
              </w:rPr>
              <w:t>3</w:t>
            </w:r>
          </w:p>
        </w:tc>
        <w:tc>
          <w:tcPr>
            <w:tcW w:w="2079" w:type="dxa"/>
            <w:vAlign w:val="center"/>
          </w:tcPr>
          <w:p w14:paraId="4BC4064C">
            <w:pPr>
              <w:jc w:val="center"/>
              <w:rPr>
                <w:rFonts w:hint="eastAsia" w:eastAsia="宋体"/>
                <w:color w:val="auto"/>
                <w:szCs w:val="21"/>
                <w:lang w:eastAsia="zh-CN"/>
              </w:rPr>
            </w:pPr>
            <w:r>
              <w:rPr>
                <w:rFonts w:hint="eastAsia"/>
                <w:color w:val="auto"/>
                <w:szCs w:val="21"/>
                <w:lang w:eastAsia="zh-CN"/>
              </w:rPr>
              <w:t>用于事故废水收集</w:t>
            </w:r>
          </w:p>
        </w:tc>
      </w:tr>
      <w:tr w14:paraId="722E74C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vAlign w:val="center"/>
          </w:tcPr>
          <w:p w14:paraId="75A0E162">
            <w:pPr>
              <w:jc w:val="center"/>
              <w:rPr>
                <w:color w:val="auto"/>
                <w:szCs w:val="21"/>
              </w:rPr>
            </w:pPr>
          </w:p>
        </w:tc>
        <w:tc>
          <w:tcPr>
            <w:tcW w:w="1834" w:type="dxa"/>
            <w:gridSpan w:val="3"/>
            <w:vAlign w:val="center"/>
          </w:tcPr>
          <w:p w14:paraId="7D5E0FF6">
            <w:pPr>
              <w:pStyle w:val="369"/>
              <w:rPr>
                <w:rFonts w:ascii="Times New Roman" w:hAnsi="Times New Roman" w:eastAsia="宋体"/>
                <w:color w:val="auto"/>
                <w:szCs w:val="21"/>
              </w:rPr>
            </w:pPr>
            <w:r>
              <w:rPr>
                <w:rFonts w:ascii="Times New Roman" w:hAnsi="Times New Roman" w:eastAsia="宋体"/>
                <w:color w:val="auto"/>
                <w:szCs w:val="21"/>
              </w:rPr>
              <w:t>绿化</w:t>
            </w:r>
          </w:p>
        </w:tc>
        <w:tc>
          <w:tcPr>
            <w:tcW w:w="2969" w:type="dxa"/>
            <w:vAlign w:val="center"/>
          </w:tcPr>
          <w:p w14:paraId="4A38678C">
            <w:pPr>
              <w:snapToGrid w:val="0"/>
              <w:jc w:val="center"/>
              <w:rPr>
                <w:color w:val="auto"/>
                <w:szCs w:val="21"/>
              </w:rPr>
            </w:pPr>
            <w:r>
              <w:rPr>
                <w:color w:val="auto"/>
                <w:szCs w:val="21"/>
              </w:rPr>
              <w:t>厂区绿化</w:t>
            </w:r>
          </w:p>
        </w:tc>
        <w:tc>
          <w:tcPr>
            <w:tcW w:w="1216" w:type="dxa"/>
            <w:vAlign w:val="center"/>
          </w:tcPr>
          <w:p w14:paraId="36CA5AB2">
            <w:pPr>
              <w:jc w:val="center"/>
              <w:rPr>
                <w:bCs/>
                <w:color w:val="auto"/>
                <w:szCs w:val="21"/>
                <w:highlight w:val="green"/>
              </w:rPr>
            </w:pPr>
            <w:r>
              <w:rPr>
                <w:rFonts w:hint="eastAsia"/>
                <w:color w:val="auto"/>
                <w:szCs w:val="21"/>
                <w:highlight w:val="none"/>
              </w:rPr>
              <w:t>5050</w:t>
            </w:r>
            <w:r>
              <w:rPr>
                <w:color w:val="auto"/>
                <w:szCs w:val="21"/>
                <w:highlight w:val="none"/>
              </w:rPr>
              <w:t>m</w:t>
            </w:r>
            <w:r>
              <w:rPr>
                <w:color w:val="auto"/>
                <w:szCs w:val="21"/>
                <w:highlight w:val="none"/>
                <w:vertAlign w:val="superscript"/>
              </w:rPr>
              <w:t>2</w:t>
            </w:r>
          </w:p>
        </w:tc>
        <w:tc>
          <w:tcPr>
            <w:tcW w:w="2079" w:type="dxa"/>
            <w:vAlign w:val="center"/>
          </w:tcPr>
          <w:p w14:paraId="129AA929">
            <w:pPr>
              <w:jc w:val="center"/>
              <w:rPr>
                <w:bCs/>
                <w:color w:val="auto"/>
                <w:szCs w:val="21"/>
              </w:rPr>
            </w:pPr>
            <w:r>
              <w:rPr>
                <w:color w:val="auto"/>
                <w:szCs w:val="21"/>
              </w:rPr>
              <w:t>/</w:t>
            </w:r>
          </w:p>
        </w:tc>
      </w:tr>
      <w:bookmarkEnd w:id="151"/>
    </w:tbl>
    <w:p w14:paraId="2CB8E9E5">
      <w:pPr>
        <w:pStyle w:val="4"/>
        <w:snapToGrid w:val="0"/>
        <w:spacing w:before="0"/>
        <w:rPr>
          <w:rFonts w:ascii="Times New Roman" w:hAnsi="Times New Roman" w:eastAsia="宋体"/>
          <w:bCs/>
          <w:color w:val="auto"/>
          <w:sz w:val="28"/>
          <w:szCs w:val="28"/>
        </w:rPr>
      </w:pPr>
      <w:bookmarkStart w:id="167" w:name="_Toc17111"/>
      <w:r>
        <w:rPr>
          <w:rFonts w:ascii="Times New Roman" w:hAnsi="Times New Roman" w:eastAsia="宋体"/>
          <w:bCs/>
          <w:color w:val="auto"/>
          <w:sz w:val="28"/>
          <w:szCs w:val="28"/>
        </w:rPr>
        <w:t>3.</w:t>
      </w:r>
      <w:r>
        <w:rPr>
          <w:rFonts w:hint="eastAsia" w:ascii="Times New Roman" w:hAnsi="Times New Roman" w:eastAsia="宋体"/>
          <w:bCs/>
          <w:color w:val="auto"/>
          <w:sz w:val="28"/>
          <w:szCs w:val="28"/>
          <w:lang w:val="en-US" w:eastAsia="zh-CN"/>
        </w:rPr>
        <w:t>2</w:t>
      </w:r>
      <w:r>
        <w:rPr>
          <w:rFonts w:ascii="Times New Roman" w:hAnsi="Times New Roman" w:eastAsia="宋体"/>
          <w:bCs/>
          <w:color w:val="auto"/>
          <w:sz w:val="28"/>
          <w:szCs w:val="28"/>
        </w:rPr>
        <w:t>.2原辅材料能源消耗情况及产品方案</w:t>
      </w:r>
      <w:bookmarkEnd w:id="167"/>
    </w:p>
    <w:p w14:paraId="3E6AC61C">
      <w:pPr>
        <w:spacing w:line="360" w:lineRule="auto"/>
        <w:ind w:firstLine="482" w:firstLineChars="200"/>
        <w:rPr>
          <w:color w:val="auto"/>
          <w:sz w:val="24"/>
        </w:rPr>
      </w:pPr>
      <w:r>
        <w:rPr>
          <w:b/>
          <w:bCs/>
          <w:color w:val="auto"/>
          <w:sz w:val="24"/>
        </w:rPr>
        <w:t>（1）</w:t>
      </w:r>
      <w:r>
        <w:rPr>
          <w:color w:val="auto"/>
          <w:sz w:val="24"/>
        </w:rPr>
        <w:t>主要原辅料及能源情况见表</w:t>
      </w:r>
      <w:r>
        <w:rPr>
          <w:rFonts w:hint="eastAsia"/>
          <w:color w:val="auto"/>
          <w:sz w:val="24"/>
          <w:lang w:val="en-US" w:eastAsia="zh-CN"/>
        </w:rPr>
        <w:t>3.2-2</w:t>
      </w:r>
      <w:r>
        <w:rPr>
          <w:color w:val="auto"/>
          <w:sz w:val="24"/>
        </w:rPr>
        <w:t>。</w:t>
      </w:r>
    </w:p>
    <w:p w14:paraId="66F0E03A">
      <w:pPr>
        <w:ind w:firstLine="422" w:firstLineChars="200"/>
        <w:jc w:val="center"/>
        <w:rPr>
          <w:b/>
          <w:color w:val="auto"/>
          <w:szCs w:val="21"/>
        </w:rPr>
      </w:pPr>
      <w:r>
        <w:rPr>
          <w:b/>
          <w:color w:val="auto"/>
          <w:szCs w:val="21"/>
        </w:rPr>
        <w:t>表</w:t>
      </w:r>
      <w:r>
        <w:rPr>
          <w:rFonts w:hint="eastAsia"/>
          <w:b/>
          <w:color w:val="auto"/>
          <w:szCs w:val="21"/>
          <w:lang w:val="en-US" w:eastAsia="zh-CN"/>
        </w:rPr>
        <w:t>3.2-2</w:t>
      </w:r>
      <w:r>
        <w:rPr>
          <w:b/>
          <w:color w:val="auto"/>
          <w:szCs w:val="21"/>
        </w:rPr>
        <w:t xml:space="preserve">    主要原辅料及能源一览表</w:t>
      </w:r>
    </w:p>
    <w:tbl>
      <w:tblPr>
        <w:tblStyle w:val="53"/>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1269"/>
        <w:gridCol w:w="894"/>
        <w:gridCol w:w="1426"/>
        <w:gridCol w:w="4044"/>
        <w:gridCol w:w="15"/>
      </w:tblGrid>
      <w:tr w14:paraId="32A901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340" w:hRule="atLeast"/>
          <w:jc w:val="center"/>
        </w:trPr>
        <w:tc>
          <w:tcPr>
            <w:tcW w:w="516" w:type="pct"/>
            <w:vAlign w:val="center"/>
          </w:tcPr>
          <w:p w14:paraId="598EB4C0">
            <w:pPr>
              <w:jc w:val="center"/>
              <w:rPr>
                <w:color w:val="auto"/>
                <w:szCs w:val="21"/>
              </w:rPr>
            </w:pPr>
            <w:r>
              <w:rPr>
                <w:color w:val="auto"/>
                <w:szCs w:val="21"/>
              </w:rPr>
              <w:t>序号</w:t>
            </w:r>
          </w:p>
        </w:tc>
        <w:tc>
          <w:tcPr>
            <w:tcW w:w="744" w:type="pct"/>
            <w:vAlign w:val="center"/>
          </w:tcPr>
          <w:p w14:paraId="08394C4E">
            <w:pPr>
              <w:jc w:val="center"/>
              <w:rPr>
                <w:color w:val="auto"/>
                <w:szCs w:val="21"/>
              </w:rPr>
            </w:pPr>
            <w:r>
              <w:rPr>
                <w:color w:val="auto"/>
                <w:szCs w:val="21"/>
              </w:rPr>
              <w:t>名称</w:t>
            </w:r>
          </w:p>
        </w:tc>
        <w:tc>
          <w:tcPr>
            <w:tcW w:w="524" w:type="pct"/>
            <w:vAlign w:val="center"/>
          </w:tcPr>
          <w:p w14:paraId="03983B43">
            <w:pPr>
              <w:jc w:val="center"/>
              <w:rPr>
                <w:color w:val="auto"/>
                <w:szCs w:val="21"/>
              </w:rPr>
            </w:pPr>
            <w:r>
              <w:rPr>
                <w:color w:val="auto"/>
                <w:szCs w:val="21"/>
              </w:rPr>
              <w:t>用途</w:t>
            </w:r>
          </w:p>
        </w:tc>
        <w:tc>
          <w:tcPr>
            <w:tcW w:w="836" w:type="pct"/>
            <w:vAlign w:val="center"/>
          </w:tcPr>
          <w:p w14:paraId="2C669982">
            <w:pPr>
              <w:jc w:val="center"/>
              <w:rPr>
                <w:color w:val="auto"/>
                <w:szCs w:val="21"/>
              </w:rPr>
            </w:pPr>
            <w:r>
              <w:rPr>
                <w:color w:val="auto"/>
                <w:szCs w:val="21"/>
              </w:rPr>
              <w:t>用量</w:t>
            </w:r>
          </w:p>
        </w:tc>
        <w:tc>
          <w:tcPr>
            <w:tcW w:w="2371" w:type="pct"/>
            <w:vAlign w:val="center"/>
          </w:tcPr>
          <w:p w14:paraId="5EF45E54">
            <w:pPr>
              <w:jc w:val="center"/>
              <w:rPr>
                <w:color w:val="auto"/>
                <w:szCs w:val="21"/>
              </w:rPr>
            </w:pPr>
            <w:r>
              <w:rPr>
                <w:color w:val="auto"/>
                <w:szCs w:val="21"/>
              </w:rPr>
              <w:t>备注</w:t>
            </w:r>
          </w:p>
        </w:tc>
      </w:tr>
      <w:tr w14:paraId="03153EF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vAlign w:val="center"/>
          </w:tcPr>
          <w:p w14:paraId="060B3EAB">
            <w:pPr>
              <w:jc w:val="center"/>
              <w:rPr>
                <w:color w:val="auto"/>
                <w:szCs w:val="21"/>
              </w:rPr>
            </w:pPr>
            <w:r>
              <w:rPr>
                <w:color w:val="auto"/>
                <w:szCs w:val="21"/>
              </w:rPr>
              <w:t>主要原辅料消耗</w:t>
            </w:r>
          </w:p>
        </w:tc>
      </w:tr>
      <w:tr w14:paraId="286285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761D849B">
            <w:pPr>
              <w:jc w:val="center"/>
              <w:rPr>
                <w:color w:val="auto"/>
                <w:szCs w:val="21"/>
              </w:rPr>
            </w:pPr>
            <w:r>
              <w:rPr>
                <w:color w:val="auto"/>
                <w:szCs w:val="21"/>
              </w:rPr>
              <w:t>1</w:t>
            </w:r>
          </w:p>
        </w:tc>
        <w:tc>
          <w:tcPr>
            <w:tcW w:w="744" w:type="pct"/>
            <w:vAlign w:val="center"/>
          </w:tcPr>
          <w:p w14:paraId="2E093AE0">
            <w:pPr>
              <w:jc w:val="center"/>
              <w:rPr>
                <w:rFonts w:hint="eastAsia" w:eastAsia="宋体"/>
                <w:color w:val="auto"/>
                <w:szCs w:val="21"/>
                <w:lang w:eastAsia="zh-CN"/>
              </w:rPr>
            </w:pPr>
            <w:r>
              <w:rPr>
                <w:rFonts w:hint="eastAsia"/>
                <w:color w:val="auto"/>
                <w:szCs w:val="21"/>
                <w:lang w:eastAsia="zh-CN"/>
              </w:rPr>
              <w:t>鸡雏</w:t>
            </w:r>
          </w:p>
        </w:tc>
        <w:tc>
          <w:tcPr>
            <w:tcW w:w="524" w:type="pct"/>
            <w:vAlign w:val="center"/>
          </w:tcPr>
          <w:p w14:paraId="3EA9017F">
            <w:pPr>
              <w:jc w:val="center"/>
              <w:rPr>
                <w:rFonts w:hint="eastAsia" w:eastAsia="宋体"/>
                <w:color w:val="auto"/>
                <w:szCs w:val="21"/>
                <w:lang w:eastAsia="zh-CN"/>
              </w:rPr>
            </w:pPr>
            <w:r>
              <w:rPr>
                <w:rFonts w:hint="eastAsia"/>
                <w:color w:val="auto"/>
                <w:szCs w:val="21"/>
                <w:lang w:eastAsia="zh-CN"/>
              </w:rPr>
              <w:t>产蛋</w:t>
            </w:r>
          </w:p>
        </w:tc>
        <w:tc>
          <w:tcPr>
            <w:tcW w:w="836" w:type="pct"/>
            <w:vAlign w:val="center"/>
          </w:tcPr>
          <w:p w14:paraId="09A8099A">
            <w:pPr>
              <w:jc w:val="center"/>
              <w:rPr>
                <w:color w:val="auto"/>
                <w:szCs w:val="21"/>
              </w:rPr>
            </w:pPr>
            <w:r>
              <w:rPr>
                <w:rFonts w:hint="eastAsia"/>
                <w:color w:val="auto"/>
                <w:szCs w:val="21"/>
              </w:rPr>
              <w:t>70.2</w:t>
            </w:r>
            <w:r>
              <w:rPr>
                <w:color w:val="auto"/>
                <w:szCs w:val="21"/>
              </w:rPr>
              <w:t>万只</w:t>
            </w:r>
          </w:p>
        </w:tc>
        <w:tc>
          <w:tcPr>
            <w:tcW w:w="2379" w:type="pct"/>
            <w:gridSpan w:val="2"/>
            <w:vAlign w:val="center"/>
          </w:tcPr>
          <w:p w14:paraId="1CC155A3">
            <w:pPr>
              <w:jc w:val="center"/>
              <w:rPr>
                <w:rFonts w:hint="default" w:eastAsia="宋体"/>
                <w:color w:val="auto"/>
                <w:szCs w:val="21"/>
                <w:lang w:val="en-US" w:eastAsia="zh-CN"/>
              </w:rPr>
            </w:pPr>
            <w:r>
              <w:rPr>
                <w:color w:val="auto"/>
                <w:szCs w:val="21"/>
              </w:rPr>
              <w:t>外购</w:t>
            </w:r>
            <w:r>
              <w:rPr>
                <w:rFonts w:hint="eastAsia"/>
                <w:color w:val="auto"/>
                <w:szCs w:val="21"/>
                <w:lang w:eastAsia="zh-CN"/>
              </w:rPr>
              <w:t>，第一年直接引进</w:t>
            </w:r>
            <w:r>
              <w:rPr>
                <w:rFonts w:hint="eastAsia"/>
                <w:color w:val="auto"/>
                <w:szCs w:val="21"/>
                <w:lang w:val="en-US" w:eastAsia="zh-CN"/>
              </w:rPr>
              <w:t>100万只鸡雏，后续每年淘汰后补充鸡雏量</w:t>
            </w:r>
          </w:p>
        </w:tc>
      </w:tr>
      <w:tr w14:paraId="7E604B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0D7A6180">
            <w:pPr>
              <w:jc w:val="center"/>
              <w:rPr>
                <w:color w:val="auto"/>
                <w:szCs w:val="21"/>
              </w:rPr>
            </w:pPr>
            <w:r>
              <w:rPr>
                <w:color w:val="auto"/>
                <w:szCs w:val="21"/>
              </w:rPr>
              <w:t>2</w:t>
            </w:r>
          </w:p>
        </w:tc>
        <w:tc>
          <w:tcPr>
            <w:tcW w:w="744" w:type="pct"/>
            <w:vAlign w:val="center"/>
          </w:tcPr>
          <w:p w14:paraId="074FA168">
            <w:pPr>
              <w:jc w:val="center"/>
              <w:rPr>
                <w:color w:val="auto"/>
                <w:szCs w:val="21"/>
              </w:rPr>
            </w:pPr>
            <w:r>
              <w:rPr>
                <w:color w:val="auto"/>
                <w:szCs w:val="21"/>
              </w:rPr>
              <w:t>碘伏</w:t>
            </w:r>
          </w:p>
        </w:tc>
        <w:tc>
          <w:tcPr>
            <w:tcW w:w="524" w:type="pct"/>
            <w:vMerge w:val="restart"/>
            <w:vAlign w:val="center"/>
          </w:tcPr>
          <w:p w14:paraId="0DCD80B0">
            <w:pPr>
              <w:jc w:val="center"/>
              <w:rPr>
                <w:color w:val="auto"/>
                <w:kern w:val="0"/>
                <w:szCs w:val="21"/>
              </w:rPr>
            </w:pPr>
            <w:r>
              <w:rPr>
                <w:color w:val="auto"/>
                <w:kern w:val="0"/>
                <w:szCs w:val="21"/>
              </w:rPr>
              <w:t>消毒</w:t>
            </w:r>
          </w:p>
        </w:tc>
        <w:tc>
          <w:tcPr>
            <w:tcW w:w="836" w:type="pct"/>
            <w:vAlign w:val="center"/>
          </w:tcPr>
          <w:p w14:paraId="65C71EC2">
            <w:pPr>
              <w:jc w:val="center"/>
              <w:rPr>
                <w:color w:val="auto"/>
                <w:kern w:val="0"/>
                <w:szCs w:val="21"/>
              </w:rPr>
            </w:pPr>
            <w:r>
              <w:rPr>
                <w:color w:val="auto"/>
                <w:szCs w:val="21"/>
              </w:rPr>
              <w:t>1000L/a</w:t>
            </w:r>
          </w:p>
        </w:tc>
        <w:tc>
          <w:tcPr>
            <w:tcW w:w="2379" w:type="pct"/>
            <w:gridSpan w:val="2"/>
            <w:vMerge w:val="restart"/>
            <w:vAlign w:val="center"/>
          </w:tcPr>
          <w:p w14:paraId="569FEDE0">
            <w:pPr>
              <w:jc w:val="center"/>
              <w:rPr>
                <w:color w:val="auto"/>
                <w:kern w:val="0"/>
                <w:szCs w:val="21"/>
              </w:rPr>
            </w:pPr>
            <w:r>
              <w:rPr>
                <w:bCs/>
                <w:color w:val="auto"/>
                <w:szCs w:val="21"/>
              </w:rPr>
              <w:t>外购</w:t>
            </w:r>
            <w:r>
              <w:rPr>
                <w:color w:val="auto"/>
                <w:szCs w:val="21"/>
              </w:rPr>
              <w:t>，用于厂区消毒，瓶装，随用随买，临时存储于办公</w:t>
            </w:r>
            <w:r>
              <w:rPr>
                <w:rFonts w:hint="eastAsia"/>
                <w:color w:val="auto"/>
                <w:szCs w:val="21"/>
              </w:rPr>
              <w:t>室</w:t>
            </w:r>
            <w:r>
              <w:rPr>
                <w:color w:val="auto"/>
                <w:szCs w:val="21"/>
              </w:rPr>
              <w:t>内防疫药品储存室</w:t>
            </w:r>
          </w:p>
        </w:tc>
      </w:tr>
      <w:tr w14:paraId="68E9943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19A99FA5">
            <w:pPr>
              <w:jc w:val="center"/>
              <w:rPr>
                <w:color w:val="auto"/>
                <w:szCs w:val="21"/>
              </w:rPr>
            </w:pPr>
            <w:r>
              <w:rPr>
                <w:color w:val="auto"/>
                <w:szCs w:val="21"/>
              </w:rPr>
              <w:t>3</w:t>
            </w:r>
          </w:p>
        </w:tc>
        <w:tc>
          <w:tcPr>
            <w:tcW w:w="744" w:type="pct"/>
            <w:vAlign w:val="center"/>
          </w:tcPr>
          <w:p w14:paraId="672D694D">
            <w:pPr>
              <w:jc w:val="center"/>
              <w:rPr>
                <w:color w:val="auto"/>
                <w:szCs w:val="21"/>
              </w:rPr>
            </w:pPr>
            <w:r>
              <w:rPr>
                <w:color w:val="auto"/>
                <w:szCs w:val="21"/>
              </w:rPr>
              <w:t>复方酚溶液</w:t>
            </w:r>
          </w:p>
        </w:tc>
        <w:tc>
          <w:tcPr>
            <w:tcW w:w="524" w:type="pct"/>
            <w:vMerge w:val="continue"/>
            <w:vAlign w:val="center"/>
          </w:tcPr>
          <w:p w14:paraId="160C1DAD">
            <w:pPr>
              <w:jc w:val="center"/>
              <w:rPr>
                <w:color w:val="auto"/>
                <w:kern w:val="0"/>
                <w:szCs w:val="21"/>
              </w:rPr>
            </w:pPr>
          </w:p>
        </w:tc>
        <w:tc>
          <w:tcPr>
            <w:tcW w:w="836" w:type="pct"/>
            <w:vAlign w:val="center"/>
          </w:tcPr>
          <w:p w14:paraId="1D311D35">
            <w:pPr>
              <w:jc w:val="center"/>
              <w:rPr>
                <w:color w:val="auto"/>
                <w:szCs w:val="21"/>
              </w:rPr>
            </w:pPr>
            <w:r>
              <w:rPr>
                <w:color w:val="auto"/>
                <w:szCs w:val="21"/>
              </w:rPr>
              <w:t>1000L/a</w:t>
            </w:r>
          </w:p>
        </w:tc>
        <w:tc>
          <w:tcPr>
            <w:tcW w:w="2379" w:type="pct"/>
            <w:gridSpan w:val="2"/>
            <w:vMerge w:val="continue"/>
            <w:vAlign w:val="center"/>
          </w:tcPr>
          <w:p w14:paraId="595E7888">
            <w:pPr>
              <w:jc w:val="center"/>
              <w:rPr>
                <w:bCs/>
                <w:color w:val="auto"/>
                <w:szCs w:val="21"/>
              </w:rPr>
            </w:pPr>
          </w:p>
        </w:tc>
      </w:tr>
      <w:tr w14:paraId="1B61ED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3190B4CC">
            <w:pPr>
              <w:jc w:val="center"/>
              <w:rPr>
                <w:color w:val="auto"/>
                <w:szCs w:val="21"/>
              </w:rPr>
            </w:pPr>
            <w:r>
              <w:rPr>
                <w:color w:val="auto"/>
                <w:szCs w:val="21"/>
              </w:rPr>
              <w:t>4</w:t>
            </w:r>
          </w:p>
        </w:tc>
        <w:tc>
          <w:tcPr>
            <w:tcW w:w="744" w:type="pct"/>
            <w:vAlign w:val="center"/>
          </w:tcPr>
          <w:p w14:paraId="2D116ED8">
            <w:pPr>
              <w:jc w:val="center"/>
              <w:rPr>
                <w:color w:val="auto"/>
                <w:szCs w:val="21"/>
              </w:rPr>
            </w:pPr>
            <w:r>
              <w:rPr>
                <w:color w:val="auto"/>
                <w:szCs w:val="21"/>
              </w:rPr>
              <w:t>除臭剂</w:t>
            </w:r>
          </w:p>
        </w:tc>
        <w:tc>
          <w:tcPr>
            <w:tcW w:w="524" w:type="pct"/>
            <w:vAlign w:val="center"/>
          </w:tcPr>
          <w:p w14:paraId="5E4207D7">
            <w:pPr>
              <w:jc w:val="center"/>
              <w:rPr>
                <w:color w:val="auto"/>
                <w:szCs w:val="21"/>
              </w:rPr>
            </w:pPr>
            <w:r>
              <w:rPr>
                <w:color w:val="auto"/>
                <w:szCs w:val="21"/>
              </w:rPr>
              <w:t>除臭</w:t>
            </w:r>
          </w:p>
        </w:tc>
        <w:tc>
          <w:tcPr>
            <w:tcW w:w="836" w:type="pct"/>
            <w:vAlign w:val="center"/>
          </w:tcPr>
          <w:p w14:paraId="5AC84043">
            <w:pPr>
              <w:jc w:val="center"/>
              <w:rPr>
                <w:color w:val="auto"/>
                <w:szCs w:val="21"/>
              </w:rPr>
            </w:pPr>
            <w:r>
              <w:rPr>
                <w:rFonts w:hint="eastAsia"/>
                <w:color w:val="auto"/>
                <w:szCs w:val="21"/>
              </w:rPr>
              <w:t>0.973</w:t>
            </w:r>
            <w:r>
              <w:rPr>
                <w:color w:val="auto"/>
                <w:szCs w:val="21"/>
              </w:rPr>
              <w:t>t/a</w:t>
            </w:r>
          </w:p>
        </w:tc>
        <w:tc>
          <w:tcPr>
            <w:tcW w:w="2379" w:type="pct"/>
            <w:gridSpan w:val="2"/>
            <w:vAlign w:val="center"/>
          </w:tcPr>
          <w:p w14:paraId="29351A90">
            <w:pPr>
              <w:jc w:val="center"/>
              <w:rPr>
                <w:color w:val="auto"/>
                <w:szCs w:val="21"/>
              </w:rPr>
            </w:pPr>
            <w:r>
              <w:rPr>
                <w:color w:val="auto"/>
                <w:szCs w:val="21"/>
              </w:rPr>
              <w:t>外购，用于鸡</w:t>
            </w:r>
            <w:r>
              <w:rPr>
                <w:rFonts w:hint="eastAsia"/>
                <w:color w:val="auto"/>
                <w:szCs w:val="21"/>
              </w:rPr>
              <w:t>舍、</w:t>
            </w:r>
            <w:r>
              <w:rPr>
                <w:rFonts w:hint="eastAsia"/>
                <w:color w:val="auto"/>
                <w:szCs w:val="21"/>
                <w:lang w:eastAsia="zh-CN"/>
              </w:rPr>
              <w:t>临时储粪场</w:t>
            </w:r>
            <w:r>
              <w:rPr>
                <w:color w:val="auto"/>
                <w:szCs w:val="21"/>
              </w:rPr>
              <w:t>除臭</w:t>
            </w:r>
            <w:r>
              <w:rPr>
                <w:rFonts w:hint="eastAsia"/>
                <w:color w:val="auto"/>
                <w:szCs w:val="21"/>
              </w:rPr>
              <w:t>，用水稀释，每三天配比一次，场内最大贮存量为0.08t，约为1个月的用量</w:t>
            </w:r>
          </w:p>
        </w:tc>
      </w:tr>
      <w:tr w14:paraId="18A3466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3A7DDFE2">
            <w:pPr>
              <w:jc w:val="center"/>
              <w:rPr>
                <w:color w:val="auto"/>
                <w:szCs w:val="21"/>
              </w:rPr>
            </w:pPr>
            <w:r>
              <w:rPr>
                <w:color w:val="auto"/>
                <w:szCs w:val="21"/>
              </w:rPr>
              <w:t>5</w:t>
            </w:r>
          </w:p>
        </w:tc>
        <w:tc>
          <w:tcPr>
            <w:tcW w:w="744" w:type="pct"/>
            <w:vAlign w:val="center"/>
          </w:tcPr>
          <w:p w14:paraId="23BE7F81">
            <w:pPr>
              <w:jc w:val="center"/>
              <w:rPr>
                <w:bCs/>
                <w:color w:val="auto"/>
                <w:szCs w:val="21"/>
              </w:rPr>
            </w:pPr>
            <w:r>
              <w:rPr>
                <w:bCs/>
                <w:color w:val="auto"/>
                <w:szCs w:val="21"/>
              </w:rPr>
              <w:t>饲料</w:t>
            </w:r>
          </w:p>
        </w:tc>
        <w:tc>
          <w:tcPr>
            <w:tcW w:w="524" w:type="pct"/>
            <w:vAlign w:val="center"/>
          </w:tcPr>
          <w:p w14:paraId="35B3C02F">
            <w:pPr>
              <w:jc w:val="center"/>
              <w:rPr>
                <w:color w:val="auto"/>
                <w:szCs w:val="21"/>
              </w:rPr>
            </w:pPr>
            <w:r>
              <w:rPr>
                <w:color w:val="auto"/>
                <w:szCs w:val="21"/>
              </w:rPr>
              <w:t>喂养</w:t>
            </w:r>
          </w:p>
        </w:tc>
        <w:tc>
          <w:tcPr>
            <w:tcW w:w="836" w:type="pct"/>
            <w:vAlign w:val="center"/>
          </w:tcPr>
          <w:p w14:paraId="1AAF8432">
            <w:pPr>
              <w:jc w:val="center"/>
              <w:rPr>
                <w:color w:val="auto"/>
                <w:szCs w:val="21"/>
              </w:rPr>
            </w:pPr>
            <w:r>
              <w:rPr>
                <w:color w:val="auto"/>
                <w:szCs w:val="21"/>
              </w:rPr>
              <w:t>4万t/a</w:t>
            </w:r>
          </w:p>
        </w:tc>
        <w:tc>
          <w:tcPr>
            <w:tcW w:w="2379" w:type="pct"/>
            <w:gridSpan w:val="2"/>
            <w:vAlign w:val="center"/>
          </w:tcPr>
          <w:p w14:paraId="14A4D598">
            <w:pPr>
              <w:jc w:val="center"/>
              <w:rPr>
                <w:rFonts w:hint="default" w:eastAsia="宋体"/>
                <w:color w:val="auto"/>
                <w:szCs w:val="21"/>
                <w:lang w:val="en-US" w:eastAsia="zh-CN"/>
              </w:rPr>
            </w:pPr>
            <w:r>
              <w:rPr>
                <w:rFonts w:hint="eastAsia"/>
                <w:color w:val="auto"/>
                <w:szCs w:val="21"/>
                <w:lang w:eastAsia="zh-CN"/>
              </w:rPr>
              <w:t>外购成品富硒颗粒饲料，颗粒粒径为</w:t>
            </w:r>
            <w:r>
              <w:rPr>
                <w:rFonts w:hint="eastAsia"/>
                <w:color w:val="auto"/>
                <w:szCs w:val="21"/>
                <w:lang w:val="en-US" w:eastAsia="zh-CN"/>
              </w:rPr>
              <w:t>0.5cm左右</w:t>
            </w:r>
            <w:r>
              <w:rPr>
                <w:rFonts w:hint="eastAsia"/>
                <w:color w:val="auto"/>
                <w:szCs w:val="21"/>
                <w:lang w:eastAsia="zh-CN"/>
              </w:rPr>
              <w:t>，由运输罐车运至厂区内，通过密闭管道卸至料塔内，料塔下方为自动称重系统</w:t>
            </w:r>
          </w:p>
        </w:tc>
      </w:tr>
      <w:tr w14:paraId="00B58ED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711BF1B3">
            <w:pPr>
              <w:jc w:val="center"/>
              <w:rPr>
                <w:color w:val="auto"/>
                <w:szCs w:val="21"/>
              </w:rPr>
            </w:pPr>
            <w:r>
              <w:rPr>
                <w:color w:val="auto"/>
                <w:szCs w:val="21"/>
              </w:rPr>
              <w:t>6</w:t>
            </w:r>
          </w:p>
        </w:tc>
        <w:tc>
          <w:tcPr>
            <w:tcW w:w="744" w:type="pct"/>
            <w:vAlign w:val="center"/>
          </w:tcPr>
          <w:p w14:paraId="0F710CA0">
            <w:pPr>
              <w:jc w:val="center"/>
              <w:rPr>
                <w:bCs/>
                <w:color w:val="auto"/>
                <w:szCs w:val="21"/>
              </w:rPr>
            </w:pPr>
            <w:r>
              <w:rPr>
                <w:bCs/>
                <w:color w:val="auto"/>
                <w:szCs w:val="21"/>
              </w:rPr>
              <w:t>新支减流</w:t>
            </w:r>
          </w:p>
        </w:tc>
        <w:tc>
          <w:tcPr>
            <w:tcW w:w="524" w:type="pct"/>
            <w:vMerge w:val="restart"/>
            <w:vAlign w:val="center"/>
          </w:tcPr>
          <w:p w14:paraId="7824F82E">
            <w:pPr>
              <w:jc w:val="center"/>
              <w:rPr>
                <w:color w:val="auto"/>
                <w:szCs w:val="21"/>
              </w:rPr>
            </w:pPr>
            <w:r>
              <w:rPr>
                <w:color w:val="auto"/>
                <w:szCs w:val="21"/>
              </w:rPr>
              <w:t>防疫</w:t>
            </w:r>
          </w:p>
        </w:tc>
        <w:tc>
          <w:tcPr>
            <w:tcW w:w="836" w:type="pct"/>
            <w:vAlign w:val="center"/>
          </w:tcPr>
          <w:p w14:paraId="7B91040B">
            <w:pPr>
              <w:jc w:val="center"/>
              <w:rPr>
                <w:color w:val="auto"/>
                <w:szCs w:val="21"/>
              </w:rPr>
            </w:pPr>
            <w:r>
              <w:rPr>
                <w:color w:val="auto"/>
                <w:szCs w:val="21"/>
              </w:rPr>
              <w:t>2000瓶/年</w:t>
            </w:r>
          </w:p>
        </w:tc>
        <w:tc>
          <w:tcPr>
            <w:tcW w:w="2379" w:type="pct"/>
            <w:gridSpan w:val="2"/>
            <w:vAlign w:val="center"/>
          </w:tcPr>
          <w:p w14:paraId="6B396D95">
            <w:pPr>
              <w:jc w:val="center"/>
              <w:rPr>
                <w:color w:val="auto"/>
                <w:szCs w:val="21"/>
              </w:rPr>
            </w:pPr>
            <w:r>
              <w:rPr>
                <w:color w:val="auto"/>
                <w:szCs w:val="21"/>
              </w:rPr>
              <w:t>随用随买，临时存储在</w:t>
            </w:r>
            <w:r>
              <w:rPr>
                <w:rFonts w:hint="eastAsia"/>
                <w:color w:val="auto"/>
                <w:szCs w:val="21"/>
              </w:rPr>
              <w:t>办公室</w:t>
            </w:r>
            <w:r>
              <w:rPr>
                <w:color w:val="auto"/>
                <w:szCs w:val="21"/>
              </w:rPr>
              <w:t>内防疫药品储存室，250ml/瓶</w:t>
            </w:r>
          </w:p>
        </w:tc>
      </w:tr>
      <w:tr w14:paraId="75FC05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10E661A4">
            <w:pPr>
              <w:jc w:val="center"/>
              <w:rPr>
                <w:color w:val="auto"/>
                <w:szCs w:val="21"/>
              </w:rPr>
            </w:pPr>
            <w:r>
              <w:rPr>
                <w:color w:val="auto"/>
                <w:szCs w:val="21"/>
              </w:rPr>
              <w:t>7</w:t>
            </w:r>
          </w:p>
        </w:tc>
        <w:tc>
          <w:tcPr>
            <w:tcW w:w="744" w:type="pct"/>
            <w:vAlign w:val="center"/>
          </w:tcPr>
          <w:p w14:paraId="20C26E9A">
            <w:pPr>
              <w:jc w:val="center"/>
              <w:rPr>
                <w:bCs/>
                <w:color w:val="auto"/>
                <w:szCs w:val="21"/>
              </w:rPr>
            </w:pPr>
            <w:r>
              <w:rPr>
                <w:bCs/>
                <w:color w:val="auto"/>
                <w:szCs w:val="21"/>
              </w:rPr>
              <w:t>H5+H7</w:t>
            </w:r>
          </w:p>
        </w:tc>
        <w:tc>
          <w:tcPr>
            <w:tcW w:w="524" w:type="pct"/>
            <w:vMerge w:val="continue"/>
            <w:vAlign w:val="center"/>
          </w:tcPr>
          <w:p w14:paraId="7FA700D2">
            <w:pPr>
              <w:jc w:val="center"/>
              <w:rPr>
                <w:color w:val="auto"/>
                <w:szCs w:val="21"/>
              </w:rPr>
            </w:pPr>
          </w:p>
        </w:tc>
        <w:tc>
          <w:tcPr>
            <w:tcW w:w="836" w:type="pct"/>
            <w:vAlign w:val="center"/>
          </w:tcPr>
          <w:p w14:paraId="2D2B5ED2">
            <w:pPr>
              <w:jc w:val="center"/>
              <w:rPr>
                <w:color w:val="auto"/>
                <w:szCs w:val="21"/>
              </w:rPr>
            </w:pPr>
            <w:r>
              <w:rPr>
                <w:color w:val="auto"/>
                <w:szCs w:val="21"/>
              </w:rPr>
              <w:t>2400瓶/年</w:t>
            </w:r>
          </w:p>
        </w:tc>
        <w:tc>
          <w:tcPr>
            <w:tcW w:w="2379" w:type="pct"/>
            <w:gridSpan w:val="2"/>
            <w:vAlign w:val="center"/>
          </w:tcPr>
          <w:p w14:paraId="6E5CB608">
            <w:pPr>
              <w:jc w:val="center"/>
              <w:rPr>
                <w:color w:val="auto"/>
                <w:szCs w:val="21"/>
              </w:rPr>
            </w:pPr>
            <w:r>
              <w:rPr>
                <w:color w:val="auto"/>
                <w:szCs w:val="21"/>
              </w:rPr>
              <w:t>随用随买，临时存储在</w:t>
            </w:r>
            <w:r>
              <w:rPr>
                <w:rFonts w:hint="eastAsia"/>
                <w:color w:val="auto"/>
                <w:szCs w:val="21"/>
              </w:rPr>
              <w:t>办公室</w:t>
            </w:r>
            <w:r>
              <w:rPr>
                <w:color w:val="auto"/>
                <w:szCs w:val="21"/>
              </w:rPr>
              <w:t>内防疫药品储存室，500ml/瓶</w:t>
            </w:r>
          </w:p>
        </w:tc>
      </w:tr>
      <w:tr w14:paraId="56775C8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2CEF0AFC">
            <w:pPr>
              <w:jc w:val="center"/>
              <w:rPr>
                <w:color w:val="auto"/>
                <w:szCs w:val="21"/>
              </w:rPr>
            </w:pPr>
            <w:r>
              <w:rPr>
                <w:color w:val="auto"/>
                <w:szCs w:val="21"/>
              </w:rPr>
              <w:t>8</w:t>
            </w:r>
          </w:p>
        </w:tc>
        <w:tc>
          <w:tcPr>
            <w:tcW w:w="744" w:type="pct"/>
            <w:vAlign w:val="center"/>
          </w:tcPr>
          <w:p w14:paraId="4341F682">
            <w:pPr>
              <w:jc w:val="center"/>
              <w:rPr>
                <w:bCs/>
                <w:color w:val="auto"/>
                <w:szCs w:val="21"/>
              </w:rPr>
            </w:pPr>
            <w:r>
              <w:rPr>
                <w:bCs/>
                <w:color w:val="auto"/>
                <w:szCs w:val="21"/>
              </w:rPr>
              <w:t>新流腺</w:t>
            </w:r>
          </w:p>
        </w:tc>
        <w:tc>
          <w:tcPr>
            <w:tcW w:w="524" w:type="pct"/>
            <w:vMerge w:val="continue"/>
            <w:vAlign w:val="center"/>
          </w:tcPr>
          <w:p w14:paraId="3BC48F74">
            <w:pPr>
              <w:jc w:val="center"/>
              <w:rPr>
                <w:color w:val="auto"/>
                <w:szCs w:val="21"/>
              </w:rPr>
            </w:pPr>
          </w:p>
        </w:tc>
        <w:tc>
          <w:tcPr>
            <w:tcW w:w="836" w:type="pct"/>
            <w:vAlign w:val="center"/>
          </w:tcPr>
          <w:p w14:paraId="6A505C91">
            <w:pPr>
              <w:jc w:val="center"/>
              <w:rPr>
                <w:color w:val="auto"/>
                <w:szCs w:val="21"/>
              </w:rPr>
            </w:pPr>
            <w:r>
              <w:rPr>
                <w:color w:val="auto"/>
                <w:szCs w:val="21"/>
              </w:rPr>
              <w:t>2000瓶/年</w:t>
            </w:r>
          </w:p>
        </w:tc>
        <w:tc>
          <w:tcPr>
            <w:tcW w:w="2379" w:type="pct"/>
            <w:gridSpan w:val="2"/>
            <w:vAlign w:val="center"/>
          </w:tcPr>
          <w:p w14:paraId="54107D54">
            <w:pPr>
              <w:jc w:val="center"/>
              <w:rPr>
                <w:color w:val="auto"/>
                <w:szCs w:val="21"/>
              </w:rPr>
            </w:pPr>
            <w:r>
              <w:rPr>
                <w:color w:val="auto"/>
                <w:szCs w:val="21"/>
              </w:rPr>
              <w:t>随用随买，临时存储在</w:t>
            </w:r>
            <w:r>
              <w:rPr>
                <w:rFonts w:hint="eastAsia"/>
                <w:color w:val="auto"/>
                <w:szCs w:val="21"/>
              </w:rPr>
              <w:t>办公室</w:t>
            </w:r>
            <w:r>
              <w:rPr>
                <w:color w:val="auto"/>
                <w:szCs w:val="21"/>
              </w:rPr>
              <w:t>内防疫药品储存室，250ml/瓶</w:t>
            </w:r>
          </w:p>
        </w:tc>
      </w:tr>
      <w:tr w14:paraId="36AB03B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7A1876ED">
            <w:pPr>
              <w:jc w:val="center"/>
              <w:rPr>
                <w:color w:val="auto"/>
                <w:szCs w:val="21"/>
              </w:rPr>
            </w:pPr>
            <w:r>
              <w:rPr>
                <w:color w:val="auto"/>
                <w:szCs w:val="21"/>
              </w:rPr>
              <w:t>9</w:t>
            </w:r>
          </w:p>
        </w:tc>
        <w:tc>
          <w:tcPr>
            <w:tcW w:w="744" w:type="pct"/>
            <w:vAlign w:val="center"/>
          </w:tcPr>
          <w:p w14:paraId="67B2C8AB">
            <w:pPr>
              <w:jc w:val="center"/>
              <w:rPr>
                <w:bCs/>
                <w:color w:val="auto"/>
                <w:szCs w:val="21"/>
              </w:rPr>
            </w:pPr>
            <w:r>
              <w:rPr>
                <w:bCs/>
                <w:color w:val="auto"/>
                <w:szCs w:val="21"/>
              </w:rPr>
              <w:t>新支二联</w:t>
            </w:r>
          </w:p>
        </w:tc>
        <w:tc>
          <w:tcPr>
            <w:tcW w:w="524" w:type="pct"/>
            <w:vMerge w:val="continue"/>
            <w:vAlign w:val="center"/>
          </w:tcPr>
          <w:p w14:paraId="0F2CEC5E">
            <w:pPr>
              <w:jc w:val="center"/>
              <w:rPr>
                <w:color w:val="auto"/>
                <w:szCs w:val="21"/>
              </w:rPr>
            </w:pPr>
          </w:p>
        </w:tc>
        <w:tc>
          <w:tcPr>
            <w:tcW w:w="836" w:type="pct"/>
            <w:vAlign w:val="center"/>
          </w:tcPr>
          <w:p w14:paraId="22C4FFAB">
            <w:pPr>
              <w:jc w:val="center"/>
              <w:rPr>
                <w:color w:val="auto"/>
                <w:szCs w:val="21"/>
              </w:rPr>
            </w:pPr>
            <w:r>
              <w:rPr>
                <w:color w:val="auto"/>
                <w:szCs w:val="21"/>
              </w:rPr>
              <w:t>1000瓶/年</w:t>
            </w:r>
          </w:p>
        </w:tc>
        <w:tc>
          <w:tcPr>
            <w:tcW w:w="2379" w:type="pct"/>
            <w:gridSpan w:val="2"/>
            <w:vAlign w:val="center"/>
          </w:tcPr>
          <w:p w14:paraId="51C11DBA">
            <w:pPr>
              <w:jc w:val="center"/>
              <w:rPr>
                <w:color w:val="auto"/>
                <w:szCs w:val="21"/>
              </w:rPr>
            </w:pPr>
            <w:r>
              <w:rPr>
                <w:color w:val="auto"/>
                <w:szCs w:val="21"/>
              </w:rPr>
              <w:t>随用随买，临时存储在</w:t>
            </w:r>
            <w:r>
              <w:rPr>
                <w:rFonts w:hint="eastAsia"/>
                <w:color w:val="auto"/>
                <w:szCs w:val="21"/>
              </w:rPr>
              <w:t>办公室</w:t>
            </w:r>
            <w:r>
              <w:rPr>
                <w:color w:val="auto"/>
                <w:szCs w:val="21"/>
              </w:rPr>
              <w:t>内防疫药品储存室，</w:t>
            </w:r>
            <w:r>
              <w:rPr>
                <w:rFonts w:hint="eastAsia"/>
                <w:color w:val="auto"/>
                <w:szCs w:val="21"/>
              </w:rPr>
              <w:t>1</w:t>
            </w:r>
            <w:r>
              <w:rPr>
                <w:color w:val="auto"/>
                <w:szCs w:val="21"/>
              </w:rPr>
              <w:t>000羽/瓶</w:t>
            </w:r>
          </w:p>
        </w:tc>
      </w:tr>
      <w:tr w14:paraId="34F597D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49066DED">
            <w:pPr>
              <w:jc w:val="center"/>
              <w:rPr>
                <w:color w:val="auto"/>
                <w:szCs w:val="21"/>
              </w:rPr>
            </w:pPr>
            <w:r>
              <w:rPr>
                <w:color w:val="auto"/>
                <w:szCs w:val="21"/>
              </w:rPr>
              <w:t>10</w:t>
            </w:r>
          </w:p>
        </w:tc>
        <w:tc>
          <w:tcPr>
            <w:tcW w:w="744" w:type="pct"/>
            <w:vAlign w:val="center"/>
          </w:tcPr>
          <w:p w14:paraId="54397FD4">
            <w:pPr>
              <w:jc w:val="center"/>
              <w:rPr>
                <w:bCs/>
                <w:color w:val="auto"/>
                <w:szCs w:val="21"/>
              </w:rPr>
            </w:pPr>
            <w:r>
              <w:rPr>
                <w:bCs/>
                <w:color w:val="auto"/>
                <w:szCs w:val="21"/>
              </w:rPr>
              <w:t>新支流</w:t>
            </w:r>
          </w:p>
        </w:tc>
        <w:tc>
          <w:tcPr>
            <w:tcW w:w="524" w:type="pct"/>
            <w:vMerge w:val="continue"/>
            <w:vAlign w:val="center"/>
          </w:tcPr>
          <w:p w14:paraId="062E4D9E">
            <w:pPr>
              <w:jc w:val="center"/>
              <w:rPr>
                <w:color w:val="auto"/>
                <w:szCs w:val="21"/>
              </w:rPr>
            </w:pPr>
          </w:p>
        </w:tc>
        <w:tc>
          <w:tcPr>
            <w:tcW w:w="836" w:type="pct"/>
            <w:vAlign w:val="center"/>
          </w:tcPr>
          <w:p w14:paraId="6CA6340D">
            <w:pPr>
              <w:jc w:val="center"/>
              <w:rPr>
                <w:color w:val="auto"/>
                <w:szCs w:val="21"/>
              </w:rPr>
            </w:pPr>
            <w:r>
              <w:rPr>
                <w:color w:val="auto"/>
                <w:szCs w:val="21"/>
              </w:rPr>
              <w:t>2000瓶/年</w:t>
            </w:r>
          </w:p>
        </w:tc>
        <w:tc>
          <w:tcPr>
            <w:tcW w:w="2379" w:type="pct"/>
            <w:gridSpan w:val="2"/>
            <w:vAlign w:val="center"/>
          </w:tcPr>
          <w:p w14:paraId="2A62B411">
            <w:pPr>
              <w:jc w:val="center"/>
              <w:rPr>
                <w:color w:val="auto"/>
                <w:szCs w:val="21"/>
              </w:rPr>
            </w:pPr>
            <w:r>
              <w:rPr>
                <w:color w:val="auto"/>
                <w:szCs w:val="21"/>
              </w:rPr>
              <w:t>随用随买，临时存储在</w:t>
            </w:r>
            <w:r>
              <w:rPr>
                <w:rFonts w:hint="eastAsia"/>
                <w:color w:val="auto"/>
                <w:szCs w:val="21"/>
              </w:rPr>
              <w:t>办公室</w:t>
            </w:r>
            <w:r>
              <w:rPr>
                <w:color w:val="auto"/>
                <w:szCs w:val="21"/>
              </w:rPr>
              <w:t>内防疫药品储存室，250ml/瓶</w:t>
            </w:r>
          </w:p>
        </w:tc>
      </w:tr>
      <w:tr w14:paraId="02EBCB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6ED31633">
            <w:pPr>
              <w:jc w:val="center"/>
              <w:rPr>
                <w:color w:val="auto"/>
                <w:szCs w:val="21"/>
              </w:rPr>
            </w:pPr>
            <w:r>
              <w:rPr>
                <w:rFonts w:hint="eastAsia"/>
                <w:color w:val="auto"/>
                <w:szCs w:val="21"/>
              </w:rPr>
              <w:t>11</w:t>
            </w:r>
          </w:p>
        </w:tc>
        <w:tc>
          <w:tcPr>
            <w:tcW w:w="744" w:type="pct"/>
            <w:vAlign w:val="center"/>
          </w:tcPr>
          <w:p w14:paraId="0D1F4326">
            <w:pPr>
              <w:jc w:val="center"/>
              <w:rPr>
                <w:bCs/>
                <w:color w:val="auto"/>
                <w:szCs w:val="21"/>
              </w:rPr>
            </w:pPr>
            <w:r>
              <w:rPr>
                <w:rFonts w:hint="eastAsia"/>
                <w:bCs/>
                <w:color w:val="auto"/>
                <w:szCs w:val="21"/>
              </w:rPr>
              <w:t>新支宝</w:t>
            </w:r>
          </w:p>
        </w:tc>
        <w:tc>
          <w:tcPr>
            <w:tcW w:w="524" w:type="pct"/>
            <w:vMerge w:val="continue"/>
            <w:vAlign w:val="center"/>
          </w:tcPr>
          <w:p w14:paraId="06D0FBF1">
            <w:pPr>
              <w:jc w:val="center"/>
              <w:rPr>
                <w:color w:val="auto"/>
                <w:szCs w:val="21"/>
              </w:rPr>
            </w:pPr>
          </w:p>
        </w:tc>
        <w:tc>
          <w:tcPr>
            <w:tcW w:w="836" w:type="pct"/>
            <w:vAlign w:val="center"/>
          </w:tcPr>
          <w:p w14:paraId="2F8B316D">
            <w:pPr>
              <w:jc w:val="center"/>
              <w:rPr>
                <w:color w:val="auto"/>
                <w:szCs w:val="21"/>
              </w:rPr>
            </w:pPr>
            <w:r>
              <w:rPr>
                <w:color w:val="auto"/>
                <w:szCs w:val="21"/>
              </w:rPr>
              <w:t>1000瓶/年</w:t>
            </w:r>
          </w:p>
        </w:tc>
        <w:tc>
          <w:tcPr>
            <w:tcW w:w="2379" w:type="pct"/>
            <w:gridSpan w:val="2"/>
            <w:vAlign w:val="center"/>
          </w:tcPr>
          <w:p w14:paraId="3751AB33">
            <w:pPr>
              <w:jc w:val="center"/>
              <w:rPr>
                <w:color w:val="auto"/>
                <w:szCs w:val="21"/>
              </w:rPr>
            </w:pPr>
            <w:r>
              <w:rPr>
                <w:color w:val="auto"/>
                <w:szCs w:val="21"/>
              </w:rPr>
              <w:t>随用随买，临时存储在</w:t>
            </w:r>
            <w:r>
              <w:rPr>
                <w:rFonts w:hint="eastAsia"/>
                <w:color w:val="auto"/>
                <w:szCs w:val="21"/>
              </w:rPr>
              <w:t>办公室</w:t>
            </w:r>
            <w:r>
              <w:rPr>
                <w:color w:val="auto"/>
                <w:szCs w:val="21"/>
              </w:rPr>
              <w:t>内防疫药品储存室，</w:t>
            </w:r>
            <w:r>
              <w:rPr>
                <w:rFonts w:hint="eastAsia"/>
                <w:color w:val="auto"/>
                <w:szCs w:val="21"/>
              </w:rPr>
              <w:t>1</w:t>
            </w:r>
            <w:r>
              <w:rPr>
                <w:color w:val="auto"/>
                <w:szCs w:val="21"/>
              </w:rPr>
              <w:t>000羽/瓶</w:t>
            </w:r>
          </w:p>
        </w:tc>
      </w:tr>
      <w:tr w14:paraId="30C5FF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37FD59BC">
            <w:pPr>
              <w:jc w:val="center"/>
              <w:rPr>
                <w:color w:val="auto"/>
                <w:szCs w:val="21"/>
              </w:rPr>
            </w:pPr>
            <w:r>
              <w:rPr>
                <w:rFonts w:hint="eastAsia"/>
                <w:color w:val="auto"/>
                <w:szCs w:val="21"/>
              </w:rPr>
              <w:t>12</w:t>
            </w:r>
          </w:p>
        </w:tc>
        <w:tc>
          <w:tcPr>
            <w:tcW w:w="744" w:type="pct"/>
            <w:vAlign w:val="center"/>
          </w:tcPr>
          <w:p w14:paraId="360CE48B">
            <w:pPr>
              <w:jc w:val="center"/>
              <w:rPr>
                <w:bCs/>
                <w:color w:val="auto"/>
                <w:szCs w:val="21"/>
              </w:rPr>
            </w:pPr>
            <w:r>
              <w:rPr>
                <w:rFonts w:hint="eastAsia"/>
                <w:bCs/>
                <w:color w:val="auto"/>
                <w:szCs w:val="21"/>
              </w:rPr>
              <w:t>猴痘</w:t>
            </w:r>
          </w:p>
        </w:tc>
        <w:tc>
          <w:tcPr>
            <w:tcW w:w="524" w:type="pct"/>
            <w:vMerge w:val="continue"/>
            <w:vAlign w:val="center"/>
          </w:tcPr>
          <w:p w14:paraId="041A3DF8">
            <w:pPr>
              <w:jc w:val="center"/>
              <w:rPr>
                <w:color w:val="auto"/>
                <w:szCs w:val="21"/>
              </w:rPr>
            </w:pPr>
          </w:p>
        </w:tc>
        <w:tc>
          <w:tcPr>
            <w:tcW w:w="836" w:type="pct"/>
            <w:vAlign w:val="center"/>
          </w:tcPr>
          <w:p w14:paraId="7A35EA90">
            <w:pPr>
              <w:jc w:val="center"/>
              <w:rPr>
                <w:color w:val="auto"/>
                <w:szCs w:val="21"/>
              </w:rPr>
            </w:pPr>
            <w:r>
              <w:rPr>
                <w:color w:val="auto"/>
                <w:szCs w:val="21"/>
              </w:rPr>
              <w:t>1000瓶/年</w:t>
            </w:r>
          </w:p>
        </w:tc>
        <w:tc>
          <w:tcPr>
            <w:tcW w:w="2379" w:type="pct"/>
            <w:gridSpan w:val="2"/>
            <w:vAlign w:val="center"/>
          </w:tcPr>
          <w:p w14:paraId="6D15F7FA">
            <w:pPr>
              <w:jc w:val="center"/>
              <w:rPr>
                <w:color w:val="auto"/>
                <w:szCs w:val="21"/>
              </w:rPr>
            </w:pPr>
            <w:r>
              <w:rPr>
                <w:color w:val="auto"/>
                <w:szCs w:val="21"/>
              </w:rPr>
              <w:t>随用随买，临时存储在</w:t>
            </w:r>
            <w:r>
              <w:rPr>
                <w:rFonts w:hint="eastAsia"/>
                <w:color w:val="auto"/>
                <w:szCs w:val="21"/>
              </w:rPr>
              <w:t>办公室</w:t>
            </w:r>
            <w:r>
              <w:rPr>
                <w:color w:val="auto"/>
                <w:szCs w:val="21"/>
              </w:rPr>
              <w:t>内防疫药品储存室，</w:t>
            </w:r>
            <w:r>
              <w:rPr>
                <w:rFonts w:hint="eastAsia"/>
                <w:color w:val="auto"/>
                <w:szCs w:val="21"/>
              </w:rPr>
              <w:t>1</w:t>
            </w:r>
            <w:r>
              <w:rPr>
                <w:color w:val="auto"/>
                <w:szCs w:val="21"/>
              </w:rPr>
              <w:t>000羽/瓶</w:t>
            </w:r>
          </w:p>
        </w:tc>
      </w:tr>
      <w:tr w14:paraId="317E2CF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374BE6D5">
            <w:pPr>
              <w:jc w:val="center"/>
              <w:rPr>
                <w:color w:val="auto"/>
                <w:szCs w:val="21"/>
              </w:rPr>
            </w:pPr>
            <w:r>
              <w:rPr>
                <w:rFonts w:hint="eastAsia"/>
                <w:color w:val="auto"/>
                <w:szCs w:val="21"/>
              </w:rPr>
              <w:t>13</w:t>
            </w:r>
          </w:p>
        </w:tc>
        <w:tc>
          <w:tcPr>
            <w:tcW w:w="744" w:type="pct"/>
            <w:vAlign w:val="center"/>
          </w:tcPr>
          <w:p w14:paraId="5F21EFAC">
            <w:pPr>
              <w:jc w:val="center"/>
              <w:rPr>
                <w:bCs/>
                <w:color w:val="auto"/>
                <w:szCs w:val="21"/>
              </w:rPr>
            </w:pPr>
            <w:r>
              <w:rPr>
                <w:rFonts w:hint="eastAsia"/>
                <w:bCs/>
                <w:color w:val="auto"/>
                <w:szCs w:val="21"/>
              </w:rPr>
              <w:t>传喉</w:t>
            </w:r>
          </w:p>
        </w:tc>
        <w:tc>
          <w:tcPr>
            <w:tcW w:w="524" w:type="pct"/>
            <w:vMerge w:val="continue"/>
            <w:vAlign w:val="center"/>
          </w:tcPr>
          <w:p w14:paraId="01A96D47">
            <w:pPr>
              <w:jc w:val="center"/>
              <w:rPr>
                <w:color w:val="auto"/>
                <w:szCs w:val="21"/>
              </w:rPr>
            </w:pPr>
          </w:p>
        </w:tc>
        <w:tc>
          <w:tcPr>
            <w:tcW w:w="836" w:type="pct"/>
            <w:vAlign w:val="center"/>
          </w:tcPr>
          <w:p w14:paraId="70E9853E">
            <w:pPr>
              <w:jc w:val="center"/>
              <w:rPr>
                <w:color w:val="auto"/>
                <w:szCs w:val="21"/>
              </w:rPr>
            </w:pPr>
            <w:r>
              <w:rPr>
                <w:color w:val="auto"/>
                <w:szCs w:val="21"/>
              </w:rPr>
              <w:t>1000瓶/年</w:t>
            </w:r>
          </w:p>
        </w:tc>
        <w:tc>
          <w:tcPr>
            <w:tcW w:w="2379" w:type="pct"/>
            <w:gridSpan w:val="2"/>
            <w:vAlign w:val="center"/>
          </w:tcPr>
          <w:p w14:paraId="1DA1434C">
            <w:pPr>
              <w:jc w:val="center"/>
              <w:rPr>
                <w:color w:val="auto"/>
                <w:szCs w:val="21"/>
              </w:rPr>
            </w:pPr>
            <w:r>
              <w:rPr>
                <w:color w:val="auto"/>
                <w:szCs w:val="21"/>
              </w:rPr>
              <w:t>随用随买，临时存储在</w:t>
            </w:r>
            <w:r>
              <w:rPr>
                <w:rFonts w:hint="eastAsia"/>
                <w:color w:val="auto"/>
                <w:szCs w:val="21"/>
              </w:rPr>
              <w:t>办公室</w:t>
            </w:r>
            <w:r>
              <w:rPr>
                <w:color w:val="auto"/>
                <w:szCs w:val="21"/>
              </w:rPr>
              <w:t>内防疫药品储存室，</w:t>
            </w:r>
            <w:r>
              <w:rPr>
                <w:rFonts w:hint="eastAsia"/>
                <w:color w:val="auto"/>
                <w:szCs w:val="21"/>
              </w:rPr>
              <w:t>1</w:t>
            </w:r>
            <w:r>
              <w:rPr>
                <w:color w:val="auto"/>
                <w:szCs w:val="21"/>
              </w:rPr>
              <w:t>000羽/瓶</w:t>
            </w:r>
          </w:p>
        </w:tc>
      </w:tr>
      <w:tr w14:paraId="7D8E177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7E14D8FB">
            <w:pPr>
              <w:jc w:val="center"/>
              <w:rPr>
                <w:color w:val="auto"/>
                <w:szCs w:val="21"/>
              </w:rPr>
            </w:pPr>
            <w:r>
              <w:rPr>
                <w:rFonts w:hint="eastAsia"/>
                <w:color w:val="auto"/>
                <w:szCs w:val="21"/>
              </w:rPr>
              <w:t>14</w:t>
            </w:r>
          </w:p>
        </w:tc>
        <w:tc>
          <w:tcPr>
            <w:tcW w:w="744" w:type="pct"/>
            <w:vAlign w:val="center"/>
          </w:tcPr>
          <w:p w14:paraId="43AB3BD8">
            <w:pPr>
              <w:jc w:val="center"/>
              <w:rPr>
                <w:bCs/>
                <w:color w:val="auto"/>
                <w:szCs w:val="21"/>
              </w:rPr>
            </w:pPr>
            <w:r>
              <w:rPr>
                <w:rFonts w:hint="eastAsia"/>
                <w:bCs/>
                <w:color w:val="auto"/>
                <w:szCs w:val="21"/>
              </w:rPr>
              <w:t>IV或C30</w:t>
            </w:r>
          </w:p>
        </w:tc>
        <w:tc>
          <w:tcPr>
            <w:tcW w:w="524" w:type="pct"/>
            <w:vMerge w:val="continue"/>
            <w:vAlign w:val="center"/>
          </w:tcPr>
          <w:p w14:paraId="29F1B955">
            <w:pPr>
              <w:jc w:val="center"/>
              <w:rPr>
                <w:color w:val="auto"/>
                <w:szCs w:val="21"/>
              </w:rPr>
            </w:pPr>
          </w:p>
        </w:tc>
        <w:tc>
          <w:tcPr>
            <w:tcW w:w="836" w:type="pct"/>
            <w:vAlign w:val="center"/>
          </w:tcPr>
          <w:p w14:paraId="311EC4D2">
            <w:pPr>
              <w:jc w:val="center"/>
              <w:rPr>
                <w:color w:val="auto"/>
                <w:szCs w:val="21"/>
              </w:rPr>
            </w:pPr>
            <w:r>
              <w:rPr>
                <w:color w:val="auto"/>
                <w:szCs w:val="21"/>
              </w:rPr>
              <w:t>1000瓶/年</w:t>
            </w:r>
          </w:p>
        </w:tc>
        <w:tc>
          <w:tcPr>
            <w:tcW w:w="2379" w:type="pct"/>
            <w:gridSpan w:val="2"/>
            <w:vAlign w:val="center"/>
          </w:tcPr>
          <w:p w14:paraId="72088B69">
            <w:pPr>
              <w:jc w:val="center"/>
              <w:rPr>
                <w:color w:val="auto"/>
                <w:szCs w:val="21"/>
              </w:rPr>
            </w:pPr>
            <w:r>
              <w:rPr>
                <w:color w:val="auto"/>
                <w:szCs w:val="21"/>
              </w:rPr>
              <w:t>随用随买，临时存储在</w:t>
            </w:r>
            <w:r>
              <w:rPr>
                <w:rFonts w:hint="eastAsia"/>
                <w:color w:val="auto"/>
                <w:szCs w:val="21"/>
              </w:rPr>
              <w:t>办公室</w:t>
            </w:r>
            <w:r>
              <w:rPr>
                <w:color w:val="auto"/>
                <w:szCs w:val="21"/>
              </w:rPr>
              <w:t>内防疫药品储存室，</w:t>
            </w:r>
            <w:r>
              <w:rPr>
                <w:rFonts w:hint="eastAsia"/>
                <w:color w:val="auto"/>
                <w:szCs w:val="21"/>
              </w:rPr>
              <w:t>1</w:t>
            </w:r>
            <w:r>
              <w:rPr>
                <w:color w:val="auto"/>
                <w:szCs w:val="21"/>
              </w:rPr>
              <w:t>000羽/瓶</w:t>
            </w:r>
          </w:p>
        </w:tc>
      </w:tr>
      <w:tr w14:paraId="7FA0D0F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03A1888F">
            <w:pPr>
              <w:jc w:val="center"/>
              <w:rPr>
                <w:color w:val="auto"/>
                <w:szCs w:val="21"/>
              </w:rPr>
            </w:pPr>
            <w:r>
              <w:rPr>
                <w:rFonts w:hint="eastAsia"/>
                <w:color w:val="auto"/>
                <w:szCs w:val="21"/>
              </w:rPr>
              <w:t>15</w:t>
            </w:r>
          </w:p>
        </w:tc>
        <w:tc>
          <w:tcPr>
            <w:tcW w:w="744" w:type="pct"/>
            <w:vAlign w:val="center"/>
          </w:tcPr>
          <w:p w14:paraId="4F62CD3D">
            <w:pPr>
              <w:jc w:val="center"/>
              <w:rPr>
                <w:bCs/>
                <w:color w:val="auto"/>
                <w:szCs w:val="21"/>
              </w:rPr>
            </w:pPr>
            <w:r>
              <w:rPr>
                <w:rFonts w:hint="eastAsia"/>
                <w:bCs/>
                <w:color w:val="auto"/>
                <w:szCs w:val="21"/>
              </w:rPr>
              <w:t>蛋箱</w:t>
            </w:r>
          </w:p>
        </w:tc>
        <w:tc>
          <w:tcPr>
            <w:tcW w:w="524" w:type="pct"/>
            <w:vAlign w:val="center"/>
          </w:tcPr>
          <w:p w14:paraId="33661394">
            <w:pPr>
              <w:jc w:val="center"/>
              <w:rPr>
                <w:color w:val="auto"/>
                <w:szCs w:val="21"/>
              </w:rPr>
            </w:pPr>
            <w:r>
              <w:rPr>
                <w:rFonts w:hint="eastAsia"/>
                <w:color w:val="auto"/>
                <w:szCs w:val="21"/>
              </w:rPr>
              <w:t>鸡蛋包装</w:t>
            </w:r>
          </w:p>
        </w:tc>
        <w:tc>
          <w:tcPr>
            <w:tcW w:w="836" w:type="pct"/>
            <w:vAlign w:val="center"/>
          </w:tcPr>
          <w:p w14:paraId="17343DBA">
            <w:pPr>
              <w:jc w:val="center"/>
              <w:rPr>
                <w:color w:val="auto"/>
                <w:szCs w:val="21"/>
              </w:rPr>
            </w:pPr>
            <w:r>
              <w:rPr>
                <w:rFonts w:hint="eastAsia"/>
                <w:color w:val="auto"/>
                <w:szCs w:val="21"/>
              </w:rPr>
              <w:t>50万个</w:t>
            </w:r>
          </w:p>
        </w:tc>
        <w:tc>
          <w:tcPr>
            <w:tcW w:w="2379" w:type="pct"/>
            <w:gridSpan w:val="2"/>
            <w:vAlign w:val="center"/>
          </w:tcPr>
          <w:p w14:paraId="445E19B5">
            <w:pPr>
              <w:jc w:val="center"/>
              <w:rPr>
                <w:color w:val="auto"/>
                <w:szCs w:val="21"/>
              </w:rPr>
            </w:pPr>
            <w:r>
              <w:rPr>
                <w:rFonts w:hint="eastAsia"/>
                <w:color w:val="auto"/>
                <w:szCs w:val="21"/>
              </w:rPr>
              <w:t>外购</w:t>
            </w:r>
          </w:p>
        </w:tc>
      </w:tr>
      <w:tr w14:paraId="5980224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vAlign w:val="center"/>
          </w:tcPr>
          <w:p w14:paraId="60FA051E">
            <w:pPr>
              <w:jc w:val="center"/>
              <w:rPr>
                <w:bCs/>
                <w:color w:val="auto"/>
                <w:szCs w:val="21"/>
              </w:rPr>
            </w:pPr>
            <w:r>
              <w:rPr>
                <w:bCs/>
                <w:color w:val="auto"/>
                <w:szCs w:val="21"/>
              </w:rPr>
              <w:t>能源消耗</w:t>
            </w:r>
          </w:p>
        </w:tc>
      </w:tr>
      <w:tr w14:paraId="2472CCE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5DA9A5EB">
            <w:pPr>
              <w:jc w:val="center"/>
              <w:rPr>
                <w:color w:val="auto"/>
                <w:szCs w:val="21"/>
              </w:rPr>
            </w:pPr>
            <w:r>
              <w:rPr>
                <w:color w:val="auto"/>
                <w:szCs w:val="21"/>
              </w:rPr>
              <w:t>1</w:t>
            </w:r>
          </w:p>
        </w:tc>
        <w:tc>
          <w:tcPr>
            <w:tcW w:w="744" w:type="pct"/>
            <w:vAlign w:val="center"/>
          </w:tcPr>
          <w:p w14:paraId="765E2ADF">
            <w:pPr>
              <w:jc w:val="center"/>
              <w:rPr>
                <w:color w:val="auto"/>
                <w:szCs w:val="21"/>
              </w:rPr>
            </w:pPr>
            <w:r>
              <w:rPr>
                <w:color w:val="auto"/>
                <w:szCs w:val="21"/>
              </w:rPr>
              <w:t>电</w:t>
            </w:r>
          </w:p>
        </w:tc>
        <w:tc>
          <w:tcPr>
            <w:tcW w:w="524" w:type="pct"/>
            <w:vAlign w:val="center"/>
          </w:tcPr>
          <w:p w14:paraId="1F639666">
            <w:pPr>
              <w:jc w:val="center"/>
              <w:rPr>
                <w:color w:val="auto"/>
                <w:szCs w:val="21"/>
              </w:rPr>
            </w:pPr>
            <w:r>
              <w:rPr>
                <w:color w:val="auto"/>
                <w:szCs w:val="21"/>
              </w:rPr>
              <w:t>供电</w:t>
            </w:r>
          </w:p>
        </w:tc>
        <w:tc>
          <w:tcPr>
            <w:tcW w:w="836" w:type="pct"/>
            <w:vAlign w:val="center"/>
          </w:tcPr>
          <w:p w14:paraId="12F6F99C">
            <w:pPr>
              <w:jc w:val="center"/>
              <w:rPr>
                <w:color w:val="auto"/>
                <w:szCs w:val="21"/>
              </w:rPr>
            </w:pPr>
            <w:r>
              <w:rPr>
                <w:color w:val="auto"/>
                <w:szCs w:val="21"/>
              </w:rPr>
              <w:t>100万kWh</w:t>
            </w:r>
          </w:p>
        </w:tc>
        <w:tc>
          <w:tcPr>
            <w:tcW w:w="2379" w:type="pct"/>
            <w:gridSpan w:val="2"/>
            <w:vAlign w:val="center"/>
          </w:tcPr>
          <w:p w14:paraId="67CFACBE">
            <w:pPr>
              <w:jc w:val="center"/>
              <w:rPr>
                <w:color w:val="auto"/>
                <w:szCs w:val="21"/>
              </w:rPr>
            </w:pPr>
            <w:r>
              <w:rPr>
                <w:rFonts w:hint="eastAsia"/>
                <w:color w:val="auto"/>
                <w:szCs w:val="21"/>
                <w:lang w:eastAsia="zh-CN"/>
              </w:rPr>
              <w:t>西官镇</w:t>
            </w:r>
            <w:r>
              <w:rPr>
                <w:color w:val="auto"/>
                <w:szCs w:val="21"/>
              </w:rPr>
              <w:t>供电所</w:t>
            </w:r>
          </w:p>
        </w:tc>
      </w:tr>
      <w:tr w14:paraId="78FDECB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2A081B21">
            <w:pPr>
              <w:jc w:val="center"/>
              <w:rPr>
                <w:color w:val="auto"/>
                <w:szCs w:val="21"/>
              </w:rPr>
            </w:pPr>
            <w:r>
              <w:rPr>
                <w:color w:val="auto"/>
                <w:szCs w:val="21"/>
              </w:rPr>
              <w:t>2</w:t>
            </w:r>
          </w:p>
        </w:tc>
        <w:tc>
          <w:tcPr>
            <w:tcW w:w="744" w:type="pct"/>
            <w:vAlign w:val="center"/>
          </w:tcPr>
          <w:p w14:paraId="501A0AE8">
            <w:pPr>
              <w:jc w:val="center"/>
              <w:rPr>
                <w:color w:val="auto"/>
                <w:szCs w:val="21"/>
              </w:rPr>
            </w:pPr>
            <w:r>
              <w:rPr>
                <w:color w:val="auto"/>
                <w:szCs w:val="21"/>
              </w:rPr>
              <w:t>水</w:t>
            </w:r>
          </w:p>
        </w:tc>
        <w:tc>
          <w:tcPr>
            <w:tcW w:w="524" w:type="pct"/>
            <w:vAlign w:val="center"/>
          </w:tcPr>
          <w:p w14:paraId="1F2E4E82">
            <w:pPr>
              <w:jc w:val="center"/>
              <w:rPr>
                <w:color w:val="auto"/>
                <w:szCs w:val="21"/>
              </w:rPr>
            </w:pPr>
            <w:r>
              <w:rPr>
                <w:color w:val="auto"/>
                <w:szCs w:val="21"/>
              </w:rPr>
              <w:t>供水</w:t>
            </w:r>
          </w:p>
        </w:tc>
        <w:tc>
          <w:tcPr>
            <w:tcW w:w="836" w:type="pct"/>
            <w:vAlign w:val="center"/>
          </w:tcPr>
          <w:p w14:paraId="50352617">
            <w:pPr>
              <w:jc w:val="center"/>
              <w:rPr>
                <w:color w:val="auto"/>
                <w:szCs w:val="21"/>
                <w:highlight w:val="none"/>
              </w:rPr>
            </w:pPr>
            <w:r>
              <w:rPr>
                <w:rFonts w:hint="eastAsia"/>
                <w:color w:val="auto"/>
                <w:szCs w:val="21"/>
                <w:highlight w:val="none"/>
                <w:lang w:val="en-US" w:eastAsia="zh-CN"/>
              </w:rPr>
              <w:fldChar w:fldCharType="begin"/>
            </w:r>
            <w:r>
              <w:rPr>
                <w:rFonts w:hint="eastAsia"/>
                <w:color w:val="auto"/>
                <w:szCs w:val="21"/>
                <w:highlight w:val="none"/>
                <w:lang w:val="en-US" w:eastAsia="zh-CN"/>
              </w:rPr>
              <w:instrText xml:space="preserve"> = sum(B2:B9) \* MERGEFORMAT </w:instrText>
            </w:r>
            <w:r>
              <w:rPr>
                <w:rFonts w:hint="eastAsia"/>
                <w:color w:val="auto"/>
                <w:szCs w:val="21"/>
                <w:highlight w:val="none"/>
                <w:lang w:val="en-US" w:eastAsia="zh-CN"/>
              </w:rPr>
              <w:fldChar w:fldCharType="separate"/>
            </w:r>
            <w:r>
              <w:rPr>
                <w:rFonts w:hint="eastAsia"/>
                <w:color w:val="auto"/>
                <w:szCs w:val="21"/>
                <w:highlight w:val="none"/>
                <w:lang w:val="en-US" w:eastAsia="zh-CN"/>
              </w:rPr>
              <w:t>740954.48</w:t>
            </w:r>
            <w:r>
              <w:rPr>
                <w:rFonts w:hint="eastAsia"/>
                <w:color w:val="auto"/>
                <w:szCs w:val="21"/>
                <w:highlight w:val="none"/>
                <w:lang w:val="en-US" w:eastAsia="zh-CN"/>
              </w:rPr>
              <w:fldChar w:fldCharType="end"/>
            </w:r>
            <w:r>
              <w:rPr>
                <w:color w:val="auto"/>
                <w:szCs w:val="21"/>
                <w:highlight w:val="none"/>
              </w:rPr>
              <w:t>t/a</w:t>
            </w:r>
          </w:p>
        </w:tc>
        <w:tc>
          <w:tcPr>
            <w:tcW w:w="2379" w:type="pct"/>
            <w:gridSpan w:val="2"/>
            <w:vAlign w:val="center"/>
          </w:tcPr>
          <w:p w14:paraId="070D5D05">
            <w:pPr>
              <w:jc w:val="center"/>
              <w:rPr>
                <w:color w:val="auto"/>
                <w:szCs w:val="21"/>
                <w:highlight w:val="none"/>
              </w:rPr>
            </w:pPr>
            <w:r>
              <w:rPr>
                <w:rFonts w:hint="eastAsia"/>
                <w:color w:val="auto"/>
                <w:szCs w:val="21"/>
                <w:highlight w:val="none"/>
                <w:lang w:eastAsia="zh-CN"/>
              </w:rPr>
              <w:t>厂区内自备水井</w:t>
            </w:r>
            <w:r>
              <w:rPr>
                <w:color w:val="auto"/>
                <w:szCs w:val="21"/>
                <w:highlight w:val="none"/>
              </w:rPr>
              <w:t>，</w:t>
            </w:r>
            <w:r>
              <w:rPr>
                <w:rFonts w:hint="eastAsia"/>
                <w:color w:val="auto"/>
                <w:szCs w:val="21"/>
                <w:highlight w:val="none"/>
              </w:rPr>
              <w:t>1座</w:t>
            </w:r>
            <w:r>
              <w:rPr>
                <w:rFonts w:hint="eastAsia"/>
                <w:color w:val="auto"/>
                <w:szCs w:val="21"/>
                <w:highlight w:val="none"/>
                <w:lang w:eastAsia="zh-CN"/>
              </w:rPr>
              <w:t>水塔</w:t>
            </w:r>
            <w:r>
              <w:rPr>
                <w:rFonts w:hint="eastAsia"/>
                <w:color w:val="auto"/>
                <w:szCs w:val="21"/>
                <w:highlight w:val="none"/>
              </w:rPr>
              <w:t>30m×15.3m×1.7m</w:t>
            </w:r>
          </w:p>
        </w:tc>
      </w:tr>
      <w:tr w14:paraId="1CF75C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0B28C533">
            <w:pPr>
              <w:jc w:val="center"/>
              <w:rPr>
                <w:color w:val="auto"/>
                <w:szCs w:val="21"/>
              </w:rPr>
            </w:pPr>
            <w:r>
              <w:rPr>
                <w:color w:val="auto"/>
                <w:szCs w:val="21"/>
              </w:rPr>
              <w:t>4</w:t>
            </w:r>
          </w:p>
        </w:tc>
        <w:tc>
          <w:tcPr>
            <w:tcW w:w="744" w:type="pct"/>
            <w:vAlign w:val="center"/>
          </w:tcPr>
          <w:p w14:paraId="1E9FE3BD">
            <w:pPr>
              <w:jc w:val="center"/>
              <w:rPr>
                <w:color w:val="auto"/>
                <w:szCs w:val="21"/>
              </w:rPr>
            </w:pPr>
            <w:r>
              <w:rPr>
                <w:color w:val="auto"/>
                <w:szCs w:val="21"/>
              </w:rPr>
              <w:t>柴油</w:t>
            </w:r>
          </w:p>
        </w:tc>
        <w:tc>
          <w:tcPr>
            <w:tcW w:w="524" w:type="pct"/>
            <w:vAlign w:val="center"/>
          </w:tcPr>
          <w:p w14:paraId="3342C3DD">
            <w:pPr>
              <w:jc w:val="center"/>
              <w:rPr>
                <w:color w:val="auto"/>
                <w:szCs w:val="21"/>
              </w:rPr>
            </w:pPr>
            <w:r>
              <w:rPr>
                <w:color w:val="auto"/>
                <w:szCs w:val="21"/>
              </w:rPr>
              <w:t>发电机</w:t>
            </w:r>
          </w:p>
        </w:tc>
        <w:tc>
          <w:tcPr>
            <w:tcW w:w="836" w:type="pct"/>
            <w:vAlign w:val="center"/>
          </w:tcPr>
          <w:p w14:paraId="04E7BC68">
            <w:pPr>
              <w:jc w:val="center"/>
              <w:rPr>
                <w:color w:val="auto"/>
                <w:szCs w:val="21"/>
              </w:rPr>
            </w:pPr>
            <w:r>
              <w:rPr>
                <w:color w:val="auto"/>
                <w:szCs w:val="21"/>
              </w:rPr>
              <w:t>600L</w:t>
            </w:r>
          </w:p>
        </w:tc>
        <w:tc>
          <w:tcPr>
            <w:tcW w:w="2379" w:type="pct"/>
            <w:gridSpan w:val="2"/>
            <w:vAlign w:val="center"/>
          </w:tcPr>
          <w:p w14:paraId="0DCCD95D">
            <w:pPr>
              <w:jc w:val="center"/>
              <w:rPr>
                <w:color w:val="auto"/>
                <w:szCs w:val="21"/>
              </w:rPr>
            </w:pPr>
            <w:r>
              <w:rPr>
                <w:color w:val="auto"/>
                <w:szCs w:val="21"/>
              </w:rPr>
              <w:t>桶装，暂存于发电机房内，</w:t>
            </w:r>
            <w:r>
              <w:rPr>
                <w:rFonts w:hint="eastAsia"/>
                <w:color w:val="auto"/>
                <w:szCs w:val="21"/>
                <w:lang w:eastAsia="zh-CN"/>
              </w:rPr>
              <w:t>最大储存量为</w:t>
            </w:r>
            <w:r>
              <w:rPr>
                <w:rFonts w:hint="eastAsia"/>
                <w:color w:val="auto"/>
                <w:szCs w:val="21"/>
                <w:lang w:val="en-US" w:eastAsia="zh-CN"/>
              </w:rPr>
              <w:t>0.51t，</w:t>
            </w:r>
            <w:r>
              <w:rPr>
                <w:color w:val="auto"/>
                <w:szCs w:val="21"/>
              </w:rPr>
              <w:t>地面防渗处理，满足发电机发电48h的需求</w:t>
            </w:r>
          </w:p>
        </w:tc>
      </w:tr>
      <w:tr w14:paraId="0050745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3A820EC3">
            <w:pPr>
              <w:jc w:val="center"/>
              <w:rPr>
                <w:color w:val="auto"/>
                <w:szCs w:val="21"/>
              </w:rPr>
            </w:pPr>
            <w:r>
              <w:rPr>
                <w:color w:val="auto"/>
                <w:szCs w:val="21"/>
              </w:rPr>
              <w:t>5</w:t>
            </w:r>
          </w:p>
        </w:tc>
        <w:tc>
          <w:tcPr>
            <w:tcW w:w="744" w:type="pct"/>
            <w:vAlign w:val="center"/>
          </w:tcPr>
          <w:p w14:paraId="24F865F2">
            <w:pPr>
              <w:jc w:val="center"/>
              <w:rPr>
                <w:color w:val="auto"/>
                <w:szCs w:val="21"/>
              </w:rPr>
            </w:pPr>
            <w:r>
              <w:rPr>
                <w:color w:val="auto"/>
                <w:szCs w:val="21"/>
              </w:rPr>
              <w:t>液化气</w:t>
            </w:r>
          </w:p>
        </w:tc>
        <w:tc>
          <w:tcPr>
            <w:tcW w:w="524" w:type="pct"/>
            <w:vAlign w:val="center"/>
          </w:tcPr>
          <w:p w14:paraId="45773A10">
            <w:pPr>
              <w:jc w:val="center"/>
              <w:rPr>
                <w:color w:val="auto"/>
                <w:szCs w:val="21"/>
              </w:rPr>
            </w:pPr>
            <w:r>
              <w:rPr>
                <w:color w:val="auto"/>
                <w:szCs w:val="21"/>
              </w:rPr>
              <w:t>食堂供能</w:t>
            </w:r>
          </w:p>
        </w:tc>
        <w:tc>
          <w:tcPr>
            <w:tcW w:w="836" w:type="pct"/>
            <w:vAlign w:val="center"/>
          </w:tcPr>
          <w:p w14:paraId="7D8C6B74">
            <w:pPr>
              <w:jc w:val="center"/>
              <w:rPr>
                <w:color w:val="auto"/>
                <w:szCs w:val="21"/>
              </w:rPr>
            </w:pPr>
            <w:r>
              <w:rPr>
                <w:rFonts w:hint="eastAsia"/>
                <w:color w:val="auto"/>
                <w:szCs w:val="21"/>
              </w:rPr>
              <w:t>340</w:t>
            </w:r>
            <w:r>
              <w:rPr>
                <w:color w:val="auto"/>
                <w:szCs w:val="21"/>
              </w:rPr>
              <w:t>kg/年</w:t>
            </w:r>
          </w:p>
        </w:tc>
        <w:tc>
          <w:tcPr>
            <w:tcW w:w="2379" w:type="pct"/>
            <w:gridSpan w:val="2"/>
            <w:vAlign w:val="center"/>
          </w:tcPr>
          <w:p w14:paraId="6F7F88A3">
            <w:pPr>
              <w:jc w:val="center"/>
              <w:rPr>
                <w:color w:val="auto"/>
                <w:szCs w:val="21"/>
              </w:rPr>
            </w:pPr>
            <w:r>
              <w:rPr>
                <w:color w:val="auto"/>
                <w:szCs w:val="21"/>
              </w:rPr>
              <w:t>罐装，15kg/罐</w:t>
            </w:r>
          </w:p>
        </w:tc>
      </w:tr>
      <w:tr w14:paraId="7F988E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14:paraId="0A4563CC">
            <w:pPr>
              <w:jc w:val="center"/>
              <w:rPr>
                <w:color w:val="auto"/>
                <w:szCs w:val="21"/>
              </w:rPr>
            </w:pPr>
            <w:r>
              <w:rPr>
                <w:rFonts w:hint="eastAsia"/>
                <w:color w:val="auto"/>
                <w:szCs w:val="21"/>
              </w:rPr>
              <w:t>6</w:t>
            </w:r>
          </w:p>
        </w:tc>
        <w:tc>
          <w:tcPr>
            <w:tcW w:w="744" w:type="pct"/>
            <w:vAlign w:val="center"/>
          </w:tcPr>
          <w:p w14:paraId="3B87BC1E">
            <w:pPr>
              <w:jc w:val="center"/>
              <w:rPr>
                <w:rFonts w:hint="eastAsia" w:eastAsia="宋体"/>
                <w:color w:val="auto"/>
                <w:szCs w:val="21"/>
                <w:lang w:eastAsia="zh-CN"/>
              </w:rPr>
            </w:pPr>
            <w:r>
              <w:rPr>
                <w:rFonts w:hint="eastAsia"/>
                <w:color w:val="auto"/>
                <w:szCs w:val="21"/>
                <w:lang w:eastAsia="zh-CN"/>
              </w:rPr>
              <w:t>生物质成型燃料</w:t>
            </w:r>
          </w:p>
        </w:tc>
        <w:tc>
          <w:tcPr>
            <w:tcW w:w="524" w:type="pct"/>
            <w:vAlign w:val="center"/>
          </w:tcPr>
          <w:p w14:paraId="6387ADA2">
            <w:pPr>
              <w:jc w:val="center"/>
              <w:rPr>
                <w:color w:val="auto"/>
                <w:szCs w:val="21"/>
              </w:rPr>
            </w:pPr>
            <w:r>
              <w:rPr>
                <w:rFonts w:hint="eastAsia"/>
                <w:color w:val="auto"/>
                <w:szCs w:val="21"/>
              </w:rPr>
              <w:t>供暖</w:t>
            </w:r>
          </w:p>
        </w:tc>
        <w:tc>
          <w:tcPr>
            <w:tcW w:w="836" w:type="pct"/>
            <w:vAlign w:val="center"/>
          </w:tcPr>
          <w:p w14:paraId="612AA96D">
            <w:pPr>
              <w:jc w:val="center"/>
              <w:rPr>
                <w:color w:val="auto"/>
                <w:szCs w:val="21"/>
                <w:highlight w:val="none"/>
              </w:rPr>
            </w:pPr>
            <w:r>
              <w:rPr>
                <w:rFonts w:hint="eastAsia"/>
                <w:color w:val="auto"/>
                <w:szCs w:val="21"/>
                <w:highlight w:val="none"/>
                <w:lang w:val="en-US" w:eastAsia="zh-CN"/>
              </w:rPr>
              <w:t>1216.8</w:t>
            </w:r>
            <w:r>
              <w:rPr>
                <w:color w:val="auto"/>
                <w:szCs w:val="21"/>
                <w:highlight w:val="none"/>
              </w:rPr>
              <w:t>t/a</w:t>
            </w:r>
          </w:p>
        </w:tc>
        <w:tc>
          <w:tcPr>
            <w:tcW w:w="2379" w:type="pct"/>
            <w:gridSpan w:val="2"/>
            <w:vAlign w:val="center"/>
          </w:tcPr>
          <w:p w14:paraId="5F00B44F">
            <w:pPr>
              <w:jc w:val="center"/>
              <w:rPr>
                <w:color w:val="auto"/>
                <w:szCs w:val="21"/>
                <w:highlight w:val="none"/>
              </w:rPr>
            </w:pPr>
            <w:r>
              <w:rPr>
                <w:rFonts w:hint="eastAsia"/>
                <w:color w:val="auto"/>
                <w:szCs w:val="21"/>
                <w:highlight w:val="none"/>
              </w:rPr>
              <w:t>外购</w:t>
            </w:r>
          </w:p>
        </w:tc>
      </w:tr>
    </w:tbl>
    <w:p w14:paraId="251BBFE4">
      <w:pPr>
        <w:spacing w:line="360" w:lineRule="auto"/>
        <w:ind w:firstLine="482" w:firstLineChars="200"/>
        <w:rPr>
          <w:b/>
          <w:bCs/>
          <w:color w:val="auto"/>
          <w:sz w:val="24"/>
        </w:rPr>
      </w:pPr>
      <w:r>
        <w:rPr>
          <w:rFonts w:hint="eastAsia"/>
          <w:b/>
          <w:bCs/>
          <w:color w:val="auto"/>
          <w:sz w:val="24"/>
        </w:rPr>
        <w:t>1）</w:t>
      </w:r>
      <w:r>
        <w:rPr>
          <w:b/>
          <w:bCs/>
          <w:color w:val="auto"/>
          <w:sz w:val="24"/>
        </w:rPr>
        <w:t>除臭剂</w:t>
      </w:r>
    </w:p>
    <w:p w14:paraId="2BFDE2E8">
      <w:pPr>
        <w:spacing w:line="360" w:lineRule="auto"/>
        <w:ind w:firstLine="480" w:firstLineChars="200"/>
        <w:rPr>
          <w:color w:val="auto"/>
          <w:sz w:val="24"/>
        </w:rPr>
      </w:pPr>
      <w:r>
        <w:rPr>
          <w:rFonts w:hint="eastAsia"/>
          <w:color w:val="auto"/>
          <w:sz w:val="24"/>
        </w:rPr>
        <w:t>根据山东济南除臭剂厂家提供的除臭剂原液成分单，其成分如下：</w:t>
      </w:r>
    </w:p>
    <w:p w14:paraId="22773178">
      <w:pPr>
        <w:ind w:firstLine="422" w:firstLineChars="200"/>
        <w:jc w:val="center"/>
        <w:rPr>
          <w:b/>
          <w:bCs/>
          <w:color w:val="auto"/>
          <w:szCs w:val="21"/>
        </w:rPr>
      </w:pPr>
      <w:r>
        <w:rPr>
          <w:b/>
          <w:bCs/>
          <w:color w:val="auto"/>
          <w:szCs w:val="21"/>
        </w:rPr>
        <w:t>表</w:t>
      </w:r>
      <w:r>
        <w:rPr>
          <w:rFonts w:hint="eastAsia"/>
          <w:b/>
          <w:bCs/>
          <w:color w:val="auto"/>
          <w:szCs w:val="21"/>
          <w:lang w:val="en-US" w:eastAsia="zh-CN"/>
        </w:rPr>
        <w:t>3.2-3</w:t>
      </w:r>
      <w:r>
        <w:rPr>
          <w:b/>
          <w:bCs/>
          <w:color w:val="auto"/>
          <w:szCs w:val="21"/>
        </w:rPr>
        <w:t xml:space="preserve">    </w:t>
      </w:r>
      <w:r>
        <w:rPr>
          <w:rFonts w:hint="eastAsia"/>
          <w:b/>
          <w:bCs/>
          <w:color w:val="auto"/>
          <w:szCs w:val="21"/>
        </w:rPr>
        <w:t>植物除臭剂原液成分</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43"/>
        <w:gridCol w:w="1516"/>
        <w:gridCol w:w="4966"/>
      </w:tblGrid>
      <w:tr w14:paraId="03D3438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358088C3">
            <w:pPr>
              <w:ind w:firstLine="102" w:firstLineChars="49"/>
              <w:jc w:val="center"/>
              <w:rPr>
                <w:color w:val="auto"/>
                <w:szCs w:val="21"/>
              </w:rPr>
            </w:pPr>
            <w:r>
              <w:rPr>
                <w:rFonts w:hint="eastAsia"/>
                <w:color w:val="auto"/>
                <w:szCs w:val="21"/>
              </w:rPr>
              <w:t>姜</w:t>
            </w:r>
          </w:p>
        </w:tc>
        <w:tc>
          <w:tcPr>
            <w:tcW w:w="1516" w:type="dxa"/>
            <w:tcBorders>
              <w:tl2br w:val="nil"/>
              <w:tr2bl w:val="nil"/>
            </w:tcBorders>
            <w:vAlign w:val="center"/>
          </w:tcPr>
          <w:p w14:paraId="39A9E63D">
            <w:pPr>
              <w:jc w:val="center"/>
              <w:rPr>
                <w:color w:val="auto"/>
                <w:szCs w:val="21"/>
              </w:rPr>
            </w:pPr>
            <w:r>
              <w:rPr>
                <w:rFonts w:hint="eastAsia"/>
                <w:color w:val="auto"/>
                <w:szCs w:val="21"/>
              </w:rPr>
              <w:t>汁</w:t>
            </w:r>
          </w:p>
        </w:tc>
        <w:tc>
          <w:tcPr>
            <w:tcW w:w="4966" w:type="dxa"/>
            <w:tcBorders>
              <w:tl2br w:val="nil"/>
              <w:tr2bl w:val="nil"/>
            </w:tcBorders>
            <w:vAlign w:val="center"/>
          </w:tcPr>
          <w:p w14:paraId="754C6B5D">
            <w:pPr>
              <w:jc w:val="center"/>
              <w:rPr>
                <w:color w:val="auto"/>
                <w:szCs w:val="21"/>
              </w:rPr>
            </w:pPr>
            <w:r>
              <w:rPr>
                <w:rFonts w:hint="eastAsia"/>
                <w:color w:val="auto"/>
                <w:szCs w:val="21"/>
              </w:rPr>
              <w:t>姜酮、姜醇、姜烯、龙脑、芳樟醇</w:t>
            </w:r>
          </w:p>
        </w:tc>
      </w:tr>
      <w:tr w14:paraId="6AA017A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78ECC7FE">
            <w:pPr>
              <w:ind w:firstLine="102" w:firstLineChars="49"/>
              <w:jc w:val="center"/>
              <w:rPr>
                <w:color w:val="auto"/>
                <w:szCs w:val="21"/>
              </w:rPr>
            </w:pPr>
            <w:r>
              <w:rPr>
                <w:rFonts w:hint="eastAsia"/>
                <w:color w:val="auto"/>
                <w:szCs w:val="21"/>
              </w:rPr>
              <w:t>葱</w:t>
            </w:r>
          </w:p>
        </w:tc>
        <w:tc>
          <w:tcPr>
            <w:tcW w:w="1516" w:type="dxa"/>
            <w:tcBorders>
              <w:tl2br w:val="nil"/>
              <w:tr2bl w:val="nil"/>
            </w:tcBorders>
            <w:vAlign w:val="center"/>
          </w:tcPr>
          <w:p w14:paraId="5FF624A1">
            <w:pPr>
              <w:jc w:val="center"/>
              <w:rPr>
                <w:color w:val="auto"/>
                <w:szCs w:val="21"/>
              </w:rPr>
            </w:pPr>
            <w:r>
              <w:rPr>
                <w:rFonts w:hint="eastAsia"/>
                <w:color w:val="auto"/>
                <w:szCs w:val="21"/>
              </w:rPr>
              <w:t>汁</w:t>
            </w:r>
          </w:p>
        </w:tc>
        <w:tc>
          <w:tcPr>
            <w:tcW w:w="4966" w:type="dxa"/>
            <w:tcBorders>
              <w:tl2br w:val="nil"/>
              <w:tr2bl w:val="nil"/>
            </w:tcBorders>
            <w:vAlign w:val="center"/>
          </w:tcPr>
          <w:p w14:paraId="5E3371BB">
            <w:pPr>
              <w:jc w:val="center"/>
              <w:rPr>
                <w:color w:val="auto"/>
                <w:szCs w:val="21"/>
              </w:rPr>
            </w:pPr>
            <w:r>
              <w:rPr>
                <w:rFonts w:hint="eastAsia"/>
                <w:color w:val="auto"/>
                <w:szCs w:val="21"/>
              </w:rPr>
              <w:t>蒜辣素、二烯丙基硫醚</w:t>
            </w:r>
          </w:p>
        </w:tc>
      </w:tr>
      <w:tr w14:paraId="51336DC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57872034">
            <w:pPr>
              <w:ind w:firstLine="102" w:firstLineChars="49"/>
              <w:jc w:val="center"/>
              <w:rPr>
                <w:color w:val="auto"/>
                <w:szCs w:val="21"/>
              </w:rPr>
            </w:pPr>
            <w:r>
              <w:rPr>
                <w:rFonts w:hint="eastAsia"/>
                <w:color w:val="auto"/>
                <w:szCs w:val="21"/>
              </w:rPr>
              <w:t>蒜</w:t>
            </w:r>
          </w:p>
        </w:tc>
        <w:tc>
          <w:tcPr>
            <w:tcW w:w="1516" w:type="dxa"/>
            <w:tcBorders>
              <w:tl2br w:val="nil"/>
              <w:tr2bl w:val="nil"/>
            </w:tcBorders>
            <w:vAlign w:val="center"/>
          </w:tcPr>
          <w:p w14:paraId="2B8A42E8">
            <w:pPr>
              <w:jc w:val="center"/>
              <w:rPr>
                <w:color w:val="auto"/>
                <w:szCs w:val="21"/>
              </w:rPr>
            </w:pPr>
            <w:r>
              <w:rPr>
                <w:rFonts w:hint="eastAsia"/>
                <w:color w:val="auto"/>
                <w:szCs w:val="21"/>
              </w:rPr>
              <w:t>汁</w:t>
            </w:r>
          </w:p>
        </w:tc>
        <w:tc>
          <w:tcPr>
            <w:tcW w:w="4966" w:type="dxa"/>
            <w:tcBorders>
              <w:tl2br w:val="nil"/>
              <w:tr2bl w:val="nil"/>
            </w:tcBorders>
            <w:vAlign w:val="center"/>
          </w:tcPr>
          <w:p w14:paraId="5B11DF7E">
            <w:pPr>
              <w:jc w:val="center"/>
              <w:rPr>
                <w:color w:val="auto"/>
                <w:szCs w:val="21"/>
              </w:rPr>
            </w:pPr>
            <w:r>
              <w:rPr>
                <w:rFonts w:hint="eastAsia"/>
                <w:color w:val="auto"/>
                <w:szCs w:val="21"/>
              </w:rPr>
              <w:t>大蒜辣素、大蒜新素、大蒜甙</w:t>
            </w:r>
          </w:p>
        </w:tc>
      </w:tr>
      <w:tr w14:paraId="6C4254E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31DF8FA0">
            <w:pPr>
              <w:ind w:firstLine="102" w:firstLineChars="49"/>
              <w:jc w:val="center"/>
              <w:rPr>
                <w:color w:val="auto"/>
                <w:szCs w:val="21"/>
              </w:rPr>
            </w:pPr>
            <w:r>
              <w:rPr>
                <w:rFonts w:hint="eastAsia"/>
                <w:color w:val="auto"/>
                <w:szCs w:val="21"/>
              </w:rPr>
              <w:t>芫荽</w:t>
            </w:r>
          </w:p>
        </w:tc>
        <w:tc>
          <w:tcPr>
            <w:tcW w:w="1516" w:type="dxa"/>
            <w:tcBorders>
              <w:tl2br w:val="nil"/>
              <w:tr2bl w:val="nil"/>
            </w:tcBorders>
            <w:vAlign w:val="center"/>
          </w:tcPr>
          <w:p w14:paraId="04F22331">
            <w:pPr>
              <w:jc w:val="center"/>
              <w:rPr>
                <w:color w:val="auto"/>
                <w:szCs w:val="21"/>
              </w:rPr>
            </w:pPr>
            <w:r>
              <w:rPr>
                <w:rFonts w:hint="eastAsia"/>
                <w:color w:val="auto"/>
                <w:szCs w:val="21"/>
              </w:rPr>
              <w:t>汁</w:t>
            </w:r>
          </w:p>
        </w:tc>
        <w:tc>
          <w:tcPr>
            <w:tcW w:w="4966" w:type="dxa"/>
            <w:tcBorders>
              <w:tl2br w:val="nil"/>
              <w:tr2bl w:val="nil"/>
            </w:tcBorders>
            <w:vAlign w:val="center"/>
          </w:tcPr>
          <w:p w14:paraId="5C84C43B">
            <w:pPr>
              <w:jc w:val="center"/>
              <w:rPr>
                <w:color w:val="auto"/>
                <w:szCs w:val="21"/>
              </w:rPr>
            </w:pPr>
            <w:r>
              <w:rPr>
                <w:rFonts w:hint="eastAsia"/>
                <w:color w:val="auto"/>
                <w:szCs w:val="21"/>
              </w:rPr>
              <w:t>芳樟醇、水芹烯、葵醛、龙脑、蒎烯</w:t>
            </w:r>
          </w:p>
        </w:tc>
      </w:tr>
      <w:tr w14:paraId="383BAEF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0311F0BF">
            <w:pPr>
              <w:ind w:firstLine="102" w:firstLineChars="49"/>
              <w:jc w:val="center"/>
              <w:rPr>
                <w:color w:val="auto"/>
                <w:szCs w:val="21"/>
              </w:rPr>
            </w:pPr>
            <w:r>
              <w:rPr>
                <w:rFonts w:hint="eastAsia"/>
                <w:color w:val="auto"/>
                <w:szCs w:val="21"/>
              </w:rPr>
              <w:t>芹菜</w:t>
            </w:r>
          </w:p>
        </w:tc>
        <w:tc>
          <w:tcPr>
            <w:tcW w:w="1516" w:type="dxa"/>
            <w:tcBorders>
              <w:tl2br w:val="nil"/>
              <w:tr2bl w:val="nil"/>
            </w:tcBorders>
            <w:vAlign w:val="center"/>
          </w:tcPr>
          <w:p w14:paraId="531A8DDE">
            <w:pPr>
              <w:jc w:val="center"/>
              <w:rPr>
                <w:color w:val="auto"/>
                <w:szCs w:val="21"/>
              </w:rPr>
            </w:pPr>
            <w:r>
              <w:rPr>
                <w:rFonts w:hint="eastAsia"/>
                <w:color w:val="auto"/>
                <w:szCs w:val="21"/>
              </w:rPr>
              <w:t>汁</w:t>
            </w:r>
          </w:p>
        </w:tc>
        <w:tc>
          <w:tcPr>
            <w:tcW w:w="4966" w:type="dxa"/>
            <w:tcBorders>
              <w:tl2br w:val="nil"/>
              <w:tr2bl w:val="nil"/>
            </w:tcBorders>
            <w:vAlign w:val="center"/>
          </w:tcPr>
          <w:p w14:paraId="6951F951">
            <w:pPr>
              <w:jc w:val="center"/>
              <w:rPr>
                <w:color w:val="auto"/>
                <w:szCs w:val="21"/>
              </w:rPr>
            </w:pPr>
            <w:r>
              <w:rPr>
                <w:rFonts w:ascii="Arial" w:hAnsi="Arial" w:cs="Arial"/>
                <w:color w:val="auto"/>
                <w:szCs w:val="21"/>
              </w:rPr>
              <w:t>β</w:t>
            </w:r>
            <w:r>
              <w:rPr>
                <w:rFonts w:hint="eastAsia"/>
                <w:color w:val="auto"/>
                <w:szCs w:val="21"/>
              </w:rPr>
              <w:t>-月桂酸烯、蒎烯、石竹烯</w:t>
            </w:r>
          </w:p>
        </w:tc>
      </w:tr>
      <w:tr w14:paraId="1FCE4B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23F659C0">
            <w:pPr>
              <w:ind w:firstLine="102" w:firstLineChars="49"/>
              <w:jc w:val="center"/>
              <w:rPr>
                <w:color w:val="auto"/>
                <w:szCs w:val="21"/>
              </w:rPr>
            </w:pPr>
            <w:r>
              <w:rPr>
                <w:rFonts w:hint="eastAsia"/>
                <w:color w:val="auto"/>
                <w:szCs w:val="21"/>
              </w:rPr>
              <w:t>辣椒</w:t>
            </w:r>
          </w:p>
        </w:tc>
        <w:tc>
          <w:tcPr>
            <w:tcW w:w="1516" w:type="dxa"/>
            <w:tcBorders>
              <w:tl2br w:val="nil"/>
              <w:tr2bl w:val="nil"/>
            </w:tcBorders>
            <w:vAlign w:val="center"/>
          </w:tcPr>
          <w:p w14:paraId="3185DBBB">
            <w:pPr>
              <w:jc w:val="center"/>
              <w:rPr>
                <w:color w:val="auto"/>
                <w:szCs w:val="21"/>
              </w:rPr>
            </w:pPr>
            <w:r>
              <w:rPr>
                <w:rFonts w:hint="eastAsia"/>
                <w:color w:val="auto"/>
                <w:szCs w:val="21"/>
              </w:rPr>
              <w:t>油</w:t>
            </w:r>
          </w:p>
        </w:tc>
        <w:tc>
          <w:tcPr>
            <w:tcW w:w="4966" w:type="dxa"/>
            <w:tcBorders>
              <w:tl2br w:val="nil"/>
              <w:tr2bl w:val="nil"/>
            </w:tcBorders>
            <w:vAlign w:val="center"/>
          </w:tcPr>
          <w:p w14:paraId="49B804FB">
            <w:pPr>
              <w:jc w:val="center"/>
              <w:rPr>
                <w:color w:val="auto"/>
                <w:szCs w:val="21"/>
              </w:rPr>
            </w:pPr>
            <w:r>
              <w:rPr>
                <w:rFonts w:hint="eastAsia"/>
                <w:color w:val="auto"/>
                <w:szCs w:val="21"/>
              </w:rPr>
              <w:t>辣椒碱、辣椒素</w:t>
            </w:r>
          </w:p>
        </w:tc>
      </w:tr>
      <w:tr w14:paraId="1963F1A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62981769">
            <w:pPr>
              <w:ind w:firstLine="102" w:firstLineChars="49"/>
              <w:jc w:val="center"/>
              <w:rPr>
                <w:color w:val="auto"/>
                <w:szCs w:val="21"/>
              </w:rPr>
            </w:pPr>
            <w:r>
              <w:rPr>
                <w:rFonts w:hint="eastAsia"/>
                <w:color w:val="auto"/>
                <w:szCs w:val="21"/>
              </w:rPr>
              <w:t>花椒</w:t>
            </w:r>
          </w:p>
        </w:tc>
        <w:tc>
          <w:tcPr>
            <w:tcW w:w="1516" w:type="dxa"/>
            <w:tcBorders>
              <w:tl2br w:val="nil"/>
              <w:tr2bl w:val="nil"/>
            </w:tcBorders>
            <w:vAlign w:val="center"/>
          </w:tcPr>
          <w:p w14:paraId="76705FF7">
            <w:pPr>
              <w:jc w:val="center"/>
              <w:rPr>
                <w:color w:val="auto"/>
                <w:szCs w:val="21"/>
              </w:rPr>
            </w:pPr>
            <w:r>
              <w:rPr>
                <w:rFonts w:hint="eastAsia"/>
                <w:color w:val="auto"/>
                <w:szCs w:val="21"/>
              </w:rPr>
              <w:t>油</w:t>
            </w:r>
          </w:p>
        </w:tc>
        <w:tc>
          <w:tcPr>
            <w:tcW w:w="4966" w:type="dxa"/>
            <w:tcBorders>
              <w:tl2br w:val="nil"/>
              <w:tr2bl w:val="nil"/>
            </w:tcBorders>
            <w:vAlign w:val="center"/>
          </w:tcPr>
          <w:p w14:paraId="05C49FCC">
            <w:pPr>
              <w:jc w:val="center"/>
              <w:rPr>
                <w:color w:val="auto"/>
                <w:szCs w:val="21"/>
              </w:rPr>
            </w:pPr>
            <w:r>
              <w:rPr>
                <w:rFonts w:hint="eastAsia"/>
                <w:color w:val="auto"/>
                <w:szCs w:val="21"/>
              </w:rPr>
              <w:t>异茴香醚</w:t>
            </w:r>
          </w:p>
        </w:tc>
      </w:tr>
      <w:tr w14:paraId="703530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348A6C2A">
            <w:pPr>
              <w:ind w:firstLine="102" w:firstLineChars="49"/>
              <w:jc w:val="center"/>
              <w:rPr>
                <w:color w:val="auto"/>
                <w:szCs w:val="21"/>
              </w:rPr>
            </w:pPr>
            <w:r>
              <w:rPr>
                <w:rFonts w:hint="eastAsia"/>
                <w:color w:val="auto"/>
                <w:szCs w:val="21"/>
              </w:rPr>
              <w:t>胡椒</w:t>
            </w:r>
          </w:p>
        </w:tc>
        <w:tc>
          <w:tcPr>
            <w:tcW w:w="1516" w:type="dxa"/>
            <w:tcBorders>
              <w:tl2br w:val="nil"/>
              <w:tr2bl w:val="nil"/>
            </w:tcBorders>
            <w:vAlign w:val="center"/>
          </w:tcPr>
          <w:p w14:paraId="0415DC16">
            <w:pPr>
              <w:jc w:val="center"/>
              <w:rPr>
                <w:color w:val="auto"/>
                <w:szCs w:val="21"/>
              </w:rPr>
            </w:pPr>
            <w:r>
              <w:rPr>
                <w:rFonts w:hint="eastAsia"/>
                <w:color w:val="auto"/>
                <w:szCs w:val="21"/>
              </w:rPr>
              <w:t>油</w:t>
            </w:r>
          </w:p>
        </w:tc>
        <w:tc>
          <w:tcPr>
            <w:tcW w:w="4966" w:type="dxa"/>
            <w:tcBorders>
              <w:tl2br w:val="nil"/>
              <w:tr2bl w:val="nil"/>
            </w:tcBorders>
            <w:vAlign w:val="center"/>
          </w:tcPr>
          <w:p w14:paraId="2F1E7C50">
            <w:pPr>
              <w:jc w:val="center"/>
              <w:rPr>
                <w:color w:val="auto"/>
                <w:szCs w:val="21"/>
              </w:rPr>
            </w:pPr>
            <w:r>
              <w:rPr>
                <w:rFonts w:hint="eastAsia"/>
                <w:color w:val="auto"/>
                <w:szCs w:val="21"/>
              </w:rPr>
              <w:t>胡椒碱、胡辣椒酯碱</w:t>
            </w:r>
          </w:p>
        </w:tc>
      </w:tr>
      <w:tr w14:paraId="733C5F2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434316E7">
            <w:pPr>
              <w:ind w:firstLine="102" w:firstLineChars="49"/>
              <w:jc w:val="center"/>
              <w:rPr>
                <w:color w:val="auto"/>
                <w:szCs w:val="21"/>
              </w:rPr>
            </w:pPr>
            <w:r>
              <w:rPr>
                <w:rFonts w:hint="eastAsia"/>
                <w:color w:val="auto"/>
                <w:szCs w:val="21"/>
              </w:rPr>
              <w:t>大茴香</w:t>
            </w:r>
          </w:p>
        </w:tc>
        <w:tc>
          <w:tcPr>
            <w:tcW w:w="1516" w:type="dxa"/>
            <w:tcBorders>
              <w:tl2br w:val="nil"/>
              <w:tr2bl w:val="nil"/>
            </w:tcBorders>
            <w:vAlign w:val="center"/>
          </w:tcPr>
          <w:p w14:paraId="491FB104">
            <w:pPr>
              <w:jc w:val="center"/>
              <w:rPr>
                <w:color w:val="auto"/>
                <w:szCs w:val="21"/>
              </w:rPr>
            </w:pPr>
            <w:r>
              <w:rPr>
                <w:rFonts w:hint="eastAsia"/>
                <w:color w:val="auto"/>
                <w:szCs w:val="21"/>
              </w:rPr>
              <w:t>油</w:t>
            </w:r>
          </w:p>
        </w:tc>
        <w:tc>
          <w:tcPr>
            <w:tcW w:w="4966" w:type="dxa"/>
            <w:tcBorders>
              <w:tl2br w:val="nil"/>
              <w:tr2bl w:val="nil"/>
            </w:tcBorders>
            <w:vAlign w:val="center"/>
          </w:tcPr>
          <w:p w14:paraId="5F6BF9FD">
            <w:pPr>
              <w:jc w:val="center"/>
              <w:rPr>
                <w:color w:val="auto"/>
                <w:szCs w:val="21"/>
              </w:rPr>
            </w:pPr>
            <w:r>
              <w:rPr>
                <w:rFonts w:hint="eastAsia"/>
                <w:color w:val="auto"/>
                <w:szCs w:val="21"/>
              </w:rPr>
              <w:t>大茴香脑、大茴香醛、芳樟醇</w:t>
            </w:r>
          </w:p>
        </w:tc>
      </w:tr>
      <w:tr w14:paraId="5F48FD9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7B10BE20">
            <w:pPr>
              <w:ind w:firstLine="102" w:firstLineChars="49"/>
              <w:jc w:val="center"/>
              <w:rPr>
                <w:color w:val="auto"/>
                <w:szCs w:val="21"/>
              </w:rPr>
            </w:pPr>
            <w:r>
              <w:rPr>
                <w:rFonts w:hint="eastAsia"/>
                <w:color w:val="auto"/>
                <w:szCs w:val="21"/>
              </w:rPr>
              <w:t>玫瑰</w:t>
            </w:r>
          </w:p>
        </w:tc>
        <w:tc>
          <w:tcPr>
            <w:tcW w:w="1516" w:type="dxa"/>
            <w:tcBorders>
              <w:tl2br w:val="nil"/>
              <w:tr2bl w:val="nil"/>
            </w:tcBorders>
            <w:vAlign w:val="center"/>
          </w:tcPr>
          <w:p w14:paraId="375207C1">
            <w:pPr>
              <w:jc w:val="center"/>
              <w:rPr>
                <w:color w:val="auto"/>
                <w:szCs w:val="21"/>
              </w:rPr>
            </w:pPr>
            <w:r>
              <w:rPr>
                <w:rFonts w:hint="eastAsia"/>
                <w:color w:val="auto"/>
                <w:szCs w:val="21"/>
              </w:rPr>
              <w:t>油</w:t>
            </w:r>
          </w:p>
        </w:tc>
        <w:tc>
          <w:tcPr>
            <w:tcW w:w="4966" w:type="dxa"/>
            <w:tcBorders>
              <w:tl2br w:val="nil"/>
              <w:tr2bl w:val="nil"/>
            </w:tcBorders>
            <w:vAlign w:val="center"/>
          </w:tcPr>
          <w:p w14:paraId="20D48F61">
            <w:pPr>
              <w:jc w:val="center"/>
              <w:rPr>
                <w:color w:val="auto"/>
                <w:szCs w:val="21"/>
              </w:rPr>
            </w:pPr>
            <w:r>
              <w:rPr>
                <w:rFonts w:hint="eastAsia"/>
                <w:color w:val="auto"/>
                <w:szCs w:val="21"/>
              </w:rPr>
              <w:t>香茅醇、桂花醇、丁香油醇、苯乙醇</w:t>
            </w:r>
          </w:p>
        </w:tc>
      </w:tr>
      <w:tr w14:paraId="25FD88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30D66353">
            <w:pPr>
              <w:ind w:firstLine="102" w:firstLineChars="49"/>
              <w:jc w:val="center"/>
              <w:rPr>
                <w:color w:val="auto"/>
                <w:szCs w:val="21"/>
              </w:rPr>
            </w:pPr>
            <w:r>
              <w:rPr>
                <w:rFonts w:hint="eastAsia"/>
                <w:color w:val="auto"/>
                <w:szCs w:val="21"/>
              </w:rPr>
              <w:t>薄荷</w:t>
            </w:r>
          </w:p>
        </w:tc>
        <w:tc>
          <w:tcPr>
            <w:tcW w:w="1516" w:type="dxa"/>
            <w:tcBorders>
              <w:tl2br w:val="nil"/>
              <w:tr2bl w:val="nil"/>
            </w:tcBorders>
            <w:vAlign w:val="center"/>
          </w:tcPr>
          <w:p w14:paraId="0F4775A9">
            <w:pPr>
              <w:jc w:val="center"/>
              <w:rPr>
                <w:color w:val="auto"/>
                <w:szCs w:val="21"/>
              </w:rPr>
            </w:pPr>
            <w:r>
              <w:rPr>
                <w:rFonts w:hint="eastAsia"/>
                <w:color w:val="auto"/>
                <w:szCs w:val="21"/>
              </w:rPr>
              <w:t>油、汁</w:t>
            </w:r>
          </w:p>
        </w:tc>
        <w:tc>
          <w:tcPr>
            <w:tcW w:w="4966" w:type="dxa"/>
            <w:tcBorders>
              <w:tl2br w:val="nil"/>
              <w:tr2bl w:val="nil"/>
            </w:tcBorders>
            <w:vAlign w:val="center"/>
          </w:tcPr>
          <w:p w14:paraId="3E715319">
            <w:pPr>
              <w:jc w:val="center"/>
              <w:rPr>
                <w:color w:val="auto"/>
                <w:szCs w:val="21"/>
              </w:rPr>
            </w:pPr>
            <w:r>
              <w:rPr>
                <w:rFonts w:hint="eastAsia"/>
                <w:color w:val="auto"/>
                <w:szCs w:val="21"/>
              </w:rPr>
              <w:t>薄荷脑、薄荷醇、乙酸薄荷醇、丙酸叶酯、</w:t>
            </w:r>
            <w:r>
              <w:rPr>
                <w:rFonts w:ascii="Arial" w:hAnsi="Arial" w:cs="Arial"/>
                <w:color w:val="auto"/>
                <w:szCs w:val="21"/>
              </w:rPr>
              <w:t>α</w:t>
            </w:r>
            <w:r>
              <w:rPr>
                <w:rFonts w:hint="eastAsia"/>
                <w:color w:val="auto"/>
                <w:szCs w:val="21"/>
              </w:rPr>
              <w:t>-蒎烯</w:t>
            </w:r>
          </w:p>
        </w:tc>
      </w:tr>
      <w:tr w14:paraId="3FEB871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3CB02325">
            <w:pPr>
              <w:ind w:firstLine="102" w:firstLineChars="49"/>
              <w:jc w:val="center"/>
              <w:rPr>
                <w:color w:val="auto"/>
                <w:szCs w:val="21"/>
              </w:rPr>
            </w:pPr>
            <w:r>
              <w:rPr>
                <w:rFonts w:hint="eastAsia"/>
                <w:color w:val="auto"/>
                <w:szCs w:val="21"/>
              </w:rPr>
              <w:t>茉莉</w:t>
            </w:r>
          </w:p>
        </w:tc>
        <w:tc>
          <w:tcPr>
            <w:tcW w:w="1516" w:type="dxa"/>
            <w:tcBorders>
              <w:tl2br w:val="nil"/>
              <w:tr2bl w:val="nil"/>
            </w:tcBorders>
            <w:vAlign w:val="center"/>
          </w:tcPr>
          <w:p w14:paraId="56242907">
            <w:pPr>
              <w:jc w:val="center"/>
              <w:rPr>
                <w:color w:val="auto"/>
                <w:szCs w:val="21"/>
              </w:rPr>
            </w:pPr>
            <w:r>
              <w:rPr>
                <w:rFonts w:hint="eastAsia"/>
                <w:color w:val="auto"/>
                <w:szCs w:val="21"/>
              </w:rPr>
              <w:t>油、汁</w:t>
            </w:r>
          </w:p>
        </w:tc>
        <w:tc>
          <w:tcPr>
            <w:tcW w:w="4966" w:type="dxa"/>
            <w:tcBorders>
              <w:tl2br w:val="nil"/>
              <w:tr2bl w:val="nil"/>
            </w:tcBorders>
            <w:vAlign w:val="center"/>
          </w:tcPr>
          <w:p w14:paraId="5F6FCD1E">
            <w:pPr>
              <w:jc w:val="center"/>
              <w:rPr>
                <w:color w:val="auto"/>
                <w:szCs w:val="21"/>
              </w:rPr>
            </w:pPr>
            <w:r>
              <w:rPr>
                <w:rFonts w:hint="eastAsia"/>
                <w:color w:val="auto"/>
                <w:szCs w:val="21"/>
              </w:rPr>
              <w:t>苯甲醇、芳樟醇、安息酸、乙酸叶酯、苯甲酸叶酯</w:t>
            </w:r>
          </w:p>
        </w:tc>
      </w:tr>
      <w:tr w14:paraId="356E265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023EAE45">
            <w:pPr>
              <w:ind w:firstLine="102" w:firstLineChars="49"/>
              <w:jc w:val="center"/>
              <w:rPr>
                <w:color w:val="auto"/>
                <w:szCs w:val="21"/>
              </w:rPr>
            </w:pPr>
            <w:r>
              <w:rPr>
                <w:rFonts w:hint="eastAsia"/>
                <w:color w:val="auto"/>
                <w:szCs w:val="21"/>
              </w:rPr>
              <w:t>橙橘</w:t>
            </w:r>
          </w:p>
        </w:tc>
        <w:tc>
          <w:tcPr>
            <w:tcW w:w="1516" w:type="dxa"/>
            <w:tcBorders>
              <w:tl2br w:val="nil"/>
              <w:tr2bl w:val="nil"/>
            </w:tcBorders>
            <w:vAlign w:val="center"/>
          </w:tcPr>
          <w:p w14:paraId="77E7000C">
            <w:pPr>
              <w:jc w:val="center"/>
              <w:rPr>
                <w:color w:val="auto"/>
                <w:szCs w:val="21"/>
              </w:rPr>
            </w:pPr>
            <w:r>
              <w:rPr>
                <w:rFonts w:hint="eastAsia"/>
                <w:color w:val="auto"/>
                <w:szCs w:val="21"/>
              </w:rPr>
              <w:t>油</w:t>
            </w:r>
          </w:p>
        </w:tc>
        <w:tc>
          <w:tcPr>
            <w:tcW w:w="4966" w:type="dxa"/>
            <w:tcBorders>
              <w:tl2br w:val="nil"/>
              <w:tr2bl w:val="nil"/>
            </w:tcBorders>
            <w:vAlign w:val="center"/>
          </w:tcPr>
          <w:p w14:paraId="4E842B4D">
            <w:pPr>
              <w:jc w:val="center"/>
              <w:rPr>
                <w:color w:val="auto"/>
                <w:szCs w:val="21"/>
              </w:rPr>
            </w:pPr>
            <w:r>
              <w:rPr>
                <w:rFonts w:hint="eastAsia"/>
                <w:color w:val="auto"/>
                <w:szCs w:val="21"/>
              </w:rPr>
              <w:t>葵醛、辛醛、柠檬醛、芳樟醛、橙花醛</w:t>
            </w:r>
          </w:p>
        </w:tc>
      </w:tr>
      <w:tr w14:paraId="67423F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7D32C012">
            <w:pPr>
              <w:ind w:firstLine="102" w:firstLineChars="49"/>
              <w:jc w:val="center"/>
              <w:rPr>
                <w:color w:val="auto"/>
                <w:szCs w:val="21"/>
              </w:rPr>
            </w:pPr>
            <w:r>
              <w:rPr>
                <w:rFonts w:hint="eastAsia"/>
                <w:color w:val="auto"/>
                <w:szCs w:val="21"/>
              </w:rPr>
              <w:t>柚子</w:t>
            </w:r>
          </w:p>
        </w:tc>
        <w:tc>
          <w:tcPr>
            <w:tcW w:w="1516" w:type="dxa"/>
            <w:tcBorders>
              <w:tl2br w:val="nil"/>
              <w:tr2bl w:val="nil"/>
            </w:tcBorders>
            <w:vAlign w:val="center"/>
          </w:tcPr>
          <w:p w14:paraId="6157A6F8">
            <w:pPr>
              <w:jc w:val="center"/>
              <w:rPr>
                <w:color w:val="auto"/>
                <w:szCs w:val="21"/>
              </w:rPr>
            </w:pPr>
            <w:r>
              <w:rPr>
                <w:rFonts w:hint="eastAsia"/>
                <w:color w:val="auto"/>
                <w:szCs w:val="21"/>
              </w:rPr>
              <w:t>油</w:t>
            </w:r>
          </w:p>
        </w:tc>
        <w:tc>
          <w:tcPr>
            <w:tcW w:w="4966" w:type="dxa"/>
            <w:tcBorders>
              <w:tl2br w:val="nil"/>
              <w:tr2bl w:val="nil"/>
            </w:tcBorders>
            <w:vAlign w:val="center"/>
          </w:tcPr>
          <w:p w14:paraId="7DCCDEBB">
            <w:pPr>
              <w:jc w:val="center"/>
              <w:rPr>
                <w:color w:val="auto"/>
                <w:szCs w:val="21"/>
              </w:rPr>
            </w:pPr>
            <w:r>
              <w:rPr>
                <w:rFonts w:hint="eastAsia"/>
                <w:color w:val="auto"/>
                <w:szCs w:val="21"/>
              </w:rPr>
              <w:t>柠檬醛、香叶醛、芳樟醛、橙花醛</w:t>
            </w:r>
          </w:p>
        </w:tc>
      </w:tr>
      <w:tr w14:paraId="27652A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7F9E7A85">
            <w:pPr>
              <w:ind w:firstLine="102" w:firstLineChars="49"/>
              <w:jc w:val="center"/>
              <w:rPr>
                <w:color w:val="auto"/>
                <w:szCs w:val="21"/>
              </w:rPr>
            </w:pPr>
            <w:r>
              <w:rPr>
                <w:rFonts w:hint="eastAsia"/>
                <w:color w:val="auto"/>
                <w:szCs w:val="21"/>
              </w:rPr>
              <w:t>柠檬</w:t>
            </w:r>
          </w:p>
        </w:tc>
        <w:tc>
          <w:tcPr>
            <w:tcW w:w="1516" w:type="dxa"/>
            <w:tcBorders>
              <w:tl2br w:val="nil"/>
              <w:tr2bl w:val="nil"/>
            </w:tcBorders>
            <w:vAlign w:val="center"/>
          </w:tcPr>
          <w:p w14:paraId="13B5A4EB">
            <w:pPr>
              <w:jc w:val="center"/>
              <w:rPr>
                <w:color w:val="auto"/>
                <w:szCs w:val="21"/>
              </w:rPr>
            </w:pPr>
            <w:r>
              <w:rPr>
                <w:rFonts w:hint="eastAsia"/>
                <w:color w:val="auto"/>
                <w:szCs w:val="21"/>
              </w:rPr>
              <w:t>油</w:t>
            </w:r>
          </w:p>
        </w:tc>
        <w:tc>
          <w:tcPr>
            <w:tcW w:w="4966" w:type="dxa"/>
            <w:tcBorders>
              <w:tl2br w:val="nil"/>
              <w:tr2bl w:val="nil"/>
            </w:tcBorders>
            <w:vAlign w:val="center"/>
          </w:tcPr>
          <w:p w14:paraId="5E7EEEB9">
            <w:pPr>
              <w:jc w:val="center"/>
              <w:rPr>
                <w:color w:val="auto"/>
                <w:szCs w:val="21"/>
              </w:rPr>
            </w:pPr>
            <w:r>
              <w:rPr>
                <w:rFonts w:hint="eastAsia"/>
                <w:color w:val="auto"/>
                <w:szCs w:val="21"/>
              </w:rPr>
              <w:t>柠檬醛、辛醛、王醛、十二醛、蒎烯、芳樟醛</w:t>
            </w:r>
          </w:p>
        </w:tc>
      </w:tr>
      <w:tr w14:paraId="3E86588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04A23EC2">
            <w:pPr>
              <w:ind w:firstLine="102" w:firstLineChars="49"/>
              <w:jc w:val="center"/>
              <w:rPr>
                <w:color w:val="auto"/>
                <w:szCs w:val="21"/>
              </w:rPr>
            </w:pPr>
            <w:r>
              <w:rPr>
                <w:rFonts w:hint="eastAsia"/>
                <w:color w:val="auto"/>
                <w:szCs w:val="21"/>
              </w:rPr>
              <w:t>九月香</w:t>
            </w:r>
          </w:p>
        </w:tc>
        <w:tc>
          <w:tcPr>
            <w:tcW w:w="1516" w:type="dxa"/>
            <w:tcBorders>
              <w:tl2br w:val="nil"/>
              <w:tr2bl w:val="nil"/>
            </w:tcBorders>
            <w:vAlign w:val="center"/>
          </w:tcPr>
          <w:p w14:paraId="0C2DDB48">
            <w:pPr>
              <w:jc w:val="center"/>
              <w:rPr>
                <w:color w:val="auto"/>
                <w:szCs w:val="21"/>
              </w:rPr>
            </w:pPr>
            <w:r>
              <w:rPr>
                <w:rFonts w:hint="eastAsia"/>
                <w:color w:val="auto"/>
                <w:szCs w:val="21"/>
              </w:rPr>
              <w:t>汁</w:t>
            </w:r>
          </w:p>
        </w:tc>
        <w:tc>
          <w:tcPr>
            <w:tcW w:w="4966" w:type="dxa"/>
            <w:tcBorders>
              <w:tl2br w:val="nil"/>
              <w:tr2bl w:val="nil"/>
            </w:tcBorders>
            <w:vAlign w:val="center"/>
          </w:tcPr>
          <w:p w14:paraId="3795EEA3">
            <w:pPr>
              <w:jc w:val="center"/>
              <w:rPr>
                <w:color w:val="auto"/>
                <w:szCs w:val="21"/>
              </w:rPr>
            </w:pPr>
            <w:r>
              <w:rPr>
                <w:rFonts w:hint="eastAsia"/>
                <w:color w:val="auto"/>
                <w:szCs w:val="21"/>
              </w:rPr>
              <w:t>水芹烯、蒎烯、松油醇</w:t>
            </w:r>
          </w:p>
        </w:tc>
      </w:tr>
      <w:tr w14:paraId="0A803F8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6BEC9C60">
            <w:pPr>
              <w:ind w:firstLine="102" w:firstLineChars="49"/>
              <w:jc w:val="center"/>
              <w:rPr>
                <w:color w:val="auto"/>
                <w:szCs w:val="21"/>
              </w:rPr>
            </w:pPr>
            <w:r>
              <w:rPr>
                <w:rFonts w:hint="eastAsia"/>
                <w:color w:val="auto"/>
                <w:szCs w:val="21"/>
              </w:rPr>
              <w:t>月桂</w:t>
            </w:r>
          </w:p>
        </w:tc>
        <w:tc>
          <w:tcPr>
            <w:tcW w:w="1516" w:type="dxa"/>
            <w:tcBorders>
              <w:tl2br w:val="nil"/>
              <w:tr2bl w:val="nil"/>
            </w:tcBorders>
            <w:vAlign w:val="center"/>
          </w:tcPr>
          <w:p w14:paraId="4400700F">
            <w:pPr>
              <w:jc w:val="center"/>
              <w:rPr>
                <w:color w:val="auto"/>
                <w:szCs w:val="21"/>
              </w:rPr>
            </w:pPr>
            <w:r>
              <w:rPr>
                <w:rFonts w:hint="eastAsia"/>
                <w:color w:val="auto"/>
                <w:szCs w:val="21"/>
              </w:rPr>
              <w:t>油</w:t>
            </w:r>
          </w:p>
        </w:tc>
        <w:tc>
          <w:tcPr>
            <w:tcW w:w="4966" w:type="dxa"/>
            <w:tcBorders>
              <w:tl2br w:val="nil"/>
              <w:tr2bl w:val="nil"/>
            </w:tcBorders>
            <w:vAlign w:val="center"/>
          </w:tcPr>
          <w:p w14:paraId="52692FF6">
            <w:pPr>
              <w:jc w:val="center"/>
              <w:rPr>
                <w:color w:val="auto"/>
                <w:szCs w:val="21"/>
              </w:rPr>
            </w:pPr>
            <w:r>
              <w:rPr>
                <w:rFonts w:hint="eastAsia"/>
                <w:color w:val="auto"/>
                <w:szCs w:val="21"/>
              </w:rPr>
              <w:t>桉叶素、芳樟醇、松油醇、月桂烯</w:t>
            </w:r>
          </w:p>
        </w:tc>
      </w:tr>
      <w:tr w14:paraId="045D75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1C6928F2">
            <w:pPr>
              <w:ind w:firstLine="102" w:firstLineChars="49"/>
              <w:jc w:val="center"/>
              <w:rPr>
                <w:color w:val="auto"/>
                <w:szCs w:val="21"/>
              </w:rPr>
            </w:pPr>
            <w:r>
              <w:rPr>
                <w:rFonts w:hint="eastAsia"/>
                <w:color w:val="auto"/>
                <w:szCs w:val="21"/>
              </w:rPr>
              <w:t>水仙</w:t>
            </w:r>
          </w:p>
        </w:tc>
        <w:tc>
          <w:tcPr>
            <w:tcW w:w="1516" w:type="dxa"/>
            <w:tcBorders>
              <w:tl2br w:val="nil"/>
              <w:tr2bl w:val="nil"/>
            </w:tcBorders>
            <w:vAlign w:val="center"/>
          </w:tcPr>
          <w:p w14:paraId="2278EED3">
            <w:pPr>
              <w:jc w:val="center"/>
              <w:rPr>
                <w:color w:val="auto"/>
                <w:szCs w:val="21"/>
              </w:rPr>
            </w:pPr>
            <w:r>
              <w:rPr>
                <w:rFonts w:hint="eastAsia"/>
                <w:color w:val="auto"/>
                <w:szCs w:val="21"/>
              </w:rPr>
              <w:t>汁</w:t>
            </w:r>
          </w:p>
        </w:tc>
        <w:tc>
          <w:tcPr>
            <w:tcW w:w="4966" w:type="dxa"/>
            <w:tcBorders>
              <w:tl2br w:val="nil"/>
              <w:tr2bl w:val="nil"/>
            </w:tcBorders>
            <w:vAlign w:val="center"/>
          </w:tcPr>
          <w:p w14:paraId="47B9C8EA">
            <w:pPr>
              <w:jc w:val="center"/>
              <w:rPr>
                <w:color w:val="auto"/>
                <w:szCs w:val="21"/>
              </w:rPr>
            </w:pPr>
            <w:r>
              <w:rPr>
                <w:rFonts w:hint="eastAsia"/>
                <w:color w:val="auto"/>
                <w:szCs w:val="21"/>
              </w:rPr>
              <w:t>丁香酚、苯甲醛、苯甲酸甲酯、茉莉酮、香叶醇</w:t>
            </w:r>
          </w:p>
        </w:tc>
      </w:tr>
      <w:tr w14:paraId="33360D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6A6E5D22">
            <w:pPr>
              <w:ind w:firstLine="102" w:firstLineChars="49"/>
              <w:jc w:val="center"/>
              <w:rPr>
                <w:color w:val="auto"/>
                <w:szCs w:val="21"/>
              </w:rPr>
            </w:pPr>
            <w:r>
              <w:rPr>
                <w:rFonts w:hint="eastAsia"/>
                <w:color w:val="auto"/>
                <w:szCs w:val="21"/>
              </w:rPr>
              <w:t>冬青</w:t>
            </w:r>
          </w:p>
        </w:tc>
        <w:tc>
          <w:tcPr>
            <w:tcW w:w="1516" w:type="dxa"/>
            <w:tcBorders>
              <w:tl2br w:val="nil"/>
              <w:tr2bl w:val="nil"/>
            </w:tcBorders>
            <w:vAlign w:val="center"/>
          </w:tcPr>
          <w:p w14:paraId="0604A06F">
            <w:pPr>
              <w:jc w:val="center"/>
              <w:rPr>
                <w:color w:val="auto"/>
                <w:szCs w:val="21"/>
              </w:rPr>
            </w:pPr>
            <w:r>
              <w:rPr>
                <w:rFonts w:hint="eastAsia"/>
                <w:color w:val="auto"/>
                <w:szCs w:val="21"/>
              </w:rPr>
              <w:t>油</w:t>
            </w:r>
          </w:p>
        </w:tc>
        <w:tc>
          <w:tcPr>
            <w:tcW w:w="4966" w:type="dxa"/>
            <w:tcBorders>
              <w:tl2br w:val="nil"/>
              <w:tr2bl w:val="nil"/>
            </w:tcBorders>
            <w:vAlign w:val="center"/>
          </w:tcPr>
          <w:p w14:paraId="1B96CBD0">
            <w:pPr>
              <w:jc w:val="center"/>
              <w:rPr>
                <w:color w:val="auto"/>
                <w:szCs w:val="21"/>
              </w:rPr>
            </w:pPr>
            <w:r>
              <w:rPr>
                <w:rFonts w:hint="eastAsia"/>
                <w:color w:val="auto"/>
                <w:szCs w:val="21"/>
              </w:rPr>
              <w:t>水杨酸甲酯</w:t>
            </w:r>
          </w:p>
        </w:tc>
      </w:tr>
      <w:tr w14:paraId="31DC1E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0F0EB6B5">
            <w:pPr>
              <w:ind w:firstLine="102" w:firstLineChars="49"/>
              <w:jc w:val="center"/>
              <w:rPr>
                <w:color w:val="auto"/>
                <w:szCs w:val="21"/>
              </w:rPr>
            </w:pPr>
            <w:r>
              <w:rPr>
                <w:rFonts w:hint="eastAsia"/>
                <w:color w:val="auto"/>
                <w:szCs w:val="21"/>
              </w:rPr>
              <w:t>松针</w:t>
            </w:r>
          </w:p>
        </w:tc>
        <w:tc>
          <w:tcPr>
            <w:tcW w:w="1516" w:type="dxa"/>
            <w:tcBorders>
              <w:tl2br w:val="nil"/>
              <w:tr2bl w:val="nil"/>
            </w:tcBorders>
            <w:vAlign w:val="center"/>
          </w:tcPr>
          <w:p w14:paraId="4DEB11E1">
            <w:pPr>
              <w:jc w:val="center"/>
              <w:rPr>
                <w:color w:val="auto"/>
                <w:szCs w:val="21"/>
              </w:rPr>
            </w:pPr>
            <w:r>
              <w:rPr>
                <w:rFonts w:hint="eastAsia"/>
                <w:color w:val="auto"/>
                <w:szCs w:val="21"/>
              </w:rPr>
              <w:t>油</w:t>
            </w:r>
          </w:p>
        </w:tc>
        <w:tc>
          <w:tcPr>
            <w:tcW w:w="4966" w:type="dxa"/>
            <w:tcBorders>
              <w:tl2br w:val="nil"/>
              <w:tr2bl w:val="nil"/>
            </w:tcBorders>
            <w:vAlign w:val="center"/>
          </w:tcPr>
          <w:p w14:paraId="5761325F">
            <w:pPr>
              <w:jc w:val="center"/>
              <w:rPr>
                <w:color w:val="auto"/>
                <w:szCs w:val="21"/>
              </w:rPr>
            </w:pPr>
            <w:r>
              <w:rPr>
                <w:rFonts w:hint="eastAsia"/>
                <w:color w:val="auto"/>
                <w:szCs w:val="21"/>
              </w:rPr>
              <w:t>月桂烯、水芹菜、莰烯、葵酝醛、十二醛</w:t>
            </w:r>
          </w:p>
        </w:tc>
      </w:tr>
      <w:tr w14:paraId="1A8C74B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43" w:type="dxa"/>
            <w:tcBorders>
              <w:tl2br w:val="nil"/>
              <w:tr2bl w:val="nil"/>
            </w:tcBorders>
            <w:vAlign w:val="center"/>
          </w:tcPr>
          <w:p w14:paraId="25970138">
            <w:pPr>
              <w:ind w:firstLine="102" w:firstLineChars="49"/>
              <w:jc w:val="center"/>
              <w:rPr>
                <w:color w:val="auto"/>
                <w:szCs w:val="21"/>
              </w:rPr>
            </w:pPr>
            <w:r>
              <w:rPr>
                <w:rFonts w:hint="eastAsia"/>
                <w:color w:val="auto"/>
                <w:szCs w:val="21"/>
              </w:rPr>
              <w:t>檀木</w:t>
            </w:r>
          </w:p>
        </w:tc>
        <w:tc>
          <w:tcPr>
            <w:tcW w:w="1516" w:type="dxa"/>
            <w:tcBorders>
              <w:tl2br w:val="nil"/>
              <w:tr2bl w:val="nil"/>
            </w:tcBorders>
            <w:vAlign w:val="center"/>
          </w:tcPr>
          <w:p w14:paraId="0A30BA9F">
            <w:pPr>
              <w:jc w:val="center"/>
              <w:rPr>
                <w:color w:val="auto"/>
                <w:szCs w:val="21"/>
              </w:rPr>
            </w:pPr>
            <w:r>
              <w:rPr>
                <w:rFonts w:hint="eastAsia"/>
                <w:color w:val="auto"/>
                <w:szCs w:val="21"/>
              </w:rPr>
              <w:t>油</w:t>
            </w:r>
          </w:p>
        </w:tc>
        <w:tc>
          <w:tcPr>
            <w:tcW w:w="4966" w:type="dxa"/>
            <w:tcBorders>
              <w:tl2br w:val="nil"/>
              <w:tr2bl w:val="nil"/>
            </w:tcBorders>
            <w:vAlign w:val="center"/>
          </w:tcPr>
          <w:p w14:paraId="1A9800FF">
            <w:pPr>
              <w:jc w:val="center"/>
              <w:rPr>
                <w:color w:val="auto"/>
                <w:szCs w:val="21"/>
              </w:rPr>
            </w:pPr>
            <w:r>
              <w:rPr>
                <w:rFonts w:ascii="Arial" w:hAnsi="Arial" w:cs="Arial"/>
                <w:color w:val="auto"/>
                <w:szCs w:val="21"/>
              </w:rPr>
              <w:t>α</w:t>
            </w:r>
            <w:r>
              <w:rPr>
                <w:rFonts w:hint="eastAsia"/>
                <w:color w:val="auto"/>
                <w:szCs w:val="21"/>
              </w:rPr>
              <w:t>-檀香醇、</w:t>
            </w:r>
            <w:r>
              <w:rPr>
                <w:rFonts w:ascii="Arial" w:hAnsi="Arial" w:cs="Arial"/>
                <w:color w:val="auto"/>
                <w:szCs w:val="21"/>
              </w:rPr>
              <w:t>β</w:t>
            </w:r>
            <w:r>
              <w:rPr>
                <w:rFonts w:hint="eastAsia"/>
                <w:color w:val="auto"/>
                <w:szCs w:val="21"/>
              </w:rPr>
              <w:t>-檀香烯、</w:t>
            </w:r>
            <w:r>
              <w:rPr>
                <w:rFonts w:ascii="Arial" w:hAnsi="Arial" w:cs="Arial"/>
                <w:color w:val="auto"/>
                <w:szCs w:val="21"/>
              </w:rPr>
              <w:t>β</w:t>
            </w:r>
            <w:r>
              <w:rPr>
                <w:rFonts w:hint="eastAsia"/>
                <w:color w:val="auto"/>
                <w:szCs w:val="21"/>
              </w:rPr>
              <w:t>-檀香醇、</w:t>
            </w:r>
            <w:r>
              <w:rPr>
                <w:rFonts w:ascii="Arial" w:hAnsi="Arial" w:cs="Arial"/>
                <w:color w:val="auto"/>
                <w:szCs w:val="21"/>
              </w:rPr>
              <w:t>α</w:t>
            </w:r>
            <w:r>
              <w:rPr>
                <w:rFonts w:hint="eastAsia"/>
                <w:color w:val="auto"/>
                <w:szCs w:val="21"/>
              </w:rPr>
              <w:t>-檀香烯</w:t>
            </w:r>
          </w:p>
        </w:tc>
      </w:tr>
    </w:tbl>
    <w:p w14:paraId="1951087F">
      <w:pPr>
        <w:spacing w:line="360" w:lineRule="auto"/>
        <w:ind w:firstLine="480" w:firstLineChars="200"/>
        <w:rPr>
          <w:color w:val="auto"/>
          <w:sz w:val="24"/>
        </w:rPr>
      </w:pPr>
      <w:r>
        <w:rPr>
          <w:color w:val="auto"/>
          <w:sz w:val="24"/>
        </w:rPr>
        <w:t>除臭剂除臭原理：</w:t>
      </w:r>
    </w:p>
    <w:p w14:paraId="3104CF2C">
      <w:pPr>
        <w:pStyle w:val="48"/>
        <w:spacing w:before="0" w:beforeAutospacing="0" w:after="0" w:afterAutospacing="0"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植物液除臭过程是很复杂的，</w:t>
      </w:r>
      <w:r>
        <w:rPr>
          <w:rFonts w:hint="eastAsia" w:ascii="Times New Roman" w:hAnsi="Times New Roman" w:cs="Times New Roman"/>
          <w:color w:val="auto"/>
          <w:sz w:val="24"/>
          <w:szCs w:val="24"/>
        </w:rPr>
        <w:t>本项目使用的除臭剂</w:t>
      </w:r>
      <w:r>
        <w:rPr>
          <w:rFonts w:ascii="Times New Roman" w:hAnsi="Times New Roman" w:cs="Times New Roman"/>
          <w:color w:val="auto"/>
          <w:sz w:val="24"/>
          <w:szCs w:val="24"/>
        </w:rPr>
        <w:t>基本原理是通过分子间力的作用结合后气相溶解，然后发生化学、生化反应等一系列反应。分子间力的作用，主要有</w:t>
      </w: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rPr>
        <w:t>范德华力；耦合力；化学反应力；吸引力等。通过分子间力的相互作用，使臭气分子同植物提取物结合，进而达到除臭的目的。国外科学家Urabe等分析了蒲公英、多刺蓟、低纹竹子及马尾草4种野草对甲硫醇的处理效果，其去除率分别高达97.5%、90.2%、93.7%、98.3%；此外，Ishimaru从豆科中的槐树、桑树、薇甘菊、珍珠草、百粉藤、鬼针草等30种植物中提取有效植物液成分，对甲醛、乙酸、胺、硫化氢等混合气体的处理效果，可达95%~97%。植物提取液与异味分子可发生如下几类反应：</w:t>
      </w:r>
    </w:p>
    <w:p w14:paraId="74D5C67D">
      <w:pPr>
        <w:pStyle w:val="48"/>
        <w:spacing w:before="0" w:beforeAutospacing="0" w:after="0" w:afterAutospacing="0"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①催化氧化反应</w:t>
      </w:r>
    </w:p>
    <w:p w14:paraId="257E4DA0">
      <w:pPr>
        <w:pStyle w:val="48"/>
        <w:spacing w:before="0" w:beforeAutospacing="0" w:after="0" w:afterAutospacing="0"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一般情况下硫化氢不能与空气中的氧进行氧化反应，但在植物提取液所含有效成分的催化作反应，硫化氢则可与空气中的氧发生反应。</w:t>
      </w:r>
    </w:p>
    <w:p w14:paraId="452994DE">
      <w:pPr>
        <w:pStyle w:val="48"/>
        <w:spacing w:before="0" w:beforeAutospacing="0" w:after="0" w:afterAutospacing="0"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②路易斯酸碱反应</w:t>
      </w:r>
    </w:p>
    <w:p w14:paraId="6E6562E2">
      <w:pPr>
        <w:pStyle w:val="48"/>
        <w:spacing w:before="0" w:beforeAutospacing="0" w:after="0" w:afterAutospacing="0"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苯硫醚与植物提取液的反应就属于这一类。苯硫醚是一种路易斯酸，植物液中的含氮化合物属路易斯碱，两者可以反应，从而可以进行路易斯酸碱反应。同样机理也适用于不同的烃类物质。</w:t>
      </w:r>
    </w:p>
    <w:p w14:paraId="4595C57F">
      <w:pPr>
        <w:pStyle w:val="48"/>
        <w:spacing w:before="0" w:beforeAutospacing="0" w:after="0" w:afterAutospacing="0"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③热力学分析</w:t>
      </w:r>
    </w:p>
    <w:p w14:paraId="1700C8C8">
      <w:pPr>
        <w:pStyle w:val="48"/>
        <w:spacing w:before="0" w:beforeAutospacing="0" w:after="0" w:afterAutospacing="0"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经过雾化的植物提取液液滴直径≤0.04mm，液滴的表面能已达到一些有机化合物键能的1/3或1/2，在这种情况下足以破坏臭气分子中的键，使它们不稳定，易分解。</w:t>
      </w:r>
    </w:p>
    <w:p w14:paraId="25FF2649">
      <w:pPr>
        <w:pStyle w:val="48"/>
        <w:spacing w:before="0" w:beforeAutospacing="0" w:after="0" w:afterAutospacing="0"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④吸附溶解</w:t>
      </w:r>
    </w:p>
    <w:p w14:paraId="1CFC305C">
      <w:pPr>
        <w:pStyle w:val="48"/>
        <w:spacing w:before="0" w:beforeAutospacing="0" w:after="0" w:afterAutospacing="0"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植物液中的一些糖类可吸附并溶解臭气中的异味分子</w:t>
      </w:r>
    </w:p>
    <w:p w14:paraId="6EB717B1">
      <w:pPr>
        <w:pStyle w:val="48"/>
        <w:spacing w:before="0" w:beforeAutospacing="0" w:after="0" w:afterAutospacing="0"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⑤酯化反应</w:t>
      </w:r>
    </w:p>
    <w:p w14:paraId="3E13036E">
      <w:pPr>
        <w:pStyle w:val="48"/>
        <w:spacing w:before="0" w:beforeAutospacing="0" w:after="0" w:afterAutospacing="0"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植物液中的单宁类物质可以同异味分子发生酯化或酯交换反应，从而去除异味或生成具有芳香的物质。</w:t>
      </w:r>
    </w:p>
    <w:p w14:paraId="6177C2E5">
      <w:pPr>
        <w:spacing w:line="360" w:lineRule="auto"/>
        <w:ind w:firstLine="482" w:firstLineChars="200"/>
        <w:rPr>
          <w:b/>
          <w:bCs/>
          <w:color w:val="auto"/>
          <w:sz w:val="24"/>
        </w:rPr>
      </w:pPr>
      <w:r>
        <w:rPr>
          <w:rFonts w:hint="eastAsia"/>
          <w:b/>
          <w:bCs/>
          <w:color w:val="auto"/>
          <w:sz w:val="24"/>
        </w:rPr>
        <w:t>2）</w:t>
      </w:r>
      <w:r>
        <w:rPr>
          <w:b/>
          <w:bCs/>
          <w:color w:val="auto"/>
          <w:sz w:val="24"/>
        </w:rPr>
        <w:t>复方酚溶液</w:t>
      </w:r>
    </w:p>
    <w:p w14:paraId="48E48F45">
      <w:pPr>
        <w:spacing w:line="360" w:lineRule="auto"/>
        <w:ind w:firstLine="480" w:firstLineChars="200"/>
        <w:rPr>
          <w:color w:val="auto"/>
          <w:sz w:val="24"/>
        </w:rPr>
      </w:pPr>
      <w:r>
        <w:rPr>
          <w:color w:val="auto"/>
          <w:sz w:val="24"/>
        </w:rPr>
        <w:t>主要成分为邻苯基苯酚和对氯间甲酚，具体规格为100g复方酚溶液中含有12g邻苯基苯酚及12g对氯间甲酚，使用时需稀释后喷雾，主要用于动物圈舍表面、器具、设备的消毒。</w:t>
      </w:r>
    </w:p>
    <w:p w14:paraId="7B4595FC">
      <w:pPr>
        <w:spacing w:line="360" w:lineRule="auto"/>
        <w:ind w:firstLine="482" w:firstLineChars="200"/>
        <w:rPr>
          <w:b/>
          <w:bCs/>
          <w:color w:val="auto"/>
          <w:sz w:val="24"/>
        </w:rPr>
      </w:pPr>
      <w:r>
        <w:rPr>
          <w:rFonts w:hint="eastAsia"/>
          <w:b/>
          <w:bCs/>
          <w:color w:val="auto"/>
          <w:sz w:val="24"/>
        </w:rPr>
        <w:t>3）</w:t>
      </w:r>
      <w:r>
        <w:rPr>
          <w:b/>
          <w:bCs/>
          <w:color w:val="auto"/>
          <w:sz w:val="24"/>
        </w:rPr>
        <w:t>碘伏</w:t>
      </w:r>
    </w:p>
    <w:p w14:paraId="6D99AE21">
      <w:pPr>
        <w:spacing w:line="360" w:lineRule="auto"/>
        <w:ind w:firstLine="480" w:firstLineChars="200"/>
        <w:rPr>
          <w:color w:val="auto"/>
          <w:sz w:val="24"/>
        </w:rPr>
      </w:pPr>
      <w:r>
        <w:rPr>
          <w:color w:val="auto"/>
          <w:sz w:val="24"/>
        </w:rPr>
        <w:t>红色粘稠液体，主要成分为碘、碘化钾、磷酸、硫酸、表面活化剂，使用时需配置成0.5%~1%溶液，常用于手术部位和手术器械消毒，为消毒防腐药。碘具有强大的消毒作用，可杀灭细菌芽孢、真菌、病毒、原虫。碘主要以分子（I</w:t>
      </w:r>
      <w:r>
        <w:rPr>
          <w:color w:val="auto"/>
          <w:sz w:val="24"/>
          <w:vertAlign w:val="subscript"/>
        </w:rPr>
        <w:t>2</w:t>
      </w:r>
      <w:r>
        <w:rPr>
          <w:color w:val="auto"/>
          <w:sz w:val="24"/>
        </w:rPr>
        <w:t>）形式发挥作用，其原理可能是碘化和氧化病原微生物蛋白活性基因，并与蛋白的氨基结合而导致蛋白变性和抑制病原微生物的代谢酶系统。碘在酸性条件下，有力碘增多，杀菌作用强。</w:t>
      </w:r>
    </w:p>
    <w:p w14:paraId="44171036">
      <w:pPr>
        <w:autoSpaceDE w:val="0"/>
        <w:autoSpaceDN w:val="0"/>
        <w:adjustRightInd w:val="0"/>
        <w:spacing w:line="360" w:lineRule="auto"/>
        <w:ind w:firstLine="482" w:firstLineChars="200"/>
        <w:rPr>
          <w:color w:val="auto"/>
          <w:sz w:val="24"/>
          <w:highlight w:val="none"/>
        </w:rPr>
      </w:pPr>
      <w:r>
        <w:rPr>
          <w:rFonts w:hint="eastAsia"/>
          <w:b/>
          <w:bCs/>
          <w:color w:val="auto"/>
          <w:sz w:val="24"/>
          <w:highlight w:val="none"/>
        </w:rPr>
        <w:t>4）</w:t>
      </w:r>
      <w:r>
        <w:rPr>
          <w:rFonts w:hint="eastAsia"/>
          <w:b/>
          <w:bCs/>
          <w:color w:val="auto"/>
          <w:sz w:val="24"/>
          <w:highlight w:val="none"/>
          <w:lang w:eastAsia="zh-CN"/>
        </w:rPr>
        <w:t>生物质成型</w:t>
      </w:r>
      <w:r>
        <w:rPr>
          <w:rFonts w:hint="eastAsia"/>
          <w:b/>
          <w:bCs/>
          <w:color w:val="auto"/>
          <w:sz w:val="24"/>
          <w:highlight w:val="none"/>
        </w:rPr>
        <w:t>燃料</w:t>
      </w:r>
    </w:p>
    <w:p w14:paraId="02208B63">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lang w:val="en-US" w:eastAsia="zh-CN" w:bidi="ar-SA"/>
        </w:rPr>
        <w:t>根据企业提供的燃料成分化验单（详见附件）可知，项目使用生物质</w:t>
      </w:r>
      <w:r>
        <w:rPr>
          <w:rFonts w:hint="eastAsia" w:ascii="宋体" w:hAnsi="宋体" w:cs="Times New Roman"/>
          <w:color w:val="auto"/>
          <w:kern w:val="2"/>
          <w:sz w:val="24"/>
          <w:szCs w:val="24"/>
          <w:lang w:val="en-US" w:eastAsia="zh-CN" w:bidi="ar-SA"/>
        </w:rPr>
        <w:t>颗粒</w:t>
      </w:r>
      <w:r>
        <w:rPr>
          <w:rFonts w:hint="eastAsia" w:ascii="宋体" w:hAnsi="宋体" w:eastAsia="宋体" w:cs="Times New Roman"/>
          <w:color w:val="auto"/>
          <w:kern w:val="2"/>
          <w:sz w:val="24"/>
          <w:szCs w:val="24"/>
          <w:lang w:val="en-US" w:eastAsia="zh-CN" w:bidi="ar-SA"/>
        </w:rPr>
        <w:t>成分</w:t>
      </w:r>
      <w:r>
        <w:rPr>
          <w:rFonts w:hint="eastAsia" w:ascii="宋体" w:hAnsi="宋体" w:cs="Times New Roman"/>
          <w:color w:val="auto"/>
          <w:kern w:val="2"/>
          <w:sz w:val="24"/>
          <w:szCs w:val="24"/>
          <w:lang w:val="en-US" w:eastAsia="zh-CN" w:bidi="ar-SA"/>
        </w:rPr>
        <w:t>分析</w:t>
      </w:r>
      <w:r>
        <w:rPr>
          <w:rFonts w:hint="eastAsia" w:ascii="宋体" w:hAnsi="宋体" w:eastAsia="宋体" w:cs="Times New Roman"/>
          <w:color w:val="auto"/>
          <w:kern w:val="2"/>
          <w:sz w:val="24"/>
          <w:szCs w:val="24"/>
          <w:lang w:val="en-US" w:eastAsia="zh-CN" w:bidi="ar-SA"/>
        </w:rPr>
        <w:t>如下。</w:t>
      </w:r>
    </w:p>
    <w:p w14:paraId="6781C81D">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422" w:firstLineChars="20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eastAsia" w:cs="Times New Roman"/>
          <w:b/>
          <w:bCs/>
          <w:color w:val="auto"/>
          <w:kern w:val="2"/>
          <w:sz w:val="21"/>
          <w:szCs w:val="21"/>
          <w:highlight w:val="none"/>
          <w:lang w:val="en-US" w:eastAsia="zh-CN" w:bidi="ar-SA"/>
        </w:rPr>
        <w:t>3.</w:t>
      </w:r>
      <w:r>
        <w:rPr>
          <w:rFonts w:hint="eastAsia" w:ascii="Times New Roman" w:hAnsi="Times New Roman"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t xml:space="preserve">  </w:t>
      </w:r>
      <w:r>
        <w:rPr>
          <w:rFonts w:hint="eastAsia" w:ascii="Times New Roman" w:hAnsi="Times New Roman" w:eastAsia="宋体" w:cs="Times New Roman"/>
          <w:b/>
          <w:bCs/>
          <w:color w:val="auto"/>
          <w:kern w:val="2"/>
          <w:sz w:val="21"/>
          <w:szCs w:val="21"/>
          <w:highlight w:val="none"/>
          <w:lang w:val="en-US" w:eastAsia="zh-CN" w:bidi="ar-SA"/>
        </w:rPr>
        <w:t xml:space="preserve"> </w:t>
      </w:r>
      <w:r>
        <w:rPr>
          <w:rFonts w:hint="default" w:ascii="Times New Roman" w:hAnsi="Times New Roman" w:eastAsia="宋体" w:cs="Times New Roman"/>
          <w:b/>
          <w:bCs/>
          <w:color w:val="auto"/>
          <w:kern w:val="2"/>
          <w:sz w:val="21"/>
          <w:szCs w:val="21"/>
          <w:highlight w:val="none"/>
          <w:lang w:val="en-US" w:eastAsia="zh-CN" w:bidi="ar-SA"/>
        </w:rPr>
        <w:t xml:space="preserve"> </w:t>
      </w:r>
      <w:r>
        <w:rPr>
          <w:rFonts w:hint="eastAsia" w:ascii="Times New Roman" w:hAnsi="Times New Roman" w:eastAsia="宋体" w:cs="Times New Roman"/>
          <w:b/>
          <w:bCs/>
          <w:color w:val="auto"/>
          <w:kern w:val="2"/>
          <w:sz w:val="21"/>
          <w:szCs w:val="21"/>
          <w:highlight w:val="none"/>
          <w:lang w:val="en-US" w:eastAsia="zh-CN" w:bidi="ar-SA"/>
        </w:rPr>
        <w:t>燃料</w:t>
      </w:r>
      <w:r>
        <w:rPr>
          <w:rFonts w:hint="default" w:ascii="Times New Roman" w:hAnsi="Times New Roman" w:eastAsia="宋体" w:cs="Times New Roman"/>
          <w:b/>
          <w:bCs/>
          <w:color w:val="auto"/>
          <w:kern w:val="2"/>
          <w:sz w:val="21"/>
          <w:szCs w:val="21"/>
          <w:highlight w:val="none"/>
          <w:lang w:val="en-US" w:eastAsia="zh-CN" w:bidi="ar-SA"/>
        </w:rPr>
        <w:t>成分表</w:t>
      </w:r>
    </w:p>
    <w:tbl>
      <w:tblPr>
        <w:tblStyle w:val="53"/>
        <w:tblW w:w="4991"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 w:type="dxa"/>
          <w:bottom w:w="0" w:type="dxa"/>
          <w:right w:w="10" w:type="dxa"/>
        </w:tblCellMar>
      </w:tblPr>
      <w:tblGrid>
        <w:gridCol w:w="752"/>
        <w:gridCol w:w="2429"/>
        <w:gridCol w:w="1371"/>
        <w:gridCol w:w="1290"/>
        <w:gridCol w:w="2475"/>
      </w:tblGrid>
      <w:tr w14:paraId="135182DB">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451" w:type="pct"/>
            <w:tcBorders>
              <w:tl2br w:val="nil"/>
              <w:tr2bl w:val="nil"/>
            </w:tcBorders>
            <w:noWrap w:val="0"/>
            <w:vAlign w:val="center"/>
          </w:tcPr>
          <w:p w14:paraId="1DBFC712">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序号</w:t>
            </w:r>
          </w:p>
        </w:tc>
        <w:tc>
          <w:tcPr>
            <w:tcW w:w="1459" w:type="pct"/>
            <w:tcBorders>
              <w:tl2br w:val="nil"/>
              <w:tr2bl w:val="nil"/>
            </w:tcBorders>
            <w:noWrap w:val="0"/>
            <w:vAlign w:val="center"/>
          </w:tcPr>
          <w:p w14:paraId="1A1639F6">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项目</w:t>
            </w:r>
          </w:p>
        </w:tc>
        <w:tc>
          <w:tcPr>
            <w:tcW w:w="824" w:type="pct"/>
            <w:tcBorders>
              <w:tl2br w:val="nil"/>
              <w:tr2bl w:val="nil"/>
            </w:tcBorders>
            <w:noWrap w:val="0"/>
            <w:vAlign w:val="center"/>
          </w:tcPr>
          <w:p w14:paraId="3EBDF53B">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符号</w:t>
            </w:r>
          </w:p>
        </w:tc>
        <w:tc>
          <w:tcPr>
            <w:tcW w:w="775" w:type="pct"/>
            <w:tcBorders>
              <w:tl2br w:val="nil"/>
              <w:tr2bl w:val="nil"/>
            </w:tcBorders>
            <w:noWrap w:val="0"/>
            <w:vAlign w:val="center"/>
          </w:tcPr>
          <w:p w14:paraId="4E014F1F">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单位</w:t>
            </w:r>
          </w:p>
        </w:tc>
        <w:tc>
          <w:tcPr>
            <w:tcW w:w="1488" w:type="pct"/>
            <w:tcBorders>
              <w:tl2br w:val="nil"/>
              <w:tr2bl w:val="nil"/>
            </w:tcBorders>
            <w:noWrap w:val="0"/>
            <w:vAlign w:val="center"/>
          </w:tcPr>
          <w:p w14:paraId="68638D73">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检查结果</w:t>
            </w:r>
          </w:p>
        </w:tc>
      </w:tr>
      <w:tr w14:paraId="68015050">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451" w:type="pct"/>
            <w:tcBorders>
              <w:tl2br w:val="nil"/>
              <w:tr2bl w:val="nil"/>
            </w:tcBorders>
            <w:noWrap w:val="0"/>
            <w:vAlign w:val="center"/>
          </w:tcPr>
          <w:p w14:paraId="56FE56E1">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1</w:t>
            </w:r>
          </w:p>
        </w:tc>
        <w:tc>
          <w:tcPr>
            <w:tcW w:w="1459" w:type="pct"/>
            <w:tcBorders>
              <w:tl2br w:val="nil"/>
              <w:tr2bl w:val="nil"/>
            </w:tcBorders>
            <w:noWrap w:val="0"/>
            <w:vAlign w:val="center"/>
          </w:tcPr>
          <w:p w14:paraId="40C154B1">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t>水分</w:t>
            </w:r>
          </w:p>
        </w:tc>
        <w:tc>
          <w:tcPr>
            <w:tcW w:w="824" w:type="pct"/>
            <w:tcBorders>
              <w:tl2br w:val="nil"/>
              <w:tr2bl w:val="nil"/>
            </w:tcBorders>
            <w:noWrap w:val="0"/>
            <w:vAlign w:val="center"/>
          </w:tcPr>
          <w:p w14:paraId="1C9863B1">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M</w:t>
            </w:r>
          </w:p>
        </w:tc>
        <w:tc>
          <w:tcPr>
            <w:tcW w:w="775" w:type="pct"/>
            <w:tcBorders>
              <w:tl2br w:val="nil"/>
              <w:tr2bl w:val="nil"/>
            </w:tcBorders>
            <w:noWrap w:val="0"/>
            <w:vAlign w:val="center"/>
          </w:tcPr>
          <w:p w14:paraId="79AB267A">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w:t>
            </w:r>
          </w:p>
        </w:tc>
        <w:tc>
          <w:tcPr>
            <w:tcW w:w="1488" w:type="pct"/>
            <w:tcBorders>
              <w:tl2br w:val="nil"/>
              <w:tr2bl w:val="nil"/>
            </w:tcBorders>
            <w:noWrap w:val="0"/>
            <w:vAlign w:val="center"/>
          </w:tcPr>
          <w:p w14:paraId="4209C60F">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2.27</w:t>
            </w:r>
          </w:p>
        </w:tc>
      </w:tr>
      <w:tr w14:paraId="2294F7FA">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451" w:type="pct"/>
            <w:tcBorders>
              <w:tl2br w:val="nil"/>
              <w:tr2bl w:val="nil"/>
            </w:tcBorders>
            <w:noWrap w:val="0"/>
            <w:vAlign w:val="center"/>
          </w:tcPr>
          <w:p w14:paraId="1F676CCD">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2</w:t>
            </w:r>
          </w:p>
        </w:tc>
        <w:tc>
          <w:tcPr>
            <w:tcW w:w="1459" w:type="pct"/>
            <w:tcBorders>
              <w:tl2br w:val="nil"/>
              <w:tr2bl w:val="nil"/>
            </w:tcBorders>
            <w:noWrap w:val="0"/>
            <w:vAlign w:val="center"/>
          </w:tcPr>
          <w:p w14:paraId="65547AE6">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t>灰分</w:t>
            </w:r>
          </w:p>
        </w:tc>
        <w:tc>
          <w:tcPr>
            <w:tcW w:w="824" w:type="pct"/>
            <w:tcBorders>
              <w:tl2br w:val="nil"/>
              <w:tr2bl w:val="nil"/>
            </w:tcBorders>
            <w:noWrap w:val="0"/>
            <w:vAlign w:val="center"/>
          </w:tcPr>
          <w:p w14:paraId="5A2F90C1">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A</w:t>
            </w:r>
          </w:p>
        </w:tc>
        <w:tc>
          <w:tcPr>
            <w:tcW w:w="775" w:type="pct"/>
            <w:tcBorders>
              <w:tl2br w:val="nil"/>
              <w:tr2bl w:val="nil"/>
            </w:tcBorders>
            <w:noWrap w:val="0"/>
            <w:vAlign w:val="center"/>
          </w:tcPr>
          <w:p w14:paraId="4BFFFED1">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position w:val="0"/>
                <w:sz w:val="21"/>
                <w:szCs w:val="21"/>
                <w:highlight w:val="none"/>
                <w:lang w:val="zh-TW" w:eastAsia="zh-TW" w:bidi="zh-TW"/>
              </w:rPr>
            </w:pPr>
            <w:r>
              <w:rPr>
                <w:rFonts w:hint="default" w:ascii="Times New Roman" w:hAnsi="Times New Roman" w:eastAsia="宋体" w:cs="Times New Roman"/>
                <w:color w:val="auto"/>
                <w:spacing w:val="0"/>
                <w:w w:val="100"/>
                <w:position w:val="0"/>
                <w:sz w:val="21"/>
                <w:szCs w:val="21"/>
                <w:highlight w:val="none"/>
                <w:lang w:val="en-US" w:eastAsia="zh-CN" w:bidi="zh-TW"/>
              </w:rPr>
              <w:t>%</w:t>
            </w:r>
          </w:p>
        </w:tc>
        <w:tc>
          <w:tcPr>
            <w:tcW w:w="1488" w:type="pct"/>
            <w:tcBorders>
              <w:tl2br w:val="nil"/>
              <w:tr2bl w:val="nil"/>
            </w:tcBorders>
            <w:noWrap w:val="0"/>
            <w:vAlign w:val="center"/>
          </w:tcPr>
          <w:p w14:paraId="726BE8F2">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5.64</w:t>
            </w:r>
          </w:p>
        </w:tc>
      </w:tr>
      <w:tr w14:paraId="3D44561A">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451" w:type="pct"/>
            <w:tcBorders>
              <w:tl2br w:val="nil"/>
              <w:tr2bl w:val="nil"/>
            </w:tcBorders>
            <w:noWrap w:val="0"/>
            <w:vAlign w:val="center"/>
          </w:tcPr>
          <w:p w14:paraId="2DEEF159">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3</w:t>
            </w:r>
          </w:p>
        </w:tc>
        <w:tc>
          <w:tcPr>
            <w:tcW w:w="1459" w:type="pct"/>
            <w:tcBorders>
              <w:tl2br w:val="nil"/>
              <w:tr2bl w:val="nil"/>
            </w:tcBorders>
            <w:noWrap w:val="0"/>
            <w:vAlign w:val="center"/>
          </w:tcPr>
          <w:p w14:paraId="6366805B">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t>挥发分</w:t>
            </w:r>
          </w:p>
        </w:tc>
        <w:tc>
          <w:tcPr>
            <w:tcW w:w="824" w:type="pct"/>
            <w:tcBorders>
              <w:tl2br w:val="nil"/>
              <w:tr2bl w:val="nil"/>
            </w:tcBorders>
            <w:noWrap w:val="0"/>
            <w:vAlign w:val="center"/>
          </w:tcPr>
          <w:p w14:paraId="790FEAF4">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Var</w:t>
            </w:r>
          </w:p>
        </w:tc>
        <w:tc>
          <w:tcPr>
            <w:tcW w:w="775" w:type="pct"/>
            <w:tcBorders>
              <w:tl2br w:val="nil"/>
              <w:tr2bl w:val="nil"/>
            </w:tcBorders>
            <w:noWrap w:val="0"/>
            <w:vAlign w:val="center"/>
          </w:tcPr>
          <w:p w14:paraId="713E9E5B">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position w:val="0"/>
                <w:sz w:val="21"/>
                <w:szCs w:val="21"/>
                <w:highlight w:val="none"/>
                <w:lang w:val="zh-TW" w:eastAsia="zh-TW" w:bidi="zh-TW"/>
              </w:rPr>
            </w:pPr>
            <w:r>
              <w:rPr>
                <w:rFonts w:hint="default" w:ascii="Times New Roman" w:hAnsi="Times New Roman" w:eastAsia="宋体" w:cs="Times New Roman"/>
                <w:color w:val="auto"/>
                <w:spacing w:val="0"/>
                <w:w w:val="100"/>
                <w:position w:val="0"/>
                <w:sz w:val="21"/>
                <w:szCs w:val="21"/>
                <w:highlight w:val="none"/>
                <w:lang w:val="en-US" w:eastAsia="zh-CN" w:bidi="zh-TW"/>
              </w:rPr>
              <w:t>%</w:t>
            </w:r>
          </w:p>
        </w:tc>
        <w:tc>
          <w:tcPr>
            <w:tcW w:w="1488" w:type="pct"/>
            <w:tcBorders>
              <w:tl2br w:val="nil"/>
              <w:tr2bl w:val="nil"/>
            </w:tcBorders>
            <w:noWrap w:val="0"/>
            <w:vAlign w:val="center"/>
          </w:tcPr>
          <w:p w14:paraId="4768535E">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71.30</w:t>
            </w:r>
          </w:p>
        </w:tc>
      </w:tr>
      <w:tr w14:paraId="7C25D8F0">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451" w:type="pct"/>
            <w:tcBorders>
              <w:tl2br w:val="nil"/>
              <w:tr2bl w:val="nil"/>
            </w:tcBorders>
            <w:noWrap w:val="0"/>
            <w:vAlign w:val="center"/>
          </w:tcPr>
          <w:p w14:paraId="349475BD">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4</w:t>
            </w:r>
          </w:p>
        </w:tc>
        <w:tc>
          <w:tcPr>
            <w:tcW w:w="1459" w:type="pct"/>
            <w:tcBorders>
              <w:tl2br w:val="nil"/>
              <w:tr2bl w:val="nil"/>
            </w:tcBorders>
            <w:noWrap w:val="0"/>
            <w:vAlign w:val="center"/>
          </w:tcPr>
          <w:p w14:paraId="65C80FEF">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t>固定碳</w:t>
            </w:r>
          </w:p>
        </w:tc>
        <w:tc>
          <w:tcPr>
            <w:tcW w:w="824" w:type="pct"/>
            <w:tcBorders>
              <w:tl2br w:val="nil"/>
              <w:tr2bl w:val="nil"/>
            </w:tcBorders>
            <w:noWrap w:val="0"/>
            <w:vAlign w:val="center"/>
          </w:tcPr>
          <w:p w14:paraId="7B943997">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FC</w:t>
            </w:r>
          </w:p>
        </w:tc>
        <w:tc>
          <w:tcPr>
            <w:tcW w:w="775" w:type="pct"/>
            <w:tcBorders>
              <w:tl2br w:val="nil"/>
              <w:tr2bl w:val="nil"/>
            </w:tcBorders>
            <w:noWrap w:val="0"/>
            <w:vAlign w:val="center"/>
          </w:tcPr>
          <w:p w14:paraId="7D0FCB02">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position w:val="0"/>
                <w:sz w:val="21"/>
                <w:szCs w:val="21"/>
                <w:highlight w:val="none"/>
                <w:lang w:val="zh-TW" w:eastAsia="zh-TW" w:bidi="zh-TW"/>
              </w:rPr>
            </w:pPr>
            <w:r>
              <w:rPr>
                <w:rFonts w:hint="default" w:ascii="Times New Roman" w:hAnsi="Times New Roman" w:eastAsia="宋体" w:cs="Times New Roman"/>
                <w:color w:val="auto"/>
                <w:spacing w:val="0"/>
                <w:w w:val="100"/>
                <w:position w:val="0"/>
                <w:sz w:val="21"/>
                <w:szCs w:val="21"/>
                <w:highlight w:val="none"/>
                <w:lang w:val="en-US" w:eastAsia="zh-CN" w:bidi="zh-TW"/>
              </w:rPr>
              <w:t>%</w:t>
            </w:r>
          </w:p>
        </w:tc>
        <w:tc>
          <w:tcPr>
            <w:tcW w:w="1488" w:type="pct"/>
            <w:tcBorders>
              <w:tl2br w:val="nil"/>
              <w:tr2bl w:val="nil"/>
            </w:tcBorders>
            <w:noWrap w:val="0"/>
            <w:vAlign w:val="center"/>
          </w:tcPr>
          <w:p w14:paraId="1686F608">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17.16</w:t>
            </w:r>
          </w:p>
        </w:tc>
      </w:tr>
      <w:tr w14:paraId="7373EE05">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451" w:type="pct"/>
            <w:tcBorders>
              <w:tl2br w:val="nil"/>
              <w:tr2bl w:val="nil"/>
            </w:tcBorders>
            <w:noWrap w:val="0"/>
            <w:vAlign w:val="center"/>
          </w:tcPr>
          <w:p w14:paraId="6A64FDD1">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5</w:t>
            </w:r>
          </w:p>
        </w:tc>
        <w:tc>
          <w:tcPr>
            <w:tcW w:w="1459" w:type="pct"/>
            <w:tcBorders>
              <w:tl2br w:val="nil"/>
              <w:tr2bl w:val="nil"/>
            </w:tcBorders>
            <w:noWrap w:val="0"/>
            <w:vAlign w:val="center"/>
          </w:tcPr>
          <w:p w14:paraId="0CBED236">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t>氢</w:t>
            </w:r>
          </w:p>
        </w:tc>
        <w:tc>
          <w:tcPr>
            <w:tcW w:w="824" w:type="pct"/>
            <w:tcBorders>
              <w:tl2br w:val="nil"/>
              <w:tr2bl w:val="nil"/>
            </w:tcBorders>
            <w:noWrap w:val="0"/>
            <w:vAlign w:val="center"/>
          </w:tcPr>
          <w:p w14:paraId="00F1CB28">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H</w:t>
            </w:r>
          </w:p>
        </w:tc>
        <w:tc>
          <w:tcPr>
            <w:tcW w:w="775" w:type="pct"/>
            <w:tcBorders>
              <w:tl2br w:val="nil"/>
              <w:tr2bl w:val="nil"/>
            </w:tcBorders>
            <w:noWrap w:val="0"/>
            <w:vAlign w:val="center"/>
          </w:tcPr>
          <w:p w14:paraId="583B135A">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position w:val="0"/>
                <w:sz w:val="21"/>
                <w:szCs w:val="21"/>
                <w:highlight w:val="none"/>
                <w:lang w:val="zh-TW" w:eastAsia="zh-TW" w:bidi="zh-TW"/>
              </w:rPr>
            </w:pPr>
            <w:r>
              <w:rPr>
                <w:rFonts w:hint="default" w:ascii="Times New Roman" w:hAnsi="Times New Roman" w:eastAsia="宋体" w:cs="Times New Roman"/>
                <w:color w:val="auto"/>
                <w:spacing w:val="0"/>
                <w:w w:val="100"/>
                <w:position w:val="0"/>
                <w:sz w:val="21"/>
                <w:szCs w:val="21"/>
                <w:highlight w:val="none"/>
                <w:lang w:val="en-US" w:eastAsia="zh-CN" w:bidi="zh-TW"/>
              </w:rPr>
              <w:t>%</w:t>
            </w:r>
          </w:p>
        </w:tc>
        <w:tc>
          <w:tcPr>
            <w:tcW w:w="1488" w:type="pct"/>
            <w:tcBorders>
              <w:tl2br w:val="nil"/>
              <w:tr2bl w:val="nil"/>
            </w:tcBorders>
            <w:noWrap w:val="0"/>
            <w:vAlign w:val="center"/>
          </w:tcPr>
          <w:p w14:paraId="2C392844">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5.04</w:t>
            </w:r>
          </w:p>
        </w:tc>
      </w:tr>
      <w:tr w14:paraId="7B53557F">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451" w:type="pct"/>
            <w:tcBorders>
              <w:tl2br w:val="nil"/>
              <w:tr2bl w:val="nil"/>
            </w:tcBorders>
            <w:noWrap w:val="0"/>
            <w:vAlign w:val="center"/>
          </w:tcPr>
          <w:p w14:paraId="40B00941">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6</w:t>
            </w:r>
          </w:p>
        </w:tc>
        <w:tc>
          <w:tcPr>
            <w:tcW w:w="1459" w:type="pct"/>
            <w:tcBorders>
              <w:tl2br w:val="nil"/>
              <w:tr2bl w:val="nil"/>
            </w:tcBorders>
            <w:noWrap w:val="0"/>
            <w:vAlign w:val="center"/>
          </w:tcPr>
          <w:p w14:paraId="317F135C">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t>全硫</w:t>
            </w:r>
          </w:p>
        </w:tc>
        <w:tc>
          <w:tcPr>
            <w:tcW w:w="824" w:type="pct"/>
            <w:tcBorders>
              <w:tl2br w:val="nil"/>
              <w:tr2bl w:val="nil"/>
            </w:tcBorders>
            <w:noWrap w:val="0"/>
            <w:vAlign w:val="center"/>
          </w:tcPr>
          <w:p w14:paraId="24DB444C">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St</w:t>
            </w:r>
          </w:p>
        </w:tc>
        <w:tc>
          <w:tcPr>
            <w:tcW w:w="775" w:type="pct"/>
            <w:tcBorders>
              <w:tl2br w:val="nil"/>
              <w:tr2bl w:val="nil"/>
            </w:tcBorders>
            <w:noWrap w:val="0"/>
            <w:vAlign w:val="center"/>
          </w:tcPr>
          <w:p w14:paraId="3FDA1A9B">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position w:val="0"/>
                <w:sz w:val="21"/>
                <w:szCs w:val="21"/>
                <w:highlight w:val="none"/>
                <w:lang w:val="zh-TW" w:eastAsia="zh-TW" w:bidi="zh-TW"/>
              </w:rPr>
            </w:pPr>
            <w:r>
              <w:rPr>
                <w:rFonts w:hint="default" w:ascii="Times New Roman" w:hAnsi="Times New Roman" w:eastAsia="宋体" w:cs="Times New Roman"/>
                <w:color w:val="auto"/>
                <w:spacing w:val="0"/>
                <w:w w:val="100"/>
                <w:position w:val="0"/>
                <w:sz w:val="21"/>
                <w:szCs w:val="21"/>
                <w:highlight w:val="none"/>
                <w:lang w:val="en-US" w:eastAsia="zh-CN" w:bidi="zh-TW"/>
              </w:rPr>
              <w:t>%</w:t>
            </w:r>
          </w:p>
        </w:tc>
        <w:tc>
          <w:tcPr>
            <w:tcW w:w="1488" w:type="pct"/>
            <w:tcBorders>
              <w:tl2br w:val="nil"/>
              <w:tr2bl w:val="nil"/>
            </w:tcBorders>
            <w:noWrap w:val="0"/>
            <w:vAlign w:val="center"/>
          </w:tcPr>
          <w:p w14:paraId="178A39E5">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0.0</w:t>
            </w:r>
            <w:r>
              <w:rPr>
                <w:rFonts w:hint="eastAsia" w:cs="Times New Roman"/>
                <w:color w:val="auto"/>
                <w:spacing w:val="0"/>
                <w:w w:val="100"/>
                <w:kern w:val="2"/>
                <w:position w:val="0"/>
                <w:sz w:val="21"/>
                <w:szCs w:val="21"/>
                <w:highlight w:val="none"/>
                <w:u w:val="none"/>
                <w:shd w:val="clear" w:color="auto" w:fill="auto"/>
                <w:lang w:val="en-US" w:eastAsia="zh-CN" w:bidi="zh-TW"/>
              </w:rPr>
              <w:t>3</w:t>
            </w:r>
          </w:p>
        </w:tc>
      </w:tr>
      <w:tr w14:paraId="65331BF2">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451" w:type="pct"/>
            <w:tcBorders>
              <w:tl2br w:val="nil"/>
              <w:tr2bl w:val="nil"/>
            </w:tcBorders>
            <w:noWrap w:val="0"/>
            <w:vAlign w:val="center"/>
          </w:tcPr>
          <w:p w14:paraId="14E80FBC">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7</w:t>
            </w:r>
          </w:p>
        </w:tc>
        <w:tc>
          <w:tcPr>
            <w:tcW w:w="1459" w:type="pct"/>
            <w:tcBorders>
              <w:tl2br w:val="nil"/>
              <w:tr2bl w:val="nil"/>
            </w:tcBorders>
            <w:noWrap w:val="0"/>
            <w:vAlign w:val="center"/>
          </w:tcPr>
          <w:p w14:paraId="3463E44D">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t>全水</w:t>
            </w:r>
          </w:p>
        </w:tc>
        <w:tc>
          <w:tcPr>
            <w:tcW w:w="824" w:type="pct"/>
            <w:tcBorders>
              <w:tl2br w:val="nil"/>
              <w:tr2bl w:val="nil"/>
            </w:tcBorders>
            <w:noWrap w:val="0"/>
            <w:vAlign w:val="center"/>
          </w:tcPr>
          <w:p w14:paraId="45E5A989">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Mt</w:t>
            </w:r>
          </w:p>
        </w:tc>
        <w:tc>
          <w:tcPr>
            <w:tcW w:w="775" w:type="pct"/>
            <w:tcBorders>
              <w:tl2br w:val="nil"/>
              <w:tr2bl w:val="nil"/>
            </w:tcBorders>
            <w:noWrap w:val="0"/>
            <w:vAlign w:val="center"/>
          </w:tcPr>
          <w:p w14:paraId="790C13AB">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position w:val="0"/>
                <w:sz w:val="21"/>
                <w:szCs w:val="21"/>
                <w:highlight w:val="none"/>
                <w:lang w:val="zh-TW" w:eastAsia="zh-TW" w:bidi="zh-TW"/>
              </w:rPr>
            </w:pPr>
            <w:r>
              <w:rPr>
                <w:rFonts w:hint="default" w:ascii="Times New Roman" w:hAnsi="Times New Roman" w:eastAsia="宋体" w:cs="Times New Roman"/>
                <w:color w:val="auto"/>
                <w:spacing w:val="0"/>
                <w:w w:val="100"/>
                <w:position w:val="0"/>
                <w:sz w:val="21"/>
                <w:szCs w:val="21"/>
                <w:highlight w:val="none"/>
                <w:lang w:val="en-US" w:eastAsia="zh-CN" w:bidi="zh-TW"/>
              </w:rPr>
              <w:t>%</w:t>
            </w:r>
          </w:p>
        </w:tc>
        <w:tc>
          <w:tcPr>
            <w:tcW w:w="1488" w:type="pct"/>
            <w:tcBorders>
              <w:tl2br w:val="nil"/>
              <w:tr2bl w:val="nil"/>
            </w:tcBorders>
            <w:noWrap w:val="0"/>
            <w:vAlign w:val="center"/>
          </w:tcPr>
          <w:p w14:paraId="6852B1FD">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5.9</w:t>
            </w:r>
          </w:p>
        </w:tc>
      </w:tr>
      <w:tr w14:paraId="29F7A782">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451" w:type="pct"/>
            <w:tcBorders>
              <w:tl2br w:val="nil"/>
              <w:tr2bl w:val="nil"/>
            </w:tcBorders>
            <w:noWrap w:val="0"/>
            <w:vAlign w:val="center"/>
          </w:tcPr>
          <w:p w14:paraId="5302F009">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8</w:t>
            </w:r>
          </w:p>
        </w:tc>
        <w:tc>
          <w:tcPr>
            <w:tcW w:w="1459" w:type="pct"/>
            <w:tcBorders>
              <w:tl2br w:val="nil"/>
              <w:tr2bl w:val="nil"/>
            </w:tcBorders>
            <w:noWrap w:val="0"/>
            <w:vAlign w:val="center"/>
          </w:tcPr>
          <w:p w14:paraId="1F17F81F">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t>弹筒</w:t>
            </w: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t>发热量</w:t>
            </w:r>
          </w:p>
        </w:tc>
        <w:tc>
          <w:tcPr>
            <w:tcW w:w="824" w:type="pct"/>
            <w:tcBorders>
              <w:tl2br w:val="nil"/>
              <w:tr2bl w:val="nil"/>
            </w:tcBorders>
            <w:noWrap w:val="0"/>
            <w:vAlign w:val="center"/>
          </w:tcPr>
          <w:p w14:paraId="1EF44374">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Qbo</w:t>
            </w:r>
          </w:p>
        </w:tc>
        <w:tc>
          <w:tcPr>
            <w:tcW w:w="775" w:type="pct"/>
            <w:tcBorders>
              <w:tl2br w:val="nil"/>
              <w:tr2bl w:val="nil"/>
            </w:tcBorders>
            <w:noWrap w:val="0"/>
            <w:vAlign w:val="center"/>
          </w:tcPr>
          <w:p w14:paraId="2A8BD7D1">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MJ</w:t>
            </w: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w:t>
            </w: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k</w:t>
            </w: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g</w:t>
            </w:r>
          </w:p>
        </w:tc>
        <w:tc>
          <w:tcPr>
            <w:tcW w:w="1488" w:type="pct"/>
            <w:tcBorders>
              <w:tl2br w:val="nil"/>
              <w:tr2bl w:val="nil"/>
            </w:tcBorders>
            <w:noWrap w:val="0"/>
            <w:vAlign w:val="center"/>
          </w:tcPr>
          <w:p w14:paraId="39DC24CF">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18.39</w:t>
            </w:r>
          </w:p>
        </w:tc>
      </w:tr>
      <w:tr w14:paraId="7271BC9C">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451" w:type="pct"/>
            <w:tcBorders>
              <w:tl2br w:val="nil"/>
              <w:tr2bl w:val="nil"/>
            </w:tcBorders>
            <w:noWrap w:val="0"/>
            <w:vAlign w:val="center"/>
          </w:tcPr>
          <w:p w14:paraId="37473C5E">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9</w:t>
            </w:r>
          </w:p>
        </w:tc>
        <w:tc>
          <w:tcPr>
            <w:tcW w:w="1459" w:type="pct"/>
            <w:tcBorders>
              <w:tl2br w:val="nil"/>
              <w:tr2bl w:val="nil"/>
            </w:tcBorders>
            <w:noWrap w:val="0"/>
            <w:vAlign w:val="center"/>
          </w:tcPr>
          <w:p w14:paraId="799E24A4">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t>高位发热量</w:t>
            </w:r>
          </w:p>
        </w:tc>
        <w:tc>
          <w:tcPr>
            <w:tcW w:w="824" w:type="pct"/>
            <w:tcBorders>
              <w:tl2br w:val="nil"/>
              <w:tr2bl w:val="nil"/>
            </w:tcBorders>
            <w:noWrap w:val="0"/>
            <w:vAlign w:val="center"/>
          </w:tcPr>
          <w:p w14:paraId="5660D8D1">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Qgr</w:t>
            </w:r>
          </w:p>
        </w:tc>
        <w:tc>
          <w:tcPr>
            <w:tcW w:w="775" w:type="pct"/>
            <w:tcBorders>
              <w:tl2br w:val="nil"/>
              <w:tr2bl w:val="nil"/>
            </w:tcBorders>
            <w:noWrap w:val="0"/>
            <w:vAlign w:val="center"/>
          </w:tcPr>
          <w:p w14:paraId="38A12893">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TW"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MJ</w:t>
            </w: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w:t>
            </w: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k</w:t>
            </w: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g</w:t>
            </w:r>
          </w:p>
        </w:tc>
        <w:tc>
          <w:tcPr>
            <w:tcW w:w="1488" w:type="pct"/>
            <w:tcBorders>
              <w:tl2br w:val="nil"/>
              <w:tr2bl w:val="nil"/>
            </w:tcBorders>
            <w:noWrap w:val="0"/>
            <w:vAlign w:val="center"/>
          </w:tcPr>
          <w:p w14:paraId="40BC846A">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18.79</w:t>
            </w:r>
          </w:p>
        </w:tc>
      </w:tr>
      <w:tr w14:paraId="75DC3B55">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451" w:type="pct"/>
            <w:tcBorders>
              <w:tl2br w:val="nil"/>
              <w:tr2bl w:val="nil"/>
            </w:tcBorders>
            <w:noWrap w:val="0"/>
            <w:vAlign w:val="center"/>
          </w:tcPr>
          <w:p w14:paraId="3598487D">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10</w:t>
            </w:r>
          </w:p>
        </w:tc>
        <w:tc>
          <w:tcPr>
            <w:tcW w:w="1459" w:type="pct"/>
            <w:tcBorders>
              <w:tl2br w:val="nil"/>
              <w:tr2bl w:val="nil"/>
            </w:tcBorders>
            <w:noWrap w:val="0"/>
            <w:vAlign w:val="center"/>
          </w:tcPr>
          <w:p w14:paraId="00D5A4DB">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t>低位发热量</w:t>
            </w:r>
          </w:p>
        </w:tc>
        <w:tc>
          <w:tcPr>
            <w:tcW w:w="824" w:type="pct"/>
            <w:tcBorders>
              <w:tl2br w:val="nil"/>
              <w:tr2bl w:val="nil"/>
            </w:tcBorders>
            <w:noWrap w:val="0"/>
            <w:vAlign w:val="center"/>
          </w:tcPr>
          <w:p w14:paraId="47D90663">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Qnet</w:t>
            </w:r>
          </w:p>
        </w:tc>
        <w:tc>
          <w:tcPr>
            <w:tcW w:w="775" w:type="pct"/>
            <w:tcBorders>
              <w:tl2br w:val="nil"/>
              <w:tr2bl w:val="nil"/>
            </w:tcBorders>
            <w:noWrap w:val="0"/>
            <w:vAlign w:val="center"/>
          </w:tcPr>
          <w:p w14:paraId="379A7ACA">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position w:val="0"/>
                <w:sz w:val="21"/>
                <w:szCs w:val="21"/>
                <w:highlight w:val="none"/>
                <w:lang w:val="zh-TW" w:eastAsia="zh-TW"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MJ</w:t>
            </w: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w:t>
            </w: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k</w:t>
            </w: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g</w:t>
            </w:r>
          </w:p>
        </w:tc>
        <w:tc>
          <w:tcPr>
            <w:tcW w:w="1488" w:type="pct"/>
            <w:tcBorders>
              <w:tl2br w:val="nil"/>
              <w:tr2bl w:val="nil"/>
            </w:tcBorders>
            <w:noWrap w:val="0"/>
            <w:vAlign w:val="center"/>
          </w:tcPr>
          <w:p w14:paraId="5943363B">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16.51</w:t>
            </w:r>
          </w:p>
        </w:tc>
      </w:tr>
      <w:tr w14:paraId="0C2BF71A">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451" w:type="pct"/>
            <w:tcBorders>
              <w:tl2br w:val="nil"/>
              <w:tr2bl w:val="nil"/>
            </w:tcBorders>
            <w:noWrap w:val="0"/>
            <w:vAlign w:val="center"/>
          </w:tcPr>
          <w:p w14:paraId="384E68B7">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11</w:t>
            </w:r>
          </w:p>
        </w:tc>
        <w:tc>
          <w:tcPr>
            <w:tcW w:w="1459" w:type="pct"/>
            <w:tcBorders>
              <w:tl2br w:val="nil"/>
              <w:tr2bl w:val="nil"/>
            </w:tcBorders>
            <w:noWrap w:val="0"/>
            <w:vAlign w:val="center"/>
          </w:tcPr>
          <w:p w14:paraId="0D198C1B">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eastAsia"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t>干燥基高位发热量</w:t>
            </w:r>
          </w:p>
        </w:tc>
        <w:tc>
          <w:tcPr>
            <w:tcW w:w="824" w:type="pct"/>
            <w:tcBorders>
              <w:tl2br w:val="nil"/>
              <w:tr2bl w:val="nil"/>
            </w:tcBorders>
            <w:noWrap w:val="0"/>
            <w:vAlign w:val="center"/>
          </w:tcPr>
          <w:p w14:paraId="71DCC2D0">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Qnet，ar</w:t>
            </w:r>
          </w:p>
        </w:tc>
        <w:tc>
          <w:tcPr>
            <w:tcW w:w="775" w:type="pct"/>
            <w:tcBorders>
              <w:tl2br w:val="nil"/>
              <w:tr2bl w:val="nil"/>
            </w:tcBorders>
            <w:noWrap w:val="0"/>
            <w:vAlign w:val="center"/>
          </w:tcPr>
          <w:p w14:paraId="68324EE6">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k</w:t>
            </w: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cal/</w:t>
            </w: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k</w:t>
            </w: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g</w:t>
            </w:r>
          </w:p>
        </w:tc>
        <w:tc>
          <w:tcPr>
            <w:tcW w:w="1488" w:type="pct"/>
            <w:tcBorders>
              <w:tl2br w:val="nil"/>
              <w:tr2bl w:val="nil"/>
            </w:tcBorders>
            <w:noWrap w:val="0"/>
            <w:vAlign w:val="center"/>
          </w:tcPr>
          <w:p w14:paraId="6AF18D82">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4493</w:t>
            </w:r>
          </w:p>
        </w:tc>
      </w:tr>
      <w:tr w14:paraId="6CF64FFB">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90" w:hRule="atLeast"/>
          <w:jc w:val="center"/>
        </w:trPr>
        <w:tc>
          <w:tcPr>
            <w:tcW w:w="451" w:type="pct"/>
            <w:tcBorders>
              <w:tl2br w:val="nil"/>
              <w:tr2bl w:val="nil"/>
            </w:tcBorders>
            <w:noWrap w:val="0"/>
            <w:vAlign w:val="center"/>
          </w:tcPr>
          <w:p w14:paraId="478FFE7C">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12</w:t>
            </w:r>
          </w:p>
        </w:tc>
        <w:tc>
          <w:tcPr>
            <w:tcW w:w="1459" w:type="pct"/>
            <w:tcBorders>
              <w:tl2br w:val="nil"/>
              <w:tr2bl w:val="nil"/>
            </w:tcBorders>
            <w:noWrap w:val="0"/>
            <w:vAlign w:val="center"/>
          </w:tcPr>
          <w:p w14:paraId="7A70537C">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eastAsia"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zh-TW" w:eastAsia="zh-CN" w:bidi="zh-TW"/>
              </w:rPr>
              <w:t>收到基低位发热量</w:t>
            </w:r>
          </w:p>
        </w:tc>
        <w:tc>
          <w:tcPr>
            <w:tcW w:w="824" w:type="pct"/>
            <w:tcBorders>
              <w:tl2br w:val="nil"/>
              <w:tr2bl w:val="nil"/>
            </w:tcBorders>
            <w:noWrap w:val="0"/>
            <w:vAlign w:val="center"/>
          </w:tcPr>
          <w:p w14:paraId="74AF6755">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Qgr，d</w:t>
            </w:r>
          </w:p>
        </w:tc>
        <w:tc>
          <w:tcPr>
            <w:tcW w:w="775" w:type="pct"/>
            <w:tcBorders>
              <w:tl2br w:val="nil"/>
              <w:tr2bl w:val="nil"/>
            </w:tcBorders>
            <w:noWrap w:val="0"/>
            <w:vAlign w:val="center"/>
          </w:tcPr>
          <w:p w14:paraId="2CF0DEEE">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k</w:t>
            </w: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cal/</w:t>
            </w: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k</w:t>
            </w: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g</w:t>
            </w:r>
          </w:p>
        </w:tc>
        <w:tc>
          <w:tcPr>
            <w:tcW w:w="1488" w:type="pct"/>
            <w:tcBorders>
              <w:tl2br w:val="nil"/>
              <w:tr2bl w:val="nil"/>
            </w:tcBorders>
            <w:noWrap w:val="0"/>
            <w:vAlign w:val="center"/>
          </w:tcPr>
          <w:p w14:paraId="29BBB961">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3947</w:t>
            </w:r>
          </w:p>
        </w:tc>
      </w:tr>
    </w:tbl>
    <w:p w14:paraId="5DA134C6">
      <w:pPr>
        <w:spacing w:line="360" w:lineRule="auto"/>
        <w:ind w:firstLine="482" w:firstLineChars="200"/>
        <w:rPr>
          <w:rFonts w:hint="eastAsia" w:eastAsia="宋体"/>
          <w:b/>
          <w:bCs/>
          <w:color w:val="auto"/>
          <w:sz w:val="24"/>
          <w:lang w:val="en-US" w:eastAsia="zh-CN"/>
        </w:rPr>
      </w:pPr>
      <w:r>
        <w:rPr>
          <w:rFonts w:hint="eastAsia"/>
          <w:b/>
          <w:bCs/>
          <w:color w:val="auto"/>
          <w:sz w:val="24"/>
          <w:lang w:val="en-US" w:eastAsia="zh-CN"/>
        </w:rPr>
        <w:t>5）饲料全成分分析</w:t>
      </w:r>
    </w:p>
    <w:p w14:paraId="361491F5">
      <w:pPr>
        <w:pStyle w:val="69"/>
        <w:spacing w:line="360" w:lineRule="auto"/>
        <w:ind w:firstLine="480" w:firstLineChars="200"/>
        <w:rPr>
          <w:rFonts w:hint="eastAsia" w:ascii="Times New Roman" w:hAnsi="Times New Roman" w:eastAsia="宋体" w:cs="Times New Roman"/>
          <w:color w:val="auto"/>
          <w:szCs w:val="24"/>
          <w:lang w:eastAsia="zh-CN"/>
        </w:rPr>
      </w:pPr>
      <w:r>
        <w:rPr>
          <w:rFonts w:hint="eastAsia" w:ascii="Times New Roman" w:hAnsi="Times New Roman" w:eastAsia="宋体" w:cs="Times New Roman"/>
          <w:color w:val="auto"/>
          <w:szCs w:val="24"/>
          <w:lang w:eastAsia="zh-CN"/>
        </w:rPr>
        <w:t>本项目外购成品配合饲料，根据企业提供的产品成分分析，主要原料组成：玉米、豆粕、玉米蛋白粉、玉米副产品、磷酸氢钙、石粉、氯化钠、矿物质微量元素、多种维生素及氨基酸等，饲料全成分如下表：</w:t>
      </w:r>
    </w:p>
    <w:p w14:paraId="3A35BF1E">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422" w:firstLineChars="20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eastAsia" w:cs="Times New Roman"/>
          <w:b/>
          <w:bCs/>
          <w:color w:val="auto"/>
          <w:kern w:val="2"/>
          <w:sz w:val="21"/>
          <w:szCs w:val="21"/>
          <w:highlight w:val="none"/>
          <w:lang w:val="en-US" w:eastAsia="zh-CN" w:bidi="ar-SA"/>
        </w:rPr>
        <w:t>3.</w:t>
      </w:r>
      <w:r>
        <w:rPr>
          <w:rFonts w:hint="eastAsia" w:ascii="Times New Roman" w:hAnsi="Times New Roman"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5</w:t>
      </w:r>
      <w:r>
        <w:rPr>
          <w:rFonts w:hint="default" w:ascii="Times New Roman" w:hAnsi="Times New Roman" w:eastAsia="宋体" w:cs="Times New Roman"/>
          <w:b/>
          <w:bCs/>
          <w:color w:val="auto"/>
          <w:kern w:val="2"/>
          <w:sz w:val="21"/>
          <w:szCs w:val="21"/>
          <w:highlight w:val="none"/>
          <w:lang w:val="en-US" w:eastAsia="zh-CN" w:bidi="ar-SA"/>
        </w:rPr>
        <w:t xml:space="preserve">  </w:t>
      </w:r>
      <w:r>
        <w:rPr>
          <w:rFonts w:hint="eastAsia" w:ascii="Times New Roman" w:hAnsi="Times New Roman" w:eastAsia="宋体" w:cs="Times New Roman"/>
          <w:b/>
          <w:bCs/>
          <w:color w:val="auto"/>
          <w:kern w:val="2"/>
          <w:sz w:val="21"/>
          <w:szCs w:val="21"/>
          <w:highlight w:val="none"/>
          <w:lang w:val="en-US" w:eastAsia="zh-CN" w:bidi="ar-SA"/>
        </w:rPr>
        <w:t xml:space="preserve"> </w:t>
      </w:r>
      <w:r>
        <w:rPr>
          <w:rFonts w:hint="default" w:ascii="Times New Roman" w:hAnsi="Times New Roman" w:eastAsia="宋体" w:cs="Times New Roman"/>
          <w:b/>
          <w:bCs/>
          <w:color w:val="auto"/>
          <w:kern w:val="2"/>
          <w:sz w:val="21"/>
          <w:szCs w:val="21"/>
          <w:highlight w:val="none"/>
          <w:lang w:val="en-US" w:eastAsia="zh-CN" w:bidi="ar-SA"/>
        </w:rPr>
        <w:t xml:space="preserve"> </w:t>
      </w:r>
      <w:r>
        <w:rPr>
          <w:rFonts w:hint="eastAsia" w:ascii="Times New Roman" w:hAnsi="Times New Roman" w:eastAsia="宋体" w:cs="Times New Roman"/>
          <w:b/>
          <w:bCs/>
          <w:color w:val="auto"/>
          <w:kern w:val="2"/>
          <w:sz w:val="21"/>
          <w:szCs w:val="21"/>
          <w:highlight w:val="none"/>
          <w:lang w:val="en-US" w:eastAsia="zh-CN" w:bidi="ar-SA"/>
        </w:rPr>
        <w:t>饲料全成分分析单</w:t>
      </w:r>
    </w:p>
    <w:tbl>
      <w:tblPr>
        <w:tblStyle w:val="53"/>
        <w:tblW w:w="4996"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autofit"/>
        <w:tblCellMar>
          <w:top w:w="0" w:type="dxa"/>
          <w:left w:w="10" w:type="dxa"/>
          <w:bottom w:w="0" w:type="dxa"/>
          <w:right w:w="10" w:type="dxa"/>
        </w:tblCellMar>
      </w:tblPr>
      <w:tblGrid>
        <w:gridCol w:w="1306"/>
        <w:gridCol w:w="1307"/>
        <w:gridCol w:w="987"/>
        <w:gridCol w:w="987"/>
        <w:gridCol w:w="428"/>
        <w:gridCol w:w="668"/>
        <w:gridCol w:w="987"/>
        <w:gridCol w:w="668"/>
        <w:gridCol w:w="987"/>
      </w:tblGrid>
      <w:tr w14:paraId="29EDA220">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784" w:type="pct"/>
            <w:tcBorders>
              <w:tl2br w:val="nil"/>
              <w:tr2bl w:val="nil"/>
            </w:tcBorders>
            <w:noWrap w:val="0"/>
            <w:vAlign w:val="center"/>
          </w:tcPr>
          <w:p w14:paraId="063751EA">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成分名称</w:t>
            </w:r>
          </w:p>
        </w:tc>
        <w:tc>
          <w:tcPr>
            <w:tcW w:w="784" w:type="pct"/>
            <w:tcBorders>
              <w:tl2br w:val="nil"/>
              <w:tr2bl w:val="nil"/>
            </w:tcBorders>
            <w:noWrap w:val="0"/>
            <w:vAlign w:val="center"/>
          </w:tcPr>
          <w:p w14:paraId="6FDF281E">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粗蛋白质</w:t>
            </w:r>
          </w:p>
        </w:tc>
        <w:tc>
          <w:tcPr>
            <w:tcW w:w="592" w:type="pct"/>
            <w:tcBorders>
              <w:tl2br w:val="nil"/>
              <w:tr2bl w:val="nil"/>
            </w:tcBorders>
            <w:noWrap w:val="0"/>
            <w:vAlign w:val="center"/>
          </w:tcPr>
          <w:p w14:paraId="4616EAA6">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粗纤维</w:t>
            </w:r>
          </w:p>
        </w:tc>
        <w:tc>
          <w:tcPr>
            <w:tcW w:w="592" w:type="pct"/>
            <w:tcBorders>
              <w:tl2br w:val="nil"/>
              <w:tr2bl w:val="nil"/>
            </w:tcBorders>
            <w:noWrap w:val="0"/>
            <w:vAlign w:val="center"/>
          </w:tcPr>
          <w:p w14:paraId="2160B3A8">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粗灰分</w:t>
            </w:r>
          </w:p>
        </w:tc>
        <w:tc>
          <w:tcPr>
            <w:tcW w:w="257" w:type="pct"/>
            <w:tcBorders>
              <w:tl2br w:val="nil"/>
              <w:tr2bl w:val="nil"/>
            </w:tcBorders>
            <w:noWrap w:val="0"/>
            <w:vAlign w:val="center"/>
          </w:tcPr>
          <w:p w14:paraId="00F67E70">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钙</w:t>
            </w:r>
          </w:p>
        </w:tc>
        <w:tc>
          <w:tcPr>
            <w:tcW w:w="401" w:type="pct"/>
            <w:tcBorders>
              <w:tl2br w:val="nil"/>
              <w:tr2bl w:val="nil"/>
            </w:tcBorders>
            <w:noWrap w:val="0"/>
            <w:vAlign w:val="center"/>
          </w:tcPr>
          <w:p w14:paraId="5DA81FCE">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总磷</w:t>
            </w:r>
          </w:p>
        </w:tc>
        <w:tc>
          <w:tcPr>
            <w:tcW w:w="592" w:type="pct"/>
            <w:tcBorders>
              <w:tl2br w:val="nil"/>
              <w:tr2bl w:val="nil"/>
            </w:tcBorders>
            <w:noWrap w:val="0"/>
            <w:vAlign w:val="center"/>
          </w:tcPr>
          <w:p w14:paraId="479C0552">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氯化钠</w:t>
            </w:r>
          </w:p>
        </w:tc>
        <w:tc>
          <w:tcPr>
            <w:tcW w:w="401" w:type="pct"/>
            <w:tcBorders>
              <w:tl2br w:val="nil"/>
              <w:tr2bl w:val="nil"/>
            </w:tcBorders>
            <w:noWrap w:val="0"/>
            <w:vAlign w:val="center"/>
          </w:tcPr>
          <w:p w14:paraId="3D3F5019">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水分</w:t>
            </w:r>
          </w:p>
        </w:tc>
        <w:tc>
          <w:tcPr>
            <w:tcW w:w="592" w:type="pct"/>
            <w:tcBorders>
              <w:tl2br w:val="nil"/>
              <w:tr2bl w:val="nil"/>
            </w:tcBorders>
            <w:noWrap w:val="0"/>
            <w:vAlign w:val="center"/>
          </w:tcPr>
          <w:p w14:paraId="1F79F26A">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shd w:val="clear" w:color="auto" w:fill="auto"/>
                <w:lang w:val="en-US" w:eastAsia="zh-CN" w:bidi="ar-SA"/>
              </w:rPr>
            </w:pPr>
            <w:r>
              <w:rPr>
                <w:rFonts w:hint="default" w:ascii="Times New Roman" w:hAnsi="Times New Roman" w:eastAsia="宋体" w:cs="Times New Roman"/>
                <w:b/>
                <w:bCs/>
                <w:color w:val="auto"/>
                <w:kern w:val="2"/>
                <w:sz w:val="21"/>
                <w:szCs w:val="21"/>
                <w:highlight w:val="none"/>
                <w:u w:val="none"/>
                <w:shd w:val="clear" w:color="auto" w:fill="auto"/>
                <w:lang w:val="en-US" w:eastAsia="zh-CN" w:bidi="ar-SA"/>
              </w:rPr>
              <w:t>赖氨酸</w:t>
            </w:r>
          </w:p>
        </w:tc>
      </w:tr>
      <w:tr w14:paraId="40342239">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0" w:hRule="atLeast"/>
          <w:jc w:val="center"/>
        </w:trPr>
        <w:tc>
          <w:tcPr>
            <w:tcW w:w="784" w:type="pct"/>
            <w:tcBorders>
              <w:tl2br w:val="nil"/>
              <w:tr2bl w:val="nil"/>
            </w:tcBorders>
            <w:noWrap w:val="0"/>
            <w:vAlign w:val="center"/>
          </w:tcPr>
          <w:p w14:paraId="19798042">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含量</w:t>
            </w:r>
          </w:p>
        </w:tc>
        <w:tc>
          <w:tcPr>
            <w:tcW w:w="784" w:type="pct"/>
            <w:tcBorders>
              <w:tl2br w:val="nil"/>
              <w:tr2bl w:val="nil"/>
            </w:tcBorders>
            <w:noWrap w:val="0"/>
            <w:vAlign w:val="center"/>
          </w:tcPr>
          <w:p w14:paraId="3CCF234B">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40</w:t>
            </w:r>
          </w:p>
        </w:tc>
        <w:tc>
          <w:tcPr>
            <w:tcW w:w="592" w:type="pct"/>
            <w:tcBorders>
              <w:tl2br w:val="nil"/>
              <w:tr2bl w:val="nil"/>
            </w:tcBorders>
            <w:noWrap w:val="0"/>
            <w:vAlign w:val="center"/>
          </w:tcPr>
          <w:p w14:paraId="6A0D5BD7">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8.0</w:t>
            </w:r>
          </w:p>
        </w:tc>
        <w:tc>
          <w:tcPr>
            <w:tcW w:w="592" w:type="pct"/>
            <w:tcBorders>
              <w:tl2br w:val="nil"/>
              <w:tr2bl w:val="nil"/>
            </w:tcBorders>
            <w:noWrap w:val="0"/>
            <w:vAlign w:val="center"/>
          </w:tcPr>
          <w:p w14:paraId="22222B4D">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20.0</w:t>
            </w:r>
          </w:p>
        </w:tc>
        <w:tc>
          <w:tcPr>
            <w:tcW w:w="257" w:type="pct"/>
            <w:tcBorders>
              <w:tl2br w:val="nil"/>
              <w:tr2bl w:val="nil"/>
            </w:tcBorders>
            <w:noWrap w:val="0"/>
            <w:vAlign w:val="center"/>
          </w:tcPr>
          <w:p w14:paraId="15DDC1F8">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7.0</w:t>
            </w:r>
          </w:p>
        </w:tc>
        <w:tc>
          <w:tcPr>
            <w:tcW w:w="401" w:type="pct"/>
            <w:tcBorders>
              <w:tl2br w:val="nil"/>
              <w:tr2bl w:val="nil"/>
            </w:tcBorders>
            <w:noWrap w:val="0"/>
            <w:vAlign w:val="center"/>
          </w:tcPr>
          <w:p w14:paraId="2DC8432F">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0.7</w:t>
            </w:r>
          </w:p>
        </w:tc>
        <w:tc>
          <w:tcPr>
            <w:tcW w:w="592" w:type="pct"/>
            <w:tcBorders>
              <w:tl2br w:val="nil"/>
              <w:tr2bl w:val="nil"/>
            </w:tcBorders>
            <w:noWrap w:val="0"/>
            <w:vAlign w:val="center"/>
          </w:tcPr>
          <w:p w14:paraId="6ACC546B">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0.8</w:t>
            </w:r>
          </w:p>
        </w:tc>
        <w:tc>
          <w:tcPr>
            <w:tcW w:w="401" w:type="pct"/>
            <w:tcBorders>
              <w:tl2br w:val="nil"/>
              <w:tr2bl w:val="nil"/>
            </w:tcBorders>
            <w:noWrap w:val="0"/>
            <w:vAlign w:val="center"/>
          </w:tcPr>
          <w:p w14:paraId="3820D953">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22</w:t>
            </w:r>
          </w:p>
        </w:tc>
        <w:tc>
          <w:tcPr>
            <w:tcW w:w="592" w:type="pct"/>
            <w:tcBorders>
              <w:tl2br w:val="nil"/>
              <w:tr2bl w:val="nil"/>
            </w:tcBorders>
            <w:noWrap w:val="0"/>
            <w:vAlign w:val="center"/>
          </w:tcPr>
          <w:p w14:paraId="3425F30E">
            <w:pPr>
              <w:keepNext w:val="0"/>
              <w:keepLines w:val="0"/>
              <w:pageBreakBefore w:val="0"/>
              <w:widowControl w:val="0"/>
              <w:shd w:val="clear" w:color="auto" w:fill="auto"/>
              <w:kinsoku/>
              <w:wordWrap/>
              <w:overflowPunct/>
              <w:topLinePunct w:val="0"/>
              <w:autoSpaceDE w:val="0"/>
              <w:autoSpaceDN w:val="0"/>
              <w:bidi w:val="0"/>
              <w:adjustRightInd/>
              <w:snapToGrid/>
              <w:spacing w:before="0" w:after="0" w:line="240" w:lineRule="auto"/>
              <w:ind w:left="0" w:right="0" w:firstLine="0"/>
              <w:jc w:val="center"/>
              <w:textAlignment w:val="auto"/>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1"/>
                <w:szCs w:val="21"/>
                <w:highlight w:val="none"/>
                <w:u w:val="none"/>
                <w:shd w:val="clear" w:color="auto" w:fill="auto"/>
                <w:lang w:val="en-US" w:eastAsia="zh-CN" w:bidi="zh-TW"/>
              </w:rPr>
              <w:t>1.5</w:t>
            </w:r>
          </w:p>
        </w:tc>
      </w:tr>
    </w:tbl>
    <w:p w14:paraId="32911705">
      <w:pPr>
        <w:spacing w:line="360" w:lineRule="auto"/>
        <w:rPr>
          <w:b/>
          <w:bCs/>
          <w:color w:val="auto"/>
          <w:sz w:val="24"/>
        </w:rPr>
      </w:pPr>
      <w:r>
        <w:rPr>
          <w:b/>
          <w:bCs/>
          <w:color w:val="auto"/>
          <w:sz w:val="24"/>
        </w:rPr>
        <w:t>（2）产品方案</w:t>
      </w:r>
    </w:p>
    <w:p w14:paraId="20E90182">
      <w:pPr>
        <w:pStyle w:val="69"/>
        <w:spacing w:line="360" w:lineRule="auto"/>
        <w:ind w:firstLine="480" w:firstLineChars="200"/>
        <w:rPr>
          <w:rFonts w:ascii="Times New Roman" w:hAnsi="Times New Roman" w:eastAsia="宋体"/>
          <w:color w:val="auto"/>
          <w:szCs w:val="24"/>
        </w:rPr>
      </w:pPr>
      <w:r>
        <w:rPr>
          <w:rFonts w:hint="eastAsia" w:ascii="Times New Roman" w:hAnsi="Times New Roman" w:eastAsia="宋体"/>
          <w:color w:val="auto"/>
          <w:szCs w:val="24"/>
        </w:rPr>
        <w:t>本项目主要进行蛋鸡养殖，产频方案如下表所示：</w:t>
      </w:r>
    </w:p>
    <w:p w14:paraId="7EE69F4A">
      <w:pPr>
        <w:pStyle w:val="69"/>
        <w:spacing w:line="360" w:lineRule="auto"/>
        <w:ind w:firstLine="480" w:firstLineChars="200"/>
        <w:rPr>
          <w:rFonts w:ascii="Times New Roman" w:hAnsi="Times New Roman" w:eastAsia="宋体"/>
          <w:color w:val="auto"/>
          <w:szCs w:val="24"/>
        </w:rPr>
      </w:pPr>
      <w:r>
        <w:rPr>
          <w:rFonts w:hint="eastAsia" w:ascii="Times New Roman" w:hAnsi="Times New Roman" w:eastAsia="宋体"/>
          <w:color w:val="auto"/>
          <w:szCs w:val="24"/>
        </w:rPr>
        <w:t>①养殖区：</w:t>
      </w:r>
    </w:p>
    <w:p w14:paraId="7964BF3F">
      <w:pPr>
        <w:pStyle w:val="69"/>
        <w:spacing w:line="360" w:lineRule="auto"/>
        <w:ind w:firstLine="480" w:firstLineChars="200"/>
        <w:rPr>
          <w:rFonts w:ascii="Times New Roman" w:hAnsi="Times New Roman" w:eastAsia="宋体"/>
          <w:color w:val="auto"/>
          <w:szCs w:val="24"/>
        </w:rPr>
      </w:pPr>
      <w:r>
        <w:rPr>
          <w:rFonts w:hint="eastAsia" w:ascii="Times New Roman" w:hAnsi="Times New Roman" w:eastAsia="宋体"/>
          <w:color w:val="auto"/>
          <w:szCs w:val="24"/>
        </w:rPr>
        <w:t>根据养殖资料统计：本项目全厂共存栏100万羽蛋鸡，本项目每年每只蛋鸡平均累计产蛋约20kg，年产鸡蛋约20000t。根据建设单位提供资料，项目每年淘汰2批，每批淘汰品质较差的鸡只约为35万只，则每年淘汰品质较差的鸡只约为70万只。</w:t>
      </w:r>
    </w:p>
    <w:p w14:paraId="35200702">
      <w:pPr>
        <w:spacing w:line="360" w:lineRule="auto"/>
        <w:ind w:firstLine="480" w:firstLineChars="200"/>
        <w:rPr>
          <w:color w:val="auto"/>
          <w:sz w:val="24"/>
        </w:rPr>
      </w:pPr>
      <w:r>
        <w:rPr>
          <w:rFonts w:hint="eastAsia"/>
          <w:color w:val="auto"/>
          <w:sz w:val="24"/>
        </w:rPr>
        <w:t>根据《规模化畜禽养殖场环境影响评价与实例研究》（农业环境科学学报，2007(26）：313-318)文献中，一般情况下规模化养鸡场病死鸡控制在0.1％-0.2％，按最大取值，病死鸡控制在0.2％左右，则年病死鸡为2000只，根据《畜禽养殖业产污系数与排污系数手册》东北区饲养蛋鸡参考体重为1.5kg只计算，</w:t>
      </w:r>
      <w:r>
        <w:rPr>
          <w:color w:val="auto"/>
          <w:sz w:val="24"/>
        </w:rPr>
        <w:t>则病死鸡产生量为</w:t>
      </w:r>
      <w:r>
        <w:rPr>
          <w:rFonts w:hint="eastAsia"/>
          <w:color w:val="auto"/>
          <w:sz w:val="24"/>
        </w:rPr>
        <w:t>3</w:t>
      </w:r>
      <w:r>
        <w:rPr>
          <w:color w:val="auto"/>
          <w:sz w:val="24"/>
        </w:rPr>
        <w:t>t/a。</w:t>
      </w:r>
    </w:p>
    <w:p w14:paraId="1458AC8F">
      <w:pPr>
        <w:pStyle w:val="69"/>
        <w:spacing w:line="360" w:lineRule="auto"/>
        <w:ind w:firstLine="480" w:firstLineChars="200"/>
        <w:rPr>
          <w:rFonts w:ascii="Times New Roman" w:hAnsi="Times New Roman" w:eastAsia="宋体"/>
          <w:color w:val="auto"/>
          <w:szCs w:val="24"/>
        </w:rPr>
      </w:pPr>
      <w:r>
        <w:rPr>
          <w:rFonts w:hint="eastAsia" w:ascii="Times New Roman" w:hAnsi="Times New Roman" w:eastAsia="宋体"/>
          <w:color w:val="auto"/>
          <w:szCs w:val="24"/>
        </w:rPr>
        <w:t>因此每年需不断对不产蛋鸡进行淘汰更新，抚育雏鸡，幼雏养殖舍的数量与需淘汰的蛋鸡以及病死鸡相匹配，因此每年需要养殖雏鸡70.2万只。</w:t>
      </w:r>
    </w:p>
    <w:p w14:paraId="4C6B1D3B">
      <w:pPr>
        <w:pStyle w:val="69"/>
        <w:spacing w:line="360" w:lineRule="auto"/>
        <w:ind w:firstLine="480" w:firstLineChars="200"/>
        <w:rPr>
          <w:rFonts w:ascii="Times New Roman" w:hAnsi="Times New Roman" w:eastAsia="宋体"/>
          <w:color w:val="auto"/>
          <w:szCs w:val="24"/>
        </w:rPr>
      </w:pPr>
      <w:r>
        <w:rPr>
          <w:rFonts w:hint="eastAsia" w:ascii="Times New Roman" w:hAnsi="Times New Roman" w:eastAsia="宋体"/>
          <w:color w:val="auto"/>
          <w:szCs w:val="24"/>
        </w:rPr>
        <w:t>②</w:t>
      </w:r>
      <w:r>
        <w:rPr>
          <w:rFonts w:hint="eastAsia" w:ascii="Times New Roman" w:hAnsi="Times New Roman" w:eastAsia="宋体"/>
          <w:color w:val="auto"/>
          <w:szCs w:val="24"/>
          <w:lang w:eastAsia="zh-CN"/>
        </w:rPr>
        <w:t>蛋库</w:t>
      </w:r>
      <w:r>
        <w:rPr>
          <w:rFonts w:hint="eastAsia" w:ascii="Times New Roman" w:hAnsi="Times New Roman" w:eastAsia="宋体"/>
          <w:color w:val="auto"/>
          <w:szCs w:val="24"/>
        </w:rPr>
        <w:t>：</w:t>
      </w:r>
    </w:p>
    <w:p w14:paraId="2546B0BC">
      <w:pPr>
        <w:pStyle w:val="69"/>
        <w:spacing w:line="360" w:lineRule="auto"/>
        <w:ind w:firstLine="480" w:firstLineChars="200"/>
        <w:rPr>
          <w:rFonts w:ascii="Times New Roman" w:hAnsi="Times New Roman" w:eastAsia="宋体"/>
          <w:color w:val="auto"/>
          <w:szCs w:val="24"/>
        </w:rPr>
      </w:pPr>
      <w:r>
        <w:rPr>
          <w:rFonts w:hint="eastAsia" w:ascii="Times New Roman" w:hAnsi="Times New Roman" w:eastAsia="宋体"/>
          <w:color w:val="auto"/>
          <w:szCs w:val="24"/>
        </w:rPr>
        <w:t>项目年产20000吨鸡蛋。</w:t>
      </w:r>
    </w:p>
    <w:p w14:paraId="230367C9">
      <w:pPr>
        <w:ind w:firstLine="422" w:firstLineChars="200"/>
        <w:jc w:val="center"/>
        <w:rPr>
          <w:b/>
          <w:bCs/>
          <w:color w:val="auto"/>
          <w:szCs w:val="21"/>
        </w:rPr>
      </w:pPr>
      <w:r>
        <w:rPr>
          <w:b/>
          <w:bCs/>
          <w:color w:val="auto"/>
          <w:szCs w:val="21"/>
        </w:rPr>
        <w:t>表</w:t>
      </w:r>
      <w:r>
        <w:rPr>
          <w:rFonts w:hint="eastAsia"/>
          <w:b/>
          <w:bCs/>
          <w:color w:val="auto"/>
          <w:szCs w:val="21"/>
          <w:lang w:val="en-US" w:eastAsia="zh-CN"/>
        </w:rPr>
        <w:t>3.2-6</w:t>
      </w:r>
      <w:r>
        <w:rPr>
          <w:b/>
          <w:bCs/>
          <w:color w:val="auto"/>
          <w:szCs w:val="21"/>
        </w:rPr>
        <w:t xml:space="preserve">     产品方案</w:t>
      </w:r>
    </w:p>
    <w:tbl>
      <w:tblPr>
        <w:tblStyle w:val="5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90"/>
        <w:gridCol w:w="1575"/>
        <w:gridCol w:w="1469"/>
        <w:gridCol w:w="1469"/>
        <w:gridCol w:w="2622"/>
      </w:tblGrid>
      <w:tr w14:paraId="4D854D4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op w:val="double" w:color="auto" w:sz="4" w:space="0"/>
              <w:left w:val="nil"/>
              <w:bottom w:val="single" w:color="auto" w:sz="4" w:space="0"/>
              <w:right w:val="single" w:color="auto" w:sz="4" w:space="0"/>
            </w:tcBorders>
            <w:vAlign w:val="center"/>
          </w:tcPr>
          <w:p w14:paraId="4849B385">
            <w:pPr>
              <w:ind w:firstLine="102" w:firstLineChars="49"/>
              <w:jc w:val="center"/>
              <w:rPr>
                <w:color w:val="auto"/>
                <w:szCs w:val="21"/>
              </w:rPr>
            </w:pPr>
            <w:bookmarkStart w:id="168" w:name="_Toc479754827"/>
            <w:r>
              <w:rPr>
                <w:rFonts w:hint="eastAsia"/>
                <w:color w:val="auto"/>
                <w:szCs w:val="21"/>
              </w:rPr>
              <w:t>序号</w:t>
            </w:r>
          </w:p>
        </w:tc>
        <w:tc>
          <w:tcPr>
            <w:tcW w:w="923" w:type="pct"/>
            <w:tcBorders>
              <w:top w:val="double" w:color="auto" w:sz="4" w:space="0"/>
              <w:left w:val="single" w:color="auto" w:sz="4" w:space="0"/>
              <w:bottom w:val="single" w:color="auto" w:sz="4" w:space="0"/>
              <w:right w:val="single" w:color="auto" w:sz="4" w:space="0"/>
            </w:tcBorders>
            <w:vAlign w:val="center"/>
          </w:tcPr>
          <w:p w14:paraId="4C970F0C">
            <w:pPr>
              <w:ind w:firstLine="102" w:firstLineChars="49"/>
              <w:jc w:val="center"/>
              <w:rPr>
                <w:color w:val="auto"/>
                <w:szCs w:val="21"/>
              </w:rPr>
            </w:pPr>
            <w:r>
              <w:rPr>
                <w:color w:val="auto"/>
                <w:szCs w:val="21"/>
              </w:rPr>
              <w:t>产品名称</w:t>
            </w:r>
          </w:p>
        </w:tc>
        <w:tc>
          <w:tcPr>
            <w:tcW w:w="861" w:type="pct"/>
            <w:tcBorders>
              <w:top w:val="double" w:color="auto" w:sz="4" w:space="0"/>
              <w:left w:val="single" w:color="auto" w:sz="4" w:space="0"/>
              <w:bottom w:val="single" w:color="auto" w:sz="4" w:space="0"/>
              <w:right w:val="single" w:color="auto" w:sz="4" w:space="0"/>
            </w:tcBorders>
            <w:vAlign w:val="center"/>
          </w:tcPr>
          <w:p w14:paraId="515FFBA4">
            <w:pPr>
              <w:jc w:val="center"/>
              <w:rPr>
                <w:color w:val="auto"/>
                <w:szCs w:val="21"/>
              </w:rPr>
            </w:pPr>
            <w:r>
              <w:rPr>
                <w:rFonts w:hint="eastAsia"/>
                <w:color w:val="auto"/>
                <w:szCs w:val="21"/>
              </w:rPr>
              <w:t>单位</w:t>
            </w:r>
          </w:p>
        </w:tc>
        <w:tc>
          <w:tcPr>
            <w:tcW w:w="861" w:type="pct"/>
            <w:tcBorders>
              <w:top w:val="double" w:color="auto" w:sz="4" w:space="0"/>
              <w:left w:val="single" w:color="auto" w:sz="4" w:space="0"/>
              <w:bottom w:val="single" w:color="auto" w:sz="4" w:space="0"/>
              <w:right w:val="single" w:color="auto" w:sz="4" w:space="0"/>
            </w:tcBorders>
            <w:vAlign w:val="center"/>
          </w:tcPr>
          <w:p w14:paraId="0A46DFD4">
            <w:pPr>
              <w:jc w:val="center"/>
              <w:rPr>
                <w:color w:val="auto"/>
                <w:szCs w:val="21"/>
              </w:rPr>
            </w:pPr>
            <w:r>
              <w:rPr>
                <w:color w:val="auto"/>
                <w:szCs w:val="21"/>
              </w:rPr>
              <w:t>产量</w:t>
            </w:r>
          </w:p>
        </w:tc>
        <w:tc>
          <w:tcPr>
            <w:tcW w:w="1537" w:type="pct"/>
            <w:tcBorders>
              <w:top w:val="double" w:color="auto" w:sz="4" w:space="0"/>
              <w:left w:val="single" w:color="auto" w:sz="4" w:space="0"/>
              <w:bottom w:val="single" w:color="auto" w:sz="4" w:space="0"/>
              <w:right w:val="nil"/>
            </w:tcBorders>
            <w:vAlign w:val="center"/>
          </w:tcPr>
          <w:p w14:paraId="64F2EC3F">
            <w:pPr>
              <w:jc w:val="center"/>
              <w:rPr>
                <w:color w:val="auto"/>
                <w:szCs w:val="21"/>
              </w:rPr>
            </w:pPr>
            <w:r>
              <w:rPr>
                <w:rFonts w:hint="eastAsia"/>
                <w:color w:val="auto"/>
                <w:szCs w:val="21"/>
              </w:rPr>
              <w:t>备注</w:t>
            </w:r>
          </w:p>
        </w:tc>
      </w:tr>
      <w:tr w14:paraId="0A89DB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op w:val="single" w:color="auto" w:sz="4" w:space="0"/>
              <w:left w:val="nil"/>
              <w:bottom w:val="single" w:color="auto" w:sz="4" w:space="0"/>
              <w:right w:val="single" w:color="auto" w:sz="4" w:space="0"/>
            </w:tcBorders>
            <w:vAlign w:val="center"/>
          </w:tcPr>
          <w:p w14:paraId="3027F8FD">
            <w:pPr>
              <w:ind w:firstLine="102" w:firstLineChars="49"/>
              <w:jc w:val="center"/>
              <w:rPr>
                <w:color w:val="auto"/>
                <w:szCs w:val="21"/>
              </w:rPr>
            </w:pPr>
            <w:r>
              <w:rPr>
                <w:rFonts w:hint="eastAsia"/>
                <w:color w:val="auto"/>
                <w:szCs w:val="21"/>
              </w:rPr>
              <w:t>1</w:t>
            </w:r>
          </w:p>
        </w:tc>
        <w:tc>
          <w:tcPr>
            <w:tcW w:w="923" w:type="pct"/>
            <w:tcBorders>
              <w:top w:val="single" w:color="auto" w:sz="4" w:space="0"/>
              <w:left w:val="single" w:color="auto" w:sz="4" w:space="0"/>
              <w:bottom w:val="single" w:color="auto" w:sz="4" w:space="0"/>
              <w:right w:val="single" w:color="auto" w:sz="4" w:space="0"/>
            </w:tcBorders>
            <w:vAlign w:val="center"/>
          </w:tcPr>
          <w:p w14:paraId="749C35AA">
            <w:pPr>
              <w:ind w:firstLine="102" w:firstLineChars="49"/>
              <w:jc w:val="center"/>
              <w:rPr>
                <w:color w:val="auto"/>
                <w:szCs w:val="21"/>
              </w:rPr>
            </w:pPr>
            <w:r>
              <w:rPr>
                <w:color w:val="auto"/>
                <w:szCs w:val="21"/>
              </w:rPr>
              <w:t>鸡蛋</w:t>
            </w:r>
          </w:p>
        </w:tc>
        <w:tc>
          <w:tcPr>
            <w:tcW w:w="861" w:type="pct"/>
            <w:tcBorders>
              <w:top w:val="single" w:color="auto" w:sz="4" w:space="0"/>
              <w:left w:val="single" w:color="auto" w:sz="4" w:space="0"/>
              <w:bottom w:val="single" w:color="auto" w:sz="4" w:space="0"/>
              <w:right w:val="single" w:color="auto" w:sz="4" w:space="0"/>
            </w:tcBorders>
            <w:vAlign w:val="center"/>
          </w:tcPr>
          <w:p w14:paraId="74FB91DF">
            <w:pPr>
              <w:jc w:val="center"/>
              <w:rPr>
                <w:color w:val="auto"/>
                <w:szCs w:val="21"/>
              </w:rPr>
            </w:pPr>
            <w:r>
              <w:rPr>
                <w:rFonts w:hint="eastAsia"/>
                <w:color w:val="auto"/>
                <w:szCs w:val="21"/>
              </w:rPr>
              <w:t>t/a</w:t>
            </w:r>
          </w:p>
        </w:tc>
        <w:tc>
          <w:tcPr>
            <w:tcW w:w="861" w:type="pct"/>
            <w:tcBorders>
              <w:top w:val="single" w:color="auto" w:sz="4" w:space="0"/>
              <w:left w:val="single" w:color="auto" w:sz="4" w:space="0"/>
              <w:bottom w:val="single" w:color="auto" w:sz="4" w:space="0"/>
              <w:right w:val="single" w:color="auto" w:sz="4" w:space="0"/>
            </w:tcBorders>
            <w:vAlign w:val="center"/>
          </w:tcPr>
          <w:p w14:paraId="7A3C30A8">
            <w:pPr>
              <w:jc w:val="center"/>
              <w:rPr>
                <w:color w:val="auto"/>
                <w:szCs w:val="21"/>
              </w:rPr>
            </w:pPr>
            <w:r>
              <w:rPr>
                <w:color w:val="auto"/>
                <w:szCs w:val="21"/>
              </w:rPr>
              <w:t>20000</w:t>
            </w:r>
          </w:p>
        </w:tc>
        <w:tc>
          <w:tcPr>
            <w:tcW w:w="1537" w:type="pct"/>
            <w:tcBorders>
              <w:top w:val="single" w:color="auto" w:sz="4" w:space="0"/>
              <w:left w:val="single" w:color="auto" w:sz="4" w:space="0"/>
              <w:bottom w:val="single" w:color="auto" w:sz="4" w:space="0"/>
              <w:right w:val="nil"/>
            </w:tcBorders>
            <w:vAlign w:val="center"/>
          </w:tcPr>
          <w:p w14:paraId="1C8D0CEA">
            <w:pPr>
              <w:jc w:val="center"/>
              <w:rPr>
                <w:color w:val="auto"/>
                <w:szCs w:val="21"/>
              </w:rPr>
            </w:pPr>
            <w:r>
              <w:rPr>
                <w:rFonts w:hint="eastAsia"/>
                <w:color w:val="auto"/>
                <w:szCs w:val="21"/>
              </w:rPr>
              <w:t>来自项目蛋鸡养殖场</w:t>
            </w:r>
          </w:p>
        </w:tc>
      </w:tr>
      <w:tr w14:paraId="2DE5717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5" w:type="pct"/>
            <w:tcBorders>
              <w:top w:val="single" w:color="auto" w:sz="4" w:space="0"/>
              <w:left w:val="nil"/>
              <w:bottom w:val="double" w:color="auto" w:sz="4" w:space="0"/>
              <w:right w:val="single" w:color="auto" w:sz="4" w:space="0"/>
            </w:tcBorders>
            <w:vAlign w:val="center"/>
          </w:tcPr>
          <w:p w14:paraId="42BB95A7">
            <w:pPr>
              <w:ind w:firstLine="102" w:firstLineChars="49"/>
              <w:jc w:val="center"/>
              <w:rPr>
                <w:rFonts w:hint="eastAsia" w:eastAsia="宋体"/>
                <w:color w:val="auto"/>
                <w:szCs w:val="21"/>
                <w:lang w:eastAsia="zh-CN"/>
              </w:rPr>
            </w:pPr>
            <w:r>
              <w:rPr>
                <w:rFonts w:hint="eastAsia"/>
                <w:color w:val="auto"/>
                <w:szCs w:val="21"/>
                <w:lang w:val="en-US" w:eastAsia="zh-CN"/>
              </w:rPr>
              <w:t>2</w:t>
            </w:r>
          </w:p>
        </w:tc>
        <w:tc>
          <w:tcPr>
            <w:tcW w:w="923" w:type="pct"/>
            <w:tcBorders>
              <w:top w:val="single" w:color="auto" w:sz="4" w:space="0"/>
              <w:left w:val="single" w:color="auto" w:sz="4" w:space="0"/>
              <w:bottom w:val="double" w:color="auto" w:sz="4" w:space="0"/>
              <w:right w:val="single" w:color="auto" w:sz="4" w:space="0"/>
            </w:tcBorders>
            <w:vAlign w:val="center"/>
          </w:tcPr>
          <w:p w14:paraId="3639CAB0">
            <w:pPr>
              <w:ind w:firstLine="102" w:firstLineChars="49"/>
              <w:jc w:val="center"/>
              <w:rPr>
                <w:color w:val="auto"/>
                <w:szCs w:val="21"/>
              </w:rPr>
            </w:pPr>
            <w:r>
              <w:rPr>
                <w:rFonts w:hint="eastAsia"/>
                <w:color w:val="auto"/>
                <w:szCs w:val="21"/>
              </w:rPr>
              <w:t>淘汰鸡</w:t>
            </w:r>
          </w:p>
        </w:tc>
        <w:tc>
          <w:tcPr>
            <w:tcW w:w="861" w:type="pct"/>
            <w:tcBorders>
              <w:top w:val="single" w:color="auto" w:sz="4" w:space="0"/>
              <w:left w:val="single" w:color="auto" w:sz="4" w:space="0"/>
              <w:bottom w:val="double" w:color="auto" w:sz="4" w:space="0"/>
              <w:right w:val="single" w:color="auto" w:sz="4" w:space="0"/>
            </w:tcBorders>
            <w:vAlign w:val="center"/>
          </w:tcPr>
          <w:p w14:paraId="7CCEA1F2">
            <w:pPr>
              <w:jc w:val="center"/>
              <w:rPr>
                <w:color w:val="auto"/>
                <w:szCs w:val="21"/>
              </w:rPr>
            </w:pPr>
            <w:r>
              <w:rPr>
                <w:rFonts w:hint="eastAsia"/>
                <w:color w:val="auto"/>
                <w:szCs w:val="21"/>
              </w:rPr>
              <w:t>只</w:t>
            </w:r>
          </w:p>
        </w:tc>
        <w:tc>
          <w:tcPr>
            <w:tcW w:w="861" w:type="pct"/>
            <w:tcBorders>
              <w:top w:val="single" w:color="auto" w:sz="4" w:space="0"/>
              <w:left w:val="single" w:color="auto" w:sz="4" w:space="0"/>
              <w:bottom w:val="double" w:color="auto" w:sz="4" w:space="0"/>
              <w:right w:val="single" w:color="auto" w:sz="4" w:space="0"/>
            </w:tcBorders>
            <w:vAlign w:val="center"/>
          </w:tcPr>
          <w:p w14:paraId="776A52E1">
            <w:pPr>
              <w:jc w:val="center"/>
              <w:rPr>
                <w:color w:val="auto"/>
                <w:szCs w:val="21"/>
              </w:rPr>
            </w:pPr>
            <w:r>
              <w:rPr>
                <w:rFonts w:hint="eastAsia"/>
                <w:color w:val="auto"/>
                <w:szCs w:val="21"/>
              </w:rPr>
              <w:t>70万</w:t>
            </w:r>
          </w:p>
        </w:tc>
        <w:tc>
          <w:tcPr>
            <w:tcW w:w="1537" w:type="pct"/>
            <w:tcBorders>
              <w:top w:val="single" w:color="auto" w:sz="4" w:space="0"/>
              <w:left w:val="single" w:color="auto" w:sz="4" w:space="0"/>
              <w:bottom w:val="double" w:color="auto" w:sz="4" w:space="0"/>
              <w:right w:val="nil"/>
            </w:tcBorders>
            <w:vAlign w:val="center"/>
          </w:tcPr>
          <w:p w14:paraId="462495FF">
            <w:pPr>
              <w:jc w:val="center"/>
              <w:rPr>
                <w:color w:val="auto"/>
                <w:szCs w:val="21"/>
              </w:rPr>
            </w:pPr>
            <w:r>
              <w:rPr>
                <w:rFonts w:hint="eastAsia"/>
                <w:color w:val="auto"/>
                <w:szCs w:val="21"/>
              </w:rPr>
              <w:t>外售</w:t>
            </w:r>
          </w:p>
        </w:tc>
      </w:tr>
    </w:tbl>
    <w:p w14:paraId="0E2DCB98">
      <w:pPr>
        <w:pStyle w:val="4"/>
        <w:snapToGrid w:val="0"/>
        <w:spacing w:before="0"/>
        <w:rPr>
          <w:rFonts w:ascii="Times New Roman" w:hAnsi="Times New Roman" w:eastAsia="宋体"/>
          <w:bCs/>
          <w:color w:val="auto"/>
          <w:sz w:val="28"/>
          <w:szCs w:val="28"/>
        </w:rPr>
      </w:pPr>
      <w:bookmarkStart w:id="169" w:name="_Toc26676"/>
      <w:r>
        <w:rPr>
          <w:rFonts w:ascii="Times New Roman" w:hAnsi="Times New Roman" w:eastAsia="宋体"/>
          <w:bCs/>
          <w:color w:val="auto"/>
          <w:sz w:val="28"/>
          <w:szCs w:val="28"/>
        </w:rPr>
        <w:t>3.</w:t>
      </w:r>
      <w:r>
        <w:rPr>
          <w:rFonts w:hint="eastAsia" w:ascii="Times New Roman" w:hAnsi="Times New Roman" w:eastAsia="宋体"/>
          <w:bCs/>
          <w:color w:val="auto"/>
          <w:sz w:val="28"/>
          <w:szCs w:val="28"/>
          <w:lang w:val="en-US" w:eastAsia="zh-CN"/>
        </w:rPr>
        <w:t>2</w:t>
      </w:r>
      <w:r>
        <w:rPr>
          <w:rFonts w:ascii="Times New Roman" w:hAnsi="Times New Roman" w:eastAsia="宋体"/>
          <w:bCs/>
          <w:color w:val="auto"/>
          <w:sz w:val="28"/>
          <w:szCs w:val="28"/>
        </w:rPr>
        <w:t>.3主要生产设备</w:t>
      </w:r>
      <w:bookmarkEnd w:id="168"/>
      <w:bookmarkEnd w:id="169"/>
    </w:p>
    <w:p w14:paraId="1851359E">
      <w:pPr>
        <w:spacing w:line="360" w:lineRule="auto"/>
        <w:ind w:firstLine="480" w:firstLineChars="200"/>
        <w:rPr>
          <w:color w:val="auto"/>
          <w:sz w:val="24"/>
        </w:rPr>
      </w:pPr>
      <w:r>
        <w:rPr>
          <w:color w:val="auto"/>
          <w:sz w:val="24"/>
        </w:rPr>
        <w:t>本项目</w:t>
      </w:r>
      <w:r>
        <w:rPr>
          <w:rFonts w:hint="eastAsia"/>
          <w:color w:val="auto"/>
          <w:sz w:val="24"/>
          <w:lang w:eastAsia="zh-CN"/>
        </w:rPr>
        <w:t>共建设</w:t>
      </w:r>
      <w:r>
        <w:rPr>
          <w:rFonts w:hint="eastAsia"/>
          <w:color w:val="auto"/>
          <w:sz w:val="24"/>
          <w:lang w:val="en-US" w:eastAsia="zh-CN"/>
        </w:rPr>
        <w:t>8栋鸡舍，下表为每栋鸡舍</w:t>
      </w:r>
      <w:r>
        <w:rPr>
          <w:color w:val="auto"/>
          <w:sz w:val="24"/>
        </w:rPr>
        <w:t>主要设备</w:t>
      </w:r>
      <w:r>
        <w:rPr>
          <w:rFonts w:hint="eastAsia"/>
          <w:color w:val="auto"/>
          <w:sz w:val="24"/>
          <w:lang w:eastAsia="zh-CN"/>
        </w:rPr>
        <w:t>，全厂下列设备共</w:t>
      </w:r>
      <w:r>
        <w:rPr>
          <w:rFonts w:hint="eastAsia"/>
          <w:color w:val="auto"/>
          <w:sz w:val="24"/>
          <w:lang w:val="en-US" w:eastAsia="zh-CN"/>
        </w:rPr>
        <w:t>8套，供热系统全厂共用1套</w:t>
      </w:r>
      <w:r>
        <w:rPr>
          <w:color w:val="auto"/>
          <w:sz w:val="24"/>
        </w:rPr>
        <w:t>。</w:t>
      </w:r>
    </w:p>
    <w:p w14:paraId="27AD8D42">
      <w:pPr>
        <w:ind w:firstLine="422" w:firstLineChars="200"/>
        <w:jc w:val="center"/>
        <w:rPr>
          <w:b/>
          <w:color w:val="auto"/>
          <w:szCs w:val="21"/>
        </w:rPr>
      </w:pPr>
      <w:r>
        <w:rPr>
          <w:b/>
          <w:color w:val="auto"/>
          <w:szCs w:val="21"/>
        </w:rPr>
        <w:t>表</w:t>
      </w:r>
      <w:r>
        <w:rPr>
          <w:rFonts w:hint="eastAsia"/>
          <w:b/>
          <w:color w:val="auto"/>
          <w:szCs w:val="21"/>
          <w:lang w:val="en-US" w:eastAsia="zh-CN"/>
        </w:rPr>
        <w:t>3.2-7</w:t>
      </w:r>
      <w:r>
        <w:rPr>
          <w:b/>
          <w:color w:val="auto"/>
          <w:szCs w:val="21"/>
        </w:rPr>
        <w:t xml:space="preserve">    主要设备一览表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677"/>
        <w:gridCol w:w="2576"/>
        <w:gridCol w:w="701"/>
        <w:gridCol w:w="674"/>
        <w:gridCol w:w="3897"/>
      </w:tblGrid>
      <w:tr w14:paraId="2772CA17">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37C60197">
            <w:pPr>
              <w:widowControl/>
              <w:jc w:val="center"/>
              <w:rPr>
                <w:b/>
                <w:color w:val="auto"/>
                <w:kern w:val="0"/>
                <w:szCs w:val="21"/>
              </w:rPr>
            </w:pPr>
            <w:r>
              <w:rPr>
                <w:b/>
                <w:color w:val="auto"/>
                <w:kern w:val="0"/>
                <w:szCs w:val="21"/>
              </w:rPr>
              <w:t>序号</w:t>
            </w:r>
          </w:p>
        </w:tc>
        <w:tc>
          <w:tcPr>
            <w:tcW w:w="2576" w:type="dxa"/>
            <w:vAlign w:val="center"/>
          </w:tcPr>
          <w:p w14:paraId="42014167">
            <w:pPr>
              <w:widowControl/>
              <w:jc w:val="center"/>
              <w:rPr>
                <w:b/>
                <w:color w:val="auto"/>
                <w:kern w:val="0"/>
                <w:szCs w:val="21"/>
              </w:rPr>
            </w:pPr>
            <w:r>
              <w:rPr>
                <w:b/>
                <w:color w:val="auto"/>
                <w:kern w:val="0"/>
                <w:szCs w:val="21"/>
              </w:rPr>
              <w:t>设备名称</w:t>
            </w:r>
          </w:p>
        </w:tc>
        <w:tc>
          <w:tcPr>
            <w:tcW w:w="701" w:type="dxa"/>
            <w:vAlign w:val="center"/>
          </w:tcPr>
          <w:p w14:paraId="3A2E1DB3">
            <w:pPr>
              <w:widowControl/>
              <w:jc w:val="center"/>
              <w:rPr>
                <w:b/>
                <w:color w:val="auto"/>
                <w:kern w:val="0"/>
                <w:szCs w:val="21"/>
              </w:rPr>
            </w:pPr>
            <w:r>
              <w:rPr>
                <w:b/>
                <w:color w:val="auto"/>
                <w:kern w:val="0"/>
                <w:szCs w:val="21"/>
              </w:rPr>
              <w:t>单位</w:t>
            </w:r>
          </w:p>
        </w:tc>
        <w:tc>
          <w:tcPr>
            <w:tcW w:w="674" w:type="dxa"/>
            <w:vAlign w:val="center"/>
          </w:tcPr>
          <w:p w14:paraId="2B54653E">
            <w:pPr>
              <w:widowControl/>
              <w:jc w:val="center"/>
              <w:rPr>
                <w:b/>
                <w:color w:val="auto"/>
                <w:kern w:val="0"/>
                <w:szCs w:val="21"/>
              </w:rPr>
            </w:pPr>
            <w:r>
              <w:rPr>
                <w:b/>
                <w:color w:val="auto"/>
                <w:kern w:val="0"/>
                <w:szCs w:val="21"/>
              </w:rPr>
              <w:t>数量</w:t>
            </w:r>
          </w:p>
        </w:tc>
        <w:tc>
          <w:tcPr>
            <w:tcW w:w="3897" w:type="dxa"/>
            <w:vAlign w:val="center"/>
          </w:tcPr>
          <w:p w14:paraId="50EE51EB">
            <w:pPr>
              <w:widowControl/>
              <w:jc w:val="center"/>
              <w:rPr>
                <w:b/>
                <w:color w:val="auto"/>
                <w:kern w:val="0"/>
                <w:szCs w:val="21"/>
              </w:rPr>
            </w:pPr>
            <w:r>
              <w:rPr>
                <w:rFonts w:hint="eastAsia"/>
                <w:b/>
                <w:color w:val="auto"/>
                <w:kern w:val="0"/>
                <w:szCs w:val="21"/>
              </w:rPr>
              <w:t>备注</w:t>
            </w:r>
          </w:p>
        </w:tc>
      </w:tr>
      <w:tr w14:paraId="31D15AC8">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525" w:type="dxa"/>
            <w:gridSpan w:val="5"/>
            <w:vAlign w:val="center"/>
          </w:tcPr>
          <w:p w14:paraId="2AE99B3C">
            <w:pPr>
              <w:widowControl/>
              <w:jc w:val="center"/>
              <w:rPr>
                <w:b/>
                <w:color w:val="auto"/>
                <w:kern w:val="0"/>
                <w:szCs w:val="21"/>
              </w:rPr>
            </w:pPr>
            <w:r>
              <w:rPr>
                <w:rFonts w:hint="eastAsia"/>
                <w:bCs/>
                <w:color w:val="auto"/>
                <w:kern w:val="0"/>
                <w:szCs w:val="21"/>
              </w:rPr>
              <w:t>鸡笼单元节</w:t>
            </w:r>
          </w:p>
        </w:tc>
      </w:tr>
      <w:tr w14:paraId="0EF28245">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7328E4F5">
            <w:pPr>
              <w:widowControl/>
              <w:jc w:val="center"/>
              <w:rPr>
                <w:color w:val="auto"/>
                <w:kern w:val="0"/>
                <w:szCs w:val="21"/>
              </w:rPr>
            </w:pPr>
            <w:r>
              <w:rPr>
                <w:color w:val="auto"/>
                <w:kern w:val="0"/>
                <w:szCs w:val="21"/>
              </w:rPr>
              <w:t>1</w:t>
            </w:r>
          </w:p>
        </w:tc>
        <w:tc>
          <w:tcPr>
            <w:tcW w:w="2576" w:type="dxa"/>
            <w:vAlign w:val="center"/>
          </w:tcPr>
          <w:p w14:paraId="43152060">
            <w:pPr>
              <w:widowControl/>
              <w:jc w:val="center"/>
              <w:rPr>
                <w:color w:val="auto"/>
                <w:kern w:val="0"/>
                <w:szCs w:val="21"/>
              </w:rPr>
            </w:pPr>
            <w:r>
              <w:rPr>
                <w:rFonts w:hint="eastAsia"/>
                <w:color w:val="auto"/>
                <w:szCs w:val="21"/>
              </w:rPr>
              <w:t>鸡笼</w:t>
            </w:r>
          </w:p>
        </w:tc>
        <w:tc>
          <w:tcPr>
            <w:tcW w:w="701" w:type="dxa"/>
            <w:vAlign w:val="center"/>
          </w:tcPr>
          <w:p w14:paraId="50556191">
            <w:pPr>
              <w:widowControl/>
              <w:jc w:val="center"/>
              <w:rPr>
                <w:color w:val="auto"/>
                <w:kern w:val="0"/>
                <w:szCs w:val="21"/>
              </w:rPr>
            </w:pPr>
            <w:r>
              <w:rPr>
                <w:rFonts w:hint="eastAsia"/>
                <w:color w:val="auto"/>
                <w:kern w:val="0"/>
                <w:szCs w:val="21"/>
              </w:rPr>
              <w:t>组</w:t>
            </w:r>
          </w:p>
        </w:tc>
        <w:tc>
          <w:tcPr>
            <w:tcW w:w="674" w:type="dxa"/>
            <w:vAlign w:val="center"/>
          </w:tcPr>
          <w:p w14:paraId="3341599E">
            <w:pPr>
              <w:widowControl/>
              <w:jc w:val="center"/>
              <w:rPr>
                <w:color w:val="auto"/>
                <w:kern w:val="0"/>
                <w:szCs w:val="21"/>
              </w:rPr>
            </w:pPr>
            <w:r>
              <w:rPr>
                <w:rFonts w:hint="eastAsia"/>
                <w:color w:val="auto"/>
                <w:kern w:val="0"/>
                <w:szCs w:val="21"/>
              </w:rPr>
              <w:t>5600</w:t>
            </w:r>
          </w:p>
        </w:tc>
        <w:tc>
          <w:tcPr>
            <w:tcW w:w="3897" w:type="dxa"/>
            <w:vAlign w:val="center"/>
          </w:tcPr>
          <w:p w14:paraId="5C01804A">
            <w:pPr>
              <w:widowControl/>
              <w:jc w:val="center"/>
              <w:rPr>
                <w:color w:val="auto"/>
                <w:kern w:val="0"/>
                <w:szCs w:val="21"/>
              </w:rPr>
            </w:pPr>
            <w:r>
              <w:rPr>
                <w:rFonts w:hint="eastAsia"/>
                <w:color w:val="auto"/>
                <w:szCs w:val="21"/>
              </w:rPr>
              <w:t>蛋鸡舍每列1120组</w:t>
            </w:r>
          </w:p>
        </w:tc>
      </w:tr>
      <w:tr w14:paraId="5206DBBB">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00505C71">
            <w:pPr>
              <w:widowControl/>
              <w:jc w:val="center"/>
              <w:rPr>
                <w:color w:val="auto"/>
                <w:kern w:val="0"/>
                <w:szCs w:val="21"/>
              </w:rPr>
            </w:pPr>
            <w:r>
              <w:rPr>
                <w:rFonts w:hint="eastAsia"/>
                <w:color w:val="auto"/>
                <w:kern w:val="0"/>
                <w:szCs w:val="21"/>
              </w:rPr>
              <w:t>2</w:t>
            </w:r>
          </w:p>
        </w:tc>
        <w:tc>
          <w:tcPr>
            <w:tcW w:w="2576" w:type="dxa"/>
            <w:vAlign w:val="center"/>
          </w:tcPr>
          <w:p w14:paraId="65B14EA5">
            <w:pPr>
              <w:widowControl/>
              <w:jc w:val="center"/>
              <w:rPr>
                <w:color w:val="auto"/>
                <w:kern w:val="0"/>
                <w:szCs w:val="21"/>
              </w:rPr>
            </w:pPr>
            <w:r>
              <w:rPr>
                <w:rFonts w:hint="eastAsia"/>
                <w:color w:val="auto"/>
                <w:szCs w:val="21"/>
              </w:rPr>
              <w:t>前端涨紧部装</w:t>
            </w:r>
          </w:p>
        </w:tc>
        <w:tc>
          <w:tcPr>
            <w:tcW w:w="701" w:type="dxa"/>
            <w:vAlign w:val="center"/>
          </w:tcPr>
          <w:p w14:paraId="66B488B2">
            <w:pPr>
              <w:widowControl/>
              <w:jc w:val="center"/>
              <w:rPr>
                <w:color w:val="auto"/>
                <w:kern w:val="0"/>
                <w:szCs w:val="21"/>
              </w:rPr>
            </w:pPr>
            <w:r>
              <w:rPr>
                <w:rFonts w:hint="eastAsia"/>
                <w:color w:val="auto"/>
                <w:kern w:val="0"/>
                <w:szCs w:val="21"/>
              </w:rPr>
              <w:t>列</w:t>
            </w:r>
          </w:p>
        </w:tc>
        <w:tc>
          <w:tcPr>
            <w:tcW w:w="674" w:type="dxa"/>
            <w:vAlign w:val="center"/>
          </w:tcPr>
          <w:p w14:paraId="06726E83">
            <w:pPr>
              <w:widowControl/>
              <w:jc w:val="center"/>
              <w:rPr>
                <w:color w:val="auto"/>
                <w:kern w:val="0"/>
                <w:szCs w:val="21"/>
              </w:rPr>
            </w:pPr>
            <w:r>
              <w:rPr>
                <w:rFonts w:hint="eastAsia"/>
                <w:color w:val="auto"/>
                <w:szCs w:val="21"/>
              </w:rPr>
              <w:t>5</w:t>
            </w:r>
          </w:p>
        </w:tc>
        <w:tc>
          <w:tcPr>
            <w:tcW w:w="3897" w:type="dxa"/>
            <w:vAlign w:val="center"/>
          </w:tcPr>
          <w:p w14:paraId="14D6A29D">
            <w:pPr>
              <w:widowControl/>
              <w:jc w:val="center"/>
              <w:rPr>
                <w:color w:val="auto"/>
                <w:kern w:val="0"/>
                <w:szCs w:val="21"/>
              </w:rPr>
            </w:pPr>
            <w:r>
              <w:rPr>
                <w:rFonts w:hint="eastAsia"/>
                <w:color w:val="auto"/>
                <w:kern w:val="0"/>
                <w:szCs w:val="21"/>
              </w:rPr>
              <w:t>含输粪带</w:t>
            </w:r>
            <w:r>
              <w:rPr>
                <w:rFonts w:hint="eastAsia"/>
                <w:color w:val="auto"/>
                <w:szCs w:val="21"/>
              </w:rPr>
              <w:t>涨紧装置</w:t>
            </w:r>
          </w:p>
        </w:tc>
      </w:tr>
      <w:tr w14:paraId="6519D25C">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0698A8A3">
            <w:pPr>
              <w:widowControl/>
              <w:jc w:val="center"/>
              <w:rPr>
                <w:color w:val="auto"/>
                <w:kern w:val="0"/>
                <w:szCs w:val="21"/>
              </w:rPr>
            </w:pPr>
            <w:r>
              <w:rPr>
                <w:rFonts w:hint="eastAsia"/>
                <w:color w:val="auto"/>
                <w:kern w:val="0"/>
                <w:szCs w:val="21"/>
              </w:rPr>
              <w:t>3</w:t>
            </w:r>
          </w:p>
        </w:tc>
        <w:tc>
          <w:tcPr>
            <w:tcW w:w="2576" w:type="dxa"/>
            <w:vAlign w:val="center"/>
          </w:tcPr>
          <w:p w14:paraId="7F659B71">
            <w:pPr>
              <w:widowControl/>
              <w:jc w:val="center"/>
              <w:rPr>
                <w:color w:val="auto"/>
                <w:kern w:val="0"/>
                <w:szCs w:val="21"/>
              </w:rPr>
            </w:pPr>
            <w:r>
              <w:rPr>
                <w:rFonts w:hint="eastAsia"/>
                <w:color w:val="auto"/>
                <w:szCs w:val="21"/>
              </w:rPr>
              <w:t>后端传动部装</w:t>
            </w:r>
          </w:p>
        </w:tc>
        <w:tc>
          <w:tcPr>
            <w:tcW w:w="701" w:type="dxa"/>
            <w:vAlign w:val="center"/>
          </w:tcPr>
          <w:p w14:paraId="13722762">
            <w:pPr>
              <w:widowControl/>
              <w:jc w:val="center"/>
              <w:rPr>
                <w:color w:val="auto"/>
                <w:kern w:val="0"/>
                <w:szCs w:val="21"/>
              </w:rPr>
            </w:pPr>
            <w:r>
              <w:rPr>
                <w:rFonts w:hint="eastAsia"/>
                <w:color w:val="auto"/>
                <w:kern w:val="0"/>
                <w:szCs w:val="21"/>
              </w:rPr>
              <w:t>列</w:t>
            </w:r>
          </w:p>
        </w:tc>
        <w:tc>
          <w:tcPr>
            <w:tcW w:w="674" w:type="dxa"/>
            <w:vAlign w:val="center"/>
          </w:tcPr>
          <w:p w14:paraId="54B004E0">
            <w:pPr>
              <w:widowControl/>
              <w:jc w:val="center"/>
              <w:rPr>
                <w:color w:val="auto"/>
                <w:kern w:val="0"/>
                <w:szCs w:val="21"/>
              </w:rPr>
            </w:pPr>
            <w:r>
              <w:rPr>
                <w:rFonts w:hint="eastAsia"/>
                <w:color w:val="auto"/>
                <w:kern w:val="0"/>
                <w:szCs w:val="21"/>
              </w:rPr>
              <w:t>5</w:t>
            </w:r>
          </w:p>
        </w:tc>
        <w:tc>
          <w:tcPr>
            <w:tcW w:w="3897" w:type="dxa"/>
            <w:vAlign w:val="center"/>
          </w:tcPr>
          <w:p w14:paraId="54DF8E0A">
            <w:pPr>
              <w:widowControl/>
              <w:jc w:val="center"/>
              <w:rPr>
                <w:color w:val="auto"/>
                <w:kern w:val="0"/>
                <w:szCs w:val="21"/>
              </w:rPr>
            </w:pPr>
            <w:r>
              <w:rPr>
                <w:rFonts w:hint="eastAsia"/>
                <w:color w:val="auto"/>
                <w:szCs w:val="21"/>
              </w:rPr>
              <w:t>含集料、输粪驱动、涨紧调整等</w:t>
            </w:r>
          </w:p>
        </w:tc>
      </w:tr>
      <w:tr w14:paraId="443997DE">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37358D25">
            <w:pPr>
              <w:widowControl/>
              <w:jc w:val="center"/>
              <w:rPr>
                <w:color w:val="auto"/>
                <w:kern w:val="0"/>
                <w:szCs w:val="21"/>
              </w:rPr>
            </w:pPr>
            <w:r>
              <w:rPr>
                <w:rFonts w:hint="eastAsia"/>
                <w:color w:val="auto"/>
                <w:kern w:val="0"/>
                <w:szCs w:val="21"/>
              </w:rPr>
              <w:t>4</w:t>
            </w:r>
          </w:p>
        </w:tc>
        <w:tc>
          <w:tcPr>
            <w:tcW w:w="2576" w:type="dxa"/>
            <w:vAlign w:val="center"/>
          </w:tcPr>
          <w:p w14:paraId="23D44054">
            <w:pPr>
              <w:widowControl/>
              <w:jc w:val="center"/>
              <w:rPr>
                <w:color w:val="auto"/>
                <w:kern w:val="0"/>
                <w:szCs w:val="21"/>
              </w:rPr>
            </w:pPr>
            <w:r>
              <w:rPr>
                <w:rFonts w:hint="eastAsia"/>
                <w:color w:val="auto"/>
                <w:kern w:val="0"/>
                <w:szCs w:val="21"/>
              </w:rPr>
              <w:t>中间节笼架</w:t>
            </w:r>
          </w:p>
        </w:tc>
        <w:tc>
          <w:tcPr>
            <w:tcW w:w="701" w:type="dxa"/>
            <w:vAlign w:val="center"/>
          </w:tcPr>
          <w:p w14:paraId="5D417356">
            <w:pPr>
              <w:widowControl/>
              <w:jc w:val="center"/>
              <w:rPr>
                <w:color w:val="auto"/>
                <w:kern w:val="0"/>
                <w:szCs w:val="21"/>
              </w:rPr>
            </w:pPr>
            <w:r>
              <w:rPr>
                <w:rFonts w:hint="eastAsia"/>
                <w:color w:val="auto"/>
                <w:kern w:val="0"/>
                <w:szCs w:val="21"/>
              </w:rPr>
              <w:t>节</w:t>
            </w:r>
          </w:p>
        </w:tc>
        <w:tc>
          <w:tcPr>
            <w:tcW w:w="674" w:type="dxa"/>
            <w:vAlign w:val="center"/>
          </w:tcPr>
          <w:p w14:paraId="40D5D054">
            <w:pPr>
              <w:widowControl/>
              <w:jc w:val="center"/>
              <w:rPr>
                <w:color w:val="auto"/>
                <w:kern w:val="0"/>
                <w:szCs w:val="21"/>
              </w:rPr>
            </w:pPr>
            <w:r>
              <w:rPr>
                <w:rFonts w:hint="eastAsia"/>
                <w:color w:val="auto"/>
                <w:kern w:val="0"/>
                <w:szCs w:val="21"/>
              </w:rPr>
              <w:t>355</w:t>
            </w:r>
          </w:p>
        </w:tc>
        <w:tc>
          <w:tcPr>
            <w:tcW w:w="3897" w:type="dxa"/>
            <w:vAlign w:val="center"/>
          </w:tcPr>
          <w:p w14:paraId="1C4F5425">
            <w:pPr>
              <w:widowControl/>
              <w:jc w:val="center"/>
              <w:rPr>
                <w:color w:val="auto"/>
                <w:kern w:val="0"/>
                <w:szCs w:val="21"/>
              </w:rPr>
            </w:pPr>
            <w:r>
              <w:rPr>
                <w:rFonts w:hint="eastAsia"/>
                <w:color w:val="auto"/>
                <w:kern w:val="0"/>
                <w:szCs w:val="21"/>
              </w:rPr>
              <w:t>相邻立柱间距1.2m，强度高</w:t>
            </w:r>
          </w:p>
        </w:tc>
      </w:tr>
      <w:tr w14:paraId="247A89A7">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525" w:type="dxa"/>
            <w:gridSpan w:val="5"/>
            <w:vAlign w:val="center"/>
          </w:tcPr>
          <w:p w14:paraId="5DBE9D7C">
            <w:pPr>
              <w:widowControl/>
              <w:jc w:val="center"/>
              <w:rPr>
                <w:color w:val="auto"/>
                <w:kern w:val="0"/>
                <w:szCs w:val="21"/>
              </w:rPr>
            </w:pPr>
            <w:r>
              <w:rPr>
                <w:rFonts w:hint="eastAsia"/>
                <w:color w:val="auto"/>
                <w:kern w:val="0"/>
                <w:szCs w:val="21"/>
              </w:rPr>
              <w:t>清粪、传动、涨紧系统</w:t>
            </w:r>
          </w:p>
        </w:tc>
      </w:tr>
      <w:tr w14:paraId="17E9BDFD">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48F5C187">
            <w:pPr>
              <w:widowControl/>
              <w:jc w:val="center"/>
              <w:rPr>
                <w:color w:val="auto"/>
                <w:kern w:val="0"/>
                <w:szCs w:val="21"/>
              </w:rPr>
            </w:pPr>
            <w:r>
              <w:rPr>
                <w:color w:val="auto"/>
                <w:kern w:val="0"/>
                <w:szCs w:val="21"/>
              </w:rPr>
              <w:t>1</w:t>
            </w:r>
          </w:p>
        </w:tc>
        <w:tc>
          <w:tcPr>
            <w:tcW w:w="2576" w:type="dxa"/>
            <w:vAlign w:val="center"/>
          </w:tcPr>
          <w:p w14:paraId="55618C4F">
            <w:pPr>
              <w:widowControl/>
              <w:jc w:val="center"/>
              <w:rPr>
                <w:color w:val="auto"/>
                <w:kern w:val="0"/>
                <w:szCs w:val="21"/>
              </w:rPr>
            </w:pPr>
            <w:r>
              <w:rPr>
                <w:rFonts w:hint="eastAsia"/>
                <w:color w:val="auto"/>
                <w:kern w:val="0"/>
                <w:szCs w:val="21"/>
              </w:rPr>
              <w:t>输粪带</w:t>
            </w:r>
          </w:p>
        </w:tc>
        <w:tc>
          <w:tcPr>
            <w:tcW w:w="701" w:type="dxa"/>
            <w:vAlign w:val="center"/>
          </w:tcPr>
          <w:p w14:paraId="34CD4358">
            <w:pPr>
              <w:widowControl/>
              <w:jc w:val="center"/>
              <w:rPr>
                <w:color w:val="auto"/>
                <w:kern w:val="0"/>
                <w:szCs w:val="21"/>
              </w:rPr>
            </w:pPr>
            <w:r>
              <w:rPr>
                <w:rFonts w:hint="eastAsia"/>
                <w:color w:val="auto"/>
                <w:kern w:val="0"/>
                <w:szCs w:val="21"/>
              </w:rPr>
              <w:t>条</w:t>
            </w:r>
          </w:p>
        </w:tc>
        <w:tc>
          <w:tcPr>
            <w:tcW w:w="674" w:type="dxa"/>
            <w:vAlign w:val="center"/>
          </w:tcPr>
          <w:p w14:paraId="127C8D63">
            <w:pPr>
              <w:widowControl/>
              <w:jc w:val="center"/>
              <w:rPr>
                <w:color w:val="auto"/>
                <w:kern w:val="0"/>
                <w:szCs w:val="21"/>
              </w:rPr>
            </w:pPr>
            <w:r>
              <w:rPr>
                <w:rFonts w:hint="eastAsia"/>
                <w:color w:val="auto"/>
                <w:kern w:val="0"/>
                <w:szCs w:val="21"/>
              </w:rPr>
              <w:t>20</w:t>
            </w:r>
          </w:p>
        </w:tc>
        <w:tc>
          <w:tcPr>
            <w:tcW w:w="3897" w:type="dxa"/>
            <w:vAlign w:val="center"/>
          </w:tcPr>
          <w:p w14:paraId="7C2EDACE">
            <w:pPr>
              <w:widowControl/>
              <w:jc w:val="center"/>
              <w:rPr>
                <w:color w:val="auto"/>
                <w:kern w:val="0"/>
                <w:szCs w:val="21"/>
              </w:rPr>
            </w:pPr>
            <w:r>
              <w:rPr>
                <w:rFonts w:hint="eastAsia"/>
                <w:color w:val="auto"/>
                <w:kern w:val="0"/>
                <w:szCs w:val="21"/>
              </w:rPr>
              <w:t>PP带，170.4m</w:t>
            </w:r>
          </w:p>
        </w:tc>
      </w:tr>
      <w:tr w14:paraId="3E1B6475">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0C8F866F">
            <w:pPr>
              <w:widowControl/>
              <w:jc w:val="center"/>
              <w:rPr>
                <w:color w:val="auto"/>
                <w:kern w:val="0"/>
                <w:szCs w:val="21"/>
              </w:rPr>
            </w:pPr>
            <w:r>
              <w:rPr>
                <w:rFonts w:hint="eastAsia"/>
                <w:color w:val="auto"/>
                <w:kern w:val="0"/>
                <w:szCs w:val="21"/>
              </w:rPr>
              <w:t>2</w:t>
            </w:r>
          </w:p>
        </w:tc>
        <w:tc>
          <w:tcPr>
            <w:tcW w:w="2576" w:type="dxa"/>
            <w:vAlign w:val="center"/>
          </w:tcPr>
          <w:p w14:paraId="58AE0503">
            <w:pPr>
              <w:widowControl/>
              <w:jc w:val="center"/>
              <w:rPr>
                <w:color w:val="auto"/>
                <w:kern w:val="0"/>
                <w:szCs w:val="21"/>
              </w:rPr>
            </w:pPr>
            <w:r>
              <w:rPr>
                <w:rFonts w:hint="eastAsia"/>
                <w:color w:val="auto"/>
                <w:kern w:val="0"/>
                <w:szCs w:val="21"/>
              </w:rPr>
              <w:t>输粪带减速机</w:t>
            </w:r>
          </w:p>
        </w:tc>
        <w:tc>
          <w:tcPr>
            <w:tcW w:w="701" w:type="dxa"/>
            <w:vAlign w:val="center"/>
          </w:tcPr>
          <w:p w14:paraId="48E0AC60">
            <w:pPr>
              <w:widowControl/>
              <w:jc w:val="center"/>
              <w:rPr>
                <w:color w:val="auto"/>
                <w:kern w:val="0"/>
                <w:szCs w:val="21"/>
              </w:rPr>
            </w:pPr>
            <w:r>
              <w:rPr>
                <w:rFonts w:hint="eastAsia"/>
                <w:color w:val="auto"/>
                <w:kern w:val="0"/>
                <w:szCs w:val="21"/>
              </w:rPr>
              <w:t>台</w:t>
            </w:r>
          </w:p>
        </w:tc>
        <w:tc>
          <w:tcPr>
            <w:tcW w:w="674" w:type="dxa"/>
            <w:vAlign w:val="center"/>
          </w:tcPr>
          <w:p w14:paraId="098F066C">
            <w:pPr>
              <w:widowControl/>
              <w:jc w:val="center"/>
              <w:rPr>
                <w:color w:val="auto"/>
                <w:kern w:val="0"/>
                <w:szCs w:val="21"/>
              </w:rPr>
            </w:pPr>
            <w:r>
              <w:rPr>
                <w:rFonts w:hint="eastAsia"/>
                <w:color w:val="auto"/>
                <w:kern w:val="0"/>
                <w:szCs w:val="21"/>
              </w:rPr>
              <w:t>10</w:t>
            </w:r>
          </w:p>
        </w:tc>
        <w:tc>
          <w:tcPr>
            <w:tcW w:w="3897" w:type="dxa"/>
            <w:vAlign w:val="center"/>
          </w:tcPr>
          <w:p w14:paraId="25DC4C59">
            <w:pPr>
              <w:widowControl/>
              <w:jc w:val="center"/>
              <w:rPr>
                <w:color w:val="auto"/>
                <w:kern w:val="0"/>
                <w:szCs w:val="21"/>
              </w:rPr>
            </w:pPr>
            <w:r>
              <w:rPr>
                <w:rFonts w:hint="eastAsia"/>
                <w:color w:val="auto"/>
                <w:kern w:val="0"/>
                <w:szCs w:val="21"/>
              </w:rPr>
              <w:t>/</w:t>
            </w:r>
          </w:p>
        </w:tc>
      </w:tr>
      <w:tr w14:paraId="3AD7BCE9">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67E5A64C">
            <w:pPr>
              <w:widowControl/>
              <w:jc w:val="center"/>
              <w:rPr>
                <w:color w:val="auto"/>
                <w:kern w:val="0"/>
                <w:szCs w:val="21"/>
              </w:rPr>
            </w:pPr>
            <w:r>
              <w:rPr>
                <w:rFonts w:hint="eastAsia"/>
                <w:color w:val="auto"/>
                <w:kern w:val="0"/>
                <w:szCs w:val="21"/>
              </w:rPr>
              <w:t>3</w:t>
            </w:r>
          </w:p>
        </w:tc>
        <w:tc>
          <w:tcPr>
            <w:tcW w:w="2576" w:type="dxa"/>
            <w:vAlign w:val="center"/>
          </w:tcPr>
          <w:p w14:paraId="16D42AC5">
            <w:pPr>
              <w:widowControl/>
              <w:jc w:val="center"/>
              <w:rPr>
                <w:color w:val="auto"/>
                <w:kern w:val="0"/>
                <w:szCs w:val="21"/>
              </w:rPr>
            </w:pPr>
            <w:r>
              <w:rPr>
                <w:rFonts w:hint="eastAsia"/>
                <w:color w:val="auto"/>
                <w:kern w:val="0"/>
                <w:szCs w:val="21"/>
              </w:rPr>
              <w:t>室内横向清粪机（头尾）</w:t>
            </w:r>
          </w:p>
        </w:tc>
        <w:tc>
          <w:tcPr>
            <w:tcW w:w="701" w:type="dxa"/>
            <w:vAlign w:val="center"/>
          </w:tcPr>
          <w:p w14:paraId="467D0089">
            <w:pPr>
              <w:widowControl/>
              <w:jc w:val="center"/>
              <w:rPr>
                <w:color w:val="auto"/>
                <w:kern w:val="0"/>
                <w:szCs w:val="21"/>
              </w:rPr>
            </w:pPr>
            <w:r>
              <w:rPr>
                <w:rFonts w:hint="eastAsia"/>
                <w:color w:val="auto"/>
                <w:kern w:val="0"/>
                <w:szCs w:val="21"/>
              </w:rPr>
              <w:t>套</w:t>
            </w:r>
          </w:p>
        </w:tc>
        <w:tc>
          <w:tcPr>
            <w:tcW w:w="674" w:type="dxa"/>
            <w:vAlign w:val="center"/>
          </w:tcPr>
          <w:p w14:paraId="5FB86EF5">
            <w:pPr>
              <w:widowControl/>
              <w:jc w:val="center"/>
              <w:rPr>
                <w:color w:val="auto"/>
                <w:kern w:val="0"/>
                <w:szCs w:val="21"/>
              </w:rPr>
            </w:pPr>
            <w:r>
              <w:rPr>
                <w:rFonts w:hint="eastAsia"/>
                <w:color w:val="auto"/>
                <w:kern w:val="0"/>
                <w:szCs w:val="21"/>
              </w:rPr>
              <w:t>1</w:t>
            </w:r>
          </w:p>
        </w:tc>
        <w:tc>
          <w:tcPr>
            <w:tcW w:w="3897" w:type="dxa"/>
            <w:vAlign w:val="center"/>
          </w:tcPr>
          <w:p w14:paraId="1EFB04ED">
            <w:pPr>
              <w:widowControl/>
              <w:jc w:val="center"/>
              <w:rPr>
                <w:color w:val="auto"/>
                <w:kern w:val="0"/>
                <w:szCs w:val="21"/>
              </w:rPr>
            </w:pPr>
            <w:r>
              <w:rPr>
                <w:rFonts w:hint="eastAsia"/>
                <w:color w:val="auto"/>
                <w:kern w:val="0"/>
                <w:szCs w:val="21"/>
              </w:rPr>
              <w:t>含驱动电机、热镀锌板制作</w:t>
            </w:r>
          </w:p>
        </w:tc>
      </w:tr>
      <w:tr w14:paraId="0194EC72">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66DF9B7B">
            <w:pPr>
              <w:widowControl/>
              <w:jc w:val="center"/>
              <w:rPr>
                <w:color w:val="auto"/>
                <w:kern w:val="0"/>
                <w:szCs w:val="21"/>
              </w:rPr>
            </w:pPr>
            <w:r>
              <w:rPr>
                <w:rFonts w:hint="eastAsia"/>
                <w:color w:val="auto"/>
                <w:kern w:val="0"/>
                <w:szCs w:val="21"/>
              </w:rPr>
              <w:t>4</w:t>
            </w:r>
          </w:p>
        </w:tc>
        <w:tc>
          <w:tcPr>
            <w:tcW w:w="2576" w:type="dxa"/>
            <w:vAlign w:val="center"/>
          </w:tcPr>
          <w:p w14:paraId="5346B4A8">
            <w:pPr>
              <w:widowControl/>
              <w:jc w:val="center"/>
              <w:rPr>
                <w:color w:val="auto"/>
                <w:szCs w:val="21"/>
              </w:rPr>
            </w:pPr>
            <w:r>
              <w:rPr>
                <w:rFonts w:hint="eastAsia"/>
                <w:color w:val="auto"/>
                <w:kern w:val="0"/>
                <w:szCs w:val="21"/>
              </w:rPr>
              <w:t>室内横向清粪机（中间节）</w:t>
            </w:r>
          </w:p>
        </w:tc>
        <w:tc>
          <w:tcPr>
            <w:tcW w:w="701" w:type="dxa"/>
            <w:vAlign w:val="center"/>
          </w:tcPr>
          <w:p w14:paraId="498365BF">
            <w:pPr>
              <w:widowControl/>
              <w:jc w:val="center"/>
              <w:rPr>
                <w:color w:val="auto"/>
                <w:kern w:val="0"/>
                <w:szCs w:val="21"/>
              </w:rPr>
            </w:pPr>
            <w:r>
              <w:rPr>
                <w:rFonts w:hint="eastAsia"/>
                <w:color w:val="auto"/>
                <w:kern w:val="0"/>
                <w:szCs w:val="21"/>
              </w:rPr>
              <w:t>节</w:t>
            </w:r>
          </w:p>
        </w:tc>
        <w:tc>
          <w:tcPr>
            <w:tcW w:w="674" w:type="dxa"/>
            <w:vAlign w:val="center"/>
          </w:tcPr>
          <w:p w14:paraId="2B636D11">
            <w:pPr>
              <w:widowControl/>
              <w:jc w:val="center"/>
              <w:rPr>
                <w:color w:val="auto"/>
                <w:kern w:val="0"/>
                <w:szCs w:val="21"/>
              </w:rPr>
            </w:pPr>
            <w:r>
              <w:rPr>
                <w:rFonts w:hint="eastAsia"/>
                <w:color w:val="auto"/>
                <w:kern w:val="0"/>
                <w:szCs w:val="21"/>
              </w:rPr>
              <w:t>8</w:t>
            </w:r>
          </w:p>
        </w:tc>
        <w:tc>
          <w:tcPr>
            <w:tcW w:w="3897" w:type="dxa"/>
            <w:vAlign w:val="center"/>
          </w:tcPr>
          <w:p w14:paraId="2B7BF041">
            <w:pPr>
              <w:widowControl/>
              <w:jc w:val="center"/>
              <w:rPr>
                <w:color w:val="auto"/>
                <w:kern w:val="0"/>
                <w:szCs w:val="21"/>
              </w:rPr>
            </w:pPr>
            <w:r>
              <w:rPr>
                <w:rFonts w:hint="eastAsia"/>
                <w:color w:val="auto"/>
                <w:kern w:val="0"/>
                <w:szCs w:val="21"/>
              </w:rPr>
              <w:t>/</w:t>
            </w:r>
          </w:p>
        </w:tc>
      </w:tr>
      <w:tr w14:paraId="4416EAB2">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694153C7">
            <w:pPr>
              <w:widowControl/>
              <w:jc w:val="center"/>
              <w:rPr>
                <w:color w:val="auto"/>
                <w:kern w:val="0"/>
                <w:szCs w:val="21"/>
              </w:rPr>
            </w:pPr>
            <w:r>
              <w:rPr>
                <w:rFonts w:hint="eastAsia"/>
                <w:color w:val="auto"/>
                <w:kern w:val="0"/>
                <w:szCs w:val="21"/>
              </w:rPr>
              <w:t>5</w:t>
            </w:r>
          </w:p>
        </w:tc>
        <w:tc>
          <w:tcPr>
            <w:tcW w:w="2576" w:type="dxa"/>
            <w:vAlign w:val="center"/>
          </w:tcPr>
          <w:p w14:paraId="37D41A44">
            <w:pPr>
              <w:widowControl/>
              <w:jc w:val="center"/>
              <w:rPr>
                <w:color w:val="auto"/>
                <w:kern w:val="0"/>
                <w:szCs w:val="21"/>
              </w:rPr>
            </w:pPr>
            <w:r>
              <w:rPr>
                <w:rFonts w:hint="eastAsia"/>
                <w:color w:val="auto"/>
                <w:kern w:val="0"/>
                <w:szCs w:val="21"/>
              </w:rPr>
              <w:t>室外斜向清粪机</w:t>
            </w:r>
          </w:p>
        </w:tc>
        <w:tc>
          <w:tcPr>
            <w:tcW w:w="701" w:type="dxa"/>
            <w:vAlign w:val="center"/>
          </w:tcPr>
          <w:p w14:paraId="64F82AFA">
            <w:pPr>
              <w:widowControl/>
              <w:jc w:val="center"/>
              <w:rPr>
                <w:color w:val="auto"/>
                <w:kern w:val="0"/>
                <w:szCs w:val="21"/>
              </w:rPr>
            </w:pPr>
            <w:r>
              <w:rPr>
                <w:rFonts w:hint="eastAsia"/>
                <w:color w:val="auto"/>
                <w:kern w:val="0"/>
                <w:szCs w:val="21"/>
              </w:rPr>
              <w:t>套</w:t>
            </w:r>
          </w:p>
        </w:tc>
        <w:tc>
          <w:tcPr>
            <w:tcW w:w="674" w:type="dxa"/>
            <w:vAlign w:val="center"/>
          </w:tcPr>
          <w:p w14:paraId="502893D1">
            <w:pPr>
              <w:widowControl/>
              <w:jc w:val="center"/>
              <w:rPr>
                <w:color w:val="auto"/>
                <w:kern w:val="0"/>
                <w:szCs w:val="21"/>
              </w:rPr>
            </w:pPr>
            <w:r>
              <w:rPr>
                <w:rFonts w:hint="eastAsia"/>
                <w:color w:val="auto"/>
                <w:kern w:val="0"/>
                <w:szCs w:val="21"/>
              </w:rPr>
              <w:t>1</w:t>
            </w:r>
          </w:p>
        </w:tc>
        <w:tc>
          <w:tcPr>
            <w:tcW w:w="3897" w:type="dxa"/>
            <w:vAlign w:val="center"/>
          </w:tcPr>
          <w:p w14:paraId="28DEB824">
            <w:pPr>
              <w:widowControl/>
              <w:jc w:val="center"/>
              <w:rPr>
                <w:color w:val="auto"/>
                <w:kern w:val="0"/>
                <w:szCs w:val="21"/>
              </w:rPr>
            </w:pPr>
            <w:r>
              <w:rPr>
                <w:rFonts w:hint="eastAsia"/>
                <w:color w:val="auto"/>
                <w:kern w:val="0"/>
                <w:szCs w:val="21"/>
              </w:rPr>
              <w:t>/</w:t>
            </w:r>
          </w:p>
        </w:tc>
      </w:tr>
      <w:tr w14:paraId="04A55341">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525" w:type="dxa"/>
            <w:gridSpan w:val="5"/>
            <w:vAlign w:val="center"/>
          </w:tcPr>
          <w:p w14:paraId="481EC00D">
            <w:pPr>
              <w:widowControl/>
              <w:jc w:val="center"/>
              <w:rPr>
                <w:color w:val="auto"/>
                <w:kern w:val="0"/>
                <w:szCs w:val="21"/>
              </w:rPr>
            </w:pPr>
            <w:r>
              <w:rPr>
                <w:rFonts w:hint="eastAsia"/>
                <w:color w:val="auto"/>
                <w:kern w:val="0"/>
                <w:szCs w:val="21"/>
              </w:rPr>
              <w:t>水处理、加药系统</w:t>
            </w:r>
          </w:p>
        </w:tc>
      </w:tr>
      <w:tr w14:paraId="497BFC75">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01B113F1">
            <w:pPr>
              <w:widowControl/>
              <w:jc w:val="center"/>
              <w:rPr>
                <w:color w:val="auto"/>
                <w:kern w:val="0"/>
                <w:szCs w:val="21"/>
              </w:rPr>
            </w:pPr>
            <w:r>
              <w:rPr>
                <w:color w:val="auto"/>
                <w:kern w:val="0"/>
                <w:szCs w:val="21"/>
              </w:rPr>
              <w:t>1</w:t>
            </w:r>
          </w:p>
        </w:tc>
        <w:tc>
          <w:tcPr>
            <w:tcW w:w="2576" w:type="dxa"/>
            <w:vAlign w:val="center"/>
          </w:tcPr>
          <w:p w14:paraId="4A71FEEE">
            <w:pPr>
              <w:widowControl/>
              <w:jc w:val="center"/>
              <w:rPr>
                <w:color w:val="auto"/>
                <w:kern w:val="0"/>
                <w:szCs w:val="21"/>
              </w:rPr>
            </w:pPr>
            <w:r>
              <w:rPr>
                <w:rFonts w:hint="eastAsia"/>
                <w:color w:val="auto"/>
                <w:kern w:val="0"/>
                <w:szCs w:val="21"/>
              </w:rPr>
              <w:t>水线固定支架</w:t>
            </w:r>
          </w:p>
        </w:tc>
        <w:tc>
          <w:tcPr>
            <w:tcW w:w="701" w:type="dxa"/>
            <w:vAlign w:val="center"/>
          </w:tcPr>
          <w:p w14:paraId="2148F916">
            <w:pPr>
              <w:widowControl/>
              <w:jc w:val="center"/>
              <w:rPr>
                <w:color w:val="auto"/>
                <w:kern w:val="0"/>
                <w:szCs w:val="21"/>
              </w:rPr>
            </w:pPr>
            <w:r>
              <w:rPr>
                <w:rFonts w:hint="eastAsia"/>
                <w:color w:val="auto"/>
                <w:kern w:val="0"/>
                <w:szCs w:val="21"/>
              </w:rPr>
              <w:t>套</w:t>
            </w:r>
          </w:p>
        </w:tc>
        <w:tc>
          <w:tcPr>
            <w:tcW w:w="674" w:type="dxa"/>
            <w:vAlign w:val="center"/>
          </w:tcPr>
          <w:p w14:paraId="23E63A46">
            <w:pPr>
              <w:widowControl/>
              <w:jc w:val="center"/>
              <w:rPr>
                <w:color w:val="auto"/>
                <w:kern w:val="0"/>
                <w:szCs w:val="21"/>
              </w:rPr>
            </w:pPr>
            <w:r>
              <w:rPr>
                <w:rFonts w:hint="eastAsia"/>
                <w:color w:val="auto"/>
                <w:szCs w:val="21"/>
              </w:rPr>
              <w:t>1</w:t>
            </w:r>
          </w:p>
        </w:tc>
        <w:tc>
          <w:tcPr>
            <w:tcW w:w="3897" w:type="dxa"/>
            <w:vAlign w:val="center"/>
          </w:tcPr>
          <w:p w14:paraId="798E679C">
            <w:pPr>
              <w:widowControl/>
              <w:jc w:val="center"/>
              <w:rPr>
                <w:color w:val="auto"/>
                <w:kern w:val="0"/>
                <w:szCs w:val="21"/>
              </w:rPr>
            </w:pPr>
            <w:r>
              <w:rPr>
                <w:rFonts w:hint="eastAsia"/>
                <w:color w:val="auto"/>
                <w:kern w:val="0"/>
                <w:szCs w:val="21"/>
              </w:rPr>
              <w:t>/</w:t>
            </w:r>
          </w:p>
        </w:tc>
      </w:tr>
      <w:tr w14:paraId="72CFA96B">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2B3F8848">
            <w:pPr>
              <w:widowControl/>
              <w:jc w:val="center"/>
              <w:rPr>
                <w:color w:val="auto"/>
                <w:kern w:val="0"/>
                <w:szCs w:val="21"/>
              </w:rPr>
            </w:pPr>
            <w:r>
              <w:rPr>
                <w:rFonts w:hint="eastAsia"/>
                <w:color w:val="auto"/>
                <w:kern w:val="0"/>
                <w:szCs w:val="21"/>
              </w:rPr>
              <w:t>2</w:t>
            </w:r>
          </w:p>
        </w:tc>
        <w:tc>
          <w:tcPr>
            <w:tcW w:w="2576" w:type="dxa"/>
            <w:vAlign w:val="center"/>
          </w:tcPr>
          <w:p w14:paraId="554DEC42">
            <w:pPr>
              <w:widowControl/>
              <w:jc w:val="center"/>
              <w:rPr>
                <w:color w:val="auto"/>
                <w:kern w:val="0"/>
                <w:szCs w:val="21"/>
              </w:rPr>
            </w:pPr>
            <w:r>
              <w:rPr>
                <w:rFonts w:hint="eastAsia"/>
                <w:color w:val="auto"/>
                <w:kern w:val="0"/>
                <w:szCs w:val="21"/>
              </w:rPr>
              <w:t>压力表</w:t>
            </w:r>
          </w:p>
        </w:tc>
        <w:tc>
          <w:tcPr>
            <w:tcW w:w="701" w:type="dxa"/>
            <w:vAlign w:val="center"/>
          </w:tcPr>
          <w:p w14:paraId="193FC79B">
            <w:pPr>
              <w:widowControl/>
              <w:jc w:val="center"/>
              <w:rPr>
                <w:color w:val="auto"/>
                <w:kern w:val="0"/>
                <w:szCs w:val="21"/>
              </w:rPr>
            </w:pPr>
            <w:r>
              <w:rPr>
                <w:rFonts w:hint="eastAsia"/>
                <w:color w:val="auto"/>
                <w:kern w:val="0"/>
                <w:szCs w:val="21"/>
              </w:rPr>
              <w:t>套</w:t>
            </w:r>
          </w:p>
        </w:tc>
        <w:tc>
          <w:tcPr>
            <w:tcW w:w="674" w:type="dxa"/>
            <w:vAlign w:val="center"/>
          </w:tcPr>
          <w:p w14:paraId="719ABEFF">
            <w:pPr>
              <w:widowControl/>
              <w:jc w:val="center"/>
              <w:rPr>
                <w:color w:val="auto"/>
                <w:kern w:val="0"/>
                <w:szCs w:val="21"/>
              </w:rPr>
            </w:pPr>
            <w:r>
              <w:rPr>
                <w:rFonts w:hint="eastAsia"/>
                <w:color w:val="auto"/>
                <w:kern w:val="0"/>
                <w:szCs w:val="21"/>
              </w:rPr>
              <w:t>2</w:t>
            </w:r>
          </w:p>
        </w:tc>
        <w:tc>
          <w:tcPr>
            <w:tcW w:w="3897" w:type="dxa"/>
            <w:vAlign w:val="center"/>
          </w:tcPr>
          <w:p w14:paraId="2A659905">
            <w:pPr>
              <w:widowControl/>
              <w:jc w:val="center"/>
              <w:rPr>
                <w:color w:val="auto"/>
                <w:kern w:val="0"/>
                <w:szCs w:val="21"/>
              </w:rPr>
            </w:pPr>
            <w:r>
              <w:rPr>
                <w:rFonts w:hint="eastAsia"/>
                <w:color w:val="auto"/>
                <w:kern w:val="0"/>
                <w:szCs w:val="21"/>
              </w:rPr>
              <w:t>0-0.6MP</w:t>
            </w:r>
          </w:p>
        </w:tc>
      </w:tr>
      <w:tr w14:paraId="71C58C4F">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1E086E6D">
            <w:pPr>
              <w:widowControl/>
              <w:jc w:val="center"/>
              <w:rPr>
                <w:color w:val="auto"/>
                <w:kern w:val="0"/>
                <w:szCs w:val="21"/>
              </w:rPr>
            </w:pPr>
            <w:r>
              <w:rPr>
                <w:rFonts w:hint="eastAsia"/>
                <w:color w:val="auto"/>
                <w:kern w:val="0"/>
                <w:szCs w:val="21"/>
              </w:rPr>
              <w:t>3</w:t>
            </w:r>
          </w:p>
        </w:tc>
        <w:tc>
          <w:tcPr>
            <w:tcW w:w="2576" w:type="dxa"/>
            <w:vAlign w:val="center"/>
          </w:tcPr>
          <w:p w14:paraId="6305A34D">
            <w:pPr>
              <w:widowControl/>
              <w:jc w:val="center"/>
              <w:rPr>
                <w:color w:val="auto"/>
                <w:szCs w:val="21"/>
              </w:rPr>
            </w:pPr>
            <w:r>
              <w:rPr>
                <w:rFonts w:hint="eastAsia"/>
                <w:color w:val="auto"/>
                <w:szCs w:val="21"/>
              </w:rPr>
              <w:t>水质过滤器DN25</w:t>
            </w:r>
          </w:p>
        </w:tc>
        <w:tc>
          <w:tcPr>
            <w:tcW w:w="701" w:type="dxa"/>
            <w:vAlign w:val="center"/>
          </w:tcPr>
          <w:p w14:paraId="56896B96">
            <w:pPr>
              <w:widowControl/>
              <w:jc w:val="center"/>
              <w:rPr>
                <w:color w:val="auto"/>
                <w:kern w:val="0"/>
                <w:szCs w:val="21"/>
              </w:rPr>
            </w:pPr>
            <w:r>
              <w:rPr>
                <w:rFonts w:hint="eastAsia"/>
                <w:color w:val="auto"/>
                <w:kern w:val="0"/>
                <w:szCs w:val="21"/>
              </w:rPr>
              <w:t>套</w:t>
            </w:r>
          </w:p>
        </w:tc>
        <w:tc>
          <w:tcPr>
            <w:tcW w:w="674" w:type="dxa"/>
            <w:vAlign w:val="center"/>
          </w:tcPr>
          <w:p w14:paraId="19C631EA">
            <w:pPr>
              <w:widowControl/>
              <w:jc w:val="center"/>
              <w:rPr>
                <w:color w:val="auto"/>
                <w:kern w:val="0"/>
                <w:szCs w:val="21"/>
              </w:rPr>
            </w:pPr>
            <w:r>
              <w:rPr>
                <w:rFonts w:hint="eastAsia"/>
                <w:color w:val="auto"/>
                <w:kern w:val="0"/>
                <w:szCs w:val="21"/>
              </w:rPr>
              <w:t>1</w:t>
            </w:r>
          </w:p>
        </w:tc>
        <w:tc>
          <w:tcPr>
            <w:tcW w:w="3897" w:type="dxa"/>
            <w:vAlign w:val="center"/>
          </w:tcPr>
          <w:p w14:paraId="2A5D86E7">
            <w:pPr>
              <w:widowControl/>
              <w:jc w:val="center"/>
              <w:rPr>
                <w:color w:val="auto"/>
                <w:kern w:val="0"/>
                <w:szCs w:val="21"/>
              </w:rPr>
            </w:pPr>
            <w:r>
              <w:rPr>
                <w:rFonts w:hint="eastAsia"/>
                <w:color w:val="auto"/>
                <w:kern w:val="0"/>
                <w:szCs w:val="21"/>
              </w:rPr>
              <w:t>/</w:t>
            </w:r>
          </w:p>
        </w:tc>
      </w:tr>
      <w:tr w14:paraId="418AF374">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5EEA3A0E">
            <w:pPr>
              <w:widowControl/>
              <w:jc w:val="center"/>
              <w:rPr>
                <w:color w:val="auto"/>
                <w:kern w:val="0"/>
                <w:szCs w:val="21"/>
              </w:rPr>
            </w:pPr>
            <w:r>
              <w:rPr>
                <w:rFonts w:hint="eastAsia"/>
                <w:color w:val="auto"/>
                <w:kern w:val="0"/>
                <w:szCs w:val="21"/>
              </w:rPr>
              <w:t>4</w:t>
            </w:r>
          </w:p>
        </w:tc>
        <w:tc>
          <w:tcPr>
            <w:tcW w:w="2576" w:type="dxa"/>
            <w:vAlign w:val="center"/>
          </w:tcPr>
          <w:p w14:paraId="65022D1B">
            <w:pPr>
              <w:widowControl/>
              <w:jc w:val="center"/>
              <w:rPr>
                <w:color w:val="auto"/>
                <w:szCs w:val="21"/>
              </w:rPr>
            </w:pPr>
            <w:r>
              <w:rPr>
                <w:rFonts w:hint="eastAsia"/>
                <w:color w:val="auto"/>
                <w:szCs w:val="21"/>
              </w:rPr>
              <w:t>智能水泵</w:t>
            </w:r>
          </w:p>
        </w:tc>
        <w:tc>
          <w:tcPr>
            <w:tcW w:w="701" w:type="dxa"/>
            <w:vAlign w:val="center"/>
          </w:tcPr>
          <w:p w14:paraId="7FE2E356">
            <w:pPr>
              <w:widowControl/>
              <w:jc w:val="center"/>
              <w:rPr>
                <w:color w:val="auto"/>
                <w:kern w:val="0"/>
                <w:szCs w:val="21"/>
              </w:rPr>
            </w:pPr>
            <w:r>
              <w:rPr>
                <w:rFonts w:hint="eastAsia"/>
                <w:color w:val="auto"/>
                <w:kern w:val="0"/>
                <w:szCs w:val="21"/>
              </w:rPr>
              <w:t>套</w:t>
            </w:r>
          </w:p>
        </w:tc>
        <w:tc>
          <w:tcPr>
            <w:tcW w:w="674" w:type="dxa"/>
            <w:vAlign w:val="center"/>
          </w:tcPr>
          <w:p w14:paraId="76C1FEC7">
            <w:pPr>
              <w:widowControl/>
              <w:jc w:val="center"/>
              <w:rPr>
                <w:color w:val="auto"/>
                <w:kern w:val="0"/>
                <w:szCs w:val="21"/>
              </w:rPr>
            </w:pPr>
            <w:r>
              <w:rPr>
                <w:rFonts w:hint="eastAsia"/>
                <w:color w:val="auto"/>
                <w:kern w:val="0"/>
                <w:szCs w:val="21"/>
              </w:rPr>
              <w:t>1</w:t>
            </w:r>
          </w:p>
        </w:tc>
        <w:tc>
          <w:tcPr>
            <w:tcW w:w="3897" w:type="dxa"/>
            <w:vAlign w:val="center"/>
          </w:tcPr>
          <w:p w14:paraId="00E62D12">
            <w:pPr>
              <w:widowControl/>
              <w:jc w:val="center"/>
              <w:rPr>
                <w:color w:val="auto"/>
                <w:kern w:val="0"/>
                <w:szCs w:val="21"/>
              </w:rPr>
            </w:pPr>
            <w:r>
              <w:rPr>
                <w:rFonts w:hint="eastAsia"/>
                <w:color w:val="auto"/>
                <w:kern w:val="0"/>
                <w:szCs w:val="21"/>
              </w:rPr>
              <w:t>/</w:t>
            </w:r>
          </w:p>
        </w:tc>
      </w:tr>
      <w:tr w14:paraId="54D6A431">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3E5E7532">
            <w:pPr>
              <w:widowControl/>
              <w:jc w:val="center"/>
              <w:rPr>
                <w:color w:val="auto"/>
                <w:kern w:val="0"/>
                <w:szCs w:val="21"/>
              </w:rPr>
            </w:pPr>
            <w:r>
              <w:rPr>
                <w:rFonts w:hint="eastAsia"/>
                <w:color w:val="auto"/>
                <w:kern w:val="0"/>
                <w:szCs w:val="21"/>
              </w:rPr>
              <w:t>5</w:t>
            </w:r>
          </w:p>
        </w:tc>
        <w:tc>
          <w:tcPr>
            <w:tcW w:w="2576" w:type="dxa"/>
            <w:vAlign w:val="center"/>
          </w:tcPr>
          <w:p w14:paraId="20CBD293">
            <w:pPr>
              <w:widowControl/>
              <w:jc w:val="center"/>
              <w:rPr>
                <w:color w:val="auto"/>
                <w:kern w:val="0"/>
                <w:szCs w:val="21"/>
              </w:rPr>
            </w:pPr>
            <w:r>
              <w:rPr>
                <w:rFonts w:hint="eastAsia"/>
                <w:color w:val="auto"/>
                <w:szCs w:val="21"/>
              </w:rPr>
              <w:t>减压阀DN20</w:t>
            </w:r>
          </w:p>
        </w:tc>
        <w:tc>
          <w:tcPr>
            <w:tcW w:w="701" w:type="dxa"/>
            <w:vAlign w:val="center"/>
          </w:tcPr>
          <w:p w14:paraId="626F87B9">
            <w:pPr>
              <w:widowControl/>
              <w:jc w:val="center"/>
              <w:rPr>
                <w:color w:val="auto"/>
                <w:kern w:val="0"/>
                <w:szCs w:val="21"/>
              </w:rPr>
            </w:pPr>
            <w:r>
              <w:rPr>
                <w:rFonts w:hint="eastAsia"/>
                <w:color w:val="auto"/>
                <w:kern w:val="0"/>
                <w:szCs w:val="21"/>
              </w:rPr>
              <w:t>套</w:t>
            </w:r>
          </w:p>
        </w:tc>
        <w:tc>
          <w:tcPr>
            <w:tcW w:w="674" w:type="dxa"/>
            <w:vAlign w:val="center"/>
          </w:tcPr>
          <w:p w14:paraId="75217D6D">
            <w:pPr>
              <w:widowControl/>
              <w:jc w:val="center"/>
              <w:rPr>
                <w:color w:val="auto"/>
                <w:kern w:val="0"/>
                <w:szCs w:val="21"/>
              </w:rPr>
            </w:pPr>
            <w:r>
              <w:rPr>
                <w:rFonts w:hint="eastAsia"/>
                <w:color w:val="auto"/>
                <w:kern w:val="0"/>
                <w:szCs w:val="21"/>
              </w:rPr>
              <w:t>1</w:t>
            </w:r>
          </w:p>
        </w:tc>
        <w:tc>
          <w:tcPr>
            <w:tcW w:w="3897" w:type="dxa"/>
            <w:vAlign w:val="center"/>
          </w:tcPr>
          <w:p w14:paraId="52B851BE">
            <w:pPr>
              <w:widowControl/>
              <w:jc w:val="center"/>
              <w:rPr>
                <w:color w:val="auto"/>
                <w:kern w:val="0"/>
                <w:szCs w:val="21"/>
              </w:rPr>
            </w:pPr>
            <w:r>
              <w:rPr>
                <w:rFonts w:hint="eastAsia"/>
                <w:color w:val="auto"/>
                <w:kern w:val="0"/>
                <w:szCs w:val="21"/>
              </w:rPr>
              <w:t>带压力表</w:t>
            </w:r>
          </w:p>
        </w:tc>
      </w:tr>
      <w:tr w14:paraId="3C8C27AB">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1BBAC39B">
            <w:pPr>
              <w:widowControl/>
              <w:jc w:val="center"/>
              <w:rPr>
                <w:color w:val="auto"/>
                <w:kern w:val="0"/>
                <w:szCs w:val="21"/>
              </w:rPr>
            </w:pPr>
            <w:r>
              <w:rPr>
                <w:rFonts w:hint="eastAsia"/>
                <w:color w:val="auto"/>
                <w:kern w:val="0"/>
                <w:szCs w:val="21"/>
              </w:rPr>
              <w:t>6</w:t>
            </w:r>
          </w:p>
        </w:tc>
        <w:tc>
          <w:tcPr>
            <w:tcW w:w="2576" w:type="dxa"/>
            <w:vAlign w:val="center"/>
          </w:tcPr>
          <w:p w14:paraId="342EE43D">
            <w:pPr>
              <w:widowControl/>
              <w:jc w:val="center"/>
              <w:rPr>
                <w:color w:val="auto"/>
                <w:szCs w:val="21"/>
              </w:rPr>
            </w:pPr>
            <w:r>
              <w:rPr>
                <w:rFonts w:hint="eastAsia"/>
                <w:color w:val="auto"/>
                <w:szCs w:val="21"/>
              </w:rPr>
              <w:t>加药器DN25</w:t>
            </w:r>
          </w:p>
        </w:tc>
        <w:tc>
          <w:tcPr>
            <w:tcW w:w="701" w:type="dxa"/>
            <w:vAlign w:val="center"/>
          </w:tcPr>
          <w:p w14:paraId="3953C621">
            <w:pPr>
              <w:widowControl/>
              <w:jc w:val="center"/>
              <w:rPr>
                <w:color w:val="auto"/>
                <w:kern w:val="0"/>
                <w:szCs w:val="21"/>
              </w:rPr>
            </w:pPr>
            <w:r>
              <w:rPr>
                <w:rFonts w:hint="eastAsia"/>
                <w:color w:val="auto"/>
                <w:kern w:val="0"/>
                <w:szCs w:val="21"/>
              </w:rPr>
              <w:t>套</w:t>
            </w:r>
          </w:p>
        </w:tc>
        <w:tc>
          <w:tcPr>
            <w:tcW w:w="674" w:type="dxa"/>
            <w:vAlign w:val="center"/>
          </w:tcPr>
          <w:p w14:paraId="1A2555A6">
            <w:pPr>
              <w:widowControl/>
              <w:jc w:val="center"/>
              <w:rPr>
                <w:color w:val="auto"/>
                <w:kern w:val="0"/>
                <w:szCs w:val="21"/>
              </w:rPr>
            </w:pPr>
            <w:r>
              <w:rPr>
                <w:rFonts w:hint="eastAsia"/>
                <w:color w:val="auto"/>
                <w:kern w:val="0"/>
                <w:szCs w:val="21"/>
              </w:rPr>
              <w:t>2</w:t>
            </w:r>
          </w:p>
        </w:tc>
        <w:tc>
          <w:tcPr>
            <w:tcW w:w="3897" w:type="dxa"/>
            <w:vAlign w:val="center"/>
          </w:tcPr>
          <w:p w14:paraId="7692657D">
            <w:pPr>
              <w:widowControl/>
              <w:jc w:val="center"/>
              <w:rPr>
                <w:color w:val="auto"/>
                <w:szCs w:val="21"/>
              </w:rPr>
            </w:pPr>
            <w:r>
              <w:rPr>
                <w:rFonts w:hint="eastAsia"/>
                <w:color w:val="auto"/>
                <w:szCs w:val="21"/>
              </w:rPr>
              <w:t>法国多寿</w:t>
            </w:r>
          </w:p>
        </w:tc>
      </w:tr>
      <w:tr w14:paraId="0E986FCD">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47BC454A">
            <w:pPr>
              <w:widowControl/>
              <w:jc w:val="center"/>
              <w:rPr>
                <w:color w:val="auto"/>
                <w:kern w:val="0"/>
                <w:szCs w:val="21"/>
              </w:rPr>
            </w:pPr>
            <w:r>
              <w:rPr>
                <w:rFonts w:hint="eastAsia"/>
                <w:color w:val="auto"/>
                <w:kern w:val="0"/>
                <w:szCs w:val="21"/>
              </w:rPr>
              <w:t>7</w:t>
            </w:r>
          </w:p>
        </w:tc>
        <w:tc>
          <w:tcPr>
            <w:tcW w:w="2576" w:type="dxa"/>
            <w:vAlign w:val="center"/>
          </w:tcPr>
          <w:p w14:paraId="1E9EC0BA">
            <w:pPr>
              <w:widowControl/>
              <w:jc w:val="center"/>
              <w:rPr>
                <w:color w:val="auto"/>
                <w:szCs w:val="21"/>
              </w:rPr>
            </w:pPr>
            <w:r>
              <w:rPr>
                <w:rFonts w:hint="eastAsia"/>
                <w:color w:val="auto"/>
                <w:szCs w:val="21"/>
              </w:rPr>
              <w:t>PVC管件</w:t>
            </w:r>
          </w:p>
        </w:tc>
        <w:tc>
          <w:tcPr>
            <w:tcW w:w="701" w:type="dxa"/>
            <w:vAlign w:val="center"/>
          </w:tcPr>
          <w:p w14:paraId="301DC0B0">
            <w:pPr>
              <w:widowControl/>
              <w:jc w:val="center"/>
              <w:rPr>
                <w:color w:val="auto"/>
                <w:kern w:val="0"/>
                <w:szCs w:val="21"/>
              </w:rPr>
            </w:pPr>
            <w:r>
              <w:rPr>
                <w:rFonts w:hint="eastAsia"/>
                <w:color w:val="auto"/>
                <w:kern w:val="0"/>
                <w:szCs w:val="21"/>
              </w:rPr>
              <w:t>套</w:t>
            </w:r>
          </w:p>
        </w:tc>
        <w:tc>
          <w:tcPr>
            <w:tcW w:w="674" w:type="dxa"/>
            <w:vAlign w:val="center"/>
          </w:tcPr>
          <w:p w14:paraId="09656BA0">
            <w:pPr>
              <w:widowControl/>
              <w:jc w:val="center"/>
              <w:rPr>
                <w:color w:val="auto"/>
                <w:kern w:val="0"/>
                <w:szCs w:val="21"/>
              </w:rPr>
            </w:pPr>
            <w:r>
              <w:rPr>
                <w:rFonts w:hint="eastAsia"/>
                <w:color w:val="auto"/>
                <w:kern w:val="0"/>
                <w:szCs w:val="21"/>
              </w:rPr>
              <w:t>1</w:t>
            </w:r>
          </w:p>
        </w:tc>
        <w:tc>
          <w:tcPr>
            <w:tcW w:w="3897" w:type="dxa"/>
            <w:vAlign w:val="center"/>
          </w:tcPr>
          <w:p w14:paraId="7B5DF025">
            <w:pPr>
              <w:widowControl/>
              <w:jc w:val="center"/>
              <w:rPr>
                <w:color w:val="auto"/>
                <w:szCs w:val="21"/>
              </w:rPr>
            </w:pPr>
            <w:r>
              <w:rPr>
                <w:rFonts w:hint="eastAsia"/>
                <w:color w:val="auto"/>
                <w:kern w:val="0"/>
                <w:szCs w:val="21"/>
              </w:rPr>
              <w:t>/</w:t>
            </w:r>
          </w:p>
        </w:tc>
      </w:tr>
      <w:tr w14:paraId="21725B2E">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67C09991">
            <w:pPr>
              <w:widowControl/>
              <w:jc w:val="center"/>
              <w:rPr>
                <w:color w:val="auto"/>
                <w:kern w:val="0"/>
                <w:szCs w:val="21"/>
              </w:rPr>
            </w:pPr>
            <w:r>
              <w:rPr>
                <w:rFonts w:hint="eastAsia"/>
                <w:color w:val="auto"/>
                <w:kern w:val="0"/>
                <w:szCs w:val="21"/>
              </w:rPr>
              <w:t>8</w:t>
            </w:r>
          </w:p>
        </w:tc>
        <w:tc>
          <w:tcPr>
            <w:tcW w:w="2576" w:type="dxa"/>
            <w:vAlign w:val="center"/>
          </w:tcPr>
          <w:p w14:paraId="2259DF1B">
            <w:pPr>
              <w:widowControl/>
              <w:jc w:val="center"/>
              <w:rPr>
                <w:color w:val="auto"/>
                <w:szCs w:val="21"/>
              </w:rPr>
            </w:pPr>
            <w:r>
              <w:rPr>
                <w:rFonts w:hint="eastAsia"/>
                <w:color w:val="auto"/>
                <w:szCs w:val="21"/>
              </w:rPr>
              <w:t>反冲式调压器</w:t>
            </w:r>
          </w:p>
        </w:tc>
        <w:tc>
          <w:tcPr>
            <w:tcW w:w="701" w:type="dxa"/>
            <w:vAlign w:val="center"/>
          </w:tcPr>
          <w:p w14:paraId="05E7D724">
            <w:pPr>
              <w:widowControl/>
              <w:jc w:val="center"/>
              <w:rPr>
                <w:color w:val="auto"/>
                <w:kern w:val="0"/>
                <w:szCs w:val="21"/>
              </w:rPr>
            </w:pPr>
            <w:r>
              <w:rPr>
                <w:rFonts w:hint="eastAsia"/>
                <w:color w:val="auto"/>
                <w:kern w:val="0"/>
                <w:szCs w:val="21"/>
              </w:rPr>
              <w:t>件</w:t>
            </w:r>
          </w:p>
        </w:tc>
        <w:tc>
          <w:tcPr>
            <w:tcW w:w="674" w:type="dxa"/>
            <w:vAlign w:val="center"/>
          </w:tcPr>
          <w:p w14:paraId="5FD01088">
            <w:pPr>
              <w:widowControl/>
              <w:jc w:val="center"/>
              <w:rPr>
                <w:color w:val="auto"/>
                <w:kern w:val="0"/>
                <w:szCs w:val="21"/>
              </w:rPr>
            </w:pPr>
            <w:r>
              <w:rPr>
                <w:rFonts w:hint="eastAsia"/>
                <w:color w:val="auto"/>
                <w:kern w:val="0"/>
                <w:szCs w:val="21"/>
              </w:rPr>
              <w:t>20</w:t>
            </w:r>
          </w:p>
        </w:tc>
        <w:tc>
          <w:tcPr>
            <w:tcW w:w="3897" w:type="dxa"/>
            <w:vAlign w:val="center"/>
          </w:tcPr>
          <w:p w14:paraId="51A9A31B">
            <w:pPr>
              <w:widowControl/>
              <w:jc w:val="center"/>
              <w:rPr>
                <w:color w:val="auto"/>
                <w:szCs w:val="21"/>
              </w:rPr>
            </w:pPr>
            <w:r>
              <w:rPr>
                <w:rFonts w:hint="eastAsia"/>
                <w:color w:val="auto"/>
                <w:kern w:val="0"/>
                <w:szCs w:val="21"/>
              </w:rPr>
              <w:t>/</w:t>
            </w:r>
          </w:p>
        </w:tc>
      </w:tr>
      <w:tr w14:paraId="36B62ECE">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0F826190">
            <w:pPr>
              <w:widowControl/>
              <w:jc w:val="center"/>
              <w:rPr>
                <w:color w:val="auto"/>
                <w:kern w:val="0"/>
                <w:szCs w:val="21"/>
              </w:rPr>
            </w:pPr>
            <w:r>
              <w:rPr>
                <w:rFonts w:hint="eastAsia"/>
                <w:color w:val="auto"/>
                <w:kern w:val="0"/>
                <w:szCs w:val="21"/>
              </w:rPr>
              <w:t>9</w:t>
            </w:r>
          </w:p>
        </w:tc>
        <w:tc>
          <w:tcPr>
            <w:tcW w:w="2576" w:type="dxa"/>
            <w:vAlign w:val="center"/>
          </w:tcPr>
          <w:p w14:paraId="0CCC0D8E">
            <w:pPr>
              <w:widowControl/>
              <w:jc w:val="center"/>
              <w:rPr>
                <w:color w:val="auto"/>
                <w:szCs w:val="21"/>
              </w:rPr>
            </w:pPr>
            <w:r>
              <w:rPr>
                <w:rFonts w:hint="eastAsia"/>
                <w:color w:val="auto"/>
                <w:szCs w:val="21"/>
              </w:rPr>
              <w:t>笼内饮水线部装（每笼位3个乳头）</w:t>
            </w:r>
          </w:p>
        </w:tc>
        <w:tc>
          <w:tcPr>
            <w:tcW w:w="701" w:type="dxa"/>
            <w:vAlign w:val="center"/>
          </w:tcPr>
          <w:p w14:paraId="44E1D229">
            <w:pPr>
              <w:widowControl/>
              <w:jc w:val="center"/>
              <w:rPr>
                <w:color w:val="auto"/>
                <w:kern w:val="0"/>
                <w:szCs w:val="21"/>
              </w:rPr>
            </w:pPr>
            <w:r>
              <w:rPr>
                <w:rFonts w:hint="eastAsia"/>
                <w:color w:val="auto"/>
                <w:kern w:val="0"/>
                <w:szCs w:val="21"/>
              </w:rPr>
              <w:t>节</w:t>
            </w:r>
          </w:p>
        </w:tc>
        <w:tc>
          <w:tcPr>
            <w:tcW w:w="674" w:type="dxa"/>
            <w:vAlign w:val="center"/>
          </w:tcPr>
          <w:p w14:paraId="11210059">
            <w:pPr>
              <w:widowControl/>
              <w:jc w:val="center"/>
              <w:rPr>
                <w:color w:val="auto"/>
                <w:kern w:val="0"/>
                <w:szCs w:val="21"/>
              </w:rPr>
            </w:pPr>
            <w:r>
              <w:rPr>
                <w:rFonts w:hint="eastAsia"/>
                <w:color w:val="auto"/>
                <w:kern w:val="0"/>
                <w:szCs w:val="21"/>
              </w:rPr>
              <w:t>355</w:t>
            </w:r>
          </w:p>
        </w:tc>
        <w:tc>
          <w:tcPr>
            <w:tcW w:w="3897" w:type="dxa"/>
            <w:vAlign w:val="center"/>
          </w:tcPr>
          <w:p w14:paraId="7FB30F87">
            <w:pPr>
              <w:widowControl/>
              <w:jc w:val="center"/>
              <w:rPr>
                <w:color w:val="auto"/>
                <w:szCs w:val="21"/>
              </w:rPr>
            </w:pPr>
            <w:r>
              <w:rPr>
                <w:rFonts w:hint="eastAsia"/>
                <w:color w:val="auto"/>
                <w:szCs w:val="21"/>
              </w:rPr>
              <w:t>（2.412n+0.5）米，PVC方管、荷兰AK乳头、V型接水槽</w:t>
            </w:r>
          </w:p>
        </w:tc>
      </w:tr>
      <w:tr w14:paraId="742536F9">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69B4888D">
            <w:pPr>
              <w:widowControl/>
              <w:jc w:val="center"/>
              <w:rPr>
                <w:color w:val="auto"/>
                <w:kern w:val="0"/>
                <w:szCs w:val="21"/>
              </w:rPr>
            </w:pPr>
            <w:r>
              <w:rPr>
                <w:rFonts w:hint="eastAsia"/>
                <w:color w:val="auto"/>
                <w:kern w:val="0"/>
                <w:szCs w:val="21"/>
              </w:rPr>
              <w:t>10</w:t>
            </w:r>
          </w:p>
        </w:tc>
        <w:tc>
          <w:tcPr>
            <w:tcW w:w="2576" w:type="dxa"/>
            <w:vAlign w:val="center"/>
          </w:tcPr>
          <w:p w14:paraId="78D6951C">
            <w:pPr>
              <w:widowControl/>
              <w:jc w:val="center"/>
              <w:rPr>
                <w:color w:val="auto"/>
                <w:szCs w:val="21"/>
              </w:rPr>
            </w:pPr>
            <w:r>
              <w:rPr>
                <w:rFonts w:hint="eastAsia"/>
                <w:color w:val="auto"/>
                <w:szCs w:val="21"/>
              </w:rPr>
              <w:t>终端器总成</w:t>
            </w:r>
          </w:p>
        </w:tc>
        <w:tc>
          <w:tcPr>
            <w:tcW w:w="701" w:type="dxa"/>
            <w:vAlign w:val="center"/>
          </w:tcPr>
          <w:p w14:paraId="296D6761">
            <w:pPr>
              <w:widowControl/>
              <w:jc w:val="center"/>
              <w:rPr>
                <w:color w:val="auto"/>
                <w:kern w:val="0"/>
                <w:szCs w:val="21"/>
              </w:rPr>
            </w:pPr>
            <w:r>
              <w:rPr>
                <w:rFonts w:hint="eastAsia"/>
                <w:color w:val="auto"/>
                <w:kern w:val="0"/>
                <w:szCs w:val="21"/>
              </w:rPr>
              <w:t>件</w:t>
            </w:r>
          </w:p>
        </w:tc>
        <w:tc>
          <w:tcPr>
            <w:tcW w:w="674" w:type="dxa"/>
            <w:vAlign w:val="center"/>
          </w:tcPr>
          <w:p w14:paraId="0BCEFC2E">
            <w:pPr>
              <w:widowControl/>
              <w:jc w:val="center"/>
              <w:rPr>
                <w:color w:val="auto"/>
                <w:kern w:val="0"/>
                <w:szCs w:val="21"/>
              </w:rPr>
            </w:pPr>
            <w:r>
              <w:rPr>
                <w:rFonts w:hint="eastAsia"/>
                <w:color w:val="auto"/>
                <w:kern w:val="0"/>
                <w:szCs w:val="21"/>
              </w:rPr>
              <w:t>20</w:t>
            </w:r>
          </w:p>
        </w:tc>
        <w:tc>
          <w:tcPr>
            <w:tcW w:w="3897" w:type="dxa"/>
            <w:vAlign w:val="center"/>
          </w:tcPr>
          <w:p w14:paraId="27705CD8">
            <w:pPr>
              <w:widowControl/>
              <w:jc w:val="center"/>
              <w:rPr>
                <w:color w:val="auto"/>
                <w:szCs w:val="21"/>
              </w:rPr>
            </w:pPr>
            <w:r>
              <w:rPr>
                <w:rFonts w:hint="eastAsia"/>
                <w:color w:val="auto"/>
                <w:kern w:val="0"/>
                <w:szCs w:val="21"/>
              </w:rPr>
              <w:t>/</w:t>
            </w:r>
          </w:p>
        </w:tc>
      </w:tr>
      <w:tr w14:paraId="09ECECEE">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525" w:type="dxa"/>
            <w:gridSpan w:val="5"/>
            <w:vAlign w:val="center"/>
          </w:tcPr>
          <w:p w14:paraId="3E561EEE">
            <w:pPr>
              <w:widowControl/>
              <w:jc w:val="center"/>
              <w:rPr>
                <w:color w:val="auto"/>
                <w:kern w:val="0"/>
                <w:szCs w:val="21"/>
              </w:rPr>
            </w:pPr>
            <w:r>
              <w:rPr>
                <w:rFonts w:hint="eastAsia"/>
                <w:color w:val="auto"/>
                <w:kern w:val="0"/>
                <w:szCs w:val="21"/>
              </w:rPr>
              <w:t>喂料系统</w:t>
            </w:r>
          </w:p>
        </w:tc>
      </w:tr>
      <w:tr w14:paraId="0B7FB990">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4020314A">
            <w:pPr>
              <w:widowControl/>
              <w:jc w:val="center"/>
              <w:rPr>
                <w:color w:val="auto"/>
                <w:kern w:val="0"/>
                <w:szCs w:val="21"/>
              </w:rPr>
            </w:pPr>
            <w:r>
              <w:rPr>
                <w:color w:val="auto"/>
                <w:kern w:val="0"/>
                <w:szCs w:val="21"/>
              </w:rPr>
              <w:t>1</w:t>
            </w:r>
          </w:p>
        </w:tc>
        <w:tc>
          <w:tcPr>
            <w:tcW w:w="2576" w:type="dxa"/>
            <w:vAlign w:val="center"/>
          </w:tcPr>
          <w:p w14:paraId="238E294A">
            <w:pPr>
              <w:widowControl/>
              <w:jc w:val="center"/>
              <w:rPr>
                <w:color w:val="auto"/>
                <w:szCs w:val="21"/>
              </w:rPr>
            </w:pPr>
            <w:r>
              <w:rPr>
                <w:rFonts w:hint="eastAsia"/>
                <w:color w:val="auto"/>
                <w:szCs w:val="21"/>
              </w:rPr>
              <w:t>料塔</w:t>
            </w:r>
          </w:p>
        </w:tc>
        <w:tc>
          <w:tcPr>
            <w:tcW w:w="701" w:type="dxa"/>
            <w:vAlign w:val="center"/>
          </w:tcPr>
          <w:p w14:paraId="23EE3906">
            <w:pPr>
              <w:widowControl/>
              <w:jc w:val="center"/>
              <w:rPr>
                <w:color w:val="auto"/>
                <w:kern w:val="0"/>
                <w:szCs w:val="21"/>
              </w:rPr>
            </w:pPr>
            <w:r>
              <w:rPr>
                <w:rFonts w:hint="eastAsia"/>
                <w:color w:val="auto"/>
                <w:kern w:val="0"/>
                <w:szCs w:val="21"/>
              </w:rPr>
              <w:t>套</w:t>
            </w:r>
          </w:p>
        </w:tc>
        <w:tc>
          <w:tcPr>
            <w:tcW w:w="674" w:type="dxa"/>
            <w:vAlign w:val="center"/>
          </w:tcPr>
          <w:p w14:paraId="2BCB43A8">
            <w:pPr>
              <w:widowControl/>
              <w:jc w:val="center"/>
              <w:rPr>
                <w:color w:val="auto"/>
                <w:kern w:val="0"/>
                <w:szCs w:val="21"/>
              </w:rPr>
            </w:pPr>
            <w:r>
              <w:rPr>
                <w:rFonts w:hint="eastAsia"/>
                <w:color w:val="auto"/>
                <w:kern w:val="0"/>
                <w:szCs w:val="21"/>
              </w:rPr>
              <w:t>2</w:t>
            </w:r>
          </w:p>
        </w:tc>
        <w:tc>
          <w:tcPr>
            <w:tcW w:w="3897" w:type="dxa"/>
            <w:vAlign w:val="center"/>
          </w:tcPr>
          <w:p w14:paraId="4B917300">
            <w:pPr>
              <w:widowControl/>
              <w:jc w:val="center"/>
              <w:rPr>
                <w:color w:val="auto"/>
                <w:kern w:val="0"/>
                <w:szCs w:val="21"/>
              </w:rPr>
            </w:pPr>
            <w:r>
              <w:rPr>
                <w:rFonts w:hint="eastAsia"/>
                <w:color w:val="auto"/>
                <w:kern w:val="0"/>
                <w:szCs w:val="21"/>
              </w:rPr>
              <w:t>直径2.7m，锥高2m，柱高3.45m，上锥高1m</w:t>
            </w:r>
          </w:p>
        </w:tc>
      </w:tr>
      <w:tr w14:paraId="3A2908A8">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6B37FC2C">
            <w:pPr>
              <w:widowControl/>
              <w:jc w:val="center"/>
              <w:rPr>
                <w:color w:val="auto"/>
                <w:kern w:val="0"/>
                <w:szCs w:val="21"/>
              </w:rPr>
            </w:pPr>
            <w:r>
              <w:rPr>
                <w:rFonts w:hint="eastAsia"/>
                <w:color w:val="auto"/>
                <w:kern w:val="0"/>
                <w:szCs w:val="21"/>
              </w:rPr>
              <w:t>2</w:t>
            </w:r>
          </w:p>
        </w:tc>
        <w:tc>
          <w:tcPr>
            <w:tcW w:w="2576" w:type="dxa"/>
            <w:vAlign w:val="center"/>
          </w:tcPr>
          <w:p w14:paraId="762B5F90">
            <w:pPr>
              <w:widowControl/>
              <w:jc w:val="center"/>
              <w:rPr>
                <w:color w:val="auto"/>
                <w:szCs w:val="21"/>
              </w:rPr>
            </w:pPr>
            <w:r>
              <w:rPr>
                <w:rFonts w:hint="eastAsia"/>
                <w:color w:val="auto"/>
                <w:szCs w:val="21"/>
              </w:rPr>
              <w:t>料塔称重</w:t>
            </w:r>
          </w:p>
        </w:tc>
        <w:tc>
          <w:tcPr>
            <w:tcW w:w="701" w:type="dxa"/>
            <w:vAlign w:val="center"/>
          </w:tcPr>
          <w:p w14:paraId="6CAD393B">
            <w:pPr>
              <w:widowControl/>
              <w:jc w:val="center"/>
              <w:rPr>
                <w:color w:val="auto"/>
                <w:kern w:val="0"/>
                <w:szCs w:val="21"/>
              </w:rPr>
            </w:pPr>
            <w:r>
              <w:rPr>
                <w:rFonts w:hint="eastAsia"/>
                <w:color w:val="auto"/>
                <w:kern w:val="0"/>
                <w:szCs w:val="21"/>
              </w:rPr>
              <w:t>套</w:t>
            </w:r>
          </w:p>
        </w:tc>
        <w:tc>
          <w:tcPr>
            <w:tcW w:w="674" w:type="dxa"/>
            <w:vAlign w:val="center"/>
          </w:tcPr>
          <w:p w14:paraId="1489C257">
            <w:pPr>
              <w:widowControl/>
              <w:jc w:val="center"/>
              <w:rPr>
                <w:color w:val="auto"/>
                <w:kern w:val="0"/>
                <w:szCs w:val="21"/>
              </w:rPr>
            </w:pPr>
            <w:r>
              <w:rPr>
                <w:rFonts w:hint="eastAsia"/>
                <w:color w:val="auto"/>
                <w:kern w:val="0"/>
                <w:szCs w:val="21"/>
              </w:rPr>
              <w:t>12</w:t>
            </w:r>
          </w:p>
        </w:tc>
        <w:tc>
          <w:tcPr>
            <w:tcW w:w="3897" w:type="dxa"/>
            <w:vAlign w:val="center"/>
          </w:tcPr>
          <w:p w14:paraId="19F897A2">
            <w:pPr>
              <w:widowControl/>
              <w:jc w:val="center"/>
              <w:rPr>
                <w:color w:val="auto"/>
                <w:kern w:val="0"/>
                <w:szCs w:val="21"/>
              </w:rPr>
            </w:pPr>
            <w:r>
              <w:rPr>
                <w:rFonts w:hint="eastAsia"/>
                <w:color w:val="auto"/>
                <w:kern w:val="0"/>
                <w:szCs w:val="21"/>
              </w:rPr>
              <w:t>/</w:t>
            </w:r>
          </w:p>
        </w:tc>
      </w:tr>
      <w:tr w14:paraId="411A7589">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54C3231D">
            <w:pPr>
              <w:widowControl/>
              <w:jc w:val="center"/>
              <w:rPr>
                <w:color w:val="auto"/>
                <w:kern w:val="0"/>
                <w:szCs w:val="21"/>
              </w:rPr>
            </w:pPr>
            <w:r>
              <w:rPr>
                <w:rFonts w:hint="eastAsia"/>
                <w:color w:val="auto"/>
                <w:kern w:val="0"/>
                <w:szCs w:val="21"/>
              </w:rPr>
              <w:t>3</w:t>
            </w:r>
          </w:p>
        </w:tc>
        <w:tc>
          <w:tcPr>
            <w:tcW w:w="2576" w:type="dxa"/>
            <w:vAlign w:val="center"/>
          </w:tcPr>
          <w:p w14:paraId="3660ECD7">
            <w:pPr>
              <w:widowControl/>
              <w:jc w:val="center"/>
              <w:rPr>
                <w:color w:val="auto"/>
                <w:szCs w:val="21"/>
              </w:rPr>
            </w:pPr>
            <w:r>
              <w:rPr>
                <w:rFonts w:hint="eastAsia"/>
                <w:color w:val="auto"/>
                <w:szCs w:val="21"/>
              </w:rPr>
              <w:t>料塔至喂料行车主料线</w:t>
            </w:r>
          </w:p>
        </w:tc>
        <w:tc>
          <w:tcPr>
            <w:tcW w:w="701" w:type="dxa"/>
            <w:vAlign w:val="center"/>
          </w:tcPr>
          <w:p w14:paraId="075CE0AC">
            <w:pPr>
              <w:widowControl/>
              <w:jc w:val="center"/>
              <w:rPr>
                <w:color w:val="auto"/>
                <w:kern w:val="0"/>
                <w:szCs w:val="21"/>
              </w:rPr>
            </w:pPr>
            <w:r>
              <w:rPr>
                <w:rFonts w:hint="eastAsia"/>
                <w:color w:val="auto"/>
                <w:kern w:val="0"/>
                <w:szCs w:val="21"/>
              </w:rPr>
              <w:t>套</w:t>
            </w:r>
          </w:p>
        </w:tc>
        <w:tc>
          <w:tcPr>
            <w:tcW w:w="674" w:type="dxa"/>
            <w:vAlign w:val="center"/>
          </w:tcPr>
          <w:p w14:paraId="112CA35C">
            <w:pPr>
              <w:widowControl/>
              <w:jc w:val="center"/>
              <w:rPr>
                <w:color w:val="auto"/>
                <w:kern w:val="0"/>
                <w:szCs w:val="21"/>
              </w:rPr>
            </w:pPr>
            <w:r>
              <w:rPr>
                <w:rFonts w:hint="eastAsia"/>
                <w:color w:val="auto"/>
                <w:kern w:val="0"/>
                <w:szCs w:val="21"/>
              </w:rPr>
              <w:t>2</w:t>
            </w:r>
          </w:p>
        </w:tc>
        <w:tc>
          <w:tcPr>
            <w:tcW w:w="3897" w:type="dxa"/>
            <w:vAlign w:val="center"/>
          </w:tcPr>
          <w:p w14:paraId="7590CD8E">
            <w:pPr>
              <w:widowControl/>
              <w:jc w:val="center"/>
              <w:rPr>
                <w:color w:val="auto"/>
                <w:kern w:val="0"/>
                <w:szCs w:val="21"/>
              </w:rPr>
            </w:pPr>
            <w:r>
              <w:rPr>
                <w:rFonts w:hint="eastAsia"/>
                <w:color w:val="auto"/>
                <w:kern w:val="0"/>
                <w:szCs w:val="21"/>
              </w:rPr>
              <w:t>Φ90南非进口绞龙，舍外φ110镀锌料管</w:t>
            </w:r>
          </w:p>
        </w:tc>
      </w:tr>
      <w:tr w14:paraId="305392E2">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6B174366">
            <w:pPr>
              <w:widowControl/>
              <w:jc w:val="center"/>
              <w:rPr>
                <w:color w:val="auto"/>
                <w:kern w:val="0"/>
                <w:szCs w:val="21"/>
              </w:rPr>
            </w:pPr>
            <w:r>
              <w:rPr>
                <w:rFonts w:hint="eastAsia"/>
                <w:color w:val="auto"/>
                <w:kern w:val="0"/>
                <w:szCs w:val="21"/>
              </w:rPr>
              <w:t>4</w:t>
            </w:r>
          </w:p>
        </w:tc>
        <w:tc>
          <w:tcPr>
            <w:tcW w:w="2576" w:type="dxa"/>
            <w:vAlign w:val="center"/>
          </w:tcPr>
          <w:p w14:paraId="3774A182">
            <w:pPr>
              <w:widowControl/>
              <w:jc w:val="center"/>
              <w:rPr>
                <w:color w:val="auto"/>
                <w:szCs w:val="21"/>
              </w:rPr>
            </w:pPr>
            <w:r>
              <w:rPr>
                <w:rFonts w:hint="eastAsia"/>
                <w:color w:val="auto"/>
                <w:szCs w:val="21"/>
              </w:rPr>
              <w:t>主料线末端感应器</w:t>
            </w:r>
          </w:p>
        </w:tc>
        <w:tc>
          <w:tcPr>
            <w:tcW w:w="701" w:type="dxa"/>
            <w:vAlign w:val="center"/>
          </w:tcPr>
          <w:p w14:paraId="4F890812">
            <w:pPr>
              <w:widowControl/>
              <w:jc w:val="center"/>
              <w:rPr>
                <w:color w:val="auto"/>
                <w:kern w:val="0"/>
                <w:szCs w:val="21"/>
              </w:rPr>
            </w:pPr>
            <w:r>
              <w:rPr>
                <w:rFonts w:hint="eastAsia"/>
                <w:color w:val="auto"/>
                <w:kern w:val="0"/>
                <w:szCs w:val="21"/>
              </w:rPr>
              <w:t>件</w:t>
            </w:r>
          </w:p>
        </w:tc>
        <w:tc>
          <w:tcPr>
            <w:tcW w:w="674" w:type="dxa"/>
            <w:vAlign w:val="center"/>
          </w:tcPr>
          <w:p w14:paraId="27BA0361">
            <w:pPr>
              <w:widowControl/>
              <w:jc w:val="center"/>
              <w:rPr>
                <w:color w:val="auto"/>
                <w:kern w:val="0"/>
                <w:szCs w:val="21"/>
              </w:rPr>
            </w:pPr>
            <w:r>
              <w:rPr>
                <w:rFonts w:hint="eastAsia"/>
                <w:color w:val="auto"/>
                <w:kern w:val="0"/>
                <w:szCs w:val="21"/>
              </w:rPr>
              <w:t>4</w:t>
            </w:r>
          </w:p>
        </w:tc>
        <w:tc>
          <w:tcPr>
            <w:tcW w:w="3897" w:type="dxa"/>
            <w:vAlign w:val="center"/>
          </w:tcPr>
          <w:p w14:paraId="3A6ABD05">
            <w:pPr>
              <w:widowControl/>
              <w:jc w:val="center"/>
              <w:rPr>
                <w:color w:val="auto"/>
                <w:kern w:val="0"/>
                <w:szCs w:val="21"/>
              </w:rPr>
            </w:pPr>
            <w:r>
              <w:rPr>
                <w:rFonts w:hint="eastAsia"/>
                <w:color w:val="auto"/>
                <w:kern w:val="0"/>
                <w:szCs w:val="21"/>
              </w:rPr>
              <w:t>/</w:t>
            </w:r>
          </w:p>
        </w:tc>
      </w:tr>
      <w:tr w14:paraId="1B68B4EA">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130239B7">
            <w:pPr>
              <w:widowControl/>
              <w:jc w:val="center"/>
              <w:rPr>
                <w:color w:val="auto"/>
                <w:kern w:val="0"/>
                <w:szCs w:val="21"/>
              </w:rPr>
            </w:pPr>
            <w:r>
              <w:rPr>
                <w:rFonts w:hint="eastAsia"/>
                <w:color w:val="auto"/>
                <w:kern w:val="0"/>
                <w:szCs w:val="21"/>
              </w:rPr>
              <w:t>5</w:t>
            </w:r>
          </w:p>
        </w:tc>
        <w:tc>
          <w:tcPr>
            <w:tcW w:w="2576" w:type="dxa"/>
            <w:vAlign w:val="center"/>
          </w:tcPr>
          <w:p w14:paraId="42DF812F">
            <w:pPr>
              <w:widowControl/>
              <w:jc w:val="center"/>
              <w:rPr>
                <w:color w:val="auto"/>
                <w:szCs w:val="21"/>
              </w:rPr>
            </w:pPr>
            <w:r>
              <w:rPr>
                <w:rFonts w:hint="eastAsia"/>
                <w:color w:val="auto"/>
                <w:szCs w:val="21"/>
              </w:rPr>
              <w:t>主料线末端出料斗</w:t>
            </w:r>
          </w:p>
        </w:tc>
        <w:tc>
          <w:tcPr>
            <w:tcW w:w="701" w:type="dxa"/>
            <w:vAlign w:val="center"/>
          </w:tcPr>
          <w:p w14:paraId="118D5D30">
            <w:pPr>
              <w:widowControl/>
              <w:jc w:val="center"/>
              <w:rPr>
                <w:color w:val="auto"/>
                <w:kern w:val="0"/>
                <w:szCs w:val="21"/>
              </w:rPr>
            </w:pPr>
            <w:r>
              <w:rPr>
                <w:rFonts w:hint="eastAsia"/>
                <w:color w:val="auto"/>
                <w:kern w:val="0"/>
                <w:szCs w:val="21"/>
              </w:rPr>
              <w:t>件</w:t>
            </w:r>
          </w:p>
        </w:tc>
        <w:tc>
          <w:tcPr>
            <w:tcW w:w="674" w:type="dxa"/>
            <w:vAlign w:val="center"/>
          </w:tcPr>
          <w:p w14:paraId="1CDED0D6">
            <w:pPr>
              <w:widowControl/>
              <w:jc w:val="center"/>
              <w:rPr>
                <w:color w:val="auto"/>
                <w:kern w:val="0"/>
                <w:szCs w:val="21"/>
              </w:rPr>
            </w:pPr>
            <w:r>
              <w:rPr>
                <w:rFonts w:hint="eastAsia"/>
                <w:color w:val="auto"/>
                <w:kern w:val="0"/>
                <w:szCs w:val="21"/>
              </w:rPr>
              <w:t>2</w:t>
            </w:r>
          </w:p>
        </w:tc>
        <w:tc>
          <w:tcPr>
            <w:tcW w:w="3897" w:type="dxa"/>
            <w:vAlign w:val="center"/>
          </w:tcPr>
          <w:p w14:paraId="71DFD86E">
            <w:pPr>
              <w:widowControl/>
              <w:jc w:val="center"/>
              <w:rPr>
                <w:color w:val="auto"/>
                <w:kern w:val="0"/>
                <w:szCs w:val="21"/>
              </w:rPr>
            </w:pPr>
            <w:r>
              <w:rPr>
                <w:rFonts w:hint="eastAsia"/>
                <w:color w:val="auto"/>
                <w:kern w:val="0"/>
                <w:szCs w:val="21"/>
              </w:rPr>
              <w:t>/</w:t>
            </w:r>
          </w:p>
        </w:tc>
      </w:tr>
      <w:tr w14:paraId="3D066A7E">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1AAEDCC5">
            <w:pPr>
              <w:widowControl/>
              <w:jc w:val="center"/>
              <w:rPr>
                <w:color w:val="auto"/>
                <w:kern w:val="0"/>
                <w:szCs w:val="21"/>
              </w:rPr>
            </w:pPr>
            <w:r>
              <w:rPr>
                <w:rFonts w:hint="eastAsia"/>
                <w:color w:val="auto"/>
                <w:kern w:val="0"/>
                <w:szCs w:val="21"/>
              </w:rPr>
              <w:t>6</w:t>
            </w:r>
          </w:p>
        </w:tc>
        <w:tc>
          <w:tcPr>
            <w:tcW w:w="2576" w:type="dxa"/>
            <w:vAlign w:val="center"/>
          </w:tcPr>
          <w:p w14:paraId="6D969616">
            <w:pPr>
              <w:widowControl/>
              <w:jc w:val="center"/>
              <w:rPr>
                <w:color w:val="auto"/>
                <w:szCs w:val="21"/>
              </w:rPr>
            </w:pPr>
            <w:r>
              <w:rPr>
                <w:rFonts w:hint="eastAsia"/>
                <w:color w:val="auto"/>
                <w:szCs w:val="21"/>
              </w:rPr>
              <w:t>主料线电机</w:t>
            </w:r>
          </w:p>
        </w:tc>
        <w:tc>
          <w:tcPr>
            <w:tcW w:w="701" w:type="dxa"/>
            <w:vAlign w:val="center"/>
          </w:tcPr>
          <w:p w14:paraId="1A456054">
            <w:pPr>
              <w:widowControl/>
              <w:jc w:val="center"/>
              <w:rPr>
                <w:color w:val="auto"/>
                <w:kern w:val="0"/>
                <w:szCs w:val="21"/>
              </w:rPr>
            </w:pPr>
            <w:r>
              <w:rPr>
                <w:rFonts w:hint="eastAsia"/>
                <w:color w:val="auto"/>
                <w:kern w:val="0"/>
                <w:szCs w:val="21"/>
              </w:rPr>
              <w:t>台</w:t>
            </w:r>
          </w:p>
        </w:tc>
        <w:tc>
          <w:tcPr>
            <w:tcW w:w="674" w:type="dxa"/>
            <w:vAlign w:val="center"/>
          </w:tcPr>
          <w:p w14:paraId="1B040E6F">
            <w:pPr>
              <w:widowControl/>
              <w:jc w:val="center"/>
              <w:rPr>
                <w:color w:val="auto"/>
                <w:kern w:val="0"/>
                <w:szCs w:val="21"/>
              </w:rPr>
            </w:pPr>
            <w:r>
              <w:rPr>
                <w:rFonts w:hint="eastAsia"/>
                <w:color w:val="auto"/>
                <w:kern w:val="0"/>
                <w:szCs w:val="21"/>
              </w:rPr>
              <w:t>4</w:t>
            </w:r>
          </w:p>
        </w:tc>
        <w:tc>
          <w:tcPr>
            <w:tcW w:w="3897" w:type="dxa"/>
            <w:vAlign w:val="center"/>
          </w:tcPr>
          <w:p w14:paraId="0130BA98">
            <w:pPr>
              <w:widowControl/>
              <w:jc w:val="center"/>
              <w:rPr>
                <w:color w:val="auto"/>
                <w:kern w:val="0"/>
                <w:szCs w:val="21"/>
              </w:rPr>
            </w:pPr>
            <w:r>
              <w:rPr>
                <w:rFonts w:hint="eastAsia"/>
                <w:color w:val="auto"/>
                <w:kern w:val="0"/>
                <w:szCs w:val="21"/>
              </w:rPr>
              <w:t>进口电机、防护等级IP55</w:t>
            </w:r>
          </w:p>
        </w:tc>
      </w:tr>
      <w:tr w14:paraId="17D009C7">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12AEF6D5">
            <w:pPr>
              <w:widowControl/>
              <w:jc w:val="center"/>
              <w:rPr>
                <w:color w:val="auto"/>
                <w:kern w:val="0"/>
                <w:szCs w:val="21"/>
              </w:rPr>
            </w:pPr>
            <w:r>
              <w:rPr>
                <w:rFonts w:hint="eastAsia"/>
                <w:color w:val="auto"/>
                <w:kern w:val="0"/>
                <w:szCs w:val="21"/>
              </w:rPr>
              <w:t>7</w:t>
            </w:r>
          </w:p>
        </w:tc>
        <w:tc>
          <w:tcPr>
            <w:tcW w:w="2576" w:type="dxa"/>
            <w:vAlign w:val="center"/>
          </w:tcPr>
          <w:p w14:paraId="5D041DE3">
            <w:pPr>
              <w:widowControl/>
              <w:jc w:val="center"/>
              <w:rPr>
                <w:color w:val="auto"/>
                <w:szCs w:val="21"/>
              </w:rPr>
            </w:pPr>
            <w:r>
              <w:rPr>
                <w:rFonts w:hint="eastAsia"/>
                <w:color w:val="auto"/>
                <w:szCs w:val="21"/>
              </w:rPr>
              <w:t>喂料行车</w:t>
            </w:r>
          </w:p>
        </w:tc>
        <w:tc>
          <w:tcPr>
            <w:tcW w:w="701" w:type="dxa"/>
            <w:vAlign w:val="center"/>
          </w:tcPr>
          <w:p w14:paraId="6F73AFC4">
            <w:pPr>
              <w:widowControl/>
              <w:jc w:val="center"/>
              <w:rPr>
                <w:color w:val="auto"/>
                <w:kern w:val="0"/>
                <w:szCs w:val="21"/>
              </w:rPr>
            </w:pPr>
            <w:r>
              <w:rPr>
                <w:rFonts w:hint="eastAsia"/>
                <w:color w:val="auto"/>
                <w:kern w:val="0"/>
                <w:szCs w:val="21"/>
              </w:rPr>
              <w:t>套</w:t>
            </w:r>
          </w:p>
        </w:tc>
        <w:tc>
          <w:tcPr>
            <w:tcW w:w="674" w:type="dxa"/>
            <w:vAlign w:val="center"/>
          </w:tcPr>
          <w:p w14:paraId="64534D2B">
            <w:pPr>
              <w:widowControl/>
              <w:jc w:val="center"/>
              <w:rPr>
                <w:color w:val="auto"/>
                <w:kern w:val="0"/>
                <w:szCs w:val="21"/>
              </w:rPr>
            </w:pPr>
            <w:r>
              <w:rPr>
                <w:rFonts w:hint="eastAsia"/>
                <w:color w:val="auto"/>
                <w:kern w:val="0"/>
                <w:szCs w:val="21"/>
              </w:rPr>
              <w:t>5</w:t>
            </w:r>
          </w:p>
        </w:tc>
        <w:tc>
          <w:tcPr>
            <w:tcW w:w="3897" w:type="dxa"/>
            <w:vAlign w:val="center"/>
          </w:tcPr>
          <w:p w14:paraId="7A61F35E">
            <w:pPr>
              <w:widowControl/>
              <w:jc w:val="center"/>
              <w:rPr>
                <w:color w:val="auto"/>
                <w:kern w:val="0"/>
                <w:szCs w:val="21"/>
              </w:rPr>
            </w:pPr>
            <w:r>
              <w:rPr>
                <w:rFonts w:hint="eastAsia"/>
                <w:color w:val="auto"/>
                <w:kern w:val="0"/>
                <w:szCs w:val="21"/>
              </w:rPr>
              <w:t>/</w:t>
            </w:r>
          </w:p>
        </w:tc>
      </w:tr>
      <w:tr w14:paraId="790AFE0F">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525" w:type="dxa"/>
            <w:gridSpan w:val="5"/>
            <w:vAlign w:val="center"/>
          </w:tcPr>
          <w:p w14:paraId="30A07A34">
            <w:pPr>
              <w:widowControl/>
              <w:jc w:val="center"/>
              <w:rPr>
                <w:color w:val="auto"/>
                <w:kern w:val="0"/>
                <w:szCs w:val="21"/>
              </w:rPr>
            </w:pPr>
            <w:r>
              <w:rPr>
                <w:rFonts w:hint="eastAsia"/>
                <w:color w:val="auto"/>
                <w:kern w:val="0"/>
                <w:szCs w:val="21"/>
              </w:rPr>
              <w:t>皮带式立式集蛋机</w:t>
            </w:r>
          </w:p>
        </w:tc>
      </w:tr>
      <w:tr w14:paraId="5AD51A71">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255654EA">
            <w:pPr>
              <w:widowControl/>
              <w:jc w:val="center"/>
              <w:rPr>
                <w:color w:val="auto"/>
                <w:kern w:val="0"/>
                <w:szCs w:val="21"/>
              </w:rPr>
            </w:pPr>
            <w:r>
              <w:rPr>
                <w:color w:val="auto"/>
                <w:kern w:val="0"/>
                <w:szCs w:val="21"/>
              </w:rPr>
              <w:t>1</w:t>
            </w:r>
          </w:p>
        </w:tc>
        <w:tc>
          <w:tcPr>
            <w:tcW w:w="2576" w:type="dxa"/>
            <w:vAlign w:val="center"/>
          </w:tcPr>
          <w:p w14:paraId="5AE256AE">
            <w:pPr>
              <w:widowControl/>
              <w:jc w:val="center"/>
              <w:rPr>
                <w:color w:val="auto"/>
                <w:szCs w:val="21"/>
              </w:rPr>
            </w:pPr>
            <w:r>
              <w:rPr>
                <w:rFonts w:hint="eastAsia"/>
                <w:color w:val="auto"/>
                <w:szCs w:val="21"/>
              </w:rPr>
              <w:t>立式集蛋</w:t>
            </w:r>
            <w:r>
              <w:rPr>
                <w:rFonts w:hint="eastAsia"/>
                <w:color w:val="auto"/>
                <w:kern w:val="0"/>
                <w:szCs w:val="21"/>
              </w:rPr>
              <w:t>机</w:t>
            </w:r>
            <w:r>
              <w:rPr>
                <w:rFonts w:hint="eastAsia"/>
                <w:color w:val="auto"/>
                <w:szCs w:val="21"/>
              </w:rPr>
              <w:t>立柱部装</w:t>
            </w:r>
          </w:p>
        </w:tc>
        <w:tc>
          <w:tcPr>
            <w:tcW w:w="701" w:type="dxa"/>
            <w:vAlign w:val="center"/>
          </w:tcPr>
          <w:p w14:paraId="69915BAA">
            <w:pPr>
              <w:widowControl/>
              <w:jc w:val="center"/>
              <w:rPr>
                <w:color w:val="auto"/>
                <w:kern w:val="0"/>
                <w:szCs w:val="21"/>
              </w:rPr>
            </w:pPr>
            <w:r>
              <w:rPr>
                <w:rFonts w:hint="eastAsia"/>
                <w:color w:val="auto"/>
                <w:kern w:val="0"/>
                <w:szCs w:val="21"/>
              </w:rPr>
              <w:t>套</w:t>
            </w:r>
          </w:p>
        </w:tc>
        <w:tc>
          <w:tcPr>
            <w:tcW w:w="674" w:type="dxa"/>
            <w:vAlign w:val="center"/>
          </w:tcPr>
          <w:p w14:paraId="4A78D543">
            <w:pPr>
              <w:widowControl/>
              <w:jc w:val="center"/>
              <w:rPr>
                <w:color w:val="auto"/>
                <w:kern w:val="0"/>
                <w:szCs w:val="21"/>
              </w:rPr>
            </w:pPr>
            <w:r>
              <w:rPr>
                <w:rFonts w:hint="eastAsia"/>
                <w:color w:val="auto"/>
                <w:kern w:val="0"/>
                <w:szCs w:val="21"/>
              </w:rPr>
              <w:t>20</w:t>
            </w:r>
          </w:p>
        </w:tc>
        <w:tc>
          <w:tcPr>
            <w:tcW w:w="3897" w:type="dxa"/>
            <w:vAlign w:val="center"/>
          </w:tcPr>
          <w:p w14:paraId="173D026B">
            <w:pPr>
              <w:widowControl/>
              <w:jc w:val="center"/>
              <w:rPr>
                <w:color w:val="auto"/>
                <w:kern w:val="0"/>
                <w:szCs w:val="21"/>
              </w:rPr>
            </w:pPr>
            <w:r>
              <w:rPr>
                <w:rFonts w:hint="eastAsia"/>
                <w:color w:val="auto"/>
                <w:kern w:val="0"/>
                <w:szCs w:val="21"/>
              </w:rPr>
              <w:t>/</w:t>
            </w:r>
          </w:p>
        </w:tc>
      </w:tr>
      <w:tr w14:paraId="75C35D1E">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00992B9A">
            <w:pPr>
              <w:widowControl/>
              <w:jc w:val="center"/>
              <w:rPr>
                <w:color w:val="auto"/>
                <w:kern w:val="0"/>
                <w:szCs w:val="21"/>
              </w:rPr>
            </w:pPr>
            <w:r>
              <w:rPr>
                <w:rFonts w:hint="eastAsia"/>
                <w:color w:val="auto"/>
                <w:kern w:val="0"/>
                <w:szCs w:val="21"/>
              </w:rPr>
              <w:t>2</w:t>
            </w:r>
          </w:p>
        </w:tc>
        <w:tc>
          <w:tcPr>
            <w:tcW w:w="2576" w:type="dxa"/>
            <w:vAlign w:val="center"/>
          </w:tcPr>
          <w:p w14:paraId="3B658EBD">
            <w:pPr>
              <w:widowControl/>
              <w:jc w:val="center"/>
              <w:rPr>
                <w:color w:val="auto"/>
                <w:szCs w:val="21"/>
              </w:rPr>
            </w:pPr>
            <w:r>
              <w:rPr>
                <w:rFonts w:hint="eastAsia"/>
                <w:color w:val="auto"/>
                <w:szCs w:val="21"/>
              </w:rPr>
              <w:t>立式集蛋减速机</w:t>
            </w:r>
          </w:p>
        </w:tc>
        <w:tc>
          <w:tcPr>
            <w:tcW w:w="701" w:type="dxa"/>
            <w:vAlign w:val="center"/>
          </w:tcPr>
          <w:p w14:paraId="4ECAAF64">
            <w:pPr>
              <w:widowControl/>
              <w:jc w:val="center"/>
              <w:rPr>
                <w:color w:val="auto"/>
                <w:kern w:val="0"/>
                <w:szCs w:val="21"/>
              </w:rPr>
            </w:pPr>
            <w:r>
              <w:rPr>
                <w:rFonts w:hint="eastAsia"/>
                <w:color w:val="auto"/>
                <w:kern w:val="0"/>
                <w:szCs w:val="21"/>
              </w:rPr>
              <w:t>台</w:t>
            </w:r>
          </w:p>
        </w:tc>
        <w:tc>
          <w:tcPr>
            <w:tcW w:w="674" w:type="dxa"/>
            <w:vAlign w:val="center"/>
          </w:tcPr>
          <w:p w14:paraId="20F9EB53">
            <w:pPr>
              <w:widowControl/>
              <w:jc w:val="center"/>
              <w:rPr>
                <w:color w:val="auto"/>
                <w:kern w:val="0"/>
                <w:szCs w:val="21"/>
              </w:rPr>
            </w:pPr>
            <w:r>
              <w:rPr>
                <w:rFonts w:hint="eastAsia"/>
                <w:color w:val="auto"/>
                <w:kern w:val="0"/>
                <w:szCs w:val="21"/>
              </w:rPr>
              <w:t>5</w:t>
            </w:r>
          </w:p>
        </w:tc>
        <w:tc>
          <w:tcPr>
            <w:tcW w:w="3897" w:type="dxa"/>
            <w:vAlign w:val="center"/>
          </w:tcPr>
          <w:p w14:paraId="6D835F95">
            <w:pPr>
              <w:widowControl/>
              <w:jc w:val="center"/>
              <w:rPr>
                <w:color w:val="auto"/>
                <w:kern w:val="0"/>
                <w:szCs w:val="21"/>
              </w:rPr>
            </w:pPr>
            <w:r>
              <w:rPr>
                <w:rFonts w:hint="eastAsia"/>
                <w:color w:val="auto"/>
                <w:kern w:val="0"/>
                <w:szCs w:val="21"/>
              </w:rPr>
              <w:t>/</w:t>
            </w:r>
          </w:p>
        </w:tc>
      </w:tr>
      <w:tr w14:paraId="32C42134">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38265CE9">
            <w:pPr>
              <w:widowControl/>
              <w:jc w:val="center"/>
              <w:rPr>
                <w:color w:val="auto"/>
                <w:kern w:val="0"/>
                <w:szCs w:val="21"/>
              </w:rPr>
            </w:pPr>
            <w:r>
              <w:rPr>
                <w:rFonts w:hint="eastAsia"/>
                <w:color w:val="auto"/>
                <w:kern w:val="0"/>
                <w:szCs w:val="21"/>
              </w:rPr>
              <w:t>3</w:t>
            </w:r>
          </w:p>
        </w:tc>
        <w:tc>
          <w:tcPr>
            <w:tcW w:w="2576" w:type="dxa"/>
            <w:vAlign w:val="center"/>
          </w:tcPr>
          <w:p w14:paraId="1F516EDB">
            <w:pPr>
              <w:widowControl/>
              <w:jc w:val="center"/>
              <w:rPr>
                <w:color w:val="auto"/>
                <w:szCs w:val="21"/>
              </w:rPr>
            </w:pPr>
            <w:r>
              <w:rPr>
                <w:rFonts w:hint="eastAsia"/>
                <w:color w:val="auto"/>
                <w:szCs w:val="21"/>
              </w:rPr>
              <w:t>中央输单机</w:t>
            </w:r>
          </w:p>
        </w:tc>
        <w:tc>
          <w:tcPr>
            <w:tcW w:w="701" w:type="dxa"/>
            <w:vAlign w:val="center"/>
          </w:tcPr>
          <w:p w14:paraId="17CF4D78">
            <w:pPr>
              <w:widowControl/>
              <w:jc w:val="center"/>
              <w:rPr>
                <w:color w:val="auto"/>
                <w:kern w:val="0"/>
                <w:szCs w:val="21"/>
              </w:rPr>
            </w:pPr>
            <w:r>
              <w:rPr>
                <w:rFonts w:hint="eastAsia"/>
                <w:color w:val="auto"/>
                <w:kern w:val="0"/>
                <w:szCs w:val="21"/>
              </w:rPr>
              <w:t>套</w:t>
            </w:r>
          </w:p>
        </w:tc>
        <w:tc>
          <w:tcPr>
            <w:tcW w:w="674" w:type="dxa"/>
            <w:vAlign w:val="center"/>
          </w:tcPr>
          <w:p w14:paraId="07246A00">
            <w:pPr>
              <w:widowControl/>
              <w:jc w:val="center"/>
              <w:rPr>
                <w:color w:val="auto"/>
                <w:kern w:val="0"/>
                <w:szCs w:val="21"/>
              </w:rPr>
            </w:pPr>
            <w:r>
              <w:rPr>
                <w:rFonts w:hint="eastAsia"/>
                <w:color w:val="auto"/>
                <w:kern w:val="0"/>
                <w:szCs w:val="21"/>
              </w:rPr>
              <w:t>1</w:t>
            </w:r>
          </w:p>
        </w:tc>
        <w:tc>
          <w:tcPr>
            <w:tcW w:w="3897" w:type="dxa"/>
            <w:vAlign w:val="center"/>
          </w:tcPr>
          <w:p w14:paraId="42E61B1A">
            <w:pPr>
              <w:widowControl/>
              <w:jc w:val="center"/>
              <w:rPr>
                <w:color w:val="auto"/>
                <w:kern w:val="0"/>
                <w:szCs w:val="21"/>
              </w:rPr>
            </w:pPr>
            <w:r>
              <w:rPr>
                <w:rFonts w:hint="eastAsia"/>
                <w:color w:val="auto"/>
                <w:kern w:val="0"/>
                <w:szCs w:val="21"/>
              </w:rPr>
              <w:t>含机头、机尾、中间节</w:t>
            </w:r>
          </w:p>
        </w:tc>
      </w:tr>
      <w:tr w14:paraId="2AB7B12C">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525" w:type="dxa"/>
            <w:gridSpan w:val="5"/>
            <w:vAlign w:val="center"/>
          </w:tcPr>
          <w:p w14:paraId="728D2DD7">
            <w:pPr>
              <w:widowControl/>
              <w:jc w:val="center"/>
              <w:rPr>
                <w:color w:val="auto"/>
                <w:kern w:val="0"/>
                <w:szCs w:val="21"/>
              </w:rPr>
            </w:pPr>
            <w:r>
              <w:rPr>
                <w:rFonts w:hint="eastAsia"/>
                <w:color w:val="auto"/>
                <w:kern w:val="0"/>
                <w:szCs w:val="21"/>
              </w:rPr>
              <w:t>换气降温系统</w:t>
            </w:r>
          </w:p>
        </w:tc>
      </w:tr>
      <w:tr w14:paraId="310971B9">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57788513">
            <w:pPr>
              <w:widowControl/>
              <w:jc w:val="center"/>
              <w:rPr>
                <w:color w:val="auto"/>
                <w:kern w:val="0"/>
                <w:szCs w:val="21"/>
              </w:rPr>
            </w:pPr>
            <w:r>
              <w:rPr>
                <w:color w:val="auto"/>
                <w:kern w:val="0"/>
                <w:szCs w:val="21"/>
              </w:rPr>
              <w:t>1</w:t>
            </w:r>
          </w:p>
        </w:tc>
        <w:tc>
          <w:tcPr>
            <w:tcW w:w="2576" w:type="dxa"/>
            <w:vAlign w:val="center"/>
          </w:tcPr>
          <w:p w14:paraId="00462715">
            <w:pPr>
              <w:widowControl/>
              <w:jc w:val="center"/>
              <w:rPr>
                <w:color w:val="auto"/>
                <w:szCs w:val="21"/>
              </w:rPr>
            </w:pPr>
            <w:r>
              <w:rPr>
                <w:rFonts w:hint="eastAsia"/>
                <w:color w:val="auto"/>
                <w:szCs w:val="21"/>
              </w:rPr>
              <w:t>125风机</w:t>
            </w:r>
          </w:p>
        </w:tc>
        <w:tc>
          <w:tcPr>
            <w:tcW w:w="701" w:type="dxa"/>
            <w:vAlign w:val="center"/>
          </w:tcPr>
          <w:p w14:paraId="63A6BA64">
            <w:pPr>
              <w:widowControl/>
              <w:jc w:val="center"/>
              <w:rPr>
                <w:color w:val="auto"/>
                <w:kern w:val="0"/>
                <w:szCs w:val="21"/>
              </w:rPr>
            </w:pPr>
            <w:r>
              <w:rPr>
                <w:rFonts w:hint="eastAsia"/>
                <w:color w:val="auto"/>
                <w:kern w:val="0"/>
                <w:szCs w:val="21"/>
              </w:rPr>
              <w:t>台</w:t>
            </w:r>
          </w:p>
        </w:tc>
        <w:tc>
          <w:tcPr>
            <w:tcW w:w="674" w:type="dxa"/>
            <w:vAlign w:val="center"/>
          </w:tcPr>
          <w:p w14:paraId="4296A3EF">
            <w:pPr>
              <w:widowControl/>
              <w:jc w:val="center"/>
              <w:rPr>
                <w:color w:val="auto"/>
                <w:kern w:val="0"/>
                <w:szCs w:val="21"/>
              </w:rPr>
            </w:pPr>
            <w:r>
              <w:rPr>
                <w:rFonts w:hint="eastAsia"/>
                <w:color w:val="auto"/>
                <w:kern w:val="0"/>
                <w:szCs w:val="21"/>
              </w:rPr>
              <w:t>20</w:t>
            </w:r>
          </w:p>
        </w:tc>
        <w:tc>
          <w:tcPr>
            <w:tcW w:w="3897" w:type="dxa"/>
            <w:vAlign w:val="center"/>
          </w:tcPr>
          <w:p w14:paraId="0BA608B5">
            <w:pPr>
              <w:widowControl/>
              <w:jc w:val="center"/>
              <w:rPr>
                <w:color w:val="auto"/>
                <w:kern w:val="0"/>
                <w:szCs w:val="21"/>
              </w:rPr>
            </w:pPr>
            <w:r>
              <w:rPr>
                <w:rFonts w:hint="eastAsia"/>
                <w:color w:val="auto"/>
                <w:kern w:val="0"/>
                <w:szCs w:val="21"/>
              </w:rPr>
              <w:t>西门子电机</w:t>
            </w:r>
          </w:p>
        </w:tc>
      </w:tr>
      <w:tr w14:paraId="59CD873A">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5D0374B5">
            <w:pPr>
              <w:widowControl/>
              <w:jc w:val="center"/>
              <w:rPr>
                <w:color w:val="auto"/>
                <w:kern w:val="0"/>
                <w:szCs w:val="21"/>
              </w:rPr>
            </w:pPr>
            <w:r>
              <w:rPr>
                <w:rFonts w:hint="eastAsia"/>
                <w:color w:val="auto"/>
                <w:kern w:val="0"/>
                <w:szCs w:val="21"/>
              </w:rPr>
              <w:t>2</w:t>
            </w:r>
          </w:p>
        </w:tc>
        <w:tc>
          <w:tcPr>
            <w:tcW w:w="2576" w:type="dxa"/>
            <w:vAlign w:val="center"/>
          </w:tcPr>
          <w:p w14:paraId="624EA928">
            <w:pPr>
              <w:widowControl/>
              <w:jc w:val="center"/>
              <w:rPr>
                <w:color w:val="auto"/>
                <w:szCs w:val="21"/>
              </w:rPr>
            </w:pPr>
            <w:r>
              <w:rPr>
                <w:rFonts w:hint="eastAsia"/>
                <w:color w:val="auto"/>
                <w:szCs w:val="21"/>
              </w:rPr>
              <w:t>侧墙通风窗（小窗）</w:t>
            </w:r>
          </w:p>
        </w:tc>
        <w:tc>
          <w:tcPr>
            <w:tcW w:w="701" w:type="dxa"/>
            <w:vAlign w:val="center"/>
          </w:tcPr>
          <w:p w14:paraId="581AB6FA">
            <w:pPr>
              <w:widowControl/>
              <w:jc w:val="center"/>
              <w:rPr>
                <w:color w:val="auto"/>
                <w:kern w:val="0"/>
                <w:szCs w:val="21"/>
              </w:rPr>
            </w:pPr>
            <w:r>
              <w:rPr>
                <w:rFonts w:hint="eastAsia"/>
                <w:color w:val="auto"/>
                <w:kern w:val="0"/>
                <w:szCs w:val="21"/>
              </w:rPr>
              <w:t>件</w:t>
            </w:r>
          </w:p>
        </w:tc>
        <w:tc>
          <w:tcPr>
            <w:tcW w:w="674" w:type="dxa"/>
            <w:vAlign w:val="center"/>
          </w:tcPr>
          <w:p w14:paraId="41AE5310">
            <w:pPr>
              <w:widowControl/>
              <w:jc w:val="center"/>
              <w:rPr>
                <w:color w:val="auto"/>
                <w:kern w:val="0"/>
                <w:szCs w:val="21"/>
              </w:rPr>
            </w:pPr>
            <w:r>
              <w:rPr>
                <w:rFonts w:hint="eastAsia"/>
                <w:color w:val="auto"/>
                <w:kern w:val="0"/>
                <w:szCs w:val="21"/>
              </w:rPr>
              <w:t>108</w:t>
            </w:r>
          </w:p>
        </w:tc>
        <w:tc>
          <w:tcPr>
            <w:tcW w:w="3897" w:type="dxa"/>
            <w:vAlign w:val="center"/>
          </w:tcPr>
          <w:p w14:paraId="2343360A">
            <w:pPr>
              <w:widowControl/>
              <w:jc w:val="center"/>
              <w:rPr>
                <w:color w:val="auto"/>
                <w:kern w:val="0"/>
                <w:szCs w:val="21"/>
              </w:rPr>
            </w:pPr>
            <w:r>
              <w:rPr>
                <w:rFonts w:hint="eastAsia"/>
                <w:color w:val="auto"/>
                <w:kern w:val="0"/>
                <w:szCs w:val="21"/>
              </w:rPr>
              <w:t>带导流板</w:t>
            </w:r>
          </w:p>
        </w:tc>
      </w:tr>
      <w:tr w14:paraId="316DB5C2">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6027810F">
            <w:pPr>
              <w:widowControl/>
              <w:jc w:val="center"/>
              <w:rPr>
                <w:color w:val="auto"/>
                <w:kern w:val="0"/>
                <w:szCs w:val="21"/>
              </w:rPr>
            </w:pPr>
            <w:r>
              <w:rPr>
                <w:rFonts w:hint="eastAsia"/>
                <w:color w:val="auto"/>
                <w:kern w:val="0"/>
                <w:szCs w:val="21"/>
              </w:rPr>
              <w:t>3</w:t>
            </w:r>
          </w:p>
        </w:tc>
        <w:tc>
          <w:tcPr>
            <w:tcW w:w="2576" w:type="dxa"/>
            <w:vAlign w:val="center"/>
          </w:tcPr>
          <w:p w14:paraId="70A52362">
            <w:pPr>
              <w:widowControl/>
              <w:jc w:val="center"/>
              <w:rPr>
                <w:color w:val="auto"/>
                <w:szCs w:val="21"/>
              </w:rPr>
            </w:pPr>
            <w:r>
              <w:rPr>
                <w:rFonts w:hint="eastAsia"/>
                <w:color w:val="auto"/>
                <w:szCs w:val="21"/>
              </w:rPr>
              <w:t>侧墙通风调节装置</w:t>
            </w:r>
          </w:p>
        </w:tc>
        <w:tc>
          <w:tcPr>
            <w:tcW w:w="701" w:type="dxa"/>
            <w:vAlign w:val="center"/>
          </w:tcPr>
          <w:p w14:paraId="2FA8F409">
            <w:pPr>
              <w:widowControl/>
              <w:jc w:val="center"/>
              <w:rPr>
                <w:color w:val="auto"/>
                <w:kern w:val="0"/>
                <w:szCs w:val="21"/>
              </w:rPr>
            </w:pPr>
            <w:r>
              <w:rPr>
                <w:rFonts w:hint="eastAsia"/>
                <w:color w:val="auto"/>
                <w:kern w:val="0"/>
                <w:szCs w:val="21"/>
              </w:rPr>
              <w:t>套</w:t>
            </w:r>
          </w:p>
        </w:tc>
        <w:tc>
          <w:tcPr>
            <w:tcW w:w="674" w:type="dxa"/>
            <w:vAlign w:val="center"/>
          </w:tcPr>
          <w:p w14:paraId="32A3EF7F">
            <w:pPr>
              <w:widowControl/>
              <w:jc w:val="center"/>
              <w:rPr>
                <w:color w:val="auto"/>
                <w:kern w:val="0"/>
                <w:szCs w:val="21"/>
              </w:rPr>
            </w:pPr>
            <w:r>
              <w:rPr>
                <w:rFonts w:hint="eastAsia"/>
                <w:color w:val="auto"/>
                <w:kern w:val="0"/>
                <w:szCs w:val="21"/>
              </w:rPr>
              <w:t>1</w:t>
            </w:r>
          </w:p>
        </w:tc>
        <w:tc>
          <w:tcPr>
            <w:tcW w:w="3897" w:type="dxa"/>
            <w:vAlign w:val="center"/>
          </w:tcPr>
          <w:p w14:paraId="5985D597">
            <w:pPr>
              <w:widowControl/>
              <w:jc w:val="center"/>
              <w:rPr>
                <w:color w:val="auto"/>
                <w:kern w:val="0"/>
                <w:szCs w:val="21"/>
              </w:rPr>
            </w:pPr>
            <w:r>
              <w:rPr>
                <w:rFonts w:hint="eastAsia"/>
                <w:color w:val="auto"/>
                <w:kern w:val="0"/>
                <w:szCs w:val="21"/>
              </w:rPr>
              <w:t>含绞盘、配重筒、滑轮、钢丝绳、镀锌圆钢等</w:t>
            </w:r>
          </w:p>
        </w:tc>
      </w:tr>
      <w:tr w14:paraId="5DCA3281">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5CD858D2">
            <w:pPr>
              <w:widowControl/>
              <w:jc w:val="center"/>
              <w:rPr>
                <w:color w:val="auto"/>
                <w:kern w:val="0"/>
                <w:szCs w:val="21"/>
              </w:rPr>
            </w:pPr>
            <w:r>
              <w:rPr>
                <w:rFonts w:hint="eastAsia"/>
                <w:color w:val="auto"/>
                <w:kern w:val="0"/>
                <w:szCs w:val="21"/>
              </w:rPr>
              <w:t>4</w:t>
            </w:r>
          </w:p>
        </w:tc>
        <w:tc>
          <w:tcPr>
            <w:tcW w:w="2576" w:type="dxa"/>
            <w:vAlign w:val="center"/>
          </w:tcPr>
          <w:p w14:paraId="3B0B5BE3">
            <w:pPr>
              <w:widowControl/>
              <w:jc w:val="center"/>
              <w:rPr>
                <w:color w:val="auto"/>
                <w:szCs w:val="21"/>
              </w:rPr>
            </w:pPr>
            <w:r>
              <w:rPr>
                <w:rFonts w:hint="eastAsia"/>
                <w:color w:val="auto"/>
                <w:szCs w:val="21"/>
              </w:rPr>
              <w:t>降温湿帘</w:t>
            </w:r>
          </w:p>
        </w:tc>
        <w:tc>
          <w:tcPr>
            <w:tcW w:w="701" w:type="dxa"/>
            <w:vAlign w:val="center"/>
          </w:tcPr>
          <w:p w14:paraId="5B4ACC11">
            <w:pPr>
              <w:widowControl/>
              <w:jc w:val="center"/>
              <w:rPr>
                <w:color w:val="auto"/>
                <w:kern w:val="0"/>
                <w:szCs w:val="21"/>
              </w:rPr>
            </w:pPr>
            <w:r>
              <w:rPr>
                <w:rFonts w:hint="eastAsia"/>
                <w:color w:val="auto"/>
                <w:kern w:val="0"/>
                <w:szCs w:val="21"/>
              </w:rPr>
              <w:t>m</w:t>
            </w:r>
            <w:r>
              <w:rPr>
                <w:rFonts w:hint="eastAsia"/>
                <w:color w:val="auto"/>
                <w:kern w:val="0"/>
                <w:szCs w:val="21"/>
                <w:vertAlign w:val="superscript"/>
              </w:rPr>
              <w:t>2</w:t>
            </w:r>
          </w:p>
        </w:tc>
        <w:tc>
          <w:tcPr>
            <w:tcW w:w="674" w:type="dxa"/>
            <w:vAlign w:val="center"/>
          </w:tcPr>
          <w:p w14:paraId="152EAFB4">
            <w:pPr>
              <w:widowControl/>
              <w:jc w:val="center"/>
              <w:rPr>
                <w:color w:val="auto"/>
                <w:kern w:val="0"/>
                <w:szCs w:val="21"/>
              </w:rPr>
            </w:pPr>
            <w:r>
              <w:rPr>
                <w:rFonts w:hint="eastAsia"/>
                <w:color w:val="auto"/>
                <w:kern w:val="0"/>
                <w:szCs w:val="21"/>
              </w:rPr>
              <w:t>118</w:t>
            </w:r>
          </w:p>
        </w:tc>
        <w:tc>
          <w:tcPr>
            <w:tcW w:w="3897" w:type="dxa"/>
            <w:vAlign w:val="center"/>
          </w:tcPr>
          <w:p w14:paraId="1E819947">
            <w:pPr>
              <w:widowControl/>
              <w:jc w:val="center"/>
              <w:rPr>
                <w:color w:val="auto"/>
                <w:kern w:val="0"/>
                <w:szCs w:val="21"/>
              </w:rPr>
            </w:pPr>
            <w:r>
              <w:rPr>
                <w:rFonts w:hint="eastAsia"/>
                <w:color w:val="auto"/>
                <w:kern w:val="0"/>
                <w:szCs w:val="21"/>
              </w:rPr>
              <w:t>厚度150mm</w:t>
            </w:r>
          </w:p>
        </w:tc>
      </w:tr>
      <w:tr w14:paraId="54AA4829">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09DE0413">
            <w:pPr>
              <w:widowControl/>
              <w:jc w:val="center"/>
              <w:rPr>
                <w:color w:val="auto"/>
                <w:kern w:val="0"/>
                <w:szCs w:val="21"/>
              </w:rPr>
            </w:pPr>
            <w:r>
              <w:rPr>
                <w:rFonts w:hint="eastAsia"/>
                <w:color w:val="auto"/>
                <w:kern w:val="0"/>
                <w:szCs w:val="21"/>
              </w:rPr>
              <w:t>5</w:t>
            </w:r>
          </w:p>
        </w:tc>
        <w:tc>
          <w:tcPr>
            <w:tcW w:w="2576" w:type="dxa"/>
            <w:vAlign w:val="center"/>
          </w:tcPr>
          <w:p w14:paraId="51DE39B1">
            <w:pPr>
              <w:widowControl/>
              <w:jc w:val="center"/>
              <w:rPr>
                <w:color w:val="auto"/>
                <w:szCs w:val="21"/>
              </w:rPr>
            </w:pPr>
            <w:r>
              <w:rPr>
                <w:rFonts w:hint="eastAsia"/>
                <w:color w:val="auto"/>
                <w:szCs w:val="21"/>
              </w:rPr>
              <w:t>湿帘翻板</w:t>
            </w:r>
          </w:p>
        </w:tc>
        <w:tc>
          <w:tcPr>
            <w:tcW w:w="701" w:type="dxa"/>
            <w:vAlign w:val="center"/>
          </w:tcPr>
          <w:p w14:paraId="165B033E">
            <w:pPr>
              <w:widowControl/>
              <w:jc w:val="center"/>
              <w:rPr>
                <w:color w:val="auto"/>
                <w:kern w:val="0"/>
                <w:szCs w:val="21"/>
              </w:rPr>
            </w:pPr>
            <w:r>
              <w:rPr>
                <w:rFonts w:hint="eastAsia"/>
                <w:color w:val="auto"/>
                <w:kern w:val="0"/>
                <w:szCs w:val="21"/>
              </w:rPr>
              <w:t>m</w:t>
            </w:r>
            <w:r>
              <w:rPr>
                <w:rFonts w:hint="eastAsia"/>
                <w:color w:val="auto"/>
                <w:kern w:val="0"/>
                <w:szCs w:val="21"/>
                <w:vertAlign w:val="superscript"/>
              </w:rPr>
              <w:t>2</w:t>
            </w:r>
          </w:p>
        </w:tc>
        <w:tc>
          <w:tcPr>
            <w:tcW w:w="674" w:type="dxa"/>
            <w:vAlign w:val="center"/>
          </w:tcPr>
          <w:p w14:paraId="26CF9042">
            <w:pPr>
              <w:widowControl/>
              <w:jc w:val="center"/>
              <w:rPr>
                <w:color w:val="auto"/>
                <w:kern w:val="0"/>
                <w:szCs w:val="21"/>
              </w:rPr>
            </w:pPr>
            <w:r>
              <w:rPr>
                <w:rFonts w:hint="eastAsia"/>
                <w:color w:val="auto"/>
                <w:kern w:val="0"/>
                <w:szCs w:val="21"/>
              </w:rPr>
              <w:t>102</w:t>
            </w:r>
          </w:p>
        </w:tc>
        <w:tc>
          <w:tcPr>
            <w:tcW w:w="3897" w:type="dxa"/>
            <w:vAlign w:val="center"/>
          </w:tcPr>
          <w:p w14:paraId="2ED8FB4E">
            <w:pPr>
              <w:widowControl/>
              <w:jc w:val="center"/>
              <w:rPr>
                <w:color w:val="auto"/>
                <w:kern w:val="0"/>
                <w:szCs w:val="21"/>
              </w:rPr>
            </w:pPr>
            <w:r>
              <w:rPr>
                <w:rFonts w:hint="eastAsia"/>
                <w:color w:val="auto"/>
                <w:kern w:val="0"/>
                <w:szCs w:val="21"/>
              </w:rPr>
              <w:t>50苯板</w:t>
            </w:r>
          </w:p>
        </w:tc>
      </w:tr>
      <w:tr w14:paraId="21223F39">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4745A11B">
            <w:pPr>
              <w:widowControl/>
              <w:jc w:val="center"/>
              <w:rPr>
                <w:color w:val="auto"/>
                <w:kern w:val="0"/>
                <w:szCs w:val="21"/>
              </w:rPr>
            </w:pPr>
            <w:r>
              <w:rPr>
                <w:rFonts w:hint="eastAsia"/>
                <w:color w:val="auto"/>
                <w:kern w:val="0"/>
                <w:szCs w:val="21"/>
              </w:rPr>
              <w:t>6</w:t>
            </w:r>
          </w:p>
        </w:tc>
        <w:tc>
          <w:tcPr>
            <w:tcW w:w="2576" w:type="dxa"/>
            <w:vAlign w:val="center"/>
          </w:tcPr>
          <w:p w14:paraId="2B05D4E8">
            <w:pPr>
              <w:widowControl/>
              <w:jc w:val="center"/>
              <w:rPr>
                <w:color w:val="auto"/>
                <w:szCs w:val="21"/>
              </w:rPr>
            </w:pPr>
            <w:r>
              <w:rPr>
                <w:rFonts w:hint="eastAsia"/>
                <w:color w:val="auto"/>
                <w:szCs w:val="21"/>
              </w:rPr>
              <w:t>湿帘翻板联动系统</w:t>
            </w:r>
          </w:p>
        </w:tc>
        <w:tc>
          <w:tcPr>
            <w:tcW w:w="701" w:type="dxa"/>
            <w:vAlign w:val="center"/>
          </w:tcPr>
          <w:p w14:paraId="7C281D96">
            <w:pPr>
              <w:widowControl/>
              <w:jc w:val="center"/>
              <w:rPr>
                <w:color w:val="auto"/>
                <w:kern w:val="0"/>
                <w:szCs w:val="21"/>
              </w:rPr>
            </w:pPr>
            <w:r>
              <w:rPr>
                <w:rFonts w:hint="eastAsia"/>
                <w:color w:val="auto"/>
                <w:kern w:val="0"/>
                <w:szCs w:val="21"/>
              </w:rPr>
              <w:t>套</w:t>
            </w:r>
          </w:p>
        </w:tc>
        <w:tc>
          <w:tcPr>
            <w:tcW w:w="674" w:type="dxa"/>
            <w:vAlign w:val="center"/>
          </w:tcPr>
          <w:p w14:paraId="39212AC5">
            <w:pPr>
              <w:widowControl/>
              <w:jc w:val="center"/>
              <w:rPr>
                <w:color w:val="auto"/>
                <w:kern w:val="0"/>
                <w:szCs w:val="21"/>
              </w:rPr>
            </w:pPr>
            <w:r>
              <w:rPr>
                <w:rFonts w:hint="eastAsia"/>
                <w:color w:val="auto"/>
                <w:kern w:val="0"/>
                <w:szCs w:val="21"/>
              </w:rPr>
              <w:t>3</w:t>
            </w:r>
          </w:p>
        </w:tc>
        <w:tc>
          <w:tcPr>
            <w:tcW w:w="3897" w:type="dxa"/>
            <w:vAlign w:val="center"/>
          </w:tcPr>
          <w:p w14:paraId="4E47A610">
            <w:pPr>
              <w:widowControl/>
              <w:jc w:val="center"/>
              <w:rPr>
                <w:color w:val="auto"/>
                <w:kern w:val="0"/>
                <w:szCs w:val="21"/>
              </w:rPr>
            </w:pPr>
            <w:r>
              <w:rPr>
                <w:rFonts w:hint="eastAsia"/>
                <w:color w:val="auto"/>
                <w:kern w:val="0"/>
                <w:szCs w:val="21"/>
              </w:rPr>
              <w:t>含电机、绞盘、配重筒、滑轮、钢丝绳、镀锌圆钢等</w:t>
            </w:r>
          </w:p>
        </w:tc>
      </w:tr>
      <w:tr w14:paraId="7BED18CC">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525" w:type="dxa"/>
            <w:gridSpan w:val="5"/>
            <w:vAlign w:val="center"/>
          </w:tcPr>
          <w:p w14:paraId="670DD962">
            <w:pPr>
              <w:widowControl/>
              <w:jc w:val="center"/>
              <w:rPr>
                <w:color w:val="auto"/>
                <w:szCs w:val="21"/>
              </w:rPr>
            </w:pPr>
            <w:r>
              <w:rPr>
                <w:rFonts w:hint="eastAsia"/>
                <w:color w:val="auto"/>
                <w:kern w:val="0"/>
                <w:szCs w:val="21"/>
              </w:rPr>
              <w:t>照明系统</w:t>
            </w:r>
          </w:p>
        </w:tc>
      </w:tr>
      <w:tr w14:paraId="2819AA5F">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0D72A17E">
            <w:pPr>
              <w:widowControl/>
              <w:jc w:val="center"/>
              <w:rPr>
                <w:color w:val="auto"/>
                <w:kern w:val="0"/>
                <w:szCs w:val="21"/>
              </w:rPr>
            </w:pPr>
            <w:r>
              <w:rPr>
                <w:color w:val="auto"/>
                <w:kern w:val="0"/>
                <w:szCs w:val="21"/>
              </w:rPr>
              <w:t>1</w:t>
            </w:r>
          </w:p>
        </w:tc>
        <w:tc>
          <w:tcPr>
            <w:tcW w:w="2576" w:type="dxa"/>
            <w:vAlign w:val="center"/>
          </w:tcPr>
          <w:p w14:paraId="6CB38402">
            <w:pPr>
              <w:widowControl/>
              <w:jc w:val="center"/>
              <w:rPr>
                <w:color w:val="auto"/>
                <w:szCs w:val="21"/>
              </w:rPr>
            </w:pPr>
            <w:r>
              <w:rPr>
                <w:rFonts w:hint="eastAsia"/>
                <w:color w:val="auto"/>
                <w:szCs w:val="21"/>
              </w:rPr>
              <w:t>洁祥球泡</w:t>
            </w:r>
          </w:p>
        </w:tc>
        <w:tc>
          <w:tcPr>
            <w:tcW w:w="701" w:type="dxa"/>
            <w:vAlign w:val="center"/>
          </w:tcPr>
          <w:p w14:paraId="73F006D6">
            <w:pPr>
              <w:widowControl/>
              <w:jc w:val="center"/>
              <w:rPr>
                <w:color w:val="auto"/>
                <w:kern w:val="0"/>
                <w:szCs w:val="21"/>
              </w:rPr>
            </w:pPr>
            <w:r>
              <w:rPr>
                <w:rFonts w:hint="eastAsia"/>
                <w:color w:val="auto"/>
                <w:kern w:val="0"/>
                <w:szCs w:val="21"/>
              </w:rPr>
              <w:t>个</w:t>
            </w:r>
          </w:p>
        </w:tc>
        <w:tc>
          <w:tcPr>
            <w:tcW w:w="674" w:type="dxa"/>
            <w:vAlign w:val="center"/>
          </w:tcPr>
          <w:p w14:paraId="0E2C640D">
            <w:pPr>
              <w:widowControl/>
              <w:jc w:val="center"/>
              <w:rPr>
                <w:color w:val="auto"/>
                <w:kern w:val="0"/>
                <w:szCs w:val="21"/>
              </w:rPr>
            </w:pPr>
            <w:r>
              <w:rPr>
                <w:rFonts w:hint="eastAsia"/>
                <w:color w:val="auto"/>
                <w:kern w:val="0"/>
                <w:szCs w:val="21"/>
              </w:rPr>
              <w:t>228</w:t>
            </w:r>
          </w:p>
        </w:tc>
        <w:tc>
          <w:tcPr>
            <w:tcW w:w="3897" w:type="dxa"/>
            <w:vAlign w:val="center"/>
          </w:tcPr>
          <w:p w14:paraId="182A2973">
            <w:pPr>
              <w:widowControl/>
              <w:jc w:val="center"/>
              <w:rPr>
                <w:color w:val="auto"/>
                <w:szCs w:val="21"/>
              </w:rPr>
            </w:pPr>
            <w:r>
              <w:rPr>
                <w:rFonts w:hint="eastAsia"/>
                <w:color w:val="auto"/>
                <w:kern w:val="0"/>
                <w:szCs w:val="21"/>
              </w:rPr>
              <w:t>/</w:t>
            </w:r>
          </w:p>
        </w:tc>
      </w:tr>
      <w:tr w14:paraId="471AA8D2">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62E11711">
            <w:pPr>
              <w:widowControl/>
              <w:jc w:val="center"/>
              <w:rPr>
                <w:color w:val="auto"/>
                <w:kern w:val="0"/>
                <w:szCs w:val="21"/>
              </w:rPr>
            </w:pPr>
            <w:r>
              <w:rPr>
                <w:rFonts w:hint="eastAsia"/>
                <w:color w:val="auto"/>
                <w:kern w:val="0"/>
                <w:szCs w:val="21"/>
              </w:rPr>
              <w:t>2</w:t>
            </w:r>
          </w:p>
        </w:tc>
        <w:tc>
          <w:tcPr>
            <w:tcW w:w="2576" w:type="dxa"/>
            <w:vAlign w:val="center"/>
          </w:tcPr>
          <w:p w14:paraId="1E912FB9">
            <w:pPr>
              <w:widowControl/>
              <w:jc w:val="center"/>
              <w:rPr>
                <w:color w:val="auto"/>
                <w:szCs w:val="21"/>
              </w:rPr>
            </w:pPr>
            <w:r>
              <w:rPr>
                <w:rFonts w:hint="eastAsia"/>
                <w:color w:val="auto"/>
                <w:szCs w:val="21"/>
              </w:rPr>
              <w:t>PCC-3</w:t>
            </w:r>
          </w:p>
        </w:tc>
        <w:tc>
          <w:tcPr>
            <w:tcW w:w="701" w:type="dxa"/>
            <w:vAlign w:val="center"/>
          </w:tcPr>
          <w:p w14:paraId="3CEF5AE6">
            <w:pPr>
              <w:widowControl/>
              <w:jc w:val="center"/>
              <w:rPr>
                <w:color w:val="auto"/>
                <w:kern w:val="0"/>
                <w:szCs w:val="21"/>
              </w:rPr>
            </w:pPr>
            <w:r>
              <w:rPr>
                <w:rFonts w:hint="eastAsia"/>
                <w:color w:val="auto"/>
                <w:kern w:val="0"/>
                <w:szCs w:val="21"/>
              </w:rPr>
              <w:t>个</w:t>
            </w:r>
          </w:p>
        </w:tc>
        <w:tc>
          <w:tcPr>
            <w:tcW w:w="674" w:type="dxa"/>
            <w:vAlign w:val="center"/>
          </w:tcPr>
          <w:p w14:paraId="49796EE3">
            <w:pPr>
              <w:widowControl/>
              <w:jc w:val="center"/>
              <w:rPr>
                <w:color w:val="auto"/>
                <w:kern w:val="0"/>
                <w:szCs w:val="21"/>
              </w:rPr>
            </w:pPr>
            <w:r>
              <w:rPr>
                <w:rFonts w:hint="eastAsia"/>
                <w:color w:val="auto"/>
                <w:kern w:val="0"/>
                <w:szCs w:val="21"/>
              </w:rPr>
              <w:t>220</w:t>
            </w:r>
          </w:p>
        </w:tc>
        <w:tc>
          <w:tcPr>
            <w:tcW w:w="3897" w:type="dxa"/>
            <w:vAlign w:val="center"/>
          </w:tcPr>
          <w:p w14:paraId="24F95416">
            <w:pPr>
              <w:widowControl/>
              <w:jc w:val="center"/>
              <w:rPr>
                <w:color w:val="auto"/>
                <w:szCs w:val="21"/>
              </w:rPr>
            </w:pPr>
            <w:r>
              <w:rPr>
                <w:rFonts w:hint="eastAsia"/>
                <w:color w:val="auto"/>
                <w:kern w:val="0"/>
                <w:szCs w:val="21"/>
              </w:rPr>
              <w:t>/</w:t>
            </w:r>
          </w:p>
        </w:tc>
      </w:tr>
      <w:tr w14:paraId="034E9D35">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0C046A15">
            <w:pPr>
              <w:widowControl/>
              <w:jc w:val="center"/>
              <w:rPr>
                <w:color w:val="auto"/>
                <w:kern w:val="0"/>
                <w:szCs w:val="21"/>
              </w:rPr>
            </w:pPr>
            <w:r>
              <w:rPr>
                <w:rFonts w:hint="eastAsia"/>
                <w:color w:val="auto"/>
                <w:kern w:val="0"/>
                <w:szCs w:val="21"/>
              </w:rPr>
              <w:t>3</w:t>
            </w:r>
          </w:p>
        </w:tc>
        <w:tc>
          <w:tcPr>
            <w:tcW w:w="2576" w:type="dxa"/>
            <w:vAlign w:val="center"/>
          </w:tcPr>
          <w:p w14:paraId="642737A7">
            <w:pPr>
              <w:widowControl/>
              <w:jc w:val="center"/>
              <w:rPr>
                <w:color w:val="auto"/>
                <w:szCs w:val="21"/>
              </w:rPr>
            </w:pPr>
            <w:r>
              <w:rPr>
                <w:rFonts w:hint="eastAsia"/>
                <w:color w:val="auto"/>
                <w:szCs w:val="21"/>
              </w:rPr>
              <w:t>PCC-15</w:t>
            </w:r>
          </w:p>
        </w:tc>
        <w:tc>
          <w:tcPr>
            <w:tcW w:w="701" w:type="dxa"/>
            <w:vAlign w:val="center"/>
          </w:tcPr>
          <w:p w14:paraId="0836606F">
            <w:pPr>
              <w:widowControl/>
              <w:jc w:val="center"/>
              <w:rPr>
                <w:color w:val="auto"/>
                <w:kern w:val="0"/>
                <w:szCs w:val="21"/>
              </w:rPr>
            </w:pPr>
            <w:r>
              <w:rPr>
                <w:rFonts w:hint="eastAsia"/>
                <w:color w:val="auto"/>
                <w:kern w:val="0"/>
                <w:szCs w:val="21"/>
              </w:rPr>
              <w:t>个</w:t>
            </w:r>
          </w:p>
        </w:tc>
        <w:tc>
          <w:tcPr>
            <w:tcW w:w="674" w:type="dxa"/>
            <w:vAlign w:val="center"/>
          </w:tcPr>
          <w:p w14:paraId="3A42B5E8">
            <w:pPr>
              <w:widowControl/>
              <w:jc w:val="center"/>
              <w:rPr>
                <w:color w:val="auto"/>
                <w:kern w:val="0"/>
                <w:szCs w:val="21"/>
              </w:rPr>
            </w:pPr>
            <w:r>
              <w:rPr>
                <w:rFonts w:hint="eastAsia"/>
                <w:color w:val="auto"/>
                <w:kern w:val="0"/>
                <w:szCs w:val="21"/>
              </w:rPr>
              <w:t>6</w:t>
            </w:r>
          </w:p>
        </w:tc>
        <w:tc>
          <w:tcPr>
            <w:tcW w:w="3897" w:type="dxa"/>
            <w:vAlign w:val="center"/>
          </w:tcPr>
          <w:p w14:paraId="6EDF4B89">
            <w:pPr>
              <w:widowControl/>
              <w:jc w:val="center"/>
              <w:rPr>
                <w:color w:val="auto"/>
                <w:szCs w:val="21"/>
              </w:rPr>
            </w:pPr>
            <w:r>
              <w:rPr>
                <w:rFonts w:hint="eastAsia"/>
                <w:color w:val="auto"/>
                <w:kern w:val="0"/>
                <w:szCs w:val="21"/>
              </w:rPr>
              <w:t>/</w:t>
            </w:r>
          </w:p>
        </w:tc>
      </w:tr>
      <w:tr w14:paraId="0BBBAAF0">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09965BDF">
            <w:pPr>
              <w:widowControl/>
              <w:jc w:val="center"/>
              <w:rPr>
                <w:color w:val="auto"/>
                <w:kern w:val="0"/>
                <w:szCs w:val="21"/>
              </w:rPr>
            </w:pPr>
            <w:r>
              <w:rPr>
                <w:rFonts w:hint="eastAsia"/>
                <w:color w:val="auto"/>
                <w:kern w:val="0"/>
                <w:szCs w:val="21"/>
              </w:rPr>
              <w:t>4</w:t>
            </w:r>
          </w:p>
        </w:tc>
        <w:tc>
          <w:tcPr>
            <w:tcW w:w="2576" w:type="dxa"/>
            <w:vAlign w:val="center"/>
          </w:tcPr>
          <w:p w14:paraId="232E4CBA">
            <w:pPr>
              <w:widowControl/>
              <w:jc w:val="center"/>
              <w:rPr>
                <w:color w:val="auto"/>
                <w:szCs w:val="21"/>
              </w:rPr>
            </w:pPr>
            <w:r>
              <w:rPr>
                <w:rFonts w:hint="eastAsia"/>
                <w:color w:val="auto"/>
                <w:szCs w:val="21"/>
              </w:rPr>
              <w:t>EB6控制箱</w:t>
            </w:r>
          </w:p>
        </w:tc>
        <w:tc>
          <w:tcPr>
            <w:tcW w:w="701" w:type="dxa"/>
            <w:vAlign w:val="center"/>
          </w:tcPr>
          <w:p w14:paraId="0FD4A0C5">
            <w:pPr>
              <w:widowControl/>
              <w:jc w:val="center"/>
              <w:rPr>
                <w:color w:val="auto"/>
                <w:kern w:val="0"/>
                <w:szCs w:val="21"/>
              </w:rPr>
            </w:pPr>
            <w:r>
              <w:rPr>
                <w:rFonts w:hint="eastAsia"/>
                <w:color w:val="auto"/>
                <w:kern w:val="0"/>
                <w:szCs w:val="21"/>
              </w:rPr>
              <w:t>套</w:t>
            </w:r>
          </w:p>
        </w:tc>
        <w:tc>
          <w:tcPr>
            <w:tcW w:w="674" w:type="dxa"/>
            <w:vAlign w:val="center"/>
          </w:tcPr>
          <w:p w14:paraId="4CE981A7">
            <w:pPr>
              <w:widowControl/>
              <w:jc w:val="center"/>
              <w:rPr>
                <w:color w:val="auto"/>
                <w:kern w:val="0"/>
                <w:szCs w:val="21"/>
              </w:rPr>
            </w:pPr>
            <w:r>
              <w:rPr>
                <w:rFonts w:hint="eastAsia"/>
                <w:color w:val="auto"/>
                <w:kern w:val="0"/>
                <w:szCs w:val="21"/>
              </w:rPr>
              <w:t>1</w:t>
            </w:r>
          </w:p>
        </w:tc>
        <w:tc>
          <w:tcPr>
            <w:tcW w:w="3897" w:type="dxa"/>
            <w:vAlign w:val="center"/>
          </w:tcPr>
          <w:p w14:paraId="214F6BAD">
            <w:pPr>
              <w:widowControl/>
              <w:jc w:val="center"/>
              <w:rPr>
                <w:color w:val="auto"/>
                <w:szCs w:val="21"/>
              </w:rPr>
            </w:pPr>
            <w:r>
              <w:rPr>
                <w:rFonts w:hint="eastAsia"/>
                <w:color w:val="auto"/>
                <w:kern w:val="0"/>
                <w:szCs w:val="21"/>
              </w:rPr>
              <w:t>/</w:t>
            </w:r>
          </w:p>
        </w:tc>
      </w:tr>
      <w:tr w14:paraId="122A1ED2">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4C480166">
            <w:pPr>
              <w:widowControl/>
              <w:jc w:val="center"/>
              <w:rPr>
                <w:color w:val="auto"/>
                <w:kern w:val="0"/>
                <w:szCs w:val="21"/>
              </w:rPr>
            </w:pPr>
            <w:r>
              <w:rPr>
                <w:rFonts w:hint="eastAsia"/>
                <w:color w:val="auto"/>
                <w:kern w:val="0"/>
                <w:szCs w:val="21"/>
              </w:rPr>
              <w:t>5</w:t>
            </w:r>
          </w:p>
        </w:tc>
        <w:tc>
          <w:tcPr>
            <w:tcW w:w="2576" w:type="dxa"/>
            <w:vAlign w:val="center"/>
          </w:tcPr>
          <w:p w14:paraId="0BD52C02">
            <w:pPr>
              <w:widowControl/>
              <w:jc w:val="center"/>
              <w:rPr>
                <w:color w:val="auto"/>
                <w:szCs w:val="21"/>
              </w:rPr>
            </w:pPr>
            <w:r>
              <w:rPr>
                <w:rFonts w:hint="eastAsia"/>
                <w:color w:val="auto"/>
                <w:szCs w:val="21"/>
              </w:rPr>
              <w:t>尾盖</w:t>
            </w:r>
          </w:p>
        </w:tc>
        <w:tc>
          <w:tcPr>
            <w:tcW w:w="701" w:type="dxa"/>
            <w:vAlign w:val="center"/>
          </w:tcPr>
          <w:p w14:paraId="7B1F20A0">
            <w:pPr>
              <w:widowControl/>
              <w:jc w:val="center"/>
              <w:rPr>
                <w:color w:val="auto"/>
                <w:kern w:val="0"/>
                <w:szCs w:val="21"/>
              </w:rPr>
            </w:pPr>
            <w:r>
              <w:rPr>
                <w:rFonts w:hint="eastAsia"/>
                <w:color w:val="auto"/>
                <w:kern w:val="0"/>
                <w:szCs w:val="21"/>
              </w:rPr>
              <w:t>个</w:t>
            </w:r>
          </w:p>
        </w:tc>
        <w:tc>
          <w:tcPr>
            <w:tcW w:w="674" w:type="dxa"/>
            <w:vAlign w:val="center"/>
          </w:tcPr>
          <w:p w14:paraId="615511D7">
            <w:pPr>
              <w:widowControl/>
              <w:jc w:val="center"/>
              <w:rPr>
                <w:color w:val="auto"/>
                <w:kern w:val="0"/>
                <w:szCs w:val="21"/>
              </w:rPr>
            </w:pPr>
            <w:r>
              <w:rPr>
                <w:rFonts w:hint="eastAsia"/>
                <w:color w:val="auto"/>
                <w:kern w:val="0"/>
                <w:szCs w:val="21"/>
              </w:rPr>
              <w:t>6</w:t>
            </w:r>
          </w:p>
        </w:tc>
        <w:tc>
          <w:tcPr>
            <w:tcW w:w="3897" w:type="dxa"/>
            <w:vAlign w:val="center"/>
          </w:tcPr>
          <w:p w14:paraId="0FA673CE">
            <w:pPr>
              <w:widowControl/>
              <w:jc w:val="center"/>
              <w:rPr>
                <w:color w:val="auto"/>
                <w:szCs w:val="21"/>
              </w:rPr>
            </w:pPr>
            <w:r>
              <w:rPr>
                <w:rFonts w:hint="eastAsia"/>
                <w:color w:val="auto"/>
                <w:kern w:val="0"/>
                <w:szCs w:val="21"/>
              </w:rPr>
              <w:t>/</w:t>
            </w:r>
          </w:p>
        </w:tc>
      </w:tr>
      <w:tr w14:paraId="4244C51E">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5C6FAA52">
            <w:pPr>
              <w:widowControl/>
              <w:jc w:val="center"/>
              <w:rPr>
                <w:color w:val="auto"/>
                <w:kern w:val="0"/>
                <w:szCs w:val="21"/>
              </w:rPr>
            </w:pPr>
            <w:r>
              <w:rPr>
                <w:rFonts w:hint="eastAsia"/>
                <w:color w:val="auto"/>
                <w:kern w:val="0"/>
                <w:szCs w:val="21"/>
              </w:rPr>
              <w:t>6</w:t>
            </w:r>
          </w:p>
        </w:tc>
        <w:tc>
          <w:tcPr>
            <w:tcW w:w="2576" w:type="dxa"/>
            <w:vAlign w:val="center"/>
          </w:tcPr>
          <w:p w14:paraId="57AA8DC3">
            <w:pPr>
              <w:widowControl/>
              <w:jc w:val="center"/>
              <w:rPr>
                <w:color w:val="auto"/>
                <w:szCs w:val="21"/>
              </w:rPr>
            </w:pPr>
            <w:r>
              <w:rPr>
                <w:rFonts w:hint="eastAsia"/>
                <w:color w:val="auto"/>
                <w:szCs w:val="21"/>
              </w:rPr>
              <w:t>扎带</w:t>
            </w:r>
          </w:p>
        </w:tc>
        <w:tc>
          <w:tcPr>
            <w:tcW w:w="701" w:type="dxa"/>
            <w:vAlign w:val="center"/>
          </w:tcPr>
          <w:p w14:paraId="0B648AEE">
            <w:pPr>
              <w:widowControl/>
              <w:jc w:val="center"/>
              <w:rPr>
                <w:color w:val="auto"/>
                <w:kern w:val="0"/>
                <w:szCs w:val="21"/>
              </w:rPr>
            </w:pPr>
            <w:r>
              <w:rPr>
                <w:rFonts w:hint="eastAsia"/>
                <w:color w:val="auto"/>
                <w:kern w:val="0"/>
                <w:szCs w:val="21"/>
              </w:rPr>
              <w:t>批</w:t>
            </w:r>
          </w:p>
        </w:tc>
        <w:tc>
          <w:tcPr>
            <w:tcW w:w="674" w:type="dxa"/>
            <w:vAlign w:val="center"/>
          </w:tcPr>
          <w:p w14:paraId="75A7A98D">
            <w:pPr>
              <w:widowControl/>
              <w:jc w:val="center"/>
              <w:rPr>
                <w:color w:val="auto"/>
                <w:kern w:val="0"/>
                <w:szCs w:val="21"/>
              </w:rPr>
            </w:pPr>
            <w:r>
              <w:rPr>
                <w:rFonts w:hint="eastAsia"/>
                <w:color w:val="auto"/>
                <w:kern w:val="0"/>
                <w:szCs w:val="21"/>
              </w:rPr>
              <w:t>1</w:t>
            </w:r>
          </w:p>
        </w:tc>
        <w:tc>
          <w:tcPr>
            <w:tcW w:w="3897" w:type="dxa"/>
            <w:vAlign w:val="center"/>
          </w:tcPr>
          <w:p w14:paraId="1141C009">
            <w:pPr>
              <w:widowControl/>
              <w:jc w:val="center"/>
              <w:rPr>
                <w:color w:val="auto"/>
                <w:szCs w:val="21"/>
              </w:rPr>
            </w:pPr>
            <w:r>
              <w:rPr>
                <w:rFonts w:hint="eastAsia"/>
                <w:color w:val="auto"/>
                <w:kern w:val="0"/>
                <w:szCs w:val="21"/>
              </w:rPr>
              <w:t>/</w:t>
            </w:r>
          </w:p>
        </w:tc>
      </w:tr>
      <w:tr w14:paraId="39C6F2C2">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525" w:type="dxa"/>
            <w:gridSpan w:val="5"/>
            <w:vAlign w:val="center"/>
          </w:tcPr>
          <w:p w14:paraId="79A6854B">
            <w:pPr>
              <w:widowControl/>
              <w:jc w:val="center"/>
              <w:rPr>
                <w:color w:val="auto"/>
                <w:szCs w:val="21"/>
              </w:rPr>
            </w:pPr>
            <w:r>
              <w:rPr>
                <w:rFonts w:hint="eastAsia"/>
                <w:color w:val="auto"/>
                <w:szCs w:val="21"/>
              </w:rPr>
              <w:t>电控系统</w:t>
            </w:r>
          </w:p>
        </w:tc>
      </w:tr>
      <w:tr w14:paraId="3F0BED30">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5A9698D3">
            <w:pPr>
              <w:widowControl/>
              <w:jc w:val="center"/>
              <w:rPr>
                <w:color w:val="auto"/>
                <w:kern w:val="0"/>
                <w:szCs w:val="21"/>
              </w:rPr>
            </w:pPr>
            <w:r>
              <w:rPr>
                <w:color w:val="auto"/>
                <w:kern w:val="0"/>
                <w:szCs w:val="21"/>
              </w:rPr>
              <w:t>1</w:t>
            </w:r>
          </w:p>
        </w:tc>
        <w:tc>
          <w:tcPr>
            <w:tcW w:w="2576" w:type="dxa"/>
            <w:vAlign w:val="center"/>
          </w:tcPr>
          <w:p w14:paraId="7182423E">
            <w:pPr>
              <w:widowControl/>
              <w:jc w:val="center"/>
              <w:rPr>
                <w:color w:val="auto"/>
                <w:szCs w:val="21"/>
              </w:rPr>
            </w:pPr>
            <w:r>
              <w:rPr>
                <w:rFonts w:hint="eastAsia"/>
                <w:color w:val="auto"/>
                <w:szCs w:val="21"/>
              </w:rPr>
              <w:t>喂料系统控制系统</w:t>
            </w:r>
          </w:p>
        </w:tc>
        <w:tc>
          <w:tcPr>
            <w:tcW w:w="701" w:type="dxa"/>
            <w:vAlign w:val="center"/>
          </w:tcPr>
          <w:p w14:paraId="2D83AD4D">
            <w:pPr>
              <w:widowControl/>
              <w:jc w:val="center"/>
              <w:rPr>
                <w:color w:val="auto"/>
                <w:kern w:val="0"/>
                <w:szCs w:val="21"/>
              </w:rPr>
            </w:pPr>
            <w:r>
              <w:rPr>
                <w:rFonts w:hint="eastAsia"/>
                <w:color w:val="auto"/>
                <w:kern w:val="0"/>
                <w:szCs w:val="21"/>
              </w:rPr>
              <w:t>套</w:t>
            </w:r>
          </w:p>
        </w:tc>
        <w:tc>
          <w:tcPr>
            <w:tcW w:w="674" w:type="dxa"/>
            <w:vAlign w:val="center"/>
          </w:tcPr>
          <w:p w14:paraId="1DE2132C">
            <w:pPr>
              <w:widowControl/>
              <w:jc w:val="center"/>
              <w:rPr>
                <w:color w:val="auto"/>
                <w:kern w:val="0"/>
                <w:szCs w:val="21"/>
              </w:rPr>
            </w:pPr>
            <w:r>
              <w:rPr>
                <w:rFonts w:hint="eastAsia"/>
                <w:color w:val="auto"/>
                <w:kern w:val="0"/>
                <w:szCs w:val="21"/>
              </w:rPr>
              <w:t>1</w:t>
            </w:r>
          </w:p>
        </w:tc>
        <w:tc>
          <w:tcPr>
            <w:tcW w:w="3897" w:type="dxa"/>
            <w:vAlign w:val="center"/>
          </w:tcPr>
          <w:p w14:paraId="05E2B58E">
            <w:pPr>
              <w:widowControl/>
              <w:jc w:val="center"/>
              <w:rPr>
                <w:color w:val="auto"/>
                <w:szCs w:val="21"/>
              </w:rPr>
            </w:pPr>
            <w:r>
              <w:rPr>
                <w:rFonts w:hint="eastAsia"/>
                <w:color w:val="auto"/>
                <w:kern w:val="0"/>
                <w:szCs w:val="21"/>
              </w:rPr>
              <w:t>/</w:t>
            </w:r>
          </w:p>
        </w:tc>
      </w:tr>
      <w:tr w14:paraId="24E0897F">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3F64940D">
            <w:pPr>
              <w:widowControl/>
              <w:jc w:val="center"/>
              <w:rPr>
                <w:color w:val="auto"/>
                <w:kern w:val="0"/>
                <w:szCs w:val="21"/>
              </w:rPr>
            </w:pPr>
            <w:r>
              <w:rPr>
                <w:rFonts w:hint="eastAsia"/>
                <w:color w:val="auto"/>
                <w:kern w:val="0"/>
                <w:szCs w:val="21"/>
              </w:rPr>
              <w:t>2</w:t>
            </w:r>
          </w:p>
        </w:tc>
        <w:tc>
          <w:tcPr>
            <w:tcW w:w="2576" w:type="dxa"/>
            <w:vAlign w:val="center"/>
          </w:tcPr>
          <w:p w14:paraId="2200E320">
            <w:pPr>
              <w:widowControl/>
              <w:jc w:val="center"/>
              <w:rPr>
                <w:color w:val="auto"/>
                <w:szCs w:val="21"/>
              </w:rPr>
            </w:pPr>
            <w:r>
              <w:rPr>
                <w:rFonts w:hint="eastAsia"/>
                <w:color w:val="auto"/>
                <w:szCs w:val="21"/>
              </w:rPr>
              <w:t>集蛋控制系统</w:t>
            </w:r>
          </w:p>
        </w:tc>
        <w:tc>
          <w:tcPr>
            <w:tcW w:w="701" w:type="dxa"/>
            <w:vAlign w:val="center"/>
          </w:tcPr>
          <w:p w14:paraId="327D1549">
            <w:pPr>
              <w:widowControl/>
              <w:jc w:val="center"/>
              <w:rPr>
                <w:color w:val="auto"/>
                <w:kern w:val="0"/>
                <w:szCs w:val="21"/>
              </w:rPr>
            </w:pPr>
            <w:r>
              <w:rPr>
                <w:rFonts w:hint="eastAsia"/>
                <w:color w:val="auto"/>
                <w:kern w:val="0"/>
                <w:szCs w:val="21"/>
              </w:rPr>
              <w:t>套</w:t>
            </w:r>
          </w:p>
        </w:tc>
        <w:tc>
          <w:tcPr>
            <w:tcW w:w="674" w:type="dxa"/>
            <w:vAlign w:val="center"/>
          </w:tcPr>
          <w:p w14:paraId="428BAA28">
            <w:pPr>
              <w:widowControl/>
              <w:jc w:val="center"/>
              <w:rPr>
                <w:color w:val="auto"/>
                <w:kern w:val="0"/>
                <w:szCs w:val="21"/>
              </w:rPr>
            </w:pPr>
            <w:r>
              <w:rPr>
                <w:rFonts w:hint="eastAsia"/>
                <w:color w:val="auto"/>
                <w:kern w:val="0"/>
                <w:szCs w:val="21"/>
              </w:rPr>
              <w:t>1</w:t>
            </w:r>
          </w:p>
        </w:tc>
        <w:tc>
          <w:tcPr>
            <w:tcW w:w="3897" w:type="dxa"/>
            <w:vAlign w:val="center"/>
          </w:tcPr>
          <w:p w14:paraId="77C6C3C6">
            <w:pPr>
              <w:widowControl/>
              <w:jc w:val="center"/>
              <w:rPr>
                <w:color w:val="auto"/>
                <w:szCs w:val="21"/>
              </w:rPr>
            </w:pPr>
            <w:r>
              <w:rPr>
                <w:rFonts w:hint="eastAsia"/>
                <w:color w:val="auto"/>
                <w:kern w:val="0"/>
                <w:szCs w:val="21"/>
              </w:rPr>
              <w:t>/</w:t>
            </w:r>
          </w:p>
        </w:tc>
      </w:tr>
      <w:tr w14:paraId="31CD9462">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79E789AA">
            <w:pPr>
              <w:widowControl/>
              <w:jc w:val="center"/>
              <w:rPr>
                <w:color w:val="auto"/>
                <w:kern w:val="0"/>
                <w:szCs w:val="21"/>
              </w:rPr>
            </w:pPr>
            <w:r>
              <w:rPr>
                <w:rFonts w:hint="eastAsia"/>
                <w:color w:val="auto"/>
                <w:kern w:val="0"/>
                <w:szCs w:val="21"/>
              </w:rPr>
              <w:t>3</w:t>
            </w:r>
          </w:p>
        </w:tc>
        <w:tc>
          <w:tcPr>
            <w:tcW w:w="2576" w:type="dxa"/>
            <w:vAlign w:val="center"/>
          </w:tcPr>
          <w:p w14:paraId="16A4208D">
            <w:pPr>
              <w:widowControl/>
              <w:jc w:val="center"/>
              <w:rPr>
                <w:color w:val="auto"/>
                <w:szCs w:val="21"/>
              </w:rPr>
            </w:pPr>
            <w:r>
              <w:rPr>
                <w:rFonts w:hint="eastAsia"/>
                <w:color w:val="auto"/>
                <w:szCs w:val="21"/>
              </w:rPr>
              <w:t>输粪系统控制系统</w:t>
            </w:r>
          </w:p>
        </w:tc>
        <w:tc>
          <w:tcPr>
            <w:tcW w:w="701" w:type="dxa"/>
            <w:vAlign w:val="center"/>
          </w:tcPr>
          <w:p w14:paraId="6D3F9B95">
            <w:pPr>
              <w:widowControl/>
              <w:jc w:val="center"/>
              <w:rPr>
                <w:color w:val="auto"/>
                <w:kern w:val="0"/>
                <w:szCs w:val="21"/>
              </w:rPr>
            </w:pPr>
            <w:r>
              <w:rPr>
                <w:rFonts w:hint="eastAsia"/>
                <w:color w:val="auto"/>
                <w:kern w:val="0"/>
                <w:szCs w:val="21"/>
              </w:rPr>
              <w:t>套</w:t>
            </w:r>
          </w:p>
        </w:tc>
        <w:tc>
          <w:tcPr>
            <w:tcW w:w="674" w:type="dxa"/>
            <w:vAlign w:val="center"/>
          </w:tcPr>
          <w:p w14:paraId="26AF3A94">
            <w:pPr>
              <w:widowControl/>
              <w:jc w:val="center"/>
              <w:rPr>
                <w:color w:val="auto"/>
                <w:kern w:val="0"/>
                <w:szCs w:val="21"/>
              </w:rPr>
            </w:pPr>
            <w:r>
              <w:rPr>
                <w:rFonts w:hint="eastAsia"/>
                <w:color w:val="auto"/>
                <w:kern w:val="0"/>
                <w:szCs w:val="21"/>
              </w:rPr>
              <w:t>1</w:t>
            </w:r>
          </w:p>
        </w:tc>
        <w:tc>
          <w:tcPr>
            <w:tcW w:w="3897" w:type="dxa"/>
            <w:vAlign w:val="center"/>
          </w:tcPr>
          <w:p w14:paraId="239DBE8C">
            <w:pPr>
              <w:widowControl/>
              <w:jc w:val="center"/>
              <w:rPr>
                <w:color w:val="auto"/>
                <w:szCs w:val="21"/>
              </w:rPr>
            </w:pPr>
            <w:r>
              <w:rPr>
                <w:rFonts w:hint="eastAsia"/>
                <w:color w:val="auto"/>
                <w:kern w:val="0"/>
                <w:szCs w:val="21"/>
              </w:rPr>
              <w:t>/</w:t>
            </w:r>
          </w:p>
        </w:tc>
      </w:tr>
      <w:tr w14:paraId="7FFDCC3F">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0C26A781">
            <w:pPr>
              <w:widowControl/>
              <w:jc w:val="center"/>
              <w:rPr>
                <w:color w:val="auto"/>
                <w:kern w:val="0"/>
                <w:szCs w:val="21"/>
              </w:rPr>
            </w:pPr>
            <w:r>
              <w:rPr>
                <w:rFonts w:hint="eastAsia"/>
                <w:color w:val="auto"/>
                <w:kern w:val="0"/>
                <w:szCs w:val="21"/>
              </w:rPr>
              <w:t>4</w:t>
            </w:r>
          </w:p>
        </w:tc>
        <w:tc>
          <w:tcPr>
            <w:tcW w:w="2576" w:type="dxa"/>
            <w:vAlign w:val="center"/>
          </w:tcPr>
          <w:p w14:paraId="4F2FE8EA">
            <w:pPr>
              <w:widowControl/>
              <w:jc w:val="center"/>
              <w:rPr>
                <w:color w:val="auto"/>
                <w:szCs w:val="21"/>
              </w:rPr>
            </w:pPr>
            <w:r>
              <w:rPr>
                <w:rFonts w:hint="eastAsia"/>
                <w:color w:val="auto"/>
                <w:szCs w:val="21"/>
              </w:rPr>
              <w:t>换气降温系统控制系统</w:t>
            </w:r>
          </w:p>
        </w:tc>
        <w:tc>
          <w:tcPr>
            <w:tcW w:w="701" w:type="dxa"/>
            <w:vAlign w:val="center"/>
          </w:tcPr>
          <w:p w14:paraId="25A50004">
            <w:pPr>
              <w:widowControl/>
              <w:jc w:val="center"/>
              <w:rPr>
                <w:color w:val="auto"/>
                <w:kern w:val="0"/>
                <w:szCs w:val="21"/>
              </w:rPr>
            </w:pPr>
            <w:r>
              <w:rPr>
                <w:rFonts w:hint="eastAsia"/>
                <w:color w:val="auto"/>
                <w:kern w:val="0"/>
                <w:szCs w:val="21"/>
              </w:rPr>
              <w:t>套</w:t>
            </w:r>
          </w:p>
        </w:tc>
        <w:tc>
          <w:tcPr>
            <w:tcW w:w="674" w:type="dxa"/>
            <w:vAlign w:val="center"/>
          </w:tcPr>
          <w:p w14:paraId="21205CC0">
            <w:pPr>
              <w:widowControl/>
              <w:jc w:val="center"/>
              <w:rPr>
                <w:color w:val="auto"/>
                <w:kern w:val="0"/>
                <w:szCs w:val="21"/>
              </w:rPr>
            </w:pPr>
            <w:r>
              <w:rPr>
                <w:rFonts w:hint="eastAsia"/>
                <w:color w:val="auto"/>
                <w:kern w:val="0"/>
                <w:szCs w:val="21"/>
              </w:rPr>
              <w:t>1</w:t>
            </w:r>
          </w:p>
        </w:tc>
        <w:tc>
          <w:tcPr>
            <w:tcW w:w="3897" w:type="dxa"/>
            <w:vAlign w:val="center"/>
          </w:tcPr>
          <w:p w14:paraId="46318FC5">
            <w:pPr>
              <w:widowControl/>
              <w:jc w:val="center"/>
              <w:rPr>
                <w:color w:val="auto"/>
                <w:szCs w:val="21"/>
              </w:rPr>
            </w:pPr>
            <w:r>
              <w:rPr>
                <w:rFonts w:hint="eastAsia"/>
                <w:color w:val="auto"/>
                <w:kern w:val="0"/>
                <w:szCs w:val="21"/>
              </w:rPr>
              <w:t>/</w:t>
            </w:r>
          </w:p>
        </w:tc>
      </w:tr>
      <w:tr w14:paraId="07F6BDC5">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6A8C395A">
            <w:pPr>
              <w:widowControl/>
              <w:jc w:val="center"/>
              <w:rPr>
                <w:color w:val="auto"/>
                <w:kern w:val="0"/>
                <w:szCs w:val="21"/>
              </w:rPr>
            </w:pPr>
            <w:r>
              <w:rPr>
                <w:rFonts w:hint="eastAsia"/>
                <w:color w:val="auto"/>
                <w:kern w:val="0"/>
                <w:szCs w:val="21"/>
              </w:rPr>
              <w:t>5</w:t>
            </w:r>
          </w:p>
        </w:tc>
        <w:tc>
          <w:tcPr>
            <w:tcW w:w="2576" w:type="dxa"/>
            <w:vAlign w:val="center"/>
          </w:tcPr>
          <w:p w14:paraId="303B9241">
            <w:pPr>
              <w:widowControl/>
              <w:jc w:val="center"/>
              <w:rPr>
                <w:color w:val="auto"/>
                <w:szCs w:val="21"/>
              </w:rPr>
            </w:pPr>
            <w:r>
              <w:rPr>
                <w:rFonts w:hint="eastAsia"/>
                <w:color w:val="auto"/>
                <w:szCs w:val="21"/>
              </w:rPr>
              <w:t>照明控制系统</w:t>
            </w:r>
          </w:p>
        </w:tc>
        <w:tc>
          <w:tcPr>
            <w:tcW w:w="701" w:type="dxa"/>
            <w:vAlign w:val="center"/>
          </w:tcPr>
          <w:p w14:paraId="0CB8A070">
            <w:pPr>
              <w:widowControl/>
              <w:jc w:val="center"/>
              <w:rPr>
                <w:color w:val="auto"/>
                <w:kern w:val="0"/>
                <w:szCs w:val="21"/>
              </w:rPr>
            </w:pPr>
            <w:r>
              <w:rPr>
                <w:rFonts w:hint="eastAsia"/>
                <w:color w:val="auto"/>
                <w:kern w:val="0"/>
                <w:szCs w:val="21"/>
              </w:rPr>
              <w:t>套</w:t>
            </w:r>
          </w:p>
        </w:tc>
        <w:tc>
          <w:tcPr>
            <w:tcW w:w="674" w:type="dxa"/>
            <w:vAlign w:val="center"/>
          </w:tcPr>
          <w:p w14:paraId="35BBCEA8">
            <w:pPr>
              <w:widowControl/>
              <w:jc w:val="center"/>
              <w:rPr>
                <w:color w:val="auto"/>
                <w:kern w:val="0"/>
                <w:szCs w:val="21"/>
              </w:rPr>
            </w:pPr>
            <w:r>
              <w:rPr>
                <w:rFonts w:hint="eastAsia"/>
                <w:color w:val="auto"/>
                <w:kern w:val="0"/>
                <w:szCs w:val="21"/>
              </w:rPr>
              <w:t>1</w:t>
            </w:r>
          </w:p>
        </w:tc>
        <w:tc>
          <w:tcPr>
            <w:tcW w:w="3897" w:type="dxa"/>
            <w:vAlign w:val="center"/>
          </w:tcPr>
          <w:p w14:paraId="61E8B285">
            <w:pPr>
              <w:widowControl/>
              <w:jc w:val="center"/>
              <w:rPr>
                <w:color w:val="auto"/>
                <w:szCs w:val="21"/>
              </w:rPr>
            </w:pPr>
            <w:r>
              <w:rPr>
                <w:rFonts w:hint="eastAsia"/>
                <w:color w:val="auto"/>
                <w:kern w:val="0"/>
                <w:szCs w:val="21"/>
              </w:rPr>
              <w:t>/</w:t>
            </w:r>
          </w:p>
        </w:tc>
      </w:tr>
      <w:tr w14:paraId="5F3B5F48">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76F33165">
            <w:pPr>
              <w:widowControl/>
              <w:jc w:val="center"/>
              <w:rPr>
                <w:color w:val="auto"/>
                <w:kern w:val="0"/>
                <w:szCs w:val="21"/>
              </w:rPr>
            </w:pPr>
            <w:r>
              <w:rPr>
                <w:rFonts w:hint="eastAsia"/>
                <w:color w:val="auto"/>
                <w:kern w:val="0"/>
                <w:szCs w:val="21"/>
              </w:rPr>
              <w:t>6</w:t>
            </w:r>
          </w:p>
        </w:tc>
        <w:tc>
          <w:tcPr>
            <w:tcW w:w="2576" w:type="dxa"/>
            <w:vAlign w:val="center"/>
          </w:tcPr>
          <w:p w14:paraId="3E54C382">
            <w:pPr>
              <w:widowControl/>
              <w:jc w:val="center"/>
              <w:rPr>
                <w:color w:val="auto"/>
                <w:szCs w:val="21"/>
              </w:rPr>
            </w:pPr>
            <w:r>
              <w:rPr>
                <w:rFonts w:hint="eastAsia"/>
                <w:color w:val="auto"/>
                <w:szCs w:val="21"/>
              </w:rPr>
              <w:t>环境控制系统</w:t>
            </w:r>
          </w:p>
        </w:tc>
        <w:tc>
          <w:tcPr>
            <w:tcW w:w="701" w:type="dxa"/>
            <w:vAlign w:val="center"/>
          </w:tcPr>
          <w:p w14:paraId="24AD5D3E">
            <w:pPr>
              <w:widowControl/>
              <w:jc w:val="center"/>
              <w:rPr>
                <w:color w:val="auto"/>
                <w:kern w:val="0"/>
                <w:szCs w:val="21"/>
              </w:rPr>
            </w:pPr>
            <w:r>
              <w:rPr>
                <w:rFonts w:hint="eastAsia"/>
                <w:color w:val="auto"/>
                <w:kern w:val="0"/>
                <w:szCs w:val="21"/>
              </w:rPr>
              <w:t>套</w:t>
            </w:r>
          </w:p>
        </w:tc>
        <w:tc>
          <w:tcPr>
            <w:tcW w:w="674" w:type="dxa"/>
            <w:vAlign w:val="center"/>
          </w:tcPr>
          <w:p w14:paraId="33B48C02">
            <w:pPr>
              <w:widowControl/>
              <w:jc w:val="center"/>
              <w:rPr>
                <w:color w:val="auto"/>
                <w:kern w:val="0"/>
                <w:szCs w:val="21"/>
              </w:rPr>
            </w:pPr>
            <w:r>
              <w:rPr>
                <w:rFonts w:hint="eastAsia"/>
                <w:color w:val="auto"/>
                <w:kern w:val="0"/>
                <w:szCs w:val="21"/>
              </w:rPr>
              <w:t>1</w:t>
            </w:r>
          </w:p>
        </w:tc>
        <w:tc>
          <w:tcPr>
            <w:tcW w:w="3897" w:type="dxa"/>
            <w:vAlign w:val="center"/>
          </w:tcPr>
          <w:p w14:paraId="437CCE69">
            <w:pPr>
              <w:widowControl/>
              <w:jc w:val="center"/>
              <w:rPr>
                <w:color w:val="auto"/>
                <w:szCs w:val="21"/>
              </w:rPr>
            </w:pPr>
            <w:r>
              <w:rPr>
                <w:rFonts w:hint="eastAsia"/>
                <w:color w:val="auto"/>
                <w:kern w:val="0"/>
                <w:szCs w:val="21"/>
              </w:rPr>
              <w:t>/</w:t>
            </w:r>
          </w:p>
        </w:tc>
      </w:tr>
      <w:tr w14:paraId="7D6E80E0">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2BDBC040">
            <w:pPr>
              <w:widowControl/>
              <w:jc w:val="center"/>
              <w:rPr>
                <w:color w:val="auto"/>
                <w:kern w:val="0"/>
                <w:szCs w:val="21"/>
              </w:rPr>
            </w:pPr>
            <w:r>
              <w:rPr>
                <w:rFonts w:hint="eastAsia"/>
                <w:color w:val="auto"/>
                <w:kern w:val="0"/>
                <w:szCs w:val="21"/>
              </w:rPr>
              <w:t>7</w:t>
            </w:r>
          </w:p>
        </w:tc>
        <w:tc>
          <w:tcPr>
            <w:tcW w:w="2576" w:type="dxa"/>
            <w:vAlign w:val="center"/>
          </w:tcPr>
          <w:p w14:paraId="0FD1F370">
            <w:pPr>
              <w:widowControl/>
              <w:jc w:val="center"/>
              <w:rPr>
                <w:color w:val="auto"/>
                <w:szCs w:val="21"/>
              </w:rPr>
            </w:pPr>
            <w:r>
              <w:rPr>
                <w:rFonts w:hint="eastAsia"/>
                <w:color w:val="auto"/>
                <w:szCs w:val="21"/>
              </w:rPr>
              <w:t>控制电缆</w:t>
            </w:r>
          </w:p>
        </w:tc>
        <w:tc>
          <w:tcPr>
            <w:tcW w:w="701" w:type="dxa"/>
            <w:vAlign w:val="center"/>
          </w:tcPr>
          <w:p w14:paraId="08D306E8">
            <w:pPr>
              <w:widowControl/>
              <w:jc w:val="center"/>
              <w:rPr>
                <w:color w:val="auto"/>
                <w:kern w:val="0"/>
                <w:szCs w:val="21"/>
              </w:rPr>
            </w:pPr>
            <w:r>
              <w:rPr>
                <w:rFonts w:hint="eastAsia"/>
                <w:color w:val="auto"/>
                <w:kern w:val="0"/>
                <w:szCs w:val="21"/>
              </w:rPr>
              <w:t>套</w:t>
            </w:r>
          </w:p>
        </w:tc>
        <w:tc>
          <w:tcPr>
            <w:tcW w:w="674" w:type="dxa"/>
            <w:vAlign w:val="center"/>
          </w:tcPr>
          <w:p w14:paraId="7A1B8375">
            <w:pPr>
              <w:widowControl/>
              <w:jc w:val="center"/>
              <w:rPr>
                <w:color w:val="auto"/>
                <w:kern w:val="0"/>
                <w:szCs w:val="21"/>
              </w:rPr>
            </w:pPr>
            <w:r>
              <w:rPr>
                <w:rFonts w:hint="eastAsia"/>
                <w:color w:val="auto"/>
                <w:kern w:val="0"/>
                <w:szCs w:val="21"/>
              </w:rPr>
              <w:t>1</w:t>
            </w:r>
          </w:p>
        </w:tc>
        <w:tc>
          <w:tcPr>
            <w:tcW w:w="3897" w:type="dxa"/>
            <w:vAlign w:val="center"/>
          </w:tcPr>
          <w:p w14:paraId="543C075D">
            <w:pPr>
              <w:widowControl/>
              <w:jc w:val="center"/>
              <w:rPr>
                <w:color w:val="auto"/>
                <w:szCs w:val="21"/>
              </w:rPr>
            </w:pPr>
            <w:r>
              <w:rPr>
                <w:rFonts w:hint="eastAsia"/>
                <w:color w:val="auto"/>
                <w:kern w:val="0"/>
                <w:szCs w:val="21"/>
              </w:rPr>
              <w:t>/</w:t>
            </w:r>
          </w:p>
        </w:tc>
      </w:tr>
      <w:tr w14:paraId="519FAC56">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45FC4BC2">
            <w:pPr>
              <w:widowControl/>
              <w:jc w:val="center"/>
              <w:rPr>
                <w:color w:val="auto"/>
                <w:kern w:val="0"/>
                <w:szCs w:val="21"/>
              </w:rPr>
            </w:pPr>
            <w:r>
              <w:rPr>
                <w:rFonts w:hint="eastAsia"/>
                <w:color w:val="auto"/>
                <w:kern w:val="0"/>
                <w:szCs w:val="21"/>
              </w:rPr>
              <w:t>8</w:t>
            </w:r>
          </w:p>
        </w:tc>
        <w:tc>
          <w:tcPr>
            <w:tcW w:w="2576" w:type="dxa"/>
            <w:vAlign w:val="center"/>
          </w:tcPr>
          <w:p w14:paraId="10567A81">
            <w:pPr>
              <w:widowControl/>
              <w:jc w:val="center"/>
              <w:rPr>
                <w:color w:val="auto"/>
                <w:szCs w:val="21"/>
              </w:rPr>
            </w:pPr>
            <w:r>
              <w:rPr>
                <w:rFonts w:hint="eastAsia"/>
                <w:color w:val="auto"/>
                <w:szCs w:val="21"/>
              </w:rPr>
              <w:t>报警器（短信报警系统）</w:t>
            </w:r>
          </w:p>
        </w:tc>
        <w:tc>
          <w:tcPr>
            <w:tcW w:w="701" w:type="dxa"/>
            <w:vAlign w:val="center"/>
          </w:tcPr>
          <w:p w14:paraId="01C7A296">
            <w:pPr>
              <w:widowControl/>
              <w:jc w:val="center"/>
              <w:rPr>
                <w:color w:val="auto"/>
                <w:kern w:val="0"/>
                <w:szCs w:val="21"/>
              </w:rPr>
            </w:pPr>
            <w:r>
              <w:rPr>
                <w:rFonts w:hint="eastAsia"/>
                <w:color w:val="auto"/>
                <w:kern w:val="0"/>
                <w:szCs w:val="21"/>
              </w:rPr>
              <w:t>套</w:t>
            </w:r>
          </w:p>
        </w:tc>
        <w:tc>
          <w:tcPr>
            <w:tcW w:w="674" w:type="dxa"/>
            <w:vAlign w:val="center"/>
          </w:tcPr>
          <w:p w14:paraId="5A726F20">
            <w:pPr>
              <w:widowControl/>
              <w:jc w:val="center"/>
              <w:rPr>
                <w:color w:val="auto"/>
                <w:kern w:val="0"/>
                <w:szCs w:val="21"/>
              </w:rPr>
            </w:pPr>
            <w:r>
              <w:rPr>
                <w:rFonts w:hint="eastAsia"/>
                <w:color w:val="auto"/>
                <w:kern w:val="0"/>
                <w:szCs w:val="21"/>
              </w:rPr>
              <w:t>1</w:t>
            </w:r>
          </w:p>
        </w:tc>
        <w:tc>
          <w:tcPr>
            <w:tcW w:w="3897" w:type="dxa"/>
            <w:vAlign w:val="center"/>
          </w:tcPr>
          <w:p w14:paraId="41E64AF0">
            <w:pPr>
              <w:widowControl/>
              <w:jc w:val="center"/>
              <w:rPr>
                <w:color w:val="auto"/>
                <w:szCs w:val="21"/>
              </w:rPr>
            </w:pPr>
            <w:r>
              <w:rPr>
                <w:rFonts w:hint="eastAsia"/>
                <w:color w:val="auto"/>
                <w:kern w:val="0"/>
                <w:szCs w:val="21"/>
              </w:rPr>
              <w:t>/</w:t>
            </w:r>
          </w:p>
        </w:tc>
      </w:tr>
      <w:tr w14:paraId="14750449">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50AB7619">
            <w:pPr>
              <w:widowControl/>
              <w:jc w:val="center"/>
              <w:rPr>
                <w:color w:val="auto"/>
                <w:kern w:val="0"/>
                <w:szCs w:val="21"/>
              </w:rPr>
            </w:pPr>
            <w:r>
              <w:rPr>
                <w:rFonts w:hint="eastAsia"/>
                <w:color w:val="auto"/>
                <w:kern w:val="0"/>
                <w:szCs w:val="21"/>
              </w:rPr>
              <w:t>9</w:t>
            </w:r>
          </w:p>
        </w:tc>
        <w:tc>
          <w:tcPr>
            <w:tcW w:w="2576" w:type="dxa"/>
            <w:vAlign w:val="center"/>
          </w:tcPr>
          <w:p w14:paraId="4F4ABBB0">
            <w:pPr>
              <w:widowControl/>
              <w:jc w:val="center"/>
              <w:rPr>
                <w:color w:val="auto"/>
                <w:szCs w:val="21"/>
              </w:rPr>
            </w:pPr>
            <w:r>
              <w:rPr>
                <w:rFonts w:hint="eastAsia"/>
                <w:color w:val="auto"/>
                <w:szCs w:val="21"/>
              </w:rPr>
              <w:t>总控制系统</w:t>
            </w:r>
          </w:p>
        </w:tc>
        <w:tc>
          <w:tcPr>
            <w:tcW w:w="701" w:type="dxa"/>
            <w:vAlign w:val="center"/>
          </w:tcPr>
          <w:p w14:paraId="4A8D38F1">
            <w:pPr>
              <w:widowControl/>
              <w:jc w:val="center"/>
              <w:rPr>
                <w:color w:val="auto"/>
                <w:kern w:val="0"/>
                <w:szCs w:val="21"/>
              </w:rPr>
            </w:pPr>
            <w:r>
              <w:rPr>
                <w:rFonts w:hint="eastAsia"/>
                <w:color w:val="auto"/>
                <w:kern w:val="0"/>
                <w:szCs w:val="21"/>
              </w:rPr>
              <w:t>套</w:t>
            </w:r>
          </w:p>
        </w:tc>
        <w:tc>
          <w:tcPr>
            <w:tcW w:w="674" w:type="dxa"/>
            <w:vAlign w:val="center"/>
          </w:tcPr>
          <w:p w14:paraId="0538F298">
            <w:pPr>
              <w:widowControl/>
              <w:jc w:val="center"/>
              <w:rPr>
                <w:color w:val="auto"/>
                <w:kern w:val="0"/>
                <w:szCs w:val="21"/>
              </w:rPr>
            </w:pPr>
            <w:r>
              <w:rPr>
                <w:rFonts w:hint="eastAsia"/>
                <w:color w:val="auto"/>
                <w:kern w:val="0"/>
                <w:szCs w:val="21"/>
              </w:rPr>
              <w:t>1</w:t>
            </w:r>
          </w:p>
        </w:tc>
        <w:tc>
          <w:tcPr>
            <w:tcW w:w="3897" w:type="dxa"/>
            <w:vAlign w:val="center"/>
          </w:tcPr>
          <w:p w14:paraId="67184459">
            <w:pPr>
              <w:widowControl/>
              <w:jc w:val="center"/>
              <w:rPr>
                <w:color w:val="auto"/>
                <w:szCs w:val="21"/>
              </w:rPr>
            </w:pPr>
            <w:r>
              <w:rPr>
                <w:rFonts w:hint="eastAsia"/>
                <w:color w:val="auto"/>
                <w:kern w:val="0"/>
                <w:szCs w:val="21"/>
              </w:rPr>
              <w:t>/</w:t>
            </w:r>
          </w:p>
        </w:tc>
      </w:tr>
      <w:tr w14:paraId="58DD29C5">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525" w:type="dxa"/>
            <w:gridSpan w:val="5"/>
            <w:vAlign w:val="center"/>
          </w:tcPr>
          <w:p w14:paraId="505B078F">
            <w:pPr>
              <w:widowControl/>
              <w:jc w:val="center"/>
              <w:rPr>
                <w:rFonts w:hint="eastAsia" w:eastAsia="宋体"/>
                <w:color w:val="auto"/>
                <w:kern w:val="0"/>
                <w:szCs w:val="21"/>
                <w:lang w:eastAsia="zh-CN"/>
              </w:rPr>
            </w:pPr>
            <w:bookmarkStart w:id="170" w:name="_Toc479754828"/>
            <w:r>
              <w:rPr>
                <w:rFonts w:hint="eastAsia"/>
                <w:color w:val="auto"/>
                <w:kern w:val="0"/>
                <w:szCs w:val="21"/>
                <w:lang w:eastAsia="zh-CN"/>
              </w:rPr>
              <w:t>供热系统</w:t>
            </w:r>
          </w:p>
        </w:tc>
      </w:tr>
      <w:tr w14:paraId="527D77F3">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77" w:type="dxa"/>
            <w:vAlign w:val="center"/>
          </w:tcPr>
          <w:p w14:paraId="1A96DEB7">
            <w:pPr>
              <w:widowControl/>
              <w:jc w:val="center"/>
              <w:rPr>
                <w:rFonts w:hint="eastAsia" w:eastAsia="宋体"/>
                <w:color w:val="auto"/>
                <w:kern w:val="0"/>
                <w:szCs w:val="21"/>
                <w:lang w:val="en-US" w:eastAsia="zh-CN"/>
              </w:rPr>
            </w:pPr>
            <w:r>
              <w:rPr>
                <w:rFonts w:hint="eastAsia"/>
                <w:color w:val="auto"/>
                <w:kern w:val="0"/>
                <w:szCs w:val="21"/>
                <w:lang w:val="en-US" w:eastAsia="zh-CN"/>
              </w:rPr>
              <w:t>1</w:t>
            </w:r>
          </w:p>
        </w:tc>
        <w:tc>
          <w:tcPr>
            <w:tcW w:w="2576" w:type="dxa"/>
            <w:vAlign w:val="center"/>
          </w:tcPr>
          <w:p w14:paraId="24B7BB5C">
            <w:pPr>
              <w:widowControl/>
              <w:jc w:val="center"/>
              <w:rPr>
                <w:rFonts w:hint="eastAsia" w:eastAsia="宋体"/>
                <w:color w:val="auto"/>
                <w:szCs w:val="21"/>
                <w:lang w:eastAsia="zh-CN"/>
              </w:rPr>
            </w:pPr>
            <w:r>
              <w:rPr>
                <w:rFonts w:hint="eastAsia"/>
                <w:color w:val="auto"/>
                <w:szCs w:val="21"/>
                <w:lang w:eastAsia="zh-CN"/>
              </w:rPr>
              <w:t>生物质锅炉</w:t>
            </w:r>
          </w:p>
        </w:tc>
        <w:tc>
          <w:tcPr>
            <w:tcW w:w="701" w:type="dxa"/>
            <w:vAlign w:val="center"/>
          </w:tcPr>
          <w:p w14:paraId="0E9240E4">
            <w:pPr>
              <w:widowControl/>
              <w:jc w:val="center"/>
              <w:rPr>
                <w:rFonts w:hint="eastAsia" w:eastAsia="宋体"/>
                <w:color w:val="auto"/>
                <w:kern w:val="0"/>
                <w:szCs w:val="21"/>
                <w:lang w:eastAsia="zh-CN"/>
              </w:rPr>
            </w:pPr>
            <w:r>
              <w:rPr>
                <w:rFonts w:hint="eastAsia"/>
                <w:color w:val="auto"/>
                <w:kern w:val="0"/>
                <w:szCs w:val="21"/>
                <w:lang w:eastAsia="zh-CN"/>
              </w:rPr>
              <w:t>台</w:t>
            </w:r>
          </w:p>
        </w:tc>
        <w:tc>
          <w:tcPr>
            <w:tcW w:w="674" w:type="dxa"/>
            <w:vAlign w:val="center"/>
          </w:tcPr>
          <w:p w14:paraId="634F7178">
            <w:pPr>
              <w:widowControl/>
              <w:jc w:val="center"/>
              <w:rPr>
                <w:rFonts w:hint="eastAsia" w:eastAsia="宋体"/>
                <w:color w:val="auto"/>
                <w:kern w:val="0"/>
                <w:szCs w:val="21"/>
                <w:lang w:val="en-US" w:eastAsia="zh-CN"/>
              </w:rPr>
            </w:pPr>
            <w:r>
              <w:rPr>
                <w:rFonts w:hint="eastAsia"/>
                <w:color w:val="auto"/>
                <w:kern w:val="0"/>
                <w:szCs w:val="21"/>
                <w:lang w:val="en-US" w:eastAsia="zh-CN"/>
              </w:rPr>
              <w:t>1</w:t>
            </w:r>
          </w:p>
        </w:tc>
        <w:tc>
          <w:tcPr>
            <w:tcW w:w="3897" w:type="dxa"/>
            <w:vAlign w:val="center"/>
          </w:tcPr>
          <w:p w14:paraId="66732F38">
            <w:pPr>
              <w:widowControl/>
              <w:jc w:val="center"/>
              <w:rPr>
                <w:rFonts w:hint="default" w:eastAsia="宋体"/>
                <w:color w:val="auto"/>
                <w:kern w:val="0"/>
                <w:szCs w:val="21"/>
                <w:lang w:val="en-US" w:eastAsia="zh-CN"/>
              </w:rPr>
            </w:pPr>
            <w:r>
              <w:rPr>
                <w:rFonts w:hint="eastAsia"/>
                <w:color w:val="auto"/>
                <w:kern w:val="0"/>
                <w:szCs w:val="21"/>
                <w:lang w:val="en-US" w:eastAsia="zh-CN"/>
              </w:rPr>
              <w:t>1.4MW热水锅炉，设置在锅炉房内</w:t>
            </w:r>
          </w:p>
        </w:tc>
      </w:tr>
    </w:tbl>
    <w:p w14:paraId="0E4B8AEB">
      <w:pPr>
        <w:jc w:val="center"/>
        <w:rPr>
          <w:b/>
          <w:color w:val="auto"/>
          <w:szCs w:val="21"/>
          <w:highlight w:val="none"/>
        </w:rPr>
      </w:pPr>
      <w:r>
        <w:rPr>
          <w:b/>
          <w:color w:val="auto"/>
          <w:szCs w:val="21"/>
          <w:highlight w:val="none"/>
        </w:rPr>
        <w:t>表</w:t>
      </w:r>
      <w:r>
        <w:rPr>
          <w:rFonts w:hint="eastAsia"/>
          <w:b/>
          <w:color w:val="auto"/>
          <w:szCs w:val="21"/>
          <w:highlight w:val="none"/>
          <w:lang w:val="en-US" w:eastAsia="zh-CN"/>
        </w:rPr>
        <w:t xml:space="preserve">3.2-8   </w:t>
      </w:r>
      <w:r>
        <w:rPr>
          <w:b/>
          <w:color w:val="auto"/>
          <w:szCs w:val="21"/>
          <w:highlight w:val="none"/>
        </w:rPr>
        <w:t xml:space="preserve"> </w:t>
      </w:r>
      <w:r>
        <w:rPr>
          <w:b/>
          <w:bCs/>
          <w:color w:val="auto"/>
          <w:szCs w:val="21"/>
          <w:highlight w:val="none"/>
        </w:rPr>
        <w:t>锅炉参数及数据</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00"/>
        <w:gridCol w:w="1462"/>
        <w:gridCol w:w="2318"/>
        <w:gridCol w:w="2448"/>
      </w:tblGrid>
      <w:tr w14:paraId="79D50C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00" w:type="dxa"/>
            <w:vAlign w:val="center"/>
          </w:tcPr>
          <w:p w14:paraId="5258F879">
            <w:pPr>
              <w:snapToGrid w:val="0"/>
              <w:jc w:val="center"/>
              <w:rPr>
                <w:color w:val="auto"/>
                <w:sz w:val="22"/>
                <w:szCs w:val="22"/>
                <w:highlight w:val="none"/>
              </w:rPr>
            </w:pPr>
            <w:r>
              <w:rPr>
                <w:color w:val="auto"/>
                <w:sz w:val="22"/>
                <w:szCs w:val="22"/>
                <w:highlight w:val="none"/>
              </w:rPr>
              <w:t>额定功率</w:t>
            </w:r>
          </w:p>
        </w:tc>
        <w:tc>
          <w:tcPr>
            <w:tcW w:w="1462" w:type="dxa"/>
            <w:vAlign w:val="center"/>
          </w:tcPr>
          <w:p w14:paraId="11D0A181">
            <w:pPr>
              <w:snapToGrid w:val="0"/>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1.4MW</w:t>
            </w:r>
          </w:p>
        </w:tc>
        <w:tc>
          <w:tcPr>
            <w:tcW w:w="2318" w:type="dxa"/>
            <w:vAlign w:val="center"/>
          </w:tcPr>
          <w:p w14:paraId="22B1F973">
            <w:pPr>
              <w:snapToGrid w:val="0"/>
              <w:jc w:val="center"/>
              <w:rPr>
                <w:color w:val="auto"/>
                <w:sz w:val="22"/>
                <w:szCs w:val="22"/>
                <w:highlight w:val="none"/>
              </w:rPr>
            </w:pPr>
            <w:r>
              <w:rPr>
                <w:color w:val="auto"/>
                <w:sz w:val="22"/>
                <w:szCs w:val="22"/>
                <w:highlight w:val="none"/>
              </w:rPr>
              <w:t>额定工作压力</w:t>
            </w:r>
          </w:p>
        </w:tc>
        <w:tc>
          <w:tcPr>
            <w:tcW w:w="2448" w:type="dxa"/>
            <w:vAlign w:val="center"/>
          </w:tcPr>
          <w:p w14:paraId="4FDBB251">
            <w:pPr>
              <w:snapToGrid w:val="0"/>
              <w:jc w:val="center"/>
              <w:rPr>
                <w:color w:val="auto"/>
                <w:sz w:val="22"/>
                <w:szCs w:val="22"/>
                <w:highlight w:val="none"/>
              </w:rPr>
            </w:pPr>
            <w:r>
              <w:rPr>
                <w:color w:val="auto"/>
                <w:sz w:val="22"/>
                <w:szCs w:val="22"/>
                <w:highlight w:val="none"/>
              </w:rPr>
              <w:t>常压</w:t>
            </w:r>
          </w:p>
        </w:tc>
      </w:tr>
      <w:tr w14:paraId="43DA05D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00" w:type="dxa"/>
            <w:vAlign w:val="center"/>
          </w:tcPr>
          <w:p w14:paraId="3F47198A">
            <w:pPr>
              <w:jc w:val="center"/>
              <w:rPr>
                <w:color w:val="auto"/>
                <w:kern w:val="0"/>
                <w:sz w:val="22"/>
                <w:szCs w:val="22"/>
                <w:highlight w:val="none"/>
              </w:rPr>
            </w:pPr>
            <w:r>
              <w:rPr>
                <w:color w:val="auto"/>
                <w:kern w:val="0"/>
                <w:sz w:val="22"/>
                <w:szCs w:val="22"/>
                <w:highlight w:val="none"/>
              </w:rPr>
              <w:t>额定出</w:t>
            </w:r>
            <w:r>
              <w:rPr>
                <w:rFonts w:hint="eastAsia"/>
                <w:color w:val="auto"/>
                <w:kern w:val="0"/>
                <w:sz w:val="22"/>
                <w:szCs w:val="22"/>
                <w:highlight w:val="none"/>
              </w:rPr>
              <w:t>/</w:t>
            </w:r>
            <w:r>
              <w:rPr>
                <w:color w:val="auto"/>
                <w:kern w:val="0"/>
                <w:sz w:val="22"/>
                <w:szCs w:val="22"/>
                <w:highlight w:val="none"/>
              </w:rPr>
              <w:t>回水温度</w:t>
            </w:r>
          </w:p>
        </w:tc>
        <w:tc>
          <w:tcPr>
            <w:tcW w:w="1462" w:type="dxa"/>
            <w:vAlign w:val="center"/>
          </w:tcPr>
          <w:p w14:paraId="0CD0B14B">
            <w:pPr>
              <w:widowControl/>
              <w:jc w:val="center"/>
              <w:rPr>
                <w:color w:val="auto"/>
                <w:kern w:val="0"/>
                <w:sz w:val="22"/>
                <w:szCs w:val="22"/>
                <w:highlight w:val="none"/>
              </w:rPr>
            </w:pPr>
            <w:r>
              <w:rPr>
                <w:rFonts w:hint="eastAsia"/>
                <w:color w:val="auto"/>
                <w:kern w:val="0"/>
                <w:sz w:val="22"/>
                <w:szCs w:val="22"/>
                <w:highlight w:val="none"/>
                <w:lang w:val="en-US" w:eastAsia="zh-CN"/>
              </w:rPr>
              <w:t>85</w:t>
            </w:r>
            <w:r>
              <w:rPr>
                <w:color w:val="auto"/>
                <w:kern w:val="0"/>
                <w:sz w:val="22"/>
                <w:szCs w:val="22"/>
                <w:highlight w:val="none"/>
              </w:rPr>
              <w:t>℃</w:t>
            </w:r>
            <w:r>
              <w:rPr>
                <w:rFonts w:hint="eastAsia"/>
                <w:color w:val="auto"/>
                <w:kern w:val="0"/>
                <w:sz w:val="22"/>
                <w:szCs w:val="22"/>
                <w:highlight w:val="none"/>
              </w:rPr>
              <w:t>/</w:t>
            </w:r>
            <w:r>
              <w:rPr>
                <w:rFonts w:hint="eastAsia"/>
                <w:color w:val="auto"/>
                <w:sz w:val="22"/>
                <w:szCs w:val="22"/>
                <w:highlight w:val="none"/>
                <w:lang w:val="en-US" w:eastAsia="zh-CN"/>
              </w:rPr>
              <w:t>60</w:t>
            </w:r>
            <w:r>
              <w:rPr>
                <w:color w:val="auto"/>
                <w:sz w:val="22"/>
                <w:szCs w:val="22"/>
                <w:highlight w:val="none"/>
              </w:rPr>
              <w:t>℃</w:t>
            </w:r>
          </w:p>
        </w:tc>
        <w:tc>
          <w:tcPr>
            <w:tcW w:w="2318" w:type="dxa"/>
            <w:vAlign w:val="center"/>
          </w:tcPr>
          <w:p w14:paraId="4D15569E">
            <w:pPr>
              <w:jc w:val="center"/>
              <w:rPr>
                <w:color w:val="auto"/>
                <w:kern w:val="0"/>
                <w:sz w:val="22"/>
                <w:szCs w:val="22"/>
                <w:highlight w:val="none"/>
              </w:rPr>
            </w:pPr>
            <w:r>
              <w:rPr>
                <w:rFonts w:hint="eastAsia"/>
                <w:color w:val="auto"/>
                <w:kern w:val="0"/>
                <w:sz w:val="22"/>
                <w:szCs w:val="22"/>
                <w:highlight w:val="none"/>
              </w:rPr>
              <w:t>型号</w:t>
            </w:r>
          </w:p>
        </w:tc>
        <w:tc>
          <w:tcPr>
            <w:tcW w:w="2448" w:type="dxa"/>
            <w:vAlign w:val="center"/>
          </w:tcPr>
          <w:p w14:paraId="77FDD162">
            <w:pPr>
              <w:jc w:val="center"/>
              <w:rPr>
                <w:rFonts w:hint="default" w:eastAsia="宋体"/>
                <w:color w:val="auto"/>
                <w:sz w:val="22"/>
                <w:szCs w:val="22"/>
                <w:highlight w:val="none"/>
                <w:lang w:val="en-US" w:eastAsia="zh-CN"/>
              </w:rPr>
            </w:pPr>
            <w:r>
              <w:rPr>
                <w:rFonts w:hint="eastAsia"/>
                <w:color w:val="auto"/>
                <w:sz w:val="22"/>
                <w:szCs w:val="22"/>
                <w:highlight w:val="none"/>
                <w:lang w:val="en-US" w:eastAsia="zh-CN"/>
              </w:rPr>
              <w:t>CDZL1.4-85/60-SCII</w:t>
            </w:r>
          </w:p>
        </w:tc>
      </w:tr>
      <w:tr w14:paraId="7B2AEEC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00" w:type="dxa"/>
            <w:vAlign w:val="center"/>
          </w:tcPr>
          <w:p w14:paraId="13914AD0">
            <w:pPr>
              <w:jc w:val="center"/>
              <w:rPr>
                <w:color w:val="auto"/>
                <w:kern w:val="0"/>
                <w:sz w:val="22"/>
                <w:szCs w:val="22"/>
                <w:highlight w:val="none"/>
              </w:rPr>
            </w:pPr>
            <w:r>
              <w:rPr>
                <w:color w:val="auto"/>
                <w:kern w:val="0"/>
                <w:sz w:val="22"/>
                <w:szCs w:val="22"/>
                <w:highlight w:val="none"/>
              </w:rPr>
              <w:t>燃</w:t>
            </w:r>
            <w:r>
              <w:rPr>
                <w:rFonts w:hint="eastAsia"/>
                <w:color w:val="auto"/>
                <w:kern w:val="0"/>
                <w:sz w:val="22"/>
                <w:szCs w:val="22"/>
                <w:highlight w:val="none"/>
                <w:lang w:eastAsia="zh-CN"/>
              </w:rPr>
              <w:t>料</w:t>
            </w:r>
            <w:r>
              <w:rPr>
                <w:color w:val="auto"/>
                <w:kern w:val="0"/>
                <w:sz w:val="22"/>
                <w:szCs w:val="22"/>
                <w:highlight w:val="none"/>
              </w:rPr>
              <w:t>耗量</w:t>
            </w:r>
          </w:p>
        </w:tc>
        <w:tc>
          <w:tcPr>
            <w:tcW w:w="1462" w:type="dxa"/>
            <w:vAlign w:val="center"/>
          </w:tcPr>
          <w:p w14:paraId="1F5BBAC1">
            <w:pPr>
              <w:widowControl/>
              <w:jc w:val="center"/>
              <w:rPr>
                <w:color w:val="auto"/>
                <w:sz w:val="22"/>
                <w:szCs w:val="22"/>
                <w:highlight w:val="none"/>
              </w:rPr>
            </w:pPr>
            <w:r>
              <w:rPr>
                <w:rFonts w:hint="eastAsia"/>
                <w:color w:val="auto"/>
                <w:sz w:val="22"/>
                <w:szCs w:val="22"/>
                <w:highlight w:val="none"/>
                <w:lang w:val="en-US" w:eastAsia="zh-CN"/>
              </w:rPr>
              <w:t>338</w:t>
            </w:r>
            <w:r>
              <w:rPr>
                <w:color w:val="auto"/>
                <w:sz w:val="22"/>
                <w:szCs w:val="22"/>
                <w:highlight w:val="none"/>
              </w:rPr>
              <w:t>kg/h</w:t>
            </w:r>
          </w:p>
        </w:tc>
        <w:tc>
          <w:tcPr>
            <w:tcW w:w="2318" w:type="dxa"/>
            <w:vAlign w:val="center"/>
          </w:tcPr>
          <w:p w14:paraId="780525C2">
            <w:pPr>
              <w:jc w:val="center"/>
              <w:rPr>
                <w:color w:val="auto"/>
                <w:kern w:val="0"/>
                <w:sz w:val="22"/>
                <w:szCs w:val="22"/>
                <w:highlight w:val="none"/>
              </w:rPr>
            </w:pPr>
            <w:r>
              <w:rPr>
                <w:color w:val="auto"/>
                <w:kern w:val="0"/>
                <w:sz w:val="22"/>
                <w:szCs w:val="22"/>
                <w:highlight w:val="none"/>
              </w:rPr>
              <w:t>燃料</w:t>
            </w:r>
          </w:p>
        </w:tc>
        <w:tc>
          <w:tcPr>
            <w:tcW w:w="2448" w:type="dxa"/>
            <w:vAlign w:val="center"/>
          </w:tcPr>
          <w:p w14:paraId="4DE0F795">
            <w:pPr>
              <w:jc w:val="center"/>
              <w:rPr>
                <w:rFonts w:hint="eastAsia" w:eastAsia="宋体"/>
                <w:color w:val="auto"/>
                <w:sz w:val="22"/>
                <w:szCs w:val="22"/>
                <w:highlight w:val="none"/>
                <w:lang w:eastAsia="zh-CN"/>
              </w:rPr>
            </w:pPr>
            <w:r>
              <w:rPr>
                <w:rFonts w:hint="eastAsia"/>
                <w:color w:val="auto"/>
                <w:sz w:val="22"/>
                <w:szCs w:val="22"/>
                <w:highlight w:val="none"/>
                <w:lang w:eastAsia="zh-CN"/>
              </w:rPr>
              <w:t>生物质成型燃料</w:t>
            </w:r>
          </w:p>
        </w:tc>
      </w:tr>
      <w:tr w14:paraId="57BB94A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00" w:type="dxa"/>
            <w:vAlign w:val="center"/>
          </w:tcPr>
          <w:p w14:paraId="689C0475">
            <w:pPr>
              <w:jc w:val="center"/>
              <w:rPr>
                <w:color w:val="auto"/>
                <w:kern w:val="0"/>
                <w:szCs w:val="21"/>
                <w:highlight w:val="none"/>
              </w:rPr>
            </w:pPr>
            <w:r>
              <w:rPr>
                <w:rFonts w:hint="eastAsia"/>
                <w:color w:val="auto"/>
                <w:szCs w:val="21"/>
                <w:highlight w:val="none"/>
                <w:lang w:val="en-US" w:eastAsia="zh-CN"/>
              </w:rPr>
              <w:t>额定</w:t>
            </w:r>
            <w:r>
              <w:rPr>
                <w:color w:val="auto"/>
                <w:kern w:val="0"/>
                <w:szCs w:val="21"/>
                <w:highlight w:val="none"/>
              </w:rPr>
              <w:t>热效率</w:t>
            </w:r>
          </w:p>
        </w:tc>
        <w:tc>
          <w:tcPr>
            <w:tcW w:w="1462" w:type="dxa"/>
            <w:vAlign w:val="center"/>
          </w:tcPr>
          <w:p w14:paraId="68EBCF0E">
            <w:pPr>
              <w:jc w:val="center"/>
              <w:rPr>
                <w:color w:val="auto"/>
                <w:szCs w:val="21"/>
                <w:highlight w:val="none"/>
              </w:rPr>
            </w:pPr>
            <w:r>
              <w:rPr>
                <w:rFonts w:hint="eastAsia"/>
                <w:color w:val="auto"/>
                <w:szCs w:val="21"/>
                <w:highlight w:val="none"/>
                <w:lang w:val="en-US" w:eastAsia="zh-CN"/>
              </w:rPr>
              <w:t>77.4</w:t>
            </w:r>
            <w:r>
              <w:rPr>
                <w:color w:val="auto"/>
                <w:szCs w:val="21"/>
                <w:highlight w:val="none"/>
              </w:rPr>
              <w:t>%</w:t>
            </w:r>
          </w:p>
        </w:tc>
        <w:tc>
          <w:tcPr>
            <w:tcW w:w="2318" w:type="dxa"/>
            <w:vAlign w:val="center"/>
          </w:tcPr>
          <w:p w14:paraId="53CFA1AA">
            <w:pPr>
              <w:jc w:val="center"/>
              <w:rPr>
                <w:rFonts w:hint="eastAsia" w:eastAsia="宋体"/>
                <w:color w:val="auto"/>
                <w:kern w:val="0"/>
                <w:szCs w:val="21"/>
                <w:highlight w:val="none"/>
                <w:lang w:eastAsia="zh-CN"/>
              </w:rPr>
            </w:pPr>
            <w:r>
              <w:rPr>
                <w:rFonts w:hint="eastAsia"/>
                <w:color w:val="auto"/>
                <w:kern w:val="0"/>
                <w:szCs w:val="21"/>
                <w:highlight w:val="none"/>
                <w:lang w:eastAsia="zh-CN"/>
              </w:rPr>
              <w:t>炉排面积</w:t>
            </w:r>
          </w:p>
        </w:tc>
        <w:tc>
          <w:tcPr>
            <w:tcW w:w="2448" w:type="dxa"/>
            <w:vAlign w:val="center"/>
          </w:tcPr>
          <w:p w14:paraId="59BF6F4C">
            <w:pPr>
              <w:jc w:val="center"/>
              <w:rPr>
                <w:rFonts w:hint="default" w:eastAsia="宋体"/>
                <w:color w:val="auto"/>
                <w:szCs w:val="21"/>
                <w:highlight w:val="none"/>
                <w:lang w:val="en-US" w:eastAsia="zh-CN"/>
              </w:rPr>
            </w:pPr>
            <w:r>
              <w:rPr>
                <w:rFonts w:hint="eastAsia"/>
                <w:color w:val="auto"/>
                <w:szCs w:val="21"/>
                <w:highlight w:val="none"/>
                <w:lang w:val="en-US" w:eastAsia="zh-CN"/>
              </w:rPr>
              <w:t>3.66m</w:t>
            </w:r>
            <w:r>
              <w:rPr>
                <w:rFonts w:hint="eastAsia"/>
                <w:color w:val="auto"/>
                <w:szCs w:val="21"/>
                <w:highlight w:val="none"/>
                <w:vertAlign w:val="superscript"/>
                <w:lang w:val="en-US" w:eastAsia="zh-CN"/>
              </w:rPr>
              <w:t>2</w:t>
            </w:r>
          </w:p>
        </w:tc>
      </w:tr>
    </w:tbl>
    <w:p w14:paraId="49EF7940">
      <w:pPr>
        <w:pStyle w:val="4"/>
        <w:snapToGrid w:val="0"/>
        <w:spacing w:before="0"/>
        <w:rPr>
          <w:rFonts w:ascii="Times New Roman" w:hAnsi="Times New Roman" w:eastAsia="宋体"/>
          <w:bCs/>
          <w:color w:val="auto"/>
          <w:sz w:val="28"/>
          <w:szCs w:val="28"/>
        </w:rPr>
      </w:pPr>
      <w:bookmarkStart w:id="171" w:name="_Toc31359"/>
      <w:r>
        <w:rPr>
          <w:rFonts w:hint="eastAsia" w:ascii="Times New Roman" w:hAnsi="Times New Roman" w:eastAsia="宋体"/>
          <w:bCs/>
          <w:color w:val="auto"/>
          <w:sz w:val="28"/>
          <w:szCs w:val="28"/>
        </w:rPr>
        <w:t>3.</w:t>
      </w:r>
      <w:r>
        <w:rPr>
          <w:rFonts w:hint="eastAsia" w:ascii="Times New Roman" w:hAnsi="Times New Roman" w:eastAsia="宋体"/>
          <w:bCs/>
          <w:color w:val="auto"/>
          <w:sz w:val="28"/>
          <w:szCs w:val="28"/>
          <w:lang w:val="en-US" w:eastAsia="zh-CN"/>
        </w:rPr>
        <w:t>2</w:t>
      </w:r>
      <w:r>
        <w:rPr>
          <w:rFonts w:hint="eastAsia" w:ascii="Times New Roman" w:hAnsi="Times New Roman" w:eastAsia="宋体"/>
          <w:bCs/>
          <w:color w:val="auto"/>
          <w:sz w:val="28"/>
          <w:szCs w:val="28"/>
        </w:rPr>
        <w:t>.4项目建构筑物情况</w:t>
      </w:r>
      <w:bookmarkEnd w:id="171"/>
    </w:p>
    <w:p w14:paraId="08C94C4F">
      <w:pPr>
        <w:pStyle w:val="16"/>
        <w:spacing w:line="360" w:lineRule="auto"/>
        <w:ind w:firstLine="480" w:firstLineChars="200"/>
        <w:rPr>
          <w:rFonts w:hint="default" w:eastAsia="宋体"/>
          <w:color w:val="auto"/>
          <w:sz w:val="24"/>
          <w:lang w:val="en-US" w:eastAsia="zh-CN"/>
        </w:rPr>
      </w:pPr>
      <w:r>
        <w:rPr>
          <w:color w:val="auto"/>
          <w:sz w:val="24"/>
        </w:rPr>
        <w:t>项目建构筑物情况见表</w:t>
      </w:r>
      <w:r>
        <w:rPr>
          <w:rFonts w:hint="eastAsia"/>
          <w:color w:val="auto"/>
          <w:sz w:val="24"/>
          <w:lang w:val="en-US" w:eastAsia="zh-CN"/>
        </w:rPr>
        <w:t>3.2-9</w:t>
      </w:r>
    </w:p>
    <w:p w14:paraId="479996ED">
      <w:pPr>
        <w:jc w:val="center"/>
        <w:rPr>
          <w:b/>
          <w:color w:val="auto"/>
          <w:szCs w:val="21"/>
        </w:rPr>
      </w:pPr>
      <w:r>
        <w:rPr>
          <w:b/>
          <w:color w:val="auto"/>
          <w:szCs w:val="21"/>
        </w:rPr>
        <w:t>表</w:t>
      </w:r>
      <w:r>
        <w:rPr>
          <w:rFonts w:hint="eastAsia"/>
          <w:b/>
          <w:color w:val="auto"/>
          <w:szCs w:val="21"/>
          <w:lang w:val="en-US" w:eastAsia="zh-CN"/>
        </w:rPr>
        <w:t xml:space="preserve">3.2-9 </w:t>
      </w:r>
      <w:r>
        <w:rPr>
          <w:rFonts w:hint="eastAsia"/>
          <w:b/>
          <w:color w:val="auto"/>
          <w:szCs w:val="21"/>
        </w:rPr>
        <w:t xml:space="preserve">  </w:t>
      </w:r>
      <w:r>
        <w:rPr>
          <w:b/>
          <w:color w:val="auto"/>
          <w:szCs w:val="21"/>
        </w:rPr>
        <w:t xml:space="preserve"> 建构筑物情况</w:t>
      </w:r>
      <w:r>
        <w:rPr>
          <w:rFonts w:hint="eastAsia"/>
          <w:b/>
          <w:color w:val="auto"/>
          <w:szCs w:val="21"/>
        </w:rPr>
        <w:t>一览表</w:t>
      </w:r>
    </w:p>
    <w:tbl>
      <w:tblPr>
        <w:tblStyle w:val="53"/>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2"/>
        <w:gridCol w:w="1020"/>
        <w:gridCol w:w="1665"/>
        <w:gridCol w:w="1635"/>
        <w:gridCol w:w="780"/>
        <w:gridCol w:w="2023"/>
      </w:tblGrid>
      <w:tr w14:paraId="71BDCB3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46666B55">
            <w:pPr>
              <w:snapToGrid w:val="0"/>
              <w:jc w:val="center"/>
              <w:rPr>
                <w:rFonts w:hint="eastAsia" w:eastAsia="宋体"/>
                <w:color w:val="auto"/>
                <w:szCs w:val="21"/>
                <w:lang w:eastAsia="zh-CN"/>
              </w:rPr>
            </w:pPr>
            <w:r>
              <w:rPr>
                <w:rFonts w:hint="eastAsia"/>
                <w:color w:val="auto"/>
                <w:szCs w:val="21"/>
              </w:rPr>
              <w:t>区域</w:t>
            </w:r>
            <w:r>
              <w:rPr>
                <w:rFonts w:hint="eastAsia"/>
                <w:color w:val="auto"/>
                <w:szCs w:val="21"/>
                <w:lang w:eastAsia="zh-CN"/>
              </w:rPr>
              <w:t>名称</w:t>
            </w:r>
          </w:p>
        </w:tc>
        <w:tc>
          <w:tcPr>
            <w:tcW w:w="598" w:type="pct"/>
            <w:vAlign w:val="center"/>
          </w:tcPr>
          <w:p w14:paraId="2C49A090">
            <w:pPr>
              <w:snapToGrid w:val="0"/>
              <w:jc w:val="center"/>
              <w:rPr>
                <w:rFonts w:hint="eastAsia" w:eastAsia="宋体"/>
                <w:color w:val="auto"/>
                <w:szCs w:val="21"/>
                <w:lang w:eastAsia="zh-CN"/>
              </w:rPr>
            </w:pPr>
            <w:r>
              <w:rPr>
                <w:rFonts w:hint="eastAsia"/>
                <w:color w:val="auto"/>
                <w:szCs w:val="21"/>
                <w:lang w:eastAsia="zh-CN"/>
              </w:rPr>
              <w:t>数量</w:t>
            </w:r>
          </w:p>
        </w:tc>
        <w:tc>
          <w:tcPr>
            <w:tcW w:w="976" w:type="pct"/>
            <w:vAlign w:val="center"/>
          </w:tcPr>
          <w:p w14:paraId="525E5A39">
            <w:pPr>
              <w:snapToGrid w:val="0"/>
              <w:jc w:val="center"/>
              <w:rPr>
                <w:rFonts w:hint="eastAsia" w:eastAsia="宋体"/>
                <w:color w:val="auto"/>
                <w:szCs w:val="21"/>
                <w:lang w:eastAsia="zh-CN"/>
              </w:rPr>
            </w:pPr>
            <w:r>
              <w:rPr>
                <w:rFonts w:hint="eastAsia"/>
                <w:color w:val="auto"/>
                <w:szCs w:val="21"/>
              </w:rPr>
              <w:t>建筑面积</w:t>
            </w:r>
            <w:r>
              <w:rPr>
                <w:rFonts w:hint="eastAsia"/>
                <w:color w:val="auto"/>
                <w:szCs w:val="21"/>
                <w:lang w:eastAsia="zh-CN"/>
              </w:rPr>
              <w:t>（</w:t>
            </w:r>
            <w:r>
              <w:rPr>
                <w:rFonts w:hint="eastAsia"/>
                <w:color w:val="auto"/>
                <w:szCs w:val="21"/>
              </w:rPr>
              <w:t>m</w:t>
            </w:r>
            <w:r>
              <w:rPr>
                <w:rFonts w:hint="eastAsia"/>
                <w:color w:val="auto"/>
                <w:szCs w:val="21"/>
                <w:vertAlign w:val="superscript"/>
              </w:rPr>
              <w:t>2</w:t>
            </w:r>
            <w:r>
              <w:rPr>
                <w:rFonts w:hint="eastAsia"/>
                <w:color w:val="auto"/>
                <w:szCs w:val="21"/>
                <w:lang w:eastAsia="zh-CN"/>
              </w:rPr>
              <w:t>）</w:t>
            </w:r>
          </w:p>
        </w:tc>
        <w:tc>
          <w:tcPr>
            <w:tcW w:w="958" w:type="pct"/>
            <w:vAlign w:val="center"/>
          </w:tcPr>
          <w:p w14:paraId="560CD4C2">
            <w:pPr>
              <w:snapToGrid w:val="0"/>
              <w:jc w:val="center"/>
              <w:rPr>
                <w:color w:val="auto"/>
                <w:szCs w:val="21"/>
              </w:rPr>
            </w:pPr>
            <w:r>
              <w:rPr>
                <w:rFonts w:hint="eastAsia"/>
                <w:color w:val="auto"/>
                <w:szCs w:val="21"/>
              </w:rPr>
              <w:t>占地面积</w:t>
            </w:r>
            <w:r>
              <w:rPr>
                <w:rFonts w:hint="eastAsia"/>
                <w:color w:val="auto"/>
                <w:szCs w:val="21"/>
                <w:lang w:eastAsia="zh-CN"/>
              </w:rPr>
              <w:t>（</w:t>
            </w:r>
            <w:r>
              <w:rPr>
                <w:rFonts w:hint="eastAsia"/>
                <w:color w:val="auto"/>
                <w:szCs w:val="21"/>
              </w:rPr>
              <w:t>m</w:t>
            </w:r>
            <w:r>
              <w:rPr>
                <w:rFonts w:hint="eastAsia"/>
                <w:color w:val="auto"/>
                <w:szCs w:val="21"/>
                <w:vertAlign w:val="superscript"/>
              </w:rPr>
              <w:t>2</w:t>
            </w:r>
            <w:r>
              <w:rPr>
                <w:rFonts w:hint="eastAsia"/>
                <w:color w:val="auto"/>
                <w:szCs w:val="21"/>
                <w:lang w:eastAsia="zh-CN"/>
              </w:rPr>
              <w:t>）</w:t>
            </w:r>
          </w:p>
        </w:tc>
        <w:tc>
          <w:tcPr>
            <w:tcW w:w="457" w:type="pct"/>
            <w:vAlign w:val="center"/>
          </w:tcPr>
          <w:p w14:paraId="535338FB">
            <w:pPr>
              <w:snapToGrid w:val="0"/>
              <w:jc w:val="center"/>
              <w:rPr>
                <w:color w:val="auto"/>
                <w:szCs w:val="21"/>
              </w:rPr>
            </w:pPr>
            <w:r>
              <w:rPr>
                <w:rFonts w:hint="eastAsia"/>
                <w:color w:val="auto"/>
                <w:szCs w:val="21"/>
              </w:rPr>
              <w:t>层数</w:t>
            </w:r>
          </w:p>
        </w:tc>
        <w:tc>
          <w:tcPr>
            <w:tcW w:w="1186" w:type="pct"/>
            <w:vAlign w:val="center"/>
          </w:tcPr>
          <w:p w14:paraId="7C643826">
            <w:pPr>
              <w:snapToGrid w:val="0"/>
              <w:jc w:val="center"/>
              <w:rPr>
                <w:color w:val="auto"/>
                <w:szCs w:val="21"/>
              </w:rPr>
            </w:pPr>
            <w:r>
              <w:rPr>
                <w:rFonts w:hint="eastAsia"/>
                <w:color w:val="auto"/>
                <w:szCs w:val="21"/>
              </w:rPr>
              <w:t>备注</w:t>
            </w:r>
          </w:p>
        </w:tc>
      </w:tr>
      <w:tr w14:paraId="1AF45AE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67206DE6">
            <w:pPr>
              <w:widowControl/>
              <w:jc w:val="center"/>
              <w:textAlignment w:val="center"/>
              <w:rPr>
                <w:color w:val="auto"/>
                <w:szCs w:val="21"/>
              </w:rPr>
            </w:pPr>
            <w:r>
              <w:rPr>
                <w:rFonts w:hint="eastAsia"/>
                <w:color w:val="auto"/>
                <w:kern w:val="0"/>
                <w:szCs w:val="21"/>
              </w:rPr>
              <w:t>1#-</w:t>
            </w:r>
            <w:r>
              <w:rPr>
                <w:rFonts w:hint="eastAsia"/>
                <w:color w:val="auto"/>
                <w:kern w:val="0"/>
                <w:szCs w:val="21"/>
                <w:lang w:val="en-US" w:eastAsia="zh-CN"/>
              </w:rPr>
              <w:t>8</w:t>
            </w:r>
            <w:r>
              <w:rPr>
                <w:rFonts w:hint="eastAsia"/>
                <w:color w:val="auto"/>
                <w:kern w:val="0"/>
                <w:szCs w:val="21"/>
              </w:rPr>
              <w:t>#</w:t>
            </w:r>
            <w:r>
              <w:rPr>
                <w:rFonts w:hint="eastAsia"/>
                <w:color w:val="auto"/>
                <w:szCs w:val="21"/>
              </w:rPr>
              <w:t>鸡舍</w:t>
            </w:r>
          </w:p>
        </w:tc>
        <w:tc>
          <w:tcPr>
            <w:tcW w:w="598" w:type="pct"/>
            <w:vAlign w:val="center"/>
          </w:tcPr>
          <w:p w14:paraId="369BBB3F">
            <w:pPr>
              <w:widowControl/>
              <w:jc w:val="center"/>
              <w:rPr>
                <w:rFonts w:hint="eastAsia" w:eastAsia="宋体"/>
                <w:color w:val="auto"/>
                <w:kern w:val="0"/>
                <w:szCs w:val="21"/>
                <w:lang w:eastAsia="zh-CN"/>
              </w:rPr>
            </w:pPr>
            <w:r>
              <w:rPr>
                <w:rFonts w:hint="eastAsia"/>
                <w:color w:val="auto"/>
                <w:kern w:val="0"/>
                <w:szCs w:val="21"/>
                <w:lang w:val="en-US" w:eastAsia="zh-CN"/>
              </w:rPr>
              <w:t>8座</w:t>
            </w:r>
          </w:p>
        </w:tc>
        <w:tc>
          <w:tcPr>
            <w:tcW w:w="976" w:type="pct"/>
            <w:vAlign w:val="center"/>
          </w:tcPr>
          <w:p w14:paraId="70CDAA7B">
            <w:pPr>
              <w:jc w:val="center"/>
              <w:rPr>
                <w:rFonts w:hint="default"/>
                <w:color w:val="auto"/>
                <w:kern w:val="0"/>
                <w:szCs w:val="21"/>
                <w:lang w:val="en-US"/>
              </w:rPr>
            </w:pPr>
            <w:r>
              <w:rPr>
                <w:rFonts w:hint="eastAsia"/>
                <w:color w:val="auto"/>
                <w:szCs w:val="21"/>
                <w:lang w:val="en-US" w:eastAsia="zh-CN"/>
              </w:rPr>
              <w:t>8</w:t>
            </w:r>
            <w:r>
              <w:rPr>
                <w:rFonts w:hint="eastAsia"/>
                <w:color w:val="auto"/>
                <w:szCs w:val="21"/>
              </w:rPr>
              <w:t>×</w:t>
            </w:r>
            <w:r>
              <w:rPr>
                <w:rFonts w:hint="eastAsia"/>
                <w:color w:val="auto"/>
                <w:szCs w:val="21"/>
                <w:lang w:val="en-US" w:eastAsia="zh-CN"/>
              </w:rPr>
              <w:t>3537.82=28302.56</w:t>
            </w:r>
          </w:p>
        </w:tc>
        <w:tc>
          <w:tcPr>
            <w:tcW w:w="958" w:type="pct"/>
            <w:vAlign w:val="center"/>
          </w:tcPr>
          <w:p w14:paraId="4FF9F541">
            <w:pPr>
              <w:jc w:val="center"/>
              <w:rPr>
                <w:rFonts w:hint="default"/>
                <w:color w:val="auto"/>
                <w:szCs w:val="21"/>
                <w:lang w:val="en-US"/>
              </w:rPr>
            </w:pPr>
            <w:r>
              <w:rPr>
                <w:rFonts w:hint="eastAsia"/>
                <w:color w:val="auto"/>
                <w:szCs w:val="21"/>
                <w:lang w:val="en-US" w:eastAsia="zh-CN"/>
              </w:rPr>
              <w:t>8</w:t>
            </w:r>
            <w:r>
              <w:rPr>
                <w:rFonts w:hint="eastAsia"/>
                <w:color w:val="auto"/>
                <w:szCs w:val="21"/>
              </w:rPr>
              <w:t>×</w:t>
            </w:r>
            <w:r>
              <w:rPr>
                <w:rFonts w:hint="eastAsia"/>
                <w:color w:val="auto"/>
                <w:szCs w:val="21"/>
                <w:lang w:val="en-US" w:eastAsia="zh-CN"/>
              </w:rPr>
              <w:t>1650</w:t>
            </w:r>
          </w:p>
        </w:tc>
        <w:tc>
          <w:tcPr>
            <w:tcW w:w="457" w:type="pct"/>
            <w:vAlign w:val="center"/>
          </w:tcPr>
          <w:p w14:paraId="5F01FEF6">
            <w:pPr>
              <w:jc w:val="center"/>
              <w:rPr>
                <w:rFonts w:hint="default" w:eastAsia="宋体"/>
                <w:color w:val="auto"/>
                <w:szCs w:val="21"/>
                <w:lang w:val="en-US" w:eastAsia="zh-CN"/>
              </w:rPr>
            </w:pPr>
            <w:r>
              <w:rPr>
                <w:rFonts w:hint="eastAsia"/>
                <w:color w:val="auto"/>
                <w:szCs w:val="21"/>
              </w:rPr>
              <w:t>1F</w:t>
            </w:r>
            <w:r>
              <w:rPr>
                <w:rFonts w:hint="eastAsia"/>
                <w:color w:val="auto"/>
                <w:szCs w:val="21"/>
                <w:lang w:eastAsia="zh-CN"/>
              </w:rPr>
              <w:t>，东侧</w:t>
            </w:r>
            <w:r>
              <w:rPr>
                <w:rFonts w:hint="eastAsia"/>
                <w:color w:val="auto"/>
                <w:szCs w:val="21"/>
                <w:lang w:val="en-US" w:eastAsia="zh-CN"/>
              </w:rPr>
              <w:t>2F</w:t>
            </w:r>
          </w:p>
        </w:tc>
        <w:tc>
          <w:tcPr>
            <w:tcW w:w="1186" w:type="pct"/>
            <w:vAlign w:val="center"/>
          </w:tcPr>
          <w:p w14:paraId="13C98DC6">
            <w:pPr>
              <w:jc w:val="center"/>
              <w:rPr>
                <w:rFonts w:hint="default" w:eastAsia="宋体"/>
                <w:color w:val="auto"/>
                <w:szCs w:val="21"/>
                <w:lang w:val="en-US" w:eastAsia="zh-CN"/>
              </w:rPr>
            </w:pPr>
            <w:r>
              <w:rPr>
                <w:rFonts w:hint="eastAsia"/>
                <w:color w:val="auto"/>
                <w:szCs w:val="21"/>
                <w:lang w:eastAsia="zh-CN"/>
              </w:rPr>
              <w:t>砖混墙体</w:t>
            </w:r>
            <w:r>
              <w:rPr>
                <w:rFonts w:hint="eastAsia"/>
                <w:color w:val="auto"/>
                <w:szCs w:val="21"/>
                <w:lang w:val="en-US" w:eastAsia="zh-CN"/>
              </w:rPr>
              <w:t>+彩钢板顶</w:t>
            </w:r>
          </w:p>
        </w:tc>
      </w:tr>
      <w:tr w14:paraId="10E559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3C013554">
            <w:pPr>
              <w:widowControl/>
              <w:jc w:val="center"/>
              <w:textAlignment w:val="center"/>
              <w:rPr>
                <w:rFonts w:hint="eastAsia" w:eastAsia="宋体"/>
                <w:color w:val="auto"/>
                <w:szCs w:val="21"/>
                <w:lang w:eastAsia="zh-CN"/>
              </w:rPr>
            </w:pPr>
            <w:r>
              <w:rPr>
                <w:rFonts w:hint="eastAsia"/>
                <w:color w:val="auto"/>
                <w:szCs w:val="21"/>
                <w:lang w:eastAsia="zh-CN"/>
              </w:rPr>
              <w:t>办公室</w:t>
            </w:r>
          </w:p>
        </w:tc>
        <w:tc>
          <w:tcPr>
            <w:tcW w:w="598" w:type="pct"/>
            <w:vAlign w:val="center"/>
          </w:tcPr>
          <w:p w14:paraId="12677C96">
            <w:pPr>
              <w:widowControl/>
              <w:jc w:val="center"/>
              <w:rPr>
                <w:rFonts w:hint="eastAsia" w:eastAsia="宋体"/>
                <w:color w:val="auto"/>
                <w:kern w:val="0"/>
                <w:szCs w:val="21"/>
                <w:lang w:val="en-US" w:eastAsia="zh-CN"/>
              </w:rPr>
            </w:pPr>
            <w:r>
              <w:rPr>
                <w:rFonts w:hint="eastAsia"/>
                <w:color w:val="auto"/>
                <w:kern w:val="0"/>
                <w:szCs w:val="21"/>
                <w:lang w:val="en-US" w:eastAsia="zh-CN"/>
              </w:rPr>
              <w:t>1座</w:t>
            </w:r>
          </w:p>
        </w:tc>
        <w:tc>
          <w:tcPr>
            <w:tcW w:w="976" w:type="pct"/>
            <w:vAlign w:val="center"/>
          </w:tcPr>
          <w:p w14:paraId="6E3622ED">
            <w:pPr>
              <w:jc w:val="center"/>
              <w:rPr>
                <w:rFonts w:hint="default"/>
                <w:color w:val="auto"/>
                <w:szCs w:val="21"/>
                <w:lang w:val="en-US"/>
              </w:rPr>
            </w:pPr>
            <w:r>
              <w:rPr>
                <w:rFonts w:hint="eastAsia"/>
                <w:color w:val="auto"/>
                <w:szCs w:val="21"/>
                <w:lang w:val="en-US" w:eastAsia="zh-CN"/>
              </w:rPr>
              <w:t>998.40</w:t>
            </w:r>
          </w:p>
        </w:tc>
        <w:tc>
          <w:tcPr>
            <w:tcW w:w="958" w:type="pct"/>
            <w:vAlign w:val="center"/>
          </w:tcPr>
          <w:p w14:paraId="453019DF">
            <w:pPr>
              <w:jc w:val="center"/>
              <w:rPr>
                <w:rFonts w:hint="default"/>
                <w:color w:val="auto"/>
                <w:szCs w:val="21"/>
                <w:lang w:val="en-US"/>
              </w:rPr>
            </w:pPr>
            <w:r>
              <w:rPr>
                <w:rFonts w:hint="eastAsia"/>
                <w:color w:val="auto"/>
                <w:szCs w:val="21"/>
                <w:lang w:val="en-US" w:eastAsia="zh-CN"/>
              </w:rPr>
              <w:t>998.40</w:t>
            </w:r>
          </w:p>
        </w:tc>
        <w:tc>
          <w:tcPr>
            <w:tcW w:w="457" w:type="pct"/>
            <w:vAlign w:val="center"/>
          </w:tcPr>
          <w:p w14:paraId="3BB836CF">
            <w:pPr>
              <w:jc w:val="center"/>
              <w:rPr>
                <w:color w:val="auto"/>
                <w:szCs w:val="21"/>
              </w:rPr>
            </w:pPr>
            <w:r>
              <w:rPr>
                <w:rFonts w:hint="eastAsia"/>
                <w:color w:val="auto"/>
                <w:szCs w:val="21"/>
              </w:rPr>
              <w:t>1F</w:t>
            </w:r>
          </w:p>
        </w:tc>
        <w:tc>
          <w:tcPr>
            <w:tcW w:w="1186" w:type="pct"/>
            <w:vAlign w:val="center"/>
          </w:tcPr>
          <w:p w14:paraId="59F6D0BC">
            <w:pPr>
              <w:jc w:val="center"/>
              <w:rPr>
                <w:color w:val="auto"/>
                <w:szCs w:val="21"/>
              </w:rPr>
            </w:pPr>
            <w:r>
              <w:rPr>
                <w:rFonts w:hint="eastAsia"/>
                <w:color w:val="auto"/>
                <w:szCs w:val="21"/>
              </w:rPr>
              <w:t>包括食堂，</w:t>
            </w:r>
            <w:r>
              <w:rPr>
                <w:rFonts w:hint="eastAsia"/>
                <w:color w:val="auto"/>
                <w:szCs w:val="21"/>
                <w:lang w:eastAsia="zh-CN"/>
              </w:rPr>
              <w:t>办公区</w:t>
            </w:r>
            <w:r>
              <w:rPr>
                <w:rFonts w:hint="eastAsia"/>
                <w:color w:val="auto"/>
                <w:szCs w:val="21"/>
              </w:rPr>
              <w:t>等</w:t>
            </w:r>
          </w:p>
        </w:tc>
      </w:tr>
      <w:tr w14:paraId="3BBC290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044EDBD3">
            <w:pPr>
              <w:widowControl/>
              <w:jc w:val="center"/>
              <w:textAlignment w:val="center"/>
              <w:rPr>
                <w:rFonts w:hint="default"/>
                <w:color w:val="auto"/>
                <w:szCs w:val="21"/>
                <w:lang w:val="en-US" w:eastAsia="zh-CN"/>
              </w:rPr>
            </w:pPr>
            <w:r>
              <w:rPr>
                <w:rFonts w:hint="eastAsia"/>
                <w:color w:val="auto"/>
                <w:szCs w:val="21"/>
                <w:lang w:val="en-US" w:eastAsia="zh-CN"/>
              </w:rPr>
              <w:t>人员消毒室</w:t>
            </w:r>
          </w:p>
        </w:tc>
        <w:tc>
          <w:tcPr>
            <w:tcW w:w="598" w:type="pct"/>
            <w:vAlign w:val="center"/>
          </w:tcPr>
          <w:p w14:paraId="16DA2ECB">
            <w:pPr>
              <w:widowControl/>
              <w:jc w:val="center"/>
              <w:rPr>
                <w:rFonts w:hint="default"/>
                <w:color w:val="auto"/>
                <w:kern w:val="0"/>
                <w:szCs w:val="21"/>
                <w:lang w:val="en-US" w:eastAsia="zh-CN"/>
              </w:rPr>
            </w:pPr>
            <w:r>
              <w:rPr>
                <w:rFonts w:hint="eastAsia"/>
                <w:color w:val="auto"/>
                <w:kern w:val="0"/>
                <w:szCs w:val="21"/>
                <w:lang w:val="en-US" w:eastAsia="zh-CN"/>
              </w:rPr>
              <w:t>1座</w:t>
            </w:r>
          </w:p>
        </w:tc>
        <w:tc>
          <w:tcPr>
            <w:tcW w:w="976" w:type="pct"/>
            <w:vAlign w:val="center"/>
          </w:tcPr>
          <w:p w14:paraId="4B7667E5">
            <w:pPr>
              <w:jc w:val="center"/>
              <w:rPr>
                <w:rFonts w:hint="default"/>
                <w:color w:val="auto"/>
                <w:szCs w:val="21"/>
                <w:lang w:val="en-US" w:eastAsia="zh-CN"/>
              </w:rPr>
            </w:pPr>
            <w:r>
              <w:rPr>
                <w:rFonts w:hint="eastAsia"/>
                <w:color w:val="auto"/>
                <w:szCs w:val="21"/>
                <w:lang w:val="en-US" w:eastAsia="zh-CN"/>
              </w:rPr>
              <w:t>157.50</w:t>
            </w:r>
          </w:p>
        </w:tc>
        <w:tc>
          <w:tcPr>
            <w:tcW w:w="958" w:type="pct"/>
            <w:vAlign w:val="center"/>
          </w:tcPr>
          <w:p w14:paraId="010F068D">
            <w:pPr>
              <w:jc w:val="center"/>
              <w:rPr>
                <w:rFonts w:hint="eastAsia"/>
                <w:color w:val="auto"/>
                <w:szCs w:val="21"/>
                <w:lang w:val="en-US" w:eastAsia="zh-CN"/>
              </w:rPr>
            </w:pPr>
            <w:r>
              <w:rPr>
                <w:rFonts w:hint="eastAsia"/>
                <w:color w:val="auto"/>
                <w:szCs w:val="21"/>
                <w:lang w:val="en-US" w:eastAsia="zh-CN"/>
              </w:rPr>
              <w:t>157.50</w:t>
            </w:r>
          </w:p>
        </w:tc>
        <w:tc>
          <w:tcPr>
            <w:tcW w:w="457" w:type="pct"/>
            <w:vAlign w:val="center"/>
          </w:tcPr>
          <w:p w14:paraId="37701DBE">
            <w:pPr>
              <w:jc w:val="center"/>
              <w:rPr>
                <w:rFonts w:hint="eastAsia"/>
                <w:color w:val="auto"/>
                <w:szCs w:val="21"/>
              </w:rPr>
            </w:pPr>
            <w:r>
              <w:rPr>
                <w:rFonts w:hint="eastAsia"/>
                <w:color w:val="auto"/>
                <w:szCs w:val="21"/>
              </w:rPr>
              <w:t>1F</w:t>
            </w:r>
          </w:p>
        </w:tc>
        <w:tc>
          <w:tcPr>
            <w:tcW w:w="1186" w:type="pct"/>
            <w:vAlign w:val="center"/>
          </w:tcPr>
          <w:p w14:paraId="097B20D8">
            <w:pPr>
              <w:jc w:val="center"/>
              <w:rPr>
                <w:rFonts w:hint="eastAsia" w:eastAsia="宋体"/>
                <w:color w:val="auto"/>
                <w:szCs w:val="21"/>
                <w:lang w:eastAsia="zh-CN"/>
              </w:rPr>
            </w:pPr>
            <w:r>
              <w:rPr>
                <w:rFonts w:hint="eastAsia"/>
                <w:color w:val="auto"/>
                <w:szCs w:val="21"/>
                <w:lang w:eastAsia="zh-CN"/>
              </w:rPr>
              <w:t>人员消毒设备</w:t>
            </w:r>
          </w:p>
        </w:tc>
      </w:tr>
      <w:tr w14:paraId="39A859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265AC92A">
            <w:pPr>
              <w:widowControl/>
              <w:jc w:val="center"/>
              <w:textAlignment w:val="center"/>
              <w:rPr>
                <w:rFonts w:hint="default"/>
                <w:color w:val="auto"/>
                <w:szCs w:val="21"/>
                <w:lang w:val="en-US" w:eastAsia="zh-CN"/>
              </w:rPr>
            </w:pPr>
            <w:r>
              <w:rPr>
                <w:rFonts w:hint="eastAsia"/>
                <w:color w:val="auto"/>
                <w:szCs w:val="21"/>
                <w:lang w:eastAsia="zh-CN"/>
              </w:rPr>
              <w:t>车辆消毒室</w:t>
            </w:r>
            <w:r>
              <w:rPr>
                <w:rFonts w:hint="eastAsia"/>
                <w:color w:val="auto"/>
                <w:szCs w:val="21"/>
                <w:lang w:val="en-US" w:eastAsia="zh-CN"/>
              </w:rPr>
              <w:t>1</w:t>
            </w:r>
          </w:p>
        </w:tc>
        <w:tc>
          <w:tcPr>
            <w:tcW w:w="598" w:type="pct"/>
            <w:vAlign w:val="center"/>
          </w:tcPr>
          <w:p w14:paraId="616E5911">
            <w:pPr>
              <w:widowControl/>
              <w:jc w:val="center"/>
              <w:rPr>
                <w:rFonts w:hint="eastAsia"/>
                <w:color w:val="auto"/>
                <w:kern w:val="0"/>
                <w:szCs w:val="21"/>
                <w:lang w:val="en-US" w:eastAsia="zh-CN"/>
              </w:rPr>
            </w:pPr>
            <w:r>
              <w:rPr>
                <w:rFonts w:hint="eastAsia"/>
                <w:color w:val="auto"/>
                <w:kern w:val="0"/>
                <w:szCs w:val="21"/>
                <w:lang w:val="en-US" w:eastAsia="zh-CN"/>
              </w:rPr>
              <w:t>1座</w:t>
            </w:r>
          </w:p>
        </w:tc>
        <w:tc>
          <w:tcPr>
            <w:tcW w:w="976" w:type="pct"/>
            <w:vAlign w:val="center"/>
          </w:tcPr>
          <w:p w14:paraId="1CDE4502">
            <w:pPr>
              <w:jc w:val="center"/>
              <w:rPr>
                <w:rFonts w:hint="default"/>
                <w:color w:val="auto"/>
                <w:szCs w:val="21"/>
                <w:lang w:val="en-US" w:eastAsia="zh-CN"/>
              </w:rPr>
            </w:pPr>
            <w:r>
              <w:rPr>
                <w:rFonts w:hint="eastAsia"/>
                <w:color w:val="auto"/>
                <w:szCs w:val="21"/>
                <w:lang w:val="en-US" w:eastAsia="zh-CN"/>
              </w:rPr>
              <w:t>186.01</w:t>
            </w:r>
          </w:p>
        </w:tc>
        <w:tc>
          <w:tcPr>
            <w:tcW w:w="958" w:type="pct"/>
            <w:vAlign w:val="center"/>
          </w:tcPr>
          <w:p w14:paraId="433E5EB8">
            <w:pPr>
              <w:jc w:val="center"/>
              <w:rPr>
                <w:rFonts w:hint="eastAsia"/>
                <w:color w:val="auto"/>
                <w:szCs w:val="21"/>
                <w:lang w:val="en-US" w:eastAsia="zh-CN"/>
              </w:rPr>
            </w:pPr>
            <w:r>
              <w:rPr>
                <w:rFonts w:hint="eastAsia"/>
                <w:color w:val="auto"/>
                <w:szCs w:val="21"/>
                <w:lang w:val="en-US" w:eastAsia="zh-CN"/>
              </w:rPr>
              <w:t>186.01</w:t>
            </w:r>
          </w:p>
        </w:tc>
        <w:tc>
          <w:tcPr>
            <w:tcW w:w="457" w:type="pct"/>
            <w:vAlign w:val="center"/>
          </w:tcPr>
          <w:p w14:paraId="6930845F">
            <w:pPr>
              <w:jc w:val="center"/>
              <w:rPr>
                <w:rFonts w:hint="eastAsia"/>
                <w:color w:val="auto"/>
                <w:szCs w:val="21"/>
              </w:rPr>
            </w:pPr>
            <w:r>
              <w:rPr>
                <w:rFonts w:hint="eastAsia"/>
                <w:color w:val="auto"/>
                <w:szCs w:val="21"/>
              </w:rPr>
              <w:t>1F</w:t>
            </w:r>
          </w:p>
        </w:tc>
        <w:tc>
          <w:tcPr>
            <w:tcW w:w="1186" w:type="pct"/>
            <w:vAlign w:val="center"/>
          </w:tcPr>
          <w:p w14:paraId="030BFC25">
            <w:pPr>
              <w:jc w:val="center"/>
              <w:rPr>
                <w:rFonts w:hint="eastAsia" w:eastAsia="宋体"/>
                <w:color w:val="auto"/>
                <w:szCs w:val="21"/>
                <w:lang w:eastAsia="zh-CN"/>
              </w:rPr>
            </w:pPr>
            <w:r>
              <w:rPr>
                <w:rFonts w:hint="eastAsia"/>
                <w:color w:val="auto"/>
                <w:szCs w:val="21"/>
                <w:lang w:eastAsia="zh-CN"/>
              </w:rPr>
              <w:t>消毒池</w:t>
            </w:r>
          </w:p>
        </w:tc>
      </w:tr>
      <w:tr w14:paraId="66E9440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19CD30FE">
            <w:pPr>
              <w:widowControl/>
              <w:jc w:val="center"/>
              <w:textAlignment w:val="center"/>
              <w:rPr>
                <w:rFonts w:hint="default"/>
                <w:color w:val="auto"/>
                <w:szCs w:val="21"/>
                <w:lang w:val="en-US" w:eastAsia="zh-CN"/>
              </w:rPr>
            </w:pPr>
            <w:r>
              <w:rPr>
                <w:rFonts w:hint="eastAsia"/>
                <w:color w:val="auto"/>
                <w:szCs w:val="21"/>
                <w:lang w:eastAsia="zh-CN"/>
              </w:rPr>
              <w:t>车辆消毒室</w:t>
            </w:r>
            <w:r>
              <w:rPr>
                <w:rFonts w:hint="eastAsia"/>
                <w:color w:val="auto"/>
                <w:szCs w:val="21"/>
                <w:lang w:val="en-US" w:eastAsia="zh-CN"/>
              </w:rPr>
              <w:t>2</w:t>
            </w:r>
          </w:p>
        </w:tc>
        <w:tc>
          <w:tcPr>
            <w:tcW w:w="598" w:type="pct"/>
            <w:vAlign w:val="center"/>
          </w:tcPr>
          <w:p w14:paraId="71393A12">
            <w:pPr>
              <w:widowControl/>
              <w:jc w:val="center"/>
              <w:rPr>
                <w:rFonts w:hint="eastAsia"/>
                <w:color w:val="auto"/>
                <w:kern w:val="0"/>
                <w:szCs w:val="21"/>
                <w:lang w:val="en-US" w:eastAsia="zh-CN"/>
              </w:rPr>
            </w:pPr>
            <w:r>
              <w:rPr>
                <w:rFonts w:hint="eastAsia"/>
                <w:color w:val="auto"/>
                <w:kern w:val="0"/>
                <w:szCs w:val="21"/>
                <w:lang w:val="en-US" w:eastAsia="zh-CN"/>
              </w:rPr>
              <w:t>1座</w:t>
            </w:r>
          </w:p>
        </w:tc>
        <w:tc>
          <w:tcPr>
            <w:tcW w:w="976" w:type="pct"/>
            <w:vAlign w:val="center"/>
          </w:tcPr>
          <w:p w14:paraId="47D0B77A">
            <w:pPr>
              <w:jc w:val="center"/>
              <w:rPr>
                <w:rFonts w:hint="default"/>
                <w:color w:val="auto"/>
                <w:szCs w:val="21"/>
                <w:lang w:val="en-US" w:eastAsia="zh-CN"/>
              </w:rPr>
            </w:pPr>
            <w:r>
              <w:rPr>
                <w:rFonts w:hint="eastAsia"/>
                <w:color w:val="auto"/>
                <w:szCs w:val="21"/>
                <w:lang w:val="en-US" w:eastAsia="zh-CN"/>
              </w:rPr>
              <w:t>186.54</w:t>
            </w:r>
          </w:p>
        </w:tc>
        <w:tc>
          <w:tcPr>
            <w:tcW w:w="958" w:type="pct"/>
            <w:vAlign w:val="center"/>
          </w:tcPr>
          <w:p w14:paraId="12FA8FEB">
            <w:pPr>
              <w:jc w:val="center"/>
              <w:rPr>
                <w:rFonts w:hint="eastAsia"/>
                <w:color w:val="auto"/>
                <w:szCs w:val="21"/>
                <w:lang w:val="en-US" w:eastAsia="zh-CN"/>
              </w:rPr>
            </w:pPr>
            <w:r>
              <w:rPr>
                <w:rFonts w:hint="eastAsia"/>
                <w:color w:val="auto"/>
                <w:szCs w:val="21"/>
                <w:lang w:val="en-US" w:eastAsia="zh-CN"/>
              </w:rPr>
              <w:t>186.54</w:t>
            </w:r>
          </w:p>
        </w:tc>
        <w:tc>
          <w:tcPr>
            <w:tcW w:w="457" w:type="pct"/>
            <w:vAlign w:val="center"/>
          </w:tcPr>
          <w:p w14:paraId="652F0D22">
            <w:pPr>
              <w:jc w:val="center"/>
              <w:rPr>
                <w:rFonts w:hint="eastAsia"/>
                <w:color w:val="auto"/>
                <w:szCs w:val="21"/>
              </w:rPr>
            </w:pPr>
            <w:r>
              <w:rPr>
                <w:rFonts w:hint="eastAsia"/>
                <w:color w:val="auto"/>
                <w:szCs w:val="21"/>
              </w:rPr>
              <w:t>1F</w:t>
            </w:r>
          </w:p>
        </w:tc>
        <w:tc>
          <w:tcPr>
            <w:tcW w:w="1186" w:type="pct"/>
            <w:vAlign w:val="center"/>
          </w:tcPr>
          <w:p w14:paraId="197A1A5C">
            <w:pPr>
              <w:jc w:val="center"/>
              <w:rPr>
                <w:rFonts w:hint="eastAsia" w:eastAsia="宋体"/>
                <w:color w:val="auto"/>
                <w:szCs w:val="21"/>
                <w:lang w:eastAsia="zh-CN"/>
              </w:rPr>
            </w:pPr>
            <w:r>
              <w:rPr>
                <w:rFonts w:hint="eastAsia"/>
                <w:color w:val="auto"/>
                <w:szCs w:val="21"/>
                <w:lang w:eastAsia="zh-CN"/>
              </w:rPr>
              <w:t>消毒池</w:t>
            </w:r>
          </w:p>
        </w:tc>
      </w:tr>
      <w:tr w14:paraId="409D72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6B9A6212">
            <w:pPr>
              <w:widowControl/>
              <w:jc w:val="center"/>
              <w:textAlignment w:val="center"/>
              <w:rPr>
                <w:rFonts w:hint="default"/>
                <w:color w:val="auto"/>
                <w:szCs w:val="21"/>
                <w:lang w:val="en-US" w:eastAsia="zh-CN"/>
              </w:rPr>
            </w:pPr>
            <w:r>
              <w:rPr>
                <w:rFonts w:hint="eastAsia"/>
                <w:color w:val="auto"/>
                <w:szCs w:val="21"/>
                <w:lang w:eastAsia="zh-CN"/>
              </w:rPr>
              <w:t>门卫</w:t>
            </w:r>
            <w:r>
              <w:rPr>
                <w:rFonts w:hint="eastAsia"/>
                <w:color w:val="auto"/>
                <w:szCs w:val="21"/>
                <w:lang w:val="en-US" w:eastAsia="zh-CN"/>
              </w:rPr>
              <w:t>1</w:t>
            </w:r>
          </w:p>
        </w:tc>
        <w:tc>
          <w:tcPr>
            <w:tcW w:w="598" w:type="pct"/>
            <w:vAlign w:val="center"/>
          </w:tcPr>
          <w:p w14:paraId="549BAC81">
            <w:pPr>
              <w:widowControl/>
              <w:jc w:val="center"/>
              <w:rPr>
                <w:rFonts w:hint="eastAsia"/>
                <w:color w:val="auto"/>
                <w:kern w:val="0"/>
                <w:szCs w:val="21"/>
                <w:lang w:val="en-US" w:eastAsia="zh-CN"/>
              </w:rPr>
            </w:pPr>
            <w:r>
              <w:rPr>
                <w:rFonts w:hint="eastAsia"/>
                <w:color w:val="auto"/>
                <w:kern w:val="0"/>
                <w:szCs w:val="21"/>
                <w:lang w:val="en-US" w:eastAsia="zh-CN"/>
              </w:rPr>
              <w:t>1座</w:t>
            </w:r>
          </w:p>
        </w:tc>
        <w:tc>
          <w:tcPr>
            <w:tcW w:w="976" w:type="pct"/>
            <w:vAlign w:val="center"/>
          </w:tcPr>
          <w:p w14:paraId="27536757">
            <w:pPr>
              <w:jc w:val="center"/>
              <w:rPr>
                <w:rFonts w:hint="default"/>
                <w:color w:val="auto"/>
                <w:szCs w:val="21"/>
                <w:lang w:val="en-US" w:eastAsia="zh-CN"/>
              </w:rPr>
            </w:pPr>
            <w:r>
              <w:rPr>
                <w:rFonts w:hint="eastAsia"/>
                <w:color w:val="auto"/>
                <w:szCs w:val="21"/>
                <w:lang w:val="en-US" w:eastAsia="zh-CN"/>
              </w:rPr>
              <w:t>54.72</w:t>
            </w:r>
          </w:p>
        </w:tc>
        <w:tc>
          <w:tcPr>
            <w:tcW w:w="958" w:type="pct"/>
            <w:vAlign w:val="center"/>
          </w:tcPr>
          <w:p w14:paraId="019EA5BC">
            <w:pPr>
              <w:jc w:val="center"/>
              <w:rPr>
                <w:rFonts w:hint="eastAsia"/>
                <w:color w:val="auto"/>
                <w:szCs w:val="21"/>
                <w:lang w:val="en-US" w:eastAsia="zh-CN"/>
              </w:rPr>
            </w:pPr>
            <w:r>
              <w:rPr>
                <w:rFonts w:hint="eastAsia"/>
                <w:color w:val="auto"/>
                <w:szCs w:val="21"/>
                <w:lang w:val="en-US" w:eastAsia="zh-CN"/>
              </w:rPr>
              <w:t>54.72</w:t>
            </w:r>
          </w:p>
        </w:tc>
        <w:tc>
          <w:tcPr>
            <w:tcW w:w="457" w:type="pct"/>
            <w:vAlign w:val="center"/>
          </w:tcPr>
          <w:p w14:paraId="4A28E6D9">
            <w:pPr>
              <w:jc w:val="center"/>
              <w:rPr>
                <w:rFonts w:hint="eastAsia"/>
                <w:color w:val="auto"/>
                <w:szCs w:val="21"/>
              </w:rPr>
            </w:pPr>
            <w:r>
              <w:rPr>
                <w:rFonts w:hint="eastAsia"/>
                <w:color w:val="auto"/>
                <w:szCs w:val="21"/>
              </w:rPr>
              <w:t>1F</w:t>
            </w:r>
          </w:p>
        </w:tc>
        <w:tc>
          <w:tcPr>
            <w:tcW w:w="1186" w:type="pct"/>
            <w:vAlign w:val="center"/>
          </w:tcPr>
          <w:p w14:paraId="0175C4D6">
            <w:pPr>
              <w:jc w:val="center"/>
              <w:rPr>
                <w:rFonts w:hint="eastAsia" w:eastAsia="宋体"/>
                <w:color w:val="auto"/>
                <w:szCs w:val="21"/>
                <w:lang w:val="en-US" w:eastAsia="zh-CN"/>
              </w:rPr>
            </w:pPr>
            <w:r>
              <w:rPr>
                <w:rFonts w:hint="eastAsia"/>
                <w:color w:val="auto"/>
                <w:szCs w:val="21"/>
                <w:lang w:val="en-US" w:eastAsia="zh-CN"/>
              </w:rPr>
              <w:t>/</w:t>
            </w:r>
          </w:p>
        </w:tc>
      </w:tr>
      <w:tr w14:paraId="2045C65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47B884C5">
            <w:pPr>
              <w:widowControl/>
              <w:jc w:val="center"/>
              <w:textAlignment w:val="center"/>
              <w:rPr>
                <w:rFonts w:hint="default"/>
                <w:color w:val="auto"/>
                <w:szCs w:val="21"/>
                <w:lang w:val="en-US" w:eastAsia="zh-CN"/>
              </w:rPr>
            </w:pPr>
            <w:r>
              <w:rPr>
                <w:rFonts w:hint="eastAsia"/>
                <w:color w:val="auto"/>
                <w:szCs w:val="21"/>
                <w:lang w:eastAsia="zh-CN"/>
              </w:rPr>
              <w:t>门卫</w:t>
            </w:r>
            <w:r>
              <w:rPr>
                <w:rFonts w:hint="eastAsia"/>
                <w:color w:val="auto"/>
                <w:szCs w:val="21"/>
                <w:lang w:val="en-US" w:eastAsia="zh-CN"/>
              </w:rPr>
              <w:t>2</w:t>
            </w:r>
          </w:p>
        </w:tc>
        <w:tc>
          <w:tcPr>
            <w:tcW w:w="598" w:type="pct"/>
            <w:vAlign w:val="center"/>
          </w:tcPr>
          <w:p w14:paraId="53546CD8">
            <w:pPr>
              <w:widowControl/>
              <w:jc w:val="center"/>
              <w:rPr>
                <w:rFonts w:hint="eastAsia"/>
                <w:color w:val="auto"/>
                <w:kern w:val="0"/>
                <w:szCs w:val="21"/>
                <w:lang w:val="en-US" w:eastAsia="zh-CN"/>
              </w:rPr>
            </w:pPr>
            <w:r>
              <w:rPr>
                <w:rFonts w:hint="eastAsia"/>
                <w:color w:val="auto"/>
                <w:kern w:val="0"/>
                <w:szCs w:val="21"/>
                <w:lang w:val="en-US" w:eastAsia="zh-CN"/>
              </w:rPr>
              <w:t>1座</w:t>
            </w:r>
          </w:p>
        </w:tc>
        <w:tc>
          <w:tcPr>
            <w:tcW w:w="976" w:type="pct"/>
            <w:vAlign w:val="center"/>
          </w:tcPr>
          <w:p w14:paraId="7F028B5F">
            <w:pPr>
              <w:jc w:val="center"/>
              <w:rPr>
                <w:rFonts w:hint="default"/>
                <w:color w:val="auto"/>
                <w:szCs w:val="21"/>
                <w:lang w:val="en-US" w:eastAsia="zh-CN"/>
              </w:rPr>
            </w:pPr>
            <w:r>
              <w:rPr>
                <w:rFonts w:hint="eastAsia"/>
                <w:color w:val="auto"/>
                <w:szCs w:val="21"/>
                <w:lang w:val="en-US" w:eastAsia="zh-CN"/>
              </w:rPr>
              <w:t>80.37</w:t>
            </w:r>
          </w:p>
        </w:tc>
        <w:tc>
          <w:tcPr>
            <w:tcW w:w="958" w:type="pct"/>
            <w:vAlign w:val="center"/>
          </w:tcPr>
          <w:p w14:paraId="77F399A1">
            <w:pPr>
              <w:jc w:val="center"/>
              <w:rPr>
                <w:rFonts w:hint="eastAsia"/>
                <w:color w:val="auto"/>
                <w:szCs w:val="21"/>
                <w:lang w:val="en-US" w:eastAsia="zh-CN"/>
              </w:rPr>
            </w:pPr>
            <w:r>
              <w:rPr>
                <w:rFonts w:hint="eastAsia"/>
                <w:color w:val="auto"/>
                <w:szCs w:val="21"/>
                <w:lang w:val="en-US" w:eastAsia="zh-CN"/>
              </w:rPr>
              <w:t>80.37</w:t>
            </w:r>
          </w:p>
        </w:tc>
        <w:tc>
          <w:tcPr>
            <w:tcW w:w="457" w:type="pct"/>
            <w:vAlign w:val="center"/>
          </w:tcPr>
          <w:p w14:paraId="5244F7C7">
            <w:pPr>
              <w:jc w:val="center"/>
              <w:rPr>
                <w:rFonts w:hint="eastAsia"/>
                <w:color w:val="auto"/>
                <w:szCs w:val="21"/>
              </w:rPr>
            </w:pPr>
            <w:r>
              <w:rPr>
                <w:rFonts w:hint="eastAsia"/>
                <w:color w:val="auto"/>
                <w:szCs w:val="21"/>
              </w:rPr>
              <w:t>1F</w:t>
            </w:r>
          </w:p>
        </w:tc>
        <w:tc>
          <w:tcPr>
            <w:tcW w:w="1186" w:type="pct"/>
            <w:vAlign w:val="center"/>
          </w:tcPr>
          <w:p w14:paraId="6B6F3BE3">
            <w:pPr>
              <w:jc w:val="center"/>
              <w:rPr>
                <w:rFonts w:hint="eastAsia" w:eastAsia="宋体"/>
                <w:color w:val="auto"/>
                <w:szCs w:val="21"/>
                <w:lang w:val="en-US" w:eastAsia="zh-CN"/>
              </w:rPr>
            </w:pPr>
            <w:r>
              <w:rPr>
                <w:rFonts w:hint="eastAsia"/>
                <w:color w:val="auto"/>
                <w:szCs w:val="21"/>
                <w:lang w:val="en-US" w:eastAsia="zh-CN"/>
              </w:rPr>
              <w:t>/</w:t>
            </w:r>
          </w:p>
        </w:tc>
      </w:tr>
      <w:tr w14:paraId="656B05E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03E8DA14">
            <w:pPr>
              <w:widowControl/>
              <w:jc w:val="center"/>
              <w:textAlignment w:val="center"/>
              <w:rPr>
                <w:rFonts w:hint="eastAsia"/>
                <w:color w:val="auto"/>
                <w:szCs w:val="21"/>
                <w:lang w:eastAsia="zh-CN"/>
              </w:rPr>
            </w:pPr>
            <w:r>
              <w:rPr>
                <w:rFonts w:hint="eastAsia"/>
                <w:color w:val="auto"/>
                <w:szCs w:val="21"/>
                <w:lang w:eastAsia="zh-CN"/>
              </w:rPr>
              <w:t>发电机房</w:t>
            </w:r>
          </w:p>
        </w:tc>
        <w:tc>
          <w:tcPr>
            <w:tcW w:w="598" w:type="pct"/>
            <w:vAlign w:val="center"/>
          </w:tcPr>
          <w:p w14:paraId="6BD6F98D">
            <w:pPr>
              <w:widowControl/>
              <w:jc w:val="center"/>
              <w:rPr>
                <w:rFonts w:hint="eastAsia"/>
                <w:color w:val="auto"/>
                <w:kern w:val="0"/>
                <w:szCs w:val="21"/>
                <w:lang w:val="en-US" w:eastAsia="zh-CN"/>
              </w:rPr>
            </w:pPr>
            <w:r>
              <w:rPr>
                <w:rFonts w:hint="eastAsia"/>
                <w:color w:val="auto"/>
                <w:kern w:val="0"/>
                <w:szCs w:val="21"/>
                <w:lang w:val="en-US" w:eastAsia="zh-CN"/>
              </w:rPr>
              <w:t>1座</w:t>
            </w:r>
          </w:p>
        </w:tc>
        <w:tc>
          <w:tcPr>
            <w:tcW w:w="976" w:type="pct"/>
            <w:vAlign w:val="center"/>
          </w:tcPr>
          <w:p w14:paraId="5DEED83A">
            <w:pPr>
              <w:jc w:val="center"/>
              <w:rPr>
                <w:rFonts w:hint="default"/>
                <w:color w:val="auto"/>
                <w:szCs w:val="21"/>
                <w:lang w:val="en-US" w:eastAsia="zh-CN"/>
              </w:rPr>
            </w:pPr>
            <w:r>
              <w:rPr>
                <w:rFonts w:hint="eastAsia"/>
                <w:color w:val="auto"/>
                <w:szCs w:val="21"/>
                <w:lang w:val="en-US" w:eastAsia="zh-CN"/>
              </w:rPr>
              <w:t>102.96</w:t>
            </w:r>
          </w:p>
        </w:tc>
        <w:tc>
          <w:tcPr>
            <w:tcW w:w="958" w:type="pct"/>
            <w:vAlign w:val="center"/>
          </w:tcPr>
          <w:p w14:paraId="566EDA1F">
            <w:pPr>
              <w:jc w:val="center"/>
              <w:rPr>
                <w:rFonts w:hint="eastAsia"/>
                <w:color w:val="auto"/>
                <w:szCs w:val="21"/>
                <w:lang w:val="en-US" w:eastAsia="zh-CN"/>
              </w:rPr>
            </w:pPr>
            <w:r>
              <w:rPr>
                <w:rFonts w:hint="eastAsia"/>
                <w:color w:val="auto"/>
                <w:szCs w:val="21"/>
                <w:lang w:val="en-US" w:eastAsia="zh-CN"/>
              </w:rPr>
              <w:t>102.96</w:t>
            </w:r>
          </w:p>
        </w:tc>
        <w:tc>
          <w:tcPr>
            <w:tcW w:w="457" w:type="pct"/>
            <w:vAlign w:val="center"/>
          </w:tcPr>
          <w:p w14:paraId="272398D1">
            <w:pPr>
              <w:jc w:val="center"/>
              <w:rPr>
                <w:rFonts w:hint="eastAsia"/>
                <w:color w:val="auto"/>
                <w:szCs w:val="21"/>
              </w:rPr>
            </w:pPr>
            <w:r>
              <w:rPr>
                <w:rFonts w:hint="eastAsia"/>
                <w:color w:val="auto"/>
                <w:szCs w:val="21"/>
              </w:rPr>
              <w:t>1F</w:t>
            </w:r>
          </w:p>
        </w:tc>
        <w:tc>
          <w:tcPr>
            <w:tcW w:w="1186" w:type="pct"/>
            <w:vAlign w:val="center"/>
          </w:tcPr>
          <w:p w14:paraId="5864DB69">
            <w:pPr>
              <w:jc w:val="center"/>
              <w:rPr>
                <w:rFonts w:hint="default" w:eastAsia="宋体"/>
                <w:color w:val="auto"/>
                <w:szCs w:val="21"/>
                <w:lang w:val="en-US" w:eastAsia="zh-CN"/>
              </w:rPr>
            </w:pPr>
            <w:r>
              <w:rPr>
                <w:rFonts w:hint="eastAsia"/>
                <w:color w:val="auto"/>
                <w:szCs w:val="21"/>
                <w:lang w:eastAsia="zh-CN"/>
              </w:rPr>
              <w:t>内设</w:t>
            </w:r>
            <w:r>
              <w:rPr>
                <w:rFonts w:hint="eastAsia"/>
                <w:color w:val="auto"/>
                <w:szCs w:val="21"/>
                <w:lang w:val="en-US" w:eastAsia="zh-CN"/>
              </w:rPr>
              <w:t>1台柴油发电机</w:t>
            </w:r>
          </w:p>
        </w:tc>
      </w:tr>
      <w:tr w14:paraId="144AAF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137D0DC8">
            <w:pPr>
              <w:widowControl/>
              <w:jc w:val="center"/>
              <w:textAlignment w:val="center"/>
              <w:rPr>
                <w:rFonts w:hint="eastAsia"/>
                <w:color w:val="auto"/>
                <w:szCs w:val="21"/>
                <w:lang w:eastAsia="zh-CN"/>
              </w:rPr>
            </w:pPr>
            <w:r>
              <w:rPr>
                <w:rFonts w:hint="eastAsia"/>
                <w:color w:val="auto"/>
                <w:szCs w:val="21"/>
                <w:lang w:eastAsia="zh-CN"/>
              </w:rPr>
              <w:t>蛋库</w:t>
            </w:r>
          </w:p>
        </w:tc>
        <w:tc>
          <w:tcPr>
            <w:tcW w:w="598" w:type="pct"/>
            <w:vAlign w:val="center"/>
          </w:tcPr>
          <w:p w14:paraId="4CFCDF94">
            <w:pPr>
              <w:widowControl/>
              <w:jc w:val="center"/>
              <w:rPr>
                <w:rFonts w:hint="eastAsia"/>
                <w:color w:val="auto"/>
                <w:kern w:val="0"/>
                <w:szCs w:val="21"/>
                <w:lang w:val="en-US" w:eastAsia="zh-CN"/>
              </w:rPr>
            </w:pPr>
            <w:r>
              <w:rPr>
                <w:rFonts w:hint="eastAsia"/>
                <w:color w:val="auto"/>
                <w:kern w:val="0"/>
                <w:szCs w:val="21"/>
                <w:lang w:val="en-US" w:eastAsia="zh-CN"/>
              </w:rPr>
              <w:t>1座</w:t>
            </w:r>
          </w:p>
        </w:tc>
        <w:tc>
          <w:tcPr>
            <w:tcW w:w="976" w:type="pct"/>
            <w:vAlign w:val="center"/>
          </w:tcPr>
          <w:p w14:paraId="698A481E">
            <w:pPr>
              <w:jc w:val="center"/>
              <w:rPr>
                <w:rFonts w:hint="default"/>
                <w:color w:val="auto"/>
                <w:szCs w:val="21"/>
                <w:lang w:val="en-US" w:eastAsia="zh-CN"/>
              </w:rPr>
            </w:pPr>
            <w:r>
              <w:rPr>
                <w:rFonts w:hint="eastAsia"/>
                <w:color w:val="auto"/>
                <w:szCs w:val="21"/>
                <w:lang w:val="en-US" w:eastAsia="zh-CN"/>
              </w:rPr>
              <w:t>5532.75</w:t>
            </w:r>
          </w:p>
        </w:tc>
        <w:tc>
          <w:tcPr>
            <w:tcW w:w="958" w:type="pct"/>
            <w:vAlign w:val="center"/>
          </w:tcPr>
          <w:p w14:paraId="7283CA9C">
            <w:pPr>
              <w:jc w:val="center"/>
              <w:rPr>
                <w:rFonts w:hint="eastAsia"/>
                <w:color w:val="auto"/>
                <w:szCs w:val="21"/>
                <w:lang w:val="en-US" w:eastAsia="zh-CN"/>
              </w:rPr>
            </w:pPr>
            <w:r>
              <w:rPr>
                <w:rFonts w:hint="eastAsia"/>
                <w:color w:val="auto"/>
                <w:szCs w:val="21"/>
                <w:lang w:val="en-US" w:eastAsia="zh-CN"/>
              </w:rPr>
              <w:t>5532.75</w:t>
            </w:r>
          </w:p>
        </w:tc>
        <w:tc>
          <w:tcPr>
            <w:tcW w:w="457" w:type="pct"/>
            <w:vAlign w:val="center"/>
          </w:tcPr>
          <w:p w14:paraId="658402B6">
            <w:pPr>
              <w:jc w:val="center"/>
              <w:rPr>
                <w:rFonts w:hint="eastAsia"/>
                <w:color w:val="auto"/>
                <w:szCs w:val="21"/>
              </w:rPr>
            </w:pPr>
            <w:r>
              <w:rPr>
                <w:rFonts w:hint="eastAsia"/>
                <w:color w:val="auto"/>
                <w:szCs w:val="21"/>
              </w:rPr>
              <w:t>1F</w:t>
            </w:r>
          </w:p>
        </w:tc>
        <w:tc>
          <w:tcPr>
            <w:tcW w:w="1186" w:type="pct"/>
            <w:vAlign w:val="center"/>
          </w:tcPr>
          <w:p w14:paraId="40E7FD5D">
            <w:pPr>
              <w:jc w:val="center"/>
              <w:rPr>
                <w:rFonts w:hint="eastAsia" w:eastAsia="宋体"/>
                <w:color w:val="auto"/>
                <w:szCs w:val="21"/>
                <w:lang w:eastAsia="zh-CN"/>
              </w:rPr>
            </w:pPr>
            <w:r>
              <w:rPr>
                <w:rFonts w:hint="eastAsia"/>
                <w:color w:val="auto"/>
                <w:szCs w:val="21"/>
                <w:lang w:eastAsia="zh-CN"/>
              </w:rPr>
              <w:t>鸡蛋临时储存包装</w:t>
            </w:r>
          </w:p>
        </w:tc>
      </w:tr>
      <w:tr w14:paraId="3C5E49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0BF63483">
            <w:pPr>
              <w:widowControl/>
              <w:jc w:val="center"/>
              <w:textAlignment w:val="center"/>
              <w:rPr>
                <w:rFonts w:hint="default"/>
                <w:color w:val="auto"/>
                <w:szCs w:val="21"/>
                <w:lang w:val="en-US" w:eastAsia="zh-CN"/>
              </w:rPr>
            </w:pPr>
            <w:r>
              <w:rPr>
                <w:rFonts w:hint="eastAsia"/>
                <w:color w:val="auto"/>
                <w:szCs w:val="21"/>
                <w:lang w:eastAsia="zh-CN"/>
              </w:rPr>
              <w:t>设备用房</w:t>
            </w:r>
            <w:r>
              <w:rPr>
                <w:rFonts w:hint="eastAsia"/>
                <w:color w:val="auto"/>
                <w:szCs w:val="21"/>
                <w:lang w:val="en-US" w:eastAsia="zh-CN"/>
              </w:rPr>
              <w:t>1</w:t>
            </w:r>
          </w:p>
        </w:tc>
        <w:tc>
          <w:tcPr>
            <w:tcW w:w="598" w:type="pct"/>
            <w:vAlign w:val="center"/>
          </w:tcPr>
          <w:p w14:paraId="78A86619">
            <w:pPr>
              <w:widowControl/>
              <w:jc w:val="center"/>
              <w:rPr>
                <w:rFonts w:hint="eastAsia"/>
                <w:color w:val="auto"/>
                <w:kern w:val="0"/>
                <w:szCs w:val="21"/>
                <w:lang w:val="en-US" w:eastAsia="zh-CN"/>
              </w:rPr>
            </w:pPr>
            <w:r>
              <w:rPr>
                <w:rFonts w:hint="eastAsia"/>
                <w:color w:val="auto"/>
                <w:kern w:val="0"/>
                <w:szCs w:val="21"/>
                <w:lang w:val="en-US" w:eastAsia="zh-CN"/>
              </w:rPr>
              <w:t>1座</w:t>
            </w:r>
          </w:p>
        </w:tc>
        <w:tc>
          <w:tcPr>
            <w:tcW w:w="976" w:type="pct"/>
            <w:vAlign w:val="center"/>
          </w:tcPr>
          <w:p w14:paraId="0A2C0C50">
            <w:pPr>
              <w:jc w:val="center"/>
              <w:rPr>
                <w:rFonts w:hint="default"/>
                <w:color w:val="auto"/>
                <w:szCs w:val="21"/>
                <w:lang w:val="en-US" w:eastAsia="zh-CN"/>
              </w:rPr>
            </w:pPr>
            <w:r>
              <w:rPr>
                <w:rFonts w:hint="eastAsia"/>
                <w:color w:val="auto"/>
                <w:szCs w:val="21"/>
                <w:lang w:val="en-US" w:eastAsia="zh-CN"/>
              </w:rPr>
              <w:t>1930.68</w:t>
            </w:r>
          </w:p>
        </w:tc>
        <w:tc>
          <w:tcPr>
            <w:tcW w:w="958" w:type="pct"/>
            <w:vAlign w:val="center"/>
          </w:tcPr>
          <w:p w14:paraId="107DE215">
            <w:pPr>
              <w:jc w:val="center"/>
              <w:rPr>
                <w:rFonts w:hint="eastAsia"/>
                <w:color w:val="auto"/>
                <w:szCs w:val="21"/>
                <w:lang w:val="en-US" w:eastAsia="zh-CN"/>
              </w:rPr>
            </w:pPr>
            <w:r>
              <w:rPr>
                <w:rFonts w:hint="eastAsia"/>
                <w:color w:val="auto"/>
                <w:szCs w:val="21"/>
                <w:lang w:val="en-US" w:eastAsia="zh-CN"/>
              </w:rPr>
              <w:t>1930.68</w:t>
            </w:r>
          </w:p>
        </w:tc>
        <w:tc>
          <w:tcPr>
            <w:tcW w:w="457" w:type="pct"/>
            <w:vAlign w:val="center"/>
          </w:tcPr>
          <w:p w14:paraId="4D545094">
            <w:pPr>
              <w:jc w:val="center"/>
              <w:rPr>
                <w:rFonts w:hint="eastAsia"/>
                <w:color w:val="auto"/>
                <w:szCs w:val="21"/>
              </w:rPr>
            </w:pPr>
            <w:r>
              <w:rPr>
                <w:rFonts w:hint="eastAsia"/>
                <w:color w:val="auto"/>
                <w:szCs w:val="21"/>
              </w:rPr>
              <w:t>1F</w:t>
            </w:r>
          </w:p>
        </w:tc>
        <w:tc>
          <w:tcPr>
            <w:tcW w:w="1186" w:type="pct"/>
            <w:vAlign w:val="center"/>
          </w:tcPr>
          <w:p w14:paraId="760CA198">
            <w:pPr>
              <w:jc w:val="center"/>
              <w:rPr>
                <w:rFonts w:hint="eastAsia" w:eastAsia="宋体"/>
                <w:color w:val="auto"/>
                <w:szCs w:val="21"/>
                <w:lang w:val="en-US" w:eastAsia="zh-CN"/>
              </w:rPr>
            </w:pPr>
            <w:r>
              <w:rPr>
                <w:rFonts w:hint="eastAsia"/>
                <w:color w:val="auto"/>
                <w:szCs w:val="21"/>
                <w:lang w:val="en-US" w:eastAsia="zh-CN"/>
              </w:rPr>
              <w:t>/</w:t>
            </w:r>
          </w:p>
        </w:tc>
      </w:tr>
      <w:tr w14:paraId="6F6115E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6F832FF1">
            <w:pPr>
              <w:widowControl/>
              <w:jc w:val="center"/>
              <w:textAlignment w:val="center"/>
              <w:rPr>
                <w:rFonts w:hint="default"/>
                <w:color w:val="auto"/>
                <w:szCs w:val="21"/>
                <w:lang w:val="en-US" w:eastAsia="zh-CN"/>
              </w:rPr>
            </w:pPr>
            <w:r>
              <w:rPr>
                <w:rFonts w:hint="eastAsia"/>
                <w:color w:val="auto"/>
                <w:szCs w:val="21"/>
                <w:lang w:eastAsia="zh-CN"/>
              </w:rPr>
              <w:t>锅炉房</w:t>
            </w:r>
          </w:p>
        </w:tc>
        <w:tc>
          <w:tcPr>
            <w:tcW w:w="598" w:type="pct"/>
            <w:vAlign w:val="center"/>
          </w:tcPr>
          <w:p w14:paraId="6FB67F6C">
            <w:pPr>
              <w:widowControl/>
              <w:jc w:val="center"/>
              <w:rPr>
                <w:rFonts w:hint="eastAsia"/>
                <w:color w:val="auto"/>
                <w:kern w:val="0"/>
                <w:szCs w:val="21"/>
                <w:lang w:val="en-US" w:eastAsia="zh-CN"/>
              </w:rPr>
            </w:pPr>
            <w:r>
              <w:rPr>
                <w:rFonts w:hint="eastAsia"/>
                <w:color w:val="auto"/>
                <w:kern w:val="0"/>
                <w:szCs w:val="21"/>
                <w:lang w:val="en-US" w:eastAsia="zh-CN"/>
              </w:rPr>
              <w:t>1座</w:t>
            </w:r>
          </w:p>
        </w:tc>
        <w:tc>
          <w:tcPr>
            <w:tcW w:w="976" w:type="pct"/>
            <w:vAlign w:val="center"/>
          </w:tcPr>
          <w:p w14:paraId="43BD0DBE">
            <w:pPr>
              <w:jc w:val="center"/>
              <w:rPr>
                <w:rFonts w:hint="default"/>
                <w:color w:val="auto"/>
                <w:szCs w:val="21"/>
                <w:lang w:val="en-US" w:eastAsia="zh-CN"/>
              </w:rPr>
            </w:pPr>
            <w:r>
              <w:rPr>
                <w:rFonts w:hint="eastAsia"/>
                <w:color w:val="auto"/>
                <w:szCs w:val="21"/>
                <w:lang w:val="en-US" w:eastAsia="zh-CN"/>
              </w:rPr>
              <w:t>197.16</w:t>
            </w:r>
          </w:p>
        </w:tc>
        <w:tc>
          <w:tcPr>
            <w:tcW w:w="958" w:type="pct"/>
            <w:vAlign w:val="center"/>
          </w:tcPr>
          <w:p w14:paraId="72694ACC">
            <w:pPr>
              <w:jc w:val="center"/>
              <w:rPr>
                <w:rFonts w:hint="eastAsia"/>
                <w:color w:val="auto"/>
                <w:szCs w:val="21"/>
                <w:lang w:val="en-US" w:eastAsia="zh-CN"/>
              </w:rPr>
            </w:pPr>
            <w:r>
              <w:rPr>
                <w:rFonts w:hint="eastAsia"/>
                <w:color w:val="auto"/>
                <w:szCs w:val="21"/>
                <w:lang w:val="en-US" w:eastAsia="zh-CN"/>
              </w:rPr>
              <w:t>197.16</w:t>
            </w:r>
          </w:p>
        </w:tc>
        <w:tc>
          <w:tcPr>
            <w:tcW w:w="457" w:type="pct"/>
            <w:vAlign w:val="center"/>
          </w:tcPr>
          <w:p w14:paraId="16F6D166">
            <w:pPr>
              <w:jc w:val="center"/>
              <w:rPr>
                <w:rFonts w:hint="eastAsia"/>
                <w:color w:val="auto"/>
                <w:szCs w:val="21"/>
              </w:rPr>
            </w:pPr>
            <w:r>
              <w:rPr>
                <w:rFonts w:hint="eastAsia"/>
                <w:color w:val="auto"/>
                <w:szCs w:val="21"/>
              </w:rPr>
              <w:t>1F</w:t>
            </w:r>
          </w:p>
        </w:tc>
        <w:tc>
          <w:tcPr>
            <w:tcW w:w="1186" w:type="pct"/>
            <w:vAlign w:val="center"/>
          </w:tcPr>
          <w:p w14:paraId="09DED223">
            <w:pPr>
              <w:jc w:val="center"/>
              <w:rPr>
                <w:rFonts w:hint="eastAsia" w:eastAsia="宋体"/>
                <w:color w:val="auto"/>
                <w:szCs w:val="21"/>
                <w:highlight w:val="none"/>
                <w:lang w:val="en-US" w:eastAsia="zh-CN"/>
              </w:rPr>
            </w:pPr>
            <w:r>
              <w:rPr>
                <w:rFonts w:hint="eastAsia"/>
                <w:color w:val="auto"/>
                <w:szCs w:val="21"/>
                <w:highlight w:val="none"/>
                <w:lang w:eastAsia="zh-CN"/>
              </w:rPr>
              <w:t>砖混墙体</w:t>
            </w:r>
            <w:r>
              <w:rPr>
                <w:rFonts w:hint="eastAsia"/>
                <w:color w:val="auto"/>
                <w:szCs w:val="21"/>
                <w:highlight w:val="none"/>
                <w:lang w:val="en-US" w:eastAsia="zh-CN"/>
              </w:rPr>
              <w:t>+彩钢板顶</w:t>
            </w:r>
          </w:p>
        </w:tc>
      </w:tr>
      <w:tr w14:paraId="2A872E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523F726D">
            <w:pPr>
              <w:widowControl/>
              <w:jc w:val="center"/>
              <w:textAlignment w:val="center"/>
              <w:rPr>
                <w:rFonts w:hint="eastAsia" w:eastAsia="宋体"/>
                <w:color w:val="auto"/>
                <w:szCs w:val="21"/>
                <w:lang w:eastAsia="zh-CN"/>
              </w:rPr>
            </w:pPr>
            <w:r>
              <w:rPr>
                <w:rFonts w:hint="eastAsia"/>
                <w:color w:val="auto"/>
                <w:szCs w:val="21"/>
                <w:lang w:eastAsia="zh-CN"/>
              </w:rPr>
              <w:t>临时储粪场</w:t>
            </w:r>
          </w:p>
        </w:tc>
        <w:tc>
          <w:tcPr>
            <w:tcW w:w="598" w:type="pct"/>
            <w:vAlign w:val="center"/>
          </w:tcPr>
          <w:p w14:paraId="08DA2F3C">
            <w:pPr>
              <w:widowControl/>
              <w:jc w:val="center"/>
              <w:rPr>
                <w:rFonts w:hint="eastAsia" w:eastAsia="宋体"/>
                <w:color w:val="auto"/>
                <w:kern w:val="0"/>
                <w:szCs w:val="21"/>
                <w:lang w:eastAsia="zh-CN"/>
              </w:rPr>
            </w:pPr>
            <w:r>
              <w:rPr>
                <w:rFonts w:hint="eastAsia"/>
                <w:color w:val="auto"/>
                <w:szCs w:val="21"/>
              </w:rPr>
              <w:t>1</w:t>
            </w:r>
            <w:r>
              <w:rPr>
                <w:rFonts w:hint="eastAsia"/>
                <w:color w:val="auto"/>
                <w:szCs w:val="21"/>
                <w:lang w:eastAsia="zh-CN"/>
              </w:rPr>
              <w:t>座</w:t>
            </w:r>
          </w:p>
        </w:tc>
        <w:tc>
          <w:tcPr>
            <w:tcW w:w="976" w:type="pct"/>
            <w:vAlign w:val="center"/>
          </w:tcPr>
          <w:p w14:paraId="76953D2C">
            <w:pPr>
              <w:jc w:val="center"/>
              <w:rPr>
                <w:color w:val="auto"/>
                <w:szCs w:val="21"/>
              </w:rPr>
            </w:pPr>
            <w:r>
              <w:rPr>
                <w:rFonts w:hint="eastAsia"/>
                <w:color w:val="auto"/>
                <w:szCs w:val="21"/>
                <w:lang w:val="en-US" w:eastAsia="zh-CN"/>
              </w:rPr>
              <w:t>2000</w:t>
            </w:r>
          </w:p>
        </w:tc>
        <w:tc>
          <w:tcPr>
            <w:tcW w:w="958" w:type="pct"/>
            <w:vAlign w:val="center"/>
          </w:tcPr>
          <w:p w14:paraId="06F2B05C">
            <w:pPr>
              <w:jc w:val="center"/>
              <w:rPr>
                <w:color w:val="auto"/>
                <w:szCs w:val="21"/>
              </w:rPr>
            </w:pPr>
            <w:r>
              <w:rPr>
                <w:rFonts w:hint="eastAsia"/>
                <w:color w:val="auto"/>
                <w:szCs w:val="21"/>
                <w:lang w:val="en-US" w:eastAsia="zh-CN"/>
              </w:rPr>
              <w:t>2000</w:t>
            </w:r>
          </w:p>
        </w:tc>
        <w:tc>
          <w:tcPr>
            <w:tcW w:w="457" w:type="pct"/>
            <w:vAlign w:val="center"/>
          </w:tcPr>
          <w:p w14:paraId="6256D7C7">
            <w:pPr>
              <w:jc w:val="center"/>
              <w:rPr>
                <w:color w:val="auto"/>
                <w:szCs w:val="21"/>
              </w:rPr>
            </w:pPr>
            <w:r>
              <w:rPr>
                <w:rFonts w:hint="eastAsia"/>
                <w:color w:val="auto"/>
                <w:szCs w:val="21"/>
              </w:rPr>
              <w:t>1F</w:t>
            </w:r>
          </w:p>
        </w:tc>
        <w:tc>
          <w:tcPr>
            <w:tcW w:w="1186" w:type="pct"/>
            <w:vAlign w:val="center"/>
          </w:tcPr>
          <w:p w14:paraId="6F628B9D">
            <w:pPr>
              <w:jc w:val="center"/>
              <w:rPr>
                <w:rFonts w:hint="default" w:eastAsia="宋体"/>
                <w:color w:val="auto"/>
                <w:szCs w:val="21"/>
                <w:lang w:val="en-US" w:eastAsia="zh-CN"/>
              </w:rPr>
            </w:pPr>
            <w:r>
              <w:rPr>
                <w:rFonts w:hint="eastAsia"/>
                <w:color w:val="auto"/>
                <w:szCs w:val="21"/>
                <w:lang w:eastAsia="zh-CN"/>
              </w:rPr>
              <w:t>设置</w:t>
            </w:r>
            <w:r>
              <w:rPr>
                <w:rFonts w:hint="eastAsia"/>
                <w:color w:val="auto"/>
                <w:szCs w:val="21"/>
                <w:lang w:val="en-US" w:eastAsia="zh-CN"/>
              </w:rPr>
              <w:t>1m高围堰，上方及墙体为防雨钢结构，做防渗处理</w:t>
            </w:r>
          </w:p>
        </w:tc>
      </w:tr>
      <w:tr w14:paraId="6311A8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3C1392DD">
            <w:pPr>
              <w:widowControl/>
              <w:jc w:val="center"/>
              <w:textAlignment w:val="center"/>
              <w:rPr>
                <w:rFonts w:hint="eastAsia"/>
                <w:color w:val="auto"/>
                <w:szCs w:val="21"/>
                <w:highlight w:val="none"/>
                <w:lang w:eastAsia="zh-CN"/>
              </w:rPr>
            </w:pPr>
            <w:r>
              <w:rPr>
                <w:rFonts w:hint="eastAsia"/>
                <w:color w:val="auto"/>
                <w:szCs w:val="21"/>
                <w:highlight w:val="none"/>
                <w:lang w:eastAsia="zh-CN"/>
              </w:rPr>
              <w:t>废水收集池</w:t>
            </w:r>
          </w:p>
        </w:tc>
        <w:tc>
          <w:tcPr>
            <w:tcW w:w="598" w:type="pct"/>
            <w:vAlign w:val="center"/>
          </w:tcPr>
          <w:p w14:paraId="7A4A1F0D">
            <w:pPr>
              <w:widowControl/>
              <w:jc w:val="center"/>
              <w:rPr>
                <w:rFonts w:hint="eastAsia" w:eastAsia="宋体"/>
                <w:color w:val="auto"/>
                <w:szCs w:val="21"/>
                <w:highlight w:val="none"/>
                <w:lang w:val="en-US" w:eastAsia="zh-CN"/>
              </w:rPr>
            </w:pPr>
            <w:r>
              <w:rPr>
                <w:rFonts w:hint="eastAsia"/>
                <w:color w:val="auto"/>
                <w:szCs w:val="21"/>
                <w:highlight w:val="none"/>
                <w:lang w:val="en-US" w:eastAsia="zh-CN"/>
              </w:rPr>
              <w:t>8座</w:t>
            </w:r>
          </w:p>
        </w:tc>
        <w:tc>
          <w:tcPr>
            <w:tcW w:w="976" w:type="pct"/>
            <w:vAlign w:val="center"/>
          </w:tcPr>
          <w:p w14:paraId="58E9CD3B">
            <w:pPr>
              <w:jc w:val="center"/>
              <w:rPr>
                <w:rFonts w:hint="default"/>
                <w:color w:val="auto"/>
                <w:szCs w:val="21"/>
                <w:highlight w:val="none"/>
                <w:lang w:val="en-US" w:eastAsia="zh-CN"/>
              </w:rPr>
            </w:pPr>
            <w:r>
              <w:rPr>
                <w:rFonts w:hint="eastAsia"/>
                <w:color w:val="auto"/>
                <w:szCs w:val="21"/>
                <w:highlight w:val="none"/>
                <w:lang w:val="en-US" w:eastAsia="zh-CN"/>
              </w:rPr>
              <w:t>8</w:t>
            </w:r>
            <w:r>
              <w:rPr>
                <w:rFonts w:hint="eastAsia"/>
                <w:color w:val="auto"/>
                <w:szCs w:val="21"/>
                <w:highlight w:val="none"/>
              </w:rPr>
              <w:t>×</w:t>
            </w:r>
            <w:r>
              <w:rPr>
                <w:rFonts w:hint="eastAsia"/>
                <w:color w:val="auto"/>
                <w:szCs w:val="21"/>
                <w:highlight w:val="none"/>
                <w:lang w:val="en-US" w:eastAsia="zh-CN"/>
              </w:rPr>
              <w:t>10m</w:t>
            </w:r>
            <w:r>
              <w:rPr>
                <w:rFonts w:hint="eastAsia"/>
                <w:color w:val="auto"/>
                <w:szCs w:val="21"/>
                <w:highlight w:val="none"/>
                <w:vertAlign w:val="superscript"/>
                <w:lang w:val="en-US" w:eastAsia="zh-CN"/>
              </w:rPr>
              <w:t>3</w:t>
            </w:r>
          </w:p>
        </w:tc>
        <w:tc>
          <w:tcPr>
            <w:tcW w:w="958" w:type="pct"/>
            <w:vAlign w:val="center"/>
          </w:tcPr>
          <w:p w14:paraId="1E2514AB">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457" w:type="pct"/>
            <w:vAlign w:val="center"/>
          </w:tcPr>
          <w:p w14:paraId="17A929F3">
            <w:pPr>
              <w:jc w:val="center"/>
              <w:rPr>
                <w:rFonts w:hint="eastAsia" w:eastAsia="宋体"/>
                <w:color w:val="auto"/>
                <w:szCs w:val="21"/>
                <w:highlight w:val="none"/>
                <w:lang w:eastAsia="zh-CN"/>
              </w:rPr>
            </w:pPr>
            <w:r>
              <w:rPr>
                <w:rFonts w:hint="eastAsia"/>
                <w:color w:val="auto"/>
                <w:szCs w:val="21"/>
                <w:highlight w:val="none"/>
                <w:lang w:eastAsia="zh-CN"/>
              </w:rPr>
              <w:t>地下</w:t>
            </w:r>
          </w:p>
        </w:tc>
        <w:tc>
          <w:tcPr>
            <w:tcW w:w="1186" w:type="pct"/>
            <w:vAlign w:val="center"/>
          </w:tcPr>
          <w:p w14:paraId="12B30134">
            <w:pPr>
              <w:jc w:val="center"/>
              <w:rPr>
                <w:rFonts w:hint="eastAsia"/>
                <w:color w:val="auto"/>
                <w:szCs w:val="21"/>
                <w:highlight w:val="none"/>
                <w:lang w:eastAsia="zh-CN"/>
              </w:rPr>
            </w:pPr>
            <w:r>
              <w:rPr>
                <w:rFonts w:hint="eastAsia"/>
                <w:color w:val="auto"/>
                <w:szCs w:val="21"/>
                <w:highlight w:val="none"/>
                <w:lang w:eastAsia="zh-CN"/>
              </w:rPr>
              <w:t>砖混结构，做防渗处理</w:t>
            </w:r>
          </w:p>
        </w:tc>
      </w:tr>
      <w:tr w14:paraId="3DEF60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vAlign w:val="center"/>
          </w:tcPr>
          <w:p w14:paraId="1D442285">
            <w:pPr>
              <w:widowControl/>
              <w:jc w:val="center"/>
              <w:textAlignment w:val="center"/>
              <w:rPr>
                <w:rFonts w:hint="eastAsia" w:eastAsia="宋体"/>
                <w:color w:val="auto"/>
                <w:szCs w:val="21"/>
                <w:lang w:eastAsia="zh-CN"/>
              </w:rPr>
            </w:pPr>
            <w:r>
              <w:rPr>
                <w:rFonts w:hint="eastAsia"/>
                <w:color w:val="auto"/>
                <w:szCs w:val="21"/>
                <w:lang w:eastAsia="zh-CN"/>
              </w:rPr>
              <w:t>水塔</w:t>
            </w:r>
          </w:p>
        </w:tc>
        <w:tc>
          <w:tcPr>
            <w:tcW w:w="598" w:type="pct"/>
            <w:vAlign w:val="center"/>
          </w:tcPr>
          <w:p w14:paraId="591E8DCA">
            <w:pPr>
              <w:widowControl/>
              <w:jc w:val="center"/>
              <w:rPr>
                <w:color w:val="auto"/>
                <w:szCs w:val="21"/>
              </w:rPr>
            </w:pPr>
            <w:r>
              <w:rPr>
                <w:rFonts w:hint="eastAsia"/>
                <w:color w:val="auto"/>
                <w:szCs w:val="21"/>
              </w:rPr>
              <w:t>1座</w:t>
            </w:r>
          </w:p>
        </w:tc>
        <w:tc>
          <w:tcPr>
            <w:tcW w:w="976" w:type="pct"/>
            <w:vAlign w:val="center"/>
          </w:tcPr>
          <w:p w14:paraId="3B21A8EF">
            <w:pPr>
              <w:jc w:val="center"/>
              <w:rPr>
                <w:rFonts w:hint="eastAsia" w:eastAsia="宋体"/>
                <w:color w:val="auto"/>
                <w:szCs w:val="21"/>
                <w:lang w:val="en-US" w:eastAsia="zh-CN"/>
              </w:rPr>
            </w:pPr>
            <w:r>
              <w:rPr>
                <w:rFonts w:hint="eastAsia"/>
                <w:color w:val="auto"/>
                <w:szCs w:val="21"/>
                <w:lang w:val="en-US" w:eastAsia="zh-CN"/>
              </w:rPr>
              <w:t>316.72</w:t>
            </w:r>
          </w:p>
        </w:tc>
        <w:tc>
          <w:tcPr>
            <w:tcW w:w="958" w:type="pct"/>
            <w:vAlign w:val="center"/>
          </w:tcPr>
          <w:p w14:paraId="2062E6B3">
            <w:pPr>
              <w:jc w:val="center"/>
              <w:rPr>
                <w:color w:val="auto"/>
                <w:szCs w:val="21"/>
              </w:rPr>
            </w:pPr>
            <w:r>
              <w:rPr>
                <w:rFonts w:hint="eastAsia"/>
                <w:color w:val="auto"/>
                <w:szCs w:val="21"/>
                <w:lang w:val="en-US" w:eastAsia="zh-CN"/>
              </w:rPr>
              <w:t>316.72</w:t>
            </w:r>
          </w:p>
        </w:tc>
        <w:tc>
          <w:tcPr>
            <w:tcW w:w="457" w:type="pct"/>
            <w:vAlign w:val="center"/>
          </w:tcPr>
          <w:p w14:paraId="3C49EF6A">
            <w:pPr>
              <w:jc w:val="center"/>
              <w:rPr>
                <w:rFonts w:hint="eastAsia" w:eastAsia="宋体"/>
                <w:color w:val="auto"/>
                <w:szCs w:val="21"/>
                <w:lang w:eastAsia="zh-CN"/>
              </w:rPr>
            </w:pPr>
            <w:r>
              <w:rPr>
                <w:rFonts w:hint="eastAsia"/>
                <w:color w:val="auto"/>
                <w:szCs w:val="21"/>
                <w:lang w:val="en-US" w:eastAsia="zh-CN"/>
              </w:rPr>
              <w:t>/</w:t>
            </w:r>
          </w:p>
        </w:tc>
        <w:tc>
          <w:tcPr>
            <w:tcW w:w="1186" w:type="pct"/>
            <w:vAlign w:val="center"/>
          </w:tcPr>
          <w:p w14:paraId="3F70FC46">
            <w:pPr>
              <w:jc w:val="center"/>
              <w:rPr>
                <w:rFonts w:hint="eastAsia" w:eastAsia="宋体"/>
                <w:color w:val="auto"/>
                <w:szCs w:val="21"/>
                <w:lang w:eastAsia="zh-CN"/>
              </w:rPr>
            </w:pPr>
            <w:r>
              <w:rPr>
                <w:rFonts w:hint="eastAsia"/>
                <w:color w:val="auto"/>
                <w:szCs w:val="21"/>
                <w:lang w:eastAsia="zh-CN"/>
              </w:rPr>
              <w:t>砖混结构</w:t>
            </w:r>
          </w:p>
        </w:tc>
      </w:tr>
    </w:tbl>
    <w:p w14:paraId="68069604">
      <w:pPr>
        <w:pStyle w:val="4"/>
        <w:snapToGrid w:val="0"/>
        <w:spacing w:before="0"/>
        <w:rPr>
          <w:rFonts w:hint="eastAsia" w:ascii="Times New Roman" w:hAnsi="Times New Roman" w:eastAsia="宋体"/>
          <w:bCs/>
          <w:color w:val="auto"/>
          <w:sz w:val="28"/>
          <w:szCs w:val="28"/>
          <w:lang w:eastAsia="zh-CN"/>
        </w:rPr>
      </w:pPr>
      <w:bookmarkStart w:id="172" w:name="_Toc3495"/>
      <w:r>
        <w:rPr>
          <w:rFonts w:hint="eastAsia" w:ascii="Times New Roman" w:hAnsi="Times New Roman" w:eastAsia="宋体"/>
          <w:bCs/>
          <w:color w:val="auto"/>
          <w:sz w:val="28"/>
          <w:szCs w:val="28"/>
        </w:rPr>
        <w:t>3.</w:t>
      </w:r>
      <w:r>
        <w:rPr>
          <w:rFonts w:hint="eastAsia" w:ascii="Times New Roman" w:hAnsi="Times New Roman" w:eastAsia="宋体"/>
          <w:bCs/>
          <w:color w:val="auto"/>
          <w:sz w:val="28"/>
          <w:szCs w:val="28"/>
          <w:lang w:val="en-US" w:eastAsia="zh-CN"/>
        </w:rPr>
        <w:t>2</w:t>
      </w:r>
      <w:r>
        <w:rPr>
          <w:rFonts w:hint="eastAsia" w:ascii="Times New Roman" w:hAnsi="Times New Roman" w:eastAsia="宋体"/>
          <w:bCs/>
          <w:color w:val="auto"/>
          <w:sz w:val="28"/>
          <w:szCs w:val="28"/>
        </w:rPr>
        <w:t>.5</w:t>
      </w:r>
      <w:r>
        <w:rPr>
          <w:rFonts w:hint="eastAsia" w:ascii="Times New Roman" w:hAnsi="Times New Roman" w:eastAsia="宋体"/>
          <w:bCs/>
          <w:color w:val="auto"/>
          <w:sz w:val="28"/>
          <w:szCs w:val="28"/>
          <w:lang w:eastAsia="zh-CN"/>
        </w:rPr>
        <w:t>公用工程</w:t>
      </w:r>
      <w:bookmarkEnd w:id="172"/>
    </w:p>
    <w:p w14:paraId="28A0218D">
      <w:pPr>
        <w:tabs>
          <w:tab w:val="left" w:pos="4425"/>
        </w:tabs>
        <w:spacing w:line="360" w:lineRule="auto"/>
        <w:ind w:firstLine="480" w:firstLineChars="200"/>
        <w:rPr>
          <w:b w:val="0"/>
          <w:bCs w:val="0"/>
          <w:color w:val="auto"/>
          <w:sz w:val="24"/>
          <w:highlight w:val="none"/>
        </w:rPr>
      </w:pPr>
      <w:r>
        <w:rPr>
          <w:rFonts w:hint="eastAsia"/>
          <w:b w:val="0"/>
          <w:bCs w:val="0"/>
          <w:color w:val="auto"/>
          <w:sz w:val="24"/>
          <w:highlight w:val="none"/>
          <w:lang w:val="en-US" w:eastAsia="zh-CN"/>
        </w:rPr>
        <w:t>（1）</w:t>
      </w:r>
      <w:r>
        <w:rPr>
          <w:rFonts w:hAnsi="宋体"/>
          <w:b w:val="0"/>
          <w:bCs w:val="0"/>
          <w:color w:val="auto"/>
          <w:sz w:val="24"/>
          <w:highlight w:val="none"/>
        </w:rPr>
        <w:t>给水</w:t>
      </w:r>
    </w:p>
    <w:p w14:paraId="6A0D3CF2">
      <w:pPr>
        <w:spacing w:line="360" w:lineRule="auto"/>
        <w:ind w:firstLine="480" w:firstLineChars="200"/>
        <w:jc w:val="left"/>
        <w:rPr>
          <w:color w:val="auto"/>
          <w:sz w:val="24"/>
        </w:rPr>
      </w:pPr>
      <w:r>
        <w:rPr>
          <w:color w:val="auto"/>
          <w:sz w:val="24"/>
        </w:rPr>
        <w:fldChar w:fldCharType="begin"/>
      </w:r>
      <w:r>
        <w:rPr>
          <w:color w:val="auto"/>
          <w:sz w:val="24"/>
        </w:rPr>
        <w:instrText xml:space="preserve"> = 1 \* GB3 \* MERGEFORMAT </w:instrText>
      </w:r>
      <w:r>
        <w:rPr>
          <w:color w:val="auto"/>
          <w:sz w:val="24"/>
        </w:rPr>
        <w:fldChar w:fldCharType="separate"/>
      </w:r>
      <w:r>
        <w:rPr>
          <w:color w:val="auto"/>
        </w:rPr>
        <w:t>①</w:t>
      </w:r>
      <w:r>
        <w:rPr>
          <w:color w:val="auto"/>
          <w:sz w:val="24"/>
        </w:rPr>
        <w:fldChar w:fldCharType="end"/>
      </w:r>
      <w:r>
        <w:rPr>
          <w:color w:val="auto"/>
          <w:sz w:val="24"/>
        </w:rPr>
        <w:t>鸡饮用水</w:t>
      </w:r>
    </w:p>
    <w:p w14:paraId="01B786BA">
      <w:pPr>
        <w:adjustRightInd w:val="0"/>
        <w:snapToGrid w:val="0"/>
        <w:spacing w:line="360" w:lineRule="auto"/>
        <w:ind w:firstLine="480" w:firstLineChars="200"/>
        <w:rPr>
          <w:color w:val="auto"/>
          <w:sz w:val="24"/>
        </w:rPr>
      </w:pPr>
      <w:r>
        <w:rPr>
          <w:color w:val="auto"/>
          <w:sz w:val="24"/>
        </w:rPr>
        <w:t>根据《行业用水定额》（DB</w:t>
      </w:r>
      <w:r>
        <w:rPr>
          <w:rFonts w:hint="eastAsia"/>
          <w:color w:val="auto"/>
          <w:sz w:val="24"/>
        </w:rPr>
        <w:t>15</w:t>
      </w:r>
      <w:r>
        <w:rPr>
          <w:color w:val="auto"/>
          <w:sz w:val="24"/>
        </w:rPr>
        <w:t xml:space="preserve">/T </w:t>
      </w:r>
      <w:r>
        <w:rPr>
          <w:rFonts w:hint="eastAsia"/>
          <w:color w:val="auto"/>
          <w:sz w:val="24"/>
        </w:rPr>
        <w:t>385-2020</w:t>
      </w:r>
      <w:r>
        <w:rPr>
          <w:color w:val="auto"/>
          <w:sz w:val="24"/>
        </w:rPr>
        <w:t>）</w:t>
      </w:r>
      <w:r>
        <w:rPr>
          <w:rFonts w:hint="eastAsia"/>
          <w:color w:val="auto"/>
          <w:sz w:val="24"/>
        </w:rPr>
        <w:t>中家禽的饲养（工厂集约化养殖）鸡定额：2L/只</w:t>
      </w:r>
      <w:r>
        <w:rPr>
          <w:rFonts w:hint="default" w:ascii="Times New Roman" w:hAnsi="Times New Roman" w:cs="Times New Roman"/>
          <w:color w:val="auto"/>
          <w:sz w:val="24"/>
        </w:rPr>
        <w:t>·</w:t>
      </w:r>
      <w:r>
        <w:rPr>
          <w:rFonts w:hint="eastAsia"/>
          <w:color w:val="auto"/>
          <w:sz w:val="24"/>
        </w:rPr>
        <w:t>日。本项目蛋鸡养殖规模为存栏量100万羽，全年养殖天数为365天，饮水量约为730000m</w:t>
      </w:r>
      <w:r>
        <w:rPr>
          <w:rFonts w:hint="eastAsia"/>
          <w:color w:val="auto"/>
          <w:sz w:val="24"/>
          <w:vertAlign w:val="superscript"/>
        </w:rPr>
        <w:t>3</w:t>
      </w:r>
      <w:r>
        <w:rPr>
          <w:rFonts w:hint="eastAsia"/>
          <w:color w:val="auto"/>
          <w:sz w:val="24"/>
        </w:rPr>
        <w:t>/a。</w:t>
      </w:r>
    </w:p>
    <w:p w14:paraId="22E5344C">
      <w:pPr>
        <w:spacing w:line="360" w:lineRule="auto"/>
        <w:ind w:firstLine="480" w:firstLineChars="200"/>
        <w:rPr>
          <w:rFonts w:hint="eastAsia"/>
          <w:color w:val="auto"/>
          <w:sz w:val="24"/>
          <w:lang w:eastAsia="zh-CN"/>
        </w:rPr>
      </w:pPr>
      <w:r>
        <w:rPr>
          <w:color w:val="auto"/>
          <w:sz w:val="24"/>
        </w:rPr>
        <w:fldChar w:fldCharType="begin"/>
      </w:r>
      <w:r>
        <w:rPr>
          <w:color w:val="auto"/>
          <w:sz w:val="24"/>
        </w:rPr>
        <w:instrText xml:space="preserve"> = 2 \* GB3 \* MERGEFORMAT </w:instrText>
      </w:r>
      <w:r>
        <w:rPr>
          <w:color w:val="auto"/>
          <w:sz w:val="24"/>
        </w:rPr>
        <w:fldChar w:fldCharType="separate"/>
      </w:r>
      <w:r>
        <w:rPr>
          <w:color w:val="auto"/>
        </w:rPr>
        <w:t>②</w:t>
      </w:r>
      <w:r>
        <w:rPr>
          <w:color w:val="auto"/>
          <w:sz w:val="24"/>
        </w:rPr>
        <w:fldChar w:fldCharType="end"/>
      </w:r>
      <w:r>
        <w:rPr>
          <w:rFonts w:hint="eastAsia"/>
          <w:color w:val="auto"/>
          <w:sz w:val="24"/>
          <w:lang w:eastAsia="zh-CN"/>
        </w:rPr>
        <w:t>鸡舍冲洗水</w:t>
      </w:r>
    </w:p>
    <w:p w14:paraId="0CC2A813">
      <w:pPr>
        <w:spacing w:line="360" w:lineRule="auto"/>
        <w:ind w:firstLine="480" w:firstLineChars="200"/>
        <w:rPr>
          <w:rFonts w:hint="eastAsia" w:cs="Times New Roman"/>
          <w:b w:val="0"/>
          <w:bCs w:val="0"/>
          <w:color w:val="auto"/>
          <w:sz w:val="24"/>
          <w:szCs w:val="24"/>
          <w:highlight w:val="none"/>
          <w:lang w:eastAsia="zh-CN"/>
        </w:rPr>
      </w:pPr>
      <w:r>
        <w:rPr>
          <w:color w:val="auto"/>
          <w:sz w:val="24"/>
        </w:rPr>
        <w:t>项目设蛋鸡设</w:t>
      </w:r>
      <w:r>
        <w:rPr>
          <w:rFonts w:hint="eastAsia"/>
          <w:color w:val="auto"/>
          <w:sz w:val="24"/>
          <w:lang w:val="en-US" w:eastAsia="zh-CN"/>
        </w:rPr>
        <w:t>8</w:t>
      </w:r>
      <w:r>
        <w:rPr>
          <w:color w:val="auto"/>
          <w:sz w:val="24"/>
        </w:rPr>
        <w:t>栋，鸡舍采用干清粪工艺，</w:t>
      </w:r>
      <w:r>
        <w:rPr>
          <w:rFonts w:hint="eastAsia"/>
          <w:color w:val="auto"/>
          <w:sz w:val="24"/>
        </w:rPr>
        <w:t>约500天淘汰1批鸡，并对相应鸡舍进行冲洗，蛋鸡在鸡舍生活410天。每三栋/四栋蛋鸡舍为一批，即410天冲洗4次</w:t>
      </w:r>
      <w:r>
        <w:rPr>
          <w:rFonts w:hint="eastAsia"/>
          <w:color w:val="auto"/>
          <w:sz w:val="24"/>
          <w:lang w:eastAsia="zh-CN"/>
        </w:rPr>
        <w:t>，经计算</w:t>
      </w:r>
      <w:r>
        <w:rPr>
          <w:rFonts w:hint="eastAsia"/>
          <w:color w:val="auto"/>
          <w:sz w:val="24"/>
        </w:rPr>
        <w:t>鸡舍冲洗用水量为</w:t>
      </w:r>
      <w:r>
        <w:rPr>
          <w:rFonts w:hint="eastAsia"/>
          <w:color w:val="auto"/>
          <w:sz w:val="24"/>
          <w:lang w:val="en-US" w:eastAsia="zh-CN"/>
        </w:rPr>
        <w:t>6.72</w:t>
      </w:r>
      <w:r>
        <w:rPr>
          <w:rFonts w:hint="eastAsia"/>
          <w:color w:val="auto"/>
          <w:sz w:val="24"/>
        </w:rPr>
        <w:t>t/410天（</w:t>
      </w:r>
      <w:r>
        <w:rPr>
          <w:rFonts w:hint="eastAsia"/>
          <w:color w:val="auto"/>
          <w:sz w:val="24"/>
          <w:lang w:val="en-US" w:eastAsia="zh-CN"/>
        </w:rPr>
        <w:t>5.98</w:t>
      </w:r>
      <w:r>
        <w:rPr>
          <w:rFonts w:hint="eastAsia"/>
          <w:color w:val="auto"/>
          <w:sz w:val="24"/>
        </w:rPr>
        <w:t>t/a）</w:t>
      </w:r>
    </w:p>
    <w:p w14:paraId="5C6B9C77">
      <w:pPr>
        <w:spacing w:line="360" w:lineRule="auto"/>
        <w:ind w:firstLine="480" w:firstLineChars="200"/>
        <w:rPr>
          <w:bCs/>
          <w:color w:val="auto"/>
          <w:sz w:val="24"/>
        </w:rPr>
      </w:pPr>
      <w:r>
        <w:rPr>
          <w:bCs/>
          <w:color w:val="auto"/>
          <w:sz w:val="24"/>
        </w:rPr>
        <w:fldChar w:fldCharType="begin"/>
      </w:r>
      <w:r>
        <w:rPr>
          <w:bCs/>
          <w:color w:val="auto"/>
          <w:sz w:val="24"/>
        </w:rPr>
        <w:instrText xml:space="preserve"> = 3 \* GB3 \* MERGEFORMAT </w:instrText>
      </w:r>
      <w:r>
        <w:rPr>
          <w:bCs/>
          <w:color w:val="auto"/>
          <w:sz w:val="24"/>
        </w:rPr>
        <w:fldChar w:fldCharType="separate"/>
      </w:r>
      <w:r>
        <w:rPr>
          <w:color w:val="auto"/>
        </w:rPr>
        <w:t>③</w:t>
      </w:r>
      <w:r>
        <w:rPr>
          <w:bCs/>
          <w:color w:val="auto"/>
          <w:sz w:val="24"/>
        </w:rPr>
        <w:fldChar w:fldCharType="end"/>
      </w:r>
      <w:r>
        <w:rPr>
          <w:bCs/>
          <w:color w:val="auto"/>
          <w:sz w:val="24"/>
        </w:rPr>
        <w:t>绿化用水</w:t>
      </w:r>
    </w:p>
    <w:p w14:paraId="6E4A66F5">
      <w:pPr>
        <w:pStyle w:val="366"/>
        <w:spacing w:line="360" w:lineRule="auto"/>
        <w:ind w:firstLine="480" w:firstLineChars="200"/>
        <w:rPr>
          <w:rFonts w:ascii="Times New Roman" w:cs="Times New Roman"/>
          <w:color w:val="auto"/>
          <w:highlight w:val="none"/>
        </w:rPr>
      </w:pPr>
      <w:r>
        <w:rPr>
          <w:rFonts w:ascii="Times New Roman" w:cs="Times New Roman"/>
          <w:bCs/>
          <w:color w:val="auto"/>
          <w:highlight w:val="none"/>
        </w:rPr>
        <w:t>项目年绿化时间约180d，绿化面积为</w:t>
      </w:r>
      <w:r>
        <w:rPr>
          <w:rFonts w:hint="eastAsia" w:ascii="Times New Roman" w:cs="Times New Roman"/>
          <w:bCs/>
          <w:color w:val="auto"/>
          <w:highlight w:val="none"/>
        </w:rPr>
        <w:t>5050</w:t>
      </w:r>
      <w:r>
        <w:rPr>
          <w:rFonts w:ascii="Times New Roman" w:cs="Times New Roman"/>
          <w:bCs/>
          <w:color w:val="auto"/>
          <w:highlight w:val="none"/>
        </w:rPr>
        <w:t>m</w:t>
      </w:r>
      <w:r>
        <w:rPr>
          <w:rFonts w:ascii="Times New Roman" w:cs="Times New Roman"/>
          <w:bCs/>
          <w:color w:val="auto"/>
          <w:highlight w:val="none"/>
          <w:vertAlign w:val="superscript"/>
        </w:rPr>
        <w:t>2</w:t>
      </w:r>
      <w:r>
        <w:rPr>
          <w:rFonts w:ascii="Times New Roman" w:cs="Times New Roman"/>
          <w:bCs/>
          <w:color w:val="auto"/>
          <w:highlight w:val="none"/>
        </w:rPr>
        <w:t>，用水量按2L/m</w:t>
      </w:r>
      <w:r>
        <w:rPr>
          <w:rFonts w:ascii="Times New Roman" w:cs="Times New Roman"/>
          <w:bCs/>
          <w:color w:val="auto"/>
          <w:highlight w:val="none"/>
          <w:vertAlign w:val="superscript"/>
        </w:rPr>
        <w:t>2</w:t>
      </w:r>
      <w:r>
        <w:rPr>
          <w:rFonts w:ascii="Times New Roman" w:cs="Times New Roman"/>
          <w:bCs/>
          <w:color w:val="auto"/>
          <w:highlight w:val="none"/>
        </w:rPr>
        <w:t>·d，则绿化用水量为</w:t>
      </w:r>
      <w:r>
        <w:rPr>
          <w:rFonts w:hint="eastAsia" w:ascii="Times New Roman" w:cs="Times New Roman"/>
          <w:bCs/>
          <w:color w:val="auto"/>
          <w:highlight w:val="none"/>
        </w:rPr>
        <w:t>1818</w:t>
      </w:r>
      <w:r>
        <w:rPr>
          <w:rFonts w:ascii="Times New Roman" w:cs="Times New Roman"/>
          <w:bCs/>
          <w:color w:val="auto"/>
          <w:highlight w:val="none"/>
        </w:rPr>
        <w:t>m</w:t>
      </w:r>
      <w:r>
        <w:rPr>
          <w:rFonts w:ascii="Times New Roman" w:cs="Times New Roman"/>
          <w:bCs/>
          <w:color w:val="auto"/>
          <w:highlight w:val="none"/>
          <w:vertAlign w:val="superscript"/>
        </w:rPr>
        <w:t>3</w:t>
      </w:r>
      <w:r>
        <w:rPr>
          <w:rFonts w:ascii="Times New Roman" w:cs="Times New Roman"/>
          <w:bCs/>
          <w:color w:val="auto"/>
          <w:highlight w:val="none"/>
        </w:rPr>
        <w:t>/a。</w:t>
      </w:r>
    </w:p>
    <w:p w14:paraId="5D214134">
      <w:pPr>
        <w:spacing w:line="360" w:lineRule="auto"/>
        <w:ind w:firstLine="480" w:firstLineChars="200"/>
        <w:rPr>
          <w:bCs/>
          <w:color w:val="auto"/>
          <w:sz w:val="24"/>
        </w:rPr>
      </w:pPr>
      <w:r>
        <w:rPr>
          <w:bCs/>
          <w:color w:val="auto"/>
          <w:sz w:val="24"/>
        </w:rPr>
        <w:fldChar w:fldCharType="begin"/>
      </w:r>
      <w:r>
        <w:rPr>
          <w:bCs/>
          <w:color w:val="auto"/>
          <w:sz w:val="24"/>
        </w:rPr>
        <w:instrText xml:space="preserve"> = 4 \* GB3 \* MERGEFORMAT </w:instrText>
      </w:r>
      <w:r>
        <w:rPr>
          <w:bCs/>
          <w:color w:val="auto"/>
          <w:sz w:val="24"/>
        </w:rPr>
        <w:fldChar w:fldCharType="separate"/>
      </w:r>
      <w:r>
        <w:rPr>
          <w:color w:val="auto"/>
        </w:rPr>
        <w:t>④</w:t>
      </w:r>
      <w:r>
        <w:rPr>
          <w:bCs/>
          <w:color w:val="auto"/>
          <w:sz w:val="24"/>
        </w:rPr>
        <w:fldChar w:fldCharType="end"/>
      </w:r>
      <w:r>
        <w:rPr>
          <w:bCs/>
          <w:color w:val="auto"/>
          <w:sz w:val="24"/>
        </w:rPr>
        <w:t>消毒用水</w:t>
      </w:r>
    </w:p>
    <w:p w14:paraId="3536F1D5">
      <w:pPr>
        <w:adjustRightInd w:val="0"/>
        <w:snapToGrid w:val="0"/>
        <w:spacing w:line="360" w:lineRule="auto"/>
        <w:ind w:firstLine="480" w:firstLineChars="200"/>
        <w:rPr>
          <w:color w:val="auto"/>
          <w:sz w:val="24"/>
        </w:rPr>
      </w:pPr>
      <w:r>
        <w:rPr>
          <w:color w:val="auto"/>
          <w:sz w:val="24"/>
        </w:rPr>
        <w:t>项目鸡舍消毒、车辆消毒及员工消毒均采用喷雾消毒，消毒剂主要为碘伏、复方酚溶液，其中碘伏年用量为1000L，浓度为0.5%，则新鲜水用量为199t/a；复方酚溶液年用量为1000L，配置比例为1:300，则新鲜水用量为300t。故项目消毒用水总量为499t/a。</w:t>
      </w:r>
    </w:p>
    <w:p w14:paraId="2EB80619">
      <w:pPr>
        <w:spacing w:line="360" w:lineRule="auto"/>
        <w:ind w:firstLine="480" w:firstLineChars="200"/>
        <w:rPr>
          <w:color w:val="auto"/>
          <w:sz w:val="24"/>
        </w:rPr>
      </w:pPr>
      <w:r>
        <w:rPr>
          <w:bCs/>
          <w:color w:val="auto"/>
          <w:sz w:val="24"/>
        </w:rPr>
        <w:fldChar w:fldCharType="begin"/>
      </w:r>
      <w:r>
        <w:rPr>
          <w:bCs/>
          <w:color w:val="auto"/>
          <w:sz w:val="24"/>
        </w:rPr>
        <w:instrText xml:space="preserve"> = 5 \* GB3 \* MERGEFORMAT </w:instrText>
      </w:r>
      <w:r>
        <w:rPr>
          <w:bCs/>
          <w:color w:val="auto"/>
          <w:sz w:val="24"/>
        </w:rPr>
        <w:fldChar w:fldCharType="separate"/>
      </w:r>
      <w:r>
        <w:rPr>
          <w:color w:val="auto"/>
        </w:rPr>
        <w:t>⑤</w:t>
      </w:r>
      <w:r>
        <w:rPr>
          <w:bCs/>
          <w:color w:val="auto"/>
          <w:sz w:val="24"/>
        </w:rPr>
        <w:fldChar w:fldCharType="end"/>
      </w:r>
      <w:r>
        <w:rPr>
          <w:color w:val="auto"/>
          <w:sz w:val="24"/>
        </w:rPr>
        <w:t>湿帘降温补充水</w:t>
      </w:r>
    </w:p>
    <w:p w14:paraId="18909464">
      <w:pPr>
        <w:pStyle w:val="68"/>
        <w:rPr>
          <w:rFonts w:hint="eastAsia"/>
          <w:color w:val="auto"/>
          <w:lang w:eastAsia="zh-CN"/>
        </w:rPr>
      </w:pPr>
      <w:r>
        <w:rPr>
          <w:color w:val="auto"/>
          <w:sz w:val="24"/>
        </w:rPr>
        <w:t>项目鸡舍夏季用水帘对鸡舍进行降温的天数约为100d，</w:t>
      </w:r>
      <w:r>
        <w:rPr>
          <w:rFonts w:hint="eastAsia"/>
          <w:color w:val="auto"/>
          <w:sz w:val="24"/>
        </w:rPr>
        <w:t>每栋鸡舍内设置3套水帘降温系统，共</w:t>
      </w:r>
      <w:r>
        <w:rPr>
          <w:rFonts w:hint="eastAsia"/>
          <w:color w:val="auto"/>
          <w:sz w:val="24"/>
          <w:lang w:val="en-US" w:eastAsia="zh-CN"/>
        </w:rPr>
        <w:t>24</w:t>
      </w:r>
      <w:r>
        <w:rPr>
          <w:rFonts w:hint="eastAsia"/>
          <w:color w:val="auto"/>
          <w:sz w:val="24"/>
        </w:rPr>
        <w:t>套，每栋蛋鸡舍设置1个18m</w:t>
      </w:r>
      <w:r>
        <w:rPr>
          <w:rFonts w:hint="eastAsia"/>
          <w:color w:val="auto"/>
          <w:sz w:val="24"/>
          <w:vertAlign w:val="superscript"/>
        </w:rPr>
        <w:t>3</w:t>
      </w:r>
      <w:r>
        <w:rPr>
          <w:rFonts w:hint="eastAsia"/>
          <w:color w:val="auto"/>
          <w:sz w:val="24"/>
        </w:rPr>
        <w:t>的循环水池，2个20m</w:t>
      </w:r>
      <w:r>
        <w:rPr>
          <w:rFonts w:hint="eastAsia"/>
          <w:color w:val="auto"/>
          <w:sz w:val="24"/>
          <w:vertAlign w:val="superscript"/>
        </w:rPr>
        <w:t>3</w:t>
      </w:r>
      <w:r>
        <w:rPr>
          <w:rFonts w:hint="eastAsia"/>
          <w:color w:val="auto"/>
          <w:sz w:val="24"/>
        </w:rPr>
        <w:t>的循环水池；项目每套水帘降温系统日均耗水量为2m</w:t>
      </w:r>
      <w:r>
        <w:rPr>
          <w:rFonts w:hint="eastAsia"/>
          <w:color w:val="auto"/>
          <w:sz w:val="24"/>
          <w:vertAlign w:val="superscript"/>
        </w:rPr>
        <w:t>3</w:t>
      </w:r>
      <w:r>
        <w:rPr>
          <w:rFonts w:hint="eastAsia"/>
          <w:color w:val="auto"/>
          <w:sz w:val="24"/>
        </w:rPr>
        <w:t>，全厂降温用水量为</w:t>
      </w:r>
      <w:r>
        <w:rPr>
          <w:rFonts w:hint="eastAsia"/>
          <w:color w:val="auto"/>
          <w:sz w:val="24"/>
          <w:lang w:val="en-US" w:eastAsia="zh-CN"/>
        </w:rPr>
        <w:t>48</w:t>
      </w:r>
      <w:r>
        <w:rPr>
          <w:rFonts w:hint="eastAsia"/>
          <w:color w:val="auto"/>
          <w:sz w:val="24"/>
        </w:rPr>
        <w:t>m</w:t>
      </w:r>
      <w:r>
        <w:rPr>
          <w:rFonts w:hint="eastAsia"/>
          <w:color w:val="auto"/>
          <w:sz w:val="24"/>
          <w:vertAlign w:val="superscript"/>
        </w:rPr>
        <w:t>3</w:t>
      </w:r>
      <w:r>
        <w:rPr>
          <w:rFonts w:hint="eastAsia"/>
          <w:color w:val="auto"/>
          <w:sz w:val="24"/>
        </w:rPr>
        <w:t>/d，则年用水量为</w:t>
      </w:r>
      <w:r>
        <w:rPr>
          <w:rFonts w:hint="eastAsia"/>
          <w:color w:val="auto"/>
          <w:sz w:val="24"/>
          <w:lang w:val="en-US" w:eastAsia="zh-CN"/>
        </w:rPr>
        <w:t>4800</w:t>
      </w:r>
      <w:r>
        <w:rPr>
          <w:rFonts w:hint="eastAsia"/>
          <w:color w:val="auto"/>
          <w:sz w:val="24"/>
        </w:rPr>
        <w:t>m</w:t>
      </w:r>
      <w:r>
        <w:rPr>
          <w:rFonts w:hint="eastAsia"/>
          <w:color w:val="auto"/>
          <w:sz w:val="24"/>
          <w:vertAlign w:val="superscript"/>
        </w:rPr>
        <w:t>3</w:t>
      </w:r>
      <w:r>
        <w:rPr>
          <w:rFonts w:hint="eastAsia"/>
          <w:color w:val="auto"/>
          <w:sz w:val="24"/>
        </w:rPr>
        <w:t>。</w:t>
      </w:r>
    </w:p>
    <w:p w14:paraId="63B358BE">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cs="Times New Roman"/>
          <w:b w:val="0"/>
          <w:bCs w:val="0"/>
          <w:color w:val="auto"/>
          <w:sz w:val="24"/>
          <w:szCs w:val="24"/>
          <w:highlight w:val="none"/>
          <w:lang w:val="en-US" w:eastAsia="zh-CN"/>
        </w:rPr>
      </w:pPr>
      <w:r>
        <w:rPr>
          <w:rFonts w:hint="eastAsia"/>
          <w:b w:val="0"/>
          <w:bCs w:val="0"/>
          <w:color w:val="auto"/>
          <w:sz w:val="24"/>
          <w:highlight w:val="none"/>
          <w:lang w:val="en-US" w:eastAsia="zh-CN"/>
        </w:rPr>
        <w:fldChar w:fldCharType="begin"/>
      </w:r>
      <w:r>
        <w:rPr>
          <w:rFonts w:hint="eastAsia"/>
          <w:b w:val="0"/>
          <w:bCs w:val="0"/>
          <w:color w:val="auto"/>
          <w:sz w:val="24"/>
          <w:highlight w:val="none"/>
          <w:lang w:val="en-US" w:eastAsia="zh-CN"/>
        </w:rPr>
        <w:instrText xml:space="preserve"> = 6 \* GB3 \* MERGEFORMAT </w:instrText>
      </w:r>
      <w:r>
        <w:rPr>
          <w:rFonts w:hint="eastAsia"/>
          <w:b w:val="0"/>
          <w:bCs w:val="0"/>
          <w:color w:val="auto"/>
          <w:sz w:val="24"/>
          <w:highlight w:val="none"/>
          <w:lang w:val="en-US" w:eastAsia="zh-CN"/>
        </w:rPr>
        <w:fldChar w:fldCharType="separate"/>
      </w:r>
      <w:r>
        <w:rPr>
          <w:color w:val="auto"/>
        </w:rPr>
        <w:t>⑥</w:t>
      </w:r>
      <w:r>
        <w:rPr>
          <w:rFonts w:hint="eastAsia"/>
          <w:b w:val="0"/>
          <w:bCs w:val="0"/>
          <w:color w:val="auto"/>
          <w:sz w:val="24"/>
          <w:highlight w:val="none"/>
          <w:lang w:val="en-US" w:eastAsia="zh-CN"/>
        </w:rPr>
        <w:fldChar w:fldCharType="end"/>
      </w:r>
      <w:r>
        <w:rPr>
          <w:rFonts w:hint="eastAsia"/>
          <w:b w:val="0"/>
          <w:bCs w:val="0"/>
          <w:color w:val="auto"/>
          <w:sz w:val="24"/>
          <w:highlight w:val="none"/>
          <w:lang w:val="en-US" w:eastAsia="zh-CN"/>
        </w:rPr>
        <w:t>锅炉热力网循环系统补水</w:t>
      </w:r>
    </w:p>
    <w:p w14:paraId="68531671">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color w:val="auto"/>
          <w:sz w:val="24"/>
          <w:szCs w:val="24"/>
          <w:highlight w:val="none"/>
          <w:lang w:val="en-US" w:eastAsia="zh-CN"/>
        </w:rPr>
      </w:pPr>
      <w:r>
        <w:rPr>
          <w:rFonts w:hint="eastAsia" w:cs="Times New Roman"/>
          <w:color w:val="auto"/>
          <w:sz w:val="24"/>
          <w:szCs w:val="24"/>
          <w:highlight w:val="none"/>
          <w:lang w:eastAsia="zh-CN"/>
        </w:rPr>
        <w:t>热水锅炉补水率较低，主要为热力网损失，根据</w:t>
      </w:r>
      <w:r>
        <w:rPr>
          <w:rFonts w:hint="default" w:ascii="Times New Roman" w:hAnsi="Times New Roman" w:eastAsia="宋体" w:cs="Times New Roman"/>
          <w:color w:val="auto"/>
          <w:sz w:val="24"/>
          <w:szCs w:val="24"/>
          <w:highlight w:val="none"/>
        </w:rPr>
        <w:t>《工业锅炉房设计手册》</w:t>
      </w:r>
      <w:r>
        <w:rPr>
          <w:rFonts w:hint="eastAsia" w:ascii="Times New Roman" w:hAnsi="Times New Roman" w:eastAsia="宋体" w:cs="Times New Roman"/>
          <w:color w:val="auto"/>
          <w:sz w:val="24"/>
          <w:szCs w:val="24"/>
          <w:highlight w:val="none"/>
          <w:lang w:eastAsia="zh-CN"/>
        </w:rPr>
        <w:t>，通常补水率为循环水量的</w:t>
      </w:r>
      <w:r>
        <w:rPr>
          <w:rFonts w:hint="eastAsia" w:ascii="Times New Roman" w:hAnsi="Times New Roman" w:eastAsia="宋体" w:cs="Times New Roman"/>
          <w:color w:val="auto"/>
          <w:sz w:val="24"/>
          <w:szCs w:val="24"/>
          <w:highlight w:val="none"/>
          <w:lang w:val="en-US" w:eastAsia="zh-CN"/>
        </w:rPr>
        <w:t>1%-2%，</w:t>
      </w:r>
      <w:r>
        <w:rPr>
          <w:rFonts w:hint="eastAsia" w:cs="Times New Roman"/>
          <w:color w:val="auto"/>
          <w:sz w:val="24"/>
          <w:szCs w:val="24"/>
          <w:highlight w:val="none"/>
          <w:lang w:eastAsia="zh-CN"/>
        </w:rPr>
        <w:t>即循环水量</w:t>
      </w:r>
      <w:r>
        <w:rPr>
          <w:rFonts w:hint="eastAsia" w:cs="Times New Roman"/>
          <w:color w:val="auto"/>
          <w:sz w:val="24"/>
          <w:szCs w:val="24"/>
          <w:highlight w:val="none"/>
          <w:lang w:val="en-US" w:eastAsia="zh-CN"/>
        </w:rPr>
        <w:t>=1000</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0.86</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1.4</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85</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60</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48</w:t>
      </w:r>
      <w:r>
        <w:rPr>
          <w:rFonts w:hint="eastAsia"/>
          <w:color w:val="auto"/>
          <w:sz w:val="24"/>
          <w:szCs w:val="24"/>
          <w:highlight w:val="none"/>
          <w:lang w:val="en-US" w:eastAsia="zh-CN"/>
        </w:rPr>
        <w:t>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/h，则补水量=48</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1.0</w:t>
      </w:r>
      <w:r>
        <w:rPr>
          <w:rFonts w:hint="eastAsia"/>
          <w:color w:val="auto"/>
          <w:sz w:val="24"/>
          <w:szCs w:val="24"/>
          <w:highlight w:val="none"/>
          <w:lang w:val="en-US" w:eastAsia="zh-CN"/>
        </w:rPr>
        <w:t>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/h，每台热水锅炉每天运行16h，即补水量16m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w:t>
      </w:r>
      <w:r>
        <w:rPr>
          <w:rFonts w:hint="default" w:ascii="Times New Roman" w:hAnsi="Times New Roman" w:cs="Times New Roman"/>
          <w:color w:val="auto"/>
          <w:sz w:val="24"/>
          <w:szCs w:val="24"/>
          <w:highlight w:val="none"/>
          <w:lang w:val="en-US" w:eastAsia="zh-CN"/>
        </w:rPr>
        <w:t>·</w:t>
      </w:r>
      <w:r>
        <w:rPr>
          <w:rFonts w:hint="eastAsia"/>
          <w:color w:val="auto"/>
          <w:sz w:val="24"/>
          <w:szCs w:val="24"/>
          <w:highlight w:val="none"/>
          <w:lang w:val="en-US" w:eastAsia="zh-CN"/>
        </w:rPr>
        <w:t>台，全年补水量为5760m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w:t>
      </w:r>
    </w:p>
    <w:p w14:paraId="4AD9982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color w:val="auto"/>
          <w:sz w:val="24"/>
          <w:szCs w:val="24"/>
          <w:highlight w:val="none"/>
          <w:lang w:val="en-US" w:eastAsia="zh-CN"/>
        </w:rPr>
      </w:pPr>
      <w:r>
        <w:rPr>
          <w:rFonts w:hint="eastAsia"/>
          <w:color w:val="auto"/>
          <w:sz w:val="24"/>
          <w:szCs w:val="24"/>
          <w:highlight w:val="none"/>
          <w:lang w:val="en-US" w:eastAsia="zh-CN"/>
        </w:rPr>
        <w:fldChar w:fldCharType="begin"/>
      </w:r>
      <w:r>
        <w:rPr>
          <w:rFonts w:hint="eastAsia"/>
          <w:color w:val="auto"/>
          <w:sz w:val="24"/>
          <w:szCs w:val="24"/>
          <w:highlight w:val="none"/>
          <w:lang w:val="en-US" w:eastAsia="zh-CN"/>
        </w:rPr>
        <w:instrText xml:space="preserve"> = 7 \* GB3 \* MERGEFORMAT </w:instrText>
      </w:r>
      <w:r>
        <w:rPr>
          <w:rFonts w:hint="eastAsia"/>
          <w:color w:val="auto"/>
          <w:sz w:val="24"/>
          <w:szCs w:val="24"/>
          <w:highlight w:val="none"/>
          <w:lang w:val="en-US" w:eastAsia="zh-CN"/>
        </w:rPr>
        <w:fldChar w:fldCharType="separate"/>
      </w:r>
      <w:r>
        <w:rPr>
          <w:color w:val="auto"/>
        </w:rPr>
        <w:t>⑦</w:t>
      </w:r>
      <w:r>
        <w:rPr>
          <w:rFonts w:hint="eastAsia"/>
          <w:color w:val="auto"/>
          <w:sz w:val="24"/>
          <w:szCs w:val="24"/>
          <w:highlight w:val="none"/>
          <w:lang w:val="en-US" w:eastAsia="zh-CN"/>
        </w:rPr>
        <w:fldChar w:fldCharType="end"/>
      </w:r>
      <w:r>
        <w:rPr>
          <w:rFonts w:hint="eastAsia"/>
          <w:color w:val="auto"/>
          <w:sz w:val="24"/>
          <w:szCs w:val="24"/>
          <w:highlight w:val="none"/>
          <w:lang w:val="en-US" w:eastAsia="zh-CN"/>
        </w:rPr>
        <w:t>锅炉定排补充水</w:t>
      </w:r>
    </w:p>
    <w:p w14:paraId="0E4B5DE4">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b w:val="0"/>
          <w:bCs w:val="0"/>
          <w:color w:val="auto"/>
          <w:sz w:val="24"/>
          <w:highlight w:val="none"/>
          <w:lang w:val="en-US" w:eastAsia="zh-CN"/>
        </w:rPr>
      </w:pPr>
      <w:r>
        <w:rPr>
          <w:rFonts w:hint="eastAsia"/>
          <w:color w:val="auto"/>
          <w:sz w:val="24"/>
          <w:szCs w:val="24"/>
          <w:highlight w:val="none"/>
          <w:lang w:val="en-US" w:eastAsia="zh-CN"/>
        </w:rPr>
        <w:t>则每台锅炉定排水为2t/h（由1.4MW折合为2t/h）</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0.1</w:t>
      </w:r>
      <w:r>
        <w:rPr>
          <w:rFonts w:hint="eastAsia" w:ascii="Times New Roman" w:hAnsi="Times New Roman" w:eastAsia="宋体" w:cs="Times New Roman"/>
          <w:color w:val="auto"/>
          <w:sz w:val="24"/>
          <w:szCs w:val="24"/>
          <w:highlight w:val="none"/>
          <w:lang w:val="en-US" w:eastAsia="zh-CN"/>
        </w:rPr>
        <w:t>t/h，合</w:t>
      </w:r>
      <w:r>
        <w:rPr>
          <w:rFonts w:hint="eastAsia" w:cs="Times New Roman"/>
          <w:color w:val="auto"/>
          <w:sz w:val="24"/>
          <w:szCs w:val="24"/>
          <w:highlight w:val="none"/>
          <w:lang w:val="en-US" w:eastAsia="zh-CN"/>
        </w:rPr>
        <w:t>1.6</w:t>
      </w:r>
      <w:r>
        <w:rPr>
          <w:rFonts w:hint="eastAsia"/>
          <w:color w:val="auto"/>
          <w:sz w:val="24"/>
          <w:szCs w:val="24"/>
          <w:highlight w:val="none"/>
          <w:lang w:val="en-US" w:eastAsia="zh-CN"/>
        </w:rPr>
        <w:t>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w:t>
      </w:r>
      <w:r>
        <w:rPr>
          <w:rFonts w:hint="default" w:ascii="Times New Roman" w:hAnsi="Times New Roman" w:cs="Times New Roman"/>
          <w:color w:val="auto"/>
          <w:sz w:val="24"/>
          <w:szCs w:val="24"/>
          <w:highlight w:val="none"/>
          <w:lang w:val="en-US" w:eastAsia="zh-CN"/>
        </w:rPr>
        <w:t>·</w:t>
      </w:r>
      <w:r>
        <w:rPr>
          <w:rFonts w:hint="eastAsia"/>
          <w:color w:val="auto"/>
          <w:sz w:val="24"/>
          <w:szCs w:val="24"/>
          <w:highlight w:val="none"/>
          <w:lang w:val="en-US" w:eastAsia="zh-CN"/>
        </w:rPr>
        <w:t>台，全年定排废水为576m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/a，由软水制备系统提供，补充水量为576m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w:t>
      </w:r>
    </w:p>
    <w:p w14:paraId="4EB25E81">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color w:val="auto"/>
          <w:sz w:val="24"/>
          <w:lang w:eastAsia="zh-CN"/>
        </w:rPr>
      </w:pPr>
      <w:r>
        <w:rPr>
          <w:rFonts w:hint="eastAsia"/>
          <w:color w:val="auto"/>
          <w:sz w:val="24"/>
          <w:lang w:eastAsia="zh-CN"/>
        </w:rPr>
        <w:fldChar w:fldCharType="begin"/>
      </w:r>
      <w:r>
        <w:rPr>
          <w:rFonts w:hint="eastAsia"/>
          <w:color w:val="auto"/>
          <w:sz w:val="24"/>
          <w:lang w:eastAsia="zh-CN"/>
        </w:rPr>
        <w:instrText xml:space="preserve"> = 8 \* GB3 \* MERGEFORMAT </w:instrText>
      </w:r>
      <w:r>
        <w:rPr>
          <w:rFonts w:hint="eastAsia"/>
          <w:color w:val="auto"/>
          <w:sz w:val="24"/>
          <w:lang w:eastAsia="zh-CN"/>
        </w:rPr>
        <w:fldChar w:fldCharType="separate"/>
      </w:r>
      <w:r>
        <w:rPr>
          <w:color w:val="auto"/>
        </w:rPr>
        <w:t>⑧</w:t>
      </w:r>
      <w:r>
        <w:rPr>
          <w:rFonts w:hint="eastAsia"/>
          <w:color w:val="auto"/>
          <w:sz w:val="24"/>
          <w:lang w:eastAsia="zh-CN"/>
        </w:rPr>
        <w:fldChar w:fldCharType="end"/>
      </w:r>
      <w:r>
        <w:rPr>
          <w:rFonts w:hint="eastAsia"/>
          <w:color w:val="auto"/>
          <w:sz w:val="24"/>
          <w:lang w:eastAsia="zh-CN"/>
        </w:rPr>
        <w:t>软水制备反冲洗用水</w:t>
      </w:r>
    </w:p>
    <w:p w14:paraId="3830C502">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b w:val="0"/>
          <w:bCs w:val="0"/>
          <w:color w:val="auto"/>
          <w:sz w:val="24"/>
          <w:highlight w:val="none"/>
          <w:lang w:val="en-US" w:eastAsia="zh-CN"/>
        </w:rPr>
      </w:pPr>
      <w:r>
        <w:rPr>
          <w:rFonts w:hint="eastAsia"/>
          <w:color w:val="auto"/>
          <w:sz w:val="24"/>
        </w:rPr>
        <w:t>根据</w:t>
      </w:r>
      <w:r>
        <w:rPr>
          <w:color w:val="auto"/>
          <w:sz w:val="24"/>
        </w:rPr>
        <w:t>《工业锅炉房设计手册》</w:t>
      </w:r>
      <w:r>
        <w:rPr>
          <w:rFonts w:hint="eastAsia"/>
          <w:color w:val="auto"/>
          <w:sz w:val="24"/>
        </w:rPr>
        <w:t>：对于阳离子交换树脂冲洗耗水量，按每立方米每次用水5-8m</w:t>
      </w:r>
      <w:r>
        <w:rPr>
          <w:rFonts w:hint="eastAsia"/>
          <w:color w:val="auto"/>
          <w:sz w:val="24"/>
          <w:vertAlign w:val="superscript"/>
        </w:rPr>
        <w:t>3</w:t>
      </w:r>
      <w:r>
        <w:rPr>
          <w:rFonts w:hint="eastAsia"/>
          <w:color w:val="auto"/>
          <w:sz w:val="24"/>
        </w:rPr>
        <w:t>估算。本次评价冲洗水量按5m</w:t>
      </w:r>
      <w:r>
        <w:rPr>
          <w:rFonts w:hint="eastAsia"/>
          <w:color w:val="auto"/>
          <w:sz w:val="24"/>
          <w:vertAlign w:val="superscript"/>
        </w:rPr>
        <w:t>3</w:t>
      </w:r>
      <w:r>
        <w:rPr>
          <w:rFonts w:hint="eastAsia"/>
          <w:color w:val="auto"/>
          <w:sz w:val="24"/>
        </w:rPr>
        <w:t>/次·m</w:t>
      </w:r>
      <w:r>
        <w:rPr>
          <w:rFonts w:hint="eastAsia"/>
          <w:color w:val="auto"/>
          <w:sz w:val="24"/>
          <w:vertAlign w:val="superscript"/>
        </w:rPr>
        <w:t>3</w:t>
      </w:r>
      <w:r>
        <w:rPr>
          <w:rFonts w:hint="eastAsia"/>
          <w:color w:val="auto"/>
          <w:sz w:val="24"/>
        </w:rPr>
        <w:t>计算，离子交换树脂体积为25L，即1套软化水设备再生需要补充新鲜水量为：0.025m</w:t>
      </w:r>
      <w:r>
        <w:rPr>
          <w:rFonts w:hint="eastAsia"/>
          <w:color w:val="auto"/>
          <w:sz w:val="24"/>
          <w:vertAlign w:val="superscript"/>
        </w:rPr>
        <w:t>3</w:t>
      </w:r>
      <w:r>
        <w:rPr>
          <w:color w:val="auto"/>
          <w:sz w:val="24"/>
        </w:rPr>
        <w:t>×</w:t>
      </w:r>
      <w:r>
        <w:rPr>
          <w:rFonts w:hint="eastAsia"/>
          <w:color w:val="auto"/>
          <w:sz w:val="24"/>
        </w:rPr>
        <w:t>5</w:t>
      </w:r>
      <w:r>
        <w:rPr>
          <w:rFonts w:hint="default" w:ascii="Arial" w:hAnsi="Arial" w:cs="Arial"/>
          <w:color w:val="auto"/>
          <w:sz w:val="24"/>
        </w:rPr>
        <w:t>÷</w:t>
      </w:r>
      <w:r>
        <w:rPr>
          <w:rFonts w:hint="eastAsia"/>
          <w:color w:val="auto"/>
          <w:sz w:val="24"/>
        </w:rPr>
        <w:t>7=0.018m</w:t>
      </w:r>
      <w:r>
        <w:rPr>
          <w:rFonts w:hint="eastAsia"/>
          <w:color w:val="auto"/>
          <w:sz w:val="24"/>
          <w:vertAlign w:val="superscript"/>
        </w:rPr>
        <w:t>3</w:t>
      </w:r>
      <w:r>
        <w:rPr>
          <w:rFonts w:hint="eastAsia"/>
          <w:color w:val="auto"/>
          <w:sz w:val="24"/>
        </w:rPr>
        <w:t>/d，</w:t>
      </w:r>
      <w:r>
        <w:rPr>
          <w:rFonts w:hint="eastAsia"/>
          <w:color w:val="auto"/>
          <w:sz w:val="24"/>
          <w:lang w:eastAsia="zh-CN"/>
        </w:rPr>
        <w:t>供暖</w:t>
      </w:r>
      <w:r>
        <w:rPr>
          <w:rFonts w:hint="eastAsia"/>
          <w:color w:val="auto"/>
          <w:sz w:val="24"/>
        </w:rPr>
        <w:t>天数约1</w:t>
      </w:r>
      <w:r>
        <w:rPr>
          <w:rFonts w:hint="eastAsia"/>
          <w:color w:val="auto"/>
          <w:sz w:val="24"/>
          <w:lang w:val="en-US" w:eastAsia="zh-CN"/>
        </w:rPr>
        <w:t>8</w:t>
      </w:r>
      <w:r>
        <w:rPr>
          <w:rFonts w:hint="eastAsia"/>
          <w:color w:val="auto"/>
          <w:sz w:val="24"/>
        </w:rPr>
        <w:t>0天，则软化水制备设备再生需要补充新鲜水量为</w:t>
      </w:r>
      <w:r>
        <w:rPr>
          <w:rFonts w:hint="eastAsia"/>
          <w:color w:val="auto"/>
          <w:sz w:val="24"/>
          <w:lang w:val="en-US" w:eastAsia="zh-CN"/>
        </w:rPr>
        <w:t>6.5</w:t>
      </w:r>
      <w:r>
        <w:rPr>
          <w:color w:val="auto"/>
          <w:sz w:val="24"/>
        </w:rPr>
        <w:t>t/a</w:t>
      </w:r>
      <w:r>
        <w:rPr>
          <w:rFonts w:hint="eastAsia"/>
          <w:color w:val="auto"/>
          <w:sz w:val="24"/>
        </w:rPr>
        <w:t>。</w:t>
      </w:r>
    </w:p>
    <w:p w14:paraId="100B3FC9">
      <w:pPr>
        <w:spacing w:line="360" w:lineRule="auto"/>
        <w:ind w:firstLine="480" w:firstLineChars="200"/>
        <w:rPr>
          <w:color w:val="auto"/>
          <w:sz w:val="24"/>
        </w:rPr>
      </w:pPr>
      <w:r>
        <w:rPr>
          <w:color w:val="auto"/>
          <w:sz w:val="24"/>
        </w:rPr>
        <w:fldChar w:fldCharType="begin"/>
      </w:r>
      <w:r>
        <w:rPr>
          <w:color w:val="auto"/>
          <w:sz w:val="24"/>
        </w:rPr>
        <w:instrText xml:space="preserve"> = 9 \* GB3 \* MERGEFORMAT </w:instrText>
      </w:r>
      <w:r>
        <w:rPr>
          <w:color w:val="auto"/>
          <w:sz w:val="24"/>
        </w:rPr>
        <w:fldChar w:fldCharType="separate"/>
      </w:r>
      <w:r>
        <w:rPr>
          <w:color w:val="auto"/>
        </w:rPr>
        <w:t>⑨</w:t>
      </w:r>
      <w:r>
        <w:rPr>
          <w:color w:val="auto"/>
          <w:sz w:val="24"/>
        </w:rPr>
        <w:fldChar w:fldCharType="end"/>
      </w:r>
      <w:r>
        <w:rPr>
          <w:color w:val="auto"/>
          <w:sz w:val="24"/>
        </w:rPr>
        <w:t>职工生活污水</w:t>
      </w:r>
    </w:p>
    <w:p w14:paraId="786A5BE4">
      <w:pPr>
        <w:spacing w:line="360" w:lineRule="auto"/>
        <w:ind w:firstLine="480" w:firstLineChars="200"/>
        <w:rPr>
          <w:color w:val="auto"/>
          <w:sz w:val="24"/>
        </w:rPr>
      </w:pPr>
      <w:r>
        <w:rPr>
          <w:color w:val="auto"/>
          <w:sz w:val="24"/>
        </w:rPr>
        <w:t>本项目运营期职工人数为</w:t>
      </w:r>
      <w:r>
        <w:rPr>
          <w:rFonts w:hint="eastAsia"/>
          <w:color w:val="auto"/>
          <w:sz w:val="24"/>
          <w:lang w:val="en-US" w:eastAsia="zh-CN"/>
        </w:rPr>
        <w:t>60</w:t>
      </w:r>
      <w:r>
        <w:rPr>
          <w:color w:val="auto"/>
          <w:sz w:val="24"/>
        </w:rPr>
        <w:t>人，职工生活用水量按30L/（人·d）计，年工作日365天，项目职工生活用水量约为</w:t>
      </w:r>
      <w:r>
        <w:rPr>
          <w:rFonts w:hint="eastAsia"/>
          <w:color w:val="auto"/>
          <w:sz w:val="24"/>
          <w:lang w:val="en-US" w:eastAsia="zh-CN"/>
        </w:rPr>
        <w:t>657</w:t>
      </w:r>
      <w:r>
        <w:rPr>
          <w:color w:val="auto"/>
          <w:sz w:val="24"/>
        </w:rPr>
        <w:t>t/a（</w:t>
      </w:r>
      <w:r>
        <w:rPr>
          <w:rFonts w:hint="eastAsia"/>
          <w:color w:val="auto"/>
          <w:sz w:val="24"/>
          <w:lang w:val="en-US" w:eastAsia="zh-CN"/>
        </w:rPr>
        <w:t>1.8</w:t>
      </w:r>
      <w:r>
        <w:rPr>
          <w:color w:val="auto"/>
          <w:sz w:val="24"/>
        </w:rPr>
        <w:t>t/d）。</w:t>
      </w:r>
    </w:p>
    <w:p w14:paraId="74794463">
      <w:pPr>
        <w:autoSpaceDE w:val="0"/>
        <w:autoSpaceDN w:val="0"/>
        <w:adjustRightInd w:val="0"/>
        <w:snapToGrid w:val="0"/>
        <w:spacing w:line="360" w:lineRule="auto"/>
        <w:ind w:firstLine="480" w:firstLineChars="200"/>
        <w:rPr>
          <w:color w:val="auto"/>
          <w:sz w:val="24"/>
        </w:rPr>
      </w:pPr>
      <w:r>
        <w:rPr>
          <w:color w:val="auto"/>
          <w:sz w:val="24"/>
        </w:rPr>
        <w:fldChar w:fldCharType="begin"/>
      </w:r>
      <w:r>
        <w:rPr>
          <w:color w:val="auto"/>
          <w:sz w:val="24"/>
        </w:rPr>
        <w:instrText xml:space="preserve"> = 10 \* GB3 \* MERGEFORMAT </w:instrText>
      </w:r>
      <w:r>
        <w:rPr>
          <w:color w:val="auto"/>
          <w:sz w:val="24"/>
        </w:rPr>
        <w:fldChar w:fldCharType="separate"/>
      </w:r>
      <w:r>
        <w:rPr>
          <w:color w:val="auto"/>
        </w:rPr>
        <w:t>⑩</w:t>
      </w:r>
      <w:r>
        <w:rPr>
          <w:color w:val="auto"/>
          <w:sz w:val="24"/>
        </w:rPr>
        <w:fldChar w:fldCharType="end"/>
      </w:r>
      <w:r>
        <w:rPr>
          <w:color w:val="auto"/>
          <w:sz w:val="24"/>
        </w:rPr>
        <w:t>食堂废水</w:t>
      </w:r>
    </w:p>
    <w:p w14:paraId="6961DDD5">
      <w:pPr>
        <w:snapToGrid w:val="0"/>
        <w:spacing w:line="360" w:lineRule="auto"/>
        <w:ind w:firstLine="480" w:firstLineChars="200"/>
        <w:rPr>
          <w:color w:val="auto"/>
          <w:sz w:val="24"/>
        </w:rPr>
      </w:pPr>
      <w:r>
        <w:rPr>
          <w:color w:val="auto"/>
          <w:sz w:val="24"/>
        </w:rPr>
        <w:t>食堂在运营过程中的废水主要为食材清洗水、餐具清洗水，职工食堂的用水定额为20-25L/人·餐”，本项目取20L/人·餐，</w:t>
      </w:r>
      <w:r>
        <w:rPr>
          <w:bCs/>
          <w:color w:val="auto"/>
          <w:sz w:val="24"/>
        </w:rPr>
        <w:t>项目就餐人数为</w:t>
      </w:r>
      <w:r>
        <w:rPr>
          <w:rFonts w:hint="eastAsia"/>
          <w:bCs/>
          <w:color w:val="auto"/>
          <w:sz w:val="24"/>
          <w:lang w:val="en-US" w:eastAsia="zh-CN"/>
        </w:rPr>
        <w:t>60</w:t>
      </w:r>
      <w:r>
        <w:rPr>
          <w:bCs/>
          <w:color w:val="auto"/>
          <w:sz w:val="24"/>
        </w:rPr>
        <w:t>人，</w:t>
      </w:r>
      <w:r>
        <w:rPr>
          <w:color w:val="auto"/>
          <w:sz w:val="24"/>
        </w:rPr>
        <w:t>提供</w:t>
      </w:r>
      <w:r>
        <w:rPr>
          <w:rFonts w:hint="eastAsia"/>
          <w:color w:val="auto"/>
          <w:sz w:val="24"/>
          <w:lang w:eastAsia="zh-CN"/>
        </w:rPr>
        <w:t>午</w:t>
      </w:r>
      <w:r>
        <w:rPr>
          <w:color w:val="auto"/>
          <w:sz w:val="24"/>
        </w:rPr>
        <w:t>餐，则年用水量为</w:t>
      </w:r>
      <w:r>
        <w:rPr>
          <w:rFonts w:hint="eastAsia"/>
          <w:color w:val="auto"/>
          <w:sz w:val="24"/>
          <w:lang w:val="en-US" w:eastAsia="zh-CN"/>
        </w:rPr>
        <w:t>438</w:t>
      </w:r>
      <w:r>
        <w:rPr>
          <w:color w:val="auto"/>
          <w:sz w:val="24"/>
        </w:rPr>
        <w:t>t。</w:t>
      </w:r>
    </w:p>
    <w:p w14:paraId="10593CE9">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b w:val="0"/>
          <w:bCs w:val="0"/>
          <w:color w:val="auto"/>
          <w:sz w:val="24"/>
          <w:highlight w:val="none"/>
          <w:lang w:val="en-US" w:eastAsia="zh-CN"/>
        </w:rPr>
      </w:pPr>
      <w:r>
        <w:rPr>
          <w:rFonts w:hint="eastAsia"/>
          <w:b w:val="0"/>
          <w:bCs w:val="0"/>
          <w:color w:val="auto"/>
          <w:sz w:val="24"/>
          <w:highlight w:val="none"/>
          <w:lang w:val="en-US" w:eastAsia="zh-CN"/>
        </w:rPr>
        <w:t>（2）排水</w:t>
      </w:r>
    </w:p>
    <w:p w14:paraId="6A90214E">
      <w:pPr>
        <w:spacing w:line="360" w:lineRule="auto"/>
        <w:ind w:firstLine="480" w:firstLineChars="200"/>
        <w:rPr>
          <w:color w:val="auto"/>
          <w:sz w:val="24"/>
        </w:rPr>
      </w:pPr>
      <w:r>
        <w:rPr>
          <w:rFonts w:hint="eastAsia"/>
          <w:color w:val="auto"/>
          <w:sz w:val="24"/>
          <w:lang w:eastAsia="zh-CN"/>
        </w:rPr>
        <w:t>厂区采取</w:t>
      </w:r>
      <w:r>
        <w:rPr>
          <w:color w:val="auto"/>
          <w:sz w:val="24"/>
        </w:rPr>
        <w:t>雨污分流</w:t>
      </w:r>
      <w:r>
        <w:rPr>
          <w:rFonts w:hint="eastAsia"/>
          <w:color w:val="auto"/>
          <w:sz w:val="24"/>
          <w:lang w:eastAsia="zh-CN"/>
        </w:rPr>
        <w:t>制</w:t>
      </w:r>
      <w:r>
        <w:rPr>
          <w:color w:val="auto"/>
          <w:sz w:val="24"/>
        </w:rPr>
        <w:t>，污水进入</w:t>
      </w:r>
      <w:r>
        <w:rPr>
          <w:rFonts w:hint="eastAsia"/>
          <w:color w:val="auto"/>
          <w:sz w:val="24"/>
          <w:lang w:eastAsia="zh-CN"/>
        </w:rPr>
        <w:t>各自</w:t>
      </w:r>
      <w:r>
        <w:rPr>
          <w:color w:val="auto"/>
          <w:sz w:val="24"/>
        </w:rPr>
        <w:t>污水</w:t>
      </w:r>
      <w:r>
        <w:rPr>
          <w:rFonts w:hint="eastAsia"/>
          <w:color w:val="auto"/>
          <w:sz w:val="24"/>
          <w:lang w:eastAsia="zh-CN"/>
        </w:rPr>
        <w:t>收集</w:t>
      </w:r>
      <w:r>
        <w:rPr>
          <w:color w:val="auto"/>
          <w:sz w:val="24"/>
        </w:rPr>
        <w:t>系统</w:t>
      </w:r>
      <w:r>
        <w:rPr>
          <w:rFonts w:hint="eastAsia"/>
          <w:color w:val="auto"/>
          <w:sz w:val="24"/>
          <w:lang w:eastAsia="zh-CN"/>
        </w:rPr>
        <w:t>，</w:t>
      </w:r>
      <w:r>
        <w:rPr>
          <w:rFonts w:hint="eastAsia"/>
          <w:color w:val="auto"/>
          <w:sz w:val="24"/>
        </w:rPr>
        <w:t>雨水通过雨水管网排出厂区</w:t>
      </w:r>
    </w:p>
    <w:p w14:paraId="1FEBE312">
      <w:pPr>
        <w:spacing w:line="360" w:lineRule="auto"/>
        <w:ind w:firstLine="480" w:firstLineChars="200"/>
        <w:rPr>
          <w:color w:val="auto"/>
          <w:sz w:val="24"/>
        </w:rPr>
      </w:pPr>
      <w:r>
        <w:rPr>
          <w:color w:val="auto"/>
          <w:sz w:val="24"/>
        </w:rPr>
        <w:fldChar w:fldCharType="begin"/>
      </w:r>
      <w:r>
        <w:rPr>
          <w:color w:val="auto"/>
          <w:sz w:val="24"/>
        </w:rPr>
        <w:instrText xml:space="preserve"> = 1 \* GB3 \* MERGEFORMAT </w:instrText>
      </w:r>
      <w:r>
        <w:rPr>
          <w:color w:val="auto"/>
          <w:sz w:val="24"/>
        </w:rPr>
        <w:fldChar w:fldCharType="separate"/>
      </w:r>
      <w:r>
        <w:rPr>
          <w:color w:val="auto"/>
        </w:rPr>
        <w:t>①</w:t>
      </w:r>
      <w:r>
        <w:rPr>
          <w:color w:val="auto"/>
          <w:sz w:val="24"/>
        </w:rPr>
        <w:fldChar w:fldCharType="end"/>
      </w:r>
      <w:r>
        <w:rPr>
          <w:color w:val="auto"/>
          <w:sz w:val="24"/>
        </w:rPr>
        <w:t>鸡舍冲洗废水</w:t>
      </w:r>
    </w:p>
    <w:p w14:paraId="3BBCB752">
      <w:pPr>
        <w:spacing w:line="360" w:lineRule="auto"/>
        <w:ind w:firstLine="480" w:firstLineChars="200"/>
        <w:rPr>
          <w:bCs/>
          <w:color w:val="auto"/>
          <w:sz w:val="24"/>
        </w:rPr>
      </w:pPr>
      <w:r>
        <w:rPr>
          <w:rFonts w:hint="eastAsia"/>
          <w:color w:val="auto"/>
          <w:sz w:val="24"/>
        </w:rPr>
        <w:t>本项目鸡舍冲洗用水量为</w:t>
      </w:r>
      <w:r>
        <w:rPr>
          <w:rFonts w:hint="eastAsia"/>
          <w:color w:val="auto"/>
          <w:sz w:val="24"/>
          <w:lang w:val="en-US" w:eastAsia="zh-CN"/>
        </w:rPr>
        <w:t>6.72</w:t>
      </w:r>
      <w:r>
        <w:rPr>
          <w:rFonts w:hint="eastAsia"/>
          <w:color w:val="auto"/>
          <w:sz w:val="24"/>
        </w:rPr>
        <w:t>t/410天（</w:t>
      </w:r>
      <w:r>
        <w:rPr>
          <w:rFonts w:hint="eastAsia"/>
          <w:color w:val="auto"/>
          <w:sz w:val="24"/>
          <w:lang w:val="en-US" w:eastAsia="zh-CN"/>
        </w:rPr>
        <w:t>5.98</w:t>
      </w:r>
      <w:r>
        <w:rPr>
          <w:rFonts w:hint="eastAsia"/>
          <w:color w:val="auto"/>
          <w:sz w:val="24"/>
        </w:rPr>
        <w:t>t/a），</w:t>
      </w:r>
      <w:r>
        <w:rPr>
          <w:color w:val="auto"/>
          <w:sz w:val="24"/>
        </w:rPr>
        <w:t>排水量按照用水量的8</w:t>
      </w:r>
      <w:r>
        <w:rPr>
          <w:rFonts w:hint="eastAsia"/>
          <w:color w:val="auto"/>
          <w:sz w:val="24"/>
        </w:rPr>
        <w:t>5</w:t>
      </w:r>
      <w:r>
        <w:rPr>
          <w:color w:val="auto"/>
          <w:sz w:val="24"/>
        </w:rPr>
        <w:t>%计</w:t>
      </w:r>
      <w:r>
        <w:rPr>
          <w:rFonts w:hint="eastAsia"/>
          <w:color w:val="auto"/>
          <w:sz w:val="24"/>
        </w:rPr>
        <w:t>，鸡舍冲洗废水总量为</w:t>
      </w:r>
      <w:r>
        <w:rPr>
          <w:rFonts w:hint="eastAsia"/>
          <w:color w:val="auto"/>
          <w:sz w:val="24"/>
          <w:lang w:val="en-US" w:eastAsia="zh-CN"/>
        </w:rPr>
        <w:t>5.08</w:t>
      </w:r>
      <w:r>
        <w:rPr>
          <w:rFonts w:hint="eastAsia"/>
          <w:color w:val="auto"/>
          <w:sz w:val="24"/>
        </w:rPr>
        <w:t>m</w:t>
      </w:r>
      <w:r>
        <w:rPr>
          <w:rFonts w:hint="eastAsia"/>
          <w:color w:val="auto"/>
          <w:sz w:val="24"/>
          <w:vertAlign w:val="superscript"/>
        </w:rPr>
        <w:t>3</w:t>
      </w:r>
      <w:r>
        <w:rPr>
          <w:rFonts w:hint="eastAsia"/>
          <w:color w:val="auto"/>
          <w:sz w:val="24"/>
        </w:rPr>
        <w:t>/a</w:t>
      </w:r>
      <w:r>
        <w:rPr>
          <w:rFonts w:hint="eastAsia"/>
          <w:color w:val="auto"/>
          <w:sz w:val="24"/>
          <w:lang w:eastAsia="zh-CN"/>
        </w:rPr>
        <w:t>，每栋鸡舍一次冲洗废水最大产生量为</w:t>
      </w:r>
      <w:r>
        <w:rPr>
          <w:rFonts w:hint="eastAsia"/>
          <w:color w:val="auto"/>
          <w:sz w:val="24"/>
          <w:lang w:val="en-US" w:eastAsia="zh-CN"/>
        </w:rPr>
        <w:t>1.69m</w:t>
      </w:r>
      <w:r>
        <w:rPr>
          <w:rFonts w:hint="eastAsia"/>
          <w:color w:val="auto"/>
          <w:sz w:val="24"/>
          <w:vertAlign w:val="superscript"/>
          <w:lang w:val="en-US" w:eastAsia="zh-CN"/>
        </w:rPr>
        <w:t>3</w:t>
      </w:r>
      <w:r>
        <w:rPr>
          <w:rFonts w:hint="eastAsia"/>
          <w:color w:val="auto"/>
          <w:sz w:val="24"/>
          <w:lang w:val="en-US" w:eastAsia="zh-CN"/>
        </w:rPr>
        <w:t>。</w:t>
      </w:r>
    </w:p>
    <w:p w14:paraId="2D7F4C42">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b w:val="0"/>
          <w:bCs w:val="0"/>
          <w:color w:val="auto"/>
          <w:sz w:val="24"/>
          <w:szCs w:val="24"/>
          <w:highlight w:val="none"/>
          <w:lang w:val="en-US" w:eastAsia="zh-CN"/>
        </w:rPr>
      </w:pPr>
      <w:r>
        <w:rPr>
          <w:rFonts w:hint="eastAsia"/>
          <w:b w:val="0"/>
          <w:bCs w:val="0"/>
          <w:color w:val="auto"/>
          <w:sz w:val="24"/>
          <w:highlight w:val="none"/>
          <w:lang w:val="en-US" w:eastAsia="zh-CN"/>
        </w:rPr>
        <w:fldChar w:fldCharType="begin"/>
      </w:r>
      <w:r>
        <w:rPr>
          <w:rFonts w:hint="eastAsia"/>
          <w:b w:val="0"/>
          <w:bCs w:val="0"/>
          <w:color w:val="auto"/>
          <w:sz w:val="24"/>
          <w:highlight w:val="none"/>
          <w:lang w:val="en-US" w:eastAsia="zh-CN"/>
        </w:rPr>
        <w:instrText xml:space="preserve"> = 2 \* GB3 \* MERGEFORMAT </w:instrText>
      </w:r>
      <w:r>
        <w:rPr>
          <w:rFonts w:hint="eastAsia"/>
          <w:b w:val="0"/>
          <w:bCs w:val="0"/>
          <w:color w:val="auto"/>
          <w:sz w:val="24"/>
          <w:highlight w:val="none"/>
          <w:lang w:val="en-US" w:eastAsia="zh-CN"/>
        </w:rPr>
        <w:fldChar w:fldCharType="separate"/>
      </w:r>
      <w:r>
        <w:rPr>
          <w:color w:val="auto"/>
          <w:highlight w:val="none"/>
        </w:rPr>
        <w:t>②</w:t>
      </w:r>
      <w:r>
        <w:rPr>
          <w:rFonts w:hint="eastAsia"/>
          <w:b w:val="0"/>
          <w:bCs w:val="0"/>
          <w:color w:val="auto"/>
          <w:sz w:val="24"/>
          <w:highlight w:val="none"/>
          <w:lang w:val="en-US" w:eastAsia="zh-CN"/>
        </w:rPr>
        <w:fldChar w:fldCharType="end"/>
      </w:r>
      <w:r>
        <w:rPr>
          <w:rFonts w:hint="eastAsia"/>
          <w:b w:val="0"/>
          <w:bCs w:val="0"/>
          <w:color w:val="auto"/>
          <w:sz w:val="24"/>
          <w:szCs w:val="24"/>
          <w:highlight w:val="none"/>
          <w:lang w:val="en-US" w:eastAsia="zh-CN"/>
        </w:rPr>
        <w:t>锅炉定排废水</w:t>
      </w:r>
    </w:p>
    <w:p w14:paraId="6826B275">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color w:val="auto"/>
          <w:sz w:val="24"/>
          <w:highlight w:val="none"/>
        </w:rPr>
      </w:pPr>
      <w:r>
        <w:rPr>
          <w:rFonts w:hint="eastAsia"/>
          <w:color w:val="auto"/>
          <w:sz w:val="24"/>
          <w:szCs w:val="24"/>
          <w:highlight w:val="none"/>
          <w:lang w:val="en-US" w:eastAsia="zh-CN"/>
        </w:rPr>
        <w:t>则每台锅炉定排水为2t/h（由1.4MW折合为2t/h）</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0.1</w:t>
      </w:r>
      <w:r>
        <w:rPr>
          <w:rFonts w:hint="eastAsia" w:ascii="Times New Roman" w:hAnsi="Times New Roman" w:eastAsia="宋体" w:cs="Times New Roman"/>
          <w:color w:val="auto"/>
          <w:sz w:val="24"/>
          <w:szCs w:val="24"/>
          <w:highlight w:val="none"/>
          <w:lang w:val="en-US" w:eastAsia="zh-CN"/>
        </w:rPr>
        <w:t>t/h，合</w:t>
      </w:r>
      <w:r>
        <w:rPr>
          <w:rFonts w:hint="eastAsia" w:cs="Times New Roman"/>
          <w:color w:val="auto"/>
          <w:sz w:val="24"/>
          <w:szCs w:val="24"/>
          <w:highlight w:val="none"/>
          <w:lang w:val="en-US" w:eastAsia="zh-CN"/>
        </w:rPr>
        <w:t>2.4</w:t>
      </w:r>
      <w:r>
        <w:rPr>
          <w:rFonts w:hint="eastAsia"/>
          <w:color w:val="auto"/>
          <w:sz w:val="24"/>
          <w:szCs w:val="24"/>
          <w:highlight w:val="none"/>
          <w:lang w:val="en-US" w:eastAsia="zh-CN"/>
        </w:rPr>
        <w:t>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w:t>
      </w:r>
      <w:r>
        <w:rPr>
          <w:rFonts w:hint="default" w:ascii="Times New Roman" w:hAnsi="Times New Roman" w:cs="Times New Roman"/>
          <w:color w:val="auto"/>
          <w:sz w:val="24"/>
          <w:szCs w:val="24"/>
          <w:highlight w:val="none"/>
          <w:lang w:val="en-US" w:eastAsia="zh-CN"/>
        </w:rPr>
        <w:t>·</w:t>
      </w:r>
      <w:r>
        <w:rPr>
          <w:rFonts w:hint="eastAsia"/>
          <w:color w:val="auto"/>
          <w:sz w:val="24"/>
          <w:szCs w:val="24"/>
          <w:highlight w:val="none"/>
          <w:lang w:val="en-US" w:eastAsia="zh-CN"/>
        </w:rPr>
        <w:t>台，全年定排废水为720m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w:t>
      </w:r>
      <w:r>
        <w:rPr>
          <w:rFonts w:hint="eastAsia"/>
          <w:color w:val="auto"/>
          <w:sz w:val="24"/>
          <w:highlight w:val="none"/>
        </w:rPr>
        <w:t>。</w:t>
      </w:r>
    </w:p>
    <w:p w14:paraId="3A86C0D4">
      <w:pPr>
        <w:spacing w:line="360" w:lineRule="auto"/>
        <w:ind w:firstLine="480" w:firstLineChars="200"/>
        <w:rPr>
          <w:color w:val="auto"/>
          <w:sz w:val="24"/>
        </w:rPr>
      </w:pPr>
      <w:r>
        <w:rPr>
          <w:bCs/>
          <w:color w:val="auto"/>
          <w:sz w:val="24"/>
        </w:rPr>
        <w:fldChar w:fldCharType="begin"/>
      </w:r>
      <w:r>
        <w:rPr>
          <w:bCs/>
          <w:color w:val="auto"/>
          <w:sz w:val="24"/>
        </w:rPr>
        <w:instrText xml:space="preserve"> = 3 \* GB3 \* MERGEFORMAT </w:instrText>
      </w:r>
      <w:r>
        <w:rPr>
          <w:bCs/>
          <w:color w:val="auto"/>
          <w:sz w:val="24"/>
        </w:rPr>
        <w:fldChar w:fldCharType="separate"/>
      </w:r>
      <w:r>
        <w:rPr>
          <w:color w:val="auto"/>
        </w:rPr>
        <w:t>③</w:t>
      </w:r>
      <w:r>
        <w:rPr>
          <w:bCs/>
          <w:color w:val="auto"/>
          <w:sz w:val="24"/>
        </w:rPr>
        <w:fldChar w:fldCharType="end"/>
      </w:r>
      <w:r>
        <w:rPr>
          <w:rFonts w:hint="eastAsia"/>
          <w:color w:val="auto"/>
          <w:sz w:val="24"/>
          <w:lang w:eastAsia="zh-CN"/>
        </w:rPr>
        <w:t>软水制备系统</w:t>
      </w:r>
      <w:r>
        <w:rPr>
          <w:rFonts w:hint="eastAsia"/>
          <w:color w:val="auto"/>
          <w:sz w:val="24"/>
        </w:rPr>
        <w:t>反冲洗废水</w:t>
      </w:r>
    </w:p>
    <w:p w14:paraId="347F0CA3">
      <w:pPr>
        <w:autoSpaceDE w:val="0"/>
        <w:autoSpaceDN w:val="0"/>
        <w:spacing w:line="360" w:lineRule="auto"/>
        <w:ind w:firstLine="480" w:firstLineChars="200"/>
        <w:rPr>
          <w:color w:val="auto"/>
          <w:sz w:val="24"/>
        </w:rPr>
      </w:pPr>
      <w:r>
        <w:rPr>
          <w:rFonts w:hint="eastAsia"/>
          <w:color w:val="auto"/>
          <w:sz w:val="24"/>
        </w:rPr>
        <w:t>软化水制备设备再生需要补充新鲜水量为</w:t>
      </w:r>
      <w:r>
        <w:rPr>
          <w:rFonts w:hint="eastAsia"/>
          <w:color w:val="auto"/>
          <w:sz w:val="24"/>
          <w:lang w:val="en-US" w:eastAsia="zh-CN"/>
        </w:rPr>
        <w:t>5.4</w:t>
      </w:r>
      <w:r>
        <w:rPr>
          <w:color w:val="auto"/>
          <w:sz w:val="24"/>
        </w:rPr>
        <w:t>t/a</w:t>
      </w:r>
      <w:r>
        <w:rPr>
          <w:rFonts w:hint="eastAsia"/>
          <w:color w:val="auto"/>
          <w:sz w:val="24"/>
        </w:rPr>
        <w:t>。</w:t>
      </w:r>
      <w:r>
        <w:rPr>
          <w:color w:val="auto"/>
          <w:sz w:val="24"/>
        </w:rPr>
        <w:t>反冲洗</w:t>
      </w:r>
      <w:r>
        <w:rPr>
          <w:rFonts w:hint="eastAsia"/>
          <w:color w:val="auto"/>
          <w:sz w:val="24"/>
        </w:rPr>
        <w:t>废</w:t>
      </w:r>
      <w:r>
        <w:rPr>
          <w:color w:val="auto"/>
          <w:sz w:val="24"/>
        </w:rPr>
        <w:t>水产生量</w:t>
      </w:r>
      <w:r>
        <w:rPr>
          <w:rFonts w:hint="eastAsia"/>
          <w:color w:val="auto"/>
          <w:sz w:val="24"/>
          <w:lang w:val="en-US" w:eastAsia="zh-CN"/>
        </w:rPr>
        <w:t>5.4</w:t>
      </w:r>
      <w:r>
        <w:rPr>
          <w:color w:val="auto"/>
          <w:sz w:val="24"/>
        </w:rPr>
        <w:t>t/a</w:t>
      </w:r>
      <w:r>
        <w:rPr>
          <w:rFonts w:hint="eastAsia"/>
          <w:color w:val="auto"/>
          <w:sz w:val="24"/>
        </w:rPr>
        <w:t>。</w:t>
      </w:r>
    </w:p>
    <w:p w14:paraId="2E372707">
      <w:pPr>
        <w:spacing w:line="360" w:lineRule="auto"/>
        <w:ind w:firstLine="480" w:firstLineChars="200"/>
        <w:rPr>
          <w:color w:val="auto"/>
          <w:sz w:val="24"/>
        </w:rPr>
      </w:pPr>
      <w:r>
        <w:rPr>
          <w:bCs/>
          <w:color w:val="auto"/>
          <w:sz w:val="24"/>
        </w:rPr>
        <w:fldChar w:fldCharType="begin"/>
      </w:r>
      <w:r>
        <w:rPr>
          <w:bCs/>
          <w:color w:val="auto"/>
          <w:sz w:val="24"/>
        </w:rPr>
        <w:instrText xml:space="preserve"> = 4 \* GB3 \* MERGEFORMAT </w:instrText>
      </w:r>
      <w:r>
        <w:rPr>
          <w:bCs/>
          <w:color w:val="auto"/>
          <w:sz w:val="24"/>
        </w:rPr>
        <w:fldChar w:fldCharType="separate"/>
      </w:r>
      <w:r>
        <w:rPr>
          <w:color w:val="auto"/>
        </w:rPr>
        <w:t>④</w:t>
      </w:r>
      <w:r>
        <w:rPr>
          <w:bCs/>
          <w:color w:val="auto"/>
          <w:sz w:val="24"/>
        </w:rPr>
        <w:fldChar w:fldCharType="end"/>
      </w:r>
      <w:r>
        <w:rPr>
          <w:color w:val="auto"/>
          <w:sz w:val="24"/>
        </w:rPr>
        <w:t>职工生活污水</w:t>
      </w:r>
    </w:p>
    <w:p w14:paraId="36A4E502">
      <w:pPr>
        <w:spacing w:line="360" w:lineRule="auto"/>
        <w:ind w:firstLine="480" w:firstLineChars="200"/>
        <w:rPr>
          <w:color w:val="auto"/>
          <w:sz w:val="24"/>
        </w:rPr>
      </w:pPr>
      <w:r>
        <w:rPr>
          <w:color w:val="auto"/>
          <w:sz w:val="24"/>
        </w:rPr>
        <w:t>项目职工生活用水量约为</w:t>
      </w:r>
      <w:r>
        <w:rPr>
          <w:rFonts w:hint="eastAsia"/>
          <w:color w:val="auto"/>
          <w:sz w:val="24"/>
          <w:lang w:val="en-US" w:eastAsia="zh-CN"/>
        </w:rPr>
        <w:t>657</w:t>
      </w:r>
      <w:r>
        <w:rPr>
          <w:color w:val="auto"/>
          <w:sz w:val="24"/>
        </w:rPr>
        <w:t>t/a（</w:t>
      </w:r>
      <w:r>
        <w:rPr>
          <w:rFonts w:hint="eastAsia"/>
          <w:color w:val="auto"/>
          <w:sz w:val="24"/>
          <w:lang w:val="en-US" w:eastAsia="zh-CN"/>
        </w:rPr>
        <w:t>1.8</w:t>
      </w:r>
      <w:r>
        <w:rPr>
          <w:color w:val="auto"/>
          <w:sz w:val="24"/>
        </w:rPr>
        <w:t>t/d）</w:t>
      </w:r>
      <w:r>
        <w:rPr>
          <w:rFonts w:hint="eastAsia"/>
          <w:color w:val="auto"/>
          <w:sz w:val="24"/>
          <w:lang w:eastAsia="zh-CN"/>
        </w:rPr>
        <w:t>，</w:t>
      </w:r>
      <w:r>
        <w:rPr>
          <w:color w:val="auto"/>
          <w:sz w:val="24"/>
        </w:rPr>
        <w:t>生活污水排放量按用水量的80％计，生活污水排放量为</w:t>
      </w:r>
      <w:r>
        <w:rPr>
          <w:rFonts w:hint="eastAsia"/>
          <w:color w:val="auto"/>
          <w:sz w:val="24"/>
          <w:lang w:val="en-US" w:eastAsia="zh-CN"/>
        </w:rPr>
        <w:t>525.6</w:t>
      </w:r>
      <w:r>
        <w:rPr>
          <w:color w:val="auto"/>
          <w:sz w:val="24"/>
        </w:rPr>
        <w:t>t/a（</w:t>
      </w:r>
      <w:r>
        <w:rPr>
          <w:rFonts w:hint="eastAsia"/>
          <w:color w:val="auto"/>
          <w:sz w:val="24"/>
          <w:lang w:val="en-US" w:eastAsia="zh-CN"/>
        </w:rPr>
        <w:t>1.44</w:t>
      </w:r>
      <w:r>
        <w:rPr>
          <w:color w:val="auto"/>
          <w:sz w:val="24"/>
        </w:rPr>
        <w:t>t/d）。</w:t>
      </w:r>
    </w:p>
    <w:p w14:paraId="5DD1CA75">
      <w:pPr>
        <w:autoSpaceDE w:val="0"/>
        <w:autoSpaceDN w:val="0"/>
        <w:adjustRightInd w:val="0"/>
        <w:snapToGrid w:val="0"/>
        <w:spacing w:line="360" w:lineRule="auto"/>
        <w:ind w:firstLine="480" w:firstLineChars="200"/>
        <w:rPr>
          <w:color w:val="auto"/>
          <w:sz w:val="24"/>
        </w:rPr>
      </w:pPr>
      <w:r>
        <w:rPr>
          <w:bCs/>
          <w:color w:val="auto"/>
          <w:sz w:val="24"/>
        </w:rPr>
        <w:fldChar w:fldCharType="begin"/>
      </w:r>
      <w:r>
        <w:rPr>
          <w:bCs/>
          <w:color w:val="auto"/>
          <w:sz w:val="24"/>
        </w:rPr>
        <w:instrText xml:space="preserve"> = 5 \* GB3 \* MERGEFORMAT </w:instrText>
      </w:r>
      <w:r>
        <w:rPr>
          <w:bCs/>
          <w:color w:val="auto"/>
          <w:sz w:val="24"/>
        </w:rPr>
        <w:fldChar w:fldCharType="separate"/>
      </w:r>
      <w:r>
        <w:rPr>
          <w:color w:val="auto"/>
        </w:rPr>
        <w:t>⑤</w:t>
      </w:r>
      <w:r>
        <w:rPr>
          <w:bCs/>
          <w:color w:val="auto"/>
          <w:sz w:val="24"/>
        </w:rPr>
        <w:fldChar w:fldCharType="end"/>
      </w:r>
      <w:r>
        <w:rPr>
          <w:color w:val="auto"/>
          <w:sz w:val="24"/>
        </w:rPr>
        <w:t>食堂废水</w:t>
      </w:r>
    </w:p>
    <w:p w14:paraId="49C062C0">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b w:val="0"/>
          <w:bCs w:val="0"/>
          <w:color w:val="auto"/>
          <w:sz w:val="24"/>
          <w:highlight w:val="none"/>
          <w:lang w:val="en-US" w:eastAsia="zh-CN"/>
        </w:rPr>
      </w:pPr>
      <w:r>
        <w:rPr>
          <w:rFonts w:hint="eastAsia"/>
          <w:color w:val="auto"/>
          <w:sz w:val="24"/>
          <w:lang w:eastAsia="zh-CN"/>
        </w:rPr>
        <w:t>食堂</w:t>
      </w:r>
      <w:r>
        <w:rPr>
          <w:color w:val="auto"/>
          <w:sz w:val="24"/>
        </w:rPr>
        <w:t>年用水量为</w:t>
      </w:r>
      <w:r>
        <w:rPr>
          <w:rFonts w:hint="eastAsia"/>
          <w:color w:val="auto"/>
          <w:sz w:val="24"/>
          <w:lang w:val="en-US" w:eastAsia="zh-CN"/>
        </w:rPr>
        <w:t>438</w:t>
      </w:r>
      <w:r>
        <w:rPr>
          <w:color w:val="auto"/>
          <w:sz w:val="24"/>
        </w:rPr>
        <w:t>t，排水量按总用水量的80%计，则排水量为</w:t>
      </w:r>
      <w:r>
        <w:rPr>
          <w:rFonts w:hint="eastAsia"/>
          <w:color w:val="auto"/>
          <w:sz w:val="24"/>
          <w:lang w:val="en-US" w:eastAsia="zh-CN"/>
        </w:rPr>
        <w:t>350.4</w:t>
      </w:r>
      <w:r>
        <w:rPr>
          <w:color w:val="auto"/>
          <w:sz w:val="24"/>
        </w:rPr>
        <w:t>t/a。</w:t>
      </w:r>
    </w:p>
    <w:p w14:paraId="42E0C602">
      <w:pPr>
        <w:autoSpaceDE w:val="0"/>
        <w:autoSpaceDN w:val="0"/>
        <w:adjustRightInd w:val="0"/>
        <w:snapToGrid w:val="0"/>
        <w:spacing w:line="360" w:lineRule="auto"/>
        <w:ind w:firstLine="482" w:firstLineChars="200"/>
        <w:rPr>
          <w:rFonts w:hint="eastAsia" w:ascii="Times New Roman" w:hAnsi="Times New Roman" w:eastAsia="宋体" w:cs="Times New Roman"/>
          <w:b/>
          <w:bCs w:val="0"/>
          <w:color w:val="auto"/>
          <w:sz w:val="24"/>
          <w:lang w:eastAsia="zh-CN"/>
        </w:rPr>
      </w:pPr>
      <w:r>
        <w:rPr>
          <w:rFonts w:hint="eastAsia" w:ascii="Times New Roman" w:hAnsi="Times New Roman" w:eastAsia="宋体" w:cs="Times New Roman"/>
          <w:b/>
          <w:bCs w:val="0"/>
          <w:color w:val="auto"/>
          <w:sz w:val="24"/>
          <w:lang w:eastAsia="zh-CN"/>
        </w:rPr>
        <w:t>项目</w:t>
      </w:r>
      <w:r>
        <w:rPr>
          <w:rFonts w:ascii="Times New Roman" w:hAnsi="Times New Roman" w:eastAsia="宋体" w:cs="Times New Roman"/>
          <w:b/>
          <w:bCs w:val="0"/>
          <w:color w:val="auto"/>
          <w:sz w:val="24"/>
        </w:rPr>
        <w:t>水平衡</w:t>
      </w:r>
      <w:r>
        <w:rPr>
          <w:rFonts w:hint="eastAsia" w:ascii="Times New Roman" w:hAnsi="Times New Roman" w:eastAsia="宋体" w:cs="Times New Roman"/>
          <w:b/>
          <w:bCs w:val="0"/>
          <w:color w:val="auto"/>
          <w:sz w:val="24"/>
          <w:lang w:eastAsia="zh-CN"/>
        </w:rPr>
        <w:t>：</w:t>
      </w:r>
    </w:p>
    <w:p w14:paraId="22CD715B">
      <w:pPr>
        <w:pStyle w:val="33"/>
        <w:spacing w:after="0" w:line="360" w:lineRule="auto"/>
        <w:ind w:left="0" w:leftChars="0" w:firstLine="480" w:firstLineChars="200"/>
        <w:rPr>
          <w:color w:val="auto"/>
        </w:rPr>
      </w:pPr>
      <w:r>
        <w:rPr>
          <w:color w:val="auto"/>
          <w:sz w:val="24"/>
          <w:lang w:val="zh-CN"/>
        </w:rPr>
        <w:t>项目各功能区用排水情况见表</w:t>
      </w:r>
      <w:r>
        <w:rPr>
          <w:rFonts w:hint="eastAsia"/>
          <w:color w:val="auto"/>
          <w:sz w:val="24"/>
          <w:lang w:val="en-US" w:eastAsia="zh-CN"/>
        </w:rPr>
        <w:t>3.2-10</w:t>
      </w:r>
      <w:r>
        <w:rPr>
          <w:color w:val="auto"/>
          <w:sz w:val="24"/>
        </w:rPr>
        <w:t>。</w:t>
      </w:r>
    </w:p>
    <w:p w14:paraId="2363222A">
      <w:pPr>
        <w:jc w:val="center"/>
        <w:rPr>
          <w:b/>
          <w:color w:val="auto"/>
          <w:szCs w:val="21"/>
          <w:highlight w:val="none"/>
        </w:rPr>
      </w:pPr>
      <w:r>
        <w:rPr>
          <w:b/>
          <w:color w:val="auto"/>
          <w:szCs w:val="21"/>
          <w:highlight w:val="none"/>
        </w:rPr>
        <w:t>表</w:t>
      </w:r>
      <w:r>
        <w:rPr>
          <w:rFonts w:hint="eastAsia"/>
          <w:b/>
          <w:color w:val="auto"/>
          <w:szCs w:val="21"/>
          <w:highlight w:val="none"/>
          <w:lang w:val="en-US" w:eastAsia="zh-CN"/>
        </w:rPr>
        <w:t xml:space="preserve">3.2-10 </w:t>
      </w:r>
      <w:r>
        <w:rPr>
          <w:b/>
          <w:color w:val="auto"/>
          <w:szCs w:val="21"/>
          <w:highlight w:val="none"/>
        </w:rPr>
        <w:t xml:space="preserve">   项目各功能区用排水数量情况</w:t>
      </w:r>
      <w:r>
        <w:rPr>
          <w:rFonts w:hint="eastAsia"/>
          <w:b/>
          <w:color w:val="auto"/>
          <w:szCs w:val="21"/>
          <w:highlight w:val="none"/>
        </w:rPr>
        <w:t xml:space="preserve">   单位：t/a</w:t>
      </w:r>
    </w:p>
    <w:tbl>
      <w:tblPr>
        <w:tblStyle w:val="53"/>
        <w:tblW w:w="4997" w:type="pct"/>
        <w:jc w:val="center"/>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474"/>
        <w:gridCol w:w="1109"/>
        <w:gridCol w:w="706"/>
        <w:gridCol w:w="1005"/>
        <w:gridCol w:w="1156"/>
        <w:gridCol w:w="3073"/>
      </w:tblGrid>
      <w:tr w14:paraId="3EA1E613">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94" w:hRule="atLeast"/>
          <w:jc w:val="center"/>
        </w:trPr>
        <w:tc>
          <w:tcPr>
            <w:tcW w:w="864" w:type="pct"/>
            <w:vAlign w:val="center"/>
          </w:tcPr>
          <w:p w14:paraId="393EB08D">
            <w:pPr>
              <w:jc w:val="center"/>
              <w:rPr>
                <w:b/>
                <w:color w:val="auto"/>
                <w:szCs w:val="21"/>
                <w:highlight w:val="none"/>
              </w:rPr>
            </w:pPr>
            <w:r>
              <w:rPr>
                <w:b/>
                <w:color w:val="auto"/>
                <w:szCs w:val="21"/>
                <w:highlight w:val="none"/>
              </w:rPr>
              <w:t>用排水环节</w:t>
            </w:r>
          </w:p>
        </w:tc>
        <w:tc>
          <w:tcPr>
            <w:tcW w:w="650" w:type="pct"/>
            <w:tcBorders>
              <w:right w:val="single" w:color="auto" w:sz="4" w:space="0"/>
            </w:tcBorders>
            <w:vAlign w:val="center"/>
          </w:tcPr>
          <w:p w14:paraId="07B0EAF1">
            <w:pPr>
              <w:jc w:val="center"/>
              <w:rPr>
                <w:b/>
                <w:color w:val="auto"/>
                <w:szCs w:val="21"/>
                <w:highlight w:val="none"/>
              </w:rPr>
            </w:pPr>
            <w:r>
              <w:rPr>
                <w:b/>
                <w:color w:val="auto"/>
                <w:szCs w:val="21"/>
                <w:highlight w:val="none"/>
              </w:rPr>
              <w:t>用水</w:t>
            </w:r>
          </w:p>
        </w:tc>
        <w:tc>
          <w:tcPr>
            <w:tcW w:w="414" w:type="pct"/>
            <w:tcBorders>
              <w:left w:val="single" w:color="auto" w:sz="4" w:space="0"/>
            </w:tcBorders>
            <w:vAlign w:val="center"/>
          </w:tcPr>
          <w:p w14:paraId="61477F2C">
            <w:pPr>
              <w:jc w:val="center"/>
              <w:rPr>
                <w:b/>
                <w:color w:val="auto"/>
                <w:szCs w:val="21"/>
                <w:highlight w:val="none"/>
              </w:rPr>
            </w:pPr>
            <w:r>
              <w:rPr>
                <w:b/>
                <w:color w:val="auto"/>
                <w:szCs w:val="21"/>
                <w:highlight w:val="none"/>
              </w:rPr>
              <w:t>排水系数</w:t>
            </w:r>
          </w:p>
        </w:tc>
        <w:tc>
          <w:tcPr>
            <w:tcW w:w="589" w:type="pct"/>
            <w:vAlign w:val="center"/>
          </w:tcPr>
          <w:p w14:paraId="1E13D743">
            <w:pPr>
              <w:jc w:val="center"/>
              <w:rPr>
                <w:b/>
                <w:color w:val="auto"/>
                <w:szCs w:val="21"/>
                <w:highlight w:val="none"/>
              </w:rPr>
            </w:pPr>
            <w:r>
              <w:rPr>
                <w:b/>
                <w:color w:val="auto"/>
                <w:szCs w:val="21"/>
                <w:highlight w:val="none"/>
              </w:rPr>
              <w:t>排水</w:t>
            </w:r>
          </w:p>
        </w:tc>
        <w:tc>
          <w:tcPr>
            <w:tcW w:w="678" w:type="pct"/>
            <w:tcBorders>
              <w:bottom w:val="single" w:color="auto" w:sz="6" w:space="0"/>
            </w:tcBorders>
            <w:vAlign w:val="center"/>
          </w:tcPr>
          <w:p w14:paraId="31091613">
            <w:pPr>
              <w:jc w:val="center"/>
              <w:rPr>
                <w:rFonts w:hint="eastAsia" w:eastAsia="宋体"/>
                <w:b/>
                <w:color w:val="auto"/>
                <w:szCs w:val="21"/>
                <w:highlight w:val="none"/>
                <w:lang w:eastAsia="zh-CN"/>
              </w:rPr>
            </w:pPr>
            <w:r>
              <w:rPr>
                <w:rFonts w:hint="eastAsia"/>
                <w:b/>
                <w:color w:val="auto"/>
                <w:szCs w:val="21"/>
                <w:highlight w:val="none"/>
                <w:lang w:eastAsia="zh-CN"/>
              </w:rPr>
              <w:t>损失</w:t>
            </w:r>
          </w:p>
        </w:tc>
        <w:tc>
          <w:tcPr>
            <w:tcW w:w="1802" w:type="pct"/>
            <w:vAlign w:val="center"/>
          </w:tcPr>
          <w:p w14:paraId="3584436D">
            <w:pPr>
              <w:jc w:val="center"/>
              <w:rPr>
                <w:b/>
                <w:color w:val="auto"/>
                <w:szCs w:val="21"/>
                <w:highlight w:val="none"/>
              </w:rPr>
            </w:pPr>
            <w:r>
              <w:rPr>
                <w:b/>
                <w:color w:val="auto"/>
                <w:szCs w:val="21"/>
                <w:highlight w:val="none"/>
              </w:rPr>
              <w:t>备注</w:t>
            </w:r>
          </w:p>
        </w:tc>
      </w:tr>
      <w:tr w14:paraId="0289DE3A">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64" w:type="pct"/>
            <w:vAlign w:val="center"/>
          </w:tcPr>
          <w:p w14:paraId="619CE1A6">
            <w:pPr>
              <w:jc w:val="center"/>
              <w:rPr>
                <w:color w:val="auto"/>
                <w:szCs w:val="21"/>
                <w:highlight w:val="none"/>
              </w:rPr>
            </w:pPr>
            <w:r>
              <w:rPr>
                <w:color w:val="auto"/>
                <w:szCs w:val="21"/>
                <w:highlight w:val="none"/>
              </w:rPr>
              <w:t>鸡饮用</w:t>
            </w:r>
          </w:p>
        </w:tc>
        <w:tc>
          <w:tcPr>
            <w:tcW w:w="650" w:type="pct"/>
            <w:tcBorders>
              <w:right w:val="single" w:color="auto" w:sz="4" w:space="0"/>
            </w:tcBorders>
            <w:vAlign w:val="center"/>
          </w:tcPr>
          <w:p w14:paraId="62331D3F">
            <w:pPr>
              <w:jc w:val="center"/>
              <w:rPr>
                <w:color w:val="auto"/>
                <w:szCs w:val="21"/>
                <w:highlight w:val="none"/>
              </w:rPr>
            </w:pPr>
            <w:r>
              <w:rPr>
                <w:rFonts w:hint="eastAsia"/>
                <w:color w:val="auto"/>
                <w:szCs w:val="21"/>
                <w:highlight w:val="none"/>
              </w:rPr>
              <w:t>730000</w:t>
            </w:r>
          </w:p>
        </w:tc>
        <w:tc>
          <w:tcPr>
            <w:tcW w:w="414" w:type="pct"/>
            <w:tcBorders>
              <w:left w:val="single" w:color="auto" w:sz="4" w:space="0"/>
            </w:tcBorders>
            <w:vAlign w:val="center"/>
          </w:tcPr>
          <w:p w14:paraId="264EB717">
            <w:pPr>
              <w:jc w:val="center"/>
              <w:rPr>
                <w:color w:val="auto"/>
                <w:szCs w:val="21"/>
                <w:highlight w:val="none"/>
              </w:rPr>
            </w:pPr>
            <w:r>
              <w:rPr>
                <w:rFonts w:hint="eastAsia"/>
                <w:color w:val="auto"/>
                <w:szCs w:val="21"/>
                <w:highlight w:val="none"/>
              </w:rPr>
              <w:t>5.2</w:t>
            </w:r>
            <w:r>
              <w:rPr>
                <w:color w:val="auto"/>
                <w:szCs w:val="21"/>
                <w:highlight w:val="none"/>
              </w:rPr>
              <w:t>%</w:t>
            </w:r>
          </w:p>
        </w:tc>
        <w:tc>
          <w:tcPr>
            <w:tcW w:w="589" w:type="pct"/>
            <w:vAlign w:val="center"/>
          </w:tcPr>
          <w:p w14:paraId="1C37A4B4">
            <w:pPr>
              <w:jc w:val="center"/>
              <w:rPr>
                <w:color w:val="auto"/>
                <w:szCs w:val="21"/>
                <w:highlight w:val="none"/>
              </w:rPr>
            </w:pPr>
            <w:r>
              <w:rPr>
                <w:rFonts w:hint="eastAsia"/>
                <w:color w:val="auto"/>
                <w:szCs w:val="21"/>
                <w:highlight w:val="none"/>
              </w:rPr>
              <w:t>37960</w:t>
            </w:r>
          </w:p>
        </w:tc>
        <w:tc>
          <w:tcPr>
            <w:tcW w:w="678" w:type="pct"/>
            <w:tcBorders>
              <w:bottom w:val="single" w:color="auto" w:sz="6" w:space="0"/>
            </w:tcBorders>
            <w:vAlign w:val="center"/>
          </w:tcPr>
          <w:p w14:paraId="6A55E564">
            <w:pPr>
              <w:jc w:val="center"/>
              <w:rPr>
                <w:rFonts w:hint="default" w:eastAsia="宋体"/>
                <w:color w:val="auto"/>
                <w:szCs w:val="21"/>
                <w:highlight w:val="none"/>
                <w:lang w:val="en-US" w:eastAsia="zh-CN"/>
              </w:rPr>
            </w:pPr>
            <w:r>
              <w:rPr>
                <w:rFonts w:hint="eastAsia"/>
                <w:color w:val="auto"/>
                <w:szCs w:val="21"/>
                <w:highlight w:val="none"/>
                <w:lang w:val="en-US" w:eastAsia="zh-CN"/>
              </w:rPr>
              <w:t>692040</w:t>
            </w:r>
          </w:p>
        </w:tc>
        <w:tc>
          <w:tcPr>
            <w:tcW w:w="1802" w:type="pct"/>
            <w:tcBorders>
              <w:bottom w:val="single" w:color="auto" w:sz="6" w:space="0"/>
            </w:tcBorders>
            <w:vAlign w:val="center"/>
          </w:tcPr>
          <w:p w14:paraId="57F6223E">
            <w:pPr>
              <w:jc w:val="center"/>
              <w:rPr>
                <w:color w:val="auto"/>
                <w:szCs w:val="21"/>
                <w:highlight w:val="none"/>
              </w:rPr>
            </w:pPr>
            <w:r>
              <w:rPr>
                <w:rFonts w:hint="eastAsia"/>
                <w:color w:val="auto"/>
                <w:szCs w:val="21"/>
                <w:highlight w:val="none"/>
              </w:rPr>
              <w:t>37960</w:t>
            </w:r>
            <w:r>
              <w:rPr>
                <w:color w:val="auto"/>
                <w:szCs w:val="21"/>
                <w:highlight w:val="none"/>
              </w:rPr>
              <w:t>t随鸡粪排走；</w:t>
            </w:r>
            <w:r>
              <w:rPr>
                <w:rFonts w:hint="eastAsia"/>
                <w:color w:val="auto"/>
                <w:szCs w:val="21"/>
                <w:highlight w:val="none"/>
              </w:rPr>
              <w:t>692040</w:t>
            </w:r>
            <w:r>
              <w:rPr>
                <w:color w:val="auto"/>
                <w:szCs w:val="21"/>
                <w:highlight w:val="none"/>
              </w:rPr>
              <w:t>t由鸡只吸收</w:t>
            </w:r>
          </w:p>
        </w:tc>
      </w:tr>
      <w:tr w14:paraId="2585125D">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64" w:type="pct"/>
            <w:vAlign w:val="center"/>
          </w:tcPr>
          <w:p w14:paraId="218376CB">
            <w:pPr>
              <w:jc w:val="center"/>
              <w:rPr>
                <w:color w:val="auto"/>
                <w:szCs w:val="21"/>
                <w:highlight w:val="none"/>
              </w:rPr>
            </w:pPr>
            <w:r>
              <w:rPr>
                <w:color w:val="auto"/>
                <w:szCs w:val="21"/>
                <w:highlight w:val="none"/>
              </w:rPr>
              <w:t>鸡舍冲洗用水</w:t>
            </w:r>
          </w:p>
        </w:tc>
        <w:tc>
          <w:tcPr>
            <w:tcW w:w="650" w:type="pct"/>
            <w:tcBorders>
              <w:right w:val="single" w:color="auto" w:sz="4" w:space="0"/>
            </w:tcBorders>
            <w:vAlign w:val="center"/>
          </w:tcPr>
          <w:p w14:paraId="6DE60366">
            <w:pPr>
              <w:jc w:val="center"/>
              <w:rPr>
                <w:rFonts w:hint="default" w:eastAsia="宋体"/>
                <w:color w:val="auto"/>
                <w:szCs w:val="21"/>
                <w:highlight w:val="none"/>
                <w:lang w:val="en-US" w:eastAsia="zh-CN"/>
              </w:rPr>
            </w:pPr>
            <w:r>
              <w:rPr>
                <w:rFonts w:hint="eastAsia"/>
                <w:color w:val="auto"/>
                <w:szCs w:val="21"/>
                <w:highlight w:val="none"/>
                <w:lang w:val="en-US" w:eastAsia="zh-CN"/>
              </w:rPr>
              <w:t>5.98</w:t>
            </w:r>
          </w:p>
        </w:tc>
        <w:tc>
          <w:tcPr>
            <w:tcW w:w="414" w:type="pct"/>
            <w:tcBorders>
              <w:left w:val="single" w:color="auto" w:sz="4" w:space="0"/>
            </w:tcBorders>
            <w:vAlign w:val="center"/>
          </w:tcPr>
          <w:p w14:paraId="720F608E">
            <w:pPr>
              <w:jc w:val="center"/>
              <w:rPr>
                <w:color w:val="auto"/>
                <w:szCs w:val="21"/>
                <w:highlight w:val="none"/>
              </w:rPr>
            </w:pPr>
            <w:r>
              <w:rPr>
                <w:color w:val="auto"/>
                <w:szCs w:val="21"/>
                <w:highlight w:val="none"/>
              </w:rPr>
              <w:t>8</w:t>
            </w:r>
            <w:r>
              <w:rPr>
                <w:rFonts w:hint="eastAsia"/>
                <w:color w:val="auto"/>
                <w:szCs w:val="21"/>
                <w:highlight w:val="none"/>
              </w:rPr>
              <w:t>5</w:t>
            </w:r>
            <w:r>
              <w:rPr>
                <w:color w:val="auto"/>
                <w:szCs w:val="21"/>
                <w:highlight w:val="none"/>
              </w:rPr>
              <w:t>%</w:t>
            </w:r>
          </w:p>
        </w:tc>
        <w:tc>
          <w:tcPr>
            <w:tcW w:w="589" w:type="pct"/>
            <w:vAlign w:val="center"/>
          </w:tcPr>
          <w:p w14:paraId="07785209">
            <w:pPr>
              <w:jc w:val="center"/>
              <w:rPr>
                <w:rFonts w:hint="default" w:eastAsia="宋体"/>
                <w:color w:val="auto"/>
                <w:szCs w:val="21"/>
                <w:highlight w:val="none"/>
                <w:lang w:val="en-US" w:eastAsia="zh-CN"/>
              </w:rPr>
            </w:pPr>
            <w:r>
              <w:rPr>
                <w:rFonts w:hint="eastAsia"/>
                <w:color w:val="auto"/>
                <w:szCs w:val="21"/>
                <w:highlight w:val="none"/>
                <w:lang w:val="en-US" w:eastAsia="zh-CN"/>
              </w:rPr>
              <w:t>5.08</w:t>
            </w:r>
          </w:p>
        </w:tc>
        <w:tc>
          <w:tcPr>
            <w:tcW w:w="678" w:type="pct"/>
            <w:tcBorders>
              <w:top w:val="single" w:color="auto" w:sz="6" w:space="0"/>
            </w:tcBorders>
            <w:vAlign w:val="center"/>
          </w:tcPr>
          <w:p w14:paraId="11BF4B58">
            <w:pPr>
              <w:jc w:val="center"/>
              <w:rPr>
                <w:rFonts w:hint="default" w:ascii="Times New Roman" w:hAnsi="Times New Roman"/>
                <w:color w:val="auto"/>
                <w:szCs w:val="22"/>
                <w:highlight w:val="none"/>
                <w:lang w:val="en-US" w:eastAsia="zh-CN"/>
              </w:rPr>
            </w:pPr>
            <w:r>
              <w:rPr>
                <w:rFonts w:hint="eastAsia"/>
                <w:color w:val="auto"/>
                <w:szCs w:val="22"/>
                <w:highlight w:val="none"/>
                <w:lang w:val="en-US" w:eastAsia="zh-CN"/>
              </w:rPr>
              <w:t>0.9</w:t>
            </w:r>
          </w:p>
        </w:tc>
        <w:tc>
          <w:tcPr>
            <w:tcW w:w="1802" w:type="pct"/>
            <w:tcBorders>
              <w:top w:val="single" w:color="auto" w:sz="6" w:space="0"/>
            </w:tcBorders>
            <w:vAlign w:val="center"/>
          </w:tcPr>
          <w:p w14:paraId="57EDBC55">
            <w:pPr>
              <w:jc w:val="center"/>
              <w:rPr>
                <w:color w:val="auto"/>
                <w:szCs w:val="21"/>
                <w:highlight w:val="none"/>
              </w:rPr>
            </w:pPr>
            <w:r>
              <w:rPr>
                <w:rFonts w:hint="eastAsia" w:ascii="Times New Roman" w:hAnsi="Times New Roman"/>
                <w:color w:val="auto"/>
                <w:szCs w:val="22"/>
                <w:highlight w:val="none"/>
                <w:lang w:val="en-US" w:eastAsia="zh-CN"/>
              </w:rPr>
              <w:t>冲洗废水进入废水收集池，日产日清由罐车运至</w:t>
            </w:r>
            <w:r>
              <w:rPr>
                <w:rFonts w:hint="eastAsia"/>
                <w:color w:val="auto"/>
                <w:szCs w:val="22"/>
                <w:highlight w:val="none"/>
                <w:lang w:val="en-US" w:eastAsia="zh-CN"/>
              </w:rPr>
              <w:t>辰泰（辽宁）生物科技有限公司</w:t>
            </w:r>
            <w:r>
              <w:rPr>
                <w:rFonts w:hint="eastAsia" w:ascii="Times New Roman" w:hAnsi="Times New Roman"/>
                <w:color w:val="auto"/>
                <w:szCs w:val="22"/>
                <w:highlight w:val="none"/>
                <w:lang w:val="en-US" w:eastAsia="zh-CN"/>
              </w:rPr>
              <w:t>进行有机肥制造</w:t>
            </w:r>
          </w:p>
        </w:tc>
      </w:tr>
      <w:tr w14:paraId="4A779082">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64" w:type="pct"/>
            <w:vAlign w:val="center"/>
          </w:tcPr>
          <w:p w14:paraId="1C2C8062">
            <w:pPr>
              <w:jc w:val="center"/>
              <w:rPr>
                <w:color w:val="auto"/>
                <w:szCs w:val="21"/>
                <w:highlight w:val="none"/>
              </w:rPr>
            </w:pPr>
            <w:r>
              <w:rPr>
                <w:color w:val="auto"/>
                <w:szCs w:val="21"/>
                <w:highlight w:val="none"/>
              </w:rPr>
              <w:t>消毒用水</w:t>
            </w:r>
          </w:p>
        </w:tc>
        <w:tc>
          <w:tcPr>
            <w:tcW w:w="650" w:type="pct"/>
            <w:tcBorders>
              <w:right w:val="single" w:color="auto" w:sz="4" w:space="0"/>
            </w:tcBorders>
            <w:vAlign w:val="center"/>
          </w:tcPr>
          <w:p w14:paraId="1F1DD188">
            <w:pPr>
              <w:jc w:val="center"/>
              <w:rPr>
                <w:color w:val="auto"/>
                <w:szCs w:val="21"/>
                <w:highlight w:val="none"/>
              </w:rPr>
            </w:pPr>
            <w:r>
              <w:rPr>
                <w:rFonts w:hint="eastAsia"/>
                <w:color w:val="auto"/>
                <w:szCs w:val="21"/>
                <w:highlight w:val="none"/>
              </w:rPr>
              <w:t>499</w:t>
            </w:r>
          </w:p>
        </w:tc>
        <w:tc>
          <w:tcPr>
            <w:tcW w:w="414" w:type="pct"/>
            <w:tcBorders>
              <w:left w:val="single" w:color="auto" w:sz="4" w:space="0"/>
            </w:tcBorders>
            <w:vAlign w:val="center"/>
          </w:tcPr>
          <w:p w14:paraId="4662753D">
            <w:pPr>
              <w:jc w:val="center"/>
              <w:rPr>
                <w:rFonts w:hint="eastAsia" w:eastAsia="宋体"/>
                <w:color w:val="auto"/>
                <w:szCs w:val="21"/>
                <w:highlight w:val="none"/>
                <w:lang w:val="en-US" w:eastAsia="zh-CN"/>
              </w:rPr>
            </w:pPr>
            <w:r>
              <w:rPr>
                <w:rFonts w:hint="eastAsia"/>
                <w:color w:val="auto"/>
                <w:szCs w:val="21"/>
                <w:highlight w:val="none"/>
                <w:lang w:val="en-US" w:eastAsia="zh-CN"/>
              </w:rPr>
              <w:t>0</w:t>
            </w:r>
          </w:p>
        </w:tc>
        <w:tc>
          <w:tcPr>
            <w:tcW w:w="589" w:type="pct"/>
            <w:vAlign w:val="center"/>
          </w:tcPr>
          <w:p w14:paraId="7EB24D6F">
            <w:pPr>
              <w:jc w:val="center"/>
              <w:rPr>
                <w:color w:val="auto"/>
                <w:szCs w:val="21"/>
                <w:highlight w:val="none"/>
              </w:rPr>
            </w:pPr>
            <w:r>
              <w:rPr>
                <w:color w:val="auto"/>
                <w:szCs w:val="21"/>
                <w:highlight w:val="none"/>
              </w:rPr>
              <w:t>0</w:t>
            </w:r>
          </w:p>
        </w:tc>
        <w:tc>
          <w:tcPr>
            <w:tcW w:w="678" w:type="pct"/>
            <w:tcBorders>
              <w:top w:val="single" w:color="auto" w:sz="6" w:space="0"/>
            </w:tcBorders>
            <w:vAlign w:val="center"/>
          </w:tcPr>
          <w:p w14:paraId="63FBF0DA">
            <w:pPr>
              <w:jc w:val="center"/>
              <w:rPr>
                <w:rFonts w:hint="default" w:eastAsia="宋体"/>
                <w:color w:val="auto"/>
                <w:szCs w:val="21"/>
                <w:highlight w:val="none"/>
                <w:lang w:val="en-US" w:eastAsia="zh-CN"/>
              </w:rPr>
            </w:pPr>
            <w:r>
              <w:rPr>
                <w:rFonts w:hint="eastAsia"/>
                <w:color w:val="auto"/>
                <w:szCs w:val="21"/>
                <w:highlight w:val="none"/>
                <w:lang w:val="en-US" w:eastAsia="zh-CN"/>
              </w:rPr>
              <w:t>499</w:t>
            </w:r>
          </w:p>
        </w:tc>
        <w:tc>
          <w:tcPr>
            <w:tcW w:w="1802" w:type="pct"/>
            <w:tcBorders>
              <w:top w:val="single" w:color="auto" w:sz="6" w:space="0"/>
            </w:tcBorders>
            <w:vAlign w:val="center"/>
          </w:tcPr>
          <w:p w14:paraId="0707EFE0">
            <w:pPr>
              <w:jc w:val="center"/>
              <w:rPr>
                <w:color w:val="auto"/>
                <w:szCs w:val="21"/>
                <w:highlight w:val="none"/>
              </w:rPr>
            </w:pPr>
            <w:r>
              <w:rPr>
                <w:color w:val="auto"/>
                <w:szCs w:val="21"/>
                <w:highlight w:val="none"/>
              </w:rPr>
              <w:t>全部蒸发挥发</w:t>
            </w:r>
          </w:p>
        </w:tc>
      </w:tr>
      <w:tr w14:paraId="3D517A24">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64" w:type="pct"/>
            <w:vAlign w:val="center"/>
          </w:tcPr>
          <w:p w14:paraId="2B6E739D">
            <w:pPr>
              <w:jc w:val="center"/>
              <w:rPr>
                <w:color w:val="auto"/>
                <w:szCs w:val="21"/>
                <w:highlight w:val="none"/>
              </w:rPr>
            </w:pPr>
            <w:r>
              <w:rPr>
                <w:color w:val="auto"/>
                <w:szCs w:val="21"/>
                <w:highlight w:val="none"/>
              </w:rPr>
              <w:t>湿帘降温补充水</w:t>
            </w:r>
          </w:p>
        </w:tc>
        <w:tc>
          <w:tcPr>
            <w:tcW w:w="650" w:type="pct"/>
            <w:tcBorders>
              <w:right w:val="single" w:color="auto" w:sz="4" w:space="0"/>
            </w:tcBorders>
            <w:vAlign w:val="center"/>
          </w:tcPr>
          <w:p w14:paraId="44EDADE8">
            <w:pPr>
              <w:jc w:val="center"/>
              <w:rPr>
                <w:rFonts w:hint="default" w:eastAsia="宋体"/>
                <w:color w:val="auto"/>
                <w:szCs w:val="21"/>
                <w:highlight w:val="none"/>
                <w:lang w:val="en-US" w:eastAsia="zh-CN"/>
              </w:rPr>
            </w:pPr>
            <w:r>
              <w:rPr>
                <w:rFonts w:hint="eastAsia"/>
                <w:color w:val="auto"/>
                <w:szCs w:val="21"/>
                <w:highlight w:val="none"/>
                <w:lang w:val="en-US" w:eastAsia="zh-CN"/>
              </w:rPr>
              <w:t>4800</w:t>
            </w:r>
          </w:p>
        </w:tc>
        <w:tc>
          <w:tcPr>
            <w:tcW w:w="414" w:type="pct"/>
            <w:tcBorders>
              <w:left w:val="single" w:color="auto" w:sz="4" w:space="0"/>
            </w:tcBorders>
            <w:vAlign w:val="center"/>
          </w:tcPr>
          <w:p w14:paraId="20285266">
            <w:pPr>
              <w:jc w:val="center"/>
              <w:rPr>
                <w:rFonts w:hint="eastAsia" w:eastAsia="宋体"/>
                <w:color w:val="auto"/>
                <w:szCs w:val="21"/>
                <w:highlight w:val="none"/>
                <w:lang w:val="en-US" w:eastAsia="zh-CN"/>
              </w:rPr>
            </w:pPr>
            <w:r>
              <w:rPr>
                <w:rFonts w:hint="eastAsia"/>
                <w:color w:val="auto"/>
                <w:szCs w:val="21"/>
                <w:highlight w:val="none"/>
                <w:lang w:val="en-US" w:eastAsia="zh-CN"/>
              </w:rPr>
              <w:t>0</w:t>
            </w:r>
          </w:p>
        </w:tc>
        <w:tc>
          <w:tcPr>
            <w:tcW w:w="589" w:type="pct"/>
            <w:vAlign w:val="center"/>
          </w:tcPr>
          <w:p w14:paraId="7C05C048">
            <w:pPr>
              <w:jc w:val="center"/>
              <w:rPr>
                <w:color w:val="auto"/>
                <w:szCs w:val="21"/>
                <w:highlight w:val="none"/>
              </w:rPr>
            </w:pPr>
            <w:r>
              <w:rPr>
                <w:color w:val="auto"/>
                <w:szCs w:val="21"/>
                <w:highlight w:val="none"/>
              </w:rPr>
              <w:t>0</w:t>
            </w:r>
          </w:p>
        </w:tc>
        <w:tc>
          <w:tcPr>
            <w:tcW w:w="678" w:type="pct"/>
            <w:tcBorders>
              <w:top w:val="single" w:color="auto" w:sz="6" w:space="0"/>
            </w:tcBorders>
            <w:vAlign w:val="center"/>
          </w:tcPr>
          <w:p w14:paraId="2E2EE9D8">
            <w:pPr>
              <w:jc w:val="center"/>
              <w:rPr>
                <w:rFonts w:hint="default"/>
                <w:color w:val="auto"/>
                <w:szCs w:val="21"/>
                <w:highlight w:val="none"/>
                <w:lang w:val="en-US" w:eastAsia="zh-CN"/>
              </w:rPr>
            </w:pPr>
            <w:r>
              <w:rPr>
                <w:rFonts w:hint="eastAsia"/>
                <w:color w:val="auto"/>
                <w:szCs w:val="21"/>
                <w:highlight w:val="none"/>
                <w:lang w:val="en-US" w:eastAsia="zh-CN"/>
              </w:rPr>
              <w:t>4800</w:t>
            </w:r>
          </w:p>
        </w:tc>
        <w:tc>
          <w:tcPr>
            <w:tcW w:w="1802" w:type="pct"/>
            <w:tcBorders>
              <w:top w:val="single" w:color="auto" w:sz="6" w:space="0"/>
            </w:tcBorders>
            <w:vAlign w:val="center"/>
          </w:tcPr>
          <w:p w14:paraId="06F2A660">
            <w:pPr>
              <w:jc w:val="center"/>
              <w:rPr>
                <w:color w:val="auto"/>
                <w:szCs w:val="21"/>
                <w:highlight w:val="none"/>
              </w:rPr>
            </w:pPr>
            <w:r>
              <w:rPr>
                <w:rFonts w:hint="eastAsia"/>
                <w:color w:val="auto"/>
                <w:szCs w:val="21"/>
                <w:highlight w:val="none"/>
                <w:lang w:eastAsia="zh-CN"/>
              </w:rPr>
              <w:t>全部蒸发损失，</w:t>
            </w:r>
            <w:r>
              <w:rPr>
                <w:color w:val="auto"/>
                <w:szCs w:val="21"/>
                <w:highlight w:val="none"/>
              </w:rPr>
              <w:t>定期补充</w:t>
            </w:r>
          </w:p>
        </w:tc>
      </w:tr>
      <w:tr w14:paraId="64922D81">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64" w:type="pct"/>
            <w:vAlign w:val="center"/>
          </w:tcPr>
          <w:p w14:paraId="1D2F006D">
            <w:pPr>
              <w:jc w:val="center"/>
              <w:rPr>
                <w:color w:val="auto"/>
                <w:szCs w:val="21"/>
                <w:highlight w:val="none"/>
              </w:rPr>
            </w:pPr>
            <w:r>
              <w:rPr>
                <w:color w:val="auto"/>
                <w:szCs w:val="21"/>
                <w:highlight w:val="none"/>
              </w:rPr>
              <w:t>职工生活用水（含餐饮）</w:t>
            </w:r>
          </w:p>
        </w:tc>
        <w:tc>
          <w:tcPr>
            <w:tcW w:w="650" w:type="pct"/>
            <w:tcBorders>
              <w:right w:val="single" w:color="auto" w:sz="4" w:space="0"/>
            </w:tcBorders>
            <w:vAlign w:val="center"/>
          </w:tcPr>
          <w:p w14:paraId="7F05EB01">
            <w:pPr>
              <w:jc w:val="center"/>
              <w:rPr>
                <w:rFonts w:hint="default" w:eastAsia="宋体"/>
                <w:color w:val="auto"/>
                <w:szCs w:val="21"/>
                <w:highlight w:val="none"/>
                <w:lang w:val="en-US" w:eastAsia="zh-CN"/>
              </w:rPr>
            </w:pPr>
            <w:r>
              <w:rPr>
                <w:rFonts w:hint="eastAsia"/>
                <w:color w:val="auto"/>
                <w:szCs w:val="21"/>
                <w:highlight w:val="none"/>
                <w:lang w:val="en-US" w:eastAsia="zh-CN"/>
              </w:rPr>
              <w:t>657</w:t>
            </w:r>
          </w:p>
        </w:tc>
        <w:tc>
          <w:tcPr>
            <w:tcW w:w="414" w:type="pct"/>
            <w:tcBorders>
              <w:left w:val="single" w:color="auto" w:sz="4" w:space="0"/>
            </w:tcBorders>
            <w:vAlign w:val="center"/>
          </w:tcPr>
          <w:p w14:paraId="40211EEE">
            <w:pPr>
              <w:jc w:val="center"/>
              <w:rPr>
                <w:color w:val="auto"/>
                <w:szCs w:val="21"/>
                <w:highlight w:val="none"/>
              </w:rPr>
            </w:pPr>
            <w:r>
              <w:rPr>
                <w:color w:val="auto"/>
                <w:szCs w:val="21"/>
                <w:highlight w:val="none"/>
              </w:rPr>
              <w:t>80%</w:t>
            </w:r>
          </w:p>
        </w:tc>
        <w:tc>
          <w:tcPr>
            <w:tcW w:w="589" w:type="pct"/>
            <w:vAlign w:val="center"/>
          </w:tcPr>
          <w:p w14:paraId="5715B745">
            <w:pPr>
              <w:jc w:val="center"/>
              <w:rPr>
                <w:rFonts w:hint="default" w:eastAsia="宋体"/>
                <w:color w:val="auto"/>
                <w:szCs w:val="21"/>
                <w:highlight w:val="none"/>
                <w:lang w:val="en-US" w:eastAsia="zh-CN"/>
              </w:rPr>
            </w:pPr>
            <w:r>
              <w:rPr>
                <w:rFonts w:hint="eastAsia"/>
                <w:color w:val="auto"/>
                <w:szCs w:val="21"/>
                <w:highlight w:val="none"/>
                <w:lang w:val="en-US" w:eastAsia="zh-CN"/>
              </w:rPr>
              <w:t>525.6</w:t>
            </w:r>
          </w:p>
        </w:tc>
        <w:tc>
          <w:tcPr>
            <w:tcW w:w="678" w:type="pct"/>
            <w:vAlign w:val="center"/>
          </w:tcPr>
          <w:p w14:paraId="473E0541">
            <w:pPr>
              <w:jc w:val="center"/>
              <w:rPr>
                <w:rFonts w:hint="default" w:eastAsia="宋体"/>
                <w:color w:val="auto"/>
                <w:szCs w:val="21"/>
                <w:highlight w:val="none"/>
                <w:lang w:val="en-US" w:eastAsia="zh-CN"/>
              </w:rPr>
            </w:pPr>
            <w:r>
              <w:rPr>
                <w:rFonts w:hint="eastAsia"/>
                <w:color w:val="auto"/>
                <w:szCs w:val="21"/>
                <w:highlight w:val="none"/>
                <w:lang w:val="en-US" w:eastAsia="zh-CN"/>
              </w:rPr>
              <w:t>131.4</w:t>
            </w:r>
          </w:p>
        </w:tc>
        <w:tc>
          <w:tcPr>
            <w:tcW w:w="1802" w:type="pct"/>
            <w:vAlign w:val="center"/>
          </w:tcPr>
          <w:p w14:paraId="440E5779">
            <w:pPr>
              <w:jc w:val="center"/>
              <w:rPr>
                <w:rFonts w:hint="eastAsia" w:eastAsia="宋体"/>
                <w:color w:val="auto"/>
                <w:szCs w:val="21"/>
                <w:highlight w:val="none"/>
                <w:lang w:eastAsia="zh-CN"/>
              </w:rPr>
            </w:pPr>
            <w:r>
              <w:rPr>
                <w:rFonts w:hint="eastAsia"/>
                <w:color w:val="auto"/>
                <w:szCs w:val="21"/>
                <w:highlight w:val="none"/>
              </w:rPr>
              <w:t>食堂废水经隔油池处理后，与生活污水一同排入旱厕</w:t>
            </w:r>
            <w:r>
              <w:rPr>
                <w:color w:val="auto"/>
                <w:szCs w:val="21"/>
                <w:highlight w:val="none"/>
              </w:rPr>
              <w:t>定期清掏</w:t>
            </w:r>
            <w:r>
              <w:rPr>
                <w:rFonts w:hint="eastAsia"/>
                <w:color w:val="auto"/>
                <w:szCs w:val="21"/>
                <w:highlight w:val="none"/>
              </w:rPr>
              <w:t>，</w:t>
            </w:r>
            <w:r>
              <w:rPr>
                <w:rFonts w:hint="eastAsia"/>
                <w:color w:val="auto"/>
                <w:szCs w:val="21"/>
                <w:highlight w:val="none"/>
                <w:lang w:eastAsia="zh-CN"/>
              </w:rPr>
              <w:t>用作农肥</w:t>
            </w:r>
          </w:p>
        </w:tc>
      </w:tr>
      <w:tr w14:paraId="419890ED">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64" w:type="pct"/>
            <w:vAlign w:val="center"/>
          </w:tcPr>
          <w:p w14:paraId="7535D544">
            <w:pPr>
              <w:jc w:val="center"/>
              <w:rPr>
                <w:color w:val="auto"/>
                <w:szCs w:val="21"/>
                <w:highlight w:val="none"/>
              </w:rPr>
            </w:pPr>
            <w:r>
              <w:rPr>
                <w:rFonts w:hint="eastAsia"/>
                <w:color w:val="auto"/>
                <w:szCs w:val="21"/>
                <w:highlight w:val="none"/>
              </w:rPr>
              <w:t>锅炉补水</w:t>
            </w:r>
          </w:p>
        </w:tc>
        <w:tc>
          <w:tcPr>
            <w:tcW w:w="650" w:type="pct"/>
            <w:tcBorders>
              <w:right w:val="single" w:color="auto" w:sz="4" w:space="0"/>
            </w:tcBorders>
            <w:vAlign w:val="center"/>
          </w:tcPr>
          <w:p w14:paraId="759D6A52">
            <w:pPr>
              <w:jc w:val="center"/>
              <w:rPr>
                <w:rFonts w:hint="default" w:eastAsia="宋体"/>
                <w:color w:val="auto"/>
                <w:szCs w:val="21"/>
                <w:highlight w:val="none"/>
                <w:lang w:val="en-US" w:eastAsia="zh-CN"/>
              </w:rPr>
            </w:pPr>
            <w:r>
              <w:rPr>
                <w:rFonts w:hint="eastAsia"/>
                <w:color w:val="auto"/>
                <w:szCs w:val="21"/>
                <w:highlight w:val="none"/>
                <w:lang w:val="en-US" w:eastAsia="zh-CN"/>
              </w:rPr>
              <w:t>3168</w:t>
            </w:r>
          </w:p>
        </w:tc>
        <w:tc>
          <w:tcPr>
            <w:tcW w:w="414" w:type="pct"/>
            <w:tcBorders>
              <w:left w:val="single" w:color="auto" w:sz="4" w:space="0"/>
            </w:tcBorders>
            <w:vAlign w:val="center"/>
          </w:tcPr>
          <w:p w14:paraId="204F2C39">
            <w:pPr>
              <w:jc w:val="center"/>
              <w:rPr>
                <w:color w:val="auto"/>
                <w:szCs w:val="21"/>
                <w:highlight w:val="none"/>
              </w:rPr>
            </w:pPr>
            <w:r>
              <w:rPr>
                <w:rFonts w:hint="eastAsia"/>
                <w:color w:val="auto"/>
                <w:szCs w:val="21"/>
                <w:highlight w:val="none"/>
                <w:lang w:val="en-US" w:eastAsia="zh-CN"/>
              </w:rPr>
              <w:t>91</w:t>
            </w:r>
            <w:r>
              <w:rPr>
                <w:rFonts w:hint="eastAsia"/>
                <w:color w:val="auto"/>
                <w:szCs w:val="21"/>
                <w:highlight w:val="none"/>
              </w:rPr>
              <w:t>%</w:t>
            </w:r>
          </w:p>
        </w:tc>
        <w:tc>
          <w:tcPr>
            <w:tcW w:w="589" w:type="pct"/>
            <w:vAlign w:val="center"/>
          </w:tcPr>
          <w:p w14:paraId="3D19F9C1">
            <w:pPr>
              <w:jc w:val="center"/>
              <w:rPr>
                <w:rFonts w:hint="default" w:eastAsia="宋体"/>
                <w:color w:val="auto"/>
                <w:szCs w:val="21"/>
                <w:highlight w:val="none"/>
                <w:lang w:val="en-US" w:eastAsia="zh-CN"/>
              </w:rPr>
            </w:pPr>
            <w:r>
              <w:rPr>
                <w:rFonts w:hint="eastAsia"/>
                <w:color w:val="auto"/>
                <w:szCs w:val="21"/>
                <w:highlight w:val="none"/>
                <w:lang w:val="en-US" w:eastAsia="zh-CN"/>
              </w:rPr>
              <w:t>288</w:t>
            </w:r>
          </w:p>
        </w:tc>
        <w:tc>
          <w:tcPr>
            <w:tcW w:w="678" w:type="pct"/>
            <w:vAlign w:val="center"/>
          </w:tcPr>
          <w:p w14:paraId="4EA4997B">
            <w:pPr>
              <w:jc w:val="center"/>
              <w:rPr>
                <w:rFonts w:hint="default"/>
                <w:color w:val="auto"/>
                <w:szCs w:val="21"/>
                <w:highlight w:val="none"/>
                <w:lang w:val="en-US" w:eastAsia="zh-CN"/>
              </w:rPr>
            </w:pPr>
            <w:r>
              <w:rPr>
                <w:rFonts w:hint="eastAsia"/>
                <w:color w:val="auto"/>
                <w:szCs w:val="21"/>
                <w:highlight w:val="none"/>
                <w:lang w:val="en-US" w:eastAsia="zh-CN"/>
              </w:rPr>
              <w:t>2880</w:t>
            </w:r>
          </w:p>
        </w:tc>
        <w:tc>
          <w:tcPr>
            <w:tcW w:w="1802" w:type="pct"/>
            <w:vMerge w:val="restart"/>
            <w:vAlign w:val="center"/>
          </w:tcPr>
          <w:p w14:paraId="2FD71F3C">
            <w:pPr>
              <w:jc w:val="center"/>
              <w:rPr>
                <w:rFonts w:hint="eastAsia" w:eastAsia="宋体"/>
                <w:color w:val="auto"/>
                <w:szCs w:val="21"/>
                <w:highlight w:val="none"/>
                <w:lang w:eastAsia="zh-CN"/>
              </w:rPr>
            </w:pPr>
            <w:r>
              <w:rPr>
                <w:rFonts w:hint="eastAsia"/>
                <w:color w:val="auto"/>
                <w:szCs w:val="21"/>
                <w:highlight w:val="none"/>
                <w:lang w:eastAsia="zh-CN"/>
              </w:rPr>
              <w:t>锅炉热力管网补水全部损失，锅炉定排废水和反冲洗废水全部用于厂区绿化和地面降尘，不外排</w:t>
            </w:r>
          </w:p>
        </w:tc>
      </w:tr>
      <w:tr w14:paraId="1E51CC1C">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64" w:type="pct"/>
            <w:vAlign w:val="center"/>
          </w:tcPr>
          <w:p w14:paraId="410673D2">
            <w:pPr>
              <w:jc w:val="center"/>
              <w:rPr>
                <w:color w:val="auto"/>
                <w:szCs w:val="21"/>
                <w:highlight w:val="none"/>
              </w:rPr>
            </w:pPr>
            <w:r>
              <w:rPr>
                <w:rFonts w:hint="eastAsia"/>
                <w:color w:val="auto"/>
                <w:szCs w:val="21"/>
                <w:highlight w:val="none"/>
              </w:rPr>
              <w:t>反冲洗用水</w:t>
            </w:r>
          </w:p>
        </w:tc>
        <w:tc>
          <w:tcPr>
            <w:tcW w:w="650" w:type="pct"/>
            <w:tcBorders>
              <w:right w:val="single" w:color="auto" w:sz="4" w:space="0"/>
            </w:tcBorders>
            <w:vAlign w:val="center"/>
          </w:tcPr>
          <w:p w14:paraId="385B2F6A">
            <w:pPr>
              <w:jc w:val="center"/>
              <w:rPr>
                <w:rFonts w:hint="default" w:eastAsia="宋体"/>
                <w:color w:val="auto"/>
                <w:szCs w:val="21"/>
                <w:highlight w:val="none"/>
                <w:lang w:val="en-US" w:eastAsia="zh-CN"/>
              </w:rPr>
            </w:pPr>
            <w:r>
              <w:rPr>
                <w:rFonts w:hint="eastAsia"/>
                <w:color w:val="auto"/>
                <w:szCs w:val="21"/>
                <w:highlight w:val="none"/>
                <w:lang w:val="en-US" w:eastAsia="zh-CN"/>
              </w:rPr>
              <w:t>6.5</w:t>
            </w:r>
          </w:p>
        </w:tc>
        <w:tc>
          <w:tcPr>
            <w:tcW w:w="414" w:type="pct"/>
            <w:tcBorders>
              <w:left w:val="single" w:color="auto" w:sz="4" w:space="0"/>
            </w:tcBorders>
            <w:vAlign w:val="center"/>
          </w:tcPr>
          <w:p w14:paraId="015EFFE2">
            <w:pPr>
              <w:jc w:val="center"/>
              <w:rPr>
                <w:color w:val="auto"/>
                <w:szCs w:val="21"/>
                <w:highlight w:val="none"/>
              </w:rPr>
            </w:pPr>
            <w:r>
              <w:rPr>
                <w:rFonts w:hint="eastAsia"/>
                <w:color w:val="auto"/>
                <w:szCs w:val="21"/>
                <w:highlight w:val="none"/>
              </w:rPr>
              <w:t>100%</w:t>
            </w:r>
          </w:p>
        </w:tc>
        <w:tc>
          <w:tcPr>
            <w:tcW w:w="589" w:type="pct"/>
            <w:vAlign w:val="center"/>
          </w:tcPr>
          <w:p w14:paraId="1083180E">
            <w:pPr>
              <w:jc w:val="center"/>
              <w:rPr>
                <w:rFonts w:hint="default" w:eastAsia="宋体"/>
                <w:color w:val="auto"/>
                <w:szCs w:val="21"/>
                <w:highlight w:val="none"/>
                <w:lang w:val="en-US" w:eastAsia="zh-CN"/>
              </w:rPr>
            </w:pPr>
            <w:r>
              <w:rPr>
                <w:rFonts w:hint="eastAsia"/>
                <w:color w:val="auto"/>
                <w:szCs w:val="21"/>
                <w:highlight w:val="none"/>
                <w:lang w:val="en-US" w:eastAsia="zh-CN"/>
              </w:rPr>
              <w:t>6.5</w:t>
            </w:r>
          </w:p>
        </w:tc>
        <w:tc>
          <w:tcPr>
            <w:tcW w:w="678" w:type="pct"/>
            <w:vAlign w:val="center"/>
          </w:tcPr>
          <w:p w14:paraId="0920793B">
            <w:pPr>
              <w:jc w:val="center"/>
              <w:rPr>
                <w:rFonts w:hint="default" w:eastAsia="宋体"/>
                <w:color w:val="auto"/>
                <w:szCs w:val="21"/>
                <w:highlight w:val="none"/>
                <w:lang w:val="en-US" w:eastAsia="zh-CN"/>
              </w:rPr>
            </w:pPr>
            <w:r>
              <w:rPr>
                <w:rFonts w:hint="eastAsia"/>
                <w:color w:val="auto"/>
                <w:szCs w:val="21"/>
                <w:highlight w:val="none"/>
                <w:lang w:val="en-US" w:eastAsia="zh-CN"/>
              </w:rPr>
              <w:t>0</w:t>
            </w:r>
          </w:p>
        </w:tc>
        <w:tc>
          <w:tcPr>
            <w:tcW w:w="1802" w:type="pct"/>
            <w:vMerge w:val="continue"/>
            <w:vAlign w:val="center"/>
          </w:tcPr>
          <w:p w14:paraId="1FED0A05">
            <w:pPr>
              <w:jc w:val="center"/>
              <w:rPr>
                <w:color w:val="auto"/>
                <w:szCs w:val="21"/>
                <w:highlight w:val="none"/>
              </w:rPr>
            </w:pPr>
          </w:p>
        </w:tc>
      </w:tr>
      <w:tr w14:paraId="76ABAA56">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64" w:type="pct"/>
            <w:vAlign w:val="center"/>
          </w:tcPr>
          <w:p w14:paraId="7768792B">
            <w:pPr>
              <w:jc w:val="center"/>
              <w:rPr>
                <w:color w:val="auto"/>
                <w:szCs w:val="21"/>
                <w:highlight w:val="none"/>
              </w:rPr>
            </w:pPr>
            <w:r>
              <w:rPr>
                <w:color w:val="auto"/>
                <w:szCs w:val="21"/>
                <w:highlight w:val="none"/>
              </w:rPr>
              <w:t>绿化用水</w:t>
            </w:r>
          </w:p>
        </w:tc>
        <w:tc>
          <w:tcPr>
            <w:tcW w:w="650" w:type="pct"/>
            <w:tcBorders>
              <w:right w:val="single" w:color="auto" w:sz="4" w:space="0"/>
            </w:tcBorders>
            <w:vAlign w:val="center"/>
          </w:tcPr>
          <w:p w14:paraId="64EEB1A5">
            <w:pPr>
              <w:jc w:val="center"/>
              <w:rPr>
                <w:rFonts w:hint="default" w:eastAsia="宋体"/>
                <w:color w:val="auto"/>
                <w:szCs w:val="21"/>
                <w:highlight w:val="none"/>
                <w:lang w:val="en-US" w:eastAsia="zh-CN"/>
              </w:rPr>
            </w:pPr>
            <w:r>
              <w:rPr>
                <w:rFonts w:hint="eastAsia"/>
                <w:color w:val="auto"/>
                <w:szCs w:val="21"/>
                <w:highlight w:val="none"/>
                <w:lang w:val="en-US" w:eastAsia="zh-CN"/>
              </w:rPr>
              <w:t>1818</w:t>
            </w:r>
          </w:p>
        </w:tc>
        <w:tc>
          <w:tcPr>
            <w:tcW w:w="414" w:type="pct"/>
            <w:tcBorders>
              <w:left w:val="single" w:color="auto" w:sz="4" w:space="0"/>
            </w:tcBorders>
            <w:vAlign w:val="center"/>
          </w:tcPr>
          <w:p w14:paraId="679C6678">
            <w:pPr>
              <w:jc w:val="center"/>
              <w:rPr>
                <w:rFonts w:hint="default" w:eastAsia="宋体"/>
                <w:color w:val="auto"/>
                <w:szCs w:val="21"/>
                <w:highlight w:val="none"/>
                <w:lang w:val="en-US" w:eastAsia="zh-CN"/>
              </w:rPr>
            </w:pPr>
            <w:r>
              <w:rPr>
                <w:rFonts w:hint="eastAsia"/>
                <w:color w:val="auto"/>
                <w:szCs w:val="21"/>
                <w:highlight w:val="none"/>
                <w:lang w:val="en-US" w:eastAsia="zh-CN"/>
              </w:rPr>
              <w:t>0</w:t>
            </w:r>
          </w:p>
        </w:tc>
        <w:tc>
          <w:tcPr>
            <w:tcW w:w="589" w:type="pct"/>
            <w:vAlign w:val="center"/>
          </w:tcPr>
          <w:p w14:paraId="3B91DDED">
            <w:pPr>
              <w:jc w:val="center"/>
              <w:rPr>
                <w:rFonts w:hint="eastAsia" w:eastAsia="宋体"/>
                <w:color w:val="auto"/>
                <w:szCs w:val="21"/>
                <w:highlight w:val="none"/>
                <w:lang w:eastAsia="zh-CN"/>
              </w:rPr>
            </w:pPr>
            <w:r>
              <w:rPr>
                <w:rFonts w:hint="eastAsia"/>
                <w:color w:val="auto"/>
                <w:szCs w:val="21"/>
                <w:highlight w:val="none"/>
                <w:lang w:val="en-US" w:eastAsia="zh-CN"/>
              </w:rPr>
              <w:t>0</w:t>
            </w:r>
          </w:p>
        </w:tc>
        <w:tc>
          <w:tcPr>
            <w:tcW w:w="678" w:type="pct"/>
            <w:vAlign w:val="center"/>
          </w:tcPr>
          <w:p w14:paraId="10A4FA3B">
            <w:pPr>
              <w:jc w:val="center"/>
              <w:rPr>
                <w:rFonts w:hint="default" w:eastAsia="宋体"/>
                <w:color w:val="auto"/>
                <w:szCs w:val="21"/>
                <w:highlight w:val="none"/>
                <w:lang w:val="en-US" w:eastAsia="zh-CN"/>
              </w:rPr>
            </w:pPr>
            <w:r>
              <w:rPr>
                <w:rFonts w:hint="eastAsia"/>
                <w:color w:val="auto"/>
                <w:szCs w:val="21"/>
                <w:highlight w:val="none"/>
                <w:lang w:val="en-US" w:eastAsia="zh-CN"/>
              </w:rPr>
              <w:t>1818</w:t>
            </w:r>
          </w:p>
        </w:tc>
        <w:tc>
          <w:tcPr>
            <w:tcW w:w="1802" w:type="pct"/>
            <w:vAlign w:val="center"/>
          </w:tcPr>
          <w:p w14:paraId="52124FAD">
            <w:pPr>
              <w:jc w:val="center"/>
              <w:rPr>
                <w:rFonts w:hint="eastAsia" w:eastAsia="宋体"/>
                <w:color w:val="auto"/>
                <w:szCs w:val="21"/>
                <w:highlight w:val="none"/>
                <w:lang w:eastAsia="zh-CN"/>
              </w:rPr>
            </w:pPr>
            <w:r>
              <w:rPr>
                <w:color w:val="auto"/>
                <w:szCs w:val="21"/>
                <w:highlight w:val="none"/>
              </w:rPr>
              <w:t>蒸发挥发</w:t>
            </w:r>
            <w:r>
              <w:rPr>
                <w:rFonts w:hint="eastAsia"/>
                <w:color w:val="auto"/>
                <w:szCs w:val="21"/>
                <w:highlight w:val="none"/>
                <w:lang w:eastAsia="zh-CN"/>
              </w:rPr>
              <w:t>，</w:t>
            </w:r>
            <w:r>
              <w:rPr>
                <w:rFonts w:hint="eastAsia"/>
                <w:color w:val="auto"/>
                <w:szCs w:val="21"/>
                <w:highlight w:val="none"/>
                <w:lang w:val="en-US" w:eastAsia="zh-CN"/>
              </w:rPr>
              <w:t>294.5</w:t>
            </w:r>
            <w:r>
              <w:rPr>
                <w:rFonts w:hint="eastAsia"/>
                <w:color w:val="auto"/>
                <w:szCs w:val="21"/>
                <w:highlight w:val="none"/>
                <w:lang w:eastAsia="zh-CN"/>
              </w:rPr>
              <w:t>来自于锅炉定排废水和反冲洗废水，</w:t>
            </w:r>
            <w:r>
              <w:rPr>
                <w:rFonts w:hint="eastAsia"/>
                <w:color w:val="auto"/>
                <w:szCs w:val="21"/>
                <w:highlight w:val="none"/>
                <w:lang w:val="en-US" w:eastAsia="zh-CN"/>
              </w:rPr>
              <w:t>1523.5</w:t>
            </w:r>
            <w:r>
              <w:rPr>
                <w:rFonts w:hint="eastAsia"/>
                <w:color w:val="auto"/>
                <w:szCs w:val="21"/>
                <w:highlight w:val="none"/>
                <w:lang w:eastAsia="zh-CN"/>
              </w:rPr>
              <w:t>为新鲜水补充</w:t>
            </w:r>
          </w:p>
        </w:tc>
      </w:tr>
      <w:tr w14:paraId="6E919BF8">
        <w:tblPrEx>
          <w:tblBorders>
            <w:top w:val="double" w:color="auto" w:sz="4" w:space="0"/>
            <w:left w:val="none" w:color="auto" w:sz="0" w:space="0"/>
            <w:bottom w:val="doub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64" w:type="pct"/>
            <w:vAlign w:val="center"/>
          </w:tcPr>
          <w:p w14:paraId="2D9D52B4">
            <w:pPr>
              <w:jc w:val="center"/>
              <w:rPr>
                <w:color w:val="auto"/>
                <w:szCs w:val="21"/>
                <w:highlight w:val="none"/>
              </w:rPr>
            </w:pPr>
            <w:r>
              <w:rPr>
                <w:color w:val="auto"/>
                <w:szCs w:val="21"/>
                <w:highlight w:val="none"/>
              </w:rPr>
              <w:t>小计（新鲜水用量）</w:t>
            </w:r>
          </w:p>
        </w:tc>
        <w:tc>
          <w:tcPr>
            <w:tcW w:w="650" w:type="pct"/>
            <w:tcBorders>
              <w:right w:val="single" w:color="auto" w:sz="4" w:space="0"/>
            </w:tcBorders>
            <w:vAlign w:val="center"/>
          </w:tcPr>
          <w:p w14:paraId="306F1436">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fldChar w:fldCharType="begin"/>
            </w:r>
            <w:r>
              <w:rPr>
                <w:rFonts w:hint="eastAsia"/>
                <w:color w:val="auto"/>
                <w:szCs w:val="21"/>
                <w:highlight w:val="none"/>
                <w:lang w:val="en-US" w:eastAsia="zh-CN"/>
              </w:rPr>
              <w:instrText xml:space="preserve"> = sum(B2:B9) \* MERGEFORMAT </w:instrText>
            </w:r>
            <w:r>
              <w:rPr>
                <w:rFonts w:hint="eastAsia"/>
                <w:color w:val="auto"/>
                <w:szCs w:val="21"/>
                <w:highlight w:val="none"/>
                <w:lang w:val="en-US" w:eastAsia="zh-CN"/>
              </w:rPr>
              <w:fldChar w:fldCharType="separate"/>
            </w:r>
            <w:r>
              <w:rPr>
                <w:rFonts w:hint="eastAsia"/>
                <w:color w:val="auto"/>
                <w:szCs w:val="21"/>
                <w:highlight w:val="none"/>
                <w:lang w:val="en-US" w:eastAsia="zh-CN"/>
              </w:rPr>
              <w:t>740954.48</w:t>
            </w:r>
            <w:r>
              <w:rPr>
                <w:rFonts w:hint="eastAsia"/>
                <w:color w:val="auto"/>
                <w:szCs w:val="21"/>
                <w:highlight w:val="none"/>
                <w:lang w:val="en-US" w:eastAsia="zh-CN"/>
              </w:rPr>
              <w:fldChar w:fldCharType="end"/>
            </w:r>
          </w:p>
        </w:tc>
        <w:tc>
          <w:tcPr>
            <w:tcW w:w="414" w:type="pct"/>
            <w:tcBorders>
              <w:left w:val="single" w:color="auto" w:sz="4" w:space="0"/>
            </w:tcBorders>
            <w:vAlign w:val="center"/>
          </w:tcPr>
          <w:p w14:paraId="0E37209A">
            <w:pPr>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589" w:type="pct"/>
            <w:vAlign w:val="center"/>
          </w:tcPr>
          <w:p w14:paraId="43196BA2">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fldChar w:fldCharType="begin"/>
            </w:r>
            <w:r>
              <w:rPr>
                <w:rFonts w:hint="eastAsia"/>
                <w:color w:val="auto"/>
                <w:szCs w:val="21"/>
                <w:highlight w:val="none"/>
                <w:lang w:val="en-US" w:eastAsia="zh-CN"/>
              </w:rPr>
              <w:instrText xml:space="preserve"> = sum(D2:D9) \* MERGEFORMAT </w:instrText>
            </w:r>
            <w:r>
              <w:rPr>
                <w:rFonts w:hint="eastAsia"/>
                <w:color w:val="auto"/>
                <w:szCs w:val="21"/>
                <w:highlight w:val="none"/>
                <w:lang w:val="en-US" w:eastAsia="zh-CN"/>
              </w:rPr>
              <w:fldChar w:fldCharType="separate"/>
            </w:r>
            <w:r>
              <w:rPr>
                <w:rFonts w:hint="eastAsia"/>
                <w:color w:val="auto"/>
                <w:szCs w:val="21"/>
                <w:highlight w:val="none"/>
                <w:lang w:val="en-US" w:eastAsia="zh-CN"/>
              </w:rPr>
              <w:t>38785.18</w:t>
            </w:r>
            <w:r>
              <w:rPr>
                <w:rFonts w:hint="eastAsia"/>
                <w:color w:val="auto"/>
                <w:szCs w:val="21"/>
                <w:highlight w:val="none"/>
                <w:lang w:val="en-US" w:eastAsia="zh-CN"/>
              </w:rPr>
              <w:fldChar w:fldCharType="end"/>
            </w:r>
          </w:p>
        </w:tc>
        <w:tc>
          <w:tcPr>
            <w:tcW w:w="678" w:type="pct"/>
            <w:vAlign w:val="center"/>
          </w:tcPr>
          <w:p w14:paraId="6C1D4271">
            <w:pPr>
              <w:jc w:val="center"/>
              <w:rPr>
                <w:color w:val="auto"/>
                <w:szCs w:val="21"/>
                <w:highlight w:val="none"/>
              </w:rPr>
            </w:pPr>
            <w:r>
              <w:rPr>
                <w:color w:val="auto"/>
                <w:szCs w:val="21"/>
                <w:highlight w:val="none"/>
              </w:rPr>
              <w:fldChar w:fldCharType="begin"/>
            </w:r>
            <w:r>
              <w:rPr>
                <w:color w:val="auto"/>
                <w:szCs w:val="21"/>
                <w:highlight w:val="none"/>
              </w:rPr>
              <w:instrText xml:space="preserve"> = sum(E2:E9) \* MERGEFORMAT </w:instrText>
            </w:r>
            <w:r>
              <w:rPr>
                <w:color w:val="auto"/>
                <w:szCs w:val="21"/>
                <w:highlight w:val="none"/>
              </w:rPr>
              <w:fldChar w:fldCharType="separate"/>
            </w:r>
            <w:r>
              <w:rPr>
                <w:color w:val="auto"/>
                <w:szCs w:val="21"/>
                <w:highlight w:val="none"/>
              </w:rPr>
              <w:t>702169.3</w:t>
            </w:r>
            <w:r>
              <w:rPr>
                <w:color w:val="auto"/>
                <w:szCs w:val="21"/>
                <w:highlight w:val="none"/>
              </w:rPr>
              <w:fldChar w:fldCharType="end"/>
            </w:r>
          </w:p>
        </w:tc>
        <w:tc>
          <w:tcPr>
            <w:tcW w:w="1802" w:type="pct"/>
            <w:vAlign w:val="center"/>
          </w:tcPr>
          <w:p w14:paraId="3A89E133">
            <w:pPr>
              <w:jc w:val="center"/>
              <w:rPr>
                <w:color w:val="auto"/>
                <w:szCs w:val="21"/>
                <w:highlight w:val="none"/>
              </w:rPr>
            </w:pPr>
            <w:r>
              <w:rPr>
                <w:color w:val="auto"/>
                <w:szCs w:val="21"/>
                <w:highlight w:val="none"/>
              </w:rPr>
              <w:t>—</w:t>
            </w:r>
          </w:p>
        </w:tc>
      </w:tr>
    </w:tbl>
    <w:p w14:paraId="6E1DAD09">
      <w:pPr>
        <w:spacing w:line="360" w:lineRule="auto"/>
        <w:ind w:firstLine="480" w:firstLineChars="200"/>
        <w:rPr>
          <w:color w:val="auto"/>
          <w:sz w:val="24"/>
        </w:rPr>
      </w:pPr>
      <w:r>
        <w:rPr>
          <w:color w:val="auto"/>
          <w:sz w:val="24"/>
        </w:rPr>
        <w:t>水平衡图详见图</w:t>
      </w:r>
      <w:r>
        <w:rPr>
          <w:rFonts w:hint="eastAsia"/>
          <w:color w:val="auto"/>
          <w:sz w:val="24"/>
          <w:lang w:val="en-US" w:eastAsia="zh-CN"/>
        </w:rPr>
        <w:t>3.2-1</w:t>
      </w:r>
      <w:r>
        <w:rPr>
          <w:color w:val="auto"/>
          <w:sz w:val="24"/>
        </w:rPr>
        <w:t>。</w:t>
      </w:r>
    </w:p>
    <w:p w14:paraId="2C75DD00">
      <w:pPr>
        <w:pStyle w:val="23"/>
        <w:rPr>
          <w:rFonts w:hint="eastAsia" w:eastAsia="宋体"/>
          <w:color w:val="auto"/>
          <w:lang w:eastAsia="zh-CN"/>
        </w:rPr>
      </w:pPr>
      <w:r>
        <w:rPr>
          <w:color w:val="auto"/>
          <w:sz w:val="21"/>
        </w:rPr>
        <mc:AlternateContent>
          <mc:Choice Requires="wps">
            <w:drawing>
              <wp:anchor distT="0" distB="0" distL="114300" distR="114300" simplePos="0" relativeHeight="251767808" behindDoc="0" locked="0" layoutInCell="1" allowOverlap="1">
                <wp:simplePos x="0" y="0"/>
                <wp:positionH relativeFrom="column">
                  <wp:posOffset>1983740</wp:posOffset>
                </wp:positionH>
                <wp:positionV relativeFrom="paragraph">
                  <wp:posOffset>-84455</wp:posOffset>
                </wp:positionV>
                <wp:extent cx="1247140" cy="275590"/>
                <wp:effectExtent l="0" t="0" r="0" b="0"/>
                <wp:wrapNone/>
                <wp:docPr id="536" name="文本框 536"/>
                <wp:cNvGraphicFramePr/>
                <a:graphic xmlns:a="http://schemas.openxmlformats.org/drawingml/2006/main">
                  <a:graphicData uri="http://schemas.microsoft.com/office/word/2010/wordprocessingShape">
                    <wps:wsp>
                      <wps:cNvSpPr txBox="1"/>
                      <wps:spPr>
                        <a:xfrm>
                          <a:off x="0" y="0"/>
                          <a:ext cx="124714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CC83E9">
                            <w:pPr>
                              <w:rPr>
                                <w:rFonts w:hint="default" w:eastAsia="宋体"/>
                                <w:lang w:val="en-US" w:eastAsia="zh-CN"/>
                              </w:rPr>
                            </w:pPr>
                            <w:r>
                              <w:rPr>
                                <w:rFonts w:hint="eastAsia"/>
                                <w:lang w:val="en-US" w:eastAsia="zh-CN"/>
                              </w:rPr>
                              <w:t>鸡只吸收692040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2pt;margin-top:-6.65pt;height:21.7pt;width:98.2pt;z-index:251767808;mso-width-relative:page;mso-height-relative:page;" filled="f" stroked="f" coordsize="21600,21600" o:gfxdata="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&#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zoRa52gAAAAoBAAAPAAAAAAAAAAEAIAAAACIAAABk&#10;cnMvZG93bnJldi54bWxQSwECFAAUAAAACACHTuJADTPlLj0CAABqBAAADgAAAAAAAAABACAAAAAp&#10;AQAAZHJzL2Uyb0RvYy54bWxQSwUGAAAAAAYABgBZAQAA2AUAAAAA&#10;">
                <v:fill on="f" focussize="0,0"/>
                <v:stroke on="f" weight="0.5pt"/>
                <v:imagedata o:title=""/>
                <o:lock v:ext="edit" aspectratio="f"/>
                <v:textbox>
                  <w:txbxContent>
                    <w:p w14:paraId="66CC83E9">
                      <w:pPr>
                        <w:rPr>
                          <w:rFonts w:hint="default" w:eastAsia="宋体"/>
                          <w:lang w:val="en-US" w:eastAsia="zh-CN"/>
                        </w:rPr>
                      </w:pPr>
                      <w:r>
                        <w:rPr>
                          <w:rFonts w:hint="eastAsia"/>
                          <w:lang w:val="en-US" w:eastAsia="zh-CN"/>
                        </w:rPr>
                        <w:t>鸡只吸收692040</w:t>
                      </w:r>
                    </w:p>
                  </w:txbxContent>
                </v:textbox>
              </v:shape>
            </w:pict>
          </mc:Fallback>
        </mc:AlternateContent>
      </w:r>
      <w:r>
        <w:rPr>
          <w:color w:val="auto"/>
          <w:sz w:val="21"/>
        </w:rPr>
        <mc:AlternateContent>
          <mc:Choice Requires="wps">
            <w:drawing>
              <wp:anchor distT="0" distB="0" distL="114300" distR="114300" simplePos="0" relativeHeight="251817984" behindDoc="0" locked="0" layoutInCell="1" allowOverlap="1">
                <wp:simplePos x="0" y="0"/>
                <wp:positionH relativeFrom="column">
                  <wp:posOffset>1779905</wp:posOffset>
                </wp:positionH>
                <wp:positionV relativeFrom="paragraph">
                  <wp:posOffset>5483225</wp:posOffset>
                </wp:positionV>
                <wp:extent cx="504825" cy="238125"/>
                <wp:effectExtent l="0" t="0" r="0" b="0"/>
                <wp:wrapNone/>
                <wp:docPr id="537" name="文本框 537"/>
                <wp:cNvGraphicFramePr/>
                <a:graphic xmlns:a="http://schemas.openxmlformats.org/drawingml/2006/main">
                  <a:graphicData uri="http://schemas.microsoft.com/office/word/2010/wordprocessingShape">
                    <wps:wsp>
                      <wps:cNvSpPr txBox="1"/>
                      <wps:spPr>
                        <a:xfrm>
                          <a:off x="0" y="0"/>
                          <a:ext cx="50482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D2BE76">
                            <w:pPr>
                              <w:rPr>
                                <w:rFonts w:hint="default" w:eastAsia="宋体"/>
                                <w:lang w:val="en-US" w:eastAsia="zh-CN"/>
                              </w:rPr>
                            </w:pPr>
                            <w:r>
                              <w:rPr>
                                <w:rFonts w:hint="eastAsia"/>
                                <w:lang w:val="en-US" w:eastAsia="zh-CN"/>
                              </w:rPr>
                              <w:t>294.5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0.15pt;margin-top:431.75pt;height:18.75pt;width:39.75pt;z-index:251817984;mso-width-relative:page;mso-height-relative:page;" filled="f" stroked="f" coordsize="21600,21600" o:gfxdata="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vE76rcAAAACwEAAA8AAAAAAAAAAQAgAAAAIgAA&#10;AGRycy9kb3ducmV2LnhtbFBLAQIUABQAAAAIAIdO4kD2beNNPQIAAGkEAAAOAAAAAAAAAAEAIAAA&#10;ACsBAABkcnMvZTJvRG9jLnhtbFBLBQYAAAAABgAGAFkBAADaBQAAAAA=&#10;">
                <v:fill on="f" focussize="0,0"/>
                <v:stroke on="f" weight="0.5pt"/>
                <v:imagedata o:title=""/>
                <o:lock v:ext="edit" aspectratio="f"/>
                <v:textbox>
                  <w:txbxContent>
                    <w:p w14:paraId="0BD2BE76">
                      <w:pPr>
                        <w:rPr>
                          <w:rFonts w:hint="default" w:eastAsia="宋体"/>
                          <w:lang w:val="en-US" w:eastAsia="zh-CN"/>
                        </w:rPr>
                      </w:pPr>
                      <w:r>
                        <w:rPr>
                          <w:rFonts w:hint="eastAsia"/>
                          <w:lang w:val="en-US" w:eastAsia="zh-CN"/>
                        </w:rPr>
                        <w:t>294.5</w:t>
                      </w:r>
                    </w:p>
                  </w:txbxContent>
                </v:textbox>
              </v:shape>
            </w:pict>
          </mc:Fallback>
        </mc:AlternateContent>
      </w:r>
      <w:r>
        <w:rPr>
          <w:color w:val="auto"/>
          <w:sz w:val="21"/>
        </w:rPr>
        <mc:AlternateContent>
          <mc:Choice Requires="wps">
            <w:drawing>
              <wp:anchor distT="0" distB="0" distL="114300" distR="114300" simplePos="0" relativeHeight="251813888" behindDoc="0" locked="0" layoutInCell="1" allowOverlap="1">
                <wp:simplePos x="0" y="0"/>
                <wp:positionH relativeFrom="column">
                  <wp:posOffset>2741930</wp:posOffset>
                </wp:positionH>
                <wp:positionV relativeFrom="paragraph">
                  <wp:posOffset>5523865</wp:posOffset>
                </wp:positionV>
                <wp:extent cx="742950" cy="275590"/>
                <wp:effectExtent l="0" t="0" r="0" b="0"/>
                <wp:wrapNone/>
                <wp:docPr id="538" name="文本框 538"/>
                <wp:cNvGraphicFramePr/>
                <a:graphic xmlns:a="http://schemas.openxmlformats.org/drawingml/2006/main">
                  <a:graphicData uri="http://schemas.microsoft.com/office/word/2010/wordprocessingShape">
                    <wps:wsp>
                      <wps:cNvSpPr txBox="1"/>
                      <wps:spPr>
                        <a:xfrm>
                          <a:off x="0" y="0"/>
                          <a:ext cx="74295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ABAF52">
                            <w:pPr>
                              <w:rPr>
                                <w:rFonts w:hint="default" w:eastAsia="宋体"/>
                                <w:lang w:val="en-US" w:eastAsia="zh-CN"/>
                              </w:rPr>
                            </w:pPr>
                            <w:r>
                              <w:rPr>
                                <w:rFonts w:hint="eastAsia"/>
                                <w:lang w:val="en-US" w:eastAsia="zh-CN"/>
                              </w:rPr>
                              <w:t>损失1818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5.9pt;margin-top:434.95pt;height:21.7pt;width:58.5pt;z-index:251813888;mso-width-relative:page;mso-height-relative:page;" filled="f" stroked="f" coordsize="21600,21600" o:gfxdata="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P/aTdAAAACwEAAA8AAAAAAAAAAQAgAAAAIgAA&#10;AGRycy9kb3ducmV2LnhtbFBLAQIUABQAAAAIAIdO4kAaYc86PAIAAGkEAAAOAAAAAAAAAAEAIAAA&#10;ACwBAABkcnMvZTJvRG9jLnhtbFBLBQYAAAAABgAGAFkBAADaBQAAAAA=&#10;">
                <v:fill on="f" focussize="0,0"/>
                <v:stroke on="f" weight="0.5pt"/>
                <v:imagedata o:title=""/>
                <o:lock v:ext="edit" aspectratio="f"/>
                <v:textbox>
                  <w:txbxContent>
                    <w:p w14:paraId="0BABAF52">
                      <w:pPr>
                        <w:rPr>
                          <w:rFonts w:hint="default" w:eastAsia="宋体"/>
                          <w:lang w:val="en-US" w:eastAsia="zh-CN"/>
                        </w:rPr>
                      </w:pPr>
                      <w:r>
                        <w:rPr>
                          <w:rFonts w:hint="eastAsia"/>
                          <w:lang w:val="en-US" w:eastAsia="zh-CN"/>
                        </w:rPr>
                        <w:t>损失1818</w:t>
                      </w:r>
                    </w:p>
                  </w:txbxContent>
                </v:textbox>
              </v:shape>
            </w:pict>
          </mc:Fallback>
        </mc:AlternateContent>
      </w:r>
      <w:r>
        <w:rPr>
          <w:color w:val="auto"/>
          <w:sz w:val="21"/>
        </w:rPr>
        <mc:AlternateContent>
          <mc:Choice Requires="wps">
            <w:drawing>
              <wp:anchor distT="0" distB="0" distL="114300" distR="114300" simplePos="0" relativeHeight="251812864" behindDoc="0" locked="0" layoutInCell="1" allowOverlap="1">
                <wp:simplePos x="0" y="0"/>
                <wp:positionH relativeFrom="column">
                  <wp:posOffset>2646680</wp:posOffset>
                </wp:positionH>
                <wp:positionV relativeFrom="paragraph">
                  <wp:posOffset>5788025</wp:posOffset>
                </wp:positionV>
                <wp:extent cx="276225" cy="200025"/>
                <wp:effectExtent l="0" t="18415" r="9525" b="10160"/>
                <wp:wrapNone/>
                <wp:docPr id="539" name="曲线连接符 539"/>
                <wp:cNvGraphicFramePr/>
                <a:graphic xmlns:a="http://schemas.openxmlformats.org/drawingml/2006/main">
                  <a:graphicData uri="http://schemas.microsoft.com/office/word/2010/wordprocessingShape">
                    <wps:wsp>
                      <wps:cNvCnPr/>
                      <wps:spPr>
                        <a:xfrm flipV="1">
                          <a:off x="0" y="0"/>
                          <a:ext cx="276225" cy="200025"/>
                        </a:xfrm>
                        <a:prstGeom prst="curvedConnector3">
                          <a:avLst>
                            <a:gd name="adj1" fmla="val 50115"/>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flip:y;margin-left:208.4pt;margin-top:455.75pt;height:15.75pt;width:21.75pt;z-index:251812864;mso-width-relative:page;mso-height-relative:page;" filled="f" stroked="t" coordsize="21600,21600" o:gfxdata="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jC4jaAAAACwEA&#10;AA8AAAAAAAAAAQAgAAAAIgAAAGRycy9kb3ducmV2LnhtbFBLAQIUABQAAAAIAIdO4kAG5zHYGAIA&#10;AAIEAAAOAAAAAAAAAAEAIAAAACkBAABkcnMvZTJvRG9jLnhtbFBLBQYAAAAABgAGAFkBAACzBQAA&#10;AAA=&#10;" adj="10825">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811840" behindDoc="0" locked="0" layoutInCell="1" allowOverlap="1">
                <wp:simplePos x="0" y="0"/>
                <wp:positionH relativeFrom="column">
                  <wp:posOffset>2265680</wp:posOffset>
                </wp:positionH>
                <wp:positionV relativeFrom="paragraph">
                  <wp:posOffset>5487035</wp:posOffset>
                </wp:positionV>
                <wp:extent cx="0" cy="295275"/>
                <wp:effectExtent l="38100" t="0" r="38100" b="9525"/>
                <wp:wrapNone/>
                <wp:docPr id="540" name="直接箭头连接符 540"/>
                <wp:cNvGraphicFramePr/>
                <a:graphic xmlns:a="http://schemas.openxmlformats.org/drawingml/2006/main">
                  <a:graphicData uri="http://schemas.microsoft.com/office/word/2010/wordprocessingShape">
                    <wps:wsp>
                      <wps:cNvCnPr/>
                      <wps:spPr>
                        <a:xfrm>
                          <a:off x="0" y="0"/>
                          <a:ext cx="0" cy="29527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78.4pt;margin-top:432.05pt;height:23.25pt;width:0pt;z-index:251811840;mso-width-relative:page;mso-height-relative:page;" filled="f" stroked="t" coordsize="21600,21600" o:gfxdata="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ZZZtCdcAAAALAQAADwAAAAAAAAABACAAAAAiAAAAZHJzL2Rvd25yZXYueG1s&#10;UEsBAhQAFAAAAAgAh07iQIflC7/5AQAAzgMAAA4AAAAAAAAAAQAgAAAAJgEAAGRycy9lMm9Eb2Mu&#10;eG1sUEsFBgAAAAAGAAYAWQEAAJEFA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810816" behindDoc="0" locked="0" layoutInCell="1" allowOverlap="1">
                <wp:simplePos x="0" y="0"/>
                <wp:positionH relativeFrom="column">
                  <wp:posOffset>2265680</wp:posOffset>
                </wp:positionH>
                <wp:positionV relativeFrom="paragraph">
                  <wp:posOffset>4714875</wp:posOffset>
                </wp:positionV>
                <wp:extent cx="2553970" cy="771525"/>
                <wp:effectExtent l="0" t="0" r="17780" b="9525"/>
                <wp:wrapNone/>
                <wp:docPr id="541" name="肘形连接符 541"/>
                <wp:cNvGraphicFramePr/>
                <a:graphic xmlns:a="http://schemas.openxmlformats.org/drawingml/2006/main">
                  <a:graphicData uri="http://schemas.microsoft.com/office/word/2010/wordprocessingShape">
                    <wps:wsp>
                      <wps:cNvCnPr/>
                      <wps:spPr>
                        <a:xfrm rot="10800000" flipV="1">
                          <a:off x="5706745" y="9194165"/>
                          <a:ext cx="2553970" cy="771525"/>
                        </a:xfrm>
                        <a:prstGeom prst="bentConnector3">
                          <a:avLst>
                            <a:gd name="adj1" fmla="val 0"/>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4" type="#_x0000_t34" style="position:absolute;left:0pt;flip:y;margin-left:178.4pt;margin-top:371.25pt;height:60.75pt;width:201.1pt;rotation:11796480f;z-index:251810816;mso-width-relative:page;mso-height-relative:page;" filled="f" stroked="t" coordsize="21600,21600" o:gfxdata="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1byiJ&#10;2wAAAAsBAAAPAAAAAAAAAAEAIAAAACIAAABkcnMvZG93bnJldi54bWxQSwECFAAUAAAACACHTuJA&#10;XV+A/R4CAAD8AwAADgAAAAAAAAABACAAAAAqAQAAZHJzL2Uyb0RvYy54bWxQSwUGAAAAAAYABgBZ&#10;AQAAugUAAAAA&#10;" adj="0">
                <v:fill on="f" focussize="0,0"/>
                <v:stroke weight="1pt" color="#000000 [3213]" joinstyle="round"/>
                <v:imagedata o:title=""/>
                <o:lock v:ext="edit" aspectratio="f"/>
              </v:shape>
            </w:pict>
          </mc:Fallback>
        </mc:AlternateContent>
      </w:r>
      <w:r>
        <w:rPr>
          <w:color w:val="auto"/>
          <w:sz w:val="21"/>
        </w:rPr>
        <mc:AlternateContent>
          <mc:Choice Requires="wps">
            <w:drawing>
              <wp:anchor distT="0" distB="0" distL="114300" distR="114300" simplePos="0" relativeHeight="251809792" behindDoc="0" locked="0" layoutInCell="1" allowOverlap="1">
                <wp:simplePos x="0" y="0"/>
                <wp:positionH relativeFrom="column">
                  <wp:posOffset>1217930</wp:posOffset>
                </wp:positionH>
                <wp:positionV relativeFrom="paragraph">
                  <wp:posOffset>5683250</wp:posOffset>
                </wp:positionV>
                <wp:extent cx="561975" cy="238125"/>
                <wp:effectExtent l="0" t="0" r="0" b="0"/>
                <wp:wrapNone/>
                <wp:docPr id="542" name="文本框 542"/>
                <wp:cNvGraphicFramePr/>
                <a:graphic xmlns:a="http://schemas.openxmlformats.org/drawingml/2006/main">
                  <a:graphicData uri="http://schemas.microsoft.com/office/word/2010/wordprocessingShape">
                    <wps:wsp>
                      <wps:cNvSpPr txBox="1"/>
                      <wps:spPr>
                        <a:xfrm>
                          <a:off x="0" y="0"/>
                          <a:ext cx="56197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D5160C">
                            <w:pPr>
                              <w:rPr>
                                <w:rFonts w:hint="default" w:eastAsia="宋体"/>
                                <w:lang w:val="en-US" w:eastAsia="zh-CN"/>
                              </w:rPr>
                            </w:pPr>
                            <w:r>
                              <w:rPr>
                                <w:rFonts w:hint="eastAsia"/>
                                <w:lang w:val="en-US" w:eastAsia="zh-CN"/>
                              </w:rPr>
                              <w:t>1523.5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5.9pt;margin-top:447.5pt;height:18.75pt;width:44.25pt;z-index:251809792;mso-width-relative:page;mso-height-relative:page;" filled="f" stroked="f" coordsize="21600,21600" o:gfxdata="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AiyfHbAAAACwEAAA8AAAAAAAAAAQAgAAAAIgAA&#10;AGRycy9kb3ducmV2LnhtbFBLAQIUABQAAAAIAIdO4kCD0YCkPgIAAGkEAAAOAAAAAAAAAAEAIAAA&#10;ACoBAABkcnMvZTJvRG9jLnhtbFBLBQYAAAAABgAGAFkBAADaBQAAAAA=&#10;">
                <v:fill on="f" focussize="0,0"/>
                <v:stroke on="f" weight="0.5pt"/>
                <v:imagedata o:title=""/>
                <o:lock v:ext="edit" aspectratio="f"/>
                <v:textbox>
                  <w:txbxContent>
                    <w:p w14:paraId="0BD5160C">
                      <w:pPr>
                        <w:rPr>
                          <w:rFonts w:hint="default" w:eastAsia="宋体"/>
                          <w:lang w:val="en-US" w:eastAsia="zh-CN"/>
                        </w:rPr>
                      </w:pPr>
                      <w:r>
                        <w:rPr>
                          <w:rFonts w:hint="eastAsia"/>
                          <w:lang w:val="en-US" w:eastAsia="zh-CN"/>
                        </w:rPr>
                        <w:t>1523.5</w:t>
                      </w:r>
                    </w:p>
                  </w:txbxContent>
                </v:textbox>
              </v:shape>
            </w:pict>
          </mc:Fallback>
        </mc:AlternateContent>
      </w:r>
      <w:r>
        <w:rPr>
          <w:color w:val="auto"/>
          <w:sz w:val="21"/>
        </w:rPr>
        <mc:AlternateContent>
          <mc:Choice Requires="wps">
            <w:drawing>
              <wp:anchor distT="0" distB="0" distL="114300" distR="114300" simplePos="0" relativeHeight="251803648" behindDoc="0" locked="0" layoutInCell="1" allowOverlap="1">
                <wp:simplePos x="0" y="0"/>
                <wp:positionH relativeFrom="column">
                  <wp:posOffset>4055745</wp:posOffset>
                </wp:positionH>
                <wp:positionV relativeFrom="paragraph">
                  <wp:posOffset>4305300</wp:posOffset>
                </wp:positionV>
                <wp:extent cx="610235" cy="8255"/>
                <wp:effectExtent l="0" t="0" r="0" b="0"/>
                <wp:wrapNone/>
                <wp:docPr id="543" name="直接箭头连接符 543"/>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non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19.35pt;margin-top:339pt;height:0.65pt;width:48.05pt;z-index:251803648;mso-width-relative:page;mso-height-relative:page;" filled="f" stroked="t" coordsize="21600,21600" o:gfxdata="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F96dnXAAAACwEAAA8AAAAAAAAAAQAgAAAAIgAAAGRycy9kb3ducmV2&#10;LnhtbFBLAQIUABQAAAAIAIdO4kBUNrCx/QEAAM0DAAAOAAAAAAAAAAEAIAAAACYBAABkcnMvZTJv&#10;RG9jLnhtbFBLBQYAAAAABgAGAFkBAACVBQAAAAA=&#10;">
                <v:fill on="f" focussize="0,0"/>
                <v:stroke weight="1pt" color="#000000 [3213]" joinstyle="round"/>
                <v:imagedata o:title=""/>
                <o:lock v:ext="edit" aspectratio="f"/>
              </v:shape>
            </w:pict>
          </mc:Fallback>
        </mc:AlternateContent>
      </w:r>
      <w:r>
        <w:rPr>
          <w:color w:val="auto"/>
          <w:sz w:val="21"/>
        </w:rPr>
        <mc:AlternateContent>
          <mc:Choice Requires="wps">
            <w:drawing>
              <wp:anchor distT="0" distB="0" distL="114300" distR="114300" simplePos="0" relativeHeight="251808768" behindDoc="0" locked="0" layoutInCell="1" allowOverlap="1">
                <wp:simplePos x="0" y="0"/>
                <wp:positionH relativeFrom="column">
                  <wp:posOffset>4599305</wp:posOffset>
                </wp:positionH>
                <wp:positionV relativeFrom="paragraph">
                  <wp:posOffset>4483100</wp:posOffset>
                </wp:positionV>
                <wp:extent cx="504825" cy="238125"/>
                <wp:effectExtent l="0" t="0" r="0" b="0"/>
                <wp:wrapNone/>
                <wp:docPr id="544" name="文本框 544"/>
                <wp:cNvGraphicFramePr/>
                <a:graphic xmlns:a="http://schemas.openxmlformats.org/drawingml/2006/main">
                  <a:graphicData uri="http://schemas.microsoft.com/office/word/2010/wordprocessingShape">
                    <wps:wsp>
                      <wps:cNvSpPr txBox="1"/>
                      <wps:spPr>
                        <a:xfrm>
                          <a:off x="0" y="0"/>
                          <a:ext cx="50482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DF6FEC">
                            <w:pPr>
                              <w:rPr>
                                <w:rFonts w:hint="default" w:eastAsia="宋体"/>
                                <w:lang w:val="en-US" w:eastAsia="zh-CN"/>
                              </w:rPr>
                            </w:pPr>
                            <w:r>
                              <w:rPr>
                                <w:rFonts w:hint="eastAsia"/>
                                <w:lang w:val="en-US" w:eastAsia="zh-CN"/>
                              </w:rPr>
                              <w:t>294.5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2.15pt;margin-top:353pt;height:18.75pt;width:39.75pt;z-index:251808768;mso-width-relative:page;mso-height-relative:page;" filled="f" stroked="f" coordsize="21600,21600" o:gfxdata="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&#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Sf2btsAAAALAQAADwAAAAAAAAABACAAAAAiAAAA&#10;ZHJzL2Rvd25yZXYueG1sUEsBAhQAFAAAAAgAh07iQB3Hllg9AgAAaQQAAA4AAAAAAAAAAQAgAAAA&#10;KgEAAGRycy9lMm9Eb2MueG1sUEsFBgAAAAAGAAYAWQEAANkFAAAAAA==&#10;">
                <v:fill on="f" focussize="0,0"/>
                <v:stroke on="f" weight="0.5pt"/>
                <v:imagedata o:title=""/>
                <o:lock v:ext="edit" aspectratio="f"/>
                <v:textbox>
                  <w:txbxContent>
                    <w:p w14:paraId="42DF6FEC">
                      <w:pPr>
                        <w:rPr>
                          <w:rFonts w:hint="default" w:eastAsia="宋体"/>
                          <w:lang w:val="en-US" w:eastAsia="zh-CN"/>
                        </w:rPr>
                      </w:pPr>
                      <w:r>
                        <w:rPr>
                          <w:rFonts w:hint="eastAsia"/>
                          <w:lang w:val="en-US" w:eastAsia="zh-CN"/>
                        </w:rPr>
                        <w:t>294.5</w:t>
                      </w:r>
                    </w:p>
                  </w:txbxContent>
                </v:textbox>
              </v:shape>
            </w:pict>
          </mc:Fallback>
        </mc:AlternateContent>
      </w:r>
      <w:r>
        <w:rPr>
          <w:color w:val="auto"/>
          <w:sz w:val="21"/>
        </w:rPr>
        <mc:AlternateContent>
          <mc:Choice Requires="wps">
            <w:drawing>
              <wp:anchor distT="0" distB="0" distL="114300" distR="114300" simplePos="0" relativeHeight="251807744" behindDoc="0" locked="0" layoutInCell="1" allowOverlap="1">
                <wp:simplePos x="0" y="0"/>
                <wp:positionH relativeFrom="column">
                  <wp:posOffset>1818005</wp:posOffset>
                </wp:positionH>
                <wp:positionV relativeFrom="paragraph">
                  <wp:posOffset>5786120</wp:posOffset>
                </wp:positionV>
                <wp:extent cx="835660" cy="314325"/>
                <wp:effectExtent l="6350" t="6350" r="15240" b="22225"/>
                <wp:wrapNone/>
                <wp:docPr id="545" name="矩形 545"/>
                <wp:cNvGraphicFramePr/>
                <a:graphic xmlns:a="http://schemas.openxmlformats.org/drawingml/2006/main">
                  <a:graphicData uri="http://schemas.microsoft.com/office/word/2010/wordprocessingShape">
                    <wps:wsp>
                      <wps:cNvSpPr/>
                      <wps:spPr>
                        <a:xfrm>
                          <a:off x="0" y="0"/>
                          <a:ext cx="835660" cy="3143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2ECBA86">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绿化用水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3.15pt;margin-top:455.6pt;height:24.75pt;width:65.8pt;z-index:251807744;v-text-anchor:middle;mso-width-relative:page;mso-height-relative:page;" filled="f" stroked="t" coordsize="21600,21600" o:gfxdata="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aM82Q2gAAAAsBAAAPAAAAAAAAAAEAIAAAACIAAABkcnMvZG93bnJldi54bWxQSwEC&#10;FAAUAAAACACHTuJASX0Sh2QCAADCBAAADgAAAAAAAAABACAAAAApAQAAZHJzL2Uyb0RvYy54bWxQ&#10;SwUGAAAAAAYABgBZAQAA/wUAAAAA&#10;">
                <v:fill on="f" focussize="0,0"/>
                <v:stroke weight="1pt" color="#000000 [3213]" joinstyle="round"/>
                <v:imagedata o:title=""/>
                <o:lock v:ext="edit" aspectratio="f"/>
                <v:textbox>
                  <w:txbxContent>
                    <w:p w14:paraId="02ECBA86">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绿化用水</w:t>
                      </w:r>
                    </w:p>
                  </w:txbxContent>
                </v:textbox>
              </v:rect>
            </w:pict>
          </mc:Fallback>
        </mc:AlternateContent>
      </w:r>
      <w:r>
        <w:rPr>
          <w:color w:val="auto"/>
          <w:sz w:val="21"/>
        </w:rPr>
        <mc:AlternateContent>
          <mc:Choice Requires="wps">
            <w:drawing>
              <wp:anchor distT="0" distB="0" distL="114300" distR="114300" simplePos="0" relativeHeight="251797504" behindDoc="0" locked="0" layoutInCell="1" allowOverlap="1">
                <wp:simplePos x="0" y="0"/>
                <wp:positionH relativeFrom="column">
                  <wp:posOffset>1217295</wp:posOffset>
                </wp:positionH>
                <wp:positionV relativeFrom="paragraph">
                  <wp:posOffset>5934075</wp:posOffset>
                </wp:positionV>
                <wp:extent cx="610235" cy="8255"/>
                <wp:effectExtent l="0" t="31115" r="18415" b="36830"/>
                <wp:wrapNone/>
                <wp:docPr id="546" name="直接箭头连接符 546"/>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5.85pt;margin-top:467.25pt;height:0.65pt;width:48.05pt;z-index:251797504;mso-width-relative:page;mso-height-relative:page;" filled="f" stroked="t" coordsize="21600,21600" o:gfxdata="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XX6WI2AAAAAsBAAAPAAAAAAAAAAEAIAAAACIAAABkcnMvZG93&#10;bnJldi54bWxQSwECFAAUAAAACACHTuJAGw9KqgACAADRAwAADgAAAAAAAAABACAAAAAnAQAAZHJz&#10;L2Uyb0RvYy54bWxQSwUGAAAAAAYABgBZAQAAmQU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806720" behindDoc="0" locked="0" layoutInCell="1" allowOverlap="1">
                <wp:simplePos x="0" y="0"/>
                <wp:positionH relativeFrom="column">
                  <wp:posOffset>5046980</wp:posOffset>
                </wp:positionH>
                <wp:positionV relativeFrom="paragraph">
                  <wp:posOffset>4338320</wp:posOffset>
                </wp:positionV>
                <wp:extent cx="817245" cy="675640"/>
                <wp:effectExtent l="6350" t="6350" r="14605" b="22860"/>
                <wp:wrapNone/>
                <wp:docPr id="547" name="矩形 547"/>
                <wp:cNvGraphicFramePr/>
                <a:graphic xmlns:a="http://schemas.openxmlformats.org/drawingml/2006/main">
                  <a:graphicData uri="http://schemas.microsoft.com/office/word/2010/wordprocessingShape">
                    <wps:wsp>
                      <wps:cNvSpPr/>
                      <wps:spPr>
                        <a:xfrm>
                          <a:off x="0" y="0"/>
                          <a:ext cx="817245" cy="67564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95AB4E0">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用于厂区绿化和地面降尘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7.4pt;margin-top:341.6pt;height:53.2pt;width:64.35pt;z-index:251806720;v-text-anchor:middle;mso-width-relative:page;mso-height-relative:page;" filled="f" stroked="t" coordsize="21600,21600" o:gfxdata="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5LR+EtoAAAALAQAADwAAAAAAAAABACAAAAAiAAAAZHJzL2Rvd25yZXYueG1sUEsB&#10;AhQAFAAAAAgAh07iQMOfbmtlAgAAwgQAAA4AAAAAAAAAAQAgAAAAKQEAAGRycy9lMm9Eb2MueG1s&#10;UEsFBgAAAAAGAAYAWQEAAAAGAAAAAA==&#10;">
                <v:fill on="f" focussize="0,0"/>
                <v:stroke weight="1pt" color="#000000 [3213]" joinstyle="round"/>
                <v:imagedata o:title=""/>
                <o:lock v:ext="edit" aspectratio="f"/>
                <v:textbox>
                  <w:txbxContent>
                    <w:p w14:paraId="095AB4E0">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用于厂区绿化和地面降尘</w:t>
                      </w:r>
                    </w:p>
                  </w:txbxContent>
                </v:textbox>
              </v:rect>
            </w:pict>
          </mc:Fallback>
        </mc:AlternateContent>
      </w:r>
      <w:r>
        <w:rPr>
          <w:color w:val="auto"/>
          <w:sz w:val="21"/>
        </w:rPr>
        <mc:AlternateContent>
          <mc:Choice Requires="wps">
            <w:drawing>
              <wp:anchor distT="0" distB="0" distL="114300" distR="114300" simplePos="0" relativeHeight="251805696" behindDoc="0" locked="0" layoutInCell="1" allowOverlap="1">
                <wp:simplePos x="0" y="0"/>
                <wp:positionH relativeFrom="column">
                  <wp:posOffset>4665345</wp:posOffset>
                </wp:positionH>
                <wp:positionV relativeFrom="paragraph">
                  <wp:posOffset>4709795</wp:posOffset>
                </wp:positionV>
                <wp:extent cx="381635" cy="5080"/>
                <wp:effectExtent l="0" t="36830" r="18415" b="34290"/>
                <wp:wrapNone/>
                <wp:docPr id="548" name="直接箭头连接符 548"/>
                <wp:cNvGraphicFramePr/>
                <a:graphic xmlns:a="http://schemas.openxmlformats.org/drawingml/2006/main">
                  <a:graphicData uri="http://schemas.microsoft.com/office/word/2010/wordprocessingShape">
                    <wps:wsp>
                      <wps:cNvCnPr/>
                      <wps:spPr>
                        <a:xfrm flipV="1">
                          <a:off x="0" y="0"/>
                          <a:ext cx="381635" cy="508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67.35pt;margin-top:370.85pt;height:0.4pt;width:30.05pt;z-index:251805696;mso-width-relative:page;mso-height-relative:page;" filled="f" stroked="t" coordsize="21600,21600" o:gfxdata="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ZRVr99wAAAALAQAADwAAAAAAAAABACAAAAAi&#10;AAAAZHJzL2Rvd25yZXYueG1sUEsBAhQAFAAAAAgAh07iQAc81yQGAgAA2wMAAA4AAAAAAAAAAQAg&#10;AAAAKwEAAGRycy9lMm9Eb2MueG1sUEsFBgAAAAAGAAYAWQEAAKMFA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804672" behindDoc="0" locked="0" layoutInCell="1" allowOverlap="1">
                <wp:simplePos x="0" y="0"/>
                <wp:positionH relativeFrom="column">
                  <wp:posOffset>4656455</wp:posOffset>
                </wp:positionH>
                <wp:positionV relativeFrom="paragraph">
                  <wp:posOffset>4309745</wp:posOffset>
                </wp:positionV>
                <wp:extent cx="0" cy="847725"/>
                <wp:effectExtent l="6350" t="0" r="12700" b="9525"/>
                <wp:wrapNone/>
                <wp:docPr id="549" name="直接连接符 549"/>
                <wp:cNvGraphicFramePr/>
                <a:graphic xmlns:a="http://schemas.openxmlformats.org/drawingml/2006/main">
                  <a:graphicData uri="http://schemas.microsoft.com/office/word/2010/wordprocessingShape">
                    <wps:wsp>
                      <wps:cNvCnPr/>
                      <wps:spPr>
                        <a:xfrm>
                          <a:off x="5797550" y="7612380"/>
                          <a:ext cx="0" cy="847725"/>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66.65pt;margin-top:339.35pt;height:66.75pt;width:0pt;z-index:251804672;mso-width-relative:page;mso-height-relative:page;" filled="f" stroked="t" coordsize="21600,21600" o:gfxdata="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0fDz5&#10;2QAAAAsBAAAPAAAAAAAAAAEAIAAAACIAAABkcnMvZG93bnJldi54bWxQSwECFAAUAAAACACHTuJA&#10;Od3GXucBAACqAwAADgAAAAAAAAABACAAAAAoAQAAZHJzL2Uyb0RvYy54bWxQSwUGAAAAAAYABgBZ&#10;AQAAgQUAAAAA&#10;">
                <v:fill on="f" focussize="0,0"/>
                <v:stroke weight="1pt" color="#000000 [3213]" joinstyle="round"/>
                <v:imagedata o:title=""/>
                <o:lock v:ext="edit" aspectratio="f"/>
              </v:line>
            </w:pict>
          </mc:Fallback>
        </mc:AlternateContent>
      </w:r>
      <w:r>
        <w:rPr>
          <w:color w:val="auto"/>
          <w:sz w:val="21"/>
        </w:rPr>
        <mc:AlternateContent>
          <mc:Choice Requires="wps">
            <w:drawing>
              <wp:anchor distT="0" distB="0" distL="114300" distR="114300" simplePos="0" relativeHeight="251801600" behindDoc="0" locked="0" layoutInCell="1" allowOverlap="1">
                <wp:simplePos x="0" y="0"/>
                <wp:positionH relativeFrom="column">
                  <wp:posOffset>4312920</wp:posOffset>
                </wp:positionH>
                <wp:positionV relativeFrom="paragraph">
                  <wp:posOffset>5153025</wp:posOffset>
                </wp:positionV>
                <wp:extent cx="353060" cy="4445"/>
                <wp:effectExtent l="0" t="0" r="0" b="0"/>
                <wp:wrapNone/>
                <wp:docPr id="550" name="直接箭头连接符 550"/>
                <wp:cNvGraphicFramePr/>
                <a:graphic xmlns:a="http://schemas.openxmlformats.org/drawingml/2006/main">
                  <a:graphicData uri="http://schemas.microsoft.com/office/word/2010/wordprocessingShape">
                    <wps:wsp>
                      <wps:cNvCnPr/>
                      <wps:spPr>
                        <a:xfrm>
                          <a:off x="0" y="0"/>
                          <a:ext cx="353060" cy="4445"/>
                        </a:xfrm>
                        <a:prstGeom prst="straightConnector1">
                          <a:avLst/>
                        </a:prstGeom>
                        <a:ln w="12700">
                          <a:solidFill>
                            <a:schemeClr val="tx1"/>
                          </a:solidFill>
                          <a:tailEnd type="non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39.6pt;margin-top:405.75pt;height:0.35pt;width:27.8pt;z-index:251801600;mso-width-relative:page;mso-height-relative:page;" filled="f" stroked="t" coordsize="21600,21600" o:gfxdata="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MM3RQtcAAAALAQAADwAAAAAAAAABACAAAAAiAAAAZHJzL2Rvd25yZXYu&#10;eG1sUEsBAhQAFAAAAAgAh07iQCR8eIT8AQAAzQMAAA4AAAAAAAAAAQAgAAAAJgEAAGRycy9lMm9E&#10;b2MueG1sUEsFBgAAAAAGAAYAWQEAAJQFAAAAAA==&#10;">
                <v:fill on="f" focussize="0,0"/>
                <v:stroke weight="1pt" color="#000000 [3213]" joinstyle="round"/>
                <v:imagedata o:title=""/>
                <o:lock v:ext="edit" aspectratio="f"/>
              </v:shape>
            </w:pict>
          </mc:Fallback>
        </mc:AlternateContent>
      </w:r>
      <w:r>
        <w:rPr>
          <w:color w:val="auto"/>
          <w:sz w:val="21"/>
        </w:rPr>
        <mc:AlternateContent>
          <mc:Choice Requires="wps">
            <w:drawing>
              <wp:anchor distT="0" distB="0" distL="114300" distR="114300" simplePos="0" relativeHeight="251802624" behindDoc="0" locked="0" layoutInCell="1" allowOverlap="1">
                <wp:simplePos x="0" y="0"/>
                <wp:positionH relativeFrom="column">
                  <wp:posOffset>3380105</wp:posOffset>
                </wp:positionH>
                <wp:positionV relativeFrom="paragraph">
                  <wp:posOffset>4995545</wp:posOffset>
                </wp:positionV>
                <wp:extent cx="930910" cy="314325"/>
                <wp:effectExtent l="6350" t="6350" r="15240" b="22225"/>
                <wp:wrapNone/>
                <wp:docPr id="551" name="矩形 551"/>
                <wp:cNvGraphicFramePr/>
                <a:graphic xmlns:a="http://schemas.openxmlformats.org/drawingml/2006/main">
                  <a:graphicData uri="http://schemas.microsoft.com/office/word/2010/wordprocessingShape">
                    <wps:wsp>
                      <wps:cNvSpPr/>
                      <wps:spPr>
                        <a:xfrm>
                          <a:off x="0" y="0"/>
                          <a:ext cx="930910" cy="3143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D6219D4">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反冲洗废水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6.15pt;margin-top:393.35pt;height:24.75pt;width:73.3pt;z-index:251802624;v-text-anchor:middle;mso-width-relative:page;mso-height-relative:page;" filled="f" stroked="t" coordsize="21600,21600" o:gfxdata="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3KCjs2wAAAAsBAAAPAAAAAAAAAAEAIAAAACIAAABkcnMvZG93bnJldi54bWxQSwEC&#10;FAAUAAAACACHTuJAr11FG2MCAADCBAAADgAAAAAAAAABACAAAAAqAQAAZHJzL2Uyb0RvYy54bWxQ&#10;SwUGAAAAAAYABgBZAQAA/wUAAAAA&#10;">
                <v:fill on="f" focussize="0,0"/>
                <v:stroke weight="1pt" color="#000000 [3213]" joinstyle="round"/>
                <v:imagedata o:title=""/>
                <o:lock v:ext="edit" aspectratio="f"/>
                <v:textbox>
                  <w:txbxContent>
                    <w:p w14:paraId="7D6219D4">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反冲洗废水</w:t>
                      </w:r>
                    </w:p>
                  </w:txbxContent>
                </v:textbox>
              </v:rect>
            </w:pict>
          </mc:Fallback>
        </mc:AlternateContent>
      </w:r>
      <w:r>
        <w:rPr>
          <w:color w:val="auto"/>
          <w:sz w:val="21"/>
        </w:rPr>
        <mc:AlternateContent>
          <mc:Choice Requires="wps">
            <w:drawing>
              <wp:anchor distT="0" distB="0" distL="114300" distR="114300" simplePos="0" relativeHeight="251800576" behindDoc="0" locked="0" layoutInCell="1" allowOverlap="1">
                <wp:simplePos x="0" y="0"/>
                <wp:positionH relativeFrom="column">
                  <wp:posOffset>2818130</wp:posOffset>
                </wp:positionH>
                <wp:positionV relativeFrom="paragraph">
                  <wp:posOffset>4921250</wp:posOffset>
                </wp:positionV>
                <wp:extent cx="391160" cy="238125"/>
                <wp:effectExtent l="0" t="0" r="0" b="0"/>
                <wp:wrapNone/>
                <wp:docPr id="552" name="文本框 552"/>
                <wp:cNvGraphicFramePr/>
                <a:graphic xmlns:a="http://schemas.openxmlformats.org/drawingml/2006/main">
                  <a:graphicData uri="http://schemas.microsoft.com/office/word/2010/wordprocessingShape">
                    <wps:wsp>
                      <wps:cNvSpPr txBox="1"/>
                      <wps:spPr>
                        <a:xfrm>
                          <a:off x="0" y="0"/>
                          <a:ext cx="39116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0F9508">
                            <w:pPr>
                              <w:rPr>
                                <w:rFonts w:hint="default" w:eastAsia="宋体"/>
                                <w:lang w:val="en-US" w:eastAsia="zh-CN"/>
                              </w:rPr>
                            </w:pPr>
                            <w:r>
                              <w:rPr>
                                <w:rFonts w:hint="eastAsia"/>
                                <w:lang w:val="en-US" w:eastAsia="zh-CN"/>
                              </w:rPr>
                              <w:t>6.5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9pt;margin-top:387.5pt;height:18.75pt;width:30.8pt;z-index:251800576;mso-width-relative:page;mso-height-relative:page;" filled="f" stroked="f" coordsize="21600,21600" o:gfxdata="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CIYc33AAAAAsBAAAPAAAAAAAAAAEAIAAAACIA&#10;AABkcnMvZG93bnJldi54bWxQSwECFAAUAAAACACHTuJAvI7FUD4CAABpBAAADgAAAAAAAAABACAA&#10;AAArAQAAZHJzL2Uyb0RvYy54bWxQSwUGAAAAAAYABgBZAQAA2wUAAAAA&#10;">
                <v:fill on="f" focussize="0,0"/>
                <v:stroke on="f" weight="0.5pt"/>
                <v:imagedata o:title=""/>
                <o:lock v:ext="edit" aspectratio="f"/>
                <v:textbox>
                  <w:txbxContent>
                    <w:p w14:paraId="7C0F9508">
                      <w:pPr>
                        <w:rPr>
                          <w:rFonts w:hint="default" w:eastAsia="宋体"/>
                          <w:lang w:val="en-US" w:eastAsia="zh-CN"/>
                        </w:rPr>
                      </w:pPr>
                      <w:r>
                        <w:rPr>
                          <w:rFonts w:hint="eastAsia"/>
                          <w:lang w:val="en-US" w:eastAsia="zh-CN"/>
                        </w:rPr>
                        <w:t>6.5</w:t>
                      </w:r>
                    </w:p>
                  </w:txbxContent>
                </v:textbox>
              </v:shape>
            </w:pict>
          </mc:Fallback>
        </mc:AlternateContent>
      </w:r>
      <w:r>
        <w:rPr>
          <w:color w:val="auto"/>
          <w:sz w:val="21"/>
        </w:rPr>
        <mc:AlternateContent>
          <mc:Choice Requires="wps">
            <w:drawing>
              <wp:anchor distT="0" distB="0" distL="114300" distR="114300" simplePos="0" relativeHeight="251799552" behindDoc="0" locked="0" layoutInCell="1" allowOverlap="1">
                <wp:simplePos x="0" y="0"/>
                <wp:positionH relativeFrom="column">
                  <wp:posOffset>2769870</wp:posOffset>
                </wp:positionH>
                <wp:positionV relativeFrom="paragraph">
                  <wp:posOffset>5143500</wp:posOffset>
                </wp:positionV>
                <wp:extent cx="610235" cy="8255"/>
                <wp:effectExtent l="0" t="31115" r="18415" b="36830"/>
                <wp:wrapNone/>
                <wp:docPr id="553" name="直接箭头连接符 553"/>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18.1pt;margin-top:405pt;height:0.65pt;width:48.05pt;z-index:251799552;mso-width-relative:page;mso-height-relative:page;" filled="f" stroked="t" coordsize="21600,21600" o:gfxdata="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Rj2HvYAAAACwEAAA8AAAAAAAAAAQAgAAAAIgAAAGRycy9kb3du&#10;cmV2LnhtbFBLAQIUABQAAAAIAIdO4kBoKNE6/wEAANEDAAAOAAAAAAAAAAEAIAAAACcBAABkcnMv&#10;ZTJvRG9jLnhtbFBLBQYAAAAABgAGAFkBAACYBQ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98528" behindDoc="0" locked="0" layoutInCell="1" allowOverlap="1">
                <wp:simplePos x="0" y="0"/>
                <wp:positionH relativeFrom="column">
                  <wp:posOffset>1246505</wp:posOffset>
                </wp:positionH>
                <wp:positionV relativeFrom="paragraph">
                  <wp:posOffset>4892675</wp:posOffset>
                </wp:positionV>
                <wp:extent cx="561975" cy="238125"/>
                <wp:effectExtent l="0" t="0" r="0" b="0"/>
                <wp:wrapNone/>
                <wp:docPr id="554" name="文本框 554"/>
                <wp:cNvGraphicFramePr/>
                <a:graphic xmlns:a="http://schemas.openxmlformats.org/drawingml/2006/main">
                  <a:graphicData uri="http://schemas.microsoft.com/office/word/2010/wordprocessingShape">
                    <wps:wsp>
                      <wps:cNvSpPr txBox="1"/>
                      <wps:spPr>
                        <a:xfrm>
                          <a:off x="0" y="0"/>
                          <a:ext cx="56197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18FF4E">
                            <w:pPr>
                              <w:rPr>
                                <w:rFonts w:hint="default" w:eastAsia="宋体"/>
                                <w:lang w:val="en-US" w:eastAsia="zh-CN"/>
                              </w:rPr>
                            </w:pPr>
                            <w:r>
                              <w:rPr>
                                <w:rFonts w:hint="eastAsia"/>
                                <w:lang w:val="en-US" w:eastAsia="zh-CN"/>
                              </w:rPr>
                              <w:t>6.5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15pt;margin-top:385.25pt;height:18.75pt;width:44.25pt;z-index:251798528;mso-width-relative:page;mso-height-relative:page;" filled="f" stroked="f" coordsize="21600,21600" o:gfxdata="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F13HzbAAAACwEAAA8AAAAAAAAAAQAgAAAAIgAA&#10;AGRycy9kb3ducmV2LnhtbFBLAQIUABQAAAAIAIdO4kA/F++DPgIAAGkEAAAOAAAAAAAAAAEAIAAA&#10;ACoBAABkcnMvZTJvRG9jLnhtbFBLBQYAAAAABgAGAFkBAADaBQAAAAA=&#10;">
                <v:fill on="f" focussize="0,0"/>
                <v:stroke on="f" weight="0.5pt"/>
                <v:imagedata o:title=""/>
                <o:lock v:ext="edit" aspectratio="f"/>
                <v:textbox>
                  <w:txbxContent>
                    <w:p w14:paraId="5618FF4E">
                      <w:pPr>
                        <w:rPr>
                          <w:rFonts w:hint="default" w:eastAsia="宋体"/>
                          <w:lang w:val="en-US" w:eastAsia="zh-CN"/>
                        </w:rPr>
                      </w:pPr>
                      <w:r>
                        <w:rPr>
                          <w:rFonts w:hint="eastAsia"/>
                          <w:lang w:val="en-US" w:eastAsia="zh-CN"/>
                        </w:rPr>
                        <w:t>6.5</w:t>
                      </w:r>
                    </w:p>
                  </w:txbxContent>
                </v:textbox>
              </v:shape>
            </w:pict>
          </mc:Fallback>
        </mc:AlternateContent>
      </w:r>
      <w:r>
        <w:rPr>
          <w:color w:val="auto"/>
          <w:sz w:val="21"/>
        </w:rPr>
        <mc:AlternateContent>
          <mc:Choice Requires="wps">
            <w:drawing>
              <wp:anchor distT="0" distB="0" distL="114300" distR="114300" simplePos="0" relativeHeight="251796480" behindDoc="0" locked="0" layoutInCell="1" allowOverlap="1">
                <wp:simplePos x="0" y="0"/>
                <wp:positionH relativeFrom="column">
                  <wp:posOffset>1818005</wp:posOffset>
                </wp:positionH>
                <wp:positionV relativeFrom="paragraph">
                  <wp:posOffset>4986020</wp:posOffset>
                </wp:positionV>
                <wp:extent cx="949960" cy="314325"/>
                <wp:effectExtent l="6350" t="6350" r="15240" b="22225"/>
                <wp:wrapNone/>
                <wp:docPr id="555" name="矩形 555"/>
                <wp:cNvGraphicFramePr/>
                <a:graphic xmlns:a="http://schemas.openxmlformats.org/drawingml/2006/main">
                  <a:graphicData uri="http://schemas.microsoft.com/office/word/2010/wordprocessingShape">
                    <wps:wsp>
                      <wps:cNvSpPr/>
                      <wps:spPr>
                        <a:xfrm>
                          <a:off x="0" y="0"/>
                          <a:ext cx="949960" cy="3143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B436A67">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反冲洗用水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3.15pt;margin-top:392.6pt;height:24.75pt;width:74.8pt;z-index:251796480;v-text-anchor:middle;mso-width-relative:page;mso-height-relative:page;" filled="f" stroked="t" coordsize="21600,21600" o:gfxdata="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eA4N2dsAAAALAQAADwAAAAAAAAABACAAAAAiAAAAZHJzL2Rvd25yZXYueG1sUEsB&#10;AhQAFAAAAAgAh07iQHQO2yZkAgAAwgQAAA4AAAAAAAAAAQAgAAAAKgEAAGRycy9lMm9Eb2MueG1s&#10;UEsFBgAAAAAGAAYAWQEAAAAGAAAAAA==&#10;">
                <v:fill on="f" focussize="0,0"/>
                <v:stroke weight="1pt" color="#000000 [3213]" joinstyle="round"/>
                <v:imagedata o:title=""/>
                <o:lock v:ext="edit" aspectratio="f"/>
                <v:textbox>
                  <w:txbxContent>
                    <w:p w14:paraId="7B436A67">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反冲洗用水</w:t>
                      </w:r>
                    </w:p>
                  </w:txbxContent>
                </v:textbox>
              </v:rect>
            </w:pict>
          </mc:Fallback>
        </mc:AlternateContent>
      </w:r>
      <w:r>
        <w:rPr>
          <w:color w:val="auto"/>
          <w:sz w:val="21"/>
        </w:rPr>
        <mc:AlternateContent>
          <mc:Choice Requires="wps">
            <w:drawing>
              <wp:anchor distT="0" distB="0" distL="114300" distR="114300" simplePos="0" relativeHeight="251795456" behindDoc="0" locked="0" layoutInCell="1" allowOverlap="1">
                <wp:simplePos x="0" y="0"/>
                <wp:positionH relativeFrom="column">
                  <wp:posOffset>1207770</wp:posOffset>
                </wp:positionH>
                <wp:positionV relativeFrom="paragraph">
                  <wp:posOffset>5143500</wp:posOffset>
                </wp:positionV>
                <wp:extent cx="610235" cy="8255"/>
                <wp:effectExtent l="0" t="31115" r="18415" b="36830"/>
                <wp:wrapNone/>
                <wp:docPr id="556" name="直接箭头连接符 556"/>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5.1pt;margin-top:405pt;height:0.65pt;width:48.05pt;z-index:251795456;mso-width-relative:page;mso-height-relative:page;" filled="f" stroked="t" coordsize="21600,21600" o:gfxdata="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sb2HRtcAAAALAQAADwAAAAAAAAABACAAAAAiAAAAZHJzL2Rvd25y&#10;ZXYueG1sUEsBAhQAFAAAAAgAh07iQISYtoj/AQAA0QMAAA4AAAAAAAAAAQAgAAAAJgEAAGRycy9l&#10;Mm9Eb2MueG1sUEsFBgAAAAAGAAYAWQEAAJcFA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94432" behindDoc="0" locked="0" layoutInCell="1" allowOverlap="1">
                <wp:simplePos x="0" y="0"/>
                <wp:positionH relativeFrom="column">
                  <wp:posOffset>2656205</wp:posOffset>
                </wp:positionH>
                <wp:positionV relativeFrom="paragraph">
                  <wp:posOffset>4073525</wp:posOffset>
                </wp:positionV>
                <wp:extent cx="561975" cy="238125"/>
                <wp:effectExtent l="0" t="0" r="0" b="0"/>
                <wp:wrapNone/>
                <wp:docPr id="557" name="文本框 557"/>
                <wp:cNvGraphicFramePr/>
                <a:graphic xmlns:a="http://schemas.openxmlformats.org/drawingml/2006/main">
                  <a:graphicData uri="http://schemas.microsoft.com/office/word/2010/wordprocessingShape">
                    <wps:wsp>
                      <wps:cNvSpPr txBox="1"/>
                      <wps:spPr>
                        <a:xfrm>
                          <a:off x="0" y="0"/>
                          <a:ext cx="56197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4C8CA5">
                            <w:pPr>
                              <w:rPr>
                                <w:rFonts w:hint="default" w:eastAsia="宋体"/>
                                <w:lang w:val="en-US" w:eastAsia="zh-CN"/>
                              </w:rPr>
                            </w:pPr>
                            <w:r>
                              <w:rPr>
                                <w:rFonts w:hint="eastAsia"/>
                                <w:lang w:val="en-US" w:eastAsia="zh-CN"/>
                              </w:rPr>
                              <w:t>288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15pt;margin-top:320.75pt;height:18.75pt;width:44.25pt;z-index:251794432;mso-width-relative:page;mso-height-relative:page;" filled="f" stroked="f" coordsize="21600,21600" o:gfxdata="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nYm8k3AAAAAsBAAAPAAAAAAAAAAEAIAAAACIA&#10;AABkcnMvZG93bnJldi54bWxQSwECFAAUAAAACACHTuJAqAfH2T4CAABpBAAADgAAAAAAAAABACAA&#10;AAArAQAAZHJzL2Uyb0RvYy54bWxQSwUGAAAAAAYABgBZAQAA2wUAAAAA&#10;">
                <v:fill on="f" focussize="0,0"/>
                <v:stroke on="f" weight="0.5pt"/>
                <v:imagedata o:title=""/>
                <o:lock v:ext="edit" aspectratio="f"/>
                <v:textbox>
                  <w:txbxContent>
                    <w:p w14:paraId="244C8CA5">
                      <w:pPr>
                        <w:rPr>
                          <w:rFonts w:hint="default" w:eastAsia="宋体"/>
                          <w:lang w:val="en-US" w:eastAsia="zh-CN"/>
                        </w:rPr>
                      </w:pPr>
                      <w:r>
                        <w:rPr>
                          <w:rFonts w:hint="eastAsia"/>
                          <w:lang w:val="en-US" w:eastAsia="zh-CN"/>
                        </w:rPr>
                        <w:t>288</w:t>
                      </w:r>
                    </w:p>
                  </w:txbxContent>
                </v:textbox>
              </v:shape>
            </w:pict>
          </mc:Fallback>
        </mc:AlternateContent>
      </w:r>
      <w:r>
        <w:rPr>
          <w:color w:val="auto"/>
          <w:sz w:val="21"/>
        </w:rPr>
        <mc:AlternateContent>
          <mc:Choice Requires="wps">
            <w:drawing>
              <wp:anchor distT="0" distB="0" distL="114300" distR="114300" simplePos="0" relativeHeight="251793408" behindDoc="0" locked="0" layoutInCell="1" allowOverlap="1">
                <wp:simplePos x="0" y="0"/>
                <wp:positionH relativeFrom="column">
                  <wp:posOffset>3237230</wp:posOffset>
                </wp:positionH>
                <wp:positionV relativeFrom="paragraph">
                  <wp:posOffset>4147820</wp:posOffset>
                </wp:positionV>
                <wp:extent cx="817245" cy="314325"/>
                <wp:effectExtent l="6350" t="6350" r="14605" b="22225"/>
                <wp:wrapNone/>
                <wp:docPr id="558" name="矩形 558"/>
                <wp:cNvGraphicFramePr/>
                <a:graphic xmlns:a="http://schemas.openxmlformats.org/drawingml/2006/main">
                  <a:graphicData uri="http://schemas.microsoft.com/office/word/2010/wordprocessingShape">
                    <wps:wsp>
                      <wps:cNvSpPr/>
                      <wps:spPr>
                        <a:xfrm>
                          <a:off x="0" y="0"/>
                          <a:ext cx="817245" cy="3143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4DD9206">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锅炉排水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4.9pt;margin-top:326.6pt;height:24.75pt;width:64.35pt;z-index:251793408;v-text-anchor:middle;mso-width-relative:page;mso-height-relative:page;" filled="f" stroked="t" coordsize="21600,21600" o:gfxdata="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DOBvKNoAAAALAQAADwAAAAAAAAABACAAAAAiAAAAZHJzL2Rvd25yZXYueG1sUEsB&#10;AhQAFAAAAAgAh07iQCZSN15lAgAAwgQAAA4AAAAAAAAAAQAgAAAAKQEAAGRycy9lMm9Eb2MueG1s&#10;UEsFBgAAAAAGAAYAWQEAAAAGAAAAAA==&#10;">
                <v:fill on="f" focussize="0,0"/>
                <v:stroke weight="1pt" color="#000000 [3213]" joinstyle="round"/>
                <v:imagedata o:title=""/>
                <o:lock v:ext="edit" aspectratio="f"/>
                <v:textbox>
                  <w:txbxContent>
                    <w:p w14:paraId="54DD9206">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锅炉排水</w:t>
                      </w:r>
                    </w:p>
                  </w:txbxContent>
                </v:textbox>
              </v:rect>
            </w:pict>
          </mc:Fallback>
        </mc:AlternateContent>
      </w:r>
      <w:r>
        <w:rPr>
          <w:color w:val="auto"/>
          <w:sz w:val="21"/>
        </w:rPr>
        <mc:AlternateContent>
          <mc:Choice Requires="wps">
            <w:drawing>
              <wp:anchor distT="0" distB="0" distL="114300" distR="114300" simplePos="0" relativeHeight="251792384" behindDoc="0" locked="0" layoutInCell="1" allowOverlap="1">
                <wp:simplePos x="0" y="0"/>
                <wp:positionH relativeFrom="column">
                  <wp:posOffset>2636520</wp:posOffset>
                </wp:positionH>
                <wp:positionV relativeFrom="paragraph">
                  <wp:posOffset>4314825</wp:posOffset>
                </wp:positionV>
                <wp:extent cx="610235" cy="8255"/>
                <wp:effectExtent l="0" t="31115" r="18415" b="36830"/>
                <wp:wrapNone/>
                <wp:docPr id="559" name="直接箭头连接符 559"/>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07.6pt;margin-top:339.75pt;height:0.65pt;width:48.05pt;z-index:251792384;mso-width-relative:page;mso-height-relative:page;" filled="f" stroked="t" coordsize="21600,21600" o:gfxdata="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xxfRf2QAAAAsBAAAPAAAAAAAAAAEAIAAAACIAAABkcnMvZG93&#10;bnJldi54bWxQSwECFAAUAAAACACHTuJA8U9vhf8BAADRAwAADgAAAAAAAAABACAAAAAoAQAAZHJz&#10;L2Uyb0RvYy54bWxQSwUGAAAAAAYABgBZAQAAmQU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91360" behindDoc="0" locked="0" layoutInCell="1" allowOverlap="1">
                <wp:simplePos x="0" y="0"/>
                <wp:positionH relativeFrom="column">
                  <wp:posOffset>2170430</wp:posOffset>
                </wp:positionH>
                <wp:positionV relativeFrom="paragraph">
                  <wp:posOffset>3695065</wp:posOffset>
                </wp:positionV>
                <wp:extent cx="742950" cy="275590"/>
                <wp:effectExtent l="0" t="0" r="0" b="0"/>
                <wp:wrapNone/>
                <wp:docPr id="560" name="文本框 560"/>
                <wp:cNvGraphicFramePr/>
                <a:graphic xmlns:a="http://schemas.openxmlformats.org/drawingml/2006/main">
                  <a:graphicData uri="http://schemas.microsoft.com/office/word/2010/wordprocessingShape">
                    <wps:wsp>
                      <wps:cNvSpPr txBox="1"/>
                      <wps:spPr>
                        <a:xfrm>
                          <a:off x="0" y="0"/>
                          <a:ext cx="74295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D91834">
                            <w:pPr>
                              <w:rPr>
                                <w:rFonts w:hint="default" w:eastAsia="宋体"/>
                                <w:lang w:val="en-US" w:eastAsia="zh-CN"/>
                              </w:rPr>
                            </w:pPr>
                            <w:r>
                              <w:rPr>
                                <w:rFonts w:hint="eastAsia"/>
                                <w:lang w:val="en-US" w:eastAsia="zh-CN"/>
                              </w:rPr>
                              <w:t>损失2880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0.9pt;margin-top:290.95pt;height:21.7pt;width:58.5pt;z-index:251791360;mso-width-relative:page;mso-height-relative:page;" filled="f" stroked="f" coordsize="21600,21600" o:gfxdata="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kbpyNwAAAALAQAADwAAAAAAAAABACAAAAAiAAAA&#10;ZHJzL2Rvd25yZXYueG1sUEsBAhQAFAAAAAgAh07iQCpoLeM8AgAAaQQAAA4AAAAAAAAAAQAgAAAA&#10;KwEAAGRycy9lMm9Eb2MueG1sUEsFBgAAAAAGAAYAWQEAANkFAAAAAA==&#10;">
                <v:fill on="f" focussize="0,0"/>
                <v:stroke on="f" weight="0.5pt"/>
                <v:imagedata o:title=""/>
                <o:lock v:ext="edit" aspectratio="f"/>
                <v:textbox>
                  <w:txbxContent>
                    <w:p w14:paraId="51D91834">
                      <w:pPr>
                        <w:rPr>
                          <w:rFonts w:hint="default" w:eastAsia="宋体"/>
                          <w:lang w:val="en-US" w:eastAsia="zh-CN"/>
                        </w:rPr>
                      </w:pPr>
                      <w:r>
                        <w:rPr>
                          <w:rFonts w:hint="eastAsia"/>
                          <w:lang w:val="en-US" w:eastAsia="zh-CN"/>
                        </w:rPr>
                        <w:t>损失2880</w:t>
                      </w:r>
                    </w:p>
                  </w:txbxContent>
                </v:textbox>
              </v:shape>
            </w:pict>
          </mc:Fallback>
        </mc:AlternateContent>
      </w:r>
      <w:r>
        <w:rPr>
          <w:color w:val="auto"/>
          <w:sz w:val="21"/>
        </w:rPr>
        <mc:AlternateContent>
          <mc:Choice Requires="wps">
            <w:drawing>
              <wp:anchor distT="0" distB="0" distL="114300" distR="114300" simplePos="0" relativeHeight="251790336" behindDoc="0" locked="0" layoutInCell="1" allowOverlap="1">
                <wp:simplePos x="0" y="0"/>
                <wp:positionH relativeFrom="column">
                  <wp:posOffset>2179955</wp:posOffset>
                </wp:positionH>
                <wp:positionV relativeFrom="paragraph">
                  <wp:posOffset>3949700</wp:posOffset>
                </wp:positionV>
                <wp:extent cx="276225" cy="200025"/>
                <wp:effectExtent l="0" t="18415" r="9525" b="10160"/>
                <wp:wrapNone/>
                <wp:docPr id="561" name="曲线连接符 561"/>
                <wp:cNvGraphicFramePr/>
                <a:graphic xmlns:a="http://schemas.openxmlformats.org/drawingml/2006/main">
                  <a:graphicData uri="http://schemas.microsoft.com/office/word/2010/wordprocessingShape">
                    <wps:wsp>
                      <wps:cNvCnPr/>
                      <wps:spPr>
                        <a:xfrm flipV="1">
                          <a:off x="0" y="0"/>
                          <a:ext cx="276225" cy="200025"/>
                        </a:xfrm>
                        <a:prstGeom prst="curvedConnector3">
                          <a:avLst>
                            <a:gd name="adj1" fmla="val 50115"/>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flip:y;margin-left:171.65pt;margin-top:311pt;height:15.75pt;width:21.75pt;z-index:251790336;mso-width-relative:page;mso-height-relative:page;" filled="f" stroked="t" coordsize="21600,21600" o:gfxdata="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epyAzYAAAACwEAAA8A&#10;AAAAAAAAAQAgAAAAIgAAAGRycy9kb3ducmV2LnhtbFBLAQIUABQAAAAIAIdO4kCWehfSFwIAAAIE&#10;AAAOAAAAAAAAAAEAIAAAACcBAABkcnMvZTJvRG9jLnhtbFBLBQYAAAAABgAGAFkBAACwBQAAAAA=&#10;" adj="10825">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89312" behindDoc="0" locked="0" layoutInCell="1" allowOverlap="1">
                <wp:simplePos x="0" y="0"/>
                <wp:positionH relativeFrom="column">
                  <wp:posOffset>1256030</wp:posOffset>
                </wp:positionH>
                <wp:positionV relativeFrom="paragraph">
                  <wp:posOffset>4064000</wp:posOffset>
                </wp:positionV>
                <wp:extent cx="561975" cy="238125"/>
                <wp:effectExtent l="0" t="0" r="0" b="0"/>
                <wp:wrapNone/>
                <wp:docPr id="562" name="文本框 562"/>
                <wp:cNvGraphicFramePr/>
                <a:graphic xmlns:a="http://schemas.openxmlformats.org/drawingml/2006/main">
                  <a:graphicData uri="http://schemas.microsoft.com/office/word/2010/wordprocessingShape">
                    <wps:wsp>
                      <wps:cNvSpPr txBox="1"/>
                      <wps:spPr>
                        <a:xfrm>
                          <a:off x="0" y="0"/>
                          <a:ext cx="56197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FF699A">
                            <w:pPr>
                              <w:rPr>
                                <w:rFonts w:hint="default" w:eastAsia="宋体"/>
                                <w:lang w:val="en-US" w:eastAsia="zh-CN"/>
                              </w:rPr>
                            </w:pPr>
                            <w:r>
                              <w:rPr>
                                <w:rFonts w:hint="eastAsia"/>
                                <w:lang w:val="en-US" w:eastAsia="zh-CN"/>
                              </w:rPr>
                              <w:t>3168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9pt;margin-top:320pt;height:18.75pt;width:44.25pt;z-index:251789312;mso-width-relative:page;mso-height-relative:page;" filled="f" stroked="f" coordsize="21600,21600" o:gfxdata="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OXE2bbAAAACwEAAA8AAAAAAAAAAQAgAAAAIgAA&#10;AGRycy9kb3ducmV2LnhtbFBLAQIUABQAAAAIAIdO4kDmGI5ZPgIAAGkEAAAOAAAAAAAAAAEAIAAA&#10;ACoBAABkcnMvZTJvRG9jLnhtbFBLBQYAAAAABgAGAFkBAADaBQAAAAA=&#10;">
                <v:fill on="f" focussize="0,0"/>
                <v:stroke on="f" weight="0.5pt"/>
                <v:imagedata o:title=""/>
                <o:lock v:ext="edit" aspectratio="f"/>
                <v:textbox>
                  <w:txbxContent>
                    <w:p w14:paraId="3DFF699A">
                      <w:pPr>
                        <w:rPr>
                          <w:rFonts w:hint="default" w:eastAsia="宋体"/>
                          <w:lang w:val="en-US" w:eastAsia="zh-CN"/>
                        </w:rPr>
                      </w:pPr>
                      <w:r>
                        <w:rPr>
                          <w:rFonts w:hint="eastAsia"/>
                          <w:lang w:val="en-US" w:eastAsia="zh-CN"/>
                        </w:rPr>
                        <w:t>3168</w:t>
                      </w:r>
                    </w:p>
                  </w:txbxContent>
                </v:textbox>
              </v:shape>
            </w:pict>
          </mc:Fallback>
        </mc:AlternateContent>
      </w:r>
      <w:r>
        <w:rPr>
          <w:color w:val="auto"/>
          <w:sz w:val="21"/>
        </w:rPr>
        <mc:AlternateContent>
          <mc:Choice Requires="wps">
            <w:drawing>
              <wp:anchor distT="0" distB="0" distL="114300" distR="114300" simplePos="0" relativeHeight="251788288" behindDoc="0" locked="0" layoutInCell="1" allowOverlap="1">
                <wp:simplePos x="0" y="0"/>
                <wp:positionH relativeFrom="column">
                  <wp:posOffset>1808480</wp:posOffset>
                </wp:positionH>
                <wp:positionV relativeFrom="paragraph">
                  <wp:posOffset>4147820</wp:posOffset>
                </wp:positionV>
                <wp:extent cx="817245" cy="314325"/>
                <wp:effectExtent l="6350" t="6350" r="14605" b="22225"/>
                <wp:wrapNone/>
                <wp:docPr id="563" name="矩形 563"/>
                <wp:cNvGraphicFramePr/>
                <a:graphic xmlns:a="http://schemas.openxmlformats.org/drawingml/2006/main">
                  <a:graphicData uri="http://schemas.microsoft.com/office/word/2010/wordprocessingShape">
                    <wps:wsp>
                      <wps:cNvSpPr/>
                      <wps:spPr>
                        <a:xfrm>
                          <a:off x="0" y="0"/>
                          <a:ext cx="817245" cy="3143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09E740A">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锅炉补水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2.4pt;margin-top:326.6pt;height:24.75pt;width:64.35pt;z-index:251788288;v-text-anchor:middle;mso-width-relative:page;mso-height-relative:page;" filled="f" stroked="t" coordsize="21600,21600" o:gfxdata="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MI/ngNoAAAALAQAADwAAAAAAAAABACAAAAAiAAAAZHJzL2Rvd25yZXYueG1sUEsB&#10;AhQAFAAAAAgAh07iQHqKlXRlAgAAwgQAAA4AAAAAAAAAAQAgAAAAKQEAAGRycy9lMm9Eb2MueG1s&#10;UEsFBgAAAAAGAAYAWQEAAAAGAAAAAA==&#10;">
                <v:fill on="f" focussize="0,0"/>
                <v:stroke weight="1pt" color="#000000 [3213]" joinstyle="round"/>
                <v:imagedata o:title=""/>
                <o:lock v:ext="edit" aspectratio="f"/>
                <v:textbox>
                  <w:txbxContent>
                    <w:p w14:paraId="409E740A">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锅炉补水</w:t>
                      </w:r>
                    </w:p>
                  </w:txbxContent>
                </v:textbox>
              </v:rect>
            </w:pict>
          </mc:Fallback>
        </mc:AlternateContent>
      </w:r>
      <w:r>
        <w:rPr>
          <w:color w:val="auto"/>
          <w:sz w:val="21"/>
        </w:rPr>
        <mc:AlternateContent>
          <mc:Choice Requires="wps">
            <w:drawing>
              <wp:anchor distT="0" distB="0" distL="114300" distR="114300" simplePos="0" relativeHeight="251787264" behindDoc="0" locked="0" layoutInCell="1" allowOverlap="1">
                <wp:simplePos x="0" y="0"/>
                <wp:positionH relativeFrom="column">
                  <wp:posOffset>1198245</wp:posOffset>
                </wp:positionH>
                <wp:positionV relativeFrom="paragraph">
                  <wp:posOffset>4324350</wp:posOffset>
                </wp:positionV>
                <wp:extent cx="610235" cy="8255"/>
                <wp:effectExtent l="0" t="31115" r="18415" b="36830"/>
                <wp:wrapNone/>
                <wp:docPr id="564" name="直接箭头连接符 564"/>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4.35pt;margin-top:340.5pt;height:0.65pt;width:48.05pt;z-index:251787264;mso-width-relative:page;mso-height-relative:page;" filled="f" stroked="t" coordsize="21600,21600" o:gfxdata="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NSHz/XAAAACwEAAA8AAAAAAAAAAQAgAAAAIgAAAGRycy9kb3du&#10;cmV2LnhtbFBLAQIUABQAAAAIAIdO4kAIa8DJAAIAANEDAAAOAAAAAAAAAAEAIAAAACYBAABkcnMv&#10;ZTJvRG9jLnhtbFBLBQYAAAAABgAGAFkBAACYBQ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86240" behindDoc="0" locked="0" layoutInCell="1" allowOverlap="1">
                <wp:simplePos x="0" y="0"/>
                <wp:positionH relativeFrom="column">
                  <wp:posOffset>1236980</wp:posOffset>
                </wp:positionH>
                <wp:positionV relativeFrom="paragraph">
                  <wp:posOffset>3225800</wp:posOffset>
                </wp:positionV>
                <wp:extent cx="485775" cy="238125"/>
                <wp:effectExtent l="0" t="0" r="0" b="0"/>
                <wp:wrapNone/>
                <wp:docPr id="565" name="文本框 565"/>
                <wp:cNvGraphicFramePr/>
                <a:graphic xmlns:a="http://schemas.openxmlformats.org/drawingml/2006/main">
                  <a:graphicData uri="http://schemas.microsoft.com/office/word/2010/wordprocessingShape">
                    <wps:wsp>
                      <wps:cNvSpPr txBox="1"/>
                      <wps:spPr>
                        <a:xfrm>
                          <a:off x="0" y="0"/>
                          <a:ext cx="48577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C1B4D0">
                            <w:pPr>
                              <w:rPr>
                                <w:rFonts w:hint="default" w:eastAsia="宋体"/>
                                <w:lang w:val="en-US" w:eastAsia="zh-CN"/>
                              </w:rPr>
                            </w:pPr>
                            <w:r>
                              <w:rPr>
                                <w:rFonts w:hint="eastAsia"/>
                                <w:lang w:val="en-US" w:eastAsia="zh-CN"/>
                              </w:rPr>
                              <w:t>4800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7.4pt;margin-top:254pt;height:18.75pt;width:38.25pt;z-index:251786240;mso-width-relative:page;mso-height-relative:page;" filled="f" stroked="f" coordsize="21600,21600" o:gfxdata="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8D4pW2wAAAAsBAAAPAAAAAAAAAAEAIAAAACIA&#10;AABkcnMvZG93bnJldi54bWxQSwECFAAUAAAACACHTuJAtKmTRj8CAABpBAAADgAAAAAAAAABACAA&#10;AAAqAQAAZHJzL2Uyb0RvYy54bWxQSwUGAAAAAAYABgBZAQAA2wUAAAAA&#10;">
                <v:fill on="f" focussize="0,0"/>
                <v:stroke on="f" weight="0.5pt"/>
                <v:imagedata o:title=""/>
                <o:lock v:ext="edit" aspectratio="f"/>
                <v:textbox>
                  <w:txbxContent>
                    <w:p w14:paraId="11C1B4D0">
                      <w:pPr>
                        <w:rPr>
                          <w:rFonts w:hint="default" w:eastAsia="宋体"/>
                          <w:lang w:val="en-US" w:eastAsia="zh-CN"/>
                        </w:rPr>
                      </w:pPr>
                      <w:r>
                        <w:rPr>
                          <w:rFonts w:hint="eastAsia"/>
                          <w:lang w:val="en-US" w:eastAsia="zh-CN"/>
                        </w:rPr>
                        <w:t>4800</w:t>
                      </w:r>
                    </w:p>
                  </w:txbxContent>
                </v:textbox>
              </v:shape>
            </w:pict>
          </mc:Fallback>
        </mc:AlternateContent>
      </w:r>
      <w:r>
        <w:rPr>
          <w:color w:val="auto"/>
          <w:sz w:val="21"/>
        </w:rPr>
        <mc:AlternateContent>
          <mc:Choice Requires="wps">
            <w:drawing>
              <wp:anchor distT="0" distB="0" distL="114300" distR="114300" simplePos="0" relativeHeight="251785216" behindDoc="0" locked="0" layoutInCell="1" allowOverlap="1">
                <wp:simplePos x="0" y="0"/>
                <wp:positionH relativeFrom="column">
                  <wp:posOffset>2256155</wp:posOffset>
                </wp:positionH>
                <wp:positionV relativeFrom="paragraph">
                  <wp:posOffset>2837815</wp:posOffset>
                </wp:positionV>
                <wp:extent cx="742950" cy="275590"/>
                <wp:effectExtent l="0" t="0" r="0" b="0"/>
                <wp:wrapNone/>
                <wp:docPr id="566" name="文本框 566"/>
                <wp:cNvGraphicFramePr/>
                <a:graphic xmlns:a="http://schemas.openxmlformats.org/drawingml/2006/main">
                  <a:graphicData uri="http://schemas.microsoft.com/office/word/2010/wordprocessingShape">
                    <wps:wsp>
                      <wps:cNvSpPr txBox="1"/>
                      <wps:spPr>
                        <a:xfrm>
                          <a:off x="0" y="0"/>
                          <a:ext cx="74295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DACE94">
                            <w:pPr>
                              <w:rPr>
                                <w:rFonts w:hint="default" w:eastAsia="宋体"/>
                                <w:lang w:val="en-US" w:eastAsia="zh-CN"/>
                              </w:rPr>
                            </w:pPr>
                            <w:r>
                              <w:rPr>
                                <w:rFonts w:hint="eastAsia"/>
                                <w:lang w:val="en-US" w:eastAsia="zh-CN"/>
                              </w:rPr>
                              <w:t>损失4800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65pt;margin-top:223.45pt;height:21.7pt;width:58.5pt;z-index:251785216;mso-width-relative:page;mso-height-relative:page;" filled="f" stroked="f" coordsize="21600,21600" o:gfxdata="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4h/kbcAAAACwEAAA8AAAAAAAAAAQAgAAAAIgAA&#10;AGRycy9kb3ducmV2LnhtbFBLAQIUABQAAAAIAIdO4kAESX1XPQIAAGkEAAAOAAAAAAAAAAEAIAAA&#10;ACsBAABkcnMvZTJvRG9jLnhtbFBLBQYAAAAABgAGAFkBAADaBQAAAAA=&#10;">
                <v:fill on="f" focussize="0,0"/>
                <v:stroke on="f" weight="0.5pt"/>
                <v:imagedata o:title=""/>
                <o:lock v:ext="edit" aspectratio="f"/>
                <v:textbox>
                  <w:txbxContent>
                    <w:p w14:paraId="5FDACE94">
                      <w:pPr>
                        <w:rPr>
                          <w:rFonts w:hint="default" w:eastAsia="宋体"/>
                          <w:lang w:val="en-US" w:eastAsia="zh-CN"/>
                        </w:rPr>
                      </w:pPr>
                      <w:r>
                        <w:rPr>
                          <w:rFonts w:hint="eastAsia"/>
                          <w:lang w:val="en-US" w:eastAsia="zh-CN"/>
                        </w:rPr>
                        <w:t>损失4800</w:t>
                      </w:r>
                    </w:p>
                  </w:txbxContent>
                </v:textbox>
              </v:shape>
            </w:pict>
          </mc:Fallback>
        </mc:AlternateContent>
      </w:r>
      <w:r>
        <w:rPr>
          <w:color w:val="auto"/>
          <w:sz w:val="21"/>
        </w:rPr>
        <mc:AlternateContent>
          <mc:Choice Requires="wps">
            <w:drawing>
              <wp:anchor distT="0" distB="0" distL="114300" distR="114300" simplePos="0" relativeHeight="251784192" behindDoc="0" locked="0" layoutInCell="1" allowOverlap="1">
                <wp:simplePos x="0" y="0"/>
                <wp:positionH relativeFrom="column">
                  <wp:posOffset>2360930</wp:posOffset>
                </wp:positionH>
                <wp:positionV relativeFrom="paragraph">
                  <wp:posOffset>3111500</wp:posOffset>
                </wp:positionV>
                <wp:extent cx="276225" cy="200025"/>
                <wp:effectExtent l="0" t="18415" r="9525" b="10160"/>
                <wp:wrapNone/>
                <wp:docPr id="567" name="曲线连接符 567"/>
                <wp:cNvGraphicFramePr/>
                <a:graphic xmlns:a="http://schemas.openxmlformats.org/drawingml/2006/main">
                  <a:graphicData uri="http://schemas.microsoft.com/office/word/2010/wordprocessingShape">
                    <wps:wsp>
                      <wps:cNvCnPr/>
                      <wps:spPr>
                        <a:xfrm flipV="1">
                          <a:off x="0" y="0"/>
                          <a:ext cx="276225" cy="200025"/>
                        </a:xfrm>
                        <a:prstGeom prst="curvedConnector3">
                          <a:avLst>
                            <a:gd name="adj1" fmla="val 50115"/>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flip:y;margin-left:185.9pt;margin-top:245pt;height:15.75pt;width:21.75pt;z-index:251784192;mso-width-relative:page;mso-height-relative:page;" filled="f" stroked="t" coordsize="21600,21600" o:gfxdata="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CXcTcPaAAAACwEA&#10;AA8AAAAAAAAAAQAgAAAAIgAAAGRycy9kb3ducmV2LnhtbFBLAQIUABQAAAAIAIdO4kAW7g5TGAIA&#10;AAIEAAAOAAAAAAAAAAEAIAAAACkBAABkcnMvZTJvRG9jLnhtbFBLBQYAAAAABgAGAFkBAACzBQAA&#10;AAA=&#10;" adj="10825">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80096" behindDoc="0" locked="0" layoutInCell="1" allowOverlap="1">
                <wp:simplePos x="0" y="0"/>
                <wp:positionH relativeFrom="column">
                  <wp:posOffset>1808480</wp:posOffset>
                </wp:positionH>
                <wp:positionV relativeFrom="paragraph">
                  <wp:posOffset>3309620</wp:posOffset>
                </wp:positionV>
                <wp:extent cx="1216660" cy="314325"/>
                <wp:effectExtent l="6350" t="6350" r="15240" b="22225"/>
                <wp:wrapNone/>
                <wp:docPr id="568" name="矩形 568"/>
                <wp:cNvGraphicFramePr/>
                <a:graphic xmlns:a="http://schemas.openxmlformats.org/drawingml/2006/main">
                  <a:graphicData uri="http://schemas.microsoft.com/office/word/2010/wordprocessingShape">
                    <wps:wsp>
                      <wps:cNvSpPr/>
                      <wps:spPr>
                        <a:xfrm>
                          <a:off x="0" y="0"/>
                          <a:ext cx="1216660" cy="3143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1BEB468">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湿帘降温补充水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2.4pt;margin-top:260.6pt;height:24.75pt;width:95.8pt;z-index:251780096;v-text-anchor:middle;mso-width-relative:page;mso-height-relative:page;" filled="f" stroked="t" coordsize="21600,21600" o:gfxdata="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DEmnaAAAACwEAAA8AAAAAAAAAAQAgAAAAIgAAAGRycy9kb3ducmV2LnhtbFBLAQIU&#10;ABQAAAAIAIdO4kDGHPb7YwIAAMMEAAAOAAAAAAAAAAEAIAAAACkBAABkcnMvZTJvRG9jLnhtbFBL&#10;BQYAAAAABgAGAFkBAAD+BQAAAAA=&#10;">
                <v:fill on="f" focussize="0,0"/>
                <v:stroke weight="1pt" color="#000000 [3213]" joinstyle="round"/>
                <v:imagedata o:title=""/>
                <o:lock v:ext="edit" aspectratio="f"/>
                <v:textbox>
                  <w:txbxContent>
                    <w:p w14:paraId="01BEB468">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湿帘降温补充水</w:t>
                      </w:r>
                    </w:p>
                  </w:txbxContent>
                </v:textbox>
              </v:rect>
            </w:pict>
          </mc:Fallback>
        </mc:AlternateContent>
      </w:r>
      <w:r>
        <w:rPr>
          <w:color w:val="auto"/>
          <w:sz w:val="21"/>
        </w:rPr>
        <mc:AlternateContent>
          <mc:Choice Requires="wps">
            <w:drawing>
              <wp:anchor distT="0" distB="0" distL="114300" distR="114300" simplePos="0" relativeHeight="251783168" behindDoc="0" locked="0" layoutInCell="1" allowOverlap="1">
                <wp:simplePos x="0" y="0"/>
                <wp:positionH relativeFrom="column">
                  <wp:posOffset>1207770</wp:posOffset>
                </wp:positionH>
                <wp:positionV relativeFrom="paragraph">
                  <wp:posOffset>3467100</wp:posOffset>
                </wp:positionV>
                <wp:extent cx="610235" cy="8255"/>
                <wp:effectExtent l="0" t="31115" r="18415" b="36830"/>
                <wp:wrapNone/>
                <wp:docPr id="569" name="直接箭头连接符 569"/>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5.1pt;margin-top:273pt;height:0.65pt;width:48.05pt;z-index:251783168;mso-width-relative:page;mso-height-relative:page;" filled="f" stroked="t" coordsize="21600,21600" o:gfxdata="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kBfeM2AAAAAsBAAAPAAAAAAAAAAEAIAAAACIAAABkcnMvZG93&#10;bnJldi54bWxQSwECFAAUAAAACACHTuJAUPdq4gACAADRAwAADgAAAAAAAAABACAAAAAnAQAAZHJz&#10;L2Uyb0RvYy54bWxQSwUGAAAAAAYABgBZAQAAmQU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82144" behindDoc="0" locked="0" layoutInCell="1" allowOverlap="1">
                <wp:simplePos x="0" y="0"/>
                <wp:positionH relativeFrom="column">
                  <wp:posOffset>1198880</wp:posOffset>
                </wp:positionH>
                <wp:positionV relativeFrom="paragraph">
                  <wp:posOffset>2282825</wp:posOffset>
                </wp:positionV>
                <wp:extent cx="428625" cy="238125"/>
                <wp:effectExtent l="0" t="0" r="0" b="0"/>
                <wp:wrapNone/>
                <wp:docPr id="570" name="文本框 570"/>
                <wp:cNvGraphicFramePr/>
                <a:graphic xmlns:a="http://schemas.openxmlformats.org/drawingml/2006/main">
                  <a:graphicData uri="http://schemas.microsoft.com/office/word/2010/wordprocessingShape">
                    <wps:wsp>
                      <wps:cNvSpPr txBox="1"/>
                      <wps:spPr>
                        <a:xfrm>
                          <a:off x="0" y="0"/>
                          <a:ext cx="42862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A0F6C1">
                            <w:pPr>
                              <w:rPr>
                                <w:rFonts w:hint="default" w:eastAsia="宋体"/>
                                <w:lang w:val="en-US" w:eastAsia="zh-CN"/>
                              </w:rPr>
                            </w:pPr>
                            <w:r>
                              <w:rPr>
                                <w:rFonts w:hint="eastAsia"/>
                                <w:lang w:val="en-US" w:eastAsia="zh-CN"/>
                              </w:rPr>
                              <w:t>499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4pt;margin-top:179.75pt;height:18.75pt;width:33.75pt;z-index:251782144;mso-width-relative:page;mso-height-relative:page;" filled="f" stroked="f" coordsize="21600,21600" o:gfxdata="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&#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YHJ1dsAAAALAQAADwAAAAAAAAABACAAAAAiAAAA&#10;ZHJzL2Rvd25yZXYueG1sUEsBAhQAFAAAAAgAh07iQGnFBDw9AgAAaQQAAA4AAAAAAAAAAQAgAAAA&#10;KgEAAGRycy9lMm9Eb2MueG1sUEsFBgAAAAAGAAYAWQEAANkFAAAAAA==&#10;">
                <v:fill on="f" focussize="0,0"/>
                <v:stroke on="f" weight="0.5pt"/>
                <v:imagedata o:title=""/>
                <o:lock v:ext="edit" aspectratio="f"/>
                <v:textbox>
                  <w:txbxContent>
                    <w:p w14:paraId="1DA0F6C1">
                      <w:pPr>
                        <w:rPr>
                          <w:rFonts w:hint="default" w:eastAsia="宋体"/>
                          <w:lang w:val="en-US" w:eastAsia="zh-CN"/>
                        </w:rPr>
                      </w:pPr>
                      <w:r>
                        <w:rPr>
                          <w:rFonts w:hint="eastAsia"/>
                          <w:lang w:val="en-US" w:eastAsia="zh-CN"/>
                        </w:rPr>
                        <w:t>499</w:t>
                      </w:r>
                    </w:p>
                  </w:txbxContent>
                </v:textbox>
              </v:shape>
            </w:pict>
          </mc:Fallback>
        </mc:AlternateContent>
      </w:r>
      <w:r>
        <w:rPr>
          <w:color w:val="auto"/>
          <w:sz w:val="21"/>
        </w:rPr>
        <mc:AlternateContent>
          <mc:Choice Requires="wps">
            <w:drawing>
              <wp:anchor distT="0" distB="0" distL="114300" distR="114300" simplePos="0" relativeHeight="251781120" behindDoc="0" locked="0" layoutInCell="1" allowOverlap="1">
                <wp:simplePos x="0" y="0"/>
                <wp:positionH relativeFrom="column">
                  <wp:posOffset>2122805</wp:posOffset>
                </wp:positionH>
                <wp:positionV relativeFrom="paragraph">
                  <wp:posOffset>1828165</wp:posOffset>
                </wp:positionV>
                <wp:extent cx="742950" cy="275590"/>
                <wp:effectExtent l="0" t="0" r="0" b="0"/>
                <wp:wrapNone/>
                <wp:docPr id="571" name="文本框 571"/>
                <wp:cNvGraphicFramePr/>
                <a:graphic xmlns:a="http://schemas.openxmlformats.org/drawingml/2006/main">
                  <a:graphicData uri="http://schemas.microsoft.com/office/word/2010/wordprocessingShape">
                    <wps:wsp>
                      <wps:cNvSpPr txBox="1"/>
                      <wps:spPr>
                        <a:xfrm>
                          <a:off x="0" y="0"/>
                          <a:ext cx="74295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D4A9D6">
                            <w:pPr>
                              <w:rPr>
                                <w:rFonts w:hint="default" w:eastAsia="宋体"/>
                                <w:lang w:val="en-US" w:eastAsia="zh-CN"/>
                              </w:rPr>
                            </w:pPr>
                            <w:r>
                              <w:rPr>
                                <w:rFonts w:hint="eastAsia"/>
                                <w:lang w:val="en-US" w:eastAsia="zh-CN"/>
                              </w:rPr>
                              <w:t>损失499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15pt;margin-top:143.95pt;height:21.7pt;width:58.5pt;z-index:251781120;mso-width-relative:page;mso-height-relative:page;" filled="f" stroked="f" coordsize="21600,21600" o:gfxdata="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&#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OAx2e2wAAAAsBAAAPAAAAAAAAAAEAIAAAACIAAABk&#10;cnMvZG93bnJldi54bWxQSwECFAAUAAAACACHTuJANYAKRjwCAABpBAAADgAAAAAAAAABACAAAAAq&#10;AQAAZHJzL2Uyb0RvYy54bWxQSwUGAAAAAAYABgBZAQAA2AUAAAAA&#10;">
                <v:fill on="f" focussize="0,0"/>
                <v:stroke on="f" weight="0.5pt"/>
                <v:imagedata o:title=""/>
                <o:lock v:ext="edit" aspectratio="f"/>
                <v:textbox>
                  <w:txbxContent>
                    <w:p w14:paraId="0AD4A9D6">
                      <w:pPr>
                        <w:rPr>
                          <w:rFonts w:hint="default" w:eastAsia="宋体"/>
                          <w:lang w:val="en-US" w:eastAsia="zh-CN"/>
                        </w:rPr>
                      </w:pPr>
                      <w:r>
                        <w:rPr>
                          <w:rFonts w:hint="eastAsia"/>
                          <w:lang w:val="en-US" w:eastAsia="zh-CN"/>
                        </w:rPr>
                        <w:t>损失499</w:t>
                      </w:r>
                    </w:p>
                  </w:txbxContent>
                </v:textbox>
              </v:shape>
            </w:pict>
          </mc:Fallback>
        </mc:AlternateContent>
      </w:r>
      <w:r>
        <w:rPr>
          <w:color w:val="auto"/>
          <w:sz w:val="21"/>
        </w:rPr>
        <mc:AlternateContent>
          <mc:Choice Requires="wps">
            <w:drawing>
              <wp:anchor distT="0" distB="0" distL="114300" distR="114300" simplePos="0" relativeHeight="251779072" behindDoc="0" locked="0" layoutInCell="1" allowOverlap="1">
                <wp:simplePos x="0" y="0"/>
                <wp:positionH relativeFrom="column">
                  <wp:posOffset>2160905</wp:posOffset>
                </wp:positionH>
                <wp:positionV relativeFrom="paragraph">
                  <wp:posOffset>2111375</wp:posOffset>
                </wp:positionV>
                <wp:extent cx="276225" cy="200025"/>
                <wp:effectExtent l="0" t="18415" r="9525" b="10160"/>
                <wp:wrapNone/>
                <wp:docPr id="572" name="曲线连接符 572"/>
                <wp:cNvGraphicFramePr/>
                <a:graphic xmlns:a="http://schemas.openxmlformats.org/drawingml/2006/main">
                  <a:graphicData uri="http://schemas.microsoft.com/office/word/2010/wordprocessingShape">
                    <wps:wsp>
                      <wps:cNvCnPr/>
                      <wps:spPr>
                        <a:xfrm flipV="1">
                          <a:off x="0" y="0"/>
                          <a:ext cx="276225" cy="200025"/>
                        </a:xfrm>
                        <a:prstGeom prst="curvedConnector3">
                          <a:avLst>
                            <a:gd name="adj1" fmla="val 50115"/>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flip:y;margin-left:170.15pt;margin-top:166.25pt;height:15.75pt;width:21.75pt;z-index:251779072;mso-width-relative:page;mso-height-relative:page;" filled="f" stroked="t" coordsize="21600,21600" o:gfxdata="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1sqcs9kAAAALAQAA&#10;DwAAAAAAAAABACAAAAAiAAAAZHJzL2Rvd25yZXYueG1sUEsBAhQAFAAAAAgAh07iQOALEL8YAgAA&#10;AgQAAA4AAAAAAAAAAQAgAAAAKAEAAGRycy9lMm9Eb2MueG1sUEsFBgAAAAAGAAYAWQEAALIFAAAA&#10;AA==&#10;" adj="10825">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78048" behindDoc="0" locked="0" layoutInCell="1" allowOverlap="1">
                <wp:simplePos x="0" y="0"/>
                <wp:positionH relativeFrom="column">
                  <wp:posOffset>1808480</wp:posOffset>
                </wp:positionH>
                <wp:positionV relativeFrom="paragraph">
                  <wp:posOffset>2319020</wp:posOffset>
                </wp:positionV>
                <wp:extent cx="779780" cy="314325"/>
                <wp:effectExtent l="6350" t="6350" r="13970" b="22225"/>
                <wp:wrapNone/>
                <wp:docPr id="573" name="矩形 573"/>
                <wp:cNvGraphicFramePr/>
                <a:graphic xmlns:a="http://schemas.openxmlformats.org/drawingml/2006/main">
                  <a:graphicData uri="http://schemas.microsoft.com/office/word/2010/wordprocessingShape">
                    <wps:wsp>
                      <wps:cNvSpPr/>
                      <wps:spPr>
                        <a:xfrm>
                          <a:off x="0" y="0"/>
                          <a:ext cx="779780" cy="3143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9DF1380">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消毒用水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2.4pt;margin-top:182.6pt;height:24.75pt;width:61.4pt;z-index:251778048;v-text-anchor:middle;mso-width-relative:page;mso-height-relative:page;" filled="f" stroked="t" coordsize="21600,21600" o:gfxdata="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odzj82gAAAAsBAAAPAAAAAAAAAAEAIAAAACIAAABkcnMvZG93bnJldi54bWxQSwEC&#10;FAAUAAAACACHTuJAp+kYWWQCAADCBAAADgAAAAAAAAABACAAAAApAQAAZHJzL2Uyb0RvYy54bWxQ&#10;SwUGAAAAAAYABgBZAQAA/wUAAAAA&#10;">
                <v:fill on="f" focussize="0,0"/>
                <v:stroke weight="1pt" color="#000000 [3213]" joinstyle="round"/>
                <v:imagedata o:title=""/>
                <o:lock v:ext="edit" aspectratio="f"/>
                <v:textbox>
                  <w:txbxContent>
                    <w:p w14:paraId="49DF1380">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消毒用水</w:t>
                      </w:r>
                    </w:p>
                  </w:txbxContent>
                </v:textbox>
              </v:rect>
            </w:pict>
          </mc:Fallback>
        </mc:AlternateContent>
      </w:r>
      <w:r>
        <w:rPr>
          <w:color w:val="auto"/>
          <w:sz w:val="21"/>
        </w:rPr>
        <mc:AlternateContent>
          <mc:Choice Requires="wps">
            <w:drawing>
              <wp:anchor distT="0" distB="0" distL="114300" distR="114300" simplePos="0" relativeHeight="251776000" behindDoc="0" locked="0" layoutInCell="1" allowOverlap="1">
                <wp:simplePos x="0" y="0"/>
                <wp:positionH relativeFrom="column">
                  <wp:posOffset>1207770</wp:posOffset>
                </wp:positionH>
                <wp:positionV relativeFrom="paragraph">
                  <wp:posOffset>2495550</wp:posOffset>
                </wp:positionV>
                <wp:extent cx="610235" cy="8255"/>
                <wp:effectExtent l="0" t="31115" r="18415" b="36830"/>
                <wp:wrapNone/>
                <wp:docPr id="574" name="直接箭头连接符 574"/>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5.1pt;margin-top:196.5pt;height:0.65pt;width:48.05pt;z-index:251776000;mso-width-relative:page;mso-height-relative:page;" filled="f" stroked="t" coordsize="21600,21600" o:gfxdata="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A4k4zNcAAAALAQAADwAAAAAAAAABACAAAAAiAAAAZHJzL2Rvd25y&#10;ZXYueG1sUEsBAhQAFAAAAAgAh07iQJf8POv/AQAA0QMAAA4AAAAAAAAAAQAgAAAAJgEAAGRycy9l&#10;Mm9Eb2MueG1sUEsFBgAAAAAGAAYAWQEAAJcFA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74976" behindDoc="0" locked="0" layoutInCell="1" allowOverlap="1">
                <wp:simplePos x="0" y="0"/>
                <wp:positionH relativeFrom="column">
                  <wp:posOffset>3456305</wp:posOffset>
                </wp:positionH>
                <wp:positionV relativeFrom="paragraph">
                  <wp:posOffset>1156335</wp:posOffset>
                </wp:positionV>
                <wp:extent cx="2008505" cy="703580"/>
                <wp:effectExtent l="6350" t="6350" r="23495" b="13970"/>
                <wp:wrapNone/>
                <wp:docPr id="575" name="矩形 575"/>
                <wp:cNvGraphicFramePr/>
                <a:graphic xmlns:a="http://schemas.openxmlformats.org/drawingml/2006/main">
                  <a:graphicData uri="http://schemas.microsoft.com/office/word/2010/wordprocessingShape">
                    <wps:wsp>
                      <wps:cNvSpPr/>
                      <wps:spPr>
                        <a:xfrm>
                          <a:off x="0" y="0"/>
                          <a:ext cx="2008505" cy="70358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2692BA1">
                            <w:pPr>
                              <w:rPr>
                                <w:rFonts w:hint="eastAsia" w:ascii="宋体" w:hAnsi="宋体" w:eastAsia="宋体" w:cs="宋体"/>
                                <w:b w:val="0"/>
                                <w:bCs w:val="0"/>
                                <w:color w:val="auto"/>
                                <w:sz w:val="21"/>
                                <w:szCs w:val="21"/>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冲洗废水进入废水收集池，日产日清由罐车运至辰泰（辽宁）生物科技有限公司进行有机肥制造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2.15pt;margin-top:91.05pt;height:55.4pt;width:158.15pt;z-index:251774976;v-text-anchor:middle;mso-width-relative:page;mso-height-relative:page;" filled="f" stroked="t" coordsize="21600,21600" o:gfxdata="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bvGzLZAAAACwEAAA8AAAAAAAAAAQAgAAAAIgAAAGRycy9kb3ducmV2LnhtbFBLAQIU&#10;ABQAAAAIAIdO4kBMSe4vZAIAAMMEAAAOAAAAAAAAAAEAIAAAACgBAABkcnMvZTJvRG9jLnhtbFBL&#10;BQYAAAAABgAGAFkBAAD+BQAAAAA=&#10;">
                <v:fill on="f" focussize="0,0"/>
                <v:stroke weight="1pt" color="#000000 [3213]" joinstyle="round"/>
                <v:imagedata o:title=""/>
                <o:lock v:ext="edit" aspectratio="f"/>
                <v:textbox>
                  <w:txbxContent>
                    <w:p w14:paraId="72692BA1">
                      <w:pPr>
                        <w:rPr>
                          <w:rFonts w:hint="eastAsia" w:ascii="宋体" w:hAnsi="宋体" w:eastAsia="宋体" w:cs="宋体"/>
                          <w:b w:val="0"/>
                          <w:bCs w:val="0"/>
                          <w:color w:val="auto"/>
                          <w:sz w:val="21"/>
                          <w:szCs w:val="21"/>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冲洗废水进入废水收集池，日产日清由罐车运至辰泰（辽宁）生物科技有限公司进行有机肥制造</w:t>
                      </w:r>
                    </w:p>
                  </w:txbxContent>
                </v:textbox>
              </v:rect>
            </w:pict>
          </mc:Fallback>
        </mc:AlternateContent>
      </w:r>
      <w:r>
        <w:rPr>
          <w:color w:val="auto"/>
          <w:sz w:val="21"/>
        </w:rPr>
        <mc:AlternateContent>
          <mc:Choice Requires="wps">
            <w:drawing>
              <wp:anchor distT="0" distB="0" distL="114300" distR="114300" simplePos="0" relativeHeight="251777024" behindDoc="0" locked="0" layoutInCell="1" allowOverlap="1">
                <wp:simplePos x="0" y="0"/>
                <wp:positionH relativeFrom="column">
                  <wp:posOffset>2922905</wp:posOffset>
                </wp:positionH>
                <wp:positionV relativeFrom="paragraph">
                  <wp:posOffset>1282700</wp:posOffset>
                </wp:positionV>
                <wp:extent cx="571500" cy="238125"/>
                <wp:effectExtent l="0" t="0" r="0" b="0"/>
                <wp:wrapNone/>
                <wp:docPr id="576" name="文本框 576"/>
                <wp:cNvGraphicFramePr/>
                <a:graphic xmlns:a="http://schemas.openxmlformats.org/drawingml/2006/main">
                  <a:graphicData uri="http://schemas.microsoft.com/office/word/2010/wordprocessingShape">
                    <wps:wsp>
                      <wps:cNvSpPr txBox="1"/>
                      <wps:spPr>
                        <a:xfrm>
                          <a:off x="0" y="0"/>
                          <a:ext cx="57150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A61430">
                            <w:pPr>
                              <w:rPr>
                                <w:rFonts w:hint="default" w:ascii="宋体" w:hAnsi="宋体" w:cs="宋体"/>
                                <w:b w:val="0"/>
                                <w:bCs w:val="0"/>
                                <w:color w:val="auto"/>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5.08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15pt;margin-top:101pt;height:18.75pt;width:45pt;z-index:251777024;mso-width-relative:page;mso-height-relative:page;" filled="f" stroked="f" coordsize="21600,21600" o:gfxdata="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b0+7Y2gAAAAsBAAAPAAAAAAAAAAEAIAAAACIAAABk&#10;cnMvZG93bnJldi54bWxQSwECFAAUAAAACACHTuJAD+N21j0CAABpBAAADgAAAAAAAAABACAAAAAp&#10;AQAAZHJzL2Uyb0RvYy54bWxQSwUGAAAAAAYABgBZAQAA2AUAAAAA&#10;">
                <v:fill on="f" focussize="0,0"/>
                <v:stroke on="f" weight="0.5pt"/>
                <v:imagedata o:title=""/>
                <o:lock v:ext="edit" aspectratio="f"/>
                <v:textbox>
                  <w:txbxContent>
                    <w:p w14:paraId="2CA61430">
                      <w:pPr>
                        <w:rPr>
                          <w:rFonts w:hint="default" w:ascii="宋体" w:hAnsi="宋体" w:cs="宋体"/>
                          <w:b w:val="0"/>
                          <w:bCs w:val="0"/>
                          <w:color w:val="auto"/>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5.08</w:t>
                      </w:r>
                    </w:p>
                  </w:txbxContent>
                </v:textbox>
              </v:shape>
            </w:pict>
          </mc:Fallback>
        </mc:AlternateContent>
      </w:r>
      <w:r>
        <w:rPr>
          <w:color w:val="auto"/>
          <w:sz w:val="21"/>
        </w:rPr>
        <mc:AlternateContent>
          <mc:Choice Requires="wps">
            <w:drawing>
              <wp:anchor distT="0" distB="0" distL="114300" distR="114300" simplePos="0" relativeHeight="251773952" behindDoc="0" locked="0" layoutInCell="1" allowOverlap="1">
                <wp:simplePos x="0" y="0"/>
                <wp:positionH relativeFrom="column">
                  <wp:posOffset>2865120</wp:posOffset>
                </wp:positionH>
                <wp:positionV relativeFrom="paragraph">
                  <wp:posOffset>1504950</wp:posOffset>
                </wp:positionV>
                <wp:extent cx="610235" cy="8255"/>
                <wp:effectExtent l="0" t="31115" r="18415" b="36830"/>
                <wp:wrapNone/>
                <wp:docPr id="577" name="直接箭头连接符 577"/>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5.6pt;margin-top:118.5pt;height:0.65pt;width:48.05pt;z-index:251773952;mso-width-relative:page;mso-height-relative:page;" filled="f" stroked="t" coordsize="21600,21600" o:gfxdata="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sZ4NN2AAAAAsBAAAPAAAAAAAAAAEAIAAAACIAAABkcnMvZG93&#10;bnJldi54bWxQSwECFAAUAAAACACHTuJADJHOMwACAADRAwAADgAAAAAAAAABACAAAAAnAQAAZHJz&#10;L2Uyb0RvYy54bWxQSwUGAAAAAAYABgBZAQAAmQU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72928" behindDoc="0" locked="0" layoutInCell="1" allowOverlap="1">
                <wp:simplePos x="0" y="0"/>
                <wp:positionH relativeFrom="column">
                  <wp:posOffset>2160905</wp:posOffset>
                </wp:positionH>
                <wp:positionV relativeFrom="paragraph">
                  <wp:posOffset>885190</wp:posOffset>
                </wp:positionV>
                <wp:extent cx="742950" cy="275590"/>
                <wp:effectExtent l="0" t="0" r="0" b="0"/>
                <wp:wrapNone/>
                <wp:docPr id="578" name="文本框 578"/>
                <wp:cNvGraphicFramePr/>
                <a:graphic xmlns:a="http://schemas.openxmlformats.org/drawingml/2006/main">
                  <a:graphicData uri="http://schemas.microsoft.com/office/word/2010/wordprocessingShape">
                    <wps:wsp>
                      <wps:cNvSpPr txBox="1"/>
                      <wps:spPr>
                        <a:xfrm>
                          <a:off x="0" y="0"/>
                          <a:ext cx="74295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030194">
                            <w:pPr>
                              <w:rPr>
                                <w:rFonts w:hint="default" w:eastAsia="宋体"/>
                                <w:lang w:val="en-US" w:eastAsia="zh-CN"/>
                              </w:rPr>
                            </w:pPr>
                            <w:r>
                              <w:rPr>
                                <w:rFonts w:hint="eastAsia"/>
                                <w:lang w:val="en-US" w:eastAsia="zh-CN"/>
                              </w:rPr>
                              <w:t>损失0.9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0.15pt;margin-top:69.7pt;height:21.7pt;width:58.5pt;z-index:251772928;mso-width-relative:page;mso-height-relative:page;" filled="f" stroked="f" coordsize="21600,21600" o:gfxdata="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bB1ZK2wAAAAsBAAAPAAAAAAAAAAEAIAAAACIAAABk&#10;cnMvZG93bnJldi54bWxQSwECFAAUAAAACACHTuJAkfWjGzwCAABpBAAADgAAAAAAAAABACAAAAAq&#10;AQAAZHJzL2Uyb0RvYy54bWxQSwUGAAAAAAYABgBZAQAA2AUAAAAA&#10;">
                <v:fill on="f" focussize="0,0"/>
                <v:stroke on="f" weight="0.5pt"/>
                <v:imagedata o:title=""/>
                <o:lock v:ext="edit" aspectratio="f"/>
                <v:textbox>
                  <w:txbxContent>
                    <w:p w14:paraId="76030194">
                      <w:pPr>
                        <w:rPr>
                          <w:rFonts w:hint="default" w:eastAsia="宋体"/>
                          <w:lang w:val="en-US" w:eastAsia="zh-CN"/>
                        </w:rPr>
                      </w:pPr>
                      <w:r>
                        <w:rPr>
                          <w:rFonts w:hint="eastAsia"/>
                          <w:lang w:val="en-US" w:eastAsia="zh-CN"/>
                        </w:rPr>
                        <w:t>损失0.9</w:t>
                      </w:r>
                    </w:p>
                  </w:txbxContent>
                </v:textbox>
              </v:shape>
            </w:pict>
          </mc:Fallback>
        </mc:AlternateContent>
      </w:r>
      <w:r>
        <w:rPr>
          <w:color w:val="auto"/>
          <w:sz w:val="21"/>
        </w:rPr>
        <mc:AlternateContent>
          <mc:Choice Requires="wps">
            <w:drawing>
              <wp:anchor distT="0" distB="0" distL="114300" distR="114300" simplePos="0" relativeHeight="251771904" behindDoc="0" locked="0" layoutInCell="1" allowOverlap="1">
                <wp:simplePos x="0" y="0"/>
                <wp:positionH relativeFrom="column">
                  <wp:posOffset>2189480</wp:posOffset>
                </wp:positionH>
                <wp:positionV relativeFrom="paragraph">
                  <wp:posOffset>187325</wp:posOffset>
                </wp:positionV>
                <wp:extent cx="276225" cy="200025"/>
                <wp:effectExtent l="0" t="18415" r="9525" b="10160"/>
                <wp:wrapNone/>
                <wp:docPr id="579" name="曲线连接符 579"/>
                <wp:cNvGraphicFramePr/>
                <a:graphic xmlns:a="http://schemas.openxmlformats.org/drawingml/2006/main">
                  <a:graphicData uri="http://schemas.microsoft.com/office/word/2010/wordprocessingShape">
                    <wps:wsp>
                      <wps:cNvCnPr/>
                      <wps:spPr>
                        <a:xfrm flipV="1">
                          <a:off x="0" y="0"/>
                          <a:ext cx="276225" cy="200025"/>
                        </a:xfrm>
                        <a:prstGeom prst="curvedConnector3">
                          <a:avLst>
                            <a:gd name="adj1" fmla="val 50115"/>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flip:y;margin-left:172.4pt;margin-top:14.75pt;height:15.75pt;width:21.75pt;z-index:251771904;mso-width-relative:page;mso-height-relative:page;" filled="f" stroked="t" coordsize="21600,21600" o:gfxdata="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tmAqXZAAAACQEA&#10;AA8AAAAAAAAAAQAgAAAAIgAAAGRycy9kb3ducmV2LnhtbFBLAQIUABQAAAAIAIdO4kDeCx9uGQIA&#10;AAIEAAAOAAAAAAAAAAEAIAAAACgBAABkcnMvZTJvRG9jLnhtbFBLBQYAAAAABgAGAFkBAACzBQAA&#10;AAA=&#10;" adj="10825">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66784" behindDoc="0" locked="0" layoutInCell="1" allowOverlap="1">
                <wp:simplePos x="0" y="0"/>
                <wp:positionH relativeFrom="column">
                  <wp:posOffset>2256155</wp:posOffset>
                </wp:positionH>
                <wp:positionV relativeFrom="paragraph">
                  <wp:posOffset>1149350</wp:posOffset>
                </wp:positionV>
                <wp:extent cx="276225" cy="200025"/>
                <wp:effectExtent l="0" t="18415" r="9525" b="10160"/>
                <wp:wrapNone/>
                <wp:docPr id="580" name="曲线连接符 580"/>
                <wp:cNvGraphicFramePr/>
                <a:graphic xmlns:a="http://schemas.openxmlformats.org/drawingml/2006/main">
                  <a:graphicData uri="http://schemas.microsoft.com/office/word/2010/wordprocessingShape">
                    <wps:wsp>
                      <wps:cNvCnPr/>
                      <wps:spPr>
                        <a:xfrm flipV="1">
                          <a:off x="3302000" y="3131820"/>
                          <a:ext cx="276225" cy="200025"/>
                        </a:xfrm>
                        <a:prstGeom prst="curvedConnector3">
                          <a:avLst>
                            <a:gd name="adj1" fmla="val 50115"/>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flip:y;margin-left:177.65pt;margin-top:90.5pt;height:15.75pt;width:21.75pt;z-index:251766784;mso-width-relative:page;mso-height-relative:page;" filled="f" stroked="t" coordsize="21600,21600" o:gfxdata="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zkeCG&#10;2AAAAAsBAAAPAAAAAAAAAAEAIAAAACIAAABkcnMvZG93bnJldi54bWxQSwECFAAUAAAACACHTuJA&#10;F2p3siECAAAOBAAADgAAAAAAAAABACAAAAAnAQAAZHJzL2Uyb0RvYy54bWxQSwUGAAAAAAYABgBZ&#10;AQAAugUAAAAA&#10;" adj="10825">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70880" behindDoc="0" locked="0" layoutInCell="1" allowOverlap="1">
                <wp:simplePos x="0" y="0"/>
                <wp:positionH relativeFrom="column">
                  <wp:posOffset>1208405</wp:posOffset>
                </wp:positionH>
                <wp:positionV relativeFrom="paragraph">
                  <wp:posOffset>1254125</wp:posOffset>
                </wp:positionV>
                <wp:extent cx="742950" cy="238125"/>
                <wp:effectExtent l="0" t="0" r="0" b="0"/>
                <wp:wrapNone/>
                <wp:docPr id="581" name="文本框 581"/>
                <wp:cNvGraphicFramePr/>
                <a:graphic xmlns:a="http://schemas.openxmlformats.org/drawingml/2006/main">
                  <a:graphicData uri="http://schemas.microsoft.com/office/word/2010/wordprocessingShape">
                    <wps:wsp>
                      <wps:cNvSpPr txBox="1"/>
                      <wps:spPr>
                        <a:xfrm>
                          <a:off x="0" y="0"/>
                          <a:ext cx="74295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599026">
                            <w:pPr>
                              <w:rPr>
                                <w:rFonts w:hint="default" w:eastAsia="宋体"/>
                                <w:lang w:val="en-US" w:eastAsia="zh-CN"/>
                              </w:rPr>
                            </w:pPr>
                            <w:r>
                              <w:rPr>
                                <w:rFonts w:hint="eastAsia"/>
                                <w:lang w:val="en-US" w:eastAsia="zh-CN"/>
                              </w:rPr>
                              <w:t>5.98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5.15pt;margin-top:98.75pt;height:18.75pt;width:58.5pt;z-index:251770880;mso-width-relative:page;mso-height-relative:page;" filled="f" stroked="f" coordsize="21600,21600" o:gfxdata="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OlsjDbAAAACwEAAA8AAAAAAAAAAQAgAAAAIgAAAGRy&#10;cy9kb3ducmV2LnhtbFBLAQIUABQAAAAIAIdO4kB9BgNsOwIAAGkEAAAOAAAAAAAAAAEAIAAAACoB&#10;AABkcnMvZTJvRG9jLnhtbFBLBQYAAAAABgAGAFkBAADXBQAAAAA=&#10;">
                <v:fill on="f" focussize="0,0"/>
                <v:stroke on="f" weight="0.5pt"/>
                <v:imagedata o:title=""/>
                <o:lock v:ext="edit" aspectratio="f"/>
                <v:textbox>
                  <w:txbxContent>
                    <w:p w14:paraId="52599026">
                      <w:pPr>
                        <w:rPr>
                          <w:rFonts w:hint="default" w:eastAsia="宋体"/>
                          <w:lang w:val="en-US" w:eastAsia="zh-CN"/>
                        </w:rPr>
                      </w:pPr>
                      <w:r>
                        <w:rPr>
                          <w:rFonts w:hint="eastAsia"/>
                          <w:lang w:val="en-US" w:eastAsia="zh-CN"/>
                        </w:rPr>
                        <w:t>5.98</w:t>
                      </w:r>
                    </w:p>
                  </w:txbxContent>
                </v:textbox>
              </v:shape>
            </w:pict>
          </mc:Fallback>
        </mc:AlternateContent>
      </w:r>
      <w:r>
        <w:rPr>
          <w:color w:val="auto"/>
          <w:sz w:val="21"/>
        </w:rPr>
        <mc:AlternateContent>
          <mc:Choice Requires="wps">
            <w:drawing>
              <wp:anchor distT="0" distB="0" distL="114300" distR="114300" simplePos="0" relativeHeight="251769856" behindDoc="0" locked="0" layoutInCell="1" allowOverlap="1">
                <wp:simplePos x="0" y="0"/>
                <wp:positionH relativeFrom="column">
                  <wp:posOffset>1808480</wp:posOffset>
                </wp:positionH>
                <wp:positionV relativeFrom="paragraph">
                  <wp:posOffset>1347470</wp:posOffset>
                </wp:positionV>
                <wp:extent cx="1055370" cy="314325"/>
                <wp:effectExtent l="6350" t="6350" r="24130" b="22225"/>
                <wp:wrapNone/>
                <wp:docPr id="582" name="矩形 582"/>
                <wp:cNvGraphicFramePr/>
                <a:graphic xmlns:a="http://schemas.openxmlformats.org/drawingml/2006/main">
                  <a:graphicData uri="http://schemas.microsoft.com/office/word/2010/wordprocessingShape">
                    <wps:wsp>
                      <wps:cNvSpPr/>
                      <wps:spPr>
                        <a:xfrm>
                          <a:off x="0" y="0"/>
                          <a:ext cx="1055370" cy="3143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E24F131">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鸡舍冲洗用水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2.4pt;margin-top:106.1pt;height:24.75pt;width:83.1pt;z-index:251769856;v-text-anchor:middle;mso-width-relative:page;mso-height-relative:page;" filled="f" stroked="t" coordsize="21600,21600" o:gfxdata="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WRSB7ZAAAACwEAAA8AAAAAAAAAAQAgAAAAIgAAAGRycy9kb3ducmV2LnhtbFBLAQIU&#10;ABQAAAAIAIdO4kCAV6aIZAIAAMMEAAAOAAAAAAAAAAEAIAAAACgBAABkcnMvZTJvRG9jLnhtbFBL&#10;BQYAAAAABgAGAFkBAAD+BQAAAAA=&#10;">
                <v:fill on="f" focussize="0,0"/>
                <v:stroke weight="1pt" color="#000000 [3213]" joinstyle="round"/>
                <v:imagedata o:title=""/>
                <o:lock v:ext="edit" aspectratio="f"/>
                <v:textbox>
                  <w:txbxContent>
                    <w:p w14:paraId="0E24F131">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鸡舍冲洗用水</w:t>
                      </w:r>
                    </w:p>
                  </w:txbxContent>
                </v:textbox>
              </v:rect>
            </w:pict>
          </mc:Fallback>
        </mc:AlternateContent>
      </w:r>
      <w:r>
        <w:rPr>
          <w:color w:val="auto"/>
          <w:sz w:val="21"/>
        </w:rPr>
        <mc:AlternateContent>
          <mc:Choice Requires="wps">
            <w:drawing>
              <wp:anchor distT="0" distB="0" distL="114300" distR="114300" simplePos="0" relativeHeight="251768832" behindDoc="0" locked="0" layoutInCell="1" allowOverlap="1">
                <wp:simplePos x="0" y="0"/>
                <wp:positionH relativeFrom="column">
                  <wp:posOffset>1207770</wp:posOffset>
                </wp:positionH>
                <wp:positionV relativeFrom="paragraph">
                  <wp:posOffset>1504950</wp:posOffset>
                </wp:positionV>
                <wp:extent cx="610235" cy="8255"/>
                <wp:effectExtent l="0" t="31115" r="18415" b="36830"/>
                <wp:wrapNone/>
                <wp:docPr id="583" name="直接箭头连接符 583"/>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5.1pt;margin-top:118.5pt;height:0.65pt;width:48.05pt;z-index:251768832;mso-width-relative:page;mso-height-relative:page;" filled="f" stroked="t" coordsize="21600,21600" o:gfxdata="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b3LbnXAAAACwEAAA8AAAAAAAAAAQAgAAAAIgAAAGRycy9kb3du&#10;cmV2LnhtbFBLAQIUABQAAAAIAIdO4kAyW0pfAAIAANEDAAAOAAAAAAAAAAEAIAAAACYBAABkcnMv&#10;ZTJvRG9jLnhtbFBLBQYAAAAABgAGAFkBAACYBQ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63712" behindDoc="0" locked="0" layoutInCell="1" allowOverlap="1">
                <wp:simplePos x="0" y="0"/>
                <wp:positionH relativeFrom="column">
                  <wp:posOffset>2550795</wp:posOffset>
                </wp:positionH>
                <wp:positionV relativeFrom="paragraph">
                  <wp:posOffset>552450</wp:posOffset>
                </wp:positionV>
                <wp:extent cx="610235" cy="8255"/>
                <wp:effectExtent l="0" t="31115" r="18415" b="36830"/>
                <wp:wrapNone/>
                <wp:docPr id="584" name="直接箭头连接符 584"/>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00.85pt;margin-top:43.5pt;height:0.65pt;width:48.05pt;z-index:251763712;mso-width-relative:page;mso-height-relative:page;" filled="f" stroked="t" coordsize="21600,21600" o:gfxdata="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axeZB9YAAAAJAQAADwAAAAAAAAABACAAAAAiAAAAZHJzL2Rvd25y&#10;ZXYueG1sUEsBAhQAFAAAAAgAh07iQPOgXssAAgAA0QMAAA4AAAAAAAAAAQAgAAAAJQEAAGRycy9l&#10;Mm9Eb2MueG1sUEsFBgAAAAAGAAYAWQEAAJcFA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62688" behindDoc="0" locked="0" layoutInCell="1" allowOverlap="1">
                <wp:simplePos x="0" y="0"/>
                <wp:positionH relativeFrom="column">
                  <wp:posOffset>1808480</wp:posOffset>
                </wp:positionH>
                <wp:positionV relativeFrom="paragraph">
                  <wp:posOffset>385445</wp:posOffset>
                </wp:positionV>
                <wp:extent cx="732790" cy="314325"/>
                <wp:effectExtent l="6350" t="6350" r="22860" b="22225"/>
                <wp:wrapNone/>
                <wp:docPr id="585" name="矩形 585"/>
                <wp:cNvGraphicFramePr/>
                <a:graphic xmlns:a="http://schemas.openxmlformats.org/drawingml/2006/main">
                  <a:graphicData uri="http://schemas.microsoft.com/office/word/2010/wordprocessingShape">
                    <wps:wsp>
                      <wps:cNvSpPr/>
                      <wps:spPr>
                        <a:xfrm>
                          <a:off x="0" y="0"/>
                          <a:ext cx="732790" cy="3143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3B7F45D">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鸡饮用水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2.4pt;margin-top:30.35pt;height:24.75pt;width:57.7pt;z-index:251762688;v-text-anchor:middle;mso-width-relative:page;mso-height-relative:page;" filled="f" stroked="t" coordsize="21600,21600" o:gfxdata="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KYCNVdgAAAAKAQAADwAAAAAAAAABACAAAAAiAAAAZHJzL2Rvd25yZXYueG1sUEsBAhQA&#10;FAAAAAgAh07iQOzUJ1VkAgAAwgQAAA4AAAAAAAAAAQAgAAAAJwEAAGRycy9lMm9Eb2MueG1sUEsF&#10;BgAAAAAGAAYAWQEAAP0FAAAAAA==&#10;">
                <v:fill on="f" focussize="0,0"/>
                <v:stroke weight="1pt" color="#000000 [3213]" joinstyle="round"/>
                <v:imagedata o:title=""/>
                <o:lock v:ext="edit" aspectratio="f"/>
                <v:textbox>
                  <w:txbxContent>
                    <w:p w14:paraId="73B7F45D">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鸡饮用水</w:t>
                      </w:r>
                    </w:p>
                  </w:txbxContent>
                </v:textbox>
              </v:rect>
            </w:pict>
          </mc:Fallback>
        </mc:AlternateContent>
      </w:r>
      <w:r>
        <w:rPr>
          <w:color w:val="auto"/>
          <w:sz w:val="21"/>
        </w:rPr>
        <mc:AlternateContent>
          <mc:Choice Requires="wps">
            <w:drawing>
              <wp:anchor distT="0" distB="0" distL="114300" distR="114300" simplePos="0" relativeHeight="251761664" behindDoc="0" locked="0" layoutInCell="1" allowOverlap="1">
                <wp:simplePos x="0" y="0"/>
                <wp:positionH relativeFrom="column">
                  <wp:posOffset>1170305</wp:posOffset>
                </wp:positionH>
                <wp:positionV relativeFrom="paragraph">
                  <wp:posOffset>282575</wp:posOffset>
                </wp:positionV>
                <wp:extent cx="742950" cy="238125"/>
                <wp:effectExtent l="0" t="0" r="0" b="0"/>
                <wp:wrapNone/>
                <wp:docPr id="586" name="文本框 586"/>
                <wp:cNvGraphicFramePr/>
                <a:graphic xmlns:a="http://schemas.openxmlformats.org/drawingml/2006/main">
                  <a:graphicData uri="http://schemas.microsoft.com/office/word/2010/wordprocessingShape">
                    <wps:wsp>
                      <wps:cNvSpPr txBox="1"/>
                      <wps:spPr>
                        <a:xfrm>
                          <a:off x="2559050" y="3065145"/>
                          <a:ext cx="74295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2DC141">
                            <w:pPr>
                              <w:rPr>
                                <w:rFonts w:hint="default" w:eastAsia="宋体"/>
                                <w:lang w:val="en-US" w:eastAsia="zh-CN"/>
                              </w:rPr>
                            </w:pPr>
                            <w:r>
                              <w:rPr>
                                <w:rFonts w:hint="eastAsia"/>
                                <w:lang w:val="en-US" w:eastAsia="zh-CN"/>
                              </w:rPr>
                              <w:t>730000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15pt;margin-top:22.25pt;height:18.75pt;width:58.5pt;z-index:251761664;mso-width-relative:page;mso-height-relative:page;" filled="f" stroked="f" coordsize="21600,21600" o:gfxdata="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MrXdcXZAAAACQEAAA8AAAAAAAAA&#10;AQAgAAAAIgAAAGRycy9kb3ducmV2LnhtbFBLAQIUABQAAAAIAIdO4kDQ9g1JSQIAAHUEAAAOAAAA&#10;AAAAAAEAIAAAACgBAABkcnMvZTJvRG9jLnhtbFBLBQYAAAAABgAGAFkBAADjBQAAAAA=&#10;">
                <v:fill on="f" focussize="0,0"/>
                <v:stroke on="f" weight="0.5pt"/>
                <v:imagedata o:title=""/>
                <o:lock v:ext="edit" aspectratio="f"/>
                <v:textbox>
                  <w:txbxContent>
                    <w:p w14:paraId="3A2DC141">
                      <w:pPr>
                        <w:rPr>
                          <w:rFonts w:hint="default" w:eastAsia="宋体"/>
                          <w:lang w:val="en-US" w:eastAsia="zh-CN"/>
                        </w:rPr>
                      </w:pPr>
                      <w:r>
                        <w:rPr>
                          <w:rFonts w:hint="eastAsia"/>
                          <w:lang w:val="en-US" w:eastAsia="zh-CN"/>
                        </w:rPr>
                        <w:t>730000</w:t>
                      </w:r>
                    </w:p>
                  </w:txbxContent>
                </v:textbox>
              </v:shape>
            </w:pict>
          </mc:Fallback>
        </mc:AlternateContent>
      </w:r>
      <w:r>
        <w:rPr>
          <w:color w:val="auto"/>
          <w:sz w:val="21"/>
        </w:rPr>
        <mc:AlternateContent>
          <mc:Choice Requires="wps">
            <w:drawing>
              <wp:anchor distT="0" distB="0" distL="114300" distR="114300" simplePos="0" relativeHeight="251760640" behindDoc="0" locked="0" layoutInCell="1" allowOverlap="1">
                <wp:simplePos x="0" y="0"/>
                <wp:positionH relativeFrom="column">
                  <wp:posOffset>1198245</wp:posOffset>
                </wp:positionH>
                <wp:positionV relativeFrom="paragraph">
                  <wp:posOffset>552450</wp:posOffset>
                </wp:positionV>
                <wp:extent cx="610235" cy="8255"/>
                <wp:effectExtent l="0" t="31115" r="18415" b="36830"/>
                <wp:wrapNone/>
                <wp:docPr id="587" name="直接箭头连接符 587"/>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4.35pt;margin-top:43.5pt;height:0.65pt;width:48.05pt;z-index:251760640;mso-width-relative:page;mso-height-relative:page;" filled="f" stroked="t" coordsize="21600,21600" o:gfxdata="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ZCjAP1QAAAAkBAAAPAAAAAAAAAAEAIAAAACIAAABkcnMvZG93bnJl&#10;di54bWxQSwECFAAUAAAACACHTuJAaM2sEwACAADRAwAADgAAAAAAAAABACAAAAAkAQAAZHJzL2Uy&#10;b0RvYy54bWxQSwUGAAAAAAYABgBZAQAAlgU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65760" behindDoc="0" locked="0" layoutInCell="1" allowOverlap="1">
                <wp:simplePos x="0" y="0"/>
                <wp:positionH relativeFrom="column">
                  <wp:posOffset>3151505</wp:posOffset>
                </wp:positionH>
                <wp:positionV relativeFrom="paragraph">
                  <wp:posOffset>385445</wp:posOffset>
                </wp:positionV>
                <wp:extent cx="732790" cy="314325"/>
                <wp:effectExtent l="6350" t="6350" r="22860" b="22225"/>
                <wp:wrapNone/>
                <wp:docPr id="588" name="矩形 588"/>
                <wp:cNvGraphicFramePr/>
                <a:graphic xmlns:a="http://schemas.openxmlformats.org/drawingml/2006/main">
                  <a:graphicData uri="http://schemas.microsoft.com/office/word/2010/wordprocessingShape">
                    <wps:wsp>
                      <wps:cNvSpPr/>
                      <wps:spPr>
                        <a:xfrm>
                          <a:off x="0" y="0"/>
                          <a:ext cx="732790" cy="3143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E5C0CD8">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鸡粪带走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8.15pt;margin-top:30.35pt;height:24.75pt;width:57.7pt;z-index:251765760;v-text-anchor:middle;mso-width-relative:page;mso-height-relative:page;" filled="f" stroked="t" coordsize="21600,21600" o:gfxdata="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dxskKNgAAAAKAQAADwAAAAAAAAABACAAAAAiAAAAZHJzL2Rvd25yZXYueG1sUEsBAhQA&#10;FAAAAAgAh07iQFgtM4ZkAgAAwgQAAA4AAAAAAAAAAQAgAAAAJwEAAGRycy9lMm9Eb2MueG1sUEsF&#10;BgAAAAAGAAYAWQEAAP0FAAAAAA==&#10;">
                <v:fill on="f" focussize="0,0"/>
                <v:stroke weight="1pt" color="#000000 [3213]" joinstyle="round"/>
                <v:imagedata o:title=""/>
                <o:lock v:ext="edit" aspectratio="f"/>
                <v:textbox>
                  <w:txbxContent>
                    <w:p w14:paraId="3E5C0CD8">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鸡粪带走</w:t>
                      </w:r>
                    </w:p>
                  </w:txbxContent>
                </v:textbox>
              </v:rect>
            </w:pict>
          </mc:Fallback>
        </mc:AlternateContent>
      </w:r>
      <w:r>
        <w:rPr>
          <w:color w:val="auto"/>
          <w:sz w:val="21"/>
        </w:rPr>
        <mc:AlternateContent>
          <mc:Choice Requires="wps">
            <w:drawing>
              <wp:anchor distT="0" distB="0" distL="114300" distR="114300" simplePos="0" relativeHeight="251764736" behindDoc="0" locked="0" layoutInCell="1" allowOverlap="1">
                <wp:simplePos x="0" y="0"/>
                <wp:positionH relativeFrom="column">
                  <wp:posOffset>2532380</wp:posOffset>
                </wp:positionH>
                <wp:positionV relativeFrom="paragraph">
                  <wp:posOffset>301625</wp:posOffset>
                </wp:positionV>
                <wp:extent cx="742950" cy="238125"/>
                <wp:effectExtent l="0" t="0" r="0" b="0"/>
                <wp:wrapNone/>
                <wp:docPr id="589" name="文本框 589"/>
                <wp:cNvGraphicFramePr/>
                <a:graphic xmlns:a="http://schemas.openxmlformats.org/drawingml/2006/main">
                  <a:graphicData uri="http://schemas.microsoft.com/office/word/2010/wordprocessingShape">
                    <wps:wsp>
                      <wps:cNvSpPr txBox="1"/>
                      <wps:spPr>
                        <a:xfrm>
                          <a:off x="0" y="0"/>
                          <a:ext cx="74295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B90FF4">
                            <w:pPr>
                              <w:rPr>
                                <w:rFonts w:hint="default" w:eastAsia="宋体"/>
                                <w:lang w:val="en-US" w:eastAsia="zh-CN"/>
                              </w:rPr>
                            </w:pPr>
                            <w:r>
                              <w:rPr>
                                <w:rFonts w:hint="eastAsia"/>
                                <w:lang w:val="en-US" w:eastAsia="zh-CN"/>
                              </w:rPr>
                              <w:t>37960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9.4pt;margin-top:23.75pt;height:18.75pt;width:58.5pt;z-index:251764736;mso-width-relative:page;mso-height-relative:page;" filled="f" stroked="f" coordsize="21600,21600" o:gfxdata="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ooikXaAAAACQEAAA8AAAAAAAAAAQAgAAAAIgAAAGRy&#10;cy9kb3ducmV2LnhtbFBLAQIUABQAAAAIAIdO4kBUfLIHPAIAAGkEAAAOAAAAAAAAAAEAIAAAACkB&#10;AABkcnMvZTJvRG9jLnhtbFBLBQYAAAAABgAGAFkBAADXBQAAAAA=&#10;">
                <v:fill on="f" focussize="0,0"/>
                <v:stroke on="f" weight="0.5pt"/>
                <v:imagedata o:title=""/>
                <o:lock v:ext="edit" aspectratio="f"/>
                <v:textbox>
                  <w:txbxContent>
                    <w:p w14:paraId="2FB90FF4">
                      <w:pPr>
                        <w:rPr>
                          <w:rFonts w:hint="default" w:eastAsia="宋体"/>
                          <w:lang w:val="en-US" w:eastAsia="zh-CN"/>
                        </w:rPr>
                      </w:pPr>
                      <w:r>
                        <w:rPr>
                          <w:rFonts w:hint="eastAsia"/>
                          <w:lang w:val="en-US" w:eastAsia="zh-CN"/>
                        </w:rPr>
                        <w:t>37960</w:t>
                      </w:r>
                    </w:p>
                  </w:txbxContent>
                </v:textbox>
              </v:shape>
            </w:pict>
          </mc:Fallback>
        </mc:AlternateContent>
      </w:r>
    </w:p>
    <w:p w14:paraId="7CDDC71D">
      <w:pPr>
        <w:adjustRightInd w:val="0"/>
        <w:jc w:val="center"/>
        <w:rPr>
          <w:color w:val="auto"/>
        </w:rPr>
      </w:pPr>
    </w:p>
    <w:p w14:paraId="67A6AE0B">
      <w:pPr>
        <w:rPr>
          <w:rFonts w:ascii="Times New Roman" w:hAnsi="Times New Roman" w:eastAsia="宋体"/>
          <w:b/>
          <w:bCs/>
          <w:color w:val="auto"/>
          <w:highlight w:val="green"/>
        </w:rPr>
      </w:pPr>
      <w:r>
        <w:rPr>
          <w:color w:val="auto"/>
          <w:sz w:val="21"/>
        </w:rPr>
        <mc:AlternateContent>
          <mc:Choice Requires="wps">
            <w:drawing>
              <wp:anchor distT="0" distB="0" distL="114300" distR="114300" simplePos="0" relativeHeight="251825152" behindDoc="0" locked="0" layoutInCell="1" allowOverlap="1">
                <wp:simplePos x="0" y="0"/>
                <wp:positionH relativeFrom="column">
                  <wp:posOffset>916940</wp:posOffset>
                </wp:positionH>
                <wp:positionV relativeFrom="paragraph">
                  <wp:posOffset>6550660</wp:posOffset>
                </wp:positionV>
                <wp:extent cx="3867150" cy="485775"/>
                <wp:effectExtent l="0" t="0" r="0" b="0"/>
                <wp:wrapNone/>
                <wp:docPr id="590" name="文本框 590"/>
                <wp:cNvGraphicFramePr/>
                <a:graphic xmlns:a="http://schemas.openxmlformats.org/drawingml/2006/main">
                  <a:graphicData uri="http://schemas.microsoft.com/office/word/2010/wordprocessingShape">
                    <wps:wsp>
                      <wps:cNvSpPr txBox="1"/>
                      <wps:spPr>
                        <a:xfrm>
                          <a:off x="2134235" y="8447405"/>
                          <a:ext cx="3867150" cy="4857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8895F6">
                            <w:pPr>
                              <w:pStyle w:val="69"/>
                              <w:spacing w:before="120" w:beforeLines="50" w:after="120" w:afterLines="50"/>
                              <w:jc w:val="center"/>
                              <w:rPr>
                                <w:color w:val="auto"/>
                                <w:highlight w:val="none"/>
                              </w:rPr>
                            </w:pPr>
                            <w:r>
                              <w:rPr>
                                <w:rFonts w:ascii="Times New Roman" w:hAnsi="Times New Roman" w:eastAsia="宋体"/>
                                <w:b/>
                                <w:bCs/>
                                <w:color w:val="auto"/>
                                <w:highlight w:val="none"/>
                              </w:rPr>
                              <w:t>图</w:t>
                            </w:r>
                            <w:r>
                              <w:rPr>
                                <w:rFonts w:hint="eastAsia" w:ascii="Times New Roman" w:hAnsi="Times New Roman" w:eastAsia="宋体"/>
                                <w:b/>
                                <w:bCs/>
                                <w:color w:val="auto"/>
                                <w:highlight w:val="none"/>
                                <w:lang w:val="en-US" w:eastAsia="zh-CN"/>
                              </w:rPr>
                              <w:t xml:space="preserve">3.2-1  </w:t>
                            </w:r>
                            <w:r>
                              <w:rPr>
                                <w:rFonts w:ascii="Times New Roman" w:hAnsi="Times New Roman" w:eastAsia="宋体"/>
                                <w:b/>
                                <w:bCs/>
                                <w:color w:val="auto"/>
                                <w:highlight w:val="none"/>
                              </w:rPr>
                              <w:t xml:space="preserve">  本项目用排水平衡图（单位：t/a）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2pt;margin-top:515.8pt;height:38.25pt;width:304.5pt;z-index:251825152;mso-width-relative:page;mso-height-relative:page;" filled="f" stroked="f" coordsize="21600,21600" o:gfxdata="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OwGJvdwAAAANAQAADwAA&#10;AAAAAAABACAAAAAiAAAAZHJzL2Rvd25yZXYueG1sUEsBAhQAFAAAAAgAh07iQBioL3lLAgAAdgQA&#10;AA4AAAAAAAAAAQAgAAAAKwEAAGRycy9lMm9Eb2MueG1sUEsFBgAAAAAGAAYAWQEAAOgFAAAAAA==&#10;">
                <v:fill on="f" focussize="0,0"/>
                <v:stroke on="f" weight="0.5pt"/>
                <v:imagedata o:title=""/>
                <o:lock v:ext="edit" aspectratio="f"/>
                <v:textbox>
                  <w:txbxContent>
                    <w:p w14:paraId="618895F6">
                      <w:pPr>
                        <w:pStyle w:val="69"/>
                        <w:spacing w:before="120" w:beforeLines="50" w:after="120" w:afterLines="50"/>
                        <w:jc w:val="center"/>
                        <w:rPr>
                          <w:color w:val="auto"/>
                          <w:highlight w:val="none"/>
                        </w:rPr>
                      </w:pPr>
                      <w:r>
                        <w:rPr>
                          <w:rFonts w:ascii="Times New Roman" w:hAnsi="Times New Roman" w:eastAsia="宋体"/>
                          <w:b/>
                          <w:bCs/>
                          <w:color w:val="auto"/>
                          <w:highlight w:val="none"/>
                        </w:rPr>
                        <w:t>图</w:t>
                      </w:r>
                      <w:r>
                        <w:rPr>
                          <w:rFonts w:hint="eastAsia" w:ascii="Times New Roman" w:hAnsi="Times New Roman" w:eastAsia="宋体"/>
                          <w:b/>
                          <w:bCs/>
                          <w:color w:val="auto"/>
                          <w:highlight w:val="none"/>
                          <w:lang w:val="en-US" w:eastAsia="zh-CN"/>
                        </w:rPr>
                        <w:t xml:space="preserve">3.2-1  </w:t>
                      </w:r>
                      <w:r>
                        <w:rPr>
                          <w:rFonts w:ascii="Times New Roman" w:hAnsi="Times New Roman" w:eastAsia="宋体"/>
                          <w:b/>
                          <w:bCs/>
                          <w:color w:val="auto"/>
                          <w:highlight w:val="none"/>
                        </w:rPr>
                        <w:t xml:space="preserve">  本项目用排水平衡图（单位：t/a）</w:t>
                      </w:r>
                    </w:p>
                  </w:txbxContent>
                </v:textbox>
              </v:shape>
            </w:pict>
          </mc:Fallback>
        </mc:AlternateContent>
      </w:r>
      <w:r>
        <w:rPr>
          <w:color w:val="auto"/>
          <w:sz w:val="21"/>
        </w:rPr>
        <mc:AlternateContent>
          <mc:Choice Requires="wps">
            <w:drawing>
              <wp:anchor distT="0" distB="0" distL="114300" distR="114300" simplePos="0" relativeHeight="251824128" behindDoc="0" locked="0" layoutInCell="1" allowOverlap="1">
                <wp:simplePos x="0" y="0"/>
                <wp:positionH relativeFrom="column">
                  <wp:posOffset>455930</wp:posOffset>
                </wp:positionH>
                <wp:positionV relativeFrom="paragraph">
                  <wp:posOffset>2862580</wp:posOffset>
                </wp:positionV>
                <wp:extent cx="809625" cy="238125"/>
                <wp:effectExtent l="0" t="0" r="0" b="0"/>
                <wp:wrapNone/>
                <wp:docPr id="591" name="文本框 591"/>
                <wp:cNvGraphicFramePr/>
                <a:graphic xmlns:a="http://schemas.openxmlformats.org/drawingml/2006/main">
                  <a:graphicData uri="http://schemas.microsoft.com/office/word/2010/wordprocessingShape">
                    <wps:wsp>
                      <wps:cNvSpPr txBox="1"/>
                      <wps:spPr>
                        <a:xfrm>
                          <a:off x="0" y="0"/>
                          <a:ext cx="80962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515F1D">
                            <w:pPr>
                              <w:rPr>
                                <w:rFonts w:hint="default" w:eastAsia="宋体"/>
                                <w:lang w:val="en-US" w:eastAsia="zh-CN"/>
                              </w:rPr>
                            </w:pPr>
                            <w:r>
                              <w:rPr>
                                <w:rFonts w:hint="eastAsia"/>
                                <w:lang w:val="en-US" w:eastAsia="zh-CN"/>
                              </w:rPr>
                              <w:t>740594.48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9pt;margin-top:225.4pt;height:18.75pt;width:63.75pt;z-index:251824128;mso-width-relative:page;mso-height-relative:page;" filled="f" stroked="f" coordsize="21600,21600" o:gfxdata="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6gHPdsAAAAKAQAADwAAAAAAAAABACAAAAAiAAAA&#10;ZHJzL2Rvd25yZXYueG1sUEsBAhQAFAAAAAgAh07iQLoz+i49AgAAaQQAAA4AAAAAAAAAAQAgAAAA&#10;KgEAAGRycy9lMm9Eb2MueG1sUEsFBgAAAAAGAAYAWQEAANkFAAAAAA==&#10;">
                <v:fill on="f" focussize="0,0"/>
                <v:stroke on="f" weight="0.5pt"/>
                <v:imagedata o:title=""/>
                <o:lock v:ext="edit" aspectratio="f"/>
                <v:textbox>
                  <w:txbxContent>
                    <w:p w14:paraId="3C515F1D">
                      <w:pPr>
                        <w:rPr>
                          <w:rFonts w:hint="default" w:eastAsia="宋体"/>
                          <w:lang w:val="en-US" w:eastAsia="zh-CN"/>
                        </w:rPr>
                      </w:pPr>
                      <w:r>
                        <w:rPr>
                          <w:rFonts w:hint="eastAsia"/>
                          <w:lang w:val="en-US" w:eastAsia="zh-CN"/>
                        </w:rPr>
                        <w:t>740594.48</w:t>
                      </w:r>
                    </w:p>
                  </w:txbxContent>
                </v:textbox>
              </v:shape>
            </w:pict>
          </mc:Fallback>
        </mc:AlternateContent>
      </w:r>
      <w:r>
        <w:rPr>
          <w:color w:val="auto"/>
          <w:sz w:val="21"/>
        </w:rPr>
        <mc:AlternateContent>
          <mc:Choice Requires="wps">
            <w:drawing>
              <wp:anchor distT="0" distB="0" distL="114300" distR="114300" simplePos="0" relativeHeight="251757568" behindDoc="0" locked="0" layoutInCell="1" allowOverlap="1">
                <wp:simplePos x="0" y="0"/>
                <wp:positionH relativeFrom="column">
                  <wp:posOffset>-163195</wp:posOffset>
                </wp:positionH>
                <wp:positionV relativeFrom="paragraph">
                  <wp:posOffset>2917825</wp:posOffset>
                </wp:positionV>
                <wp:extent cx="637540" cy="314325"/>
                <wp:effectExtent l="6350" t="6350" r="22860" b="22225"/>
                <wp:wrapNone/>
                <wp:docPr id="592" name="矩形 592"/>
                <wp:cNvGraphicFramePr/>
                <a:graphic xmlns:a="http://schemas.openxmlformats.org/drawingml/2006/main">
                  <a:graphicData uri="http://schemas.microsoft.com/office/word/2010/wordprocessingShape">
                    <wps:wsp>
                      <wps:cNvSpPr/>
                      <wps:spPr>
                        <a:xfrm>
                          <a:off x="1120775" y="5273040"/>
                          <a:ext cx="637540" cy="3143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04A0935">
                            <w:pPr>
                              <w:rPr>
                                <w:rFonts w:hint="default" w:ascii="Times New Roman" w:hAnsi="Times New Roman" w:cs="Times New Roman"/>
                                <w:color w:val="auto"/>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Times New Roman" w:hAnsi="Times New Roman" w:cs="Times New Roman"/>
                                <w:color w:val="auto"/>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新鲜水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85pt;margin-top:229.75pt;height:24.75pt;width:50.2pt;z-index:251757568;v-text-anchor:middle;mso-width-relative:page;mso-height-relative:page;" filled="f" stroked="t" coordsize="21600,21600" o:gfxdata="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gXeoF9kAAAAKAQAADwAAAAAAAAABACAAAAAiAAAAZHJzL2Rvd25y&#10;ZXYueG1sUEsBAhQAFAAAAAgAh07iQJOln6ZvAgAAzgQAAA4AAAAAAAAAAQAgAAAAKAEAAGRycy9l&#10;Mm9Eb2MueG1sUEsFBgAAAAAGAAYAWQEAAAkGAAAAAA==&#10;">
                <v:fill on="f" focussize="0,0"/>
                <v:stroke weight="1pt" color="#000000 [3213]" joinstyle="round"/>
                <v:imagedata o:title=""/>
                <o:lock v:ext="edit" aspectratio="f"/>
                <v:textbox>
                  <w:txbxContent>
                    <w:p w14:paraId="704A0935">
                      <w:pPr>
                        <w:rPr>
                          <w:rFonts w:hint="default" w:ascii="Times New Roman" w:hAnsi="Times New Roman" w:cs="Times New Roman"/>
                          <w:color w:val="auto"/>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Times New Roman" w:hAnsi="Times New Roman" w:cs="Times New Roman"/>
                          <w:color w:val="auto"/>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新鲜水</w:t>
                      </w:r>
                    </w:p>
                  </w:txbxContent>
                </v:textbox>
              </v:rect>
            </w:pict>
          </mc:Fallback>
        </mc:AlternateContent>
      </w:r>
      <w:r>
        <w:rPr>
          <w:color w:val="auto"/>
          <w:sz w:val="21"/>
        </w:rPr>
        <mc:AlternateContent>
          <mc:Choice Requires="wps">
            <w:drawing>
              <wp:anchor distT="0" distB="0" distL="114300" distR="114300" simplePos="0" relativeHeight="251758592" behindDoc="0" locked="0" layoutInCell="1" allowOverlap="1">
                <wp:simplePos x="0" y="0"/>
                <wp:positionH relativeFrom="column">
                  <wp:posOffset>474345</wp:posOffset>
                </wp:positionH>
                <wp:positionV relativeFrom="paragraph">
                  <wp:posOffset>3070225</wp:posOffset>
                </wp:positionV>
                <wp:extent cx="743585" cy="5080"/>
                <wp:effectExtent l="0" t="37465" r="18415" b="33655"/>
                <wp:wrapNone/>
                <wp:docPr id="593" name="直接箭头连接符 593"/>
                <wp:cNvGraphicFramePr/>
                <a:graphic xmlns:a="http://schemas.openxmlformats.org/drawingml/2006/main">
                  <a:graphicData uri="http://schemas.microsoft.com/office/word/2010/wordprocessingShape">
                    <wps:wsp>
                      <wps:cNvCnPr>
                        <a:stCxn id="592" idx="3"/>
                      </wps:cNvCnPr>
                      <wps:spPr>
                        <a:xfrm flipV="1">
                          <a:off x="1758315" y="5430520"/>
                          <a:ext cx="743585" cy="508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7.35pt;margin-top:241.75pt;height:0.4pt;width:58.55pt;z-index:251758592;mso-width-relative:page;mso-height-relative:page;" filled="f" stroked="t" coordsize="21600,21600" o:gfxdata="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Bqr7D3AAAAAoBAAAPAAAAAAAAAAEAIAAAACIAAABkcnMvZG93bnJldi54bWxQSwECFAAUAAAA&#10;CACHTuJAgKA1uyMCAAAPBAAADgAAAAAAAAABACAAAAArAQAAZHJzL2Uyb0RvYy54bWxQSwUGAAAA&#10;AAYABgBZAQAAwAU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822080" behindDoc="0" locked="0" layoutInCell="1" allowOverlap="1">
                <wp:simplePos x="0" y="0"/>
                <wp:positionH relativeFrom="column">
                  <wp:posOffset>3456305</wp:posOffset>
                </wp:positionH>
                <wp:positionV relativeFrom="paragraph">
                  <wp:posOffset>6089650</wp:posOffset>
                </wp:positionV>
                <wp:extent cx="1158875" cy="542925"/>
                <wp:effectExtent l="6350" t="6350" r="15875" b="22225"/>
                <wp:wrapNone/>
                <wp:docPr id="594" name="矩形 594"/>
                <wp:cNvGraphicFramePr/>
                <a:graphic xmlns:a="http://schemas.openxmlformats.org/drawingml/2006/main">
                  <a:graphicData uri="http://schemas.microsoft.com/office/word/2010/wordprocessingShape">
                    <wps:wsp>
                      <wps:cNvSpPr/>
                      <wps:spPr>
                        <a:xfrm>
                          <a:off x="0" y="0"/>
                          <a:ext cx="1158875" cy="5429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92630CF">
                            <w:pP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排入旱厕定期清掏，用作农肥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2.15pt;margin-top:479.5pt;height:42.75pt;width:91.25pt;z-index:251822080;v-text-anchor:middle;mso-width-relative:page;mso-height-relative:page;" filled="f" stroked="t" coordsize="21600,21600" o:gfxdata="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Ou6VzjaAAAADAEAAA8AAAAAAAAAAQAgAAAAIgAAAGRycy9kb3ducmV2LnhtbFBL&#10;AQIUABQAAAAIAIdO4kDwT+/eZgIAAMMEAAAOAAAAAAAAAAEAIAAAACkBAABkcnMvZTJvRG9jLnht&#10;bFBLBQYAAAAABgAGAFkBAAABBgAAAAA=&#10;">
                <v:fill on="f" focussize="0,0"/>
                <v:stroke weight="1pt" color="#000000 [3213]" joinstyle="round"/>
                <v:imagedata o:title=""/>
                <o:lock v:ext="edit" aspectratio="f"/>
                <v:textbox>
                  <w:txbxContent>
                    <w:p w14:paraId="592630CF">
                      <w:pP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排入旱厕定期清掏，用作农肥</w:t>
                      </w:r>
                    </w:p>
                  </w:txbxContent>
                </v:textbox>
              </v:rect>
            </w:pict>
          </mc:Fallback>
        </mc:AlternateContent>
      </w:r>
      <w:r>
        <w:rPr>
          <w:color w:val="auto"/>
          <w:sz w:val="21"/>
        </w:rPr>
        <mc:AlternateContent>
          <mc:Choice Requires="wps">
            <w:drawing>
              <wp:anchor distT="0" distB="0" distL="114300" distR="114300" simplePos="0" relativeHeight="251819008" behindDoc="0" locked="0" layoutInCell="1" allowOverlap="1">
                <wp:simplePos x="0" y="0"/>
                <wp:positionH relativeFrom="column">
                  <wp:posOffset>2894330</wp:posOffset>
                </wp:positionH>
                <wp:positionV relativeFrom="paragraph">
                  <wp:posOffset>6094095</wp:posOffset>
                </wp:positionV>
                <wp:extent cx="590550" cy="275590"/>
                <wp:effectExtent l="0" t="0" r="0" b="0"/>
                <wp:wrapNone/>
                <wp:docPr id="595" name="文本框 595"/>
                <wp:cNvGraphicFramePr/>
                <a:graphic xmlns:a="http://schemas.openxmlformats.org/drawingml/2006/main">
                  <a:graphicData uri="http://schemas.microsoft.com/office/word/2010/wordprocessingShape">
                    <wps:wsp>
                      <wps:cNvSpPr txBox="1"/>
                      <wps:spPr>
                        <a:xfrm>
                          <a:off x="0" y="0"/>
                          <a:ext cx="59055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296985">
                            <w:pPr>
                              <w:rPr>
                                <w:rFonts w:hint="default" w:eastAsia="宋体"/>
                                <w:lang w:val="en-US" w:eastAsia="zh-CN"/>
                              </w:rPr>
                            </w:pPr>
                            <w:r>
                              <w:rPr>
                                <w:rFonts w:hint="eastAsia"/>
                                <w:lang w:val="en-US" w:eastAsia="zh-CN"/>
                              </w:rPr>
                              <w:t>525.6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7.9pt;margin-top:479.85pt;height:21.7pt;width:46.5pt;z-index:251819008;mso-width-relative:page;mso-height-relative:page;" filled="f" stroked="f" coordsize="21600,21600" o:gfxdata="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&#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wjyU7cAAAADAEAAA8AAAAAAAAAAQAgAAAAIgAAAGRy&#10;cy9kb3ducmV2LnhtbFBLAQIUABQAAAAIAIdO4kDTvwjrOgIAAGkEAAAOAAAAAAAAAAEAIAAAACsB&#10;AABkcnMvZTJvRG9jLnhtbFBLBQYAAAAABgAGAFkBAADXBQAAAAA=&#10;">
                <v:fill on="f" focussize="0,0"/>
                <v:stroke on="f" weight="0.5pt"/>
                <v:imagedata o:title=""/>
                <o:lock v:ext="edit" aspectratio="f"/>
                <v:textbox>
                  <w:txbxContent>
                    <w:p w14:paraId="20296985">
                      <w:pPr>
                        <w:rPr>
                          <w:rFonts w:hint="default" w:eastAsia="宋体"/>
                          <w:lang w:val="en-US" w:eastAsia="zh-CN"/>
                        </w:rPr>
                      </w:pPr>
                      <w:r>
                        <w:rPr>
                          <w:rFonts w:hint="eastAsia"/>
                          <w:lang w:val="en-US" w:eastAsia="zh-CN"/>
                        </w:rPr>
                        <w:t>525.6</w:t>
                      </w:r>
                    </w:p>
                  </w:txbxContent>
                </v:textbox>
              </v:shape>
            </w:pict>
          </mc:Fallback>
        </mc:AlternateContent>
      </w:r>
      <w:r>
        <w:rPr>
          <w:color w:val="auto"/>
          <w:sz w:val="21"/>
        </w:rPr>
        <mc:AlternateContent>
          <mc:Choice Requires="wps">
            <w:drawing>
              <wp:anchor distT="0" distB="0" distL="114300" distR="114300" simplePos="0" relativeHeight="251823104" behindDoc="0" locked="0" layoutInCell="1" allowOverlap="1">
                <wp:simplePos x="0" y="0"/>
                <wp:positionH relativeFrom="column">
                  <wp:posOffset>2855595</wp:posOffset>
                </wp:positionH>
                <wp:positionV relativeFrom="paragraph">
                  <wp:posOffset>6361430</wp:posOffset>
                </wp:positionV>
                <wp:extent cx="610235" cy="8255"/>
                <wp:effectExtent l="0" t="31115" r="18415" b="36830"/>
                <wp:wrapNone/>
                <wp:docPr id="596" name="直接箭头连接符 596"/>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4.85pt;margin-top:500.9pt;height:0.65pt;width:48.05pt;z-index:251823104;mso-width-relative:page;mso-height-relative:page;" filled="f" stroked="t" coordsize="21600,21600" o:gfxdata="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aNvhZ2AAAAA0BAAAPAAAAAAAAAAEAIAAAACIAAABkcnMvZG93&#10;bnJldi54bWxQSwECFAAUAAAACACHTuJAQXzRzwACAADRAwAADgAAAAAAAAABACAAAAAnAQAAZHJz&#10;L2Uyb0RvYy54bWxQSwUGAAAAAAYABgBZAQAAmQU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816960" behindDoc="0" locked="0" layoutInCell="1" allowOverlap="1">
                <wp:simplePos x="0" y="0"/>
                <wp:positionH relativeFrom="column">
                  <wp:posOffset>2227580</wp:posOffset>
                </wp:positionH>
                <wp:positionV relativeFrom="paragraph">
                  <wp:posOffset>5751195</wp:posOffset>
                </wp:positionV>
                <wp:extent cx="876300" cy="275590"/>
                <wp:effectExtent l="0" t="0" r="0" b="0"/>
                <wp:wrapNone/>
                <wp:docPr id="597" name="文本框 597"/>
                <wp:cNvGraphicFramePr/>
                <a:graphic xmlns:a="http://schemas.openxmlformats.org/drawingml/2006/main">
                  <a:graphicData uri="http://schemas.microsoft.com/office/word/2010/wordprocessingShape">
                    <wps:wsp>
                      <wps:cNvSpPr txBox="1"/>
                      <wps:spPr>
                        <a:xfrm>
                          <a:off x="0" y="0"/>
                          <a:ext cx="87630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95B6D0">
                            <w:pPr>
                              <w:rPr>
                                <w:rFonts w:hint="default" w:eastAsia="宋体"/>
                                <w:lang w:val="en-US" w:eastAsia="zh-CN"/>
                              </w:rPr>
                            </w:pPr>
                            <w:r>
                              <w:rPr>
                                <w:rFonts w:hint="eastAsia"/>
                                <w:lang w:val="en-US" w:eastAsia="zh-CN"/>
                              </w:rPr>
                              <w:t>损失131.4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4pt;margin-top:452.85pt;height:21.7pt;width:69pt;z-index:251816960;mso-width-relative:page;mso-height-relative:page;" filled="f" stroked="f" coordsize="21600,21600" o:gfxdata="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ATWxk2wAAAAsBAAAPAAAAAAAAAAEAIAAAACIA&#10;AABkcnMvZG93bnJldi54bWxQSwECFAAUAAAACACHTuJAoc/p3T8CAABpBAAADgAAAAAAAAABACAA&#10;AAAqAQAAZHJzL2Uyb0RvYy54bWxQSwUGAAAAAAYABgBZAQAA2wUAAAAA&#10;">
                <v:fill on="f" focussize="0,0"/>
                <v:stroke on="f" weight="0.5pt"/>
                <v:imagedata o:title=""/>
                <o:lock v:ext="edit" aspectratio="f"/>
                <v:textbox>
                  <w:txbxContent>
                    <w:p w14:paraId="7795B6D0">
                      <w:pPr>
                        <w:rPr>
                          <w:rFonts w:hint="default" w:eastAsia="宋体"/>
                          <w:lang w:val="en-US" w:eastAsia="zh-CN"/>
                        </w:rPr>
                      </w:pPr>
                      <w:r>
                        <w:rPr>
                          <w:rFonts w:hint="eastAsia"/>
                          <w:lang w:val="en-US" w:eastAsia="zh-CN"/>
                        </w:rPr>
                        <w:t>损失131.4</w:t>
                      </w:r>
                    </w:p>
                  </w:txbxContent>
                </v:textbox>
              </v:shape>
            </w:pict>
          </mc:Fallback>
        </mc:AlternateContent>
      </w:r>
      <w:r>
        <w:rPr>
          <w:color w:val="auto"/>
          <w:sz w:val="21"/>
        </w:rPr>
        <mc:AlternateContent>
          <mc:Choice Requires="wps">
            <w:drawing>
              <wp:anchor distT="0" distB="0" distL="114300" distR="114300" simplePos="0" relativeHeight="251815936" behindDoc="0" locked="0" layoutInCell="1" allowOverlap="1">
                <wp:simplePos x="0" y="0"/>
                <wp:positionH relativeFrom="column">
                  <wp:posOffset>2256155</wp:posOffset>
                </wp:positionH>
                <wp:positionV relativeFrom="paragraph">
                  <wp:posOffset>6005830</wp:posOffset>
                </wp:positionV>
                <wp:extent cx="276225" cy="200025"/>
                <wp:effectExtent l="0" t="18415" r="9525" b="10160"/>
                <wp:wrapNone/>
                <wp:docPr id="598" name="曲线连接符 598"/>
                <wp:cNvGraphicFramePr/>
                <a:graphic xmlns:a="http://schemas.openxmlformats.org/drawingml/2006/main">
                  <a:graphicData uri="http://schemas.microsoft.com/office/word/2010/wordprocessingShape">
                    <wps:wsp>
                      <wps:cNvCnPr/>
                      <wps:spPr>
                        <a:xfrm flipV="1">
                          <a:off x="0" y="0"/>
                          <a:ext cx="276225" cy="200025"/>
                        </a:xfrm>
                        <a:prstGeom prst="curvedConnector3">
                          <a:avLst>
                            <a:gd name="adj1" fmla="val 50115"/>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flip:y;margin-left:177.65pt;margin-top:472.9pt;height:15.75pt;width:21.75pt;z-index:251815936;mso-width-relative:page;mso-height-relative:page;" filled="f" stroked="t" coordsize="21600,21600" o:gfxdata="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3WpbQ9kAAAALAQAA&#10;DwAAAAAAAAABACAAAAAiAAAAZHJzL2Rvd25yZXYueG1sUEsBAhQAFAAAAAgAh07iQGT1Xr0YAgAA&#10;AgQAAA4AAAAAAAAAAQAgAAAAKAEAAGRycy9lMm9Eb2MueG1sUEsFBgAAAAAGAAYAWQEAALIFAAAA&#10;AA==&#10;" adj="10825">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814912" behindDoc="0" locked="0" layoutInCell="1" allowOverlap="1">
                <wp:simplePos x="0" y="0"/>
                <wp:positionH relativeFrom="column">
                  <wp:posOffset>1236980</wp:posOffset>
                </wp:positionH>
                <wp:positionV relativeFrom="paragraph">
                  <wp:posOffset>6129655</wp:posOffset>
                </wp:positionV>
                <wp:extent cx="561975" cy="238125"/>
                <wp:effectExtent l="0" t="0" r="0" b="0"/>
                <wp:wrapNone/>
                <wp:docPr id="599" name="文本框 599"/>
                <wp:cNvGraphicFramePr/>
                <a:graphic xmlns:a="http://schemas.openxmlformats.org/drawingml/2006/main">
                  <a:graphicData uri="http://schemas.microsoft.com/office/word/2010/wordprocessingShape">
                    <wps:wsp>
                      <wps:cNvSpPr txBox="1"/>
                      <wps:spPr>
                        <a:xfrm>
                          <a:off x="0" y="0"/>
                          <a:ext cx="56197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3E487E">
                            <w:pPr>
                              <w:rPr>
                                <w:rFonts w:hint="default" w:eastAsia="宋体"/>
                                <w:lang w:val="en-US" w:eastAsia="zh-CN"/>
                              </w:rPr>
                            </w:pPr>
                            <w:r>
                              <w:rPr>
                                <w:rFonts w:hint="eastAsia"/>
                                <w:lang w:val="en-US" w:eastAsia="zh-CN"/>
                              </w:rPr>
                              <w:t>657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7.4pt;margin-top:482.65pt;height:18.75pt;width:44.25pt;z-index:251814912;mso-width-relative:page;mso-height-relative:page;" filled="f" stroked="f" coordsize="21600,21600" o:gfxdata="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WmsrbAAAADAEAAA8AAAAAAAAAAQAgAAAAIgAA&#10;AGRycy9kb3ducmV2LnhtbFBLAQIUABQAAAAIAIdO4kAy4ZNlPgIAAGkEAAAOAAAAAAAAAAEAIAAA&#10;ACoBAABkcnMvZTJvRG9jLnhtbFBLBQYAAAAABgAGAFkBAADaBQAAAAA=&#10;">
                <v:fill on="f" focussize="0,0"/>
                <v:stroke on="f" weight="0.5pt"/>
                <v:imagedata o:title=""/>
                <o:lock v:ext="edit" aspectratio="f"/>
                <v:textbox>
                  <w:txbxContent>
                    <w:p w14:paraId="5E3E487E">
                      <w:pPr>
                        <w:rPr>
                          <w:rFonts w:hint="default" w:eastAsia="宋体"/>
                          <w:lang w:val="en-US" w:eastAsia="zh-CN"/>
                        </w:rPr>
                      </w:pPr>
                      <w:r>
                        <w:rPr>
                          <w:rFonts w:hint="eastAsia"/>
                          <w:lang w:val="en-US" w:eastAsia="zh-CN"/>
                        </w:rPr>
                        <w:t>657</w:t>
                      </w:r>
                    </w:p>
                  </w:txbxContent>
                </v:textbox>
              </v:shape>
            </w:pict>
          </mc:Fallback>
        </mc:AlternateContent>
      </w:r>
      <w:r>
        <w:rPr>
          <w:color w:val="auto"/>
          <w:sz w:val="21"/>
        </w:rPr>
        <mc:AlternateContent>
          <mc:Choice Requires="wps">
            <w:drawing>
              <wp:anchor distT="0" distB="0" distL="114300" distR="114300" simplePos="0" relativeHeight="251820032" behindDoc="0" locked="0" layoutInCell="1" allowOverlap="1">
                <wp:simplePos x="0" y="0"/>
                <wp:positionH relativeFrom="column">
                  <wp:posOffset>1837055</wp:posOffset>
                </wp:positionH>
                <wp:positionV relativeFrom="paragraph">
                  <wp:posOffset>6203950</wp:posOffset>
                </wp:positionV>
                <wp:extent cx="1016635" cy="314325"/>
                <wp:effectExtent l="6350" t="6350" r="24765" b="22225"/>
                <wp:wrapNone/>
                <wp:docPr id="600" name="矩形 600"/>
                <wp:cNvGraphicFramePr/>
                <a:graphic xmlns:a="http://schemas.openxmlformats.org/drawingml/2006/main">
                  <a:graphicData uri="http://schemas.microsoft.com/office/word/2010/wordprocessingShape">
                    <wps:wsp>
                      <wps:cNvSpPr/>
                      <wps:spPr>
                        <a:xfrm>
                          <a:off x="0" y="0"/>
                          <a:ext cx="1016635" cy="314325"/>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51B1D1A">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职工生活用水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4.65pt;margin-top:488.5pt;height:24.75pt;width:80.05pt;z-index:251820032;v-text-anchor:middle;mso-width-relative:page;mso-height-relative:page;" filled="f" stroked="t" coordsize="21600,21600" o:gfxdata="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ITIBZ2gAAAAwBAAAPAAAAAAAAAAEAIAAAACIAAABkcnMvZG93bnJldi54bWxQSwEC&#10;FAAUAAAACACHTuJAINd7UmQCAADDBAAADgAAAAAAAAABACAAAAApAQAAZHJzL2Uyb0RvYy54bWxQ&#10;SwUGAAAAAAYABgBZAQAA/wUAAAAA&#10;">
                <v:fill on="f" focussize="0,0"/>
                <v:stroke weight="1pt" color="#000000 [3213]" joinstyle="round"/>
                <v:imagedata o:title=""/>
                <o:lock v:ext="edit" aspectratio="f"/>
                <v:textbox>
                  <w:txbxContent>
                    <w:p w14:paraId="751B1D1A">
                      <w:pPr>
                        <w:rPr>
                          <w:rFonts w:hint="eastAsia" w:ascii="宋体" w:hAnsi="宋体" w:eastAsia="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ascii="宋体" w:hAnsi="宋体" w:cs="宋体"/>
                          <w:b w:val="0"/>
                          <w:bCs w:val="0"/>
                          <w:color w:val="auto"/>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职工生活用水</w:t>
                      </w:r>
                    </w:p>
                  </w:txbxContent>
                </v:textbox>
              </v:rect>
            </w:pict>
          </mc:Fallback>
        </mc:AlternateContent>
      </w:r>
      <w:r>
        <w:rPr>
          <w:color w:val="auto"/>
          <w:sz w:val="21"/>
        </w:rPr>
        <mc:AlternateContent>
          <mc:Choice Requires="wps">
            <w:drawing>
              <wp:anchor distT="0" distB="0" distL="114300" distR="114300" simplePos="0" relativeHeight="251821056" behindDoc="0" locked="0" layoutInCell="1" allowOverlap="1">
                <wp:simplePos x="0" y="0"/>
                <wp:positionH relativeFrom="column">
                  <wp:posOffset>1226820</wp:posOffset>
                </wp:positionH>
                <wp:positionV relativeFrom="paragraph">
                  <wp:posOffset>6380480</wp:posOffset>
                </wp:positionV>
                <wp:extent cx="610235" cy="8255"/>
                <wp:effectExtent l="0" t="31115" r="18415" b="36830"/>
                <wp:wrapNone/>
                <wp:docPr id="601" name="直接箭头连接符 601"/>
                <wp:cNvGraphicFramePr/>
                <a:graphic xmlns:a="http://schemas.openxmlformats.org/drawingml/2006/main">
                  <a:graphicData uri="http://schemas.microsoft.com/office/word/2010/wordprocessingShape">
                    <wps:wsp>
                      <wps:cNvCnPr/>
                      <wps:spPr>
                        <a:xfrm>
                          <a:off x="0" y="0"/>
                          <a:ext cx="610235" cy="825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6.6pt;margin-top:502.4pt;height:0.65pt;width:48.05pt;z-index:251821056;mso-width-relative:page;mso-height-relative:page;" filled="f" stroked="t" coordsize="21600,21600" o:gfxdata="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7BRPYAAAADQEAAA8AAAAAAAAAAQAgAAAAIgAAAGRycy9kb3du&#10;cmV2LnhtbFBLAQIUABQAAAAIAIdO4kBgPBoU/wEAANEDAAAOAAAAAAAAAAEAIAAAACcBAABkcnMv&#10;ZTJvRG9jLnhtbFBLBQYAAAAABgAGAFkBAACYBQ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59616" behindDoc="0" locked="0" layoutInCell="1" allowOverlap="1">
                <wp:simplePos x="0" y="0"/>
                <wp:positionH relativeFrom="column">
                  <wp:posOffset>1198880</wp:posOffset>
                </wp:positionH>
                <wp:positionV relativeFrom="paragraph">
                  <wp:posOffset>155575</wp:posOffset>
                </wp:positionV>
                <wp:extent cx="22860" cy="6243955"/>
                <wp:effectExtent l="6350" t="0" r="8890" b="4445"/>
                <wp:wrapNone/>
                <wp:docPr id="602" name="直接连接符 602"/>
                <wp:cNvGraphicFramePr/>
                <a:graphic xmlns:a="http://schemas.openxmlformats.org/drawingml/2006/main">
                  <a:graphicData uri="http://schemas.microsoft.com/office/word/2010/wordprocessingShape">
                    <wps:wsp>
                      <wps:cNvCnPr/>
                      <wps:spPr>
                        <a:xfrm>
                          <a:off x="2339975" y="3168015"/>
                          <a:ext cx="22860" cy="6243955"/>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94.4pt;margin-top:12.25pt;height:491.65pt;width:1.8pt;z-index:251759616;mso-width-relative:page;mso-height-relative:page;" filled="f" stroked="t" coordsize="21600,21600" o:gfxdata="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EkoQBtoAAAALAQAADwAAAAAAAAABACAAAAAiAAAAZHJzL2Rvd25yZXYueG1sUEsBAhQAFAAA&#10;AAgAh07iQLsNjxztAQAArwMAAA4AAAAAAAAAAQAgAAAAKQEAAGRycy9lMm9Eb2MueG1sUEsFBgAA&#10;AAAGAAYAWQEAAIgFAAAAAA==&#10;">
                <v:fill on="f" focussize="0,0"/>
                <v:stroke weight="1pt" color="#000000 [3213]" joinstyle="round"/>
                <v:imagedata o:title=""/>
                <o:lock v:ext="edit" aspectratio="f"/>
              </v:line>
            </w:pict>
          </mc:Fallback>
        </mc:AlternateContent>
      </w:r>
      <w:r>
        <w:rPr>
          <w:rFonts w:ascii="Times New Roman" w:hAnsi="Times New Roman" w:eastAsia="宋体"/>
          <w:b/>
          <w:bCs/>
          <w:color w:val="auto"/>
          <w:highlight w:val="green"/>
        </w:rPr>
        <w:br w:type="page"/>
      </w:r>
    </w:p>
    <w:p w14:paraId="1BAA6A4B">
      <w:pPr>
        <w:tabs>
          <w:tab w:val="left" w:pos="4425"/>
        </w:tabs>
        <w:spacing w:line="360" w:lineRule="auto"/>
        <w:ind w:firstLine="481"/>
        <w:rPr>
          <w:rFonts w:hint="default"/>
          <w:b w:val="0"/>
          <w:bCs w:val="0"/>
          <w:color w:val="auto"/>
          <w:sz w:val="24"/>
          <w:highlight w:val="none"/>
          <w:lang w:val="en-US" w:eastAsia="zh-CN"/>
        </w:rPr>
      </w:pPr>
      <w:r>
        <w:rPr>
          <w:rFonts w:hint="eastAsia"/>
          <w:b w:val="0"/>
          <w:bCs w:val="0"/>
          <w:color w:val="auto"/>
          <w:sz w:val="24"/>
          <w:highlight w:val="none"/>
          <w:lang w:val="en-US" w:eastAsia="zh-CN"/>
        </w:rPr>
        <w:t>（3）供热</w:t>
      </w:r>
    </w:p>
    <w:p w14:paraId="3233C851">
      <w:pPr>
        <w:tabs>
          <w:tab w:val="left" w:pos="4425"/>
        </w:tabs>
        <w:spacing w:line="360" w:lineRule="auto"/>
        <w:ind w:firstLine="481"/>
        <w:rPr>
          <w:rFonts w:hint="default"/>
          <w:b w:val="0"/>
          <w:bCs w:val="0"/>
          <w:color w:val="auto"/>
          <w:sz w:val="24"/>
          <w:highlight w:val="none"/>
          <w:lang w:val="en-US" w:eastAsia="zh-CN"/>
        </w:rPr>
      </w:pPr>
      <w:r>
        <w:rPr>
          <w:rFonts w:hint="eastAsia"/>
          <w:b w:val="0"/>
          <w:bCs w:val="0"/>
          <w:color w:val="auto"/>
          <w:sz w:val="24"/>
          <w:highlight w:val="none"/>
          <w:lang w:val="en-US" w:eastAsia="zh-CN"/>
        </w:rPr>
        <w:t>门卫、蛋库及办公室冬季取暖采用生物质锅炉取暖，锅炉房内设置1台1.4MW的生物质锅炉；鸡舍采用先进的保温系统，冬季不需取暖。</w:t>
      </w:r>
    </w:p>
    <w:p w14:paraId="38DB0106">
      <w:pPr>
        <w:tabs>
          <w:tab w:val="left" w:pos="4425"/>
        </w:tabs>
        <w:spacing w:line="360" w:lineRule="auto"/>
        <w:ind w:firstLine="481"/>
        <w:rPr>
          <w:b w:val="0"/>
          <w:bCs w:val="0"/>
          <w:color w:val="auto"/>
          <w:sz w:val="24"/>
          <w:highlight w:val="none"/>
        </w:rPr>
      </w:pPr>
      <w:r>
        <w:rPr>
          <w:rFonts w:hint="eastAsia"/>
          <w:b w:val="0"/>
          <w:bCs w:val="0"/>
          <w:color w:val="auto"/>
          <w:sz w:val="24"/>
          <w:highlight w:val="none"/>
          <w:lang w:val="en-US" w:eastAsia="zh-CN"/>
        </w:rPr>
        <w:t>（4）</w:t>
      </w:r>
      <w:r>
        <w:rPr>
          <w:rFonts w:hAnsi="宋体"/>
          <w:b w:val="0"/>
          <w:bCs w:val="0"/>
          <w:color w:val="auto"/>
          <w:sz w:val="24"/>
          <w:highlight w:val="none"/>
        </w:rPr>
        <w:t>供电</w:t>
      </w:r>
    </w:p>
    <w:p w14:paraId="2ECD288B">
      <w:pPr>
        <w:tabs>
          <w:tab w:val="left" w:pos="4425"/>
        </w:tabs>
        <w:spacing w:line="360" w:lineRule="auto"/>
        <w:ind w:firstLine="480" w:firstLineChars="200"/>
        <w:rPr>
          <w:color w:val="auto"/>
          <w:sz w:val="24"/>
          <w:szCs w:val="24"/>
          <w:highlight w:val="none"/>
        </w:rPr>
      </w:pPr>
      <w:r>
        <w:rPr>
          <w:rFonts w:hint="eastAsia"/>
          <w:color w:val="auto"/>
          <w:sz w:val="24"/>
          <w:szCs w:val="24"/>
          <w:highlight w:val="none"/>
          <w:lang w:eastAsia="zh-CN"/>
        </w:rPr>
        <w:t>由西官镇供电所供应，用电量约</w:t>
      </w:r>
      <w:r>
        <w:rPr>
          <w:rFonts w:hint="eastAsia"/>
          <w:color w:val="auto"/>
          <w:sz w:val="24"/>
          <w:szCs w:val="24"/>
          <w:highlight w:val="none"/>
          <w:lang w:val="en-US" w:eastAsia="zh-CN"/>
        </w:rPr>
        <w:t>100</w:t>
      </w:r>
      <w:r>
        <w:rPr>
          <w:color w:val="auto"/>
          <w:sz w:val="24"/>
          <w:szCs w:val="24"/>
          <w:highlight w:val="none"/>
        </w:rPr>
        <w:t>万kWh/a。</w:t>
      </w:r>
    </w:p>
    <w:p w14:paraId="6A3E8D2E">
      <w:pPr>
        <w:pStyle w:val="434"/>
        <w:spacing w:line="360" w:lineRule="auto"/>
        <w:ind w:firstLine="480" w:firstLineChars="200"/>
        <w:rPr>
          <w:rFonts w:ascii="Times New Roman" w:hAnsi="Times New Roman"/>
          <w:color w:val="auto"/>
          <w:sz w:val="24"/>
          <w:szCs w:val="24"/>
          <w:lang w:val="en-US"/>
        </w:rPr>
      </w:pPr>
      <w:r>
        <w:rPr>
          <w:rFonts w:hint="eastAsia" w:ascii="Times New Roman" w:hAnsi="Times New Roman"/>
          <w:color w:val="auto"/>
          <w:sz w:val="24"/>
          <w:szCs w:val="24"/>
          <w:lang w:val="en-US" w:eastAsia="zh-CN"/>
        </w:rPr>
        <w:t>（5）</w:t>
      </w:r>
      <w:r>
        <w:rPr>
          <w:rFonts w:hint="eastAsia" w:ascii="Times New Roman" w:hAnsi="Times New Roman"/>
          <w:color w:val="auto"/>
          <w:sz w:val="24"/>
          <w:szCs w:val="24"/>
          <w:lang w:val="en-US"/>
        </w:rPr>
        <w:t>工作制度及劳动定员</w:t>
      </w:r>
    </w:p>
    <w:p w14:paraId="5B0B1D33">
      <w:pPr>
        <w:pStyle w:val="16"/>
        <w:spacing w:line="360" w:lineRule="auto"/>
        <w:ind w:firstLine="480" w:firstLineChars="200"/>
        <w:rPr>
          <w:color w:val="auto"/>
          <w:sz w:val="24"/>
        </w:rPr>
      </w:pPr>
      <w:r>
        <w:rPr>
          <w:color w:val="auto"/>
          <w:sz w:val="24"/>
        </w:rPr>
        <w:t>劳动定员：</w:t>
      </w:r>
      <w:r>
        <w:rPr>
          <w:rFonts w:hint="eastAsia"/>
          <w:color w:val="auto"/>
          <w:sz w:val="24"/>
        </w:rPr>
        <w:t>劳动定员</w:t>
      </w:r>
      <w:r>
        <w:rPr>
          <w:rFonts w:hint="eastAsia"/>
          <w:color w:val="auto"/>
          <w:sz w:val="24"/>
          <w:lang w:val="en-US" w:eastAsia="zh-CN"/>
        </w:rPr>
        <w:t>60</w:t>
      </w:r>
      <w:r>
        <w:rPr>
          <w:rFonts w:hint="eastAsia"/>
          <w:color w:val="auto"/>
          <w:sz w:val="24"/>
        </w:rPr>
        <w:t>人</w:t>
      </w:r>
      <w:r>
        <w:rPr>
          <w:rFonts w:hint="eastAsia"/>
          <w:color w:val="auto"/>
          <w:sz w:val="24"/>
          <w:lang w:eastAsia="zh-CN"/>
        </w:rPr>
        <w:t>；</w:t>
      </w:r>
    </w:p>
    <w:p w14:paraId="5D117B7F">
      <w:pPr>
        <w:pStyle w:val="16"/>
        <w:spacing w:line="360" w:lineRule="auto"/>
        <w:ind w:firstLine="480" w:firstLineChars="200"/>
        <w:rPr>
          <w:rFonts w:hint="eastAsia"/>
          <w:color w:val="auto"/>
          <w:sz w:val="24"/>
          <w:lang w:val="en-US" w:eastAsia="zh-CN"/>
        </w:rPr>
      </w:pPr>
      <w:r>
        <w:rPr>
          <w:rFonts w:hint="eastAsia"/>
          <w:color w:val="auto"/>
          <w:sz w:val="24"/>
        </w:rPr>
        <w:t>工作制度：</w:t>
      </w:r>
      <w:r>
        <w:rPr>
          <w:rFonts w:hint="eastAsia"/>
          <w:color w:val="auto"/>
          <w:sz w:val="24"/>
          <w:lang w:eastAsia="zh-CN"/>
        </w:rPr>
        <w:t>鸡舍养殖区每天</w:t>
      </w:r>
      <w:r>
        <w:rPr>
          <w:rFonts w:hint="eastAsia"/>
          <w:color w:val="auto"/>
          <w:sz w:val="24"/>
          <w:lang w:val="en-US" w:eastAsia="zh-CN"/>
        </w:rPr>
        <w:t>1班制</w:t>
      </w:r>
      <w:r>
        <w:rPr>
          <w:color w:val="auto"/>
          <w:sz w:val="24"/>
        </w:rPr>
        <w:t>，每</w:t>
      </w:r>
      <w:r>
        <w:rPr>
          <w:rFonts w:hint="eastAsia"/>
          <w:color w:val="auto"/>
          <w:sz w:val="24"/>
          <w:lang w:eastAsia="zh-CN"/>
        </w:rPr>
        <w:t>班</w:t>
      </w:r>
      <w:r>
        <w:rPr>
          <w:color w:val="auto"/>
          <w:sz w:val="24"/>
        </w:rPr>
        <w:t>8小时，年工作</w:t>
      </w:r>
      <w:r>
        <w:rPr>
          <w:rFonts w:hint="eastAsia"/>
          <w:color w:val="auto"/>
          <w:sz w:val="24"/>
          <w:lang w:val="en-US" w:eastAsia="zh-CN"/>
        </w:rPr>
        <w:t>360</w:t>
      </w:r>
      <w:r>
        <w:rPr>
          <w:color w:val="auto"/>
          <w:sz w:val="24"/>
        </w:rPr>
        <w:t>天</w:t>
      </w:r>
      <w:r>
        <w:rPr>
          <w:rFonts w:hint="eastAsia"/>
          <w:color w:val="auto"/>
          <w:sz w:val="24"/>
          <w:lang w:eastAsia="zh-CN"/>
        </w:rPr>
        <w:t>。由于锅炉仅为门卫、蛋库及办公区供暖，因此锅炉每天最多工作时间为</w:t>
      </w:r>
      <w:r>
        <w:rPr>
          <w:rFonts w:hint="eastAsia"/>
          <w:color w:val="auto"/>
          <w:sz w:val="24"/>
          <w:lang w:val="en-US" w:eastAsia="zh-CN"/>
        </w:rPr>
        <w:t>16h，供暖期180d。</w:t>
      </w:r>
    </w:p>
    <w:p w14:paraId="15404B02">
      <w:pPr>
        <w:pStyle w:val="4"/>
        <w:snapToGrid w:val="0"/>
        <w:spacing w:before="0"/>
        <w:rPr>
          <w:rFonts w:ascii="Times New Roman" w:hAnsi="Times New Roman" w:eastAsia="宋体"/>
          <w:bCs/>
          <w:color w:val="auto"/>
          <w:sz w:val="28"/>
          <w:szCs w:val="28"/>
        </w:rPr>
      </w:pPr>
      <w:bookmarkStart w:id="173" w:name="_Toc17030"/>
      <w:r>
        <w:rPr>
          <w:rFonts w:hint="eastAsia" w:ascii="Times New Roman" w:hAnsi="Times New Roman" w:eastAsia="宋体"/>
          <w:bCs/>
          <w:color w:val="auto"/>
          <w:sz w:val="28"/>
          <w:szCs w:val="28"/>
        </w:rPr>
        <w:t>3.</w:t>
      </w:r>
      <w:r>
        <w:rPr>
          <w:rFonts w:hint="eastAsia" w:ascii="Times New Roman" w:hAnsi="Times New Roman" w:eastAsia="宋体"/>
          <w:bCs/>
          <w:color w:val="auto"/>
          <w:sz w:val="28"/>
          <w:szCs w:val="28"/>
          <w:lang w:val="en-US" w:eastAsia="zh-CN"/>
        </w:rPr>
        <w:t>2</w:t>
      </w:r>
      <w:r>
        <w:rPr>
          <w:rFonts w:hint="eastAsia" w:ascii="Times New Roman" w:hAnsi="Times New Roman" w:eastAsia="宋体"/>
          <w:bCs/>
          <w:color w:val="auto"/>
          <w:sz w:val="28"/>
          <w:szCs w:val="28"/>
        </w:rPr>
        <w:t>.5</w:t>
      </w:r>
      <w:r>
        <w:rPr>
          <w:rFonts w:ascii="Times New Roman" w:hAnsi="Times New Roman" w:eastAsia="宋体"/>
          <w:bCs/>
          <w:color w:val="auto"/>
          <w:sz w:val="28"/>
          <w:szCs w:val="28"/>
        </w:rPr>
        <w:t>总平面布置</w:t>
      </w:r>
      <w:bookmarkEnd w:id="173"/>
    </w:p>
    <w:p w14:paraId="7D2E531F">
      <w:pPr>
        <w:pStyle w:val="16"/>
        <w:spacing w:line="360" w:lineRule="auto"/>
        <w:ind w:firstLine="480" w:firstLineChars="200"/>
        <w:rPr>
          <w:color w:val="auto"/>
          <w:sz w:val="24"/>
        </w:rPr>
      </w:pPr>
      <w:r>
        <w:rPr>
          <w:color w:val="auto"/>
          <w:sz w:val="24"/>
        </w:rPr>
        <w:t>（1）畜禽养殖场场区布置要求</w:t>
      </w:r>
    </w:p>
    <w:p w14:paraId="0ACD2160">
      <w:pPr>
        <w:pStyle w:val="16"/>
        <w:spacing w:line="360" w:lineRule="auto"/>
        <w:ind w:firstLine="480" w:firstLineChars="200"/>
        <w:rPr>
          <w:color w:val="auto"/>
          <w:sz w:val="24"/>
        </w:rPr>
      </w:pPr>
      <w:r>
        <w:rPr>
          <w:color w:val="auto"/>
          <w:sz w:val="24"/>
        </w:rPr>
        <w:t>根据《畜禽养殖业污染防治技术规范》（HJ/T81-2001）及《畜禽养殖业污染治理工程技术规范》（HJ497-2009）规定，畜禽养殖场场区布局应符合下列要求：畜禽养殖场应实现生产区、生活管理区的隔离；粪便污水处理设施应设在养殖场的生产区、生活管理区的常年主导风向的下风向或侧风向处。</w:t>
      </w:r>
    </w:p>
    <w:p w14:paraId="4EBD374B">
      <w:pPr>
        <w:pStyle w:val="16"/>
        <w:spacing w:line="360" w:lineRule="auto"/>
        <w:ind w:firstLine="480" w:firstLineChars="200"/>
        <w:rPr>
          <w:color w:val="auto"/>
          <w:sz w:val="24"/>
        </w:rPr>
      </w:pPr>
      <w:r>
        <w:rPr>
          <w:color w:val="auto"/>
          <w:sz w:val="24"/>
        </w:rPr>
        <w:t>（2）总平面布置的原则</w:t>
      </w:r>
    </w:p>
    <w:p w14:paraId="7B0D03EC">
      <w:pPr>
        <w:pStyle w:val="16"/>
        <w:spacing w:line="360" w:lineRule="auto"/>
        <w:ind w:firstLine="480" w:firstLineChars="200"/>
        <w:rPr>
          <w:color w:val="auto"/>
          <w:sz w:val="24"/>
        </w:rPr>
      </w:pPr>
      <w:r>
        <w:rPr>
          <w:color w:val="auto"/>
          <w:sz w:val="24"/>
        </w:rPr>
        <w:t>本项目鸡舍建设是按照蛋鸡饲养的操作流程布置各鸡舍位置及其附属设施，做到功能分区明确合理，保证养殖场内物料运输距离短捷顺畅，搞好绿化工作，使养殖场内部环境优美，空气清新，有利于人畜生活。</w:t>
      </w:r>
    </w:p>
    <w:p w14:paraId="24640053">
      <w:pPr>
        <w:pStyle w:val="16"/>
        <w:spacing w:line="360" w:lineRule="auto"/>
        <w:ind w:firstLine="480" w:firstLineChars="200"/>
        <w:rPr>
          <w:color w:val="auto"/>
          <w:sz w:val="24"/>
        </w:rPr>
      </w:pPr>
      <w:r>
        <w:rPr>
          <w:color w:val="auto"/>
          <w:sz w:val="24"/>
        </w:rPr>
        <w:t>（3）平面布置</w:t>
      </w:r>
    </w:p>
    <w:p w14:paraId="6933CA68">
      <w:pPr>
        <w:pStyle w:val="16"/>
        <w:spacing w:line="360" w:lineRule="auto"/>
        <w:ind w:firstLine="480" w:firstLineChars="200"/>
        <w:rPr>
          <w:color w:val="auto"/>
          <w:sz w:val="24"/>
        </w:rPr>
      </w:pPr>
      <w:r>
        <w:rPr>
          <w:color w:val="auto"/>
          <w:sz w:val="24"/>
        </w:rPr>
        <w:t>项目采取集约化养殖方式，整个场区呈</w:t>
      </w:r>
      <w:r>
        <w:rPr>
          <w:rFonts w:hint="eastAsia"/>
          <w:color w:val="auto"/>
          <w:sz w:val="24"/>
          <w:lang w:eastAsia="zh-CN"/>
        </w:rPr>
        <w:t>长方形布置</w:t>
      </w:r>
      <w:r>
        <w:rPr>
          <w:color w:val="auto"/>
          <w:sz w:val="24"/>
        </w:rPr>
        <w:t>。根据项目规划的总平面布置图，项目区设置围墙，顺势而建。建设内容为100万只蛋鸡养殖基地、20000吨</w:t>
      </w:r>
      <w:r>
        <w:rPr>
          <w:rFonts w:hint="eastAsia"/>
          <w:color w:val="auto"/>
          <w:sz w:val="24"/>
          <w:lang w:eastAsia="zh-CN"/>
        </w:rPr>
        <w:t>蛋库</w:t>
      </w:r>
      <w:r>
        <w:rPr>
          <w:rFonts w:hint="eastAsia"/>
          <w:color w:val="auto"/>
          <w:sz w:val="24"/>
        </w:rPr>
        <w:t>、</w:t>
      </w:r>
      <w:r>
        <w:rPr>
          <w:rFonts w:hint="eastAsia"/>
          <w:color w:val="auto"/>
          <w:sz w:val="24"/>
          <w:lang w:eastAsia="zh-CN"/>
        </w:rPr>
        <w:t>临时储粪场</w:t>
      </w:r>
      <w:r>
        <w:rPr>
          <w:color w:val="auto"/>
          <w:sz w:val="24"/>
        </w:rPr>
        <w:t>及养殖废水</w:t>
      </w:r>
      <w:r>
        <w:rPr>
          <w:rFonts w:hint="eastAsia"/>
          <w:color w:val="auto"/>
          <w:sz w:val="24"/>
          <w:lang w:eastAsia="zh-CN"/>
        </w:rPr>
        <w:t>收集池</w:t>
      </w:r>
      <w:r>
        <w:rPr>
          <w:color w:val="auto"/>
          <w:sz w:val="24"/>
        </w:rPr>
        <w:t>、办公生活区域及其他配套设施。</w:t>
      </w:r>
    </w:p>
    <w:bookmarkEnd w:id="170"/>
    <w:p w14:paraId="5855E311">
      <w:pPr>
        <w:pStyle w:val="16"/>
        <w:spacing w:line="360" w:lineRule="auto"/>
        <w:ind w:firstLine="480" w:firstLineChars="200"/>
        <w:rPr>
          <w:color w:val="auto"/>
          <w:sz w:val="24"/>
        </w:rPr>
      </w:pPr>
      <w:r>
        <w:rPr>
          <w:color w:val="auto"/>
          <w:sz w:val="24"/>
          <w:highlight w:val="none"/>
        </w:rPr>
        <w:t>厂区进场正门位于整个场区南侧</w:t>
      </w:r>
      <w:r>
        <w:rPr>
          <w:rFonts w:hint="eastAsia"/>
          <w:color w:val="auto"/>
          <w:sz w:val="24"/>
          <w:highlight w:val="none"/>
          <w:lang w:eastAsia="zh-CN"/>
        </w:rPr>
        <w:t>，办公室位于厂区南侧</w:t>
      </w:r>
      <w:r>
        <w:rPr>
          <w:color w:val="auto"/>
          <w:sz w:val="24"/>
          <w:highlight w:val="none"/>
        </w:rPr>
        <w:t>，厂区内</w:t>
      </w:r>
      <w:r>
        <w:rPr>
          <w:rFonts w:hint="eastAsia"/>
          <w:color w:val="auto"/>
          <w:sz w:val="24"/>
          <w:highlight w:val="none"/>
          <w:lang w:eastAsia="zh-CN"/>
        </w:rPr>
        <w:t>北侧为</w:t>
      </w:r>
      <w:r>
        <w:rPr>
          <w:rFonts w:hint="eastAsia"/>
          <w:color w:val="auto"/>
          <w:sz w:val="24"/>
          <w:highlight w:val="none"/>
          <w:lang w:val="en-US" w:eastAsia="zh-CN"/>
        </w:rPr>
        <w:t>8栋鸡舍</w:t>
      </w:r>
      <w:r>
        <w:rPr>
          <w:rFonts w:hint="eastAsia"/>
          <w:color w:val="auto"/>
          <w:sz w:val="24"/>
          <w:highlight w:val="none"/>
        </w:rPr>
        <w:t>，</w:t>
      </w:r>
      <w:r>
        <w:rPr>
          <w:rFonts w:hint="eastAsia"/>
          <w:color w:val="auto"/>
          <w:sz w:val="24"/>
          <w:highlight w:val="none"/>
          <w:lang w:eastAsia="zh-CN"/>
        </w:rPr>
        <w:t>每栋鸡舍西侧端头为</w:t>
      </w:r>
      <w:r>
        <w:rPr>
          <w:rFonts w:hint="eastAsia"/>
          <w:color w:val="auto"/>
          <w:sz w:val="24"/>
          <w:highlight w:val="none"/>
          <w:lang w:val="en-US" w:eastAsia="zh-CN"/>
        </w:rPr>
        <w:t>1座废水收集池</w:t>
      </w:r>
      <w:r>
        <w:rPr>
          <w:color w:val="auto"/>
          <w:sz w:val="24"/>
          <w:highlight w:val="none"/>
        </w:rPr>
        <w:t>，</w:t>
      </w:r>
      <w:r>
        <w:rPr>
          <w:rFonts w:hint="eastAsia"/>
          <w:color w:val="auto"/>
          <w:sz w:val="24"/>
          <w:highlight w:val="none"/>
          <w:lang w:eastAsia="zh-CN"/>
        </w:rPr>
        <w:t>厂区</w:t>
      </w:r>
      <w:r>
        <w:rPr>
          <w:rFonts w:hint="eastAsia"/>
          <w:color w:val="auto"/>
          <w:sz w:val="24"/>
          <w:highlight w:val="none"/>
        </w:rPr>
        <w:t>北侧</w:t>
      </w:r>
      <w:r>
        <w:rPr>
          <w:rFonts w:hint="eastAsia"/>
          <w:color w:val="auto"/>
          <w:sz w:val="24"/>
          <w:highlight w:val="none"/>
          <w:lang w:eastAsia="zh-CN"/>
        </w:rPr>
        <w:t>临时储粪场</w:t>
      </w:r>
      <w:r>
        <w:rPr>
          <w:rFonts w:hint="eastAsia"/>
          <w:color w:val="auto"/>
          <w:sz w:val="24"/>
          <w:highlight w:val="none"/>
          <w:lang w:val="en-US" w:eastAsia="zh-CN"/>
        </w:rPr>
        <w:t>和水塔</w:t>
      </w:r>
      <w:r>
        <w:rPr>
          <w:rFonts w:hint="eastAsia"/>
          <w:color w:val="auto"/>
          <w:sz w:val="24"/>
          <w:highlight w:val="none"/>
        </w:rPr>
        <w:t>，</w:t>
      </w:r>
      <w:r>
        <w:rPr>
          <w:rFonts w:hint="eastAsia"/>
          <w:color w:val="auto"/>
          <w:sz w:val="24"/>
          <w:highlight w:val="none"/>
          <w:lang w:eastAsia="zh-CN"/>
        </w:rPr>
        <w:t>蛋库和发电机房位于鸡舍东侧，水塔及设备用房位于厂区东侧</w:t>
      </w:r>
      <w:r>
        <w:rPr>
          <w:color w:val="auto"/>
          <w:sz w:val="24"/>
          <w:highlight w:val="none"/>
        </w:rPr>
        <w:t>。</w:t>
      </w:r>
      <w:r>
        <w:rPr>
          <w:color w:val="auto"/>
          <w:sz w:val="24"/>
        </w:rPr>
        <w:t>符合《畜禽养殖业污染防治技术规范》（HJ/T81-2001）的规定。</w:t>
      </w:r>
    </w:p>
    <w:p w14:paraId="2A429B43">
      <w:pPr>
        <w:pStyle w:val="16"/>
        <w:spacing w:line="360" w:lineRule="auto"/>
        <w:ind w:firstLine="480" w:firstLineChars="200"/>
        <w:rPr>
          <w:color w:val="auto"/>
          <w:sz w:val="24"/>
        </w:rPr>
      </w:pPr>
      <w:r>
        <w:rPr>
          <w:color w:val="auto"/>
          <w:sz w:val="24"/>
        </w:rPr>
        <w:t>项目所在区域常年主导风向为西南风，项目生活区位于养殖区的</w:t>
      </w:r>
      <w:r>
        <w:rPr>
          <w:rFonts w:hint="eastAsia"/>
          <w:color w:val="auto"/>
          <w:sz w:val="24"/>
          <w:lang w:eastAsia="zh-CN"/>
        </w:rPr>
        <w:t>上</w:t>
      </w:r>
      <w:r>
        <w:rPr>
          <w:color w:val="auto"/>
          <w:sz w:val="24"/>
        </w:rPr>
        <w:t>风向，治污区位于生活办公区的</w:t>
      </w:r>
      <w:r>
        <w:rPr>
          <w:rFonts w:hint="eastAsia"/>
          <w:color w:val="auto"/>
          <w:sz w:val="24"/>
          <w:lang w:eastAsia="zh-CN"/>
        </w:rPr>
        <w:t>下</w:t>
      </w:r>
      <w:r>
        <w:rPr>
          <w:color w:val="auto"/>
          <w:sz w:val="24"/>
        </w:rPr>
        <w:t>风向，本次环评要求建设单位在场区空地及道路两旁加强绿化。</w:t>
      </w:r>
    </w:p>
    <w:p w14:paraId="5A716C6D">
      <w:pPr>
        <w:pStyle w:val="16"/>
        <w:spacing w:line="360" w:lineRule="auto"/>
        <w:ind w:firstLine="480" w:firstLineChars="200"/>
        <w:rPr>
          <w:color w:val="auto"/>
        </w:rPr>
      </w:pPr>
      <w:r>
        <w:rPr>
          <w:color w:val="auto"/>
          <w:sz w:val="24"/>
        </w:rPr>
        <w:t>本项目排水雨污分开，环评要求对厂区内地面进行硬化后单独设置明渠或暗渠将雨水单独排出场外。综上所述，项目总平面布置按照功能和工艺流程布局，生活区和生产区分开。从整体布局和环境影响上看，项目总平面布置从环保角度出发较为合理。厂区平面布置情况见</w:t>
      </w:r>
      <w:r>
        <w:rPr>
          <w:rFonts w:hint="eastAsia"/>
          <w:color w:val="auto"/>
          <w:sz w:val="24"/>
          <w:lang w:eastAsia="zh-CN"/>
        </w:rPr>
        <w:t>附图</w:t>
      </w:r>
      <w:r>
        <w:rPr>
          <w:color w:val="auto"/>
          <w:sz w:val="24"/>
          <w:highlight w:val="none"/>
        </w:rPr>
        <w:t>。</w:t>
      </w:r>
    </w:p>
    <w:p w14:paraId="475CE4A4">
      <w:pPr>
        <w:pStyle w:val="3"/>
        <w:jc w:val="both"/>
        <w:rPr>
          <w:rFonts w:eastAsia="宋体"/>
          <w:bCs/>
          <w:color w:val="auto"/>
          <w:szCs w:val="28"/>
          <w:highlight w:val="none"/>
        </w:rPr>
      </w:pPr>
      <w:bookmarkStart w:id="174" w:name="_Toc20824"/>
      <w:bookmarkStart w:id="175" w:name="_Toc27814"/>
      <w:bookmarkStart w:id="176" w:name="_Toc13204"/>
      <w:r>
        <w:rPr>
          <w:rFonts w:eastAsia="宋体"/>
          <w:bCs/>
          <w:color w:val="auto"/>
          <w:szCs w:val="28"/>
          <w:highlight w:val="none"/>
        </w:rPr>
        <w:t>3.</w:t>
      </w:r>
      <w:r>
        <w:rPr>
          <w:rFonts w:hint="eastAsia" w:eastAsia="宋体"/>
          <w:bCs/>
          <w:color w:val="auto"/>
          <w:szCs w:val="28"/>
          <w:highlight w:val="none"/>
        </w:rPr>
        <w:t>3</w:t>
      </w:r>
      <w:r>
        <w:rPr>
          <w:rFonts w:eastAsia="宋体"/>
          <w:color w:val="auto"/>
          <w:szCs w:val="28"/>
          <w:highlight w:val="none"/>
        </w:rPr>
        <w:t>工程分析</w:t>
      </w:r>
      <w:bookmarkEnd w:id="174"/>
      <w:bookmarkEnd w:id="175"/>
      <w:bookmarkEnd w:id="176"/>
    </w:p>
    <w:p w14:paraId="764B7237">
      <w:pPr>
        <w:pStyle w:val="4"/>
        <w:snapToGrid w:val="0"/>
        <w:spacing w:before="0"/>
        <w:rPr>
          <w:rFonts w:ascii="Times New Roman" w:hAnsi="Times New Roman" w:eastAsia="宋体"/>
          <w:bCs/>
          <w:color w:val="auto"/>
          <w:sz w:val="28"/>
          <w:szCs w:val="28"/>
          <w:highlight w:val="none"/>
        </w:rPr>
      </w:pPr>
      <w:bookmarkStart w:id="177" w:name="_Toc479754830"/>
      <w:bookmarkStart w:id="178" w:name="_Toc24921"/>
      <w:r>
        <w:rPr>
          <w:rFonts w:ascii="Times New Roman" w:hAnsi="Times New Roman" w:eastAsia="宋体"/>
          <w:bCs/>
          <w:color w:val="auto"/>
          <w:sz w:val="28"/>
          <w:szCs w:val="28"/>
          <w:highlight w:val="none"/>
        </w:rPr>
        <w:t>3.</w:t>
      </w:r>
      <w:r>
        <w:rPr>
          <w:rFonts w:hint="eastAsia" w:ascii="Times New Roman" w:hAnsi="Times New Roman" w:eastAsia="宋体"/>
          <w:bCs/>
          <w:color w:val="auto"/>
          <w:sz w:val="28"/>
          <w:szCs w:val="28"/>
          <w:highlight w:val="none"/>
        </w:rPr>
        <w:t>3</w:t>
      </w:r>
      <w:r>
        <w:rPr>
          <w:rFonts w:ascii="Times New Roman" w:hAnsi="Times New Roman" w:eastAsia="宋体"/>
          <w:bCs/>
          <w:color w:val="auto"/>
          <w:sz w:val="28"/>
          <w:szCs w:val="28"/>
          <w:highlight w:val="none"/>
        </w:rPr>
        <w:t>.1施工期工艺</w:t>
      </w:r>
      <w:bookmarkEnd w:id="177"/>
      <w:bookmarkEnd w:id="178"/>
    </w:p>
    <w:p w14:paraId="006CDA1C">
      <w:pPr>
        <w:spacing w:line="360" w:lineRule="auto"/>
        <w:ind w:right="97" w:rightChars="46" w:firstLine="480" w:firstLineChars="200"/>
        <w:rPr>
          <w:color w:val="auto"/>
          <w:sz w:val="24"/>
        </w:rPr>
      </w:pPr>
      <w:r>
        <w:rPr>
          <w:color w:val="auto"/>
          <w:sz w:val="24"/>
        </w:rPr>
        <w:t>本项目主体工程均采用砖混墙体、彩钢屋顶的结构，施工工艺流程及污染节点：见图</w:t>
      </w:r>
      <w:r>
        <w:rPr>
          <w:rFonts w:hint="eastAsia"/>
          <w:color w:val="auto"/>
          <w:sz w:val="24"/>
          <w:lang w:val="en-US" w:eastAsia="zh-CN"/>
        </w:rPr>
        <w:t>3.3-1</w:t>
      </w:r>
      <w:r>
        <w:rPr>
          <w:color w:val="auto"/>
          <w:sz w:val="24"/>
        </w:rPr>
        <w:t>。</w:t>
      </w:r>
    </w:p>
    <w:p w14:paraId="246AD44C">
      <w:pPr>
        <w:spacing w:line="360" w:lineRule="auto"/>
        <w:ind w:right="97" w:rightChars="46"/>
        <w:jc w:val="center"/>
        <w:rPr>
          <w:b/>
          <w:color w:val="auto"/>
          <w:sz w:val="24"/>
        </w:rPr>
      </w:pPr>
      <w:r>
        <w:rPr>
          <w:color w:val="auto"/>
        </w:rPr>
        <mc:AlternateContent>
          <mc:Choice Requires="wpg">
            <w:drawing>
              <wp:anchor distT="0" distB="0" distL="114300" distR="114300" simplePos="0" relativeHeight="251665408" behindDoc="0" locked="0" layoutInCell="1" allowOverlap="1">
                <wp:simplePos x="0" y="0"/>
                <wp:positionH relativeFrom="column">
                  <wp:posOffset>93980</wp:posOffset>
                </wp:positionH>
                <wp:positionV relativeFrom="paragraph">
                  <wp:posOffset>-16510</wp:posOffset>
                </wp:positionV>
                <wp:extent cx="5241290" cy="1598295"/>
                <wp:effectExtent l="0" t="0" r="0" b="21590"/>
                <wp:wrapNone/>
                <wp:docPr id="120" name="组合 1602"/>
                <wp:cNvGraphicFramePr/>
                <a:graphic xmlns:a="http://schemas.openxmlformats.org/drawingml/2006/main">
                  <a:graphicData uri="http://schemas.microsoft.com/office/word/2010/wordprocessingGroup">
                    <wpg:wgp>
                      <wpg:cNvGrpSpPr/>
                      <wpg:grpSpPr>
                        <a:xfrm>
                          <a:off x="0" y="0"/>
                          <a:ext cx="5241290" cy="1598295"/>
                          <a:chOff x="1870" y="8623"/>
                          <a:chExt cx="8254" cy="2517"/>
                        </a:xfrm>
                      </wpg:grpSpPr>
                      <wps:wsp>
                        <wps:cNvPr id="92" name="自选图形 1574"/>
                        <wps:cNvSpPr/>
                        <wps:spPr>
                          <a:xfrm>
                            <a:off x="1892" y="9232"/>
                            <a:ext cx="1064" cy="330"/>
                          </a:xfrm>
                          <a:prstGeom prst="roundRect">
                            <a:avLst>
                              <a:gd name="adj" fmla="val 16667"/>
                            </a:avLst>
                          </a:prstGeom>
                          <a:noFill/>
                          <a:ln w="15875" cap="flat" cmpd="sng">
                            <a:solidFill>
                              <a:srgbClr val="000000"/>
                            </a:solidFill>
                            <a:prstDash val="solid"/>
                            <a:headEnd type="none" w="med" len="med"/>
                            <a:tailEnd type="none" w="med" len="med"/>
                          </a:ln>
                        </wps:spPr>
                        <wps:txbx>
                          <w:txbxContent>
                            <w:p w14:paraId="608C7497">
                              <w:pPr>
                                <w:jc w:val="center"/>
                              </w:pPr>
                              <w:r>
                                <w:rPr>
                                  <w:rFonts w:hint="eastAsia"/>
                                </w:rPr>
                                <w:t>平整土地</w:t>
                              </w:r>
                            </w:p>
                            <w:p w14:paraId="0484A5B6"/>
                          </w:txbxContent>
                        </wps:txbx>
                        <wps:bodyPr wrap="square" lIns="0" tIns="0" rIns="0" bIns="0" upright="1"/>
                      </wps:wsp>
                      <wps:wsp>
                        <wps:cNvPr id="93" name="直线 1575"/>
                        <wps:cNvCnPr/>
                        <wps:spPr>
                          <a:xfrm>
                            <a:off x="2942" y="9352"/>
                            <a:ext cx="554" cy="0"/>
                          </a:xfrm>
                          <a:prstGeom prst="line">
                            <a:avLst/>
                          </a:prstGeom>
                          <a:ln w="9525" cap="flat" cmpd="sng">
                            <a:solidFill>
                              <a:srgbClr val="000000"/>
                            </a:solidFill>
                            <a:prstDash val="solid"/>
                            <a:headEnd type="none" w="med" len="med"/>
                            <a:tailEnd type="triangle" w="med" len="med"/>
                          </a:ln>
                        </wps:spPr>
                        <wps:bodyPr/>
                      </wps:wsp>
                      <wps:wsp>
                        <wps:cNvPr id="94" name="自选图形 1576"/>
                        <wps:cNvSpPr/>
                        <wps:spPr>
                          <a:xfrm>
                            <a:off x="3516" y="9238"/>
                            <a:ext cx="1064" cy="330"/>
                          </a:xfrm>
                          <a:prstGeom prst="roundRect">
                            <a:avLst>
                              <a:gd name="adj" fmla="val 16667"/>
                            </a:avLst>
                          </a:prstGeom>
                          <a:noFill/>
                          <a:ln w="15875" cap="flat" cmpd="sng">
                            <a:solidFill>
                              <a:srgbClr val="000000"/>
                            </a:solidFill>
                            <a:prstDash val="solid"/>
                            <a:headEnd type="none" w="med" len="med"/>
                            <a:tailEnd type="none" w="med" len="med"/>
                          </a:ln>
                        </wps:spPr>
                        <wps:txbx>
                          <w:txbxContent>
                            <w:p w14:paraId="7D23957D">
                              <w:pPr>
                                <w:jc w:val="center"/>
                              </w:pPr>
                              <w:r>
                                <w:rPr>
                                  <w:rFonts w:hint="eastAsia"/>
                                </w:rPr>
                                <w:t>土方工程</w:t>
                              </w:r>
                            </w:p>
                            <w:p w14:paraId="339D4E82"/>
                          </w:txbxContent>
                        </wps:txbx>
                        <wps:bodyPr wrap="square" lIns="0" tIns="0" rIns="0" bIns="0" upright="1"/>
                      </wps:wsp>
                      <wps:wsp>
                        <wps:cNvPr id="95" name="自选图形 1577"/>
                        <wps:cNvSpPr/>
                        <wps:spPr>
                          <a:xfrm>
                            <a:off x="1896" y="8662"/>
                            <a:ext cx="1064" cy="330"/>
                          </a:xfrm>
                          <a:prstGeom prst="roundRect">
                            <a:avLst>
                              <a:gd name="adj" fmla="val 16667"/>
                            </a:avLst>
                          </a:prstGeom>
                          <a:noFill/>
                          <a:ln w="15875">
                            <a:noFill/>
                          </a:ln>
                        </wps:spPr>
                        <wps:txbx>
                          <w:txbxContent>
                            <w:p w14:paraId="29AA0EA4">
                              <w:pPr>
                                <w:jc w:val="center"/>
                              </w:pPr>
                              <w:r>
                                <w:rPr>
                                  <w:rFonts w:hint="eastAsia"/>
                                </w:rPr>
                                <w:t>扬尘、噪声</w:t>
                              </w:r>
                            </w:p>
                            <w:p w14:paraId="444EEDBD"/>
                          </w:txbxContent>
                        </wps:txbx>
                        <wps:bodyPr wrap="square" lIns="0" tIns="0" rIns="0" bIns="0" upright="1"/>
                      </wps:wsp>
                      <wps:wsp>
                        <wps:cNvPr id="96" name="直线 1578"/>
                        <wps:cNvCnPr/>
                        <wps:spPr>
                          <a:xfrm>
                            <a:off x="2405" y="9553"/>
                            <a:ext cx="0" cy="375"/>
                          </a:xfrm>
                          <a:prstGeom prst="line">
                            <a:avLst/>
                          </a:prstGeom>
                          <a:ln w="9525" cap="flat" cmpd="sng">
                            <a:solidFill>
                              <a:srgbClr val="000000"/>
                            </a:solidFill>
                            <a:prstDash val="dash"/>
                            <a:headEnd type="none" w="med" len="med"/>
                            <a:tailEnd type="triangle" w="med" len="med"/>
                          </a:ln>
                        </wps:spPr>
                        <wps:bodyPr/>
                      </wps:wsp>
                      <wps:wsp>
                        <wps:cNvPr id="97" name="自选图形 1579"/>
                        <wps:cNvSpPr/>
                        <wps:spPr>
                          <a:xfrm>
                            <a:off x="1870" y="9931"/>
                            <a:ext cx="1064" cy="330"/>
                          </a:xfrm>
                          <a:prstGeom prst="roundRect">
                            <a:avLst>
                              <a:gd name="adj" fmla="val 16667"/>
                            </a:avLst>
                          </a:prstGeom>
                          <a:noFill/>
                          <a:ln w="15875">
                            <a:noFill/>
                          </a:ln>
                        </wps:spPr>
                        <wps:txbx>
                          <w:txbxContent>
                            <w:p w14:paraId="0603DFED">
                              <w:pPr>
                                <w:jc w:val="center"/>
                              </w:pPr>
                              <w:r>
                                <w:rPr>
                                  <w:rFonts w:hint="eastAsia"/>
                                </w:rPr>
                                <w:t>建筑垃圾</w:t>
                              </w:r>
                            </w:p>
                            <w:p w14:paraId="60D6FB1B"/>
                          </w:txbxContent>
                        </wps:txbx>
                        <wps:bodyPr wrap="square" lIns="0" tIns="0" rIns="0" bIns="0" upright="1"/>
                      </wps:wsp>
                      <wps:wsp>
                        <wps:cNvPr id="98" name="直线 1580"/>
                        <wps:cNvCnPr/>
                        <wps:spPr>
                          <a:xfrm flipV="1">
                            <a:off x="4054" y="8923"/>
                            <a:ext cx="0" cy="315"/>
                          </a:xfrm>
                          <a:prstGeom prst="line">
                            <a:avLst/>
                          </a:prstGeom>
                          <a:ln w="9525" cap="flat" cmpd="sng">
                            <a:solidFill>
                              <a:srgbClr val="000000"/>
                            </a:solidFill>
                            <a:prstDash val="dash"/>
                            <a:headEnd type="none" w="med" len="med"/>
                            <a:tailEnd type="triangle" w="med" len="med"/>
                          </a:ln>
                        </wps:spPr>
                        <wps:bodyPr/>
                      </wps:wsp>
                      <wps:wsp>
                        <wps:cNvPr id="99" name="自选图形 1581"/>
                        <wps:cNvSpPr/>
                        <wps:spPr>
                          <a:xfrm>
                            <a:off x="3534" y="8677"/>
                            <a:ext cx="1064" cy="330"/>
                          </a:xfrm>
                          <a:prstGeom prst="roundRect">
                            <a:avLst>
                              <a:gd name="adj" fmla="val 16667"/>
                            </a:avLst>
                          </a:prstGeom>
                          <a:noFill/>
                          <a:ln w="15875">
                            <a:noFill/>
                          </a:ln>
                        </wps:spPr>
                        <wps:txbx>
                          <w:txbxContent>
                            <w:p w14:paraId="2DA3A8E9">
                              <w:pPr>
                                <w:jc w:val="center"/>
                              </w:pPr>
                              <w:r>
                                <w:rPr>
                                  <w:rFonts w:hint="eastAsia"/>
                                </w:rPr>
                                <w:t>扬尘、噪声</w:t>
                              </w:r>
                            </w:p>
                            <w:p w14:paraId="270C29B0"/>
                          </w:txbxContent>
                        </wps:txbx>
                        <wps:bodyPr wrap="square" lIns="0" tIns="0" rIns="0" bIns="0" upright="1"/>
                      </wps:wsp>
                      <wps:wsp>
                        <wps:cNvPr id="100" name="直线 1582"/>
                        <wps:cNvCnPr/>
                        <wps:spPr>
                          <a:xfrm>
                            <a:off x="4042" y="9586"/>
                            <a:ext cx="0" cy="375"/>
                          </a:xfrm>
                          <a:prstGeom prst="line">
                            <a:avLst/>
                          </a:prstGeom>
                          <a:ln w="9525" cap="flat" cmpd="sng">
                            <a:solidFill>
                              <a:srgbClr val="000000"/>
                            </a:solidFill>
                            <a:prstDash val="dash"/>
                            <a:headEnd type="none" w="med" len="med"/>
                            <a:tailEnd type="triangle" w="med" len="med"/>
                          </a:ln>
                        </wps:spPr>
                        <wps:bodyPr/>
                      </wps:wsp>
                      <wps:wsp>
                        <wps:cNvPr id="101" name="自选图形 1583"/>
                        <wps:cNvSpPr/>
                        <wps:spPr>
                          <a:xfrm>
                            <a:off x="3506" y="9955"/>
                            <a:ext cx="1064" cy="330"/>
                          </a:xfrm>
                          <a:prstGeom prst="roundRect">
                            <a:avLst>
                              <a:gd name="adj" fmla="val 16667"/>
                            </a:avLst>
                          </a:prstGeom>
                          <a:noFill/>
                          <a:ln w="15875">
                            <a:noFill/>
                          </a:ln>
                        </wps:spPr>
                        <wps:txbx>
                          <w:txbxContent>
                            <w:p w14:paraId="0F2B9D81">
                              <w:pPr>
                                <w:jc w:val="center"/>
                              </w:pPr>
                              <w:r>
                                <w:rPr>
                                  <w:rFonts w:hint="eastAsia"/>
                                </w:rPr>
                                <w:t>建筑垃圾</w:t>
                              </w:r>
                            </w:p>
                            <w:p w14:paraId="284D67FA"/>
                          </w:txbxContent>
                        </wps:txbx>
                        <wps:bodyPr wrap="square" lIns="0" tIns="0" rIns="0" bIns="0" upright="1"/>
                      </wps:wsp>
                      <wps:wsp>
                        <wps:cNvPr id="102" name="直线 1584"/>
                        <wps:cNvCnPr/>
                        <wps:spPr>
                          <a:xfrm>
                            <a:off x="4608" y="9340"/>
                            <a:ext cx="554" cy="0"/>
                          </a:xfrm>
                          <a:prstGeom prst="line">
                            <a:avLst/>
                          </a:prstGeom>
                          <a:ln w="9525" cap="flat" cmpd="sng">
                            <a:solidFill>
                              <a:srgbClr val="000000"/>
                            </a:solidFill>
                            <a:prstDash val="solid"/>
                            <a:headEnd type="none" w="med" len="med"/>
                            <a:tailEnd type="triangle" w="med" len="med"/>
                          </a:ln>
                        </wps:spPr>
                        <wps:bodyPr/>
                      </wps:wsp>
                      <wps:wsp>
                        <wps:cNvPr id="103" name="自选图形 1585"/>
                        <wps:cNvSpPr/>
                        <wps:spPr>
                          <a:xfrm>
                            <a:off x="5216" y="9232"/>
                            <a:ext cx="1064" cy="330"/>
                          </a:xfrm>
                          <a:prstGeom prst="roundRect">
                            <a:avLst>
                              <a:gd name="adj" fmla="val 16667"/>
                            </a:avLst>
                          </a:prstGeom>
                          <a:noFill/>
                          <a:ln w="15875" cap="flat" cmpd="sng">
                            <a:solidFill>
                              <a:srgbClr val="000000"/>
                            </a:solidFill>
                            <a:prstDash val="solid"/>
                            <a:headEnd type="none" w="med" len="med"/>
                            <a:tailEnd type="none" w="med" len="med"/>
                          </a:ln>
                        </wps:spPr>
                        <wps:txbx>
                          <w:txbxContent>
                            <w:p w14:paraId="574EC114">
                              <w:pPr>
                                <w:jc w:val="center"/>
                              </w:pPr>
                              <w:r>
                                <w:rPr>
                                  <w:rFonts w:hint="eastAsia"/>
                                </w:rPr>
                                <w:t>基础工程</w:t>
                              </w:r>
                            </w:p>
                            <w:p w14:paraId="71AF6BD6"/>
                          </w:txbxContent>
                        </wps:txbx>
                        <wps:bodyPr wrap="square" lIns="0" tIns="0" rIns="0" bIns="0" upright="1"/>
                      </wps:wsp>
                      <wps:wsp>
                        <wps:cNvPr id="104" name="直线 1586"/>
                        <wps:cNvCnPr/>
                        <wps:spPr>
                          <a:xfrm flipV="1">
                            <a:off x="5724" y="8902"/>
                            <a:ext cx="0" cy="315"/>
                          </a:xfrm>
                          <a:prstGeom prst="line">
                            <a:avLst/>
                          </a:prstGeom>
                          <a:ln w="9525" cap="flat" cmpd="sng">
                            <a:solidFill>
                              <a:srgbClr val="000000"/>
                            </a:solidFill>
                            <a:prstDash val="dash"/>
                            <a:headEnd type="none" w="med" len="med"/>
                            <a:tailEnd type="triangle" w="med" len="med"/>
                          </a:ln>
                        </wps:spPr>
                        <wps:bodyPr/>
                      </wps:wsp>
                      <wps:wsp>
                        <wps:cNvPr id="105" name="自选图形 1587"/>
                        <wps:cNvSpPr/>
                        <wps:spPr>
                          <a:xfrm>
                            <a:off x="5174" y="8626"/>
                            <a:ext cx="1064" cy="330"/>
                          </a:xfrm>
                          <a:prstGeom prst="roundRect">
                            <a:avLst>
                              <a:gd name="adj" fmla="val 16667"/>
                            </a:avLst>
                          </a:prstGeom>
                          <a:noFill/>
                          <a:ln w="15875">
                            <a:noFill/>
                          </a:ln>
                        </wps:spPr>
                        <wps:txbx>
                          <w:txbxContent>
                            <w:p w14:paraId="2F21AA8E">
                              <w:pPr>
                                <w:jc w:val="center"/>
                              </w:pPr>
                              <w:r>
                                <w:rPr>
                                  <w:rFonts w:hint="eastAsia"/>
                                </w:rPr>
                                <w:t>扬尘、噪声</w:t>
                              </w:r>
                            </w:p>
                            <w:p w14:paraId="6415E7E5"/>
                          </w:txbxContent>
                        </wps:txbx>
                        <wps:bodyPr wrap="square" lIns="0" tIns="0" rIns="0" bIns="0" upright="1"/>
                      </wps:wsp>
                      <wps:wsp>
                        <wps:cNvPr id="106" name="直线 1588"/>
                        <wps:cNvCnPr/>
                        <wps:spPr>
                          <a:xfrm flipV="1">
                            <a:off x="9572" y="10432"/>
                            <a:ext cx="0" cy="375"/>
                          </a:xfrm>
                          <a:prstGeom prst="line">
                            <a:avLst/>
                          </a:prstGeom>
                          <a:ln w="9525" cap="flat" cmpd="sng">
                            <a:solidFill>
                              <a:srgbClr val="000000"/>
                            </a:solidFill>
                            <a:prstDash val="dash"/>
                            <a:headEnd type="none" w="med" len="med"/>
                            <a:tailEnd type="triangle" w="med" len="med"/>
                          </a:ln>
                        </wps:spPr>
                        <wps:bodyPr/>
                      </wps:wsp>
                      <wps:wsp>
                        <wps:cNvPr id="107" name="自选图形 1589"/>
                        <wps:cNvSpPr/>
                        <wps:spPr>
                          <a:xfrm>
                            <a:off x="9060" y="10150"/>
                            <a:ext cx="1064" cy="330"/>
                          </a:xfrm>
                          <a:prstGeom prst="roundRect">
                            <a:avLst>
                              <a:gd name="adj" fmla="val 16667"/>
                            </a:avLst>
                          </a:prstGeom>
                          <a:noFill/>
                          <a:ln w="15875">
                            <a:noFill/>
                          </a:ln>
                        </wps:spPr>
                        <wps:txbx>
                          <w:txbxContent>
                            <w:p w14:paraId="44520DCB">
                              <w:pPr>
                                <w:jc w:val="center"/>
                              </w:pPr>
                              <w:r>
                                <w:rPr>
                                  <w:rFonts w:hint="eastAsia"/>
                                </w:rPr>
                                <w:t>扬尘</w:t>
                              </w:r>
                            </w:p>
                            <w:p w14:paraId="631E5AB2"/>
                          </w:txbxContent>
                        </wps:txbx>
                        <wps:bodyPr wrap="square" lIns="0" tIns="0" rIns="0" bIns="0" upright="1"/>
                      </wps:wsp>
                      <wps:wsp>
                        <wps:cNvPr id="108" name="自选图形 1590"/>
                        <wps:cNvSpPr/>
                        <wps:spPr>
                          <a:xfrm>
                            <a:off x="6914" y="9238"/>
                            <a:ext cx="1064" cy="330"/>
                          </a:xfrm>
                          <a:prstGeom prst="roundRect">
                            <a:avLst>
                              <a:gd name="adj" fmla="val 16667"/>
                            </a:avLst>
                          </a:prstGeom>
                          <a:noFill/>
                          <a:ln w="15875" cap="flat" cmpd="sng">
                            <a:solidFill>
                              <a:srgbClr val="000000"/>
                            </a:solidFill>
                            <a:prstDash val="solid"/>
                            <a:headEnd type="none" w="med" len="med"/>
                            <a:tailEnd type="none" w="med" len="med"/>
                          </a:ln>
                        </wps:spPr>
                        <wps:txbx>
                          <w:txbxContent>
                            <w:p w14:paraId="2B2EB40F">
                              <w:pPr>
                                <w:jc w:val="center"/>
                              </w:pPr>
                              <w:r>
                                <w:rPr>
                                  <w:rFonts w:hint="eastAsia"/>
                                </w:rPr>
                                <w:t>主体工程</w:t>
                              </w:r>
                            </w:p>
                            <w:p w14:paraId="16B1A5C0"/>
                          </w:txbxContent>
                        </wps:txbx>
                        <wps:bodyPr wrap="square" lIns="0" tIns="0" rIns="0" bIns="0" upright="1"/>
                      </wps:wsp>
                      <wps:wsp>
                        <wps:cNvPr id="109" name="直线 1591"/>
                        <wps:cNvCnPr/>
                        <wps:spPr>
                          <a:xfrm>
                            <a:off x="6350" y="9328"/>
                            <a:ext cx="554" cy="0"/>
                          </a:xfrm>
                          <a:prstGeom prst="line">
                            <a:avLst/>
                          </a:prstGeom>
                          <a:ln w="9525" cap="flat" cmpd="sng">
                            <a:solidFill>
                              <a:srgbClr val="000000"/>
                            </a:solidFill>
                            <a:prstDash val="solid"/>
                            <a:headEnd type="none" w="med" len="med"/>
                            <a:tailEnd type="triangle" w="med" len="med"/>
                          </a:ln>
                        </wps:spPr>
                        <wps:bodyPr/>
                      </wps:wsp>
                      <wps:wsp>
                        <wps:cNvPr id="110" name="直线 1592"/>
                        <wps:cNvCnPr/>
                        <wps:spPr>
                          <a:xfrm flipV="1">
                            <a:off x="7424" y="8914"/>
                            <a:ext cx="0" cy="315"/>
                          </a:xfrm>
                          <a:prstGeom prst="line">
                            <a:avLst/>
                          </a:prstGeom>
                          <a:ln w="9525" cap="flat" cmpd="sng">
                            <a:solidFill>
                              <a:srgbClr val="000000"/>
                            </a:solidFill>
                            <a:prstDash val="dash"/>
                            <a:headEnd type="none" w="med" len="med"/>
                            <a:tailEnd type="triangle" w="med" len="med"/>
                          </a:ln>
                        </wps:spPr>
                        <wps:bodyPr/>
                      </wps:wsp>
                      <wps:wsp>
                        <wps:cNvPr id="111" name="自选图形 1593"/>
                        <wps:cNvSpPr/>
                        <wps:spPr>
                          <a:xfrm>
                            <a:off x="6916" y="8635"/>
                            <a:ext cx="1064" cy="330"/>
                          </a:xfrm>
                          <a:prstGeom prst="roundRect">
                            <a:avLst>
                              <a:gd name="adj" fmla="val 16667"/>
                            </a:avLst>
                          </a:prstGeom>
                          <a:noFill/>
                          <a:ln w="15875">
                            <a:noFill/>
                          </a:ln>
                        </wps:spPr>
                        <wps:txbx>
                          <w:txbxContent>
                            <w:p w14:paraId="244B4FBE">
                              <w:pPr>
                                <w:jc w:val="center"/>
                              </w:pPr>
                              <w:r>
                                <w:rPr>
                                  <w:rFonts w:hint="eastAsia"/>
                                </w:rPr>
                                <w:t>扬尘、噪声</w:t>
                              </w:r>
                            </w:p>
                            <w:p w14:paraId="00B9C331"/>
                          </w:txbxContent>
                        </wps:txbx>
                        <wps:bodyPr wrap="square" lIns="0" tIns="0" rIns="0" bIns="0" upright="1"/>
                      </wps:wsp>
                      <wps:wsp>
                        <wps:cNvPr id="112" name="直线 1594"/>
                        <wps:cNvCnPr/>
                        <wps:spPr>
                          <a:xfrm>
                            <a:off x="7440" y="9583"/>
                            <a:ext cx="0" cy="375"/>
                          </a:xfrm>
                          <a:prstGeom prst="line">
                            <a:avLst/>
                          </a:prstGeom>
                          <a:ln w="9525" cap="flat" cmpd="sng">
                            <a:solidFill>
                              <a:srgbClr val="000000"/>
                            </a:solidFill>
                            <a:prstDash val="dash"/>
                            <a:headEnd type="none" w="med" len="med"/>
                            <a:tailEnd type="triangle" w="med" len="med"/>
                          </a:ln>
                        </wps:spPr>
                        <wps:bodyPr/>
                      </wps:wsp>
                      <wps:wsp>
                        <wps:cNvPr id="113" name="自选图形 1595"/>
                        <wps:cNvSpPr/>
                        <wps:spPr>
                          <a:xfrm>
                            <a:off x="6722" y="9982"/>
                            <a:ext cx="1484" cy="330"/>
                          </a:xfrm>
                          <a:prstGeom prst="roundRect">
                            <a:avLst>
                              <a:gd name="adj" fmla="val 16667"/>
                            </a:avLst>
                          </a:prstGeom>
                          <a:noFill/>
                          <a:ln w="15875">
                            <a:noFill/>
                          </a:ln>
                        </wps:spPr>
                        <wps:txbx>
                          <w:txbxContent>
                            <w:p w14:paraId="3AFDBB67">
                              <w:pPr>
                                <w:jc w:val="center"/>
                              </w:pPr>
                              <w:r>
                                <w:rPr>
                                  <w:rFonts w:hint="eastAsia"/>
                                </w:rPr>
                                <w:t>废水、建筑垃圾</w:t>
                              </w:r>
                            </w:p>
                            <w:p w14:paraId="73C009C6"/>
                          </w:txbxContent>
                        </wps:txbx>
                        <wps:bodyPr wrap="square" lIns="0" tIns="0" rIns="0" bIns="0" upright="1"/>
                      </wps:wsp>
                      <wps:wsp>
                        <wps:cNvPr id="114" name="直线 1596"/>
                        <wps:cNvCnPr/>
                        <wps:spPr>
                          <a:xfrm>
                            <a:off x="8032" y="9301"/>
                            <a:ext cx="554" cy="0"/>
                          </a:xfrm>
                          <a:prstGeom prst="line">
                            <a:avLst/>
                          </a:prstGeom>
                          <a:ln w="9525" cap="flat" cmpd="sng">
                            <a:solidFill>
                              <a:srgbClr val="000000"/>
                            </a:solidFill>
                            <a:prstDash val="solid"/>
                            <a:headEnd type="none" w="med" len="med"/>
                            <a:tailEnd type="triangle" w="med" len="med"/>
                          </a:ln>
                        </wps:spPr>
                        <wps:bodyPr/>
                      </wps:wsp>
                      <wps:wsp>
                        <wps:cNvPr id="115" name="自选图形 1597"/>
                        <wps:cNvSpPr/>
                        <wps:spPr>
                          <a:xfrm>
                            <a:off x="8614" y="9229"/>
                            <a:ext cx="1064" cy="330"/>
                          </a:xfrm>
                          <a:prstGeom prst="roundRect">
                            <a:avLst>
                              <a:gd name="adj" fmla="val 16667"/>
                            </a:avLst>
                          </a:prstGeom>
                          <a:noFill/>
                          <a:ln w="15875" cap="flat" cmpd="sng">
                            <a:solidFill>
                              <a:srgbClr val="000000"/>
                            </a:solidFill>
                            <a:prstDash val="solid"/>
                            <a:headEnd type="none" w="med" len="med"/>
                            <a:tailEnd type="none" w="med" len="med"/>
                          </a:ln>
                        </wps:spPr>
                        <wps:txbx>
                          <w:txbxContent>
                            <w:p w14:paraId="4DEEEDF8">
                              <w:pPr>
                                <w:jc w:val="center"/>
                              </w:pPr>
                              <w:r>
                                <w:rPr>
                                  <w:rFonts w:hint="eastAsia"/>
                                </w:rPr>
                                <w:t>安装设备</w:t>
                              </w:r>
                            </w:p>
                            <w:p w14:paraId="055C5D64"/>
                          </w:txbxContent>
                        </wps:txbx>
                        <wps:bodyPr wrap="square" lIns="0" tIns="0" rIns="0" bIns="0" upright="1"/>
                      </wps:wsp>
                      <wps:wsp>
                        <wps:cNvPr id="116" name="直线 1598"/>
                        <wps:cNvCnPr/>
                        <wps:spPr>
                          <a:xfrm flipV="1">
                            <a:off x="9078" y="8920"/>
                            <a:ext cx="0" cy="315"/>
                          </a:xfrm>
                          <a:prstGeom prst="line">
                            <a:avLst/>
                          </a:prstGeom>
                          <a:ln w="9525" cap="flat" cmpd="sng">
                            <a:solidFill>
                              <a:srgbClr val="000000"/>
                            </a:solidFill>
                            <a:prstDash val="dash"/>
                            <a:headEnd type="none" w="med" len="med"/>
                            <a:tailEnd type="triangle" w="med" len="med"/>
                          </a:ln>
                        </wps:spPr>
                        <wps:bodyPr/>
                      </wps:wsp>
                      <wps:wsp>
                        <wps:cNvPr id="117" name="自选图形 1599"/>
                        <wps:cNvSpPr/>
                        <wps:spPr>
                          <a:xfrm>
                            <a:off x="8538" y="8623"/>
                            <a:ext cx="1064" cy="330"/>
                          </a:xfrm>
                          <a:prstGeom prst="roundRect">
                            <a:avLst>
                              <a:gd name="adj" fmla="val 16667"/>
                            </a:avLst>
                          </a:prstGeom>
                          <a:noFill/>
                          <a:ln w="15875">
                            <a:noFill/>
                          </a:ln>
                        </wps:spPr>
                        <wps:txbx>
                          <w:txbxContent>
                            <w:p w14:paraId="76FE7DDE">
                              <w:pPr>
                                <w:jc w:val="center"/>
                              </w:pPr>
                              <w:r>
                                <w:rPr>
                                  <w:rFonts w:hint="eastAsia"/>
                                </w:rPr>
                                <w:t>噪声</w:t>
                              </w:r>
                            </w:p>
                            <w:p w14:paraId="645B3DC6"/>
                          </w:txbxContent>
                        </wps:txbx>
                        <wps:bodyPr wrap="square" lIns="0" tIns="0" rIns="0" bIns="0" upright="1"/>
                      </wps:wsp>
                      <wps:wsp>
                        <wps:cNvPr id="118" name="自选图形 1600"/>
                        <wps:cNvSpPr/>
                        <wps:spPr>
                          <a:xfrm>
                            <a:off x="8386" y="10810"/>
                            <a:ext cx="1604" cy="330"/>
                          </a:xfrm>
                          <a:prstGeom prst="roundRect">
                            <a:avLst>
                              <a:gd name="adj" fmla="val 16667"/>
                            </a:avLst>
                          </a:prstGeom>
                          <a:noFill/>
                          <a:ln w="15875" cap="flat" cmpd="sng">
                            <a:solidFill>
                              <a:srgbClr val="000000"/>
                            </a:solidFill>
                            <a:prstDash val="solid"/>
                            <a:headEnd type="none" w="med" len="med"/>
                            <a:tailEnd type="none" w="med" len="med"/>
                          </a:ln>
                        </wps:spPr>
                        <wps:txbx>
                          <w:txbxContent>
                            <w:p w14:paraId="5B91219F">
                              <w:pPr>
                                <w:jc w:val="center"/>
                              </w:pPr>
                              <w:r>
                                <w:rPr>
                                  <w:rFonts w:hint="eastAsia"/>
                                </w:rPr>
                                <w:t>地面覆盖、绿化</w:t>
                              </w:r>
                            </w:p>
                            <w:p w14:paraId="001F9486"/>
                          </w:txbxContent>
                        </wps:txbx>
                        <wps:bodyPr wrap="square" lIns="0" tIns="0" rIns="0" bIns="0" upright="1"/>
                      </wps:wsp>
                      <wps:wsp>
                        <wps:cNvPr id="119" name="直线 1601"/>
                        <wps:cNvCnPr/>
                        <wps:spPr>
                          <a:xfrm>
                            <a:off x="9156" y="9569"/>
                            <a:ext cx="0" cy="1245"/>
                          </a:xfrm>
                          <a:prstGeom prst="line">
                            <a:avLst/>
                          </a:prstGeom>
                          <a:ln w="9525" cap="flat" cmpd="sng">
                            <a:solidFill>
                              <a:srgbClr val="000000"/>
                            </a:solidFill>
                            <a:prstDash val="solid"/>
                            <a:headEnd type="none" w="med" len="med"/>
                            <a:tailEnd type="triangle" w="med" len="med"/>
                          </a:ln>
                        </wps:spPr>
                        <wps:bodyPr/>
                      </wps:wsp>
                    </wpg:wgp>
                  </a:graphicData>
                </a:graphic>
              </wp:anchor>
            </w:drawing>
          </mc:Choice>
          <mc:Fallback>
            <w:pict>
              <v:group id="组合 1602" o:spid="_x0000_s1026" o:spt="203" style="position:absolute;left:0pt;margin-left:7.4pt;margin-top:-1.3pt;height:125.85pt;width:412.7pt;z-index:251665408;mso-width-relative:page;mso-height-relative:page;" coordorigin="1870,8623" coordsize="8254,2517" o:gfxdata="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">
                <o:lock v:ext="edit" aspectratio="f"/>
                <v:roundrect id="自选图形 1574" o:spid="_x0000_s1026" o:spt="2" style="position:absolute;left:1892;top:9232;height:330;width:1064;" filled="f" stroked="t" coordsize="21600,21600" arcsize="0.166666666666667" o:gfxdata="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j6uNi8AAAA&#10;2wAAAA8AAAAAAAAAAQAgAAAAIgAAAGRycy9kb3ducmV2LnhtbFBLAQIUABQAAAAIAIdO4kAzLwWe&#10;OwAAADkAAAAQAAAAAAAAAAEAIAAAAAsBAABkcnMvc2hhcGV4bWwueG1sUEsFBgAAAAAGAAYAWwEA&#10;ALUDAAAAAA==&#10;">
                  <v:fill on="f" focussize="0,0"/>
                  <v:stroke weight="1.25pt" color="#000000" joinstyle="round"/>
                  <v:imagedata o:title=""/>
                  <o:lock v:ext="edit" aspectratio="f"/>
                  <v:textbox inset="0mm,0mm,0mm,0mm">
                    <w:txbxContent>
                      <w:p w14:paraId="608C7497">
                        <w:pPr>
                          <w:jc w:val="center"/>
                        </w:pPr>
                        <w:r>
                          <w:rPr>
                            <w:rFonts w:hint="eastAsia"/>
                          </w:rPr>
                          <w:t>平整土地</w:t>
                        </w:r>
                      </w:p>
                      <w:p w14:paraId="0484A5B6"/>
                    </w:txbxContent>
                  </v:textbox>
                </v:roundrect>
                <v:line id="直线 1575" o:spid="_x0000_s1026" o:spt="20" style="position:absolute;left:2942;top:9352;height:0;width:554;" filled="f" stroked="t" coordsize="21600,21600" o:gfxdata="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SoYY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oundrect id="自选图形 1576" o:spid="_x0000_s1026" o:spt="2" style="position:absolute;left:3516;top:9238;height:330;width:1064;" filled="f" stroked="t" coordsize="21600,21600" arcsize="0.166666666666667" o:gfxdata="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F+FN74A&#10;AADbAAAADwAAAAAAAAABACAAAAAiAAAAZHJzL2Rvd25yZXYueG1sUEsBAhQAFAAAAAgAh07iQDMv&#10;BZ47AAAAOQAAABAAAAAAAAAAAQAgAAAADQEAAGRycy9zaGFwZXhtbC54bWxQSwUGAAAAAAYABgBb&#10;AQAAtwMAAAAA&#10;">
                  <v:fill on="f" focussize="0,0"/>
                  <v:stroke weight="1.25pt" color="#000000" joinstyle="round"/>
                  <v:imagedata o:title=""/>
                  <o:lock v:ext="edit" aspectratio="f"/>
                  <v:textbox inset="0mm,0mm,0mm,0mm">
                    <w:txbxContent>
                      <w:p w14:paraId="7D23957D">
                        <w:pPr>
                          <w:jc w:val="center"/>
                        </w:pPr>
                        <w:r>
                          <w:rPr>
                            <w:rFonts w:hint="eastAsia"/>
                          </w:rPr>
                          <w:t>土方工程</w:t>
                        </w:r>
                      </w:p>
                      <w:p w14:paraId="339D4E82"/>
                    </w:txbxContent>
                  </v:textbox>
                </v:roundrect>
                <v:roundrect id="自选图形 1577" o:spid="_x0000_s1026" o:spt="2" style="position:absolute;left:1896;top:8662;height:330;width:1064;" filled="f" stroked="f" coordsize="21600,21600" arcsize="0.166666666666667" o:gfxdata="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HjLpi/&#10;AAAA2wAAAA8AAAAAAAAAAQAgAAAAIgAAAGRycy9kb3ducmV2LnhtbFBLAQIUABQAAAAIAIdO4kAz&#10;LwWeOwAAADkAAAAQAAAAAAAAAAEAIAAAAA4BAABkcnMvc2hhcGV4bWwueG1sUEsFBgAAAAAGAAYA&#10;WwEAALgDAAAAAA==&#10;">
                  <v:fill on="f" focussize="0,0"/>
                  <v:stroke on="f" weight="1.25pt"/>
                  <v:imagedata o:title=""/>
                  <o:lock v:ext="edit" aspectratio="f"/>
                  <v:textbox inset="0mm,0mm,0mm,0mm">
                    <w:txbxContent>
                      <w:p w14:paraId="29AA0EA4">
                        <w:pPr>
                          <w:jc w:val="center"/>
                        </w:pPr>
                        <w:r>
                          <w:rPr>
                            <w:rFonts w:hint="eastAsia"/>
                          </w:rPr>
                          <w:t>扬尘、噪声</w:t>
                        </w:r>
                      </w:p>
                      <w:p w14:paraId="444EEDBD"/>
                    </w:txbxContent>
                  </v:textbox>
                </v:roundrect>
                <v:line id="直线 1578" o:spid="_x0000_s1026" o:spt="20" style="position:absolute;left:2405;top:9553;height:375;width:0;" filled="f" stroked="t" coordsize="21600,21600" o:gfxdata="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7wb3E&#10;wAAAANs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roundrect id="自选图形 1579" o:spid="_x0000_s1026" o:spt="2" style="position:absolute;left:1870;top:9931;height:330;width:1064;" filled="f" stroked="f" coordsize="21600,21600" arcsize="0.166666666666667" o:gfxdata="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fRV0&#10;wAAAANsAAAAPAAAAAAAAAAEAIAAAACIAAABkcnMvZG93bnJldi54bWxQSwECFAAUAAAACACHTuJA&#10;My8FnjsAAAA5AAAAEAAAAAAAAAABACAAAAAPAQAAZHJzL3NoYXBleG1sLnhtbFBLBQYAAAAABgAG&#10;AFsBAAC5AwAAAAA=&#10;">
                  <v:fill on="f" focussize="0,0"/>
                  <v:stroke on="f" weight="1.25pt"/>
                  <v:imagedata o:title=""/>
                  <o:lock v:ext="edit" aspectratio="f"/>
                  <v:textbox inset="0mm,0mm,0mm,0mm">
                    <w:txbxContent>
                      <w:p w14:paraId="0603DFED">
                        <w:pPr>
                          <w:jc w:val="center"/>
                        </w:pPr>
                        <w:r>
                          <w:rPr>
                            <w:rFonts w:hint="eastAsia"/>
                          </w:rPr>
                          <w:t>建筑垃圾</w:t>
                        </w:r>
                      </w:p>
                      <w:p w14:paraId="60D6FB1B"/>
                    </w:txbxContent>
                  </v:textbox>
                </v:roundrect>
                <v:line id="直线 1580" o:spid="_x0000_s1026" o:spt="20" style="position:absolute;left:4054;top:8923;flip:y;height:315;width:0;" filled="f" stroked="t" coordsize="21600,21600" o:gfxdata="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54cp2tAAAANsAAAAPAAAA&#10;AAAAAAEAIAAAACIAAABkcnMvZG93bnJldi54bWxQSwECFAAUAAAACACHTuJAMy8FnjsAAAA5AAAA&#10;EAAAAAAAAAABACAAAAADAQAAZHJzL3NoYXBleG1sLnhtbFBLBQYAAAAABgAGAFsBAACtAwAAAAA=&#10;">
                  <v:fill on="f" focussize="0,0"/>
                  <v:stroke color="#000000" joinstyle="round" dashstyle="dash" endarrow="block"/>
                  <v:imagedata o:title=""/>
                  <o:lock v:ext="edit" aspectratio="f"/>
                </v:line>
                <v:roundrect id="自选图形 1581" o:spid="_x0000_s1026" o:spt="2" style="position:absolute;left:3534;top:8677;height:330;width:1064;" filled="f" stroked="f" coordsize="21600,21600" arcsize="0.166666666666667" o:gfxdata="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riSd&#10;wAAAANsAAAAPAAAAAAAAAAEAIAAAACIAAABkcnMvZG93bnJldi54bWxQSwECFAAUAAAACACHTuJA&#10;My8FnjsAAAA5AAAAEAAAAAAAAAABACAAAAAPAQAAZHJzL3NoYXBleG1sLnhtbFBLBQYAAAAABgAG&#10;AFsBAAC5AwAAAAA=&#10;">
                  <v:fill on="f" focussize="0,0"/>
                  <v:stroke on="f" weight="1.25pt"/>
                  <v:imagedata o:title=""/>
                  <o:lock v:ext="edit" aspectratio="f"/>
                  <v:textbox inset="0mm,0mm,0mm,0mm">
                    <w:txbxContent>
                      <w:p w14:paraId="2DA3A8E9">
                        <w:pPr>
                          <w:jc w:val="center"/>
                        </w:pPr>
                        <w:r>
                          <w:rPr>
                            <w:rFonts w:hint="eastAsia"/>
                          </w:rPr>
                          <w:t>扬尘、噪声</w:t>
                        </w:r>
                      </w:p>
                      <w:p w14:paraId="270C29B0"/>
                    </w:txbxContent>
                  </v:textbox>
                </v:roundrect>
                <v:line id="直线 1582" o:spid="_x0000_s1026" o:spt="20" style="position:absolute;left:4042;top:9586;height:375;width:0;" filled="f" stroked="t" coordsize="21600,21600" o:gfxdata="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UyU&#10;1sEAAADcAAAADwAAAAAAAAABACAAAAAiAAAAZHJzL2Rvd25yZXYueG1sUEsBAhQAFAAAAAgAh07i&#10;QDMvBZ47AAAAOQAAABAAAAAAAAAAAQAgAAAAEAEAAGRycy9zaGFwZXhtbC54bWxQSwUGAAAAAAYA&#10;BgBbAQAAugMAAAAA&#10;">
                  <v:fill on="f" focussize="0,0"/>
                  <v:stroke color="#000000" joinstyle="round" dashstyle="dash" endarrow="block"/>
                  <v:imagedata o:title=""/>
                  <o:lock v:ext="edit" aspectratio="f"/>
                </v:line>
                <v:roundrect id="自选图形 1583" o:spid="_x0000_s1026" o:spt="2" style="position:absolute;left:3506;top:9955;height:330;width:1064;" filled="f" stroked="f" coordsize="21600,21600" arcsize="0.166666666666667" o:gfxdata="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CarNr4A&#10;AADcAAAADwAAAAAAAAABACAAAAAiAAAAZHJzL2Rvd25yZXYueG1sUEsBAhQAFAAAAAgAh07iQDMv&#10;BZ47AAAAOQAAABAAAAAAAAAAAQAgAAAADQEAAGRycy9zaGFwZXhtbC54bWxQSwUGAAAAAAYABgBb&#10;AQAAtwMAAAAA&#10;">
                  <v:fill on="f" focussize="0,0"/>
                  <v:stroke on="f" weight="1.25pt"/>
                  <v:imagedata o:title=""/>
                  <o:lock v:ext="edit" aspectratio="f"/>
                  <v:textbox inset="0mm,0mm,0mm,0mm">
                    <w:txbxContent>
                      <w:p w14:paraId="0F2B9D81">
                        <w:pPr>
                          <w:jc w:val="center"/>
                        </w:pPr>
                        <w:r>
                          <w:rPr>
                            <w:rFonts w:hint="eastAsia"/>
                          </w:rPr>
                          <w:t>建筑垃圾</w:t>
                        </w:r>
                      </w:p>
                      <w:p w14:paraId="284D67FA"/>
                    </w:txbxContent>
                  </v:textbox>
                </v:roundrect>
                <v:line id="直线 1584" o:spid="_x0000_s1026" o:spt="20" style="position:absolute;left:4608;top:9340;height:0;width:554;" filled="f" stroked="t" coordsize="21600,21600" o:gfxdata="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I8Va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oundrect id="自选图形 1585" o:spid="_x0000_s1026" o:spt="2" style="position:absolute;left:5216;top:9232;height:330;width:1064;" filled="f" stroked="t" coordsize="21600,21600" arcsize="0.166666666666667" o:gfxdata="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iMeFbsAAADc&#10;AAAADwAAAAAAAAABACAAAAAiAAAAZHJzL2Rvd25yZXYueG1sUEsBAhQAFAAAAAgAh07iQDMvBZ47&#10;AAAAOQAAABAAAAAAAAAAAQAgAAAACgEAAGRycy9zaGFwZXhtbC54bWxQSwUGAAAAAAYABgBbAQAA&#10;tAMAAAAA&#10;">
                  <v:fill on="f" focussize="0,0"/>
                  <v:stroke weight="1.25pt" color="#000000" joinstyle="round"/>
                  <v:imagedata o:title=""/>
                  <o:lock v:ext="edit" aspectratio="f"/>
                  <v:textbox inset="0mm,0mm,0mm,0mm">
                    <w:txbxContent>
                      <w:p w14:paraId="574EC114">
                        <w:pPr>
                          <w:jc w:val="center"/>
                        </w:pPr>
                        <w:r>
                          <w:rPr>
                            <w:rFonts w:hint="eastAsia"/>
                          </w:rPr>
                          <w:t>基础工程</w:t>
                        </w:r>
                      </w:p>
                      <w:p w14:paraId="71AF6BD6"/>
                    </w:txbxContent>
                  </v:textbox>
                </v:roundrect>
                <v:line id="直线 1586" o:spid="_x0000_s1026" o:spt="20" style="position:absolute;left:5724;top:8902;flip:y;height:315;width:0;" filled="f" stroked="t" coordsize="21600,21600" o:gfxdata="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7m3IwbUAAADcAAAADwAA&#10;AAAAAAABACAAAAAiAAAAZHJzL2Rvd25yZXYueG1sUEsBAhQAFAAAAAgAh07iQDMvBZ47AAAAOQAA&#10;ABAAAAAAAAAAAQAgAAAABAEAAGRycy9zaGFwZXhtbC54bWxQSwUGAAAAAAYABgBbAQAArgMAAAAA&#10;">
                  <v:fill on="f" focussize="0,0"/>
                  <v:stroke color="#000000" joinstyle="round" dashstyle="dash" endarrow="block"/>
                  <v:imagedata o:title=""/>
                  <o:lock v:ext="edit" aspectratio="f"/>
                </v:line>
                <v:roundrect id="自选图形 1587" o:spid="_x0000_s1026" o:spt="2" style="position:absolute;left:5174;top:8626;height:330;width:1064;" filled="f" stroked="f" coordsize="21600,21600" arcsize="0.166666666666667" o:gfxdata="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Ha01vQAA&#10;ANwAAAAPAAAAAAAAAAEAIAAAACIAAABkcnMvZG93bnJldi54bWxQSwECFAAUAAAACACHTuJAMy8F&#10;njsAAAA5AAAAEAAAAAAAAAABACAAAAAMAQAAZHJzL3NoYXBleG1sLnhtbFBLBQYAAAAABgAGAFsB&#10;AAC2AwAAAAA=&#10;">
                  <v:fill on="f" focussize="0,0"/>
                  <v:stroke on="f" weight="1.25pt"/>
                  <v:imagedata o:title=""/>
                  <o:lock v:ext="edit" aspectratio="f"/>
                  <v:textbox inset="0mm,0mm,0mm,0mm">
                    <w:txbxContent>
                      <w:p w14:paraId="2F21AA8E">
                        <w:pPr>
                          <w:jc w:val="center"/>
                        </w:pPr>
                        <w:r>
                          <w:rPr>
                            <w:rFonts w:hint="eastAsia"/>
                          </w:rPr>
                          <w:t>扬尘、噪声</w:t>
                        </w:r>
                      </w:p>
                      <w:p w14:paraId="6415E7E5"/>
                    </w:txbxContent>
                  </v:textbox>
                </v:roundrect>
                <v:line id="直线 1588" o:spid="_x0000_s1026" o:spt="20" style="position:absolute;left:9572;top:10432;flip:y;height:375;width:0;" filled="f" stroked="t" coordsize="21600,21600" o:gfxdata="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cfPzLbUAAADcAAAADwAA&#10;AAAAAAABACAAAAAiAAAAZHJzL2Rvd25yZXYueG1sUEsBAhQAFAAAAAgAh07iQDMvBZ47AAAAOQAA&#10;ABAAAAAAAAAAAQAgAAAABAEAAGRycy9zaGFwZXhtbC54bWxQSwUGAAAAAAYABgBbAQAArgMAAAAA&#10;">
                  <v:fill on="f" focussize="0,0"/>
                  <v:stroke color="#000000" joinstyle="round" dashstyle="dash" endarrow="block"/>
                  <v:imagedata o:title=""/>
                  <o:lock v:ext="edit" aspectratio="f"/>
                </v:line>
                <v:roundrect id="自选图形 1589" o:spid="_x0000_s1026" o:spt="2" style="position:absolute;left:9060;top:10150;height:330;width:1064;" filled="f" stroked="f" coordsize="21600,21600" arcsize="0.166666666666667" o:gfxdata="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OW2b4A&#10;AADcAAAADwAAAAAAAAABACAAAAAiAAAAZHJzL2Rvd25yZXYueG1sUEsBAhQAFAAAAAgAh07iQDMv&#10;BZ47AAAAOQAAABAAAAAAAAAAAQAgAAAADQEAAGRycy9zaGFwZXhtbC54bWxQSwUGAAAAAAYABgBb&#10;AQAAtwMAAAAA&#10;">
                  <v:fill on="f" focussize="0,0"/>
                  <v:stroke on="f" weight="1.25pt"/>
                  <v:imagedata o:title=""/>
                  <o:lock v:ext="edit" aspectratio="f"/>
                  <v:textbox inset="0mm,0mm,0mm,0mm">
                    <w:txbxContent>
                      <w:p w14:paraId="44520DCB">
                        <w:pPr>
                          <w:jc w:val="center"/>
                        </w:pPr>
                        <w:r>
                          <w:rPr>
                            <w:rFonts w:hint="eastAsia"/>
                          </w:rPr>
                          <w:t>扬尘</w:t>
                        </w:r>
                      </w:p>
                      <w:p w14:paraId="631E5AB2"/>
                    </w:txbxContent>
                  </v:textbox>
                </v:roundrect>
                <v:roundrect id="自选图形 1590" o:spid="_x0000_s1026" o:spt="2" style="position:absolute;left:6914;top:9238;height:330;width:1064;" filled="f" stroked="t" coordsize="21600,21600" arcsize="0.166666666666667" o:gfxdata="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IeMZL4A&#10;AADcAAAADwAAAAAAAAABACAAAAAiAAAAZHJzL2Rvd25yZXYueG1sUEsBAhQAFAAAAAgAh07iQDMv&#10;BZ47AAAAOQAAABAAAAAAAAAAAQAgAAAADQEAAGRycy9zaGFwZXhtbC54bWxQSwUGAAAAAAYABgBb&#10;AQAAtwMAAAAA&#10;">
                  <v:fill on="f" focussize="0,0"/>
                  <v:stroke weight="1.25pt" color="#000000" joinstyle="round"/>
                  <v:imagedata o:title=""/>
                  <o:lock v:ext="edit" aspectratio="f"/>
                  <v:textbox inset="0mm,0mm,0mm,0mm">
                    <w:txbxContent>
                      <w:p w14:paraId="2B2EB40F">
                        <w:pPr>
                          <w:jc w:val="center"/>
                        </w:pPr>
                        <w:r>
                          <w:rPr>
                            <w:rFonts w:hint="eastAsia"/>
                          </w:rPr>
                          <w:t>主体工程</w:t>
                        </w:r>
                      </w:p>
                      <w:p w14:paraId="16B1A5C0"/>
                    </w:txbxContent>
                  </v:textbox>
                </v:roundrect>
                <v:line id="直线 1591" o:spid="_x0000_s1026" o:spt="20" style="position:absolute;left:6350;top:9328;height:0;width:554;" filled="f" stroked="t" coordsize="21600,21600" o:gfxdata="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h1cr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1592" o:spid="_x0000_s1026" o:spt="20" style="position:absolute;left:7424;top:8914;flip:y;height:315;width:0;" filled="f" stroked="t" coordsize="21600,21600" o:gfxdata="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I9YH7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line>
                <v:roundrect id="自选图形 1593" o:spid="_x0000_s1026" o:spt="2" style="position:absolute;left:6916;top:8635;height:330;width:1064;" filled="f" stroked="f" coordsize="21600,21600" arcsize="0.166666666666667" o:gfxdata="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f89674A&#10;AADcAAAADwAAAAAAAAABACAAAAAiAAAAZHJzL2Rvd25yZXYueG1sUEsBAhQAFAAAAAgAh07iQDMv&#10;BZ47AAAAOQAAABAAAAAAAAAAAQAgAAAADQEAAGRycy9zaGFwZXhtbC54bWxQSwUGAAAAAAYABgBb&#10;AQAAtwMAAAAA&#10;">
                  <v:fill on="f" focussize="0,0"/>
                  <v:stroke on="f" weight="1.25pt"/>
                  <v:imagedata o:title=""/>
                  <o:lock v:ext="edit" aspectratio="f"/>
                  <v:textbox inset="0mm,0mm,0mm,0mm">
                    <w:txbxContent>
                      <w:p w14:paraId="244B4FBE">
                        <w:pPr>
                          <w:jc w:val="center"/>
                        </w:pPr>
                        <w:r>
                          <w:rPr>
                            <w:rFonts w:hint="eastAsia"/>
                          </w:rPr>
                          <w:t>扬尘、噪声</w:t>
                        </w:r>
                      </w:p>
                      <w:p w14:paraId="00B9C331"/>
                    </w:txbxContent>
                  </v:textbox>
                </v:roundrect>
                <v:line id="直线 1594" o:spid="_x0000_s1026" o:spt="20" style="position:absolute;left:7440;top:9583;height:375;width:0;" filled="f" stroked="t" coordsize="21600,21600" o:gfxdata="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Cznn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roundrect id="自选图形 1595" o:spid="_x0000_s1026" o:spt="2" style="position:absolute;left:6722;top:9982;height:330;width:1484;" filled="f" stroked="f" coordsize="21600,21600" arcsize="0.166666666666667" o:gfxdata="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mEGB74A&#10;AADcAAAADwAAAAAAAAABACAAAAAiAAAAZHJzL2Rvd25yZXYueG1sUEsBAhQAFAAAAAgAh07iQDMv&#10;BZ47AAAAOQAAABAAAAAAAAAAAQAgAAAADQEAAGRycy9zaGFwZXhtbC54bWxQSwUGAAAAAAYABgBb&#10;AQAAtwMAAAAA&#10;">
                  <v:fill on="f" focussize="0,0"/>
                  <v:stroke on="f" weight="1.25pt"/>
                  <v:imagedata o:title=""/>
                  <o:lock v:ext="edit" aspectratio="f"/>
                  <v:textbox inset="0mm,0mm,0mm,0mm">
                    <w:txbxContent>
                      <w:p w14:paraId="3AFDBB67">
                        <w:pPr>
                          <w:jc w:val="center"/>
                        </w:pPr>
                        <w:r>
                          <w:rPr>
                            <w:rFonts w:hint="eastAsia"/>
                          </w:rPr>
                          <w:t>废水、建筑垃圾</w:t>
                        </w:r>
                      </w:p>
                      <w:p w14:paraId="73C009C6"/>
                    </w:txbxContent>
                  </v:textbox>
                </v:roundrect>
                <v:line id="直线 1596" o:spid="_x0000_s1026" o:spt="20" style="position:absolute;left:8032;top:9301;height:0;width:554;" filled="f" stroked="t" coordsize="21600,21600" o:gfxdata="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X25o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oundrect id="自选图形 1597" o:spid="_x0000_s1026" o:spt="2" style="position:absolute;left:8614;top:9229;height:330;width:1064;" filled="f" stroked="t" coordsize="21600,21600" arcsize="0.166666666666667" o:gfxdata="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1+1J7sAAADc&#10;AAAADwAAAAAAAAABACAAAAAiAAAAZHJzL2Rvd25yZXYueG1sUEsBAhQAFAAAAAgAh07iQDMvBZ47&#10;AAAAOQAAABAAAAAAAAAAAQAgAAAACgEAAGRycy9zaGFwZXhtbC54bWxQSwUGAAAAAAYABgBbAQAA&#10;tAMAAAAA&#10;">
                  <v:fill on="f" focussize="0,0"/>
                  <v:stroke weight="1.25pt" color="#000000" joinstyle="round"/>
                  <v:imagedata o:title=""/>
                  <o:lock v:ext="edit" aspectratio="f"/>
                  <v:textbox inset="0mm,0mm,0mm,0mm">
                    <w:txbxContent>
                      <w:p w14:paraId="4DEEEDF8">
                        <w:pPr>
                          <w:jc w:val="center"/>
                        </w:pPr>
                        <w:r>
                          <w:rPr>
                            <w:rFonts w:hint="eastAsia"/>
                          </w:rPr>
                          <w:t>安装设备</w:t>
                        </w:r>
                      </w:p>
                      <w:p w14:paraId="055C5D64"/>
                    </w:txbxContent>
                  </v:textbox>
                </v:roundrect>
                <v:line id="直线 1598" o:spid="_x0000_s1026" o:spt="20" style="position:absolute;left:9078;top:8920;flip:y;height:315;width:0;" filled="f" stroked="t" coordsize="21600,21600" o:gfxdata="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QqZfC5AAAA3A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roundrect id="自选图形 1599" o:spid="_x0000_s1026" o:spt="2" style="position:absolute;left:8538;top:8623;height:330;width:1064;" filled="f" stroked="f" coordsize="21600,21600" arcsize="0.166666666666667" o:gfxdata="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VoABL4A&#10;AADcAAAADwAAAAAAAAABACAAAAAiAAAAZHJzL2Rvd25yZXYueG1sUEsBAhQAFAAAAAgAh07iQDMv&#10;BZ47AAAAOQAAABAAAAAAAAAAAQAgAAAADQEAAGRycy9zaGFwZXhtbC54bWxQSwUGAAAAAAYABgBb&#10;AQAAtwMAAAAA&#10;">
                  <v:fill on="f" focussize="0,0"/>
                  <v:stroke on="f" weight="1.25pt"/>
                  <v:imagedata o:title=""/>
                  <o:lock v:ext="edit" aspectratio="f"/>
                  <v:textbox inset="0mm,0mm,0mm,0mm">
                    <w:txbxContent>
                      <w:p w14:paraId="76FE7DDE">
                        <w:pPr>
                          <w:jc w:val="center"/>
                        </w:pPr>
                        <w:r>
                          <w:rPr>
                            <w:rFonts w:hint="eastAsia"/>
                          </w:rPr>
                          <w:t>噪声</w:t>
                        </w:r>
                      </w:p>
                      <w:p w14:paraId="645B3DC6"/>
                    </w:txbxContent>
                  </v:textbox>
                </v:roundrect>
                <v:roundrect id="自选图形 1600" o:spid="_x0000_s1026" o:spt="2" style="position:absolute;left:8386;top:10810;height:330;width:1604;" filled="f" stroked="t" coordsize="21600,21600" arcsize="0.166666666666667" o:gfxdata="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V4aub4A&#10;AADcAAAADwAAAAAAAAABACAAAAAiAAAAZHJzL2Rvd25yZXYueG1sUEsBAhQAFAAAAAgAh07iQDMv&#10;BZ47AAAAOQAAABAAAAAAAAAAAQAgAAAADQEAAGRycy9zaGFwZXhtbC54bWxQSwUGAAAAAAYABgBb&#10;AQAAtwMAAAAA&#10;">
                  <v:fill on="f" focussize="0,0"/>
                  <v:stroke weight="1.25pt" color="#000000" joinstyle="round"/>
                  <v:imagedata o:title=""/>
                  <o:lock v:ext="edit" aspectratio="f"/>
                  <v:textbox inset="0mm,0mm,0mm,0mm">
                    <w:txbxContent>
                      <w:p w14:paraId="5B91219F">
                        <w:pPr>
                          <w:jc w:val="center"/>
                        </w:pPr>
                        <w:r>
                          <w:rPr>
                            <w:rFonts w:hint="eastAsia"/>
                          </w:rPr>
                          <w:t>地面覆盖、绿化</w:t>
                        </w:r>
                      </w:p>
                      <w:p w14:paraId="001F9486"/>
                    </w:txbxContent>
                  </v:textbox>
                </v:roundrect>
                <v:line id="直线 1601" o:spid="_x0000_s1026" o:spt="20" style="position:absolute;left:9156;top:9569;height:1245;width:0;" filled="f" stroked="t" coordsize="21600,21600" o:gfxdata="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XsH2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group>
            </w:pict>
          </mc:Fallback>
        </mc:AlternateContent>
      </w:r>
    </w:p>
    <w:p w14:paraId="1FF75546">
      <w:pPr>
        <w:pStyle w:val="16"/>
        <w:rPr>
          <w:b/>
          <w:color w:val="auto"/>
          <w:sz w:val="24"/>
        </w:rPr>
      </w:pPr>
    </w:p>
    <w:p w14:paraId="2988B2B4">
      <w:pPr>
        <w:rPr>
          <w:color w:val="auto"/>
        </w:rPr>
      </w:pPr>
    </w:p>
    <w:p w14:paraId="5BEF4B79">
      <w:pPr>
        <w:spacing w:line="360" w:lineRule="auto"/>
        <w:ind w:right="97" w:rightChars="46"/>
        <w:jc w:val="center"/>
        <w:rPr>
          <w:b/>
          <w:color w:val="auto"/>
          <w:sz w:val="24"/>
        </w:rPr>
      </w:pPr>
    </w:p>
    <w:p w14:paraId="5A0E9EAC">
      <w:pPr>
        <w:spacing w:line="360" w:lineRule="auto"/>
        <w:ind w:right="97" w:rightChars="46"/>
        <w:jc w:val="center"/>
        <w:rPr>
          <w:b/>
          <w:color w:val="auto"/>
          <w:sz w:val="24"/>
        </w:rPr>
      </w:pPr>
    </w:p>
    <w:p w14:paraId="49379FB0">
      <w:pPr>
        <w:spacing w:line="360" w:lineRule="auto"/>
        <w:ind w:right="97" w:rightChars="46"/>
        <w:jc w:val="center"/>
        <w:rPr>
          <w:b/>
          <w:color w:val="auto"/>
          <w:sz w:val="24"/>
        </w:rPr>
      </w:pPr>
    </w:p>
    <w:p w14:paraId="7E53D290">
      <w:pPr>
        <w:spacing w:line="360" w:lineRule="auto"/>
        <w:ind w:right="97" w:rightChars="46"/>
        <w:jc w:val="center"/>
        <w:rPr>
          <w:b/>
          <w:color w:val="auto"/>
          <w:sz w:val="24"/>
        </w:rPr>
      </w:pPr>
    </w:p>
    <w:p w14:paraId="28F701B5">
      <w:pPr>
        <w:spacing w:line="360" w:lineRule="auto"/>
        <w:ind w:right="97" w:rightChars="46"/>
        <w:jc w:val="center"/>
        <w:rPr>
          <w:color w:val="auto"/>
          <w:sz w:val="24"/>
        </w:rPr>
      </w:pPr>
      <w:r>
        <w:rPr>
          <w:b/>
          <w:color w:val="auto"/>
          <w:sz w:val="24"/>
        </w:rPr>
        <w:t>图</w:t>
      </w:r>
      <w:r>
        <w:rPr>
          <w:rFonts w:hint="eastAsia"/>
          <w:b/>
          <w:color w:val="auto"/>
          <w:sz w:val="24"/>
          <w:lang w:val="en-US" w:eastAsia="zh-CN"/>
        </w:rPr>
        <w:t>3.3-1</w:t>
      </w:r>
      <w:r>
        <w:rPr>
          <w:b/>
          <w:color w:val="auto"/>
          <w:sz w:val="24"/>
        </w:rPr>
        <w:t xml:space="preserve">  建筑施工工艺流程及污染节点</w:t>
      </w:r>
    </w:p>
    <w:p w14:paraId="06EF9A54">
      <w:pPr>
        <w:spacing w:line="360" w:lineRule="auto"/>
        <w:ind w:right="97" w:rightChars="46" w:firstLine="480" w:firstLineChars="200"/>
        <w:rPr>
          <w:color w:val="auto"/>
          <w:sz w:val="24"/>
        </w:rPr>
      </w:pPr>
      <w:r>
        <w:rPr>
          <w:color w:val="auto"/>
          <w:sz w:val="24"/>
        </w:rPr>
        <w:t>施工期工艺流程简述：</w:t>
      </w:r>
    </w:p>
    <w:p w14:paraId="6C707CA7">
      <w:pPr>
        <w:spacing w:line="360" w:lineRule="auto"/>
        <w:ind w:right="97" w:rightChars="46" w:firstLine="480" w:firstLineChars="200"/>
        <w:rPr>
          <w:color w:val="auto"/>
          <w:sz w:val="24"/>
        </w:rPr>
      </w:pPr>
      <w:r>
        <w:rPr>
          <w:color w:val="auto"/>
          <w:sz w:val="24"/>
        </w:rPr>
        <w:t>1）平整土地</w:t>
      </w:r>
    </w:p>
    <w:p w14:paraId="6419F2A8">
      <w:pPr>
        <w:spacing w:line="360" w:lineRule="auto"/>
        <w:ind w:right="97" w:rightChars="46" w:firstLine="480" w:firstLineChars="200"/>
        <w:rPr>
          <w:bCs/>
          <w:color w:val="auto"/>
          <w:sz w:val="24"/>
        </w:rPr>
      </w:pPr>
      <w:r>
        <w:rPr>
          <w:bCs/>
          <w:color w:val="auto"/>
          <w:sz w:val="24"/>
        </w:rPr>
        <w:t>通过对土地表层状况进行改造，场地存在较明显的土地不同位置的高差，以达到后续施工的要求，此过程产生扬尘。</w:t>
      </w:r>
    </w:p>
    <w:p w14:paraId="4ED40307">
      <w:pPr>
        <w:spacing w:line="360" w:lineRule="auto"/>
        <w:ind w:right="97" w:rightChars="46" w:firstLine="480" w:firstLineChars="200"/>
        <w:rPr>
          <w:color w:val="auto"/>
          <w:sz w:val="24"/>
        </w:rPr>
      </w:pPr>
      <w:r>
        <w:rPr>
          <w:color w:val="auto"/>
          <w:sz w:val="24"/>
        </w:rPr>
        <w:t>2）土方工程</w:t>
      </w:r>
    </w:p>
    <w:p w14:paraId="712EB0C8">
      <w:pPr>
        <w:spacing w:line="360" w:lineRule="auto"/>
        <w:ind w:right="97" w:rightChars="46" w:firstLine="480" w:firstLineChars="200"/>
        <w:rPr>
          <w:color w:val="auto"/>
          <w:sz w:val="24"/>
        </w:rPr>
      </w:pPr>
      <w:r>
        <w:rPr>
          <w:color w:val="auto"/>
          <w:sz w:val="24"/>
        </w:rPr>
        <w:t>土方工程主要为挖填土方、基础垫层等。</w:t>
      </w:r>
    </w:p>
    <w:p w14:paraId="652D8577">
      <w:pPr>
        <w:spacing w:line="360" w:lineRule="auto"/>
        <w:ind w:right="97" w:rightChars="46" w:firstLine="480" w:firstLineChars="200"/>
        <w:rPr>
          <w:color w:val="auto"/>
          <w:sz w:val="24"/>
        </w:rPr>
      </w:pPr>
      <w:r>
        <w:rPr>
          <w:color w:val="auto"/>
          <w:sz w:val="24"/>
        </w:rPr>
        <w:t>3）基础工程</w:t>
      </w:r>
    </w:p>
    <w:p w14:paraId="019E9581">
      <w:pPr>
        <w:spacing w:line="360" w:lineRule="auto"/>
        <w:ind w:right="97" w:rightChars="46" w:firstLine="480" w:firstLineChars="200"/>
        <w:rPr>
          <w:color w:val="auto"/>
          <w:sz w:val="24"/>
        </w:rPr>
      </w:pPr>
      <w:r>
        <w:rPr>
          <w:color w:val="auto"/>
          <w:sz w:val="24"/>
        </w:rPr>
        <w:t>基础是建造建筑物的关键，</w:t>
      </w:r>
      <w:r>
        <w:rPr>
          <w:rFonts w:hint="eastAsia"/>
          <w:color w:val="auto"/>
          <w:sz w:val="24"/>
          <w:lang w:eastAsia="zh-CN"/>
        </w:rPr>
        <w:t>本项目在建设临时储粪场、废水收集池及防渗旱厕时，应重点对建筑物的基础进行防腐防渗工程建设，在敷设土工膜及防渗膜过程时，必要时应开展环境监理工作，</w:t>
      </w:r>
      <w:r>
        <w:rPr>
          <w:color w:val="auto"/>
          <w:sz w:val="24"/>
        </w:rPr>
        <w:t>在基础工程过程中产生扬尘、噪声。</w:t>
      </w:r>
    </w:p>
    <w:p w14:paraId="065BC86B">
      <w:pPr>
        <w:spacing w:line="360" w:lineRule="auto"/>
        <w:ind w:right="97" w:rightChars="46" w:firstLine="480" w:firstLineChars="200"/>
        <w:rPr>
          <w:color w:val="auto"/>
          <w:sz w:val="24"/>
        </w:rPr>
      </w:pPr>
      <w:r>
        <w:rPr>
          <w:color w:val="auto"/>
          <w:sz w:val="24"/>
        </w:rPr>
        <w:t>4）墙体工程</w:t>
      </w:r>
    </w:p>
    <w:p w14:paraId="25F1AD02">
      <w:pPr>
        <w:spacing w:line="360" w:lineRule="auto"/>
        <w:ind w:right="97" w:rightChars="46" w:firstLine="480" w:firstLineChars="200"/>
        <w:rPr>
          <w:color w:val="auto"/>
          <w:sz w:val="24"/>
        </w:rPr>
      </w:pPr>
      <w:r>
        <w:rPr>
          <w:color w:val="auto"/>
          <w:sz w:val="24"/>
        </w:rPr>
        <w:t>主体建筑墙体采用砖混结构，施工过程中主要产生扬尘、废水、建筑垃圾和噪声。</w:t>
      </w:r>
    </w:p>
    <w:p w14:paraId="109EC638">
      <w:pPr>
        <w:spacing w:line="360" w:lineRule="auto"/>
        <w:ind w:right="97" w:rightChars="46" w:firstLine="480" w:firstLineChars="200"/>
        <w:rPr>
          <w:color w:val="auto"/>
          <w:sz w:val="24"/>
        </w:rPr>
      </w:pPr>
      <w:r>
        <w:rPr>
          <w:color w:val="auto"/>
          <w:sz w:val="24"/>
        </w:rPr>
        <w:t>5）彩钢顶</w:t>
      </w:r>
    </w:p>
    <w:p w14:paraId="3D6F9590">
      <w:pPr>
        <w:spacing w:line="360" w:lineRule="auto"/>
        <w:ind w:right="97" w:rightChars="46" w:firstLine="480" w:firstLineChars="200"/>
        <w:rPr>
          <w:color w:val="auto"/>
          <w:sz w:val="24"/>
        </w:rPr>
      </w:pPr>
      <w:r>
        <w:rPr>
          <w:color w:val="auto"/>
          <w:sz w:val="24"/>
        </w:rPr>
        <w:t>主体建筑房顶采用彩钢板，施工过程中主要产生建筑垃圾和噪声。</w:t>
      </w:r>
    </w:p>
    <w:p w14:paraId="07104DAE">
      <w:pPr>
        <w:spacing w:line="360" w:lineRule="auto"/>
        <w:ind w:right="97" w:rightChars="46" w:firstLine="480" w:firstLineChars="200"/>
        <w:rPr>
          <w:color w:val="auto"/>
          <w:sz w:val="24"/>
        </w:rPr>
      </w:pPr>
      <w:r>
        <w:rPr>
          <w:color w:val="auto"/>
          <w:sz w:val="24"/>
        </w:rPr>
        <w:t>6）设备安装</w:t>
      </w:r>
    </w:p>
    <w:p w14:paraId="055D8146">
      <w:pPr>
        <w:spacing w:line="360" w:lineRule="auto"/>
        <w:ind w:right="97" w:rightChars="46" w:firstLine="480" w:firstLineChars="200"/>
        <w:rPr>
          <w:color w:val="auto"/>
          <w:sz w:val="24"/>
        </w:rPr>
      </w:pPr>
      <w:r>
        <w:rPr>
          <w:color w:val="auto"/>
          <w:sz w:val="24"/>
        </w:rPr>
        <w:t>主体工程完工后，鸡舍内安装自动喂料等设备，此过程产生噪声。</w:t>
      </w:r>
    </w:p>
    <w:p w14:paraId="0D653BA2">
      <w:pPr>
        <w:spacing w:line="360" w:lineRule="auto"/>
        <w:ind w:right="97" w:rightChars="46" w:firstLine="480" w:firstLineChars="200"/>
        <w:rPr>
          <w:color w:val="auto"/>
          <w:sz w:val="24"/>
        </w:rPr>
      </w:pPr>
      <w:r>
        <w:rPr>
          <w:color w:val="auto"/>
          <w:sz w:val="24"/>
        </w:rPr>
        <w:t>7）地面覆盖</w:t>
      </w:r>
    </w:p>
    <w:p w14:paraId="42B8CD6C">
      <w:pPr>
        <w:spacing w:line="360" w:lineRule="auto"/>
        <w:ind w:right="97" w:rightChars="46" w:firstLine="480" w:firstLineChars="200"/>
        <w:rPr>
          <w:color w:val="auto"/>
          <w:sz w:val="24"/>
        </w:rPr>
      </w:pPr>
      <w:r>
        <w:rPr>
          <w:color w:val="auto"/>
          <w:sz w:val="24"/>
        </w:rPr>
        <w:t>主体工程结束后，地面覆盖，最后验收交工。</w:t>
      </w:r>
    </w:p>
    <w:p w14:paraId="23086F22">
      <w:pPr>
        <w:spacing w:line="360" w:lineRule="auto"/>
        <w:ind w:left="479" w:leftChars="228" w:right="97" w:rightChars="46"/>
        <w:rPr>
          <w:bCs/>
          <w:color w:val="auto"/>
          <w:sz w:val="24"/>
        </w:rPr>
      </w:pPr>
      <w:r>
        <w:rPr>
          <w:bCs/>
          <w:color w:val="auto"/>
          <w:sz w:val="24"/>
        </w:rPr>
        <w:t>施工期的粉尘、噪声等污染都是暂时性的，待施工结束后，可以得到消除。</w:t>
      </w:r>
      <w:r>
        <w:rPr>
          <w:rFonts w:hint="eastAsia"/>
          <w:bCs/>
          <w:color w:val="auto"/>
          <w:sz w:val="24"/>
        </w:rPr>
        <w:t>施工期建设项目污染因子见表</w:t>
      </w:r>
      <w:r>
        <w:rPr>
          <w:rFonts w:hint="eastAsia"/>
          <w:bCs/>
          <w:color w:val="auto"/>
          <w:sz w:val="24"/>
          <w:lang w:val="en-US" w:eastAsia="zh-CN"/>
        </w:rPr>
        <w:t>3.3-1</w:t>
      </w:r>
      <w:r>
        <w:rPr>
          <w:rFonts w:hint="eastAsia"/>
          <w:bCs/>
          <w:color w:val="auto"/>
          <w:sz w:val="24"/>
        </w:rPr>
        <w:t>。</w:t>
      </w:r>
    </w:p>
    <w:p w14:paraId="56BB4AE4">
      <w:pPr>
        <w:ind w:firstLine="422" w:firstLineChars="200"/>
        <w:jc w:val="center"/>
        <w:rPr>
          <w:b/>
          <w:color w:val="auto"/>
          <w:szCs w:val="21"/>
        </w:rPr>
      </w:pPr>
      <w:r>
        <w:rPr>
          <w:b/>
          <w:color w:val="auto"/>
          <w:szCs w:val="21"/>
        </w:rPr>
        <w:t>表</w:t>
      </w:r>
      <w:r>
        <w:rPr>
          <w:rFonts w:hint="eastAsia"/>
          <w:b/>
          <w:color w:val="auto"/>
          <w:szCs w:val="21"/>
          <w:lang w:val="en-US" w:eastAsia="zh-CN"/>
        </w:rPr>
        <w:t>3.3-1</w:t>
      </w:r>
      <w:r>
        <w:rPr>
          <w:b/>
          <w:color w:val="auto"/>
          <w:szCs w:val="21"/>
        </w:rPr>
        <w:t xml:space="preserve">    建设项目污染因子一览表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45"/>
        <w:gridCol w:w="845"/>
        <w:gridCol w:w="2652"/>
        <w:gridCol w:w="1791"/>
        <w:gridCol w:w="2179"/>
      </w:tblGrid>
      <w:tr w14:paraId="50AE651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tblHeader/>
          <w:jc w:val="center"/>
        </w:trPr>
        <w:tc>
          <w:tcPr>
            <w:tcW w:w="845" w:type="dxa"/>
            <w:vAlign w:val="center"/>
          </w:tcPr>
          <w:p w14:paraId="75F3DC06">
            <w:pPr>
              <w:tabs>
                <w:tab w:val="left" w:pos="3780"/>
              </w:tabs>
              <w:jc w:val="center"/>
              <w:rPr>
                <w:color w:val="auto"/>
                <w:szCs w:val="21"/>
              </w:rPr>
            </w:pPr>
            <w:r>
              <w:rPr>
                <w:color w:val="auto"/>
                <w:szCs w:val="21"/>
              </w:rPr>
              <w:t>工期</w:t>
            </w:r>
          </w:p>
        </w:tc>
        <w:tc>
          <w:tcPr>
            <w:tcW w:w="845" w:type="dxa"/>
            <w:vAlign w:val="center"/>
          </w:tcPr>
          <w:p w14:paraId="1433ED16">
            <w:pPr>
              <w:tabs>
                <w:tab w:val="left" w:pos="3780"/>
              </w:tabs>
              <w:jc w:val="center"/>
              <w:rPr>
                <w:color w:val="auto"/>
                <w:szCs w:val="21"/>
              </w:rPr>
            </w:pPr>
            <w:r>
              <w:rPr>
                <w:color w:val="auto"/>
                <w:szCs w:val="21"/>
              </w:rPr>
              <w:t>类别</w:t>
            </w:r>
          </w:p>
        </w:tc>
        <w:tc>
          <w:tcPr>
            <w:tcW w:w="2652" w:type="dxa"/>
            <w:vAlign w:val="center"/>
          </w:tcPr>
          <w:p w14:paraId="3A1284F7">
            <w:pPr>
              <w:tabs>
                <w:tab w:val="left" w:pos="3780"/>
              </w:tabs>
              <w:jc w:val="center"/>
              <w:rPr>
                <w:color w:val="auto"/>
                <w:szCs w:val="21"/>
              </w:rPr>
            </w:pPr>
            <w:r>
              <w:rPr>
                <w:color w:val="auto"/>
                <w:szCs w:val="21"/>
              </w:rPr>
              <w:t>污染产生节点</w:t>
            </w:r>
          </w:p>
        </w:tc>
        <w:tc>
          <w:tcPr>
            <w:tcW w:w="1791" w:type="dxa"/>
            <w:vAlign w:val="center"/>
          </w:tcPr>
          <w:p w14:paraId="15A3EA23">
            <w:pPr>
              <w:tabs>
                <w:tab w:val="left" w:pos="3780"/>
              </w:tabs>
              <w:jc w:val="center"/>
              <w:rPr>
                <w:color w:val="auto"/>
                <w:szCs w:val="21"/>
              </w:rPr>
            </w:pPr>
            <w:r>
              <w:rPr>
                <w:color w:val="auto"/>
                <w:szCs w:val="21"/>
              </w:rPr>
              <w:t>污染因子</w:t>
            </w:r>
          </w:p>
        </w:tc>
        <w:tc>
          <w:tcPr>
            <w:tcW w:w="2179" w:type="dxa"/>
            <w:vAlign w:val="center"/>
          </w:tcPr>
          <w:p w14:paraId="25581DA4">
            <w:pPr>
              <w:tabs>
                <w:tab w:val="left" w:pos="3780"/>
              </w:tabs>
              <w:jc w:val="center"/>
              <w:rPr>
                <w:color w:val="auto"/>
                <w:szCs w:val="21"/>
              </w:rPr>
            </w:pPr>
            <w:r>
              <w:rPr>
                <w:color w:val="auto"/>
                <w:szCs w:val="21"/>
              </w:rPr>
              <w:t>排放去向</w:t>
            </w:r>
          </w:p>
        </w:tc>
      </w:tr>
      <w:tr w14:paraId="4B49E1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45" w:type="dxa"/>
            <w:vMerge w:val="restart"/>
            <w:vAlign w:val="center"/>
          </w:tcPr>
          <w:p w14:paraId="4E9255D6">
            <w:pPr>
              <w:widowControl/>
              <w:tabs>
                <w:tab w:val="left" w:pos="3780"/>
              </w:tabs>
              <w:jc w:val="center"/>
              <w:rPr>
                <w:color w:val="auto"/>
                <w:szCs w:val="21"/>
              </w:rPr>
            </w:pPr>
            <w:r>
              <w:rPr>
                <w:color w:val="auto"/>
                <w:szCs w:val="21"/>
              </w:rPr>
              <w:t>施工期</w:t>
            </w:r>
          </w:p>
        </w:tc>
        <w:tc>
          <w:tcPr>
            <w:tcW w:w="845" w:type="dxa"/>
            <w:vAlign w:val="center"/>
          </w:tcPr>
          <w:p w14:paraId="278CF225">
            <w:pPr>
              <w:tabs>
                <w:tab w:val="left" w:pos="3780"/>
              </w:tabs>
              <w:jc w:val="center"/>
              <w:rPr>
                <w:color w:val="auto"/>
                <w:szCs w:val="21"/>
              </w:rPr>
            </w:pPr>
            <w:r>
              <w:rPr>
                <w:color w:val="auto"/>
                <w:szCs w:val="21"/>
              </w:rPr>
              <w:t>废气</w:t>
            </w:r>
          </w:p>
        </w:tc>
        <w:tc>
          <w:tcPr>
            <w:tcW w:w="2652" w:type="dxa"/>
            <w:vAlign w:val="center"/>
          </w:tcPr>
          <w:p w14:paraId="4D8AFA8F">
            <w:pPr>
              <w:ind w:firstLine="420" w:firstLineChars="200"/>
              <w:jc w:val="center"/>
              <w:rPr>
                <w:color w:val="auto"/>
                <w:szCs w:val="21"/>
              </w:rPr>
            </w:pPr>
            <w:r>
              <w:rPr>
                <w:color w:val="auto"/>
                <w:szCs w:val="21"/>
              </w:rPr>
              <w:t>地面开挖、回填扬尘</w:t>
            </w:r>
          </w:p>
        </w:tc>
        <w:tc>
          <w:tcPr>
            <w:tcW w:w="1791" w:type="dxa"/>
            <w:vAlign w:val="center"/>
          </w:tcPr>
          <w:p w14:paraId="4920B70F">
            <w:pPr>
              <w:jc w:val="center"/>
              <w:rPr>
                <w:color w:val="auto"/>
                <w:szCs w:val="21"/>
              </w:rPr>
            </w:pPr>
            <w:r>
              <w:rPr>
                <w:color w:val="auto"/>
                <w:szCs w:val="21"/>
              </w:rPr>
              <w:t>TSP</w:t>
            </w:r>
          </w:p>
        </w:tc>
        <w:tc>
          <w:tcPr>
            <w:tcW w:w="2179" w:type="dxa"/>
            <w:vAlign w:val="center"/>
          </w:tcPr>
          <w:p w14:paraId="4DD9717C">
            <w:pPr>
              <w:jc w:val="center"/>
              <w:rPr>
                <w:color w:val="auto"/>
                <w:szCs w:val="21"/>
              </w:rPr>
            </w:pPr>
            <w:r>
              <w:rPr>
                <w:color w:val="auto"/>
                <w:szCs w:val="21"/>
              </w:rPr>
              <w:t>无组织排放</w:t>
            </w:r>
          </w:p>
        </w:tc>
      </w:tr>
      <w:tr w14:paraId="6F1058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45" w:type="dxa"/>
            <w:vMerge w:val="continue"/>
            <w:vAlign w:val="center"/>
          </w:tcPr>
          <w:p w14:paraId="59EA8813">
            <w:pPr>
              <w:widowControl/>
              <w:jc w:val="left"/>
              <w:rPr>
                <w:color w:val="auto"/>
                <w:szCs w:val="21"/>
              </w:rPr>
            </w:pPr>
          </w:p>
        </w:tc>
        <w:tc>
          <w:tcPr>
            <w:tcW w:w="845" w:type="dxa"/>
            <w:vAlign w:val="center"/>
          </w:tcPr>
          <w:p w14:paraId="7C4EB801">
            <w:pPr>
              <w:tabs>
                <w:tab w:val="left" w:pos="3780"/>
              </w:tabs>
              <w:jc w:val="center"/>
              <w:rPr>
                <w:color w:val="auto"/>
                <w:szCs w:val="21"/>
              </w:rPr>
            </w:pPr>
            <w:r>
              <w:rPr>
                <w:color w:val="auto"/>
                <w:szCs w:val="21"/>
              </w:rPr>
              <w:t>废水</w:t>
            </w:r>
          </w:p>
        </w:tc>
        <w:tc>
          <w:tcPr>
            <w:tcW w:w="2652" w:type="dxa"/>
            <w:vAlign w:val="center"/>
          </w:tcPr>
          <w:p w14:paraId="15A6C921">
            <w:pPr>
              <w:jc w:val="center"/>
              <w:rPr>
                <w:color w:val="auto"/>
                <w:szCs w:val="21"/>
              </w:rPr>
            </w:pPr>
            <w:r>
              <w:rPr>
                <w:color w:val="auto"/>
                <w:szCs w:val="21"/>
              </w:rPr>
              <w:t>施工人员生活污水</w:t>
            </w:r>
          </w:p>
        </w:tc>
        <w:tc>
          <w:tcPr>
            <w:tcW w:w="1791" w:type="dxa"/>
            <w:vAlign w:val="center"/>
          </w:tcPr>
          <w:p w14:paraId="17B1C969">
            <w:pPr>
              <w:jc w:val="center"/>
              <w:rPr>
                <w:color w:val="auto"/>
                <w:szCs w:val="21"/>
              </w:rPr>
            </w:pPr>
            <w:r>
              <w:rPr>
                <w:color w:val="auto"/>
                <w:szCs w:val="21"/>
              </w:rPr>
              <w:t>COD</w:t>
            </w:r>
            <w:r>
              <w:rPr>
                <w:color w:val="auto"/>
                <w:szCs w:val="21"/>
                <w:vertAlign w:val="subscript"/>
              </w:rPr>
              <w:t>Cr</w:t>
            </w:r>
            <w:r>
              <w:rPr>
                <w:color w:val="auto"/>
                <w:szCs w:val="21"/>
              </w:rPr>
              <w:t>、SS、BOD</w:t>
            </w:r>
            <w:r>
              <w:rPr>
                <w:color w:val="auto"/>
                <w:szCs w:val="21"/>
                <w:vertAlign w:val="subscript"/>
              </w:rPr>
              <w:t>5</w:t>
            </w:r>
            <w:r>
              <w:rPr>
                <w:color w:val="auto"/>
                <w:szCs w:val="21"/>
              </w:rPr>
              <w:t>、</w:t>
            </w:r>
          </w:p>
          <w:p w14:paraId="46F1FEB5">
            <w:pPr>
              <w:jc w:val="center"/>
              <w:rPr>
                <w:color w:val="auto"/>
                <w:szCs w:val="21"/>
              </w:rPr>
            </w:pPr>
            <w:r>
              <w:rPr>
                <w:color w:val="auto"/>
                <w:szCs w:val="21"/>
              </w:rPr>
              <w:t>NH</w:t>
            </w:r>
            <w:r>
              <w:rPr>
                <w:color w:val="auto"/>
                <w:szCs w:val="21"/>
                <w:vertAlign w:val="subscript"/>
              </w:rPr>
              <w:t>3</w:t>
            </w:r>
            <w:r>
              <w:rPr>
                <w:color w:val="auto"/>
                <w:szCs w:val="21"/>
              </w:rPr>
              <w:t>-N等</w:t>
            </w:r>
          </w:p>
        </w:tc>
        <w:tc>
          <w:tcPr>
            <w:tcW w:w="2179" w:type="dxa"/>
            <w:vAlign w:val="center"/>
          </w:tcPr>
          <w:p w14:paraId="7EE9D968">
            <w:pPr>
              <w:jc w:val="center"/>
              <w:rPr>
                <w:color w:val="auto"/>
                <w:szCs w:val="21"/>
              </w:rPr>
            </w:pPr>
            <w:r>
              <w:rPr>
                <w:color w:val="auto"/>
                <w:szCs w:val="21"/>
              </w:rPr>
              <w:t>旱厕，环卫定期清掏</w:t>
            </w:r>
          </w:p>
        </w:tc>
      </w:tr>
      <w:tr w14:paraId="588A40E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45" w:type="dxa"/>
            <w:vMerge w:val="continue"/>
            <w:vAlign w:val="center"/>
          </w:tcPr>
          <w:p w14:paraId="1F9F066E">
            <w:pPr>
              <w:widowControl/>
              <w:jc w:val="left"/>
              <w:rPr>
                <w:color w:val="auto"/>
                <w:szCs w:val="21"/>
              </w:rPr>
            </w:pPr>
          </w:p>
        </w:tc>
        <w:tc>
          <w:tcPr>
            <w:tcW w:w="845" w:type="dxa"/>
            <w:vAlign w:val="center"/>
          </w:tcPr>
          <w:p w14:paraId="3CD09908">
            <w:pPr>
              <w:tabs>
                <w:tab w:val="left" w:pos="3780"/>
              </w:tabs>
              <w:jc w:val="center"/>
              <w:rPr>
                <w:color w:val="auto"/>
                <w:szCs w:val="21"/>
              </w:rPr>
            </w:pPr>
            <w:r>
              <w:rPr>
                <w:color w:val="auto"/>
                <w:szCs w:val="21"/>
              </w:rPr>
              <w:t>噪声</w:t>
            </w:r>
          </w:p>
        </w:tc>
        <w:tc>
          <w:tcPr>
            <w:tcW w:w="2652" w:type="dxa"/>
            <w:vAlign w:val="center"/>
          </w:tcPr>
          <w:p w14:paraId="53E6F4CA">
            <w:pPr>
              <w:jc w:val="center"/>
              <w:rPr>
                <w:color w:val="auto"/>
                <w:szCs w:val="21"/>
              </w:rPr>
            </w:pPr>
            <w:r>
              <w:rPr>
                <w:color w:val="auto"/>
                <w:szCs w:val="21"/>
              </w:rPr>
              <w:t>施工机械设备、运输车辆噪声</w:t>
            </w:r>
          </w:p>
        </w:tc>
        <w:tc>
          <w:tcPr>
            <w:tcW w:w="1791" w:type="dxa"/>
            <w:vAlign w:val="center"/>
          </w:tcPr>
          <w:p w14:paraId="1385D34B">
            <w:pPr>
              <w:jc w:val="center"/>
              <w:rPr>
                <w:color w:val="auto"/>
                <w:szCs w:val="21"/>
              </w:rPr>
            </w:pPr>
            <w:r>
              <w:rPr>
                <w:color w:val="auto"/>
                <w:szCs w:val="21"/>
              </w:rPr>
              <w:t>噪声</w:t>
            </w:r>
          </w:p>
        </w:tc>
        <w:tc>
          <w:tcPr>
            <w:tcW w:w="2179" w:type="dxa"/>
            <w:vAlign w:val="center"/>
          </w:tcPr>
          <w:p w14:paraId="3518778F">
            <w:pPr>
              <w:jc w:val="center"/>
              <w:rPr>
                <w:color w:val="auto"/>
                <w:szCs w:val="21"/>
              </w:rPr>
            </w:pPr>
            <w:r>
              <w:rPr>
                <w:color w:val="auto"/>
                <w:szCs w:val="21"/>
              </w:rPr>
              <w:t>减振降噪</w:t>
            </w:r>
          </w:p>
        </w:tc>
      </w:tr>
      <w:tr w14:paraId="7B4880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45" w:type="dxa"/>
            <w:vMerge w:val="continue"/>
            <w:vAlign w:val="center"/>
          </w:tcPr>
          <w:p w14:paraId="733293B3">
            <w:pPr>
              <w:widowControl/>
              <w:jc w:val="left"/>
              <w:rPr>
                <w:color w:val="auto"/>
                <w:szCs w:val="21"/>
              </w:rPr>
            </w:pPr>
          </w:p>
        </w:tc>
        <w:tc>
          <w:tcPr>
            <w:tcW w:w="845" w:type="dxa"/>
            <w:vAlign w:val="center"/>
          </w:tcPr>
          <w:p w14:paraId="077A108F">
            <w:pPr>
              <w:widowControl/>
              <w:tabs>
                <w:tab w:val="left" w:pos="3780"/>
              </w:tabs>
              <w:jc w:val="center"/>
              <w:rPr>
                <w:color w:val="auto"/>
                <w:szCs w:val="21"/>
              </w:rPr>
            </w:pPr>
            <w:r>
              <w:rPr>
                <w:color w:val="auto"/>
                <w:szCs w:val="21"/>
              </w:rPr>
              <w:t>固废</w:t>
            </w:r>
          </w:p>
        </w:tc>
        <w:tc>
          <w:tcPr>
            <w:tcW w:w="2652" w:type="dxa"/>
            <w:vAlign w:val="center"/>
          </w:tcPr>
          <w:p w14:paraId="3FD223F6">
            <w:pPr>
              <w:jc w:val="center"/>
              <w:rPr>
                <w:color w:val="auto"/>
                <w:szCs w:val="21"/>
              </w:rPr>
            </w:pPr>
            <w:r>
              <w:rPr>
                <w:color w:val="auto"/>
                <w:szCs w:val="21"/>
              </w:rPr>
              <w:t>小区基础施工</w:t>
            </w:r>
          </w:p>
        </w:tc>
        <w:tc>
          <w:tcPr>
            <w:tcW w:w="1791" w:type="dxa"/>
            <w:vAlign w:val="center"/>
          </w:tcPr>
          <w:p w14:paraId="044CD17A">
            <w:pPr>
              <w:jc w:val="center"/>
              <w:rPr>
                <w:color w:val="auto"/>
                <w:szCs w:val="21"/>
              </w:rPr>
            </w:pPr>
            <w:r>
              <w:rPr>
                <w:color w:val="auto"/>
                <w:szCs w:val="21"/>
              </w:rPr>
              <w:t>弃土、建筑垃圾、生活垃圾等</w:t>
            </w:r>
          </w:p>
        </w:tc>
        <w:tc>
          <w:tcPr>
            <w:tcW w:w="2179" w:type="dxa"/>
            <w:vAlign w:val="center"/>
          </w:tcPr>
          <w:p w14:paraId="1BD889F2">
            <w:pPr>
              <w:jc w:val="center"/>
              <w:rPr>
                <w:color w:val="auto"/>
                <w:szCs w:val="21"/>
              </w:rPr>
            </w:pPr>
            <w:r>
              <w:rPr>
                <w:color w:val="auto"/>
                <w:szCs w:val="21"/>
              </w:rPr>
              <w:t>弃土用于平整土地、生活垃圾由环卫部门清运</w:t>
            </w:r>
          </w:p>
        </w:tc>
      </w:tr>
    </w:tbl>
    <w:p w14:paraId="177F9715">
      <w:pPr>
        <w:pStyle w:val="4"/>
        <w:snapToGrid w:val="0"/>
        <w:spacing w:before="0"/>
        <w:rPr>
          <w:rFonts w:ascii="Times New Roman" w:hAnsi="Times New Roman" w:eastAsia="宋体"/>
          <w:bCs/>
          <w:color w:val="auto"/>
          <w:sz w:val="28"/>
          <w:szCs w:val="28"/>
        </w:rPr>
      </w:pPr>
      <w:bookmarkStart w:id="179" w:name="_Toc479754831"/>
      <w:bookmarkStart w:id="180" w:name="_Toc1392"/>
      <w:r>
        <w:rPr>
          <w:rFonts w:ascii="Times New Roman" w:hAnsi="Times New Roman" w:eastAsia="宋体"/>
          <w:bCs/>
          <w:color w:val="auto"/>
          <w:sz w:val="28"/>
          <w:szCs w:val="28"/>
        </w:rPr>
        <w:t>3.</w:t>
      </w:r>
      <w:r>
        <w:rPr>
          <w:rFonts w:hint="eastAsia" w:ascii="Times New Roman" w:hAnsi="Times New Roman" w:eastAsia="宋体"/>
          <w:bCs/>
          <w:color w:val="auto"/>
          <w:sz w:val="28"/>
          <w:szCs w:val="28"/>
        </w:rPr>
        <w:t>3</w:t>
      </w:r>
      <w:r>
        <w:rPr>
          <w:rFonts w:ascii="Times New Roman" w:hAnsi="Times New Roman" w:eastAsia="宋体"/>
          <w:bCs/>
          <w:color w:val="auto"/>
          <w:sz w:val="28"/>
          <w:szCs w:val="28"/>
        </w:rPr>
        <w:t>.2运营期工艺</w:t>
      </w:r>
      <w:bookmarkEnd w:id="179"/>
      <w:bookmarkEnd w:id="180"/>
    </w:p>
    <w:p w14:paraId="583FBD62">
      <w:pPr>
        <w:spacing w:line="360" w:lineRule="auto"/>
        <w:rPr>
          <w:rFonts w:hint="eastAsia"/>
          <w:b/>
          <w:bCs/>
          <w:color w:val="auto"/>
          <w:sz w:val="24"/>
          <w:lang w:eastAsia="zh-CN"/>
        </w:rPr>
      </w:pPr>
      <w:r>
        <w:rPr>
          <w:rFonts w:hint="eastAsia"/>
          <w:b/>
          <w:bCs/>
          <w:color w:val="auto"/>
          <w:sz w:val="24"/>
          <w:lang w:val="en-US" w:eastAsia="zh-CN"/>
        </w:rPr>
        <w:t>3.3.2.1</w:t>
      </w:r>
      <w:r>
        <w:rPr>
          <w:rFonts w:hint="eastAsia"/>
          <w:b/>
          <w:bCs/>
          <w:color w:val="auto"/>
          <w:sz w:val="24"/>
        </w:rPr>
        <w:t>蛋鸡养殖工艺流程</w:t>
      </w:r>
      <w:r>
        <w:rPr>
          <w:rFonts w:hint="eastAsia"/>
          <w:b/>
          <w:bCs/>
          <w:color w:val="auto"/>
          <w:sz w:val="24"/>
          <w:lang w:eastAsia="zh-CN"/>
        </w:rPr>
        <w:t>及排污节点</w:t>
      </w:r>
    </w:p>
    <w:p w14:paraId="594551DB">
      <w:pPr>
        <w:rPr>
          <w:rFonts w:hint="eastAsia"/>
          <w:b/>
          <w:bCs/>
          <w:color w:val="auto"/>
          <w:sz w:val="24"/>
          <w:lang w:eastAsia="zh-CN"/>
        </w:rPr>
      </w:pPr>
    </w:p>
    <w:p w14:paraId="2B870FC4">
      <w:pPr>
        <w:rPr>
          <w:rFonts w:hint="eastAsia"/>
          <w:b/>
          <w:bCs/>
          <w:color w:val="auto"/>
          <w:sz w:val="24"/>
          <w:lang w:eastAsia="zh-CN"/>
        </w:rPr>
      </w:pPr>
    </w:p>
    <w:p w14:paraId="67A59106">
      <w:pPr>
        <w:rPr>
          <w:rFonts w:hint="eastAsia"/>
          <w:b/>
          <w:bCs/>
          <w:color w:val="auto"/>
          <w:sz w:val="24"/>
          <w:lang w:eastAsia="zh-CN"/>
        </w:rPr>
      </w:pPr>
    </w:p>
    <w:p w14:paraId="0E279EAC">
      <w:pPr>
        <w:rPr>
          <w:rFonts w:hint="eastAsia"/>
          <w:b/>
          <w:bCs/>
          <w:color w:val="auto"/>
          <w:sz w:val="24"/>
          <w:lang w:eastAsia="zh-CN"/>
        </w:rPr>
      </w:pPr>
      <w:r>
        <w:rPr>
          <w:rFonts w:hint="eastAsia"/>
          <w:b/>
          <w:bCs/>
          <w:color w:val="auto"/>
          <w:sz w:val="24"/>
          <w:lang w:eastAsia="zh-CN"/>
        </w:rPr>
        <w:br w:type="page"/>
      </w:r>
    </w:p>
    <w:p w14:paraId="7E7EB476">
      <w:pPr>
        <w:pStyle w:val="68"/>
        <w:ind w:left="0" w:leftChars="0" w:firstLine="0" w:firstLineChars="0"/>
        <w:rPr>
          <w:rFonts w:hint="eastAsia"/>
          <w:color w:val="auto"/>
          <w:lang w:eastAsia="zh-CN"/>
        </w:rPr>
      </w:pPr>
      <w:r>
        <w:rPr>
          <w:color w:val="auto"/>
          <w:sz w:val="24"/>
        </w:rPr>
        <mc:AlternateContent>
          <mc:Choice Requires="wps">
            <w:drawing>
              <wp:anchor distT="0" distB="0" distL="114300" distR="114300" simplePos="0" relativeHeight="251708416" behindDoc="0" locked="0" layoutInCell="1" allowOverlap="1">
                <wp:simplePos x="0" y="0"/>
                <wp:positionH relativeFrom="column">
                  <wp:posOffset>831215</wp:posOffset>
                </wp:positionH>
                <wp:positionV relativeFrom="paragraph">
                  <wp:posOffset>179070</wp:posOffset>
                </wp:positionV>
                <wp:extent cx="771525" cy="276225"/>
                <wp:effectExtent l="0" t="0" r="9525" b="9525"/>
                <wp:wrapNone/>
                <wp:docPr id="240" name="文本框 240"/>
                <wp:cNvGraphicFramePr/>
                <a:graphic xmlns:a="http://schemas.openxmlformats.org/drawingml/2006/main">
                  <a:graphicData uri="http://schemas.microsoft.com/office/word/2010/wordprocessingShape">
                    <wps:wsp>
                      <wps:cNvSpPr txBox="1"/>
                      <wps:spPr>
                        <a:xfrm>
                          <a:off x="1572260" y="1750695"/>
                          <a:ext cx="771525"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E15A4F5">
                            <w:pPr>
                              <w:jc w:val="center"/>
                              <w:rPr>
                                <w:rFonts w:hint="eastAsia" w:eastAsia="宋体"/>
                                <w:lang w:eastAsia="zh-CN"/>
                              </w:rPr>
                            </w:pPr>
                            <w:r>
                              <w:rPr>
                                <w:rFonts w:hint="eastAsia"/>
                                <w:lang w:eastAsia="zh-CN"/>
                              </w:rPr>
                              <w:t>外购鸡雏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45pt;margin-top:14.1pt;height:21.75pt;width:60.75pt;z-index:251708416;mso-width-relative:page;mso-height-relative:page;" fillcolor="#C7EDCC [3201]" filled="t" stroked="f" coordsize="21600,21600" o:gfxdata="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3cjCvtoAAAAJAQAADwAAAAAAAAABACAAAAAiAAAAZHJzL2Rvd25yZXYueG1sUEsBAhQAFAAAAAgA&#10;h07iQAv7mQdcAgAAngQAAA4AAAAAAAAAAQAgAAAAKQEAAGRycy9lMm9Eb2MueG1sUEsFBgAAAAAG&#10;AAYAWQEAAPcFAAAAAA==&#10;">
                <v:fill on="t" focussize="0,0"/>
                <v:stroke on="f" weight="0.5pt"/>
                <v:imagedata o:title=""/>
                <o:lock v:ext="edit" aspectratio="f"/>
                <v:textbox>
                  <w:txbxContent>
                    <w:p w14:paraId="4E15A4F5">
                      <w:pPr>
                        <w:jc w:val="center"/>
                        <w:rPr>
                          <w:rFonts w:hint="eastAsia" w:eastAsia="宋体"/>
                          <w:lang w:eastAsia="zh-CN"/>
                        </w:rPr>
                      </w:pPr>
                      <w:r>
                        <w:rPr>
                          <w:rFonts w:hint="eastAsia"/>
                          <w:lang w:eastAsia="zh-CN"/>
                        </w:rPr>
                        <w:t>外购鸡雏</w:t>
                      </w:r>
                    </w:p>
                  </w:txbxContent>
                </v:textbox>
              </v:shape>
            </w:pict>
          </mc:Fallback>
        </mc:AlternateContent>
      </w:r>
    </w:p>
    <w:p w14:paraId="42C984BA">
      <w:pPr>
        <w:pStyle w:val="37"/>
        <w:rPr>
          <w:rFonts w:hint="eastAsia"/>
          <w:color w:val="auto"/>
          <w:lang w:eastAsia="zh-CN"/>
        </w:rPr>
      </w:pPr>
      <w:r>
        <w:rPr>
          <w:color w:val="auto"/>
          <w:sz w:val="24"/>
        </w:rPr>
        <mc:AlternateContent>
          <mc:Choice Requires="wps">
            <w:drawing>
              <wp:anchor distT="0" distB="0" distL="114300" distR="114300" simplePos="0" relativeHeight="251726848" behindDoc="0" locked="0" layoutInCell="1" allowOverlap="1">
                <wp:simplePos x="0" y="0"/>
                <wp:positionH relativeFrom="column">
                  <wp:posOffset>2136140</wp:posOffset>
                </wp:positionH>
                <wp:positionV relativeFrom="paragraph">
                  <wp:posOffset>50165</wp:posOffset>
                </wp:positionV>
                <wp:extent cx="2066290" cy="276225"/>
                <wp:effectExtent l="4445" t="5080" r="5715" b="4445"/>
                <wp:wrapNone/>
                <wp:docPr id="260" name="文本框 260"/>
                <wp:cNvGraphicFramePr/>
                <a:graphic xmlns:a="http://schemas.openxmlformats.org/drawingml/2006/main">
                  <a:graphicData uri="http://schemas.microsoft.com/office/word/2010/wordprocessingShape">
                    <wps:wsp>
                      <wps:cNvSpPr txBox="1"/>
                      <wps:spPr>
                        <a:xfrm>
                          <a:off x="0" y="0"/>
                          <a:ext cx="2066290"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B30FB6E">
                            <w:pPr>
                              <w:jc w:val="center"/>
                              <w:rPr>
                                <w:rFonts w:hint="default" w:eastAsia="宋体"/>
                                <w:lang w:val="en-US" w:eastAsia="zh-CN"/>
                              </w:rPr>
                            </w:pPr>
                            <w:r>
                              <w:rPr>
                                <w:rFonts w:hint="eastAsia" w:eastAsia="宋体"/>
                                <w:lang w:eastAsia="zh-CN"/>
                              </w:rPr>
                              <w:t>废气：</w:t>
                            </w:r>
                            <w:r>
                              <w:rPr>
                                <w:rFonts w:hint="eastAsia" w:eastAsia="宋体"/>
                                <w:lang w:val="en-US" w:eastAsia="zh-CN"/>
                              </w:rPr>
                              <w:t>H</w:t>
                            </w:r>
                            <w:r>
                              <w:rPr>
                                <w:rFonts w:hint="eastAsia" w:eastAsia="宋体"/>
                                <w:vertAlign w:val="subscript"/>
                                <w:lang w:val="en-US" w:eastAsia="zh-CN"/>
                              </w:rPr>
                              <w:t>2</w:t>
                            </w:r>
                            <w:r>
                              <w:rPr>
                                <w:rFonts w:hint="eastAsia" w:eastAsia="宋体"/>
                                <w:lang w:val="en-US" w:eastAsia="zh-CN"/>
                              </w:rPr>
                              <w:t>S、NH</w:t>
                            </w:r>
                            <w:r>
                              <w:rPr>
                                <w:rFonts w:hint="eastAsia" w:eastAsia="宋体"/>
                                <w:vertAlign w:val="subscript"/>
                                <w:lang w:val="en-US" w:eastAsia="zh-CN"/>
                              </w:rPr>
                              <w:t>3</w:t>
                            </w:r>
                            <w:r>
                              <w:rPr>
                                <w:rFonts w:hint="eastAsia" w:eastAsia="宋体"/>
                                <w:lang w:val="en-US" w:eastAsia="zh-CN"/>
                              </w:rPr>
                              <w:t>、臭气浓度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2pt;margin-top:3.95pt;height:21.75pt;width:162.7pt;z-index:251726848;mso-width-relative:page;mso-height-relative:page;" fillcolor="#C7EDCC [3201]" filled="t" stroked="t" coordsize="21600,21600" o:gfxdata="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FMd&#10;yr7ZAAAACAEAAA8AAAAAAAAAAQAgAAAAIgAAAGRycy9kb3ducmV2LnhtbFBLAQIUABQAAAAIAIdO&#10;4kAarUMyWwIAALsEAAAOAAAAAAAAAAEAIAAAACgBAABkcnMvZTJvRG9jLnhtbFBLBQYAAAAABgAG&#10;AFkBAAD1BQAAAAA=&#10;">
                <v:fill on="t" focussize="0,0"/>
                <v:stroke weight="0.5pt" color="#000000 [3204]" joinstyle="round"/>
                <v:imagedata o:title=""/>
                <o:lock v:ext="edit" aspectratio="f"/>
                <v:textbox>
                  <w:txbxContent>
                    <w:p w14:paraId="4B30FB6E">
                      <w:pPr>
                        <w:jc w:val="center"/>
                        <w:rPr>
                          <w:rFonts w:hint="default" w:eastAsia="宋体"/>
                          <w:lang w:val="en-US" w:eastAsia="zh-CN"/>
                        </w:rPr>
                      </w:pPr>
                      <w:r>
                        <w:rPr>
                          <w:rFonts w:hint="eastAsia" w:eastAsia="宋体"/>
                          <w:lang w:eastAsia="zh-CN"/>
                        </w:rPr>
                        <w:t>废气：</w:t>
                      </w:r>
                      <w:r>
                        <w:rPr>
                          <w:rFonts w:hint="eastAsia" w:eastAsia="宋体"/>
                          <w:lang w:val="en-US" w:eastAsia="zh-CN"/>
                        </w:rPr>
                        <w:t>H</w:t>
                      </w:r>
                      <w:r>
                        <w:rPr>
                          <w:rFonts w:hint="eastAsia" w:eastAsia="宋体"/>
                          <w:vertAlign w:val="subscript"/>
                          <w:lang w:val="en-US" w:eastAsia="zh-CN"/>
                        </w:rPr>
                        <w:t>2</w:t>
                      </w:r>
                      <w:r>
                        <w:rPr>
                          <w:rFonts w:hint="eastAsia" w:eastAsia="宋体"/>
                          <w:lang w:val="en-US" w:eastAsia="zh-CN"/>
                        </w:rPr>
                        <w:t>S、NH</w:t>
                      </w:r>
                      <w:r>
                        <w:rPr>
                          <w:rFonts w:hint="eastAsia" w:eastAsia="宋体"/>
                          <w:vertAlign w:val="subscript"/>
                          <w:lang w:val="en-US" w:eastAsia="zh-CN"/>
                        </w:rPr>
                        <w:t>3</w:t>
                      </w:r>
                      <w:r>
                        <w:rPr>
                          <w:rFonts w:hint="eastAsia" w:eastAsia="宋体"/>
                          <w:lang w:val="en-US" w:eastAsia="zh-CN"/>
                        </w:rPr>
                        <w:t>、臭气浓度</w:t>
                      </w:r>
                    </w:p>
                  </w:txbxContent>
                </v:textbox>
              </v:shape>
            </w:pict>
          </mc:Fallback>
        </mc:AlternateContent>
      </w:r>
      <w:r>
        <w:rPr>
          <w:color w:val="auto"/>
          <w:sz w:val="24"/>
        </w:rPr>
        <mc:AlternateContent>
          <mc:Choice Requires="wps">
            <w:drawing>
              <wp:anchor distT="0" distB="0" distL="114300" distR="114300" simplePos="0" relativeHeight="251709440" behindDoc="0" locked="0" layoutInCell="1" allowOverlap="1">
                <wp:simplePos x="0" y="0"/>
                <wp:positionH relativeFrom="column">
                  <wp:posOffset>1217295</wp:posOffset>
                </wp:positionH>
                <wp:positionV relativeFrom="paragraph">
                  <wp:posOffset>193040</wp:posOffset>
                </wp:positionV>
                <wp:extent cx="4445" cy="381000"/>
                <wp:effectExtent l="34290" t="0" r="37465" b="0"/>
                <wp:wrapNone/>
                <wp:docPr id="241" name="直接箭头连接符 241"/>
                <wp:cNvGraphicFramePr/>
                <a:graphic xmlns:a="http://schemas.openxmlformats.org/drawingml/2006/main">
                  <a:graphicData uri="http://schemas.microsoft.com/office/word/2010/wordprocessingShape">
                    <wps:wsp>
                      <wps:cNvCnPr/>
                      <wps:spPr>
                        <a:xfrm>
                          <a:off x="1882140" y="2026920"/>
                          <a:ext cx="4445" cy="38100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5.85pt;margin-top:15.2pt;height:30pt;width:0.35pt;z-index:251709440;mso-width-relative:page;mso-height-relative:page;" filled="f" stroked="t" coordsize="21600,21600" o:gfxdata="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CsoTw1gAAAAkBAAAPAAAAAAAAAAEAIAAAACIA&#10;AABkcnMvZG93bnJldi54bWxQSwECFAAUAAAACACHTuJA659nIgsCAADdAwAADgAAAAAAAAABACAA&#10;AAAlAQAAZHJzL2Uyb0RvYy54bWxQSwUGAAAAAAYABgBZAQAAogUAAAAA&#10;">
                <v:fill on="f" focussize="0,0"/>
                <v:stroke weight="1pt" color="#000000 [3213]" joinstyle="round" endarrow="block"/>
                <v:imagedata o:title=""/>
                <o:lock v:ext="edit" aspectratio="f"/>
              </v:shape>
            </w:pict>
          </mc:Fallback>
        </mc:AlternateContent>
      </w:r>
    </w:p>
    <w:p w14:paraId="56498471">
      <w:pPr>
        <w:rPr>
          <w:rFonts w:hint="eastAsia"/>
          <w:color w:val="auto"/>
          <w:lang w:eastAsia="zh-CN"/>
        </w:rPr>
      </w:pPr>
      <w:r>
        <w:rPr>
          <w:color w:val="auto"/>
          <w:sz w:val="24"/>
        </w:rPr>
        <mc:AlternateContent>
          <mc:Choice Requires="wps">
            <w:drawing>
              <wp:anchor distT="0" distB="0" distL="114300" distR="114300" simplePos="0" relativeHeight="251732992" behindDoc="0" locked="0" layoutInCell="1" allowOverlap="1">
                <wp:simplePos x="0" y="0"/>
                <wp:positionH relativeFrom="column">
                  <wp:posOffset>3983990</wp:posOffset>
                </wp:positionH>
                <wp:positionV relativeFrom="paragraph">
                  <wp:posOffset>135890</wp:posOffset>
                </wp:positionV>
                <wp:extent cx="1362075" cy="600075"/>
                <wp:effectExtent l="4445" t="4445" r="5080" b="5080"/>
                <wp:wrapNone/>
                <wp:docPr id="272" name="文本框 272"/>
                <wp:cNvGraphicFramePr/>
                <a:graphic xmlns:a="http://schemas.openxmlformats.org/drawingml/2006/main">
                  <a:graphicData uri="http://schemas.microsoft.com/office/word/2010/wordprocessingShape">
                    <wps:wsp>
                      <wps:cNvSpPr txBox="1"/>
                      <wps:spPr>
                        <a:xfrm>
                          <a:off x="0" y="0"/>
                          <a:ext cx="1362075" cy="6000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7BADA64">
                            <w:pPr>
                              <w:jc w:val="center"/>
                              <w:rPr>
                                <w:rFonts w:hint="eastAsia" w:eastAsia="宋体"/>
                                <w:lang w:eastAsia="zh-CN"/>
                              </w:rPr>
                            </w:pPr>
                            <w:r>
                              <w:rPr>
                                <w:rFonts w:hint="eastAsia" w:eastAsia="宋体"/>
                                <w:lang w:eastAsia="zh-CN"/>
                              </w:rPr>
                              <w:t>设置废水收集池，日产日清，由罐车外运用于制作有机肥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7pt;margin-top:10.7pt;height:47.25pt;width:107.25pt;z-index:251732992;mso-width-relative:page;mso-height-relative:page;" fillcolor="#C7EDCC [3201]" filled="t" stroked="t" coordsize="21600,21600" o:gfxdata="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10;OIDw2gAAAAoBAAAPAAAAAAAAAAEAIAAAACIAAABkcnMvZG93bnJldi54bWxQSwECFAAUAAAACACH&#10;TuJAV8HoeFsCAAC7BAAADgAAAAAAAAABACAAAAApAQAAZHJzL2Uyb0RvYy54bWxQSwUGAAAAAAYA&#10;BgBZAQAA9gUAAAAA&#10;">
                <v:fill on="t" focussize="0,0"/>
                <v:stroke weight="0.5pt" color="#000000 [3204]" joinstyle="round"/>
                <v:imagedata o:title=""/>
                <o:lock v:ext="edit" aspectratio="f"/>
                <v:textbox>
                  <w:txbxContent>
                    <w:p w14:paraId="17BADA64">
                      <w:pPr>
                        <w:jc w:val="center"/>
                        <w:rPr>
                          <w:rFonts w:hint="eastAsia" w:eastAsia="宋体"/>
                          <w:lang w:eastAsia="zh-CN"/>
                        </w:rPr>
                      </w:pPr>
                      <w:r>
                        <w:rPr>
                          <w:rFonts w:hint="eastAsia" w:eastAsia="宋体"/>
                          <w:lang w:eastAsia="zh-CN"/>
                        </w:rPr>
                        <w:t>设置废水收集池，日产日清，由罐车外运用于制作有机肥</w:t>
                      </w:r>
                    </w:p>
                  </w:txbxContent>
                </v:textbox>
              </v:shape>
            </w:pict>
          </mc:Fallback>
        </mc:AlternateContent>
      </w:r>
    </w:p>
    <w:p w14:paraId="2BFC175D">
      <w:pPr>
        <w:pStyle w:val="68"/>
        <w:rPr>
          <w:rFonts w:hint="eastAsia"/>
          <w:color w:val="auto"/>
          <w:lang w:eastAsia="zh-CN"/>
        </w:rPr>
      </w:pPr>
      <w:r>
        <w:rPr>
          <w:color w:val="auto"/>
          <w:sz w:val="24"/>
        </w:rPr>
        <mc:AlternateContent>
          <mc:Choice Requires="wps">
            <w:drawing>
              <wp:anchor distT="0" distB="0" distL="114300" distR="114300" simplePos="0" relativeHeight="251725824" behindDoc="0" locked="0" layoutInCell="1" allowOverlap="1">
                <wp:simplePos x="0" y="0"/>
                <wp:positionH relativeFrom="column">
                  <wp:posOffset>2183765</wp:posOffset>
                </wp:positionH>
                <wp:positionV relativeFrom="paragraph">
                  <wp:posOffset>205105</wp:posOffset>
                </wp:positionV>
                <wp:extent cx="1362075" cy="276225"/>
                <wp:effectExtent l="4445" t="4445" r="5080" b="5080"/>
                <wp:wrapNone/>
                <wp:docPr id="264" name="文本框 264"/>
                <wp:cNvGraphicFramePr/>
                <a:graphic xmlns:a="http://schemas.openxmlformats.org/drawingml/2006/main">
                  <a:graphicData uri="http://schemas.microsoft.com/office/word/2010/wordprocessingShape">
                    <wps:wsp>
                      <wps:cNvSpPr txBox="1"/>
                      <wps:spPr>
                        <a:xfrm>
                          <a:off x="0" y="0"/>
                          <a:ext cx="136207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2284E17">
                            <w:pPr>
                              <w:jc w:val="center"/>
                              <w:rPr>
                                <w:rFonts w:hint="eastAsia" w:eastAsia="宋体"/>
                                <w:lang w:eastAsia="zh-CN"/>
                              </w:rPr>
                            </w:pPr>
                            <w:r>
                              <w:rPr>
                                <w:rFonts w:hint="eastAsia" w:eastAsia="宋体"/>
                                <w:lang w:eastAsia="zh-CN"/>
                              </w:rPr>
                              <w:t>废水：鸡舍冲洗废水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95pt;margin-top:16.15pt;height:21.75pt;width:107.25pt;z-index:251725824;mso-width-relative:page;mso-height-relative:page;" fillcolor="#C7EDCC [3201]" filled="t" stroked="t" coordsize="21600,21600" o:gfxdata="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RJoj69oAAAAJAQAADwAAAAAAAAABACAAAAAiAAAAZHJzL2Rvd25yZXYueG1sUEsBAhQAFAAAAAgA&#10;h07iQIRBmxpcAgAAuwQAAA4AAAAAAAAAAQAgAAAAKQEAAGRycy9lMm9Eb2MueG1sUEsFBgAAAAAG&#10;AAYAWQEAAPcFAAAAAA==&#10;">
                <v:fill on="t" focussize="0,0"/>
                <v:stroke weight="0.5pt" color="#000000 [3204]" joinstyle="round"/>
                <v:imagedata o:title=""/>
                <o:lock v:ext="edit" aspectratio="f"/>
                <v:textbox>
                  <w:txbxContent>
                    <w:p w14:paraId="12284E17">
                      <w:pPr>
                        <w:jc w:val="center"/>
                        <w:rPr>
                          <w:rFonts w:hint="eastAsia" w:eastAsia="宋体"/>
                          <w:lang w:eastAsia="zh-CN"/>
                        </w:rPr>
                      </w:pPr>
                      <w:r>
                        <w:rPr>
                          <w:rFonts w:hint="eastAsia" w:eastAsia="宋体"/>
                          <w:lang w:eastAsia="zh-CN"/>
                        </w:rPr>
                        <w:t>废水：鸡舍冲洗废水</w:t>
                      </w:r>
                    </w:p>
                  </w:txbxContent>
                </v:textbox>
              </v:shape>
            </w:pict>
          </mc:Fallback>
        </mc:AlternateContent>
      </w:r>
      <w:r>
        <w:rPr>
          <w:color w:val="auto"/>
          <w:sz w:val="24"/>
        </w:rPr>
        <mc:AlternateContent>
          <mc:Choice Requires="wps">
            <w:drawing>
              <wp:anchor distT="0" distB="0" distL="114300" distR="114300" simplePos="0" relativeHeight="251714560" behindDoc="0" locked="0" layoutInCell="1" allowOverlap="1">
                <wp:simplePos x="0" y="0"/>
                <wp:positionH relativeFrom="column">
                  <wp:posOffset>1750695</wp:posOffset>
                </wp:positionH>
                <wp:positionV relativeFrom="paragraph">
                  <wp:posOffset>-196850</wp:posOffset>
                </wp:positionV>
                <wp:extent cx="385445" cy="278130"/>
                <wp:effectExtent l="3810" t="0" r="10795" b="7620"/>
                <wp:wrapNone/>
                <wp:docPr id="251" name="直接箭头连接符 251"/>
                <wp:cNvGraphicFramePr/>
                <a:graphic xmlns:a="http://schemas.openxmlformats.org/drawingml/2006/main">
                  <a:graphicData uri="http://schemas.microsoft.com/office/word/2010/wordprocessingShape">
                    <wps:wsp>
                      <wps:cNvCnPr/>
                      <wps:spPr>
                        <a:xfrm flipV="1">
                          <a:off x="0" y="0"/>
                          <a:ext cx="385445" cy="27813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37.85pt;margin-top:-15.5pt;height:21.9pt;width:30.35pt;z-index:251714560;mso-width-relative:page;mso-height-relative:page;" filled="f" stroked="t" coordsize="21600,21600" o:gfxdata="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8MOLrcAAAACgEAAA8AAAAAAAAAAQAg&#10;AAAAIgAAAGRycy9kb3ducmV2LnhtbFBLAQIUABQAAAAIAIdO4kAN3UvYCgIAANwDAAAOAAAAAAAA&#10;AAEAIAAAACsBAABkcnMvZTJvRG9jLnhtbFBLBQYAAAAABgAGAFkBAACnBQAAAAA=&#10;">
                <v:fill on="f" focussize="0,0"/>
                <v:stroke weight="1pt" color="#000000 [3213]" joinstyle="round" dashstyle="dash" endarrow="block"/>
                <v:imagedata o:title=""/>
                <o:lock v:ext="edit" aspectratio="f"/>
              </v:shape>
            </w:pict>
          </mc:Fallback>
        </mc:AlternateContent>
      </w:r>
      <w:r>
        <w:rPr>
          <w:color w:val="auto"/>
          <w:sz w:val="24"/>
        </w:rPr>
        <mc:AlternateContent>
          <mc:Choice Requires="wps">
            <w:drawing>
              <wp:anchor distT="0" distB="0" distL="114300" distR="114300" simplePos="0" relativeHeight="251722752" behindDoc="0" locked="0" layoutInCell="1" allowOverlap="1">
                <wp:simplePos x="0" y="0"/>
                <wp:positionH relativeFrom="column">
                  <wp:posOffset>697865</wp:posOffset>
                </wp:positionH>
                <wp:positionV relativeFrom="paragraph">
                  <wp:posOffset>62230</wp:posOffset>
                </wp:positionV>
                <wp:extent cx="1038225" cy="1095375"/>
                <wp:effectExtent l="6350" t="6350" r="22225" b="22225"/>
                <wp:wrapNone/>
                <wp:docPr id="256" name="矩形 256"/>
                <wp:cNvGraphicFramePr/>
                <a:graphic xmlns:a="http://schemas.openxmlformats.org/drawingml/2006/main">
                  <a:graphicData uri="http://schemas.microsoft.com/office/word/2010/wordprocessingShape">
                    <wps:wsp>
                      <wps:cNvSpPr/>
                      <wps:spPr>
                        <a:xfrm>
                          <a:off x="3181985" y="2484120"/>
                          <a:ext cx="1038225" cy="1095375"/>
                        </a:xfrm>
                        <a:prstGeom prst="rect">
                          <a:avLst/>
                        </a:prstGeom>
                        <a:noFill/>
                        <a:ln w="12700">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95pt;margin-top:4.9pt;height:86.25pt;width:81.75pt;z-index:251722752;v-text-anchor:middle;mso-width-relative:page;mso-height-relative:page;" filled="f" stroked="t" coordsize="21600,21600" o:gfxdata="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gv/etUAAAAJAQAADwAAAAAAAAABACAAAAAiAAAAZHJzL2Rvd25yZXYueG1s&#10;UEsBAhQAFAAAAAgAh07iQPtFBp5tAgAAxAQAAA4AAAAAAAAAAQAgAAAAJAEAAGRycy9lMm9Eb2Mu&#10;eG1sUEsFBgAAAAAGAAYAWQEAAAMGAAAAAA==&#10;">
                <v:fill on="f" focussize="0,0"/>
                <v:stroke weight="1pt" color="#000000 [3213]" joinstyle="round" dashstyle="dash"/>
                <v:imagedata o:title=""/>
                <o:lock v:ext="edit" aspectratio="f"/>
              </v:rect>
            </w:pict>
          </mc:Fallback>
        </mc:AlternateContent>
      </w:r>
      <w:r>
        <w:rPr>
          <w:color w:val="auto"/>
          <w:sz w:val="24"/>
        </w:rPr>
        <mc:AlternateContent>
          <mc:Choice Requires="wps">
            <w:drawing>
              <wp:anchor distT="0" distB="0" distL="114300" distR="114300" simplePos="0" relativeHeight="251719680" behindDoc="0" locked="0" layoutInCell="1" allowOverlap="1">
                <wp:simplePos x="0" y="0"/>
                <wp:positionH relativeFrom="column">
                  <wp:posOffset>-359410</wp:posOffset>
                </wp:positionH>
                <wp:positionV relativeFrom="paragraph">
                  <wp:posOffset>138430</wp:posOffset>
                </wp:positionV>
                <wp:extent cx="771525" cy="276225"/>
                <wp:effectExtent l="0" t="0" r="9525" b="9525"/>
                <wp:wrapNone/>
                <wp:docPr id="254" name="文本框 254"/>
                <wp:cNvGraphicFramePr/>
                <a:graphic xmlns:a="http://schemas.openxmlformats.org/drawingml/2006/main">
                  <a:graphicData uri="http://schemas.microsoft.com/office/word/2010/wordprocessingShape">
                    <wps:wsp>
                      <wps:cNvSpPr txBox="1"/>
                      <wps:spPr>
                        <a:xfrm>
                          <a:off x="0" y="0"/>
                          <a:ext cx="771525"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F73E36B">
                            <w:pPr>
                              <w:jc w:val="both"/>
                              <w:rPr>
                                <w:rFonts w:hint="eastAsia" w:eastAsia="宋体"/>
                                <w:lang w:eastAsia="zh-CN"/>
                              </w:rPr>
                            </w:pPr>
                            <w:r>
                              <w:rPr>
                                <w:rFonts w:hint="eastAsia" w:eastAsia="宋体"/>
                                <w:lang w:eastAsia="zh-CN"/>
                              </w:rPr>
                              <w:t>饲料、水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pt;margin-top:10.9pt;height:21.75pt;width:60.75pt;z-index:251719680;mso-width-relative:page;mso-height-relative:page;" fillcolor="#C7EDCC [3201]" filled="t" stroked="f" coordsize="21600,21600" o:gfxdata="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JFIts9oAAAAI&#10;AQAADwAAAAAAAAABACAAAAAiAAAAZHJzL2Rvd25yZXYueG1sUEsBAhQAFAAAAAgAh07iQKr1PvdT&#10;AgAAkgQAAA4AAAAAAAAAAQAgAAAAKQEAAGRycy9lMm9Eb2MueG1sUEsFBgAAAAAGAAYAWQEAAO4F&#10;AAAAAA==&#10;">
                <v:fill on="t" focussize="0,0"/>
                <v:stroke on="f" weight="0.5pt"/>
                <v:imagedata o:title=""/>
                <o:lock v:ext="edit" aspectratio="f"/>
                <v:textbox>
                  <w:txbxContent>
                    <w:p w14:paraId="2F73E36B">
                      <w:pPr>
                        <w:jc w:val="both"/>
                        <w:rPr>
                          <w:rFonts w:hint="eastAsia" w:eastAsia="宋体"/>
                          <w:lang w:eastAsia="zh-CN"/>
                        </w:rPr>
                      </w:pPr>
                      <w:r>
                        <w:rPr>
                          <w:rFonts w:hint="eastAsia" w:eastAsia="宋体"/>
                          <w:lang w:eastAsia="zh-CN"/>
                        </w:rPr>
                        <w:t>饲料、水</w:t>
                      </w:r>
                    </w:p>
                  </w:txbxContent>
                </v:textbox>
              </v:shape>
            </w:pict>
          </mc:Fallback>
        </mc:AlternateContent>
      </w:r>
      <w:r>
        <w:rPr>
          <w:color w:val="auto"/>
          <w:sz w:val="24"/>
        </w:rPr>
        <mc:AlternateContent>
          <mc:Choice Requires="wps">
            <w:drawing>
              <wp:anchor distT="0" distB="0" distL="114300" distR="114300" simplePos="0" relativeHeight="251704320" behindDoc="0" locked="0" layoutInCell="1" allowOverlap="1">
                <wp:simplePos x="0" y="0"/>
                <wp:positionH relativeFrom="column">
                  <wp:posOffset>897890</wp:posOffset>
                </wp:positionH>
                <wp:positionV relativeFrom="paragraph">
                  <wp:posOffset>138430</wp:posOffset>
                </wp:positionV>
                <wp:extent cx="619125" cy="276225"/>
                <wp:effectExtent l="4445" t="4445" r="5080" b="5080"/>
                <wp:wrapNone/>
                <wp:docPr id="242" name="文本框 242"/>
                <wp:cNvGraphicFramePr/>
                <a:graphic xmlns:a="http://schemas.openxmlformats.org/drawingml/2006/main">
                  <a:graphicData uri="http://schemas.microsoft.com/office/word/2010/wordprocessingShape">
                    <wps:wsp>
                      <wps:cNvSpPr txBox="1"/>
                      <wps:spPr>
                        <a:xfrm>
                          <a:off x="0" y="0"/>
                          <a:ext cx="61912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839D6F5">
                            <w:pPr>
                              <w:jc w:val="center"/>
                              <w:rPr>
                                <w:rFonts w:hint="eastAsia" w:eastAsia="宋体"/>
                                <w:lang w:eastAsia="zh-CN"/>
                              </w:rPr>
                            </w:pPr>
                            <w:r>
                              <w:rPr>
                                <w:rFonts w:hint="eastAsia"/>
                                <w:lang w:eastAsia="zh-CN"/>
                              </w:rPr>
                              <w:t>青年鸡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0.7pt;margin-top:10.9pt;height:21.75pt;width:48.75pt;z-index:251704320;mso-width-relative:page;mso-height-relative:page;" fillcolor="#C7EDCC [3201]" filled="t" stroked="t" coordsize="21600,21600" o:gfxdata="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CMJ&#10;vLLZAAAACQEAAA8AAAAAAAAAAQAgAAAAIgAAAGRycy9kb3ducmV2LnhtbFBLAQIUABQAAAAIAIdO&#10;4kCkuy3eWwIAALoEAAAOAAAAAAAAAAEAIAAAACgBAABkcnMvZTJvRG9jLnhtbFBLBQYAAAAABgAG&#10;AFkBAAD1BQAAAAA=&#10;">
                <v:fill on="t" focussize="0,0"/>
                <v:stroke weight="0.5pt" color="#000000 [3204]" joinstyle="round"/>
                <v:imagedata o:title=""/>
                <o:lock v:ext="edit" aspectratio="f"/>
                <v:textbox>
                  <w:txbxContent>
                    <w:p w14:paraId="1839D6F5">
                      <w:pPr>
                        <w:jc w:val="center"/>
                        <w:rPr>
                          <w:rFonts w:hint="eastAsia" w:eastAsia="宋体"/>
                          <w:lang w:eastAsia="zh-CN"/>
                        </w:rPr>
                      </w:pPr>
                      <w:r>
                        <w:rPr>
                          <w:rFonts w:hint="eastAsia"/>
                          <w:lang w:eastAsia="zh-CN"/>
                        </w:rPr>
                        <w:t>青年鸡</w:t>
                      </w:r>
                    </w:p>
                  </w:txbxContent>
                </v:textbox>
              </v:shape>
            </w:pict>
          </mc:Fallback>
        </mc:AlternateContent>
      </w:r>
    </w:p>
    <w:p w14:paraId="01B5C2FA">
      <w:pPr>
        <w:pStyle w:val="37"/>
        <w:rPr>
          <w:rFonts w:hint="eastAsia"/>
          <w:color w:val="auto"/>
          <w:lang w:eastAsia="zh-CN"/>
        </w:rPr>
      </w:pPr>
      <w:r>
        <w:rPr>
          <w:color w:val="auto"/>
          <w:sz w:val="24"/>
        </w:rPr>
        <mc:AlternateContent>
          <mc:Choice Requires="wps">
            <w:drawing>
              <wp:anchor distT="0" distB="0" distL="114300" distR="114300" simplePos="0" relativeHeight="251752448" behindDoc="0" locked="0" layoutInCell="1" allowOverlap="1">
                <wp:simplePos x="0" y="0"/>
                <wp:positionH relativeFrom="column">
                  <wp:posOffset>1287780</wp:posOffset>
                </wp:positionH>
                <wp:positionV relativeFrom="paragraph">
                  <wp:posOffset>199390</wp:posOffset>
                </wp:positionV>
                <wp:extent cx="534035" cy="276225"/>
                <wp:effectExtent l="0" t="0" r="18415" b="9525"/>
                <wp:wrapNone/>
                <wp:docPr id="192" name="文本框 192"/>
                <wp:cNvGraphicFramePr/>
                <a:graphic xmlns:a="http://schemas.openxmlformats.org/drawingml/2006/main">
                  <a:graphicData uri="http://schemas.microsoft.com/office/word/2010/wordprocessingShape">
                    <wps:wsp>
                      <wps:cNvSpPr txBox="1"/>
                      <wps:spPr>
                        <a:xfrm>
                          <a:off x="0" y="0"/>
                          <a:ext cx="5340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EF7A29">
                            <w:pPr>
                              <w:jc w:val="center"/>
                              <w:rPr>
                                <w:rFonts w:hint="eastAsia" w:eastAsia="宋体"/>
                                <w:lang w:eastAsia="zh-CN"/>
                              </w:rPr>
                            </w:pPr>
                            <w:r>
                              <w:rPr>
                                <w:rFonts w:hint="eastAsia"/>
                                <w:lang w:eastAsia="zh-CN"/>
                              </w:rPr>
                              <w:t>鸡舍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1.4pt;margin-top:15.7pt;height:21.75pt;width:42.05pt;z-index:251752448;mso-width-relative:page;mso-height-relative:page;" filled="f" stroked="f" coordsize="21600,21600" o:gfxdata="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y4X0/bAAAACQEAAA8AAAAAAAAAAQAgAAAAIgAA&#10;AGRycy9kb3ducmV2LnhtbFBLAQIUABQAAAAIAIdO4kBb3nnePgIAAGkEAAAOAAAAAAAAAAEAIAAA&#10;ACoBAABkcnMvZTJvRG9jLnhtbFBLBQYAAAAABgAGAFkBAADaBQAAAAA=&#10;">
                <v:fill on="f" focussize="0,0"/>
                <v:stroke on="f" weight="0.5pt"/>
                <v:imagedata o:title=""/>
                <o:lock v:ext="edit" aspectratio="f"/>
                <v:textbox>
                  <w:txbxContent>
                    <w:p w14:paraId="33EF7A29">
                      <w:pPr>
                        <w:jc w:val="center"/>
                        <w:rPr>
                          <w:rFonts w:hint="eastAsia" w:eastAsia="宋体"/>
                          <w:lang w:eastAsia="zh-CN"/>
                        </w:rPr>
                      </w:pPr>
                      <w:r>
                        <w:rPr>
                          <w:rFonts w:hint="eastAsia"/>
                          <w:lang w:eastAsia="zh-CN"/>
                        </w:rPr>
                        <w:t>鸡舍</w:t>
                      </w:r>
                    </w:p>
                  </w:txbxContent>
                </v:textbox>
              </v:shape>
            </w:pict>
          </mc:Fallback>
        </mc:AlternateContent>
      </w:r>
      <w:r>
        <w:rPr>
          <w:color w:val="auto"/>
          <w:sz w:val="24"/>
        </w:rPr>
        <mc:AlternateContent>
          <mc:Choice Requires="wps">
            <w:drawing>
              <wp:anchor distT="0" distB="0" distL="114300" distR="114300" simplePos="0" relativeHeight="251734016" behindDoc="0" locked="0" layoutInCell="1" allowOverlap="1">
                <wp:simplePos x="0" y="0"/>
                <wp:positionH relativeFrom="column">
                  <wp:posOffset>3550920</wp:posOffset>
                </wp:positionH>
                <wp:positionV relativeFrom="paragraph">
                  <wp:posOffset>75565</wp:posOffset>
                </wp:positionV>
                <wp:extent cx="442595" cy="3810"/>
                <wp:effectExtent l="0" t="34925" r="14605" b="37465"/>
                <wp:wrapNone/>
                <wp:docPr id="271" name="直接箭头连接符 271"/>
                <wp:cNvGraphicFramePr/>
                <a:graphic xmlns:a="http://schemas.openxmlformats.org/drawingml/2006/main">
                  <a:graphicData uri="http://schemas.microsoft.com/office/word/2010/wordprocessingShape">
                    <wps:wsp>
                      <wps:cNvCnPr/>
                      <wps:spPr>
                        <a:xfrm>
                          <a:off x="0" y="0"/>
                          <a:ext cx="442595" cy="381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79.6pt;margin-top:5.95pt;height:0.3pt;width:34.85pt;z-index:251734016;mso-width-relative:page;mso-height-relative:page;" filled="f" stroked="t" coordsize="21600,21600" o:gfxdata="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HWjGc2gAAAAkBAAAPAAAAAAAAAAEAIAAAACIAAABkcnMv&#10;ZG93bnJldi54bWxQSwECFAAUAAAACACHTuJA8p5wMQECAADQAwAADgAAAAAAAAABACAAAAApAQAA&#10;ZHJzL2Uyb0RvYy54bWxQSwUGAAAAAAYABgBZAQAAnAUAAAAA&#10;">
                <v:fill on="f" focussize="0,0"/>
                <v:stroke weight="1pt" color="#000000 [3213]" joinstyle="round" dashstyle="dash" endarrow="block"/>
                <v:imagedata o:title=""/>
                <o:lock v:ext="edit" aspectratio="f"/>
              </v:shape>
            </w:pict>
          </mc:Fallback>
        </mc:AlternateContent>
      </w:r>
      <w:r>
        <w:rPr>
          <w:color w:val="auto"/>
          <w:sz w:val="24"/>
        </w:rPr>
        <mc:AlternateContent>
          <mc:Choice Requires="wps">
            <w:drawing>
              <wp:anchor distT="0" distB="0" distL="114300" distR="114300" simplePos="0" relativeHeight="251723776" behindDoc="0" locked="0" layoutInCell="1" allowOverlap="1">
                <wp:simplePos x="0" y="0"/>
                <wp:positionH relativeFrom="column">
                  <wp:posOffset>1760220</wp:posOffset>
                </wp:positionH>
                <wp:positionV relativeFrom="paragraph">
                  <wp:posOffset>104140</wp:posOffset>
                </wp:positionV>
                <wp:extent cx="442595" cy="3810"/>
                <wp:effectExtent l="0" t="34925" r="14605" b="37465"/>
                <wp:wrapNone/>
                <wp:docPr id="257" name="直接箭头连接符 257"/>
                <wp:cNvGraphicFramePr/>
                <a:graphic xmlns:a="http://schemas.openxmlformats.org/drawingml/2006/main">
                  <a:graphicData uri="http://schemas.microsoft.com/office/word/2010/wordprocessingShape">
                    <wps:wsp>
                      <wps:cNvCnPr/>
                      <wps:spPr>
                        <a:xfrm>
                          <a:off x="0" y="0"/>
                          <a:ext cx="442595" cy="381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38.6pt;margin-top:8.2pt;height:0.3pt;width:34.85pt;z-index:251723776;mso-width-relative:page;mso-height-relative:page;" filled="f" stroked="t" coordsize="21600,21600" o:gfxdata="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Jen723aAAAACQEAAA8AAAAAAAAAAQAgAAAAIgAAAGRycy9k&#10;b3ducmV2LnhtbFBLAQIUABQAAAAIAIdO4kDOUP4yAAIAANADAAAOAAAAAAAAAAEAIAAAACkBAABk&#10;cnMvZTJvRG9jLnhtbFBLBQYAAAAABgAGAFkBAACbBQAAAAA=&#10;">
                <v:fill on="f" focussize="0,0"/>
                <v:stroke weight="1pt" color="#000000 [3213]" joinstyle="round" dashstyle="dash" endarrow="block"/>
                <v:imagedata o:title=""/>
                <o:lock v:ext="edit" aspectratio="f"/>
              </v:shape>
            </w:pict>
          </mc:Fallback>
        </mc:AlternateContent>
      </w:r>
      <w:r>
        <w:rPr>
          <w:color w:val="auto"/>
          <w:sz w:val="24"/>
        </w:rPr>
        <mc:AlternateContent>
          <mc:Choice Requires="wps">
            <w:drawing>
              <wp:anchor distT="0" distB="0" distL="114300" distR="114300" simplePos="0" relativeHeight="251718656" behindDoc="0" locked="0" layoutInCell="1" allowOverlap="1">
                <wp:simplePos x="0" y="0"/>
                <wp:positionH relativeFrom="column">
                  <wp:posOffset>455295</wp:posOffset>
                </wp:positionH>
                <wp:positionV relativeFrom="paragraph">
                  <wp:posOffset>27940</wp:posOffset>
                </wp:positionV>
                <wp:extent cx="442595" cy="3810"/>
                <wp:effectExtent l="0" t="34925" r="14605" b="37465"/>
                <wp:wrapNone/>
                <wp:docPr id="252" name="直接箭头连接符 252"/>
                <wp:cNvGraphicFramePr/>
                <a:graphic xmlns:a="http://schemas.openxmlformats.org/drawingml/2006/main">
                  <a:graphicData uri="http://schemas.microsoft.com/office/word/2010/wordprocessingShape">
                    <wps:wsp>
                      <wps:cNvCnPr/>
                      <wps:spPr>
                        <a:xfrm>
                          <a:off x="0" y="0"/>
                          <a:ext cx="442595" cy="381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5.85pt;margin-top:2.2pt;height:0.3pt;width:34.85pt;z-index:251718656;mso-width-relative:page;mso-height-relative:page;" filled="f" stroked="t" coordsize="21600,21600" o:gfxdata="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0Vco9MAAAAGAQAADwAAAAAAAAABACAAAAAiAAAAZHJzL2Rvd25yZXYu&#10;eG1sUEsBAhQAFAAAAAgAh07iQMlapnAAAgAA0QMAAA4AAAAAAAAAAQAgAAAAIgEAAGRycy9lMm9E&#10;b2MueG1sUEsFBgAAAAAGAAYAWQEAAJQFAAAAAA==&#10;">
                <v:fill on="f" focussize="0,0"/>
                <v:stroke weight="1pt" color="#000000 [3213]" joinstyle="round" endarrow="block"/>
                <v:imagedata o:title=""/>
                <o:lock v:ext="edit" aspectratio="f"/>
              </v:shape>
            </w:pict>
          </mc:Fallback>
        </mc:AlternateContent>
      </w:r>
      <w:r>
        <w:rPr>
          <w:color w:val="auto"/>
          <w:sz w:val="24"/>
        </w:rPr>
        <mc:AlternateContent>
          <mc:Choice Requires="wps">
            <w:drawing>
              <wp:anchor distT="0" distB="0" distL="114300" distR="114300" simplePos="0" relativeHeight="251705344" behindDoc="0" locked="0" layoutInCell="1" allowOverlap="1">
                <wp:simplePos x="0" y="0"/>
                <wp:positionH relativeFrom="column">
                  <wp:posOffset>1226820</wp:posOffset>
                </wp:positionH>
                <wp:positionV relativeFrom="paragraph">
                  <wp:posOffset>153035</wp:posOffset>
                </wp:positionV>
                <wp:extent cx="4445" cy="381000"/>
                <wp:effectExtent l="34290" t="0" r="37465" b="0"/>
                <wp:wrapNone/>
                <wp:docPr id="243" name="直接箭头连接符 243"/>
                <wp:cNvGraphicFramePr/>
                <a:graphic xmlns:a="http://schemas.openxmlformats.org/drawingml/2006/main">
                  <a:graphicData uri="http://schemas.microsoft.com/office/word/2010/wordprocessingShape">
                    <wps:wsp>
                      <wps:cNvCnPr/>
                      <wps:spPr>
                        <a:xfrm>
                          <a:off x="0" y="0"/>
                          <a:ext cx="4445" cy="38100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6.6pt;margin-top:12.05pt;height:30pt;width:0.35pt;z-index:251705344;mso-width-relative:page;mso-height-relative:page;" filled="f" stroked="t" coordsize="21600,21600" o:gfxdata="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KTtg9YAAAAJAQAADwAAAAAAAAABACAAAAAiAAAAZHJzL2Rvd25y&#10;ZXYueG1sUEsBAhQAFAAAAAgAh07iQHQIug0AAgAA0QMAAA4AAAAAAAAAAQAgAAAAJQEAAGRycy9l&#10;Mm9Eb2MueG1sUEsFBgAAAAAGAAYAWQEAAJcFAAAAAA==&#10;">
                <v:fill on="f" focussize="0,0"/>
                <v:stroke weight="1pt" color="#000000 [3213]" joinstyle="round" endarrow="block"/>
                <v:imagedata o:title=""/>
                <o:lock v:ext="edit" aspectratio="f"/>
              </v:shape>
            </w:pict>
          </mc:Fallback>
        </mc:AlternateContent>
      </w:r>
    </w:p>
    <w:p w14:paraId="7BE2E196">
      <w:pPr>
        <w:rPr>
          <w:rFonts w:hint="eastAsia"/>
          <w:color w:val="auto"/>
          <w:lang w:eastAsia="zh-CN"/>
        </w:rPr>
      </w:pPr>
      <w:r>
        <w:rPr>
          <w:color w:val="auto"/>
          <w:sz w:val="24"/>
        </w:rPr>
        <mc:AlternateContent>
          <mc:Choice Requires="wps">
            <w:drawing>
              <wp:anchor distT="0" distB="0" distL="114300" distR="114300" simplePos="0" relativeHeight="251728896" behindDoc="0" locked="0" layoutInCell="1" allowOverlap="1">
                <wp:simplePos x="0" y="0"/>
                <wp:positionH relativeFrom="column">
                  <wp:posOffset>2174240</wp:posOffset>
                </wp:positionH>
                <wp:positionV relativeFrom="paragraph">
                  <wp:posOffset>88900</wp:posOffset>
                </wp:positionV>
                <wp:extent cx="1676400" cy="276225"/>
                <wp:effectExtent l="4445" t="4445" r="14605" b="5080"/>
                <wp:wrapNone/>
                <wp:docPr id="268" name="文本框 268"/>
                <wp:cNvGraphicFramePr/>
                <a:graphic xmlns:a="http://schemas.openxmlformats.org/drawingml/2006/main">
                  <a:graphicData uri="http://schemas.microsoft.com/office/word/2010/wordprocessingShape">
                    <wps:wsp>
                      <wps:cNvSpPr txBox="1"/>
                      <wps:spPr>
                        <a:xfrm>
                          <a:off x="0" y="0"/>
                          <a:ext cx="1676400"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EB52B88">
                            <w:pPr>
                              <w:jc w:val="center"/>
                              <w:rPr>
                                <w:rFonts w:hint="eastAsia" w:eastAsia="宋体"/>
                                <w:lang w:eastAsia="zh-CN"/>
                              </w:rPr>
                            </w:pPr>
                            <w:r>
                              <w:rPr>
                                <w:rFonts w:hint="eastAsia" w:eastAsia="宋体"/>
                                <w:lang w:eastAsia="zh-CN"/>
                              </w:rPr>
                              <w:t>噪声：鸡叫、设备噪声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2pt;margin-top:7pt;height:21.75pt;width:132pt;z-index:251728896;mso-width-relative:page;mso-height-relative:page;" fillcolor="#C7EDCC [3201]" filled="t" stroked="t" coordsize="21600,21600" o:gfxdata="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3J&#10;tTHZAAAACQEAAA8AAAAAAAAAAQAgAAAAIgAAAGRycy9kb3ducmV2LnhtbFBLAQIUABQAAAAIAIdO&#10;4kC0dhLkWwIAALsEAAAOAAAAAAAAAAEAIAAAACgBAABkcnMvZTJvRG9jLnhtbFBLBQYAAAAABgAG&#10;AFkBAAD1BQAAAAA=&#10;">
                <v:fill on="t" focussize="0,0"/>
                <v:stroke weight="0.5pt" color="#000000 [3204]" joinstyle="round"/>
                <v:imagedata o:title=""/>
                <o:lock v:ext="edit" aspectratio="f"/>
                <v:textbox>
                  <w:txbxContent>
                    <w:p w14:paraId="6EB52B88">
                      <w:pPr>
                        <w:jc w:val="center"/>
                        <w:rPr>
                          <w:rFonts w:hint="eastAsia" w:eastAsia="宋体"/>
                          <w:lang w:eastAsia="zh-CN"/>
                        </w:rPr>
                      </w:pPr>
                      <w:r>
                        <w:rPr>
                          <w:rFonts w:hint="eastAsia" w:eastAsia="宋体"/>
                          <w:lang w:eastAsia="zh-CN"/>
                        </w:rPr>
                        <w:t>噪声：鸡叫、设备噪声</w:t>
                      </w:r>
                    </w:p>
                  </w:txbxContent>
                </v:textbox>
              </v:shape>
            </w:pict>
          </mc:Fallback>
        </mc:AlternateContent>
      </w:r>
    </w:p>
    <w:p w14:paraId="0524DB67">
      <w:pPr>
        <w:pStyle w:val="68"/>
        <w:rPr>
          <w:rFonts w:hint="eastAsia"/>
          <w:color w:val="auto"/>
          <w:lang w:eastAsia="zh-CN"/>
        </w:rPr>
      </w:pPr>
      <w:r>
        <w:rPr>
          <w:color w:val="auto"/>
          <w:sz w:val="24"/>
        </w:rPr>
        <mc:AlternateContent>
          <mc:Choice Requires="wps">
            <w:drawing>
              <wp:anchor distT="0" distB="0" distL="114300" distR="114300" simplePos="0" relativeHeight="251736064" behindDoc="0" locked="0" layoutInCell="1" allowOverlap="1">
                <wp:simplePos x="0" y="0"/>
                <wp:positionH relativeFrom="column">
                  <wp:posOffset>4441190</wp:posOffset>
                </wp:positionH>
                <wp:positionV relativeFrom="paragraph">
                  <wp:posOffset>8255</wp:posOffset>
                </wp:positionV>
                <wp:extent cx="1172210" cy="600075"/>
                <wp:effectExtent l="4445" t="4445" r="23495" b="5080"/>
                <wp:wrapNone/>
                <wp:docPr id="276" name="文本框 276"/>
                <wp:cNvGraphicFramePr/>
                <a:graphic xmlns:a="http://schemas.openxmlformats.org/drawingml/2006/main">
                  <a:graphicData uri="http://schemas.microsoft.com/office/word/2010/wordprocessingShape">
                    <wps:wsp>
                      <wps:cNvSpPr txBox="1"/>
                      <wps:spPr>
                        <a:xfrm>
                          <a:off x="0" y="0"/>
                          <a:ext cx="1172210" cy="6000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2A364F5">
                            <w:pPr>
                              <w:jc w:val="center"/>
                              <w:rPr>
                                <w:rFonts w:hint="eastAsia" w:eastAsia="宋体"/>
                                <w:lang w:eastAsia="zh-CN"/>
                              </w:rPr>
                            </w:pPr>
                            <w:r>
                              <w:rPr>
                                <w:rFonts w:hint="eastAsia" w:eastAsia="宋体"/>
                                <w:lang w:eastAsia="zh-CN"/>
                              </w:rPr>
                              <w:t>日产日清，由专用运输车外运用于制作有机肥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9.7pt;margin-top:0.65pt;height:47.25pt;width:92.3pt;z-index:251736064;mso-width-relative:page;mso-height-relative:page;" fillcolor="#C7EDCC [3201]" filled="t" stroked="t" coordsize="21600,21600" o:gfxdata="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FON&#10;s97ZAAAACAEAAA8AAAAAAAAAAQAgAAAAIgAAAGRycy9kb3ducmV2LnhtbFBLAQIUABQAAAAIAIdO&#10;4kBFKZ4TWwIAALsEAAAOAAAAAAAAAAEAIAAAACgBAABkcnMvZTJvRG9jLnhtbFBLBQYAAAAABgAG&#10;AFkBAAD1BQAAAAA=&#10;">
                <v:fill on="t" focussize="0,0"/>
                <v:stroke weight="0.5pt" color="#000000 [3204]" joinstyle="round"/>
                <v:imagedata o:title=""/>
                <o:lock v:ext="edit" aspectratio="f"/>
                <v:textbox>
                  <w:txbxContent>
                    <w:p w14:paraId="72A364F5">
                      <w:pPr>
                        <w:jc w:val="center"/>
                        <w:rPr>
                          <w:rFonts w:hint="eastAsia" w:eastAsia="宋体"/>
                          <w:lang w:eastAsia="zh-CN"/>
                        </w:rPr>
                      </w:pPr>
                      <w:r>
                        <w:rPr>
                          <w:rFonts w:hint="eastAsia" w:eastAsia="宋体"/>
                          <w:lang w:eastAsia="zh-CN"/>
                        </w:rPr>
                        <w:t>日产日清，由专用运输车外运用于制作有机肥</w:t>
                      </w:r>
                    </w:p>
                  </w:txbxContent>
                </v:textbox>
              </v:shape>
            </w:pict>
          </mc:Fallback>
        </mc:AlternateContent>
      </w:r>
      <w:r>
        <w:rPr>
          <w:color w:val="auto"/>
          <w:sz w:val="24"/>
        </w:rPr>
        <mc:AlternateContent>
          <mc:Choice Requires="wps">
            <w:drawing>
              <wp:anchor distT="0" distB="0" distL="114300" distR="114300" simplePos="0" relativeHeight="251729920" behindDoc="0" locked="0" layoutInCell="1" allowOverlap="1">
                <wp:simplePos x="0" y="0"/>
                <wp:positionH relativeFrom="column">
                  <wp:posOffset>1741170</wp:posOffset>
                </wp:positionH>
                <wp:positionV relativeFrom="paragraph">
                  <wp:posOffset>97790</wp:posOffset>
                </wp:positionV>
                <wp:extent cx="442595" cy="3810"/>
                <wp:effectExtent l="0" t="34925" r="14605" b="37465"/>
                <wp:wrapNone/>
                <wp:docPr id="267" name="直接箭头连接符 267"/>
                <wp:cNvGraphicFramePr/>
                <a:graphic xmlns:a="http://schemas.openxmlformats.org/drawingml/2006/main">
                  <a:graphicData uri="http://schemas.microsoft.com/office/word/2010/wordprocessingShape">
                    <wps:wsp>
                      <wps:cNvCnPr/>
                      <wps:spPr>
                        <a:xfrm>
                          <a:off x="0" y="0"/>
                          <a:ext cx="442595" cy="381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37.1pt;margin-top:7.7pt;height:0.3pt;width:34.85pt;z-index:251729920;mso-width-relative:page;mso-height-relative:page;" filled="f" stroked="t" coordsize="21600,21600" o:gfxdata="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3UQGraAAAACQEAAA8AAAAAAAAAAQAgAAAAIgAAAGRycy9k&#10;b3ducmV2LnhtbFBLAQIUABQAAAAIAIdO4kBVPQzqAAIAANADAAAOAAAAAAAAAAEAIAAAACkBAABk&#10;cnMvZTJvRG9jLnhtbFBLBQYAAAAABgAGAFkBAACbBQAAAAA=&#10;">
                <v:fill on="f" focussize="0,0"/>
                <v:stroke weight="1pt" color="#000000 [3213]" joinstyle="round" dashstyle="dash" endarrow="block"/>
                <v:imagedata o:title=""/>
                <o:lock v:ext="edit" aspectratio="f"/>
              </v:shape>
            </w:pict>
          </mc:Fallback>
        </mc:AlternateContent>
      </w:r>
      <w:r>
        <w:rPr>
          <w:color w:val="auto"/>
          <w:sz w:val="24"/>
        </w:rPr>
        <mc:AlternateContent>
          <mc:Choice Requires="wps">
            <w:drawing>
              <wp:anchor distT="0" distB="0" distL="114300" distR="114300" simplePos="0" relativeHeight="251721728" behindDoc="0" locked="0" layoutInCell="1" allowOverlap="1">
                <wp:simplePos x="0" y="0"/>
                <wp:positionH relativeFrom="column">
                  <wp:posOffset>-359410</wp:posOffset>
                </wp:positionH>
                <wp:positionV relativeFrom="paragraph">
                  <wp:posOffset>88265</wp:posOffset>
                </wp:positionV>
                <wp:extent cx="771525" cy="276225"/>
                <wp:effectExtent l="0" t="0" r="9525" b="9525"/>
                <wp:wrapNone/>
                <wp:docPr id="255" name="文本框 255"/>
                <wp:cNvGraphicFramePr/>
                <a:graphic xmlns:a="http://schemas.openxmlformats.org/drawingml/2006/main">
                  <a:graphicData uri="http://schemas.microsoft.com/office/word/2010/wordprocessingShape">
                    <wps:wsp>
                      <wps:cNvSpPr txBox="1"/>
                      <wps:spPr>
                        <a:xfrm>
                          <a:off x="0" y="0"/>
                          <a:ext cx="771525"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F4E62FD">
                            <w:pPr>
                              <w:jc w:val="both"/>
                              <w:rPr>
                                <w:rFonts w:hint="eastAsia" w:eastAsia="宋体"/>
                                <w:lang w:eastAsia="zh-CN"/>
                              </w:rPr>
                            </w:pPr>
                            <w:r>
                              <w:rPr>
                                <w:rFonts w:hint="eastAsia" w:eastAsia="宋体"/>
                                <w:lang w:eastAsia="zh-CN"/>
                              </w:rPr>
                              <w:t>饲料、水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pt;margin-top:6.95pt;height:21.75pt;width:60.75pt;z-index:251721728;mso-width-relative:page;mso-height-relative:page;" fillcolor="#C7EDCC [3201]" filled="t" stroked="f" coordsize="21600,21600" o:gfxdata="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Dqqws2gAAAAgB&#10;AAAPAAAAAAAAAAEAIAAAACIAAABkcnMvZG93bnJldi54bWxQSwECFAAUAAAACACHTuJAD+SiqlIC&#10;AACSBAAADgAAAAAAAAABACAAAAApAQAAZHJzL2Uyb0RvYy54bWxQSwUGAAAAAAYABgBZAQAA7QUA&#10;AAAA&#10;">
                <v:fill on="t" focussize="0,0"/>
                <v:stroke on="f" weight="0.5pt"/>
                <v:imagedata o:title=""/>
                <o:lock v:ext="edit" aspectratio="f"/>
                <v:textbox>
                  <w:txbxContent>
                    <w:p w14:paraId="4F4E62FD">
                      <w:pPr>
                        <w:jc w:val="both"/>
                        <w:rPr>
                          <w:rFonts w:hint="eastAsia" w:eastAsia="宋体"/>
                          <w:lang w:eastAsia="zh-CN"/>
                        </w:rPr>
                      </w:pPr>
                      <w:r>
                        <w:rPr>
                          <w:rFonts w:hint="eastAsia" w:eastAsia="宋体"/>
                          <w:lang w:eastAsia="zh-CN"/>
                        </w:rPr>
                        <w:t>饲料、水</w:t>
                      </w:r>
                    </w:p>
                  </w:txbxContent>
                </v:textbox>
              </v:shape>
            </w:pict>
          </mc:Fallback>
        </mc:AlternateContent>
      </w:r>
      <w:r>
        <w:rPr>
          <w:color w:val="auto"/>
          <w:sz w:val="24"/>
        </w:rPr>
        <mc:AlternateContent>
          <mc:Choice Requires="wps">
            <w:drawing>
              <wp:anchor distT="0" distB="0" distL="114300" distR="114300" simplePos="0" relativeHeight="251710464" behindDoc="0" locked="0" layoutInCell="1" allowOverlap="1">
                <wp:simplePos x="0" y="0"/>
                <wp:positionH relativeFrom="column">
                  <wp:posOffset>831215</wp:posOffset>
                </wp:positionH>
                <wp:positionV relativeFrom="paragraph">
                  <wp:posOffset>107315</wp:posOffset>
                </wp:positionV>
                <wp:extent cx="771525" cy="276225"/>
                <wp:effectExtent l="4445" t="4445" r="5080" b="5080"/>
                <wp:wrapNone/>
                <wp:docPr id="244" name="文本框 244"/>
                <wp:cNvGraphicFramePr/>
                <a:graphic xmlns:a="http://schemas.openxmlformats.org/drawingml/2006/main">
                  <a:graphicData uri="http://schemas.microsoft.com/office/word/2010/wordprocessingShape">
                    <wps:wsp>
                      <wps:cNvSpPr txBox="1"/>
                      <wps:spPr>
                        <a:xfrm>
                          <a:off x="0" y="0"/>
                          <a:ext cx="77152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BDD03E6">
                            <w:pPr>
                              <w:jc w:val="center"/>
                              <w:rPr>
                                <w:rFonts w:hint="eastAsia" w:eastAsia="宋体"/>
                                <w:lang w:eastAsia="zh-CN"/>
                              </w:rPr>
                            </w:pPr>
                            <w:r>
                              <w:rPr>
                                <w:rFonts w:hint="eastAsia" w:eastAsia="宋体"/>
                                <w:lang w:eastAsia="zh-CN"/>
                              </w:rPr>
                              <w:t>蛋鸡饲养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45pt;margin-top:8.45pt;height:21.75pt;width:60.75pt;z-index:251710464;mso-width-relative:page;mso-height-relative:page;" fillcolor="#C7EDCC [3201]" filled="t" stroked="t" coordsize="21600,21600" o:gfxdata="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B7&#10;a2LZAAAACQEAAA8AAAAAAAAAAQAgAAAAIgAAAGRycy9kb3ducmV2LnhtbFBLAQIUABQAAAAIAIdO&#10;4kBlccPlWwIAALoEAAAOAAAAAAAAAAEAIAAAACgBAABkcnMvZTJvRG9jLnhtbFBLBQYAAAAABgAG&#10;AFkBAAD1BQAAAAA=&#10;">
                <v:fill on="t" focussize="0,0"/>
                <v:stroke weight="0.5pt" color="#000000 [3204]" joinstyle="round"/>
                <v:imagedata o:title=""/>
                <o:lock v:ext="edit" aspectratio="f"/>
                <v:textbox>
                  <w:txbxContent>
                    <w:p w14:paraId="4BDD03E6">
                      <w:pPr>
                        <w:jc w:val="center"/>
                        <w:rPr>
                          <w:rFonts w:hint="eastAsia" w:eastAsia="宋体"/>
                          <w:lang w:eastAsia="zh-CN"/>
                        </w:rPr>
                      </w:pPr>
                      <w:r>
                        <w:rPr>
                          <w:rFonts w:hint="eastAsia" w:eastAsia="宋体"/>
                          <w:lang w:eastAsia="zh-CN"/>
                        </w:rPr>
                        <w:t>蛋鸡饲养</w:t>
                      </w:r>
                    </w:p>
                  </w:txbxContent>
                </v:textbox>
              </v:shape>
            </w:pict>
          </mc:Fallback>
        </mc:AlternateContent>
      </w:r>
      <w:r>
        <w:rPr>
          <w:color w:val="auto"/>
          <w:sz w:val="24"/>
        </w:rPr>
        <mc:AlternateContent>
          <mc:Choice Requires="wps">
            <w:drawing>
              <wp:anchor distT="0" distB="0" distL="114300" distR="114300" simplePos="0" relativeHeight="251720704" behindDoc="0" locked="0" layoutInCell="1" allowOverlap="1">
                <wp:simplePos x="0" y="0"/>
                <wp:positionH relativeFrom="column">
                  <wp:posOffset>398145</wp:posOffset>
                </wp:positionH>
                <wp:positionV relativeFrom="paragraph">
                  <wp:posOffset>250190</wp:posOffset>
                </wp:positionV>
                <wp:extent cx="442595" cy="3810"/>
                <wp:effectExtent l="0" t="34925" r="14605" b="37465"/>
                <wp:wrapNone/>
                <wp:docPr id="253" name="直接箭头连接符 253"/>
                <wp:cNvGraphicFramePr/>
                <a:graphic xmlns:a="http://schemas.openxmlformats.org/drawingml/2006/main">
                  <a:graphicData uri="http://schemas.microsoft.com/office/word/2010/wordprocessingShape">
                    <wps:wsp>
                      <wps:cNvCnPr/>
                      <wps:spPr>
                        <a:xfrm>
                          <a:off x="0" y="0"/>
                          <a:ext cx="442595" cy="381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1.35pt;margin-top:19.7pt;height:0.3pt;width:34.85pt;z-index:251720704;mso-width-relative:page;mso-height-relative:page;" filled="f" stroked="t" coordsize="21600,21600" o:gfxdata="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wsyZO9YAAAAIAQAADwAAAAAAAAABACAAAAAiAAAAZHJzL2Rvd25y&#10;ZXYueG1sUEsBAhQAFAAAAAgAh07iQH98J44AAgAA0QMAAA4AAAAAAAAAAQAgAAAAJQEAAGRycy9l&#10;Mm9Eb2MueG1sUEsFBgAAAAAGAAYAWQEAAJcFAAAAAA==&#10;">
                <v:fill on="f" focussize="0,0"/>
                <v:stroke weight="1pt" color="#000000 [3213]" joinstyle="round" endarrow="block"/>
                <v:imagedata o:title=""/>
                <o:lock v:ext="edit" aspectratio="f"/>
              </v:shape>
            </w:pict>
          </mc:Fallback>
        </mc:AlternateContent>
      </w:r>
    </w:p>
    <w:p w14:paraId="2235CC9A">
      <w:pPr>
        <w:pStyle w:val="37"/>
        <w:rPr>
          <w:rFonts w:hint="eastAsia"/>
          <w:color w:val="auto"/>
          <w:lang w:eastAsia="zh-CN"/>
        </w:rPr>
      </w:pPr>
      <w:r>
        <w:rPr>
          <w:color w:val="auto"/>
          <w:sz w:val="24"/>
        </w:rPr>
        <mc:AlternateContent>
          <mc:Choice Requires="wps">
            <w:drawing>
              <wp:anchor distT="0" distB="0" distL="114300" distR="114300" simplePos="0" relativeHeight="251737088" behindDoc="0" locked="0" layoutInCell="1" allowOverlap="1">
                <wp:simplePos x="0" y="0"/>
                <wp:positionH relativeFrom="column">
                  <wp:posOffset>4122420</wp:posOffset>
                </wp:positionH>
                <wp:positionV relativeFrom="paragraph">
                  <wp:posOffset>194945</wp:posOffset>
                </wp:positionV>
                <wp:extent cx="337820" cy="1905"/>
                <wp:effectExtent l="0" t="37465" r="5080" b="36830"/>
                <wp:wrapNone/>
                <wp:docPr id="275" name="直接箭头连接符 275"/>
                <wp:cNvGraphicFramePr/>
                <a:graphic xmlns:a="http://schemas.openxmlformats.org/drawingml/2006/main">
                  <a:graphicData uri="http://schemas.microsoft.com/office/word/2010/wordprocessingShape">
                    <wps:wsp>
                      <wps:cNvCnPr/>
                      <wps:spPr>
                        <a:xfrm flipV="1">
                          <a:off x="0" y="0"/>
                          <a:ext cx="337820" cy="1905"/>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24.6pt;margin-top:15.35pt;height:0.15pt;width:26.6pt;z-index:251737088;mso-width-relative:page;mso-height-relative:page;" filled="f" stroked="t" coordsize="21600,21600" o:gfxdata="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ujr7/aAAAACQEAAA8AAAAAAAAAAQAgAAAAIgAA&#10;AGRycy9kb3ducmV2LnhtbFBLAQIUABQAAAAIAIdO4kB+7Qr3BgIAANoDAAAOAAAAAAAAAAEAIAAA&#10;ACkBAABkcnMvZTJvRG9jLnhtbFBLBQYAAAAABgAGAFkBAAChBQAAAAA=&#10;">
                <v:fill on="f" focussize="0,0"/>
                <v:stroke weight="1pt" color="#000000 [3213]" joinstyle="round" dashstyle="dash" endarrow="block"/>
                <v:imagedata o:title=""/>
                <o:lock v:ext="edit" aspectratio="f"/>
              </v:shape>
            </w:pict>
          </mc:Fallback>
        </mc:AlternateContent>
      </w:r>
      <w:r>
        <w:rPr>
          <w:color w:val="auto"/>
          <w:sz w:val="24"/>
        </w:rPr>
        <mc:AlternateContent>
          <mc:Choice Requires="wps">
            <w:drawing>
              <wp:anchor distT="0" distB="0" distL="114300" distR="114300" simplePos="0" relativeHeight="251730944" behindDoc="0" locked="0" layoutInCell="1" allowOverlap="1">
                <wp:simplePos x="0" y="0"/>
                <wp:positionH relativeFrom="column">
                  <wp:posOffset>2155190</wp:posOffset>
                </wp:positionH>
                <wp:positionV relativeFrom="paragraph">
                  <wp:posOffset>53975</wp:posOffset>
                </wp:positionV>
                <wp:extent cx="1951355" cy="295910"/>
                <wp:effectExtent l="4445" t="4445" r="6350" b="23495"/>
                <wp:wrapNone/>
                <wp:docPr id="270" name="文本框 270"/>
                <wp:cNvGraphicFramePr/>
                <a:graphic xmlns:a="http://schemas.openxmlformats.org/drawingml/2006/main">
                  <a:graphicData uri="http://schemas.microsoft.com/office/word/2010/wordprocessingShape">
                    <wps:wsp>
                      <wps:cNvSpPr txBox="1"/>
                      <wps:spPr>
                        <a:xfrm>
                          <a:off x="0" y="0"/>
                          <a:ext cx="1951355" cy="2959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B0E9A5F">
                            <w:pPr>
                              <w:jc w:val="center"/>
                              <w:rPr>
                                <w:rFonts w:hint="eastAsia" w:eastAsia="宋体"/>
                                <w:lang w:eastAsia="zh-CN"/>
                              </w:rPr>
                            </w:pPr>
                            <w:r>
                              <w:rPr>
                                <w:rFonts w:hint="eastAsia" w:eastAsia="宋体"/>
                                <w:lang w:eastAsia="zh-CN"/>
                              </w:rPr>
                              <w:t>固废：鸡粪、饲料残渣、羽毛</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7pt;margin-top:4.25pt;height:23.3pt;width:153.65pt;z-index:251730944;mso-width-relative:page;mso-height-relative:page;" fillcolor="#C7EDCC [3201]" filled="t" stroked="t" coordsize="21600,21600" o:gfxdata="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wOtw4NoAAAAIAQAADwAAAAAAAAABACAAAAAiAAAAZHJzL2Rvd25yZXYueG1sUEsBAhQAFAAA&#10;AAgAh07iQEuEkfZfAgAAuwQAAA4AAAAAAAAAAQAgAAAAKQEAAGRycy9lMm9Eb2MueG1sUEsFBgAA&#10;AAAGAAYAWQEAAPoFAAAAAA==&#10;">
                <v:fill on="t" focussize="0,0"/>
                <v:stroke weight="0.5pt" color="#000000 [3204]" joinstyle="round"/>
                <v:imagedata o:title=""/>
                <o:lock v:ext="edit" aspectratio="f"/>
                <v:textbox>
                  <w:txbxContent>
                    <w:p w14:paraId="6B0E9A5F">
                      <w:pPr>
                        <w:jc w:val="center"/>
                        <w:rPr>
                          <w:rFonts w:hint="eastAsia" w:eastAsia="宋体"/>
                          <w:lang w:eastAsia="zh-CN"/>
                        </w:rPr>
                      </w:pPr>
                      <w:r>
                        <w:rPr>
                          <w:rFonts w:hint="eastAsia" w:eastAsia="宋体"/>
                          <w:lang w:eastAsia="zh-CN"/>
                        </w:rPr>
                        <w:t>固废：鸡粪、饲料残渣、羽毛</w:t>
                      </w:r>
                    </w:p>
                  </w:txbxContent>
                </v:textbox>
              </v:shape>
            </w:pict>
          </mc:Fallback>
        </mc:AlternateContent>
      </w:r>
      <w:r>
        <w:rPr>
          <w:color w:val="auto"/>
          <w:sz w:val="24"/>
        </w:rPr>
        <mc:AlternateContent>
          <mc:Choice Requires="wps">
            <w:drawing>
              <wp:anchor distT="0" distB="0" distL="114300" distR="114300" simplePos="0" relativeHeight="251731968" behindDoc="0" locked="0" layoutInCell="1" allowOverlap="1">
                <wp:simplePos x="0" y="0"/>
                <wp:positionH relativeFrom="column">
                  <wp:posOffset>1741170</wp:posOffset>
                </wp:positionH>
                <wp:positionV relativeFrom="paragraph">
                  <wp:posOffset>156845</wp:posOffset>
                </wp:positionV>
                <wp:extent cx="404495" cy="1905"/>
                <wp:effectExtent l="0" t="37465" r="14605" b="36830"/>
                <wp:wrapNone/>
                <wp:docPr id="269" name="直接箭头连接符 269"/>
                <wp:cNvGraphicFramePr/>
                <a:graphic xmlns:a="http://schemas.openxmlformats.org/drawingml/2006/main">
                  <a:graphicData uri="http://schemas.microsoft.com/office/word/2010/wordprocessingShape">
                    <wps:wsp>
                      <wps:cNvCnPr/>
                      <wps:spPr>
                        <a:xfrm flipV="1">
                          <a:off x="0" y="0"/>
                          <a:ext cx="404495" cy="1905"/>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37.1pt;margin-top:12.35pt;height:0.15pt;width:31.85pt;z-index:251731968;mso-width-relative:page;mso-height-relative:page;" filled="f" stroked="t" coordsize="21600,21600" o:gfxdata="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J9kbHaAAAACQEAAA8AAAAAAAAAAQAgAAAAIgAA&#10;AGRycy9kb3ducmV2LnhtbFBLAQIUABQAAAAIAIdO4kDkVJW+BgIAANoDAAAOAAAAAAAAAAEAIAAA&#10;ACkBAABkcnMvZTJvRG9jLnhtbFBLBQYAAAAABgAGAFkBAAChBQAAAAA=&#10;">
                <v:fill on="f" focussize="0,0"/>
                <v:stroke weight="1pt" color="#000000 [3213]" joinstyle="round" dashstyle="dash" endarrow="block"/>
                <v:imagedata o:title=""/>
                <o:lock v:ext="edit" aspectratio="f"/>
              </v:shape>
            </w:pict>
          </mc:Fallback>
        </mc:AlternateContent>
      </w:r>
      <w:r>
        <w:rPr>
          <w:color w:val="auto"/>
          <w:sz w:val="24"/>
        </w:rPr>
        <mc:AlternateContent>
          <mc:Choice Requires="wps">
            <w:drawing>
              <wp:anchor distT="0" distB="0" distL="114300" distR="114300" simplePos="0" relativeHeight="251712512" behindDoc="0" locked="0" layoutInCell="1" allowOverlap="1">
                <wp:simplePos x="0" y="0"/>
                <wp:positionH relativeFrom="column">
                  <wp:posOffset>1226820</wp:posOffset>
                </wp:positionH>
                <wp:positionV relativeFrom="paragraph">
                  <wp:posOffset>121920</wp:posOffset>
                </wp:positionV>
                <wp:extent cx="4445" cy="381000"/>
                <wp:effectExtent l="34290" t="0" r="37465" b="0"/>
                <wp:wrapNone/>
                <wp:docPr id="245" name="直接箭头连接符 245"/>
                <wp:cNvGraphicFramePr/>
                <a:graphic xmlns:a="http://schemas.openxmlformats.org/drawingml/2006/main">
                  <a:graphicData uri="http://schemas.microsoft.com/office/word/2010/wordprocessingShape">
                    <wps:wsp>
                      <wps:cNvCnPr/>
                      <wps:spPr>
                        <a:xfrm>
                          <a:off x="0" y="0"/>
                          <a:ext cx="4445" cy="38100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6.6pt;margin-top:9.6pt;height:30pt;width:0.35pt;z-index:251712512;mso-width-relative:page;mso-height-relative:page;" filled="f" stroked="t" coordsize="21600,21600" o:gfxdata="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tPPLB1QAAAAkBAAAPAAAAAAAAAAEAIAAAACIAAABkcnMvZG93bnJldi54&#10;bWxQSwECFAAUAAAACACHTuJAA9UvZ/0BAADRAwAADgAAAAAAAAABACAAAAAkAQAAZHJzL2Uyb0Rv&#10;Yy54bWxQSwUGAAAAAAYABgBZAQAAkwUAAAAA&#10;">
                <v:fill on="f" focussize="0,0"/>
                <v:stroke weight="1pt" color="#000000 [3213]" joinstyle="round" endarrow="block"/>
                <v:imagedata o:title=""/>
                <o:lock v:ext="edit" aspectratio="f"/>
              </v:shape>
            </w:pict>
          </mc:Fallback>
        </mc:AlternateContent>
      </w:r>
    </w:p>
    <w:p w14:paraId="406500BB">
      <w:pPr>
        <w:rPr>
          <w:rFonts w:hint="eastAsia"/>
          <w:color w:val="auto"/>
          <w:lang w:eastAsia="zh-CN"/>
        </w:rPr>
      </w:pPr>
      <w:r>
        <w:rPr>
          <w:color w:val="auto"/>
          <w:sz w:val="24"/>
        </w:rPr>
        <mc:AlternateContent>
          <mc:Choice Requires="wps">
            <w:drawing>
              <wp:anchor distT="0" distB="0" distL="114300" distR="114300" simplePos="0" relativeHeight="251740160" behindDoc="0" locked="0" layoutInCell="1" allowOverlap="1">
                <wp:simplePos x="0" y="0"/>
                <wp:positionH relativeFrom="column">
                  <wp:posOffset>3507740</wp:posOffset>
                </wp:positionH>
                <wp:positionV relativeFrom="paragraph">
                  <wp:posOffset>114935</wp:posOffset>
                </wp:positionV>
                <wp:extent cx="1637030" cy="428625"/>
                <wp:effectExtent l="4445" t="4445" r="15875" b="5080"/>
                <wp:wrapNone/>
                <wp:docPr id="291" name="文本框 291"/>
                <wp:cNvGraphicFramePr/>
                <a:graphic xmlns:a="http://schemas.openxmlformats.org/drawingml/2006/main">
                  <a:graphicData uri="http://schemas.microsoft.com/office/word/2010/wordprocessingShape">
                    <wps:wsp>
                      <wps:cNvSpPr txBox="1"/>
                      <wps:spPr>
                        <a:xfrm>
                          <a:off x="0" y="0"/>
                          <a:ext cx="1637030" cy="4286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A0FAEC7">
                            <w:pPr>
                              <w:jc w:val="both"/>
                              <w:rPr>
                                <w:rFonts w:hint="eastAsia" w:eastAsia="宋体"/>
                                <w:lang w:eastAsia="zh-CN"/>
                              </w:rPr>
                            </w:pPr>
                            <w:r>
                              <w:rPr>
                                <w:rFonts w:hint="eastAsia" w:eastAsia="宋体"/>
                                <w:lang w:eastAsia="zh-CN"/>
                              </w:rPr>
                              <w:t>暂存于冷柜，委托</w:t>
                            </w:r>
                            <w:r>
                              <w:rPr>
                                <w:rFonts w:hint="eastAsia"/>
                                <w:lang w:eastAsia="zh-CN"/>
                              </w:rPr>
                              <w:t>北票市汇宏动物无害化处理有限公司</w:t>
                            </w:r>
                            <w:r>
                              <w:rPr>
                                <w:rFonts w:hint="eastAsia" w:eastAsia="宋体"/>
                                <w:lang w:eastAsia="zh-CN"/>
                              </w:rPr>
                              <w:t>收集处理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6.2pt;margin-top:9.05pt;height:33.75pt;width:128.9pt;z-index:251740160;mso-width-relative:page;mso-height-relative:page;" fillcolor="#C7EDCC [3201]" filled="t" stroked="t" coordsize="21600,21600" o:gfxdata="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10;4AFv2QAAAAkBAAAPAAAAAAAAAAEAIAAAACIAAABkcnMvZG93bnJldi54bWxQSwECFAAUAAAACACH&#10;TuJArHXE8lwCAAC7BAAADgAAAAAAAAABACAAAAAoAQAAZHJzL2Uyb0RvYy54bWxQSwUGAAAAAAYA&#10;BgBZAQAA9gUAAAAA&#10;">
                <v:fill on="t" focussize="0,0"/>
                <v:stroke weight="0.5pt" color="#000000 [3204]" joinstyle="round"/>
                <v:imagedata o:title=""/>
                <o:lock v:ext="edit" aspectratio="f"/>
                <v:textbox>
                  <w:txbxContent>
                    <w:p w14:paraId="1A0FAEC7">
                      <w:pPr>
                        <w:jc w:val="both"/>
                        <w:rPr>
                          <w:rFonts w:hint="eastAsia" w:eastAsia="宋体"/>
                          <w:lang w:eastAsia="zh-CN"/>
                        </w:rPr>
                      </w:pPr>
                      <w:r>
                        <w:rPr>
                          <w:rFonts w:hint="eastAsia" w:eastAsia="宋体"/>
                          <w:lang w:eastAsia="zh-CN"/>
                        </w:rPr>
                        <w:t>暂存于冷柜，委托</w:t>
                      </w:r>
                      <w:r>
                        <w:rPr>
                          <w:rFonts w:hint="eastAsia"/>
                          <w:lang w:eastAsia="zh-CN"/>
                        </w:rPr>
                        <w:t>北票市汇宏动物无害化处理有限公司</w:t>
                      </w:r>
                      <w:r>
                        <w:rPr>
                          <w:rFonts w:hint="eastAsia" w:eastAsia="宋体"/>
                          <w:lang w:eastAsia="zh-CN"/>
                        </w:rPr>
                        <w:t>收集处理</w:t>
                      </w:r>
                    </w:p>
                  </w:txbxContent>
                </v:textbox>
              </v:shape>
            </w:pict>
          </mc:Fallback>
        </mc:AlternateContent>
      </w:r>
      <w:r>
        <w:rPr>
          <w:color w:val="auto"/>
          <w:sz w:val="24"/>
        </w:rPr>
        <mc:AlternateContent>
          <mc:Choice Requires="wps">
            <w:drawing>
              <wp:anchor distT="0" distB="0" distL="114300" distR="114300" simplePos="0" relativeHeight="251735040" behindDoc="0" locked="0" layoutInCell="1" allowOverlap="1">
                <wp:simplePos x="0" y="0"/>
                <wp:positionH relativeFrom="column">
                  <wp:posOffset>2155190</wp:posOffset>
                </wp:positionH>
                <wp:positionV relativeFrom="paragraph">
                  <wp:posOffset>86360</wp:posOffset>
                </wp:positionV>
                <wp:extent cx="1018540" cy="266700"/>
                <wp:effectExtent l="4445" t="4445" r="5715" b="14605"/>
                <wp:wrapNone/>
                <wp:docPr id="274" name="文本框 274"/>
                <wp:cNvGraphicFramePr/>
                <a:graphic xmlns:a="http://schemas.openxmlformats.org/drawingml/2006/main">
                  <a:graphicData uri="http://schemas.microsoft.com/office/word/2010/wordprocessingShape">
                    <wps:wsp>
                      <wps:cNvSpPr txBox="1"/>
                      <wps:spPr>
                        <a:xfrm>
                          <a:off x="0" y="0"/>
                          <a:ext cx="1018540"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BC6E843">
                            <w:pPr>
                              <w:jc w:val="both"/>
                              <w:rPr>
                                <w:rFonts w:hint="eastAsia" w:eastAsia="宋体"/>
                                <w:lang w:eastAsia="zh-CN"/>
                              </w:rPr>
                            </w:pPr>
                            <w:r>
                              <w:rPr>
                                <w:rFonts w:hint="eastAsia" w:eastAsia="宋体"/>
                                <w:lang w:eastAsia="zh-CN"/>
                              </w:rPr>
                              <w:t>固废：病死鸡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7pt;margin-top:6.8pt;height:21pt;width:80.2pt;z-index:251735040;mso-width-relative:page;mso-height-relative:page;" fillcolor="#C7EDCC [3201]" filled="t" stroked="t" coordsize="21600,21600" o:gfxdata="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4zCAPdoAAAAJAQAADwAAAAAAAAABACAAAAAiAAAAZHJzL2Rvd25yZXYueG1sUEsBAhQAFAAA&#10;AAgAh07iQOUoG49fAgAAuwQAAA4AAAAAAAAAAQAgAAAAKQEAAGRycy9lMm9Eb2MueG1sUEsFBgAA&#10;AAAGAAYAWQEAAPoFAAAAAA==&#10;">
                <v:fill on="t" focussize="0,0"/>
                <v:stroke weight="0.5pt" color="#000000 [3204]" joinstyle="round"/>
                <v:imagedata o:title=""/>
                <o:lock v:ext="edit" aspectratio="f"/>
                <v:textbox>
                  <w:txbxContent>
                    <w:p w14:paraId="6BC6E843">
                      <w:pPr>
                        <w:jc w:val="both"/>
                        <w:rPr>
                          <w:rFonts w:hint="eastAsia" w:eastAsia="宋体"/>
                          <w:lang w:eastAsia="zh-CN"/>
                        </w:rPr>
                      </w:pPr>
                      <w:r>
                        <w:rPr>
                          <w:rFonts w:hint="eastAsia" w:eastAsia="宋体"/>
                          <w:lang w:eastAsia="zh-CN"/>
                        </w:rPr>
                        <w:t>固废：病死鸡</w:t>
                      </w:r>
                    </w:p>
                  </w:txbxContent>
                </v:textbox>
              </v:shape>
            </w:pict>
          </mc:Fallback>
        </mc:AlternateContent>
      </w:r>
    </w:p>
    <w:p w14:paraId="21B34322">
      <w:pPr>
        <w:pStyle w:val="68"/>
        <w:rPr>
          <w:rFonts w:hint="eastAsia"/>
          <w:color w:val="auto"/>
          <w:lang w:eastAsia="zh-CN"/>
        </w:rPr>
      </w:pPr>
      <w:r>
        <w:rPr>
          <w:color w:val="auto"/>
          <w:sz w:val="24"/>
        </w:rPr>
        <mc:AlternateContent>
          <mc:Choice Requires="wps">
            <w:drawing>
              <wp:anchor distT="0" distB="0" distL="114300" distR="114300" simplePos="0" relativeHeight="251738112" behindDoc="0" locked="0" layoutInCell="1" allowOverlap="1">
                <wp:simplePos x="0" y="0"/>
                <wp:positionH relativeFrom="column">
                  <wp:posOffset>2155190</wp:posOffset>
                </wp:positionH>
                <wp:positionV relativeFrom="paragraph">
                  <wp:posOffset>208915</wp:posOffset>
                </wp:positionV>
                <wp:extent cx="1009015" cy="266700"/>
                <wp:effectExtent l="4445" t="5080" r="15240" b="13970"/>
                <wp:wrapNone/>
                <wp:docPr id="289" name="文本框 289"/>
                <wp:cNvGraphicFramePr/>
                <a:graphic xmlns:a="http://schemas.openxmlformats.org/drawingml/2006/main">
                  <a:graphicData uri="http://schemas.microsoft.com/office/word/2010/wordprocessingShape">
                    <wps:wsp>
                      <wps:cNvSpPr txBox="1"/>
                      <wps:spPr>
                        <a:xfrm>
                          <a:off x="0" y="0"/>
                          <a:ext cx="1009015"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9F17913">
                            <w:pPr>
                              <w:jc w:val="both"/>
                              <w:rPr>
                                <w:rFonts w:hint="eastAsia" w:eastAsia="宋体"/>
                                <w:lang w:eastAsia="zh-CN"/>
                              </w:rPr>
                            </w:pPr>
                            <w:r>
                              <w:rPr>
                                <w:rFonts w:hint="eastAsia" w:eastAsia="宋体"/>
                                <w:lang w:eastAsia="zh-CN"/>
                              </w:rPr>
                              <w:t>固废：淘汰鸡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7pt;margin-top:16.45pt;height:21pt;width:79.45pt;z-index:251738112;mso-width-relative:page;mso-height-relative:page;" fillcolor="#C7EDCC [3201]" filled="t" stroked="t" coordsize="21600,21600" o:gfxdata="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J/in+PaAAAACQEAAA8AAAAAAAAAAQAgAAAAIgAAAGRycy9kb3ducmV2LnhtbFBLAQIUABQA&#10;AAAIAIdO4kAormg/YAIAALsEAAAOAAAAAAAAAAEAIAAAACkBAABkcnMvZTJvRG9jLnhtbFBLBQYA&#10;AAAABgAGAFkBAAD7BQAAAAA=&#10;">
                <v:fill on="t" focussize="0,0"/>
                <v:stroke weight="0.5pt" color="#000000 [3204]" joinstyle="round"/>
                <v:imagedata o:title=""/>
                <o:lock v:ext="edit" aspectratio="f"/>
                <v:textbox>
                  <w:txbxContent>
                    <w:p w14:paraId="69F17913">
                      <w:pPr>
                        <w:jc w:val="both"/>
                        <w:rPr>
                          <w:rFonts w:hint="eastAsia" w:eastAsia="宋体"/>
                          <w:lang w:eastAsia="zh-CN"/>
                        </w:rPr>
                      </w:pPr>
                      <w:r>
                        <w:rPr>
                          <w:rFonts w:hint="eastAsia" w:eastAsia="宋体"/>
                          <w:lang w:eastAsia="zh-CN"/>
                        </w:rPr>
                        <w:t>固废：淘汰鸡</w:t>
                      </w:r>
                    </w:p>
                  </w:txbxContent>
                </v:textbox>
              </v:shape>
            </w:pict>
          </mc:Fallback>
        </mc:AlternateContent>
      </w:r>
      <w:r>
        <w:rPr>
          <w:color w:val="auto"/>
          <w:sz w:val="24"/>
        </w:rPr>
        <mc:AlternateContent>
          <mc:Choice Requires="wps">
            <w:drawing>
              <wp:anchor distT="0" distB="0" distL="114300" distR="114300" simplePos="0" relativeHeight="251739136" behindDoc="0" locked="0" layoutInCell="1" allowOverlap="1">
                <wp:simplePos x="0" y="0"/>
                <wp:positionH relativeFrom="column">
                  <wp:posOffset>3179445</wp:posOffset>
                </wp:positionH>
                <wp:positionV relativeFrom="paragraph">
                  <wp:posOffset>92710</wp:posOffset>
                </wp:positionV>
                <wp:extent cx="337820" cy="1905"/>
                <wp:effectExtent l="0" t="37465" r="5080" b="36830"/>
                <wp:wrapNone/>
                <wp:docPr id="288" name="直接箭头连接符 288"/>
                <wp:cNvGraphicFramePr/>
                <a:graphic xmlns:a="http://schemas.openxmlformats.org/drawingml/2006/main">
                  <a:graphicData uri="http://schemas.microsoft.com/office/word/2010/wordprocessingShape">
                    <wps:wsp>
                      <wps:cNvCnPr/>
                      <wps:spPr>
                        <a:xfrm flipV="1">
                          <a:off x="0" y="0"/>
                          <a:ext cx="337820" cy="1905"/>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50.35pt;margin-top:7.3pt;height:0.15pt;width:26.6pt;z-index:251739136;mso-width-relative:page;mso-height-relative:page;" filled="f" stroked="t" coordsize="21600,21600" o:gfxdata="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mOXt9oAAAAJAQAADwAAAAAAAAABACAAAAAiAAAA&#10;ZHJzL2Rvd25yZXYueG1sUEsBAhQAFAAAAAgAh07iQKC4nNAFAgAA2gMAAA4AAAAAAAAAAQAgAAAA&#10;KQEAAGRycy9lMm9Eb2MueG1sUEsFBgAAAAAGAAYAWQEAAKAFAAAAAA==&#10;">
                <v:fill on="f" focussize="0,0"/>
                <v:stroke weight="1pt" color="#000000 [3213]" joinstyle="round" dashstyle="dash" endarrow="block"/>
                <v:imagedata o:title=""/>
                <o:lock v:ext="edit" aspectratio="f"/>
              </v:shape>
            </w:pict>
          </mc:Fallback>
        </mc:AlternateContent>
      </w:r>
      <w:r>
        <w:rPr>
          <w:color w:val="auto"/>
          <w:sz w:val="24"/>
        </w:rPr>
        <mc:AlternateContent>
          <mc:Choice Requires="wps">
            <w:drawing>
              <wp:anchor distT="0" distB="0" distL="114300" distR="114300" simplePos="0" relativeHeight="251711488" behindDoc="0" locked="0" layoutInCell="1" allowOverlap="1">
                <wp:simplePos x="0" y="0"/>
                <wp:positionH relativeFrom="column">
                  <wp:posOffset>916940</wp:posOffset>
                </wp:positionH>
                <wp:positionV relativeFrom="paragraph">
                  <wp:posOffset>75565</wp:posOffset>
                </wp:positionV>
                <wp:extent cx="619125" cy="276225"/>
                <wp:effectExtent l="4445" t="4445" r="5080" b="5080"/>
                <wp:wrapNone/>
                <wp:docPr id="246" name="文本框 246"/>
                <wp:cNvGraphicFramePr/>
                <a:graphic xmlns:a="http://schemas.openxmlformats.org/drawingml/2006/main">
                  <a:graphicData uri="http://schemas.microsoft.com/office/word/2010/wordprocessingShape">
                    <wps:wsp>
                      <wps:cNvSpPr txBox="1"/>
                      <wps:spPr>
                        <a:xfrm>
                          <a:off x="0" y="0"/>
                          <a:ext cx="61912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43CE965">
                            <w:pPr>
                              <w:jc w:val="center"/>
                              <w:rPr>
                                <w:rFonts w:hint="eastAsia" w:eastAsia="宋体"/>
                                <w:lang w:eastAsia="zh-CN"/>
                              </w:rPr>
                            </w:pPr>
                            <w:r>
                              <w:rPr>
                                <w:rFonts w:hint="eastAsia" w:eastAsia="宋体"/>
                                <w:lang w:eastAsia="zh-CN"/>
                              </w:rPr>
                              <w:t>鸡蛋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2pt;margin-top:5.95pt;height:21.75pt;width:48.75pt;z-index:251711488;mso-width-relative:page;mso-height-relative:page;" fillcolor="#C7EDCC [3201]" filled="t" stroked="t" coordsize="21600,21600" o:gfxdata="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jksl&#10;5dgAAAAJAQAADwAAAAAAAAABACAAAAAiAAAAZHJzL2Rvd25yZXYueG1sUEsBAhQAFAAAAAgAh07i&#10;QDiRouhbAgAAugQAAA4AAAAAAAAAAQAgAAAAJwEAAGRycy9lMm9Eb2MueG1sUEsFBgAAAAAGAAYA&#10;WQEAAPQFAAAAAA==&#10;">
                <v:fill on="t" focussize="0,0"/>
                <v:stroke weight="0.5pt" color="#000000 [3204]" joinstyle="round"/>
                <v:imagedata o:title=""/>
                <o:lock v:ext="edit" aspectratio="f"/>
                <v:textbox>
                  <w:txbxContent>
                    <w:p w14:paraId="143CE965">
                      <w:pPr>
                        <w:jc w:val="center"/>
                        <w:rPr>
                          <w:rFonts w:hint="eastAsia" w:eastAsia="宋体"/>
                          <w:lang w:eastAsia="zh-CN"/>
                        </w:rPr>
                      </w:pPr>
                      <w:r>
                        <w:rPr>
                          <w:rFonts w:hint="eastAsia" w:eastAsia="宋体"/>
                          <w:lang w:eastAsia="zh-CN"/>
                        </w:rPr>
                        <w:t>鸡蛋</w:t>
                      </w:r>
                    </w:p>
                  </w:txbxContent>
                </v:textbox>
              </v:shape>
            </w:pict>
          </mc:Fallback>
        </mc:AlternateContent>
      </w:r>
    </w:p>
    <w:p w14:paraId="553A1E7F">
      <w:pPr>
        <w:pStyle w:val="37"/>
        <w:rPr>
          <w:rFonts w:hint="eastAsia"/>
          <w:color w:val="auto"/>
          <w:lang w:eastAsia="zh-CN"/>
        </w:rPr>
      </w:pPr>
      <w:r>
        <w:rPr>
          <w:color w:val="auto"/>
          <w:sz w:val="24"/>
        </w:rPr>
        <mc:AlternateContent>
          <mc:Choice Requires="wps">
            <w:drawing>
              <wp:anchor distT="0" distB="0" distL="114300" distR="114300" simplePos="0" relativeHeight="251741184" behindDoc="0" locked="0" layoutInCell="1" allowOverlap="1">
                <wp:simplePos x="0" y="0"/>
                <wp:positionH relativeFrom="column">
                  <wp:posOffset>3631565</wp:posOffset>
                </wp:positionH>
                <wp:positionV relativeFrom="paragraph">
                  <wp:posOffset>155575</wp:posOffset>
                </wp:positionV>
                <wp:extent cx="2045335" cy="486410"/>
                <wp:effectExtent l="4445" t="5080" r="7620" b="22860"/>
                <wp:wrapNone/>
                <wp:docPr id="294" name="文本框 294"/>
                <wp:cNvGraphicFramePr/>
                <a:graphic xmlns:a="http://schemas.openxmlformats.org/drawingml/2006/main">
                  <a:graphicData uri="http://schemas.microsoft.com/office/word/2010/wordprocessingShape">
                    <wps:wsp>
                      <wps:cNvSpPr txBox="1"/>
                      <wps:spPr>
                        <a:xfrm>
                          <a:off x="0" y="0"/>
                          <a:ext cx="2045335" cy="4864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0537175">
                            <w:pPr>
                              <w:rPr>
                                <w:rFonts w:hint="eastAsia"/>
                                <w:lang w:eastAsia="zh-CN"/>
                              </w:rPr>
                            </w:pPr>
                            <w:r>
                              <w:rPr>
                                <w:rFonts w:hint="eastAsia"/>
                                <w:color w:val="auto"/>
                                <w:szCs w:val="21"/>
                                <w:lang w:val="en-US" w:eastAsia="zh-CN"/>
                              </w:rPr>
                              <w:t>在厂区内医疗废物暂存间</w:t>
                            </w:r>
                            <w:r>
                              <w:rPr>
                                <w:rFonts w:hint="eastAsia"/>
                                <w:color w:val="auto"/>
                                <w:szCs w:val="21"/>
                              </w:rPr>
                              <w:t>暂存</w:t>
                            </w:r>
                            <w:r>
                              <w:rPr>
                                <w:rFonts w:hint="eastAsia"/>
                                <w:color w:val="auto"/>
                                <w:szCs w:val="21"/>
                                <w:lang w:eastAsia="zh-CN"/>
                              </w:rPr>
                              <w:t>，委托有资质单位定期收集处理。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95pt;margin-top:12.25pt;height:38.3pt;width:161.05pt;z-index:251741184;mso-width-relative:page;mso-height-relative:page;" fillcolor="#C7EDCC [3201]" filled="t" stroked="t" coordsize="21600,21600" o:gfxdata="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RR15ZdkAAAAKAQAADwAAAAAAAAABACAAAAAiAAAAZHJzL2Rvd25yZXYueG1sUEsBAhQAFAAA&#10;AAgAh07iQPPkJmtgAgAAuwQAAA4AAAAAAAAAAQAgAAAAKAEAAGRycy9lMm9Eb2MueG1sUEsFBgAA&#10;AAAGAAYAWQEAAPoFAAAAAA==&#10;">
                <v:fill on="t" focussize="0,0"/>
                <v:stroke weight="0.5pt" color="#000000 [3204]" joinstyle="round"/>
                <v:imagedata o:title=""/>
                <o:lock v:ext="edit" aspectratio="f"/>
                <v:textbox>
                  <w:txbxContent>
                    <w:p w14:paraId="50537175">
                      <w:pPr>
                        <w:rPr>
                          <w:rFonts w:hint="eastAsia"/>
                          <w:lang w:eastAsia="zh-CN"/>
                        </w:rPr>
                      </w:pPr>
                      <w:r>
                        <w:rPr>
                          <w:rFonts w:hint="eastAsia"/>
                          <w:color w:val="auto"/>
                          <w:szCs w:val="21"/>
                          <w:lang w:val="en-US" w:eastAsia="zh-CN"/>
                        </w:rPr>
                        <w:t>在厂区内医疗废物暂存间</w:t>
                      </w:r>
                      <w:r>
                        <w:rPr>
                          <w:rFonts w:hint="eastAsia"/>
                          <w:color w:val="auto"/>
                          <w:szCs w:val="21"/>
                        </w:rPr>
                        <w:t>暂存</w:t>
                      </w:r>
                      <w:r>
                        <w:rPr>
                          <w:rFonts w:hint="eastAsia"/>
                          <w:color w:val="auto"/>
                          <w:szCs w:val="21"/>
                          <w:lang w:eastAsia="zh-CN"/>
                        </w:rPr>
                        <w:t>，委托有资质单位定期收集处理。</w:t>
                      </w:r>
                    </w:p>
                  </w:txbxContent>
                </v:textbox>
              </v:shape>
            </w:pict>
          </mc:Fallback>
        </mc:AlternateContent>
      </w:r>
      <w:r>
        <w:rPr>
          <w:color w:val="auto"/>
          <w:sz w:val="24"/>
        </w:rPr>
        <mc:AlternateContent>
          <mc:Choice Requires="wps">
            <w:drawing>
              <wp:anchor distT="0" distB="0" distL="114300" distR="114300" simplePos="0" relativeHeight="251742208" behindDoc="0" locked="0" layoutInCell="1" allowOverlap="1">
                <wp:simplePos x="0" y="0"/>
                <wp:positionH relativeFrom="column">
                  <wp:posOffset>2155190</wp:posOffset>
                </wp:positionH>
                <wp:positionV relativeFrom="paragraph">
                  <wp:posOffset>203200</wp:posOffset>
                </wp:positionV>
                <wp:extent cx="1151890" cy="266700"/>
                <wp:effectExtent l="4445" t="5080" r="5715" b="13970"/>
                <wp:wrapNone/>
                <wp:docPr id="292" name="文本框 292"/>
                <wp:cNvGraphicFramePr/>
                <a:graphic xmlns:a="http://schemas.openxmlformats.org/drawingml/2006/main">
                  <a:graphicData uri="http://schemas.microsoft.com/office/word/2010/wordprocessingShape">
                    <wps:wsp>
                      <wps:cNvSpPr txBox="1"/>
                      <wps:spPr>
                        <a:xfrm>
                          <a:off x="0" y="0"/>
                          <a:ext cx="1151890"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4B02DD8">
                            <w:pPr>
                              <w:jc w:val="both"/>
                              <w:rPr>
                                <w:rFonts w:hint="eastAsia" w:eastAsia="宋体"/>
                                <w:lang w:eastAsia="zh-CN"/>
                              </w:rPr>
                            </w:pPr>
                            <w:r>
                              <w:rPr>
                                <w:rFonts w:hint="eastAsia" w:eastAsia="宋体"/>
                                <w:lang w:eastAsia="zh-CN"/>
                              </w:rPr>
                              <w:t>固废：医疗废物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7pt;margin-top:16pt;height:21pt;width:90.7pt;z-index:251742208;mso-width-relative:page;mso-height-relative:page;" fillcolor="#C7EDCC [3201]" filled="t" stroked="t" coordsize="21600,21600" o:gfxdata="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J5EAZPaAAAACQEAAA8AAAAAAAAAAQAgAAAAIgAAAGRycy9kb3ducmV2LnhtbFBLAQIUABQA&#10;AAAIAIdO4kCzsvlIYAIAALsEAAAOAAAAAAAAAAEAIAAAACkBAABkcnMvZTJvRG9jLnhtbFBLBQYA&#10;AAAABgAGAFkBAAD7BQAAAAA=&#10;">
                <v:fill on="t" focussize="0,0"/>
                <v:stroke weight="0.5pt" color="#000000 [3204]" joinstyle="round"/>
                <v:imagedata o:title=""/>
                <o:lock v:ext="edit" aspectratio="f"/>
                <v:textbox>
                  <w:txbxContent>
                    <w:p w14:paraId="54B02DD8">
                      <w:pPr>
                        <w:jc w:val="both"/>
                        <w:rPr>
                          <w:rFonts w:hint="eastAsia" w:eastAsia="宋体"/>
                          <w:lang w:eastAsia="zh-CN"/>
                        </w:rPr>
                      </w:pPr>
                      <w:r>
                        <w:rPr>
                          <w:rFonts w:hint="eastAsia" w:eastAsia="宋体"/>
                          <w:lang w:eastAsia="zh-CN"/>
                        </w:rPr>
                        <w:t>固废：医疗废物</w:t>
                      </w:r>
                    </w:p>
                  </w:txbxContent>
                </v:textbox>
              </v:shape>
            </w:pict>
          </mc:Fallback>
        </mc:AlternateContent>
      </w:r>
      <w:r>
        <w:rPr>
          <w:color w:val="auto"/>
          <w:sz w:val="24"/>
        </w:rPr>
        <mc:AlternateContent>
          <mc:Choice Requires="wps">
            <w:drawing>
              <wp:anchor distT="0" distB="0" distL="114300" distR="114300" simplePos="0" relativeHeight="251715584" behindDoc="0" locked="0" layoutInCell="1" allowOverlap="1">
                <wp:simplePos x="0" y="0"/>
                <wp:positionH relativeFrom="column">
                  <wp:posOffset>1236345</wp:posOffset>
                </wp:positionH>
                <wp:positionV relativeFrom="paragraph">
                  <wp:posOffset>99695</wp:posOffset>
                </wp:positionV>
                <wp:extent cx="4445" cy="381000"/>
                <wp:effectExtent l="34290" t="0" r="37465" b="0"/>
                <wp:wrapNone/>
                <wp:docPr id="247" name="直接箭头连接符 247"/>
                <wp:cNvGraphicFramePr/>
                <a:graphic xmlns:a="http://schemas.openxmlformats.org/drawingml/2006/main">
                  <a:graphicData uri="http://schemas.microsoft.com/office/word/2010/wordprocessingShape">
                    <wps:wsp>
                      <wps:cNvCnPr/>
                      <wps:spPr>
                        <a:xfrm>
                          <a:off x="0" y="0"/>
                          <a:ext cx="4445" cy="38100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7.35pt;margin-top:7.85pt;height:30pt;width:0.35pt;z-index:251715584;mso-width-relative:page;mso-height-relative:page;" filled="f" stroked="t" coordsize="21600,21600" o:gfxdata="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M1/gpdYAAAAJAQAADwAAAAAAAAABACAAAAAiAAAAZHJzL2Rvd25y&#10;ZXYueG1sUEsBAhQAFAAAAAgAh07iQC6eXEEAAgAA0QMAAA4AAAAAAAAAAQAgAAAAJQEAAGRycy9l&#10;Mm9Eb2MueG1sUEsFBgAAAAAGAAYAWQEAAJcFAAAAAA==&#10;">
                <v:fill on="f" focussize="0,0"/>
                <v:stroke weight="1pt" color="#000000 [3213]" joinstyle="round" endarrow="block"/>
                <v:imagedata o:title=""/>
                <o:lock v:ext="edit" aspectratio="f"/>
              </v:shape>
            </w:pict>
          </mc:Fallback>
        </mc:AlternateContent>
      </w:r>
    </w:p>
    <w:p w14:paraId="592FB65A">
      <w:pPr>
        <w:rPr>
          <w:rFonts w:hint="eastAsia"/>
          <w:color w:val="auto"/>
          <w:lang w:eastAsia="zh-CN"/>
        </w:rPr>
      </w:pPr>
      <w:r>
        <w:rPr>
          <w:color w:val="auto"/>
          <w:sz w:val="24"/>
        </w:rPr>
        <mc:AlternateContent>
          <mc:Choice Requires="wps">
            <w:drawing>
              <wp:anchor distT="0" distB="0" distL="114300" distR="114300" simplePos="0" relativeHeight="251743232" behindDoc="0" locked="0" layoutInCell="1" allowOverlap="1">
                <wp:simplePos x="0" y="0"/>
                <wp:positionH relativeFrom="column">
                  <wp:posOffset>3312795</wp:posOffset>
                </wp:positionH>
                <wp:positionV relativeFrom="paragraph">
                  <wp:posOffset>81280</wp:posOffset>
                </wp:positionV>
                <wp:extent cx="337820" cy="1905"/>
                <wp:effectExtent l="0" t="37465" r="5080" b="36830"/>
                <wp:wrapNone/>
                <wp:docPr id="293" name="直接箭头连接符 293"/>
                <wp:cNvGraphicFramePr/>
                <a:graphic xmlns:a="http://schemas.openxmlformats.org/drawingml/2006/main">
                  <a:graphicData uri="http://schemas.microsoft.com/office/word/2010/wordprocessingShape">
                    <wps:wsp>
                      <wps:cNvCnPr/>
                      <wps:spPr>
                        <a:xfrm flipV="1">
                          <a:off x="0" y="0"/>
                          <a:ext cx="337820" cy="1905"/>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60.85pt;margin-top:6.4pt;height:0.15pt;width:26.6pt;z-index:251743232;mso-width-relative:page;mso-height-relative:page;" filled="f" stroked="t" coordsize="21600,21600" o:gfxdata="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u+08zaAAAACQEAAA8AAAAAAAAAAQAgAAAAIgAA&#10;AGRycy9kb3ducmV2LnhtbFBLAQIUABQAAAAIAIdO4kBE/x8rBgIAANoDAAAOAAAAAAAAAAEAIAAA&#10;ACkBAABkcnMvZTJvRG9jLnhtbFBLBQYAAAAABgAGAFkBAAChBQAAAAA=&#10;">
                <v:fill on="f" focussize="0,0"/>
                <v:stroke weight="1pt" color="#000000 [3213]" joinstyle="round" dashstyle="dash" endarrow="block"/>
                <v:imagedata o:title=""/>
                <o:lock v:ext="edit" aspectratio="f"/>
              </v:shape>
            </w:pict>
          </mc:Fallback>
        </mc:AlternateContent>
      </w:r>
    </w:p>
    <w:p w14:paraId="499FDA6D">
      <w:pPr>
        <w:pStyle w:val="68"/>
        <w:rPr>
          <w:rFonts w:hint="eastAsia"/>
          <w:color w:val="auto"/>
          <w:lang w:eastAsia="zh-CN"/>
        </w:rPr>
      </w:pPr>
      <w:r>
        <w:rPr>
          <w:color w:val="auto"/>
          <w:sz w:val="24"/>
        </w:rPr>
        <mc:AlternateContent>
          <mc:Choice Requires="wps">
            <w:drawing>
              <wp:anchor distT="0" distB="0" distL="114300" distR="114300" simplePos="0" relativeHeight="251717632" behindDoc="0" locked="0" layoutInCell="1" allowOverlap="1">
                <wp:simplePos x="0" y="0"/>
                <wp:positionH relativeFrom="column">
                  <wp:posOffset>935990</wp:posOffset>
                </wp:positionH>
                <wp:positionV relativeFrom="paragraph">
                  <wp:posOffset>53975</wp:posOffset>
                </wp:positionV>
                <wp:extent cx="619125" cy="276225"/>
                <wp:effectExtent l="4445" t="4445" r="5080" b="5080"/>
                <wp:wrapNone/>
                <wp:docPr id="248" name="文本框 248"/>
                <wp:cNvGraphicFramePr/>
                <a:graphic xmlns:a="http://schemas.openxmlformats.org/drawingml/2006/main">
                  <a:graphicData uri="http://schemas.microsoft.com/office/word/2010/wordprocessingShape">
                    <wps:wsp>
                      <wps:cNvSpPr txBox="1"/>
                      <wps:spPr>
                        <a:xfrm>
                          <a:off x="0" y="0"/>
                          <a:ext cx="61912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9EDB27C">
                            <w:pPr>
                              <w:jc w:val="center"/>
                              <w:rPr>
                                <w:rFonts w:hint="eastAsia" w:eastAsia="宋体"/>
                                <w:lang w:eastAsia="zh-CN"/>
                              </w:rPr>
                            </w:pPr>
                            <w:r>
                              <w:rPr>
                                <w:rFonts w:hint="eastAsia" w:eastAsia="宋体"/>
                                <w:lang w:eastAsia="zh-CN"/>
                              </w:rPr>
                              <w:t>包装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7pt;margin-top:4.25pt;height:21.75pt;width:48.75pt;z-index:251717632;mso-width-relative:page;mso-height-relative:page;" fillcolor="#C7EDCC [3201]" filled="t" stroked="t" coordsize="21600,21600" o:gfxdata="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AYa2&#10;D9gAAAAIAQAADwAAAAAAAAABACAAAAAiAAAAZHJzL2Rvd25yZXYueG1sUEsBAhQAFAAAAAgAh07i&#10;QNJ7dKhbAgAAugQAAA4AAAAAAAAAAQAgAAAAJwEAAGRycy9lMm9Eb2MueG1sUEsFBgAAAAAGAAYA&#10;WQEAAPQFAAAAAA==&#10;">
                <v:fill on="t" focussize="0,0"/>
                <v:stroke weight="0.5pt" color="#000000 [3204]" joinstyle="round"/>
                <v:imagedata o:title=""/>
                <o:lock v:ext="edit" aspectratio="f"/>
                <v:textbox>
                  <w:txbxContent>
                    <w:p w14:paraId="69EDB27C">
                      <w:pPr>
                        <w:jc w:val="center"/>
                        <w:rPr>
                          <w:rFonts w:hint="eastAsia" w:eastAsia="宋体"/>
                          <w:lang w:eastAsia="zh-CN"/>
                        </w:rPr>
                      </w:pPr>
                      <w:r>
                        <w:rPr>
                          <w:rFonts w:hint="eastAsia" w:eastAsia="宋体"/>
                          <w:lang w:eastAsia="zh-CN"/>
                        </w:rPr>
                        <w:t>包装</w:t>
                      </w:r>
                    </w:p>
                  </w:txbxContent>
                </v:textbox>
              </v:shape>
            </w:pict>
          </mc:Fallback>
        </mc:AlternateContent>
      </w:r>
      <w:r>
        <w:rPr>
          <w:color w:val="auto"/>
          <w:sz w:val="24"/>
        </w:rPr>
        <mc:AlternateContent>
          <mc:Choice Requires="wps">
            <w:drawing>
              <wp:anchor distT="0" distB="0" distL="114300" distR="114300" simplePos="0" relativeHeight="251727872" behindDoc="0" locked="0" layoutInCell="1" allowOverlap="1">
                <wp:simplePos x="0" y="0"/>
                <wp:positionH relativeFrom="column">
                  <wp:posOffset>20955</wp:posOffset>
                </wp:positionH>
                <wp:positionV relativeFrom="paragraph">
                  <wp:posOffset>73025</wp:posOffset>
                </wp:positionV>
                <wp:extent cx="534035" cy="276225"/>
                <wp:effectExtent l="0" t="0" r="18415" b="9525"/>
                <wp:wrapNone/>
                <wp:docPr id="266" name="文本框 266"/>
                <wp:cNvGraphicFramePr/>
                <a:graphic xmlns:a="http://schemas.openxmlformats.org/drawingml/2006/main">
                  <a:graphicData uri="http://schemas.microsoft.com/office/word/2010/wordprocessingShape">
                    <wps:wsp>
                      <wps:cNvSpPr txBox="1"/>
                      <wps:spPr>
                        <a:xfrm>
                          <a:off x="0" y="0"/>
                          <a:ext cx="534035"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A835751">
                            <w:pPr>
                              <w:jc w:val="center"/>
                              <w:rPr>
                                <w:rFonts w:hint="eastAsia" w:eastAsia="宋体"/>
                                <w:lang w:eastAsia="zh-CN"/>
                              </w:rPr>
                            </w:pPr>
                            <w:r>
                              <w:rPr>
                                <w:rFonts w:hint="eastAsia" w:eastAsia="宋体"/>
                                <w:lang w:eastAsia="zh-CN"/>
                              </w:rPr>
                              <w:t>蛋箱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pt;margin-top:5.75pt;height:21.75pt;width:42.05pt;z-index:251727872;mso-width-relative:page;mso-height-relative:page;" fillcolor="#C7EDCC [3201]" filled="t" stroked="f" coordsize="21600,21600" o:gfxdata="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cEfvzXAAAABgEA&#10;AA8AAAAAAAAAAQAgAAAAIgAAAGRycy9kb3ducmV2LnhtbFBLAQIUABQAAAAIAIdO4kCuyxc1VAIA&#10;AJIEAAAOAAAAAAAAAAEAIAAAACYBAABkcnMvZTJvRG9jLnhtbFBLBQYAAAAABgAGAFkBAADsBQAA&#10;AAA=&#10;">
                <v:fill on="t" focussize="0,0"/>
                <v:stroke on="f" weight="0.5pt"/>
                <v:imagedata o:title=""/>
                <o:lock v:ext="edit" aspectratio="f"/>
                <v:textbox>
                  <w:txbxContent>
                    <w:p w14:paraId="5A835751">
                      <w:pPr>
                        <w:jc w:val="center"/>
                        <w:rPr>
                          <w:rFonts w:hint="eastAsia" w:eastAsia="宋体"/>
                          <w:lang w:eastAsia="zh-CN"/>
                        </w:rPr>
                      </w:pPr>
                      <w:r>
                        <w:rPr>
                          <w:rFonts w:hint="eastAsia" w:eastAsia="宋体"/>
                          <w:lang w:eastAsia="zh-CN"/>
                        </w:rPr>
                        <w:t>蛋箱</w:t>
                      </w:r>
                    </w:p>
                  </w:txbxContent>
                </v:textbox>
              </v:shape>
            </w:pict>
          </mc:Fallback>
        </mc:AlternateContent>
      </w:r>
      <w:r>
        <w:rPr>
          <w:color w:val="auto"/>
          <w:sz w:val="24"/>
        </w:rPr>
        <mc:AlternateContent>
          <mc:Choice Requires="wps">
            <w:drawing>
              <wp:anchor distT="0" distB="0" distL="114300" distR="114300" simplePos="0" relativeHeight="251724800" behindDoc="0" locked="0" layoutInCell="1" allowOverlap="1">
                <wp:simplePos x="0" y="0"/>
                <wp:positionH relativeFrom="column">
                  <wp:posOffset>493395</wp:posOffset>
                </wp:positionH>
                <wp:positionV relativeFrom="paragraph">
                  <wp:posOffset>196850</wp:posOffset>
                </wp:positionV>
                <wp:extent cx="442595" cy="3810"/>
                <wp:effectExtent l="0" t="34925" r="14605" b="37465"/>
                <wp:wrapNone/>
                <wp:docPr id="265" name="直接箭头连接符 265"/>
                <wp:cNvGraphicFramePr/>
                <a:graphic xmlns:a="http://schemas.openxmlformats.org/drawingml/2006/main">
                  <a:graphicData uri="http://schemas.microsoft.com/office/word/2010/wordprocessingShape">
                    <wps:wsp>
                      <wps:cNvCnPr/>
                      <wps:spPr>
                        <a:xfrm>
                          <a:off x="0" y="0"/>
                          <a:ext cx="442595" cy="381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8.85pt;margin-top:15.5pt;height:0.3pt;width:34.85pt;z-index:251724800;mso-width-relative:page;mso-height-relative:page;" filled="f" stroked="t" coordsize="21600,21600" o:gfxdata="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6Xo4TUAAAACAEAAA8AAAAAAAAAAQAgAAAAIgAAAGRycy9kb3ducmV2&#10;LnhtbFBLAQIUABQAAAAIAIdO4kCpGbeDAAIAANEDAAAOAAAAAAAAAAEAIAAAACMBAABkcnMvZTJv&#10;RG9jLnhtbFBLBQYAAAAABgAGAFkBAACVBQAAAAA=&#10;">
                <v:fill on="f" focussize="0,0"/>
                <v:stroke weight="1pt" color="#000000 [3213]" joinstyle="round" endarrow="block"/>
                <v:imagedata o:title=""/>
                <o:lock v:ext="edit" aspectratio="f"/>
              </v:shape>
            </w:pict>
          </mc:Fallback>
        </mc:AlternateContent>
      </w:r>
    </w:p>
    <w:p w14:paraId="49DE21A7">
      <w:pPr>
        <w:pStyle w:val="37"/>
        <w:rPr>
          <w:rFonts w:hint="eastAsia"/>
          <w:color w:val="auto"/>
          <w:lang w:eastAsia="zh-CN"/>
        </w:rPr>
      </w:pPr>
      <w:r>
        <w:rPr>
          <w:color w:val="auto"/>
          <w:sz w:val="24"/>
        </w:rPr>
        <mc:AlternateContent>
          <mc:Choice Requires="wps">
            <w:drawing>
              <wp:anchor distT="0" distB="0" distL="114300" distR="114300" simplePos="0" relativeHeight="251713536" behindDoc="0" locked="0" layoutInCell="1" allowOverlap="1">
                <wp:simplePos x="0" y="0"/>
                <wp:positionH relativeFrom="column">
                  <wp:posOffset>1255395</wp:posOffset>
                </wp:positionH>
                <wp:positionV relativeFrom="paragraph">
                  <wp:posOffset>68580</wp:posOffset>
                </wp:positionV>
                <wp:extent cx="4445" cy="381000"/>
                <wp:effectExtent l="34290" t="0" r="37465" b="0"/>
                <wp:wrapNone/>
                <wp:docPr id="249" name="直接箭头连接符 249"/>
                <wp:cNvGraphicFramePr/>
                <a:graphic xmlns:a="http://schemas.openxmlformats.org/drawingml/2006/main">
                  <a:graphicData uri="http://schemas.microsoft.com/office/word/2010/wordprocessingShape">
                    <wps:wsp>
                      <wps:cNvCnPr/>
                      <wps:spPr>
                        <a:xfrm>
                          <a:off x="0" y="0"/>
                          <a:ext cx="4445" cy="38100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8.85pt;margin-top:5.4pt;height:30pt;width:0.35pt;z-index:251713536;mso-width-relative:page;mso-height-relative:page;" filled="f" stroked="t" coordsize="21600,21600" o:gfxdata="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RVUA61gAAAAkBAAAPAAAAAAAAAAEAIAAAACIAAABkcnMvZG93bnJl&#10;di54bWxQSwECFAAUAAAACACHTuJA7W8Esv8BAADRAwAADgAAAAAAAAABACAAAAAlAQAAZHJzL2Uy&#10;b0RvYy54bWxQSwUGAAAAAAYABgBZAQAAlgUAAAAA&#10;">
                <v:fill on="f" focussize="0,0"/>
                <v:stroke weight="1pt" color="#000000 [3213]" joinstyle="round" endarrow="block"/>
                <v:imagedata o:title=""/>
                <o:lock v:ext="edit" aspectratio="f"/>
              </v:shape>
            </w:pict>
          </mc:Fallback>
        </mc:AlternateContent>
      </w:r>
    </w:p>
    <w:p w14:paraId="0CEE3425">
      <w:pPr>
        <w:rPr>
          <w:rFonts w:hint="eastAsia"/>
          <w:color w:val="auto"/>
          <w:lang w:eastAsia="zh-CN"/>
        </w:rPr>
      </w:pPr>
    </w:p>
    <w:p w14:paraId="40D12BDA">
      <w:pPr>
        <w:pStyle w:val="68"/>
        <w:rPr>
          <w:rFonts w:hint="eastAsia"/>
          <w:color w:val="auto"/>
          <w:lang w:eastAsia="zh-CN"/>
        </w:rPr>
      </w:pPr>
      <w:r>
        <w:rPr>
          <w:color w:val="auto"/>
          <w:sz w:val="24"/>
        </w:rPr>
        <mc:AlternateContent>
          <mc:Choice Requires="wps">
            <w:drawing>
              <wp:anchor distT="0" distB="0" distL="114300" distR="114300" simplePos="0" relativeHeight="251716608" behindDoc="0" locked="0" layoutInCell="1" allowOverlap="1">
                <wp:simplePos x="0" y="0"/>
                <wp:positionH relativeFrom="column">
                  <wp:posOffset>955040</wp:posOffset>
                </wp:positionH>
                <wp:positionV relativeFrom="paragraph">
                  <wp:posOffset>41275</wp:posOffset>
                </wp:positionV>
                <wp:extent cx="619125" cy="276225"/>
                <wp:effectExtent l="4445" t="4445" r="5080" b="5080"/>
                <wp:wrapNone/>
                <wp:docPr id="250" name="文本框 250"/>
                <wp:cNvGraphicFramePr/>
                <a:graphic xmlns:a="http://schemas.openxmlformats.org/drawingml/2006/main">
                  <a:graphicData uri="http://schemas.microsoft.com/office/word/2010/wordprocessingShape">
                    <wps:wsp>
                      <wps:cNvSpPr txBox="1"/>
                      <wps:spPr>
                        <a:xfrm>
                          <a:off x="0" y="0"/>
                          <a:ext cx="61912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36BF357">
                            <w:pPr>
                              <w:jc w:val="center"/>
                              <w:rPr>
                                <w:rFonts w:hint="eastAsia" w:eastAsia="宋体"/>
                                <w:lang w:eastAsia="zh-CN"/>
                              </w:rPr>
                            </w:pPr>
                            <w:r>
                              <w:rPr>
                                <w:rFonts w:hint="eastAsia" w:eastAsia="宋体"/>
                                <w:lang w:eastAsia="zh-CN"/>
                              </w:rPr>
                              <w:t>外售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5.2pt;margin-top:3.25pt;height:21.75pt;width:48.75pt;z-index:251716608;mso-width-relative:page;mso-height-relative:page;" fillcolor="#C7EDCC [3201]" filled="t" stroked="t" coordsize="21600,21600" o:gfxdata="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HaljNrZ&#10;AAAACAEAAA8AAAAAAAAAAQAgAAAAIgAAAGRycy9kb3ducmV2LnhtbFBLAQIUABQAAAAIAIdO4kBr&#10;u9WNWAIAALoEAAAOAAAAAAAAAAEAIAAAACgBAABkcnMvZTJvRG9jLnhtbFBLBQYAAAAABgAGAFkB&#10;AADyBQAAAAA=&#10;">
                <v:fill on="t" focussize="0,0"/>
                <v:stroke weight="0.5pt" color="#000000 [3204]" joinstyle="round"/>
                <v:imagedata o:title=""/>
                <o:lock v:ext="edit" aspectratio="f"/>
                <v:textbox>
                  <w:txbxContent>
                    <w:p w14:paraId="736BF357">
                      <w:pPr>
                        <w:jc w:val="center"/>
                        <w:rPr>
                          <w:rFonts w:hint="eastAsia" w:eastAsia="宋体"/>
                          <w:lang w:eastAsia="zh-CN"/>
                        </w:rPr>
                      </w:pPr>
                      <w:r>
                        <w:rPr>
                          <w:rFonts w:hint="eastAsia" w:eastAsia="宋体"/>
                          <w:lang w:eastAsia="zh-CN"/>
                        </w:rPr>
                        <w:t>外售</w:t>
                      </w:r>
                    </w:p>
                  </w:txbxContent>
                </v:textbox>
              </v:shape>
            </w:pict>
          </mc:Fallback>
        </mc:AlternateContent>
      </w:r>
    </w:p>
    <w:p w14:paraId="6BBAFBD4">
      <w:pPr>
        <w:pStyle w:val="37"/>
        <w:rPr>
          <w:rFonts w:hint="eastAsia"/>
          <w:color w:val="auto"/>
          <w:lang w:eastAsia="zh-CN"/>
        </w:rPr>
      </w:pPr>
    </w:p>
    <w:p w14:paraId="1E0EB933">
      <w:pPr>
        <w:rPr>
          <w:rFonts w:hint="eastAsia"/>
          <w:color w:val="auto"/>
          <w:lang w:eastAsia="zh-CN"/>
        </w:rPr>
      </w:pPr>
    </w:p>
    <w:p w14:paraId="5BB7C33C">
      <w:pPr>
        <w:jc w:val="center"/>
        <w:rPr>
          <w:color w:val="auto"/>
          <w:highlight w:val="none"/>
        </w:rPr>
      </w:pPr>
      <w:r>
        <w:rPr>
          <w:rFonts w:hint="eastAsia"/>
          <w:b/>
          <w:bCs/>
          <w:color w:val="auto"/>
          <w:sz w:val="24"/>
          <w:highlight w:val="none"/>
        </w:rPr>
        <w:t>图</w:t>
      </w:r>
      <w:r>
        <w:rPr>
          <w:rFonts w:hint="eastAsia"/>
          <w:b/>
          <w:bCs/>
          <w:color w:val="auto"/>
          <w:sz w:val="24"/>
          <w:highlight w:val="none"/>
          <w:lang w:val="en-US" w:eastAsia="zh-CN"/>
        </w:rPr>
        <w:t>3.3-2</w:t>
      </w:r>
      <w:r>
        <w:rPr>
          <w:rFonts w:hint="eastAsia"/>
          <w:b/>
          <w:bCs/>
          <w:color w:val="auto"/>
          <w:sz w:val="24"/>
          <w:highlight w:val="none"/>
        </w:rPr>
        <w:t xml:space="preserve">  </w:t>
      </w:r>
      <w:r>
        <w:rPr>
          <w:rFonts w:hint="eastAsia"/>
          <w:b/>
          <w:bCs/>
          <w:color w:val="auto"/>
          <w:sz w:val="24"/>
          <w:highlight w:val="none"/>
          <w:lang w:eastAsia="zh-CN"/>
        </w:rPr>
        <w:t>养殖过程</w:t>
      </w:r>
      <w:r>
        <w:rPr>
          <w:rFonts w:hint="eastAsia"/>
          <w:b/>
          <w:bCs/>
          <w:color w:val="auto"/>
          <w:sz w:val="24"/>
          <w:highlight w:val="none"/>
        </w:rPr>
        <w:t>及产排污节点图</w:t>
      </w:r>
    </w:p>
    <w:p w14:paraId="1F35EB91">
      <w:pPr>
        <w:spacing w:line="360" w:lineRule="auto"/>
        <w:ind w:firstLine="480" w:firstLineChars="200"/>
        <w:rPr>
          <w:color w:val="auto"/>
          <w:sz w:val="24"/>
        </w:rPr>
      </w:pPr>
      <w:r>
        <w:rPr>
          <w:rFonts w:hint="eastAsia"/>
          <w:color w:val="auto"/>
          <w:sz w:val="24"/>
        </w:rPr>
        <w:t>工艺流程简述：</w:t>
      </w:r>
    </w:p>
    <w:p w14:paraId="1EF5C9C9">
      <w:pPr>
        <w:spacing w:line="360" w:lineRule="auto"/>
        <w:ind w:firstLine="480" w:firstLineChars="200"/>
        <w:rPr>
          <w:color w:val="auto"/>
          <w:sz w:val="24"/>
        </w:rPr>
      </w:pPr>
      <w:r>
        <w:rPr>
          <w:rFonts w:hint="eastAsia"/>
          <w:color w:val="auto"/>
          <w:sz w:val="24"/>
        </w:rPr>
        <w:t>（1）养殖工艺说明</w:t>
      </w:r>
    </w:p>
    <w:p w14:paraId="6C22114D">
      <w:pPr>
        <w:spacing w:line="360" w:lineRule="auto"/>
        <w:ind w:firstLine="480" w:firstLineChars="200"/>
        <w:rPr>
          <w:rFonts w:hint="default" w:eastAsia="宋体"/>
          <w:color w:val="auto"/>
          <w:sz w:val="24"/>
          <w:lang w:val="en-US" w:eastAsia="zh-CN"/>
        </w:rPr>
      </w:pPr>
      <w:r>
        <w:rPr>
          <w:rFonts w:hint="eastAsia"/>
          <w:color w:val="auto"/>
          <w:sz w:val="24"/>
        </w:rPr>
        <w:t>项目采用干清粪工艺养殖，从雏鸡到蛋鸡淘汰总计约500天为一个饲养周期，分为两阶段饲养，包括育成鸡(1～90天)和产蛋鸡(90～500天)。首先外购雏鸡饲养90天，育成后</w:t>
      </w:r>
      <w:r>
        <w:rPr>
          <w:rFonts w:hint="eastAsia"/>
          <w:color w:val="auto"/>
          <w:sz w:val="24"/>
          <w:lang w:eastAsia="zh-CN"/>
        </w:rPr>
        <w:t>作为产蛋鸡进行</w:t>
      </w:r>
      <w:r>
        <w:rPr>
          <w:rFonts w:hint="eastAsia"/>
          <w:color w:val="auto"/>
          <w:sz w:val="24"/>
        </w:rPr>
        <w:t>饲养</w:t>
      </w:r>
      <w:r>
        <w:rPr>
          <w:rFonts w:hint="eastAsia"/>
          <w:color w:val="auto"/>
          <w:sz w:val="24"/>
          <w:lang w:eastAsia="zh-CN"/>
        </w:rPr>
        <w:t>。每年淘汰一批鸡只后，</w:t>
      </w:r>
      <w:r>
        <w:rPr>
          <w:rFonts w:hint="eastAsia"/>
          <w:color w:val="auto"/>
          <w:sz w:val="24"/>
        </w:rPr>
        <w:t>空置鸡舍</w:t>
      </w:r>
      <w:r>
        <w:rPr>
          <w:rFonts w:hint="eastAsia"/>
          <w:color w:val="auto"/>
          <w:sz w:val="24"/>
          <w:lang w:eastAsia="zh-CN"/>
        </w:rPr>
        <w:t>为</w:t>
      </w:r>
      <w:r>
        <w:rPr>
          <w:rFonts w:hint="eastAsia"/>
          <w:color w:val="auto"/>
          <w:sz w:val="24"/>
        </w:rPr>
        <w:t>15天</w:t>
      </w:r>
      <w:r>
        <w:rPr>
          <w:rFonts w:hint="eastAsia"/>
          <w:color w:val="auto"/>
          <w:sz w:val="24"/>
          <w:lang w:eastAsia="zh-CN"/>
        </w:rPr>
        <w:t>，空置期对鸡舍进行消毒和地面冲洗；鸡舍采用先进的保温建筑模式，冬季不需对鸡舍进行供暖</w:t>
      </w:r>
      <w:r>
        <w:rPr>
          <w:rFonts w:hint="eastAsia"/>
          <w:color w:val="auto"/>
          <w:sz w:val="24"/>
        </w:rPr>
        <w:t>。</w:t>
      </w:r>
      <w:r>
        <w:rPr>
          <w:rFonts w:hint="eastAsia"/>
          <w:color w:val="auto"/>
          <w:sz w:val="24"/>
          <w:lang w:eastAsia="zh-CN"/>
        </w:rPr>
        <w:t>本项目外购成品的富硒颗粒饲料，饲料的粒径在</w:t>
      </w:r>
      <w:r>
        <w:rPr>
          <w:rFonts w:hint="eastAsia"/>
          <w:color w:val="auto"/>
          <w:sz w:val="24"/>
          <w:lang w:val="en-US" w:eastAsia="zh-CN"/>
        </w:rPr>
        <w:t>0.5cm左右，由罐车运至厂区内，通过密封管道直接卸至每栋鸡舍前的2个料塔内，饲养人员通过料塔下方自动称重机配置饲料，因此饲料在装卸和储存过程中不会产生粉尘。</w:t>
      </w:r>
    </w:p>
    <w:p w14:paraId="2D1DED8B">
      <w:pPr>
        <w:spacing w:line="360" w:lineRule="auto"/>
        <w:ind w:firstLine="480" w:firstLineChars="200"/>
        <w:rPr>
          <w:rFonts w:hint="eastAsia"/>
          <w:color w:val="auto"/>
          <w:sz w:val="24"/>
          <w:lang w:eastAsia="zh-CN"/>
        </w:rPr>
      </w:pPr>
      <w:r>
        <w:rPr>
          <w:rFonts w:hint="eastAsia"/>
          <w:color w:val="auto"/>
          <w:sz w:val="24"/>
          <w:lang w:eastAsia="zh-CN"/>
        </w:rPr>
        <w:t>养殖过程产污节点：</w:t>
      </w:r>
    </w:p>
    <w:p w14:paraId="55016B16">
      <w:pPr>
        <w:spacing w:line="360" w:lineRule="auto"/>
        <w:ind w:firstLine="480" w:firstLineChars="200"/>
        <w:rPr>
          <w:rFonts w:hint="eastAsia"/>
          <w:color w:val="auto"/>
          <w:sz w:val="24"/>
          <w:lang w:val="en-US" w:eastAsia="zh-CN"/>
        </w:rPr>
      </w:pPr>
      <w:r>
        <w:rPr>
          <w:rFonts w:hint="eastAsia"/>
          <w:color w:val="auto"/>
          <w:sz w:val="24"/>
          <w:lang w:eastAsia="zh-CN"/>
        </w:rPr>
        <w:t>饲养过程中产生恶臭气体采取</w:t>
      </w:r>
      <w:r>
        <w:rPr>
          <w:rFonts w:hint="eastAsia"/>
          <w:color w:val="auto"/>
          <w:sz w:val="24"/>
          <w:lang w:val="en-US" w:eastAsia="zh-CN"/>
        </w:rPr>
        <w:t>干清粪工艺，喷洒除臭剂等措施；</w:t>
      </w:r>
    </w:p>
    <w:p w14:paraId="53032C3E">
      <w:pPr>
        <w:spacing w:line="360" w:lineRule="auto"/>
        <w:ind w:firstLine="480" w:firstLineChars="200"/>
        <w:rPr>
          <w:rFonts w:hint="eastAsia"/>
          <w:color w:val="auto"/>
          <w:sz w:val="24"/>
          <w:lang w:val="en-US" w:eastAsia="zh-CN"/>
        </w:rPr>
      </w:pPr>
      <w:r>
        <w:rPr>
          <w:rFonts w:hint="eastAsia"/>
          <w:color w:val="auto"/>
          <w:sz w:val="24"/>
          <w:lang w:val="en-US" w:eastAsia="zh-CN"/>
        </w:rPr>
        <w:t>清栏后鸡舍冲洗产生冲洗废水，设置废水收集池，日产日清，由罐车</w:t>
      </w:r>
      <w:r>
        <w:rPr>
          <w:rFonts w:hint="eastAsia"/>
          <w:color w:val="auto"/>
          <w:sz w:val="24"/>
          <w:lang w:eastAsia="zh-CN"/>
        </w:rPr>
        <w:t>外运至辰泰（辽宁）生物科技有限公司进行有机肥制造；</w:t>
      </w:r>
    </w:p>
    <w:p w14:paraId="0EB67F53">
      <w:pPr>
        <w:spacing w:line="360" w:lineRule="auto"/>
        <w:ind w:firstLine="480" w:firstLineChars="200"/>
        <w:rPr>
          <w:rFonts w:hint="eastAsia"/>
          <w:color w:val="auto"/>
          <w:sz w:val="24"/>
          <w:lang w:eastAsia="zh-CN"/>
        </w:rPr>
      </w:pPr>
      <w:r>
        <w:rPr>
          <w:rFonts w:hint="eastAsia"/>
          <w:color w:val="auto"/>
          <w:sz w:val="24"/>
          <w:lang w:eastAsia="zh-CN"/>
        </w:rPr>
        <w:t>饲养过程中鸡只叫声和设备产生噪声，设备采取基础减振和厂房隔声的措施；</w:t>
      </w:r>
    </w:p>
    <w:p w14:paraId="1ADC3C7B">
      <w:pPr>
        <w:spacing w:line="360" w:lineRule="auto"/>
        <w:ind w:firstLine="480" w:firstLineChars="200"/>
        <w:rPr>
          <w:color w:val="auto"/>
          <w:sz w:val="24"/>
        </w:rPr>
      </w:pPr>
      <w:r>
        <w:rPr>
          <w:rFonts w:hint="eastAsia"/>
          <w:color w:val="auto"/>
          <w:sz w:val="24"/>
          <w:lang w:eastAsia="zh-CN"/>
        </w:rPr>
        <w:t>鸡粪、饲料残渣、脱落的鸡羽毛，均日产日清由清粪车外运至辰泰（辽宁）生物科技有限公司进行有机肥制造；饲养过程中产生病死鸡，暂存于冷柜，委托北票市汇宏动物无害化处理有限公司收集处理；</w:t>
      </w:r>
      <w:r>
        <w:rPr>
          <w:rFonts w:hint="eastAsia"/>
          <w:color w:val="auto"/>
          <w:sz w:val="24"/>
        </w:rPr>
        <w:t>淘汰蛋鸡作为肉鸡外售</w:t>
      </w:r>
      <w:r>
        <w:rPr>
          <w:rFonts w:hint="eastAsia"/>
          <w:color w:val="auto"/>
          <w:sz w:val="24"/>
          <w:lang w:eastAsia="zh-CN"/>
        </w:rPr>
        <w:t>；</w:t>
      </w:r>
    </w:p>
    <w:p w14:paraId="5CCE3323">
      <w:pPr>
        <w:spacing w:line="360" w:lineRule="auto"/>
        <w:ind w:firstLine="480" w:firstLineChars="200"/>
        <w:rPr>
          <w:color w:val="auto"/>
          <w:sz w:val="24"/>
        </w:rPr>
      </w:pPr>
      <w:r>
        <w:rPr>
          <w:rFonts w:hint="eastAsia"/>
          <w:color w:val="auto"/>
          <w:sz w:val="24"/>
        </w:rPr>
        <w:t>①蛋鸡喂养与淘汰</w:t>
      </w:r>
    </w:p>
    <w:p w14:paraId="4AD8F205">
      <w:pPr>
        <w:spacing w:line="360" w:lineRule="auto"/>
        <w:ind w:firstLine="480" w:firstLineChars="200"/>
        <w:rPr>
          <w:rFonts w:hint="eastAsia"/>
          <w:color w:val="auto"/>
          <w:sz w:val="24"/>
        </w:rPr>
      </w:pPr>
      <w:r>
        <w:rPr>
          <w:rFonts w:hint="eastAsia"/>
          <w:color w:val="auto"/>
          <w:sz w:val="24"/>
        </w:rPr>
        <w:t>产蛋鸡舍共</w:t>
      </w:r>
      <w:r>
        <w:rPr>
          <w:rFonts w:hint="eastAsia"/>
          <w:color w:val="auto"/>
          <w:sz w:val="24"/>
          <w:lang w:val="en-US" w:eastAsia="zh-CN"/>
        </w:rPr>
        <w:t>8</w:t>
      </w:r>
      <w:r>
        <w:rPr>
          <w:rFonts w:hint="eastAsia"/>
          <w:color w:val="auto"/>
          <w:sz w:val="24"/>
        </w:rPr>
        <w:t>栋，每栋鸡舍采取全进全出的饲养管理模式。蛋鸡转产蛋舍饲养一段时间后开始产蛋，每天收集所产的鸡蛋送往</w:t>
      </w:r>
      <w:r>
        <w:rPr>
          <w:rFonts w:hint="eastAsia"/>
          <w:color w:val="auto"/>
          <w:sz w:val="24"/>
          <w:lang w:eastAsia="zh-CN"/>
        </w:rPr>
        <w:t>蛋库</w:t>
      </w:r>
      <w:r>
        <w:rPr>
          <w:rFonts w:hint="eastAsia"/>
          <w:color w:val="auto"/>
          <w:sz w:val="24"/>
        </w:rPr>
        <w:t>。蛋鸡在场内产蛋约1年后产蛋率相对将逐渐降低，饲养效率降低，蛋鸡则被淘汰出售。</w:t>
      </w:r>
    </w:p>
    <w:p w14:paraId="14547A9B">
      <w:pPr>
        <w:spacing w:line="360" w:lineRule="auto"/>
        <w:ind w:firstLine="480" w:firstLineChars="200"/>
        <w:rPr>
          <w:color w:val="auto"/>
          <w:sz w:val="24"/>
        </w:rPr>
      </w:pPr>
      <w:r>
        <w:rPr>
          <w:rFonts w:hint="eastAsia"/>
          <w:color w:val="auto"/>
          <w:sz w:val="24"/>
        </w:rPr>
        <w:t>空舍后立即进行消毒工作，先用水冲洗，冲洗后进行消毒，消毒采用喷洒消毒和喷雾消毒。</w:t>
      </w:r>
    </w:p>
    <w:p w14:paraId="04D3DAB7">
      <w:pPr>
        <w:spacing w:line="360" w:lineRule="auto"/>
        <w:ind w:firstLine="480" w:firstLineChars="200"/>
        <w:rPr>
          <w:color w:val="auto"/>
          <w:sz w:val="24"/>
        </w:rPr>
      </w:pPr>
      <w:r>
        <w:rPr>
          <w:rFonts w:hint="eastAsia"/>
          <w:color w:val="auto"/>
          <w:sz w:val="24"/>
        </w:rPr>
        <w:t>②喂料设备</w:t>
      </w:r>
    </w:p>
    <w:p w14:paraId="16845B50">
      <w:pPr>
        <w:spacing w:line="360" w:lineRule="auto"/>
        <w:ind w:firstLine="480" w:firstLineChars="200"/>
        <w:rPr>
          <w:color w:val="auto"/>
          <w:sz w:val="24"/>
        </w:rPr>
      </w:pPr>
      <w:r>
        <w:rPr>
          <w:rFonts w:hint="eastAsia"/>
          <w:color w:val="auto"/>
          <w:sz w:val="24"/>
        </w:rPr>
        <w:t>每栋鸡舍外部建有饲料塔，饲料进场后通过封闭管道机械运输至各鸡舍前的饲料塔内，饲料塔底部设有1条斜向传送带，输送至链条式自动喂料机将饲料推送到鸡舍内。鸡喂料采用自动喂料行车，保证料槽内一直有饲料。鸡饮水采用乳头式饮水器，既保持一直供水，又不使水受到污染和撒泼。</w:t>
      </w:r>
    </w:p>
    <w:p w14:paraId="638521B3">
      <w:pPr>
        <w:spacing w:line="360" w:lineRule="auto"/>
        <w:ind w:firstLine="480" w:firstLineChars="200"/>
        <w:jc w:val="left"/>
        <w:rPr>
          <w:color w:val="auto"/>
          <w:sz w:val="24"/>
        </w:rPr>
      </w:pPr>
      <w:r>
        <w:rPr>
          <w:color w:val="auto"/>
          <w:sz w:val="24"/>
        </w:rPr>
        <w:t>每栋</w:t>
      </w:r>
      <w:r>
        <w:rPr>
          <w:rFonts w:hint="eastAsia"/>
          <w:color w:val="auto"/>
          <w:sz w:val="24"/>
        </w:rPr>
        <w:t>蛋</w:t>
      </w:r>
      <w:r>
        <w:rPr>
          <w:color w:val="auto"/>
          <w:sz w:val="24"/>
        </w:rPr>
        <w:t>鸡舍外有2个</w:t>
      </w:r>
      <w:r>
        <w:rPr>
          <w:rFonts w:hint="eastAsia"/>
          <w:color w:val="auto"/>
          <w:sz w:val="24"/>
        </w:rPr>
        <w:t>料塔，雏鸡舍外有1个料塔，</w:t>
      </w:r>
      <w:r>
        <w:rPr>
          <w:color w:val="auto"/>
          <w:sz w:val="24"/>
        </w:rPr>
        <w:t>直径</w:t>
      </w:r>
      <w:r>
        <w:rPr>
          <w:rFonts w:hint="eastAsia"/>
          <w:color w:val="auto"/>
          <w:sz w:val="24"/>
        </w:rPr>
        <w:t>2.7</w:t>
      </w:r>
      <w:r>
        <w:rPr>
          <w:color w:val="auto"/>
          <w:sz w:val="24"/>
        </w:rPr>
        <w:t>米，高6.4</w:t>
      </w:r>
      <w:r>
        <w:rPr>
          <w:rFonts w:hint="eastAsia"/>
          <w:color w:val="auto"/>
          <w:sz w:val="24"/>
        </w:rPr>
        <w:t>5</w:t>
      </w:r>
      <w:r>
        <w:rPr>
          <w:color w:val="auto"/>
          <w:sz w:val="24"/>
        </w:rPr>
        <w:t>米，容积</w:t>
      </w:r>
      <w:r>
        <w:rPr>
          <w:rFonts w:hint="eastAsia"/>
          <w:color w:val="auto"/>
          <w:sz w:val="24"/>
        </w:rPr>
        <w:t>25.48</w:t>
      </w:r>
      <w:r>
        <w:rPr>
          <w:color w:val="auto"/>
          <w:sz w:val="24"/>
        </w:rPr>
        <w:t>m</w:t>
      </w:r>
      <w:r>
        <w:rPr>
          <w:color w:val="auto"/>
          <w:sz w:val="24"/>
          <w:vertAlign w:val="superscript"/>
        </w:rPr>
        <w:t>3</w:t>
      </w:r>
      <w:r>
        <w:rPr>
          <w:color w:val="auto"/>
          <w:sz w:val="24"/>
        </w:rPr>
        <w:t>，可容纳</w:t>
      </w:r>
      <w:r>
        <w:rPr>
          <w:rFonts w:hint="eastAsia"/>
          <w:color w:val="auto"/>
          <w:sz w:val="24"/>
        </w:rPr>
        <w:t>18</w:t>
      </w:r>
      <w:r>
        <w:rPr>
          <w:color w:val="auto"/>
          <w:sz w:val="24"/>
        </w:rPr>
        <w:t>吨饲料的自动称重料塔。鸡舍内配备自动饲喂系统及饮水系统。</w:t>
      </w:r>
    </w:p>
    <w:p w14:paraId="6B5B8749">
      <w:pPr>
        <w:spacing w:line="360" w:lineRule="auto"/>
        <w:ind w:firstLine="480" w:firstLineChars="200"/>
        <w:rPr>
          <w:color w:val="auto"/>
          <w:sz w:val="24"/>
        </w:rPr>
      </w:pPr>
      <w:r>
        <w:rPr>
          <w:rFonts w:hint="eastAsia"/>
          <w:color w:val="auto"/>
          <w:sz w:val="24"/>
        </w:rPr>
        <w:t>③自动集蛋和输送系统</w:t>
      </w:r>
    </w:p>
    <w:p w14:paraId="45676E44">
      <w:pPr>
        <w:spacing w:line="360" w:lineRule="auto"/>
        <w:ind w:firstLine="480" w:firstLineChars="200"/>
        <w:rPr>
          <w:color w:val="auto"/>
          <w:sz w:val="24"/>
        </w:rPr>
      </w:pPr>
      <w:r>
        <w:rPr>
          <w:rFonts w:hint="eastAsia"/>
          <w:color w:val="auto"/>
          <w:sz w:val="24"/>
        </w:rPr>
        <w:t>项目采用自动集蛋，自动化鸡蛋分级设备代替传统人工捡蛋，降低员工劳动强度，提高工作效率；集蛋系统设置软破蛋去除装置，有效提高整场养殖效益；集蛋机鸡蛋出口与中央输蛋线联接处设置拨蛋器，拔蛋器将鸡蛋运送到各蛋鸡舍出口的分级设备装入蛋箱，最后由蛋箱运输车输送至</w:t>
      </w:r>
      <w:r>
        <w:rPr>
          <w:rFonts w:hint="eastAsia"/>
          <w:color w:val="auto"/>
          <w:sz w:val="24"/>
          <w:lang w:eastAsia="zh-CN"/>
        </w:rPr>
        <w:t>蛋库</w:t>
      </w:r>
      <w:r>
        <w:rPr>
          <w:rFonts w:hint="eastAsia"/>
          <w:color w:val="auto"/>
          <w:sz w:val="24"/>
        </w:rPr>
        <w:t>。</w:t>
      </w:r>
    </w:p>
    <w:p w14:paraId="59226962">
      <w:pPr>
        <w:spacing w:line="360" w:lineRule="auto"/>
        <w:ind w:firstLine="480" w:firstLineChars="200"/>
        <w:rPr>
          <w:color w:val="auto"/>
          <w:sz w:val="24"/>
        </w:rPr>
      </w:pPr>
      <w:r>
        <w:rPr>
          <w:rFonts w:hint="eastAsia"/>
          <w:color w:val="auto"/>
          <w:sz w:val="24"/>
        </w:rPr>
        <w:t>本项目鸡蛋包装根据商户需求采用蛋框或纸盒的方式包装，其中蛋</w:t>
      </w:r>
      <w:r>
        <w:rPr>
          <w:rFonts w:hint="eastAsia"/>
          <w:color w:val="auto"/>
          <w:sz w:val="24"/>
          <w:lang w:eastAsia="zh-CN"/>
        </w:rPr>
        <w:t>筐</w:t>
      </w:r>
      <w:r>
        <w:rPr>
          <w:rFonts w:hint="eastAsia"/>
          <w:color w:val="auto"/>
          <w:sz w:val="24"/>
        </w:rPr>
        <w:t>采取自动包装方式，纸盒为人工包装方式。厂内</w:t>
      </w:r>
      <w:r>
        <w:rPr>
          <w:rFonts w:hint="eastAsia"/>
          <w:color w:val="auto"/>
          <w:sz w:val="24"/>
          <w:lang w:eastAsia="zh-CN"/>
        </w:rPr>
        <w:t>蛋库</w:t>
      </w:r>
      <w:r>
        <w:rPr>
          <w:rFonts w:hint="eastAsia"/>
          <w:color w:val="auto"/>
          <w:sz w:val="24"/>
        </w:rPr>
        <w:t>不设冷藏工艺，新鲜的合格鸡蛋</w:t>
      </w:r>
      <w:r>
        <w:rPr>
          <w:rFonts w:hint="eastAsia"/>
          <w:color w:val="auto"/>
          <w:sz w:val="24"/>
          <w:lang w:eastAsia="zh-CN"/>
        </w:rPr>
        <w:t>当日</w:t>
      </w:r>
      <w:r>
        <w:rPr>
          <w:rFonts w:hint="eastAsia"/>
          <w:color w:val="auto"/>
          <w:sz w:val="24"/>
        </w:rPr>
        <w:t>外运至商户售卖。</w:t>
      </w:r>
    </w:p>
    <w:p w14:paraId="701385E0">
      <w:pPr>
        <w:spacing w:line="360" w:lineRule="auto"/>
        <w:ind w:firstLine="480" w:firstLineChars="200"/>
        <w:rPr>
          <w:color w:val="auto"/>
          <w:sz w:val="24"/>
        </w:rPr>
      </w:pPr>
      <w:r>
        <w:rPr>
          <w:rFonts w:hint="eastAsia"/>
          <w:color w:val="auto"/>
          <w:sz w:val="24"/>
        </w:rPr>
        <w:t>④鸡的防疫</w:t>
      </w:r>
    </w:p>
    <w:p w14:paraId="44B1BA1E">
      <w:pPr>
        <w:spacing w:line="360" w:lineRule="auto"/>
        <w:ind w:firstLine="480" w:firstLineChars="200"/>
        <w:rPr>
          <w:color w:val="auto"/>
          <w:sz w:val="24"/>
          <w:szCs w:val="24"/>
        </w:rPr>
      </w:pPr>
      <w:r>
        <w:rPr>
          <w:rFonts w:hint="eastAsia"/>
          <w:color w:val="auto"/>
          <w:sz w:val="24"/>
        </w:rPr>
        <w:t>鸡需要定期进行免疫，注射疫苗，出现病症，还需要使用药物进行治疗，</w:t>
      </w:r>
      <w:r>
        <w:rPr>
          <w:rFonts w:hint="eastAsia"/>
          <w:color w:val="auto"/>
          <w:sz w:val="24"/>
          <w:lang w:eastAsia="zh-CN"/>
        </w:rPr>
        <w:t>防疫过程中产生</w:t>
      </w:r>
      <w:r>
        <w:rPr>
          <w:rFonts w:hint="eastAsia"/>
          <w:color w:val="auto"/>
          <w:sz w:val="24"/>
        </w:rPr>
        <w:t>过期疫苗、药物</w:t>
      </w:r>
      <w:r>
        <w:rPr>
          <w:rFonts w:hint="eastAsia"/>
          <w:color w:val="auto"/>
          <w:sz w:val="24"/>
          <w:lang w:eastAsia="zh-CN"/>
        </w:rPr>
        <w:t>及废弃防疫物品</w:t>
      </w:r>
      <w:r>
        <w:rPr>
          <w:rFonts w:hint="eastAsia"/>
          <w:color w:val="auto"/>
          <w:sz w:val="24"/>
        </w:rPr>
        <w:t>等</w:t>
      </w:r>
      <w:r>
        <w:rPr>
          <w:rFonts w:hint="eastAsia"/>
          <w:color w:val="auto"/>
          <w:sz w:val="24"/>
          <w:lang w:eastAsia="zh-CN"/>
        </w:rPr>
        <w:t>，</w:t>
      </w:r>
      <w:r>
        <w:rPr>
          <w:rFonts w:hint="eastAsia"/>
          <w:color w:val="auto"/>
          <w:sz w:val="24"/>
        </w:rPr>
        <w:t>属于</w:t>
      </w:r>
      <w:r>
        <w:rPr>
          <w:rFonts w:hint="eastAsia"/>
          <w:color w:val="auto"/>
          <w:sz w:val="24"/>
          <w:lang w:val="en-US" w:eastAsia="zh-CN"/>
        </w:rPr>
        <w:t>医疗废物</w:t>
      </w:r>
      <w:r>
        <w:rPr>
          <w:rFonts w:hint="eastAsia"/>
          <w:color w:val="auto"/>
          <w:sz w:val="24"/>
        </w:rPr>
        <w:t>，</w:t>
      </w:r>
      <w:r>
        <w:rPr>
          <w:rFonts w:hint="eastAsia"/>
          <w:color w:val="auto"/>
          <w:sz w:val="24"/>
          <w:lang w:val="en-US" w:eastAsia="zh-CN"/>
        </w:rPr>
        <w:t>在厂区内医疗废物暂存间</w:t>
      </w:r>
      <w:r>
        <w:rPr>
          <w:rFonts w:hint="eastAsia"/>
          <w:color w:val="auto"/>
          <w:sz w:val="24"/>
        </w:rPr>
        <w:t>暂存</w:t>
      </w:r>
      <w:r>
        <w:rPr>
          <w:rFonts w:hint="eastAsia"/>
          <w:color w:val="auto"/>
          <w:sz w:val="24"/>
          <w:lang w:eastAsia="zh-CN"/>
        </w:rPr>
        <w:t>，委托有资质单位定期收集处理。</w:t>
      </w:r>
    </w:p>
    <w:p w14:paraId="42FE7E30">
      <w:pPr>
        <w:spacing w:line="360" w:lineRule="auto"/>
        <w:ind w:firstLine="480" w:firstLineChars="200"/>
        <w:rPr>
          <w:color w:val="auto"/>
          <w:sz w:val="24"/>
        </w:rPr>
      </w:pPr>
      <w:r>
        <w:rPr>
          <w:rFonts w:hint="eastAsia"/>
          <w:color w:val="auto"/>
          <w:sz w:val="24"/>
        </w:rPr>
        <w:t>其中进厂鸡苗入舍后，防疫流程主要包括：</w:t>
      </w:r>
    </w:p>
    <w:p w14:paraId="61B4CC8E">
      <w:pPr>
        <w:spacing w:line="360" w:lineRule="auto"/>
        <w:ind w:firstLine="480" w:firstLineChars="200"/>
        <w:rPr>
          <w:color w:val="auto"/>
          <w:sz w:val="24"/>
        </w:rPr>
      </w:pPr>
      <w:r>
        <w:rPr>
          <w:rFonts w:hint="eastAsia"/>
          <w:color w:val="auto"/>
          <w:sz w:val="24"/>
        </w:rPr>
        <w:t>7日龄：新支宝滴鼻、滴眼；新支流法劲皮注射</w:t>
      </w:r>
    </w:p>
    <w:p w14:paraId="3B1E7451">
      <w:pPr>
        <w:spacing w:line="360" w:lineRule="auto"/>
        <w:ind w:firstLine="480" w:firstLineChars="200"/>
        <w:rPr>
          <w:color w:val="auto"/>
          <w:sz w:val="24"/>
        </w:rPr>
      </w:pPr>
      <w:r>
        <w:rPr>
          <w:rFonts w:hint="eastAsia"/>
          <w:color w:val="auto"/>
          <w:sz w:val="24"/>
        </w:rPr>
        <w:t>20日龄：H5+H7劲皮注射；猴痘刺种</w:t>
      </w:r>
    </w:p>
    <w:p w14:paraId="57FB9A73">
      <w:pPr>
        <w:spacing w:line="360" w:lineRule="auto"/>
        <w:ind w:firstLine="480" w:firstLineChars="200"/>
        <w:rPr>
          <w:color w:val="auto"/>
          <w:sz w:val="24"/>
        </w:rPr>
      </w:pPr>
      <w:r>
        <w:rPr>
          <w:rFonts w:hint="eastAsia"/>
          <w:color w:val="auto"/>
          <w:sz w:val="24"/>
        </w:rPr>
        <w:t>30日龄：新支宝饮水</w:t>
      </w:r>
    </w:p>
    <w:p w14:paraId="0F607160">
      <w:pPr>
        <w:spacing w:line="360" w:lineRule="auto"/>
        <w:ind w:firstLine="480" w:firstLineChars="200"/>
        <w:rPr>
          <w:color w:val="auto"/>
          <w:sz w:val="24"/>
        </w:rPr>
      </w:pPr>
      <w:r>
        <w:rPr>
          <w:rFonts w:hint="eastAsia"/>
          <w:color w:val="auto"/>
          <w:sz w:val="24"/>
        </w:rPr>
        <w:t>35日龄：新流腺左胸注射</w:t>
      </w:r>
    </w:p>
    <w:p w14:paraId="2BEBD2F2">
      <w:pPr>
        <w:spacing w:line="360" w:lineRule="auto"/>
        <w:ind w:firstLine="480" w:firstLineChars="200"/>
        <w:rPr>
          <w:color w:val="auto"/>
          <w:sz w:val="24"/>
        </w:rPr>
      </w:pPr>
      <w:r>
        <w:rPr>
          <w:rFonts w:hint="eastAsia"/>
          <w:color w:val="auto"/>
          <w:sz w:val="24"/>
        </w:rPr>
        <w:t>55日龄：H5+H7右胸注射</w:t>
      </w:r>
    </w:p>
    <w:p w14:paraId="109E27AA">
      <w:pPr>
        <w:spacing w:line="360" w:lineRule="auto"/>
        <w:ind w:firstLine="480" w:firstLineChars="200"/>
        <w:rPr>
          <w:color w:val="auto"/>
          <w:sz w:val="24"/>
        </w:rPr>
      </w:pPr>
      <w:r>
        <w:rPr>
          <w:rFonts w:hint="eastAsia"/>
          <w:color w:val="auto"/>
          <w:sz w:val="24"/>
        </w:rPr>
        <w:t>60日龄：IV或C30饮水</w:t>
      </w:r>
    </w:p>
    <w:p w14:paraId="679FAB3C">
      <w:pPr>
        <w:spacing w:line="360" w:lineRule="auto"/>
        <w:ind w:firstLine="480" w:firstLineChars="200"/>
        <w:rPr>
          <w:color w:val="auto"/>
          <w:sz w:val="24"/>
        </w:rPr>
      </w:pPr>
      <w:r>
        <w:rPr>
          <w:rFonts w:hint="eastAsia"/>
          <w:color w:val="auto"/>
          <w:sz w:val="24"/>
        </w:rPr>
        <w:t>75日龄：传喉点眼</w:t>
      </w:r>
    </w:p>
    <w:p w14:paraId="5F43CA31">
      <w:pPr>
        <w:spacing w:line="360" w:lineRule="auto"/>
        <w:ind w:firstLine="480" w:firstLineChars="200"/>
        <w:rPr>
          <w:color w:val="auto"/>
          <w:sz w:val="24"/>
        </w:rPr>
      </w:pPr>
      <w:r>
        <w:rPr>
          <w:rFonts w:hint="eastAsia"/>
          <w:color w:val="auto"/>
          <w:sz w:val="24"/>
        </w:rPr>
        <w:t>100日龄：新支减流左胸注射或翅下；新支二联饮水</w:t>
      </w:r>
    </w:p>
    <w:p w14:paraId="61C92082">
      <w:pPr>
        <w:spacing w:line="360" w:lineRule="auto"/>
        <w:ind w:firstLine="480" w:firstLineChars="200"/>
        <w:rPr>
          <w:color w:val="auto"/>
          <w:sz w:val="24"/>
        </w:rPr>
      </w:pPr>
      <w:r>
        <w:rPr>
          <w:rFonts w:hint="eastAsia"/>
          <w:color w:val="auto"/>
          <w:sz w:val="24"/>
        </w:rPr>
        <w:t>115日龄：H5+H7右胸注射或翅下</w:t>
      </w:r>
    </w:p>
    <w:p w14:paraId="32390E57">
      <w:pPr>
        <w:spacing w:line="360" w:lineRule="auto"/>
        <w:ind w:firstLine="480" w:firstLineChars="200"/>
        <w:rPr>
          <w:color w:val="auto"/>
          <w:sz w:val="24"/>
        </w:rPr>
      </w:pPr>
      <w:r>
        <w:rPr>
          <w:rFonts w:hint="eastAsia"/>
          <w:color w:val="auto"/>
          <w:sz w:val="24"/>
        </w:rPr>
        <w:t>130日龄：新流腺左胸注射或翅下；VH或新支二联饮水</w:t>
      </w:r>
    </w:p>
    <w:p w14:paraId="452BC395">
      <w:pPr>
        <w:spacing w:line="360" w:lineRule="auto"/>
        <w:ind w:firstLine="480" w:firstLineChars="200"/>
        <w:rPr>
          <w:color w:val="auto"/>
          <w:sz w:val="24"/>
        </w:rPr>
      </w:pPr>
      <w:r>
        <w:rPr>
          <w:rFonts w:hint="eastAsia"/>
          <w:color w:val="auto"/>
          <w:sz w:val="24"/>
        </w:rPr>
        <w:t>240日龄：H5+H7右胸注射</w:t>
      </w:r>
    </w:p>
    <w:p w14:paraId="00805FF1">
      <w:pPr>
        <w:spacing w:line="360" w:lineRule="auto"/>
        <w:ind w:firstLine="480" w:firstLineChars="200"/>
        <w:rPr>
          <w:color w:val="auto"/>
          <w:sz w:val="24"/>
        </w:rPr>
      </w:pPr>
      <w:r>
        <w:rPr>
          <w:rFonts w:hint="eastAsia"/>
          <w:color w:val="auto"/>
          <w:sz w:val="24"/>
        </w:rPr>
        <w:t>250日龄：新支流左胸注射</w:t>
      </w:r>
    </w:p>
    <w:p w14:paraId="2D9C8F8A">
      <w:pPr>
        <w:spacing w:line="360" w:lineRule="auto"/>
        <w:ind w:firstLine="480" w:firstLineChars="200"/>
        <w:rPr>
          <w:color w:val="auto"/>
          <w:sz w:val="24"/>
        </w:rPr>
      </w:pPr>
      <w:r>
        <w:rPr>
          <w:rFonts w:hint="eastAsia"/>
          <w:color w:val="auto"/>
          <w:sz w:val="24"/>
        </w:rPr>
        <w:t>(2)鸡舍通风降温设备</w:t>
      </w:r>
    </w:p>
    <w:p w14:paraId="49069A0A">
      <w:pPr>
        <w:spacing w:line="360" w:lineRule="auto"/>
        <w:ind w:firstLine="480" w:firstLineChars="200"/>
        <w:rPr>
          <w:color w:val="auto"/>
          <w:sz w:val="24"/>
        </w:rPr>
      </w:pPr>
      <w:r>
        <w:rPr>
          <w:rFonts w:hint="eastAsia"/>
          <w:color w:val="auto"/>
          <w:sz w:val="24"/>
        </w:rPr>
        <w:t>本项目鸡舍内强制通风，同时环评要求在鸡舍出入口设计拦挡网，防治通风设施将鸡舍内散落的羽毛进入外环境。同时鸡舍通风处设计封闭式水帘鸡舍的模式，通风设施将鸡舍内的热气抽出，在通风散热除尘的同时，室内外造成气压差，促使外界的空气经由降温水帘片所形成的水膜蒸发吸热瞬间降温，控制鸡舍室内温度，同时也可以吸收部分鸡舍内的恶臭气体。水帘处理工艺如下：</w:t>
      </w:r>
    </w:p>
    <w:p w14:paraId="461F42CE">
      <w:pPr>
        <w:spacing w:line="360" w:lineRule="auto"/>
        <w:jc w:val="center"/>
        <w:rPr>
          <w:color w:val="auto"/>
          <w:sz w:val="24"/>
        </w:rPr>
      </w:pPr>
      <w:r>
        <w:rPr>
          <w:color w:val="auto"/>
        </w:rPr>
        <w:drawing>
          <wp:inline distT="0" distB="0" distL="114300" distR="114300">
            <wp:extent cx="2659380" cy="1131570"/>
            <wp:effectExtent l="0" t="0" r="7620" b="11430"/>
            <wp:docPr id="259"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14"/>
                    <pic:cNvPicPr>
                      <a:picLocks noChangeAspect="1"/>
                    </pic:cNvPicPr>
                  </pic:nvPicPr>
                  <pic:blipFill>
                    <a:blip r:embed="rId25"/>
                    <a:stretch>
                      <a:fillRect/>
                    </a:stretch>
                  </pic:blipFill>
                  <pic:spPr>
                    <a:xfrm>
                      <a:off x="0" y="0"/>
                      <a:ext cx="2659380" cy="1131570"/>
                    </a:xfrm>
                    <a:prstGeom prst="rect">
                      <a:avLst/>
                    </a:prstGeom>
                    <a:noFill/>
                    <a:ln>
                      <a:noFill/>
                    </a:ln>
                  </pic:spPr>
                </pic:pic>
              </a:graphicData>
            </a:graphic>
          </wp:inline>
        </w:drawing>
      </w:r>
    </w:p>
    <w:p w14:paraId="3DE3B50C">
      <w:pPr>
        <w:spacing w:line="360" w:lineRule="auto"/>
        <w:jc w:val="center"/>
        <w:rPr>
          <w:b/>
          <w:bCs/>
          <w:color w:val="auto"/>
          <w:sz w:val="24"/>
        </w:rPr>
      </w:pPr>
      <w:r>
        <w:rPr>
          <w:rFonts w:hint="eastAsia"/>
          <w:b/>
          <w:bCs/>
          <w:color w:val="auto"/>
          <w:sz w:val="24"/>
        </w:rPr>
        <w:t>图</w:t>
      </w:r>
      <w:r>
        <w:rPr>
          <w:rFonts w:hint="eastAsia"/>
          <w:b/>
          <w:bCs/>
          <w:color w:val="auto"/>
          <w:sz w:val="24"/>
          <w:lang w:val="en-US" w:eastAsia="zh-CN"/>
        </w:rPr>
        <w:t>3.3-3</w:t>
      </w:r>
      <w:r>
        <w:rPr>
          <w:rFonts w:hint="eastAsia"/>
          <w:b/>
          <w:bCs/>
          <w:color w:val="auto"/>
          <w:sz w:val="24"/>
        </w:rPr>
        <w:t xml:space="preserve">  水帘处理工艺示意图</w:t>
      </w:r>
    </w:p>
    <w:p w14:paraId="07F5C751">
      <w:pPr>
        <w:spacing w:line="360" w:lineRule="auto"/>
        <w:ind w:firstLine="480" w:firstLineChars="200"/>
        <w:rPr>
          <w:color w:val="auto"/>
          <w:sz w:val="24"/>
        </w:rPr>
      </w:pPr>
      <w:r>
        <w:rPr>
          <w:rFonts w:hint="eastAsia"/>
          <w:color w:val="auto"/>
          <w:sz w:val="24"/>
        </w:rPr>
        <w:t>水帘墙通风系统的过程是在其核心——水帘纸内完成的。在波纹状的纤维纸表面有层薄的水膜，当室外的干热空气被风机抽吸穿过水帘纸时，水膜中的水会吸收空气中的热量后蒸发，带走大量潜热，使经过水帘的空气温度的降低，经过处理后的凉爽湿润空气进入室内，与室内的热浊空气混合后，通过风机排出室外。</w:t>
      </w:r>
    </w:p>
    <w:p w14:paraId="6A901BA6">
      <w:pPr>
        <w:spacing w:line="360" w:lineRule="auto"/>
        <w:ind w:firstLine="480" w:firstLineChars="200"/>
        <w:rPr>
          <w:color w:val="auto"/>
          <w:sz w:val="24"/>
        </w:rPr>
      </w:pPr>
      <w:r>
        <w:rPr>
          <w:rFonts w:hint="eastAsia"/>
          <w:color w:val="auto"/>
          <w:sz w:val="24"/>
        </w:rPr>
        <w:t>(3)清粪设施</w:t>
      </w:r>
    </w:p>
    <w:p w14:paraId="2777D7B3">
      <w:pPr>
        <w:spacing w:line="360" w:lineRule="auto"/>
        <w:ind w:firstLine="480" w:firstLineChars="200"/>
        <w:rPr>
          <w:color w:val="auto"/>
          <w:sz w:val="24"/>
        </w:rPr>
      </w:pPr>
      <w:r>
        <w:rPr>
          <w:color w:val="auto"/>
          <w:sz w:val="24"/>
        </w:rPr>
        <w:t>清粪系统结构独特，在每层鸡笼的下面都有设置一条纵向封闭清粪带，每层鸡群的鸡粪零散地落在清粪带上。在粪便清理时，由横向刮板将鸡粪刮至位于鸡舍尾端的主输送带，主输送带采用全封闭式设计，防止鸡粪散落至地面，输送设施防晒、防雨、防渗设计，各鸡舍内的鸡粪均由主输送带直接运至清粪车。全厂鸡粪输送系统釆用全自动化设计，鸡粪（含饲料残渣）除</w:t>
      </w:r>
      <w:r>
        <w:rPr>
          <w:rFonts w:hint="eastAsia"/>
          <w:color w:val="auto"/>
          <w:sz w:val="24"/>
        </w:rPr>
        <w:t>极端天气</w:t>
      </w:r>
      <w:r>
        <w:rPr>
          <w:color w:val="auto"/>
          <w:sz w:val="24"/>
        </w:rPr>
        <w:t>（约50天/年）需暂存</w:t>
      </w:r>
      <w:r>
        <w:rPr>
          <w:rFonts w:hint="eastAsia"/>
          <w:color w:val="auto"/>
          <w:sz w:val="24"/>
          <w:lang w:eastAsia="zh-CN"/>
        </w:rPr>
        <w:t>临时储粪场</w:t>
      </w:r>
      <w:r>
        <w:rPr>
          <w:color w:val="auto"/>
          <w:sz w:val="24"/>
        </w:rPr>
        <w:t>外，均日产日清由清粪车直接拉走外售</w:t>
      </w:r>
      <w:r>
        <w:rPr>
          <w:rFonts w:hint="eastAsia"/>
          <w:color w:val="auto"/>
          <w:sz w:val="24"/>
          <w:lang w:eastAsia="zh-CN"/>
        </w:rPr>
        <w:t>至辰泰（辽宁）生物科技有限公司</w:t>
      </w:r>
      <w:r>
        <w:rPr>
          <w:rFonts w:hint="eastAsia"/>
          <w:color w:val="auto"/>
          <w:sz w:val="24"/>
        </w:rPr>
        <w:t>进行有机肥制造</w:t>
      </w:r>
      <w:r>
        <w:rPr>
          <w:color w:val="auto"/>
          <w:sz w:val="24"/>
        </w:rPr>
        <w:t>。</w:t>
      </w:r>
    </w:p>
    <w:p w14:paraId="058EF964">
      <w:pPr>
        <w:spacing w:line="360" w:lineRule="auto"/>
        <w:ind w:firstLine="480" w:firstLineChars="200"/>
        <w:rPr>
          <w:color w:val="auto"/>
          <w:sz w:val="24"/>
        </w:rPr>
      </w:pPr>
      <w:r>
        <w:rPr>
          <w:color w:val="auto"/>
          <w:sz w:val="24"/>
        </w:rPr>
        <w:t>清粪系统设计特点</w:t>
      </w:r>
      <w:r>
        <w:rPr>
          <w:rFonts w:hint="eastAsia"/>
          <w:color w:val="auto"/>
          <w:sz w:val="24"/>
        </w:rPr>
        <w:t>：</w:t>
      </w:r>
    </w:p>
    <w:p w14:paraId="0012A7FE">
      <w:pPr>
        <w:spacing w:line="360" w:lineRule="auto"/>
        <w:ind w:firstLine="480" w:firstLineChars="200"/>
        <w:rPr>
          <w:color w:val="auto"/>
          <w:sz w:val="24"/>
        </w:rPr>
      </w:pPr>
      <w:r>
        <w:rPr>
          <w:color w:val="auto"/>
          <w:sz w:val="24"/>
        </w:rPr>
        <w:t>a、传送带式自动清粪系统的清粪带安装在笼架笼网下面，</w:t>
      </w:r>
      <w:r>
        <w:rPr>
          <w:rFonts w:hint="eastAsia"/>
          <w:color w:val="auto"/>
          <w:sz w:val="24"/>
        </w:rPr>
        <w:t>承接鸡粪，根据</w:t>
      </w:r>
      <w:r>
        <w:rPr>
          <w:color w:val="auto"/>
          <w:sz w:val="24"/>
        </w:rPr>
        <w:t>鸡的排粪量重量，清粪带的重量来进行驱动电机功率选取；</w:t>
      </w:r>
    </w:p>
    <w:p w14:paraId="532E03D8">
      <w:pPr>
        <w:spacing w:line="360" w:lineRule="auto"/>
        <w:ind w:firstLine="480" w:firstLineChars="200"/>
        <w:rPr>
          <w:color w:val="auto"/>
          <w:sz w:val="24"/>
        </w:rPr>
      </w:pPr>
      <w:r>
        <w:rPr>
          <w:color w:val="auto"/>
          <w:sz w:val="24"/>
        </w:rPr>
        <w:t>b、根据笼网笼架的宽度来选定清粪带的宽度尺寸；</w:t>
      </w:r>
    </w:p>
    <w:p w14:paraId="63BFF705">
      <w:pPr>
        <w:spacing w:line="360" w:lineRule="auto"/>
        <w:ind w:firstLine="480" w:firstLineChars="200"/>
        <w:rPr>
          <w:color w:val="auto"/>
          <w:sz w:val="24"/>
        </w:rPr>
      </w:pPr>
      <w:r>
        <w:rPr>
          <w:color w:val="auto"/>
          <w:sz w:val="24"/>
        </w:rPr>
        <w:t>c、根据鸡舍需求出粪速度，电机功率，刮粪的干净程度等综合因素的决定选取带速度。</w:t>
      </w:r>
    </w:p>
    <w:p w14:paraId="055CD249">
      <w:pPr>
        <w:spacing w:line="360" w:lineRule="auto"/>
        <w:ind w:firstLine="480" w:firstLineChars="200"/>
        <w:rPr>
          <w:color w:val="auto"/>
          <w:sz w:val="24"/>
        </w:rPr>
      </w:pPr>
      <w:r>
        <w:rPr>
          <w:color w:val="auto"/>
          <w:sz w:val="24"/>
        </w:rPr>
        <w:t>鸡舍采用干清粪工艺，</w:t>
      </w:r>
      <w:r>
        <w:rPr>
          <w:rFonts w:hint="eastAsia"/>
          <w:color w:val="auto"/>
          <w:sz w:val="24"/>
        </w:rPr>
        <w:t>约500天淘汰1批鸡，并对相应鸡舍进行冲洗，蛋鸡在蛋鸡舍生活410天。每三栋/四栋鸡舍为一批，即410天冲洗4次、每次1天，</w:t>
      </w:r>
      <w:r>
        <w:rPr>
          <w:rFonts w:hint="eastAsia"/>
          <w:color w:val="auto"/>
          <w:sz w:val="24"/>
          <w:lang w:eastAsia="zh-CN"/>
        </w:rPr>
        <w:t>每栋鸡舍东侧端头各设置</w:t>
      </w:r>
      <w:r>
        <w:rPr>
          <w:rFonts w:hint="eastAsia"/>
          <w:color w:val="auto"/>
          <w:sz w:val="24"/>
          <w:lang w:val="en-US" w:eastAsia="zh-CN"/>
        </w:rPr>
        <w:t>1座废水收集池，冲洗废水进入废水收集池，日产日清由</w:t>
      </w:r>
      <w:r>
        <w:rPr>
          <w:rFonts w:hint="eastAsia"/>
          <w:color w:val="auto"/>
          <w:sz w:val="24"/>
          <w:highlight w:val="none"/>
          <w:lang w:val="en-US" w:eastAsia="zh-CN"/>
        </w:rPr>
        <w:t>罐车运至辰泰（辽宁）生物科技有限公司进行有机肥制造</w:t>
      </w:r>
      <w:r>
        <w:rPr>
          <w:rFonts w:hint="eastAsia"/>
          <w:color w:val="auto"/>
          <w:sz w:val="24"/>
          <w:highlight w:val="none"/>
        </w:rPr>
        <w:t>；</w:t>
      </w:r>
      <w:r>
        <w:rPr>
          <w:color w:val="auto"/>
          <w:sz w:val="24"/>
          <w:highlight w:val="none"/>
        </w:rPr>
        <w:t>鸡粪、饲料残渣除</w:t>
      </w:r>
      <w:r>
        <w:rPr>
          <w:rFonts w:hint="eastAsia"/>
          <w:color w:val="auto"/>
          <w:sz w:val="24"/>
          <w:highlight w:val="none"/>
        </w:rPr>
        <w:t>极端天气</w:t>
      </w:r>
      <w:r>
        <w:rPr>
          <w:color w:val="auto"/>
          <w:sz w:val="24"/>
          <w:highlight w:val="none"/>
        </w:rPr>
        <w:t>（约50天/年）需暂存</w:t>
      </w:r>
      <w:r>
        <w:rPr>
          <w:rFonts w:hint="eastAsia"/>
          <w:color w:val="auto"/>
          <w:sz w:val="24"/>
          <w:highlight w:val="none"/>
          <w:lang w:eastAsia="zh-CN"/>
        </w:rPr>
        <w:t>临时储粪场</w:t>
      </w:r>
      <w:r>
        <w:rPr>
          <w:color w:val="auto"/>
          <w:sz w:val="24"/>
          <w:highlight w:val="none"/>
        </w:rPr>
        <w:t>外，均日产日清由清粪车直接拉走外售</w:t>
      </w:r>
      <w:r>
        <w:rPr>
          <w:rFonts w:hint="eastAsia"/>
          <w:color w:val="auto"/>
          <w:sz w:val="24"/>
          <w:highlight w:val="none"/>
          <w:lang w:eastAsia="zh-CN"/>
        </w:rPr>
        <w:t>至辰泰（辽宁）生物科技有限公司</w:t>
      </w:r>
      <w:r>
        <w:rPr>
          <w:rFonts w:hint="eastAsia"/>
          <w:color w:val="auto"/>
          <w:sz w:val="24"/>
          <w:highlight w:val="none"/>
        </w:rPr>
        <w:t>进行有机肥制造。</w:t>
      </w:r>
    </w:p>
    <w:p w14:paraId="055E41EF">
      <w:pPr>
        <w:spacing w:line="360" w:lineRule="auto"/>
        <w:ind w:firstLine="480" w:firstLineChars="200"/>
        <w:rPr>
          <w:color w:val="auto"/>
          <w:sz w:val="24"/>
        </w:rPr>
      </w:pPr>
      <w:r>
        <w:rPr>
          <w:color w:val="auto"/>
          <w:sz w:val="24"/>
        </w:rPr>
        <w:t>（</w:t>
      </w:r>
      <w:r>
        <w:rPr>
          <w:rFonts w:hint="eastAsia"/>
          <w:color w:val="auto"/>
          <w:sz w:val="24"/>
        </w:rPr>
        <w:t>4</w:t>
      </w:r>
      <w:r>
        <w:rPr>
          <w:color w:val="auto"/>
          <w:sz w:val="24"/>
        </w:rPr>
        <w:t>）消毒工艺</w:t>
      </w:r>
    </w:p>
    <w:p w14:paraId="36B2D97B">
      <w:pPr>
        <w:spacing w:line="360" w:lineRule="auto"/>
        <w:ind w:firstLine="480" w:firstLineChars="200"/>
        <w:rPr>
          <w:color w:val="auto"/>
          <w:sz w:val="24"/>
        </w:rPr>
      </w:pPr>
      <w:r>
        <w:rPr>
          <w:color w:val="auto"/>
          <w:sz w:val="24"/>
        </w:rPr>
        <w:t>本项目实施严格的兽医卫生消毒、免疫程序，保证鸡群健康。所有与外界接触进出口均设有消毒池，人员进入前要更衣室洗手、更换外套、戴上防护帽及口罩并套上一次性鞋套。各鸡舍养殖设备均釆用消毒液进行喷雾消毒或消毒剂洒。消毒剂主要为碘伏、复方酚溶液，其中碘伏年用量为1000L，浓度为0.5%；复方酚溶液年用量为1000L，配置比例为1:300。</w:t>
      </w:r>
    </w:p>
    <w:p w14:paraId="6E76902C">
      <w:pPr>
        <w:spacing w:line="360" w:lineRule="auto"/>
        <w:ind w:firstLine="480" w:firstLineChars="200"/>
        <w:rPr>
          <w:color w:val="auto"/>
          <w:sz w:val="24"/>
        </w:rPr>
      </w:pPr>
      <w:r>
        <w:rPr>
          <w:color w:val="auto"/>
          <w:sz w:val="24"/>
        </w:rPr>
        <w:t>（</w:t>
      </w:r>
      <w:r>
        <w:rPr>
          <w:rFonts w:hint="eastAsia"/>
          <w:color w:val="auto"/>
          <w:sz w:val="24"/>
        </w:rPr>
        <w:t>5</w:t>
      </w:r>
      <w:r>
        <w:rPr>
          <w:color w:val="auto"/>
          <w:sz w:val="24"/>
        </w:rPr>
        <w:t>）病死畜禽处置</w:t>
      </w:r>
    </w:p>
    <w:p w14:paraId="60BFBEFE">
      <w:pPr>
        <w:spacing w:line="360" w:lineRule="auto"/>
        <w:ind w:firstLine="480" w:firstLineChars="200"/>
        <w:rPr>
          <w:bCs/>
          <w:color w:val="auto"/>
          <w:sz w:val="24"/>
        </w:rPr>
      </w:pPr>
      <w:r>
        <w:rPr>
          <w:rFonts w:hint="eastAsia"/>
          <w:bCs/>
          <w:color w:val="auto"/>
          <w:sz w:val="24"/>
        </w:rPr>
        <w:t>a</w:t>
      </w:r>
      <w:r>
        <w:rPr>
          <w:bCs/>
          <w:color w:val="auto"/>
          <w:sz w:val="24"/>
        </w:rPr>
        <w:t>、处置依据</w:t>
      </w:r>
    </w:p>
    <w:p w14:paraId="5C8BFC71">
      <w:pPr>
        <w:spacing w:line="360" w:lineRule="auto"/>
        <w:ind w:firstLine="480" w:firstLineChars="200"/>
        <w:rPr>
          <w:bCs/>
          <w:color w:val="auto"/>
          <w:sz w:val="24"/>
        </w:rPr>
      </w:pPr>
      <w:r>
        <w:rPr>
          <w:bCs/>
          <w:color w:val="auto"/>
          <w:sz w:val="24"/>
        </w:rPr>
        <w:t>根据生态环境部办公厅《关于病害动物无害化处理有关意见的复函》（环办函【2014】789号），病死家禽不属于危险废物。按照《关于进一步加强病死动物无害化处理监管工作的通知》（农医发【2012】12号）的要求，由动物卫生监督机构承担病死动物及动物产品无害化处理的监管责任，按照《病死及病害动物无害化处理技术规范》（农医发【2017】25号）的有关要求进行无害化处理。</w:t>
      </w:r>
    </w:p>
    <w:p w14:paraId="340CECEC">
      <w:pPr>
        <w:spacing w:line="360" w:lineRule="auto"/>
        <w:ind w:firstLine="482" w:firstLineChars="200"/>
        <w:rPr>
          <w:b/>
          <w:color w:val="auto"/>
          <w:sz w:val="24"/>
        </w:rPr>
      </w:pPr>
      <w:r>
        <w:rPr>
          <w:b/>
          <w:color w:val="auto"/>
          <w:sz w:val="24"/>
        </w:rPr>
        <w:t>《畜禽规模养殖污染防治条例》（中华人民共和国国务院令第643号）中相关规定：</w:t>
      </w:r>
    </w:p>
    <w:p w14:paraId="7BB5EA65">
      <w:pPr>
        <w:spacing w:line="360" w:lineRule="auto"/>
        <w:ind w:firstLine="480" w:firstLineChars="200"/>
        <w:rPr>
          <w:bCs/>
          <w:color w:val="auto"/>
          <w:sz w:val="24"/>
        </w:rPr>
      </w:pPr>
      <w:r>
        <w:rPr>
          <w:bCs/>
          <w:color w:val="auto"/>
          <w:sz w:val="24"/>
        </w:rPr>
        <w:t>染疫畜禽以及染疫畜禽排泄物、染疫畜禽产品、病死或者死因不明的畜禽尸体等病害畜禽养殖废弃物，应当按照有关法律、法规和国务院农牧主管部门的规定，进行深埋、化制、焚烧等无害化处理，不得随意处置。</w:t>
      </w:r>
    </w:p>
    <w:p w14:paraId="359339E1">
      <w:pPr>
        <w:spacing w:line="360" w:lineRule="auto"/>
        <w:ind w:firstLine="480" w:firstLineChars="200"/>
        <w:rPr>
          <w:bCs/>
          <w:color w:val="auto"/>
          <w:sz w:val="24"/>
        </w:rPr>
      </w:pPr>
      <w:r>
        <w:rPr>
          <w:bCs/>
          <w:color w:val="auto"/>
          <w:sz w:val="24"/>
        </w:rPr>
        <w:t>国家鼓励和支持对染疫畜禽、病死或者死因不明畜禽尸体进行集中无害化处理，并按照国家有关规定对处理费用、养殖损失给予适当补助。</w:t>
      </w:r>
    </w:p>
    <w:p w14:paraId="30EDE6E7">
      <w:pPr>
        <w:spacing w:line="360" w:lineRule="auto"/>
        <w:ind w:firstLine="482" w:firstLineChars="200"/>
        <w:rPr>
          <w:b/>
          <w:color w:val="auto"/>
          <w:sz w:val="24"/>
        </w:rPr>
      </w:pPr>
      <w:r>
        <w:rPr>
          <w:b/>
          <w:color w:val="auto"/>
          <w:sz w:val="24"/>
        </w:rPr>
        <w:t>《畜禽养殖业污染防治技术规范》（HJ/T81-2001）中相关规定：</w:t>
      </w:r>
    </w:p>
    <w:p w14:paraId="1C1E404F">
      <w:pPr>
        <w:spacing w:line="360" w:lineRule="auto"/>
        <w:ind w:firstLine="480" w:firstLineChars="200"/>
        <w:rPr>
          <w:bCs/>
          <w:color w:val="auto"/>
          <w:sz w:val="24"/>
        </w:rPr>
      </w:pPr>
      <w:r>
        <w:rPr>
          <w:bCs/>
          <w:color w:val="auto"/>
          <w:sz w:val="24"/>
        </w:rPr>
        <w:t>病死畜禽尸体要及时处理，严禁随意丢弃，严禁出售或作为饲料再利用。</w:t>
      </w:r>
    </w:p>
    <w:p w14:paraId="1D4A225B">
      <w:pPr>
        <w:spacing w:line="360" w:lineRule="auto"/>
        <w:ind w:firstLine="480" w:firstLineChars="200"/>
        <w:rPr>
          <w:bCs/>
          <w:color w:val="auto"/>
          <w:sz w:val="24"/>
        </w:rPr>
      </w:pPr>
      <w:r>
        <w:rPr>
          <w:rFonts w:hint="eastAsia"/>
          <w:bCs/>
          <w:color w:val="auto"/>
          <w:sz w:val="24"/>
        </w:rPr>
        <w:t>b</w:t>
      </w:r>
      <w:r>
        <w:rPr>
          <w:bCs/>
          <w:color w:val="auto"/>
          <w:sz w:val="24"/>
        </w:rPr>
        <w:t>、处置情况</w:t>
      </w:r>
    </w:p>
    <w:p w14:paraId="4F098264">
      <w:pPr>
        <w:spacing w:line="360" w:lineRule="auto"/>
        <w:ind w:firstLine="480" w:firstLineChars="200"/>
        <w:rPr>
          <w:rFonts w:hint="eastAsia" w:eastAsia="宋体"/>
          <w:bCs/>
          <w:color w:val="auto"/>
          <w:sz w:val="24"/>
          <w:lang w:eastAsia="zh-CN"/>
        </w:rPr>
      </w:pPr>
      <w:r>
        <w:rPr>
          <w:bCs/>
          <w:color w:val="auto"/>
          <w:sz w:val="24"/>
        </w:rPr>
        <w:t>在无传染病的情况下，本项目每年病死</w:t>
      </w:r>
      <w:r>
        <w:rPr>
          <w:rFonts w:hint="eastAsia"/>
          <w:bCs/>
          <w:color w:val="auto"/>
          <w:sz w:val="24"/>
        </w:rPr>
        <w:t>鸡</w:t>
      </w:r>
      <w:r>
        <w:rPr>
          <w:bCs/>
          <w:color w:val="auto"/>
          <w:sz w:val="24"/>
        </w:rPr>
        <w:t>约</w:t>
      </w:r>
      <w:r>
        <w:rPr>
          <w:rFonts w:hint="eastAsia"/>
          <w:bCs/>
          <w:color w:val="auto"/>
          <w:sz w:val="24"/>
        </w:rPr>
        <w:t>2000</w:t>
      </w:r>
      <w:r>
        <w:rPr>
          <w:bCs/>
          <w:color w:val="auto"/>
          <w:sz w:val="24"/>
        </w:rPr>
        <w:t>只，病死</w:t>
      </w:r>
      <w:r>
        <w:rPr>
          <w:rFonts w:hint="eastAsia"/>
          <w:bCs/>
          <w:color w:val="auto"/>
          <w:sz w:val="24"/>
        </w:rPr>
        <w:t>鸡</w:t>
      </w:r>
      <w:r>
        <w:rPr>
          <w:bCs/>
          <w:color w:val="auto"/>
          <w:sz w:val="24"/>
        </w:rPr>
        <w:t>产生量为</w:t>
      </w:r>
      <w:r>
        <w:rPr>
          <w:rFonts w:hint="eastAsia"/>
          <w:bCs/>
          <w:color w:val="auto"/>
          <w:sz w:val="24"/>
        </w:rPr>
        <w:t>3</w:t>
      </w:r>
      <w:r>
        <w:rPr>
          <w:bCs/>
          <w:color w:val="auto"/>
          <w:sz w:val="24"/>
        </w:rPr>
        <w:t>t/a。本项目病死</w:t>
      </w:r>
      <w:r>
        <w:rPr>
          <w:rFonts w:hint="eastAsia"/>
          <w:bCs/>
          <w:color w:val="auto"/>
          <w:sz w:val="24"/>
        </w:rPr>
        <w:t>鸡</w:t>
      </w:r>
      <w:r>
        <w:rPr>
          <w:bCs/>
          <w:color w:val="auto"/>
          <w:sz w:val="24"/>
        </w:rPr>
        <w:t>产生量较小且位于农村地区，属于边远和交通不便地区零星病死畜禽的处理。</w:t>
      </w:r>
      <w:r>
        <w:rPr>
          <w:rFonts w:hint="eastAsia"/>
          <w:bCs/>
          <w:color w:val="auto"/>
          <w:sz w:val="24"/>
          <w:lang w:eastAsia="zh-CN"/>
        </w:rPr>
        <w:t>本项目在厂区内设置1个850L冷柜，病死鸡暂存冷柜中，委托北票市汇宏动物无害化处理有限公司定期收集处理。</w:t>
      </w:r>
    </w:p>
    <w:p w14:paraId="43FA96CF">
      <w:pPr>
        <w:spacing w:line="360" w:lineRule="auto"/>
        <w:ind w:firstLine="480" w:firstLineChars="200"/>
        <w:rPr>
          <w:color w:val="auto"/>
          <w:sz w:val="24"/>
        </w:rPr>
      </w:pPr>
      <w:r>
        <w:rPr>
          <w:rFonts w:hint="eastAsia"/>
          <w:color w:val="auto"/>
          <w:sz w:val="24"/>
        </w:rPr>
        <w:t>（6）蛋品加工</w:t>
      </w:r>
    </w:p>
    <w:p w14:paraId="7E1EA9FB">
      <w:pPr>
        <w:spacing w:line="360" w:lineRule="auto"/>
        <w:ind w:firstLine="480" w:firstLineChars="200"/>
        <w:rPr>
          <w:color w:val="auto"/>
          <w:sz w:val="24"/>
        </w:rPr>
      </w:pPr>
      <w:r>
        <w:rPr>
          <w:color w:val="auto"/>
          <w:sz w:val="24"/>
        </w:rPr>
        <w:t>鸡蛋通过自动分拣后，优质鸡蛋进行包装后外售。</w:t>
      </w:r>
    </w:p>
    <w:p w14:paraId="3C7549CA">
      <w:pPr>
        <w:spacing w:line="360" w:lineRule="auto"/>
        <w:textAlignment w:val="baseline"/>
        <w:rPr>
          <w:rFonts w:hint="eastAsia" w:eastAsia="宋体"/>
          <w:b/>
          <w:bCs/>
          <w:color w:val="auto"/>
          <w:highlight w:val="yellow"/>
          <w:lang w:eastAsia="zh-CN"/>
        </w:rPr>
      </w:pPr>
      <w:r>
        <w:rPr>
          <w:rFonts w:hint="eastAsia"/>
          <w:b/>
          <w:bCs/>
          <w:color w:val="auto"/>
          <w:sz w:val="24"/>
          <w:lang w:val="en-US" w:eastAsia="zh-CN"/>
        </w:rPr>
        <w:t>3.3.2.2</w:t>
      </w:r>
      <w:r>
        <w:rPr>
          <w:b/>
          <w:bCs/>
          <w:color w:val="auto"/>
          <w:sz w:val="24"/>
        </w:rPr>
        <w:t>生活区</w:t>
      </w:r>
      <w:r>
        <w:rPr>
          <w:rFonts w:hint="eastAsia"/>
          <w:b/>
          <w:bCs/>
          <w:color w:val="auto"/>
          <w:sz w:val="24"/>
          <w:lang w:eastAsia="zh-CN"/>
        </w:rPr>
        <w:t>产排污节点</w:t>
      </w:r>
    </w:p>
    <w:p w14:paraId="747F8ACF">
      <w:pPr>
        <w:pStyle w:val="68"/>
        <w:ind w:firstLine="480"/>
        <w:rPr>
          <w:color w:val="auto"/>
        </w:rPr>
      </w:pPr>
      <w:r>
        <w:rPr>
          <w:color w:val="auto"/>
        </w:rPr>
        <w:t>本项目设置食堂，食堂油烟经油烟净化器处理后由烟道排放；员工生活产生生活垃圾，厂区内设置垃圾点，</w:t>
      </w:r>
      <w:r>
        <w:rPr>
          <w:snapToGrid w:val="0"/>
          <w:color w:val="auto"/>
          <w:kern w:val="0"/>
          <w:szCs w:val="21"/>
        </w:rPr>
        <w:t>定期清运至</w:t>
      </w:r>
      <w:r>
        <w:rPr>
          <w:color w:val="auto"/>
          <w:szCs w:val="21"/>
        </w:rPr>
        <w:t>附近垃圾点</w:t>
      </w:r>
      <w:r>
        <w:rPr>
          <w:snapToGrid w:val="0"/>
          <w:color w:val="auto"/>
          <w:kern w:val="0"/>
          <w:szCs w:val="21"/>
        </w:rPr>
        <w:t>；本项目</w:t>
      </w:r>
      <w:r>
        <w:rPr>
          <w:rFonts w:hint="eastAsia"/>
          <w:snapToGrid w:val="0"/>
          <w:color w:val="auto"/>
          <w:kern w:val="0"/>
          <w:szCs w:val="21"/>
        </w:rPr>
        <w:t>食堂废水经隔油池处理后，与</w:t>
      </w:r>
      <w:r>
        <w:rPr>
          <w:snapToGrid w:val="0"/>
          <w:color w:val="auto"/>
          <w:kern w:val="0"/>
          <w:szCs w:val="21"/>
        </w:rPr>
        <w:t>生活污水</w:t>
      </w:r>
      <w:r>
        <w:rPr>
          <w:rFonts w:hint="eastAsia"/>
          <w:snapToGrid w:val="0"/>
          <w:color w:val="auto"/>
          <w:kern w:val="0"/>
          <w:szCs w:val="21"/>
        </w:rPr>
        <w:t>一同排入防渗旱厕，</w:t>
      </w:r>
      <w:r>
        <w:rPr>
          <w:snapToGrid w:val="0"/>
          <w:color w:val="auto"/>
          <w:kern w:val="0"/>
          <w:szCs w:val="21"/>
        </w:rPr>
        <w:t>定期清掏</w:t>
      </w:r>
      <w:r>
        <w:rPr>
          <w:rFonts w:hint="eastAsia"/>
          <w:color w:val="auto"/>
        </w:rPr>
        <w:t>，</w:t>
      </w:r>
      <w:r>
        <w:rPr>
          <w:rFonts w:hint="eastAsia"/>
          <w:color w:val="auto"/>
          <w:lang w:eastAsia="zh-CN"/>
        </w:rPr>
        <w:t>用作农肥</w:t>
      </w:r>
      <w:r>
        <w:rPr>
          <w:snapToGrid w:val="0"/>
          <w:color w:val="auto"/>
          <w:kern w:val="0"/>
          <w:szCs w:val="21"/>
        </w:rPr>
        <w:t>。</w:t>
      </w:r>
    </w:p>
    <w:p w14:paraId="3052C193">
      <w:pPr>
        <w:spacing w:line="360" w:lineRule="auto"/>
        <w:textAlignment w:val="baseline"/>
        <w:rPr>
          <w:rFonts w:hint="eastAsia"/>
          <w:b/>
          <w:bCs/>
          <w:color w:val="auto"/>
          <w:sz w:val="24"/>
          <w:highlight w:val="none"/>
          <w:lang w:val="en-US" w:eastAsia="zh-CN"/>
        </w:rPr>
      </w:pPr>
      <w:bookmarkStart w:id="181" w:name="bookmark401"/>
      <w:bookmarkEnd w:id="181"/>
      <w:r>
        <w:rPr>
          <w:rFonts w:hint="eastAsia"/>
          <w:b/>
          <w:bCs/>
          <w:color w:val="auto"/>
          <w:sz w:val="24"/>
          <w:highlight w:val="none"/>
          <w:lang w:val="en-US" w:eastAsia="zh-CN"/>
        </w:rPr>
        <w:t>3.3.2.3锅炉工艺流程及排污节点</w:t>
      </w:r>
    </w:p>
    <w:p w14:paraId="33EBD5ED">
      <w:pPr>
        <w:pStyle w:val="35"/>
        <w:rPr>
          <w:rFonts w:hint="eastAsia"/>
          <w:b/>
          <w:bCs/>
          <w:color w:val="auto"/>
          <w:sz w:val="24"/>
          <w:highlight w:val="none"/>
          <w:lang w:val="en-US" w:eastAsia="zh-CN"/>
        </w:rPr>
      </w:pPr>
    </w:p>
    <w:p w14:paraId="7560E223">
      <w:pPr>
        <w:rPr>
          <w:rFonts w:hint="eastAsia"/>
          <w:b/>
          <w:bCs/>
          <w:color w:val="auto"/>
          <w:sz w:val="24"/>
          <w:highlight w:val="none"/>
          <w:lang w:val="en-US" w:eastAsia="zh-CN"/>
        </w:rPr>
      </w:pPr>
    </w:p>
    <w:p w14:paraId="7943B029">
      <w:pPr>
        <w:pStyle w:val="35"/>
        <w:rPr>
          <w:rFonts w:hint="eastAsia"/>
          <w:b/>
          <w:bCs/>
          <w:color w:val="auto"/>
          <w:sz w:val="24"/>
          <w:highlight w:val="none"/>
          <w:lang w:val="en-US" w:eastAsia="zh-CN"/>
        </w:rPr>
      </w:pPr>
    </w:p>
    <w:p w14:paraId="42040873">
      <w:pPr>
        <w:rPr>
          <w:rFonts w:hint="eastAsia"/>
          <w:b/>
          <w:bCs/>
          <w:color w:val="auto"/>
          <w:sz w:val="24"/>
          <w:highlight w:val="none"/>
          <w:lang w:val="en-US" w:eastAsia="zh-CN"/>
        </w:rPr>
      </w:pPr>
    </w:p>
    <w:p w14:paraId="5FCDDB85">
      <w:pPr>
        <w:pStyle w:val="35"/>
        <w:rPr>
          <w:rFonts w:hint="eastAsia"/>
          <w:b/>
          <w:bCs/>
          <w:color w:val="auto"/>
          <w:sz w:val="24"/>
          <w:highlight w:val="none"/>
          <w:lang w:val="en-US" w:eastAsia="zh-CN"/>
        </w:rPr>
      </w:pPr>
    </w:p>
    <w:p w14:paraId="50C6B7A8">
      <w:pPr>
        <w:rPr>
          <w:rFonts w:hint="eastAsia"/>
          <w:b/>
          <w:bCs/>
          <w:color w:val="auto"/>
          <w:sz w:val="24"/>
          <w:highlight w:val="none"/>
          <w:lang w:val="en-US" w:eastAsia="zh-CN"/>
        </w:rPr>
      </w:pPr>
    </w:p>
    <w:p w14:paraId="3A80233D">
      <w:pPr>
        <w:pStyle w:val="35"/>
        <w:rPr>
          <w:rFonts w:hint="eastAsia"/>
          <w:b/>
          <w:bCs/>
          <w:color w:val="auto"/>
          <w:sz w:val="24"/>
          <w:highlight w:val="none"/>
          <w:lang w:val="en-US" w:eastAsia="zh-CN"/>
        </w:rPr>
      </w:pPr>
    </w:p>
    <w:p w14:paraId="254B1115">
      <w:pPr>
        <w:rPr>
          <w:rFonts w:hint="eastAsia"/>
          <w:b/>
          <w:bCs/>
          <w:color w:val="auto"/>
          <w:sz w:val="24"/>
          <w:highlight w:val="none"/>
          <w:lang w:val="en-US" w:eastAsia="zh-CN"/>
        </w:rPr>
      </w:pPr>
    </w:p>
    <w:p w14:paraId="5AD09387">
      <w:pPr>
        <w:rPr>
          <w:rFonts w:hint="eastAsia"/>
          <w:b/>
          <w:bCs/>
          <w:color w:val="auto"/>
          <w:sz w:val="24"/>
          <w:highlight w:val="none"/>
          <w:lang w:val="en-US" w:eastAsia="zh-CN"/>
        </w:rPr>
      </w:pPr>
    </w:p>
    <w:p w14:paraId="48D87C80">
      <w:pPr>
        <w:rPr>
          <w:rFonts w:hint="eastAsia"/>
          <w:b/>
          <w:bCs/>
          <w:color w:val="auto"/>
          <w:sz w:val="24"/>
          <w:highlight w:val="none"/>
          <w:lang w:val="en-US" w:eastAsia="zh-CN"/>
        </w:rPr>
      </w:pPr>
    </w:p>
    <w:p w14:paraId="76D64D1B">
      <w:pPr>
        <w:rPr>
          <w:rFonts w:hint="eastAsia"/>
          <w:b/>
          <w:bCs/>
          <w:color w:val="auto"/>
          <w:sz w:val="24"/>
          <w:highlight w:val="none"/>
          <w:lang w:val="en-US" w:eastAsia="zh-CN"/>
        </w:rPr>
      </w:pPr>
    </w:p>
    <w:p w14:paraId="7FDCFE4E">
      <w:pPr>
        <w:pStyle w:val="35"/>
        <w:rPr>
          <w:rFonts w:hint="eastAsia"/>
          <w:b/>
          <w:bCs/>
          <w:color w:val="auto"/>
          <w:sz w:val="24"/>
          <w:highlight w:val="none"/>
          <w:lang w:val="en-US" w:eastAsia="zh-CN"/>
        </w:rPr>
      </w:pPr>
    </w:p>
    <w:p w14:paraId="5F169277">
      <w:pPr>
        <w:rPr>
          <w:rFonts w:hint="eastAsia"/>
          <w:b/>
          <w:bCs/>
          <w:color w:val="auto"/>
          <w:sz w:val="24"/>
          <w:highlight w:val="none"/>
          <w:lang w:val="en-US" w:eastAsia="zh-CN"/>
        </w:rPr>
      </w:pPr>
    </w:p>
    <w:p w14:paraId="61503044">
      <w:pPr>
        <w:pStyle w:val="35"/>
        <w:rPr>
          <w:rFonts w:hint="eastAsia"/>
          <w:b/>
          <w:bCs/>
          <w:color w:val="auto"/>
          <w:sz w:val="24"/>
          <w:highlight w:val="none"/>
          <w:lang w:val="en-US" w:eastAsia="zh-CN"/>
        </w:rPr>
      </w:pPr>
    </w:p>
    <w:p w14:paraId="733FD1F5">
      <w:pPr>
        <w:rPr>
          <w:rFonts w:hint="eastAsia"/>
          <w:lang w:val="en-US" w:eastAsia="zh-CN"/>
        </w:rPr>
      </w:pPr>
    </w:p>
    <w:p w14:paraId="459354F4">
      <w:pPr>
        <w:spacing w:line="360" w:lineRule="auto"/>
        <w:ind w:firstLine="482" w:firstLineChars="200"/>
        <w:textAlignment w:val="baseline"/>
        <w:rPr>
          <w:rFonts w:hint="eastAsia"/>
          <w:b/>
          <w:bCs/>
          <w:color w:val="auto"/>
          <w:sz w:val="24"/>
        </w:rPr>
      </w:pPr>
    </w:p>
    <w:p w14:paraId="376AA546">
      <w:pPr>
        <w:pStyle w:val="35"/>
        <w:rPr>
          <w:rFonts w:hint="eastAsia"/>
        </w:rPr>
      </w:pPr>
      <w:r>
        <w:rPr>
          <w:color w:val="auto"/>
          <w:sz w:val="24"/>
        </w:rPr>
        <mc:AlternateContent>
          <mc:Choice Requires="wps">
            <w:drawing>
              <wp:anchor distT="0" distB="0" distL="114300" distR="114300" simplePos="0" relativeHeight="251828224" behindDoc="0" locked="0" layoutInCell="1" allowOverlap="1">
                <wp:simplePos x="0" y="0"/>
                <wp:positionH relativeFrom="column">
                  <wp:posOffset>2023110</wp:posOffset>
                </wp:positionH>
                <wp:positionV relativeFrom="paragraph">
                  <wp:posOffset>-79375</wp:posOffset>
                </wp:positionV>
                <wp:extent cx="1322070" cy="438150"/>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132207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39049">
                            <w:pPr>
                              <w:jc w:val="center"/>
                              <w:rPr>
                                <w:rFonts w:hint="eastAsia"/>
                                <w:lang w:val="en-US" w:eastAsia="zh-CN"/>
                              </w:rPr>
                            </w:pPr>
                            <w:r>
                              <w:rPr>
                                <w:rFonts w:hint="eastAsia"/>
                                <w:lang w:val="en-US" w:eastAsia="zh-CN"/>
                              </w:rPr>
                              <w:t>30m高烟囱</w:t>
                            </w:r>
                          </w:p>
                          <w:p w14:paraId="3B39FFBB">
                            <w:pPr>
                              <w:jc w:val="center"/>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3pt;margin-top:-6.25pt;height:34.5pt;width:104.1pt;z-index:251828224;mso-width-relative:page;mso-height-relative:page;" filled="f" stroked="f" coordsize="21600,21600" o:gfxdata="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jEsjtsAAAAKAQAADwAAAAAAAAABACAAAAAiAAAA&#10;ZHJzL2Rvd25yZXYueG1sUEsBAhQAFAAAAAgAh07iQKW55cQ9AgAAagQAAA4AAAAAAAAAAQAgAAAA&#10;KgEAAGRycy9lMm9Eb2MueG1sUEsFBgAAAAAGAAYAWQEAANkFAAAAAA==&#10;">
                <v:fill on="f" focussize="0,0"/>
                <v:stroke on="f" weight="0.5pt"/>
                <v:imagedata o:title=""/>
                <o:lock v:ext="edit" aspectratio="f"/>
                <v:textbox>
                  <w:txbxContent>
                    <w:p w14:paraId="6EA39049">
                      <w:pPr>
                        <w:jc w:val="center"/>
                        <w:rPr>
                          <w:rFonts w:hint="eastAsia"/>
                          <w:lang w:val="en-US" w:eastAsia="zh-CN"/>
                        </w:rPr>
                      </w:pPr>
                      <w:r>
                        <w:rPr>
                          <w:rFonts w:hint="eastAsia"/>
                          <w:lang w:val="en-US" w:eastAsia="zh-CN"/>
                        </w:rPr>
                        <w:t>30m高烟囱</w:t>
                      </w:r>
                    </w:p>
                    <w:p w14:paraId="3B39FFBB">
                      <w:pPr>
                        <w:jc w:val="center"/>
                        <w:rPr>
                          <w:rFonts w:hint="default" w:eastAsia="宋体"/>
                          <w:lang w:val="en-US" w:eastAsia="zh-CN"/>
                        </w:rPr>
                      </w:pPr>
                      <w:r>
                        <w:rPr>
                          <w:rFonts w:hint="eastAsia"/>
                          <w:lang w:val="en-US" w:eastAsia="zh-CN"/>
                        </w:rPr>
                        <w:t>（DA001）</w:t>
                      </w:r>
                    </w:p>
                  </w:txbxContent>
                </v:textbox>
              </v:shape>
            </w:pict>
          </mc:Fallback>
        </mc:AlternateContent>
      </w:r>
    </w:p>
    <w:p w14:paraId="1BF91603">
      <w:pPr>
        <w:pStyle w:val="68"/>
        <w:rPr>
          <w:rFonts w:hint="eastAsia"/>
          <w:color w:val="auto"/>
        </w:rPr>
      </w:pPr>
      <w:r>
        <w:rPr>
          <w:color w:val="auto"/>
          <w:sz w:val="24"/>
        </w:rPr>
        <mc:AlternateContent>
          <mc:Choice Requires="wps">
            <w:drawing>
              <wp:anchor distT="0" distB="0" distL="114300" distR="114300" simplePos="0" relativeHeight="251700224" behindDoc="0" locked="0" layoutInCell="1" allowOverlap="1">
                <wp:simplePos x="0" y="0"/>
                <wp:positionH relativeFrom="column">
                  <wp:posOffset>2679700</wp:posOffset>
                </wp:positionH>
                <wp:positionV relativeFrom="paragraph">
                  <wp:posOffset>160020</wp:posOffset>
                </wp:positionV>
                <wp:extent cx="0" cy="381000"/>
                <wp:effectExtent l="38100" t="0" r="38100" b="0"/>
                <wp:wrapNone/>
                <wp:docPr id="197" name="直接箭头连接符 197"/>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11pt;margin-top:12.6pt;height:30pt;width:0pt;z-index:251700224;mso-width-relative:page;mso-height-relative:page;" filled="f" stroked="t" coordsize="21600,21600" o:gfxdata="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EH7WI2AAAAAkBAAAPAAAAAAAAAAEAIAAAACIAAABkcnMvZG93&#10;bnJldi54bWxQSwECFAAUAAAACACHTuJAeJDFzwACAADXAwAADgAAAAAAAAABACAAAAAnAQAAZHJz&#10;L2Uyb0RvYy54bWxQSwUGAAAAAAYABgBZAQAAmQUAAAAA&#10;">
                <v:fill on="f" focussize="0,0"/>
                <v:stroke weight="1pt" color="#000000 [3213]" joinstyle="round" dashstyle="dash" endarrow="block"/>
                <v:imagedata o:title=""/>
                <o:lock v:ext="edit" aspectratio="f"/>
              </v:shape>
            </w:pict>
          </mc:Fallback>
        </mc:AlternateContent>
      </w:r>
    </w:p>
    <w:p w14:paraId="7E189E4F">
      <w:pPr>
        <w:pStyle w:val="68"/>
        <w:rPr>
          <w:rFonts w:hint="eastAsia"/>
          <w:color w:val="auto"/>
        </w:rPr>
      </w:pPr>
      <w:r>
        <w:rPr>
          <w:color w:val="auto"/>
          <w:sz w:val="24"/>
        </w:rPr>
        <mc:AlternateContent>
          <mc:Choice Requires="wps">
            <w:drawing>
              <wp:anchor distT="0" distB="0" distL="114300" distR="114300" simplePos="0" relativeHeight="251706368" behindDoc="0" locked="0" layoutInCell="1" allowOverlap="1">
                <wp:simplePos x="0" y="0"/>
                <wp:positionH relativeFrom="column">
                  <wp:posOffset>2213610</wp:posOffset>
                </wp:positionH>
                <wp:positionV relativeFrom="paragraph">
                  <wp:posOffset>257175</wp:posOffset>
                </wp:positionV>
                <wp:extent cx="942340" cy="276225"/>
                <wp:effectExtent l="0" t="0" r="0" b="0"/>
                <wp:wrapNone/>
                <wp:docPr id="238" name="文本框 238"/>
                <wp:cNvGraphicFramePr/>
                <a:graphic xmlns:a="http://schemas.openxmlformats.org/drawingml/2006/main">
                  <a:graphicData uri="http://schemas.microsoft.com/office/word/2010/wordprocessingShape">
                    <wps:wsp>
                      <wps:cNvSpPr txBox="1"/>
                      <wps:spPr>
                        <a:xfrm>
                          <a:off x="0" y="0"/>
                          <a:ext cx="94234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54451A">
                            <w:pPr>
                              <w:jc w:val="center"/>
                              <w:rPr>
                                <w:rFonts w:hint="eastAsia" w:eastAsia="宋体"/>
                                <w:lang w:eastAsia="zh-CN"/>
                              </w:rPr>
                            </w:pPr>
                            <w:r>
                              <w:rPr>
                                <w:rFonts w:hint="eastAsia"/>
                                <w:lang w:eastAsia="zh-CN"/>
                              </w:rPr>
                              <w:t>布袋除尘器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3pt;margin-top:20.25pt;height:21.75pt;width:74.2pt;z-index:251706368;mso-width-relative:page;mso-height-relative:page;" filled="f" stroked="f" coordsize="21600,21600" o:gfxdata="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Ad6ItsAAAAJAQAADwAAAAAAAAABACAAAAAiAAAA&#10;ZHJzL2Rvd25yZXYueG1sUEsBAhQAFAAAAAgAh07iQHdooYg9AgAAaQQAAA4AAAAAAAAAAQAgAAAA&#10;KgEAAGRycy9lMm9Eb2MueG1sUEsFBgAAAAAGAAYAWQEAANkFAAAAAA==&#10;">
                <v:fill on="f" focussize="0,0"/>
                <v:stroke on="f" weight="0.5pt"/>
                <v:imagedata o:title=""/>
                <o:lock v:ext="edit" aspectratio="f"/>
                <v:textbox>
                  <w:txbxContent>
                    <w:p w14:paraId="1954451A">
                      <w:pPr>
                        <w:jc w:val="center"/>
                        <w:rPr>
                          <w:rFonts w:hint="eastAsia" w:eastAsia="宋体"/>
                          <w:lang w:eastAsia="zh-CN"/>
                        </w:rPr>
                      </w:pPr>
                      <w:r>
                        <w:rPr>
                          <w:rFonts w:hint="eastAsia"/>
                          <w:lang w:eastAsia="zh-CN"/>
                        </w:rPr>
                        <w:t>布袋除尘器</w:t>
                      </w:r>
                    </w:p>
                  </w:txbxContent>
                </v:textbox>
              </v:shape>
            </w:pict>
          </mc:Fallback>
        </mc:AlternateContent>
      </w:r>
    </w:p>
    <w:p w14:paraId="2A152276">
      <w:pPr>
        <w:rPr>
          <w:rFonts w:hint="eastAsia"/>
          <w:bCs/>
          <w:color w:val="auto"/>
          <w:sz w:val="24"/>
          <w:szCs w:val="24"/>
        </w:rPr>
      </w:pPr>
    </w:p>
    <w:p w14:paraId="77418ABA">
      <w:pPr>
        <w:pStyle w:val="69"/>
        <w:tabs>
          <w:tab w:val="left" w:pos="4665"/>
          <w:tab w:val="left" w:pos="8970"/>
        </w:tabs>
        <w:rPr>
          <w:rFonts w:hint="eastAsia"/>
          <w:bCs/>
          <w:color w:val="auto"/>
          <w:sz w:val="24"/>
          <w:szCs w:val="24"/>
        </w:rPr>
      </w:pPr>
      <w:r>
        <w:rPr>
          <w:color w:val="auto"/>
          <w:sz w:val="24"/>
        </w:rPr>
        <mc:AlternateContent>
          <mc:Choice Requires="wps">
            <w:drawing>
              <wp:anchor distT="0" distB="0" distL="114300" distR="114300" simplePos="0" relativeHeight="251707392" behindDoc="0" locked="0" layoutInCell="1" allowOverlap="1">
                <wp:simplePos x="0" y="0"/>
                <wp:positionH relativeFrom="column">
                  <wp:posOffset>2679700</wp:posOffset>
                </wp:positionH>
                <wp:positionV relativeFrom="paragraph">
                  <wp:posOffset>64770</wp:posOffset>
                </wp:positionV>
                <wp:extent cx="0" cy="381000"/>
                <wp:effectExtent l="38100" t="0" r="38100" b="0"/>
                <wp:wrapNone/>
                <wp:docPr id="239" name="直接箭头连接符 239"/>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11pt;margin-top:5.1pt;height:30pt;width:0pt;z-index:251707392;mso-width-relative:page;mso-height-relative:page;" filled="f" stroked="t" coordsize="21600,21600" o:gfxdata="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cgFhTNUAAAAJAQAADwAAAAAAAAABACAAAAAiAAAAZHJzL2Rvd25y&#10;ZXYueG1sUEsBAhQAFAAAAAgAh07iQPeCxWgBAgAA1wMAAA4AAAAAAAAAAQAgAAAAJAEAAGRycy9l&#10;Mm9Eb2MueG1sUEsFBgAAAAAGAAYAWQEAAJcFAAAAAA==&#10;">
                <v:fill on="f" focussize="0,0"/>
                <v:stroke weight="1pt" color="#000000 [3213]" joinstyle="round" dashstyle="dash" endarrow="block"/>
                <v:imagedata o:title=""/>
                <o:lock v:ext="edit" aspectratio="f"/>
              </v:shape>
            </w:pict>
          </mc:Fallback>
        </mc:AlternateContent>
      </w:r>
    </w:p>
    <w:p w14:paraId="6AEFA604">
      <w:pPr>
        <w:rPr>
          <w:rFonts w:hint="eastAsia"/>
          <w:bCs/>
          <w:color w:val="auto"/>
          <w:sz w:val="24"/>
          <w:szCs w:val="24"/>
        </w:rPr>
      </w:pPr>
    </w:p>
    <w:p w14:paraId="0FD16660">
      <w:pPr>
        <w:pStyle w:val="69"/>
        <w:tabs>
          <w:tab w:val="left" w:pos="4665"/>
          <w:tab w:val="left" w:pos="8970"/>
        </w:tabs>
        <w:rPr>
          <w:rFonts w:hint="eastAsia"/>
          <w:bCs/>
          <w:color w:val="auto"/>
          <w:sz w:val="24"/>
          <w:szCs w:val="24"/>
        </w:rPr>
      </w:pPr>
      <w:r>
        <w:rPr>
          <w:color w:val="auto"/>
          <w:sz w:val="24"/>
        </w:rPr>
        <mc:AlternateContent>
          <mc:Choice Requires="wps">
            <w:drawing>
              <wp:anchor distT="0" distB="0" distL="114300" distR="114300" simplePos="0" relativeHeight="251703296" behindDoc="0" locked="0" layoutInCell="1" allowOverlap="1">
                <wp:simplePos x="0" y="0"/>
                <wp:positionH relativeFrom="column">
                  <wp:posOffset>2213610</wp:posOffset>
                </wp:positionH>
                <wp:positionV relativeFrom="paragraph">
                  <wp:posOffset>75565</wp:posOffset>
                </wp:positionV>
                <wp:extent cx="942340" cy="276225"/>
                <wp:effectExtent l="0" t="0" r="0" b="0"/>
                <wp:wrapNone/>
                <wp:docPr id="201" name="文本框 201"/>
                <wp:cNvGraphicFramePr/>
                <a:graphic xmlns:a="http://schemas.openxmlformats.org/drawingml/2006/main">
                  <a:graphicData uri="http://schemas.microsoft.com/office/word/2010/wordprocessingShape">
                    <wps:wsp>
                      <wps:cNvSpPr txBox="1"/>
                      <wps:spPr>
                        <a:xfrm>
                          <a:off x="0" y="0"/>
                          <a:ext cx="94234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AC9E9A">
                            <w:pPr>
                              <w:jc w:val="center"/>
                              <w:rPr>
                                <w:rFonts w:hint="eastAsia" w:eastAsia="宋体"/>
                                <w:lang w:eastAsia="zh-CN"/>
                              </w:rPr>
                            </w:pPr>
                            <w:r>
                              <w:rPr>
                                <w:rFonts w:hint="eastAsia"/>
                                <w:lang w:eastAsia="zh-CN"/>
                              </w:rPr>
                              <w:t>燃烧烟气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3pt;margin-top:5.95pt;height:21.75pt;width:74.2pt;z-index:251703296;mso-width-relative:page;mso-height-relative:page;" filled="f" stroked="f" coordsize="21600,21600" o:gfxdata="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&#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hBnBjbAAAACQEAAA8AAAAAAAAAAQAgAAAAIgAAAGRy&#10;cy9kb3ducmV2LnhtbFBLAQIUABQAAAAIAIdO4kAkMzm7OwIAAGkEAAAOAAAAAAAAAAEAIAAAACoB&#10;AABkcnMvZTJvRG9jLnhtbFBLBQYAAAAABgAGAFkBAADXBQAAAAA=&#10;">
                <v:fill on="f" focussize="0,0"/>
                <v:stroke on="f" weight="0.5pt"/>
                <v:imagedata o:title=""/>
                <o:lock v:ext="edit" aspectratio="f"/>
                <v:textbox>
                  <w:txbxContent>
                    <w:p w14:paraId="2FAC9E9A">
                      <w:pPr>
                        <w:jc w:val="center"/>
                        <w:rPr>
                          <w:rFonts w:hint="eastAsia" w:eastAsia="宋体"/>
                          <w:lang w:eastAsia="zh-CN"/>
                        </w:rPr>
                      </w:pPr>
                      <w:r>
                        <w:rPr>
                          <w:rFonts w:hint="eastAsia"/>
                          <w:lang w:eastAsia="zh-CN"/>
                        </w:rPr>
                        <w:t>燃烧烟气</w:t>
                      </w:r>
                    </w:p>
                  </w:txbxContent>
                </v:textbox>
              </v:shape>
            </w:pict>
          </mc:Fallback>
        </mc:AlternateContent>
      </w:r>
      <w:r>
        <w:rPr>
          <w:color w:val="auto"/>
          <w:sz w:val="24"/>
        </w:rPr>
        <mc:AlternateContent>
          <mc:Choice Requires="wps">
            <w:drawing>
              <wp:anchor distT="0" distB="0" distL="114300" distR="114300" simplePos="0" relativeHeight="251698176" behindDoc="0" locked="0" layoutInCell="1" allowOverlap="1">
                <wp:simplePos x="0" y="0"/>
                <wp:positionH relativeFrom="column">
                  <wp:posOffset>3346450</wp:posOffset>
                </wp:positionH>
                <wp:positionV relativeFrom="paragraph">
                  <wp:posOffset>153035</wp:posOffset>
                </wp:positionV>
                <wp:extent cx="638175" cy="276225"/>
                <wp:effectExtent l="0" t="0" r="0" b="0"/>
                <wp:wrapNone/>
                <wp:docPr id="206" name="文本框 206"/>
                <wp:cNvGraphicFramePr/>
                <a:graphic xmlns:a="http://schemas.openxmlformats.org/drawingml/2006/main">
                  <a:graphicData uri="http://schemas.microsoft.com/office/word/2010/wordprocessingShape">
                    <wps:wsp>
                      <wps:cNvSpPr txBox="1"/>
                      <wps:spPr>
                        <a:xfrm>
                          <a:off x="0" y="0"/>
                          <a:ext cx="63817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2B283B">
                            <w:pPr>
                              <w:jc w:val="center"/>
                              <w:rPr>
                                <w:rFonts w:hint="eastAsia" w:eastAsia="宋体"/>
                                <w:lang w:eastAsia="zh-CN"/>
                              </w:rPr>
                            </w:pPr>
                            <w:r>
                              <w:rPr>
                                <w:rFonts w:hint="eastAsia"/>
                                <w:lang w:eastAsia="zh-CN"/>
                              </w:rPr>
                              <w:t>循环水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5pt;margin-top:12.05pt;height:21.75pt;width:50.25pt;z-index:251698176;mso-width-relative:page;mso-height-relative:page;" filled="f" stroked="f" coordsize="21600,21600" o:gfxdata="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cLH452wAAAAkBAAAPAAAAAAAAAAEAIAAAACIAAABk&#10;cnMvZG93bnJldi54bWxQSwECFAAUAAAACACHTuJAEuz6ujwCAABpBAAADgAAAAAAAAABACAAAAAq&#10;AQAAZHJzL2Uyb0RvYy54bWxQSwUGAAAAAAYABgBZAQAA2AUAAAAA&#10;">
                <v:fill on="f" focussize="0,0"/>
                <v:stroke on="f" weight="0.5pt"/>
                <v:imagedata o:title=""/>
                <o:lock v:ext="edit" aspectratio="f"/>
                <v:textbox>
                  <w:txbxContent>
                    <w:p w14:paraId="6C2B283B">
                      <w:pPr>
                        <w:jc w:val="center"/>
                        <w:rPr>
                          <w:rFonts w:hint="eastAsia" w:eastAsia="宋体"/>
                          <w:lang w:eastAsia="zh-CN"/>
                        </w:rPr>
                      </w:pPr>
                      <w:r>
                        <w:rPr>
                          <w:rFonts w:hint="eastAsia"/>
                          <w:lang w:eastAsia="zh-CN"/>
                        </w:rPr>
                        <w:t>循环水</w:t>
                      </w:r>
                    </w:p>
                  </w:txbxContent>
                </v:textbox>
              </v:shape>
            </w:pict>
          </mc:Fallback>
        </mc:AlternateContent>
      </w:r>
    </w:p>
    <w:p w14:paraId="0F646D36">
      <w:pPr>
        <w:rPr>
          <w:rFonts w:hint="eastAsia"/>
          <w:bCs/>
          <w:color w:val="auto"/>
          <w:sz w:val="24"/>
          <w:szCs w:val="24"/>
        </w:rPr>
      </w:pPr>
      <w:r>
        <w:rPr>
          <w:color w:val="auto"/>
          <w:sz w:val="24"/>
        </w:rPr>
        <mc:AlternateContent>
          <mc:Choice Requires="wps">
            <w:drawing>
              <wp:anchor distT="0" distB="0" distL="114300" distR="114300" simplePos="0" relativeHeight="251702272" behindDoc="0" locked="0" layoutInCell="1" allowOverlap="1">
                <wp:simplePos x="0" y="0"/>
                <wp:positionH relativeFrom="column">
                  <wp:posOffset>2679700</wp:posOffset>
                </wp:positionH>
                <wp:positionV relativeFrom="paragraph">
                  <wp:posOffset>127000</wp:posOffset>
                </wp:positionV>
                <wp:extent cx="0" cy="381000"/>
                <wp:effectExtent l="38100" t="0" r="38100" b="0"/>
                <wp:wrapNone/>
                <wp:docPr id="212" name="直接箭头连接符 212"/>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11pt;margin-top:10pt;height:30pt;width:0pt;z-index:251702272;mso-width-relative:page;mso-height-relative:page;" filled="f" stroked="t" coordsize="21600,21600" o:gfxdata="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hJ7jI1QAAAAkBAAAPAAAAAAAAAAEAIAAAACIAAABkcnMvZG93bnJl&#10;di54bWxQSwECFAAUAAAACACHTuJA44Ni0gACAADXAwAADgAAAAAAAAABACAAAAAkAQAAZHJzL2Uy&#10;b0RvYy54bWxQSwUGAAAAAAYABgBZAQAAlgUAAAAA&#10;">
                <v:fill on="f" focussize="0,0"/>
                <v:stroke weight="1pt" color="#000000 [3213]" joinstyle="round" dashstyle="dash" endarrow="block"/>
                <v:imagedata o:title=""/>
                <o:lock v:ext="edit" aspectratio="f"/>
              </v:shape>
            </w:pict>
          </mc:Fallback>
        </mc:AlternateContent>
      </w:r>
      <w:r>
        <w:rPr>
          <w:color w:val="auto"/>
          <w:sz w:val="24"/>
        </w:rPr>
        <mc:AlternateContent>
          <mc:Choice Requires="wps">
            <w:drawing>
              <wp:anchor distT="0" distB="0" distL="114300" distR="114300" simplePos="0" relativeHeight="251688960" behindDoc="0" locked="0" layoutInCell="1" allowOverlap="1">
                <wp:simplePos x="0" y="0"/>
                <wp:positionH relativeFrom="column">
                  <wp:posOffset>1146175</wp:posOffset>
                </wp:positionH>
                <wp:positionV relativeFrom="paragraph">
                  <wp:posOffset>41275</wp:posOffset>
                </wp:positionV>
                <wp:extent cx="638175" cy="276225"/>
                <wp:effectExtent l="4445" t="4445" r="5080" b="5080"/>
                <wp:wrapNone/>
                <wp:docPr id="216" name="文本框 216"/>
                <wp:cNvGraphicFramePr/>
                <a:graphic xmlns:a="http://schemas.openxmlformats.org/drawingml/2006/main">
                  <a:graphicData uri="http://schemas.microsoft.com/office/word/2010/wordprocessingShape">
                    <wps:wsp>
                      <wps:cNvSpPr txBox="1"/>
                      <wps:spPr>
                        <a:xfrm>
                          <a:off x="0" y="0"/>
                          <a:ext cx="63817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1887C32">
                            <w:pPr>
                              <w:jc w:val="center"/>
                              <w:rPr>
                                <w:rFonts w:hint="eastAsia" w:eastAsia="宋体"/>
                                <w:lang w:eastAsia="zh-CN"/>
                              </w:rPr>
                            </w:pPr>
                            <w:r>
                              <w:rPr>
                                <w:rFonts w:hint="eastAsia"/>
                                <w:lang w:eastAsia="zh-CN"/>
                              </w:rPr>
                              <w:t>新鲜水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25pt;margin-top:3.25pt;height:21.75pt;width:50.25pt;z-index:251688960;mso-width-relative:page;mso-height-relative:page;" fillcolor="#C7EDCC [3201]" filled="t" stroked="t" coordsize="21600,21600" o:gfxdata="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Y+Uk&#10;kdgAAAAIAQAADwAAAAAAAAABACAAAAAiAAAAZHJzL2Rvd25yZXYueG1sUEsBAhQAFAAAAAgAh07i&#10;QOF4roFbAgAAugQAAA4AAAAAAAAAAQAgAAAAJwEAAGRycy9lMm9Eb2MueG1sUEsFBgAAAAAGAAYA&#10;WQEAAPQFAAAAAA==&#10;">
                <v:fill on="t" focussize="0,0"/>
                <v:stroke weight="0.5pt" color="#000000 [3204]" joinstyle="round"/>
                <v:imagedata o:title=""/>
                <o:lock v:ext="edit" aspectratio="f"/>
                <v:textbox>
                  <w:txbxContent>
                    <w:p w14:paraId="21887C32">
                      <w:pPr>
                        <w:jc w:val="center"/>
                        <w:rPr>
                          <w:rFonts w:hint="eastAsia" w:eastAsia="宋体"/>
                          <w:lang w:eastAsia="zh-CN"/>
                        </w:rPr>
                      </w:pPr>
                      <w:r>
                        <w:rPr>
                          <w:rFonts w:hint="eastAsia"/>
                          <w:lang w:eastAsia="zh-CN"/>
                        </w:rPr>
                        <w:t>新鲜水</w:t>
                      </w:r>
                    </w:p>
                  </w:txbxContent>
                </v:textbox>
              </v:shape>
            </w:pict>
          </mc:Fallback>
        </mc:AlternateContent>
      </w:r>
    </w:p>
    <w:p w14:paraId="6DF619CA">
      <w:pPr>
        <w:pStyle w:val="69"/>
        <w:tabs>
          <w:tab w:val="left" w:pos="4665"/>
          <w:tab w:val="left" w:pos="8970"/>
        </w:tabs>
        <w:rPr>
          <w:rFonts w:hint="eastAsia"/>
          <w:bCs/>
          <w:color w:val="auto"/>
          <w:sz w:val="24"/>
          <w:szCs w:val="24"/>
        </w:rPr>
      </w:pPr>
      <w:r>
        <w:rPr>
          <w:color w:val="auto"/>
          <w:sz w:val="24"/>
        </w:rPr>
        <mc:AlternateContent>
          <mc:Choice Requires="wps">
            <w:drawing>
              <wp:anchor distT="0" distB="0" distL="114300" distR="114300" simplePos="0" relativeHeight="251694080" behindDoc="0" locked="0" layoutInCell="1" allowOverlap="1">
                <wp:simplePos x="0" y="0"/>
                <wp:positionH relativeFrom="column">
                  <wp:posOffset>3070225</wp:posOffset>
                </wp:positionH>
                <wp:positionV relativeFrom="paragraph">
                  <wp:posOffset>27940</wp:posOffset>
                </wp:positionV>
                <wp:extent cx="1209675" cy="9525"/>
                <wp:effectExtent l="0" t="0" r="0" b="0"/>
                <wp:wrapNone/>
                <wp:docPr id="219" name="直接箭头连接符 219"/>
                <wp:cNvGraphicFramePr/>
                <a:graphic xmlns:a="http://schemas.openxmlformats.org/drawingml/2006/main">
                  <a:graphicData uri="http://schemas.microsoft.com/office/word/2010/wordprocessingShape">
                    <wps:wsp>
                      <wps:cNvCnPr/>
                      <wps:spPr>
                        <a:xfrm flipH="1">
                          <a:off x="0" y="0"/>
                          <a:ext cx="1209675" cy="9525"/>
                        </a:xfrm>
                        <a:prstGeom prst="straightConnector1">
                          <a:avLst/>
                        </a:prstGeom>
                        <a:ln w="12700">
                          <a:solidFill>
                            <a:schemeClr val="tx1"/>
                          </a:solidFill>
                          <a:prstDash val="dash"/>
                          <a:tailEnd type="non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41.75pt;margin-top:2.2pt;height:0.75pt;width:95.25pt;z-index:251694080;mso-width-relative:page;mso-height-relative:page;" filled="f" stroked="t" coordsize="21600,21600" o:gfxdata="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FCG6V2QAAAAcBAAAPAAAAAAAAAAEAIAAAACIAAABk&#10;cnMvZG93bnJldi54bWxQSwECFAAUAAAACACHTuJAB3hmzwUCAADXAwAADgAAAAAAAAABACAAAAAo&#10;AQAAZHJzL2Uyb0RvYy54bWxQSwUGAAAAAAYABgBZAQAAnwUAAAAA&#10;">
                <v:fill on="f" focussize="0,0"/>
                <v:stroke weight="1pt" color="#000000 [3213]" joinstyle="round" dashstyle="dash"/>
                <v:imagedata o:title=""/>
                <o:lock v:ext="edit" aspectratio="f"/>
              </v:shape>
            </w:pict>
          </mc:Fallback>
        </mc:AlternateContent>
      </w:r>
      <w:r>
        <w:rPr>
          <w:color w:val="auto"/>
          <w:sz w:val="24"/>
        </w:rPr>
        <mc:AlternateContent>
          <mc:Choice Requires="wps">
            <w:drawing>
              <wp:anchor distT="0" distB="0" distL="114300" distR="114300" simplePos="0" relativeHeight="251691008" behindDoc="0" locked="0" layoutInCell="1" allowOverlap="1">
                <wp:simplePos x="0" y="0"/>
                <wp:positionH relativeFrom="column">
                  <wp:posOffset>3060700</wp:posOffset>
                </wp:positionH>
                <wp:positionV relativeFrom="paragraph">
                  <wp:posOffset>43815</wp:posOffset>
                </wp:positionV>
                <wp:extent cx="0" cy="289560"/>
                <wp:effectExtent l="38100" t="0" r="38100" b="15240"/>
                <wp:wrapNone/>
                <wp:docPr id="220" name="直接箭头连接符 220"/>
                <wp:cNvGraphicFramePr/>
                <a:graphic xmlns:a="http://schemas.openxmlformats.org/drawingml/2006/main">
                  <a:graphicData uri="http://schemas.microsoft.com/office/word/2010/wordprocessingShape">
                    <wps:wsp>
                      <wps:cNvCnPr/>
                      <wps:spPr>
                        <a:xfrm>
                          <a:off x="0" y="0"/>
                          <a:ext cx="0" cy="28956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41pt;margin-top:3.45pt;height:22.8pt;width:0pt;z-index:251691008;mso-width-relative:page;mso-height-relative:page;" filled="f" stroked="t" coordsize="21600,21600" o:gfxdata="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CR7MtkAAAAIAQAADwAAAAAAAAABACAAAAAiAAAAZHJzL2Rvd25yZXYu&#10;eG1sUEsBAhQAFAAAAAgAh07iQKQEP2f6AQAAzQMAAA4AAAAAAAAAAQAgAAAAKAEAAGRycy9lMm9E&#10;b2MueG1sUEsFBgAAAAAGAAYAWQEAAJQFAAAAAA==&#10;">
                <v:fill on="f" focussize="0,0"/>
                <v:stroke weight="1pt" color="#000000 [3213]" joinstyle="round" dashstyle="dash" endarrow="block"/>
                <v:imagedata o:title=""/>
                <o:lock v:ext="edit" aspectratio="f"/>
              </v:shape>
            </w:pict>
          </mc:Fallback>
        </mc:AlternateContent>
      </w:r>
      <w:r>
        <w:rPr>
          <w:color w:val="auto"/>
          <w:sz w:val="24"/>
        </w:rPr>
        <mc:AlternateContent>
          <mc:Choice Requires="wps">
            <w:drawing>
              <wp:anchor distT="0" distB="0" distL="114300" distR="114300" simplePos="0" relativeHeight="251696128" behindDoc="0" locked="0" layoutInCell="1" allowOverlap="1">
                <wp:simplePos x="0" y="0"/>
                <wp:positionH relativeFrom="column">
                  <wp:posOffset>4279900</wp:posOffset>
                </wp:positionH>
                <wp:positionV relativeFrom="paragraph">
                  <wp:posOffset>37465</wp:posOffset>
                </wp:positionV>
                <wp:extent cx="0" cy="384810"/>
                <wp:effectExtent l="6350" t="0" r="12700" b="15240"/>
                <wp:wrapNone/>
                <wp:docPr id="221" name="直接箭头连接符 221"/>
                <wp:cNvGraphicFramePr/>
                <a:graphic xmlns:a="http://schemas.openxmlformats.org/drawingml/2006/main">
                  <a:graphicData uri="http://schemas.microsoft.com/office/word/2010/wordprocessingShape">
                    <wps:wsp>
                      <wps:cNvCnPr/>
                      <wps:spPr>
                        <a:xfrm>
                          <a:off x="0" y="0"/>
                          <a:ext cx="0" cy="384810"/>
                        </a:xfrm>
                        <a:prstGeom prst="straightConnector1">
                          <a:avLst/>
                        </a:prstGeom>
                        <a:ln w="12700">
                          <a:solidFill>
                            <a:schemeClr val="tx1"/>
                          </a:solidFill>
                          <a:prstDash val="dash"/>
                          <a:tailEnd type="non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37pt;margin-top:2.95pt;height:30.3pt;width:0pt;z-index:251696128;mso-width-relative:page;mso-height-relative:page;" filled="f" stroked="t" coordsize="21600,21600" o:gfxdata="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EClV5tUAAAAIAQAADwAAAAAAAAABACAAAAAiAAAAZHJzL2Rvd25yZXYueG1sUEsB&#10;AhQAFAAAAAgAh07iQKXi+4X4AQAAyQMAAA4AAAAAAAAAAQAgAAAAJAEAAGRycy9lMm9Eb2MueG1s&#10;UEsFBgAAAAAGAAYAWQEAAI4FAAAAAA==&#10;">
                <v:fill on="f" focussize="0,0"/>
                <v:stroke weight="1pt" color="#000000 [3213]" joinstyle="round" dashstyle="dash"/>
                <v:imagedata o:title=""/>
                <o:lock v:ext="edit" aspectratio="f"/>
              </v:shape>
            </w:pict>
          </mc:Fallback>
        </mc:AlternateContent>
      </w:r>
      <w:r>
        <w:rPr>
          <w:color w:val="auto"/>
          <w:sz w:val="24"/>
        </w:rPr>
        <mc:AlternateContent>
          <mc:Choice Requires="wps">
            <w:drawing>
              <wp:anchor distT="0" distB="0" distL="114300" distR="114300" simplePos="0" relativeHeight="251685888" behindDoc="0" locked="0" layoutInCell="1" allowOverlap="1">
                <wp:simplePos x="0" y="0"/>
                <wp:positionH relativeFrom="column">
                  <wp:posOffset>1479550</wp:posOffset>
                </wp:positionH>
                <wp:positionV relativeFrom="paragraph">
                  <wp:posOffset>142240</wp:posOffset>
                </wp:positionV>
                <wp:extent cx="0" cy="289560"/>
                <wp:effectExtent l="38100" t="0" r="38100" b="15240"/>
                <wp:wrapNone/>
                <wp:docPr id="222" name="直接箭头连接符 222"/>
                <wp:cNvGraphicFramePr/>
                <a:graphic xmlns:a="http://schemas.openxmlformats.org/drawingml/2006/main">
                  <a:graphicData uri="http://schemas.microsoft.com/office/word/2010/wordprocessingShape">
                    <wps:wsp>
                      <wps:cNvCnPr/>
                      <wps:spPr>
                        <a:xfrm>
                          <a:off x="0" y="0"/>
                          <a:ext cx="0" cy="28956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16.5pt;margin-top:11.2pt;height:22.8pt;width:0pt;z-index:251685888;mso-width-relative:page;mso-height-relative:page;" filled="f" stroked="t" coordsize="21600,21600" o:gfxdata="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C/yjpXWAAAACQEAAA8AAAAAAAAAAQAgAAAAIgAAAGRycy9kb3ducmV2Lnht&#10;bFBLAQIUABQAAAAIAIdO4kBzRBkT+wEAAM4DAAAOAAAAAAAAAAEAIAAAACUBAABkcnMvZTJvRG9j&#10;LnhtbFBLBQYAAAAABgAGAFkBAACSBQAAAAA=&#10;">
                <v:fill on="f" focussize="0,0"/>
                <v:stroke weight="1pt" color="#000000 [3213]" joinstyle="round" endarrow="block"/>
                <v:imagedata o:title=""/>
                <o:lock v:ext="edit" aspectratio="f"/>
              </v:shape>
            </w:pict>
          </mc:Fallback>
        </mc:AlternateContent>
      </w:r>
    </w:p>
    <w:p w14:paraId="0CCA8447">
      <w:pPr>
        <w:rPr>
          <w:rFonts w:hint="eastAsia"/>
          <w:bCs/>
          <w:color w:val="auto"/>
          <w:sz w:val="24"/>
          <w:szCs w:val="24"/>
        </w:rPr>
      </w:pPr>
      <w:r>
        <w:rPr>
          <w:color w:val="auto"/>
          <w:sz w:val="24"/>
        </w:rPr>
        <mc:AlternateContent>
          <mc:Choice Requires="wps">
            <w:drawing>
              <wp:anchor distT="0" distB="0" distL="114300" distR="114300" simplePos="0" relativeHeight="251695104" behindDoc="0" locked="0" layoutInCell="1" allowOverlap="1">
                <wp:simplePos x="0" y="0"/>
                <wp:positionH relativeFrom="column">
                  <wp:posOffset>3270250</wp:posOffset>
                </wp:positionH>
                <wp:positionV relativeFrom="paragraph">
                  <wp:posOffset>106680</wp:posOffset>
                </wp:positionV>
                <wp:extent cx="638175" cy="276225"/>
                <wp:effectExtent l="0" t="0" r="0" b="0"/>
                <wp:wrapNone/>
                <wp:docPr id="223" name="文本框 223"/>
                <wp:cNvGraphicFramePr/>
                <a:graphic xmlns:a="http://schemas.openxmlformats.org/drawingml/2006/main">
                  <a:graphicData uri="http://schemas.microsoft.com/office/word/2010/wordprocessingShape">
                    <wps:wsp>
                      <wps:cNvSpPr txBox="1"/>
                      <wps:spPr>
                        <a:xfrm>
                          <a:off x="0" y="0"/>
                          <a:ext cx="63817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DEAD45">
                            <w:pPr>
                              <w:jc w:val="center"/>
                              <w:rPr>
                                <w:rFonts w:hint="eastAsia" w:eastAsia="宋体"/>
                                <w:lang w:eastAsia="zh-CN"/>
                              </w:rPr>
                            </w:pPr>
                            <w:r>
                              <w:rPr>
                                <w:rFonts w:hint="eastAsia"/>
                                <w:lang w:eastAsia="zh-CN"/>
                              </w:rPr>
                              <w:t>热水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5pt;margin-top:8.4pt;height:21.75pt;width:50.25pt;z-index:251695104;mso-width-relative:page;mso-height-relative:page;" filled="f" stroked="f" coordsize="21600,21600" o:gfxdata="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rCF9LtkAAAAJAQAADwAAAAAAAAABACAAAAAiAAAAZHJz&#10;L2Rvd25yZXYueG1sUEsBAhQAFAAAAAgAh07iQM4UjKk8AgAAaQQAAA4AAAAAAAAAAQAgAAAAKAEA&#10;AGRycy9lMm9Eb2MueG1sUEsFBgAAAAAGAAYAWQEAANYFAAAAAA==&#10;">
                <v:fill on="f" focussize="0,0"/>
                <v:stroke on="f" weight="0.5pt"/>
                <v:imagedata o:title=""/>
                <o:lock v:ext="edit" aspectratio="f"/>
                <v:textbox>
                  <w:txbxContent>
                    <w:p w14:paraId="20DEAD45">
                      <w:pPr>
                        <w:jc w:val="center"/>
                        <w:rPr>
                          <w:rFonts w:hint="eastAsia" w:eastAsia="宋体"/>
                          <w:lang w:eastAsia="zh-CN"/>
                        </w:rPr>
                      </w:pPr>
                      <w:r>
                        <w:rPr>
                          <w:rFonts w:hint="eastAsia"/>
                          <w:lang w:eastAsia="zh-CN"/>
                        </w:rPr>
                        <w:t>热水</w:t>
                      </w:r>
                    </w:p>
                  </w:txbxContent>
                </v:textbox>
              </v:shape>
            </w:pict>
          </mc:Fallback>
        </mc:AlternateContent>
      </w:r>
      <w:r>
        <w:rPr>
          <w:color w:val="auto"/>
          <w:sz w:val="24"/>
        </w:rPr>
        <mc:AlternateContent>
          <mc:Choice Requires="wps">
            <w:drawing>
              <wp:anchor distT="0" distB="0" distL="114300" distR="114300" simplePos="0" relativeHeight="251687936" behindDoc="0" locked="0" layoutInCell="1" allowOverlap="1">
                <wp:simplePos x="0" y="0"/>
                <wp:positionH relativeFrom="column">
                  <wp:posOffset>2432050</wp:posOffset>
                </wp:positionH>
                <wp:positionV relativeFrom="paragraph">
                  <wp:posOffset>135255</wp:posOffset>
                </wp:positionV>
                <wp:extent cx="941705" cy="466725"/>
                <wp:effectExtent l="4445" t="5080" r="6350" b="4445"/>
                <wp:wrapNone/>
                <wp:docPr id="224" name="文本框 224"/>
                <wp:cNvGraphicFramePr/>
                <a:graphic xmlns:a="http://schemas.openxmlformats.org/drawingml/2006/main">
                  <a:graphicData uri="http://schemas.microsoft.com/office/word/2010/wordprocessingShape">
                    <wps:wsp>
                      <wps:cNvSpPr txBox="1"/>
                      <wps:spPr>
                        <a:xfrm>
                          <a:off x="0" y="0"/>
                          <a:ext cx="941705" cy="4667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099CC85">
                            <w:pPr>
                              <w:spacing w:line="240" w:lineRule="auto"/>
                              <w:jc w:val="center"/>
                              <w:rPr>
                                <w:rFonts w:hint="eastAsia"/>
                                <w:sz w:val="10"/>
                                <w:szCs w:val="10"/>
                                <w:lang w:eastAsia="zh-CN"/>
                              </w:rPr>
                            </w:pPr>
                          </w:p>
                          <w:p w14:paraId="1E3C1D1D">
                            <w:pPr>
                              <w:spacing w:line="240" w:lineRule="auto"/>
                              <w:jc w:val="center"/>
                              <w:rPr>
                                <w:rFonts w:hint="eastAsia" w:eastAsia="宋体"/>
                                <w:lang w:eastAsia="zh-CN"/>
                              </w:rPr>
                            </w:pPr>
                            <w:r>
                              <w:rPr>
                                <w:rFonts w:hint="eastAsia"/>
                                <w:lang w:eastAsia="zh-CN"/>
                              </w:rPr>
                              <w:t>生物质锅炉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5pt;margin-top:10.65pt;height:36.75pt;width:74.15pt;z-index:251687936;mso-width-relative:page;mso-height-relative:page;" fillcolor="#C7EDCC [3201]" filled="t" stroked="t" coordsize="21600,21600" o:gfxdata="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qktCdoAAAAJAQAADwAAAAAAAAABACAAAAAiAAAAZHJzL2Rvd25yZXYueG1sUEsBAhQAFAAAAAgA&#10;h07iQMXONm1cAgAAugQAAA4AAAAAAAAAAQAgAAAAKQEAAGRycy9lMm9Eb2MueG1sUEsFBgAAAAAG&#10;AAYAWQEAAPcFAAAAAA==&#10;">
                <v:fill on="t" focussize="0,0"/>
                <v:stroke weight="0.5pt" color="#000000 [3204]" joinstyle="round"/>
                <v:imagedata o:title=""/>
                <o:lock v:ext="edit" aspectratio="f"/>
                <v:textbox>
                  <w:txbxContent>
                    <w:p w14:paraId="1099CC85">
                      <w:pPr>
                        <w:spacing w:line="240" w:lineRule="auto"/>
                        <w:jc w:val="center"/>
                        <w:rPr>
                          <w:rFonts w:hint="eastAsia"/>
                          <w:sz w:val="10"/>
                          <w:szCs w:val="10"/>
                          <w:lang w:eastAsia="zh-CN"/>
                        </w:rPr>
                      </w:pPr>
                    </w:p>
                    <w:p w14:paraId="1E3C1D1D">
                      <w:pPr>
                        <w:spacing w:line="240" w:lineRule="auto"/>
                        <w:jc w:val="center"/>
                        <w:rPr>
                          <w:rFonts w:hint="eastAsia" w:eastAsia="宋体"/>
                          <w:lang w:eastAsia="zh-CN"/>
                        </w:rPr>
                      </w:pPr>
                      <w:r>
                        <w:rPr>
                          <w:rFonts w:hint="eastAsia"/>
                          <w:lang w:eastAsia="zh-CN"/>
                        </w:rPr>
                        <w:t>生物质锅炉</w:t>
                      </w:r>
                    </w:p>
                  </w:txbxContent>
                </v:textbox>
              </v:shape>
            </w:pict>
          </mc:Fallback>
        </mc:AlternateContent>
      </w:r>
      <w:r>
        <w:rPr>
          <w:color w:val="auto"/>
          <w:sz w:val="24"/>
        </w:rPr>
        <mc:AlternateContent>
          <mc:Choice Requires="wps">
            <w:drawing>
              <wp:anchor distT="0" distB="0" distL="114300" distR="114300" simplePos="0" relativeHeight="251689984" behindDoc="0" locked="0" layoutInCell="1" allowOverlap="1">
                <wp:simplePos x="0" y="0"/>
                <wp:positionH relativeFrom="column">
                  <wp:posOffset>1841500</wp:posOffset>
                </wp:positionH>
                <wp:positionV relativeFrom="paragraph">
                  <wp:posOffset>87630</wp:posOffset>
                </wp:positionV>
                <wp:extent cx="638175" cy="276225"/>
                <wp:effectExtent l="0" t="0" r="0" b="0"/>
                <wp:wrapNone/>
                <wp:docPr id="225" name="文本框 225"/>
                <wp:cNvGraphicFramePr/>
                <a:graphic xmlns:a="http://schemas.openxmlformats.org/drawingml/2006/main">
                  <a:graphicData uri="http://schemas.microsoft.com/office/word/2010/wordprocessingShape">
                    <wps:wsp>
                      <wps:cNvSpPr txBox="1"/>
                      <wps:spPr>
                        <a:xfrm>
                          <a:off x="0" y="0"/>
                          <a:ext cx="63817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55868D">
                            <w:pPr>
                              <w:jc w:val="center"/>
                              <w:rPr>
                                <w:rFonts w:hint="eastAsia" w:eastAsia="宋体"/>
                                <w:lang w:eastAsia="zh-CN"/>
                              </w:rPr>
                            </w:pPr>
                            <w:r>
                              <w:rPr>
                                <w:rFonts w:hint="eastAsia"/>
                                <w:lang w:eastAsia="zh-CN"/>
                              </w:rPr>
                              <w:t>软化水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pt;margin-top:6.9pt;height:21.75pt;width:50.25pt;z-index:251689984;mso-width-relative:page;mso-height-relative:page;" filled="f" stroked="f" coordsize="21600,21600" o:gfxdata="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QII089oAAAAJAQAADwAAAAAAAAABACAAAAAiAAAAZHJz&#10;L2Rvd25yZXYueG1sUEsBAhQAFAAAAAgAh07iQOA13B07AgAAaQQAAA4AAAAAAAAAAQAgAAAAKQEA&#10;AGRycy9lMm9Eb2MueG1sUEsFBgAAAAAGAAYAWQEAANYFAAAAAA==&#10;">
                <v:fill on="f" focussize="0,0"/>
                <v:stroke on="f" weight="0.5pt"/>
                <v:imagedata o:title=""/>
                <o:lock v:ext="edit" aspectratio="f"/>
                <v:textbox>
                  <w:txbxContent>
                    <w:p w14:paraId="4555868D">
                      <w:pPr>
                        <w:jc w:val="center"/>
                        <w:rPr>
                          <w:rFonts w:hint="eastAsia" w:eastAsia="宋体"/>
                          <w:lang w:eastAsia="zh-CN"/>
                        </w:rPr>
                      </w:pPr>
                      <w:r>
                        <w:rPr>
                          <w:rFonts w:hint="eastAsia"/>
                          <w:lang w:eastAsia="zh-CN"/>
                        </w:rPr>
                        <w:t>软化水</w:t>
                      </w:r>
                    </w:p>
                  </w:txbxContent>
                </v:textbox>
              </v:shape>
            </w:pict>
          </mc:Fallback>
        </mc:AlternateContent>
      </w:r>
    </w:p>
    <w:p w14:paraId="7AA3107B">
      <w:pPr>
        <w:pStyle w:val="69"/>
        <w:tabs>
          <w:tab w:val="left" w:pos="4665"/>
          <w:tab w:val="left" w:pos="8970"/>
        </w:tabs>
        <w:rPr>
          <w:rFonts w:hint="eastAsia"/>
          <w:bCs/>
          <w:color w:val="auto"/>
          <w:sz w:val="24"/>
          <w:szCs w:val="24"/>
        </w:rPr>
      </w:pPr>
      <w:r>
        <w:rPr>
          <w:color w:val="auto"/>
          <w:sz w:val="24"/>
        </w:rPr>
        <mc:AlternateContent>
          <mc:Choice Requires="wps">
            <w:drawing>
              <wp:anchor distT="0" distB="0" distL="114300" distR="114300" simplePos="0" relativeHeight="251683840" behindDoc="0" locked="0" layoutInCell="1" allowOverlap="1">
                <wp:simplePos x="0" y="0"/>
                <wp:positionH relativeFrom="column">
                  <wp:posOffset>1069975</wp:posOffset>
                </wp:positionH>
                <wp:positionV relativeFrom="paragraph">
                  <wp:posOffset>41275</wp:posOffset>
                </wp:positionV>
                <wp:extent cx="866140" cy="276225"/>
                <wp:effectExtent l="4445" t="4445" r="5715" b="5080"/>
                <wp:wrapNone/>
                <wp:docPr id="226" name="文本框 226"/>
                <wp:cNvGraphicFramePr/>
                <a:graphic xmlns:a="http://schemas.openxmlformats.org/drawingml/2006/main">
                  <a:graphicData uri="http://schemas.microsoft.com/office/word/2010/wordprocessingShape">
                    <wps:wsp>
                      <wps:cNvSpPr txBox="1"/>
                      <wps:spPr>
                        <a:xfrm>
                          <a:off x="0" y="0"/>
                          <a:ext cx="866140"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F400001">
                            <w:pPr>
                              <w:jc w:val="center"/>
                              <w:rPr>
                                <w:rFonts w:hint="eastAsia" w:eastAsia="宋体"/>
                                <w:lang w:eastAsia="zh-CN"/>
                              </w:rPr>
                            </w:pPr>
                            <w:r>
                              <w:rPr>
                                <w:rFonts w:hint="eastAsia"/>
                                <w:lang w:eastAsia="zh-CN"/>
                              </w:rPr>
                              <w:t>软化水系统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25pt;margin-top:3.25pt;height:21.75pt;width:68.2pt;z-index:251683840;mso-width-relative:page;mso-height-relative:page;" fillcolor="#C7EDCC [3201]" filled="t" stroked="t" coordsize="21600,21600" o:gfxdata="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du&#10;tEHZAAAACAEAAA8AAAAAAAAAAQAgAAAAIgAAAGRycy9kb3ducmV2LnhtbFBLAQIUABQAAAAIAIdO&#10;4kBeapKVWwIAALoEAAAOAAAAAAAAAAEAIAAAACgBAABkcnMvZTJvRG9jLnhtbFBLBQYAAAAABgAG&#10;AFkBAAD1BQAAAAA=&#10;">
                <v:fill on="t" focussize="0,0"/>
                <v:stroke weight="0.5pt" color="#000000 [3204]" joinstyle="round"/>
                <v:imagedata o:title=""/>
                <o:lock v:ext="edit" aspectratio="f"/>
                <v:textbox>
                  <w:txbxContent>
                    <w:p w14:paraId="6F400001">
                      <w:pPr>
                        <w:jc w:val="center"/>
                        <w:rPr>
                          <w:rFonts w:hint="eastAsia" w:eastAsia="宋体"/>
                          <w:lang w:eastAsia="zh-CN"/>
                        </w:rPr>
                      </w:pPr>
                      <w:r>
                        <w:rPr>
                          <w:rFonts w:hint="eastAsia"/>
                          <w:lang w:eastAsia="zh-CN"/>
                        </w:rPr>
                        <w:t>软化水系统</w:t>
                      </w:r>
                    </w:p>
                  </w:txbxContent>
                </v:textbox>
              </v:shape>
            </w:pict>
          </mc:Fallback>
        </mc:AlternateContent>
      </w:r>
      <w:r>
        <w:rPr>
          <w:color w:val="auto"/>
          <w:sz w:val="24"/>
        </w:rPr>
        <mc:AlternateContent>
          <mc:Choice Requires="wps">
            <w:drawing>
              <wp:anchor distT="0" distB="0" distL="114300" distR="114300" simplePos="0" relativeHeight="251693056" behindDoc="0" locked="0" layoutInCell="1" allowOverlap="1">
                <wp:simplePos x="0" y="0"/>
                <wp:positionH relativeFrom="column">
                  <wp:posOffset>3803650</wp:posOffset>
                </wp:positionH>
                <wp:positionV relativeFrom="paragraph">
                  <wp:posOffset>50800</wp:posOffset>
                </wp:positionV>
                <wp:extent cx="885825" cy="276225"/>
                <wp:effectExtent l="4445" t="5080" r="5080" b="4445"/>
                <wp:wrapNone/>
                <wp:docPr id="227" name="文本框 227"/>
                <wp:cNvGraphicFramePr/>
                <a:graphic xmlns:a="http://schemas.openxmlformats.org/drawingml/2006/main">
                  <a:graphicData uri="http://schemas.microsoft.com/office/word/2010/wordprocessingShape">
                    <wps:wsp>
                      <wps:cNvSpPr txBox="1"/>
                      <wps:spPr>
                        <a:xfrm>
                          <a:off x="0" y="0"/>
                          <a:ext cx="88582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3003F93">
                            <w:pPr>
                              <w:jc w:val="center"/>
                              <w:rPr>
                                <w:rFonts w:hint="eastAsia" w:eastAsia="宋体"/>
                                <w:lang w:eastAsia="zh-CN"/>
                              </w:rPr>
                            </w:pPr>
                            <w:r>
                              <w:rPr>
                                <w:rFonts w:hint="eastAsia"/>
                                <w:lang w:eastAsia="zh-CN"/>
                              </w:rPr>
                              <w:t>热力管网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9.5pt;margin-top:4pt;height:21.75pt;width:69.75pt;z-index:251693056;mso-width-relative:page;mso-height-relative:page;" fillcolor="#C7EDCC [3201]" filled="t" stroked="t" coordsize="21600,21600" o:gfxdata="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Q&#10;Pplt2QAAAAgBAAAPAAAAAAAAAAEAIAAAACIAAABkcnMvZG93bnJldi54bWxQSwECFAAUAAAACACH&#10;TuJACW87lVwCAAC6BAAADgAAAAAAAAABACAAAAAoAQAAZHJzL2Uyb0RvYy54bWxQSwUGAAAAAAYA&#10;BgBZAQAA9gUAAAAA&#10;">
                <v:fill on="t" focussize="0,0"/>
                <v:stroke weight="0.5pt" color="#000000 [3204]" joinstyle="round"/>
                <v:imagedata o:title=""/>
                <o:lock v:ext="edit" aspectratio="f"/>
                <v:textbox>
                  <w:txbxContent>
                    <w:p w14:paraId="33003F93">
                      <w:pPr>
                        <w:jc w:val="center"/>
                        <w:rPr>
                          <w:rFonts w:hint="eastAsia" w:eastAsia="宋体"/>
                          <w:lang w:eastAsia="zh-CN"/>
                        </w:rPr>
                      </w:pPr>
                      <w:r>
                        <w:rPr>
                          <w:rFonts w:hint="eastAsia"/>
                          <w:lang w:eastAsia="zh-CN"/>
                        </w:rPr>
                        <w:t>热力管网</w:t>
                      </w:r>
                    </w:p>
                  </w:txbxContent>
                </v:textbox>
              </v:shape>
            </w:pict>
          </mc:Fallback>
        </mc:AlternateContent>
      </w:r>
      <w:r>
        <w:rPr>
          <w:color w:val="auto"/>
          <w:sz w:val="24"/>
        </w:rPr>
        <mc:AlternateContent>
          <mc:Choice Requires="wps">
            <w:drawing>
              <wp:anchor distT="0" distB="0" distL="114300" distR="114300" simplePos="0" relativeHeight="251684864" behindDoc="0" locked="0" layoutInCell="1" allowOverlap="1">
                <wp:simplePos x="0" y="0"/>
                <wp:positionH relativeFrom="column">
                  <wp:posOffset>1927225</wp:posOffset>
                </wp:positionH>
                <wp:positionV relativeFrom="paragraph">
                  <wp:posOffset>188595</wp:posOffset>
                </wp:positionV>
                <wp:extent cx="514350" cy="0"/>
                <wp:effectExtent l="0" t="38100" r="0" b="38100"/>
                <wp:wrapNone/>
                <wp:docPr id="228" name="直接箭头连接符 228"/>
                <wp:cNvGraphicFramePr/>
                <a:graphic xmlns:a="http://schemas.openxmlformats.org/drawingml/2006/main">
                  <a:graphicData uri="http://schemas.microsoft.com/office/word/2010/wordprocessingShape">
                    <wps:wsp>
                      <wps:cNvCnPr/>
                      <wps:spPr>
                        <a:xfrm>
                          <a:off x="0" y="0"/>
                          <a:ext cx="514350" cy="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51.75pt;margin-top:14.85pt;height:0pt;width:40.5pt;z-index:251684864;mso-width-relative:page;mso-height-relative:page;" filled="f" stroked="t" coordsize="21600,21600" o:gfxdata="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SH9Id1gAAAAkBAAAPAAAAAAAAAAEAIAAAACIAAABkcnMvZG93bnJldi54bWxQ&#10;SwECFAAUAAAACACHTuJAk2pf+/kBAADOAwAADgAAAAAAAAABACAAAAAlAQAAZHJzL2Uyb0RvYy54&#10;bWxQSwUGAAAAAAYABgBZAQAAkAUAAAAA&#10;">
                <v:fill on="f" focussize="0,0"/>
                <v:stroke weight="1pt" color="#000000 [3213]" joinstyle="round" endarrow="block"/>
                <v:imagedata o:title=""/>
                <o:lock v:ext="edit" aspectratio="f"/>
              </v:shape>
            </w:pict>
          </mc:Fallback>
        </mc:AlternateContent>
      </w:r>
      <w:r>
        <w:rPr>
          <w:color w:val="auto"/>
          <w:sz w:val="24"/>
        </w:rPr>
        <mc:AlternateContent>
          <mc:Choice Requires="wps">
            <w:drawing>
              <wp:anchor distT="0" distB="0" distL="114300" distR="114300" simplePos="0" relativeHeight="251681792" behindDoc="0" locked="0" layoutInCell="1" allowOverlap="1">
                <wp:simplePos x="0" y="0"/>
                <wp:positionH relativeFrom="column">
                  <wp:posOffset>736600</wp:posOffset>
                </wp:positionH>
                <wp:positionV relativeFrom="paragraph">
                  <wp:posOffset>179070</wp:posOffset>
                </wp:positionV>
                <wp:extent cx="333375" cy="0"/>
                <wp:effectExtent l="0" t="38100" r="9525" b="38100"/>
                <wp:wrapNone/>
                <wp:docPr id="229" name="直接箭头连接符 229"/>
                <wp:cNvGraphicFramePr/>
                <a:graphic xmlns:a="http://schemas.openxmlformats.org/drawingml/2006/main">
                  <a:graphicData uri="http://schemas.microsoft.com/office/word/2010/wordprocessingShape">
                    <wps:wsp>
                      <wps:cNvCnPr/>
                      <wps:spPr>
                        <a:xfrm>
                          <a:off x="2019935" y="3051810"/>
                          <a:ext cx="333375" cy="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58pt;margin-top:14.1pt;height:0pt;width:26.25pt;z-index:251681792;mso-width-relative:page;mso-height-relative:page;" filled="f" stroked="t" coordsize="21600,21600" o:gfxdata="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IKgVI1QAAAAkBAAAPAAAAAAAAAAEAIAAAACIAAABk&#10;cnMvZG93bnJldi54bWxQSwECFAAUAAAACACHTuJAovTYmQkCAADaAwAADgAAAAAAAAABACAAAAAk&#10;AQAAZHJzL2Uyb0RvYy54bWxQSwUGAAAAAAYABgBZAQAAnwUAAAAA&#10;">
                <v:fill on="f" focussize="0,0"/>
                <v:stroke weight="1pt" color="#000000 [3213]" joinstyle="round" endarrow="block"/>
                <v:imagedata o:title=""/>
                <o:lock v:ext="edit" aspectratio="f"/>
              </v:shape>
            </w:pict>
          </mc:Fallback>
        </mc:AlternateContent>
      </w:r>
      <w:r>
        <w:rPr>
          <w:color w:val="auto"/>
          <w:sz w:val="24"/>
        </w:rPr>
        <mc:AlternateContent>
          <mc:Choice Requires="wps">
            <w:drawing>
              <wp:anchor distT="0" distB="0" distL="114300" distR="114300" simplePos="0" relativeHeight="251680768" behindDoc="0" locked="0" layoutInCell="1" allowOverlap="1">
                <wp:simplePos x="0" y="0"/>
                <wp:positionH relativeFrom="column">
                  <wp:posOffset>98425</wp:posOffset>
                </wp:positionH>
                <wp:positionV relativeFrom="paragraph">
                  <wp:posOffset>36195</wp:posOffset>
                </wp:positionV>
                <wp:extent cx="638175" cy="276225"/>
                <wp:effectExtent l="4445" t="4445" r="5080" b="5080"/>
                <wp:wrapNone/>
                <wp:docPr id="230" name="文本框 230"/>
                <wp:cNvGraphicFramePr/>
                <a:graphic xmlns:a="http://schemas.openxmlformats.org/drawingml/2006/main">
                  <a:graphicData uri="http://schemas.microsoft.com/office/word/2010/wordprocessingShape">
                    <wps:wsp>
                      <wps:cNvSpPr txBox="1"/>
                      <wps:spPr>
                        <a:xfrm>
                          <a:off x="1610360" y="2623185"/>
                          <a:ext cx="63817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8FBD82B">
                            <w:pPr>
                              <w:jc w:val="center"/>
                              <w:rPr>
                                <w:rFonts w:hint="eastAsia" w:eastAsia="宋体"/>
                                <w:lang w:eastAsia="zh-CN"/>
                              </w:rPr>
                            </w:pPr>
                            <w:r>
                              <w:rPr>
                                <w:rFonts w:hint="eastAsia"/>
                                <w:lang w:eastAsia="zh-CN"/>
                              </w:rPr>
                              <w:t>氯化钠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5pt;margin-top:2.85pt;height:21.75pt;width:50.25pt;z-index:251680768;mso-width-relative:page;mso-height-relative:page;" fillcolor="#C7EDCC [3201]" filled="t" stroked="t" coordsize="21600,21600" o:gfxdata="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8jmIj1wAAAAcBAAAPAAAAAAAAAAEAIAAAACIAAABkcnMvZG93bnJldi54bWxQSwEC&#10;FAAUAAAACACHTuJAAtSPL2cCAADGBAAADgAAAAAAAAABACAAAAAmAQAAZHJzL2Uyb0RvYy54bWxQ&#10;SwUGAAAAAAYABgBZAQAA/wUAAAAA&#10;">
                <v:fill on="t" focussize="0,0"/>
                <v:stroke weight="0.5pt" color="#000000 [3204]" joinstyle="round"/>
                <v:imagedata o:title=""/>
                <o:lock v:ext="edit" aspectratio="f"/>
                <v:textbox>
                  <w:txbxContent>
                    <w:p w14:paraId="18FBD82B">
                      <w:pPr>
                        <w:jc w:val="center"/>
                        <w:rPr>
                          <w:rFonts w:hint="eastAsia" w:eastAsia="宋体"/>
                          <w:lang w:eastAsia="zh-CN"/>
                        </w:rPr>
                      </w:pPr>
                      <w:r>
                        <w:rPr>
                          <w:rFonts w:hint="eastAsia"/>
                          <w:lang w:eastAsia="zh-CN"/>
                        </w:rPr>
                        <w:t>氯化钠</w:t>
                      </w:r>
                    </w:p>
                  </w:txbxContent>
                </v:textbox>
              </v:shape>
            </w:pict>
          </mc:Fallback>
        </mc:AlternateContent>
      </w:r>
    </w:p>
    <w:p w14:paraId="7F5CBE75">
      <w:pPr>
        <w:rPr>
          <w:rFonts w:hint="eastAsia"/>
          <w:bCs/>
          <w:color w:val="auto"/>
          <w:sz w:val="24"/>
          <w:szCs w:val="24"/>
        </w:rPr>
      </w:pPr>
      <w:r>
        <w:rPr>
          <w:color w:val="auto"/>
          <w:sz w:val="24"/>
        </w:rPr>
        <mc:AlternateContent>
          <mc:Choice Requires="wps">
            <w:drawing>
              <wp:anchor distT="0" distB="0" distL="114300" distR="114300" simplePos="0" relativeHeight="251692032" behindDoc="0" locked="0" layoutInCell="1" allowOverlap="1">
                <wp:simplePos x="0" y="0"/>
                <wp:positionH relativeFrom="column">
                  <wp:posOffset>3375025</wp:posOffset>
                </wp:positionH>
                <wp:positionV relativeFrom="paragraph">
                  <wp:posOffset>5715</wp:posOffset>
                </wp:positionV>
                <wp:extent cx="438150" cy="0"/>
                <wp:effectExtent l="0" t="38100" r="0" b="38100"/>
                <wp:wrapNone/>
                <wp:docPr id="231" name="直接箭头连接符 231"/>
                <wp:cNvGraphicFramePr/>
                <a:graphic xmlns:a="http://schemas.openxmlformats.org/drawingml/2006/main">
                  <a:graphicData uri="http://schemas.microsoft.com/office/word/2010/wordprocessingShape">
                    <wps:wsp>
                      <wps:cNvCnPr/>
                      <wps:spPr>
                        <a:xfrm>
                          <a:off x="0" y="0"/>
                          <a:ext cx="438150" cy="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65.75pt;margin-top:0.45pt;height:0pt;width:34.5pt;z-index:251692032;mso-width-relative:page;mso-height-relative:page;" filled="f" stroked="t" coordsize="21600,21600" o:gfxdata="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x//AL0QAAAAUBAAAPAAAAAAAAAAEAIAAAACIAAABkcnMvZG93bnJldi54bWxQSwEC&#10;FAAUAAAACACHTuJABHiwqPsBAADOAwAADgAAAAAAAAABACAAAAAgAQAAZHJzL2Uyb0RvYy54bWxQ&#10;SwUGAAAAAAYABgBZAQAAjQUAAAAA&#10;">
                <v:fill on="f" focussize="0,0"/>
                <v:stroke weight="1pt" color="#000000 [3213]" joinstyle="round" endarrow="block"/>
                <v:imagedata o:title=""/>
                <o:lock v:ext="edit" aspectratio="f"/>
              </v:shape>
            </w:pict>
          </mc:Fallback>
        </mc:AlternateContent>
      </w:r>
      <w:r>
        <w:rPr>
          <w:color w:val="auto"/>
          <w:sz w:val="24"/>
        </w:rPr>
        <mc:AlternateContent>
          <mc:Choice Requires="wps">
            <w:drawing>
              <wp:anchor distT="0" distB="0" distL="114300" distR="114300" simplePos="0" relativeHeight="251682816" behindDoc="0" locked="0" layoutInCell="1" allowOverlap="1">
                <wp:simplePos x="0" y="0"/>
                <wp:positionH relativeFrom="column">
                  <wp:posOffset>1489075</wp:posOffset>
                </wp:positionH>
                <wp:positionV relativeFrom="paragraph">
                  <wp:posOffset>133350</wp:posOffset>
                </wp:positionV>
                <wp:extent cx="0" cy="289560"/>
                <wp:effectExtent l="38100" t="0" r="38100" b="15240"/>
                <wp:wrapNone/>
                <wp:docPr id="232" name="直接箭头连接符 232"/>
                <wp:cNvGraphicFramePr/>
                <a:graphic xmlns:a="http://schemas.openxmlformats.org/drawingml/2006/main">
                  <a:graphicData uri="http://schemas.microsoft.com/office/word/2010/wordprocessingShape">
                    <wps:wsp>
                      <wps:cNvCnPr/>
                      <wps:spPr>
                        <a:xfrm>
                          <a:off x="0" y="0"/>
                          <a:ext cx="0" cy="28956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17.25pt;margin-top:10.5pt;height:22.8pt;width:0pt;z-index:251682816;mso-width-relative:page;mso-height-relative:page;" filled="f" stroked="t" coordsize="21600,21600" o:gfxdata="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My0x7ZAAAACQEAAA8AAAAAAAAAAQAgAAAAIgAAAGRycy9kb3ducmV2&#10;LnhtbFBLAQIUABQAAAAIAIdO4kDIhEJv+wEAAM0DAAAOAAAAAAAAAAEAIAAAACgBAABkcnMvZTJv&#10;RG9jLnhtbFBLBQYAAAAABgAGAFkBAACVBQAAAAA=&#10;">
                <v:fill on="f" focussize="0,0"/>
                <v:stroke weight="1pt" color="#000000 [3213]" joinstyle="round" dashstyle="dash" endarrow="block"/>
                <v:imagedata o:title=""/>
                <o:lock v:ext="edit" aspectratio="f"/>
              </v:shape>
            </w:pict>
          </mc:Fallback>
        </mc:AlternateContent>
      </w:r>
    </w:p>
    <w:p w14:paraId="3928E4AB">
      <w:pPr>
        <w:pStyle w:val="69"/>
        <w:tabs>
          <w:tab w:val="left" w:pos="4665"/>
          <w:tab w:val="left" w:pos="8970"/>
        </w:tabs>
        <w:ind w:left="0" w:leftChars="0" w:firstLine="0" w:firstLineChars="0"/>
        <w:rPr>
          <w:rFonts w:hint="eastAsia"/>
          <w:bCs/>
          <w:color w:val="auto"/>
          <w:sz w:val="24"/>
          <w:szCs w:val="24"/>
        </w:rPr>
      </w:pPr>
      <w:r>
        <w:rPr>
          <w:color w:val="auto"/>
          <w:sz w:val="24"/>
        </w:rPr>
        <mc:AlternateContent>
          <mc:Choice Requires="wps">
            <w:drawing>
              <wp:anchor distT="0" distB="0" distL="114300" distR="114300" simplePos="0" relativeHeight="251701248" behindDoc="0" locked="0" layoutInCell="1" allowOverlap="1">
                <wp:simplePos x="0" y="0"/>
                <wp:positionH relativeFrom="column">
                  <wp:posOffset>3232150</wp:posOffset>
                </wp:positionH>
                <wp:positionV relativeFrom="paragraph">
                  <wp:posOffset>73660</wp:posOffset>
                </wp:positionV>
                <wp:extent cx="0" cy="289560"/>
                <wp:effectExtent l="38100" t="0" r="38100" b="15240"/>
                <wp:wrapNone/>
                <wp:docPr id="233" name="直接箭头连接符 233"/>
                <wp:cNvGraphicFramePr/>
                <a:graphic xmlns:a="http://schemas.openxmlformats.org/drawingml/2006/main">
                  <a:graphicData uri="http://schemas.microsoft.com/office/word/2010/wordprocessingShape">
                    <wps:wsp>
                      <wps:cNvCnPr/>
                      <wps:spPr>
                        <a:xfrm>
                          <a:off x="0" y="0"/>
                          <a:ext cx="0" cy="28956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54.5pt;margin-top:5.8pt;height:22.8pt;width:0pt;z-index:251701248;mso-width-relative:page;mso-height-relative:page;" filled="f" stroked="t" coordsize="21600,21600" o:gfxdata="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zs7fj1wAAAAkBAAAPAAAAAAAAAAEAIAAAACIAAABkcnMvZG93bnJldi54&#10;bWxQSwECFAAUAAAACACHTuJAL/1GdPsBAADNAwAADgAAAAAAAAABACAAAAAmAQAAZHJzL2Uyb0Rv&#10;Yy54bWxQSwUGAAAAAAYABgBZAQAAkwUAAAAA&#10;">
                <v:fill on="f" focussize="0,0"/>
                <v:stroke weight="1pt" color="#000000 [3213]" joinstyle="round" dashstyle="dash" endarrow="block"/>
                <v:imagedata o:title=""/>
                <o:lock v:ext="edit" aspectratio="f"/>
              </v:shape>
            </w:pict>
          </mc:Fallback>
        </mc:AlternateContent>
      </w:r>
      <w:r>
        <w:rPr>
          <w:color w:val="auto"/>
          <w:sz w:val="24"/>
        </w:rPr>
        <mc:AlternateContent>
          <mc:Choice Requires="wps">
            <w:drawing>
              <wp:anchor distT="0" distB="0" distL="114300" distR="114300" simplePos="0" relativeHeight="251679744" behindDoc="0" locked="0" layoutInCell="1" allowOverlap="1">
                <wp:simplePos x="0" y="0"/>
                <wp:positionH relativeFrom="column">
                  <wp:posOffset>2660650</wp:posOffset>
                </wp:positionH>
                <wp:positionV relativeFrom="paragraph">
                  <wp:posOffset>53340</wp:posOffset>
                </wp:positionV>
                <wp:extent cx="0" cy="381000"/>
                <wp:effectExtent l="38100" t="0" r="38100" b="0"/>
                <wp:wrapNone/>
                <wp:docPr id="234" name="直接箭头连接符 234"/>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09.5pt;margin-top:4.2pt;height:30pt;width:0pt;z-index:251679744;mso-width-relative:page;mso-height-relative:page;" filled="f" stroked="t" coordsize="21600,21600" o:gfxdata="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D3WidgAAAAIAQAADwAAAAAAAAABACAAAAAiAAAAZHJzL2Rv&#10;d25yZXYueG1sUEsBAhQAFAAAAAgAh07iQB+HpKoBAgAA2AMAAA4AAAAAAAAAAQAgAAAAJwEAAGRy&#10;cy9lMm9Eb2MueG1sUEsFBgAAAAAGAAYAWQEAAJoFAAAAAA==&#10;">
                <v:fill on="f" focussize="0,0"/>
                <v:stroke weight="1pt" color="#000000 [3213]" joinstyle="round" endarrow="block"/>
                <v:imagedata o:title=""/>
                <o:lock v:ext="edit" aspectratio="f"/>
              </v:shape>
            </w:pict>
          </mc:Fallback>
        </mc:AlternateContent>
      </w:r>
    </w:p>
    <w:p w14:paraId="06EA18CB">
      <w:pPr>
        <w:rPr>
          <w:rFonts w:hint="eastAsia"/>
          <w:bCs/>
          <w:color w:val="auto"/>
          <w:sz w:val="24"/>
          <w:szCs w:val="24"/>
        </w:rPr>
      </w:pPr>
      <w:r>
        <w:rPr>
          <w:color w:val="auto"/>
          <w:sz w:val="24"/>
        </w:rPr>
        <mc:AlternateContent>
          <mc:Choice Requires="wps">
            <w:drawing>
              <wp:anchor distT="0" distB="0" distL="114300" distR="114300" simplePos="0" relativeHeight="251697152" behindDoc="0" locked="0" layoutInCell="1" allowOverlap="1">
                <wp:simplePos x="0" y="0"/>
                <wp:positionH relativeFrom="column">
                  <wp:posOffset>2974975</wp:posOffset>
                </wp:positionH>
                <wp:positionV relativeFrom="paragraph">
                  <wp:posOffset>153035</wp:posOffset>
                </wp:positionV>
                <wp:extent cx="951865" cy="286385"/>
                <wp:effectExtent l="6350" t="6350" r="13335" b="12065"/>
                <wp:wrapNone/>
                <wp:docPr id="235" name="文本框 235"/>
                <wp:cNvGraphicFramePr/>
                <a:graphic xmlns:a="http://schemas.openxmlformats.org/drawingml/2006/main">
                  <a:graphicData uri="http://schemas.microsoft.com/office/word/2010/wordprocessingShape">
                    <wps:wsp>
                      <wps:cNvSpPr txBox="1"/>
                      <wps:spPr>
                        <a:xfrm>
                          <a:off x="0" y="0"/>
                          <a:ext cx="951865" cy="286385"/>
                        </a:xfrm>
                        <a:prstGeom prst="rect">
                          <a:avLst/>
                        </a:prstGeom>
                        <a:solidFill>
                          <a:schemeClr val="lt1"/>
                        </a:solidFill>
                        <a:ln w="12700" cmpd="sng">
                          <a:solidFill>
                            <a:schemeClr val="tx1"/>
                          </a:solidFill>
                          <a:prstDash val="dash"/>
                        </a:ln>
                      </wps:spPr>
                      <wps:style>
                        <a:lnRef idx="0">
                          <a:schemeClr val="accent1"/>
                        </a:lnRef>
                        <a:fillRef idx="0">
                          <a:schemeClr val="accent1"/>
                        </a:fillRef>
                        <a:effectRef idx="0">
                          <a:schemeClr val="accent1"/>
                        </a:effectRef>
                        <a:fontRef idx="minor">
                          <a:schemeClr val="dk1"/>
                        </a:fontRef>
                      </wps:style>
                      <wps:txbx>
                        <w:txbxContent>
                          <w:p w14:paraId="7AC7C7CE">
                            <w:pPr>
                              <w:jc w:val="center"/>
                              <w:rPr>
                                <w:rFonts w:hint="eastAsia" w:eastAsia="宋体"/>
                                <w:lang w:eastAsia="zh-CN"/>
                              </w:rPr>
                            </w:pPr>
                            <w:r>
                              <w:rPr>
                                <w:rFonts w:hint="eastAsia"/>
                                <w:lang w:eastAsia="zh-CN"/>
                              </w:rPr>
                              <w:t>噪声、废水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25pt;margin-top:12.05pt;height:22.55pt;width:74.95pt;z-index:251697152;mso-width-relative:page;mso-height-relative:page;" fillcolor="#C7EDCC [3201]" filled="t" stroked="t" coordsize="21600,21600" o:gfxdata="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4ISJ/ZAAAACQEAAA8AAAAAAAAAAQAgAAAAIgAAAGRycy9kb3ducmV2&#10;LnhtbFBLAQIUABQAAAAIAIdO4kAq4eHsbQIAAN8EAAAOAAAAAAAAAAEAIAAAACgBAABkcnMvZTJv&#10;RG9jLnhtbFBLBQYAAAAABgAGAFkBAAAHBgAAAAA=&#10;">
                <v:fill on="t" focussize="0,0"/>
                <v:stroke weight="1pt" color="#000000 [3213]" joinstyle="round" dashstyle="dash"/>
                <v:imagedata o:title=""/>
                <o:lock v:ext="edit" aspectratio="f"/>
                <v:textbox>
                  <w:txbxContent>
                    <w:p w14:paraId="7AC7C7CE">
                      <w:pPr>
                        <w:jc w:val="center"/>
                        <w:rPr>
                          <w:rFonts w:hint="eastAsia" w:eastAsia="宋体"/>
                          <w:lang w:eastAsia="zh-CN"/>
                        </w:rPr>
                      </w:pPr>
                      <w:r>
                        <w:rPr>
                          <w:rFonts w:hint="eastAsia"/>
                          <w:lang w:eastAsia="zh-CN"/>
                        </w:rPr>
                        <w:t>噪声、废水</w:t>
                      </w:r>
                    </w:p>
                  </w:txbxContent>
                </v:textbox>
              </v:shape>
            </w:pict>
          </mc:Fallback>
        </mc:AlternateContent>
      </w:r>
      <w:r>
        <w:rPr>
          <w:color w:val="auto"/>
          <w:sz w:val="24"/>
        </w:rPr>
        <mc:AlternateContent>
          <mc:Choice Requires="wps">
            <w:drawing>
              <wp:anchor distT="0" distB="0" distL="114300" distR="114300" simplePos="0" relativeHeight="251686912" behindDoc="0" locked="0" layoutInCell="1" allowOverlap="1">
                <wp:simplePos x="0" y="0"/>
                <wp:positionH relativeFrom="column">
                  <wp:posOffset>917575</wp:posOffset>
                </wp:positionH>
                <wp:positionV relativeFrom="paragraph">
                  <wp:posOffset>27305</wp:posOffset>
                </wp:positionV>
                <wp:extent cx="1132840" cy="448310"/>
                <wp:effectExtent l="6350" t="6350" r="22860" b="21590"/>
                <wp:wrapNone/>
                <wp:docPr id="236" name="文本框 236"/>
                <wp:cNvGraphicFramePr/>
                <a:graphic xmlns:a="http://schemas.openxmlformats.org/drawingml/2006/main">
                  <a:graphicData uri="http://schemas.microsoft.com/office/word/2010/wordprocessingShape">
                    <wps:wsp>
                      <wps:cNvSpPr txBox="1"/>
                      <wps:spPr>
                        <a:xfrm>
                          <a:off x="0" y="0"/>
                          <a:ext cx="1132840" cy="448310"/>
                        </a:xfrm>
                        <a:prstGeom prst="rect">
                          <a:avLst/>
                        </a:prstGeom>
                        <a:solidFill>
                          <a:schemeClr val="lt1"/>
                        </a:solidFill>
                        <a:ln w="12700" cmpd="sng">
                          <a:solidFill>
                            <a:schemeClr val="tx1"/>
                          </a:solidFill>
                          <a:prstDash val="dash"/>
                        </a:ln>
                      </wps:spPr>
                      <wps:style>
                        <a:lnRef idx="0">
                          <a:schemeClr val="accent1"/>
                        </a:lnRef>
                        <a:fillRef idx="0">
                          <a:schemeClr val="accent1"/>
                        </a:fillRef>
                        <a:effectRef idx="0">
                          <a:schemeClr val="accent1"/>
                        </a:effectRef>
                        <a:fontRef idx="minor">
                          <a:schemeClr val="dk1"/>
                        </a:fontRef>
                      </wps:style>
                      <wps:txbx>
                        <w:txbxContent>
                          <w:p w14:paraId="0D08681D">
                            <w:pPr>
                              <w:jc w:val="center"/>
                              <w:rPr>
                                <w:rFonts w:hint="eastAsia"/>
                                <w:lang w:eastAsia="zh-CN"/>
                              </w:rPr>
                            </w:pPr>
                            <w:r>
                              <w:rPr>
                                <w:rFonts w:hint="eastAsia"/>
                                <w:lang w:eastAsia="zh-CN"/>
                              </w:rPr>
                              <w:t>废水</w:t>
                            </w:r>
                          </w:p>
                          <w:p w14:paraId="60E039AD">
                            <w:pPr>
                              <w:jc w:val="center"/>
                              <w:rPr>
                                <w:rFonts w:hint="eastAsia" w:eastAsia="宋体"/>
                                <w:lang w:eastAsia="zh-CN"/>
                              </w:rPr>
                            </w:pPr>
                            <w:r>
                              <w:rPr>
                                <w:rFonts w:hint="eastAsia"/>
                                <w:lang w:eastAsia="zh-CN"/>
                              </w:rPr>
                              <w:t>废离子交换树脂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25pt;margin-top:2.15pt;height:35.3pt;width:89.2pt;z-index:251686912;mso-width-relative:page;mso-height-relative:page;" fillcolor="#C7EDCC [3201]" filled="t" stroked="t" coordsize="21600,21600" o:gfxdata="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s7xLm2AAAAAgBAAAPAAAAAAAAAAEAIAAAACIAAABkcnMvZG93bnJldi54&#10;bWxQSwECFAAUAAAACACHTuJAUkhu+2wCAADgBAAADgAAAAAAAAABACAAAAAnAQAAZHJzL2Uyb0Rv&#10;Yy54bWxQSwUGAAAAAAYABgBZAQAABQYAAAAA&#10;">
                <v:fill on="t" focussize="0,0"/>
                <v:stroke weight="1pt" color="#000000 [3213]" joinstyle="round" dashstyle="dash"/>
                <v:imagedata o:title=""/>
                <o:lock v:ext="edit" aspectratio="f"/>
                <v:textbox>
                  <w:txbxContent>
                    <w:p w14:paraId="0D08681D">
                      <w:pPr>
                        <w:jc w:val="center"/>
                        <w:rPr>
                          <w:rFonts w:hint="eastAsia"/>
                          <w:lang w:eastAsia="zh-CN"/>
                        </w:rPr>
                      </w:pPr>
                      <w:r>
                        <w:rPr>
                          <w:rFonts w:hint="eastAsia"/>
                          <w:lang w:eastAsia="zh-CN"/>
                        </w:rPr>
                        <w:t>废水</w:t>
                      </w:r>
                    </w:p>
                    <w:p w14:paraId="60E039AD">
                      <w:pPr>
                        <w:jc w:val="center"/>
                        <w:rPr>
                          <w:rFonts w:hint="eastAsia" w:eastAsia="宋体"/>
                          <w:lang w:eastAsia="zh-CN"/>
                        </w:rPr>
                      </w:pPr>
                      <w:r>
                        <w:rPr>
                          <w:rFonts w:hint="eastAsia"/>
                          <w:lang w:eastAsia="zh-CN"/>
                        </w:rPr>
                        <w:t>废离子交换树脂</w:t>
                      </w:r>
                    </w:p>
                  </w:txbxContent>
                </v:textbox>
              </v:shape>
            </w:pict>
          </mc:Fallback>
        </mc:AlternateContent>
      </w:r>
    </w:p>
    <w:p w14:paraId="44A6DDF6">
      <w:pPr>
        <w:pStyle w:val="69"/>
        <w:tabs>
          <w:tab w:val="left" w:pos="4665"/>
          <w:tab w:val="left" w:pos="8970"/>
        </w:tabs>
        <w:ind w:left="0" w:leftChars="0" w:firstLine="0" w:firstLineChars="0"/>
        <w:rPr>
          <w:rFonts w:hint="eastAsia"/>
          <w:bCs/>
          <w:color w:val="auto"/>
          <w:sz w:val="24"/>
          <w:szCs w:val="24"/>
        </w:rPr>
      </w:pPr>
      <w:r>
        <w:rPr>
          <w:color w:val="auto"/>
          <w:sz w:val="24"/>
        </w:rPr>
        <mc:AlternateContent>
          <mc:Choice Requires="wps">
            <w:drawing>
              <wp:anchor distT="0" distB="0" distL="114300" distR="114300" simplePos="0" relativeHeight="251699200" behindDoc="0" locked="0" layoutInCell="1" allowOverlap="1">
                <wp:simplePos x="0" y="0"/>
                <wp:positionH relativeFrom="column">
                  <wp:posOffset>2270760</wp:posOffset>
                </wp:positionH>
                <wp:positionV relativeFrom="paragraph">
                  <wp:posOffset>93980</wp:posOffset>
                </wp:positionV>
                <wp:extent cx="751840" cy="456565"/>
                <wp:effectExtent l="0" t="0" r="0" b="0"/>
                <wp:wrapNone/>
                <wp:docPr id="237" name="文本框 237"/>
                <wp:cNvGraphicFramePr/>
                <a:graphic xmlns:a="http://schemas.openxmlformats.org/drawingml/2006/main">
                  <a:graphicData uri="http://schemas.microsoft.com/office/word/2010/wordprocessingShape">
                    <wps:wsp>
                      <wps:cNvSpPr txBox="1"/>
                      <wps:spPr>
                        <a:xfrm>
                          <a:off x="0" y="0"/>
                          <a:ext cx="751840" cy="4565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A6F4DD">
                            <w:pPr>
                              <w:jc w:val="center"/>
                              <w:rPr>
                                <w:rFonts w:hint="eastAsia" w:eastAsia="宋体"/>
                                <w:lang w:eastAsia="zh-CN"/>
                              </w:rPr>
                            </w:pPr>
                            <w:r>
                              <w:rPr>
                                <w:rFonts w:hint="eastAsia"/>
                                <w:lang w:eastAsia="zh-CN"/>
                              </w:rPr>
                              <w:t>生物质成型燃料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8pt;margin-top:7.4pt;height:35.95pt;width:59.2pt;z-index:251699200;mso-width-relative:page;mso-height-relative:page;" filled="f" stroked="f" coordsize="21600,21600" o:gfxdata="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&#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lmRkbaAAAACQEAAA8AAAAAAAAAAQAgAAAAIgAAAGRy&#10;cy9kb3ducmV2LnhtbFBLAQIUABQAAAAIAIdO4kCOmBK6PAIAAGkEAAAOAAAAAAAAAAEAIAAAACkB&#10;AABkcnMvZTJvRG9jLnhtbFBLBQYAAAAABgAGAFkBAADXBQAAAAA=&#10;">
                <v:fill on="f" focussize="0,0"/>
                <v:stroke on="f" weight="0.5pt"/>
                <v:imagedata o:title=""/>
                <o:lock v:ext="edit" aspectratio="f"/>
                <v:textbox>
                  <w:txbxContent>
                    <w:p w14:paraId="42A6F4DD">
                      <w:pPr>
                        <w:jc w:val="center"/>
                        <w:rPr>
                          <w:rFonts w:hint="eastAsia" w:eastAsia="宋体"/>
                          <w:lang w:eastAsia="zh-CN"/>
                        </w:rPr>
                      </w:pPr>
                      <w:r>
                        <w:rPr>
                          <w:rFonts w:hint="eastAsia"/>
                          <w:lang w:eastAsia="zh-CN"/>
                        </w:rPr>
                        <w:t>生物质成型燃料</w:t>
                      </w:r>
                    </w:p>
                  </w:txbxContent>
                </v:textbox>
              </v:shape>
            </w:pict>
          </mc:Fallback>
        </mc:AlternateContent>
      </w:r>
    </w:p>
    <w:p w14:paraId="5089C425">
      <w:pPr>
        <w:rPr>
          <w:rFonts w:hint="eastAsia"/>
          <w:bCs/>
          <w:color w:val="auto"/>
          <w:sz w:val="24"/>
          <w:szCs w:val="24"/>
        </w:rPr>
      </w:pPr>
    </w:p>
    <w:p w14:paraId="28E7C4BF">
      <w:pPr>
        <w:pStyle w:val="23"/>
        <w:rPr>
          <w:rFonts w:hint="eastAsia"/>
          <w:b/>
          <w:bCs/>
          <w:color w:val="auto"/>
          <w:sz w:val="24"/>
        </w:rPr>
      </w:pPr>
    </w:p>
    <w:p w14:paraId="171D5071">
      <w:pPr>
        <w:pStyle w:val="30"/>
        <w:widowControl w:val="0"/>
        <w:numPr>
          <w:ilvl w:val="0"/>
          <w:numId w:val="0"/>
        </w:numPr>
        <w:jc w:val="both"/>
        <w:rPr>
          <w:rFonts w:hint="eastAsia"/>
          <w:b/>
          <w:bCs/>
          <w:color w:val="auto"/>
          <w:sz w:val="24"/>
        </w:rPr>
      </w:pPr>
    </w:p>
    <w:p w14:paraId="1E044AD8">
      <w:pPr>
        <w:pStyle w:val="283"/>
        <w:snapToGrid w:val="0"/>
        <w:jc w:val="center"/>
        <w:rPr>
          <w:bCs/>
          <w:color w:val="auto"/>
        </w:rPr>
      </w:pPr>
      <w:r>
        <w:rPr>
          <w:bCs/>
          <w:color w:val="auto"/>
        </w:rPr>
        <w:t>图</w:t>
      </w:r>
      <w:r>
        <w:rPr>
          <w:rFonts w:hint="eastAsia"/>
          <w:bCs/>
          <w:color w:val="auto"/>
          <w:lang w:val="en-US" w:eastAsia="zh-CN"/>
        </w:rPr>
        <w:t xml:space="preserve">3.3-4 </w:t>
      </w:r>
      <w:r>
        <w:rPr>
          <w:bCs/>
          <w:color w:val="auto"/>
        </w:rPr>
        <w:t xml:space="preserve"> </w:t>
      </w:r>
      <w:r>
        <w:rPr>
          <w:rFonts w:hint="eastAsia"/>
          <w:bCs/>
          <w:color w:val="auto"/>
          <w:lang w:eastAsia="zh-CN"/>
        </w:rPr>
        <w:t>锅炉运行</w:t>
      </w:r>
      <w:r>
        <w:rPr>
          <w:bCs/>
          <w:color w:val="auto"/>
        </w:rPr>
        <w:t>流程及排污节点图</w:t>
      </w:r>
    </w:p>
    <w:p w14:paraId="1C8C84A0">
      <w:pPr>
        <w:spacing w:line="360" w:lineRule="auto"/>
        <w:ind w:firstLine="480" w:firstLineChars="200"/>
        <w:textAlignment w:val="baseline"/>
        <w:rPr>
          <w:color w:val="auto"/>
          <w:sz w:val="24"/>
          <w:shd w:val="clear" w:color="auto" w:fill="FFFFFF"/>
        </w:rPr>
      </w:pPr>
      <w:r>
        <w:rPr>
          <w:color w:val="auto"/>
          <w:sz w:val="24"/>
          <w:shd w:val="clear" w:color="auto" w:fill="FFFFFF"/>
        </w:rPr>
        <w:t>工艺流程简述：</w:t>
      </w:r>
    </w:p>
    <w:p w14:paraId="0CB55AA1">
      <w:pPr>
        <w:numPr>
          <w:ilvl w:val="0"/>
          <w:numId w:val="0"/>
        </w:numPr>
        <w:tabs>
          <w:tab w:val="left" w:pos="4590"/>
          <w:tab w:val="left" w:pos="6525"/>
        </w:tabs>
        <w:spacing w:line="360" w:lineRule="auto"/>
        <w:ind w:firstLine="480" w:firstLineChars="200"/>
        <w:rPr>
          <w:rFonts w:hint="eastAsia"/>
          <w:color w:val="auto"/>
          <w:sz w:val="24"/>
          <w:lang w:eastAsia="zh-CN"/>
        </w:rPr>
      </w:pPr>
      <w:r>
        <w:rPr>
          <w:rFonts w:hint="eastAsia" w:ascii="Times New Roman" w:hAnsi="Times New Roman" w:eastAsia="宋体" w:cs="Times New Roman"/>
          <w:color w:val="auto"/>
          <w:kern w:val="2"/>
          <w:sz w:val="24"/>
          <w:szCs w:val="24"/>
          <w:lang w:val="en-US" w:eastAsia="zh-CN" w:bidi="ar-SA"/>
        </w:rPr>
        <w:t>（1）</w:t>
      </w:r>
      <w:r>
        <w:rPr>
          <w:rFonts w:hint="eastAsia"/>
          <w:color w:val="auto"/>
          <w:sz w:val="24"/>
          <w:lang w:eastAsia="zh-CN"/>
        </w:rPr>
        <w:t>软水制备</w:t>
      </w:r>
    </w:p>
    <w:p w14:paraId="63F26AE2">
      <w:pPr>
        <w:numPr>
          <w:ilvl w:val="0"/>
          <w:numId w:val="0"/>
        </w:numPr>
        <w:tabs>
          <w:tab w:val="left" w:pos="4590"/>
          <w:tab w:val="left" w:pos="6525"/>
        </w:tabs>
        <w:spacing w:line="360" w:lineRule="auto"/>
        <w:ind w:firstLine="480" w:firstLineChars="200"/>
        <w:rPr>
          <w:color w:val="auto"/>
          <w:sz w:val="24"/>
        </w:rPr>
      </w:pPr>
      <w:r>
        <w:rPr>
          <w:color w:val="auto"/>
          <w:sz w:val="24"/>
        </w:rPr>
        <w:t>本项目软化水制备工艺简单，</w:t>
      </w:r>
      <w:r>
        <w:rPr>
          <w:rFonts w:hint="eastAsia"/>
          <w:color w:val="auto"/>
          <w:sz w:val="24"/>
        </w:rPr>
        <w:t>地下水</w:t>
      </w:r>
      <w:r>
        <w:rPr>
          <w:color w:val="auto"/>
          <w:sz w:val="24"/>
        </w:rPr>
        <w:t>经离子交换柱处理后得到软化水，软化水直接进入锅炉。离子交换树脂对自来水中的Ca</w:t>
      </w:r>
      <w:r>
        <w:rPr>
          <w:color w:val="auto"/>
          <w:sz w:val="24"/>
          <w:vertAlign w:val="superscript"/>
        </w:rPr>
        <w:t>2+</w:t>
      </w:r>
      <w:r>
        <w:rPr>
          <w:color w:val="auto"/>
          <w:sz w:val="24"/>
        </w:rPr>
        <w:t>、Mg</w:t>
      </w:r>
      <w:r>
        <w:rPr>
          <w:color w:val="auto"/>
          <w:sz w:val="24"/>
          <w:vertAlign w:val="superscript"/>
        </w:rPr>
        <w:t>2+</w:t>
      </w:r>
      <w:r>
        <w:rPr>
          <w:color w:val="auto"/>
          <w:sz w:val="24"/>
        </w:rPr>
        <w:t>离子进行交换，以达到软化水的目的。当设备运行时，来水自上而下通过树脂层，水中的钙、镁硬度不断被离子交换树脂吸附而除去，从而使硬水得到软化。离子交换柱工作原理如下：</w:t>
      </w:r>
    </w:p>
    <w:p w14:paraId="5A29C3BB">
      <w:pPr>
        <w:tabs>
          <w:tab w:val="left" w:pos="4590"/>
          <w:tab w:val="left" w:pos="6525"/>
        </w:tabs>
        <w:spacing w:line="360" w:lineRule="auto"/>
        <w:ind w:firstLine="480" w:firstLineChars="200"/>
        <w:rPr>
          <w:color w:val="auto"/>
          <w:sz w:val="24"/>
        </w:rPr>
      </w:pPr>
      <w:r>
        <w:rPr>
          <w:color w:val="auto"/>
          <w:sz w:val="24"/>
        </w:rPr>
        <w:t>项目离子交换树脂为钠型，Ca</w:t>
      </w:r>
      <w:r>
        <w:rPr>
          <w:color w:val="auto"/>
          <w:sz w:val="24"/>
          <w:vertAlign w:val="superscript"/>
        </w:rPr>
        <w:t>2+</w:t>
      </w:r>
      <w:r>
        <w:rPr>
          <w:color w:val="auto"/>
          <w:sz w:val="24"/>
        </w:rPr>
        <w:t>、Mg</w:t>
      </w:r>
      <w:r>
        <w:rPr>
          <w:color w:val="auto"/>
          <w:sz w:val="24"/>
          <w:vertAlign w:val="superscript"/>
        </w:rPr>
        <w:t>2+</w:t>
      </w:r>
      <w:r>
        <w:rPr>
          <w:color w:val="auto"/>
          <w:sz w:val="24"/>
        </w:rPr>
        <w:t>离子与树脂中的Na</w:t>
      </w:r>
      <w:r>
        <w:rPr>
          <w:color w:val="auto"/>
          <w:sz w:val="24"/>
          <w:vertAlign w:val="superscript"/>
        </w:rPr>
        <w:t>+</w:t>
      </w:r>
      <w:r>
        <w:rPr>
          <w:color w:val="auto"/>
          <w:sz w:val="24"/>
        </w:rPr>
        <w:t>离子交换，从而对水中的Ca</w:t>
      </w:r>
      <w:r>
        <w:rPr>
          <w:color w:val="auto"/>
          <w:sz w:val="24"/>
          <w:vertAlign w:val="superscript"/>
        </w:rPr>
        <w:t>2+</w:t>
      </w:r>
      <w:r>
        <w:rPr>
          <w:color w:val="auto"/>
          <w:sz w:val="24"/>
        </w:rPr>
        <w:t>、Mg</w:t>
      </w:r>
      <w:r>
        <w:rPr>
          <w:color w:val="auto"/>
          <w:sz w:val="24"/>
          <w:vertAlign w:val="superscript"/>
        </w:rPr>
        <w:t>2+</w:t>
      </w:r>
      <w:r>
        <w:rPr>
          <w:color w:val="auto"/>
          <w:sz w:val="24"/>
        </w:rPr>
        <w:t>离子进行交换，以RNa代表钠型树脂，则方程式如下：</w:t>
      </w:r>
    </w:p>
    <w:p w14:paraId="1379203C">
      <w:pPr>
        <w:tabs>
          <w:tab w:val="left" w:pos="4590"/>
          <w:tab w:val="left" w:pos="6525"/>
        </w:tabs>
        <w:spacing w:line="360" w:lineRule="auto"/>
        <w:ind w:firstLine="480" w:firstLineChars="200"/>
        <w:rPr>
          <w:color w:val="auto"/>
          <w:sz w:val="24"/>
        </w:rPr>
      </w:pPr>
      <w:r>
        <w:rPr>
          <w:color w:val="auto"/>
          <w:sz w:val="24"/>
        </w:rPr>
        <w:t>2RNa+Ca=R</w:t>
      </w:r>
      <w:r>
        <w:rPr>
          <w:color w:val="auto"/>
          <w:sz w:val="24"/>
          <w:vertAlign w:val="subscript"/>
        </w:rPr>
        <w:t>2</w:t>
      </w:r>
      <w:r>
        <w:rPr>
          <w:color w:val="auto"/>
          <w:sz w:val="24"/>
        </w:rPr>
        <w:t>Ca+2Na</w:t>
      </w:r>
      <w:r>
        <w:rPr>
          <w:color w:val="auto"/>
          <w:sz w:val="24"/>
          <w:vertAlign w:val="superscript"/>
        </w:rPr>
        <w:t>+</w:t>
      </w:r>
    </w:p>
    <w:p w14:paraId="789EA3BA">
      <w:pPr>
        <w:tabs>
          <w:tab w:val="left" w:pos="4590"/>
          <w:tab w:val="left" w:pos="6525"/>
        </w:tabs>
        <w:spacing w:line="360" w:lineRule="auto"/>
        <w:ind w:firstLine="480" w:firstLineChars="200"/>
        <w:rPr>
          <w:color w:val="auto"/>
          <w:sz w:val="24"/>
        </w:rPr>
      </w:pPr>
      <w:r>
        <w:rPr>
          <w:color w:val="auto"/>
          <w:sz w:val="24"/>
        </w:rPr>
        <w:t>2RNa+Mg=R</w:t>
      </w:r>
      <w:r>
        <w:rPr>
          <w:color w:val="auto"/>
          <w:sz w:val="24"/>
          <w:vertAlign w:val="subscript"/>
        </w:rPr>
        <w:t>2</w:t>
      </w:r>
      <w:r>
        <w:rPr>
          <w:color w:val="auto"/>
          <w:sz w:val="24"/>
        </w:rPr>
        <w:t>Mg+2Na</w:t>
      </w:r>
      <w:r>
        <w:rPr>
          <w:color w:val="auto"/>
          <w:sz w:val="24"/>
          <w:vertAlign w:val="superscript"/>
        </w:rPr>
        <w:t>+</w:t>
      </w:r>
    </w:p>
    <w:p w14:paraId="622B576C">
      <w:pPr>
        <w:tabs>
          <w:tab w:val="left" w:pos="4590"/>
          <w:tab w:val="left" w:pos="6525"/>
        </w:tabs>
        <w:spacing w:line="360" w:lineRule="auto"/>
        <w:ind w:firstLine="480" w:firstLineChars="200"/>
        <w:jc w:val="both"/>
        <w:rPr>
          <w:rFonts w:hint="eastAsia"/>
          <w:color w:val="auto"/>
          <w:sz w:val="24"/>
          <w:lang w:eastAsia="zh-CN"/>
        </w:rPr>
      </w:pPr>
      <w:r>
        <w:rPr>
          <w:rFonts w:hint="eastAsia"/>
          <w:color w:val="auto"/>
          <w:sz w:val="24"/>
          <w:lang w:eastAsia="zh-CN"/>
        </w:rPr>
        <w:t>离子交换树脂反冲洗工序：</w:t>
      </w:r>
    </w:p>
    <w:p w14:paraId="6B031936">
      <w:pPr>
        <w:tabs>
          <w:tab w:val="left" w:pos="4590"/>
          <w:tab w:val="left" w:pos="6525"/>
        </w:tabs>
        <w:spacing w:line="360" w:lineRule="auto"/>
        <w:ind w:firstLine="480" w:firstLineChars="200"/>
        <w:jc w:val="both"/>
        <w:rPr>
          <w:rFonts w:hint="eastAsia"/>
          <w:color w:val="auto"/>
          <w:sz w:val="24"/>
          <w:lang w:eastAsia="zh-CN"/>
        </w:rPr>
      </w:pPr>
      <w:r>
        <w:rPr>
          <w:sz w:val="24"/>
        </w:rPr>
        <mc:AlternateContent>
          <mc:Choice Requires="wps">
            <w:drawing>
              <wp:anchor distT="0" distB="0" distL="114300" distR="114300" simplePos="0" relativeHeight="251952128" behindDoc="0" locked="0" layoutInCell="1" allowOverlap="1">
                <wp:simplePos x="0" y="0"/>
                <wp:positionH relativeFrom="column">
                  <wp:posOffset>2212340</wp:posOffset>
                </wp:positionH>
                <wp:positionV relativeFrom="paragraph">
                  <wp:posOffset>257810</wp:posOffset>
                </wp:positionV>
                <wp:extent cx="951865" cy="27622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95186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06C155">
                            <w:pPr>
                              <w:jc w:val="center"/>
                              <w:rPr>
                                <w:rFonts w:hint="eastAsia" w:eastAsia="宋体"/>
                                <w:lang w:eastAsia="zh-CN"/>
                              </w:rPr>
                            </w:pPr>
                            <w:r>
                              <w:rPr>
                                <w:rFonts w:hint="eastAsia"/>
                                <w:lang w:eastAsia="zh-CN"/>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2pt;margin-top:20.3pt;height:21.75pt;width:74.95pt;z-index:251952128;mso-width-relative:page;mso-height-relative:page;" filled="f" stroked="f" coordsize="21600,21600" o:gfxdata="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quhp/2wAAAAkBAAAPAAAAAAAAAAEAIAAAACIAAABk&#10;cnMvZG93bnJldi54bWxQSwECFAAUAAAACACHTuJAYTdUljwCAABnBAAADgAAAAAAAAABACAAAAAq&#10;AQAAZHJzL2Uyb0RvYy54bWxQSwUGAAAAAAYABgBZAQAA2AUAAAAA&#10;">
                <v:fill on="f" focussize="0,0"/>
                <v:stroke on="f" weight="0.5pt"/>
                <v:imagedata o:title=""/>
                <o:lock v:ext="edit" aspectratio="f"/>
                <v:textbox>
                  <w:txbxContent>
                    <w:p w14:paraId="4506C155">
                      <w:pPr>
                        <w:jc w:val="center"/>
                        <w:rPr>
                          <w:rFonts w:hint="eastAsia" w:eastAsia="宋体"/>
                          <w:lang w:eastAsia="zh-CN"/>
                        </w:rPr>
                      </w:pPr>
                      <w:r>
                        <w:rPr>
                          <w:rFonts w:hint="eastAsia"/>
                          <w:lang w:eastAsia="zh-CN"/>
                        </w:rPr>
                        <w:t>噪声</w:t>
                      </w:r>
                    </w:p>
                  </w:txbxContent>
                </v:textbox>
              </v:shape>
            </w:pict>
          </mc:Fallback>
        </mc:AlternateContent>
      </w:r>
    </w:p>
    <w:p w14:paraId="3F5D2EB8">
      <w:pPr>
        <w:tabs>
          <w:tab w:val="left" w:pos="4590"/>
          <w:tab w:val="left" w:pos="6525"/>
        </w:tabs>
        <w:spacing w:line="360" w:lineRule="auto"/>
        <w:ind w:firstLine="480" w:firstLineChars="200"/>
        <w:jc w:val="both"/>
        <w:rPr>
          <w:rFonts w:hint="eastAsia"/>
          <w:color w:val="auto"/>
          <w:sz w:val="24"/>
          <w:lang w:eastAsia="zh-CN"/>
        </w:rPr>
      </w:pPr>
    </w:p>
    <w:p w14:paraId="2A0E9A3F">
      <w:pPr>
        <w:tabs>
          <w:tab w:val="left" w:pos="4590"/>
          <w:tab w:val="left" w:pos="6525"/>
        </w:tabs>
        <w:spacing w:line="360" w:lineRule="auto"/>
        <w:ind w:firstLine="480" w:firstLineChars="200"/>
        <w:jc w:val="both"/>
        <w:rPr>
          <w:rFonts w:hint="eastAsia"/>
          <w:color w:val="auto"/>
          <w:sz w:val="24"/>
          <w:lang w:eastAsia="zh-CN"/>
        </w:rPr>
      </w:pPr>
      <w:r>
        <w:rPr>
          <w:sz w:val="24"/>
        </w:rPr>
        <mc:AlternateContent>
          <mc:Choice Requires="wps">
            <w:drawing>
              <wp:anchor distT="0" distB="0" distL="114300" distR="114300" simplePos="0" relativeHeight="251951104" behindDoc="0" locked="0" layoutInCell="1" allowOverlap="1">
                <wp:simplePos x="0" y="0"/>
                <wp:positionH relativeFrom="column">
                  <wp:posOffset>2679065</wp:posOffset>
                </wp:positionH>
                <wp:positionV relativeFrom="paragraph">
                  <wp:posOffset>15875</wp:posOffset>
                </wp:positionV>
                <wp:extent cx="0" cy="372745"/>
                <wp:effectExtent l="38100" t="0" r="38100" b="8255"/>
                <wp:wrapNone/>
                <wp:docPr id="47" name="直接箭头连接符 47"/>
                <wp:cNvGraphicFramePr/>
                <a:graphic xmlns:a="http://schemas.openxmlformats.org/drawingml/2006/main">
                  <a:graphicData uri="http://schemas.microsoft.com/office/word/2010/wordprocessingShape">
                    <wps:wsp>
                      <wps:cNvCnPr/>
                      <wps:spPr>
                        <a:xfrm flipV="1">
                          <a:off x="0" y="0"/>
                          <a:ext cx="0" cy="37274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10.95pt;margin-top:1.25pt;height:29.35pt;width:0pt;z-index:251951104;mso-width-relative:page;mso-height-relative:page;" filled="f" stroked="t" coordsize="21600,21600" o:gfxdata="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UNLzc2AAAAAgBAAAPAAAAAAAAAAEAIAAAACIAAABkcnMvZG93&#10;bnJldi54bWxQSwECFAAUAAAACACHTuJAdpMo3gACAADWAwAADgAAAAAAAAABACAAAAAnAQAAZHJz&#10;L2Uyb0RvYy54bWxQSwUGAAAAAAYABgBZAQAAmQUAAAAA&#10;">
                <v:fill on="f" focussize="0,0"/>
                <v:stroke weight="1pt" color="#000000 [3213]" joinstyle="round" endarrow="block"/>
                <v:imagedata o:title=""/>
                <o:lock v:ext="edit" aspectratio="f"/>
              </v:shape>
            </w:pict>
          </mc:Fallback>
        </mc:AlternateContent>
      </w:r>
    </w:p>
    <w:p w14:paraId="3C811753">
      <w:pPr>
        <w:tabs>
          <w:tab w:val="left" w:pos="4590"/>
          <w:tab w:val="left" w:pos="6525"/>
        </w:tabs>
        <w:spacing w:line="360" w:lineRule="auto"/>
        <w:ind w:firstLine="480" w:firstLineChars="200"/>
        <w:jc w:val="both"/>
        <w:rPr>
          <w:rFonts w:hint="eastAsia"/>
          <w:color w:val="auto"/>
          <w:sz w:val="24"/>
          <w:lang w:eastAsia="zh-CN"/>
        </w:rPr>
      </w:pPr>
      <w:r>
        <w:rPr>
          <w:sz w:val="24"/>
        </w:rPr>
        <mc:AlternateContent>
          <mc:Choice Requires="wps">
            <w:drawing>
              <wp:anchor distT="0" distB="0" distL="114300" distR="114300" simplePos="0" relativeHeight="251949056" behindDoc="0" locked="0" layoutInCell="1" allowOverlap="1">
                <wp:simplePos x="0" y="0"/>
                <wp:positionH relativeFrom="column">
                  <wp:posOffset>3145155</wp:posOffset>
                </wp:positionH>
                <wp:positionV relativeFrom="paragraph">
                  <wp:posOffset>249555</wp:posOffset>
                </wp:positionV>
                <wp:extent cx="390525" cy="4445"/>
                <wp:effectExtent l="0" t="34290" r="9525" b="37465"/>
                <wp:wrapNone/>
                <wp:docPr id="6" name="直接箭头连接符 6"/>
                <wp:cNvGraphicFramePr/>
                <a:graphic xmlns:a="http://schemas.openxmlformats.org/drawingml/2006/main">
                  <a:graphicData uri="http://schemas.microsoft.com/office/word/2010/wordprocessingShape">
                    <wps:wsp>
                      <wps:cNvCnPr>
                        <a:stCxn id="43" idx="3"/>
                      </wps:cNvCnPr>
                      <wps:spPr>
                        <a:xfrm>
                          <a:off x="0" y="0"/>
                          <a:ext cx="390525" cy="444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47.65pt;margin-top:19.65pt;height:0.35pt;width:30.75pt;z-index:251949056;mso-width-relative:page;mso-height-relative:page;" filled="f" stroked="t" coordsize="21600,21600" o:gfxdata="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igeUDXAAAACQEAAA8AAAAAAAAAAQAg&#10;AAAAIgAAAGRycy9kb3ducmV2LnhtbFBLAQIUABQAAAAIAIdO4kA5i+zyDwIAAPQDAAAOAAAAAAAA&#10;AAEAIAAAACYBAABkcnMvZTJvRG9jLnhtbFBLBQYAAAAABgAGAFkBAACnBQAAAAA=&#10;">
                <v:fill on="f" focussize="0,0"/>
                <v:stroke weight="1pt" color="#000000 [3213]" joinstyle="round" endarrow="block"/>
                <v:imagedata o:title=""/>
                <o:lock v:ext="edit" aspectratio="f"/>
              </v:shape>
            </w:pict>
          </mc:Fallback>
        </mc:AlternateContent>
      </w:r>
      <w:r>
        <w:rPr>
          <w:sz w:val="24"/>
        </w:rPr>
        <mc:AlternateContent>
          <mc:Choice Requires="wps">
            <w:drawing>
              <wp:anchor distT="0" distB="0" distL="114300" distR="114300" simplePos="0" relativeHeight="251950080" behindDoc="0" locked="0" layoutInCell="1" allowOverlap="1">
                <wp:simplePos x="0" y="0"/>
                <wp:positionH relativeFrom="column">
                  <wp:posOffset>3526790</wp:posOffset>
                </wp:positionH>
                <wp:positionV relativeFrom="paragraph">
                  <wp:posOffset>107315</wp:posOffset>
                </wp:positionV>
                <wp:extent cx="951865" cy="27622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95186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CA9E74">
                            <w:pPr>
                              <w:jc w:val="center"/>
                              <w:rPr>
                                <w:rFonts w:hint="eastAsia" w:eastAsia="宋体"/>
                                <w:lang w:eastAsia="zh-CN"/>
                              </w:rPr>
                            </w:pPr>
                            <w:r>
                              <w:rPr>
                                <w:rFonts w:hint="eastAsia"/>
                                <w:lang w:eastAsia="zh-CN"/>
                              </w:rPr>
                              <w:t>反冲洗废水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7pt;margin-top:8.45pt;height:21.75pt;width:74.95pt;z-index:251950080;mso-width-relative:page;mso-height-relative:page;" filled="f" stroked="f" coordsize="21600,21600" o:gfxdata="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&#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ckPqe2gAAAAkBAAAPAAAAAAAAAAEAIAAAACIAAABk&#10;cnMvZG93bnJldi54bWxQSwECFAAUAAAACACHTuJAqt2Toj0CAABnBAAADgAAAAAAAAABACAAAAAp&#10;AQAAZHJzL2Uyb0RvYy54bWxQSwUGAAAAAAYABgBZAQAA2AUAAAAA&#10;">
                <v:fill on="f" focussize="0,0"/>
                <v:stroke on="f" weight="0.5pt"/>
                <v:imagedata o:title=""/>
                <o:lock v:ext="edit" aspectratio="f"/>
                <v:textbox>
                  <w:txbxContent>
                    <w:p w14:paraId="71CA9E74">
                      <w:pPr>
                        <w:jc w:val="center"/>
                        <w:rPr>
                          <w:rFonts w:hint="eastAsia" w:eastAsia="宋体"/>
                          <w:lang w:eastAsia="zh-CN"/>
                        </w:rPr>
                      </w:pPr>
                      <w:r>
                        <w:rPr>
                          <w:rFonts w:hint="eastAsia"/>
                          <w:lang w:eastAsia="zh-CN"/>
                        </w:rPr>
                        <w:t>反冲洗废水</w:t>
                      </w:r>
                    </w:p>
                  </w:txbxContent>
                </v:textbox>
              </v:shape>
            </w:pict>
          </mc:Fallback>
        </mc:AlternateContent>
      </w:r>
      <w:r>
        <w:rPr>
          <w:sz w:val="24"/>
        </w:rPr>
        <mc:AlternateContent>
          <mc:Choice Requires="wps">
            <w:drawing>
              <wp:anchor distT="0" distB="0" distL="114300" distR="114300" simplePos="0" relativeHeight="251947008" behindDoc="0" locked="0" layoutInCell="1" allowOverlap="1">
                <wp:simplePos x="0" y="0"/>
                <wp:positionH relativeFrom="column">
                  <wp:posOffset>1802765</wp:posOffset>
                </wp:positionH>
                <wp:positionV relativeFrom="paragraph">
                  <wp:posOffset>255270</wp:posOffset>
                </wp:positionV>
                <wp:extent cx="390525" cy="4445"/>
                <wp:effectExtent l="0" t="34290" r="9525" b="37465"/>
                <wp:wrapNone/>
                <wp:docPr id="5" name="直接箭头连接符 5"/>
                <wp:cNvGraphicFramePr/>
                <a:graphic xmlns:a="http://schemas.openxmlformats.org/drawingml/2006/main">
                  <a:graphicData uri="http://schemas.microsoft.com/office/word/2010/wordprocessingShape">
                    <wps:wsp>
                      <wps:cNvCnPr/>
                      <wps:spPr>
                        <a:xfrm>
                          <a:off x="2210435" y="8321040"/>
                          <a:ext cx="390525" cy="444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41.95pt;margin-top:20.1pt;height:0.35pt;width:30.75pt;z-index:251947008;mso-width-relative:page;mso-height-relative:page;" filled="f" stroked="t" coordsize="21600,21600" o:gfxdata="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JpRHjXAAAACQEAAA8AAAAAAAAAAQAgAAAAIgAA&#10;AGRycy9kb3ducmV2LnhtbFBLAQIUABQAAAAIAIdO4kCXgs8uCQIAANkDAAAOAAAAAAAAAAEAIAAA&#10;ACYBAABkcnMvZTJvRG9jLnhtbFBLBQYAAAAABgAGAFkBAAChBQAAAAA=&#10;">
                <v:fill on="f" focussize="0,0"/>
                <v:stroke weight="1pt" color="#000000 [3213]" joinstyle="round" endarrow="block"/>
                <v:imagedata o:title=""/>
                <o:lock v:ext="edit" aspectratio="f"/>
              </v:shape>
            </w:pict>
          </mc:Fallback>
        </mc:AlternateContent>
      </w:r>
      <w:r>
        <w:rPr>
          <w:sz w:val="24"/>
        </w:rPr>
        <mc:AlternateContent>
          <mc:Choice Requires="wps">
            <w:drawing>
              <wp:anchor distT="0" distB="0" distL="114300" distR="114300" simplePos="0" relativeHeight="251945984" behindDoc="0" locked="0" layoutInCell="1" allowOverlap="1">
                <wp:simplePos x="0" y="0"/>
                <wp:positionH relativeFrom="column">
                  <wp:posOffset>1126490</wp:posOffset>
                </wp:positionH>
                <wp:positionV relativeFrom="paragraph">
                  <wp:posOffset>116840</wp:posOffset>
                </wp:positionV>
                <wp:extent cx="676275" cy="276225"/>
                <wp:effectExtent l="4445" t="4445" r="5080" b="5080"/>
                <wp:wrapNone/>
                <wp:docPr id="2" name="文本框 2"/>
                <wp:cNvGraphicFramePr/>
                <a:graphic xmlns:a="http://schemas.openxmlformats.org/drawingml/2006/main">
                  <a:graphicData uri="http://schemas.microsoft.com/office/word/2010/wordprocessingShape">
                    <wps:wsp>
                      <wps:cNvSpPr txBox="1"/>
                      <wps:spPr>
                        <a:xfrm>
                          <a:off x="1534160" y="8182610"/>
                          <a:ext cx="67627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ADC6A97">
                            <w:pPr>
                              <w:jc w:val="center"/>
                              <w:rPr>
                                <w:rFonts w:hint="eastAsia" w:eastAsia="宋体"/>
                                <w:lang w:eastAsia="zh-CN"/>
                              </w:rPr>
                            </w:pPr>
                            <w:r>
                              <w:rPr>
                                <w:rFonts w:hint="eastAsia"/>
                                <w:lang w:eastAsia="zh-CN"/>
                              </w:rPr>
                              <w:t>盐水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7pt;margin-top:9.2pt;height:21.75pt;width:53.25pt;z-index:251945984;mso-width-relative:page;mso-height-relative:page;" fillcolor="#C7EDCC [3201]" filled="t" stroked="t" coordsize="21600,21600" o:gfxdata="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6YyPaAAAACQEAAA8AAAAAAAAAAQAgAAAAIgAAAGRycy9kb3ducmV2LnhtbFBLAQIU&#10;ABQAAAAIAIdO4kAGMLZLYwIAAMIEAAAOAAAAAAAAAAEAIAAAACkBAABkcnMvZTJvRG9jLnhtbFBL&#10;BQYAAAAABgAGAFkBAAD+BQAAAAA=&#10;">
                <v:fill on="t" focussize="0,0"/>
                <v:stroke weight="0.5pt" color="#000000 [3204]" joinstyle="round"/>
                <v:imagedata o:title=""/>
                <o:lock v:ext="edit" aspectratio="f"/>
                <v:textbox>
                  <w:txbxContent>
                    <w:p w14:paraId="3ADC6A97">
                      <w:pPr>
                        <w:jc w:val="center"/>
                        <w:rPr>
                          <w:rFonts w:hint="eastAsia" w:eastAsia="宋体"/>
                          <w:lang w:eastAsia="zh-CN"/>
                        </w:rPr>
                      </w:pPr>
                      <w:r>
                        <w:rPr>
                          <w:rFonts w:hint="eastAsia"/>
                          <w:lang w:eastAsia="zh-CN"/>
                        </w:rPr>
                        <w:t>盐水</w:t>
                      </w:r>
                    </w:p>
                  </w:txbxContent>
                </v:textbox>
              </v:shape>
            </w:pict>
          </mc:Fallback>
        </mc:AlternateContent>
      </w:r>
      <w:r>
        <w:rPr>
          <w:sz w:val="24"/>
        </w:rPr>
        <mc:AlternateContent>
          <mc:Choice Requires="wps">
            <w:drawing>
              <wp:anchor distT="0" distB="0" distL="114300" distR="114300" simplePos="0" relativeHeight="251948032" behindDoc="0" locked="0" layoutInCell="1" allowOverlap="1">
                <wp:simplePos x="0" y="0"/>
                <wp:positionH relativeFrom="column">
                  <wp:posOffset>2193290</wp:posOffset>
                </wp:positionH>
                <wp:positionV relativeFrom="paragraph">
                  <wp:posOffset>111125</wp:posOffset>
                </wp:positionV>
                <wp:extent cx="951865" cy="276225"/>
                <wp:effectExtent l="4445" t="4445" r="15240" b="5080"/>
                <wp:wrapNone/>
                <wp:docPr id="43" name="文本框 43"/>
                <wp:cNvGraphicFramePr/>
                <a:graphic xmlns:a="http://schemas.openxmlformats.org/drawingml/2006/main">
                  <a:graphicData uri="http://schemas.microsoft.com/office/word/2010/wordprocessingShape">
                    <wps:wsp>
                      <wps:cNvSpPr txBox="1"/>
                      <wps:spPr>
                        <a:xfrm>
                          <a:off x="0" y="0"/>
                          <a:ext cx="95186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93AB4A1">
                            <w:pPr>
                              <w:jc w:val="center"/>
                              <w:rPr>
                                <w:rFonts w:hint="eastAsia" w:eastAsia="宋体"/>
                                <w:lang w:eastAsia="zh-CN"/>
                              </w:rPr>
                            </w:pPr>
                            <w:r>
                              <w:rPr>
                                <w:rFonts w:hint="eastAsia"/>
                                <w:lang w:eastAsia="zh-CN"/>
                              </w:rPr>
                              <w:t>离子交换柱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2.7pt;margin-top:8.75pt;height:21.75pt;width:74.95pt;z-index:251948032;mso-width-relative:page;mso-height-relative:page;" fillcolor="#C7EDCC [3201]" filled="t" stroked="t" coordsize="21600,21600" o:gfxdata="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MqZSvtoAAAAJAQAADwAAAAAAAAABACAAAAAiAAAAZHJzL2Rvd25yZXYueG1sUEsBAhQAFAAAAAgA&#10;h07iQGR4q99cAgAAuAQAAA4AAAAAAAAAAQAgAAAAKQEAAGRycy9lMm9Eb2MueG1sUEsFBgAAAAAG&#10;AAYAWQEAAPcFAAAAAA==&#10;">
                <v:fill on="t" focussize="0,0"/>
                <v:stroke weight="0.5pt" color="#000000 [3204]" joinstyle="round"/>
                <v:imagedata o:title=""/>
                <o:lock v:ext="edit" aspectratio="f"/>
                <v:textbox>
                  <w:txbxContent>
                    <w:p w14:paraId="193AB4A1">
                      <w:pPr>
                        <w:jc w:val="center"/>
                        <w:rPr>
                          <w:rFonts w:hint="eastAsia" w:eastAsia="宋体"/>
                          <w:lang w:eastAsia="zh-CN"/>
                        </w:rPr>
                      </w:pPr>
                      <w:r>
                        <w:rPr>
                          <w:rFonts w:hint="eastAsia"/>
                          <w:lang w:eastAsia="zh-CN"/>
                        </w:rPr>
                        <w:t>离子交换柱</w:t>
                      </w:r>
                    </w:p>
                  </w:txbxContent>
                </v:textbox>
              </v:shape>
            </w:pict>
          </mc:Fallback>
        </mc:AlternateContent>
      </w:r>
    </w:p>
    <w:p w14:paraId="68775C72">
      <w:pPr>
        <w:tabs>
          <w:tab w:val="left" w:pos="4590"/>
          <w:tab w:val="left" w:pos="6525"/>
        </w:tabs>
        <w:spacing w:line="360" w:lineRule="auto"/>
        <w:jc w:val="center"/>
        <w:rPr>
          <w:color w:val="auto"/>
          <w:sz w:val="24"/>
        </w:rPr>
      </w:pPr>
    </w:p>
    <w:p w14:paraId="0B9B5C4A">
      <w:pPr>
        <w:pStyle w:val="283"/>
        <w:snapToGrid w:val="0"/>
        <w:jc w:val="center"/>
        <w:rPr>
          <w:bCs/>
          <w:color w:val="auto"/>
        </w:rPr>
      </w:pPr>
      <w:r>
        <w:rPr>
          <w:bCs/>
          <w:color w:val="auto"/>
        </w:rPr>
        <w:t>图</w:t>
      </w:r>
      <w:r>
        <w:rPr>
          <w:rFonts w:hint="eastAsia"/>
          <w:bCs/>
          <w:color w:val="auto"/>
          <w:lang w:val="en-US" w:eastAsia="zh-CN"/>
        </w:rPr>
        <w:t xml:space="preserve">3.3-5 </w:t>
      </w:r>
      <w:r>
        <w:rPr>
          <w:bCs/>
          <w:color w:val="auto"/>
        </w:rPr>
        <w:t xml:space="preserve"> </w:t>
      </w:r>
      <w:r>
        <w:rPr>
          <w:rFonts w:hint="eastAsia"/>
          <w:bCs/>
          <w:color w:val="auto"/>
        </w:rPr>
        <w:t>反冲洗</w:t>
      </w:r>
      <w:r>
        <w:rPr>
          <w:bCs/>
          <w:color w:val="auto"/>
        </w:rPr>
        <w:t>工艺流程及排污节点图</w:t>
      </w:r>
    </w:p>
    <w:p w14:paraId="38D42532">
      <w:pPr>
        <w:tabs>
          <w:tab w:val="left" w:pos="4590"/>
          <w:tab w:val="left" w:pos="6525"/>
        </w:tabs>
        <w:spacing w:line="360" w:lineRule="auto"/>
        <w:ind w:firstLine="480" w:firstLineChars="200"/>
        <w:rPr>
          <w:color w:val="auto"/>
          <w:sz w:val="24"/>
        </w:rPr>
      </w:pPr>
      <w:r>
        <w:rPr>
          <w:color w:val="auto"/>
          <w:sz w:val="24"/>
        </w:rPr>
        <w:t>当出水达到一定水量时，离子交换树脂会因吸附钙、镁离子达到饱和而失效，失去软化的能力，须退出运行进行再生。新鲜水从树脂层底部进入，使树脂松散，再生则通过工业盐水由树脂层由顶部进入，使树脂充分还原，在从树脂层顶部通入新鲜水冲洗。再生反应如下：</w:t>
      </w:r>
    </w:p>
    <w:p w14:paraId="4A25F444">
      <w:pPr>
        <w:tabs>
          <w:tab w:val="left" w:pos="4590"/>
          <w:tab w:val="left" w:pos="6525"/>
        </w:tabs>
        <w:spacing w:line="360" w:lineRule="auto"/>
        <w:ind w:firstLine="480" w:firstLineChars="200"/>
        <w:rPr>
          <w:color w:val="auto"/>
          <w:sz w:val="24"/>
        </w:rPr>
      </w:pPr>
      <w:r>
        <w:rPr>
          <w:color w:val="auto"/>
          <w:sz w:val="24"/>
        </w:rPr>
        <w:t>R</w:t>
      </w:r>
      <w:r>
        <w:rPr>
          <w:color w:val="auto"/>
          <w:sz w:val="24"/>
          <w:vertAlign w:val="subscript"/>
        </w:rPr>
        <w:t>2</w:t>
      </w:r>
      <w:r>
        <w:rPr>
          <w:color w:val="auto"/>
          <w:sz w:val="24"/>
        </w:rPr>
        <w:t>Ca+2NaCl=2RNa+CaCl</w:t>
      </w:r>
      <w:r>
        <w:rPr>
          <w:color w:val="auto"/>
          <w:sz w:val="24"/>
          <w:vertAlign w:val="subscript"/>
        </w:rPr>
        <w:t>2</w:t>
      </w:r>
    </w:p>
    <w:p w14:paraId="49038862">
      <w:pPr>
        <w:tabs>
          <w:tab w:val="left" w:pos="4590"/>
          <w:tab w:val="left" w:pos="6525"/>
        </w:tabs>
        <w:spacing w:line="360" w:lineRule="auto"/>
        <w:ind w:firstLine="480" w:firstLineChars="200"/>
        <w:rPr>
          <w:color w:val="auto"/>
          <w:sz w:val="24"/>
        </w:rPr>
      </w:pPr>
      <w:r>
        <w:rPr>
          <w:color w:val="auto"/>
          <w:sz w:val="24"/>
        </w:rPr>
        <w:t>R</w:t>
      </w:r>
      <w:r>
        <w:rPr>
          <w:color w:val="auto"/>
          <w:sz w:val="24"/>
          <w:vertAlign w:val="subscript"/>
        </w:rPr>
        <w:t>2</w:t>
      </w:r>
      <w:r>
        <w:rPr>
          <w:color w:val="auto"/>
          <w:sz w:val="24"/>
        </w:rPr>
        <w:t>Mg+2NaCl=2RNa+MgCl</w:t>
      </w:r>
      <w:r>
        <w:rPr>
          <w:color w:val="auto"/>
          <w:sz w:val="24"/>
          <w:vertAlign w:val="subscript"/>
        </w:rPr>
        <w:t>2</w:t>
      </w:r>
    </w:p>
    <w:p w14:paraId="438D7405">
      <w:pPr>
        <w:spacing w:line="360" w:lineRule="auto"/>
        <w:ind w:firstLine="480" w:firstLineChars="200"/>
        <w:textAlignment w:val="baseline"/>
        <w:rPr>
          <w:color w:val="auto"/>
          <w:sz w:val="24"/>
        </w:rPr>
      </w:pPr>
      <w:r>
        <w:rPr>
          <w:color w:val="auto"/>
          <w:sz w:val="24"/>
        </w:rPr>
        <w:t>项目软化水设备由自动交换器自动控制树脂再生，生产过程中会产生少量含盐废水，废水中主要含有置换出的CaCl</w:t>
      </w:r>
      <w:r>
        <w:rPr>
          <w:color w:val="auto"/>
          <w:sz w:val="24"/>
          <w:vertAlign w:val="subscript"/>
        </w:rPr>
        <w:t>2</w:t>
      </w:r>
      <w:r>
        <w:rPr>
          <w:color w:val="auto"/>
          <w:sz w:val="24"/>
        </w:rPr>
        <w:t>，MgCl</w:t>
      </w:r>
      <w:r>
        <w:rPr>
          <w:color w:val="auto"/>
          <w:sz w:val="24"/>
          <w:vertAlign w:val="subscript"/>
        </w:rPr>
        <w:t>2</w:t>
      </w:r>
      <w:r>
        <w:rPr>
          <w:color w:val="auto"/>
          <w:sz w:val="24"/>
        </w:rPr>
        <w:t>及未消耗的NaCl。</w:t>
      </w:r>
    </w:p>
    <w:p w14:paraId="0D10FE10">
      <w:pPr>
        <w:pStyle w:val="35"/>
        <w:numPr>
          <w:ilvl w:val="0"/>
          <w:numId w:val="0"/>
        </w:numPr>
        <w:spacing w:line="360" w:lineRule="auto"/>
        <w:ind w:firstLine="480" w:firstLineChars="200"/>
        <w:rPr>
          <w:rFonts w:hint="eastAsia"/>
          <w:bCs/>
          <w:color w:val="auto"/>
          <w:sz w:val="24"/>
          <w:szCs w:val="24"/>
          <w:lang w:eastAsia="zh-CN"/>
        </w:rPr>
      </w:pPr>
      <w:r>
        <w:rPr>
          <w:rFonts w:hint="eastAsia" w:ascii="Times New Roman" w:hAnsi="Times New Roman" w:eastAsia="宋体" w:cs="Times New Roman"/>
          <w:bCs/>
          <w:color w:val="auto"/>
          <w:kern w:val="2"/>
          <w:sz w:val="24"/>
          <w:szCs w:val="24"/>
          <w:lang w:val="en-US" w:eastAsia="zh-CN" w:bidi="ar-SA"/>
        </w:rPr>
        <w:t>（2）</w:t>
      </w:r>
      <w:r>
        <w:rPr>
          <w:rFonts w:hint="eastAsia"/>
          <w:bCs/>
          <w:color w:val="auto"/>
          <w:sz w:val="24"/>
          <w:szCs w:val="24"/>
          <w:lang w:eastAsia="zh-CN"/>
        </w:rPr>
        <w:t>供热工序</w:t>
      </w:r>
    </w:p>
    <w:p w14:paraId="0A67DFD8">
      <w:pPr>
        <w:pStyle w:val="35"/>
        <w:numPr>
          <w:ilvl w:val="0"/>
          <w:numId w:val="0"/>
        </w:numPr>
        <w:spacing w:line="360" w:lineRule="auto"/>
        <w:ind w:firstLine="480" w:firstLineChars="200"/>
        <w:rPr>
          <w:bCs/>
          <w:color w:val="auto"/>
          <w:sz w:val="24"/>
          <w:szCs w:val="24"/>
        </w:rPr>
      </w:pPr>
      <w:r>
        <w:rPr>
          <w:rFonts w:hint="eastAsia"/>
          <w:bCs/>
          <w:color w:val="auto"/>
          <w:sz w:val="24"/>
          <w:szCs w:val="24"/>
        </w:rPr>
        <w:t>本项目</w:t>
      </w:r>
      <w:r>
        <w:rPr>
          <w:rFonts w:hint="eastAsia"/>
          <w:bCs/>
          <w:color w:val="auto"/>
          <w:sz w:val="24"/>
          <w:szCs w:val="24"/>
          <w:lang w:eastAsia="zh-CN"/>
        </w:rPr>
        <w:t>新建</w:t>
      </w:r>
      <w:r>
        <w:rPr>
          <w:rFonts w:hint="eastAsia"/>
          <w:bCs/>
          <w:color w:val="auto"/>
          <w:sz w:val="24"/>
          <w:szCs w:val="24"/>
          <w:lang w:val="en-US" w:eastAsia="zh-CN"/>
        </w:rPr>
        <w:t>1座锅炉房，内设置1台1.4MW</w:t>
      </w:r>
      <w:r>
        <w:rPr>
          <w:rFonts w:hint="eastAsia"/>
          <w:bCs/>
          <w:color w:val="auto"/>
          <w:sz w:val="24"/>
          <w:szCs w:val="24"/>
          <w:lang w:eastAsia="zh-CN"/>
        </w:rPr>
        <w:t>生物质</w:t>
      </w:r>
      <w:r>
        <w:rPr>
          <w:rFonts w:hint="eastAsia"/>
          <w:bCs/>
          <w:color w:val="auto"/>
          <w:sz w:val="24"/>
          <w:szCs w:val="24"/>
        </w:rPr>
        <w:t>锅炉，</w:t>
      </w:r>
      <w:r>
        <w:rPr>
          <w:rFonts w:hint="eastAsia"/>
          <w:bCs/>
          <w:color w:val="auto"/>
          <w:sz w:val="24"/>
          <w:szCs w:val="24"/>
          <w:lang w:eastAsia="zh-CN"/>
        </w:rPr>
        <w:t>生产热水为门卫、蛋库和办公室冬季供暖，</w:t>
      </w:r>
      <w:r>
        <w:rPr>
          <w:rFonts w:hint="eastAsia"/>
          <w:bCs/>
          <w:color w:val="auto"/>
          <w:sz w:val="24"/>
          <w:szCs w:val="24"/>
        </w:rPr>
        <w:t>锅炉使用</w:t>
      </w:r>
      <w:r>
        <w:rPr>
          <w:rFonts w:hint="eastAsia"/>
          <w:bCs/>
          <w:color w:val="auto"/>
          <w:sz w:val="24"/>
          <w:szCs w:val="24"/>
          <w:lang w:eastAsia="zh-CN"/>
        </w:rPr>
        <w:t>生物质成型燃料</w:t>
      </w:r>
      <w:r>
        <w:rPr>
          <w:rFonts w:hint="eastAsia"/>
          <w:bCs/>
          <w:color w:val="auto"/>
          <w:sz w:val="24"/>
          <w:szCs w:val="24"/>
        </w:rPr>
        <w:t>为燃料。锅炉</w:t>
      </w:r>
      <w:r>
        <w:rPr>
          <w:rFonts w:hint="eastAsia"/>
          <w:bCs/>
          <w:color w:val="auto"/>
          <w:sz w:val="24"/>
          <w:szCs w:val="24"/>
          <w:lang w:eastAsia="zh-CN"/>
        </w:rPr>
        <w:t>产生的热水</w:t>
      </w:r>
      <w:r>
        <w:rPr>
          <w:rFonts w:hint="eastAsia"/>
          <w:bCs/>
          <w:color w:val="auto"/>
          <w:sz w:val="24"/>
          <w:szCs w:val="24"/>
        </w:rPr>
        <w:t>通过</w:t>
      </w:r>
      <w:r>
        <w:rPr>
          <w:rFonts w:hint="eastAsia"/>
          <w:bCs/>
          <w:color w:val="auto"/>
          <w:sz w:val="24"/>
          <w:szCs w:val="24"/>
          <w:lang w:eastAsia="zh-CN"/>
        </w:rPr>
        <w:t>热力管道进行循环供暖，</w:t>
      </w:r>
      <w:r>
        <w:rPr>
          <w:rFonts w:hint="eastAsia"/>
          <w:bCs/>
          <w:color w:val="auto"/>
          <w:sz w:val="24"/>
          <w:szCs w:val="24"/>
        </w:rPr>
        <w:t>损失</w:t>
      </w:r>
      <w:r>
        <w:rPr>
          <w:rFonts w:hint="eastAsia"/>
          <w:bCs/>
          <w:color w:val="auto"/>
          <w:sz w:val="24"/>
          <w:szCs w:val="24"/>
          <w:lang w:eastAsia="zh-CN"/>
        </w:rPr>
        <w:t>水</w:t>
      </w:r>
      <w:r>
        <w:rPr>
          <w:rFonts w:hint="eastAsia"/>
          <w:bCs/>
          <w:color w:val="auto"/>
          <w:sz w:val="24"/>
          <w:szCs w:val="24"/>
        </w:rPr>
        <w:t>量由软化水制备系统制备软化水补充。</w:t>
      </w:r>
      <w:r>
        <w:rPr>
          <w:rFonts w:hint="eastAsia"/>
          <w:bCs/>
          <w:color w:val="auto"/>
          <w:sz w:val="24"/>
          <w:szCs w:val="24"/>
          <w:lang w:val="en-US" w:eastAsia="zh-CN"/>
        </w:rPr>
        <w:t>生物质分别设置</w:t>
      </w:r>
      <w:r>
        <w:rPr>
          <w:rFonts w:hint="eastAsia"/>
          <w:bCs/>
          <w:color w:val="auto"/>
          <w:sz w:val="24"/>
          <w:szCs w:val="24"/>
          <w:lang w:eastAsia="zh-CN"/>
        </w:rPr>
        <w:t>布袋除尘器，处理后的</w:t>
      </w:r>
      <w:r>
        <w:rPr>
          <w:rFonts w:hint="eastAsia"/>
          <w:bCs/>
          <w:color w:val="auto"/>
          <w:sz w:val="24"/>
          <w:szCs w:val="24"/>
        </w:rPr>
        <w:t>废气通过1根</w:t>
      </w:r>
      <w:r>
        <w:rPr>
          <w:rFonts w:hint="eastAsia"/>
          <w:bCs/>
          <w:color w:val="auto"/>
          <w:sz w:val="24"/>
          <w:szCs w:val="24"/>
          <w:highlight w:val="none"/>
          <w:lang w:val="en-US" w:eastAsia="zh-CN"/>
        </w:rPr>
        <w:t>30</w:t>
      </w:r>
      <w:r>
        <w:rPr>
          <w:rFonts w:hint="eastAsia"/>
          <w:bCs/>
          <w:color w:val="auto"/>
          <w:sz w:val="24"/>
          <w:szCs w:val="24"/>
          <w:highlight w:val="none"/>
        </w:rPr>
        <w:t>m</w:t>
      </w:r>
      <w:r>
        <w:rPr>
          <w:rFonts w:hint="eastAsia"/>
          <w:bCs/>
          <w:color w:val="auto"/>
          <w:sz w:val="24"/>
          <w:szCs w:val="24"/>
          <w:lang w:eastAsia="zh-CN"/>
        </w:rPr>
        <w:t>烟囱（</w:t>
      </w:r>
      <w:r>
        <w:rPr>
          <w:rFonts w:hint="eastAsia"/>
          <w:bCs/>
          <w:color w:val="auto"/>
          <w:sz w:val="24"/>
          <w:szCs w:val="24"/>
          <w:lang w:val="en-US" w:eastAsia="zh-CN"/>
        </w:rPr>
        <w:t>DA001</w:t>
      </w:r>
      <w:r>
        <w:rPr>
          <w:rFonts w:hint="eastAsia"/>
          <w:bCs/>
          <w:color w:val="auto"/>
          <w:sz w:val="24"/>
          <w:szCs w:val="24"/>
          <w:lang w:eastAsia="zh-CN"/>
        </w:rPr>
        <w:t>）</w:t>
      </w:r>
      <w:r>
        <w:rPr>
          <w:rFonts w:hint="eastAsia"/>
          <w:bCs/>
          <w:color w:val="auto"/>
          <w:sz w:val="24"/>
          <w:szCs w:val="24"/>
        </w:rPr>
        <w:t>排放。</w:t>
      </w:r>
    </w:p>
    <w:p w14:paraId="52D6C1D3">
      <w:pPr>
        <w:spacing w:line="360" w:lineRule="auto"/>
        <w:textAlignment w:val="baseline"/>
        <w:rPr>
          <w:b/>
          <w:bCs/>
          <w:color w:val="auto"/>
          <w:sz w:val="24"/>
        </w:rPr>
      </w:pPr>
      <w:r>
        <w:rPr>
          <w:rFonts w:hint="eastAsia"/>
          <w:b/>
          <w:bCs/>
          <w:color w:val="auto"/>
          <w:sz w:val="24"/>
          <w:lang w:val="en-US" w:eastAsia="zh-CN"/>
        </w:rPr>
        <w:t>3.3.2.4</w:t>
      </w:r>
      <w:r>
        <w:rPr>
          <w:rFonts w:hint="eastAsia"/>
          <w:b/>
          <w:bCs/>
          <w:color w:val="auto"/>
          <w:sz w:val="24"/>
        </w:rPr>
        <w:t>项目运营期主要污染工序</w:t>
      </w:r>
    </w:p>
    <w:p w14:paraId="446D81E6">
      <w:pPr>
        <w:autoSpaceDE w:val="0"/>
        <w:autoSpaceDN w:val="0"/>
        <w:adjustRightInd w:val="0"/>
        <w:ind w:firstLine="826" w:firstLineChars="392"/>
        <w:jc w:val="center"/>
        <w:rPr>
          <w:b/>
          <w:color w:val="auto"/>
          <w:szCs w:val="21"/>
        </w:rPr>
      </w:pPr>
      <w:r>
        <w:rPr>
          <w:b/>
          <w:color w:val="auto"/>
          <w:szCs w:val="21"/>
        </w:rPr>
        <w:t>表</w:t>
      </w:r>
      <w:r>
        <w:rPr>
          <w:rFonts w:hint="eastAsia"/>
          <w:b/>
          <w:color w:val="auto"/>
          <w:szCs w:val="21"/>
          <w:lang w:val="en-US" w:eastAsia="zh-CN"/>
        </w:rPr>
        <w:t>3.3-1</w:t>
      </w:r>
      <w:r>
        <w:rPr>
          <w:b/>
          <w:color w:val="auto"/>
          <w:szCs w:val="21"/>
        </w:rPr>
        <w:t xml:space="preserve">    项目主要污染工序</w:t>
      </w:r>
    </w:p>
    <w:tbl>
      <w:tblPr>
        <w:tblStyle w:val="5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38"/>
        <w:gridCol w:w="1094"/>
        <w:gridCol w:w="932"/>
        <w:gridCol w:w="1394"/>
        <w:gridCol w:w="4365"/>
      </w:tblGrid>
      <w:tr w14:paraId="4BB9B3F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9" w:type="pct"/>
            <w:tcBorders>
              <w:tl2br w:val="nil"/>
              <w:tr2bl w:val="nil"/>
            </w:tcBorders>
            <w:vAlign w:val="center"/>
          </w:tcPr>
          <w:p w14:paraId="7830FDD9">
            <w:pPr>
              <w:pStyle w:val="29"/>
              <w:jc w:val="center"/>
              <w:rPr>
                <w:rFonts w:ascii="Times New Roman" w:hAnsi="Times New Roman"/>
                <w:b/>
                <w:color w:val="auto"/>
              </w:rPr>
            </w:pPr>
            <w:r>
              <w:rPr>
                <w:rFonts w:ascii="Times New Roman" w:hAnsi="Times New Roman"/>
                <w:b/>
                <w:color w:val="auto"/>
              </w:rPr>
              <w:t>类别</w:t>
            </w:r>
          </w:p>
        </w:tc>
        <w:tc>
          <w:tcPr>
            <w:tcW w:w="649" w:type="pct"/>
            <w:tcBorders>
              <w:tl2br w:val="nil"/>
              <w:tr2bl w:val="nil"/>
            </w:tcBorders>
            <w:vAlign w:val="center"/>
          </w:tcPr>
          <w:p w14:paraId="17DF00CF">
            <w:pPr>
              <w:pStyle w:val="29"/>
              <w:jc w:val="center"/>
              <w:rPr>
                <w:rFonts w:ascii="Times New Roman" w:hAnsi="Times New Roman"/>
                <w:b/>
                <w:color w:val="auto"/>
              </w:rPr>
            </w:pPr>
            <w:r>
              <w:rPr>
                <w:rFonts w:ascii="Times New Roman" w:hAnsi="Times New Roman"/>
                <w:b/>
                <w:color w:val="auto"/>
              </w:rPr>
              <w:t>性质</w:t>
            </w:r>
          </w:p>
        </w:tc>
        <w:tc>
          <w:tcPr>
            <w:tcW w:w="553" w:type="pct"/>
            <w:tcBorders>
              <w:tl2br w:val="nil"/>
              <w:tr2bl w:val="nil"/>
            </w:tcBorders>
            <w:vAlign w:val="center"/>
          </w:tcPr>
          <w:p w14:paraId="49095D2B">
            <w:pPr>
              <w:pStyle w:val="29"/>
              <w:jc w:val="center"/>
              <w:rPr>
                <w:rFonts w:ascii="Times New Roman" w:hAnsi="Times New Roman"/>
                <w:b/>
                <w:color w:val="auto"/>
              </w:rPr>
            </w:pPr>
            <w:r>
              <w:rPr>
                <w:rFonts w:ascii="Times New Roman" w:hAnsi="Times New Roman"/>
                <w:b/>
                <w:color w:val="auto"/>
              </w:rPr>
              <w:t>污染源</w:t>
            </w:r>
          </w:p>
        </w:tc>
        <w:tc>
          <w:tcPr>
            <w:tcW w:w="826" w:type="pct"/>
            <w:tcBorders>
              <w:tl2br w:val="nil"/>
              <w:tr2bl w:val="nil"/>
            </w:tcBorders>
            <w:vAlign w:val="center"/>
          </w:tcPr>
          <w:p w14:paraId="1D489956">
            <w:pPr>
              <w:pStyle w:val="29"/>
              <w:jc w:val="center"/>
              <w:rPr>
                <w:rFonts w:ascii="Times New Roman" w:hAnsi="Times New Roman"/>
                <w:b/>
                <w:color w:val="auto"/>
              </w:rPr>
            </w:pPr>
            <w:r>
              <w:rPr>
                <w:rFonts w:ascii="Times New Roman" w:hAnsi="Times New Roman"/>
                <w:b/>
                <w:color w:val="auto"/>
              </w:rPr>
              <w:t>污染因子</w:t>
            </w:r>
          </w:p>
        </w:tc>
        <w:tc>
          <w:tcPr>
            <w:tcW w:w="2590" w:type="pct"/>
            <w:tcBorders>
              <w:tl2br w:val="nil"/>
              <w:tr2bl w:val="nil"/>
            </w:tcBorders>
            <w:vAlign w:val="center"/>
          </w:tcPr>
          <w:p w14:paraId="64B9A372">
            <w:pPr>
              <w:pStyle w:val="29"/>
              <w:jc w:val="center"/>
              <w:rPr>
                <w:rFonts w:ascii="Times New Roman" w:hAnsi="Times New Roman"/>
                <w:b/>
                <w:color w:val="auto"/>
              </w:rPr>
            </w:pPr>
            <w:r>
              <w:rPr>
                <w:rFonts w:ascii="Times New Roman" w:hAnsi="Times New Roman"/>
                <w:b/>
                <w:color w:val="auto"/>
              </w:rPr>
              <w:t>拟处理措施</w:t>
            </w:r>
          </w:p>
        </w:tc>
      </w:tr>
      <w:tr w14:paraId="0A42534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restart"/>
            <w:tcBorders>
              <w:tl2br w:val="nil"/>
              <w:tr2bl w:val="nil"/>
            </w:tcBorders>
            <w:vAlign w:val="center"/>
          </w:tcPr>
          <w:p w14:paraId="2640963B">
            <w:pPr>
              <w:widowControl/>
              <w:jc w:val="center"/>
              <w:rPr>
                <w:color w:val="auto"/>
              </w:rPr>
            </w:pPr>
            <w:r>
              <w:rPr>
                <w:rFonts w:hint="eastAsia"/>
                <w:color w:val="auto"/>
              </w:rPr>
              <w:t>大气污染物</w:t>
            </w:r>
          </w:p>
        </w:tc>
        <w:tc>
          <w:tcPr>
            <w:tcW w:w="649" w:type="pct"/>
            <w:vMerge w:val="restart"/>
            <w:tcBorders>
              <w:tl2br w:val="nil"/>
              <w:tr2bl w:val="nil"/>
            </w:tcBorders>
            <w:vAlign w:val="center"/>
          </w:tcPr>
          <w:p w14:paraId="664C9E65">
            <w:pPr>
              <w:widowControl/>
              <w:jc w:val="center"/>
              <w:rPr>
                <w:color w:val="auto"/>
              </w:rPr>
            </w:pPr>
            <w:r>
              <w:rPr>
                <w:rFonts w:hint="eastAsia"/>
                <w:color w:val="auto"/>
              </w:rPr>
              <w:t>有组织</w:t>
            </w:r>
          </w:p>
        </w:tc>
        <w:tc>
          <w:tcPr>
            <w:tcW w:w="553" w:type="pct"/>
            <w:tcBorders>
              <w:tl2br w:val="nil"/>
              <w:tr2bl w:val="nil"/>
            </w:tcBorders>
            <w:vAlign w:val="center"/>
          </w:tcPr>
          <w:p w14:paraId="28186BE9">
            <w:pPr>
              <w:adjustRightInd w:val="0"/>
              <w:jc w:val="center"/>
              <w:textAlignment w:val="baseline"/>
              <w:rPr>
                <w:rFonts w:hint="eastAsia" w:eastAsia="宋体"/>
                <w:color w:val="auto"/>
                <w:szCs w:val="21"/>
                <w:lang w:eastAsia="zh-CN"/>
              </w:rPr>
            </w:pPr>
            <w:r>
              <w:rPr>
                <w:rFonts w:hint="eastAsia"/>
                <w:color w:val="auto"/>
                <w:szCs w:val="21"/>
                <w:lang w:eastAsia="zh-CN"/>
              </w:rPr>
              <w:t>生物质锅炉</w:t>
            </w:r>
          </w:p>
        </w:tc>
        <w:tc>
          <w:tcPr>
            <w:tcW w:w="826" w:type="pct"/>
            <w:tcBorders>
              <w:tl2br w:val="nil"/>
              <w:tr2bl w:val="nil"/>
            </w:tcBorders>
            <w:vAlign w:val="center"/>
          </w:tcPr>
          <w:p w14:paraId="19A3B6FF">
            <w:pPr>
              <w:pStyle w:val="29"/>
              <w:jc w:val="center"/>
              <w:rPr>
                <w:rFonts w:ascii="Times New Roman" w:hAnsi="Times New Roman"/>
                <w:color w:val="auto"/>
              </w:rPr>
            </w:pPr>
            <w:r>
              <w:rPr>
                <w:rFonts w:hint="eastAsia" w:ascii="Times New Roman" w:hAnsi="Times New Roman"/>
                <w:color w:val="auto"/>
                <w:lang w:eastAsia="zh-CN"/>
              </w:rPr>
              <w:t>烟尘</w:t>
            </w:r>
            <w:r>
              <w:rPr>
                <w:rFonts w:hint="eastAsia" w:ascii="Times New Roman" w:hAnsi="Times New Roman"/>
                <w:color w:val="auto"/>
              </w:rPr>
              <w:t>、SO</w:t>
            </w:r>
            <w:r>
              <w:rPr>
                <w:rFonts w:hint="eastAsia" w:ascii="Times New Roman" w:hAnsi="Times New Roman"/>
                <w:color w:val="auto"/>
                <w:vertAlign w:val="subscript"/>
              </w:rPr>
              <w:t>2</w:t>
            </w:r>
            <w:r>
              <w:rPr>
                <w:rFonts w:hint="eastAsia" w:ascii="Times New Roman" w:hAnsi="Times New Roman"/>
                <w:color w:val="auto"/>
              </w:rPr>
              <w:t>、NOx</w:t>
            </w:r>
          </w:p>
        </w:tc>
        <w:tc>
          <w:tcPr>
            <w:tcW w:w="2590" w:type="pct"/>
            <w:tcBorders>
              <w:tl2br w:val="nil"/>
              <w:tr2bl w:val="nil"/>
            </w:tcBorders>
            <w:vAlign w:val="center"/>
          </w:tcPr>
          <w:p w14:paraId="1BEE55AD">
            <w:pPr>
              <w:jc w:val="center"/>
              <w:rPr>
                <w:rFonts w:hint="default" w:eastAsia="宋体"/>
                <w:color w:val="auto"/>
                <w:szCs w:val="21"/>
                <w:lang w:val="en-US" w:eastAsia="zh-CN"/>
              </w:rPr>
            </w:pPr>
            <w:r>
              <w:rPr>
                <w:rFonts w:hint="eastAsia"/>
                <w:color w:val="auto"/>
                <w:szCs w:val="21"/>
                <w:lang w:val="en-US" w:eastAsia="zh-CN"/>
              </w:rPr>
              <w:t>锅炉采用低氮燃烧法，生物质锅炉设置1台布袋除尘器，处理后的废气通过1根30</w:t>
            </w:r>
            <w:r>
              <w:rPr>
                <w:rFonts w:hint="eastAsia"/>
                <w:color w:val="auto"/>
                <w:szCs w:val="21"/>
              </w:rPr>
              <w:t>m高</w:t>
            </w:r>
            <w:r>
              <w:rPr>
                <w:rFonts w:hint="eastAsia"/>
                <w:color w:val="auto"/>
                <w:szCs w:val="21"/>
                <w:lang w:eastAsia="zh-CN"/>
              </w:rPr>
              <w:t>烟囱（</w:t>
            </w:r>
            <w:r>
              <w:rPr>
                <w:rFonts w:hint="eastAsia"/>
                <w:color w:val="auto"/>
                <w:szCs w:val="21"/>
                <w:lang w:val="en-US" w:eastAsia="zh-CN"/>
              </w:rPr>
              <w:t>DA001</w:t>
            </w:r>
            <w:r>
              <w:rPr>
                <w:rFonts w:hint="eastAsia"/>
                <w:color w:val="auto"/>
                <w:szCs w:val="21"/>
                <w:lang w:eastAsia="zh-CN"/>
              </w:rPr>
              <w:t>）排放</w:t>
            </w:r>
          </w:p>
        </w:tc>
      </w:tr>
      <w:tr w14:paraId="5F4A57B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0872AA59">
            <w:pPr>
              <w:widowControl/>
              <w:jc w:val="center"/>
              <w:rPr>
                <w:color w:val="auto"/>
              </w:rPr>
            </w:pPr>
          </w:p>
        </w:tc>
        <w:tc>
          <w:tcPr>
            <w:tcW w:w="649" w:type="pct"/>
            <w:vMerge w:val="continue"/>
            <w:tcBorders>
              <w:tl2br w:val="nil"/>
              <w:tr2bl w:val="nil"/>
            </w:tcBorders>
            <w:vAlign w:val="center"/>
          </w:tcPr>
          <w:p w14:paraId="1A1BDE53">
            <w:pPr>
              <w:widowControl/>
              <w:jc w:val="center"/>
              <w:rPr>
                <w:color w:val="auto"/>
              </w:rPr>
            </w:pPr>
          </w:p>
        </w:tc>
        <w:tc>
          <w:tcPr>
            <w:tcW w:w="553" w:type="pct"/>
            <w:tcBorders>
              <w:tl2br w:val="nil"/>
              <w:tr2bl w:val="nil"/>
            </w:tcBorders>
            <w:vAlign w:val="center"/>
          </w:tcPr>
          <w:p w14:paraId="0DB366DA">
            <w:pPr>
              <w:pStyle w:val="29"/>
              <w:jc w:val="center"/>
              <w:rPr>
                <w:rFonts w:ascii="Times New Roman" w:hAnsi="Times New Roman"/>
                <w:color w:val="auto"/>
              </w:rPr>
            </w:pPr>
            <w:r>
              <w:rPr>
                <w:rFonts w:ascii="Times New Roman" w:hAnsi="Times New Roman"/>
                <w:color w:val="auto"/>
              </w:rPr>
              <w:t>食堂</w:t>
            </w:r>
          </w:p>
        </w:tc>
        <w:tc>
          <w:tcPr>
            <w:tcW w:w="826" w:type="pct"/>
            <w:tcBorders>
              <w:tl2br w:val="nil"/>
              <w:tr2bl w:val="nil"/>
            </w:tcBorders>
            <w:vAlign w:val="center"/>
          </w:tcPr>
          <w:p w14:paraId="322C1D63">
            <w:pPr>
              <w:pStyle w:val="29"/>
              <w:jc w:val="center"/>
              <w:rPr>
                <w:rFonts w:ascii="Times New Roman" w:hAnsi="Times New Roman"/>
                <w:color w:val="auto"/>
              </w:rPr>
            </w:pPr>
            <w:r>
              <w:rPr>
                <w:rFonts w:ascii="Times New Roman" w:hAnsi="Times New Roman"/>
                <w:color w:val="auto"/>
              </w:rPr>
              <w:t>食堂油烟</w:t>
            </w:r>
          </w:p>
        </w:tc>
        <w:tc>
          <w:tcPr>
            <w:tcW w:w="2590" w:type="pct"/>
            <w:tcBorders>
              <w:tl2br w:val="nil"/>
              <w:tr2bl w:val="nil"/>
            </w:tcBorders>
            <w:vAlign w:val="center"/>
          </w:tcPr>
          <w:p w14:paraId="1AD0E9FD">
            <w:pPr>
              <w:pStyle w:val="29"/>
              <w:jc w:val="center"/>
              <w:rPr>
                <w:rFonts w:ascii="Times New Roman" w:hAnsi="Times New Roman"/>
                <w:b/>
                <w:color w:val="auto"/>
              </w:rPr>
            </w:pPr>
            <w:r>
              <w:rPr>
                <w:rFonts w:ascii="Times New Roman" w:hAnsi="Times New Roman"/>
                <w:color w:val="auto"/>
              </w:rPr>
              <w:t>油烟净化装置，</w:t>
            </w:r>
            <w:r>
              <w:rPr>
                <w:rFonts w:hint="eastAsia" w:ascii="Times New Roman" w:hAnsi="Times New Roman"/>
                <w:color w:val="auto"/>
              </w:rPr>
              <w:t>专用</w:t>
            </w:r>
            <w:r>
              <w:rPr>
                <w:rFonts w:ascii="Times New Roman" w:hAnsi="Times New Roman"/>
                <w:color w:val="auto"/>
              </w:rPr>
              <w:t>烟道</w:t>
            </w:r>
            <w:r>
              <w:rPr>
                <w:rFonts w:hint="eastAsia" w:ascii="Times New Roman" w:hAnsi="Times New Roman"/>
                <w:color w:val="auto"/>
                <w:lang w:eastAsia="zh-CN"/>
              </w:rPr>
              <w:t>（</w:t>
            </w:r>
            <w:r>
              <w:rPr>
                <w:rFonts w:hint="eastAsia" w:ascii="Times New Roman" w:hAnsi="Times New Roman"/>
                <w:color w:val="auto"/>
                <w:lang w:val="en-US" w:eastAsia="zh-CN"/>
              </w:rPr>
              <w:t>DA002</w:t>
            </w:r>
            <w:r>
              <w:rPr>
                <w:rFonts w:hint="eastAsia" w:ascii="Times New Roman" w:hAnsi="Times New Roman"/>
                <w:color w:val="auto"/>
                <w:lang w:eastAsia="zh-CN"/>
              </w:rPr>
              <w:t>）</w:t>
            </w:r>
            <w:r>
              <w:rPr>
                <w:rFonts w:ascii="Times New Roman" w:hAnsi="Times New Roman"/>
                <w:color w:val="auto"/>
              </w:rPr>
              <w:t>排放</w:t>
            </w:r>
          </w:p>
        </w:tc>
      </w:tr>
      <w:tr w14:paraId="3AF8C40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4A95C0EF">
            <w:pPr>
              <w:widowControl/>
              <w:jc w:val="center"/>
              <w:rPr>
                <w:color w:val="auto"/>
              </w:rPr>
            </w:pPr>
          </w:p>
        </w:tc>
        <w:tc>
          <w:tcPr>
            <w:tcW w:w="649" w:type="pct"/>
            <w:vMerge w:val="restart"/>
            <w:tcBorders>
              <w:tl2br w:val="nil"/>
              <w:tr2bl w:val="nil"/>
            </w:tcBorders>
            <w:vAlign w:val="center"/>
          </w:tcPr>
          <w:p w14:paraId="33ACF740">
            <w:pPr>
              <w:widowControl/>
              <w:jc w:val="center"/>
              <w:rPr>
                <w:color w:val="auto"/>
              </w:rPr>
            </w:pPr>
            <w:r>
              <w:rPr>
                <w:color w:val="auto"/>
              </w:rPr>
              <w:t>无组织</w:t>
            </w:r>
          </w:p>
        </w:tc>
        <w:tc>
          <w:tcPr>
            <w:tcW w:w="553" w:type="pct"/>
            <w:tcBorders>
              <w:tl2br w:val="nil"/>
              <w:tr2bl w:val="nil"/>
            </w:tcBorders>
            <w:vAlign w:val="center"/>
          </w:tcPr>
          <w:p w14:paraId="139A7406">
            <w:pPr>
              <w:pStyle w:val="29"/>
              <w:jc w:val="center"/>
              <w:rPr>
                <w:rFonts w:ascii="Times New Roman" w:hAnsi="Times New Roman"/>
                <w:color w:val="auto"/>
              </w:rPr>
            </w:pPr>
            <w:r>
              <w:rPr>
                <w:rFonts w:hint="eastAsia" w:ascii="Times New Roman" w:hAnsi="Times New Roman"/>
                <w:color w:val="auto"/>
              </w:rPr>
              <w:t>蛋鸡鸡舍</w:t>
            </w:r>
          </w:p>
        </w:tc>
        <w:tc>
          <w:tcPr>
            <w:tcW w:w="826" w:type="pct"/>
            <w:tcBorders>
              <w:tl2br w:val="nil"/>
              <w:tr2bl w:val="nil"/>
            </w:tcBorders>
            <w:vAlign w:val="center"/>
          </w:tcPr>
          <w:p w14:paraId="4AEB5906">
            <w:pPr>
              <w:jc w:val="center"/>
              <w:rPr>
                <w:color w:val="auto"/>
              </w:rPr>
            </w:pPr>
            <w:r>
              <w:rPr>
                <w:color w:val="auto"/>
              </w:rPr>
              <w:t>NH</w:t>
            </w:r>
            <w:r>
              <w:rPr>
                <w:color w:val="auto"/>
                <w:vertAlign w:val="subscript"/>
              </w:rPr>
              <w:t>3</w:t>
            </w:r>
            <w:r>
              <w:rPr>
                <w:color w:val="auto"/>
              </w:rPr>
              <w:t>、H</w:t>
            </w:r>
            <w:r>
              <w:rPr>
                <w:color w:val="auto"/>
                <w:vertAlign w:val="subscript"/>
              </w:rPr>
              <w:t>2</w:t>
            </w:r>
            <w:r>
              <w:rPr>
                <w:color w:val="auto"/>
              </w:rPr>
              <w:t>S</w:t>
            </w:r>
            <w:r>
              <w:rPr>
                <w:rFonts w:hint="eastAsia"/>
                <w:color w:val="auto"/>
              </w:rPr>
              <w:t>、臭气浓度</w:t>
            </w:r>
          </w:p>
        </w:tc>
        <w:tc>
          <w:tcPr>
            <w:tcW w:w="2590" w:type="pct"/>
            <w:tcBorders>
              <w:tl2br w:val="nil"/>
              <w:tr2bl w:val="nil"/>
            </w:tcBorders>
            <w:vAlign w:val="center"/>
          </w:tcPr>
          <w:p w14:paraId="53BE0633">
            <w:pPr>
              <w:pStyle w:val="29"/>
              <w:jc w:val="center"/>
              <w:rPr>
                <w:rFonts w:ascii="Times New Roman" w:hAnsi="Times New Roman"/>
                <w:b/>
                <w:color w:val="auto"/>
              </w:rPr>
            </w:pPr>
            <w:r>
              <w:rPr>
                <w:color w:val="auto"/>
                <w:kern w:val="0"/>
                <w:szCs w:val="21"/>
              </w:rPr>
              <w:t>干</w:t>
            </w:r>
            <w:r>
              <w:rPr>
                <w:rFonts w:hint="eastAsia" w:ascii="Times New Roman" w:hAnsi="Times New Roman"/>
                <w:color w:val="auto"/>
              </w:rPr>
              <w:t>选用益生菌配方饲料，及时清理粪便，定期喷洒除臭剂</w:t>
            </w:r>
          </w:p>
        </w:tc>
      </w:tr>
      <w:tr w14:paraId="6ED7E3E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3642F29A">
            <w:pPr>
              <w:widowControl/>
              <w:jc w:val="center"/>
              <w:rPr>
                <w:color w:val="auto"/>
              </w:rPr>
            </w:pPr>
          </w:p>
        </w:tc>
        <w:tc>
          <w:tcPr>
            <w:tcW w:w="649" w:type="pct"/>
            <w:vMerge w:val="continue"/>
            <w:tcBorders>
              <w:tl2br w:val="nil"/>
              <w:tr2bl w:val="nil"/>
            </w:tcBorders>
            <w:vAlign w:val="center"/>
          </w:tcPr>
          <w:p w14:paraId="57537695">
            <w:pPr>
              <w:widowControl/>
              <w:jc w:val="center"/>
              <w:rPr>
                <w:color w:val="auto"/>
              </w:rPr>
            </w:pPr>
          </w:p>
        </w:tc>
        <w:tc>
          <w:tcPr>
            <w:tcW w:w="553" w:type="pct"/>
            <w:tcBorders>
              <w:tl2br w:val="nil"/>
              <w:tr2bl w:val="nil"/>
            </w:tcBorders>
            <w:vAlign w:val="center"/>
          </w:tcPr>
          <w:p w14:paraId="60BD9B12">
            <w:pPr>
              <w:pStyle w:val="29"/>
              <w:jc w:val="center"/>
              <w:rPr>
                <w:rFonts w:hint="default" w:ascii="Times New Roman" w:hAnsi="Times New Roman" w:eastAsia="宋体"/>
                <w:color w:val="auto"/>
                <w:lang w:val="en-US" w:eastAsia="zh-CN"/>
              </w:rPr>
            </w:pPr>
            <w:r>
              <w:rPr>
                <w:rFonts w:hint="eastAsia" w:ascii="Times New Roman" w:hAnsi="Times New Roman"/>
                <w:color w:val="auto"/>
                <w:lang w:val="en-US" w:eastAsia="zh-CN"/>
              </w:rPr>
              <w:t>临时储粪场、废水收集池</w:t>
            </w:r>
          </w:p>
        </w:tc>
        <w:tc>
          <w:tcPr>
            <w:tcW w:w="826" w:type="pct"/>
            <w:tcBorders>
              <w:tl2br w:val="nil"/>
              <w:tr2bl w:val="nil"/>
            </w:tcBorders>
            <w:vAlign w:val="center"/>
          </w:tcPr>
          <w:p w14:paraId="4BC0EBFA">
            <w:pPr>
              <w:jc w:val="center"/>
              <w:rPr>
                <w:color w:val="auto"/>
              </w:rPr>
            </w:pPr>
            <w:r>
              <w:rPr>
                <w:color w:val="auto"/>
              </w:rPr>
              <w:t>NH</w:t>
            </w:r>
            <w:r>
              <w:rPr>
                <w:color w:val="auto"/>
                <w:vertAlign w:val="subscript"/>
              </w:rPr>
              <w:t>3</w:t>
            </w:r>
            <w:r>
              <w:rPr>
                <w:color w:val="auto"/>
              </w:rPr>
              <w:t>、H</w:t>
            </w:r>
            <w:r>
              <w:rPr>
                <w:color w:val="auto"/>
                <w:vertAlign w:val="subscript"/>
              </w:rPr>
              <w:t>2</w:t>
            </w:r>
            <w:r>
              <w:rPr>
                <w:color w:val="auto"/>
              </w:rPr>
              <w:t>S</w:t>
            </w:r>
            <w:r>
              <w:rPr>
                <w:rFonts w:hint="eastAsia"/>
                <w:color w:val="auto"/>
              </w:rPr>
              <w:t>、臭气浓度</w:t>
            </w:r>
          </w:p>
        </w:tc>
        <w:tc>
          <w:tcPr>
            <w:tcW w:w="2590" w:type="pct"/>
            <w:tcBorders>
              <w:tl2br w:val="nil"/>
              <w:tr2bl w:val="nil"/>
            </w:tcBorders>
            <w:vAlign w:val="center"/>
          </w:tcPr>
          <w:p w14:paraId="3954DE2C">
            <w:pPr>
              <w:pStyle w:val="29"/>
              <w:jc w:val="center"/>
              <w:rPr>
                <w:color w:val="auto"/>
                <w:kern w:val="0"/>
                <w:szCs w:val="21"/>
              </w:rPr>
            </w:pPr>
            <w:r>
              <w:rPr>
                <w:rFonts w:hint="eastAsia" w:ascii="Times New Roman" w:hAnsi="Times New Roman"/>
                <w:color w:val="auto"/>
                <w:lang w:eastAsia="zh-CN"/>
              </w:rPr>
              <w:t>临时储粪场设置为封闭结构四周做围堰，</w:t>
            </w:r>
            <w:r>
              <w:rPr>
                <w:rFonts w:ascii="Times New Roman" w:hAnsi="Times New Roman"/>
                <w:color w:val="auto"/>
              </w:rPr>
              <w:t>喷淋生物除臭剂，</w:t>
            </w:r>
            <w:r>
              <w:rPr>
                <w:rFonts w:hint="eastAsia" w:ascii="Times New Roman" w:hAnsi="Times New Roman"/>
                <w:color w:val="auto"/>
              </w:rPr>
              <w:t>厂区</w:t>
            </w:r>
            <w:r>
              <w:rPr>
                <w:rFonts w:ascii="Times New Roman" w:hAnsi="Times New Roman"/>
                <w:color w:val="auto"/>
              </w:rPr>
              <w:t>周围加强绿化</w:t>
            </w:r>
            <w:r>
              <w:rPr>
                <w:rFonts w:hint="eastAsia" w:ascii="Times New Roman" w:hAnsi="Times New Roman"/>
                <w:color w:val="auto"/>
                <w:lang w:eastAsia="zh-CN"/>
              </w:rPr>
              <w:t>；废水收集池</w:t>
            </w:r>
            <w:r>
              <w:rPr>
                <w:rFonts w:ascii="Times New Roman" w:hAnsi="Times New Roman"/>
                <w:color w:val="auto"/>
              </w:rPr>
              <w:t>采取加盖板密闭措施</w:t>
            </w:r>
          </w:p>
        </w:tc>
      </w:tr>
      <w:tr w14:paraId="3079F1F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restart"/>
            <w:tcBorders>
              <w:tl2br w:val="nil"/>
              <w:tr2bl w:val="nil"/>
            </w:tcBorders>
            <w:vAlign w:val="center"/>
          </w:tcPr>
          <w:p w14:paraId="05EECA14">
            <w:pPr>
              <w:pStyle w:val="29"/>
              <w:jc w:val="center"/>
              <w:rPr>
                <w:rFonts w:ascii="Times New Roman" w:hAnsi="Times New Roman"/>
                <w:color w:val="auto"/>
              </w:rPr>
            </w:pPr>
            <w:r>
              <w:rPr>
                <w:rFonts w:ascii="Times New Roman" w:hAnsi="Times New Roman"/>
                <w:color w:val="auto"/>
              </w:rPr>
              <w:t>水污染物</w:t>
            </w:r>
          </w:p>
        </w:tc>
        <w:tc>
          <w:tcPr>
            <w:tcW w:w="649" w:type="pct"/>
            <w:tcBorders>
              <w:tl2br w:val="nil"/>
              <w:tr2bl w:val="nil"/>
            </w:tcBorders>
            <w:vAlign w:val="center"/>
          </w:tcPr>
          <w:p w14:paraId="3132D9B9">
            <w:pPr>
              <w:jc w:val="center"/>
              <w:rPr>
                <w:color w:val="auto"/>
              </w:rPr>
            </w:pPr>
            <w:r>
              <w:rPr>
                <w:color w:val="auto"/>
              </w:rPr>
              <w:t>养殖</w:t>
            </w:r>
          </w:p>
        </w:tc>
        <w:tc>
          <w:tcPr>
            <w:tcW w:w="553" w:type="pct"/>
            <w:tcBorders>
              <w:tl2br w:val="nil"/>
              <w:tr2bl w:val="nil"/>
            </w:tcBorders>
            <w:vAlign w:val="center"/>
          </w:tcPr>
          <w:p w14:paraId="56A16A0D">
            <w:pPr>
              <w:pStyle w:val="29"/>
              <w:jc w:val="center"/>
              <w:rPr>
                <w:rFonts w:ascii="Times New Roman" w:hAnsi="Times New Roman"/>
                <w:color w:val="auto"/>
              </w:rPr>
            </w:pPr>
            <w:r>
              <w:rPr>
                <w:rFonts w:ascii="Times New Roman" w:hAnsi="Times New Roman"/>
                <w:color w:val="auto"/>
              </w:rPr>
              <w:t>鸡舍冲洗废水</w:t>
            </w:r>
          </w:p>
        </w:tc>
        <w:tc>
          <w:tcPr>
            <w:tcW w:w="826" w:type="pct"/>
            <w:tcBorders>
              <w:tl2br w:val="nil"/>
              <w:tr2bl w:val="nil"/>
            </w:tcBorders>
            <w:vAlign w:val="center"/>
          </w:tcPr>
          <w:p w14:paraId="5AC8E25A">
            <w:pPr>
              <w:pStyle w:val="29"/>
              <w:jc w:val="center"/>
              <w:rPr>
                <w:rFonts w:ascii="Times New Roman" w:hAnsi="Times New Roman"/>
                <w:color w:val="auto"/>
              </w:rPr>
            </w:pPr>
            <w:r>
              <w:rPr>
                <w:rFonts w:ascii="Times New Roman" w:hAnsi="Times New Roman"/>
                <w:color w:val="auto"/>
              </w:rPr>
              <w:t>COD、NH</w:t>
            </w:r>
            <w:r>
              <w:rPr>
                <w:rFonts w:ascii="Times New Roman" w:hAnsi="Times New Roman"/>
                <w:color w:val="auto"/>
                <w:vertAlign w:val="subscript"/>
              </w:rPr>
              <w:t>3</w:t>
            </w:r>
            <w:r>
              <w:rPr>
                <w:rFonts w:ascii="Times New Roman" w:hAnsi="Times New Roman"/>
                <w:color w:val="auto"/>
              </w:rPr>
              <w:t>-N、TP、TN</w:t>
            </w:r>
          </w:p>
        </w:tc>
        <w:tc>
          <w:tcPr>
            <w:tcW w:w="2590" w:type="pct"/>
            <w:tcBorders>
              <w:tl2br w:val="nil"/>
              <w:tr2bl w:val="nil"/>
            </w:tcBorders>
            <w:vAlign w:val="center"/>
          </w:tcPr>
          <w:p w14:paraId="3C1423A6">
            <w:pPr>
              <w:pStyle w:val="29"/>
              <w:jc w:val="center"/>
              <w:rPr>
                <w:rFonts w:ascii="Times New Roman" w:hAnsi="Times New Roman"/>
                <w:color w:val="auto"/>
                <w:szCs w:val="22"/>
              </w:rPr>
            </w:pPr>
            <w:r>
              <w:rPr>
                <w:rFonts w:hint="eastAsia" w:ascii="Times New Roman" w:hAnsi="Times New Roman"/>
                <w:color w:val="auto"/>
                <w:szCs w:val="22"/>
                <w:lang w:eastAsia="zh-CN"/>
              </w:rPr>
              <w:t>每栋鸡舍东侧端头各设置</w:t>
            </w:r>
            <w:r>
              <w:rPr>
                <w:rFonts w:hint="eastAsia" w:ascii="Times New Roman" w:hAnsi="Times New Roman"/>
                <w:color w:val="auto"/>
                <w:szCs w:val="22"/>
                <w:lang w:val="en-US" w:eastAsia="zh-CN"/>
              </w:rPr>
              <w:t>1座废水收集池，冲洗废水进入废水收集池，日产日清由罐车运至辰泰（辽宁）生物科技有限公司进行有机肥制造</w:t>
            </w:r>
            <w:r>
              <w:rPr>
                <w:rFonts w:hint="eastAsia" w:ascii="Times New Roman" w:hAnsi="Times New Roman"/>
                <w:color w:val="auto"/>
                <w:szCs w:val="22"/>
              </w:rPr>
              <w:t>；</w:t>
            </w:r>
          </w:p>
        </w:tc>
      </w:tr>
      <w:tr w14:paraId="4CE0C14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5313587E">
            <w:pPr>
              <w:widowControl/>
              <w:jc w:val="center"/>
              <w:rPr>
                <w:color w:val="auto"/>
              </w:rPr>
            </w:pPr>
          </w:p>
        </w:tc>
        <w:tc>
          <w:tcPr>
            <w:tcW w:w="649" w:type="pct"/>
            <w:tcBorders>
              <w:tl2br w:val="nil"/>
              <w:tr2bl w:val="nil"/>
            </w:tcBorders>
            <w:vAlign w:val="center"/>
          </w:tcPr>
          <w:p w14:paraId="5795FD06">
            <w:pPr>
              <w:jc w:val="center"/>
              <w:rPr>
                <w:color w:val="auto"/>
              </w:rPr>
            </w:pPr>
            <w:r>
              <w:rPr>
                <w:color w:val="auto"/>
              </w:rPr>
              <w:t>生活</w:t>
            </w:r>
          </w:p>
        </w:tc>
        <w:tc>
          <w:tcPr>
            <w:tcW w:w="553" w:type="pct"/>
            <w:tcBorders>
              <w:tl2br w:val="nil"/>
              <w:tr2bl w:val="nil"/>
            </w:tcBorders>
            <w:vAlign w:val="center"/>
          </w:tcPr>
          <w:p w14:paraId="59B853C8">
            <w:pPr>
              <w:pStyle w:val="29"/>
              <w:jc w:val="center"/>
              <w:rPr>
                <w:rFonts w:ascii="Times New Roman" w:hAnsi="Times New Roman"/>
                <w:color w:val="auto"/>
              </w:rPr>
            </w:pPr>
            <w:r>
              <w:rPr>
                <w:rFonts w:ascii="Times New Roman" w:hAnsi="Times New Roman"/>
                <w:color w:val="auto"/>
              </w:rPr>
              <w:t>生活污水</w:t>
            </w:r>
          </w:p>
        </w:tc>
        <w:tc>
          <w:tcPr>
            <w:tcW w:w="826" w:type="pct"/>
            <w:tcBorders>
              <w:tl2br w:val="nil"/>
              <w:tr2bl w:val="nil"/>
            </w:tcBorders>
            <w:vAlign w:val="center"/>
          </w:tcPr>
          <w:p w14:paraId="3855DCEB">
            <w:pPr>
              <w:pStyle w:val="29"/>
              <w:jc w:val="center"/>
              <w:rPr>
                <w:rFonts w:ascii="Times New Roman" w:hAnsi="Times New Roman"/>
                <w:color w:val="auto"/>
              </w:rPr>
            </w:pPr>
            <w:r>
              <w:rPr>
                <w:rFonts w:ascii="Times New Roman" w:hAnsi="Times New Roman"/>
                <w:color w:val="auto"/>
              </w:rPr>
              <w:t>COD、NH</w:t>
            </w:r>
            <w:r>
              <w:rPr>
                <w:rFonts w:ascii="Times New Roman" w:hAnsi="Times New Roman"/>
                <w:color w:val="auto"/>
                <w:vertAlign w:val="subscript"/>
              </w:rPr>
              <w:t>3</w:t>
            </w:r>
            <w:r>
              <w:rPr>
                <w:rFonts w:ascii="Times New Roman" w:hAnsi="Times New Roman"/>
                <w:color w:val="auto"/>
              </w:rPr>
              <w:t>-N</w:t>
            </w:r>
          </w:p>
        </w:tc>
        <w:tc>
          <w:tcPr>
            <w:tcW w:w="2590" w:type="pct"/>
            <w:vMerge w:val="restart"/>
            <w:tcBorders>
              <w:tl2br w:val="nil"/>
              <w:tr2bl w:val="nil"/>
            </w:tcBorders>
            <w:vAlign w:val="center"/>
          </w:tcPr>
          <w:p w14:paraId="226DEBD5">
            <w:pPr>
              <w:pStyle w:val="29"/>
              <w:jc w:val="center"/>
              <w:rPr>
                <w:rFonts w:hint="eastAsia" w:ascii="Times New Roman" w:hAnsi="Times New Roman" w:eastAsia="宋体"/>
                <w:color w:val="auto"/>
                <w:szCs w:val="22"/>
                <w:lang w:eastAsia="zh-CN"/>
              </w:rPr>
            </w:pPr>
            <w:r>
              <w:rPr>
                <w:rFonts w:ascii="Times New Roman" w:hAnsi="Times New Roman"/>
                <w:color w:val="auto"/>
                <w:szCs w:val="21"/>
              </w:rPr>
              <w:t>旱厕定期清掏</w:t>
            </w:r>
            <w:r>
              <w:rPr>
                <w:rFonts w:hint="eastAsia" w:ascii="Times New Roman" w:hAnsi="Times New Roman"/>
                <w:color w:val="auto"/>
                <w:szCs w:val="21"/>
              </w:rPr>
              <w:t>，</w:t>
            </w:r>
            <w:r>
              <w:rPr>
                <w:rFonts w:hint="eastAsia" w:ascii="Times New Roman" w:hAnsi="Times New Roman"/>
                <w:color w:val="auto"/>
                <w:szCs w:val="21"/>
                <w:lang w:eastAsia="zh-CN"/>
              </w:rPr>
              <w:t>用作农肥；</w:t>
            </w:r>
          </w:p>
        </w:tc>
      </w:tr>
      <w:tr w14:paraId="540C01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2392DB27">
            <w:pPr>
              <w:widowControl/>
              <w:jc w:val="center"/>
              <w:rPr>
                <w:color w:val="auto"/>
              </w:rPr>
            </w:pPr>
          </w:p>
        </w:tc>
        <w:tc>
          <w:tcPr>
            <w:tcW w:w="649" w:type="pct"/>
            <w:tcBorders>
              <w:tl2br w:val="nil"/>
              <w:tr2bl w:val="nil"/>
            </w:tcBorders>
            <w:vAlign w:val="center"/>
          </w:tcPr>
          <w:p w14:paraId="79759D97">
            <w:pPr>
              <w:jc w:val="center"/>
              <w:rPr>
                <w:color w:val="auto"/>
              </w:rPr>
            </w:pPr>
            <w:r>
              <w:rPr>
                <w:rFonts w:hint="eastAsia"/>
                <w:color w:val="auto"/>
              </w:rPr>
              <w:t>食堂</w:t>
            </w:r>
          </w:p>
        </w:tc>
        <w:tc>
          <w:tcPr>
            <w:tcW w:w="553" w:type="pct"/>
            <w:tcBorders>
              <w:tl2br w:val="nil"/>
              <w:tr2bl w:val="nil"/>
            </w:tcBorders>
            <w:vAlign w:val="center"/>
          </w:tcPr>
          <w:p w14:paraId="508FA62B">
            <w:pPr>
              <w:pStyle w:val="29"/>
              <w:jc w:val="center"/>
              <w:rPr>
                <w:rFonts w:ascii="Times New Roman" w:hAnsi="Times New Roman"/>
                <w:color w:val="auto"/>
              </w:rPr>
            </w:pPr>
            <w:r>
              <w:rPr>
                <w:rFonts w:hint="eastAsia" w:ascii="Times New Roman" w:hAnsi="Times New Roman"/>
                <w:color w:val="auto"/>
              </w:rPr>
              <w:t>食堂废水</w:t>
            </w:r>
          </w:p>
        </w:tc>
        <w:tc>
          <w:tcPr>
            <w:tcW w:w="826" w:type="pct"/>
            <w:tcBorders>
              <w:tl2br w:val="nil"/>
              <w:tr2bl w:val="nil"/>
            </w:tcBorders>
            <w:vAlign w:val="center"/>
          </w:tcPr>
          <w:p w14:paraId="61CDE86C">
            <w:pPr>
              <w:pStyle w:val="29"/>
              <w:jc w:val="center"/>
              <w:rPr>
                <w:rFonts w:ascii="Times New Roman" w:hAnsi="Times New Roman"/>
                <w:color w:val="auto"/>
              </w:rPr>
            </w:pPr>
            <w:r>
              <w:rPr>
                <w:rFonts w:ascii="Times New Roman" w:hAnsi="Times New Roman"/>
                <w:color w:val="auto"/>
              </w:rPr>
              <w:t>COD、NH</w:t>
            </w:r>
            <w:r>
              <w:rPr>
                <w:rFonts w:ascii="Times New Roman" w:hAnsi="Times New Roman"/>
                <w:color w:val="auto"/>
                <w:vertAlign w:val="subscript"/>
              </w:rPr>
              <w:t>3</w:t>
            </w:r>
            <w:r>
              <w:rPr>
                <w:rFonts w:ascii="Times New Roman" w:hAnsi="Times New Roman"/>
                <w:color w:val="auto"/>
              </w:rPr>
              <w:t>-N</w:t>
            </w:r>
          </w:p>
        </w:tc>
        <w:tc>
          <w:tcPr>
            <w:tcW w:w="2590" w:type="pct"/>
            <w:vMerge w:val="continue"/>
            <w:tcBorders>
              <w:tl2br w:val="nil"/>
              <w:tr2bl w:val="nil"/>
            </w:tcBorders>
            <w:vAlign w:val="center"/>
          </w:tcPr>
          <w:p w14:paraId="7D6F0E32">
            <w:pPr>
              <w:pStyle w:val="29"/>
              <w:jc w:val="center"/>
              <w:rPr>
                <w:rFonts w:ascii="Times New Roman" w:hAnsi="Times New Roman"/>
                <w:color w:val="auto"/>
                <w:szCs w:val="22"/>
              </w:rPr>
            </w:pPr>
          </w:p>
        </w:tc>
      </w:tr>
      <w:tr w14:paraId="6A98B8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restart"/>
            <w:tcBorders>
              <w:tl2br w:val="nil"/>
              <w:tr2bl w:val="nil"/>
            </w:tcBorders>
            <w:vAlign w:val="center"/>
          </w:tcPr>
          <w:p w14:paraId="53DABDE7">
            <w:pPr>
              <w:pStyle w:val="29"/>
              <w:jc w:val="center"/>
              <w:rPr>
                <w:rFonts w:ascii="Times New Roman" w:hAnsi="Times New Roman"/>
                <w:color w:val="auto"/>
              </w:rPr>
            </w:pPr>
            <w:r>
              <w:rPr>
                <w:rFonts w:ascii="Times New Roman" w:hAnsi="Times New Roman"/>
                <w:color w:val="auto"/>
              </w:rPr>
              <w:t>固体废物</w:t>
            </w:r>
          </w:p>
        </w:tc>
        <w:tc>
          <w:tcPr>
            <w:tcW w:w="649" w:type="pct"/>
            <w:tcBorders>
              <w:tl2br w:val="nil"/>
              <w:tr2bl w:val="nil"/>
            </w:tcBorders>
            <w:vAlign w:val="center"/>
          </w:tcPr>
          <w:p w14:paraId="4CD973F6">
            <w:pPr>
              <w:jc w:val="center"/>
              <w:rPr>
                <w:color w:val="auto"/>
              </w:rPr>
            </w:pPr>
            <w:r>
              <w:rPr>
                <w:rFonts w:hint="eastAsia"/>
                <w:color w:val="auto"/>
                <w:lang w:val="en-US" w:eastAsia="zh-CN"/>
              </w:rPr>
              <w:t>医疗废物</w:t>
            </w:r>
            <w:r>
              <w:rPr>
                <w:color w:val="auto"/>
              </w:rPr>
              <w:t>（HW01）</w:t>
            </w:r>
          </w:p>
        </w:tc>
        <w:tc>
          <w:tcPr>
            <w:tcW w:w="1380" w:type="pct"/>
            <w:gridSpan w:val="2"/>
            <w:tcBorders>
              <w:tl2br w:val="nil"/>
              <w:tr2bl w:val="nil"/>
            </w:tcBorders>
            <w:vAlign w:val="center"/>
          </w:tcPr>
          <w:p w14:paraId="7A8A860C">
            <w:pPr>
              <w:jc w:val="center"/>
              <w:rPr>
                <w:color w:val="auto"/>
              </w:rPr>
            </w:pPr>
            <w:r>
              <w:rPr>
                <w:color w:val="auto"/>
                <w:szCs w:val="21"/>
              </w:rPr>
              <w:t>医疗废物</w:t>
            </w:r>
          </w:p>
        </w:tc>
        <w:tc>
          <w:tcPr>
            <w:tcW w:w="2590" w:type="pct"/>
            <w:tcBorders>
              <w:tl2br w:val="nil"/>
              <w:tr2bl w:val="nil"/>
            </w:tcBorders>
            <w:vAlign w:val="center"/>
          </w:tcPr>
          <w:p w14:paraId="702668CF">
            <w:pPr>
              <w:pStyle w:val="29"/>
              <w:jc w:val="center"/>
              <w:rPr>
                <w:rFonts w:hint="eastAsia" w:ascii="Times New Roman" w:hAnsi="Times New Roman" w:eastAsia="宋体"/>
                <w:color w:val="auto"/>
                <w:szCs w:val="22"/>
                <w:lang w:eastAsia="zh-CN"/>
              </w:rPr>
            </w:pPr>
            <w:r>
              <w:rPr>
                <w:rFonts w:hint="eastAsia"/>
                <w:color w:val="auto"/>
                <w:szCs w:val="21"/>
                <w:lang w:val="en-US" w:eastAsia="zh-CN"/>
              </w:rPr>
              <w:t>在厂区内医疗废物暂存间</w:t>
            </w:r>
            <w:r>
              <w:rPr>
                <w:rFonts w:hint="eastAsia"/>
                <w:color w:val="auto"/>
                <w:szCs w:val="21"/>
              </w:rPr>
              <w:t>暂存</w:t>
            </w:r>
            <w:r>
              <w:rPr>
                <w:rFonts w:hint="eastAsia"/>
                <w:color w:val="auto"/>
                <w:szCs w:val="21"/>
                <w:lang w:eastAsia="zh-CN"/>
              </w:rPr>
              <w:t>，委托有资质单位定期收集处理。</w:t>
            </w:r>
          </w:p>
        </w:tc>
      </w:tr>
      <w:tr w14:paraId="464F48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70C1CFB7">
            <w:pPr>
              <w:widowControl/>
              <w:jc w:val="center"/>
              <w:rPr>
                <w:color w:val="auto"/>
              </w:rPr>
            </w:pPr>
          </w:p>
        </w:tc>
        <w:tc>
          <w:tcPr>
            <w:tcW w:w="649" w:type="pct"/>
            <w:vMerge w:val="restart"/>
            <w:tcBorders>
              <w:tl2br w:val="nil"/>
              <w:tr2bl w:val="nil"/>
            </w:tcBorders>
            <w:vAlign w:val="center"/>
          </w:tcPr>
          <w:p w14:paraId="4A3ADBCA">
            <w:pPr>
              <w:jc w:val="center"/>
              <w:rPr>
                <w:color w:val="auto"/>
                <w:szCs w:val="21"/>
              </w:rPr>
            </w:pPr>
            <w:r>
              <w:rPr>
                <w:color w:val="auto"/>
              </w:rPr>
              <w:t>一般废物</w:t>
            </w:r>
          </w:p>
        </w:tc>
        <w:tc>
          <w:tcPr>
            <w:tcW w:w="1380" w:type="pct"/>
            <w:gridSpan w:val="2"/>
            <w:tcBorders>
              <w:tl2br w:val="nil"/>
              <w:tr2bl w:val="nil"/>
            </w:tcBorders>
            <w:vAlign w:val="center"/>
          </w:tcPr>
          <w:p w14:paraId="4CB804CC">
            <w:pPr>
              <w:jc w:val="center"/>
              <w:rPr>
                <w:color w:val="auto"/>
                <w:szCs w:val="21"/>
              </w:rPr>
            </w:pPr>
            <w:r>
              <w:rPr>
                <w:color w:val="auto"/>
                <w:szCs w:val="21"/>
              </w:rPr>
              <w:t>鸡粪</w:t>
            </w:r>
          </w:p>
        </w:tc>
        <w:tc>
          <w:tcPr>
            <w:tcW w:w="2590" w:type="pct"/>
            <w:vMerge w:val="restart"/>
            <w:tcBorders>
              <w:tl2br w:val="nil"/>
              <w:tr2bl w:val="nil"/>
            </w:tcBorders>
            <w:vAlign w:val="center"/>
          </w:tcPr>
          <w:p w14:paraId="2CCFC797">
            <w:pPr>
              <w:jc w:val="center"/>
              <w:rPr>
                <w:color w:val="auto"/>
                <w:szCs w:val="22"/>
              </w:rPr>
            </w:pPr>
            <w:r>
              <w:rPr>
                <w:color w:val="auto"/>
                <w:szCs w:val="21"/>
              </w:rPr>
              <w:t>除</w:t>
            </w:r>
            <w:r>
              <w:rPr>
                <w:rFonts w:hint="eastAsia"/>
                <w:color w:val="auto"/>
                <w:szCs w:val="21"/>
              </w:rPr>
              <w:t>极端天气</w:t>
            </w:r>
            <w:r>
              <w:rPr>
                <w:color w:val="auto"/>
                <w:szCs w:val="21"/>
              </w:rPr>
              <w:t>（约50天/年）需暂存</w:t>
            </w:r>
            <w:r>
              <w:rPr>
                <w:rFonts w:hint="eastAsia"/>
                <w:color w:val="auto"/>
                <w:szCs w:val="21"/>
                <w:lang w:eastAsia="zh-CN"/>
              </w:rPr>
              <w:t>临时储粪场</w:t>
            </w:r>
            <w:r>
              <w:rPr>
                <w:color w:val="auto"/>
                <w:szCs w:val="21"/>
              </w:rPr>
              <w:t>外，均日产日清由清粪车直接拉走外</w:t>
            </w:r>
            <w:r>
              <w:rPr>
                <w:rFonts w:hint="eastAsia"/>
                <w:color w:val="auto"/>
                <w:szCs w:val="21"/>
              </w:rPr>
              <w:t>售</w:t>
            </w:r>
            <w:r>
              <w:rPr>
                <w:rFonts w:hint="eastAsia"/>
                <w:color w:val="auto"/>
                <w:szCs w:val="21"/>
                <w:lang w:eastAsia="zh-CN"/>
              </w:rPr>
              <w:t>至</w:t>
            </w:r>
            <w:r>
              <w:rPr>
                <w:rFonts w:hint="eastAsia"/>
                <w:color w:val="auto"/>
                <w:szCs w:val="22"/>
                <w:lang w:val="en-US" w:eastAsia="zh-CN"/>
              </w:rPr>
              <w:t>辰泰（辽宁）生物科技有限公司</w:t>
            </w:r>
            <w:r>
              <w:rPr>
                <w:rFonts w:hint="eastAsia"/>
                <w:color w:val="auto"/>
                <w:szCs w:val="21"/>
              </w:rPr>
              <w:t>进行有机肥制造</w:t>
            </w:r>
          </w:p>
        </w:tc>
      </w:tr>
      <w:tr w14:paraId="503959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3C30F7AB">
            <w:pPr>
              <w:widowControl/>
              <w:jc w:val="center"/>
              <w:rPr>
                <w:color w:val="auto"/>
              </w:rPr>
            </w:pPr>
          </w:p>
        </w:tc>
        <w:tc>
          <w:tcPr>
            <w:tcW w:w="649" w:type="pct"/>
            <w:vMerge w:val="continue"/>
            <w:tcBorders>
              <w:tl2br w:val="nil"/>
              <w:tr2bl w:val="nil"/>
            </w:tcBorders>
            <w:vAlign w:val="center"/>
          </w:tcPr>
          <w:p w14:paraId="3658D86F">
            <w:pPr>
              <w:jc w:val="center"/>
              <w:rPr>
                <w:color w:val="auto"/>
              </w:rPr>
            </w:pPr>
          </w:p>
        </w:tc>
        <w:tc>
          <w:tcPr>
            <w:tcW w:w="1380" w:type="pct"/>
            <w:gridSpan w:val="2"/>
            <w:tcBorders>
              <w:tl2br w:val="nil"/>
              <w:tr2bl w:val="nil"/>
            </w:tcBorders>
            <w:vAlign w:val="center"/>
          </w:tcPr>
          <w:p w14:paraId="00F9CC1D">
            <w:pPr>
              <w:jc w:val="center"/>
              <w:rPr>
                <w:color w:val="auto"/>
                <w:szCs w:val="21"/>
              </w:rPr>
            </w:pPr>
            <w:r>
              <w:rPr>
                <w:rFonts w:hint="eastAsia"/>
                <w:color w:val="auto"/>
                <w:szCs w:val="21"/>
              </w:rPr>
              <w:t>鸡羽毛</w:t>
            </w:r>
          </w:p>
        </w:tc>
        <w:tc>
          <w:tcPr>
            <w:tcW w:w="2590" w:type="pct"/>
            <w:vMerge w:val="continue"/>
            <w:tcBorders>
              <w:tl2br w:val="nil"/>
              <w:tr2bl w:val="nil"/>
            </w:tcBorders>
            <w:vAlign w:val="center"/>
          </w:tcPr>
          <w:p w14:paraId="77506E72">
            <w:pPr>
              <w:jc w:val="center"/>
              <w:rPr>
                <w:color w:val="auto"/>
                <w:szCs w:val="21"/>
              </w:rPr>
            </w:pPr>
          </w:p>
        </w:tc>
      </w:tr>
      <w:tr w14:paraId="6BABB1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04C655F4">
            <w:pPr>
              <w:widowControl/>
              <w:jc w:val="center"/>
              <w:rPr>
                <w:color w:val="auto"/>
              </w:rPr>
            </w:pPr>
          </w:p>
        </w:tc>
        <w:tc>
          <w:tcPr>
            <w:tcW w:w="649" w:type="pct"/>
            <w:vMerge w:val="continue"/>
            <w:tcBorders>
              <w:tl2br w:val="nil"/>
              <w:tr2bl w:val="nil"/>
            </w:tcBorders>
            <w:vAlign w:val="center"/>
          </w:tcPr>
          <w:p w14:paraId="6E2321CC">
            <w:pPr>
              <w:widowControl/>
              <w:jc w:val="center"/>
              <w:rPr>
                <w:color w:val="auto"/>
                <w:szCs w:val="21"/>
              </w:rPr>
            </w:pPr>
          </w:p>
        </w:tc>
        <w:tc>
          <w:tcPr>
            <w:tcW w:w="1380" w:type="pct"/>
            <w:gridSpan w:val="2"/>
            <w:tcBorders>
              <w:tl2br w:val="nil"/>
              <w:tr2bl w:val="nil"/>
            </w:tcBorders>
            <w:vAlign w:val="center"/>
          </w:tcPr>
          <w:p w14:paraId="7C21A3FD">
            <w:pPr>
              <w:jc w:val="center"/>
              <w:rPr>
                <w:color w:val="auto"/>
                <w:szCs w:val="21"/>
              </w:rPr>
            </w:pPr>
            <w:r>
              <w:rPr>
                <w:color w:val="auto"/>
                <w:szCs w:val="21"/>
              </w:rPr>
              <w:t>饲料残渣</w:t>
            </w:r>
          </w:p>
        </w:tc>
        <w:tc>
          <w:tcPr>
            <w:tcW w:w="2590" w:type="pct"/>
            <w:vMerge w:val="continue"/>
            <w:tcBorders>
              <w:tl2br w:val="nil"/>
              <w:tr2bl w:val="nil"/>
            </w:tcBorders>
            <w:vAlign w:val="center"/>
          </w:tcPr>
          <w:p w14:paraId="21990EEB">
            <w:pPr>
              <w:jc w:val="center"/>
              <w:rPr>
                <w:color w:val="auto"/>
                <w:szCs w:val="22"/>
              </w:rPr>
            </w:pPr>
          </w:p>
        </w:tc>
      </w:tr>
      <w:tr w14:paraId="58EBF5C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7DF4E9BB">
            <w:pPr>
              <w:widowControl/>
              <w:jc w:val="center"/>
              <w:rPr>
                <w:color w:val="auto"/>
              </w:rPr>
            </w:pPr>
          </w:p>
        </w:tc>
        <w:tc>
          <w:tcPr>
            <w:tcW w:w="649" w:type="pct"/>
            <w:vMerge w:val="continue"/>
            <w:tcBorders>
              <w:tl2br w:val="nil"/>
              <w:tr2bl w:val="nil"/>
            </w:tcBorders>
            <w:vAlign w:val="center"/>
          </w:tcPr>
          <w:p w14:paraId="1A06686D">
            <w:pPr>
              <w:widowControl/>
              <w:jc w:val="center"/>
              <w:rPr>
                <w:color w:val="auto"/>
                <w:szCs w:val="21"/>
              </w:rPr>
            </w:pPr>
          </w:p>
        </w:tc>
        <w:tc>
          <w:tcPr>
            <w:tcW w:w="1380" w:type="pct"/>
            <w:gridSpan w:val="2"/>
            <w:tcBorders>
              <w:tl2br w:val="nil"/>
              <w:tr2bl w:val="nil"/>
            </w:tcBorders>
            <w:vAlign w:val="center"/>
          </w:tcPr>
          <w:p w14:paraId="56C53E4E">
            <w:pPr>
              <w:jc w:val="center"/>
              <w:rPr>
                <w:rFonts w:hint="eastAsia" w:eastAsia="宋体"/>
                <w:color w:val="auto"/>
                <w:szCs w:val="21"/>
                <w:lang w:eastAsia="zh-CN"/>
              </w:rPr>
            </w:pPr>
            <w:r>
              <w:rPr>
                <w:rFonts w:hint="eastAsia"/>
                <w:color w:val="auto"/>
                <w:szCs w:val="21"/>
                <w:lang w:eastAsia="zh-CN"/>
              </w:rPr>
              <w:t>锅炉灰渣和除尘灰</w:t>
            </w:r>
          </w:p>
        </w:tc>
        <w:tc>
          <w:tcPr>
            <w:tcW w:w="2590" w:type="pct"/>
            <w:tcBorders>
              <w:tl2br w:val="nil"/>
              <w:tr2bl w:val="nil"/>
            </w:tcBorders>
            <w:vAlign w:val="center"/>
          </w:tcPr>
          <w:p w14:paraId="5345B0AF">
            <w:pPr>
              <w:jc w:val="center"/>
              <w:rPr>
                <w:rFonts w:hint="eastAsia" w:eastAsia="宋体"/>
                <w:color w:val="auto"/>
                <w:szCs w:val="22"/>
                <w:lang w:eastAsia="zh-CN"/>
              </w:rPr>
            </w:pPr>
            <w:r>
              <w:rPr>
                <w:rFonts w:hint="eastAsia"/>
                <w:color w:val="auto"/>
                <w:szCs w:val="22"/>
                <w:lang w:eastAsia="zh-CN"/>
              </w:rPr>
              <w:t>收集后密封袋装，暂存于渣库，</w:t>
            </w:r>
            <w:r>
              <w:rPr>
                <w:rFonts w:hint="eastAsia"/>
                <w:color w:val="auto"/>
                <w:sz w:val="21"/>
                <w:szCs w:val="21"/>
                <w:lang w:eastAsia="zh-CN"/>
              </w:rPr>
              <w:t>作为有机肥原料</w:t>
            </w:r>
            <w:r>
              <w:rPr>
                <w:color w:val="auto"/>
                <w:sz w:val="21"/>
                <w:szCs w:val="21"/>
              </w:rPr>
              <w:t>外</w:t>
            </w:r>
            <w:r>
              <w:rPr>
                <w:rFonts w:hint="eastAsia"/>
                <w:color w:val="auto"/>
                <w:sz w:val="21"/>
                <w:szCs w:val="21"/>
              </w:rPr>
              <w:t>售</w:t>
            </w:r>
            <w:r>
              <w:rPr>
                <w:rFonts w:hint="eastAsia"/>
                <w:color w:val="auto"/>
                <w:sz w:val="21"/>
                <w:szCs w:val="21"/>
                <w:lang w:eastAsia="zh-CN"/>
              </w:rPr>
              <w:t>至辰泰（辽宁）生物科技有限公司做有机肥；</w:t>
            </w:r>
          </w:p>
        </w:tc>
      </w:tr>
      <w:tr w14:paraId="630F610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100F97F8">
            <w:pPr>
              <w:widowControl/>
              <w:jc w:val="center"/>
              <w:rPr>
                <w:color w:val="auto"/>
              </w:rPr>
            </w:pPr>
          </w:p>
        </w:tc>
        <w:tc>
          <w:tcPr>
            <w:tcW w:w="649" w:type="pct"/>
            <w:vMerge w:val="continue"/>
            <w:tcBorders>
              <w:tl2br w:val="nil"/>
              <w:tr2bl w:val="nil"/>
            </w:tcBorders>
            <w:vAlign w:val="center"/>
          </w:tcPr>
          <w:p w14:paraId="08F42505">
            <w:pPr>
              <w:widowControl/>
              <w:jc w:val="center"/>
              <w:rPr>
                <w:color w:val="auto"/>
                <w:szCs w:val="21"/>
              </w:rPr>
            </w:pPr>
          </w:p>
        </w:tc>
        <w:tc>
          <w:tcPr>
            <w:tcW w:w="1380" w:type="pct"/>
            <w:gridSpan w:val="2"/>
            <w:tcBorders>
              <w:tl2br w:val="nil"/>
              <w:tr2bl w:val="nil"/>
            </w:tcBorders>
            <w:vAlign w:val="center"/>
          </w:tcPr>
          <w:p w14:paraId="3C1D5943">
            <w:pPr>
              <w:snapToGrid w:val="0"/>
              <w:jc w:val="center"/>
              <w:rPr>
                <w:color w:val="auto"/>
              </w:rPr>
            </w:pPr>
            <w:r>
              <w:rPr>
                <w:color w:val="auto"/>
              </w:rPr>
              <w:t>病死鸡</w:t>
            </w:r>
          </w:p>
        </w:tc>
        <w:tc>
          <w:tcPr>
            <w:tcW w:w="2590" w:type="pct"/>
            <w:tcBorders>
              <w:tl2br w:val="nil"/>
              <w:tr2bl w:val="nil"/>
            </w:tcBorders>
            <w:vAlign w:val="center"/>
          </w:tcPr>
          <w:p w14:paraId="0BAA22FA">
            <w:pPr>
              <w:adjustRightInd w:val="0"/>
              <w:ind w:left="1050" w:hanging="1050" w:hangingChars="500"/>
              <w:jc w:val="center"/>
              <w:rPr>
                <w:color w:val="auto"/>
                <w:szCs w:val="22"/>
              </w:rPr>
            </w:pPr>
            <w:r>
              <w:rPr>
                <w:rFonts w:hint="eastAsia"/>
                <w:color w:val="auto"/>
                <w:szCs w:val="22"/>
                <w:lang w:eastAsia="zh-CN"/>
              </w:rPr>
              <w:t>病死鸡暂存冷柜中，委托北票市汇宏动物无害化处理有限公司定期收集处理；</w:t>
            </w:r>
          </w:p>
        </w:tc>
      </w:tr>
      <w:tr w14:paraId="7A7099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7B67AAD0">
            <w:pPr>
              <w:widowControl/>
              <w:jc w:val="center"/>
              <w:rPr>
                <w:color w:val="auto"/>
              </w:rPr>
            </w:pPr>
          </w:p>
        </w:tc>
        <w:tc>
          <w:tcPr>
            <w:tcW w:w="649" w:type="pct"/>
            <w:vMerge w:val="continue"/>
            <w:tcBorders>
              <w:tl2br w:val="nil"/>
              <w:tr2bl w:val="nil"/>
            </w:tcBorders>
            <w:vAlign w:val="center"/>
          </w:tcPr>
          <w:p w14:paraId="6F1D73EE">
            <w:pPr>
              <w:widowControl/>
              <w:jc w:val="center"/>
              <w:rPr>
                <w:color w:val="auto"/>
                <w:szCs w:val="21"/>
              </w:rPr>
            </w:pPr>
          </w:p>
        </w:tc>
        <w:tc>
          <w:tcPr>
            <w:tcW w:w="1380" w:type="pct"/>
            <w:gridSpan w:val="2"/>
            <w:tcBorders>
              <w:tl2br w:val="nil"/>
              <w:tr2bl w:val="nil"/>
            </w:tcBorders>
            <w:vAlign w:val="center"/>
          </w:tcPr>
          <w:p w14:paraId="0EE802FB">
            <w:pPr>
              <w:jc w:val="center"/>
              <w:rPr>
                <w:color w:val="auto"/>
              </w:rPr>
            </w:pPr>
            <w:r>
              <w:rPr>
                <w:color w:val="auto"/>
              </w:rPr>
              <w:t>生活垃圾</w:t>
            </w:r>
          </w:p>
        </w:tc>
        <w:tc>
          <w:tcPr>
            <w:tcW w:w="2590" w:type="pct"/>
            <w:tcBorders>
              <w:tl2br w:val="nil"/>
              <w:tr2bl w:val="nil"/>
            </w:tcBorders>
            <w:vAlign w:val="center"/>
          </w:tcPr>
          <w:p w14:paraId="43C3BC76">
            <w:pPr>
              <w:adjustRightInd w:val="0"/>
              <w:ind w:left="1050" w:hanging="1050" w:hangingChars="500"/>
              <w:jc w:val="center"/>
              <w:rPr>
                <w:color w:val="auto"/>
                <w:szCs w:val="22"/>
              </w:rPr>
            </w:pPr>
            <w:r>
              <w:rPr>
                <w:color w:val="auto"/>
                <w:szCs w:val="21"/>
              </w:rPr>
              <w:t>收集到厂内</w:t>
            </w:r>
            <w:r>
              <w:rPr>
                <w:rFonts w:hint="eastAsia"/>
                <w:color w:val="auto"/>
                <w:szCs w:val="21"/>
              </w:rPr>
              <w:t>5</w:t>
            </w:r>
            <w:r>
              <w:rPr>
                <w:color w:val="auto"/>
                <w:szCs w:val="21"/>
              </w:rPr>
              <w:t>个垃圾箱内，定期送至附近垃圾点</w:t>
            </w:r>
          </w:p>
        </w:tc>
      </w:tr>
      <w:tr w14:paraId="11B674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restart"/>
            <w:tcBorders>
              <w:tl2br w:val="nil"/>
              <w:tr2bl w:val="nil"/>
            </w:tcBorders>
            <w:vAlign w:val="center"/>
          </w:tcPr>
          <w:p w14:paraId="0CFC6E36">
            <w:pPr>
              <w:pStyle w:val="29"/>
              <w:jc w:val="center"/>
              <w:rPr>
                <w:rFonts w:ascii="Times New Roman" w:hAnsi="Times New Roman"/>
                <w:color w:val="auto"/>
              </w:rPr>
            </w:pPr>
            <w:r>
              <w:rPr>
                <w:rFonts w:ascii="Times New Roman" w:hAnsi="Times New Roman"/>
                <w:color w:val="auto"/>
              </w:rPr>
              <w:t>噪声</w:t>
            </w:r>
          </w:p>
        </w:tc>
        <w:tc>
          <w:tcPr>
            <w:tcW w:w="649" w:type="pct"/>
            <w:vMerge w:val="restart"/>
            <w:tcBorders>
              <w:tl2br w:val="nil"/>
              <w:tr2bl w:val="nil"/>
            </w:tcBorders>
            <w:vAlign w:val="center"/>
          </w:tcPr>
          <w:p w14:paraId="790A63A9">
            <w:pPr>
              <w:jc w:val="center"/>
              <w:rPr>
                <w:color w:val="auto"/>
              </w:rPr>
            </w:pPr>
            <w:r>
              <w:rPr>
                <w:color w:val="auto"/>
              </w:rPr>
              <w:t>连续排放</w:t>
            </w:r>
          </w:p>
        </w:tc>
        <w:tc>
          <w:tcPr>
            <w:tcW w:w="1380" w:type="pct"/>
            <w:gridSpan w:val="2"/>
            <w:tcBorders>
              <w:tl2br w:val="nil"/>
              <w:tr2bl w:val="nil"/>
            </w:tcBorders>
            <w:vAlign w:val="center"/>
          </w:tcPr>
          <w:p w14:paraId="378C331B">
            <w:pPr>
              <w:pStyle w:val="25"/>
              <w:ind w:left="117" w:leftChars="8" w:hanging="100" w:firstLineChars="0"/>
              <w:jc w:val="center"/>
              <w:rPr>
                <w:color w:val="auto"/>
                <w:kern w:val="0"/>
              </w:rPr>
            </w:pPr>
            <w:r>
              <w:rPr>
                <w:rFonts w:hint="eastAsia"/>
                <w:color w:val="auto"/>
                <w:kern w:val="0"/>
              </w:rPr>
              <w:t>养殖生产设备</w:t>
            </w:r>
          </w:p>
        </w:tc>
        <w:tc>
          <w:tcPr>
            <w:tcW w:w="2590" w:type="pct"/>
            <w:tcBorders>
              <w:tl2br w:val="nil"/>
              <w:tr2bl w:val="nil"/>
            </w:tcBorders>
            <w:vAlign w:val="center"/>
          </w:tcPr>
          <w:p w14:paraId="053BE646">
            <w:pPr>
              <w:pStyle w:val="25"/>
              <w:ind w:left="420" w:firstLine="0" w:firstLineChars="0"/>
              <w:jc w:val="center"/>
              <w:rPr>
                <w:color w:val="auto"/>
                <w:kern w:val="0"/>
                <w:szCs w:val="22"/>
              </w:rPr>
            </w:pPr>
            <w:r>
              <w:rPr>
                <w:color w:val="auto"/>
                <w:szCs w:val="21"/>
                <w:shd w:val="clear" w:color="auto" w:fill="FFFFFF"/>
              </w:rPr>
              <w:t>选低噪声设备、</w:t>
            </w:r>
            <w:r>
              <w:rPr>
                <w:rFonts w:hint="eastAsia"/>
                <w:color w:val="auto"/>
                <w:szCs w:val="21"/>
                <w:shd w:val="clear" w:color="auto" w:fill="FFFFFF"/>
              </w:rPr>
              <w:t>鸡舍</w:t>
            </w:r>
            <w:r>
              <w:rPr>
                <w:color w:val="auto"/>
                <w:szCs w:val="21"/>
                <w:shd w:val="clear" w:color="auto" w:fill="FFFFFF"/>
              </w:rPr>
              <w:t>隔声</w:t>
            </w:r>
          </w:p>
        </w:tc>
      </w:tr>
      <w:tr w14:paraId="7EB569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475C58AF">
            <w:pPr>
              <w:widowControl/>
              <w:jc w:val="center"/>
              <w:rPr>
                <w:color w:val="auto"/>
              </w:rPr>
            </w:pPr>
          </w:p>
        </w:tc>
        <w:tc>
          <w:tcPr>
            <w:tcW w:w="649" w:type="pct"/>
            <w:vMerge w:val="continue"/>
            <w:tcBorders>
              <w:tl2br w:val="nil"/>
              <w:tr2bl w:val="nil"/>
            </w:tcBorders>
            <w:vAlign w:val="center"/>
          </w:tcPr>
          <w:p w14:paraId="1CF9F0D4">
            <w:pPr>
              <w:widowControl/>
              <w:jc w:val="center"/>
              <w:rPr>
                <w:color w:val="auto"/>
              </w:rPr>
            </w:pPr>
          </w:p>
        </w:tc>
        <w:tc>
          <w:tcPr>
            <w:tcW w:w="1380" w:type="pct"/>
            <w:gridSpan w:val="2"/>
            <w:tcBorders>
              <w:tl2br w:val="nil"/>
              <w:tr2bl w:val="nil"/>
            </w:tcBorders>
            <w:vAlign w:val="center"/>
          </w:tcPr>
          <w:p w14:paraId="73B22B7D">
            <w:pPr>
              <w:pStyle w:val="29"/>
              <w:jc w:val="center"/>
              <w:rPr>
                <w:rFonts w:ascii="Times New Roman" w:hAnsi="Times New Roman"/>
                <w:color w:val="auto"/>
              </w:rPr>
            </w:pPr>
            <w:r>
              <w:rPr>
                <w:rFonts w:ascii="Times New Roman" w:hAnsi="Times New Roman"/>
                <w:color w:val="auto"/>
                <w:szCs w:val="21"/>
                <w:shd w:val="clear" w:color="auto" w:fill="FFFFFF"/>
              </w:rPr>
              <w:t>排气扇</w:t>
            </w:r>
          </w:p>
        </w:tc>
        <w:tc>
          <w:tcPr>
            <w:tcW w:w="2590" w:type="pct"/>
            <w:tcBorders>
              <w:tl2br w:val="nil"/>
              <w:tr2bl w:val="nil"/>
            </w:tcBorders>
            <w:vAlign w:val="center"/>
          </w:tcPr>
          <w:p w14:paraId="7E04ADA1">
            <w:pPr>
              <w:pStyle w:val="25"/>
              <w:ind w:left="420" w:firstLine="0" w:firstLineChars="0"/>
              <w:jc w:val="center"/>
              <w:rPr>
                <w:color w:val="auto"/>
                <w:kern w:val="0"/>
                <w:szCs w:val="22"/>
              </w:rPr>
            </w:pPr>
            <w:r>
              <w:rPr>
                <w:color w:val="auto"/>
                <w:szCs w:val="21"/>
                <w:shd w:val="clear" w:color="auto" w:fill="FFFFFF"/>
              </w:rPr>
              <w:t>选低噪声设备、隔声、消声</w:t>
            </w:r>
          </w:p>
        </w:tc>
      </w:tr>
      <w:tr w14:paraId="09B539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5CD6176E">
            <w:pPr>
              <w:widowControl/>
              <w:jc w:val="center"/>
              <w:rPr>
                <w:color w:val="auto"/>
              </w:rPr>
            </w:pPr>
          </w:p>
        </w:tc>
        <w:tc>
          <w:tcPr>
            <w:tcW w:w="649" w:type="pct"/>
            <w:vMerge w:val="continue"/>
            <w:tcBorders>
              <w:tl2br w:val="nil"/>
              <w:tr2bl w:val="nil"/>
            </w:tcBorders>
            <w:vAlign w:val="center"/>
          </w:tcPr>
          <w:p w14:paraId="1F7B774A">
            <w:pPr>
              <w:widowControl/>
              <w:jc w:val="center"/>
              <w:rPr>
                <w:color w:val="auto"/>
              </w:rPr>
            </w:pPr>
          </w:p>
        </w:tc>
        <w:tc>
          <w:tcPr>
            <w:tcW w:w="1380" w:type="pct"/>
            <w:gridSpan w:val="2"/>
            <w:tcBorders>
              <w:tl2br w:val="nil"/>
              <w:tr2bl w:val="nil"/>
            </w:tcBorders>
            <w:vAlign w:val="center"/>
          </w:tcPr>
          <w:p w14:paraId="4ACDB6BA">
            <w:pPr>
              <w:pStyle w:val="29"/>
              <w:jc w:val="center"/>
              <w:rPr>
                <w:rFonts w:ascii="Times New Roman" w:hAnsi="Times New Roman"/>
                <w:color w:val="auto"/>
              </w:rPr>
            </w:pPr>
            <w:r>
              <w:rPr>
                <w:rFonts w:ascii="Times New Roman" w:hAnsi="Times New Roman"/>
                <w:color w:val="auto"/>
                <w:szCs w:val="21"/>
                <w:shd w:val="clear" w:color="auto" w:fill="FFFFFF"/>
              </w:rPr>
              <w:t>风机</w:t>
            </w:r>
          </w:p>
        </w:tc>
        <w:tc>
          <w:tcPr>
            <w:tcW w:w="2590" w:type="pct"/>
            <w:tcBorders>
              <w:tl2br w:val="nil"/>
              <w:tr2bl w:val="nil"/>
            </w:tcBorders>
            <w:vAlign w:val="center"/>
          </w:tcPr>
          <w:p w14:paraId="7084D619">
            <w:pPr>
              <w:pStyle w:val="25"/>
              <w:ind w:left="420" w:firstLine="0" w:firstLineChars="0"/>
              <w:jc w:val="center"/>
              <w:rPr>
                <w:color w:val="auto"/>
                <w:kern w:val="0"/>
                <w:szCs w:val="22"/>
              </w:rPr>
            </w:pPr>
            <w:r>
              <w:rPr>
                <w:color w:val="auto"/>
                <w:szCs w:val="21"/>
                <w:shd w:val="clear" w:color="auto" w:fill="FFFFFF"/>
              </w:rPr>
              <w:t>选低噪声设备、独立设备房，房间隔声</w:t>
            </w:r>
          </w:p>
        </w:tc>
      </w:tr>
      <w:tr w14:paraId="71A146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54655425">
            <w:pPr>
              <w:widowControl/>
              <w:jc w:val="center"/>
              <w:rPr>
                <w:color w:val="auto"/>
              </w:rPr>
            </w:pPr>
          </w:p>
        </w:tc>
        <w:tc>
          <w:tcPr>
            <w:tcW w:w="649" w:type="pct"/>
            <w:vMerge w:val="continue"/>
            <w:tcBorders>
              <w:tl2br w:val="nil"/>
              <w:tr2bl w:val="nil"/>
            </w:tcBorders>
            <w:vAlign w:val="center"/>
          </w:tcPr>
          <w:p w14:paraId="006BD4D2">
            <w:pPr>
              <w:widowControl/>
              <w:jc w:val="center"/>
              <w:rPr>
                <w:color w:val="auto"/>
              </w:rPr>
            </w:pPr>
          </w:p>
        </w:tc>
        <w:tc>
          <w:tcPr>
            <w:tcW w:w="1380" w:type="pct"/>
            <w:gridSpan w:val="2"/>
            <w:tcBorders>
              <w:tl2br w:val="nil"/>
              <w:tr2bl w:val="nil"/>
            </w:tcBorders>
            <w:vAlign w:val="center"/>
          </w:tcPr>
          <w:p w14:paraId="52FFB7F1">
            <w:pPr>
              <w:pStyle w:val="29"/>
              <w:jc w:val="center"/>
              <w:rPr>
                <w:rFonts w:ascii="Times New Roman" w:hAnsi="Times New Roman"/>
                <w:color w:val="auto"/>
              </w:rPr>
            </w:pPr>
            <w:r>
              <w:rPr>
                <w:rFonts w:ascii="Times New Roman" w:hAnsi="Times New Roman"/>
                <w:color w:val="auto"/>
                <w:szCs w:val="21"/>
                <w:shd w:val="clear" w:color="auto" w:fill="FFFFFF"/>
              </w:rPr>
              <w:t>水泵</w:t>
            </w:r>
          </w:p>
        </w:tc>
        <w:tc>
          <w:tcPr>
            <w:tcW w:w="2590" w:type="pct"/>
            <w:tcBorders>
              <w:tl2br w:val="nil"/>
              <w:tr2bl w:val="nil"/>
            </w:tcBorders>
            <w:vAlign w:val="center"/>
          </w:tcPr>
          <w:p w14:paraId="02146FF3">
            <w:pPr>
              <w:pStyle w:val="25"/>
              <w:ind w:left="420" w:firstLine="0" w:firstLineChars="0"/>
              <w:jc w:val="center"/>
              <w:rPr>
                <w:color w:val="auto"/>
                <w:kern w:val="0"/>
                <w:szCs w:val="22"/>
              </w:rPr>
            </w:pPr>
            <w:r>
              <w:rPr>
                <w:color w:val="auto"/>
                <w:szCs w:val="21"/>
                <w:shd w:val="clear" w:color="auto" w:fill="FFFFFF"/>
              </w:rPr>
              <w:t>选低噪声设备，隔声、减震</w:t>
            </w:r>
          </w:p>
        </w:tc>
      </w:tr>
      <w:tr w14:paraId="3A3F71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79" w:type="pct"/>
            <w:vMerge w:val="continue"/>
            <w:tcBorders>
              <w:tl2br w:val="nil"/>
              <w:tr2bl w:val="nil"/>
            </w:tcBorders>
            <w:vAlign w:val="center"/>
          </w:tcPr>
          <w:p w14:paraId="7CA5A599">
            <w:pPr>
              <w:widowControl/>
              <w:jc w:val="center"/>
              <w:rPr>
                <w:color w:val="auto"/>
              </w:rPr>
            </w:pPr>
          </w:p>
        </w:tc>
        <w:tc>
          <w:tcPr>
            <w:tcW w:w="649" w:type="pct"/>
            <w:vMerge w:val="continue"/>
            <w:tcBorders>
              <w:tl2br w:val="nil"/>
              <w:tr2bl w:val="nil"/>
            </w:tcBorders>
            <w:vAlign w:val="center"/>
          </w:tcPr>
          <w:p w14:paraId="0D10684A">
            <w:pPr>
              <w:widowControl/>
              <w:jc w:val="center"/>
              <w:rPr>
                <w:color w:val="auto"/>
              </w:rPr>
            </w:pPr>
          </w:p>
        </w:tc>
        <w:tc>
          <w:tcPr>
            <w:tcW w:w="1380" w:type="pct"/>
            <w:gridSpan w:val="2"/>
            <w:tcBorders>
              <w:tl2br w:val="nil"/>
              <w:tr2bl w:val="nil"/>
            </w:tcBorders>
            <w:vAlign w:val="center"/>
          </w:tcPr>
          <w:p w14:paraId="46DE727D">
            <w:pPr>
              <w:pStyle w:val="29"/>
              <w:jc w:val="center"/>
              <w:rPr>
                <w:rFonts w:ascii="Times New Roman" w:hAnsi="Times New Roman"/>
                <w:color w:val="auto"/>
                <w:szCs w:val="21"/>
                <w:shd w:val="clear" w:color="auto" w:fill="FFFFFF"/>
              </w:rPr>
            </w:pPr>
            <w:r>
              <w:rPr>
                <w:rFonts w:hint="eastAsia" w:ascii="Times New Roman" w:hAnsi="Times New Roman"/>
                <w:color w:val="auto"/>
                <w:szCs w:val="21"/>
                <w:shd w:val="clear" w:color="auto" w:fill="FFFFFF"/>
              </w:rPr>
              <w:t>饲料生产设备、风机</w:t>
            </w:r>
          </w:p>
        </w:tc>
        <w:tc>
          <w:tcPr>
            <w:tcW w:w="2590" w:type="pct"/>
            <w:tcBorders>
              <w:tl2br w:val="nil"/>
              <w:tr2bl w:val="nil"/>
            </w:tcBorders>
            <w:vAlign w:val="center"/>
          </w:tcPr>
          <w:p w14:paraId="4D67E2F3">
            <w:pPr>
              <w:pStyle w:val="25"/>
              <w:ind w:left="420" w:firstLine="0" w:firstLineChars="0"/>
              <w:jc w:val="center"/>
              <w:rPr>
                <w:color w:val="auto"/>
                <w:szCs w:val="21"/>
                <w:shd w:val="clear" w:color="auto" w:fill="FFFFFF"/>
              </w:rPr>
            </w:pPr>
            <w:r>
              <w:rPr>
                <w:color w:val="auto"/>
                <w:szCs w:val="21"/>
                <w:shd w:val="clear" w:color="auto" w:fill="FFFFFF"/>
              </w:rPr>
              <w:t>选低噪声设备，隔声、减震</w:t>
            </w:r>
          </w:p>
        </w:tc>
      </w:tr>
    </w:tbl>
    <w:p w14:paraId="2C57BD15">
      <w:pPr>
        <w:pStyle w:val="3"/>
        <w:adjustRightInd w:val="0"/>
        <w:jc w:val="both"/>
        <w:rPr>
          <w:rFonts w:eastAsia="宋体"/>
          <w:color w:val="auto"/>
          <w:sz w:val="30"/>
          <w:szCs w:val="30"/>
        </w:rPr>
      </w:pPr>
      <w:bookmarkStart w:id="182" w:name="_Toc16490"/>
      <w:bookmarkStart w:id="183" w:name="_Toc3789"/>
      <w:bookmarkStart w:id="184" w:name="_Toc11846"/>
      <w:r>
        <w:rPr>
          <w:rFonts w:eastAsia="宋体"/>
          <w:color w:val="auto"/>
          <w:sz w:val="30"/>
          <w:szCs w:val="30"/>
        </w:rPr>
        <w:t>3.</w:t>
      </w:r>
      <w:r>
        <w:rPr>
          <w:rFonts w:hint="eastAsia" w:eastAsia="宋体"/>
          <w:color w:val="auto"/>
          <w:sz w:val="30"/>
          <w:szCs w:val="30"/>
        </w:rPr>
        <w:t>4</w:t>
      </w:r>
      <w:r>
        <w:rPr>
          <w:rFonts w:eastAsia="宋体"/>
          <w:color w:val="auto"/>
          <w:sz w:val="30"/>
          <w:szCs w:val="30"/>
        </w:rPr>
        <w:t>污染源分析</w:t>
      </w:r>
      <w:bookmarkEnd w:id="182"/>
      <w:bookmarkEnd w:id="183"/>
      <w:bookmarkEnd w:id="184"/>
    </w:p>
    <w:p w14:paraId="637A53AD">
      <w:pPr>
        <w:spacing w:line="360" w:lineRule="auto"/>
        <w:ind w:firstLine="480"/>
        <w:jc w:val="left"/>
        <w:rPr>
          <w:smallCaps/>
          <w:color w:val="auto"/>
          <w:kern w:val="0"/>
          <w:sz w:val="24"/>
        </w:rPr>
      </w:pPr>
      <w:r>
        <w:rPr>
          <w:smallCaps/>
          <w:color w:val="auto"/>
          <w:kern w:val="0"/>
          <w:sz w:val="24"/>
        </w:rPr>
        <w:t>由拟建工程概况和功能特点可知，本项目污染源包括施工期及营运期污染源。施工期、营运期主要污染源包括噪声污染源、大气污染源、水污染源和固体废物污染源。</w:t>
      </w:r>
    </w:p>
    <w:p w14:paraId="4250A81F">
      <w:pPr>
        <w:pStyle w:val="4"/>
        <w:snapToGrid w:val="0"/>
        <w:spacing w:before="0"/>
        <w:rPr>
          <w:rFonts w:ascii="Times New Roman" w:hAnsi="Times New Roman" w:eastAsia="宋体"/>
          <w:bCs/>
          <w:color w:val="auto"/>
          <w:sz w:val="28"/>
          <w:szCs w:val="28"/>
        </w:rPr>
      </w:pPr>
      <w:bookmarkStart w:id="185" w:name="_Toc19307"/>
      <w:bookmarkStart w:id="186" w:name="_Toc479754833"/>
      <w:r>
        <w:rPr>
          <w:rFonts w:ascii="Times New Roman" w:hAnsi="Times New Roman" w:eastAsia="宋体"/>
          <w:bCs/>
          <w:color w:val="auto"/>
          <w:sz w:val="28"/>
          <w:szCs w:val="28"/>
        </w:rPr>
        <w:t>3.</w:t>
      </w:r>
      <w:r>
        <w:rPr>
          <w:rFonts w:hint="eastAsia" w:ascii="Times New Roman" w:hAnsi="Times New Roman" w:eastAsia="宋体"/>
          <w:bCs/>
          <w:color w:val="auto"/>
          <w:sz w:val="28"/>
          <w:szCs w:val="28"/>
        </w:rPr>
        <w:t>4</w:t>
      </w:r>
      <w:r>
        <w:rPr>
          <w:rFonts w:ascii="Times New Roman" w:hAnsi="Times New Roman" w:eastAsia="宋体"/>
          <w:bCs/>
          <w:color w:val="auto"/>
          <w:sz w:val="28"/>
          <w:szCs w:val="28"/>
        </w:rPr>
        <w:t>.1施工期污染源分析</w:t>
      </w:r>
      <w:bookmarkEnd w:id="185"/>
      <w:bookmarkEnd w:id="186"/>
    </w:p>
    <w:p w14:paraId="5BC4F78B">
      <w:pPr>
        <w:snapToGrid w:val="0"/>
        <w:spacing w:line="360" w:lineRule="auto"/>
        <w:ind w:firstLine="480" w:firstLineChars="200"/>
        <w:rPr>
          <w:bCs/>
          <w:color w:val="auto"/>
          <w:spacing w:val="6"/>
          <w:sz w:val="24"/>
        </w:rPr>
      </w:pPr>
      <w:r>
        <w:rPr>
          <w:color w:val="auto"/>
          <w:sz w:val="24"/>
        </w:rPr>
        <w:t>本工程施工期污染源主要有以下几方面：运输车辆和施工机械产生的噪声、废气、扬尘和施工过程中产生的废水、废渣及可能引起的水土流失，其中施工噪声和扬尘是施工期较为敏感的环境问题，作为重点分析对象。</w:t>
      </w:r>
      <w:r>
        <w:rPr>
          <w:bCs/>
          <w:color w:val="auto"/>
          <w:spacing w:val="6"/>
          <w:sz w:val="24"/>
        </w:rPr>
        <w:t>根据建设单位提供的资料，本项目施工期间施工人数最高峰为20人，施工人员为当地民工，早出晚归，不安排集中住宿，不设集中施工营地。施工人员就餐依托外送盒饭，施工工地内不设置食堂。</w:t>
      </w:r>
    </w:p>
    <w:p w14:paraId="547AF175">
      <w:pPr>
        <w:pStyle w:val="276"/>
        <w:ind w:left="0" w:leftChars="0" w:firstLine="0" w:firstLineChars="0"/>
        <w:rPr>
          <w:b/>
          <w:color w:val="auto"/>
        </w:rPr>
      </w:pPr>
      <w:r>
        <w:rPr>
          <w:b/>
          <w:color w:val="auto"/>
        </w:rPr>
        <w:t>3.</w:t>
      </w:r>
      <w:r>
        <w:rPr>
          <w:rFonts w:hint="eastAsia"/>
          <w:b/>
          <w:color w:val="auto"/>
        </w:rPr>
        <w:t>4</w:t>
      </w:r>
      <w:r>
        <w:rPr>
          <w:b/>
          <w:color w:val="auto"/>
        </w:rPr>
        <w:t>.1.1施工期大气污染源分析</w:t>
      </w:r>
    </w:p>
    <w:p w14:paraId="40E8AAE2">
      <w:pPr>
        <w:snapToGrid w:val="0"/>
        <w:spacing w:line="360" w:lineRule="auto"/>
        <w:ind w:firstLine="480" w:firstLineChars="200"/>
        <w:rPr>
          <w:color w:val="auto"/>
          <w:sz w:val="24"/>
        </w:rPr>
      </w:pPr>
      <w:r>
        <w:rPr>
          <w:color w:val="auto"/>
          <w:sz w:val="24"/>
        </w:rPr>
        <w:t>施工阶段产生扬尘的环节较多，且各处的扬尘排放方式不同、影响因素不同、持续时间也不固定，即有面源污染，也有线源污染。尽管这种影响会随着施工行为的停止而消失，但在短期内还是会影响当地的空气质量，使得区域大气中的TSP浓度将明显高于其它地区。粉尘排放量随施工作业的活动水平、特定操作和主导天气的变化而每天变化幅度较大，而且很大一部分是由于施工车辆往来行驶所引起的道路扬尘。扬尘产生量如下：</w:t>
      </w:r>
    </w:p>
    <w:p w14:paraId="739F04FD">
      <w:pPr>
        <w:snapToGrid w:val="0"/>
        <w:spacing w:line="360" w:lineRule="auto"/>
        <w:ind w:firstLine="480" w:firstLineChars="200"/>
        <w:rPr>
          <w:color w:val="auto"/>
          <w:sz w:val="24"/>
        </w:rPr>
      </w:pPr>
      <w:r>
        <w:rPr>
          <w:color w:val="auto"/>
          <w:sz w:val="24"/>
        </w:rPr>
        <w:t>施工扬尘产生量是按照物料衡算方法，根据建筑(或施工、拆迁)面积、施工期，综合分析全国各地已出台的扬尘排放系数而制定的平均产生量。建筑工程、市政工程扬尘排放量计算方式：W=W</w:t>
      </w:r>
      <w:r>
        <w:rPr>
          <w:color w:val="auto"/>
          <w:sz w:val="24"/>
          <w:vertAlign w:val="subscript"/>
        </w:rPr>
        <w:t>B</w:t>
      </w:r>
      <w:r>
        <w:rPr>
          <w:color w:val="auto"/>
          <w:sz w:val="24"/>
        </w:rPr>
        <w:t>-W</w:t>
      </w:r>
      <w:r>
        <w:rPr>
          <w:color w:val="auto"/>
          <w:sz w:val="24"/>
          <w:vertAlign w:val="subscript"/>
        </w:rPr>
        <w:t>K</w:t>
      </w:r>
    </w:p>
    <w:p w14:paraId="137B27B9">
      <w:pPr>
        <w:spacing w:line="360" w:lineRule="auto"/>
        <w:ind w:firstLine="480" w:firstLineChars="200"/>
        <w:rPr>
          <w:color w:val="auto"/>
          <w:sz w:val="24"/>
        </w:rPr>
      </w:pPr>
      <w:r>
        <w:rPr>
          <w:color w:val="auto"/>
          <w:sz w:val="24"/>
        </w:rPr>
        <w:t>W</w:t>
      </w:r>
      <w:r>
        <w:rPr>
          <w:color w:val="auto"/>
          <w:sz w:val="24"/>
          <w:vertAlign w:val="subscript"/>
        </w:rPr>
        <w:t>B</w:t>
      </w:r>
      <w:r>
        <w:rPr>
          <w:color w:val="auto"/>
          <w:sz w:val="24"/>
        </w:rPr>
        <w:t>=A×B×T</w:t>
      </w:r>
    </w:p>
    <w:p w14:paraId="03B63C9C">
      <w:pPr>
        <w:spacing w:line="360" w:lineRule="auto"/>
        <w:ind w:firstLine="480" w:firstLineChars="200"/>
        <w:rPr>
          <w:color w:val="auto"/>
          <w:sz w:val="24"/>
        </w:rPr>
      </w:pPr>
      <w:r>
        <w:rPr>
          <w:color w:val="auto"/>
          <w:sz w:val="24"/>
        </w:rPr>
        <w:t>W</w:t>
      </w:r>
      <w:r>
        <w:rPr>
          <w:color w:val="auto"/>
          <w:sz w:val="24"/>
          <w:vertAlign w:val="subscript"/>
        </w:rPr>
        <w:t>K</w:t>
      </w:r>
      <w:r>
        <w:rPr>
          <w:color w:val="auto"/>
          <w:sz w:val="24"/>
        </w:rPr>
        <w:t>=A×P×T</w:t>
      </w:r>
    </w:p>
    <w:p w14:paraId="7D4C643E">
      <w:pPr>
        <w:spacing w:line="360" w:lineRule="auto"/>
        <w:ind w:firstLine="480" w:firstLineChars="200"/>
        <w:rPr>
          <w:color w:val="auto"/>
          <w:sz w:val="24"/>
        </w:rPr>
      </w:pPr>
      <w:r>
        <w:rPr>
          <w:color w:val="auto"/>
          <w:sz w:val="24"/>
        </w:rPr>
        <w:t>W</w:t>
      </w:r>
      <w:r>
        <w:rPr>
          <w:rFonts w:hint="eastAsia"/>
          <w:color w:val="auto"/>
          <w:sz w:val="24"/>
        </w:rPr>
        <w:t>：</w:t>
      </w:r>
      <w:r>
        <w:rPr>
          <w:color w:val="auto"/>
          <w:sz w:val="24"/>
        </w:rPr>
        <w:t>施工、市政工地扬尘排放量(吨)；</w:t>
      </w:r>
    </w:p>
    <w:p w14:paraId="31397952">
      <w:pPr>
        <w:spacing w:line="360" w:lineRule="auto"/>
        <w:ind w:firstLine="480" w:firstLineChars="200"/>
        <w:rPr>
          <w:color w:val="auto"/>
          <w:sz w:val="24"/>
        </w:rPr>
      </w:pPr>
      <w:r>
        <w:rPr>
          <w:color w:val="auto"/>
          <w:sz w:val="24"/>
        </w:rPr>
        <w:t>W</w:t>
      </w:r>
      <w:r>
        <w:rPr>
          <w:color w:val="auto"/>
          <w:sz w:val="24"/>
          <w:vertAlign w:val="subscript"/>
        </w:rPr>
        <w:t>B</w:t>
      </w:r>
      <w:r>
        <w:rPr>
          <w:rFonts w:hint="eastAsia"/>
          <w:color w:val="auto"/>
          <w:sz w:val="24"/>
        </w:rPr>
        <w:t>：</w:t>
      </w:r>
      <w:r>
        <w:rPr>
          <w:color w:val="auto"/>
          <w:sz w:val="24"/>
        </w:rPr>
        <w:t>扬尘产生量(吨)；W</w:t>
      </w:r>
      <w:r>
        <w:rPr>
          <w:color w:val="auto"/>
          <w:sz w:val="24"/>
          <w:vertAlign w:val="subscript"/>
        </w:rPr>
        <w:t>K</w:t>
      </w:r>
      <w:r>
        <w:rPr>
          <w:color w:val="auto"/>
          <w:sz w:val="24"/>
        </w:rPr>
        <w:t>:扬尘削减量(吨)；</w:t>
      </w:r>
    </w:p>
    <w:p w14:paraId="65A26B46">
      <w:pPr>
        <w:spacing w:line="360" w:lineRule="auto"/>
        <w:ind w:firstLine="480" w:firstLineChars="200"/>
        <w:rPr>
          <w:color w:val="auto"/>
          <w:sz w:val="24"/>
          <w:highlight w:val="none"/>
        </w:rPr>
      </w:pPr>
      <w:r>
        <w:rPr>
          <w:color w:val="auto"/>
          <w:sz w:val="24"/>
        </w:rPr>
        <w:t>A</w:t>
      </w:r>
      <w:r>
        <w:rPr>
          <w:rFonts w:hint="eastAsia"/>
          <w:color w:val="auto"/>
          <w:sz w:val="24"/>
        </w:rPr>
        <w:t>：</w:t>
      </w:r>
      <w:r>
        <w:rPr>
          <w:color w:val="auto"/>
          <w:sz w:val="24"/>
        </w:rPr>
        <w:t>建筑工程按建筑面积、市政工地按施工面积(平方米)；</w:t>
      </w:r>
      <w:r>
        <w:rPr>
          <w:rFonts w:hint="eastAsia"/>
          <w:color w:val="auto"/>
          <w:sz w:val="24"/>
          <w:highlight w:val="none"/>
        </w:rPr>
        <w:t>本项目建筑面积</w:t>
      </w:r>
      <w:r>
        <w:rPr>
          <w:rFonts w:hint="eastAsia"/>
          <w:color w:val="auto"/>
          <w:sz w:val="24"/>
          <w:highlight w:val="none"/>
          <w:lang w:val="en-US" w:eastAsia="zh-CN"/>
        </w:rPr>
        <w:t>40046.37</w:t>
      </w:r>
      <w:r>
        <w:rPr>
          <w:rFonts w:hint="eastAsia"/>
          <w:color w:val="auto"/>
          <w:sz w:val="24"/>
          <w:highlight w:val="none"/>
        </w:rPr>
        <w:t>m</w:t>
      </w:r>
      <w:r>
        <w:rPr>
          <w:rFonts w:hint="eastAsia"/>
          <w:color w:val="auto"/>
          <w:sz w:val="24"/>
          <w:highlight w:val="none"/>
          <w:vertAlign w:val="superscript"/>
        </w:rPr>
        <w:t>2</w:t>
      </w:r>
      <w:r>
        <w:rPr>
          <w:rFonts w:hint="eastAsia"/>
          <w:color w:val="auto"/>
          <w:sz w:val="24"/>
          <w:highlight w:val="none"/>
        </w:rPr>
        <w:t>；</w:t>
      </w:r>
    </w:p>
    <w:p w14:paraId="46BB8338">
      <w:pPr>
        <w:spacing w:line="360" w:lineRule="auto"/>
        <w:ind w:firstLine="480" w:firstLineChars="200"/>
        <w:rPr>
          <w:color w:val="auto"/>
          <w:sz w:val="24"/>
        </w:rPr>
      </w:pPr>
      <w:r>
        <w:rPr>
          <w:color w:val="auto"/>
          <w:sz w:val="24"/>
        </w:rPr>
        <w:t>B</w:t>
      </w:r>
      <w:r>
        <w:rPr>
          <w:rFonts w:hint="eastAsia"/>
          <w:color w:val="auto"/>
          <w:sz w:val="24"/>
        </w:rPr>
        <w:t>：</w:t>
      </w:r>
      <w:r>
        <w:rPr>
          <w:color w:val="auto"/>
          <w:sz w:val="24"/>
        </w:rPr>
        <w:t>扬尘产生量系数(千克∕平方米*月)，详见表3-</w:t>
      </w:r>
      <w:r>
        <w:rPr>
          <w:rFonts w:hint="eastAsia"/>
          <w:color w:val="auto"/>
          <w:sz w:val="24"/>
        </w:rPr>
        <w:t>18</w:t>
      </w:r>
      <w:r>
        <w:rPr>
          <w:color w:val="auto"/>
          <w:sz w:val="24"/>
        </w:rPr>
        <w:t>。</w:t>
      </w:r>
    </w:p>
    <w:p w14:paraId="36851EDB">
      <w:pPr>
        <w:spacing w:line="360" w:lineRule="auto"/>
        <w:ind w:firstLine="480" w:firstLineChars="200"/>
        <w:rPr>
          <w:color w:val="auto"/>
          <w:sz w:val="24"/>
        </w:rPr>
      </w:pPr>
      <w:r>
        <w:rPr>
          <w:color w:val="auto"/>
          <w:sz w:val="24"/>
        </w:rPr>
        <w:t>P</w:t>
      </w:r>
      <w:r>
        <w:rPr>
          <w:rFonts w:hint="eastAsia"/>
          <w:color w:val="auto"/>
          <w:sz w:val="24"/>
        </w:rPr>
        <w:t>：</w:t>
      </w:r>
      <w:r>
        <w:rPr>
          <w:color w:val="auto"/>
          <w:sz w:val="24"/>
        </w:rPr>
        <w:t>扬尘排放量削减系数；详见表3-</w:t>
      </w:r>
      <w:r>
        <w:rPr>
          <w:rFonts w:hint="eastAsia"/>
          <w:color w:val="auto"/>
          <w:sz w:val="24"/>
        </w:rPr>
        <w:t>19</w:t>
      </w:r>
      <w:r>
        <w:rPr>
          <w:color w:val="auto"/>
          <w:sz w:val="24"/>
        </w:rPr>
        <w:t>。</w:t>
      </w:r>
    </w:p>
    <w:p w14:paraId="19D89E08">
      <w:pPr>
        <w:spacing w:line="360" w:lineRule="auto"/>
        <w:ind w:firstLine="480" w:firstLineChars="200"/>
        <w:rPr>
          <w:color w:val="auto"/>
          <w:sz w:val="24"/>
        </w:rPr>
      </w:pPr>
      <w:r>
        <w:rPr>
          <w:color w:val="auto"/>
          <w:sz w:val="24"/>
        </w:rPr>
        <w:t>T</w:t>
      </w:r>
      <w:r>
        <w:rPr>
          <w:rFonts w:hint="eastAsia"/>
          <w:color w:val="auto"/>
          <w:sz w:val="24"/>
        </w:rPr>
        <w:t>：</w:t>
      </w:r>
      <w:r>
        <w:rPr>
          <w:color w:val="auto"/>
          <w:sz w:val="24"/>
        </w:rPr>
        <w:t>施工期(月)，计算基本排放量时，建筑工程最大值为</w:t>
      </w:r>
      <w:r>
        <w:rPr>
          <w:rFonts w:hint="eastAsia"/>
          <w:color w:val="auto"/>
          <w:sz w:val="24"/>
        </w:rPr>
        <w:t>8</w:t>
      </w:r>
      <w:r>
        <w:rPr>
          <w:color w:val="auto"/>
          <w:sz w:val="24"/>
        </w:rPr>
        <w:t>个月，市政工程8个月，本项目按照</w:t>
      </w:r>
      <w:r>
        <w:rPr>
          <w:rFonts w:hint="eastAsia"/>
          <w:color w:val="auto"/>
          <w:sz w:val="24"/>
        </w:rPr>
        <w:t>8</w:t>
      </w:r>
      <w:r>
        <w:rPr>
          <w:color w:val="auto"/>
          <w:sz w:val="24"/>
        </w:rPr>
        <w:t>个月施工期来计算；</w:t>
      </w:r>
    </w:p>
    <w:p w14:paraId="47332CC4">
      <w:pPr>
        <w:spacing w:line="360" w:lineRule="auto"/>
        <w:ind w:firstLine="480" w:firstLineChars="200"/>
        <w:rPr>
          <w:color w:val="auto"/>
          <w:sz w:val="24"/>
        </w:rPr>
      </w:pPr>
      <w:r>
        <w:rPr>
          <w:color w:val="auto"/>
          <w:sz w:val="24"/>
        </w:rPr>
        <w:t>说明：</w:t>
      </w:r>
    </w:p>
    <w:p w14:paraId="1CF12825">
      <w:pPr>
        <w:spacing w:line="360" w:lineRule="auto"/>
        <w:ind w:firstLine="480" w:firstLineChars="200"/>
        <w:rPr>
          <w:color w:val="auto"/>
          <w:sz w:val="24"/>
        </w:rPr>
      </w:pPr>
      <w:r>
        <w:rPr>
          <w:color w:val="auto"/>
          <w:sz w:val="24"/>
        </w:rPr>
        <w:t>对于建筑工地按照建筑面积计算；市政工地按施工面积计算，施工面积为建筑道路红线宽度乘以施工长度，其他为三倍开挖宽度乘以施工长度，市政工地分段施工时按实际在施工面积计算；</w:t>
      </w:r>
    </w:p>
    <w:p w14:paraId="45321F17">
      <w:pPr>
        <w:adjustRightInd w:val="0"/>
        <w:snapToGrid w:val="0"/>
        <w:ind w:firstLine="105" w:firstLineChars="50"/>
        <w:jc w:val="center"/>
        <w:rPr>
          <w:b/>
          <w:bCs/>
          <w:color w:val="auto"/>
          <w:kern w:val="0"/>
          <w:szCs w:val="21"/>
        </w:rPr>
      </w:pPr>
      <w:r>
        <w:rPr>
          <w:b/>
          <w:bCs/>
          <w:color w:val="auto"/>
          <w:kern w:val="0"/>
          <w:szCs w:val="21"/>
        </w:rPr>
        <w:t>表</w:t>
      </w:r>
      <w:r>
        <w:rPr>
          <w:rFonts w:hint="eastAsia"/>
          <w:b/>
          <w:bCs/>
          <w:color w:val="auto"/>
          <w:kern w:val="0"/>
          <w:szCs w:val="21"/>
          <w:lang w:val="en-US" w:eastAsia="zh-CN"/>
        </w:rPr>
        <w:t>3.4-1</w:t>
      </w:r>
      <w:r>
        <w:rPr>
          <w:b/>
          <w:bCs/>
          <w:color w:val="auto"/>
          <w:kern w:val="0"/>
          <w:szCs w:val="21"/>
        </w:rPr>
        <w:t xml:space="preserve">    施工工地扬尘产生量系数</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92"/>
        <w:gridCol w:w="1695"/>
        <w:gridCol w:w="1641"/>
      </w:tblGrid>
      <w:tr w14:paraId="327AD1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92" w:type="dxa"/>
            <w:vAlign w:val="center"/>
          </w:tcPr>
          <w:p w14:paraId="523ACCF0">
            <w:pPr>
              <w:jc w:val="center"/>
              <w:rPr>
                <w:color w:val="auto"/>
                <w:szCs w:val="21"/>
              </w:rPr>
            </w:pPr>
            <w:r>
              <w:rPr>
                <w:color w:val="auto"/>
                <w:szCs w:val="21"/>
              </w:rPr>
              <w:t>工地类型</w:t>
            </w:r>
          </w:p>
        </w:tc>
        <w:tc>
          <w:tcPr>
            <w:tcW w:w="1695" w:type="dxa"/>
            <w:vAlign w:val="center"/>
          </w:tcPr>
          <w:p w14:paraId="44EE890F">
            <w:pPr>
              <w:jc w:val="center"/>
              <w:rPr>
                <w:color w:val="auto"/>
                <w:szCs w:val="21"/>
              </w:rPr>
            </w:pPr>
            <w:r>
              <w:rPr>
                <w:color w:val="auto"/>
                <w:szCs w:val="21"/>
              </w:rPr>
              <w:t>建筑工地</w:t>
            </w:r>
          </w:p>
        </w:tc>
        <w:tc>
          <w:tcPr>
            <w:tcW w:w="1641" w:type="dxa"/>
            <w:vAlign w:val="center"/>
          </w:tcPr>
          <w:p w14:paraId="1B8F45C9">
            <w:pPr>
              <w:jc w:val="center"/>
              <w:rPr>
                <w:color w:val="auto"/>
                <w:szCs w:val="21"/>
              </w:rPr>
            </w:pPr>
            <w:r>
              <w:rPr>
                <w:color w:val="auto"/>
                <w:szCs w:val="21"/>
              </w:rPr>
              <w:t>市政(拆迁)工地</w:t>
            </w:r>
          </w:p>
        </w:tc>
      </w:tr>
      <w:tr w14:paraId="2BB2691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92" w:type="dxa"/>
            <w:vAlign w:val="center"/>
          </w:tcPr>
          <w:p w14:paraId="1BF47BCA">
            <w:pPr>
              <w:jc w:val="center"/>
              <w:rPr>
                <w:color w:val="auto"/>
                <w:szCs w:val="21"/>
              </w:rPr>
            </w:pPr>
            <w:r>
              <w:rPr>
                <w:color w:val="auto"/>
                <w:szCs w:val="21"/>
              </w:rPr>
              <w:t>基本排放量排放系数W</w:t>
            </w:r>
            <w:r>
              <w:rPr>
                <w:color w:val="auto"/>
                <w:szCs w:val="21"/>
                <w:vertAlign w:val="subscript"/>
              </w:rPr>
              <w:t>B</w:t>
            </w:r>
            <w:r>
              <w:rPr>
                <w:color w:val="auto"/>
                <w:szCs w:val="21"/>
              </w:rPr>
              <w:t>kg/m</w:t>
            </w:r>
            <w:r>
              <w:rPr>
                <w:color w:val="auto"/>
                <w:szCs w:val="21"/>
                <w:vertAlign w:val="superscript"/>
              </w:rPr>
              <w:t>2</w:t>
            </w:r>
            <w:r>
              <w:rPr>
                <w:color w:val="auto"/>
                <w:szCs w:val="21"/>
              </w:rPr>
              <w:t>·月</w:t>
            </w:r>
          </w:p>
        </w:tc>
        <w:tc>
          <w:tcPr>
            <w:tcW w:w="1695" w:type="dxa"/>
            <w:vAlign w:val="center"/>
          </w:tcPr>
          <w:p w14:paraId="0DD561E2">
            <w:pPr>
              <w:jc w:val="center"/>
              <w:rPr>
                <w:color w:val="auto"/>
                <w:szCs w:val="21"/>
              </w:rPr>
            </w:pPr>
            <w:r>
              <w:rPr>
                <w:color w:val="auto"/>
                <w:szCs w:val="21"/>
              </w:rPr>
              <w:t>1.01</w:t>
            </w:r>
          </w:p>
        </w:tc>
        <w:tc>
          <w:tcPr>
            <w:tcW w:w="1641" w:type="dxa"/>
            <w:vAlign w:val="center"/>
          </w:tcPr>
          <w:p w14:paraId="486D6C45">
            <w:pPr>
              <w:jc w:val="center"/>
              <w:rPr>
                <w:color w:val="auto"/>
                <w:szCs w:val="21"/>
              </w:rPr>
            </w:pPr>
            <w:r>
              <w:rPr>
                <w:color w:val="auto"/>
                <w:szCs w:val="21"/>
              </w:rPr>
              <w:t>1.64</w:t>
            </w:r>
          </w:p>
        </w:tc>
      </w:tr>
    </w:tbl>
    <w:p w14:paraId="4B1A3BCA">
      <w:pPr>
        <w:adjustRightInd w:val="0"/>
        <w:snapToGrid w:val="0"/>
        <w:ind w:firstLine="105" w:firstLineChars="50"/>
        <w:jc w:val="center"/>
        <w:rPr>
          <w:b/>
          <w:bCs/>
          <w:color w:val="auto"/>
          <w:kern w:val="0"/>
          <w:szCs w:val="21"/>
        </w:rPr>
      </w:pPr>
      <w:r>
        <w:rPr>
          <w:b/>
          <w:bCs/>
          <w:color w:val="auto"/>
          <w:kern w:val="0"/>
          <w:szCs w:val="21"/>
        </w:rPr>
        <w:t>表</w:t>
      </w:r>
      <w:r>
        <w:rPr>
          <w:rFonts w:hint="eastAsia"/>
          <w:b/>
          <w:bCs/>
          <w:color w:val="auto"/>
          <w:kern w:val="0"/>
          <w:szCs w:val="21"/>
          <w:lang w:val="en-US" w:eastAsia="zh-CN"/>
        </w:rPr>
        <w:t>3.4-2</w:t>
      </w:r>
      <w:r>
        <w:rPr>
          <w:b/>
          <w:bCs/>
          <w:color w:val="auto"/>
          <w:kern w:val="0"/>
          <w:szCs w:val="21"/>
        </w:rPr>
        <w:t xml:space="preserve">    施工工地扬尘排放量削减系数</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0"/>
        <w:gridCol w:w="1592"/>
        <w:gridCol w:w="2652"/>
        <w:gridCol w:w="2262"/>
        <w:gridCol w:w="1092"/>
      </w:tblGrid>
      <w:tr w14:paraId="1DD33C9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restart"/>
            <w:vAlign w:val="center"/>
          </w:tcPr>
          <w:p w14:paraId="4D11D87E">
            <w:pPr>
              <w:spacing w:line="400" w:lineRule="exact"/>
              <w:jc w:val="center"/>
              <w:rPr>
                <w:color w:val="auto"/>
                <w:szCs w:val="21"/>
              </w:rPr>
            </w:pPr>
            <w:r>
              <w:rPr>
                <w:color w:val="auto"/>
                <w:szCs w:val="21"/>
              </w:rPr>
              <w:t>工地类型</w:t>
            </w:r>
          </w:p>
        </w:tc>
        <w:tc>
          <w:tcPr>
            <w:tcW w:w="1592" w:type="dxa"/>
            <w:vMerge w:val="restart"/>
            <w:vAlign w:val="center"/>
          </w:tcPr>
          <w:p w14:paraId="5B144370">
            <w:pPr>
              <w:spacing w:line="400" w:lineRule="exact"/>
              <w:jc w:val="center"/>
              <w:rPr>
                <w:color w:val="auto"/>
                <w:szCs w:val="21"/>
              </w:rPr>
            </w:pPr>
            <w:r>
              <w:rPr>
                <w:color w:val="auto"/>
                <w:szCs w:val="21"/>
              </w:rPr>
              <w:t>扬尘类型</w:t>
            </w:r>
          </w:p>
        </w:tc>
        <w:tc>
          <w:tcPr>
            <w:tcW w:w="2652" w:type="dxa"/>
            <w:vMerge w:val="restart"/>
            <w:vAlign w:val="center"/>
          </w:tcPr>
          <w:p w14:paraId="73CFA30E">
            <w:pPr>
              <w:spacing w:line="400" w:lineRule="exact"/>
              <w:jc w:val="center"/>
              <w:rPr>
                <w:color w:val="auto"/>
                <w:szCs w:val="21"/>
              </w:rPr>
            </w:pPr>
            <w:r>
              <w:rPr>
                <w:color w:val="auto"/>
                <w:szCs w:val="21"/>
              </w:rPr>
              <w:t>扬尘污染控制措施</w:t>
            </w:r>
          </w:p>
        </w:tc>
        <w:tc>
          <w:tcPr>
            <w:tcW w:w="3354" w:type="dxa"/>
            <w:gridSpan w:val="2"/>
            <w:vAlign w:val="center"/>
          </w:tcPr>
          <w:p w14:paraId="79A0FB32">
            <w:pPr>
              <w:spacing w:line="400" w:lineRule="exact"/>
              <w:jc w:val="center"/>
              <w:rPr>
                <w:color w:val="auto"/>
                <w:szCs w:val="21"/>
              </w:rPr>
            </w:pPr>
            <w:r>
              <w:rPr>
                <w:color w:val="auto"/>
                <w:szCs w:val="21"/>
              </w:rPr>
              <w:t>可控排放量排放系数(kg/m</w:t>
            </w:r>
            <w:r>
              <w:rPr>
                <w:color w:val="auto"/>
                <w:szCs w:val="21"/>
                <w:vertAlign w:val="superscript"/>
              </w:rPr>
              <w:t>2</w:t>
            </w:r>
            <w:r>
              <w:rPr>
                <w:color w:val="auto"/>
                <w:szCs w:val="21"/>
              </w:rPr>
              <w:t>·月)</w:t>
            </w:r>
          </w:p>
        </w:tc>
      </w:tr>
      <w:tr w14:paraId="215B534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continue"/>
            <w:vAlign w:val="center"/>
          </w:tcPr>
          <w:p w14:paraId="4DDA6A15">
            <w:pPr>
              <w:spacing w:line="400" w:lineRule="exact"/>
              <w:jc w:val="center"/>
              <w:rPr>
                <w:color w:val="auto"/>
                <w:szCs w:val="21"/>
              </w:rPr>
            </w:pPr>
          </w:p>
        </w:tc>
        <w:tc>
          <w:tcPr>
            <w:tcW w:w="1592" w:type="dxa"/>
            <w:vMerge w:val="continue"/>
            <w:vAlign w:val="center"/>
          </w:tcPr>
          <w:p w14:paraId="649869A6">
            <w:pPr>
              <w:spacing w:line="400" w:lineRule="exact"/>
              <w:jc w:val="center"/>
              <w:rPr>
                <w:color w:val="auto"/>
                <w:szCs w:val="21"/>
              </w:rPr>
            </w:pPr>
          </w:p>
        </w:tc>
        <w:tc>
          <w:tcPr>
            <w:tcW w:w="2652" w:type="dxa"/>
            <w:vMerge w:val="continue"/>
            <w:vAlign w:val="center"/>
          </w:tcPr>
          <w:p w14:paraId="4BDF0FA9">
            <w:pPr>
              <w:spacing w:line="400" w:lineRule="exact"/>
              <w:jc w:val="center"/>
              <w:rPr>
                <w:color w:val="auto"/>
                <w:szCs w:val="21"/>
              </w:rPr>
            </w:pPr>
          </w:p>
        </w:tc>
        <w:tc>
          <w:tcPr>
            <w:tcW w:w="3354" w:type="dxa"/>
            <w:gridSpan w:val="2"/>
            <w:vAlign w:val="center"/>
          </w:tcPr>
          <w:p w14:paraId="44D4234E">
            <w:pPr>
              <w:spacing w:line="400" w:lineRule="exact"/>
              <w:jc w:val="center"/>
              <w:rPr>
                <w:color w:val="auto"/>
                <w:szCs w:val="21"/>
              </w:rPr>
            </w:pPr>
            <w:r>
              <w:rPr>
                <w:color w:val="auto"/>
                <w:szCs w:val="21"/>
              </w:rPr>
              <w:t>措施达标</w:t>
            </w:r>
          </w:p>
        </w:tc>
      </w:tr>
      <w:tr w14:paraId="1EE4EB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continue"/>
            <w:vAlign w:val="center"/>
          </w:tcPr>
          <w:p w14:paraId="5F8CE52F">
            <w:pPr>
              <w:spacing w:line="400" w:lineRule="exact"/>
              <w:jc w:val="center"/>
              <w:rPr>
                <w:color w:val="auto"/>
                <w:szCs w:val="21"/>
              </w:rPr>
            </w:pPr>
          </w:p>
        </w:tc>
        <w:tc>
          <w:tcPr>
            <w:tcW w:w="1592" w:type="dxa"/>
            <w:vMerge w:val="continue"/>
            <w:vAlign w:val="center"/>
          </w:tcPr>
          <w:p w14:paraId="25FA0380">
            <w:pPr>
              <w:spacing w:line="400" w:lineRule="exact"/>
              <w:jc w:val="center"/>
              <w:rPr>
                <w:color w:val="auto"/>
                <w:szCs w:val="21"/>
              </w:rPr>
            </w:pPr>
          </w:p>
        </w:tc>
        <w:tc>
          <w:tcPr>
            <w:tcW w:w="2652" w:type="dxa"/>
            <w:vMerge w:val="continue"/>
            <w:vAlign w:val="center"/>
          </w:tcPr>
          <w:p w14:paraId="6F49FB4C">
            <w:pPr>
              <w:spacing w:line="400" w:lineRule="exact"/>
              <w:jc w:val="center"/>
              <w:rPr>
                <w:color w:val="auto"/>
                <w:szCs w:val="21"/>
              </w:rPr>
            </w:pPr>
          </w:p>
        </w:tc>
        <w:tc>
          <w:tcPr>
            <w:tcW w:w="2262" w:type="dxa"/>
            <w:vAlign w:val="center"/>
          </w:tcPr>
          <w:p w14:paraId="30F3476A">
            <w:pPr>
              <w:spacing w:line="400" w:lineRule="exact"/>
              <w:jc w:val="center"/>
              <w:rPr>
                <w:color w:val="auto"/>
                <w:szCs w:val="21"/>
              </w:rPr>
            </w:pPr>
            <w:r>
              <w:rPr>
                <w:color w:val="auto"/>
                <w:szCs w:val="21"/>
              </w:rPr>
              <w:t>是</w:t>
            </w:r>
          </w:p>
        </w:tc>
        <w:tc>
          <w:tcPr>
            <w:tcW w:w="1092" w:type="dxa"/>
            <w:vAlign w:val="center"/>
          </w:tcPr>
          <w:p w14:paraId="3B271EDB">
            <w:pPr>
              <w:spacing w:line="400" w:lineRule="exact"/>
              <w:jc w:val="center"/>
              <w:rPr>
                <w:color w:val="auto"/>
                <w:szCs w:val="21"/>
              </w:rPr>
            </w:pPr>
            <w:r>
              <w:rPr>
                <w:color w:val="auto"/>
                <w:szCs w:val="21"/>
              </w:rPr>
              <w:t>否</w:t>
            </w:r>
          </w:p>
        </w:tc>
      </w:tr>
      <w:tr w14:paraId="40E90BF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restart"/>
            <w:vAlign w:val="center"/>
          </w:tcPr>
          <w:p w14:paraId="213B61FF">
            <w:pPr>
              <w:spacing w:line="400" w:lineRule="exact"/>
              <w:jc w:val="center"/>
              <w:rPr>
                <w:color w:val="auto"/>
                <w:szCs w:val="21"/>
              </w:rPr>
            </w:pPr>
            <w:r>
              <w:rPr>
                <w:color w:val="auto"/>
                <w:szCs w:val="21"/>
              </w:rPr>
              <w:t>建筑工地</w:t>
            </w:r>
          </w:p>
        </w:tc>
        <w:tc>
          <w:tcPr>
            <w:tcW w:w="1592" w:type="dxa"/>
            <w:vMerge w:val="restart"/>
            <w:vAlign w:val="center"/>
          </w:tcPr>
          <w:p w14:paraId="0C306061">
            <w:pPr>
              <w:spacing w:line="400" w:lineRule="exact"/>
              <w:jc w:val="center"/>
              <w:rPr>
                <w:color w:val="auto"/>
                <w:szCs w:val="21"/>
              </w:rPr>
            </w:pPr>
            <w:r>
              <w:rPr>
                <w:color w:val="auto"/>
                <w:szCs w:val="21"/>
              </w:rPr>
              <w:t>一次扬尘</w:t>
            </w:r>
          </w:p>
        </w:tc>
        <w:tc>
          <w:tcPr>
            <w:tcW w:w="2652" w:type="dxa"/>
            <w:vAlign w:val="center"/>
          </w:tcPr>
          <w:p w14:paraId="234BAFA4">
            <w:pPr>
              <w:spacing w:line="400" w:lineRule="exact"/>
              <w:jc w:val="center"/>
              <w:rPr>
                <w:color w:val="auto"/>
                <w:szCs w:val="21"/>
              </w:rPr>
            </w:pPr>
            <w:r>
              <w:rPr>
                <w:color w:val="auto"/>
                <w:szCs w:val="21"/>
              </w:rPr>
              <w:t>道路硬化与管理</w:t>
            </w:r>
          </w:p>
        </w:tc>
        <w:tc>
          <w:tcPr>
            <w:tcW w:w="2262" w:type="dxa"/>
            <w:vAlign w:val="center"/>
          </w:tcPr>
          <w:p w14:paraId="10782A6C">
            <w:pPr>
              <w:spacing w:line="400" w:lineRule="exact"/>
              <w:jc w:val="center"/>
              <w:rPr>
                <w:color w:val="auto"/>
                <w:szCs w:val="21"/>
              </w:rPr>
            </w:pPr>
            <w:r>
              <w:rPr>
                <w:color w:val="auto"/>
                <w:szCs w:val="21"/>
              </w:rPr>
              <w:t>0.071</w:t>
            </w:r>
          </w:p>
        </w:tc>
        <w:tc>
          <w:tcPr>
            <w:tcW w:w="1092" w:type="dxa"/>
            <w:vAlign w:val="center"/>
          </w:tcPr>
          <w:p w14:paraId="2D908922">
            <w:pPr>
              <w:spacing w:line="400" w:lineRule="exact"/>
              <w:jc w:val="center"/>
              <w:rPr>
                <w:color w:val="auto"/>
                <w:szCs w:val="21"/>
              </w:rPr>
            </w:pPr>
            <w:r>
              <w:rPr>
                <w:color w:val="auto"/>
                <w:szCs w:val="21"/>
              </w:rPr>
              <w:t>0</w:t>
            </w:r>
          </w:p>
        </w:tc>
      </w:tr>
      <w:tr w14:paraId="459AAA0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continue"/>
            <w:vAlign w:val="center"/>
          </w:tcPr>
          <w:p w14:paraId="51383BF4">
            <w:pPr>
              <w:spacing w:line="400" w:lineRule="exact"/>
              <w:jc w:val="center"/>
              <w:rPr>
                <w:color w:val="auto"/>
                <w:szCs w:val="21"/>
              </w:rPr>
            </w:pPr>
          </w:p>
        </w:tc>
        <w:tc>
          <w:tcPr>
            <w:tcW w:w="1592" w:type="dxa"/>
            <w:vMerge w:val="continue"/>
            <w:vAlign w:val="center"/>
          </w:tcPr>
          <w:p w14:paraId="2B8B97A4">
            <w:pPr>
              <w:spacing w:line="400" w:lineRule="exact"/>
              <w:jc w:val="center"/>
              <w:rPr>
                <w:color w:val="auto"/>
                <w:szCs w:val="21"/>
              </w:rPr>
            </w:pPr>
          </w:p>
        </w:tc>
        <w:tc>
          <w:tcPr>
            <w:tcW w:w="2652" w:type="dxa"/>
            <w:vAlign w:val="center"/>
          </w:tcPr>
          <w:p w14:paraId="69785D7E">
            <w:pPr>
              <w:spacing w:line="400" w:lineRule="exact"/>
              <w:jc w:val="center"/>
              <w:rPr>
                <w:color w:val="auto"/>
                <w:szCs w:val="21"/>
              </w:rPr>
            </w:pPr>
            <w:r>
              <w:rPr>
                <w:color w:val="auto"/>
                <w:szCs w:val="21"/>
              </w:rPr>
              <w:t>边界围挡</w:t>
            </w:r>
          </w:p>
        </w:tc>
        <w:tc>
          <w:tcPr>
            <w:tcW w:w="2262" w:type="dxa"/>
            <w:vAlign w:val="center"/>
          </w:tcPr>
          <w:p w14:paraId="54048298">
            <w:pPr>
              <w:spacing w:line="400" w:lineRule="exact"/>
              <w:jc w:val="center"/>
              <w:rPr>
                <w:color w:val="auto"/>
                <w:szCs w:val="21"/>
              </w:rPr>
            </w:pPr>
            <w:r>
              <w:rPr>
                <w:color w:val="auto"/>
                <w:szCs w:val="21"/>
              </w:rPr>
              <w:t>0.047</w:t>
            </w:r>
          </w:p>
        </w:tc>
        <w:tc>
          <w:tcPr>
            <w:tcW w:w="1092" w:type="dxa"/>
            <w:vAlign w:val="center"/>
          </w:tcPr>
          <w:p w14:paraId="6D005F34">
            <w:pPr>
              <w:spacing w:line="400" w:lineRule="exact"/>
              <w:jc w:val="center"/>
              <w:rPr>
                <w:color w:val="auto"/>
                <w:szCs w:val="21"/>
              </w:rPr>
            </w:pPr>
            <w:r>
              <w:rPr>
                <w:color w:val="auto"/>
                <w:szCs w:val="21"/>
              </w:rPr>
              <w:t>0</w:t>
            </w:r>
          </w:p>
        </w:tc>
      </w:tr>
      <w:tr w14:paraId="67281B2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continue"/>
            <w:vAlign w:val="center"/>
          </w:tcPr>
          <w:p w14:paraId="5074AEA3">
            <w:pPr>
              <w:spacing w:line="400" w:lineRule="exact"/>
              <w:jc w:val="center"/>
              <w:rPr>
                <w:color w:val="auto"/>
                <w:szCs w:val="21"/>
              </w:rPr>
            </w:pPr>
          </w:p>
        </w:tc>
        <w:tc>
          <w:tcPr>
            <w:tcW w:w="1592" w:type="dxa"/>
            <w:vMerge w:val="continue"/>
            <w:vAlign w:val="center"/>
          </w:tcPr>
          <w:p w14:paraId="2D574521">
            <w:pPr>
              <w:spacing w:line="400" w:lineRule="exact"/>
              <w:jc w:val="center"/>
              <w:rPr>
                <w:color w:val="auto"/>
                <w:szCs w:val="21"/>
              </w:rPr>
            </w:pPr>
          </w:p>
        </w:tc>
        <w:tc>
          <w:tcPr>
            <w:tcW w:w="2652" w:type="dxa"/>
            <w:vAlign w:val="center"/>
          </w:tcPr>
          <w:p w14:paraId="5ECA46D4">
            <w:pPr>
              <w:spacing w:line="400" w:lineRule="exact"/>
              <w:jc w:val="center"/>
              <w:rPr>
                <w:color w:val="auto"/>
                <w:szCs w:val="21"/>
              </w:rPr>
            </w:pPr>
            <w:r>
              <w:rPr>
                <w:color w:val="auto"/>
                <w:szCs w:val="21"/>
              </w:rPr>
              <w:t>裸露地面覆盖</w:t>
            </w:r>
          </w:p>
        </w:tc>
        <w:tc>
          <w:tcPr>
            <w:tcW w:w="2262" w:type="dxa"/>
            <w:vAlign w:val="center"/>
          </w:tcPr>
          <w:p w14:paraId="2768F1CA">
            <w:pPr>
              <w:spacing w:line="400" w:lineRule="exact"/>
              <w:jc w:val="center"/>
              <w:rPr>
                <w:color w:val="auto"/>
                <w:szCs w:val="21"/>
              </w:rPr>
            </w:pPr>
            <w:r>
              <w:rPr>
                <w:color w:val="auto"/>
                <w:szCs w:val="21"/>
              </w:rPr>
              <w:t>0.047</w:t>
            </w:r>
          </w:p>
        </w:tc>
        <w:tc>
          <w:tcPr>
            <w:tcW w:w="1092" w:type="dxa"/>
            <w:vAlign w:val="center"/>
          </w:tcPr>
          <w:p w14:paraId="0C261686">
            <w:pPr>
              <w:spacing w:line="400" w:lineRule="exact"/>
              <w:jc w:val="center"/>
              <w:rPr>
                <w:color w:val="auto"/>
                <w:szCs w:val="21"/>
              </w:rPr>
            </w:pPr>
            <w:r>
              <w:rPr>
                <w:color w:val="auto"/>
                <w:szCs w:val="21"/>
              </w:rPr>
              <w:t>0</w:t>
            </w:r>
          </w:p>
        </w:tc>
      </w:tr>
      <w:tr w14:paraId="196FDAF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continue"/>
            <w:vAlign w:val="center"/>
          </w:tcPr>
          <w:p w14:paraId="7716842A">
            <w:pPr>
              <w:spacing w:line="400" w:lineRule="exact"/>
              <w:jc w:val="center"/>
              <w:rPr>
                <w:color w:val="auto"/>
                <w:szCs w:val="21"/>
              </w:rPr>
            </w:pPr>
          </w:p>
        </w:tc>
        <w:tc>
          <w:tcPr>
            <w:tcW w:w="1592" w:type="dxa"/>
            <w:vMerge w:val="continue"/>
            <w:vAlign w:val="center"/>
          </w:tcPr>
          <w:p w14:paraId="1CFE0F70">
            <w:pPr>
              <w:spacing w:line="400" w:lineRule="exact"/>
              <w:jc w:val="center"/>
              <w:rPr>
                <w:color w:val="auto"/>
                <w:szCs w:val="21"/>
              </w:rPr>
            </w:pPr>
          </w:p>
        </w:tc>
        <w:tc>
          <w:tcPr>
            <w:tcW w:w="2652" w:type="dxa"/>
            <w:vAlign w:val="center"/>
          </w:tcPr>
          <w:p w14:paraId="75A7AEBD">
            <w:pPr>
              <w:spacing w:line="400" w:lineRule="exact"/>
              <w:jc w:val="center"/>
              <w:rPr>
                <w:color w:val="auto"/>
                <w:szCs w:val="21"/>
              </w:rPr>
            </w:pPr>
            <w:r>
              <w:rPr>
                <w:color w:val="auto"/>
                <w:szCs w:val="21"/>
              </w:rPr>
              <w:t>易扬尘物料覆盖</w:t>
            </w:r>
          </w:p>
        </w:tc>
        <w:tc>
          <w:tcPr>
            <w:tcW w:w="2262" w:type="dxa"/>
            <w:vAlign w:val="center"/>
          </w:tcPr>
          <w:p w14:paraId="6067272F">
            <w:pPr>
              <w:spacing w:line="400" w:lineRule="exact"/>
              <w:jc w:val="center"/>
              <w:rPr>
                <w:color w:val="auto"/>
                <w:szCs w:val="21"/>
              </w:rPr>
            </w:pPr>
            <w:r>
              <w:rPr>
                <w:color w:val="auto"/>
                <w:szCs w:val="21"/>
              </w:rPr>
              <w:t>0.025</w:t>
            </w:r>
          </w:p>
        </w:tc>
        <w:tc>
          <w:tcPr>
            <w:tcW w:w="1092" w:type="dxa"/>
            <w:vAlign w:val="center"/>
          </w:tcPr>
          <w:p w14:paraId="086D60D7">
            <w:pPr>
              <w:spacing w:line="400" w:lineRule="exact"/>
              <w:jc w:val="center"/>
              <w:rPr>
                <w:color w:val="auto"/>
                <w:szCs w:val="21"/>
              </w:rPr>
            </w:pPr>
            <w:r>
              <w:rPr>
                <w:color w:val="auto"/>
                <w:szCs w:val="21"/>
              </w:rPr>
              <w:t>0</w:t>
            </w:r>
          </w:p>
        </w:tc>
      </w:tr>
      <w:tr w14:paraId="0CFD065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continue"/>
            <w:vAlign w:val="center"/>
          </w:tcPr>
          <w:p w14:paraId="0BBD1A4A">
            <w:pPr>
              <w:spacing w:line="400" w:lineRule="exact"/>
              <w:jc w:val="center"/>
              <w:rPr>
                <w:color w:val="auto"/>
                <w:szCs w:val="21"/>
              </w:rPr>
            </w:pPr>
          </w:p>
        </w:tc>
        <w:tc>
          <w:tcPr>
            <w:tcW w:w="1592" w:type="dxa"/>
            <w:vMerge w:val="continue"/>
            <w:vAlign w:val="center"/>
          </w:tcPr>
          <w:p w14:paraId="08DB0384">
            <w:pPr>
              <w:spacing w:line="400" w:lineRule="exact"/>
              <w:jc w:val="center"/>
              <w:rPr>
                <w:color w:val="auto"/>
                <w:szCs w:val="21"/>
              </w:rPr>
            </w:pPr>
          </w:p>
        </w:tc>
        <w:tc>
          <w:tcPr>
            <w:tcW w:w="2652" w:type="dxa"/>
            <w:vAlign w:val="center"/>
          </w:tcPr>
          <w:p w14:paraId="6EE2068D">
            <w:pPr>
              <w:spacing w:line="400" w:lineRule="exact"/>
              <w:jc w:val="center"/>
              <w:rPr>
                <w:color w:val="auto"/>
                <w:szCs w:val="21"/>
              </w:rPr>
            </w:pPr>
            <w:r>
              <w:rPr>
                <w:color w:val="auto"/>
                <w:szCs w:val="21"/>
              </w:rPr>
              <w:t>定期喷洒抑制剂</w:t>
            </w:r>
          </w:p>
        </w:tc>
        <w:tc>
          <w:tcPr>
            <w:tcW w:w="2262" w:type="dxa"/>
            <w:vAlign w:val="center"/>
          </w:tcPr>
          <w:p w14:paraId="2DDCF40A">
            <w:pPr>
              <w:spacing w:line="400" w:lineRule="exact"/>
              <w:jc w:val="center"/>
              <w:rPr>
                <w:color w:val="auto"/>
                <w:szCs w:val="21"/>
              </w:rPr>
            </w:pPr>
            <w:r>
              <w:rPr>
                <w:color w:val="auto"/>
                <w:szCs w:val="21"/>
              </w:rPr>
              <w:t>0.03</w:t>
            </w:r>
          </w:p>
        </w:tc>
        <w:tc>
          <w:tcPr>
            <w:tcW w:w="1092" w:type="dxa"/>
            <w:vAlign w:val="center"/>
          </w:tcPr>
          <w:p w14:paraId="744555F9">
            <w:pPr>
              <w:spacing w:line="400" w:lineRule="exact"/>
              <w:jc w:val="center"/>
              <w:rPr>
                <w:color w:val="auto"/>
                <w:szCs w:val="21"/>
              </w:rPr>
            </w:pPr>
            <w:r>
              <w:rPr>
                <w:color w:val="auto"/>
                <w:szCs w:val="21"/>
              </w:rPr>
              <w:t>0</w:t>
            </w:r>
          </w:p>
        </w:tc>
      </w:tr>
      <w:tr w14:paraId="0C121B6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continue"/>
            <w:vAlign w:val="center"/>
          </w:tcPr>
          <w:p w14:paraId="4FEA7AB8">
            <w:pPr>
              <w:spacing w:line="400" w:lineRule="exact"/>
              <w:jc w:val="center"/>
              <w:rPr>
                <w:color w:val="auto"/>
                <w:szCs w:val="21"/>
              </w:rPr>
            </w:pPr>
          </w:p>
        </w:tc>
        <w:tc>
          <w:tcPr>
            <w:tcW w:w="1592" w:type="dxa"/>
            <w:vMerge w:val="restart"/>
            <w:vAlign w:val="center"/>
          </w:tcPr>
          <w:p w14:paraId="10D20C0C">
            <w:pPr>
              <w:spacing w:line="400" w:lineRule="exact"/>
              <w:jc w:val="center"/>
              <w:rPr>
                <w:color w:val="auto"/>
                <w:szCs w:val="21"/>
              </w:rPr>
            </w:pPr>
            <w:r>
              <w:rPr>
                <w:color w:val="auto"/>
                <w:szCs w:val="21"/>
              </w:rPr>
              <w:t>二次扬尘</w:t>
            </w:r>
          </w:p>
        </w:tc>
        <w:tc>
          <w:tcPr>
            <w:tcW w:w="2652" w:type="dxa"/>
            <w:vAlign w:val="center"/>
          </w:tcPr>
          <w:p w14:paraId="0A09C0A7">
            <w:pPr>
              <w:spacing w:line="400" w:lineRule="exact"/>
              <w:jc w:val="center"/>
              <w:rPr>
                <w:color w:val="auto"/>
                <w:szCs w:val="21"/>
              </w:rPr>
            </w:pPr>
            <w:r>
              <w:rPr>
                <w:color w:val="auto"/>
                <w:szCs w:val="21"/>
              </w:rPr>
              <w:t>运输车辆机械冲洗装置</w:t>
            </w:r>
          </w:p>
        </w:tc>
        <w:tc>
          <w:tcPr>
            <w:tcW w:w="2262" w:type="dxa"/>
            <w:vAlign w:val="center"/>
          </w:tcPr>
          <w:p w14:paraId="38195F3B">
            <w:pPr>
              <w:spacing w:line="400" w:lineRule="exact"/>
              <w:jc w:val="center"/>
              <w:rPr>
                <w:color w:val="auto"/>
                <w:szCs w:val="21"/>
              </w:rPr>
            </w:pPr>
            <w:r>
              <w:rPr>
                <w:color w:val="auto"/>
                <w:szCs w:val="21"/>
              </w:rPr>
              <w:t>0.31</w:t>
            </w:r>
          </w:p>
        </w:tc>
        <w:tc>
          <w:tcPr>
            <w:tcW w:w="1092" w:type="dxa"/>
            <w:vAlign w:val="center"/>
          </w:tcPr>
          <w:p w14:paraId="41FBCAA7">
            <w:pPr>
              <w:spacing w:line="400" w:lineRule="exact"/>
              <w:jc w:val="center"/>
              <w:rPr>
                <w:color w:val="auto"/>
                <w:szCs w:val="21"/>
              </w:rPr>
            </w:pPr>
            <w:r>
              <w:rPr>
                <w:color w:val="auto"/>
                <w:szCs w:val="21"/>
              </w:rPr>
              <w:t>0</w:t>
            </w:r>
          </w:p>
        </w:tc>
      </w:tr>
      <w:tr w14:paraId="3189CD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continue"/>
            <w:vAlign w:val="center"/>
          </w:tcPr>
          <w:p w14:paraId="62AC164E">
            <w:pPr>
              <w:spacing w:line="400" w:lineRule="exact"/>
              <w:jc w:val="center"/>
              <w:rPr>
                <w:color w:val="auto"/>
                <w:szCs w:val="21"/>
              </w:rPr>
            </w:pPr>
          </w:p>
        </w:tc>
        <w:tc>
          <w:tcPr>
            <w:tcW w:w="1592" w:type="dxa"/>
            <w:vMerge w:val="continue"/>
            <w:vAlign w:val="center"/>
          </w:tcPr>
          <w:p w14:paraId="19D50AFB">
            <w:pPr>
              <w:spacing w:line="400" w:lineRule="exact"/>
              <w:jc w:val="center"/>
              <w:rPr>
                <w:color w:val="auto"/>
                <w:szCs w:val="21"/>
              </w:rPr>
            </w:pPr>
          </w:p>
        </w:tc>
        <w:tc>
          <w:tcPr>
            <w:tcW w:w="2652" w:type="dxa"/>
            <w:vAlign w:val="center"/>
          </w:tcPr>
          <w:p w14:paraId="3DEB2887">
            <w:pPr>
              <w:spacing w:line="400" w:lineRule="exact"/>
              <w:jc w:val="center"/>
              <w:rPr>
                <w:color w:val="auto"/>
                <w:szCs w:val="21"/>
              </w:rPr>
            </w:pPr>
            <w:r>
              <w:rPr>
                <w:color w:val="auto"/>
                <w:szCs w:val="21"/>
              </w:rPr>
              <w:t>运输车辆简易冲洗装置</w:t>
            </w:r>
          </w:p>
        </w:tc>
        <w:tc>
          <w:tcPr>
            <w:tcW w:w="2262" w:type="dxa"/>
            <w:vAlign w:val="center"/>
          </w:tcPr>
          <w:p w14:paraId="199C5DCA">
            <w:pPr>
              <w:spacing w:line="400" w:lineRule="exact"/>
              <w:jc w:val="center"/>
              <w:rPr>
                <w:color w:val="auto"/>
                <w:szCs w:val="21"/>
              </w:rPr>
            </w:pPr>
            <w:r>
              <w:rPr>
                <w:color w:val="auto"/>
                <w:szCs w:val="21"/>
              </w:rPr>
              <w:t>0.155</w:t>
            </w:r>
          </w:p>
        </w:tc>
        <w:tc>
          <w:tcPr>
            <w:tcW w:w="1092" w:type="dxa"/>
            <w:vAlign w:val="center"/>
          </w:tcPr>
          <w:p w14:paraId="55B38804">
            <w:pPr>
              <w:spacing w:line="400" w:lineRule="exact"/>
              <w:jc w:val="center"/>
              <w:rPr>
                <w:color w:val="auto"/>
                <w:szCs w:val="21"/>
              </w:rPr>
            </w:pPr>
            <w:r>
              <w:rPr>
                <w:rFonts w:hint="eastAsia"/>
                <w:color w:val="auto"/>
                <w:szCs w:val="21"/>
              </w:rPr>
              <w:t>0</w:t>
            </w:r>
          </w:p>
        </w:tc>
      </w:tr>
      <w:tr w14:paraId="264643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restart"/>
            <w:vAlign w:val="center"/>
          </w:tcPr>
          <w:p w14:paraId="2A2AC596">
            <w:pPr>
              <w:spacing w:line="400" w:lineRule="exact"/>
              <w:jc w:val="center"/>
              <w:rPr>
                <w:color w:val="auto"/>
                <w:szCs w:val="21"/>
              </w:rPr>
            </w:pPr>
            <w:r>
              <w:rPr>
                <w:color w:val="auto"/>
                <w:szCs w:val="21"/>
              </w:rPr>
              <w:t>市政(拆迁)工地</w:t>
            </w:r>
          </w:p>
        </w:tc>
        <w:tc>
          <w:tcPr>
            <w:tcW w:w="1592" w:type="dxa"/>
            <w:vMerge w:val="restart"/>
            <w:vAlign w:val="center"/>
          </w:tcPr>
          <w:p w14:paraId="7B68C303">
            <w:pPr>
              <w:spacing w:line="400" w:lineRule="exact"/>
              <w:jc w:val="center"/>
              <w:rPr>
                <w:color w:val="auto"/>
                <w:szCs w:val="21"/>
              </w:rPr>
            </w:pPr>
            <w:r>
              <w:rPr>
                <w:color w:val="auto"/>
                <w:szCs w:val="21"/>
              </w:rPr>
              <w:t>一次扬尘</w:t>
            </w:r>
          </w:p>
        </w:tc>
        <w:tc>
          <w:tcPr>
            <w:tcW w:w="2652" w:type="dxa"/>
            <w:vAlign w:val="center"/>
          </w:tcPr>
          <w:p w14:paraId="06BAE630">
            <w:pPr>
              <w:spacing w:line="400" w:lineRule="exact"/>
              <w:jc w:val="center"/>
              <w:rPr>
                <w:color w:val="auto"/>
                <w:szCs w:val="21"/>
              </w:rPr>
            </w:pPr>
            <w:r>
              <w:rPr>
                <w:color w:val="auto"/>
                <w:szCs w:val="21"/>
              </w:rPr>
              <w:t>道路硬化与管理</w:t>
            </w:r>
          </w:p>
        </w:tc>
        <w:tc>
          <w:tcPr>
            <w:tcW w:w="2262" w:type="dxa"/>
            <w:vAlign w:val="center"/>
          </w:tcPr>
          <w:p w14:paraId="1817BD75">
            <w:pPr>
              <w:spacing w:line="400" w:lineRule="exact"/>
              <w:jc w:val="center"/>
              <w:rPr>
                <w:color w:val="auto"/>
                <w:szCs w:val="21"/>
              </w:rPr>
            </w:pPr>
            <w:r>
              <w:rPr>
                <w:color w:val="auto"/>
                <w:szCs w:val="21"/>
              </w:rPr>
              <w:t>0.102</w:t>
            </w:r>
          </w:p>
        </w:tc>
        <w:tc>
          <w:tcPr>
            <w:tcW w:w="1092" w:type="dxa"/>
            <w:vAlign w:val="center"/>
          </w:tcPr>
          <w:p w14:paraId="3919110B">
            <w:pPr>
              <w:spacing w:line="400" w:lineRule="exact"/>
              <w:jc w:val="center"/>
              <w:rPr>
                <w:color w:val="auto"/>
                <w:szCs w:val="21"/>
              </w:rPr>
            </w:pPr>
            <w:r>
              <w:rPr>
                <w:color w:val="auto"/>
                <w:szCs w:val="21"/>
              </w:rPr>
              <w:t>0</w:t>
            </w:r>
          </w:p>
        </w:tc>
      </w:tr>
      <w:tr w14:paraId="56E5DCD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continue"/>
            <w:vAlign w:val="center"/>
          </w:tcPr>
          <w:p w14:paraId="0353FAE1">
            <w:pPr>
              <w:spacing w:line="400" w:lineRule="exact"/>
              <w:jc w:val="center"/>
              <w:rPr>
                <w:color w:val="auto"/>
                <w:szCs w:val="21"/>
              </w:rPr>
            </w:pPr>
          </w:p>
        </w:tc>
        <w:tc>
          <w:tcPr>
            <w:tcW w:w="1592" w:type="dxa"/>
            <w:vMerge w:val="continue"/>
            <w:vAlign w:val="center"/>
          </w:tcPr>
          <w:p w14:paraId="063A9AF6">
            <w:pPr>
              <w:spacing w:line="400" w:lineRule="exact"/>
              <w:jc w:val="center"/>
              <w:rPr>
                <w:color w:val="auto"/>
                <w:szCs w:val="21"/>
              </w:rPr>
            </w:pPr>
          </w:p>
        </w:tc>
        <w:tc>
          <w:tcPr>
            <w:tcW w:w="2652" w:type="dxa"/>
            <w:vAlign w:val="center"/>
          </w:tcPr>
          <w:p w14:paraId="143F2099">
            <w:pPr>
              <w:spacing w:line="400" w:lineRule="exact"/>
              <w:jc w:val="center"/>
              <w:rPr>
                <w:color w:val="auto"/>
                <w:szCs w:val="21"/>
              </w:rPr>
            </w:pPr>
            <w:r>
              <w:rPr>
                <w:color w:val="auto"/>
                <w:szCs w:val="21"/>
              </w:rPr>
              <w:t>边界围挡</w:t>
            </w:r>
          </w:p>
        </w:tc>
        <w:tc>
          <w:tcPr>
            <w:tcW w:w="2262" w:type="dxa"/>
            <w:vAlign w:val="center"/>
          </w:tcPr>
          <w:p w14:paraId="713057EB">
            <w:pPr>
              <w:spacing w:line="400" w:lineRule="exact"/>
              <w:jc w:val="center"/>
              <w:rPr>
                <w:color w:val="auto"/>
                <w:szCs w:val="21"/>
              </w:rPr>
            </w:pPr>
            <w:r>
              <w:rPr>
                <w:color w:val="auto"/>
                <w:szCs w:val="21"/>
              </w:rPr>
              <w:t>0.102</w:t>
            </w:r>
          </w:p>
        </w:tc>
        <w:tc>
          <w:tcPr>
            <w:tcW w:w="1092" w:type="dxa"/>
            <w:vAlign w:val="center"/>
          </w:tcPr>
          <w:p w14:paraId="1F65D3A7">
            <w:pPr>
              <w:spacing w:line="400" w:lineRule="exact"/>
              <w:jc w:val="center"/>
              <w:rPr>
                <w:color w:val="auto"/>
                <w:szCs w:val="21"/>
              </w:rPr>
            </w:pPr>
            <w:r>
              <w:rPr>
                <w:color w:val="auto"/>
                <w:szCs w:val="21"/>
              </w:rPr>
              <w:t>0</w:t>
            </w:r>
          </w:p>
        </w:tc>
      </w:tr>
      <w:tr w14:paraId="4520FD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continue"/>
            <w:vAlign w:val="center"/>
          </w:tcPr>
          <w:p w14:paraId="3A033C68">
            <w:pPr>
              <w:spacing w:line="400" w:lineRule="exact"/>
              <w:jc w:val="center"/>
              <w:rPr>
                <w:color w:val="auto"/>
                <w:szCs w:val="21"/>
              </w:rPr>
            </w:pPr>
          </w:p>
        </w:tc>
        <w:tc>
          <w:tcPr>
            <w:tcW w:w="1592" w:type="dxa"/>
            <w:vMerge w:val="continue"/>
            <w:vAlign w:val="center"/>
          </w:tcPr>
          <w:p w14:paraId="203ED5B9">
            <w:pPr>
              <w:spacing w:line="400" w:lineRule="exact"/>
              <w:jc w:val="center"/>
              <w:rPr>
                <w:color w:val="auto"/>
                <w:szCs w:val="21"/>
              </w:rPr>
            </w:pPr>
          </w:p>
        </w:tc>
        <w:tc>
          <w:tcPr>
            <w:tcW w:w="2652" w:type="dxa"/>
            <w:vAlign w:val="center"/>
          </w:tcPr>
          <w:p w14:paraId="7C92C3E1">
            <w:pPr>
              <w:spacing w:line="400" w:lineRule="exact"/>
              <w:jc w:val="center"/>
              <w:rPr>
                <w:color w:val="auto"/>
                <w:szCs w:val="21"/>
              </w:rPr>
            </w:pPr>
            <w:r>
              <w:rPr>
                <w:color w:val="auto"/>
                <w:szCs w:val="21"/>
              </w:rPr>
              <w:t>易扬尘物料覆盖</w:t>
            </w:r>
          </w:p>
        </w:tc>
        <w:tc>
          <w:tcPr>
            <w:tcW w:w="2262" w:type="dxa"/>
            <w:vAlign w:val="center"/>
          </w:tcPr>
          <w:p w14:paraId="1795DBD0">
            <w:pPr>
              <w:spacing w:line="400" w:lineRule="exact"/>
              <w:jc w:val="center"/>
              <w:rPr>
                <w:color w:val="auto"/>
                <w:szCs w:val="21"/>
              </w:rPr>
            </w:pPr>
            <w:r>
              <w:rPr>
                <w:color w:val="auto"/>
                <w:szCs w:val="21"/>
              </w:rPr>
              <w:t>0.066</w:t>
            </w:r>
          </w:p>
        </w:tc>
        <w:tc>
          <w:tcPr>
            <w:tcW w:w="1092" w:type="dxa"/>
            <w:vAlign w:val="center"/>
          </w:tcPr>
          <w:p w14:paraId="57166E3A">
            <w:pPr>
              <w:spacing w:line="400" w:lineRule="exact"/>
              <w:jc w:val="center"/>
              <w:rPr>
                <w:color w:val="auto"/>
                <w:szCs w:val="21"/>
              </w:rPr>
            </w:pPr>
            <w:r>
              <w:rPr>
                <w:color w:val="auto"/>
                <w:szCs w:val="21"/>
              </w:rPr>
              <w:t>0</w:t>
            </w:r>
          </w:p>
        </w:tc>
      </w:tr>
      <w:tr w14:paraId="5A2DDE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continue"/>
            <w:vAlign w:val="center"/>
          </w:tcPr>
          <w:p w14:paraId="7605C7FE">
            <w:pPr>
              <w:spacing w:line="400" w:lineRule="exact"/>
              <w:jc w:val="center"/>
              <w:rPr>
                <w:color w:val="auto"/>
                <w:szCs w:val="21"/>
              </w:rPr>
            </w:pPr>
          </w:p>
        </w:tc>
        <w:tc>
          <w:tcPr>
            <w:tcW w:w="1592" w:type="dxa"/>
            <w:vMerge w:val="continue"/>
            <w:vAlign w:val="center"/>
          </w:tcPr>
          <w:p w14:paraId="19AFF3B6">
            <w:pPr>
              <w:spacing w:line="400" w:lineRule="exact"/>
              <w:jc w:val="center"/>
              <w:rPr>
                <w:color w:val="auto"/>
                <w:szCs w:val="21"/>
              </w:rPr>
            </w:pPr>
          </w:p>
        </w:tc>
        <w:tc>
          <w:tcPr>
            <w:tcW w:w="2652" w:type="dxa"/>
            <w:vAlign w:val="center"/>
          </w:tcPr>
          <w:p w14:paraId="73820055">
            <w:pPr>
              <w:spacing w:line="400" w:lineRule="exact"/>
              <w:jc w:val="center"/>
              <w:rPr>
                <w:color w:val="auto"/>
                <w:szCs w:val="21"/>
              </w:rPr>
            </w:pPr>
            <w:r>
              <w:rPr>
                <w:color w:val="auto"/>
                <w:szCs w:val="21"/>
              </w:rPr>
              <w:t>定期喷洒抑制剂</w:t>
            </w:r>
          </w:p>
        </w:tc>
        <w:tc>
          <w:tcPr>
            <w:tcW w:w="2262" w:type="dxa"/>
            <w:vAlign w:val="center"/>
          </w:tcPr>
          <w:p w14:paraId="4E169F61">
            <w:pPr>
              <w:spacing w:line="400" w:lineRule="exact"/>
              <w:jc w:val="center"/>
              <w:rPr>
                <w:color w:val="auto"/>
                <w:szCs w:val="21"/>
              </w:rPr>
            </w:pPr>
            <w:r>
              <w:rPr>
                <w:color w:val="auto"/>
                <w:szCs w:val="21"/>
              </w:rPr>
              <w:t>0.03</w:t>
            </w:r>
          </w:p>
        </w:tc>
        <w:tc>
          <w:tcPr>
            <w:tcW w:w="1092" w:type="dxa"/>
            <w:vAlign w:val="center"/>
          </w:tcPr>
          <w:p w14:paraId="6919EBF6">
            <w:pPr>
              <w:spacing w:line="400" w:lineRule="exact"/>
              <w:jc w:val="center"/>
              <w:rPr>
                <w:color w:val="auto"/>
                <w:szCs w:val="21"/>
              </w:rPr>
            </w:pPr>
            <w:r>
              <w:rPr>
                <w:color w:val="auto"/>
                <w:szCs w:val="21"/>
              </w:rPr>
              <w:t>0</w:t>
            </w:r>
          </w:p>
        </w:tc>
      </w:tr>
      <w:tr w14:paraId="59F8F26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continue"/>
            <w:vAlign w:val="center"/>
          </w:tcPr>
          <w:p w14:paraId="54BE6778">
            <w:pPr>
              <w:spacing w:line="400" w:lineRule="exact"/>
              <w:jc w:val="center"/>
              <w:rPr>
                <w:color w:val="auto"/>
                <w:szCs w:val="21"/>
              </w:rPr>
            </w:pPr>
          </w:p>
        </w:tc>
        <w:tc>
          <w:tcPr>
            <w:tcW w:w="1592" w:type="dxa"/>
            <w:vMerge w:val="restart"/>
            <w:vAlign w:val="center"/>
          </w:tcPr>
          <w:p w14:paraId="3BDFED78">
            <w:pPr>
              <w:spacing w:line="400" w:lineRule="exact"/>
              <w:jc w:val="center"/>
              <w:rPr>
                <w:color w:val="auto"/>
                <w:szCs w:val="21"/>
              </w:rPr>
            </w:pPr>
            <w:r>
              <w:rPr>
                <w:color w:val="auto"/>
                <w:szCs w:val="21"/>
              </w:rPr>
              <w:t>二次扬尘</w:t>
            </w:r>
          </w:p>
        </w:tc>
        <w:tc>
          <w:tcPr>
            <w:tcW w:w="2652" w:type="dxa"/>
            <w:vAlign w:val="center"/>
          </w:tcPr>
          <w:p w14:paraId="4E5470EB">
            <w:pPr>
              <w:spacing w:line="400" w:lineRule="exact"/>
              <w:jc w:val="center"/>
              <w:rPr>
                <w:color w:val="auto"/>
                <w:szCs w:val="21"/>
              </w:rPr>
            </w:pPr>
            <w:r>
              <w:rPr>
                <w:color w:val="auto"/>
                <w:szCs w:val="21"/>
              </w:rPr>
              <w:t>运输车辆机械冲洗装置</w:t>
            </w:r>
          </w:p>
        </w:tc>
        <w:tc>
          <w:tcPr>
            <w:tcW w:w="2262" w:type="dxa"/>
            <w:vAlign w:val="center"/>
          </w:tcPr>
          <w:p w14:paraId="4A06E69B">
            <w:pPr>
              <w:spacing w:line="400" w:lineRule="exact"/>
              <w:jc w:val="center"/>
              <w:rPr>
                <w:color w:val="auto"/>
                <w:szCs w:val="21"/>
              </w:rPr>
            </w:pPr>
            <w:r>
              <w:rPr>
                <w:color w:val="auto"/>
                <w:szCs w:val="21"/>
              </w:rPr>
              <w:t>0.68</w:t>
            </w:r>
          </w:p>
        </w:tc>
        <w:tc>
          <w:tcPr>
            <w:tcW w:w="1092" w:type="dxa"/>
            <w:vAlign w:val="center"/>
          </w:tcPr>
          <w:p w14:paraId="2EE21028">
            <w:pPr>
              <w:spacing w:line="400" w:lineRule="exact"/>
              <w:jc w:val="center"/>
              <w:rPr>
                <w:color w:val="auto"/>
                <w:szCs w:val="21"/>
              </w:rPr>
            </w:pPr>
            <w:r>
              <w:rPr>
                <w:color w:val="auto"/>
                <w:szCs w:val="21"/>
              </w:rPr>
              <w:t>0</w:t>
            </w:r>
          </w:p>
        </w:tc>
      </w:tr>
      <w:tr w14:paraId="719B06C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 w:type="dxa"/>
            <w:vMerge w:val="continue"/>
            <w:vAlign w:val="center"/>
          </w:tcPr>
          <w:p w14:paraId="10FE7C5E">
            <w:pPr>
              <w:spacing w:line="400" w:lineRule="exact"/>
              <w:jc w:val="center"/>
              <w:rPr>
                <w:color w:val="auto"/>
                <w:szCs w:val="21"/>
              </w:rPr>
            </w:pPr>
          </w:p>
        </w:tc>
        <w:tc>
          <w:tcPr>
            <w:tcW w:w="1592" w:type="dxa"/>
            <w:vMerge w:val="continue"/>
            <w:vAlign w:val="center"/>
          </w:tcPr>
          <w:p w14:paraId="4A8E4EAD">
            <w:pPr>
              <w:spacing w:line="400" w:lineRule="exact"/>
              <w:jc w:val="center"/>
              <w:rPr>
                <w:color w:val="auto"/>
                <w:szCs w:val="21"/>
              </w:rPr>
            </w:pPr>
          </w:p>
        </w:tc>
        <w:tc>
          <w:tcPr>
            <w:tcW w:w="2652" w:type="dxa"/>
            <w:vAlign w:val="center"/>
          </w:tcPr>
          <w:p w14:paraId="5B14DCCE">
            <w:pPr>
              <w:spacing w:line="400" w:lineRule="exact"/>
              <w:jc w:val="center"/>
              <w:rPr>
                <w:color w:val="auto"/>
                <w:szCs w:val="21"/>
              </w:rPr>
            </w:pPr>
            <w:r>
              <w:rPr>
                <w:color w:val="auto"/>
                <w:szCs w:val="21"/>
              </w:rPr>
              <w:t>运输车辆简易冲洗装置</w:t>
            </w:r>
          </w:p>
        </w:tc>
        <w:tc>
          <w:tcPr>
            <w:tcW w:w="2262" w:type="dxa"/>
            <w:vAlign w:val="center"/>
          </w:tcPr>
          <w:p w14:paraId="1DA4F8B1">
            <w:pPr>
              <w:spacing w:line="400" w:lineRule="exact"/>
              <w:jc w:val="center"/>
              <w:rPr>
                <w:color w:val="auto"/>
                <w:szCs w:val="21"/>
              </w:rPr>
            </w:pPr>
            <w:r>
              <w:rPr>
                <w:color w:val="auto"/>
                <w:szCs w:val="21"/>
              </w:rPr>
              <w:t>0.034</w:t>
            </w:r>
          </w:p>
        </w:tc>
        <w:tc>
          <w:tcPr>
            <w:tcW w:w="1092" w:type="dxa"/>
            <w:vAlign w:val="center"/>
          </w:tcPr>
          <w:p w14:paraId="2ECBD908">
            <w:pPr>
              <w:spacing w:line="400" w:lineRule="exact"/>
              <w:jc w:val="center"/>
              <w:rPr>
                <w:color w:val="auto"/>
                <w:szCs w:val="21"/>
              </w:rPr>
            </w:pPr>
            <w:r>
              <w:rPr>
                <w:color w:val="auto"/>
                <w:szCs w:val="21"/>
              </w:rPr>
              <w:t>0</w:t>
            </w:r>
          </w:p>
        </w:tc>
      </w:tr>
    </w:tbl>
    <w:p w14:paraId="5C06D8DE">
      <w:pPr>
        <w:spacing w:line="360" w:lineRule="auto"/>
        <w:ind w:firstLine="480" w:firstLineChars="200"/>
        <w:rPr>
          <w:color w:val="auto"/>
          <w:sz w:val="24"/>
        </w:rPr>
      </w:pPr>
      <w:r>
        <w:rPr>
          <w:color w:val="auto"/>
          <w:sz w:val="24"/>
        </w:rPr>
        <w:t>上表中，</w:t>
      </w:r>
      <w:r>
        <w:rPr>
          <w:rFonts w:hint="eastAsia"/>
          <w:color w:val="auto"/>
          <w:sz w:val="24"/>
        </w:rPr>
        <w:t>本项目建筑工地施工时对于一次扬尘采取道路硬化与管理、边界围挡、裸露地面覆盖、易扬尘物料覆盖；二次扬尘采取运输车辆机械冲洗装置。市政工地地施工时对于一次扬尘采取道路硬化与管理、边界围挡、易扬尘物料覆盖；二次扬尘采取运输车辆机械冲洗装置。</w:t>
      </w:r>
    </w:p>
    <w:p w14:paraId="215218B5">
      <w:pPr>
        <w:spacing w:line="360" w:lineRule="auto"/>
        <w:ind w:firstLine="480" w:firstLineChars="200"/>
        <w:rPr>
          <w:color w:val="auto"/>
          <w:sz w:val="24"/>
        </w:rPr>
      </w:pPr>
      <w:r>
        <w:rPr>
          <w:color w:val="auto"/>
          <w:sz w:val="24"/>
        </w:rPr>
        <w:t>根据本项目特点，其计算结果如下：</w:t>
      </w:r>
    </w:p>
    <w:p w14:paraId="365C53B7">
      <w:pPr>
        <w:spacing w:line="360" w:lineRule="auto"/>
        <w:ind w:firstLine="480" w:firstLineChars="200"/>
        <w:rPr>
          <w:color w:val="auto"/>
          <w:sz w:val="24"/>
          <w:lang w:val="de-DE"/>
        </w:rPr>
      </w:pPr>
      <w:r>
        <w:rPr>
          <w:color w:val="auto"/>
          <w:sz w:val="24"/>
          <w:lang w:val="de-DE"/>
        </w:rPr>
        <w:t>W</w:t>
      </w:r>
      <w:r>
        <w:rPr>
          <w:color w:val="auto"/>
          <w:sz w:val="24"/>
          <w:vertAlign w:val="subscript"/>
          <w:lang w:val="de-DE"/>
        </w:rPr>
        <w:t>B</w:t>
      </w:r>
      <w:r>
        <w:rPr>
          <w:color w:val="auto"/>
          <w:sz w:val="24"/>
          <w:lang w:val="de-DE"/>
        </w:rPr>
        <w:t>=A×B×T=</w:t>
      </w:r>
      <w:r>
        <w:rPr>
          <w:rFonts w:hint="eastAsia"/>
          <w:color w:val="auto"/>
          <w:sz w:val="24"/>
          <w:highlight w:val="none"/>
          <w:lang w:val="en-US" w:eastAsia="zh-CN"/>
        </w:rPr>
        <w:t>40046.37</w:t>
      </w:r>
      <w:r>
        <w:rPr>
          <w:color w:val="auto"/>
          <w:sz w:val="24"/>
          <w:lang w:val="de-DE"/>
        </w:rPr>
        <w:t>×1</w:t>
      </w:r>
      <w:r>
        <w:rPr>
          <w:rFonts w:hint="eastAsia"/>
          <w:color w:val="auto"/>
          <w:sz w:val="24"/>
        </w:rPr>
        <w:t>.01</w:t>
      </w:r>
      <w:r>
        <w:rPr>
          <w:color w:val="auto"/>
          <w:sz w:val="24"/>
          <w:lang w:val="de-DE"/>
        </w:rPr>
        <w:t>×</w:t>
      </w:r>
      <w:r>
        <w:rPr>
          <w:rFonts w:hint="eastAsia"/>
          <w:color w:val="auto"/>
          <w:sz w:val="24"/>
        </w:rPr>
        <w:t>8</w:t>
      </w:r>
      <w:r>
        <w:rPr>
          <w:color w:val="auto"/>
          <w:sz w:val="24"/>
          <w:lang w:val="de-DE"/>
        </w:rPr>
        <w:t>×10</w:t>
      </w:r>
      <w:r>
        <w:rPr>
          <w:color w:val="auto"/>
          <w:sz w:val="24"/>
          <w:vertAlign w:val="superscript"/>
          <w:lang w:val="de-DE"/>
        </w:rPr>
        <w:t>-3</w:t>
      </w:r>
      <w:r>
        <w:rPr>
          <w:rFonts w:hint="eastAsia"/>
          <w:color w:val="auto"/>
          <w:sz w:val="24"/>
        </w:rPr>
        <w:t>=</w:t>
      </w:r>
      <w:r>
        <w:rPr>
          <w:rFonts w:hint="eastAsia"/>
          <w:color w:val="auto"/>
          <w:sz w:val="24"/>
          <w:lang w:val="en-US" w:eastAsia="zh-CN"/>
        </w:rPr>
        <w:t>153</w:t>
      </w:r>
      <w:r>
        <w:rPr>
          <w:color w:val="auto"/>
          <w:sz w:val="24"/>
          <w:lang w:val="de-DE"/>
        </w:rPr>
        <w:t>t</w:t>
      </w:r>
    </w:p>
    <w:p w14:paraId="02264C92">
      <w:pPr>
        <w:spacing w:line="360" w:lineRule="auto"/>
        <w:ind w:firstLine="480" w:firstLineChars="200"/>
        <w:rPr>
          <w:color w:val="auto"/>
          <w:sz w:val="24"/>
          <w:lang w:val="de-DE"/>
        </w:rPr>
      </w:pPr>
      <w:r>
        <w:rPr>
          <w:color w:val="auto"/>
          <w:sz w:val="24"/>
          <w:lang w:val="de-DE"/>
        </w:rPr>
        <w:t>W</w:t>
      </w:r>
      <w:r>
        <w:rPr>
          <w:color w:val="auto"/>
          <w:sz w:val="24"/>
          <w:vertAlign w:val="subscript"/>
          <w:lang w:val="de-DE"/>
        </w:rPr>
        <w:t>K</w:t>
      </w:r>
      <w:r>
        <w:rPr>
          <w:color w:val="auto"/>
          <w:sz w:val="24"/>
          <w:lang w:val="de-DE"/>
        </w:rPr>
        <w:t>=A×P×T=</w:t>
      </w:r>
      <w:r>
        <w:rPr>
          <w:rFonts w:hint="eastAsia"/>
          <w:color w:val="auto"/>
          <w:sz w:val="24"/>
          <w:highlight w:val="none"/>
          <w:lang w:val="en-US" w:eastAsia="zh-CN"/>
        </w:rPr>
        <w:t>40046.37</w:t>
      </w:r>
      <w:r>
        <w:rPr>
          <w:color w:val="auto"/>
          <w:sz w:val="24"/>
          <w:lang w:val="de-DE"/>
        </w:rPr>
        <w:t>×</w:t>
      </w:r>
      <w:r>
        <w:rPr>
          <w:rFonts w:hint="eastAsia"/>
          <w:color w:val="auto"/>
          <w:sz w:val="24"/>
        </w:rPr>
        <w:t>0.5</w:t>
      </w:r>
      <w:r>
        <w:rPr>
          <w:color w:val="auto"/>
          <w:sz w:val="24"/>
          <w:lang w:val="de-DE"/>
        </w:rPr>
        <w:t>×</w:t>
      </w:r>
      <w:r>
        <w:rPr>
          <w:rFonts w:hint="eastAsia"/>
          <w:color w:val="auto"/>
          <w:sz w:val="24"/>
        </w:rPr>
        <w:t>8</w:t>
      </w:r>
      <w:r>
        <w:rPr>
          <w:color w:val="auto"/>
          <w:sz w:val="24"/>
          <w:lang w:val="de-DE"/>
        </w:rPr>
        <w:t>×10</w:t>
      </w:r>
      <w:r>
        <w:rPr>
          <w:color w:val="auto"/>
          <w:sz w:val="24"/>
          <w:vertAlign w:val="superscript"/>
          <w:lang w:val="de-DE"/>
        </w:rPr>
        <w:t>-3</w:t>
      </w:r>
      <w:r>
        <w:rPr>
          <w:rFonts w:hint="eastAsia"/>
          <w:color w:val="auto"/>
          <w:sz w:val="24"/>
        </w:rPr>
        <w:t>=</w:t>
      </w:r>
      <w:r>
        <w:rPr>
          <w:rFonts w:hint="eastAsia"/>
          <w:color w:val="auto"/>
          <w:sz w:val="24"/>
          <w:lang w:val="en-US" w:eastAsia="zh-CN"/>
        </w:rPr>
        <w:t>76</w:t>
      </w:r>
      <w:r>
        <w:rPr>
          <w:color w:val="auto"/>
          <w:sz w:val="24"/>
          <w:lang w:val="de-DE"/>
        </w:rPr>
        <w:t>t</w:t>
      </w:r>
    </w:p>
    <w:p w14:paraId="59A82D6B">
      <w:pPr>
        <w:spacing w:line="360" w:lineRule="auto"/>
        <w:ind w:firstLine="480" w:firstLineChars="200"/>
        <w:rPr>
          <w:color w:val="auto"/>
          <w:sz w:val="24"/>
          <w:lang w:val="de-DE"/>
        </w:rPr>
      </w:pPr>
      <w:r>
        <w:rPr>
          <w:color w:val="auto"/>
          <w:sz w:val="24"/>
        </w:rPr>
        <w:t>本项目施工期扬尘量</w:t>
      </w:r>
      <w:r>
        <w:rPr>
          <w:color w:val="auto"/>
          <w:sz w:val="24"/>
          <w:lang w:val="de-DE"/>
        </w:rPr>
        <w:t>W=W</w:t>
      </w:r>
      <w:r>
        <w:rPr>
          <w:color w:val="auto"/>
          <w:sz w:val="24"/>
          <w:vertAlign w:val="subscript"/>
          <w:lang w:val="de-DE"/>
        </w:rPr>
        <w:t>B</w:t>
      </w:r>
      <w:r>
        <w:rPr>
          <w:color w:val="auto"/>
          <w:sz w:val="24"/>
          <w:lang w:val="de-DE"/>
        </w:rPr>
        <w:t>-W</w:t>
      </w:r>
      <w:r>
        <w:rPr>
          <w:color w:val="auto"/>
          <w:sz w:val="24"/>
          <w:vertAlign w:val="subscript"/>
          <w:lang w:val="de-DE"/>
        </w:rPr>
        <w:t>K</w:t>
      </w:r>
      <w:r>
        <w:rPr>
          <w:color w:val="auto"/>
          <w:sz w:val="24"/>
          <w:lang w:val="de-DE"/>
        </w:rPr>
        <w:t>=</w:t>
      </w:r>
      <w:r>
        <w:rPr>
          <w:rFonts w:hint="eastAsia"/>
          <w:color w:val="auto"/>
          <w:sz w:val="24"/>
          <w:lang w:val="en-US" w:eastAsia="zh-CN"/>
        </w:rPr>
        <w:t>153-76</w:t>
      </w:r>
      <w:r>
        <w:rPr>
          <w:rFonts w:hint="eastAsia"/>
          <w:color w:val="auto"/>
          <w:sz w:val="24"/>
        </w:rPr>
        <w:t>=</w:t>
      </w:r>
      <w:r>
        <w:rPr>
          <w:rFonts w:hint="eastAsia"/>
          <w:color w:val="auto"/>
          <w:sz w:val="24"/>
          <w:lang w:val="en-US" w:eastAsia="zh-CN"/>
        </w:rPr>
        <w:t>77</w:t>
      </w:r>
      <w:r>
        <w:rPr>
          <w:color w:val="auto"/>
          <w:sz w:val="24"/>
          <w:lang w:val="de-DE"/>
        </w:rPr>
        <w:t>t</w:t>
      </w:r>
    </w:p>
    <w:p w14:paraId="39F92535">
      <w:pPr>
        <w:spacing w:line="360" w:lineRule="auto"/>
        <w:ind w:firstLine="480" w:firstLineChars="200"/>
        <w:rPr>
          <w:color w:val="auto"/>
          <w:sz w:val="24"/>
        </w:rPr>
      </w:pPr>
      <w:r>
        <w:rPr>
          <w:color w:val="auto"/>
          <w:sz w:val="24"/>
        </w:rPr>
        <w:t>在整个施工期间，</w:t>
      </w:r>
      <w:r>
        <w:rPr>
          <w:bCs/>
          <w:color w:val="auto"/>
          <w:sz w:val="24"/>
        </w:rPr>
        <w:t>主要大气污染来源于建筑施工扬尘</w:t>
      </w:r>
      <w:r>
        <w:rPr>
          <w:color w:val="auto"/>
          <w:sz w:val="24"/>
        </w:rPr>
        <w:t>，产生扬尘的作业主要有土地平整、开挖、回填、建材运输、露天堆放、装卸和搅拌等过程。</w:t>
      </w:r>
    </w:p>
    <w:p w14:paraId="327785E9">
      <w:pPr>
        <w:pStyle w:val="16"/>
        <w:spacing w:line="360" w:lineRule="auto"/>
        <w:ind w:firstLine="508" w:firstLineChars="212"/>
        <w:rPr>
          <w:color w:val="auto"/>
          <w:sz w:val="24"/>
        </w:rPr>
      </w:pPr>
      <w:r>
        <w:rPr>
          <w:color w:val="auto"/>
          <w:sz w:val="24"/>
        </w:rPr>
        <w:t>类比北京环科院对施工工地扬尘的测试结果，其建筑施工扬尘的影响范围情况见表</w:t>
      </w:r>
      <w:r>
        <w:rPr>
          <w:rFonts w:hint="eastAsia"/>
          <w:color w:val="auto"/>
          <w:sz w:val="24"/>
          <w:lang w:val="en-US" w:eastAsia="zh-CN"/>
        </w:rPr>
        <w:t>3.4-3</w:t>
      </w:r>
      <w:r>
        <w:rPr>
          <w:color w:val="auto"/>
          <w:sz w:val="24"/>
        </w:rPr>
        <w:t>。</w:t>
      </w:r>
    </w:p>
    <w:p w14:paraId="077DAB6A">
      <w:pPr>
        <w:pStyle w:val="16"/>
        <w:ind w:firstLine="422" w:firstLineChars="200"/>
        <w:jc w:val="center"/>
        <w:rPr>
          <w:b/>
          <w:color w:val="auto"/>
          <w:szCs w:val="21"/>
        </w:rPr>
      </w:pPr>
      <w:r>
        <w:rPr>
          <w:b/>
          <w:color w:val="auto"/>
          <w:szCs w:val="21"/>
        </w:rPr>
        <w:t>表</w:t>
      </w:r>
      <w:r>
        <w:rPr>
          <w:rFonts w:hint="eastAsia"/>
          <w:b/>
          <w:color w:val="auto"/>
          <w:szCs w:val="21"/>
          <w:lang w:val="en-US" w:eastAsia="zh-CN"/>
        </w:rPr>
        <w:t>3.4-3</w:t>
      </w:r>
      <w:r>
        <w:rPr>
          <w:b/>
          <w:color w:val="auto"/>
          <w:szCs w:val="21"/>
        </w:rPr>
        <w:t xml:space="preserve">    施工工地扬尘污染影响</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75"/>
        <w:gridCol w:w="1237"/>
        <w:gridCol w:w="1504"/>
        <w:gridCol w:w="1504"/>
        <w:gridCol w:w="1504"/>
        <w:gridCol w:w="1504"/>
      </w:tblGrid>
      <w:tr w14:paraId="65E2833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75" w:type="dxa"/>
            <w:vMerge w:val="restart"/>
            <w:vAlign w:val="center"/>
          </w:tcPr>
          <w:p w14:paraId="5A894DF6">
            <w:pPr>
              <w:jc w:val="center"/>
              <w:rPr>
                <w:color w:val="auto"/>
                <w:szCs w:val="21"/>
              </w:rPr>
            </w:pPr>
            <w:r>
              <w:rPr>
                <w:color w:val="auto"/>
                <w:szCs w:val="21"/>
              </w:rPr>
              <w:t>污染物</w:t>
            </w:r>
          </w:p>
        </w:tc>
        <w:tc>
          <w:tcPr>
            <w:tcW w:w="7253" w:type="dxa"/>
            <w:gridSpan w:val="5"/>
            <w:vAlign w:val="center"/>
          </w:tcPr>
          <w:p w14:paraId="64174AFE">
            <w:pPr>
              <w:jc w:val="center"/>
              <w:rPr>
                <w:color w:val="auto"/>
                <w:szCs w:val="21"/>
              </w:rPr>
            </w:pPr>
            <w:r>
              <w:rPr>
                <w:color w:val="auto"/>
                <w:szCs w:val="21"/>
              </w:rPr>
              <w:t>总悬浮颗粒物(TSP)mg/m</w:t>
            </w:r>
            <w:r>
              <w:rPr>
                <w:color w:val="auto"/>
                <w:szCs w:val="21"/>
                <w:vertAlign w:val="superscript"/>
              </w:rPr>
              <w:t>3</w:t>
            </w:r>
          </w:p>
        </w:tc>
      </w:tr>
      <w:tr w14:paraId="17778C3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75" w:type="dxa"/>
            <w:vMerge w:val="continue"/>
            <w:vAlign w:val="center"/>
          </w:tcPr>
          <w:p w14:paraId="03057BB0">
            <w:pPr>
              <w:ind w:right="-254" w:rightChars="-121"/>
              <w:jc w:val="center"/>
              <w:rPr>
                <w:color w:val="auto"/>
                <w:szCs w:val="21"/>
              </w:rPr>
            </w:pPr>
          </w:p>
        </w:tc>
        <w:tc>
          <w:tcPr>
            <w:tcW w:w="1237" w:type="dxa"/>
            <w:vAlign w:val="center"/>
          </w:tcPr>
          <w:p w14:paraId="488928CB">
            <w:pPr>
              <w:jc w:val="center"/>
              <w:rPr>
                <w:color w:val="auto"/>
                <w:szCs w:val="21"/>
              </w:rPr>
            </w:pPr>
            <w:r>
              <w:rPr>
                <w:color w:val="auto"/>
                <w:szCs w:val="21"/>
              </w:rPr>
              <w:t>上风(m)</w:t>
            </w:r>
          </w:p>
        </w:tc>
        <w:tc>
          <w:tcPr>
            <w:tcW w:w="6016" w:type="dxa"/>
            <w:gridSpan w:val="4"/>
            <w:vAlign w:val="center"/>
          </w:tcPr>
          <w:p w14:paraId="1E6E34C8">
            <w:pPr>
              <w:jc w:val="center"/>
              <w:rPr>
                <w:color w:val="auto"/>
                <w:szCs w:val="21"/>
              </w:rPr>
            </w:pPr>
            <w:r>
              <w:rPr>
                <w:color w:val="auto"/>
                <w:szCs w:val="21"/>
              </w:rPr>
              <w:t>下风向(m)</w:t>
            </w:r>
          </w:p>
        </w:tc>
      </w:tr>
      <w:tr w14:paraId="1435FAD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75" w:type="dxa"/>
            <w:vMerge w:val="continue"/>
            <w:vAlign w:val="center"/>
          </w:tcPr>
          <w:p w14:paraId="5F825FC8">
            <w:pPr>
              <w:jc w:val="center"/>
              <w:rPr>
                <w:color w:val="auto"/>
                <w:szCs w:val="21"/>
              </w:rPr>
            </w:pPr>
          </w:p>
        </w:tc>
        <w:tc>
          <w:tcPr>
            <w:tcW w:w="1237" w:type="dxa"/>
            <w:vAlign w:val="center"/>
          </w:tcPr>
          <w:p w14:paraId="5314E86B">
            <w:pPr>
              <w:jc w:val="center"/>
              <w:rPr>
                <w:color w:val="auto"/>
                <w:szCs w:val="21"/>
              </w:rPr>
            </w:pPr>
            <w:r>
              <w:rPr>
                <w:color w:val="auto"/>
                <w:szCs w:val="21"/>
              </w:rPr>
              <w:t>50</w:t>
            </w:r>
          </w:p>
        </w:tc>
        <w:tc>
          <w:tcPr>
            <w:tcW w:w="1504" w:type="dxa"/>
            <w:vAlign w:val="center"/>
          </w:tcPr>
          <w:p w14:paraId="0D992DFC">
            <w:pPr>
              <w:jc w:val="center"/>
              <w:rPr>
                <w:color w:val="auto"/>
                <w:szCs w:val="21"/>
              </w:rPr>
            </w:pPr>
            <w:r>
              <w:rPr>
                <w:color w:val="auto"/>
                <w:szCs w:val="21"/>
              </w:rPr>
              <w:t xml:space="preserve">50 </w:t>
            </w:r>
          </w:p>
        </w:tc>
        <w:tc>
          <w:tcPr>
            <w:tcW w:w="1504" w:type="dxa"/>
            <w:vAlign w:val="center"/>
          </w:tcPr>
          <w:p w14:paraId="62CCDC6C">
            <w:pPr>
              <w:jc w:val="center"/>
              <w:rPr>
                <w:color w:val="auto"/>
                <w:szCs w:val="21"/>
              </w:rPr>
            </w:pPr>
            <w:r>
              <w:rPr>
                <w:color w:val="auto"/>
                <w:szCs w:val="21"/>
              </w:rPr>
              <w:t xml:space="preserve">100 </w:t>
            </w:r>
          </w:p>
        </w:tc>
        <w:tc>
          <w:tcPr>
            <w:tcW w:w="1504" w:type="dxa"/>
            <w:vAlign w:val="center"/>
          </w:tcPr>
          <w:p w14:paraId="61346389">
            <w:pPr>
              <w:jc w:val="center"/>
              <w:rPr>
                <w:color w:val="auto"/>
                <w:szCs w:val="21"/>
              </w:rPr>
            </w:pPr>
            <w:r>
              <w:rPr>
                <w:color w:val="auto"/>
                <w:szCs w:val="21"/>
              </w:rPr>
              <w:t>150</w:t>
            </w:r>
            <w:r>
              <w:rPr>
                <w:color w:val="auto"/>
                <w:szCs w:val="21"/>
              </w:rPr>
              <w:tab/>
            </w:r>
          </w:p>
        </w:tc>
        <w:tc>
          <w:tcPr>
            <w:tcW w:w="1504" w:type="dxa"/>
            <w:vAlign w:val="center"/>
          </w:tcPr>
          <w:p w14:paraId="01ACC758">
            <w:pPr>
              <w:jc w:val="center"/>
              <w:rPr>
                <w:color w:val="auto"/>
                <w:szCs w:val="21"/>
              </w:rPr>
            </w:pPr>
            <w:r>
              <w:rPr>
                <w:color w:val="auto"/>
                <w:szCs w:val="21"/>
              </w:rPr>
              <w:t>平均值</w:t>
            </w:r>
          </w:p>
        </w:tc>
      </w:tr>
      <w:tr w14:paraId="22183B0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75" w:type="dxa"/>
            <w:vMerge w:val="continue"/>
            <w:vAlign w:val="center"/>
          </w:tcPr>
          <w:p w14:paraId="2D8F8C26">
            <w:pPr>
              <w:jc w:val="center"/>
              <w:rPr>
                <w:color w:val="auto"/>
                <w:szCs w:val="21"/>
              </w:rPr>
            </w:pPr>
          </w:p>
        </w:tc>
        <w:tc>
          <w:tcPr>
            <w:tcW w:w="1237" w:type="dxa"/>
            <w:vAlign w:val="center"/>
          </w:tcPr>
          <w:p w14:paraId="5BE9BBE4">
            <w:pPr>
              <w:jc w:val="center"/>
              <w:rPr>
                <w:color w:val="auto"/>
                <w:szCs w:val="21"/>
              </w:rPr>
            </w:pPr>
            <w:r>
              <w:rPr>
                <w:color w:val="auto"/>
                <w:szCs w:val="21"/>
              </w:rPr>
              <w:t>0.320</w:t>
            </w:r>
          </w:p>
        </w:tc>
        <w:tc>
          <w:tcPr>
            <w:tcW w:w="1504" w:type="dxa"/>
            <w:vAlign w:val="center"/>
          </w:tcPr>
          <w:p w14:paraId="0810269E">
            <w:pPr>
              <w:jc w:val="center"/>
              <w:rPr>
                <w:color w:val="auto"/>
                <w:szCs w:val="21"/>
              </w:rPr>
            </w:pPr>
            <w:r>
              <w:rPr>
                <w:color w:val="auto"/>
                <w:szCs w:val="21"/>
              </w:rPr>
              <w:t>0.607</w:t>
            </w:r>
          </w:p>
        </w:tc>
        <w:tc>
          <w:tcPr>
            <w:tcW w:w="1504" w:type="dxa"/>
            <w:vAlign w:val="center"/>
          </w:tcPr>
          <w:p w14:paraId="01E95789">
            <w:pPr>
              <w:jc w:val="center"/>
              <w:rPr>
                <w:color w:val="auto"/>
                <w:szCs w:val="21"/>
              </w:rPr>
            </w:pPr>
            <w:r>
              <w:rPr>
                <w:color w:val="auto"/>
                <w:szCs w:val="21"/>
              </w:rPr>
              <w:t>0.506</w:t>
            </w:r>
          </w:p>
        </w:tc>
        <w:tc>
          <w:tcPr>
            <w:tcW w:w="1504" w:type="dxa"/>
            <w:vAlign w:val="center"/>
          </w:tcPr>
          <w:p w14:paraId="36C19341">
            <w:pPr>
              <w:jc w:val="center"/>
              <w:rPr>
                <w:color w:val="auto"/>
                <w:szCs w:val="21"/>
              </w:rPr>
            </w:pPr>
            <w:r>
              <w:rPr>
                <w:color w:val="auto"/>
                <w:szCs w:val="21"/>
              </w:rPr>
              <w:t>0.406</w:t>
            </w:r>
          </w:p>
        </w:tc>
        <w:tc>
          <w:tcPr>
            <w:tcW w:w="1504" w:type="dxa"/>
            <w:vAlign w:val="center"/>
          </w:tcPr>
          <w:p w14:paraId="78634E0D">
            <w:pPr>
              <w:jc w:val="center"/>
              <w:rPr>
                <w:color w:val="auto"/>
                <w:szCs w:val="21"/>
              </w:rPr>
            </w:pPr>
            <w:r>
              <w:rPr>
                <w:color w:val="auto"/>
                <w:szCs w:val="21"/>
              </w:rPr>
              <w:t>0.506</w:t>
            </w:r>
          </w:p>
        </w:tc>
      </w:tr>
      <w:tr w14:paraId="2C27309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75" w:type="dxa"/>
            <w:vMerge w:val="continue"/>
            <w:vAlign w:val="center"/>
          </w:tcPr>
          <w:p w14:paraId="1A19FC5C">
            <w:pPr>
              <w:jc w:val="center"/>
              <w:rPr>
                <w:color w:val="auto"/>
                <w:szCs w:val="21"/>
              </w:rPr>
            </w:pPr>
          </w:p>
        </w:tc>
        <w:tc>
          <w:tcPr>
            <w:tcW w:w="1237" w:type="dxa"/>
            <w:vAlign w:val="center"/>
          </w:tcPr>
          <w:p w14:paraId="391CC0C3">
            <w:pPr>
              <w:jc w:val="center"/>
              <w:rPr>
                <w:color w:val="auto"/>
                <w:szCs w:val="21"/>
              </w:rPr>
            </w:pPr>
            <w:r>
              <w:rPr>
                <w:color w:val="auto"/>
                <w:szCs w:val="21"/>
              </w:rPr>
              <w:t>0.325</w:t>
            </w:r>
          </w:p>
        </w:tc>
        <w:tc>
          <w:tcPr>
            <w:tcW w:w="1504" w:type="dxa"/>
            <w:vAlign w:val="center"/>
          </w:tcPr>
          <w:p w14:paraId="46E346F7">
            <w:pPr>
              <w:jc w:val="center"/>
              <w:rPr>
                <w:color w:val="auto"/>
                <w:szCs w:val="21"/>
              </w:rPr>
            </w:pPr>
            <w:r>
              <w:rPr>
                <w:color w:val="auto"/>
                <w:szCs w:val="21"/>
              </w:rPr>
              <w:t>0.586</w:t>
            </w:r>
          </w:p>
        </w:tc>
        <w:tc>
          <w:tcPr>
            <w:tcW w:w="1504" w:type="dxa"/>
            <w:vAlign w:val="center"/>
          </w:tcPr>
          <w:p w14:paraId="06D00872">
            <w:pPr>
              <w:jc w:val="center"/>
              <w:rPr>
                <w:color w:val="auto"/>
                <w:szCs w:val="21"/>
              </w:rPr>
            </w:pPr>
            <w:r>
              <w:rPr>
                <w:color w:val="auto"/>
                <w:szCs w:val="21"/>
              </w:rPr>
              <w:t>0.493</w:t>
            </w:r>
          </w:p>
        </w:tc>
        <w:tc>
          <w:tcPr>
            <w:tcW w:w="1504" w:type="dxa"/>
            <w:vAlign w:val="center"/>
          </w:tcPr>
          <w:p w14:paraId="6045F369">
            <w:pPr>
              <w:jc w:val="center"/>
              <w:rPr>
                <w:color w:val="auto"/>
                <w:szCs w:val="21"/>
              </w:rPr>
            </w:pPr>
            <w:r>
              <w:rPr>
                <w:color w:val="auto"/>
                <w:szCs w:val="21"/>
              </w:rPr>
              <w:t>0.413</w:t>
            </w:r>
          </w:p>
        </w:tc>
        <w:tc>
          <w:tcPr>
            <w:tcW w:w="1504" w:type="dxa"/>
            <w:vAlign w:val="center"/>
          </w:tcPr>
          <w:p w14:paraId="6C10B336">
            <w:pPr>
              <w:jc w:val="center"/>
              <w:rPr>
                <w:color w:val="auto"/>
                <w:szCs w:val="21"/>
              </w:rPr>
            </w:pPr>
            <w:r>
              <w:rPr>
                <w:color w:val="auto"/>
                <w:szCs w:val="21"/>
              </w:rPr>
              <w:t>0.497</w:t>
            </w:r>
          </w:p>
        </w:tc>
      </w:tr>
      <w:tr w14:paraId="51F9E36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75" w:type="dxa"/>
            <w:vMerge w:val="continue"/>
            <w:vAlign w:val="center"/>
          </w:tcPr>
          <w:p w14:paraId="18E79C61">
            <w:pPr>
              <w:jc w:val="center"/>
              <w:rPr>
                <w:color w:val="auto"/>
                <w:szCs w:val="21"/>
              </w:rPr>
            </w:pPr>
          </w:p>
        </w:tc>
        <w:tc>
          <w:tcPr>
            <w:tcW w:w="1237" w:type="dxa"/>
            <w:vAlign w:val="center"/>
          </w:tcPr>
          <w:p w14:paraId="577616B6">
            <w:pPr>
              <w:jc w:val="center"/>
              <w:rPr>
                <w:color w:val="auto"/>
                <w:szCs w:val="21"/>
              </w:rPr>
            </w:pPr>
            <w:r>
              <w:rPr>
                <w:color w:val="auto"/>
                <w:szCs w:val="21"/>
              </w:rPr>
              <w:t>0.311</w:t>
            </w:r>
          </w:p>
        </w:tc>
        <w:tc>
          <w:tcPr>
            <w:tcW w:w="1504" w:type="dxa"/>
            <w:vAlign w:val="center"/>
          </w:tcPr>
          <w:p w14:paraId="59B7464C">
            <w:pPr>
              <w:jc w:val="center"/>
              <w:rPr>
                <w:color w:val="auto"/>
                <w:szCs w:val="21"/>
              </w:rPr>
            </w:pPr>
            <w:r>
              <w:rPr>
                <w:color w:val="auto"/>
                <w:szCs w:val="21"/>
              </w:rPr>
              <w:t>0.527</w:t>
            </w:r>
          </w:p>
        </w:tc>
        <w:tc>
          <w:tcPr>
            <w:tcW w:w="1504" w:type="dxa"/>
            <w:vAlign w:val="center"/>
          </w:tcPr>
          <w:p w14:paraId="7AEA16D7">
            <w:pPr>
              <w:jc w:val="center"/>
              <w:rPr>
                <w:color w:val="auto"/>
                <w:szCs w:val="21"/>
              </w:rPr>
            </w:pPr>
            <w:r>
              <w:rPr>
                <w:color w:val="auto"/>
                <w:szCs w:val="21"/>
              </w:rPr>
              <w:t>0.466</w:t>
            </w:r>
          </w:p>
        </w:tc>
        <w:tc>
          <w:tcPr>
            <w:tcW w:w="1504" w:type="dxa"/>
            <w:vAlign w:val="center"/>
          </w:tcPr>
          <w:p w14:paraId="70D993BB">
            <w:pPr>
              <w:jc w:val="center"/>
              <w:rPr>
                <w:color w:val="auto"/>
                <w:szCs w:val="21"/>
              </w:rPr>
            </w:pPr>
            <w:r>
              <w:rPr>
                <w:color w:val="auto"/>
                <w:szCs w:val="21"/>
              </w:rPr>
              <w:t>0.425</w:t>
            </w:r>
          </w:p>
        </w:tc>
        <w:tc>
          <w:tcPr>
            <w:tcW w:w="1504" w:type="dxa"/>
            <w:vAlign w:val="center"/>
          </w:tcPr>
          <w:p w14:paraId="6743AE0E">
            <w:pPr>
              <w:jc w:val="center"/>
              <w:rPr>
                <w:color w:val="auto"/>
                <w:szCs w:val="21"/>
              </w:rPr>
            </w:pPr>
            <w:r>
              <w:rPr>
                <w:color w:val="auto"/>
                <w:szCs w:val="21"/>
              </w:rPr>
              <w:t>0.472</w:t>
            </w:r>
          </w:p>
        </w:tc>
      </w:tr>
      <w:tr w14:paraId="7E2512AE">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75" w:type="dxa"/>
            <w:vAlign w:val="center"/>
          </w:tcPr>
          <w:p w14:paraId="52B072D7">
            <w:pPr>
              <w:jc w:val="center"/>
              <w:rPr>
                <w:color w:val="auto"/>
                <w:szCs w:val="21"/>
              </w:rPr>
            </w:pPr>
            <w:r>
              <w:rPr>
                <w:color w:val="auto"/>
                <w:szCs w:val="21"/>
              </w:rPr>
              <w:t>均值</w:t>
            </w:r>
          </w:p>
        </w:tc>
        <w:tc>
          <w:tcPr>
            <w:tcW w:w="1237" w:type="dxa"/>
            <w:vAlign w:val="center"/>
          </w:tcPr>
          <w:p w14:paraId="20C686C8">
            <w:pPr>
              <w:jc w:val="center"/>
              <w:rPr>
                <w:color w:val="auto"/>
                <w:szCs w:val="21"/>
              </w:rPr>
            </w:pPr>
            <w:r>
              <w:rPr>
                <w:color w:val="auto"/>
                <w:szCs w:val="21"/>
              </w:rPr>
              <w:t>0.321</w:t>
            </w:r>
          </w:p>
        </w:tc>
        <w:tc>
          <w:tcPr>
            <w:tcW w:w="1504" w:type="dxa"/>
            <w:vAlign w:val="center"/>
          </w:tcPr>
          <w:p w14:paraId="286EE05E">
            <w:pPr>
              <w:jc w:val="center"/>
              <w:rPr>
                <w:color w:val="auto"/>
                <w:szCs w:val="21"/>
              </w:rPr>
            </w:pPr>
            <w:r>
              <w:rPr>
                <w:color w:val="auto"/>
                <w:szCs w:val="21"/>
              </w:rPr>
              <w:t>0.573</w:t>
            </w:r>
          </w:p>
        </w:tc>
        <w:tc>
          <w:tcPr>
            <w:tcW w:w="1504" w:type="dxa"/>
            <w:vAlign w:val="center"/>
          </w:tcPr>
          <w:p w14:paraId="17C53E4C">
            <w:pPr>
              <w:jc w:val="center"/>
              <w:rPr>
                <w:color w:val="auto"/>
                <w:szCs w:val="21"/>
              </w:rPr>
            </w:pPr>
            <w:r>
              <w:rPr>
                <w:color w:val="auto"/>
                <w:szCs w:val="21"/>
              </w:rPr>
              <w:t>0.488</w:t>
            </w:r>
          </w:p>
        </w:tc>
        <w:tc>
          <w:tcPr>
            <w:tcW w:w="1504" w:type="dxa"/>
            <w:vAlign w:val="center"/>
          </w:tcPr>
          <w:p w14:paraId="67A04772">
            <w:pPr>
              <w:jc w:val="center"/>
              <w:rPr>
                <w:color w:val="auto"/>
                <w:szCs w:val="21"/>
              </w:rPr>
            </w:pPr>
            <w:r>
              <w:rPr>
                <w:color w:val="auto"/>
                <w:szCs w:val="21"/>
              </w:rPr>
              <w:t>0.414</w:t>
            </w:r>
          </w:p>
        </w:tc>
        <w:tc>
          <w:tcPr>
            <w:tcW w:w="1504" w:type="dxa"/>
            <w:vAlign w:val="center"/>
          </w:tcPr>
          <w:p w14:paraId="20EB6576">
            <w:pPr>
              <w:jc w:val="center"/>
              <w:rPr>
                <w:color w:val="auto"/>
                <w:szCs w:val="21"/>
              </w:rPr>
            </w:pPr>
            <w:r>
              <w:rPr>
                <w:color w:val="auto"/>
                <w:szCs w:val="21"/>
              </w:rPr>
              <w:t>0.491</w:t>
            </w:r>
          </w:p>
        </w:tc>
      </w:tr>
    </w:tbl>
    <w:p w14:paraId="786F6475">
      <w:pPr>
        <w:pStyle w:val="29"/>
        <w:snapToGrid w:val="0"/>
        <w:spacing w:line="360" w:lineRule="auto"/>
        <w:ind w:firstLine="480" w:firstLineChars="200"/>
        <w:rPr>
          <w:rFonts w:ascii="Times New Roman" w:hAnsi="Times New Roman"/>
          <w:color w:val="auto"/>
          <w:sz w:val="24"/>
          <w:szCs w:val="24"/>
        </w:rPr>
      </w:pPr>
      <w:r>
        <w:rPr>
          <w:rFonts w:ascii="Times New Roman" w:hAnsi="Times New Roman"/>
          <w:color w:val="auto"/>
          <w:sz w:val="24"/>
          <w:szCs w:val="24"/>
        </w:rPr>
        <w:t>由</w:t>
      </w:r>
      <w:r>
        <w:rPr>
          <w:rFonts w:ascii="Times New Roman" w:hAnsi="Times New Roman"/>
          <w:color w:val="auto"/>
          <w:sz w:val="24"/>
        </w:rPr>
        <w:t>上表</w:t>
      </w:r>
      <w:r>
        <w:rPr>
          <w:rFonts w:ascii="Times New Roman" w:hAnsi="Times New Roman"/>
          <w:color w:val="auto"/>
          <w:sz w:val="24"/>
          <w:szCs w:val="24"/>
        </w:rPr>
        <w:t>可见，上风向50m内，被影响区域的TSP浓度平均值为0.321mg/m</w:t>
      </w:r>
      <w:r>
        <w:rPr>
          <w:rFonts w:ascii="Times New Roman" w:hAnsi="Times New Roman"/>
          <w:color w:val="auto"/>
          <w:sz w:val="24"/>
          <w:szCs w:val="24"/>
          <w:vertAlign w:val="superscript"/>
        </w:rPr>
        <w:t>3</w:t>
      </w:r>
      <w:r>
        <w:rPr>
          <w:rFonts w:ascii="Times New Roman" w:hAnsi="Times New Roman"/>
          <w:color w:val="auto"/>
          <w:sz w:val="24"/>
          <w:szCs w:val="24"/>
        </w:rPr>
        <w:t>，下风向150m之内，被影响区域的TSP浓度平均值为0.491mg/m</w:t>
      </w:r>
      <w:r>
        <w:rPr>
          <w:rFonts w:ascii="Times New Roman" w:hAnsi="Times New Roman"/>
          <w:color w:val="auto"/>
          <w:sz w:val="24"/>
          <w:szCs w:val="24"/>
          <w:vertAlign w:val="superscript"/>
        </w:rPr>
        <w:t>3</w:t>
      </w:r>
      <w:r>
        <w:rPr>
          <w:rFonts w:ascii="Times New Roman" w:hAnsi="Times New Roman"/>
          <w:color w:val="auto"/>
          <w:sz w:val="24"/>
          <w:szCs w:val="24"/>
        </w:rPr>
        <w:t>，</w:t>
      </w:r>
      <w:r>
        <w:rPr>
          <w:rFonts w:ascii="Times New Roman" w:hAnsi="Times New Roman"/>
          <w:color w:val="auto"/>
          <w:sz w:val="24"/>
        </w:rPr>
        <w:t>厂界</w:t>
      </w:r>
      <w:r>
        <w:rPr>
          <w:rFonts w:ascii="Times New Roman" w:hAnsi="Times New Roman"/>
          <w:color w:val="auto"/>
          <w:kern w:val="0"/>
          <w:sz w:val="24"/>
        </w:rPr>
        <w:t>颗粒物符合《大气污染物综合排放标准》（GB16297-1996）中的表2新污染源大气污染物排放限值中无组织排放监控浓度限值要求。</w:t>
      </w:r>
      <w:r>
        <w:rPr>
          <w:rFonts w:ascii="Times New Roman" w:hAnsi="Times New Roman"/>
          <w:color w:val="auto"/>
          <w:sz w:val="24"/>
          <w:szCs w:val="24"/>
        </w:rPr>
        <w:t>本项目影响区域</w:t>
      </w:r>
      <w:r>
        <w:rPr>
          <w:rFonts w:hint="eastAsia" w:ascii="Times New Roman" w:hAnsi="Times New Roman"/>
          <w:color w:val="auto"/>
          <w:sz w:val="24"/>
          <w:szCs w:val="24"/>
          <w:lang w:val="en-US" w:eastAsia="zh-CN"/>
        </w:rPr>
        <w:t>150m范围</w:t>
      </w:r>
      <w:r>
        <w:rPr>
          <w:rFonts w:ascii="Times New Roman" w:hAnsi="Times New Roman"/>
          <w:color w:val="auto"/>
          <w:sz w:val="24"/>
          <w:szCs w:val="24"/>
        </w:rPr>
        <w:t>内无居民等环境敏感点，且其影响周期短，随施工结束而消失。</w:t>
      </w:r>
    </w:p>
    <w:p w14:paraId="55F0F359">
      <w:pPr>
        <w:pStyle w:val="276"/>
        <w:ind w:left="0" w:leftChars="0" w:firstLine="0" w:firstLineChars="0"/>
        <w:rPr>
          <w:b/>
          <w:color w:val="auto"/>
        </w:rPr>
      </w:pPr>
      <w:r>
        <w:rPr>
          <w:b/>
          <w:color w:val="auto"/>
        </w:rPr>
        <w:t>3.</w:t>
      </w:r>
      <w:r>
        <w:rPr>
          <w:rFonts w:hint="eastAsia"/>
          <w:b/>
          <w:color w:val="auto"/>
        </w:rPr>
        <w:t>4</w:t>
      </w:r>
      <w:r>
        <w:rPr>
          <w:b/>
          <w:color w:val="auto"/>
        </w:rPr>
        <w:t>.1.2施工期水污染源分析</w:t>
      </w:r>
    </w:p>
    <w:p w14:paraId="6235CCE7">
      <w:pPr>
        <w:autoSpaceDE w:val="0"/>
        <w:autoSpaceDN w:val="0"/>
        <w:adjustRightInd w:val="0"/>
        <w:spacing w:line="360" w:lineRule="auto"/>
        <w:ind w:firstLine="480" w:firstLineChars="200"/>
        <w:jc w:val="left"/>
        <w:rPr>
          <w:color w:val="auto"/>
          <w:sz w:val="24"/>
        </w:rPr>
      </w:pPr>
      <w:r>
        <w:rPr>
          <w:color w:val="auto"/>
          <w:sz w:val="24"/>
        </w:rPr>
        <w:t>施工期水污染源主要是来自施工人员产生的生活污水和施工过程中产生的各类施工废水。</w:t>
      </w:r>
    </w:p>
    <w:p w14:paraId="7E86BC67">
      <w:pPr>
        <w:pStyle w:val="16"/>
        <w:snapToGrid w:val="0"/>
        <w:spacing w:line="360" w:lineRule="auto"/>
        <w:ind w:firstLine="480"/>
        <w:rPr>
          <w:bCs/>
          <w:color w:val="auto"/>
          <w:spacing w:val="6"/>
          <w:sz w:val="24"/>
        </w:rPr>
      </w:pPr>
      <w:r>
        <w:rPr>
          <w:bCs/>
          <w:color w:val="auto"/>
          <w:spacing w:val="6"/>
          <w:sz w:val="24"/>
        </w:rPr>
        <w:t>(1)施工期生活污水</w:t>
      </w:r>
    </w:p>
    <w:p w14:paraId="2151E07F">
      <w:pPr>
        <w:pStyle w:val="16"/>
        <w:snapToGrid w:val="0"/>
        <w:spacing w:line="360" w:lineRule="auto"/>
        <w:ind w:firstLine="480"/>
        <w:rPr>
          <w:color w:val="auto"/>
          <w:sz w:val="24"/>
          <w:highlight w:val="yellow"/>
        </w:rPr>
      </w:pPr>
      <w:r>
        <w:rPr>
          <w:bCs/>
          <w:color w:val="auto"/>
          <w:spacing w:val="6"/>
          <w:sz w:val="24"/>
        </w:rPr>
        <w:t>本项目施工期间施工人数最高峰为20人，</w:t>
      </w:r>
      <w:r>
        <w:rPr>
          <w:bCs/>
          <w:color w:val="auto"/>
          <w:sz w:val="24"/>
        </w:rPr>
        <w:t>生活用水量按10L/人·d计，</w:t>
      </w:r>
      <w:r>
        <w:rPr>
          <w:color w:val="auto"/>
          <w:sz w:val="24"/>
        </w:rPr>
        <w:t>施工周期为</w:t>
      </w:r>
      <w:r>
        <w:rPr>
          <w:rFonts w:hint="eastAsia"/>
          <w:color w:val="auto"/>
          <w:sz w:val="24"/>
        </w:rPr>
        <w:t>8</w:t>
      </w:r>
      <w:r>
        <w:rPr>
          <w:color w:val="auto"/>
          <w:sz w:val="24"/>
        </w:rPr>
        <w:t>个月，整个施工期生活用水量为</w:t>
      </w:r>
      <w:r>
        <w:rPr>
          <w:rFonts w:hint="eastAsia"/>
          <w:color w:val="auto"/>
          <w:sz w:val="24"/>
        </w:rPr>
        <w:t>48</w:t>
      </w:r>
      <w:r>
        <w:rPr>
          <w:color w:val="auto"/>
          <w:sz w:val="24"/>
        </w:rPr>
        <w:t>m</w:t>
      </w:r>
      <w:r>
        <w:rPr>
          <w:color w:val="auto"/>
          <w:sz w:val="24"/>
          <w:vertAlign w:val="superscript"/>
        </w:rPr>
        <w:t>3</w:t>
      </w:r>
      <w:r>
        <w:rPr>
          <w:color w:val="auto"/>
          <w:sz w:val="24"/>
        </w:rPr>
        <w:t>/a，施工过程中生活用主要为盥洗用水。施工人员的生活污水排放系数取0.85，则施工期期间内生活污水排放量为</w:t>
      </w:r>
      <w:r>
        <w:rPr>
          <w:rFonts w:hint="eastAsia"/>
          <w:color w:val="auto"/>
          <w:sz w:val="24"/>
        </w:rPr>
        <w:t>40.8</w:t>
      </w:r>
      <w:r>
        <w:rPr>
          <w:color w:val="auto"/>
          <w:sz w:val="24"/>
        </w:rPr>
        <w:t>m</w:t>
      </w:r>
      <w:r>
        <w:rPr>
          <w:color w:val="auto"/>
          <w:sz w:val="24"/>
          <w:vertAlign w:val="superscript"/>
        </w:rPr>
        <w:t>3</w:t>
      </w:r>
      <w:r>
        <w:rPr>
          <w:color w:val="auto"/>
          <w:sz w:val="24"/>
        </w:rPr>
        <w:t>/a，主要污染物为COD和NH</w:t>
      </w:r>
      <w:r>
        <w:rPr>
          <w:color w:val="auto"/>
          <w:sz w:val="24"/>
          <w:vertAlign w:val="subscript"/>
        </w:rPr>
        <w:t>3</w:t>
      </w:r>
      <w:r>
        <w:rPr>
          <w:color w:val="auto"/>
          <w:sz w:val="24"/>
        </w:rPr>
        <w:t>-N。</w:t>
      </w:r>
    </w:p>
    <w:p w14:paraId="5DC42F42">
      <w:pPr>
        <w:autoSpaceDE w:val="0"/>
        <w:autoSpaceDN w:val="0"/>
        <w:adjustRightInd w:val="0"/>
        <w:snapToGrid w:val="0"/>
        <w:spacing w:line="360" w:lineRule="auto"/>
        <w:ind w:firstLine="480" w:firstLineChars="200"/>
        <w:rPr>
          <w:color w:val="auto"/>
          <w:sz w:val="24"/>
        </w:rPr>
      </w:pPr>
      <w:r>
        <w:rPr>
          <w:color w:val="auto"/>
          <w:sz w:val="24"/>
        </w:rPr>
        <w:t>(2)施工期生产废水</w:t>
      </w:r>
    </w:p>
    <w:p w14:paraId="5068E1D2">
      <w:pPr>
        <w:autoSpaceDE w:val="0"/>
        <w:autoSpaceDN w:val="0"/>
        <w:adjustRightInd w:val="0"/>
        <w:snapToGrid w:val="0"/>
        <w:spacing w:line="360" w:lineRule="auto"/>
        <w:ind w:firstLine="480" w:firstLineChars="200"/>
        <w:rPr>
          <w:color w:val="auto"/>
          <w:sz w:val="24"/>
        </w:rPr>
      </w:pPr>
      <w:r>
        <w:rPr>
          <w:color w:val="auto"/>
          <w:sz w:val="24"/>
        </w:rPr>
        <w:t>施工污水主要为施工车辆、机械的冲洗废水及含油污水，主要污染物为SS和石油类，根据类比分析，预计施工期的施工废水日排放量约为2m</w:t>
      </w:r>
      <w:r>
        <w:rPr>
          <w:color w:val="auto"/>
          <w:sz w:val="24"/>
          <w:vertAlign w:val="superscript"/>
        </w:rPr>
        <w:t>3</w:t>
      </w:r>
      <w:r>
        <w:rPr>
          <w:color w:val="auto"/>
          <w:sz w:val="24"/>
        </w:rPr>
        <w:t>/d，总产生量约为</w:t>
      </w:r>
      <w:r>
        <w:rPr>
          <w:rFonts w:hint="eastAsia"/>
          <w:color w:val="auto"/>
          <w:sz w:val="24"/>
        </w:rPr>
        <w:t>48</w:t>
      </w:r>
      <w:r>
        <w:rPr>
          <w:color w:val="auto"/>
          <w:sz w:val="24"/>
        </w:rPr>
        <w:t>0m</w:t>
      </w:r>
      <w:r>
        <w:rPr>
          <w:color w:val="auto"/>
          <w:sz w:val="24"/>
          <w:vertAlign w:val="superscript"/>
        </w:rPr>
        <w:t>3</w:t>
      </w:r>
      <w:r>
        <w:rPr>
          <w:color w:val="auto"/>
          <w:sz w:val="24"/>
        </w:rPr>
        <w:t>/a。</w:t>
      </w:r>
    </w:p>
    <w:p w14:paraId="443C4B40">
      <w:pPr>
        <w:pStyle w:val="276"/>
        <w:ind w:left="0" w:leftChars="0" w:firstLine="0" w:firstLineChars="0"/>
        <w:rPr>
          <w:b/>
          <w:color w:val="auto"/>
        </w:rPr>
      </w:pPr>
      <w:r>
        <w:rPr>
          <w:b/>
          <w:color w:val="auto"/>
        </w:rPr>
        <w:t>3.</w:t>
      </w:r>
      <w:r>
        <w:rPr>
          <w:rFonts w:hint="eastAsia"/>
          <w:b/>
          <w:color w:val="auto"/>
        </w:rPr>
        <w:t>4</w:t>
      </w:r>
      <w:r>
        <w:rPr>
          <w:b/>
          <w:color w:val="auto"/>
        </w:rPr>
        <w:t>.1.3施工期噪声污染源分析</w:t>
      </w:r>
    </w:p>
    <w:p w14:paraId="1106C30A">
      <w:pPr>
        <w:spacing w:line="360" w:lineRule="auto"/>
        <w:ind w:firstLine="480" w:firstLineChars="200"/>
        <w:rPr>
          <w:color w:val="auto"/>
          <w:sz w:val="24"/>
        </w:rPr>
      </w:pPr>
      <w:r>
        <w:rPr>
          <w:color w:val="auto"/>
          <w:sz w:val="24"/>
        </w:rPr>
        <w:t>本项目施工期噪声源强是各种机械设备作业噪声和车辆运输(运送物料及清运建筑垃圾)噪声的合成噪声。其噪声合成计算公式见下式：</w:t>
      </w:r>
    </w:p>
    <w:p w14:paraId="2F96BA8A">
      <w:pPr>
        <w:spacing w:line="360" w:lineRule="auto"/>
        <w:ind w:firstLine="480" w:firstLineChars="200"/>
        <w:rPr>
          <w:color w:val="auto"/>
          <w:sz w:val="24"/>
        </w:rPr>
      </w:pPr>
      <w:r>
        <w:rPr>
          <w:color w:val="auto"/>
          <w:sz w:val="24"/>
        </w:rPr>
        <w:object>
          <v:shape id="_x0000_i1026" o:spt="75" type="#_x0000_t75" style="height:36.1pt;width:109.4pt;" o:ole="t" filled="f" o:preferrelative="t" stroked="f" coordsize="21600,21600">
            <v:path/>
            <v:fill on="f" focussize="0,0"/>
            <v:stroke on="f"/>
            <v:imagedata r:id="rId27" o:title=""/>
            <o:lock v:ext="edit" aspectratio="t"/>
            <w10:wrap type="none"/>
            <w10:anchorlock/>
          </v:shape>
          <o:OLEObject Type="Embed" ProgID="Equation.3" ShapeID="_x0000_i1026" DrawAspect="Content" ObjectID="_1468075726" r:id="rId26">
            <o:LockedField>false</o:LockedField>
          </o:OLEObject>
        </w:object>
      </w:r>
    </w:p>
    <w:p w14:paraId="7523287C">
      <w:pPr>
        <w:spacing w:line="500" w:lineRule="exact"/>
        <w:ind w:firstLine="31" w:firstLineChars="13"/>
        <w:rPr>
          <w:color w:val="auto"/>
          <w:sz w:val="24"/>
        </w:rPr>
      </w:pPr>
      <w:r>
        <w:rPr>
          <w:color w:val="auto"/>
          <w:sz w:val="24"/>
        </w:rPr>
        <w:t>式中：Li——第i个声源的源强，dB(A)；</w:t>
      </w:r>
    </w:p>
    <w:p w14:paraId="5184A517">
      <w:pPr>
        <w:spacing w:line="500" w:lineRule="exact"/>
        <w:ind w:firstLine="768" w:firstLineChars="320"/>
        <w:rPr>
          <w:color w:val="auto"/>
          <w:sz w:val="24"/>
        </w:rPr>
      </w:pPr>
      <w:r>
        <w:rPr>
          <w:color w:val="auto"/>
          <w:sz w:val="24"/>
        </w:rPr>
        <w:t>L</w:t>
      </w:r>
      <w:r>
        <w:rPr>
          <w:color w:val="auto"/>
          <w:sz w:val="24"/>
          <w:vertAlign w:val="subscript"/>
        </w:rPr>
        <w:t>合</w:t>
      </w:r>
      <w:r>
        <w:rPr>
          <w:color w:val="auto"/>
          <w:sz w:val="24"/>
        </w:rPr>
        <w:t>——合成声压级，dB(A)；</w:t>
      </w:r>
    </w:p>
    <w:p w14:paraId="6E90F1C6">
      <w:pPr>
        <w:spacing w:line="500" w:lineRule="exact"/>
        <w:ind w:firstLine="768" w:firstLineChars="320"/>
        <w:rPr>
          <w:color w:val="auto"/>
        </w:rPr>
      </w:pPr>
      <w:r>
        <w:rPr>
          <w:color w:val="auto"/>
          <w:sz w:val="24"/>
        </w:rPr>
        <w:t>n ——声源个数</w:t>
      </w:r>
      <w:r>
        <w:rPr>
          <w:color w:val="auto"/>
        </w:rPr>
        <w:t>。</w:t>
      </w:r>
    </w:p>
    <w:p w14:paraId="481FA5A8">
      <w:pPr>
        <w:spacing w:line="360" w:lineRule="auto"/>
        <w:ind w:firstLine="648" w:firstLineChars="270"/>
        <w:rPr>
          <w:color w:val="auto"/>
          <w:sz w:val="24"/>
        </w:rPr>
      </w:pPr>
      <w:r>
        <w:rPr>
          <w:color w:val="auto"/>
          <w:sz w:val="24"/>
        </w:rPr>
        <w:t>对应各个施工阶段施工噪声情况，采用实际监测、类比其它建筑施工项目环评和查阅有关资料的方法，分别给出其噪声源强，主要设备噪声源强见表</w:t>
      </w:r>
      <w:r>
        <w:rPr>
          <w:rFonts w:hint="eastAsia"/>
          <w:color w:val="auto"/>
          <w:sz w:val="24"/>
          <w:lang w:val="en-US" w:eastAsia="zh-CN"/>
        </w:rPr>
        <w:t>3.4-4</w:t>
      </w:r>
      <w:r>
        <w:rPr>
          <w:color w:val="auto"/>
          <w:sz w:val="24"/>
        </w:rPr>
        <w:t>。</w:t>
      </w:r>
    </w:p>
    <w:p w14:paraId="3D6AB4C3">
      <w:pPr>
        <w:autoSpaceDE w:val="0"/>
        <w:autoSpaceDN w:val="0"/>
        <w:adjustRightInd w:val="0"/>
        <w:ind w:firstLine="422" w:firstLineChars="200"/>
        <w:jc w:val="center"/>
        <w:rPr>
          <w:b/>
          <w:color w:val="auto"/>
          <w:kern w:val="0"/>
          <w:szCs w:val="21"/>
          <w:lang w:val="zh-CN"/>
        </w:rPr>
      </w:pPr>
      <w:r>
        <w:rPr>
          <w:b/>
          <w:color w:val="auto"/>
          <w:szCs w:val="21"/>
        </w:rPr>
        <w:t>表</w:t>
      </w:r>
      <w:r>
        <w:rPr>
          <w:rFonts w:hint="eastAsia"/>
          <w:b/>
          <w:color w:val="auto"/>
          <w:szCs w:val="21"/>
          <w:lang w:val="en-US" w:eastAsia="zh-CN"/>
        </w:rPr>
        <w:t>3.4-4</w:t>
      </w:r>
      <w:r>
        <w:rPr>
          <w:b/>
          <w:color w:val="auto"/>
          <w:szCs w:val="21"/>
        </w:rPr>
        <w:t xml:space="preserve">    </w:t>
      </w:r>
      <w:r>
        <w:rPr>
          <w:b/>
          <w:color w:val="auto"/>
          <w:kern w:val="0"/>
          <w:szCs w:val="21"/>
          <w:lang w:val="zh-CN"/>
        </w:rPr>
        <w:t>各施工阶段主要噪声源状况</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094"/>
        <w:gridCol w:w="3096"/>
        <w:gridCol w:w="2338"/>
      </w:tblGrid>
      <w:tr w14:paraId="4AB14F9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94" w:type="dxa"/>
            <w:vAlign w:val="center"/>
          </w:tcPr>
          <w:p w14:paraId="510CF5A5">
            <w:pPr>
              <w:jc w:val="center"/>
              <w:rPr>
                <w:b/>
                <w:color w:val="auto"/>
                <w:szCs w:val="21"/>
              </w:rPr>
            </w:pPr>
            <w:r>
              <w:rPr>
                <w:b/>
                <w:color w:val="auto"/>
                <w:szCs w:val="21"/>
              </w:rPr>
              <w:t>施工阶段</w:t>
            </w:r>
          </w:p>
        </w:tc>
        <w:tc>
          <w:tcPr>
            <w:tcW w:w="3096" w:type="dxa"/>
            <w:vAlign w:val="center"/>
          </w:tcPr>
          <w:p w14:paraId="6F452EBB">
            <w:pPr>
              <w:jc w:val="center"/>
              <w:rPr>
                <w:b/>
                <w:color w:val="auto"/>
                <w:szCs w:val="21"/>
              </w:rPr>
            </w:pPr>
            <w:r>
              <w:rPr>
                <w:b/>
                <w:color w:val="auto"/>
                <w:szCs w:val="21"/>
              </w:rPr>
              <w:t>施工机械</w:t>
            </w:r>
          </w:p>
        </w:tc>
        <w:tc>
          <w:tcPr>
            <w:tcW w:w="2338" w:type="dxa"/>
            <w:vAlign w:val="center"/>
          </w:tcPr>
          <w:p w14:paraId="6EC5FDF0">
            <w:pPr>
              <w:jc w:val="center"/>
              <w:rPr>
                <w:b/>
                <w:color w:val="auto"/>
                <w:szCs w:val="21"/>
              </w:rPr>
            </w:pPr>
            <w:r>
              <w:rPr>
                <w:b/>
                <w:color w:val="auto"/>
                <w:szCs w:val="21"/>
              </w:rPr>
              <w:t>声级</w:t>
            </w:r>
            <w:r>
              <w:rPr>
                <w:b/>
                <w:color w:val="auto"/>
                <w:kern w:val="0"/>
                <w:szCs w:val="21"/>
              </w:rPr>
              <w:t>dB(A)</w:t>
            </w:r>
          </w:p>
        </w:tc>
      </w:tr>
      <w:tr w14:paraId="5C77EAB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94" w:type="dxa"/>
            <w:vMerge w:val="restart"/>
            <w:vAlign w:val="center"/>
          </w:tcPr>
          <w:p w14:paraId="4AF0AA60">
            <w:pPr>
              <w:jc w:val="center"/>
              <w:rPr>
                <w:color w:val="auto"/>
              </w:rPr>
            </w:pPr>
            <w:r>
              <w:rPr>
                <w:color w:val="auto"/>
              </w:rPr>
              <w:t>场地清理、土方阶段</w:t>
            </w:r>
          </w:p>
        </w:tc>
        <w:tc>
          <w:tcPr>
            <w:tcW w:w="3096" w:type="dxa"/>
            <w:vAlign w:val="center"/>
          </w:tcPr>
          <w:p w14:paraId="720CED13">
            <w:pPr>
              <w:jc w:val="center"/>
              <w:rPr>
                <w:color w:val="auto"/>
              </w:rPr>
            </w:pPr>
            <w:r>
              <w:rPr>
                <w:color w:val="auto"/>
              </w:rPr>
              <w:t>推土机</w:t>
            </w:r>
          </w:p>
        </w:tc>
        <w:tc>
          <w:tcPr>
            <w:tcW w:w="2338" w:type="dxa"/>
            <w:vAlign w:val="center"/>
          </w:tcPr>
          <w:p w14:paraId="58906F91">
            <w:pPr>
              <w:jc w:val="center"/>
              <w:rPr>
                <w:color w:val="auto"/>
              </w:rPr>
            </w:pPr>
            <w:r>
              <w:rPr>
                <w:color w:val="auto"/>
              </w:rPr>
              <w:t>88</w:t>
            </w:r>
          </w:p>
        </w:tc>
      </w:tr>
      <w:tr w14:paraId="4C177F9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94" w:type="dxa"/>
            <w:vMerge w:val="continue"/>
            <w:vAlign w:val="center"/>
          </w:tcPr>
          <w:p w14:paraId="1919B9D0">
            <w:pPr>
              <w:jc w:val="center"/>
              <w:rPr>
                <w:color w:val="auto"/>
              </w:rPr>
            </w:pPr>
          </w:p>
        </w:tc>
        <w:tc>
          <w:tcPr>
            <w:tcW w:w="3096" w:type="dxa"/>
            <w:vAlign w:val="center"/>
          </w:tcPr>
          <w:p w14:paraId="234D6AAC">
            <w:pPr>
              <w:jc w:val="center"/>
              <w:rPr>
                <w:color w:val="auto"/>
              </w:rPr>
            </w:pPr>
            <w:r>
              <w:rPr>
                <w:color w:val="auto"/>
              </w:rPr>
              <w:t>挖掘机</w:t>
            </w:r>
          </w:p>
        </w:tc>
        <w:tc>
          <w:tcPr>
            <w:tcW w:w="2338" w:type="dxa"/>
            <w:vAlign w:val="center"/>
          </w:tcPr>
          <w:p w14:paraId="4B8B2761">
            <w:pPr>
              <w:jc w:val="center"/>
              <w:rPr>
                <w:color w:val="auto"/>
              </w:rPr>
            </w:pPr>
            <w:r>
              <w:rPr>
                <w:color w:val="auto"/>
              </w:rPr>
              <w:t>88</w:t>
            </w:r>
          </w:p>
        </w:tc>
      </w:tr>
      <w:tr w14:paraId="7465C14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94" w:type="dxa"/>
            <w:vMerge w:val="continue"/>
            <w:vAlign w:val="center"/>
          </w:tcPr>
          <w:p w14:paraId="60A77311">
            <w:pPr>
              <w:jc w:val="center"/>
              <w:rPr>
                <w:color w:val="auto"/>
              </w:rPr>
            </w:pPr>
          </w:p>
        </w:tc>
        <w:tc>
          <w:tcPr>
            <w:tcW w:w="3096" w:type="dxa"/>
            <w:vAlign w:val="center"/>
          </w:tcPr>
          <w:p w14:paraId="3C8D400D">
            <w:pPr>
              <w:jc w:val="center"/>
              <w:rPr>
                <w:color w:val="auto"/>
              </w:rPr>
            </w:pPr>
            <w:r>
              <w:rPr>
                <w:color w:val="auto"/>
              </w:rPr>
              <w:t>装载机</w:t>
            </w:r>
          </w:p>
        </w:tc>
        <w:tc>
          <w:tcPr>
            <w:tcW w:w="2338" w:type="dxa"/>
            <w:vAlign w:val="center"/>
          </w:tcPr>
          <w:p w14:paraId="4FDFFC7E">
            <w:pPr>
              <w:jc w:val="center"/>
              <w:rPr>
                <w:color w:val="auto"/>
              </w:rPr>
            </w:pPr>
            <w:r>
              <w:rPr>
                <w:color w:val="auto"/>
              </w:rPr>
              <w:t>90</w:t>
            </w:r>
          </w:p>
        </w:tc>
      </w:tr>
      <w:tr w14:paraId="635CDCF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94" w:type="dxa"/>
            <w:vMerge w:val="continue"/>
            <w:vAlign w:val="center"/>
          </w:tcPr>
          <w:p w14:paraId="034B1F7E">
            <w:pPr>
              <w:jc w:val="center"/>
              <w:rPr>
                <w:color w:val="auto"/>
              </w:rPr>
            </w:pPr>
          </w:p>
        </w:tc>
        <w:tc>
          <w:tcPr>
            <w:tcW w:w="3096" w:type="dxa"/>
            <w:vAlign w:val="center"/>
          </w:tcPr>
          <w:p w14:paraId="1D3AD7BD">
            <w:pPr>
              <w:jc w:val="center"/>
              <w:rPr>
                <w:color w:val="auto"/>
              </w:rPr>
            </w:pPr>
            <w:r>
              <w:rPr>
                <w:color w:val="auto"/>
              </w:rPr>
              <w:t>大型载重车</w:t>
            </w:r>
          </w:p>
        </w:tc>
        <w:tc>
          <w:tcPr>
            <w:tcW w:w="2338" w:type="dxa"/>
            <w:vAlign w:val="center"/>
          </w:tcPr>
          <w:p w14:paraId="5FADEDBF">
            <w:pPr>
              <w:jc w:val="center"/>
              <w:rPr>
                <w:color w:val="auto"/>
              </w:rPr>
            </w:pPr>
            <w:r>
              <w:rPr>
                <w:color w:val="auto"/>
              </w:rPr>
              <w:t>90</w:t>
            </w:r>
          </w:p>
        </w:tc>
      </w:tr>
      <w:tr w14:paraId="44C29135">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94" w:type="dxa"/>
            <w:vMerge w:val="restart"/>
            <w:vAlign w:val="center"/>
          </w:tcPr>
          <w:p w14:paraId="4FA811E1">
            <w:pPr>
              <w:jc w:val="center"/>
              <w:rPr>
                <w:color w:val="auto"/>
              </w:rPr>
            </w:pPr>
            <w:r>
              <w:rPr>
                <w:color w:val="auto"/>
              </w:rPr>
              <w:t>结构施工阶段</w:t>
            </w:r>
          </w:p>
        </w:tc>
        <w:tc>
          <w:tcPr>
            <w:tcW w:w="3096" w:type="dxa"/>
            <w:vAlign w:val="center"/>
          </w:tcPr>
          <w:p w14:paraId="5C4B75B4">
            <w:pPr>
              <w:jc w:val="center"/>
              <w:rPr>
                <w:color w:val="auto"/>
              </w:rPr>
            </w:pPr>
            <w:r>
              <w:rPr>
                <w:color w:val="auto"/>
              </w:rPr>
              <w:t>升降机</w:t>
            </w:r>
          </w:p>
        </w:tc>
        <w:tc>
          <w:tcPr>
            <w:tcW w:w="2338" w:type="dxa"/>
            <w:vAlign w:val="center"/>
          </w:tcPr>
          <w:p w14:paraId="36B0751B">
            <w:pPr>
              <w:jc w:val="center"/>
              <w:rPr>
                <w:color w:val="auto"/>
              </w:rPr>
            </w:pPr>
            <w:r>
              <w:rPr>
                <w:color w:val="auto"/>
              </w:rPr>
              <w:t>85</w:t>
            </w:r>
          </w:p>
        </w:tc>
      </w:tr>
      <w:tr w14:paraId="12FB52E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94" w:type="dxa"/>
            <w:vMerge w:val="continue"/>
            <w:vAlign w:val="center"/>
          </w:tcPr>
          <w:p w14:paraId="35B0D763">
            <w:pPr>
              <w:jc w:val="center"/>
              <w:rPr>
                <w:color w:val="auto"/>
              </w:rPr>
            </w:pPr>
          </w:p>
        </w:tc>
        <w:tc>
          <w:tcPr>
            <w:tcW w:w="3096" w:type="dxa"/>
            <w:vAlign w:val="center"/>
          </w:tcPr>
          <w:p w14:paraId="09F0BE4A">
            <w:pPr>
              <w:jc w:val="center"/>
              <w:rPr>
                <w:color w:val="auto"/>
              </w:rPr>
            </w:pPr>
            <w:r>
              <w:rPr>
                <w:color w:val="auto"/>
              </w:rPr>
              <w:t>塔吊</w:t>
            </w:r>
          </w:p>
        </w:tc>
        <w:tc>
          <w:tcPr>
            <w:tcW w:w="2338" w:type="dxa"/>
            <w:vAlign w:val="center"/>
          </w:tcPr>
          <w:p w14:paraId="6A262665">
            <w:pPr>
              <w:jc w:val="center"/>
              <w:rPr>
                <w:color w:val="auto"/>
              </w:rPr>
            </w:pPr>
            <w:r>
              <w:rPr>
                <w:color w:val="auto"/>
              </w:rPr>
              <w:t>85</w:t>
            </w:r>
          </w:p>
        </w:tc>
      </w:tr>
      <w:tr w14:paraId="3081CBE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94" w:type="dxa"/>
            <w:vMerge w:val="continue"/>
            <w:vAlign w:val="center"/>
          </w:tcPr>
          <w:p w14:paraId="5E167DF9">
            <w:pPr>
              <w:jc w:val="center"/>
              <w:rPr>
                <w:color w:val="auto"/>
              </w:rPr>
            </w:pPr>
          </w:p>
        </w:tc>
        <w:tc>
          <w:tcPr>
            <w:tcW w:w="3096" w:type="dxa"/>
            <w:vAlign w:val="center"/>
          </w:tcPr>
          <w:p w14:paraId="512C8247">
            <w:pPr>
              <w:jc w:val="center"/>
              <w:rPr>
                <w:color w:val="auto"/>
              </w:rPr>
            </w:pPr>
            <w:r>
              <w:rPr>
                <w:color w:val="auto"/>
              </w:rPr>
              <w:t>混凝土运输车</w:t>
            </w:r>
          </w:p>
        </w:tc>
        <w:tc>
          <w:tcPr>
            <w:tcW w:w="2338" w:type="dxa"/>
            <w:vAlign w:val="center"/>
          </w:tcPr>
          <w:p w14:paraId="1BF88E99">
            <w:pPr>
              <w:jc w:val="center"/>
              <w:rPr>
                <w:color w:val="auto"/>
              </w:rPr>
            </w:pPr>
            <w:r>
              <w:rPr>
                <w:color w:val="auto"/>
              </w:rPr>
              <w:t>90</w:t>
            </w:r>
          </w:p>
        </w:tc>
      </w:tr>
      <w:tr w14:paraId="6AB2BB0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94" w:type="dxa"/>
            <w:vMerge w:val="restart"/>
            <w:vAlign w:val="center"/>
          </w:tcPr>
          <w:p w14:paraId="4AC2BD67">
            <w:pPr>
              <w:jc w:val="center"/>
              <w:rPr>
                <w:color w:val="auto"/>
              </w:rPr>
            </w:pPr>
            <w:r>
              <w:rPr>
                <w:color w:val="auto"/>
              </w:rPr>
              <w:t>内外部装修阶段</w:t>
            </w:r>
          </w:p>
        </w:tc>
        <w:tc>
          <w:tcPr>
            <w:tcW w:w="3096" w:type="dxa"/>
            <w:vAlign w:val="center"/>
          </w:tcPr>
          <w:p w14:paraId="3F83D1A8">
            <w:pPr>
              <w:jc w:val="center"/>
              <w:rPr>
                <w:color w:val="auto"/>
              </w:rPr>
            </w:pPr>
            <w:r>
              <w:rPr>
                <w:color w:val="auto"/>
              </w:rPr>
              <w:t>轻型卡车</w:t>
            </w:r>
          </w:p>
        </w:tc>
        <w:tc>
          <w:tcPr>
            <w:tcW w:w="2338" w:type="dxa"/>
            <w:vAlign w:val="center"/>
          </w:tcPr>
          <w:p w14:paraId="363539C8">
            <w:pPr>
              <w:jc w:val="center"/>
              <w:rPr>
                <w:color w:val="auto"/>
              </w:rPr>
            </w:pPr>
            <w:r>
              <w:rPr>
                <w:color w:val="auto"/>
              </w:rPr>
              <w:t>80</w:t>
            </w:r>
          </w:p>
        </w:tc>
      </w:tr>
      <w:tr w14:paraId="75A77DF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94" w:type="dxa"/>
            <w:vMerge w:val="continue"/>
            <w:vAlign w:val="center"/>
          </w:tcPr>
          <w:p w14:paraId="1AA033E6">
            <w:pPr>
              <w:jc w:val="center"/>
              <w:rPr>
                <w:color w:val="auto"/>
              </w:rPr>
            </w:pPr>
          </w:p>
        </w:tc>
        <w:tc>
          <w:tcPr>
            <w:tcW w:w="3096" w:type="dxa"/>
            <w:vAlign w:val="center"/>
          </w:tcPr>
          <w:p w14:paraId="7F02330A">
            <w:pPr>
              <w:jc w:val="center"/>
              <w:rPr>
                <w:color w:val="auto"/>
              </w:rPr>
            </w:pPr>
            <w:r>
              <w:rPr>
                <w:color w:val="auto"/>
              </w:rPr>
              <w:t>切割机</w:t>
            </w:r>
          </w:p>
        </w:tc>
        <w:tc>
          <w:tcPr>
            <w:tcW w:w="2338" w:type="dxa"/>
            <w:vAlign w:val="center"/>
          </w:tcPr>
          <w:p w14:paraId="75711B9E">
            <w:pPr>
              <w:jc w:val="center"/>
              <w:rPr>
                <w:color w:val="auto"/>
              </w:rPr>
            </w:pPr>
            <w:r>
              <w:rPr>
                <w:color w:val="auto"/>
              </w:rPr>
              <w:t>100</w:t>
            </w:r>
          </w:p>
        </w:tc>
      </w:tr>
    </w:tbl>
    <w:p w14:paraId="61EBC36B">
      <w:pPr>
        <w:pStyle w:val="276"/>
        <w:ind w:left="0" w:firstLine="482"/>
        <w:rPr>
          <w:b/>
          <w:color w:val="auto"/>
        </w:rPr>
      </w:pPr>
      <w:r>
        <w:rPr>
          <w:b/>
          <w:color w:val="auto"/>
        </w:rPr>
        <w:t>3.</w:t>
      </w:r>
      <w:r>
        <w:rPr>
          <w:rFonts w:hint="eastAsia"/>
          <w:b/>
          <w:color w:val="auto"/>
        </w:rPr>
        <w:t>4</w:t>
      </w:r>
      <w:r>
        <w:rPr>
          <w:b/>
          <w:color w:val="auto"/>
        </w:rPr>
        <w:t>.1.4施工期固废污染源分析</w:t>
      </w:r>
    </w:p>
    <w:p w14:paraId="4A63DA17">
      <w:pPr>
        <w:spacing w:line="360" w:lineRule="auto"/>
        <w:ind w:left="480"/>
        <w:jc w:val="left"/>
        <w:rPr>
          <w:bCs/>
          <w:color w:val="auto"/>
          <w:sz w:val="24"/>
        </w:rPr>
      </w:pPr>
      <w:r>
        <w:rPr>
          <w:bCs/>
          <w:color w:val="auto"/>
          <w:sz w:val="24"/>
        </w:rPr>
        <w:t>本项目施工期固体废物包括施工期工程垃圾及施工人员生活垃圾。</w:t>
      </w:r>
    </w:p>
    <w:p w14:paraId="30E83613">
      <w:pPr>
        <w:spacing w:line="360" w:lineRule="auto"/>
        <w:ind w:left="480"/>
        <w:jc w:val="left"/>
        <w:rPr>
          <w:bCs/>
          <w:color w:val="auto"/>
          <w:sz w:val="24"/>
        </w:rPr>
      </w:pPr>
      <w:r>
        <w:rPr>
          <w:bCs/>
          <w:color w:val="auto"/>
          <w:sz w:val="24"/>
        </w:rPr>
        <w:t>(1)施工期工程垃圾产生量</w:t>
      </w:r>
    </w:p>
    <w:p w14:paraId="71D4D26C">
      <w:pPr>
        <w:spacing w:line="360" w:lineRule="auto"/>
        <w:ind w:firstLine="480" w:firstLineChars="200"/>
        <w:jc w:val="left"/>
        <w:rPr>
          <w:bCs/>
          <w:color w:val="auto"/>
          <w:sz w:val="24"/>
        </w:rPr>
      </w:pPr>
      <w:r>
        <w:rPr>
          <w:bCs/>
          <w:color w:val="auto"/>
          <w:sz w:val="24"/>
        </w:rPr>
        <w:t>①建筑垃圾</w:t>
      </w:r>
    </w:p>
    <w:p w14:paraId="5BC3BA04">
      <w:pPr>
        <w:spacing w:line="360" w:lineRule="auto"/>
        <w:ind w:firstLine="480" w:firstLineChars="200"/>
        <w:jc w:val="left"/>
        <w:rPr>
          <w:bCs/>
          <w:color w:val="auto"/>
          <w:sz w:val="24"/>
        </w:rPr>
      </w:pPr>
      <w:r>
        <w:rPr>
          <w:bCs/>
          <w:color w:val="auto"/>
          <w:sz w:val="24"/>
        </w:rPr>
        <w:t>采用建筑面积预测，预测模型为：</w:t>
      </w:r>
    </w:p>
    <w:p w14:paraId="580911F4">
      <w:pPr>
        <w:spacing w:line="360" w:lineRule="auto"/>
        <w:ind w:left="481" w:leftChars="229" w:firstLine="240" w:firstLineChars="100"/>
        <w:jc w:val="left"/>
        <w:rPr>
          <w:bCs/>
          <w:color w:val="auto"/>
          <w:sz w:val="24"/>
        </w:rPr>
      </w:pPr>
      <w:r>
        <w:rPr>
          <w:bCs/>
          <w:color w:val="auto"/>
          <w:sz w:val="24"/>
        </w:rPr>
        <w:t>J s= Qs × Cs</w:t>
      </w:r>
    </w:p>
    <w:p w14:paraId="170A1DB3">
      <w:pPr>
        <w:spacing w:line="360" w:lineRule="auto"/>
        <w:jc w:val="left"/>
        <w:rPr>
          <w:bCs/>
          <w:color w:val="auto"/>
          <w:sz w:val="24"/>
        </w:rPr>
      </w:pPr>
      <w:r>
        <w:rPr>
          <w:bCs/>
          <w:color w:val="auto"/>
          <w:sz w:val="24"/>
        </w:rPr>
        <w:t>式中：J s—建筑垃圾产生量(t)</w:t>
      </w:r>
    </w:p>
    <w:p w14:paraId="19832C69">
      <w:pPr>
        <w:spacing w:line="360" w:lineRule="auto"/>
        <w:ind w:firstLine="768" w:firstLineChars="320"/>
        <w:jc w:val="left"/>
        <w:rPr>
          <w:bCs/>
          <w:color w:val="auto"/>
          <w:sz w:val="24"/>
        </w:rPr>
      </w:pPr>
      <w:r>
        <w:rPr>
          <w:bCs/>
          <w:color w:val="auto"/>
          <w:sz w:val="24"/>
        </w:rPr>
        <w:t>Qs—建筑面积(m</w:t>
      </w:r>
      <w:r>
        <w:rPr>
          <w:bCs/>
          <w:color w:val="auto"/>
          <w:sz w:val="24"/>
          <w:vertAlign w:val="superscript"/>
        </w:rPr>
        <w:t>2</w:t>
      </w:r>
      <w:r>
        <w:rPr>
          <w:bCs/>
          <w:color w:val="auto"/>
          <w:sz w:val="24"/>
        </w:rPr>
        <w:t>)</w:t>
      </w:r>
    </w:p>
    <w:p w14:paraId="733D56BB">
      <w:pPr>
        <w:spacing w:line="360" w:lineRule="auto"/>
        <w:ind w:left="42" w:firstLine="768" w:firstLineChars="320"/>
        <w:jc w:val="left"/>
        <w:rPr>
          <w:bCs/>
          <w:color w:val="auto"/>
          <w:sz w:val="24"/>
        </w:rPr>
      </w:pPr>
      <w:r>
        <w:rPr>
          <w:bCs/>
          <w:color w:val="auto"/>
          <w:sz w:val="24"/>
        </w:rPr>
        <w:t>Cs一单位面积垃圾量(t/m</w:t>
      </w:r>
      <w:r>
        <w:rPr>
          <w:bCs/>
          <w:color w:val="auto"/>
          <w:sz w:val="24"/>
          <w:vertAlign w:val="superscript"/>
        </w:rPr>
        <w:t>2</w:t>
      </w:r>
      <w:r>
        <w:rPr>
          <w:bCs/>
          <w:color w:val="auto"/>
          <w:sz w:val="24"/>
        </w:rPr>
        <w:t>)。</w:t>
      </w:r>
    </w:p>
    <w:p w14:paraId="52124698">
      <w:pPr>
        <w:spacing w:line="360" w:lineRule="auto"/>
        <w:ind w:firstLine="480" w:firstLineChars="200"/>
        <w:jc w:val="left"/>
        <w:rPr>
          <w:bCs/>
          <w:color w:val="auto"/>
          <w:sz w:val="24"/>
        </w:rPr>
      </w:pPr>
      <w:r>
        <w:rPr>
          <w:bCs/>
          <w:color w:val="auto"/>
          <w:sz w:val="24"/>
        </w:rPr>
        <w:t>本项目按单位面积垃圾量按照“0.03t/m</w:t>
      </w:r>
      <w:r>
        <w:rPr>
          <w:bCs/>
          <w:color w:val="auto"/>
          <w:sz w:val="24"/>
          <w:vertAlign w:val="superscript"/>
        </w:rPr>
        <w:t>2</w:t>
      </w:r>
      <w:r>
        <w:rPr>
          <w:bCs/>
          <w:color w:val="auto"/>
          <w:sz w:val="24"/>
        </w:rPr>
        <w:t>”计算，本项目建筑面积</w:t>
      </w:r>
      <w:r>
        <w:rPr>
          <w:rFonts w:hint="eastAsia"/>
          <w:color w:val="auto"/>
          <w:sz w:val="24"/>
          <w:highlight w:val="none"/>
          <w:lang w:val="en-US" w:eastAsia="zh-CN"/>
        </w:rPr>
        <w:t>40046.37</w:t>
      </w:r>
      <w:r>
        <w:rPr>
          <w:bCs/>
          <w:color w:val="auto"/>
          <w:sz w:val="24"/>
        </w:rPr>
        <w:t>m</w:t>
      </w:r>
      <w:r>
        <w:rPr>
          <w:bCs/>
          <w:color w:val="auto"/>
          <w:sz w:val="24"/>
          <w:vertAlign w:val="superscript"/>
        </w:rPr>
        <w:t>2</w:t>
      </w:r>
      <w:r>
        <w:rPr>
          <w:bCs/>
          <w:color w:val="auto"/>
          <w:sz w:val="24"/>
        </w:rPr>
        <w:t>，则将产生建筑垃圾</w:t>
      </w:r>
      <w:r>
        <w:rPr>
          <w:rFonts w:hint="eastAsia"/>
          <w:bCs/>
          <w:color w:val="auto"/>
          <w:sz w:val="24"/>
        </w:rPr>
        <w:t>772.674</w:t>
      </w:r>
      <w:r>
        <w:rPr>
          <w:bCs/>
          <w:color w:val="auto"/>
          <w:sz w:val="24"/>
        </w:rPr>
        <w:t>t。</w:t>
      </w:r>
    </w:p>
    <w:p w14:paraId="675131A9">
      <w:pPr>
        <w:spacing w:line="360" w:lineRule="auto"/>
        <w:ind w:firstLine="480" w:firstLineChars="200"/>
        <w:jc w:val="left"/>
        <w:rPr>
          <w:bCs/>
          <w:color w:val="auto"/>
          <w:sz w:val="24"/>
        </w:rPr>
      </w:pPr>
      <w:r>
        <w:rPr>
          <w:bCs/>
          <w:color w:val="auto"/>
          <w:sz w:val="24"/>
        </w:rPr>
        <w:t>②施工</w:t>
      </w:r>
      <w:r>
        <w:rPr>
          <w:color w:val="auto"/>
          <w:sz w:val="24"/>
        </w:rPr>
        <w:t>土石方</w:t>
      </w:r>
    </w:p>
    <w:p w14:paraId="6396B5A4">
      <w:pPr>
        <w:spacing w:line="360" w:lineRule="auto"/>
        <w:ind w:firstLine="480" w:firstLineChars="200"/>
        <w:rPr>
          <w:color w:val="auto"/>
          <w:sz w:val="24"/>
        </w:rPr>
      </w:pPr>
      <w:r>
        <w:rPr>
          <w:color w:val="auto"/>
          <w:sz w:val="24"/>
        </w:rPr>
        <w:t>本项目施工期土石方主要来源于土地平整及地基开挖等，挖方量约为19075m</w:t>
      </w:r>
      <w:r>
        <w:rPr>
          <w:color w:val="auto"/>
          <w:sz w:val="24"/>
          <w:vertAlign w:val="superscript"/>
        </w:rPr>
        <w:t>3</w:t>
      </w:r>
      <w:r>
        <w:rPr>
          <w:color w:val="auto"/>
          <w:sz w:val="24"/>
        </w:rPr>
        <w:t>，全部用于场地平整，不外排，不设取弃土场。</w:t>
      </w:r>
    </w:p>
    <w:p w14:paraId="43B36E1A">
      <w:pPr>
        <w:spacing w:line="360" w:lineRule="auto"/>
        <w:ind w:firstLine="480" w:firstLineChars="200"/>
        <w:rPr>
          <w:color w:val="auto"/>
          <w:sz w:val="24"/>
        </w:rPr>
      </w:pPr>
      <w:r>
        <w:rPr>
          <w:bCs/>
          <w:color w:val="auto"/>
          <w:sz w:val="24"/>
        </w:rPr>
        <w:t>(2)施工期生活垃圾产生量</w:t>
      </w:r>
    </w:p>
    <w:p w14:paraId="0BA29ADC">
      <w:pPr>
        <w:spacing w:line="360" w:lineRule="auto"/>
        <w:ind w:firstLine="480" w:firstLineChars="200"/>
        <w:jc w:val="left"/>
        <w:rPr>
          <w:bCs/>
          <w:color w:val="auto"/>
          <w:sz w:val="24"/>
        </w:rPr>
      </w:pPr>
      <w:r>
        <w:rPr>
          <w:bCs/>
          <w:color w:val="auto"/>
          <w:sz w:val="24"/>
        </w:rPr>
        <w:t>施工人员产生的生活垃圾产生量较少，施工人数20人，每人每天产生约0.5kg，工期为</w:t>
      </w:r>
      <w:r>
        <w:rPr>
          <w:rFonts w:hint="eastAsia"/>
          <w:bCs/>
          <w:color w:val="auto"/>
          <w:sz w:val="24"/>
        </w:rPr>
        <w:t>8</w:t>
      </w:r>
      <w:r>
        <w:rPr>
          <w:bCs/>
          <w:color w:val="auto"/>
          <w:sz w:val="24"/>
        </w:rPr>
        <w:t>个月，整个施工期生活垃圾总产生量为</w:t>
      </w:r>
      <w:r>
        <w:rPr>
          <w:rFonts w:hint="eastAsia"/>
          <w:bCs/>
          <w:color w:val="auto"/>
          <w:sz w:val="24"/>
        </w:rPr>
        <w:t>2.4</w:t>
      </w:r>
      <w:r>
        <w:rPr>
          <w:bCs/>
          <w:color w:val="auto"/>
          <w:sz w:val="24"/>
        </w:rPr>
        <w:t>t。</w:t>
      </w:r>
    </w:p>
    <w:p w14:paraId="40220621">
      <w:pPr>
        <w:pStyle w:val="276"/>
        <w:ind w:left="0" w:leftChars="0" w:firstLine="0" w:firstLineChars="0"/>
        <w:rPr>
          <w:b/>
          <w:color w:val="auto"/>
        </w:rPr>
      </w:pPr>
      <w:bookmarkStart w:id="187" w:name="_Toc479754834"/>
      <w:r>
        <w:rPr>
          <w:b/>
          <w:color w:val="auto"/>
        </w:rPr>
        <w:t>3.</w:t>
      </w:r>
      <w:r>
        <w:rPr>
          <w:rFonts w:hint="eastAsia"/>
          <w:b/>
          <w:color w:val="auto"/>
        </w:rPr>
        <w:t>4</w:t>
      </w:r>
      <w:r>
        <w:rPr>
          <w:b/>
          <w:color w:val="auto"/>
        </w:rPr>
        <w:t>.1.</w:t>
      </w:r>
      <w:r>
        <w:rPr>
          <w:rFonts w:hint="eastAsia"/>
          <w:b/>
          <w:color w:val="auto"/>
        </w:rPr>
        <w:t>5</w:t>
      </w:r>
      <w:r>
        <w:rPr>
          <w:b/>
          <w:color w:val="auto"/>
        </w:rPr>
        <w:t>施工期</w:t>
      </w:r>
      <w:r>
        <w:rPr>
          <w:rFonts w:hint="eastAsia"/>
          <w:b/>
          <w:color w:val="auto"/>
        </w:rPr>
        <w:t>生态环境影响</w:t>
      </w:r>
      <w:r>
        <w:rPr>
          <w:b/>
          <w:color w:val="auto"/>
        </w:rPr>
        <w:t>分析</w:t>
      </w:r>
    </w:p>
    <w:p w14:paraId="29E78515">
      <w:pPr>
        <w:spacing w:line="360" w:lineRule="auto"/>
        <w:ind w:firstLine="480" w:firstLineChars="200"/>
        <w:jc w:val="left"/>
        <w:rPr>
          <w:bCs/>
          <w:color w:val="auto"/>
          <w:sz w:val="24"/>
        </w:rPr>
      </w:pPr>
      <w:r>
        <w:rPr>
          <w:rFonts w:hint="eastAsia"/>
          <w:bCs/>
          <w:color w:val="auto"/>
          <w:sz w:val="24"/>
          <w:lang w:eastAsia="zh-CN"/>
        </w:rPr>
        <w:t>（</w:t>
      </w:r>
      <w:r>
        <w:rPr>
          <w:rFonts w:hint="eastAsia"/>
          <w:bCs/>
          <w:color w:val="auto"/>
          <w:sz w:val="24"/>
          <w:lang w:val="en-US" w:eastAsia="zh-CN"/>
        </w:rPr>
        <w:t>1</w:t>
      </w:r>
      <w:r>
        <w:rPr>
          <w:rFonts w:hint="eastAsia"/>
          <w:bCs/>
          <w:color w:val="auto"/>
          <w:sz w:val="24"/>
          <w:lang w:eastAsia="zh-CN"/>
        </w:rPr>
        <w:t>）</w:t>
      </w:r>
      <w:r>
        <w:rPr>
          <w:rFonts w:hint="eastAsia"/>
          <w:bCs/>
          <w:color w:val="auto"/>
          <w:sz w:val="24"/>
        </w:rPr>
        <w:t>土地利用</w:t>
      </w:r>
    </w:p>
    <w:p w14:paraId="51B398E2">
      <w:pPr>
        <w:spacing w:line="360" w:lineRule="auto"/>
        <w:ind w:firstLine="480" w:firstLineChars="200"/>
        <w:jc w:val="left"/>
        <w:rPr>
          <w:bCs/>
          <w:color w:val="auto"/>
          <w:sz w:val="24"/>
        </w:rPr>
      </w:pPr>
      <w:r>
        <w:rPr>
          <w:rFonts w:hint="eastAsia"/>
          <w:bCs/>
          <w:color w:val="auto"/>
          <w:sz w:val="24"/>
        </w:rPr>
        <w:t>项目占地</w:t>
      </w:r>
      <w:r>
        <w:rPr>
          <w:rFonts w:hint="eastAsia"/>
          <w:bCs/>
          <w:color w:val="auto"/>
          <w:sz w:val="24"/>
          <w:lang w:eastAsia="zh-CN"/>
        </w:rPr>
        <w:t>类型</w:t>
      </w:r>
      <w:r>
        <w:rPr>
          <w:rFonts w:hint="eastAsia"/>
          <w:bCs/>
          <w:color w:val="auto"/>
          <w:sz w:val="24"/>
        </w:rPr>
        <w:t>为</w:t>
      </w:r>
      <w:r>
        <w:rPr>
          <w:rFonts w:hint="eastAsia"/>
          <w:bCs/>
          <w:color w:val="auto"/>
          <w:sz w:val="24"/>
          <w:lang w:eastAsia="zh-CN"/>
        </w:rPr>
        <w:t>工业用地，</w:t>
      </w:r>
      <w:r>
        <w:rPr>
          <w:rFonts w:hint="eastAsia"/>
          <w:bCs/>
          <w:color w:val="auto"/>
          <w:sz w:val="24"/>
        </w:rPr>
        <w:t>项目的建设将改变项目现有的土地利用方式，使土地利用的使用价值发生改变。项目的建设改变了土地利用的现状格局、类别及其面积，但项目建成后，整个项目区除建筑、道路外，几乎均为绿地覆盖，可视为一定程度的生态恢复补偿措施。</w:t>
      </w:r>
    </w:p>
    <w:p w14:paraId="797C0C7C">
      <w:pPr>
        <w:spacing w:line="360" w:lineRule="auto"/>
        <w:ind w:firstLine="480" w:firstLineChars="200"/>
        <w:jc w:val="left"/>
        <w:rPr>
          <w:bCs/>
          <w:color w:val="auto"/>
          <w:sz w:val="24"/>
        </w:rPr>
      </w:pPr>
      <w:r>
        <w:rPr>
          <w:rFonts w:hint="eastAsia"/>
          <w:bCs/>
          <w:color w:val="auto"/>
          <w:sz w:val="24"/>
          <w:lang w:eastAsia="zh-CN"/>
        </w:rPr>
        <w:t>（</w:t>
      </w:r>
      <w:r>
        <w:rPr>
          <w:rFonts w:hint="eastAsia"/>
          <w:bCs/>
          <w:color w:val="auto"/>
          <w:sz w:val="24"/>
          <w:lang w:val="en-US" w:eastAsia="zh-CN"/>
        </w:rPr>
        <w:t>2</w:t>
      </w:r>
      <w:r>
        <w:rPr>
          <w:rFonts w:hint="eastAsia"/>
          <w:bCs/>
          <w:color w:val="auto"/>
          <w:sz w:val="24"/>
          <w:lang w:eastAsia="zh-CN"/>
        </w:rPr>
        <w:t>）</w:t>
      </w:r>
      <w:r>
        <w:rPr>
          <w:rFonts w:hint="eastAsia"/>
          <w:bCs/>
          <w:color w:val="auto"/>
          <w:sz w:val="24"/>
        </w:rPr>
        <w:t>植被、动植物影响</w:t>
      </w:r>
    </w:p>
    <w:p w14:paraId="61C63780">
      <w:pPr>
        <w:spacing w:line="360" w:lineRule="auto"/>
        <w:ind w:firstLine="480" w:firstLineChars="200"/>
        <w:jc w:val="left"/>
        <w:rPr>
          <w:bCs/>
          <w:color w:val="auto"/>
          <w:sz w:val="24"/>
        </w:rPr>
      </w:pPr>
      <w:r>
        <w:rPr>
          <w:rFonts w:hint="eastAsia"/>
          <w:bCs/>
          <w:color w:val="auto"/>
          <w:sz w:val="24"/>
        </w:rPr>
        <w:t>项目建设将完全改变土地利用状态，建设占地植被将全部清除，但其影响并非是永久性的、不可逆的。评价区的植被类型由于长期受到人类活动的影响，原生植被已不存在。主要为杂木、果树等。</w:t>
      </w:r>
    </w:p>
    <w:p w14:paraId="6BF09F75">
      <w:pPr>
        <w:spacing w:line="360" w:lineRule="auto"/>
        <w:ind w:firstLine="480" w:firstLineChars="200"/>
        <w:jc w:val="left"/>
        <w:rPr>
          <w:bCs/>
          <w:color w:val="auto"/>
          <w:sz w:val="24"/>
        </w:rPr>
      </w:pPr>
      <w:r>
        <w:rPr>
          <w:rFonts w:hint="eastAsia"/>
          <w:bCs/>
          <w:color w:val="auto"/>
          <w:sz w:val="24"/>
        </w:rPr>
        <w:t>项目评价范围内无珍稀野生动植物存在，不属于重要保护动物的栖息地。项目建设清除的植被不会对这些种类在该地区的分布造成影响。评价区内由于人为活动破坏，野生动物的种类及数量均较少。项目施工期对动物的影响是有限的，不会对某一动物物种产生大的影响。</w:t>
      </w:r>
    </w:p>
    <w:p w14:paraId="71D53B2B">
      <w:pPr>
        <w:spacing w:line="360" w:lineRule="auto"/>
        <w:ind w:firstLine="480" w:firstLineChars="200"/>
        <w:jc w:val="left"/>
        <w:rPr>
          <w:bCs/>
          <w:color w:val="auto"/>
          <w:sz w:val="24"/>
        </w:rPr>
      </w:pPr>
      <w:r>
        <w:rPr>
          <w:rFonts w:hint="eastAsia"/>
          <w:bCs/>
          <w:color w:val="auto"/>
          <w:sz w:val="24"/>
          <w:lang w:eastAsia="zh-CN"/>
        </w:rPr>
        <w:t>（</w:t>
      </w:r>
      <w:r>
        <w:rPr>
          <w:rFonts w:hint="eastAsia"/>
          <w:bCs/>
          <w:color w:val="auto"/>
          <w:sz w:val="24"/>
          <w:lang w:val="en-US" w:eastAsia="zh-CN"/>
        </w:rPr>
        <w:t>3</w:t>
      </w:r>
      <w:r>
        <w:rPr>
          <w:rFonts w:hint="eastAsia"/>
          <w:bCs/>
          <w:color w:val="auto"/>
          <w:sz w:val="24"/>
          <w:lang w:eastAsia="zh-CN"/>
        </w:rPr>
        <w:t>）</w:t>
      </w:r>
      <w:r>
        <w:rPr>
          <w:rFonts w:hint="eastAsia"/>
          <w:bCs/>
          <w:color w:val="auto"/>
          <w:sz w:val="24"/>
        </w:rPr>
        <w:t>水土流失</w:t>
      </w:r>
    </w:p>
    <w:p w14:paraId="0D8E5157">
      <w:pPr>
        <w:spacing w:line="360" w:lineRule="auto"/>
        <w:ind w:firstLine="480" w:firstLineChars="200"/>
        <w:jc w:val="left"/>
        <w:rPr>
          <w:bCs/>
          <w:color w:val="auto"/>
          <w:sz w:val="24"/>
        </w:rPr>
      </w:pPr>
      <w:r>
        <w:rPr>
          <w:rFonts w:hint="eastAsia"/>
          <w:bCs/>
          <w:color w:val="auto"/>
          <w:sz w:val="24"/>
        </w:rPr>
        <w:t>项目在基础开挖、土方挖填，会造成地表裸露以及挖填土方的临时堆放，如不采取合理的措施，遇雨情况下极易造成水土流失。一旦发生水土流失，其泥沙及其携带的污染物有可能进入周边水体。</w:t>
      </w:r>
    </w:p>
    <w:p w14:paraId="7EB8F80B">
      <w:pPr>
        <w:spacing w:line="360" w:lineRule="auto"/>
        <w:ind w:firstLine="480" w:firstLineChars="200"/>
        <w:jc w:val="left"/>
        <w:rPr>
          <w:bCs/>
          <w:color w:val="auto"/>
          <w:sz w:val="24"/>
        </w:rPr>
      </w:pPr>
      <w:r>
        <w:rPr>
          <w:rFonts w:hint="eastAsia"/>
          <w:bCs/>
          <w:color w:val="auto"/>
          <w:sz w:val="24"/>
        </w:rPr>
        <w:t>施工期应采取在项目周边建立临时挡墙，减少临时堆土的堆存坡度、堆放时间，及时夯实回填土，施工道路硬化，在施工场地建排水沟，防止雨水冲刷场地，并在排水沟出口设置沉淀池，使雨水澄清后再外排等措施，可有效减少水土流失。同时环评要求：</w:t>
      </w:r>
    </w:p>
    <w:p w14:paraId="7A4E6244">
      <w:pPr>
        <w:spacing w:line="360" w:lineRule="auto"/>
        <w:ind w:firstLine="480" w:firstLineChars="200"/>
        <w:jc w:val="left"/>
        <w:rPr>
          <w:bCs/>
          <w:color w:val="auto"/>
          <w:sz w:val="24"/>
        </w:rPr>
      </w:pPr>
      <w:r>
        <w:rPr>
          <w:rFonts w:hint="eastAsia"/>
          <w:bCs/>
          <w:color w:val="auto"/>
          <w:sz w:val="24"/>
        </w:rPr>
        <w:t>①)施工期间必须按规定对运送散装物料的机动车，用蓬布遮盖，以防物料洒落；存放散装物料的堆场，应尽量用蓬布遮盖。</w:t>
      </w:r>
    </w:p>
    <w:p w14:paraId="5E407614">
      <w:pPr>
        <w:spacing w:line="360" w:lineRule="auto"/>
        <w:ind w:firstLine="480" w:firstLineChars="200"/>
        <w:jc w:val="left"/>
        <w:rPr>
          <w:bCs/>
          <w:color w:val="auto"/>
          <w:sz w:val="24"/>
        </w:rPr>
      </w:pPr>
      <w:r>
        <w:rPr>
          <w:rFonts w:hint="eastAsia"/>
          <w:bCs/>
          <w:color w:val="auto"/>
          <w:sz w:val="24"/>
        </w:rPr>
        <w:t>②施工过程中注意场地清理工作，避免土料、粉尘受雨水冲刷污染受纳水体。</w:t>
      </w:r>
    </w:p>
    <w:p w14:paraId="38215FDA">
      <w:pPr>
        <w:spacing w:line="360" w:lineRule="auto"/>
        <w:ind w:firstLine="480" w:firstLineChars="200"/>
        <w:jc w:val="left"/>
        <w:rPr>
          <w:bCs/>
          <w:color w:val="auto"/>
          <w:sz w:val="24"/>
        </w:rPr>
      </w:pPr>
      <w:r>
        <w:rPr>
          <w:rFonts w:hint="eastAsia"/>
          <w:bCs/>
          <w:color w:val="auto"/>
          <w:sz w:val="24"/>
        </w:rPr>
        <w:t>③项目基础开挖、回填尽量避免在多雨季节进行，防止形成二次水土流失。</w:t>
      </w:r>
    </w:p>
    <w:p w14:paraId="6EC0765B">
      <w:pPr>
        <w:spacing w:line="360" w:lineRule="auto"/>
        <w:ind w:firstLine="480" w:firstLineChars="200"/>
        <w:jc w:val="left"/>
        <w:rPr>
          <w:bCs/>
          <w:color w:val="auto"/>
          <w:sz w:val="24"/>
        </w:rPr>
      </w:pPr>
      <w:r>
        <w:rPr>
          <w:rFonts w:hint="eastAsia"/>
          <w:bCs/>
          <w:color w:val="auto"/>
          <w:sz w:val="24"/>
        </w:rPr>
        <w:t>④施工场地和临时堆放场内应设置专门的雨水导流渠，将雨水引导到沉淀池经过沉淀后回用或排放，防止因雨水冲刷造成水土流失。</w:t>
      </w:r>
    </w:p>
    <w:p w14:paraId="032508CC">
      <w:pPr>
        <w:spacing w:line="360" w:lineRule="auto"/>
        <w:ind w:firstLine="480" w:firstLineChars="200"/>
        <w:jc w:val="left"/>
        <w:rPr>
          <w:bCs/>
          <w:color w:val="auto"/>
          <w:sz w:val="24"/>
        </w:rPr>
      </w:pPr>
      <w:r>
        <w:rPr>
          <w:rFonts w:hint="eastAsia"/>
          <w:bCs/>
          <w:color w:val="auto"/>
          <w:sz w:val="24"/>
        </w:rPr>
        <w:t>⑤优化施工工序，缩短材料堆放时间。</w:t>
      </w:r>
    </w:p>
    <w:p w14:paraId="7672F84B">
      <w:pPr>
        <w:pStyle w:val="4"/>
        <w:snapToGrid w:val="0"/>
        <w:spacing w:before="0"/>
        <w:rPr>
          <w:rFonts w:ascii="Times New Roman" w:hAnsi="Times New Roman" w:eastAsia="宋体"/>
          <w:bCs/>
          <w:color w:val="auto"/>
          <w:sz w:val="28"/>
          <w:szCs w:val="28"/>
        </w:rPr>
      </w:pPr>
      <w:bookmarkStart w:id="188" w:name="_Toc8591"/>
      <w:r>
        <w:rPr>
          <w:rFonts w:ascii="Times New Roman" w:hAnsi="Times New Roman" w:eastAsia="宋体"/>
          <w:bCs/>
          <w:color w:val="auto"/>
          <w:sz w:val="28"/>
          <w:szCs w:val="28"/>
        </w:rPr>
        <w:t>3.</w:t>
      </w:r>
      <w:r>
        <w:rPr>
          <w:rFonts w:hint="eastAsia" w:ascii="Times New Roman" w:hAnsi="Times New Roman" w:eastAsia="宋体"/>
          <w:bCs/>
          <w:color w:val="auto"/>
          <w:sz w:val="28"/>
          <w:szCs w:val="28"/>
        </w:rPr>
        <w:t>4</w:t>
      </w:r>
      <w:r>
        <w:rPr>
          <w:rFonts w:ascii="Times New Roman" w:hAnsi="Times New Roman" w:eastAsia="宋体"/>
          <w:bCs/>
          <w:color w:val="auto"/>
          <w:sz w:val="28"/>
          <w:szCs w:val="28"/>
        </w:rPr>
        <w:t>.2营运期污染源分析</w:t>
      </w:r>
      <w:bookmarkEnd w:id="187"/>
      <w:bookmarkEnd w:id="188"/>
    </w:p>
    <w:p w14:paraId="2B626842">
      <w:pPr>
        <w:pStyle w:val="276"/>
        <w:ind w:left="0" w:leftChars="0" w:firstLine="0" w:firstLineChars="0"/>
        <w:rPr>
          <w:b/>
          <w:color w:val="auto"/>
        </w:rPr>
      </w:pPr>
      <w:r>
        <w:rPr>
          <w:b/>
          <w:color w:val="auto"/>
        </w:rPr>
        <w:t>3.</w:t>
      </w:r>
      <w:r>
        <w:rPr>
          <w:rFonts w:hint="eastAsia"/>
          <w:b/>
          <w:color w:val="auto"/>
        </w:rPr>
        <w:t>4</w:t>
      </w:r>
      <w:r>
        <w:rPr>
          <w:b/>
          <w:color w:val="auto"/>
        </w:rPr>
        <w:t>.2.1大气污染源分析</w:t>
      </w:r>
    </w:p>
    <w:p w14:paraId="1CA3BE90">
      <w:pPr>
        <w:spacing w:line="360" w:lineRule="auto"/>
        <w:ind w:firstLine="482" w:firstLineChars="200"/>
        <w:rPr>
          <w:b/>
          <w:color w:val="auto"/>
          <w:sz w:val="24"/>
        </w:rPr>
      </w:pPr>
      <w:r>
        <w:rPr>
          <w:rFonts w:hint="eastAsia"/>
          <w:b/>
          <w:color w:val="auto"/>
          <w:sz w:val="24"/>
        </w:rPr>
        <w:t>（一）</w:t>
      </w:r>
      <w:r>
        <w:rPr>
          <w:b/>
          <w:color w:val="auto"/>
          <w:sz w:val="24"/>
        </w:rPr>
        <w:t>恶臭气体</w:t>
      </w:r>
    </w:p>
    <w:p w14:paraId="54B8DD0C">
      <w:pPr>
        <w:autoSpaceDE w:val="0"/>
        <w:autoSpaceDN w:val="0"/>
        <w:adjustRightInd w:val="0"/>
        <w:spacing w:line="360" w:lineRule="auto"/>
        <w:ind w:firstLine="480" w:firstLineChars="200"/>
        <w:rPr>
          <w:color w:val="auto"/>
          <w:sz w:val="24"/>
        </w:rPr>
      </w:pPr>
      <w:r>
        <w:rPr>
          <w:color w:val="auto"/>
          <w:sz w:val="24"/>
        </w:rPr>
        <w:t>养殖场大气污染物主要是鸡粪便产生的臭气，鸡粪便臭气是厌氧细菌发酵的产物，臭气中主要含有氨气、二氧化碳、一氧化碳、硫化氢和甲烷。任何物体表面若覆盖着粪便，都能形成恶臭污染源。目前，已鉴定出在鸡粪尿中有恶臭成分220 种，这些物质都是产生生化反应的中间产物或终端产物，其中包括了多种挥发性有机酸、醇类物质、醛类物质、不流动气体、酯类物质、胺类物质、硫化物、硫醇以及含氮杂环类物质。在粪尿中还发现80多种含氮化合物，其中有10种与恶臭味有关。鸡粪恶臭成分中对环境危害较大的是氨气、硫化氢等。本项目臭气体主要来自于养殖区的鸡舍、</w:t>
      </w:r>
      <w:r>
        <w:rPr>
          <w:rFonts w:hint="eastAsia"/>
          <w:color w:val="auto"/>
          <w:sz w:val="24"/>
          <w:lang w:eastAsia="zh-CN"/>
        </w:rPr>
        <w:t>临时储粪场</w:t>
      </w:r>
      <w:r>
        <w:rPr>
          <w:color w:val="auto"/>
          <w:sz w:val="24"/>
        </w:rPr>
        <w:t>，均属于无组织面源排放。</w:t>
      </w:r>
    </w:p>
    <w:p w14:paraId="2BF697BF">
      <w:pPr>
        <w:autoSpaceDE w:val="0"/>
        <w:autoSpaceDN w:val="0"/>
        <w:adjustRightInd w:val="0"/>
        <w:spacing w:line="360" w:lineRule="auto"/>
        <w:ind w:firstLine="480" w:firstLineChars="200"/>
        <w:rPr>
          <w:color w:val="auto"/>
          <w:sz w:val="24"/>
        </w:rPr>
      </w:pPr>
      <w:r>
        <w:rPr>
          <w:color w:val="auto"/>
          <w:sz w:val="24"/>
        </w:rPr>
        <w:t>鉴于目前的环境标准和监测手段，此次评价仅以其中的H</w:t>
      </w:r>
      <w:r>
        <w:rPr>
          <w:color w:val="auto"/>
          <w:sz w:val="24"/>
          <w:vertAlign w:val="subscript"/>
        </w:rPr>
        <w:t>2</w:t>
      </w:r>
      <w:r>
        <w:rPr>
          <w:color w:val="auto"/>
          <w:sz w:val="24"/>
        </w:rPr>
        <w:t>S和NH</w:t>
      </w:r>
      <w:r>
        <w:rPr>
          <w:color w:val="auto"/>
          <w:sz w:val="24"/>
          <w:vertAlign w:val="subscript"/>
        </w:rPr>
        <w:t>3</w:t>
      </w:r>
      <w:r>
        <w:rPr>
          <w:color w:val="auto"/>
          <w:sz w:val="24"/>
        </w:rPr>
        <w:t>进行计算和分析</w:t>
      </w:r>
      <w:r>
        <w:rPr>
          <w:rFonts w:hint="eastAsia"/>
          <w:color w:val="auto"/>
          <w:sz w:val="24"/>
        </w:rPr>
        <w:t>，对臭气浓度进行定性分析</w:t>
      </w:r>
      <w:r>
        <w:rPr>
          <w:color w:val="auto"/>
          <w:sz w:val="24"/>
        </w:rPr>
        <w:t>。主要恶臭物质特征及排放浓度见表</w:t>
      </w:r>
      <w:r>
        <w:rPr>
          <w:rFonts w:hint="eastAsia"/>
          <w:color w:val="auto"/>
          <w:sz w:val="24"/>
          <w:lang w:val="en-US" w:eastAsia="zh-CN"/>
        </w:rPr>
        <w:t>3.4-5</w:t>
      </w:r>
      <w:r>
        <w:rPr>
          <w:color w:val="auto"/>
          <w:sz w:val="24"/>
        </w:rPr>
        <w:t>。</w:t>
      </w:r>
    </w:p>
    <w:p w14:paraId="5B95E6F8">
      <w:pPr>
        <w:ind w:firstLine="422" w:firstLineChars="200"/>
        <w:jc w:val="center"/>
        <w:rPr>
          <w:b/>
          <w:color w:val="auto"/>
          <w:szCs w:val="21"/>
        </w:rPr>
      </w:pPr>
      <w:r>
        <w:rPr>
          <w:b/>
          <w:color w:val="auto"/>
          <w:szCs w:val="21"/>
        </w:rPr>
        <w:t>表</w:t>
      </w:r>
      <w:r>
        <w:rPr>
          <w:rFonts w:hint="eastAsia"/>
          <w:b/>
          <w:color w:val="auto"/>
          <w:szCs w:val="21"/>
          <w:lang w:val="en-US" w:eastAsia="zh-CN"/>
        </w:rPr>
        <w:t>3.4-5</w:t>
      </w:r>
      <w:r>
        <w:rPr>
          <w:rFonts w:hint="eastAsia"/>
          <w:b/>
          <w:color w:val="auto"/>
          <w:szCs w:val="21"/>
        </w:rPr>
        <w:t xml:space="preserve">   </w:t>
      </w:r>
      <w:r>
        <w:rPr>
          <w:b/>
          <w:color w:val="auto"/>
          <w:szCs w:val="21"/>
        </w:rPr>
        <w:t xml:space="preserve">  恶臭物质理化特征</w:t>
      </w:r>
    </w:p>
    <w:tbl>
      <w:tblPr>
        <w:tblStyle w:val="53"/>
        <w:tblW w:w="4998" w:type="pct"/>
        <w:tblInd w:w="0" w:type="dxa"/>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687"/>
        <w:gridCol w:w="1732"/>
        <w:gridCol w:w="1728"/>
        <w:gridCol w:w="1689"/>
        <w:gridCol w:w="1689"/>
      </w:tblGrid>
      <w:tr w14:paraId="0F3404EC">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89" w:type="pct"/>
            <w:vAlign w:val="center"/>
          </w:tcPr>
          <w:p w14:paraId="4A187E7B">
            <w:pPr>
              <w:spacing w:line="320" w:lineRule="exact"/>
              <w:jc w:val="center"/>
              <w:rPr>
                <w:b/>
                <w:color w:val="auto"/>
                <w:szCs w:val="21"/>
              </w:rPr>
            </w:pPr>
            <w:r>
              <w:rPr>
                <w:b/>
                <w:color w:val="auto"/>
                <w:szCs w:val="21"/>
              </w:rPr>
              <w:t>恶臭物质</w:t>
            </w:r>
          </w:p>
        </w:tc>
        <w:tc>
          <w:tcPr>
            <w:tcW w:w="1015" w:type="pct"/>
            <w:vAlign w:val="center"/>
          </w:tcPr>
          <w:p w14:paraId="585B9C4E">
            <w:pPr>
              <w:spacing w:line="320" w:lineRule="exact"/>
              <w:jc w:val="center"/>
              <w:rPr>
                <w:b/>
                <w:color w:val="auto"/>
                <w:szCs w:val="21"/>
              </w:rPr>
            </w:pPr>
            <w:r>
              <w:rPr>
                <w:b/>
                <w:color w:val="auto"/>
                <w:szCs w:val="21"/>
              </w:rPr>
              <w:t>分子式</w:t>
            </w:r>
          </w:p>
        </w:tc>
        <w:tc>
          <w:tcPr>
            <w:tcW w:w="1013" w:type="pct"/>
            <w:vAlign w:val="center"/>
          </w:tcPr>
          <w:p w14:paraId="7C7996AB">
            <w:pPr>
              <w:spacing w:line="320" w:lineRule="exact"/>
              <w:jc w:val="center"/>
              <w:rPr>
                <w:b/>
                <w:color w:val="auto"/>
                <w:szCs w:val="21"/>
              </w:rPr>
            </w:pPr>
            <w:r>
              <w:rPr>
                <w:b/>
                <w:color w:val="auto"/>
                <w:szCs w:val="21"/>
              </w:rPr>
              <w:t xml:space="preserve">嗅阀值(ppm) </w:t>
            </w:r>
          </w:p>
        </w:tc>
        <w:tc>
          <w:tcPr>
            <w:tcW w:w="990" w:type="pct"/>
            <w:vAlign w:val="center"/>
          </w:tcPr>
          <w:p w14:paraId="25A08E71">
            <w:pPr>
              <w:spacing w:line="320" w:lineRule="exact"/>
              <w:jc w:val="center"/>
              <w:rPr>
                <w:b/>
                <w:color w:val="auto"/>
                <w:szCs w:val="21"/>
              </w:rPr>
            </w:pPr>
            <w:r>
              <w:rPr>
                <w:b/>
                <w:color w:val="auto"/>
                <w:szCs w:val="21"/>
              </w:rPr>
              <w:t>嗅阀值</w:t>
            </w:r>
            <w:r>
              <w:rPr>
                <w:rFonts w:hint="eastAsia"/>
                <w:b/>
                <w:color w:val="auto"/>
                <w:szCs w:val="21"/>
              </w:rPr>
              <w:t>（mg/m</w:t>
            </w:r>
            <w:r>
              <w:rPr>
                <w:rFonts w:hint="eastAsia"/>
                <w:b/>
                <w:color w:val="auto"/>
                <w:szCs w:val="21"/>
                <w:vertAlign w:val="superscript"/>
              </w:rPr>
              <w:t>3</w:t>
            </w:r>
            <w:r>
              <w:rPr>
                <w:rFonts w:hint="eastAsia"/>
                <w:b/>
                <w:color w:val="auto"/>
                <w:szCs w:val="21"/>
              </w:rPr>
              <w:t>）</w:t>
            </w:r>
          </w:p>
        </w:tc>
        <w:tc>
          <w:tcPr>
            <w:tcW w:w="990" w:type="pct"/>
            <w:vAlign w:val="center"/>
          </w:tcPr>
          <w:p w14:paraId="00E674AF">
            <w:pPr>
              <w:spacing w:line="320" w:lineRule="exact"/>
              <w:jc w:val="center"/>
              <w:rPr>
                <w:b/>
                <w:color w:val="auto"/>
                <w:szCs w:val="21"/>
              </w:rPr>
            </w:pPr>
            <w:r>
              <w:rPr>
                <w:b/>
                <w:color w:val="auto"/>
                <w:szCs w:val="21"/>
              </w:rPr>
              <w:t>臭气特征</w:t>
            </w:r>
          </w:p>
        </w:tc>
      </w:tr>
      <w:tr w14:paraId="2215902E">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89" w:type="pct"/>
            <w:vAlign w:val="center"/>
          </w:tcPr>
          <w:p w14:paraId="72E2ECCF">
            <w:pPr>
              <w:spacing w:line="320" w:lineRule="exact"/>
              <w:jc w:val="center"/>
              <w:rPr>
                <w:color w:val="auto"/>
                <w:szCs w:val="21"/>
              </w:rPr>
            </w:pPr>
            <w:r>
              <w:rPr>
                <w:color w:val="auto"/>
                <w:szCs w:val="21"/>
              </w:rPr>
              <w:t>氨</w:t>
            </w:r>
          </w:p>
        </w:tc>
        <w:tc>
          <w:tcPr>
            <w:tcW w:w="1015" w:type="pct"/>
            <w:vAlign w:val="center"/>
          </w:tcPr>
          <w:p w14:paraId="7875F362">
            <w:pPr>
              <w:spacing w:line="320" w:lineRule="exact"/>
              <w:jc w:val="center"/>
              <w:rPr>
                <w:color w:val="auto"/>
                <w:szCs w:val="21"/>
              </w:rPr>
            </w:pPr>
            <w:r>
              <w:rPr>
                <w:color w:val="auto"/>
                <w:szCs w:val="21"/>
              </w:rPr>
              <w:t>NH</w:t>
            </w:r>
            <w:r>
              <w:rPr>
                <w:color w:val="auto"/>
                <w:szCs w:val="21"/>
                <w:vertAlign w:val="subscript"/>
              </w:rPr>
              <w:t>3</w:t>
            </w:r>
          </w:p>
        </w:tc>
        <w:tc>
          <w:tcPr>
            <w:tcW w:w="1013" w:type="pct"/>
            <w:vAlign w:val="center"/>
          </w:tcPr>
          <w:p w14:paraId="5118C4F0">
            <w:pPr>
              <w:spacing w:line="320" w:lineRule="exact"/>
              <w:jc w:val="center"/>
              <w:rPr>
                <w:color w:val="auto"/>
                <w:szCs w:val="21"/>
              </w:rPr>
            </w:pPr>
            <w:r>
              <w:rPr>
                <w:rFonts w:hint="eastAsia"/>
                <w:color w:val="auto"/>
                <w:szCs w:val="21"/>
              </w:rPr>
              <w:t>0.1</w:t>
            </w:r>
          </w:p>
        </w:tc>
        <w:tc>
          <w:tcPr>
            <w:tcW w:w="990" w:type="pct"/>
            <w:vAlign w:val="center"/>
          </w:tcPr>
          <w:p w14:paraId="22566ABF">
            <w:pPr>
              <w:spacing w:line="320" w:lineRule="exact"/>
              <w:jc w:val="center"/>
              <w:rPr>
                <w:color w:val="auto"/>
                <w:szCs w:val="21"/>
              </w:rPr>
            </w:pPr>
            <w:r>
              <w:rPr>
                <w:rFonts w:hint="eastAsia"/>
                <w:color w:val="auto"/>
                <w:szCs w:val="21"/>
              </w:rPr>
              <w:t>0.15</w:t>
            </w:r>
          </w:p>
        </w:tc>
        <w:tc>
          <w:tcPr>
            <w:tcW w:w="990" w:type="pct"/>
            <w:vAlign w:val="center"/>
          </w:tcPr>
          <w:p w14:paraId="5C0934A6">
            <w:pPr>
              <w:spacing w:line="320" w:lineRule="exact"/>
              <w:jc w:val="center"/>
              <w:rPr>
                <w:color w:val="auto"/>
                <w:szCs w:val="21"/>
              </w:rPr>
            </w:pPr>
            <w:r>
              <w:rPr>
                <w:color w:val="auto"/>
                <w:szCs w:val="21"/>
              </w:rPr>
              <w:t>刺激味</w:t>
            </w:r>
          </w:p>
        </w:tc>
      </w:tr>
      <w:tr w14:paraId="5EE1E8AD">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89" w:type="pct"/>
            <w:vAlign w:val="center"/>
          </w:tcPr>
          <w:p w14:paraId="6596C993">
            <w:pPr>
              <w:spacing w:line="320" w:lineRule="exact"/>
              <w:jc w:val="center"/>
              <w:rPr>
                <w:color w:val="auto"/>
                <w:szCs w:val="21"/>
              </w:rPr>
            </w:pPr>
            <w:r>
              <w:rPr>
                <w:color w:val="auto"/>
                <w:szCs w:val="21"/>
              </w:rPr>
              <w:t>硫化氢</w:t>
            </w:r>
          </w:p>
        </w:tc>
        <w:tc>
          <w:tcPr>
            <w:tcW w:w="1015" w:type="pct"/>
            <w:vAlign w:val="center"/>
          </w:tcPr>
          <w:p w14:paraId="487BBA40">
            <w:pPr>
              <w:spacing w:line="320" w:lineRule="exact"/>
              <w:jc w:val="center"/>
              <w:rPr>
                <w:color w:val="auto"/>
                <w:szCs w:val="21"/>
              </w:rPr>
            </w:pPr>
            <w:r>
              <w:rPr>
                <w:color w:val="auto"/>
                <w:szCs w:val="21"/>
              </w:rPr>
              <w:t>H</w:t>
            </w:r>
            <w:r>
              <w:rPr>
                <w:color w:val="auto"/>
                <w:szCs w:val="21"/>
                <w:vertAlign w:val="subscript"/>
              </w:rPr>
              <w:t>2</w:t>
            </w:r>
            <w:r>
              <w:rPr>
                <w:color w:val="auto"/>
                <w:szCs w:val="21"/>
              </w:rPr>
              <w:t>S</w:t>
            </w:r>
          </w:p>
        </w:tc>
        <w:tc>
          <w:tcPr>
            <w:tcW w:w="1013" w:type="pct"/>
            <w:vAlign w:val="center"/>
          </w:tcPr>
          <w:p w14:paraId="59B0AB1B">
            <w:pPr>
              <w:spacing w:line="320" w:lineRule="exact"/>
              <w:jc w:val="center"/>
              <w:rPr>
                <w:color w:val="auto"/>
                <w:szCs w:val="21"/>
              </w:rPr>
            </w:pPr>
            <w:r>
              <w:rPr>
                <w:rFonts w:hint="eastAsia"/>
                <w:color w:val="auto"/>
                <w:szCs w:val="21"/>
              </w:rPr>
              <w:t>0.0005</w:t>
            </w:r>
          </w:p>
        </w:tc>
        <w:tc>
          <w:tcPr>
            <w:tcW w:w="990" w:type="pct"/>
            <w:vAlign w:val="center"/>
          </w:tcPr>
          <w:p w14:paraId="0A35DA7B">
            <w:pPr>
              <w:spacing w:line="320" w:lineRule="exact"/>
              <w:jc w:val="center"/>
              <w:rPr>
                <w:color w:val="auto"/>
                <w:szCs w:val="21"/>
              </w:rPr>
            </w:pPr>
            <w:r>
              <w:rPr>
                <w:rFonts w:hint="eastAsia"/>
                <w:color w:val="auto"/>
                <w:szCs w:val="21"/>
              </w:rPr>
              <w:t>0.00076</w:t>
            </w:r>
          </w:p>
        </w:tc>
        <w:tc>
          <w:tcPr>
            <w:tcW w:w="990" w:type="pct"/>
            <w:vAlign w:val="center"/>
          </w:tcPr>
          <w:p w14:paraId="1E76166E">
            <w:pPr>
              <w:spacing w:line="320" w:lineRule="exact"/>
              <w:jc w:val="center"/>
              <w:rPr>
                <w:color w:val="auto"/>
                <w:szCs w:val="21"/>
              </w:rPr>
            </w:pPr>
            <w:r>
              <w:rPr>
                <w:color w:val="auto"/>
                <w:szCs w:val="21"/>
              </w:rPr>
              <w:t>臭蛋味</w:t>
            </w:r>
          </w:p>
        </w:tc>
      </w:tr>
    </w:tbl>
    <w:p w14:paraId="76DC270D">
      <w:pPr>
        <w:autoSpaceDE w:val="0"/>
        <w:autoSpaceDN w:val="0"/>
        <w:adjustRightInd w:val="0"/>
        <w:spacing w:line="360" w:lineRule="auto"/>
        <w:ind w:firstLine="482" w:firstLineChars="200"/>
        <w:rPr>
          <w:b/>
          <w:color w:val="auto"/>
          <w:sz w:val="24"/>
        </w:rPr>
      </w:pPr>
      <w:r>
        <w:rPr>
          <w:rFonts w:hint="eastAsia"/>
          <w:b/>
          <w:color w:val="auto"/>
          <w:sz w:val="24"/>
          <w:lang w:eastAsia="zh-CN"/>
        </w:rPr>
        <w:t>（</w:t>
      </w:r>
      <w:r>
        <w:rPr>
          <w:rFonts w:hint="eastAsia"/>
          <w:b/>
          <w:color w:val="auto"/>
          <w:sz w:val="24"/>
          <w:lang w:val="en-US" w:eastAsia="zh-CN"/>
        </w:rPr>
        <w:t>1</w:t>
      </w:r>
      <w:r>
        <w:rPr>
          <w:rFonts w:hint="eastAsia"/>
          <w:b/>
          <w:color w:val="auto"/>
          <w:sz w:val="24"/>
          <w:lang w:eastAsia="zh-CN"/>
        </w:rPr>
        <w:t>）</w:t>
      </w:r>
      <w:r>
        <w:rPr>
          <w:b/>
          <w:color w:val="auto"/>
          <w:sz w:val="24"/>
        </w:rPr>
        <w:t>鸡舍恶臭</w:t>
      </w:r>
    </w:p>
    <w:p w14:paraId="3948E97A">
      <w:pPr>
        <w:spacing w:line="360" w:lineRule="auto"/>
        <w:ind w:firstLine="480" w:firstLineChars="200"/>
        <w:rPr>
          <w:color w:val="auto"/>
          <w:sz w:val="24"/>
        </w:rPr>
      </w:pPr>
      <w:r>
        <w:rPr>
          <w:color w:val="auto"/>
          <w:sz w:val="24"/>
        </w:rPr>
        <w:t>本环评废气以NH</w:t>
      </w:r>
      <w:r>
        <w:rPr>
          <w:color w:val="auto"/>
          <w:sz w:val="24"/>
          <w:vertAlign w:val="subscript"/>
        </w:rPr>
        <w:t>3</w:t>
      </w:r>
      <w:r>
        <w:rPr>
          <w:color w:val="auto"/>
          <w:sz w:val="24"/>
        </w:rPr>
        <w:t>和H</w:t>
      </w:r>
      <w:r>
        <w:rPr>
          <w:color w:val="auto"/>
          <w:sz w:val="24"/>
          <w:vertAlign w:val="subscript"/>
        </w:rPr>
        <w:t>2</w:t>
      </w:r>
      <w:r>
        <w:rPr>
          <w:color w:val="auto"/>
          <w:sz w:val="24"/>
        </w:rPr>
        <w:t>S为标准。由于养殖场臭气产生量与气温、鸡舍清洁条件、饲料等有关，且属于面源污染，无组织扩散，目前较难统计出较准确的产生量。项目鸡舍全部采用干清粪工艺清污。</w:t>
      </w:r>
    </w:p>
    <w:p w14:paraId="5AB896D7">
      <w:pPr>
        <w:pStyle w:val="16"/>
        <w:snapToGrid w:val="0"/>
        <w:spacing w:line="360" w:lineRule="auto"/>
        <w:ind w:firstLine="504"/>
        <w:rPr>
          <w:color w:val="auto"/>
          <w:sz w:val="24"/>
        </w:rPr>
      </w:pPr>
      <w:r>
        <w:rPr>
          <w:color w:val="auto"/>
          <w:sz w:val="24"/>
        </w:rPr>
        <w:t>鸡粪落在自动清粪系统中的传粪带上，每天启动传粪带，收集装入粪车中，除</w:t>
      </w:r>
      <w:r>
        <w:rPr>
          <w:rFonts w:hint="eastAsia"/>
          <w:color w:val="auto"/>
          <w:sz w:val="24"/>
        </w:rPr>
        <w:t>极端天气</w:t>
      </w:r>
      <w:r>
        <w:rPr>
          <w:color w:val="auto"/>
          <w:sz w:val="24"/>
        </w:rPr>
        <w:t>等</w:t>
      </w:r>
      <w:r>
        <w:rPr>
          <w:bCs/>
          <w:color w:val="auto"/>
          <w:spacing w:val="6"/>
          <w:sz w:val="24"/>
        </w:rPr>
        <w:t>特殊天气情况外，粪便均日产日清直接外售</w:t>
      </w:r>
      <w:r>
        <w:rPr>
          <w:rFonts w:hint="eastAsia"/>
          <w:bCs/>
          <w:color w:val="auto"/>
          <w:spacing w:val="6"/>
          <w:sz w:val="24"/>
        </w:rPr>
        <w:t>进行有机肥生产</w:t>
      </w:r>
      <w:r>
        <w:rPr>
          <w:color w:val="auto"/>
          <w:sz w:val="24"/>
        </w:rPr>
        <w:t>。</w:t>
      </w:r>
    </w:p>
    <w:p w14:paraId="0C433F61">
      <w:pPr>
        <w:pStyle w:val="16"/>
        <w:snapToGrid w:val="0"/>
        <w:spacing w:line="360" w:lineRule="auto"/>
        <w:ind w:firstLine="504"/>
        <w:rPr>
          <w:b/>
          <w:color w:val="auto"/>
          <w:szCs w:val="21"/>
        </w:rPr>
      </w:pPr>
      <w:r>
        <w:rPr>
          <w:color w:val="auto"/>
          <w:sz w:val="24"/>
        </w:rPr>
        <w:t>由于鸡粪在鸡舍中停留时间较短，产生有害气体的量较少。根据《排污许可证申请与核发技术规范 畜禽养殖行业》</w:t>
      </w:r>
      <w:r>
        <w:rPr>
          <w:rFonts w:hint="eastAsia"/>
          <w:color w:val="auto"/>
          <w:sz w:val="24"/>
        </w:rPr>
        <w:t>（HJ1029-2019）</w:t>
      </w:r>
      <w:r>
        <w:rPr>
          <w:color w:val="auto"/>
          <w:sz w:val="24"/>
        </w:rPr>
        <w:t>表 9“各类禽污染物产生量”</w:t>
      </w:r>
      <w:r>
        <w:rPr>
          <w:rFonts w:hint="eastAsia"/>
          <w:color w:val="auto"/>
          <w:sz w:val="24"/>
        </w:rPr>
        <w:t>计算</w:t>
      </w:r>
      <w:r>
        <w:rPr>
          <w:color w:val="auto"/>
          <w:sz w:val="24"/>
        </w:rPr>
        <w:t>蛋鸡的粪便</w:t>
      </w:r>
      <w:r>
        <w:rPr>
          <w:rFonts w:hint="eastAsia"/>
          <w:color w:val="auto"/>
          <w:sz w:val="24"/>
        </w:rPr>
        <w:t>及粪便中</w:t>
      </w:r>
      <w:r>
        <w:rPr>
          <w:color w:val="auto"/>
          <w:sz w:val="24"/>
        </w:rPr>
        <w:t>污染物产生量</w:t>
      </w:r>
      <w:r>
        <w:rPr>
          <w:rFonts w:hint="eastAsia"/>
          <w:color w:val="auto"/>
          <w:sz w:val="24"/>
        </w:rPr>
        <w:t>。</w:t>
      </w:r>
    </w:p>
    <w:p w14:paraId="11637059">
      <w:pPr>
        <w:autoSpaceDE w:val="0"/>
        <w:autoSpaceDN w:val="0"/>
        <w:adjustRightInd w:val="0"/>
        <w:ind w:firstLine="2823" w:firstLineChars="1339"/>
        <w:rPr>
          <w:b/>
          <w:color w:val="auto"/>
          <w:szCs w:val="21"/>
        </w:rPr>
      </w:pPr>
      <w:r>
        <w:rPr>
          <w:b/>
          <w:color w:val="auto"/>
          <w:szCs w:val="21"/>
        </w:rPr>
        <w:t>表</w:t>
      </w:r>
      <w:r>
        <w:rPr>
          <w:rFonts w:hint="eastAsia"/>
          <w:b/>
          <w:color w:val="auto"/>
          <w:szCs w:val="21"/>
          <w:lang w:val="en-US" w:eastAsia="zh-CN"/>
        </w:rPr>
        <w:t>3.4-6</w:t>
      </w:r>
      <w:r>
        <w:rPr>
          <w:rFonts w:hint="eastAsia"/>
          <w:b/>
          <w:color w:val="auto"/>
          <w:szCs w:val="21"/>
        </w:rPr>
        <w:t xml:space="preserve">   </w:t>
      </w:r>
      <w:r>
        <w:rPr>
          <w:b/>
          <w:color w:val="auto"/>
          <w:szCs w:val="21"/>
        </w:rPr>
        <w:t xml:space="preserve">  蛋鸡养殖排污系数</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964"/>
        <w:gridCol w:w="2540"/>
        <w:gridCol w:w="3551"/>
        <w:gridCol w:w="1470"/>
      </w:tblGrid>
      <w:tr w14:paraId="0D71D387">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64" w:type="dxa"/>
            <w:vMerge w:val="restart"/>
            <w:vAlign w:val="center"/>
          </w:tcPr>
          <w:p w14:paraId="4AFECE86">
            <w:pPr>
              <w:spacing w:line="320" w:lineRule="exact"/>
              <w:jc w:val="center"/>
              <w:rPr>
                <w:b/>
                <w:color w:val="auto"/>
                <w:szCs w:val="21"/>
              </w:rPr>
            </w:pPr>
            <w:r>
              <w:rPr>
                <w:b/>
                <w:color w:val="auto"/>
                <w:szCs w:val="21"/>
              </w:rPr>
              <w:t>种类</w:t>
            </w:r>
          </w:p>
        </w:tc>
        <w:tc>
          <w:tcPr>
            <w:tcW w:w="2540" w:type="dxa"/>
            <w:vMerge w:val="restart"/>
            <w:vAlign w:val="center"/>
          </w:tcPr>
          <w:p w14:paraId="1DC7CD50">
            <w:pPr>
              <w:spacing w:line="320" w:lineRule="exact"/>
              <w:jc w:val="center"/>
              <w:rPr>
                <w:b/>
                <w:color w:val="auto"/>
                <w:szCs w:val="21"/>
              </w:rPr>
            </w:pPr>
            <w:r>
              <w:rPr>
                <w:b/>
                <w:color w:val="auto"/>
                <w:szCs w:val="21"/>
              </w:rPr>
              <w:t>粪便产生量（kg/d 头/只）</w:t>
            </w:r>
          </w:p>
        </w:tc>
        <w:tc>
          <w:tcPr>
            <w:tcW w:w="3551" w:type="dxa"/>
            <w:vAlign w:val="center"/>
          </w:tcPr>
          <w:p w14:paraId="52A8C90F">
            <w:pPr>
              <w:spacing w:line="320" w:lineRule="exact"/>
              <w:jc w:val="center"/>
              <w:rPr>
                <w:b/>
                <w:color w:val="auto"/>
                <w:szCs w:val="21"/>
              </w:rPr>
            </w:pPr>
            <w:r>
              <w:rPr>
                <w:b/>
                <w:color w:val="auto"/>
                <w:szCs w:val="21"/>
              </w:rPr>
              <w:t>粪便中污染物含量（g/d 头/只）</w:t>
            </w:r>
          </w:p>
        </w:tc>
        <w:tc>
          <w:tcPr>
            <w:tcW w:w="1470" w:type="dxa"/>
            <w:vMerge w:val="restart"/>
            <w:vAlign w:val="center"/>
          </w:tcPr>
          <w:p w14:paraId="00689716">
            <w:pPr>
              <w:spacing w:line="320" w:lineRule="exact"/>
              <w:jc w:val="center"/>
              <w:rPr>
                <w:b/>
                <w:color w:val="auto"/>
                <w:szCs w:val="21"/>
              </w:rPr>
            </w:pPr>
            <w:r>
              <w:rPr>
                <w:b/>
                <w:color w:val="auto"/>
                <w:szCs w:val="21"/>
              </w:rPr>
              <w:t>清粪工艺</w:t>
            </w:r>
          </w:p>
        </w:tc>
      </w:tr>
      <w:tr w14:paraId="19C36B73">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64" w:type="dxa"/>
            <w:vMerge w:val="continue"/>
            <w:vAlign w:val="center"/>
          </w:tcPr>
          <w:p w14:paraId="7D3E73D5">
            <w:pPr>
              <w:spacing w:line="320" w:lineRule="exact"/>
              <w:jc w:val="center"/>
              <w:rPr>
                <w:color w:val="auto"/>
                <w:szCs w:val="21"/>
              </w:rPr>
            </w:pPr>
          </w:p>
        </w:tc>
        <w:tc>
          <w:tcPr>
            <w:tcW w:w="2540" w:type="dxa"/>
            <w:vMerge w:val="continue"/>
            <w:vAlign w:val="center"/>
          </w:tcPr>
          <w:p w14:paraId="55331CE3">
            <w:pPr>
              <w:spacing w:line="320" w:lineRule="exact"/>
              <w:jc w:val="center"/>
              <w:rPr>
                <w:color w:val="auto"/>
                <w:szCs w:val="21"/>
              </w:rPr>
            </w:pPr>
          </w:p>
        </w:tc>
        <w:tc>
          <w:tcPr>
            <w:tcW w:w="3551" w:type="dxa"/>
            <w:vAlign w:val="center"/>
          </w:tcPr>
          <w:p w14:paraId="270AF3E5">
            <w:pPr>
              <w:spacing w:line="320" w:lineRule="exact"/>
              <w:jc w:val="center"/>
              <w:rPr>
                <w:rFonts w:hint="eastAsia" w:eastAsia="宋体"/>
                <w:color w:val="auto"/>
                <w:szCs w:val="21"/>
                <w:lang w:eastAsia="zh-CN"/>
              </w:rPr>
            </w:pPr>
            <w:r>
              <w:rPr>
                <w:rFonts w:hint="eastAsia"/>
                <w:color w:val="auto"/>
                <w:szCs w:val="21"/>
                <w:lang w:eastAsia="zh-CN"/>
              </w:rPr>
              <w:t>总氮</w:t>
            </w:r>
          </w:p>
        </w:tc>
        <w:tc>
          <w:tcPr>
            <w:tcW w:w="1470" w:type="dxa"/>
            <w:vMerge w:val="continue"/>
            <w:vAlign w:val="center"/>
          </w:tcPr>
          <w:p w14:paraId="7B948DD1">
            <w:pPr>
              <w:spacing w:line="320" w:lineRule="exact"/>
              <w:jc w:val="center"/>
              <w:rPr>
                <w:color w:val="auto"/>
                <w:szCs w:val="21"/>
              </w:rPr>
            </w:pPr>
          </w:p>
        </w:tc>
      </w:tr>
      <w:tr w14:paraId="7187BFB2">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64" w:type="dxa"/>
            <w:vAlign w:val="center"/>
          </w:tcPr>
          <w:p w14:paraId="1E3E42EC">
            <w:pPr>
              <w:spacing w:line="320" w:lineRule="exact"/>
              <w:jc w:val="center"/>
              <w:rPr>
                <w:color w:val="auto"/>
                <w:szCs w:val="21"/>
              </w:rPr>
            </w:pPr>
            <w:r>
              <w:rPr>
                <w:color w:val="auto"/>
                <w:szCs w:val="21"/>
              </w:rPr>
              <w:t>蛋鸡</w:t>
            </w:r>
          </w:p>
        </w:tc>
        <w:tc>
          <w:tcPr>
            <w:tcW w:w="2540" w:type="dxa"/>
            <w:vAlign w:val="center"/>
          </w:tcPr>
          <w:p w14:paraId="15EA1E2B">
            <w:pPr>
              <w:spacing w:line="320" w:lineRule="exact"/>
              <w:jc w:val="center"/>
              <w:rPr>
                <w:color w:val="auto"/>
                <w:szCs w:val="21"/>
              </w:rPr>
            </w:pPr>
            <w:r>
              <w:rPr>
                <w:color w:val="auto"/>
                <w:szCs w:val="21"/>
              </w:rPr>
              <w:t>0.13</w:t>
            </w:r>
          </w:p>
        </w:tc>
        <w:tc>
          <w:tcPr>
            <w:tcW w:w="3551" w:type="dxa"/>
            <w:vAlign w:val="center"/>
          </w:tcPr>
          <w:p w14:paraId="6D676DFF">
            <w:pPr>
              <w:spacing w:line="320" w:lineRule="exact"/>
              <w:jc w:val="center"/>
              <w:rPr>
                <w:rFonts w:hint="default" w:eastAsia="宋体"/>
                <w:color w:val="auto"/>
                <w:szCs w:val="21"/>
                <w:lang w:val="en-US" w:eastAsia="zh-CN"/>
              </w:rPr>
            </w:pPr>
            <w:r>
              <w:rPr>
                <w:rFonts w:hint="eastAsia"/>
                <w:color w:val="auto"/>
                <w:szCs w:val="21"/>
                <w:lang w:val="en-US" w:eastAsia="zh-CN"/>
              </w:rPr>
              <w:t>1.2</w:t>
            </w:r>
          </w:p>
        </w:tc>
        <w:tc>
          <w:tcPr>
            <w:tcW w:w="1470" w:type="dxa"/>
            <w:vAlign w:val="center"/>
          </w:tcPr>
          <w:p w14:paraId="6D35869D">
            <w:pPr>
              <w:spacing w:line="320" w:lineRule="exact"/>
              <w:jc w:val="center"/>
              <w:rPr>
                <w:color w:val="auto"/>
                <w:szCs w:val="21"/>
              </w:rPr>
            </w:pPr>
            <w:r>
              <w:rPr>
                <w:color w:val="auto"/>
                <w:szCs w:val="21"/>
              </w:rPr>
              <w:t>干清粪</w:t>
            </w:r>
          </w:p>
        </w:tc>
      </w:tr>
    </w:tbl>
    <w:p w14:paraId="0F86049D">
      <w:pPr>
        <w:autoSpaceDE w:val="0"/>
        <w:autoSpaceDN w:val="0"/>
        <w:adjustRightInd w:val="0"/>
        <w:spacing w:line="360" w:lineRule="auto"/>
        <w:ind w:firstLine="480" w:firstLineChars="200"/>
        <w:rPr>
          <w:color w:val="auto"/>
          <w:sz w:val="24"/>
        </w:rPr>
      </w:pPr>
      <w:r>
        <w:rPr>
          <w:color w:val="auto"/>
          <w:sz w:val="24"/>
        </w:rPr>
        <w:t>由于粪便中只有游离的氨氮才能转化为氨气，根据相关资料，企业饲料选用合理，鸡舍管理得当，采用喷洒除臭剂，都可降低臭气的浓度</w:t>
      </w:r>
      <w:r>
        <w:rPr>
          <w:rFonts w:hint="eastAsia"/>
          <w:color w:val="auto"/>
          <w:sz w:val="24"/>
        </w:rPr>
        <w:t>。</w:t>
      </w:r>
    </w:p>
    <w:p w14:paraId="130211F5">
      <w:pPr>
        <w:autoSpaceDE w:val="0"/>
        <w:autoSpaceDN w:val="0"/>
        <w:adjustRightInd w:val="0"/>
        <w:spacing w:line="360" w:lineRule="auto"/>
        <w:ind w:firstLine="480" w:firstLineChars="200"/>
        <w:rPr>
          <w:color w:val="auto"/>
          <w:sz w:val="24"/>
        </w:rPr>
      </w:pPr>
      <w:r>
        <w:rPr>
          <w:color w:val="auto"/>
          <w:sz w:val="24"/>
        </w:rPr>
        <w:t>根据《畜禽场环境评价》（刘成国主编，中国标准出版社）和《第一次全国污染源普查 畜禽养殖业源产排污手册》（2009年2月，中国农业科学院农业环境与可持续发展研究所和环境保护部南京环境科学研究所编写）中的数据，转化为氨气的量预计为全氮量的</w:t>
      </w:r>
      <w:r>
        <w:rPr>
          <w:rFonts w:hint="eastAsia"/>
          <w:color w:val="auto"/>
          <w:sz w:val="24"/>
          <w:lang w:val="en-US" w:eastAsia="zh-CN"/>
        </w:rPr>
        <w:t>5</w:t>
      </w:r>
      <w:r>
        <w:rPr>
          <w:rFonts w:hint="default" w:ascii="Arial" w:hAnsi="Arial" w:cs="Arial"/>
          <w:color w:val="auto"/>
          <w:sz w:val="24"/>
          <w:lang w:val="en-US" w:eastAsia="zh-CN"/>
        </w:rPr>
        <w:t>‰</w:t>
      </w:r>
      <w:r>
        <w:rPr>
          <w:color w:val="auto"/>
          <w:sz w:val="24"/>
        </w:rPr>
        <w:t>，H</w:t>
      </w:r>
      <w:r>
        <w:rPr>
          <w:color w:val="auto"/>
          <w:sz w:val="24"/>
          <w:vertAlign w:val="subscript"/>
        </w:rPr>
        <w:t>2</w:t>
      </w:r>
      <w:r>
        <w:rPr>
          <w:color w:val="auto"/>
          <w:sz w:val="24"/>
        </w:rPr>
        <w:t>S含量约为NH</w:t>
      </w:r>
      <w:r>
        <w:rPr>
          <w:color w:val="auto"/>
          <w:sz w:val="24"/>
          <w:vertAlign w:val="subscript"/>
        </w:rPr>
        <w:t>3</w:t>
      </w:r>
      <w:r>
        <w:rPr>
          <w:color w:val="auto"/>
          <w:sz w:val="24"/>
        </w:rPr>
        <w:t>的5%</w:t>
      </w:r>
      <w:r>
        <w:rPr>
          <w:rFonts w:hint="eastAsia"/>
          <w:color w:val="auto"/>
          <w:sz w:val="24"/>
        </w:rPr>
        <w:t>。</w:t>
      </w:r>
    </w:p>
    <w:p w14:paraId="742529A3">
      <w:pPr>
        <w:autoSpaceDE w:val="0"/>
        <w:autoSpaceDN w:val="0"/>
        <w:adjustRightInd w:val="0"/>
        <w:spacing w:line="360" w:lineRule="auto"/>
        <w:ind w:firstLine="480" w:firstLineChars="200"/>
        <w:rPr>
          <w:rFonts w:hint="eastAsia"/>
          <w:color w:val="auto"/>
          <w:sz w:val="24"/>
          <w:lang w:eastAsia="zh-CN"/>
        </w:rPr>
      </w:pPr>
      <w:r>
        <w:rPr>
          <w:color w:val="auto"/>
          <w:sz w:val="24"/>
        </w:rPr>
        <w:t>本项目使用自动清粪系统，分层养殖，大大减少了鸡粪在鸡舍的存留时间，并有效减少了鸡粪在鸡舍内发酵产生异味，其中90%随鸡粪进入到</w:t>
      </w:r>
      <w:r>
        <w:rPr>
          <w:rFonts w:hint="eastAsia"/>
          <w:bCs/>
          <w:color w:val="auto"/>
          <w:spacing w:val="6"/>
          <w:sz w:val="24"/>
        </w:rPr>
        <w:t>有机肥生产</w:t>
      </w:r>
      <w:r>
        <w:rPr>
          <w:color w:val="auto"/>
          <w:sz w:val="24"/>
        </w:rPr>
        <w:t>，10%的量会以无组织的形式</w:t>
      </w:r>
      <w:r>
        <w:rPr>
          <w:rFonts w:hint="eastAsia"/>
          <w:color w:val="auto"/>
          <w:sz w:val="24"/>
        </w:rPr>
        <w:t>在蛋鸡舍</w:t>
      </w:r>
      <w:r>
        <w:rPr>
          <w:color w:val="auto"/>
          <w:sz w:val="24"/>
        </w:rPr>
        <w:t>排放</w:t>
      </w:r>
      <w:r>
        <w:rPr>
          <w:rFonts w:hint="eastAsia"/>
          <w:color w:val="auto"/>
          <w:sz w:val="24"/>
        </w:rPr>
        <w:t>。本项目</w:t>
      </w:r>
      <w:r>
        <w:rPr>
          <w:color w:val="auto"/>
          <w:sz w:val="24"/>
        </w:rPr>
        <w:t>蛋鸡年存栏</w:t>
      </w:r>
      <w:r>
        <w:rPr>
          <w:rFonts w:hint="eastAsia"/>
          <w:color w:val="auto"/>
          <w:sz w:val="24"/>
        </w:rPr>
        <w:t>总</w:t>
      </w:r>
      <w:r>
        <w:rPr>
          <w:color w:val="auto"/>
          <w:sz w:val="24"/>
        </w:rPr>
        <w:t>量为100万只</w:t>
      </w:r>
      <w:r>
        <w:rPr>
          <w:rFonts w:hint="eastAsia"/>
          <w:color w:val="auto"/>
          <w:sz w:val="24"/>
          <w:lang w:eastAsia="zh-CN"/>
        </w:rPr>
        <w:t>；</w:t>
      </w:r>
    </w:p>
    <w:p w14:paraId="15285DD2">
      <w:pPr>
        <w:autoSpaceDE w:val="0"/>
        <w:autoSpaceDN w:val="0"/>
        <w:adjustRightInd w:val="0"/>
        <w:spacing w:line="360" w:lineRule="auto"/>
        <w:ind w:firstLine="480" w:firstLineChars="200"/>
        <w:rPr>
          <w:rFonts w:hint="eastAsia"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rPr>
        <w:t>NH</w:t>
      </w:r>
      <w:r>
        <w:rPr>
          <w:rFonts w:hint="default" w:ascii="Times New Roman" w:hAnsi="Times New Roman" w:eastAsia="宋体" w:cs="Times New Roman"/>
          <w:b w:val="0"/>
          <w:bCs w:val="0"/>
          <w:color w:val="auto"/>
          <w:sz w:val="24"/>
          <w:szCs w:val="24"/>
          <w:vertAlign w:val="subscript"/>
        </w:rPr>
        <w:t>3</w:t>
      </w:r>
      <w:r>
        <w:rPr>
          <w:rFonts w:hint="default" w:ascii="Times New Roman" w:hAnsi="Times New Roman" w:eastAsia="宋体" w:cs="Times New Roman"/>
          <w:b w:val="0"/>
          <w:bCs w:val="0"/>
          <w:color w:val="auto"/>
          <w:sz w:val="24"/>
          <w:szCs w:val="24"/>
        </w:rPr>
        <w:t>产生量为</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100万×1.2</w:t>
      </w:r>
      <w:r>
        <w:rPr>
          <w:rFonts w:hint="default" w:ascii="Times New Roman" w:hAnsi="Times New Roman" w:eastAsia="宋体" w:cs="Times New Roman"/>
          <w:b w:val="0"/>
          <w:bCs w:val="0"/>
          <w:color w:val="auto"/>
          <w:sz w:val="24"/>
          <w:szCs w:val="24"/>
        </w:rPr>
        <w:t>g/d·只×</w:t>
      </w:r>
      <w:r>
        <w:rPr>
          <w:rFonts w:hint="eastAsia" w:ascii="Times New Roman" w:hAnsi="Times New Roman" w:eastAsia="宋体" w:cs="Times New Roman"/>
          <w:b w:val="0"/>
          <w:bCs w:val="0"/>
          <w:color w:val="auto"/>
          <w:sz w:val="24"/>
          <w:szCs w:val="24"/>
          <w:lang w:val="en-US" w:eastAsia="zh-CN"/>
        </w:rPr>
        <w:t>5</w:t>
      </w:r>
      <w:r>
        <w:rPr>
          <w:rFonts w:hint="default" w:ascii="Arial" w:hAnsi="Arial" w:eastAsia="宋体" w:cs="Arial"/>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365</w:t>
      </w:r>
      <w:r>
        <w:rPr>
          <w:rFonts w:hint="default" w:ascii="Times New Roman" w:hAnsi="Times New Roman" w:eastAsia="宋体" w:cs="Times New Roman"/>
          <w:b w:val="0"/>
          <w:bCs w:val="0"/>
          <w:color w:val="auto"/>
          <w:sz w:val="24"/>
          <w:szCs w:val="24"/>
        </w:rPr>
        <w:t>×</w:t>
      </w:r>
      <w:r>
        <w:rPr>
          <w:rFonts w:hint="eastAsia" w:ascii="Times New Roman" w:hAnsi="Times New Roman" w:eastAsia="宋体" w:cs="Times New Roman"/>
          <w:b w:val="0"/>
          <w:bCs w:val="0"/>
          <w:color w:val="auto"/>
          <w:sz w:val="24"/>
          <w:szCs w:val="24"/>
          <w:lang w:val="en-US" w:eastAsia="zh-CN"/>
        </w:rPr>
        <w:t>10</w:t>
      </w:r>
      <w:r>
        <w:rPr>
          <w:rFonts w:hint="eastAsia" w:ascii="宋体" w:hAnsi="宋体" w:eastAsia="宋体" w:cs="宋体"/>
          <w:b w:val="0"/>
          <w:bCs w:val="0"/>
          <w:color w:val="auto"/>
          <w:sz w:val="24"/>
          <w:szCs w:val="24"/>
          <w:lang w:val="en-US" w:eastAsia="zh-CN"/>
        </w:rPr>
        <w:t>％</w:t>
      </w:r>
      <w:r>
        <w:rPr>
          <w:rFonts w:hint="default" w:ascii="Arial" w:hAnsi="Arial" w:eastAsia="宋体" w:cs="Arial"/>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10</w:t>
      </w:r>
      <w:r>
        <w:rPr>
          <w:rFonts w:hint="default" w:ascii="Times New Roman" w:hAnsi="Times New Roman" w:eastAsia="宋体" w:cs="Times New Roman"/>
          <w:b w:val="0"/>
          <w:bCs w:val="0"/>
          <w:color w:val="auto"/>
          <w:sz w:val="24"/>
          <w:szCs w:val="24"/>
          <w:vertAlign w:val="superscript"/>
          <w:lang w:val="en-US" w:eastAsia="zh-CN"/>
        </w:rPr>
        <w:t>-6</w:t>
      </w:r>
      <w:r>
        <w:rPr>
          <w:rFonts w:hint="default"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rPr>
        <w:t>0.219t/a（0.025kg/h）</w:t>
      </w:r>
      <w:r>
        <w:rPr>
          <w:rFonts w:hint="eastAsia" w:ascii="Times New Roman" w:hAnsi="Times New Roman" w:eastAsia="宋体" w:cs="Times New Roman"/>
          <w:b w:val="0"/>
          <w:bCs w:val="0"/>
          <w:color w:val="auto"/>
          <w:sz w:val="24"/>
          <w:szCs w:val="24"/>
          <w:lang w:eastAsia="zh-CN"/>
        </w:rPr>
        <w:t>；</w:t>
      </w:r>
    </w:p>
    <w:p w14:paraId="14DADC1D">
      <w:pPr>
        <w:autoSpaceDE w:val="0"/>
        <w:autoSpaceDN w:val="0"/>
        <w:adjustRightInd w:val="0"/>
        <w:spacing w:line="360" w:lineRule="auto"/>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H</w:t>
      </w:r>
      <w:r>
        <w:rPr>
          <w:rFonts w:hint="default" w:ascii="Times New Roman" w:hAnsi="Times New Roman" w:eastAsia="宋体" w:cs="Times New Roman"/>
          <w:b w:val="0"/>
          <w:bCs w:val="0"/>
          <w:color w:val="auto"/>
          <w:sz w:val="24"/>
          <w:szCs w:val="24"/>
          <w:vertAlign w:val="subscript"/>
        </w:rPr>
        <w:t>2</w:t>
      </w:r>
      <w:r>
        <w:rPr>
          <w:rFonts w:hint="default" w:ascii="Times New Roman" w:hAnsi="Times New Roman" w:eastAsia="宋体" w:cs="Times New Roman"/>
          <w:b w:val="0"/>
          <w:bCs w:val="0"/>
          <w:color w:val="auto"/>
          <w:sz w:val="24"/>
          <w:szCs w:val="24"/>
        </w:rPr>
        <w:t>S产生量为</w:t>
      </w:r>
      <w:r>
        <w:rPr>
          <w:rFonts w:hint="eastAsia" w:ascii="Times New Roman" w:hAnsi="Times New Roman" w:eastAsia="宋体"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val="en-US" w:eastAsia="zh-CN"/>
        </w:rPr>
        <w:t>0.219t/a</w:t>
      </w:r>
      <w:r>
        <w:rPr>
          <w:rFonts w:hint="default" w:ascii="Arial" w:hAnsi="Arial" w:eastAsia="宋体" w:cs="Arial"/>
          <w:b w:val="0"/>
          <w:bCs w:val="0"/>
          <w:color w:val="auto"/>
          <w:sz w:val="24"/>
          <w:szCs w:val="24"/>
          <w:lang w:val="en-US" w:eastAsia="zh-CN"/>
        </w:rPr>
        <w:t>×</w:t>
      </w:r>
      <w:r>
        <w:rPr>
          <w:rFonts w:hint="eastAsia" w:ascii="Times New Roman" w:hAnsi="Times New Roman" w:eastAsia="宋体" w:cs="Times New Roman"/>
          <w:b w:val="0"/>
          <w:bCs w:val="0"/>
          <w:color w:val="auto"/>
          <w:sz w:val="24"/>
          <w:szCs w:val="24"/>
          <w:lang w:val="en-US" w:eastAsia="zh-CN"/>
        </w:rPr>
        <w:t>5%=</w:t>
      </w:r>
      <w:r>
        <w:rPr>
          <w:rFonts w:hint="default" w:ascii="Times New Roman" w:hAnsi="Times New Roman" w:eastAsia="宋体" w:cs="Times New Roman"/>
          <w:b w:val="0"/>
          <w:bCs w:val="0"/>
          <w:color w:val="auto"/>
          <w:sz w:val="24"/>
          <w:szCs w:val="24"/>
        </w:rPr>
        <w:t>0.011t/a（1.25×10</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kg/h）。</w:t>
      </w:r>
    </w:p>
    <w:p w14:paraId="776C1969">
      <w:pPr>
        <w:autoSpaceDE w:val="0"/>
        <w:autoSpaceDN w:val="0"/>
        <w:adjustRightInd w:val="0"/>
        <w:spacing w:line="360" w:lineRule="auto"/>
        <w:ind w:firstLine="480" w:firstLineChars="200"/>
        <w:rPr>
          <w:rFonts w:hint="eastAsia"/>
          <w:color w:val="auto"/>
          <w:sz w:val="24"/>
        </w:rPr>
      </w:pPr>
      <w:r>
        <w:rPr>
          <w:rFonts w:hint="eastAsia" w:hAnsi="宋体"/>
          <w:bCs/>
          <w:color w:val="auto"/>
          <w:sz w:val="24"/>
        </w:rPr>
        <w:t>根据《排污许可证申请与核发技术规范</w:t>
      </w:r>
      <w:r>
        <w:rPr>
          <w:rFonts w:hAnsi="宋体"/>
          <w:bCs/>
          <w:color w:val="auto"/>
          <w:sz w:val="24"/>
        </w:rPr>
        <w:t xml:space="preserve"> </w:t>
      </w:r>
      <w:r>
        <w:rPr>
          <w:rFonts w:hint="eastAsia" w:hAnsi="宋体"/>
          <w:bCs/>
          <w:color w:val="auto"/>
          <w:sz w:val="24"/>
        </w:rPr>
        <w:t>畜禽养殖行业》（</w:t>
      </w:r>
      <w:r>
        <w:rPr>
          <w:rFonts w:hAnsi="宋体"/>
          <w:bCs/>
          <w:color w:val="auto"/>
          <w:sz w:val="24"/>
        </w:rPr>
        <w:t>HJ1029-2019</w:t>
      </w:r>
      <w:r>
        <w:rPr>
          <w:rFonts w:hint="eastAsia" w:hAnsi="宋体"/>
          <w:bCs/>
          <w:color w:val="auto"/>
          <w:sz w:val="24"/>
        </w:rPr>
        <w:t>）中表</w:t>
      </w:r>
      <w:r>
        <w:rPr>
          <w:rFonts w:hAnsi="宋体"/>
          <w:bCs/>
          <w:color w:val="auto"/>
          <w:sz w:val="24"/>
        </w:rPr>
        <w:t>7</w:t>
      </w:r>
      <w:r>
        <w:rPr>
          <w:rFonts w:hint="eastAsia" w:hAnsi="宋体"/>
          <w:bCs/>
          <w:color w:val="auto"/>
          <w:sz w:val="24"/>
        </w:rPr>
        <w:t>畜禽养殖行业排污单位恶臭无组织排放控制要求，项目养殖栏舍选用益生菌配方饲料、及时清运粪便、向粪便或舍内投放吸附剂减少臭气的散发、投加或喷洒微生物除臭剂。</w:t>
      </w:r>
      <w:r>
        <w:rPr>
          <w:rFonts w:hint="eastAsia"/>
          <w:color w:val="auto"/>
          <w:sz w:val="24"/>
        </w:rPr>
        <w:t>根据相关资料，企业饲料选用益生菌配方饲料，及时清理粪便，定期喷洒除臭剂，都可降低臭气的浓度，</w:t>
      </w:r>
      <w:r>
        <w:rPr>
          <w:color w:val="auto"/>
          <w:sz w:val="24"/>
        </w:rPr>
        <w:t>去除率为80%</w:t>
      </w:r>
      <w:r>
        <w:rPr>
          <w:rFonts w:hint="eastAsia"/>
          <w:color w:val="auto"/>
          <w:sz w:val="24"/>
        </w:rPr>
        <w:t>。</w:t>
      </w:r>
    </w:p>
    <w:p w14:paraId="204F4108">
      <w:pPr>
        <w:autoSpaceDE w:val="0"/>
        <w:autoSpaceDN w:val="0"/>
        <w:adjustRightInd w:val="0"/>
        <w:spacing w:line="360" w:lineRule="auto"/>
        <w:ind w:firstLine="480" w:firstLineChars="200"/>
        <w:rPr>
          <w:rFonts w:hint="eastAsia"/>
          <w:color w:val="auto"/>
          <w:sz w:val="24"/>
          <w:lang w:eastAsia="zh-CN"/>
        </w:rPr>
      </w:pPr>
      <w:r>
        <w:rPr>
          <w:rFonts w:hint="eastAsia"/>
          <w:color w:val="auto"/>
          <w:sz w:val="24"/>
        </w:rPr>
        <w:t>NH</w:t>
      </w:r>
      <w:r>
        <w:rPr>
          <w:rFonts w:hint="eastAsia"/>
          <w:color w:val="auto"/>
          <w:sz w:val="24"/>
          <w:vertAlign w:val="subscript"/>
        </w:rPr>
        <w:t>3</w:t>
      </w:r>
      <w:r>
        <w:rPr>
          <w:rFonts w:hint="eastAsia"/>
          <w:color w:val="auto"/>
          <w:sz w:val="24"/>
        </w:rPr>
        <w:t>排放量为</w:t>
      </w:r>
      <w:r>
        <w:rPr>
          <w:rFonts w:hint="eastAsia"/>
          <w:color w:val="auto"/>
          <w:sz w:val="24"/>
          <w:lang w:eastAsia="zh-CN"/>
        </w:rPr>
        <w:t>：</w:t>
      </w:r>
      <w:r>
        <w:rPr>
          <w:rFonts w:hint="eastAsia"/>
          <w:color w:val="auto"/>
          <w:sz w:val="24"/>
          <w:lang w:val="en-US" w:eastAsia="zh-CN"/>
        </w:rPr>
        <w:t>0.219t/a</w:t>
      </w:r>
      <w:r>
        <w:rPr>
          <w:rFonts w:hint="default" w:ascii="Arial" w:hAnsi="Arial" w:cs="Arial"/>
          <w:color w:val="auto"/>
          <w:sz w:val="24"/>
          <w:lang w:val="en-US" w:eastAsia="zh-CN"/>
        </w:rPr>
        <w:t>×</w:t>
      </w:r>
      <w:r>
        <w:rPr>
          <w:rFonts w:hint="eastAsia"/>
          <w:color w:val="auto"/>
          <w:sz w:val="24"/>
          <w:lang w:val="en-US" w:eastAsia="zh-CN"/>
        </w:rPr>
        <w:t>（1-80%）=</w:t>
      </w:r>
      <w:r>
        <w:rPr>
          <w:rFonts w:hint="eastAsia"/>
          <w:color w:val="auto"/>
          <w:sz w:val="24"/>
        </w:rPr>
        <w:t>0.0438t/a（0.005kg/h）</w:t>
      </w:r>
      <w:r>
        <w:rPr>
          <w:rFonts w:hint="eastAsia"/>
          <w:color w:val="auto"/>
          <w:sz w:val="24"/>
          <w:lang w:eastAsia="zh-CN"/>
        </w:rPr>
        <w:t>；</w:t>
      </w:r>
    </w:p>
    <w:p w14:paraId="2AF732BA">
      <w:pPr>
        <w:autoSpaceDE w:val="0"/>
        <w:autoSpaceDN w:val="0"/>
        <w:adjustRightInd w:val="0"/>
        <w:spacing w:line="360" w:lineRule="auto"/>
        <w:ind w:firstLine="480" w:firstLineChars="200"/>
        <w:rPr>
          <w:color w:val="auto"/>
          <w:sz w:val="24"/>
        </w:rPr>
      </w:pPr>
      <w:r>
        <w:rPr>
          <w:rFonts w:hint="eastAsia"/>
          <w:color w:val="auto"/>
          <w:sz w:val="24"/>
        </w:rPr>
        <w:t>H</w:t>
      </w:r>
      <w:r>
        <w:rPr>
          <w:rFonts w:hint="eastAsia"/>
          <w:color w:val="auto"/>
          <w:sz w:val="24"/>
          <w:vertAlign w:val="subscript"/>
        </w:rPr>
        <w:t>2</w:t>
      </w:r>
      <w:r>
        <w:rPr>
          <w:rFonts w:hint="eastAsia"/>
          <w:color w:val="auto"/>
          <w:sz w:val="24"/>
        </w:rPr>
        <w:t>S排放量为</w:t>
      </w:r>
      <w:r>
        <w:rPr>
          <w:rFonts w:hint="eastAsia"/>
          <w:color w:val="auto"/>
          <w:sz w:val="24"/>
          <w:lang w:eastAsia="zh-CN"/>
        </w:rPr>
        <w:t>：</w:t>
      </w:r>
      <w:r>
        <w:rPr>
          <w:rFonts w:hint="eastAsia"/>
          <w:color w:val="auto"/>
          <w:sz w:val="24"/>
          <w:lang w:val="en-US" w:eastAsia="zh-CN"/>
        </w:rPr>
        <w:t>0.011</w:t>
      </w:r>
      <w:r>
        <w:rPr>
          <w:rFonts w:hint="default" w:ascii="Arial" w:hAnsi="Arial" w:cs="Arial"/>
          <w:color w:val="auto"/>
          <w:sz w:val="24"/>
          <w:lang w:val="en-US" w:eastAsia="zh-CN"/>
        </w:rPr>
        <w:t>×</w:t>
      </w:r>
      <w:r>
        <w:rPr>
          <w:rFonts w:hint="eastAsia"/>
          <w:color w:val="auto"/>
          <w:sz w:val="24"/>
          <w:lang w:val="en-US" w:eastAsia="zh-CN"/>
        </w:rPr>
        <w:t>（1-80%）=</w:t>
      </w:r>
      <w:r>
        <w:rPr>
          <w:rFonts w:hint="eastAsia"/>
          <w:color w:val="auto"/>
          <w:sz w:val="24"/>
        </w:rPr>
        <w:t>2.</w:t>
      </w:r>
      <w:r>
        <w:rPr>
          <w:rFonts w:hint="eastAsia"/>
          <w:color w:val="auto"/>
          <w:sz w:val="24"/>
          <w:lang w:val="en-US" w:eastAsia="zh-CN"/>
        </w:rPr>
        <w:t>2</w:t>
      </w:r>
      <w:r>
        <w:rPr>
          <w:color w:val="auto"/>
          <w:sz w:val="24"/>
        </w:rPr>
        <w:t>×</w:t>
      </w:r>
      <w:r>
        <w:rPr>
          <w:rFonts w:hint="eastAsia"/>
          <w:color w:val="auto"/>
          <w:sz w:val="24"/>
        </w:rPr>
        <w:t>10</w:t>
      </w:r>
      <w:r>
        <w:rPr>
          <w:rFonts w:hint="eastAsia"/>
          <w:color w:val="auto"/>
          <w:sz w:val="24"/>
          <w:vertAlign w:val="superscript"/>
        </w:rPr>
        <w:t>-3</w:t>
      </w:r>
      <w:r>
        <w:rPr>
          <w:rFonts w:hint="eastAsia"/>
          <w:color w:val="auto"/>
          <w:sz w:val="24"/>
        </w:rPr>
        <w:t>t/a（2.5</w:t>
      </w:r>
      <w:r>
        <w:rPr>
          <w:color w:val="auto"/>
          <w:sz w:val="24"/>
        </w:rPr>
        <w:t>×</w:t>
      </w:r>
      <w:r>
        <w:rPr>
          <w:rFonts w:hint="eastAsia"/>
          <w:color w:val="auto"/>
          <w:sz w:val="24"/>
        </w:rPr>
        <w:t>10</w:t>
      </w:r>
      <w:r>
        <w:rPr>
          <w:rFonts w:hint="eastAsia"/>
          <w:color w:val="auto"/>
          <w:sz w:val="24"/>
          <w:vertAlign w:val="superscript"/>
        </w:rPr>
        <w:t>-4</w:t>
      </w:r>
      <w:r>
        <w:rPr>
          <w:rFonts w:hint="eastAsia"/>
          <w:color w:val="auto"/>
          <w:sz w:val="24"/>
        </w:rPr>
        <w:t>kg/h）。</w:t>
      </w:r>
    </w:p>
    <w:p w14:paraId="2E7ED7C0">
      <w:pPr>
        <w:autoSpaceDE w:val="0"/>
        <w:autoSpaceDN w:val="0"/>
        <w:adjustRightInd w:val="0"/>
        <w:spacing w:line="360" w:lineRule="auto"/>
        <w:ind w:firstLine="480" w:firstLineChars="200"/>
        <w:rPr>
          <w:color w:val="auto"/>
          <w:sz w:val="24"/>
        </w:rPr>
      </w:pPr>
      <w:r>
        <w:rPr>
          <w:color w:val="auto"/>
          <w:sz w:val="24"/>
        </w:rPr>
        <w:t>根据《家畜环境卫生学》（高等教育出版社，2004）中的相关研究数据，在未使用任何治理措施的情况下，</w:t>
      </w:r>
      <w:r>
        <w:rPr>
          <w:rFonts w:hint="eastAsia"/>
          <w:color w:val="auto"/>
          <w:sz w:val="24"/>
          <w:lang w:eastAsia="zh-CN"/>
        </w:rPr>
        <w:t>封闭</w:t>
      </w:r>
      <w:r>
        <w:rPr>
          <w:color w:val="auto"/>
          <w:sz w:val="24"/>
        </w:rPr>
        <w:t>鸡舍内臭气平均浓度约为90（无量纲），通过使用优质饲料、合理设计鸡舍、通风系统、干清粪工艺、喷洒除臭剂等措施情况下，能将臭气浓度下降至30（无量纲）以下。</w:t>
      </w:r>
    </w:p>
    <w:p w14:paraId="522C886E">
      <w:pPr>
        <w:autoSpaceDE w:val="0"/>
        <w:autoSpaceDN w:val="0"/>
        <w:adjustRightInd w:val="0"/>
        <w:jc w:val="center"/>
        <w:rPr>
          <w:b/>
          <w:color w:val="auto"/>
          <w:szCs w:val="21"/>
          <w:highlight w:val="yellow"/>
        </w:rPr>
      </w:pPr>
      <w:r>
        <w:rPr>
          <w:b/>
          <w:color w:val="auto"/>
          <w:szCs w:val="21"/>
        </w:rPr>
        <w:t>表</w:t>
      </w:r>
      <w:r>
        <w:rPr>
          <w:rFonts w:hint="eastAsia"/>
          <w:b/>
          <w:color w:val="auto"/>
          <w:szCs w:val="21"/>
          <w:lang w:val="en-US" w:eastAsia="zh-CN"/>
        </w:rPr>
        <w:t>3.4-7</w:t>
      </w:r>
      <w:r>
        <w:rPr>
          <w:rFonts w:hint="eastAsia"/>
          <w:b/>
          <w:color w:val="auto"/>
          <w:szCs w:val="21"/>
        </w:rPr>
        <w:t xml:space="preserve"> </w:t>
      </w:r>
      <w:r>
        <w:rPr>
          <w:b/>
          <w:color w:val="auto"/>
          <w:szCs w:val="21"/>
        </w:rPr>
        <w:t xml:space="preserve">   本项目鸡舍恶臭产生及排放情况一览表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177"/>
        <w:gridCol w:w="1274"/>
        <w:gridCol w:w="1517"/>
        <w:gridCol w:w="734"/>
        <w:gridCol w:w="1349"/>
        <w:gridCol w:w="1710"/>
      </w:tblGrid>
      <w:tr w14:paraId="262B732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4" w:type="dxa"/>
            <w:tcBorders>
              <w:tl2br w:val="nil"/>
              <w:tr2bl w:val="nil"/>
            </w:tcBorders>
            <w:vAlign w:val="center"/>
          </w:tcPr>
          <w:p w14:paraId="442C4D82">
            <w:pPr>
              <w:autoSpaceDE w:val="0"/>
              <w:autoSpaceDN w:val="0"/>
              <w:adjustRightInd w:val="0"/>
              <w:jc w:val="center"/>
              <w:rPr>
                <w:b/>
                <w:color w:val="auto"/>
                <w:szCs w:val="21"/>
              </w:rPr>
            </w:pPr>
            <w:r>
              <w:rPr>
                <w:b/>
                <w:color w:val="auto"/>
                <w:szCs w:val="21"/>
              </w:rPr>
              <w:t>位置</w:t>
            </w:r>
          </w:p>
        </w:tc>
        <w:tc>
          <w:tcPr>
            <w:tcW w:w="1177" w:type="dxa"/>
            <w:tcBorders>
              <w:tl2br w:val="nil"/>
              <w:tr2bl w:val="nil"/>
            </w:tcBorders>
            <w:vAlign w:val="center"/>
          </w:tcPr>
          <w:p w14:paraId="2856402D">
            <w:pPr>
              <w:autoSpaceDE w:val="0"/>
              <w:autoSpaceDN w:val="0"/>
              <w:adjustRightInd w:val="0"/>
              <w:jc w:val="center"/>
              <w:rPr>
                <w:b/>
                <w:color w:val="auto"/>
                <w:szCs w:val="21"/>
              </w:rPr>
            </w:pPr>
            <w:r>
              <w:rPr>
                <w:b/>
                <w:color w:val="auto"/>
                <w:szCs w:val="21"/>
              </w:rPr>
              <w:t>污染物</w:t>
            </w:r>
          </w:p>
          <w:p w14:paraId="58D2C539">
            <w:pPr>
              <w:autoSpaceDE w:val="0"/>
              <w:autoSpaceDN w:val="0"/>
              <w:adjustRightInd w:val="0"/>
              <w:jc w:val="center"/>
              <w:rPr>
                <w:b/>
                <w:color w:val="auto"/>
                <w:szCs w:val="21"/>
              </w:rPr>
            </w:pPr>
            <w:r>
              <w:rPr>
                <w:b/>
                <w:color w:val="auto"/>
                <w:szCs w:val="21"/>
              </w:rPr>
              <w:t>名称</w:t>
            </w:r>
          </w:p>
        </w:tc>
        <w:tc>
          <w:tcPr>
            <w:tcW w:w="1274" w:type="dxa"/>
            <w:tcBorders>
              <w:tl2br w:val="nil"/>
              <w:tr2bl w:val="nil"/>
            </w:tcBorders>
            <w:vAlign w:val="center"/>
          </w:tcPr>
          <w:p w14:paraId="5115E09E">
            <w:pPr>
              <w:autoSpaceDE w:val="0"/>
              <w:autoSpaceDN w:val="0"/>
              <w:adjustRightInd w:val="0"/>
              <w:jc w:val="center"/>
              <w:rPr>
                <w:b/>
                <w:color w:val="auto"/>
                <w:szCs w:val="21"/>
              </w:rPr>
            </w:pPr>
            <w:r>
              <w:rPr>
                <w:b/>
                <w:color w:val="auto"/>
                <w:szCs w:val="21"/>
              </w:rPr>
              <w:t>产生速率（kg/h）</w:t>
            </w:r>
          </w:p>
        </w:tc>
        <w:tc>
          <w:tcPr>
            <w:tcW w:w="1517" w:type="dxa"/>
            <w:tcBorders>
              <w:tl2br w:val="nil"/>
              <w:tr2bl w:val="nil"/>
            </w:tcBorders>
            <w:vAlign w:val="center"/>
          </w:tcPr>
          <w:p w14:paraId="57C81D98">
            <w:pPr>
              <w:autoSpaceDE w:val="0"/>
              <w:autoSpaceDN w:val="0"/>
              <w:adjustRightInd w:val="0"/>
              <w:jc w:val="center"/>
              <w:rPr>
                <w:b/>
                <w:color w:val="auto"/>
                <w:szCs w:val="21"/>
              </w:rPr>
            </w:pPr>
            <w:r>
              <w:rPr>
                <w:b/>
                <w:color w:val="auto"/>
                <w:szCs w:val="21"/>
              </w:rPr>
              <w:t>年产生量（t/a）</w:t>
            </w:r>
          </w:p>
        </w:tc>
        <w:tc>
          <w:tcPr>
            <w:tcW w:w="734" w:type="dxa"/>
            <w:tcBorders>
              <w:tl2br w:val="nil"/>
              <w:tr2bl w:val="nil"/>
            </w:tcBorders>
            <w:vAlign w:val="center"/>
          </w:tcPr>
          <w:p w14:paraId="18567E38">
            <w:pPr>
              <w:autoSpaceDE w:val="0"/>
              <w:autoSpaceDN w:val="0"/>
              <w:adjustRightInd w:val="0"/>
              <w:jc w:val="center"/>
              <w:rPr>
                <w:b/>
                <w:color w:val="auto"/>
                <w:szCs w:val="21"/>
              </w:rPr>
            </w:pPr>
            <w:r>
              <w:rPr>
                <w:b/>
                <w:color w:val="auto"/>
                <w:szCs w:val="21"/>
              </w:rPr>
              <w:t>抑臭</w:t>
            </w:r>
          </w:p>
          <w:p w14:paraId="36D994E3">
            <w:pPr>
              <w:autoSpaceDE w:val="0"/>
              <w:autoSpaceDN w:val="0"/>
              <w:adjustRightInd w:val="0"/>
              <w:jc w:val="center"/>
              <w:rPr>
                <w:b/>
                <w:color w:val="auto"/>
                <w:szCs w:val="21"/>
              </w:rPr>
            </w:pPr>
            <w:r>
              <w:rPr>
                <w:b/>
                <w:color w:val="auto"/>
                <w:szCs w:val="21"/>
              </w:rPr>
              <w:t>效率</w:t>
            </w:r>
          </w:p>
        </w:tc>
        <w:tc>
          <w:tcPr>
            <w:tcW w:w="1349" w:type="dxa"/>
            <w:tcBorders>
              <w:tl2br w:val="nil"/>
              <w:tr2bl w:val="nil"/>
            </w:tcBorders>
            <w:vAlign w:val="center"/>
          </w:tcPr>
          <w:p w14:paraId="45D762B9">
            <w:pPr>
              <w:autoSpaceDE w:val="0"/>
              <w:autoSpaceDN w:val="0"/>
              <w:adjustRightInd w:val="0"/>
              <w:jc w:val="center"/>
              <w:rPr>
                <w:b/>
                <w:color w:val="auto"/>
                <w:szCs w:val="21"/>
              </w:rPr>
            </w:pPr>
            <w:r>
              <w:rPr>
                <w:b/>
                <w:color w:val="auto"/>
                <w:szCs w:val="21"/>
              </w:rPr>
              <w:t>排放速率（kg/h）</w:t>
            </w:r>
          </w:p>
        </w:tc>
        <w:tc>
          <w:tcPr>
            <w:tcW w:w="1710" w:type="dxa"/>
            <w:tcBorders>
              <w:tl2br w:val="nil"/>
              <w:tr2bl w:val="nil"/>
            </w:tcBorders>
            <w:vAlign w:val="center"/>
          </w:tcPr>
          <w:p w14:paraId="07ACD43B">
            <w:pPr>
              <w:autoSpaceDE w:val="0"/>
              <w:autoSpaceDN w:val="0"/>
              <w:adjustRightInd w:val="0"/>
              <w:jc w:val="center"/>
              <w:rPr>
                <w:b/>
                <w:color w:val="auto"/>
                <w:szCs w:val="21"/>
              </w:rPr>
            </w:pPr>
            <w:r>
              <w:rPr>
                <w:b/>
                <w:color w:val="auto"/>
                <w:szCs w:val="21"/>
              </w:rPr>
              <w:t>年排放量（t/a）</w:t>
            </w:r>
          </w:p>
        </w:tc>
      </w:tr>
      <w:tr w14:paraId="37B2AB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4" w:type="dxa"/>
            <w:vMerge w:val="restart"/>
            <w:tcBorders>
              <w:tl2br w:val="nil"/>
              <w:tr2bl w:val="nil"/>
            </w:tcBorders>
            <w:vAlign w:val="center"/>
          </w:tcPr>
          <w:p w14:paraId="3662AB35">
            <w:pPr>
              <w:autoSpaceDE w:val="0"/>
              <w:autoSpaceDN w:val="0"/>
              <w:adjustRightInd w:val="0"/>
              <w:jc w:val="center"/>
              <w:rPr>
                <w:b/>
                <w:bCs/>
                <w:color w:val="auto"/>
                <w:szCs w:val="21"/>
              </w:rPr>
            </w:pPr>
            <w:r>
              <w:rPr>
                <w:rFonts w:hint="eastAsia"/>
                <w:b/>
                <w:bCs/>
                <w:color w:val="auto"/>
                <w:szCs w:val="21"/>
              </w:rPr>
              <w:t>鸡舍</w:t>
            </w:r>
          </w:p>
        </w:tc>
        <w:tc>
          <w:tcPr>
            <w:tcW w:w="1177" w:type="dxa"/>
            <w:tcBorders>
              <w:tl2br w:val="nil"/>
              <w:tr2bl w:val="nil"/>
            </w:tcBorders>
            <w:vAlign w:val="center"/>
          </w:tcPr>
          <w:p w14:paraId="784C9901">
            <w:pPr>
              <w:autoSpaceDE w:val="0"/>
              <w:autoSpaceDN w:val="0"/>
              <w:adjustRightInd w:val="0"/>
              <w:jc w:val="center"/>
              <w:rPr>
                <w:b/>
                <w:bCs/>
                <w:color w:val="auto"/>
                <w:szCs w:val="21"/>
              </w:rPr>
            </w:pPr>
            <w:r>
              <w:rPr>
                <w:b/>
                <w:bCs/>
                <w:color w:val="auto"/>
                <w:szCs w:val="21"/>
              </w:rPr>
              <w:t>NH</w:t>
            </w:r>
            <w:r>
              <w:rPr>
                <w:b/>
                <w:bCs/>
                <w:color w:val="auto"/>
                <w:szCs w:val="21"/>
                <w:vertAlign w:val="subscript"/>
              </w:rPr>
              <w:t>3</w:t>
            </w:r>
          </w:p>
        </w:tc>
        <w:tc>
          <w:tcPr>
            <w:tcW w:w="1274" w:type="dxa"/>
            <w:tcBorders>
              <w:tl2br w:val="nil"/>
              <w:tr2bl w:val="nil"/>
            </w:tcBorders>
            <w:vAlign w:val="center"/>
          </w:tcPr>
          <w:p w14:paraId="417986B3">
            <w:pPr>
              <w:autoSpaceDE w:val="0"/>
              <w:autoSpaceDN w:val="0"/>
              <w:adjustRightInd w:val="0"/>
              <w:jc w:val="center"/>
              <w:rPr>
                <w:color w:val="auto"/>
                <w:szCs w:val="21"/>
              </w:rPr>
            </w:pPr>
            <w:r>
              <w:rPr>
                <w:color w:val="auto"/>
                <w:szCs w:val="21"/>
              </w:rPr>
              <w:t>0.025</w:t>
            </w:r>
          </w:p>
        </w:tc>
        <w:tc>
          <w:tcPr>
            <w:tcW w:w="1517" w:type="dxa"/>
            <w:tcBorders>
              <w:tl2br w:val="nil"/>
              <w:tr2bl w:val="nil"/>
            </w:tcBorders>
            <w:vAlign w:val="center"/>
          </w:tcPr>
          <w:p w14:paraId="5E71A43D">
            <w:pPr>
              <w:autoSpaceDE w:val="0"/>
              <w:autoSpaceDN w:val="0"/>
              <w:adjustRightInd w:val="0"/>
              <w:jc w:val="center"/>
              <w:rPr>
                <w:color w:val="auto"/>
                <w:szCs w:val="21"/>
              </w:rPr>
            </w:pPr>
            <w:r>
              <w:rPr>
                <w:rFonts w:hint="eastAsia"/>
                <w:color w:val="auto"/>
                <w:szCs w:val="21"/>
              </w:rPr>
              <w:t>0.219</w:t>
            </w:r>
          </w:p>
        </w:tc>
        <w:tc>
          <w:tcPr>
            <w:tcW w:w="734" w:type="dxa"/>
            <w:vMerge w:val="restart"/>
            <w:tcBorders>
              <w:tl2br w:val="nil"/>
              <w:tr2bl w:val="nil"/>
            </w:tcBorders>
            <w:vAlign w:val="center"/>
          </w:tcPr>
          <w:p w14:paraId="08C50FF9">
            <w:pPr>
              <w:autoSpaceDE w:val="0"/>
              <w:autoSpaceDN w:val="0"/>
              <w:adjustRightInd w:val="0"/>
              <w:jc w:val="center"/>
              <w:rPr>
                <w:rFonts w:hint="default" w:eastAsia="宋体"/>
                <w:color w:val="auto"/>
                <w:szCs w:val="21"/>
                <w:lang w:val="en-US" w:eastAsia="zh-CN"/>
              </w:rPr>
            </w:pPr>
            <w:r>
              <w:rPr>
                <w:rFonts w:hint="eastAsia"/>
                <w:color w:val="auto"/>
                <w:szCs w:val="21"/>
                <w:lang w:val="en-US" w:eastAsia="zh-CN"/>
              </w:rPr>
              <w:t>80%</w:t>
            </w:r>
          </w:p>
        </w:tc>
        <w:tc>
          <w:tcPr>
            <w:tcW w:w="1349" w:type="dxa"/>
            <w:tcBorders>
              <w:tl2br w:val="nil"/>
              <w:tr2bl w:val="nil"/>
            </w:tcBorders>
            <w:vAlign w:val="center"/>
          </w:tcPr>
          <w:p w14:paraId="6251676D">
            <w:pPr>
              <w:widowControl/>
              <w:jc w:val="center"/>
              <w:textAlignment w:val="center"/>
              <w:rPr>
                <w:color w:val="auto"/>
                <w:szCs w:val="21"/>
              </w:rPr>
            </w:pPr>
            <w:r>
              <w:rPr>
                <w:color w:val="auto"/>
                <w:szCs w:val="21"/>
              </w:rPr>
              <w:t>0.005</w:t>
            </w:r>
          </w:p>
        </w:tc>
        <w:tc>
          <w:tcPr>
            <w:tcW w:w="1710" w:type="dxa"/>
            <w:tcBorders>
              <w:tl2br w:val="nil"/>
              <w:tr2bl w:val="nil"/>
            </w:tcBorders>
            <w:vAlign w:val="center"/>
          </w:tcPr>
          <w:p w14:paraId="10704CAB">
            <w:pPr>
              <w:widowControl/>
              <w:jc w:val="center"/>
              <w:textAlignment w:val="center"/>
              <w:rPr>
                <w:color w:val="auto"/>
                <w:szCs w:val="21"/>
              </w:rPr>
            </w:pPr>
            <w:r>
              <w:rPr>
                <w:rFonts w:hint="eastAsia"/>
                <w:color w:val="auto"/>
                <w:szCs w:val="21"/>
              </w:rPr>
              <w:t>0.0438</w:t>
            </w:r>
          </w:p>
        </w:tc>
      </w:tr>
      <w:tr w14:paraId="152EE54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4" w:type="dxa"/>
            <w:vMerge w:val="continue"/>
            <w:tcBorders>
              <w:tl2br w:val="nil"/>
              <w:tr2bl w:val="nil"/>
            </w:tcBorders>
            <w:vAlign w:val="center"/>
          </w:tcPr>
          <w:p w14:paraId="37B4C267">
            <w:pPr>
              <w:autoSpaceDE w:val="0"/>
              <w:autoSpaceDN w:val="0"/>
              <w:adjustRightInd w:val="0"/>
              <w:jc w:val="center"/>
              <w:rPr>
                <w:b/>
                <w:bCs/>
                <w:color w:val="auto"/>
                <w:szCs w:val="21"/>
              </w:rPr>
            </w:pPr>
          </w:p>
        </w:tc>
        <w:tc>
          <w:tcPr>
            <w:tcW w:w="1177" w:type="dxa"/>
            <w:tcBorders>
              <w:tl2br w:val="nil"/>
              <w:tr2bl w:val="nil"/>
            </w:tcBorders>
            <w:vAlign w:val="center"/>
          </w:tcPr>
          <w:p w14:paraId="295B9088">
            <w:pPr>
              <w:autoSpaceDE w:val="0"/>
              <w:autoSpaceDN w:val="0"/>
              <w:adjustRightInd w:val="0"/>
              <w:jc w:val="center"/>
              <w:rPr>
                <w:b/>
                <w:bCs/>
                <w:color w:val="auto"/>
                <w:szCs w:val="21"/>
              </w:rPr>
            </w:pPr>
            <w:r>
              <w:rPr>
                <w:b/>
                <w:bCs/>
                <w:color w:val="auto"/>
                <w:szCs w:val="21"/>
              </w:rPr>
              <w:t>H</w:t>
            </w:r>
            <w:r>
              <w:rPr>
                <w:b/>
                <w:bCs/>
                <w:color w:val="auto"/>
                <w:szCs w:val="21"/>
                <w:vertAlign w:val="subscript"/>
              </w:rPr>
              <w:t>2</w:t>
            </w:r>
            <w:r>
              <w:rPr>
                <w:b/>
                <w:bCs/>
                <w:color w:val="auto"/>
                <w:szCs w:val="21"/>
              </w:rPr>
              <w:t>S</w:t>
            </w:r>
          </w:p>
        </w:tc>
        <w:tc>
          <w:tcPr>
            <w:tcW w:w="1274" w:type="dxa"/>
            <w:tcBorders>
              <w:tl2br w:val="nil"/>
              <w:tr2bl w:val="nil"/>
            </w:tcBorders>
            <w:vAlign w:val="center"/>
          </w:tcPr>
          <w:p w14:paraId="35E0BF73">
            <w:pPr>
              <w:autoSpaceDE w:val="0"/>
              <w:autoSpaceDN w:val="0"/>
              <w:adjustRightInd w:val="0"/>
              <w:jc w:val="center"/>
              <w:rPr>
                <w:color w:val="auto"/>
                <w:szCs w:val="21"/>
              </w:rPr>
            </w:pPr>
            <w:r>
              <w:rPr>
                <w:rFonts w:hint="eastAsia"/>
                <w:color w:val="auto"/>
                <w:szCs w:val="21"/>
              </w:rPr>
              <w:t>0.00125</w:t>
            </w:r>
          </w:p>
        </w:tc>
        <w:tc>
          <w:tcPr>
            <w:tcW w:w="1517" w:type="dxa"/>
            <w:tcBorders>
              <w:tl2br w:val="nil"/>
              <w:tr2bl w:val="nil"/>
            </w:tcBorders>
            <w:vAlign w:val="center"/>
          </w:tcPr>
          <w:p w14:paraId="20E57671">
            <w:pPr>
              <w:autoSpaceDE w:val="0"/>
              <w:autoSpaceDN w:val="0"/>
              <w:adjustRightInd w:val="0"/>
              <w:jc w:val="center"/>
              <w:rPr>
                <w:color w:val="auto"/>
                <w:szCs w:val="21"/>
              </w:rPr>
            </w:pPr>
            <w:r>
              <w:rPr>
                <w:color w:val="auto"/>
                <w:szCs w:val="21"/>
              </w:rPr>
              <w:t>0.01</w:t>
            </w:r>
            <w:r>
              <w:rPr>
                <w:rFonts w:hint="eastAsia"/>
                <w:color w:val="auto"/>
                <w:szCs w:val="21"/>
              </w:rPr>
              <w:t>1</w:t>
            </w:r>
          </w:p>
        </w:tc>
        <w:tc>
          <w:tcPr>
            <w:tcW w:w="734" w:type="dxa"/>
            <w:vMerge w:val="continue"/>
            <w:tcBorders>
              <w:tl2br w:val="nil"/>
              <w:tr2bl w:val="nil"/>
            </w:tcBorders>
            <w:vAlign w:val="center"/>
          </w:tcPr>
          <w:p w14:paraId="65E36D45">
            <w:pPr>
              <w:autoSpaceDE w:val="0"/>
              <w:autoSpaceDN w:val="0"/>
              <w:adjustRightInd w:val="0"/>
              <w:jc w:val="center"/>
              <w:rPr>
                <w:color w:val="auto"/>
                <w:szCs w:val="21"/>
              </w:rPr>
            </w:pPr>
          </w:p>
        </w:tc>
        <w:tc>
          <w:tcPr>
            <w:tcW w:w="1349" w:type="dxa"/>
            <w:tcBorders>
              <w:tl2br w:val="nil"/>
              <w:tr2bl w:val="nil"/>
            </w:tcBorders>
            <w:vAlign w:val="center"/>
          </w:tcPr>
          <w:p w14:paraId="48D46C42">
            <w:pPr>
              <w:widowControl/>
              <w:jc w:val="center"/>
              <w:textAlignment w:val="center"/>
              <w:rPr>
                <w:color w:val="auto"/>
                <w:szCs w:val="21"/>
              </w:rPr>
            </w:pPr>
            <w:r>
              <w:rPr>
                <w:color w:val="auto"/>
                <w:szCs w:val="21"/>
              </w:rPr>
              <w:t>0.00025</w:t>
            </w:r>
          </w:p>
        </w:tc>
        <w:tc>
          <w:tcPr>
            <w:tcW w:w="1710" w:type="dxa"/>
            <w:tcBorders>
              <w:tl2br w:val="nil"/>
              <w:tr2bl w:val="nil"/>
            </w:tcBorders>
            <w:vAlign w:val="center"/>
          </w:tcPr>
          <w:p w14:paraId="3289DE6D">
            <w:pPr>
              <w:widowControl/>
              <w:jc w:val="center"/>
              <w:textAlignment w:val="center"/>
              <w:rPr>
                <w:rFonts w:hint="eastAsia" w:eastAsia="宋体"/>
                <w:color w:val="auto"/>
                <w:szCs w:val="21"/>
                <w:lang w:eastAsia="zh-CN"/>
              </w:rPr>
            </w:pPr>
            <w:r>
              <w:rPr>
                <w:color w:val="auto"/>
                <w:szCs w:val="21"/>
              </w:rPr>
              <w:t>0.002</w:t>
            </w:r>
            <w:r>
              <w:rPr>
                <w:rFonts w:hint="eastAsia"/>
                <w:color w:val="auto"/>
                <w:szCs w:val="21"/>
                <w:lang w:val="en-US" w:eastAsia="zh-CN"/>
              </w:rPr>
              <w:t>2</w:t>
            </w:r>
          </w:p>
        </w:tc>
      </w:tr>
      <w:tr w14:paraId="1E44B6B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4" w:type="dxa"/>
            <w:vMerge w:val="continue"/>
            <w:tcBorders>
              <w:tl2br w:val="nil"/>
              <w:tr2bl w:val="nil"/>
            </w:tcBorders>
            <w:vAlign w:val="center"/>
          </w:tcPr>
          <w:p w14:paraId="4992C4FD">
            <w:pPr>
              <w:autoSpaceDE w:val="0"/>
              <w:autoSpaceDN w:val="0"/>
              <w:adjustRightInd w:val="0"/>
              <w:jc w:val="center"/>
              <w:rPr>
                <w:b/>
                <w:bCs/>
                <w:color w:val="auto"/>
                <w:szCs w:val="21"/>
              </w:rPr>
            </w:pPr>
          </w:p>
        </w:tc>
        <w:tc>
          <w:tcPr>
            <w:tcW w:w="1177" w:type="dxa"/>
            <w:tcBorders>
              <w:tl2br w:val="nil"/>
              <w:tr2bl w:val="nil"/>
            </w:tcBorders>
            <w:vAlign w:val="center"/>
          </w:tcPr>
          <w:p w14:paraId="3947CD3E">
            <w:pPr>
              <w:autoSpaceDE w:val="0"/>
              <w:autoSpaceDN w:val="0"/>
              <w:adjustRightInd w:val="0"/>
              <w:jc w:val="center"/>
              <w:rPr>
                <w:b/>
                <w:bCs/>
                <w:color w:val="auto"/>
                <w:szCs w:val="21"/>
              </w:rPr>
            </w:pPr>
            <w:r>
              <w:rPr>
                <w:b/>
                <w:bCs/>
                <w:color w:val="auto"/>
                <w:szCs w:val="21"/>
              </w:rPr>
              <w:t>臭气浓度</w:t>
            </w:r>
          </w:p>
        </w:tc>
        <w:tc>
          <w:tcPr>
            <w:tcW w:w="1274" w:type="dxa"/>
            <w:tcBorders>
              <w:tl2br w:val="nil"/>
              <w:tr2bl w:val="nil"/>
            </w:tcBorders>
            <w:vAlign w:val="center"/>
          </w:tcPr>
          <w:p w14:paraId="26D23E7C">
            <w:pPr>
              <w:autoSpaceDE w:val="0"/>
              <w:autoSpaceDN w:val="0"/>
              <w:adjustRightInd w:val="0"/>
              <w:jc w:val="center"/>
              <w:rPr>
                <w:color w:val="auto"/>
                <w:szCs w:val="21"/>
              </w:rPr>
            </w:pPr>
            <w:r>
              <w:rPr>
                <w:color w:val="auto"/>
                <w:szCs w:val="21"/>
              </w:rPr>
              <w:t>/</w:t>
            </w:r>
          </w:p>
        </w:tc>
        <w:tc>
          <w:tcPr>
            <w:tcW w:w="1517" w:type="dxa"/>
            <w:tcBorders>
              <w:tl2br w:val="nil"/>
              <w:tr2bl w:val="nil"/>
            </w:tcBorders>
            <w:vAlign w:val="center"/>
          </w:tcPr>
          <w:p w14:paraId="3741D1D3">
            <w:pPr>
              <w:autoSpaceDE w:val="0"/>
              <w:autoSpaceDN w:val="0"/>
              <w:adjustRightInd w:val="0"/>
              <w:jc w:val="center"/>
              <w:rPr>
                <w:color w:val="auto"/>
                <w:szCs w:val="21"/>
              </w:rPr>
            </w:pPr>
            <w:r>
              <w:rPr>
                <w:color w:val="auto"/>
                <w:szCs w:val="21"/>
              </w:rPr>
              <w:t>90（无量纲）</w:t>
            </w:r>
          </w:p>
        </w:tc>
        <w:tc>
          <w:tcPr>
            <w:tcW w:w="734" w:type="dxa"/>
            <w:tcBorders>
              <w:tl2br w:val="nil"/>
              <w:tr2bl w:val="nil"/>
            </w:tcBorders>
            <w:vAlign w:val="center"/>
          </w:tcPr>
          <w:p w14:paraId="1076767D">
            <w:pPr>
              <w:autoSpaceDE w:val="0"/>
              <w:autoSpaceDN w:val="0"/>
              <w:adjustRightInd w:val="0"/>
              <w:jc w:val="center"/>
              <w:rPr>
                <w:rFonts w:hint="default" w:eastAsia="宋体"/>
                <w:color w:val="auto"/>
                <w:szCs w:val="21"/>
                <w:lang w:val="en-US" w:eastAsia="zh-CN"/>
              </w:rPr>
            </w:pPr>
            <w:r>
              <w:rPr>
                <w:rFonts w:hint="eastAsia"/>
                <w:color w:val="auto"/>
                <w:szCs w:val="21"/>
                <w:lang w:val="en-US" w:eastAsia="zh-CN"/>
              </w:rPr>
              <w:t>/</w:t>
            </w:r>
          </w:p>
        </w:tc>
        <w:tc>
          <w:tcPr>
            <w:tcW w:w="1349" w:type="dxa"/>
            <w:tcBorders>
              <w:tl2br w:val="nil"/>
              <w:tr2bl w:val="nil"/>
            </w:tcBorders>
            <w:vAlign w:val="center"/>
          </w:tcPr>
          <w:p w14:paraId="2750E0DB">
            <w:pPr>
              <w:widowControl/>
              <w:jc w:val="center"/>
              <w:textAlignment w:val="center"/>
              <w:rPr>
                <w:color w:val="auto"/>
                <w:szCs w:val="21"/>
              </w:rPr>
            </w:pPr>
            <w:r>
              <w:rPr>
                <w:color w:val="auto"/>
                <w:szCs w:val="21"/>
              </w:rPr>
              <w:t>/</w:t>
            </w:r>
          </w:p>
        </w:tc>
        <w:tc>
          <w:tcPr>
            <w:tcW w:w="1710" w:type="dxa"/>
            <w:tcBorders>
              <w:tl2br w:val="nil"/>
              <w:tr2bl w:val="nil"/>
            </w:tcBorders>
            <w:vAlign w:val="center"/>
          </w:tcPr>
          <w:p w14:paraId="3A9451C2">
            <w:pPr>
              <w:widowControl/>
              <w:jc w:val="center"/>
              <w:textAlignment w:val="center"/>
              <w:rPr>
                <w:color w:val="auto"/>
                <w:szCs w:val="21"/>
              </w:rPr>
            </w:pPr>
            <w:r>
              <w:rPr>
                <w:color w:val="auto"/>
                <w:szCs w:val="21"/>
              </w:rPr>
              <w:t>＜30（无量纲）</w:t>
            </w:r>
          </w:p>
        </w:tc>
      </w:tr>
    </w:tbl>
    <w:p w14:paraId="48CCCEB8">
      <w:pPr>
        <w:rPr>
          <w:color w:val="auto"/>
        </w:rPr>
      </w:pPr>
      <w:r>
        <w:rPr>
          <w:b/>
          <w:color w:val="auto"/>
          <w:szCs w:val="18"/>
        </w:rPr>
        <w:t>注：污染物排放速率的计算是以在栏数量最大情况下进行核算的。</w:t>
      </w:r>
    </w:p>
    <w:p w14:paraId="5FB900DC">
      <w:pPr>
        <w:tabs>
          <w:tab w:val="left" w:pos="7740"/>
          <w:tab w:val="left" w:pos="7920"/>
        </w:tabs>
        <w:spacing w:line="360" w:lineRule="auto"/>
        <w:ind w:firstLine="412" w:firstLineChars="171"/>
        <w:rPr>
          <w:rFonts w:hint="eastAsia" w:eastAsia="宋体"/>
          <w:b/>
          <w:bCs/>
          <w:color w:val="auto"/>
          <w:sz w:val="24"/>
          <w:lang w:eastAsia="zh-CN"/>
        </w:rPr>
      </w:pPr>
      <w:r>
        <w:rPr>
          <w:rFonts w:hint="eastAsia"/>
          <w:b/>
          <w:bCs/>
          <w:color w:val="auto"/>
          <w:sz w:val="24"/>
          <w:lang w:eastAsia="zh-CN"/>
        </w:rPr>
        <w:t>（</w:t>
      </w:r>
      <w:r>
        <w:rPr>
          <w:rFonts w:hint="eastAsia"/>
          <w:b/>
          <w:bCs/>
          <w:color w:val="auto"/>
          <w:sz w:val="24"/>
          <w:lang w:val="en-US" w:eastAsia="zh-CN"/>
        </w:rPr>
        <w:t>2</w:t>
      </w:r>
      <w:r>
        <w:rPr>
          <w:rFonts w:hint="eastAsia"/>
          <w:b/>
          <w:bCs/>
          <w:color w:val="auto"/>
          <w:sz w:val="24"/>
          <w:lang w:eastAsia="zh-CN"/>
        </w:rPr>
        <w:t>）临时储粪场</w:t>
      </w:r>
    </w:p>
    <w:p w14:paraId="1AB1B197">
      <w:pPr>
        <w:autoSpaceDE w:val="0"/>
        <w:autoSpaceDN w:val="0"/>
        <w:adjustRightInd w:val="0"/>
        <w:spacing w:line="360" w:lineRule="auto"/>
        <w:ind w:firstLine="480" w:firstLineChars="200"/>
        <w:rPr>
          <w:color w:val="auto"/>
          <w:sz w:val="24"/>
        </w:rPr>
      </w:pPr>
      <w:r>
        <w:rPr>
          <w:color w:val="auto"/>
          <w:sz w:val="24"/>
        </w:rPr>
        <w:t>鸡舍产生的鸡粪采用干清粪工艺，日产日清，一般情况下厂区内不储存，由粪便运输车直接运至有机肥厂，极端气候条件下，不能及时清运时，暂存于封闭的</w:t>
      </w:r>
      <w:r>
        <w:rPr>
          <w:rFonts w:hint="eastAsia"/>
          <w:color w:val="auto"/>
          <w:sz w:val="24"/>
          <w:lang w:eastAsia="zh-CN"/>
        </w:rPr>
        <w:t>临时储粪场</w:t>
      </w:r>
      <w:r>
        <w:rPr>
          <w:color w:val="auto"/>
          <w:sz w:val="24"/>
        </w:rPr>
        <w:t>，</w:t>
      </w:r>
      <w:r>
        <w:rPr>
          <w:bCs/>
          <w:color w:val="auto"/>
          <w:spacing w:val="6"/>
          <w:sz w:val="24"/>
        </w:rPr>
        <w:t>用于极端天气（约50天/年，每天24h）临时存储一段时间的鸡粪及饲料残渣，储存时间较短发生频率较低，且无发酵过程。</w:t>
      </w:r>
      <w:r>
        <w:rPr>
          <w:color w:val="auto"/>
          <w:sz w:val="24"/>
        </w:rPr>
        <w:t>储存时间及储存量按最不利情况50天进行分析</w:t>
      </w:r>
      <w:r>
        <w:rPr>
          <w:rFonts w:hint="eastAsia"/>
          <w:color w:val="auto"/>
          <w:sz w:val="24"/>
          <w:lang w:eastAsia="zh-CN"/>
        </w:rPr>
        <w:t>；</w:t>
      </w:r>
      <w:r>
        <w:rPr>
          <w:color w:val="auto"/>
          <w:sz w:val="24"/>
        </w:rPr>
        <w:t>50天的粪便及饲料残渣产生量为</w:t>
      </w:r>
      <w:r>
        <w:rPr>
          <w:rFonts w:hint="eastAsia"/>
          <w:color w:val="auto"/>
          <w:sz w:val="24"/>
          <w:lang w:val="en-US" w:eastAsia="zh-CN"/>
        </w:rPr>
        <w:t>：100万</w:t>
      </w:r>
      <w:r>
        <w:rPr>
          <w:rFonts w:hint="default" w:ascii="Arial" w:hAnsi="Arial" w:cs="Arial"/>
          <w:color w:val="auto"/>
          <w:sz w:val="24"/>
          <w:lang w:val="en-US" w:eastAsia="zh-CN"/>
        </w:rPr>
        <w:t>×</w:t>
      </w:r>
      <w:r>
        <w:rPr>
          <w:rFonts w:hint="eastAsia"/>
          <w:color w:val="auto"/>
          <w:sz w:val="24"/>
          <w:lang w:val="en-US" w:eastAsia="zh-CN"/>
        </w:rPr>
        <w:t>0.13k</w:t>
      </w:r>
      <w:r>
        <w:rPr>
          <w:rFonts w:hint="default" w:ascii="Times New Roman" w:hAnsi="Times New Roman" w:eastAsia="宋体" w:cs="Times New Roman"/>
          <w:b w:val="0"/>
          <w:bCs w:val="0"/>
          <w:color w:val="auto"/>
          <w:sz w:val="24"/>
          <w:szCs w:val="24"/>
        </w:rPr>
        <w:t>g/d·只</w:t>
      </w:r>
      <w:r>
        <w:rPr>
          <w:rFonts w:hint="default" w:ascii="Arial" w:hAnsi="Arial" w:eastAsia="宋体" w:cs="Arial"/>
          <w:b w:val="0"/>
          <w:bCs w:val="0"/>
          <w:color w:val="auto"/>
          <w:sz w:val="24"/>
          <w:szCs w:val="24"/>
        </w:rPr>
        <w:t>×</w:t>
      </w:r>
      <w:r>
        <w:rPr>
          <w:rFonts w:hint="eastAsia" w:cs="Times New Roman"/>
          <w:b w:val="0"/>
          <w:bCs w:val="0"/>
          <w:color w:val="auto"/>
          <w:sz w:val="24"/>
          <w:szCs w:val="24"/>
          <w:lang w:val="en-US" w:eastAsia="zh-CN"/>
        </w:rPr>
        <w:t>50d</w:t>
      </w:r>
      <w:r>
        <w:rPr>
          <w:rFonts w:hint="default" w:ascii="Arial" w:hAnsi="Arial" w:cs="Arial"/>
          <w:b w:val="0"/>
          <w:bCs w:val="0"/>
          <w:color w:val="auto"/>
          <w:sz w:val="24"/>
          <w:szCs w:val="24"/>
          <w:lang w:val="en-US" w:eastAsia="zh-CN"/>
        </w:rPr>
        <w:t>×</w:t>
      </w:r>
      <w:r>
        <w:rPr>
          <w:rFonts w:hint="eastAsia" w:cs="Times New Roman"/>
          <w:b w:val="0"/>
          <w:bCs w:val="0"/>
          <w:color w:val="auto"/>
          <w:sz w:val="24"/>
          <w:szCs w:val="24"/>
          <w:lang w:val="en-US" w:eastAsia="zh-CN"/>
        </w:rPr>
        <w:t>10</w:t>
      </w:r>
      <w:r>
        <w:rPr>
          <w:rFonts w:hint="eastAsia" w:cs="Times New Roman"/>
          <w:b w:val="0"/>
          <w:bCs w:val="0"/>
          <w:color w:val="auto"/>
          <w:sz w:val="24"/>
          <w:szCs w:val="24"/>
          <w:vertAlign w:val="superscript"/>
          <w:lang w:val="en-US" w:eastAsia="zh-CN"/>
        </w:rPr>
        <w:t>-3</w:t>
      </w:r>
      <w:r>
        <w:rPr>
          <w:rFonts w:hint="eastAsia" w:cs="Times New Roman"/>
          <w:b w:val="0"/>
          <w:bCs w:val="0"/>
          <w:color w:val="auto"/>
          <w:sz w:val="24"/>
          <w:szCs w:val="24"/>
          <w:lang w:val="en-US" w:eastAsia="zh-CN"/>
        </w:rPr>
        <w:t>=</w:t>
      </w:r>
      <w:r>
        <w:rPr>
          <w:color w:val="auto"/>
          <w:sz w:val="24"/>
        </w:rPr>
        <w:t>6506t</w:t>
      </w:r>
      <w:r>
        <w:rPr>
          <w:rFonts w:hint="eastAsia"/>
          <w:color w:val="auto"/>
          <w:sz w:val="24"/>
          <w:lang w:eastAsia="zh-CN"/>
        </w:rPr>
        <w:t>；</w:t>
      </w:r>
      <w:r>
        <w:rPr>
          <w:color w:val="auto"/>
          <w:sz w:val="24"/>
        </w:rPr>
        <w:t>粪便中总氮含量为</w:t>
      </w:r>
      <w:r>
        <w:rPr>
          <w:rFonts w:hint="eastAsia"/>
          <w:color w:val="auto"/>
          <w:sz w:val="24"/>
          <w:lang w:eastAsia="zh-CN"/>
        </w:rPr>
        <w:t>：</w:t>
      </w:r>
      <w:r>
        <w:rPr>
          <w:rFonts w:hint="default" w:ascii="Times New Roman" w:hAnsi="Times New Roman" w:eastAsia="宋体" w:cs="Times New Roman"/>
          <w:b w:val="0"/>
          <w:bCs w:val="0"/>
          <w:color w:val="auto"/>
          <w:sz w:val="24"/>
          <w:szCs w:val="24"/>
          <w:lang w:val="en-US" w:eastAsia="zh-CN"/>
        </w:rPr>
        <w:t>100万×1.2</w:t>
      </w:r>
      <w:r>
        <w:rPr>
          <w:rFonts w:hint="default" w:ascii="Times New Roman" w:hAnsi="Times New Roman" w:eastAsia="宋体" w:cs="Times New Roman"/>
          <w:b w:val="0"/>
          <w:bCs w:val="0"/>
          <w:color w:val="auto"/>
          <w:sz w:val="24"/>
          <w:szCs w:val="24"/>
        </w:rPr>
        <w:t>g/d·只</w:t>
      </w:r>
      <w:r>
        <w:rPr>
          <w:rFonts w:hint="default" w:ascii="Arial" w:hAnsi="Arial" w:eastAsia="宋体" w:cs="Arial"/>
          <w:b w:val="0"/>
          <w:bCs w:val="0"/>
          <w:color w:val="auto"/>
          <w:sz w:val="24"/>
          <w:szCs w:val="24"/>
          <w:lang w:val="en-US" w:eastAsia="zh-CN"/>
        </w:rPr>
        <w:t>×</w:t>
      </w:r>
      <w:r>
        <w:rPr>
          <w:rFonts w:hint="eastAsia" w:cs="Times New Roman"/>
          <w:b w:val="0"/>
          <w:bCs w:val="0"/>
          <w:color w:val="auto"/>
          <w:sz w:val="24"/>
          <w:szCs w:val="24"/>
          <w:lang w:val="en-US" w:eastAsia="zh-CN"/>
        </w:rPr>
        <w:t>50</w:t>
      </w:r>
      <w:r>
        <w:rPr>
          <w:rFonts w:hint="default" w:ascii="Arial" w:hAnsi="Arial" w:eastAsia="宋体" w:cs="Arial"/>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10</w:t>
      </w:r>
      <w:r>
        <w:rPr>
          <w:rFonts w:hint="default" w:ascii="Times New Roman" w:hAnsi="Times New Roman" w:eastAsia="宋体" w:cs="Times New Roman"/>
          <w:b w:val="0"/>
          <w:bCs w:val="0"/>
          <w:color w:val="auto"/>
          <w:sz w:val="24"/>
          <w:szCs w:val="24"/>
          <w:vertAlign w:val="superscript"/>
          <w:lang w:val="en-US" w:eastAsia="zh-CN"/>
        </w:rPr>
        <w:t>-6</w:t>
      </w:r>
      <w:r>
        <w:rPr>
          <w:rFonts w:hint="default" w:ascii="Times New Roman" w:hAnsi="Times New Roman" w:eastAsia="宋体" w:cs="Times New Roman"/>
          <w:b w:val="0"/>
          <w:bCs w:val="0"/>
          <w:color w:val="auto"/>
          <w:sz w:val="24"/>
          <w:szCs w:val="24"/>
          <w:lang w:val="en-US" w:eastAsia="zh-CN"/>
        </w:rPr>
        <w:t>=</w:t>
      </w:r>
      <w:r>
        <w:rPr>
          <w:rFonts w:hint="eastAsia" w:cs="Times New Roman"/>
          <w:b w:val="0"/>
          <w:bCs w:val="0"/>
          <w:color w:val="auto"/>
          <w:sz w:val="24"/>
          <w:szCs w:val="24"/>
          <w:lang w:val="en-US" w:eastAsia="zh-CN"/>
        </w:rPr>
        <w:t>60</w:t>
      </w:r>
      <w:r>
        <w:rPr>
          <w:rFonts w:hint="default" w:ascii="Times New Roman" w:hAnsi="Times New Roman" w:eastAsia="宋体" w:cs="Times New Roman"/>
          <w:b w:val="0"/>
          <w:bCs w:val="0"/>
          <w:color w:val="auto"/>
          <w:sz w:val="24"/>
          <w:szCs w:val="24"/>
        </w:rPr>
        <w:t>t</w:t>
      </w:r>
      <w:r>
        <w:rPr>
          <w:color w:val="auto"/>
          <w:sz w:val="24"/>
        </w:rPr>
        <w:t>。</w:t>
      </w:r>
    </w:p>
    <w:p w14:paraId="4D8B66B9">
      <w:pPr>
        <w:autoSpaceDE w:val="0"/>
        <w:autoSpaceDN w:val="0"/>
        <w:adjustRightInd w:val="0"/>
        <w:spacing w:line="360" w:lineRule="auto"/>
        <w:ind w:firstLine="480" w:firstLineChars="200"/>
        <w:rPr>
          <w:rFonts w:hint="eastAsia"/>
          <w:color w:val="auto"/>
          <w:sz w:val="24"/>
          <w:lang w:eastAsia="zh-CN"/>
        </w:rPr>
      </w:pPr>
      <w:r>
        <w:rPr>
          <w:color w:val="auto"/>
          <w:sz w:val="24"/>
        </w:rPr>
        <w:t>根据《畜禽场环境评价》（刘成国主编，中国标准出版社）和《第一次全国污染源普查 畜禽养殖业源产排污手册》（2009年2月，中国农业科学院农业环境与可持续发展研究所和环境保护部南京环境科学研究所编写）中的数据，转化为氨气的量预计为全氮量的</w:t>
      </w:r>
      <w:r>
        <w:rPr>
          <w:rFonts w:hint="eastAsia"/>
          <w:color w:val="auto"/>
          <w:sz w:val="24"/>
          <w:lang w:val="en-US" w:eastAsia="zh-CN"/>
        </w:rPr>
        <w:t>5</w:t>
      </w:r>
      <w:r>
        <w:rPr>
          <w:rFonts w:hint="default" w:ascii="Arial" w:hAnsi="Arial" w:cs="Arial"/>
          <w:color w:val="auto"/>
          <w:sz w:val="24"/>
          <w:lang w:val="en-US" w:eastAsia="zh-CN"/>
        </w:rPr>
        <w:t>‰</w:t>
      </w:r>
      <w:r>
        <w:rPr>
          <w:color w:val="auto"/>
          <w:sz w:val="24"/>
        </w:rPr>
        <w:t>，H</w:t>
      </w:r>
      <w:r>
        <w:rPr>
          <w:color w:val="auto"/>
          <w:sz w:val="24"/>
          <w:vertAlign w:val="subscript"/>
        </w:rPr>
        <w:t>2</w:t>
      </w:r>
      <w:r>
        <w:rPr>
          <w:color w:val="auto"/>
          <w:sz w:val="24"/>
        </w:rPr>
        <w:t>S含量约为NH</w:t>
      </w:r>
      <w:r>
        <w:rPr>
          <w:color w:val="auto"/>
          <w:sz w:val="24"/>
          <w:vertAlign w:val="subscript"/>
        </w:rPr>
        <w:t>3</w:t>
      </w:r>
      <w:r>
        <w:rPr>
          <w:color w:val="auto"/>
          <w:sz w:val="24"/>
        </w:rPr>
        <w:t>的5%</w:t>
      </w:r>
      <w:r>
        <w:rPr>
          <w:rFonts w:hint="eastAsia"/>
          <w:color w:val="auto"/>
          <w:sz w:val="24"/>
        </w:rPr>
        <w:t>。</w:t>
      </w:r>
      <w:r>
        <w:rPr>
          <w:color w:val="auto"/>
          <w:sz w:val="24"/>
        </w:rPr>
        <w:t>根据鸡舍恶臭分析可知，恶臭气体其中10%以无组织形式在鸡舍中排放，另外90%存在于鸡粪中，则鸡粪在</w:t>
      </w:r>
      <w:r>
        <w:rPr>
          <w:rFonts w:hint="eastAsia"/>
          <w:color w:val="auto"/>
          <w:sz w:val="24"/>
          <w:lang w:eastAsia="zh-CN"/>
        </w:rPr>
        <w:t>临时储粪场</w:t>
      </w:r>
      <w:r>
        <w:rPr>
          <w:color w:val="auto"/>
          <w:sz w:val="24"/>
        </w:rPr>
        <w:t>中储存</w:t>
      </w:r>
      <w:r>
        <w:rPr>
          <w:rFonts w:hint="eastAsia"/>
          <w:color w:val="auto"/>
          <w:sz w:val="24"/>
          <w:lang w:eastAsia="zh-CN"/>
        </w:rPr>
        <w:t>期间（</w:t>
      </w:r>
      <w:r>
        <w:rPr>
          <w:rFonts w:hint="eastAsia"/>
          <w:color w:val="auto"/>
          <w:sz w:val="24"/>
          <w:lang w:val="en-US" w:eastAsia="zh-CN"/>
        </w:rPr>
        <w:t>50d</w:t>
      </w:r>
      <w:r>
        <w:rPr>
          <w:rFonts w:hint="eastAsia"/>
          <w:color w:val="auto"/>
          <w:sz w:val="24"/>
          <w:lang w:eastAsia="zh-CN"/>
        </w:rPr>
        <w:t>）恶臭污染物产生量如下：</w:t>
      </w:r>
    </w:p>
    <w:p w14:paraId="23723DAA">
      <w:pPr>
        <w:autoSpaceDE w:val="0"/>
        <w:autoSpaceDN w:val="0"/>
        <w:adjustRightInd w:val="0"/>
        <w:spacing w:line="360" w:lineRule="auto"/>
        <w:ind w:firstLine="480" w:firstLineChars="200"/>
        <w:rPr>
          <w:rFonts w:hint="eastAsia"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rPr>
        <w:t>NH</w:t>
      </w:r>
      <w:r>
        <w:rPr>
          <w:rFonts w:hint="default" w:ascii="Times New Roman" w:hAnsi="Times New Roman" w:eastAsia="宋体" w:cs="Times New Roman"/>
          <w:b w:val="0"/>
          <w:bCs w:val="0"/>
          <w:color w:val="auto"/>
          <w:sz w:val="24"/>
          <w:szCs w:val="24"/>
          <w:vertAlign w:val="subscript"/>
        </w:rPr>
        <w:t>3</w:t>
      </w:r>
      <w:r>
        <w:rPr>
          <w:rFonts w:hint="default" w:ascii="Times New Roman" w:hAnsi="Times New Roman" w:eastAsia="宋体" w:cs="Times New Roman"/>
          <w:b w:val="0"/>
          <w:bCs w:val="0"/>
          <w:color w:val="auto"/>
          <w:sz w:val="24"/>
          <w:szCs w:val="24"/>
        </w:rPr>
        <w:t>产生量为</w:t>
      </w:r>
      <w:r>
        <w:rPr>
          <w:rFonts w:hint="default" w:ascii="Times New Roman" w:hAnsi="Times New Roman" w:eastAsia="宋体" w:cs="Times New Roman"/>
          <w:b w:val="0"/>
          <w:bCs w:val="0"/>
          <w:color w:val="auto"/>
          <w:sz w:val="24"/>
          <w:szCs w:val="24"/>
          <w:lang w:eastAsia="zh-CN"/>
        </w:rPr>
        <w:t>：</w:t>
      </w:r>
      <w:r>
        <w:rPr>
          <w:rFonts w:hint="eastAsia" w:cs="Times New Roman"/>
          <w:b w:val="0"/>
          <w:bCs w:val="0"/>
          <w:color w:val="auto"/>
          <w:sz w:val="24"/>
          <w:szCs w:val="24"/>
          <w:lang w:val="en-US" w:eastAsia="zh-CN"/>
        </w:rPr>
        <w:t>60t</w:t>
      </w:r>
      <w:r>
        <w:rPr>
          <w:rFonts w:hint="default" w:ascii="Times New Roman" w:hAnsi="Times New Roman" w:eastAsia="宋体" w:cs="Times New Roman"/>
          <w:b w:val="0"/>
          <w:bCs w:val="0"/>
          <w:color w:val="auto"/>
          <w:sz w:val="24"/>
          <w:szCs w:val="24"/>
        </w:rPr>
        <w:t>×</w:t>
      </w:r>
      <w:r>
        <w:rPr>
          <w:rFonts w:hint="eastAsia" w:cs="Times New Roman"/>
          <w:b w:val="0"/>
          <w:bCs w:val="0"/>
          <w:color w:val="auto"/>
          <w:sz w:val="24"/>
          <w:szCs w:val="24"/>
          <w:lang w:val="en-US" w:eastAsia="zh-CN"/>
        </w:rPr>
        <w:t>5</w:t>
      </w:r>
      <w:r>
        <w:rPr>
          <w:rFonts w:hint="default" w:ascii="Arial" w:hAnsi="Arial" w:cs="Arial"/>
          <w:b w:val="0"/>
          <w:bCs w:val="0"/>
          <w:color w:val="auto"/>
          <w:sz w:val="24"/>
          <w:szCs w:val="24"/>
          <w:lang w:val="en-US" w:eastAsia="zh-CN"/>
        </w:rPr>
        <w:t>‰×</w:t>
      </w:r>
      <w:r>
        <w:rPr>
          <w:rFonts w:hint="eastAsia" w:cs="Times New Roman"/>
          <w:b w:val="0"/>
          <w:bCs w:val="0"/>
          <w:color w:val="auto"/>
          <w:sz w:val="24"/>
          <w:szCs w:val="24"/>
          <w:lang w:val="en-US" w:eastAsia="zh-CN"/>
        </w:rPr>
        <w:t>90</w:t>
      </w:r>
      <w:r>
        <w:rPr>
          <w:rFonts w:hint="eastAsia" w:ascii="宋体" w:hAnsi="宋体" w:eastAsia="宋体" w:cs="宋体"/>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rPr>
        <w:t>0.2</w:t>
      </w:r>
      <w:r>
        <w:rPr>
          <w:rFonts w:hint="eastAsia" w:cs="Times New Roman"/>
          <w:b w:val="0"/>
          <w:bCs w:val="0"/>
          <w:color w:val="auto"/>
          <w:sz w:val="24"/>
          <w:szCs w:val="24"/>
          <w:lang w:val="en-US" w:eastAsia="zh-CN"/>
        </w:rPr>
        <w:t>7</w:t>
      </w:r>
      <w:r>
        <w:rPr>
          <w:rFonts w:hint="default" w:ascii="Times New Roman" w:hAnsi="Times New Roman" w:eastAsia="宋体" w:cs="Times New Roman"/>
          <w:b w:val="0"/>
          <w:bCs w:val="0"/>
          <w:color w:val="auto"/>
          <w:sz w:val="24"/>
          <w:szCs w:val="24"/>
        </w:rPr>
        <w:t>t/a（0.</w:t>
      </w:r>
      <w:r>
        <w:rPr>
          <w:rFonts w:hint="eastAsia"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rPr>
        <w:t>25kg/h）</w:t>
      </w:r>
      <w:r>
        <w:rPr>
          <w:rFonts w:hint="eastAsia" w:ascii="Times New Roman" w:hAnsi="Times New Roman" w:eastAsia="宋体" w:cs="Times New Roman"/>
          <w:b w:val="0"/>
          <w:bCs w:val="0"/>
          <w:color w:val="auto"/>
          <w:sz w:val="24"/>
          <w:szCs w:val="24"/>
          <w:lang w:eastAsia="zh-CN"/>
        </w:rPr>
        <w:t>；</w:t>
      </w:r>
    </w:p>
    <w:p w14:paraId="43AA339E">
      <w:pPr>
        <w:autoSpaceDE w:val="0"/>
        <w:autoSpaceDN w:val="0"/>
        <w:adjustRightInd w:val="0"/>
        <w:spacing w:line="360" w:lineRule="auto"/>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H</w:t>
      </w:r>
      <w:r>
        <w:rPr>
          <w:rFonts w:hint="default" w:ascii="Times New Roman" w:hAnsi="Times New Roman" w:eastAsia="宋体" w:cs="Times New Roman"/>
          <w:b w:val="0"/>
          <w:bCs w:val="0"/>
          <w:color w:val="auto"/>
          <w:sz w:val="24"/>
          <w:szCs w:val="24"/>
          <w:vertAlign w:val="subscript"/>
        </w:rPr>
        <w:t>2</w:t>
      </w:r>
      <w:r>
        <w:rPr>
          <w:rFonts w:hint="default" w:ascii="Times New Roman" w:hAnsi="Times New Roman" w:eastAsia="宋体" w:cs="Times New Roman"/>
          <w:b w:val="0"/>
          <w:bCs w:val="0"/>
          <w:color w:val="auto"/>
          <w:sz w:val="24"/>
          <w:szCs w:val="24"/>
        </w:rPr>
        <w:t>S产生量为</w:t>
      </w:r>
      <w:r>
        <w:rPr>
          <w:rFonts w:hint="eastAsia" w:ascii="Times New Roman" w:hAnsi="Times New Roman" w:eastAsia="宋体" w:cs="Times New Roman"/>
          <w:b w:val="0"/>
          <w:bCs w:val="0"/>
          <w:color w:val="auto"/>
          <w:sz w:val="24"/>
          <w:szCs w:val="24"/>
          <w:lang w:eastAsia="zh-CN"/>
        </w:rPr>
        <w:t>：</w:t>
      </w:r>
      <w:r>
        <w:rPr>
          <w:rFonts w:hint="eastAsia" w:cs="Times New Roman"/>
          <w:b w:val="0"/>
          <w:bCs w:val="0"/>
          <w:color w:val="auto"/>
          <w:sz w:val="24"/>
          <w:szCs w:val="24"/>
          <w:lang w:val="en-US" w:eastAsia="zh-CN"/>
        </w:rPr>
        <w:t>60t</w:t>
      </w:r>
      <w:r>
        <w:rPr>
          <w:rFonts w:hint="default" w:ascii="Times New Roman" w:hAnsi="Times New Roman" w:eastAsia="宋体" w:cs="Times New Roman"/>
          <w:b w:val="0"/>
          <w:bCs w:val="0"/>
          <w:color w:val="auto"/>
          <w:sz w:val="24"/>
          <w:szCs w:val="24"/>
        </w:rPr>
        <w:t>×</w:t>
      </w:r>
      <w:r>
        <w:rPr>
          <w:rFonts w:hint="eastAsia" w:cs="Times New Roman"/>
          <w:b w:val="0"/>
          <w:bCs w:val="0"/>
          <w:color w:val="auto"/>
          <w:sz w:val="24"/>
          <w:szCs w:val="24"/>
          <w:lang w:val="en-US" w:eastAsia="zh-CN"/>
        </w:rPr>
        <w:t>5</w:t>
      </w:r>
      <w:r>
        <w:rPr>
          <w:rFonts w:hint="default" w:ascii="Arial" w:hAnsi="Arial" w:cs="Arial"/>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×5%×90</w:t>
      </w:r>
      <w:r>
        <w:rPr>
          <w:rFonts w:hint="eastAsia" w:ascii="宋体" w:hAnsi="宋体" w:eastAsia="宋体" w:cs="宋体"/>
          <w:b w:val="0"/>
          <w:bCs w:val="0"/>
          <w:color w:val="auto"/>
          <w:sz w:val="24"/>
          <w:szCs w:val="24"/>
          <w:lang w:val="en-US" w:eastAsia="zh-CN"/>
        </w:rPr>
        <w:t>％</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rPr>
        <w:t>0.</w:t>
      </w:r>
      <w:r>
        <w:rPr>
          <w:rFonts w:hint="eastAsia" w:cs="Times New Roman"/>
          <w:b w:val="0"/>
          <w:bCs w:val="0"/>
          <w:color w:val="auto"/>
          <w:sz w:val="24"/>
          <w:szCs w:val="24"/>
          <w:lang w:val="en-US" w:eastAsia="zh-CN"/>
        </w:rPr>
        <w:t>0135</w:t>
      </w:r>
      <w:r>
        <w:rPr>
          <w:rFonts w:hint="default" w:ascii="Times New Roman" w:hAnsi="Times New Roman" w:eastAsia="宋体" w:cs="Times New Roman"/>
          <w:b w:val="0"/>
          <w:bCs w:val="0"/>
          <w:color w:val="auto"/>
          <w:sz w:val="24"/>
          <w:szCs w:val="24"/>
        </w:rPr>
        <w:t>t/a（</w:t>
      </w:r>
      <w:r>
        <w:rPr>
          <w:rFonts w:hint="eastAsia" w:cs="Times New Roman"/>
          <w:b w:val="0"/>
          <w:bCs w:val="0"/>
          <w:color w:val="auto"/>
          <w:sz w:val="24"/>
          <w:szCs w:val="24"/>
          <w:lang w:val="en-US" w:eastAsia="zh-CN"/>
        </w:rPr>
        <w:t>0.0113</w:t>
      </w:r>
      <w:r>
        <w:rPr>
          <w:rFonts w:hint="default" w:ascii="Times New Roman" w:hAnsi="Times New Roman" w:eastAsia="宋体" w:cs="Times New Roman"/>
          <w:b w:val="0"/>
          <w:bCs w:val="0"/>
          <w:color w:val="auto"/>
          <w:sz w:val="24"/>
          <w:szCs w:val="24"/>
        </w:rPr>
        <w:t>kg/h）。</w:t>
      </w:r>
    </w:p>
    <w:p w14:paraId="5B1297EC">
      <w:pPr>
        <w:pStyle w:val="69"/>
        <w:spacing w:line="360" w:lineRule="auto"/>
        <w:ind w:firstLine="480" w:firstLineChars="200"/>
        <w:jc w:val="left"/>
        <w:rPr>
          <w:rFonts w:hint="eastAsia" w:ascii="Times New Roman" w:hAnsi="Times New Roman" w:eastAsia="宋体"/>
          <w:color w:val="auto"/>
          <w:lang w:eastAsia="zh-CN"/>
        </w:rPr>
      </w:pPr>
      <w:r>
        <w:rPr>
          <w:rFonts w:hint="eastAsia" w:ascii="Times New Roman" w:hAnsi="Times New Roman" w:eastAsia="宋体"/>
          <w:color w:val="auto"/>
        </w:rPr>
        <w:t>企业定期喷洒除臭剂、对</w:t>
      </w:r>
      <w:r>
        <w:rPr>
          <w:rFonts w:hint="eastAsia" w:ascii="Times New Roman" w:hAnsi="Times New Roman" w:eastAsia="宋体"/>
          <w:color w:val="auto"/>
          <w:lang w:eastAsia="zh-CN"/>
        </w:rPr>
        <w:t>临时储粪场设置为封闭结构</w:t>
      </w:r>
      <w:r>
        <w:rPr>
          <w:rFonts w:hint="eastAsia" w:ascii="Times New Roman" w:hAnsi="Times New Roman" w:eastAsia="宋体"/>
          <w:color w:val="auto"/>
        </w:rPr>
        <w:t>并及时清运粪污</w:t>
      </w:r>
      <w:r>
        <w:rPr>
          <w:rFonts w:hint="eastAsia" w:ascii="Times New Roman" w:hAnsi="Times New Roman" w:eastAsia="宋体"/>
          <w:color w:val="auto"/>
          <w:lang w:eastAsia="zh-CN"/>
        </w:rPr>
        <w:t>，但临时储粪场粪污堆积量较大，虽为密闭结构但车辆进出致使恶臭气体外溢，因此去除率仅为</w:t>
      </w:r>
      <w:r>
        <w:rPr>
          <w:rFonts w:hint="eastAsia" w:ascii="Times New Roman" w:hAnsi="Times New Roman" w:eastAsia="宋体"/>
          <w:color w:val="auto"/>
          <w:lang w:val="en-US" w:eastAsia="zh-CN"/>
        </w:rPr>
        <w:t>60%</w:t>
      </w:r>
      <w:r>
        <w:rPr>
          <w:rFonts w:hint="eastAsia" w:ascii="Times New Roman" w:hAnsi="Times New Roman" w:eastAsia="宋体"/>
          <w:color w:val="auto"/>
          <w:lang w:eastAsia="zh-CN"/>
        </w:rPr>
        <w:t>，临时储粪场中储存期间恶臭污染物排放量如下：</w:t>
      </w:r>
    </w:p>
    <w:p w14:paraId="78B6847F">
      <w:pPr>
        <w:autoSpaceDE w:val="0"/>
        <w:autoSpaceDN w:val="0"/>
        <w:adjustRightInd w:val="0"/>
        <w:spacing w:line="360" w:lineRule="auto"/>
        <w:ind w:firstLine="480" w:firstLineChars="200"/>
        <w:rPr>
          <w:rFonts w:hint="eastAsia"/>
          <w:color w:val="auto"/>
          <w:sz w:val="24"/>
          <w:lang w:eastAsia="zh-CN"/>
        </w:rPr>
      </w:pPr>
      <w:r>
        <w:rPr>
          <w:rFonts w:hint="eastAsia"/>
          <w:color w:val="auto"/>
          <w:sz w:val="24"/>
        </w:rPr>
        <w:t>NH</w:t>
      </w:r>
      <w:r>
        <w:rPr>
          <w:rFonts w:hint="eastAsia"/>
          <w:color w:val="auto"/>
          <w:sz w:val="24"/>
          <w:vertAlign w:val="subscript"/>
        </w:rPr>
        <w:t>3</w:t>
      </w:r>
      <w:r>
        <w:rPr>
          <w:rFonts w:hint="eastAsia"/>
          <w:color w:val="auto"/>
          <w:sz w:val="24"/>
        </w:rPr>
        <w:t>排放量为</w:t>
      </w:r>
      <w:r>
        <w:rPr>
          <w:rFonts w:hint="eastAsia"/>
          <w:color w:val="auto"/>
          <w:sz w:val="24"/>
          <w:lang w:eastAsia="zh-CN"/>
        </w:rPr>
        <w:t>：</w:t>
      </w:r>
      <w:r>
        <w:rPr>
          <w:rFonts w:hint="eastAsia"/>
          <w:color w:val="auto"/>
          <w:sz w:val="24"/>
          <w:lang w:val="en-US" w:eastAsia="zh-CN"/>
        </w:rPr>
        <w:t>0.27t/a</w:t>
      </w:r>
      <w:r>
        <w:rPr>
          <w:rFonts w:hint="default" w:ascii="Arial" w:hAnsi="Arial" w:cs="Arial"/>
          <w:color w:val="auto"/>
          <w:sz w:val="24"/>
          <w:lang w:val="en-US" w:eastAsia="zh-CN"/>
        </w:rPr>
        <w:t>×</w:t>
      </w:r>
      <w:r>
        <w:rPr>
          <w:rFonts w:hint="eastAsia"/>
          <w:color w:val="auto"/>
          <w:sz w:val="24"/>
          <w:lang w:val="en-US" w:eastAsia="zh-CN"/>
        </w:rPr>
        <w:t>（1-60%）=</w:t>
      </w:r>
      <w:r>
        <w:rPr>
          <w:rFonts w:hint="eastAsia"/>
          <w:color w:val="auto"/>
          <w:sz w:val="24"/>
        </w:rPr>
        <w:t>0.</w:t>
      </w:r>
      <w:r>
        <w:rPr>
          <w:rFonts w:hint="eastAsia"/>
          <w:color w:val="auto"/>
          <w:sz w:val="24"/>
          <w:lang w:val="en-US" w:eastAsia="zh-CN"/>
        </w:rPr>
        <w:t>108</w:t>
      </w:r>
      <w:r>
        <w:rPr>
          <w:rFonts w:hint="eastAsia"/>
          <w:color w:val="auto"/>
          <w:sz w:val="24"/>
        </w:rPr>
        <w:t>t/a（</w:t>
      </w:r>
      <w:r>
        <w:rPr>
          <w:rFonts w:hint="eastAsia"/>
          <w:color w:val="auto"/>
          <w:sz w:val="24"/>
          <w:lang w:val="en-US" w:eastAsia="zh-CN"/>
        </w:rPr>
        <w:t>0.09</w:t>
      </w:r>
      <w:r>
        <w:rPr>
          <w:rFonts w:hint="eastAsia"/>
          <w:color w:val="auto"/>
          <w:sz w:val="24"/>
        </w:rPr>
        <w:t>kg/h）</w:t>
      </w:r>
      <w:r>
        <w:rPr>
          <w:rFonts w:hint="eastAsia"/>
          <w:color w:val="auto"/>
          <w:sz w:val="24"/>
          <w:lang w:eastAsia="zh-CN"/>
        </w:rPr>
        <w:t>；</w:t>
      </w:r>
    </w:p>
    <w:p w14:paraId="064EE1AF">
      <w:pPr>
        <w:autoSpaceDE w:val="0"/>
        <w:autoSpaceDN w:val="0"/>
        <w:adjustRightInd w:val="0"/>
        <w:spacing w:line="360" w:lineRule="auto"/>
        <w:ind w:firstLine="480" w:firstLineChars="200"/>
        <w:rPr>
          <w:color w:val="auto"/>
          <w:sz w:val="24"/>
        </w:rPr>
      </w:pPr>
      <w:r>
        <w:rPr>
          <w:rFonts w:hint="eastAsia"/>
          <w:color w:val="auto"/>
          <w:sz w:val="24"/>
        </w:rPr>
        <w:t>H</w:t>
      </w:r>
      <w:r>
        <w:rPr>
          <w:rFonts w:hint="eastAsia"/>
          <w:color w:val="auto"/>
          <w:sz w:val="24"/>
          <w:vertAlign w:val="subscript"/>
        </w:rPr>
        <w:t>2</w:t>
      </w:r>
      <w:r>
        <w:rPr>
          <w:rFonts w:hint="eastAsia"/>
          <w:color w:val="auto"/>
          <w:sz w:val="24"/>
        </w:rPr>
        <w:t>S排放量为</w:t>
      </w:r>
      <w:r>
        <w:rPr>
          <w:rFonts w:hint="eastAsia"/>
          <w:color w:val="auto"/>
          <w:sz w:val="24"/>
          <w:lang w:eastAsia="zh-CN"/>
        </w:rPr>
        <w:t>：</w:t>
      </w:r>
      <w:r>
        <w:rPr>
          <w:rFonts w:hint="eastAsia"/>
          <w:color w:val="auto"/>
          <w:sz w:val="24"/>
          <w:lang w:val="en-US" w:eastAsia="zh-CN"/>
        </w:rPr>
        <w:t>0.0135</w:t>
      </w:r>
      <w:r>
        <w:rPr>
          <w:rFonts w:hint="default" w:ascii="Arial" w:hAnsi="Arial" w:cs="Arial"/>
          <w:color w:val="auto"/>
          <w:sz w:val="24"/>
          <w:lang w:val="en-US" w:eastAsia="zh-CN"/>
        </w:rPr>
        <w:t>×</w:t>
      </w:r>
      <w:r>
        <w:rPr>
          <w:rFonts w:hint="eastAsia"/>
          <w:color w:val="auto"/>
          <w:sz w:val="24"/>
          <w:lang w:val="en-US" w:eastAsia="zh-CN"/>
        </w:rPr>
        <w:t>（1-60%）=0.005</w:t>
      </w:r>
      <w:r>
        <w:rPr>
          <w:rFonts w:hint="eastAsia"/>
          <w:color w:val="auto"/>
          <w:sz w:val="24"/>
        </w:rPr>
        <w:t>t/a（</w:t>
      </w:r>
      <w:r>
        <w:rPr>
          <w:rFonts w:hint="eastAsia"/>
          <w:color w:val="auto"/>
          <w:sz w:val="24"/>
          <w:lang w:val="en-US" w:eastAsia="zh-CN"/>
        </w:rPr>
        <w:t>0.004</w:t>
      </w:r>
      <w:r>
        <w:rPr>
          <w:rFonts w:hint="eastAsia"/>
          <w:color w:val="auto"/>
          <w:sz w:val="24"/>
        </w:rPr>
        <w:t>kg/h）。</w:t>
      </w:r>
    </w:p>
    <w:p w14:paraId="28AA1B10">
      <w:pPr>
        <w:autoSpaceDE w:val="0"/>
        <w:autoSpaceDN w:val="0"/>
        <w:adjustRightInd w:val="0"/>
        <w:spacing w:line="360" w:lineRule="auto"/>
        <w:ind w:firstLine="480" w:firstLineChars="200"/>
        <w:rPr>
          <w:color w:val="auto"/>
          <w:sz w:val="24"/>
        </w:rPr>
      </w:pPr>
      <w:r>
        <w:rPr>
          <w:color w:val="auto"/>
          <w:sz w:val="24"/>
        </w:rPr>
        <w:t>根据《家畜环境卫生学》（高等教育出版社，2004）中的相关研究数据，在未使用任何治理措施的情况下，</w:t>
      </w:r>
      <w:r>
        <w:rPr>
          <w:rFonts w:hint="eastAsia"/>
          <w:color w:val="auto"/>
          <w:sz w:val="24"/>
          <w:lang w:eastAsia="zh-CN"/>
        </w:rPr>
        <w:t>粪便贮存设施</w:t>
      </w:r>
      <w:r>
        <w:rPr>
          <w:color w:val="auto"/>
          <w:sz w:val="24"/>
        </w:rPr>
        <w:t>臭气平均浓度约为90（无量纲），通过</w:t>
      </w:r>
      <w:r>
        <w:rPr>
          <w:rFonts w:hint="eastAsia"/>
          <w:color w:val="auto"/>
          <w:sz w:val="24"/>
          <w:lang w:eastAsia="zh-CN"/>
        </w:rPr>
        <w:t>对贮存设施封闭处理</w:t>
      </w:r>
      <w:r>
        <w:rPr>
          <w:color w:val="auto"/>
          <w:sz w:val="24"/>
        </w:rPr>
        <w:t>、喷洒除臭剂等措施情况下，能将臭气浓度下降至30（无量纲）以下。</w:t>
      </w:r>
    </w:p>
    <w:p w14:paraId="75841801">
      <w:pPr>
        <w:autoSpaceDE w:val="0"/>
        <w:autoSpaceDN w:val="0"/>
        <w:adjustRightInd w:val="0"/>
        <w:jc w:val="center"/>
        <w:rPr>
          <w:b/>
          <w:color w:val="auto"/>
          <w:szCs w:val="21"/>
          <w:highlight w:val="yellow"/>
        </w:rPr>
      </w:pPr>
      <w:r>
        <w:rPr>
          <w:b/>
          <w:color w:val="auto"/>
          <w:szCs w:val="21"/>
        </w:rPr>
        <w:t>表</w:t>
      </w:r>
      <w:r>
        <w:rPr>
          <w:rFonts w:hint="eastAsia"/>
          <w:b/>
          <w:color w:val="auto"/>
          <w:szCs w:val="21"/>
          <w:lang w:val="en-US" w:eastAsia="zh-CN"/>
        </w:rPr>
        <w:t>3.4-8</w:t>
      </w:r>
      <w:r>
        <w:rPr>
          <w:rFonts w:hint="eastAsia"/>
          <w:b/>
          <w:color w:val="auto"/>
          <w:szCs w:val="21"/>
        </w:rPr>
        <w:t xml:space="preserve"> </w:t>
      </w:r>
      <w:r>
        <w:rPr>
          <w:b/>
          <w:color w:val="auto"/>
          <w:szCs w:val="21"/>
        </w:rPr>
        <w:t xml:space="preserve">   本项目鸡舍恶臭产生及排放情况一览表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177"/>
        <w:gridCol w:w="1274"/>
        <w:gridCol w:w="1650"/>
        <w:gridCol w:w="601"/>
        <w:gridCol w:w="1349"/>
        <w:gridCol w:w="1710"/>
      </w:tblGrid>
      <w:tr w14:paraId="4C5B265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4" w:type="dxa"/>
            <w:tcBorders>
              <w:tl2br w:val="nil"/>
              <w:tr2bl w:val="nil"/>
            </w:tcBorders>
            <w:vAlign w:val="center"/>
          </w:tcPr>
          <w:p w14:paraId="594E0C86">
            <w:pPr>
              <w:autoSpaceDE w:val="0"/>
              <w:autoSpaceDN w:val="0"/>
              <w:adjustRightInd w:val="0"/>
              <w:jc w:val="center"/>
              <w:rPr>
                <w:b/>
                <w:color w:val="auto"/>
                <w:szCs w:val="21"/>
                <w:highlight w:val="none"/>
              </w:rPr>
            </w:pPr>
            <w:r>
              <w:rPr>
                <w:b/>
                <w:color w:val="auto"/>
                <w:szCs w:val="21"/>
                <w:highlight w:val="none"/>
              </w:rPr>
              <w:t>位置</w:t>
            </w:r>
          </w:p>
        </w:tc>
        <w:tc>
          <w:tcPr>
            <w:tcW w:w="1177" w:type="dxa"/>
            <w:tcBorders>
              <w:tl2br w:val="nil"/>
              <w:tr2bl w:val="nil"/>
            </w:tcBorders>
            <w:vAlign w:val="center"/>
          </w:tcPr>
          <w:p w14:paraId="53921292">
            <w:pPr>
              <w:autoSpaceDE w:val="0"/>
              <w:autoSpaceDN w:val="0"/>
              <w:adjustRightInd w:val="0"/>
              <w:jc w:val="center"/>
              <w:rPr>
                <w:b/>
                <w:color w:val="auto"/>
                <w:szCs w:val="21"/>
                <w:highlight w:val="none"/>
              </w:rPr>
            </w:pPr>
            <w:r>
              <w:rPr>
                <w:b/>
                <w:color w:val="auto"/>
                <w:szCs w:val="21"/>
                <w:highlight w:val="none"/>
              </w:rPr>
              <w:t>污染物</w:t>
            </w:r>
          </w:p>
          <w:p w14:paraId="672CF7FF">
            <w:pPr>
              <w:autoSpaceDE w:val="0"/>
              <w:autoSpaceDN w:val="0"/>
              <w:adjustRightInd w:val="0"/>
              <w:jc w:val="center"/>
              <w:rPr>
                <w:b/>
                <w:color w:val="auto"/>
                <w:szCs w:val="21"/>
                <w:highlight w:val="none"/>
              </w:rPr>
            </w:pPr>
            <w:r>
              <w:rPr>
                <w:b/>
                <w:color w:val="auto"/>
                <w:szCs w:val="21"/>
                <w:highlight w:val="none"/>
              </w:rPr>
              <w:t>名称</w:t>
            </w:r>
          </w:p>
        </w:tc>
        <w:tc>
          <w:tcPr>
            <w:tcW w:w="1274" w:type="dxa"/>
            <w:tcBorders>
              <w:tl2br w:val="nil"/>
              <w:tr2bl w:val="nil"/>
            </w:tcBorders>
            <w:vAlign w:val="center"/>
          </w:tcPr>
          <w:p w14:paraId="5BC7E4C1">
            <w:pPr>
              <w:autoSpaceDE w:val="0"/>
              <w:autoSpaceDN w:val="0"/>
              <w:adjustRightInd w:val="0"/>
              <w:jc w:val="center"/>
              <w:rPr>
                <w:b/>
                <w:color w:val="auto"/>
                <w:szCs w:val="21"/>
                <w:highlight w:val="none"/>
              </w:rPr>
            </w:pPr>
            <w:r>
              <w:rPr>
                <w:b/>
                <w:color w:val="auto"/>
                <w:szCs w:val="21"/>
                <w:highlight w:val="none"/>
              </w:rPr>
              <w:t>产生速率（kg/h）</w:t>
            </w:r>
          </w:p>
        </w:tc>
        <w:tc>
          <w:tcPr>
            <w:tcW w:w="1650" w:type="dxa"/>
            <w:tcBorders>
              <w:tl2br w:val="nil"/>
              <w:tr2bl w:val="nil"/>
            </w:tcBorders>
            <w:vAlign w:val="center"/>
          </w:tcPr>
          <w:p w14:paraId="25B30EFB">
            <w:pPr>
              <w:autoSpaceDE w:val="0"/>
              <w:autoSpaceDN w:val="0"/>
              <w:adjustRightInd w:val="0"/>
              <w:jc w:val="center"/>
              <w:rPr>
                <w:b/>
                <w:color w:val="auto"/>
                <w:szCs w:val="21"/>
                <w:highlight w:val="none"/>
              </w:rPr>
            </w:pPr>
            <w:r>
              <w:rPr>
                <w:b/>
                <w:color w:val="auto"/>
                <w:szCs w:val="21"/>
                <w:highlight w:val="none"/>
              </w:rPr>
              <w:t>年产生量（t/a）</w:t>
            </w:r>
          </w:p>
        </w:tc>
        <w:tc>
          <w:tcPr>
            <w:tcW w:w="601" w:type="dxa"/>
            <w:tcBorders>
              <w:tl2br w:val="nil"/>
              <w:tr2bl w:val="nil"/>
            </w:tcBorders>
            <w:vAlign w:val="center"/>
          </w:tcPr>
          <w:p w14:paraId="58190E5C">
            <w:pPr>
              <w:autoSpaceDE w:val="0"/>
              <w:autoSpaceDN w:val="0"/>
              <w:adjustRightInd w:val="0"/>
              <w:jc w:val="center"/>
              <w:rPr>
                <w:b/>
                <w:color w:val="auto"/>
                <w:szCs w:val="21"/>
                <w:highlight w:val="none"/>
              </w:rPr>
            </w:pPr>
            <w:r>
              <w:rPr>
                <w:b/>
                <w:color w:val="auto"/>
                <w:szCs w:val="21"/>
                <w:highlight w:val="none"/>
              </w:rPr>
              <w:t>抑臭</w:t>
            </w:r>
          </w:p>
          <w:p w14:paraId="1D390B29">
            <w:pPr>
              <w:autoSpaceDE w:val="0"/>
              <w:autoSpaceDN w:val="0"/>
              <w:adjustRightInd w:val="0"/>
              <w:jc w:val="center"/>
              <w:rPr>
                <w:b/>
                <w:color w:val="auto"/>
                <w:szCs w:val="21"/>
                <w:highlight w:val="none"/>
              </w:rPr>
            </w:pPr>
            <w:r>
              <w:rPr>
                <w:b/>
                <w:color w:val="auto"/>
                <w:szCs w:val="21"/>
                <w:highlight w:val="none"/>
              </w:rPr>
              <w:t>效率</w:t>
            </w:r>
          </w:p>
        </w:tc>
        <w:tc>
          <w:tcPr>
            <w:tcW w:w="1349" w:type="dxa"/>
            <w:tcBorders>
              <w:tl2br w:val="nil"/>
              <w:tr2bl w:val="nil"/>
            </w:tcBorders>
            <w:vAlign w:val="center"/>
          </w:tcPr>
          <w:p w14:paraId="20704956">
            <w:pPr>
              <w:autoSpaceDE w:val="0"/>
              <w:autoSpaceDN w:val="0"/>
              <w:adjustRightInd w:val="0"/>
              <w:jc w:val="center"/>
              <w:rPr>
                <w:b/>
                <w:color w:val="auto"/>
                <w:szCs w:val="21"/>
                <w:highlight w:val="none"/>
              </w:rPr>
            </w:pPr>
            <w:r>
              <w:rPr>
                <w:b/>
                <w:color w:val="auto"/>
                <w:szCs w:val="21"/>
                <w:highlight w:val="none"/>
              </w:rPr>
              <w:t>排放速率（kg/h）</w:t>
            </w:r>
          </w:p>
        </w:tc>
        <w:tc>
          <w:tcPr>
            <w:tcW w:w="1710" w:type="dxa"/>
            <w:tcBorders>
              <w:tl2br w:val="nil"/>
              <w:tr2bl w:val="nil"/>
            </w:tcBorders>
            <w:vAlign w:val="center"/>
          </w:tcPr>
          <w:p w14:paraId="7BB75B86">
            <w:pPr>
              <w:autoSpaceDE w:val="0"/>
              <w:autoSpaceDN w:val="0"/>
              <w:adjustRightInd w:val="0"/>
              <w:jc w:val="center"/>
              <w:rPr>
                <w:b/>
                <w:color w:val="auto"/>
                <w:szCs w:val="21"/>
                <w:highlight w:val="none"/>
              </w:rPr>
            </w:pPr>
            <w:r>
              <w:rPr>
                <w:b/>
                <w:color w:val="auto"/>
                <w:szCs w:val="21"/>
                <w:highlight w:val="none"/>
              </w:rPr>
              <w:t>年排放量（t/a）</w:t>
            </w:r>
          </w:p>
        </w:tc>
      </w:tr>
      <w:tr w14:paraId="742B06F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4" w:type="dxa"/>
            <w:vMerge w:val="restart"/>
            <w:tcBorders>
              <w:tl2br w:val="nil"/>
              <w:tr2bl w:val="nil"/>
            </w:tcBorders>
            <w:vAlign w:val="center"/>
          </w:tcPr>
          <w:p w14:paraId="0D9F62BB">
            <w:pPr>
              <w:autoSpaceDE w:val="0"/>
              <w:autoSpaceDN w:val="0"/>
              <w:adjustRightInd w:val="0"/>
              <w:jc w:val="center"/>
              <w:rPr>
                <w:rFonts w:hint="eastAsia" w:eastAsia="宋体"/>
                <w:b/>
                <w:bCs/>
                <w:color w:val="auto"/>
                <w:szCs w:val="21"/>
                <w:highlight w:val="none"/>
                <w:lang w:eastAsia="zh-CN"/>
              </w:rPr>
            </w:pPr>
            <w:r>
              <w:rPr>
                <w:rFonts w:hint="eastAsia"/>
                <w:b/>
                <w:bCs/>
                <w:color w:val="auto"/>
                <w:szCs w:val="21"/>
                <w:highlight w:val="none"/>
                <w:lang w:eastAsia="zh-CN"/>
              </w:rPr>
              <w:t>临时储粪场</w:t>
            </w:r>
          </w:p>
        </w:tc>
        <w:tc>
          <w:tcPr>
            <w:tcW w:w="1177" w:type="dxa"/>
            <w:tcBorders>
              <w:tl2br w:val="nil"/>
              <w:tr2bl w:val="nil"/>
            </w:tcBorders>
            <w:vAlign w:val="center"/>
          </w:tcPr>
          <w:p w14:paraId="3E95C4C3">
            <w:pPr>
              <w:autoSpaceDE w:val="0"/>
              <w:autoSpaceDN w:val="0"/>
              <w:adjustRightInd w:val="0"/>
              <w:jc w:val="center"/>
              <w:rPr>
                <w:b/>
                <w:bCs/>
                <w:color w:val="auto"/>
                <w:szCs w:val="21"/>
                <w:highlight w:val="none"/>
              </w:rPr>
            </w:pPr>
            <w:r>
              <w:rPr>
                <w:b/>
                <w:bCs/>
                <w:color w:val="auto"/>
                <w:szCs w:val="21"/>
                <w:highlight w:val="none"/>
              </w:rPr>
              <w:t>NH</w:t>
            </w:r>
            <w:r>
              <w:rPr>
                <w:b/>
                <w:bCs/>
                <w:color w:val="auto"/>
                <w:szCs w:val="21"/>
                <w:highlight w:val="none"/>
                <w:vertAlign w:val="subscript"/>
              </w:rPr>
              <w:t>3</w:t>
            </w:r>
          </w:p>
        </w:tc>
        <w:tc>
          <w:tcPr>
            <w:tcW w:w="1274" w:type="dxa"/>
            <w:tcBorders>
              <w:tl2br w:val="nil"/>
              <w:tr2bl w:val="nil"/>
            </w:tcBorders>
            <w:vAlign w:val="center"/>
          </w:tcPr>
          <w:p w14:paraId="2848B62F">
            <w:pPr>
              <w:autoSpaceDE w:val="0"/>
              <w:autoSpaceDN w:val="0"/>
              <w:adjustRightInd w:val="0"/>
              <w:jc w:val="center"/>
              <w:rPr>
                <w:rFonts w:hint="default" w:eastAsia="宋体"/>
                <w:color w:val="auto"/>
                <w:szCs w:val="21"/>
                <w:highlight w:val="none"/>
                <w:lang w:val="en-US" w:eastAsia="zh-CN"/>
              </w:rPr>
            </w:pPr>
            <w:r>
              <w:rPr>
                <w:rFonts w:hint="eastAsia"/>
                <w:color w:val="auto"/>
                <w:szCs w:val="21"/>
                <w:highlight w:val="none"/>
                <w:lang w:val="en-US" w:eastAsia="zh-CN"/>
              </w:rPr>
              <w:t>0.225</w:t>
            </w:r>
          </w:p>
        </w:tc>
        <w:tc>
          <w:tcPr>
            <w:tcW w:w="1650" w:type="dxa"/>
            <w:tcBorders>
              <w:tl2br w:val="nil"/>
              <w:tr2bl w:val="nil"/>
            </w:tcBorders>
            <w:vAlign w:val="center"/>
          </w:tcPr>
          <w:p w14:paraId="796901B4">
            <w:pPr>
              <w:autoSpaceDE w:val="0"/>
              <w:autoSpaceDN w:val="0"/>
              <w:adjustRightInd w:val="0"/>
              <w:jc w:val="center"/>
              <w:rPr>
                <w:rFonts w:hint="default" w:eastAsia="宋体"/>
                <w:color w:val="auto"/>
                <w:szCs w:val="21"/>
                <w:highlight w:val="none"/>
                <w:lang w:val="en-US" w:eastAsia="zh-CN"/>
              </w:rPr>
            </w:pPr>
            <w:r>
              <w:rPr>
                <w:rFonts w:hint="eastAsia"/>
                <w:color w:val="auto"/>
                <w:szCs w:val="21"/>
                <w:highlight w:val="none"/>
                <w:lang w:val="en-US" w:eastAsia="zh-CN"/>
              </w:rPr>
              <w:t>0.27</w:t>
            </w:r>
          </w:p>
        </w:tc>
        <w:tc>
          <w:tcPr>
            <w:tcW w:w="601" w:type="dxa"/>
            <w:vMerge w:val="restart"/>
            <w:tcBorders>
              <w:tl2br w:val="nil"/>
              <w:tr2bl w:val="nil"/>
            </w:tcBorders>
            <w:vAlign w:val="center"/>
          </w:tcPr>
          <w:p w14:paraId="4D75EF68">
            <w:pPr>
              <w:autoSpaceDE w:val="0"/>
              <w:autoSpaceDN w:val="0"/>
              <w:adjustRightInd w:val="0"/>
              <w:jc w:val="center"/>
              <w:rPr>
                <w:rFonts w:hint="default" w:eastAsia="宋体"/>
                <w:color w:val="auto"/>
                <w:szCs w:val="21"/>
                <w:highlight w:val="none"/>
                <w:lang w:val="en-US" w:eastAsia="zh-CN"/>
              </w:rPr>
            </w:pPr>
            <w:r>
              <w:rPr>
                <w:rFonts w:hint="eastAsia"/>
                <w:color w:val="auto"/>
                <w:szCs w:val="21"/>
                <w:highlight w:val="none"/>
                <w:lang w:val="en-US" w:eastAsia="zh-CN"/>
              </w:rPr>
              <w:t>60</w:t>
            </w:r>
          </w:p>
        </w:tc>
        <w:tc>
          <w:tcPr>
            <w:tcW w:w="1349" w:type="dxa"/>
            <w:tcBorders>
              <w:tl2br w:val="nil"/>
              <w:tr2bl w:val="nil"/>
            </w:tcBorders>
            <w:vAlign w:val="center"/>
          </w:tcPr>
          <w:p w14:paraId="691EA89B">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0.09</w:t>
            </w:r>
          </w:p>
        </w:tc>
        <w:tc>
          <w:tcPr>
            <w:tcW w:w="1710" w:type="dxa"/>
            <w:tcBorders>
              <w:tl2br w:val="nil"/>
              <w:tr2bl w:val="nil"/>
            </w:tcBorders>
            <w:vAlign w:val="center"/>
          </w:tcPr>
          <w:p w14:paraId="2E761C0C">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0.108</w:t>
            </w:r>
          </w:p>
        </w:tc>
      </w:tr>
      <w:tr w14:paraId="4FF921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4" w:type="dxa"/>
            <w:vMerge w:val="continue"/>
            <w:tcBorders>
              <w:tl2br w:val="nil"/>
              <w:tr2bl w:val="nil"/>
            </w:tcBorders>
            <w:vAlign w:val="center"/>
          </w:tcPr>
          <w:p w14:paraId="53BA5D45">
            <w:pPr>
              <w:autoSpaceDE w:val="0"/>
              <w:autoSpaceDN w:val="0"/>
              <w:adjustRightInd w:val="0"/>
              <w:jc w:val="center"/>
              <w:rPr>
                <w:b/>
                <w:bCs/>
                <w:color w:val="auto"/>
                <w:szCs w:val="21"/>
                <w:highlight w:val="none"/>
              </w:rPr>
            </w:pPr>
          </w:p>
        </w:tc>
        <w:tc>
          <w:tcPr>
            <w:tcW w:w="1177" w:type="dxa"/>
            <w:tcBorders>
              <w:tl2br w:val="nil"/>
              <w:tr2bl w:val="nil"/>
            </w:tcBorders>
            <w:vAlign w:val="center"/>
          </w:tcPr>
          <w:p w14:paraId="771AC125">
            <w:pPr>
              <w:autoSpaceDE w:val="0"/>
              <w:autoSpaceDN w:val="0"/>
              <w:adjustRightInd w:val="0"/>
              <w:jc w:val="center"/>
              <w:rPr>
                <w:b/>
                <w:bCs/>
                <w:color w:val="auto"/>
                <w:szCs w:val="21"/>
                <w:highlight w:val="none"/>
              </w:rPr>
            </w:pPr>
            <w:r>
              <w:rPr>
                <w:b/>
                <w:bCs/>
                <w:color w:val="auto"/>
                <w:szCs w:val="21"/>
                <w:highlight w:val="none"/>
              </w:rPr>
              <w:t>H</w:t>
            </w:r>
            <w:r>
              <w:rPr>
                <w:b/>
                <w:bCs/>
                <w:color w:val="auto"/>
                <w:szCs w:val="21"/>
                <w:highlight w:val="none"/>
                <w:vertAlign w:val="subscript"/>
              </w:rPr>
              <w:t>2</w:t>
            </w:r>
            <w:r>
              <w:rPr>
                <w:b/>
                <w:bCs/>
                <w:color w:val="auto"/>
                <w:szCs w:val="21"/>
                <w:highlight w:val="none"/>
              </w:rPr>
              <w:t>S</w:t>
            </w:r>
          </w:p>
        </w:tc>
        <w:tc>
          <w:tcPr>
            <w:tcW w:w="1274" w:type="dxa"/>
            <w:tcBorders>
              <w:tl2br w:val="nil"/>
              <w:tr2bl w:val="nil"/>
            </w:tcBorders>
            <w:vAlign w:val="center"/>
          </w:tcPr>
          <w:p w14:paraId="6FB4741F">
            <w:pPr>
              <w:autoSpaceDE w:val="0"/>
              <w:autoSpaceDN w:val="0"/>
              <w:adjustRightInd w:val="0"/>
              <w:jc w:val="center"/>
              <w:rPr>
                <w:rFonts w:hint="default" w:eastAsia="宋体"/>
                <w:color w:val="auto"/>
                <w:szCs w:val="21"/>
                <w:highlight w:val="none"/>
                <w:lang w:val="en-US" w:eastAsia="zh-CN"/>
              </w:rPr>
            </w:pPr>
            <w:r>
              <w:rPr>
                <w:rFonts w:hint="eastAsia"/>
                <w:color w:val="auto"/>
                <w:szCs w:val="21"/>
                <w:highlight w:val="none"/>
                <w:lang w:val="en-US" w:eastAsia="zh-CN"/>
              </w:rPr>
              <w:t>0.0113</w:t>
            </w:r>
          </w:p>
        </w:tc>
        <w:tc>
          <w:tcPr>
            <w:tcW w:w="1650" w:type="dxa"/>
            <w:tcBorders>
              <w:tl2br w:val="nil"/>
              <w:tr2bl w:val="nil"/>
            </w:tcBorders>
            <w:vAlign w:val="center"/>
          </w:tcPr>
          <w:p w14:paraId="6C477664">
            <w:pPr>
              <w:autoSpaceDE w:val="0"/>
              <w:autoSpaceDN w:val="0"/>
              <w:adjustRightInd w:val="0"/>
              <w:jc w:val="center"/>
              <w:rPr>
                <w:rFonts w:hint="default" w:eastAsia="宋体"/>
                <w:color w:val="auto"/>
                <w:szCs w:val="21"/>
                <w:highlight w:val="none"/>
                <w:lang w:val="en-US" w:eastAsia="zh-CN"/>
              </w:rPr>
            </w:pPr>
            <w:r>
              <w:rPr>
                <w:rFonts w:hint="eastAsia"/>
                <w:color w:val="auto"/>
                <w:szCs w:val="21"/>
                <w:highlight w:val="none"/>
                <w:lang w:val="en-US" w:eastAsia="zh-CN"/>
              </w:rPr>
              <w:t>0.0135</w:t>
            </w:r>
          </w:p>
        </w:tc>
        <w:tc>
          <w:tcPr>
            <w:tcW w:w="601" w:type="dxa"/>
            <w:vMerge w:val="continue"/>
            <w:tcBorders>
              <w:tl2br w:val="nil"/>
              <w:tr2bl w:val="nil"/>
            </w:tcBorders>
            <w:vAlign w:val="center"/>
          </w:tcPr>
          <w:p w14:paraId="08478DE1">
            <w:pPr>
              <w:autoSpaceDE w:val="0"/>
              <w:autoSpaceDN w:val="0"/>
              <w:adjustRightInd w:val="0"/>
              <w:jc w:val="center"/>
              <w:rPr>
                <w:color w:val="auto"/>
                <w:szCs w:val="21"/>
                <w:highlight w:val="none"/>
              </w:rPr>
            </w:pPr>
          </w:p>
        </w:tc>
        <w:tc>
          <w:tcPr>
            <w:tcW w:w="1349" w:type="dxa"/>
            <w:tcBorders>
              <w:tl2br w:val="nil"/>
              <w:tr2bl w:val="nil"/>
            </w:tcBorders>
            <w:vAlign w:val="center"/>
          </w:tcPr>
          <w:p w14:paraId="6E313254">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0.004</w:t>
            </w:r>
          </w:p>
        </w:tc>
        <w:tc>
          <w:tcPr>
            <w:tcW w:w="1710" w:type="dxa"/>
            <w:tcBorders>
              <w:tl2br w:val="nil"/>
              <w:tr2bl w:val="nil"/>
            </w:tcBorders>
            <w:vAlign w:val="center"/>
          </w:tcPr>
          <w:p w14:paraId="2D7292C5">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0.005</w:t>
            </w:r>
          </w:p>
        </w:tc>
      </w:tr>
      <w:tr w14:paraId="129D0D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4" w:type="dxa"/>
            <w:vMerge w:val="continue"/>
            <w:tcBorders>
              <w:tl2br w:val="nil"/>
              <w:tr2bl w:val="nil"/>
            </w:tcBorders>
            <w:vAlign w:val="center"/>
          </w:tcPr>
          <w:p w14:paraId="668C7110">
            <w:pPr>
              <w:autoSpaceDE w:val="0"/>
              <w:autoSpaceDN w:val="0"/>
              <w:adjustRightInd w:val="0"/>
              <w:jc w:val="center"/>
              <w:rPr>
                <w:b/>
                <w:bCs/>
                <w:color w:val="auto"/>
                <w:szCs w:val="21"/>
                <w:highlight w:val="none"/>
              </w:rPr>
            </w:pPr>
          </w:p>
        </w:tc>
        <w:tc>
          <w:tcPr>
            <w:tcW w:w="1177" w:type="dxa"/>
            <w:tcBorders>
              <w:tl2br w:val="nil"/>
              <w:tr2bl w:val="nil"/>
            </w:tcBorders>
            <w:vAlign w:val="center"/>
          </w:tcPr>
          <w:p w14:paraId="7497C3AB">
            <w:pPr>
              <w:autoSpaceDE w:val="0"/>
              <w:autoSpaceDN w:val="0"/>
              <w:adjustRightInd w:val="0"/>
              <w:jc w:val="center"/>
              <w:rPr>
                <w:b/>
                <w:bCs/>
                <w:color w:val="auto"/>
                <w:szCs w:val="21"/>
                <w:highlight w:val="none"/>
              </w:rPr>
            </w:pPr>
            <w:r>
              <w:rPr>
                <w:b/>
                <w:bCs/>
                <w:color w:val="auto"/>
                <w:szCs w:val="21"/>
                <w:highlight w:val="none"/>
              </w:rPr>
              <w:t>臭气浓度</w:t>
            </w:r>
          </w:p>
        </w:tc>
        <w:tc>
          <w:tcPr>
            <w:tcW w:w="1274" w:type="dxa"/>
            <w:tcBorders>
              <w:tl2br w:val="nil"/>
              <w:tr2bl w:val="nil"/>
            </w:tcBorders>
            <w:vAlign w:val="center"/>
          </w:tcPr>
          <w:p w14:paraId="4FB64A60">
            <w:pPr>
              <w:autoSpaceDE w:val="0"/>
              <w:autoSpaceDN w:val="0"/>
              <w:adjustRightInd w:val="0"/>
              <w:jc w:val="center"/>
              <w:rPr>
                <w:color w:val="auto"/>
                <w:szCs w:val="21"/>
                <w:highlight w:val="none"/>
              </w:rPr>
            </w:pPr>
            <w:r>
              <w:rPr>
                <w:color w:val="auto"/>
                <w:szCs w:val="21"/>
                <w:highlight w:val="none"/>
              </w:rPr>
              <w:t>/</w:t>
            </w:r>
          </w:p>
        </w:tc>
        <w:tc>
          <w:tcPr>
            <w:tcW w:w="1650" w:type="dxa"/>
            <w:tcBorders>
              <w:tl2br w:val="nil"/>
              <w:tr2bl w:val="nil"/>
            </w:tcBorders>
            <w:vAlign w:val="center"/>
          </w:tcPr>
          <w:p w14:paraId="59BE6A89">
            <w:pPr>
              <w:autoSpaceDE w:val="0"/>
              <w:autoSpaceDN w:val="0"/>
              <w:adjustRightInd w:val="0"/>
              <w:jc w:val="center"/>
              <w:rPr>
                <w:color w:val="auto"/>
                <w:szCs w:val="21"/>
                <w:highlight w:val="none"/>
              </w:rPr>
            </w:pPr>
            <w:r>
              <w:rPr>
                <w:color w:val="auto"/>
                <w:szCs w:val="21"/>
                <w:highlight w:val="none"/>
              </w:rPr>
              <w:t>90（无量纲）</w:t>
            </w:r>
          </w:p>
        </w:tc>
        <w:tc>
          <w:tcPr>
            <w:tcW w:w="601" w:type="dxa"/>
            <w:tcBorders>
              <w:tl2br w:val="nil"/>
              <w:tr2bl w:val="nil"/>
            </w:tcBorders>
            <w:vAlign w:val="center"/>
          </w:tcPr>
          <w:p w14:paraId="7BEFBCE5">
            <w:pPr>
              <w:autoSpaceDE w:val="0"/>
              <w:autoSpaceDN w:val="0"/>
              <w:adjustRightInd w:val="0"/>
              <w:jc w:val="center"/>
              <w:rPr>
                <w:color w:val="auto"/>
                <w:szCs w:val="21"/>
                <w:highlight w:val="none"/>
              </w:rPr>
            </w:pPr>
            <w:r>
              <w:rPr>
                <w:rFonts w:hint="eastAsia"/>
                <w:color w:val="auto"/>
                <w:szCs w:val="21"/>
                <w:highlight w:val="none"/>
              </w:rPr>
              <w:t>/</w:t>
            </w:r>
          </w:p>
        </w:tc>
        <w:tc>
          <w:tcPr>
            <w:tcW w:w="1349" w:type="dxa"/>
            <w:tcBorders>
              <w:tl2br w:val="nil"/>
              <w:tr2bl w:val="nil"/>
            </w:tcBorders>
            <w:vAlign w:val="center"/>
          </w:tcPr>
          <w:p w14:paraId="09ED5AFA">
            <w:pPr>
              <w:widowControl/>
              <w:jc w:val="center"/>
              <w:textAlignment w:val="center"/>
              <w:rPr>
                <w:color w:val="auto"/>
                <w:szCs w:val="21"/>
                <w:highlight w:val="none"/>
              </w:rPr>
            </w:pPr>
            <w:r>
              <w:rPr>
                <w:color w:val="auto"/>
                <w:szCs w:val="21"/>
                <w:highlight w:val="none"/>
              </w:rPr>
              <w:t>/</w:t>
            </w:r>
          </w:p>
        </w:tc>
        <w:tc>
          <w:tcPr>
            <w:tcW w:w="1710" w:type="dxa"/>
            <w:tcBorders>
              <w:tl2br w:val="nil"/>
              <w:tr2bl w:val="nil"/>
            </w:tcBorders>
            <w:vAlign w:val="center"/>
          </w:tcPr>
          <w:p w14:paraId="3FD429AA">
            <w:pPr>
              <w:widowControl/>
              <w:jc w:val="center"/>
              <w:textAlignment w:val="center"/>
              <w:rPr>
                <w:color w:val="auto"/>
                <w:szCs w:val="21"/>
                <w:highlight w:val="none"/>
              </w:rPr>
            </w:pPr>
            <w:r>
              <w:rPr>
                <w:color w:val="auto"/>
                <w:szCs w:val="21"/>
                <w:highlight w:val="none"/>
              </w:rPr>
              <w:t>＜30（无量纲）</w:t>
            </w:r>
          </w:p>
        </w:tc>
      </w:tr>
    </w:tbl>
    <w:p w14:paraId="0CE45AF3">
      <w:pPr>
        <w:pStyle w:val="69"/>
        <w:spacing w:line="360" w:lineRule="auto"/>
        <w:ind w:firstLine="480" w:firstLineChars="200"/>
        <w:jc w:val="left"/>
        <w:rPr>
          <w:rFonts w:hint="eastAsia" w:ascii="Times New Roman" w:hAnsi="Times New Roman" w:eastAsia="宋体"/>
          <w:color w:val="auto"/>
          <w:lang w:eastAsia="zh-CN"/>
        </w:rPr>
      </w:pPr>
      <w:r>
        <w:rPr>
          <w:rFonts w:hint="eastAsia" w:ascii="Times New Roman" w:hAnsi="Times New Roman" w:eastAsia="宋体"/>
          <w:color w:val="auto"/>
          <w:lang w:eastAsia="zh-CN"/>
        </w:rPr>
        <w:t>（</w:t>
      </w:r>
      <w:r>
        <w:rPr>
          <w:rFonts w:hint="eastAsia" w:ascii="Times New Roman" w:hAnsi="Times New Roman" w:eastAsia="宋体"/>
          <w:color w:val="auto"/>
          <w:lang w:val="en-US" w:eastAsia="zh-CN"/>
        </w:rPr>
        <w:t>3</w:t>
      </w:r>
      <w:r>
        <w:rPr>
          <w:rFonts w:hint="eastAsia" w:ascii="Times New Roman" w:hAnsi="Times New Roman" w:eastAsia="宋体"/>
          <w:color w:val="auto"/>
          <w:lang w:eastAsia="zh-CN"/>
        </w:rPr>
        <w:t>）粪污运输恶臭气体</w:t>
      </w:r>
    </w:p>
    <w:p w14:paraId="54532E23">
      <w:pPr>
        <w:pStyle w:val="69"/>
        <w:spacing w:line="360" w:lineRule="auto"/>
        <w:ind w:firstLine="480" w:firstLineChars="200"/>
        <w:jc w:val="left"/>
        <w:rPr>
          <w:rFonts w:hint="eastAsia" w:ascii="Times New Roman" w:hAnsi="Times New Roman" w:eastAsia="宋体"/>
          <w:color w:val="auto"/>
          <w:lang w:eastAsia="zh-CN"/>
        </w:rPr>
      </w:pPr>
      <w:r>
        <w:rPr>
          <w:rFonts w:hint="eastAsia" w:ascii="Times New Roman" w:hAnsi="Times New Roman" w:eastAsia="宋体"/>
          <w:color w:val="auto"/>
          <w:lang w:eastAsia="zh-CN"/>
        </w:rPr>
        <w:t>项目粪便等由</w:t>
      </w:r>
      <w:r>
        <w:rPr>
          <w:rFonts w:hint="eastAsia" w:ascii="Times New Roman" w:hAnsi="Times New Roman" w:eastAsia="宋体"/>
          <w:color w:val="auto"/>
        </w:rPr>
        <w:t>清粪车外</w:t>
      </w:r>
      <w:r>
        <w:rPr>
          <w:rFonts w:hint="eastAsia" w:ascii="Times New Roman" w:hAnsi="Times New Roman" w:eastAsia="宋体"/>
          <w:color w:val="auto"/>
          <w:lang w:eastAsia="zh-CN"/>
        </w:rPr>
        <w:t>运，鸡舍冲洗废水采用封闭专用罐车运输，粪便和废水全部运至辰泰（辽宁）生物科技有限公司</w:t>
      </w:r>
      <w:r>
        <w:rPr>
          <w:rFonts w:hint="eastAsia" w:ascii="Times New Roman" w:hAnsi="Times New Roman" w:eastAsia="宋体"/>
          <w:color w:val="auto"/>
        </w:rPr>
        <w:t>进行有机肥制</w:t>
      </w:r>
      <w:r>
        <w:rPr>
          <w:rFonts w:hint="eastAsia" w:ascii="Times New Roman" w:hAnsi="Times New Roman" w:eastAsia="宋体"/>
          <w:color w:val="auto"/>
          <w:sz w:val="24"/>
          <w:szCs w:val="24"/>
        </w:rPr>
        <w:t>造。</w:t>
      </w:r>
      <w:r>
        <w:rPr>
          <w:rFonts w:hint="eastAsia" w:ascii="Times New Roman" w:hAnsi="Times New Roman" w:eastAsia="宋体"/>
          <w:color w:val="auto"/>
          <w:sz w:val="24"/>
          <w:szCs w:val="24"/>
          <w:lang w:eastAsia="zh-CN"/>
        </w:rPr>
        <w:t>在运输过程中会散发出恶臭气体，本次环评提出一下措施减少恶臭气体排放：</w:t>
      </w:r>
      <w:r>
        <w:rPr>
          <w:rFonts w:hint="default" w:ascii="Times New Roman" w:hAnsi="Times New Roman" w:eastAsia="宋体" w:cs="Times New Roman"/>
          <w:color w:val="auto"/>
          <w:sz w:val="24"/>
          <w:szCs w:val="24"/>
          <w:lang w:eastAsia="zh-CN"/>
        </w:rPr>
        <w:fldChar w:fldCharType="begin"/>
      </w:r>
      <w:r>
        <w:rPr>
          <w:rFonts w:hint="default" w:ascii="Times New Roman" w:hAnsi="Times New Roman" w:eastAsia="宋体" w:cs="Times New Roman"/>
          <w:color w:val="auto"/>
          <w:sz w:val="24"/>
          <w:szCs w:val="24"/>
          <w:lang w:eastAsia="zh-CN"/>
        </w:rPr>
        <w:instrText xml:space="preserve"> = 1 \* GB3 \* MERGEFORMAT </w:instrText>
      </w:r>
      <w:r>
        <w:rPr>
          <w:rFonts w:hint="default" w:ascii="Times New Roman" w:hAnsi="Times New Roman" w:eastAsia="宋体" w:cs="Times New Roman"/>
          <w:color w:val="auto"/>
          <w:sz w:val="24"/>
          <w:szCs w:val="24"/>
          <w:lang w:eastAsia="zh-CN"/>
        </w:rPr>
        <w:fldChar w:fldCharType="separate"/>
      </w:r>
      <w:r>
        <w:rPr>
          <w:rFonts w:hint="default" w:ascii="Times New Roman" w:hAnsi="Times New Roman" w:eastAsia="宋体" w:cs="Times New Roman"/>
          <w:color w:val="auto"/>
          <w:sz w:val="24"/>
          <w:szCs w:val="24"/>
        </w:rPr>
        <w:t>①</w:t>
      </w:r>
      <w:r>
        <w:rPr>
          <w:rFonts w:hint="default" w:ascii="Times New Roman" w:hAnsi="Times New Roman" w:eastAsia="宋体" w:cs="Times New Roman"/>
          <w:color w:val="auto"/>
          <w:sz w:val="24"/>
          <w:szCs w:val="24"/>
          <w:lang w:eastAsia="zh-CN"/>
        </w:rPr>
        <w:fldChar w:fldCharType="end"/>
      </w:r>
      <w:r>
        <w:rPr>
          <w:rFonts w:hint="default" w:ascii="Times New Roman" w:hAnsi="Times New Roman" w:eastAsia="宋体" w:cs="Times New Roman"/>
          <w:color w:val="auto"/>
          <w:sz w:val="24"/>
          <w:szCs w:val="24"/>
          <w:lang w:eastAsia="zh-CN"/>
        </w:rPr>
        <w:t>采用的清粪车和运输罐车均采用密闭设计，源头上防止恶臭气体直接散发到环境中；</w:t>
      </w:r>
      <w:r>
        <w:rPr>
          <w:rFonts w:hint="default" w:ascii="Times New Roman" w:hAnsi="Times New Roman" w:eastAsia="宋体" w:cs="Times New Roman"/>
          <w:color w:val="auto"/>
          <w:sz w:val="24"/>
          <w:szCs w:val="24"/>
          <w:lang w:eastAsia="zh-CN"/>
        </w:rPr>
        <w:fldChar w:fldCharType="begin"/>
      </w:r>
      <w:r>
        <w:rPr>
          <w:rFonts w:hint="default" w:ascii="Times New Roman" w:hAnsi="Times New Roman" w:eastAsia="宋体" w:cs="Times New Roman"/>
          <w:color w:val="auto"/>
          <w:sz w:val="24"/>
          <w:szCs w:val="24"/>
          <w:lang w:eastAsia="zh-CN"/>
        </w:rPr>
        <w:instrText xml:space="preserve"> = 2 \* GB3 \* MERGEFORMAT </w:instrText>
      </w:r>
      <w:r>
        <w:rPr>
          <w:rFonts w:hint="default" w:ascii="Times New Roman" w:hAnsi="Times New Roman" w:eastAsia="宋体" w:cs="Times New Roman"/>
          <w:color w:val="auto"/>
          <w:sz w:val="24"/>
          <w:szCs w:val="24"/>
          <w:lang w:eastAsia="zh-CN"/>
        </w:rPr>
        <w:fldChar w:fldCharType="separate"/>
      </w:r>
      <w:r>
        <w:rPr>
          <w:rFonts w:hint="default" w:ascii="Times New Roman" w:hAnsi="Times New Roman" w:eastAsia="宋体" w:cs="Times New Roman"/>
          <w:color w:val="auto"/>
          <w:sz w:val="24"/>
          <w:szCs w:val="24"/>
        </w:rPr>
        <w:t>②</w:t>
      </w:r>
      <w:r>
        <w:rPr>
          <w:rFonts w:hint="default" w:ascii="Times New Roman" w:hAnsi="Times New Roman" w:eastAsia="宋体" w:cs="Times New Roman"/>
          <w:color w:val="auto"/>
          <w:sz w:val="24"/>
          <w:szCs w:val="24"/>
          <w:lang w:eastAsia="zh-CN"/>
        </w:rPr>
        <w:fldChar w:fldCharType="end"/>
      </w:r>
      <w:r>
        <w:rPr>
          <w:rFonts w:hint="default" w:ascii="Times New Roman" w:hAnsi="Times New Roman" w:eastAsia="宋体" w:cs="Times New Roman"/>
          <w:color w:val="auto"/>
          <w:sz w:val="24"/>
          <w:szCs w:val="24"/>
          <w:lang w:eastAsia="zh-CN"/>
        </w:rPr>
        <w:t>清粪车和废水运输罐车每运输完毕进行清洗和消毒。</w:t>
      </w:r>
      <w:r>
        <w:rPr>
          <w:rFonts w:hint="default" w:ascii="Times New Roman" w:hAnsi="Times New Roman" w:eastAsia="宋体" w:cs="Times New Roman"/>
          <w:color w:val="auto"/>
          <w:sz w:val="24"/>
          <w:szCs w:val="24"/>
          <w:lang w:eastAsia="zh-CN"/>
        </w:rPr>
        <w:fldChar w:fldCharType="begin"/>
      </w:r>
      <w:r>
        <w:rPr>
          <w:rFonts w:hint="default" w:ascii="Times New Roman" w:hAnsi="Times New Roman" w:eastAsia="宋体" w:cs="Times New Roman"/>
          <w:color w:val="auto"/>
          <w:sz w:val="24"/>
          <w:szCs w:val="24"/>
          <w:lang w:eastAsia="zh-CN"/>
        </w:rPr>
        <w:instrText xml:space="preserve"> = 3 \* GB3 \* MERGEFORMAT </w:instrText>
      </w:r>
      <w:r>
        <w:rPr>
          <w:rFonts w:hint="default" w:ascii="Times New Roman" w:hAnsi="Times New Roman" w:eastAsia="宋体" w:cs="Times New Roman"/>
          <w:color w:val="auto"/>
          <w:sz w:val="24"/>
          <w:szCs w:val="24"/>
          <w:lang w:eastAsia="zh-CN"/>
        </w:rPr>
        <w:fldChar w:fldCharType="separate"/>
      </w:r>
      <w:r>
        <w:rPr>
          <w:rFonts w:hint="default" w:ascii="Times New Roman" w:hAnsi="Times New Roman" w:eastAsia="宋体" w:cs="Times New Roman"/>
          <w:color w:val="auto"/>
          <w:sz w:val="24"/>
          <w:szCs w:val="24"/>
        </w:rPr>
        <w:t>③</w:t>
      </w:r>
      <w:r>
        <w:rPr>
          <w:rFonts w:hint="default" w:ascii="Times New Roman" w:hAnsi="Times New Roman" w:eastAsia="宋体" w:cs="Times New Roman"/>
          <w:color w:val="auto"/>
          <w:sz w:val="24"/>
          <w:szCs w:val="24"/>
          <w:lang w:eastAsia="zh-CN"/>
        </w:rPr>
        <w:fldChar w:fldCharType="end"/>
      </w:r>
      <w:r>
        <w:rPr>
          <w:rFonts w:hint="default" w:ascii="Times New Roman" w:hAnsi="Times New Roman" w:eastAsia="宋体" w:cs="Times New Roman"/>
          <w:color w:val="auto"/>
          <w:sz w:val="24"/>
          <w:szCs w:val="24"/>
          <w:lang w:eastAsia="zh-CN"/>
        </w:rPr>
        <w:t>在运输车辆上喷洒微</w:t>
      </w:r>
      <w:r>
        <w:rPr>
          <w:rFonts w:hint="default" w:ascii="Times New Roman" w:hAnsi="Times New Roman" w:eastAsia="宋体" w:cs="Times New Roman"/>
          <w:color w:val="auto"/>
          <w:lang w:eastAsia="zh-CN"/>
        </w:rPr>
        <w:t>生物除臭剂，抑制恶臭气体产生；经上述措施处理后，运输过程中恶臭污</w:t>
      </w:r>
      <w:r>
        <w:rPr>
          <w:rFonts w:hint="eastAsia" w:ascii="Times New Roman" w:hAnsi="Times New Roman" w:eastAsia="宋体"/>
          <w:color w:val="auto"/>
          <w:lang w:eastAsia="zh-CN"/>
        </w:rPr>
        <w:t>染物的排放量极少。且由于运输车辆处于行驶过程，车辆运输产生的恶臭气体对局部大气环境的影响是短暂的，此次环评不做量化分析。</w:t>
      </w:r>
    </w:p>
    <w:p w14:paraId="7E5AC17B">
      <w:pPr>
        <w:pStyle w:val="69"/>
        <w:spacing w:line="360" w:lineRule="auto"/>
        <w:ind w:firstLine="482" w:firstLineChars="200"/>
        <w:jc w:val="left"/>
        <w:rPr>
          <w:rFonts w:hint="eastAsia" w:ascii="Times New Roman" w:hAnsi="Times New Roman" w:eastAsia="宋体"/>
          <w:b/>
          <w:bCs/>
          <w:color w:val="auto"/>
        </w:rPr>
      </w:pPr>
      <w:r>
        <w:rPr>
          <w:rFonts w:hint="eastAsia" w:ascii="Times New Roman" w:hAnsi="Times New Roman" w:eastAsia="宋体"/>
          <w:b/>
          <w:bCs/>
          <w:color w:val="auto"/>
        </w:rPr>
        <w:t>（二）食堂油烟</w:t>
      </w:r>
    </w:p>
    <w:p w14:paraId="068CE34D">
      <w:pPr>
        <w:spacing w:line="360" w:lineRule="auto"/>
        <w:ind w:firstLine="480" w:firstLineChars="200"/>
        <w:rPr>
          <w:color w:val="auto"/>
          <w:kern w:val="0"/>
          <w:sz w:val="24"/>
          <w:szCs w:val="22"/>
        </w:rPr>
      </w:pPr>
      <w:r>
        <w:rPr>
          <w:color w:val="auto"/>
          <w:kern w:val="0"/>
          <w:sz w:val="24"/>
          <w:szCs w:val="22"/>
        </w:rPr>
        <w:t>根据《饮食业油烟排放标准》（GB18483-2001）要求，建设单位的餐饮油烟废气排放必须符合国家相应标准。在标准中规定“饮食业单位油烟的最高允许排放浓度和油烟净化设施最低去除效率”，见表</w:t>
      </w:r>
      <w:r>
        <w:rPr>
          <w:rFonts w:hint="eastAsia"/>
          <w:color w:val="auto"/>
          <w:kern w:val="0"/>
          <w:sz w:val="24"/>
          <w:szCs w:val="22"/>
          <w:lang w:val="en-US" w:eastAsia="zh-CN"/>
        </w:rPr>
        <w:t>3.4-9</w:t>
      </w:r>
      <w:r>
        <w:rPr>
          <w:color w:val="auto"/>
          <w:kern w:val="0"/>
          <w:sz w:val="24"/>
          <w:szCs w:val="22"/>
        </w:rPr>
        <w:t>。</w:t>
      </w:r>
    </w:p>
    <w:p w14:paraId="11E0A9EB">
      <w:pPr>
        <w:jc w:val="center"/>
        <w:rPr>
          <w:color w:val="auto"/>
        </w:rPr>
      </w:pPr>
      <w:r>
        <w:rPr>
          <w:b/>
          <w:color w:val="auto"/>
        </w:rPr>
        <w:t>表</w:t>
      </w:r>
      <w:r>
        <w:rPr>
          <w:rFonts w:hint="eastAsia"/>
          <w:b/>
          <w:color w:val="auto"/>
          <w:lang w:val="en-US" w:eastAsia="zh-CN"/>
        </w:rPr>
        <w:t xml:space="preserve">3.4-9   </w:t>
      </w:r>
      <w:r>
        <w:rPr>
          <w:b/>
          <w:color w:val="auto"/>
        </w:rPr>
        <w:t xml:space="preserve"> 饮食业单位的油烟最高允许排放浓度和油烟净化设施最低去除效率</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95"/>
        <w:gridCol w:w="2020"/>
        <w:gridCol w:w="1914"/>
        <w:gridCol w:w="1394"/>
      </w:tblGrid>
      <w:tr w14:paraId="26EA100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5" w:type="dxa"/>
            <w:vAlign w:val="center"/>
          </w:tcPr>
          <w:p w14:paraId="7193680A">
            <w:pPr>
              <w:jc w:val="center"/>
              <w:rPr>
                <w:color w:val="auto"/>
              </w:rPr>
            </w:pPr>
            <w:r>
              <w:rPr>
                <w:color w:val="auto"/>
              </w:rPr>
              <w:t>规     模</w:t>
            </w:r>
          </w:p>
        </w:tc>
        <w:tc>
          <w:tcPr>
            <w:tcW w:w="2020" w:type="dxa"/>
            <w:vAlign w:val="center"/>
          </w:tcPr>
          <w:p w14:paraId="3CC43172">
            <w:pPr>
              <w:jc w:val="center"/>
              <w:rPr>
                <w:color w:val="auto"/>
              </w:rPr>
            </w:pPr>
            <w:r>
              <w:rPr>
                <w:color w:val="auto"/>
              </w:rPr>
              <w:t>小  型</w:t>
            </w:r>
          </w:p>
        </w:tc>
        <w:tc>
          <w:tcPr>
            <w:tcW w:w="1914" w:type="dxa"/>
            <w:vAlign w:val="center"/>
          </w:tcPr>
          <w:p w14:paraId="11F6CD3D">
            <w:pPr>
              <w:jc w:val="center"/>
              <w:rPr>
                <w:color w:val="auto"/>
              </w:rPr>
            </w:pPr>
            <w:r>
              <w:rPr>
                <w:color w:val="auto"/>
              </w:rPr>
              <w:t>中  型</w:t>
            </w:r>
          </w:p>
        </w:tc>
        <w:tc>
          <w:tcPr>
            <w:tcW w:w="1394" w:type="dxa"/>
            <w:vAlign w:val="center"/>
          </w:tcPr>
          <w:p w14:paraId="773E7049">
            <w:pPr>
              <w:jc w:val="center"/>
              <w:rPr>
                <w:color w:val="auto"/>
              </w:rPr>
            </w:pPr>
            <w:r>
              <w:rPr>
                <w:color w:val="auto"/>
              </w:rPr>
              <w:t>大  型</w:t>
            </w:r>
          </w:p>
        </w:tc>
      </w:tr>
      <w:tr w14:paraId="225E2B0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5" w:type="dxa"/>
            <w:vAlign w:val="center"/>
          </w:tcPr>
          <w:p w14:paraId="3C27E96D">
            <w:pPr>
              <w:jc w:val="center"/>
              <w:rPr>
                <w:color w:val="auto"/>
              </w:rPr>
            </w:pPr>
            <w:r>
              <w:rPr>
                <w:color w:val="auto"/>
              </w:rPr>
              <w:t>基准灶头数</w:t>
            </w:r>
          </w:p>
        </w:tc>
        <w:tc>
          <w:tcPr>
            <w:tcW w:w="2020" w:type="dxa"/>
            <w:vAlign w:val="center"/>
          </w:tcPr>
          <w:p w14:paraId="6CED3458">
            <w:pPr>
              <w:jc w:val="center"/>
              <w:rPr>
                <w:color w:val="auto"/>
              </w:rPr>
            </w:pPr>
            <w:r>
              <w:rPr>
                <w:color w:val="auto"/>
              </w:rPr>
              <w:t>≥1，&lt;3</w:t>
            </w:r>
          </w:p>
        </w:tc>
        <w:tc>
          <w:tcPr>
            <w:tcW w:w="1914" w:type="dxa"/>
            <w:vAlign w:val="center"/>
          </w:tcPr>
          <w:p w14:paraId="68034776">
            <w:pPr>
              <w:jc w:val="center"/>
              <w:rPr>
                <w:color w:val="auto"/>
              </w:rPr>
            </w:pPr>
            <w:r>
              <w:rPr>
                <w:color w:val="auto"/>
              </w:rPr>
              <w:t>≥3，&lt;6</w:t>
            </w:r>
          </w:p>
        </w:tc>
        <w:tc>
          <w:tcPr>
            <w:tcW w:w="1394" w:type="dxa"/>
            <w:vAlign w:val="center"/>
          </w:tcPr>
          <w:p w14:paraId="0A4B6452">
            <w:pPr>
              <w:jc w:val="center"/>
              <w:rPr>
                <w:color w:val="auto"/>
              </w:rPr>
            </w:pPr>
            <w:r>
              <w:rPr>
                <w:color w:val="auto"/>
              </w:rPr>
              <w:t>≥6</w:t>
            </w:r>
          </w:p>
        </w:tc>
      </w:tr>
      <w:tr w14:paraId="6A909E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5" w:type="dxa"/>
            <w:vAlign w:val="center"/>
          </w:tcPr>
          <w:p w14:paraId="68584414">
            <w:pPr>
              <w:jc w:val="center"/>
              <w:rPr>
                <w:color w:val="auto"/>
              </w:rPr>
            </w:pPr>
            <w:r>
              <w:rPr>
                <w:color w:val="auto"/>
              </w:rPr>
              <w:t>对应灶头总功率（108J/h）</w:t>
            </w:r>
          </w:p>
        </w:tc>
        <w:tc>
          <w:tcPr>
            <w:tcW w:w="2020" w:type="dxa"/>
            <w:vAlign w:val="center"/>
          </w:tcPr>
          <w:p w14:paraId="468826AB">
            <w:pPr>
              <w:jc w:val="center"/>
              <w:rPr>
                <w:color w:val="auto"/>
              </w:rPr>
            </w:pPr>
            <w:r>
              <w:rPr>
                <w:color w:val="auto"/>
              </w:rPr>
              <w:t>≥1.67，&lt;5.00</w:t>
            </w:r>
          </w:p>
        </w:tc>
        <w:tc>
          <w:tcPr>
            <w:tcW w:w="1914" w:type="dxa"/>
            <w:vAlign w:val="center"/>
          </w:tcPr>
          <w:p w14:paraId="562240B4">
            <w:pPr>
              <w:jc w:val="center"/>
              <w:rPr>
                <w:color w:val="auto"/>
              </w:rPr>
            </w:pPr>
            <w:r>
              <w:rPr>
                <w:color w:val="auto"/>
              </w:rPr>
              <w:t>≥5.00，&lt;10</w:t>
            </w:r>
          </w:p>
        </w:tc>
        <w:tc>
          <w:tcPr>
            <w:tcW w:w="1394" w:type="dxa"/>
            <w:vAlign w:val="center"/>
          </w:tcPr>
          <w:p w14:paraId="15441A77">
            <w:pPr>
              <w:jc w:val="center"/>
              <w:rPr>
                <w:color w:val="auto"/>
              </w:rPr>
            </w:pPr>
            <w:r>
              <w:rPr>
                <w:color w:val="auto"/>
              </w:rPr>
              <w:t>≥10</w:t>
            </w:r>
          </w:p>
        </w:tc>
      </w:tr>
      <w:tr w14:paraId="6EB60F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5" w:type="dxa"/>
            <w:vAlign w:val="center"/>
          </w:tcPr>
          <w:p w14:paraId="07FB91C4">
            <w:pPr>
              <w:ind w:left="-17" w:leftChars="-8"/>
              <w:jc w:val="center"/>
              <w:rPr>
                <w:color w:val="auto"/>
              </w:rPr>
            </w:pPr>
            <w:r>
              <w:rPr>
                <w:color w:val="auto"/>
              </w:rPr>
              <w:t>对应排气罩灶面总投影面积（m</w:t>
            </w:r>
            <w:r>
              <w:rPr>
                <w:color w:val="auto"/>
                <w:vertAlign w:val="superscript"/>
              </w:rPr>
              <w:t>2</w:t>
            </w:r>
            <w:r>
              <w:rPr>
                <w:color w:val="auto"/>
              </w:rPr>
              <w:t>）</w:t>
            </w:r>
          </w:p>
        </w:tc>
        <w:tc>
          <w:tcPr>
            <w:tcW w:w="2020" w:type="dxa"/>
            <w:vAlign w:val="center"/>
          </w:tcPr>
          <w:p w14:paraId="3A4403E2">
            <w:pPr>
              <w:jc w:val="center"/>
              <w:rPr>
                <w:color w:val="auto"/>
              </w:rPr>
            </w:pPr>
            <w:r>
              <w:rPr>
                <w:color w:val="auto"/>
              </w:rPr>
              <w:t>≥1.1，&lt;3.3</w:t>
            </w:r>
          </w:p>
        </w:tc>
        <w:tc>
          <w:tcPr>
            <w:tcW w:w="1914" w:type="dxa"/>
            <w:vAlign w:val="center"/>
          </w:tcPr>
          <w:p w14:paraId="3B31484F">
            <w:pPr>
              <w:jc w:val="center"/>
              <w:rPr>
                <w:color w:val="auto"/>
              </w:rPr>
            </w:pPr>
            <w:r>
              <w:rPr>
                <w:color w:val="auto"/>
              </w:rPr>
              <w:t>≥3.3，&lt;6.6</w:t>
            </w:r>
          </w:p>
        </w:tc>
        <w:tc>
          <w:tcPr>
            <w:tcW w:w="1394" w:type="dxa"/>
            <w:vAlign w:val="center"/>
          </w:tcPr>
          <w:p w14:paraId="03ADECE4">
            <w:pPr>
              <w:jc w:val="center"/>
              <w:rPr>
                <w:color w:val="auto"/>
              </w:rPr>
            </w:pPr>
            <w:r>
              <w:rPr>
                <w:color w:val="auto"/>
              </w:rPr>
              <w:t>≥6.6</w:t>
            </w:r>
          </w:p>
        </w:tc>
      </w:tr>
      <w:tr w14:paraId="1FFC5C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5" w:type="dxa"/>
            <w:vAlign w:val="center"/>
          </w:tcPr>
          <w:p w14:paraId="518DBF55">
            <w:pPr>
              <w:jc w:val="center"/>
              <w:rPr>
                <w:color w:val="auto"/>
              </w:rPr>
            </w:pPr>
            <w:r>
              <w:rPr>
                <w:color w:val="auto"/>
              </w:rPr>
              <w:t>最高允许排放浓度（mg/m</w:t>
            </w:r>
            <w:r>
              <w:rPr>
                <w:color w:val="auto"/>
                <w:vertAlign w:val="superscript"/>
              </w:rPr>
              <w:t>3</w:t>
            </w:r>
            <w:r>
              <w:rPr>
                <w:color w:val="auto"/>
              </w:rPr>
              <w:t>）</w:t>
            </w:r>
          </w:p>
        </w:tc>
        <w:tc>
          <w:tcPr>
            <w:tcW w:w="5328" w:type="dxa"/>
            <w:gridSpan w:val="3"/>
            <w:vAlign w:val="center"/>
          </w:tcPr>
          <w:p w14:paraId="32477BC6">
            <w:pPr>
              <w:jc w:val="center"/>
              <w:rPr>
                <w:color w:val="auto"/>
              </w:rPr>
            </w:pPr>
            <w:r>
              <w:rPr>
                <w:color w:val="auto"/>
              </w:rPr>
              <w:t>2.0</w:t>
            </w:r>
          </w:p>
        </w:tc>
      </w:tr>
      <w:tr w14:paraId="1EBDBE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5" w:type="dxa"/>
            <w:vAlign w:val="center"/>
          </w:tcPr>
          <w:p w14:paraId="023D22E3">
            <w:pPr>
              <w:jc w:val="center"/>
              <w:rPr>
                <w:color w:val="auto"/>
              </w:rPr>
            </w:pPr>
            <w:r>
              <w:rPr>
                <w:color w:val="auto"/>
              </w:rPr>
              <w:t>净化设施最低去除率（%）</w:t>
            </w:r>
          </w:p>
        </w:tc>
        <w:tc>
          <w:tcPr>
            <w:tcW w:w="2020" w:type="dxa"/>
            <w:vAlign w:val="center"/>
          </w:tcPr>
          <w:p w14:paraId="539B1D82">
            <w:pPr>
              <w:jc w:val="center"/>
              <w:rPr>
                <w:color w:val="auto"/>
              </w:rPr>
            </w:pPr>
            <w:r>
              <w:rPr>
                <w:color w:val="auto"/>
              </w:rPr>
              <w:t>60</w:t>
            </w:r>
          </w:p>
        </w:tc>
        <w:tc>
          <w:tcPr>
            <w:tcW w:w="1914" w:type="dxa"/>
            <w:vAlign w:val="center"/>
          </w:tcPr>
          <w:p w14:paraId="75953DD0">
            <w:pPr>
              <w:jc w:val="center"/>
              <w:rPr>
                <w:color w:val="auto"/>
              </w:rPr>
            </w:pPr>
            <w:r>
              <w:rPr>
                <w:color w:val="auto"/>
              </w:rPr>
              <w:t>75</w:t>
            </w:r>
          </w:p>
        </w:tc>
        <w:tc>
          <w:tcPr>
            <w:tcW w:w="1394" w:type="dxa"/>
            <w:vAlign w:val="center"/>
          </w:tcPr>
          <w:p w14:paraId="05DB48A9">
            <w:pPr>
              <w:jc w:val="center"/>
              <w:rPr>
                <w:color w:val="auto"/>
              </w:rPr>
            </w:pPr>
            <w:r>
              <w:rPr>
                <w:color w:val="auto"/>
              </w:rPr>
              <w:t>85</w:t>
            </w:r>
          </w:p>
        </w:tc>
      </w:tr>
    </w:tbl>
    <w:p w14:paraId="239CC24F">
      <w:pPr>
        <w:spacing w:line="360" w:lineRule="auto"/>
        <w:ind w:firstLine="480" w:firstLineChars="200"/>
        <w:jc w:val="left"/>
        <w:rPr>
          <w:color w:val="auto"/>
          <w:sz w:val="24"/>
          <w:highlight w:val="yellow"/>
        </w:rPr>
      </w:pPr>
      <w:r>
        <w:rPr>
          <w:color w:val="auto"/>
          <w:kern w:val="0"/>
          <w:sz w:val="24"/>
          <w:szCs w:val="22"/>
        </w:rPr>
        <w:t>在标准中5.1还规定“排放油烟的饮食业单位必须安装油烟净化设施，并保证操作期间按要求运行。油烟无组织排放视同超标。”</w:t>
      </w:r>
    </w:p>
    <w:p w14:paraId="0D43390A">
      <w:pPr>
        <w:spacing w:line="360" w:lineRule="auto"/>
        <w:ind w:firstLine="480" w:firstLineChars="200"/>
        <w:jc w:val="left"/>
        <w:rPr>
          <w:bCs/>
          <w:color w:val="auto"/>
          <w:sz w:val="24"/>
        </w:rPr>
      </w:pPr>
      <w:r>
        <w:rPr>
          <w:bCs/>
          <w:color w:val="auto"/>
          <w:sz w:val="24"/>
        </w:rPr>
        <w:t>根据项目提供资料可知，食堂拟设置2个基准灶头，属于小型饮食业单位</w:t>
      </w:r>
      <w:r>
        <w:rPr>
          <w:rFonts w:hint="eastAsia"/>
          <w:bCs/>
          <w:color w:val="auto"/>
          <w:sz w:val="24"/>
        </w:rPr>
        <w:t>。</w:t>
      </w:r>
      <w:r>
        <w:rPr>
          <w:color w:val="auto"/>
          <w:sz w:val="24"/>
          <w:highlight w:val="none"/>
        </w:rPr>
        <w:t>本项目</w:t>
      </w:r>
      <w:r>
        <w:rPr>
          <w:rFonts w:hint="eastAsia"/>
          <w:color w:val="auto"/>
          <w:sz w:val="24"/>
          <w:highlight w:val="none"/>
          <w:lang w:eastAsia="zh-CN"/>
        </w:rPr>
        <w:t>员工</w:t>
      </w:r>
      <w:r>
        <w:rPr>
          <w:rFonts w:hint="eastAsia"/>
          <w:color w:val="auto"/>
          <w:sz w:val="24"/>
          <w:highlight w:val="none"/>
          <w:lang w:val="en-US" w:eastAsia="zh-CN"/>
        </w:rPr>
        <w:t>60人</w:t>
      </w:r>
      <w:r>
        <w:rPr>
          <w:rFonts w:hint="eastAsia"/>
          <w:color w:val="auto"/>
          <w:sz w:val="24"/>
          <w:highlight w:val="none"/>
        </w:rPr>
        <w:t>，</w:t>
      </w:r>
      <w:r>
        <w:rPr>
          <w:color w:val="auto"/>
          <w:sz w:val="24"/>
        </w:rPr>
        <w:t>全部在厂内食宿，食用油消耗系数为50g/(人·天)，年工作</w:t>
      </w:r>
      <w:r>
        <w:rPr>
          <w:rFonts w:hint="eastAsia"/>
          <w:color w:val="auto"/>
          <w:sz w:val="24"/>
        </w:rPr>
        <w:t>365</w:t>
      </w:r>
      <w:r>
        <w:rPr>
          <w:color w:val="auto"/>
          <w:sz w:val="24"/>
        </w:rPr>
        <w:t>天，则食用油消耗量为</w:t>
      </w:r>
      <w:r>
        <w:rPr>
          <w:rFonts w:hint="eastAsia"/>
          <w:color w:val="auto"/>
          <w:sz w:val="24"/>
        </w:rPr>
        <w:t>0.73</w:t>
      </w:r>
      <w:r>
        <w:rPr>
          <w:color w:val="auto"/>
          <w:sz w:val="24"/>
        </w:rPr>
        <w:t>t/a，烹饪过程中的挥发损失约3%，即食堂油烟产生量为</w:t>
      </w:r>
      <w:r>
        <w:rPr>
          <w:rFonts w:hint="eastAsia"/>
          <w:color w:val="auto"/>
          <w:sz w:val="24"/>
        </w:rPr>
        <w:t>0.0219</w:t>
      </w:r>
      <w:r>
        <w:rPr>
          <w:color w:val="auto"/>
          <w:sz w:val="24"/>
        </w:rPr>
        <w:t>t/a</w:t>
      </w:r>
      <w:r>
        <w:rPr>
          <w:rFonts w:hint="eastAsia"/>
          <w:color w:val="auto"/>
          <w:sz w:val="24"/>
        </w:rPr>
        <w:t>（0.015kg/h）</w:t>
      </w:r>
      <w:r>
        <w:rPr>
          <w:color w:val="auto"/>
          <w:sz w:val="24"/>
        </w:rPr>
        <w:t>。每天烹饪时间为</w:t>
      </w:r>
      <w:r>
        <w:rPr>
          <w:rFonts w:hint="eastAsia"/>
          <w:color w:val="auto"/>
          <w:sz w:val="24"/>
        </w:rPr>
        <w:t>4</w:t>
      </w:r>
      <w:r>
        <w:rPr>
          <w:color w:val="auto"/>
          <w:sz w:val="24"/>
        </w:rPr>
        <w:t>小时，单个灶头基准排放量以2000m</w:t>
      </w:r>
      <w:r>
        <w:rPr>
          <w:color w:val="auto"/>
          <w:sz w:val="24"/>
          <w:vertAlign w:val="superscript"/>
        </w:rPr>
        <w:t>3</w:t>
      </w:r>
      <w:r>
        <w:rPr>
          <w:color w:val="auto"/>
          <w:sz w:val="24"/>
        </w:rPr>
        <w:t>/h 计，则油烟产生浓度为</w:t>
      </w:r>
      <w:r>
        <w:rPr>
          <w:rFonts w:hint="eastAsia"/>
          <w:color w:val="auto"/>
          <w:sz w:val="24"/>
        </w:rPr>
        <w:t>3.75</w:t>
      </w:r>
      <w:r>
        <w:rPr>
          <w:color w:val="auto"/>
          <w:sz w:val="24"/>
        </w:rPr>
        <w:t>mg/m</w:t>
      </w:r>
      <w:r>
        <w:rPr>
          <w:color w:val="auto"/>
          <w:sz w:val="24"/>
          <w:vertAlign w:val="superscript"/>
        </w:rPr>
        <w:t>3</w:t>
      </w:r>
      <w:r>
        <w:rPr>
          <w:color w:val="auto"/>
          <w:sz w:val="24"/>
        </w:rPr>
        <w:t>。需安装净化效率不低于</w:t>
      </w:r>
      <w:r>
        <w:rPr>
          <w:rFonts w:hint="eastAsia"/>
          <w:color w:val="auto"/>
          <w:sz w:val="24"/>
        </w:rPr>
        <w:t>6</w:t>
      </w:r>
      <w:r>
        <w:rPr>
          <w:color w:val="auto"/>
          <w:sz w:val="24"/>
        </w:rPr>
        <w:t>0%的油烟净化器，产生的油烟通过油烟净化器，由屋顶高空排放</w:t>
      </w:r>
      <w:r>
        <w:rPr>
          <w:rFonts w:hint="eastAsia"/>
          <w:color w:val="auto"/>
          <w:sz w:val="24"/>
        </w:rPr>
        <w:t>（</w:t>
      </w:r>
      <w:r>
        <w:rPr>
          <w:rFonts w:hint="eastAsia"/>
          <w:color w:val="auto"/>
          <w:sz w:val="24"/>
          <w:lang w:val="en-US" w:eastAsia="zh-CN"/>
        </w:rPr>
        <w:t>DA002</w:t>
      </w:r>
      <w:r>
        <w:rPr>
          <w:rFonts w:hint="eastAsia"/>
          <w:color w:val="auto"/>
          <w:sz w:val="24"/>
        </w:rPr>
        <w:t>）</w:t>
      </w:r>
      <w:r>
        <w:rPr>
          <w:color w:val="auto"/>
          <w:sz w:val="24"/>
        </w:rPr>
        <w:t>，处理后的油烟排放量为</w:t>
      </w:r>
      <w:r>
        <w:rPr>
          <w:rFonts w:hint="eastAsia"/>
          <w:color w:val="auto"/>
          <w:sz w:val="24"/>
        </w:rPr>
        <w:t>0.00876t/a（</w:t>
      </w:r>
      <w:r>
        <w:rPr>
          <w:color w:val="auto"/>
          <w:sz w:val="24"/>
        </w:rPr>
        <w:t>0.00</w:t>
      </w:r>
      <w:r>
        <w:rPr>
          <w:rFonts w:hint="eastAsia"/>
          <w:color w:val="auto"/>
          <w:sz w:val="24"/>
        </w:rPr>
        <w:t>6</w:t>
      </w:r>
      <w:r>
        <w:rPr>
          <w:color w:val="auto"/>
          <w:sz w:val="24"/>
        </w:rPr>
        <w:t>kg/h</w:t>
      </w:r>
      <w:r>
        <w:rPr>
          <w:rFonts w:hint="eastAsia"/>
          <w:color w:val="auto"/>
          <w:sz w:val="24"/>
        </w:rPr>
        <w:t>）</w:t>
      </w:r>
      <w:r>
        <w:rPr>
          <w:color w:val="auto"/>
          <w:sz w:val="24"/>
        </w:rPr>
        <w:t>，排放浓度为</w:t>
      </w:r>
      <w:r>
        <w:rPr>
          <w:rFonts w:hint="eastAsia"/>
          <w:color w:val="auto"/>
          <w:sz w:val="24"/>
        </w:rPr>
        <w:t>1.5</w:t>
      </w:r>
      <w:r>
        <w:rPr>
          <w:color w:val="auto"/>
          <w:sz w:val="24"/>
        </w:rPr>
        <w:t>mg/m</w:t>
      </w:r>
      <w:r>
        <w:rPr>
          <w:color w:val="auto"/>
          <w:sz w:val="24"/>
          <w:vertAlign w:val="superscript"/>
        </w:rPr>
        <w:t>3</w:t>
      </w:r>
      <w:r>
        <w:rPr>
          <w:color w:val="auto"/>
          <w:sz w:val="24"/>
        </w:rPr>
        <w:t>，油烟排放浓度满足《饮食业油烟排放标准》(</w:t>
      </w:r>
      <w:r>
        <w:rPr>
          <w:color w:val="auto"/>
          <w:kern w:val="0"/>
          <w:sz w:val="24"/>
        </w:rPr>
        <w:t>GB18483—2001</w:t>
      </w:r>
      <w:r>
        <w:rPr>
          <w:color w:val="auto"/>
          <w:sz w:val="24"/>
        </w:rPr>
        <w:t>)表2标准限值（≤2.0mg/m</w:t>
      </w:r>
      <w:r>
        <w:rPr>
          <w:color w:val="auto"/>
          <w:sz w:val="24"/>
          <w:vertAlign w:val="superscript"/>
        </w:rPr>
        <w:t>3</w:t>
      </w:r>
      <w:r>
        <w:rPr>
          <w:color w:val="auto"/>
          <w:sz w:val="24"/>
        </w:rPr>
        <w:t>）要求。</w:t>
      </w:r>
    </w:p>
    <w:p w14:paraId="2E3739DB">
      <w:pPr>
        <w:spacing w:line="360" w:lineRule="auto"/>
        <w:ind w:firstLine="482" w:firstLineChars="200"/>
        <w:jc w:val="left"/>
        <w:rPr>
          <w:b/>
          <w:color w:val="auto"/>
          <w:sz w:val="24"/>
          <w:highlight w:val="none"/>
        </w:rPr>
      </w:pPr>
      <w:r>
        <w:rPr>
          <w:rFonts w:hint="eastAsia"/>
          <w:b/>
          <w:bCs/>
          <w:color w:val="auto"/>
          <w:sz w:val="24"/>
          <w:highlight w:val="none"/>
        </w:rPr>
        <w:t>（三）锅炉废气</w:t>
      </w:r>
    </w:p>
    <w:p w14:paraId="10AC4729">
      <w:pPr>
        <w:tabs>
          <w:tab w:val="left" w:pos="3360"/>
        </w:tabs>
        <w:spacing w:line="360" w:lineRule="auto"/>
        <w:ind w:firstLine="480" w:firstLineChars="200"/>
        <w:rPr>
          <w:color w:val="auto"/>
          <w:sz w:val="24"/>
          <w:lang w:bidi="en-US"/>
        </w:rPr>
      </w:pPr>
      <w:r>
        <w:rPr>
          <w:color w:val="auto"/>
          <w:sz w:val="24"/>
          <w:highlight w:val="none"/>
        </w:rPr>
        <w:t>本项目</w:t>
      </w:r>
      <w:r>
        <w:rPr>
          <w:rFonts w:hint="eastAsia"/>
          <w:color w:val="auto"/>
          <w:sz w:val="24"/>
          <w:highlight w:val="none"/>
          <w:lang w:eastAsia="zh-CN"/>
        </w:rPr>
        <w:t>锅炉房</w:t>
      </w:r>
      <w:r>
        <w:rPr>
          <w:rFonts w:hint="eastAsia"/>
          <w:color w:val="auto"/>
          <w:sz w:val="24"/>
          <w:highlight w:val="none"/>
          <w:lang w:val="en-US" w:eastAsia="zh-CN"/>
        </w:rPr>
        <w:t>内</w:t>
      </w:r>
      <w:r>
        <w:rPr>
          <w:rFonts w:hint="eastAsia"/>
          <w:bCs/>
          <w:color w:val="auto"/>
          <w:sz w:val="24"/>
          <w:highlight w:val="none"/>
          <w:lang w:eastAsia="zh-CN"/>
        </w:rPr>
        <w:t>建设</w:t>
      </w:r>
      <w:r>
        <w:rPr>
          <w:rFonts w:hint="eastAsia"/>
          <w:bCs/>
          <w:color w:val="auto"/>
          <w:sz w:val="24"/>
          <w:highlight w:val="none"/>
          <w:lang w:val="en-US" w:eastAsia="zh-CN"/>
        </w:rPr>
        <w:t>1</w:t>
      </w:r>
      <w:r>
        <w:rPr>
          <w:bCs/>
          <w:color w:val="auto"/>
          <w:sz w:val="24"/>
          <w:highlight w:val="none"/>
        </w:rPr>
        <w:t>台</w:t>
      </w:r>
      <w:r>
        <w:rPr>
          <w:rFonts w:hint="eastAsia"/>
          <w:bCs/>
          <w:color w:val="auto"/>
          <w:sz w:val="24"/>
          <w:highlight w:val="none"/>
          <w:lang w:val="en-US" w:eastAsia="zh-CN"/>
        </w:rPr>
        <w:t>1.4MW的生物质成型燃料</w:t>
      </w:r>
      <w:r>
        <w:rPr>
          <w:bCs/>
          <w:color w:val="auto"/>
          <w:sz w:val="24"/>
          <w:highlight w:val="none"/>
        </w:rPr>
        <w:t>锅炉，</w:t>
      </w:r>
      <w:r>
        <w:rPr>
          <w:rFonts w:hint="eastAsia"/>
          <w:bCs/>
          <w:color w:val="auto"/>
          <w:sz w:val="24"/>
          <w:highlight w:val="none"/>
        </w:rPr>
        <w:t>为</w:t>
      </w:r>
      <w:r>
        <w:rPr>
          <w:rFonts w:hint="eastAsia"/>
          <w:bCs/>
          <w:color w:val="auto"/>
          <w:sz w:val="24"/>
          <w:highlight w:val="none"/>
          <w:lang w:eastAsia="zh-CN"/>
        </w:rPr>
        <w:t>门卫和蛋库</w:t>
      </w:r>
      <w:r>
        <w:rPr>
          <w:bCs/>
          <w:color w:val="auto"/>
          <w:sz w:val="24"/>
          <w:highlight w:val="none"/>
        </w:rPr>
        <w:t>供暖提供热源，</w:t>
      </w:r>
      <w:r>
        <w:rPr>
          <w:rFonts w:hint="eastAsia"/>
          <w:bCs/>
          <w:color w:val="auto"/>
          <w:sz w:val="24"/>
          <w:highlight w:val="none"/>
          <w:lang w:eastAsia="zh-CN"/>
        </w:rPr>
        <w:t>锅炉采用低氮燃烧法，</w:t>
      </w:r>
      <w:r>
        <w:rPr>
          <w:rFonts w:hint="eastAsia"/>
          <w:bCs/>
          <w:color w:val="auto"/>
          <w:sz w:val="24"/>
          <w:highlight w:val="none"/>
          <w:lang w:val="en-US" w:eastAsia="zh-CN"/>
        </w:rPr>
        <w:t>生物质</w:t>
      </w:r>
      <w:r>
        <w:rPr>
          <w:rFonts w:hint="eastAsia"/>
          <w:color w:val="auto"/>
          <w:sz w:val="24"/>
          <w:lang w:bidi="en-US"/>
        </w:rPr>
        <w:t>锅炉</w:t>
      </w:r>
      <w:r>
        <w:rPr>
          <w:rFonts w:hint="eastAsia"/>
          <w:color w:val="auto"/>
          <w:sz w:val="24"/>
          <w:lang w:eastAsia="zh-CN" w:bidi="en-US"/>
        </w:rPr>
        <w:t>配置</w:t>
      </w:r>
      <w:r>
        <w:rPr>
          <w:rFonts w:hint="eastAsia"/>
          <w:color w:val="auto"/>
          <w:sz w:val="24"/>
          <w:lang w:val="en-US" w:eastAsia="zh-CN" w:bidi="en-US"/>
        </w:rPr>
        <w:t>1台旋风除尘器+布袋除尘器，</w:t>
      </w:r>
      <w:r>
        <w:rPr>
          <w:rFonts w:hint="eastAsia"/>
          <w:color w:val="auto"/>
          <w:sz w:val="24"/>
          <w:lang w:bidi="en-US"/>
        </w:rPr>
        <w:t>烟气经</w:t>
      </w:r>
      <w:r>
        <w:rPr>
          <w:rFonts w:hint="eastAsia"/>
          <w:color w:val="auto"/>
          <w:sz w:val="24"/>
          <w:lang w:eastAsia="zh-CN" w:bidi="en-US"/>
        </w:rPr>
        <w:t>处理后，</w:t>
      </w:r>
      <w:r>
        <w:rPr>
          <w:rFonts w:hint="eastAsia"/>
          <w:color w:val="auto"/>
          <w:sz w:val="24"/>
          <w:lang w:bidi="en-US"/>
        </w:rPr>
        <w:t>通过</w:t>
      </w:r>
      <w:r>
        <w:rPr>
          <w:rFonts w:hint="eastAsia"/>
          <w:color w:val="auto"/>
          <w:sz w:val="24"/>
          <w:lang w:val="en-US" w:eastAsia="zh-CN" w:bidi="en-US"/>
        </w:rPr>
        <w:t>1</w:t>
      </w:r>
      <w:r>
        <w:rPr>
          <w:rFonts w:hint="eastAsia"/>
          <w:color w:val="auto"/>
          <w:sz w:val="24"/>
          <w:lang w:bidi="en-US"/>
        </w:rPr>
        <w:t>根</w:t>
      </w:r>
      <w:r>
        <w:rPr>
          <w:rFonts w:hint="eastAsia"/>
          <w:color w:val="auto"/>
          <w:sz w:val="24"/>
          <w:lang w:val="en-US" w:eastAsia="zh-CN" w:bidi="en-US"/>
        </w:rPr>
        <w:t>30m</w:t>
      </w:r>
      <w:r>
        <w:rPr>
          <w:rFonts w:hint="eastAsia"/>
          <w:color w:val="auto"/>
          <w:sz w:val="24"/>
          <w:lang w:bidi="en-US"/>
        </w:rPr>
        <w:t>高烟囱</w:t>
      </w:r>
      <w:r>
        <w:rPr>
          <w:rFonts w:hint="eastAsia"/>
          <w:color w:val="auto"/>
          <w:sz w:val="24"/>
          <w:lang w:eastAsia="zh-CN" w:bidi="en-US"/>
        </w:rPr>
        <w:t>（</w:t>
      </w:r>
      <w:r>
        <w:rPr>
          <w:rFonts w:hint="eastAsia"/>
          <w:color w:val="auto"/>
          <w:sz w:val="24"/>
          <w:lang w:val="en-US" w:eastAsia="zh-CN" w:bidi="en-US"/>
        </w:rPr>
        <w:t>DA001</w:t>
      </w:r>
      <w:r>
        <w:rPr>
          <w:rFonts w:hint="eastAsia"/>
          <w:color w:val="auto"/>
          <w:sz w:val="24"/>
          <w:lang w:eastAsia="zh-CN" w:bidi="en-US"/>
        </w:rPr>
        <w:t>）</w:t>
      </w:r>
      <w:r>
        <w:rPr>
          <w:rFonts w:hint="eastAsia"/>
          <w:color w:val="auto"/>
          <w:sz w:val="24"/>
          <w:lang w:bidi="en-US"/>
        </w:rPr>
        <w:t>排放。根据环办函〔</w:t>
      </w:r>
      <w:r>
        <w:rPr>
          <w:color w:val="auto"/>
          <w:sz w:val="24"/>
          <w:lang w:bidi="en-US"/>
        </w:rPr>
        <w:t>2009</w:t>
      </w:r>
      <w:r>
        <w:rPr>
          <w:rFonts w:hint="eastAsia"/>
          <w:color w:val="auto"/>
          <w:sz w:val="24"/>
          <w:lang w:bidi="en-US"/>
        </w:rPr>
        <w:t>〕</w:t>
      </w:r>
      <w:r>
        <w:rPr>
          <w:color w:val="auto"/>
          <w:sz w:val="24"/>
          <w:lang w:bidi="en-US"/>
        </w:rPr>
        <w:t>797</w:t>
      </w:r>
      <w:r>
        <w:rPr>
          <w:rFonts w:hint="eastAsia"/>
          <w:color w:val="auto"/>
          <w:sz w:val="24"/>
          <w:lang w:bidi="en-US"/>
        </w:rPr>
        <w:t>号文</w:t>
      </w:r>
      <w:r>
        <w:rPr>
          <w:color w:val="auto"/>
          <w:sz w:val="24"/>
          <w:lang w:bidi="en-US"/>
        </w:rPr>
        <w:t>(2009)</w:t>
      </w:r>
      <w:r>
        <w:rPr>
          <w:rFonts w:hint="eastAsia"/>
          <w:color w:val="auto"/>
          <w:sz w:val="24"/>
          <w:lang w:bidi="en-US"/>
        </w:rPr>
        <w:t>：采用农林废弃物</w:t>
      </w:r>
      <w:r>
        <w:rPr>
          <w:color w:val="auto"/>
          <w:sz w:val="24"/>
          <w:lang w:bidi="en-US"/>
        </w:rPr>
        <w:t>(</w:t>
      </w:r>
      <w:r>
        <w:rPr>
          <w:rFonts w:hint="eastAsia"/>
          <w:color w:val="auto"/>
          <w:sz w:val="24"/>
          <w:lang w:bidi="en-US"/>
        </w:rPr>
        <w:t>秸秆、稻壳、木屑、树枝等</w:t>
      </w:r>
      <w:r>
        <w:rPr>
          <w:color w:val="auto"/>
          <w:sz w:val="24"/>
          <w:lang w:bidi="en-US"/>
        </w:rPr>
        <w:t>)</w:t>
      </w:r>
      <w:r>
        <w:rPr>
          <w:rFonts w:hint="eastAsia"/>
          <w:color w:val="auto"/>
          <w:sz w:val="24"/>
          <w:lang w:bidi="en-US"/>
        </w:rPr>
        <w:t>为原料，通过专门设备在特定工艺条件下加工制成的棒状、块状或颗粒状等生物质成型燃料，可有效改善农林废弃物的燃烧性能，其硫和灰份含量较低，在配套的专用燃烧设备上应用，可实现清洁、高效燃烧，产生的二氧化硫、氮氧化物和烟尘较少，不属于高污染燃料。</w:t>
      </w:r>
    </w:p>
    <w:p w14:paraId="28748887">
      <w:pPr>
        <w:keepNext w:val="0"/>
        <w:keepLines w:val="0"/>
        <w:pageBreakBefore w:val="0"/>
        <w:widowControl w:val="0"/>
        <w:tabs>
          <w:tab w:val="left" w:pos="4665"/>
          <w:tab w:val="left" w:pos="8970"/>
        </w:tabs>
        <w:kinsoku/>
        <w:wordWrap/>
        <w:overflowPunct/>
        <w:topLinePunct w:val="0"/>
        <w:autoSpaceDE/>
        <w:autoSpaceDN/>
        <w:bidi w:val="0"/>
        <w:adjustRightInd/>
        <w:snapToGrid/>
        <w:spacing w:line="360" w:lineRule="auto"/>
        <w:ind w:firstLine="420"/>
        <w:jc w:val="both"/>
        <w:textAlignment w:val="auto"/>
        <w:rPr>
          <w:rFonts w:hint="eastAsia" w:ascii="宋体" w:hAnsi="宋体" w:eastAsia="宋体" w:cs="Times New Roman"/>
          <w:color w:val="auto"/>
          <w:kern w:val="2"/>
          <w:sz w:val="24"/>
          <w:szCs w:val="24"/>
          <w:highlight w:val="none"/>
          <w:lang w:val="en-US" w:eastAsia="zh-CN" w:bidi="ar-SA"/>
        </w:rPr>
      </w:pPr>
      <w:r>
        <w:rPr>
          <w:rFonts w:hint="eastAsia" w:ascii="宋体" w:hAnsi="宋体" w:eastAsia="宋体" w:cs="Times New Roman"/>
          <w:color w:val="auto"/>
          <w:kern w:val="2"/>
          <w:sz w:val="24"/>
          <w:szCs w:val="24"/>
          <w:lang w:val="en-US" w:eastAsia="zh-CN" w:bidi="ar-SA"/>
        </w:rPr>
        <w:t>根据企业提供的燃料成分化验单（详见附件）可知，项目使用生物质</w:t>
      </w:r>
      <w:r>
        <w:rPr>
          <w:rFonts w:hint="eastAsia" w:ascii="宋体" w:hAnsi="宋体" w:cs="Times New Roman"/>
          <w:color w:val="auto"/>
          <w:kern w:val="2"/>
          <w:sz w:val="24"/>
          <w:szCs w:val="24"/>
          <w:lang w:val="en-US" w:eastAsia="zh-CN" w:bidi="ar-SA"/>
        </w:rPr>
        <w:t>颗粒收到基低位发</w:t>
      </w:r>
      <w:r>
        <w:rPr>
          <w:rFonts w:hint="default" w:ascii="Times New Roman" w:hAnsi="Times New Roman" w:cs="Times New Roman"/>
          <w:color w:val="auto"/>
          <w:kern w:val="2"/>
          <w:sz w:val="24"/>
          <w:szCs w:val="24"/>
          <w:lang w:val="en-US" w:eastAsia="zh-CN" w:bidi="ar-SA"/>
        </w:rPr>
        <w:t>热量为</w:t>
      </w:r>
      <w:r>
        <w:rPr>
          <w:rFonts w:hint="eastAsia" w:ascii="Times New Roman" w:hAnsi="Times New Roman" w:cs="Times New Roman"/>
          <w:color w:val="auto"/>
          <w:kern w:val="2"/>
          <w:sz w:val="24"/>
          <w:szCs w:val="24"/>
          <w:lang w:val="en-US" w:eastAsia="zh-CN" w:bidi="ar-SA"/>
        </w:rPr>
        <w:t>16.51MJ/kg）</w:t>
      </w:r>
      <w:r>
        <w:rPr>
          <w:rFonts w:hint="eastAsia" w:ascii="宋体" w:hAnsi="宋体" w:eastAsia="宋体" w:cs="Times New Roman"/>
          <w:color w:val="auto"/>
          <w:kern w:val="2"/>
          <w:sz w:val="24"/>
          <w:szCs w:val="24"/>
          <w:lang w:val="en-US" w:eastAsia="zh-CN" w:bidi="ar-SA"/>
        </w:rPr>
        <w:t>。</w:t>
      </w:r>
    </w:p>
    <w:p w14:paraId="5EE2F973">
      <w:pPr>
        <w:spacing w:line="360" w:lineRule="auto"/>
        <w:ind w:firstLine="480" w:firstLineChars="200"/>
        <w:rPr>
          <w:color w:val="auto"/>
          <w:sz w:val="24"/>
          <w:lang w:bidi="en-US"/>
        </w:rPr>
      </w:pPr>
      <w:r>
        <w:rPr>
          <w:rFonts w:hint="eastAsia"/>
          <w:color w:val="auto"/>
          <w:sz w:val="24"/>
          <w:lang w:val="en-US" w:eastAsia="zh-CN"/>
        </w:rPr>
        <w:t>（1）</w:t>
      </w:r>
      <w:r>
        <w:rPr>
          <w:rFonts w:hint="eastAsia"/>
          <w:color w:val="auto"/>
          <w:sz w:val="24"/>
          <w:lang w:bidi="en-US"/>
        </w:rPr>
        <w:t>生物质锅炉燃料量计算</w:t>
      </w:r>
    </w:p>
    <w:p w14:paraId="3E4BA973">
      <w:pPr>
        <w:spacing w:line="360" w:lineRule="auto"/>
        <w:ind w:firstLine="480" w:firstLineChars="200"/>
        <w:rPr>
          <w:color w:val="auto"/>
          <w:sz w:val="24"/>
          <w:lang w:bidi="en-US"/>
        </w:rPr>
      </w:pPr>
      <w:r>
        <w:rPr>
          <w:color w:val="auto"/>
          <w:sz w:val="24"/>
          <w:szCs w:val="20"/>
          <w:lang w:bidi="en-US"/>
        </w:rPr>
        <w:object>
          <v:shape id="_x0000_i1027" o:spt="75" type="#_x0000_t75" style="height:41.25pt;width:111pt;" o:ole="t" filled="f" o:preferrelative="t" stroked="f" coordsize="21600,21600">
            <v:path/>
            <v:fill on="f" focussize="0,0"/>
            <v:stroke on="f"/>
            <v:imagedata r:id="rId29" o:title=""/>
            <o:lock v:ext="edit" aspectratio="t"/>
            <w10:wrap type="none"/>
            <w10:anchorlock/>
          </v:shape>
          <o:OLEObject Type="Embed" ProgID="Equation.3" ShapeID="_x0000_i1027" DrawAspect="Content" ObjectID="_1468075727" r:id="rId28">
            <o:LockedField>false</o:LockedField>
          </o:OLEObject>
        </w:object>
      </w:r>
    </w:p>
    <w:p w14:paraId="45BAE39D">
      <w:pPr>
        <w:spacing w:line="360" w:lineRule="auto"/>
        <w:ind w:firstLine="480" w:firstLineChars="200"/>
        <w:rPr>
          <w:color w:val="auto"/>
          <w:sz w:val="24"/>
          <w:lang w:bidi="en-US"/>
        </w:rPr>
      </w:pPr>
      <w:r>
        <w:rPr>
          <w:rFonts w:hint="eastAsia"/>
          <w:color w:val="auto"/>
          <w:sz w:val="24"/>
          <w:lang w:bidi="en-US"/>
        </w:rPr>
        <w:t>式中：</w:t>
      </w:r>
      <w:r>
        <w:rPr>
          <w:color w:val="auto"/>
          <w:sz w:val="24"/>
          <w:lang w:bidi="en-US"/>
        </w:rPr>
        <w:t xml:space="preserve">Bw—— </w:t>
      </w:r>
      <w:r>
        <w:rPr>
          <w:rFonts w:hint="eastAsia"/>
          <w:color w:val="auto"/>
          <w:sz w:val="24"/>
          <w:lang w:bidi="en-US"/>
        </w:rPr>
        <w:t>锅炉小时耗燃料量，</w:t>
      </w:r>
      <w:r>
        <w:rPr>
          <w:color w:val="auto"/>
          <w:sz w:val="24"/>
          <w:lang w:bidi="en-US"/>
        </w:rPr>
        <w:t>kg/h</w:t>
      </w:r>
      <w:r>
        <w:rPr>
          <w:rFonts w:hint="eastAsia"/>
          <w:color w:val="auto"/>
          <w:sz w:val="24"/>
          <w:lang w:bidi="en-US"/>
        </w:rPr>
        <w:t>；</w:t>
      </w:r>
    </w:p>
    <w:p w14:paraId="034D2C4A">
      <w:pPr>
        <w:spacing w:line="360" w:lineRule="auto"/>
        <w:ind w:firstLine="480" w:firstLineChars="200"/>
        <w:rPr>
          <w:color w:val="auto"/>
          <w:sz w:val="24"/>
          <w:lang w:bidi="en-US"/>
        </w:rPr>
      </w:pPr>
      <w:r>
        <w:rPr>
          <w:color w:val="auto"/>
          <w:sz w:val="24"/>
          <w:lang w:bidi="en-US"/>
        </w:rPr>
        <w:t xml:space="preserve"> Q</w:t>
      </w:r>
      <w:r>
        <w:rPr>
          <w:rFonts w:hint="eastAsia"/>
          <w:color w:val="auto"/>
          <w:sz w:val="24"/>
          <w:vertAlign w:val="subscript"/>
          <w:lang w:bidi="en-US"/>
        </w:rPr>
        <w:t>热</w:t>
      </w:r>
      <w:r>
        <w:rPr>
          <w:color w:val="auto"/>
          <w:sz w:val="24"/>
          <w:lang w:bidi="en-US"/>
        </w:rPr>
        <w:t xml:space="preserve">—— </w:t>
      </w:r>
      <w:r>
        <w:rPr>
          <w:rFonts w:hint="eastAsia"/>
          <w:color w:val="auto"/>
          <w:sz w:val="24"/>
          <w:lang w:bidi="en-US"/>
        </w:rPr>
        <w:t>锅炉额定供热量，本项目</w:t>
      </w:r>
      <w:r>
        <w:rPr>
          <w:rFonts w:hint="eastAsia"/>
          <w:color w:val="auto"/>
          <w:sz w:val="24"/>
          <w:lang w:val="en-US" w:eastAsia="zh-CN" w:bidi="en-US"/>
        </w:rPr>
        <w:t>1.4MW</w:t>
      </w:r>
      <w:r>
        <w:rPr>
          <w:rFonts w:hint="eastAsia"/>
          <w:color w:val="auto"/>
          <w:sz w:val="24"/>
          <w:lang w:bidi="en-US"/>
        </w:rPr>
        <w:t>的锅炉折算后为</w:t>
      </w:r>
      <w:r>
        <w:rPr>
          <w:rFonts w:hint="eastAsia"/>
          <w:color w:val="auto"/>
          <w:sz w:val="24"/>
          <w:lang w:val="en-US" w:eastAsia="zh-CN" w:bidi="en-US"/>
        </w:rPr>
        <w:t>1.4MW</w:t>
      </w:r>
      <w:r>
        <w:rPr>
          <w:rFonts w:hint="eastAsia"/>
          <w:color w:val="auto"/>
          <w:sz w:val="24"/>
          <w:lang w:bidi="en-US"/>
        </w:rPr>
        <w:t>。（</w:t>
      </w:r>
      <w:r>
        <w:rPr>
          <w:color w:val="auto"/>
          <w:sz w:val="24"/>
          <w:lang w:bidi="en-US"/>
        </w:rPr>
        <w:t>1t/h≈0.7MW</w:t>
      </w:r>
      <w:r>
        <w:rPr>
          <w:rFonts w:hint="eastAsia"/>
          <w:color w:val="auto"/>
          <w:sz w:val="24"/>
          <w:lang w:bidi="en-US"/>
        </w:rPr>
        <w:t>，额定供热量为</w:t>
      </w:r>
      <w:r>
        <w:rPr>
          <w:color w:val="auto"/>
          <w:sz w:val="24"/>
          <w:lang w:bidi="en-US"/>
        </w:rPr>
        <w:t>0.7×10</w:t>
      </w:r>
      <w:r>
        <w:rPr>
          <w:color w:val="auto"/>
          <w:sz w:val="24"/>
          <w:vertAlign w:val="superscript"/>
          <w:lang w:bidi="en-US"/>
        </w:rPr>
        <w:t>3</w:t>
      </w:r>
      <w:r>
        <w:rPr>
          <w:color w:val="auto"/>
          <w:sz w:val="24"/>
          <w:lang w:bidi="en-US"/>
        </w:rPr>
        <w:t>kJ/</w:t>
      </w:r>
      <w:r>
        <w:rPr>
          <w:rFonts w:hint="eastAsia"/>
          <w:color w:val="auto"/>
          <w:sz w:val="24"/>
          <w:lang w:bidi="en-US"/>
        </w:rPr>
        <w:t>秒）；</w:t>
      </w:r>
    </w:p>
    <w:p w14:paraId="0DF278B6">
      <w:pPr>
        <w:spacing w:line="360" w:lineRule="auto"/>
        <w:ind w:firstLine="480" w:firstLineChars="200"/>
        <w:rPr>
          <w:color w:val="auto"/>
          <w:sz w:val="24"/>
          <w:highlight w:val="none"/>
          <w:lang w:bidi="en-US"/>
        </w:rPr>
      </w:pPr>
      <w:r>
        <w:rPr>
          <w:color w:val="auto"/>
          <w:sz w:val="24"/>
          <w:highlight w:val="none"/>
          <w:lang w:bidi="en-US"/>
        </w:rPr>
        <w:t xml:space="preserve"> ηw—— </w:t>
      </w:r>
      <w:r>
        <w:rPr>
          <w:rFonts w:hint="eastAsia"/>
          <w:color w:val="auto"/>
          <w:sz w:val="24"/>
          <w:highlight w:val="none"/>
          <w:lang w:bidi="en-US"/>
        </w:rPr>
        <w:t>锅炉设计热效率，取</w:t>
      </w:r>
      <w:r>
        <w:rPr>
          <w:rFonts w:hint="eastAsia"/>
          <w:color w:val="auto"/>
          <w:sz w:val="24"/>
          <w:highlight w:val="none"/>
          <w:lang w:val="en-US" w:eastAsia="zh-CN" w:bidi="en-US"/>
        </w:rPr>
        <w:t>77.4</w:t>
      </w:r>
      <w:r>
        <w:rPr>
          <w:color w:val="auto"/>
          <w:sz w:val="24"/>
          <w:highlight w:val="none"/>
          <w:lang w:bidi="en-US"/>
        </w:rPr>
        <w:t>%</w:t>
      </w:r>
      <w:r>
        <w:rPr>
          <w:rFonts w:hint="eastAsia"/>
          <w:color w:val="auto"/>
          <w:sz w:val="24"/>
          <w:highlight w:val="none"/>
          <w:lang w:bidi="en-US"/>
        </w:rPr>
        <w:t>；</w:t>
      </w:r>
    </w:p>
    <w:p w14:paraId="28F72274">
      <w:pPr>
        <w:spacing w:line="360" w:lineRule="auto"/>
        <w:ind w:firstLine="480" w:firstLineChars="200"/>
        <w:rPr>
          <w:color w:val="auto"/>
          <w:sz w:val="24"/>
          <w:lang w:bidi="en-US"/>
        </w:rPr>
      </w:pPr>
      <w:r>
        <w:rPr>
          <w:color w:val="auto"/>
          <w:sz w:val="24"/>
          <w:lang w:bidi="en-US"/>
        </w:rPr>
        <w:t xml:space="preserve"> Q</w:t>
      </w:r>
      <w:r>
        <w:rPr>
          <w:rFonts w:hint="eastAsia"/>
          <w:color w:val="auto"/>
          <w:sz w:val="24"/>
          <w:vertAlign w:val="subscript"/>
          <w:lang w:bidi="en-US"/>
        </w:rPr>
        <w:t>低</w:t>
      </w:r>
      <w:r>
        <w:rPr>
          <w:color w:val="auto"/>
          <w:sz w:val="24"/>
          <w:lang w:bidi="en-US"/>
        </w:rPr>
        <w:t xml:space="preserve">—— </w:t>
      </w:r>
      <w:r>
        <w:rPr>
          <w:rFonts w:hint="eastAsia"/>
          <w:color w:val="auto"/>
          <w:sz w:val="24"/>
          <w:lang w:bidi="en-US"/>
        </w:rPr>
        <w:t>生物质应用基低位发热值，按照表中各生物质燃料的数值折算，颗粒态生物质燃料低位发热量取值为近似的平均值</w:t>
      </w:r>
      <w:r>
        <w:rPr>
          <w:rFonts w:hint="eastAsia"/>
          <w:color w:val="auto"/>
          <w:sz w:val="24"/>
          <w:lang w:val="en-US" w:eastAsia="zh-CN" w:bidi="en-US"/>
        </w:rPr>
        <w:t>16.51M</w:t>
      </w:r>
      <w:r>
        <w:rPr>
          <w:color w:val="auto"/>
          <w:sz w:val="24"/>
          <w:lang w:bidi="en-US"/>
        </w:rPr>
        <w:t>J/kg</w:t>
      </w:r>
      <w:r>
        <w:rPr>
          <w:rFonts w:hint="eastAsia"/>
          <w:color w:val="auto"/>
          <w:sz w:val="24"/>
          <w:lang w:bidi="en-US"/>
        </w:rPr>
        <w:t>。</w:t>
      </w:r>
    </w:p>
    <w:p w14:paraId="0C5ACDA0">
      <w:pPr>
        <w:spacing w:line="360" w:lineRule="auto"/>
        <w:ind w:firstLine="480" w:firstLineChars="200"/>
        <w:rPr>
          <w:color w:val="auto"/>
          <w:sz w:val="24"/>
          <w:highlight w:val="none"/>
          <w:lang w:bidi="en-US"/>
        </w:rPr>
      </w:pPr>
      <w:r>
        <w:rPr>
          <w:rFonts w:hint="eastAsia"/>
          <w:color w:val="auto"/>
          <w:sz w:val="24"/>
          <w:lang w:bidi="en-US"/>
        </w:rPr>
        <w:t>经计算，本项目锅炉耗生物质燃料最大量约为</w:t>
      </w:r>
      <w:r>
        <w:rPr>
          <w:rFonts w:hint="eastAsia"/>
          <w:color w:val="auto"/>
          <w:sz w:val="24"/>
          <w:lang w:val="en-US" w:eastAsia="zh-CN" w:bidi="en-US"/>
        </w:rPr>
        <w:t>338</w:t>
      </w:r>
      <w:r>
        <w:rPr>
          <w:color w:val="auto"/>
          <w:sz w:val="24"/>
          <w:lang w:bidi="en-US"/>
        </w:rPr>
        <w:t>kg/h</w:t>
      </w:r>
      <w:r>
        <w:rPr>
          <w:rFonts w:hint="eastAsia"/>
          <w:color w:val="auto"/>
          <w:sz w:val="24"/>
          <w:lang w:bidi="en-US"/>
        </w:rPr>
        <w:t>，</w:t>
      </w:r>
      <w:r>
        <w:rPr>
          <w:rFonts w:hint="eastAsia"/>
          <w:color w:val="auto"/>
          <w:sz w:val="24"/>
        </w:rPr>
        <w:t>本项目生物质锅炉进行冬季采暖（按照近年北方冬季供暖天数约为</w:t>
      </w:r>
      <w:r>
        <w:rPr>
          <w:color w:val="auto"/>
          <w:sz w:val="24"/>
        </w:rPr>
        <w:t>1</w:t>
      </w:r>
      <w:r>
        <w:rPr>
          <w:rFonts w:hint="eastAsia"/>
          <w:color w:val="auto"/>
          <w:sz w:val="24"/>
          <w:lang w:val="en-US" w:eastAsia="zh-CN"/>
        </w:rPr>
        <w:t>8</w:t>
      </w:r>
      <w:r>
        <w:rPr>
          <w:color w:val="auto"/>
          <w:sz w:val="24"/>
        </w:rPr>
        <w:t>0d</w:t>
      </w:r>
      <w:r>
        <w:rPr>
          <w:rFonts w:hint="eastAsia"/>
          <w:color w:val="auto"/>
          <w:sz w:val="24"/>
        </w:rPr>
        <w:t>）锅炉运行时间为每日</w:t>
      </w:r>
      <w:r>
        <w:rPr>
          <w:rFonts w:hint="eastAsia"/>
          <w:color w:val="auto"/>
          <w:sz w:val="24"/>
          <w:lang w:val="en-US" w:eastAsia="zh-CN"/>
        </w:rPr>
        <w:t>16</w:t>
      </w:r>
      <w:r>
        <w:rPr>
          <w:color w:val="auto"/>
          <w:sz w:val="24"/>
        </w:rPr>
        <w:t>h</w:t>
      </w:r>
      <w:r>
        <w:rPr>
          <w:rFonts w:hint="eastAsia"/>
          <w:color w:val="auto"/>
          <w:sz w:val="24"/>
        </w:rPr>
        <w:t>，锅炉年总运行时间为</w:t>
      </w:r>
      <w:r>
        <w:rPr>
          <w:rFonts w:hint="eastAsia"/>
          <w:color w:val="auto"/>
          <w:sz w:val="24"/>
          <w:lang w:val="en-US" w:eastAsia="zh-CN"/>
        </w:rPr>
        <w:t>2880</w:t>
      </w:r>
      <w:r>
        <w:rPr>
          <w:color w:val="auto"/>
          <w:sz w:val="24"/>
        </w:rPr>
        <w:t>h</w:t>
      </w:r>
      <w:r>
        <w:rPr>
          <w:rFonts w:hint="eastAsia"/>
          <w:color w:val="auto"/>
          <w:sz w:val="24"/>
          <w:lang w:eastAsia="zh-CN"/>
        </w:rPr>
        <w:t>，</w:t>
      </w:r>
      <w:r>
        <w:rPr>
          <w:rFonts w:hint="eastAsia"/>
          <w:color w:val="auto"/>
          <w:sz w:val="24"/>
          <w:highlight w:val="none"/>
          <w:lang w:eastAsia="zh-CN"/>
        </w:rPr>
        <w:t>生物质锅炉</w:t>
      </w:r>
      <w:r>
        <w:rPr>
          <w:rFonts w:hint="eastAsia"/>
          <w:color w:val="auto"/>
          <w:sz w:val="24"/>
          <w:highlight w:val="none"/>
          <w:lang w:bidi="en-US"/>
        </w:rPr>
        <w:t>每年生物质</w:t>
      </w:r>
      <w:r>
        <w:rPr>
          <w:rFonts w:hint="eastAsia"/>
          <w:color w:val="auto"/>
          <w:sz w:val="24"/>
          <w:highlight w:val="none"/>
          <w:lang w:eastAsia="zh-CN" w:bidi="en-US"/>
        </w:rPr>
        <w:t>用</w:t>
      </w:r>
      <w:r>
        <w:rPr>
          <w:rFonts w:hint="eastAsia"/>
          <w:color w:val="auto"/>
          <w:sz w:val="24"/>
          <w:highlight w:val="none"/>
          <w:lang w:bidi="en-US"/>
        </w:rPr>
        <w:t>量为</w:t>
      </w:r>
      <w:r>
        <w:rPr>
          <w:rFonts w:hint="eastAsia"/>
          <w:color w:val="auto"/>
          <w:sz w:val="24"/>
          <w:highlight w:val="none"/>
          <w:lang w:val="en-US" w:eastAsia="zh-CN" w:bidi="en-US"/>
        </w:rPr>
        <w:t>973.44</w:t>
      </w:r>
      <w:r>
        <w:rPr>
          <w:color w:val="auto"/>
          <w:sz w:val="24"/>
          <w:highlight w:val="none"/>
          <w:lang w:bidi="en-US"/>
        </w:rPr>
        <w:t>t</w:t>
      </w:r>
      <w:r>
        <w:rPr>
          <w:rFonts w:hint="eastAsia"/>
          <w:color w:val="auto"/>
          <w:sz w:val="24"/>
          <w:highlight w:val="none"/>
          <w:lang w:val="en-US" w:eastAsia="zh-CN" w:bidi="en-US"/>
        </w:rPr>
        <w:t>/a</w:t>
      </w:r>
      <w:r>
        <w:rPr>
          <w:rFonts w:hint="eastAsia"/>
          <w:color w:val="auto"/>
          <w:sz w:val="24"/>
          <w:highlight w:val="none"/>
          <w:lang w:bidi="en-US"/>
        </w:rPr>
        <w:t>。</w:t>
      </w:r>
    </w:p>
    <w:p w14:paraId="16DFEF4D">
      <w:pPr>
        <w:pStyle w:val="16"/>
        <w:snapToGrid w:val="0"/>
        <w:spacing w:line="360" w:lineRule="auto"/>
        <w:ind w:firstLine="504" w:firstLineChars="210"/>
        <w:rPr>
          <w:rFonts w:hint="eastAsia" w:eastAsia="宋体"/>
          <w:bCs/>
          <w:color w:val="auto"/>
          <w:spacing w:val="6"/>
          <w:sz w:val="24"/>
          <w:lang w:eastAsia="zh-CN"/>
        </w:rPr>
      </w:pPr>
      <w:r>
        <w:rPr>
          <w:rFonts w:hint="eastAsia" w:hAnsi="宋体"/>
          <w:bCs/>
          <w:color w:val="auto"/>
          <w:sz w:val="24"/>
          <w:lang w:val="en-US" w:eastAsia="zh-CN"/>
        </w:rPr>
        <w:t>（2）生物质</w:t>
      </w:r>
      <w:r>
        <w:rPr>
          <w:rFonts w:hint="eastAsia" w:hAnsi="宋体"/>
          <w:bCs/>
          <w:color w:val="auto"/>
          <w:sz w:val="24"/>
        </w:rPr>
        <w:t>锅炉污染物产排</w:t>
      </w:r>
      <w:r>
        <w:rPr>
          <w:rFonts w:hint="eastAsia" w:hAnsi="宋体"/>
          <w:bCs/>
          <w:color w:val="auto"/>
          <w:sz w:val="24"/>
          <w:lang w:eastAsia="zh-CN"/>
        </w:rPr>
        <w:t>情况</w:t>
      </w:r>
    </w:p>
    <w:p w14:paraId="5DA82890">
      <w:pPr>
        <w:pStyle w:val="16"/>
        <w:snapToGrid w:val="0"/>
        <w:spacing w:line="360" w:lineRule="auto"/>
        <w:ind w:firstLine="504"/>
        <w:rPr>
          <w:rFonts w:hint="eastAsia" w:hAnsi="宋体"/>
          <w:bCs/>
          <w:color w:val="auto"/>
          <w:sz w:val="24"/>
          <w:lang w:val="en-US" w:eastAsia="zh-CN"/>
        </w:rPr>
      </w:pPr>
      <w:r>
        <w:rPr>
          <w:rFonts w:hint="eastAsia" w:hAnsi="宋体"/>
          <w:bCs/>
          <w:color w:val="auto"/>
          <w:sz w:val="24"/>
          <w:lang w:val="en-US" w:eastAsia="zh-CN"/>
        </w:rPr>
        <w:t>锅炉污染物产排污情况计算，选取《排污许可证申请与核发技术规范 锅炉》（HJ953-2018）中相关参数进行计算。</w:t>
      </w:r>
    </w:p>
    <w:p w14:paraId="2D749CB5">
      <w:pPr>
        <w:pStyle w:val="16"/>
        <w:snapToGrid w:val="0"/>
        <w:spacing w:line="360" w:lineRule="auto"/>
        <w:ind w:firstLine="504"/>
        <w:rPr>
          <w:rFonts w:hint="default" w:hAnsi="宋体"/>
          <w:bCs/>
          <w:color w:val="auto"/>
          <w:sz w:val="24"/>
          <w:lang w:val="en-US" w:eastAsia="zh-CN"/>
        </w:rPr>
      </w:pPr>
      <w:r>
        <w:rPr>
          <w:rFonts w:hint="eastAsia" w:hAnsi="宋体"/>
          <w:bCs/>
          <w:color w:val="auto"/>
          <w:sz w:val="24"/>
          <w:lang w:val="en-US" w:eastAsia="zh-CN"/>
        </w:rPr>
        <w:t>a）锅炉基准烟气量计算</w:t>
      </w:r>
    </w:p>
    <w:p w14:paraId="17E83A67">
      <w:pPr>
        <w:pStyle w:val="16"/>
        <w:snapToGrid w:val="0"/>
        <w:spacing w:line="360" w:lineRule="auto"/>
        <w:ind w:firstLine="504"/>
        <w:rPr>
          <w:rFonts w:hint="default" w:hAnsi="宋体"/>
          <w:bCs/>
          <w:color w:val="auto"/>
          <w:sz w:val="24"/>
          <w:lang w:val="en-US" w:eastAsia="zh-CN"/>
        </w:rPr>
      </w:pPr>
      <w:r>
        <w:rPr>
          <w:rFonts w:hint="eastAsia" w:hAnsi="宋体"/>
          <w:bCs/>
          <w:color w:val="auto"/>
          <w:sz w:val="24"/>
          <w:lang w:val="en-US" w:eastAsia="zh-CN"/>
        </w:rPr>
        <w:t>根据《排污许可证申请与核发技术规范 锅炉》（HJ953-2018）中“5.2.3.2基准烟气量核算方法 b）经验公式估算法”，根据燃料低位发热量计算基准烟气量，公式如下：</w:t>
      </w:r>
    </w:p>
    <w:p w14:paraId="353DF765">
      <w:pPr>
        <w:pStyle w:val="16"/>
        <w:snapToGrid w:val="0"/>
        <w:spacing w:line="360" w:lineRule="auto"/>
        <w:ind w:firstLine="504"/>
        <w:rPr>
          <w:rFonts w:hint="eastAsia" w:hAnsi="宋体"/>
          <w:bCs/>
          <w:color w:val="auto"/>
          <w:sz w:val="24"/>
          <w:lang w:val="en-US" w:eastAsia="zh-CN"/>
        </w:rPr>
      </w:pPr>
      <w:r>
        <w:rPr>
          <w:color w:val="auto"/>
        </w:rPr>
        <w:drawing>
          <wp:inline distT="0" distB="0" distL="114300" distR="114300">
            <wp:extent cx="1630045" cy="230505"/>
            <wp:effectExtent l="0" t="0" r="8255" b="17145"/>
            <wp:docPr id="6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7"/>
                    <pic:cNvPicPr>
                      <a:picLocks noChangeAspect="1"/>
                    </pic:cNvPicPr>
                  </pic:nvPicPr>
                  <pic:blipFill>
                    <a:blip r:embed="rId30"/>
                    <a:stretch>
                      <a:fillRect/>
                    </a:stretch>
                  </pic:blipFill>
                  <pic:spPr>
                    <a:xfrm>
                      <a:off x="0" y="0"/>
                      <a:ext cx="1630045" cy="230505"/>
                    </a:xfrm>
                    <a:prstGeom prst="rect">
                      <a:avLst/>
                    </a:prstGeom>
                    <a:noFill/>
                    <a:ln>
                      <a:noFill/>
                    </a:ln>
                  </pic:spPr>
                </pic:pic>
              </a:graphicData>
            </a:graphic>
          </wp:inline>
        </w:drawing>
      </w:r>
    </w:p>
    <w:p w14:paraId="1E186EE7">
      <w:pPr>
        <w:pStyle w:val="16"/>
        <w:snapToGrid w:val="0"/>
        <w:spacing w:line="360" w:lineRule="auto"/>
        <w:ind w:firstLine="504"/>
        <w:rPr>
          <w:rFonts w:hint="default" w:hAnsi="宋体"/>
          <w:bCs/>
          <w:color w:val="auto"/>
          <w:sz w:val="24"/>
          <w:lang w:val="en-US" w:eastAsia="zh-CN"/>
        </w:rPr>
      </w:pPr>
      <w:r>
        <w:rPr>
          <w:rFonts w:hint="eastAsia" w:hAnsi="宋体"/>
          <w:bCs/>
          <w:color w:val="auto"/>
          <w:sz w:val="24"/>
          <w:lang w:val="en-US" w:eastAsia="zh-CN"/>
        </w:rPr>
        <w:t>式中：Vgy——基准烟气量，m</w:t>
      </w:r>
      <w:r>
        <w:rPr>
          <w:rFonts w:hint="eastAsia" w:hAnsi="宋体"/>
          <w:bCs/>
          <w:color w:val="auto"/>
          <w:sz w:val="24"/>
          <w:vertAlign w:val="superscript"/>
          <w:lang w:val="en-US" w:eastAsia="zh-CN"/>
        </w:rPr>
        <w:t>3</w:t>
      </w:r>
      <w:r>
        <w:rPr>
          <w:rFonts w:hint="eastAsia" w:hAnsi="宋体"/>
          <w:bCs/>
          <w:color w:val="auto"/>
          <w:sz w:val="24"/>
          <w:lang w:val="en-US" w:eastAsia="zh-CN"/>
        </w:rPr>
        <w:t>/kg；</w:t>
      </w:r>
    </w:p>
    <w:p w14:paraId="7635543F">
      <w:pPr>
        <w:pStyle w:val="16"/>
        <w:snapToGrid w:val="0"/>
        <w:spacing w:line="360" w:lineRule="auto"/>
        <w:ind w:firstLine="504"/>
        <w:rPr>
          <w:rFonts w:hint="default" w:hAnsi="宋体"/>
          <w:bCs/>
          <w:color w:val="auto"/>
          <w:sz w:val="24"/>
          <w:lang w:val="en-US" w:eastAsia="zh-CN"/>
        </w:rPr>
      </w:pPr>
      <w:r>
        <w:rPr>
          <w:rFonts w:hint="eastAsia" w:hAnsi="宋体"/>
          <w:bCs/>
          <w:color w:val="auto"/>
          <w:sz w:val="24"/>
          <w:lang w:val="en-US" w:eastAsia="zh-CN"/>
        </w:rPr>
        <w:t>Qnet，ar——燃料收到基地位发热量，MJ/kg，本项目为</w:t>
      </w:r>
      <w:r>
        <w:rPr>
          <w:rFonts w:hint="eastAsia" w:cs="Times New Roman"/>
          <w:color w:val="auto"/>
          <w:kern w:val="2"/>
          <w:sz w:val="24"/>
          <w:szCs w:val="24"/>
          <w:lang w:val="en-US" w:eastAsia="zh-CN" w:bidi="ar-SA"/>
        </w:rPr>
        <w:t>16.51M</w:t>
      </w:r>
      <w:r>
        <w:rPr>
          <w:rFonts w:hint="eastAsia" w:ascii="Times New Roman" w:hAnsi="Times New Roman" w:cs="Times New Roman"/>
          <w:color w:val="auto"/>
          <w:kern w:val="2"/>
          <w:sz w:val="24"/>
          <w:szCs w:val="24"/>
          <w:lang w:val="en-US" w:eastAsia="zh-CN" w:bidi="ar-SA"/>
        </w:rPr>
        <w:t>J/kg</w:t>
      </w:r>
      <w:r>
        <w:rPr>
          <w:rFonts w:hint="eastAsia" w:hAnsi="宋体"/>
          <w:bCs/>
          <w:color w:val="auto"/>
          <w:sz w:val="24"/>
          <w:lang w:val="en-US" w:eastAsia="zh-CN"/>
        </w:rPr>
        <w:t>；</w:t>
      </w:r>
    </w:p>
    <w:p w14:paraId="4295EB1D">
      <w:pPr>
        <w:pStyle w:val="16"/>
        <w:snapToGrid w:val="0"/>
        <w:spacing w:line="360" w:lineRule="auto"/>
        <w:ind w:firstLine="504"/>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Vgy=0.393×16.51+0.876=6.49m</w:t>
      </w:r>
      <w:r>
        <w:rPr>
          <w:rFonts w:hint="default" w:ascii="Times New Roman" w:hAnsi="Times New Roman" w:eastAsia="宋体" w:cs="Times New Roman"/>
          <w:bCs/>
          <w:color w:val="auto"/>
          <w:sz w:val="24"/>
          <w:vertAlign w:val="superscript"/>
          <w:lang w:val="en-US" w:eastAsia="zh-CN"/>
        </w:rPr>
        <w:t>3</w:t>
      </w:r>
      <w:r>
        <w:rPr>
          <w:rFonts w:hint="default" w:ascii="Times New Roman" w:hAnsi="Times New Roman" w:eastAsia="宋体" w:cs="Times New Roman"/>
          <w:bCs/>
          <w:color w:val="auto"/>
          <w:sz w:val="24"/>
          <w:lang w:val="en-US" w:eastAsia="zh-CN"/>
        </w:rPr>
        <w:t>/kg；</w:t>
      </w:r>
    </w:p>
    <w:p w14:paraId="05195568">
      <w:pPr>
        <w:pStyle w:val="16"/>
        <w:snapToGrid w:val="0"/>
        <w:spacing w:line="360" w:lineRule="auto"/>
        <w:ind w:firstLine="504"/>
        <w:rPr>
          <w:rFonts w:hint="default" w:hAnsi="宋体"/>
          <w:bCs/>
          <w:color w:val="auto"/>
          <w:sz w:val="24"/>
          <w:lang w:val="en-US" w:eastAsia="zh-CN"/>
        </w:rPr>
      </w:pPr>
      <w:r>
        <w:rPr>
          <w:rFonts w:hint="eastAsia" w:hAnsi="宋体"/>
          <w:bCs/>
          <w:color w:val="auto"/>
          <w:sz w:val="24"/>
          <w:lang w:val="en-US" w:eastAsia="zh-CN"/>
        </w:rPr>
        <w:t>经计算可知，生物质成型燃料锅炉基准烟气量为6.49m</w:t>
      </w:r>
      <w:r>
        <w:rPr>
          <w:rFonts w:hint="eastAsia" w:hAnsi="宋体"/>
          <w:bCs/>
          <w:color w:val="auto"/>
          <w:sz w:val="24"/>
          <w:vertAlign w:val="superscript"/>
          <w:lang w:val="en-US" w:eastAsia="zh-CN"/>
        </w:rPr>
        <w:t>3</w:t>
      </w:r>
      <w:r>
        <w:rPr>
          <w:rFonts w:hint="eastAsia" w:hAnsi="宋体"/>
          <w:bCs/>
          <w:color w:val="auto"/>
          <w:sz w:val="24"/>
          <w:lang w:val="en-US" w:eastAsia="zh-CN"/>
        </w:rPr>
        <w:t>/kg，本项目生物质燃料量为937.44t/a，则总烟气量为：6.49</w:t>
      </w:r>
      <w:r>
        <w:rPr>
          <w:rFonts w:hint="default" w:ascii="Arial" w:hAnsi="Arial" w:cs="Arial"/>
          <w:bCs/>
          <w:color w:val="auto"/>
          <w:sz w:val="24"/>
          <w:lang w:val="en-US" w:eastAsia="zh-CN"/>
        </w:rPr>
        <w:t>×</w:t>
      </w:r>
      <w:r>
        <w:rPr>
          <w:rFonts w:hint="eastAsia" w:hAnsi="宋体"/>
          <w:bCs/>
          <w:color w:val="auto"/>
          <w:sz w:val="24"/>
          <w:lang w:val="en-US" w:eastAsia="zh-CN"/>
        </w:rPr>
        <w:t>937.44=6083986m</w:t>
      </w:r>
      <w:r>
        <w:rPr>
          <w:rFonts w:hint="eastAsia" w:hAnsi="宋体"/>
          <w:bCs/>
          <w:color w:val="auto"/>
          <w:sz w:val="24"/>
          <w:vertAlign w:val="superscript"/>
          <w:lang w:val="en-US" w:eastAsia="zh-CN"/>
        </w:rPr>
        <w:t>3</w:t>
      </w:r>
      <w:r>
        <w:rPr>
          <w:rFonts w:hint="eastAsia" w:hAnsi="宋体"/>
          <w:bCs/>
          <w:color w:val="auto"/>
          <w:sz w:val="24"/>
          <w:lang w:val="en-US" w:eastAsia="zh-CN"/>
        </w:rPr>
        <w:t>/a。</w:t>
      </w:r>
    </w:p>
    <w:p w14:paraId="3EA7AF46">
      <w:pPr>
        <w:pStyle w:val="16"/>
        <w:snapToGrid w:val="0"/>
        <w:spacing w:line="360" w:lineRule="auto"/>
        <w:ind w:firstLine="504"/>
        <w:rPr>
          <w:rFonts w:hint="eastAsia" w:hAnsi="宋体"/>
          <w:bCs/>
          <w:color w:val="auto"/>
          <w:sz w:val="24"/>
        </w:rPr>
      </w:pPr>
      <w:r>
        <w:rPr>
          <w:rFonts w:hint="eastAsia" w:hAnsi="宋体"/>
          <w:bCs/>
          <w:color w:val="auto"/>
          <w:sz w:val="24"/>
          <w:lang w:val="en-US" w:eastAsia="zh-CN"/>
        </w:rPr>
        <w:t>b</w:t>
      </w:r>
      <w:r>
        <w:rPr>
          <w:rFonts w:hint="eastAsia" w:hAnsi="宋体"/>
          <w:bCs/>
          <w:color w:val="auto"/>
          <w:sz w:val="24"/>
        </w:rPr>
        <w:t>）烟尘</w:t>
      </w:r>
    </w:p>
    <w:p w14:paraId="00D2939A">
      <w:pPr>
        <w:pStyle w:val="16"/>
        <w:snapToGrid w:val="0"/>
        <w:spacing w:line="360" w:lineRule="auto"/>
        <w:ind w:firstLine="504"/>
        <w:rPr>
          <w:rFonts w:hint="eastAsia" w:hAnsi="宋体"/>
          <w:bCs/>
          <w:color w:val="auto"/>
          <w:sz w:val="24"/>
          <w:lang w:val="en-US" w:eastAsia="zh-CN"/>
        </w:rPr>
      </w:pPr>
      <w:r>
        <w:rPr>
          <w:rFonts w:hint="eastAsia" w:hAnsi="宋体"/>
          <w:bCs/>
          <w:color w:val="auto"/>
          <w:sz w:val="24"/>
          <w:lang w:eastAsia="zh-CN"/>
        </w:rPr>
        <w:t>根据</w:t>
      </w:r>
      <w:r>
        <w:rPr>
          <w:rFonts w:hint="eastAsia" w:hAnsi="宋体"/>
          <w:bCs/>
          <w:color w:val="auto"/>
          <w:sz w:val="24"/>
          <w:lang w:val="en-US" w:eastAsia="zh-CN"/>
        </w:rPr>
        <w:t>《排污许可证申请与核发技术规范 锅炉》（HJ953-2018）中“表F4 燃生物质工业锅炉的废气产排污系数”，燃用生物质成型燃料，颗粒物产物系数为0.5kg/t-燃料，废气进入旋风除尘器+布袋除尘器进行处理，排污系数为0.005kg/t-燃料，项目燃料用量为937.44t/a；</w:t>
      </w:r>
    </w:p>
    <w:p w14:paraId="4F818CD2">
      <w:pPr>
        <w:pStyle w:val="16"/>
        <w:snapToGrid w:val="0"/>
        <w:spacing w:line="360" w:lineRule="auto"/>
        <w:ind w:firstLine="504"/>
        <w:rPr>
          <w:rFonts w:hint="eastAsia" w:hAnsi="宋体"/>
          <w:bCs/>
          <w:color w:val="auto"/>
          <w:sz w:val="24"/>
          <w:lang w:val="en-US" w:eastAsia="zh-CN"/>
        </w:rPr>
      </w:pPr>
      <w:r>
        <w:rPr>
          <w:rFonts w:hint="eastAsia" w:hAnsi="宋体"/>
          <w:bCs/>
          <w:color w:val="auto"/>
          <w:sz w:val="24"/>
          <w:lang w:val="en-US" w:eastAsia="zh-CN"/>
        </w:rPr>
        <w:t>烟尘产生量为：937.44t/a</w:t>
      </w:r>
      <w:r>
        <w:rPr>
          <w:rFonts w:hint="default" w:ascii="Arial" w:hAnsi="Arial" w:cs="Arial"/>
          <w:bCs/>
          <w:color w:val="auto"/>
          <w:sz w:val="24"/>
          <w:lang w:val="en-US" w:eastAsia="zh-CN"/>
        </w:rPr>
        <w:t>×</w:t>
      </w:r>
      <w:r>
        <w:rPr>
          <w:rFonts w:hint="eastAsia" w:hAnsi="宋体"/>
          <w:bCs/>
          <w:color w:val="auto"/>
          <w:sz w:val="24"/>
          <w:lang w:val="en-US" w:eastAsia="zh-CN"/>
        </w:rPr>
        <w:t>0.5kg/t-燃料</w:t>
      </w:r>
      <w:r>
        <w:rPr>
          <w:rFonts w:hint="default" w:ascii="Arial" w:hAnsi="Arial" w:cs="Arial"/>
          <w:bCs/>
          <w:color w:val="auto"/>
          <w:sz w:val="24"/>
          <w:lang w:val="en-US" w:eastAsia="zh-CN"/>
        </w:rPr>
        <w:t>×</w:t>
      </w:r>
      <w:r>
        <w:rPr>
          <w:rFonts w:hint="eastAsia" w:hAnsi="宋体"/>
          <w:bCs/>
          <w:color w:val="auto"/>
          <w:sz w:val="24"/>
          <w:lang w:val="en-US" w:eastAsia="zh-CN"/>
        </w:rPr>
        <w:t>10</w:t>
      </w:r>
      <w:r>
        <w:rPr>
          <w:rFonts w:hint="eastAsia" w:hAnsi="宋体"/>
          <w:bCs/>
          <w:color w:val="auto"/>
          <w:sz w:val="24"/>
          <w:vertAlign w:val="superscript"/>
          <w:lang w:val="en-US" w:eastAsia="zh-CN"/>
        </w:rPr>
        <w:t>-3</w:t>
      </w:r>
      <w:r>
        <w:rPr>
          <w:rFonts w:hint="eastAsia" w:hAnsi="宋体"/>
          <w:bCs/>
          <w:color w:val="auto"/>
          <w:sz w:val="24"/>
          <w:lang w:val="en-US" w:eastAsia="zh-CN"/>
        </w:rPr>
        <w:t>=0.47t/a。</w:t>
      </w:r>
    </w:p>
    <w:p w14:paraId="4B0F8E5F">
      <w:pPr>
        <w:pStyle w:val="16"/>
        <w:snapToGrid w:val="0"/>
        <w:spacing w:line="360" w:lineRule="auto"/>
        <w:ind w:firstLine="504"/>
        <w:rPr>
          <w:rFonts w:hint="default" w:hAnsi="宋体" w:eastAsia="宋体"/>
          <w:bCs/>
          <w:color w:val="auto"/>
          <w:sz w:val="24"/>
          <w:lang w:val="en-US" w:eastAsia="zh-CN"/>
        </w:rPr>
      </w:pPr>
      <w:r>
        <w:rPr>
          <w:rFonts w:hint="eastAsia" w:hAnsi="宋体"/>
          <w:bCs/>
          <w:color w:val="auto"/>
          <w:sz w:val="24"/>
          <w:lang w:val="en-US" w:eastAsia="zh-CN"/>
        </w:rPr>
        <w:t>烟尘排放量为：937.44t/a</w:t>
      </w:r>
      <w:r>
        <w:rPr>
          <w:rFonts w:hint="default" w:ascii="Arial" w:hAnsi="Arial" w:cs="Arial"/>
          <w:bCs/>
          <w:color w:val="auto"/>
          <w:sz w:val="24"/>
          <w:lang w:val="en-US" w:eastAsia="zh-CN"/>
        </w:rPr>
        <w:t>×</w:t>
      </w:r>
      <w:r>
        <w:rPr>
          <w:rFonts w:hint="eastAsia" w:hAnsi="宋体"/>
          <w:bCs/>
          <w:color w:val="auto"/>
          <w:sz w:val="24"/>
          <w:lang w:val="en-US" w:eastAsia="zh-CN"/>
        </w:rPr>
        <w:t>0.005kg/t-燃料</w:t>
      </w:r>
      <w:r>
        <w:rPr>
          <w:rFonts w:hint="default" w:ascii="Arial" w:hAnsi="Arial" w:cs="Arial"/>
          <w:bCs/>
          <w:color w:val="auto"/>
          <w:sz w:val="24"/>
          <w:lang w:val="en-US" w:eastAsia="zh-CN"/>
        </w:rPr>
        <w:t>×</w:t>
      </w:r>
      <w:r>
        <w:rPr>
          <w:rFonts w:hint="eastAsia" w:hAnsi="宋体"/>
          <w:bCs/>
          <w:color w:val="auto"/>
          <w:sz w:val="24"/>
          <w:lang w:val="en-US" w:eastAsia="zh-CN"/>
        </w:rPr>
        <w:t>10</w:t>
      </w:r>
      <w:r>
        <w:rPr>
          <w:rFonts w:hint="eastAsia" w:hAnsi="宋体"/>
          <w:bCs/>
          <w:color w:val="auto"/>
          <w:sz w:val="24"/>
          <w:vertAlign w:val="superscript"/>
          <w:lang w:val="en-US" w:eastAsia="zh-CN"/>
        </w:rPr>
        <w:t>-3</w:t>
      </w:r>
      <w:r>
        <w:rPr>
          <w:rFonts w:hint="eastAsia" w:hAnsi="宋体"/>
          <w:bCs/>
          <w:color w:val="auto"/>
          <w:sz w:val="24"/>
          <w:lang w:val="en-US" w:eastAsia="zh-CN"/>
        </w:rPr>
        <w:t>=0.005t/a。</w:t>
      </w:r>
    </w:p>
    <w:p w14:paraId="63E83400">
      <w:pPr>
        <w:pStyle w:val="16"/>
        <w:snapToGrid w:val="0"/>
        <w:spacing w:line="360" w:lineRule="auto"/>
        <w:ind w:firstLine="504"/>
        <w:rPr>
          <w:rFonts w:hint="eastAsia" w:hAnsi="宋体"/>
          <w:bCs/>
          <w:color w:val="auto"/>
          <w:sz w:val="24"/>
        </w:rPr>
      </w:pPr>
      <w:r>
        <w:rPr>
          <w:rFonts w:hint="eastAsia" w:hAnsi="宋体"/>
          <w:bCs/>
          <w:color w:val="auto"/>
          <w:sz w:val="24"/>
        </w:rPr>
        <w:t>b）二氧化硫</w:t>
      </w:r>
    </w:p>
    <w:p w14:paraId="20D9433A">
      <w:pPr>
        <w:pStyle w:val="16"/>
        <w:snapToGrid w:val="0"/>
        <w:spacing w:line="360" w:lineRule="auto"/>
        <w:ind w:firstLine="504"/>
        <w:rPr>
          <w:rFonts w:hint="eastAsia" w:hAnsi="宋体"/>
          <w:bCs/>
          <w:color w:val="auto"/>
          <w:sz w:val="24"/>
          <w:lang w:val="en-US" w:eastAsia="zh-CN"/>
        </w:rPr>
      </w:pPr>
      <w:r>
        <w:rPr>
          <w:rFonts w:hint="eastAsia" w:hAnsi="宋体"/>
          <w:bCs/>
          <w:color w:val="auto"/>
          <w:sz w:val="24"/>
          <w:lang w:eastAsia="zh-CN"/>
        </w:rPr>
        <w:t>根据</w:t>
      </w:r>
      <w:r>
        <w:rPr>
          <w:rFonts w:hint="eastAsia" w:hAnsi="宋体"/>
          <w:bCs/>
          <w:color w:val="auto"/>
          <w:sz w:val="24"/>
          <w:lang w:val="en-US" w:eastAsia="zh-CN"/>
        </w:rPr>
        <w:t>《排污许可证申请与核发技术规范 锅炉》（HJ953-2018）中“表F4 燃生物质工业锅炉的废气产排污系数”，燃用生物质成型燃料，二氧化硫产排物系数为17Skg/t-燃料（根据生物质检测报告可知，收到基全硫为0.03，则S=0.03），项目燃料用量为937.44t/a；</w:t>
      </w:r>
    </w:p>
    <w:p w14:paraId="3B9A402C">
      <w:pPr>
        <w:pStyle w:val="16"/>
        <w:snapToGrid w:val="0"/>
        <w:spacing w:line="360" w:lineRule="auto"/>
        <w:ind w:firstLine="504"/>
        <w:rPr>
          <w:rFonts w:hint="eastAsia" w:hAnsi="宋体"/>
          <w:bCs/>
          <w:color w:val="auto"/>
          <w:sz w:val="24"/>
        </w:rPr>
      </w:pPr>
      <w:r>
        <w:rPr>
          <w:rFonts w:hint="eastAsia" w:hAnsi="宋体"/>
          <w:bCs/>
          <w:color w:val="auto"/>
          <w:sz w:val="24"/>
          <w:lang w:val="en-US" w:eastAsia="zh-CN"/>
        </w:rPr>
        <w:t>SO</w:t>
      </w:r>
      <w:r>
        <w:rPr>
          <w:rFonts w:hint="eastAsia" w:hAnsi="宋体"/>
          <w:bCs/>
          <w:color w:val="auto"/>
          <w:sz w:val="24"/>
          <w:vertAlign w:val="subscript"/>
          <w:lang w:val="en-US" w:eastAsia="zh-CN"/>
        </w:rPr>
        <w:t>2</w:t>
      </w:r>
      <w:r>
        <w:rPr>
          <w:rFonts w:hint="eastAsia" w:hAnsi="宋体"/>
          <w:bCs/>
          <w:color w:val="auto"/>
          <w:sz w:val="24"/>
          <w:lang w:val="en-US" w:eastAsia="zh-CN"/>
        </w:rPr>
        <w:t>产生量为：937.44t/a</w:t>
      </w:r>
      <w:r>
        <w:rPr>
          <w:rFonts w:hint="default" w:ascii="Arial" w:hAnsi="Arial" w:cs="Arial"/>
          <w:bCs/>
          <w:color w:val="auto"/>
          <w:sz w:val="24"/>
          <w:lang w:val="en-US" w:eastAsia="zh-CN"/>
        </w:rPr>
        <w:t>×</w:t>
      </w:r>
      <w:r>
        <w:rPr>
          <w:rFonts w:hint="eastAsia" w:hAnsi="宋体"/>
          <w:bCs/>
          <w:color w:val="auto"/>
          <w:sz w:val="24"/>
          <w:lang w:val="en-US" w:eastAsia="zh-CN"/>
        </w:rPr>
        <w:t>17</w:t>
      </w:r>
      <w:r>
        <w:rPr>
          <w:rFonts w:hint="default" w:ascii="Arial" w:hAnsi="Arial" w:cs="Arial"/>
          <w:bCs/>
          <w:color w:val="auto"/>
          <w:sz w:val="24"/>
          <w:lang w:val="en-US" w:eastAsia="zh-CN"/>
        </w:rPr>
        <w:t>×</w:t>
      </w:r>
      <w:r>
        <w:rPr>
          <w:rFonts w:hint="eastAsia" w:hAnsi="宋体"/>
          <w:bCs/>
          <w:color w:val="auto"/>
          <w:sz w:val="24"/>
          <w:lang w:val="en-US" w:eastAsia="zh-CN"/>
        </w:rPr>
        <w:t>0.03</w:t>
      </w:r>
      <w:r>
        <w:rPr>
          <w:rFonts w:hint="default" w:ascii="Arial" w:hAnsi="Arial" w:cs="Arial"/>
          <w:bCs/>
          <w:color w:val="auto"/>
          <w:sz w:val="24"/>
          <w:lang w:val="en-US" w:eastAsia="zh-CN"/>
        </w:rPr>
        <w:t>×</w:t>
      </w:r>
      <w:r>
        <w:rPr>
          <w:rFonts w:hint="eastAsia" w:hAnsi="宋体"/>
          <w:bCs/>
          <w:color w:val="auto"/>
          <w:sz w:val="24"/>
          <w:lang w:val="en-US" w:eastAsia="zh-CN"/>
        </w:rPr>
        <w:t>10</w:t>
      </w:r>
      <w:r>
        <w:rPr>
          <w:rFonts w:hint="eastAsia" w:hAnsi="宋体"/>
          <w:bCs/>
          <w:color w:val="auto"/>
          <w:sz w:val="24"/>
          <w:vertAlign w:val="superscript"/>
          <w:lang w:val="en-US" w:eastAsia="zh-CN"/>
        </w:rPr>
        <w:t>-3</w:t>
      </w:r>
      <w:r>
        <w:rPr>
          <w:rFonts w:hint="eastAsia" w:hAnsi="宋体"/>
          <w:bCs/>
          <w:color w:val="auto"/>
          <w:sz w:val="24"/>
          <w:lang w:val="en-US" w:eastAsia="zh-CN"/>
        </w:rPr>
        <w:t>=0.48t/a。</w:t>
      </w:r>
    </w:p>
    <w:p w14:paraId="17542B38">
      <w:pPr>
        <w:pStyle w:val="16"/>
        <w:snapToGrid w:val="0"/>
        <w:spacing w:line="360" w:lineRule="auto"/>
        <w:ind w:firstLine="504"/>
        <w:rPr>
          <w:rFonts w:hint="eastAsia" w:hAnsi="宋体"/>
          <w:bCs/>
          <w:color w:val="auto"/>
          <w:sz w:val="24"/>
        </w:rPr>
      </w:pPr>
      <w:r>
        <w:rPr>
          <w:rFonts w:hint="eastAsia" w:hAnsi="宋体"/>
          <w:bCs/>
          <w:color w:val="auto"/>
          <w:sz w:val="24"/>
        </w:rPr>
        <w:t>c）氮氧化物排放量按下式计算</w:t>
      </w:r>
    </w:p>
    <w:p w14:paraId="2F12E19D">
      <w:pPr>
        <w:pStyle w:val="16"/>
        <w:snapToGrid w:val="0"/>
        <w:spacing w:line="360" w:lineRule="auto"/>
        <w:ind w:firstLine="504"/>
        <w:rPr>
          <w:rFonts w:hint="eastAsia" w:hAnsi="宋体"/>
          <w:bCs/>
          <w:color w:val="auto"/>
          <w:sz w:val="24"/>
          <w:lang w:val="en-US" w:eastAsia="zh-CN"/>
        </w:rPr>
      </w:pPr>
      <w:r>
        <w:rPr>
          <w:rFonts w:hint="eastAsia" w:hAnsi="宋体"/>
          <w:bCs/>
          <w:color w:val="auto"/>
          <w:sz w:val="24"/>
          <w:lang w:eastAsia="zh-CN"/>
        </w:rPr>
        <w:t>根据</w:t>
      </w:r>
      <w:r>
        <w:rPr>
          <w:rFonts w:hint="eastAsia" w:hAnsi="宋体"/>
          <w:bCs/>
          <w:color w:val="auto"/>
          <w:sz w:val="24"/>
          <w:lang w:val="en-US" w:eastAsia="zh-CN"/>
        </w:rPr>
        <w:t>《排污许可证申请与核发技术规范 锅炉》（HJ953-2018）中“表F4 燃生物质工业锅炉的废气产排污系数”，燃用生物质成型燃料，采用低氮燃烧法，氮氧化物产排物系数为0.71kg/t-燃料，项目燃料用量为937.44t/a；</w:t>
      </w:r>
    </w:p>
    <w:p w14:paraId="329CF9A8">
      <w:pPr>
        <w:pStyle w:val="16"/>
        <w:snapToGrid w:val="0"/>
        <w:spacing w:line="360" w:lineRule="auto"/>
        <w:ind w:firstLine="504"/>
        <w:rPr>
          <w:rFonts w:hint="default" w:ascii="Times New Roman" w:hAnsi="Times New Roman" w:cs="Times New Roman"/>
          <w:bCs/>
          <w:color w:val="auto"/>
          <w:sz w:val="24"/>
        </w:rPr>
      </w:pPr>
      <w:r>
        <w:rPr>
          <w:rFonts w:hint="default" w:ascii="Times New Roman" w:hAnsi="Times New Roman" w:cs="Times New Roman"/>
          <w:bCs/>
          <w:color w:val="auto"/>
          <w:sz w:val="24"/>
          <w:lang w:val="en-US" w:eastAsia="zh-CN"/>
        </w:rPr>
        <w:t>NO</w:t>
      </w:r>
      <w:r>
        <w:rPr>
          <w:rFonts w:hint="default" w:ascii="Times New Roman" w:hAnsi="Times New Roman" w:cs="Times New Roman"/>
          <w:bCs/>
          <w:color w:val="auto"/>
          <w:sz w:val="24"/>
          <w:vertAlign w:val="subscript"/>
          <w:lang w:val="en-US" w:eastAsia="zh-CN"/>
        </w:rPr>
        <w:t>X</w:t>
      </w:r>
      <w:r>
        <w:rPr>
          <w:rFonts w:hint="default" w:ascii="Times New Roman" w:hAnsi="Times New Roman" w:cs="Times New Roman"/>
          <w:bCs/>
          <w:color w:val="auto"/>
          <w:sz w:val="24"/>
          <w:lang w:val="en-US" w:eastAsia="zh-CN"/>
        </w:rPr>
        <w:t>产生量为：</w:t>
      </w:r>
      <w:r>
        <w:rPr>
          <w:rFonts w:hint="eastAsia" w:hAnsi="宋体"/>
          <w:bCs/>
          <w:color w:val="auto"/>
          <w:sz w:val="24"/>
          <w:lang w:val="en-US" w:eastAsia="zh-CN"/>
        </w:rPr>
        <w:t>937.44</w:t>
      </w:r>
      <w:r>
        <w:rPr>
          <w:rFonts w:hint="default" w:ascii="Times New Roman" w:hAnsi="Times New Roman" w:cs="Times New Roman"/>
          <w:bCs/>
          <w:color w:val="auto"/>
          <w:sz w:val="24"/>
          <w:lang w:val="en-US" w:eastAsia="zh-CN"/>
        </w:rPr>
        <w:t>t/a×</w:t>
      </w:r>
      <w:r>
        <w:rPr>
          <w:rFonts w:hint="eastAsia" w:cs="Times New Roman"/>
          <w:bCs/>
          <w:color w:val="auto"/>
          <w:sz w:val="24"/>
          <w:lang w:val="en-US" w:eastAsia="zh-CN"/>
        </w:rPr>
        <w:t>0.71</w:t>
      </w:r>
      <w:r>
        <w:rPr>
          <w:rFonts w:hint="default" w:ascii="Times New Roman" w:hAnsi="Times New Roman" w:cs="Times New Roman"/>
          <w:bCs/>
          <w:color w:val="auto"/>
          <w:sz w:val="24"/>
          <w:lang w:val="en-US" w:eastAsia="zh-CN"/>
        </w:rPr>
        <w:t>kg/t-燃料×10</w:t>
      </w:r>
      <w:r>
        <w:rPr>
          <w:rFonts w:hint="default" w:ascii="Times New Roman" w:hAnsi="Times New Roman" w:cs="Times New Roman"/>
          <w:bCs/>
          <w:color w:val="auto"/>
          <w:sz w:val="24"/>
          <w:vertAlign w:val="superscript"/>
          <w:lang w:val="en-US" w:eastAsia="zh-CN"/>
        </w:rPr>
        <w:t>-3</w:t>
      </w:r>
      <w:r>
        <w:rPr>
          <w:rFonts w:hint="default" w:ascii="Times New Roman" w:hAnsi="Times New Roman" w:cs="Times New Roman"/>
          <w:bCs/>
          <w:color w:val="auto"/>
          <w:sz w:val="24"/>
          <w:lang w:val="en-US" w:eastAsia="zh-CN"/>
        </w:rPr>
        <w:t>=</w:t>
      </w:r>
      <w:r>
        <w:rPr>
          <w:rFonts w:hint="eastAsia" w:cs="Times New Roman"/>
          <w:bCs/>
          <w:color w:val="auto"/>
          <w:sz w:val="24"/>
          <w:lang w:val="en-US" w:eastAsia="zh-CN"/>
        </w:rPr>
        <w:t>0.67</w:t>
      </w:r>
      <w:r>
        <w:rPr>
          <w:rFonts w:hint="default" w:ascii="Times New Roman" w:hAnsi="Times New Roman" w:cs="Times New Roman"/>
          <w:bCs/>
          <w:color w:val="auto"/>
          <w:sz w:val="24"/>
          <w:lang w:val="en-US" w:eastAsia="zh-CN"/>
        </w:rPr>
        <w:t>t/a。</w:t>
      </w:r>
    </w:p>
    <w:p w14:paraId="28EDABFB">
      <w:pPr>
        <w:pStyle w:val="16"/>
        <w:snapToGrid w:val="0"/>
        <w:spacing w:line="360" w:lineRule="auto"/>
        <w:ind w:firstLine="504"/>
        <w:rPr>
          <w:rFonts w:hint="eastAsia" w:hAnsi="宋体"/>
          <w:bCs/>
          <w:color w:val="auto"/>
          <w:sz w:val="24"/>
        </w:rPr>
      </w:pPr>
      <w:r>
        <w:rPr>
          <w:rFonts w:hint="eastAsia" w:hAnsi="宋体"/>
          <w:bCs/>
          <w:color w:val="auto"/>
          <w:sz w:val="24"/>
        </w:rPr>
        <w:t>根据以上</w:t>
      </w:r>
      <w:r>
        <w:rPr>
          <w:rFonts w:hint="eastAsia" w:hAnsi="宋体"/>
          <w:bCs/>
          <w:color w:val="auto"/>
          <w:sz w:val="24"/>
          <w:lang w:eastAsia="zh-CN"/>
        </w:rPr>
        <w:t>参数</w:t>
      </w:r>
      <w:r>
        <w:rPr>
          <w:rFonts w:hint="eastAsia" w:hAnsi="宋体"/>
          <w:bCs/>
          <w:color w:val="auto"/>
          <w:sz w:val="24"/>
        </w:rPr>
        <w:t>计算锅炉大气污染物产排情况如下：</w:t>
      </w:r>
    </w:p>
    <w:p w14:paraId="2EFBD421">
      <w:pPr>
        <w:jc w:val="center"/>
        <w:rPr>
          <w:rFonts w:hint="eastAsia" w:hAnsi="宋体"/>
          <w:b/>
          <w:color w:val="auto"/>
          <w:szCs w:val="21"/>
        </w:rPr>
      </w:pPr>
    </w:p>
    <w:p w14:paraId="25A987D3">
      <w:pPr>
        <w:jc w:val="center"/>
        <w:rPr>
          <w:b/>
          <w:color w:val="auto"/>
          <w:szCs w:val="21"/>
        </w:rPr>
      </w:pPr>
      <w:r>
        <w:rPr>
          <w:rFonts w:hint="eastAsia" w:hAnsi="宋体"/>
          <w:b/>
          <w:color w:val="auto"/>
          <w:szCs w:val="21"/>
        </w:rPr>
        <w:t>表</w:t>
      </w:r>
      <w:r>
        <w:rPr>
          <w:rFonts w:hint="eastAsia"/>
          <w:b/>
          <w:color w:val="auto"/>
          <w:szCs w:val="21"/>
          <w:lang w:val="en-US" w:eastAsia="zh-CN"/>
        </w:rPr>
        <w:t>3.4-10</w:t>
      </w:r>
      <w:r>
        <w:rPr>
          <w:b/>
          <w:color w:val="auto"/>
          <w:szCs w:val="21"/>
        </w:rPr>
        <w:t xml:space="preserve">   </w:t>
      </w:r>
      <w:r>
        <w:rPr>
          <w:rFonts w:hint="eastAsia" w:hAnsi="宋体"/>
          <w:b/>
          <w:color w:val="auto"/>
          <w:szCs w:val="21"/>
        </w:rPr>
        <w:t>锅炉污染物产排放情况汇总表</w:t>
      </w:r>
    </w:p>
    <w:tbl>
      <w:tblPr>
        <w:tblStyle w:val="53"/>
        <w:tblW w:w="4997"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618"/>
        <w:gridCol w:w="794"/>
        <w:gridCol w:w="951"/>
        <w:gridCol w:w="520"/>
        <w:gridCol w:w="584"/>
        <w:gridCol w:w="730"/>
        <w:gridCol w:w="915"/>
        <w:gridCol w:w="636"/>
        <w:gridCol w:w="689"/>
        <w:gridCol w:w="731"/>
        <w:gridCol w:w="928"/>
      </w:tblGrid>
      <w:tr w14:paraId="0C0D9B9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51" w:type="pct"/>
            <w:vMerge w:val="restart"/>
            <w:tcBorders>
              <w:tl2br w:val="nil"/>
              <w:tr2bl w:val="nil"/>
            </w:tcBorders>
            <w:noWrap w:val="0"/>
            <w:vAlign w:val="center"/>
          </w:tcPr>
          <w:p w14:paraId="62ABB529">
            <w:pPr>
              <w:jc w:val="center"/>
              <w:rPr>
                <w:rFonts w:hint="eastAsia" w:eastAsia="宋体"/>
                <w:color w:val="auto"/>
                <w:szCs w:val="21"/>
                <w:lang w:eastAsia="zh-CN"/>
              </w:rPr>
            </w:pPr>
            <w:r>
              <w:rPr>
                <w:rFonts w:hint="eastAsia"/>
                <w:color w:val="auto"/>
                <w:szCs w:val="21"/>
                <w:lang w:eastAsia="zh-CN"/>
              </w:rPr>
              <w:t>设备编号</w:t>
            </w:r>
          </w:p>
        </w:tc>
        <w:tc>
          <w:tcPr>
            <w:tcW w:w="362" w:type="pct"/>
            <w:vMerge w:val="restart"/>
            <w:tcBorders>
              <w:tl2br w:val="nil"/>
              <w:tr2bl w:val="nil"/>
            </w:tcBorders>
            <w:noWrap w:val="0"/>
            <w:vAlign w:val="center"/>
          </w:tcPr>
          <w:p w14:paraId="4ADC0C53">
            <w:pPr>
              <w:jc w:val="center"/>
              <w:rPr>
                <w:rFonts w:hint="eastAsia" w:hAnsi="宋体"/>
                <w:color w:val="auto"/>
                <w:szCs w:val="21"/>
              </w:rPr>
            </w:pPr>
            <w:r>
              <w:rPr>
                <w:rFonts w:hint="eastAsia"/>
                <w:color w:val="auto"/>
                <w:szCs w:val="21"/>
                <w:lang w:eastAsia="zh-CN"/>
              </w:rPr>
              <w:t>污染物</w:t>
            </w:r>
          </w:p>
        </w:tc>
        <w:tc>
          <w:tcPr>
            <w:tcW w:w="465" w:type="pct"/>
            <w:vMerge w:val="restart"/>
            <w:tcBorders>
              <w:tl2br w:val="nil"/>
              <w:tr2bl w:val="nil"/>
            </w:tcBorders>
            <w:noWrap w:val="0"/>
            <w:vAlign w:val="center"/>
          </w:tcPr>
          <w:p w14:paraId="7EEA5BD8">
            <w:pPr>
              <w:jc w:val="center"/>
              <w:rPr>
                <w:color w:val="auto"/>
                <w:szCs w:val="21"/>
              </w:rPr>
            </w:pPr>
            <w:r>
              <w:rPr>
                <w:rFonts w:hint="eastAsia" w:hAnsi="宋体"/>
                <w:color w:val="auto"/>
                <w:szCs w:val="21"/>
              </w:rPr>
              <w:t>燃料消耗量</w:t>
            </w:r>
            <w:r>
              <w:rPr>
                <w:color w:val="auto"/>
                <w:szCs w:val="21"/>
              </w:rPr>
              <w:t>(t/a)</w:t>
            </w:r>
          </w:p>
        </w:tc>
        <w:tc>
          <w:tcPr>
            <w:tcW w:w="557" w:type="pct"/>
            <w:vMerge w:val="restart"/>
            <w:tcBorders>
              <w:tl2br w:val="nil"/>
              <w:tr2bl w:val="nil"/>
            </w:tcBorders>
            <w:noWrap w:val="0"/>
            <w:vAlign w:val="center"/>
          </w:tcPr>
          <w:p w14:paraId="5AB86200">
            <w:pPr>
              <w:jc w:val="center"/>
              <w:rPr>
                <w:color w:val="auto"/>
                <w:szCs w:val="21"/>
              </w:rPr>
            </w:pPr>
            <w:r>
              <w:rPr>
                <w:rFonts w:hint="eastAsia" w:hAnsi="宋体"/>
                <w:color w:val="auto"/>
                <w:szCs w:val="21"/>
              </w:rPr>
              <w:t>烟气量</w:t>
            </w:r>
          </w:p>
          <w:p w14:paraId="0D4DA3BD">
            <w:pPr>
              <w:jc w:val="center"/>
              <w:rPr>
                <w:color w:val="auto"/>
                <w:szCs w:val="21"/>
              </w:rPr>
            </w:pPr>
            <w:r>
              <w:rPr>
                <w:color w:val="auto"/>
                <w:szCs w:val="21"/>
              </w:rPr>
              <w:t>(m</w:t>
            </w:r>
            <w:r>
              <w:rPr>
                <w:color w:val="auto"/>
                <w:szCs w:val="21"/>
                <w:vertAlign w:val="superscript"/>
              </w:rPr>
              <w:t>3</w:t>
            </w:r>
            <w:r>
              <w:rPr>
                <w:color w:val="auto"/>
                <w:szCs w:val="21"/>
              </w:rPr>
              <w:t>/</w:t>
            </w:r>
            <w:r>
              <w:rPr>
                <w:rFonts w:hint="eastAsia"/>
                <w:color w:val="auto"/>
                <w:szCs w:val="21"/>
                <w:lang w:val="en-US" w:eastAsia="zh-CN"/>
              </w:rPr>
              <w:t>a</w:t>
            </w:r>
            <w:r>
              <w:rPr>
                <w:color w:val="auto"/>
                <w:szCs w:val="21"/>
              </w:rPr>
              <w:t>)</w:t>
            </w:r>
          </w:p>
        </w:tc>
        <w:tc>
          <w:tcPr>
            <w:tcW w:w="305" w:type="pct"/>
            <w:vMerge w:val="restart"/>
            <w:tcBorders>
              <w:tl2br w:val="nil"/>
              <w:tr2bl w:val="nil"/>
            </w:tcBorders>
            <w:noWrap w:val="0"/>
            <w:vAlign w:val="center"/>
          </w:tcPr>
          <w:p w14:paraId="0B3938EE">
            <w:pPr>
              <w:jc w:val="center"/>
              <w:rPr>
                <w:color w:val="auto"/>
                <w:szCs w:val="21"/>
              </w:rPr>
            </w:pPr>
            <w:r>
              <w:rPr>
                <w:rFonts w:hint="eastAsia" w:hAnsi="宋体"/>
                <w:color w:val="auto"/>
                <w:szCs w:val="21"/>
              </w:rPr>
              <w:t>烟囱高度</w:t>
            </w:r>
            <w:r>
              <w:rPr>
                <w:color w:val="auto"/>
                <w:szCs w:val="21"/>
              </w:rPr>
              <w:t>(m)</w:t>
            </w:r>
          </w:p>
        </w:tc>
        <w:tc>
          <w:tcPr>
            <w:tcW w:w="1307" w:type="pct"/>
            <w:gridSpan w:val="3"/>
            <w:tcBorders>
              <w:tl2br w:val="nil"/>
              <w:tr2bl w:val="nil"/>
            </w:tcBorders>
            <w:noWrap w:val="0"/>
            <w:vAlign w:val="center"/>
          </w:tcPr>
          <w:p w14:paraId="24C97BCB">
            <w:pPr>
              <w:jc w:val="center"/>
              <w:rPr>
                <w:rFonts w:hint="eastAsia" w:eastAsia="宋体"/>
                <w:color w:val="auto"/>
                <w:szCs w:val="21"/>
                <w:lang w:eastAsia="zh-CN"/>
              </w:rPr>
            </w:pPr>
            <w:r>
              <w:rPr>
                <w:rFonts w:hint="eastAsia" w:hAnsi="宋体"/>
                <w:color w:val="auto"/>
                <w:szCs w:val="21"/>
              </w:rPr>
              <w:t>产生量</w:t>
            </w:r>
            <w:r>
              <w:rPr>
                <w:rFonts w:hint="eastAsia" w:hAnsi="宋体"/>
                <w:color w:val="auto"/>
                <w:szCs w:val="21"/>
                <w:lang w:eastAsia="zh-CN"/>
              </w:rPr>
              <w:t>情况</w:t>
            </w:r>
          </w:p>
        </w:tc>
        <w:tc>
          <w:tcPr>
            <w:tcW w:w="373" w:type="pct"/>
            <w:vMerge w:val="restart"/>
            <w:tcBorders>
              <w:tl2br w:val="nil"/>
              <w:tr2bl w:val="nil"/>
            </w:tcBorders>
            <w:noWrap w:val="0"/>
            <w:vAlign w:val="center"/>
          </w:tcPr>
          <w:p w14:paraId="76B9692A">
            <w:pPr>
              <w:jc w:val="center"/>
              <w:rPr>
                <w:rFonts w:hint="default" w:hAnsi="宋体" w:eastAsia="宋体"/>
                <w:color w:val="auto"/>
                <w:szCs w:val="21"/>
                <w:lang w:val="en-US" w:eastAsia="zh-CN"/>
              </w:rPr>
            </w:pPr>
            <w:r>
              <w:rPr>
                <w:rFonts w:hint="eastAsia" w:hAnsi="宋体"/>
                <w:color w:val="auto"/>
                <w:szCs w:val="21"/>
                <w:lang w:val="en-US" w:eastAsia="zh-CN"/>
              </w:rPr>
              <w:t>治理措施及效率%</w:t>
            </w:r>
          </w:p>
        </w:tc>
        <w:tc>
          <w:tcPr>
            <w:tcW w:w="1376" w:type="pct"/>
            <w:gridSpan w:val="3"/>
            <w:tcBorders>
              <w:tl2br w:val="nil"/>
              <w:tr2bl w:val="nil"/>
            </w:tcBorders>
            <w:noWrap w:val="0"/>
            <w:vAlign w:val="center"/>
          </w:tcPr>
          <w:p w14:paraId="4C3D85B0">
            <w:pPr>
              <w:jc w:val="center"/>
              <w:rPr>
                <w:rFonts w:hint="eastAsia" w:eastAsia="宋体"/>
                <w:color w:val="auto"/>
                <w:szCs w:val="21"/>
                <w:lang w:val="en-US" w:eastAsia="zh-CN"/>
              </w:rPr>
            </w:pPr>
            <w:r>
              <w:rPr>
                <w:rFonts w:hint="eastAsia" w:hAnsi="宋体"/>
                <w:color w:val="auto"/>
                <w:szCs w:val="21"/>
              </w:rPr>
              <w:t>排放量</w:t>
            </w:r>
            <w:r>
              <w:rPr>
                <w:rFonts w:hint="eastAsia" w:hAnsi="宋体"/>
                <w:color w:val="auto"/>
                <w:szCs w:val="21"/>
                <w:lang w:eastAsia="zh-CN"/>
              </w:rPr>
              <w:t>情况</w:t>
            </w:r>
          </w:p>
        </w:tc>
      </w:tr>
      <w:tr w14:paraId="445427A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0" w:hRule="atLeast"/>
        </w:trPr>
        <w:tc>
          <w:tcPr>
            <w:tcW w:w="251" w:type="pct"/>
            <w:vMerge w:val="continue"/>
            <w:tcBorders>
              <w:tl2br w:val="nil"/>
              <w:tr2bl w:val="nil"/>
            </w:tcBorders>
            <w:noWrap w:val="0"/>
            <w:vAlign w:val="center"/>
          </w:tcPr>
          <w:p w14:paraId="7B99D02E">
            <w:pPr>
              <w:widowControl/>
              <w:jc w:val="left"/>
              <w:rPr>
                <w:color w:val="auto"/>
                <w:szCs w:val="21"/>
              </w:rPr>
            </w:pPr>
          </w:p>
        </w:tc>
        <w:tc>
          <w:tcPr>
            <w:tcW w:w="362" w:type="pct"/>
            <w:vMerge w:val="continue"/>
            <w:tcBorders>
              <w:tl2br w:val="nil"/>
              <w:tr2bl w:val="nil"/>
            </w:tcBorders>
            <w:noWrap w:val="0"/>
            <w:vAlign w:val="center"/>
          </w:tcPr>
          <w:p w14:paraId="1BC2A36F">
            <w:pPr>
              <w:widowControl/>
              <w:jc w:val="left"/>
              <w:rPr>
                <w:color w:val="auto"/>
                <w:szCs w:val="21"/>
              </w:rPr>
            </w:pPr>
          </w:p>
        </w:tc>
        <w:tc>
          <w:tcPr>
            <w:tcW w:w="465" w:type="pct"/>
            <w:vMerge w:val="continue"/>
            <w:tcBorders>
              <w:tl2br w:val="nil"/>
              <w:tr2bl w:val="nil"/>
            </w:tcBorders>
            <w:noWrap w:val="0"/>
            <w:vAlign w:val="center"/>
          </w:tcPr>
          <w:p w14:paraId="5683E9D9">
            <w:pPr>
              <w:widowControl/>
              <w:jc w:val="left"/>
              <w:rPr>
                <w:color w:val="auto"/>
                <w:szCs w:val="21"/>
              </w:rPr>
            </w:pPr>
          </w:p>
        </w:tc>
        <w:tc>
          <w:tcPr>
            <w:tcW w:w="557" w:type="pct"/>
            <w:vMerge w:val="continue"/>
            <w:tcBorders>
              <w:tl2br w:val="nil"/>
              <w:tr2bl w:val="nil"/>
            </w:tcBorders>
            <w:noWrap w:val="0"/>
            <w:vAlign w:val="center"/>
          </w:tcPr>
          <w:p w14:paraId="44A193CA">
            <w:pPr>
              <w:widowControl/>
              <w:jc w:val="left"/>
              <w:rPr>
                <w:color w:val="auto"/>
                <w:szCs w:val="21"/>
              </w:rPr>
            </w:pPr>
          </w:p>
        </w:tc>
        <w:tc>
          <w:tcPr>
            <w:tcW w:w="305" w:type="pct"/>
            <w:vMerge w:val="continue"/>
            <w:tcBorders>
              <w:tl2br w:val="nil"/>
              <w:tr2bl w:val="nil"/>
            </w:tcBorders>
            <w:noWrap w:val="0"/>
            <w:vAlign w:val="center"/>
          </w:tcPr>
          <w:p w14:paraId="7F871216">
            <w:pPr>
              <w:widowControl/>
              <w:jc w:val="left"/>
              <w:rPr>
                <w:color w:val="auto"/>
                <w:szCs w:val="21"/>
              </w:rPr>
            </w:pPr>
          </w:p>
        </w:tc>
        <w:tc>
          <w:tcPr>
            <w:tcW w:w="342" w:type="pct"/>
            <w:tcBorders>
              <w:tl2br w:val="nil"/>
              <w:tr2bl w:val="nil"/>
            </w:tcBorders>
            <w:noWrap w:val="0"/>
            <w:vAlign w:val="center"/>
          </w:tcPr>
          <w:p w14:paraId="2440FF2E">
            <w:pPr>
              <w:jc w:val="center"/>
              <w:rPr>
                <w:rFonts w:hint="default" w:eastAsia="宋体"/>
                <w:color w:val="auto"/>
                <w:szCs w:val="21"/>
                <w:lang w:val="en-US" w:eastAsia="zh-CN"/>
              </w:rPr>
            </w:pPr>
            <w:r>
              <w:rPr>
                <w:rFonts w:hint="eastAsia"/>
                <w:color w:val="auto"/>
                <w:szCs w:val="21"/>
                <w:lang w:eastAsia="zh-CN"/>
              </w:rPr>
              <w:t>产生量</w:t>
            </w:r>
            <w:r>
              <w:rPr>
                <w:rFonts w:hint="eastAsia"/>
                <w:color w:val="auto"/>
                <w:szCs w:val="21"/>
                <w:lang w:val="en-US" w:eastAsia="zh-CN"/>
              </w:rPr>
              <w:t>(t/a)</w:t>
            </w:r>
          </w:p>
        </w:tc>
        <w:tc>
          <w:tcPr>
            <w:tcW w:w="428" w:type="pct"/>
            <w:tcBorders>
              <w:tl2br w:val="nil"/>
              <w:tr2bl w:val="nil"/>
            </w:tcBorders>
            <w:noWrap w:val="0"/>
            <w:vAlign w:val="center"/>
          </w:tcPr>
          <w:p w14:paraId="506AC2B6">
            <w:pPr>
              <w:jc w:val="center"/>
              <w:rPr>
                <w:rFonts w:hint="default" w:eastAsia="宋体"/>
                <w:color w:val="auto"/>
                <w:szCs w:val="21"/>
                <w:lang w:val="en-US" w:eastAsia="zh-CN"/>
              </w:rPr>
            </w:pPr>
            <w:r>
              <w:rPr>
                <w:rFonts w:hint="eastAsia"/>
                <w:color w:val="auto"/>
                <w:szCs w:val="21"/>
                <w:lang w:eastAsia="zh-CN"/>
              </w:rPr>
              <w:t>产生速率</w:t>
            </w:r>
            <w:r>
              <w:rPr>
                <w:rFonts w:hint="eastAsia"/>
                <w:color w:val="auto"/>
                <w:szCs w:val="21"/>
                <w:lang w:val="en-US" w:eastAsia="zh-CN"/>
              </w:rPr>
              <w:t>(kg/h)</w:t>
            </w:r>
          </w:p>
        </w:tc>
        <w:tc>
          <w:tcPr>
            <w:tcW w:w="536" w:type="pct"/>
            <w:tcBorders>
              <w:tl2br w:val="nil"/>
              <w:tr2bl w:val="nil"/>
            </w:tcBorders>
            <w:noWrap w:val="0"/>
            <w:vAlign w:val="center"/>
          </w:tcPr>
          <w:p w14:paraId="2B870D2C">
            <w:pPr>
              <w:jc w:val="center"/>
              <w:rPr>
                <w:rFonts w:hint="default" w:eastAsia="宋体"/>
                <w:color w:val="auto"/>
                <w:szCs w:val="21"/>
                <w:lang w:val="en-US" w:eastAsia="zh-CN"/>
              </w:rPr>
            </w:pPr>
            <w:r>
              <w:rPr>
                <w:rFonts w:hint="eastAsia"/>
                <w:color w:val="auto"/>
                <w:szCs w:val="21"/>
                <w:lang w:eastAsia="zh-CN"/>
              </w:rPr>
              <w:t>产生浓度</w:t>
            </w:r>
            <w:r>
              <w:rPr>
                <w:rFonts w:hint="eastAsia"/>
                <w:color w:val="auto"/>
                <w:szCs w:val="21"/>
                <w:lang w:val="en-US" w:eastAsia="zh-CN"/>
              </w:rPr>
              <w:t>(mg/m</w:t>
            </w:r>
            <w:r>
              <w:rPr>
                <w:rFonts w:hint="eastAsia"/>
                <w:color w:val="auto"/>
                <w:szCs w:val="21"/>
                <w:vertAlign w:val="superscript"/>
                <w:lang w:val="en-US" w:eastAsia="zh-CN"/>
              </w:rPr>
              <w:t>3</w:t>
            </w:r>
            <w:r>
              <w:rPr>
                <w:rFonts w:hint="eastAsia"/>
                <w:color w:val="auto"/>
                <w:szCs w:val="21"/>
                <w:lang w:val="en-US" w:eastAsia="zh-CN"/>
              </w:rPr>
              <w:t>)</w:t>
            </w:r>
          </w:p>
        </w:tc>
        <w:tc>
          <w:tcPr>
            <w:tcW w:w="373" w:type="pct"/>
            <w:vMerge w:val="continue"/>
            <w:tcBorders>
              <w:tl2br w:val="nil"/>
              <w:tr2bl w:val="nil"/>
            </w:tcBorders>
            <w:noWrap w:val="0"/>
            <w:vAlign w:val="center"/>
          </w:tcPr>
          <w:p w14:paraId="412491BE">
            <w:pPr>
              <w:jc w:val="center"/>
              <w:rPr>
                <w:rFonts w:hint="eastAsia" w:hAnsi="宋体"/>
                <w:color w:val="auto"/>
                <w:szCs w:val="21"/>
              </w:rPr>
            </w:pPr>
          </w:p>
        </w:tc>
        <w:tc>
          <w:tcPr>
            <w:tcW w:w="404" w:type="pct"/>
            <w:tcBorders>
              <w:tl2br w:val="nil"/>
              <w:tr2bl w:val="nil"/>
            </w:tcBorders>
            <w:noWrap w:val="0"/>
            <w:vAlign w:val="center"/>
          </w:tcPr>
          <w:p w14:paraId="734080A9">
            <w:pPr>
              <w:jc w:val="center"/>
              <w:rPr>
                <w:color w:val="auto"/>
                <w:szCs w:val="21"/>
              </w:rPr>
            </w:pPr>
            <w:r>
              <w:rPr>
                <w:rFonts w:hint="eastAsia"/>
                <w:color w:val="auto"/>
                <w:szCs w:val="21"/>
                <w:lang w:eastAsia="zh-CN"/>
              </w:rPr>
              <w:t>排放量</w:t>
            </w:r>
            <w:r>
              <w:rPr>
                <w:rFonts w:hint="eastAsia"/>
                <w:color w:val="auto"/>
                <w:szCs w:val="21"/>
                <w:lang w:val="en-US" w:eastAsia="zh-CN"/>
              </w:rPr>
              <w:t>(t/a)</w:t>
            </w:r>
          </w:p>
        </w:tc>
        <w:tc>
          <w:tcPr>
            <w:tcW w:w="428" w:type="pct"/>
            <w:tcBorders>
              <w:tl2br w:val="nil"/>
              <w:tr2bl w:val="nil"/>
            </w:tcBorders>
            <w:noWrap w:val="0"/>
            <w:vAlign w:val="center"/>
          </w:tcPr>
          <w:p w14:paraId="5BC40FA5">
            <w:pPr>
              <w:jc w:val="center"/>
              <w:rPr>
                <w:color w:val="auto"/>
                <w:szCs w:val="21"/>
              </w:rPr>
            </w:pPr>
            <w:r>
              <w:rPr>
                <w:rFonts w:hint="eastAsia"/>
                <w:color w:val="auto"/>
                <w:szCs w:val="21"/>
                <w:lang w:eastAsia="zh-CN"/>
              </w:rPr>
              <w:t>排放速率</w:t>
            </w:r>
            <w:r>
              <w:rPr>
                <w:rFonts w:hint="eastAsia"/>
                <w:color w:val="auto"/>
                <w:szCs w:val="21"/>
                <w:lang w:val="en-US" w:eastAsia="zh-CN"/>
              </w:rPr>
              <w:t>(kg/h)</w:t>
            </w:r>
          </w:p>
        </w:tc>
        <w:tc>
          <w:tcPr>
            <w:tcW w:w="543" w:type="pct"/>
            <w:tcBorders>
              <w:tl2br w:val="nil"/>
              <w:tr2bl w:val="nil"/>
            </w:tcBorders>
            <w:noWrap w:val="0"/>
            <w:vAlign w:val="center"/>
          </w:tcPr>
          <w:p w14:paraId="45EE98EF">
            <w:pPr>
              <w:jc w:val="center"/>
              <w:rPr>
                <w:color w:val="auto"/>
                <w:szCs w:val="21"/>
              </w:rPr>
            </w:pPr>
            <w:r>
              <w:rPr>
                <w:rFonts w:hint="eastAsia"/>
                <w:color w:val="auto"/>
                <w:szCs w:val="21"/>
                <w:lang w:eastAsia="zh-CN"/>
              </w:rPr>
              <w:t>排放浓度</w:t>
            </w:r>
            <w:r>
              <w:rPr>
                <w:rFonts w:hint="eastAsia"/>
                <w:color w:val="auto"/>
                <w:szCs w:val="21"/>
                <w:lang w:val="en-US" w:eastAsia="zh-CN"/>
              </w:rPr>
              <w:t>(mg/m</w:t>
            </w:r>
            <w:r>
              <w:rPr>
                <w:rFonts w:hint="eastAsia"/>
                <w:color w:val="auto"/>
                <w:szCs w:val="21"/>
                <w:vertAlign w:val="superscript"/>
                <w:lang w:val="en-US" w:eastAsia="zh-CN"/>
              </w:rPr>
              <w:t>3</w:t>
            </w:r>
            <w:r>
              <w:rPr>
                <w:rFonts w:hint="eastAsia"/>
                <w:color w:val="auto"/>
                <w:szCs w:val="21"/>
                <w:lang w:val="en-US" w:eastAsia="zh-CN"/>
              </w:rPr>
              <w:t>)</w:t>
            </w:r>
          </w:p>
        </w:tc>
      </w:tr>
      <w:tr w14:paraId="58AC429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251" w:type="pct"/>
            <w:vMerge w:val="restart"/>
            <w:tcBorders>
              <w:tl2br w:val="nil"/>
              <w:tr2bl w:val="nil"/>
            </w:tcBorders>
            <w:noWrap w:val="0"/>
            <w:vAlign w:val="center"/>
          </w:tcPr>
          <w:p w14:paraId="1941C657">
            <w:pPr>
              <w:jc w:val="center"/>
              <w:rPr>
                <w:rFonts w:hint="default" w:eastAsia="宋体"/>
                <w:color w:val="auto"/>
                <w:szCs w:val="21"/>
                <w:lang w:val="en-US" w:eastAsia="zh-CN"/>
              </w:rPr>
            </w:pPr>
            <w:r>
              <w:rPr>
                <w:rFonts w:hint="eastAsia"/>
                <w:color w:val="auto"/>
                <w:szCs w:val="21"/>
                <w:lang w:eastAsia="zh-CN"/>
              </w:rPr>
              <w:t>生物质锅炉</w:t>
            </w:r>
          </w:p>
        </w:tc>
        <w:tc>
          <w:tcPr>
            <w:tcW w:w="362" w:type="pct"/>
            <w:tcBorders>
              <w:tl2br w:val="nil"/>
              <w:tr2bl w:val="nil"/>
            </w:tcBorders>
            <w:noWrap w:val="0"/>
            <w:vAlign w:val="center"/>
          </w:tcPr>
          <w:p w14:paraId="3772AF41">
            <w:pPr>
              <w:jc w:val="center"/>
              <w:rPr>
                <w:rFonts w:hint="eastAsia"/>
                <w:color w:val="auto"/>
                <w:szCs w:val="21"/>
                <w:lang w:val="en-US" w:eastAsia="zh-CN"/>
              </w:rPr>
            </w:pPr>
            <w:r>
              <w:rPr>
                <w:rFonts w:hint="eastAsia"/>
                <w:color w:val="auto"/>
                <w:szCs w:val="21"/>
                <w:lang w:eastAsia="zh-CN"/>
              </w:rPr>
              <w:t>烟尘</w:t>
            </w:r>
          </w:p>
        </w:tc>
        <w:tc>
          <w:tcPr>
            <w:tcW w:w="465" w:type="pct"/>
            <w:vMerge w:val="restart"/>
            <w:tcBorders>
              <w:tl2br w:val="nil"/>
              <w:tr2bl w:val="nil"/>
            </w:tcBorders>
            <w:noWrap w:val="0"/>
            <w:vAlign w:val="center"/>
          </w:tcPr>
          <w:p w14:paraId="6D9698EE">
            <w:pPr>
              <w:jc w:val="center"/>
              <w:rPr>
                <w:rFonts w:hint="default" w:eastAsia="宋体"/>
                <w:color w:val="auto"/>
                <w:szCs w:val="21"/>
                <w:lang w:val="en-US" w:eastAsia="zh-CN"/>
              </w:rPr>
            </w:pPr>
            <w:r>
              <w:rPr>
                <w:rFonts w:hint="default" w:eastAsia="宋体"/>
                <w:color w:val="auto"/>
                <w:szCs w:val="21"/>
                <w:lang w:val="en-US" w:eastAsia="zh-CN"/>
              </w:rPr>
              <w:t>937.44</w:t>
            </w:r>
          </w:p>
        </w:tc>
        <w:tc>
          <w:tcPr>
            <w:tcW w:w="557" w:type="pct"/>
            <w:vMerge w:val="restart"/>
            <w:tcBorders>
              <w:tl2br w:val="nil"/>
              <w:tr2bl w:val="nil"/>
            </w:tcBorders>
            <w:noWrap w:val="0"/>
            <w:vAlign w:val="center"/>
          </w:tcPr>
          <w:p w14:paraId="6B519D16">
            <w:pPr>
              <w:jc w:val="center"/>
              <w:rPr>
                <w:rFonts w:hint="default" w:eastAsia="宋体"/>
                <w:color w:val="auto"/>
                <w:szCs w:val="21"/>
                <w:lang w:val="en-US" w:eastAsia="zh-CN"/>
              </w:rPr>
            </w:pPr>
            <w:r>
              <w:rPr>
                <w:rFonts w:hint="eastAsia"/>
                <w:color w:val="auto"/>
                <w:szCs w:val="21"/>
                <w:lang w:val="en-US" w:eastAsia="zh-CN"/>
              </w:rPr>
              <w:t>6083986</w:t>
            </w:r>
          </w:p>
        </w:tc>
        <w:tc>
          <w:tcPr>
            <w:tcW w:w="305" w:type="pct"/>
            <w:vMerge w:val="restart"/>
            <w:tcBorders>
              <w:tl2br w:val="nil"/>
              <w:tr2bl w:val="nil"/>
            </w:tcBorders>
            <w:noWrap w:val="0"/>
            <w:vAlign w:val="center"/>
          </w:tcPr>
          <w:p w14:paraId="4EED49A1">
            <w:pPr>
              <w:jc w:val="center"/>
              <w:rPr>
                <w:rFonts w:hint="default" w:eastAsia="宋体"/>
                <w:color w:val="auto"/>
                <w:szCs w:val="21"/>
                <w:lang w:val="en-US" w:eastAsia="zh-CN"/>
              </w:rPr>
            </w:pPr>
            <w:r>
              <w:rPr>
                <w:rFonts w:hint="eastAsia"/>
                <w:color w:val="auto"/>
                <w:szCs w:val="21"/>
                <w:lang w:val="en-US" w:eastAsia="zh-CN"/>
              </w:rPr>
              <w:t>30</w:t>
            </w:r>
          </w:p>
        </w:tc>
        <w:tc>
          <w:tcPr>
            <w:tcW w:w="342" w:type="pct"/>
            <w:tcBorders>
              <w:tl2br w:val="nil"/>
              <w:tr2bl w:val="nil"/>
            </w:tcBorders>
            <w:noWrap w:val="0"/>
            <w:vAlign w:val="center"/>
          </w:tcPr>
          <w:p w14:paraId="2537110D">
            <w:pPr>
              <w:jc w:val="center"/>
              <w:rPr>
                <w:rFonts w:hint="default" w:eastAsia="宋体"/>
                <w:color w:val="auto"/>
                <w:lang w:val="en-US" w:eastAsia="zh-CN"/>
              </w:rPr>
            </w:pPr>
            <w:r>
              <w:rPr>
                <w:rFonts w:hint="eastAsia"/>
                <w:color w:val="auto"/>
                <w:lang w:val="en-US" w:eastAsia="zh-CN"/>
              </w:rPr>
              <w:t>0.47</w:t>
            </w:r>
          </w:p>
        </w:tc>
        <w:tc>
          <w:tcPr>
            <w:tcW w:w="428" w:type="pct"/>
            <w:tcBorders>
              <w:tl2br w:val="nil"/>
              <w:tr2bl w:val="nil"/>
            </w:tcBorders>
            <w:noWrap w:val="0"/>
            <w:vAlign w:val="center"/>
          </w:tcPr>
          <w:p w14:paraId="72F68F80">
            <w:pPr>
              <w:jc w:val="center"/>
              <w:rPr>
                <w:rFonts w:hint="default" w:eastAsia="宋体"/>
                <w:color w:val="auto"/>
                <w:lang w:val="en-US" w:eastAsia="zh-CN"/>
              </w:rPr>
            </w:pPr>
            <w:r>
              <w:rPr>
                <w:rFonts w:hint="eastAsia"/>
                <w:color w:val="auto"/>
                <w:lang w:val="en-US" w:eastAsia="zh-CN"/>
              </w:rPr>
              <w:t>0.163</w:t>
            </w:r>
          </w:p>
        </w:tc>
        <w:tc>
          <w:tcPr>
            <w:tcW w:w="536" w:type="pct"/>
            <w:tcBorders>
              <w:tl2br w:val="nil"/>
              <w:tr2bl w:val="nil"/>
            </w:tcBorders>
            <w:noWrap w:val="0"/>
            <w:vAlign w:val="center"/>
          </w:tcPr>
          <w:p w14:paraId="0985114C">
            <w:pPr>
              <w:jc w:val="center"/>
              <w:rPr>
                <w:rFonts w:hint="default" w:eastAsia="宋体"/>
                <w:color w:val="auto"/>
                <w:lang w:val="en-US" w:eastAsia="zh-CN"/>
              </w:rPr>
            </w:pPr>
            <w:r>
              <w:rPr>
                <w:rFonts w:hint="eastAsia"/>
                <w:color w:val="auto"/>
                <w:lang w:val="en-US" w:eastAsia="zh-CN"/>
              </w:rPr>
              <w:t>77</w:t>
            </w:r>
          </w:p>
        </w:tc>
        <w:tc>
          <w:tcPr>
            <w:tcW w:w="373" w:type="pct"/>
            <w:tcBorders>
              <w:tl2br w:val="nil"/>
              <w:tr2bl w:val="nil"/>
            </w:tcBorders>
            <w:noWrap w:val="0"/>
            <w:vAlign w:val="center"/>
          </w:tcPr>
          <w:p w14:paraId="33D03C99">
            <w:pPr>
              <w:jc w:val="center"/>
              <w:rPr>
                <w:rFonts w:hint="default"/>
                <w:color w:val="auto"/>
                <w:lang w:val="en-US" w:eastAsia="zh-CN"/>
              </w:rPr>
            </w:pPr>
            <w:r>
              <w:rPr>
                <w:rFonts w:hint="eastAsia"/>
                <w:color w:val="auto"/>
                <w:lang w:val="en-US" w:eastAsia="zh-CN"/>
              </w:rPr>
              <w:t>旋风除尘器+布袋除尘器，99%</w:t>
            </w:r>
          </w:p>
        </w:tc>
        <w:tc>
          <w:tcPr>
            <w:tcW w:w="404" w:type="pct"/>
            <w:tcBorders>
              <w:tl2br w:val="nil"/>
              <w:tr2bl w:val="nil"/>
            </w:tcBorders>
            <w:noWrap w:val="0"/>
            <w:vAlign w:val="center"/>
          </w:tcPr>
          <w:p w14:paraId="4BEAD7E1">
            <w:pPr>
              <w:jc w:val="center"/>
              <w:rPr>
                <w:rFonts w:hint="default" w:eastAsia="宋体"/>
                <w:color w:val="auto"/>
                <w:lang w:val="en-US" w:eastAsia="zh-CN"/>
              </w:rPr>
            </w:pPr>
            <w:r>
              <w:rPr>
                <w:rFonts w:hint="eastAsia"/>
                <w:color w:val="auto"/>
                <w:lang w:val="en-US" w:eastAsia="zh-CN"/>
              </w:rPr>
              <w:t>0.005</w:t>
            </w:r>
          </w:p>
        </w:tc>
        <w:tc>
          <w:tcPr>
            <w:tcW w:w="428" w:type="pct"/>
            <w:tcBorders>
              <w:tl2br w:val="nil"/>
              <w:tr2bl w:val="nil"/>
            </w:tcBorders>
            <w:noWrap w:val="0"/>
            <w:vAlign w:val="center"/>
          </w:tcPr>
          <w:p w14:paraId="401F4EA5">
            <w:pPr>
              <w:jc w:val="center"/>
              <w:rPr>
                <w:rFonts w:hint="default" w:eastAsia="宋体"/>
                <w:color w:val="auto"/>
                <w:lang w:val="en-US" w:eastAsia="zh-CN"/>
              </w:rPr>
            </w:pPr>
            <w:r>
              <w:rPr>
                <w:rFonts w:hint="eastAsia"/>
                <w:color w:val="auto"/>
                <w:lang w:val="en-US" w:eastAsia="zh-CN"/>
              </w:rPr>
              <w:t>0.002</w:t>
            </w:r>
          </w:p>
        </w:tc>
        <w:tc>
          <w:tcPr>
            <w:tcW w:w="543" w:type="pct"/>
            <w:tcBorders>
              <w:tl2br w:val="nil"/>
              <w:tr2bl w:val="nil"/>
            </w:tcBorders>
            <w:noWrap w:val="0"/>
            <w:vAlign w:val="center"/>
          </w:tcPr>
          <w:p w14:paraId="10EDE38F">
            <w:pPr>
              <w:jc w:val="center"/>
              <w:rPr>
                <w:rFonts w:hint="default" w:eastAsia="宋体"/>
                <w:color w:val="auto"/>
                <w:lang w:val="en-US" w:eastAsia="zh-CN"/>
              </w:rPr>
            </w:pPr>
            <w:r>
              <w:rPr>
                <w:rFonts w:hint="eastAsia"/>
                <w:color w:val="auto"/>
                <w:lang w:val="en-US" w:eastAsia="zh-CN"/>
              </w:rPr>
              <w:t>1.0</w:t>
            </w:r>
          </w:p>
        </w:tc>
      </w:tr>
      <w:tr w14:paraId="06A36EE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251" w:type="pct"/>
            <w:vMerge w:val="continue"/>
            <w:tcBorders>
              <w:tl2br w:val="nil"/>
              <w:tr2bl w:val="nil"/>
            </w:tcBorders>
            <w:noWrap w:val="0"/>
            <w:vAlign w:val="center"/>
          </w:tcPr>
          <w:p w14:paraId="7E3A873B">
            <w:pPr>
              <w:jc w:val="center"/>
              <w:rPr>
                <w:rFonts w:hint="default"/>
                <w:color w:val="auto"/>
                <w:szCs w:val="21"/>
                <w:lang w:val="en-US" w:eastAsia="zh-CN"/>
              </w:rPr>
            </w:pPr>
          </w:p>
        </w:tc>
        <w:tc>
          <w:tcPr>
            <w:tcW w:w="362" w:type="pct"/>
            <w:tcBorders>
              <w:tl2br w:val="nil"/>
              <w:tr2bl w:val="nil"/>
            </w:tcBorders>
            <w:noWrap w:val="0"/>
            <w:vAlign w:val="center"/>
          </w:tcPr>
          <w:p w14:paraId="4071C726">
            <w:pPr>
              <w:jc w:val="center"/>
              <w:rPr>
                <w:rFonts w:hint="eastAsia"/>
                <w:color w:val="auto"/>
                <w:szCs w:val="21"/>
                <w:lang w:val="en-US" w:eastAsia="zh-CN"/>
              </w:rPr>
            </w:pPr>
            <w:r>
              <w:rPr>
                <w:rFonts w:hint="eastAsia"/>
                <w:color w:val="auto"/>
                <w:szCs w:val="21"/>
                <w:lang w:val="en-US" w:eastAsia="zh-CN"/>
              </w:rPr>
              <w:t>SO</w:t>
            </w:r>
            <w:r>
              <w:rPr>
                <w:rFonts w:hint="eastAsia"/>
                <w:color w:val="auto"/>
                <w:szCs w:val="21"/>
                <w:vertAlign w:val="subscript"/>
                <w:lang w:val="en-US" w:eastAsia="zh-CN"/>
              </w:rPr>
              <w:t>2</w:t>
            </w:r>
          </w:p>
        </w:tc>
        <w:tc>
          <w:tcPr>
            <w:tcW w:w="465" w:type="pct"/>
            <w:vMerge w:val="continue"/>
            <w:tcBorders>
              <w:tl2br w:val="nil"/>
              <w:tr2bl w:val="nil"/>
            </w:tcBorders>
            <w:noWrap w:val="0"/>
            <w:vAlign w:val="center"/>
          </w:tcPr>
          <w:p w14:paraId="4A09B42E">
            <w:pPr>
              <w:jc w:val="center"/>
              <w:rPr>
                <w:rFonts w:hint="eastAsia"/>
                <w:color w:val="auto"/>
                <w:szCs w:val="21"/>
                <w:lang w:val="en-US" w:eastAsia="zh-CN"/>
              </w:rPr>
            </w:pPr>
          </w:p>
        </w:tc>
        <w:tc>
          <w:tcPr>
            <w:tcW w:w="557" w:type="pct"/>
            <w:vMerge w:val="continue"/>
            <w:tcBorders>
              <w:tl2br w:val="nil"/>
              <w:tr2bl w:val="nil"/>
            </w:tcBorders>
            <w:noWrap w:val="0"/>
            <w:vAlign w:val="center"/>
          </w:tcPr>
          <w:p w14:paraId="6A8C8B55">
            <w:pPr>
              <w:jc w:val="center"/>
              <w:rPr>
                <w:rFonts w:hint="eastAsia"/>
                <w:color w:val="auto"/>
                <w:szCs w:val="21"/>
                <w:lang w:val="en-US" w:eastAsia="zh-CN"/>
              </w:rPr>
            </w:pPr>
          </w:p>
        </w:tc>
        <w:tc>
          <w:tcPr>
            <w:tcW w:w="305" w:type="pct"/>
            <w:vMerge w:val="continue"/>
            <w:tcBorders>
              <w:tl2br w:val="nil"/>
              <w:tr2bl w:val="nil"/>
            </w:tcBorders>
            <w:noWrap w:val="0"/>
            <w:vAlign w:val="center"/>
          </w:tcPr>
          <w:p w14:paraId="707E8325">
            <w:pPr>
              <w:jc w:val="center"/>
              <w:rPr>
                <w:rFonts w:hint="eastAsia"/>
                <w:color w:val="auto"/>
                <w:szCs w:val="21"/>
                <w:lang w:val="en-US" w:eastAsia="zh-CN"/>
              </w:rPr>
            </w:pPr>
          </w:p>
        </w:tc>
        <w:tc>
          <w:tcPr>
            <w:tcW w:w="342" w:type="pct"/>
            <w:tcBorders>
              <w:tl2br w:val="nil"/>
              <w:tr2bl w:val="nil"/>
            </w:tcBorders>
            <w:noWrap w:val="0"/>
            <w:vAlign w:val="center"/>
          </w:tcPr>
          <w:p w14:paraId="71AD730C">
            <w:pPr>
              <w:jc w:val="center"/>
              <w:rPr>
                <w:rFonts w:hint="default" w:eastAsia="宋体"/>
                <w:color w:val="auto"/>
                <w:lang w:val="en-US" w:eastAsia="zh-CN"/>
              </w:rPr>
            </w:pPr>
            <w:r>
              <w:rPr>
                <w:rFonts w:hint="eastAsia"/>
                <w:color w:val="auto"/>
                <w:lang w:val="en-US" w:eastAsia="zh-CN"/>
              </w:rPr>
              <w:t>0.48</w:t>
            </w:r>
          </w:p>
        </w:tc>
        <w:tc>
          <w:tcPr>
            <w:tcW w:w="428" w:type="pct"/>
            <w:tcBorders>
              <w:tl2br w:val="nil"/>
              <w:tr2bl w:val="nil"/>
            </w:tcBorders>
            <w:noWrap w:val="0"/>
            <w:vAlign w:val="center"/>
          </w:tcPr>
          <w:p w14:paraId="07EB643E">
            <w:pPr>
              <w:jc w:val="center"/>
              <w:rPr>
                <w:rFonts w:hint="default" w:eastAsia="宋体"/>
                <w:color w:val="auto"/>
                <w:lang w:val="en-US" w:eastAsia="zh-CN"/>
              </w:rPr>
            </w:pPr>
            <w:r>
              <w:rPr>
                <w:rFonts w:hint="eastAsia"/>
                <w:color w:val="auto"/>
                <w:lang w:val="en-US" w:eastAsia="zh-CN"/>
              </w:rPr>
              <w:t>0.167</w:t>
            </w:r>
          </w:p>
        </w:tc>
        <w:tc>
          <w:tcPr>
            <w:tcW w:w="536" w:type="pct"/>
            <w:tcBorders>
              <w:tl2br w:val="nil"/>
              <w:tr2bl w:val="nil"/>
            </w:tcBorders>
            <w:noWrap w:val="0"/>
            <w:vAlign w:val="center"/>
          </w:tcPr>
          <w:p w14:paraId="687305CE">
            <w:pPr>
              <w:jc w:val="center"/>
              <w:rPr>
                <w:rFonts w:hint="default" w:eastAsia="宋体"/>
                <w:color w:val="auto"/>
                <w:lang w:val="en-US" w:eastAsia="zh-CN"/>
              </w:rPr>
            </w:pPr>
            <w:r>
              <w:rPr>
                <w:rFonts w:hint="eastAsia"/>
                <w:color w:val="auto"/>
                <w:lang w:val="en-US" w:eastAsia="zh-CN"/>
              </w:rPr>
              <w:t>79</w:t>
            </w:r>
          </w:p>
        </w:tc>
        <w:tc>
          <w:tcPr>
            <w:tcW w:w="373" w:type="pct"/>
            <w:tcBorders>
              <w:tl2br w:val="nil"/>
              <w:tr2bl w:val="nil"/>
            </w:tcBorders>
            <w:noWrap w:val="0"/>
            <w:vAlign w:val="center"/>
          </w:tcPr>
          <w:p w14:paraId="4FBD1848">
            <w:pPr>
              <w:jc w:val="center"/>
              <w:rPr>
                <w:rFonts w:hint="default"/>
                <w:color w:val="auto"/>
                <w:lang w:val="en-US" w:eastAsia="zh-CN"/>
              </w:rPr>
            </w:pPr>
            <w:r>
              <w:rPr>
                <w:rFonts w:hint="eastAsia"/>
                <w:color w:val="auto"/>
                <w:lang w:val="en-US" w:eastAsia="zh-CN"/>
              </w:rPr>
              <w:t>/</w:t>
            </w:r>
          </w:p>
        </w:tc>
        <w:tc>
          <w:tcPr>
            <w:tcW w:w="689" w:type="dxa"/>
            <w:tcBorders>
              <w:tl2br w:val="nil"/>
              <w:tr2bl w:val="nil"/>
            </w:tcBorders>
            <w:noWrap w:val="0"/>
            <w:vAlign w:val="center"/>
          </w:tcPr>
          <w:p w14:paraId="351CE109">
            <w:pPr>
              <w:jc w:val="center"/>
              <w:rPr>
                <w:rFonts w:hint="default" w:eastAsia="宋体"/>
                <w:color w:val="auto"/>
                <w:lang w:val="en-US" w:eastAsia="zh-CN"/>
              </w:rPr>
            </w:pPr>
            <w:r>
              <w:rPr>
                <w:rFonts w:hint="eastAsia"/>
                <w:color w:val="auto"/>
                <w:lang w:val="en-US" w:eastAsia="zh-CN"/>
              </w:rPr>
              <w:t>0.48</w:t>
            </w:r>
          </w:p>
        </w:tc>
        <w:tc>
          <w:tcPr>
            <w:tcW w:w="731" w:type="dxa"/>
            <w:tcBorders>
              <w:tl2br w:val="nil"/>
              <w:tr2bl w:val="nil"/>
            </w:tcBorders>
            <w:noWrap w:val="0"/>
            <w:vAlign w:val="center"/>
          </w:tcPr>
          <w:p w14:paraId="07AD67CA">
            <w:pPr>
              <w:jc w:val="center"/>
              <w:rPr>
                <w:rFonts w:hint="eastAsia"/>
                <w:color w:val="auto"/>
              </w:rPr>
            </w:pPr>
            <w:r>
              <w:rPr>
                <w:rFonts w:hint="eastAsia"/>
                <w:color w:val="auto"/>
                <w:lang w:val="en-US" w:eastAsia="zh-CN"/>
              </w:rPr>
              <w:t>0.167</w:t>
            </w:r>
          </w:p>
        </w:tc>
        <w:tc>
          <w:tcPr>
            <w:tcW w:w="928" w:type="dxa"/>
            <w:tcBorders>
              <w:tl2br w:val="nil"/>
              <w:tr2bl w:val="nil"/>
            </w:tcBorders>
            <w:noWrap w:val="0"/>
            <w:vAlign w:val="center"/>
          </w:tcPr>
          <w:p w14:paraId="519AF850">
            <w:pPr>
              <w:jc w:val="center"/>
              <w:rPr>
                <w:rFonts w:hint="eastAsia"/>
                <w:color w:val="auto"/>
              </w:rPr>
            </w:pPr>
            <w:r>
              <w:rPr>
                <w:rFonts w:hint="eastAsia"/>
                <w:color w:val="auto"/>
                <w:lang w:val="en-US" w:eastAsia="zh-CN"/>
              </w:rPr>
              <w:t>79</w:t>
            </w:r>
          </w:p>
        </w:tc>
      </w:tr>
      <w:tr w14:paraId="4FBE1E9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251" w:type="pct"/>
            <w:vMerge w:val="continue"/>
            <w:tcBorders>
              <w:tl2br w:val="nil"/>
              <w:tr2bl w:val="nil"/>
            </w:tcBorders>
            <w:noWrap w:val="0"/>
            <w:vAlign w:val="center"/>
          </w:tcPr>
          <w:p w14:paraId="10E0E85D">
            <w:pPr>
              <w:jc w:val="center"/>
              <w:rPr>
                <w:rFonts w:hint="default"/>
                <w:color w:val="auto"/>
                <w:szCs w:val="21"/>
                <w:lang w:val="en-US" w:eastAsia="zh-CN"/>
              </w:rPr>
            </w:pPr>
          </w:p>
        </w:tc>
        <w:tc>
          <w:tcPr>
            <w:tcW w:w="362" w:type="pct"/>
            <w:tcBorders>
              <w:tl2br w:val="nil"/>
              <w:tr2bl w:val="nil"/>
            </w:tcBorders>
            <w:noWrap w:val="0"/>
            <w:vAlign w:val="center"/>
          </w:tcPr>
          <w:p w14:paraId="48C586D5">
            <w:pPr>
              <w:jc w:val="center"/>
              <w:rPr>
                <w:rFonts w:hint="eastAsia"/>
                <w:color w:val="auto"/>
                <w:szCs w:val="21"/>
                <w:lang w:val="en-US" w:eastAsia="zh-CN"/>
              </w:rPr>
            </w:pPr>
            <w:r>
              <w:rPr>
                <w:rFonts w:hint="eastAsia"/>
                <w:color w:val="auto"/>
                <w:szCs w:val="21"/>
                <w:lang w:val="en-US" w:eastAsia="zh-CN"/>
              </w:rPr>
              <w:t>NO</w:t>
            </w:r>
            <w:r>
              <w:rPr>
                <w:rFonts w:hint="eastAsia"/>
                <w:color w:val="auto"/>
                <w:szCs w:val="21"/>
                <w:vertAlign w:val="subscript"/>
                <w:lang w:val="en-US" w:eastAsia="zh-CN"/>
              </w:rPr>
              <w:t>X</w:t>
            </w:r>
          </w:p>
        </w:tc>
        <w:tc>
          <w:tcPr>
            <w:tcW w:w="465" w:type="pct"/>
            <w:vMerge w:val="continue"/>
            <w:tcBorders>
              <w:tl2br w:val="nil"/>
              <w:tr2bl w:val="nil"/>
            </w:tcBorders>
            <w:noWrap w:val="0"/>
            <w:vAlign w:val="center"/>
          </w:tcPr>
          <w:p w14:paraId="5898D888">
            <w:pPr>
              <w:jc w:val="center"/>
              <w:rPr>
                <w:rFonts w:hint="eastAsia"/>
                <w:color w:val="auto"/>
                <w:szCs w:val="21"/>
                <w:lang w:val="en-US" w:eastAsia="zh-CN"/>
              </w:rPr>
            </w:pPr>
          </w:p>
        </w:tc>
        <w:tc>
          <w:tcPr>
            <w:tcW w:w="557" w:type="pct"/>
            <w:vMerge w:val="continue"/>
            <w:tcBorders>
              <w:tl2br w:val="nil"/>
              <w:tr2bl w:val="nil"/>
            </w:tcBorders>
            <w:noWrap w:val="0"/>
            <w:vAlign w:val="center"/>
          </w:tcPr>
          <w:p w14:paraId="441AEB59">
            <w:pPr>
              <w:jc w:val="center"/>
              <w:rPr>
                <w:rFonts w:hint="eastAsia"/>
                <w:color w:val="auto"/>
                <w:szCs w:val="21"/>
                <w:lang w:val="en-US" w:eastAsia="zh-CN"/>
              </w:rPr>
            </w:pPr>
          </w:p>
        </w:tc>
        <w:tc>
          <w:tcPr>
            <w:tcW w:w="305" w:type="pct"/>
            <w:vMerge w:val="continue"/>
            <w:tcBorders>
              <w:tl2br w:val="nil"/>
              <w:tr2bl w:val="nil"/>
            </w:tcBorders>
            <w:noWrap w:val="0"/>
            <w:vAlign w:val="center"/>
          </w:tcPr>
          <w:p w14:paraId="16651668">
            <w:pPr>
              <w:jc w:val="center"/>
              <w:rPr>
                <w:rFonts w:hint="eastAsia"/>
                <w:color w:val="auto"/>
                <w:szCs w:val="21"/>
                <w:lang w:val="en-US" w:eastAsia="zh-CN"/>
              </w:rPr>
            </w:pPr>
          </w:p>
        </w:tc>
        <w:tc>
          <w:tcPr>
            <w:tcW w:w="342" w:type="pct"/>
            <w:tcBorders>
              <w:tl2br w:val="nil"/>
              <w:tr2bl w:val="nil"/>
            </w:tcBorders>
            <w:noWrap w:val="0"/>
            <w:vAlign w:val="center"/>
          </w:tcPr>
          <w:p w14:paraId="5B9437D9">
            <w:pPr>
              <w:jc w:val="center"/>
              <w:rPr>
                <w:rFonts w:hint="default" w:eastAsia="宋体"/>
                <w:color w:val="auto"/>
                <w:lang w:val="en-US" w:eastAsia="zh-CN"/>
              </w:rPr>
            </w:pPr>
            <w:r>
              <w:rPr>
                <w:rFonts w:hint="eastAsia"/>
                <w:color w:val="auto"/>
                <w:lang w:val="en-US" w:eastAsia="zh-CN"/>
              </w:rPr>
              <w:t>0.67</w:t>
            </w:r>
          </w:p>
        </w:tc>
        <w:tc>
          <w:tcPr>
            <w:tcW w:w="428" w:type="pct"/>
            <w:tcBorders>
              <w:tl2br w:val="nil"/>
              <w:tr2bl w:val="nil"/>
            </w:tcBorders>
            <w:noWrap w:val="0"/>
            <w:vAlign w:val="center"/>
          </w:tcPr>
          <w:p w14:paraId="661C40FD">
            <w:pPr>
              <w:jc w:val="center"/>
              <w:rPr>
                <w:rFonts w:hint="default" w:eastAsia="宋体"/>
                <w:color w:val="auto"/>
                <w:lang w:val="en-US" w:eastAsia="zh-CN"/>
              </w:rPr>
            </w:pPr>
            <w:r>
              <w:rPr>
                <w:rFonts w:hint="eastAsia"/>
                <w:color w:val="auto"/>
                <w:lang w:val="en-US" w:eastAsia="zh-CN"/>
              </w:rPr>
              <w:t>0.233</w:t>
            </w:r>
          </w:p>
        </w:tc>
        <w:tc>
          <w:tcPr>
            <w:tcW w:w="536" w:type="pct"/>
            <w:tcBorders>
              <w:tl2br w:val="nil"/>
              <w:tr2bl w:val="nil"/>
            </w:tcBorders>
            <w:noWrap w:val="0"/>
            <w:vAlign w:val="center"/>
          </w:tcPr>
          <w:p w14:paraId="2FF987D0">
            <w:pPr>
              <w:jc w:val="center"/>
              <w:rPr>
                <w:rFonts w:hint="default" w:eastAsia="宋体"/>
                <w:color w:val="auto"/>
                <w:lang w:val="en-US" w:eastAsia="zh-CN"/>
              </w:rPr>
            </w:pPr>
            <w:r>
              <w:rPr>
                <w:rFonts w:hint="eastAsia"/>
                <w:color w:val="auto"/>
                <w:lang w:val="en-US" w:eastAsia="zh-CN"/>
              </w:rPr>
              <w:t>110</w:t>
            </w:r>
          </w:p>
        </w:tc>
        <w:tc>
          <w:tcPr>
            <w:tcW w:w="373" w:type="pct"/>
            <w:tcBorders>
              <w:tl2br w:val="nil"/>
              <w:tr2bl w:val="nil"/>
            </w:tcBorders>
            <w:noWrap w:val="0"/>
            <w:vAlign w:val="center"/>
          </w:tcPr>
          <w:p w14:paraId="40FA550D">
            <w:pPr>
              <w:jc w:val="center"/>
              <w:rPr>
                <w:rFonts w:hint="default"/>
                <w:color w:val="auto"/>
                <w:lang w:val="en-US" w:eastAsia="zh-CN"/>
              </w:rPr>
            </w:pPr>
            <w:r>
              <w:rPr>
                <w:rFonts w:hint="eastAsia"/>
                <w:color w:val="auto"/>
                <w:lang w:val="en-US" w:eastAsia="zh-CN"/>
              </w:rPr>
              <w:t>/</w:t>
            </w:r>
          </w:p>
        </w:tc>
        <w:tc>
          <w:tcPr>
            <w:tcW w:w="404" w:type="pct"/>
            <w:tcBorders>
              <w:tl2br w:val="nil"/>
              <w:tr2bl w:val="nil"/>
            </w:tcBorders>
            <w:noWrap w:val="0"/>
            <w:vAlign w:val="center"/>
          </w:tcPr>
          <w:p w14:paraId="2B22EA0E">
            <w:pPr>
              <w:jc w:val="center"/>
              <w:rPr>
                <w:rFonts w:hint="default" w:eastAsia="宋体"/>
                <w:color w:val="auto"/>
                <w:lang w:val="en-US" w:eastAsia="zh-CN"/>
              </w:rPr>
            </w:pPr>
            <w:r>
              <w:rPr>
                <w:rFonts w:hint="eastAsia"/>
                <w:color w:val="auto"/>
                <w:lang w:val="en-US" w:eastAsia="zh-CN"/>
              </w:rPr>
              <w:t>0.67</w:t>
            </w:r>
          </w:p>
        </w:tc>
        <w:tc>
          <w:tcPr>
            <w:tcW w:w="428" w:type="pct"/>
            <w:tcBorders>
              <w:tl2br w:val="nil"/>
              <w:tr2bl w:val="nil"/>
            </w:tcBorders>
            <w:noWrap w:val="0"/>
            <w:vAlign w:val="center"/>
          </w:tcPr>
          <w:p w14:paraId="191D0FE8">
            <w:pPr>
              <w:jc w:val="center"/>
              <w:rPr>
                <w:rFonts w:hint="eastAsia"/>
                <w:color w:val="auto"/>
              </w:rPr>
            </w:pPr>
            <w:r>
              <w:rPr>
                <w:rFonts w:hint="eastAsia"/>
                <w:color w:val="auto"/>
                <w:lang w:val="en-US" w:eastAsia="zh-CN"/>
              </w:rPr>
              <w:t>0.233</w:t>
            </w:r>
          </w:p>
        </w:tc>
        <w:tc>
          <w:tcPr>
            <w:tcW w:w="543" w:type="pct"/>
            <w:tcBorders>
              <w:tl2br w:val="nil"/>
              <w:tr2bl w:val="nil"/>
            </w:tcBorders>
            <w:noWrap w:val="0"/>
            <w:vAlign w:val="center"/>
          </w:tcPr>
          <w:p w14:paraId="14F0B26A">
            <w:pPr>
              <w:jc w:val="center"/>
              <w:rPr>
                <w:rFonts w:hint="eastAsia"/>
                <w:color w:val="auto"/>
              </w:rPr>
            </w:pPr>
            <w:r>
              <w:rPr>
                <w:rFonts w:hint="eastAsia"/>
                <w:color w:val="auto"/>
                <w:lang w:val="en-US" w:eastAsia="zh-CN"/>
              </w:rPr>
              <w:t>110</w:t>
            </w:r>
          </w:p>
        </w:tc>
      </w:tr>
    </w:tbl>
    <w:p w14:paraId="70981379">
      <w:pPr>
        <w:jc w:val="center"/>
        <w:rPr>
          <w:b/>
          <w:color w:val="auto"/>
          <w:szCs w:val="21"/>
        </w:rPr>
      </w:pPr>
    </w:p>
    <w:p w14:paraId="33036420">
      <w:pPr>
        <w:rPr>
          <w:b/>
          <w:bCs/>
          <w:color w:val="auto"/>
          <w:sz w:val="24"/>
          <w:highlight w:val="yellow"/>
        </w:rPr>
      </w:pPr>
    </w:p>
    <w:p w14:paraId="2E465346">
      <w:pPr>
        <w:rPr>
          <w:b/>
          <w:bCs/>
          <w:color w:val="auto"/>
          <w:sz w:val="24"/>
          <w:highlight w:val="yellow"/>
        </w:rPr>
      </w:pPr>
      <w:r>
        <w:rPr>
          <w:b/>
          <w:bCs/>
          <w:color w:val="auto"/>
          <w:sz w:val="24"/>
          <w:highlight w:val="yellow"/>
        </w:rPr>
        <w:br w:type="page"/>
      </w:r>
    </w:p>
    <w:p w14:paraId="4A404529">
      <w:pPr>
        <w:pStyle w:val="52"/>
        <w:ind w:left="0" w:leftChars="0" w:firstLine="0" w:firstLineChars="0"/>
        <w:rPr>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58A8BD17">
      <w:pPr>
        <w:adjustRightInd w:val="0"/>
        <w:snapToGrid w:val="0"/>
        <w:spacing w:line="360" w:lineRule="auto"/>
        <w:ind w:firstLine="480" w:firstLineChars="200"/>
        <w:rPr>
          <w:color w:val="auto"/>
          <w:sz w:val="24"/>
          <w:highlight w:val="none"/>
        </w:rPr>
      </w:pPr>
      <w:r>
        <w:rPr>
          <w:rFonts w:hint="eastAsia"/>
          <w:color w:val="auto"/>
          <w:sz w:val="24"/>
          <w:highlight w:val="none"/>
        </w:rPr>
        <w:t>根据上述分析，本项目全场有组织废气的产生与排放情况详见表</w:t>
      </w:r>
      <w:r>
        <w:rPr>
          <w:rFonts w:hint="eastAsia"/>
          <w:color w:val="auto"/>
          <w:sz w:val="24"/>
          <w:highlight w:val="none"/>
          <w:lang w:val="en-US" w:eastAsia="zh-CN"/>
        </w:rPr>
        <w:t>3.4-11</w:t>
      </w:r>
      <w:r>
        <w:rPr>
          <w:rFonts w:hint="eastAsia"/>
          <w:color w:val="auto"/>
          <w:sz w:val="24"/>
          <w:highlight w:val="none"/>
        </w:rPr>
        <w:t>。</w:t>
      </w:r>
    </w:p>
    <w:p w14:paraId="05A7451F">
      <w:pPr>
        <w:adjustRightInd w:val="0"/>
        <w:snapToGrid w:val="0"/>
        <w:jc w:val="center"/>
        <w:rPr>
          <w:b/>
          <w:color w:val="auto"/>
          <w:szCs w:val="20"/>
          <w:highlight w:val="none"/>
        </w:rPr>
      </w:pPr>
      <w:r>
        <w:rPr>
          <w:rFonts w:hint="eastAsia"/>
          <w:b/>
          <w:color w:val="auto"/>
          <w:highlight w:val="none"/>
        </w:rPr>
        <w:t>表</w:t>
      </w:r>
      <w:r>
        <w:rPr>
          <w:rFonts w:hint="eastAsia"/>
          <w:b/>
          <w:color w:val="auto"/>
          <w:highlight w:val="none"/>
          <w:lang w:val="en-US" w:eastAsia="zh-CN"/>
        </w:rPr>
        <w:t>3.4-11</w:t>
      </w:r>
      <w:r>
        <w:rPr>
          <w:rFonts w:hint="eastAsia"/>
          <w:b/>
          <w:color w:val="auto"/>
          <w:highlight w:val="none"/>
        </w:rPr>
        <w:t xml:space="preserve"> </w:t>
      </w:r>
      <w:r>
        <w:rPr>
          <w:b/>
          <w:color w:val="auto"/>
          <w:highlight w:val="none"/>
        </w:rPr>
        <w:t xml:space="preserve">  </w:t>
      </w:r>
      <w:r>
        <w:rPr>
          <w:rFonts w:hint="eastAsia"/>
          <w:b/>
          <w:color w:val="auto"/>
          <w:highlight w:val="none"/>
        </w:rPr>
        <w:t>本项目全场有组织废气排放情况一览表</w:t>
      </w:r>
    </w:p>
    <w:tbl>
      <w:tblPr>
        <w:tblStyle w:val="53"/>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827"/>
        <w:gridCol w:w="1531"/>
        <w:gridCol w:w="1531"/>
        <w:gridCol w:w="618"/>
        <w:gridCol w:w="1029"/>
        <w:gridCol w:w="782"/>
        <w:gridCol w:w="631"/>
        <w:gridCol w:w="642"/>
        <w:gridCol w:w="1461"/>
        <w:gridCol w:w="752"/>
        <w:gridCol w:w="782"/>
        <w:gridCol w:w="740"/>
        <w:gridCol w:w="743"/>
        <w:gridCol w:w="401"/>
        <w:gridCol w:w="390"/>
        <w:gridCol w:w="415"/>
        <w:gridCol w:w="735"/>
      </w:tblGrid>
      <w:tr w14:paraId="6C3AACF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340" w:hRule="atLeast"/>
          <w:jc w:val="center"/>
        </w:trPr>
        <w:tc>
          <w:tcPr>
            <w:tcW w:w="295" w:type="pct"/>
            <w:vMerge w:val="restart"/>
            <w:noWrap w:val="0"/>
            <w:vAlign w:val="center"/>
          </w:tcPr>
          <w:p w14:paraId="2079F99C">
            <w:pPr>
              <w:adjustRightInd w:val="0"/>
              <w:snapToGrid w:val="0"/>
              <w:jc w:val="center"/>
              <w:rPr>
                <w:b/>
                <w:bCs/>
                <w:color w:val="auto"/>
                <w:szCs w:val="21"/>
                <w:highlight w:val="none"/>
              </w:rPr>
            </w:pPr>
            <w:r>
              <w:rPr>
                <w:rFonts w:hint="eastAsia"/>
                <w:b/>
                <w:bCs/>
                <w:color w:val="auto"/>
                <w:szCs w:val="21"/>
                <w:highlight w:val="none"/>
              </w:rPr>
              <w:t>排放方式</w:t>
            </w:r>
          </w:p>
        </w:tc>
        <w:tc>
          <w:tcPr>
            <w:tcW w:w="546" w:type="pct"/>
            <w:vMerge w:val="restart"/>
            <w:noWrap w:val="0"/>
            <w:vAlign w:val="center"/>
          </w:tcPr>
          <w:p w14:paraId="589EAB1A">
            <w:pPr>
              <w:adjustRightInd w:val="0"/>
              <w:snapToGrid w:val="0"/>
              <w:jc w:val="center"/>
              <w:rPr>
                <w:b/>
                <w:bCs/>
                <w:color w:val="auto"/>
                <w:szCs w:val="21"/>
                <w:highlight w:val="none"/>
              </w:rPr>
            </w:pPr>
            <w:r>
              <w:rPr>
                <w:rFonts w:hint="eastAsia"/>
                <w:b/>
                <w:bCs/>
                <w:color w:val="auto"/>
                <w:szCs w:val="21"/>
                <w:highlight w:val="none"/>
              </w:rPr>
              <w:t>排放口编号</w:t>
            </w:r>
          </w:p>
        </w:tc>
        <w:tc>
          <w:tcPr>
            <w:tcW w:w="546" w:type="pct"/>
            <w:vMerge w:val="restart"/>
            <w:noWrap w:val="0"/>
            <w:vAlign w:val="center"/>
          </w:tcPr>
          <w:p w14:paraId="1EF6C004">
            <w:pPr>
              <w:adjustRightInd w:val="0"/>
              <w:snapToGrid w:val="0"/>
              <w:jc w:val="center"/>
              <w:rPr>
                <w:b/>
                <w:bCs/>
                <w:color w:val="auto"/>
                <w:szCs w:val="21"/>
                <w:highlight w:val="none"/>
              </w:rPr>
            </w:pPr>
            <w:r>
              <w:rPr>
                <w:rFonts w:hint="eastAsia"/>
                <w:b/>
                <w:bCs/>
                <w:color w:val="auto"/>
                <w:szCs w:val="21"/>
                <w:highlight w:val="none"/>
              </w:rPr>
              <w:t>污染源名称</w:t>
            </w:r>
          </w:p>
        </w:tc>
        <w:tc>
          <w:tcPr>
            <w:tcW w:w="220" w:type="pct"/>
            <w:vMerge w:val="restart"/>
            <w:noWrap w:val="0"/>
            <w:vAlign w:val="center"/>
          </w:tcPr>
          <w:p w14:paraId="2FE36B20">
            <w:pPr>
              <w:adjustRightInd w:val="0"/>
              <w:snapToGrid w:val="0"/>
              <w:jc w:val="center"/>
              <w:rPr>
                <w:b/>
                <w:bCs/>
                <w:color w:val="auto"/>
                <w:szCs w:val="21"/>
                <w:highlight w:val="none"/>
              </w:rPr>
            </w:pPr>
            <w:r>
              <w:rPr>
                <w:rFonts w:hint="eastAsia"/>
                <w:b/>
                <w:bCs/>
                <w:color w:val="auto"/>
                <w:szCs w:val="21"/>
                <w:highlight w:val="none"/>
              </w:rPr>
              <w:t>排气量</w:t>
            </w:r>
          </w:p>
          <w:p w14:paraId="54FFC43F">
            <w:pPr>
              <w:adjustRightInd w:val="0"/>
              <w:snapToGrid w:val="0"/>
              <w:jc w:val="center"/>
              <w:rPr>
                <w:b/>
                <w:bCs/>
                <w:color w:val="auto"/>
                <w:szCs w:val="21"/>
                <w:highlight w:val="none"/>
              </w:rPr>
            </w:pPr>
            <w:r>
              <w:rPr>
                <w:b/>
                <w:bCs/>
                <w:color w:val="auto"/>
                <w:szCs w:val="21"/>
                <w:highlight w:val="none"/>
              </w:rPr>
              <w:t>(m</w:t>
            </w:r>
            <w:r>
              <w:rPr>
                <w:b/>
                <w:bCs/>
                <w:color w:val="auto"/>
                <w:szCs w:val="21"/>
                <w:highlight w:val="none"/>
                <w:vertAlign w:val="superscript"/>
              </w:rPr>
              <w:t>3</w:t>
            </w:r>
            <w:r>
              <w:rPr>
                <w:b/>
                <w:bCs/>
                <w:color w:val="auto"/>
                <w:szCs w:val="21"/>
                <w:highlight w:val="none"/>
              </w:rPr>
              <w:t>/h)</w:t>
            </w:r>
          </w:p>
        </w:tc>
        <w:tc>
          <w:tcPr>
            <w:tcW w:w="367" w:type="pct"/>
            <w:vMerge w:val="restart"/>
            <w:noWrap w:val="0"/>
            <w:vAlign w:val="center"/>
          </w:tcPr>
          <w:p w14:paraId="2A90E38E">
            <w:pPr>
              <w:adjustRightInd w:val="0"/>
              <w:snapToGrid w:val="0"/>
              <w:jc w:val="center"/>
              <w:rPr>
                <w:b/>
                <w:bCs/>
                <w:color w:val="auto"/>
                <w:szCs w:val="21"/>
                <w:highlight w:val="none"/>
              </w:rPr>
            </w:pPr>
            <w:r>
              <w:rPr>
                <w:rFonts w:hint="eastAsia"/>
                <w:b/>
                <w:bCs/>
                <w:color w:val="auto"/>
                <w:szCs w:val="21"/>
                <w:highlight w:val="none"/>
              </w:rPr>
              <w:t>污染物</w:t>
            </w:r>
          </w:p>
          <w:p w14:paraId="1EFA1400">
            <w:pPr>
              <w:adjustRightInd w:val="0"/>
              <w:snapToGrid w:val="0"/>
              <w:jc w:val="center"/>
              <w:rPr>
                <w:b/>
                <w:bCs/>
                <w:color w:val="auto"/>
                <w:szCs w:val="21"/>
                <w:highlight w:val="none"/>
              </w:rPr>
            </w:pPr>
            <w:r>
              <w:rPr>
                <w:rFonts w:hint="eastAsia"/>
                <w:b/>
                <w:bCs/>
                <w:color w:val="auto"/>
                <w:szCs w:val="21"/>
                <w:highlight w:val="none"/>
              </w:rPr>
              <w:t>名称</w:t>
            </w:r>
          </w:p>
        </w:tc>
        <w:tc>
          <w:tcPr>
            <w:tcW w:w="733" w:type="pct"/>
            <w:gridSpan w:val="3"/>
            <w:noWrap w:val="0"/>
            <w:vAlign w:val="center"/>
          </w:tcPr>
          <w:p w14:paraId="6EFADAED">
            <w:pPr>
              <w:adjustRightInd w:val="0"/>
              <w:snapToGrid w:val="0"/>
              <w:jc w:val="center"/>
              <w:rPr>
                <w:b/>
                <w:bCs/>
                <w:color w:val="auto"/>
                <w:szCs w:val="21"/>
                <w:highlight w:val="none"/>
              </w:rPr>
            </w:pPr>
            <w:r>
              <w:rPr>
                <w:rFonts w:hint="eastAsia"/>
                <w:b/>
                <w:bCs/>
                <w:color w:val="auto"/>
                <w:szCs w:val="21"/>
                <w:highlight w:val="none"/>
              </w:rPr>
              <w:t>产生状况</w:t>
            </w:r>
          </w:p>
        </w:tc>
        <w:tc>
          <w:tcPr>
            <w:tcW w:w="521" w:type="pct"/>
            <w:vMerge w:val="restart"/>
            <w:noWrap w:val="0"/>
            <w:vAlign w:val="center"/>
          </w:tcPr>
          <w:p w14:paraId="42430125">
            <w:pPr>
              <w:adjustRightInd w:val="0"/>
              <w:snapToGrid w:val="0"/>
              <w:jc w:val="center"/>
              <w:rPr>
                <w:b/>
                <w:bCs/>
                <w:color w:val="auto"/>
                <w:szCs w:val="21"/>
                <w:highlight w:val="none"/>
              </w:rPr>
            </w:pPr>
            <w:r>
              <w:rPr>
                <w:rFonts w:hint="eastAsia"/>
                <w:b/>
                <w:bCs/>
                <w:color w:val="auto"/>
                <w:szCs w:val="21"/>
                <w:highlight w:val="none"/>
              </w:rPr>
              <w:t>治理</w:t>
            </w:r>
          </w:p>
          <w:p w14:paraId="1619B0C2">
            <w:pPr>
              <w:adjustRightInd w:val="0"/>
              <w:snapToGrid w:val="0"/>
              <w:jc w:val="center"/>
              <w:rPr>
                <w:b/>
                <w:bCs/>
                <w:color w:val="auto"/>
                <w:szCs w:val="21"/>
                <w:highlight w:val="none"/>
              </w:rPr>
            </w:pPr>
            <w:r>
              <w:rPr>
                <w:rFonts w:hint="eastAsia"/>
                <w:b/>
                <w:bCs/>
                <w:color w:val="auto"/>
                <w:szCs w:val="21"/>
                <w:highlight w:val="none"/>
              </w:rPr>
              <w:t>措施</w:t>
            </w:r>
          </w:p>
        </w:tc>
        <w:tc>
          <w:tcPr>
            <w:tcW w:w="268" w:type="pct"/>
            <w:vMerge w:val="restart"/>
            <w:noWrap w:val="0"/>
            <w:vAlign w:val="center"/>
          </w:tcPr>
          <w:p w14:paraId="457CE021">
            <w:pPr>
              <w:adjustRightInd w:val="0"/>
              <w:snapToGrid w:val="0"/>
              <w:jc w:val="center"/>
              <w:rPr>
                <w:b/>
                <w:bCs/>
                <w:color w:val="auto"/>
                <w:szCs w:val="21"/>
                <w:highlight w:val="none"/>
              </w:rPr>
            </w:pPr>
            <w:r>
              <w:rPr>
                <w:rFonts w:hint="eastAsia"/>
                <w:b/>
                <w:bCs/>
                <w:color w:val="auto"/>
                <w:szCs w:val="21"/>
                <w:highlight w:val="none"/>
              </w:rPr>
              <w:t>去除率</w:t>
            </w:r>
          </w:p>
          <w:p w14:paraId="7AD71218">
            <w:pPr>
              <w:adjustRightInd w:val="0"/>
              <w:snapToGrid w:val="0"/>
              <w:jc w:val="center"/>
              <w:rPr>
                <w:b/>
                <w:bCs/>
                <w:color w:val="auto"/>
                <w:szCs w:val="21"/>
                <w:highlight w:val="none"/>
              </w:rPr>
            </w:pPr>
            <w:r>
              <w:rPr>
                <w:b/>
                <w:bCs/>
                <w:color w:val="auto"/>
                <w:szCs w:val="21"/>
                <w:highlight w:val="none"/>
              </w:rPr>
              <w:t>(%)</w:t>
            </w:r>
          </w:p>
        </w:tc>
        <w:tc>
          <w:tcPr>
            <w:tcW w:w="808" w:type="pct"/>
            <w:gridSpan w:val="3"/>
            <w:noWrap w:val="0"/>
            <w:vAlign w:val="center"/>
          </w:tcPr>
          <w:p w14:paraId="202D8E90">
            <w:pPr>
              <w:adjustRightInd w:val="0"/>
              <w:snapToGrid w:val="0"/>
              <w:jc w:val="center"/>
              <w:rPr>
                <w:b/>
                <w:bCs/>
                <w:color w:val="auto"/>
                <w:szCs w:val="21"/>
                <w:highlight w:val="none"/>
              </w:rPr>
            </w:pPr>
            <w:r>
              <w:rPr>
                <w:rFonts w:hint="eastAsia"/>
                <w:b/>
                <w:bCs/>
                <w:color w:val="auto"/>
                <w:szCs w:val="21"/>
                <w:highlight w:val="none"/>
              </w:rPr>
              <w:t>排放状况</w:t>
            </w:r>
          </w:p>
        </w:tc>
        <w:tc>
          <w:tcPr>
            <w:tcW w:w="430" w:type="pct"/>
            <w:gridSpan w:val="3"/>
            <w:noWrap w:val="0"/>
            <w:vAlign w:val="center"/>
          </w:tcPr>
          <w:p w14:paraId="435E3EE2">
            <w:pPr>
              <w:adjustRightInd w:val="0"/>
              <w:snapToGrid w:val="0"/>
              <w:jc w:val="center"/>
              <w:rPr>
                <w:b/>
                <w:bCs/>
                <w:color w:val="auto"/>
                <w:szCs w:val="21"/>
                <w:highlight w:val="none"/>
              </w:rPr>
            </w:pPr>
            <w:r>
              <w:rPr>
                <w:rFonts w:hint="eastAsia"/>
                <w:b/>
                <w:bCs/>
                <w:color w:val="auto"/>
                <w:szCs w:val="21"/>
                <w:highlight w:val="none"/>
              </w:rPr>
              <w:t>排放源参数</w:t>
            </w:r>
          </w:p>
        </w:tc>
        <w:tc>
          <w:tcPr>
            <w:tcW w:w="262" w:type="pct"/>
            <w:vMerge w:val="restart"/>
            <w:noWrap w:val="0"/>
            <w:vAlign w:val="center"/>
          </w:tcPr>
          <w:p w14:paraId="26E76851">
            <w:pPr>
              <w:adjustRightInd w:val="0"/>
              <w:snapToGrid w:val="0"/>
              <w:jc w:val="center"/>
              <w:rPr>
                <w:b/>
                <w:bCs/>
                <w:color w:val="auto"/>
                <w:szCs w:val="21"/>
                <w:highlight w:val="none"/>
              </w:rPr>
            </w:pPr>
            <w:r>
              <w:rPr>
                <w:rFonts w:hint="eastAsia"/>
                <w:b/>
                <w:bCs/>
                <w:color w:val="auto"/>
                <w:szCs w:val="21"/>
                <w:highlight w:val="none"/>
              </w:rPr>
              <w:t>年排放小时数（</w:t>
            </w:r>
            <w:r>
              <w:rPr>
                <w:b/>
                <w:bCs/>
                <w:color w:val="auto"/>
                <w:szCs w:val="21"/>
                <w:highlight w:val="none"/>
              </w:rPr>
              <w:t>h</w:t>
            </w:r>
            <w:r>
              <w:rPr>
                <w:rFonts w:hint="eastAsia"/>
                <w:b/>
                <w:bCs/>
                <w:color w:val="auto"/>
                <w:szCs w:val="21"/>
                <w:highlight w:val="none"/>
              </w:rPr>
              <w:t>）</w:t>
            </w:r>
          </w:p>
        </w:tc>
      </w:tr>
      <w:tr w14:paraId="4F0C22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340" w:hRule="atLeast"/>
          <w:jc w:val="center"/>
        </w:trPr>
        <w:tc>
          <w:tcPr>
            <w:tcW w:w="0" w:type="auto"/>
            <w:vMerge w:val="continue"/>
            <w:noWrap w:val="0"/>
            <w:vAlign w:val="center"/>
          </w:tcPr>
          <w:p w14:paraId="1E52F0B0">
            <w:pPr>
              <w:widowControl/>
              <w:jc w:val="left"/>
              <w:rPr>
                <w:b/>
                <w:bCs/>
                <w:color w:val="auto"/>
                <w:szCs w:val="21"/>
                <w:highlight w:val="none"/>
              </w:rPr>
            </w:pPr>
          </w:p>
        </w:tc>
        <w:tc>
          <w:tcPr>
            <w:tcW w:w="0" w:type="auto"/>
            <w:vMerge w:val="continue"/>
            <w:noWrap w:val="0"/>
            <w:vAlign w:val="center"/>
          </w:tcPr>
          <w:p w14:paraId="530056E5">
            <w:pPr>
              <w:widowControl/>
              <w:jc w:val="left"/>
              <w:rPr>
                <w:b/>
                <w:bCs/>
                <w:color w:val="auto"/>
                <w:szCs w:val="21"/>
                <w:highlight w:val="none"/>
              </w:rPr>
            </w:pPr>
          </w:p>
        </w:tc>
        <w:tc>
          <w:tcPr>
            <w:tcW w:w="0" w:type="auto"/>
            <w:vMerge w:val="continue"/>
            <w:noWrap w:val="0"/>
            <w:vAlign w:val="center"/>
          </w:tcPr>
          <w:p w14:paraId="08D7AD12">
            <w:pPr>
              <w:widowControl/>
              <w:jc w:val="left"/>
              <w:rPr>
                <w:b/>
                <w:bCs/>
                <w:color w:val="auto"/>
                <w:szCs w:val="21"/>
                <w:highlight w:val="none"/>
              </w:rPr>
            </w:pPr>
          </w:p>
        </w:tc>
        <w:tc>
          <w:tcPr>
            <w:tcW w:w="0" w:type="auto"/>
            <w:vMerge w:val="continue"/>
            <w:noWrap w:val="0"/>
            <w:vAlign w:val="center"/>
          </w:tcPr>
          <w:p w14:paraId="5D795E5A">
            <w:pPr>
              <w:widowControl/>
              <w:jc w:val="left"/>
              <w:rPr>
                <w:b/>
                <w:bCs/>
                <w:color w:val="auto"/>
                <w:szCs w:val="21"/>
                <w:highlight w:val="none"/>
              </w:rPr>
            </w:pPr>
          </w:p>
        </w:tc>
        <w:tc>
          <w:tcPr>
            <w:tcW w:w="0" w:type="auto"/>
            <w:vMerge w:val="continue"/>
            <w:noWrap w:val="0"/>
            <w:vAlign w:val="center"/>
          </w:tcPr>
          <w:p w14:paraId="684707CA">
            <w:pPr>
              <w:widowControl/>
              <w:jc w:val="left"/>
              <w:rPr>
                <w:b/>
                <w:bCs/>
                <w:color w:val="auto"/>
                <w:szCs w:val="21"/>
                <w:highlight w:val="none"/>
              </w:rPr>
            </w:pPr>
          </w:p>
        </w:tc>
        <w:tc>
          <w:tcPr>
            <w:tcW w:w="279" w:type="pct"/>
            <w:noWrap w:val="0"/>
            <w:vAlign w:val="center"/>
          </w:tcPr>
          <w:p w14:paraId="6EBCD43D">
            <w:pPr>
              <w:adjustRightInd w:val="0"/>
              <w:snapToGrid w:val="0"/>
              <w:jc w:val="center"/>
              <w:rPr>
                <w:b/>
                <w:bCs/>
                <w:color w:val="auto"/>
                <w:szCs w:val="21"/>
                <w:highlight w:val="none"/>
              </w:rPr>
            </w:pPr>
            <w:r>
              <w:rPr>
                <w:rFonts w:hint="eastAsia"/>
                <w:b/>
                <w:bCs/>
                <w:color w:val="auto"/>
                <w:szCs w:val="21"/>
                <w:highlight w:val="none"/>
              </w:rPr>
              <w:t>浓度</w:t>
            </w:r>
          </w:p>
          <w:p w14:paraId="3F385242">
            <w:pPr>
              <w:adjustRightInd w:val="0"/>
              <w:snapToGrid w:val="0"/>
              <w:jc w:val="center"/>
              <w:rPr>
                <w:b/>
                <w:bCs/>
                <w:color w:val="auto"/>
                <w:szCs w:val="21"/>
                <w:highlight w:val="none"/>
              </w:rPr>
            </w:pPr>
            <w:r>
              <w:rPr>
                <w:b/>
                <w:bCs/>
                <w:color w:val="auto"/>
                <w:szCs w:val="21"/>
                <w:highlight w:val="none"/>
              </w:rPr>
              <w:t>(mg/m</w:t>
            </w:r>
            <w:r>
              <w:rPr>
                <w:b/>
                <w:bCs/>
                <w:color w:val="auto"/>
                <w:szCs w:val="21"/>
                <w:highlight w:val="none"/>
                <w:vertAlign w:val="superscript"/>
              </w:rPr>
              <w:t>3</w:t>
            </w:r>
            <w:r>
              <w:rPr>
                <w:b/>
                <w:bCs/>
                <w:color w:val="auto"/>
                <w:szCs w:val="21"/>
                <w:highlight w:val="none"/>
              </w:rPr>
              <w:t>)</w:t>
            </w:r>
          </w:p>
        </w:tc>
        <w:tc>
          <w:tcPr>
            <w:tcW w:w="225" w:type="pct"/>
            <w:noWrap w:val="0"/>
            <w:vAlign w:val="center"/>
          </w:tcPr>
          <w:p w14:paraId="2304DA54">
            <w:pPr>
              <w:adjustRightInd w:val="0"/>
              <w:snapToGrid w:val="0"/>
              <w:jc w:val="center"/>
              <w:rPr>
                <w:b/>
                <w:bCs/>
                <w:color w:val="auto"/>
                <w:szCs w:val="21"/>
                <w:highlight w:val="none"/>
              </w:rPr>
            </w:pPr>
            <w:r>
              <w:rPr>
                <w:rFonts w:hint="eastAsia"/>
                <w:b/>
                <w:bCs/>
                <w:color w:val="auto"/>
                <w:szCs w:val="21"/>
                <w:highlight w:val="none"/>
              </w:rPr>
              <w:t>速率</w:t>
            </w:r>
          </w:p>
          <w:p w14:paraId="420C077B">
            <w:pPr>
              <w:adjustRightInd w:val="0"/>
              <w:snapToGrid w:val="0"/>
              <w:jc w:val="center"/>
              <w:rPr>
                <w:b/>
                <w:bCs/>
                <w:color w:val="auto"/>
                <w:szCs w:val="21"/>
                <w:highlight w:val="none"/>
              </w:rPr>
            </w:pPr>
            <w:r>
              <w:rPr>
                <w:b/>
                <w:bCs/>
                <w:color w:val="auto"/>
                <w:szCs w:val="21"/>
                <w:highlight w:val="none"/>
              </w:rPr>
              <w:t>(kg/h)</w:t>
            </w:r>
          </w:p>
        </w:tc>
        <w:tc>
          <w:tcPr>
            <w:tcW w:w="229" w:type="pct"/>
            <w:noWrap w:val="0"/>
            <w:vAlign w:val="center"/>
          </w:tcPr>
          <w:p w14:paraId="21C5F1C8">
            <w:pPr>
              <w:adjustRightInd w:val="0"/>
              <w:snapToGrid w:val="0"/>
              <w:jc w:val="center"/>
              <w:rPr>
                <w:b/>
                <w:bCs/>
                <w:color w:val="auto"/>
                <w:szCs w:val="21"/>
                <w:highlight w:val="none"/>
              </w:rPr>
            </w:pPr>
            <w:r>
              <w:rPr>
                <w:rFonts w:hint="eastAsia"/>
                <w:b/>
                <w:bCs/>
                <w:color w:val="auto"/>
                <w:szCs w:val="21"/>
                <w:highlight w:val="none"/>
              </w:rPr>
              <w:t>产生量</w:t>
            </w:r>
          </w:p>
          <w:p w14:paraId="6E37E270">
            <w:pPr>
              <w:adjustRightInd w:val="0"/>
              <w:snapToGrid w:val="0"/>
              <w:jc w:val="center"/>
              <w:rPr>
                <w:b/>
                <w:bCs/>
                <w:color w:val="auto"/>
                <w:szCs w:val="21"/>
                <w:highlight w:val="none"/>
              </w:rPr>
            </w:pPr>
            <w:r>
              <w:rPr>
                <w:b/>
                <w:bCs/>
                <w:color w:val="auto"/>
                <w:szCs w:val="21"/>
                <w:highlight w:val="none"/>
              </w:rPr>
              <w:t>(t/a)</w:t>
            </w:r>
          </w:p>
        </w:tc>
        <w:tc>
          <w:tcPr>
            <w:tcW w:w="0" w:type="auto"/>
            <w:vMerge w:val="continue"/>
            <w:noWrap w:val="0"/>
            <w:vAlign w:val="center"/>
          </w:tcPr>
          <w:p w14:paraId="34FF6FF5">
            <w:pPr>
              <w:widowControl/>
              <w:jc w:val="left"/>
              <w:rPr>
                <w:b/>
                <w:bCs/>
                <w:color w:val="auto"/>
                <w:szCs w:val="21"/>
                <w:highlight w:val="none"/>
              </w:rPr>
            </w:pPr>
          </w:p>
        </w:tc>
        <w:tc>
          <w:tcPr>
            <w:tcW w:w="0" w:type="auto"/>
            <w:vMerge w:val="continue"/>
            <w:noWrap w:val="0"/>
            <w:vAlign w:val="center"/>
          </w:tcPr>
          <w:p w14:paraId="5077210C">
            <w:pPr>
              <w:widowControl/>
              <w:jc w:val="left"/>
              <w:rPr>
                <w:b/>
                <w:bCs/>
                <w:color w:val="auto"/>
                <w:szCs w:val="21"/>
                <w:highlight w:val="none"/>
              </w:rPr>
            </w:pPr>
          </w:p>
        </w:tc>
        <w:tc>
          <w:tcPr>
            <w:tcW w:w="279" w:type="pct"/>
            <w:noWrap w:val="0"/>
            <w:vAlign w:val="center"/>
          </w:tcPr>
          <w:p w14:paraId="6CDEF2B3">
            <w:pPr>
              <w:adjustRightInd w:val="0"/>
              <w:snapToGrid w:val="0"/>
              <w:jc w:val="center"/>
              <w:rPr>
                <w:b/>
                <w:bCs/>
                <w:color w:val="auto"/>
                <w:szCs w:val="21"/>
                <w:highlight w:val="none"/>
              </w:rPr>
            </w:pPr>
            <w:r>
              <w:rPr>
                <w:rFonts w:hint="eastAsia"/>
                <w:b/>
                <w:bCs/>
                <w:color w:val="auto"/>
                <w:szCs w:val="21"/>
                <w:highlight w:val="none"/>
              </w:rPr>
              <w:t>浓度</w:t>
            </w:r>
          </w:p>
          <w:p w14:paraId="509A58C7">
            <w:pPr>
              <w:adjustRightInd w:val="0"/>
              <w:snapToGrid w:val="0"/>
              <w:jc w:val="center"/>
              <w:rPr>
                <w:b/>
                <w:bCs/>
                <w:color w:val="auto"/>
                <w:szCs w:val="21"/>
                <w:highlight w:val="none"/>
              </w:rPr>
            </w:pPr>
            <w:r>
              <w:rPr>
                <w:b/>
                <w:bCs/>
                <w:color w:val="auto"/>
                <w:szCs w:val="21"/>
                <w:highlight w:val="none"/>
              </w:rPr>
              <w:t>(mg/m</w:t>
            </w:r>
            <w:r>
              <w:rPr>
                <w:b/>
                <w:bCs/>
                <w:color w:val="auto"/>
                <w:szCs w:val="21"/>
                <w:highlight w:val="none"/>
                <w:vertAlign w:val="superscript"/>
              </w:rPr>
              <w:t>3</w:t>
            </w:r>
            <w:r>
              <w:rPr>
                <w:b/>
                <w:bCs/>
                <w:color w:val="auto"/>
                <w:szCs w:val="21"/>
                <w:highlight w:val="none"/>
              </w:rPr>
              <w:t>)</w:t>
            </w:r>
          </w:p>
        </w:tc>
        <w:tc>
          <w:tcPr>
            <w:tcW w:w="264" w:type="pct"/>
            <w:noWrap w:val="0"/>
            <w:vAlign w:val="center"/>
          </w:tcPr>
          <w:p w14:paraId="20C68012">
            <w:pPr>
              <w:adjustRightInd w:val="0"/>
              <w:snapToGrid w:val="0"/>
              <w:jc w:val="center"/>
              <w:rPr>
                <w:b/>
                <w:bCs/>
                <w:color w:val="auto"/>
                <w:szCs w:val="21"/>
                <w:highlight w:val="none"/>
              </w:rPr>
            </w:pPr>
            <w:r>
              <w:rPr>
                <w:rFonts w:hint="eastAsia"/>
                <w:b/>
                <w:bCs/>
                <w:color w:val="auto"/>
                <w:szCs w:val="21"/>
                <w:highlight w:val="none"/>
              </w:rPr>
              <w:t>速率</w:t>
            </w:r>
          </w:p>
          <w:p w14:paraId="00CAF9DB">
            <w:pPr>
              <w:adjustRightInd w:val="0"/>
              <w:snapToGrid w:val="0"/>
              <w:jc w:val="center"/>
              <w:rPr>
                <w:b/>
                <w:bCs/>
                <w:color w:val="auto"/>
                <w:szCs w:val="21"/>
                <w:highlight w:val="none"/>
              </w:rPr>
            </w:pPr>
            <w:r>
              <w:rPr>
                <w:b/>
                <w:bCs/>
                <w:color w:val="auto"/>
                <w:szCs w:val="21"/>
                <w:highlight w:val="none"/>
              </w:rPr>
              <w:t>(kg/h)</w:t>
            </w:r>
          </w:p>
        </w:tc>
        <w:tc>
          <w:tcPr>
            <w:tcW w:w="265" w:type="pct"/>
            <w:noWrap w:val="0"/>
            <w:vAlign w:val="center"/>
          </w:tcPr>
          <w:p w14:paraId="2A9B3E26">
            <w:pPr>
              <w:adjustRightInd w:val="0"/>
              <w:snapToGrid w:val="0"/>
              <w:jc w:val="center"/>
              <w:rPr>
                <w:b/>
                <w:bCs/>
                <w:color w:val="auto"/>
                <w:szCs w:val="21"/>
                <w:highlight w:val="none"/>
              </w:rPr>
            </w:pPr>
            <w:r>
              <w:rPr>
                <w:rFonts w:hint="eastAsia"/>
                <w:b/>
                <w:bCs/>
                <w:color w:val="auto"/>
                <w:szCs w:val="21"/>
                <w:highlight w:val="none"/>
              </w:rPr>
              <w:t>排放量</w:t>
            </w:r>
          </w:p>
          <w:p w14:paraId="4F088317">
            <w:pPr>
              <w:adjustRightInd w:val="0"/>
              <w:snapToGrid w:val="0"/>
              <w:jc w:val="center"/>
              <w:rPr>
                <w:b/>
                <w:bCs/>
                <w:color w:val="auto"/>
                <w:szCs w:val="21"/>
                <w:highlight w:val="none"/>
              </w:rPr>
            </w:pPr>
            <w:r>
              <w:rPr>
                <w:b/>
                <w:bCs/>
                <w:color w:val="auto"/>
                <w:szCs w:val="21"/>
                <w:highlight w:val="none"/>
              </w:rPr>
              <w:t>(t/a)</w:t>
            </w:r>
          </w:p>
        </w:tc>
        <w:tc>
          <w:tcPr>
            <w:tcW w:w="143" w:type="pct"/>
            <w:noWrap w:val="0"/>
            <w:vAlign w:val="center"/>
          </w:tcPr>
          <w:p w14:paraId="755F8E92">
            <w:pPr>
              <w:adjustRightInd w:val="0"/>
              <w:snapToGrid w:val="0"/>
              <w:jc w:val="center"/>
              <w:rPr>
                <w:b/>
                <w:bCs/>
                <w:color w:val="auto"/>
                <w:szCs w:val="21"/>
                <w:highlight w:val="none"/>
              </w:rPr>
            </w:pPr>
            <w:r>
              <w:rPr>
                <w:rFonts w:hint="eastAsia"/>
                <w:b/>
                <w:bCs/>
                <w:color w:val="auto"/>
                <w:szCs w:val="21"/>
                <w:highlight w:val="none"/>
              </w:rPr>
              <w:t>高度</w:t>
            </w:r>
          </w:p>
          <w:p w14:paraId="13B224F4">
            <w:pPr>
              <w:adjustRightInd w:val="0"/>
              <w:snapToGrid w:val="0"/>
              <w:jc w:val="center"/>
              <w:rPr>
                <w:b/>
                <w:bCs/>
                <w:color w:val="auto"/>
                <w:szCs w:val="21"/>
                <w:highlight w:val="none"/>
              </w:rPr>
            </w:pPr>
            <w:r>
              <w:rPr>
                <w:b/>
                <w:bCs/>
                <w:color w:val="auto"/>
                <w:szCs w:val="21"/>
                <w:highlight w:val="none"/>
              </w:rPr>
              <w:t>(m)</w:t>
            </w:r>
          </w:p>
        </w:tc>
        <w:tc>
          <w:tcPr>
            <w:tcW w:w="139" w:type="pct"/>
            <w:noWrap w:val="0"/>
            <w:vAlign w:val="center"/>
          </w:tcPr>
          <w:p w14:paraId="2D78D3FE">
            <w:pPr>
              <w:adjustRightInd w:val="0"/>
              <w:snapToGrid w:val="0"/>
              <w:jc w:val="center"/>
              <w:rPr>
                <w:b/>
                <w:bCs/>
                <w:color w:val="auto"/>
                <w:szCs w:val="21"/>
                <w:highlight w:val="none"/>
              </w:rPr>
            </w:pPr>
            <w:r>
              <w:rPr>
                <w:rFonts w:hint="eastAsia"/>
                <w:b/>
                <w:bCs/>
                <w:color w:val="auto"/>
                <w:szCs w:val="21"/>
                <w:highlight w:val="none"/>
              </w:rPr>
              <w:t>直径</w:t>
            </w:r>
          </w:p>
          <w:p w14:paraId="230508A5">
            <w:pPr>
              <w:adjustRightInd w:val="0"/>
              <w:snapToGrid w:val="0"/>
              <w:jc w:val="center"/>
              <w:rPr>
                <w:b/>
                <w:bCs/>
                <w:color w:val="auto"/>
                <w:szCs w:val="21"/>
                <w:highlight w:val="none"/>
              </w:rPr>
            </w:pPr>
            <w:r>
              <w:rPr>
                <w:b/>
                <w:bCs/>
                <w:color w:val="auto"/>
                <w:szCs w:val="21"/>
                <w:highlight w:val="none"/>
              </w:rPr>
              <w:t>(m)</w:t>
            </w:r>
          </w:p>
        </w:tc>
        <w:tc>
          <w:tcPr>
            <w:tcW w:w="148" w:type="pct"/>
            <w:noWrap w:val="0"/>
            <w:vAlign w:val="center"/>
          </w:tcPr>
          <w:p w14:paraId="65DE141F">
            <w:pPr>
              <w:adjustRightInd w:val="0"/>
              <w:snapToGrid w:val="0"/>
              <w:jc w:val="center"/>
              <w:rPr>
                <w:b/>
                <w:bCs/>
                <w:color w:val="auto"/>
                <w:szCs w:val="21"/>
                <w:highlight w:val="none"/>
              </w:rPr>
            </w:pPr>
            <w:r>
              <w:rPr>
                <w:rFonts w:hint="eastAsia"/>
                <w:b/>
                <w:bCs/>
                <w:color w:val="auto"/>
                <w:szCs w:val="21"/>
                <w:highlight w:val="none"/>
              </w:rPr>
              <w:t>温度</w:t>
            </w:r>
          </w:p>
          <w:p w14:paraId="1E4FFD56">
            <w:pPr>
              <w:adjustRightInd w:val="0"/>
              <w:snapToGrid w:val="0"/>
              <w:jc w:val="center"/>
              <w:rPr>
                <w:b/>
                <w:bCs/>
                <w:color w:val="auto"/>
                <w:szCs w:val="21"/>
                <w:highlight w:val="none"/>
              </w:rPr>
            </w:pPr>
            <w:r>
              <w:rPr>
                <w:b/>
                <w:bCs/>
                <w:color w:val="auto"/>
                <w:szCs w:val="21"/>
                <w:highlight w:val="none"/>
              </w:rPr>
              <w:t>(</w:t>
            </w:r>
            <w:r>
              <w:rPr>
                <w:rFonts w:hint="eastAsia" w:ascii="宋体" w:hAnsi="宋体" w:cs="宋体"/>
                <w:b/>
                <w:bCs/>
                <w:color w:val="auto"/>
                <w:szCs w:val="21"/>
                <w:highlight w:val="none"/>
              </w:rPr>
              <w:t>℃</w:t>
            </w:r>
            <w:r>
              <w:rPr>
                <w:b/>
                <w:bCs/>
                <w:color w:val="auto"/>
                <w:szCs w:val="21"/>
                <w:highlight w:val="none"/>
              </w:rPr>
              <w:t>)</w:t>
            </w:r>
          </w:p>
        </w:tc>
        <w:tc>
          <w:tcPr>
            <w:tcW w:w="262" w:type="pct"/>
            <w:vMerge w:val="continue"/>
            <w:noWrap w:val="0"/>
            <w:vAlign w:val="center"/>
          </w:tcPr>
          <w:p w14:paraId="58182885">
            <w:pPr>
              <w:widowControl/>
              <w:jc w:val="left"/>
              <w:rPr>
                <w:b/>
                <w:bCs/>
                <w:color w:val="auto"/>
                <w:szCs w:val="21"/>
                <w:highlight w:val="none"/>
              </w:rPr>
            </w:pPr>
          </w:p>
        </w:tc>
      </w:tr>
      <w:tr w14:paraId="65B4F2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322" w:hRule="atLeast"/>
          <w:jc w:val="center"/>
        </w:trPr>
        <w:tc>
          <w:tcPr>
            <w:tcW w:w="295" w:type="pct"/>
            <w:vMerge w:val="restart"/>
            <w:noWrap w:val="0"/>
            <w:vAlign w:val="center"/>
          </w:tcPr>
          <w:p w14:paraId="5A28DC9A">
            <w:pPr>
              <w:adjustRightInd w:val="0"/>
              <w:snapToGrid w:val="0"/>
              <w:jc w:val="center"/>
              <w:rPr>
                <w:color w:val="auto"/>
                <w:szCs w:val="21"/>
                <w:highlight w:val="none"/>
              </w:rPr>
            </w:pPr>
            <w:r>
              <w:rPr>
                <w:rFonts w:hint="eastAsia"/>
                <w:color w:val="auto"/>
                <w:szCs w:val="21"/>
                <w:highlight w:val="none"/>
              </w:rPr>
              <w:t>有组织排放</w:t>
            </w:r>
          </w:p>
        </w:tc>
        <w:tc>
          <w:tcPr>
            <w:tcW w:w="546" w:type="pct"/>
            <w:vMerge w:val="restart"/>
            <w:noWrap w:val="0"/>
            <w:vAlign w:val="center"/>
          </w:tcPr>
          <w:p w14:paraId="726879C4">
            <w:pPr>
              <w:adjustRightInd w:val="0"/>
              <w:snapToGrid w:val="0"/>
              <w:jc w:val="center"/>
              <w:rPr>
                <w:rFonts w:hint="eastAsia"/>
                <w:color w:val="auto"/>
                <w:szCs w:val="21"/>
                <w:highlight w:val="none"/>
              </w:rPr>
            </w:pPr>
            <w:r>
              <w:rPr>
                <w:color w:val="auto"/>
                <w:szCs w:val="21"/>
                <w:highlight w:val="none"/>
              </w:rPr>
              <w:t>DA001</w:t>
            </w:r>
          </w:p>
        </w:tc>
        <w:tc>
          <w:tcPr>
            <w:tcW w:w="546" w:type="pct"/>
            <w:vMerge w:val="restart"/>
            <w:noWrap w:val="0"/>
            <w:vAlign w:val="center"/>
          </w:tcPr>
          <w:p w14:paraId="59A633A6">
            <w:pPr>
              <w:adjustRightInd w:val="0"/>
              <w:snapToGrid w:val="0"/>
              <w:jc w:val="center"/>
              <w:rPr>
                <w:rFonts w:hint="eastAsia" w:eastAsia="宋体"/>
                <w:color w:val="auto"/>
                <w:szCs w:val="21"/>
                <w:highlight w:val="none"/>
                <w:lang w:val="en-US" w:eastAsia="zh-CN"/>
              </w:rPr>
            </w:pPr>
            <w:r>
              <w:rPr>
                <w:rFonts w:hint="eastAsia"/>
                <w:color w:val="auto"/>
                <w:szCs w:val="21"/>
                <w:highlight w:val="none"/>
              </w:rPr>
              <w:t>生物质锅炉</w:t>
            </w:r>
          </w:p>
        </w:tc>
        <w:tc>
          <w:tcPr>
            <w:tcW w:w="220" w:type="pct"/>
            <w:vMerge w:val="restart"/>
            <w:noWrap w:val="0"/>
            <w:vAlign w:val="center"/>
          </w:tcPr>
          <w:p w14:paraId="5E48FF23">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2616</w:t>
            </w:r>
          </w:p>
        </w:tc>
        <w:tc>
          <w:tcPr>
            <w:tcW w:w="367" w:type="pct"/>
            <w:noWrap w:val="0"/>
            <w:vAlign w:val="center"/>
          </w:tcPr>
          <w:p w14:paraId="64802DAD">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烟气</w:t>
            </w:r>
          </w:p>
        </w:tc>
        <w:tc>
          <w:tcPr>
            <w:tcW w:w="279" w:type="pct"/>
            <w:noWrap w:val="0"/>
            <w:vAlign w:val="center"/>
          </w:tcPr>
          <w:p w14:paraId="6BC17212">
            <w:pPr>
              <w:jc w:val="center"/>
              <w:rPr>
                <w:rFonts w:hint="default" w:eastAsia="宋体"/>
                <w:color w:val="auto"/>
                <w:szCs w:val="21"/>
                <w:highlight w:val="none"/>
                <w:lang w:val="en-US" w:eastAsia="zh-CN"/>
              </w:rPr>
            </w:pPr>
            <w:r>
              <w:rPr>
                <w:rFonts w:hint="eastAsia"/>
                <w:color w:val="auto"/>
                <w:lang w:val="en-US" w:eastAsia="zh-CN"/>
              </w:rPr>
              <w:t>77</w:t>
            </w:r>
          </w:p>
        </w:tc>
        <w:tc>
          <w:tcPr>
            <w:tcW w:w="225" w:type="pct"/>
            <w:noWrap w:val="0"/>
            <w:vAlign w:val="center"/>
          </w:tcPr>
          <w:p w14:paraId="08F912F8">
            <w:pPr>
              <w:jc w:val="center"/>
              <w:rPr>
                <w:rFonts w:hint="eastAsia"/>
                <w:color w:val="auto"/>
                <w:szCs w:val="21"/>
                <w:highlight w:val="none"/>
              </w:rPr>
            </w:pPr>
            <w:r>
              <w:rPr>
                <w:rFonts w:hint="eastAsia"/>
                <w:color w:val="auto"/>
                <w:lang w:val="en-US" w:eastAsia="zh-CN"/>
              </w:rPr>
              <w:t>0.163</w:t>
            </w:r>
          </w:p>
        </w:tc>
        <w:tc>
          <w:tcPr>
            <w:tcW w:w="229" w:type="pct"/>
            <w:noWrap w:val="0"/>
            <w:vAlign w:val="center"/>
          </w:tcPr>
          <w:p w14:paraId="4069956C">
            <w:pPr>
              <w:jc w:val="center"/>
              <w:rPr>
                <w:rFonts w:hint="eastAsia"/>
                <w:color w:val="auto"/>
                <w:szCs w:val="21"/>
                <w:highlight w:val="none"/>
              </w:rPr>
            </w:pPr>
            <w:r>
              <w:rPr>
                <w:rFonts w:hint="eastAsia"/>
                <w:color w:val="auto"/>
                <w:lang w:val="en-US" w:eastAsia="zh-CN"/>
              </w:rPr>
              <w:t>0.47</w:t>
            </w:r>
          </w:p>
        </w:tc>
        <w:tc>
          <w:tcPr>
            <w:tcW w:w="521" w:type="pct"/>
            <w:vMerge w:val="restart"/>
            <w:noWrap w:val="0"/>
            <w:vAlign w:val="center"/>
          </w:tcPr>
          <w:p w14:paraId="454E58D8">
            <w:pPr>
              <w:adjustRightInd w:val="0"/>
              <w:snapToGrid w:val="0"/>
              <w:jc w:val="center"/>
              <w:rPr>
                <w:rFonts w:hint="default" w:eastAsia="宋体"/>
                <w:color w:val="auto"/>
                <w:szCs w:val="21"/>
                <w:highlight w:val="none"/>
                <w:lang w:val="en-US" w:eastAsia="zh-CN"/>
              </w:rPr>
            </w:pPr>
            <w:r>
              <w:rPr>
                <w:rFonts w:hint="eastAsia"/>
                <w:color w:val="auto"/>
                <w:szCs w:val="21"/>
                <w:highlight w:val="none"/>
                <w:lang w:eastAsia="zh-CN"/>
              </w:rPr>
              <w:t>低氮燃烧法，旋风除尘器</w:t>
            </w:r>
            <w:r>
              <w:rPr>
                <w:rFonts w:hint="eastAsia"/>
                <w:color w:val="auto"/>
                <w:szCs w:val="21"/>
                <w:highlight w:val="none"/>
                <w:lang w:val="en-US" w:eastAsia="zh-CN"/>
              </w:rPr>
              <w:t>+</w:t>
            </w:r>
            <w:r>
              <w:rPr>
                <w:rFonts w:hint="eastAsia"/>
                <w:color w:val="auto"/>
                <w:szCs w:val="21"/>
                <w:highlight w:val="none"/>
              </w:rPr>
              <w:t>布袋除尘器</w:t>
            </w:r>
            <w:r>
              <w:rPr>
                <w:rFonts w:hint="eastAsia"/>
                <w:color w:val="auto"/>
                <w:szCs w:val="21"/>
                <w:highlight w:val="none"/>
                <w:lang w:val="en-US" w:eastAsia="zh-CN"/>
              </w:rPr>
              <w:t>+30m烟囱</w:t>
            </w:r>
          </w:p>
        </w:tc>
        <w:tc>
          <w:tcPr>
            <w:tcW w:w="268" w:type="pct"/>
            <w:noWrap w:val="0"/>
            <w:vAlign w:val="center"/>
          </w:tcPr>
          <w:p w14:paraId="2B2DB535">
            <w:pPr>
              <w:jc w:val="center"/>
              <w:rPr>
                <w:rFonts w:hint="eastAsia"/>
                <w:color w:val="auto"/>
                <w:szCs w:val="21"/>
                <w:highlight w:val="none"/>
              </w:rPr>
            </w:pPr>
            <w:r>
              <w:rPr>
                <w:rFonts w:hint="eastAsia"/>
                <w:color w:val="auto"/>
                <w:szCs w:val="21"/>
                <w:highlight w:val="none"/>
              </w:rPr>
              <w:t>99</w:t>
            </w:r>
          </w:p>
        </w:tc>
        <w:tc>
          <w:tcPr>
            <w:tcW w:w="279" w:type="pct"/>
            <w:noWrap w:val="0"/>
            <w:vAlign w:val="center"/>
          </w:tcPr>
          <w:p w14:paraId="40A68AB1">
            <w:pPr>
              <w:jc w:val="center"/>
              <w:rPr>
                <w:rFonts w:hint="default" w:eastAsia="宋体"/>
                <w:color w:val="auto"/>
                <w:szCs w:val="21"/>
                <w:highlight w:val="none"/>
                <w:lang w:val="en-US" w:eastAsia="zh-CN"/>
              </w:rPr>
            </w:pPr>
            <w:r>
              <w:rPr>
                <w:rFonts w:hint="eastAsia"/>
                <w:color w:val="auto"/>
                <w:lang w:val="en-US" w:eastAsia="zh-CN"/>
              </w:rPr>
              <w:t>1.0</w:t>
            </w:r>
          </w:p>
        </w:tc>
        <w:tc>
          <w:tcPr>
            <w:tcW w:w="264" w:type="pct"/>
            <w:noWrap w:val="0"/>
            <w:vAlign w:val="center"/>
          </w:tcPr>
          <w:p w14:paraId="0F1A3D20">
            <w:pPr>
              <w:jc w:val="center"/>
              <w:rPr>
                <w:rFonts w:hint="default" w:eastAsia="宋体"/>
                <w:color w:val="auto"/>
                <w:szCs w:val="21"/>
                <w:highlight w:val="none"/>
                <w:lang w:val="en-US" w:eastAsia="zh-CN"/>
              </w:rPr>
            </w:pPr>
            <w:r>
              <w:rPr>
                <w:rFonts w:hint="eastAsia"/>
                <w:color w:val="auto"/>
                <w:lang w:val="en-US" w:eastAsia="zh-CN"/>
              </w:rPr>
              <w:t>0.002</w:t>
            </w:r>
          </w:p>
        </w:tc>
        <w:tc>
          <w:tcPr>
            <w:tcW w:w="265" w:type="pct"/>
            <w:noWrap w:val="0"/>
            <w:vAlign w:val="center"/>
          </w:tcPr>
          <w:p w14:paraId="5CD2E1CC">
            <w:pPr>
              <w:jc w:val="center"/>
              <w:rPr>
                <w:rFonts w:hint="default" w:eastAsia="宋体"/>
                <w:color w:val="auto"/>
                <w:szCs w:val="21"/>
                <w:highlight w:val="none"/>
                <w:lang w:val="en-US" w:eastAsia="zh-CN"/>
              </w:rPr>
            </w:pPr>
            <w:r>
              <w:rPr>
                <w:rFonts w:hint="eastAsia"/>
                <w:color w:val="auto"/>
                <w:lang w:val="en-US" w:eastAsia="zh-CN"/>
              </w:rPr>
              <w:t>0.005</w:t>
            </w:r>
          </w:p>
        </w:tc>
        <w:tc>
          <w:tcPr>
            <w:tcW w:w="143" w:type="pct"/>
            <w:vMerge w:val="restart"/>
            <w:noWrap w:val="0"/>
            <w:vAlign w:val="center"/>
          </w:tcPr>
          <w:p w14:paraId="16179BAF">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30</w:t>
            </w:r>
          </w:p>
        </w:tc>
        <w:tc>
          <w:tcPr>
            <w:tcW w:w="139" w:type="pct"/>
            <w:vMerge w:val="restart"/>
            <w:noWrap w:val="0"/>
            <w:vAlign w:val="center"/>
          </w:tcPr>
          <w:p w14:paraId="16B32A96">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0.3</w:t>
            </w:r>
          </w:p>
        </w:tc>
        <w:tc>
          <w:tcPr>
            <w:tcW w:w="148" w:type="pct"/>
            <w:vMerge w:val="restart"/>
            <w:noWrap w:val="0"/>
            <w:vAlign w:val="center"/>
          </w:tcPr>
          <w:p w14:paraId="137A5105">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60</w:t>
            </w:r>
          </w:p>
        </w:tc>
        <w:tc>
          <w:tcPr>
            <w:tcW w:w="262" w:type="pct"/>
            <w:vMerge w:val="restart"/>
            <w:noWrap w:val="0"/>
            <w:vAlign w:val="center"/>
          </w:tcPr>
          <w:p w14:paraId="7C9AF1F9">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2880</w:t>
            </w:r>
          </w:p>
        </w:tc>
      </w:tr>
      <w:tr w14:paraId="75FDA22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167" w:hRule="atLeast"/>
          <w:jc w:val="center"/>
        </w:trPr>
        <w:tc>
          <w:tcPr>
            <w:tcW w:w="0" w:type="auto"/>
            <w:vMerge w:val="continue"/>
            <w:noWrap w:val="0"/>
            <w:vAlign w:val="center"/>
          </w:tcPr>
          <w:p w14:paraId="25E961C9">
            <w:pPr>
              <w:widowControl/>
              <w:jc w:val="left"/>
              <w:rPr>
                <w:color w:val="auto"/>
                <w:szCs w:val="21"/>
                <w:highlight w:val="none"/>
              </w:rPr>
            </w:pPr>
          </w:p>
        </w:tc>
        <w:tc>
          <w:tcPr>
            <w:tcW w:w="0" w:type="auto"/>
            <w:vMerge w:val="continue"/>
            <w:noWrap w:val="0"/>
            <w:vAlign w:val="center"/>
          </w:tcPr>
          <w:p w14:paraId="0E240417">
            <w:pPr>
              <w:widowControl/>
              <w:jc w:val="left"/>
              <w:rPr>
                <w:color w:val="auto"/>
                <w:szCs w:val="21"/>
                <w:highlight w:val="none"/>
              </w:rPr>
            </w:pPr>
          </w:p>
        </w:tc>
        <w:tc>
          <w:tcPr>
            <w:tcW w:w="0" w:type="auto"/>
            <w:vMerge w:val="continue"/>
            <w:noWrap w:val="0"/>
            <w:vAlign w:val="center"/>
          </w:tcPr>
          <w:p w14:paraId="3FAC39C7">
            <w:pPr>
              <w:widowControl/>
              <w:jc w:val="left"/>
              <w:rPr>
                <w:color w:val="auto"/>
                <w:szCs w:val="21"/>
                <w:highlight w:val="none"/>
              </w:rPr>
            </w:pPr>
          </w:p>
        </w:tc>
        <w:tc>
          <w:tcPr>
            <w:tcW w:w="0" w:type="auto"/>
            <w:vMerge w:val="continue"/>
            <w:noWrap w:val="0"/>
            <w:vAlign w:val="center"/>
          </w:tcPr>
          <w:p w14:paraId="2505A439">
            <w:pPr>
              <w:widowControl/>
              <w:jc w:val="left"/>
              <w:rPr>
                <w:color w:val="auto"/>
                <w:szCs w:val="21"/>
                <w:highlight w:val="none"/>
              </w:rPr>
            </w:pPr>
          </w:p>
        </w:tc>
        <w:tc>
          <w:tcPr>
            <w:tcW w:w="367" w:type="pct"/>
            <w:noWrap w:val="0"/>
            <w:vAlign w:val="center"/>
          </w:tcPr>
          <w:p w14:paraId="4E2A91A3">
            <w:pPr>
              <w:adjustRightInd w:val="0"/>
              <w:snapToGrid w:val="0"/>
              <w:jc w:val="center"/>
              <w:rPr>
                <w:color w:val="auto"/>
                <w:szCs w:val="21"/>
                <w:highlight w:val="none"/>
              </w:rPr>
            </w:pPr>
            <w:r>
              <w:rPr>
                <w:color w:val="auto"/>
                <w:szCs w:val="21"/>
                <w:highlight w:val="none"/>
              </w:rPr>
              <w:t>SO</w:t>
            </w:r>
            <w:r>
              <w:rPr>
                <w:color w:val="auto"/>
                <w:szCs w:val="21"/>
                <w:highlight w:val="none"/>
                <w:vertAlign w:val="subscript"/>
              </w:rPr>
              <w:t>2</w:t>
            </w:r>
          </w:p>
        </w:tc>
        <w:tc>
          <w:tcPr>
            <w:tcW w:w="279" w:type="pct"/>
            <w:noWrap w:val="0"/>
            <w:vAlign w:val="center"/>
          </w:tcPr>
          <w:p w14:paraId="30A760A7">
            <w:pPr>
              <w:jc w:val="center"/>
              <w:rPr>
                <w:rFonts w:hint="default" w:eastAsia="宋体"/>
                <w:color w:val="auto"/>
                <w:szCs w:val="21"/>
                <w:highlight w:val="none"/>
                <w:lang w:val="en-US" w:eastAsia="zh-CN"/>
              </w:rPr>
            </w:pPr>
            <w:r>
              <w:rPr>
                <w:rFonts w:hint="eastAsia"/>
                <w:color w:val="auto"/>
                <w:szCs w:val="21"/>
                <w:highlight w:val="none"/>
                <w:lang w:val="en-US" w:eastAsia="zh-CN"/>
              </w:rPr>
              <w:t>79</w:t>
            </w:r>
          </w:p>
        </w:tc>
        <w:tc>
          <w:tcPr>
            <w:tcW w:w="225" w:type="pct"/>
            <w:noWrap w:val="0"/>
            <w:vAlign w:val="center"/>
          </w:tcPr>
          <w:p w14:paraId="7D49CBC3">
            <w:pPr>
              <w:jc w:val="center"/>
              <w:rPr>
                <w:rFonts w:hint="default" w:eastAsia="宋体"/>
                <w:color w:val="auto"/>
                <w:szCs w:val="21"/>
                <w:highlight w:val="none"/>
                <w:lang w:val="en-US" w:eastAsia="zh-CN"/>
              </w:rPr>
            </w:pPr>
            <w:r>
              <w:rPr>
                <w:rFonts w:hint="eastAsia"/>
                <w:color w:val="auto"/>
                <w:szCs w:val="21"/>
                <w:highlight w:val="none"/>
                <w:lang w:val="en-US" w:eastAsia="zh-CN"/>
              </w:rPr>
              <w:t>0.167</w:t>
            </w:r>
          </w:p>
        </w:tc>
        <w:tc>
          <w:tcPr>
            <w:tcW w:w="229" w:type="pct"/>
            <w:noWrap w:val="0"/>
            <w:vAlign w:val="center"/>
          </w:tcPr>
          <w:p w14:paraId="2F9AB671">
            <w:pPr>
              <w:jc w:val="center"/>
              <w:rPr>
                <w:rFonts w:hint="default" w:eastAsia="宋体"/>
                <w:color w:val="auto"/>
                <w:szCs w:val="21"/>
                <w:highlight w:val="none"/>
                <w:lang w:val="en-US" w:eastAsia="zh-CN"/>
              </w:rPr>
            </w:pPr>
            <w:r>
              <w:rPr>
                <w:rFonts w:hint="eastAsia"/>
                <w:color w:val="auto"/>
                <w:szCs w:val="21"/>
                <w:highlight w:val="none"/>
                <w:lang w:val="en-US" w:eastAsia="zh-CN"/>
              </w:rPr>
              <w:t>0.48</w:t>
            </w:r>
          </w:p>
        </w:tc>
        <w:tc>
          <w:tcPr>
            <w:tcW w:w="0" w:type="auto"/>
            <w:vMerge w:val="continue"/>
            <w:noWrap w:val="0"/>
            <w:vAlign w:val="center"/>
          </w:tcPr>
          <w:p w14:paraId="02603972">
            <w:pPr>
              <w:widowControl/>
              <w:jc w:val="left"/>
              <w:rPr>
                <w:color w:val="auto"/>
                <w:szCs w:val="21"/>
                <w:highlight w:val="none"/>
              </w:rPr>
            </w:pPr>
          </w:p>
        </w:tc>
        <w:tc>
          <w:tcPr>
            <w:tcW w:w="268" w:type="pct"/>
            <w:noWrap w:val="0"/>
            <w:vAlign w:val="center"/>
          </w:tcPr>
          <w:p w14:paraId="2FA0FC5B">
            <w:pPr>
              <w:jc w:val="center"/>
              <w:rPr>
                <w:color w:val="auto"/>
                <w:szCs w:val="21"/>
                <w:highlight w:val="none"/>
              </w:rPr>
            </w:pPr>
            <w:r>
              <w:rPr>
                <w:color w:val="auto"/>
                <w:szCs w:val="21"/>
                <w:highlight w:val="none"/>
              </w:rPr>
              <w:t>0</w:t>
            </w:r>
          </w:p>
        </w:tc>
        <w:tc>
          <w:tcPr>
            <w:tcW w:w="782" w:type="dxa"/>
            <w:noWrap w:val="0"/>
            <w:vAlign w:val="center"/>
          </w:tcPr>
          <w:p w14:paraId="550D8227">
            <w:pPr>
              <w:jc w:val="center"/>
              <w:rPr>
                <w:rFonts w:hint="default" w:eastAsia="宋体"/>
                <w:color w:val="auto"/>
                <w:szCs w:val="21"/>
                <w:highlight w:val="none"/>
                <w:lang w:val="en-US" w:eastAsia="zh-CN"/>
              </w:rPr>
            </w:pPr>
            <w:r>
              <w:rPr>
                <w:rFonts w:hint="eastAsia"/>
                <w:color w:val="auto"/>
                <w:szCs w:val="21"/>
                <w:highlight w:val="none"/>
                <w:lang w:val="en-US" w:eastAsia="zh-CN"/>
              </w:rPr>
              <w:t>79</w:t>
            </w:r>
          </w:p>
        </w:tc>
        <w:tc>
          <w:tcPr>
            <w:tcW w:w="740" w:type="dxa"/>
            <w:noWrap w:val="0"/>
            <w:vAlign w:val="center"/>
          </w:tcPr>
          <w:p w14:paraId="3C7FC6DC">
            <w:pPr>
              <w:jc w:val="center"/>
              <w:rPr>
                <w:rFonts w:hint="eastAsia"/>
                <w:color w:val="auto"/>
                <w:szCs w:val="21"/>
                <w:highlight w:val="none"/>
              </w:rPr>
            </w:pPr>
            <w:r>
              <w:rPr>
                <w:rFonts w:hint="eastAsia"/>
                <w:color w:val="auto"/>
                <w:szCs w:val="21"/>
                <w:highlight w:val="none"/>
                <w:lang w:val="en-US" w:eastAsia="zh-CN"/>
              </w:rPr>
              <w:t>0.167</w:t>
            </w:r>
          </w:p>
        </w:tc>
        <w:tc>
          <w:tcPr>
            <w:tcW w:w="743" w:type="dxa"/>
            <w:noWrap w:val="0"/>
            <w:vAlign w:val="center"/>
          </w:tcPr>
          <w:p w14:paraId="5264D786">
            <w:pPr>
              <w:jc w:val="center"/>
              <w:rPr>
                <w:rFonts w:hint="eastAsia"/>
                <w:color w:val="auto"/>
                <w:szCs w:val="21"/>
                <w:highlight w:val="none"/>
              </w:rPr>
            </w:pPr>
            <w:r>
              <w:rPr>
                <w:rFonts w:hint="eastAsia"/>
                <w:color w:val="auto"/>
                <w:szCs w:val="21"/>
                <w:highlight w:val="none"/>
                <w:lang w:val="en-US" w:eastAsia="zh-CN"/>
              </w:rPr>
              <w:t>0.48</w:t>
            </w:r>
          </w:p>
        </w:tc>
        <w:tc>
          <w:tcPr>
            <w:tcW w:w="143" w:type="pct"/>
            <w:vMerge w:val="continue"/>
            <w:noWrap w:val="0"/>
            <w:vAlign w:val="center"/>
          </w:tcPr>
          <w:p w14:paraId="6CFD247D">
            <w:pPr>
              <w:widowControl/>
              <w:jc w:val="left"/>
              <w:rPr>
                <w:color w:val="auto"/>
                <w:szCs w:val="21"/>
                <w:highlight w:val="none"/>
              </w:rPr>
            </w:pPr>
          </w:p>
        </w:tc>
        <w:tc>
          <w:tcPr>
            <w:tcW w:w="139" w:type="pct"/>
            <w:vMerge w:val="continue"/>
            <w:noWrap w:val="0"/>
            <w:vAlign w:val="center"/>
          </w:tcPr>
          <w:p w14:paraId="2E1380DD">
            <w:pPr>
              <w:widowControl/>
              <w:jc w:val="left"/>
              <w:rPr>
                <w:color w:val="auto"/>
                <w:szCs w:val="21"/>
                <w:highlight w:val="none"/>
              </w:rPr>
            </w:pPr>
          </w:p>
        </w:tc>
        <w:tc>
          <w:tcPr>
            <w:tcW w:w="148" w:type="pct"/>
            <w:vMerge w:val="continue"/>
            <w:noWrap w:val="0"/>
            <w:vAlign w:val="center"/>
          </w:tcPr>
          <w:p w14:paraId="7E88BE17">
            <w:pPr>
              <w:widowControl/>
              <w:jc w:val="left"/>
              <w:rPr>
                <w:color w:val="auto"/>
                <w:szCs w:val="21"/>
                <w:highlight w:val="none"/>
              </w:rPr>
            </w:pPr>
          </w:p>
        </w:tc>
        <w:tc>
          <w:tcPr>
            <w:tcW w:w="262" w:type="pct"/>
            <w:vMerge w:val="continue"/>
            <w:noWrap w:val="0"/>
            <w:vAlign w:val="center"/>
          </w:tcPr>
          <w:p w14:paraId="59B03E7F">
            <w:pPr>
              <w:widowControl/>
              <w:jc w:val="left"/>
              <w:rPr>
                <w:color w:val="auto"/>
                <w:szCs w:val="21"/>
                <w:highlight w:val="none"/>
              </w:rPr>
            </w:pPr>
          </w:p>
        </w:tc>
      </w:tr>
      <w:tr w14:paraId="1389AD8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167" w:hRule="atLeast"/>
          <w:jc w:val="center"/>
        </w:trPr>
        <w:tc>
          <w:tcPr>
            <w:tcW w:w="0" w:type="auto"/>
            <w:vMerge w:val="continue"/>
            <w:noWrap w:val="0"/>
            <w:vAlign w:val="center"/>
          </w:tcPr>
          <w:p w14:paraId="4C04150A">
            <w:pPr>
              <w:widowControl/>
              <w:jc w:val="left"/>
              <w:rPr>
                <w:color w:val="auto"/>
                <w:szCs w:val="21"/>
                <w:highlight w:val="none"/>
              </w:rPr>
            </w:pPr>
          </w:p>
        </w:tc>
        <w:tc>
          <w:tcPr>
            <w:tcW w:w="0" w:type="auto"/>
            <w:vMerge w:val="continue"/>
            <w:noWrap w:val="0"/>
            <w:vAlign w:val="center"/>
          </w:tcPr>
          <w:p w14:paraId="4F2E4473">
            <w:pPr>
              <w:widowControl/>
              <w:jc w:val="left"/>
              <w:rPr>
                <w:color w:val="auto"/>
                <w:szCs w:val="21"/>
                <w:highlight w:val="none"/>
              </w:rPr>
            </w:pPr>
          </w:p>
        </w:tc>
        <w:tc>
          <w:tcPr>
            <w:tcW w:w="0" w:type="auto"/>
            <w:vMerge w:val="continue"/>
            <w:noWrap w:val="0"/>
            <w:vAlign w:val="center"/>
          </w:tcPr>
          <w:p w14:paraId="636C7CFE">
            <w:pPr>
              <w:widowControl/>
              <w:jc w:val="left"/>
              <w:rPr>
                <w:color w:val="auto"/>
                <w:szCs w:val="21"/>
                <w:highlight w:val="none"/>
              </w:rPr>
            </w:pPr>
          </w:p>
        </w:tc>
        <w:tc>
          <w:tcPr>
            <w:tcW w:w="0" w:type="auto"/>
            <w:vMerge w:val="continue"/>
            <w:noWrap w:val="0"/>
            <w:vAlign w:val="center"/>
          </w:tcPr>
          <w:p w14:paraId="16A36B6B">
            <w:pPr>
              <w:widowControl/>
              <w:jc w:val="left"/>
              <w:rPr>
                <w:color w:val="auto"/>
                <w:szCs w:val="21"/>
                <w:highlight w:val="none"/>
              </w:rPr>
            </w:pPr>
          </w:p>
        </w:tc>
        <w:tc>
          <w:tcPr>
            <w:tcW w:w="367" w:type="pct"/>
            <w:noWrap w:val="0"/>
            <w:vAlign w:val="center"/>
          </w:tcPr>
          <w:p w14:paraId="4A4C80CB">
            <w:pPr>
              <w:adjustRightInd w:val="0"/>
              <w:snapToGrid w:val="0"/>
              <w:jc w:val="center"/>
              <w:rPr>
                <w:color w:val="auto"/>
                <w:szCs w:val="21"/>
                <w:highlight w:val="none"/>
              </w:rPr>
            </w:pPr>
            <w:r>
              <w:rPr>
                <w:color w:val="auto"/>
                <w:szCs w:val="21"/>
                <w:highlight w:val="none"/>
              </w:rPr>
              <w:t>NOx</w:t>
            </w:r>
          </w:p>
        </w:tc>
        <w:tc>
          <w:tcPr>
            <w:tcW w:w="279" w:type="pct"/>
            <w:noWrap w:val="0"/>
            <w:vAlign w:val="center"/>
          </w:tcPr>
          <w:p w14:paraId="03997FEA">
            <w:pPr>
              <w:jc w:val="center"/>
              <w:rPr>
                <w:rFonts w:hint="default" w:eastAsia="宋体"/>
                <w:color w:val="auto"/>
                <w:szCs w:val="21"/>
                <w:highlight w:val="none"/>
                <w:lang w:val="en-US" w:eastAsia="zh-CN"/>
              </w:rPr>
            </w:pPr>
            <w:r>
              <w:rPr>
                <w:rFonts w:hint="eastAsia"/>
                <w:color w:val="auto"/>
                <w:lang w:val="en-US" w:eastAsia="zh-CN"/>
              </w:rPr>
              <w:t>110</w:t>
            </w:r>
          </w:p>
        </w:tc>
        <w:tc>
          <w:tcPr>
            <w:tcW w:w="225" w:type="pct"/>
            <w:noWrap w:val="0"/>
            <w:vAlign w:val="center"/>
          </w:tcPr>
          <w:p w14:paraId="024009DA">
            <w:pPr>
              <w:jc w:val="center"/>
              <w:rPr>
                <w:rFonts w:hint="eastAsia"/>
                <w:color w:val="auto"/>
                <w:szCs w:val="21"/>
                <w:highlight w:val="none"/>
              </w:rPr>
            </w:pPr>
            <w:r>
              <w:rPr>
                <w:rFonts w:hint="eastAsia"/>
                <w:color w:val="auto"/>
                <w:lang w:val="en-US" w:eastAsia="zh-CN"/>
              </w:rPr>
              <w:t>0.233</w:t>
            </w:r>
          </w:p>
        </w:tc>
        <w:tc>
          <w:tcPr>
            <w:tcW w:w="229" w:type="pct"/>
            <w:noWrap w:val="0"/>
            <w:vAlign w:val="center"/>
          </w:tcPr>
          <w:p w14:paraId="19D82754">
            <w:pPr>
              <w:jc w:val="center"/>
              <w:rPr>
                <w:rFonts w:hint="eastAsia"/>
                <w:color w:val="auto"/>
                <w:szCs w:val="21"/>
                <w:highlight w:val="none"/>
              </w:rPr>
            </w:pPr>
            <w:r>
              <w:rPr>
                <w:rFonts w:hint="eastAsia"/>
                <w:color w:val="auto"/>
                <w:lang w:val="en-US" w:eastAsia="zh-CN"/>
              </w:rPr>
              <w:t>0.67</w:t>
            </w:r>
          </w:p>
        </w:tc>
        <w:tc>
          <w:tcPr>
            <w:tcW w:w="0" w:type="auto"/>
            <w:vMerge w:val="continue"/>
            <w:noWrap w:val="0"/>
            <w:vAlign w:val="center"/>
          </w:tcPr>
          <w:p w14:paraId="731EF79E">
            <w:pPr>
              <w:widowControl/>
              <w:jc w:val="left"/>
              <w:rPr>
                <w:color w:val="auto"/>
                <w:szCs w:val="21"/>
                <w:highlight w:val="none"/>
              </w:rPr>
            </w:pPr>
          </w:p>
        </w:tc>
        <w:tc>
          <w:tcPr>
            <w:tcW w:w="268" w:type="pct"/>
            <w:noWrap w:val="0"/>
            <w:vAlign w:val="center"/>
          </w:tcPr>
          <w:p w14:paraId="33A7FC19">
            <w:pPr>
              <w:jc w:val="center"/>
              <w:rPr>
                <w:color w:val="auto"/>
                <w:szCs w:val="21"/>
                <w:highlight w:val="none"/>
              </w:rPr>
            </w:pPr>
            <w:r>
              <w:rPr>
                <w:color w:val="auto"/>
                <w:szCs w:val="21"/>
                <w:highlight w:val="none"/>
              </w:rPr>
              <w:t>0</w:t>
            </w:r>
          </w:p>
        </w:tc>
        <w:tc>
          <w:tcPr>
            <w:tcW w:w="279" w:type="pct"/>
            <w:noWrap w:val="0"/>
            <w:vAlign w:val="center"/>
          </w:tcPr>
          <w:p w14:paraId="72F8A89E">
            <w:pPr>
              <w:jc w:val="center"/>
              <w:rPr>
                <w:rFonts w:hint="default" w:eastAsia="宋体"/>
                <w:color w:val="auto"/>
                <w:szCs w:val="21"/>
                <w:highlight w:val="none"/>
                <w:lang w:val="en-US" w:eastAsia="zh-CN"/>
              </w:rPr>
            </w:pPr>
            <w:r>
              <w:rPr>
                <w:rFonts w:hint="eastAsia"/>
                <w:color w:val="auto"/>
                <w:lang w:val="en-US" w:eastAsia="zh-CN"/>
              </w:rPr>
              <w:t>110</w:t>
            </w:r>
          </w:p>
        </w:tc>
        <w:tc>
          <w:tcPr>
            <w:tcW w:w="264" w:type="pct"/>
            <w:noWrap w:val="0"/>
            <w:vAlign w:val="center"/>
          </w:tcPr>
          <w:p w14:paraId="7EA4C0E7">
            <w:pPr>
              <w:jc w:val="center"/>
              <w:rPr>
                <w:rFonts w:hint="eastAsia"/>
                <w:color w:val="auto"/>
                <w:szCs w:val="21"/>
                <w:highlight w:val="none"/>
              </w:rPr>
            </w:pPr>
            <w:r>
              <w:rPr>
                <w:rFonts w:hint="eastAsia"/>
                <w:color w:val="auto"/>
                <w:lang w:val="en-US" w:eastAsia="zh-CN"/>
              </w:rPr>
              <w:t>0.233</w:t>
            </w:r>
          </w:p>
        </w:tc>
        <w:tc>
          <w:tcPr>
            <w:tcW w:w="265" w:type="pct"/>
            <w:noWrap w:val="0"/>
            <w:vAlign w:val="center"/>
          </w:tcPr>
          <w:p w14:paraId="19FBDF3C">
            <w:pPr>
              <w:jc w:val="center"/>
              <w:rPr>
                <w:rFonts w:hint="eastAsia"/>
                <w:color w:val="auto"/>
                <w:szCs w:val="21"/>
                <w:highlight w:val="none"/>
              </w:rPr>
            </w:pPr>
            <w:r>
              <w:rPr>
                <w:rFonts w:hint="eastAsia"/>
                <w:color w:val="auto"/>
                <w:lang w:val="en-US" w:eastAsia="zh-CN"/>
              </w:rPr>
              <w:t>0.67</w:t>
            </w:r>
          </w:p>
        </w:tc>
        <w:tc>
          <w:tcPr>
            <w:tcW w:w="143" w:type="pct"/>
            <w:vMerge w:val="continue"/>
            <w:noWrap w:val="0"/>
            <w:vAlign w:val="center"/>
          </w:tcPr>
          <w:p w14:paraId="4F1CC79F">
            <w:pPr>
              <w:widowControl/>
              <w:jc w:val="left"/>
              <w:rPr>
                <w:color w:val="auto"/>
                <w:szCs w:val="21"/>
                <w:highlight w:val="none"/>
              </w:rPr>
            </w:pPr>
          </w:p>
        </w:tc>
        <w:tc>
          <w:tcPr>
            <w:tcW w:w="139" w:type="pct"/>
            <w:vMerge w:val="continue"/>
            <w:noWrap w:val="0"/>
            <w:vAlign w:val="center"/>
          </w:tcPr>
          <w:p w14:paraId="6055C363">
            <w:pPr>
              <w:widowControl/>
              <w:jc w:val="left"/>
              <w:rPr>
                <w:color w:val="auto"/>
                <w:szCs w:val="21"/>
                <w:highlight w:val="none"/>
              </w:rPr>
            </w:pPr>
          </w:p>
        </w:tc>
        <w:tc>
          <w:tcPr>
            <w:tcW w:w="148" w:type="pct"/>
            <w:vMerge w:val="continue"/>
            <w:noWrap w:val="0"/>
            <w:vAlign w:val="center"/>
          </w:tcPr>
          <w:p w14:paraId="0BE74662">
            <w:pPr>
              <w:widowControl/>
              <w:jc w:val="left"/>
              <w:rPr>
                <w:color w:val="auto"/>
                <w:szCs w:val="21"/>
                <w:highlight w:val="none"/>
              </w:rPr>
            </w:pPr>
          </w:p>
        </w:tc>
        <w:tc>
          <w:tcPr>
            <w:tcW w:w="262" w:type="pct"/>
            <w:vMerge w:val="continue"/>
            <w:noWrap w:val="0"/>
            <w:vAlign w:val="center"/>
          </w:tcPr>
          <w:p w14:paraId="47ED465B">
            <w:pPr>
              <w:widowControl/>
              <w:jc w:val="left"/>
              <w:rPr>
                <w:color w:val="auto"/>
                <w:szCs w:val="21"/>
                <w:highlight w:val="none"/>
              </w:rPr>
            </w:pPr>
          </w:p>
        </w:tc>
      </w:tr>
      <w:tr w14:paraId="0566C7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340" w:hRule="atLeast"/>
          <w:jc w:val="center"/>
        </w:trPr>
        <w:tc>
          <w:tcPr>
            <w:tcW w:w="295" w:type="pct"/>
            <w:noWrap w:val="0"/>
            <w:vAlign w:val="center"/>
          </w:tcPr>
          <w:p w14:paraId="20AFE7E1">
            <w:pPr>
              <w:adjustRightInd w:val="0"/>
              <w:snapToGrid w:val="0"/>
              <w:jc w:val="center"/>
              <w:rPr>
                <w:color w:val="auto"/>
                <w:szCs w:val="21"/>
                <w:highlight w:val="none"/>
              </w:rPr>
            </w:pPr>
            <w:r>
              <w:rPr>
                <w:rFonts w:hint="eastAsia"/>
                <w:color w:val="auto"/>
                <w:szCs w:val="21"/>
                <w:highlight w:val="none"/>
              </w:rPr>
              <w:t>专用烟道排放</w:t>
            </w:r>
          </w:p>
        </w:tc>
        <w:tc>
          <w:tcPr>
            <w:tcW w:w="546" w:type="pct"/>
            <w:noWrap w:val="0"/>
            <w:vAlign w:val="center"/>
          </w:tcPr>
          <w:p w14:paraId="505E0C60">
            <w:pPr>
              <w:adjustRightInd w:val="0"/>
              <w:snapToGrid w:val="0"/>
              <w:jc w:val="center"/>
              <w:rPr>
                <w:rFonts w:hint="eastAsia" w:eastAsia="宋体"/>
                <w:color w:val="auto"/>
                <w:szCs w:val="21"/>
                <w:highlight w:val="none"/>
                <w:lang w:eastAsia="zh-CN"/>
              </w:rPr>
            </w:pPr>
            <w:r>
              <w:rPr>
                <w:color w:val="auto"/>
                <w:szCs w:val="21"/>
                <w:highlight w:val="none"/>
              </w:rPr>
              <w:t>DA00</w:t>
            </w:r>
            <w:r>
              <w:rPr>
                <w:rFonts w:hint="eastAsia"/>
                <w:color w:val="auto"/>
                <w:szCs w:val="21"/>
                <w:highlight w:val="none"/>
                <w:lang w:val="en-US" w:eastAsia="zh-CN"/>
              </w:rPr>
              <w:t>2</w:t>
            </w:r>
          </w:p>
        </w:tc>
        <w:tc>
          <w:tcPr>
            <w:tcW w:w="546" w:type="pct"/>
            <w:noWrap w:val="0"/>
            <w:vAlign w:val="center"/>
          </w:tcPr>
          <w:p w14:paraId="55EAE050">
            <w:pPr>
              <w:adjustRightInd w:val="0"/>
              <w:snapToGrid w:val="0"/>
              <w:jc w:val="center"/>
              <w:rPr>
                <w:color w:val="auto"/>
                <w:szCs w:val="21"/>
                <w:highlight w:val="none"/>
              </w:rPr>
            </w:pPr>
            <w:r>
              <w:rPr>
                <w:rFonts w:hint="eastAsia"/>
                <w:color w:val="auto"/>
                <w:szCs w:val="21"/>
                <w:highlight w:val="none"/>
              </w:rPr>
              <w:t>食堂</w:t>
            </w:r>
          </w:p>
        </w:tc>
        <w:tc>
          <w:tcPr>
            <w:tcW w:w="220" w:type="pct"/>
            <w:noWrap w:val="0"/>
            <w:vAlign w:val="center"/>
          </w:tcPr>
          <w:p w14:paraId="78C9D630">
            <w:pPr>
              <w:adjustRightInd w:val="0"/>
              <w:snapToGrid w:val="0"/>
              <w:jc w:val="center"/>
              <w:rPr>
                <w:color w:val="auto"/>
                <w:szCs w:val="21"/>
                <w:highlight w:val="none"/>
              </w:rPr>
            </w:pPr>
            <w:r>
              <w:rPr>
                <w:rFonts w:hint="eastAsia"/>
                <w:color w:val="auto"/>
                <w:szCs w:val="21"/>
                <w:highlight w:val="none"/>
              </w:rPr>
              <w:t>2</w:t>
            </w:r>
            <w:r>
              <w:rPr>
                <w:color w:val="auto"/>
                <w:szCs w:val="21"/>
                <w:highlight w:val="none"/>
              </w:rPr>
              <w:t>000</w:t>
            </w:r>
          </w:p>
        </w:tc>
        <w:tc>
          <w:tcPr>
            <w:tcW w:w="367" w:type="pct"/>
            <w:noWrap w:val="0"/>
            <w:vAlign w:val="center"/>
          </w:tcPr>
          <w:p w14:paraId="10C2A502">
            <w:pPr>
              <w:adjustRightInd w:val="0"/>
              <w:snapToGrid w:val="0"/>
              <w:jc w:val="center"/>
              <w:rPr>
                <w:color w:val="auto"/>
                <w:szCs w:val="21"/>
                <w:highlight w:val="none"/>
              </w:rPr>
            </w:pPr>
            <w:r>
              <w:rPr>
                <w:rFonts w:hint="eastAsia"/>
                <w:color w:val="auto"/>
                <w:szCs w:val="21"/>
                <w:highlight w:val="none"/>
              </w:rPr>
              <w:t>油烟</w:t>
            </w:r>
          </w:p>
        </w:tc>
        <w:tc>
          <w:tcPr>
            <w:tcW w:w="279" w:type="pct"/>
            <w:noWrap w:val="0"/>
            <w:vAlign w:val="center"/>
          </w:tcPr>
          <w:p w14:paraId="41535C59">
            <w:pPr>
              <w:jc w:val="center"/>
              <w:rPr>
                <w:rFonts w:hint="default" w:eastAsia="宋体"/>
                <w:color w:val="auto"/>
                <w:szCs w:val="21"/>
                <w:highlight w:val="none"/>
                <w:lang w:val="en-US" w:eastAsia="zh-CN"/>
              </w:rPr>
            </w:pPr>
            <w:r>
              <w:rPr>
                <w:rFonts w:hint="eastAsia"/>
                <w:color w:val="auto"/>
                <w:szCs w:val="21"/>
                <w:highlight w:val="none"/>
                <w:lang w:val="en-US" w:eastAsia="zh-CN"/>
              </w:rPr>
              <w:t>3.75</w:t>
            </w:r>
          </w:p>
        </w:tc>
        <w:tc>
          <w:tcPr>
            <w:tcW w:w="225" w:type="pct"/>
            <w:noWrap w:val="0"/>
            <w:vAlign w:val="center"/>
          </w:tcPr>
          <w:p w14:paraId="3786FBCD">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0.015</w:t>
            </w:r>
          </w:p>
        </w:tc>
        <w:tc>
          <w:tcPr>
            <w:tcW w:w="229" w:type="pct"/>
            <w:noWrap w:val="0"/>
            <w:vAlign w:val="center"/>
          </w:tcPr>
          <w:p w14:paraId="413C2480">
            <w:pPr>
              <w:jc w:val="center"/>
              <w:rPr>
                <w:rFonts w:hint="default" w:eastAsia="宋体"/>
                <w:color w:val="auto"/>
                <w:szCs w:val="21"/>
                <w:highlight w:val="none"/>
                <w:lang w:val="en-US" w:eastAsia="zh-CN"/>
              </w:rPr>
            </w:pPr>
            <w:r>
              <w:rPr>
                <w:rFonts w:hint="eastAsia"/>
                <w:color w:val="auto"/>
                <w:szCs w:val="21"/>
                <w:highlight w:val="none"/>
                <w:lang w:val="en-US" w:eastAsia="zh-CN"/>
              </w:rPr>
              <w:t>0.0219</w:t>
            </w:r>
          </w:p>
        </w:tc>
        <w:tc>
          <w:tcPr>
            <w:tcW w:w="521" w:type="pct"/>
            <w:noWrap w:val="0"/>
            <w:vAlign w:val="center"/>
          </w:tcPr>
          <w:p w14:paraId="7244A076">
            <w:pPr>
              <w:adjustRightInd w:val="0"/>
              <w:snapToGrid w:val="0"/>
              <w:jc w:val="center"/>
              <w:rPr>
                <w:color w:val="auto"/>
                <w:szCs w:val="21"/>
                <w:highlight w:val="none"/>
              </w:rPr>
            </w:pPr>
            <w:r>
              <w:rPr>
                <w:rFonts w:hint="eastAsia"/>
                <w:color w:val="auto"/>
                <w:szCs w:val="21"/>
                <w:highlight w:val="none"/>
              </w:rPr>
              <w:t>油烟净化装置</w:t>
            </w:r>
          </w:p>
        </w:tc>
        <w:tc>
          <w:tcPr>
            <w:tcW w:w="268" w:type="pct"/>
            <w:noWrap w:val="0"/>
            <w:vAlign w:val="center"/>
          </w:tcPr>
          <w:p w14:paraId="400B8973">
            <w:pPr>
              <w:jc w:val="center"/>
              <w:rPr>
                <w:rFonts w:hint="default" w:eastAsia="宋体"/>
                <w:color w:val="auto"/>
                <w:szCs w:val="21"/>
                <w:highlight w:val="none"/>
                <w:lang w:val="en-US" w:eastAsia="zh-CN"/>
              </w:rPr>
            </w:pPr>
            <w:r>
              <w:rPr>
                <w:rFonts w:hint="eastAsia"/>
                <w:color w:val="auto"/>
                <w:szCs w:val="21"/>
                <w:highlight w:val="none"/>
                <w:lang w:val="en-US" w:eastAsia="zh-CN"/>
              </w:rPr>
              <w:t>60</w:t>
            </w:r>
          </w:p>
        </w:tc>
        <w:tc>
          <w:tcPr>
            <w:tcW w:w="279" w:type="pct"/>
            <w:noWrap w:val="0"/>
            <w:vAlign w:val="center"/>
          </w:tcPr>
          <w:p w14:paraId="7BA7FC57">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1.4</w:t>
            </w:r>
          </w:p>
        </w:tc>
        <w:tc>
          <w:tcPr>
            <w:tcW w:w="264" w:type="pct"/>
            <w:noWrap w:val="0"/>
            <w:vAlign w:val="center"/>
          </w:tcPr>
          <w:p w14:paraId="54BD27AA">
            <w:pPr>
              <w:jc w:val="center"/>
              <w:rPr>
                <w:rFonts w:hint="default" w:eastAsia="宋体"/>
                <w:color w:val="auto"/>
                <w:szCs w:val="21"/>
                <w:highlight w:val="none"/>
                <w:lang w:val="en-US" w:eastAsia="zh-CN"/>
              </w:rPr>
            </w:pPr>
            <w:r>
              <w:rPr>
                <w:rFonts w:hint="eastAsia"/>
                <w:color w:val="auto"/>
                <w:szCs w:val="21"/>
                <w:highlight w:val="none"/>
                <w:lang w:val="en-US" w:eastAsia="zh-CN"/>
              </w:rPr>
              <w:t>0.006</w:t>
            </w:r>
          </w:p>
        </w:tc>
        <w:tc>
          <w:tcPr>
            <w:tcW w:w="265" w:type="pct"/>
            <w:noWrap w:val="0"/>
            <w:vAlign w:val="center"/>
          </w:tcPr>
          <w:p w14:paraId="5E3D40AE">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0.00876</w:t>
            </w:r>
          </w:p>
        </w:tc>
        <w:tc>
          <w:tcPr>
            <w:tcW w:w="430" w:type="pct"/>
            <w:gridSpan w:val="3"/>
            <w:noWrap w:val="0"/>
            <w:vAlign w:val="center"/>
          </w:tcPr>
          <w:p w14:paraId="4D0C883E">
            <w:pPr>
              <w:adjustRightInd w:val="0"/>
              <w:snapToGrid w:val="0"/>
              <w:jc w:val="center"/>
              <w:rPr>
                <w:color w:val="auto"/>
                <w:szCs w:val="21"/>
                <w:highlight w:val="none"/>
              </w:rPr>
            </w:pPr>
            <w:r>
              <w:rPr>
                <w:rFonts w:hint="eastAsia"/>
                <w:color w:val="auto"/>
                <w:szCs w:val="21"/>
                <w:highlight w:val="none"/>
              </w:rPr>
              <w:t>专用烟道</w:t>
            </w:r>
          </w:p>
          <w:p w14:paraId="495872B5">
            <w:pPr>
              <w:adjustRightInd w:val="0"/>
              <w:snapToGrid w:val="0"/>
              <w:jc w:val="center"/>
              <w:rPr>
                <w:color w:val="auto"/>
                <w:szCs w:val="21"/>
                <w:highlight w:val="none"/>
              </w:rPr>
            </w:pPr>
            <w:r>
              <w:rPr>
                <w:rFonts w:hint="eastAsia"/>
                <w:color w:val="auto"/>
                <w:szCs w:val="21"/>
                <w:highlight w:val="none"/>
              </w:rPr>
              <w:t>屋顶排放</w:t>
            </w:r>
          </w:p>
        </w:tc>
        <w:tc>
          <w:tcPr>
            <w:tcW w:w="262" w:type="pct"/>
            <w:noWrap w:val="0"/>
            <w:vAlign w:val="center"/>
          </w:tcPr>
          <w:p w14:paraId="0570699A">
            <w:pPr>
              <w:adjustRightInd w:val="0"/>
              <w:snapToGrid w:val="0"/>
              <w:jc w:val="center"/>
              <w:rPr>
                <w:color w:val="auto"/>
                <w:szCs w:val="21"/>
                <w:highlight w:val="none"/>
              </w:rPr>
            </w:pPr>
            <w:r>
              <w:rPr>
                <w:color w:val="auto"/>
                <w:szCs w:val="21"/>
                <w:highlight w:val="none"/>
              </w:rPr>
              <w:t>1095</w:t>
            </w:r>
          </w:p>
        </w:tc>
      </w:tr>
    </w:tbl>
    <w:p w14:paraId="64AA3E12">
      <w:pPr>
        <w:adjustRightInd w:val="0"/>
        <w:snapToGrid w:val="0"/>
        <w:spacing w:line="360" w:lineRule="auto"/>
        <w:ind w:firstLine="480" w:firstLineChars="200"/>
        <w:rPr>
          <w:color w:val="auto"/>
          <w:sz w:val="24"/>
          <w:highlight w:val="none"/>
        </w:rPr>
      </w:pPr>
      <w:r>
        <w:rPr>
          <w:rFonts w:hint="eastAsia"/>
          <w:color w:val="auto"/>
          <w:sz w:val="24"/>
          <w:highlight w:val="none"/>
        </w:rPr>
        <w:t>无组织排放情况具体见表</w:t>
      </w:r>
      <w:r>
        <w:rPr>
          <w:rFonts w:hint="eastAsia"/>
          <w:color w:val="auto"/>
          <w:sz w:val="24"/>
          <w:highlight w:val="none"/>
          <w:lang w:val="en-US" w:eastAsia="zh-CN"/>
        </w:rPr>
        <w:t>3.4-12</w:t>
      </w:r>
      <w:r>
        <w:rPr>
          <w:rFonts w:hint="eastAsia"/>
          <w:color w:val="auto"/>
          <w:sz w:val="24"/>
          <w:highlight w:val="none"/>
        </w:rPr>
        <w:t>。</w:t>
      </w:r>
    </w:p>
    <w:p w14:paraId="7994907B">
      <w:pPr>
        <w:adjustRightInd w:val="0"/>
        <w:snapToGrid w:val="0"/>
        <w:jc w:val="center"/>
        <w:rPr>
          <w:b/>
          <w:color w:val="auto"/>
          <w:szCs w:val="20"/>
          <w:highlight w:val="none"/>
        </w:rPr>
      </w:pPr>
      <w:r>
        <w:rPr>
          <w:rFonts w:hint="eastAsia"/>
          <w:b/>
          <w:color w:val="auto"/>
          <w:highlight w:val="none"/>
        </w:rPr>
        <w:t>表</w:t>
      </w:r>
      <w:r>
        <w:rPr>
          <w:rFonts w:hint="eastAsia"/>
          <w:b/>
          <w:color w:val="auto"/>
          <w:highlight w:val="none"/>
          <w:lang w:val="en-US" w:eastAsia="zh-CN"/>
        </w:rPr>
        <w:t>3.4-12</w:t>
      </w:r>
      <w:r>
        <w:rPr>
          <w:rFonts w:hint="eastAsia"/>
          <w:b/>
          <w:color w:val="auto"/>
          <w:highlight w:val="none"/>
        </w:rPr>
        <w:t xml:space="preserve"> </w:t>
      </w:r>
      <w:r>
        <w:rPr>
          <w:b/>
          <w:color w:val="auto"/>
          <w:highlight w:val="none"/>
        </w:rPr>
        <w:t xml:space="preserve">  </w:t>
      </w:r>
      <w:r>
        <w:rPr>
          <w:rFonts w:hint="eastAsia"/>
          <w:b/>
          <w:color w:val="auto"/>
          <w:highlight w:val="none"/>
        </w:rPr>
        <w:t>无组织废气排放情况</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9"/>
        <w:gridCol w:w="900"/>
        <w:gridCol w:w="1096"/>
        <w:gridCol w:w="1145"/>
        <w:gridCol w:w="5117"/>
        <w:gridCol w:w="1033"/>
        <w:gridCol w:w="1094"/>
        <w:gridCol w:w="1098"/>
        <w:gridCol w:w="720"/>
        <w:gridCol w:w="930"/>
      </w:tblGrid>
      <w:tr w14:paraId="2B053B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2" w:hRule="atLeast"/>
          <w:jc w:val="center"/>
        </w:trPr>
        <w:tc>
          <w:tcPr>
            <w:tcW w:w="879" w:type="dxa"/>
            <w:vMerge w:val="restart"/>
            <w:noWrap w:val="0"/>
            <w:vAlign w:val="center"/>
          </w:tcPr>
          <w:p w14:paraId="45459E33">
            <w:pPr>
              <w:adjustRightInd w:val="0"/>
              <w:snapToGrid w:val="0"/>
              <w:jc w:val="center"/>
              <w:rPr>
                <w:b/>
                <w:color w:val="auto"/>
                <w:highlight w:val="none"/>
              </w:rPr>
            </w:pPr>
            <w:r>
              <w:rPr>
                <w:rFonts w:hint="eastAsia"/>
                <w:b/>
                <w:color w:val="auto"/>
                <w:highlight w:val="none"/>
              </w:rPr>
              <w:t>污染源位置</w:t>
            </w:r>
          </w:p>
        </w:tc>
        <w:tc>
          <w:tcPr>
            <w:tcW w:w="900" w:type="dxa"/>
            <w:vMerge w:val="restart"/>
            <w:noWrap w:val="0"/>
            <w:vAlign w:val="center"/>
          </w:tcPr>
          <w:p w14:paraId="0E626719">
            <w:pPr>
              <w:adjustRightInd w:val="0"/>
              <w:snapToGrid w:val="0"/>
              <w:jc w:val="center"/>
              <w:rPr>
                <w:b/>
                <w:color w:val="auto"/>
                <w:highlight w:val="none"/>
              </w:rPr>
            </w:pPr>
            <w:r>
              <w:rPr>
                <w:rFonts w:hint="eastAsia"/>
                <w:b/>
                <w:color w:val="auto"/>
                <w:highlight w:val="none"/>
              </w:rPr>
              <w:t>污染物名称</w:t>
            </w:r>
          </w:p>
        </w:tc>
        <w:tc>
          <w:tcPr>
            <w:tcW w:w="1096" w:type="dxa"/>
            <w:vMerge w:val="restart"/>
            <w:noWrap w:val="0"/>
            <w:vAlign w:val="center"/>
          </w:tcPr>
          <w:p w14:paraId="28CCADA1">
            <w:pPr>
              <w:autoSpaceDE w:val="0"/>
              <w:autoSpaceDN w:val="0"/>
              <w:adjustRightInd w:val="0"/>
              <w:jc w:val="center"/>
              <w:rPr>
                <w:b/>
                <w:color w:val="auto"/>
                <w:highlight w:val="none"/>
              </w:rPr>
            </w:pPr>
            <w:r>
              <w:rPr>
                <w:rFonts w:hint="eastAsia"/>
                <w:b/>
                <w:color w:val="auto"/>
                <w:szCs w:val="21"/>
                <w:highlight w:val="none"/>
              </w:rPr>
              <w:t>产生速率（</w:t>
            </w:r>
            <w:r>
              <w:rPr>
                <w:b/>
                <w:color w:val="auto"/>
                <w:szCs w:val="21"/>
                <w:highlight w:val="none"/>
              </w:rPr>
              <w:t>kg/h</w:t>
            </w:r>
            <w:r>
              <w:rPr>
                <w:rFonts w:hint="eastAsia"/>
                <w:b/>
                <w:color w:val="auto"/>
                <w:szCs w:val="21"/>
                <w:highlight w:val="none"/>
              </w:rPr>
              <w:t>）</w:t>
            </w:r>
          </w:p>
        </w:tc>
        <w:tc>
          <w:tcPr>
            <w:tcW w:w="1145" w:type="dxa"/>
            <w:vMerge w:val="restart"/>
            <w:noWrap w:val="0"/>
            <w:vAlign w:val="center"/>
          </w:tcPr>
          <w:p w14:paraId="39615066">
            <w:pPr>
              <w:autoSpaceDE w:val="0"/>
              <w:autoSpaceDN w:val="0"/>
              <w:adjustRightInd w:val="0"/>
              <w:rPr>
                <w:b/>
                <w:color w:val="auto"/>
                <w:highlight w:val="none"/>
              </w:rPr>
            </w:pPr>
            <w:r>
              <w:rPr>
                <w:rFonts w:hint="eastAsia"/>
                <w:b/>
                <w:color w:val="auto"/>
                <w:szCs w:val="21"/>
                <w:highlight w:val="none"/>
              </w:rPr>
              <w:t>年产生量（</w:t>
            </w:r>
            <w:r>
              <w:rPr>
                <w:b/>
                <w:color w:val="auto"/>
                <w:szCs w:val="21"/>
                <w:highlight w:val="none"/>
              </w:rPr>
              <w:t>t/a</w:t>
            </w:r>
            <w:r>
              <w:rPr>
                <w:rFonts w:hint="eastAsia"/>
                <w:b/>
                <w:color w:val="auto"/>
                <w:szCs w:val="21"/>
                <w:highlight w:val="none"/>
              </w:rPr>
              <w:t>）</w:t>
            </w:r>
          </w:p>
        </w:tc>
        <w:tc>
          <w:tcPr>
            <w:tcW w:w="5117" w:type="dxa"/>
            <w:vMerge w:val="restart"/>
            <w:noWrap w:val="0"/>
            <w:vAlign w:val="center"/>
          </w:tcPr>
          <w:p w14:paraId="04CF8C72">
            <w:pPr>
              <w:adjustRightInd w:val="0"/>
              <w:snapToGrid w:val="0"/>
              <w:jc w:val="center"/>
              <w:rPr>
                <w:b/>
                <w:color w:val="auto"/>
                <w:highlight w:val="none"/>
              </w:rPr>
            </w:pPr>
            <w:r>
              <w:rPr>
                <w:rFonts w:hint="eastAsia"/>
                <w:b/>
                <w:color w:val="auto"/>
                <w:highlight w:val="none"/>
              </w:rPr>
              <w:t>采取的措施</w:t>
            </w:r>
          </w:p>
        </w:tc>
        <w:tc>
          <w:tcPr>
            <w:tcW w:w="1033" w:type="dxa"/>
            <w:vMerge w:val="restart"/>
            <w:noWrap w:val="0"/>
            <w:vAlign w:val="center"/>
          </w:tcPr>
          <w:p w14:paraId="082DC402">
            <w:pPr>
              <w:adjustRightInd w:val="0"/>
              <w:snapToGrid w:val="0"/>
              <w:jc w:val="center"/>
              <w:rPr>
                <w:b/>
                <w:color w:val="auto"/>
                <w:highlight w:val="none"/>
              </w:rPr>
            </w:pPr>
            <w:r>
              <w:rPr>
                <w:rFonts w:hint="eastAsia"/>
                <w:b/>
                <w:color w:val="auto"/>
                <w:highlight w:val="none"/>
              </w:rPr>
              <w:t>处理效率（</w:t>
            </w:r>
            <w:r>
              <w:rPr>
                <w:b/>
                <w:color w:val="auto"/>
                <w:highlight w:val="none"/>
              </w:rPr>
              <w:t>%</w:t>
            </w:r>
            <w:r>
              <w:rPr>
                <w:rFonts w:hint="eastAsia"/>
                <w:b/>
                <w:color w:val="auto"/>
                <w:highlight w:val="none"/>
              </w:rPr>
              <w:t>）</w:t>
            </w:r>
          </w:p>
        </w:tc>
        <w:tc>
          <w:tcPr>
            <w:tcW w:w="1094" w:type="dxa"/>
            <w:vMerge w:val="restart"/>
            <w:noWrap w:val="0"/>
            <w:vAlign w:val="center"/>
          </w:tcPr>
          <w:p w14:paraId="46EEB5BE">
            <w:pPr>
              <w:autoSpaceDE w:val="0"/>
              <w:autoSpaceDN w:val="0"/>
              <w:adjustRightInd w:val="0"/>
              <w:jc w:val="center"/>
              <w:rPr>
                <w:b/>
                <w:color w:val="auto"/>
                <w:highlight w:val="none"/>
              </w:rPr>
            </w:pPr>
            <w:r>
              <w:rPr>
                <w:rFonts w:hint="eastAsia"/>
                <w:b/>
                <w:color w:val="auto"/>
                <w:szCs w:val="21"/>
                <w:highlight w:val="none"/>
              </w:rPr>
              <w:t>排放速率（</w:t>
            </w:r>
            <w:r>
              <w:rPr>
                <w:b/>
                <w:color w:val="auto"/>
                <w:szCs w:val="21"/>
                <w:highlight w:val="none"/>
              </w:rPr>
              <w:t>kg/h</w:t>
            </w:r>
            <w:r>
              <w:rPr>
                <w:rFonts w:hint="eastAsia"/>
                <w:b/>
                <w:color w:val="auto"/>
                <w:szCs w:val="21"/>
                <w:highlight w:val="none"/>
              </w:rPr>
              <w:t>）</w:t>
            </w:r>
          </w:p>
        </w:tc>
        <w:tc>
          <w:tcPr>
            <w:tcW w:w="1098" w:type="dxa"/>
            <w:vMerge w:val="restart"/>
            <w:noWrap w:val="0"/>
            <w:vAlign w:val="center"/>
          </w:tcPr>
          <w:p w14:paraId="2E8F061D">
            <w:pPr>
              <w:autoSpaceDE w:val="0"/>
              <w:autoSpaceDN w:val="0"/>
              <w:adjustRightInd w:val="0"/>
              <w:jc w:val="center"/>
              <w:rPr>
                <w:b/>
                <w:color w:val="auto"/>
                <w:highlight w:val="none"/>
              </w:rPr>
            </w:pPr>
            <w:r>
              <w:rPr>
                <w:rFonts w:hint="eastAsia"/>
                <w:b/>
                <w:color w:val="auto"/>
                <w:szCs w:val="21"/>
                <w:highlight w:val="none"/>
              </w:rPr>
              <w:t>年排放量（</w:t>
            </w:r>
            <w:r>
              <w:rPr>
                <w:b/>
                <w:color w:val="auto"/>
                <w:szCs w:val="21"/>
                <w:highlight w:val="none"/>
              </w:rPr>
              <w:t>t/a</w:t>
            </w:r>
            <w:r>
              <w:rPr>
                <w:rFonts w:hint="eastAsia"/>
                <w:b/>
                <w:color w:val="auto"/>
                <w:szCs w:val="21"/>
                <w:highlight w:val="none"/>
              </w:rPr>
              <w:t>）</w:t>
            </w:r>
          </w:p>
        </w:tc>
        <w:tc>
          <w:tcPr>
            <w:tcW w:w="1650" w:type="dxa"/>
            <w:gridSpan w:val="2"/>
            <w:noWrap w:val="0"/>
            <w:vAlign w:val="center"/>
          </w:tcPr>
          <w:p w14:paraId="712E0384">
            <w:pPr>
              <w:adjustRightInd w:val="0"/>
              <w:snapToGrid w:val="0"/>
              <w:jc w:val="center"/>
              <w:rPr>
                <w:b/>
                <w:color w:val="auto"/>
                <w:highlight w:val="none"/>
              </w:rPr>
            </w:pPr>
            <w:r>
              <w:rPr>
                <w:rFonts w:hint="eastAsia"/>
                <w:b/>
                <w:color w:val="auto"/>
                <w:highlight w:val="none"/>
              </w:rPr>
              <w:t>污染源参数</w:t>
            </w:r>
          </w:p>
        </w:tc>
      </w:tr>
      <w:tr w14:paraId="3AD14A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4" w:hRule="atLeast"/>
          <w:jc w:val="center"/>
        </w:trPr>
        <w:tc>
          <w:tcPr>
            <w:tcW w:w="0" w:type="auto"/>
            <w:vMerge w:val="continue"/>
            <w:noWrap w:val="0"/>
            <w:vAlign w:val="center"/>
          </w:tcPr>
          <w:p w14:paraId="16007EC2">
            <w:pPr>
              <w:widowControl/>
              <w:jc w:val="left"/>
              <w:rPr>
                <w:b/>
                <w:color w:val="auto"/>
                <w:highlight w:val="none"/>
              </w:rPr>
            </w:pPr>
          </w:p>
        </w:tc>
        <w:tc>
          <w:tcPr>
            <w:tcW w:w="0" w:type="auto"/>
            <w:vMerge w:val="continue"/>
            <w:noWrap w:val="0"/>
            <w:vAlign w:val="center"/>
          </w:tcPr>
          <w:p w14:paraId="255442A1">
            <w:pPr>
              <w:widowControl/>
              <w:jc w:val="left"/>
              <w:rPr>
                <w:b/>
                <w:color w:val="auto"/>
                <w:highlight w:val="none"/>
              </w:rPr>
            </w:pPr>
          </w:p>
        </w:tc>
        <w:tc>
          <w:tcPr>
            <w:tcW w:w="0" w:type="auto"/>
            <w:vMerge w:val="continue"/>
            <w:noWrap w:val="0"/>
            <w:vAlign w:val="center"/>
          </w:tcPr>
          <w:p w14:paraId="2234756F">
            <w:pPr>
              <w:widowControl/>
              <w:jc w:val="left"/>
              <w:rPr>
                <w:b/>
                <w:color w:val="auto"/>
                <w:highlight w:val="none"/>
              </w:rPr>
            </w:pPr>
          </w:p>
        </w:tc>
        <w:tc>
          <w:tcPr>
            <w:tcW w:w="0" w:type="auto"/>
            <w:vMerge w:val="continue"/>
            <w:noWrap w:val="0"/>
            <w:vAlign w:val="center"/>
          </w:tcPr>
          <w:p w14:paraId="15048030">
            <w:pPr>
              <w:widowControl/>
              <w:jc w:val="left"/>
              <w:rPr>
                <w:b/>
                <w:color w:val="auto"/>
                <w:highlight w:val="none"/>
              </w:rPr>
            </w:pPr>
          </w:p>
        </w:tc>
        <w:tc>
          <w:tcPr>
            <w:tcW w:w="0" w:type="auto"/>
            <w:vMerge w:val="continue"/>
            <w:noWrap w:val="0"/>
            <w:vAlign w:val="center"/>
          </w:tcPr>
          <w:p w14:paraId="5C4B0CB4">
            <w:pPr>
              <w:widowControl/>
              <w:jc w:val="left"/>
              <w:rPr>
                <w:b/>
                <w:color w:val="auto"/>
                <w:highlight w:val="none"/>
              </w:rPr>
            </w:pPr>
          </w:p>
        </w:tc>
        <w:tc>
          <w:tcPr>
            <w:tcW w:w="0" w:type="auto"/>
            <w:vMerge w:val="continue"/>
            <w:noWrap w:val="0"/>
            <w:vAlign w:val="center"/>
          </w:tcPr>
          <w:p w14:paraId="06BA0766">
            <w:pPr>
              <w:widowControl/>
              <w:jc w:val="left"/>
              <w:rPr>
                <w:b/>
                <w:color w:val="auto"/>
                <w:highlight w:val="none"/>
              </w:rPr>
            </w:pPr>
          </w:p>
        </w:tc>
        <w:tc>
          <w:tcPr>
            <w:tcW w:w="0" w:type="auto"/>
            <w:vMerge w:val="continue"/>
            <w:noWrap w:val="0"/>
            <w:vAlign w:val="center"/>
          </w:tcPr>
          <w:p w14:paraId="3726A716">
            <w:pPr>
              <w:widowControl/>
              <w:jc w:val="left"/>
              <w:rPr>
                <w:b/>
                <w:color w:val="auto"/>
                <w:highlight w:val="none"/>
              </w:rPr>
            </w:pPr>
          </w:p>
        </w:tc>
        <w:tc>
          <w:tcPr>
            <w:tcW w:w="0" w:type="auto"/>
            <w:vMerge w:val="continue"/>
            <w:noWrap w:val="0"/>
            <w:vAlign w:val="center"/>
          </w:tcPr>
          <w:p w14:paraId="5B50D6B0">
            <w:pPr>
              <w:widowControl/>
              <w:jc w:val="left"/>
              <w:rPr>
                <w:b/>
                <w:color w:val="auto"/>
                <w:highlight w:val="none"/>
              </w:rPr>
            </w:pPr>
          </w:p>
        </w:tc>
        <w:tc>
          <w:tcPr>
            <w:tcW w:w="720" w:type="dxa"/>
            <w:noWrap w:val="0"/>
            <w:vAlign w:val="center"/>
          </w:tcPr>
          <w:p w14:paraId="599637F0">
            <w:pPr>
              <w:adjustRightInd w:val="0"/>
              <w:snapToGrid w:val="0"/>
              <w:jc w:val="center"/>
              <w:rPr>
                <w:b/>
                <w:color w:val="auto"/>
                <w:highlight w:val="none"/>
              </w:rPr>
            </w:pPr>
            <w:r>
              <w:rPr>
                <w:rFonts w:hint="eastAsia"/>
                <w:b/>
                <w:color w:val="auto"/>
                <w:highlight w:val="none"/>
              </w:rPr>
              <w:t>高度（</w:t>
            </w:r>
            <w:r>
              <w:rPr>
                <w:b/>
                <w:color w:val="auto"/>
                <w:highlight w:val="none"/>
              </w:rPr>
              <w:t>m</w:t>
            </w:r>
            <w:r>
              <w:rPr>
                <w:rFonts w:hint="eastAsia"/>
                <w:b/>
                <w:color w:val="auto"/>
                <w:highlight w:val="none"/>
              </w:rPr>
              <w:t>）</w:t>
            </w:r>
          </w:p>
        </w:tc>
        <w:tc>
          <w:tcPr>
            <w:tcW w:w="930" w:type="dxa"/>
            <w:noWrap w:val="0"/>
            <w:vAlign w:val="center"/>
          </w:tcPr>
          <w:p w14:paraId="53298243">
            <w:pPr>
              <w:adjustRightInd w:val="0"/>
              <w:snapToGrid w:val="0"/>
              <w:jc w:val="center"/>
              <w:rPr>
                <w:b/>
                <w:color w:val="auto"/>
                <w:highlight w:val="none"/>
              </w:rPr>
            </w:pPr>
            <w:r>
              <w:rPr>
                <w:rFonts w:hint="eastAsia"/>
                <w:b/>
                <w:color w:val="auto"/>
                <w:highlight w:val="none"/>
              </w:rPr>
              <w:t>长×宽（</w:t>
            </w:r>
            <w:r>
              <w:rPr>
                <w:b/>
                <w:color w:val="auto"/>
                <w:highlight w:val="none"/>
              </w:rPr>
              <w:t>m</w:t>
            </w:r>
            <w:r>
              <w:rPr>
                <w:rFonts w:hint="eastAsia"/>
                <w:b/>
                <w:color w:val="auto"/>
                <w:highlight w:val="none"/>
              </w:rPr>
              <w:t>）</w:t>
            </w:r>
          </w:p>
        </w:tc>
      </w:tr>
      <w:tr w14:paraId="3B56AAB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879" w:type="dxa"/>
            <w:vMerge w:val="restart"/>
            <w:noWrap w:val="0"/>
            <w:vAlign w:val="center"/>
          </w:tcPr>
          <w:p w14:paraId="5F4E97F6">
            <w:pPr>
              <w:adjustRightInd w:val="0"/>
              <w:snapToGrid w:val="0"/>
              <w:jc w:val="center"/>
              <w:rPr>
                <w:color w:val="auto"/>
                <w:szCs w:val="21"/>
                <w:highlight w:val="none"/>
              </w:rPr>
            </w:pPr>
            <w:r>
              <w:rPr>
                <w:rFonts w:hint="eastAsia"/>
                <w:color w:val="auto"/>
                <w:szCs w:val="21"/>
                <w:highlight w:val="none"/>
              </w:rPr>
              <w:t>鸡舍</w:t>
            </w:r>
          </w:p>
        </w:tc>
        <w:tc>
          <w:tcPr>
            <w:tcW w:w="900" w:type="dxa"/>
            <w:noWrap w:val="0"/>
            <w:vAlign w:val="center"/>
          </w:tcPr>
          <w:p w14:paraId="0BA57503">
            <w:pPr>
              <w:autoSpaceDE w:val="0"/>
              <w:autoSpaceDN w:val="0"/>
              <w:adjustRightInd w:val="0"/>
              <w:jc w:val="center"/>
              <w:rPr>
                <w:color w:val="auto"/>
                <w:szCs w:val="21"/>
                <w:highlight w:val="none"/>
              </w:rPr>
            </w:pPr>
            <w:r>
              <w:rPr>
                <w:color w:val="auto"/>
                <w:szCs w:val="21"/>
                <w:highlight w:val="none"/>
              </w:rPr>
              <w:t>NH</w:t>
            </w:r>
            <w:r>
              <w:rPr>
                <w:color w:val="auto"/>
                <w:szCs w:val="21"/>
                <w:highlight w:val="none"/>
                <w:vertAlign w:val="subscript"/>
              </w:rPr>
              <w:t>3</w:t>
            </w:r>
          </w:p>
        </w:tc>
        <w:tc>
          <w:tcPr>
            <w:tcW w:w="1096" w:type="dxa"/>
            <w:noWrap w:val="0"/>
            <w:vAlign w:val="center"/>
          </w:tcPr>
          <w:p w14:paraId="241B94CD">
            <w:pPr>
              <w:autoSpaceDE w:val="0"/>
              <w:autoSpaceDN w:val="0"/>
              <w:adjustRightInd w:val="0"/>
              <w:jc w:val="center"/>
              <w:rPr>
                <w:rFonts w:hint="eastAsia"/>
                <w:color w:val="auto"/>
                <w:szCs w:val="21"/>
                <w:highlight w:val="none"/>
              </w:rPr>
            </w:pPr>
            <w:r>
              <w:rPr>
                <w:color w:val="auto"/>
                <w:szCs w:val="21"/>
                <w:highlight w:val="none"/>
              </w:rPr>
              <w:t>0.025</w:t>
            </w:r>
          </w:p>
        </w:tc>
        <w:tc>
          <w:tcPr>
            <w:tcW w:w="1145" w:type="dxa"/>
            <w:noWrap w:val="0"/>
            <w:vAlign w:val="center"/>
          </w:tcPr>
          <w:p w14:paraId="626800F2">
            <w:pPr>
              <w:autoSpaceDE w:val="0"/>
              <w:autoSpaceDN w:val="0"/>
              <w:adjustRightInd w:val="0"/>
              <w:jc w:val="center"/>
              <w:rPr>
                <w:rFonts w:hint="eastAsia"/>
                <w:color w:val="auto"/>
                <w:szCs w:val="21"/>
                <w:highlight w:val="none"/>
              </w:rPr>
            </w:pPr>
            <w:r>
              <w:rPr>
                <w:rFonts w:hint="eastAsia"/>
                <w:color w:val="auto"/>
                <w:szCs w:val="21"/>
                <w:highlight w:val="none"/>
              </w:rPr>
              <w:t>0.219</w:t>
            </w:r>
          </w:p>
        </w:tc>
        <w:tc>
          <w:tcPr>
            <w:tcW w:w="5117" w:type="dxa"/>
            <w:vMerge w:val="restart"/>
            <w:noWrap w:val="0"/>
            <w:vAlign w:val="center"/>
          </w:tcPr>
          <w:p w14:paraId="16935CDE">
            <w:pPr>
              <w:adjustRightInd w:val="0"/>
              <w:snapToGrid w:val="0"/>
              <w:jc w:val="center"/>
              <w:rPr>
                <w:color w:val="auto"/>
                <w:highlight w:val="none"/>
              </w:rPr>
            </w:pPr>
            <w:r>
              <w:rPr>
                <w:rFonts w:hint="eastAsia"/>
                <w:color w:val="auto"/>
                <w:szCs w:val="21"/>
                <w:highlight w:val="none"/>
              </w:rPr>
              <w:t>选用益生菌配方饲料，及时清理粪便，定期喷洒除臭剂</w:t>
            </w:r>
          </w:p>
        </w:tc>
        <w:tc>
          <w:tcPr>
            <w:tcW w:w="1033" w:type="dxa"/>
            <w:vMerge w:val="restart"/>
            <w:noWrap w:val="0"/>
            <w:vAlign w:val="center"/>
          </w:tcPr>
          <w:p w14:paraId="1A4C5B35">
            <w:pPr>
              <w:adjustRightInd w:val="0"/>
              <w:snapToGrid w:val="0"/>
              <w:jc w:val="center"/>
              <w:rPr>
                <w:rFonts w:hint="default" w:eastAsia="宋体"/>
                <w:color w:val="auto"/>
                <w:highlight w:val="none"/>
                <w:lang w:val="en-US" w:eastAsia="zh-CN"/>
              </w:rPr>
            </w:pPr>
            <w:r>
              <w:rPr>
                <w:rFonts w:hint="eastAsia"/>
                <w:color w:val="auto"/>
                <w:highlight w:val="none"/>
                <w:lang w:val="en-US" w:eastAsia="zh-CN"/>
              </w:rPr>
              <w:t>80</w:t>
            </w:r>
          </w:p>
        </w:tc>
        <w:tc>
          <w:tcPr>
            <w:tcW w:w="1094" w:type="dxa"/>
            <w:noWrap w:val="0"/>
            <w:vAlign w:val="center"/>
          </w:tcPr>
          <w:p w14:paraId="3A19C885">
            <w:pPr>
              <w:widowControl/>
              <w:jc w:val="center"/>
              <w:textAlignment w:val="center"/>
              <w:rPr>
                <w:rFonts w:hint="eastAsia"/>
                <w:color w:val="auto"/>
                <w:szCs w:val="21"/>
                <w:highlight w:val="none"/>
              </w:rPr>
            </w:pPr>
            <w:r>
              <w:rPr>
                <w:color w:val="auto"/>
                <w:szCs w:val="21"/>
                <w:highlight w:val="none"/>
              </w:rPr>
              <w:t>0.005</w:t>
            </w:r>
          </w:p>
        </w:tc>
        <w:tc>
          <w:tcPr>
            <w:tcW w:w="1098" w:type="dxa"/>
            <w:noWrap w:val="0"/>
            <w:vAlign w:val="center"/>
          </w:tcPr>
          <w:p w14:paraId="086BFD4D">
            <w:pPr>
              <w:widowControl/>
              <w:jc w:val="center"/>
              <w:textAlignment w:val="center"/>
              <w:rPr>
                <w:rFonts w:hint="eastAsia"/>
                <w:color w:val="auto"/>
                <w:szCs w:val="21"/>
                <w:highlight w:val="none"/>
              </w:rPr>
            </w:pPr>
            <w:r>
              <w:rPr>
                <w:rFonts w:hint="eastAsia"/>
                <w:color w:val="auto"/>
                <w:szCs w:val="21"/>
                <w:highlight w:val="none"/>
              </w:rPr>
              <w:t>0.0438</w:t>
            </w:r>
          </w:p>
        </w:tc>
        <w:tc>
          <w:tcPr>
            <w:tcW w:w="720" w:type="dxa"/>
            <w:vMerge w:val="restart"/>
            <w:noWrap w:val="0"/>
            <w:vAlign w:val="center"/>
          </w:tcPr>
          <w:p w14:paraId="2A7B21FC">
            <w:pPr>
              <w:jc w:val="center"/>
              <w:rPr>
                <w:color w:val="auto"/>
                <w:szCs w:val="22"/>
                <w:highlight w:val="none"/>
              </w:rPr>
            </w:pPr>
            <w:r>
              <w:rPr>
                <w:color w:val="auto"/>
                <w:szCs w:val="22"/>
                <w:highlight w:val="none"/>
              </w:rPr>
              <w:t>6</w:t>
            </w:r>
          </w:p>
        </w:tc>
        <w:tc>
          <w:tcPr>
            <w:tcW w:w="930" w:type="dxa"/>
            <w:vMerge w:val="restart"/>
            <w:noWrap w:val="0"/>
            <w:vAlign w:val="center"/>
          </w:tcPr>
          <w:p w14:paraId="601FC717">
            <w:pPr>
              <w:jc w:val="center"/>
              <w:rPr>
                <w:rFonts w:hint="default" w:eastAsia="宋体"/>
                <w:color w:val="auto"/>
                <w:szCs w:val="22"/>
                <w:highlight w:val="none"/>
                <w:lang w:val="en-US" w:eastAsia="zh-CN"/>
              </w:rPr>
            </w:pPr>
            <w:r>
              <w:rPr>
                <w:rFonts w:hint="eastAsia"/>
                <w:color w:val="auto"/>
                <w:szCs w:val="22"/>
                <w:highlight w:val="none"/>
                <w:lang w:val="en-US" w:eastAsia="zh-CN"/>
              </w:rPr>
              <w:t>225</w:t>
            </w:r>
            <w:r>
              <w:rPr>
                <w:rFonts w:hint="eastAsia"/>
                <w:color w:val="auto"/>
                <w:highlight w:val="none"/>
              </w:rPr>
              <w:t>×</w:t>
            </w:r>
            <w:r>
              <w:rPr>
                <w:rFonts w:hint="eastAsia"/>
                <w:color w:val="auto"/>
                <w:highlight w:val="none"/>
                <w:lang w:val="en-US" w:eastAsia="zh-CN"/>
              </w:rPr>
              <w:t>105</w:t>
            </w:r>
          </w:p>
        </w:tc>
      </w:tr>
      <w:tr w14:paraId="32A82CB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0" w:type="auto"/>
            <w:vMerge w:val="continue"/>
            <w:noWrap w:val="0"/>
            <w:vAlign w:val="center"/>
          </w:tcPr>
          <w:p w14:paraId="7A1FFC8E">
            <w:pPr>
              <w:widowControl/>
              <w:jc w:val="left"/>
              <w:rPr>
                <w:color w:val="auto"/>
                <w:szCs w:val="21"/>
                <w:highlight w:val="none"/>
              </w:rPr>
            </w:pPr>
          </w:p>
        </w:tc>
        <w:tc>
          <w:tcPr>
            <w:tcW w:w="900" w:type="dxa"/>
            <w:noWrap w:val="0"/>
            <w:vAlign w:val="center"/>
          </w:tcPr>
          <w:p w14:paraId="120F7CA4">
            <w:pPr>
              <w:autoSpaceDE w:val="0"/>
              <w:autoSpaceDN w:val="0"/>
              <w:adjustRightInd w:val="0"/>
              <w:jc w:val="center"/>
              <w:rPr>
                <w:color w:val="auto"/>
                <w:szCs w:val="21"/>
                <w:highlight w:val="none"/>
              </w:rPr>
            </w:pPr>
            <w:r>
              <w:rPr>
                <w:color w:val="auto"/>
                <w:szCs w:val="21"/>
                <w:highlight w:val="none"/>
              </w:rPr>
              <w:t>H</w:t>
            </w:r>
            <w:r>
              <w:rPr>
                <w:color w:val="auto"/>
                <w:szCs w:val="21"/>
                <w:highlight w:val="none"/>
                <w:vertAlign w:val="subscript"/>
              </w:rPr>
              <w:t>2</w:t>
            </w:r>
            <w:r>
              <w:rPr>
                <w:color w:val="auto"/>
                <w:szCs w:val="21"/>
                <w:highlight w:val="none"/>
              </w:rPr>
              <w:t>S</w:t>
            </w:r>
          </w:p>
        </w:tc>
        <w:tc>
          <w:tcPr>
            <w:tcW w:w="1096" w:type="dxa"/>
            <w:noWrap w:val="0"/>
            <w:vAlign w:val="center"/>
          </w:tcPr>
          <w:p w14:paraId="31D044C6">
            <w:pPr>
              <w:autoSpaceDE w:val="0"/>
              <w:autoSpaceDN w:val="0"/>
              <w:adjustRightInd w:val="0"/>
              <w:jc w:val="center"/>
              <w:rPr>
                <w:rFonts w:hint="eastAsia"/>
                <w:color w:val="auto"/>
                <w:szCs w:val="21"/>
                <w:highlight w:val="none"/>
              </w:rPr>
            </w:pPr>
            <w:r>
              <w:rPr>
                <w:rFonts w:hint="eastAsia"/>
                <w:color w:val="auto"/>
                <w:szCs w:val="21"/>
                <w:highlight w:val="none"/>
              </w:rPr>
              <w:t>0.00125</w:t>
            </w:r>
          </w:p>
        </w:tc>
        <w:tc>
          <w:tcPr>
            <w:tcW w:w="1145" w:type="dxa"/>
            <w:noWrap w:val="0"/>
            <w:vAlign w:val="center"/>
          </w:tcPr>
          <w:p w14:paraId="501B0B5E">
            <w:pPr>
              <w:autoSpaceDE w:val="0"/>
              <w:autoSpaceDN w:val="0"/>
              <w:adjustRightInd w:val="0"/>
              <w:jc w:val="center"/>
              <w:rPr>
                <w:rFonts w:hint="eastAsia"/>
                <w:color w:val="auto"/>
                <w:szCs w:val="21"/>
                <w:highlight w:val="none"/>
              </w:rPr>
            </w:pPr>
            <w:r>
              <w:rPr>
                <w:color w:val="auto"/>
                <w:szCs w:val="21"/>
                <w:highlight w:val="none"/>
              </w:rPr>
              <w:t>0.01</w:t>
            </w:r>
            <w:r>
              <w:rPr>
                <w:rFonts w:hint="eastAsia"/>
                <w:color w:val="auto"/>
                <w:szCs w:val="21"/>
                <w:highlight w:val="none"/>
              </w:rPr>
              <w:t>1</w:t>
            </w:r>
          </w:p>
        </w:tc>
        <w:tc>
          <w:tcPr>
            <w:tcW w:w="0" w:type="auto"/>
            <w:vMerge w:val="continue"/>
            <w:noWrap w:val="0"/>
            <w:vAlign w:val="center"/>
          </w:tcPr>
          <w:p w14:paraId="09082966">
            <w:pPr>
              <w:widowControl/>
              <w:jc w:val="left"/>
              <w:rPr>
                <w:color w:val="auto"/>
                <w:highlight w:val="none"/>
              </w:rPr>
            </w:pPr>
          </w:p>
        </w:tc>
        <w:tc>
          <w:tcPr>
            <w:tcW w:w="0" w:type="auto"/>
            <w:vMerge w:val="continue"/>
            <w:noWrap w:val="0"/>
            <w:vAlign w:val="center"/>
          </w:tcPr>
          <w:p w14:paraId="0B8BEA5E">
            <w:pPr>
              <w:widowControl/>
              <w:jc w:val="left"/>
              <w:rPr>
                <w:color w:val="auto"/>
                <w:highlight w:val="none"/>
              </w:rPr>
            </w:pPr>
          </w:p>
        </w:tc>
        <w:tc>
          <w:tcPr>
            <w:tcW w:w="1094" w:type="dxa"/>
            <w:noWrap w:val="0"/>
            <w:vAlign w:val="center"/>
          </w:tcPr>
          <w:p w14:paraId="6B80F308">
            <w:pPr>
              <w:widowControl/>
              <w:jc w:val="center"/>
              <w:textAlignment w:val="center"/>
              <w:rPr>
                <w:rFonts w:hint="eastAsia"/>
                <w:color w:val="auto"/>
                <w:szCs w:val="21"/>
                <w:highlight w:val="none"/>
              </w:rPr>
            </w:pPr>
            <w:r>
              <w:rPr>
                <w:color w:val="auto"/>
                <w:szCs w:val="21"/>
                <w:highlight w:val="none"/>
              </w:rPr>
              <w:t>0.00025</w:t>
            </w:r>
          </w:p>
        </w:tc>
        <w:tc>
          <w:tcPr>
            <w:tcW w:w="1098" w:type="dxa"/>
            <w:noWrap w:val="0"/>
            <w:vAlign w:val="center"/>
          </w:tcPr>
          <w:p w14:paraId="7C92A6D8">
            <w:pPr>
              <w:widowControl/>
              <w:jc w:val="center"/>
              <w:textAlignment w:val="center"/>
              <w:rPr>
                <w:rFonts w:hint="eastAsia"/>
                <w:color w:val="auto"/>
                <w:szCs w:val="21"/>
                <w:highlight w:val="none"/>
              </w:rPr>
            </w:pPr>
            <w:r>
              <w:rPr>
                <w:color w:val="auto"/>
                <w:szCs w:val="21"/>
                <w:highlight w:val="none"/>
              </w:rPr>
              <w:t>0.0021</w:t>
            </w:r>
            <w:r>
              <w:rPr>
                <w:rFonts w:hint="eastAsia"/>
                <w:color w:val="auto"/>
                <w:szCs w:val="21"/>
                <w:highlight w:val="none"/>
              </w:rPr>
              <w:t>9</w:t>
            </w:r>
          </w:p>
        </w:tc>
        <w:tc>
          <w:tcPr>
            <w:tcW w:w="0" w:type="auto"/>
            <w:vMerge w:val="continue"/>
            <w:noWrap w:val="0"/>
            <w:vAlign w:val="center"/>
          </w:tcPr>
          <w:p w14:paraId="31E857C7">
            <w:pPr>
              <w:widowControl/>
              <w:jc w:val="left"/>
              <w:rPr>
                <w:color w:val="auto"/>
                <w:szCs w:val="22"/>
                <w:highlight w:val="none"/>
              </w:rPr>
            </w:pPr>
          </w:p>
        </w:tc>
        <w:tc>
          <w:tcPr>
            <w:tcW w:w="0" w:type="auto"/>
            <w:vMerge w:val="continue"/>
            <w:noWrap w:val="0"/>
            <w:vAlign w:val="center"/>
          </w:tcPr>
          <w:p w14:paraId="74F9239E">
            <w:pPr>
              <w:widowControl/>
              <w:jc w:val="left"/>
              <w:rPr>
                <w:color w:val="auto"/>
                <w:szCs w:val="22"/>
                <w:highlight w:val="none"/>
              </w:rPr>
            </w:pPr>
          </w:p>
        </w:tc>
      </w:tr>
      <w:tr w14:paraId="33DD4F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879" w:type="dxa"/>
            <w:vMerge w:val="continue"/>
            <w:noWrap w:val="0"/>
            <w:vAlign w:val="center"/>
          </w:tcPr>
          <w:p w14:paraId="74845F1D">
            <w:pPr>
              <w:widowControl/>
              <w:jc w:val="left"/>
              <w:rPr>
                <w:color w:val="auto"/>
                <w:szCs w:val="21"/>
                <w:highlight w:val="none"/>
              </w:rPr>
            </w:pPr>
          </w:p>
        </w:tc>
        <w:tc>
          <w:tcPr>
            <w:tcW w:w="900" w:type="dxa"/>
            <w:noWrap w:val="0"/>
            <w:vAlign w:val="center"/>
          </w:tcPr>
          <w:p w14:paraId="5CCF2077">
            <w:pPr>
              <w:autoSpaceDE w:val="0"/>
              <w:autoSpaceDN w:val="0"/>
              <w:adjustRightInd w:val="0"/>
              <w:jc w:val="center"/>
              <w:rPr>
                <w:color w:val="auto"/>
                <w:szCs w:val="21"/>
                <w:highlight w:val="none"/>
              </w:rPr>
            </w:pPr>
            <w:r>
              <w:rPr>
                <w:rFonts w:hint="eastAsia"/>
                <w:color w:val="auto"/>
                <w:szCs w:val="21"/>
                <w:highlight w:val="none"/>
              </w:rPr>
              <w:t>臭气浓度</w:t>
            </w:r>
          </w:p>
        </w:tc>
        <w:tc>
          <w:tcPr>
            <w:tcW w:w="1096" w:type="dxa"/>
            <w:noWrap w:val="0"/>
            <w:vAlign w:val="center"/>
          </w:tcPr>
          <w:p w14:paraId="0DBBBEBA">
            <w:pPr>
              <w:autoSpaceDE w:val="0"/>
              <w:autoSpaceDN w:val="0"/>
              <w:adjustRightInd w:val="0"/>
              <w:jc w:val="center"/>
              <w:rPr>
                <w:color w:val="auto"/>
                <w:szCs w:val="21"/>
                <w:highlight w:val="none"/>
              </w:rPr>
            </w:pPr>
            <w:r>
              <w:rPr>
                <w:color w:val="auto"/>
                <w:szCs w:val="21"/>
                <w:highlight w:val="none"/>
              </w:rPr>
              <w:t>/</w:t>
            </w:r>
          </w:p>
        </w:tc>
        <w:tc>
          <w:tcPr>
            <w:tcW w:w="1145" w:type="dxa"/>
            <w:noWrap w:val="0"/>
            <w:vAlign w:val="center"/>
          </w:tcPr>
          <w:p w14:paraId="2690A253">
            <w:pPr>
              <w:autoSpaceDE w:val="0"/>
              <w:autoSpaceDN w:val="0"/>
              <w:adjustRightInd w:val="0"/>
              <w:jc w:val="center"/>
              <w:rPr>
                <w:color w:val="auto"/>
                <w:szCs w:val="21"/>
                <w:highlight w:val="none"/>
              </w:rPr>
            </w:pPr>
            <w:r>
              <w:rPr>
                <w:color w:val="auto"/>
                <w:szCs w:val="21"/>
                <w:highlight w:val="none"/>
              </w:rPr>
              <w:t>90</w:t>
            </w:r>
            <w:r>
              <w:rPr>
                <w:rFonts w:hint="eastAsia"/>
                <w:color w:val="auto"/>
                <w:szCs w:val="21"/>
                <w:highlight w:val="none"/>
              </w:rPr>
              <w:t>（无量纲）</w:t>
            </w:r>
          </w:p>
        </w:tc>
        <w:tc>
          <w:tcPr>
            <w:tcW w:w="5117" w:type="dxa"/>
            <w:vMerge w:val="continue"/>
            <w:noWrap w:val="0"/>
            <w:vAlign w:val="center"/>
          </w:tcPr>
          <w:p w14:paraId="15F2A300">
            <w:pPr>
              <w:widowControl/>
              <w:jc w:val="left"/>
              <w:rPr>
                <w:color w:val="auto"/>
                <w:highlight w:val="none"/>
              </w:rPr>
            </w:pPr>
          </w:p>
        </w:tc>
        <w:tc>
          <w:tcPr>
            <w:tcW w:w="1033" w:type="dxa"/>
            <w:vMerge w:val="continue"/>
            <w:noWrap w:val="0"/>
            <w:vAlign w:val="center"/>
          </w:tcPr>
          <w:p w14:paraId="0DF15422">
            <w:pPr>
              <w:widowControl/>
              <w:jc w:val="left"/>
              <w:rPr>
                <w:color w:val="auto"/>
                <w:highlight w:val="none"/>
              </w:rPr>
            </w:pPr>
          </w:p>
        </w:tc>
        <w:tc>
          <w:tcPr>
            <w:tcW w:w="1094" w:type="dxa"/>
            <w:noWrap w:val="0"/>
            <w:vAlign w:val="center"/>
          </w:tcPr>
          <w:p w14:paraId="0ED3B6A4">
            <w:pPr>
              <w:widowControl/>
              <w:jc w:val="center"/>
              <w:textAlignment w:val="center"/>
              <w:rPr>
                <w:color w:val="auto"/>
                <w:szCs w:val="21"/>
                <w:highlight w:val="none"/>
              </w:rPr>
            </w:pPr>
            <w:r>
              <w:rPr>
                <w:color w:val="auto"/>
                <w:szCs w:val="21"/>
                <w:highlight w:val="none"/>
              </w:rPr>
              <w:t>/</w:t>
            </w:r>
          </w:p>
        </w:tc>
        <w:tc>
          <w:tcPr>
            <w:tcW w:w="1098" w:type="dxa"/>
            <w:noWrap w:val="0"/>
            <w:vAlign w:val="center"/>
          </w:tcPr>
          <w:p w14:paraId="5D5FC0C6">
            <w:pPr>
              <w:widowControl/>
              <w:jc w:val="center"/>
              <w:textAlignment w:val="center"/>
              <w:rPr>
                <w:color w:val="auto"/>
                <w:szCs w:val="21"/>
                <w:highlight w:val="none"/>
              </w:rPr>
            </w:pPr>
            <w:r>
              <w:rPr>
                <w:rFonts w:hint="eastAsia"/>
                <w:color w:val="auto"/>
                <w:szCs w:val="21"/>
                <w:highlight w:val="none"/>
              </w:rPr>
              <w:t>＜</w:t>
            </w:r>
            <w:r>
              <w:rPr>
                <w:color w:val="auto"/>
                <w:szCs w:val="21"/>
                <w:highlight w:val="none"/>
              </w:rPr>
              <w:t>30</w:t>
            </w:r>
            <w:r>
              <w:rPr>
                <w:rFonts w:hint="eastAsia"/>
                <w:color w:val="auto"/>
                <w:szCs w:val="21"/>
                <w:highlight w:val="none"/>
              </w:rPr>
              <w:t>（无量纲）</w:t>
            </w:r>
          </w:p>
        </w:tc>
        <w:tc>
          <w:tcPr>
            <w:tcW w:w="720" w:type="dxa"/>
            <w:vMerge w:val="continue"/>
            <w:noWrap w:val="0"/>
            <w:vAlign w:val="center"/>
          </w:tcPr>
          <w:p w14:paraId="6D1A9195">
            <w:pPr>
              <w:widowControl/>
              <w:jc w:val="left"/>
              <w:rPr>
                <w:color w:val="auto"/>
                <w:szCs w:val="22"/>
                <w:highlight w:val="none"/>
              </w:rPr>
            </w:pPr>
          </w:p>
        </w:tc>
        <w:tc>
          <w:tcPr>
            <w:tcW w:w="930" w:type="dxa"/>
            <w:vMerge w:val="continue"/>
            <w:noWrap w:val="0"/>
            <w:vAlign w:val="center"/>
          </w:tcPr>
          <w:p w14:paraId="70BFF648">
            <w:pPr>
              <w:widowControl/>
              <w:jc w:val="left"/>
              <w:rPr>
                <w:color w:val="auto"/>
                <w:szCs w:val="22"/>
                <w:highlight w:val="none"/>
              </w:rPr>
            </w:pPr>
          </w:p>
        </w:tc>
      </w:tr>
      <w:tr w14:paraId="4C0D56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879" w:type="dxa"/>
            <w:vMerge w:val="restart"/>
            <w:noWrap w:val="0"/>
            <w:vAlign w:val="center"/>
          </w:tcPr>
          <w:p w14:paraId="0FC1D6CB">
            <w:pPr>
              <w:adjustRightInd w:val="0"/>
              <w:snapToGrid w:val="0"/>
              <w:jc w:val="center"/>
              <w:rPr>
                <w:rFonts w:hint="eastAsia" w:eastAsia="宋体"/>
                <w:color w:val="auto"/>
                <w:highlight w:val="none"/>
                <w:lang w:eastAsia="zh-CN"/>
              </w:rPr>
            </w:pPr>
            <w:r>
              <w:rPr>
                <w:rFonts w:hint="eastAsia"/>
                <w:color w:val="auto"/>
                <w:highlight w:val="none"/>
                <w:lang w:eastAsia="zh-CN"/>
              </w:rPr>
              <w:t>临时储粪场</w:t>
            </w:r>
          </w:p>
        </w:tc>
        <w:tc>
          <w:tcPr>
            <w:tcW w:w="900" w:type="dxa"/>
            <w:noWrap w:val="0"/>
            <w:vAlign w:val="center"/>
          </w:tcPr>
          <w:p w14:paraId="55227D07">
            <w:pPr>
              <w:autoSpaceDE w:val="0"/>
              <w:autoSpaceDN w:val="0"/>
              <w:adjustRightInd w:val="0"/>
              <w:jc w:val="center"/>
              <w:rPr>
                <w:color w:val="auto"/>
                <w:szCs w:val="21"/>
                <w:highlight w:val="none"/>
              </w:rPr>
            </w:pPr>
            <w:r>
              <w:rPr>
                <w:color w:val="auto"/>
                <w:szCs w:val="21"/>
                <w:highlight w:val="none"/>
              </w:rPr>
              <w:t>NH</w:t>
            </w:r>
            <w:r>
              <w:rPr>
                <w:color w:val="auto"/>
                <w:szCs w:val="21"/>
                <w:highlight w:val="none"/>
                <w:vertAlign w:val="subscript"/>
              </w:rPr>
              <w:t>3</w:t>
            </w:r>
          </w:p>
        </w:tc>
        <w:tc>
          <w:tcPr>
            <w:tcW w:w="1096" w:type="dxa"/>
            <w:noWrap w:val="0"/>
            <w:vAlign w:val="center"/>
          </w:tcPr>
          <w:p w14:paraId="0D1E50DA">
            <w:pPr>
              <w:autoSpaceDE w:val="0"/>
              <w:autoSpaceDN w:val="0"/>
              <w:adjustRightInd w:val="0"/>
              <w:jc w:val="center"/>
              <w:rPr>
                <w:rFonts w:hint="default" w:eastAsia="宋体"/>
                <w:color w:val="auto"/>
                <w:szCs w:val="21"/>
                <w:highlight w:val="none"/>
                <w:lang w:val="en-US" w:eastAsia="zh-CN"/>
              </w:rPr>
            </w:pPr>
            <w:r>
              <w:rPr>
                <w:rFonts w:hint="eastAsia"/>
                <w:color w:val="auto"/>
                <w:szCs w:val="21"/>
                <w:highlight w:val="none"/>
                <w:lang w:val="en-US" w:eastAsia="zh-CN"/>
              </w:rPr>
              <w:t>0.225</w:t>
            </w:r>
          </w:p>
        </w:tc>
        <w:tc>
          <w:tcPr>
            <w:tcW w:w="1145" w:type="dxa"/>
            <w:noWrap w:val="0"/>
            <w:vAlign w:val="center"/>
          </w:tcPr>
          <w:p w14:paraId="34B7E8C2">
            <w:pPr>
              <w:autoSpaceDE w:val="0"/>
              <w:autoSpaceDN w:val="0"/>
              <w:adjustRightInd w:val="0"/>
              <w:jc w:val="center"/>
              <w:rPr>
                <w:rFonts w:hint="eastAsia"/>
                <w:color w:val="auto"/>
                <w:szCs w:val="21"/>
                <w:highlight w:val="none"/>
              </w:rPr>
            </w:pPr>
            <w:r>
              <w:rPr>
                <w:rFonts w:hint="eastAsia"/>
                <w:color w:val="auto"/>
                <w:szCs w:val="21"/>
                <w:highlight w:val="none"/>
                <w:lang w:val="en-US" w:eastAsia="zh-CN"/>
              </w:rPr>
              <w:t>0.27</w:t>
            </w:r>
          </w:p>
        </w:tc>
        <w:tc>
          <w:tcPr>
            <w:tcW w:w="5117" w:type="dxa"/>
            <w:vMerge w:val="restart"/>
            <w:noWrap w:val="0"/>
            <w:vAlign w:val="center"/>
          </w:tcPr>
          <w:p w14:paraId="0B255C97">
            <w:pPr>
              <w:adjustRightInd w:val="0"/>
              <w:snapToGrid w:val="0"/>
              <w:jc w:val="center"/>
              <w:rPr>
                <w:color w:val="auto"/>
                <w:highlight w:val="none"/>
              </w:rPr>
            </w:pPr>
            <w:r>
              <w:rPr>
                <w:rFonts w:hint="eastAsia" w:ascii="Times New Roman" w:hAnsi="Times New Roman" w:eastAsia="宋体"/>
                <w:color w:val="auto"/>
                <w:highlight w:val="none"/>
              </w:rPr>
              <w:t>企业定期喷洒除臭剂、</w:t>
            </w:r>
            <w:r>
              <w:rPr>
                <w:rFonts w:hint="eastAsia" w:ascii="Times New Roman" w:hAnsi="Times New Roman" w:eastAsia="宋体"/>
                <w:color w:val="auto"/>
                <w:highlight w:val="none"/>
                <w:lang w:eastAsia="zh-CN"/>
              </w:rPr>
              <w:t>临时储粪场设置为封闭结构</w:t>
            </w:r>
            <w:r>
              <w:rPr>
                <w:rFonts w:hint="eastAsia" w:ascii="Times New Roman" w:hAnsi="Times New Roman" w:eastAsia="宋体"/>
                <w:color w:val="auto"/>
                <w:highlight w:val="none"/>
              </w:rPr>
              <w:t>并及时清运粪污</w:t>
            </w:r>
          </w:p>
        </w:tc>
        <w:tc>
          <w:tcPr>
            <w:tcW w:w="1033" w:type="dxa"/>
            <w:vMerge w:val="restart"/>
            <w:noWrap w:val="0"/>
            <w:vAlign w:val="center"/>
          </w:tcPr>
          <w:p w14:paraId="6C39C224">
            <w:pPr>
              <w:jc w:val="center"/>
              <w:rPr>
                <w:rFonts w:hint="default" w:eastAsia="宋体"/>
                <w:color w:val="auto"/>
                <w:highlight w:val="none"/>
                <w:lang w:val="en-US" w:eastAsia="zh-CN"/>
              </w:rPr>
            </w:pPr>
            <w:r>
              <w:rPr>
                <w:rFonts w:hint="eastAsia"/>
                <w:color w:val="auto"/>
                <w:highlight w:val="none"/>
                <w:lang w:val="en-US" w:eastAsia="zh-CN"/>
              </w:rPr>
              <w:t>60</w:t>
            </w:r>
          </w:p>
        </w:tc>
        <w:tc>
          <w:tcPr>
            <w:tcW w:w="1094" w:type="dxa"/>
            <w:noWrap w:val="0"/>
            <w:vAlign w:val="center"/>
          </w:tcPr>
          <w:p w14:paraId="70A275CC">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0.09</w:t>
            </w:r>
          </w:p>
        </w:tc>
        <w:tc>
          <w:tcPr>
            <w:tcW w:w="1098" w:type="dxa"/>
            <w:noWrap w:val="0"/>
            <w:vAlign w:val="center"/>
          </w:tcPr>
          <w:p w14:paraId="4C9112F5">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0.108</w:t>
            </w:r>
          </w:p>
        </w:tc>
        <w:tc>
          <w:tcPr>
            <w:tcW w:w="720" w:type="dxa"/>
            <w:vMerge w:val="restart"/>
            <w:noWrap w:val="0"/>
            <w:vAlign w:val="center"/>
          </w:tcPr>
          <w:p w14:paraId="5B5D33E7">
            <w:pPr>
              <w:jc w:val="center"/>
              <w:rPr>
                <w:rFonts w:hint="eastAsia"/>
                <w:color w:val="auto"/>
                <w:szCs w:val="22"/>
                <w:highlight w:val="none"/>
              </w:rPr>
            </w:pPr>
            <w:r>
              <w:rPr>
                <w:rFonts w:hint="eastAsia"/>
                <w:color w:val="auto"/>
                <w:szCs w:val="22"/>
                <w:highlight w:val="none"/>
              </w:rPr>
              <w:t>4</w:t>
            </w:r>
          </w:p>
        </w:tc>
        <w:tc>
          <w:tcPr>
            <w:tcW w:w="930" w:type="dxa"/>
            <w:vMerge w:val="restart"/>
            <w:noWrap w:val="0"/>
            <w:vAlign w:val="center"/>
          </w:tcPr>
          <w:p w14:paraId="5421104D">
            <w:pPr>
              <w:jc w:val="center"/>
              <w:rPr>
                <w:rFonts w:hint="default"/>
                <w:color w:val="auto"/>
                <w:szCs w:val="22"/>
                <w:highlight w:val="none"/>
                <w:lang w:val="en-US"/>
              </w:rPr>
            </w:pPr>
            <w:r>
              <w:rPr>
                <w:rFonts w:hint="eastAsia"/>
                <w:color w:val="auto"/>
                <w:szCs w:val="22"/>
                <w:highlight w:val="none"/>
                <w:lang w:val="en-US" w:eastAsia="zh-CN"/>
              </w:rPr>
              <w:t>100</w:t>
            </w:r>
            <w:r>
              <w:rPr>
                <w:rFonts w:hint="eastAsia"/>
                <w:color w:val="auto"/>
                <w:highlight w:val="none"/>
              </w:rPr>
              <w:t>×</w:t>
            </w:r>
            <w:r>
              <w:rPr>
                <w:rFonts w:hint="eastAsia"/>
                <w:color w:val="auto"/>
                <w:szCs w:val="22"/>
                <w:highlight w:val="none"/>
                <w:lang w:val="en-US" w:eastAsia="zh-CN"/>
              </w:rPr>
              <w:t>20</w:t>
            </w:r>
          </w:p>
        </w:tc>
      </w:tr>
      <w:tr w14:paraId="44EF22E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2" w:hRule="atLeast"/>
          <w:jc w:val="center"/>
        </w:trPr>
        <w:tc>
          <w:tcPr>
            <w:tcW w:w="0" w:type="auto"/>
            <w:vMerge w:val="continue"/>
            <w:noWrap w:val="0"/>
            <w:vAlign w:val="center"/>
          </w:tcPr>
          <w:p w14:paraId="2BB11F22">
            <w:pPr>
              <w:widowControl/>
              <w:jc w:val="left"/>
              <w:rPr>
                <w:color w:val="auto"/>
                <w:highlight w:val="none"/>
              </w:rPr>
            </w:pPr>
          </w:p>
        </w:tc>
        <w:tc>
          <w:tcPr>
            <w:tcW w:w="900" w:type="dxa"/>
            <w:noWrap w:val="0"/>
            <w:vAlign w:val="center"/>
          </w:tcPr>
          <w:p w14:paraId="15B5F9D7">
            <w:pPr>
              <w:autoSpaceDE w:val="0"/>
              <w:autoSpaceDN w:val="0"/>
              <w:adjustRightInd w:val="0"/>
              <w:jc w:val="center"/>
              <w:rPr>
                <w:color w:val="auto"/>
                <w:szCs w:val="21"/>
                <w:highlight w:val="none"/>
              </w:rPr>
            </w:pPr>
            <w:r>
              <w:rPr>
                <w:color w:val="auto"/>
                <w:szCs w:val="21"/>
                <w:highlight w:val="none"/>
              </w:rPr>
              <w:t>H</w:t>
            </w:r>
            <w:r>
              <w:rPr>
                <w:color w:val="auto"/>
                <w:szCs w:val="21"/>
                <w:highlight w:val="none"/>
                <w:vertAlign w:val="subscript"/>
              </w:rPr>
              <w:t>2</w:t>
            </w:r>
            <w:r>
              <w:rPr>
                <w:color w:val="auto"/>
                <w:szCs w:val="21"/>
                <w:highlight w:val="none"/>
              </w:rPr>
              <w:t>S</w:t>
            </w:r>
          </w:p>
        </w:tc>
        <w:tc>
          <w:tcPr>
            <w:tcW w:w="1096" w:type="dxa"/>
            <w:noWrap w:val="0"/>
            <w:vAlign w:val="center"/>
          </w:tcPr>
          <w:p w14:paraId="2D969A62">
            <w:pPr>
              <w:autoSpaceDE w:val="0"/>
              <w:autoSpaceDN w:val="0"/>
              <w:adjustRightInd w:val="0"/>
              <w:jc w:val="center"/>
              <w:rPr>
                <w:rFonts w:hint="default" w:eastAsia="宋体"/>
                <w:color w:val="auto"/>
                <w:szCs w:val="21"/>
                <w:highlight w:val="none"/>
                <w:lang w:val="en-US" w:eastAsia="zh-CN"/>
              </w:rPr>
            </w:pPr>
            <w:r>
              <w:rPr>
                <w:rFonts w:hint="eastAsia"/>
                <w:color w:val="auto"/>
                <w:szCs w:val="21"/>
                <w:highlight w:val="none"/>
                <w:lang w:val="en-US" w:eastAsia="zh-CN"/>
              </w:rPr>
              <w:t>0.0113</w:t>
            </w:r>
          </w:p>
        </w:tc>
        <w:tc>
          <w:tcPr>
            <w:tcW w:w="1145" w:type="dxa"/>
            <w:noWrap w:val="0"/>
            <w:vAlign w:val="center"/>
          </w:tcPr>
          <w:p w14:paraId="42480806">
            <w:pPr>
              <w:autoSpaceDE w:val="0"/>
              <w:autoSpaceDN w:val="0"/>
              <w:adjustRightInd w:val="0"/>
              <w:jc w:val="center"/>
              <w:rPr>
                <w:rFonts w:hint="eastAsia"/>
                <w:color w:val="auto"/>
                <w:szCs w:val="21"/>
                <w:highlight w:val="none"/>
              </w:rPr>
            </w:pPr>
            <w:r>
              <w:rPr>
                <w:rFonts w:hint="eastAsia"/>
                <w:color w:val="auto"/>
                <w:szCs w:val="21"/>
                <w:highlight w:val="none"/>
                <w:lang w:val="en-US" w:eastAsia="zh-CN"/>
              </w:rPr>
              <w:t>0.0135</w:t>
            </w:r>
          </w:p>
        </w:tc>
        <w:tc>
          <w:tcPr>
            <w:tcW w:w="0" w:type="auto"/>
            <w:vMerge w:val="continue"/>
            <w:noWrap w:val="0"/>
            <w:vAlign w:val="center"/>
          </w:tcPr>
          <w:p w14:paraId="49C2B308">
            <w:pPr>
              <w:widowControl/>
              <w:jc w:val="left"/>
              <w:rPr>
                <w:color w:val="auto"/>
                <w:highlight w:val="none"/>
              </w:rPr>
            </w:pPr>
          </w:p>
        </w:tc>
        <w:tc>
          <w:tcPr>
            <w:tcW w:w="0" w:type="auto"/>
            <w:vMerge w:val="continue"/>
            <w:noWrap w:val="0"/>
            <w:vAlign w:val="center"/>
          </w:tcPr>
          <w:p w14:paraId="5FE9E6D0">
            <w:pPr>
              <w:widowControl/>
              <w:jc w:val="left"/>
              <w:rPr>
                <w:color w:val="auto"/>
                <w:highlight w:val="none"/>
              </w:rPr>
            </w:pPr>
          </w:p>
        </w:tc>
        <w:tc>
          <w:tcPr>
            <w:tcW w:w="1094" w:type="dxa"/>
            <w:noWrap w:val="0"/>
            <w:vAlign w:val="center"/>
          </w:tcPr>
          <w:p w14:paraId="69BFE425">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0.0045</w:t>
            </w:r>
          </w:p>
        </w:tc>
        <w:tc>
          <w:tcPr>
            <w:tcW w:w="1098" w:type="dxa"/>
            <w:noWrap w:val="0"/>
            <w:vAlign w:val="center"/>
          </w:tcPr>
          <w:p w14:paraId="65301896">
            <w:pPr>
              <w:widowControl/>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0.0054</w:t>
            </w:r>
          </w:p>
        </w:tc>
        <w:tc>
          <w:tcPr>
            <w:tcW w:w="0" w:type="auto"/>
            <w:vMerge w:val="continue"/>
            <w:noWrap w:val="0"/>
            <w:vAlign w:val="center"/>
          </w:tcPr>
          <w:p w14:paraId="3AF58E99">
            <w:pPr>
              <w:widowControl/>
              <w:jc w:val="left"/>
              <w:rPr>
                <w:color w:val="auto"/>
                <w:szCs w:val="22"/>
                <w:highlight w:val="green"/>
              </w:rPr>
            </w:pPr>
          </w:p>
        </w:tc>
        <w:tc>
          <w:tcPr>
            <w:tcW w:w="0" w:type="auto"/>
            <w:vMerge w:val="continue"/>
            <w:noWrap w:val="0"/>
            <w:vAlign w:val="center"/>
          </w:tcPr>
          <w:p w14:paraId="5E995F3D">
            <w:pPr>
              <w:widowControl/>
              <w:jc w:val="left"/>
              <w:rPr>
                <w:color w:val="auto"/>
                <w:szCs w:val="22"/>
                <w:highlight w:val="green"/>
              </w:rPr>
            </w:pPr>
          </w:p>
        </w:tc>
      </w:tr>
    </w:tbl>
    <w:p w14:paraId="66259879">
      <w:pPr>
        <w:adjustRightInd w:val="0"/>
        <w:snapToGrid w:val="0"/>
        <w:rPr>
          <w:b/>
          <w:color w:val="auto"/>
          <w:szCs w:val="20"/>
        </w:rPr>
      </w:pPr>
    </w:p>
    <w:p w14:paraId="0DEC33F9">
      <w:pPr>
        <w:rPr>
          <w:color w:val="auto"/>
        </w:rPr>
      </w:pPr>
    </w:p>
    <w:p w14:paraId="0430BA4C">
      <w:pPr>
        <w:pStyle w:val="52"/>
        <w:rPr>
          <w:color w:val="auto"/>
        </w:rPr>
      </w:pPr>
    </w:p>
    <w:p w14:paraId="2DB5CEF5">
      <w:pPr>
        <w:rPr>
          <w:color w:val="auto"/>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2A5614D8">
      <w:pPr>
        <w:pStyle w:val="276"/>
        <w:ind w:left="0" w:leftChars="0" w:firstLine="0" w:firstLineChars="0"/>
        <w:rPr>
          <w:b/>
          <w:color w:val="auto"/>
        </w:rPr>
      </w:pPr>
      <w:r>
        <w:rPr>
          <w:b/>
          <w:color w:val="auto"/>
        </w:rPr>
        <w:t>3.</w:t>
      </w:r>
      <w:r>
        <w:rPr>
          <w:rFonts w:hint="eastAsia"/>
          <w:b/>
          <w:color w:val="auto"/>
        </w:rPr>
        <w:t>4</w:t>
      </w:r>
      <w:r>
        <w:rPr>
          <w:b/>
          <w:color w:val="auto"/>
        </w:rPr>
        <w:t>.2.2水污染源分析</w:t>
      </w:r>
    </w:p>
    <w:p w14:paraId="23D15EE2">
      <w:pPr>
        <w:spacing w:line="360" w:lineRule="auto"/>
        <w:ind w:firstLine="480" w:firstLineChars="200"/>
        <w:jc w:val="left"/>
        <w:rPr>
          <w:color w:val="auto"/>
          <w:sz w:val="24"/>
        </w:rPr>
      </w:pPr>
      <w:bookmarkStart w:id="189" w:name="_Toc440874800"/>
      <w:bookmarkStart w:id="190" w:name="_Toc441053092"/>
      <w:r>
        <w:rPr>
          <w:color w:val="auto"/>
          <w:sz w:val="24"/>
        </w:rPr>
        <w:t>（一）用排水情况</w:t>
      </w:r>
    </w:p>
    <w:p w14:paraId="386EC545">
      <w:pPr>
        <w:spacing w:line="360" w:lineRule="auto"/>
        <w:ind w:firstLine="480" w:firstLineChars="200"/>
        <w:jc w:val="left"/>
        <w:rPr>
          <w:color w:val="auto"/>
          <w:sz w:val="24"/>
        </w:rPr>
      </w:pPr>
      <w:r>
        <w:rPr>
          <w:color w:val="auto"/>
          <w:sz w:val="24"/>
        </w:rPr>
        <w:t>（1）鸡饮用水</w:t>
      </w:r>
    </w:p>
    <w:p w14:paraId="3D11436B">
      <w:pPr>
        <w:adjustRightInd w:val="0"/>
        <w:snapToGrid w:val="0"/>
        <w:spacing w:line="360" w:lineRule="auto"/>
        <w:ind w:firstLine="480" w:firstLineChars="200"/>
        <w:rPr>
          <w:color w:val="auto"/>
          <w:sz w:val="24"/>
        </w:rPr>
      </w:pPr>
      <w:r>
        <w:rPr>
          <w:color w:val="auto"/>
          <w:sz w:val="24"/>
        </w:rPr>
        <w:t>根据《行业用水定额》（DB</w:t>
      </w:r>
      <w:r>
        <w:rPr>
          <w:rFonts w:hint="eastAsia"/>
          <w:color w:val="auto"/>
          <w:sz w:val="24"/>
        </w:rPr>
        <w:t>15</w:t>
      </w:r>
      <w:r>
        <w:rPr>
          <w:color w:val="auto"/>
          <w:sz w:val="24"/>
        </w:rPr>
        <w:t xml:space="preserve">/T </w:t>
      </w:r>
      <w:r>
        <w:rPr>
          <w:rFonts w:hint="eastAsia"/>
          <w:color w:val="auto"/>
          <w:sz w:val="24"/>
        </w:rPr>
        <w:t>385-2020</w:t>
      </w:r>
      <w:r>
        <w:rPr>
          <w:color w:val="auto"/>
          <w:sz w:val="24"/>
        </w:rPr>
        <w:t>）</w:t>
      </w:r>
      <w:r>
        <w:rPr>
          <w:rFonts w:hint="eastAsia"/>
          <w:color w:val="auto"/>
          <w:sz w:val="24"/>
        </w:rPr>
        <w:t>中家禽的饲养（工厂集约化养殖）鸡定额：2L/只</w:t>
      </w:r>
      <w:r>
        <w:rPr>
          <w:rFonts w:hint="default" w:ascii="Times New Roman" w:hAnsi="Times New Roman" w:cs="Times New Roman"/>
          <w:color w:val="auto"/>
          <w:sz w:val="24"/>
        </w:rPr>
        <w:t>·</w:t>
      </w:r>
      <w:r>
        <w:rPr>
          <w:rFonts w:hint="eastAsia"/>
          <w:color w:val="auto"/>
          <w:sz w:val="24"/>
        </w:rPr>
        <w:t>日。本项目蛋鸡养殖规模为存栏量100万羽，全年养殖天数为365天，饮水量约为730000m</w:t>
      </w:r>
      <w:r>
        <w:rPr>
          <w:rFonts w:hint="eastAsia"/>
          <w:color w:val="auto"/>
          <w:sz w:val="24"/>
          <w:vertAlign w:val="superscript"/>
        </w:rPr>
        <w:t>3</w:t>
      </w:r>
      <w:r>
        <w:rPr>
          <w:rFonts w:hint="eastAsia"/>
          <w:color w:val="auto"/>
          <w:sz w:val="24"/>
        </w:rPr>
        <w:t>/a。</w:t>
      </w:r>
    </w:p>
    <w:p w14:paraId="3BAF6752">
      <w:pPr>
        <w:adjustRightInd w:val="0"/>
        <w:snapToGrid w:val="0"/>
        <w:spacing w:line="360" w:lineRule="auto"/>
        <w:ind w:firstLine="480" w:firstLineChars="200"/>
        <w:rPr>
          <w:color w:val="auto"/>
          <w:sz w:val="24"/>
        </w:rPr>
      </w:pPr>
      <w:r>
        <w:rPr>
          <w:color w:val="auto"/>
          <w:sz w:val="24"/>
        </w:rPr>
        <w:t>鸡饮用水部分被吸收，剩余的进入粪便之中。本项目年存栏100万只蛋鸡，根据《排污许可证申请与核发技术规范 畜禽养殖行业》“表9 各类畜禽污染物产生量”中蛋鸡的粪便产生量0.13kg/d·只，本项目年存栏蛋鸡100万只，累积饲养365天，则本项目鸡粪产生量为47450t/a。鸡粪含水率为80%，则鸡饮用水随粪便排走量为37960t/a。</w:t>
      </w:r>
    </w:p>
    <w:p w14:paraId="28577D5E">
      <w:pPr>
        <w:spacing w:line="360" w:lineRule="auto"/>
        <w:ind w:firstLine="480" w:firstLineChars="200"/>
        <w:rPr>
          <w:color w:val="auto"/>
          <w:sz w:val="24"/>
        </w:rPr>
      </w:pPr>
      <w:r>
        <w:rPr>
          <w:color w:val="auto"/>
          <w:sz w:val="24"/>
        </w:rPr>
        <w:t>（2）鸡舍冲洗废水</w:t>
      </w:r>
    </w:p>
    <w:p w14:paraId="71F2A2F3">
      <w:pPr>
        <w:spacing w:line="360" w:lineRule="auto"/>
        <w:ind w:firstLine="480" w:firstLineChars="200"/>
        <w:rPr>
          <w:color w:val="auto"/>
          <w:sz w:val="24"/>
        </w:rPr>
      </w:pPr>
      <w:r>
        <w:rPr>
          <w:color w:val="auto"/>
          <w:sz w:val="24"/>
        </w:rPr>
        <w:t>项目设蛋鸡设</w:t>
      </w:r>
      <w:r>
        <w:rPr>
          <w:rFonts w:hint="eastAsia"/>
          <w:color w:val="auto"/>
          <w:sz w:val="24"/>
          <w:lang w:val="en-US" w:eastAsia="zh-CN"/>
        </w:rPr>
        <w:t>8</w:t>
      </w:r>
      <w:r>
        <w:rPr>
          <w:color w:val="auto"/>
          <w:sz w:val="24"/>
        </w:rPr>
        <w:t>栋，鸡舍采用干清粪工艺，</w:t>
      </w:r>
      <w:r>
        <w:rPr>
          <w:rFonts w:hint="eastAsia"/>
          <w:color w:val="auto"/>
          <w:sz w:val="24"/>
        </w:rPr>
        <w:t>约500天淘汰1批鸡，并对相应鸡舍进行冲洗，蛋鸡在鸡舍生活410天。每三栋/四栋蛋鸡舍为一批，即410天冲洗4次。</w:t>
      </w:r>
    </w:p>
    <w:p w14:paraId="13D0B66A">
      <w:pPr>
        <w:spacing w:line="360" w:lineRule="auto"/>
        <w:ind w:firstLine="480" w:firstLineChars="200"/>
        <w:rPr>
          <w:color w:val="auto"/>
          <w:sz w:val="24"/>
        </w:rPr>
      </w:pPr>
      <w:r>
        <w:rPr>
          <w:rFonts w:hint="eastAsia"/>
          <w:color w:val="auto"/>
          <w:sz w:val="24"/>
        </w:rPr>
        <w:t>根据企业提供的资料，鸡舍采用专用的高压冲洗设备进行冲洗，该高压冲洗设备的最大流量为14L/min，每个鸡舍用2台高压冲洗设备进行冲洗，每次冲洗2台高压冲洗设备总用时约为1h/栋。</w:t>
      </w:r>
    </w:p>
    <w:p w14:paraId="5395BFB7">
      <w:pPr>
        <w:spacing w:line="360" w:lineRule="auto"/>
        <w:ind w:firstLine="480" w:firstLineChars="200"/>
        <w:rPr>
          <w:bCs/>
          <w:color w:val="auto"/>
          <w:sz w:val="24"/>
        </w:rPr>
      </w:pPr>
      <w:r>
        <w:rPr>
          <w:rFonts w:hint="eastAsia"/>
          <w:color w:val="auto"/>
          <w:sz w:val="24"/>
        </w:rPr>
        <w:t>经计算，本项目鸡舍冲洗用水量为</w:t>
      </w:r>
      <w:r>
        <w:rPr>
          <w:rFonts w:hint="eastAsia"/>
          <w:color w:val="auto"/>
          <w:sz w:val="24"/>
          <w:lang w:val="en-US" w:eastAsia="zh-CN"/>
        </w:rPr>
        <w:t>6.72</w:t>
      </w:r>
      <w:r>
        <w:rPr>
          <w:rFonts w:hint="eastAsia"/>
          <w:color w:val="auto"/>
          <w:sz w:val="24"/>
        </w:rPr>
        <w:t>t/410天（</w:t>
      </w:r>
      <w:r>
        <w:rPr>
          <w:rFonts w:hint="eastAsia"/>
          <w:color w:val="auto"/>
          <w:sz w:val="24"/>
          <w:lang w:val="en-US" w:eastAsia="zh-CN"/>
        </w:rPr>
        <w:t>5.98</w:t>
      </w:r>
      <w:r>
        <w:rPr>
          <w:rFonts w:hint="eastAsia"/>
          <w:color w:val="auto"/>
          <w:sz w:val="24"/>
        </w:rPr>
        <w:t>t/a），</w:t>
      </w:r>
      <w:r>
        <w:rPr>
          <w:color w:val="auto"/>
          <w:sz w:val="24"/>
        </w:rPr>
        <w:t>排水量按照用水量的8</w:t>
      </w:r>
      <w:r>
        <w:rPr>
          <w:rFonts w:hint="eastAsia"/>
          <w:color w:val="auto"/>
          <w:sz w:val="24"/>
        </w:rPr>
        <w:t>5</w:t>
      </w:r>
      <w:r>
        <w:rPr>
          <w:color w:val="auto"/>
          <w:sz w:val="24"/>
        </w:rPr>
        <w:t>%计</w:t>
      </w:r>
      <w:r>
        <w:rPr>
          <w:rFonts w:hint="eastAsia"/>
          <w:color w:val="auto"/>
          <w:sz w:val="24"/>
        </w:rPr>
        <w:t>，鸡舍冲洗废水总量为</w:t>
      </w:r>
      <w:r>
        <w:rPr>
          <w:rFonts w:hint="eastAsia"/>
          <w:color w:val="auto"/>
          <w:sz w:val="24"/>
          <w:lang w:val="en-US" w:eastAsia="zh-CN"/>
        </w:rPr>
        <w:t>5.08</w:t>
      </w:r>
      <w:r>
        <w:rPr>
          <w:rFonts w:hint="eastAsia"/>
          <w:color w:val="auto"/>
          <w:sz w:val="24"/>
        </w:rPr>
        <w:t>m</w:t>
      </w:r>
      <w:r>
        <w:rPr>
          <w:rFonts w:hint="eastAsia"/>
          <w:color w:val="auto"/>
          <w:sz w:val="24"/>
          <w:vertAlign w:val="superscript"/>
        </w:rPr>
        <w:t>3</w:t>
      </w:r>
      <w:r>
        <w:rPr>
          <w:rFonts w:hint="eastAsia"/>
          <w:color w:val="auto"/>
          <w:sz w:val="24"/>
        </w:rPr>
        <w:t>/a</w:t>
      </w:r>
      <w:r>
        <w:rPr>
          <w:rFonts w:hint="eastAsia"/>
          <w:color w:val="auto"/>
          <w:sz w:val="24"/>
          <w:lang w:eastAsia="zh-CN"/>
        </w:rPr>
        <w:t>，每栋鸡舍一次冲洗废水最大产生量为</w:t>
      </w:r>
      <w:r>
        <w:rPr>
          <w:rFonts w:hint="eastAsia"/>
          <w:color w:val="auto"/>
          <w:sz w:val="24"/>
          <w:lang w:val="en-US" w:eastAsia="zh-CN"/>
        </w:rPr>
        <w:t>1.69m</w:t>
      </w:r>
      <w:r>
        <w:rPr>
          <w:rFonts w:hint="eastAsia"/>
          <w:color w:val="auto"/>
          <w:sz w:val="24"/>
          <w:vertAlign w:val="superscript"/>
          <w:lang w:val="en-US" w:eastAsia="zh-CN"/>
        </w:rPr>
        <w:t>3</w:t>
      </w:r>
      <w:r>
        <w:rPr>
          <w:rFonts w:hint="eastAsia"/>
          <w:color w:val="auto"/>
          <w:sz w:val="24"/>
          <w:lang w:val="en-US" w:eastAsia="zh-CN"/>
        </w:rPr>
        <w:t>，每栋鸡舍东侧端头各设置1座10m</w:t>
      </w:r>
      <w:r>
        <w:rPr>
          <w:rFonts w:hint="eastAsia"/>
          <w:color w:val="auto"/>
          <w:sz w:val="24"/>
          <w:vertAlign w:val="superscript"/>
          <w:lang w:val="en-US" w:eastAsia="zh-CN"/>
        </w:rPr>
        <w:t>3</w:t>
      </w:r>
      <w:r>
        <w:rPr>
          <w:rFonts w:hint="eastAsia"/>
          <w:color w:val="auto"/>
          <w:sz w:val="24"/>
          <w:lang w:val="en-US" w:eastAsia="zh-CN"/>
        </w:rPr>
        <w:t>的废水收集池，鸡舍冲洗废水全部进入废水收集池，日产日清，由罐车运至辰泰（辽宁）生物科技有限公司制造有机肥。</w:t>
      </w:r>
    </w:p>
    <w:p w14:paraId="4D9F05A4">
      <w:pPr>
        <w:spacing w:line="360" w:lineRule="auto"/>
        <w:ind w:firstLine="480" w:firstLineChars="200"/>
        <w:rPr>
          <w:bCs/>
          <w:color w:val="auto"/>
          <w:sz w:val="24"/>
        </w:rPr>
      </w:pPr>
      <w:r>
        <w:rPr>
          <w:bCs/>
          <w:color w:val="auto"/>
          <w:sz w:val="24"/>
        </w:rPr>
        <w:t>（3）绿化用水</w:t>
      </w:r>
    </w:p>
    <w:p w14:paraId="2E629335">
      <w:pPr>
        <w:pStyle w:val="366"/>
        <w:spacing w:line="360" w:lineRule="auto"/>
        <w:ind w:firstLine="480" w:firstLineChars="200"/>
        <w:rPr>
          <w:rFonts w:ascii="Times New Roman" w:cs="Times New Roman"/>
          <w:color w:val="auto"/>
          <w:highlight w:val="none"/>
        </w:rPr>
      </w:pPr>
      <w:r>
        <w:rPr>
          <w:rFonts w:ascii="Times New Roman" w:cs="Times New Roman"/>
          <w:bCs/>
          <w:color w:val="auto"/>
          <w:highlight w:val="none"/>
        </w:rPr>
        <w:t>项目年绿化时间约180d，绿化面积为</w:t>
      </w:r>
      <w:r>
        <w:rPr>
          <w:rFonts w:hint="eastAsia" w:ascii="Times New Roman" w:cs="Times New Roman"/>
          <w:bCs/>
          <w:color w:val="auto"/>
          <w:highlight w:val="none"/>
        </w:rPr>
        <w:t>5050</w:t>
      </w:r>
      <w:r>
        <w:rPr>
          <w:rFonts w:ascii="Times New Roman" w:cs="Times New Roman"/>
          <w:bCs/>
          <w:color w:val="auto"/>
          <w:highlight w:val="none"/>
        </w:rPr>
        <w:t>m</w:t>
      </w:r>
      <w:r>
        <w:rPr>
          <w:rFonts w:ascii="Times New Roman" w:cs="Times New Roman"/>
          <w:bCs/>
          <w:color w:val="auto"/>
          <w:highlight w:val="none"/>
          <w:vertAlign w:val="superscript"/>
        </w:rPr>
        <w:t>2</w:t>
      </w:r>
      <w:r>
        <w:rPr>
          <w:rFonts w:ascii="Times New Roman" w:cs="Times New Roman"/>
          <w:bCs/>
          <w:color w:val="auto"/>
          <w:highlight w:val="none"/>
        </w:rPr>
        <w:t>，用水量按2L/m</w:t>
      </w:r>
      <w:r>
        <w:rPr>
          <w:rFonts w:ascii="Times New Roman" w:cs="Times New Roman"/>
          <w:bCs/>
          <w:color w:val="auto"/>
          <w:highlight w:val="none"/>
          <w:vertAlign w:val="superscript"/>
        </w:rPr>
        <w:t>2</w:t>
      </w:r>
      <w:r>
        <w:rPr>
          <w:rFonts w:ascii="Times New Roman" w:cs="Times New Roman"/>
          <w:bCs/>
          <w:color w:val="auto"/>
          <w:highlight w:val="none"/>
        </w:rPr>
        <w:t>·d，则绿化用水量为</w:t>
      </w:r>
      <w:r>
        <w:rPr>
          <w:rFonts w:hint="eastAsia" w:ascii="Times New Roman" w:cs="Times New Roman"/>
          <w:bCs/>
          <w:color w:val="auto"/>
          <w:highlight w:val="none"/>
        </w:rPr>
        <w:t>1818</w:t>
      </w:r>
      <w:r>
        <w:rPr>
          <w:rFonts w:ascii="Times New Roman" w:cs="Times New Roman"/>
          <w:bCs/>
          <w:color w:val="auto"/>
          <w:highlight w:val="none"/>
        </w:rPr>
        <w:t>m</w:t>
      </w:r>
      <w:r>
        <w:rPr>
          <w:rFonts w:ascii="Times New Roman" w:cs="Times New Roman"/>
          <w:bCs/>
          <w:color w:val="auto"/>
          <w:highlight w:val="none"/>
          <w:vertAlign w:val="superscript"/>
        </w:rPr>
        <w:t>3</w:t>
      </w:r>
      <w:r>
        <w:rPr>
          <w:rFonts w:ascii="Times New Roman" w:cs="Times New Roman"/>
          <w:bCs/>
          <w:color w:val="auto"/>
          <w:highlight w:val="none"/>
        </w:rPr>
        <w:t>/a</w:t>
      </w:r>
      <w:r>
        <w:rPr>
          <w:rFonts w:hint="eastAsia" w:ascii="Times New Roman" w:cs="Times New Roman"/>
          <w:bCs/>
          <w:color w:val="auto"/>
          <w:highlight w:val="none"/>
          <w:lang w:eastAsia="zh-CN"/>
        </w:rPr>
        <w:t>，一部分为锅炉定排废水和反冲洗废水，水量为</w:t>
      </w:r>
      <w:r>
        <w:rPr>
          <w:rFonts w:hint="eastAsia" w:ascii="Times New Roman" w:cs="Times New Roman"/>
          <w:bCs/>
          <w:color w:val="auto"/>
          <w:highlight w:val="none"/>
          <w:lang w:val="en-US" w:eastAsia="zh-CN"/>
        </w:rPr>
        <w:t>362.7m</w:t>
      </w:r>
      <w:r>
        <w:rPr>
          <w:rFonts w:hint="eastAsia" w:ascii="Times New Roman" w:cs="Times New Roman"/>
          <w:bCs/>
          <w:color w:val="auto"/>
          <w:highlight w:val="none"/>
          <w:vertAlign w:val="superscript"/>
          <w:lang w:val="en-US" w:eastAsia="zh-CN"/>
        </w:rPr>
        <w:t>3</w:t>
      </w:r>
      <w:r>
        <w:rPr>
          <w:rFonts w:hint="eastAsia" w:ascii="Times New Roman" w:cs="Times New Roman"/>
          <w:bCs/>
          <w:color w:val="auto"/>
          <w:highlight w:val="none"/>
          <w:lang w:val="en-US" w:eastAsia="zh-CN"/>
        </w:rPr>
        <w:t>/a，不足部分由新鲜水补充，则新鲜水量为1455.3m</w:t>
      </w:r>
      <w:r>
        <w:rPr>
          <w:rFonts w:hint="eastAsia" w:ascii="Times New Roman" w:cs="Times New Roman"/>
          <w:bCs/>
          <w:color w:val="auto"/>
          <w:highlight w:val="none"/>
          <w:vertAlign w:val="superscript"/>
          <w:lang w:val="en-US" w:eastAsia="zh-CN"/>
        </w:rPr>
        <w:t>3</w:t>
      </w:r>
      <w:r>
        <w:rPr>
          <w:rFonts w:hint="eastAsia" w:ascii="Times New Roman" w:cs="Times New Roman"/>
          <w:bCs/>
          <w:color w:val="auto"/>
          <w:highlight w:val="none"/>
          <w:lang w:val="en-US" w:eastAsia="zh-CN"/>
        </w:rPr>
        <w:t>/a</w:t>
      </w:r>
      <w:r>
        <w:rPr>
          <w:rFonts w:ascii="Times New Roman" w:cs="Times New Roman"/>
          <w:bCs/>
          <w:color w:val="auto"/>
          <w:highlight w:val="none"/>
        </w:rPr>
        <w:t>。</w:t>
      </w:r>
    </w:p>
    <w:p w14:paraId="55E03D30">
      <w:pPr>
        <w:spacing w:line="360" w:lineRule="auto"/>
        <w:ind w:firstLine="480" w:firstLineChars="200"/>
        <w:rPr>
          <w:bCs/>
          <w:color w:val="auto"/>
          <w:sz w:val="24"/>
        </w:rPr>
      </w:pPr>
      <w:r>
        <w:rPr>
          <w:bCs/>
          <w:color w:val="auto"/>
          <w:sz w:val="24"/>
        </w:rPr>
        <w:t>（4）消毒用水</w:t>
      </w:r>
    </w:p>
    <w:p w14:paraId="018C390A">
      <w:pPr>
        <w:adjustRightInd w:val="0"/>
        <w:snapToGrid w:val="0"/>
        <w:spacing w:line="360" w:lineRule="auto"/>
        <w:ind w:firstLine="480" w:firstLineChars="200"/>
        <w:rPr>
          <w:color w:val="auto"/>
          <w:sz w:val="24"/>
        </w:rPr>
      </w:pPr>
      <w:r>
        <w:rPr>
          <w:color w:val="auto"/>
          <w:sz w:val="24"/>
        </w:rPr>
        <w:t>据建设单位提供资料，项目鸡舍消毒、车辆消毒及员工消毒均采用喷雾消毒，消毒剂主要为碘伏、复方酚溶液，其中碘伏年用量为1000L，浓度为0.5%，则新鲜水用量为199t/a；复方酚溶液年用量为1000L，配置比例为1:300，则新鲜水用量为300t。故项目消毒用水总量为499t/a。</w:t>
      </w:r>
    </w:p>
    <w:p w14:paraId="0CBF5BBA">
      <w:pPr>
        <w:spacing w:line="360" w:lineRule="auto"/>
        <w:ind w:firstLine="480" w:firstLineChars="200"/>
        <w:rPr>
          <w:color w:val="auto"/>
          <w:sz w:val="24"/>
        </w:rPr>
      </w:pPr>
      <w:r>
        <w:rPr>
          <w:bCs/>
          <w:color w:val="auto"/>
          <w:sz w:val="24"/>
        </w:rPr>
        <w:t>（5）</w:t>
      </w:r>
      <w:r>
        <w:rPr>
          <w:color w:val="auto"/>
          <w:sz w:val="24"/>
        </w:rPr>
        <w:t>湿帘降温补充水</w:t>
      </w:r>
    </w:p>
    <w:p w14:paraId="5C134979">
      <w:pPr>
        <w:adjustRightInd w:val="0"/>
        <w:snapToGrid w:val="0"/>
        <w:spacing w:line="360" w:lineRule="auto"/>
        <w:ind w:firstLine="480" w:firstLineChars="200"/>
        <w:rPr>
          <w:color w:val="auto"/>
          <w:sz w:val="24"/>
        </w:rPr>
      </w:pPr>
      <w:r>
        <w:rPr>
          <w:color w:val="auto"/>
          <w:sz w:val="24"/>
        </w:rPr>
        <w:t>夏季鸡舍温度较高，当温度达到35℃以上，需开启鸡舍的循环水帘降温装置。根据建设单位提供的资料，项目鸡舍夏季用水帘对鸡舍进行降温的天数约为100d，</w:t>
      </w:r>
      <w:r>
        <w:rPr>
          <w:rFonts w:hint="eastAsia"/>
          <w:color w:val="auto"/>
          <w:sz w:val="24"/>
        </w:rPr>
        <w:t>每栋鸡舍内设置3套水帘降温系统，共</w:t>
      </w:r>
      <w:r>
        <w:rPr>
          <w:rFonts w:hint="eastAsia"/>
          <w:color w:val="auto"/>
          <w:sz w:val="24"/>
          <w:lang w:val="en-US" w:eastAsia="zh-CN"/>
        </w:rPr>
        <w:t>24</w:t>
      </w:r>
      <w:r>
        <w:rPr>
          <w:rFonts w:hint="eastAsia"/>
          <w:color w:val="auto"/>
          <w:sz w:val="24"/>
        </w:rPr>
        <w:t>套，每栋蛋鸡舍设置1个18m</w:t>
      </w:r>
      <w:r>
        <w:rPr>
          <w:rFonts w:hint="eastAsia"/>
          <w:color w:val="auto"/>
          <w:sz w:val="24"/>
          <w:vertAlign w:val="superscript"/>
        </w:rPr>
        <w:t>3</w:t>
      </w:r>
      <w:r>
        <w:rPr>
          <w:rFonts w:hint="eastAsia"/>
          <w:color w:val="auto"/>
          <w:sz w:val="24"/>
        </w:rPr>
        <w:t>的循环水池，2个20m</w:t>
      </w:r>
      <w:r>
        <w:rPr>
          <w:rFonts w:hint="eastAsia"/>
          <w:color w:val="auto"/>
          <w:sz w:val="24"/>
          <w:vertAlign w:val="superscript"/>
        </w:rPr>
        <w:t>3</w:t>
      </w:r>
      <w:r>
        <w:rPr>
          <w:rFonts w:hint="eastAsia"/>
          <w:color w:val="auto"/>
          <w:sz w:val="24"/>
        </w:rPr>
        <w:t>的循环水池；项目每套水帘降温系统日均耗水量为2m</w:t>
      </w:r>
      <w:r>
        <w:rPr>
          <w:rFonts w:hint="eastAsia"/>
          <w:color w:val="auto"/>
          <w:sz w:val="24"/>
          <w:vertAlign w:val="superscript"/>
        </w:rPr>
        <w:t>3</w:t>
      </w:r>
      <w:r>
        <w:rPr>
          <w:rFonts w:hint="eastAsia"/>
          <w:color w:val="auto"/>
          <w:sz w:val="24"/>
        </w:rPr>
        <w:t>，全厂降温用水量为</w:t>
      </w:r>
      <w:r>
        <w:rPr>
          <w:rFonts w:hint="eastAsia"/>
          <w:color w:val="auto"/>
          <w:sz w:val="24"/>
          <w:lang w:val="en-US" w:eastAsia="zh-CN"/>
        </w:rPr>
        <w:t>48</w:t>
      </w:r>
      <w:r>
        <w:rPr>
          <w:rFonts w:hint="eastAsia"/>
          <w:color w:val="auto"/>
          <w:sz w:val="24"/>
        </w:rPr>
        <w:t>m</w:t>
      </w:r>
      <w:r>
        <w:rPr>
          <w:rFonts w:hint="eastAsia"/>
          <w:color w:val="auto"/>
          <w:sz w:val="24"/>
          <w:vertAlign w:val="superscript"/>
        </w:rPr>
        <w:t>3</w:t>
      </w:r>
      <w:r>
        <w:rPr>
          <w:rFonts w:hint="eastAsia"/>
          <w:color w:val="auto"/>
          <w:sz w:val="24"/>
        </w:rPr>
        <w:t>/d，则年用水量为</w:t>
      </w:r>
      <w:r>
        <w:rPr>
          <w:rFonts w:hint="eastAsia"/>
          <w:color w:val="auto"/>
          <w:sz w:val="24"/>
          <w:lang w:val="en-US" w:eastAsia="zh-CN"/>
        </w:rPr>
        <w:t>4800</w:t>
      </w:r>
      <w:r>
        <w:rPr>
          <w:rFonts w:hint="eastAsia"/>
          <w:color w:val="auto"/>
          <w:sz w:val="24"/>
        </w:rPr>
        <w:t>m</w:t>
      </w:r>
      <w:r>
        <w:rPr>
          <w:rFonts w:hint="eastAsia"/>
          <w:color w:val="auto"/>
          <w:sz w:val="24"/>
          <w:vertAlign w:val="superscript"/>
        </w:rPr>
        <w:t>3</w:t>
      </w:r>
      <w:r>
        <w:rPr>
          <w:rFonts w:hint="eastAsia"/>
          <w:color w:val="auto"/>
          <w:sz w:val="24"/>
        </w:rPr>
        <w:t>。全部蒸发损失，无废水产生。</w:t>
      </w:r>
    </w:p>
    <w:p w14:paraId="06A1DE3E">
      <w:pPr>
        <w:spacing w:line="360" w:lineRule="auto"/>
        <w:ind w:firstLine="480" w:firstLineChars="200"/>
        <w:rPr>
          <w:color w:val="auto"/>
          <w:sz w:val="24"/>
          <w:highlight w:val="none"/>
        </w:rPr>
      </w:pPr>
      <w:r>
        <w:rPr>
          <w:rFonts w:hint="eastAsia"/>
          <w:color w:val="auto"/>
          <w:sz w:val="24"/>
          <w:highlight w:val="none"/>
        </w:rPr>
        <w:t>（6）锅炉补水</w:t>
      </w:r>
    </w:p>
    <w:p w14:paraId="1AC6BA0C">
      <w:pPr>
        <w:spacing w:line="360" w:lineRule="auto"/>
        <w:ind w:firstLine="480" w:firstLineChars="200"/>
        <w:rPr>
          <w:color w:val="auto"/>
          <w:sz w:val="24"/>
          <w:highlight w:val="none"/>
        </w:rPr>
      </w:pPr>
      <w:r>
        <w:rPr>
          <w:rFonts w:hint="eastAsia"/>
          <w:color w:val="auto"/>
          <w:sz w:val="24"/>
          <w:highlight w:val="none"/>
        </w:rPr>
        <w:t>本项目</w:t>
      </w:r>
      <w:r>
        <w:rPr>
          <w:rFonts w:hint="eastAsia"/>
          <w:color w:val="auto"/>
          <w:sz w:val="24"/>
          <w:highlight w:val="none"/>
          <w:lang w:eastAsia="zh-CN"/>
        </w:rPr>
        <w:t>设置</w:t>
      </w:r>
      <w:r>
        <w:rPr>
          <w:rFonts w:hint="eastAsia"/>
          <w:color w:val="auto"/>
          <w:sz w:val="24"/>
          <w:highlight w:val="none"/>
          <w:lang w:val="en-US" w:eastAsia="zh-CN"/>
        </w:rPr>
        <w:t>1台1.4MW的</w:t>
      </w:r>
      <w:r>
        <w:rPr>
          <w:rFonts w:hint="eastAsia"/>
          <w:color w:val="auto"/>
          <w:sz w:val="24"/>
          <w:highlight w:val="none"/>
          <w:lang w:eastAsia="zh-CN"/>
        </w:rPr>
        <w:t>生物质</w:t>
      </w:r>
      <w:r>
        <w:rPr>
          <w:rFonts w:hint="eastAsia"/>
          <w:color w:val="auto"/>
          <w:sz w:val="24"/>
          <w:highlight w:val="none"/>
        </w:rPr>
        <w:t>锅炉，</w:t>
      </w:r>
      <w:r>
        <w:rPr>
          <w:rFonts w:hint="eastAsia"/>
          <w:color w:val="auto"/>
          <w:sz w:val="24"/>
          <w:highlight w:val="none"/>
          <w:lang w:eastAsia="zh-CN"/>
        </w:rPr>
        <w:t>主要为办公室、门卫和蛋库冬季</w:t>
      </w:r>
      <w:r>
        <w:rPr>
          <w:rFonts w:hint="eastAsia"/>
          <w:color w:val="auto"/>
          <w:sz w:val="24"/>
          <w:highlight w:val="none"/>
        </w:rPr>
        <w:t>供暖，水经加热后</w:t>
      </w:r>
      <w:r>
        <w:rPr>
          <w:rFonts w:hint="eastAsia"/>
          <w:color w:val="auto"/>
          <w:sz w:val="24"/>
          <w:highlight w:val="none"/>
          <w:lang w:eastAsia="zh-CN"/>
        </w:rPr>
        <w:t>经热力管网</w:t>
      </w:r>
      <w:r>
        <w:rPr>
          <w:rFonts w:hint="eastAsia"/>
          <w:color w:val="auto"/>
          <w:sz w:val="24"/>
          <w:highlight w:val="none"/>
        </w:rPr>
        <w:t>通向办公室进行加热，加热后的水在进行循环，根据建设单位提供资料，</w:t>
      </w:r>
      <w:r>
        <w:rPr>
          <w:rFonts w:hint="eastAsia"/>
          <w:color w:val="auto"/>
          <w:sz w:val="24"/>
          <w:highlight w:val="none"/>
          <w:lang w:eastAsia="zh-CN"/>
        </w:rPr>
        <w:t>每年供暖</w:t>
      </w:r>
      <w:r>
        <w:rPr>
          <w:rFonts w:hint="eastAsia"/>
          <w:color w:val="auto"/>
          <w:sz w:val="24"/>
          <w:highlight w:val="none"/>
        </w:rPr>
        <w:t>天数约</w:t>
      </w:r>
      <w:r>
        <w:rPr>
          <w:rFonts w:hint="eastAsia"/>
          <w:color w:val="auto"/>
          <w:sz w:val="24"/>
          <w:highlight w:val="none"/>
          <w:lang w:val="en-US" w:eastAsia="zh-CN"/>
        </w:rPr>
        <w:t>180</w:t>
      </w:r>
      <w:r>
        <w:rPr>
          <w:rFonts w:hint="eastAsia"/>
          <w:color w:val="auto"/>
          <w:sz w:val="24"/>
          <w:highlight w:val="none"/>
        </w:rPr>
        <w:t>天，每天运行</w:t>
      </w:r>
      <w:r>
        <w:rPr>
          <w:rFonts w:hint="eastAsia"/>
          <w:color w:val="auto"/>
          <w:sz w:val="24"/>
          <w:highlight w:val="none"/>
          <w:lang w:val="en-US" w:eastAsia="zh-CN"/>
        </w:rPr>
        <w:t>16</w:t>
      </w:r>
      <w:r>
        <w:rPr>
          <w:rFonts w:hint="eastAsia"/>
          <w:color w:val="auto"/>
          <w:sz w:val="24"/>
          <w:highlight w:val="none"/>
        </w:rPr>
        <w:t>h，全年共运行</w:t>
      </w:r>
      <w:r>
        <w:rPr>
          <w:rFonts w:hint="eastAsia"/>
          <w:color w:val="auto"/>
          <w:sz w:val="24"/>
          <w:highlight w:val="none"/>
          <w:lang w:val="en-US" w:eastAsia="zh-CN"/>
        </w:rPr>
        <w:t>2880</w:t>
      </w:r>
      <w:r>
        <w:rPr>
          <w:rFonts w:hint="eastAsia"/>
          <w:color w:val="auto"/>
          <w:sz w:val="24"/>
          <w:highlight w:val="none"/>
        </w:rPr>
        <w:t>h</w:t>
      </w:r>
      <w:r>
        <w:rPr>
          <w:rFonts w:hint="eastAsia"/>
          <w:bCs/>
          <w:color w:val="auto"/>
          <w:sz w:val="24"/>
          <w:highlight w:val="none"/>
        </w:rPr>
        <w:t>。</w:t>
      </w:r>
    </w:p>
    <w:p w14:paraId="618F0005">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cs="Times New Roman"/>
          <w:b w:val="0"/>
          <w:bCs w:val="0"/>
          <w:color w:val="auto"/>
          <w:sz w:val="24"/>
          <w:szCs w:val="24"/>
          <w:highlight w:val="none"/>
          <w:lang w:val="en-US" w:eastAsia="zh-CN"/>
        </w:rPr>
      </w:pPr>
      <w:r>
        <w:rPr>
          <w:rFonts w:hint="eastAsia"/>
          <w:b w:val="0"/>
          <w:bCs w:val="0"/>
          <w:color w:val="auto"/>
          <w:sz w:val="24"/>
          <w:highlight w:val="none"/>
          <w:lang w:val="en-US" w:eastAsia="zh-CN"/>
        </w:rPr>
        <w:fldChar w:fldCharType="begin"/>
      </w:r>
      <w:r>
        <w:rPr>
          <w:rFonts w:hint="eastAsia"/>
          <w:b w:val="0"/>
          <w:bCs w:val="0"/>
          <w:color w:val="auto"/>
          <w:sz w:val="24"/>
          <w:highlight w:val="none"/>
          <w:lang w:val="en-US" w:eastAsia="zh-CN"/>
        </w:rPr>
        <w:instrText xml:space="preserve"> = 1 \* GB3 \* MERGEFORMAT </w:instrText>
      </w:r>
      <w:r>
        <w:rPr>
          <w:rFonts w:hint="eastAsia"/>
          <w:b w:val="0"/>
          <w:bCs w:val="0"/>
          <w:color w:val="auto"/>
          <w:sz w:val="24"/>
          <w:highlight w:val="none"/>
          <w:lang w:val="en-US" w:eastAsia="zh-CN"/>
        </w:rPr>
        <w:fldChar w:fldCharType="separate"/>
      </w:r>
      <w:r>
        <w:rPr>
          <w:color w:val="auto"/>
          <w:highlight w:val="none"/>
        </w:rPr>
        <w:t>①</w:t>
      </w:r>
      <w:r>
        <w:rPr>
          <w:rFonts w:hint="eastAsia"/>
          <w:b w:val="0"/>
          <w:bCs w:val="0"/>
          <w:color w:val="auto"/>
          <w:sz w:val="24"/>
          <w:highlight w:val="none"/>
          <w:lang w:val="en-US" w:eastAsia="zh-CN"/>
        </w:rPr>
        <w:fldChar w:fldCharType="end"/>
      </w:r>
      <w:r>
        <w:rPr>
          <w:rFonts w:hint="eastAsia"/>
          <w:b w:val="0"/>
          <w:bCs w:val="0"/>
          <w:color w:val="auto"/>
          <w:sz w:val="24"/>
          <w:highlight w:val="none"/>
          <w:lang w:val="en-US" w:eastAsia="zh-CN"/>
        </w:rPr>
        <w:t>热力网循环系统补水</w:t>
      </w:r>
    </w:p>
    <w:p w14:paraId="71581B70">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热水锅炉补水率较低，主要为热力网损失，根据</w:t>
      </w:r>
      <w:r>
        <w:rPr>
          <w:rFonts w:hint="default" w:ascii="Times New Roman" w:hAnsi="Times New Roman" w:eastAsia="宋体" w:cs="Times New Roman"/>
          <w:color w:val="auto"/>
          <w:sz w:val="24"/>
          <w:szCs w:val="24"/>
          <w:highlight w:val="none"/>
        </w:rPr>
        <w:t>《工业锅炉房设计手册》</w:t>
      </w:r>
      <w:r>
        <w:rPr>
          <w:rFonts w:hint="eastAsia" w:ascii="Times New Roman" w:hAnsi="Times New Roman" w:eastAsia="宋体" w:cs="Times New Roman"/>
          <w:color w:val="auto"/>
          <w:sz w:val="24"/>
          <w:szCs w:val="24"/>
          <w:highlight w:val="none"/>
          <w:lang w:eastAsia="zh-CN"/>
        </w:rPr>
        <w:t>，通常补水率为循环水量的</w:t>
      </w:r>
      <w:r>
        <w:rPr>
          <w:rFonts w:hint="eastAsia" w:ascii="Times New Roman" w:hAnsi="Times New Roman" w:eastAsia="宋体" w:cs="Times New Roman"/>
          <w:color w:val="auto"/>
          <w:sz w:val="24"/>
          <w:szCs w:val="24"/>
          <w:highlight w:val="none"/>
          <w:lang w:val="en-US" w:eastAsia="zh-CN"/>
        </w:rPr>
        <w:t>1%-2%，循环水量的计算通过</w:t>
      </w:r>
      <w:r>
        <w:rPr>
          <w:rFonts w:hint="eastAsia" w:ascii="Times New Roman" w:hAnsi="Times New Roman" w:eastAsia="宋体" w:cs="Times New Roman"/>
          <w:color w:val="auto"/>
          <w:sz w:val="24"/>
          <w:szCs w:val="24"/>
          <w:highlight w:val="none"/>
          <w:lang w:eastAsia="zh-CN"/>
        </w:rPr>
        <w:t>经验公式：</w:t>
      </w:r>
    </w:p>
    <w:p w14:paraId="496E3934">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eastAsia="zh-CN"/>
        </w:rPr>
        <w:t>循环水量</w:t>
      </w:r>
      <w:r>
        <w:rPr>
          <w:rFonts w:hint="eastAsia" w:cs="Times New Roman"/>
          <w:color w:val="auto"/>
          <w:sz w:val="24"/>
          <w:szCs w:val="24"/>
          <w:highlight w:val="none"/>
          <w:lang w:val="en-US" w:eastAsia="zh-CN"/>
        </w:rPr>
        <w:t>=1000</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0.86kcal/MW</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吸热量(MW)/一次网温度差(℃)</w:t>
      </w:r>
    </w:p>
    <w:p w14:paraId="3F5880B0">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color w:val="auto"/>
          <w:sz w:val="24"/>
          <w:szCs w:val="24"/>
          <w:highlight w:val="none"/>
          <w:lang w:val="en-US" w:eastAsia="zh-CN"/>
        </w:rPr>
      </w:pPr>
      <w:r>
        <w:rPr>
          <w:rFonts w:hint="eastAsia" w:cs="Times New Roman"/>
          <w:color w:val="auto"/>
          <w:sz w:val="24"/>
          <w:szCs w:val="24"/>
          <w:highlight w:val="none"/>
          <w:lang w:eastAsia="zh-CN"/>
        </w:rPr>
        <w:t>即循环水量</w:t>
      </w:r>
      <w:r>
        <w:rPr>
          <w:rFonts w:hint="eastAsia" w:cs="Times New Roman"/>
          <w:color w:val="auto"/>
          <w:sz w:val="24"/>
          <w:szCs w:val="24"/>
          <w:highlight w:val="none"/>
          <w:lang w:val="en-US" w:eastAsia="zh-CN"/>
        </w:rPr>
        <w:t>=1000</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0.86</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1.4</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85</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60</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48</w:t>
      </w:r>
      <w:r>
        <w:rPr>
          <w:rFonts w:hint="eastAsia"/>
          <w:color w:val="auto"/>
          <w:sz w:val="24"/>
          <w:szCs w:val="24"/>
          <w:highlight w:val="none"/>
          <w:lang w:val="en-US" w:eastAsia="zh-CN"/>
        </w:rPr>
        <w:t>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/h</w:t>
      </w:r>
    </w:p>
    <w:p w14:paraId="1EF262DD">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color w:val="auto"/>
          <w:sz w:val="24"/>
          <w:szCs w:val="24"/>
          <w:highlight w:val="none"/>
          <w:lang w:val="en-US" w:eastAsia="zh-CN"/>
        </w:rPr>
      </w:pPr>
      <w:r>
        <w:rPr>
          <w:rFonts w:hint="eastAsia"/>
          <w:color w:val="auto"/>
          <w:sz w:val="24"/>
          <w:szCs w:val="24"/>
          <w:highlight w:val="none"/>
          <w:lang w:val="en-US" w:eastAsia="zh-CN"/>
        </w:rPr>
        <w:t>则补水量=48</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1.0</w:t>
      </w:r>
      <w:r>
        <w:rPr>
          <w:rFonts w:hint="eastAsia"/>
          <w:color w:val="auto"/>
          <w:sz w:val="24"/>
          <w:szCs w:val="24"/>
          <w:highlight w:val="none"/>
          <w:lang w:val="en-US" w:eastAsia="zh-CN"/>
        </w:rPr>
        <w:t>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/h，锅炉每天运行16h，即补水量16m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/d，全年补水量为2880m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w:t>
      </w:r>
    </w:p>
    <w:p w14:paraId="6E9AAEE2">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b w:val="0"/>
          <w:bCs w:val="0"/>
          <w:color w:val="auto"/>
          <w:sz w:val="24"/>
          <w:szCs w:val="24"/>
          <w:highlight w:val="none"/>
          <w:lang w:val="en-US" w:eastAsia="zh-CN"/>
        </w:rPr>
      </w:pPr>
      <w:r>
        <w:rPr>
          <w:rFonts w:hint="eastAsia"/>
          <w:b w:val="0"/>
          <w:bCs w:val="0"/>
          <w:color w:val="auto"/>
          <w:sz w:val="24"/>
          <w:highlight w:val="none"/>
          <w:lang w:val="en-US" w:eastAsia="zh-CN"/>
        </w:rPr>
        <w:fldChar w:fldCharType="begin"/>
      </w:r>
      <w:r>
        <w:rPr>
          <w:rFonts w:hint="eastAsia"/>
          <w:b w:val="0"/>
          <w:bCs w:val="0"/>
          <w:color w:val="auto"/>
          <w:sz w:val="24"/>
          <w:highlight w:val="none"/>
          <w:lang w:val="en-US" w:eastAsia="zh-CN"/>
        </w:rPr>
        <w:instrText xml:space="preserve"> = 2 \* GB3 \* MERGEFORMAT </w:instrText>
      </w:r>
      <w:r>
        <w:rPr>
          <w:rFonts w:hint="eastAsia"/>
          <w:b w:val="0"/>
          <w:bCs w:val="0"/>
          <w:color w:val="auto"/>
          <w:sz w:val="24"/>
          <w:highlight w:val="none"/>
          <w:lang w:val="en-US" w:eastAsia="zh-CN"/>
        </w:rPr>
        <w:fldChar w:fldCharType="separate"/>
      </w:r>
      <w:r>
        <w:rPr>
          <w:color w:val="auto"/>
          <w:highlight w:val="none"/>
        </w:rPr>
        <w:t>②</w:t>
      </w:r>
      <w:r>
        <w:rPr>
          <w:rFonts w:hint="eastAsia"/>
          <w:b w:val="0"/>
          <w:bCs w:val="0"/>
          <w:color w:val="auto"/>
          <w:sz w:val="24"/>
          <w:highlight w:val="none"/>
          <w:lang w:val="en-US" w:eastAsia="zh-CN"/>
        </w:rPr>
        <w:fldChar w:fldCharType="end"/>
      </w:r>
      <w:r>
        <w:rPr>
          <w:rFonts w:hint="eastAsia"/>
          <w:b w:val="0"/>
          <w:bCs w:val="0"/>
          <w:color w:val="auto"/>
          <w:sz w:val="24"/>
          <w:szCs w:val="24"/>
          <w:highlight w:val="none"/>
          <w:lang w:val="en-US" w:eastAsia="zh-CN"/>
        </w:rPr>
        <w:t>锅炉定排补充水</w:t>
      </w:r>
    </w:p>
    <w:p w14:paraId="4BC2F2A7">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color w:val="auto"/>
          <w:sz w:val="24"/>
          <w:szCs w:val="24"/>
          <w:highlight w:val="none"/>
          <w:lang w:val="en-US" w:eastAsia="zh-CN"/>
        </w:rPr>
      </w:pPr>
      <w:r>
        <w:rPr>
          <w:rFonts w:hint="eastAsia"/>
          <w:color w:val="auto"/>
          <w:sz w:val="24"/>
          <w:szCs w:val="24"/>
          <w:highlight w:val="none"/>
          <w:lang w:val="en-US" w:eastAsia="zh-CN"/>
        </w:rPr>
        <w:t>锅炉在运行过程中需定期排出锅炉底部含有沉淀物的水，由于锅炉排污要损失一些热量和水量，所以在保证锅炉热水或蒸汽质量的前提下要尽量减少锅炉排污率。</w:t>
      </w:r>
    </w:p>
    <w:p w14:paraId="56B0AD92">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color w:val="auto"/>
          <w:sz w:val="24"/>
          <w:szCs w:val="24"/>
          <w:highlight w:val="none"/>
          <w:lang w:val="en-US" w:eastAsia="zh-CN"/>
        </w:rPr>
      </w:pPr>
      <w:r>
        <w:rPr>
          <w:rFonts w:hint="eastAsia"/>
          <w:color w:val="auto"/>
          <w:sz w:val="24"/>
          <w:szCs w:val="24"/>
          <w:highlight w:val="none"/>
          <w:lang w:val="en-US" w:eastAsia="zh-CN"/>
        </w:rPr>
        <w:t>按照《热力计算标准》中热水锅炉排污率规定：以软化水为补给水的热电厂，其排污率不大于5％，同时为了防止因排污率过小，而使炉内有水渣积聚，锅炉的排污率也不应小于0.3％。本项目排污率取5%。</w:t>
      </w:r>
    </w:p>
    <w:p w14:paraId="47B0CC6D">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color w:val="auto"/>
          <w:sz w:val="24"/>
          <w:highlight w:val="none"/>
        </w:rPr>
      </w:pPr>
      <w:r>
        <w:rPr>
          <w:rFonts w:hint="eastAsia"/>
          <w:color w:val="auto"/>
          <w:sz w:val="24"/>
          <w:szCs w:val="24"/>
          <w:highlight w:val="none"/>
          <w:lang w:val="en-US" w:eastAsia="zh-CN"/>
        </w:rPr>
        <w:t>则锅炉定排水为2t/h（由1.4MW折合为2t/h）</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0.1</w:t>
      </w:r>
      <w:r>
        <w:rPr>
          <w:rFonts w:hint="eastAsia" w:ascii="Times New Roman" w:hAnsi="Times New Roman" w:eastAsia="宋体" w:cs="Times New Roman"/>
          <w:color w:val="auto"/>
          <w:sz w:val="24"/>
          <w:szCs w:val="24"/>
          <w:highlight w:val="none"/>
          <w:lang w:val="en-US" w:eastAsia="zh-CN"/>
        </w:rPr>
        <w:t>t/h，合</w:t>
      </w:r>
      <w:r>
        <w:rPr>
          <w:rFonts w:hint="eastAsia" w:cs="Times New Roman"/>
          <w:color w:val="auto"/>
          <w:sz w:val="24"/>
          <w:szCs w:val="24"/>
          <w:highlight w:val="none"/>
          <w:lang w:val="en-US" w:eastAsia="zh-CN"/>
        </w:rPr>
        <w:t>1.6</w:t>
      </w:r>
      <w:r>
        <w:rPr>
          <w:rFonts w:hint="eastAsia"/>
          <w:color w:val="auto"/>
          <w:sz w:val="24"/>
          <w:szCs w:val="24"/>
          <w:highlight w:val="none"/>
          <w:lang w:val="en-US" w:eastAsia="zh-CN"/>
        </w:rPr>
        <w:t>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/d，全年定排废水为288m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/a，由软水制备系统提供。锅炉定排废水</w:t>
      </w:r>
      <w:r>
        <w:rPr>
          <w:rFonts w:hint="eastAsia"/>
          <w:color w:val="auto"/>
          <w:sz w:val="24"/>
          <w:highlight w:val="none"/>
        </w:rPr>
        <w:t>用于</w:t>
      </w:r>
      <w:r>
        <w:rPr>
          <w:rFonts w:hint="eastAsia"/>
          <w:color w:val="auto"/>
          <w:sz w:val="24"/>
          <w:highlight w:val="none"/>
          <w:lang w:eastAsia="zh-CN"/>
        </w:rPr>
        <w:t>厂区内绿化及运输道路降尘</w:t>
      </w:r>
      <w:r>
        <w:rPr>
          <w:rFonts w:hint="eastAsia"/>
          <w:color w:val="auto"/>
          <w:sz w:val="24"/>
          <w:highlight w:val="none"/>
        </w:rPr>
        <w:t>。</w:t>
      </w:r>
    </w:p>
    <w:p w14:paraId="2BC9DB11">
      <w:pPr>
        <w:spacing w:line="360" w:lineRule="auto"/>
        <w:ind w:firstLine="480" w:firstLineChars="200"/>
        <w:rPr>
          <w:color w:val="auto"/>
          <w:sz w:val="24"/>
        </w:rPr>
      </w:pPr>
      <w:r>
        <w:rPr>
          <w:rFonts w:hint="eastAsia"/>
          <w:color w:val="auto"/>
          <w:sz w:val="24"/>
        </w:rPr>
        <w:t>（7）</w:t>
      </w:r>
      <w:r>
        <w:rPr>
          <w:rFonts w:hint="eastAsia"/>
          <w:color w:val="auto"/>
          <w:sz w:val="24"/>
          <w:lang w:eastAsia="zh-CN"/>
        </w:rPr>
        <w:t>软水制备系统</w:t>
      </w:r>
      <w:r>
        <w:rPr>
          <w:rFonts w:hint="eastAsia"/>
          <w:color w:val="auto"/>
          <w:sz w:val="24"/>
        </w:rPr>
        <w:t>反冲洗废水</w:t>
      </w:r>
    </w:p>
    <w:p w14:paraId="0CC62971">
      <w:pPr>
        <w:autoSpaceDE w:val="0"/>
        <w:autoSpaceDN w:val="0"/>
        <w:spacing w:line="360" w:lineRule="auto"/>
        <w:ind w:firstLine="480" w:firstLineChars="200"/>
        <w:rPr>
          <w:color w:val="auto"/>
          <w:sz w:val="24"/>
        </w:rPr>
      </w:pPr>
      <w:r>
        <w:rPr>
          <w:rFonts w:hint="eastAsia"/>
          <w:color w:val="auto"/>
          <w:sz w:val="24"/>
        </w:rPr>
        <w:t>锅炉用水采用全自动钠离子交换系统进行水质软化处理，交换器内的离子树脂约一周再生一次，再生方式采用8%的氯化钠溶液进行冲洗，本项目软化水系统自带盐箱，再生时直接在盐箱上加水进行冲洗即可，根据</w:t>
      </w:r>
      <w:r>
        <w:rPr>
          <w:color w:val="auto"/>
          <w:sz w:val="24"/>
        </w:rPr>
        <w:t>《工业锅炉房设计手册》</w:t>
      </w:r>
      <w:r>
        <w:rPr>
          <w:rFonts w:hint="eastAsia"/>
          <w:color w:val="auto"/>
          <w:sz w:val="24"/>
        </w:rPr>
        <w:t>：对于阳离子交换树脂冲洗耗水量，按每立方米每次用水5-8m</w:t>
      </w:r>
      <w:r>
        <w:rPr>
          <w:rFonts w:hint="eastAsia"/>
          <w:color w:val="auto"/>
          <w:sz w:val="24"/>
          <w:vertAlign w:val="superscript"/>
        </w:rPr>
        <w:t>3</w:t>
      </w:r>
      <w:r>
        <w:rPr>
          <w:rFonts w:hint="eastAsia"/>
          <w:color w:val="auto"/>
          <w:sz w:val="24"/>
        </w:rPr>
        <w:t>估算。本次评价冲洗水量按5m</w:t>
      </w:r>
      <w:r>
        <w:rPr>
          <w:rFonts w:hint="eastAsia"/>
          <w:color w:val="auto"/>
          <w:sz w:val="24"/>
          <w:vertAlign w:val="superscript"/>
        </w:rPr>
        <w:t>3</w:t>
      </w:r>
      <w:r>
        <w:rPr>
          <w:rFonts w:hint="eastAsia"/>
          <w:color w:val="auto"/>
          <w:sz w:val="24"/>
        </w:rPr>
        <w:t>/次·m</w:t>
      </w:r>
      <w:r>
        <w:rPr>
          <w:rFonts w:hint="eastAsia"/>
          <w:color w:val="auto"/>
          <w:sz w:val="24"/>
          <w:vertAlign w:val="superscript"/>
        </w:rPr>
        <w:t>3</w:t>
      </w:r>
      <w:r>
        <w:rPr>
          <w:rFonts w:hint="eastAsia"/>
          <w:color w:val="auto"/>
          <w:sz w:val="24"/>
        </w:rPr>
        <w:t>计算，离子交换树脂体积为25L，即1套软化水设备再生需要补充新鲜水量为：0.025m</w:t>
      </w:r>
      <w:r>
        <w:rPr>
          <w:rFonts w:hint="eastAsia"/>
          <w:color w:val="auto"/>
          <w:sz w:val="24"/>
          <w:vertAlign w:val="superscript"/>
        </w:rPr>
        <w:t>3</w:t>
      </w:r>
      <w:r>
        <w:rPr>
          <w:color w:val="auto"/>
          <w:sz w:val="24"/>
        </w:rPr>
        <w:t>×</w:t>
      </w:r>
      <w:r>
        <w:rPr>
          <w:rFonts w:hint="eastAsia"/>
          <w:color w:val="auto"/>
          <w:sz w:val="24"/>
        </w:rPr>
        <w:t>5</w:t>
      </w:r>
      <w:r>
        <w:rPr>
          <w:rFonts w:hint="default" w:ascii="Arial" w:hAnsi="Arial" w:cs="Arial"/>
          <w:color w:val="auto"/>
          <w:sz w:val="24"/>
        </w:rPr>
        <w:t>÷</w:t>
      </w:r>
      <w:r>
        <w:rPr>
          <w:rFonts w:hint="eastAsia"/>
          <w:color w:val="auto"/>
          <w:sz w:val="24"/>
        </w:rPr>
        <w:t>7=0.018m</w:t>
      </w:r>
      <w:r>
        <w:rPr>
          <w:rFonts w:hint="eastAsia"/>
          <w:color w:val="auto"/>
          <w:sz w:val="24"/>
          <w:vertAlign w:val="superscript"/>
        </w:rPr>
        <w:t>3</w:t>
      </w:r>
      <w:r>
        <w:rPr>
          <w:rFonts w:hint="eastAsia"/>
          <w:color w:val="auto"/>
          <w:sz w:val="24"/>
        </w:rPr>
        <w:t>/d，</w:t>
      </w:r>
      <w:r>
        <w:rPr>
          <w:rFonts w:hint="eastAsia"/>
          <w:color w:val="auto"/>
          <w:sz w:val="24"/>
          <w:lang w:eastAsia="zh-CN"/>
        </w:rPr>
        <w:t>供暖</w:t>
      </w:r>
      <w:r>
        <w:rPr>
          <w:rFonts w:hint="eastAsia"/>
          <w:color w:val="auto"/>
          <w:sz w:val="24"/>
        </w:rPr>
        <w:t>天数约1</w:t>
      </w:r>
      <w:r>
        <w:rPr>
          <w:rFonts w:hint="eastAsia"/>
          <w:color w:val="auto"/>
          <w:sz w:val="24"/>
          <w:lang w:val="en-US" w:eastAsia="zh-CN"/>
        </w:rPr>
        <w:t>8</w:t>
      </w:r>
      <w:r>
        <w:rPr>
          <w:rFonts w:hint="eastAsia"/>
          <w:color w:val="auto"/>
          <w:sz w:val="24"/>
        </w:rPr>
        <w:t>0天，则软化水制备设备再生需要补充新鲜水量为</w:t>
      </w:r>
      <w:r>
        <w:rPr>
          <w:rFonts w:hint="eastAsia"/>
          <w:color w:val="auto"/>
          <w:sz w:val="24"/>
          <w:lang w:val="en-US" w:eastAsia="zh-CN"/>
        </w:rPr>
        <w:t>3.24</w:t>
      </w:r>
      <w:r>
        <w:rPr>
          <w:color w:val="auto"/>
          <w:sz w:val="24"/>
        </w:rPr>
        <w:t>t/a</w:t>
      </w:r>
      <w:r>
        <w:rPr>
          <w:rFonts w:hint="eastAsia"/>
          <w:color w:val="auto"/>
          <w:sz w:val="24"/>
        </w:rPr>
        <w:t>。</w:t>
      </w:r>
      <w:r>
        <w:rPr>
          <w:color w:val="auto"/>
          <w:sz w:val="24"/>
        </w:rPr>
        <w:t>反冲洗</w:t>
      </w:r>
      <w:r>
        <w:rPr>
          <w:rFonts w:hint="eastAsia"/>
          <w:color w:val="auto"/>
          <w:sz w:val="24"/>
        </w:rPr>
        <w:t>废</w:t>
      </w:r>
      <w:r>
        <w:rPr>
          <w:color w:val="auto"/>
          <w:sz w:val="24"/>
        </w:rPr>
        <w:t>水产生量</w:t>
      </w:r>
      <w:r>
        <w:rPr>
          <w:rFonts w:hint="eastAsia"/>
          <w:color w:val="auto"/>
          <w:sz w:val="24"/>
          <w:lang w:val="en-US" w:eastAsia="zh-CN"/>
        </w:rPr>
        <w:t>3.24</w:t>
      </w:r>
      <w:r>
        <w:rPr>
          <w:color w:val="auto"/>
          <w:sz w:val="24"/>
        </w:rPr>
        <w:t>t/a</w:t>
      </w:r>
      <w:r>
        <w:rPr>
          <w:rFonts w:hint="eastAsia"/>
          <w:color w:val="auto"/>
          <w:sz w:val="24"/>
        </w:rPr>
        <w:t>，</w:t>
      </w:r>
      <w:r>
        <w:rPr>
          <w:rFonts w:hint="eastAsia"/>
          <w:color w:val="auto"/>
          <w:sz w:val="24"/>
          <w:lang w:eastAsia="zh-CN"/>
        </w:rPr>
        <w:t>软化水制备废水</w:t>
      </w:r>
      <w:r>
        <w:rPr>
          <w:rFonts w:hint="eastAsia"/>
          <w:color w:val="auto"/>
          <w:sz w:val="24"/>
        </w:rPr>
        <w:t>用于</w:t>
      </w:r>
      <w:r>
        <w:rPr>
          <w:rFonts w:hint="eastAsia"/>
          <w:color w:val="auto"/>
          <w:sz w:val="24"/>
          <w:lang w:eastAsia="zh-CN"/>
        </w:rPr>
        <w:t>厂区内绿化及运输道路降尘</w:t>
      </w:r>
      <w:r>
        <w:rPr>
          <w:rFonts w:hint="eastAsia"/>
          <w:color w:val="auto"/>
          <w:sz w:val="24"/>
        </w:rPr>
        <w:t>。</w:t>
      </w:r>
    </w:p>
    <w:p w14:paraId="49426244">
      <w:pPr>
        <w:spacing w:line="360" w:lineRule="auto"/>
        <w:ind w:firstLine="480" w:firstLineChars="200"/>
        <w:rPr>
          <w:color w:val="auto"/>
          <w:sz w:val="24"/>
        </w:rPr>
      </w:pPr>
      <w:r>
        <w:rPr>
          <w:color w:val="auto"/>
          <w:sz w:val="24"/>
        </w:rPr>
        <w:t>（</w:t>
      </w:r>
      <w:r>
        <w:rPr>
          <w:rFonts w:hint="eastAsia"/>
          <w:color w:val="auto"/>
          <w:sz w:val="24"/>
          <w:lang w:val="en-US" w:eastAsia="zh-CN"/>
        </w:rPr>
        <w:t>8</w:t>
      </w:r>
      <w:r>
        <w:rPr>
          <w:color w:val="auto"/>
          <w:sz w:val="24"/>
        </w:rPr>
        <w:t>）职工生活污水</w:t>
      </w:r>
    </w:p>
    <w:p w14:paraId="3525AA10">
      <w:pPr>
        <w:spacing w:line="360" w:lineRule="auto"/>
        <w:ind w:firstLine="480" w:firstLineChars="200"/>
        <w:rPr>
          <w:color w:val="auto"/>
          <w:sz w:val="24"/>
        </w:rPr>
      </w:pPr>
      <w:r>
        <w:rPr>
          <w:color w:val="auto"/>
          <w:sz w:val="24"/>
        </w:rPr>
        <w:t>本项目运营期职工人数为</w:t>
      </w:r>
      <w:r>
        <w:rPr>
          <w:rFonts w:hint="eastAsia"/>
          <w:color w:val="auto"/>
          <w:sz w:val="24"/>
          <w:lang w:val="en-US" w:eastAsia="zh-CN"/>
        </w:rPr>
        <w:t>60</w:t>
      </w:r>
      <w:r>
        <w:rPr>
          <w:color w:val="auto"/>
          <w:sz w:val="24"/>
        </w:rPr>
        <w:t>人，职工生活用水量按30L/（人·d）计，年工作日365天，项目职工生活用水量约为</w:t>
      </w:r>
      <w:r>
        <w:rPr>
          <w:rFonts w:hint="eastAsia"/>
          <w:color w:val="auto"/>
          <w:sz w:val="24"/>
          <w:lang w:val="en-US" w:eastAsia="zh-CN"/>
        </w:rPr>
        <w:t>657</w:t>
      </w:r>
      <w:r>
        <w:rPr>
          <w:color w:val="auto"/>
          <w:sz w:val="24"/>
        </w:rPr>
        <w:t>t/a（</w:t>
      </w:r>
      <w:r>
        <w:rPr>
          <w:rFonts w:hint="eastAsia"/>
          <w:color w:val="auto"/>
          <w:sz w:val="24"/>
          <w:lang w:val="en-US" w:eastAsia="zh-CN"/>
        </w:rPr>
        <w:t>1.8</w:t>
      </w:r>
      <w:r>
        <w:rPr>
          <w:color w:val="auto"/>
          <w:sz w:val="24"/>
        </w:rPr>
        <w:t>t/d）。生活污水排放量按用水量的80％计，生活污水排放量为</w:t>
      </w:r>
      <w:r>
        <w:rPr>
          <w:rFonts w:hint="eastAsia"/>
          <w:color w:val="auto"/>
          <w:sz w:val="24"/>
          <w:lang w:val="en-US" w:eastAsia="zh-CN"/>
        </w:rPr>
        <w:t>525.6</w:t>
      </w:r>
      <w:r>
        <w:rPr>
          <w:color w:val="auto"/>
          <w:sz w:val="24"/>
        </w:rPr>
        <w:t>t/a（</w:t>
      </w:r>
      <w:r>
        <w:rPr>
          <w:rFonts w:hint="eastAsia"/>
          <w:color w:val="auto"/>
          <w:sz w:val="24"/>
          <w:lang w:val="en-US" w:eastAsia="zh-CN"/>
        </w:rPr>
        <w:t>1.44</w:t>
      </w:r>
      <w:r>
        <w:rPr>
          <w:color w:val="auto"/>
          <w:sz w:val="24"/>
        </w:rPr>
        <w:t>t/d），生活污水排入旱厕定期清掏</w:t>
      </w:r>
      <w:r>
        <w:rPr>
          <w:rFonts w:hint="eastAsia"/>
          <w:color w:val="auto"/>
          <w:sz w:val="24"/>
        </w:rPr>
        <w:t>，</w:t>
      </w:r>
      <w:r>
        <w:rPr>
          <w:rFonts w:hint="eastAsia"/>
          <w:color w:val="auto"/>
          <w:sz w:val="24"/>
          <w:lang w:eastAsia="zh-CN"/>
        </w:rPr>
        <w:t>用作农肥</w:t>
      </w:r>
      <w:r>
        <w:rPr>
          <w:color w:val="auto"/>
          <w:sz w:val="24"/>
        </w:rPr>
        <w:t>。</w:t>
      </w:r>
    </w:p>
    <w:p w14:paraId="7F228E87">
      <w:pPr>
        <w:autoSpaceDE w:val="0"/>
        <w:autoSpaceDN w:val="0"/>
        <w:adjustRightInd w:val="0"/>
        <w:snapToGrid w:val="0"/>
        <w:spacing w:line="360" w:lineRule="auto"/>
        <w:ind w:firstLine="480" w:firstLineChars="200"/>
        <w:rPr>
          <w:color w:val="auto"/>
          <w:sz w:val="24"/>
        </w:rPr>
      </w:pPr>
      <w:r>
        <w:rPr>
          <w:color w:val="auto"/>
          <w:sz w:val="24"/>
        </w:rPr>
        <w:t>（</w:t>
      </w:r>
      <w:r>
        <w:rPr>
          <w:rFonts w:hint="eastAsia"/>
          <w:color w:val="auto"/>
          <w:sz w:val="24"/>
          <w:lang w:val="en-US" w:eastAsia="zh-CN"/>
        </w:rPr>
        <w:t>9</w:t>
      </w:r>
      <w:r>
        <w:rPr>
          <w:color w:val="auto"/>
          <w:sz w:val="24"/>
        </w:rPr>
        <w:t>）食堂废水</w:t>
      </w:r>
    </w:p>
    <w:p w14:paraId="4B79699C">
      <w:pPr>
        <w:snapToGrid w:val="0"/>
        <w:spacing w:line="360" w:lineRule="auto"/>
        <w:ind w:firstLine="480" w:firstLineChars="200"/>
        <w:rPr>
          <w:color w:val="auto"/>
          <w:sz w:val="24"/>
        </w:rPr>
      </w:pPr>
      <w:r>
        <w:rPr>
          <w:color w:val="auto"/>
          <w:sz w:val="24"/>
        </w:rPr>
        <w:t>食堂在运营过程中的废水主要为食材清洗水、餐具清洗水，职工食堂的用水定额为20-25L/人·餐”，本项目取20L/人·餐，</w:t>
      </w:r>
      <w:r>
        <w:rPr>
          <w:bCs/>
          <w:color w:val="auto"/>
          <w:sz w:val="24"/>
        </w:rPr>
        <w:t>项目就餐人数为</w:t>
      </w:r>
      <w:r>
        <w:rPr>
          <w:rFonts w:hint="eastAsia"/>
          <w:bCs/>
          <w:color w:val="auto"/>
          <w:sz w:val="24"/>
          <w:lang w:val="en-US" w:eastAsia="zh-CN"/>
        </w:rPr>
        <w:t>60</w:t>
      </w:r>
      <w:r>
        <w:rPr>
          <w:bCs/>
          <w:color w:val="auto"/>
          <w:sz w:val="24"/>
        </w:rPr>
        <w:t>人，</w:t>
      </w:r>
      <w:r>
        <w:rPr>
          <w:color w:val="auto"/>
          <w:sz w:val="24"/>
        </w:rPr>
        <w:t>提供</w:t>
      </w:r>
      <w:r>
        <w:rPr>
          <w:rFonts w:hint="eastAsia"/>
          <w:color w:val="auto"/>
          <w:sz w:val="24"/>
          <w:lang w:eastAsia="zh-CN"/>
        </w:rPr>
        <w:t>午</w:t>
      </w:r>
      <w:r>
        <w:rPr>
          <w:color w:val="auto"/>
          <w:sz w:val="24"/>
        </w:rPr>
        <w:t>餐，则年用水量为</w:t>
      </w:r>
      <w:r>
        <w:rPr>
          <w:rFonts w:hint="eastAsia"/>
          <w:color w:val="auto"/>
          <w:sz w:val="24"/>
          <w:lang w:val="en-US" w:eastAsia="zh-CN"/>
        </w:rPr>
        <w:t>438</w:t>
      </w:r>
      <w:r>
        <w:rPr>
          <w:color w:val="auto"/>
          <w:sz w:val="24"/>
        </w:rPr>
        <w:t>t，排水量按总用水量的80%计，则排水量为</w:t>
      </w:r>
      <w:r>
        <w:rPr>
          <w:rFonts w:hint="eastAsia"/>
          <w:color w:val="auto"/>
          <w:sz w:val="24"/>
          <w:lang w:val="en-US" w:eastAsia="zh-CN"/>
        </w:rPr>
        <w:t>350.4</w:t>
      </w:r>
      <w:r>
        <w:rPr>
          <w:color w:val="auto"/>
          <w:sz w:val="24"/>
        </w:rPr>
        <w:t>t/a，经隔油池处理后，排入旱厕，定期清淘</w:t>
      </w:r>
      <w:r>
        <w:rPr>
          <w:rFonts w:hint="eastAsia"/>
          <w:color w:val="auto"/>
          <w:sz w:val="24"/>
          <w:lang w:eastAsia="zh-CN"/>
        </w:rPr>
        <w:t>用作农肥</w:t>
      </w:r>
      <w:r>
        <w:rPr>
          <w:color w:val="auto"/>
          <w:sz w:val="24"/>
        </w:rPr>
        <w:t>。</w:t>
      </w:r>
    </w:p>
    <w:p w14:paraId="06A93ECB">
      <w:pPr>
        <w:pStyle w:val="458"/>
        <w:spacing w:line="360" w:lineRule="auto"/>
        <w:ind w:firstLine="480" w:firstLineChars="200"/>
        <w:jc w:val="left"/>
        <w:rPr>
          <w:rFonts w:hint="eastAsia" w:eastAsia="宋体"/>
          <w:color w:val="auto"/>
          <w:lang w:eastAsia="zh-CN"/>
        </w:rPr>
      </w:pPr>
      <w:r>
        <w:rPr>
          <w:rFonts w:eastAsia="宋体"/>
          <w:color w:val="auto"/>
        </w:rPr>
        <w:t>（二）项目</w:t>
      </w:r>
      <w:r>
        <w:rPr>
          <w:rFonts w:hint="eastAsia" w:eastAsia="宋体"/>
          <w:color w:val="auto"/>
          <w:lang w:eastAsia="zh-CN"/>
        </w:rPr>
        <w:t>废水源强</w:t>
      </w:r>
    </w:p>
    <w:p w14:paraId="0E84E7EC">
      <w:pPr>
        <w:spacing w:line="360" w:lineRule="auto"/>
        <w:ind w:firstLine="480" w:firstLineChars="200"/>
        <w:rPr>
          <w:color w:val="auto"/>
          <w:sz w:val="24"/>
          <w:szCs w:val="24"/>
        </w:rPr>
      </w:pPr>
      <w:r>
        <w:rPr>
          <w:rFonts w:hint="eastAsia"/>
          <w:color w:val="auto"/>
          <w:sz w:val="24"/>
          <w:szCs w:val="24"/>
          <w:lang w:eastAsia="zh-CN"/>
        </w:rPr>
        <w:t>（</w:t>
      </w:r>
      <w:r>
        <w:rPr>
          <w:rFonts w:hint="eastAsia"/>
          <w:color w:val="auto"/>
          <w:sz w:val="24"/>
          <w:szCs w:val="24"/>
          <w:lang w:val="en-US" w:eastAsia="zh-CN"/>
        </w:rPr>
        <w:t>1</w:t>
      </w:r>
      <w:r>
        <w:rPr>
          <w:rFonts w:hint="eastAsia"/>
          <w:color w:val="auto"/>
          <w:sz w:val="24"/>
          <w:szCs w:val="24"/>
          <w:lang w:eastAsia="zh-CN"/>
        </w:rPr>
        <w:t>）</w:t>
      </w:r>
      <w:r>
        <w:rPr>
          <w:rFonts w:eastAsia="宋体"/>
          <w:color w:val="auto"/>
          <w:sz w:val="24"/>
          <w:szCs w:val="24"/>
        </w:rPr>
        <w:t>生活废水污染物源强</w:t>
      </w:r>
    </w:p>
    <w:p w14:paraId="33E7828F">
      <w:pPr>
        <w:spacing w:line="360" w:lineRule="auto"/>
        <w:ind w:firstLine="480" w:firstLineChars="200"/>
        <w:rPr>
          <w:color w:val="auto"/>
          <w:sz w:val="24"/>
          <w:highlight w:val="yellow"/>
        </w:rPr>
      </w:pPr>
      <w:r>
        <w:rPr>
          <w:color w:val="auto"/>
          <w:sz w:val="24"/>
        </w:rPr>
        <w:t>本项目食堂废水经隔油池处理后同生活污水一起排入旱厕定期清掏</w:t>
      </w:r>
      <w:r>
        <w:rPr>
          <w:rFonts w:hint="eastAsia"/>
          <w:color w:val="auto"/>
          <w:sz w:val="24"/>
        </w:rPr>
        <w:t>，</w:t>
      </w:r>
      <w:r>
        <w:rPr>
          <w:rFonts w:hint="eastAsia"/>
          <w:color w:val="auto"/>
          <w:sz w:val="24"/>
          <w:lang w:eastAsia="zh-CN"/>
        </w:rPr>
        <w:t>用作农肥</w:t>
      </w:r>
      <w:r>
        <w:rPr>
          <w:color w:val="auto"/>
          <w:sz w:val="24"/>
        </w:rPr>
        <w:t>。生活污水中主要污染物为SS、BOD</w:t>
      </w:r>
      <w:r>
        <w:rPr>
          <w:color w:val="auto"/>
          <w:sz w:val="24"/>
          <w:vertAlign w:val="subscript"/>
        </w:rPr>
        <w:t>5</w:t>
      </w:r>
      <w:r>
        <w:rPr>
          <w:color w:val="auto"/>
          <w:sz w:val="24"/>
        </w:rPr>
        <w:t>、CODcr、</w:t>
      </w:r>
      <w:r>
        <w:rPr>
          <w:rFonts w:hint="eastAsia"/>
          <w:color w:val="auto"/>
          <w:sz w:val="24"/>
          <w:lang w:eastAsia="zh-CN"/>
        </w:rPr>
        <w:t>氨氮</w:t>
      </w:r>
      <w:r>
        <w:rPr>
          <w:color w:val="auto"/>
          <w:sz w:val="24"/>
        </w:rPr>
        <w:t>等，废水产生浓度参照企事业单位纯生活污水相关监测资料数据。本项目生活废水污染物见表3</w:t>
      </w:r>
      <w:r>
        <w:rPr>
          <w:rFonts w:hint="eastAsia"/>
          <w:color w:val="auto"/>
          <w:sz w:val="24"/>
          <w:lang w:val="en-US" w:eastAsia="zh-CN"/>
        </w:rPr>
        <w:t>.4-13</w:t>
      </w:r>
      <w:r>
        <w:rPr>
          <w:color w:val="auto"/>
          <w:sz w:val="24"/>
        </w:rPr>
        <w:t>。</w:t>
      </w:r>
    </w:p>
    <w:p w14:paraId="47056D56">
      <w:pPr>
        <w:pStyle w:val="458"/>
        <w:rPr>
          <w:rFonts w:eastAsia="宋体"/>
          <w:b/>
          <w:color w:val="auto"/>
          <w:sz w:val="21"/>
          <w:szCs w:val="21"/>
        </w:rPr>
      </w:pPr>
      <w:r>
        <w:rPr>
          <w:rFonts w:eastAsia="宋体"/>
          <w:b/>
          <w:color w:val="auto"/>
          <w:sz w:val="21"/>
          <w:szCs w:val="21"/>
        </w:rPr>
        <w:t>表3</w:t>
      </w:r>
      <w:r>
        <w:rPr>
          <w:rFonts w:hint="eastAsia" w:eastAsia="宋体"/>
          <w:b/>
          <w:color w:val="auto"/>
          <w:sz w:val="21"/>
          <w:szCs w:val="21"/>
          <w:lang w:val="en-US" w:eastAsia="zh-CN"/>
        </w:rPr>
        <w:t xml:space="preserve">.4-13   </w:t>
      </w:r>
      <w:r>
        <w:rPr>
          <w:rFonts w:eastAsia="宋体"/>
          <w:b/>
          <w:color w:val="auto"/>
          <w:sz w:val="21"/>
          <w:szCs w:val="21"/>
        </w:rPr>
        <w:t xml:space="preserve"> 项目生活废水污染物览表</w:t>
      </w:r>
    </w:p>
    <w:tbl>
      <w:tblPr>
        <w:tblStyle w:val="53"/>
        <w:tblW w:w="4997" w:type="pct"/>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46"/>
        <w:gridCol w:w="800"/>
        <w:gridCol w:w="1194"/>
        <w:gridCol w:w="713"/>
        <w:gridCol w:w="810"/>
        <w:gridCol w:w="1054"/>
        <w:gridCol w:w="1055"/>
        <w:gridCol w:w="1251"/>
      </w:tblGrid>
      <w:tr w14:paraId="231B2A1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4" w:type="pct"/>
            <w:gridSpan w:val="2"/>
            <w:vAlign w:val="center"/>
          </w:tcPr>
          <w:p w14:paraId="6FE5C563">
            <w:pPr>
              <w:adjustRightInd w:val="0"/>
              <w:snapToGrid w:val="0"/>
              <w:ind w:left="-105" w:leftChars="-50" w:right="-105" w:rightChars="-50"/>
              <w:jc w:val="center"/>
              <w:rPr>
                <w:b/>
                <w:snapToGrid w:val="0"/>
                <w:color w:val="auto"/>
                <w:kern w:val="0"/>
                <w:szCs w:val="21"/>
              </w:rPr>
            </w:pPr>
            <w:r>
              <w:rPr>
                <w:b/>
                <w:snapToGrid w:val="0"/>
                <w:color w:val="auto"/>
                <w:kern w:val="0"/>
                <w:szCs w:val="21"/>
              </w:rPr>
              <w:t>废水</w:t>
            </w:r>
          </w:p>
        </w:tc>
        <w:tc>
          <w:tcPr>
            <w:tcW w:w="700" w:type="pct"/>
            <w:vAlign w:val="center"/>
          </w:tcPr>
          <w:p w14:paraId="504A8159">
            <w:pPr>
              <w:adjustRightInd w:val="0"/>
              <w:snapToGrid w:val="0"/>
              <w:ind w:left="-105" w:leftChars="-50" w:right="-105" w:rightChars="-50"/>
              <w:jc w:val="center"/>
              <w:rPr>
                <w:b/>
                <w:snapToGrid w:val="0"/>
                <w:color w:val="auto"/>
                <w:kern w:val="0"/>
                <w:szCs w:val="21"/>
              </w:rPr>
            </w:pPr>
            <w:r>
              <w:rPr>
                <w:b/>
                <w:snapToGrid w:val="0"/>
                <w:color w:val="auto"/>
                <w:kern w:val="0"/>
                <w:szCs w:val="21"/>
              </w:rPr>
              <w:t>污染物名称</w:t>
            </w:r>
          </w:p>
        </w:tc>
        <w:tc>
          <w:tcPr>
            <w:tcW w:w="418" w:type="pct"/>
            <w:vAlign w:val="center"/>
          </w:tcPr>
          <w:p w14:paraId="664B4CC4">
            <w:pPr>
              <w:adjustRightInd w:val="0"/>
              <w:snapToGrid w:val="0"/>
              <w:ind w:left="-105" w:leftChars="-50" w:right="-105" w:rightChars="-50"/>
              <w:jc w:val="center"/>
              <w:rPr>
                <w:b/>
                <w:snapToGrid w:val="0"/>
                <w:color w:val="auto"/>
                <w:kern w:val="0"/>
                <w:szCs w:val="21"/>
              </w:rPr>
            </w:pPr>
            <w:r>
              <w:rPr>
                <w:b/>
                <w:snapToGrid w:val="0"/>
                <w:color w:val="auto"/>
                <w:kern w:val="0"/>
                <w:szCs w:val="21"/>
              </w:rPr>
              <w:t>pH</w:t>
            </w:r>
          </w:p>
        </w:tc>
        <w:tc>
          <w:tcPr>
            <w:tcW w:w="475" w:type="pct"/>
            <w:vAlign w:val="center"/>
          </w:tcPr>
          <w:p w14:paraId="1A83179A">
            <w:pPr>
              <w:adjustRightInd w:val="0"/>
              <w:snapToGrid w:val="0"/>
              <w:ind w:left="-105" w:leftChars="-50" w:right="-105" w:rightChars="-50"/>
              <w:jc w:val="center"/>
              <w:rPr>
                <w:b/>
                <w:snapToGrid w:val="0"/>
                <w:color w:val="auto"/>
                <w:kern w:val="0"/>
                <w:szCs w:val="21"/>
              </w:rPr>
            </w:pPr>
            <w:r>
              <w:rPr>
                <w:b/>
                <w:snapToGrid w:val="0"/>
                <w:color w:val="auto"/>
                <w:kern w:val="0"/>
                <w:szCs w:val="21"/>
              </w:rPr>
              <w:t>COD</w:t>
            </w:r>
            <w:r>
              <w:rPr>
                <w:b/>
                <w:snapToGrid w:val="0"/>
                <w:color w:val="auto"/>
                <w:kern w:val="0"/>
                <w:szCs w:val="21"/>
                <w:vertAlign w:val="subscript"/>
              </w:rPr>
              <w:t>cr</w:t>
            </w:r>
          </w:p>
        </w:tc>
        <w:tc>
          <w:tcPr>
            <w:tcW w:w="618" w:type="pct"/>
            <w:vAlign w:val="center"/>
          </w:tcPr>
          <w:p w14:paraId="6E12E89D">
            <w:pPr>
              <w:adjustRightInd w:val="0"/>
              <w:snapToGrid w:val="0"/>
              <w:ind w:left="-105" w:leftChars="-50" w:right="-105" w:rightChars="-50"/>
              <w:jc w:val="center"/>
              <w:rPr>
                <w:b/>
                <w:snapToGrid w:val="0"/>
                <w:color w:val="auto"/>
                <w:kern w:val="0"/>
                <w:szCs w:val="21"/>
              </w:rPr>
            </w:pPr>
            <w:r>
              <w:rPr>
                <w:b/>
                <w:snapToGrid w:val="0"/>
                <w:color w:val="auto"/>
                <w:kern w:val="0"/>
                <w:szCs w:val="21"/>
              </w:rPr>
              <w:t>BOD</w:t>
            </w:r>
            <w:r>
              <w:rPr>
                <w:b/>
                <w:snapToGrid w:val="0"/>
                <w:color w:val="auto"/>
                <w:kern w:val="0"/>
                <w:szCs w:val="21"/>
                <w:vertAlign w:val="subscript"/>
              </w:rPr>
              <w:t>5</w:t>
            </w:r>
          </w:p>
        </w:tc>
        <w:tc>
          <w:tcPr>
            <w:tcW w:w="618" w:type="pct"/>
            <w:vAlign w:val="center"/>
          </w:tcPr>
          <w:p w14:paraId="2F696967">
            <w:pPr>
              <w:adjustRightInd w:val="0"/>
              <w:snapToGrid w:val="0"/>
              <w:ind w:left="-105" w:leftChars="-50" w:right="-105" w:rightChars="-50"/>
              <w:jc w:val="center"/>
              <w:rPr>
                <w:b/>
                <w:snapToGrid w:val="0"/>
                <w:color w:val="auto"/>
                <w:kern w:val="0"/>
                <w:szCs w:val="21"/>
              </w:rPr>
            </w:pPr>
            <w:r>
              <w:rPr>
                <w:b/>
                <w:snapToGrid w:val="0"/>
                <w:color w:val="auto"/>
                <w:kern w:val="0"/>
                <w:szCs w:val="21"/>
              </w:rPr>
              <w:t>SS</w:t>
            </w:r>
          </w:p>
        </w:tc>
        <w:tc>
          <w:tcPr>
            <w:tcW w:w="733" w:type="pct"/>
            <w:vAlign w:val="center"/>
          </w:tcPr>
          <w:p w14:paraId="465A0F21">
            <w:pPr>
              <w:adjustRightInd w:val="0"/>
              <w:snapToGrid w:val="0"/>
              <w:ind w:left="-105" w:leftChars="-50" w:right="-105" w:rightChars="-50"/>
              <w:jc w:val="center"/>
              <w:rPr>
                <w:rFonts w:hint="eastAsia" w:eastAsia="宋体"/>
                <w:b/>
                <w:snapToGrid w:val="0"/>
                <w:color w:val="auto"/>
                <w:kern w:val="0"/>
                <w:szCs w:val="21"/>
                <w:lang w:eastAsia="zh-CN"/>
              </w:rPr>
            </w:pPr>
            <w:r>
              <w:rPr>
                <w:rFonts w:hint="eastAsia"/>
                <w:b/>
                <w:snapToGrid w:val="0"/>
                <w:color w:val="auto"/>
                <w:kern w:val="0"/>
                <w:szCs w:val="21"/>
                <w:lang w:eastAsia="zh-CN"/>
              </w:rPr>
              <w:t>氨氮</w:t>
            </w:r>
          </w:p>
        </w:tc>
      </w:tr>
      <w:tr w14:paraId="226B6D0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65" w:type="pct"/>
            <w:vMerge w:val="restart"/>
            <w:tcBorders>
              <w:right w:val="single" w:color="auto" w:sz="6" w:space="0"/>
            </w:tcBorders>
            <w:vAlign w:val="center"/>
          </w:tcPr>
          <w:p w14:paraId="7F352A23">
            <w:pPr>
              <w:adjustRightInd w:val="0"/>
              <w:snapToGrid w:val="0"/>
              <w:ind w:left="-105" w:leftChars="-50" w:right="-105" w:rightChars="-50"/>
              <w:jc w:val="center"/>
              <w:rPr>
                <w:snapToGrid w:val="0"/>
                <w:color w:val="auto"/>
                <w:kern w:val="0"/>
                <w:szCs w:val="21"/>
              </w:rPr>
            </w:pPr>
            <w:r>
              <w:rPr>
                <w:snapToGrid w:val="0"/>
                <w:color w:val="auto"/>
                <w:kern w:val="0"/>
                <w:szCs w:val="21"/>
              </w:rPr>
              <w:t>生活废水</w:t>
            </w:r>
          </w:p>
          <w:p w14:paraId="39FEF16A">
            <w:pPr>
              <w:adjustRightInd w:val="0"/>
              <w:snapToGrid w:val="0"/>
              <w:ind w:left="-105" w:leftChars="-50" w:right="-105" w:rightChars="-50"/>
              <w:jc w:val="center"/>
              <w:rPr>
                <w:snapToGrid w:val="0"/>
                <w:color w:val="auto"/>
                <w:kern w:val="0"/>
                <w:szCs w:val="21"/>
              </w:rPr>
            </w:pPr>
            <w:r>
              <w:rPr>
                <w:snapToGrid w:val="0"/>
                <w:color w:val="auto"/>
                <w:kern w:val="0"/>
                <w:szCs w:val="21"/>
              </w:rPr>
              <w:t>（含食堂用水）（t/a）</w:t>
            </w:r>
          </w:p>
        </w:tc>
        <w:tc>
          <w:tcPr>
            <w:tcW w:w="469" w:type="pct"/>
            <w:vMerge w:val="restart"/>
            <w:tcBorders>
              <w:left w:val="single" w:color="auto" w:sz="6" w:space="0"/>
            </w:tcBorders>
            <w:vAlign w:val="center"/>
          </w:tcPr>
          <w:p w14:paraId="30EF2ABC">
            <w:pPr>
              <w:adjustRightInd w:val="0"/>
              <w:snapToGrid w:val="0"/>
              <w:ind w:left="-105" w:leftChars="-50" w:right="-105" w:rightChars="-50"/>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876</w:t>
            </w:r>
          </w:p>
        </w:tc>
        <w:tc>
          <w:tcPr>
            <w:tcW w:w="700" w:type="pct"/>
            <w:vAlign w:val="center"/>
          </w:tcPr>
          <w:p w14:paraId="0EBA15E5">
            <w:pPr>
              <w:adjustRightInd w:val="0"/>
              <w:snapToGrid w:val="0"/>
              <w:ind w:left="-105" w:leftChars="-50" w:right="-105" w:rightChars="-50"/>
              <w:jc w:val="center"/>
              <w:rPr>
                <w:snapToGrid w:val="0"/>
                <w:color w:val="auto"/>
                <w:kern w:val="0"/>
                <w:szCs w:val="21"/>
              </w:rPr>
            </w:pPr>
            <w:r>
              <w:rPr>
                <w:snapToGrid w:val="0"/>
                <w:color w:val="auto"/>
                <w:kern w:val="0"/>
                <w:szCs w:val="21"/>
              </w:rPr>
              <w:t>产生浓度</w:t>
            </w:r>
          </w:p>
          <w:p w14:paraId="4ECBC9A0">
            <w:pPr>
              <w:adjustRightInd w:val="0"/>
              <w:snapToGrid w:val="0"/>
              <w:ind w:left="-105" w:leftChars="-50" w:right="-105" w:rightChars="-50"/>
              <w:jc w:val="center"/>
              <w:rPr>
                <w:snapToGrid w:val="0"/>
                <w:color w:val="auto"/>
                <w:kern w:val="0"/>
                <w:szCs w:val="21"/>
              </w:rPr>
            </w:pPr>
            <w:r>
              <w:rPr>
                <w:snapToGrid w:val="0"/>
                <w:color w:val="auto"/>
                <w:kern w:val="0"/>
                <w:szCs w:val="21"/>
              </w:rPr>
              <w:t>（mg/L）</w:t>
            </w:r>
          </w:p>
        </w:tc>
        <w:tc>
          <w:tcPr>
            <w:tcW w:w="418" w:type="pct"/>
            <w:vAlign w:val="center"/>
          </w:tcPr>
          <w:p w14:paraId="1470BA84">
            <w:pPr>
              <w:adjustRightInd w:val="0"/>
              <w:snapToGrid w:val="0"/>
              <w:ind w:left="-105" w:leftChars="-50" w:right="-105" w:rightChars="-50"/>
              <w:jc w:val="center"/>
              <w:rPr>
                <w:color w:val="auto"/>
                <w:szCs w:val="21"/>
              </w:rPr>
            </w:pPr>
            <w:r>
              <w:rPr>
                <w:snapToGrid w:val="0"/>
                <w:color w:val="auto"/>
                <w:kern w:val="0"/>
                <w:szCs w:val="21"/>
              </w:rPr>
              <w:t>6～9</w:t>
            </w:r>
          </w:p>
        </w:tc>
        <w:tc>
          <w:tcPr>
            <w:tcW w:w="475" w:type="pct"/>
            <w:vAlign w:val="center"/>
          </w:tcPr>
          <w:p w14:paraId="2872EBFF">
            <w:pPr>
              <w:widowControl/>
              <w:jc w:val="center"/>
              <w:textAlignment w:val="center"/>
              <w:rPr>
                <w:color w:val="auto"/>
                <w:szCs w:val="21"/>
              </w:rPr>
            </w:pPr>
            <w:r>
              <w:rPr>
                <w:color w:val="auto"/>
                <w:szCs w:val="21"/>
              </w:rPr>
              <w:t>350</w:t>
            </w:r>
          </w:p>
        </w:tc>
        <w:tc>
          <w:tcPr>
            <w:tcW w:w="618" w:type="pct"/>
            <w:vAlign w:val="center"/>
          </w:tcPr>
          <w:p w14:paraId="49A2ACEC">
            <w:pPr>
              <w:widowControl/>
              <w:jc w:val="center"/>
              <w:textAlignment w:val="center"/>
              <w:rPr>
                <w:color w:val="auto"/>
                <w:szCs w:val="21"/>
              </w:rPr>
            </w:pPr>
            <w:r>
              <w:rPr>
                <w:color w:val="auto"/>
                <w:szCs w:val="21"/>
              </w:rPr>
              <w:t>250</w:t>
            </w:r>
          </w:p>
        </w:tc>
        <w:tc>
          <w:tcPr>
            <w:tcW w:w="618" w:type="pct"/>
            <w:vAlign w:val="center"/>
          </w:tcPr>
          <w:p w14:paraId="0D6F35C4">
            <w:pPr>
              <w:widowControl/>
              <w:jc w:val="center"/>
              <w:textAlignment w:val="center"/>
              <w:rPr>
                <w:color w:val="auto"/>
                <w:szCs w:val="21"/>
              </w:rPr>
            </w:pPr>
            <w:r>
              <w:rPr>
                <w:color w:val="auto"/>
                <w:szCs w:val="21"/>
              </w:rPr>
              <w:t>250</w:t>
            </w:r>
          </w:p>
        </w:tc>
        <w:tc>
          <w:tcPr>
            <w:tcW w:w="733" w:type="pct"/>
            <w:vAlign w:val="center"/>
          </w:tcPr>
          <w:p w14:paraId="3B68CCDD">
            <w:pPr>
              <w:widowControl/>
              <w:jc w:val="center"/>
              <w:textAlignment w:val="center"/>
              <w:rPr>
                <w:color w:val="auto"/>
                <w:szCs w:val="21"/>
              </w:rPr>
            </w:pPr>
            <w:r>
              <w:rPr>
                <w:color w:val="auto"/>
                <w:szCs w:val="21"/>
              </w:rPr>
              <w:t>30</w:t>
            </w:r>
          </w:p>
        </w:tc>
      </w:tr>
      <w:tr w14:paraId="42114B8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PrEx>
        <w:trPr>
          <w:trHeight w:val="340" w:hRule="atLeast"/>
          <w:jc w:val="center"/>
        </w:trPr>
        <w:tc>
          <w:tcPr>
            <w:tcW w:w="965" w:type="pct"/>
            <w:vMerge w:val="continue"/>
            <w:tcBorders>
              <w:right w:val="single" w:color="auto" w:sz="6" w:space="0"/>
            </w:tcBorders>
            <w:vAlign w:val="center"/>
          </w:tcPr>
          <w:p w14:paraId="4BAC1819">
            <w:pPr>
              <w:adjustRightInd w:val="0"/>
              <w:snapToGrid w:val="0"/>
              <w:ind w:left="-105" w:leftChars="-50" w:right="-105" w:rightChars="-50"/>
              <w:jc w:val="center"/>
              <w:rPr>
                <w:snapToGrid w:val="0"/>
                <w:color w:val="auto"/>
                <w:kern w:val="0"/>
                <w:szCs w:val="21"/>
              </w:rPr>
            </w:pPr>
          </w:p>
        </w:tc>
        <w:tc>
          <w:tcPr>
            <w:tcW w:w="469" w:type="pct"/>
            <w:vMerge w:val="continue"/>
            <w:tcBorders>
              <w:left w:val="single" w:color="auto" w:sz="6" w:space="0"/>
            </w:tcBorders>
            <w:vAlign w:val="center"/>
          </w:tcPr>
          <w:p w14:paraId="4B58642C">
            <w:pPr>
              <w:adjustRightInd w:val="0"/>
              <w:snapToGrid w:val="0"/>
              <w:ind w:left="-105" w:leftChars="-50" w:right="-105" w:rightChars="-50"/>
              <w:jc w:val="center"/>
              <w:rPr>
                <w:snapToGrid w:val="0"/>
                <w:color w:val="auto"/>
                <w:kern w:val="0"/>
                <w:szCs w:val="21"/>
              </w:rPr>
            </w:pPr>
          </w:p>
        </w:tc>
        <w:tc>
          <w:tcPr>
            <w:tcW w:w="700" w:type="pct"/>
            <w:vAlign w:val="center"/>
          </w:tcPr>
          <w:p w14:paraId="19983FE2">
            <w:pPr>
              <w:adjustRightInd w:val="0"/>
              <w:snapToGrid w:val="0"/>
              <w:ind w:left="-105" w:leftChars="-50" w:right="-105" w:rightChars="-50"/>
              <w:jc w:val="center"/>
              <w:rPr>
                <w:snapToGrid w:val="0"/>
                <w:color w:val="auto"/>
                <w:kern w:val="0"/>
                <w:szCs w:val="21"/>
              </w:rPr>
            </w:pPr>
            <w:r>
              <w:rPr>
                <w:snapToGrid w:val="0"/>
                <w:color w:val="auto"/>
                <w:kern w:val="0"/>
                <w:szCs w:val="21"/>
              </w:rPr>
              <w:t>产生量</w:t>
            </w:r>
          </w:p>
          <w:p w14:paraId="348302F3">
            <w:pPr>
              <w:adjustRightInd w:val="0"/>
              <w:snapToGrid w:val="0"/>
              <w:ind w:left="-105" w:leftChars="-50" w:right="-105" w:rightChars="-50"/>
              <w:jc w:val="center"/>
              <w:rPr>
                <w:snapToGrid w:val="0"/>
                <w:color w:val="auto"/>
                <w:kern w:val="0"/>
                <w:szCs w:val="21"/>
              </w:rPr>
            </w:pPr>
            <w:r>
              <w:rPr>
                <w:snapToGrid w:val="0"/>
                <w:color w:val="auto"/>
                <w:kern w:val="0"/>
                <w:szCs w:val="21"/>
              </w:rPr>
              <w:t>（t/a）</w:t>
            </w:r>
          </w:p>
        </w:tc>
        <w:tc>
          <w:tcPr>
            <w:tcW w:w="418" w:type="pct"/>
            <w:vAlign w:val="center"/>
          </w:tcPr>
          <w:p w14:paraId="7307548E">
            <w:pPr>
              <w:widowControl/>
              <w:jc w:val="center"/>
              <w:rPr>
                <w:color w:val="auto"/>
                <w:szCs w:val="21"/>
              </w:rPr>
            </w:pPr>
            <w:r>
              <w:rPr>
                <w:snapToGrid w:val="0"/>
                <w:color w:val="auto"/>
                <w:kern w:val="0"/>
                <w:szCs w:val="21"/>
              </w:rPr>
              <w:t>—</w:t>
            </w:r>
          </w:p>
        </w:tc>
        <w:tc>
          <w:tcPr>
            <w:tcW w:w="475" w:type="pct"/>
            <w:vAlign w:val="center"/>
          </w:tcPr>
          <w:p w14:paraId="46CED604">
            <w:pPr>
              <w:adjustRightInd w:val="0"/>
              <w:snapToGrid w:val="0"/>
              <w:ind w:left="-105" w:leftChars="-50" w:right="-105" w:rightChars="-50"/>
              <w:jc w:val="center"/>
              <w:rPr>
                <w:rFonts w:hint="default" w:eastAsia="宋体"/>
                <w:color w:val="auto"/>
                <w:szCs w:val="21"/>
                <w:lang w:val="en-US" w:eastAsia="zh-CN"/>
              </w:rPr>
            </w:pPr>
            <w:r>
              <w:rPr>
                <w:rFonts w:hint="eastAsia"/>
                <w:color w:val="auto"/>
                <w:szCs w:val="21"/>
                <w:lang w:val="en-US" w:eastAsia="zh-CN"/>
              </w:rPr>
              <w:t>0.31</w:t>
            </w:r>
          </w:p>
        </w:tc>
        <w:tc>
          <w:tcPr>
            <w:tcW w:w="618" w:type="pct"/>
            <w:vAlign w:val="center"/>
          </w:tcPr>
          <w:p w14:paraId="161A23FA">
            <w:pPr>
              <w:widowControl/>
              <w:jc w:val="center"/>
              <w:textAlignment w:val="center"/>
              <w:rPr>
                <w:rFonts w:hint="default" w:eastAsia="宋体"/>
                <w:color w:val="auto"/>
                <w:szCs w:val="21"/>
                <w:lang w:val="en-US" w:eastAsia="zh-CN"/>
              </w:rPr>
            </w:pPr>
            <w:r>
              <w:rPr>
                <w:rFonts w:hint="eastAsia"/>
                <w:color w:val="auto"/>
                <w:szCs w:val="21"/>
                <w:lang w:val="en-US" w:eastAsia="zh-CN"/>
              </w:rPr>
              <w:t>0.22</w:t>
            </w:r>
          </w:p>
        </w:tc>
        <w:tc>
          <w:tcPr>
            <w:tcW w:w="618" w:type="pct"/>
            <w:vAlign w:val="center"/>
          </w:tcPr>
          <w:p w14:paraId="5A6F86CC">
            <w:pPr>
              <w:widowControl/>
              <w:jc w:val="center"/>
              <w:textAlignment w:val="center"/>
              <w:rPr>
                <w:rFonts w:hint="default" w:eastAsia="宋体"/>
                <w:color w:val="auto"/>
                <w:szCs w:val="21"/>
                <w:lang w:val="en-US" w:eastAsia="zh-CN"/>
              </w:rPr>
            </w:pPr>
            <w:r>
              <w:rPr>
                <w:rFonts w:hint="eastAsia"/>
                <w:color w:val="auto"/>
                <w:szCs w:val="21"/>
                <w:lang w:val="en-US" w:eastAsia="zh-CN"/>
              </w:rPr>
              <w:t>0.22</w:t>
            </w:r>
          </w:p>
        </w:tc>
        <w:tc>
          <w:tcPr>
            <w:tcW w:w="733" w:type="pct"/>
            <w:vAlign w:val="center"/>
          </w:tcPr>
          <w:p w14:paraId="3976F4EA">
            <w:pPr>
              <w:widowControl/>
              <w:jc w:val="center"/>
              <w:textAlignment w:val="center"/>
              <w:rPr>
                <w:rFonts w:hint="default" w:eastAsia="宋体"/>
                <w:color w:val="auto"/>
                <w:szCs w:val="21"/>
                <w:lang w:val="en-US" w:eastAsia="zh-CN"/>
              </w:rPr>
            </w:pPr>
            <w:r>
              <w:rPr>
                <w:rFonts w:hint="eastAsia"/>
                <w:color w:val="auto"/>
                <w:szCs w:val="21"/>
                <w:lang w:val="en-US" w:eastAsia="zh-CN"/>
              </w:rPr>
              <w:t>0.026</w:t>
            </w:r>
          </w:p>
        </w:tc>
      </w:tr>
    </w:tbl>
    <w:p w14:paraId="34C98B89">
      <w:pPr>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）生产废水污染物源强</w:t>
      </w:r>
    </w:p>
    <w:p w14:paraId="267AFD34">
      <w:pPr>
        <w:spacing w:line="360" w:lineRule="auto"/>
        <w:ind w:firstLine="480" w:firstLineChars="200"/>
        <w:rPr>
          <w:color w:val="auto"/>
          <w:sz w:val="24"/>
        </w:rPr>
      </w:pPr>
      <w:r>
        <w:rPr>
          <w:rFonts w:hint="eastAsia"/>
          <w:color w:val="auto"/>
          <w:sz w:val="24"/>
        </w:rPr>
        <w:t>本项目养殖废水中主要污染物为CODcr、BOD</w:t>
      </w:r>
      <w:r>
        <w:rPr>
          <w:rFonts w:hint="eastAsia"/>
          <w:color w:val="auto"/>
          <w:sz w:val="24"/>
          <w:vertAlign w:val="subscript"/>
        </w:rPr>
        <w:t>5</w:t>
      </w:r>
      <w:r>
        <w:rPr>
          <w:rFonts w:hint="eastAsia"/>
          <w:color w:val="auto"/>
          <w:sz w:val="24"/>
        </w:rPr>
        <w:t>、SS、总氮、总磷、粪大肠菌群数、蛔虫卵等。参照《畜禽养殖业产污系数与排污系数手册》、《畜禽养殖业污染治理工程技术规范》（HJ497-2009）以及其他各类干清粪工艺。</w:t>
      </w:r>
      <w:r>
        <w:rPr>
          <w:color w:val="auto"/>
          <w:sz w:val="24"/>
        </w:rPr>
        <w:t>养殖废水中污染物浓度见下表。</w:t>
      </w:r>
    </w:p>
    <w:p w14:paraId="00503092">
      <w:pPr>
        <w:pStyle w:val="458"/>
        <w:rPr>
          <w:rFonts w:eastAsia="宋体"/>
          <w:b/>
          <w:bCs/>
          <w:color w:val="auto"/>
          <w:sz w:val="21"/>
          <w:szCs w:val="21"/>
        </w:rPr>
      </w:pPr>
      <w:r>
        <w:rPr>
          <w:rFonts w:eastAsia="宋体"/>
          <w:b/>
          <w:bCs/>
          <w:color w:val="auto"/>
          <w:sz w:val="21"/>
          <w:szCs w:val="21"/>
        </w:rPr>
        <w:t>表</w:t>
      </w:r>
      <w:r>
        <w:rPr>
          <w:rFonts w:hint="eastAsia" w:eastAsia="宋体"/>
          <w:b/>
          <w:bCs/>
          <w:color w:val="auto"/>
          <w:sz w:val="21"/>
          <w:szCs w:val="21"/>
          <w:lang w:val="en-US" w:eastAsia="zh-CN"/>
        </w:rPr>
        <w:t>3.4-14</w:t>
      </w:r>
      <w:r>
        <w:rPr>
          <w:rFonts w:eastAsia="宋体"/>
          <w:b/>
          <w:bCs/>
          <w:color w:val="auto"/>
          <w:sz w:val="21"/>
          <w:szCs w:val="21"/>
        </w:rPr>
        <w:t xml:space="preserve">    </w:t>
      </w:r>
      <w:r>
        <w:rPr>
          <w:rFonts w:hint="eastAsia" w:eastAsia="宋体"/>
          <w:b/>
          <w:bCs/>
          <w:color w:val="auto"/>
          <w:sz w:val="21"/>
          <w:szCs w:val="21"/>
        </w:rPr>
        <w:t>项目</w:t>
      </w:r>
      <w:r>
        <w:rPr>
          <w:rFonts w:eastAsia="宋体"/>
          <w:b/>
          <w:bCs/>
          <w:color w:val="auto"/>
          <w:sz w:val="21"/>
          <w:szCs w:val="21"/>
        </w:rPr>
        <w:t>养殖废水污染物浓度</w:t>
      </w:r>
    </w:p>
    <w:tbl>
      <w:tblPr>
        <w:tblStyle w:val="53"/>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26"/>
        <w:gridCol w:w="858"/>
        <w:gridCol w:w="1056"/>
        <w:gridCol w:w="707"/>
        <w:gridCol w:w="956"/>
        <w:gridCol w:w="751"/>
        <w:gridCol w:w="640"/>
        <w:gridCol w:w="713"/>
        <w:gridCol w:w="958"/>
        <w:gridCol w:w="939"/>
      </w:tblGrid>
      <w:tr w14:paraId="6EB3ED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26" w:type="dxa"/>
            <w:tcBorders>
              <w:top w:val="double" w:color="000000" w:sz="4" w:space="0"/>
              <w:left w:val="nil"/>
              <w:bottom w:val="single" w:color="000000" w:sz="4" w:space="0"/>
            </w:tcBorders>
            <w:vAlign w:val="center"/>
          </w:tcPr>
          <w:p w14:paraId="6AED174D">
            <w:pPr>
              <w:pStyle w:val="458"/>
              <w:rPr>
                <w:rFonts w:hint="eastAsia" w:eastAsia="宋体"/>
                <w:color w:val="auto"/>
                <w:sz w:val="21"/>
                <w:szCs w:val="21"/>
                <w:lang w:eastAsia="zh-CN"/>
              </w:rPr>
            </w:pPr>
            <w:r>
              <w:rPr>
                <w:rFonts w:hint="eastAsia" w:eastAsia="宋体"/>
                <w:color w:val="auto"/>
                <w:sz w:val="21"/>
                <w:szCs w:val="21"/>
                <w:lang w:eastAsia="zh-CN"/>
              </w:rPr>
              <w:t>废水量</w:t>
            </w:r>
          </w:p>
        </w:tc>
        <w:tc>
          <w:tcPr>
            <w:tcW w:w="858" w:type="dxa"/>
            <w:tcBorders>
              <w:top w:val="double" w:color="000000" w:sz="4" w:space="0"/>
              <w:bottom w:val="single" w:color="000000" w:sz="4" w:space="0"/>
            </w:tcBorders>
            <w:vAlign w:val="center"/>
          </w:tcPr>
          <w:p w14:paraId="58337B8A">
            <w:pPr>
              <w:pStyle w:val="458"/>
              <w:rPr>
                <w:rFonts w:eastAsia="宋体"/>
                <w:color w:val="auto"/>
                <w:sz w:val="21"/>
                <w:szCs w:val="21"/>
              </w:rPr>
            </w:pPr>
            <w:r>
              <w:rPr>
                <w:rFonts w:eastAsia="宋体"/>
                <w:color w:val="auto"/>
                <w:sz w:val="21"/>
                <w:szCs w:val="21"/>
              </w:rPr>
              <w:t>清粪方式</w:t>
            </w:r>
          </w:p>
        </w:tc>
        <w:tc>
          <w:tcPr>
            <w:tcW w:w="1056" w:type="dxa"/>
            <w:tcBorders>
              <w:top w:val="double" w:color="000000" w:sz="4" w:space="0"/>
              <w:bottom w:val="single" w:color="000000" w:sz="4" w:space="0"/>
            </w:tcBorders>
            <w:vAlign w:val="center"/>
          </w:tcPr>
          <w:p w14:paraId="3EC264F8">
            <w:pPr>
              <w:pStyle w:val="458"/>
              <w:rPr>
                <w:rFonts w:eastAsia="宋体"/>
                <w:color w:val="auto"/>
                <w:sz w:val="21"/>
                <w:szCs w:val="21"/>
              </w:rPr>
            </w:pPr>
            <w:r>
              <w:rPr>
                <w:rFonts w:eastAsia="宋体"/>
                <w:color w:val="auto"/>
                <w:sz w:val="21"/>
                <w:szCs w:val="21"/>
              </w:rPr>
              <w:t>项目</w:t>
            </w:r>
          </w:p>
        </w:tc>
        <w:tc>
          <w:tcPr>
            <w:tcW w:w="707" w:type="dxa"/>
            <w:tcBorders>
              <w:top w:val="double" w:color="000000" w:sz="4" w:space="0"/>
              <w:bottom w:val="single" w:color="000000" w:sz="4" w:space="0"/>
            </w:tcBorders>
            <w:vAlign w:val="center"/>
          </w:tcPr>
          <w:p w14:paraId="024A862C">
            <w:pPr>
              <w:pStyle w:val="458"/>
              <w:rPr>
                <w:rFonts w:eastAsia="宋体"/>
                <w:color w:val="auto"/>
                <w:sz w:val="21"/>
                <w:szCs w:val="21"/>
              </w:rPr>
            </w:pPr>
            <w:r>
              <w:rPr>
                <w:rFonts w:eastAsia="宋体"/>
                <w:color w:val="auto"/>
                <w:sz w:val="21"/>
                <w:szCs w:val="21"/>
              </w:rPr>
              <w:t>COD</w:t>
            </w:r>
          </w:p>
        </w:tc>
        <w:tc>
          <w:tcPr>
            <w:tcW w:w="956" w:type="dxa"/>
            <w:tcBorders>
              <w:top w:val="double" w:color="000000" w:sz="4" w:space="0"/>
              <w:bottom w:val="single" w:color="000000" w:sz="4" w:space="0"/>
            </w:tcBorders>
            <w:vAlign w:val="center"/>
          </w:tcPr>
          <w:p w14:paraId="52626312">
            <w:pPr>
              <w:pStyle w:val="458"/>
              <w:rPr>
                <w:rFonts w:eastAsia="宋体"/>
                <w:color w:val="auto"/>
                <w:sz w:val="21"/>
                <w:szCs w:val="21"/>
              </w:rPr>
            </w:pPr>
            <w:r>
              <w:rPr>
                <w:rFonts w:eastAsia="宋体"/>
                <w:color w:val="auto"/>
                <w:sz w:val="21"/>
                <w:szCs w:val="21"/>
              </w:rPr>
              <w:t>NH</w:t>
            </w:r>
            <w:r>
              <w:rPr>
                <w:rFonts w:eastAsia="宋体"/>
                <w:color w:val="auto"/>
                <w:sz w:val="21"/>
                <w:szCs w:val="21"/>
                <w:vertAlign w:val="subscript"/>
              </w:rPr>
              <w:t>3</w:t>
            </w:r>
            <w:r>
              <w:rPr>
                <w:rFonts w:eastAsia="宋体"/>
                <w:color w:val="auto"/>
                <w:sz w:val="21"/>
                <w:szCs w:val="21"/>
              </w:rPr>
              <w:t>-N</w:t>
            </w:r>
          </w:p>
        </w:tc>
        <w:tc>
          <w:tcPr>
            <w:tcW w:w="751" w:type="dxa"/>
            <w:tcBorders>
              <w:top w:val="double" w:color="000000" w:sz="4" w:space="0"/>
              <w:bottom w:val="single" w:color="000000" w:sz="4" w:space="0"/>
            </w:tcBorders>
            <w:vAlign w:val="center"/>
          </w:tcPr>
          <w:p w14:paraId="3F3B1D48">
            <w:pPr>
              <w:pStyle w:val="458"/>
              <w:rPr>
                <w:rFonts w:eastAsia="宋体"/>
                <w:color w:val="auto"/>
                <w:sz w:val="21"/>
                <w:szCs w:val="21"/>
              </w:rPr>
            </w:pPr>
            <w:r>
              <w:rPr>
                <w:rFonts w:eastAsia="宋体"/>
                <w:color w:val="auto"/>
                <w:sz w:val="21"/>
                <w:szCs w:val="21"/>
              </w:rPr>
              <w:t>TN</w:t>
            </w:r>
          </w:p>
        </w:tc>
        <w:tc>
          <w:tcPr>
            <w:tcW w:w="640" w:type="dxa"/>
            <w:tcBorders>
              <w:top w:val="double" w:color="000000" w:sz="4" w:space="0"/>
              <w:bottom w:val="single" w:color="000000" w:sz="4" w:space="0"/>
            </w:tcBorders>
            <w:vAlign w:val="center"/>
          </w:tcPr>
          <w:p w14:paraId="53615FC7">
            <w:pPr>
              <w:pStyle w:val="458"/>
              <w:rPr>
                <w:rFonts w:eastAsia="宋体"/>
                <w:color w:val="auto"/>
                <w:sz w:val="21"/>
                <w:szCs w:val="21"/>
              </w:rPr>
            </w:pPr>
            <w:r>
              <w:rPr>
                <w:rFonts w:eastAsia="宋体"/>
                <w:color w:val="auto"/>
                <w:sz w:val="21"/>
                <w:szCs w:val="21"/>
              </w:rPr>
              <w:t>TP</w:t>
            </w:r>
          </w:p>
        </w:tc>
        <w:tc>
          <w:tcPr>
            <w:tcW w:w="713" w:type="dxa"/>
            <w:tcBorders>
              <w:top w:val="double" w:color="000000" w:sz="4" w:space="0"/>
              <w:bottom w:val="single" w:color="000000" w:sz="4" w:space="0"/>
              <w:right w:val="nil"/>
            </w:tcBorders>
            <w:vAlign w:val="center"/>
          </w:tcPr>
          <w:p w14:paraId="469A1222">
            <w:pPr>
              <w:pStyle w:val="458"/>
              <w:rPr>
                <w:rFonts w:eastAsia="宋体"/>
                <w:color w:val="auto"/>
                <w:sz w:val="21"/>
                <w:szCs w:val="21"/>
              </w:rPr>
            </w:pPr>
            <w:r>
              <w:rPr>
                <w:rFonts w:eastAsia="宋体"/>
                <w:color w:val="auto"/>
                <w:sz w:val="21"/>
                <w:szCs w:val="21"/>
              </w:rPr>
              <w:t>BOD</w:t>
            </w:r>
            <w:r>
              <w:rPr>
                <w:rFonts w:eastAsia="宋体"/>
                <w:color w:val="auto"/>
                <w:sz w:val="21"/>
                <w:szCs w:val="21"/>
                <w:vertAlign w:val="subscript"/>
              </w:rPr>
              <w:t>5</w:t>
            </w:r>
          </w:p>
        </w:tc>
        <w:tc>
          <w:tcPr>
            <w:tcW w:w="958" w:type="dxa"/>
            <w:tcBorders>
              <w:top w:val="double" w:color="000000" w:sz="4" w:space="0"/>
              <w:bottom w:val="single" w:color="000000" w:sz="4" w:space="0"/>
              <w:right w:val="nil"/>
            </w:tcBorders>
            <w:vAlign w:val="center"/>
          </w:tcPr>
          <w:p w14:paraId="50C80C38">
            <w:pPr>
              <w:adjustRightInd w:val="0"/>
              <w:snapToGrid w:val="0"/>
              <w:jc w:val="center"/>
              <w:rPr>
                <w:snapToGrid w:val="0"/>
                <w:color w:val="auto"/>
                <w:kern w:val="0"/>
                <w:szCs w:val="21"/>
              </w:rPr>
            </w:pPr>
            <w:r>
              <w:rPr>
                <w:snapToGrid w:val="0"/>
                <w:color w:val="auto"/>
                <w:kern w:val="0"/>
                <w:szCs w:val="21"/>
              </w:rPr>
              <w:t>粪大肠菌</w:t>
            </w:r>
          </w:p>
          <w:p w14:paraId="4A2F6A04">
            <w:pPr>
              <w:adjustRightInd w:val="0"/>
              <w:snapToGrid w:val="0"/>
              <w:jc w:val="center"/>
              <w:rPr>
                <w:color w:val="auto"/>
                <w:szCs w:val="21"/>
              </w:rPr>
            </w:pPr>
            <w:r>
              <w:rPr>
                <w:snapToGrid w:val="0"/>
                <w:color w:val="auto"/>
                <w:kern w:val="0"/>
                <w:szCs w:val="21"/>
              </w:rPr>
              <w:t>群数</w:t>
            </w:r>
          </w:p>
        </w:tc>
        <w:tc>
          <w:tcPr>
            <w:tcW w:w="939" w:type="dxa"/>
            <w:tcBorders>
              <w:top w:val="double" w:color="000000" w:sz="4" w:space="0"/>
              <w:bottom w:val="single" w:color="000000" w:sz="4" w:space="0"/>
              <w:right w:val="nil"/>
            </w:tcBorders>
            <w:vAlign w:val="center"/>
          </w:tcPr>
          <w:p w14:paraId="17B16134">
            <w:pPr>
              <w:adjustRightInd w:val="0"/>
              <w:snapToGrid w:val="0"/>
              <w:jc w:val="center"/>
              <w:rPr>
                <w:color w:val="auto"/>
                <w:szCs w:val="21"/>
              </w:rPr>
            </w:pPr>
            <w:r>
              <w:rPr>
                <w:snapToGrid w:val="0"/>
                <w:color w:val="auto"/>
                <w:kern w:val="0"/>
                <w:szCs w:val="21"/>
              </w:rPr>
              <w:t>蛔虫卵</w:t>
            </w:r>
          </w:p>
        </w:tc>
      </w:tr>
      <w:tr w14:paraId="4A3FFB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26" w:type="dxa"/>
            <w:vMerge w:val="restart"/>
            <w:tcBorders>
              <w:top w:val="single" w:color="000000" w:sz="4" w:space="0"/>
              <w:left w:val="nil"/>
              <w:bottom w:val="single" w:color="000000" w:sz="4" w:space="0"/>
            </w:tcBorders>
            <w:vAlign w:val="center"/>
          </w:tcPr>
          <w:p w14:paraId="056D05BE">
            <w:pPr>
              <w:pStyle w:val="458"/>
              <w:rPr>
                <w:rFonts w:eastAsia="宋体"/>
                <w:color w:val="auto"/>
                <w:sz w:val="21"/>
                <w:szCs w:val="21"/>
              </w:rPr>
            </w:pPr>
            <w:r>
              <w:rPr>
                <w:rFonts w:hint="eastAsia" w:eastAsia="宋体"/>
                <w:color w:val="auto"/>
                <w:sz w:val="21"/>
                <w:szCs w:val="21"/>
                <w:lang w:val="en-US" w:eastAsia="zh-CN"/>
              </w:rPr>
              <w:t>5.08</w:t>
            </w:r>
            <w:r>
              <w:rPr>
                <w:rFonts w:hint="eastAsia" w:eastAsia="宋体"/>
                <w:color w:val="auto"/>
                <w:sz w:val="21"/>
                <w:szCs w:val="21"/>
              </w:rPr>
              <w:t>t/a</w:t>
            </w:r>
          </w:p>
        </w:tc>
        <w:tc>
          <w:tcPr>
            <w:tcW w:w="858" w:type="dxa"/>
            <w:vMerge w:val="restart"/>
            <w:tcBorders>
              <w:top w:val="single" w:color="000000" w:sz="4" w:space="0"/>
              <w:bottom w:val="single" w:color="000000" w:sz="4" w:space="0"/>
            </w:tcBorders>
            <w:vAlign w:val="center"/>
          </w:tcPr>
          <w:p w14:paraId="5E4FF6C2">
            <w:pPr>
              <w:pStyle w:val="458"/>
              <w:rPr>
                <w:rFonts w:eastAsia="宋体"/>
                <w:color w:val="auto"/>
                <w:sz w:val="21"/>
                <w:szCs w:val="21"/>
              </w:rPr>
            </w:pPr>
            <w:r>
              <w:rPr>
                <w:rFonts w:eastAsia="宋体"/>
                <w:color w:val="auto"/>
                <w:sz w:val="21"/>
                <w:szCs w:val="21"/>
              </w:rPr>
              <w:t>干清粪</w:t>
            </w:r>
          </w:p>
        </w:tc>
        <w:tc>
          <w:tcPr>
            <w:tcW w:w="1056" w:type="dxa"/>
            <w:tcBorders>
              <w:top w:val="single" w:color="000000" w:sz="4" w:space="0"/>
              <w:bottom w:val="single" w:color="000000" w:sz="4" w:space="0"/>
            </w:tcBorders>
            <w:vAlign w:val="center"/>
          </w:tcPr>
          <w:p w14:paraId="7CD3AC93">
            <w:pPr>
              <w:pStyle w:val="458"/>
              <w:rPr>
                <w:rFonts w:eastAsia="宋体"/>
                <w:color w:val="auto"/>
                <w:sz w:val="21"/>
                <w:szCs w:val="21"/>
              </w:rPr>
            </w:pPr>
            <w:r>
              <w:rPr>
                <w:rFonts w:eastAsia="宋体"/>
                <w:color w:val="auto"/>
                <w:sz w:val="21"/>
                <w:szCs w:val="21"/>
              </w:rPr>
              <w:t>产生浓度mg/L</w:t>
            </w:r>
          </w:p>
        </w:tc>
        <w:tc>
          <w:tcPr>
            <w:tcW w:w="707" w:type="dxa"/>
            <w:tcBorders>
              <w:top w:val="single" w:color="000000" w:sz="4" w:space="0"/>
              <w:bottom w:val="single" w:color="000000" w:sz="4" w:space="0"/>
            </w:tcBorders>
            <w:vAlign w:val="center"/>
          </w:tcPr>
          <w:p w14:paraId="7B0D71A7">
            <w:pPr>
              <w:pStyle w:val="458"/>
              <w:rPr>
                <w:rFonts w:eastAsia="宋体"/>
                <w:color w:val="auto"/>
                <w:sz w:val="21"/>
                <w:szCs w:val="21"/>
              </w:rPr>
            </w:pPr>
            <w:r>
              <w:rPr>
                <w:rFonts w:hint="eastAsia" w:eastAsia="宋体"/>
                <w:color w:val="auto"/>
                <w:sz w:val="21"/>
                <w:szCs w:val="21"/>
              </w:rPr>
              <w:t>2640</w:t>
            </w:r>
          </w:p>
        </w:tc>
        <w:tc>
          <w:tcPr>
            <w:tcW w:w="956" w:type="dxa"/>
            <w:tcBorders>
              <w:top w:val="single" w:color="000000" w:sz="4" w:space="0"/>
              <w:bottom w:val="single" w:color="000000" w:sz="4" w:space="0"/>
            </w:tcBorders>
            <w:vAlign w:val="center"/>
          </w:tcPr>
          <w:p w14:paraId="58AF89DA">
            <w:pPr>
              <w:pStyle w:val="458"/>
              <w:rPr>
                <w:rFonts w:eastAsia="宋体"/>
                <w:color w:val="auto"/>
                <w:sz w:val="21"/>
                <w:szCs w:val="21"/>
              </w:rPr>
            </w:pPr>
            <w:r>
              <w:rPr>
                <w:rFonts w:hint="eastAsia" w:eastAsia="宋体"/>
                <w:color w:val="auto"/>
                <w:sz w:val="21"/>
                <w:szCs w:val="21"/>
              </w:rPr>
              <w:t>261</w:t>
            </w:r>
          </w:p>
        </w:tc>
        <w:tc>
          <w:tcPr>
            <w:tcW w:w="751" w:type="dxa"/>
            <w:tcBorders>
              <w:top w:val="single" w:color="000000" w:sz="4" w:space="0"/>
              <w:bottom w:val="single" w:color="000000" w:sz="4" w:space="0"/>
            </w:tcBorders>
            <w:vAlign w:val="center"/>
          </w:tcPr>
          <w:p w14:paraId="0B768A54">
            <w:pPr>
              <w:pStyle w:val="458"/>
              <w:rPr>
                <w:rFonts w:eastAsia="宋体"/>
                <w:color w:val="auto"/>
                <w:sz w:val="21"/>
                <w:szCs w:val="21"/>
              </w:rPr>
            </w:pPr>
            <w:r>
              <w:rPr>
                <w:rFonts w:hint="eastAsia" w:eastAsia="宋体"/>
                <w:color w:val="auto"/>
                <w:sz w:val="21"/>
                <w:szCs w:val="21"/>
              </w:rPr>
              <w:t>370</w:t>
            </w:r>
          </w:p>
        </w:tc>
        <w:tc>
          <w:tcPr>
            <w:tcW w:w="640" w:type="dxa"/>
            <w:tcBorders>
              <w:top w:val="single" w:color="000000" w:sz="4" w:space="0"/>
              <w:bottom w:val="single" w:color="000000" w:sz="4" w:space="0"/>
            </w:tcBorders>
            <w:vAlign w:val="center"/>
          </w:tcPr>
          <w:p w14:paraId="35B745B2">
            <w:pPr>
              <w:pStyle w:val="458"/>
              <w:rPr>
                <w:rFonts w:eastAsia="宋体"/>
                <w:color w:val="auto"/>
                <w:sz w:val="21"/>
                <w:szCs w:val="21"/>
              </w:rPr>
            </w:pPr>
            <w:r>
              <w:rPr>
                <w:rFonts w:hint="eastAsia" w:eastAsia="宋体"/>
                <w:color w:val="auto"/>
                <w:sz w:val="21"/>
                <w:szCs w:val="21"/>
              </w:rPr>
              <w:t>43.5</w:t>
            </w:r>
          </w:p>
        </w:tc>
        <w:tc>
          <w:tcPr>
            <w:tcW w:w="713" w:type="dxa"/>
            <w:tcBorders>
              <w:top w:val="single" w:color="000000" w:sz="4" w:space="0"/>
              <w:bottom w:val="single" w:color="000000" w:sz="4" w:space="0"/>
              <w:right w:val="nil"/>
            </w:tcBorders>
            <w:vAlign w:val="center"/>
          </w:tcPr>
          <w:p w14:paraId="2F45ABE7">
            <w:pPr>
              <w:pStyle w:val="458"/>
              <w:rPr>
                <w:rFonts w:eastAsia="宋体"/>
                <w:color w:val="auto"/>
                <w:sz w:val="21"/>
                <w:szCs w:val="21"/>
              </w:rPr>
            </w:pPr>
            <w:r>
              <w:rPr>
                <w:rFonts w:hint="eastAsia" w:eastAsia="宋体"/>
                <w:color w:val="auto"/>
                <w:sz w:val="21"/>
                <w:szCs w:val="21"/>
              </w:rPr>
              <w:t>1000</w:t>
            </w:r>
          </w:p>
        </w:tc>
        <w:tc>
          <w:tcPr>
            <w:tcW w:w="958" w:type="dxa"/>
            <w:tcBorders>
              <w:top w:val="single" w:color="000000" w:sz="4" w:space="0"/>
              <w:bottom w:val="single" w:color="000000" w:sz="4" w:space="0"/>
              <w:right w:val="nil"/>
            </w:tcBorders>
            <w:vAlign w:val="center"/>
          </w:tcPr>
          <w:p w14:paraId="7284913E">
            <w:pPr>
              <w:adjustRightInd w:val="0"/>
              <w:snapToGrid w:val="0"/>
              <w:jc w:val="center"/>
              <w:rPr>
                <w:snapToGrid w:val="0"/>
                <w:color w:val="auto"/>
                <w:kern w:val="0"/>
                <w:szCs w:val="21"/>
              </w:rPr>
            </w:pPr>
            <w:r>
              <w:rPr>
                <w:snapToGrid w:val="0"/>
                <w:color w:val="auto"/>
                <w:kern w:val="0"/>
                <w:szCs w:val="21"/>
              </w:rPr>
              <w:t>200000</w:t>
            </w:r>
          </w:p>
          <w:p w14:paraId="00E14020">
            <w:pPr>
              <w:adjustRightInd w:val="0"/>
              <w:snapToGrid w:val="0"/>
              <w:jc w:val="center"/>
              <w:rPr>
                <w:color w:val="auto"/>
                <w:szCs w:val="21"/>
              </w:rPr>
            </w:pPr>
            <w:r>
              <w:rPr>
                <w:snapToGrid w:val="0"/>
                <w:color w:val="auto"/>
                <w:kern w:val="0"/>
                <w:szCs w:val="21"/>
              </w:rPr>
              <w:t>（个/L）</w:t>
            </w:r>
          </w:p>
        </w:tc>
        <w:tc>
          <w:tcPr>
            <w:tcW w:w="939" w:type="dxa"/>
            <w:tcBorders>
              <w:top w:val="single" w:color="000000" w:sz="4" w:space="0"/>
              <w:bottom w:val="single" w:color="000000" w:sz="4" w:space="0"/>
              <w:right w:val="nil"/>
            </w:tcBorders>
            <w:vAlign w:val="center"/>
          </w:tcPr>
          <w:p w14:paraId="60E6DD88">
            <w:pPr>
              <w:adjustRightInd w:val="0"/>
              <w:snapToGrid w:val="0"/>
              <w:jc w:val="center"/>
              <w:rPr>
                <w:snapToGrid w:val="0"/>
                <w:color w:val="auto"/>
                <w:kern w:val="0"/>
                <w:szCs w:val="21"/>
              </w:rPr>
            </w:pPr>
            <w:r>
              <w:rPr>
                <w:snapToGrid w:val="0"/>
                <w:color w:val="auto"/>
                <w:kern w:val="0"/>
                <w:szCs w:val="21"/>
              </w:rPr>
              <w:t>25</w:t>
            </w:r>
          </w:p>
          <w:p w14:paraId="02DD7CBB">
            <w:pPr>
              <w:adjustRightInd w:val="0"/>
              <w:snapToGrid w:val="0"/>
              <w:jc w:val="center"/>
              <w:rPr>
                <w:color w:val="auto"/>
                <w:szCs w:val="21"/>
              </w:rPr>
            </w:pPr>
            <w:r>
              <w:rPr>
                <w:snapToGrid w:val="0"/>
                <w:color w:val="auto"/>
                <w:kern w:val="0"/>
                <w:szCs w:val="21"/>
              </w:rPr>
              <w:t>（个/L）</w:t>
            </w:r>
          </w:p>
        </w:tc>
      </w:tr>
      <w:tr w14:paraId="38EDEA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26" w:type="dxa"/>
            <w:vMerge w:val="continue"/>
            <w:tcBorders>
              <w:top w:val="single" w:color="000000" w:sz="4" w:space="0"/>
              <w:left w:val="nil"/>
              <w:bottom w:val="double" w:color="000000" w:sz="4" w:space="0"/>
            </w:tcBorders>
            <w:vAlign w:val="center"/>
          </w:tcPr>
          <w:p w14:paraId="0DBC1844">
            <w:pPr>
              <w:pStyle w:val="458"/>
              <w:rPr>
                <w:rFonts w:eastAsia="宋体"/>
                <w:color w:val="auto"/>
                <w:sz w:val="21"/>
                <w:szCs w:val="21"/>
              </w:rPr>
            </w:pPr>
          </w:p>
        </w:tc>
        <w:tc>
          <w:tcPr>
            <w:tcW w:w="858" w:type="dxa"/>
            <w:vMerge w:val="continue"/>
            <w:tcBorders>
              <w:top w:val="single" w:color="000000" w:sz="4" w:space="0"/>
              <w:bottom w:val="double" w:color="000000" w:sz="4" w:space="0"/>
            </w:tcBorders>
            <w:vAlign w:val="center"/>
          </w:tcPr>
          <w:p w14:paraId="0BFE745D">
            <w:pPr>
              <w:pStyle w:val="458"/>
              <w:rPr>
                <w:rFonts w:eastAsia="宋体"/>
                <w:color w:val="auto"/>
                <w:sz w:val="21"/>
                <w:szCs w:val="21"/>
              </w:rPr>
            </w:pPr>
          </w:p>
        </w:tc>
        <w:tc>
          <w:tcPr>
            <w:tcW w:w="1056" w:type="dxa"/>
            <w:tcBorders>
              <w:top w:val="single" w:color="000000" w:sz="4" w:space="0"/>
              <w:bottom w:val="double" w:color="000000" w:sz="4" w:space="0"/>
            </w:tcBorders>
            <w:vAlign w:val="center"/>
          </w:tcPr>
          <w:p w14:paraId="7FEEC50D">
            <w:pPr>
              <w:pStyle w:val="458"/>
              <w:rPr>
                <w:rFonts w:eastAsia="宋体"/>
                <w:color w:val="auto"/>
                <w:sz w:val="21"/>
                <w:szCs w:val="21"/>
              </w:rPr>
            </w:pPr>
            <w:r>
              <w:rPr>
                <w:rFonts w:eastAsia="宋体"/>
                <w:color w:val="auto"/>
                <w:sz w:val="21"/>
                <w:szCs w:val="21"/>
              </w:rPr>
              <w:t>产生量t/a</w:t>
            </w:r>
          </w:p>
        </w:tc>
        <w:tc>
          <w:tcPr>
            <w:tcW w:w="707" w:type="dxa"/>
            <w:tcBorders>
              <w:top w:val="single" w:color="000000" w:sz="4" w:space="0"/>
              <w:bottom w:val="double" w:color="000000" w:sz="4" w:space="0"/>
            </w:tcBorders>
            <w:vAlign w:val="center"/>
          </w:tcPr>
          <w:p w14:paraId="047BDDC1">
            <w:pPr>
              <w:pStyle w:val="458"/>
              <w:rPr>
                <w:rFonts w:hint="default" w:eastAsia="宋体"/>
                <w:color w:val="auto"/>
                <w:sz w:val="21"/>
                <w:szCs w:val="21"/>
                <w:lang w:val="en-US" w:eastAsia="zh-CN"/>
              </w:rPr>
            </w:pPr>
            <w:r>
              <w:rPr>
                <w:rFonts w:hint="eastAsia" w:eastAsia="宋体"/>
                <w:color w:val="auto"/>
                <w:sz w:val="21"/>
                <w:szCs w:val="21"/>
                <w:lang w:val="en-US" w:eastAsia="zh-CN"/>
              </w:rPr>
              <w:t>0.013</w:t>
            </w:r>
          </w:p>
        </w:tc>
        <w:tc>
          <w:tcPr>
            <w:tcW w:w="956" w:type="dxa"/>
            <w:tcBorders>
              <w:top w:val="single" w:color="000000" w:sz="4" w:space="0"/>
              <w:bottom w:val="double" w:color="000000" w:sz="4" w:space="0"/>
            </w:tcBorders>
            <w:vAlign w:val="center"/>
          </w:tcPr>
          <w:p w14:paraId="45D9F62C">
            <w:pPr>
              <w:pStyle w:val="458"/>
              <w:rPr>
                <w:rFonts w:hint="default" w:eastAsia="宋体"/>
                <w:color w:val="auto"/>
                <w:sz w:val="21"/>
                <w:szCs w:val="21"/>
                <w:lang w:val="en-US" w:eastAsia="zh-CN"/>
              </w:rPr>
            </w:pPr>
            <w:r>
              <w:rPr>
                <w:rFonts w:hint="eastAsia" w:eastAsia="宋体"/>
                <w:color w:val="auto"/>
                <w:sz w:val="21"/>
                <w:szCs w:val="21"/>
                <w:lang w:val="en-US" w:eastAsia="zh-CN"/>
              </w:rPr>
              <w:t>0.001</w:t>
            </w:r>
          </w:p>
        </w:tc>
        <w:tc>
          <w:tcPr>
            <w:tcW w:w="751" w:type="dxa"/>
            <w:tcBorders>
              <w:top w:val="single" w:color="000000" w:sz="4" w:space="0"/>
              <w:bottom w:val="double" w:color="000000" w:sz="4" w:space="0"/>
            </w:tcBorders>
            <w:vAlign w:val="center"/>
          </w:tcPr>
          <w:p w14:paraId="46B3F9E7">
            <w:pPr>
              <w:pStyle w:val="458"/>
              <w:rPr>
                <w:rFonts w:hint="default" w:eastAsia="宋体"/>
                <w:color w:val="auto"/>
                <w:sz w:val="21"/>
                <w:szCs w:val="21"/>
                <w:lang w:val="en-US" w:eastAsia="zh-CN"/>
              </w:rPr>
            </w:pPr>
            <w:r>
              <w:rPr>
                <w:rFonts w:hint="eastAsia" w:eastAsia="宋体"/>
                <w:color w:val="auto"/>
                <w:sz w:val="21"/>
                <w:szCs w:val="21"/>
                <w:lang w:val="en-US" w:eastAsia="zh-CN"/>
              </w:rPr>
              <w:t>0.002</w:t>
            </w:r>
          </w:p>
        </w:tc>
        <w:tc>
          <w:tcPr>
            <w:tcW w:w="640" w:type="dxa"/>
            <w:tcBorders>
              <w:top w:val="single" w:color="000000" w:sz="4" w:space="0"/>
              <w:bottom w:val="double" w:color="000000" w:sz="4" w:space="0"/>
            </w:tcBorders>
            <w:vAlign w:val="center"/>
          </w:tcPr>
          <w:p w14:paraId="4A1DD6FB">
            <w:pPr>
              <w:pStyle w:val="458"/>
              <w:rPr>
                <w:rFonts w:hint="default" w:eastAsia="宋体"/>
                <w:color w:val="auto"/>
                <w:sz w:val="21"/>
                <w:szCs w:val="21"/>
                <w:lang w:val="en-US" w:eastAsia="zh-CN"/>
              </w:rPr>
            </w:pPr>
            <w:r>
              <w:rPr>
                <w:rFonts w:hint="eastAsia" w:eastAsia="宋体"/>
                <w:color w:val="auto"/>
                <w:sz w:val="21"/>
                <w:szCs w:val="21"/>
                <w:lang w:val="en-US" w:eastAsia="zh-CN"/>
              </w:rPr>
              <w:t>0.0002</w:t>
            </w:r>
          </w:p>
        </w:tc>
        <w:tc>
          <w:tcPr>
            <w:tcW w:w="713" w:type="dxa"/>
            <w:tcBorders>
              <w:top w:val="single" w:color="000000" w:sz="4" w:space="0"/>
              <w:bottom w:val="double" w:color="000000" w:sz="4" w:space="0"/>
              <w:right w:val="nil"/>
            </w:tcBorders>
            <w:vAlign w:val="center"/>
          </w:tcPr>
          <w:p w14:paraId="4FFC84EE">
            <w:pPr>
              <w:pStyle w:val="458"/>
              <w:rPr>
                <w:rFonts w:hint="default" w:eastAsia="宋体"/>
                <w:color w:val="auto"/>
                <w:sz w:val="21"/>
                <w:szCs w:val="21"/>
                <w:lang w:val="en-US" w:eastAsia="zh-CN"/>
              </w:rPr>
            </w:pPr>
            <w:r>
              <w:rPr>
                <w:rFonts w:hint="eastAsia" w:eastAsia="宋体"/>
                <w:color w:val="auto"/>
                <w:sz w:val="21"/>
                <w:szCs w:val="21"/>
                <w:lang w:val="en-US" w:eastAsia="zh-CN"/>
              </w:rPr>
              <w:t>0.005</w:t>
            </w:r>
          </w:p>
        </w:tc>
        <w:tc>
          <w:tcPr>
            <w:tcW w:w="958" w:type="dxa"/>
            <w:tcBorders>
              <w:top w:val="single" w:color="000000" w:sz="4" w:space="0"/>
              <w:bottom w:val="double" w:color="000000" w:sz="4" w:space="0"/>
              <w:right w:val="nil"/>
            </w:tcBorders>
            <w:vAlign w:val="center"/>
          </w:tcPr>
          <w:p w14:paraId="68802884">
            <w:pPr>
              <w:adjustRightInd w:val="0"/>
              <w:snapToGrid w:val="0"/>
              <w:jc w:val="center"/>
              <w:rPr>
                <w:rFonts w:hint="default" w:eastAsia="宋体"/>
                <w:color w:val="auto"/>
                <w:szCs w:val="21"/>
                <w:lang w:val="en-US" w:eastAsia="zh-CN"/>
              </w:rPr>
            </w:pPr>
            <w:r>
              <w:rPr>
                <w:rFonts w:hint="eastAsia"/>
                <w:color w:val="auto"/>
                <w:szCs w:val="21"/>
                <w:lang w:val="en-US" w:eastAsia="zh-CN"/>
              </w:rPr>
              <w:t>1.016</w:t>
            </w:r>
            <w:r>
              <w:rPr>
                <w:rFonts w:hint="default" w:ascii="Arial" w:hAnsi="Arial" w:cs="Arial"/>
                <w:color w:val="auto"/>
                <w:szCs w:val="21"/>
                <w:lang w:val="en-US" w:eastAsia="zh-CN"/>
              </w:rPr>
              <w:t>×</w:t>
            </w:r>
            <w:r>
              <w:rPr>
                <w:rFonts w:hint="eastAsia"/>
                <w:color w:val="auto"/>
                <w:szCs w:val="21"/>
                <w:lang w:val="en-US" w:eastAsia="zh-CN"/>
              </w:rPr>
              <w:t>10</w:t>
            </w:r>
            <w:r>
              <w:rPr>
                <w:rFonts w:hint="eastAsia"/>
                <w:color w:val="auto"/>
                <w:szCs w:val="21"/>
                <w:vertAlign w:val="superscript"/>
                <w:lang w:val="en-US" w:eastAsia="zh-CN"/>
              </w:rPr>
              <w:t>9</w:t>
            </w:r>
          </w:p>
        </w:tc>
        <w:tc>
          <w:tcPr>
            <w:tcW w:w="939" w:type="dxa"/>
            <w:tcBorders>
              <w:top w:val="single" w:color="000000" w:sz="4" w:space="0"/>
              <w:bottom w:val="double" w:color="000000" w:sz="4" w:space="0"/>
              <w:right w:val="nil"/>
            </w:tcBorders>
            <w:vAlign w:val="center"/>
          </w:tcPr>
          <w:p w14:paraId="4F801396">
            <w:pPr>
              <w:adjustRightInd w:val="0"/>
              <w:snapToGrid w:val="0"/>
              <w:jc w:val="center"/>
              <w:rPr>
                <w:rFonts w:hint="default" w:eastAsia="宋体"/>
                <w:color w:val="auto"/>
                <w:szCs w:val="21"/>
                <w:lang w:val="en-US" w:eastAsia="zh-CN"/>
              </w:rPr>
            </w:pPr>
            <w:r>
              <w:rPr>
                <w:rFonts w:hint="eastAsia"/>
                <w:color w:val="auto"/>
                <w:szCs w:val="21"/>
                <w:lang w:val="en-US" w:eastAsia="zh-CN"/>
              </w:rPr>
              <w:t>1.27</w:t>
            </w:r>
            <w:r>
              <w:rPr>
                <w:rFonts w:hint="default" w:ascii="Arial" w:hAnsi="Arial" w:cs="Arial"/>
                <w:color w:val="auto"/>
                <w:szCs w:val="21"/>
                <w:lang w:val="en-US" w:eastAsia="zh-CN"/>
              </w:rPr>
              <w:t>×</w:t>
            </w:r>
            <w:r>
              <w:rPr>
                <w:rFonts w:hint="eastAsia"/>
                <w:color w:val="auto"/>
                <w:szCs w:val="21"/>
                <w:lang w:val="en-US" w:eastAsia="zh-CN"/>
              </w:rPr>
              <w:t>10</w:t>
            </w:r>
            <w:r>
              <w:rPr>
                <w:rFonts w:hint="eastAsia"/>
                <w:color w:val="auto"/>
                <w:szCs w:val="21"/>
                <w:vertAlign w:val="superscript"/>
                <w:lang w:val="en-US" w:eastAsia="zh-CN"/>
              </w:rPr>
              <w:t>5</w:t>
            </w:r>
          </w:p>
        </w:tc>
      </w:tr>
    </w:tbl>
    <w:p w14:paraId="4277B76F">
      <w:pPr>
        <w:pStyle w:val="276"/>
        <w:ind w:left="0" w:firstLine="482"/>
        <w:rPr>
          <w:b/>
          <w:color w:val="auto"/>
        </w:rPr>
      </w:pPr>
      <w:r>
        <w:rPr>
          <w:b/>
          <w:color w:val="auto"/>
        </w:rPr>
        <w:t>3.</w:t>
      </w:r>
      <w:r>
        <w:rPr>
          <w:rFonts w:hint="eastAsia"/>
          <w:b/>
          <w:color w:val="auto"/>
        </w:rPr>
        <w:t>4</w:t>
      </w:r>
      <w:r>
        <w:rPr>
          <w:b/>
          <w:color w:val="auto"/>
        </w:rPr>
        <w:t>.2.3噪声污染源分析</w:t>
      </w:r>
    </w:p>
    <w:p w14:paraId="1FFA5B3E">
      <w:pPr>
        <w:spacing w:line="360" w:lineRule="auto"/>
        <w:ind w:firstLine="480" w:firstLineChars="200"/>
        <w:rPr>
          <w:color w:val="auto"/>
          <w:sz w:val="24"/>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4"/>
        </w:rPr>
        <w:t>本项目噪声主要来源于鸡群叫声、鸡舍排气扇、水泵、养殖及厨房风机、各项处理设备等运行时产生的噪声，经过类比调查，鸡舍排气扇的噪声值在75～80dB（A）之间，鸡群哼叫声在70～80dB（A）之间，风机的等效声级值在80～85dB（A），水泵的等效声级值在80～85dB（A），处理设备的等效声级值在80～85dB（A）。主要噪声源排放情况见下表</w:t>
      </w:r>
      <w:r>
        <w:rPr>
          <w:rFonts w:hint="eastAsia"/>
          <w:color w:val="auto"/>
          <w:sz w:val="24"/>
          <w:lang w:val="en-US" w:eastAsia="zh-CN"/>
        </w:rPr>
        <w:t>3.4-15</w:t>
      </w:r>
      <w:r>
        <w:rPr>
          <w:color w:val="auto"/>
          <w:sz w:val="24"/>
        </w:rPr>
        <w:t>。</w:t>
      </w:r>
    </w:p>
    <w:p w14:paraId="5D38D500">
      <w:pPr>
        <w:pStyle w:val="458"/>
        <w:rPr>
          <w:rFonts w:eastAsia="宋体"/>
          <w:b/>
          <w:color w:val="auto"/>
          <w:sz w:val="21"/>
          <w:szCs w:val="21"/>
        </w:rPr>
      </w:pPr>
      <w:r>
        <w:rPr>
          <w:rFonts w:eastAsia="宋体"/>
          <w:b/>
          <w:color w:val="auto"/>
          <w:sz w:val="21"/>
          <w:szCs w:val="21"/>
        </w:rPr>
        <w:t>表</w:t>
      </w:r>
      <w:r>
        <w:rPr>
          <w:rFonts w:hint="eastAsia" w:eastAsia="宋体"/>
          <w:b/>
          <w:color w:val="auto"/>
          <w:sz w:val="21"/>
          <w:szCs w:val="21"/>
          <w:lang w:val="en-US" w:eastAsia="zh-CN"/>
        </w:rPr>
        <w:t xml:space="preserve">3.4-15 </w:t>
      </w:r>
      <w:r>
        <w:rPr>
          <w:rFonts w:eastAsia="宋体"/>
          <w:b/>
          <w:color w:val="auto"/>
          <w:sz w:val="21"/>
          <w:szCs w:val="21"/>
        </w:rPr>
        <w:t xml:space="preserve">   工业企业噪声源强调查清单</w:t>
      </w:r>
    </w:p>
    <w:bookmarkEnd w:id="189"/>
    <w:bookmarkEnd w:id="190"/>
    <w:tbl>
      <w:tblPr>
        <w:tblStyle w:val="53"/>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34"/>
        <w:gridCol w:w="816"/>
        <w:gridCol w:w="773"/>
        <w:gridCol w:w="635"/>
        <w:gridCol w:w="952"/>
        <w:gridCol w:w="817"/>
        <w:gridCol w:w="910"/>
        <w:gridCol w:w="910"/>
        <w:gridCol w:w="927"/>
        <w:gridCol w:w="762"/>
        <w:gridCol w:w="753"/>
        <w:gridCol w:w="762"/>
        <w:gridCol w:w="808"/>
        <w:gridCol w:w="745"/>
        <w:gridCol w:w="745"/>
        <w:gridCol w:w="745"/>
        <w:gridCol w:w="753"/>
        <w:gridCol w:w="643"/>
        <w:gridCol w:w="719"/>
        <w:gridCol w:w="719"/>
        <w:gridCol w:w="719"/>
        <w:gridCol w:w="719"/>
        <w:gridCol w:w="766"/>
        <w:gridCol w:w="766"/>
        <w:gridCol w:w="766"/>
        <w:gridCol w:w="766"/>
        <w:gridCol w:w="1100"/>
      </w:tblGrid>
      <w:tr w14:paraId="4DA587D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0" w:type="pct"/>
            <w:vMerge w:val="restart"/>
            <w:shd w:val="clear" w:color="auto" w:fill="auto"/>
            <w:vAlign w:val="center"/>
          </w:tcPr>
          <w:p w14:paraId="7621A230">
            <w:pPr>
              <w:jc w:val="center"/>
              <w:rPr>
                <w:rFonts w:eastAsiaTheme="minorEastAsia"/>
                <w:color w:val="auto"/>
                <w:szCs w:val="21"/>
              </w:rPr>
            </w:pPr>
            <w:bookmarkStart w:id="191" w:name="PT_6"/>
            <w:bookmarkStart w:id="192" w:name="_Toc441053093"/>
            <w:bookmarkStart w:id="193" w:name="_Toc440874801"/>
            <w:r>
              <w:rPr>
                <w:rFonts w:eastAsiaTheme="minorEastAsia"/>
                <w:b/>
                <w:color w:val="auto"/>
                <w:szCs w:val="21"/>
              </w:rPr>
              <w:t>序号</w:t>
            </w:r>
          </w:p>
        </w:tc>
        <w:tc>
          <w:tcPr>
            <w:tcW w:w="193" w:type="pct"/>
            <w:vMerge w:val="restart"/>
            <w:shd w:val="clear" w:color="auto" w:fill="auto"/>
            <w:vAlign w:val="center"/>
          </w:tcPr>
          <w:p w14:paraId="438A1073">
            <w:pPr>
              <w:jc w:val="center"/>
              <w:rPr>
                <w:rFonts w:eastAsiaTheme="minorEastAsia"/>
                <w:color w:val="auto"/>
                <w:szCs w:val="21"/>
              </w:rPr>
            </w:pPr>
            <w:r>
              <w:rPr>
                <w:rFonts w:eastAsiaTheme="minorEastAsia"/>
                <w:b/>
                <w:color w:val="auto"/>
                <w:szCs w:val="21"/>
              </w:rPr>
              <w:t>建筑物名称</w:t>
            </w:r>
          </w:p>
        </w:tc>
        <w:tc>
          <w:tcPr>
            <w:tcW w:w="183" w:type="pct"/>
            <w:vMerge w:val="restart"/>
            <w:shd w:val="clear" w:color="auto" w:fill="auto"/>
            <w:vAlign w:val="center"/>
          </w:tcPr>
          <w:p w14:paraId="2C935C4A">
            <w:pPr>
              <w:jc w:val="center"/>
              <w:rPr>
                <w:rFonts w:eastAsiaTheme="minorEastAsia"/>
                <w:color w:val="auto"/>
                <w:szCs w:val="21"/>
              </w:rPr>
            </w:pPr>
            <w:r>
              <w:rPr>
                <w:rFonts w:eastAsiaTheme="minorEastAsia"/>
                <w:b/>
                <w:color w:val="auto"/>
                <w:szCs w:val="21"/>
              </w:rPr>
              <w:t>声源名称</w:t>
            </w:r>
          </w:p>
        </w:tc>
        <w:tc>
          <w:tcPr>
            <w:tcW w:w="150" w:type="pct"/>
            <w:vMerge w:val="restart"/>
            <w:shd w:val="clear" w:color="auto" w:fill="auto"/>
            <w:vAlign w:val="center"/>
          </w:tcPr>
          <w:p w14:paraId="78E3E9CC">
            <w:pPr>
              <w:jc w:val="center"/>
              <w:rPr>
                <w:rFonts w:eastAsiaTheme="minorEastAsia"/>
                <w:color w:val="auto"/>
                <w:szCs w:val="21"/>
              </w:rPr>
            </w:pPr>
            <w:r>
              <w:rPr>
                <w:rFonts w:eastAsiaTheme="minorEastAsia"/>
                <w:b/>
                <w:color w:val="auto"/>
                <w:szCs w:val="21"/>
              </w:rPr>
              <w:t>型号</w:t>
            </w:r>
          </w:p>
        </w:tc>
        <w:tc>
          <w:tcPr>
            <w:tcW w:w="225" w:type="pct"/>
            <w:shd w:val="clear" w:color="auto" w:fill="auto"/>
            <w:vAlign w:val="center"/>
          </w:tcPr>
          <w:p w14:paraId="7799F21C">
            <w:pPr>
              <w:jc w:val="center"/>
              <w:rPr>
                <w:rFonts w:eastAsiaTheme="minorEastAsia"/>
                <w:color w:val="auto"/>
                <w:szCs w:val="21"/>
              </w:rPr>
            </w:pPr>
            <w:r>
              <w:rPr>
                <w:rFonts w:eastAsiaTheme="minorEastAsia"/>
                <w:b/>
                <w:color w:val="auto"/>
                <w:szCs w:val="21"/>
              </w:rPr>
              <w:t>声源源强</w:t>
            </w:r>
          </w:p>
        </w:tc>
        <w:tc>
          <w:tcPr>
            <w:tcW w:w="193" w:type="pct"/>
            <w:vMerge w:val="restart"/>
            <w:shd w:val="clear" w:color="auto" w:fill="auto"/>
            <w:vAlign w:val="center"/>
          </w:tcPr>
          <w:p w14:paraId="35ED5BDB">
            <w:pPr>
              <w:jc w:val="center"/>
              <w:rPr>
                <w:rFonts w:eastAsiaTheme="minorEastAsia"/>
                <w:color w:val="auto"/>
                <w:szCs w:val="21"/>
              </w:rPr>
            </w:pPr>
            <w:r>
              <w:rPr>
                <w:rFonts w:eastAsiaTheme="minorEastAsia"/>
                <w:b/>
                <w:color w:val="auto"/>
                <w:szCs w:val="21"/>
              </w:rPr>
              <w:t>声源控制措施</w:t>
            </w:r>
          </w:p>
        </w:tc>
        <w:tc>
          <w:tcPr>
            <w:tcW w:w="649" w:type="pct"/>
            <w:gridSpan w:val="3"/>
            <w:shd w:val="clear" w:color="auto" w:fill="auto"/>
            <w:vAlign w:val="center"/>
          </w:tcPr>
          <w:p w14:paraId="0FCD95A0">
            <w:pPr>
              <w:jc w:val="center"/>
              <w:rPr>
                <w:rFonts w:eastAsiaTheme="minorEastAsia"/>
                <w:color w:val="auto"/>
                <w:szCs w:val="21"/>
              </w:rPr>
            </w:pPr>
            <w:r>
              <w:rPr>
                <w:rFonts w:eastAsiaTheme="minorEastAsia"/>
                <w:b/>
                <w:color w:val="auto"/>
                <w:szCs w:val="21"/>
              </w:rPr>
              <w:t>空间相对位置/m</w:t>
            </w:r>
          </w:p>
        </w:tc>
        <w:tc>
          <w:tcPr>
            <w:tcW w:w="729" w:type="pct"/>
            <w:gridSpan w:val="4"/>
            <w:shd w:val="clear" w:color="auto" w:fill="auto"/>
            <w:vAlign w:val="center"/>
          </w:tcPr>
          <w:p w14:paraId="44916BA3">
            <w:pPr>
              <w:jc w:val="center"/>
              <w:rPr>
                <w:rFonts w:eastAsiaTheme="minorEastAsia"/>
                <w:b/>
                <w:color w:val="auto"/>
                <w:szCs w:val="21"/>
              </w:rPr>
            </w:pPr>
            <w:r>
              <w:rPr>
                <w:rFonts w:eastAsiaTheme="minorEastAsia"/>
                <w:b/>
                <w:color w:val="auto"/>
                <w:szCs w:val="21"/>
              </w:rPr>
              <w:t>距室内边界距离/m</w:t>
            </w:r>
          </w:p>
        </w:tc>
        <w:tc>
          <w:tcPr>
            <w:tcW w:w="706" w:type="pct"/>
            <w:gridSpan w:val="4"/>
            <w:shd w:val="clear" w:color="auto" w:fill="auto"/>
            <w:vAlign w:val="center"/>
          </w:tcPr>
          <w:p w14:paraId="3AEF44F0">
            <w:pPr>
              <w:jc w:val="center"/>
              <w:rPr>
                <w:rFonts w:eastAsiaTheme="minorEastAsia"/>
                <w:b/>
                <w:color w:val="auto"/>
                <w:szCs w:val="21"/>
              </w:rPr>
            </w:pPr>
            <w:r>
              <w:rPr>
                <w:rFonts w:eastAsiaTheme="minorEastAsia"/>
                <w:b/>
                <w:color w:val="auto"/>
                <w:szCs w:val="21"/>
              </w:rPr>
              <w:t>室内边界声级/dB(A)</w:t>
            </w:r>
          </w:p>
        </w:tc>
        <w:tc>
          <w:tcPr>
            <w:tcW w:w="152" w:type="pct"/>
            <w:vMerge w:val="restart"/>
            <w:shd w:val="clear" w:color="auto" w:fill="auto"/>
            <w:vAlign w:val="center"/>
          </w:tcPr>
          <w:p w14:paraId="7C10426E">
            <w:pPr>
              <w:jc w:val="center"/>
              <w:rPr>
                <w:rFonts w:eastAsiaTheme="minorEastAsia"/>
                <w:color w:val="auto"/>
                <w:szCs w:val="21"/>
              </w:rPr>
            </w:pPr>
            <w:r>
              <w:rPr>
                <w:rFonts w:eastAsiaTheme="minorEastAsia"/>
                <w:b/>
                <w:color w:val="auto"/>
                <w:szCs w:val="21"/>
              </w:rPr>
              <w:t>运行时段</w:t>
            </w:r>
          </w:p>
        </w:tc>
        <w:tc>
          <w:tcPr>
            <w:tcW w:w="680" w:type="pct"/>
            <w:gridSpan w:val="4"/>
            <w:shd w:val="clear" w:color="auto" w:fill="auto"/>
            <w:vAlign w:val="center"/>
          </w:tcPr>
          <w:p w14:paraId="6EB4F14F">
            <w:pPr>
              <w:jc w:val="center"/>
              <w:rPr>
                <w:rFonts w:eastAsiaTheme="minorEastAsia"/>
                <w:b/>
                <w:color w:val="auto"/>
                <w:szCs w:val="21"/>
              </w:rPr>
            </w:pPr>
            <w:r>
              <w:rPr>
                <w:rFonts w:eastAsiaTheme="minorEastAsia"/>
                <w:b/>
                <w:color w:val="auto"/>
                <w:szCs w:val="21"/>
              </w:rPr>
              <w:t>建筑物插入损失 / dB(A)</w:t>
            </w:r>
            <w:bookmarkStart w:id="194" w:name="PT_10"/>
            <w:bookmarkEnd w:id="194"/>
          </w:p>
        </w:tc>
        <w:tc>
          <w:tcPr>
            <w:tcW w:w="984" w:type="pct"/>
            <w:gridSpan w:val="5"/>
            <w:shd w:val="clear" w:color="auto" w:fill="auto"/>
            <w:vAlign w:val="center"/>
          </w:tcPr>
          <w:p w14:paraId="0B17EB1D">
            <w:pPr>
              <w:jc w:val="center"/>
              <w:rPr>
                <w:rFonts w:eastAsiaTheme="minorEastAsia"/>
                <w:b/>
                <w:color w:val="auto"/>
                <w:szCs w:val="21"/>
              </w:rPr>
            </w:pPr>
            <w:r>
              <w:rPr>
                <w:rFonts w:eastAsiaTheme="minorEastAsia"/>
                <w:b/>
                <w:color w:val="auto"/>
                <w:szCs w:val="21"/>
              </w:rPr>
              <w:t>建筑物外噪声声压级/dB(A)</w:t>
            </w:r>
          </w:p>
        </w:tc>
      </w:tr>
      <w:tr w14:paraId="1CA310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continue"/>
            <w:shd w:val="clear" w:color="auto" w:fill="auto"/>
            <w:tcMar>
              <w:top w:w="0" w:type="dxa"/>
              <w:left w:w="0" w:type="dxa"/>
              <w:bottom w:w="0" w:type="dxa"/>
              <w:right w:w="0" w:type="dxa"/>
            </w:tcMar>
            <w:vAlign w:val="center"/>
          </w:tcPr>
          <w:p w14:paraId="210F9C01">
            <w:pPr>
              <w:jc w:val="center"/>
              <w:rPr>
                <w:rFonts w:eastAsiaTheme="minorEastAsia"/>
                <w:color w:val="auto"/>
                <w:szCs w:val="21"/>
              </w:rPr>
            </w:pPr>
          </w:p>
        </w:tc>
        <w:tc>
          <w:tcPr>
            <w:tcW w:w="193" w:type="pct"/>
            <w:vMerge w:val="continue"/>
            <w:shd w:val="clear" w:color="auto" w:fill="auto"/>
            <w:tcMar>
              <w:top w:w="0" w:type="dxa"/>
              <w:left w:w="0" w:type="dxa"/>
              <w:bottom w:w="0" w:type="dxa"/>
              <w:right w:w="0" w:type="dxa"/>
            </w:tcMar>
            <w:vAlign w:val="center"/>
          </w:tcPr>
          <w:p w14:paraId="1403C9CC">
            <w:pPr>
              <w:jc w:val="center"/>
              <w:rPr>
                <w:rFonts w:eastAsiaTheme="minorEastAsia"/>
                <w:color w:val="auto"/>
                <w:szCs w:val="21"/>
              </w:rPr>
            </w:pPr>
          </w:p>
        </w:tc>
        <w:tc>
          <w:tcPr>
            <w:tcW w:w="183" w:type="pct"/>
            <w:vMerge w:val="continue"/>
            <w:shd w:val="clear" w:color="auto" w:fill="auto"/>
            <w:tcMar>
              <w:top w:w="0" w:type="dxa"/>
              <w:left w:w="0" w:type="dxa"/>
              <w:bottom w:w="0" w:type="dxa"/>
              <w:right w:w="0" w:type="dxa"/>
            </w:tcMar>
            <w:vAlign w:val="center"/>
          </w:tcPr>
          <w:p w14:paraId="620439B9">
            <w:pPr>
              <w:jc w:val="center"/>
              <w:rPr>
                <w:rFonts w:eastAsiaTheme="minorEastAsia"/>
                <w:color w:val="auto"/>
                <w:szCs w:val="21"/>
              </w:rPr>
            </w:pPr>
          </w:p>
        </w:tc>
        <w:tc>
          <w:tcPr>
            <w:tcW w:w="150" w:type="pct"/>
            <w:vMerge w:val="continue"/>
            <w:shd w:val="clear" w:color="auto" w:fill="auto"/>
            <w:tcMar>
              <w:top w:w="0" w:type="dxa"/>
              <w:left w:w="0" w:type="dxa"/>
              <w:bottom w:w="0" w:type="dxa"/>
              <w:right w:w="0" w:type="dxa"/>
            </w:tcMar>
            <w:vAlign w:val="center"/>
          </w:tcPr>
          <w:p w14:paraId="37A7C0F6">
            <w:pPr>
              <w:jc w:val="center"/>
              <w:rPr>
                <w:rFonts w:eastAsiaTheme="minorEastAsia"/>
                <w:color w:val="auto"/>
                <w:szCs w:val="21"/>
              </w:rPr>
            </w:pPr>
          </w:p>
        </w:tc>
        <w:tc>
          <w:tcPr>
            <w:tcW w:w="225" w:type="pct"/>
            <w:shd w:val="clear" w:color="auto" w:fill="auto"/>
            <w:tcMar>
              <w:top w:w="0" w:type="dxa"/>
              <w:left w:w="0" w:type="dxa"/>
              <w:bottom w:w="0" w:type="dxa"/>
              <w:right w:w="0" w:type="dxa"/>
            </w:tcMar>
            <w:vAlign w:val="center"/>
          </w:tcPr>
          <w:p w14:paraId="19593A68">
            <w:pPr>
              <w:jc w:val="center"/>
              <w:rPr>
                <w:rFonts w:eastAsiaTheme="minorEastAsia"/>
                <w:color w:val="auto"/>
                <w:szCs w:val="21"/>
              </w:rPr>
            </w:pPr>
            <w:r>
              <w:rPr>
                <w:rFonts w:eastAsiaTheme="minorEastAsia"/>
                <w:color w:val="auto"/>
                <w:szCs w:val="21"/>
              </w:rPr>
              <w:t>声功率级/dB(A)</w:t>
            </w:r>
          </w:p>
        </w:tc>
        <w:tc>
          <w:tcPr>
            <w:tcW w:w="193" w:type="pct"/>
            <w:vMerge w:val="continue"/>
            <w:shd w:val="clear" w:color="auto" w:fill="auto"/>
            <w:tcMar>
              <w:top w:w="0" w:type="dxa"/>
              <w:left w:w="0" w:type="dxa"/>
              <w:bottom w:w="0" w:type="dxa"/>
              <w:right w:w="0" w:type="dxa"/>
            </w:tcMar>
            <w:vAlign w:val="center"/>
          </w:tcPr>
          <w:p w14:paraId="1B9A93C6">
            <w:pPr>
              <w:jc w:val="center"/>
              <w:rPr>
                <w:rFonts w:eastAsiaTheme="minorEastAsia"/>
                <w:color w:val="auto"/>
                <w:szCs w:val="21"/>
              </w:rPr>
            </w:pPr>
          </w:p>
        </w:tc>
        <w:tc>
          <w:tcPr>
            <w:tcW w:w="215" w:type="pct"/>
            <w:shd w:val="clear" w:color="auto" w:fill="auto"/>
            <w:tcMar>
              <w:top w:w="0" w:type="dxa"/>
              <w:left w:w="0" w:type="dxa"/>
              <w:bottom w:w="0" w:type="dxa"/>
              <w:right w:w="0" w:type="dxa"/>
            </w:tcMar>
            <w:vAlign w:val="center"/>
          </w:tcPr>
          <w:p w14:paraId="53A761CC">
            <w:pPr>
              <w:jc w:val="center"/>
              <w:rPr>
                <w:rFonts w:eastAsiaTheme="minorEastAsia"/>
                <w:color w:val="auto"/>
                <w:szCs w:val="21"/>
              </w:rPr>
            </w:pPr>
            <w:r>
              <w:rPr>
                <w:rFonts w:eastAsiaTheme="minorEastAsia"/>
                <w:color w:val="auto"/>
                <w:szCs w:val="21"/>
              </w:rPr>
              <w:t>X</w:t>
            </w:r>
          </w:p>
        </w:tc>
        <w:tc>
          <w:tcPr>
            <w:tcW w:w="215" w:type="pct"/>
            <w:shd w:val="clear" w:color="auto" w:fill="auto"/>
            <w:tcMar>
              <w:top w:w="0" w:type="dxa"/>
              <w:left w:w="0" w:type="dxa"/>
              <w:bottom w:w="0" w:type="dxa"/>
              <w:right w:w="0" w:type="dxa"/>
            </w:tcMar>
            <w:vAlign w:val="center"/>
          </w:tcPr>
          <w:p w14:paraId="63EB91BB">
            <w:pPr>
              <w:jc w:val="center"/>
              <w:rPr>
                <w:rFonts w:eastAsiaTheme="minorEastAsia"/>
                <w:color w:val="auto"/>
                <w:szCs w:val="21"/>
              </w:rPr>
            </w:pPr>
            <w:r>
              <w:rPr>
                <w:rFonts w:eastAsiaTheme="minorEastAsia"/>
                <w:color w:val="auto"/>
                <w:szCs w:val="21"/>
              </w:rPr>
              <w:t>Y</w:t>
            </w:r>
          </w:p>
        </w:tc>
        <w:tc>
          <w:tcPr>
            <w:tcW w:w="219" w:type="pct"/>
            <w:shd w:val="clear" w:color="auto" w:fill="auto"/>
            <w:tcMar>
              <w:top w:w="0" w:type="dxa"/>
              <w:left w:w="0" w:type="dxa"/>
              <w:bottom w:w="0" w:type="dxa"/>
              <w:right w:w="0" w:type="dxa"/>
            </w:tcMar>
            <w:vAlign w:val="center"/>
          </w:tcPr>
          <w:p w14:paraId="45EDBECA">
            <w:pPr>
              <w:jc w:val="center"/>
              <w:rPr>
                <w:rFonts w:eastAsiaTheme="minorEastAsia"/>
                <w:color w:val="auto"/>
                <w:szCs w:val="21"/>
              </w:rPr>
            </w:pPr>
            <w:r>
              <w:rPr>
                <w:rFonts w:eastAsiaTheme="minorEastAsia"/>
                <w:color w:val="auto"/>
                <w:szCs w:val="21"/>
              </w:rPr>
              <w:t>Z</w:t>
            </w:r>
          </w:p>
        </w:tc>
        <w:tc>
          <w:tcPr>
            <w:tcW w:w="180" w:type="pct"/>
            <w:shd w:val="clear" w:color="auto" w:fill="auto"/>
            <w:tcMar>
              <w:top w:w="0" w:type="dxa"/>
              <w:left w:w="0" w:type="dxa"/>
              <w:bottom w:w="0" w:type="dxa"/>
              <w:right w:w="0" w:type="dxa"/>
            </w:tcMar>
            <w:vAlign w:val="center"/>
          </w:tcPr>
          <w:p w14:paraId="1C630F0D">
            <w:pPr>
              <w:jc w:val="center"/>
              <w:rPr>
                <w:rFonts w:eastAsiaTheme="minorEastAsia"/>
                <w:color w:val="auto"/>
                <w:szCs w:val="21"/>
              </w:rPr>
            </w:pPr>
            <w:r>
              <w:rPr>
                <w:rFonts w:eastAsiaTheme="minorEastAsia"/>
                <w:color w:val="auto"/>
                <w:szCs w:val="21"/>
              </w:rPr>
              <w:t>东</w:t>
            </w:r>
          </w:p>
        </w:tc>
        <w:tc>
          <w:tcPr>
            <w:tcW w:w="178" w:type="pct"/>
            <w:shd w:val="clear" w:color="auto" w:fill="auto"/>
            <w:tcMar>
              <w:top w:w="0" w:type="dxa"/>
              <w:left w:w="0" w:type="dxa"/>
              <w:bottom w:w="0" w:type="dxa"/>
              <w:right w:w="0" w:type="dxa"/>
            </w:tcMar>
            <w:vAlign w:val="center"/>
          </w:tcPr>
          <w:p w14:paraId="51C7912B">
            <w:pPr>
              <w:jc w:val="center"/>
              <w:rPr>
                <w:rFonts w:eastAsiaTheme="minorEastAsia"/>
                <w:color w:val="auto"/>
                <w:szCs w:val="21"/>
              </w:rPr>
            </w:pPr>
            <w:r>
              <w:rPr>
                <w:rFonts w:eastAsiaTheme="minorEastAsia"/>
                <w:color w:val="auto"/>
                <w:szCs w:val="21"/>
              </w:rPr>
              <w:t>南</w:t>
            </w:r>
          </w:p>
        </w:tc>
        <w:tc>
          <w:tcPr>
            <w:tcW w:w="180" w:type="pct"/>
            <w:shd w:val="clear" w:color="auto" w:fill="auto"/>
            <w:tcMar>
              <w:top w:w="0" w:type="dxa"/>
              <w:left w:w="0" w:type="dxa"/>
              <w:bottom w:w="0" w:type="dxa"/>
              <w:right w:w="0" w:type="dxa"/>
            </w:tcMar>
            <w:vAlign w:val="center"/>
          </w:tcPr>
          <w:p w14:paraId="7106A6A0">
            <w:pPr>
              <w:jc w:val="center"/>
              <w:rPr>
                <w:rFonts w:eastAsiaTheme="minorEastAsia"/>
                <w:color w:val="auto"/>
                <w:szCs w:val="21"/>
              </w:rPr>
            </w:pPr>
            <w:r>
              <w:rPr>
                <w:rFonts w:eastAsiaTheme="minorEastAsia"/>
                <w:color w:val="auto"/>
                <w:szCs w:val="21"/>
              </w:rPr>
              <w:t>西</w:t>
            </w:r>
          </w:p>
        </w:tc>
        <w:tc>
          <w:tcPr>
            <w:tcW w:w="191" w:type="pct"/>
            <w:shd w:val="clear" w:color="auto" w:fill="auto"/>
            <w:tcMar>
              <w:top w:w="0" w:type="dxa"/>
              <w:left w:w="0" w:type="dxa"/>
              <w:bottom w:w="0" w:type="dxa"/>
              <w:right w:w="0" w:type="dxa"/>
            </w:tcMar>
            <w:vAlign w:val="center"/>
          </w:tcPr>
          <w:p w14:paraId="35730F91">
            <w:pPr>
              <w:jc w:val="center"/>
              <w:rPr>
                <w:rFonts w:eastAsiaTheme="minorEastAsia"/>
                <w:color w:val="auto"/>
                <w:szCs w:val="21"/>
              </w:rPr>
            </w:pPr>
            <w:r>
              <w:rPr>
                <w:rFonts w:eastAsiaTheme="minorEastAsia"/>
                <w:color w:val="auto"/>
                <w:szCs w:val="21"/>
              </w:rPr>
              <w:t>北</w:t>
            </w:r>
          </w:p>
        </w:tc>
        <w:tc>
          <w:tcPr>
            <w:tcW w:w="176" w:type="pct"/>
            <w:shd w:val="clear" w:color="auto" w:fill="auto"/>
            <w:tcMar>
              <w:top w:w="0" w:type="dxa"/>
              <w:left w:w="0" w:type="dxa"/>
              <w:bottom w:w="0" w:type="dxa"/>
              <w:right w:w="0" w:type="dxa"/>
            </w:tcMar>
            <w:vAlign w:val="center"/>
          </w:tcPr>
          <w:p w14:paraId="40D1FB38">
            <w:pPr>
              <w:jc w:val="center"/>
              <w:rPr>
                <w:rFonts w:eastAsiaTheme="minorEastAsia"/>
                <w:color w:val="auto"/>
                <w:szCs w:val="21"/>
              </w:rPr>
            </w:pPr>
            <w:r>
              <w:rPr>
                <w:rFonts w:eastAsiaTheme="minorEastAsia"/>
                <w:color w:val="auto"/>
                <w:szCs w:val="21"/>
              </w:rPr>
              <w:t>东</w:t>
            </w:r>
          </w:p>
        </w:tc>
        <w:tc>
          <w:tcPr>
            <w:tcW w:w="176" w:type="pct"/>
            <w:shd w:val="clear" w:color="auto" w:fill="auto"/>
            <w:tcMar>
              <w:top w:w="0" w:type="dxa"/>
              <w:left w:w="0" w:type="dxa"/>
              <w:bottom w:w="0" w:type="dxa"/>
              <w:right w:w="0" w:type="dxa"/>
            </w:tcMar>
            <w:vAlign w:val="center"/>
          </w:tcPr>
          <w:p w14:paraId="7F82A456">
            <w:pPr>
              <w:jc w:val="center"/>
              <w:rPr>
                <w:rFonts w:eastAsiaTheme="minorEastAsia"/>
                <w:color w:val="auto"/>
                <w:szCs w:val="21"/>
              </w:rPr>
            </w:pPr>
            <w:r>
              <w:rPr>
                <w:rFonts w:eastAsiaTheme="minorEastAsia"/>
                <w:color w:val="auto"/>
                <w:szCs w:val="21"/>
              </w:rPr>
              <w:t>南</w:t>
            </w:r>
          </w:p>
        </w:tc>
        <w:tc>
          <w:tcPr>
            <w:tcW w:w="176" w:type="pct"/>
            <w:shd w:val="clear" w:color="auto" w:fill="auto"/>
            <w:tcMar>
              <w:top w:w="0" w:type="dxa"/>
              <w:left w:w="0" w:type="dxa"/>
              <w:bottom w:w="0" w:type="dxa"/>
              <w:right w:w="0" w:type="dxa"/>
            </w:tcMar>
            <w:vAlign w:val="center"/>
          </w:tcPr>
          <w:p w14:paraId="29EBD7EB">
            <w:pPr>
              <w:jc w:val="center"/>
              <w:rPr>
                <w:rFonts w:eastAsiaTheme="minorEastAsia"/>
                <w:color w:val="auto"/>
                <w:szCs w:val="21"/>
              </w:rPr>
            </w:pPr>
            <w:r>
              <w:rPr>
                <w:rFonts w:eastAsiaTheme="minorEastAsia"/>
                <w:color w:val="auto"/>
                <w:szCs w:val="21"/>
              </w:rPr>
              <w:t>西</w:t>
            </w:r>
          </w:p>
        </w:tc>
        <w:tc>
          <w:tcPr>
            <w:tcW w:w="178" w:type="pct"/>
            <w:shd w:val="clear" w:color="auto" w:fill="auto"/>
            <w:tcMar>
              <w:top w:w="0" w:type="dxa"/>
              <w:left w:w="0" w:type="dxa"/>
              <w:bottom w:w="0" w:type="dxa"/>
              <w:right w:w="0" w:type="dxa"/>
            </w:tcMar>
            <w:vAlign w:val="center"/>
          </w:tcPr>
          <w:p w14:paraId="3562CD75">
            <w:pPr>
              <w:jc w:val="center"/>
              <w:rPr>
                <w:rFonts w:eastAsiaTheme="minorEastAsia"/>
                <w:color w:val="auto"/>
                <w:szCs w:val="21"/>
              </w:rPr>
            </w:pPr>
            <w:r>
              <w:rPr>
                <w:rFonts w:eastAsiaTheme="minorEastAsia"/>
                <w:color w:val="auto"/>
                <w:szCs w:val="21"/>
              </w:rPr>
              <w:t>北</w:t>
            </w:r>
          </w:p>
        </w:tc>
        <w:tc>
          <w:tcPr>
            <w:tcW w:w="152" w:type="pct"/>
            <w:vMerge w:val="continue"/>
            <w:shd w:val="clear" w:color="auto" w:fill="auto"/>
            <w:tcMar>
              <w:top w:w="0" w:type="dxa"/>
              <w:left w:w="0" w:type="dxa"/>
              <w:bottom w:w="0" w:type="dxa"/>
              <w:right w:w="0" w:type="dxa"/>
            </w:tcMar>
            <w:vAlign w:val="center"/>
          </w:tcPr>
          <w:p w14:paraId="515B9E4F">
            <w:pPr>
              <w:jc w:val="center"/>
              <w:rPr>
                <w:rFonts w:eastAsiaTheme="minorEastAsia"/>
                <w:color w:val="auto"/>
                <w:szCs w:val="21"/>
              </w:rPr>
            </w:pPr>
          </w:p>
        </w:tc>
        <w:tc>
          <w:tcPr>
            <w:tcW w:w="170" w:type="pct"/>
            <w:shd w:val="clear" w:color="auto" w:fill="auto"/>
            <w:tcMar>
              <w:top w:w="0" w:type="dxa"/>
              <w:left w:w="0" w:type="dxa"/>
              <w:bottom w:w="0" w:type="dxa"/>
              <w:right w:w="0" w:type="dxa"/>
            </w:tcMar>
            <w:vAlign w:val="center"/>
          </w:tcPr>
          <w:p w14:paraId="6CCC5B5C">
            <w:pPr>
              <w:jc w:val="center"/>
              <w:rPr>
                <w:rFonts w:eastAsiaTheme="minorEastAsia"/>
                <w:color w:val="auto"/>
                <w:szCs w:val="21"/>
              </w:rPr>
            </w:pPr>
            <w:r>
              <w:rPr>
                <w:rFonts w:eastAsiaTheme="minorEastAsia"/>
                <w:color w:val="auto"/>
                <w:szCs w:val="21"/>
              </w:rPr>
              <w:t>东</w:t>
            </w:r>
          </w:p>
        </w:tc>
        <w:tc>
          <w:tcPr>
            <w:tcW w:w="170" w:type="pct"/>
            <w:shd w:val="clear" w:color="auto" w:fill="auto"/>
            <w:tcMar>
              <w:top w:w="0" w:type="dxa"/>
              <w:left w:w="0" w:type="dxa"/>
              <w:bottom w:w="0" w:type="dxa"/>
              <w:right w:w="0" w:type="dxa"/>
            </w:tcMar>
            <w:vAlign w:val="center"/>
          </w:tcPr>
          <w:p w14:paraId="578C8686">
            <w:pPr>
              <w:jc w:val="center"/>
              <w:rPr>
                <w:rFonts w:eastAsiaTheme="minorEastAsia"/>
                <w:color w:val="auto"/>
                <w:szCs w:val="21"/>
              </w:rPr>
            </w:pPr>
            <w:r>
              <w:rPr>
                <w:rFonts w:eastAsiaTheme="minorEastAsia"/>
                <w:color w:val="auto"/>
                <w:szCs w:val="21"/>
              </w:rPr>
              <w:t>南</w:t>
            </w:r>
          </w:p>
        </w:tc>
        <w:tc>
          <w:tcPr>
            <w:tcW w:w="170" w:type="pct"/>
            <w:shd w:val="clear" w:color="auto" w:fill="auto"/>
            <w:tcMar>
              <w:top w:w="0" w:type="dxa"/>
              <w:left w:w="0" w:type="dxa"/>
              <w:bottom w:w="0" w:type="dxa"/>
              <w:right w:w="0" w:type="dxa"/>
            </w:tcMar>
            <w:vAlign w:val="center"/>
          </w:tcPr>
          <w:p w14:paraId="548BDB96">
            <w:pPr>
              <w:jc w:val="center"/>
              <w:rPr>
                <w:rFonts w:eastAsiaTheme="minorEastAsia"/>
                <w:color w:val="auto"/>
                <w:szCs w:val="21"/>
              </w:rPr>
            </w:pPr>
            <w:r>
              <w:rPr>
                <w:rFonts w:eastAsiaTheme="minorEastAsia"/>
                <w:color w:val="auto"/>
                <w:szCs w:val="21"/>
              </w:rPr>
              <w:t>西</w:t>
            </w:r>
          </w:p>
        </w:tc>
        <w:tc>
          <w:tcPr>
            <w:tcW w:w="170" w:type="pct"/>
            <w:shd w:val="clear" w:color="auto" w:fill="auto"/>
            <w:tcMar>
              <w:top w:w="0" w:type="dxa"/>
              <w:left w:w="0" w:type="dxa"/>
              <w:bottom w:w="0" w:type="dxa"/>
              <w:right w:w="0" w:type="dxa"/>
            </w:tcMar>
            <w:vAlign w:val="center"/>
          </w:tcPr>
          <w:p w14:paraId="3A2AD943">
            <w:pPr>
              <w:jc w:val="center"/>
              <w:rPr>
                <w:rFonts w:eastAsiaTheme="minorEastAsia"/>
                <w:color w:val="auto"/>
                <w:szCs w:val="21"/>
              </w:rPr>
            </w:pPr>
            <w:r>
              <w:rPr>
                <w:rFonts w:eastAsiaTheme="minorEastAsia"/>
                <w:color w:val="auto"/>
                <w:szCs w:val="21"/>
              </w:rPr>
              <w:t>北</w:t>
            </w:r>
          </w:p>
        </w:tc>
        <w:tc>
          <w:tcPr>
            <w:tcW w:w="181" w:type="pct"/>
            <w:shd w:val="clear" w:color="auto" w:fill="auto"/>
            <w:tcMar>
              <w:top w:w="0" w:type="dxa"/>
              <w:left w:w="0" w:type="dxa"/>
              <w:bottom w:w="0" w:type="dxa"/>
              <w:right w:w="0" w:type="dxa"/>
            </w:tcMar>
            <w:vAlign w:val="center"/>
          </w:tcPr>
          <w:p w14:paraId="3DFD1A4B">
            <w:pPr>
              <w:jc w:val="center"/>
              <w:rPr>
                <w:rFonts w:eastAsiaTheme="minorEastAsia"/>
                <w:color w:val="auto"/>
                <w:szCs w:val="21"/>
              </w:rPr>
            </w:pPr>
            <w:r>
              <w:rPr>
                <w:rFonts w:eastAsiaTheme="minorEastAsia"/>
                <w:color w:val="auto"/>
                <w:szCs w:val="21"/>
              </w:rPr>
              <w:t>东</w:t>
            </w:r>
          </w:p>
        </w:tc>
        <w:tc>
          <w:tcPr>
            <w:tcW w:w="181" w:type="pct"/>
            <w:shd w:val="clear" w:color="auto" w:fill="auto"/>
            <w:tcMar>
              <w:top w:w="0" w:type="dxa"/>
              <w:left w:w="0" w:type="dxa"/>
              <w:bottom w:w="0" w:type="dxa"/>
              <w:right w:w="0" w:type="dxa"/>
            </w:tcMar>
            <w:vAlign w:val="center"/>
          </w:tcPr>
          <w:p w14:paraId="4A8F8695">
            <w:pPr>
              <w:jc w:val="center"/>
              <w:rPr>
                <w:rFonts w:eastAsiaTheme="minorEastAsia"/>
                <w:color w:val="auto"/>
                <w:szCs w:val="21"/>
              </w:rPr>
            </w:pPr>
            <w:r>
              <w:rPr>
                <w:rFonts w:eastAsiaTheme="minorEastAsia"/>
                <w:color w:val="auto"/>
                <w:szCs w:val="21"/>
              </w:rPr>
              <w:t>南</w:t>
            </w:r>
          </w:p>
        </w:tc>
        <w:tc>
          <w:tcPr>
            <w:tcW w:w="181" w:type="pct"/>
            <w:shd w:val="clear" w:color="auto" w:fill="auto"/>
            <w:tcMar>
              <w:top w:w="0" w:type="dxa"/>
              <w:left w:w="0" w:type="dxa"/>
              <w:bottom w:w="0" w:type="dxa"/>
              <w:right w:w="0" w:type="dxa"/>
            </w:tcMar>
            <w:vAlign w:val="center"/>
          </w:tcPr>
          <w:p w14:paraId="3BE95CED">
            <w:pPr>
              <w:jc w:val="center"/>
              <w:rPr>
                <w:rFonts w:eastAsiaTheme="minorEastAsia"/>
                <w:color w:val="auto"/>
                <w:szCs w:val="21"/>
              </w:rPr>
            </w:pPr>
            <w:r>
              <w:rPr>
                <w:rFonts w:eastAsiaTheme="minorEastAsia"/>
                <w:color w:val="auto"/>
                <w:szCs w:val="21"/>
              </w:rPr>
              <w:t>西</w:t>
            </w:r>
          </w:p>
        </w:tc>
        <w:tc>
          <w:tcPr>
            <w:tcW w:w="181" w:type="pct"/>
            <w:shd w:val="clear" w:color="auto" w:fill="auto"/>
            <w:tcMar>
              <w:top w:w="0" w:type="dxa"/>
              <w:left w:w="0" w:type="dxa"/>
              <w:bottom w:w="0" w:type="dxa"/>
              <w:right w:w="0" w:type="dxa"/>
            </w:tcMar>
            <w:vAlign w:val="center"/>
          </w:tcPr>
          <w:p w14:paraId="50C6F789">
            <w:pPr>
              <w:jc w:val="center"/>
              <w:rPr>
                <w:rFonts w:eastAsiaTheme="minorEastAsia"/>
                <w:color w:val="auto"/>
                <w:szCs w:val="21"/>
              </w:rPr>
            </w:pPr>
            <w:r>
              <w:rPr>
                <w:rFonts w:eastAsiaTheme="minorEastAsia"/>
                <w:color w:val="auto"/>
                <w:szCs w:val="21"/>
              </w:rPr>
              <w:t>北</w:t>
            </w:r>
          </w:p>
        </w:tc>
        <w:tc>
          <w:tcPr>
            <w:tcW w:w="260" w:type="pct"/>
            <w:shd w:val="clear" w:color="auto" w:fill="auto"/>
            <w:tcMar>
              <w:top w:w="0" w:type="dxa"/>
              <w:left w:w="0" w:type="dxa"/>
              <w:bottom w:w="0" w:type="dxa"/>
              <w:right w:w="0" w:type="dxa"/>
            </w:tcMar>
            <w:vAlign w:val="center"/>
          </w:tcPr>
          <w:p w14:paraId="267AF8F5">
            <w:pPr>
              <w:jc w:val="center"/>
              <w:rPr>
                <w:rFonts w:eastAsiaTheme="minorEastAsia"/>
                <w:color w:val="auto"/>
                <w:szCs w:val="21"/>
              </w:rPr>
            </w:pPr>
            <w:r>
              <w:rPr>
                <w:rFonts w:eastAsiaTheme="minorEastAsia"/>
                <w:color w:val="auto"/>
                <w:szCs w:val="21"/>
              </w:rPr>
              <w:t>建筑物外距离</w:t>
            </w:r>
          </w:p>
        </w:tc>
      </w:tr>
      <w:tr w14:paraId="7895DF4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restart"/>
            <w:shd w:val="clear" w:color="auto" w:fill="auto"/>
            <w:tcMar>
              <w:top w:w="0" w:type="dxa"/>
              <w:left w:w="0" w:type="dxa"/>
              <w:bottom w:w="0" w:type="dxa"/>
              <w:right w:w="0" w:type="dxa"/>
            </w:tcMar>
            <w:vAlign w:val="center"/>
          </w:tcPr>
          <w:p w14:paraId="1EBDD254">
            <w:pPr>
              <w:jc w:val="center"/>
              <w:rPr>
                <w:rFonts w:hint="default" w:eastAsia="宋体"/>
                <w:color w:val="auto"/>
                <w:lang w:val="en-US" w:eastAsia="zh-CN"/>
              </w:rPr>
            </w:pPr>
            <w:r>
              <w:rPr>
                <w:rFonts w:hint="eastAsia"/>
                <w:color w:val="auto"/>
                <w:lang w:val="en-US" w:eastAsia="zh-CN"/>
              </w:rPr>
              <w:t>1</w:t>
            </w:r>
          </w:p>
        </w:tc>
        <w:tc>
          <w:tcPr>
            <w:tcW w:w="193" w:type="pct"/>
            <w:vMerge w:val="restart"/>
            <w:shd w:val="clear" w:color="auto" w:fill="auto"/>
            <w:tcMar>
              <w:top w:w="0" w:type="dxa"/>
              <w:left w:w="0" w:type="dxa"/>
              <w:bottom w:w="0" w:type="dxa"/>
              <w:right w:w="0" w:type="dxa"/>
            </w:tcMar>
            <w:vAlign w:val="center"/>
          </w:tcPr>
          <w:p w14:paraId="1A7D207C">
            <w:pPr>
              <w:jc w:val="center"/>
              <w:rPr>
                <w:color w:val="auto"/>
              </w:rPr>
            </w:pPr>
            <w:r>
              <w:rPr>
                <w:rFonts w:eastAsia="Arial"/>
                <w:color w:val="auto"/>
                <w:sz w:val="20"/>
              </w:rPr>
              <w:t>鸡舍</w:t>
            </w:r>
          </w:p>
        </w:tc>
        <w:tc>
          <w:tcPr>
            <w:tcW w:w="183" w:type="pct"/>
            <w:shd w:val="clear" w:color="auto" w:fill="auto"/>
            <w:tcMar>
              <w:top w:w="0" w:type="dxa"/>
              <w:left w:w="0" w:type="dxa"/>
              <w:bottom w:w="0" w:type="dxa"/>
              <w:right w:w="0" w:type="dxa"/>
            </w:tcMar>
            <w:vAlign w:val="center"/>
          </w:tcPr>
          <w:p w14:paraId="261EEB45">
            <w:pPr>
              <w:jc w:val="center"/>
              <w:rPr>
                <w:color w:val="auto"/>
              </w:rPr>
            </w:pPr>
            <w:r>
              <w:rPr>
                <w:rFonts w:eastAsia="Arial"/>
                <w:color w:val="auto"/>
                <w:sz w:val="20"/>
              </w:rPr>
              <w:t>鸡群叫声</w:t>
            </w:r>
          </w:p>
        </w:tc>
        <w:tc>
          <w:tcPr>
            <w:tcW w:w="150" w:type="pct"/>
            <w:shd w:val="clear" w:color="auto" w:fill="auto"/>
            <w:tcMar>
              <w:top w:w="0" w:type="dxa"/>
              <w:left w:w="0" w:type="dxa"/>
              <w:bottom w:w="0" w:type="dxa"/>
              <w:right w:w="0" w:type="dxa"/>
            </w:tcMar>
            <w:vAlign w:val="center"/>
          </w:tcPr>
          <w:p w14:paraId="2A26DF3A">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632AD6B3">
            <w:pPr>
              <w:jc w:val="center"/>
              <w:rPr>
                <w:color w:val="auto"/>
              </w:rPr>
            </w:pPr>
            <w:r>
              <w:rPr>
                <w:rFonts w:eastAsia="Arial"/>
                <w:color w:val="auto"/>
                <w:sz w:val="20"/>
              </w:rPr>
              <w:t>65</w:t>
            </w:r>
          </w:p>
        </w:tc>
        <w:tc>
          <w:tcPr>
            <w:tcW w:w="193" w:type="pct"/>
            <w:shd w:val="clear" w:color="auto" w:fill="auto"/>
            <w:tcMar>
              <w:top w:w="0" w:type="dxa"/>
              <w:left w:w="0" w:type="dxa"/>
              <w:bottom w:w="0" w:type="dxa"/>
              <w:right w:w="0" w:type="dxa"/>
            </w:tcMar>
            <w:vAlign w:val="center"/>
          </w:tcPr>
          <w:p w14:paraId="05AEA8CB">
            <w:pPr>
              <w:jc w:val="center"/>
              <w:rPr>
                <w:rFonts w:hint="eastAsia" w:eastAsia="宋体"/>
                <w:color w:val="auto"/>
                <w:lang w:val="en-US" w:eastAsia="zh-CN"/>
              </w:rPr>
            </w:pPr>
            <w:r>
              <w:rPr>
                <w:rFonts w:hint="eastAsia"/>
                <w:color w:val="auto"/>
                <w:lang w:val="en-US" w:eastAsia="zh-CN"/>
              </w:rPr>
              <w:t>/</w:t>
            </w:r>
          </w:p>
        </w:tc>
        <w:tc>
          <w:tcPr>
            <w:tcW w:w="215" w:type="pct"/>
            <w:shd w:val="clear" w:color="auto" w:fill="auto"/>
            <w:tcMar>
              <w:top w:w="0" w:type="dxa"/>
              <w:left w:w="0" w:type="dxa"/>
              <w:bottom w:w="0" w:type="dxa"/>
              <w:right w:w="0" w:type="dxa"/>
            </w:tcMar>
            <w:vAlign w:val="center"/>
          </w:tcPr>
          <w:p w14:paraId="546305AF">
            <w:pPr>
              <w:jc w:val="center"/>
              <w:rPr>
                <w:color w:val="auto"/>
              </w:rPr>
            </w:pPr>
            <w:r>
              <w:rPr>
                <w:rFonts w:eastAsia="Arial"/>
                <w:color w:val="auto"/>
                <w:sz w:val="20"/>
              </w:rPr>
              <w:t>94.4</w:t>
            </w:r>
          </w:p>
        </w:tc>
        <w:tc>
          <w:tcPr>
            <w:tcW w:w="215" w:type="pct"/>
            <w:shd w:val="clear" w:color="auto" w:fill="auto"/>
            <w:tcMar>
              <w:top w:w="0" w:type="dxa"/>
              <w:left w:w="0" w:type="dxa"/>
              <w:bottom w:w="0" w:type="dxa"/>
              <w:right w:w="0" w:type="dxa"/>
            </w:tcMar>
            <w:vAlign w:val="center"/>
          </w:tcPr>
          <w:p w14:paraId="2C4676DA">
            <w:pPr>
              <w:jc w:val="center"/>
              <w:rPr>
                <w:color w:val="auto"/>
              </w:rPr>
            </w:pPr>
            <w:r>
              <w:rPr>
                <w:rFonts w:eastAsia="Arial"/>
                <w:color w:val="auto"/>
                <w:sz w:val="20"/>
              </w:rPr>
              <w:t>56.3</w:t>
            </w:r>
          </w:p>
        </w:tc>
        <w:tc>
          <w:tcPr>
            <w:tcW w:w="219" w:type="pct"/>
            <w:shd w:val="clear" w:color="auto" w:fill="auto"/>
            <w:tcMar>
              <w:top w:w="0" w:type="dxa"/>
              <w:left w:w="0" w:type="dxa"/>
              <w:bottom w:w="0" w:type="dxa"/>
              <w:right w:w="0" w:type="dxa"/>
            </w:tcMar>
            <w:vAlign w:val="center"/>
          </w:tcPr>
          <w:p w14:paraId="46CC3E48">
            <w:pPr>
              <w:jc w:val="center"/>
              <w:rPr>
                <w:color w:val="auto"/>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5EFDB471">
            <w:pPr>
              <w:jc w:val="center"/>
              <w:rPr>
                <w:color w:val="auto"/>
              </w:rPr>
            </w:pPr>
            <w:r>
              <w:rPr>
                <w:rFonts w:eastAsia="Arial"/>
                <w:color w:val="auto"/>
                <w:sz w:val="20"/>
              </w:rPr>
              <w:t>139.6</w:t>
            </w:r>
          </w:p>
        </w:tc>
        <w:tc>
          <w:tcPr>
            <w:tcW w:w="178" w:type="pct"/>
            <w:shd w:val="clear" w:color="auto" w:fill="auto"/>
            <w:tcMar>
              <w:top w:w="0" w:type="dxa"/>
              <w:left w:w="0" w:type="dxa"/>
              <w:bottom w:w="0" w:type="dxa"/>
              <w:right w:w="0" w:type="dxa"/>
            </w:tcMar>
            <w:vAlign w:val="center"/>
          </w:tcPr>
          <w:p w14:paraId="6132ABFA">
            <w:pPr>
              <w:jc w:val="center"/>
              <w:rPr>
                <w:color w:val="auto"/>
              </w:rPr>
            </w:pPr>
            <w:r>
              <w:rPr>
                <w:rFonts w:eastAsia="Arial"/>
                <w:color w:val="auto"/>
                <w:sz w:val="20"/>
              </w:rPr>
              <w:t>53.9</w:t>
            </w:r>
          </w:p>
        </w:tc>
        <w:tc>
          <w:tcPr>
            <w:tcW w:w="180" w:type="pct"/>
            <w:shd w:val="clear" w:color="auto" w:fill="auto"/>
            <w:tcMar>
              <w:top w:w="0" w:type="dxa"/>
              <w:left w:w="0" w:type="dxa"/>
              <w:bottom w:w="0" w:type="dxa"/>
              <w:right w:w="0" w:type="dxa"/>
            </w:tcMar>
            <w:vAlign w:val="center"/>
          </w:tcPr>
          <w:p w14:paraId="547F8D2B">
            <w:pPr>
              <w:jc w:val="center"/>
              <w:rPr>
                <w:color w:val="auto"/>
              </w:rPr>
            </w:pPr>
            <w:r>
              <w:rPr>
                <w:rFonts w:eastAsia="Arial"/>
                <w:color w:val="auto"/>
                <w:sz w:val="20"/>
              </w:rPr>
              <w:t>125.1</w:t>
            </w:r>
          </w:p>
        </w:tc>
        <w:tc>
          <w:tcPr>
            <w:tcW w:w="191" w:type="pct"/>
            <w:shd w:val="clear" w:color="auto" w:fill="auto"/>
            <w:tcMar>
              <w:top w:w="0" w:type="dxa"/>
              <w:left w:w="0" w:type="dxa"/>
              <w:bottom w:w="0" w:type="dxa"/>
              <w:right w:w="0" w:type="dxa"/>
            </w:tcMar>
            <w:vAlign w:val="center"/>
          </w:tcPr>
          <w:p w14:paraId="6DB63415">
            <w:pPr>
              <w:jc w:val="center"/>
              <w:rPr>
                <w:color w:val="auto"/>
              </w:rPr>
            </w:pPr>
            <w:r>
              <w:rPr>
                <w:rFonts w:eastAsia="Arial"/>
                <w:color w:val="auto"/>
                <w:sz w:val="20"/>
              </w:rPr>
              <w:t>39.6</w:t>
            </w:r>
          </w:p>
        </w:tc>
        <w:tc>
          <w:tcPr>
            <w:tcW w:w="176" w:type="pct"/>
            <w:shd w:val="clear" w:color="auto" w:fill="auto"/>
            <w:tcMar>
              <w:top w:w="0" w:type="dxa"/>
              <w:left w:w="0" w:type="dxa"/>
              <w:bottom w:w="0" w:type="dxa"/>
              <w:right w:w="0" w:type="dxa"/>
            </w:tcMar>
            <w:vAlign w:val="center"/>
          </w:tcPr>
          <w:p w14:paraId="36306E30">
            <w:pPr>
              <w:jc w:val="center"/>
              <w:rPr>
                <w:color w:val="auto"/>
              </w:rPr>
            </w:pPr>
            <w:r>
              <w:rPr>
                <w:rFonts w:eastAsia="Arial"/>
                <w:color w:val="auto"/>
                <w:sz w:val="20"/>
              </w:rPr>
              <w:t>45.6</w:t>
            </w:r>
          </w:p>
        </w:tc>
        <w:tc>
          <w:tcPr>
            <w:tcW w:w="176" w:type="pct"/>
            <w:shd w:val="clear" w:color="auto" w:fill="auto"/>
            <w:tcMar>
              <w:top w:w="0" w:type="dxa"/>
              <w:left w:w="0" w:type="dxa"/>
              <w:bottom w:w="0" w:type="dxa"/>
              <w:right w:w="0" w:type="dxa"/>
            </w:tcMar>
            <w:vAlign w:val="center"/>
          </w:tcPr>
          <w:p w14:paraId="3A77AB8E">
            <w:pPr>
              <w:jc w:val="center"/>
              <w:rPr>
                <w:color w:val="auto"/>
              </w:rPr>
            </w:pPr>
            <w:r>
              <w:rPr>
                <w:rFonts w:eastAsia="Arial"/>
                <w:color w:val="auto"/>
                <w:sz w:val="20"/>
              </w:rPr>
              <w:t>45.6</w:t>
            </w:r>
          </w:p>
        </w:tc>
        <w:tc>
          <w:tcPr>
            <w:tcW w:w="176" w:type="pct"/>
            <w:shd w:val="clear" w:color="auto" w:fill="auto"/>
            <w:tcMar>
              <w:top w:w="0" w:type="dxa"/>
              <w:left w:w="0" w:type="dxa"/>
              <w:bottom w:w="0" w:type="dxa"/>
              <w:right w:w="0" w:type="dxa"/>
            </w:tcMar>
            <w:vAlign w:val="center"/>
          </w:tcPr>
          <w:p w14:paraId="581374E9">
            <w:pPr>
              <w:jc w:val="center"/>
              <w:rPr>
                <w:color w:val="auto"/>
              </w:rPr>
            </w:pPr>
            <w:r>
              <w:rPr>
                <w:rFonts w:eastAsia="Arial"/>
                <w:color w:val="auto"/>
                <w:sz w:val="20"/>
              </w:rPr>
              <w:t>45.6</w:t>
            </w:r>
          </w:p>
        </w:tc>
        <w:tc>
          <w:tcPr>
            <w:tcW w:w="178" w:type="pct"/>
            <w:shd w:val="clear" w:color="auto" w:fill="auto"/>
            <w:tcMar>
              <w:top w:w="0" w:type="dxa"/>
              <w:left w:w="0" w:type="dxa"/>
              <w:bottom w:w="0" w:type="dxa"/>
              <w:right w:w="0" w:type="dxa"/>
            </w:tcMar>
            <w:vAlign w:val="center"/>
          </w:tcPr>
          <w:p w14:paraId="3EFCC9E6">
            <w:pPr>
              <w:jc w:val="center"/>
              <w:rPr>
                <w:color w:val="auto"/>
              </w:rPr>
            </w:pPr>
            <w:r>
              <w:rPr>
                <w:rFonts w:eastAsia="Arial"/>
                <w:color w:val="auto"/>
                <w:sz w:val="20"/>
              </w:rPr>
              <w:t>45.6</w:t>
            </w:r>
          </w:p>
        </w:tc>
        <w:tc>
          <w:tcPr>
            <w:tcW w:w="152" w:type="pct"/>
            <w:shd w:val="clear" w:color="auto" w:fill="auto"/>
            <w:tcMar>
              <w:top w:w="0" w:type="dxa"/>
              <w:left w:w="0" w:type="dxa"/>
              <w:bottom w:w="0" w:type="dxa"/>
              <w:right w:w="0" w:type="dxa"/>
            </w:tcMar>
            <w:vAlign w:val="center"/>
          </w:tcPr>
          <w:p w14:paraId="333AF46C">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4EF250FE">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678643F5">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40C377BC">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1981F7F6">
            <w:pPr>
              <w:jc w:val="center"/>
              <w:rPr>
                <w:color w:val="auto"/>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09697E0D">
            <w:pPr>
              <w:jc w:val="center"/>
              <w:rPr>
                <w:color w:val="auto"/>
              </w:rPr>
            </w:pPr>
            <w:r>
              <w:rPr>
                <w:rFonts w:eastAsia="Arial"/>
                <w:color w:val="auto"/>
                <w:sz w:val="20"/>
              </w:rPr>
              <w:t>4.6</w:t>
            </w:r>
          </w:p>
        </w:tc>
        <w:tc>
          <w:tcPr>
            <w:tcW w:w="181" w:type="pct"/>
            <w:shd w:val="clear" w:color="auto" w:fill="auto"/>
            <w:tcMar>
              <w:top w:w="0" w:type="dxa"/>
              <w:left w:w="0" w:type="dxa"/>
              <w:bottom w:w="0" w:type="dxa"/>
              <w:right w:w="0" w:type="dxa"/>
            </w:tcMar>
            <w:vAlign w:val="center"/>
          </w:tcPr>
          <w:p w14:paraId="5C439176">
            <w:pPr>
              <w:jc w:val="center"/>
              <w:rPr>
                <w:color w:val="auto"/>
              </w:rPr>
            </w:pPr>
            <w:r>
              <w:rPr>
                <w:rFonts w:eastAsia="Arial"/>
                <w:color w:val="auto"/>
                <w:sz w:val="20"/>
              </w:rPr>
              <w:t>4.6</w:t>
            </w:r>
          </w:p>
        </w:tc>
        <w:tc>
          <w:tcPr>
            <w:tcW w:w="181" w:type="pct"/>
            <w:shd w:val="clear" w:color="auto" w:fill="auto"/>
            <w:tcMar>
              <w:top w:w="0" w:type="dxa"/>
              <w:left w:w="0" w:type="dxa"/>
              <w:bottom w:w="0" w:type="dxa"/>
              <w:right w:w="0" w:type="dxa"/>
            </w:tcMar>
            <w:vAlign w:val="center"/>
          </w:tcPr>
          <w:p w14:paraId="62B59B65">
            <w:pPr>
              <w:jc w:val="center"/>
              <w:rPr>
                <w:color w:val="auto"/>
              </w:rPr>
            </w:pPr>
            <w:r>
              <w:rPr>
                <w:rFonts w:eastAsia="Arial"/>
                <w:color w:val="auto"/>
                <w:sz w:val="20"/>
              </w:rPr>
              <w:t>4.6</w:t>
            </w:r>
          </w:p>
        </w:tc>
        <w:tc>
          <w:tcPr>
            <w:tcW w:w="181" w:type="pct"/>
            <w:shd w:val="clear" w:color="auto" w:fill="auto"/>
            <w:tcMar>
              <w:top w:w="0" w:type="dxa"/>
              <w:left w:w="0" w:type="dxa"/>
              <w:bottom w:w="0" w:type="dxa"/>
              <w:right w:w="0" w:type="dxa"/>
            </w:tcMar>
            <w:vAlign w:val="center"/>
          </w:tcPr>
          <w:p w14:paraId="59357854">
            <w:pPr>
              <w:jc w:val="center"/>
              <w:rPr>
                <w:color w:val="auto"/>
              </w:rPr>
            </w:pPr>
            <w:r>
              <w:rPr>
                <w:rFonts w:eastAsia="Arial"/>
                <w:color w:val="auto"/>
                <w:sz w:val="20"/>
              </w:rPr>
              <w:t>4.6</w:t>
            </w:r>
          </w:p>
        </w:tc>
        <w:tc>
          <w:tcPr>
            <w:tcW w:w="260" w:type="pct"/>
            <w:shd w:val="clear" w:color="auto" w:fill="auto"/>
            <w:tcMar>
              <w:top w:w="0" w:type="dxa"/>
              <w:left w:w="0" w:type="dxa"/>
              <w:bottom w:w="0" w:type="dxa"/>
              <w:right w:w="0" w:type="dxa"/>
            </w:tcMar>
            <w:vAlign w:val="center"/>
          </w:tcPr>
          <w:p w14:paraId="51044F2C">
            <w:pPr>
              <w:jc w:val="center"/>
              <w:rPr>
                <w:color w:val="auto"/>
              </w:rPr>
            </w:pPr>
            <w:r>
              <w:rPr>
                <w:rFonts w:eastAsia="Arial"/>
                <w:color w:val="auto"/>
                <w:sz w:val="20"/>
              </w:rPr>
              <w:t>1</w:t>
            </w:r>
          </w:p>
        </w:tc>
      </w:tr>
      <w:tr w14:paraId="05E5AF8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continue"/>
            <w:shd w:val="clear" w:color="auto" w:fill="auto"/>
            <w:tcMar>
              <w:top w:w="0" w:type="dxa"/>
              <w:left w:w="0" w:type="dxa"/>
              <w:bottom w:w="0" w:type="dxa"/>
              <w:right w:w="0" w:type="dxa"/>
            </w:tcMar>
            <w:vAlign w:val="center"/>
          </w:tcPr>
          <w:p w14:paraId="4335280C">
            <w:pPr>
              <w:jc w:val="center"/>
              <w:rPr>
                <w:rFonts w:eastAsia="Arial"/>
                <w:color w:val="auto"/>
                <w:sz w:val="20"/>
              </w:rPr>
            </w:pPr>
          </w:p>
        </w:tc>
        <w:tc>
          <w:tcPr>
            <w:tcW w:w="193" w:type="pct"/>
            <w:vMerge w:val="continue"/>
            <w:shd w:val="clear" w:color="auto" w:fill="auto"/>
            <w:tcMar>
              <w:top w:w="0" w:type="dxa"/>
              <w:left w:w="0" w:type="dxa"/>
              <w:bottom w:w="0" w:type="dxa"/>
              <w:right w:w="0" w:type="dxa"/>
            </w:tcMar>
            <w:vAlign w:val="center"/>
          </w:tcPr>
          <w:p w14:paraId="7F654979">
            <w:pPr>
              <w:jc w:val="center"/>
              <w:rPr>
                <w:rFonts w:eastAsia="Arial"/>
                <w:color w:val="auto"/>
                <w:sz w:val="20"/>
              </w:rPr>
            </w:pPr>
          </w:p>
        </w:tc>
        <w:tc>
          <w:tcPr>
            <w:tcW w:w="183" w:type="pct"/>
            <w:shd w:val="clear" w:color="auto" w:fill="auto"/>
            <w:tcMar>
              <w:top w:w="0" w:type="dxa"/>
              <w:left w:w="0" w:type="dxa"/>
              <w:bottom w:w="0" w:type="dxa"/>
              <w:right w:w="0" w:type="dxa"/>
            </w:tcMar>
            <w:vAlign w:val="center"/>
          </w:tcPr>
          <w:p w14:paraId="37361916">
            <w:pPr>
              <w:jc w:val="center"/>
              <w:rPr>
                <w:rFonts w:eastAsia="Arial"/>
                <w:color w:val="auto"/>
                <w:sz w:val="20"/>
              </w:rPr>
            </w:pPr>
            <w:r>
              <w:rPr>
                <w:rFonts w:eastAsia="Arial"/>
                <w:color w:val="auto"/>
                <w:sz w:val="20"/>
              </w:rPr>
              <w:t>饲喂系统喂料驱动器</w:t>
            </w:r>
          </w:p>
        </w:tc>
        <w:tc>
          <w:tcPr>
            <w:tcW w:w="150" w:type="pct"/>
            <w:shd w:val="clear" w:color="auto" w:fill="auto"/>
            <w:tcMar>
              <w:top w:w="0" w:type="dxa"/>
              <w:left w:w="0" w:type="dxa"/>
              <w:bottom w:w="0" w:type="dxa"/>
              <w:right w:w="0" w:type="dxa"/>
            </w:tcMar>
            <w:vAlign w:val="center"/>
          </w:tcPr>
          <w:p w14:paraId="24F7E9A5">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644A9FA8">
            <w:pPr>
              <w:jc w:val="center"/>
              <w:rPr>
                <w:rFonts w:eastAsia="Arial"/>
                <w:color w:val="auto"/>
                <w:sz w:val="20"/>
              </w:rPr>
            </w:pPr>
            <w:r>
              <w:rPr>
                <w:rFonts w:eastAsia="Arial"/>
                <w:color w:val="auto"/>
                <w:sz w:val="20"/>
              </w:rPr>
              <w:t>75</w:t>
            </w:r>
          </w:p>
        </w:tc>
        <w:tc>
          <w:tcPr>
            <w:tcW w:w="193" w:type="pct"/>
            <w:shd w:val="clear" w:color="auto" w:fill="auto"/>
            <w:tcMar>
              <w:top w:w="0" w:type="dxa"/>
              <w:left w:w="0" w:type="dxa"/>
              <w:bottom w:w="0" w:type="dxa"/>
              <w:right w:w="0" w:type="dxa"/>
            </w:tcMar>
            <w:vAlign w:val="center"/>
          </w:tcPr>
          <w:p w14:paraId="6153F6AB">
            <w:pPr>
              <w:jc w:val="center"/>
              <w:rPr>
                <w:rFonts w:hint="eastAsia"/>
                <w:color w:val="auto"/>
                <w:lang w:val="en-US" w:eastAsia="zh-CN"/>
              </w:rPr>
            </w:pPr>
            <w:r>
              <w:rPr>
                <w:color w:val="auto"/>
                <w:szCs w:val="21"/>
                <w:shd w:val="clear" w:color="auto" w:fill="FFFFFF"/>
              </w:rPr>
              <w:t>选低噪声设备、隔声、消声</w:t>
            </w:r>
          </w:p>
        </w:tc>
        <w:tc>
          <w:tcPr>
            <w:tcW w:w="215" w:type="pct"/>
            <w:shd w:val="clear" w:color="auto" w:fill="auto"/>
            <w:tcMar>
              <w:top w:w="0" w:type="dxa"/>
              <w:left w:w="0" w:type="dxa"/>
              <w:bottom w:w="0" w:type="dxa"/>
              <w:right w:w="0" w:type="dxa"/>
            </w:tcMar>
            <w:vAlign w:val="center"/>
          </w:tcPr>
          <w:p w14:paraId="7F56510E">
            <w:pPr>
              <w:jc w:val="center"/>
              <w:rPr>
                <w:rFonts w:eastAsia="Arial"/>
                <w:color w:val="auto"/>
                <w:sz w:val="20"/>
              </w:rPr>
            </w:pPr>
            <w:r>
              <w:rPr>
                <w:rFonts w:eastAsia="Arial"/>
                <w:color w:val="auto"/>
                <w:sz w:val="20"/>
              </w:rPr>
              <w:t>-41.6</w:t>
            </w:r>
          </w:p>
        </w:tc>
        <w:tc>
          <w:tcPr>
            <w:tcW w:w="215" w:type="pct"/>
            <w:shd w:val="clear" w:color="auto" w:fill="auto"/>
            <w:tcMar>
              <w:top w:w="0" w:type="dxa"/>
              <w:left w:w="0" w:type="dxa"/>
              <w:bottom w:w="0" w:type="dxa"/>
              <w:right w:w="0" w:type="dxa"/>
            </w:tcMar>
            <w:vAlign w:val="center"/>
          </w:tcPr>
          <w:p w14:paraId="1462BCFA">
            <w:pPr>
              <w:jc w:val="center"/>
              <w:rPr>
                <w:rFonts w:eastAsia="Arial"/>
                <w:color w:val="auto"/>
                <w:sz w:val="20"/>
              </w:rPr>
            </w:pPr>
            <w:r>
              <w:rPr>
                <w:rFonts w:eastAsia="Arial"/>
                <w:color w:val="auto"/>
                <w:sz w:val="20"/>
              </w:rPr>
              <w:t>0.3</w:t>
            </w:r>
          </w:p>
        </w:tc>
        <w:tc>
          <w:tcPr>
            <w:tcW w:w="219" w:type="pct"/>
            <w:shd w:val="clear" w:color="auto" w:fill="auto"/>
            <w:tcMar>
              <w:top w:w="0" w:type="dxa"/>
              <w:left w:w="0" w:type="dxa"/>
              <w:bottom w:w="0" w:type="dxa"/>
              <w:right w:w="0" w:type="dxa"/>
            </w:tcMar>
            <w:vAlign w:val="center"/>
          </w:tcPr>
          <w:p w14:paraId="5563993E">
            <w:pPr>
              <w:jc w:val="center"/>
              <w:rPr>
                <w:rFonts w:eastAsia="Arial"/>
                <w:color w:val="auto"/>
                <w:sz w:val="20"/>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692DDEBF">
            <w:pPr>
              <w:jc w:val="center"/>
              <w:rPr>
                <w:rFonts w:eastAsia="Arial"/>
                <w:color w:val="auto"/>
                <w:sz w:val="20"/>
              </w:rPr>
            </w:pPr>
            <w:r>
              <w:rPr>
                <w:rFonts w:eastAsia="Arial"/>
                <w:color w:val="auto"/>
                <w:sz w:val="20"/>
              </w:rPr>
              <w:t>94.0</w:t>
            </w:r>
          </w:p>
        </w:tc>
        <w:tc>
          <w:tcPr>
            <w:tcW w:w="178" w:type="pct"/>
            <w:shd w:val="clear" w:color="auto" w:fill="auto"/>
            <w:tcMar>
              <w:top w:w="0" w:type="dxa"/>
              <w:left w:w="0" w:type="dxa"/>
              <w:bottom w:w="0" w:type="dxa"/>
              <w:right w:w="0" w:type="dxa"/>
            </w:tcMar>
            <w:vAlign w:val="center"/>
          </w:tcPr>
          <w:p w14:paraId="4A250F59">
            <w:pPr>
              <w:jc w:val="center"/>
              <w:rPr>
                <w:rFonts w:eastAsia="Arial"/>
                <w:color w:val="auto"/>
                <w:sz w:val="20"/>
              </w:rPr>
            </w:pPr>
            <w:r>
              <w:rPr>
                <w:rFonts w:eastAsia="Arial"/>
                <w:color w:val="auto"/>
                <w:sz w:val="20"/>
              </w:rPr>
              <w:t>88.5</w:t>
            </w:r>
          </w:p>
        </w:tc>
        <w:tc>
          <w:tcPr>
            <w:tcW w:w="180" w:type="pct"/>
            <w:shd w:val="clear" w:color="auto" w:fill="auto"/>
            <w:tcMar>
              <w:top w:w="0" w:type="dxa"/>
              <w:left w:w="0" w:type="dxa"/>
              <w:bottom w:w="0" w:type="dxa"/>
              <w:right w:w="0" w:type="dxa"/>
            </w:tcMar>
            <w:vAlign w:val="center"/>
          </w:tcPr>
          <w:p w14:paraId="240FFEF0">
            <w:pPr>
              <w:jc w:val="center"/>
              <w:rPr>
                <w:rFonts w:eastAsia="Arial"/>
                <w:color w:val="auto"/>
                <w:sz w:val="20"/>
              </w:rPr>
            </w:pPr>
            <w:r>
              <w:rPr>
                <w:rFonts w:eastAsia="Arial"/>
                <w:color w:val="auto"/>
                <w:sz w:val="20"/>
              </w:rPr>
              <w:t>98.0</w:t>
            </w:r>
          </w:p>
        </w:tc>
        <w:tc>
          <w:tcPr>
            <w:tcW w:w="191" w:type="pct"/>
            <w:shd w:val="clear" w:color="auto" w:fill="auto"/>
            <w:tcMar>
              <w:top w:w="0" w:type="dxa"/>
              <w:left w:w="0" w:type="dxa"/>
              <w:bottom w:w="0" w:type="dxa"/>
              <w:right w:w="0" w:type="dxa"/>
            </w:tcMar>
            <w:vAlign w:val="center"/>
          </w:tcPr>
          <w:p w14:paraId="1EACEE1A">
            <w:pPr>
              <w:jc w:val="center"/>
              <w:rPr>
                <w:rFonts w:eastAsia="Arial"/>
                <w:color w:val="auto"/>
                <w:sz w:val="20"/>
              </w:rPr>
            </w:pPr>
            <w:r>
              <w:rPr>
                <w:rFonts w:eastAsia="Arial"/>
                <w:color w:val="auto"/>
                <w:sz w:val="20"/>
              </w:rPr>
              <w:t>9.4</w:t>
            </w:r>
          </w:p>
        </w:tc>
        <w:tc>
          <w:tcPr>
            <w:tcW w:w="176" w:type="pct"/>
            <w:shd w:val="clear" w:color="auto" w:fill="auto"/>
            <w:tcMar>
              <w:top w:w="0" w:type="dxa"/>
              <w:left w:w="0" w:type="dxa"/>
              <w:bottom w:w="0" w:type="dxa"/>
              <w:right w:w="0" w:type="dxa"/>
            </w:tcMar>
            <w:vAlign w:val="center"/>
          </w:tcPr>
          <w:p w14:paraId="4482A760">
            <w:pPr>
              <w:jc w:val="center"/>
              <w:rPr>
                <w:rFonts w:eastAsia="Arial"/>
                <w:color w:val="auto"/>
                <w:sz w:val="20"/>
              </w:rPr>
            </w:pPr>
            <w:r>
              <w:rPr>
                <w:rFonts w:eastAsia="Arial"/>
                <w:color w:val="auto"/>
                <w:sz w:val="20"/>
              </w:rPr>
              <w:t>56.5</w:t>
            </w:r>
          </w:p>
        </w:tc>
        <w:tc>
          <w:tcPr>
            <w:tcW w:w="176" w:type="pct"/>
            <w:shd w:val="clear" w:color="auto" w:fill="auto"/>
            <w:tcMar>
              <w:top w:w="0" w:type="dxa"/>
              <w:left w:w="0" w:type="dxa"/>
              <w:bottom w:w="0" w:type="dxa"/>
              <w:right w:w="0" w:type="dxa"/>
            </w:tcMar>
            <w:vAlign w:val="center"/>
          </w:tcPr>
          <w:p w14:paraId="3B0553C9">
            <w:pPr>
              <w:jc w:val="center"/>
              <w:rPr>
                <w:rFonts w:eastAsia="Arial"/>
                <w:color w:val="auto"/>
                <w:sz w:val="20"/>
              </w:rPr>
            </w:pPr>
            <w:r>
              <w:rPr>
                <w:rFonts w:eastAsia="Arial"/>
                <w:color w:val="auto"/>
                <w:sz w:val="20"/>
              </w:rPr>
              <w:t>56.5</w:t>
            </w:r>
          </w:p>
        </w:tc>
        <w:tc>
          <w:tcPr>
            <w:tcW w:w="176" w:type="pct"/>
            <w:shd w:val="clear" w:color="auto" w:fill="auto"/>
            <w:tcMar>
              <w:top w:w="0" w:type="dxa"/>
              <w:left w:w="0" w:type="dxa"/>
              <w:bottom w:w="0" w:type="dxa"/>
              <w:right w:w="0" w:type="dxa"/>
            </w:tcMar>
            <w:vAlign w:val="center"/>
          </w:tcPr>
          <w:p w14:paraId="3D1D3477">
            <w:pPr>
              <w:jc w:val="center"/>
              <w:rPr>
                <w:rFonts w:eastAsia="Arial"/>
                <w:color w:val="auto"/>
                <w:sz w:val="20"/>
              </w:rPr>
            </w:pPr>
            <w:r>
              <w:rPr>
                <w:rFonts w:eastAsia="Arial"/>
                <w:color w:val="auto"/>
                <w:sz w:val="20"/>
              </w:rPr>
              <w:t>56.5</w:t>
            </w:r>
          </w:p>
        </w:tc>
        <w:tc>
          <w:tcPr>
            <w:tcW w:w="178" w:type="pct"/>
            <w:shd w:val="clear" w:color="auto" w:fill="auto"/>
            <w:tcMar>
              <w:top w:w="0" w:type="dxa"/>
              <w:left w:w="0" w:type="dxa"/>
              <w:bottom w:w="0" w:type="dxa"/>
              <w:right w:w="0" w:type="dxa"/>
            </w:tcMar>
            <w:vAlign w:val="center"/>
          </w:tcPr>
          <w:p w14:paraId="57B03C53">
            <w:pPr>
              <w:jc w:val="center"/>
              <w:rPr>
                <w:rFonts w:eastAsia="Arial"/>
                <w:color w:val="auto"/>
                <w:sz w:val="20"/>
              </w:rPr>
            </w:pPr>
            <w:r>
              <w:rPr>
                <w:rFonts w:eastAsia="Arial"/>
                <w:color w:val="auto"/>
                <w:sz w:val="20"/>
              </w:rPr>
              <w:t>56.8</w:t>
            </w:r>
          </w:p>
        </w:tc>
        <w:tc>
          <w:tcPr>
            <w:tcW w:w="152" w:type="pct"/>
            <w:shd w:val="clear" w:color="auto" w:fill="auto"/>
            <w:tcMar>
              <w:top w:w="0" w:type="dxa"/>
              <w:left w:w="0" w:type="dxa"/>
              <w:bottom w:w="0" w:type="dxa"/>
              <w:right w:w="0" w:type="dxa"/>
            </w:tcMar>
            <w:vAlign w:val="center"/>
          </w:tcPr>
          <w:p w14:paraId="58F57E69">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6DB1849F">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15F8F0C4">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352B4B5C">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082FBC1F">
            <w:pPr>
              <w:jc w:val="center"/>
              <w:rPr>
                <w:rFonts w:eastAsia="Arial"/>
                <w:color w:val="auto"/>
                <w:sz w:val="20"/>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67D5B548">
            <w:pPr>
              <w:jc w:val="center"/>
              <w:rPr>
                <w:rFonts w:eastAsia="Arial"/>
                <w:color w:val="auto"/>
                <w:sz w:val="20"/>
              </w:rPr>
            </w:pPr>
            <w:r>
              <w:rPr>
                <w:rFonts w:eastAsia="Arial"/>
                <w:color w:val="auto"/>
                <w:sz w:val="20"/>
              </w:rPr>
              <w:t>15.5</w:t>
            </w:r>
          </w:p>
        </w:tc>
        <w:tc>
          <w:tcPr>
            <w:tcW w:w="181" w:type="pct"/>
            <w:shd w:val="clear" w:color="auto" w:fill="auto"/>
            <w:tcMar>
              <w:top w:w="0" w:type="dxa"/>
              <w:left w:w="0" w:type="dxa"/>
              <w:bottom w:w="0" w:type="dxa"/>
              <w:right w:w="0" w:type="dxa"/>
            </w:tcMar>
            <w:vAlign w:val="center"/>
          </w:tcPr>
          <w:p w14:paraId="6EBD8431">
            <w:pPr>
              <w:jc w:val="center"/>
              <w:rPr>
                <w:rFonts w:eastAsia="Arial"/>
                <w:color w:val="auto"/>
                <w:sz w:val="20"/>
              </w:rPr>
            </w:pPr>
            <w:r>
              <w:rPr>
                <w:rFonts w:eastAsia="Arial"/>
                <w:color w:val="auto"/>
                <w:sz w:val="20"/>
              </w:rPr>
              <w:t>15.5</w:t>
            </w:r>
          </w:p>
        </w:tc>
        <w:tc>
          <w:tcPr>
            <w:tcW w:w="181" w:type="pct"/>
            <w:shd w:val="clear" w:color="auto" w:fill="auto"/>
            <w:tcMar>
              <w:top w:w="0" w:type="dxa"/>
              <w:left w:w="0" w:type="dxa"/>
              <w:bottom w:w="0" w:type="dxa"/>
              <w:right w:w="0" w:type="dxa"/>
            </w:tcMar>
            <w:vAlign w:val="center"/>
          </w:tcPr>
          <w:p w14:paraId="2705F9DF">
            <w:pPr>
              <w:jc w:val="center"/>
              <w:rPr>
                <w:rFonts w:eastAsia="Arial"/>
                <w:color w:val="auto"/>
                <w:sz w:val="20"/>
              </w:rPr>
            </w:pPr>
            <w:r>
              <w:rPr>
                <w:rFonts w:eastAsia="Arial"/>
                <w:color w:val="auto"/>
                <w:sz w:val="20"/>
              </w:rPr>
              <w:t>15.5</w:t>
            </w:r>
          </w:p>
        </w:tc>
        <w:tc>
          <w:tcPr>
            <w:tcW w:w="181" w:type="pct"/>
            <w:shd w:val="clear" w:color="auto" w:fill="auto"/>
            <w:tcMar>
              <w:top w:w="0" w:type="dxa"/>
              <w:left w:w="0" w:type="dxa"/>
              <w:bottom w:w="0" w:type="dxa"/>
              <w:right w:w="0" w:type="dxa"/>
            </w:tcMar>
            <w:vAlign w:val="center"/>
          </w:tcPr>
          <w:p w14:paraId="3B828971">
            <w:pPr>
              <w:jc w:val="center"/>
              <w:rPr>
                <w:rFonts w:eastAsia="Arial"/>
                <w:color w:val="auto"/>
                <w:sz w:val="20"/>
              </w:rPr>
            </w:pPr>
            <w:r>
              <w:rPr>
                <w:rFonts w:eastAsia="Arial"/>
                <w:color w:val="auto"/>
                <w:sz w:val="20"/>
              </w:rPr>
              <w:t>15.8</w:t>
            </w:r>
          </w:p>
        </w:tc>
        <w:tc>
          <w:tcPr>
            <w:tcW w:w="260" w:type="pct"/>
            <w:shd w:val="clear" w:color="auto" w:fill="auto"/>
            <w:tcMar>
              <w:top w:w="0" w:type="dxa"/>
              <w:left w:w="0" w:type="dxa"/>
              <w:bottom w:w="0" w:type="dxa"/>
              <w:right w:w="0" w:type="dxa"/>
            </w:tcMar>
            <w:vAlign w:val="center"/>
          </w:tcPr>
          <w:p w14:paraId="5F48D49E">
            <w:pPr>
              <w:jc w:val="center"/>
              <w:rPr>
                <w:rFonts w:eastAsia="Arial"/>
                <w:color w:val="auto"/>
                <w:sz w:val="20"/>
              </w:rPr>
            </w:pPr>
            <w:r>
              <w:rPr>
                <w:rFonts w:eastAsia="Arial"/>
                <w:color w:val="auto"/>
                <w:sz w:val="20"/>
              </w:rPr>
              <w:t>1</w:t>
            </w:r>
          </w:p>
        </w:tc>
      </w:tr>
      <w:tr w14:paraId="67181A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continue"/>
            <w:shd w:val="clear" w:color="auto" w:fill="auto"/>
            <w:tcMar>
              <w:top w:w="0" w:type="dxa"/>
              <w:left w:w="0" w:type="dxa"/>
              <w:bottom w:w="0" w:type="dxa"/>
              <w:right w:w="0" w:type="dxa"/>
            </w:tcMar>
            <w:vAlign w:val="center"/>
          </w:tcPr>
          <w:p w14:paraId="55347F1C">
            <w:pPr>
              <w:jc w:val="center"/>
              <w:rPr>
                <w:color w:val="auto"/>
              </w:rPr>
            </w:pPr>
          </w:p>
        </w:tc>
        <w:tc>
          <w:tcPr>
            <w:tcW w:w="193" w:type="pct"/>
            <w:vMerge w:val="continue"/>
            <w:shd w:val="clear" w:color="auto" w:fill="auto"/>
            <w:tcMar>
              <w:top w:w="0" w:type="dxa"/>
              <w:left w:w="0" w:type="dxa"/>
              <w:bottom w:w="0" w:type="dxa"/>
              <w:right w:w="0" w:type="dxa"/>
            </w:tcMar>
            <w:vAlign w:val="center"/>
          </w:tcPr>
          <w:p w14:paraId="6FF96402">
            <w:pPr>
              <w:jc w:val="center"/>
              <w:rPr>
                <w:color w:val="auto"/>
              </w:rPr>
            </w:pPr>
          </w:p>
        </w:tc>
        <w:tc>
          <w:tcPr>
            <w:tcW w:w="183" w:type="pct"/>
            <w:shd w:val="clear" w:color="auto" w:fill="auto"/>
            <w:tcMar>
              <w:top w:w="0" w:type="dxa"/>
              <w:left w:w="0" w:type="dxa"/>
              <w:bottom w:w="0" w:type="dxa"/>
              <w:right w:w="0" w:type="dxa"/>
            </w:tcMar>
            <w:vAlign w:val="center"/>
          </w:tcPr>
          <w:p w14:paraId="3E22CEE9">
            <w:pPr>
              <w:jc w:val="center"/>
              <w:rPr>
                <w:rFonts w:hint="eastAsia" w:eastAsia="宋体"/>
                <w:color w:val="auto"/>
                <w:lang w:val="en-US" w:eastAsia="zh-CN"/>
              </w:rPr>
            </w:pPr>
            <w:r>
              <w:rPr>
                <w:rFonts w:eastAsia="Arial"/>
                <w:color w:val="auto"/>
                <w:sz w:val="20"/>
              </w:rPr>
              <w:t>环控系统排风扇</w:t>
            </w:r>
          </w:p>
        </w:tc>
        <w:tc>
          <w:tcPr>
            <w:tcW w:w="150" w:type="pct"/>
            <w:shd w:val="clear" w:color="auto" w:fill="auto"/>
            <w:tcMar>
              <w:top w:w="0" w:type="dxa"/>
              <w:left w:w="0" w:type="dxa"/>
              <w:bottom w:w="0" w:type="dxa"/>
              <w:right w:w="0" w:type="dxa"/>
            </w:tcMar>
            <w:vAlign w:val="center"/>
          </w:tcPr>
          <w:p w14:paraId="6472C2F5">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51884FB5">
            <w:pPr>
              <w:jc w:val="center"/>
              <w:rPr>
                <w:color w:val="auto"/>
              </w:rPr>
            </w:pPr>
            <w:r>
              <w:rPr>
                <w:rFonts w:eastAsia="Arial"/>
                <w:color w:val="auto"/>
                <w:sz w:val="20"/>
              </w:rPr>
              <w:t>80</w:t>
            </w:r>
          </w:p>
        </w:tc>
        <w:tc>
          <w:tcPr>
            <w:tcW w:w="193" w:type="pct"/>
            <w:shd w:val="clear" w:color="auto" w:fill="auto"/>
            <w:tcMar>
              <w:top w:w="0" w:type="dxa"/>
              <w:left w:w="0" w:type="dxa"/>
              <w:bottom w:w="0" w:type="dxa"/>
              <w:right w:w="0" w:type="dxa"/>
            </w:tcMar>
            <w:vAlign w:val="center"/>
          </w:tcPr>
          <w:p w14:paraId="5A8AD849">
            <w:pPr>
              <w:jc w:val="center"/>
              <w:rPr>
                <w:color w:val="auto"/>
              </w:rPr>
            </w:pPr>
          </w:p>
        </w:tc>
        <w:tc>
          <w:tcPr>
            <w:tcW w:w="215" w:type="pct"/>
            <w:shd w:val="clear" w:color="auto" w:fill="auto"/>
            <w:tcMar>
              <w:top w:w="0" w:type="dxa"/>
              <w:left w:w="0" w:type="dxa"/>
              <w:bottom w:w="0" w:type="dxa"/>
              <w:right w:w="0" w:type="dxa"/>
            </w:tcMar>
            <w:vAlign w:val="center"/>
          </w:tcPr>
          <w:p w14:paraId="5B6118C6">
            <w:pPr>
              <w:jc w:val="center"/>
              <w:rPr>
                <w:color w:val="auto"/>
              </w:rPr>
            </w:pPr>
            <w:r>
              <w:rPr>
                <w:rFonts w:eastAsia="Arial"/>
                <w:color w:val="auto"/>
                <w:sz w:val="20"/>
              </w:rPr>
              <w:t>84.9</w:t>
            </w:r>
          </w:p>
        </w:tc>
        <w:tc>
          <w:tcPr>
            <w:tcW w:w="215" w:type="pct"/>
            <w:shd w:val="clear" w:color="auto" w:fill="auto"/>
            <w:tcMar>
              <w:top w:w="0" w:type="dxa"/>
              <w:left w:w="0" w:type="dxa"/>
              <w:bottom w:w="0" w:type="dxa"/>
              <w:right w:w="0" w:type="dxa"/>
            </w:tcMar>
            <w:vAlign w:val="center"/>
          </w:tcPr>
          <w:p w14:paraId="6ECE3696">
            <w:pPr>
              <w:jc w:val="center"/>
              <w:rPr>
                <w:color w:val="auto"/>
              </w:rPr>
            </w:pPr>
            <w:r>
              <w:rPr>
                <w:rFonts w:eastAsia="Arial"/>
                <w:color w:val="auto"/>
                <w:sz w:val="20"/>
              </w:rPr>
              <w:t>23</w:t>
            </w:r>
          </w:p>
        </w:tc>
        <w:tc>
          <w:tcPr>
            <w:tcW w:w="219" w:type="pct"/>
            <w:shd w:val="clear" w:color="auto" w:fill="auto"/>
            <w:tcMar>
              <w:top w:w="0" w:type="dxa"/>
              <w:left w:w="0" w:type="dxa"/>
              <w:bottom w:w="0" w:type="dxa"/>
              <w:right w:w="0" w:type="dxa"/>
            </w:tcMar>
            <w:vAlign w:val="center"/>
          </w:tcPr>
          <w:p w14:paraId="761ECE4C">
            <w:pPr>
              <w:jc w:val="center"/>
              <w:rPr>
                <w:color w:val="auto"/>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790EA795">
            <w:pPr>
              <w:jc w:val="center"/>
              <w:rPr>
                <w:color w:val="auto"/>
              </w:rPr>
            </w:pPr>
            <w:r>
              <w:rPr>
                <w:rFonts w:eastAsia="Arial"/>
                <w:color w:val="auto"/>
                <w:sz w:val="20"/>
              </w:rPr>
              <w:t>157.7</w:t>
            </w:r>
          </w:p>
        </w:tc>
        <w:tc>
          <w:tcPr>
            <w:tcW w:w="178" w:type="pct"/>
            <w:shd w:val="clear" w:color="auto" w:fill="auto"/>
            <w:tcMar>
              <w:top w:w="0" w:type="dxa"/>
              <w:left w:w="0" w:type="dxa"/>
              <w:bottom w:w="0" w:type="dxa"/>
              <w:right w:w="0" w:type="dxa"/>
            </w:tcMar>
            <w:vAlign w:val="center"/>
          </w:tcPr>
          <w:p w14:paraId="1FA7B37E">
            <w:pPr>
              <w:jc w:val="center"/>
              <w:rPr>
                <w:color w:val="auto"/>
              </w:rPr>
            </w:pPr>
            <w:r>
              <w:rPr>
                <w:rFonts w:eastAsia="Arial"/>
                <w:color w:val="auto"/>
                <w:sz w:val="20"/>
              </w:rPr>
              <w:t>24.2</w:t>
            </w:r>
          </w:p>
        </w:tc>
        <w:tc>
          <w:tcPr>
            <w:tcW w:w="180" w:type="pct"/>
            <w:shd w:val="clear" w:color="auto" w:fill="auto"/>
            <w:tcMar>
              <w:top w:w="0" w:type="dxa"/>
              <w:left w:w="0" w:type="dxa"/>
              <w:bottom w:w="0" w:type="dxa"/>
              <w:right w:w="0" w:type="dxa"/>
            </w:tcMar>
            <w:vAlign w:val="center"/>
          </w:tcPr>
          <w:p w14:paraId="5D8CD927">
            <w:pPr>
              <w:jc w:val="center"/>
              <w:rPr>
                <w:color w:val="auto"/>
              </w:rPr>
            </w:pPr>
            <w:r>
              <w:rPr>
                <w:rFonts w:eastAsia="Arial"/>
                <w:color w:val="auto"/>
                <w:sz w:val="20"/>
              </w:rPr>
              <w:t>106.7</w:t>
            </w:r>
          </w:p>
        </w:tc>
        <w:tc>
          <w:tcPr>
            <w:tcW w:w="191" w:type="pct"/>
            <w:shd w:val="clear" w:color="auto" w:fill="auto"/>
            <w:tcMar>
              <w:top w:w="0" w:type="dxa"/>
              <w:left w:w="0" w:type="dxa"/>
              <w:bottom w:w="0" w:type="dxa"/>
              <w:right w:w="0" w:type="dxa"/>
            </w:tcMar>
            <w:vAlign w:val="center"/>
          </w:tcPr>
          <w:p w14:paraId="2334C21E">
            <w:pPr>
              <w:jc w:val="center"/>
              <w:rPr>
                <w:color w:val="auto"/>
              </w:rPr>
            </w:pPr>
            <w:r>
              <w:rPr>
                <w:rFonts w:eastAsia="Arial"/>
                <w:color w:val="auto"/>
                <w:sz w:val="20"/>
              </w:rPr>
              <w:t>69.5</w:t>
            </w:r>
          </w:p>
        </w:tc>
        <w:tc>
          <w:tcPr>
            <w:tcW w:w="176" w:type="pct"/>
            <w:shd w:val="clear" w:color="auto" w:fill="auto"/>
            <w:tcMar>
              <w:top w:w="0" w:type="dxa"/>
              <w:left w:w="0" w:type="dxa"/>
              <w:bottom w:w="0" w:type="dxa"/>
              <w:right w:w="0" w:type="dxa"/>
            </w:tcMar>
            <w:vAlign w:val="center"/>
          </w:tcPr>
          <w:p w14:paraId="2B4707BF">
            <w:pPr>
              <w:jc w:val="center"/>
              <w:rPr>
                <w:color w:val="auto"/>
              </w:rPr>
            </w:pPr>
            <w:r>
              <w:rPr>
                <w:rFonts w:eastAsia="Arial"/>
                <w:color w:val="auto"/>
                <w:sz w:val="20"/>
              </w:rPr>
              <w:t>60.6</w:t>
            </w:r>
          </w:p>
        </w:tc>
        <w:tc>
          <w:tcPr>
            <w:tcW w:w="176" w:type="pct"/>
            <w:shd w:val="clear" w:color="auto" w:fill="auto"/>
            <w:tcMar>
              <w:top w:w="0" w:type="dxa"/>
              <w:left w:w="0" w:type="dxa"/>
              <w:bottom w:w="0" w:type="dxa"/>
              <w:right w:w="0" w:type="dxa"/>
            </w:tcMar>
            <w:vAlign w:val="center"/>
          </w:tcPr>
          <w:p w14:paraId="2FB4535F">
            <w:pPr>
              <w:jc w:val="center"/>
              <w:rPr>
                <w:color w:val="auto"/>
              </w:rPr>
            </w:pPr>
            <w:r>
              <w:rPr>
                <w:rFonts w:eastAsia="Arial"/>
                <w:color w:val="auto"/>
                <w:sz w:val="20"/>
              </w:rPr>
              <w:t>60.7</w:t>
            </w:r>
          </w:p>
        </w:tc>
        <w:tc>
          <w:tcPr>
            <w:tcW w:w="176" w:type="pct"/>
            <w:shd w:val="clear" w:color="auto" w:fill="auto"/>
            <w:tcMar>
              <w:top w:w="0" w:type="dxa"/>
              <w:left w:w="0" w:type="dxa"/>
              <w:bottom w:w="0" w:type="dxa"/>
              <w:right w:w="0" w:type="dxa"/>
            </w:tcMar>
            <w:vAlign w:val="center"/>
          </w:tcPr>
          <w:p w14:paraId="00AE81F2">
            <w:pPr>
              <w:jc w:val="center"/>
              <w:rPr>
                <w:color w:val="auto"/>
              </w:rPr>
            </w:pPr>
            <w:r>
              <w:rPr>
                <w:rFonts w:eastAsia="Arial"/>
                <w:color w:val="auto"/>
                <w:sz w:val="20"/>
              </w:rPr>
              <w:t>60.6</w:t>
            </w:r>
          </w:p>
        </w:tc>
        <w:tc>
          <w:tcPr>
            <w:tcW w:w="178" w:type="pct"/>
            <w:shd w:val="clear" w:color="auto" w:fill="auto"/>
            <w:tcMar>
              <w:top w:w="0" w:type="dxa"/>
              <w:left w:w="0" w:type="dxa"/>
              <w:bottom w:w="0" w:type="dxa"/>
              <w:right w:w="0" w:type="dxa"/>
            </w:tcMar>
            <w:vAlign w:val="center"/>
          </w:tcPr>
          <w:p w14:paraId="3A67B647">
            <w:pPr>
              <w:jc w:val="center"/>
              <w:rPr>
                <w:color w:val="auto"/>
              </w:rPr>
            </w:pPr>
            <w:r>
              <w:rPr>
                <w:rFonts w:eastAsia="Arial"/>
                <w:color w:val="auto"/>
                <w:sz w:val="20"/>
              </w:rPr>
              <w:t>60.6</w:t>
            </w:r>
          </w:p>
        </w:tc>
        <w:tc>
          <w:tcPr>
            <w:tcW w:w="152" w:type="pct"/>
            <w:shd w:val="clear" w:color="auto" w:fill="auto"/>
            <w:tcMar>
              <w:top w:w="0" w:type="dxa"/>
              <w:left w:w="0" w:type="dxa"/>
              <w:bottom w:w="0" w:type="dxa"/>
              <w:right w:w="0" w:type="dxa"/>
            </w:tcMar>
            <w:vAlign w:val="center"/>
          </w:tcPr>
          <w:p w14:paraId="457CB44A">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01392341">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1624A8B5">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5A2B1F62">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3B8004DE">
            <w:pPr>
              <w:jc w:val="center"/>
              <w:rPr>
                <w:color w:val="auto"/>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7CBE49D7">
            <w:pPr>
              <w:jc w:val="center"/>
              <w:rPr>
                <w:color w:val="auto"/>
              </w:rPr>
            </w:pPr>
            <w:r>
              <w:rPr>
                <w:rFonts w:eastAsia="Arial"/>
                <w:color w:val="auto"/>
                <w:sz w:val="20"/>
              </w:rPr>
              <w:t>19.6</w:t>
            </w:r>
          </w:p>
        </w:tc>
        <w:tc>
          <w:tcPr>
            <w:tcW w:w="181" w:type="pct"/>
            <w:shd w:val="clear" w:color="auto" w:fill="auto"/>
            <w:tcMar>
              <w:top w:w="0" w:type="dxa"/>
              <w:left w:w="0" w:type="dxa"/>
              <w:bottom w:w="0" w:type="dxa"/>
              <w:right w:w="0" w:type="dxa"/>
            </w:tcMar>
            <w:vAlign w:val="center"/>
          </w:tcPr>
          <w:p w14:paraId="2EA998D1">
            <w:pPr>
              <w:jc w:val="center"/>
              <w:rPr>
                <w:color w:val="auto"/>
              </w:rPr>
            </w:pPr>
            <w:r>
              <w:rPr>
                <w:rFonts w:eastAsia="Arial"/>
                <w:color w:val="auto"/>
                <w:sz w:val="20"/>
              </w:rPr>
              <w:t>19.7</w:t>
            </w:r>
          </w:p>
        </w:tc>
        <w:tc>
          <w:tcPr>
            <w:tcW w:w="181" w:type="pct"/>
            <w:shd w:val="clear" w:color="auto" w:fill="auto"/>
            <w:tcMar>
              <w:top w:w="0" w:type="dxa"/>
              <w:left w:w="0" w:type="dxa"/>
              <w:bottom w:w="0" w:type="dxa"/>
              <w:right w:w="0" w:type="dxa"/>
            </w:tcMar>
            <w:vAlign w:val="center"/>
          </w:tcPr>
          <w:p w14:paraId="52D82B61">
            <w:pPr>
              <w:jc w:val="center"/>
              <w:rPr>
                <w:color w:val="auto"/>
              </w:rPr>
            </w:pPr>
            <w:r>
              <w:rPr>
                <w:rFonts w:eastAsia="Arial"/>
                <w:color w:val="auto"/>
                <w:sz w:val="20"/>
              </w:rPr>
              <w:t>19.6</w:t>
            </w:r>
          </w:p>
        </w:tc>
        <w:tc>
          <w:tcPr>
            <w:tcW w:w="181" w:type="pct"/>
            <w:shd w:val="clear" w:color="auto" w:fill="auto"/>
            <w:tcMar>
              <w:top w:w="0" w:type="dxa"/>
              <w:left w:w="0" w:type="dxa"/>
              <w:bottom w:w="0" w:type="dxa"/>
              <w:right w:w="0" w:type="dxa"/>
            </w:tcMar>
            <w:vAlign w:val="center"/>
          </w:tcPr>
          <w:p w14:paraId="45A31410">
            <w:pPr>
              <w:jc w:val="center"/>
              <w:rPr>
                <w:color w:val="auto"/>
              </w:rPr>
            </w:pPr>
            <w:r>
              <w:rPr>
                <w:rFonts w:eastAsia="Arial"/>
                <w:color w:val="auto"/>
                <w:sz w:val="20"/>
              </w:rPr>
              <w:t>19.6</w:t>
            </w:r>
          </w:p>
        </w:tc>
        <w:tc>
          <w:tcPr>
            <w:tcW w:w="260" w:type="pct"/>
            <w:shd w:val="clear" w:color="auto" w:fill="auto"/>
            <w:tcMar>
              <w:top w:w="0" w:type="dxa"/>
              <w:left w:w="0" w:type="dxa"/>
              <w:bottom w:w="0" w:type="dxa"/>
              <w:right w:w="0" w:type="dxa"/>
            </w:tcMar>
            <w:vAlign w:val="center"/>
          </w:tcPr>
          <w:p w14:paraId="6ADD64AE">
            <w:pPr>
              <w:jc w:val="center"/>
              <w:rPr>
                <w:color w:val="auto"/>
              </w:rPr>
            </w:pPr>
            <w:r>
              <w:rPr>
                <w:rFonts w:eastAsia="Arial"/>
                <w:color w:val="auto"/>
                <w:sz w:val="20"/>
              </w:rPr>
              <w:t>1</w:t>
            </w:r>
          </w:p>
        </w:tc>
      </w:tr>
      <w:tr w14:paraId="671CE0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continue"/>
            <w:shd w:val="clear" w:color="auto" w:fill="auto"/>
            <w:tcMar>
              <w:top w:w="0" w:type="dxa"/>
              <w:left w:w="0" w:type="dxa"/>
              <w:bottom w:w="0" w:type="dxa"/>
              <w:right w:w="0" w:type="dxa"/>
            </w:tcMar>
            <w:vAlign w:val="center"/>
          </w:tcPr>
          <w:p w14:paraId="4A9DD916">
            <w:pPr>
              <w:jc w:val="center"/>
              <w:rPr>
                <w:rFonts w:eastAsia="Arial"/>
                <w:color w:val="auto"/>
                <w:sz w:val="20"/>
              </w:rPr>
            </w:pPr>
          </w:p>
        </w:tc>
        <w:tc>
          <w:tcPr>
            <w:tcW w:w="193" w:type="pct"/>
            <w:vMerge w:val="continue"/>
            <w:shd w:val="clear" w:color="auto" w:fill="auto"/>
            <w:tcMar>
              <w:top w:w="0" w:type="dxa"/>
              <w:left w:w="0" w:type="dxa"/>
              <w:bottom w:w="0" w:type="dxa"/>
              <w:right w:w="0" w:type="dxa"/>
            </w:tcMar>
            <w:vAlign w:val="center"/>
          </w:tcPr>
          <w:p w14:paraId="6762E23B">
            <w:pPr>
              <w:jc w:val="center"/>
              <w:rPr>
                <w:color w:val="auto"/>
              </w:rPr>
            </w:pPr>
          </w:p>
        </w:tc>
        <w:tc>
          <w:tcPr>
            <w:tcW w:w="183" w:type="pct"/>
            <w:shd w:val="clear" w:color="auto" w:fill="auto"/>
            <w:tcMar>
              <w:top w:w="0" w:type="dxa"/>
              <w:left w:w="0" w:type="dxa"/>
              <w:bottom w:w="0" w:type="dxa"/>
              <w:right w:w="0" w:type="dxa"/>
            </w:tcMar>
            <w:vAlign w:val="center"/>
          </w:tcPr>
          <w:p w14:paraId="7CE907C3">
            <w:pPr>
              <w:jc w:val="center"/>
              <w:rPr>
                <w:rFonts w:eastAsia="Arial"/>
                <w:color w:val="auto"/>
                <w:sz w:val="20"/>
              </w:rPr>
            </w:pPr>
            <w:r>
              <w:rPr>
                <w:rFonts w:eastAsia="Arial"/>
                <w:color w:val="auto"/>
                <w:sz w:val="20"/>
              </w:rPr>
              <w:t>水帘离心泵</w:t>
            </w:r>
          </w:p>
        </w:tc>
        <w:tc>
          <w:tcPr>
            <w:tcW w:w="150" w:type="pct"/>
            <w:shd w:val="clear" w:color="auto" w:fill="auto"/>
            <w:tcMar>
              <w:top w:w="0" w:type="dxa"/>
              <w:left w:w="0" w:type="dxa"/>
              <w:bottom w:w="0" w:type="dxa"/>
              <w:right w:w="0" w:type="dxa"/>
            </w:tcMar>
            <w:vAlign w:val="center"/>
          </w:tcPr>
          <w:p w14:paraId="5D7E5BE6">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592C705F">
            <w:pPr>
              <w:jc w:val="center"/>
              <w:rPr>
                <w:rFonts w:eastAsia="Arial"/>
                <w:color w:val="auto"/>
                <w:sz w:val="20"/>
              </w:rPr>
            </w:pPr>
            <w:r>
              <w:rPr>
                <w:rFonts w:eastAsia="Arial"/>
                <w:color w:val="auto"/>
                <w:sz w:val="20"/>
              </w:rPr>
              <w:t>85</w:t>
            </w:r>
          </w:p>
        </w:tc>
        <w:tc>
          <w:tcPr>
            <w:tcW w:w="193" w:type="pct"/>
            <w:shd w:val="clear" w:color="auto" w:fill="auto"/>
            <w:tcMar>
              <w:top w:w="0" w:type="dxa"/>
              <w:left w:w="0" w:type="dxa"/>
              <w:bottom w:w="0" w:type="dxa"/>
              <w:right w:w="0" w:type="dxa"/>
            </w:tcMar>
            <w:vAlign w:val="center"/>
          </w:tcPr>
          <w:p w14:paraId="08EA6DB1">
            <w:pPr>
              <w:jc w:val="center"/>
              <w:rPr>
                <w:color w:val="auto"/>
              </w:rPr>
            </w:pPr>
            <w:r>
              <w:rPr>
                <w:color w:val="auto"/>
                <w:szCs w:val="21"/>
                <w:shd w:val="clear" w:color="auto" w:fill="FFFFFF"/>
              </w:rPr>
              <w:t>选低噪声设备、独立设备房，房间隔声</w:t>
            </w:r>
          </w:p>
        </w:tc>
        <w:tc>
          <w:tcPr>
            <w:tcW w:w="215" w:type="pct"/>
            <w:shd w:val="clear" w:color="auto" w:fill="auto"/>
            <w:tcMar>
              <w:top w:w="0" w:type="dxa"/>
              <w:left w:w="0" w:type="dxa"/>
              <w:bottom w:w="0" w:type="dxa"/>
              <w:right w:w="0" w:type="dxa"/>
            </w:tcMar>
            <w:vAlign w:val="center"/>
          </w:tcPr>
          <w:p w14:paraId="31EB05C9">
            <w:pPr>
              <w:jc w:val="center"/>
              <w:rPr>
                <w:rFonts w:eastAsia="Arial"/>
                <w:color w:val="auto"/>
                <w:sz w:val="20"/>
              </w:rPr>
            </w:pPr>
            <w:r>
              <w:rPr>
                <w:rFonts w:eastAsia="Arial"/>
                <w:color w:val="auto"/>
                <w:sz w:val="20"/>
              </w:rPr>
              <w:t>56.9</w:t>
            </w:r>
          </w:p>
        </w:tc>
        <w:tc>
          <w:tcPr>
            <w:tcW w:w="215" w:type="pct"/>
            <w:shd w:val="clear" w:color="auto" w:fill="auto"/>
            <w:tcMar>
              <w:top w:w="0" w:type="dxa"/>
              <w:left w:w="0" w:type="dxa"/>
              <w:bottom w:w="0" w:type="dxa"/>
              <w:right w:w="0" w:type="dxa"/>
            </w:tcMar>
            <w:vAlign w:val="center"/>
          </w:tcPr>
          <w:p w14:paraId="78150788">
            <w:pPr>
              <w:jc w:val="center"/>
              <w:rPr>
                <w:rFonts w:eastAsia="Arial"/>
                <w:color w:val="auto"/>
                <w:sz w:val="20"/>
              </w:rPr>
            </w:pPr>
            <w:r>
              <w:rPr>
                <w:rFonts w:eastAsia="Arial"/>
                <w:color w:val="auto"/>
                <w:sz w:val="20"/>
              </w:rPr>
              <w:t>84.3</w:t>
            </w:r>
          </w:p>
        </w:tc>
        <w:tc>
          <w:tcPr>
            <w:tcW w:w="219" w:type="pct"/>
            <w:shd w:val="clear" w:color="auto" w:fill="auto"/>
            <w:tcMar>
              <w:top w:w="0" w:type="dxa"/>
              <w:left w:w="0" w:type="dxa"/>
              <w:bottom w:w="0" w:type="dxa"/>
              <w:right w:w="0" w:type="dxa"/>
            </w:tcMar>
            <w:vAlign w:val="center"/>
          </w:tcPr>
          <w:p w14:paraId="11209DEB">
            <w:pPr>
              <w:jc w:val="center"/>
              <w:rPr>
                <w:rFonts w:eastAsia="Arial"/>
                <w:color w:val="auto"/>
                <w:sz w:val="20"/>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2AAEAE1C">
            <w:pPr>
              <w:jc w:val="center"/>
              <w:rPr>
                <w:rFonts w:eastAsia="Arial"/>
                <w:color w:val="auto"/>
                <w:sz w:val="20"/>
              </w:rPr>
            </w:pPr>
            <w:r>
              <w:rPr>
                <w:rFonts w:eastAsia="Arial"/>
                <w:color w:val="auto"/>
                <w:sz w:val="20"/>
              </w:rPr>
              <w:t>93.6</w:t>
            </w:r>
          </w:p>
        </w:tc>
        <w:tc>
          <w:tcPr>
            <w:tcW w:w="178" w:type="pct"/>
            <w:shd w:val="clear" w:color="auto" w:fill="auto"/>
            <w:tcMar>
              <w:top w:w="0" w:type="dxa"/>
              <w:left w:w="0" w:type="dxa"/>
              <w:bottom w:w="0" w:type="dxa"/>
              <w:right w:w="0" w:type="dxa"/>
            </w:tcMar>
            <w:vAlign w:val="center"/>
          </w:tcPr>
          <w:p w14:paraId="7C91C79C">
            <w:pPr>
              <w:jc w:val="center"/>
              <w:rPr>
                <w:rFonts w:eastAsia="Arial"/>
                <w:color w:val="auto"/>
                <w:sz w:val="20"/>
              </w:rPr>
            </w:pPr>
            <w:r>
              <w:rPr>
                <w:rFonts w:eastAsia="Arial"/>
                <w:color w:val="auto"/>
                <w:sz w:val="20"/>
              </w:rPr>
              <w:t>45.7</w:t>
            </w:r>
          </w:p>
        </w:tc>
        <w:tc>
          <w:tcPr>
            <w:tcW w:w="180" w:type="pct"/>
            <w:shd w:val="clear" w:color="auto" w:fill="auto"/>
            <w:tcMar>
              <w:top w:w="0" w:type="dxa"/>
              <w:left w:w="0" w:type="dxa"/>
              <w:bottom w:w="0" w:type="dxa"/>
              <w:right w:w="0" w:type="dxa"/>
            </w:tcMar>
            <w:vAlign w:val="center"/>
          </w:tcPr>
          <w:p w14:paraId="00D62312">
            <w:pPr>
              <w:jc w:val="center"/>
              <w:rPr>
                <w:rFonts w:eastAsia="Arial"/>
                <w:color w:val="auto"/>
                <w:sz w:val="20"/>
              </w:rPr>
            </w:pPr>
            <w:r>
              <w:rPr>
                <w:rFonts w:eastAsia="Arial"/>
                <w:color w:val="auto"/>
                <w:sz w:val="20"/>
              </w:rPr>
              <w:t>171.0</w:t>
            </w:r>
          </w:p>
        </w:tc>
        <w:tc>
          <w:tcPr>
            <w:tcW w:w="191" w:type="pct"/>
            <w:shd w:val="clear" w:color="auto" w:fill="auto"/>
            <w:tcMar>
              <w:top w:w="0" w:type="dxa"/>
              <w:left w:w="0" w:type="dxa"/>
              <w:bottom w:w="0" w:type="dxa"/>
              <w:right w:w="0" w:type="dxa"/>
            </w:tcMar>
            <w:vAlign w:val="center"/>
          </w:tcPr>
          <w:p w14:paraId="3833B8DF">
            <w:pPr>
              <w:jc w:val="center"/>
              <w:rPr>
                <w:rFonts w:eastAsia="Arial"/>
                <w:color w:val="auto"/>
                <w:sz w:val="20"/>
              </w:rPr>
            </w:pPr>
            <w:r>
              <w:rPr>
                <w:rFonts w:eastAsia="Arial"/>
                <w:color w:val="auto"/>
                <w:sz w:val="20"/>
              </w:rPr>
              <w:t>47.4</w:t>
            </w:r>
          </w:p>
        </w:tc>
        <w:tc>
          <w:tcPr>
            <w:tcW w:w="176" w:type="pct"/>
            <w:shd w:val="clear" w:color="auto" w:fill="auto"/>
            <w:tcMar>
              <w:top w:w="0" w:type="dxa"/>
              <w:left w:w="0" w:type="dxa"/>
              <w:bottom w:w="0" w:type="dxa"/>
              <w:right w:w="0" w:type="dxa"/>
            </w:tcMar>
            <w:vAlign w:val="center"/>
          </w:tcPr>
          <w:p w14:paraId="3599C4A8">
            <w:pPr>
              <w:jc w:val="center"/>
              <w:rPr>
                <w:rFonts w:eastAsia="Arial"/>
                <w:color w:val="auto"/>
                <w:sz w:val="20"/>
              </w:rPr>
            </w:pPr>
            <w:r>
              <w:rPr>
                <w:rFonts w:eastAsia="Arial"/>
                <w:color w:val="auto"/>
                <w:sz w:val="20"/>
              </w:rPr>
              <w:t>65.6</w:t>
            </w:r>
          </w:p>
        </w:tc>
        <w:tc>
          <w:tcPr>
            <w:tcW w:w="176" w:type="pct"/>
            <w:shd w:val="clear" w:color="auto" w:fill="auto"/>
            <w:tcMar>
              <w:top w:w="0" w:type="dxa"/>
              <w:left w:w="0" w:type="dxa"/>
              <w:bottom w:w="0" w:type="dxa"/>
              <w:right w:w="0" w:type="dxa"/>
            </w:tcMar>
            <w:vAlign w:val="center"/>
          </w:tcPr>
          <w:p w14:paraId="6CD47E22">
            <w:pPr>
              <w:jc w:val="center"/>
              <w:rPr>
                <w:rFonts w:eastAsia="Arial"/>
                <w:color w:val="auto"/>
                <w:sz w:val="20"/>
              </w:rPr>
            </w:pPr>
            <w:r>
              <w:rPr>
                <w:rFonts w:eastAsia="Arial"/>
                <w:color w:val="auto"/>
                <w:sz w:val="20"/>
              </w:rPr>
              <w:t>65.6</w:t>
            </w:r>
          </w:p>
        </w:tc>
        <w:tc>
          <w:tcPr>
            <w:tcW w:w="176" w:type="pct"/>
            <w:shd w:val="clear" w:color="auto" w:fill="auto"/>
            <w:tcMar>
              <w:top w:w="0" w:type="dxa"/>
              <w:left w:w="0" w:type="dxa"/>
              <w:bottom w:w="0" w:type="dxa"/>
              <w:right w:w="0" w:type="dxa"/>
            </w:tcMar>
            <w:vAlign w:val="center"/>
          </w:tcPr>
          <w:p w14:paraId="170ABA88">
            <w:pPr>
              <w:jc w:val="center"/>
              <w:rPr>
                <w:rFonts w:eastAsia="Arial"/>
                <w:color w:val="auto"/>
                <w:sz w:val="20"/>
              </w:rPr>
            </w:pPr>
            <w:r>
              <w:rPr>
                <w:rFonts w:eastAsia="Arial"/>
                <w:color w:val="auto"/>
                <w:sz w:val="20"/>
              </w:rPr>
              <w:t>65.6</w:t>
            </w:r>
          </w:p>
        </w:tc>
        <w:tc>
          <w:tcPr>
            <w:tcW w:w="178" w:type="pct"/>
            <w:shd w:val="clear" w:color="auto" w:fill="auto"/>
            <w:tcMar>
              <w:top w:w="0" w:type="dxa"/>
              <w:left w:w="0" w:type="dxa"/>
              <w:bottom w:w="0" w:type="dxa"/>
              <w:right w:w="0" w:type="dxa"/>
            </w:tcMar>
            <w:vAlign w:val="center"/>
          </w:tcPr>
          <w:p w14:paraId="24E73526">
            <w:pPr>
              <w:jc w:val="center"/>
              <w:rPr>
                <w:rFonts w:eastAsia="Arial"/>
                <w:color w:val="auto"/>
                <w:sz w:val="20"/>
              </w:rPr>
            </w:pPr>
            <w:r>
              <w:rPr>
                <w:rFonts w:eastAsia="Arial"/>
                <w:color w:val="auto"/>
                <w:sz w:val="20"/>
              </w:rPr>
              <w:t>65.6</w:t>
            </w:r>
          </w:p>
        </w:tc>
        <w:tc>
          <w:tcPr>
            <w:tcW w:w="152" w:type="pct"/>
            <w:shd w:val="clear" w:color="auto" w:fill="auto"/>
            <w:tcMar>
              <w:top w:w="0" w:type="dxa"/>
              <w:left w:w="0" w:type="dxa"/>
              <w:bottom w:w="0" w:type="dxa"/>
              <w:right w:w="0" w:type="dxa"/>
            </w:tcMar>
            <w:vAlign w:val="center"/>
          </w:tcPr>
          <w:p w14:paraId="2F37F418">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7B6AAC26">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2B3E7AA0">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6A92D603">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3053EB3A">
            <w:pPr>
              <w:jc w:val="center"/>
              <w:rPr>
                <w:rFonts w:eastAsia="Arial"/>
                <w:color w:val="auto"/>
                <w:sz w:val="20"/>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5A9DD513">
            <w:pPr>
              <w:jc w:val="center"/>
              <w:rPr>
                <w:rFonts w:eastAsia="Arial"/>
                <w:color w:val="auto"/>
                <w:sz w:val="20"/>
              </w:rPr>
            </w:pPr>
            <w:r>
              <w:rPr>
                <w:rFonts w:eastAsia="Arial"/>
                <w:color w:val="auto"/>
                <w:sz w:val="20"/>
              </w:rPr>
              <w:t>24.6</w:t>
            </w:r>
          </w:p>
        </w:tc>
        <w:tc>
          <w:tcPr>
            <w:tcW w:w="181" w:type="pct"/>
            <w:shd w:val="clear" w:color="auto" w:fill="auto"/>
            <w:tcMar>
              <w:top w:w="0" w:type="dxa"/>
              <w:left w:w="0" w:type="dxa"/>
              <w:bottom w:w="0" w:type="dxa"/>
              <w:right w:w="0" w:type="dxa"/>
            </w:tcMar>
            <w:vAlign w:val="center"/>
          </w:tcPr>
          <w:p w14:paraId="501BD9FC">
            <w:pPr>
              <w:jc w:val="center"/>
              <w:rPr>
                <w:rFonts w:eastAsia="Arial"/>
                <w:color w:val="auto"/>
                <w:sz w:val="20"/>
              </w:rPr>
            </w:pPr>
            <w:r>
              <w:rPr>
                <w:rFonts w:eastAsia="Arial"/>
                <w:color w:val="auto"/>
                <w:sz w:val="20"/>
              </w:rPr>
              <w:t>24.6</w:t>
            </w:r>
          </w:p>
        </w:tc>
        <w:tc>
          <w:tcPr>
            <w:tcW w:w="181" w:type="pct"/>
            <w:shd w:val="clear" w:color="auto" w:fill="auto"/>
            <w:tcMar>
              <w:top w:w="0" w:type="dxa"/>
              <w:left w:w="0" w:type="dxa"/>
              <w:bottom w:w="0" w:type="dxa"/>
              <w:right w:w="0" w:type="dxa"/>
            </w:tcMar>
            <w:vAlign w:val="center"/>
          </w:tcPr>
          <w:p w14:paraId="2AB05C73">
            <w:pPr>
              <w:jc w:val="center"/>
              <w:rPr>
                <w:rFonts w:eastAsia="Arial"/>
                <w:color w:val="auto"/>
                <w:sz w:val="20"/>
              </w:rPr>
            </w:pPr>
            <w:r>
              <w:rPr>
                <w:rFonts w:eastAsia="Arial"/>
                <w:color w:val="auto"/>
                <w:sz w:val="20"/>
              </w:rPr>
              <w:t>24.6</w:t>
            </w:r>
          </w:p>
        </w:tc>
        <w:tc>
          <w:tcPr>
            <w:tcW w:w="181" w:type="pct"/>
            <w:shd w:val="clear" w:color="auto" w:fill="auto"/>
            <w:tcMar>
              <w:top w:w="0" w:type="dxa"/>
              <w:left w:w="0" w:type="dxa"/>
              <w:bottom w:w="0" w:type="dxa"/>
              <w:right w:w="0" w:type="dxa"/>
            </w:tcMar>
            <w:vAlign w:val="center"/>
          </w:tcPr>
          <w:p w14:paraId="27859529">
            <w:pPr>
              <w:jc w:val="center"/>
              <w:rPr>
                <w:rFonts w:eastAsia="Arial"/>
                <w:color w:val="auto"/>
                <w:sz w:val="20"/>
              </w:rPr>
            </w:pPr>
            <w:r>
              <w:rPr>
                <w:rFonts w:eastAsia="Arial"/>
                <w:color w:val="auto"/>
                <w:sz w:val="20"/>
              </w:rPr>
              <w:t>24.6</w:t>
            </w:r>
          </w:p>
        </w:tc>
        <w:tc>
          <w:tcPr>
            <w:tcW w:w="260" w:type="pct"/>
            <w:shd w:val="clear" w:color="auto" w:fill="auto"/>
            <w:tcMar>
              <w:top w:w="0" w:type="dxa"/>
              <w:left w:w="0" w:type="dxa"/>
              <w:bottom w:w="0" w:type="dxa"/>
              <w:right w:w="0" w:type="dxa"/>
            </w:tcMar>
            <w:vAlign w:val="center"/>
          </w:tcPr>
          <w:p w14:paraId="68A86FEF">
            <w:pPr>
              <w:jc w:val="center"/>
              <w:rPr>
                <w:rFonts w:eastAsia="Arial"/>
                <w:color w:val="auto"/>
                <w:sz w:val="20"/>
              </w:rPr>
            </w:pPr>
            <w:r>
              <w:rPr>
                <w:rFonts w:eastAsia="Arial"/>
                <w:color w:val="auto"/>
                <w:sz w:val="20"/>
              </w:rPr>
              <w:t>1</w:t>
            </w:r>
          </w:p>
        </w:tc>
      </w:tr>
      <w:tr w14:paraId="353288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continue"/>
            <w:shd w:val="clear" w:color="auto" w:fill="auto"/>
            <w:tcMar>
              <w:top w:w="0" w:type="dxa"/>
              <w:left w:w="0" w:type="dxa"/>
              <w:bottom w:w="0" w:type="dxa"/>
              <w:right w:w="0" w:type="dxa"/>
            </w:tcMar>
            <w:vAlign w:val="center"/>
          </w:tcPr>
          <w:p w14:paraId="0A9AFB33">
            <w:pPr>
              <w:jc w:val="center"/>
              <w:rPr>
                <w:rFonts w:eastAsia="Arial"/>
                <w:color w:val="auto"/>
                <w:sz w:val="20"/>
              </w:rPr>
            </w:pPr>
          </w:p>
        </w:tc>
        <w:tc>
          <w:tcPr>
            <w:tcW w:w="193" w:type="pct"/>
            <w:vMerge w:val="continue"/>
            <w:shd w:val="clear" w:color="auto" w:fill="auto"/>
            <w:tcMar>
              <w:top w:w="0" w:type="dxa"/>
              <w:left w:w="0" w:type="dxa"/>
              <w:bottom w:w="0" w:type="dxa"/>
              <w:right w:w="0" w:type="dxa"/>
            </w:tcMar>
            <w:vAlign w:val="center"/>
          </w:tcPr>
          <w:p w14:paraId="3DAACA39">
            <w:pPr>
              <w:jc w:val="center"/>
              <w:rPr>
                <w:color w:val="auto"/>
              </w:rPr>
            </w:pPr>
          </w:p>
        </w:tc>
        <w:tc>
          <w:tcPr>
            <w:tcW w:w="183" w:type="pct"/>
            <w:shd w:val="clear" w:color="auto" w:fill="auto"/>
            <w:tcMar>
              <w:top w:w="0" w:type="dxa"/>
              <w:left w:w="0" w:type="dxa"/>
              <w:bottom w:w="0" w:type="dxa"/>
              <w:right w:w="0" w:type="dxa"/>
            </w:tcMar>
            <w:vAlign w:val="center"/>
          </w:tcPr>
          <w:p w14:paraId="09778888">
            <w:pPr>
              <w:jc w:val="center"/>
              <w:rPr>
                <w:rFonts w:eastAsia="Arial"/>
                <w:color w:val="auto"/>
                <w:sz w:val="20"/>
              </w:rPr>
            </w:pPr>
            <w:r>
              <w:rPr>
                <w:rFonts w:eastAsia="Arial"/>
                <w:color w:val="auto"/>
                <w:sz w:val="20"/>
              </w:rPr>
              <w:t>除粪系统齿轮电机</w:t>
            </w:r>
          </w:p>
        </w:tc>
        <w:tc>
          <w:tcPr>
            <w:tcW w:w="150" w:type="pct"/>
            <w:shd w:val="clear" w:color="auto" w:fill="auto"/>
            <w:tcMar>
              <w:top w:w="0" w:type="dxa"/>
              <w:left w:w="0" w:type="dxa"/>
              <w:bottom w:w="0" w:type="dxa"/>
              <w:right w:w="0" w:type="dxa"/>
            </w:tcMar>
            <w:vAlign w:val="center"/>
          </w:tcPr>
          <w:p w14:paraId="7F8B8E56">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1E43CB3A">
            <w:pPr>
              <w:jc w:val="center"/>
              <w:rPr>
                <w:rFonts w:eastAsia="Arial"/>
                <w:color w:val="auto"/>
                <w:sz w:val="20"/>
              </w:rPr>
            </w:pPr>
            <w:r>
              <w:rPr>
                <w:rFonts w:eastAsia="Arial"/>
                <w:color w:val="auto"/>
                <w:sz w:val="20"/>
              </w:rPr>
              <w:t>80</w:t>
            </w:r>
          </w:p>
        </w:tc>
        <w:tc>
          <w:tcPr>
            <w:tcW w:w="193" w:type="pct"/>
            <w:shd w:val="clear" w:color="auto" w:fill="auto"/>
            <w:tcMar>
              <w:top w:w="0" w:type="dxa"/>
              <w:left w:w="0" w:type="dxa"/>
              <w:bottom w:w="0" w:type="dxa"/>
              <w:right w:w="0" w:type="dxa"/>
            </w:tcMar>
            <w:vAlign w:val="center"/>
          </w:tcPr>
          <w:p w14:paraId="74D70721">
            <w:pPr>
              <w:jc w:val="center"/>
              <w:rPr>
                <w:color w:val="auto"/>
                <w:szCs w:val="21"/>
                <w:shd w:val="clear" w:color="auto" w:fill="FFFFFF"/>
              </w:rPr>
            </w:pPr>
            <w:r>
              <w:rPr>
                <w:color w:val="auto"/>
                <w:szCs w:val="21"/>
                <w:shd w:val="clear" w:color="auto" w:fill="FFFFFF"/>
              </w:rPr>
              <w:t>选低噪声设备，设减震基座</w:t>
            </w:r>
          </w:p>
        </w:tc>
        <w:tc>
          <w:tcPr>
            <w:tcW w:w="215" w:type="pct"/>
            <w:shd w:val="clear" w:color="auto" w:fill="auto"/>
            <w:tcMar>
              <w:top w:w="0" w:type="dxa"/>
              <w:left w:w="0" w:type="dxa"/>
              <w:bottom w:w="0" w:type="dxa"/>
              <w:right w:w="0" w:type="dxa"/>
            </w:tcMar>
            <w:vAlign w:val="center"/>
          </w:tcPr>
          <w:p w14:paraId="1F7C3732">
            <w:pPr>
              <w:jc w:val="center"/>
              <w:rPr>
                <w:rFonts w:eastAsia="Arial"/>
                <w:color w:val="auto"/>
                <w:sz w:val="20"/>
              </w:rPr>
            </w:pPr>
            <w:r>
              <w:rPr>
                <w:rFonts w:eastAsia="Arial"/>
                <w:color w:val="auto"/>
                <w:sz w:val="20"/>
              </w:rPr>
              <w:t>105.1</w:t>
            </w:r>
          </w:p>
        </w:tc>
        <w:tc>
          <w:tcPr>
            <w:tcW w:w="215" w:type="pct"/>
            <w:shd w:val="clear" w:color="auto" w:fill="auto"/>
            <w:tcMar>
              <w:top w:w="0" w:type="dxa"/>
              <w:left w:w="0" w:type="dxa"/>
              <w:bottom w:w="0" w:type="dxa"/>
              <w:right w:w="0" w:type="dxa"/>
            </w:tcMar>
            <w:vAlign w:val="center"/>
          </w:tcPr>
          <w:p w14:paraId="246AD42D">
            <w:pPr>
              <w:jc w:val="center"/>
              <w:rPr>
                <w:rFonts w:eastAsia="Arial"/>
                <w:color w:val="auto"/>
                <w:sz w:val="20"/>
              </w:rPr>
            </w:pPr>
            <w:r>
              <w:rPr>
                <w:rFonts w:eastAsia="Arial"/>
                <w:color w:val="auto"/>
                <w:sz w:val="20"/>
              </w:rPr>
              <w:t>88.9</w:t>
            </w:r>
          </w:p>
        </w:tc>
        <w:tc>
          <w:tcPr>
            <w:tcW w:w="219" w:type="pct"/>
            <w:shd w:val="clear" w:color="auto" w:fill="auto"/>
            <w:tcMar>
              <w:top w:w="0" w:type="dxa"/>
              <w:left w:w="0" w:type="dxa"/>
              <w:bottom w:w="0" w:type="dxa"/>
              <w:right w:w="0" w:type="dxa"/>
            </w:tcMar>
            <w:vAlign w:val="center"/>
          </w:tcPr>
          <w:p w14:paraId="19ADC080">
            <w:pPr>
              <w:jc w:val="center"/>
              <w:rPr>
                <w:rFonts w:eastAsia="Arial"/>
                <w:color w:val="auto"/>
                <w:sz w:val="20"/>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1E2580F4">
            <w:pPr>
              <w:jc w:val="center"/>
              <w:rPr>
                <w:rFonts w:eastAsia="Arial"/>
                <w:color w:val="auto"/>
                <w:sz w:val="20"/>
              </w:rPr>
            </w:pPr>
            <w:r>
              <w:rPr>
                <w:rFonts w:eastAsia="Arial"/>
                <w:color w:val="auto"/>
                <w:sz w:val="20"/>
              </w:rPr>
              <w:t>122.8</w:t>
            </w:r>
          </w:p>
        </w:tc>
        <w:tc>
          <w:tcPr>
            <w:tcW w:w="178" w:type="pct"/>
            <w:shd w:val="clear" w:color="auto" w:fill="auto"/>
            <w:tcMar>
              <w:top w:w="0" w:type="dxa"/>
              <w:left w:w="0" w:type="dxa"/>
              <w:bottom w:w="0" w:type="dxa"/>
              <w:right w:w="0" w:type="dxa"/>
            </w:tcMar>
            <w:vAlign w:val="center"/>
          </w:tcPr>
          <w:p w14:paraId="6C1D6922">
            <w:pPr>
              <w:jc w:val="center"/>
              <w:rPr>
                <w:rFonts w:eastAsia="Arial"/>
                <w:color w:val="auto"/>
                <w:sz w:val="20"/>
              </w:rPr>
            </w:pPr>
            <w:r>
              <w:rPr>
                <w:rFonts w:eastAsia="Arial"/>
                <w:color w:val="auto"/>
                <w:sz w:val="20"/>
              </w:rPr>
              <w:t>84.0</w:t>
            </w:r>
          </w:p>
        </w:tc>
        <w:tc>
          <w:tcPr>
            <w:tcW w:w="180" w:type="pct"/>
            <w:shd w:val="clear" w:color="auto" w:fill="auto"/>
            <w:tcMar>
              <w:top w:w="0" w:type="dxa"/>
              <w:left w:w="0" w:type="dxa"/>
              <w:bottom w:w="0" w:type="dxa"/>
              <w:right w:w="0" w:type="dxa"/>
            </w:tcMar>
            <w:vAlign w:val="center"/>
          </w:tcPr>
          <w:p w14:paraId="39AC179A">
            <w:pPr>
              <w:jc w:val="center"/>
              <w:rPr>
                <w:rFonts w:eastAsia="Arial"/>
                <w:color w:val="auto"/>
                <w:sz w:val="20"/>
              </w:rPr>
            </w:pPr>
            <w:r>
              <w:rPr>
                <w:rFonts w:eastAsia="Arial"/>
                <w:color w:val="auto"/>
                <w:sz w:val="20"/>
              </w:rPr>
              <w:t>142.3</w:t>
            </w:r>
          </w:p>
        </w:tc>
        <w:tc>
          <w:tcPr>
            <w:tcW w:w="191" w:type="pct"/>
            <w:shd w:val="clear" w:color="auto" w:fill="auto"/>
            <w:tcMar>
              <w:top w:w="0" w:type="dxa"/>
              <w:left w:w="0" w:type="dxa"/>
              <w:bottom w:w="0" w:type="dxa"/>
              <w:right w:w="0" w:type="dxa"/>
            </w:tcMar>
            <w:vAlign w:val="center"/>
          </w:tcPr>
          <w:p w14:paraId="5A7F1C73">
            <w:pPr>
              <w:jc w:val="center"/>
              <w:rPr>
                <w:rFonts w:eastAsia="Arial"/>
                <w:color w:val="auto"/>
                <w:sz w:val="20"/>
              </w:rPr>
            </w:pPr>
            <w:r>
              <w:rPr>
                <w:rFonts w:eastAsia="Arial"/>
                <w:color w:val="auto"/>
                <w:sz w:val="20"/>
              </w:rPr>
              <w:t>9.4</w:t>
            </w:r>
          </w:p>
        </w:tc>
        <w:tc>
          <w:tcPr>
            <w:tcW w:w="176" w:type="pct"/>
            <w:shd w:val="clear" w:color="auto" w:fill="auto"/>
            <w:tcMar>
              <w:top w:w="0" w:type="dxa"/>
              <w:left w:w="0" w:type="dxa"/>
              <w:bottom w:w="0" w:type="dxa"/>
              <w:right w:w="0" w:type="dxa"/>
            </w:tcMar>
            <w:vAlign w:val="center"/>
          </w:tcPr>
          <w:p w14:paraId="51F0DBA5">
            <w:pPr>
              <w:jc w:val="center"/>
              <w:rPr>
                <w:rFonts w:eastAsia="Arial"/>
                <w:color w:val="auto"/>
                <w:sz w:val="20"/>
              </w:rPr>
            </w:pPr>
            <w:r>
              <w:rPr>
                <w:rFonts w:eastAsia="Arial"/>
                <w:color w:val="auto"/>
                <w:sz w:val="20"/>
              </w:rPr>
              <w:t>60.6</w:t>
            </w:r>
          </w:p>
        </w:tc>
        <w:tc>
          <w:tcPr>
            <w:tcW w:w="176" w:type="pct"/>
            <w:shd w:val="clear" w:color="auto" w:fill="auto"/>
            <w:tcMar>
              <w:top w:w="0" w:type="dxa"/>
              <w:left w:w="0" w:type="dxa"/>
              <w:bottom w:w="0" w:type="dxa"/>
              <w:right w:w="0" w:type="dxa"/>
            </w:tcMar>
            <w:vAlign w:val="center"/>
          </w:tcPr>
          <w:p w14:paraId="12200B58">
            <w:pPr>
              <w:jc w:val="center"/>
              <w:rPr>
                <w:rFonts w:eastAsia="Arial"/>
                <w:color w:val="auto"/>
                <w:sz w:val="20"/>
              </w:rPr>
            </w:pPr>
            <w:r>
              <w:rPr>
                <w:rFonts w:eastAsia="Arial"/>
                <w:color w:val="auto"/>
                <w:sz w:val="20"/>
              </w:rPr>
              <w:t>60.6</w:t>
            </w:r>
          </w:p>
        </w:tc>
        <w:tc>
          <w:tcPr>
            <w:tcW w:w="176" w:type="pct"/>
            <w:shd w:val="clear" w:color="auto" w:fill="auto"/>
            <w:tcMar>
              <w:top w:w="0" w:type="dxa"/>
              <w:left w:w="0" w:type="dxa"/>
              <w:bottom w:w="0" w:type="dxa"/>
              <w:right w:w="0" w:type="dxa"/>
            </w:tcMar>
            <w:vAlign w:val="center"/>
          </w:tcPr>
          <w:p w14:paraId="1E855061">
            <w:pPr>
              <w:jc w:val="center"/>
              <w:rPr>
                <w:rFonts w:eastAsia="Arial"/>
                <w:color w:val="auto"/>
                <w:sz w:val="20"/>
              </w:rPr>
            </w:pPr>
            <w:r>
              <w:rPr>
                <w:rFonts w:eastAsia="Arial"/>
                <w:color w:val="auto"/>
                <w:sz w:val="20"/>
              </w:rPr>
              <w:t>60.6</w:t>
            </w:r>
          </w:p>
        </w:tc>
        <w:tc>
          <w:tcPr>
            <w:tcW w:w="178" w:type="pct"/>
            <w:shd w:val="clear" w:color="auto" w:fill="auto"/>
            <w:tcMar>
              <w:top w:w="0" w:type="dxa"/>
              <w:left w:w="0" w:type="dxa"/>
              <w:bottom w:w="0" w:type="dxa"/>
              <w:right w:w="0" w:type="dxa"/>
            </w:tcMar>
            <w:vAlign w:val="center"/>
          </w:tcPr>
          <w:p w14:paraId="56843956">
            <w:pPr>
              <w:jc w:val="center"/>
              <w:rPr>
                <w:rFonts w:eastAsia="Arial"/>
                <w:color w:val="auto"/>
                <w:sz w:val="20"/>
              </w:rPr>
            </w:pPr>
            <w:r>
              <w:rPr>
                <w:rFonts w:eastAsia="Arial"/>
                <w:color w:val="auto"/>
                <w:sz w:val="20"/>
              </w:rPr>
              <w:t>60.9</w:t>
            </w:r>
          </w:p>
        </w:tc>
        <w:tc>
          <w:tcPr>
            <w:tcW w:w="152" w:type="pct"/>
            <w:shd w:val="clear" w:color="auto" w:fill="auto"/>
            <w:tcMar>
              <w:top w:w="0" w:type="dxa"/>
              <w:left w:w="0" w:type="dxa"/>
              <w:bottom w:w="0" w:type="dxa"/>
              <w:right w:w="0" w:type="dxa"/>
            </w:tcMar>
            <w:vAlign w:val="center"/>
          </w:tcPr>
          <w:p w14:paraId="79C85582">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2E3F22F0">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254E7A2A">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7EE821E3">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774EE4E8">
            <w:pPr>
              <w:jc w:val="center"/>
              <w:rPr>
                <w:rFonts w:eastAsia="Arial"/>
                <w:color w:val="auto"/>
                <w:sz w:val="20"/>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458512A1">
            <w:pPr>
              <w:jc w:val="center"/>
              <w:rPr>
                <w:rFonts w:eastAsia="Arial"/>
                <w:color w:val="auto"/>
                <w:sz w:val="20"/>
              </w:rPr>
            </w:pPr>
            <w:r>
              <w:rPr>
                <w:rFonts w:eastAsia="Arial"/>
                <w:color w:val="auto"/>
                <w:sz w:val="20"/>
              </w:rPr>
              <w:t>19.6</w:t>
            </w:r>
          </w:p>
        </w:tc>
        <w:tc>
          <w:tcPr>
            <w:tcW w:w="181" w:type="pct"/>
            <w:shd w:val="clear" w:color="auto" w:fill="auto"/>
            <w:tcMar>
              <w:top w:w="0" w:type="dxa"/>
              <w:left w:w="0" w:type="dxa"/>
              <w:bottom w:w="0" w:type="dxa"/>
              <w:right w:w="0" w:type="dxa"/>
            </w:tcMar>
            <w:vAlign w:val="center"/>
          </w:tcPr>
          <w:p w14:paraId="4271B14C">
            <w:pPr>
              <w:jc w:val="center"/>
              <w:rPr>
                <w:rFonts w:eastAsia="Arial"/>
                <w:color w:val="auto"/>
                <w:sz w:val="20"/>
              </w:rPr>
            </w:pPr>
            <w:r>
              <w:rPr>
                <w:rFonts w:eastAsia="Arial"/>
                <w:color w:val="auto"/>
                <w:sz w:val="20"/>
              </w:rPr>
              <w:t>19.6</w:t>
            </w:r>
          </w:p>
        </w:tc>
        <w:tc>
          <w:tcPr>
            <w:tcW w:w="181" w:type="pct"/>
            <w:shd w:val="clear" w:color="auto" w:fill="auto"/>
            <w:tcMar>
              <w:top w:w="0" w:type="dxa"/>
              <w:left w:w="0" w:type="dxa"/>
              <w:bottom w:w="0" w:type="dxa"/>
              <w:right w:w="0" w:type="dxa"/>
            </w:tcMar>
            <w:vAlign w:val="center"/>
          </w:tcPr>
          <w:p w14:paraId="543D3422">
            <w:pPr>
              <w:jc w:val="center"/>
              <w:rPr>
                <w:rFonts w:eastAsia="Arial"/>
                <w:color w:val="auto"/>
                <w:sz w:val="20"/>
              </w:rPr>
            </w:pPr>
            <w:r>
              <w:rPr>
                <w:rFonts w:eastAsia="Arial"/>
                <w:color w:val="auto"/>
                <w:sz w:val="20"/>
              </w:rPr>
              <w:t>19.6</w:t>
            </w:r>
          </w:p>
        </w:tc>
        <w:tc>
          <w:tcPr>
            <w:tcW w:w="181" w:type="pct"/>
            <w:shd w:val="clear" w:color="auto" w:fill="auto"/>
            <w:tcMar>
              <w:top w:w="0" w:type="dxa"/>
              <w:left w:w="0" w:type="dxa"/>
              <w:bottom w:w="0" w:type="dxa"/>
              <w:right w:w="0" w:type="dxa"/>
            </w:tcMar>
            <w:vAlign w:val="center"/>
          </w:tcPr>
          <w:p w14:paraId="191B3687">
            <w:pPr>
              <w:jc w:val="center"/>
              <w:rPr>
                <w:rFonts w:eastAsia="Arial"/>
                <w:color w:val="auto"/>
                <w:sz w:val="20"/>
              </w:rPr>
            </w:pPr>
            <w:r>
              <w:rPr>
                <w:rFonts w:eastAsia="Arial"/>
                <w:color w:val="auto"/>
                <w:sz w:val="20"/>
              </w:rPr>
              <w:t>19.9</w:t>
            </w:r>
          </w:p>
        </w:tc>
        <w:tc>
          <w:tcPr>
            <w:tcW w:w="260" w:type="pct"/>
            <w:shd w:val="clear" w:color="auto" w:fill="auto"/>
            <w:tcMar>
              <w:top w:w="0" w:type="dxa"/>
              <w:left w:w="0" w:type="dxa"/>
              <w:bottom w:w="0" w:type="dxa"/>
              <w:right w:w="0" w:type="dxa"/>
            </w:tcMar>
            <w:vAlign w:val="center"/>
          </w:tcPr>
          <w:p w14:paraId="66C0A785">
            <w:pPr>
              <w:jc w:val="center"/>
              <w:rPr>
                <w:rFonts w:eastAsia="Arial"/>
                <w:color w:val="auto"/>
                <w:sz w:val="20"/>
              </w:rPr>
            </w:pPr>
            <w:r>
              <w:rPr>
                <w:rFonts w:eastAsia="Arial"/>
                <w:color w:val="auto"/>
                <w:sz w:val="20"/>
              </w:rPr>
              <w:t>1</w:t>
            </w:r>
          </w:p>
        </w:tc>
      </w:tr>
      <w:tr w14:paraId="04AD16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continue"/>
            <w:shd w:val="clear" w:color="auto" w:fill="auto"/>
            <w:tcMar>
              <w:top w:w="0" w:type="dxa"/>
              <w:left w:w="0" w:type="dxa"/>
              <w:bottom w:w="0" w:type="dxa"/>
              <w:right w:w="0" w:type="dxa"/>
            </w:tcMar>
            <w:vAlign w:val="center"/>
          </w:tcPr>
          <w:p w14:paraId="4FAA4E7C">
            <w:pPr>
              <w:jc w:val="center"/>
              <w:rPr>
                <w:rFonts w:eastAsia="Arial"/>
                <w:color w:val="auto"/>
                <w:sz w:val="20"/>
              </w:rPr>
            </w:pPr>
          </w:p>
        </w:tc>
        <w:tc>
          <w:tcPr>
            <w:tcW w:w="193" w:type="pct"/>
            <w:vMerge w:val="continue"/>
            <w:shd w:val="clear" w:color="auto" w:fill="auto"/>
            <w:tcMar>
              <w:top w:w="0" w:type="dxa"/>
              <w:left w:w="0" w:type="dxa"/>
              <w:bottom w:w="0" w:type="dxa"/>
              <w:right w:w="0" w:type="dxa"/>
            </w:tcMar>
            <w:vAlign w:val="center"/>
          </w:tcPr>
          <w:p w14:paraId="49CFBB7D">
            <w:pPr>
              <w:jc w:val="center"/>
              <w:rPr>
                <w:color w:val="auto"/>
              </w:rPr>
            </w:pPr>
          </w:p>
        </w:tc>
        <w:tc>
          <w:tcPr>
            <w:tcW w:w="183" w:type="pct"/>
            <w:shd w:val="clear" w:color="auto" w:fill="auto"/>
            <w:tcMar>
              <w:top w:w="0" w:type="dxa"/>
              <w:left w:w="0" w:type="dxa"/>
              <w:bottom w:w="0" w:type="dxa"/>
              <w:right w:w="0" w:type="dxa"/>
            </w:tcMar>
            <w:vAlign w:val="center"/>
          </w:tcPr>
          <w:p w14:paraId="6D475246">
            <w:pPr>
              <w:jc w:val="center"/>
              <w:rPr>
                <w:rFonts w:eastAsia="Arial"/>
                <w:color w:val="auto"/>
                <w:sz w:val="20"/>
              </w:rPr>
            </w:pPr>
            <w:r>
              <w:rPr>
                <w:rFonts w:eastAsia="Arial"/>
                <w:color w:val="auto"/>
                <w:sz w:val="20"/>
              </w:rPr>
              <w:t>除粪系统驱动器</w:t>
            </w:r>
          </w:p>
        </w:tc>
        <w:tc>
          <w:tcPr>
            <w:tcW w:w="150" w:type="pct"/>
            <w:shd w:val="clear" w:color="auto" w:fill="auto"/>
            <w:tcMar>
              <w:top w:w="0" w:type="dxa"/>
              <w:left w:w="0" w:type="dxa"/>
              <w:bottom w:w="0" w:type="dxa"/>
              <w:right w:w="0" w:type="dxa"/>
            </w:tcMar>
            <w:vAlign w:val="center"/>
          </w:tcPr>
          <w:p w14:paraId="76A52438">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0B4B2B88">
            <w:pPr>
              <w:jc w:val="center"/>
              <w:rPr>
                <w:rFonts w:eastAsia="Arial"/>
                <w:color w:val="auto"/>
                <w:sz w:val="20"/>
              </w:rPr>
            </w:pPr>
            <w:r>
              <w:rPr>
                <w:rFonts w:eastAsia="Arial"/>
                <w:color w:val="auto"/>
                <w:sz w:val="20"/>
              </w:rPr>
              <w:t>75</w:t>
            </w:r>
          </w:p>
        </w:tc>
        <w:tc>
          <w:tcPr>
            <w:tcW w:w="193" w:type="pct"/>
            <w:shd w:val="clear" w:color="auto" w:fill="auto"/>
            <w:tcMar>
              <w:top w:w="0" w:type="dxa"/>
              <w:left w:w="0" w:type="dxa"/>
              <w:bottom w:w="0" w:type="dxa"/>
              <w:right w:w="0" w:type="dxa"/>
            </w:tcMar>
            <w:vAlign w:val="center"/>
          </w:tcPr>
          <w:p w14:paraId="0A8E876E">
            <w:pPr>
              <w:jc w:val="center"/>
              <w:rPr>
                <w:color w:val="auto"/>
                <w:szCs w:val="21"/>
                <w:shd w:val="clear" w:color="auto" w:fill="FFFFFF"/>
              </w:rPr>
            </w:pPr>
            <w:r>
              <w:rPr>
                <w:color w:val="auto"/>
                <w:szCs w:val="21"/>
                <w:shd w:val="clear" w:color="auto" w:fill="FFFFFF"/>
              </w:rPr>
              <w:t>选低噪声设备、隔声、消声</w:t>
            </w:r>
          </w:p>
        </w:tc>
        <w:tc>
          <w:tcPr>
            <w:tcW w:w="215" w:type="pct"/>
            <w:shd w:val="clear" w:color="auto" w:fill="auto"/>
            <w:tcMar>
              <w:top w:w="0" w:type="dxa"/>
              <w:left w:w="0" w:type="dxa"/>
              <w:bottom w:w="0" w:type="dxa"/>
              <w:right w:w="0" w:type="dxa"/>
            </w:tcMar>
            <w:vAlign w:val="center"/>
          </w:tcPr>
          <w:p w14:paraId="6ED15548">
            <w:pPr>
              <w:jc w:val="center"/>
              <w:rPr>
                <w:rFonts w:eastAsia="Arial"/>
                <w:color w:val="auto"/>
                <w:sz w:val="20"/>
              </w:rPr>
            </w:pPr>
            <w:r>
              <w:rPr>
                <w:rFonts w:eastAsia="Arial"/>
                <w:color w:val="auto"/>
                <w:sz w:val="20"/>
              </w:rPr>
              <w:t>113.7</w:t>
            </w:r>
          </w:p>
        </w:tc>
        <w:tc>
          <w:tcPr>
            <w:tcW w:w="215" w:type="pct"/>
            <w:shd w:val="clear" w:color="auto" w:fill="auto"/>
            <w:tcMar>
              <w:top w:w="0" w:type="dxa"/>
              <w:left w:w="0" w:type="dxa"/>
              <w:bottom w:w="0" w:type="dxa"/>
              <w:right w:w="0" w:type="dxa"/>
            </w:tcMar>
            <w:vAlign w:val="center"/>
          </w:tcPr>
          <w:p w14:paraId="3C1E73ED">
            <w:pPr>
              <w:jc w:val="center"/>
              <w:rPr>
                <w:rFonts w:eastAsia="Arial"/>
                <w:color w:val="auto"/>
                <w:sz w:val="20"/>
              </w:rPr>
            </w:pPr>
            <w:r>
              <w:rPr>
                <w:rFonts w:eastAsia="Arial"/>
                <w:color w:val="auto"/>
                <w:sz w:val="20"/>
              </w:rPr>
              <w:t>76.1</w:t>
            </w:r>
          </w:p>
        </w:tc>
        <w:tc>
          <w:tcPr>
            <w:tcW w:w="219" w:type="pct"/>
            <w:shd w:val="clear" w:color="auto" w:fill="auto"/>
            <w:tcMar>
              <w:top w:w="0" w:type="dxa"/>
              <w:left w:w="0" w:type="dxa"/>
              <w:bottom w:w="0" w:type="dxa"/>
              <w:right w:w="0" w:type="dxa"/>
            </w:tcMar>
            <w:vAlign w:val="center"/>
          </w:tcPr>
          <w:p w14:paraId="6872385E">
            <w:pPr>
              <w:jc w:val="center"/>
              <w:rPr>
                <w:rFonts w:eastAsia="Arial"/>
                <w:color w:val="auto"/>
                <w:sz w:val="20"/>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5B661F68">
            <w:pPr>
              <w:jc w:val="center"/>
              <w:rPr>
                <w:rFonts w:eastAsia="Arial"/>
                <w:color w:val="auto"/>
                <w:sz w:val="20"/>
              </w:rPr>
            </w:pPr>
            <w:r>
              <w:rPr>
                <w:rFonts w:eastAsia="Arial"/>
                <w:color w:val="auto"/>
                <w:sz w:val="20"/>
              </w:rPr>
              <w:t>138.0</w:t>
            </w:r>
          </w:p>
        </w:tc>
        <w:tc>
          <w:tcPr>
            <w:tcW w:w="178" w:type="pct"/>
            <w:shd w:val="clear" w:color="auto" w:fill="auto"/>
            <w:tcMar>
              <w:top w:w="0" w:type="dxa"/>
              <w:left w:w="0" w:type="dxa"/>
              <w:bottom w:w="0" w:type="dxa"/>
              <w:right w:w="0" w:type="dxa"/>
            </w:tcMar>
            <w:vAlign w:val="center"/>
          </w:tcPr>
          <w:p w14:paraId="5F6673F6">
            <w:pPr>
              <w:jc w:val="center"/>
              <w:rPr>
                <w:rFonts w:eastAsia="Arial"/>
                <w:color w:val="auto"/>
                <w:sz w:val="20"/>
              </w:rPr>
            </w:pPr>
            <w:r>
              <w:rPr>
                <w:rFonts w:eastAsia="Arial"/>
                <w:color w:val="auto"/>
                <w:sz w:val="20"/>
              </w:rPr>
              <w:t>81.5</w:t>
            </w:r>
          </w:p>
        </w:tc>
        <w:tc>
          <w:tcPr>
            <w:tcW w:w="180" w:type="pct"/>
            <w:shd w:val="clear" w:color="auto" w:fill="auto"/>
            <w:tcMar>
              <w:top w:w="0" w:type="dxa"/>
              <w:left w:w="0" w:type="dxa"/>
              <w:bottom w:w="0" w:type="dxa"/>
              <w:right w:w="0" w:type="dxa"/>
            </w:tcMar>
            <w:vAlign w:val="center"/>
          </w:tcPr>
          <w:p w14:paraId="47785F56">
            <w:pPr>
              <w:jc w:val="center"/>
              <w:rPr>
                <w:rFonts w:eastAsia="Arial"/>
                <w:color w:val="auto"/>
                <w:sz w:val="20"/>
              </w:rPr>
            </w:pPr>
            <w:r>
              <w:rPr>
                <w:rFonts w:eastAsia="Arial"/>
                <w:color w:val="auto"/>
                <w:sz w:val="20"/>
              </w:rPr>
              <w:t>127.0</w:t>
            </w:r>
          </w:p>
        </w:tc>
        <w:tc>
          <w:tcPr>
            <w:tcW w:w="191" w:type="pct"/>
            <w:shd w:val="clear" w:color="auto" w:fill="auto"/>
            <w:tcMar>
              <w:top w:w="0" w:type="dxa"/>
              <w:left w:w="0" w:type="dxa"/>
              <w:bottom w:w="0" w:type="dxa"/>
              <w:right w:w="0" w:type="dxa"/>
            </w:tcMar>
            <w:vAlign w:val="center"/>
          </w:tcPr>
          <w:p w14:paraId="6F51DF89">
            <w:pPr>
              <w:jc w:val="center"/>
              <w:rPr>
                <w:rFonts w:eastAsia="Arial"/>
                <w:color w:val="auto"/>
                <w:sz w:val="20"/>
              </w:rPr>
            </w:pPr>
            <w:r>
              <w:rPr>
                <w:rFonts w:eastAsia="Arial"/>
                <w:color w:val="auto"/>
                <w:sz w:val="20"/>
              </w:rPr>
              <w:t>12.0</w:t>
            </w:r>
          </w:p>
        </w:tc>
        <w:tc>
          <w:tcPr>
            <w:tcW w:w="176" w:type="pct"/>
            <w:shd w:val="clear" w:color="auto" w:fill="auto"/>
            <w:tcMar>
              <w:top w:w="0" w:type="dxa"/>
              <w:left w:w="0" w:type="dxa"/>
              <w:bottom w:w="0" w:type="dxa"/>
              <w:right w:w="0" w:type="dxa"/>
            </w:tcMar>
            <w:vAlign w:val="center"/>
          </w:tcPr>
          <w:p w14:paraId="11B0B976">
            <w:pPr>
              <w:jc w:val="center"/>
              <w:rPr>
                <w:rFonts w:eastAsia="Arial"/>
                <w:color w:val="auto"/>
                <w:sz w:val="20"/>
              </w:rPr>
            </w:pPr>
            <w:r>
              <w:rPr>
                <w:rFonts w:eastAsia="Arial"/>
                <w:color w:val="auto"/>
                <w:sz w:val="20"/>
              </w:rPr>
              <w:t>55.6</w:t>
            </w:r>
          </w:p>
        </w:tc>
        <w:tc>
          <w:tcPr>
            <w:tcW w:w="176" w:type="pct"/>
            <w:shd w:val="clear" w:color="auto" w:fill="auto"/>
            <w:tcMar>
              <w:top w:w="0" w:type="dxa"/>
              <w:left w:w="0" w:type="dxa"/>
              <w:bottom w:w="0" w:type="dxa"/>
              <w:right w:w="0" w:type="dxa"/>
            </w:tcMar>
            <w:vAlign w:val="center"/>
          </w:tcPr>
          <w:p w14:paraId="12449CC6">
            <w:pPr>
              <w:jc w:val="center"/>
              <w:rPr>
                <w:rFonts w:eastAsia="Arial"/>
                <w:color w:val="auto"/>
                <w:sz w:val="20"/>
              </w:rPr>
            </w:pPr>
            <w:r>
              <w:rPr>
                <w:rFonts w:eastAsia="Arial"/>
                <w:color w:val="auto"/>
                <w:sz w:val="20"/>
              </w:rPr>
              <w:t>55.6</w:t>
            </w:r>
          </w:p>
        </w:tc>
        <w:tc>
          <w:tcPr>
            <w:tcW w:w="176" w:type="pct"/>
            <w:shd w:val="clear" w:color="auto" w:fill="auto"/>
            <w:tcMar>
              <w:top w:w="0" w:type="dxa"/>
              <w:left w:w="0" w:type="dxa"/>
              <w:bottom w:w="0" w:type="dxa"/>
              <w:right w:w="0" w:type="dxa"/>
            </w:tcMar>
            <w:vAlign w:val="center"/>
          </w:tcPr>
          <w:p w14:paraId="1B442754">
            <w:pPr>
              <w:jc w:val="center"/>
              <w:rPr>
                <w:rFonts w:eastAsia="Arial"/>
                <w:color w:val="auto"/>
                <w:sz w:val="20"/>
              </w:rPr>
            </w:pPr>
            <w:r>
              <w:rPr>
                <w:rFonts w:eastAsia="Arial"/>
                <w:color w:val="auto"/>
                <w:sz w:val="20"/>
              </w:rPr>
              <w:t>55.6</w:t>
            </w:r>
          </w:p>
        </w:tc>
        <w:tc>
          <w:tcPr>
            <w:tcW w:w="178" w:type="pct"/>
            <w:shd w:val="clear" w:color="auto" w:fill="auto"/>
            <w:tcMar>
              <w:top w:w="0" w:type="dxa"/>
              <w:left w:w="0" w:type="dxa"/>
              <w:bottom w:w="0" w:type="dxa"/>
              <w:right w:w="0" w:type="dxa"/>
            </w:tcMar>
            <w:vAlign w:val="center"/>
          </w:tcPr>
          <w:p w14:paraId="7808529B">
            <w:pPr>
              <w:jc w:val="center"/>
              <w:rPr>
                <w:rFonts w:eastAsia="Arial"/>
                <w:color w:val="auto"/>
                <w:sz w:val="20"/>
              </w:rPr>
            </w:pPr>
            <w:r>
              <w:rPr>
                <w:rFonts w:eastAsia="Arial"/>
                <w:color w:val="auto"/>
                <w:sz w:val="20"/>
              </w:rPr>
              <w:t>55.8</w:t>
            </w:r>
          </w:p>
        </w:tc>
        <w:tc>
          <w:tcPr>
            <w:tcW w:w="152" w:type="pct"/>
            <w:shd w:val="clear" w:color="auto" w:fill="auto"/>
            <w:tcMar>
              <w:top w:w="0" w:type="dxa"/>
              <w:left w:w="0" w:type="dxa"/>
              <w:bottom w:w="0" w:type="dxa"/>
              <w:right w:w="0" w:type="dxa"/>
            </w:tcMar>
            <w:vAlign w:val="center"/>
          </w:tcPr>
          <w:p w14:paraId="71C9B14A">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39BEC1FA">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7D8F88ED">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353CA19E">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7D94AED6">
            <w:pPr>
              <w:jc w:val="center"/>
              <w:rPr>
                <w:rFonts w:eastAsia="Arial"/>
                <w:color w:val="auto"/>
                <w:sz w:val="20"/>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03E3E24C">
            <w:pPr>
              <w:jc w:val="center"/>
              <w:rPr>
                <w:rFonts w:eastAsia="Arial"/>
                <w:color w:val="auto"/>
                <w:sz w:val="20"/>
              </w:rPr>
            </w:pPr>
            <w:r>
              <w:rPr>
                <w:rFonts w:eastAsia="Arial"/>
                <w:color w:val="auto"/>
                <w:sz w:val="20"/>
              </w:rPr>
              <w:t>14.6</w:t>
            </w:r>
          </w:p>
        </w:tc>
        <w:tc>
          <w:tcPr>
            <w:tcW w:w="181" w:type="pct"/>
            <w:shd w:val="clear" w:color="auto" w:fill="auto"/>
            <w:tcMar>
              <w:top w:w="0" w:type="dxa"/>
              <w:left w:w="0" w:type="dxa"/>
              <w:bottom w:w="0" w:type="dxa"/>
              <w:right w:w="0" w:type="dxa"/>
            </w:tcMar>
            <w:vAlign w:val="center"/>
          </w:tcPr>
          <w:p w14:paraId="73B72A9D">
            <w:pPr>
              <w:jc w:val="center"/>
              <w:rPr>
                <w:rFonts w:eastAsia="Arial"/>
                <w:color w:val="auto"/>
                <w:sz w:val="20"/>
              </w:rPr>
            </w:pPr>
            <w:r>
              <w:rPr>
                <w:rFonts w:eastAsia="Arial"/>
                <w:color w:val="auto"/>
                <w:sz w:val="20"/>
              </w:rPr>
              <w:t>14.6</w:t>
            </w:r>
          </w:p>
        </w:tc>
        <w:tc>
          <w:tcPr>
            <w:tcW w:w="181" w:type="pct"/>
            <w:shd w:val="clear" w:color="auto" w:fill="auto"/>
            <w:tcMar>
              <w:top w:w="0" w:type="dxa"/>
              <w:left w:w="0" w:type="dxa"/>
              <w:bottom w:w="0" w:type="dxa"/>
              <w:right w:w="0" w:type="dxa"/>
            </w:tcMar>
            <w:vAlign w:val="center"/>
          </w:tcPr>
          <w:p w14:paraId="643DC4F3">
            <w:pPr>
              <w:jc w:val="center"/>
              <w:rPr>
                <w:rFonts w:eastAsia="Arial"/>
                <w:color w:val="auto"/>
                <w:sz w:val="20"/>
              </w:rPr>
            </w:pPr>
            <w:r>
              <w:rPr>
                <w:rFonts w:eastAsia="Arial"/>
                <w:color w:val="auto"/>
                <w:sz w:val="20"/>
              </w:rPr>
              <w:t>14.6</w:t>
            </w:r>
          </w:p>
        </w:tc>
        <w:tc>
          <w:tcPr>
            <w:tcW w:w="181" w:type="pct"/>
            <w:shd w:val="clear" w:color="auto" w:fill="auto"/>
            <w:tcMar>
              <w:top w:w="0" w:type="dxa"/>
              <w:left w:w="0" w:type="dxa"/>
              <w:bottom w:w="0" w:type="dxa"/>
              <w:right w:w="0" w:type="dxa"/>
            </w:tcMar>
            <w:vAlign w:val="center"/>
          </w:tcPr>
          <w:p w14:paraId="06654904">
            <w:pPr>
              <w:jc w:val="center"/>
              <w:rPr>
                <w:rFonts w:eastAsia="Arial"/>
                <w:color w:val="auto"/>
                <w:sz w:val="20"/>
              </w:rPr>
            </w:pPr>
            <w:r>
              <w:rPr>
                <w:rFonts w:eastAsia="Arial"/>
                <w:color w:val="auto"/>
                <w:sz w:val="20"/>
              </w:rPr>
              <w:t>14.8</w:t>
            </w:r>
          </w:p>
        </w:tc>
        <w:tc>
          <w:tcPr>
            <w:tcW w:w="260" w:type="pct"/>
            <w:shd w:val="clear" w:color="auto" w:fill="auto"/>
            <w:tcMar>
              <w:top w:w="0" w:type="dxa"/>
              <w:left w:w="0" w:type="dxa"/>
              <w:bottom w:w="0" w:type="dxa"/>
              <w:right w:w="0" w:type="dxa"/>
            </w:tcMar>
            <w:vAlign w:val="center"/>
          </w:tcPr>
          <w:p w14:paraId="0207D947">
            <w:pPr>
              <w:jc w:val="center"/>
              <w:rPr>
                <w:rFonts w:eastAsia="Arial"/>
                <w:color w:val="auto"/>
                <w:sz w:val="20"/>
              </w:rPr>
            </w:pPr>
            <w:r>
              <w:rPr>
                <w:rFonts w:eastAsia="Arial"/>
                <w:color w:val="auto"/>
                <w:sz w:val="20"/>
              </w:rPr>
              <w:t>1</w:t>
            </w:r>
          </w:p>
        </w:tc>
      </w:tr>
      <w:tr w14:paraId="33F5F0C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shd w:val="clear" w:color="auto" w:fill="auto"/>
            <w:tcMar>
              <w:top w:w="0" w:type="dxa"/>
              <w:left w:w="0" w:type="dxa"/>
              <w:bottom w:w="0" w:type="dxa"/>
              <w:right w:w="0" w:type="dxa"/>
            </w:tcMar>
            <w:vAlign w:val="center"/>
          </w:tcPr>
          <w:p w14:paraId="3FB3CDA1">
            <w:pPr>
              <w:jc w:val="center"/>
              <w:rPr>
                <w:rFonts w:hint="eastAsia" w:eastAsia="宋体"/>
                <w:color w:val="auto"/>
                <w:sz w:val="20"/>
                <w:lang w:val="en-US" w:eastAsia="zh-CN"/>
              </w:rPr>
            </w:pPr>
            <w:r>
              <w:rPr>
                <w:rFonts w:hint="eastAsia" w:eastAsia="宋体"/>
                <w:color w:val="auto"/>
                <w:sz w:val="20"/>
                <w:lang w:val="en-US" w:eastAsia="zh-CN"/>
              </w:rPr>
              <w:t>2</w:t>
            </w:r>
          </w:p>
        </w:tc>
        <w:tc>
          <w:tcPr>
            <w:tcW w:w="193" w:type="pct"/>
            <w:shd w:val="clear" w:color="auto" w:fill="auto"/>
            <w:tcMar>
              <w:top w:w="0" w:type="dxa"/>
              <w:left w:w="0" w:type="dxa"/>
              <w:bottom w:w="0" w:type="dxa"/>
              <w:right w:w="0" w:type="dxa"/>
            </w:tcMar>
            <w:vAlign w:val="center"/>
          </w:tcPr>
          <w:p w14:paraId="7540CECB">
            <w:pPr>
              <w:jc w:val="center"/>
              <w:rPr>
                <w:rFonts w:hint="eastAsia" w:eastAsia="宋体"/>
                <w:color w:val="auto"/>
                <w:lang w:eastAsia="zh-CN"/>
              </w:rPr>
            </w:pPr>
            <w:r>
              <w:rPr>
                <w:rFonts w:hint="eastAsia"/>
                <w:color w:val="auto"/>
                <w:lang w:eastAsia="zh-CN"/>
              </w:rPr>
              <w:t>水塔</w:t>
            </w:r>
          </w:p>
        </w:tc>
        <w:tc>
          <w:tcPr>
            <w:tcW w:w="183" w:type="pct"/>
            <w:shd w:val="clear" w:color="auto" w:fill="auto"/>
            <w:tcMar>
              <w:top w:w="0" w:type="dxa"/>
              <w:left w:w="0" w:type="dxa"/>
              <w:bottom w:w="0" w:type="dxa"/>
              <w:right w:w="0" w:type="dxa"/>
            </w:tcMar>
            <w:vAlign w:val="center"/>
          </w:tcPr>
          <w:p w14:paraId="5A4C63C5">
            <w:pPr>
              <w:jc w:val="center"/>
              <w:rPr>
                <w:rFonts w:eastAsia="Arial"/>
                <w:color w:val="auto"/>
                <w:sz w:val="20"/>
              </w:rPr>
            </w:pPr>
            <w:r>
              <w:rPr>
                <w:rFonts w:eastAsia="Arial"/>
                <w:color w:val="auto"/>
                <w:sz w:val="20"/>
              </w:rPr>
              <w:t>水泵</w:t>
            </w:r>
          </w:p>
        </w:tc>
        <w:tc>
          <w:tcPr>
            <w:tcW w:w="150" w:type="pct"/>
            <w:shd w:val="clear" w:color="auto" w:fill="auto"/>
            <w:tcMar>
              <w:top w:w="0" w:type="dxa"/>
              <w:left w:w="0" w:type="dxa"/>
              <w:bottom w:w="0" w:type="dxa"/>
              <w:right w:w="0" w:type="dxa"/>
            </w:tcMar>
            <w:vAlign w:val="center"/>
          </w:tcPr>
          <w:p w14:paraId="7EAE43D3">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1FCF004F">
            <w:pPr>
              <w:jc w:val="center"/>
              <w:rPr>
                <w:rFonts w:eastAsia="Arial"/>
                <w:color w:val="auto"/>
                <w:sz w:val="20"/>
              </w:rPr>
            </w:pPr>
            <w:r>
              <w:rPr>
                <w:rFonts w:eastAsia="Arial"/>
                <w:color w:val="auto"/>
                <w:sz w:val="20"/>
              </w:rPr>
              <w:t>90</w:t>
            </w:r>
          </w:p>
        </w:tc>
        <w:tc>
          <w:tcPr>
            <w:tcW w:w="193" w:type="pct"/>
            <w:shd w:val="clear" w:color="auto" w:fill="auto"/>
            <w:tcMar>
              <w:top w:w="0" w:type="dxa"/>
              <w:left w:w="0" w:type="dxa"/>
              <w:bottom w:w="0" w:type="dxa"/>
              <w:right w:w="0" w:type="dxa"/>
            </w:tcMar>
            <w:vAlign w:val="center"/>
          </w:tcPr>
          <w:p w14:paraId="5491DEED">
            <w:pPr>
              <w:pStyle w:val="25"/>
              <w:ind w:left="0" w:leftChars="0" w:firstLine="0" w:firstLineChars="0"/>
              <w:jc w:val="center"/>
              <w:rPr>
                <w:color w:val="auto"/>
                <w:szCs w:val="21"/>
                <w:shd w:val="clear" w:color="auto" w:fill="FFFFFF"/>
              </w:rPr>
            </w:pPr>
            <w:r>
              <w:rPr>
                <w:color w:val="auto"/>
                <w:szCs w:val="21"/>
                <w:shd w:val="clear" w:color="auto" w:fill="FFFFFF"/>
              </w:rPr>
              <w:t>选低噪声设备、独立设备房，房间隔声</w:t>
            </w:r>
          </w:p>
        </w:tc>
        <w:tc>
          <w:tcPr>
            <w:tcW w:w="215" w:type="pct"/>
            <w:shd w:val="clear" w:color="auto" w:fill="auto"/>
            <w:tcMar>
              <w:top w:w="0" w:type="dxa"/>
              <w:left w:w="0" w:type="dxa"/>
              <w:bottom w:w="0" w:type="dxa"/>
              <w:right w:w="0" w:type="dxa"/>
            </w:tcMar>
            <w:vAlign w:val="center"/>
          </w:tcPr>
          <w:p w14:paraId="4A329650">
            <w:pPr>
              <w:jc w:val="center"/>
              <w:rPr>
                <w:rFonts w:eastAsia="Arial"/>
                <w:color w:val="auto"/>
                <w:sz w:val="20"/>
              </w:rPr>
            </w:pPr>
            <w:r>
              <w:rPr>
                <w:rFonts w:eastAsia="Arial"/>
                <w:color w:val="auto"/>
                <w:sz w:val="20"/>
              </w:rPr>
              <w:t>-174.9</w:t>
            </w:r>
          </w:p>
        </w:tc>
        <w:tc>
          <w:tcPr>
            <w:tcW w:w="215" w:type="pct"/>
            <w:shd w:val="clear" w:color="auto" w:fill="auto"/>
            <w:tcMar>
              <w:top w:w="0" w:type="dxa"/>
              <w:left w:w="0" w:type="dxa"/>
              <w:bottom w:w="0" w:type="dxa"/>
              <w:right w:w="0" w:type="dxa"/>
            </w:tcMar>
            <w:vAlign w:val="center"/>
          </w:tcPr>
          <w:p w14:paraId="592F483A">
            <w:pPr>
              <w:jc w:val="center"/>
              <w:rPr>
                <w:rFonts w:eastAsia="Arial"/>
                <w:color w:val="auto"/>
                <w:sz w:val="20"/>
              </w:rPr>
            </w:pPr>
            <w:r>
              <w:rPr>
                <w:rFonts w:eastAsia="Arial"/>
                <w:color w:val="auto"/>
                <w:sz w:val="20"/>
              </w:rPr>
              <w:t>-47.9</w:t>
            </w:r>
          </w:p>
        </w:tc>
        <w:tc>
          <w:tcPr>
            <w:tcW w:w="219" w:type="pct"/>
            <w:shd w:val="clear" w:color="auto" w:fill="auto"/>
            <w:tcMar>
              <w:top w:w="0" w:type="dxa"/>
              <w:left w:w="0" w:type="dxa"/>
              <w:bottom w:w="0" w:type="dxa"/>
              <w:right w:w="0" w:type="dxa"/>
            </w:tcMar>
            <w:vAlign w:val="center"/>
          </w:tcPr>
          <w:p w14:paraId="53C795B4">
            <w:pPr>
              <w:jc w:val="center"/>
              <w:rPr>
                <w:rFonts w:eastAsia="Arial"/>
                <w:color w:val="auto"/>
                <w:sz w:val="20"/>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14C5386A">
            <w:pPr>
              <w:jc w:val="center"/>
              <w:rPr>
                <w:rFonts w:eastAsia="Arial"/>
                <w:color w:val="auto"/>
                <w:sz w:val="20"/>
              </w:rPr>
            </w:pPr>
            <w:r>
              <w:rPr>
                <w:rFonts w:eastAsia="Arial"/>
                <w:color w:val="auto"/>
                <w:sz w:val="20"/>
              </w:rPr>
              <w:t>17.7</w:t>
            </w:r>
          </w:p>
        </w:tc>
        <w:tc>
          <w:tcPr>
            <w:tcW w:w="178" w:type="pct"/>
            <w:shd w:val="clear" w:color="auto" w:fill="auto"/>
            <w:tcMar>
              <w:top w:w="0" w:type="dxa"/>
              <w:left w:w="0" w:type="dxa"/>
              <w:bottom w:w="0" w:type="dxa"/>
              <w:right w:w="0" w:type="dxa"/>
            </w:tcMar>
            <w:vAlign w:val="center"/>
          </w:tcPr>
          <w:p w14:paraId="210F60A6">
            <w:pPr>
              <w:jc w:val="center"/>
              <w:rPr>
                <w:rFonts w:eastAsia="Arial"/>
                <w:color w:val="auto"/>
                <w:sz w:val="20"/>
              </w:rPr>
            </w:pPr>
            <w:r>
              <w:rPr>
                <w:rFonts w:eastAsia="Arial"/>
                <w:color w:val="auto"/>
                <w:sz w:val="20"/>
              </w:rPr>
              <w:t>9.6</w:t>
            </w:r>
          </w:p>
        </w:tc>
        <w:tc>
          <w:tcPr>
            <w:tcW w:w="180" w:type="pct"/>
            <w:shd w:val="clear" w:color="auto" w:fill="auto"/>
            <w:tcMar>
              <w:top w:w="0" w:type="dxa"/>
              <w:left w:w="0" w:type="dxa"/>
              <w:bottom w:w="0" w:type="dxa"/>
              <w:right w:w="0" w:type="dxa"/>
            </w:tcMar>
            <w:vAlign w:val="center"/>
          </w:tcPr>
          <w:p w14:paraId="16FB38A9">
            <w:pPr>
              <w:jc w:val="center"/>
              <w:rPr>
                <w:rFonts w:eastAsia="Arial"/>
                <w:color w:val="auto"/>
                <w:sz w:val="20"/>
              </w:rPr>
            </w:pPr>
            <w:r>
              <w:rPr>
                <w:rFonts w:eastAsia="Arial"/>
                <w:color w:val="auto"/>
                <w:sz w:val="20"/>
              </w:rPr>
              <w:t>25.5</w:t>
            </w:r>
          </w:p>
        </w:tc>
        <w:tc>
          <w:tcPr>
            <w:tcW w:w="191" w:type="pct"/>
            <w:shd w:val="clear" w:color="auto" w:fill="auto"/>
            <w:tcMar>
              <w:top w:w="0" w:type="dxa"/>
              <w:left w:w="0" w:type="dxa"/>
              <w:bottom w:w="0" w:type="dxa"/>
              <w:right w:w="0" w:type="dxa"/>
            </w:tcMar>
            <w:vAlign w:val="center"/>
          </w:tcPr>
          <w:p w14:paraId="0BF76EF6">
            <w:pPr>
              <w:jc w:val="center"/>
              <w:rPr>
                <w:rFonts w:eastAsia="Arial"/>
                <w:color w:val="auto"/>
                <w:sz w:val="20"/>
              </w:rPr>
            </w:pPr>
            <w:r>
              <w:rPr>
                <w:rFonts w:eastAsia="Arial"/>
                <w:color w:val="auto"/>
                <w:sz w:val="20"/>
              </w:rPr>
              <w:t>57.5</w:t>
            </w:r>
          </w:p>
        </w:tc>
        <w:tc>
          <w:tcPr>
            <w:tcW w:w="176" w:type="pct"/>
            <w:shd w:val="clear" w:color="auto" w:fill="auto"/>
            <w:tcMar>
              <w:top w:w="0" w:type="dxa"/>
              <w:left w:w="0" w:type="dxa"/>
              <w:bottom w:w="0" w:type="dxa"/>
              <w:right w:w="0" w:type="dxa"/>
            </w:tcMar>
            <w:vAlign w:val="center"/>
          </w:tcPr>
          <w:p w14:paraId="05FABBBF">
            <w:pPr>
              <w:jc w:val="center"/>
              <w:rPr>
                <w:rFonts w:eastAsia="Arial"/>
                <w:color w:val="auto"/>
                <w:sz w:val="20"/>
              </w:rPr>
            </w:pPr>
            <w:r>
              <w:rPr>
                <w:rFonts w:eastAsia="Arial"/>
                <w:color w:val="auto"/>
                <w:sz w:val="20"/>
              </w:rPr>
              <w:t>75.6</w:t>
            </w:r>
          </w:p>
        </w:tc>
        <w:tc>
          <w:tcPr>
            <w:tcW w:w="176" w:type="pct"/>
            <w:shd w:val="clear" w:color="auto" w:fill="auto"/>
            <w:tcMar>
              <w:top w:w="0" w:type="dxa"/>
              <w:left w:w="0" w:type="dxa"/>
              <w:bottom w:w="0" w:type="dxa"/>
              <w:right w:w="0" w:type="dxa"/>
            </w:tcMar>
            <w:vAlign w:val="center"/>
          </w:tcPr>
          <w:p w14:paraId="006CA3B5">
            <w:pPr>
              <w:jc w:val="center"/>
              <w:rPr>
                <w:rFonts w:eastAsia="Arial"/>
                <w:color w:val="auto"/>
                <w:sz w:val="20"/>
              </w:rPr>
            </w:pPr>
            <w:r>
              <w:rPr>
                <w:rFonts w:eastAsia="Arial"/>
                <w:color w:val="auto"/>
                <w:sz w:val="20"/>
              </w:rPr>
              <w:t>75.6</w:t>
            </w:r>
          </w:p>
        </w:tc>
        <w:tc>
          <w:tcPr>
            <w:tcW w:w="176" w:type="pct"/>
            <w:shd w:val="clear" w:color="auto" w:fill="auto"/>
            <w:tcMar>
              <w:top w:w="0" w:type="dxa"/>
              <w:left w:w="0" w:type="dxa"/>
              <w:bottom w:w="0" w:type="dxa"/>
              <w:right w:w="0" w:type="dxa"/>
            </w:tcMar>
            <w:vAlign w:val="center"/>
          </w:tcPr>
          <w:p w14:paraId="3D45B135">
            <w:pPr>
              <w:jc w:val="center"/>
              <w:rPr>
                <w:rFonts w:eastAsia="Arial"/>
                <w:color w:val="auto"/>
                <w:sz w:val="20"/>
              </w:rPr>
            </w:pPr>
            <w:r>
              <w:rPr>
                <w:rFonts w:eastAsia="Arial"/>
                <w:color w:val="auto"/>
                <w:sz w:val="20"/>
              </w:rPr>
              <w:t>75.6</w:t>
            </w:r>
          </w:p>
        </w:tc>
        <w:tc>
          <w:tcPr>
            <w:tcW w:w="178" w:type="pct"/>
            <w:shd w:val="clear" w:color="auto" w:fill="auto"/>
            <w:tcMar>
              <w:top w:w="0" w:type="dxa"/>
              <w:left w:w="0" w:type="dxa"/>
              <w:bottom w:w="0" w:type="dxa"/>
              <w:right w:w="0" w:type="dxa"/>
            </w:tcMar>
            <w:vAlign w:val="center"/>
          </w:tcPr>
          <w:p w14:paraId="330C0ABB">
            <w:pPr>
              <w:jc w:val="center"/>
              <w:rPr>
                <w:rFonts w:eastAsia="Arial"/>
                <w:color w:val="auto"/>
                <w:sz w:val="20"/>
              </w:rPr>
            </w:pPr>
            <w:r>
              <w:rPr>
                <w:rFonts w:eastAsia="Arial"/>
                <w:color w:val="auto"/>
                <w:sz w:val="20"/>
              </w:rPr>
              <w:t>75.5</w:t>
            </w:r>
          </w:p>
        </w:tc>
        <w:tc>
          <w:tcPr>
            <w:tcW w:w="152" w:type="pct"/>
            <w:shd w:val="clear" w:color="auto" w:fill="auto"/>
            <w:tcMar>
              <w:top w:w="0" w:type="dxa"/>
              <w:left w:w="0" w:type="dxa"/>
              <w:bottom w:w="0" w:type="dxa"/>
              <w:right w:w="0" w:type="dxa"/>
            </w:tcMar>
            <w:vAlign w:val="center"/>
          </w:tcPr>
          <w:p w14:paraId="67C80140">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3940D7A4">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20110DF8">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5192BC4F">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6A3D6205">
            <w:pPr>
              <w:jc w:val="center"/>
              <w:rPr>
                <w:rFonts w:eastAsia="Arial"/>
                <w:color w:val="auto"/>
                <w:sz w:val="20"/>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4CC094EB">
            <w:pPr>
              <w:jc w:val="center"/>
              <w:rPr>
                <w:rFonts w:eastAsia="Arial"/>
                <w:color w:val="auto"/>
                <w:sz w:val="20"/>
              </w:rPr>
            </w:pPr>
            <w:r>
              <w:rPr>
                <w:rFonts w:eastAsia="Arial"/>
                <w:color w:val="auto"/>
                <w:sz w:val="20"/>
              </w:rPr>
              <w:t>34.6</w:t>
            </w:r>
          </w:p>
        </w:tc>
        <w:tc>
          <w:tcPr>
            <w:tcW w:w="181" w:type="pct"/>
            <w:shd w:val="clear" w:color="auto" w:fill="auto"/>
            <w:tcMar>
              <w:top w:w="0" w:type="dxa"/>
              <w:left w:w="0" w:type="dxa"/>
              <w:bottom w:w="0" w:type="dxa"/>
              <w:right w:w="0" w:type="dxa"/>
            </w:tcMar>
            <w:vAlign w:val="center"/>
          </w:tcPr>
          <w:p w14:paraId="6DEA07FA">
            <w:pPr>
              <w:jc w:val="center"/>
              <w:rPr>
                <w:rFonts w:eastAsia="Arial"/>
                <w:color w:val="auto"/>
                <w:sz w:val="20"/>
              </w:rPr>
            </w:pPr>
            <w:r>
              <w:rPr>
                <w:rFonts w:eastAsia="Arial"/>
                <w:color w:val="auto"/>
                <w:sz w:val="20"/>
              </w:rPr>
              <w:t>34.6</w:t>
            </w:r>
          </w:p>
        </w:tc>
        <w:tc>
          <w:tcPr>
            <w:tcW w:w="181" w:type="pct"/>
            <w:shd w:val="clear" w:color="auto" w:fill="auto"/>
            <w:tcMar>
              <w:top w:w="0" w:type="dxa"/>
              <w:left w:w="0" w:type="dxa"/>
              <w:bottom w:w="0" w:type="dxa"/>
              <w:right w:w="0" w:type="dxa"/>
            </w:tcMar>
            <w:vAlign w:val="center"/>
          </w:tcPr>
          <w:p w14:paraId="7AE7DFC3">
            <w:pPr>
              <w:jc w:val="center"/>
              <w:rPr>
                <w:rFonts w:eastAsia="Arial"/>
                <w:color w:val="auto"/>
                <w:sz w:val="20"/>
              </w:rPr>
            </w:pPr>
            <w:r>
              <w:rPr>
                <w:rFonts w:eastAsia="Arial"/>
                <w:color w:val="auto"/>
                <w:sz w:val="20"/>
              </w:rPr>
              <w:t>34.6</w:t>
            </w:r>
          </w:p>
        </w:tc>
        <w:tc>
          <w:tcPr>
            <w:tcW w:w="181" w:type="pct"/>
            <w:shd w:val="clear" w:color="auto" w:fill="auto"/>
            <w:tcMar>
              <w:top w:w="0" w:type="dxa"/>
              <w:left w:w="0" w:type="dxa"/>
              <w:bottom w:w="0" w:type="dxa"/>
              <w:right w:w="0" w:type="dxa"/>
            </w:tcMar>
            <w:vAlign w:val="center"/>
          </w:tcPr>
          <w:p w14:paraId="2C9C3C0E">
            <w:pPr>
              <w:jc w:val="center"/>
              <w:rPr>
                <w:rFonts w:eastAsia="Arial"/>
                <w:color w:val="auto"/>
                <w:sz w:val="20"/>
              </w:rPr>
            </w:pPr>
            <w:r>
              <w:rPr>
                <w:rFonts w:eastAsia="Arial"/>
                <w:color w:val="auto"/>
                <w:sz w:val="20"/>
              </w:rPr>
              <w:t>34.5</w:t>
            </w:r>
          </w:p>
        </w:tc>
        <w:tc>
          <w:tcPr>
            <w:tcW w:w="260" w:type="pct"/>
            <w:shd w:val="clear" w:color="auto" w:fill="auto"/>
            <w:tcMar>
              <w:top w:w="0" w:type="dxa"/>
              <w:left w:w="0" w:type="dxa"/>
              <w:bottom w:w="0" w:type="dxa"/>
              <w:right w:w="0" w:type="dxa"/>
            </w:tcMar>
            <w:vAlign w:val="center"/>
          </w:tcPr>
          <w:p w14:paraId="5E9B69E7">
            <w:pPr>
              <w:jc w:val="center"/>
              <w:rPr>
                <w:rFonts w:eastAsia="Arial"/>
                <w:color w:val="auto"/>
                <w:sz w:val="20"/>
              </w:rPr>
            </w:pPr>
            <w:r>
              <w:rPr>
                <w:rFonts w:eastAsia="Arial"/>
                <w:color w:val="auto"/>
                <w:sz w:val="20"/>
              </w:rPr>
              <w:t>1</w:t>
            </w:r>
          </w:p>
        </w:tc>
      </w:tr>
      <w:tr w14:paraId="6A09CE7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shd w:val="clear" w:color="auto" w:fill="auto"/>
            <w:tcMar>
              <w:top w:w="0" w:type="dxa"/>
              <w:left w:w="0" w:type="dxa"/>
              <w:bottom w:w="0" w:type="dxa"/>
              <w:right w:w="0" w:type="dxa"/>
            </w:tcMar>
            <w:vAlign w:val="center"/>
          </w:tcPr>
          <w:p w14:paraId="5D132BA0">
            <w:pPr>
              <w:jc w:val="center"/>
              <w:rPr>
                <w:rFonts w:hint="eastAsia" w:eastAsia="宋体"/>
                <w:color w:val="auto"/>
                <w:lang w:val="en-US" w:eastAsia="zh-CN"/>
              </w:rPr>
            </w:pPr>
            <w:r>
              <w:rPr>
                <w:rFonts w:hint="eastAsia"/>
                <w:color w:val="auto"/>
                <w:lang w:val="en-US" w:eastAsia="zh-CN"/>
              </w:rPr>
              <w:t>3</w:t>
            </w:r>
          </w:p>
        </w:tc>
        <w:tc>
          <w:tcPr>
            <w:tcW w:w="193" w:type="pct"/>
            <w:shd w:val="clear" w:color="auto" w:fill="auto"/>
            <w:tcMar>
              <w:top w:w="0" w:type="dxa"/>
              <w:left w:w="0" w:type="dxa"/>
              <w:bottom w:w="0" w:type="dxa"/>
              <w:right w:w="0" w:type="dxa"/>
            </w:tcMar>
            <w:vAlign w:val="center"/>
          </w:tcPr>
          <w:p w14:paraId="2610FB62">
            <w:pPr>
              <w:jc w:val="center"/>
              <w:rPr>
                <w:color w:val="auto"/>
              </w:rPr>
            </w:pPr>
            <w:r>
              <w:rPr>
                <w:rFonts w:hint="eastAsia"/>
                <w:color w:val="auto"/>
                <w:sz w:val="20"/>
                <w:lang w:eastAsia="zh-CN"/>
              </w:rPr>
              <w:t>蛋库</w:t>
            </w:r>
            <w:r>
              <w:rPr>
                <w:rFonts w:eastAsia="Arial"/>
                <w:color w:val="auto"/>
                <w:sz w:val="20"/>
              </w:rPr>
              <w:t>-声屏障</w:t>
            </w:r>
          </w:p>
        </w:tc>
        <w:tc>
          <w:tcPr>
            <w:tcW w:w="183" w:type="pct"/>
            <w:shd w:val="clear" w:color="auto" w:fill="auto"/>
            <w:tcMar>
              <w:top w:w="0" w:type="dxa"/>
              <w:left w:w="0" w:type="dxa"/>
              <w:bottom w:w="0" w:type="dxa"/>
              <w:right w:w="0" w:type="dxa"/>
            </w:tcMar>
            <w:vAlign w:val="center"/>
          </w:tcPr>
          <w:p w14:paraId="68057D39">
            <w:pPr>
              <w:jc w:val="center"/>
              <w:rPr>
                <w:color w:val="auto"/>
              </w:rPr>
            </w:pPr>
            <w:r>
              <w:rPr>
                <w:rFonts w:eastAsia="Arial"/>
                <w:color w:val="auto"/>
                <w:sz w:val="20"/>
              </w:rPr>
              <w:t>包装机</w:t>
            </w:r>
          </w:p>
        </w:tc>
        <w:tc>
          <w:tcPr>
            <w:tcW w:w="150" w:type="pct"/>
            <w:shd w:val="clear" w:color="auto" w:fill="auto"/>
            <w:tcMar>
              <w:top w:w="0" w:type="dxa"/>
              <w:left w:w="0" w:type="dxa"/>
              <w:bottom w:w="0" w:type="dxa"/>
              <w:right w:w="0" w:type="dxa"/>
            </w:tcMar>
            <w:vAlign w:val="center"/>
          </w:tcPr>
          <w:p w14:paraId="5E46CD92">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359A8F42">
            <w:pPr>
              <w:jc w:val="center"/>
              <w:rPr>
                <w:color w:val="auto"/>
              </w:rPr>
            </w:pPr>
            <w:r>
              <w:rPr>
                <w:rFonts w:eastAsia="Arial"/>
                <w:color w:val="auto"/>
                <w:sz w:val="20"/>
              </w:rPr>
              <w:t>85</w:t>
            </w:r>
          </w:p>
        </w:tc>
        <w:tc>
          <w:tcPr>
            <w:tcW w:w="193" w:type="pct"/>
            <w:shd w:val="clear" w:color="auto" w:fill="auto"/>
            <w:tcMar>
              <w:top w:w="0" w:type="dxa"/>
              <w:left w:w="0" w:type="dxa"/>
              <w:bottom w:w="0" w:type="dxa"/>
              <w:right w:w="0" w:type="dxa"/>
            </w:tcMar>
            <w:vAlign w:val="center"/>
          </w:tcPr>
          <w:p w14:paraId="6C8F6F38">
            <w:pPr>
              <w:pStyle w:val="25"/>
              <w:ind w:left="0" w:leftChars="0" w:firstLine="0" w:firstLineChars="0"/>
              <w:jc w:val="center"/>
              <w:rPr>
                <w:color w:val="auto"/>
                <w:kern w:val="0"/>
                <w:szCs w:val="21"/>
                <w:shd w:val="clear" w:color="auto" w:fill="FFFFFF"/>
              </w:rPr>
            </w:pPr>
            <w:r>
              <w:rPr>
                <w:color w:val="auto"/>
                <w:szCs w:val="21"/>
                <w:shd w:val="clear" w:color="auto" w:fill="FFFFFF"/>
              </w:rPr>
              <w:t>选低噪声设备，隔声、减震</w:t>
            </w:r>
          </w:p>
        </w:tc>
        <w:tc>
          <w:tcPr>
            <w:tcW w:w="215" w:type="pct"/>
            <w:shd w:val="clear" w:color="auto" w:fill="auto"/>
            <w:tcMar>
              <w:top w:w="0" w:type="dxa"/>
              <w:left w:w="0" w:type="dxa"/>
              <w:bottom w:w="0" w:type="dxa"/>
              <w:right w:w="0" w:type="dxa"/>
            </w:tcMar>
            <w:vAlign w:val="center"/>
          </w:tcPr>
          <w:p w14:paraId="4668B3F5">
            <w:pPr>
              <w:jc w:val="center"/>
              <w:rPr>
                <w:color w:val="auto"/>
              </w:rPr>
            </w:pPr>
            <w:r>
              <w:rPr>
                <w:rFonts w:eastAsia="Arial"/>
                <w:color w:val="auto"/>
                <w:sz w:val="20"/>
              </w:rPr>
              <w:t>-34.9</w:t>
            </w:r>
          </w:p>
        </w:tc>
        <w:tc>
          <w:tcPr>
            <w:tcW w:w="215" w:type="pct"/>
            <w:shd w:val="clear" w:color="auto" w:fill="auto"/>
            <w:tcMar>
              <w:top w:w="0" w:type="dxa"/>
              <w:left w:w="0" w:type="dxa"/>
              <w:bottom w:w="0" w:type="dxa"/>
              <w:right w:w="0" w:type="dxa"/>
            </w:tcMar>
            <w:vAlign w:val="center"/>
          </w:tcPr>
          <w:p w14:paraId="322688FD">
            <w:pPr>
              <w:jc w:val="center"/>
              <w:rPr>
                <w:color w:val="auto"/>
              </w:rPr>
            </w:pPr>
            <w:r>
              <w:rPr>
                <w:rFonts w:eastAsia="Arial"/>
                <w:color w:val="auto"/>
                <w:sz w:val="20"/>
              </w:rPr>
              <w:t>72.6</w:t>
            </w:r>
          </w:p>
        </w:tc>
        <w:tc>
          <w:tcPr>
            <w:tcW w:w="219" w:type="pct"/>
            <w:shd w:val="clear" w:color="auto" w:fill="auto"/>
            <w:tcMar>
              <w:top w:w="0" w:type="dxa"/>
              <w:left w:w="0" w:type="dxa"/>
              <w:bottom w:w="0" w:type="dxa"/>
              <w:right w:w="0" w:type="dxa"/>
            </w:tcMar>
            <w:vAlign w:val="center"/>
          </w:tcPr>
          <w:p w14:paraId="4FF20D30">
            <w:pPr>
              <w:jc w:val="center"/>
              <w:rPr>
                <w:color w:val="auto"/>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551A562C">
            <w:pPr>
              <w:jc w:val="center"/>
              <w:rPr>
                <w:color w:val="auto"/>
              </w:rPr>
            </w:pPr>
            <w:r>
              <w:rPr>
                <w:rFonts w:eastAsia="Arial"/>
                <w:color w:val="auto"/>
                <w:sz w:val="20"/>
              </w:rPr>
              <w:t>50.4</w:t>
            </w:r>
          </w:p>
        </w:tc>
        <w:tc>
          <w:tcPr>
            <w:tcW w:w="178" w:type="pct"/>
            <w:shd w:val="clear" w:color="auto" w:fill="auto"/>
            <w:tcMar>
              <w:top w:w="0" w:type="dxa"/>
              <w:left w:w="0" w:type="dxa"/>
              <w:bottom w:w="0" w:type="dxa"/>
              <w:right w:w="0" w:type="dxa"/>
            </w:tcMar>
            <w:vAlign w:val="center"/>
          </w:tcPr>
          <w:p w14:paraId="7328FF71">
            <w:pPr>
              <w:jc w:val="center"/>
              <w:rPr>
                <w:color w:val="auto"/>
              </w:rPr>
            </w:pPr>
            <w:r>
              <w:rPr>
                <w:rFonts w:eastAsia="Arial"/>
                <w:color w:val="auto"/>
                <w:sz w:val="20"/>
              </w:rPr>
              <w:t>18.4</w:t>
            </w:r>
          </w:p>
        </w:tc>
        <w:tc>
          <w:tcPr>
            <w:tcW w:w="180" w:type="pct"/>
            <w:shd w:val="clear" w:color="auto" w:fill="auto"/>
            <w:tcMar>
              <w:top w:w="0" w:type="dxa"/>
              <w:left w:w="0" w:type="dxa"/>
              <w:bottom w:w="0" w:type="dxa"/>
              <w:right w:w="0" w:type="dxa"/>
            </w:tcMar>
            <w:vAlign w:val="center"/>
          </w:tcPr>
          <w:p w14:paraId="690A9681">
            <w:pPr>
              <w:jc w:val="center"/>
              <w:rPr>
                <w:color w:val="auto"/>
              </w:rPr>
            </w:pPr>
            <w:r>
              <w:rPr>
                <w:rFonts w:eastAsia="Arial"/>
                <w:color w:val="auto"/>
                <w:sz w:val="20"/>
              </w:rPr>
              <w:t>59.6</w:t>
            </w:r>
          </w:p>
        </w:tc>
        <w:tc>
          <w:tcPr>
            <w:tcW w:w="191" w:type="pct"/>
            <w:shd w:val="clear" w:color="auto" w:fill="auto"/>
            <w:tcMar>
              <w:top w:w="0" w:type="dxa"/>
              <w:left w:w="0" w:type="dxa"/>
              <w:bottom w:w="0" w:type="dxa"/>
              <w:right w:w="0" w:type="dxa"/>
            </w:tcMar>
            <w:vAlign w:val="center"/>
          </w:tcPr>
          <w:p w14:paraId="55BFFC58">
            <w:pPr>
              <w:jc w:val="center"/>
              <w:rPr>
                <w:color w:val="auto"/>
              </w:rPr>
            </w:pPr>
            <w:r>
              <w:rPr>
                <w:rFonts w:eastAsia="Arial"/>
                <w:color w:val="auto"/>
                <w:sz w:val="20"/>
              </w:rPr>
              <w:t>10.5</w:t>
            </w:r>
          </w:p>
        </w:tc>
        <w:tc>
          <w:tcPr>
            <w:tcW w:w="176" w:type="pct"/>
            <w:shd w:val="clear" w:color="auto" w:fill="auto"/>
            <w:tcMar>
              <w:top w:w="0" w:type="dxa"/>
              <w:left w:w="0" w:type="dxa"/>
              <w:bottom w:w="0" w:type="dxa"/>
              <w:right w:w="0" w:type="dxa"/>
            </w:tcMar>
            <w:vAlign w:val="center"/>
          </w:tcPr>
          <w:p w14:paraId="39DA3811">
            <w:pPr>
              <w:jc w:val="center"/>
              <w:rPr>
                <w:color w:val="auto"/>
              </w:rPr>
            </w:pPr>
            <w:r>
              <w:rPr>
                <w:rFonts w:eastAsia="Arial"/>
                <w:color w:val="auto"/>
                <w:sz w:val="20"/>
              </w:rPr>
              <w:t>69.5</w:t>
            </w:r>
          </w:p>
        </w:tc>
        <w:tc>
          <w:tcPr>
            <w:tcW w:w="176" w:type="pct"/>
            <w:shd w:val="clear" w:color="auto" w:fill="auto"/>
            <w:tcMar>
              <w:top w:w="0" w:type="dxa"/>
              <w:left w:w="0" w:type="dxa"/>
              <w:bottom w:w="0" w:type="dxa"/>
              <w:right w:w="0" w:type="dxa"/>
            </w:tcMar>
            <w:vAlign w:val="center"/>
          </w:tcPr>
          <w:p w14:paraId="04831309">
            <w:pPr>
              <w:jc w:val="center"/>
              <w:rPr>
                <w:color w:val="auto"/>
              </w:rPr>
            </w:pPr>
            <w:r>
              <w:rPr>
                <w:rFonts w:eastAsia="Arial"/>
                <w:color w:val="auto"/>
                <w:sz w:val="20"/>
              </w:rPr>
              <w:t>69.5</w:t>
            </w:r>
          </w:p>
        </w:tc>
        <w:tc>
          <w:tcPr>
            <w:tcW w:w="176" w:type="pct"/>
            <w:shd w:val="clear" w:color="auto" w:fill="auto"/>
            <w:tcMar>
              <w:top w:w="0" w:type="dxa"/>
              <w:left w:w="0" w:type="dxa"/>
              <w:bottom w:w="0" w:type="dxa"/>
              <w:right w:w="0" w:type="dxa"/>
            </w:tcMar>
            <w:vAlign w:val="center"/>
          </w:tcPr>
          <w:p w14:paraId="4F9F7E50">
            <w:pPr>
              <w:jc w:val="center"/>
              <w:rPr>
                <w:color w:val="auto"/>
              </w:rPr>
            </w:pPr>
            <w:r>
              <w:rPr>
                <w:rFonts w:eastAsia="Arial"/>
                <w:color w:val="auto"/>
                <w:sz w:val="20"/>
              </w:rPr>
              <w:t>69.5</w:t>
            </w:r>
          </w:p>
        </w:tc>
        <w:tc>
          <w:tcPr>
            <w:tcW w:w="178" w:type="pct"/>
            <w:shd w:val="clear" w:color="auto" w:fill="auto"/>
            <w:tcMar>
              <w:top w:w="0" w:type="dxa"/>
              <w:left w:w="0" w:type="dxa"/>
              <w:bottom w:w="0" w:type="dxa"/>
              <w:right w:w="0" w:type="dxa"/>
            </w:tcMar>
            <w:vAlign w:val="center"/>
          </w:tcPr>
          <w:p w14:paraId="3432BE6B">
            <w:pPr>
              <w:jc w:val="center"/>
              <w:rPr>
                <w:color w:val="auto"/>
              </w:rPr>
            </w:pPr>
            <w:r>
              <w:rPr>
                <w:rFonts w:eastAsia="Arial"/>
                <w:color w:val="auto"/>
                <w:sz w:val="20"/>
              </w:rPr>
              <w:t>69.6</w:t>
            </w:r>
          </w:p>
        </w:tc>
        <w:tc>
          <w:tcPr>
            <w:tcW w:w="152" w:type="pct"/>
            <w:shd w:val="clear" w:color="auto" w:fill="auto"/>
            <w:tcMar>
              <w:top w:w="0" w:type="dxa"/>
              <w:left w:w="0" w:type="dxa"/>
              <w:bottom w:w="0" w:type="dxa"/>
              <w:right w:w="0" w:type="dxa"/>
            </w:tcMar>
            <w:vAlign w:val="center"/>
          </w:tcPr>
          <w:p w14:paraId="3D7A7603">
            <w:pPr>
              <w:jc w:val="center"/>
              <w:rPr>
                <w:color w:val="auto"/>
              </w:rPr>
            </w:pPr>
            <w:r>
              <w:rPr>
                <w:color w:val="auto"/>
                <w:sz w:val="20"/>
              </w:rPr>
              <w:t>昼</w:t>
            </w:r>
          </w:p>
        </w:tc>
        <w:tc>
          <w:tcPr>
            <w:tcW w:w="170" w:type="pct"/>
            <w:shd w:val="clear" w:color="auto" w:fill="auto"/>
            <w:tcMar>
              <w:top w:w="0" w:type="dxa"/>
              <w:left w:w="0" w:type="dxa"/>
              <w:bottom w:w="0" w:type="dxa"/>
              <w:right w:w="0" w:type="dxa"/>
            </w:tcMar>
            <w:vAlign w:val="center"/>
          </w:tcPr>
          <w:p w14:paraId="6EE4723D">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3C6C5774">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67E7AEEF">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1369E934">
            <w:pPr>
              <w:jc w:val="center"/>
              <w:rPr>
                <w:color w:val="auto"/>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4F079857">
            <w:pPr>
              <w:jc w:val="center"/>
              <w:rPr>
                <w:color w:val="auto"/>
              </w:rPr>
            </w:pPr>
            <w:r>
              <w:rPr>
                <w:rFonts w:eastAsia="Arial"/>
                <w:color w:val="auto"/>
                <w:sz w:val="20"/>
              </w:rPr>
              <w:t>28.5</w:t>
            </w:r>
          </w:p>
        </w:tc>
        <w:tc>
          <w:tcPr>
            <w:tcW w:w="181" w:type="pct"/>
            <w:shd w:val="clear" w:color="auto" w:fill="auto"/>
            <w:tcMar>
              <w:top w:w="0" w:type="dxa"/>
              <w:left w:w="0" w:type="dxa"/>
              <w:bottom w:w="0" w:type="dxa"/>
              <w:right w:w="0" w:type="dxa"/>
            </w:tcMar>
            <w:vAlign w:val="center"/>
          </w:tcPr>
          <w:p w14:paraId="6319FF1D">
            <w:pPr>
              <w:jc w:val="center"/>
              <w:rPr>
                <w:color w:val="auto"/>
              </w:rPr>
            </w:pPr>
            <w:r>
              <w:rPr>
                <w:rFonts w:eastAsia="Arial"/>
                <w:color w:val="auto"/>
                <w:sz w:val="20"/>
              </w:rPr>
              <w:t>28.5</w:t>
            </w:r>
          </w:p>
        </w:tc>
        <w:tc>
          <w:tcPr>
            <w:tcW w:w="181" w:type="pct"/>
            <w:shd w:val="clear" w:color="auto" w:fill="auto"/>
            <w:tcMar>
              <w:top w:w="0" w:type="dxa"/>
              <w:left w:w="0" w:type="dxa"/>
              <w:bottom w:w="0" w:type="dxa"/>
              <w:right w:w="0" w:type="dxa"/>
            </w:tcMar>
            <w:vAlign w:val="center"/>
          </w:tcPr>
          <w:p w14:paraId="45545A2C">
            <w:pPr>
              <w:jc w:val="center"/>
              <w:rPr>
                <w:color w:val="auto"/>
              </w:rPr>
            </w:pPr>
            <w:r>
              <w:rPr>
                <w:rFonts w:eastAsia="Arial"/>
                <w:color w:val="auto"/>
                <w:sz w:val="20"/>
              </w:rPr>
              <w:t>28.5</w:t>
            </w:r>
          </w:p>
        </w:tc>
        <w:tc>
          <w:tcPr>
            <w:tcW w:w="181" w:type="pct"/>
            <w:shd w:val="clear" w:color="auto" w:fill="auto"/>
            <w:tcMar>
              <w:top w:w="0" w:type="dxa"/>
              <w:left w:w="0" w:type="dxa"/>
              <w:bottom w:w="0" w:type="dxa"/>
              <w:right w:w="0" w:type="dxa"/>
            </w:tcMar>
            <w:vAlign w:val="center"/>
          </w:tcPr>
          <w:p w14:paraId="52622C68">
            <w:pPr>
              <w:jc w:val="center"/>
              <w:rPr>
                <w:color w:val="auto"/>
              </w:rPr>
            </w:pPr>
            <w:r>
              <w:rPr>
                <w:rFonts w:eastAsia="Arial"/>
                <w:color w:val="auto"/>
                <w:sz w:val="20"/>
              </w:rPr>
              <w:t>28.6</w:t>
            </w:r>
          </w:p>
        </w:tc>
        <w:tc>
          <w:tcPr>
            <w:tcW w:w="260" w:type="pct"/>
            <w:shd w:val="clear" w:color="auto" w:fill="auto"/>
            <w:tcMar>
              <w:top w:w="0" w:type="dxa"/>
              <w:left w:w="0" w:type="dxa"/>
              <w:bottom w:w="0" w:type="dxa"/>
              <w:right w:w="0" w:type="dxa"/>
            </w:tcMar>
            <w:vAlign w:val="center"/>
          </w:tcPr>
          <w:p w14:paraId="42F36F9A">
            <w:pPr>
              <w:jc w:val="center"/>
              <w:rPr>
                <w:color w:val="auto"/>
              </w:rPr>
            </w:pPr>
            <w:r>
              <w:rPr>
                <w:rFonts w:eastAsia="Arial"/>
                <w:color w:val="auto"/>
                <w:sz w:val="20"/>
              </w:rPr>
              <w:t>1</w:t>
            </w:r>
          </w:p>
        </w:tc>
      </w:tr>
      <w:bookmarkEnd w:id="191"/>
    </w:tbl>
    <w:p w14:paraId="7EA84D7A">
      <w:pPr>
        <w:pStyle w:val="276"/>
        <w:ind w:left="0" w:firstLine="482"/>
        <w:rPr>
          <w:b/>
          <w:color w:val="auto"/>
        </w:rPr>
        <w:sectPr>
          <w:pgSz w:w="23811" w:h="16838"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1ABB35CF">
      <w:pPr>
        <w:pStyle w:val="276"/>
        <w:ind w:left="0" w:leftChars="0" w:firstLine="0" w:firstLineChars="0"/>
        <w:rPr>
          <w:b/>
          <w:color w:val="auto"/>
        </w:rPr>
      </w:pPr>
      <w:r>
        <w:rPr>
          <w:b/>
          <w:color w:val="auto"/>
        </w:rPr>
        <w:t>3.</w:t>
      </w:r>
      <w:r>
        <w:rPr>
          <w:rFonts w:hint="eastAsia"/>
          <w:b/>
          <w:color w:val="auto"/>
        </w:rPr>
        <w:t>4</w:t>
      </w:r>
      <w:r>
        <w:rPr>
          <w:b/>
          <w:color w:val="auto"/>
        </w:rPr>
        <w:t>.2.4固体废物污染源分析</w:t>
      </w:r>
      <w:bookmarkEnd w:id="192"/>
      <w:bookmarkEnd w:id="193"/>
    </w:p>
    <w:p w14:paraId="4463C8A8">
      <w:pPr>
        <w:spacing w:line="360" w:lineRule="auto"/>
        <w:ind w:firstLine="480" w:firstLineChars="200"/>
        <w:rPr>
          <w:color w:val="auto"/>
          <w:sz w:val="24"/>
        </w:rPr>
      </w:pPr>
      <w:bookmarkStart w:id="195" w:name="OLE_LINK8"/>
      <w:bookmarkStart w:id="196" w:name="OLE_LINK7"/>
      <w:r>
        <w:rPr>
          <w:color w:val="auto"/>
          <w:sz w:val="24"/>
        </w:rPr>
        <w:t>（1）鸡粪</w:t>
      </w:r>
      <w:r>
        <w:rPr>
          <w:rFonts w:hint="eastAsia"/>
          <w:color w:val="auto"/>
          <w:sz w:val="24"/>
        </w:rPr>
        <w:t>（含掉落鸡羽毛）</w:t>
      </w:r>
    </w:p>
    <w:p w14:paraId="7B584291">
      <w:pPr>
        <w:adjustRightInd w:val="0"/>
        <w:snapToGrid w:val="0"/>
        <w:spacing w:line="360" w:lineRule="auto"/>
        <w:ind w:firstLine="480" w:firstLineChars="200"/>
        <w:rPr>
          <w:color w:val="auto"/>
          <w:sz w:val="24"/>
        </w:rPr>
      </w:pPr>
      <w:r>
        <w:rPr>
          <w:color w:val="auto"/>
          <w:sz w:val="24"/>
        </w:rPr>
        <w:t>根据《排污许可证申请与核发技术规范 畜禽养殖行业》“表9 各类畜禽污染物产生量”中蛋鸡的粪便产生量0.13kg/d·只，本项目年存栏蛋鸡100万只，则本项目鸡粪产生量为47450t/a</w:t>
      </w:r>
      <w:r>
        <w:rPr>
          <w:rFonts w:hint="eastAsia"/>
          <w:color w:val="auto"/>
          <w:sz w:val="24"/>
          <w:lang w:eastAsia="zh-CN"/>
        </w:rPr>
        <w:t>，此为湿鸡粪，包含了</w:t>
      </w:r>
      <w:r>
        <w:rPr>
          <w:color w:val="auto"/>
          <w:sz w:val="24"/>
        </w:rPr>
        <w:t>80%</w:t>
      </w:r>
      <w:r>
        <w:rPr>
          <w:rFonts w:hint="eastAsia"/>
          <w:color w:val="auto"/>
          <w:sz w:val="24"/>
          <w:lang w:eastAsia="zh-CN"/>
        </w:rPr>
        <w:t>水分</w:t>
      </w:r>
      <w:r>
        <w:rPr>
          <w:color w:val="auto"/>
          <w:sz w:val="24"/>
        </w:rPr>
        <w:t>。</w:t>
      </w:r>
    </w:p>
    <w:p w14:paraId="0CC6D88A">
      <w:pPr>
        <w:spacing w:line="360" w:lineRule="auto"/>
        <w:ind w:firstLine="480" w:firstLineChars="200"/>
        <w:rPr>
          <w:color w:val="auto"/>
          <w:sz w:val="24"/>
        </w:rPr>
      </w:pPr>
      <w:r>
        <w:rPr>
          <w:color w:val="auto"/>
          <w:sz w:val="24"/>
        </w:rPr>
        <w:t>（2）病死鸡</w:t>
      </w:r>
    </w:p>
    <w:p w14:paraId="44E5054C">
      <w:pPr>
        <w:spacing w:line="360" w:lineRule="auto"/>
        <w:ind w:firstLine="480" w:firstLineChars="200"/>
        <w:rPr>
          <w:color w:val="auto"/>
          <w:sz w:val="24"/>
        </w:rPr>
      </w:pPr>
      <w:r>
        <w:rPr>
          <w:rFonts w:hint="eastAsia"/>
          <w:color w:val="auto"/>
          <w:sz w:val="24"/>
        </w:rPr>
        <w:t>畜禽养殖场通过采取科学化管理与养殖方法，鸡苗的死亡率较低。根据《规模化畜禽养殖场环境影响评价与实例研究》（农业环境科学学报，2007(26）：313-318)文献中，一般情况下规模化养鸡场病死鸡控制在0.1％-0.2％，按最大取值，病死鸡控制在0.2％左右，则年病死鸡为2000只，根据《畜禽养殖业产污系数与排污系数手册》中东北区饲养蛋鸡参考体重为1.5kg只计算，约为3.0t。</w:t>
      </w:r>
    </w:p>
    <w:p w14:paraId="7DBB94D6">
      <w:pPr>
        <w:spacing w:line="360" w:lineRule="auto"/>
        <w:ind w:firstLine="480" w:firstLineChars="200"/>
        <w:rPr>
          <w:color w:val="auto"/>
          <w:sz w:val="24"/>
        </w:rPr>
      </w:pPr>
      <w:r>
        <w:rPr>
          <w:color w:val="auto"/>
          <w:sz w:val="24"/>
        </w:rPr>
        <w:t>（</w:t>
      </w:r>
      <w:r>
        <w:rPr>
          <w:rFonts w:hint="eastAsia"/>
          <w:color w:val="auto"/>
          <w:sz w:val="24"/>
        </w:rPr>
        <w:t>3</w:t>
      </w:r>
      <w:r>
        <w:rPr>
          <w:color w:val="auto"/>
          <w:sz w:val="24"/>
        </w:rPr>
        <w:t>）饲料残渣</w:t>
      </w:r>
    </w:p>
    <w:p w14:paraId="0B0F9F32">
      <w:pPr>
        <w:spacing w:line="360" w:lineRule="auto"/>
        <w:ind w:firstLine="480" w:firstLineChars="200"/>
        <w:rPr>
          <w:color w:val="auto"/>
          <w:sz w:val="24"/>
        </w:rPr>
      </w:pPr>
      <w:r>
        <w:rPr>
          <w:color w:val="auto"/>
          <w:sz w:val="24"/>
        </w:rPr>
        <w:t>根据企业提供，项目在日常饲养蛋鸡时，会产生饲料残渣，产生量约为45t/a。</w:t>
      </w:r>
    </w:p>
    <w:p w14:paraId="0C1C4225">
      <w:pPr>
        <w:spacing w:line="360" w:lineRule="auto"/>
        <w:ind w:firstLine="480" w:firstLineChars="200"/>
        <w:rPr>
          <w:color w:val="auto"/>
          <w:sz w:val="24"/>
        </w:rPr>
      </w:pPr>
      <w:r>
        <w:rPr>
          <w:color w:val="auto"/>
          <w:sz w:val="24"/>
        </w:rPr>
        <w:t>（</w:t>
      </w:r>
      <w:r>
        <w:rPr>
          <w:rFonts w:hint="eastAsia"/>
          <w:color w:val="auto"/>
          <w:sz w:val="24"/>
        </w:rPr>
        <w:t>4</w:t>
      </w:r>
      <w:r>
        <w:rPr>
          <w:color w:val="auto"/>
          <w:sz w:val="24"/>
        </w:rPr>
        <w:t>）医疗废物</w:t>
      </w:r>
    </w:p>
    <w:p w14:paraId="64263AC0">
      <w:pPr>
        <w:tabs>
          <w:tab w:val="left" w:pos="3240"/>
        </w:tabs>
        <w:spacing w:line="360" w:lineRule="auto"/>
        <w:ind w:firstLine="480" w:firstLineChars="200"/>
        <w:rPr>
          <w:color w:val="auto"/>
          <w:sz w:val="24"/>
        </w:rPr>
      </w:pPr>
      <w:r>
        <w:rPr>
          <w:color w:val="auto"/>
          <w:sz w:val="24"/>
        </w:rPr>
        <w:t>本项目医疗废物主要成份为鸡雏防疫过程中会产生的废药瓶、一次性注射器等，根据《国家危险废物名录</w:t>
      </w:r>
      <w:r>
        <w:rPr>
          <w:rFonts w:hint="eastAsia"/>
          <w:color w:val="auto"/>
          <w:sz w:val="24"/>
        </w:rPr>
        <w:t>（2021年版）</w:t>
      </w:r>
      <w:r>
        <w:rPr>
          <w:color w:val="auto"/>
          <w:sz w:val="24"/>
        </w:rPr>
        <w:t xml:space="preserve">》规定，本项目医疗废物属于国家危险废物HW01 医疗废物 </w:t>
      </w:r>
      <w:r>
        <w:rPr>
          <w:rFonts w:hint="eastAsia"/>
          <w:color w:val="auto"/>
          <w:sz w:val="24"/>
        </w:rPr>
        <w:t>841-002-01、841-005-01</w:t>
      </w:r>
      <w:r>
        <w:rPr>
          <w:color w:val="auto"/>
          <w:sz w:val="24"/>
        </w:rPr>
        <w:t>，根据企业提供资料，医疗废物产生量为0.04t/a。</w:t>
      </w:r>
    </w:p>
    <w:p w14:paraId="55A03705">
      <w:pPr>
        <w:spacing w:line="360" w:lineRule="auto"/>
        <w:ind w:firstLine="480" w:firstLineChars="200"/>
        <w:rPr>
          <w:color w:val="auto"/>
          <w:sz w:val="24"/>
        </w:rPr>
      </w:pPr>
      <w:r>
        <w:rPr>
          <w:color w:val="auto"/>
          <w:sz w:val="24"/>
        </w:rPr>
        <w:t>（</w:t>
      </w:r>
      <w:r>
        <w:rPr>
          <w:rFonts w:hint="eastAsia"/>
          <w:color w:val="auto"/>
          <w:sz w:val="24"/>
        </w:rPr>
        <w:t>5</w:t>
      </w:r>
      <w:r>
        <w:rPr>
          <w:color w:val="auto"/>
          <w:sz w:val="24"/>
        </w:rPr>
        <w:t>）废离子交换树脂</w:t>
      </w:r>
    </w:p>
    <w:p w14:paraId="2F3B7B02">
      <w:pPr>
        <w:spacing w:line="360" w:lineRule="auto"/>
        <w:ind w:firstLine="480" w:firstLineChars="200"/>
        <w:rPr>
          <w:color w:val="auto"/>
          <w:sz w:val="24"/>
        </w:rPr>
      </w:pPr>
      <w:r>
        <w:rPr>
          <w:color w:val="auto"/>
          <w:sz w:val="24"/>
        </w:rPr>
        <w:t>锅炉软化水制备设备使用离子交换树脂进行软水制备，离子交换树脂在使用一段时间之后需要进行更换，会产生废离子交换树脂，项目配备的软化水制备设备中树脂含量约为</w:t>
      </w:r>
      <w:r>
        <w:rPr>
          <w:rFonts w:hint="eastAsia"/>
          <w:color w:val="auto"/>
          <w:sz w:val="24"/>
          <w:lang w:val="en-US" w:eastAsia="zh-CN"/>
        </w:rPr>
        <w:t>50</w:t>
      </w:r>
      <w:r>
        <w:rPr>
          <w:color w:val="auto"/>
          <w:sz w:val="24"/>
        </w:rPr>
        <w:t>kg，使用寿命约为5年，因此本项目软化水制备设备废离子交换树脂产生总量为</w:t>
      </w:r>
      <w:r>
        <w:rPr>
          <w:rFonts w:hint="eastAsia"/>
          <w:color w:val="auto"/>
          <w:sz w:val="24"/>
          <w:lang w:val="en-US" w:eastAsia="zh-CN"/>
        </w:rPr>
        <w:t>0.05</w:t>
      </w:r>
      <w:r>
        <w:rPr>
          <w:color w:val="auto"/>
          <w:sz w:val="24"/>
        </w:rPr>
        <w:t>t/5a。</w:t>
      </w:r>
    </w:p>
    <w:p w14:paraId="4B1A3376">
      <w:pPr>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6</w:t>
      </w:r>
      <w:r>
        <w:rPr>
          <w:rFonts w:hint="eastAsia"/>
          <w:color w:val="auto"/>
          <w:sz w:val="24"/>
          <w:lang w:eastAsia="zh-CN"/>
        </w:rPr>
        <w:t>）生物质锅炉灰渣</w:t>
      </w:r>
    </w:p>
    <w:p w14:paraId="1D362211">
      <w:pPr>
        <w:widowControl w:val="0"/>
        <w:spacing w:after="0" w:line="360" w:lineRule="auto"/>
        <w:ind w:left="0" w:leftChars="0" w:firstLine="480" w:firstLineChars="200"/>
        <w:jc w:val="both"/>
        <w:rPr>
          <w:rFonts w:ascii="宋体" w:hAnsi="宋体" w:eastAsia="宋体" w:cs="Times New Roman"/>
          <w:color w:val="auto"/>
          <w:kern w:val="2"/>
          <w:sz w:val="24"/>
          <w:szCs w:val="22"/>
          <w:lang w:val="en-US" w:eastAsia="zh-CN" w:bidi="ar-SA"/>
        </w:rPr>
      </w:pPr>
      <w:r>
        <w:rPr>
          <w:rFonts w:hint="eastAsia" w:ascii="宋体" w:hAnsi="宋体" w:eastAsia="宋体" w:cs="Times New Roman"/>
          <w:color w:val="auto"/>
          <w:kern w:val="2"/>
          <w:sz w:val="24"/>
          <w:szCs w:val="22"/>
          <w:lang w:val="en-US" w:eastAsia="zh-CN" w:bidi="ar-SA"/>
        </w:rPr>
        <w:t>根据《污染源源强核算技术指南锅炉》（</w:t>
      </w:r>
      <w:r>
        <w:rPr>
          <w:rFonts w:ascii="宋体" w:hAnsi="宋体" w:eastAsia="宋体" w:cs="Times New Roman"/>
          <w:color w:val="auto"/>
          <w:kern w:val="2"/>
          <w:sz w:val="24"/>
          <w:szCs w:val="22"/>
          <w:lang w:val="en-US" w:eastAsia="zh-CN" w:bidi="ar-SA"/>
        </w:rPr>
        <w:t>HJ991-2018</w:t>
      </w:r>
      <w:r>
        <w:rPr>
          <w:rFonts w:hint="eastAsia" w:ascii="宋体" w:hAnsi="宋体" w:eastAsia="宋体" w:cs="Times New Roman"/>
          <w:color w:val="auto"/>
          <w:kern w:val="2"/>
          <w:sz w:val="24"/>
          <w:szCs w:val="22"/>
          <w:lang w:val="en-US" w:eastAsia="zh-CN" w:bidi="ar-SA"/>
        </w:rPr>
        <w:t>）计算锅炉灰渣产生量，计算公式如下：</w:t>
      </w:r>
    </w:p>
    <w:p w14:paraId="1ECF670E">
      <w:pPr>
        <w:widowControl w:val="0"/>
        <w:spacing w:after="0" w:line="360" w:lineRule="auto"/>
        <w:ind w:left="0" w:leftChars="0" w:firstLine="480" w:firstLineChars="200"/>
        <w:jc w:val="center"/>
        <w:rPr>
          <w:rFonts w:ascii="宋体" w:hAnsi="宋体" w:eastAsia="宋体" w:cs="Times New Roman"/>
          <w:color w:val="auto"/>
          <w:kern w:val="2"/>
          <w:sz w:val="24"/>
          <w:szCs w:val="22"/>
          <w:lang w:val="en-US" w:eastAsia="zh-CN" w:bidi="ar-SA"/>
        </w:rPr>
      </w:pPr>
      <w:r>
        <w:rPr>
          <w:rFonts w:ascii="宋体" w:hAnsi="宋体" w:eastAsia="宋体" w:cs="Times New Roman"/>
          <w:color w:val="auto"/>
          <w:kern w:val="2"/>
          <w:sz w:val="24"/>
          <w:szCs w:val="22"/>
          <w:lang w:val="en-US" w:eastAsia="zh-CN" w:bidi="ar-SA"/>
        </w:rPr>
        <w:drawing>
          <wp:inline distT="0" distB="0" distL="114300" distR="114300">
            <wp:extent cx="2485390" cy="608965"/>
            <wp:effectExtent l="0" t="0" r="10160" b="635"/>
            <wp:docPr id="4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0"/>
                    <pic:cNvPicPr>
                      <a:picLocks noChangeAspect="1"/>
                    </pic:cNvPicPr>
                  </pic:nvPicPr>
                  <pic:blipFill>
                    <a:blip r:embed="rId31"/>
                    <a:stretch>
                      <a:fillRect/>
                    </a:stretch>
                  </pic:blipFill>
                  <pic:spPr>
                    <a:xfrm>
                      <a:off x="0" y="0"/>
                      <a:ext cx="2485390" cy="608965"/>
                    </a:xfrm>
                    <a:prstGeom prst="rect">
                      <a:avLst/>
                    </a:prstGeom>
                    <a:noFill/>
                    <a:ln>
                      <a:noFill/>
                    </a:ln>
                  </pic:spPr>
                </pic:pic>
              </a:graphicData>
            </a:graphic>
          </wp:inline>
        </w:drawing>
      </w:r>
    </w:p>
    <w:p w14:paraId="568DD53C">
      <w:pPr>
        <w:widowControl w:val="0"/>
        <w:spacing w:after="0" w:line="360" w:lineRule="auto"/>
        <w:ind w:left="0" w:leftChars="0" w:firstLine="480" w:firstLineChars="200"/>
        <w:jc w:val="both"/>
        <w:rPr>
          <w:rFonts w:ascii="宋体" w:hAnsi="宋体" w:eastAsia="宋体" w:cs="Times New Roman"/>
          <w:color w:val="auto"/>
          <w:kern w:val="2"/>
          <w:sz w:val="24"/>
          <w:szCs w:val="22"/>
          <w:lang w:val="en-US" w:eastAsia="zh-CN" w:bidi="ar-SA"/>
        </w:rPr>
      </w:pPr>
      <w:r>
        <w:rPr>
          <w:rFonts w:hint="eastAsia" w:ascii="宋体" w:hAnsi="宋体" w:eastAsia="宋体" w:cs="Times New Roman"/>
          <w:color w:val="auto"/>
          <w:kern w:val="2"/>
          <w:sz w:val="24"/>
          <w:szCs w:val="22"/>
          <w:lang w:val="en-US" w:eastAsia="zh-CN" w:bidi="ar-SA"/>
        </w:rPr>
        <w:t>式中：</w:t>
      </w:r>
      <w:r>
        <w:rPr>
          <w:rFonts w:ascii="宋体" w:hAnsi="宋体" w:eastAsia="宋体" w:cs="Times New Roman"/>
          <w:color w:val="auto"/>
          <w:kern w:val="2"/>
          <w:sz w:val="24"/>
          <w:szCs w:val="22"/>
          <w:lang w:val="en-US" w:eastAsia="zh-CN" w:bidi="ar-SA"/>
        </w:rPr>
        <w:t>Ehz</w:t>
      </w:r>
      <w:r>
        <w:rPr>
          <w:rFonts w:hint="eastAsia" w:ascii="宋体" w:hAnsi="宋体" w:eastAsia="宋体" w:cs="Times New Roman"/>
          <w:color w:val="auto"/>
          <w:kern w:val="2"/>
          <w:sz w:val="24"/>
          <w:szCs w:val="22"/>
          <w:lang w:val="en-US" w:eastAsia="zh-CN" w:bidi="ar-SA"/>
        </w:rPr>
        <w:t>一</w:t>
      </w:r>
      <w:r>
        <w:rPr>
          <w:rFonts w:ascii="宋体" w:hAnsi="宋体" w:eastAsia="宋体" w:cs="Times New Roman"/>
          <w:color w:val="auto"/>
          <w:kern w:val="2"/>
          <w:sz w:val="24"/>
          <w:szCs w:val="22"/>
          <w:lang w:val="en-US" w:eastAsia="zh-CN" w:bidi="ar-SA"/>
        </w:rPr>
        <w:t>—</w:t>
      </w:r>
      <w:r>
        <w:rPr>
          <w:rFonts w:hint="eastAsia" w:ascii="宋体" w:hAnsi="宋体" w:eastAsia="宋体" w:cs="Times New Roman"/>
          <w:color w:val="auto"/>
          <w:kern w:val="2"/>
          <w:sz w:val="24"/>
          <w:szCs w:val="22"/>
          <w:lang w:val="en-US" w:eastAsia="zh-CN" w:bidi="ar-SA"/>
        </w:rPr>
        <w:t>核算时段内灰渣产生量，</w:t>
      </w:r>
      <w:r>
        <w:rPr>
          <w:rFonts w:ascii="宋体" w:hAnsi="宋体" w:eastAsia="宋体" w:cs="Times New Roman"/>
          <w:color w:val="auto"/>
          <w:kern w:val="2"/>
          <w:sz w:val="24"/>
          <w:szCs w:val="22"/>
          <w:lang w:val="en-US" w:eastAsia="zh-CN" w:bidi="ar-SA"/>
        </w:rPr>
        <w:t>t</w:t>
      </w:r>
      <w:r>
        <w:rPr>
          <w:rFonts w:hint="eastAsia" w:ascii="宋体" w:hAnsi="宋体" w:eastAsia="宋体" w:cs="Times New Roman"/>
          <w:color w:val="auto"/>
          <w:kern w:val="2"/>
          <w:sz w:val="24"/>
          <w:szCs w:val="22"/>
          <w:lang w:val="en-US" w:eastAsia="zh-CN" w:bidi="ar-SA"/>
        </w:rPr>
        <w:t>；</w:t>
      </w:r>
    </w:p>
    <w:p w14:paraId="10808B70">
      <w:pPr>
        <w:widowControl w:val="0"/>
        <w:spacing w:after="0" w:line="360" w:lineRule="auto"/>
        <w:ind w:left="0" w:leftChars="0" w:firstLine="1200" w:firstLineChars="500"/>
        <w:jc w:val="both"/>
        <w:rPr>
          <w:rFonts w:ascii="宋体" w:hAnsi="宋体" w:eastAsia="宋体" w:cs="Times New Roman"/>
          <w:color w:val="auto"/>
          <w:kern w:val="2"/>
          <w:sz w:val="24"/>
          <w:szCs w:val="22"/>
          <w:lang w:val="en-US" w:eastAsia="zh-CN" w:bidi="ar-SA"/>
        </w:rPr>
      </w:pPr>
      <w:r>
        <w:rPr>
          <w:rFonts w:ascii="宋体" w:hAnsi="宋体" w:eastAsia="宋体" w:cs="Times New Roman"/>
          <w:color w:val="auto"/>
          <w:kern w:val="2"/>
          <w:sz w:val="24"/>
          <w:szCs w:val="22"/>
          <w:lang w:val="en-US" w:eastAsia="zh-CN" w:bidi="ar-SA"/>
        </w:rPr>
        <w:t>R——</w:t>
      </w:r>
      <w:r>
        <w:rPr>
          <w:rFonts w:hint="eastAsia" w:ascii="宋体" w:hAnsi="宋体" w:eastAsia="宋体" w:cs="Times New Roman"/>
          <w:color w:val="auto"/>
          <w:kern w:val="2"/>
          <w:sz w:val="24"/>
          <w:szCs w:val="22"/>
          <w:lang w:val="en-US" w:eastAsia="zh-CN" w:bidi="ar-SA"/>
        </w:rPr>
        <w:t>核算时段内锅炉燃料耗量，</w:t>
      </w:r>
      <w:r>
        <w:rPr>
          <w:rFonts w:ascii="宋体" w:hAnsi="宋体" w:eastAsia="宋体" w:cs="Times New Roman"/>
          <w:color w:val="auto"/>
          <w:kern w:val="2"/>
          <w:sz w:val="24"/>
          <w:szCs w:val="22"/>
          <w:lang w:val="en-US" w:eastAsia="zh-CN" w:bidi="ar-SA"/>
        </w:rPr>
        <w:t>t</w:t>
      </w:r>
      <w:r>
        <w:rPr>
          <w:rFonts w:hint="eastAsia" w:ascii="宋体" w:hAnsi="宋体" w:eastAsia="宋体" w:cs="Times New Roman"/>
          <w:color w:val="auto"/>
          <w:kern w:val="2"/>
          <w:sz w:val="24"/>
          <w:szCs w:val="22"/>
          <w:lang w:val="en-US" w:eastAsia="zh-CN" w:bidi="ar-SA"/>
        </w:rPr>
        <w:t>，</w:t>
      </w:r>
      <w:r>
        <w:rPr>
          <w:rFonts w:hint="eastAsia"/>
          <w:bCs/>
          <w:color w:val="auto"/>
          <w:sz w:val="24"/>
        </w:rPr>
        <w:t>本项目燃料消耗量为</w:t>
      </w:r>
      <w:r>
        <w:rPr>
          <w:rFonts w:hint="eastAsia"/>
          <w:color w:val="auto"/>
          <w:sz w:val="24"/>
          <w:highlight w:val="none"/>
          <w:lang w:val="en-US" w:eastAsia="zh-CN" w:bidi="en-US"/>
        </w:rPr>
        <w:t>973.44</w:t>
      </w:r>
      <w:r>
        <w:rPr>
          <w:bCs/>
          <w:color w:val="auto"/>
          <w:sz w:val="24"/>
        </w:rPr>
        <w:t>t/a</w:t>
      </w:r>
      <w:r>
        <w:rPr>
          <w:rFonts w:hint="eastAsia"/>
          <w:bCs/>
          <w:color w:val="auto"/>
          <w:sz w:val="24"/>
        </w:rPr>
        <w:t>；</w:t>
      </w:r>
    </w:p>
    <w:p w14:paraId="6B40F080">
      <w:pPr>
        <w:widowControl w:val="0"/>
        <w:spacing w:after="0" w:line="360" w:lineRule="auto"/>
        <w:ind w:left="0" w:leftChars="0" w:firstLine="1200" w:firstLineChars="500"/>
        <w:jc w:val="both"/>
        <w:rPr>
          <w:rFonts w:ascii="宋体" w:hAnsi="宋体" w:eastAsia="宋体" w:cs="Times New Roman"/>
          <w:color w:val="auto"/>
          <w:kern w:val="2"/>
          <w:sz w:val="24"/>
          <w:szCs w:val="22"/>
          <w:lang w:val="en-US" w:eastAsia="zh-CN" w:bidi="ar-SA"/>
        </w:rPr>
      </w:pPr>
      <w:r>
        <w:rPr>
          <w:rFonts w:ascii="宋体" w:hAnsi="宋体" w:eastAsia="宋体" w:cs="Times New Roman"/>
          <w:color w:val="auto"/>
          <w:kern w:val="2"/>
          <w:sz w:val="24"/>
          <w:szCs w:val="22"/>
          <w:lang w:val="en-US" w:eastAsia="zh-CN" w:bidi="ar-SA"/>
        </w:rPr>
        <w:t>Aar——</w:t>
      </w:r>
      <w:r>
        <w:rPr>
          <w:rFonts w:hint="eastAsia" w:ascii="宋体" w:hAnsi="宋体" w:eastAsia="宋体" w:cs="Times New Roman"/>
          <w:color w:val="auto"/>
          <w:kern w:val="2"/>
          <w:sz w:val="24"/>
          <w:szCs w:val="22"/>
          <w:lang w:val="en-US" w:eastAsia="zh-CN" w:bidi="ar-SA"/>
        </w:rPr>
        <w:t>收到基灰分，</w:t>
      </w:r>
      <w:r>
        <w:rPr>
          <w:rFonts w:ascii="宋体" w:hAnsi="宋体" w:eastAsia="宋体" w:cs="Times New Roman"/>
          <w:color w:val="auto"/>
          <w:kern w:val="2"/>
          <w:sz w:val="24"/>
          <w:szCs w:val="22"/>
          <w:lang w:val="en-US" w:eastAsia="zh-CN" w:bidi="ar-SA"/>
        </w:rPr>
        <w:t>%</w:t>
      </w:r>
      <w:r>
        <w:rPr>
          <w:rFonts w:hint="eastAsia" w:ascii="宋体" w:hAnsi="宋体" w:eastAsia="宋体" w:cs="Times New Roman"/>
          <w:color w:val="auto"/>
          <w:kern w:val="2"/>
          <w:sz w:val="24"/>
          <w:szCs w:val="22"/>
          <w:lang w:val="en-US" w:eastAsia="zh-CN" w:bidi="ar-SA"/>
        </w:rPr>
        <w:t>，</w:t>
      </w:r>
      <w:r>
        <w:rPr>
          <w:rFonts w:hint="eastAsia" w:ascii="宋体" w:hAnsi="宋体" w:cs="Times New Roman"/>
          <w:color w:val="auto"/>
          <w:kern w:val="2"/>
          <w:sz w:val="24"/>
          <w:szCs w:val="22"/>
          <w:lang w:val="en-US" w:eastAsia="zh-CN" w:bidi="ar-SA"/>
        </w:rPr>
        <w:t>根据</w:t>
      </w:r>
      <w:r>
        <w:rPr>
          <w:rFonts w:hint="eastAsia" w:ascii="宋体" w:hAnsi="宋体" w:eastAsia="宋体" w:cs="Times New Roman"/>
          <w:color w:val="auto"/>
          <w:kern w:val="2"/>
          <w:sz w:val="24"/>
          <w:szCs w:val="22"/>
          <w:lang w:val="en-US" w:eastAsia="zh-CN" w:bidi="ar-SA"/>
        </w:rPr>
        <w:t>生物质燃料</w:t>
      </w:r>
      <w:r>
        <w:rPr>
          <w:rFonts w:hint="eastAsia" w:ascii="宋体" w:hAnsi="宋体" w:cs="Times New Roman"/>
          <w:color w:val="auto"/>
          <w:kern w:val="2"/>
          <w:sz w:val="24"/>
          <w:szCs w:val="22"/>
          <w:lang w:val="en-US" w:eastAsia="zh-CN" w:bidi="ar-SA"/>
        </w:rPr>
        <w:t>分析单取5.64</w:t>
      </w:r>
      <w:r>
        <w:rPr>
          <w:rFonts w:hint="eastAsia" w:ascii="宋体" w:hAnsi="宋体" w:eastAsia="宋体" w:cs="Times New Roman"/>
          <w:color w:val="auto"/>
          <w:kern w:val="2"/>
          <w:sz w:val="24"/>
          <w:szCs w:val="22"/>
          <w:lang w:val="en-US" w:eastAsia="zh-CN" w:bidi="ar-SA"/>
        </w:rPr>
        <w:t>；</w:t>
      </w:r>
      <w:r>
        <w:rPr>
          <w:rFonts w:ascii="宋体" w:hAnsi="宋体" w:eastAsia="宋体" w:cs="Times New Roman"/>
          <w:color w:val="auto"/>
          <w:kern w:val="2"/>
          <w:sz w:val="24"/>
          <w:szCs w:val="22"/>
          <w:lang w:val="en-US" w:eastAsia="zh-CN" w:bidi="ar-SA"/>
        </w:rPr>
        <w:t xml:space="preserve"> </w:t>
      </w:r>
    </w:p>
    <w:p w14:paraId="31D0CB95">
      <w:pPr>
        <w:widowControl w:val="0"/>
        <w:spacing w:after="0" w:line="360" w:lineRule="auto"/>
        <w:ind w:left="0" w:leftChars="0" w:firstLine="1200" w:firstLineChars="500"/>
        <w:jc w:val="both"/>
        <w:rPr>
          <w:rFonts w:ascii="宋体" w:hAnsi="宋体" w:eastAsia="宋体" w:cs="Times New Roman"/>
          <w:color w:val="auto"/>
          <w:kern w:val="2"/>
          <w:sz w:val="24"/>
          <w:szCs w:val="22"/>
          <w:lang w:val="en-US" w:eastAsia="zh-CN" w:bidi="ar-SA"/>
        </w:rPr>
      </w:pPr>
      <w:r>
        <w:rPr>
          <w:rFonts w:ascii="宋体" w:hAnsi="宋体" w:eastAsia="宋体" w:cs="Times New Roman"/>
          <w:color w:val="auto"/>
          <w:kern w:val="2"/>
          <w:sz w:val="24"/>
          <w:szCs w:val="22"/>
          <w:lang w:val="en-US" w:eastAsia="zh-CN" w:bidi="ar-SA"/>
        </w:rPr>
        <w:t>q4——</w:t>
      </w:r>
      <w:r>
        <w:rPr>
          <w:rFonts w:hint="eastAsia" w:ascii="宋体" w:hAnsi="宋体" w:eastAsia="宋体" w:cs="Times New Roman"/>
          <w:color w:val="auto"/>
          <w:kern w:val="2"/>
          <w:sz w:val="24"/>
          <w:szCs w:val="22"/>
          <w:lang w:val="en-US" w:eastAsia="zh-CN" w:bidi="ar-SA"/>
        </w:rPr>
        <w:t>锅炉机械不完全燃烧热损失，</w:t>
      </w:r>
      <w:r>
        <w:rPr>
          <w:rFonts w:ascii="宋体" w:hAnsi="宋体" w:eastAsia="宋体" w:cs="Times New Roman"/>
          <w:color w:val="auto"/>
          <w:kern w:val="2"/>
          <w:sz w:val="24"/>
          <w:szCs w:val="22"/>
          <w:lang w:val="en-US" w:eastAsia="zh-CN" w:bidi="ar-SA"/>
        </w:rPr>
        <w:t>%</w:t>
      </w:r>
      <w:r>
        <w:rPr>
          <w:rFonts w:hint="eastAsia" w:ascii="宋体" w:hAnsi="宋体" w:eastAsia="宋体" w:cs="Times New Roman"/>
          <w:color w:val="auto"/>
          <w:kern w:val="2"/>
          <w:sz w:val="24"/>
          <w:szCs w:val="22"/>
          <w:lang w:val="en-US" w:eastAsia="zh-CN" w:bidi="ar-SA"/>
        </w:rPr>
        <w:t>，参考</w:t>
      </w:r>
      <w:r>
        <w:rPr>
          <w:rFonts w:ascii="宋体" w:hAnsi="宋体" w:eastAsia="宋体" w:cs="Times New Roman"/>
          <w:color w:val="auto"/>
          <w:kern w:val="2"/>
          <w:sz w:val="24"/>
          <w:szCs w:val="22"/>
          <w:lang w:val="en-US" w:eastAsia="zh-CN" w:bidi="ar-SA"/>
        </w:rPr>
        <w:t>B.1</w:t>
      </w:r>
      <w:r>
        <w:rPr>
          <w:rFonts w:hint="eastAsia" w:ascii="宋体" w:hAnsi="宋体" w:cs="Times New Roman"/>
          <w:color w:val="auto"/>
          <w:kern w:val="2"/>
          <w:sz w:val="24"/>
          <w:szCs w:val="22"/>
          <w:lang w:val="en-US" w:eastAsia="zh-CN" w:bidi="ar-SA"/>
        </w:rPr>
        <w:t>层燃</w:t>
      </w:r>
      <w:r>
        <w:rPr>
          <w:rFonts w:hint="eastAsia" w:ascii="宋体" w:hAnsi="宋体" w:eastAsia="宋体" w:cs="Times New Roman"/>
          <w:color w:val="auto"/>
          <w:kern w:val="2"/>
          <w:sz w:val="24"/>
          <w:szCs w:val="22"/>
          <w:lang w:val="en-US" w:eastAsia="zh-CN" w:bidi="ar-SA"/>
        </w:rPr>
        <w:t>炉取值为</w:t>
      </w:r>
      <w:r>
        <w:rPr>
          <w:rFonts w:hint="eastAsia" w:ascii="宋体" w:hAnsi="宋体" w:cs="Times New Roman"/>
          <w:color w:val="auto"/>
          <w:kern w:val="2"/>
          <w:sz w:val="24"/>
          <w:szCs w:val="22"/>
          <w:lang w:val="en-US" w:eastAsia="zh-CN" w:bidi="ar-SA"/>
        </w:rPr>
        <w:t>15</w:t>
      </w:r>
      <w:r>
        <w:rPr>
          <w:rFonts w:hint="eastAsia" w:ascii="宋体" w:hAnsi="宋体" w:eastAsia="宋体" w:cs="Times New Roman"/>
          <w:color w:val="auto"/>
          <w:kern w:val="2"/>
          <w:sz w:val="24"/>
          <w:szCs w:val="22"/>
          <w:lang w:val="en-US" w:eastAsia="zh-CN" w:bidi="ar-SA"/>
        </w:rPr>
        <w:t>；</w:t>
      </w:r>
    </w:p>
    <w:p w14:paraId="50DD4656">
      <w:pPr>
        <w:widowControl w:val="0"/>
        <w:spacing w:after="0" w:line="360" w:lineRule="auto"/>
        <w:ind w:left="0" w:leftChars="0" w:firstLine="1200" w:firstLineChars="500"/>
        <w:jc w:val="both"/>
        <w:rPr>
          <w:rFonts w:ascii="宋体" w:hAnsi="宋体" w:eastAsia="宋体" w:cs="Times New Roman"/>
          <w:color w:val="auto"/>
          <w:kern w:val="2"/>
          <w:sz w:val="24"/>
          <w:szCs w:val="22"/>
          <w:lang w:val="en-US" w:eastAsia="zh-CN" w:bidi="ar-SA"/>
        </w:rPr>
      </w:pPr>
      <w:r>
        <w:rPr>
          <w:rFonts w:ascii="宋体" w:hAnsi="宋体" w:eastAsia="宋体" w:cs="Times New Roman"/>
          <w:color w:val="auto"/>
          <w:kern w:val="2"/>
          <w:sz w:val="24"/>
          <w:szCs w:val="22"/>
          <w:lang w:val="en-US" w:eastAsia="zh-CN" w:bidi="ar-SA"/>
        </w:rPr>
        <w:t>Qnet</w:t>
      </w:r>
      <w:r>
        <w:rPr>
          <w:rFonts w:hint="eastAsia" w:ascii="宋体" w:hAnsi="宋体" w:eastAsia="宋体" w:cs="Times New Roman"/>
          <w:color w:val="auto"/>
          <w:kern w:val="2"/>
          <w:sz w:val="24"/>
          <w:szCs w:val="22"/>
          <w:lang w:val="en-US" w:eastAsia="zh-CN" w:bidi="ar-SA"/>
        </w:rPr>
        <w:t>,</w:t>
      </w:r>
      <w:r>
        <w:rPr>
          <w:rFonts w:ascii="宋体" w:hAnsi="宋体" w:eastAsia="宋体" w:cs="Times New Roman"/>
          <w:color w:val="auto"/>
          <w:kern w:val="2"/>
          <w:sz w:val="24"/>
          <w:szCs w:val="22"/>
          <w:lang w:val="en-US" w:eastAsia="zh-CN" w:bidi="ar-SA"/>
        </w:rPr>
        <w:t>ar——</w:t>
      </w:r>
      <w:r>
        <w:rPr>
          <w:rFonts w:hint="eastAsia" w:ascii="宋体" w:hAnsi="宋体" w:eastAsia="宋体" w:cs="Times New Roman"/>
          <w:color w:val="auto"/>
          <w:kern w:val="2"/>
          <w:sz w:val="24"/>
          <w:szCs w:val="22"/>
          <w:lang w:val="en-US" w:eastAsia="zh-CN" w:bidi="ar-SA"/>
        </w:rPr>
        <w:t>收到基低位发热量，</w:t>
      </w:r>
      <w:r>
        <w:rPr>
          <w:rFonts w:ascii="宋体" w:hAnsi="宋体" w:eastAsia="宋体" w:cs="Times New Roman"/>
          <w:color w:val="auto"/>
          <w:kern w:val="2"/>
          <w:sz w:val="24"/>
          <w:szCs w:val="22"/>
          <w:lang w:val="en-US" w:eastAsia="zh-CN" w:bidi="ar-SA"/>
        </w:rPr>
        <w:t>kJ/kg</w:t>
      </w:r>
      <w:r>
        <w:rPr>
          <w:rFonts w:hint="eastAsia" w:ascii="宋体" w:hAnsi="宋体" w:eastAsia="宋体" w:cs="Times New Roman"/>
          <w:color w:val="auto"/>
          <w:kern w:val="2"/>
          <w:sz w:val="24"/>
          <w:szCs w:val="22"/>
          <w:lang w:val="en-US" w:eastAsia="zh-CN" w:bidi="ar-SA"/>
        </w:rPr>
        <w:t>，</w:t>
      </w:r>
      <w:r>
        <w:rPr>
          <w:rFonts w:hint="eastAsia" w:ascii="宋体" w:hAnsi="宋体" w:cs="Times New Roman"/>
          <w:color w:val="auto"/>
          <w:kern w:val="2"/>
          <w:sz w:val="24"/>
          <w:szCs w:val="22"/>
          <w:lang w:val="en-US" w:eastAsia="zh-CN" w:bidi="ar-SA"/>
        </w:rPr>
        <w:t>生物质燃料为</w:t>
      </w:r>
      <w:r>
        <w:rPr>
          <w:rFonts w:hint="eastAsia" w:cs="Times New Roman"/>
          <w:bCs/>
          <w:color w:val="auto"/>
          <w:spacing w:val="0"/>
          <w:w w:val="100"/>
          <w:sz w:val="24"/>
          <w:szCs w:val="22"/>
          <w:lang w:val="en-US" w:eastAsia="zh-CN" w:bidi="zh-CN"/>
        </w:rPr>
        <w:t>16.51MJ/kg；</w:t>
      </w:r>
    </w:p>
    <w:p w14:paraId="167D8D46">
      <w:pPr>
        <w:widowControl w:val="0"/>
        <w:spacing w:after="0" w:line="360" w:lineRule="auto"/>
        <w:ind w:left="0" w:leftChars="0" w:firstLine="480" w:firstLineChars="200"/>
        <w:jc w:val="both"/>
        <w:rPr>
          <w:rFonts w:ascii="宋体" w:hAnsi="宋体" w:eastAsia="宋体" w:cs="Times New Roman"/>
          <w:color w:val="auto"/>
          <w:kern w:val="2"/>
          <w:sz w:val="24"/>
          <w:szCs w:val="22"/>
          <w:lang w:val="en-US" w:eastAsia="zh-CN" w:bidi="ar-SA"/>
        </w:rPr>
      </w:pPr>
      <w:r>
        <w:rPr>
          <w:rFonts w:hint="eastAsia" w:ascii="宋体" w:hAnsi="宋体" w:eastAsia="宋体" w:cs="Times New Roman"/>
          <w:color w:val="auto"/>
          <w:kern w:val="2"/>
          <w:sz w:val="24"/>
          <w:szCs w:val="22"/>
          <w:lang w:val="en-US" w:eastAsia="zh-CN" w:bidi="ar-SA"/>
        </w:rPr>
        <w:t>经计算：</w:t>
      </w:r>
      <w:r>
        <w:rPr>
          <w:rFonts w:ascii="宋体" w:hAnsi="宋体" w:eastAsia="宋体" w:cs="Times New Roman"/>
          <w:color w:val="auto"/>
          <w:kern w:val="2"/>
          <w:sz w:val="24"/>
          <w:szCs w:val="22"/>
          <w:lang w:val="en-US" w:eastAsia="zh-CN" w:bidi="ar-SA"/>
        </w:rPr>
        <w:t>Ehz=</w:t>
      </w:r>
      <w:r>
        <w:rPr>
          <w:rFonts w:hint="eastAsia"/>
          <w:color w:val="auto"/>
          <w:sz w:val="24"/>
          <w:highlight w:val="none"/>
          <w:lang w:val="en-US" w:eastAsia="zh-CN" w:bidi="en-US"/>
        </w:rPr>
        <w:t>973.44</w:t>
      </w:r>
      <w:r>
        <w:rPr>
          <w:rFonts w:hint="default" w:ascii="Arial" w:hAnsi="Arial" w:cs="Arial"/>
          <w:color w:val="auto"/>
          <w:kern w:val="2"/>
          <w:sz w:val="24"/>
          <w:szCs w:val="22"/>
          <w:lang w:val="en-US" w:eastAsia="zh-CN" w:bidi="ar-SA"/>
        </w:rPr>
        <w:t>×</w:t>
      </w:r>
      <w:r>
        <w:rPr>
          <w:rFonts w:hint="eastAsia" w:ascii="宋体" w:hAnsi="宋体" w:cs="宋体"/>
          <w:color w:val="auto"/>
          <w:kern w:val="2"/>
          <w:sz w:val="24"/>
          <w:szCs w:val="22"/>
          <w:lang w:val="en-US" w:eastAsia="zh-CN" w:bidi="ar-SA"/>
        </w:rPr>
        <w:t>（5.64%+15</w:t>
      </w:r>
      <w:r>
        <w:rPr>
          <w:rFonts w:hint="eastAsia" w:ascii="宋体" w:hAnsi="宋体" w:eastAsia="宋体" w:cs="宋体"/>
          <w:color w:val="auto"/>
          <w:kern w:val="2"/>
          <w:sz w:val="24"/>
          <w:szCs w:val="22"/>
          <w:lang w:val="en-US" w:eastAsia="zh-CN" w:bidi="ar-SA"/>
        </w:rPr>
        <w:t>×16510/3387000）</w:t>
      </w:r>
      <w:r>
        <w:rPr>
          <w:rFonts w:ascii="宋体" w:hAnsi="宋体" w:eastAsia="宋体" w:cs="Times New Roman"/>
          <w:color w:val="auto"/>
          <w:kern w:val="2"/>
          <w:sz w:val="24"/>
          <w:szCs w:val="22"/>
          <w:lang w:val="en-US" w:eastAsia="zh-CN" w:bidi="ar-SA"/>
        </w:rPr>
        <w:t>=</w:t>
      </w:r>
      <w:r>
        <w:rPr>
          <w:rFonts w:hint="eastAsia" w:ascii="宋体" w:hAnsi="宋体" w:cs="Times New Roman"/>
          <w:color w:val="auto"/>
          <w:kern w:val="2"/>
          <w:sz w:val="24"/>
          <w:szCs w:val="22"/>
          <w:lang w:val="en-US" w:eastAsia="zh-CN" w:bidi="ar-SA"/>
        </w:rPr>
        <w:t>126</w:t>
      </w:r>
      <w:r>
        <w:rPr>
          <w:rFonts w:ascii="宋体" w:hAnsi="宋体" w:eastAsia="宋体" w:cs="Times New Roman"/>
          <w:color w:val="auto"/>
          <w:kern w:val="2"/>
          <w:sz w:val="24"/>
          <w:szCs w:val="22"/>
          <w:lang w:val="en-US" w:eastAsia="zh-CN" w:bidi="ar-SA"/>
        </w:rPr>
        <w:t>t/a</w:t>
      </w:r>
      <w:r>
        <w:rPr>
          <w:rFonts w:hint="eastAsia" w:ascii="宋体" w:hAnsi="宋体" w:eastAsia="宋体" w:cs="Times New Roman"/>
          <w:color w:val="auto"/>
          <w:kern w:val="2"/>
          <w:sz w:val="24"/>
          <w:szCs w:val="22"/>
          <w:lang w:val="en-US" w:eastAsia="zh-CN" w:bidi="ar-SA"/>
        </w:rPr>
        <w:t>；</w:t>
      </w:r>
    </w:p>
    <w:p w14:paraId="50F7BE78">
      <w:pPr>
        <w:widowControl w:val="0"/>
        <w:spacing w:after="0" w:line="360" w:lineRule="auto"/>
        <w:ind w:left="0" w:leftChars="0" w:firstLine="480" w:firstLineChars="200"/>
        <w:jc w:val="both"/>
        <w:rPr>
          <w:rFonts w:ascii="宋体" w:hAnsi="宋体" w:eastAsia="宋体" w:cs="Times New Roman"/>
          <w:color w:val="auto"/>
          <w:kern w:val="2"/>
          <w:sz w:val="24"/>
          <w:szCs w:val="22"/>
          <w:lang w:val="en-US" w:eastAsia="zh-CN" w:bidi="ar-SA"/>
        </w:rPr>
      </w:pPr>
      <w:r>
        <w:rPr>
          <w:rFonts w:hint="eastAsia" w:ascii="宋体" w:hAnsi="宋体" w:eastAsia="宋体" w:cs="Times New Roman"/>
          <w:color w:val="auto"/>
          <w:kern w:val="2"/>
          <w:sz w:val="24"/>
          <w:szCs w:val="22"/>
          <w:lang w:val="en-US" w:eastAsia="zh-CN" w:bidi="ar-SA"/>
        </w:rPr>
        <w:t>本项目灰渣产生量为</w:t>
      </w:r>
      <w:r>
        <w:rPr>
          <w:rFonts w:hint="eastAsia" w:ascii="宋体" w:hAnsi="宋体" w:cs="Times New Roman"/>
          <w:color w:val="auto"/>
          <w:kern w:val="2"/>
          <w:sz w:val="24"/>
          <w:szCs w:val="22"/>
          <w:lang w:val="en-US" w:eastAsia="zh-CN" w:bidi="ar-SA"/>
        </w:rPr>
        <w:t>126</w:t>
      </w:r>
      <w:r>
        <w:rPr>
          <w:rFonts w:ascii="宋体" w:hAnsi="宋体" w:eastAsia="宋体" w:cs="Times New Roman"/>
          <w:color w:val="auto"/>
          <w:kern w:val="2"/>
          <w:sz w:val="24"/>
          <w:szCs w:val="22"/>
          <w:lang w:val="en-US" w:eastAsia="zh-CN" w:bidi="ar-SA"/>
        </w:rPr>
        <w:t>t/a</w:t>
      </w:r>
      <w:r>
        <w:rPr>
          <w:rFonts w:hint="eastAsia" w:ascii="宋体" w:hAnsi="宋体" w:eastAsia="宋体" w:cs="Times New Roman"/>
          <w:color w:val="auto"/>
          <w:kern w:val="2"/>
          <w:sz w:val="24"/>
          <w:szCs w:val="22"/>
          <w:lang w:val="en-US" w:eastAsia="zh-CN" w:bidi="ar-SA"/>
        </w:rPr>
        <w:t>，</w:t>
      </w:r>
      <w:r>
        <w:rPr>
          <w:rFonts w:hint="eastAsia" w:ascii="宋体" w:hAnsi="宋体" w:cs="Times New Roman"/>
          <w:color w:val="auto"/>
          <w:kern w:val="2"/>
          <w:sz w:val="24"/>
          <w:szCs w:val="22"/>
          <w:lang w:val="en-US" w:eastAsia="zh-CN" w:bidi="ar-SA"/>
        </w:rPr>
        <w:t>除渣时经喷洒水调湿后，装袋密封，渣库内暂存</w:t>
      </w:r>
      <w:r>
        <w:rPr>
          <w:rFonts w:hint="eastAsia" w:ascii="宋体" w:hAnsi="宋体" w:eastAsia="宋体" w:cs="Times New Roman"/>
          <w:color w:val="auto"/>
          <w:kern w:val="2"/>
          <w:sz w:val="24"/>
          <w:szCs w:val="22"/>
          <w:lang w:val="en-US" w:eastAsia="zh-CN" w:bidi="ar-SA"/>
        </w:rPr>
        <w:t>，</w:t>
      </w:r>
      <w:r>
        <w:rPr>
          <w:rFonts w:hint="eastAsia"/>
          <w:color w:val="auto"/>
          <w:sz w:val="24"/>
          <w:lang w:eastAsia="zh-CN"/>
        </w:rPr>
        <w:t>作为有机肥原料</w:t>
      </w:r>
      <w:r>
        <w:rPr>
          <w:color w:val="auto"/>
          <w:sz w:val="24"/>
        </w:rPr>
        <w:t>外</w:t>
      </w:r>
      <w:r>
        <w:rPr>
          <w:rFonts w:hint="eastAsia"/>
          <w:color w:val="auto"/>
          <w:sz w:val="24"/>
        </w:rPr>
        <w:t>售</w:t>
      </w:r>
      <w:r>
        <w:rPr>
          <w:rFonts w:hint="eastAsia"/>
          <w:color w:val="auto"/>
          <w:sz w:val="24"/>
          <w:lang w:eastAsia="zh-CN"/>
        </w:rPr>
        <w:t>至辰泰（辽宁）生物科技有限公司做有机肥。</w:t>
      </w:r>
    </w:p>
    <w:p w14:paraId="3748A5FA">
      <w:pPr>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7</w:t>
      </w:r>
      <w:r>
        <w:rPr>
          <w:rFonts w:hint="eastAsia"/>
          <w:color w:val="auto"/>
          <w:sz w:val="24"/>
          <w:lang w:eastAsia="zh-CN"/>
        </w:rPr>
        <w:t>）除尘灰</w:t>
      </w:r>
    </w:p>
    <w:p w14:paraId="78539357">
      <w:pPr>
        <w:widowControl w:val="0"/>
        <w:spacing w:line="360" w:lineRule="auto"/>
        <w:ind w:firstLine="480" w:firstLineChars="200"/>
        <w:jc w:val="both"/>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本项目设置</w:t>
      </w:r>
      <w:r>
        <w:rPr>
          <w:rFonts w:hint="eastAsia" w:ascii="Times New Roman" w:hAnsi="Times New Roman" w:cs="Times New Roman"/>
          <w:color w:val="auto"/>
          <w:kern w:val="2"/>
          <w:sz w:val="24"/>
          <w:szCs w:val="24"/>
          <w:highlight w:val="none"/>
          <w:lang w:val="en-US" w:eastAsia="zh-CN" w:bidi="ar-SA"/>
        </w:rPr>
        <w:t>生物质锅炉烟气设置</w:t>
      </w:r>
      <w:r>
        <w:rPr>
          <w:rFonts w:hint="eastAsia" w:cs="Times New Roman"/>
          <w:color w:val="auto"/>
          <w:kern w:val="2"/>
          <w:sz w:val="24"/>
          <w:szCs w:val="24"/>
          <w:highlight w:val="none"/>
          <w:lang w:val="en-US" w:eastAsia="zh-CN" w:bidi="ar-SA"/>
        </w:rPr>
        <w:t>旋风除尘器+</w:t>
      </w:r>
      <w:r>
        <w:rPr>
          <w:rFonts w:hint="eastAsia" w:ascii="Times New Roman" w:hAnsi="Times New Roman" w:cs="Times New Roman"/>
          <w:color w:val="auto"/>
          <w:kern w:val="2"/>
          <w:sz w:val="24"/>
          <w:szCs w:val="24"/>
          <w:highlight w:val="none"/>
          <w:lang w:val="en-US" w:eastAsia="zh-CN" w:bidi="ar-SA"/>
        </w:rPr>
        <w:t>布袋除尘进行处理</w:t>
      </w:r>
      <w:r>
        <w:rPr>
          <w:rFonts w:hint="eastAsia" w:ascii="Times New Roman" w:hAnsi="Times New Roman" w:eastAsia="宋体" w:cs="Times New Roman"/>
          <w:color w:val="auto"/>
          <w:kern w:val="2"/>
          <w:sz w:val="24"/>
          <w:szCs w:val="24"/>
          <w:highlight w:val="none"/>
          <w:lang w:val="en-US" w:eastAsia="zh-CN" w:bidi="ar-SA"/>
        </w:rPr>
        <w:t>，颗粒物产生量为</w:t>
      </w:r>
      <w:r>
        <w:rPr>
          <w:rFonts w:hint="eastAsia" w:cs="Times New Roman"/>
          <w:color w:val="auto"/>
          <w:kern w:val="2"/>
          <w:sz w:val="24"/>
          <w:szCs w:val="24"/>
          <w:highlight w:val="none"/>
          <w:lang w:val="en-US" w:eastAsia="zh-CN" w:bidi="ar-SA"/>
        </w:rPr>
        <w:t>0.47</w:t>
      </w:r>
      <w:r>
        <w:rPr>
          <w:rFonts w:ascii="Times New Roman" w:hAnsi="Times New Roman" w:eastAsia="宋体" w:cs="Times New Roman"/>
          <w:color w:val="auto"/>
          <w:kern w:val="2"/>
          <w:sz w:val="24"/>
          <w:szCs w:val="24"/>
          <w:highlight w:val="none"/>
          <w:lang w:val="en-US" w:eastAsia="zh-CN" w:bidi="ar-SA"/>
        </w:rPr>
        <w:t>t/a</w:t>
      </w:r>
      <w:r>
        <w:rPr>
          <w:rFonts w:hint="eastAsia" w:ascii="Times New Roman" w:hAnsi="Times New Roman" w:eastAsia="宋体" w:cs="Times New Roman"/>
          <w:color w:val="auto"/>
          <w:kern w:val="2"/>
          <w:sz w:val="24"/>
          <w:szCs w:val="24"/>
          <w:highlight w:val="none"/>
          <w:lang w:val="en-US" w:eastAsia="zh-CN" w:bidi="ar-SA"/>
        </w:rPr>
        <w:t>，颗粒物排放量为</w:t>
      </w:r>
      <w:r>
        <w:rPr>
          <w:rFonts w:hint="eastAsia" w:cs="Times New Roman"/>
          <w:color w:val="auto"/>
          <w:kern w:val="2"/>
          <w:sz w:val="24"/>
          <w:szCs w:val="24"/>
          <w:highlight w:val="none"/>
          <w:lang w:val="en-US" w:eastAsia="zh-CN" w:bidi="ar-SA"/>
        </w:rPr>
        <w:t>0.005</w:t>
      </w:r>
      <w:r>
        <w:rPr>
          <w:rFonts w:ascii="Times New Roman" w:hAnsi="Times New Roman" w:eastAsia="宋体" w:cs="Times New Roman"/>
          <w:color w:val="auto"/>
          <w:kern w:val="2"/>
          <w:sz w:val="24"/>
          <w:szCs w:val="24"/>
          <w:highlight w:val="none"/>
          <w:lang w:val="en-US" w:eastAsia="zh-CN" w:bidi="ar-SA"/>
        </w:rPr>
        <w:t>t/a</w:t>
      </w:r>
      <w:r>
        <w:rPr>
          <w:rFonts w:hint="eastAsia" w:ascii="Times New Roman" w:hAnsi="Times New Roman" w:eastAsia="宋体" w:cs="Times New Roman"/>
          <w:color w:val="auto"/>
          <w:kern w:val="2"/>
          <w:sz w:val="24"/>
          <w:szCs w:val="24"/>
          <w:highlight w:val="none"/>
          <w:lang w:val="en-US" w:eastAsia="zh-CN" w:bidi="ar-SA"/>
        </w:rPr>
        <w:t>，则除尘灰产生量为</w:t>
      </w:r>
      <w:r>
        <w:rPr>
          <w:rFonts w:hint="eastAsia" w:cs="Times New Roman"/>
          <w:color w:val="auto"/>
          <w:kern w:val="2"/>
          <w:sz w:val="24"/>
          <w:szCs w:val="24"/>
          <w:highlight w:val="none"/>
          <w:lang w:val="en-US" w:eastAsia="zh-CN" w:bidi="ar-SA"/>
        </w:rPr>
        <w:t>0.465</w:t>
      </w:r>
      <w:r>
        <w:rPr>
          <w:rFonts w:ascii="Times New Roman" w:hAnsi="Times New Roman" w:eastAsia="宋体" w:cs="Times New Roman"/>
          <w:color w:val="auto"/>
          <w:kern w:val="2"/>
          <w:sz w:val="24"/>
          <w:szCs w:val="24"/>
          <w:highlight w:val="none"/>
          <w:lang w:val="en-US" w:eastAsia="zh-CN" w:bidi="ar-SA"/>
        </w:rPr>
        <w:t>t/a</w:t>
      </w:r>
      <w:r>
        <w:rPr>
          <w:rFonts w:hint="eastAsia"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由人工卸灰至密封袋内，密封袋</w:t>
      </w:r>
      <w:r>
        <w:rPr>
          <w:rFonts w:hint="eastAsia" w:ascii="Times New Roman" w:hAnsi="Times New Roman" w:eastAsia="宋体" w:cs="Times New Roman"/>
          <w:color w:val="auto"/>
          <w:kern w:val="2"/>
          <w:sz w:val="24"/>
          <w:szCs w:val="24"/>
          <w:highlight w:val="none"/>
          <w:lang w:val="en-US" w:eastAsia="zh-CN" w:bidi="ar-SA"/>
        </w:rPr>
        <w:t>暂存于</w:t>
      </w:r>
      <w:r>
        <w:rPr>
          <w:rFonts w:hint="eastAsia" w:cs="Times New Roman"/>
          <w:color w:val="auto"/>
          <w:kern w:val="2"/>
          <w:sz w:val="24"/>
          <w:szCs w:val="24"/>
          <w:highlight w:val="none"/>
          <w:lang w:val="en-US" w:eastAsia="zh-CN" w:bidi="ar-SA"/>
        </w:rPr>
        <w:t>渣</w:t>
      </w:r>
      <w:r>
        <w:rPr>
          <w:rFonts w:hint="eastAsia" w:ascii="Times New Roman" w:hAnsi="Times New Roman" w:eastAsia="宋体" w:cs="Times New Roman"/>
          <w:color w:val="auto"/>
          <w:kern w:val="2"/>
          <w:sz w:val="24"/>
          <w:szCs w:val="24"/>
          <w:highlight w:val="none"/>
          <w:lang w:val="en-US" w:eastAsia="zh-CN" w:bidi="ar-SA"/>
        </w:rPr>
        <w:t>库，</w:t>
      </w:r>
      <w:r>
        <w:rPr>
          <w:rFonts w:hint="eastAsia"/>
          <w:color w:val="auto"/>
          <w:sz w:val="24"/>
          <w:lang w:eastAsia="zh-CN"/>
        </w:rPr>
        <w:t>作为有机肥原料</w:t>
      </w:r>
      <w:r>
        <w:rPr>
          <w:color w:val="auto"/>
          <w:sz w:val="24"/>
        </w:rPr>
        <w:t>外</w:t>
      </w:r>
      <w:r>
        <w:rPr>
          <w:rFonts w:hint="eastAsia"/>
          <w:color w:val="auto"/>
          <w:sz w:val="24"/>
        </w:rPr>
        <w:t>售</w:t>
      </w:r>
      <w:r>
        <w:rPr>
          <w:rFonts w:hint="eastAsia"/>
          <w:color w:val="auto"/>
          <w:sz w:val="24"/>
          <w:lang w:eastAsia="zh-CN"/>
        </w:rPr>
        <w:t>至辰泰（辽宁）生物科技有限公司做有机肥。</w:t>
      </w:r>
    </w:p>
    <w:p w14:paraId="458FF593">
      <w:pPr>
        <w:spacing w:line="360" w:lineRule="auto"/>
        <w:ind w:firstLine="480" w:firstLineChars="200"/>
        <w:rPr>
          <w:color w:val="auto"/>
          <w:sz w:val="24"/>
        </w:rPr>
      </w:pPr>
      <w:r>
        <w:rPr>
          <w:color w:val="auto"/>
          <w:sz w:val="24"/>
        </w:rPr>
        <w:t>（</w:t>
      </w:r>
      <w:r>
        <w:rPr>
          <w:rFonts w:hint="eastAsia"/>
          <w:color w:val="auto"/>
          <w:sz w:val="24"/>
          <w:lang w:val="en-US" w:eastAsia="zh-CN"/>
        </w:rPr>
        <w:t>8</w:t>
      </w:r>
      <w:r>
        <w:rPr>
          <w:color w:val="auto"/>
          <w:sz w:val="24"/>
        </w:rPr>
        <w:t>）生活垃圾（含餐厨垃圾）</w:t>
      </w:r>
    </w:p>
    <w:p w14:paraId="2EED6D2D">
      <w:pPr>
        <w:spacing w:line="360" w:lineRule="auto"/>
        <w:ind w:firstLine="480" w:firstLineChars="200"/>
        <w:jc w:val="left"/>
        <w:rPr>
          <w:color w:val="auto"/>
          <w:sz w:val="24"/>
        </w:rPr>
      </w:pPr>
      <w:r>
        <w:rPr>
          <w:color w:val="auto"/>
          <w:sz w:val="24"/>
        </w:rPr>
        <w:t>职工生活垃圾量按人均产生量为0.5kg/d·人，</w:t>
      </w:r>
      <w:r>
        <w:rPr>
          <w:rFonts w:hint="eastAsia"/>
          <w:color w:val="auto"/>
          <w:sz w:val="24"/>
        </w:rPr>
        <w:t>本项目职工</w:t>
      </w:r>
      <w:r>
        <w:rPr>
          <w:rFonts w:hint="eastAsia"/>
          <w:color w:val="auto"/>
          <w:sz w:val="24"/>
          <w:lang w:val="en-US" w:eastAsia="zh-CN"/>
        </w:rPr>
        <w:t>60</w:t>
      </w:r>
      <w:r>
        <w:rPr>
          <w:rFonts w:hint="eastAsia"/>
          <w:color w:val="auto"/>
          <w:sz w:val="24"/>
        </w:rPr>
        <w:t>人，则</w:t>
      </w:r>
      <w:r>
        <w:rPr>
          <w:color w:val="auto"/>
          <w:sz w:val="24"/>
        </w:rPr>
        <w:t>生活垃圾的产生量为</w:t>
      </w:r>
      <w:r>
        <w:rPr>
          <w:rFonts w:hint="eastAsia"/>
          <w:color w:val="auto"/>
          <w:sz w:val="24"/>
          <w:lang w:val="en-US" w:eastAsia="zh-CN"/>
        </w:rPr>
        <w:t>10.95</w:t>
      </w:r>
      <w:r>
        <w:rPr>
          <w:color w:val="auto"/>
          <w:sz w:val="24"/>
        </w:rPr>
        <w:t>t/a。</w:t>
      </w:r>
    </w:p>
    <w:bookmarkEnd w:id="195"/>
    <w:bookmarkEnd w:id="196"/>
    <w:p w14:paraId="6ABEDD09">
      <w:pPr>
        <w:spacing w:line="360" w:lineRule="auto"/>
        <w:ind w:firstLine="480" w:firstLineChars="200"/>
        <w:jc w:val="left"/>
        <w:rPr>
          <w:color w:val="auto"/>
          <w:sz w:val="24"/>
        </w:rPr>
      </w:pPr>
      <w:bookmarkStart w:id="197" w:name="_Toc448693352"/>
      <w:bookmarkStart w:id="198" w:name="_Toc24027898"/>
      <w:bookmarkStart w:id="199" w:name="_Toc448693430"/>
      <w:bookmarkStart w:id="200" w:name="_Toc448765660"/>
      <w:bookmarkStart w:id="201" w:name="_Toc446938386"/>
      <w:bookmarkStart w:id="202" w:name="_Toc448771395"/>
      <w:bookmarkStart w:id="203" w:name="_Toc208997228"/>
      <w:r>
        <w:rPr>
          <w:color w:val="auto"/>
          <w:sz w:val="24"/>
        </w:rPr>
        <w:t>本项目一般固体废物应按照国家《一般工业固体废物贮存和填埋污染控制标准》(GB18599-2020)的要求设置贮存场所，严禁乱堆乱放和随便倾倒，一般固废在运输过程中要防止散落地面</w:t>
      </w:r>
      <w:r>
        <w:rPr>
          <w:rFonts w:hint="eastAsia"/>
          <w:color w:val="auto"/>
          <w:sz w:val="24"/>
        </w:rPr>
        <w:t>，一般固废暂存间</w:t>
      </w:r>
      <w:r>
        <w:rPr>
          <w:color w:val="auto"/>
          <w:sz w:val="24"/>
        </w:rPr>
        <w:t>建设要求</w:t>
      </w:r>
      <w:r>
        <w:rPr>
          <w:rFonts w:hint="eastAsia"/>
          <w:color w:val="auto"/>
          <w:sz w:val="24"/>
        </w:rPr>
        <w:t>如下：</w:t>
      </w:r>
    </w:p>
    <w:p w14:paraId="011DB1BF">
      <w:pPr>
        <w:spacing w:line="360" w:lineRule="auto"/>
        <w:ind w:firstLine="480" w:firstLineChars="200"/>
        <w:jc w:val="left"/>
        <w:rPr>
          <w:color w:val="auto"/>
          <w:sz w:val="24"/>
        </w:rPr>
      </w:pPr>
      <w:r>
        <w:rPr>
          <w:color w:val="auto"/>
          <w:sz w:val="24"/>
        </w:rPr>
        <w:t>①</w:t>
      </w:r>
      <w:r>
        <w:rPr>
          <w:rFonts w:hint="eastAsia"/>
          <w:color w:val="auto"/>
          <w:sz w:val="24"/>
        </w:rPr>
        <w:t>不得露天堆放</w:t>
      </w:r>
      <w:r>
        <w:rPr>
          <w:color w:val="auto"/>
          <w:sz w:val="24"/>
        </w:rPr>
        <w:t>。</w:t>
      </w:r>
    </w:p>
    <w:p w14:paraId="63D898DB">
      <w:pPr>
        <w:spacing w:line="360" w:lineRule="auto"/>
        <w:ind w:firstLine="480" w:firstLineChars="200"/>
        <w:jc w:val="left"/>
        <w:rPr>
          <w:color w:val="auto"/>
          <w:sz w:val="24"/>
        </w:rPr>
      </w:pPr>
      <w:r>
        <w:rPr>
          <w:color w:val="auto"/>
          <w:sz w:val="24"/>
        </w:rPr>
        <w:t>②产生工业固体废物的单位终止的，应当在终止前对工业固体废物的贮存、处置的设施、场所采取污染防治措施，并对未处置的工业固体废物作出妥善处置，防止污染环境。</w:t>
      </w:r>
    </w:p>
    <w:p w14:paraId="2EAF9F54">
      <w:pPr>
        <w:spacing w:line="360" w:lineRule="auto"/>
        <w:ind w:firstLine="480" w:firstLineChars="200"/>
        <w:jc w:val="left"/>
        <w:rPr>
          <w:color w:val="auto"/>
          <w:sz w:val="24"/>
        </w:rPr>
      </w:pPr>
      <w:r>
        <w:rPr>
          <w:color w:val="auto"/>
          <w:sz w:val="24"/>
        </w:rPr>
        <w:t>③</w:t>
      </w:r>
      <w:r>
        <w:rPr>
          <w:rFonts w:hint="eastAsia"/>
          <w:color w:val="auto"/>
          <w:sz w:val="24"/>
        </w:rPr>
        <w:t>张贴一般固废贮存场所标牌。</w:t>
      </w:r>
    </w:p>
    <w:p w14:paraId="64A48309">
      <w:pPr>
        <w:spacing w:line="360" w:lineRule="auto"/>
        <w:ind w:firstLine="480" w:firstLineChars="200"/>
        <w:jc w:val="left"/>
        <w:rPr>
          <w:color w:val="auto"/>
          <w:sz w:val="24"/>
        </w:rPr>
      </w:pPr>
      <w:r>
        <w:rPr>
          <w:color w:val="auto"/>
          <w:sz w:val="24"/>
        </w:rPr>
        <w:t>④对暂时不利用或者不能利用的，应当按照国务院生态环境等主管部门的规定建设贮存设施、场所，安全分类存放，或者采取无害化处置措施。贮存工业固体废物应当采取符合国家环境保护标准的防护措施。</w:t>
      </w:r>
    </w:p>
    <w:p w14:paraId="241883DE">
      <w:pPr>
        <w:jc w:val="center"/>
        <w:rPr>
          <w:b/>
          <w:color w:val="auto"/>
          <w:szCs w:val="21"/>
        </w:rPr>
      </w:pPr>
      <w:r>
        <w:rPr>
          <w:b/>
          <w:color w:val="auto"/>
          <w:szCs w:val="21"/>
        </w:rPr>
        <w:t>表</w:t>
      </w:r>
      <w:r>
        <w:rPr>
          <w:rFonts w:hint="eastAsia"/>
          <w:b/>
          <w:color w:val="auto"/>
          <w:szCs w:val="21"/>
          <w:lang w:val="en-US" w:eastAsia="zh-CN"/>
        </w:rPr>
        <w:t>3.4-16</w:t>
      </w:r>
      <w:r>
        <w:rPr>
          <w:rFonts w:hint="eastAsia"/>
          <w:b/>
          <w:color w:val="auto"/>
          <w:szCs w:val="21"/>
        </w:rPr>
        <w:t xml:space="preserve"> </w:t>
      </w:r>
      <w:r>
        <w:rPr>
          <w:b/>
          <w:color w:val="auto"/>
          <w:szCs w:val="21"/>
        </w:rPr>
        <w:t xml:space="preserve">   本项目</w:t>
      </w:r>
      <w:r>
        <w:rPr>
          <w:rFonts w:hint="eastAsia"/>
          <w:b/>
          <w:color w:val="auto"/>
          <w:szCs w:val="21"/>
        </w:rPr>
        <w:t>一般</w:t>
      </w:r>
      <w:r>
        <w:rPr>
          <w:b/>
          <w:color w:val="auto"/>
          <w:szCs w:val="21"/>
        </w:rPr>
        <w:t>固体废物一览表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1"/>
        <w:gridCol w:w="1417"/>
        <w:gridCol w:w="1088"/>
        <w:gridCol w:w="928"/>
        <w:gridCol w:w="1284"/>
        <w:gridCol w:w="2517"/>
      </w:tblGrid>
      <w:tr w14:paraId="5703ED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1" w:type="dxa"/>
            <w:vAlign w:val="center"/>
          </w:tcPr>
          <w:p w14:paraId="7DF81CC5">
            <w:pPr>
              <w:jc w:val="center"/>
              <w:rPr>
                <w:b/>
                <w:color w:val="auto"/>
                <w:szCs w:val="21"/>
              </w:rPr>
            </w:pPr>
            <w:r>
              <w:rPr>
                <w:b/>
                <w:color w:val="auto"/>
                <w:szCs w:val="21"/>
              </w:rPr>
              <w:t>名称</w:t>
            </w:r>
          </w:p>
        </w:tc>
        <w:tc>
          <w:tcPr>
            <w:tcW w:w="1417" w:type="dxa"/>
            <w:vAlign w:val="center"/>
          </w:tcPr>
          <w:p w14:paraId="09724F2D">
            <w:pPr>
              <w:jc w:val="center"/>
              <w:rPr>
                <w:b/>
                <w:color w:val="auto"/>
                <w:szCs w:val="21"/>
              </w:rPr>
            </w:pPr>
            <w:r>
              <w:rPr>
                <w:b/>
                <w:color w:val="auto"/>
                <w:szCs w:val="21"/>
              </w:rPr>
              <w:t>产生环节</w:t>
            </w:r>
          </w:p>
        </w:tc>
        <w:tc>
          <w:tcPr>
            <w:tcW w:w="1088" w:type="dxa"/>
            <w:vAlign w:val="center"/>
          </w:tcPr>
          <w:p w14:paraId="0F4FB985">
            <w:pPr>
              <w:jc w:val="center"/>
              <w:rPr>
                <w:b/>
                <w:color w:val="auto"/>
                <w:szCs w:val="21"/>
              </w:rPr>
            </w:pPr>
            <w:r>
              <w:rPr>
                <w:b/>
                <w:color w:val="auto"/>
                <w:szCs w:val="21"/>
              </w:rPr>
              <w:t>性质</w:t>
            </w:r>
          </w:p>
        </w:tc>
        <w:tc>
          <w:tcPr>
            <w:tcW w:w="928" w:type="dxa"/>
            <w:vAlign w:val="center"/>
          </w:tcPr>
          <w:p w14:paraId="0F919CE4">
            <w:pPr>
              <w:jc w:val="center"/>
              <w:rPr>
                <w:b/>
                <w:color w:val="auto"/>
                <w:szCs w:val="21"/>
              </w:rPr>
            </w:pPr>
            <w:r>
              <w:rPr>
                <w:b/>
                <w:color w:val="auto"/>
                <w:szCs w:val="21"/>
              </w:rPr>
              <w:t>形态</w:t>
            </w:r>
          </w:p>
        </w:tc>
        <w:tc>
          <w:tcPr>
            <w:tcW w:w="1284" w:type="dxa"/>
            <w:vAlign w:val="center"/>
          </w:tcPr>
          <w:p w14:paraId="6B177832">
            <w:pPr>
              <w:jc w:val="center"/>
              <w:rPr>
                <w:b/>
                <w:color w:val="auto"/>
                <w:szCs w:val="21"/>
              </w:rPr>
            </w:pPr>
            <w:r>
              <w:rPr>
                <w:b/>
                <w:color w:val="auto"/>
                <w:szCs w:val="21"/>
              </w:rPr>
              <w:t>产生量（t/a）</w:t>
            </w:r>
          </w:p>
        </w:tc>
        <w:tc>
          <w:tcPr>
            <w:tcW w:w="2517" w:type="dxa"/>
            <w:vAlign w:val="center"/>
          </w:tcPr>
          <w:p w14:paraId="4B95EE47">
            <w:pPr>
              <w:jc w:val="center"/>
              <w:rPr>
                <w:b/>
                <w:color w:val="auto"/>
                <w:szCs w:val="21"/>
              </w:rPr>
            </w:pPr>
            <w:r>
              <w:rPr>
                <w:b/>
                <w:color w:val="auto"/>
                <w:szCs w:val="21"/>
              </w:rPr>
              <w:t>处理处置方法</w:t>
            </w:r>
          </w:p>
        </w:tc>
      </w:tr>
      <w:tr w14:paraId="65F1D58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1" w:type="dxa"/>
            <w:vAlign w:val="center"/>
          </w:tcPr>
          <w:p w14:paraId="1D49470B">
            <w:pPr>
              <w:jc w:val="center"/>
              <w:rPr>
                <w:color w:val="auto"/>
                <w:szCs w:val="21"/>
              </w:rPr>
            </w:pPr>
            <w:r>
              <w:rPr>
                <w:color w:val="auto"/>
                <w:szCs w:val="21"/>
              </w:rPr>
              <w:t>鸡粪</w:t>
            </w:r>
            <w:r>
              <w:rPr>
                <w:rFonts w:hint="eastAsia"/>
                <w:color w:val="auto"/>
                <w:szCs w:val="21"/>
              </w:rPr>
              <w:t>（含掉落鸡羽毛）</w:t>
            </w:r>
          </w:p>
        </w:tc>
        <w:tc>
          <w:tcPr>
            <w:tcW w:w="1417" w:type="dxa"/>
            <w:vAlign w:val="center"/>
          </w:tcPr>
          <w:p w14:paraId="3B0829FB">
            <w:pPr>
              <w:jc w:val="center"/>
              <w:rPr>
                <w:color w:val="auto"/>
                <w:szCs w:val="21"/>
              </w:rPr>
            </w:pPr>
            <w:r>
              <w:rPr>
                <w:rFonts w:hint="eastAsia"/>
                <w:color w:val="auto"/>
                <w:szCs w:val="21"/>
              </w:rPr>
              <w:t>蛋鸡</w:t>
            </w:r>
            <w:r>
              <w:rPr>
                <w:color w:val="auto"/>
                <w:szCs w:val="21"/>
              </w:rPr>
              <w:t>养殖</w:t>
            </w:r>
          </w:p>
        </w:tc>
        <w:tc>
          <w:tcPr>
            <w:tcW w:w="1088" w:type="dxa"/>
            <w:vMerge w:val="restart"/>
            <w:vAlign w:val="center"/>
          </w:tcPr>
          <w:p w14:paraId="087BD68A">
            <w:pPr>
              <w:jc w:val="center"/>
              <w:rPr>
                <w:color w:val="auto"/>
                <w:szCs w:val="21"/>
              </w:rPr>
            </w:pPr>
            <w:r>
              <w:rPr>
                <w:rFonts w:hint="eastAsia"/>
                <w:color w:val="auto"/>
                <w:szCs w:val="21"/>
              </w:rPr>
              <w:t>一般固废</w:t>
            </w:r>
          </w:p>
        </w:tc>
        <w:tc>
          <w:tcPr>
            <w:tcW w:w="928" w:type="dxa"/>
            <w:vAlign w:val="center"/>
          </w:tcPr>
          <w:p w14:paraId="382CED2F">
            <w:pPr>
              <w:jc w:val="center"/>
              <w:rPr>
                <w:color w:val="auto"/>
                <w:szCs w:val="21"/>
              </w:rPr>
            </w:pPr>
            <w:r>
              <w:rPr>
                <w:color w:val="auto"/>
                <w:szCs w:val="21"/>
              </w:rPr>
              <w:t>固态</w:t>
            </w:r>
          </w:p>
        </w:tc>
        <w:tc>
          <w:tcPr>
            <w:tcW w:w="1284" w:type="dxa"/>
            <w:vAlign w:val="center"/>
          </w:tcPr>
          <w:p w14:paraId="40A34FB6">
            <w:pPr>
              <w:jc w:val="center"/>
              <w:rPr>
                <w:color w:val="auto"/>
                <w:szCs w:val="21"/>
              </w:rPr>
            </w:pPr>
            <w:r>
              <w:rPr>
                <w:color w:val="auto"/>
                <w:szCs w:val="21"/>
              </w:rPr>
              <w:t>47450</w:t>
            </w:r>
          </w:p>
        </w:tc>
        <w:tc>
          <w:tcPr>
            <w:tcW w:w="2517" w:type="dxa"/>
            <w:vMerge w:val="restart"/>
            <w:vAlign w:val="center"/>
          </w:tcPr>
          <w:p w14:paraId="22D19723">
            <w:pPr>
              <w:jc w:val="center"/>
              <w:rPr>
                <w:color w:val="auto"/>
                <w:szCs w:val="21"/>
              </w:rPr>
            </w:pPr>
            <w:r>
              <w:rPr>
                <w:color w:val="auto"/>
                <w:szCs w:val="21"/>
              </w:rPr>
              <w:t>除</w:t>
            </w:r>
            <w:r>
              <w:rPr>
                <w:rFonts w:hint="eastAsia"/>
                <w:color w:val="auto"/>
                <w:szCs w:val="21"/>
              </w:rPr>
              <w:t>极端天气</w:t>
            </w:r>
            <w:r>
              <w:rPr>
                <w:color w:val="auto"/>
                <w:szCs w:val="21"/>
              </w:rPr>
              <w:t>（约50天/年）需暂存</w:t>
            </w:r>
            <w:r>
              <w:rPr>
                <w:rFonts w:hint="eastAsia"/>
                <w:color w:val="auto"/>
                <w:szCs w:val="21"/>
                <w:lang w:eastAsia="zh-CN"/>
              </w:rPr>
              <w:t>临时储粪场</w:t>
            </w:r>
            <w:r>
              <w:rPr>
                <w:color w:val="auto"/>
                <w:szCs w:val="21"/>
              </w:rPr>
              <w:t>外，均日产日清由清粪车直接拉走外售</w:t>
            </w:r>
            <w:r>
              <w:rPr>
                <w:rFonts w:hint="eastAsia"/>
                <w:color w:val="auto"/>
                <w:szCs w:val="21"/>
              </w:rPr>
              <w:t>进行有机肥制造</w:t>
            </w:r>
          </w:p>
        </w:tc>
      </w:tr>
      <w:tr w14:paraId="784B44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1" w:type="dxa"/>
            <w:vAlign w:val="center"/>
          </w:tcPr>
          <w:p w14:paraId="3318AB93">
            <w:pPr>
              <w:jc w:val="center"/>
              <w:rPr>
                <w:color w:val="auto"/>
                <w:szCs w:val="21"/>
              </w:rPr>
            </w:pPr>
            <w:r>
              <w:rPr>
                <w:color w:val="auto"/>
                <w:szCs w:val="21"/>
              </w:rPr>
              <w:t>饲料残渣</w:t>
            </w:r>
          </w:p>
        </w:tc>
        <w:tc>
          <w:tcPr>
            <w:tcW w:w="1417" w:type="dxa"/>
            <w:vAlign w:val="center"/>
          </w:tcPr>
          <w:p w14:paraId="4134BD2D">
            <w:pPr>
              <w:jc w:val="center"/>
              <w:rPr>
                <w:color w:val="auto"/>
                <w:szCs w:val="21"/>
              </w:rPr>
            </w:pPr>
            <w:r>
              <w:rPr>
                <w:rFonts w:hint="eastAsia"/>
                <w:color w:val="auto"/>
                <w:szCs w:val="21"/>
              </w:rPr>
              <w:t>蛋鸡</w:t>
            </w:r>
            <w:r>
              <w:rPr>
                <w:color w:val="auto"/>
                <w:szCs w:val="21"/>
              </w:rPr>
              <w:t>饲养</w:t>
            </w:r>
          </w:p>
        </w:tc>
        <w:tc>
          <w:tcPr>
            <w:tcW w:w="1088" w:type="dxa"/>
            <w:vMerge w:val="continue"/>
            <w:vAlign w:val="center"/>
          </w:tcPr>
          <w:p w14:paraId="04429990">
            <w:pPr>
              <w:jc w:val="center"/>
              <w:rPr>
                <w:color w:val="auto"/>
                <w:szCs w:val="21"/>
              </w:rPr>
            </w:pPr>
          </w:p>
        </w:tc>
        <w:tc>
          <w:tcPr>
            <w:tcW w:w="928" w:type="dxa"/>
            <w:vAlign w:val="center"/>
          </w:tcPr>
          <w:p w14:paraId="1D7FBE9F">
            <w:pPr>
              <w:jc w:val="center"/>
              <w:rPr>
                <w:color w:val="auto"/>
                <w:szCs w:val="21"/>
              </w:rPr>
            </w:pPr>
            <w:r>
              <w:rPr>
                <w:color w:val="auto"/>
                <w:szCs w:val="21"/>
              </w:rPr>
              <w:t>固态</w:t>
            </w:r>
          </w:p>
        </w:tc>
        <w:tc>
          <w:tcPr>
            <w:tcW w:w="1284" w:type="dxa"/>
            <w:vAlign w:val="center"/>
          </w:tcPr>
          <w:p w14:paraId="4F871343">
            <w:pPr>
              <w:jc w:val="center"/>
              <w:rPr>
                <w:color w:val="auto"/>
                <w:szCs w:val="21"/>
              </w:rPr>
            </w:pPr>
            <w:r>
              <w:rPr>
                <w:color w:val="auto"/>
                <w:szCs w:val="21"/>
              </w:rPr>
              <w:t>45</w:t>
            </w:r>
          </w:p>
        </w:tc>
        <w:tc>
          <w:tcPr>
            <w:tcW w:w="2517" w:type="dxa"/>
            <w:vMerge w:val="continue"/>
            <w:vAlign w:val="center"/>
          </w:tcPr>
          <w:p w14:paraId="73F8D785">
            <w:pPr>
              <w:jc w:val="center"/>
              <w:rPr>
                <w:color w:val="auto"/>
                <w:szCs w:val="21"/>
              </w:rPr>
            </w:pPr>
          </w:p>
        </w:tc>
      </w:tr>
      <w:tr w14:paraId="2778AEA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1" w:type="dxa"/>
            <w:vAlign w:val="center"/>
          </w:tcPr>
          <w:p w14:paraId="65A59FCD">
            <w:pPr>
              <w:jc w:val="center"/>
              <w:rPr>
                <w:color w:val="auto"/>
                <w:szCs w:val="21"/>
              </w:rPr>
            </w:pPr>
            <w:r>
              <w:rPr>
                <w:color w:val="auto"/>
                <w:szCs w:val="21"/>
              </w:rPr>
              <w:t>生活垃圾（含餐厨垃圾）</w:t>
            </w:r>
          </w:p>
        </w:tc>
        <w:tc>
          <w:tcPr>
            <w:tcW w:w="1417" w:type="dxa"/>
            <w:vAlign w:val="center"/>
          </w:tcPr>
          <w:p w14:paraId="2E9FE7CC">
            <w:pPr>
              <w:jc w:val="center"/>
              <w:rPr>
                <w:color w:val="auto"/>
                <w:szCs w:val="21"/>
              </w:rPr>
            </w:pPr>
            <w:r>
              <w:rPr>
                <w:rFonts w:hint="eastAsia"/>
                <w:color w:val="auto"/>
                <w:szCs w:val="21"/>
              </w:rPr>
              <w:t>职工生活</w:t>
            </w:r>
          </w:p>
        </w:tc>
        <w:tc>
          <w:tcPr>
            <w:tcW w:w="1088" w:type="dxa"/>
            <w:vMerge w:val="continue"/>
            <w:vAlign w:val="center"/>
          </w:tcPr>
          <w:p w14:paraId="4D539530">
            <w:pPr>
              <w:jc w:val="center"/>
              <w:rPr>
                <w:color w:val="auto"/>
                <w:szCs w:val="21"/>
              </w:rPr>
            </w:pPr>
          </w:p>
        </w:tc>
        <w:tc>
          <w:tcPr>
            <w:tcW w:w="928" w:type="dxa"/>
            <w:vAlign w:val="center"/>
          </w:tcPr>
          <w:p w14:paraId="6075F8DE">
            <w:pPr>
              <w:jc w:val="center"/>
              <w:rPr>
                <w:color w:val="auto"/>
                <w:szCs w:val="21"/>
              </w:rPr>
            </w:pPr>
            <w:r>
              <w:rPr>
                <w:color w:val="auto"/>
                <w:szCs w:val="21"/>
              </w:rPr>
              <w:t>固态</w:t>
            </w:r>
          </w:p>
        </w:tc>
        <w:tc>
          <w:tcPr>
            <w:tcW w:w="1284" w:type="dxa"/>
            <w:vAlign w:val="center"/>
          </w:tcPr>
          <w:p w14:paraId="543D1577">
            <w:pPr>
              <w:jc w:val="center"/>
              <w:rPr>
                <w:rFonts w:hint="default" w:eastAsia="宋体"/>
                <w:color w:val="auto"/>
                <w:szCs w:val="21"/>
                <w:lang w:val="en-US" w:eastAsia="zh-CN"/>
              </w:rPr>
            </w:pPr>
            <w:r>
              <w:rPr>
                <w:rFonts w:hint="eastAsia"/>
                <w:color w:val="auto"/>
                <w:szCs w:val="21"/>
                <w:lang w:val="en-US" w:eastAsia="zh-CN"/>
              </w:rPr>
              <w:t>10.95</w:t>
            </w:r>
          </w:p>
        </w:tc>
        <w:tc>
          <w:tcPr>
            <w:tcW w:w="2517" w:type="dxa"/>
            <w:vAlign w:val="center"/>
          </w:tcPr>
          <w:p w14:paraId="6E568C4C">
            <w:pPr>
              <w:adjustRightInd w:val="0"/>
              <w:jc w:val="center"/>
              <w:rPr>
                <w:color w:val="auto"/>
                <w:szCs w:val="21"/>
              </w:rPr>
            </w:pPr>
            <w:r>
              <w:rPr>
                <w:color w:val="auto"/>
                <w:szCs w:val="21"/>
              </w:rPr>
              <w:t>收集到厂内</w:t>
            </w:r>
            <w:r>
              <w:rPr>
                <w:rFonts w:hint="eastAsia"/>
                <w:color w:val="auto"/>
                <w:szCs w:val="21"/>
              </w:rPr>
              <w:t>5</w:t>
            </w:r>
            <w:r>
              <w:rPr>
                <w:color w:val="auto"/>
                <w:szCs w:val="21"/>
              </w:rPr>
              <w:t>个垃圾箱内，定期送至附近垃圾点</w:t>
            </w:r>
          </w:p>
        </w:tc>
      </w:tr>
      <w:tr w14:paraId="319529D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1" w:type="dxa"/>
            <w:vAlign w:val="center"/>
          </w:tcPr>
          <w:p w14:paraId="3A3F0575">
            <w:pPr>
              <w:jc w:val="center"/>
              <w:rPr>
                <w:color w:val="auto"/>
                <w:szCs w:val="21"/>
              </w:rPr>
            </w:pPr>
            <w:r>
              <w:rPr>
                <w:color w:val="auto"/>
                <w:szCs w:val="21"/>
              </w:rPr>
              <w:t>病死鸡</w:t>
            </w:r>
          </w:p>
        </w:tc>
        <w:tc>
          <w:tcPr>
            <w:tcW w:w="1417" w:type="dxa"/>
            <w:vAlign w:val="center"/>
          </w:tcPr>
          <w:p w14:paraId="003A6BDE">
            <w:pPr>
              <w:jc w:val="center"/>
              <w:rPr>
                <w:color w:val="auto"/>
                <w:szCs w:val="21"/>
              </w:rPr>
            </w:pPr>
            <w:r>
              <w:rPr>
                <w:rFonts w:hint="eastAsia"/>
                <w:color w:val="auto"/>
                <w:szCs w:val="21"/>
              </w:rPr>
              <w:t>蛋鸡养殖</w:t>
            </w:r>
          </w:p>
        </w:tc>
        <w:tc>
          <w:tcPr>
            <w:tcW w:w="1088" w:type="dxa"/>
            <w:vMerge w:val="continue"/>
            <w:vAlign w:val="center"/>
          </w:tcPr>
          <w:p w14:paraId="79FAC8D6">
            <w:pPr>
              <w:jc w:val="center"/>
              <w:rPr>
                <w:color w:val="auto"/>
                <w:szCs w:val="21"/>
              </w:rPr>
            </w:pPr>
          </w:p>
        </w:tc>
        <w:tc>
          <w:tcPr>
            <w:tcW w:w="928" w:type="dxa"/>
            <w:vAlign w:val="center"/>
          </w:tcPr>
          <w:p w14:paraId="74C4905F">
            <w:pPr>
              <w:jc w:val="center"/>
              <w:rPr>
                <w:color w:val="auto"/>
                <w:szCs w:val="21"/>
              </w:rPr>
            </w:pPr>
            <w:r>
              <w:rPr>
                <w:color w:val="auto"/>
                <w:szCs w:val="21"/>
              </w:rPr>
              <w:t>固态</w:t>
            </w:r>
          </w:p>
        </w:tc>
        <w:tc>
          <w:tcPr>
            <w:tcW w:w="1284" w:type="dxa"/>
            <w:vAlign w:val="center"/>
          </w:tcPr>
          <w:p w14:paraId="5A10A983">
            <w:pPr>
              <w:jc w:val="center"/>
              <w:rPr>
                <w:color w:val="auto"/>
                <w:szCs w:val="21"/>
              </w:rPr>
            </w:pPr>
            <w:r>
              <w:rPr>
                <w:rFonts w:hint="eastAsia"/>
                <w:color w:val="auto"/>
                <w:szCs w:val="21"/>
              </w:rPr>
              <w:t>3</w:t>
            </w:r>
          </w:p>
        </w:tc>
        <w:tc>
          <w:tcPr>
            <w:tcW w:w="2517" w:type="dxa"/>
            <w:vAlign w:val="center"/>
          </w:tcPr>
          <w:p w14:paraId="0E761662">
            <w:pPr>
              <w:jc w:val="center"/>
              <w:rPr>
                <w:rFonts w:hint="eastAsia" w:eastAsia="宋体"/>
                <w:color w:val="auto"/>
                <w:szCs w:val="21"/>
                <w:lang w:eastAsia="zh-CN"/>
              </w:rPr>
            </w:pPr>
            <w:r>
              <w:rPr>
                <w:rFonts w:hint="eastAsia"/>
                <w:bCs/>
                <w:color w:val="auto"/>
                <w:lang w:eastAsia="zh-CN"/>
              </w:rPr>
              <w:t>暂存于冷柜，委托北票市汇宏动物无害化处理有限公司定期收集处理。</w:t>
            </w:r>
          </w:p>
        </w:tc>
      </w:tr>
      <w:tr w14:paraId="14F26CB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1" w:type="dxa"/>
            <w:vAlign w:val="center"/>
          </w:tcPr>
          <w:p w14:paraId="015F587B">
            <w:pPr>
              <w:jc w:val="center"/>
              <w:rPr>
                <w:rFonts w:hint="eastAsia" w:eastAsia="宋体"/>
                <w:color w:val="auto"/>
                <w:szCs w:val="21"/>
                <w:lang w:eastAsia="zh-CN"/>
              </w:rPr>
            </w:pPr>
            <w:r>
              <w:rPr>
                <w:rFonts w:hint="eastAsia"/>
                <w:color w:val="auto"/>
                <w:szCs w:val="21"/>
              </w:rPr>
              <w:t>废离子交换</w:t>
            </w:r>
            <w:r>
              <w:rPr>
                <w:rFonts w:hint="eastAsia"/>
                <w:color w:val="auto"/>
                <w:szCs w:val="21"/>
                <w:lang w:eastAsia="zh-CN"/>
              </w:rPr>
              <w:t>树脂</w:t>
            </w:r>
          </w:p>
        </w:tc>
        <w:tc>
          <w:tcPr>
            <w:tcW w:w="1417" w:type="dxa"/>
            <w:vAlign w:val="center"/>
          </w:tcPr>
          <w:p w14:paraId="641D795D">
            <w:pPr>
              <w:jc w:val="center"/>
              <w:rPr>
                <w:color w:val="auto"/>
                <w:szCs w:val="21"/>
              </w:rPr>
            </w:pPr>
            <w:r>
              <w:rPr>
                <w:rFonts w:hint="eastAsia"/>
                <w:color w:val="auto"/>
                <w:szCs w:val="21"/>
              </w:rPr>
              <w:t>软化水制备</w:t>
            </w:r>
          </w:p>
        </w:tc>
        <w:tc>
          <w:tcPr>
            <w:tcW w:w="1088" w:type="dxa"/>
            <w:vMerge w:val="continue"/>
            <w:vAlign w:val="center"/>
          </w:tcPr>
          <w:p w14:paraId="502B7A51">
            <w:pPr>
              <w:jc w:val="center"/>
              <w:rPr>
                <w:color w:val="auto"/>
                <w:szCs w:val="21"/>
              </w:rPr>
            </w:pPr>
          </w:p>
        </w:tc>
        <w:tc>
          <w:tcPr>
            <w:tcW w:w="928" w:type="dxa"/>
            <w:vAlign w:val="center"/>
          </w:tcPr>
          <w:p w14:paraId="5C0E7747">
            <w:pPr>
              <w:jc w:val="center"/>
              <w:rPr>
                <w:color w:val="auto"/>
                <w:szCs w:val="21"/>
              </w:rPr>
            </w:pPr>
            <w:r>
              <w:rPr>
                <w:rFonts w:hint="eastAsia"/>
                <w:color w:val="auto"/>
                <w:szCs w:val="21"/>
              </w:rPr>
              <w:t>固态</w:t>
            </w:r>
          </w:p>
        </w:tc>
        <w:tc>
          <w:tcPr>
            <w:tcW w:w="1284" w:type="dxa"/>
            <w:vAlign w:val="center"/>
          </w:tcPr>
          <w:p w14:paraId="6EA18911">
            <w:pPr>
              <w:jc w:val="center"/>
              <w:rPr>
                <w:color w:val="auto"/>
                <w:szCs w:val="21"/>
              </w:rPr>
            </w:pPr>
            <w:r>
              <w:rPr>
                <w:rFonts w:hint="eastAsia"/>
                <w:color w:val="auto"/>
                <w:szCs w:val="21"/>
                <w:lang w:val="en-US" w:eastAsia="zh-CN"/>
              </w:rPr>
              <w:t>0.05</w:t>
            </w:r>
            <w:r>
              <w:rPr>
                <w:rFonts w:hint="eastAsia"/>
                <w:color w:val="auto"/>
                <w:szCs w:val="21"/>
              </w:rPr>
              <w:t>t/5a</w:t>
            </w:r>
          </w:p>
        </w:tc>
        <w:tc>
          <w:tcPr>
            <w:tcW w:w="2517" w:type="dxa"/>
            <w:vAlign w:val="center"/>
          </w:tcPr>
          <w:p w14:paraId="0F5588D9">
            <w:pPr>
              <w:jc w:val="center"/>
              <w:rPr>
                <w:color w:val="auto"/>
                <w:szCs w:val="21"/>
              </w:rPr>
            </w:pPr>
            <w:r>
              <w:rPr>
                <w:color w:val="auto"/>
                <w:szCs w:val="21"/>
              </w:rPr>
              <w:t>由厂家进行更换处理</w:t>
            </w:r>
          </w:p>
        </w:tc>
      </w:tr>
      <w:tr w14:paraId="3EE0421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1" w:type="dxa"/>
            <w:vAlign w:val="center"/>
          </w:tcPr>
          <w:p w14:paraId="216C51D7">
            <w:pPr>
              <w:jc w:val="center"/>
              <w:rPr>
                <w:rFonts w:hint="eastAsia" w:eastAsia="宋体"/>
                <w:color w:val="auto"/>
                <w:szCs w:val="21"/>
                <w:lang w:eastAsia="zh-CN"/>
              </w:rPr>
            </w:pPr>
            <w:r>
              <w:rPr>
                <w:rFonts w:hint="eastAsia"/>
                <w:color w:val="auto"/>
                <w:szCs w:val="21"/>
                <w:lang w:eastAsia="zh-CN"/>
              </w:rPr>
              <w:t>锅炉灰渣</w:t>
            </w:r>
          </w:p>
        </w:tc>
        <w:tc>
          <w:tcPr>
            <w:tcW w:w="1417" w:type="dxa"/>
            <w:vAlign w:val="center"/>
          </w:tcPr>
          <w:p w14:paraId="1C7A5342">
            <w:pPr>
              <w:jc w:val="center"/>
              <w:rPr>
                <w:rFonts w:hint="eastAsia" w:eastAsia="宋体"/>
                <w:color w:val="auto"/>
                <w:szCs w:val="21"/>
                <w:lang w:eastAsia="zh-CN"/>
              </w:rPr>
            </w:pPr>
            <w:r>
              <w:rPr>
                <w:rFonts w:hint="eastAsia"/>
                <w:color w:val="auto"/>
                <w:szCs w:val="21"/>
                <w:lang w:eastAsia="zh-CN"/>
              </w:rPr>
              <w:t>锅炉</w:t>
            </w:r>
          </w:p>
        </w:tc>
        <w:tc>
          <w:tcPr>
            <w:tcW w:w="1088" w:type="dxa"/>
            <w:vMerge w:val="continue"/>
            <w:vAlign w:val="center"/>
          </w:tcPr>
          <w:p w14:paraId="0C45E8EC">
            <w:pPr>
              <w:jc w:val="center"/>
              <w:rPr>
                <w:color w:val="auto"/>
                <w:szCs w:val="21"/>
              </w:rPr>
            </w:pPr>
          </w:p>
        </w:tc>
        <w:tc>
          <w:tcPr>
            <w:tcW w:w="928" w:type="dxa"/>
            <w:vAlign w:val="center"/>
          </w:tcPr>
          <w:p w14:paraId="47642CA0">
            <w:pPr>
              <w:jc w:val="center"/>
              <w:rPr>
                <w:rFonts w:hint="eastAsia" w:eastAsia="宋体"/>
                <w:color w:val="auto"/>
                <w:szCs w:val="21"/>
                <w:lang w:eastAsia="zh-CN"/>
              </w:rPr>
            </w:pPr>
            <w:r>
              <w:rPr>
                <w:rFonts w:hint="eastAsia"/>
                <w:color w:val="auto"/>
                <w:szCs w:val="21"/>
                <w:lang w:eastAsia="zh-CN"/>
              </w:rPr>
              <w:t>固态</w:t>
            </w:r>
          </w:p>
        </w:tc>
        <w:tc>
          <w:tcPr>
            <w:tcW w:w="1284" w:type="dxa"/>
            <w:vAlign w:val="center"/>
          </w:tcPr>
          <w:p w14:paraId="4E48AD33">
            <w:pPr>
              <w:jc w:val="center"/>
              <w:rPr>
                <w:rFonts w:hint="default"/>
                <w:color w:val="auto"/>
                <w:szCs w:val="21"/>
                <w:lang w:val="en-US" w:eastAsia="zh-CN"/>
              </w:rPr>
            </w:pPr>
            <w:r>
              <w:rPr>
                <w:rFonts w:hint="eastAsia"/>
                <w:color w:val="auto"/>
                <w:szCs w:val="21"/>
                <w:lang w:val="en-US" w:eastAsia="zh-CN"/>
              </w:rPr>
              <w:t>126</w:t>
            </w:r>
          </w:p>
        </w:tc>
        <w:tc>
          <w:tcPr>
            <w:tcW w:w="2517" w:type="dxa"/>
            <w:vMerge w:val="restart"/>
            <w:vAlign w:val="center"/>
          </w:tcPr>
          <w:p w14:paraId="1A0208D9">
            <w:pPr>
              <w:jc w:val="center"/>
              <w:rPr>
                <w:color w:val="auto"/>
                <w:sz w:val="21"/>
                <w:szCs w:val="21"/>
              </w:rPr>
            </w:pPr>
            <w:r>
              <w:rPr>
                <w:rFonts w:hint="eastAsia" w:cs="Times New Roman"/>
                <w:color w:val="auto"/>
                <w:kern w:val="2"/>
                <w:sz w:val="21"/>
                <w:szCs w:val="21"/>
                <w:lang w:val="en-US" w:eastAsia="zh-CN" w:bidi="ar-SA"/>
              </w:rPr>
              <w:t>密封袋</w:t>
            </w:r>
            <w:r>
              <w:rPr>
                <w:rFonts w:hint="eastAsia" w:ascii="Times New Roman" w:hAnsi="Times New Roman" w:eastAsia="宋体" w:cs="Times New Roman"/>
                <w:color w:val="auto"/>
                <w:kern w:val="2"/>
                <w:sz w:val="21"/>
                <w:szCs w:val="21"/>
                <w:lang w:val="en-US" w:eastAsia="zh-CN" w:bidi="ar-SA"/>
              </w:rPr>
              <w:t>暂存于</w:t>
            </w:r>
            <w:r>
              <w:rPr>
                <w:rFonts w:hint="eastAsia" w:cs="Times New Roman"/>
                <w:color w:val="auto"/>
                <w:kern w:val="2"/>
                <w:sz w:val="21"/>
                <w:szCs w:val="21"/>
                <w:lang w:val="en-US" w:eastAsia="zh-CN" w:bidi="ar-SA"/>
              </w:rPr>
              <w:t>渣</w:t>
            </w:r>
            <w:r>
              <w:rPr>
                <w:rFonts w:hint="eastAsia" w:ascii="Times New Roman" w:hAnsi="Times New Roman" w:eastAsia="宋体" w:cs="Times New Roman"/>
                <w:color w:val="auto"/>
                <w:kern w:val="2"/>
                <w:sz w:val="21"/>
                <w:szCs w:val="21"/>
                <w:lang w:val="en-US" w:eastAsia="zh-CN" w:bidi="ar-SA"/>
              </w:rPr>
              <w:t>库，</w:t>
            </w:r>
            <w:r>
              <w:rPr>
                <w:rFonts w:hint="eastAsia"/>
                <w:color w:val="auto"/>
                <w:sz w:val="21"/>
                <w:szCs w:val="21"/>
                <w:lang w:eastAsia="zh-CN"/>
              </w:rPr>
              <w:t>作为有机肥原料</w:t>
            </w:r>
            <w:r>
              <w:rPr>
                <w:color w:val="auto"/>
                <w:sz w:val="21"/>
                <w:szCs w:val="21"/>
              </w:rPr>
              <w:t>外</w:t>
            </w:r>
            <w:r>
              <w:rPr>
                <w:rFonts w:hint="eastAsia"/>
                <w:color w:val="auto"/>
                <w:sz w:val="21"/>
                <w:szCs w:val="21"/>
              </w:rPr>
              <w:t>售</w:t>
            </w:r>
            <w:r>
              <w:rPr>
                <w:rFonts w:hint="eastAsia"/>
                <w:color w:val="auto"/>
                <w:sz w:val="21"/>
                <w:szCs w:val="21"/>
                <w:lang w:eastAsia="zh-CN"/>
              </w:rPr>
              <w:t>至辰泰（辽宁）生物科技有限公司做有机肥；</w:t>
            </w:r>
          </w:p>
        </w:tc>
      </w:tr>
      <w:tr w14:paraId="5F4C5F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1" w:type="dxa"/>
            <w:vAlign w:val="center"/>
          </w:tcPr>
          <w:p w14:paraId="03FC69AC">
            <w:pPr>
              <w:jc w:val="center"/>
              <w:rPr>
                <w:rFonts w:hint="eastAsia" w:eastAsia="宋体"/>
                <w:color w:val="auto"/>
                <w:szCs w:val="21"/>
                <w:lang w:eastAsia="zh-CN"/>
              </w:rPr>
            </w:pPr>
            <w:r>
              <w:rPr>
                <w:rFonts w:hint="eastAsia"/>
                <w:color w:val="auto"/>
                <w:szCs w:val="21"/>
                <w:lang w:eastAsia="zh-CN"/>
              </w:rPr>
              <w:t>除尘灰</w:t>
            </w:r>
          </w:p>
        </w:tc>
        <w:tc>
          <w:tcPr>
            <w:tcW w:w="1417" w:type="dxa"/>
            <w:vAlign w:val="center"/>
          </w:tcPr>
          <w:p w14:paraId="2E5AED38">
            <w:pPr>
              <w:jc w:val="center"/>
              <w:rPr>
                <w:rFonts w:hint="eastAsia" w:eastAsia="宋体"/>
                <w:color w:val="auto"/>
                <w:szCs w:val="21"/>
                <w:lang w:eastAsia="zh-CN"/>
              </w:rPr>
            </w:pPr>
            <w:r>
              <w:rPr>
                <w:rFonts w:hint="eastAsia"/>
                <w:color w:val="auto"/>
                <w:szCs w:val="21"/>
                <w:lang w:eastAsia="zh-CN"/>
              </w:rPr>
              <w:t>锅炉</w:t>
            </w:r>
          </w:p>
        </w:tc>
        <w:tc>
          <w:tcPr>
            <w:tcW w:w="1088" w:type="dxa"/>
            <w:vMerge w:val="continue"/>
            <w:vAlign w:val="center"/>
          </w:tcPr>
          <w:p w14:paraId="5E443290">
            <w:pPr>
              <w:jc w:val="center"/>
              <w:rPr>
                <w:color w:val="auto"/>
                <w:szCs w:val="21"/>
              </w:rPr>
            </w:pPr>
          </w:p>
        </w:tc>
        <w:tc>
          <w:tcPr>
            <w:tcW w:w="928" w:type="dxa"/>
            <w:vAlign w:val="center"/>
          </w:tcPr>
          <w:p w14:paraId="591F3AAA">
            <w:pPr>
              <w:jc w:val="center"/>
              <w:rPr>
                <w:rFonts w:hint="eastAsia"/>
                <w:color w:val="auto"/>
                <w:szCs w:val="21"/>
              </w:rPr>
            </w:pPr>
            <w:r>
              <w:rPr>
                <w:rFonts w:hint="eastAsia"/>
                <w:color w:val="auto"/>
                <w:szCs w:val="21"/>
                <w:lang w:eastAsia="zh-CN"/>
              </w:rPr>
              <w:t>固态</w:t>
            </w:r>
          </w:p>
        </w:tc>
        <w:tc>
          <w:tcPr>
            <w:tcW w:w="1284" w:type="dxa"/>
            <w:vAlign w:val="center"/>
          </w:tcPr>
          <w:p w14:paraId="74691F79">
            <w:pPr>
              <w:jc w:val="center"/>
              <w:rPr>
                <w:rFonts w:hint="default"/>
                <w:color w:val="auto"/>
                <w:szCs w:val="21"/>
                <w:lang w:val="en-US" w:eastAsia="zh-CN"/>
              </w:rPr>
            </w:pPr>
            <w:r>
              <w:rPr>
                <w:rFonts w:hint="eastAsia"/>
                <w:color w:val="auto"/>
                <w:szCs w:val="21"/>
                <w:lang w:val="en-US" w:eastAsia="zh-CN"/>
              </w:rPr>
              <w:t>0.465</w:t>
            </w:r>
          </w:p>
        </w:tc>
        <w:tc>
          <w:tcPr>
            <w:tcW w:w="2517" w:type="dxa"/>
            <w:vMerge w:val="continue"/>
            <w:vAlign w:val="center"/>
          </w:tcPr>
          <w:p w14:paraId="660CAF15">
            <w:pPr>
              <w:jc w:val="center"/>
              <w:rPr>
                <w:color w:val="auto"/>
                <w:szCs w:val="21"/>
              </w:rPr>
            </w:pPr>
          </w:p>
        </w:tc>
      </w:tr>
    </w:tbl>
    <w:p w14:paraId="42D71DD0">
      <w:pPr>
        <w:spacing w:line="360" w:lineRule="auto"/>
        <w:ind w:firstLine="480"/>
        <w:rPr>
          <w:rStyle w:val="67"/>
          <w:color w:val="auto"/>
          <w:sz w:val="24"/>
          <w:szCs w:val="24"/>
        </w:rPr>
      </w:pPr>
      <w:r>
        <w:rPr>
          <w:rFonts w:hint="eastAsia"/>
          <w:color w:val="auto"/>
          <w:sz w:val="24"/>
          <w:lang w:val="en-US" w:eastAsia="zh-CN"/>
        </w:rPr>
        <w:t>医疗废物</w:t>
      </w:r>
      <w:r>
        <w:rPr>
          <w:color w:val="auto"/>
          <w:sz w:val="24"/>
        </w:rPr>
        <w:t>应按照《危险废物收集</w:t>
      </w:r>
      <w:r>
        <w:rPr>
          <w:rFonts w:hint="eastAsia"/>
          <w:color w:val="auto"/>
          <w:sz w:val="24"/>
        </w:rPr>
        <w:t>、</w:t>
      </w:r>
      <w:r>
        <w:rPr>
          <w:color w:val="auto"/>
          <w:sz w:val="24"/>
        </w:rPr>
        <w:t>贮存</w:t>
      </w:r>
      <w:r>
        <w:rPr>
          <w:rFonts w:hint="eastAsia"/>
          <w:color w:val="auto"/>
          <w:sz w:val="24"/>
          <w:lang w:eastAsia="zh-CN"/>
        </w:rPr>
        <w:t>、</w:t>
      </w:r>
      <w:r>
        <w:rPr>
          <w:color w:val="auto"/>
          <w:sz w:val="24"/>
        </w:rPr>
        <w:t>运输技术规范》（HJ2025-2012）</w:t>
      </w:r>
      <w:r>
        <w:rPr>
          <w:rFonts w:hint="eastAsia"/>
          <w:color w:val="auto"/>
          <w:sz w:val="24"/>
        </w:rPr>
        <w:t>、</w:t>
      </w:r>
      <w:r>
        <w:rPr>
          <w:color w:val="auto"/>
          <w:sz w:val="24"/>
        </w:rPr>
        <w:t>《危险废物贮存污染控制标准》（GB18597-20</w:t>
      </w:r>
      <w:r>
        <w:rPr>
          <w:rFonts w:hint="eastAsia"/>
          <w:color w:val="auto"/>
          <w:sz w:val="24"/>
          <w:lang w:val="en-US" w:eastAsia="zh-CN"/>
        </w:rPr>
        <w:t>23</w:t>
      </w:r>
      <w:r>
        <w:rPr>
          <w:color w:val="auto"/>
          <w:sz w:val="24"/>
        </w:rPr>
        <w:t>）</w:t>
      </w:r>
      <w:r>
        <w:rPr>
          <w:rFonts w:hint="eastAsia"/>
          <w:color w:val="auto"/>
          <w:sz w:val="24"/>
        </w:rPr>
        <w:t>和</w:t>
      </w:r>
      <w:r>
        <w:rPr>
          <w:color w:val="auto"/>
          <w:sz w:val="24"/>
        </w:rPr>
        <w:t>《医疗废物集中处置技术规范》等文件中有关规定做好相应的</w:t>
      </w:r>
      <w:r>
        <w:rPr>
          <w:rStyle w:val="67"/>
          <w:color w:val="auto"/>
          <w:sz w:val="24"/>
          <w:szCs w:val="24"/>
        </w:rPr>
        <w:t>收集、贮存和运输工作，具体如下：</w:t>
      </w:r>
    </w:p>
    <w:p w14:paraId="2F3461D7">
      <w:pPr>
        <w:spacing w:line="360" w:lineRule="auto"/>
        <w:ind w:firstLine="480"/>
        <w:rPr>
          <w:color w:val="auto"/>
          <w:sz w:val="24"/>
        </w:rPr>
      </w:pPr>
      <w:r>
        <w:rPr>
          <w:color w:val="auto"/>
          <w:sz w:val="24"/>
        </w:rPr>
        <w:t>①应根据</w:t>
      </w:r>
      <w:r>
        <w:rPr>
          <w:rFonts w:hint="eastAsia"/>
          <w:color w:val="auto"/>
          <w:sz w:val="24"/>
          <w:lang w:val="en-US" w:eastAsia="zh-CN"/>
        </w:rPr>
        <w:t>医疗废物</w:t>
      </w:r>
      <w:r>
        <w:rPr>
          <w:color w:val="auto"/>
          <w:sz w:val="24"/>
        </w:rPr>
        <w:t>特性制定收集计划和详细操作规程，收集和转运过程中应采取相应的安全防护和污染防治措施，包括作业人员的个人防护和</w:t>
      </w:r>
      <w:r>
        <w:rPr>
          <w:rFonts w:hint="eastAsia"/>
          <w:color w:val="auto"/>
          <w:sz w:val="24"/>
          <w:lang w:val="en-US" w:eastAsia="zh-CN"/>
        </w:rPr>
        <w:t>医疗废物</w:t>
      </w:r>
      <w:r>
        <w:rPr>
          <w:color w:val="auto"/>
          <w:sz w:val="24"/>
        </w:rPr>
        <w:t>的防爆、防火、防中毒、防感染等其他防止污染环境的措施，同时还要根据</w:t>
      </w:r>
      <w:r>
        <w:rPr>
          <w:rFonts w:hint="eastAsia"/>
          <w:color w:val="auto"/>
          <w:sz w:val="24"/>
          <w:lang w:val="en-US" w:eastAsia="zh-CN"/>
        </w:rPr>
        <w:t>医疗废物</w:t>
      </w:r>
      <w:r>
        <w:rPr>
          <w:color w:val="auto"/>
          <w:sz w:val="24"/>
        </w:rPr>
        <w:t>的种类、数量、危险特性、物理形态等因素确定其包装形式；</w:t>
      </w:r>
    </w:p>
    <w:p w14:paraId="62646DC4">
      <w:pPr>
        <w:spacing w:line="360" w:lineRule="auto"/>
        <w:ind w:firstLine="480"/>
        <w:rPr>
          <w:color w:val="auto"/>
          <w:sz w:val="24"/>
        </w:rPr>
      </w:pPr>
      <w:r>
        <w:rPr>
          <w:color w:val="auto"/>
          <w:sz w:val="24"/>
        </w:rPr>
        <w:t>②应设置</w:t>
      </w:r>
      <w:r>
        <w:rPr>
          <w:rFonts w:hint="eastAsia"/>
          <w:color w:val="auto"/>
          <w:sz w:val="24"/>
          <w:lang w:val="en-US" w:eastAsia="zh-CN"/>
        </w:rPr>
        <w:t>医疗废物</w:t>
      </w:r>
      <w:r>
        <w:rPr>
          <w:color w:val="auto"/>
          <w:sz w:val="24"/>
        </w:rPr>
        <w:t>贮存设施，贮存处地面及裙角应做好耐腐蚀硬化、防渗漏处理，且表面无裂隙，建筑材料必须与</w:t>
      </w:r>
      <w:r>
        <w:rPr>
          <w:rFonts w:hint="eastAsia"/>
          <w:color w:val="auto"/>
          <w:sz w:val="24"/>
          <w:lang w:val="en-US" w:eastAsia="zh-CN"/>
        </w:rPr>
        <w:t>医疗废物</w:t>
      </w:r>
      <w:r>
        <w:rPr>
          <w:color w:val="auto"/>
          <w:sz w:val="24"/>
        </w:rPr>
        <w:t>相容；应使用符合标准的容器盛装</w:t>
      </w:r>
      <w:r>
        <w:rPr>
          <w:rFonts w:hint="eastAsia"/>
          <w:color w:val="auto"/>
          <w:sz w:val="24"/>
          <w:lang w:val="en-US" w:eastAsia="zh-CN"/>
        </w:rPr>
        <w:t>医疗废物</w:t>
      </w:r>
      <w:r>
        <w:rPr>
          <w:color w:val="auto"/>
          <w:sz w:val="24"/>
        </w:rPr>
        <w:t>，容器材质和硬度等均需满足相应的要求，容器上须粘贴</w:t>
      </w:r>
      <w:r>
        <w:rPr>
          <w:rFonts w:hint="eastAsia"/>
          <w:color w:val="auto"/>
          <w:sz w:val="24"/>
          <w:lang w:val="en-US" w:eastAsia="zh-CN"/>
        </w:rPr>
        <w:t>医疗废物</w:t>
      </w:r>
      <w:r>
        <w:rPr>
          <w:color w:val="auto"/>
          <w:sz w:val="24"/>
        </w:rPr>
        <w:t>标签；不相容的</w:t>
      </w:r>
      <w:r>
        <w:rPr>
          <w:rFonts w:hint="eastAsia"/>
          <w:color w:val="auto"/>
          <w:sz w:val="24"/>
          <w:lang w:val="en-US" w:eastAsia="zh-CN"/>
        </w:rPr>
        <w:t>医疗废物</w:t>
      </w:r>
      <w:r>
        <w:rPr>
          <w:color w:val="auto"/>
          <w:sz w:val="24"/>
        </w:rPr>
        <w:t>必须分开存放并设有隔离间隔断等；</w:t>
      </w:r>
    </w:p>
    <w:p w14:paraId="287F818F">
      <w:pPr>
        <w:spacing w:line="360" w:lineRule="auto"/>
        <w:ind w:firstLine="480"/>
        <w:rPr>
          <w:color w:val="auto"/>
          <w:sz w:val="24"/>
        </w:rPr>
      </w:pPr>
      <w:r>
        <w:rPr>
          <w:color w:val="auto"/>
          <w:sz w:val="24"/>
        </w:rPr>
        <w:t>③</w:t>
      </w:r>
      <w:r>
        <w:rPr>
          <w:rFonts w:hint="eastAsia"/>
          <w:color w:val="auto"/>
          <w:sz w:val="24"/>
          <w:lang w:val="en-US" w:eastAsia="zh-CN"/>
        </w:rPr>
        <w:t>医疗废物</w:t>
      </w:r>
      <w:r>
        <w:rPr>
          <w:color w:val="auto"/>
          <w:sz w:val="24"/>
        </w:rPr>
        <w:t>运输应由持有</w:t>
      </w:r>
      <w:r>
        <w:rPr>
          <w:rFonts w:hint="eastAsia"/>
          <w:color w:val="auto"/>
          <w:sz w:val="24"/>
          <w:lang w:val="en-US" w:eastAsia="zh-CN"/>
        </w:rPr>
        <w:t>医疗废物</w:t>
      </w:r>
      <w:r>
        <w:rPr>
          <w:color w:val="auto"/>
          <w:sz w:val="24"/>
        </w:rPr>
        <w:t>经营许可的单位按照其许可证的经营范围组织实施，承担</w:t>
      </w:r>
      <w:r>
        <w:rPr>
          <w:rFonts w:hint="eastAsia"/>
          <w:color w:val="auto"/>
          <w:sz w:val="24"/>
          <w:lang w:val="en-US" w:eastAsia="zh-CN"/>
        </w:rPr>
        <w:t>医疗废物</w:t>
      </w:r>
      <w:r>
        <w:rPr>
          <w:color w:val="auto"/>
          <w:sz w:val="24"/>
        </w:rPr>
        <w:t>运输的单位应获得交通运输部门颁发的危险货物运输资质。各类交通方式运输应按照《道路危险货物运输管理规定》（</w:t>
      </w:r>
      <w:r>
        <w:rPr>
          <w:rFonts w:hint="eastAsia"/>
          <w:color w:val="auto"/>
          <w:sz w:val="24"/>
        </w:rPr>
        <w:t>中华人民共和国交通运输部令</w:t>
      </w:r>
      <w:r>
        <w:rPr>
          <w:color w:val="auto"/>
          <w:sz w:val="24"/>
        </w:rPr>
        <w:t>20</w:t>
      </w:r>
      <w:r>
        <w:rPr>
          <w:rFonts w:hint="eastAsia"/>
          <w:color w:val="auto"/>
          <w:sz w:val="24"/>
          <w:lang w:val="en-US" w:eastAsia="zh-CN"/>
        </w:rPr>
        <w:t>13</w:t>
      </w:r>
      <w:r>
        <w:rPr>
          <w:color w:val="auto"/>
          <w:sz w:val="24"/>
        </w:rPr>
        <w:t>年第</w:t>
      </w:r>
      <w:r>
        <w:rPr>
          <w:rFonts w:hint="eastAsia"/>
          <w:color w:val="auto"/>
          <w:sz w:val="24"/>
          <w:lang w:val="en-US" w:eastAsia="zh-CN"/>
        </w:rPr>
        <w:t>2</w:t>
      </w:r>
      <w:r>
        <w:rPr>
          <w:color w:val="auto"/>
          <w:sz w:val="24"/>
        </w:rPr>
        <w:t>号）、《铁路危险货物运输</w:t>
      </w:r>
      <w:r>
        <w:rPr>
          <w:rFonts w:hint="eastAsia"/>
          <w:color w:val="auto"/>
          <w:sz w:val="24"/>
        </w:rPr>
        <w:t>安全监督管理规定</w:t>
      </w:r>
      <w:r>
        <w:rPr>
          <w:color w:val="auto"/>
          <w:sz w:val="24"/>
        </w:rPr>
        <w:t>》（</w:t>
      </w:r>
      <w:r>
        <w:rPr>
          <w:rFonts w:hint="eastAsia"/>
          <w:color w:val="auto"/>
          <w:sz w:val="24"/>
        </w:rPr>
        <w:t>中华人民共和国交通运输部令</w:t>
      </w:r>
      <w:r>
        <w:rPr>
          <w:rFonts w:hint="eastAsia"/>
          <w:color w:val="auto"/>
          <w:sz w:val="24"/>
          <w:lang w:val="en-US" w:eastAsia="zh-CN"/>
        </w:rPr>
        <w:t>2022年24</w:t>
      </w:r>
      <w:r>
        <w:rPr>
          <w:color w:val="auto"/>
          <w:sz w:val="24"/>
        </w:rPr>
        <w:t>号）和《水路危险货物运输规则》（</w:t>
      </w:r>
      <w:r>
        <w:rPr>
          <w:rFonts w:hint="eastAsia"/>
          <w:color w:val="auto"/>
          <w:sz w:val="24"/>
        </w:rPr>
        <w:t>中华人民共和国交通部令</w:t>
      </w:r>
      <w:r>
        <w:rPr>
          <w:rFonts w:hint="eastAsia"/>
          <w:color w:val="auto"/>
          <w:sz w:val="24"/>
          <w:lang w:val="en-US" w:eastAsia="zh-CN"/>
        </w:rPr>
        <w:t>2000</w:t>
      </w:r>
      <w:r>
        <w:rPr>
          <w:color w:val="auto"/>
          <w:sz w:val="24"/>
        </w:rPr>
        <w:t>年第</w:t>
      </w:r>
      <w:r>
        <w:rPr>
          <w:rFonts w:hint="eastAsia"/>
          <w:color w:val="auto"/>
          <w:sz w:val="24"/>
          <w:lang w:val="en-US" w:eastAsia="zh-CN"/>
        </w:rPr>
        <w:t>9</w:t>
      </w:r>
      <w:r>
        <w:rPr>
          <w:color w:val="auto"/>
          <w:sz w:val="24"/>
        </w:rPr>
        <w:t>号）规定执行，还应在</w:t>
      </w:r>
      <w:r>
        <w:rPr>
          <w:rFonts w:hint="eastAsia"/>
          <w:color w:val="auto"/>
          <w:sz w:val="24"/>
          <w:lang w:val="en-US" w:eastAsia="zh-CN"/>
        </w:rPr>
        <w:t>医疗废物</w:t>
      </w:r>
      <w:r>
        <w:rPr>
          <w:color w:val="auto"/>
          <w:sz w:val="24"/>
        </w:rPr>
        <w:t>包装上按照</w:t>
      </w:r>
      <w:r>
        <w:rPr>
          <w:rFonts w:hint="default" w:ascii="Times New Roman" w:hAnsi="Times New Roman" w:eastAsia="宋体" w:cs="Times New Roman"/>
          <w:color w:val="auto"/>
          <w:sz w:val="24"/>
          <w:szCs w:val="24"/>
          <w:highlight w:val="none"/>
          <w:lang w:eastAsia="zh-CN"/>
        </w:rPr>
        <w:t>《危险废物贮存污染控制标准》(GB18597-20</w:t>
      </w:r>
      <w:r>
        <w:rPr>
          <w:rFonts w:hint="eastAsia" w:ascii="Times New Roman" w:hAnsi="Times New Roman" w:cs="Times New Roman"/>
          <w:color w:val="auto"/>
          <w:sz w:val="24"/>
          <w:szCs w:val="24"/>
          <w:highlight w:val="none"/>
          <w:lang w:val="en-US" w:eastAsia="zh-CN"/>
        </w:rPr>
        <w:t>23</w:t>
      </w:r>
      <w:r>
        <w:rPr>
          <w:rFonts w:hint="default" w:ascii="Times New Roman" w:hAnsi="Times New Roman" w:eastAsia="宋体" w:cs="Times New Roman"/>
          <w:color w:val="auto"/>
          <w:sz w:val="24"/>
          <w:szCs w:val="24"/>
          <w:highlight w:val="none"/>
          <w:lang w:eastAsia="zh-CN"/>
        </w:rPr>
        <w:t>)和《危险废物识别标志设置技术规范》(</w:t>
      </w:r>
      <w:r>
        <w:rPr>
          <w:rFonts w:hint="eastAsia" w:ascii="Times New Roman" w:hAnsi="Times New Roman" w:cs="Times New Roman"/>
          <w:color w:val="auto"/>
          <w:sz w:val="24"/>
          <w:szCs w:val="24"/>
          <w:highlight w:val="none"/>
          <w:lang w:val="en-US" w:eastAsia="zh-CN"/>
        </w:rPr>
        <w:t>HJ1276-2022</w:t>
      </w:r>
      <w:r>
        <w:rPr>
          <w:rFonts w:hint="default" w:ascii="Times New Roman" w:hAnsi="Times New Roman" w:eastAsia="宋体" w:cs="Times New Roman"/>
          <w:color w:val="auto"/>
          <w:sz w:val="24"/>
          <w:szCs w:val="24"/>
          <w:highlight w:val="none"/>
          <w:lang w:eastAsia="zh-CN"/>
        </w:rPr>
        <w:t>)</w:t>
      </w:r>
      <w:r>
        <w:rPr>
          <w:color w:val="auto"/>
          <w:sz w:val="24"/>
          <w:highlight w:val="none"/>
        </w:rPr>
        <w:t>设置标志，</w:t>
      </w:r>
      <w:r>
        <w:rPr>
          <w:color w:val="auto"/>
          <w:sz w:val="24"/>
        </w:rPr>
        <w:t>在运输车辆或集装箱上分别设置车辆标志和悬挂标志。</w:t>
      </w:r>
    </w:p>
    <w:p w14:paraId="787ACF80">
      <w:pPr>
        <w:spacing w:line="360" w:lineRule="auto"/>
        <w:ind w:firstLine="480"/>
        <w:rPr>
          <w:color w:val="auto"/>
          <w:sz w:val="24"/>
        </w:rPr>
      </w:pPr>
      <w:r>
        <w:rPr>
          <w:rFonts w:hint="eastAsia"/>
          <w:color w:val="auto"/>
          <w:sz w:val="24"/>
        </w:rPr>
        <w:t>④</w:t>
      </w:r>
      <w:r>
        <w:rPr>
          <w:color w:val="auto"/>
          <w:sz w:val="24"/>
        </w:rPr>
        <w:t>应按GB15562.2和卫生、环保部门制定的专用医疗废物警示标识要求，在医疗废物暂存间外的明显处同时设置医疗废物的警示标识。</w:t>
      </w:r>
    </w:p>
    <w:p w14:paraId="0042ED7E">
      <w:pPr>
        <w:spacing w:line="360" w:lineRule="auto"/>
        <w:ind w:firstLine="480"/>
        <w:rPr>
          <w:color w:val="auto"/>
          <w:sz w:val="24"/>
        </w:rPr>
      </w:pPr>
      <w:r>
        <w:rPr>
          <w:rFonts w:hint="eastAsia"/>
          <w:color w:val="auto"/>
          <w:sz w:val="24"/>
        </w:rPr>
        <w:t>⑤</w:t>
      </w:r>
      <w:r>
        <w:rPr>
          <w:color w:val="auto"/>
          <w:sz w:val="24"/>
        </w:rPr>
        <w:t>必须与生活管理区、养殖区隔开，方便医疗废物的装卸、装卸人员及运送车辆的出入；</w:t>
      </w:r>
    </w:p>
    <w:p w14:paraId="53E96723">
      <w:pPr>
        <w:spacing w:line="360" w:lineRule="auto"/>
        <w:ind w:firstLine="480"/>
        <w:rPr>
          <w:color w:val="auto"/>
          <w:sz w:val="24"/>
        </w:rPr>
      </w:pPr>
      <w:r>
        <w:rPr>
          <w:rFonts w:hint="eastAsia"/>
          <w:color w:val="auto"/>
          <w:sz w:val="24"/>
        </w:rPr>
        <w:t>⑥</w:t>
      </w:r>
      <w:r>
        <w:rPr>
          <w:color w:val="auto"/>
          <w:sz w:val="24"/>
        </w:rPr>
        <w:t>确实不能做到日产日清，且当地最高气温高于25℃时，应将医疗废物低温暂时贮存，暂时贮存温度应低于20℃，时间最长不超过48小时。</w:t>
      </w:r>
    </w:p>
    <w:p w14:paraId="162669A3">
      <w:pPr>
        <w:jc w:val="center"/>
        <w:rPr>
          <w:b/>
          <w:color w:val="auto"/>
          <w:szCs w:val="21"/>
        </w:rPr>
      </w:pPr>
      <w:r>
        <w:rPr>
          <w:b/>
          <w:color w:val="auto"/>
          <w:szCs w:val="21"/>
        </w:rPr>
        <w:t>表</w:t>
      </w:r>
      <w:r>
        <w:rPr>
          <w:rFonts w:hint="eastAsia"/>
          <w:b/>
          <w:color w:val="auto"/>
          <w:szCs w:val="21"/>
          <w:lang w:val="en-US" w:eastAsia="zh-CN"/>
        </w:rPr>
        <w:t>3.4-17</w:t>
      </w:r>
      <w:r>
        <w:rPr>
          <w:rFonts w:hint="eastAsia"/>
          <w:b/>
          <w:color w:val="auto"/>
          <w:szCs w:val="21"/>
        </w:rPr>
        <w:t xml:space="preserve"> </w:t>
      </w:r>
      <w:r>
        <w:rPr>
          <w:b/>
          <w:color w:val="auto"/>
          <w:szCs w:val="21"/>
        </w:rPr>
        <w:t xml:space="preserve">   本项目</w:t>
      </w:r>
      <w:r>
        <w:rPr>
          <w:rFonts w:hint="eastAsia"/>
          <w:b/>
          <w:color w:val="auto"/>
          <w:szCs w:val="21"/>
        </w:rPr>
        <w:t>危险</w:t>
      </w:r>
      <w:r>
        <w:rPr>
          <w:b/>
          <w:color w:val="auto"/>
          <w:szCs w:val="21"/>
        </w:rPr>
        <w:t>废物一览表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1"/>
        <w:gridCol w:w="1417"/>
        <w:gridCol w:w="1088"/>
        <w:gridCol w:w="928"/>
        <w:gridCol w:w="1284"/>
        <w:gridCol w:w="2517"/>
      </w:tblGrid>
      <w:tr w14:paraId="42117E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1" w:type="dxa"/>
            <w:vAlign w:val="center"/>
          </w:tcPr>
          <w:p w14:paraId="2663405E">
            <w:pPr>
              <w:jc w:val="center"/>
              <w:rPr>
                <w:b/>
                <w:color w:val="auto"/>
                <w:szCs w:val="21"/>
              </w:rPr>
            </w:pPr>
            <w:r>
              <w:rPr>
                <w:b/>
                <w:color w:val="auto"/>
                <w:szCs w:val="21"/>
              </w:rPr>
              <w:t>名称</w:t>
            </w:r>
          </w:p>
        </w:tc>
        <w:tc>
          <w:tcPr>
            <w:tcW w:w="1417" w:type="dxa"/>
            <w:vAlign w:val="center"/>
          </w:tcPr>
          <w:p w14:paraId="6C2B0AC3">
            <w:pPr>
              <w:jc w:val="center"/>
              <w:rPr>
                <w:b/>
                <w:color w:val="auto"/>
                <w:szCs w:val="21"/>
              </w:rPr>
            </w:pPr>
            <w:r>
              <w:rPr>
                <w:b/>
                <w:color w:val="auto"/>
                <w:szCs w:val="21"/>
              </w:rPr>
              <w:t>产生环节</w:t>
            </w:r>
          </w:p>
        </w:tc>
        <w:tc>
          <w:tcPr>
            <w:tcW w:w="1088" w:type="dxa"/>
            <w:vAlign w:val="center"/>
          </w:tcPr>
          <w:p w14:paraId="2DF1B2B0">
            <w:pPr>
              <w:jc w:val="center"/>
              <w:rPr>
                <w:b/>
                <w:color w:val="auto"/>
                <w:szCs w:val="21"/>
              </w:rPr>
            </w:pPr>
            <w:r>
              <w:rPr>
                <w:b/>
                <w:color w:val="auto"/>
                <w:szCs w:val="21"/>
              </w:rPr>
              <w:t>性质</w:t>
            </w:r>
          </w:p>
        </w:tc>
        <w:tc>
          <w:tcPr>
            <w:tcW w:w="928" w:type="dxa"/>
            <w:vAlign w:val="center"/>
          </w:tcPr>
          <w:p w14:paraId="0197EC5F">
            <w:pPr>
              <w:jc w:val="center"/>
              <w:rPr>
                <w:b/>
                <w:color w:val="auto"/>
                <w:szCs w:val="21"/>
              </w:rPr>
            </w:pPr>
            <w:r>
              <w:rPr>
                <w:b/>
                <w:color w:val="auto"/>
                <w:szCs w:val="21"/>
              </w:rPr>
              <w:t>形态</w:t>
            </w:r>
          </w:p>
        </w:tc>
        <w:tc>
          <w:tcPr>
            <w:tcW w:w="1284" w:type="dxa"/>
            <w:vAlign w:val="center"/>
          </w:tcPr>
          <w:p w14:paraId="36956A69">
            <w:pPr>
              <w:jc w:val="center"/>
              <w:rPr>
                <w:b/>
                <w:color w:val="auto"/>
                <w:szCs w:val="21"/>
              </w:rPr>
            </w:pPr>
            <w:r>
              <w:rPr>
                <w:b/>
                <w:color w:val="auto"/>
                <w:szCs w:val="21"/>
              </w:rPr>
              <w:t>产生量（t/a）</w:t>
            </w:r>
          </w:p>
        </w:tc>
        <w:tc>
          <w:tcPr>
            <w:tcW w:w="2517" w:type="dxa"/>
            <w:vAlign w:val="center"/>
          </w:tcPr>
          <w:p w14:paraId="1BC2338C">
            <w:pPr>
              <w:jc w:val="center"/>
              <w:rPr>
                <w:b/>
                <w:color w:val="auto"/>
                <w:szCs w:val="21"/>
              </w:rPr>
            </w:pPr>
            <w:r>
              <w:rPr>
                <w:b/>
                <w:color w:val="auto"/>
                <w:szCs w:val="21"/>
              </w:rPr>
              <w:t>处理处置方法</w:t>
            </w:r>
          </w:p>
        </w:tc>
      </w:tr>
      <w:tr w14:paraId="7B64980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1" w:type="dxa"/>
            <w:vAlign w:val="center"/>
          </w:tcPr>
          <w:p w14:paraId="0EA73C0B">
            <w:pPr>
              <w:jc w:val="center"/>
              <w:rPr>
                <w:color w:val="auto"/>
                <w:szCs w:val="21"/>
              </w:rPr>
            </w:pPr>
            <w:r>
              <w:rPr>
                <w:color w:val="auto"/>
                <w:szCs w:val="21"/>
              </w:rPr>
              <w:t>医疗废物</w:t>
            </w:r>
          </w:p>
        </w:tc>
        <w:tc>
          <w:tcPr>
            <w:tcW w:w="1417" w:type="dxa"/>
            <w:vAlign w:val="center"/>
          </w:tcPr>
          <w:p w14:paraId="55C8ED63">
            <w:pPr>
              <w:jc w:val="center"/>
              <w:rPr>
                <w:color w:val="auto"/>
                <w:szCs w:val="21"/>
              </w:rPr>
            </w:pPr>
            <w:r>
              <w:rPr>
                <w:color w:val="auto"/>
                <w:szCs w:val="21"/>
              </w:rPr>
              <w:t>防疫治疗</w:t>
            </w:r>
          </w:p>
        </w:tc>
        <w:tc>
          <w:tcPr>
            <w:tcW w:w="1088" w:type="dxa"/>
            <w:vAlign w:val="center"/>
          </w:tcPr>
          <w:p w14:paraId="27C49A27">
            <w:pPr>
              <w:jc w:val="center"/>
              <w:rPr>
                <w:color w:val="auto"/>
                <w:szCs w:val="21"/>
              </w:rPr>
            </w:pPr>
            <w:r>
              <w:rPr>
                <w:color w:val="auto"/>
                <w:szCs w:val="21"/>
              </w:rPr>
              <w:t>危险废物</w:t>
            </w:r>
          </w:p>
        </w:tc>
        <w:tc>
          <w:tcPr>
            <w:tcW w:w="928" w:type="dxa"/>
            <w:vAlign w:val="center"/>
          </w:tcPr>
          <w:p w14:paraId="5874A24C">
            <w:pPr>
              <w:jc w:val="center"/>
              <w:rPr>
                <w:color w:val="auto"/>
                <w:szCs w:val="21"/>
              </w:rPr>
            </w:pPr>
            <w:r>
              <w:rPr>
                <w:color w:val="auto"/>
                <w:szCs w:val="21"/>
              </w:rPr>
              <w:t>固态</w:t>
            </w:r>
          </w:p>
        </w:tc>
        <w:tc>
          <w:tcPr>
            <w:tcW w:w="1284" w:type="dxa"/>
            <w:vAlign w:val="center"/>
          </w:tcPr>
          <w:p w14:paraId="04A056F3">
            <w:pPr>
              <w:jc w:val="center"/>
              <w:rPr>
                <w:color w:val="auto"/>
                <w:szCs w:val="21"/>
              </w:rPr>
            </w:pPr>
            <w:r>
              <w:rPr>
                <w:rFonts w:hint="eastAsia"/>
                <w:color w:val="auto"/>
                <w:szCs w:val="21"/>
              </w:rPr>
              <w:t>0.04</w:t>
            </w:r>
          </w:p>
        </w:tc>
        <w:tc>
          <w:tcPr>
            <w:tcW w:w="2517" w:type="dxa"/>
            <w:vAlign w:val="center"/>
          </w:tcPr>
          <w:p w14:paraId="5BA1E84D">
            <w:pPr>
              <w:jc w:val="center"/>
              <w:rPr>
                <w:color w:val="auto"/>
                <w:szCs w:val="21"/>
              </w:rPr>
            </w:pPr>
            <w:r>
              <w:rPr>
                <w:rFonts w:hint="eastAsia"/>
                <w:color w:val="auto"/>
                <w:szCs w:val="21"/>
                <w:lang w:val="en-US" w:eastAsia="zh-CN"/>
              </w:rPr>
              <w:t>在厂区内医疗废物暂存间</w:t>
            </w:r>
            <w:r>
              <w:rPr>
                <w:rFonts w:hint="eastAsia"/>
                <w:color w:val="auto"/>
                <w:szCs w:val="21"/>
              </w:rPr>
              <w:t>暂存</w:t>
            </w:r>
            <w:r>
              <w:rPr>
                <w:rFonts w:hint="eastAsia"/>
                <w:color w:val="auto"/>
                <w:szCs w:val="21"/>
                <w:lang w:eastAsia="zh-CN"/>
              </w:rPr>
              <w:t>，委托有资质单位定期收集处理。</w:t>
            </w:r>
          </w:p>
        </w:tc>
      </w:tr>
    </w:tbl>
    <w:p w14:paraId="289CEFEB">
      <w:pPr>
        <w:spacing w:line="360" w:lineRule="auto"/>
        <w:ind w:firstLine="480" w:firstLineChars="200"/>
        <w:rPr>
          <w:bCs/>
          <w:color w:val="auto"/>
          <w:sz w:val="24"/>
          <w:szCs w:val="21"/>
        </w:rPr>
      </w:pPr>
      <w:r>
        <w:rPr>
          <w:rFonts w:hint="eastAsia"/>
          <w:bCs/>
          <w:color w:val="auto"/>
          <w:sz w:val="24"/>
        </w:rPr>
        <w:t>（</w:t>
      </w:r>
      <w:r>
        <w:rPr>
          <w:rFonts w:hint="eastAsia"/>
          <w:bCs/>
          <w:color w:val="auto"/>
          <w:sz w:val="24"/>
          <w:lang w:val="en-US" w:eastAsia="zh-CN"/>
        </w:rPr>
        <w:t>7</w:t>
      </w:r>
      <w:r>
        <w:rPr>
          <w:rFonts w:hint="eastAsia"/>
          <w:bCs/>
          <w:color w:val="auto"/>
          <w:sz w:val="24"/>
        </w:rPr>
        <w:t>）</w:t>
      </w:r>
      <w:r>
        <w:rPr>
          <w:bCs/>
          <w:color w:val="auto"/>
          <w:sz w:val="24"/>
          <w:szCs w:val="21"/>
        </w:rPr>
        <w:t>本项目固废物排放情况见下表。</w:t>
      </w:r>
    </w:p>
    <w:p w14:paraId="2A0F8B37">
      <w:pPr>
        <w:spacing w:line="360" w:lineRule="auto"/>
        <w:ind w:firstLine="480" w:firstLineChars="200"/>
        <w:rPr>
          <w:bCs/>
          <w:color w:val="auto"/>
          <w:sz w:val="24"/>
          <w:szCs w:val="21"/>
        </w:rPr>
      </w:pPr>
      <w:r>
        <w:rPr>
          <w:bCs/>
          <w:color w:val="auto"/>
          <w:sz w:val="24"/>
          <w:szCs w:val="21"/>
        </w:rPr>
        <w:t>本项目固体废物类别代码按照《一般固体废物分类与代码》（GB39198-2020）进行编制和选取，因标准明确不适用于未分类的生活垃圾、建筑固体废物，因此本项目的生活垃圾不计入分类代码统计。</w:t>
      </w:r>
    </w:p>
    <w:p w14:paraId="3FA29454">
      <w:pPr>
        <w:autoSpaceDE w:val="0"/>
        <w:autoSpaceDN w:val="0"/>
        <w:adjustRightInd w:val="0"/>
        <w:ind w:firstLine="422" w:firstLineChars="200"/>
        <w:jc w:val="center"/>
        <w:rPr>
          <w:b/>
          <w:color w:val="auto"/>
          <w:szCs w:val="21"/>
        </w:rPr>
      </w:pPr>
      <w:r>
        <w:rPr>
          <w:b/>
          <w:color w:val="auto"/>
          <w:szCs w:val="21"/>
        </w:rPr>
        <w:t>表</w:t>
      </w:r>
      <w:r>
        <w:rPr>
          <w:rFonts w:hint="eastAsia"/>
          <w:b/>
          <w:color w:val="auto"/>
          <w:szCs w:val="21"/>
          <w:lang w:val="en-US" w:eastAsia="zh-CN"/>
        </w:rPr>
        <w:t xml:space="preserve">3.4-18   </w:t>
      </w:r>
      <w:r>
        <w:rPr>
          <w:b/>
          <w:color w:val="auto"/>
          <w:szCs w:val="21"/>
        </w:rPr>
        <w:t xml:space="preserve"> 本项目固废物排放情况一览表</w:t>
      </w:r>
    </w:p>
    <w:tbl>
      <w:tblPr>
        <w:tblStyle w:val="53"/>
        <w:tblW w:w="8331" w:type="dxa"/>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84"/>
        <w:gridCol w:w="847"/>
        <w:gridCol w:w="629"/>
        <w:gridCol w:w="1231"/>
        <w:gridCol w:w="693"/>
        <w:gridCol w:w="826"/>
        <w:gridCol w:w="855"/>
        <w:gridCol w:w="2566"/>
      </w:tblGrid>
      <w:tr w14:paraId="1B56B3D2">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84" w:type="dxa"/>
            <w:tcBorders>
              <w:tl2br w:val="nil"/>
              <w:tr2bl w:val="nil"/>
            </w:tcBorders>
            <w:vAlign w:val="center"/>
          </w:tcPr>
          <w:p w14:paraId="3495994B">
            <w:pPr>
              <w:tabs>
                <w:tab w:val="left" w:pos="5295"/>
              </w:tabs>
              <w:jc w:val="center"/>
              <w:rPr>
                <w:b/>
                <w:bCs/>
                <w:color w:val="auto"/>
                <w:szCs w:val="21"/>
              </w:rPr>
            </w:pPr>
            <w:r>
              <w:rPr>
                <w:b/>
                <w:bCs/>
                <w:color w:val="auto"/>
                <w:szCs w:val="21"/>
              </w:rPr>
              <w:t>排放源</w:t>
            </w:r>
          </w:p>
        </w:tc>
        <w:tc>
          <w:tcPr>
            <w:tcW w:w="847" w:type="dxa"/>
            <w:tcBorders>
              <w:tl2br w:val="nil"/>
              <w:tr2bl w:val="nil"/>
            </w:tcBorders>
            <w:vAlign w:val="center"/>
          </w:tcPr>
          <w:p w14:paraId="5958649A">
            <w:pPr>
              <w:tabs>
                <w:tab w:val="left" w:pos="5295"/>
              </w:tabs>
              <w:jc w:val="center"/>
              <w:rPr>
                <w:b/>
                <w:bCs/>
                <w:color w:val="auto"/>
                <w:szCs w:val="21"/>
              </w:rPr>
            </w:pPr>
            <w:r>
              <w:rPr>
                <w:b/>
                <w:bCs/>
                <w:color w:val="auto"/>
                <w:szCs w:val="21"/>
              </w:rPr>
              <w:t>固体废物名称</w:t>
            </w:r>
          </w:p>
        </w:tc>
        <w:tc>
          <w:tcPr>
            <w:tcW w:w="629" w:type="dxa"/>
            <w:tcBorders>
              <w:tl2br w:val="nil"/>
              <w:tr2bl w:val="nil"/>
            </w:tcBorders>
            <w:vAlign w:val="center"/>
          </w:tcPr>
          <w:p w14:paraId="011BC8DB">
            <w:pPr>
              <w:tabs>
                <w:tab w:val="left" w:pos="5295"/>
              </w:tabs>
              <w:jc w:val="center"/>
              <w:rPr>
                <w:b/>
                <w:bCs/>
                <w:color w:val="auto"/>
                <w:szCs w:val="21"/>
              </w:rPr>
            </w:pPr>
            <w:r>
              <w:rPr>
                <w:b/>
                <w:bCs/>
                <w:color w:val="auto"/>
                <w:szCs w:val="21"/>
              </w:rPr>
              <w:t>性质</w:t>
            </w:r>
          </w:p>
        </w:tc>
        <w:tc>
          <w:tcPr>
            <w:tcW w:w="1231" w:type="dxa"/>
            <w:tcBorders>
              <w:tl2br w:val="nil"/>
              <w:tr2bl w:val="nil"/>
            </w:tcBorders>
            <w:vAlign w:val="center"/>
          </w:tcPr>
          <w:p w14:paraId="508F51F9">
            <w:pPr>
              <w:tabs>
                <w:tab w:val="left" w:pos="5295"/>
              </w:tabs>
              <w:jc w:val="center"/>
              <w:rPr>
                <w:b/>
                <w:bCs/>
                <w:color w:val="auto"/>
                <w:szCs w:val="21"/>
              </w:rPr>
            </w:pPr>
            <w:r>
              <w:rPr>
                <w:b/>
                <w:bCs/>
                <w:color w:val="auto"/>
                <w:szCs w:val="21"/>
              </w:rPr>
              <w:t>代码</w:t>
            </w:r>
          </w:p>
        </w:tc>
        <w:tc>
          <w:tcPr>
            <w:tcW w:w="693" w:type="dxa"/>
            <w:tcBorders>
              <w:tl2br w:val="nil"/>
              <w:tr2bl w:val="nil"/>
            </w:tcBorders>
            <w:vAlign w:val="center"/>
          </w:tcPr>
          <w:p w14:paraId="4E08FF86">
            <w:pPr>
              <w:tabs>
                <w:tab w:val="left" w:pos="5295"/>
              </w:tabs>
              <w:jc w:val="center"/>
              <w:rPr>
                <w:b/>
                <w:bCs/>
                <w:color w:val="auto"/>
                <w:szCs w:val="21"/>
              </w:rPr>
            </w:pPr>
            <w:r>
              <w:rPr>
                <w:b/>
                <w:bCs/>
                <w:color w:val="auto"/>
                <w:szCs w:val="21"/>
              </w:rPr>
              <w:t>形态</w:t>
            </w:r>
          </w:p>
        </w:tc>
        <w:tc>
          <w:tcPr>
            <w:tcW w:w="826" w:type="dxa"/>
            <w:tcBorders>
              <w:tl2br w:val="nil"/>
              <w:tr2bl w:val="nil"/>
            </w:tcBorders>
            <w:vAlign w:val="center"/>
          </w:tcPr>
          <w:p w14:paraId="6B1BFC08">
            <w:pPr>
              <w:tabs>
                <w:tab w:val="left" w:pos="5295"/>
              </w:tabs>
              <w:jc w:val="center"/>
              <w:rPr>
                <w:b/>
                <w:bCs/>
                <w:color w:val="auto"/>
                <w:szCs w:val="21"/>
              </w:rPr>
            </w:pPr>
            <w:r>
              <w:rPr>
                <w:b/>
                <w:bCs/>
                <w:color w:val="auto"/>
                <w:szCs w:val="21"/>
              </w:rPr>
              <w:t>产生量(t/a)</w:t>
            </w:r>
          </w:p>
        </w:tc>
        <w:tc>
          <w:tcPr>
            <w:tcW w:w="855" w:type="dxa"/>
            <w:tcBorders>
              <w:tl2br w:val="nil"/>
              <w:tr2bl w:val="nil"/>
            </w:tcBorders>
            <w:vAlign w:val="center"/>
          </w:tcPr>
          <w:p w14:paraId="6C3AE6EC">
            <w:pPr>
              <w:tabs>
                <w:tab w:val="left" w:pos="5295"/>
              </w:tabs>
              <w:jc w:val="center"/>
              <w:rPr>
                <w:b/>
                <w:bCs/>
                <w:color w:val="auto"/>
                <w:szCs w:val="21"/>
              </w:rPr>
            </w:pPr>
            <w:r>
              <w:rPr>
                <w:b/>
                <w:bCs/>
                <w:color w:val="auto"/>
                <w:szCs w:val="21"/>
              </w:rPr>
              <w:t>排放量(t/a)</w:t>
            </w:r>
          </w:p>
        </w:tc>
        <w:tc>
          <w:tcPr>
            <w:tcW w:w="2566" w:type="dxa"/>
            <w:tcBorders>
              <w:tl2br w:val="nil"/>
              <w:tr2bl w:val="nil"/>
            </w:tcBorders>
            <w:vAlign w:val="center"/>
          </w:tcPr>
          <w:p w14:paraId="5EFED3AE">
            <w:pPr>
              <w:tabs>
                <w:tab w:val="left" w:pos="5295"/>
              </w:tabs>
              <w:jc w:val="center"/>
              <w:rPr>
                <w:b/>
                <w:bCs/>
                <w:color w:val="auto"/>
                <w:szCs w:val="21"/>
              </w:rPr>
            </w:pPr>
            <w:r>
              <w:rPr>
                <w:b/>
                <w:bCs/>
                <w:color w:val="auto"/>
                <w:szCs w:val="21"/>
              </w:rPr>
              <w:t>防治措施</w:t>
            </w:r>
          </w:p>
        </w:tc>
      </w:tr>
      <w:tr w14:paraId="187DE7F3">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84" w:type="dxa"/>
            <w:tcBorders>
              <w:bottom w:val="single" w:color="auto" w:sz="4" w:space="0"/>
              <w:tl2br w:val="nil"/>
              <w:tr2bl w:val="nil"/>
            </w:tcBorders>
            <w:vAlign w:val="center"/>
          </w:tcPr>
          <w:p w14:paraId="214CEED4">
            <w:pPr>
              <w:jc w:val="center"/>
              <w:rPr>
                <w:color w:val="auto"/>
                <w:szCs w:val="21"/>
              </w:rPr>
            </w:pPr>
            <w:r>
              <w:rPr>
                <w:rFonts w:hint="eastAsia"/>
                <w:color w:val="auto"/>
                <w:szCs w:val="21"/>
              </w:rPr>
              <w:t>蛋鸡</w:t>
            </w:r>
            <w:r>
              <w:rPr>
                <w:color w:val="auto"/>
                <w:szCs w:val="21"/>
              </w:rPr>
              <w:t>养殖</w:t>
            </w:r>
          </w:p>
        </w:tc>
        <w:tc>
          <w:tcPr>
            <w:tcW w:w="847" w:type="dxa"/>
            <w:tcBorders>
              <w:top w:val="single" w:color="auto" w:sz="4" w:space="0"/>
              <w:bottom w:val="single" w:color="auto" w:sz="4" w:space="0"/>
              <w:tl2br w:val="nil"/>
              <w:tr2bl w:val="nil"/>
            </w:tcBorders>
            <w:vAlign w:val="center"/>
          </w:tcPr>
          <w:p w14:paraId="00A9F77B">
            <w:pPr>
              <w:jc w:val="center"/>
              <w:rPr>
                <w:color w:val="auto"/>
                <w:szCs w:val="21"/>
              </w:rPr>
            </w:pPr>
            <w:r>
              <w:rPr>
                <w:color w:val="auto"/>
                <w:szCs w:val="21"/>
              </w:rPr>
              <w:t>鸡粪</w:t>
            </w:r>
            <w:r>
              <w:rPr>
                <w:rFonts w:hint="eastAsia"/>
                <w:color w:val="auto"/>
                <w:szCs w:val="21"/>
              </w:rPr>
              <w:t>（含掉落鸡羽毛）</w:t>
            </w:r>
          </w:p>
        </w:tc>
        <w:tc>
          <w:tcPr>
            <w:tcW w:w="629" w:type="dxa"/>
            <w:vMerge w:val="restart"/>
            <w:tcBorders>
              <w:top w:val="single" w:color="auto" w:sz="4" w:space="0"/>
              <w:tl2br w:val="nil"/>
              <w:tr2bl w:val="nil"/>
            </w:tcBorders>
            <w:vAlign w:val="center"/>
          </w:tcPr>
          <w:p w14:paraId="1428FFB3">
            <w:pPr>
              <w:tabs>
                <w:tab w:val="left" w:pos="5295"/>
              </w:tabs>
              <w:jc w:val="center"/>
              <w:rPr>
                <w:color w:val="auto"/>
                <w:szCs w:val="21"/>
              </w:rPr>
            </w:pPr>
            <w:r>
              <w:rPr>
                <w:rFonts w:hint="eastAsia"/>
                <w:color w:val="auto"/>
                <w:szCs w:val="21"/>
              </w:rPr>
              <w:t>一般固废</w:t>
            </w:r>
          </w:p>
        </w:tc>
        <w:tc>
          <w:tcPr>
            <w:tcW w:w="1231" w:type="dxa"/>
            <w:tcBorders>
              <w:top w:val="single" w:color="auto" w:sz="4" w:space="0"/>
              <w:tl2br w:val="nil"/>
              <w:tr2bl w:val="nil"/>
            </w:tcBorders>
            <w:vAlign w:val="center"/>
          </w:tcPr>
          <w:p w14:paraId="5FD60576">
            <w:pPr>
              <w:jc w:val="center"/>
              <w:rPr>
                <w:color w:val="auto"/>
                <w:szCs w:val="21"/>
              </w:rPr>
            </w:pPr>
            <w:r>
              <w:rPr>
                <w:rFonts w:hint="eastAsia"/>
                <w:color w:val="auto"/>
                <w:szCs w:val="21"/>
              </w:rPr>
              <w:t>900-999-99</w:t>
            </w:r>
          </w:p>
        </w:tc>
        <w:tc>
          <w:tcPr>
            <w:tcW w:w="693" w:type="dxa"/>
            <w:tcBorders>
              <w:tl2br w:val="nil"/>
              <w:tr2bl w:val="nil"/>
            </w:tcBorders>
            <w:vAlign w:val="center"/>
          </w:tcPr>
          <w:p w14:paraId="56F086B5">
            <w:pPr>
              <w:jc w:val="center"/>
              <w:rPr>
                <w:color w:val="auto"/>
                <w:szCs w:val="21"/>
              </w:rPr>
            </w:pPr>
            <w:r>
              <w:rPr>
                <w:color w:val="auto"/>
                <w:szCs w:val="21"/>
              </w:rPr>
              <w:t>固态</w:t>
            </w:r>
          </w:p>
        </w:tc>
        <w:tc>
          <w:tcPr>
            <w:tcW w:w="826" w:type="dxa"/>
            <w:tcBorders>
              <w:tl2br w:val="nil"/>
              <w:tr2bl w:val="nil"/>
            </w:tcBorders>
            <w:vAlign w:val="center"/>
          </w:tcPr>
          <w:p w14:paraId="2B6ED57D">
            <w:pPr>
              <w:jc w:val="center"/>
              <w:rPr>
                <w:color w:val="auto"/>
                <w:szCs w:val="21"/>
              </w:rPr>
            </w:pPr>
            <w:r>
              <w:rPr>
                <w:color w:val="auto"/>
                <w:szCs w:val="21"/>
              </w:rPr>
              <w:t>47450</w:t>
            </w:r>
          </w:p>
        </w:tc>
        <w:tc>
          <w:tcPr>
            <w:tcW w:w="855" w:type="dxa"/>
            <w:tcBorders>
              <w:tl2br w:val="nil"/>
              <w:tr2bl w:val="nil"/>
            </w:tcBorders>
            <w:vAlign w:val="center"/>
          </w:tcPr>
          <w:p w14:paraId="5DF850F0">
            <w:pPr>
              <w:tabs>
                <w:tab w:val="left" w:pos="5295"/>
              </w:tabs>
              <w:jc w:val="center"/>
              <w:rPr>
                <w:color w:val="auto"/>
                <w:szCs w:val="21"/>
              </w:rPr>
            </w:pPr>
            <w:r>
              <w:rPr>
                <w:color w:val="auto"/>
                <w:szCs w:val="21"/>
              </w:rPr>
              <w:t>0</w:t>
            </w:r>
          </w:p>
        </w:tc>
        <w:tc>
          <w:tcPr>
            <w:tcW w:w="2566" w:type="dxa"/>
            <w:vMerge w:val="restart"/>
            <w:tcBorders>
              <w:tl2br w:val="nil"/>
              <w:tr2bl w:val="nil"/>
            </w:tcBorders>
            <w:vAlign w:val="center"/>
          </w:tcPr>
          <w:p w14:paraId="30268886">
            <w:pPr>
              <w:jc w:val="center"/>
              <w:rPr>
                <w:color w:val="auto"/>
                <w:szCs w:val="21"/>
              </w:rPr>
            </w:pPr>
            <w:r>
              <w:rPr>
                <w:color w:val="auto"/>
                <w:szCs w:val="21"/>
              </w:rPr>
              <w:t>除</w:t>
            </w:r>
            <w:r>
              <w:rPr>
                <w:rFonts w:hint="eastAsia"/>
                <w:color w:val="auto"/>
                <w:szCs w:val="21"/>
              </w:rPr>
              <w:t>极端天气</w:t>
            </w:r>
            <w:r>
              <w:rPr>
                <w:color w:val="auto"/>
                <w:szCs w:val="21"/>
              </w:rPr>
              <w:t>（约50天/年）需暂存</w:t>
            </w:r>
            <w:r>
              <w:rPr>
                <w:rFonts w:hint="eastAsia"/>
                <w:color w:val="auto"/>
                <w:szCs w:val="21"/>
                <w:lang w:eastAsia="zh-CN"/>
              </w:rPr>
              <w:t>临时储粪场</w:t>
            </w:r>
            <w:r>
              <w:rPr>
                <w:color w:val="auto"/>
                <w:szCs w:val="21"/>
              </w:rPr>
              <w:t>外，均日产日清由清粪车直接拉走外售</w:t>
            </w:r>
            <w:r>
              <w:rPr>
                <w:rFonts w:hint="eastAsia"/>
                <w:color w:val="auto"/>
                <w:szCs w:val="21"/>
              </w:rPr>
              <w:t>进行有机肥制造</w:t>
            </w:r>
          </w:p>
        </w:tc>
      </w:tr>
      <w:tr w14:paraId="706D9D43">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84" w:type="dxa"/>
            <w:tcBorders>
              <w:bottom w:val="single" w:color="auto" w:sz="4" w:space="0"/>
              <w:tl2br w:val="nil"/>
              <w:tr2bl w:val="nil"/>
            </w:tcBorders>
            <w:vAlign w:val="center"/>
          </w:tcPr>
          <w:p w14:paraId="3C2D112E">
            <w:pPr>
              <w:jc w:val="center"/>
              <w:rPr>
                <w:color w:val="auto"/>
                <w:szCs w:val="21"/>
              </w:rPr>
            </w:pPr>
            <w:r>
              <w:rPr>
                <w:rFonts w:hint="eastAsia"/>
                <w:color w:val="auto"/>
                <w:szCs w:val="21"/>
              </w:rPr>
              <w:t>蛋鸡</w:t>
            </w:r>
            <w:r>
              <w:rPr>
                <w:color w:val="auto"/>
                <w:szCs w:val="21"/>
              </w:rPr>
              <w:t>饲养</w:t>
            </w:r>
          </w:p>
        </w:tc>
        <w:tc>
          <w:tcPr>
            <w:tcW w:w="847" w:type="dxa"/>
            <w:tcBorders>
              <w:top w:val="single" w:color="auto" w:sz="4" w:space="0"/>
              <w:bottom w:val="single" w:color="auto" w:sz="4" w:space="0"/>
              <w:tl2br w:val="nil"/>
              <w:tr2bl w:val="nil"/>
            </w:tcBorders>
            <w:vAlign w:val="center"/>
          </w:tcPr>
          <w:p w14:paraId="05912F88">
            <w:pPr>
              <w:jc w:val="center"/>
              <w:rPr>
                <w:color w:val="auto"/>
                <w:szCs w:val="21"/>
              </w:rPr>
            </w:pPr>
            <w:r>
              <w:rPr>
                <w:color w:val="auto"/>
                <w:szCs w:val="21"/>
              </w:rPr>
              <w:t>饲料残渣</w:t>
            </w:r>
          </w:p>
        </w:tc>
        <w:tc>
          <w:tcPr>
            <w:tcW w:w="629" w:type="dxa"/>
            <w:vMerge w:val="continue"/>
            <w:tcBorders>
              <w:tl2br w:val="nil"/>
              <w:tr2bl w:val="nil"/>
            </w:tcBorders>
            <w:vAlign w:val="center"/>
          </w:tcPr>
          <w:p w14:paraId="2DE4F395">
            <w:pPr>
              <w:tabs>
                <w:tab w:val="left" w:pos="5295"/>
              </w:tabs>
              <w:jc w:val="center"/>
              <w:rPr>
                <w:color w:val="auto"/>
                <w:szCs w:val="21"/>
              </w:rPr>
            </w:pPr>
          </w:p>
        </w:tc>
        <w:tc>
          <w:tcPr>
            <w:tcW w:w="1231" w:type="dxa"/>
            <w:tcBorders>
              <w:top w:val="single" w:color="auto" w:sz="4" w:space="0"/>
              <w:tl2br w:val="nil"/>
              <w:tr2bl w:val="nil"/>
            </w:tcBorders>
            <w:vAlign w:val="center"/>
          </w:tcPr>
          <w:p w14:paraId="6F5506E0">
            <w:pPr>
              <w:jc w:val="center"/>
              <w:rPr>
                <w:color w:val="auto"/>
                <w:szCs w:val="21"/>
              </w:rPr>
            </w:pPr>
            <w:r>
              <w:rPr>
                <w:rFonts w:hint="eastAsia"/>
                <w:color w:val="auto"/>
                <w:szCs w:val="21"/>
              </w:rPr>
              <w:t>900-999-99</w:t>
            </w:r>
          </w:p>
        </w:tc>
        <w:tc>
          <w:tcPr>
            <w:tcW w:w="693" w:type="dxa"/>
            <w:tcBorders>
              <w:tl2br w:val="nil"/>
              <w:tr2bl w:val="nil"/>
            </w:tcBorders>
            <w:vAlign w:val="center"/>
          </w:tcPr>
          <w:p w14:paraId="0205E6B5">
            <w:pPr>
              <w:jc w:val="center"/>
              <w:rPr>
                <w:color w:val="auto"/>
                <w:szCs w:val="21"/>
              </w:rPr>
            </w:pPr>
            <w:r>
              <w:rPr>
                <w:color w:val="auto"/>
                <w:szCs w:val="21"/>
              </w:rPr>
              <w:t>固态</w:t>
            </w:r>
          </w:p>
        </w:tc>
        <w:tc>
          <w:tcPr>
            <w:tcW w:w="826" w:type="dxa"/>
            <w:tcBorders>
              <w:tl2br w:val="nil"/>
              <w:tr2bl w:val="nil"/>
            </w:tcBorders>
            <w:vAlign w:val="center"/>
          </w:tcPr>
          <w:p w14:paraId="1498159C">
            <w:pPr>
              <w:jc w:val="center"/>
              <w:rPr>
                <w:color w:val="auto"/>
                <w:szCs w:val="21"/>
              </w:rPr>
            </w:pPr>
            <w:r>
              <w:rPr>
                <w:color w:val="auto"/>
                <w:szCs w:val="21"/>
              </w:rPr>
              <w:t>45</w:t>
            </w:r>
          </w:p>
        </w:tc>
        <w:tc>
          <w:tcPr>
            <w:tcW w:w="855" w:type="dxa"/>
            <w:tcBorders>
              <w:tl2br w:val="nil"/>
              <w:tr2bl w:val="nil"/>
            </w:tcBorders>
            <w:vAlign w:val="center"/>
          </w:tcPr>
          <w:p w14:paraId="58B0A3D3">
            <w:pPr>
              <w:tabs>
                <w:tab w:val="left" w:pos="5295"/>
              </w:tabs>
              <w:jc w:val="center"/>
              <w:rPr>
                <w:color w:val="auto"/>
                <w:szCs w:val="21"/>
              </w:rPr>
            </w:pPr>
            <w:r>
              <w:rPr>
                <w:rFonts w:hint="eastAsia"/>
                <w:color w:val="auto"/>
                <w:szCs w:val="21"/>
              </w:rPr>
              <w:t>0</w:t>
            </w:r>
          </w:p>
        </w:tc>
        <w:tc>
          <w:tcPr>
            <w:tcW w:w="2566" w:type="dxa"/>
            <w:vMerge w:val="continue"/>
            <w:tcBorders>
              <w:tl2br w:val="nil"/>
              <w:tr2bl w:val="nil"/>
            </w:tcBorders>
            <w:vAlign w:val="center"/>
          </w:tcPr>
          <w:p w14:paraId="6F94ADA9">
            <w:pPr>
              <w:tabs>
                <w:tab w:val="left" w:pos="5295"/>
              </w:tabs>
              <w:jc w:val="center"/>
              <w:rPr>
                <w:color w:val="auto"/>
                <w:szCs w:val="21"/>
              </w:rPr>
            </w:pPr>
          </w:p>
        </w:tc>
      </w:tr>
      <w:tr w14:paraId="779579B3">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84" w:type="dxa"/>
            <w:tcBorders>
              <w:top w:val="single" w:color="auto" w:sz="4" w:space="0"/>
              <w:bottom w:val="single" w:color="auto" w:sz="4" w:space="0"/>
              <w:tl2br w:val="nil"/>
              <w:tr2bl w:val="nil"/>
            </w:tcBorders>
            <w:vAlign w:val="center"/>
          </w:tcPr>
          <w:p w14:paraId="7101E21A">
            <w:pPr>
              <w:jc w:val="center"/>
              <w:rPr>
                <w:color w:val="auto"/>
                <w:szCs w:val="21"/>
              </w:rPr>
            </w:pPr>
            <w:r>
              <w:rPr>
                <w:rFonts w:hint="eastAsia"/>
                <w:color w:val="auto"/>
                <w:szCs w:val="21"/>
              </w:rPr>
              <w:t>蛋鸡养殖</w:t>
            </w:r>
          </w:p>
        </w:tc>
        <w:tc>
          <w:tcPr>
            <w:tcW w:w="847" w:type="dxa"/>
            <w:tcBorders>
              <w:top w:val="single" w:color="auto" w:sz="4" w:space="0"/>
              <w:bottom w:val="single" w:color="auto" w:sz="4" w:space="0"/>
              <w:tl2br w:val="nil"/>
              <w:tr2bl w:val="nil"/>
            </w:tcBorders>
            <w:vAlign w:val="center"/>
          </w:tcPr>
          <w:p w14:paraId="4D152DA8">
            <w:pPr>
              <w:jc w:val="center"/>
              <w:rPr>
                <w:color w:val="auto"/>
                <w:szCs w:val="21"/>
              </w:rPr>
            </w:pPr>
            <w:r>
              <w:rPr>
                <w:color w:val="auto"/>
                <w:szCs w:val="21"/>
              </w:rPr>
              <w:t>病死鸡</w:t>
            </w:r>
          </w:p>
        </w:tc>
        <w:tc>
          <w:tcPr>
            <w:tcW w:w="629" w:type="dxa"/>
            <w:vMerge w:val="continue"/>
            <w:tcBorders>
              <w:tl2br w:val="nil"/>
              <w:tr2bl w:val="nil"/>
            </w:tcBorders>
            <w:vAlign w:val="center"/>
          </w:tcPr>
          <w:p w14:paraId="77875FAF">
            <w:pPr>
              <w:tabs>
                <w:tab w:val="left" w:pos="5295"/>
              </w:tabs>
              <w:jc w:val="center"/>
              <w:rPr>
                <w:color w:val="auto"/>
                <w:szCs w:val="21"/>
              </w:rPr>
            </w:pPr>
          </w:p>
        </w:tc>
        <w:tc>
          <w:tcPr>
            <w:tcW w:w="1231" w:type="dxa"/>
            <w:tcBorders>
              <w:top w:val="single" w:color="auto" w:sz="4" w:space="0"/>
              <w:tl2br w:val="nil"/>
              <w:tr2bl w:val="nil"/>
            </w:tcBorders>
            <w:vAlign w:val="center"/>
          </w:tcPr>
          <w:p w14:paraId="0240E0C0">
            <w:pPr>
              <w:jc w:val="center"/>
              <w:rPr>
                <w:color w:val="auto"/>
                <w:szCs w:val="21"/>
              </w:rPr>
            </w:pPr>
            <w:r>
              <w:rPr>
                <w:rFonts w:hint="eastAsia"/>
                <w:color w:val="auto"/>
                <w:szCs w:val="21"/>
              </w:rPr>
              <w:t>900-999-99</w:t>
            </w:r>
          </w:p>
        </w:tc>
        <w:tc>
          <w:tcPr>
            <w:tcW w:w="693" w:type="dxa"/>
            <w:tcBorders>
              <w:top w:val="single" w:color="auto" w:sz="4" w:space="0"/>
              <w:tl2br w:val="nil"/>
              <w:tr2bl w:val="nil"/>
            </w:tcBorders>
            <w:vAlign w:val="center"/>
          </w:tcPr>
          <w:p w14:paraId="647F7DDB">
            <w:pPr>
              <w:jc w:val="center"/>
              <w:rPr>
                <w:color w:val="auto"/>
                <w:szCs w:val="21"/>
              </w:rPr>
            </w:pPr>
            <w:r>
              <w:rPr>
                <w:color w:val="auto"/>
                <w:szCs w:val="21"/>
              </w:rPr>
              <w:t>固态</w:t>
            </w:r>
          </w:p>
        </w:tc>
        <w:tc>
          <w:tcPr>
            <w:tcW w:w="826" w:type="dxa"/>
            <w:tcBorders>
              <w:top w:val="single" w:color="auto" w:sz="4" w:space="0"/>
              <w:tl2br w:val="nil"/>
              <w:tr2bl w:val="nil"/>
            </w:tcBorders>
            <w:vAlign w:val="center"/>
          </w:tcPr>
          <w:p w14:paraId="51F9AD54">
            <w:pPr>
              <w:jc w:val="center"/>
              <w:rPr>
                <w:color w:val="auto"/>
                <w:szCs w:val="21"/>
              </w:rPr>
            </w:pPr>
            <w:r>
              <w:rPr>
                <w:rFonts w:hint="eastAsia"/>
                <w:color w:val="auto"/>
                <w:szCs w:val="21"/>
              </w:rPr>
              <w:t>3</w:t>
            </w:r>
          </w:p>
        </w:tc>
        <w:tc>
          <w:tcPr>
            <w:tcW w:w="855" w:type="dxa"/>
            <w:tcBorders>
              <w:top w:val="single" w:color="auto" w:sz="4" w:space="0"/>
              <w:bottom w:val="single" w:color="auto" w:sz="4" w:space="0"/>
              <w:tl2br w:val="nil"/>
              <w:tr2bl w:val="nil"/>
            </w:tcBorders>
            <w:vAlign w:val="center"/>
          </w:tcPr>
          <w:p w14:paraId="3374F628">
            <w:pPr>
              <w:tabs>
                <w:tab w:val="left" w:pos="5295"/>
              </w:tabs>
              <w:jc w:val="center"/>
              <w:rPr>
                <w:color w:val="auto"/>
                <w:szCs w:val="21"/>
              </w:rPr>
            </w:pPr>
            <w:r>
              <w:rPr>
                <w:color w:val="auto"/>
                <w:szCs w:val="21"/>
              </w:rPr>
              <w:t>0</w:t>
            </w:r>
          </w:p>
        </w:tc>
        <w:tc>
          <w:tcPr>
            <w:tcW w:w="2566" w:type="dxa"/>
            <w:tcBorders>
              <w:top w:val="single" w:color="auto" w:sz="4" w:space="0"/>
              <w:bottom w:val="single" w:color="auto" w:sz="4" w:space="0"/>
              <w:tl2br w:val="nil"/>
              <w:tr2bl w:val="nil"/>
            </w:tcBorders>
            <w:vAlign w:val="center"/>
          </w:tcPr>
          <w:p w14:paraId="05EAB461">
            <w:pPr>
              <w:jc w:val="center"/>
              <w:rPr>
                <w:rFonts w:hint="eastAsia" w:eastAsia="宋体"/>
                <w:color w:val="auto"/>
                <w:szCs w:val="21"/>
                <w:lang w:eastAsia="zh-CN"/>
              </w:rPr>
            </w:pPr>
            <w:r>
              <w:rPr>
                <w:rFonts w:hint="eastAsia"/>
                <w:bCs/>
                <w:color w:val="auto"/>
                <w:lang w:eastAsia="zh-CN"/>
              </w:rPr>
              <w:t>暂存于冷柜，委托北票市汇宏动物无害化处理有限公司定期收集处理。</w:t>
            </w:r>
          </w:p>
        </w:tc>
      </w:tr>
      <w:tr w14:paraId="16EF9A13">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84" w:type="dxa"/>
            <w:tcBorders>
              <w:top w:val="single" w:color="auto" w:sz="4" w:space="0"/>
              <w:tl2br w:val="nil"/>
              <w:tr2bl w:val="nil"/>
            </w:tcBorders>
            <w:vAlign w:val="center"/>
          </w:tcPr>
          <w:p w14:paraId="3C0AAB49">
            <w:pPr>
              <w:jc w:val="center"/>
              <w:rPr>
                <w:color w:val="auto"/>
                <w:szCs w:val="21"/>
              </w:rPr>
            </w:pPr>
            <w:r>
              <w:rPr>
                <w:rFonts w:hint="eastAsia"/>
                <w:color w:val="auto"/>
                <w:szCs w:val="21"/>
              </w:rPr>
              <w:t>软化水制备</w:t>
            </w:r>
          </w:p>
        </w:tc>
        <w:tc>
          <w:tcPr>
            <w:tcW w:w="847" w:type="dxa"/>
            <w:tcBorders>
              <w:top w:val="single" w:color="auto" w:sz="4" w:space="0"/>
              <w:bottom w:val="single" w:color="auto" w:sz="4" w:space="0"/>
              <w:tl2br w:val="nil"/>
              <w:tr2bl w:val="nil"/>
            </w:tcBorders>
            <w:vAlign w:val="center"/>
          </w:tcPr>
          <w:p w14:paraId="7D1E7BE2">
            <w:pPr>
              <w:tabs>
                <w:tab w:val="left" w:pos="5295"/>
              </w:tabs>
              <w:jc w:val="center"/>
              <w:rPr>
                <w:color w:val="auto"/>
                <w:szCs w:val="21"/>
              </w:rPr>
            </w:pPr>
            <w:r>
              <w:rPr>
                <w:rFonts w:hint="eastAsia"/>
                <w:color w:val="auto"/>
                <w:szCs w:val="21"/>
              </w:rPr>
              <w:t>废离子交换树脂</w:t>
            </w:r>
          </w:p>
        </w:tc>
        <w:tc>
          <w:tcPr>
            <w:tcW w:w="629" w:type="dxa"/>
            <w:vMerge w:val="continue"/>
            <w:tcBorders>
              <w:tl2br w:val="nil"/>
              <w:tr2bl w:val="nil"/>
            </w:tcBorders>
            <w:vAlign w:val="center"/>
          </w:tcPr>
          <w:p w14:paraId="5EEB535A">
            <w:pPr>
              <w:tabs>
                <w:tab w:val="left" w:pos="5295"/>
              </w:tabs>
              <w:jc w:val="center"/>
              <w:rPr>
                <w:color w:val="auto"/>
                <w:szCs w:val="21"/>
              </w:rPr>
            </w:pPr>
          </w:p>
        </w:tc>
        <w:tc>
          <w:tcPr>
            <w:tcW w:w="1231" w:type="dxa"/>
            <w:tcBorders>
              <w:top w:val="single" w:color="auto" w:sz="4" w:space="0"/>
              <w:bottom w:val="single" w:color="auto" w:sz="4" w:space="0"/>
              <w:tl2br w:val="nil"/>
              <w:tr2bl w:val="nil"/>
            </w:tcBorders>
            <w:vAlign w:val="center"/>
          </w:tcPr>
          <w:p w14:paraId="43D25E07">
            <w:pPr>
              <w:tabs>
                <w:tab w:val="left" w:pos="3240"/>
              </w:tabs>
              <w:ind w:left="-105" w:leftChars="-50" w:right="-105" w:rightChars="-50"/>
              <w:jc w:val="center"/>
              <w:rPr>
                <w:color w:val="auto"/>
              </w:rPr>
            </w:pPr>
            <w:r>
              <w:rPr>
                <w:rFonts w:hint="eastAsia"/>
                <w:color w:val="auto"/>
              </w:rPr>
              <w:t>292-001-06</w:t>
            </w:r>
          </w:p>
        </w:tc>
        <w:tc>
          <w:tcPr>
            <w:tcW w:w="693" w:type="dxa"/>
            <w:tcBorders>
              <w:top w:val="single" w:color="auto" w:sz="4" w:space="0"/>
              <w:tl2br w:val="nil"/>
              <w:tr2bl w:val="nil"/>
            </w:tcBorders>
            <w:vAlign w:val="center"/>
          </w:tcPr>
          <w:p w14:paraId="3D73B612">
            <w:pPr>
              <w:jc w:val="center"/>
              <w:rPr>
                <w:color w:val="auto"/>
                <w:szCs w:val="21"/>
              </w:rPr>
            </w:pPr>
            <w:r>
              <w:rPr>
                <w:color w:val="auto"/>
                <w:szCs w:val="21"/>
              </w:rPr>
              <w:t>固态</w:t>
            </w:r>
          </w:p>
        </w:tc>
        <w:tc>
          <w:tcPr>
            <w:tcW w:w="826" w:type="dxa"/>
            <w:tcBorders>
              <w:top w:val="single" w:color="auto" w:sz="4" w:space="0"/>
              <w:tl2br w:val="nil"/>
              <w:tr2bl w:val="nil"/>
            </w:tcBorders>
            <w:vAlign w:val="center"/>
          </w:tcPr>
          <w:p w14:paraId="21FF2324">
            <w:pPr>
              <w:jc w:val="center"/>
              <w:rPr>
                <w:color w:val="auto"/>
                <w:szCs w:val="21"/>
              </w:rPr>
            </w:pPr>
            <w:r>
              <w:rPr>
                <w:rFonts w:hint="eastAsia"/>
                <w:color w:val="auto"/>
                <w:szCs w:val="21"/>
              </w:rPr>
              <w:t>0.</w:t>
            </w:r>
            <w:r>
              <w:rPr>
                <w:rFonts w:hint="eastAsia"/>
                <w:color w:val="auto"/>
                <w:szCs w:val="21"/>
                <w:lang w:val="en-US" w:eastAsia="zh-CN"/>
              </w:rPr>
              <w:t>05</w:t>
            </w:r>
            <w:r>
              <w:rPr>
                <w:rFonts w:hint="eastAsia"/>
                <w:color w:val="auto"/>
                <w:szCs w:val="21"/>
              </w:rPr>
              <w:t>t/5a</w:t>
            </w:r>
          </w:p>
        </w:tc>
        <w:tc>
          <w:tcPr>
            <w:tcW w:w="855" w:type="dxa"/>
            <w:tcBorders>
              <w:top w:val="single" w:color="auto" w:sz="4" w:space="0"/>
              <w:tl2br w:val="nil"/>
              <w:tr2bl w:val="nil"/>
            </w:tcBorders>
            <w:vAlign w:val="center"/>
          </w:tcPr>
          <w:p w14:paraId="33C173D3">
            <w:pPr>
              <w:overflowPunct w:val="0"/>
              <w:autoSpaceDE w:val="0"/>
              <w:autoSpaceDN w:val="0"/>
              <w:adjustRightInd w:val="0"/>
              <w:snapToGrid w:val="0"/>
              <w:jc w:val="center"/>
              <w:rPr>
                <w:color w:val="auto"/>
                <w:szCs w:val="21"/>
              </w:rPr>
            </w:pPr>
            <w:r>
              <w:rPr>
                <w:color w:val="auto"/>
                <w:szCs w:val="21"/>
              </w:rPr>
              <w:t>0</w:t>
            </w:r>
          </w:p>
        </w:tc>
        <w:tc>
          <w:tcPr>
            <w:tcW w:w="2566" w:type="dxa"/>
            <w:tcBorders>
              <w:tl2br w:val="nil"/>
              <w:tr2bl w:val="nil"/>
            </w:tcBorders>
            <w:vAlign w:val="center"/>
          </w:tcPr>
          <w:p w14:paraId="2ED9F5B0">
            <w:pPr>
              <w:pStyle w:val="351"/>
              <w:overflowPunct w:val="0"/>
              <w:autoSpaceDE w:val="0"/>
              <w:autoSpaceDN w:val="0"/>
              <w:adjustRightInd w:val="0"/>
              <w:ind w:firstLine="0" w:firstLineChars="0"/>
              <w:rPr>
                <w:color w:val="auto"/>
              </w:rPr>
            </w:pPr>
            <w:r>
              <w:rPr>
                <w:color w:val="auto"/>
                <w:szCs w:val="21"/>
              </w:rPr>
              <w:t>由厂家进行更换处理</w:t>
            </w:r>
          </w:p>
        </w:tc>
      </w:tr>
      <w:tr w14:paraId="7423163F">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84" w:type="dxa"/>
            <w:vMerge w:val="restart"/>
            <w:tcBorders>
              <w:top w:val="single" w:color="auto" w:sz="4" w:space="0"/>
              <w:tl2br w:val="nil"/>
              <w:tr2bl w:val="nil"/>
            </w:tcBorders>
            <w:vAlign w:val="center"/>
          </w:tcPr>
          <w:p w14:paraId="76BC7EDA">
            <w:pPr>
              <w:jc w:val="center"/>
              <w:rPr>
                <w:rFonts w:hint="eastAsia" w:eastAsia="宋体"/>
                <w:color w:val="auto"/>
                <w:szCs w:val="21"/>
                <w:lang w:eastAsia="zh-CN"/>
              </w:rPr>
            </w:pPr>
            <w:r>
              <w:rPr>
                <w:rFonts w:hint="eastAsia"/>
                <w:color w:val="auto"/>
                <w:szCs w:val="21"/>
                <w:lang w:eastAsia="zh-CN"/>
              </w:rPr>
              <w:t>锅炉</w:t>
            </w:r>
          </w:p>
        </w:tc>
        <w:tc>
          <w:tcPr>
            <w:tcW w:w="847" w:type="dxa"/>
            <w:tcBorders>
              <w:top w:val="single" w:color="auto" w:sz="4" w:space="0"/>
              <w:bottom w:val="single" w:color="auto" w:sz="4" w:space="0"/>
              <w:tl2br w:val="nil"/>
              <w:tr2bl w:val="nil"/>
            </w:tcBorders>
            <w:vAlign w:val="center"/>
          </w:tcPr>
          <w:p w14:paraId="2F429FAA">
            <w:pPr>
              <w:jc w:val="center"/>
              <w:rPr>
                <w:rFonts w:hint="eastAsia"/>
                <w:color w:val="auto"/>
                <w:szCs w:val="21"/>
              </w:rPr>
            </w:pPr>
            <w:r>
              <w:rPr>
                <w:rFonts w:hint="eastAsia"/>
                <w:color w:val="auto"/>
                <w:szCs w:val="21"/>
                <w:lang w:eastAsia="zh-CN"/>
              </w:rPr>
              <w:t>锅炉灰渣</w:t>
            </w:r>
          </w:p>
        </w:tc>
        <w:tc>
          <w:tcPr>
            <w:tcW w:w="629" w:type="dxa"/>
            <w:vMerge w:val="continue"/>
            <w:tcBorders>
              <w:tl2br w:val="nil"/>
              <w:tr2bl w:val="nil"/>
            </w:tcBorders>
            <w:vAlign w:val="center"/>
          </w:tcPr>
          <w:p w14:paraId="3D73933C">
            <w:pPr>
              <w:tabs>
                <w:tab w:val="left" w:pos="5295"/>
              </w:tabs>
              <w:jc w:val="center"/>
              <w:rPr>
                <w:color w:val="auto"/>
                <w:szCs w:val="21"/>
              </w:rPr>
            </w:pPr>
          </w:p>
        </w:tc>
        <w:tc>
          <w:tcPr>
            <w:tcW w:w="1231" w:type="dxa"/>
            <w:tcBorders>
              <w:top w:val="single" w:color="auto" w:sz="4" w:space="0"/>
              <w:bottom w:val="single" w:color="auto" w:sz="4" w:space="0"/>
              <w:tl2br w:val="nil"/>
              <w:tr2bl w:val="nil"/>
            </w:tcBorders>
            <w:vAlign w:val="center"/>
          </w:tcPr>
          <w:p w14:paraId="6327BC5F">
            <w:pPr>
              <w:jc w:val="center"/>
              <w:rPr>
                <w:rFonts w:hint="eastAsia"/>
                <w:color w:val="auto"/>
              </w:rPr>
            </w:pPr>
            <w:r>
              <w:rPr>
                <w:rFonts w:hint="eastAsia" w:cs="Times New Roman"/>
                <w:color w:val="auto"/>
                <w:szCs w:val="21"/>
                <w:highlight w:val="none"/>
                <w:lang w:val="en-US" w:eastAsia="zh-CN"/>
              </w:rPr>
              <w:t>443</w:t>
            </w:r>
            <w:r>
              <w:rPr>
                <w:rFonts w:hint="eastAsia" w:ascii="Times New Roman" w:hAnsi="Times New Roman" w:eastAsia="宋体" w:cs="Times New Roman"/>
                <w:color w:val="auto"/>
                <w:szCs w:val="21"/>
                <w:highlight w:val="none"/>
                <w:lang w:val="en-US" w:eastAsia="zh-CN"/>
              </w:rPr>
              <w:t>-</w:t>
            </w:r>
            <w:r>
              <w:rPr>
                <w:rFonts w:hint="eastAsia" w:cs="Times New Roman"/>
                <w:color w:val="auto"/>
                <w:szCs w:val="21"/>
                <w:highlight w:val="none"/>
                <w:lang w:val="en-US" w:eastAsia="zh-CN"/>
              </w:rPr>
              <w:t>003</w:t>
            </w:r>
            <w:r>
              <w:rPr>
                <w:rFonts w:hint="eastAsia" w:ascii="Times New Roman" w:hAnsi="Times New Roman" w:eastAsia="宋体" w:cs="Times New Roman"/>
                <w:color w:val="auto"/>
                <w:szCs w:val="21"/>
                <w:highlight w:val="none"/>
                <w:lang w:val="en-US" w:eastAsia="zh-CN"/>
              </w:rPr>
              <w:t>-</w:t>
            </w:r>
            <w:r>
              <w:rPr>
                <w:rFonts w:hint="eastAsia" w:cs="Times New Roman"/>
                <w:color w:val="auto"/>
                <w:szCs w:val="21"/>
                <w:highlight w:val="none"/>
                <w:lang w:val="en-US" w:eastAsia="zh-CN"/>
              </w:rPr>
              <w:t>64</w:t>
            </w:r>
          </w:p>
        </w:tc>
        <w:tc>
          <w:tcPr>
            <w:tcW w:w="693" w:type="dxa"/>
            <w:tcBorders>
              <w:top w:val="single" w:color="auto" w:sz="4" w:space="0"/>
              <w:tl2br w:val="nil"/>
              <w:tr2bl w:val="nil"/>
            </w:tcBorders>
            <w:vAlign w:val="center"/>
          </w:tcPr>
          <w:p w14:paraId="77E49516">
            <w:pPr>
              <w:jc w:val="center"/>
              <w:rPr>
                <w:color w:val="auto"/>
                <w:szCs w:val="21"/>
              </w:rPr>
            </w:pPr>
            <w:r>
              <w:rPr>
                <w:rFonts w:hint="eastAsia"/>
                <w:color w:val="auto"/>
                <w:szCs w:val="21"/>
                <w:lang w:eastAsia="zh-CN"/>
              </w:rPr>
              <w:t>固态</w:t>
            </w:r>
          </w:p>
        </w:tc>
        <w:tc>
          <w:tcPr>
            <w:tcW w:w="826" w:type="dxa"/>
            <w:tcBorders>
              <w:top w:val="single" w:color="auto" w:sz="4" w:space="0"/>
              <w:tl2br w:val="nil"/>
              <w:tr2bl w:val="nil"/>
            </w:tcBorders>
            <w:vAlign w:val="center"/>
          </w:tcPr>
          <w:p w14:paraId="3E5E7341">
            <w:pPr>
              <w:jc w:val="center"/>
              <w:rPr>
                <w:rFonts w:hint="eastAsia"/>
                <w:color w:val="auto"/>
                <w:szCs w:val="21"/>
              </w:rPr>
            </w:pPr>
            <w:r>
              <w:rPr>
                <w:rFonts w:hint="eastAsia"/>
                <w:color w:val="auto"/>
                <w:szCs w:val="21"/>
                <w:lang w:val="en-US" w:eastAsia="zh-CN"/>
              </w:rPr>
              <w:t>126</w:t>
            </w:r>
          </w:p>
        </w:tc>
        <w:tc>
          <w:tcPr>
            <w:tcW w:w="855" w:type="dxa"/>
            <w:tcBorders>
              <w:top w:val="single" w:color="auto" w:sz="4" w:space="0"/>
              <w:tl2br w:val="nil"/>
              <w:tr2bl w:val="nil"/>
            </w:tcBorders>
            <w:vAlign w:val="center"/>
          </w:tcPr>
          <w:p w14:paraId="143D4D3B">
            <w:pPr>
              <w:overflowPunct w:val="0"/>
              <w:autoSpaceDE w:val="0"/>
              <w:autoSpaceDN w:val="0"/>
              <w:adjustRightInd w:val="0"/>
              <w:snapToGrid w:val="0"/>
              <w:jc w:val="center"/>
              <w:rPr>
                <w:rFonts w:hint="eastAsia" w:eastAsia="宋体"/>
                <w:color w:val="auto"/>
                <w:szCs w:val="21"/>
                <w:lang w:val="en-US" w:eastAsia="zh-CN"/>
              </w:rPr>
            </w:pPr>
            <w:r>
              <w:rPr>
                <w:rFonts w:hint="eastAsia"/>
                <w:color w:val="auto"/>
                <w:szCs w:val="21"/>
                <w:lang w:val="en-US" w:eastAsia="zh-CN"/>
              </w:rPr>
              <w:t>0</w:t>
            </w:r>
          </w:p>
        </w:tc>
        <w:tc>
          <w:tcPr>
            <w:tcW w:w="2566" w:type="dxa"/>
            <w:vMerge w:val="restart"/>
            <w:tcBorders>
              <w:tl2br w:val="nil"/>
              <w:tr2bl w:val="nil"/>
            </w:tcBorders>
            <w:vAlign w:val="center"/>
          </w:tcPr>
          <w:p w14:paraId="0C407032">
            <w:pPr>
              <w:pStyle w:val="351"/>
              <w:overflowPunct w:val="0"/>
              <w:autoSpaceDE w:val="0"/>
              <w:autoSpaceDN w:val="0"/>
              <w:adjustRightInd w:val="0"/>
              <w:ind w:firstLine="0" w:firstLineChars="0"/>
              <w:rPr>
                <w:color w:val="auto"/>
                <w:szCs w:val="21"/>
              </w:rPr>
            </w:pPr>
            <w:r>
              <w:rPr>
                <w:rFonts w:hint="eastAsia" w:cs="Times New Roman"/>
                <w:color w:val="auto"/>
                <w:kern w:val="2"/>
                <w:sz w:val="21"/>
                <w:szCs w:val="21"/>
                <w:lang w:val="en-US" w:eastAsia="zh-CN" w:bidi="ar-SA"/>
              </w:rPr>
              <w:t>密封袋</w:t>
            </w:r>
            <w:r>
              <w:rPr>
                <w:rFonts w:hint="eastAsia" w:ascii="Times New Roman" w:hAnsi="Times New Roman" w:eastAsia="宋体" w:cs="Times New Roman"/>
                <w:color w:val="auto"/>
                <w:kern w:val="2"/>
                <w:sz w:val="21"/>
                <w:szCs w:val="21"/>
                <w:lang w:val="en-US" w:eastAsia="zh-CN" w:bidi="ar-SA"/>
              </w:rPr>
              <w:t>暂存于</w:t>
            </w:r>
            <w:r>
              <w:rPr>
                <w:rFonts w:hint="eastAsia" w:cs="Times New Roman"/>
                <w:color w:val="auto"/>
                <w:kern w:val="2"/>
                <w:sz w:val="21"/>
                <w:szCs w:val="21"/>
                <w:lang w:val="en-US" w:eastAsia="zh-CN" w:bidi="ar-SA"/>
              </w:rPr>
              <w:t>渣</w:t>
            </w:r>
            <w:r>
              <w:rPr>
                <w:rFonts w:hint="eastAsia" w:ascii="Times New Roman" w:hAnsi="Times New Roman" w:eastAsia="宋体" w:cs="Times New Roman"/>
                <w:color w:val="auto"/>
                <w:kern w:val="2"/>
                <w:sz w:val="21"/>
                <w:szCs w:val="21"/>
                <w:lang w:val="en-US" w:eastAsia="zh-CN" w:bidi="ar-SA"/>
              </w:rPr>
              <w:t>库，</w:t>
            </w:r>
            <w:r>
              <w:rPr>
                <w:rFonts w:hint="eastAsia"/>
                <w:color w:val="auto"/>
                <w:sz w:val="21"/>
                <w:szCs w:val="21"/>
                <w:lang w:eastAsia="zh-CN"/>
              </w:rPr>
              <w:t>作为有机肥原料</w:t>
            </w:r>
            <w:r>
              <w:rPr>
                <w:color w:val="auto"/>
                <w:sz w:val="21"/>
                <w:szCs w:val="21"/>
              </w:rPr>
              <w:t>外</w:t>
            </w:r>
            <w:r>
              <w:rPr>
                <w:rFonts w:hint="eastAsia"/>
                <w:color w:val="auto"/>
                <w:sz w:val="21"/>
                <w:szCs w:val="21"/>
              </w:rPr>
              <w:t>售</w:t>
            </w:r>
            <w:r>
              <w:rPr>
                <w:rFonts w:hint="eastAsia"/>
                <w:color w:val="auto"/>
                <w:sz w:val="21"/>
                <w:szCs w:val="21"/>
                <w:lang w:eastAsia="zh-CN"/>
              </w:rPr>
              <w:t>至辰泰（辽宁）生物科技有限公司做有机肥；</w:t>
            </w:r>
          </w:p>
        </w:tc>
      </w:tr>
      <w:tr w14:paraId="49B8D1CC">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84" w:type="dxa"/>
            <w:vMerge w:val="continue"/>
            <w:tcBorders>
              <w:tl2br w:val="nil"/>
              <w:tr2bl w:val="nil"/>
            </w:tcBorders>
            <w:vAlign w:val="center"/>
          </w:tcPr>
          <w:p w14:paraId="5C721209">
            <w:pPr>
              <w:jc w:val="center"/>
              <w:rPr>
                <w:rFonts w:hint="eastAsia"/>
                <w:color w:val="auto"/>
                <w:szCs w:val="21"/>
              </w:rPr>
            </w:pPr>
          </w:p>
        </w:tc>
        <w:tc>
          <w:tcPr>
            <w:tcW w:w="847" w:type="dxa"/>
            <w:tcBorders>
              <w:top w:val="single" w:color="auto" w:sz="4" w:space="0"/>
              <w:bottom w:val="single" w:color="auto" w:sz="4" w:space="0"/>
              <w:tl2br w:val="nil"/>
              <w:tr2bl w:val="nil"/>
            </w:tcBorders>
            <w:vAlign w:val="center"/>
          </w:tcPr>
          <w:p w14:paraId="5C5C085C">
            <w:pPr>
              <w:jc w:val="center"/>
              <w:rPr>
                <w:rFonts w:hint="eastAsia"/>
                <w:color w:val="auto"/>
                <w:szCs w:val="21"/>
              </w:rPr>
            </w:pPr>
            <w:r>
              <w:rPr>
                <w:rFonts w:hint="eastAsia"/>
                <w:color w:val="auto"/>
                <w:szCs w:val="21"/>
                <w:lang w:eastAsia="zh-CN"/>
              </w:rPr>
              <w:t>除尘灰</w:t>
            </w:r>
          </w:p>
        </w:tc>
        <w:tc>
          <w:tcPr>
            <w:tcW w:w="629" w:type="dxa"/>
            <w:vMerge w:val="continue"/>
            <w:tcBorders>
              <w:bottom w:val="single" w:color="auto" w:sz="4" w:space="0"/>
              <w:tl2br w:val="nil"/>
              <w:tr2bl w:val="nil"/>
            </w:tcBorders>
            <w:vAlign w:val="center"/>
          </w:tcPr>
          <w:p w14:paraId="45BAB5C9">
            <w:pPr>
              <w:tabs>
                <w:tab w:val="left" w:pos="5295"/>
              </w:tabs>
              <w:jc w:val="center"/>
              <w:rPr>
                <w:color w:val="auto"/>
                <w:szCs w:val="21"/>
              </w:rPr>
            </w:pPr>
          </w:p>
        </w:tc>
        <w:tc>
          <w:tcPr>
            <w:tcW w:w="1231" w:type="dxa"/>
            <w:tcBorders>
              <w:top w:val="single" w:color="auto" w:sz="4" w:space="0"/>
              <w:bottom w:val="single" w:color="auto" w:sz="4" w:space="0"/>
              <w:tl2br w:val="nil"/>
              <w:tr2bl w:val="nil"/>
            </w:tcBorders>
            <w:vAlign w:val="center"/>
          </w:tcPr>
          <w:p w14:paraId="7B2752C4">
            <w:pPr>
              <w:jc w:val="center"/>
              <w:rPr>
                <w:rFonts w:hint="eastAsia"/>
                <w:color w:val="auto"/>
              </w:rPr>
            </w:pPr>
            <w:r>
              <w:rPr>
                <w:rFonts w:hint="eastAsia" w:cs="Times New Roman"/>
                <w:color w:val="auto"/>
                <w:kern w:val="2"/>
                <w:sz w:val="21"/>
                <w:szCs w:val="21"/>
                <w:highlight w:val="none"/>
                <w:lang w:val="en-US" w:eastAsia="zh-CN" w:bidi="ar-SA"/>
              </w:rPr>
              <w:t>443</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999</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66</w:t>
            </w:r>
          </w:p>
        </w:tc>
        <w:tc>
          <w:tcPr>
            <w:tcW w:w="693" w:type="dxa"/>
            <w:tcBorders>
              <w:top w:val="single" w:color="auto" w:sz="4" w:space="0"/>
              <w:tl2br w:val="nil"/>
              <w:tr2bl w:val="nil"/>
            </w:tcBorders>
            <w:vAlign w:val="center"/>
          </w:tcPr>
          <w:p w14:paraId="7852B195">
            <w:pPr>
              <w:jc w:val="center"/>
              <w:rPr>
                <w:color w:val="auto"/>
                <w:szCs w:val="21"/>
              </w:rPr>
            </w:pPr>
            <w:r>
              <w:rPr>
                <w:rFonts w:hint="eastAsia"/>
                <w:color w:val="auto"/>
                <w:szCs w:val="21"/>
                <w:lang w:eastAsia="zh-CN"/>
              </w:rPr>
              <w:t>固态</w:t>
            </w:r>
          </w:p>
        </w:tc>
        <w:tc>
          <w:tcPr>
            <w:tcW w:w="826" w:type="dxa"/>
            <w:tcBorders>
              <w:top w:val="single" w:color="auto" w:sz="4" w:space="0"/>
              <w:tl2br w:val="nil"/>
              <w:tr2bl w:val="nil"/>
            </w:tcBorders>
            <w:vAlign w:val="center"/>
          </w:tcPr>
          <w:p w14:paraId="22978DD5">
            <w:pPr>
              <w:jc w:val="center"/>
              <w:rPr>
                <w:rFonts w:hint="eastAsia"/>
                <w:color w:val="auto"/>
                <w:szCs w:val="21"/>
              </w:rPr>
            </w:pPr>
            <w:r>
              <w:rPr>
                <w:rFonts w:hint="eastAsia"/>
                <w:color w:val="auto"/>
                <w:szCs w:val="21"/>
                <w:lang w:val="en-US" w:eastAsia="zh-CN"/>
              </w:rPr>
              <w:t>0.465</w:t>
            </w:r>
          </w:p>
        </w:tc>
        <w:tc>
          <w:tcPr>
            <w:tcW w:w="855" w:type="dxa"/>
            <w:tcBorders>
              <w:top w:val="single" w:color="auto" w:sz="4" w:space="0"/>
              <w:tl2br w:val="nil"/>
              <w:tr2bl w:val="nil"/>
            </w:tcBorders>
            <w:vAlign w:val="center"/>
          </w:tcPr>
          <w:p w14:paraId="7E31AD48">
            <w:pPr>
              <w:overflowPunct w:val="0"/>
              <w:autoSpaceDE w:val="0"/>
              <w:autoSpaceDN w:val="0"/>
              <w:adjustRightInd w:val="0"/>
              <w:snapToGrid w:val="0"/>
              <w:jc w:val="center"/>
              <w:rPr>
                <w:rFonts w:hint="eastAsia" w:eastAsia="宋体"/>
                <w:color w:val="auto"/>
                <w:szCs w:val="21"/>
                <w:lang w:val="en-US" w:eastAsia="zh-CN"/>
              </w:rPr>
            </w:pPr>
            <w:r>
              <w:rPr>
                <w:rFonts w:hint="eastAsia"/>
                <w:color w:val="auto"/>
                <w:szCs w:val="21"/>
                <w:lang w:val="en-US" w:eastAsia="zh-CN"/>
              </w:rPr>
              <w:t>0</w:t>
            </w:r>
          </w:p>
        </w:tc>
        <w:tc>
          <w:tcPr>
            <w:tcW w:w="2566" w:type="dxa"/>
            <w:vMerge w:val="continue"/>
            <w:tcBorders>
              <w:tl2br w:val="nil"/>
              <w:tr2bl w:val="nil"/>
            </w:tcBorders>
            <w:vAlign w:val="center"/>
          </w:tcPr>
          <w:p w14:paraId="46895681">
            <w:pPr>
              <w:pStyle w:val="351"/>
              <w:overflowPunct w:val="0"/>
              <w:autoSpaceDE w:val="0"/>
              <w:autoSpaceDN w:val="0"/>
              <w:adjustRightInd w:val="0"/>
              <w:ind w:firstLine="0" w:firstLineChars="0"/>
              <w:rPr>
                <w:color w:val="auto"/>
                <w:szCs w:val="21"/>
              </w:rPr>
            </w:pPr>
          </w:p>
        </w:tc>
      </w:tr>
      <w:tr w14:paraId="7AB10AF0">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84" w:type="dxa"/>
            <w:tcBorders>
              <w:top w:val="single" w:color="auto" w:sz="4" w:space="0"/>
              <w:tl2br w:val="nil"/>
              <w:tr2bl w:val="nil"/>
            </w:tcBorders>
            <w:vAlign w:val="center"/>
          </w:tcPr>
          <w:p w14:paraId="02DAC21C">
            <w:pPr>
              <w:jc w:val="center"/>
              <w:rPr>
                <w:color w:val="auto"/>
                <w:szCs w:val="21"/>
              </w:rPr>
            </w:pPr>
            <w:r>
              <w:rPr>
                <w:color w:val="auto"/>
                <w:szCs w:val="21"/>
              </w:rPr>
              <w:t>防疫治疗</w:t>
            </w:r>
          </w:p>
        </w:tc>
        <w:tc>
          <w:tcPr>
            <w:tcW w:w="847" w:type="dxa"/>
            <w:tcBorders>
              <w:top w:val="single" w:color="auto" w:sz="4" w:space="0"/>
              <w:tl2br w:val="nil"/>
              <w:tr2bl w:val="nil"/>
            </w:tcBorders>
            <w:vAlign w:val="center"/>
          </w:tcPr>
          <w:p w14:paraId="4006792A">
            <w:pPr>
              <w:jc w:val="center"/>
              <w:rPr>
                <w:color w:val="auto"/>
                <w:szCs w:val="21"/>
              </w:rPr>
            </w:pPr>
            <w:r>
              <w:rPr>
                <w:color w:val="auto"/>
                <w:szCs w:val="21"/>
              </w:rPr>
              <w:t>医疗废物</w:t>
            </w:r>
          </w:p>
        </w:tc>
        <w:tc>
          <w:tcPr>
            <w:tcW w:w="629" w:type="dxa"/>
            <w:tcBorders>
              <w:top w:val="single" w:color="auto" w:sz="4" w:space="0"/>
              <w:tl2br w:val="nil"/>
              <w:tr2bl w:val="nil"/>
            </w:tcBorders>
            <w:vAlign w:val="center"/>
          </w:tcPr>
          <w:p w14:paraId="1AB0C723">
            <w:pPr>
              <w:tabs>
                <w:tab w:val="left" w:pos="5295"/>
              </w:tabs>
              <w:jc w:val="center"/>
              <w:rPr>
                <w:color w:val="auto"/>
                <w:szCs w:val="21"/>
              </w:rPr>
            </w:pPr>
            <w:r>
              <w:rPr>
                <w:rFonts w:hint="eastAsia"/>
                <w:color w:val="auto"/>
                <w:szCs w:val="21"/>
              </w:rPr>
              <w:t>危险废物</w:t>
            </w:r>
          </w:p>
        </w:tc>
        <w:tc>
          <w:tcPr>
            <w:tcW w:w="1231" w:type="dxa"/>
            <w:tcBorders>
              <w:top w:val="single" w:color="auto" w:sz="4" w:space="0"/>
              <w:tl2br w:val="nil"/>
              <w:tr2bl w:val="nil"/>
            </w:tcBorders>
            <w:vAlign w:val="center"/>
          </w:tcPr>
          <w:p w14:paraId="1F969CF4">
            <w:pPr>
              <w:tabs>
                <w:tab w:val="left" w:pos="3240"/>
              </w:tabs>
              <w:ind w:left="-105" w:leftChars="-50" w:right="-105" w:rightChars="-50"/>
              <w:jc w:val="center"/>
              <w:rPr>
                <w:color w:val="auto"/>
              </w:rPr>
            </w:pPr>
            <w:r>
              <w:rPr>
                <w:color w:val="auto"/>
              </w:rPr>
              <w:t>841-002-01</w:t>
            </w:r>
          </w:p>
          <w:p w14:paraId="334D9ADC">
            <w:pPr>
              <w:tabs>
                <w:tab w:val="left" w:pos="3240"/>
              </w:tabs>
              <w:ind w:left="-105" w:leftChars="-50" w:right="-105" w:rightChars="-50"/>
              <w:jc w:val="center"/>
              <w:rPr>
                <w:color w:val="auto"/>
              </w:rPr>
            </w:pPr>
            <w:r>
              <w:rPr>
                <w:color w:val="auto"/>
              </w:rPr>
              <w:t>841-005-01</w:t>
            </w:r>
          </w:p>
        </w:tc>
        <w:tc>
          <w:tcPr>
            <w:tcW w:w="693" w:type="dxa"/>
            <w:tcBorders>
              <w:top w:val="single" w:color="auto" w:sz="4" w:space="0"/>
              <w:tl2br w:val="nil"/>
              <w:tr2bl w:val="nil"/>
            </w:tcBorders>
            <w:vAlign w:val="center"/>
          </w:tcPr>
          <w:p w14:paraId="49D3966F">
            <w:pPr>
              <w:jc w:val="center"/>
              <w:rPr>
                <w:color w:val="auto"/>
                <w:szCs w:val="21"/>
              </w:rPr>
            </w:pPr>
            <w:r>
              <w:rPr>
                <w:color w:val="auto"/>
                <w:szCs w:val="21"/>
              </w:rPr>
              <w:t>固态</w:t>
            </w:r>
          </w:p>
        </w:tc>
        <w:tc>
          <w:tcPr>
            <w:tcW w:w="826" w:type="dxa"/>
            <w:tcBorders>
              <w:top w:val="single" w:color="auto" w:sz="4" w:space="0"/>
              <w:tl2br w:val="nil"/>
              <w:tr2bl w:val="nil"/>
            </w:tcBorders>
            <w:vAlign w:val="center"/>
          </w:tcPr>
          <w:p w14:paraId="29BA20B5">
            <w:pPr>
              <w:jc w:val="center"/>
              <w:rPr>
                <w:color w:val="auto"/>
                <w:szCs w:val="21"/>
              </w:rPr>
            </w:pPr>
            <w:r>
              <w:rPr>
                <w:rFonts w:hint="eastAsia"/>
                <w:color w:val="auto"/>
                <w:szCs w:val="21"/>
              </w:rPr>
              <w:t>0.04</w:t>
            </w:r>
          </w:p>
        </w:tc>
        <w:tc>
          <w:tcPr>
            <w:tcW w:w="855" w:type="dxa"/>
            <w:tcBorders>
              <w:top w:val="single" w:color="auto" w:sz="4" w:space="0"/>
              <w:tl2br w:val="nil"/>
              <w:tr2bl w:val="nil"/>
            </w:tcBorders>
            <w:vAlign w:val="center"/>
          </w:tcPr>
          <w:p w14:paraId="19383816">
            <w:pPr>
              <w:overflowPunct w:val="0"/>
              <w:autoSpaceDE w:val="0"/>
              <w:autoSpaceDN w:val="0"/>
              <w:adjustRightInd w:val="0"/>
              <w:snapToGrid w:val="0"/>
              <w:jc w:val="center"/>
              <w:rPr>
                <w:color w:val="auto"/>
                <w:szCs w:val="21"/>
              </w:rPr>
            </w:pPr>
            <w:r>
              <w:rPr>
                <w:color w:val="auto"/>
                <w:szCs w:val="21"/>
              </w:rPr>
              <w:t>0</w:t>
            </w:r>
          </w:p>
        </w:tc>
        <w:tc>
          <w:tcPr>
            <w:tcW w:w="2566" w:type="dxa"/>
            <w:tcBorders>
              <w:top w:val="single" w:color="auto" w:sz="4" w:space="0"/>
              <w:tl2br w:val="nil"/>
              <w:tr2bl w:val="nil"/>
            </w:tcBorders>
            <w:vAlign w:val="center"/>
          </w:tcPr>
          <w:p w14:paraId="4E73794B">
            <w:pPr>
              <w:jc w:val="center"/>
              <w:rPr>
                <w:color w:val="auto"/>
                <w:szCs w:val="21"/>
              </w:rPr>
            </w:pPr>
            <w:r>
              <w:rPr>
                <w:rFonts w:hint="eastAsia"/>
                <w:color w:val="auto"/>
                <w:szCs w:val="21"/>
                <w:lang w:val="en-US" w:eastAsia="zh-CN"/>
              </w:rPr>
              <w:t>在厂区内医疗废物暂存间</w:t>
            </w:r>
            <w:r>
              <w:rPr>
                <w:rFonts w:hint="eastAsia"/>
                <w:color w:val="auto"/>
                <w:szCs w:val="21"/>
              </w:rPr>
              <w:t>暂存</w:t>
            </w:r>
            <w:r>
              <w:rPr>
                <w:rFonts w:hint="eastAsia"/>
                <w:color w:val="auto"/>
                <w:szCs w:val="21"/>
                <w:lang w:eastAsia="zh-CN"/>
              </w:rPr>
              <w:t>，委托有资质单位定期收集处理。</w:t>
            </w:r>
          </w:p>
        </w:tc>
      </w:tr>
      <w:tr w14:paraId="07D46F87">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84" w:type="dxa"/>
            <w:tcBorders>
              <w:tl2br w:val="nil"/>
              <w:tr2bl w:val="nil"/>
            </w:tcBorders>
            <w:vAlign w:val="center"/>
          </w:tcPr>
          <w:p w14:paraId="5C2C1934">
            <w:pPr>
              <w:tabs>
                <w:tab w:val="left" w:pos="5295"/>
              </w:tabs>
              <w:jc w:val="center"/>
              <w:rPr>
                <w:color w:val="auto"/>
                <w:szCs w:val="21"/>
              </w:rPr>
            </w:pPr>
            <w:r>
              <w:rPr>
                <w:color w:val="auto"/>
                <w:szCs w:val="21"/>
              </w:rPr>
              <w:t>职工</w:t>
            </w:r>
          </w:p>
        </w:tc>
        <w:tc>
          <w:tcPr>
            <w:tcW w:w="847" w:type="dxa"/>
            <w:tcBorders>
              <w:tl2br w:val="nil"/>
              <w:tr2bl w:val="nil"/>
            </w:tcBorders>
            <w:vAlign w:val="center"/>
          </w:tcPr>
          <w:p w14:paraId="4DA336AA">
            <w:pPr>
              <w:tabs>
                <w:tab w:val="left" w:pos="5295"/>
              </w:tabs>
              <w:jc w:val="center"/>
              <w:rPr>
                <w:color w:val="auto"/>
                <w:szCs w:val="21"/>
              </w:rPr>
            </w:pPr>
            <w:r>
              <w:rPr>
                <w:color w:val="auto"/>
                <w:szCs w:val="21"/>
              </w:rPr>
              <w:t>生活垃圾</w:t>
            </w:r>
          </w:p>
        </w:tc>
        <w:tc>
          <w:tcPr>
            <w:tcW w:w="629" w:type="dxa"/>
            <w:tcBorders>
              <w:tl2br w:val="nil"/>
              <w:tr2bl w:val="nil"/>
            </w:tcBorders>
            <w:vAlign w:val="center"/>
          </w:tcPr>
          <w:p w14:paraId="4EC5B3C6">
            <w:pPr>
              <w:tabs>
                <w:tab w:val="left" w:pos="5295"/>
              </w:tabs>
              <w:jc w:val="center"/>
              <w:rPr>
                <w:color w:val="auto"/>
                <w:szCs w:val="21"/>
              </w:rPr>
            </w:pPr>
            <w:r>
              <w:rPr>
                <w:color w:val="auto"/>
                <w:szCs w:val="21"/>
              </w:rPr>
              <w:t>生活垃圾</w:t>
            </w:r>
          </w:p>
        </w:tc>
        <w:tc>
          <w:tcPr>
            <w:tcW w:w="1231" w:type="dxa"/>
            <w:tcBorders>
              <w:tl2br w:val="nil"/>
              <w:tr2bl w:val="nil"/>
            </w:tcBorders>
            <w:vAlign w:val="center"/>
          </w:tcPr>
          <w:p w14:paraId="07C99B6E">
            <w:pPr>
              <w:tabs>
                <w:tab w:val="left" w:pos="5295"/>
              </w:tabs>
              <w:jc w:val="center"/>
              <w:rPr>
                <w:color w:val="auto"/>
                <w:szCs w:val="21"/>
              </w:rPr>
            </w:pPr>
            <w:r>
              <w:rPr>
                <w:color w:val="auto"/>
                <w:szCs w:val="21"/>
              </w:rPr>
              <w:t>/</w:t>
            </w:r>
          </w:p>
        </w:tc>
        <w:tc>
          <w:tcPr>
            <w:tcW w:w="693" w:type="dxa"/>
            <w:tcBorders>
              <w:tl2br w:val="nil"/>
              <w:tr2bl w:val="nil"/>
            </w:tcBorders>
            <w:vAlign w:val="center"/>
          </w:tcPr>
          <w:p w14:paraId="345C0850">
            <w:pPr>
              <w:jc w:val="center"/>
              <w:rPr>
                <w:color w:val="auto"/>
                <w:szCs w:val="21"/>
              </w:rPr>
            </w:pPr>
            <w:r>
              <w:rPr>
                <w:color w:val="auto"/>
                <w:szCs w:val="21"/>
              </w:rPr>
              <w:t>固态</w:t>
            </w:r>
          </w:p>
        </w:tc>
        <w:tc>
          <w:tcPr>
            <w:tcW w:w="826" w:type="dxa"/>
            <w:tcBorders>
              <w:tl2br w:val="nil"/>
              <w:tr2bl w:val="nil"/>
            </w:tcBorders>
            <w:vAlign w:val="center"/>
          </w:tcPr>
          <w:p w14:paraId="4B46D5A7">
            <w:pPr>
              <w:tabs>
                <w:tab w:val="left" w:pos="5295"/>
              </w:tabs>
              <w:jc w:val="center"/>
              <w:rPr>
                <w:rFonts w:hint="default" w:eastAsia="宋体"/>
                <w:color w:val="auto"/>
                <w:szCs w:val="21"/>
                <w:lang w:val="en-US" w:eastAsia="zh-CN"/>
              </w:rPr>
            </w:pPr>
            <w:r>
              <w:rPr>
                <w:rFonts w:hint="eastAsia"/>
                <w:color w:val="auto"/>
                <w:szCs w:val="21"/>
                <w:lang w:val="en-US" w:eastAsia="zh-CN"/>
              </w:rPr>
              <w:t>10.95</w:t>
            </w:r>
          </w:p>
        </w:tc>
        <w:tc>
          <w:tcPr>
            <w:tcW w:w="855" w:type="dxa"/>
            <w:tcBorders>
              <w:tl2br w:val="nil"/>
              <w:tr2bl w:val="nil"/>
            </w:tcBorders>
            <w:vAlign w:val="center"/>
          </w:tcPr>
          <w:p w14:paraId="7B2E24E6">
            <w:pPr>
              <w:tabs>
                <w:tab w:val="left" w:pos="5295"/>
              </w:tabs>
              <w:jc w:val="center"/>
              <w:rPr>
                <w:rFonts w:hint="default" w:eastAsia="宋体"/>
                <w:color w:val="auto"/>
                <w:szCs w:val="21"/>
                <w:lang w:val="en-US" w:eastAsia="zh-CN"/>
              </w:rPr>
            </w:pPr>
            <w:r>
              <w:rPr>
                <w:rFonts w:hint="eastAsia"/>
                <w:color w:val="auto"/>
                <w:szCs w:val="21"/>
                <w:lang w:val="en-US" w:eastAsia="zh-CN"/>
              </w:rPr>
              <w:t>10.95</w:t>
            </w:r>
          </w:p>
        </w:tc>
        <w:tc>
          <w:tcPr>
            <w:tcW w:w="2566" w:type="dxa"/>
            <w:tcBorders>
              <w:tl2br w:val="nil"/>
              <w:tr2bl w:val="nil"/>
            </w:tcBorders>
            <w:vAlign w:val="center"/>
          </w:tcPr>
          <w:p w14:paraId="151DE344">
            <w:pPr>
              <w:tabs>
                <w:tab w:val="left" w:pos="5295"/>
              </w:tabs>
              <w:jc w:val="center"/>
              <w:rPr>
                <w:color w:val="auto"/>
                <w:szCs w:val="21"/>
              </w:rPr>
            </w:pPr>
            <w:r>
              <w:rPr>
                <w:color w:val="auto"/>
                <w:szCs w:val="21"/>
              </w:rPr>
              <w:t>收集到厂内</w:t>
            </w:r>
            <w:r>
              <w:rPr>
                <w:rFonts w:hint="eastAsia"/>
                <w:color w:val="auto"/>
                <w:szCs w:val="21"/>
              </w:rPr>
              <w:t>5</w:t>
            </w:r>
            <w:r>
              <w:rPr>
                <w:color w:val="auto"/>
                <w:szCs w:val="21"/>
              </w:rPr>
              <w:t>个垃圾箱内，定期送至附近垃圾点</w:t>
            </w:r>
          </w:p>
        </w:tc>
      </w:tr>
    </w:tbl>
    <w:p w14:paraId="33108CA1">
      <w:pPr>
        <w:pStyle w:val="69"/>
        <w:rPr>
          <w:rFonts w:ascii="Times New Roman" w:hAnsi="Times New Roman" w:eastAsia="宋体"/>
          <w:color w:val="auto"/>
        </w:rPr>
      </w:pPr>
    </w:p>
    <w:p w14:paraId="6BE1F7FE">
      <w:pPr>
        <w:rPr>
          <w:color w:val="auto"/>
        </w:rPr>
      </w:pPr>
    </w:p>
    <w:p w14:paraId="0B29BBDE">
      <w:pPr>
        <w:pStyle w:val="69"/>
        <w:rPr>
          <w:rFonts w:ascii="Times New Roman" w:hAnsi="Times New Roman" w:eastAsia="宋体"/>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18A42AB2">
      <w:pPr>
        <w:autoSpaceDE w:val="0"/>
        <w:autoSpaceDN w:val="0"/>
        <w:adjustRightInd w:val="0"/>
        <w:ind w:firstLine="422" w:firstLineChars="200"/>
        <w:jc w:val="center"/>
        <w:rPr>
          <w:b/>
          <w:color w:val="auto"/>
          <w:szCs w:val="21"/>
        </w:rPr>
      </w:pPr>
      <w:r>
        <w:rPr>
          <w:b/>
          <w:color w:val="auto"/>
          <w:szCs w:val="21"/>
        </w:rPr>
        <w:t>表</w:t>
      </w:r>
      <w:r>
        <w:rPr>
          <w:rFonts w:hint="eastAsia"/>
          <w:b/>
          <w:color w:val="auto"/>
          <w:szCs w:val="21"/>
          <w:lang w:val="en-US" w:eastAsia="zh-CN"/>
        </w:rPr>
        <w:t xml:space="preserve">3.4-19   </w:t>
      </w:r>
      <w:r>
        <w:rPr>
          <w:b/>
          <w:color w:val="auto"/>
          <w:szCs w:val="21"/>
        </w:rPr>
        <w:t xml:space="preserve"> 项目各污染源污染物排放达标分析一览表</w:t>
      </w:r>
    </w:p>
    <w:tbl>
      <w:tblPr>
        <w:tblStyle w:val="53"/>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5"/>
        <w:gridCol w:w="791"/>
        <w:gridCol w:w="1208"/>
        <w:gridCol w:w="819"/>
        <w:gridCol w:w="1125"/>
        <w:gridCol w:w="1356"/>
        <w:gridCol w:w="1100"/>
        <w:gridCol w:w="1253"/>
        <w:gridCol w:w="3666"/>
        <w:gridCol w:w="803"/>
        <w:gridCol w:w="1173"/>
        <w:gridCol w:w="1546"/>
        <w:gridCol w:w="1432"/>
        <w:gridCol w:w="1662"/>
        <w:gridCol w:w="1484"/>
        <w:gridCol w:w="1168"/>
      </w:tblGrid>
      <w:tr w14:paraId="4B4AB5A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restart"/>
            <w:vAlign w:val="center"/>
          </w:tcPr>
          <w:p w14:paraId="0AFCA83B">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eastAsia="宋体"/>
                <w:b/>
                <w:color w:val="auto"/>
                <w:szCs w:val="21"/>
                <w:highlight w:val="none"/>
                <w:lang w:eastAsia="zh-CN"/>
              </w:rPr>
            </w:pPr>
            <w:r>
              <w:rPr>
                <w:rFonts w:hint="eastAsia"/>
                <w:b/>
                <w:color w:val="auto"/>
                <w:szCs w:val="21"/>
                <w:highlight w:val="none"/>
                <w:lang w:val="en-US" w:eastAsia="zh-CN"/>
              </w:rPr>
              <w:t>类别</w:t>
            </w:r>
          </w:p>
        </w:tc>
        <w:tc>
          <w:tcPr>
            <w:tcW w:w="187" w:type="pct"/>
            <w:vMerge w:val="restart"/>
            <w:vAlign w:val="center"/>
          </w:tcPr>
          <w:p w14:paraId="50D7D1A9">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eastAsia="宋体"/>
                <w:b/>
                <w:color w:val="auto"/>
                <w:szCs w:val="21"/>
                <w:highlight w:val="none"/>
                <w:lang w:val="en-US" w:eastAsia="zh-CN"/>
              </w:rPr>
            </w:pPr>
            <w:r>
              <w:rPr>
                <w:rFonts w:hint="eastAsia"/>
                <w:b/>
                <w:color w:val="auto"/>
                <w:szCs w:val="21"/>
                <w:highlight w:val="none"/>
                <w:lang w:val="en-US" w:eastAsia="zh-CN"/>
              </w:rPr>
              <w:t>污染源名称</w:t>
            </w:r>
          </w:p>
        </w:tc>
        <w:tc>
          <w:tcPr>
            <w:tcW w:w="285" w:type="pct"/>
            <w:vMerge w:val="restart"/>
            <w:vAlign w:val="center"/>
          </w:tcPr>
          <w:p w14:paraId="38C49C01">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eastAsia="宋体"/>
                <w:b/>
                <w:color w:val="auto"/>
                <w:szCs w:val="21"/>
                <w:highlight w:val="none"/>
                <w:lang w:val="en-US" w:eastAsia="zh-CN"/>
              </w:rPr>
            </w:pPr>
            <w:r>
              <w:rPr>
                <w:rFonts w:hint="eastAsia"/>
                <w:b/>
                <w:color w:val="auto"/>
                <w:szCs w:val="21"/>
                <w:highlight w:val="none"/>
                <w:lang w:val="en-US" w:eastAsia="zh-CN"/>
              </w:rPr>
              <w:t>排放形式</w:t>
            </w:r>
          </w:p>
        </w:tc>
        <w:tc>
          <w:tcPr>
            <w:tcW w:w="193" w:type="pct"/>
            <w:vMerge w:val="restart"/>
            <w:vAlign w:val="center"/>
          </w:tcPr>
          <w:p w14:paraId="5FF99C3B">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highlight w:val="none"/>
                <w:lang w:val="en-US" w:eastAsia="zh-CN"/>
              </w:rPr>
            </w:pPr>
            <w:r>
              <w:rPr>
                <w:rFonts w:hint="eastAsia"/>
                <w:b/>
                <w:color w:val="auto"/>
                <w:szCs w:val="21"/>
                <w:highlight w:val="none"/>
                <w:lang w:val="en-US" w:eastAsia="zh-CN"/>
              </w:rPr>
              <w:t>排放时间</w:t>
            </w:r>
          </w:p>
        </w:tc>
        <w:tc>
          <w:tcPr>
            <w:tcW w:w="266" w:type="pct"/>
            <w:vMerge w:val="restart"/>
            <w:vAlign w:val="center"/>
          </w:tcPr>
          <w:p w14:paraId="620F8A6D">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eastAsia="宋体"/>
                <w:b/>
                <w:color w:val="auto"/>
                <w:szCs w:val="21"/>
                <w:highlight w:val="none"/>
                <w:lang w:val="en-US" w:eastAsia="zh-CN"/>
              </w:rPr>
            </w:pPr>
            <w:r>
              <w:rPr>
                <w:rFonts w:hint="eastAsia"/>
                <w:b/>
                <w:color w:val="auto"/>
                <w:szCs w:val="21"/>
                <w:highlight w:val="none"/>
                <w:lang w:val="en-US" w:eastAsia="zh-CN"/>
              </w:rPr>
              <w:t>污染物</w:t>
            </w:r>
          </w:p>
        </w:tc>
        <w:tc>
          <w:tcPr>
            <w:tcW w:w="877" w:type="pct"/>
            <w:gridSpan w:val="3"/>
            <w:vAlign w:val="center"/>
          </w:tcPr>
          <w:p w14:paraId="21A8E460">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highlight w:val="none"/>
                <w:lang w:val="en-US"/>
              </w:rPr>
            </w:pPr>
            <w:r>
              <w:rPr>
                <w:rFonts w:hint="eastAsia"/>
                <w:b/>
                <w:color w:val="auto"/>
                <w:szCs w:val="21"/>
                <w:highlight w:val="none"/>
                <w:lang w:val="en-US" w:eastAsia="zh-CN"/>
              </w:rPr>
              <w:t>产生情况</w:t>
            </w:r>
          </w:p>
        </w:tc>
        <w:tc>
          <w:tcPr>
            <w:tcW w:w="867" w:type="pct"/>
            <w:vMerge w:val="restart"/>
            <w:vAlign w:val="center"/>
          </w:tcPr>
          <w:p w14:paraId="500F7B7B">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lang w:val="en-US" w:eastAsia="zh-CN"/>
              </w:rPr>
            </w:pPr>
            <w:r>
              <w:rPr>
                <w:rFonts w:hint="eastAsia"/>
                <w:b/>
                <w:color w:val="auto"/>
                <w:szCs w:val="21"/>
                <w:lang w:val="en-US" w:eastAsia="zh-CN"/>
              </w:rPr>
              <w:t>治理措施</w:t>
            </w:r>
          </w:p>
        </w:tc>
        <w:tc>
          <w:tcPr>
            <w:tcW w:w="190" w:type="pct"/>
            <w:vMerge w:val="restart"/>
            <w:vAlign w:val="center"/>
          </w:tcPr>
          <w:p w14:paraId="74AD75CF">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lang w:val="en-US" w:eastAsia="zh-CN"/>
              </w:rPr>
            </w:pPr>
            <w:r>
              <w:rPr>
                <w:rFonts w:hint="eastAsia"/>
                <w:b/>
                <w:color w:val="auto"/>
                <w:szCs w:val="21"/>
                <w:lang w:val="en-US" w:eastAsia="zh-CN"/>
              </w:rPr>
              <w:t>处理效率%</w:t>
            </w:r>
          </w:p>
        </w:tc>
        <w:tc>
          <w:tcPr>
            <w:tcW w:w="982" w:type="pct"/>
            <w:gridSpan w:val="3"/>
            <w:vAlign w:val="center"/>
          </w:tcPr>
          <w:p w14:paraId="6B94C3DC">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lang w:val="en-US" w:eastAsia="zh-CN"/>
              </w:rPr>
            </w:pPr>
            <w:r>
              <w:rPr>
                <w:rFonts w:hint="eastAsia"/>
                <w:b/>
                <w:color w:val="auto"/>
                <w:szCs w:val="21"/>
                <w:lang w:val="en-US" w:eastAsia="zh-CN"/>
              </w:rPr>
              <w:t>污染物排放</w:t>
            </w:r>
          </w:p>
        </w:tc>
        <w:tc>
          <w:tcPr>
            <w:tcW w:w="744" w:type="pct"/>
            <w:gridSpan w:val="2"/>
            <w:vAlign w:val="center"/>
          </w:tcPr>
          <w:p w14:paraId="5747F614">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highlight w:val="none"/>
                <w:lang w:val="en-US" w:eastAsia="zh-CN"/>
              </w:rPr>
            </w:pPr>
            <w:r>
              <w:rPr>
                <w:rFonts w:hint="eastAsia"/>
                <w:b/>
                <w:color w:val="auto"/>
                <w:szCs w:val="21"/>
                <w:highlight w:val="none"/>
                <w:lang w:val="en-US" w:eastAsia="zh-CN"/>
              </w:rPr>
              <w:t>排放标准</w:t>
            </w:r>
          </w:p>
        </w:tc>
        <w:tc>
          <w:tcPr>
            <w:tcW w:w="276" w:type="pct"/>
            <w:vMerge w:val="restart"/>
            <w:vAlign w:val="center"/>
          </w:tcPr>
          <w:p w14:paraId="28CF6A49">
            <w:pPr>
              <w:tabs>
                <w:tab w:val="right" w:pos="7938"/>
              </w:tabs>
              <w:snapToGrid w:val="0"/>
              <w:jc w:val="center"/>
              <w:rPr>
                <w:rFonts w:hint="default"/>
                <w:b/>
                <w:color w:val="auto"/>
                <w:szCs w:val="21"/>
                <w:highlight w:val="none"/>
                <w:lang w:val="en-US" w:eastAsia="zh-CN"/>
              </w:rPr>
            </w:pPr>
            <w:r>
              <w:rPr>
                <w:rFonts w:hint="eastAsia"/>
                <w:b/>
                <w:color w:val="auto"/>
                <w:szCs w:val="21"/>
                <w:highlight w:val="none"/>
                <w:lang w:val="en-US" w:eastAsia="zh-CN"/>
              </w:rPr>
              <w:t>是否达标</w:t>
            </w:r>
          </w:p>
        </w:tc>
      </w:tr>
      <w:tr w14:paraId="4BF3B20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tcBorders>
              <w:bottom w:val="single" w:color="auto" w:sz="6" w:space="0"/>
            </w:tcBorders>
            <w:vAlign w:val="center"/>
          </w:tcPr>
          <w:p w14:paraId="502ABAC8">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b/>
                <w:color w:val="auto"/>
                <w:szCs w:val="21"/>
                <w:highlight w:val="none"/>
                <w:lang w:val="en-US" w:eastAsia="zh-CN"/>
              </w:rPr>
            </w:pPr>
          </w:p>
        </w:tc>
        <w:tc>
          <w:tcPr>
            <w:tcW w:w="187" w:type="pct"/>
            <w:vMerge w:val="continue"/>
            <w:vAlign w:val="center"/>
          </w:tcPr>
          <w:p w14:paraId="1AADAF4E">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b/>
                <w:color w:val="auto"/>
                <w:szCs w:val="21"/>
                <w:highlight w:val="none"/>
                <w:lang w:val="en-US" w:eastAsia="zh-CN"/>
              </w:rPr>
            </w:pPr>
          </w:p>
        </w:tc>
        <w:tc>
          <w:tcPr>
            <w:tcW w:w="285" w:type="pct"/>
            <w:vMerge w:val="continue"/>
            <w:vAlign w:val="center"/>
          </w:tcPr>
          <w:p w14:paraId="3D810A6C">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b/>
                <w:color w:val="auto"/>
                <w:szCs w:val="21"/>
                <w:highlight w:val="none"/>
                <w:lang w:val="en-US" w:eastAsia="zh-CN"/>
              </w:rPr>
            </w:pPr>
          </w:p>
        </w:tc>
        <w:tc>
          <w:tcPr>
            <w:tcW w:w="193" w:type="pct"/>
            <w:vMerge w:val="continue"/>
            <w:vAlign w:val="center"/>
          </w:tcPr>
          <w:p w14:paraId="3010D7AF">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b/>
                <w:color w:val="auto"/>
                <w:szCs w:val="21"/>
                <w:highlight w:val="none"/>
                <w:lang w:val="en-US" w:eastAsia="zh-CN"/>
              </w:rPr>
            </w:pPr>
          </w:p>
        </w:tc>
        <w:tc>
          <w:tcPr>
            <w:tcW w:w="266" w:type="pct"/>
            <w:vMerge w:val="continue"/>
            <w:vAlign w:val="center"/>
          </w:tcPr>
          <w:p w14:paraId="5FC016A8">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b/>
                <w:color w:val="auto"/>
                <w:szCs w:val="21"/>
                <w:highlight w:val="none"/>
                <w:lang w:val="en-US" w:eastAsia="zh-CN"/>
              </w:rPr>
            </w:pPr>
          </w:p>
        </w:tc>
        <w:tc>
          <w:tcPr>
            <w:tcW w:w="320" w:type="pct"/>
            <w:vAlign w:val="center"/>
          </w:tcPr>
          <w:p w14:paraId="5EADD08A">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ascii="Times New Roman" w:hAnsi="Times New Roman" w:eastAsia="宋体" w:cs="Times New Roman"/>
                <w:b/>
                <w:color w:val="auto"/>
                <w:kern w:val="2"/>
                <w:sz w:val="21"/>
                <w:szCs w:val="21"/>
                <w:highlight w:val="none"/>
                <w:lang w:val="en-US" w:eastAsia="zh-CN" w:bidi="ar-SA"/>
              </w:rPr>
            </w:pPr>
            <w:r>
              <w:rPr>
                <w:rFonts w:hint="eastAsia"/>
                <w:b/>
                <w:color w:val="auto"/>
                <w:szCs w:val="21"/>
                <w:highlight w:val="none"/>
                <w:lang w:val="en-US" w:eastAsia="zh-CN"/>
              </w:rPr>
              <w:t>产生浓度mg/m</w:t>
            </w:r>
            <w:r>
              <w:rPr>
                <w:rFonts w:hint="eastAsia"/>
                <w:b/>
                <w:color w:val="auto"/>
                <w:szCs w:val="21"/>
                <w:highlight w:val="none"/>
                <w:vertAlign w:val="superscript"/>
                <w:lang w:val="en-US" w:eastAsia="zh-CN"/>
              </w:rPr>
              <w:t>3</w:t>
            </w:r>
          </w:p>
        </w:tc>
        <w:tc>
          <w:tcPr>
            <w:tcW w:w="260" w:type="pct"/>
            <w:vAlign w:val="center"/>
          </w:tcPr>
          <w:p w14:paraId="3EE52DFF">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ascii="Times New Roman" w:hAnsi="Times New Roman" w:eastAsia="宋体" w:cs="Times New Roman"/>
                <w:b/>
                <w:color w:val="auto"/>
                <w:kern w:val="2"/>
                <w:sz w:val="21"/>
                <w:szCs w:val="21"/>
                <w:highlight w:val="none"/>
                <w:lang w:val="en-US" w:eastAsia="zh-CN" w:bidi="ar-SA"/>
              </w:rPr>
            </w:pPr>
            <w:r>
              <w:rPr>
                <w:rFonts w:hint="eastAsia"/>
                <w:b/>
                <w:color w:val="auto"/>
                <w:szCs w:val="21"/>
                <w:highlight w:val="none"/>
                <w:lang w:val="en-US" w:eastAsia="zh-CN"/>
              </w:rPr>
              <w:t>产生速率kg/h</w:t>
            </w:r>
          </w:p>
        </w:tc>
        <w:tc>
          <w:tcPr>
            <w:tcW w:w="296" w:type="pct"/>
            <w:vAlign w:val="center"/>
          </w:tcPr>
          <w:p w14:paraId="79F184DF">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ascii="Times New Roman" w:hAnsi="Times New Roman" w:eastAsia="宋体" w:cs="Times New Roman"/>
                <w:b/>
                <w:color w:val="auto"/>
                <w:kern w:val="2"/>
                <w:sz w:val="21"/>
                <w:szCs w:val="21"/>
                <w:highlight w:val="none"/>
                <w:lang w:val="en-US" w:eastAsia="zh-CN" w:bidi="ar-SA"/>
              </w:rPr>
            </w:pPr>
            <w:r>
              <w:rPr>
                <w:rFonts w:hint="eastAsia"/>
                <w:b/>
                <w:color w:val="auto"/>
                <w:szCs w:val="21"/>
                <w:highlight w:val="none"/>
                <w:lang w:val="en-US" w:eastAsia="zh-CN"/>
              </w:rPr>
              <w:t>产生量t/a</w:t>
            </w:r>
          </w:p>
        </w:tc>
        <w:tc>
          <w:tcPr>
            <w:tcW w:w="867" w:type="pct"/>
            <w:vMerge w:val="continue"/>
            <w:vAlign w:val="center"/>
          </w:tcPr>
          <w:p w14:paraId="40A1F7E7">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b/>
                <w:color w:val="auto"/>
                <w:szCs w:val="21"/>
                <w:lang w:val="en-US" w:eastAsia="zh-CN"/>
              </w:rPr>
            </w:pPr>
          </w:p>
        </w:tc>
        <w:tc>
          <w:tcPr>
            <w:tcW w:w="190" w:type="pct"/>
            <w:vMerge w:val="continue"/>
            <w:vAlign w:val="center"/>
          </w:tcPr>
          <w:p w14:paraId="0F6F364B">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b/>
                <w:color w:val="auto"/>
                <w:szCs w:val="21"/>
                <w:lang w:val="en-US" w:eastAsia="zh-CN"/>
              </w:rPr>
            </w:pPr>
          </w:p>
        </w:tc>
        <w:tc>
          <w:tcPr>
            <w:tcW w:w="277" w:type="pct"/>
            <w:vAlign w:val="center"/>
          </w:tcPr>
          <w:p w14:paraId="765DDD4E">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lang w:val="en-US" w:eastAsia="zh-CN"/>
              </w:rPr>
            </w:pPr>
            <w:r>
              <w:rPr>
                <w:rFonts w:hint="eastAsia"/>
                <w:b/>
                <w:color w:val="auto"/>
                <w:szCs w:val="21"/>
                <w:lang w:val="en-US" w:eastAsia="zh-CN"/>
              </w:rPr>
              <w:t>排放浓度mg/m</w:t>
            </w:r>
            <w:r>
              <w:rPr>
                <w:rFonts w:hint="eastAsia"/>
                <w:b/>
                <w:color w:val="auto"/>
                <w:szCs w:val="21"/>
                <w:vertAlign w:val="superscript"/>
                <w:lang w:val="en-US" w:eastAsia="zh-CN"/>
              </w:rPr>
              <w:t>3</w:t>
            </w:r>
          </w:p>
        </w:tc>
        <w:tc>
          <w:tcPr>
            <w:tcW w:w="365" w:type="pct"/>
            <w:vAlign w:val="center"/>
          </w:tcPr>
          <w:p w14:paraId="5CB930B7">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lang w:val="en-US" w:eastAsia="zh-CN"/>
              </w:rPr>
            </w:pPr>
            <w:r>
              <w:rPr>
                <w:rFonts w:hint="eastAsia"/>
                <w:b/>
                <w:color w:val="auto"/>
                <w:szCs w:val="21"/>
                <w:lang w:val="en-US" w:eastAsia="zh-CN"/>
              </w:rPr>
              <w:t>排放速率kg/h</w:t>
            </w:r>
          </w:p>
        </w:tc>
        <w:tc>
          <w:tcPr>
            <w:tcW w:w="338" w:type="pct"/>
            <w:vAlign w:val="center"/>
          </w:tcPr>
          <w:p w14:paraId="4CD130EB">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lang w:val="en-US" w:eastAsia="zh-CN"/>
              </w:rPr>
            </w:pPr>
            <w:r>
              <w:rPr>
                <w:rFonts w:hint="eastAsia"/>
                <w:b/>
                <w:color w:val="auto"/>
                <w:szCs w:val="21"/>
                <w:lang w:val="en-US" w:eastAsia="zh-CN"/>
              </w:rPr>
              <w:t>排放量t/a</w:t>
            </w:r>
          </w:p>
        </w:tc>
        <w:tc>
          <w:tcPr>
            <w:tcW w:w="393" w:type="pct"/>
            <w:vAlign w:val="center"/>
          </w:tcPr>
          <w:p w14:paraId="50DDC355">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eastAsia"/>
                <w:b/>
                <w:color w:val="auto"/>
                <w:szCs w:val="21"/>
                <w:highlight w:val="none"/>
                <w:lang w:val="en-US" w:eastAsia="zh-CN"/>
              </w:rPr>
              <w:t>排放浓度mg/m</w:t>
            </w:r>
            <w:r>
              <w:rPr>
                <w:rFonts w:hint="eastAsia"/>
                <w:b/>
                <w:color w:val="auto"/>
                <w:szCs w:val="21"/>
                <w:highlight w:val="none"/>
                <w:vertAlign w:val="superscript"/>
                <w:lang w:val="en-US" w:eastAsia="zh-CN"/>
              </w:rPr>
              <w:t>3</w:t>
            </w:r>
          </w:p>
        </w:tc>
        <w:tc>
          <w:tcPr>
            <w:tcW w:w="351" w:type="pct"/>
            <w:vAlign w:val="center"/>
          </w:tcPr>
          <w:p w14:paraId="684C9DE0">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eastAsia"/>
                <w:b/>
                <w:color w:val="auto"/>
                <w:szCs w:val="21"/>
                <w:highlight w:val="none"/>
                <w:lang w:val="en-US" w:eastAsia="zh-CN"/>
              </w:rPr>
              <w:t>排放速率kg/h</w:t>
            </w:r>
          </w:p>
        </w:tc>
        <w:tc>
          <w:tcPr>
            <w:tcW w:w="276" w:type="pct"/>
            <w:vMerge w:val="continue"/>
            <w:vAlign w:val="center"/>
          </w:tcPr>
          <w:p w14:paraId="2D8DAE16">
            <w:pPr>
              <w:tabs>
                <w:tab w:val="right" w:pos="7938"/>
              </w:tabs>
              <w:snapToGrid w:val="0"/>
              <w:jc w:val="center"/>
              <w:rPr>
                <w:rFonts w:hint="eastAsia"/>
                <w:b/>
                <w:color w:val="auto"/>
                <w:szCs w:val="21"/>
                <w:highlight w:val="none"/>
                <w:lang w:val="en-US" w:eastAsia="zh-CN"/>
              </w:rPr>
            </w:pPr>
          </w:p>
        </w:tc>
      </w:tr>
      <w:tr w14:paraId="76F96FD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restart"/>
            <w:tcBorders>
              <w:top w:val="single" w:color="auto" w:sz="6" w:space="0"/>
            </w:tcBorders>
            <w:vAlign w:val="center"/>
          </w:tcPr>
          <w:p w14:paraId="1C6A9B6B">
            <w:pPr>
              <w:jc w:val="center"/>
              <w:rPr>
                <w:rFonts w:hint="default" w:eastAsia="宋体"/>
                <w:color w:val="auto"/>
                <w:szCs w:val="21"/>
                <w:highlight w:val="none"/>
                <w:lang w:val="en-US" w:eastAsia="zh-CN"/>
              </w:rPr>
            </w:pPr>
            <w:r>
              <w:rPr>
                <w:color w:val="auto"/>
                <w:szCs w:val="21"/>
                <w:highlight w:val="none"/>
              </w:rPr>
              <w:t>废气</w:t>
            </w:r>
            <w:r>
              <w:rPr>
                <w:rFonts w:hint="eastAsia"/>
                <w:color w:val="auto"/>
                <w:szCs w:val="21"/>
                <w:highlight w:val="none"/>
                <w:lang w:val="en-US" w:eastAsia="zh-CN"/>
              </w:rPr>
              <w:t xml:space="preserve">  </w:t>
            </w:r>
          </w:p>
        </w:tc>
        <w:tc>
          <w:tcPr>
            <w:tcW w:w="187" w:type="pct"/>
            <w:vMerge w:val="restart"/>
            <w:vAlign w:val="center"/>
          </w:tcPr>
          <w:p w14:paraId="12247712">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pacing w:val="4"/>
                <w:szCs w:val="21"/>
                <w:highlight w:val="none"/>
                <w:lang w:eastAsia="zh-CN"/>
              </w:rPr>
            </w:pPr>
            <w:r>
              <w:rPr>
                <w:rFonts w:hint="eastAsia"/>
                <w:color w:val="auto"/>
                <w:spacing w:val="4"/>
                <w:szCs w:val="21"/>
                <w:highlight w:val="none"/>
                <w:lang w:eastAsia="zh-CN"/>
              </w:rPr>
              <w:t>鸡舍</w:t>
            </w:r>
          </w:p>
        </w:tc>
        <w:tc>
          <w:tcPr>
            <w:tcW w:w="285" w:type="pct"/>
            <w:vMerge w:val="restart"/>
            <w:vAlign w:val="center"/>
          </w:tcPr>
          <w:p w14:paraId="322FDB64">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无组织</w:t>
            </w:r>
          </w:p>
        </w:tc>
        <w:tc>
          <w:tcPr>
            <w:tcW w:w="193" w:type="pct"/>
            <w:vMerge w:val="restart"/>
            <w:vAlign w:val="center"/>
          </w:tcPr>
          <w:p w14:paraId="5AEABCF1">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8760</w:t>
            </w:r>
          </w:p>
        </w:tc>
        <w:tc>
          <w:tcPr>
            <w:tcW w:w="266" w:type="pct"/>
            <w:vAlign w:val="center"/>
          </w:tcPr>
          <w:p w14:paraId="44B37283">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NH</w:t>
            </w:r>
            <w:r>
              <w:rPr>
                <w:rFonts w:hint="eastAsia"/>
                <w:color w:val="auto"/>
                <w:szCs w:val="21"/>
                <w:highlight w:val="none"/>
                <w:vertAlign w:val="subscript"/>
                <w:lang w:val="en-US" w:eastAsia="zh-CN"/>
              </w:rPr>
              <w:t>3</w:t>
            </w:r>
          </w:p>
        </w:tc>
        <w:tc>
          <w:tcPr>
            <w:tcW w:w="320" w:type="pct"/>
            <w:vAlign w:val="center"/>
          </w:tcPr>
          <w:p w14:paraId="17951E24">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260" w:type="pct"/>
            <w:vAlign w:val="center"/>
          </w:tcPr>
          <w:p w14:paraId="7D6E1CFB">
            <w:pPr>
              <w:autoSpaceDE w:val="0"/>
              <w:autoSpaceDN w:val="0"/>
              <w:adjustRightInd w:val="0"/>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0.025</w:t>
            </w:r>
          </w:p>
        </w:tc>
        <w:tc>
          <w:tcPr>
            <w:tcW w:w="296" w:type="pct"/>
            <w:vAlign w:val="center"/>
          </w:tcPr>
          <w:p w14:paraId="2EF7B256">
            <w:pPr>
              <w:autoSpaceDE w:val="0"/>
              <w:autoSpaceDN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0.219</w:t>
            </w:r>
          </w:p>
        </w:tc>
        <w:tc>
          <w:tcPr>
            <w:tcW w:w="867" w:type="pct"/>
            <w:vMerge w:val="restart"/>
            <w:vAlign w:val="center"/>
          </w:tcPr>
          <w:p w14:paraId="7812FD75">
            <w:pPr>
              <w:pStyle w:val="458"/>
              <w:keepNext w:val="0"/>
              <w:keepLines w:val="0"/>
              <w:pageBreakBefore w:val="0"/>
              <w:kinsoku/>
              <w:wordWrap/>
              <w:overflowPunct/>
              <w:topLinePunct w:val="0"/>
              <w:autoSpaceDE/>
              <w:autoSpaceDN/>
              <w:bidi w:val="0"/>
              <w:ind w:left="-105" w:leftChars="-50" w:right="-105" w:rightChars="-50"/>
              <w:rPr>
                <w:rFonts w:eastAsia="宋体"/>
                <w:color w:val="auto"/>
                <w:sz w:val="21"/>
                <w:szCs w:val="21"/>
                <w:highlight w:val="none"/>
              </w:rPr>
            </w:pPr>
            <w:r>
              <w:rPr>
                <w:rFonts w:eastAsia="宋体"/>
                <w:color w:val="auto"/>
                <w:sz w:val="21"/>
                <w:szCs w:val="21"/>
                <w:highlight w:val="none"/>
              </w:rPr>
              <w:t>①选用益生菌配方饲料；</w:t>
            </w:r>
          </w:p>
          <w:p w14:paraId="7A8A636F">
            <w:pPr>
              <w:pStyle w:val="458"/>
              <w:keepNext w:val="0"/>
              <w:keepLines w:val="0"/>
              <w:pageBreakBefore w:val="0"/>
              <w:kinsoku/>
              <w:wordWrap/>
              <w:overflowPunct/>
              <w:topLinePunct w:val="0"/>
              <w:autoSpaceDE/>
              <w:autoSpaceDN/>
              <w:bidi w:val="0"/>
              <w:ind w:left="-105" w:leftChars="-50" w:right="-105" w:rightChars="-50"/>
              <w:rPr>
                <w:rFonts w:eastAsia="宋体"/>
                <w:color w:val="auto"/>
                <w:sz w:val="21"/>
                <w:szCs w:val="21"/>
                <w:highlight w:val="none"/>
              </w:rPr>
            </w:pPr>
            <w:r>
              <w:rPr>
                <w:rFonts w:eastAsia="宋体"/>
                <w:color w:val="auto"/>
                <w:sz w:val="21"/>
                <w:szCs w:val="21"/>
                <w:highlight w:val="none"/>
              </w:rPr>
              <w:t>②及时清运粪污；</w:t>
            </w:r>
          </w:p>
          <w:p w14:paraId="57E15768">
            <w:pPr>
              <w:pStyle w:val="458"/>
              <w:keepNext w:val="0"/>
              <w:keepLines w:val="0"/>
              <w:pageBreakBefore w:val="0"/>
              <w:kinsoku/>
              <w:wordWrap/>
              <w:overflowPunct/>
              <w:topLinePunct w:val="0"/>
              <w:autoSpaceDE/>
              <w:autoSpaceDN/>
              <w:bidi w:val="0"/>
              <w:ind w:left="-105" w:leftChars="-50" w:right="-105" w:rightChars="-50"/>
              <w:rPr>
                <w:rFonts w:eastAsia="宋体"/>
                <w:color w:val="auto"/>
                <w:sz w:val="21"/>
                <w:szCs w:val="21"/>
                <w:highlight w:val="none"/>
              </w:rPr>
            </w:pPr>
            <w:r>
              <w:rPr>
                <w:rFonts w:eastAsia="宋体"/>
                <w:color w:val="auto"/>
                <w:sz w:val="21"/>
                <w:szCs w:val="21"/>
                <w:highlight w:val="none"/>
              </w:rPr>
              <w:t>③向舍内定期投入除臭剂；</w:t>
            </w:r>
          </w:p>
          <w:p w14:paraId="31B20C6A">
            <w:pPr>
              <w:keepNext w:val="0"/>
              <w:keepLines w:val="0"/>
              <w:pageBreakBefore w:val="0"/>
              <w:kinsoku/>
              <w:wordWrap/>
              <w:overflowPunct/>
              <w:topLinePunct w:val="0"/>
              <w:autoSpaceDE/>
              <w:autoSpaceDN/>
              <w:bidi w:val="0"/>
              <w:ind w:left="-105" w:leftChars="-50" w:right="-105" w:rightChars="-50"/>
              <w:jc w:val="center"/>
              <w:rPr>
                <w:rFonts w:hint="eastAsia"/>
                <w:color w:val="auto"/>
                <w:sz w:val="21"/>
                <w:szCs w:val="21"/>
                <w:highlight w:val="none"/>
                <w:lang w:eastAsia="zh-CN"/>
              </w:rPr>
            </w:pPr>
            <w:r>
              <w:rPr>
                <w:rFonts w:eastAsia="宋体"/>
                <w:color w:val="auto"/>
                <w:sz w:val="21"/>
                <w:szCs w:val="21"/>
                <w:highlight w:val="none"/>
              </w:rPr>
              <w:t>④周边加强绿化</w:t>
            </w:r>
            <w:r>
              <w:rPr>
                <w:rFonts w:hint="eastAsia"/>
                <w:color w:val="auto"/>
                <w:sz w:val="21"/>
                <w:szCs w:val="21"/>
                <w:highlight w:val="none"/>
                <w:lang w:eastAsia="zh-CN"/>
              </w:rPr>
              <w:t>；</w:t>
            </w:r>
          </w:p>
          <w:p w14:paraId="2462CFA6">
            <w:pPr>
              <w:keepNext w:val="0"/>
              <w:keepLines w:val="0"/>
              <w:pageBreakBefore w:val="0"/>
              <w:kinsoku/>
              <w:wordWrap/>
              <w:overflowPunct/>
              <w:topLinePunct w:val="0"/>
              <w:autoSpaceDE/>
              <w:autoSpaceDN/>
              <w:bidi w:val="0"/>
              <w:ind w:left="-105" w:leftChars="-50" w:right="-105" w:rightChars="-50"/>
              <w:jc w:val="center"/>
              <w:rPr>
                <w:rFonts w:hint="eastAsia" w:eastAsia="宋体"/>
                <w:color w:val="auto"/>
                <w:szCs w:val="21"/>
                <w:highlight w:val="none"/>
                <w:lang w:eastAsia="zh-CN"/>
              </w:rPr>
            </w:pPr>
            <w:r>
              <w:rPr>
                <w:rFonts w:hint="default" w:ascii="Times New Roman" w:hAnsi="Times New Roman" w:eastAsia="宋体" w:cs="Times New Roman"/>
                <w:color w:val="auto"/>
                <w:sz w:val="21"/>
                <w:szCs w:val="21"/>
                <w:highlight w:val="none"/>
                <w:lang w:eastAsia="zh-CN"/>
              </w:rPr>
              <w:fldChar w:fldCharType="begin"/>
            </w:r>
            <w:r>
              <w:rPr>
                <w:rFonts w:hint="default" w:ascii="Times New Roman" w:hAnsi="Times New Roman" w:eastAsia="宋体" w:cs="Times New Roman"/>
                <w:color w:val="auto"/>
                <w:sz w:val="21"/>
                <w:szCs w:val="21"/>
                <w:highlight w:val="none"/>
                <w:lang w:eastAsia="zh-CN"/>
              </w:rPr>
              <w:instrText xml:space="preserve"> = 5 \* GB3 \* MERGEFORMAT </w:instrText>
            </w:r>
            <w:r>
              <w:rPr>
                <w:rFonts w:hint="default" w:ascii="Times New Roman" w:hAnsi="Times New Roman" w:eastAsia="宋体" w:cs="Times New Roman"/>
                <w:color w:val="auto"/>
                <w:sz w:val="21"/>
                <w:szCs w:val="21"/>
                <w:highlight w:val="none"/>
                <w:lang w:eastAsia="zh-CN"/>
              </w:rPr>
              <w:fldChar w:fldCharType="separate"/>
            </w:r>
            <w:r>
              <w:rPr>
                <w:rFonts w:hint="default" w:ascii="Times New Roman" w:hAnsi="Times New Roman" w:eastAsia="宋体" w:cs="Times New Roman"/>
                <w:color w:val="auto"/>
                <w:sz w:val="21"/>
                <w:szCs w:val="21"/>
              </w:rPr>
              <w:t>⑤</w:t>
            </w:r>
            <w:r>
              <w:rPr>
                <w:rFonts w:hint="default" w:ascii="Times New Roman" w:hAnsi="Times New Roman" w:eastAsia="宋体" w:cs="Times New Roman"/>
                <w:color w:val="auto"/>
                <w:sz w:val="21"/>
                <w:szCs w:val="21"/>
                <w:highlight w:val="none"/>
                <w:lang w:eastAsia="zh-CN"/>
              </w:rPr>
              <w:fldChar w:fldCharType="end"/>
            </w:r>
            <w:r>
              <w:rPr>
                <w:rFonts w:hint="eastAsia" w:eastAsia="宋体"/>
                <w:color w:val="auto"/>
                <w:sz w:val="21"/>
                <w:szCs w:val="21"/>
                <w:highlight w:val="none"/>
                <w:lang w:eastAsia="zh-CN"/>
              </w:rPr>
              <w:t>鸡舍废气集中收集经喷淋水帘后排放。</w:t>
            </w:r>
          </w:p>
        </w:tc>
        <w:tc>
          <w:tcPr>
            <w:tcW w:w="190" w:type="pct"/>
            <w:vMerge w:val="restart"/>
            <w:vAlign w:val="center"/>
          </w:tcPr>
          <w:p w14:paraId="52B07C42">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80</w:t>
            </w:r>
          </w:p>
        </w:tc>
        <w:tc>
          <w:tcPr>
            <w:tcW w:w="277" w:type="pct"/>
            <w:vAlign w:val="center"/>
          </w:tcPr>
          <w:p w14:paraId="0247236D">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365" w:type="pct"/>
            <w:vAlign w:val="center"/>
          </w:tcPr>
          <w:p w14:paraId="65196C6A">
            <w:pPr>
              <w:keepNext w:val="0"/>
              <w:keepLines w:val="0"/>
              <w:pageBreakBefore w:val="0"/>
              <w:widowControl/>
              <w:kinsoku/>
              <w:wordWrap/>
              <w:overflowPunct/>
              <w:topLinePunct w:val="0"/>
              <w:autoSpaceDE/>
              <w:autoSpaceDN/>
              <w:bidi w:val="0"/>
              <w:ind w:left="-105" w:leftChars="-50" w:right="-105" w:rightChars="-50"/>
              <w:jc w:val="center"/>
              <w:textAlignment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0.005</w:t>
            </w:r>
          </w:p>
        </w:tc>
        <w:tc>
          <w:tcPr>
            <w:tcW w:w="338" w:type="pct"/>
            <w:vAlign w:val="center"/>
          </w:tcPr>
          <w:p w14:paraId="2D5D8BC3">
            <w:pPr>
              <w:keepNext w:val="0"/>
              <w:keepLines w:val="0"/>
              <w:pageBreakBefore w:val="0"/>
              <w:widowControl/>
              <w:kinsoku/>
              <w:wordWrap/>
              <w:overflowPunct/>
              <w:topLinePunct w:val="0"/>
              <w:autoSpaceDE/>
              <w:autoSpaceDN/>
              <w:bidi w:val="0"/>
              <w:ind w:left="-105" w:leftChars="-50" w:right="-105" w:rightChars="-50"/>
              <w:jc w:val="center"/>
              <w:textAlignment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0.0438</w:t>
            </w:r>
          </w:p>
        </w:tc>
        <w:tc>
          <w:tcPr>
            <w:tcW w:w="393" w:type="pct"/>
            <w:vAlign w:val="center"/>
          </w:tcPr>
          <w:p w14:paraId="36CDE077">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1.5</w:t>
            </w:r>
          </w:p>
        </w:tc>
        <w:tc>
          <w:tcPr>
            <w:tcW w:w="351" w:type="pct"/>
            <w:vAlign w:val="center"/>
          </w:tcPr>
          <w:p w14:paraId="35C2E4A3">
            <w:pPr>
              <w:keepNext w:val="0"/>
              <w:keepLines w:val="0"/>
              <w:pageBreakBefore w:val="0"/>
              <w:kinsoku/>
              <w:wordWrap/>
              <w:overflowPunct/>
              <w:topLinePunct w:val="0"/>
              <w:autoSpaceDE/>
              <w:autoSpaceDN/>
              <w:bidi w:val="0"/>
              <w:snapToGrid w:val="0"/>
              <w:ind w:left="-105" w:leftChars="-50" w:right="-105" w:rightChars="-5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18765439">
            <w:pPr>
              <w:keepNext w:val="0"/>
              <w:keepLines w:val="0"/>
              <w:pageBreakBefore w:val="0"/>
              <w:kinsoku/>
              <w:wordWrap/>
              <w:overflowPunct/>
              <w:topLinePunct w:val="0"/>
              <w:autoSpaceDE/>
              <w:autoSpaceDN/>
              <w:bidi w:val="0"/>
              <w:ind w:left="-105" w:leftChars="-50" w:right="-105" w:rightChars="-5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是</w:t>
            </w:r>
          </w:p>
        </w:tc>
      </w:tr>
      <w:tr w14:paraId="7EE73B0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15AEFD1E">
            <w:pPr>
              <w:jc w:val="center"/>
              <w:rPr>
                <w:color w:val="auto"/>
                <w:szCs w:val="21"/>
                <w:highlight w:val="none"/>
              </w:rPr>
            </w:pPr>
          </w:p>
        </w:tc>
        <w:tc>
          <w:tcPr>
            <w:tcW w:w="187" w:type="pct"/>
            <w:vMerge w:val="continue"/>
            <w:vAlign w:val="center"/>
          </w:tcPr>
          <w:p w14:paraId="46DC827E">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pacing w:val="4"/>
                <w:szCs w:val="21"/>
                <w:highlight w:val="none"/>
              </w:rPr>
            </w:pPr>
          </w:p>
        </w:tc>
        <w:tc>
          <w:tcPr>
            <w:tcW w:w="285" w:type="pct"/>
            <w:vMerge w:val="continue"/>
            <w:vAlign w:val="center"/>
          </w:tcPr>
          <w:p w14:paraId="6B49653E">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193" w:type="pct"/>
            <w:vMerge w:val="continue"/>
            <w:vAlign w:val="center"/>
          </w:tcPr>
          <w:p w14:paraId="2514DF39">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15FC312E">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H</w:t>
            </w:r>
            <w:r>
              <w:rPr>
                <w:rFonts w:hint="eastAsia"/>
                <w:color w:val="auto"/>
                <w:szCs w:val="21"/>
                <w:highlight w:val="none"/>
                <w:vertAlign w:val="subscript"/>
                <w:lang w:val="en-US" w:eastAsia="zh-CN"/>
              </w:rPr>
              <w:t>2</w:t>
            </w:r>
            <w:r>
              <w:rPr>
                <w:rFonts w:hint="eastAsia"/>
                <w:color w:val="auto"/>
                <w:szCs w:val="21"/>
                <w:highlight w:val="none"/>
                <w:lang w:val="en-US" w:eastAsia="zh-CN"/>
              </w:rPr>
              <w:t>S</w:t>
            </w:r>
          </w:p>
        </w:tc>
        <w:tc>
          <w:tcPr>
            <w:tcW w:w="320" w:type="pct"/>
            <w:vAlign w:val="center"/>
          </w:tcPr>
          <w:p w14:paraId="70E459F8">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260" w:type="pct"/>
            <w:vAlign w:val="center"/>
          </w:tcPr>
          <w:p w14:paraId="56B773C3">
            <w:pPr>
              <w:autoSpaceDE w:val="0"/>
              <w:autoSpaceDN w:val="0"/>
              <w:adjustRightInd w:val="0"/>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0.00125</w:t>
            </w:r>
          </w:p>
        </w:tc>
        <w:tc>
          <w:tcPr>
            <w:tcW w:w="296" w:type="pct"/>
            <w:vAlign w:val="center"/>
          </w:tcPr>
          <w:p w14:paraId="07D13D6C">
            <w:pPr>
              <w:autoSpaceDE w:val="0"/>
              <w:autoSpaceDN w:val="0"/>
              <w:adjustRightInd w:val="0"/>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0.01</w:t>
            </w:r>
            <w:r>
              <w:rPr>
                <w:rFonts w:hint="eastAsia"/>
                <w:color w:val="auto"/>
                <w:szCs w:val="21"/>
                <w:highlight w:val="none"/>
              </w:rPr>
              <w:t>1</w:t>
            </w:r>
          </w:p>
        </w:tc>
        <w:tc>
          <w:tcPr>
            <w:tcW w:w="867" w:type="pct"/>
            <w:vMerge w:val="continue"/>
            <w:vAlign w:val="center"/>
          </w:tcPr>
          <w:p w14:paraId="1004B876">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38734E5C">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p>
        </w:tc>
        <w:tc>
          <w:tcPr>
            <w:tcW w:w="277" w:type="pct"/>
            <w:vAlign w:val="center"/>
          </w:tcPr>
          <w:p w14:paraId="259803F5">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365" w:type="pct"/>
            <w:vAlign w:val="center"/>
          </w:tcPr>
          <w:p w14:paraId="3E476528">
            <w:pPr>
              <w:keepNext w:val="0"/>
              <w:keepLines w:val="0"/>
              <w:pageBreakBefore w:val="0"/>
              <w:widowControl/>
              <w:kinsoku/>
              <w:wordWrap/>
              <w:overflowPunct/>
              <w:topLinePunct w:val="0"/>
              <w:autoSpaceDE/>
              <w:autoSpaceDN/>
              <w:bidi w:val="0"/>
              <w:ind w:left="-105" w:leftChars="-50" w:right="-105" w:rightChars="-50"/>
              <w:jc w:val="center"/>
              <w:textAlignment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0.00025</w:t>
            </w:r>
          </w:p>
        </w:tc>
        <w:tc>
          <w:tcPr>
            <w:tcW w:w="338" w:type="pct"/>
            <w:vAlign w:val="center"/>
          </w:tcPr>
          <w:p w14:paraId="18A687DF">
            <w:pPr>
              <w:keepNext w:val="0"/>
              <w:keepLines w:val="0"/>
              <w:pageBreakBefore w:val="0"/>
              <w:widowControl/>
              <w:kinsoku/>
              <w:wordWrap/>
              <w:overflowPunct/>
              <w:topLinePunct w:val="0"/>
              <w:autoSpaceDE/>
              <w:autoSpaceDN/>
              <w:bidi w:val="0"/>
              <w:ind w:left="-105" w:leftChars="-50" w:right="-105" w:rightChars="-50"/>
              <w:jc w:val="center"/>
              <w:textAlignment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0.0021</w:t>
            </w:r>
            <w:r>
              <w:rPr>
                <w:rFonts w:hint="eastAsia"/>
                <w:color w:val="auto"/>
                <w:szCs w:val="21"/>
                <w:highlight w:val="none"/>
              </w:rPr>
              <w:t>9</w:t>
            </w:r>
          </w:p>
        </w:tc>
        <w:tc>
          <w:tcPr>
            <w:tcW w:w="393" w:type="pct"/>
            <w:vAlign w:val="center"/>
          </w:tcPr>
          <w:p w14:paraId="06B9BD88">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0.06</w:t>
            </w:r>
          </w:p>
        </w:tc>
        <w:tc>
          <w:tcPr>
            <w:tcW w:w="351" w:type="pct"/>
            <w:vAlign w:val="center"/>
          </w:tcPr>
          <w:p w14:paraId="6DA1BE8B">
            <w:pPr>
              <w:keepNext w:val="0"/>
              <w:keepLines w:val="0"/>
              <w:pageBreakBefore w:val="0"/>
              <w:kinsoku/>
              <w:wordWrap/>
              <w:overflowPunct/>
              <w:topLinePunct w:val="0"/>
              <w:autoSpaceDE/>
              <w:autoSpaceDN/>
              <w:bidi w:val="0"/>
              <w:snapToGrid w:val="0"/>
              <w:ind w:left="-105" w:leftChars="-50" w:right="-105" w:rightChars="-5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151CBB88">
            <w:pPr>
              <w:keepNext w:val="0"/>
              <w:keepLines w:val="0"/>
              <w:pageBreakBefore w:val="0"/>
              <w:kinsoku/>
              <w:wordWrap/>
              <w:overflowPunct/>
              <w:topLinePunct w:val="0"/>
              <w:autoSpaceDE/>
              <w:autoSpaceDN/>
              <w:bidi w:val="0"/>
              <w:ind w:left="-105" w:leftChars="-50" w:right="-105" w:rightChars="-50"/>
              <w:jc w:val="center"/>
              <w:rPr>
                <w:rFonts w:ascii="Times New Roman" w:hAnsi="Times New Roman" w:eastAsia="宋体" w:cs="Times New Roman"/>
                <w:color w:val="auto"/>
                <w:szCs w:val="21"/>
                <w:highlight w:val="none"/>
              </w:rPr>
            </w:pPr>
            <w:r>
              <w:rPr>
                <w:rFonts w:hint="eastAsia" w:cs="Times New Roman"/>
                <w:color w:val="auto"/>
                <w:szCs w:val="21"/>
                <w:highlight w:val="none"/>
                <w:lang w:eastAsia="zh-CN"/>
              </w:rPr>
              <w:t>是</w:t>
            </w:r>
          </w:p>
        </w:tc>
      </w:tr>
      <w:tr w14:paraId="0AEBE33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4796E2CE">
            <w:pPr>
              <w:jc w:val="center"/>
              <w:rPr>
                <w:color w:val="auto"/>
                <w:szCs w:val="21"/>
                <w:highlight w:val="none"/>
              </w:rPr>
            </w:pPr>
          </w:p>
        </w:tc>
        <w:tc>
          <w:tcPr>
            <w:tcW w:w="187" w:type="pct"/>
            <w:vMerge w:val="continue"/>
            <w:vAlign w:val="center"/>
          </w:tcPr>
          <w:p w14:paraId="387BBBA2">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pacing w:val="4"/>
                <w:szCs w:val="21"/>
                <w:highlight w:val="none"/>
              </w:rPr>
            </w:pPr>
          </w:p>
        </w:tc>
        <w:tc>
          <w:tcPr>
            <w:tcW w:w="285" w:type="pct"/>
            <w:vMerge w:val="continue"/>
            <w:vAlign w:val="center"/>
          </w:tcPr>
          <w:p w14:paraId="00E933A4">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193" w:type="pct"/>
            <w:vMerge w:val="continue"/>
            <w:vAlign w:val="center"/>
          </w:tcPr>
          <w:p w14:paraId="11AE96C3">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1E174564">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zCs w:val="21"/>
                <w:highlight w:val="none"/>
                <w:lang w:val="en-US" w:eastAsia="zh-CN"/>
              </w:rPr>
            </w:pPr>
            <w:r>
              <w:rPr>
                <w:rFonts w:hint="eastAsia"/>
                <w:color w:val="auto"/>
                <w:szCs w:val="21"/>
                <w:highlight w:val="none"/>
                <w:lang w:val="en-US" w:eastAsia="zh-CN"/>
              </w:rPr>
              <w:t>臭气浓度</w:t>
            </w:r>
          </w:p>
        </w:tc>
        <w:tc>
          <w:tcPr>
            <w:tcW w:w="320" w:type="pct"/>
            <w:vAlign w:val="center"/>
          </w:tcPr>
          <w:p w14:paraId="6BF87841">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260" w:type="pct"/>
            <w:vAlign w:val="center"/>
          </w:tcPr>
          <w:p w14:paraId="37B7ED77">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296" w:type="pct"/>
            <w:vAlign w:val="center"/>
          </w:tcPr>
          <w:p w14:paraId="411DCCB8">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color w:val="auto"/>
                <w:szCs w:val="21"/>
                <w:highlight w:val="none"/>
              </w:rPr>
              <w:t>90（无量纲）</w:t>
            </w:r>
          </w:p>
        </w:tc>
        <w:tc>
          <w:tcPr>
            <w:tcW w:w="867" w:type="pct"/>
            <w:vMerge w:val="continue"/>
            <w:vAlign w:val="center"/>
          </w:tcPr>
          <w:p w14:paraId="01520056">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269BE10B">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p>
        </w:tc>
        <w:tc>
          <w:tcPr>
            <w:tcW w:w="277" w:type="pct"/>
            <w:vAlign w:val="center"/>
          </w:tcPr>
          <w:p w14:paraId="2D112D48">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365" w:type="pct"/>
            <w:vAlign w:val="center"/>
          </w:tcPr>
          <w:p w14:paraId="33C08B8F">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338" w:type="pct"/>
            <w:vAlign w:val="center"/>
          </w:tcPr>
          <w:p w14:paraId="2FA27CC3">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color w:val="auto"/>
                <w:szCs w:val="21"/>
                <w:highlight w:val="none"/>
              </w:rPr>
              <w:t>＜30（无量纲）</w:t>
            </w:r>
          </w:p>
        </w:tc>
        <w:tc>
          <w:tcPr>
            <w:tcW w:w="393" w:type="pct"/>
            <w:vAlign w:val="center"/>
          </w:tcPr>
          <w:p w14:paraId="40FCB1E8">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70（无量纲）</w:t>
            </w:r>
          </w:p>
        </w:tc>
        <w:tc>
          <w:tcPr>
            <w:tcW w:w="351" w:type="pct"/>
            <w:vAlign w:val="center"/>
          </w:tcPr>
          <w:p w14:paraId="46683319">
            <w:pPr>
              <w:keepNext w:val="0"/>
              <w:keepLines w:val="0"/>
              <w:pageBreakBefore w:val="0"/>
              <w:kinsoku/>
              <w:wordWrap/>
              <w:overflowPunct/>
              <w:topLinePunct w:val="0"/>
              <w:autoSpaceDE/>
              <w:autoSpaceDN/>
              <w:bidi w:val="0"/>
              <w:snapToGrid w:val="0"/>
              <w:ind w:left="-105" w:leftChars="-50" w:right="-105" w:rightChars="-5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71C1F65A">
            <w:pPr>
              <w:keepNext w:val="0"/>
              <w:keepLines w:val="0"/>
              <w:pageBreakBefore w:val="0"/>
              <w:kinsoku/>
              <w:wordWrap/>
              <w:overflowPunct/>
              <w:topLinePunct w:val="0"/>
              <w:autoSpaceDE/>
              <w:autoSpaceDN/>
              <w:bidi w:val="0"/>
              <w:ind w:left="-105" w:leftChars="-50" w:right="-105" w:rightChars="-50"/>
              <w:jc w:val="center"/>
              <w:rPr>
                <w:rFonts w:ascii="Times New Roman" w:hAnsi="Times New Roman" w:eastAsia="宋体" w:cs="Times New Roman"/>
                <w:color w:val="auto"/>
                <w:szCs w:val="21"/>
                <w:highlight w:val="none"/>
              </w:rPr>
            </w:pPr>
            <w:r>
              <w:rPr>
                <w:rFonts w:hint="eastAsia" w:cs="Times New Roman"/>
                <w:color w:val="auto"/>
                <w:szCs w:val="21"/>
                <w:highlight w:val="none"/>
                <w:lang w:eastAsia="zh-CN"/>
              </w:rPr>
              <w:t>是</w:t>
            </w:r>
          </w:p>
        </w:tc>
      </w:tr>
      <w:tr w14:paraId="3553E1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101F08D3">
            <w:pPr>
              <w:jc w:val="center"/>
              <w:rPr>
                <w:color w:val="auto"/>
                <w:szCs w:val="21"/>
                <w:highlight w:val="none"/>
              </w:rPr>
            </w:pPr>
          </w:p>
        </w:tc>
        <w:tc>
          <w:tcPr>
            <w:tcW w:w="187" w:type="pct"/>
            <w:vMerge w:val="restart"/>
            <w:vAlign w:val="center"/>
          </w:tcPr>
          <w:p w14:paraId="6D993CE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pacing w:val="4"/>
                <w:sz w:val="21"/>
                <w:szCs w:val="21"/>
                <w:highlight w:val="none"/>
                <w:lang w:eastAsia="zh-CN"/>
              </w:rPr>
            </w:pPr>
            <w:r>
              <w:rPr>
                <w:rFonts w:hint="eastAsia"/>
                <w:color w:val="auto"/>
                <w:spacing w:val="4"/>
                <w:sz w:val="21"/>
                <w:szCs w:val="21"/>
                <w:highlight w:val="none"/>
                <w:lang w:eastAsia="zh-CN"/>
              </w:rPr>
              <w:t>临时储粪场</w:t>
            </w:r>
          </w:p>
        </w:tc>
        <w:tc>
          <w:tcPr>
            <w:tcW w:w="285" w:type="pct"/>
            <w:vMerge w:val="restart"/>
            <w:vAlign w:val="center"/>
          </w:tcPr>
          <w:p w14:paraId="018B0DC4">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 w:val="21"/>
                <w:szCs w:val="21"/>
                <w:highlight w:val="none"/>
                <w:lang w:val="en-US" w:eastAsia="zh-CN"/>
              </w:rPr>
            </w:pPr>
            <w:r>
              <w:rPr>
                <w:rFonts w:hint="eastAsia"/>
                <w:color w:val="auto"/>
                <w:lang w:val="en-US" w:eastAsia="zh-CN"/>
              </w:rPr>
              <w:t>无组织</w:t>
            </w:r>
          </w:p>
        </w:tc>
        <w:tc>
          <w:tcPr>
            <w:tcW w:w="193" w:type="pct"/>
            <w:vMerge w:val="restart"/>
            <w:vAlign w:val="center"/>
          </w:tcPr>
          <w:p w14:paraId="57E83A7A">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 w:val="21"/>
                <w:szCs w:val="21"/>
                <w:highlight w:val="none"/>
                <w:lang w:val="en-US" w:eastAsia="zh-CN"/>
              </w:rPr>
            </w:pPr>
            <w:r>
              <w:rPr>
                <w:rFonts w:hint="eastAsia"/>
                <w:color w:val="auto"/>
                <w:sz w:val="21"/>
                <w:szCs w:val="21"/>
                <w:highlight w:val="none"/>
                <w:lang w:val="en-US" w:eastAsia="zh-CN"/>
              </w:rPr>
              <w:t>1200</w:t>
            </w:r>
          </w:p>
        </w:tc>
        <w:tc>
          <w:tcPr>
            <w:tcW w:w="266" w:type="pct"/>
            <w:vAlign w:val="center"/>
          </w:tcPr>
          <w:p w14:paraId="49685427">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NH</w:t>
            </w:r>
            <w:r>
              <w:rPr>
                <w:rFonts w:hint="eastAsia"/>
                <w:color w:val="auto"/>
                <w:sz w:val="21"/>
                <w:szCs w:val="21"/>
                <w:highlight w:val="none"/>
                <w:vertAlign w:val="subscript"/>
                <w:lang w:val="en-US" w:eastAsia="zh-CN"/>
              </w:rPr>
              <w:t>3</w:t>
            </w:r>
          </w:p>
        </w:tc>
        <w:tc>
          <w:tcPr>
            <w:tcW w:w="320" w:type="pct"/>
            <w:vAlign w:val="center"/>
          </w:tcPr>
          <w:p w14:paraId="5EA5317F">
            <w:pPr>
              <w:pStyle w:val="434"/>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260" w:type="pct"/>
            <w:vAlign w:val="center"/>
          </w:tcPr>
          <w:p w14:paraId="5D4B2F3C">
            <w:pPr>
              <w:autoSpaceDE w:val="0"/>
              <w:autoSpaceDN w:val="0"/>
              <w:adjustRightInd w:val="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0.225</w:t>
            </w:r>
          </w:p>
        </w:tc>
        <w:tc>
          <w:tcPr>
            <w:tcW w:w="296" w:type="pct"/>
            <w:vAlign w:val="center"/>
          </w:tcPr>
          <w:p w14:paraId="4F8A9F1C">
            <w:pPr>
              <w:autoSpaceDE w:val="0"/>
              <w:autoSpaceDN w:val="0"/>
              <w:adjustRightInd w:val="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0.27</w:t>
            </w:r>
          </w:p>
        </w:tc>
        <w:tc>
          <w:tcPr>
            <w:tcW w:w="867" w:type="pct"/>
            <w:vMerge w:val="restart"/>
            <w:vAlign w:val="center"/>
          </w:tcPr>
          <w:p w14:paraId="2B81BBB4">
            <w:pPr>
              <w:pStyle w:val="458"/>
              <w:rPr>
                <w:rFonts w:hint="eastAsia" w:eastAsia="宋体"/>
                <w:color w:val="auto"/>
                <w:sz w:val="21"/>
                <w:szCs w:val="21"/>
                <w:highlight w:val="none"/>
                <w:lang w:eastAsia="zh-CN"/>
              </w:rPr>
            </w:pPr>
            <w:r>
              <w:rPr>
                <w:rFonts w:eastAsia="宋体"/>
                <w:color w:val="auto"/>
                <w:sz w:val="21"/>
                <w:szCs w:val="21"/>
                <w:highlight w:val="none"/>
              </w:rPr>
              <w:t>①定期喷洒除臭剂；②及时清运固体粪污；③临时</w:t>
            </w:r>
            <w:r>
              <w:rPr>
                <w:rFonts w:hint="eastAsia" w:eastAsia="宋体"/>
                <w:color w:val="auto"/>
                <w:sz w:val="21"/>
                <w:szCs w:val="21"/>
                <w:highlight w:val="none"/>
                <w:lang w:eastAsia="zh-CN"/>
              </w:rPr>
              <w:t>储粪场设置为封闭结构</w:t>
            </w:r>
            <w:r>
              <w:rPr>
                <w:rFonts w:eastAsia="宋体"/>
                <w:color w:val="auto"/>
                <w:sz w:val="21"/>
                <w:szCs w:val="21"/>
                <w:highlight w:val="none"/>
              </w:rPr>
              <w:t>；</w:t>
            </w:r>
          </w:p>
        </w:tc>
        <w:tc>
          <w:tcPr>
            <w:tcW w:w="190" w:type="pct"/>
            <w:vMerge w:val="restart"/>
            <w:vAlign w:val="center"/>
          </w:tcPr>
          <w:p w14:paraId="7532F099">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60</w:t>
            </w:r>
          </w:p>
        </w:tc>
        <w:tc>
          <w:tcPr>
            <w:tcW w:w="277" w:type="pct"/>
            <w:vAlign w:val="center"/>
          </w:tcPr>
          <w:p w14:paraId="7198DC6B">
            <w:pPr>
              <w:pStyle w:val="434"/>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65" w:type="pct"/>
            <w:vAlign w:val="center"/>
          </w:tcPr>
          <w:p w14:paraId="0741663D">
            <w:pPr>
              <w:widowControl/>
              <w:jc w:val="center"/>
              <w:textAlignment w:val="center"/>
              <w:rPr>
                <w:rFonts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0.09</w:t>
            </w:r>
          </w:p>
        </w:tc>
        <w:tc>
          <w:tcPr>
            <w:tcW w:w="338" w:type="pct"/>
            <w:vAlign w:val="center"/>
          </w:tcPr>
          <w:p w14:paraId="026AFA27">
            <w:pPr>
              <w:widowControl/>
              <w:jc w:val="center"/>
              <w:textAlignment w:val="center"/>
              <w:rPr>
                <w:rFonts w:hint="eastAsia"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0.108</w:t>
            </w:r>
          </w:p>
        </w:tc>
        <w:tc>
          <w:tcPr>
            <w:tcW w:w="393" w:type="pct"/>
            <w:vAlign w:val="center"/>
          </w:tcPr>
          <w:p w14:paraId="5ED40C75">
            <w:pPr>
              <w:keepNext w:val="0"/>
              <w:keepLines w:val="0"/>
              <w:pageBreakBefore w:val="0"/>
              <w:kinsoku/>
              <w:wordWrap/>
              <w:overflowPunct/>
              <w:topLinePunct w:val="0"/>
              <w:autoSpaceDE/>
              <w:autoSpaceDN/>
              <w:bidi w:val="0"/>
              <w:ind w:left="-105" w:leftChars="-50" w:right="-105" w:rightChars="-50"/>
              <w:jc w:val="center"/>
              <w:rPr>
                <w:color w:val="auto"/>
                <w:sz w:val="21"/>
                <w:szCs w:val="21"/>
                <w:highlight w:val="none"/>
              </w:rPr>
            </w:pPr>
            <w:r>
              <w:rPr>
                <w:rFonts w:hint="eastAsia"/>
                <w:color w:val="auto"/>
                <w:sz w:val="21"/>
                <w:szCs w:val="21"/>
                <w:highlight w:val="none"/>
                <w:lang w:val="en-US" w:eastAsia="zh-CN"/>
              </w:rPr>
              <w:t>-</w:t>
            </w:r>
          </w:p>
        </w:tc>
        <w:tc>
          <w:tcPr>
            <w:tcW w:w="351" w:type="pct"/>
            <w:vAlign w:val="center"/>
          </w:tcPr>
          <w:p w14:paraId="31ED762C">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4.9</w:t>
            </w:r>
          </w:p>
        </w:tc>
        <w:tc>
          <w:tcPr>
            <w:tcW w:w="276" w:type="pct"/>
            <w:vAlign w:val="center"/>
          </w:tcPr>
          <w:p w14:paraId="5DEC80B7">
            <w:pPr>
              <w:keepNext w:val="0"/>
              <w:keepLines w:val="0"/>
              <w:pageBreakBefore w:val="0"/>
              <w:kinsoku/>
              <w:wordWrap/>
              <w:overflowPunct/>
              <w:topLinePunct w:val="0"/>
              <w:autoSpaceDE/>
              <w:autoSpaceDN/>
              <w:bidi w:val="0"/>
              <w:ind w:left="-105" w:leftChars="-50" w:right="-105" w:rightChars="-50"/>
              <w:jc w:val="center"/>
              <w:rPr>
                <w:rFonts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是</w:t>
            </w:r>
          </w:p>
        </w:tc>
      </w:tr>
      <w:tr w14:paraId="4F81D27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62F1F00F">
            <w:pPr>
              <w:jc w:val="center"/>
              <w:rPr>
                <w:color w:val="auto"/>
                <w:szCs w:val="21"/>
                <w:highlight w:val="none"/>
              </w:rPr>
            </w:pPr>
          </w:p>
        </w:tc>
        <w:tc>
          <w:tcPr>
            <w:tcW w:w="187" w:type="pct"/>
            <w:vMerge w:val="continue"/>
            <w:vAlign w:val="center"/>
          </w:tcPr>
          <w:p w14:paraId="25ACCBC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pacing w:val="4"/>
                <w:sz w:val="21"/>
                <w:szCs w:val="21"/>
                <w:highlight w:val="none"/>
              </w:rPr>
            </w:pPr>
          </w:p>
        </w:tc>
        <w:tc>
          <w:tcPr>
            <w:tcW w:w="285" w:type="pct"/>
            <w:vMerge w:val="continue"/>
            <w:vAlign w:val="center"/>
          </w:tcPr>
          <w:p w14:paraId="3AC94C7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 w:val="21"/>
                <w:szCs w:val="21"/>
                <w:highlight w:val="none"/>
              </w:rPr>
            </w:pPr>
          </w:p>
        </w:tc>
        <w:tc>
          <w:tcPr>
            <w:tcW w:w="193" w:type="pct"/>
            <w:vMerge w:val="continue"/>
            <w:vAlign w:val="center"/>
          </w:tcPr>
          <w:p w14:paraId="2DB9A3A8">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 w:val="21"/>
                <w:szCs w:val="21"/>
                <w:highlight w:val="none"/>
                <w:lang w:val="en-US" w:eastAsia="zh-CN"/>
              </w:rPr>
            </w:pPr>
          </w:p>
        </w:tc>
        <w:tc>
          <w:tcPr>
            <w:tcW w:w="266" w:type="pct"/>
            <w:vAlign w:val="center"/>
          </w:tcPr>
          <w:p w14:paraId="64E79FB7">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H</w:t>
            </w:r>
            <w:r>
              <w:rPr>
                <w:rFonts w:hint="eastAsia"/>
                <w:color w:val="auto"/>
                <w:sz w:val="21"/>
                <w:szCs w:val="21"/>
                <w:highlight w:val="none"/>
                <w:vertAlign w:val="subscript"/>
                <w:lang w:val="en-US" w:eastAsia="zh-CN"/>
              </w:rPr>
              <w:t>2</w:t>
            </w:r>
            <w:r>
              <w:rPr>
                <w:rFonts w:hint="eastAsia"/>
                <w:color w:val="auto"/>
                <w:sz w:val="21"/>
                <w:szCs w:val="21"/>
                <w:highlight w:val="none"/>
                <w:lang w:val="en-US" w:eastAsia="zh-CN"/>
              </w:rPr>
              <w:t>S</w:t>
            </w:r>
          </w:p>
        </w:tc>
        <w:tc>
          <w:tcPr>
            <w:tcW w:w="320" w:type="pct"/>
            <w:vAlign w:val="center"/>
          </w:tcPr>
          <w:p w14:paraId="22395269">
            <w:pPr>
              <w:pStyle w:val="434"/>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260" w:type="pct"/>
            <w:vAlign w:val="center"/>
          </w:tcPr>
          <w:p w14:paraId="06B427CA">
            <w:pPr>
              <w:autoSpaceDE w:val="0"/>
              <w:autoSpaceDN w:val="0"/>
              <w:adjustRightInd w:val="0"/>
              <w:jc w:val="center"/>
              <w:rPr>
                <w:rFonts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0.0113</w:t>
            </w:r>
          </w:p>
        </w:tc>
        <w:tc>
          <w:tcPr>
            <w:tcW w:w="296" w:type="pct"/>
            <w:vAlign w:val="center"/>
          </w:tcPr>
          <w:p w14:paraId="466E55CD">
            <w:pPr>
              <w:autoSpaceDE w:val="0"/>
              <w:autoSpaceDN w:val="0"/>
              <w:adjustRightInd w:val="0"/>
              <w:jc w:val="center"/>
              <w:rPr>
                <w:rFonts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0.0135</w:t>
            </w:r>
          </w:p>
        </w:tc>
        <w:tc>
          <w:tcPr>
            <w:tcW w:w="867" w:type="pct"/>
            <w:vMerge w:val="continue"/>
            <w:vAlign w:val="center"/>
          </w:tcPr>
          <w:p w14:paraId="14D89306">
            <w:pPr>
              <w:keepNext w:val="0"/>
              <w:keepLines w:val="0"/>
              <w:pageBreakBefore w:val="0"/>
              <w:kinsoku/>
              <w:wordWrap/>
              <w:overflowPunct/>
              <w:topLinePunct w:val="0"/>
              <w:autoSpaceDE/>
              <w:autoSpaceDN/>
              <w:bidi w:val="0"/>
              <w:ind w:left="-105" w:leftChars="-50" w:right="-105" w:rightChars="-50"/>
              <w:jc w:val="center"/>
              <w:rPr>
                <w:color w:val="auto"/>
                <w:sz w:val="21"/>
                <w:szCs w:val="21"/>
                <w:highlight w:val="none"/>
              </w:rPr>
            </w:pPr>
          </w:p>
        </w:tc>
        <w:tc>
          <w:tcPr>
            <w:tcW w:w="190" w:type="pct"/>
            <w:vMerge w:val="continue"/>
            <w:vAlign w:val="center"/>
          </w:tcPr>
          <w:p w14:paraId="65ED897E">
            <w:pPr>
              <w:pStyle w:val="434"/>
              <w:jc w:val="center"/>
              <w:rPr>
                <w:rFonts w:hint="eastAsia"/>
                <w:color w:val="auto"/>
                <w:sz w:val="21"/>
                <w:szCs w:val="21"/>
                <w:highlight w:val="none"/>
              </w:rPr>
            </w:pPr>
          </w:p>
        </w:tc>
        <w:tc>
          <w:tcPr>
            <w:tcW w:w="277" w:type="pct"/>
            <w:vAlign w:val="center"/>
          </w:tcPr>
          <w:p w14:paraId="4256ED88">
            <w:pPr>
              <w:pStyle w:val="434"/>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365" w:type="pct"/>
            <w:vAlign w:val="center"/>
          </w:tcPr>
          <w:p w14:paraId="069EA835">
            <w:pPr>
              <w:widowControl/>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0.0045</w:t>
            </w:r>
          </w:p>
        </w:tc>
        <w:tc>
          <w:tcPr>
            <w:tcW w:w="338" w:type="pct"/>
            <w:vAlign w:val="center"/>
          </w:tcPr>
          <w:p w14:paraId="17446FDF">
            <w:pPr>
              <w:widowControl/>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0.0054</w:t>
            </w:r>
          </w:p>
        </w:tc>
        <w:tc>
          <w:tcPr>
            <w:tcW w:w="393" w:type="pct"/>
            <w:vAlign w:val="center"/>
          </w:tcPr>
          <w:p w14:paraId="1EDC1A82">
            <w:pPr>
              <w:keepNext w:val="0"/>
              <w:keepLines w:val="0"/>
              <w:pageBreakBefore w:val="0"/>
              <w:kinsoku/>
              <w:wordWrap/>
              <w:overflowPunct/>
              <w:topLinePunct w:val="0"/>
              <w:autoSpaceDE/>
              <w:autoSpaceDN/>
              <w:bidi w:val="0"/>
              <w:ind w:left="-105" w:leftChars="-50" w:right="-105" w:rightChars="-50"/>
              <w:jc w:val="center"/>
              <w:rPr>
                <w:color w:val="auto"/>
                <w:sz w:val="21"/>
                <w:szCs w:val="21"/>
                <w:highlight w:val="none"/>
              </w:rPr>
            </w:pPr>
            <w:r>
              <w:rPr>
                <w:rFonts w:hint="eastAsia"/>
                <w:color w:val="auto"/>
                <w:sz w:val="21"/>
                <w:szCs w:val="21"/>
                <w:highlight w:val="none"/>
                <w:lang w:val="en-US" w:eastAsia="zh-CN"/>
              </w:rPr>
              <w:t>-</w:t>
            </w:r>
          </w:p>
        </w:tc>
        <w:tc>
          <w:tcPr>
            <w:tcW w:w="351" w:type="pct"/>
            <w:vAlign w:val="center"/>
          </w:tcPr>
          <w:p w14:paraId="510BD7A7">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0.33</w:t>
            </w:r>
          </w:p>
        </w:tc>
        <w:tc>
          <w:tcPr>
            <w:tcW w:w="276" w:type="pct"/>
            <w:vAlign w:val="center"/>
          </w:tcPr>
          <w:p w14:paraId="4DDBD7D0">
            <w:pPr>
              <w:keepNext w:val="0"/>
              <w:keepLines w:val="0"/>
              <w:pageBreakBefore w:val="0"/>
              <w:kinsoku/>
              <w:wordWrap/>
              <w:overflowPunct/>
              <w:topLinePunct w:val="0"/>
              <w:autoSpaceDE/>
              <w:autoSpaceDN/>
              <w:bidi w:val="0"/>
              <w:ind w:left="-105" w:leftChars="-50" w:right="-105" w:rightChars="-50"/>
              <w:jc w:val="center"/>
              <w:rPr>
                <w:rFonts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是</w:t>
            </w:r>
          </w:p>
        </w:tc>
      </w:tr>
      <w:tr w14:paraId="46F5F51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0E8EA364">
            <w:pPr>
              <w:jc w:val="center"/>
              <w:rPr>
                <w:color w:val="auto"/>
                <w:szCs w:val="21"/>
                <w:highlight w:val="none"/>
              </w:rPr>
            </w:pPr>
          </w:p>
        </w:tc>
        <w:tc>
          <w:tcPr>
            <w:tcW w:w="187" w:type="pct"/>
            <w:vMerge w:val="continue"/>
            <w:vAlign w:val="center"/>
          </w:tcPr>
          <w:p w14:paraId="13BDEDF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pacing w:val="4"/>
                <w:sz w:val="21"/>
                <w:szCs w:val="21"/>
                <w:highlight w:val="none"/>
              </w:rPr>
            </w:pPr>
          </w:p>
        </w:tc>
        <w:tc>
          <w:tcPr>
            <w:tcW w:w="285" w:type="pct"/>
            <w:vMerge w:val="continue"/>
            <w:vAlign w:val="center"/>
          </w:tcPr>
          <w:p w14:paraId="19C71E10">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 w:val="21"/>
                <w:szCs w:val="21"/>
                <w:highlight w:val="none"/>
              </w:rPr>
            </w:pPr>
          </w:p>
        </w:tc>
        <w:tc>
          <w:tcPr>
            <w:tcW w:w="193" w:type="pct"/>
            <w:vMerge w:val="continue"/>
            <w:vAlign w:val="center"/>
          </w:tcPr>
          <w:p w14:paraId="29D3CB8B">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 w:val="21"/>
                <w:szCs w:val="21"/>
                <w:highlight w:val="none"/>
                <w:lang w:val="en-US" w:eastAsia="zh-CN"/>
              </w:rPr>
            </w:pPr>
          </w:p>
        </w:tc>
        <w:tc>
          <w:tcPr>
            <w:tcW w:w="266" w:type="pct"/>
            <w:vAlign w:val="center"/>
          </w:tcPr>
          <w:p w14:paraId="7EEB281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 w:val="21"/>
                <w:szCs w:val="21"/>
                <w:highlight w:val="none"/>
                <w:lang w:val="en-US" w:eastAsia="zh-CN"/>
              </w:rPr>
            </w:pPr>
            <w:r>
              <w:rPr>
                <w:rFonts w:hint="eastAsia"/>
                <w:color w:val="auto"/>
                <w:szCs w:val="21"/>
                <w:highlight w:val="none"/>
                <w:lang w:val="en-US" w:eastAsia="zh-CN"/>
              </w:rPr>
              <w:t>臭气浓度</w:t>
            </w:r>
          </w:p>
        </w:tc>
        <w:tc>
          <w:tcPr>
            <w:tcW w:w="320" w:type="pct"/>
            <w:vAlign w:val="center"/>
          </w:tcPr>
          <w:p w14:paraId="1D686DE7">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0"/>
                <w:sz w:val="21"/>
                <w:szCs w:val="21"/>
                <w:highlight w:val="none"/>
                <w:lang w:val="en-US" w:eastAsia="zh-CN" w:bidi="ar-SA"/>
              </w:rPr>
            </w:pPr>
            <w:r>
              <w:rPr>
                <w:rFonts w:hint="eastAsia"/>
                <w:color w:val="auto"/>
                <w:szCs w:val="21"/>
                <w:highlight w:val="none"/>
                <w:lang w:val="en-US" w:eastAsia="zh-CN"/>
              </w:rPr>
              <w:t>-</w:t>
            </w:r>
          </w:p>
        </w:tc>
        <w:tc>
          <w:tcPr>
            <w:tcW w:w="260" w:type="pct"/>
            <w:vAlign w:val="center"/>
          </w:tcPr>
          <w:p w14:paraId="4D9035BC">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296" w:type="pct"/>
            <w:vAlign w:val="center"/>
          </w:tcPr>
          <w:p w14:paraId="49F2F5FE">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color w:val="auto"/>
                <w:szCs w:val="21"/>
                <w:highlight w:val="none"/>
              </w:rPr>
              <w:t>90（无量纲）</w:t>
            </w:r>
          </w:p>
        </w:tc>
        <w:tc>
          <w:tcPr>
            <w:tcW w:w="867" w:type="pct"/>
            <w:vMerge w:val="continue"/>
            <w:vAlign w:val="center"/>
          </w:tcPr>
          <w:p w14:paraId="32B6CDB4">
            <w:pPr>
              <w:keepNext w:val="0"/>
              <w:keepLines w:val="0"/>
              <w:pageBreakBefore w:val="0"/>
              <w:kinsoku/>
              <w:wordWrap/>
              <w:overflowPunct/>
              <w:topLinePunct w:val="0"/>
              <w:autoSpaceDE/>
              <w:autoSpaceDN/>
              <w:bidi w:val="0"/>
              <w:ind w:left="-105" w:leftChars="-50" w:right="-105" w:rightChars="-50"/>
              <w:jc w:val="center"/>
              <w:rPr>
                <w:color w:val="auto"/>
                <w:sz w:val="21"/>
                <w:szCs w:val="21"/>
                <w:highlight w:val="none"/>
              </w:rPr>
            </w:pPr>
          </w:p>
        </w:tc>
        <w:tc>
          <w:tcPr>
            <w:tcW w:w="190" w:type="pct"/>
            <w:vMerge w:val="continue"/>
            <w:vAlign w:val="center"/>
          </w:tcPr>
          <w:p w14:paraId="26100216">
            <w:pPr>
              <w:pStyle w:val="434"/>
              <w:jc w:val="center"/>
              <w:rPr>
                <w:rFonts w:hint="eastAsia"/>
                <w:color w:val="auto"/>
                <w:sz w:val="21"/>
                <w:szCs w:val="21"/>
                <w:highlight w:val="none"/>
              </w:rPr>
            </w:pPr>
          </w:p>
        </w:tc>
        <w:tc>
          <w:tcPr>
            <w:tcW w:w="277" w:type="pct"/>
            <w:vAlign w:val="center"/>
          </w:tcPr>
          <w:p w14:paraId="18B46083">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kern w:val="0"/>
                <w:sz w:val="21"/>
                <w:szCs w:val="21"/>
                <w:highlight w:val="none"/>
                <w:lang w:val="en-US" w:eastAsia="zh-CN" w:bidi="ar-SA"/>
              </w:rPr>
            </w:pPr>
            <w:r>
              <w:rPr>
                <w:rFonts w:hint="eastAsia"/>
                <w:color w:val="auto"/>
                <w:szCs w:val="21"/>
                <w:highlight w:val="none"/>
                <w:lang w:val="en-US" w:eastAsia="zh-CN"/>
              </w:rPr>
              <w:t>-</w:t>
            </w:r>
          </w:p>
        </w:tc>
        <w:tc>
          <w:tcPr>
            <w:tcW w:w="365" w:type="pct"/>
            <w:vAlign w:val="center"/>
          </w:tcPr>
          <w:p w14:paraId="65A60AC1">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338" w:type="pct"/>
            <w:vAlign w:val="center"/>
          </w:tcPr>
          <w:p w14:paraId="4B44FF95">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color w:val="auto"/>
                <w:szCs w:val="21"/>
                <w:highlight w:val="none"/>
              </w:rPr>
              <w:t>＜30（无量纲）</w:t>
            </w:r>
          </w:p>
        </w:tc>
        <w:tc>
          <w:tcPr>
            <w:tcW w:w="393" w:type="pct"/>
            <w:vAlign w:val="center"/>
          </w:tcPr>
          <w:p w14:paraId="0FC2325D">
            <w:pPr>
              <w:keepNext w:val="0"/>
              <w:keepLines w:val="0"/>
              <w:pageBreakBefore w:val="0"/>
              <w:kinsoku/>
              <w:wordWrap/>
              <w:overflowPunct/>
              <w:topLinePunct w:val="0"/>
              <w:autoSpaceDE/>
              <w:autoSpaceDN/>
              <w:bidi w:val="0"/>
              <w:ind w:left="-105" w:leftChars="-50" w:right="-105" w:rightChars="-50"/>
              <w:jc w:val="center"/>
              <w:rPr>
                <w:rFonts w:hint="eastAsia"/>
                <w:color w:val="auto"/>
                <w:sz w:val="21"/>
                <w:szCs w:val="21"/>
                <w:highlight w:val="none"/>
                <w:lang w:val="en-US" w:eastAsia="zh-CN"/>
              </w:rPr>
            </w:pPr>
            <w:r>
              <w:rPr>
                <w:rFonts w:hint="eastAsia"/>
                <w:color w:val="auto"/>
                <w:szCs w:val="21"/>
                <w:highlight w:val="none"/>
                <w:lang w:val="en-US" w:eastAsia="zh-CN"/>
              </w:rPr>
              <w:t>70（无量纲）</w:t>
            </w:r>
          </w:p>
        </w:tc>
        <w:tc>
          <w:tcPr>
            <w:tcW w:w="351" w:type="pct"/>
            <w:vAlign w:val="center"/>
          </w:tcPr>
          <w:p w14:paraId="7E87F7DE">
            <w:pPr>
              <w:keepNext w:val="0"/>
              <w:keepLines w:val="0"/>
              <w:pageBreakBefore w:val="0"/>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60F0AD49">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Cs w:val="21"/>
                <w:highlight w:val="none"/>
                <w:lang w:eastAsia="zh-CN"/>
              </w:rPr>
              <w:t>是</w:t>
            </w:r>
          </w:p>
        </w:tc>
      </w:tr>
      <w:tr w14:paraId="3B21A1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7DFA4F27">
            <w:pPr>
              <w:jc w:val="center"/>
              <w:rPr>
                <w:color w:val="auto"/>
                <w:szCs w:val="21"/>
                <w:highlight w:val="none"/>
              </w:rPr>
            </w:pPr>
          </w:p>
        </w:tc>
        <w:tc>
          <w:tcPr>
            <w:tcW w:w="187" w:type="pct"/>
            <w:vAlign w:val="center"/>
          </w:tcPr>
          <w:p w14:paraId="7E30256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pacing w:val="4"/>
                <w:szCs w:val="21"/>
                <w:highlight w:val="none"/>
                <w:lang w:val="en-US" w:eastAsia="zh-CN"/>
              </w:rPr>
            </w:pPr>
            <w:r>
              <w:rPr>
                <w:rFonts w:hint="eastAsia"/>
                <w:color w:val="auto"/>
                <w:spacing w:val="4"/>
                <w:szCs w:val="21"/>
                <w:highlight w:val="none"/>
                <w:lang w:val="en-US" w:eastAsia="zh-CN"/>
              </w:rPr>
              <w:t>食堂</w:t>
            </w:r>
          </w:p>
        </w:tc>
        <w:tc>
          <w:tcPr>
            <w:tcW w:w="285" w:type="pct"/>
            <w:vAlign w:val="center"/>
          </w:tcPr>
          <w:p w14:paraId="5BBFB47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ascii="Times New Roman" w:hAnsi="Times New Roman" w:eastAsia="宋体"/>
                <w:color w:val="auto"/>
                <w:lang w:val="en-US" w:eastAsia="zh-CN"/>
              </w:rPr>
              <w:t>DA0</w:t>
            </w:r>
            <w:r>
              <w:rPr>
                <w:rFonts w:hint="eastAsia"/>
                <w:color w:val="auto"/>
                <w:szCs w:val="21"/>
                <w:highlight w:val="none"/>
                <w:lang w:val="en-US" w:eastAsia="zh-CN"/>
              </w:rPr>
              <w:t>02（</w:t>
            </w:r>
            <w:r>
              <w:rPr>
                <w:rFonts w:eastAsia="宋体"/>
                <w:color w:val="auto"/>
                <w:sz w:val="21"/>
                <w:szCs w:val="21"/>
                <w:highlight w:val="none"/>
              </w:rPr>
              <w:t>专用排气道</w:t>
            </w:r>
            <w:r>
              <w:rPr>
                <w:rFonts w:hint="eastAsia"/>
                <w:color w:val="auto"/>
                <w:szCs w:val="21"/>
                <w:highlight w:val="none"/>
                <w:lang w:val="en-US" w:eastAsia="zh-CN"/>
              </w:rPr>
              <w:t>）</w:t>
            </w:r>
          </w:p>
        </w:tc>
        <w:tc>
          <w:tcPr>
            <w:tcW w:w="193" w:type="pct"/>
            <w:vAlign w:val="center"/>
          </w:tcPr>
          <w:p w14:paraId="546C6FBE">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1460</w:t>
            </w:r>
          </w:p>
        </w:tc>
        <w:tc>
          <w:tcPr>
            <w:tcW w:w="266" w:type="pct"/>
            <w:vAlign w:val="center"/>
          </w:tcPr>
          <w:p w14:paraId="2AC8FB8A">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zCs w:val="21"/>
                <w:highlight w:val="none"/>
                <w:lang w:val="en-US" w:eastAsia="zh-CN"/>
              </w:rPr>
            </w:pPr>
            <w:r>
              <w:rPr>
                <w:rFonts w:hint="eastAsia"/>
                <w:color w:val="auto"/>
                <w:szCs w:val="21"/>
                <w:highlight w:val="none"/>
                <w:lang w:val="en-US" w:eastAsia="zh-CN"/>
              </w:rPr>
              <w:t>油烟</w:t>
            </w:r>
          </w:p>
        </w:tc>
        <w:tc>
          <w:tcPr>
            <w:tcW w:w="320" w:type="pct"/>
            <w:vAlign w:val="center"/>
          </w:tcPr>
          <w:p w14:paraId="5C866019">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3.75</w:t>
            </w:r>
          </w:p>
        </w:tc>
        <w:tc>
          <w:tcPr>
            <w:tcW w:w="260" w:type="pct"/>
            <w:vAlign w:val="center"/>
          </w:tcPr>
          <w:p w14:paraId="7093B68D">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0.015</w:t>
            </w:r>
          </w:p>
        </w:tc>
        <w:tc>
          <w:tcPr>
            <w:tcW w:w="296" w:type="pct"/>
            <w:vAlign w:val="center"/>
          </w:tcPr>
          <w:p w14:paraId="325A91BE">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0.0219</w:t>
            </w:r>
          </w:p>
        </w:tc>
        <w:tc>
          <w:tcPr>
            <w:tcW w:w="867" w:type="pct"/>
            <w:vAlign w:val="center"/>
          </w:tcPr>
          <w:p w14:paraId="5DA145BF">
            <w:pPr>
              <w:keepNext w:val="0"/>
              <w:keepLines w:val="0"/>
              <w:pageBreakBefore w:val="0"/>
              <w:kinsoku/>
              <w:wordWrap/>
              <w:overflowPunct/>
              <w:topLinePunct w:val="0"/>
              <w:autoSpaceDE/>
              <w:autoSpaceDN/>
              <w:bidi w:val="0"/>
              <w:ind w:left="-105" w:leftChars="-50" w:right="-105" w:rightChars="-50"/>
              <w:jc w:val="center"/>
              <w:rPr>
                <w:rFonts w:hint="eastAsia" w:eastAsia="宋体"/>
                <w:color w:val="auto"/>
                <w:szCs w:val="21"/>
                <w:highlight w:val="none"/>
                <w:lang w:val="en-US" w:eastAsia="zh-CN"/>
              </w:rPr>
            </w:pPr>
            <w:r>
              <w:rPr>
                <w:rFonts w:hint="eastAsia"/>
                <w:color w:val="auto"/>
                <w:szCs w:val="21"/>
                <w:highlight w:val="none"/>
                <w:lang w:val="en-US" w:eastAsia="zh-CN"/>
              </w:rPr>
              <w:t>油烟净化器</w:t>
            </w:r>
          </w:p>
        </w:tc>
        <w:tc>
          <w:tcPr>
            <w:tcW w:w="190" w:type="pct"/>
            <w:vAlign w:val="center"/>
          </w:tcPr>
          <w:p w14:paraId="59B16F80">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60</w:t>
            </w:r>
          </w:p>
        </w:tc>
        <w:tc>
          <w:tcPr>
            <w:tcW w:w="277" w:type="pct"/>
            <w:vAlign w:val="center"/>
          </w:tcPr>
          <w:p w14:paraId="39B16A98">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1.5</w:t>
            </w:r>
          </w:p>
        </w:tc>
        <w:tc>
          <w:tcPr>
            <w:tcW w:w="365" w:type="pct"/>
            <w:vAlign w:val="center"/>
          </w:tcPr>
          <w:p w14:paraId="02AAE8DB">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0.006</w:t>
            </w:r>
          </w:p>
        </w:tc>
        <w:tc>
          <w:tcPr>
            <w:tcW w:w="338" w:type="pct"/>
            <w:vAlign w:val="center"/>
          </w:tcPr>
          <w:p w14:paraId="1BF564E3">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0.00876</w:t>
            </w:r>
          </w:p>
        </w:tc>
        <w:tc>
          <w:tcPr>
            <w:tcW w:w="393" w:type="pct"/>
            <w:vAlign w:val="center"/>
          </w:tcPr>
          <w:p w14:paraId="56930278">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2.0</w:t>
            </w:r>
          </w:p>
        </w:tc>
        <w:tc>
          <w:tcPr>
            <w:tcW w:w="351" w:type="pct"/>
            <w:vAlign w:val="center"/>
          </w:tcPr>
          <w:p w14:paraId="399F04D5">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w:t>
            </w:r>
          </w:p>
        </w:tc>
        <w:tc>
          <w:tcPr>
            <w:tcW w:w="276" w:type="pct"/>
            <w:vAlign w:val="center"/>
          </w:tcPr>
          <w:p w14:paraId="2CB139BA">
            <w:pPr>
              <w:keepNext w:val="0"/>
              <w:keepLines w:val="0"/>
              <w:pageBreakBefore w:val="0"/>
              <w:kinsoku/>
              <w:wordWrap/>
              <w:overflowPunct/>
              <w:topLinePunct w:val="0"/>
              <w:autoSpaceDE/>
              <w:autoSpaceDN/>
              <w:bidi w:val="0"/>
              <w:ind w:left="-105" w:leftChars="-50" w:right="-105" w:rightChars="-50"/>
              <w:jc w:val="center"/>
              <w:rPr>
                <w:rFonts w:ascii="Times New Roman" w:hAnsi="Times New Roman" w:eastAsia="宋体" w:cs="Times New Roman"/>
                <w:color w:val="auto"/>
                <w:szCs w:val="21"/>
                <w:highlight w:val="none"/>
              </w:rPr>
            </w:pPr>
            <w:r>
              <w:rPr>
                <w:rFonts w:hint="eastAsia" w:cs="Times New Roman"/>
                <w:color w:val="auto"/>
                <w:sz w:val="21"/>
                <w:szCs w:val="21"/>
                <w:highlight w:val="none"/>
                <w:lang w:eastAsia="zh-CN"/>
              </w:rPr>
              <w:t>是</w:t>
            </w:r>
          </w:p>
        </w:tc>
      </w:tr>
      <w:tr w14:paraId="761459F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5DA3EFDD">
            <w:pPr>
              <w:jc w:val="center"/>
              <w:rPr>
                <w:color w:val="auto"/>
                <w:szCs w:val="21"/>
                <w:highlight w:val="none"/>
              </w:rPr>
            </w:pPr>
          </w:p>
        </w:tc>
        <w:tc>
          <w:tcPr>
            <w:tcW w:w="187" w:type="pct"/>
            <w:vMerge w:val="restart"/>
            <w:vAlign w:val="center"/>
          </w:tcPr>
          <w:p w14:paraId="67805741">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pacing w:val="4"/>
                <w:szCs w:val="21"/>
                <w:highlight w:val="none"/>
                <w:lang w:val="en-US" w:eastAsia="zh-CN"/>
              </w:rPr>
            </w:pPr>
            <w:r>
              <w:rPr>
                <w:rFonts w:hint="eastAsia"/>
                <w:color w:val="auto"/>
                <w:spacing w:val="4"/>
                <w:szCs w:val="21"/>
                <w:highlight w:val="none"/>
                <w:lang w:val="en-US" w:eastAsia="zh-CN"/>
              </w:rPr>
              <w:t>生物质锅炉</w:t>
            </w:r>
          </w:p>
        </w:tc>
        <w:tc>
          <w:tcPr>
            <w:tcW w:w="285" w:type="pct"/>
            <w:vMerge w:val="restart"/>
            <w:vAlign w:val="center"/>
          </w:tcPr>
          <w:p w14:paraId="2115D9F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ascii="Times New Roman" w:hAnsi="Times New Roman" w:eastAsia="宋体"/>
                <w:color w:val="auto"/>
                <w:lang w:val="en-US" w:eastAsia="zh-CN"/>
              </w:rPr>
              <w:t>DA00</w:t>
            </w:r>
            <w:r>
              <w:rPr>
                <w:rFonts w:hint="eastAsia"/>
                <w:color w:val="auto"/>
                <w:szCs w:val="21"/>
                <w:highlight w:val="none"/>
                <w:lang w:val="en-US" w:eastAsia="zh-CN"/>
              </w:rPr>
              <w:t>1</w:t>
            </w:r>
          </w:p>
        </w:tc>
        <w:tc>
          <w:tcPr>
            <w:tcW w:w="193" w:type="pct"/>
            <w:vMerge w:val="restart"/>
            <w:vAlign w:val="center"/>
          </w:tcPr>
          <w:p w14:paraId="0330C72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2880</w:t>
            </w:r>
          </w:p>
        </w:tc>
        <w:tc>
          <w:tcPr>
            <w:tcW w:w="266" w:type="pct"/>
            <w:vAlign w:val="center"/>
          </w:tcPr>
          <w:p w14:paraId="0BC2017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zCs w:val="21"/>
                <w:highlight w:val="none"/>
                <w:lang w:val="en-US" w:eastAsia="zh-CN"/>
              </w:rPr>
            </w:pPr>
            <w:r>
              <w:rPr>
                <w:rFonts w:hint="eastAsia"/>
                <w:color w:val="auto"/>
                <w:szCs w:val="21"/>
                <w:highlight w:val="none"/>
                <w:lang w:val="en-US" w:eastAsia="zh-CN"/>
              </w:rPr>
              <w:t>颗粒物</w:t>
            </w:r>
          </w:p>
        </w:tc>
        <w:tc>
          <w:tcPr>
            <w:tcW w:w="320" w:type="pct"/>
            <w:vAlign w:val="center"/>
          </w:tcPr>
          <w:p w14:paraId="1A40C60B">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77</w:t>
            </w:r>
          </w:p>
        </w:tc>
        <w:tc>
          <w:tcPr>
            <w:tcW w:w="260" w:type="pct"/>
            <w:vAlign w:val="center"/>
          </w:tcPr>
          <w:p w14:paraId="3CF5B0AE">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0.163</w:t>
            </w:r>
          </w:p>
        </w:tc>
        <w:tc>
          <w:tcPr>
            <w:tcW w:w="296" w:type="pct"/>
            <w:vAlign w:val="center"/>
          </w:tcPr>
          <w:p w14:paraId="066C4E36">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0.47</w:t>
            </w:r>
          </w:p>
        </w:tc>
        <w:tc>
          <w:tcPr>
            <w:tcW w:w="867" w:type="pct"/>
            <w:vMerge w:val="restart"/>
            <w:vAlign w:val="center"/>
          </w:tcPr>
          <w:p w14:paraId="31AF8EAE">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旋风除尘器+布袋除尘器+30m高烟囱</w:t>
            </w:r>
          </w:p>
        </w:tc>
        <w:tc>
          <w:tcPr>
            <w:tcW w:w="190" w:type="pct"/>
            <w:vMerge w:val="restart"/>
            <w:vAlign w:val="center"/>
          </w:tcPr>
          <w:p w14:paraId="4A6E47B8">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w:t>
            </w:r>
          </w:p>
        </w:tc>
        <w:tc>
          <w:tcPr>
            <w:tcW w:w="277" w:type="pct"/>
            <w:vAlign w:val="center"/>
          </w:tcPr>
          <w:p w14:paraId="7EF90B42">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1.0</w:t>
            </w:r>
          </w:p>
        </w:tc>
        <w:tc>
          <w:tcPr>
            <w:tcW w:w="365" w:type="pct"/>
            <w:vAlign w:val="center"/>
          </w:tcPr>
          <w:p w14:paraId="1059FDFC">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0.002</w:t>
            </w:r>
          </w:p>
        </w:tc>
        <w:tc>
          <w:tcPr>
            <w:tcW w:w="338" w:type="pct"/>
            <w:vAlign w:val="center"/>
          </w:tcPr>
          <w:p w14:paraId="107EFE88">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0.005</w:t>
            </w:r>
          </w:p>
        </w:tc>
        <w:tc>
          <w:tcPr>
            <w:tcW w:w="393" w:type="pct"/>
            <w:vAlign w:val="center"/>
          </w:tcPr>
          <w:p w14:paraId="29DB10F6">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30</w:t>
            </w:r>
          </w:p>
        </w:tc>
        <w:tc>
          <w:tcPr>
            <w:tcW w:w="351" w:type="pct"/>
            <w:vAlign w:val="center"/>
          </w:tcPr>
          <w:p w14:paraId="73225F8A">
            <w:pPr>
              <w:keepNext w:val="0"/>
              <w:keepLines w:val="0"/>
              <w:pageBreakBefore w:val="0"/>
              <w:kinsoku/>
              <w:wordWrap/>
              <w:overflowPunct/>
              <w:topLinePunct w:val="0"/>
              <w:autoSpaceDE/>
              <w:autoSpaceDN/>
              <w:bidi w:val="0"/>
              <w:snapToGrid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276" w:type="pct"/>
            <w:vAlign w:val="center"/>
          </w:tcPr>
          <w:p w14:paraId="1135EB21">
            <w:pPr>
              <w:jc w:val="center"/>
              <w:rPr>
                <w:color w:val="auto"/>
                <w:highlight w:val="none"/>
              </w:rPr>
            </w:pPr>
            <w:r>
              <w:rPr>
                <w:rFonts w:hint="eastAsia" w:cs="Times New Roman"/>
                <w:color w:val="auto"/>
                <w:sz w:val="21"/>
                <w:szCs w:val="21"/>
                <w:highlight w:val="none"/>
                <w:lang w:eastAsia="zh-CN"/>
              </w:rPr>
              <w:t>是</w:t>
            </w:r>
          </w:p>
        </w:tc>
      </w:tr>
      <w:tr w14:paraId="2BD6F52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2B35E8F0">
            <w:pPr>
              <w:jc w:val="center"/>
              <w:rPr>
                <w:color w:val="auto"/>
                <w:szCs w:val="21"/>
                <w:highlight w:val="none"/>
              </w:rPr>
            </w:pPr>
          </w:p>
        </w:tc>
        <w:tc>
          <w:tcPr>
            <w:tcW w:w="187" w:type="pct"/>
            <w:vMerge w:val="continue"/>
            <w:vAlign w:val="center"/>
          </w:tcPr>
          <w:p w14:paraId="12A29A03">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pacing w:val="4"/>
                <w:szCs w:val="21"/>
                <w:highlight w:val="none"/>
              </w:rPr>
            </w:pPr>
          </w:p>
        </w:tc>
        <w:tc>
          <w:tcPr>
            <w:tcW w:w="285" w:type="pct"/>
            <w:vMerge w:val="continue"/>
            <w:vAlign w:val="center"/>
          </w:tcPr>
          <w:p w14:paraId="3CA03B6C">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193" w:type="pct"/>
            <w:vMerge w:val="continue"/>
            <w:vAlign w:val="center"/>
          </w:tcPr>
          <w:p w14:paraId="52B3765A">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1EC08990">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二氧化硫</w:t>
            </w:r>
          </w:p>
        </w:tc>
        <w:tc>
          <w:tcPr>
            <w:tcW w:w="1356" w:type="dxa"/>
            <w:vAlign w:val="center"/>
          </w:tcPr>
          <w:p w14:paraId="7A6996D8">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79</w:t>
            </w:r>
          </w:p>
        </w:tc>
        <w:tc>
          <w:tcPr>
            <w:tcW w:w="1100" w:type="dxa"/>
            <w:vAlign w:val="center"/>
          </w:tcPr>
          <w:p w14:paraId="2D5DC966">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0.167</w:t>
            </w:r>
          </w:p>
        </w:tc>
        <w:tc>
          <w:tcPr>
            <w:tcW w:w="1253" w:type="dxa"/>
            <w:vAlign w:val="center"/>
          </w:tcPr>
          <w:p w14:paraId="54B79882">
            <w:pPr>
              <w:jc w:val="center"/>
              <w:rPr>
                <w:color w:val="auto"/>
                <w:szCs w:val="21"/>
                <w:highlight w:val="none"/>
              </w:rPr>
            </w:pPr>
            <w:r>
              <w:rPr>
                <w:rFonts w:hint="eastAsia"/>
                <w:color w:val="auto"/>
                <w:szCs w:val="21"/>
                <w:highlight w:val="none"/>
                <w:lang w:val="en-US" w:eastAsia="zh-CN"/>
              </w:rPr>
              <w:t>0.48</w:t>
            </w:r>
          </w:p>
        </w:tc>
        <w:tc>
          <w:tcPr>
            <w:tcW w:w="867" w:type="pct"/>
            <w:vMerge w:val="continue"/>
            <w:vAlign w:val="center"/>
          </w:tcPr>
          <w:p w14:paraId="1E7CD4FF">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4D1BFACE">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p>
        </w:tc>
        <w:tc>
          <w:tcPr>
            <w:tcW w:w="1173" w:type="dxa"/>
            <w:vAlign w:val="center"/>
          </w:tcPr>
          <w:p w14:paraId="79F9C622">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79</w:t>
            </w:r>
          </w:p>
        </w:tc>
        <w:tc>
          <w:tcPr>
            <w:tcW w:w="1546" w:type="dxa"/>
            <w:vAlign w:val="center"/>
          </w:tcPr>
          <w:p w14:paraId="3FC46A11">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0.167</w:t>
            </w:r>
          </w:p>
        </w:tc>
        <w:tc>
          <w:tcPr>
            <w:tcW w:w="1432" w:type="dxa"/>
            <w:vAlign w:val="center"/>
          </w:tcPr>
          <w:p w14:paraId="59D49ECD">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0.48</w:t>
            </w:r>
          </w:p>
        </w:tc>
        <w:tc>
          <w:tcPr>
            <w:tcW w:w="393" w:type="pct"/>
            <w:vAlign w:val="center"/>
          </w:tcPr>
          <w:p w14:paraId="1B8B9BB7">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200</w:t>
            </w:r>
          </w:p>
        </w:tc>
        <w:tc>
          <w:tcPr>
            <w:tcW w:w="351" w:type="pct"/>
            <w:vAlign w:val="center"/>
          </w:tcPr>
          <w:p w14:paraId="1DF3FB2D">
            <w:pPr>
              <w:keepNext w:val="0"/>
              <w:keepLines w:val="0"/>
              <w:pageBreakBefore w:val="0"/>
              <w:kinsoku/>
              <w:wordWrap/>
              <w:overflowPunct/>
              <w:topLinePunct w:val="0"/>
              <w:autoSpaceDE/>
              <w:autoSpaceDN/>
              <w:bidi w:val="0"/>
              <w:snapToGrid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276" w:type="pct"/>
            <w:vAlign w:val="center"/>
          </w:tcPr>
          <w:p w14:paraId="67DE3992">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rFonts w:hint="eastAsia" w:cs="Times New Roman"/>
                <w:color w:val="auto"/>
                <w:sz w:val="21"/>
                <w:szCs w:val="21"/>
                <w:highlight w:val="none"/>
                <w:lang w:eastAsia="zh-CN"/>
              </w:rPr>
              <w:t>是</w:t>
            </w:r>
          </w:p>
        </w:tc>
      </w:tr>
      <w:tr w14:paraId="514D7E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1BCD0BCF">
            <w:pPr>
              <w:jc w:val="center"/>
              <w:rPr>
                <w:color w:val="auto"/>
                <w:szCs w:val="21"/>
                <w:highlight w:val="none"/>
              </w:rPr>
            </w:pPr>
          </w:p>
        </w:tc>
        <w:tc>
          <w:tcPr>
            <w:tcW w:w="187" w:type="pct"/>
            <w:vMerge w:val="continue"/>
            <w:vAlign w:val="center"/>
          </w:tcPr>
          <w:p w14:paraId="7CC5CB6E">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pacing w:val="4"/>
                <w:szCs w:val="21"/>
                <w:highlight w:val="none"/>
              </w:rPr>
            </w:pPr>
          </w:p>
        </w:tc>
        <w:tc>
          <w:tcPr>
            <w:tcW w:w="285" w:type="pct"/>
            <w:vMerge w:val="continue"/>
            <w:vAlign w:val="center"/>
          </w:tcPr>
          <w:p w14:paraId="6638FB3C">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193" w:type="pct"/>
            <w:vMerge w:val="continue"/>
            <w:vAlign w:val="center"/>
          </w:tcPr>
          <w:p w14:paraId="712D630E">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4BB20EBA">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zCs w:val="21"/>
                <w:highlight w:val="none"/>
                <w:lang w:val="en-US" w:eastAsia="zh-CN"/>
              </w:rPr>
            </w:pPr>
            <w:r>
              <w:rPr>
                <w:rFonts w:hint="eastAsia"/>
                <w:color w:val="auto"/>
                <w:szCs w:val="21"/>
                <w:highlight w:val="none"/>
                <w:lang w:val="en-US" w:eastAsia="zh-CN"/>
              </w:rPr>
              <w:t>氮氧化物</w:t>
            </w:r>
          </w:p>
        </w:tc>
        <w:tc>
          <w:tcPr>
            <w:tcW w:w="320" w:type="pct"/>
            <w:vAlign w:val="center"/>
          </w:tcPr>
          <w:p w14:paraId="4F5E70C1">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110</w:t>
            </w:r>
          </w:p>
        </w:tc>
        <w:tc>
          <w:tcPr>
            <w:tcW w:w="260" w:type="pct"/>
            <w:vAlign w:val="center"/>
          </w:tcPr>
          <w:p w14:paraId="55147CF7">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0.233</w:t>
            </w:r>
          </w:p>
        </w:tc>
        <w:tc>
          <w:tcPr>
            <w:tcW w:w="296" w:type="pct"/>
            <w:vAlign w:val="center"/>
          </w:tcPr>
          <w:p w14:paraId="2883F560">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0.67</w:t>
            </w:r>
          </w:p>
        </w:tc>
        <w:tc>
          <w:tcPr>
            <w:tcW w:w="867" w:type="pct"/>
            <w:vMerge w:val="continue"/>
            <w:vAlign w:val="center"/>
          </w:tcPr>
          <w:p w14:paraId="430F9F54">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00E99921">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p>
        </w:tc>
        <w:tc>
          <w:tcPr>
            <w:tcW w:w="277" w:type="pct"/>
            <w:vAlign w:val="center"/>
          </w:tcPr>
          <w:p w14:paraId="346D5F0A">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110</w:t>
            </w:r>
          </w:p>
        </w:tc>
        <w:tc>
          <w:tcPr>
            <w:tcW w:w="365" w:type="pct"/>
            <w:vAlign w:val="center"/>
          </w:tcPr>
          <w:p w14:paraId="2BCF4D28">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0.233</w:t>
            </w:r>
          </w:p>
        </w:tc>
        <w:tc>
          <w:tcPr>
            <w:tcW w:w="338" w:type="pct"/>
            <w:vAlign w:val="center"/>
          </w:tcPr>
          <w:p w14:paraId="18729579">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0.67</w:t>
            </w:r>
          </w:p>
        </w:tc>
        <w:tc>
          <w:tcPr>
            <w:tcW w:w="393" w:type="pct"/>
            <w:vAlign w:val="center"/>
          </w:tcPr>
          <w:p w14:paraId="5BA96EC0">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200</w:t>
            </w:r>
          </w:p>
        </w:tc>
        <w:tc>
          <w:tcPr>
            <w:tcW w:w="351" w:type="pct"/>
            <w:vAlign w:val="center"/>
          </w:tcPr>
          <w:p w14:paraId="4D7404A2">
            <w:pPr>
              <w:keepNext w:val="0"/>
              <w:keepLines w:val="0"/>
              <w:pageBreakBefore w:val="0"/>
              <w:kinsoku/>
              <w:wordWrap/>
              <w:overflowPunct/>
              <w:topLinePunct w:val="0"/>
              <w:autoSpaceDE/>
              <w:autoSpaceDN/>
              <w:bidi w:val="0"/>
              <w:snapToGrid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276" w:type="pct"/>
            <w:vAlign w:val="center"/>
          </w:tcPr>
          <w:p w14:paraId="56A4F4B1">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rFonts w:hint="eastAsia" w:cs="Times New Roman"/>
                <w:color w:val="auto"/>
                <w:sz w:val="21"/>
                <w:szCs w:val="21"/>
                <w:highlight w:val="none"/>
                <w:lang w:eastAsia="zh-CN"/>
              </w:rPr>
              <w:t>是</w:t>
            </w:r>
          </w:p>
        </w:tc>
      </w:tr>
      <w:tr w14:paraId="6638170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restart"/>
            <w:vAlign w:val="center"/>
          </w:tcPr>
          <w:p w14:paraId="1D237BE9">
            <w:pPr>
              <w:jc w:val="center"/>
              <w:rPr>
                <w:rFonts w:hint="eastAsia" w:eastAsia="宋体"/>
                <w:color w:val="auto"/>
                <w:szCs w:val="21"/>
                <w:highlight w:val="none"/>
                <w:lang w:val="en-US" w:eastAsia="zh-CN"/>
              </w:rPr>
            </w:pPr>
            <w:r>
              <w:rPr>
                <w:rFonts w:hint="eastAsia"/>
                <w:color w:val="auto"/>
                <w:szCs w:val="21"/>
                <w:highlight w:val="none"/>
                <w:lang w:val="en-US" w:eastAsia="zh-CN"/>
              </w:rPr>
              <w:t>废水</w:t>
            </w:r>
          </w:p>
        </w:tc>
        <w:tc>
          <w:tcPr>
            <w:tcW w:w="473" w:type="pct"/>
            <w:gridSpan w:val="2"/>
            <w:vMerge w:val="restart"/>
            <w:vAlign w:val="center"/>
          </w:tcPr>
          <w:p w14:paraId="42B62AB8">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pacing w:val="4"/>
                <w:szCs w:val="21"/>
                <w:highlight w:val="none"/>
                <w:lang w:val="en-US" w:eastAsia="zh-CN"/>
              </w:rPr>
            </w:pPr>
            <w:r>
              <w:rPr>
                <w:rFonts w:hint="eastAsia"/>
                <w:color w:val="auto"/>
                <w:spacing w:val="4"/>
                <w:szCs w:val="21"/>
                <w:highlight w:val="none"/>
                <w:lang w:val="en-US" w:eastAsia="zh-CN"/>
              </w:rPr>
              <w:t>员工生活</w:t>
            </w:r>
          </w:p>
          <w:p w14:paraId="137FCA5A">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rPr>
            </w:pPr>
            <w:r>
              <w:rPr>
                <w:rFonts w:hint="eastAsia"/>
                <w:color w:val="auto"/>
                <w:spacing w:val="4"/>
                <w:szCs w:val="21"/>
                <w:highlight w:val="none"/>
                <w:lang w:val="en-US" w:eastAsia="zh-CN"/>
              </w:rPr>
              <w:t>废水量：876t/a</w:t>
            </w:r>
          </w:p>
        </w:tc>
        <w:tc>
          <w:tcPr>
            <w:tcW w:w="193" w:type="pct"/>
            <w:vMerge w:val="restart"/>
            <w:vAlign w:val="center"/>
          </w:tcPr>
          <w:p w14:paraId="68A0B17C">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8760</w:t>
            </w:r>
          </w:p>
        </w:tc>
        <w:tc>
          <w:tcPr>
            <w:tcW w:w="266" w:type="pct"/>
            <w:vAlign w:val="center"/>
          </w:tcPr>
          <w:p w14:paraId="7A5845A9">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pH</w:t>
            </w:r>
          </w:p>
        </w:tc>
        <w:tc>
          <w:tcPr>
            <w:tcW w:w="320" w:type="pct"/>
            <w:vAlign w:val="center"/>
          </w:tcPr>
          <w:p w14:paraId="233E7007">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6-9</w:t>
            </w:r>
          </w:p>
        </w:tc>
        <w:tc>
          <w:tcPr>
            <w:tcW w:w="260" w:type="pct"/>
            <w:vAlign w:val="center"/>
          </w:tcPr>
          <w:p w14:paraId="249F0EC6">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5BBEA553">
            <w:pPr>
              <w:pStyle w:val="434"/>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867" w:type="pct"/>
            <w:vMerge w:val="restart"/>
            <w:vAlign w:val="center"/>
          </w:tcPr>
          <w:p w14:paraId="6DBC170B">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color w:val="auto"/>
                <w:szCs w:val="21"/>
                <w:highlight w:val="none"/>
              </w:rPr>
              <w:t>排入旱厕定期清掏</w:t>
            </w:r>
            <w:r>
              <w:rPr>
                <w:rFonts w:hint="eastAsia"/>
                <w:color w:val="auto"/>
                <w:szCs w:val="21"/>
                <w:highlight w:val="none"/>
              </w:rPr>
              <w:t>，</w:t>
            </w:r>
            <w:r>
              <w:rPr>
                <w:rFonts w:hint="eastAsia"/>
                <w:color w:val="auto"/>
                <w:szCs w:val="21"/>
                <w:highlight w:val="none"/>
                <w:lang w:eastAsia="zh-CN"/>
              </w:rPr>
              <w:t>用作农肥</w:t>
            </w:r>
          </w:p>
        </w:tc>
        <w:tc>
          <w:tcPr>
            <w:tcW w:w="190" w:type="pct"/>
            <w:vMerge w:val="restart"/>
            <w:vAlign w:val="center"/>
          </w:tcPr>
          <w:p w14:paraId="26052FE2">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277" w:type="pct"/>
            <w:vAlign w:val="center"/>
          </w:tcPr>
          <w:p w14:paraId="68A37916">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2D506E9F">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2E882E59">
            <w:pPr>
              <w:pStyle w:val="434"/>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393" w:type="pct"/>
            <w:vAlign w:val="center"/>
          </w:tcPr>
          <w:p w14:paraId="24DB5783">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4604FCD5">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0B16FF29">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01AF97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492494AC">
            <w:pPr>
              <w:jc w:val="center"/>
              <w:rPr>
                <w:rFonts w:hint="eastAsia"/>
                <w:color w:val="auto"/>
                <w:szCs w:val="21"/>
                <w:highlight w:val="none"/>
                <w:lang w:val="en-US" w:eastAsia="zh-CN"/>
              </w:rPr>
            </w:pPr>
          </w:p>
        </w:tc>
        <w:tc>
          <w:tcPr>
            <w:tcW w:w="473" w:type="pct"/>
            <w:gridSpan w:val="2"/>
            <w:vMerge w:val="continue"/>
            <w:vAlign w:val="center"/>
          </w:tcPr>
          <w:p w14:paraId="3185FB7B">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pacing w:val="4"/>
                <w:szCs w:val="21"/>
                <w:highlight w:val="none"/>
                <w:lang w:val="en-US" w:eastAsia="zh-CN"/>
              </w:rPr>
            </w:pPr>
          </w:p>
        </w:tc>
        <w:tc>
          <w:tcPr>
            <w:tcW w:w="193" w:type="pct"/>
            <w:vMerge w:val="continue"/>
            <w:vAlign w:val="center"/>
          </w:tcPr>
          <w:p w14:paraId="02653991">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3EA05CA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COD</w:t>
            </w:r>
          </w:p>
        </w:tc>
        <w:tc>
          <w:tcPr>
            <w:tcW w:w="320" w:type="pct"/>
            <w:vAlign w:val="center"/>
          </w:tcPr>
          <w:p w14:paraId="4A346589">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350</w:t>
            </w:r>
          </w:p>
        </w:tc>
        <w:tc>
          <w:tcPr>
            <w:tcW w:w="260" w:type="pct"/>
            <w:vAlign w:val="center"/>
          </w:tcPr>
          <w:p w14:paraId="22CB6748">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2D6FCC77">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0.31</w:t>
            </w:r>
          </w:p>
        </w:tc>
        <w:tc>
          <w:tcPr>
            <w:tcW w:w="867" w:type="pct"/>
            <w:vMerge w:val="continue"/>
            <w:vAlign w:val="center"/>
          </w:tcPr>
          <w:p w14:paraId="58B9ADA7">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1B07908F">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277" w:type="pct"/>
            <w:vAlign w:val="center"/>
          </w:tcPr>
          <w:p w14:paraId="42F2FE65">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1C655583">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178EC475">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42FCDE12">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2CA44F2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7A7A92B9">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0C7079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441465BA">
            <w:pPr>
              <w:jc w:val="center"/>
              <w:rPr>
                <w:rFonts w:hint="eastAsia"/>
                <w:color w:val="auto"/>
                <w:szCs w:val="21"/>
                <w:highlight w:val="none"/>
                <w:lang w:val="en-US" w:eastAsia="zh-CN"/>
              </w:rPr>
            </w:pPr>
          </w:p>
        </w:tc>
        <w:tc>
          <w:tcPr>
            <w:tcW w:w="473" w:type="pct"/>
            <w:gridSpan w:val="2"/>
            <w:vMerge w:val="continue"/>
            <w:vAlign w:val="center"/>
          </w:tcPr>
          <w:p w14:paraId="3858968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pacing w:val="4"/>
                <w:szCs w:val="21"/>
                <w:highlight w:val="none"/>
                <w:lang w:val="en-US" w:eastAsia="zh-CN"/>
              </w:rPr>
            </w:pPr>
          </w:p>
        </w:tc>
        <w:tc>
          <w:tcPr>
            <w:tcW w:w="193" w:type="pct"/>
            <w:vMerge w:val="continue"/>
            <w:vAlign w:val="center"/>
          </w:tcPr>
          <w:p w14:paraId="7F2A0B91">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49046763">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BOD</w:t>
            </w:r>
            <w:r>
              <w:rPr>
                <w:rFonts w:hint="eastAsia"/>
                <w:color w:val="auto"/>
                <w:szCs w:val="21"/>
                <w:highlight w:val="none"/>
                <w:vertAlign w:val="subscript"/>
                <w:lang w:val="en-US" w:eastAsia="zh-CN"/>
              </w:rPr>
              <w:t>5</w:t>
            </w:r>
          </w:p>
        </w:tc>
        <w:tc>
          <w:tcPr>
            <w:tcW w:w="320" w:type="pct"/>
            <w:vAlign w:val="center"/>
          </w:tcPr>
          <w:p w14:paraId="09F67469">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250</w:t>
            </w:r>
          </w:p>
        </w:tc>
        <w:tc>
          <w:tcPr>
            <w:tcW w:w="260" w:type="pct"/>
            <w:vAlign w:val="center"/>
          </w:tcPr>
          <w:p w14:paraId="49828592">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1013B0CF">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0.22</w:t>
            </w:r>
          </w:p>
        </w:tc>
        <w:tc>
          <w:tcPr>
            <w:tcW w:w="867" w:type="pct"/>
            <w:vMerge w:val="continue"/>
            <w:vAlign w:val="center"/>
          </w:tcPr>
          <w:p w14:paraId="5FDB8209">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771FCAF7">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277" w:type="pct"/>
            <w:vAlign w:val="center"/>
          </w:tcPr>
          <w:p w14:paraId="21C52F43">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7DB86B9B">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3D5A975A">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23A835A1">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5483AF9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0DC5571D">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57CCCA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67E02544">
            <w:pPr>
              <w:jc w:val="center"/>
              <w:rPr>
                <w:rFonts w:hint="eastAsia"/>
                <w:color w:val="auto"/>
                <w:szCs w:val="21"/>
                <w:highlight w:val="none"/>
                <w:lang w:val="en-US" w:eastAsia="zh-CN"/>
              </w:rPr>
            </w:pPr>
          </w:p>
        </w:tc>
        <w:tc>
          <w:tcPr>
            <w:tcW w:w="473" w:type="pct"/>
            <w:gridSpan w:val="2"/>
            <w:vMerge w:val="continue"/>
            <w:vAlign w:val="center"/>
          </w:tcPr>
          <w:p w14:paraId="79CDB1B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pacing w:val="4"/>
                <w:szCs w:val="21"/>
                <w:highlight w:val="none"/>
                <w:lang w:val="en-US" w:eastAsia="zh-CN"/>
              </w:rPr>
            </w:pPr>
          </w:p>
        </w:tc>
        <w:tc>
          <w:tcPr>
            <w:tcW w:w="193" w:type="pct"/>
            <w:vMerge w:val="continue"/>
            <w:vAlign w:val="center"/>
          </w:tcPr>
          <w:p w14:paraId="7FB388D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687DCB0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SS</w:t>
            </w:r>
          </w:p>
        </w:tc>
        <w:tc>
          <w:tcPr>
            <w:tcW w:w="320" w:type="pct"/>
            <w:vAlign w:val="center"/>
          </w:tcPr>
          <w:p w14:paraId="20D081DE">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250</w:t>
            </w:r>
          </w:p>
        </w:tc>
        <w:tc>
          <w:tcPr>
            <w:tcW w:w="260" w:type="pct"/>
            <w:vAlign w:val="center"/>
          </w:tcPr>
          <w:p w14:paraId="49359CE0">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1930C889">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0.22</w:t>
            </w:r>
          </w:p>
        </w:tc>
        <w:tc>
          <w:tcPr>
            <w:tcW w:w="867" w:type="pct"/>
            <w:vMerge w:val="continue"/>
            <w:vAlign w:val="center"/>
          </w:tcPr>
          <w:p w14:paraId="4D55F508">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182C3C28">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277" w:type="pct"/>
            <w:vAlign w:val="center"/>
          </w:tcPr>
          <w:p w14:paraId="02CC78A0">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454818D9">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306E7AB6">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48AB0A28">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08A7213E">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38BF7978">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282510D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48A24E3A">
            <w:pPr>
              <w:jc w:val="center"/>
              <w:rPr>
                <w:rFonts w:hint="eastAsia"/>
                <w:color w:val="auto"/>
                <w:szCs w:val="21"/>
                <w:highlight w:val="none"/>
                <w:lang w:val="en-US" w:eastAsia="zh-CN"/>
              </w:rPr>
            </w:pPr>
          </w:p>
        </w:tc>
        <w:tc>
          <w:tcPr>
            <w:tcW w:w="473" w:type="pct"/>
            <w:gridSpan w:val="2"/>
            <w:vMerge w:val="continue"/>
            <w:vAlign w:val="center"/>
          </w:tcPr>
          <w:p w14:paraId="569BF085">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pacing w:val="4"/>
                <w:szCs w:val="21"/>
                <w:highlight w:val="none"/>
                <w:lang w:val="en-US" w:eastAsia="zh-CN"/>
              </w:rPr>
            </w:pPr>
          </w:p>
        </w:tc>
        <w:tc>
          <w:tcPr>
            <w:tcW w:w="193" w:type="pct"/>
            <w:vMerge w:val="continue"/>
            <w:vAlign w:val="center"/>
          </w:tcPr>
          <w:p w14:paraId="4A4983E8">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2CAD9132">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氨氮</w:t>
            </w:r>
          </w:p>
        </w:tc>
        <w:tc>
          <w:tcPr>
            <w:tcW w:w="320" w:type="pct"/>
            <w:vAlign w:val="center"/>
          </w:tcPr>
          <w:p w14:paraId="6EB846F5">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30</w:t>
            </w:r>
          </w:p>
        </w:tc>
        <w:tc>
          <w:tcPr>
            <w:tcW w:w="260" w:type="pct"/>
            <w:vAlign w:val="center"/>
          </w:tcPr>
          <w:p w14:paraId="06E1B53C">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7A0FEB06">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0.026</w:t>
            </w:r>
          </w:p>
        </w:tc>
        <w:tc>
          <w:tcPr>
            <w:tcW w:w="867" w:type="pct"/>
            <w:vMerge w:val="continue"/>
            <w:vAlign w:val="center"/>
          </w:tcPr>
          <w:p w14:paraId="1FA04BE4">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592896C2">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277" w:type="pct"/>
            <w:vAlign w:val="center"/>
          </w:tcPr>
          <w:p w14:paraId="5B4D0244">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5FDCB201">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616993DE">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2DE0E8C3">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1BBBF82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1DDEB5B9">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7819BE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7F97EF15">
            <w:pPr>
              <w:jc w:val="center"/>
              <w:rPr>
                <w:color w:val="auto"/>
                <w:szCs w:val="21"/>
                <w:highlight w:val="none"/>
              </w:rPr>
            </w:pPr>
          </w:p>
        </w:tc>
        <w:tc>
          <w:tcPr>
            <w:tcW w:w="473" w:type="pct"/>
            <w:gridSpan w:val="2"/>
            <w:vMerge w:val="restart"/>
            <w:vAlign w:val="center"/>
          </w:tcPr>
          <w:p w14:paraId="1528C1A9">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养殖废水</w:t>
            </w:r>
          </w:p>
          <w:p w14:paraId="582DA2D1">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废水量5.08t/a</w:t>
            </w:r>
          </w:p>
        </w:tc>
        <w:tc>
          <w:tcPr>
            <w:tcW w:w="193" w:type="pct"/>
            <w:vMerge w:val="restart"/>
            <w:vAlign w:val="center"/>
          </w:tcPr>
          <w:p w14:paraId="1FF0213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w:t>
            </w:r>
          </w:p>
        </w:tc>
        <w:tc>
          <w:tcPr>
            <w:tcW w:w="266" w:type="pct"/>
            <w:vAlign w:val="center"/>
          </w:tcPr>
          <w:p w14:paraId="36B662A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eastAsia="宋体"/>
                <w:color w:val="auto"/>
                <w:sz w:val="21"/>
                <w:szCs w:val="21"/>
                <w:highlight w:val="none"/>
              </w:rPr>
              <w:t>COD</w:t>
            </w:r>
          </w:p>
        </w:tc>
        <w:tc>
          <w:tcPr>
            <w:tcW w:w="320" w:type="pct"/>
            <w:vAlign w:val="center"/>
          </w:tcPr>
          <w:p w14:paraId="4A8EDA4C">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2640</w:t>
            </w:r>
          </w:p>
        </w:tc>
        <w:tc>
          <w:tcPr>
            <w:tcW w:w="260" w:type="pct"/>
            <w:vAlign w:val="center"/>
          </w:tcPr>
          <w:p w14:paraId="78E8175A">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04F4B740">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0.013</w:t>
            </w:r>
          </w:p>
        </w:tc>
        <w:tc>
          <w:tcPr>
            <w:tcW w:w="867" w:type="pct"/>
            <w:vMerge w:val="restart"/>
            <w:vAlign w:val="center"/>
          </w:tcPr>
          <w:p w14:paraId="61472360">
            <w:pPr>
              <w:keepNext w:val="0"/>
              <w:keepLines w:val="0"/>
              <w:pageBreakBefore w:val="0"/>
              <w:kinsoku/>
              <w:wordWrap/>
              <w:overflowPunct/>
              <w:topLinePunct w:val="0"/>
              <w:autoSpaceDE/>
              <w:autoSpaceDN/>
              <w:bidi w:val="0"/>
              <w:ind w:left="-105" w:leftChars="-50" w:right="-105" w:rightChars="-50"/>
              <w:jc w:val="center"/>
              <w:rPr>
                <w:rFonts w:hint="eastAsia" w:eastAsia="宋体"/>
                <w:color w:val="auto"/>
                <w:szCs w:val="21"/>
                <w:highlight w:val="none"/>
                <w:lang w:eastAsia="zh-CN"/>
              </w:rPr>
            </w:pPr>
            <w:r>
              <w:rPr>
                <w:rFonts w:hint="eastAsia"/>
                <w:color w:val="auto"/>
                <w:szCs w:val="21"/>
                <w:highlight w:val="none"/>
              </w:rPr>
              <w:t>养殖废水</w:t>
            </w:r>
            <w:r>
              <w:rPr>
                <w:rFonts w:hint="eastAsia"/>
                <w:color w:val="auto"/>
                <w:szCs w:val="21"/>
                <w:highlight w:val="none"/>
                <w:lang w:eastAsia="zh-CN"/>
              </w:rPr>
              <w:t>进入废水收集池，日产日清，</w:t>
            </w:r>
            <w:r>
              <w:rPr>
                <w:rFonts w:hint="eastAsia"/>
                <w:color w:val="auto"/>
                <w:szCs w:val="21"/>
                <w:highlight w:val="none"/>
                <w:lang w:val="en-US" w:eastAsia="zh-CN"/>
              </w:rPr>
              <w:t>由罐车运至辰泰（辽宁）生物科技有限公司制造有机肥。</w:t>
            </w:r>
          </w:p>
        </w:tc>
        <w:tc>
          <w:tcPr>
            <w:tcW w:w="190" w:type="pct"/>
            <w:vMerge w:val="restart"/>
            <w:vAlign w:val="center"/>
          </w:tcPr>
          <w:p w14:paraId="7C2E5D82">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277" w:type="pct"/>
            <w:vAlign w:val="center"/>
          </w:tcPr>
          <w:p w14:paraId="4ACF80EE">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6B5E7019">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4D87B208">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22CB93D0">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2C01593B">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08D97B80">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7219CE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62E89A35">
            <w:pPr>
              <w:jc w:val="center"/>
              <w:rPr>
                <w:color w:val="auto"/>
                <w:szCs w:val="21"/>
                <w:highlight w:val="none"/>
              </w:rPr>
            </w:pPr>
          </w:p>
        </w:tc>
        <w:tc>
          <w:tcPr>
            <w:tcW w:w="473" w:type="pct"/>
            <w:gridSpan w:val="2"/>
            <w:vMerge w:val="continue"/>
            <w:vAlign w:val="center"/>
          </w:tcPr>
          <w:p w14:paraId="544733C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193" w:type="pct"/>
            <w:vMerge w:val="continue"/>
            <w:vAlign w:val="center"/>
          </w:tcPr>
          <w:p w14:paraId="3E0CDC1B">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259F942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eastAsia="宋体"/>
                <w:color w:val="auto"/>
                <w:sz w:val="21"/>
                <w:szCs w:val="21"/>
                <w:highlight w:val="none"/>
              </w:rPr>
              <w:t>NH</w:t>
            </w:r>
            <w:r>
              <w:rPr>
                <w:rFonts w:eastAsia="宋体"/>
                <w:color w:val="auto"/>
                <w:sz w:val="21"/>
                <w:szCs w:val="21"/>
                <w:highlight w:val="none"/>
                <w:vertAlign w:val="subscript"/>
              </w:rPr>
              <w:t>3</w:t>
            </w:r>
            <w:r>
              <w:rPr>
                <w:rFonts w:eastAsia="宋体"/>
                <w:color w:val="auto"/>
                <w:sz w:val="21"/>
                <w:szCs w:val="21"/>
                <w:highlight w:val="none"/>
              </w:rPr>
              <w:t>-N</w:t>
            </w:r>
          </w:p>
        </w:tc>
        <w:tc>
          <w:tcPr>
            <w:tcW w:w="320" w:type="pct"/>
            <w:vAlign w:val="center"/>
          </w:tcPr>
          <w:p w14:paraId="3B52C96F">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261</w:t>
            </w:r>
          </w:p>
        </w:tc>
        <w:tc>
          <w:tcPr>
            <w:tcW w:w="260" w:type="pct"/>
            <w:vAlign w:val="center"/>
          </w:tcPr>
          <w:p w14:paraId="16A47BCA">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0860F66E">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0.001</w:t>
            </w:r>
          </w:p>
        </w:tc>
        <w:tc>
          <w:tcPr>
            <w:tcW w:w="867" w:type="pct"/>
            <w:vMerge w:val="continue"/>
            <w:vAlign w:val="center"/>
          </w:tcPr>
          <w:p w14:paraId="289ECF2E">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2BAD3084">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277" w:type="pct"/>
            <w:vAlign w:val="center"/>
          </w:tcPr>
          <w:p w14:paraId="5C504652">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037D7E2F">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57769FB6">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552024B4">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7F04EAAC">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7A5AA995">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672EED7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607D7103">
            <w:pPr>
              <w:jc w:val="center"/>
              <w:rPr>
                <w:color w:val="auto"/>
                <w:szCs w:val="21"/>
                <w:highlight w:val="none"/>
              </w:rPr>
            </w:pPr>
          </w:p>
        </w:tc>
        <w:tc>
          <w:tcPr>
            <w:tcW w:w="473" w:type="pct"/>
            <w:gridSpan w:val="2"/>
            <w:vMerge w:val="continue"/>
            <w:vAlign w:val="center"/>
          </w:tcPr>
          <w:p w14:paraId="1110B112">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193" w:type="pct"/>
            <w:vMerge w:val="continue"/>
            <w:vAlign w:val="center"/>
          </w:tcPr>
          <w:p w14:paraId="5E99458C">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2C04F25E">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eastAsia="宋体"/>
                <w:color w:val="auto"/>
                <w:sz w:val="21"/>
                <w:szCs w:val="21"/>
                <w:highlight w:val="none"/>
              </w:rPr>
              <w:t>TN</w:t>
            </w:r>
          </w:p>
        </w:tc>
        <w:tc>
          <w:tcPr>
            <w:tcW w:w="320" w:type="pct"/>
            <w:vAlign w:val="center"/>
          </w:tcPr>
          <w:p w14:paraId="48F38554">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370</w:t>
            </w:r>
          </w:p>
        </w:tc>
        <w:tc>
          <w:tcPr>
            <w:tcW w:w="260" w:type="pct"/>
            <w:vAlign w:val="center"/>
          </w:tcPr>
          <w:p w14:paraId="54867AEE">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5CF6F528">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0.002</w:t>
            </w:r>
          </w:p>
        </w:tc>
        <w:tc>
          <w:tcPr>
            <w:tcW w:w="867" w:type="pct"/>
            <w:vMerge w:val="continue"/>
            <w:vAlign w:val="center"/>
          </w:tcPr>
          <w:p w14:paraId="4AEE01AF">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20E96967">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277" w:type="pct"/>
            <w:vAlign w:val="center"/>
          </w:tcPr>
          <w:p w14:paraId="7A09DE27">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176067E6">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1959147C">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28298D16">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1868D169">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34AD5F75">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68A73A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1AC30238">
            <w:pPr>
              <w:jc w:val="center"/>
              <w:rPr>
                <w:color w:val="auto"/>
                <w:szCs w:val="21"/>
                <w:highlight w:val="none"/>
              </w:rPr>
            </w:pPr>
          </w:p>
        </w:tc>
        <w:tc>
          <w:tcPr>
            <w:tcW w:w="473" w:type="pct"/>
            <w:gridSpan w:val="2"/>
            <w:vMerge w:val="continue"/>
            <w:vAlign w:val="center"/>
          </w:tcPr>
          <w:p w14:paraId="5DD4D6D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193" w:type="pct"/>
            <w:vMerge w:val="continue"/>
            <w:vAlign w:val="center"/>
          </w:tcPr>
          <w:p w14:paraId="486D5AAC">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2AE73C24">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eastAsia="宋体"/>
                <w:color w:val="auto"/>
                <w:sz w:val="21"/>
                <w:szCs w:val="21"/>
                <w:highlight w:val="none"/>
              </w:rPr>
              <w:t>TP</w:t>
            </w:r>
          </w:p>
        </w:tc>
        <w:tc>
          <w:tcPr>
            <w:tcW w:w="320" w:type="pct"/>
            <w:vAlign w:val="center"/>
          </w:tcPr>
          <w:p w14:paraId="05F18ECB">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43.5</w:t>
            </w:r>
          </w:p>
        </w:tc>
        <w:tc>
          <w:tcPr>
            <w:tcW w:w="260" w:type="pct"/>
            <w:vAlign w:val="center"/>
          </w:tcPr>
          <w:p w14:paraId="74E082AC">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4D8652D7">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0.0002</w:t>
            </w:r>
          </w:p>
        </w:tc>
        <w:tc>
          <w:tcPr>
            <w:tcW w:w="867" w:type="pct"/>
            <w:vMerge w:val="continue"/>
            <w:vAlign w:val="center"/>
          </w:tcPr>
          <w:p w14:paraId="362D6F58">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5EE6188C">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277" w:type="pct"/>
            <w:vAlign w:val="center"/>
          </w:tcPr>
          <w:p w14:paraId="0084FE63">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41858BA7">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708FB68B">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15C02A15">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548EAFC0">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335BC14F">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310C4D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08D8B6B9">
            <w:pPr>
              <w:jc w:val="center"/>
              <w:rPr>
                <w:color w:val="auto"/>
                <w:szCs w:val="21"/>
                <w:highlight w:val="none"/>
              </w:rPr>
            </w:pPr>
          </w:p>
        </w:tc>
        <w:tc>
          <w:tcPr>
            <w:tcW w:w="473" w:type="pct"/>
            <w:gridSpan w:val="2"/>
            <w:vMerge w:val="continue"/>
            <w:vAlign w:val="center"/>
          </w:tcPr>
          <w:p w14:paraId="282E67B9">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193" w:type="pct"/>
            <w:vMerge w:val="continue"/>
            <w:vAlign w:val="center"/>
          </w:tcPr>
          <w:p w14:paraId="5EA6AD0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6D381D25">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eastAsia="宋体"/>
                <w:color w:val="auto"/>
                <w:sz w:val="21"/>
                <w:szCs w:val="21"/>
                <w:highlight w:val="none"/>
              </w:rPr>
              <w:t>BOD</w:t>
            </w:r>
            <w:r>
              <w:rPr>
                <w:rFonts w:eastAsia="宋体"/>
                <w:color w:val="auto"/>
                <w:sz w:val="21"/>
                <w:szCs w:val="21"/>
                <w:highlight w:val="none"/>
                <w:vertAlign w:val="subscript"/>
              </w:rPr>
              <w:t>5</w:t>
            </w:r>
          </w:p>
        </w:tc>
        <w:tc>
          <w:tcPr>
            <w:tcW w:w="320" w:type="pct"/>
            <w:vAlign w:val="center"/>
          </w:tcPr>
          <w:p w14:paraId="127BBFE2">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1000</w:t>
            </w:r>
          </w:p>
        </w:tc>
        <w:tc>
          <w:tcPr>
            <w:tcW w:w="260" w:type="pct"/>
            <w:vAlign w:val="center"/>
          </w:tcPr>
          <w:p w14:paraId="198ABA8C">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706077FC">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0.005</w:t>
            </w:r>
          </w:p>
        </w:tc>
        <w:tc>
          <w:tcPr>
            <w:tcW w:w="867" w:type="pct"/>
            <w:vMerge w:val="continue"/>
            <w:vAlign w:val="center"/>
          </w:tcPr>
          <w:p w14:paraId="1A66B943">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308DD836">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277" w:type="pct"/>
            <w:vAlign w:val="center"/>
          </w:tcPr>
          <w:p w14:paraId="062BF978">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6B97128D">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4621376A">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3E36EB7E">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73C54F19">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7B7E98D3">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5E5C95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2B349988">
            <w:pPr>
              <w:jc w:val="center"/>
              <w:rPr>
                <w:color w:val="auto"/>
                <w:szCs w:val="21"/>
                <w:highlight w:val="none"/>
              </w:rPr>
            </w:pPr>
          </w:p>
        </w:tc>
        <w:tc>
          <w:tcPr>
            <w:tcW w:w="473" w:type="pct"/>
            <w:gridSpan w:val="2"/>
            <w:vMerge w:val="continue"/>
            <w:vAlign w:val="center"/>
          </w:tcPr>
          <w:p w14:paraId="54193032">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193" w:type="pct"/>
            <w:vMerge w:val="continue"/>
            <w:vAlign w:val="center"/>
          </w:tcPr>
          <w:p w14:paraId="1BCB1FC2">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2A6DF59B">
            <w:pPr>
              <w:adjustRightInd w:val="0"/>
              <w:snapToGrid w:val="0"/>
              <w:jc w:val="center"/>
              <w:rPr>
                <w:snapToGrid w:val="0"/>
                <w:color w:val="auto"/>
                <w:kern w:val="0"/>
                <w:szCs w:val="21"/>
                <w:highlight w:val="none"/>
              </w:rPr>
            </w:pPr>
            <w:r>
              <w:rPr>
                <w:snapToGrid w:val="0"/>
                <w:color w:val="auto"/>
                <w:kern w:val="0"/>
                <w:szCs w:val="21"/>
                <w:highlight w:val="none"/>
              </w:rPr>
              <w:t>粪大肠菌</w:t>
            </w:r>
          </w:p>
          <w:p w14:paraId="0725E110">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snapToGrid w:val="0"/>
                <w:color w:val="auto"/>
                <w:kern w:val="0"/>
                <w:szCs w:val="21"/>
                <w:highlight w:val="none"/>
              </w:rPr>
              <w:t>群数</w:t>
            </w:r>
          </w:p>
        </w:tc>
        <w:tc>
          <w:tcPr>
            <w:tcW w:w="320" w:type="pct"/>
            <w:vAlign w:val="center"/>
          </w:tcPr>
          <w:p w14:paraId="24F698B4">
            <w:pPr>
              <w:adjustRightInd w:val="0"/>
              <w:snapToGrid w:val="0"/>
              <w:jc w:val="center"/>
              <w:rPr>
                <w:snapToGrid w:val="0"/>
                <w:color w:val="auto"/>
                <w:kern w:val="0"/>
                <w:szCs w:val="21"/>
                <w:highlight w:val="none"/>
              </w:rPr>
            </w:pPr>
            <w:r>
              <w:rPr>
                <w:snapToGrid w:val="0"/>
                <w:color w:val="auto"/>
                <w:kern w:val="0"/>
                <w:szCs w:val="21"/>
                <w:highlight w:val="none"/>
              </w:rPr>
              <w:t>200000</w:t>
            </w:r>
          </w:p>
          <w:p w14:paraId="000E2795">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snapToGrid w:val="0"/>
                <w:color w:val="auto"/>
                <w:kern w:val="0"/>
                <w:szCs w:val="21"/>
                <w:highlight w:val="none"/>
              </w:rPr>
              <w:t>（个/L）</w:t>
            </w:r>
          </w:p>
        </w:tc>
        <w:tc>
          <w:tcPr>
            <w:tcW w:w="260" w:type="pct"/>
            <w:vAlign w:val="center"/>
          </w:tcPr>
          <w:p w14:paraId="7E48E729">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1F5456E0">
            <w:pPr>
              <w:pStyle w:val="434"/>
              <w:jc w:val="center"/>
              <w:rPr>
                <w:rFonts w:hint="eastAsia"/>
                <w:color w:val="auto"/>
                <w:sz w:val="21"/>
                <w:szCs w:val="21"/>
                <w:highlight w:val="none"/>
              </w:rPr>
            </w:pPr>
            <w:r>
              <w:rPr>
                <w:rFonts w:hint="default" w:ascii="Times New Roman" w:hAnsi="Times New Roman" w:cs="Times New Roman"/>
                <w:color w:val="auto"/>
                <w:sz w:val="21"/>
                <w:szCs w:val="21"/>
                <w:highlight w:val="none"/>
                <w:lang w:val="en-US" w:eastAsia="zh-CN"/>
              </w:rPr>
              <w:t>1.016×10</w:t>
            </w:r>
            <w:r>
              <w:rPr>
                <w:rFonts w:hint="default" w:ascii="Times New Roman" w:hAnsi="Times New Roman" w:cs="Times New Roman"/>
                <w:color w:val="auto"/>
                <w:sz w:val="21"/>
                <w:szCs w:val="21"/>
                <w:highlight w:val="none"/>
                <w:vertAlign w:val="superscript"/>
                <w:lang w:val="en-US" w:eastAsia="zh-CN"/>
              </w:rPr>
              <w:t>9</w:t>
            </w:r>
          </w:p>
        </w:tc>
        <w:tc>
          <w:tcPr>
            <w:tcW w:w="867" w:type="pct"/>
            <w:vMerge w:val="continue"/>
            <w:vAlign w:val="center"/>
          </w:tcPr>
          <w:p w14:paraId="19BD34F8">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3E6BB4D2">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277" w:type="pct"/>
            <w:vAlign w:val="center"/>
          </w:tcPr>
          <w:p w14:paraId="0380CBA5">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75797AA4">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662C263B">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08FB0FE7">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4B068E80">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1F486F4D">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2BD8539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22A738FA">
            <w:pPr>
              <w:jc w:val="center"/>
              <w:rPr>
                <w:color w:val="auto"/>
                <w:szCs w:val="21"/>
                <w:highlight w:val="none"/>
              </w:rPr>
            </w:pPr>
          </w:p>
        </w:tc>
        <w:tc>
          <w:tcPr>
            <w:tcW w:w="473" w:type="pct"/>
            <w:gridSpan w:val="2"/>
            <w:vMerge w:val="continue"/>
            <w:vAlign w:val="center"/>
          </w:tcPr>
          <w:p w14:paraId="04945A3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193" w:type="pct"/>
            <w:vMerge w:val="continue"/>
            <w:vAlign w:val="center"/>
          </w:tcPr>
          <w:p w14:paraId="62B2A529">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p>
        </w:tc>
        <w:tc>
          <w:tcPr>
            <w:tcW w:w="266" w:type="pct"/>
            <w:vAlign w:val="center"/>
          </w:tcPr>
          <w:p w14:paraId="0B6C2A61">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snapToGrid w:val="0"/>
                <w:color w:val="auto"/>
                <w:kern w:val="0"/>
                <w:szCs w:val="21"/>
                <w:highlight w:val="none"/>
              </w:rPr>
              <w:t>蛔虫卵</w:t>
            </w:r>
          </w:p>
        </w:tc>
        <w:tc>
          <w:tcPr>
            <w:tcW w:w="320" w:type="pct"/>
            <w:vAlign w:val="center"/>
          </w:tcPr>
          <w:p w14:paraId="570C0F1A">
            <w:pPr>
              <w:adjustRightInd w:val="0"/>
              <w:snapToGrid w:val="0"/>
              <w:jc w:val="center"/>
              <w:rPr>
                <w:snapToGrid w:val="0"/>
                <w:color w:val="auto"/>
                <w:kern w:val="0"/>
                <w:szCs w:val="21"/>
                <w:highlight w:val="none"/>
              </w:rPr>
            </w:pPr>
            <w:r>
              <w:rPr>
                <w:snapToGrid w:val="0"/>
                <w:color w:val="auto"/>
                <w:kern w:val="0"/>
                <w:szCs w:val="21"/>
                <w:highlight w:val="none"/>
              </w:rPr>
              <w:t>25</w:t>
            </w:r>
          </w:p>
          <w:p w14:paraId="0523517D">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snapToGrid w:val="0"/>
                <w:color w:val="auto"/>
                <w:kern w:val="0"/>
                <w:szCs w:val="21"/>
                <w:highlight w:val="none"/>
              </w:rPr>
              <w:t>（个/L）</w:t>
            </w:r>
          </w:p>
        </w:tc>
        <w:tc>
          <w:tcPr>
            <w:tcW w:w="260" w:type="pct"/>
            <w:vAlign w:val="center"/>
          </w:tcPr>
          <w:p w14:paraId="3F813F9C">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1A6A54C9">
            <w:pPr>
              <w:pStyle w:val="434"/>
              <w:jc w:val="center"/>
              <w:rPr>
                <w:rFonts w:hint="eastAsia"/>
                <w:color w:val="auto"/>
                <w:sz w:val="21"/>
                <w:szCs w:val="21"/>
                <w:highlight w:val="none"/>
              </w:rPr>
            </w:pPr>
            <w:r>
              <w:rPr>
                <w:rFonts w:hint="eastAsia"/>
                <w:color w:val="auto"/>
                <w:sz w:val="21"/>
                <w:szCs w:val="21"/>
                <w:lang w:val="en-US" w:eastAsia="zh-CN"/>
              </w:rPr>
              <w:t>1.27</w:t>
            </w:r>
            <w:r>
              <w:rPr>
                <w:rFonts w:hint="default" w:ascii="Arial" w:hAnsi="Arial" w:cs="Arial"/>
                <w:color w:val="auto"/>
                <w:sz w:val="21"/>
                <w:szCs w:val="21"/>
                <w:lang w:val="en-US" w:eastAsia="zh-CN"/>
              </w:rPr>
              <w:t>×</w:t>
            </w:r>
            <w:r>
              <w:rPr>
                <w:rFonts w:hint="eastAsia"/>
                <w:color w:val="auto"/>
                <w:sz w:val="21"/>
                <w:szCs w:val="21"/>
                <w:lang w:val="en-US" w:eastAsia="zh-CN"/>
              </w:rPr>
              <w:t>10</w:t>
            </w:r>
            <w:r>
              <w:rPr>
                <w:rFonts w:hint="eastAsia"/>
                <w:color w:val="auto"/>
                <w:sz w:val="21"/>
                <w:szCs w:val="21"/>
                <w:vertAlign w:val="superscript"/>
                <w:lang w:val="en-US" w:eastAsia="zh-CN"/>
              </w:rPr>
              <w:t>5</w:t>
            </w:r>
          </w:p>
        </w:tc>
        <w:tc>
          <w:tcPr>
            <w:tcW w:w="867" w:type="pct"/>
            <w:vMerge w:val="continue"/>
            <w:vAlign w:val="center"/>
          </w:tcPr>
          <w:p w14:paraId="0ABF658C">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Merge w:val="continue"/>
            <w:vAlign w:val="center"/>
          </w:tcPr>
          <w:p w14:paraId="714B7AC2">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277" w:type="pct"/>
            <w:vAlign w:val="center"/>
          </w:tcPr>
          <w:p w14:paraId="17578D39">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5A6E5CC8">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5A26D333">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605B826F">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684FA67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276" w:type="pct"/>
            <w:vAlign w:val="center"/>
          </w:tcPr>
          <w:p w14:paraId="602EDE63">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611E3A1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restart"/>
            <w:vAlign w:val="center"/>
          </w:tcPr>
          <w:p w14:paraId="0678EF4B">
            <w:pPr>
              <w:jc w:val="center"/>
              <w:rPr>
                <w:rFonts w:hint="eastAsia" w:eastAsia="宋体"/>
                <w:color w:val="auto"/>
                <w:szCs w:val="21"/>
                <w:lang w:val="en-US" w:eastAsia="zh-CN"/>
              </w:rPr>
            </w:pPr>
            <w:r>
              <w:rPr>
                <w:rFonts w:hint="eastAsia"/>
                <w:color w:val="auto"/>
                <w:szCs w:val="21"/>
                <w:lang w:val="en-US" w:eastAsia="zh-CN"/>
              </w:rPr>
              <w:t>固体废物</w:t>
            </w:r>
          </w:p>
        </w:tc>
        <w:tc>
          <w:tcPr>
            <w:tcW w:w="473" w:type="pct"/>
            <w:gridSpan w:val="2"/>
            <w:vAlign w:val="center"/>
          </w:tcPr>
          <w:p w14:paraId="4E834ABC">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蛋鸡</w:t>
            </w:r>
            <w:r>
              <w:rPr>
                <w:color w:val="auto"/>
                <w:szCs w:val="21"/>
              </w:rPr>
              <w:t>养殖</w:t>
            </w:r>
          </w:p>
        </w:tc>
        <w:tc>
          <w:tcPr>
            <w:tcW w:w="459" w:type="pct"/>
            <w:gridSpan w:val="2"/>
            <w:vAlign w:val="center"/>
          </w:tcPr>
          <w:p w14:paraId="5A51BEF9">
            <w:pPr>
              <w:jc w:val="center"/>
              <w:rPr>
                <w:rFonts w:hint="eastAsia" w:ascii="Times New Roman" w:hAnsi="Times New Roman" w:eastAsia="宋体" w:cs="Times New Roman"/>
                <w:color w:val="auto"/>
                <w:kern w:val="2"/>
                <w:sz w:val="21"/>
                <w:szCs w:val="21"/>
                <w:lang w:val="en-US" w:eastAsia="zh-CN" w:bidi="ar-SA"/>
              </w:rPr>
            </w:pPr>
            <w:r>
              <w:rPr>
                <w:color w:val="auto"/>
                <w:szCs w:val="21"/>
              </w:rPr>
              <w:t>鸡粪</w:t>
            </w:r>
            <w:r>
              <w:rPr>
                <w:rFonts w:hint="eastAsia"/>
                <w:color w:val="auto"/>
                <w:szCs w:val="21"/>
              </w:rPr>
              <w:t>（含掉落鸡羽毛）</w:t>
            </w:r>
          </w:p>
        </w:tc>
        <w:tc>
          <w:tcPr>
            <w:tcW w:w="320" w:type="pct"/>
            <w:vAlign w:val="center"/>
          </w:tcPr>
          <w:p w14:paraId="4D46DE6A">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260" w:type="pct"/>
            <w:vAlign w:val="center"/>
          </w:tcPr>
          <w:p w14:paraId="7CC51023">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550FDAAD">
            <w:pPr>
              <w:jc w:val="center"/>
              <w:rPr>
                <w:rFonts w:hint="eastAsia" w:ascii="Times New Roman" w:hAnsi="Times New Roman" w:eastAsia="宋体" w:cs="Times New Roman"/>
                <w:color w:val="auto"/>
                <w:kern w:val="2"/>
                <w:sz w:val="21"/>
                <w:szCs w:val="21"/>
                <w:lang w:val="en-US" w:eastAsia="zh-CN" w:bidi="ar-SA"/>
              </w:rPr>
            </w:pPr>
            <w:r>
              <w:rPr>
                <w:color w:val="auto"/>
                <w:szCs w:val="21"/>
              </w:rPr>
              <w:t>47450</w:t>
            </w:r>
          </w:p>
        </w:tc>
        <w:tc>
          <w:tcPr>
            <w:tcW w:w="867" w:type="pct"/>
            <w:vMerge w:val="restart"/>
            <w:vAlign w:val="center"/>
          </w:tcPr>
          <w:p w14:paraId="07F7E704">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color w:val="auto"/>
                <w:szCs w:val="21"/>
              </w:rPr>
              <w:t>除</w:t>
            </w:r>
            <w:r>
              <w:rPr>
                <w:rFonts w:hint="eastAsia"/>
                <w:color w:val="auto"/>
                <w:szCs w:val="21"/>
              </w:rPr>
              <w:t>极端天气</w:t>
            </w:r>
            <w:r>
              <w:rPr>
                <w:color w:val="auto"/>
                <w:szCs w:val="21"/>
              </w:rPr>
              <w:t>（约50天/年）需暂存</w:t>
            </w:r>
            <w:r>
              <w:rPr>
                <w:rFonts w:hint="eastAsia"/>
                <w:color w:val="auto"/>
                <w:szCs w:val="21"/>
                <w:lang w:eastAsia="zh-CN"/>
              </w:rPr>
              <w:t>临时储粪场</w:t>
            </w:r>
            <w:r>
              <w:rPr>
                <w:color w:val="auto"/>
                <w:szCs w:val="21"/>
              </w:rPr>
              <w:t>外，均日产日清由清粪车直接拉走外售</w:t>
            </w:r>
            <w:r>
              <w:rPr>
                <w:rFonts w:hint="eastAsia"/>
                <w:color w:val="auto"/>
                <w:szCs w:val="21"/>
                <w:lang w:eastAsia="zh-CN"/>
              </w:rPr>
              <w:t>至</w:t>
            </w:r>
            <w:r>
              <w:rPr>
                <w:rFonts w:hint="eastAsia"/>
                <w:color w:val="auto"/>
                <w:szCs w:val="21"/>
                <w:highlight w:val="none"/>
                <w:lang w:val="en-US" w:eastAsia="zh-CN"/>
              </w:rPr>
              <w:t>辰泰（辽宁）生物科技有限公司</w:t>
            </w:r>
            <w:r>
              <w:rPr>
                <w:rFonts w:hint="eastAsia"/>
                <w:color w:val="auto"/>
                <w:szCs w:val="21"/>
              </w:rPr>
              <w:t>进行有机肥制造</w:t>
            </w:r>
          </w:p>
        </w:tc>
        <w:tc>
          <w:tcPr>
            <w:tcW w:w="190" w:type="pct"/>
            <w:vAlign w:val="center"/>
          </w:tcPr>
          <w:p w14:paraId="4DE0E599">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277" w:type="pct"/>
            <w:vAlign w:val="center"/>
          </w:tcPr>
          <w:p w14:paraId="6313F544">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2BDE7326">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3C74B9B4">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7F9AF353">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yellow"/>
                <w:lang w:val="en-US" w:eastAsia="zh-CN"/>
              </w:rPr>
            </w:pPr>
            <w:r>
              <w:rPr>
                <w:rFonts w:hint="eastAsia"/>
                <w:color w:val="auto"/>
                <w:szCs w:val="21"/>
                <w:highlight w:val="none"/>
                <w:lang w:val="en-US" w:eastAsia="zh-CN"/>
              </w:rPr>
              <w:t>-</w:t>
            </w:r>
          </w:p>
        </w:tc>
        <w:tc>
          <w:tcPr>
            <w:tcW w:w="351" w:type="pct"/>
            <w:vAlign w:val="center"/>
          </w:tcPr>
          <w:p w14:paraId="4C53556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yellow"/>
                <w:lang w:val="en-US" w:eastAsia="zh-CN" w:bidi="ar-SA"/>
              </w:rPr>
            </w:pPr>
            <w:r>
              <w:rPr>
                <w:rFonts w:hint="eastAsia"/>
                <w:color w:val="auto"/>
                <w:szCs w:val="21"/>
                <w:highlight w:val="none"/>
                <w:lang w:val="en-US" w:eastAsia="zh-CN"/>
              </w:rPr>
              <w:t>-</w:t>
            </w:r>
          </w:p>
        </w:tc>
        <w:tc>
          <w:tcPr>
            <w:tcW w:w="276" w:type="pct"/>
            <w:vAlign w:val="center"/>
          </w:tcPr>
          <w:p w14:paraId="62702EA8">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5F46FD6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7612B558">
            <w:pPr>
              <w:jc w:val="center"/>
              <w:rPr>
                <w:color w:val="auto"/>
                <w:szCs w:val="21"/>
              </w:rPr>
            </w:pPr>
          </w:p>
        </w:tc>
        <w:tc>
          <w:tcPr>
            <w:tcW w:w="473" w:type="pct"/>
            <w:gridSpan w:val="2"/>
            <w:vAlign w:val="center"/>
          </w:tcPr>
          <w:p w14:paraId="14EFF500">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蛋鸡</w:t>
            </w:r>
            <w:r>
              <w:rPr>
                <w:color w:val="auto"/>
                <w:szCs w:val="21"/>
              </w:rPr>
              <w:t>饲养</w:t>
            </w:r>
          </w:p>
        </w:tc>
        <w:tc>
          <w:tcPr>
            <w:tcW w:w="459" w:type="pct"/>
            <w:gridSpan w:val="2"/>
            <w:vAlign w:val="center"/>
          </w:tcPr>
          <w:p w14:paraId="0BC2A0DE">
            <w:pPr>
              <w:jc w:val="center"/>
              <w:rPr>
                <w:rFonts w:hint="eastAsia" w:ascii="Times New Roman" w:hAnsi="Times New Roman" w:eastAsia="宋体" w:cs="Times New Roman"/>
                <w:color w:val="auto"/>
                <w:kern w:val="2"/>
                <w:sz w:val="21"/>
                <w:szCs w:val="21"/>
                <w:lang w:val="en-US" w:eastAsia="zh-CN" w:bidi="ar-SA"/>
              </w:rPr>
            </w:pPr>
            <w:r>
              <w:rPr>
                <w:color w:val="auto"/>
                <w:szCs w:val="21"/>
              </w:rPr>
              <w:t>饲料残渣</w:t>
            </w:r>
          </w:p>
        </w:tc>
        <w:tc>
          <w:tcPr>
            <w:tcW w:w="320" w:type="pct"/>
            <w:vAlign w:val="center"/>
          </w:tcPr>
          <w:p w14:paraId="507098DB">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260" w:type="pct"/>
            <w:vAlign w:val="center"/>
          </w:tcPr>
          <w:p w14:paraId="428A98AD">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4461AC88">
            <w:pPr>
              <w:jc w:val="center"/>
              <w:rPr>
                <w:rFonts w:hint="eastAsia" w:ascii="Times New Roman" w:hAnsi="Times New Roman" w:eastAsia="宋体" w:cs="Times New Roman"/>
                <w:color w:val="auto"/>
                <w:kern w:val="2"/>
                <w:sz w:val="21"/>
                <w:szCs w:val="21"/>
                <w:lang w:val="en-US" w:eastAsia="zh-CN" w:bidi="ar-SA"/>
              </w:rPr>
            </w:pPr>
            <w:r>
              <w:rPr>
                <w:color w:val="auto"/>
                <w:szCs w:val="21"/>
              </w:rPr>
              <w:t>45</w:t>
            </w:r>
          </w:p>
        </w:tc>
        <w:tc>
          <w:tcPr>
            <w:tcW w:w="867" w:type="pct"/>
            <w:vMerge w:val="continue"/>
            <w:vAlign w:val="center"/>
          </w:tcPr>
          <w:p w14:paraId="7EB22299">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190" w:type="pct"/>
            <w:vAlign w:val="center"/>
          </w:tcPr>
          <w:p w14:paraId="26689D7B">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277" w:type="pct"/>
            <w:vAlign w:val="center"/>
          </w:tcPr>
          <w:p w14:paraId="68D006BA">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3ED707A9">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6770A4EF">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54B49176">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yellow"/>
                <w:lang w:val="en-US" w:eastAsia="zh-CN"/>
              </w:rPr>
            </w:pPr>
            <w:r>
              <w:rPr>
                <w:rFonts w:hint="eastAsia"/>
                <w:color w:val="auto"/>
                <w:szCs w:val="21"/>
                <w:highlight w:val="none"/>
                <w:lang w:val="en-US" w:eastAsia="zh-CN"/>
              </w:rPr>
              <w:t>-</w:t>
            </w:r>
          </w:p>
        </w:tc>
        <w:tc>
          <w:tcPr>
            <w:tcW w:w="351" w:type="pct"/>
            <w:vAlign w:val="center"/>
          </w:tcPr>
          <w:p w14:paraId="4B67687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yellow"/>
                <w:lang w:val="en-US" w:eastAsia="zh-CN" w:bidi="ar-SA"/>
              </w:rPr>
            </w:pPr>
            <w:r>
              <w:rPr>
                <w:rFonts w:hint="eastAsia"/>
                <w:color w:val="auto"/>
                <w:szCs w:val="21"/>
                <w:highlight w:val="none"/>
                <w:lang w:val="en-US" w:eastAsia="zh-CN"/>
              </w:rPr>
              <w:t>-</w:t>
            </w:r>
          </w:p>
        </w:tc>
        <w:tc>
          <w:tcPr>
            <w:tcW w:w="276" w:type="pct"/>
            <w:vAlign w:val="center"/>
          </w:tcPr>
          <w:p w14:paraId="3D9D16C2">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79D70B4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12BF25E6">
            <w:pPr>
              <w:jc w:val="center"/>
              <w:rPr>
                <w:color w:val="auto"/>
                <w:szCs w:val="21"/>
              </w:rPr>
            </w:pPr>
          </w:p>
        </w:tc>
        <w:tc>
          <w:tcPr>
            <w:tcW w:w="473" w:type="pct"/>
            <w:gridSpan w:val="2"/>
            <w:vAlign w:val="center"/>
          </w:tcPr>
          <w:p w14:paraId="6605F683">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蛋鸡养殖</w:t>
            </w:r>
          </w:p>
        </w:tc>
        <w:tc>
          <w:tcPr>
            <w:tcW w:w="459" w:type="pct"/>
            <w:gridSpan w:val="2"/>
            <w:vAlign w:val="center"/>
          </w:tcPr>
          <w:p w14:paraId="0750EEE2">
            <w:pPr>
              <w:jc w:val="center"/>
              <w:rPr>
                <w:rFonts w:hint="eastAsia" w:ascii="Times New Roman" w:hAnsi="Times New Roman" w:eastAsia="宋体" w:cs="Times New Roman"/>
                <w:color w:val="auto"/>
                <w:kern w:val="2"/>
                <w:sz w:val="21"/>
                <w:szCs w:val="21"/>
                <w:lang w:val="en-US" w:eastAsia="zh-CN" w:bidi="ar-SA"/>
              </w:rPr>
            </w:pPr>
            <w:r>
              <w:rPr>
                <w:color w:val="auto"/>
                <w:szCs w:val="21"/>
              </w:rPr>
              <w:t>病死鸡</w:t>
            </w:r>
          </w:p>
        </w:tc>
        <w:tc>
          <w:tcPr>
            <w:tcW w:w="320" w:type="pct"/>
            <w:vAlign w:val="center"/>
          </w:tcPr>
          <w:p w14:paraId="1C99931B">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260" w:type="pct"/>
            <w:vAlign w:val="center"/>
          </w:tcPr>
          <w:p w14:paraId="3AAB7FE8">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60CDF470">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3</w:t>
            </w:r>
          </w:p>
        </w:tc>
        <w:tc>
          <w:tcPr>
            <w:tcW w:w="867" w:type="pct"/>
            <w:vAlign w:val="center"/>
          </w:tcPr>
          <w:p w14:paraId="02BA7DA6">
            <w:pPr>
              <w:keepNext w:val="0"/>
              <w:keepLines w:val="0"/>
              <w:pageBreakBefore w:val="0"/>
              <w:kinsoku/>
              <w:wordWrap/>
              <w:overflowPunct/>
              <w:topLinePunct w:val="0"/>
              <w:autoSpaceDE/>
              <w:autoSpaceDN/>
              <w:bidi w:val="0"/>
              <w:ind w:left="-105" w:leftChars="-50" w:right="-105" w:rightChars="-50"/>
              <w:jc w:val="center"/>
              <w:rPr>
                <w:rFonts w:hint="eastAsia" w:eastAsia="宋体"/>
                <w:color w:val="auto"/>
                <w:szCs w:val="21"/>
                <w:highlight w:val="none"/>
                <w:lang w:eastAsia="zh-CN"/>
              </w:rPr>
            </w:pPr>
            <w:r>
              <w:rPr>
                <w:rFonts w:hint="eastAsia"/>
                <w:bCs/>
                <w:color w:val="auto"/>
                <w:lang w:eastAsia="zh-CN"/>
              </w:rPr>
              <w:t>委托北票市汇宏动物无害化处理有限公司收集处置</w:t>
            </w:r>
          </w:p>
        </w:tc>
        <w:tc>
          <w:tcPr>
            <w:tcW w:w="190" w:type="pct"/>
            <w:vAlign w:val="center"/>
          </w:tcPr>
          <w:p w14:paraId="50D62A80">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277" w:type="pct"/>
            <w:vAlign w:val="center"/>
          </w:tcPr>
          <w:p w14:paraId="0E6559CB">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1042B460">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0CD0A87B">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39629D81">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yellow"/>
                <w:lang w:val="en-US" w:eastAsia="zh-CN"/>
              </w:rPr>
            </w:pPr>
            <w:r>
              <w:rPr>
                <w:rFonts w:hint="eastAsia"/>
                <w:color w:val="auto"/>
                <w:szCs w:val="21"/>
                <w:highlight w:val="none"/>
                <w:lang w:val="en-US" w:eastAsia="zh-CN"/>
              </w:rPr>
              <w:t>-</w:t>
            </w:r>
          </w:p>
        </w:tc>
        <w:tc>
          <w:tcPr>
            <w:tcW w:w="351" w:type="pct"/>
            <w:vAlign w:val="center"/>
          </w:tcPr>
          <w:p w14:paraId="5FFE8B87">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yellow"/>
                <w:lang w:val="en-US" w:eastAsia="zh-CN" w:bidi="ar-SA"/>
              </w:rPr>
            </w:pPr>
            <w:r>
              <w:rPr>
                <w:rFonts w:hint="eastAsia"/>
                <w:color w:val="auto"/>
                <w:szCs w:val="21"/>
                <w:highlight w:val="none"/>
                <w:lang w:val="en-US" w:eastAsia="zh-CN"/>
              </w:rPr>
              <w:t>-</w:t>
            </w:r>
          </w:p>
        </w:tc>
        <w:tc>
          <w:tcPr>
            <w:tcW w:w="276" w:type="pct"/>
            <w:vAlign w:val="center"/>
          </w:tcPr>
          <w:p w14:paraId="471FF9C6">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2E6B26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75F7FCF3">
            <w:pPr>
              <w:jc w:val="center"/>
              <w:rPr>
                <w:color w:val="auto"/>
                <w:szCs w:val="21"/>
              </w:rPr>
            </w:pPr>
          </w:p>
        </w:tc>
        <w:tc>
          <w:tcPr>
            <w:tcW w:w="473" w:type="pct"/>
            <w:gridSpan w:val="2"/>
            <w:vAlign w:val="center"/>
          </w:tcPr>
          <w:p w14:paraId="05D3DD1A">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软化水制备</w:t>
            </w:r>
          </w:p>
        </w:tc>
        <w:tc>
          <w:tcPr>
            <w:tcW w:w="459" w:type="pct"/>
            <w:gridSpan w:val="2"/>
            <w:vAlign w:val="center"/>
          </w:tcPr>
          <w:p w14:paraId="70B1112F">
            <w:pPr>
              <w:tabs>
                <w:tab w:val="left" w:pos="5295"/>
              </w:tabs>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废离子交换树脂</w:t>
            </w:r>
          </w:p>
        </w:tc>
        <w:tc>
          <w:tcPr>
            <w:tcW w:w="320" w:type="pct"/>
            <w:vAlign w:val="center"/>
          </w:tcPr>
          <w:p w14:paraId="0C2F4186">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260" w:type="pct"/>
            <w:vAlign w:val="center"/>
          </w:tcPr>
          <w:p w14:paraId="41F8C7A0">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381AA25A">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0.</w:t>
            </w:r>
            <w:r>
              <w:rPr>
                <w:rFonts w:hint="eastAsia"/>
                <w:color w:val="auto"/>
                <w:szCs w:val="21"/>
                <w:lang w:val="en-US" w:eastAsia="zh-CN"/>
              </w:rPr>
              <w:t>05</w:t>
            </w:r>
            <w:r>
              <w:rPr>
                <w:rFonts w:hint="eastAsia"/>
                <w:color w:val="auto"/>
                <w:szCs w:val="21"/>
              </w:rPr>
              <w:t>t/5a</w:t>
            </w:r>
          </w:p>
        </w:tc>
        <w:tc>
          <w:tcPr>
            <w:tcW w:w="867" w:type="pct"/>
            <w:vAlign w:val="center"/>
          </w:tcPr>
          <w:p w14:paraId="2CE05836">
            <w:pPr>
              <w:pStyle w:val="351"/>
              <w:overflowPunct w:val="0"/>
              <w:autoSpaceDE w:val="0"/>
              <w:autoSpaceDN w:val="0"/>
              <w:adjustRightInd w:val="0"/>
              <w:ind w:left="200" w:leftChars="0" w:firstLine="0" w:firstLineChars="0"/>
              <w:rPr>
                <w:rFonts w:ascii="Times New Roman" w:hAnsi="Times New Roman" w:eastAsia="宋体" w:cs="Times New Roman"/>
                <w:color w:val="auto"/>
                <w:kern w:val="2"/>
                <w:sz w:val="21"/>
                <w:szCs w:val="20"/>
                <w:lang w:val="en-US" w:eastAsia="zh-CN" w:bidi="ar-SA"/>
              </w:rPr>
            </w:pPr>
            <w:r>
              <w:rPr>
                <w:color w:val="auto"/>
                <w:szCs w:val="21"/>
              </w:rPr>
              <w:t>由厂家进行更换处理</w:t>
            </w:r>
          </w:p>
        </w:tc>
        <w:tc>
          <w:tcPr>
            <w:tcW w:w="190" w:type="pct"/>
            <w:vAlign w:val="center"/>
          </w:tcPr>
          <w:p w14:paraId="1563BFE5">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277" w:type="pct"/>
            <w:vAlign w:val="center"/>
          </w:tcPr>
          <w:p w14:paraId="0B1E6548">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39D374A5">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1041362E">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7C9A6D25">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yellow"/>
                <w:lang w:val="en-US" w:eastAsia="zh-CN"/>
              </w:rPr>
            </w:pPr>
            <w:r>
              <w:rPr>
                <w:rFonts w:hint="eastAsia"/>
                <w:color w:val="auto"/>
                <w:szCs w:val="21"/>
                <w:highlight w:val="none"/>
                <w:lang w:val="en-US" w:eastAsia="zh-CN"/>
              </w:rPr>
              <w:t>-</w:t>
            </w:r>
          </w:p>
        </w:tc>
        <w:tc>
          <w:tcPr>
            <w:tcW w:w="351" w:type="pct"/>
            <w:vAlign w:val="center"/>
          </w:tcPr>
          <w:p w14:paraId="7F13A2AA">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yellow"/>
                <w:lang w:val="en-US" w:eastAsia="zh-CN" w:bidi="ar-SA"/>
              </w:rPr>
            </w:pPr>
            <w:r>
              <w:rPr>
                <w:rFonts w:hint="eastAsia"/>
                <w:color w:val="auto"/>
                <w:szCs w:val="21"/>
                <w:highlight w:val="none"/>
                <w:lang w:val="en-US" w:eastAsia="zh-CN"/>
              </w:rPr>
              <w:t>-</w:t>
            </w:r>
          </w:p>
        </w:tc>
        <w:tc>
          <w:tcPr>
            <w:tcW w:w="276" w:type="pct"/>
            <w:vAlign w:val="center"/>
          </w:tcPr>
          <w:p w14:paraId="5285E1B4">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60338E1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034B268C">
            <w:pPr>
              <w:jc w:val="center"/>
              <w:rPr>
                <w:color w:val="auto"/>
                <w:szCs w:val="21"/>
              </w:rPr>
            </w:pPr>
          </w:p>
        </w:tc>
        <w:tc>
          <w:tcPr>
            <w:tcW w:w="473" w:type="pct"/>
            <w:gridSpan w:val="2"/>
            <w:vMerge w:val="restart"/>
            <w:vAlign w:val="center"/>
          </w:tcPr>
          <w:p w14:paraId="2C8863BC">
            <w:pPr>
              <w:jc w:val="center"/>
              <w:rPr>
                <w:rFonts w:hint="eastAsia" w:eastAsia="宋体"/>
                <w:color w:val="auto"/>
                <w:szCs w:val="21"/>
                <w:lang w:eastAsia="zh-CN"/>
              </w:rPr>
            </w:pPr>
            <w:r>
              <w:rPr>
                <w:rFonts w:hint="eastAsia"/>
                <w:color w:val="auto"/>
                <w:szCs w:val="21"/>
                <w:lang w:eastAsia="zh-CN"/>
              </w:rPr>
              <w:t>锅炉</w:t>
            </w:r>
          </w:p>
        </w:tc>
        <w:tc>
          <w:tcPr>
            <w:tcW w:w="459" w:type="pct"/>
            <w:gridSpan w:val="2"/>
            <w:vAlign w:val="center"/>
          </w:tcPr>
          <w:p w14:paraId="21D3C2B5">
            <w:pPr>
              <w:jc w:val="center"/>
              <w:rPr>
                <w:rFonts w:hint="eastAsia"/>
                <w:color w:val="auto"/>
                <w:szCs w:val="21"/>
              </w:rPr>
            </w:pPr>
            <w:r>
              <w:rPr>
                <w:rFonts w:hint="eastAsia"/>
                <w:color w:val="auto"/>
                <w:szCs w:val="21"/>
                <w:lang w:eastAsia="zh-CN"/>
              </w:rPr>
              <w:t>锅炉灰渣</w:t>
            </w:r>
          </w:p>
        </w:tc>
        <w:tc>
          <w:tcPr>
            <w:tcW w:w="320" w:type="pct"/>
            <w:vAlign w:val="center"/>
          </w:tcPr>
          <w:p w14:paraId="4FD91B30">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w:t>
            </w:r>
          </w:p>
        </w:tc>
        <w:tc>
          <w:tcPr>
            <w:tcW w:w="260" w:type="pct"/>
            <w:vAlign w:val="center"/>
          </w:tcPr>
          <w:p w14:paraId="684DD8F3">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296" w:type="pct"/>
            <w:vAlign w:val="center"/>
          </w:tcPr>
          <w:p w14:paraId="2E3E0CE6">
            <w:pPr>
              <w:jc w:val="center"/>
              <w:rPr>
                <w:rFonts w:hint="eastAsia"/>
                <w:color w:val="auto"/>
                <w:szCs w:val="21"/>
              </w:rPr>
            </w:pPr>
            <w:r>
              <w:rPr>
                <w:rFonts w:hint="eastAsia"/>
                <w:color w:val="auto"/>
                <w:szCs w:val="21"/>
                <w:lang w:val="en-US" w:eastAsia="zh-CN"/>
              </w:rPr>
              <w:t>126</w:t>
            </w:r>
          </w:p>
        </w:tc>
        <w:tc>
          <w:tcPr>
            <w:tcW w:w="867" w:type="pct"/>
            <w:vMerge w:val="restart"/>
            <w:vAlign w:val="center"/>
          </w:tcPr>
          <w:p w14:paraId="1D3B6AE4">
            <w:pPr>
              <w:pStyle w:val="351"/>
              <w:overflowPunct w:val="0"/>
              <w:autoSpaceDE w:val="0"/>
              <w:autoSpaceDN w:val="0"/>
              <w:adjustRightInd w:val="0"/>
              <w:ind w:left="200" w:leftChars="0" w:firstLine="0" w:firstLineChars="0"/>
              <w:rPr>
                <w:color w:val="auto"/>
                <w:szCs w:val="21"/>
              </w:rPr>
            </w:pPr>
            <w:r>
              <w:rPr>
                <w:rFonts w:hint="eastAsia" w:cs="Times New Roman"/>
                <w:color w:val="auto"/>
                <w:kern w:val="2"/>
                <w:sz w:val="21"/>
                <w:szCs w:val="21"/>
                <w:lang w:val="en-US" w:eastAsia="zh-CN" w:bidi="ar-SA"/>
              </w:rPr>
              <w:t>密封袋</w:t>
            </w:r>
            <w:r>
              <w:rPr>
                <w:rFonts w:hint="eastAsia" w:ascii="Times New Roman" w:hAnsi="Times New Roman" w:eastAsia="宋体" w:cs="Times New Roman"/>
                <w:color w:val="auto"/>
                <w:kern w:val="2"/>
                <w:sz w:val="21"/>
                <w:szCs w:val="21"/>
                <w:lang w:val="en-US" w:eastAsia="zh-CN" w:bidi="ar-SA"/>
              </w:rPr>
              <w:t>暂存于</w:t>
            </w:r>
            <w:r>
              <w:rPr>
                <w:rFonts w:hint="eastAsia" w:cs="Times New Roman"/>
                <w:color w:val="auto"/>
                <w:kern w:val="2"/>
                <w:sz w:val="21"/>
                <w:szCs w:val="21"/>
                <w:lang w:val="en-US" w:eastAsia="zh-CN" w:bidi="ar-SA"/>
              </w:rPr>
              <w:t>渣</w:t>
            </w:r>
            <w:r>
              <w:rPr>
                <w:rFonts w:hint="eastAsia" w:ascii="Times New Roman" w:hAnsi="Times New Roman" w:eastAsia="宋体" w:cs="Times New Roman"/>
                <w:color w:val="auto"/>
                <w:kern w:val="2"/>
                <w:sz w:val="21"/>
                <w:szCs w:val="21"/>
                <w:lang w:val="en-US" w:eastAsia="zh-CN" w:bidi="ar-SA"/>
              </w:rPr>
              <w:t>库，</w:t>
            </w:r>
            <w:r>
              <w:rPr>
                <w:rFonts w:hint="eastAsia"/>
                <w:color w:val="auto"/>
                <w:sz w:val="21"/>
                <w:szCs w:val="21"/>
                <w:lang w:eastAsia="zh-CN"/>
              </w:rPr>
              <w:t>作为有机肥原料</w:t>
            </w:r>
            <w:r>
              <w:rPr>
                <w:color w:val="auto"/>
                <w:sz w:val="21"/>
                <w:szCs w:val="21"/>
              </w:rPr>
              <w:t>外</w:t>
            </w:r>
            <w:r>
              <w:rPr>
                <w:rFonts w:hint="eastAsia"/>
                <w:color w:val="auto"/>
                <w:sz w:val="21"/>
                <w:szCs w:val="21"/>
              </w:rPr>
              <w:t>售</w:t>
            </w:r>
            <w:r>
              <w:rPr>
                <w:rFonts w:hint="eastAsia"/>
                <w:color w:val="auto"/>
                <w:sz w:val="21"/>
                <w:szCs w:val="21"/>
                <w:lang w:eastAsia="zh-CN"/>
              </w:rPr>
              <w:t>至辰泰（辽宁）生物科技有限公司做有机肥；</w:t>
            </w:r>
          </w:p>
        </w:tc>
        <w:tc>
          <w:tcPr>
            <w:tcW w:w="190" w:type="pct"/>
            <w:vAlign w:val="center"/>
          </w:tcPr>
          <w:p w14:paraId="7D354725">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277" w:type="pct"/>
            <w:vAlign w:val="center"/>
          </w:tcPr>
          <w:p w14:paraId="19765CFE">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p>
        </w:tc>
        <w:tc>
          <w:tcPr>
            <w:tcW w:w="365" w:type="pct"/>
            <w:vAlign w:val="center"/>
          </w:tcPr>
          <w:p w14:paraId="74AB9EA6">
            <w:pPr>
              <w:pStyle w:val="434"/>
              <w:jc w:val="center"/>
              <w:rPr>
                <w:rFonts w:hint="eastAsia"/>
                <w:color w:val="auto"/>
                <w:szCs w:val="21"/>
                <w:highlight w:val="none"/>
                <w:lang w:val="en-US" w:eastAsia="zh-CN"/>
              </w:rPr>
            </w:pPr>
          </w:p>
        </w:tc>
        <w:tc>
          <w:tcPr>
            <w:tcW w:w="338" w:type="pct"/>
            <w:vAlign w:val="center"/>
          </w:tcPr>
          <w:p w14:paraId="17D1C9F9">
            <w:pPr>
              <w:pStyle w:val="434"/>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393" w:type="pct"/>
            <w:vAlign w:val="center"/>
          </w:tcPr>
          <w:p w14:paraId="29568D27">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7CE81A2E">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w:t>
            </w:r>
          </w:p>
        </w:tc>
        <w:tc>
          <w:tcPr>
            <w:tcW w:w="276" w:type="pct"/>
            <w:vAlign w:val="center"/>
          </w:tcPr>
          <w:p w14:paraId="63DF42D2">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01163DB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5DE68512">
            <w:pPr>
              <w:jc w:val="center"/>
              <w:rPr>
                <w:color w:val="auto"/>
                <w:szCs w:val="21"/>
              </w:rPr>
            </w:pPr>
          </w:p>
        </w:tc>
        <w:tc>
          <w:tcPr>
            <w:tcW w:w="473" w:type="pct"/>
            <w:gridSpan w:val="2"/>
            <w:vMerge w:val="continue"/>
            <w:vAlign w:val="center"/>
          </w:tcPr>
          <w:p w14:paraId="55ADB079">
            <w:pPr>
              <w:jc w:val="center"/>
              <w:rPr>
                <w:rFonts w:hint="eastAsia"/>
                <w:color w:val="auto"/>
                <w:szCs w:val="21"/>
              </w:rPr>
            </w:pPr>
          </w:p>
        </w:tc>
        <w:tc>
          <w:tcPr>
            <w:tcW w:w="459" w:type="pct"/>
            <w:gridSpan w:val="2"/>
            <w:vAlign w:val="center"/>
          </w:tcPr>
          <w:p w14:paraId="0F199E7B">
            <w:pPr>
              <w:jc w:val="center"/>
              <w:rPr>
                <w:rFonts w:hint="eastAsia"/>
                <w:color w:val="auto"/>
                <w:szCs w:val="21"/>
              </w:rPr>
            </w:pPr>
            <w:r>
              <w:rPr>
                <w:rFonts w:hint="eastAsia"/>
                <w:color w:val="auto"/>
                <w:szCs w:val="21"/>
                <w:lang w:eastAsia="zh-CN"/>
              </w:rPr>
              <w:t>除尘灰</w:t>
            </w:r>
          </w:p>
        </w:tc>
        <w:tc>
          <w:tcPr>
            <w:tcW w:w="320" w:type="pct"/>
            <w:vAlign w:val="center"/>
          </w:tcPr>
          <w:p w14:paraId="2B5D9CBC">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w:t>
            </w:r>
          </w:p>
        </w:tc>
        <w:tc>
          <w:tcPr>
            <w:tcW w:w="260" w:type="pct"/>
            <w:vAlign w:val="center"/>
          </w:tcPr>
          <w:p w14:paraId="6600891D">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296" w:type="pct"/>
            <w:vAlign w:val="center"/>
          </w:tcPr>
          <w:p w14:paraId="1AFEE674">
            <w:pPr>
              <w:jc w:val="center"/>
              <w:rPr>
                <w:rFonts w:hint="eastAsia"/>
                <w:color w:val="auto"/>
                <w:szCs w:val="21"/>
              </w:rPr>
            </w:pPr>
            <w:r>
              <w:rPr>
                <w:rFonts w:hint="eastAsia"/>
                <w:color w:val="auto"/>
                <w:szCs w:val="21"/>
                <w:lang w:val="en-US" w:eastAsia="zh-CN"/>
              </w:rPr>
              <w:t>0.465</w:t>
            </w:r>
          </w:p>
        </w:tc>
        <w:tc>
          <w:tcPr>
            <w:tcW w:w="867" w:type="pct"/>
            <w:vMerge w:val="continue"/>
            <w:vAlign w:val="center"/>
          </w:tcPr>
          <w:p w14:paraId="4896F3C8">
            <w:pPr>
              <w:pStyle w:val="351"/>
              <w:overflowPunct w:val="0"/>
              <w:autoSpaceDE w:val="0"/>
              <w:autoSpaceDN w:val="0"/>
              <w:adjustRightInd w:val="0"/>
              <w:ind w:left="200" w:leftChars="0" w:firstLine="0" w:firstLineChars="0"/>
              <w:rPr>
                <w:color w:val="auto"/>
                <w:szCs w:val="21"/>
              </w:rPr>
            </w:pPr>
          </w:p>
        </w:tc>
        <w:tc>
          <w:tcPr>
            <w:tcW w:w="190" w:type="pct"/>
            <w:vAlign w:val="center"/>
          </w:tcPr>
          <w:p w14:paraId="047DBC50">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277" w:type="pct"/>
            <w:vAlign w:val="center"/>
          </w:tcPr>
          <w:p w14:paraId="4AEB65A2">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p>
        </w:tc>
        <w:tc>
          <w:tcPr>
            <w:tcW w:w="365" w:type="pct"/>
            <w:vAlign w:val="center"/>
          </w:tcPr>
          <w:p w14:paraId="20A5769A">
            <w:pPr>
              <w:pStyle w:val="434"/>
              <w:jc w:val="center"/>
              <w:rPr>
                <w:rFonts w:hint="eastAsia"/>
                <w:color w:val="auto"/>
                <w:szCs w:val="21"/>
                <w:highlight w:val="none"/>
                <w:lang w:val="en-US" w:eastAsia="zh-CN"/>
              </w:rPr>
            </w:pPr>
          </w:p>
        </w:tc>
        <w:tc>
          <w:tcPr>
            <w:tcW w:w="338" w:type="pct"/>
            <w:vAlign w:val="center"/>
          </w:tcPr>
          <w:p w14:paraId="4FF0A455">
            <w:pPr>
              <w:pStyle w:val="434"/>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393" w:type="pct"/>
            <w:vAlign w:val="center"/>
          </w:tcPr>
          <w:p w14:paraId="28639AF7">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w:t>
            </w:r>
          </w:p>
        </w:tc>
        <w:tc>
          <w:tcPr>
            <w:tcW w:w="351" w:type="pct"/>
            <w:vAlign w:val="center"/>
          </w:tcPr>
          <w:p w14:paraId="5C82AFC8">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w:t>
            </w:r>
          </w:p>
        </w:tc>
        <w:tc>
          <w:tcPr>
            <w:tcW w:w="276" w:type="pct"/>
            <w:vAlign w:val="center"/>
          </w:tcPr>
          <w:p w14:paraId="5568AE4E">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68D057E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6B2293B2">
            <w:pPr>
              <w:jc w:val="center"/>
              <w:rPr>
                <w:color w:val="auto"/>
                <w:szCs w:val="21"/>
              </w:rPr>
            </w:pPr>
          </w:p>
        </w:tc>
        <w:tc>
          <w:tcPr>
            <w:tcW w:w="473" w:type="pct"/>
            <w:gridSpan w:val="2"/>
            <w:vAlign w:val="center"/>
          </w:tcPr>
          <w:p w14:paraId="2BB4782D">
            <w:pPr>
              <w:jc w:val="center"/>
              <w:rPr>
                <w:rFonts w:ascii="Times New Roman" w:hAnsi="Times New Roman" w:eastAsia="宋体" w:cs="Times New Roman"/>
                <w:color w:val="auto"/>
                <w:kern w:val="2"/>
                <w:sz w:val="21"/>
                <w:szCs w:val="21"/>
                <w:lang w:val="en-US" w:eastAsia="zh-CN" w:bidi="ar-SA"/>
              </w:rPr>
            </w:pPr>
            <w:r>
              <w:rPr>
                <w:color w:val="auto"/>
                <w:szCs w:val="21"/>
              </w:rPr>
              <w:t>防疫治疗</w:t>
            </w:r>
          </w:p>
        </w:tc>
        <w:tc>
          <w:tcPr>
            <w:tcW w:w="459" w:type="pct"/>
            <w:gridSpan w:val="2"/>
            <w:vAlign w:val="center"/>
          </w:tcPr>
          <w:p w14:paraId="0E23C87C">
            <w:pPr>
              <w:jc w:val="center"/>
              <w:rPr>
                <w:rFonts w:hint="eastAsia" w:ascii="Times New Roman" w:hAnsi="Times New Roman" w:eastAsia="宋体" w:cs="Times New Roman"/>
                <w:color w:val="auto"/>
                <w:kern w:val="2"/>
                <w:sz w:val="21"/>
                <w:szCs w:val="21"/>
                <w:lang w:val="en-US" w:eastAsia="zh-CN" w:bidi="ar-SA"/>
              </w:rPr>
            </w:pPr>
            <w:r>
              <w:rPr>
                <w:color w:val="auto"/>
                <w:szCs w:val="21"/>
              </w:rPr>
              <w:t>医疗废物</w:t>
            </w:r>
          </w:p>
        </w:tc>
        <w:tc>
          <w:tcPr>
            <w:tcW w:w="320" w:type="pct"/>
            <w:vAlign w:val="center"/>
          </w:tcPr>
          <w:p w14:paraId="261C87BA">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260" w:type="pct"/>
            <w:vAlign w:val="center"/>
          </w:tcPr>
          <w:p w14:paraId="27487668">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5E7833E3">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0.04</w:t>
            </w:r>
          </w:p>
        </w:tc>
        <w:tc>
          <w:tcPr>
            <w:tcW w:w="867" w:type="pct"/>
            <w:vAlign w:val="center"/>
          </w:tcPr>
          <w:p w14:paraId="034265B8">
            <w:pPr>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在厂区内医疗废物暂存间</w:t>
            </w:r>
            <w:r>
              <w:rPr>
                <w:rFonts w:hint="eastAsia"/>
                <w:color w:val="auto"/>
                <w:szCs w:val="21"/>
              </w:rPr>
              <w:t>暂存</w:t>
            </w:r>
            <w:r>
              <w:rPr>
                <w:rFonts w:hint="eastAsia"/>
                <w:color w:val="auto"/>
                <w:szCs w:val="21"/>
                <w:lang w:eastAsia="zh-CN"/>
              </w:rPr>
              <w:t>，委托有资质单位定期收集处理。</w:t>
            </w:r>
          </w:p>
        </w:tc>
        <w:tc>
          <w:tcPr>
            <w:tcW w:w="190" w:type="pct"/>
            <w:vAlign w:val="center"/>
          </w:tcPr>
          <w:p w14:paraId="75C6F812">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277" w:type="pct"/>
            <w:vAlign w:val="center"/>
          </w:tcPr>
          <w:p w14:paraId="425739B0">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0997B6DA">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0D9F2C07">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3C8B989B">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yellow"/>
                <w:lang w:val="en-US" w:eastAsia="zh-CN"/>
              </w:rPr>
            </w:pPr>
            <w:r>
              <w:rPr>
                <w:rFonts w:hint="eastAsia"/>
                <w:color w:val="auto"/>
                <w:szCs w:val="21"/>
                <w:highlight w:val="none"/>
                <w:lang w:val="en-US" w:eastAsia="zh-CN"/>
              </w:rPr>
              <w:t>-</w:t>
            </w:r>
          </w:p>
        </w:tc>
        <w:tc>
          <w:tcPr>
            <w:tcW w:w="351" w:type="pct"/>
            <w:vAlign w:val="center"/>
          </w:tcPr>
          <w:p w14:paraId="3E642358">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yellow"/>
                <w:lang w:val="en-US" w:eastAsia="zh-CN" w:bidi="ar-SA"/>
              </w:rPr>
            </w:pPr>
            <w:r>
              <w:rPr>
                <w:rFonts w:hint="eastAsia"/>
                <w:color w:val="auto"/>
                <w:szCs w:val="21"/>
                <w:highlight w:val="none"/>
                <w:lang w:val="en-US" w:eastAsia="zh-CN"/>
              </w:rPr>
              <w:t>-</w:t>
            </w:r>
          </w:p>
        </w:tc>
        <w:tc>
          <w:tcPr>
            <w:tcW w:w="276" w:type="pct"/>
            <w:vAlign w:val="center"/>
          </w:tcPr>
          <w:p w14:paraId="307B7471">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r w14:paraId="73D81BD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 w:type="pct"/>
            <w:vMerge w:val="continue"/>
            <w:vAlign w:val="center"/>
          </w:tcPr>
          <w:p w14:paraId="7E9AB634">
            <w:pPr>
              <w:jc w:val="center"/>
              <w:rPr>
                <w:color w:val="auto"/>
                <w:szCs w:val="21"/>
              </w:rPr>
            </w:pPr>
          </w:p>
        </w:tc>
        <w:tc>
          <w:tcPr>
            <w:tcW w:w="473" w:type="pct"/>
            <w:gridSpan w:val="2"/>
            <w:vAlign w:val="center"/>
          </w:tcPr>
          <w:p w14:paraId="2B830433">
            <w:pPr>
              <w:tabs>
                <w:tab w:val="left" w:pos="5295"/>
              </w:tabs>
              <w:jc w:val="center"/>
              <w:rPr>
                <w:rFonts w:ascii="Times New Roman" w:hAnsi="Times New Roman" w:eastAsia="宋体" w:cs="Times New Roman"/>
                <w:color w:val="auto"/>
                <w:kern w:val="2"/>
                <w:sz w:val="21"/>
                <w:szCs w:val="21"/>
                <w:lang w:val="en-US" w:eastAsia="zh-CN" w:bidi="ar-SA"/>
              </w:rPr>
            </w:pPr>
            <w:r>
              <w:rPr>
                <w:color w:val="auto"/>
                <w:szCs w:val="21"/>
              </w:rPr>
              <w:t>职工</w:t>
            </w:r>
          </w:p>
        </w:tc>
        <w:tc>
          <w:tcPr>
            <w:tcW w:w="459" w:type="pct"/>
            <w:gridSpan w:val="2"/>
            <w:vAlign w:val="center"/>
          </w:tcPr>
          <w:p w14:paraId="5678DC1A">
            <w:pPr>
              <w:tabs>
                <w:tab w:val="left" w:pos="5295"/>
              </w:tabs>
              <w:jc w:val="center"/>
              <w:rPr>
                <w:rFonts w:hint="eastAsia" w:ascii="Times New Roman" w:hAnsi="Times New Roman" w:eastAsia="宋体" w:cs="Times New Roman"/>
                <w:color w:val="auto"/>
                <w:kern w:val="2"/>
                <w:sz w:val="21"/>
                <w:szCs w:val="21"/>
                <w:lang w:val="en-US" w:eastAsia="zh-CN" w:bidi="ar-SA"/>
              </w:rPr>
            </w:pPr>
            <w:r>
              <w:rPr>
                <w:color w:val="auto"/>
                <w:szCs w:val="21"/>
              </w:rPr>
              <w:t>生活垃圾</w:t>
            </w:r>
          </w:p>
        </w:tc>
        <w:tc>
          <w:tcPr>
            <w:tcW w:w="320" w:type="pct"/>
            <w:vAlign w:val="center"/>
          </w:tcPr>
          <w:p w14:paraId="7CD6A46B">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260" w:type="pct"/>
            <w:vAlign w:val="center"/>
          </w:tcPr>
          <w:p w14:paraId="27B54FCC">
            <w:pPr>
              <w:jc w:val="center"/>
              <w:rPr>
                <w:rFonts w:hint="eastAsia"/>
                <w:color w:val="auto"/>
                <w:sz w:val="21"/>
                <w:szCs w:val="21"/>
                <w:highlight w:val="none"/>
              </w:rPr>
            </w:pPr>
            <w:r>
              <w:rPr>
                <w:rFonts w:hint="eastAsia"/>
                <w:color w:val="auto"/>
                <w:szCs w:val="21"/>
                <w:highlight w:val="none"/>
                <w:lang w:val="en-US" w:eastAsia="zh-CN"/>
              </w:rPr>
              <w:t>-</w:t>
            </w:r>
          </w:p>
        </w:tc>
        <w:tc>
          <w:tcPr>
            <w:tcW w:w="296" w:type="pct"/>
            <w:vAlign w:val="center"/>
          </w:tcPr>
          <w:p w14:paraId="427E458C">
            <w:pPr>
              <w:tabs>
                <w:tab w:val="left" w:pos="5295"/>
              </w:tabs>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10.95</w:t>
            </w:r>
          </w:p>
        </w:tc>
        <w:tc>
          <w:tcPr>
            <w:tcW w:w="867" w:type="pct"/>
            <w:vAlign w:val="center"/>
          </w:tcPr>
          <w:p w14:paraId="68E4EA63">
            <w:pPr>
              <w:tabs>
                <w:tab w:val="left" w:pos="5295"/>
              </w:tabs>
              <w:jc w:val="center"/>
              <w:rPr>
                <w:rFonts w:ascii="Times New Roman" w:hAnsi="Times New Roman" w:eastAsia="宋体" w:cs="Times New Roman"/>
                <w:color w:val="auto"/>
                <w:kern w:val="2"/>
                <w:sz w:val="21"/>
                <w:szCs w:val="21"/>
                <w:lang w:val="en-US" w:eastAsia="zh-CN" w:bidi="ar-SA"/>
              </w:rPr>
            </w:pPr>
            <w:r>
              <w:rPr>
                <w:color w:val="auto"/>
                <w:szCs w:val="21"/>
              </w:rPr>
              <w:t>收集到厂内</w:t>
            </w:r>
            <w:r>
              <w:rPr>
                <w:rFonts w:hint="eastAsia"/>
                <w:color w:val="auto"/>
                <w:szCs w:val="21"/>
              </w:rPr>
              <w:t>5</w:t>
            </w:r>
            <w:r>
              <w:rPr>
                <w:color w:val="auto"/>
                <w:szCs w:val="21"/>
              </w:rPr>
              <w:t>个垃圾箱内，定期送至附近垃圾点</w:t>
            </w:r>
          </w:p>
        </w:tc>
        <w:tc>
          <w:tcPr>
            <w:tcW w:w="190" w:type="pct"/>
            <w:vAlign w:val="center"/>
          </w:tcPr>
          <w:p w14:paraId="6DDA136C">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277" w:type="pct"/>
            <w:vAlign w:val="center"/>
          </w:tcPr>
          <w:p w14:paraId="22FFEA7B">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65" w:type="pct"/>
            <w:vAlign w:val="center"/>
          </w:tcPr>
          <w:p w14:paraId="168FA5A4">
            <w:pPr>
              <w:pStyle w:val="434"/>
              <w:jc w:val="center"/>
              <w:rPr>
                <w:rFonts w:hint="eastAsia"/>
                <w:color w:val="auto"/>
                <w:sz w:val="21"/>
                <w:szCs w:val="21"/>
                <w:highlight w:val="none"/>
              </w:rPr>
            </w:pPr>
            <w:r>
              <w:rPr>
                <w:rFonts w:hint="eastAsia"/>
                <w:color w:val="auto"/>
                <w:szCs w:val="21"/>
                <w:highlight w:val="none"/>
                <w:lang w:val="en-US" w:eastAsia="zh-CN"/>
              </w:rPr>
              <w:t>-</w:t>
            </w:r>
          </w:p>
        </w:tc>
        <w:tc>
          <w:tcPr>
            <w:tcW w:w="338" w:type="pct"/>
            <w:vAlign w:val="center"/>
          </w:tcPr>
          <w:p w14:paraId="0399178C">
            <w:pPr>
              <w:pStyle w:val="434"/>
              <w:jc w:val="center"/>
              <w:rPr>
                <w:rFonts w:hint="eastAsia"/>
                <w:color w:val="auto"/>
                <w:sz w:val="21"/>
                <w:szCs w:val="21"/>
                <w:highlight w:val="none"/>
              </w:rPr>
            </w:pPr>
            <w:r>
              <w:rPr>
                <w:rFonts w:hint="eastAsia"/>
                <w:color w:val="auto"/>
                <w:sz w:val="21"/>
                <w:szCs w:val="21"/>
                <w:highlight w:val="none"/>
                <w:lang w:val="en-US" w:eastAsia="zh-CN"/>
              </w:rPr>
              <w:t>0</w:t>
            </w:r>
          </w:p>
        </w:tc>
        <w:tc>
          <w:tcPr>
            <w:tcW w:w="393" w:type="pct"/>
            <w:vAlign w:val="center"/>
          </w:tcPr>
          <w:p w14:paraId="7073C80B">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yellow"/>
                <w:lang w:val="en-US" w:eastAsia="zh-CN"/>
              </w:rPr>
            </w:pPr>
            <w:r>
              <w:rPr>
                <w:rFonts w:hint="eastAsia"/>
                <w:color w:val="auto"/>
                <w:szCs w:val="21"/>
                <w:highlight w:val="none"/>
                <w:lang w:val="en-US" w:eastAsia="zh-CN"/>
              </w:rPr>
              <w:t>-</w:t>
            </w:r>
          </w:p>
        </w:tc>
        <w:tc>
          <w:tcPr>
            <w:tcW w:w="351" w:type="pct"/>
            <w:vAlign w:val="center"/>
          </w:tcPr>
          <w:p w14:paraId="708749F5">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s="Times New Roman"/>
                <w:color w:val="auto"/>
                <w:kern w:val="2"/>
                <w:sz w:val="21"/>
                <w:szCs w:val="21"/>
                <w:highlight w:val="yellow"/>
                <w:lang w:val="en-US" w:eastAsia="zh-CN" w:bidi="ar-SA"/>
              </w:rPr>
            </w:pPr>
            <w:r>
              <w:rPr>
                <w:rFonts w:hint="eastAsia"/>
                <w:color w:val="auto"/>
                <w:szCs w:val="21"/>
                <w:highlight w:val="none"/>
                <w:lang w:val="en-US" w:eastAsia="zh-CN"/>
              </w:rPr>
              <w:t>-</w:t>
            </w:r>
          </w:p>
        </w:tc>
        <w:tc>
          <w:tcPr>
            <w:tcW w:w="276" w:type="pct"/>
            <w:vAlign w:val="center"/>
          </w:tcPr>
          <w:p w14:paraId="0E7A1A0A">
            <w:pPr>
              <w:keepNext w:val="0"/>
              <w:keepLines w:val="0"/>
              <w:pageBreakBefore w:val="0"/>
              <w:kinsoku/>
              <w:wordWrap/>
              <w:overflowPunct/>
              <w:topLinePunct w:val="0"/>
              <w:autoSpaceDE/>
              <w:autoSpaceDN/>
              <w:bidi w:val="0"/>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是</w:t>
            </w:r>
          </w:p>
        </w:tc>
      </w:tr>
    </w:tbl>
    <w:p w14:paraId="115EFFB6">
      <w:pPr>
        <w:rPr>
          <w:color w:val="auto"/>
        </w:rPr>
      </w:pPr>
    </w:p>
    <w:p w14:paraId="00273D65">
      <w:pPr>
        <w:rPr>
          <w:color w:val="auto"/>
        </w:rPr>
      </w:pPr>
    </w:p>
    <w:p w14:paraId="2D2B8AEA">
      <w:pPr>
        <w:pStyle w:val="37"/>
        <w:rPr>
          <w:color w:val="auto"/>
        </w:rPr>
        <w:sectPr>
          <w:pgSz w:w="23811" w:h="16838"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136CAD4F">
      <w:pPr>
        <w:pStyle w:val="2"/>
        <w:tabs>
          <w:tab w:val="left" w:pos="360"/>
        </w:tabs>
        <w:spacing w:line="360" w:lineRule="auto"/>
        <w:ind w:left="0"/>
        <w:jc w:val="both"/>
        <w:rPr>
          <w:rFonts w:ascii="Times New Roman" w:eastAsia="宋体"/>
          <w:color w:val="auto"/>
          <w:sz w:val="32"/>
          <w:szCs w:val="32"/>
        </w:rPr>
      </w:pPr>
      <w:bookmarkStart w:id="204" w:name="_Toc23007"/>
      <w:bookmarkStart w:id="205" w:name="_Toc30944"/>
      <w:r>
        <w:rPr>
          <w:rFonts w:ascii="Times New Roman" w:eastAsia="宋体"/>
          <w:bCs/>
          <w:color w:val="auto"/>
          <w:sz w:val="32"/>
          <w:szCs w:val="32"/>
        </w:rPr>
        <w:t>4、</w:t>
      </w:r>
      <w:r>
        <w:rPr>
          <w:rFonts w:ascii="Times New Roman" w:eastAsia="宋体"/>
          <w:color w:val="auto"/>
          <w:sz w:val="32"/>
          <w:szCs w:val="32"/>
        </w:rPr>
        <w:t>环境现状调查与评价</w:t>
      </w:r>
      <w:bookmarkEnd w:id="197"/>
      <w:bookmarkEnd w:id="198"/>
      <w:bookmarkEnd w:id="199"/>
      <w:bookmarkEnd w:id="200"/>
      <w:bookmarkEnd w:id="201"/>
      <w:bookmarkEnd w:id="202"/>
      <w:bookmarkEnd w:id="204"/>
      <w:bookmarkEnd w:id="205"/>
    </w:p>
    <w:p w14:paraId="20AC041E">
      <w:pPr>
        <w:pStyle w:val="389"/>
        <w:rPr>
          <w:color w:val="auto"/>
        </w:rPr>
      </w:pPr>
      <w:bookmarkStart w:id="206" w:name="_Toc24027899"/>
      <w:bookmarkStart w:id="207" w:name="_Toc448693431"/>
      <w:bookmarkStart w:id="208" w:name="_Toc448771396"/>
      <w:bookmarkStart w:id="209" w:name="_Toc448765661"/>
      <w:bookmarkStart w:id="210" w:name="_Toc446938387"/>
      <w:bookmarkStart w:id="211" w:name="_Toc448693353"/>
      <w:bookmarkStart w:id="212" w:name="_Toc14404"/>
      <w:bookmarkStart w:id="213" w:name="_Toc26659"/>
      <w:r>
        <w:rPr>
          <w:color w:val="auto"/>
        </w:rPr>
        <w:t>4.1自然环境状况</w:t>
      </w:r>
      <w:bookmarkEnd w:id="206"/>
      <w:bookmarkEnd w:id="207"/>
      <w:bookmarkEnd w:id="208"/>
      <w:bookmarkEnd w:id="209"/>
      <w:bookmarkEnd w:id="210"/>
      <w:bookmarkEnd w:id="211"/>
      <w:bookmarkEnd w:id="212"/>
      <w:bookmarkEnd w:id="213"/>
    </w:p>
    <w:p w14:paraId="2123BF96">
      <w:pPr>
        <w:pStyle w:val="192"/>
        <w:rPr>
          <w:color w:val="auto"/>
          <w:highlight w:val="none"/>
        </w:rPr>
      </w:pPr>
      <w:bookmarkStart w:id="214" w:name="_Toc440874807"/>
      <w:bookmarkStart w:id="215" w:name="_Toc441053099"/>
      <w:bookmarkStart w:id="216" w:name="_Toc29543"/>
      <w:r>
        <w:rPr>
          <w:color w:val="auto"/>
        </w:rPr>
        <w:t>4.1.1建设项目地理位置</w:t>
      </w:r>
      <w:bookmarkEnd w:id="214"/>
      <w:bookmarkEnd w:id="215"/>
      <w:bookmarkEnd w:id="216"/>
    </w:p>
    <w:p w14:paraId="3DD54D46">
      <w:pPr>
        <w:snapToGrid w:val="0"/>
        <w:spacing w:line="360" w:lineRule="auto"/>
        <w:ind w:firstLine="480" w:firstLineChars="200"/>
        <w:jc w:val="left"/>
        <w:rPr>
          <w:color w:val="auto"/>
          <w:kern w:val="0"/>
          <w:sz w:val="24"/>
          <w:highlight w:val="none"/>
          <w:lang w:bidi="zh-CN"/>
        </w:rPr>
      </w:pPr>
      <w:r>
        <w:rPr>
          <w:rFonts w:hint="eastAsia"/>
          <w:color w:val="auto"/>
          <w:kern w:val="0"/>
          <w:sz w:val="24"/>
          <w:highlight w:val="none"/>
          <w:lang w:bidi="zh-CN"/>
        </w:rPr>
        <w:t>本项目位于</w:t>
      </w:r>
      <w:r>
        <w:rPr>
          <w:rFonts w:hint="eastAsia"/>
          <w:color w:val="auto"/>
          <w:sz w:val="24"/>
          <w:highlight w:val="none"/>
          <w:lang w:eastAsia="zh-CN"/>
        </w:rPr>
        <w:t>辽宁省朝阳市北票市西官镇大巴里村</w:t>
      </w:r>
      <w:r>
        <w:rPr>
          <w:color w:val="auto"/>
          <w:kern w:val="0"/>
          <w:sz w:val="24"/>
          <w:highlight w:val="none"/>
          <w:lang w:bidi="zh-CN"/>
        </w:rPr>
        <w:t>。</w:t>
      </w:r>
      <w:r>
        <w:rPr>
          <w:rFonts w:hint="default" w:ascii="Times New Roman" w:hAnsi="Times New Roman" w:cs="Times New Roman"/>
          <w:color w:val="auto"/>
          <w:kern w:val="0"/>
          <w:sz w:val="24"/>
          <w:highlight w:val="none"/>
          <w:lang w:bidi="zh-CN"/>
        </w:rPr>
        <w:t>地理位置为N：120°37′41.61443″，E：41°51′37.99692″</w:t>
      </w:r>
      <w:r>
        <w:rPr>
          <w:color w:val="auto"/>
          <w:kern w:val="0"/>
          <w:sz w:val="24"/>
          <w:highlight w:val="none"/>
          <w:lang w:bidi="zh-CN"/>
        </w:rPr>
        <w:t>。北票市位于辽宁省西部，朝阳市东北部，大凌河中游，亚沿海地区，。</w:t>
      </w:r>
    </w:p>
    <w:p w14:paraId="1A335ECB">
      <w:pPr>
        <w:snapToGrid w:val="0"/>
        <w:spacing w:line="360" w:lineRule="auto"/>
        <w:ind w:firstLine="480" w:firstLineChars="200"/>
        <w:jc w:val="left"/>
        <w:rPr>
          <w:color w:val="auto"/>
          <w:kern w:val="0"/>
          <w:sz w:val="24"/>
          <w:highlight w:val="none"/>
          <w:lang w:bidi="zh-CN"/>
        </w:rPr>
      </w:pPr>
      <w:r>
        <w:rPr>
          <w:color w:val="auto"/>
          <w:kern w:val="0"/>
          <w:sz w:val="24"/>
          <w:highlight w:val="none"/>
          <w:lang w:bidi="zh-CN"/>
        </w:rPr>
        <w:t>北票市东西跨度22－86公里，南北跨度60-98公里，边界周长300公里，面积4466平方公里。现北票市共辖8镇20乡﹑1个办事处﹑1个开发区﹑1个特别管理区6个城市管理区。汉、蒙、回、满、朝鲜、壮、锡伯等24个民族共同居住，总人口约62.2万人。</w:t>
      </w:r>
    </w:p>
    <w:p w14:paraId="66C2528E">
      <w:pPr>
        <w:snapToGrid w:val="0"/>
        <w:spacing w:line="360" w:lineRule="auto"/>
        <w:ind w:firstLine="480" w:firstLineChars="200"/>
        <w:jc w:val="left"/>
        <w:rPr>
          <w:color w:val="auto"/>
          <w:kern w:val="0"/>
          <w:sz w:val="24"/>
          <w:highlight w:val="none"/>
          <w:lang w:bidi="zh-CN"/>
        </w:rPr>
      </w:pPr>
      <w:r>
        <w:rPr>
          <w:color w:val="auto"/>
          <w:kern w:val="0"/>
          <w:sz w:val="24"/>
          <w:highlight w:val="none"/>
          <w:lang w:bidi="zh-CN"/>
        </w:rPr>
        <w:t>北票市西北、北与内蒙古自治区敖汉旗、奈曼旗为邻，东与阜新内蒙古自治县相连，东南、南与义县、锦县毗邻，西南与朝阳市龙城区相接。</w:t>
      </w:r>
    </w:p>
    <w:p w14:paraId="38BBAA0E">
      <w:pPr>
        <w:pStyle w:val="192"/>
        <w:rPr>
          <w:color w:val="auto"/>
        </w:rPr>
      </w:pPr>
      <w:bookmarkStart w:id="217" w:name="_Toc23653"/>
      <w:bookmarkStart w:id="218" w:name="_Toc440874808"/>
      <w:bookmarkStart w:id="219" w:name="_Toc441053100"/>
      <w:r>
        <w:rPr>
          <w:color w:val="auto"/>
        </w:rPr>
        <w:t>4.1.2水文</w:t>
      </w:r>
      <w:bookmarkEnd w:id="217"/>
    </w:p>
    <w:p w14:paraId="2369B07A">
      <w:pPr>
        <w:snapToGrid w:val="0"/>
        <w:spacing w:line="360" w:lineRule="auto"/>
        <w:ind w:firstLine="480" w:firstLineChars="200"/>
        <w:jc w:val="left"/>
        <w:rPr>
          <w:color w:val="auto"/>
          <w:kern w:val="0"/>
          <w:sz w:val="24"/>
          <w:lang w:bidi="zh-CN"/>
        </w:rPr>
      </w:pPr>
      <w:r>
        <w:rPr>
          <w:color w:val="auto"/>
          <w:kern w:val="0"/>
          <w:sz w:val="24"/>
          <w:lang w:bidi="zh-CN"/>
        </w:rPr>
        <w:t>北票市大、小河流十四条，均在大、小凌河流域内。大凌河流经北票市57km，流域面积占全市总面积的96.7%，其一级支流有牤牛河、凉水河、顾洞河、哈尔脑河等其他河流。根据大凌河站资料统计，大凌河多年平均径流量为17.32亿m</w:t>
      </w:r>
      <w:r>
        <w:rPr>
          <w:color w:val="auto"/>
          <w:kern w:val="0"/>
          <w:sz w:val="24"/>
          <w:vertAlign w:val="superscript"/>
          <w:lang w:bidi="zh-CN"/>
        </w:rPr>
        <w:t>3</w:t>
      </w:r>
      <w:r>
        <w:rPr>
          <w:color w:val="auto"/>
          <w:kern w:val="0"/>
          <w:sz w:val="24"/>
          <w:lang w:bidi="zh-CN"/>
        </w:rPr>
        <w:t>，7-9月径流量约占全年的60%，多年平均输沙量为2466.82万t，输沙量年内分配极不均匀，多集中在多年平均汛期(6-9月)，占全年总量的96.7%，悬移质泥沙颗粒较细，以粉沙为主，平均中值颗粒在0.0015-0.0214mm之间。小凌河在北票市支流有巴图营河、大岭河、白寺郎河，流域面积占全市总面积的3.3%。</w:t>
      </w:r>
    </w:p>
    <w:p w14:paraId="6A0EFE45">
      <w:pPr>
        <w:snapToGrid w:val="0"/>
        <w:spacing w:line="360" w:lineRule="auto"/>
        <w:ind w:firstLine="480" w:firstLineChars="200"/>
        <w:jc w:val="left"/>
        <w:rPr>
          <w:color w:val="auto"/>
          <w:kern w:val="0"/>
          <w:sz w:val="24"/>
          <w:lang w:bidi="zh-CN"/>
        </w:rPr>
      </w:pPr>
      <w:r>
        <w:rPr>
          <w:color w:val="auto"/>
          <w:kern w:val="0"/>
          <w:sz w:val="24"/>
          <w:lang w:bidi="zh-CN"/>
        </w:rPr>
        <w:t>北票市建有白石水库、龙潭水库、东山嘴水库、八家子水库等21座大中型水库，其中白石水库上游流域占全市总面积的87.5%。北票市人均占有水量500m</w:t>
      </w:r>
      <w:r>
        <w:rPr>
          <w:color w:val="auto"/>
          <w:kern w:val="0"/>
          <w:sz w:val="24"/>
          <w:vertAlign w:val="superscript"/>
          <w:lang w:bidi="zh-CN"/>
        </w:rPr>
        <w:t>3</w:t>
      </w:r>
      <w:r>
        <w:rPr>
          <w:color w:val="auto"/>
          <w:kern w:val="0"/>
          <w:sz w:val="24"/>
          <w:lang w:bidi="zh-CN"/>
        </w:rPr>
        <w:t>，水资源比较匮乏，降雨年际变化大，年内分布不均，地表径流年际分布主要在汛期（7-9月）。由于降雨集中，汇流历时短，植被稀疏，森林植被涵养水源的功能较低，大量降雨径流没能入渗，直接流入河流。并且由于连年干旱，地下水水位急剧下降，部分地区出现人畜饮水困难，随着各业发展和人口增长，用水量不断增加，水资源明显不足。</w:t>
      </w:r>
    </w:p>
    <w:p w14:paraId="5AB73928">
      <w:pPr>
        <w:pStyle w:val="192"/>
        <w:rPr>
          <w:color w:val="auto"/>
        </w:rPr>
      </w:pPr>
      <w:bookmarkStart w:id="220" w:name="_Toc32572"/>
      <w:r>
        <w:rPr>
          <w:color w:val="auto"/>
        </w:rPr>
        <w:t>4.1.3气象气候</w:t>
      </w:r>
      <w:bookmarkEnd w:id="218"/>
      <w:bookmarkEnd w:id="219"/>
      <w:bookmarkEnd w:id="220"/>
    </w:p>
    <w:p w14:paraId="7B83505A">
      <w:pPr>
        <w:pStyle w:val="23"/>
        <w:spacing w:after="0" w:line="360" w:lineRule="auto"/>
        <w:ind w:firstLine="480" w:firstLineChars="200"/>
        <w:jc w:val="left"/>
        <w:rPr>
          <w:color w:val="auto"/>
          <w:kern w:val="0"/>
          <w:sz w:val="24"/>
          <w:lang w:bidi="zh-CN"/>
        </w:rPr>
      </w:pPr>
      <w:bookmarkStart w:id="221" w:name="_Toc440874809"/>
      <w:bookmarkStart w:id="222" w:name="_Toc441053101"/>
      <w:r>
        <w:rPr>
          <w:color w:val="auto"/>
          <w:kern w:val="0"/>
          <w:sz w:val="24"/>
          <w:lang w:bidi="zh-CN"/>
        </w:rPr>
        <w:t>北票市属于温带季风半干旱、半湿润大陆性气候，多受西伯利亚和蒙古高压控制， 特点是春季偏旱、雨热同期、日照充足、秋季短、冬季冷、降雪少。多年平均气温在8℃左右，极端最低气温-26.4℃</w:t>
      </w:r>
      <w:r>
        <w:rPr>
          <w:rFonts w:hint="eastAsia"/>
          <w:color w:val="auto"/>
          <w:kern w:val="0"/>
          <w:sz w:val="24"/>
          <w:lang w:bidi="zh-CN"/>
        </w:rPr>
        <w:t>，</w:t>
      </w:r>
      <w:r>
        <w:rPr>
          <w:color w:val="auto"/>
          <w:kern w:val="0"/>
          <w:sz w:val="24"/>
          <w:lang w:bidi="zh-CN"/>
        </w:rPr>
        <w:t>极端最高气温40.7℃</w:t>
      </w:r>
      <w:r>
        <w:rPr>
          <w:rFonts w:hint="eastAsia"/>
          <w:color w:val="auto"/>
          <w:kern w:val="0"/>
          <w:sz w:val="24"/>
          <w:lang w:bidi="zh-CN"/>
        </w:rPr>
        <w:t>；</w:t>
      </w:r>
      <w:r>
        <w:rPr>
          <w:color w:val="auto"/>
          <w:kern w:val="0"/>
          <w:sz w:val="24"/>
          <w:lang w:bidi="zh-CN"/>
        </w:rPr>
        <w:t>多年平均无霜期140-150d；多年平均降雨量450-500mm之间，降雨量年季间变化较大，年内分布极不均匀，降雨量多集中在7-9月，多雷雨天气并伴有冰雹；≥10℃积温3500℃左右；年日照时数2846.7d；总辐射量180KJ；冬季以北风和西北风为主，夏季则以南风为主，平均风速2.8m/s，大风日数22d。</w:t>
      </w:r>
    </w:p>
    <w:bookmarkEnd w:id="221"/>
    <w:bookmarkEnd w:id="222"/>
    <w:p w14:paraId="015FA219">
      <w:pPr>
        <w:pStyle w:val="192"/>
        <w:rPr>
          <w:color w:val="auto"/>
        </w:rPr>
      </w:pPr>
      <w:bookmarkStart w:id="223" w:name="_Toc441053102"/>
      <w:bookmarkStart w:id="224" w:name="_Toc440874810"/>
      <w:bookmarkStart w:id="225" w:name="_Toc17073"/>
      <w:r>
        <w:rPr>
          <w:color w:val="auto"/>
        </w:rPr>
        <w:t>4.1.4地形、地貌、地质</w:t>
      </w:r>
      <w:bookmarkEnd w:id="223"/>
      <w:bookmarkEnd w:id="224"/>
      <w:bookmarkEnd w:id="225"/>
    </w:p>
    <w:p w14:paraId="1EA61FDE">
      <w:pPr>
        <w:pStyle w:val="23"/>
        <w:spacing w:after="0" w:line="360" w:lineRule="auto"/>
        <w:ind w:firstLine="480" w:firstLineChars="200"/>
        <w:rPr>
          <w:color w:val="auto"/>
          <w:kern w:val="0"/>
          <w:sz w:val="24"/>
          <w:lang w:bidi="zh-CN"/>
        </w:rPr>
      </w:pPr>
      <w:r>
        <w:rPr>
          <w:color w:val="auto"/>
          <w:kern w:val="0"/>
          <w:sz w:val="24"/>
          <w:lang w:bidi="zh-CN"/>
        </w:rPr>
        <w:t>北票市地处内蒙古高原与松辽平原结合部，以低山丘陵为主要地形特征，地势为北、北西偏高，南、南东偏低，燕山山系努鲁儿虎山脉之大青山呈北、北东向斜贯北票西部，主要山峰平顶山海拔1074m</w:t>
      </w:r>
      <w:r>
        <w:rPr>
          <w:rFonts w:hint="eastAsia"/>
          <w:color w:val="auto"/>
          <w:kern w:val="0"/>
          <w:sz w:val="24"/>
          <w:lang w:bidi="zh-CN"/>
        </w:rPr>
        <w:t>，</w:t>
      </w:r>
      <w:r>
        <w:rPr>
          <w:color w:val="auto"/>
          <w:kern w:val="0"/>
          <w:sz w:val="24"/>
          <w:lang w:bidi="zh-CN"/>
        </w:rPr>
        <w:t>南部为连绵起伏的松岭山脉，中部为海拔200m左右的丘陵。总的地形特点为四周高中间低，似为北封南开之盆地，按照地貌成因和形态特征分为四种类型。</w:t>
      </w:r>
    </w:p>
    <w:p w14:paraId="169DCA7C">
      <w:pPr>
        <w:pStyle w:val="23"/>
        <w:spacing w:after="0" w:line="360" w:lineRule="auto"/>
        <w:ind w:firstLine="480" w:firstLineChars="200"/>
        <w:rPr>
          <w:color w:val="auto"/>
          <w:kern w:val="0"/>
          <w:sz w:val="24"/>
          <w:lang w:bidi="zh-CN"/>
        </w:rPr>
      </w:pPr>
      <w:r>
        <w:rPr>
          <w:color w:val="auto"/>
          <w:kern w:val="0"/>
          <w:sz w:val="24"/>
          <w:lang w:bidi="zh-CN"/>
        </w:rPr>
        <w:t>(1)构造剥蚀中低山</w:t>
      </w:r>
    </w:p>
    <w:p w14:paraId="3C6352BD">
      <w:pPr>
        <w:pStyle w:val="23"/>
        <w:spacing w:after="0" w:line="360" w:lineRule="auto"/>
        <w:ind w:firstLine="480" w:firstLineChars="200"/>
        <w:rPr>
          <w:color w:val="auto"/>
          <w:kern w:val="0"/>
          <w:sz w:val="24"/>
          <w:lang w:bidi="zh-CN"/>
        </w:rPr>
      </w:pPr>
      <w:r>
        <w:rPr>
          <w:color w:val="auto"/>
          <w:kern w:val="0"/>
          <w:sz w:val="24"/>
          <w:lang w:bidi="zh-CN"/>
        </w:rPr>
        <w:t>部分位于北票北部的北四家子—瓦房，西部的西官营及东南部的小塔子地带，大致呈北东—南西向展布。一般海拔800-1000m，相对切割深度200-500m。山顶呈尖顶或圆顶状，岩石组成为火山岩、灰岩、砾岩、花岗岩。山脊呈波状，山势陡峭，呈陡坡或凸坡。坡角30°~40°</w:t>
      </w:r>
      <w:r>
        <w:rPr>
          <w:rFonts w:hint="eastAsia"/>
          <w:color w:val="auto"/>
          <w:kern w:val="0"/>
          <w:sz w:val="24"/>
          <w:lang w:bidi="zh-CN"/>
        </w:rPr>
        <w:t>，</w:t>
      </w:r>
      <w:r>
        <w:rPr>
          <w:color w:val="auto"/>
          <w:kern w:val="0"/>
          <w:sz w:val="24"/>
          <w:lang w:bidi="zh-CN"/>
        </w:rPr>
        <w:t>个别达60°</w:t>
      </w:r>
      <w:r>
        <w:rPr>
          <w:rFonts w:hint="eastAsia"/>
          <w:color w:val="auto"/>
          <w:kern w:val="0"/>
          <w:sz w:val="24"/>
          <w:lang w:bidi="zh-CN"/>
        </w:rPr>
        <w:t>，</w:t>
      </w:r>
      <w:r>
        <w:rPr>
          <w:color w:val="auto"/>
          <w:kern w:val="0"/>
          <w:sz w:val="24"/>
          <w:lang w:bidi="zh-CN"/>
        </w:rPr>
        <w:t>山间峡谷多呈“V”字形，少数呈“U”字形。</w:t>
      </w:r>
    </w:p>
    <w:p w14:paraId="0946F343">
      <w:pPr>
        <w:pStyle w:val="23"/>
        <w:spacing w:after="0" w:line="360" w:lineRule="auto"/>
        <w:ind w:firstLine="480" w:firstLineChars="200"/>
        <w:rPr>
          <w:color w:val="auto"/>
          <w:kern w:val="0"/>
          <w:sz w:val="24"/>
          <w:lang w:bidi="zh-CN"/>
        </w:rPr>
      </w:pPr>
      <w:r>
        <w:rPr>
          <w:color w:val="auto"/>
          <w:kern w:val="0"/>
          <w:sz w:val="24"/>
          <w:lang w:bidi="zh-CN"/>
        </w:rPr>
        <w:t>(2)剥蚀丘陵</w:t>
      </w:r>
    </w:p>
    <w:p w14:paraId="7B133A57">
      <w:pPr>
        <w:pStyle w:val="23"/>
        <w:spacing w:after="0" w:line="360" w:lineRule="auto"/>
        <w:ind w:firstLine="480" w:firstLineChars="200"/>
        <w:rPr>
          <w:color w:val="auto"/>
          <w:kern w:val="0"/>
          <w:sz w:val="24"/>
          <w:lang w:bidi="zh-CN"/>
        </w:rPr>
      </w:pPr>
      <w:r>
        <w:rPr>
          <w:color w:val="auto"/>
          <w:kern w:val="0"/>
          <w:sz w:val="24"/>
          <w:lang w:bidi="zh-CN"/>
        </w:rPr>
        <w:t>大部分地区均为剥蚀丘陵，一般海拔小于500m，相对切割深度100-300m，圆顶状为主，少数为尖顶状、平顶状、长梁状、长轴方向一般平行于河流的走向，坡角小于20°</w:t>
      </w:r>
      <w:r>
        <w:rPr>
          <w:rFonts w:hint="eastAsia"/>
          <w:color w:val="auto"/>
          <w:kern w:val="0"/>
          <w:sz w:val="24"/>
          <w:lang w:bidi="zh-CN"/>
        </w:rPr>
        <w:t>，</w:t>
      </w:r>
      <w:r>
        <w:rPr>
          <w:color w:val="auto"/>
          <w:kern w:val="0"/>
          <w:sz w:val="24"/>
          <w:lang w:bidi="zh-CN"/>
        </w:rPr>
        <w:t>由砂页岩、砾岩、火山岩等组成。有少数基岩冲沟，丘间比较开阔，往往形成丘间洼地。</w:t>
      </w:r>
    </w:p>
    <w:p w14:paraId="270FDB92">
      <w:pPr>
        <w:pStyle w:val="23"/>
        <w:spacing w:after="0" w:line="360" w:lineRule="auto"/>
        <w:ind w:firstLine="480" w:firstLineChars="200"/>
        <w:rPr>
          <w:color w:val="auto"/>
          <w:kern w:val="0"/>
          <w:sz w:val="24"/>
          <w:lang w:bidi="zh-CN"/>
        </w:rPr>
      </w:pPr>
      <w:r>
        <w:rPr>
          <w:color w:val="auto"/>
          <w:kern w:val="0"/>
          <w:sz w:val="24"/>
          <w:lang w:bidi="zh-CN"/>
        </w:rPr>
        <w:t>(3)坡洪积裙裾及山间谷地</w:t>
      </w:r>
    </w:p>
    <w:p w14:paraId="3A5A3CBC">
      <w:pPr>
        <w:pStyle w:val="23"/>
        <w:spacing w:after="0" w:line="360" w:lineRule="auto"/>
        <w:ind w:firstLine="480" w:firstLineChars="200"/>
        <w:rPr>
          <w:color w:val="auto"/>
          <w:kern w:val="0"/>
          <w:sz w:val="24"/>
          <w:lang w:bidi="zh-CN"/>
        </w:rPr>
      </w:pPr>
      <w:r>
        <w:rPr>
          <w:color w:val="auto"/>
          <w:kern w:val="0"/>
          <w:sz w:val="24"/>
          <w:lang w:bidi="zh-CN"/>
        </w:rPr>
        <w:t>分布于沟谷及山前地带，坡洪积裙裾地形微向河谷低山倾斜，近山处5°~7°</w:t>
      </w:r>
      <w:r>
        <w:rPr>
          <w:rFonts w:hint="eastAsia"/>
          <w:color w:val="auto"/>
          <w:kern w:val="0"/>
          <w:sz w:val="24"/>
          <w:lang w:bidi="zh-CN"/>
        </w:rPr>
        <w:t>，</w:t>
      </w:r>
      <w:r>
        <w:rPr>
          <w:color w:val="auto"/>
          <w:kern w:val="0"/>
          <w:sz w:val="24"/>
          <w:lang w:bidi="zh-CN"/>
        </w:rPr>
        <w:t>远山处3°~5°</w:t>
      </w:r>
      <w:r>
        <w:rPr>
          <w:rFonts w:hint="eastAsia"/>
          <w:color w:val="auto"/>
          <w:kern w:val="0"/>
          <w:sz w:val="24"/>
          <w:lang w:bidi="zh-CN"/>
        </w:rPr>
        <w:t>，</w:t>
      </w:r>
      <w:r>
        <w:rPr>
          <w:color w:val="auto"/>
          <w:kern w:val="0"/>
          <w:sz w:val="24"/>
          <w:lang w:bidi="zh-CN"/>
        </w:rPr>
        <w:t>长度200～500m，前缘与一级阶地或河漫滩、山间谷地呈陡坎相接，坎高5~10m，其上冲沟发育，深度变化较大；后缘向山区或丘陵过度；山间谷地为向沟谷及下游倾斜的长条形，横跨面呈“V”型，长5～20km不等，宽0.5～2km，坡角4°~6°</w:t>
      </w:r>
      <w:r>
        <w:rPr>
          <w:rFonts w:hint="eastAsia"/>
          <w:color w:val="auto"/>
          <w:kern w:val="0"/>
          <w:sz w:val="24"/>
          <w:lang w:bidi="zh-CN"/>
        </w:rPr>
        <w:t>，</w:t>
      </w:r>
      <w:r>
        <w:rPr>
          <w:color w:val="auto"/>
          <w:kern w:val="0"/>
          <w:sz w:val="24"/>
          <w:lang w:bidi="zh-CN"/>
        </w:rPr>
        <w:t>局局部低洼处被暂时流水占据。</w:t>
      </w:r>
    </w:p>
    <w:p w14:paraId="3E8AE155">
      <w:pPr>
        <w:pStyle w:val="23"/>
        <w:spacing w:after="0" w:line="360" w:lineRule="auto"/>
        <w:ind w:firstLine="480" w:firstLineChars="200"/>
        <w:rPr>
          <w:color w:val="auto"/>
          <w:kern w:val="0"/>
          <w:sz w:val="24"/>
          <w:lang w:bidi="zh-CN"/>
        </w:rPr>
      </w:pPr>
      <w:r>
        <w:rPr>
          <w:color w:val="auto"/>
          <w:kern w:val="0"/>
          <w:sz w:val="24"/>
          <w:lang w:bidi="zh-CN"/>
        </w:rPr>
        <w:t>两个单元间无明显界线，主要由中、上更新统的棕红色块状亚粘土及砂质粘土组成。</w:t>
      </w:r>
    </w:p>
    <w:p w14:paraId="2B063C23">
      <w:pPr>
        <w:pStyle w:val="23"/>
        <w:spacing w:after="0" w:line="360" w:lineRule="auto"/>
        <w:ind w:firstLine="480" w:firstLineChars="200"/>
        <w:rPr>
          <w:color w:val="auto"/>
          <w:kern w:val="0"/>
          <w:sz w:val="24"/>
          <w:lang w:bidi="zh-CN"/>
        </w:rPr>
      </w:pPr>
      <w:r>
        <w:rPr>
          <w:color w:val="auto"/>
          <w:kern w:val="0"/>
          <w:sz w:val="24"/>
          <w:lang w:bidi="zh-CN"/>
        </w:rPr>
        <w:t>(4)河谷平原</w:t>
      </w:r>
    </w:p>
    <w:p w14:paraId="3BCEDA9A">
      <w:pPr>
        <w:pStyle w:val="23"/>
        <w:spacing w:after="0" w:line="360" w:lineRule="auto"/>
        <w:ind w:firstLine="480" w:firstLineChars="200"/>
        <w:rPr>
          <w:color w:val="auto"/>
          <w:kern w:val="0"/>
          <w:sz w:val="24"/>
          <w:lang w:bidi="zh-CN"/>
        </w:rPr>
      </w:pPr>
      <w:r>
        <w:rPr>
          <w:color w:val="auto"/>
          <w:kern w:val="0"/>
          <w:sz w:val="24"/>
          <w:lang w:bidi="zh-CN"/>
        </w:rPr>
        <w:t>沿大凌河流域及其支流呈条带状分布，包括一级阶地、河床及河漫滩。</w:t>
      </w:r>
    </w:p>
    <w:p w14:paraId="0C9A7BED">
      <w:pPr>
        <w:pStyle w:val="23"/>
        <w:spacing w:after="0" w:line="360" w:lineRule="auto"/>
        <w:ind w:firstLine="480" w:firstLineChars="200"/>
        <w:rPr>
          <w:color w:val="auto"/>
          <w:kern w:val="0"/>
          <w:sz w:val="24"/>
          <w:lang w:bidi="zh-CN"/>
        </w:rPr>
      </w:pPr>
      <w:r>
        <w:rPr>
          <w:color w:val="auto"/>
          <w:kern w:val="0"/>
          <w:sz w:val="24"/>
          <w:lang w:bidi="zh-CN"/>
        </w:rPr>
        <w:t>①冲积一级阶地</w:t>
      </w:r>
    </w:p>
    <w:p w14:paraId="25F6206F">
      <w:pPr>
        <w:pStyle w:val="23"/>
        <w:spacing w:after="0" w:line="360" w:lineRule="auto"/>
        <w:ind w:firstLine="480" w:firstLineChars="200"/>
        <w:rPr>
          <w:color w:val="auto"/>
          <w:kern w:val="0"/>
          <w:sz w:val="24"/>
          <w:lang w:bidi="zh-CN"/>
        </w:rPr>
      </w:pPr>
      <w:r>
        <w:rPr>
          <w:color w:val="auto"/>
          <w:kern w:val="0"/>
          <w:sz w:val="24"/>
          <w:lang w:bidi="zh-CN"/>
        </w:rPr>
        <w:t>呈条带状不对称分布于大凌河两侧，宽0.5-2km，个别地段宽达4-5km。阶地前缘与河床、河漫滩呈陡坎相接，坎高0.5-3.5m，个别地段为缓坡相接。后缘与洪基裙裾或基岩相接。</w:t>
      </w:r>
    </w:p>
    <w:p w14:paraId="76943BF4">
      <w:pPr>
        <w:pStyle w:val="23"/>
        <w:spacing w:after="0" w:line="360" w:lineRule="auto"/>
        <w:ind w:firstLine="480" w:firstLineChars="200"/>
        <w:rPr>
          <w:color w:val="auto"/>
          <w:kern w:val="0"/>
          <w:sz w:val="24"/>
          <w:lang w:bidi="zh-CN"/>
        </w:rPr>
      </w:pPr>
      <w:r>
        <w:rPr>
          <w:color w:val="auto"/>
          <w:kern w:val="0"/>
          <w:sz w:val="24"/>
          <w:lang w:bidi="zh-CN"/>
        </w:rPr>
        <w:t>阶地地面平坦，微向河谷倾斜，坡度约1°~2°</w:t>
      </w:r>
      <w:r>
        <w:rPr>
          <w:rFonts w:hint="eastAsia"/>
          <w:color w:val="auto"/>
          <w:kern w:val="0"/>
          <w:sz w:val="24"/>
          <w:lang w:bidi="zh-CN"/>
        </w:rPr>
        <w:t>，</w:t>
      </w:r>
      <w:r>
        <w:rPr>
          <w:color w:val="auto"/>
          <w:kern w:val="0"/>
          <w:sz w:val="24"/>
          <w:lang w:bidi="zh-CN"/>
        </w:rPr>
        <w:t>由全新统冲积物组成。</w:t>
      </w:r>
    </w:p>
    <w:p w14:paraId="6D168C10">
      <w:pPr>
        <w:pStyle w:val="23"/>
        <w:spacing w:after="0" w:line="360" w:lineRule="auto"/>
        <w:ind w:firstLine="480" w:firstLineChars="200"/>
        <w:rPr>
          <w:color w:val="auto"/>
          <w:kern w:val="0"/>
          <w:sz w:val="24"/>
          <w:lang w:bidi="zh-CN"/>
        </w:rPr>
      </w:pPr>
      <w:r>
        <w:rPr>
          <w:color w:val="auto"/>
          <w:kern w:val="0"/>
          <w:sz w:val="24"/>
          <w:lang w:bidi="zh-CN"/>
        </w:rPr>
        <w:t>②河漫滩</w:t>
      </w:r>
    </w:p>
    <w:p w14:paraId="4729BFCA">
      <w:pPr>
        <w:pStyle w:val="23"/>
        <w:spacing w:after="0" w:line="360" w:lineRule="auto"/>
        <w:ind w:firstLine="480" w:firstLineChars="200"/>
        <w:rPr>
          <w:color w:val="auto"/>
          <w:kern w:val="0"/>
          <w:sz w:val="24"/>
          <w:lang w:bidi="zh-CN"/>
        </w:rPr>
      </w:pPr>
      <w:r>
        <w:rPr>
          <w:color w:val="auto"/>
          <w:kern w:val="0"/>
          <w:sz w:val="24"/>
          <w:lang w:bidi="zh-CN"/>
        </w:rPr>
        <w:t>不对称的发育与河谷两侧，局部见有河心滩，宽度变化大，一般0.5～1km。河漫滩表面起伏不平，前缘与河床呈过渡关系或以0.5m高之陡坎相接，后缘和一级阶地、坡洪积裙裾或基岩相接。由全新统的亚砂土、砂砾卵石组成。</w:t>
      </w:r>
    </w:p>
    <w:p w14:paraId="23F5E4E9">
      <w:pPr>
        <w:pStyle w:val="192"/>
        <w:rPr>
          <w:color w:val="auto"/>
        </w:rPr>
      </w:pPr>
      <w:bookmarkStart w:id="226" w:name="_Toc440874811"/>
      <w:bookmarkStart w:id="227" w:name="_Toc441053103"/>
      <w:bookmarkStart w:id="228" w:name="_Toc25625"/>
      <w:r>
        <w:rPr>
          <w:color w:val="auto"/>
        </w:rPr>
        <w:t>4.1.5植被、生物多样性</w:t>
      </w:r>
      <w:bookmarkEnd w:id="226"/>
      <w:bookmarkEnd w:id="227"/>
      <w:bookmarkEnd w:id="228"/>
    </w:p>
    <w:p w14:paraId="3FB2CD85">
      <w:pPr>
        <w:pStyle w:val="23"/>
        <w:spacing w:after="0" w:line="360" w:lineRule="auto"/>
        <w:ind w:firstLine="480" w:firstLineChars="200"/>
        <w:jc w:val="left"/>
        <w:rPr>
          <w:color w:val="auto"/>
          <w:kern w:val="0"/>
          <w:sz w:val="24"/>
          <w:lang w:bidi="zh-CN"/>
        </w:rPr>
      </w:pPr>
      <w:r>
        <w:rPr>
          <w:rFonts w:hint="eastAsia"/>
          <w:color w:val="auto"/>
          <w:kern w:val="0"/>
          <w:sz w:val="24"/>
          <w:lang w:bidi="zh-CN"/>
        </w:rPr>
        <w:t>北票市</w:t>
      </w:r>
      <w:r>
        <w:rPr>
          <w:color w:val="auto"/>
          <w:kern w:val="0"/>
          <w:sz w:val="24"/>
          <w:lang w:bidi="zh-CN"/>
        </w:rPr>
        <w:t>生态地理类群具温带森林草原的特征，属华北类型区蒙新区系，兼有东北区系的代表品种。明代以前，曾是松林密布、水草丰美之所在。自清中期以后，移民放垦，毁林毁草，开荒种地，植被破坏严重，加之水土流失，环境污染，野生动植物损耗殆尽。野生植物主要有，木本的青杨、旱柳、沙柳、黄柳、山杏、酸枣、沙棘等；草本主要有蓿豆、紫花苜蓿、羊草、芦苇、猪毛菜、香蒲等；药用植物主要有甘草、麻黄、远志、防风等。野生动物主要有，兽类的狐、刺猬、大耳蝠、黄鼬、艾虎、黄鼠、蒙古兔等；鸟类主要有金雕、鹳、啄木鸟、猫头鹰、沙鸡、野鸭、鹌鹑、燕等；鱼类主要有鲫鱼、野鲤、鲶鱼、白漂子、泥鳅等；两栖与爬虫类主要有甲鱼、蟾蜍、青蛙、麻蜥等。</w:t>
      </w:r>
    </w:p>
    <w:p w14:paraId="2073716E">
      <w:pPr>
        <w:pStyle w:val="192"/>
        <w:rPr>
          <w:color w:val="auto"/>
        </w:rPr>
      </w:pPr>
      <w:bookmarkStart w:id="229" w:name="_Toc11641"/>
      <w:r>
        <w:rPr>
          <w:color w:val="auto"/>
        </w:rPr>
        <w:t>4.1.6土壤环境现状</w:t>
      </w:r>
      <w:bookmarkEnd w:id="229"/>
    </w:p>
    <w:p w14:paraId="644C9B88">
      <w:pPr>
        <w:spacing w:line="360" w:lineRule="auto"/>
        <w:ind w:left="28" w:right="-2" w:firstLine="480" w:firstLineChars="200"/>
        <w:rPr>
          <w:color w:val="auto"/>
          <w:sz w:val="24"/>
        </w:rPr>
      </w:pPr>
      <w:r>
        <w:rPr>
          <w:color w:val="auto"/>
          <w:sz w:val="24"/>
        </w:rPr>
        <w:t>土壤是历史自然产物，在不同的各种成土因素作用下，有其自然的发生发展规律。土壤分类就是根据这一规律，在系统认识土壤的基础上将土壤的外部形态与内部性质相同的或相近似的土壤，并入相当的分类单元中。</w:t>
      </w:r>
    </w:p>
    <w:p w14:paraId="25DB0CB3">
      <w:pPr>
        <w:pStyle w:val="68"/>
        <w:autoSpaceDE w:val="0"/>
        <w:autoSpaceDN w:val="0"/>
        <w:ind w:firstLine="480"/>
        <w:rPr>
          <w:color w:val="auto"/>
        </w:rPr>
      </w:pPr>
      <w:r>
        <w:rPr>
          <w:color w:val="auto"/>
        </w:rPr>
        <w:t>根据查阅资料，</w:t>
      </w:r>
      <w:r>
        <w:rPr>
          <w:rFonts w:hint="eastAsia"/>
          <w:color w:val="auto"/>
          <w:lang w:eastAsia="zh-CN"/>
        </w:rPr>
        <w:t>北票市</w:t>
      </w:r>
      <w:r>
        <w:rPr>
          <w:rFonts w:hint="eastAsia"/>
          <w:color w:val="auto"/>
        </w:rPr>
        <w:t>土壤剖面发生层次分化较明显，除部分特殊土壤外，一般均可划分出表土层、心土层及半风化母质层，同时还有一些过渡土层。由于植被保存良好，原始性强，覆盖度高，因而多数情况下都有枯枝落叶层。按海拔由低到高，土壤厚度有逐渐减小的趋势，坡麓土壤厚度可达2m以上，海拔1000m以下的土壤一般都可厚达1m以上，而海拔1000m以上土壤厚度多数在1m以下，有的不足50cm。土镶颜色以黄棕色为主，色调5YR-10YR，彩度较高，多数在6-8之间，而润态明度集中在5-8，表层土壤颜色较暗，明度都小于5.5。</w:t>
      </w:r>
    </w:p>
    <w:p w14:paraId="4E113958">
      <w:pPr>
        <w:pStyle w:val="68"/>
        <w:autoSpaceDE w:val="0"/>
        <w:autoSpaceDN w:val="0"/>
        <w:ind w:firstLine="480"/>
        <w:rPr>
          <w:color w:val="auto"/>
        </w:rPr>
      </w:pPr>
      <w:r>
        <w:rPr>
          <w:rFonts w:hint="eastAsia"/>
          <w:color w:val="auto"/>
        </w:rPr>
        <w:t>土壤质地则以壤土为主，海拔由低至高，土壤质地由粘镶土逐渐过渡到砂土，粘粒含量也随海拔高度的增加而减少，粘化率呈现下降趋势，反映了淋溶作用在低海拔地区较强烈，往上则逐渐减弱。</w:t>
      </w:r>
    </w:p>
    <w:p w14:paraId="083ED07D">
      <w:pPr>
        <w:pStyle w:val="68"/>
        <w:autoSpaceDE w:val="0"/>
        <w:autoSpaceDN w:val="0"/>
        <w:ind w:firstLine="480"/>
        <w:rPr>
          <w:color w:val="auto"/>
        </w:rPr>
      </w:pPr>
      <w:r>
        <w:rPr>
          <w:rFonts w:hint="eastAsia"/>
          <w:color w:val="auto"/>
          <w:lang w:eastAsia="zh-CN"/>
        </w:rPr>
        <w:t>项目区域</w:t>
      </w:r>
      <w:r>
        <w:rPr>
          <w:rFonts w:hint="eastAsia"/>
          <w:color w:val="auto"/>
        </w:rPr>
        <w:t>土壤自然肥力高，有机质含量丰富，按海拔由低到高，土壤有机碳含量有增大趋势，在中山中上部达到最高值，在山顶则有所下降，这与植物类型及其生物归还量有关。因为在中山上部，以裂叶白辛树、银荷木、南方铁杉等树种组成的常绿落叶阔叶混交林、针阔叶混交林，枯枝落叶多，生物归还量大，土壤有机质含量相对就高；而在山顶，由于其植被是以高山杜鹃、灯龙树、细叶莎草等灌丛矮林或草丛为主，枯枝落叶少，生物归还量低，因而土壤有机碳含量就低。同时，有机质在剖面分布不均匀，表聚性非常明显，表层含量高，向下则迅速降低。</w:t>
      </w:r>
    </w:p>
    <w:p w14:paraId="73E78A70">
      <w:pPr>
        <w:pStyle w:val="68"/>
        <w:autoSpaceDE w:val="0"/>
        <w:autoSpaceDN w:val="0"/>
        <w:ind w:firstLine="480"/>
        <w:rPr>
          <w:rFonts w:hint="eastAsia"/>
          <w:color w:val="auto"/>
        </w:rPr>
      </w:pPr>
      <w:r>
        <w:rPr>
          <w:rFonts w:hint="eastAsia"/>
          <w:color w:val="auto"/>
          <w:lang w:eastAsia="zh-CN"/>
        </w:rPr>
        <w:t>项目区域</w:t>
      </w:r>
      <w:r>
        <w:rPr>
          <w:rFonts w:hint="eastAsia"/>
          <w:color w:val="auto"/>
        </w:rPr>
        <w:t>土壤以酸性为主，呈强酸性反应，水解PH值在4.0～5.0之间，这是由于在中亚热带山地湿热气候条件下，土壤淋溶作用强烈，致使大量盐基离子淋失，使土壤胶体上的氢及铝离子占有更大优势而酸化。土壤的盐基饱和度低，呈高度不饱和状态，B层盐基饱和度在5.50%-19.06%之间，而铝饱和度则在63%以上，高的可达90.9%，表明</w:t>
      </w:r>
      <w:r>
        <w:rPr>
          <w:rFonts w:hint="eastAsia"/>
          <w:color w:val="auto"/>
          <w:lang w:eastAsia="zh-CN"/>
        </w:rPr>
        <w:t>北票市</w:t>
      </w:r>
      <w:r>
        <w:rPr>
          <w:rFonts w:hint="eastAsia"/>
          <w:color w:val="auto"/>
        </w:rPr>
        <w:t>土壤盐基淋失较严重，铝聚现象明显。</w:t>
      </w:r>
    </w:p>
    <w:p w14:paraId="166AA882">
      <w:pPr>
        <w:pStyle w:val="192"/>
        <w:rPr>
          <w:rFonts w:hint="eastAsia" w:ascii="Times New Roman" w:hAnsi="Times New Roman" w:eastAsia="宋体" w:cs="Times New Roman"/>
          <w:color w:val="auto"/>
        </w:rPr>
      </w:pPr>
      <w:bookmarkStart w:id="230" w:name="_Toc13757"/>
      <w:r>
        <w:rPr>
          <w:rFonts w:hint="eastAsia" w:ascii="Times New Roman" w:hAnsi="Times New Roman" w:eastAsia="宋体" w:cs="Times New Roman"/>
          <w:color w:val="auto"/>
        </w:rPr>
        <w:t>4.1.</w:t>
      </w:r>
      <w:r>
        <w:rPr>
          <w:rFonts w:hint="eastAsia" w:ascii="Times New Roman" w:hAnsi="Times New Roman" w:eastAsia="宋体" w:cs="Times New Roman"/>
          <w:color w:val="auto"/>
          <w:lang w:val="en-US" w:eastAsia="zh-CN"/>
        </w:rPr>
        <w:t>7</w:t>
      </w:r>
      <w:r>
        <w:rPr>
          <w:rFonts w:hint="eastAsia" w:ascii="Times New Roman" w:hAnsi="Times New Roman" w:eastAsia="宋体" w:cs="Times New Roman"/>
          <w:color w:val="auto"/>
        </w:rPr>
        <w:t>水文地质</w:t>
      </w:r>
      <w:bookmarkEnd w:id="230"/>
    </w:p>
    <w:p w14:paraId="2A8D0A51">
      <w:pPr>
        <w:pStyle w:val="37"/>
        <w:rPr>
          <w:rFonts w:hint="eastAsia"/>
          <w:color w:val="auto"/>
        </w:rPr>
      </w:pPr>
      <w:r>
        <w:rPr>
          <w:rFonts w:hint="eastAsia"/>
          <w:color w:val="auto"/>
        </w:rPr>
        <w:t>1、地表水</w:t>
      </w:r>
    </w:p>
    <w:p w14:paraId="68AD1DBE">
      <w:pPr>
        <w:pStyle w:val="37"/>
        <w:rPr>
          <w:rFonts w:hint="eastAsia"/>
          <w:color w:val="auto"/>
        </w:rPr>
      </w:pPr>
      <w:r>
        <w:rPr>
          <w:rFonts w:hint="eastAsia"/>
          <w:color w:val="auto"/>
        </w:rPr>
        <w:t>北票市境内主要有大凌河、小凌河两水系。大凌河和牤牛河的支流及小凌河水系多为季节河，总计有大小河流1680余条，各支流均与次一级构造线平行，与主流呈直交或近似直交的格网水系，其中面积100平方公里以上流域的河流有13条，主要有大凌河、牤牛河、柳河、长皋河、蒙古营河、十八奤河、马友营河、老寨川河、黑城子河、西官营河、东官营河、顾洞河及巴图营河。</w:t>
      </w:r>
    </w:p>
    <w:p w14:paraId="4A274925">
      <w:pPr>
        <w:pStyle w:val="37"/>
        <w:rPr>
          <w:rFonts w:hint="eastAsia"/>
          <w:color w:val="auto"/>
        </w:rPr>
      </w:pPr>
      <w:r>
        <w:rPr>
          <w:rFonts w:hint="eastAsia"/>
          <w:color w:val="auto"/>
        </w:rPr>
        <w:t>北票市大、小河流十四条，均在大、小凌河流域内。大凌河流经北票市57km，流域面积占全市总面积的96.7%，其一级支流有牤牛河、凉水河、顾洞河、哈尔脑河等其他河流。根据大凌河站资料统计，大凌河多年平均径流量为17.32亿m</w:t>
      </w:r>
      <w:r>
        <w:rPr>
          <w:rFonts w:hint="eastAsia"/>
          <w:color w:val="auto"/>
          <w:vertAlign w:val="superscript"/>
        </w:rPr>
        <w:t>3</w:t>
      </w:r>
      <w:r>
        <w:rPr>
          <w:rFonts w:hint="eastAsia"/>
          <w:color w:val="auto"/>
        </w:rPr>
        <w:t>，7-9月径流量约占全年的60%，多年平均输沙量为2466.82万t，输沙量年内分配极不均匀，多集中在多年平均汛期(6-9月)，占全年总量的96.7%，悬移质泥沙颗粒较细，以粉沙为主，平均中值颗粒在0.0015-0.0214mm之间。小凌河在北票市支流有巴图营河、大岭河、白寺郎河，流域面积占全市总面积的3.3%。</w:t>
      </w:r>
    </w:p>
    <w:p w14:paraId="079F9874">
      <w:pPr>
        <w:pStyle w:val="37"/>
        <w:rPr>
          <w:rFonts w:hint="eastAsia"/>
          <w:color w:val="auto"/>
        </w:rPr>
      </w:pPr>
      <w:r>
        <w:rPr>
          <w:rFonts w:hint="eastAsia"/>
          <w:color w:val="auto"/>
        </w:rPr>
        <w:t>本项目距离最近的地表水为小四吉板东大沟，距本项目厂界直线距离760m，属于凉水河的一条支流，汇入凉水河后，进入白石水库。</w:t>
      </w:r>
    </w:p>
    <w:p w14:paraId="2B484827">
      <w:pPr>
        <w:pStyle w:val="37"/>
        <w:rPr>
          <w:rFonts w:hint="eastAsia"/>
          <w:color w:val="auto"/>
        </w:rPr>
      </w:pPr>
      <w:r>
        <w:rPr>
          <w:rFonts w:hint="eastAsia"/>
          <w:color w:val="auto"/>
        </w:rPr>
        <w:t>2、地下水</w:t>
      </w:r>
    </w:p>
    <w:p w14:paraId="1C4E1544">
      <w:pPr>
        <w:pStyle w:val="37"/>
        <w:rPr>
          <w:rFonts w:hint="eastAsia"/>
          <w:color w:val="auto"/>
        </w:rPr>
      </w:pPr>
      <w:r>
        <w:rPr>
          <w:rFonts w:hint="eastAsia"/>
          <w:color w:val="auto"/>
        </w:rPr>
        <w:t>（1）富水性分区</w:t>
      </w:r>
    </w:p>
    <w:p w14:paraId="70F8F6F2">
      <w:pPr>
        <w:pStyle w:val="37"/>
        <w:rPr>
          <w:rFonts w:hint="eastAsia"/>
          <w:color w:val="auto"/>
        </w:rPr>
      </w:pPr>
      <w:r>
        <w:rPr>
          <w:rFonts w:hint="eastAsia"/>
          <w:color w:val="auto"/>
        </w:rPr>
        <w:t>本扩建项目所在区域分布着三种地貌形态，分别为南北两侧的低山丘陵区、山前坡洪积扇群、河谷区冲洪积阶地。义县组安山岩、第四系下更新统、中更新统、上更新统、全新统均有不同程度出露。</w:t>
      </w:r>
    </w:p>
    <w:p w14:paraId="6980BD4E">
      <w:pPr>
        <w:pStyle w:val="37"/>
        <w:ind w:left="0" w:leftChars="0" w:firstLine="0" w:firstLineChars="0"/>
        <w:rPr>
          <w:rFonts w:hint="eastAsia"/>
          <w:color w:val="auto"/>
        </w:rPr>
      </w:pPr>
      <w:r>
        <w:rPr>
          <w:rFonts w:hint="eastAsia"/>
          <w:color w:val="auto"/>
        </w:rPr>
        <mc:AlternateContent>
          <mc:Choice Requires="wpg">
            <w:drawing>
              <wp:inline distT="0" distB="0" distL="114300" distR="114300">
                <wp:extent cx="5527040" cy="3715385"/>
                <wp:effectExtent l="12700" t="0" r="22860" b="24765"/>
                <wp:docPr id="125" name="组合 125"/>
                <wp:cNvGraphicFramePr/>
                <a:graphic xmlns:a="http://schemas.openxmlformats.org/drawingml/2006/main">
                  <a:graphicData uri="http://schemas.microsoft.com/office/word/2010/wordprocessingGroup">
                    <wpg:wgp>
                      <wpg:cNvGrpSpPr/>
                      <wpg:grpSpPr>
                        <a:xfrm>
                          <a:off x="0" y="0"/>
                          <a:ext cx="5527040" cy="3715385"/>
                          <a:chOff x="0" y="0"/>
                          <a:chExt cx="8704" cy="5850"/>
                        </a:xfrm>
                      </wpg:grpSpPr>
                      <pic:pic xmlns:pic="http://schemas.openxmlformats.org/drawingml/2006/picture">
                        <pic:nvPicPr>
                          <pic:cNvPr id="85" name="图片 3231"/>
                          <pic:cNvPicPr>
                            <a:picLocks noChangeAspect="1"/>
                          </pic:cNvPicPr>
                        </pic:nvPicPr>
                        <pic:blipFill>
                          <a:blip r:embed="rId32"/>
                          <a:stretch>
                            <a:fillRect/>
                          </a:stretch>
                        </pic:blipFill>
                        <pic:spPr>
                          <a:xfrm>
                            <a:off x="20" y="20"/>
                            <a:ext cx="8665" cy="5810"/>
                          </a:xfrm>
                          <a:prstGeom prst="rect">
                            <a:avLst/>
                          </a:prstGeom>
                          <a:noFill/>
                          <a:ln>
                            <a:noFill/>
                          </a:ln>
                        </pic:spPr>
                      </pic:pic>
                      <wps:wsp>
                        <wps:cNvPr id="86" name="任意多边形 86"/>
                        <wps:cNvSpPr/>
                        <wps:spPr>
                          <a:xfrm>
                            <a:off x="3792" y="2865"/>
                            <a:ext cx="71" cy="71"/>
                          </a:xfrm>
                          <a:custGeom>
                            <a:avLst/>
                            <a:gdLst/>
                            <a:ahLst/>
                            <a:cxnLst/>
                            <a:pathLst>
                              <a:path w="71" h="71">
                                <a:moveTo>
                                  <a:pt x="0" y="36"/>
                                </a:moveTo>
                                <a:cubicBezTo>
                                  <a:pt x="0" y="16"/>
                                  <a:pt x="15" y="0"/>
                                  <a:pt x="35" y="0"/>
                                </a:cubicBezTo>
                                <a:cubicBezTo>
                                  <a:pt x="55" y="0"/>
                                  <a:pt x="71" y="16"/>
                                  <a:pt x="71" y="35"/>
                                </a:cubicBezTo>
                                <a:cubicBezTo>
                                  <a:pt x="71" y="55"/>
                                  <a:pt x="55" y="71"/>
                                  <a:pt x="35" y="71"/>
                                </a:cubicBezTo>
                                <a:cubicBezTo>
                                  <a:pt x="15" y="71"/>
                                  <a:pt x="0" y="55"/>
                                  <a:pt x="0" y="36"/>
                                </a:cubicBezTo>
                              </a:path>
                            </a:pathLst>
                          </a:custGeom>
                          <a:solidFill>
                            <a:srgbClr val="FF0000"/>
                          </a:solidFill>
                          <a:ln>
                            <a:noFill/>
                          </a:ln>
                        </wps:spPr>
                        <wps:bodyPr upright="1"/>
                      </wps:wsp>
                      <pic:pic xmlns:pic="http://schemas.openxmlformats.org/drawingml/2006/picture">
                        <pic:nvPicPr>
                          <pic:cNvPr id="122" name="图片 3233"/>
                          <pic:cNvPicPr>
                            <a:picLocks noChangeAspect="1"/>
                          </pic:cNvPicPr>
                        </pic:nvPicPr>
                        <pic:blipFill>
                          <a:blip r:embed="rId33"/>
                          <a:stretch>
                            <a:fillRect/>
                          </a:stretch>
                        </pic:blipFill>
                        <pic:spPr>
                          <a:xfrm>
                            <a:off x="111" y="352"/>
                            <a:ext cx="3707" cy="2555"/>
                          </a:xfrm>
                          <a:prstGeom prst="rect">
                            <a:avLst/>
                          </a:prstGeom>
                          <a:noFill/>
                          <a:ln>
                            <a:noFill/>
                          </a:ln>
                        </pic:spPr>
                      </pic:pic>
                      <wps:wsp>
                        <wps:cNvPr id="123" name="文本框 123"/>
                        <wps:cNvSpPr txBox="1"/>
                        <wps:spPr>
                          <a:xfrm>
                            <a:off x="-20" y="-20"/>
                            <a:ext cx="8744" cy="5890"/>
                          </a:xfrm>
                          <a:prstGeom prst="rect">
                            <a:avLst/>
                          </a:prstGeom>
                          <a:noFill/>
                          <a:ln>
                            <a:noFill/>
                          </a:ln>
                        </wps:spPr>
                        <wps:txbx>
                          <w:txbxContent>
                            <w:p w14:paraId="0256963E">
                              <w:pPr>
                                <w:spacing w:line="20" w:lineRule="exact"/>
                              </w:pPr>
                            </w:p>
                            <w:tbl>
                              <w:tblPr>
                                <w:tblStyle w:val="551"/>
                                <w:tblW w:w="8693" w:type="dxa"/>
                                <w:tblInd w:w="25" w:type="dxa"/>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Layout w:type="fixed"/>
                                <w:tblCellMar>
                                  <w:top w:w="0" w:type="dxa"/>
                                  <w:left w:w="0" w:type="dxa"/>
                                  <w:bottom w:w="0" w:type="dxa"/>
                                  <w:right w:w="0" w:type="dxa"/>
                                </w:tblCellMar>
                              </w:tblPr>
                              <w:tblGrid>
                                <w:gridCol w:w="8693"/>
                              </w:tblGrid>
                              <w:tr w14:paraId="428CF101">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CellMar>
                                    <w:top w:w="0" w:type="dxa"/>
                                    <w:left w:w="0" w:type="dxa"/>
                                    <w:bottom w:w="0" w:type="dxa"/>
                                    <w:right w:w="0" w:type="dxa"/>
                                  </w:tblCellMar>
                                </w:tblPrEx>
                                <w:trPr>
                                  <w:trHeight w:val="5830" w:hRule="atLeast"/>
                                </w:trPr>
                                <w:tc>
                                  <w:tcPr>
                                    <w:tcW w:w="8693" w:type="dxa"/>
                                    <w:vAlign w:val="top"/>
                                  </w:tcPr>
                                  <w:p w14:paraId="7A6ED79C">
                                    <w:pPr>
                                      <w:spacing w:line="317" w:lineRule="auto"/>
                                      <w:rPr>
                                        <w:rFonts w:ascii="Arial"/>
                                        <w:sz w:val="21"/>
                                      </w:rPr>
                                    </w:pPr>
                                  </w:p>
                                  <w:p w14:paraId="50D70387">
                                    <w:pPr>
                                      <w:spacing w:line="317" w:lineRule="auto"/>
                                      <w:rPr>
                                        <w:rFonts w:ascii="Arial"/>
                                        <w:sz w:val="21"/>
                                      </w:rPr>
                                    </w:pPr>
                                  </w:p>
                                  <w:p w14:paraId="43D6FAC0">
                                    <w:pPr>
                                      <w:spacing w:line="318" w:lineRule="auto"/>
                                      <w:rPr>
                                        <w:rFonts w:ascii="Arial"/>
                                        <w:sz w:val="21"/>
                                      </w:rPr>
                                    </w:pPr>
                                  </w:p>
                                  <w:p w14:paraId="44A80E4C">
                                    <w:pPr>
                                      <w:spacing w:before="60" w:line="188" w:lineRule="auto"/>
                                      <w:ind w:left="1813"/>
                                      <w:rPr>
                                        <w:rFonts w:ascii="微软雅黑" w:hAnsi="微软雅黑" w:eastAsia="微软雅黑" w:cs="微软雅黑"/>
                                        <w:sz w:val="14"/>
                                        <w:szCs w:val="14"/>
                                      </w:rPr>
                                    </w:pPr>
                                    <w:r>
                                      <w:rPr>
                                        <w:rFonts w:ascii="微软雅黑" w:hAnsi="微软雅黑" w:eastAsia="微软雅黑" w:cs="微软雅黑"/>
                                        <w:spacing w:val="7"/>
                                        <w:sz w:val="14"/>
                                        <w:szCs w:val="14"/>
                                      </w:rPr>
                                      <w:t>项目位置</w:t>
                                    </w:r>
                                  </w:p>
                                </w:tc>
                              </w:tr>
                            </w:tbl>
                            <w:p w14:paraId="14162551">
                              <w:pPr>
                                <w:rPr>
                                  <w:rFonts w:ascii="Arial"/>
                                  <w:sz w:val="21"/>
                                </w:rPr>
                              </w:pPr>
                            </w:p>
                          </w:txbxContent>
                        </wps:txbx>
                        <wps:bodyPr lIns="0" tIns="0" rIns="0" bIns="0" upright="1"/>
                      </wps:wsp>
                    </wpg:wgp>
                  </a:graphicData>
                </a:graphic>
              </wp:inline>
            </w:drawing>
          </mc:Choice>
          <mc:Fallback>
            <w:pict>
              <v:group id="_x0000_s1026" o:spid="_x0000_s1026" o:spt="203" style="height:292.55pt;width:435.2pt;" coordsize="8704,5850" o:gfxdata="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ubPAAvwAAAKUBAAAZ&#10;AAAAZHJzL19yZWxzL2Uyb0RvYy54bWwucmVsc72QwYrCMBCG7wv7DmHu27Q9LLKY9iKCV3EfYEim&#10;abCZhCSKvr2BZUFB8OZxZvi//2PW48Uv4kwpu8AKuqYFQayDcWwV/B62XysQuSAbXAKTgitlGIfP&#10;j/WeFiw1lGcXs6gUzgrmUuKPlFnP5DE3IRLXyxSSx1LHZGVEfURLsm/bb5nuGTA8MMXOKEg704M4&#10;XGNtfs0O0+Q0bYI+eeLypEI6X7srEJOlosCTcfi37JvIFuRzh+49Dt2/g3x47nAD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">
                <o:lock v:ext="edit" aspectratio="f"/>
                <v:shape id="图片 3231" o:spid="_x0000_s1026" o:spt="75" type="#_x0000_t75" style="position:absolute;left:20;top:20;height:5810;width:8665;" filled="f" o:preferrelative="t" stroked="f" coordsize="21600,21600" o:gfxdata="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QscsvQAA&#10;ANsAAAAPAAAAAAAAAAEAIAAAACIAAABkcnMvZG93bnJldi54bWxQSwECFAAUAAAACACHTuJAMy8F&#10;njsAAAA5AAAAEAAAAAAAAAABACAAAAAMAQAAZHJzL3NoYXBleG1sLnhtbFBLBQYAAAAABgAGAFsB&#10;AAC2AwAAAAA=&#10;">
                  <v:fill on="f" focussize="0,0"/>
                  <v:stroke on="f"/>
                  <v:imagedata r:id="rId32" o:title=""/>
                  <o:lock v:ext="edit" aspectratio="t"/>
                </v:shape>
                <v:shape id="_x0000_s1026" o:spid="_x0000_s1026" o:spt="100" style="position:absolute;left:3792;top:2865;height:71;width:71;" fillcolor="#FF0000" filled="t" stroked="f" coordsize="71,71" o:gfxdata="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wL/e8AAAA&#10;2wAAAA8AAAAAAAAAAQAgAAAAIgAAAGRycy9kb3ducmV2LnhtbFBLAQIUABQAAAAIAIdO4kAzLwWe&#10;OwAAADkAAAAQAAAAAAAAAAEAIAAAAAsBAABkcnMvc2hhcGV4bWwueG1sUEsFBgAAAAAGAAYAWwEA&#10;ALUDAAAAAA==&#10;" path="m0,36c0,16,15,0,35,0c55,0,71,16,71,35c71,55,55,71,35,71c15,71,0,55,0,36e">
                  <v:fill on="t" focussize="0,0"/>
                  <v:stroke on="f"/>
                  <v:imagedata o:title=""/>
                  <o:lock v:ext="edit" aspectratio="f"/>
                </v:shape>
                <v:shape id="图片 3233" o:spid="_x0000_s1026" o:spt="75" type="#_x0000_t75" style="position:absolute;left:111;top:352;height:2555;width:3707;" filled="f" o:preferrelative="t" stroked="f" coordsize="21600,21600" o:gfxdata="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zYONvQAA&#10;ANwAAAAPAAAAAAAAAAEAIAAAACIAAABkcnMvZG93bnJldi54bWxQSwECFAAUAAAACACHTuJAMy8F&#10;njsAAAA5AAAAEAAAAAAAAAABACAAAAAMAQAAZHJzL3NoYXBleG1sLnhtbFBLBQYAAAAABgAGAFsB&#10;AAC2AwAAAAA=&#10;">
                  <v:fill on="f" focussize="0,0"/>
                  <v:stroke on="f"/>
                  <v:imagedata r:id="rId33" o:title=""/>
                  <o:lock v:ext="edit" aspectratio="t"/>
                </v:shape>
                <v:shape id="_x0000_s1026" o:spid="_x0000_s1026" o:spt="202" type="#_x0000_t202" style="position:absolute;left:-20;top:-20;height:5890;width:8744;" filled="f" stroked="f" coordsize="21600,21600" o:gfxdata="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55R1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0256963E">
                        <w:pPr>
                          <w:spacing w:line="20" w:lineRule="exact"/>
                        </w:pPr>
                      </w:p>
                      <w:tbl>
                        <w:tblPr>
                          <w:tblStyle w:val="551"/>
                          <w:tblW w:w="8693" w:type="dxa"/>
                          <w:tblInd w:w="25" w:type="dxa"/>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Layout w:type="fixed"/>
                          <w:tblCellMar>
                            <w:top w:w="0" w:type="dxa"/>
                            <w:left w:w="0" w:type="dxa"/>
                            <w:bottom w:w="0" w:type="dxa"/>
                            <w:right w:w="0" w:type="dxa"/>
                          </w:tblCellMar>
                        </w:tblPr>
                        <w:tblGrid>
                          <w:gridCol w:w="8693"/>
                        </w:tblGrid>
                        <w:tr w14:paraId="428CF101">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tblCellMar>
                              <w:top w:w="0" w:type="dxa"/>
                              <w:left w:w="0" w:type="dxa"/>
                              <w:bottom w:w="0" w:type="dxa"/>
                              <w:right w:w="0" w:type="dxa"/>
                            </w:tblCellMar>
                          </w:tblPrEx>
                          <w:trPr>
                            <w:trHeight w:val="5830" w:hRule="atLeast"/>
                          </w:trPr>
                          <w:tc>
                            <w:tcPr>
                              <w:tcW w:w="8693" w:type="dxa"/>
                              <w:vAlign w:val="top"/>
                            </w:tcPr>
                            <w:p w14:paraId="7A6ED79C">
                              <w:pPr>
                                <w:spacing w:line="317" w:lineRule="auto"/>
                                <w:rPr>
                                  <w:rFonts w:ascii="Arial"/>
                                  <w:sz w:val="21"/>
                                </w:rPr>
                              </w:pPr>
                            </w:p>
                            <w:p w14:paraId="50D70387">
                              <w:pPr>
                                <w:spacing w:line="317" w:lineRule="auto"/>
                                <w:rPr>
                                  <w:rFonts w:ascii="Arial"/>
                                  <w:sz w:val="21"/>
                                </w:rPr>
                              </w:pPr>
                            </w:p>
                            <w:p w14:paraId="43D6FAC0">
                              <w:pPr>
                                <w:spacing w:line="318" w:lineRule="auto"/>
                                <w:rPr>
                                  <w:rFonts w:ascii="Arial"/>
                                  <w:sz w:val="21"/>
                                </w:rPr>
                              </w:pPr>
                            </w:p>
                            <w:p w14:paraId="44A80E4C">
                              <w:pPr>
                                <w:spacing w:before="60" w:line="188" w:lineRule="auto"/>
                                <w:ind w:left="1813"/>
                                <w:rPr>
                                  <w:rFonts w:ascii="微软雅黑" w:hAnsi="微软雅黑" w:eastAsia="微软雅黑" w:cs="微软雅黑"/>
                                  <w:sz w:val="14"/>
                                  <w:szCs w:val="14"/>
                                </w:rPr>
                              </w:pPr>
                              <w:r>
                                <w:rPr>
                                  <w:rFonts w:ascii="微软雅黑" w:hAnsi="微软雅黑" w:eastAsia="微软雅黑" w:cs="微软雅黑"/>
                                  <w:spacing w:val="7"/>
                                  <w:sz w:val="14"/>
                                  <w:szCs w:val="14"/>
                                </w:rPr>
                                <w:t>项目位置</w:t>
                              </w:r>
                            </w:p>
                          </w:tc>
                        </w:tr>
                      </w:tbl>
                      <w:p w14:paraId="14162551">
                        <w:pPr>
                          <w:rPr>
                            <w:rFonts w:ascii="Arial"/>
                            <w:sz w:val="21"/>
                          </w:rPr>
                        </w:pPr>
                      </w:p>
                    </w:txbxContent>
                  </v:textbox>
                </v:shape>
                <w10:wrap type="none"/>
                <w10:anchorlock/>
              </v:group>
            </w:pict>
          </mc:Fallback>
        </mc:AlternateContent>
      </w:r>
    </w:p>
    <w:p w14:paraId="1EA7A51D">
      <w:pPr>
        <w:pStyle w:val="37"/>
        <w:jc w:val="center"/>
        <w:rPr>
          <w:rFonts w:hint="eastAsia"/>
          <w:b/>
          <w:bCs/>
          <w:color w:val="auto"/>
        </w:rPr>
      </w:pPr>
      <w:r>
        <w:rPr>
          <w:rFonts w:hint="eastAsia"/>
          <w:b/>
          <w:bCs/>
          <w:color w:val="auto"/>
        </w:rPr>
        <w:t>图4</w:t>
      </w:r>
      <w:r>
        <w:rPr>
          <w:rFonts w:hint="eastAsia"/>
          <w:b/>
          <w:bCs/>
          <w:color w:val="auto"/>
          <w:lang w:val="en-US" w:eastAsia="zh-CN"/>
        </w:rPr>
        <w:t>.1</w:t>
      </w:r>
      <w:r>
        <w:rPr>
          <w:rFonts w:hint="eastAsia"/>
          <w:b/>
          <w:bCs/>
          <w:color w:val="auto"/>
        </w:rPr>
        <w:t>-1  辽宁省水文地质图</w:t>
      </w:r>
    </w:p>
    <w:p w14:paraId="77DF7902">
      <w:pPr>
        <w:widowControl/>
        <w:kinsoku w:val="0"/>
        <w:autoSpaceDE w:val="0"/>
        <w:autoSpaceDN w:val="0"/>
        <w:adjustRightInd w:val="0"/>
        <w:snapToGrid w:val="0"/>
        <w:spacing w:before="181" w:line="354" w:lineRule="auto"/>
        <w:ind w:left="8" w:right="80" w:firstLine="480"/>
        <w:jc w:val="both"/>
        <w:textAlignment w:val="baseline"/>
        <w:rPr>
          <w:rFonts w:ascii="宋体" w:hAnsi="宋体" w:eastAsia="宋体" w:cs="宋体"/>
          <w:snapToGrid w:val="0"/>
          <w:color w:val="000000"/>
          <w:kern w:val="0"/>
          <w:sz w:val="24"/>
          <w:szCs w:val="24"/>
          <w:lang w:eastAsia="en-US"/>
        </w:rPr>
      </w:pPr>
      <w:r>
        <w:rPr>
          <w:rFonts w:ascii="宋体" w:hAnsi="宋体" w:eastAsia="宋体" w:cs="宋体"/>
          <w:snapToGrid w:val="0"/>
          <w:color w:val="000000"/>
          <w:spacing w:val="-2"/>
          <w:kern w:val="0"/>
          <w:sz w:val="24"/>
          <w:szCs w:val="24"/>
          <w:lang w:eastAsia="en-US"/>
        </w:rPr>
        <w:t>全新统地层广泛分布于河床及两岸一级阶地。其上覆亚砂土或含砾亚粘土层，厚度自南北两侧向中间减小，特点是近河厚靠山薄，左岸厚，右岸薄。表层为</w:t>
      </w:r>
      <w:r>
        <w:rPr>
          <w:rFonts w:ascii="Times New Roman" w:hAnsi="Times New Roman" w:eastAsia="Times New Roman" w:cs="Times New Roman"/>
          <w:snapToGrid w:val="0"/>
          <w:color w:val="000000"/>
          <w:spacing w:val="-2"/>
          <w:kern w:val="0"/>
          <w:sz w:val="24"/>
          <w:szCs w:val="24"/>
          <w:lang w:eastAsia="en-US"/>
        </w:rPr>
        <w:t>2</w:t>
      </w:r>
      <w:r>
        <w:rPr>
          <w:rFonts w:ascii="宋体" w:hAnsi="宋体" w:eastAsia="宋体" w:cs="宋体"/>
          <w:snapToGrid w:val="0"/>
          <w:color w:val="000000"/>
          <w:spacing w:val="-2"/>
          <w:kern w:val="0"/>
          <w:sz w:val="24"/>
          <w:szCs w:val="24"/>
          <w:lang w:eastAsia="en-US"/>
        </w:rPr>
        <w:t>～</w:t>
      </w:r>
      <w:r>
        <w:rPr>
          <w:rFonts w:ascii="Times New Roman" w:hAnsi="Times New Roman" w:eastAsia="Times New Roman" w:cs="Times New Roman"/>
          <w:snapToGrid w:val="0"/>
          <w:color w:val="000000"/>
          <w:spacing w:val="-2"/>
          <w:kern w:val="0"/>
          <w:sz w:val="24"/>
          <w:szCs w:val="24"/>
          <w:lang w:eastAsia="en-US"/>
        </w:rPr>
        <w:t>7m</w:t>
      </w:r>
      <w:r>
        <w:rPr>
          <w:rFonts w:ascii="宋体" w:hAnsi="宋体" w:eastAsia="宋体" w:cs="宋体"/>
          <w:snapToGrid w:val="0"/>
          <w:color w:val="000000"/>
          <w:spacing w:val="-2"/>
          <w:kern w:val="0"/>
          <w:sz w:val="24"/>
          <w:szCs w:val="24"/>
          <w:lang w:eastAsia="en-US"/>
        </w:rPr>
        <w:t>粉土夹</w:t>
      </w:r>
      <w:r>
        <w:rPr>
          <w:rFonts w:ascii="宋体" w:hAnsi="宋体" w:eastAsia="宋体" w:cs="宋体"/>
          <w:snapToGrid w:val="0"/>
          <w:color w:val="000000"/>
          <w:kern w:val="0"/>
          <w:sz w:val="24"/>
          <w:szCs w:val="24"/>
          <w:lang w:eastAsia="en-US"/>
        </w:rPr>
        <w:t>粉质粘土，下部的砂砾卵石层构成了区域主要的含水层，厚度一般</w:t>
      </w:r>
      <w:r>
        <w:rPr>
          <w:rFonts w:ascii="Times New Roman" w:hAnsi="Times New Roman" w:eastAsia="Times New Roman" w:cs="Times New Roman"/>
          <w:snapToGrid w:val="0"/>
          <w:color w:val="000000"/>
          <w:kern w:val="0"/>
          <w:sz w:val="24"/>
          <w:szCs w:val="24"/>
          <w:lang w:eastAsia="en-US"/>
        </w:rPr>
        <w:t>20</w:t>
      </w:r>
      <w:r>
        <w:rPr>
          <w:rFonts w:ascii="宋体" w:hAnsi="宋体" w:eastAsia="宋体" w:cs="宋体"/>
          <w:snapToGrid w:val="0"/>
          <w:color w:val="000000"/>
          <w:kern w:val="0"/>
          <w:sz w:val="24"/>
          <w:szCs w:val="24"/>
          <w:lang w:eastAsia="en-US"/>
        </w:rPr>
        <w:t>～</w:t>
      </w:r>
      <w:r>
        <w:rPr>
          <w:rFonts w:ascii="Times New Roman" w:hAnsi="Times New Roman" w:eastAsia="Times New Roman" w:cs="Times New Roman"/>
          <w:snapToGrid w:val="0"/>
          <w:color w:val="000000"/>
          <w:kern w:val="0"/>
          <w:sz w:val="24"/>
          <w:szCs w:val="24"/>
          <w:lang w:eastAsia="en-US"/>
        </w:rPr>
        <w:t>3</w:t>
      </w:r>
      <w:r>
        <w:rPr>
          <w:rFonts w:ascii="Times New Roman" w:hAnsi="Times New Roman" w:eastAsia="Times New Roman" w:cs="Times New Roman"/>
          <w:snapToGrid w:val="0"/>
          <w:color w:val="000000"/>
          <w:spacing w:val="-1"/>
          <w:kern w:val="0"/>
          <w:sz w:val="24"/>
          <w:szCs w:val="24"/>
          <w:lang w:eastAsia="en-US"/>
        </w:rPr>
        <w:t>0m</w:t>
      </w:r>
      <w:r>
        <w:rPr>
          <w:rFonts w:ascii="宋体" w:hAnsi="宋体" w:eastAsia="宋体" w:cs="宋体"/>
          <w:snapToGrid w:val="0"/>
          <w:color w:val="000000"/>
          <w:spacing w:val="-1"/>
          <w:kern w:val="0"/>
          <w:sz w:val="24"/>
          <w:szCs w:val="24"/>
          <w:lang w:eastAsia="en-US"/>
        </w:rPr>
        <w:t>，个别地段</w:t>
      </w:r>
      <w:r>
        <w:rPr>
          <w:rFonts w:ascii="宋体" w:hAnsi="宋体" w:eastAsia="宋体" w:cs="宋体"/>
          <w:snapToGrid w:val="0"/>
          <w:color w:val="000000"/>
          <w:spacing w:val="-3"/>
          <w:kern w:val="0"/>
          <w:sz w:val="24"/>
          <w:szCs w:val="24"/>
          <w:lang w:eastAsia="en-US"/>
        </w:rPr>
        <w:t>达</w:t>
      </w:r>
      <w:r>
        <w:rPr>
          <w:rFonts w:ascii="Times New Roman" w:hAnsi="Times New Roman" w:eastAsia="Times New Roman" w:cs="Times New Roman"/>
          <w:snapToGrid w:val="0"/>
          <w:color w:val="000000"/>
          <w:spacing w:val="-3"/>
          <w:kern w:val="0"/>
          <w:sz w:val="24"/>
          <w:szCs w:val="24"/>
          <w:lang w:eastAsia="en-US"/>
        </w:rPr>
        <w:t>45m</w:t>
      </w:r>
      <w:r>
        <w:rPr>
          <w:rFonts w:ascii="宋体" w:hAnsi="宋体" w:eastAsia="宋体" w:cs="宋体"/>
          <w:snapToGrid w:val="0"/>
          <w:color w:val="000000"/>
          <w:spacing w:val="-3"/>
          <w:kern w:val="0"/>
          <w:sz w:val="24"/>
          <w:szCs w:val="24"/>
          <w:lang w:eastAsia="en-US"/>
        </w:rPr>
        <w:t>。圆砾及卵石层下部是基岩，为含水层底板。据已有的勘察资料，可将本区划为</w:t>
      </w:r>
      <w:r>
        <w:rPr>
          <w:rFonts w:ascii="宋体" w:hAnsi="宋体" w:eastAsia="宋体" w:cs="宋体"/>
          <w:snapToGrid w:val="0"/>
          <w:color w:val="000000"/>
          <w:spacing w:val="-2"/>
          <w:kern w:val="0"/>
          <w:sz w:val="24"/>
          <w:szCs w:val="24"/>
          <w:lang w:eastAsia="en-US"/>
        </w:rPr>
        <w:t>三个地下水分区。</w:t>
      </w:r>
    </w:p>
    <w:p w14:paraId="3CDFFD5C">
      <w:pPr>
        <w:widowControl/>
        <w:kinsoku w:val="0"/>
        <w:autoSpaceDE w:val="0"/>
        <w:autoSpaceDN w:val="0"/>
        <w:adjustRightInd w:val="0"/>
        <w:snapToGrid w:val="0"/>
        <w:spacing w:before="33" w:line="331" w:lineRule="auto"/>
        <w:ind w:left="8" w:firstLine="480"/>
        <w:jc w:val="left"/>
        <w:textAlignment w:val="baseline"/>
        <w:rPr>
          <w:rFonts w:ascii="宋体" w:hAnsi="宋体" w:eastAsia="宋体" w:cs="宋体"/>
          <w:snapToGrid w:val="0"/>
          <w:color w:val="000000"/>
          <w:kern w:val="0"/>
          <w:sz w:val="24"/>
          <w:szCs w:val="24"/>
          <w:lang w:eastAsia="en-US"/>
        </w:rPr>
      </w:pPr>
      <w:r>
        <w:rPr>
          <w:rFonts w:ascii="宋体" w:hAnsi="宋体" w:eastAsia="宋体" w:cs="宋体"/>
          <w:snapToGrid w:val="0"/>
          <w:color w:val="000000"/>
          <w:spacing w:val="-2"/>
          <w:kern w:val="0"/>
          <w:sz w:val="24"/>
          <w:szCs w:val="24"/>
          <w:lang w:eastAsia="en-US"/>
        </w:rPr>
        <w:t>①水量丰富区：含水性丰富地段主要分布在河两岸的高、低河漫滩及近河地段，含</w:t>
      </w:r>
      <w:r>
        <w:rPr>
          <w:rFonts w:ascii="宋体" w:hAnsi="宋体" w:eastAsia="宋体" w:cs="宋体"/>
          <w:snapToGrid w:val="0"/>
          <w:color w:val="000000"/>
          <w:spacing w:val="-10"/>
          <w:kern w:val="0"/>
          <w:sz w:val="24"/>
          <w:szCs w:val="24"/>
          <w:lang w:eastAsia="en-US"/>
        </w:rPr>
        <w:t>水层岩性均一，主要为卵砾石、砾卵石，颗粒大且松散，孔隙发育，厚度一般为</w:t>
      </w:r>
      <w:r>
        <w:rPr>
          <w:rFonts w:ascii="Times New Roman" w:hAnsi="Times New Roman" w:eastAsia="Times New Roman" w:cs="Times New Roman"/>
          <w:snapToGrid w:val="0"/>
          <w:color w:val="000000"/>
          <w:spacing w:val="-10"/>
          <w:kern w:val="0"/>
          <w:sz w:val="24"/>
          <w:szCs w:val="24"/>
          <w:lang w:eastAsia="en-US"/>
        </w:rPr>
        <w:t>25</w:t>
      </w:r>
      <w:r>
        <w:rPr>
          <w:rFonts w:ascii="宋体" w:hAnsi="宋体" w:eastAsia="宋体" w:cs="宋体"/>
          <w:snapToGrid w:val="0"/>
          <w:color w:val="000000"/>
          <w:spacing w:val="-10"/>
          <w:kern w:val="0"/>
          <w:sz w:val="24"/>
          <w:szCs w:val="24"/>
          <w:lang w:eastAsia="en-US"/>
        </w:rPr>
        <w:t>～</w:t>
      </w:r>
      <w:r>
        <w:rPr>
          <w:rFonts w:ascii="Times New Roman" w:hAnsi="Times New Roman" w:eastAsia="Times New Roman" w:cs="Times New Roman"/>
          <w:snapToGrid w:val="0"/>
          <w:color w:val="000000"/>
          <w:spacing w:val="-10"/>
          <w:kern w:val="0"/>
          <w:sz w:val="24"/>
          <w:szCs w:val="24"/>
          <w:lang w:eastAsia="en-US"/>
        </w:rPr>
        <w:t>40m</w:t>
      </w:r>
      <w:r>
        <w:rPr>
          <w:rFonts w:ascii="宋体" w:hAnsi="宋体" w:eastAsia="宋体" w:cs="宋体"/>
          <w:snapToGrid w:val="0"/>
          <w:color w:val="000000"/>
          <w:spacing w:val="-10"/>
          <w:kern w:val="0"/>
          <w:sz w:val="24"/>
          <w:szCs w:val="24"/>
          <w:lang w:eastAsia="en-US"/>
        </w:rPr>
        <w:t>，</w:t>
      </w:r>
      <w:r>
        <w:rPr>
          <w:rFonts w:ascii="宋体" w:hAnsi="宋体" w:eastAsia="宋体" w:cs="宋体"/>
          <w:snapToGrid w:val="0"/>
          <w:color w:val="000000"/>
          <w:spacing w:val="-6"/>
          <w:kern w:val="0"/>
          <w:sz w:val="24"/>
          <w:szCs w:val="24"/>
          <w:lang w:eastAsia="en-US"/>
        </w:rPr>
        <w:t>单井出水量大于</w:t>
      </w:r>
      <w:r>
        <w:rPr>
          <w:rFonts w:ascii="Times New Roman" w:hAnsi="Times New Roman" w:eastAsia="Times New Roman" w:cs="Times New Roman"/>
          <w:snapToGrid w:val="0"/>
          <w:color w:val="000000"/>
          <w:spacing w:val="-6"/>
          <w:kern w:val="0"/>
          <w:sz w:val="24"/>
          <w:szCs w:val="24"/>
          <w:lang w:eastAsia="en-US"/>
        </w:rPr>
        <w:t>3000m</w:t>
      </w:r>
      <w:r>
        <w:rPr>
          <w:rFonts w:ascii="Times New Roman" w:hAnsi="Times New Roman" w:eastAsia="Times New Roman" w:cs="Times New Roman"/>
          <w:snapToGrid w:val="0"/>
          <w:color w:val="000000"/>
          <w:spacing w:val="-6"/>
          <w:kern w:val="0"/>
          <w:position w:val="7"/>
          <w:sz w:val="15"/>
          <w:szCs w:val="15"/>
          <w:lang w:eastAsia="en-US"/>
        </w:rPr>
        <w:t>3</w:t>
      </w:r>
      <w:r>
        <w:rPr>
          <w:rFonts w:ascii="Times New Roman" w:hAnsi="Times New Roman" w:eastAsia="Times New Roman" w:cs="Times New Roman"/>
          <w:snapToGrid w:val="0"/>
          <w:color w:val="000000"/>
          <w:spacing w:val="-6"/>
          <w:kern w:val="0"/>
          <w:sz w:val="24"/>
          <w:szCs w:val="24"/>
          <w:lang w:eastAsia="en-US"/>
        </w:rPr>
        <w:t>/d</w:t>
      </w:r>
      <w:r>
        <w:rPr>
          <w:rFonts w:ascii="宋体" w:hAnsi="宋体" w:eastAsia="宋体" w:cs="宋体"/>
          <w:snapToGrid w:val="0"/>
          <w:color w:val="000000"/>
          <w:spacing w:val="-6"/>
          <w:kern w:val="0"/>
          <w:sz w:val="24"/>
          <w:szCs w:val="24"/>
          <w:lang w:eastAsia="en-US"/>
        </w:rPr>
        <w:t>，分布于近河地段，呈条带状展布。含水层主要岩性为砂砾石、</w:t>
      </w:r>
      <w:r>
        <w:rPr>
          <w:rFonts w:ascii="宋体" w:hAnsi="宋体" w:eastAsia="宋体" w:cs="宋体"/>
          <w:snapToGrid w:val="0"/>
          <w:color w:val="000000"/>
          <w:spacing w:val="-4"/>
          <w:kern w:val="0"/>
          <w:sz w:val="24"/>
          <w:szCs w:val="24"/>
          <w:lang w:eastAsia="en-US"/>
        </w:rPr>
        <w:t>砂砾卵石，含水层厚度</w:t>
      </w:r>
      <w:r>
        <w:rPr>
          <w:rFonts w:ascii="Times New Roman" w:hAnsi="Times New Roman" w:eastAsia="Times New Roman" w:cs="Times New Roman"/>
          <w:snapToGrid w:val="0"/>
          <w:color w:val="000000"/>
          <w:spacing w:val="-4"/>
          <w:kern w:val="0"/>
          <w:sz w:val="24"/>
          <w:szCs w:val="24"/>
          <w:lang w:eastAsia="en-US"/>
        </w:rPr>
        <w:t>10-35m</w:t>
      </w:r>
      <w:r>
        <w:rPr>
          <w:rFonts w:ascii="宋体" w:hAnsi="宋体" w:eastAsia="宋体" w:cs="宋体"/>
          <w:snapToGrid w:val="0"/>
          <w:color w:val="000000"/>
          <w:spacing w:val="-4"/>
          <w:kern w:val="0"/>
          <w:sz w:val="24"/>
          <w:szCs w:val="24"/>
          <w:lang w:eastAsia="en-US"/>
        </w:rPr>
        <w:t>不等，渗透系数为</w:t>
      </w:r>
      <w:r>
        <w:rPr>
          <w:rFonts w:ascii="Times New Roman" w:hAnsi="Times New Roman" w:eastAsia="Times New Roman" w:cs="Times New Roman"/>
          <w:snapToGrid w:val="0"/>
          <w:color w:val="000000"/>
          <w:spacing w:val="-4"/>
          <w:kern w:val="0"/>
          <w:sz w:val="24"/>
          <w:szCs w:val="24"/>
          <w:lang w:eastAsia="en-US"/>
        </w:rPr>
        <w:t>24.8-98.4m/</w:t>
      </w:r>
      <w:r>
        <w:rPr>
          <w:rFonts w:ascii="Times New Roman" w:hAnsi="Times New Roman" w:eastAsia="Times New Roman" w:cs="Times New Roman"/>
          <w:snapToGrid w:val="0"/>
          <w:color w:val="000000"/>
          <w:spacing w:val="-5"/>
          <w:kern w:val="0"/>
          <w:sz w:val="24"/>
          <w:szCs w:val="24"/>
          <w:lang w:eastAsia="en-US"/>
        </w:rPr>
        <w:t>d</w:t>
      </w:r>
      <w:r>
        <w:rPr>
          <w:rFonts w:ascii="宋体" w:hAnsi="宋体" w:eastAsia="宋体" w:cs="宋体"/>
          <w:snapToGrid w:val="0"/>
          <w:color w:val="000000"/>
          <w:spacing w:val="-5"/>
          <w:kern w:val="0"/>
          <w:sz w:val="24"/>
          <w:szCs w:val="24"/>
          <w:lang w:eastAsia="en-US"/>
        </w:rPr>
        <w:t>，地下水为埋深大于</w:t>
      </w:r>
      <w:r>
        <w:rPr>
          <w:rFonts w:ascii="Times New Roman" w:hAnsi="Times New Roman" w:eastAsia="Times New Roman" w:cs="Times New Roman"/>
          <w:snapToGrid w:val="0"/>
          <w:color w:val="000000"/>
          <w:spacing w:val="-5"/>
          <w:kern w:val="0"/>
          <w:sz w:val="24"/>
          <w:szCs w:val="24"/>
          <w:lang w:eastAsia="en-US"/>
        </w:rPr>
        <w:t>7m</w:t>
      </w:r>
      <w:r>
        <w:rPr>
          <w:rFonts w:ascii="宋体" w:hAnsi="宋体" w:eastAsia="宋体" w:cs="宋体"/>
          <w:snapToGrid w:val="0"/>
          <w:color w:val="000000"/>
          <w:spacing w:val="-5"/>
          <w:kern w:val="0"/>
          <w:sz w:val="24"/>
          <w:szCs w:val="24"/>
          <w:lang w:eastAsia="en-US"/>
        </w:rPr>
        <w:t>。</w:t>
      </w:r>
      <w:r>
        <w:rPr>
          <w:rFonts w:ascii="宋体" w:hAnsi="宋体" w:eastAsia="宋体" w:cs="宋体"/>
          <w:snapToGrid w:val="0"/>
          <w:color w:val="000000"/>
          <w:kern w:val="0"/>
          <w:sz w:val="24"/>
          <w:szCs w:val="24"/>
          <w:lang w:eastAsia="en-US"/>
        </w:rPr>
        <w:t>地下水类型为孔隙潜水，在丰水期可以直接得到雨</w:t>
      </w:r>
      <w:r>
        <w:rPr>
          <w:rFonts w:ascii="宋体" w:hAnsi="宋体" w:eastAsia="宋体" w:cs="宋体"/>
          <w:snapToGrid w:val="0"/>
          <w:color w:val="000000"/>
          <w:spacing w:val="-1"/>
          <w:kern w:val="0"/>
          <w:sz w:val="24"/>
          <w:szCs w:val="24"/>
          <w:lang w:eastAsia="en-US"/>
        </w:rPr>
        <w:t>水及河水的大量补给。</w:t>
      </w:r>
    </w:p>
    <w:p w14:paraId="0849F3A5">
      <w:pPr>
        <w:widowControl/>
        <w:kinsoku w:val="0"/>
        <w:autoSpaceDE w:val="0"/>
        <w:autoSpaceDN w:val="0"/>
        <w:adjustRightInd w:val="0"/>
        <w:snapToGrid w:val="0"/>
        <w:spacing w:before="33" w:line="331" w:lineRule="auto"/>
        <w:ind w:left="8" w:firstLine="480"/>
        <w:jc w:val="left"/>
        <w:textAlignment w:val="baseline"/>
        <w:rPr>
          <w:rFonts w:hint="default" w:ascii="Times New Roman" w:hAnsi="Times New Roman" w:eastAsia="宋体" w:cs="Times New Roman"/>
          <w:snapToGrid w:val="0"/>
          <w:color w:val="000000"/>
          <w:spacing w:val="-2"/>
          <w:kern w:val="0"/>
          <w:sz w:val="24"/>
          <w:szCs w:val="24"/>
          <w:lang w:eastAsia="en-US"/>
        </w:rPr>
      </w:pPr>
      <w:r>
        <w:rPr>
          <w:rFonts w:hint="default" w:ascii="Times New Roman" w:hAnsi="Times New Roman" w:eastAsia="宋体" w:cs="Times New Roman"/>
          <w:snapToGrid w:val="0"/>
          <w:color w:val="000000"/>
          <w:spacing w:val="-2"/>
          <w:kern w:val="0"/>
          <w:sz w:val="24"/>
          <w:szCs w:val="24"/>
          <w:lang w:eastAsia="en-US"/>
        </w:rPr>
        <w:t>②水量中等-贫乏区：含水性不丰富地段主要分布在河岸远河地段，地层主要为粉土夹砾石，厚度约10~30m，颗粒较细，地下水具有微承压性，接受面状补给能力相对较弱。单井出水量小于1000m</w:t>
      </w:r>
      <w:r>
        <w:rPr>
          <w:rFonts w:hint="default" w:ascii="Times New Roman" w:hAnsi="Times New Roman" w:eastAsia="宋体" w:cs="Times New Roman"/>
          <w:snapToGrid w:val="0"/>
          <w:color w:val="000000"/>
          <w:spacing w:val="-2"/>
          <w:kern w:val="0"/>
          <w:sz w:val="24"/>
          <w:szCs w:val="24"/>
          <w:vertAlign w:val="superscript"/>
          <w:lang w:eastAsia="en-US"/>
        </w:rPr>
        <w:t>3</w:t>
      </w:r>
      <w:r>
        <w:rPr>
          <w:rFonts w:hint="default" w:ascii="Times New Roman" w:hAnsi="Times New Roman" w:eastAsia="宋体" w:cs="Times New Roman"/>
          <w:snapToGrid w:val="0"/>
          <w:color w:val="000000"/>
          <w:spacing w:val="-2"/>
          <w:kern w:val="0"/>
          <w:sz w:val="24"/>
          <w:szCs w:val="24"/>
          <w:lang w:eastAsia="en-US"/>
        </w:rPr>
        <w:t>/d，对应于山前坡洪积扇形地。含水层岩性为砂砾碎石混土，分选性差，厚度不稳定，地下水为埋深通常大于9m。</w:t>
      </w:r>
    </w:p>
    <w:p w14:paraId="0A4778ED">
      <w:pPr>
        <w:widowControl/>
        <w:kinsoku w:val="0"/>
        <w:autoSpaceDE w:val="0"/>
        <w:autoSpaceDN w:val="0"/>
        <w:adjustRightInd w:val="0"/>
        <w:snapToGrid w:val="0"/>
        <w:spacing w:before="33" w:line="331" w:lineRule="auto"/>
        <w:ind w:left="8" w:firstLine="480"/>
        <w:jc w:val="left"/>
        <w:textAlignment w:val="baseline"/>
        <w:rPr>
          <w:rFonts w:ascii="宋体" w:hAnsi="宋体" w:eastAsia="宋体" w:cs="宋体"/>
          <w:snapToGrid w:val="0"/>
          <w:color w:val="000000"/>
          <w:spacing w:val="-2"/>
          <w:kern w:val="0"/>
          <w:sz w:val="24"/>
          <w:szCs w:val="24"/>
          <w:lang w:eastAsia="en-US"/>
        </w:rPr>
      </w:pPr>
      <w:r>
        <w:rPr>
          <w:rFonts w:ascii="宋体" w:hAnsi="宋体" w:eastAsia="宋体" w:cs="宋体"/>
          <w:snapToGrid w:val="0"/>
          <w:color w:val="000000"/>
          <w:spacing w:val="-2"/>
          <w:kern w:val="0"/>
          <w:sz w:val="24"/>
          <w:szCs w:val="24"/>
          <w:lang w:eastAsia="en-US"/>
        </w:rPr>
        <w:t>③基岩裂隙水区：单井出水量小于100m</w:t>
      </w:r>
      <w:r>
        <w:rPr>
          <w:rFonts w:ascii="宋体" w:hAnsi="宋体" w:eastAsia="宋体" w:cs="宋体"/>
          <w:snapToGrid w:val="0"/>
          <w:color w:val="000000"/>
          <w:spacing w:val="-2"/>
          <w:kern w:val="0"/>
          <w:sz w:val="24"/>
          <w:szCs w:val="24"/>
          <w:vertAlign w:val="superscript"/>
          <w:lang w:eastAsia="en-US"/>
        </w:rPr>
        <w:t>3</w:t>
      </w:r>
      <w:r>
        <w:rPr>
          <w:rFonts w:ascii="宋体" w:hAnsi="宋体" w:eastAsia="宋体" w:cs="宋体"/>
          <w:snapToGrid w:val="0"/>
          <w:color w:val="000000"/>
          <w:spacing w:val="-2"/>
          <w:kern w:val="0"/>
          <w:sz w:val="24"/>
          <w:szCs w:val="24"/>
          <w:lang w:eastAsia="en-US"/>
        </w:rPr>
        <w:t>/d，岩性为义县组安山岩，风化裂隙及构造裂隙不发育，富水性较差，供水意义不大。</w:t>
      </w:r>
    </w:p>
    <w:p w14:paraId="1CFB26E5">
      <w:pPr>
        <w:widowControl/>
        <w:kinsoku w:val="0"/>
        <w:autoSpaceDE w:val="0"/>
        <w:autoSpaceDN w:val="0"/>
        <w:adjustRightInd w:val="0"/>
        <w:snapToGrid w:val="0"/>
        <w:spacing w:before="33" w:line="331" w:lineRule="auto"/>
        <w:ind w:left="8" w:firstLine="480"/>
        <w:jc w:val="left"/>
        <w:textAlignment w:val="baseline"/>
        <w:rPr>
          <w:rFonts w:ascii="宋体" w:hAnsi="宋体" w:eastAsia="宋体" w:cs="宋体"/>
          <w:snapToGrid w:val="0"/>
          <w:color w:val="000000"/>
          <w:spacing w:val="-2"/>
          <w:kern w:val="0"/>
          <w:sz w:val="24"/>
          <w:szCs w:val="24"/>
          <w:lang w:eastAsia="en-US"/>
        </w:rPr>
      </w:pPr>
      <w:r>
        <w:rPr>
          <w:rFonts w:ascii="宋体" w:hAnsi="宋体" w:eastAsia="宋体" w:cs="宋体"/>
          <w:snapToGrid w:val="0"/>
          <w:color w:val="000000"/>
          <w:spacing w:val="-2"/>
          <w:kern w:val="0"/>
          <w:sz w:val="24"/>
          <w:szCs w:val="24"/>
          <w:lang w:eastAsia="en-US"/>
        </w:rPr>
        <w:t>由图4-1可以看出，项目所在地下水地质单元属岩浆岩类裂隙含水岩组-喷出岩类富水程度弱岩组，单元北部为岩浆岩类裂隙含水岩组-侵入岩类含水岩组富水程度弱岩组，单元西北及西部为变质岩类裂隙含水岩组中的富水程度弱岩组，单元东部及东南东北部均为碎屑岩类孔隙裂隙含水岩组中-碎屑岩类含水岩组富水程度弱岩组。项目所在地整个地下水地质单元地下水条件较差。</w:t>
      </w:r>
    </w:p>
    <w:p w14:paraId="481DE5B5">
      <w:pPr>
        <w:widowControl/>
        <w:kinsoku w:val="0"/>
        <w:autoSpaceDE w:val="0"/>
        <w:autoSpaceDN w:val="0"/>
        <w:adjustRightInd w:val="0"/>
        <w:snapToGrid w:val="0"/>
        <w:spacing w:before="33" w:line="331" w:lineRule="auto"/>
        <w:ind w:left="8" w:firstLine="480"/>
        <w:jc w:val="left"/>
        <w:textAlignment w:val="baseline"/>
        <w:rPr>
          <w:rFonts w:ascii="宋体" w:hAnsi="宋体" w:eastAsia="宋体" w:cs="宋体"/>
          <w:snapToGrid w:val="0"/>
          <w:color w:val="000000"/>
          <w:spacing w:val="-2"/>
          <w:kern w:val="0"/>
          <w:sz w:val="24"/>
          <w:szCs w:val="24"/>
          <w:lang w:eastAsia="en-US"/>
        </w:rPr>
      </w:pPr>
      <w:r>
        <w:rPr>
          <w:rFonts w:ascii="宋体" w:hAnsi="宋体" w:eastAsia="宋体" w:cs="宋体"/>
          <w:snapToGrid w:val="0"/>
          <w:color w:val="000000"/>
          <w:spacing w:val="-2"/>
          <w:kern w:val="0"/>
          <w:sz w:val="24"/>
          <w:szCs w:val="24"/>
          <w:lang w:eastAsia="en-US"/>
        </w:rPr>
        <w:t>（2）地下水补径排条件</w:t>
      </w:r>
    </w:p>
    <w:p w14:paraId="2FAEAFA8">
      <w:pPr>
        <w:widowControl/>
        <w:kinsoku w:val="0"/>
        <w:autoSpaceDE w:val="0"/>
        <w:autoSpaceDN w:val="0"/>
        <w:adjustRightInd w:val="0"/>
        <w:snapToGrid w:val="0"/>
        <w:spacing w:before="33" w:line="331" w:lineRule="auto"/>
        <w:ind w:left="8" w:firstLine="480"/>
        <w:jc w:val="left"/>
        <w:textAlignment w:val="baseline"/>
        <w:rPr>
          <w:rFonts w:hint="eastAsia" w:ascii="宋体" w:hAnsi="宋体" w:eastAsia="宋体" w:cs="宋体"/>
          <w:snapToGrid w:val="0"/>
          <w:color w:val="000000"/>
          <w:spacing w:val="-2"/>
          <w:kern w:val="0"/>
          <w:sz w:val="24"/>
          <w:szCs w:val="24"/>
          <w:lang w:eastAsia="en-US"/>
        </w:rPr>
      </w:pPr>
      <w:r>
        <w:rPr>
          <w:rFonts w:ascii="宋体" w:hAnsi="宋体" w:eastAsia="宋体" w:cs="宋体"/>
          <w:snapToGrid w:val="0"/>
          <w:color w:val="000000"/>
          <w:spacing w:val="-2"/>
          <w:kern w:val="0"/>
          <w:sz w:val="24"/>
          <w:szCs w:val="24"/>
          <w:lang w:eastAsia="en-US"/>
        </w:rPr>
        <w:t>本项目所在区域地下水主要接受大气降水入渗补给、上游河谷区孔隙潜水侧向径流补给、两侧山区地下水侧向径流补给。地下水的径流特征主要受地形、地貌及水文地质条件的控制。表现为：南北两侧地下水向河谷平原区汇集后，自西向东流。地下水的排泄主要有两种方式：一种是以人工开采方式通过抽水井进行排泄；另一种方式是通过古河道（含水层）以地下径流形式向下游排泄。本区域地下水排泄主要以含水层开采为主。由于含水层上覆亚砂土或亚粘土层，且地下水为埋深较大，故蒸发作用不明显；在开采条件下，侧向排泄亦不明显。</w:t>
      </w:r>
    </w:p>
    <w:p w14:paraId="479D9AB7">
      <w:pPr>
        <w:pStyle w:val="389"/>
        <w:rPr>
          <w:color w:val="auto"/>
        </w:rPr>
      </w:pPr>
      <w:bookmarkStart w:id="231" w:name="_Toc446938388"/>
      <w:bookmarkStart w:id="232" w:name="_Toc448771397"/>
      <w:bookmarkStart w:id="233" w:name="_Toc448765662"/>
      <w:bookmarkStart w:id="234" w:name="_Toc448693354"/>
      <w:bookmarkStart w:id="235" w:name="_Toc448693432"/>
      <w:bookmarkStart w:id="236" w:name="_Toc24027900"/>
      <w:bookmarkStart w:id="237" w:name="_Toc8630"/>
      <w:bookmarkStart w:id="238" w:name="_Toc26678"/>
      <w:r>
        <w:rPr>
          <w:color w:val="auto"/>
        </w:rPr>
        <w:t>4.</w:t>
      </w:r>
      <w:bookmarkEnd w:id="231"/>
      <w:bookmarkEnd w:id="232"/>
      <w:bookmarkEnd w:id="233"/>
      <w:bookmarkEnd w:id="234"/>
      <w:bookmarkEnd w:id="235"/>
      <w:r>
        <w:rPr>
          <w:color w:val="auto"/>
        </w:rPr>
        <w:t>2周围环境情况</w:t>
      </w:r>
      <w:bookmarkEnd w:id="236"/>
      <w:bookmarkEnd w:id="237"/>
      <w:bookmarkEnd w:id="238"/>
    </w:p>
    <w:p w14:paraId="1B335EC0">
      <w:pPr>
        <w:widowControl/>
        <w:spacing w:line="360" w:lineRule="auto"/>
        <w:ind w:firstLine="480" w:firstLineChars="200"/>
        <w:rPr>
          <w:bCs/>
          <w:color w:val="auto"/>
          <w:sz w:val="24"/>
        </w:rPr>
      </w:pPr>
      <w:r>
        <w:rPr>
          <w:color w:val="auto"/>
          <w:kern w:val="0"/>
          <w:sz w:val="24"/>
        </w:rPr>
        <w:t>项目位于</w:t>
      </w:r>
      <w:r>
        <w:rPr>
          <w:rFonts w:hint="eastAsia"/>
          <w:color w:val="auto"/>
          <w:kern w:val="0"/>
          <w:sz w:val="24"/>
          <w:lang w:eastAsia="zh-CN"/>
        </w:rPr>
        <w:t>辽宁省朝阳市北票市西官镇大巴里村</w:t>
      </w:r>
      <w:r>
        <w:rPr>
          <w:color w:val="auto"/>
          <w:kern w:val="0"/>
          <w:sz w:val="24"/>
        </w:rPr>
        <w:t>，厂界外</w:t>
      </w:r>
      <w:r>
        <w:rPr>
          <w:rFonts w:hint="eastAsia"/>
          <w:color w:val="auto"/>
          <w:kern w:val="0"/>
          <w:sz w:val="24"/>
          <w:lang w:eastAsia="zh-CN"/>
        </w:rPr>
        <w:t>南侧</w:t>
      </w:r>
      <w:r>
        <w:rPr>
          <w:color w:val="auto"/>
          <w:kern w:val="0"/>
          <w:sz w:val="24"/>
        </w:rPr>
        <w:t>为</w:t>
      </w:r>
      <w:r>
        <w:rPr>
          <w:rFonts w:hint="eastAsia"/>
          <w:color w:val="auto"/>
          <w:kern w:val="0"/>
          <w:sz w:val="24"/>
          <w:lang w:eastAsia="zh-CN"/>
        </w:rPr>
        <w:t>大棚</w:t>
      </w:r>
      <w:r>
        <w:rPr>
          <w:color w:val="auto"/>
          <w:kern w:val="0"/>
          <w:sz w:val="24"/>
        </w:rPr>
        <w:t>，</w:t>
      </w:r>
      <w:r>
        <w:rPr>
          <w:rFonts w:hint="eastAsia"/>
          <w:color w:val="auto"/>
          <w:kern w:val="0"/>
          <w:sz w:val="24"/>
          <w:lang w:eastAsia="zh-CN"/>
        </w:rPr>
        <w:t>东</w:t>
      </w:r>
      <w:r>
        <w:rPr>
          <w:color w:val="auto"/>
          <w:kern w:val="0"/>
          <w:sz w:val="24"/>
        </w:rPr>
        <w:t>侧、</w:t>
      </w:r>
      <w:r>
        <w:rPr>
          <w:rFonts w:hint="eastAsia"/>
          <w:color w:val="auto"/>
          <w:kern w:val="0"/>
          <w:sz w:val="24"/>
          <w:lang w:eastAsia="zh-CN"/>
        </w:rPr>
        <w:t>西</w:t>
      </w:r>
      <w:r>
        <w:rPr>
          <w:color w:val="auto"/>
          <w:kern w:val="0"/>
          <w:sz w:val="24"/>
        </w:rPr>
        <w:t>侧</w:t>
      </w:r>
      <w:r>
        <w:rPr>
          <w:rFonts w:hint="eastAsia"/>
          <w:color w:val="auto"/>
          <w:kern w:val="0"/>
          <w:sz w:val="24"/>
          <w:lang w:eastAsia="zh-CN"/>
        </w:rPr>
        <w:t>、北侧</w:t>
      </w:r>
      <w:r>
        <w:rPr>
          <w:color w:val="auto"/>
          <w:kern w:val="0"/>
          <w:sz w:val="24"/>
        </w:rPr>
        <w:t>为</w:t>
      </w:r>
      <w:r>
        <w:rPr>
          <w:rFonts w:hint="eastAsia"/>
          <w:color w:val="auto"/>
          <w:kern w:val="0"/>
          <w:sz w:val="24"/>
        </w:rPr>
        <w:t>耕地。</w:t>
      </w:r>
      <w:r>
        <w:rPr>
          <w:color w:val="auto"/>
          <w:kern w:val="0"/>
          <w:sz w:val="24"/>
        </w:rPr>
        <w:t>整个场区向阳而建，地理位置优越，是理想的养殖场所。</w:t>
      </w:r>
      <w:r>
        <w:rPr>
          <w:bCs/>
          <w:color w:val="auto"/>
          <w:sz w:val="24"/>
        </w:rPr>
        <w:t>该项目附近社会环境情况见表4</w:t>
      </w:r>
      <w:r>
        <w:rPr>
          <w:rFonts w:hint="eastAsia"/>
          <w:bCs/>
          <w:color w:val="auto"/>
          <w:sz w:val="24"/>
          <w:lang w:val="en-US" w:eastAsia="zh-CN"/>
        </w:rPr>
        <w:t>.2</w:t>
      </w:r>
      <w:r>
        <w:rPr>
          <w:bCs/>
          <w:color w:val="auto"/>
          <w:sz w:val="24"/>
        </w:rPr>
        <w:t>-1。</w:t>
      </w:r>
    </w:p>
    <w:p w14:paraId="6695D46A">
      <w:pPr>
        <w:widowControl/>
        <w:jc w:val="center"/>
        <w:rPr>
          <w:b/>
          <w:bCs/>
          <w:color w:val="auto"/>
          <w:szCs w:val="21"/>
        </w:rPr>
      </w:pPr>
      <w:r>
        <w:rPr>
          <w:b/>
          <w:color w:val="auto"/>
          <w:szCs w:val="21"/>
        </w:rPr>
        <w:t>表4</w:t>
      </w:r>
      <w:r>
        <w:rPr>
          <w:rFonts w:hint="eastAsia"/>
          <w:b/>
          <w:color w:val="auto"/>
          <w:szCs w:val="21"/>
          <w:lang w:val="en-US" w:eastAsia="zh-CN"/>
        </w:rPr>
        <w:t>.2</w:t>
      </w:r>
      <w:r>
        <w:rPr>
          <w:b/>
          <w:color w:val="auto"/>
          <w:szCs w:val="21"/>
        </w:rPr>
        <w:t xml:space="preserve">-1 </w:t>
      </w:r>
      <w:r>
        <w:rPr>
          <w:rFonts w:hint="eastAsia"/>
          <w:b/>
          <w:color w:val="auto"/>
          <w:szCs w:val="21"/>
          <w:lang w:val="en-US" w:eastAsia="zh-CN"/>
        </w:rPr>
        <w:t xml:space="preserve">  </w:t>
      </w:r>
      <w:r>
        <w:rPr>
          <w:b/>
          <w:color w:val="auto"/>
          <w:szCs w:val="21"/>
        </w:rPr>
        <w:t xml:space="preserve"> </w:t>
      </w:r>
      <w:r>
        <w:rPr>
          <w:b/>
          <w:bCs/>
          <w:color w:val="auto"/>
          <w:szCs w:val="21"/>
        </w:rPr>
        <w:t>附近社会环境情况</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920"/>
        <w:gridCol w:w="3041"/>
        <w:gridCol w:w="1647"/>
        <w:gridCol w:w="1887"/>
      </w:tblGrid>
      <w:tr w14:paraId="41F67A49">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4EFEF501">
            <w:pPr>
              <w:widowControl/>
              <w:adjustRightInd w:val="0"/>
              <w:snapToGrid w:val="0"/>
              <w:jc w:val="center"/>
              <w:rPr>
                <w:color w:val="auto"/>
                <w:kern w:val="0"/>
                <w:szCs w:val="21"/>
              </w:rPr>
            </w:pPr>
            <w:r>
              <w:rPr>
                <w:color w:val="auto"/>
                <w:kern w:val="0"/>
                <w:szCs w:val="21"/>
              </w:rPr>
              <w:t>名称</w:t>
            </w:r>
          </w:p>
        </w:tc>
        <w:tc>
          <w:tcPr>
            <w:tcW w:w="3041" w:type="dxa"/>
            <w:tcBorders>
              <w:tl2br w:val="nil"/>
              <w:tr2bl w:val="nil"/>
            </w:tcBorders>
            <w:vAlign w:val="center"/>
          </w:tcPr>
          <w:p w14:paraId="1D81CDFB">
            <w:pPr>
              <w:widowControl/>
              <w:adjustRightInd w:val="0"/>
              <w:snapToGrid w:val="0"/>
              <w:jc w:val="center"/>
              <w:rPr>
                <w:color w:val="auto"/>
                <w:kern w:val="0"/>
                <w:szCs w:val="21"/>
              </w:rPr>
            </w:pPr>
            <w:r>
              <w:rPr>
                <w:color w:val="auto"/>
                <w:kern w:val="0"/>
                <w:szCs w:val="21"/>
              </w:rPr>
              <w:t>保护对象</w:t>
            </w:r>
          </w:p>
        </w:tc>
        <w:tc>
          <w:tcPr>
            <w:tcW w:w="1647" w:type="dxa"/>
            <w:tcBorders>
              <w:tl2br w:val="nil"/>
              <w:tr2bl w:val="nil"/>
            </w:tcBorders>
            <w:vAlign w:val="center"/>
          </w:tcPr>
          <w:p w14:paraId="775A9144">
            <w:pPr>
              <w:widowControl/>
              <w:adjustRightInd w:val="0"/>
              <w:snapToGrid w:val="0"/>
              <w:jc w:val="center"/>
              <w:rPr>
                <w:color w:val="auto"/>
                <w:kern w:val="0"/>
                <w:szCs w:val="21"/>
              </w:rPr>
            </w:pPr>
            <w:r>
              <w:rPr>
                <w:color w:val="auto"/>
                <w:kern w:val="0"/>
                <w:szCs w:val="21"/>
              </w:rPr>
              <w:t>相对厂址方位</w:t>
            </w:r>
          </w:p>
        </w:tc>
        <w:tc>
          <w:tcPr>
            <w:tcW w:w="1887" w:type="dxa"/>
            <w:tcBorders>
              <w:tl2br w:val="nil"/>
              <w:tr2bl w:val="nil"/>
            </w:tcBorders>
            <w:vAlign w:val="center"/>
          </w:tcPr>
          <w:p w14:paraId="0D42234C">
            <w:pPr>
              <w:widowControl/>
              <w:adjustRightInd w:val="0"/>
              <w:snapToGrid w:val="0"/>
              <w:jc w:val="center"/>
              <w:rPr>
                <w:color w:val="auto"/>
                <w:kern w:val="0"/>
                <w:szCs w:val="21"/>
              </w:rPr>
            </w:pPr>
            <w:r>
              <w:rPr>
                <w:color w:val="auto"/>
                <w:kern w:val="0"/>
                <w:szCs w:val="21"/>
              </w:rPr>
              <w:t>相对厂界距离/m</w:t>
            </w:r>
          </w:p>
        </w:tc>
      </w:tr>
      <w:tr w14:paraId="11EE34D3">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05E43293">
            <w:pPr>
              <w:jc w:val="center"/>
              <w:rPr>
                <w:rFonts w:hint="eastAsia" w:eastAsia="宋体"/>
                <w:color w:val="auto"/>
                <w:szCs w:val="21"/>
                <w:lang w:eastAsia="zh-CN"/>
              </w:rPr>
            </w:pPr>
            <w:r>
              <w:rPr>
                <w:rFonts w:hint="eastAsia"/>
                <w:color w:val="auto"/>
                <w:lang w:eastAsia="zh-CN"/>
              </w:rPr>
              <w:t>耕地</w:t>
            </w:r>
          </w:p>
        </w:tc>
        <w:tc>
          <w:tcPr>
            <w:tcW w:w="3041" w:type="dxa"/>
            <w:tcBorders>
              <w:tl2br w:val="nil"/>
              <w:tr2bl w:val="nil"/>
            </w:tcBorders>
            <w:vAlign w:val="center"/>
          </w:tcPr>
          <w:p w14:paraId="6836D40D">
            <w:pPr>
              <w:jc w:val="center"/>
              <w:rPr>
                <w:color w:val="auto"/>
                <w:kern w:val="0"/>
                <w:szCs w:val="21"/>
              </w:rPr>
            </w:pPr>
            <w:r>
              <w:rPr>
                <w:color w:val="auto"/>
                <w:kern w:val="0"/>
                <w:szCs w:val="21"/>
              </w:rPr>
              <w:t>/</w:t>
            </w:r>
          </w:p>
        </w:tc>
        <w:tc>
          <w:tcPr>
            <w:tcW w:w="1647" w:type="dxa"/>
            <w:tcBorders>
              <w:tl2br w:val="nil"/>
              <w:tr2bl w:val="nil"/>
            </w:tcBorders>
            <w:vAlign w:val="center"/>
          </w:tcPr>
          <w:p w14:paraId="0317663F">
            <w:pPr>
              <w:jc w:val="center"/>
              <w:rPr>
                <w:rFonts w:hint="eastAsia" w:eastAsia="宋体"/>
                <w:color w:val="auto"/>
                <w:szCs w:val="21"/>
                <w:lang w:eastAsia="zh-CN"/>
              </w:rPr>
            </w:pPr>
            <w:r>
              <w:rPr>
                <w:rFonts w:hint="eastAsia"/>
                <w:color w:val="auto"/>
                <w:spacing w:val="6"/>
                <w:szCs w:val="21"/>
                <w:lang w:eastAsia="zh-CN"/>
              </w:rPr>
              <w:t>北</w:t>
            </w:r>
          </w:p>
        </w:tc>
        <w:tc>
          <w:tcPr>
            <w:tcW w:w="1887" w:type="dxa"/>
            <w:tcBorders>
              <w:tl2br w:val="nil"/>
              <w:tr2bl w:val="nil"/>
            </w:tcBorders>
            <w:vAlign w:val="center"/>
          </w:tcPr>
          <w:p w14:paraId="5AB6734D">
            <w:pPr>
              <w:jc w:val="center"/>
              <w:rPr>
                <w:color w:val="auto"/>
                <w:szCs w:val="21"/>
              </w:rPr>
            </w:pPr>
            <w:r>
              <w:rPr>
                <w:color w:val="auto"/>
              </w:rPr>
              <w:t>相邻</w:t>
            </w:r>
          </w:p>
        </w:tc>
      </w:tr>
      <w:tr w14:paraId="29EB5B07">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40DA3FE0">
            <w:pPr>
              <w:jc w:val="center"/>
              <w:rPr>
                <w:color w:val="auto"/>
                <w:szCs w:val="21"/>
              </w:rPr>
            </w:pPr>
            <w:r>
              <w:rPr>
                <w:color w:val="auto"/>
              </w:rPr>
              <w:t>耕地</w:t>
            </w:r>
          </w:p>
        </w:tc>
        <w:tc>
          <w:tcPr>
            <w:tcW w:w="3041" w:type="dxa"/>
            <w:tcBorders>
              <w:tl2br w:val="nil"/>
              <w:tr2bl w:val="nil"/>
            </w:tcBorders>
            <w:vAlign w:val="center"/>
          </w:tcPr>
          <w:p w14:paraId="59F41FED">
            <w:pPr>
              <w:jc w:val="center"/>
              <w:rPr>
                <w:color w:val="auto"/>
                <w:kern w:val="0"/>
                <w:szCs w:val="21"/>
              </w:rPr>
            </w:pPr>
            <w:r>
              <w:rPr>
                <w:color w:val="auto"/>
                <w:kern w:val="0"/>
                <w:szCs w:val="21"/>
              </w:rPr>
              <w:t>/</w:t>
            </w:r>
          </w:p>
        </w:tc>
        <w:tc>
          <w:tcPr>
            <w:tcW w:w="1647" w:type="dxa"/>
            <w:tcBorders>
              <w:tl2br w:val="nil"/>
              <w:tr2bl w:val="nil"/>
            </w:tcBorders>
            <w:vAlign w:val="center"/>
          </w:tcPr>
          <w:p w14:paraId="134CC3E5">
            <w:pPr>
              <w:jc w:val="center"/>
              <w:rPr>
                <w:rFonts w:hint="eastAsia" w:eastAsia="宋体"/>
                <w:color w:val="auto"/>
                <w:szCs w:val="21"/>
                <w:lang w:eastAsia="zh-CN"/>
              </w:rPr>
            </w:pPr>
            <w:r>
              <w:rPr>
                <w:rFonts w:hint="eastAsia"/>
                <w:color w:val="auto"/>
                <w:szCs w:val="21"/>
                <w:lang w:eastAsia="zh-CN"/>
              </w:rPr>
              <w:t>东</w:t>
            </w:r>
          </w:p>
        </w:tc>
        <w:tc>
          <w:tcPr>
            <w:tcW w:w="1887" w:type="dxa"/>
            <w:tcBorders>
              <w:tl2br w:val="nil"/>
              <w:tr2bl w:val="nil"/>
            </w:tcBorders>
            <w:vAlign w:val="center"/>
          </w:tcPr>
          <w:p w14:paraId="33EACBD4">
            <w:pPr>
              <w:jc w:val="center"/>
              <w:rPr>
                <w:color w:val="auto"/>
                <w:szCs w:val="21"/>
              </w:rPr>
            </w:pPr>
            <w:r>
              <w:rPr>
                <w:color w:val="auto"/>
              </w:rPr>
              <w:t>相邻</w:t>
            </w:r>
          </w:p>
        </w:tc>
      </w:tr>
      <w:tr w14:paraId="56C91C16">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52AC8C67">
            <w:pPr>
              <w:jc w:val="center"/>
              <w:rPr>
                <w:rFonts w:hint="eastAsia" w:eastAsia="宋体"/>
                <w:color w:val="auto"/>
                <w:szCs w:val="21"/>
                <w:lang w:eastAsia="zh-CN"/>
              </w:rPr>
            </w:pPr>
            <w:r>
              <w:rPr>
                <w:rFonts w:hint="eastAsia"/>
                <w:color w:val="auto"/>
                <w:lang w:eastAsia="zh-CN"/>
              </w:rPr>
              <w:t>大棚</w:t>
            </w:r>
          </w:p>
        </w:tc>
        <w:tc>
          <w:tcPr>
            <w:tcW w:w="3041" w:type="dxa"/>
            <w:tcBorders>
              <w:tl2br w:val="nil"/>
              <w:tr2bl w:val="nil"/>
            </w:tcBorders>
            <w:vAlign w:val="center"/>
          </w:tcPr>
          <w:p w14:paraId="4B746632">
            <w:pPr>
              <w:jc w:val="center"/>
              <w:rPr>
                <w:color w:val="auto"/>
                <w:kern w:val="0"/>
                <w:szCs w:val="21"/>
              </w:rPr>
            </w:pPr>
            <w:r>
              <w:rPr>
                <w:color w:val="auto"/>
                <w:kern w:val="0"/>
                <w:szCs w:val="21"/>
              </w:rPr>
              <w:t>/</w:t>
            </w:r>
          </w:p>
        </w:tc>
        <w:tc>
          <w:tcPr>
            <w:tcW w:w="1647" w:type="dxa"/>
            <w:tcBorders>
              <w:tl2br w:val="nil"/>
              <w:tr2bl w:val="nil"/>
            </w:tcBorders>
            <w:vAlign w:val="center"/>
          </w:tcPr>
          <w:p w14:paraId="51C40CDD">
            <w:pPr>
              <w:jc w:val="center"/>
              <w:rPr>
                <w:rFonts w:hint="eastAsia" w:eastAsia="宋体"/>
                <w:color w:val="auto"/>
                <w:szCs w:val="21"/>
                <w:lang w:eastAsia="zh-CN"/>
              </w:rPr>
            </w:pPr>
            <w:r>
              <w:rPr>
                <w:rFonts w:hint="eastAsia"/>
                <w:color w:val="auto"/>
                <w:szCs w:val="21"/>
                <w:lang w:eastAsia="zh-CN"/>
              </w:rPr>
              <w:t>南</w:t>
            </w:r>
          </w:p>
        </w:tc>
        <w:tc>
          <w:tcPr>
            <w:tcW w:w="1887" w:type="dxa"/>
            <w:tcBorders>
              <w:tl2br w:val="nil"/>
              <w:tr2bl w:val="nil"/>
            </w:tcBorders>
            <w:vAlign w:val="center"/>
          </w:tcPr>
          <w:p w14:paraId="1889514E">
            <w:pPr>
              <w:jc w:val="center"/>
              <w:rPr>
                <w:color w:val="auto"/>
                <w:szCs w:val="21"/>
              </w:rPr>
            </w:pPr>
            <w:r>
              <w:rPr>
                <w:color w:val="auto"/>
              </w:rPr>
              <w:t>相邻</w:t>
            </w:r>
          </w:p>
        </w:tc>
      </w:tr>
      <w:tr w14:paraId="09E0CF6D">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5A17E836">
            <w:pPr>
              <w:jc w:val="center"/>
              <w:rPr>
                <w:color w:val="auto"/>
                <w:szCs w:val="21"/>
              </w:rPr>
            </w:pPr>
            <w:r>
              <w:rPr>
                <w:color w:val="auto"/>
              </w:rPr>
              <w:t>耕地</w:t>
            </w:r>
          </w:p>
        </w:tc>
        <w:tc>
          <w:tcPr>
            <w:tcW w:w="3041" w:type="dxa"/>
            <w:tcBorders>
              <w:tl2br w:val="nil"/>
              <w:tr2bl w:val="nil"/>
            </w:tcBorders>
            <w:vAlign w:val="center"/>
          </w:tcPr>
          <w:p w14:paraId="06090848">
            <w:pPr>
              <w:jc w:val="center"/>
              <w:rPr>
                <w:color w:val="auto"/>
                <w:kern w:val="0"/>
                <w:szCs w:val="21"/>
              </w:rPr>
            </w:pPr>
            <w:r>
              <w:rPr>
                <w:color w:val="auto"/>
                <w:kern w:val="0"/>
                <w:szCs w:val="21"/>
              </w:rPr>
              <w:t>/</w:t>
            </w:r>
          </w:p>
        </w:tc>
        <w:tc>
          <w:tcPr>
            <w:tcW w:w="1647" w:type="dxa"/>
            <w:tcBorders>
              <w:tl2br w:val="nil"/>
              <w:tr2bl w:val="nil"/>
            </w:tcBorders>
            <w:vAlign w:val="center"/>
          </w:tcPr>
          <w:p w14:paraId="3C246042">
            <w:pPr>
              <w:jc w:val="center"/>
              <w:rPr>
                <w:rFonts w:hint="eastAsia" w:eastAsia="宋体"/>
                <w:color w:val="auto"/>
                <w:szCs w:val="21"/>
                <w:lang w:eastAsia="zh-CN"/>
              </w:rPr>
            </w:pPr>
            <w:r>
              <w:rPr>
                <w:rFonts w:hint="eastAsia"/>
                <w:color w:val="auto"/>
                <w:szCs w:val="21"/>
                <w:lang w:eastAsia="zh-CN"/>
              </w:rPr>
              <w:t>西</w:t>
            </w:r>
          </w:p>
        </w:tc>
        <w:tc>
          <w:tcPr>
            <w:tcW w:w="1887" w:type="dxa"/>
            <w:tcBorders>
              <w:tl2br w:val="nil"/>
              <w:tr2bl w:val="nil"/>
            </w:tcBorders>
            <w:vAlign w:val="center"/>
          </w:tcPr>
          <w:p w14:paraId="6B77059A">
            <w:pPr>
              <w:jc w:val="center"/>
              <w:rPr>
                <w:color w:val="auto"/>
                <w:szCs w:val="21"/>
              </w:rPr>
            </w:pPr>
            <w:r>
              <w:rPr>
                <w:color w:val="auto"/>
              </w:rPr>
              <w:t>相邻</w:t>
            </w:r>
          </w:p>
        </w:tc>
      </w:tr>
      <w:tr w14:paraId="0E5F1A3C">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4AA5A45A">
            <w:pPr>
              <w:jc w:val="center"/>
              <w:rPr>
                <w:color w:val="auto"/>
                <w:spacing w:val="6"/>
                <w:szCs w:val="21"/>
              </w:rPr>
            </w:pPr>
            <w:r>
              <w:rPr>
                <w:rFonts w:hint="eastAsia"/>
                <w:color w:val="auto"/>
                <w:szCs w:val="21"/>
                <w:highlight w:val="none"/>
                <w:lang w:eastAsia="zh-CN"/>
              </w:rPr>
              <w:t>西高楼村</w:t>
            </w:r>
          </w:p>
        </w:tc>
        <w:tc>
          <w:tcPr>
            <w:tcW w:w="3041" w:type="dxa"/>
            <w:tcBorders>
              <w:tl2br w:val="nil"/>
              <w:tr2bl w:val="nil"/>
            </w:tcBorders>
            <w:vAlign w:val="center"/>
          </w:tcPr>
          <w:p w14:paraId="0816EEA2">
            <w:pPr>
              <w:widowControl/>
              <w:jc w:val="center"/>
              <w:rPr>
                <w:color w:val="auto"/>
                <w:kern w:val="0"/>
                <w:szCs w:val="21"/>
              </w:rPr>
            </w:pPr>
            <w:r>
              <w:rPr>
                <w:color w:val="auto"/>
                <w:kern w:val="0"/>
                <w:szCs w:val="21"/>
              </w:rPr>
              <w:t>村民</w:t>
            </w:r>
          </w:p>
        </w:tc>
        <w:tc>
          <w:tcPr>
            <w:tcW w:w="1647" w:type="dxa"/>
            <w:tcBorders>
              <w:tl2br w:val="nil"/>
              <w:tr2bl w:val="nil"/>
            </w:tcBorders>
            <w:vAlign w:val="center"/>
          </w:tcPr>
          <w:p w14:paraId="5D6B15E8">
            <w:pPr>
              <w:jc w:val="center"/>
              <w:rPr>
                <w:color w:val="auto"/>
                <w:spacing w:val="6"/>
                <w:szCs w:val="21"/>
              </w:rPr>
            </w:pPr>
            <w:r>
              <w:rPr>
                <w:rFonts w:hint="eastAsia"/>
                <w:color w:val="auto"/>
                <w:szCs w:val="21"/>
                <w:highlight w:val="none"/>
                <w:lang w:eastAsia="zh-CN"/>
              </w:rPr>
              <w:t>东</w:t>
            </w:r>
          </w:p>
        </w:tc>
        <w:tc>
          <w:tcPr>
            <w:tcW w:w="1887" w:type="dxa"/>
            <w:tcBorders>
              <w:tl2br w:val="nil"/>
              <w:tr2bl w:val="nil"/>
            </w:tcBorders>
            <w:vAlign w:val="center"/>
          </w:tcPr>
          <w:p w14:paraId="01CCB77B">
            <w:pPr>
              <w:jc w:val="center"/>
              <w:rPr>
                <w:color w:val="auto"/>
                <w:szCs w:val="21"/>
              </w:rPr>
            </w:pPr>
            <w:r>
              <w:rPr>
                <w:rFonts w:hint="eastAsia"/>
                <w:color w:val="auto"/>
                <w:szCs w:val="21"/>
                <w:highlight w:val="none"/>
                <w:lang w:val="en-US" w:eastAsia="zh-CN"/>
              </w:rPr>
              <w:t>2192</w:t>
            </w:r>
          </w:p>
        </w:tc>
      </w:tr>
      <w:tr w14:paraId="23A91E65">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5325B58F">
            <w:pPr>
              <w:jc w:val="center"/>
              <w:rPr>
                <w:color w:val="auto"/>
                <w:spacing w:val="6"/>
                <w:szCs w:val="21"/>
              </w:rPr>
            </w:pPr>
            <w:r>
              <w:rPr>
                <w:rFonts w:hint="eastAsia"/>
                <w:color w:val="auto"/>
                <w:szCs w:val="21"/>
                <w:highlight w:val="none"/>
                <w:lang w:eastAsia="zh-CN"/>
              </w:rPr>
              <w:t>兴隆洼北沟</w:t>
            </w:r>
          </w:p>
        </w:tc>
        <w:tc>
          <w:tcPr>
            <w:tcW w:w="3041" w:type="dxa"/>
            <w:tcBorders>
              <w:tl2br w:val="nil"/>
              <w:tr2bl w:val="nil"/>
            </w:tcBorders>
            <w:vAlign w:val="center"/>
          </w:tcPr>
          <w:p w14:paraId="7B23C34A">
            <w:pPr>
              <w:jc w:val="center"/>
              <w:rPr>
                <w:color w:val="auto"/>
                <w:szCs w:val="21"/>
              </w:rPr>
            </w:pPr>
            <w:r>
              <w:rPr>
                <w:color w:val="auto"/>
                <w:kern w:val="0"/>
                <w:szCs w:val="21"/>
              </w:rPr>
              <w:t>村民</w:t>
            </w:r>
          </w:p>
        </w:tc>
        <w:tc>
          <w:tcPr>
            <w:tcW w:w="1647" w:type="dxa"/>
            <w:tcBorders>
              <w:tl2br w:val="nil"/>
              <w:tr2bl w:val="nil"/>
            </w:tcBorders>
            <w:vAlign w:val="center"/>
          </w:tcPr>
          <w:p w14:paraId="5C4D2B0C">
            <w:pPr>
              <w:jc w:val="center"/>
              <w:rPr>
                <w:color w:val="auto"/>
                <w:spacing w:val="6"/>
                <w:szCs w:val="21"/>
              </w:rPr>
            </w:pPr>
            <w:r>
              <w:rPr>
                <w:rFonts w:hint="eastAsia"/>
                <w:color w:val="auto"/>
                <w:szCs w:val="21"/>
                <w:highlight w:val="none"/>
                <w:lang w:val="en-US" w:eastAsia="zh-CN"/>
              </w:rPr>
              <w:t>东南</w:t>
            </w:r>
          </w:p>
        </w:tc>
        <w:tc>
          <w:tcPr>
            <w:tcW w:w="1887" w:type="dxa"/>
            <w:tcBorders>
              <w:tl2br w:val="nil"/>
              <w:tr2bl w:val="nil"/>
            </w:tcBorders>
            <w:vAlign w:val="center"/>
          </w:tcPr>
          <w:p w14:paraId="61B34438">
            <w:pPr>
              <w:jc w:val="center"/>
              <w:rPr>
                <w:color w:val="auto"/>
                <w:szCs w:val="21"/>
              </w:rPr>
            </w:pPr>
            <w:r>
              <w:rPr>
                <w:rFonts w:hint="eastAsia"/>
                <w:color w:val="auto"/>
                <w:szCs w:val="21"/>
                <w:highlight w:val="none"/>
                <w:lang w:val="en-US" w:eastAsia="zh-CN"/>
              </w:rPr>
              <w:t>1144</w:t>
            </w:r>
          </w:p>
        </w:tc>
      </w:tr>
      <w:tr w14:paraId="5902AE29">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34883EFD">
            <w:pPr>
              <w:jc w:val="center"/>
              <w:rPr>
                <w:color w:val="auto"/>
                <w:spacing w:val="6"/>
                <w:szCs w:val="21"/>
              </w:rPr>
            </w:pPr>
            <w:r>
              <w:rPr>
                <w:rFonts w:hint="eastAsia"/>
                <w:color w:val="auto"/>
                <w:szCs w:val="21"/>
                <w:highlight w:val="none"/>
                <w:lang w:eastAsia="zh-CN"/>
              </w:rPr>
              <w:t>马架子</w:t>
            </w:r>
          </w:p>
        </w:tc>
        <w:tc>
          <w:tcPr>
            <w:tcW w:w="3041" w:type="dxa"/>
            <w:tcBorders>
              <w:tl2br w:val="nil"/>
              <w:tr2bl w:val="nil"/>
            </w:tcBorders>
            <w:vAlign w:val="center"/>
          </w:tcPr>
          <w:p w14:paraId="4F8CB9AE">
            <w:pPr>
              <w:jc w:val="center"/>
              <w:rPr>
                <w:color w:val="auto"/>
                <w:szCs w:val="21"/>
              </w:rPr>
            </w:pPr>
            <w:r>
              <w:rPr>
                <w:color w:val="auto"/>
                <w:kern w:val="0"/>
                <w:szCs w:val="21"/>
              </w:rPr>
              <w:t>村民</w:t>
            </w:r>
          </w:p>
        </w:tc>
        <w:tc>
          <w:tcPr>
            <w:tcW w:w="1647" w:type="dxa"/>
            <w:tcBorders>
              <w:tl2br w:val="nil"/>
              <w:tr2bl w:val="nil"/>
            </w:tcBorders>
            <w:vAlign w:val="center"/>
          </w:tcPr>
          <w:p w14:paraId="0A6EAB20">
            <w:pPr>
              <w:jc w:val="center"/>
              <w:rPr>
                <w:color w:val="auto"/>
                <w:spacing w:val="6"/>
                <w:szCs w:val="21"/>
              </w:rPr>
            </w:pPr>
            <w:r>
              <w:rPr>
                <w:rFonts w:hint="eastAsia"/>
                <w:color w:val="auto"/>
                <w:szCs w:val="21"/>
                <w:highlight w:val="none"/>
                <w:lang w:eastAsia="zh-CN"/>
              </w:rPr>
              <w:t>东南</w:t>
            </w:r>
          </w:p>
        </w:tc>
        <w:tc>
          <w:tcPr>
            <w:tcW w:w="1887" w:type="dxa"/>
            <w:tcBorders>
              <w:tl2br w:val="nil"/>
              <w:tr2bl w:val="nil"/>
            </w:tcBorders>
            <w:vAlign w:val="center"/>
          </w:tcPr>
          <w:p w14:paraId="45AF2FDA">
            <w:pPr>
              <w:jc w:val="center"/>
              <w:rPr>
                <w:color w:val="auto"/>
                <w:szCs w:val="21"/>
              </w:rPr>
            </w:pPr>
            <w:r>
              <w:rPr>
                <w:rFonts w:hint="eastAsia"/>
                <w:color w:val="auto"/>
                <w:szCs w:val="21"/>
                <w:highlight w:val="none"/>
                <w:lang w:val="en-US" w:eastAsia="zh-CN"/>
              </w:rPr>
              <w:t>1243</w:t>
            </w:r>
          </w:p>
        </w:tc>
      </w:tr>
      <w:tr w14:paraId="29FAE954">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43BE1EB9">
            <w:pPr>
              <w:widowControl/>
              <w:jc w:val="center"/>
              <w:rPr>
                <w:color w:val="auto"/>
                <w:spacing w:val="6"/>
                <w:szCs w:val="21"/>
              </w:rPr>
            </w:pPr>
            <w:r>
              <w:rPr>
                <w:rFonts w:hint="eastAsia"/>
                <w:color w:val="auto"/>
                <w:szCs w:val="21"/>
                <w:highlight w:val="none"/>
                <w:lang w:eastAsia="zh-CN"/>
              </w:rPr>
              <w:t>兴隆洼</w:t>
            </w:r>
          </w:p>
        </w:tc>
        <w:tc>
          <w:tcPr>
            <w:tcW w:w="3041" w:type="dxa"/>
            <w:tcBorders>
              <w:tl2br w:val="nil"/>
              <w:tr2bl w:val="nil"/>
            </w:tcBorders>
            <w:vAlign w:val="center"/>
          </w:tcPr>
          <w:p w14:paraId="19F49628">
            <w:pPr>
              <w:jc w:val="center"/>
              <w:rPr>
                <w:color w:val="auto"/>
                <w:szCs w:val="21"/>
              </w:rPr>
            </w:pPr>
            <w:r>
              <w:rPr>
                <w:color w:val="auto"/>
                <w:kern w:val="0"/>
                <w:szCs w:val="21"/>
              </w:rPr>
              <w:t>村民</w:t>
            </w:r>
          </w:p>
        </w:tc>
        <w:tc>
          <w:tcPr>
            <w:tcW w:w="1647" w:type="dxa"/>
            <w:tcBorders>
              <w:tl2br w:val="nil"/>
              <w:tr2bl w:val="nil"/>
            </w:tcBorders>
            <w:vAlign w:val="center"/>
          </w:tcPr>
          <w:p w14:paraId="5F7FA582">
            <w:pPr>
              <w:jc w:val="center"/>
              <w:rPr>
                <w:color w:val="auto"/>
                <w:spacing w:val="6"/>
                <w:szCs w:val="21"/>
              </w:rPr>
            </w:pPr>
            <w:r>
              <w:rPr>
                <w:rFonts w:hint="eastAsia"/>
                <w:color w:val="auto"/>
                <w:szCs w:val="21"/>
                <w:highlight w:val="none"/>
                <w:lang w:eastAsia="zh-CN"/>
              </w:rPr>
              <w:t>东南</w:t>
            </w:r>
          </w:p>
        </w:tc>
        <w:tc>
          <w:tcPr>
            <w:tcW w:w="1887" w:type="dxa"/>
            <w:tcBorders>
              <w:tl2br w:val="nil"/>
              <w:tr2bl w:val="nil"/>
            </w:tcBorders>
            <w:vAlign w:val="center"/>
          </w:tcPr>
          <w:p w14:paraId="6725F4C0">
            <w:pPr>
              <w:jc w:val="center"/>
              <w:rPr>
                <w:rFonts w:hint="default"/>
                <w:color w:val="auto"/>
                <w:szCs w:val="21"/>
                <w:lang w:val="en-US"/>
              </w:rPr>
            </w:pPr>
            <w:r>
              <w:rPr>
                <w:rFonts w:hint="eastAsia"/>
                <w:color w:val="auto"/>
                <w:szCs w:val="21"/>
                <w:highlight w:val="none"/>
                <w:lang w:val="en-US" w:eastAsia="zh-CN"/>
              </w:rPr>
              <w:t>1953</w:t>
            </w:r>
          </w:p>
        </w:tc>
      </w:tr>
      <w:tr w14:paraId="46375700">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0578CEC2">
            <w:pPr>
              <w:widowControl/>
              <w:jc w:val="center"/>
              <w:rPr>
                <w:rFonts w:hint="eastAsia"/>
                <w:color w:val="auto"/>
                <w:szCs w:val="21"/>
              </w:rPr>
            </w:pPr>
            <w:r>
              <w:rPr>
                <w:rFonts w:hint="eastAsia"/>
                <w:color w:val="auto"/>
                <w:szCs w:val="21"/>
                <w:highlight w:val="none"/>
                <w:lang w:eastAsia="zh-CN"/>
              </w:rPr>
              <w:t>姜家沟</w:t>
            </w:r>
          </w:p>
        </w:tc>
        <w:tc>
          <w:tcPr>
            <w:tcW w:w="3041" w:type="dxa"/>
            <w:tcBorders>
              <w:tl2br w:val="nil"/>
              <w:tr2bl w:val="nil"/>
            </w:tcBorders>
            <w:vAlign w:val="center"/>
          </w:tcPr>
          <w:p w14:paraId="40B35999">
            <w:pPr>
              <w:jc w:val="center"/>
              <w:rPr>
                <w:color w:val="auto"/>
                <w:kern w:val="0"/>
                <w:szCs w:val="21"/>
              </w:rPr>
            </w:pPr>
            <w:r>
              <w:rPr>
                <w:color w:val="auto"/>
                <w:kern w:val="0"/>
                <w:szCs w:val="21"/>
              </w:rPr>
              <w:t>村民</w:t>
            </w:r>
          </w:p>
        </w:tc>
        <w:tc>
          <w:tcPr>
            <w:tcW w:w="1647" w:type="dxa"/>
            <w:tcBorders>
              <w:tl2br w:val="nil"/>
              <w:tr2bl w:val="nil"/>
            </w:tcBorders>
            <w:vAlign w:val="center"/>
          </w:tcPr>
          <w:p w14:paraId="5548326B">
            <w:pPr>
              <w:jc w:val="center"/>
              <w:rPr>
                <w:color w:val="auto"/>
                <w:szCs w:val="21"/>
              </w:rPr>
            </w:pPr>
            <w:r>
              <w:rPr>
                <w:rFonts w:hint="eastAsia"/>
                <w:color w:val="auto"/>
                <w:szCs w:val="21"/>
                <w:highlight w:val="none"/>
                <w:lang w:eastAsia="zh-CN"/>
              </w:rPr>
              <w:t>南</w:t>
            </w:r>
          </w:p>
        </w:tc>
        <w:tc>
          <w:tcPr>
            <w:tcW w:w="1887" w:type="dxa"/>
            <w:tcBorders>
              <w:tl2br w:val="nil"/>
              <w:tr2bl w:val="nil"/>
            </w:tcBorders>
            <w:vAlign w:val="center"/>
          </w:tcPr>
          <w:p w14:paraId="307D1E76">
            <w:pPr>
              <w:jc w:val="center"/>
              <w:rPr>
                <w:rFonts w:hint="eastAsia"/>
                <w:color w:val="auto"/>
                <w:szCs w:val="21"/>
              </w:rPr>
            </w:pPr>
            <w:r>
              <w:rPr>
                <w:rFonts w:hint="eastAsia"/>
                <w:color w:val="auto"/>
                <w:szCs w:val="21"/>
                <w:highlight w:val="none"/>
                <w:lang w:val="en-US" w:eastAsia="zh-CN"/>
              </w:rPr>
              <w:t>490</w:t>
            </w:r>
          </w:p>
        </w:tc>
      </w:tr>
      <w:tr w14:paraId="5375047E">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7455C164">
            <w:pPr>
              <w:widowControl/>
              <w:jc w:val="center"/>
              <w:rPr>
                <w:rFonts w:hint="eastAsia"/>
                <w:color w:val="auto"/>
                <w:szCs w:val="21"/>
              </w:rPr>
            </w:pPr>
            <w:r>
              <w:rPr>
                <w:rFonts w:hint="eastAsia"/>
                <w:color w:val="auto"/>
                <w:szCs w:val="21"/>
                <w:highlight w:val="none"/>
                <w:lang w:eastAsia="zh-CN"/>
              </w:rPr>
              <w:t>大巴里村</w:t>
            </w:r>
          </w:p>
        </w:tc>
        <w:tc>
          <w:tcPr>
            <w:tcW w:w="3041" w:type="dxa"/>
            <w:tcBorders>
              <w:tl2br w:val="nil"/>
              <w:tr2bl w:val="nil"/>
            </w:tcBorders>
            <w:vAlign w:val="center"/>
          </w:tcPr>
          <w:p w14:paraId="102476B1">
            <w:pPr>
              <w:jc w:val="center"/>
              <w:rPr>
                <w:color w:val="auto"/>
                <w:kern w:val="0"/>
                <w:szCs w:val="21"/>
              </w:rPr>
            </w:pPr>
            <w:r>
              <w:rPr>
                <w:color w:val="auto"/>
                <w:kern w:val="0"/>
                <w:szCs w:val="21"/>
              </w:rPr>
              <w:t>村民</w:t>
            </w:r>
          </w:p>
        </w:tc>
        <w:tc>
          <w:tcPr>
            <w:tcW w:w="1647" w:type="dxa"/>
            <w:tcBorders>
              <w:tl2br w:val="nil"/>
              <w:tr2bl w:val="nil"/>
            </w:tcBorders>
            <w:vAlign w:val="center"/>
          </w:tcPr>
          <w:p w14:paraId="2100F4DE">
            <w:pPr>
              <w:jc w:val="center"/>
              <w:rPr>
                <w:color w:val="auto"/>
                <w:szCs w:val="21"/>
              </w:rPr>
            </w:pPr>
            <w:r>
              <w:rPr>
                <w:rFonts w:hint="eastAsia"/>
                <w:color w:val="auto"/>
                <w:szCs w:val="21"/>
                <w:highlight w:val="none"/>
                <w:lang w:eastAsia="zh-CN"/>
              </w:rPr>
              <w:t>南</w:t>
            </w:r>
          </w:p>
        </w:tc>
        <w:tc>
          <w:tcPr>
            <w:tcW w:w="1887" w:type="dxa"/>
            <w:tcBorders>
              <w:tl2br w:val="nil"/>
              <w:tr2bl w:val="nil"/>
            </w:tcBorders>
            <w:vAlign w:val="center"/>
          </w:tcPr>
          <w:p w14:paraId="1A141242">
            <w:pPr>
              <w:jc w:val="center"/>
              <w:rPr>
                <w:rFonts w:hint="eastAsia"/>
                <w:color w:val="auto"/>
                <w:szCs w:val="21"/>
              </w:rPr>
            </w:pPr>
            <w:r>
              <w:rPr>
                <w:rFonts w:hint="eastAsia"/>
                <w:color w:val="auto"/>
                <w:szCs w:val="21"/>
                <w:highlight w:val="none"/>
                <w:lang w:val="en-US" w:eastAsia="zh-CN"/>
              </w:rPr>
              <w:t>1780</w:t>
            </w:r>
          </w:p>
        </w:tc>
      </w:tr>
      <w:tr w14:paraId="742D35C5">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034D3116">
            <w:pPr>
              <w:widowControl/>
              <w:jc w:val="center"/>
              <w:rPr>
                <w:rFonts w:hint="eastAsia"/>
                <w:color w:val="auto"/>
                <w:szCs w:val="21"/>
              </w:rPr>
            </w:pPr>
            <w:r>
              <w:rPr>
                <w:rFonts w:hint="eastAsia"/>
                <w:color w:val="auto"/>
                <w:szCs w:val="21"/>
                <w:highlight w:val="none"/>
                <w:lang w:eastAsia="zh-CN"/>
              </w:rPr>
              <w:t>下扣卜营子</w:t>
            </w:r>
          </w:p>
        </w:tc>
        <w:tc>
          <w:tcPr>
            <w:tcW w:w="3041" w:type="dxa"/>
            <w:tcBorders>
              <w:tl2br w:val="nil"/>
              <w:tr2bl w:val="nil"/>
            </w:tcBorders>
            <w:vAlign w:val="center"/>
          </w:tcPr>
          <w:p w14:paraId="06E1155D">
            <w:pPr>
              <w:jc w:val="center"/>
              <w:rPr>
                <w:color w:val="auto"/>
                <w:kern w:val="0"/>
                <w:szCs w:val="21"/>
              </w:rPr>
            </w:pPr>
            <w:r>
              <w:rPr>
                <w:color w:val="auto"/>
                <w:kern w:val="0"/>
                <w:szCs w:val="21"/>
              </w:rPr>
              <w:t>村民</w:t>
            </w:r>
          </w:p>
        </w:tc>
        <w:tc>
          <w:tcPr>
            <w:tcW w:w="1647" w:type="dxa"/>
            <w:tcBorders>
              <w:tl2br w:val="nil"/>
              <w:tr2bl w:val="nil"/>
            </w:tcBorders>
            <w:vAlign w:val="center"/>
          </w:tcPr>
          <w:p w14:paraId="7D4BBD99">
            <w:pPr>
              <w:jc w:val="center"/>
              <w:rPr>
                <w:color w:val="auto"/>
                <w:szCs w:val="21"/>
              </w:rPr>
            </w:pPr>
            <w:r>
              <w:rPr>
                <w:rFonts w:hint="eastAsia"/>
                <w:color w:val="auto"/>
                <w:szCs w:val="21"/>
                <w:highlight w:val="none"/>
                <w:lang w:eastAsia="zh-CN"/>
              </w:rPr>
              <w:t>西南</w:t>
            </w:r>
          </w:p>
        </w:tc>
        <w:tc>
          <w:tcPr>
            <w:tcW w:w="1887" w:type="dxa"/>
            <w:tcBorders>
              <w:tl2br w:val="nil"/>
              <w:tr2bl w:val="nil"/>
            </w:tcBorders>
            <w:vAlign w:val="center"/>
          </w:tcPr>
          <w:p w14:paraId="332EFF91">
            <w:pPr>
              <w:jc w:val="center"/>
              <w:rPr>
                <w:rFonts w:hint="eastAsia"/>
                <w:color w:val="auto"/>
                <w:szCs w:val="21"/>
              </w:rPr>
            </w:pPr>
            <w:r>
              <w:rPr>
                <w:rFonts w:hint="eastAsia"/>
                <w:color w:val="auto"/>
                <w:szCs w:val="21"/>
                <w:highlight w:val="none"/>
                <w:lang w:val="en-US" w:eastAsia="zh-CN"/>
              </w:rPr>
              <w:t>2021</w:t>
            </w:r>
          </w:p>
        </w:tc>
      </w:tr>
      <w:tr w14:paraId="1B7CDDC1">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614FC93C">
            <w:pPr>
              <w:widowControl/>
              <w:jc w:val="center"/>
              <w:rPr>
                <w:rFonts w:hint="eastAsia"/>
                <w:color w:val="auto"/>
                <w:szCs w:val="21"/>
              </w:rPr>
            </w:pPr>
            <w:r>
              <w:rPr>
                <w:rFonts w:hint="eastAsia"/>
                <w:color w:val="auto"/>
                <w:szCs w:val="21"/>
                <w:highlight w:val="none"/>
                <w:lang w:eastAsia="zh-CN"/>
              </w:rPr>
              <w:t>上扣卜营子</w:t>
            </w:r>
          </w:p>
        </w:tc>
        <w:tc>
          <w:tcPr>
            <w:tcW w:w="3041" w:type="dxa"/>
            <w:tcBorders>
              <w:tl2br w:val="nil"/>
              <w:tr2bl w:val="nil"/>
            </w:tcBorders>
            <w:vAlign w:val="center"/>
          </w:tcPr>
          <w:p w14:paraId="2A946175">
            <w:pPr>
              <w:jc w:val="center"/>
              <w:rPr>
                <w:color w:val="auto"/>
                <w:kern w:val="0"/>
                <w:szCs w:val="21"/>
              </w:rPr>
            </w:pPr>
            <w:r>
              <w:rPr>
                <w:color w:val="auto"/>
                <w:kern w:val="0"/>
                <w:szCs w:val="21"/>
              </w:rPr>
              <w:t>村民</w:t>
            </w:r>
          </w:p>
        </w:tc>
        <w:tc>
          <w:tcPr>
            <w:tcW w:w="1647" w:type="dxa"/>
            <w:tcBorders>
              <w:tl2br w:val="nil"/>
              <w:tr2bl w:val="nil"/>
            </w:tcBorders>
            <w:vAlign w:val="center"/>
          </w:tcPr>
          <w:p w14:paraId="17C12259">
            <w:pPr>
              <w:jc w:val="center"/>
              <w:rPr>
                <w:color w:val="auto"/>
                <w:szCs w:val="21"/>
              </w:rPr>
            </w:pPr>
            <w:r>
              <w:rPr>
                <w:rFonts w:hint="eastAsia"/>
                <w:color w:val="auto"/>
                <w:szCs w:val="21"/>
                <w:highlight w:val="none"/>
                <w:lang w:eastAsia="zh-CN"/>
              </w:rPr>
              <w:t>西南</w:t>
            </w:r>
          </w:p>
        </w:tc>
        <w:tc>
          <w:tcPr>
            <w:tcW w:w="1887" w:type="dxa"/>
            <w:tcBorders>
              <w:tl2br w:val="nil"/>
              <w:tr2bl w:val="nil"/>
            </w:tcBorders>
            <w:vAlign w:val="center"/>
          </w:tcPr>
          <w:p w14:paraId="1FBB70EF">
            <w:pPr>
              <w:jc w:val="center"/>
              <w:rPr>
                <w:rFonts w:hint="eastAsia"/>
                <w:color w:val="auto"/>
                <w:szCs w:val="21"/>
              </w:rPr>
            </w:pPr>
            <w:r>
              <w:rPr>
                <w:rFonts w:hint="eastAsia"/>
                <w:color w:val="auto"/>
                <w:szCs w:val="21"/>
                <w:highlight w:val="none"/>
                <w:lang w:val="en-US" w:eastAsia="zh-CN"/>
              </w:rPr>
              <w:t>2220</w:t>
            </w:r>
          </w:p>
        </w:tc>
      </w:tr>
      <w:tr w14:paraId="486BD775">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30C47E75">
            <w:pPr>
              <w:widowControl/>
              <w:jc w:val="center"/>
              <w:rPr>
                <w:rFonts w:hint="eastAsia"/>
                <w:color w:val="auto"/>
                <w:szCs w:val="21"/>
              </w:rPr>
            </w:pPr>
            <w:r>
              <w:rPr>
                <w:rFonts w:hint="eastAsia"/>
                <w:color w:val="auto"/>
                <w:szCs w:val="21"/>
                <w:highlight w:val="none"/>
                <w:lang w:eastAsia="zh-CN"/>
              </w:rPr>
              <w:t>文登营子</w:t>
            </w:r>
          </w:p>
        </w:tc>
        <w:tc>
          <w:tcPr>
            <w:tcW w:w="3041" w:type="dxa"/>
            <w:tcBorders>
              <w:tl2br w:val="nil"/>
              <w:tr2bl w:val="nil"/>
            </w:tcBorders>
            <w:vAlign w:val="center"/>
          </w:tcPr>
          <w:p w14:paraId="1DEFC36F">
            <w:pPr>
              <w:jc w:val="center"/>
              <w:rPr>
                <w:color w:val="auto"/>
                <w:kern w:val="0"/>
                <w:szCs w:val="21"/>
              </w:rPr>
            </w:pPr>
            <w:r>
              <w:rPr>
                <w:color w:val="auto"/>
                <w:kern w:val="0"/>
                <w:szCs w:val="21"/>
              </w:rPr>
              <w:t>村民</w:t>
            </w:r>
          </w:p>
        </w:tc>
        <w:tc>
          <w:tcPr>
            <w:tcW w:w="1647" w:type="dxa"/>
            <w:tcBorders>
              <w:tl2br w:val="nil"/>
              <w:tr2bl w:val="nil"/>
            </w:tcBorders>
            <w:vAlign w:val="center"/>
          </w:tcPr>
          <w:p w14:paraId="3BC50491">
            <w:pPr>
              <w:jc w:val="center"/>
              <w:rPr>
                <w:color w:val="auto"/>
                <w:szCs w:val="21"/>
              </w:rPr>
            </w:pPr>
            <w:r>
              <w:rPr>
                <w:rFonts w:hint="eastAsia"/>
                <w:color w:val="auto"/>
                <w:szCs w:val="21"/>
                <w:highlight w:val="none"/>
                <w:lang w:eastAsia="zh-CN"/>
              </w:rPr>
              <w:t>西北</w:t>
            </w:r>
          </w:p>
        </w:tc>
        <w:tc>
          <w:tcPr>
            <w:tcW w:w="1887" w:type="dxa"/>
            <w:tcBorders>
              <w:tl2br w:val="nil"/>
              <w:tr2bl w:val="nil"/>
            </w:tcBorders>
            <w:vAlign w:val="center"/>
          </w:tcPr>
          <w:p w14:paraId="6AF9735F">
            <w:pPr>
              <w:jc w:val="center"/>
              <w:rPr>
                <w:rFonts w:hint="eastAsia"/>
                <w:color w:val="auto"/>
                <w:szCs w:val="21"/>
              </w:rPr>
            </w:pPr>
            <w:r>
              <w:rPr>
                <w:rFonts w:hint="eastAsia"/>
                <w:color w:val="auto"/>
                <w:szCs w:val="21"/>
                <w:highlight w:val="none"/>
                <w:lang w:val="en-US" w:eastAsia="zh-CN"/>
              </w:rPr>
              <w:t>768</w:t>
            </w:r>
          </w:p>
        </w:tc>
      </w:tr>
      <w:tr w14:paraId="283FAA82">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79FAA2B2">
            <w:pPr>
              <w:widowControl/>
              <w:jc w:val="center"/>
              <w:rPr>
                <w:rFonts w:hint="eastAsia"/>
                <w:color w:val="auto"/>
                <w:szCs w:val="21"/>
              </w:rPr>
            </w:pPr>
            <w:r>
              <w:rPr>
                <w:rFonts w:hint="eastAsia"/>
                <w:color w:val="auto"/>
                <w:szCs w:val="21"/>
                <w:highlight w:val="none"/>
                <w:lang w:eastAsia="zh-CN"/>
              </w:rPr>
              <w:t>矫麻子沟</w:t>
            </w:r>
          </w:p>
        </w:tc>
        <w:tc>
          <w:tcPr>
            <w:tcW w:w="3041" w:type="dxa"/>
            <w:tcBorders>
              <w:tl2br w:val="nil"/>
              <w:tr2bl w:val="nil"/>
            </w:tcBorders>
            <w:vAlign w:val="center"/>
          </w:tcPr>
          <w:p w14:paraId="57B6197F">
            <w:pPr>
              <w:jc w:val="center"/>
              <w:rPr>
                <w:color w:val="auto"/>
                <w:kern w:val="0"/>
                <w:szCs w:val="21"/>
              </w:rPr>
            </w:pPr>
            <w:r>
              <w:rPr>
                <w:color w:val="auto"/>
                <w:kern w:val="0"/>
                <w:szCs w:val="21"/>
              </w:rPr>
              <w:t>村民</w:t>
            </w:r>
          </w:p>
        </w:tc>
        <w:tc>
          <w:tcPr>
            <w:tcW w:w="1647" w:type="dxa"/>
            <w:tcBorders>
              <w:tl2br w:val="nil"/>
              <w:tr2bl w:val="nil"/>
            </w:tcBorders>
            <w:vAlign w:val="center"/>
          </w:tcPr>
          <w:p w14:paraId="5B42F025">
            <w:pPr>
              <w:jc w:val="center"/>
              <w:rPr>
                <w:color w:val="auto"/>
                <w:szCs w:val="21"/>
              </w:rPr>
            </w:pPr>
            <w:r>
              <w:rPr>
                <w:rFonts w:hint="eastAsia"/>
                <w:color w:val="auto"/>
                <w:szCs w:val="21"/>
                <w:highlight w:val="none"/>
                <w:lang w:eastAsia="zh-CN"/>
              </w:rPr>
              <w:t>西北</w:t>
            </w:r>
          </w:p>
        </w:tc>
        <w:tc>
          <w:tcPr>
            <w:tcW w:w="1887" w:type="dxa"/>
            <w:tcBorders>
              <w:tl2br w:val="nil"/>
              <w:tr2bl w:val="nil"/>
            </w:tcBorders>
            <w:vAlign w:val="center"/>
          </w:tcPr>
          <w:p w14:paraId="3784D9B6">
            <w:pPr>
              <w:jc w:val="center"/>
              <w:rPr>
                <w:rFonts w:hint="eastAsia"/>
                <w:color w:val="auto"/>
                <w:szCs w:val="21"/>
              </w:rPr>
            </w:pPr>
            <w:r>
              <w:rPr>
                <w:rFonts w:hint="eastAsia"/>
                <w:color w:val="auto"/>
                <w:szCs w:val="21"/>
                <w:highlight w:val="none"/>
                <w:lang w:val="en-US" w:eastAsia="zh-CN"/>
              </w:rPr>
              <w:t>2036</w:t>
            </w:r>
          </w:p>
        </w:tc>
      </w:tr>
      <w:tr w14:paraId="7936D696">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7876F977">
            <w:pPr>
              <w:widowControl/>
              <w:jc w:val="center"/>
              <w:rPr>
                <w:rFonts w:hint="eastAsia"/>
                <w:color w:val="auto"/>
                <w:szCs w:val="21"/>
              </w:rPr>
            </w:pPr>
            <w:r>
              <w:rPr>
                <w:rFonts w:hint="eastAsia"/>
                <w:color w:val="auto"/>
                <w:szCs w:val="21"/>
                <w:highlight w:val="none"/>
                <w:lang w:eastAsia="zh-CN"/>
              </w:rPr>
              <w:t>前柳条沟</w:t>
            </w:r>
          </w:p>
        </w:tc>
        <w:tc>
          <w:tcPr>
            <w:tcW w:w="3041" w:type="dxa"/>
            <w:tcBorders>
              <w:tl2br w:val="nil"/>
              <w:tr2bl w:val="nil"/>
            </w:tcBorders>
            <w:vAlign w:val="center"/>
          </w:tcPr>
          <w:p w14:paraId="40497C22">
            <w:pPr>
              <w:jc w:val="center"/>
              <w:rPr>
                <w:color w:val="auto"/>
                <w:kern w:val="0"/>
                <w:szCs w:val="21"/>
              </w:rPr>
            </w:pPr>
            <w:r>
              <w:rPr>
                <w:color w:val="auto"/>
                <w:kern w:val="0"/>
                <w:szCs w:val="21"/>
              </w:rPr>
              <w:t>村民</w:t>
            </w:r>
          </w:p>
        </w:tc>
        <w:tc>
          <w:tcPr>
            <w:tcW w:w="1647" w:type="dxa"/>
            <w:tcBorders>
              <w:tl2br w:val="nil"/>
              <w:tr2bl w:val="nil"/>
            </w:tcBorders>
            <w:vAlign w:val="center"/>
          </w:tcPr>
          <w:p w14:paraId="4E1D8B1E">
            <w:pPr>
              <w:jc w:val="center"/>
              <w:rPr>
                <w:color w:val="auto"/>
                <w:szCs w:val="21"/>
              </w:rPr>
            </w:pPr>
            <w:r>
              <w:rPr>
                <w:rFonts w:hint="eastAsia"/>
                <w:color w:val="auto"/>
                <w:szCs w:val="21"/>
                <w:highlight w:val="none"/>
                <w:lang w:eastAsia="zh-CN"/>
              </w:rPr>
              <w:t>北</w:t>
            </w:r>
          </w:p>
        </w:tc>
        <w:tc>
          <w:tcPr>
            <w:tcW w:w="1887" w:type="dxa"/>
            <w:tcBorders>
              <w:tl2br w:val="nil"/>
              <w:tr2bl w:val="nil"/>
            </w:tcBorders>
            <w:vAlign w:val="center"/>
          </w:tcPr>
          <w:p w14:paraId="5BEB16E0">
            <w:pPr>
              <w:jc w:val="center"/>
              <w:rPr>
                <w:rFonts w:hint="eastAsia"/>
                <w:color w:val="auto"/>
                <w:szCs w:val="21"/>
              </w:rPr>
            </w:pPr>
            <w:r>
              <w:rPr>
                <w:rFonts w:hint="eastAsia"/>
                <w:color w:val="auto"/>
                <w:szCs w:val="21"/>
                <w:highlight w:val="none"/>
                <w:lang w:val="en-US" w:eastAsia="zh-CN"/>
              </w:rPr>
              <w:t>1559</w:t>
            </w:r>
          </w:p>
        </w:tc>
      </w:tr>
      <w:tr w14:paraId="3F9D1569">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7073065A">
            <w:pPr>
              <w:widowControl/>
              <w:jc w:val="center"/>
              <w:rPr>
                <w:rFonts w:hint="eastAsia"/>
                <w:color w:val="auto"/>
                <w:szCs w:val="21"/>
              </w:rPr>
            </w:pPr>
            <w:r>
              <w:rPr>
                <w:rFonts w:hint="eastAsia"/>
                <w:color w:val="auto"/>
                <w:szCs w:val="21"/>
                <w:highlight w:val="none"/>
                <w:lang w:eastAsia="zh-CN"/>
              </w:rPr>
              <w:t>后柳条沟</w:t>
            </w:r>
          </w:p>
        </w:tc>
        <w:tc>
          <w:tcPr>
            <w:tcW w:w="3041" w:type="dxa"/>
            <w:tcBorders>
              <w:tl2br w:val="nil"/>
              <w:tr2bl w:val="nil"/>
            </w:tcBorders>
            <w:vAlign w:val="center"/>
          </w:tcPr>
          <w:p w14:paraId="579F4134">
            <w:pPr>
              <w:jc w:val="center"/>
              <w:rPr>
                <w:color w:val="auto"/>
                <w:kern w:val="0"/>
                <w:szCs w:val="21"/>
              </w:rPr>
            </w:pPr>
            <w:r>
              <w:rPr>
                <w:color w:val="auto"/>
                <w:kern w:val="0"/>
                <w:szCs w:val="21"/>
              </w:rPr>
              <w:t>村民</w:t>
            </w:r>
          </w:p>
        </w:tc>
        <w:tc>
          <w:tcPr>
            <w:tcW w:w="1647" w:type="dxa"/>
            <w:tcBorders>
              <w:tl2br w:val="nil"/>
              <w:tr2bl w:val="nil"/>
            </w:tcBorders>
            <w:vAlign w:val="center"/>
          </w:tcPr>
          <w:p w14:paraId="08759A16">
            <w:pPr>
              <w:jc w:val="center"/>
              <w:rPr>
                <w:color w:val="auto"/>
                <w:szCs w:val="21"/>
              </w:rPr>
            </w:pPr>
            <w:r>
              <w:rPr>
                <w:rFonts w:hint="eastAsia"/>
                <w:color w:val="auto"/>
                <w:szCs w:val="21"/>
                <w:highlight w:val="none"/>
                <w:lang w:eastAsia="zh-CN"/>
              </w:rPr>
              <w:t>北</w:t>
            </w:r>
          </w:p>
        </w:tc>
        <w:tc>
          <w:tcPr>
            <w:tcW w:w="1887" w:type="dxa"/>
            <w:tcBorders>
              <w:tl2br w:val="nil"/>
              <w:tr2bl w:val="nil"/>
            </w:tcBorders>
            <w:vAlign w:val="center"/>
          </w:tcPr>
          <w:p w14:paraId="0F6B1F26">
            <w:pPr>
              <w:jc w:val="center"/>
              <w:rPr>
                <w:rFonts w:hint="eastAsia"/>
                <w:color w:val="auto"/>
                <w:szCs w:val="21"/>
              </w:rPr>
            </w:pPr>
            <w:r>
              <w:rPr>
                <w:rFonts w:hint="eastAsia"/>
                <w:color w:val="auto"/>
                <w:szCs w:val="21"/>
                <w:highlight w:val="none"/>
                <w:lang w:val="en-US" w:eastAsia="zh-CN"/>
              </w:rPr>
              <w:t>2012</w:t>
            </w:r>
          </w:p>
        </w:tc>
      </w:tr>
      <w:tr w14:paraId="5499FDA6">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64D97B14">
            <w:pPr>
              <w:widowControl/>
              <w:jc w:val="center"/>
              <w:rPr>
                <w:rFonts w:hint="eastAsia"/>
                <w:color w:val="auto"/>
                <w:szCs w:val="21"/>
              </w:rPr>
            </w:pPr>
            <w:r>
              <w:rPr>
                <w:rFonts w:hint="eastAsia"/>
                <w:color w:val="auto"/>
                <w:szCs w:val="21"/>
                <w:highlight w:val="none"/>
                <w:lang w:eastAsia="zh-CN"/>
              </w:rPr>
              <w:t>花子楼</w:t>
            </w:r>
          </w:p>
        </w:tc>
        <w:tc>
          <w:tcPr>
            <w:tcW w:w="3041" w:type="dxa"/>
            <w:tcBorders>
              <w:tl2br w:val="nil"/>
              <w:tr2bl w:val="nil"/>
            </w:tcBorders>
            <w:vAlign w:val="center"/>
          </w:tcPr>
          <w:p w14:paraId="02CF49DF">
            <w:pPr>
              <w:jc w:val="center"/>
              <w:rPr>
                <w:color w:val="auto"/>
                <w:kern w:val="0"/>
                <w:szCs w:val="21"/>
              </w:rPr>
            </w:pPr>
            <w:r>
              <w:rPr>
                <w:color w:val="auto"/>
                <w:kern w:val="0"/>
                <w:szCs w:val="21"/>
              </w:rPr>
              <w:t>村民</w:t>
            </w:r>
          </w:p>
        </w:tc>
        <w:tc>
          <w:tcPr>
            <w:tcW w:w="1647" w:type="dxa"/>
            <w:tcBorders>
              <w:tl2br w:val="nil"/>
              <w:tr2bl w:val="nil"/>
            </w:tcBorders>
            <w:vAlign w:val="center"/>
          </w:tcPr>
          <w:p w14:paraId="258AD01D">
            <w:pPr>
              <w:jc w:val="center"/>
              <w:rPr>
                <w:color w:val="auto"/>
                <w:szCs w:val="21"/>
              </w:rPr>
            </w:pPr>
            <w:r>
              <w:rPr>
                <w:rFonts w:hint="eastAsia"/>
                <w:color w:val="auto"/>
                <w:szCs w:val="21"/>
                <w:highlight w:val="none"/>
                <w:lang w:eastAsia="zh-CN"/>
              </w:rPr>
              <w:t>北</w:t>
            </w:r>
          </w:p>
        </w:tc>
        <w:tc>
          <w:tcPr>
            <w:tcW w:w="1887" w:type="dxa"/>
            <w:tcBorders>
              <w:tl2br w:val="nil"/>
              <w:tr2bl w:val="nil"/>
            </w:tcBorders>
            <w:vAlign w:val="center"/>
          </w:tcPr>
          <w:p w14:paraId="650D86F4">
            <w:pPr>
              <w:jc w:val="center"/>
              <w:rPr>
                <w:rFonts w:hint="eastAsia"/>
                <w:color w:val="auto"/>
                <w:szCs w:val="21"/>
              </w:rPr>
            </w:pPr>
            <w:r>
              <w:rPr>
                <w:rFonts w:hint="eastAsia"/>
                <w:color w:val="auto"/>
                <w:szCs w:val="21"/>
                <w:highlight w:val="none"/>
                <w:lang w:val="en-US" w:eastAsia="zh-CN"/>
              </w:rPr>
              <w:t>2741</w:t>
            </w:r>
          </w:p>
        </w:tc>
      </w:tr>
      <w:tr w14:paraId="670BC697">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24A73FBE">
            <w:pPr>
              <w:widowControl/>
              <w:jc w:val="center"/>
              <w:rPr>
                <w:rFonts w:hint="eastAsia"/>
                <w:color w:val="auto"/>
                <w:szCs w:val="21"/>
                <w:lang w:eastAsia="zh-CN"/>
              </w:rPr>
            </w:pPr>
            <w:r>
              <w:rPr>
                <w:rFonts w:hint="eastAsia"/>
                <w:color w:val="auto"/>
                <w:szCs w:val="21"/>
                <w:highlight w:val="none"/>
                <w:lang w:eastAsia="zh-CN"/>
              </w:rPr>
              <w:t>沟门子</w:t>
            </w:r>
          </w:p>
        </w:tc>
        <w:tc>
          <w:tcPr>
            <w:tcW w:w="3041" w:type="dxa"/>
            <w:tcBorders>
              <w:tl2br w:val="nil"/>
              <w:tr2bl w:val="nil"/>
            </w:tcBorders>
            <w:vAlign w:val="center"/>
          </w:tcPr>
          <w:p w14:paraId="7859BEF4">
            <w:pPr>
              <w:jc w:val="center"/>
              <w:rPr>
                <w:color w:val="auto"/>
                <w:kern w:val="0"/>
                <w:szCs w:val="21"/>
              </w:rPr>
            </w:pPr>
            <w:r>
              <w:rPr>
                <w:color w:val="auto"/>
                <w:kern w:val="0"/>
                <w:szCs w:val="21"/>
              </w:rPr>
              <w:t>村民</w:t>
            </w:r>
          </w:p>
        </w:tc>
        <w:tc>
          <w:tcPr>
            <w:tcW w:w="1647" w:type="dxa"/>
            <w:tcBorders>
              <w:tl2br w:val="nil"/>
              <w:tr2bl w:val="nil"/>
            </w:tcBorders>
            <w:vAlign w:val="center"/>
          </w:tcPr>
          <w:p w14:paraId="074D114F">
            <w:pPr>
              <w:jc w:val="center"/>
              <w:rPr>
                <w:rFonts w:hint="eastAsia"/>
                <w:color w:val="auto"/>
                <w:szCs w:val="21"/>
                <w:lang w:eastAsia="zh-CN"/>
              </w:rPr>
            </w:pPr>
            <w:r>
              <w:rPr>
                <w:rFonts w:hint="eastAsia"/>
                <w:color w:val="auto"/>
                <w:szCs w:val="21"/>
                <w:highlight w:val="none"/>
                <w:lang w:eastAsia="zh-CN"/>
              </w:rPr>
              <w:t>东北</w:t>
            </w:r>
          </w:p>
        </w:tc>
        <w:tc>
          <w:tcPr>
            <w:tcW w:w="1887" w:type="dxa"/>
            <w:tcBorders>
              <w:tl2br w:val="nil"/>
              <w:tr2bl w:val="nil"/>
            </w:tcBorders>
            <w:vAlign w:val="center"/>
          </w:tcPr>
          <w:p w14:paraId="6FE2421A">
            <w:pPr>
              <w:jc w:val="center"/>
              <w:rPr>
                <w:rFonts w:hint="eastAsia"/>
                <w:color w:val="auto"/>
                <w:szCs w:val="21"/>
                <w:lang w:val="en-US" w:eastAsia="zh-CN"/>
              </w:rPr>
            </w:pPr>
            <w:r>
              <w:rPr>
                <w:rFonts w:hint="eastAsia"/>
                <w:color w:val="auto"/>
                <w:szCs w:val="21"/>
                <w:highlight w:val="none"/>
                <w:lang w:val="en-US" w:eastAsia="zh-CN"/>
              </w:rPr>
              <w:t>2102</w:t>
            </w:r>
          </w:p>
        </w:tc>
      </w:tr>
      <w:tr w14:paraId="3415BFDC">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0835C920">
            <w:pPr>
              <w:widowControl/>
              <w:jc w:val="center"/>
              <w:rPr>
                <w:rFonts w:hint="eastAsia"/>
                <w:color w:val="auto"/>
                <w:szCs w:val="21"/>
                <w:lang w:eastAsia="zh-CN"/>
              </w:rPr>
            </w:pPr>
            <w:r>
              <w:rPr>
                <w:rFonts w:hint="eastAsia"/>
                <w:color w:val="auto"/>
                <w:szCs w:val="21"/>
                <w:highlight w:val="none"/>
                <w:lang w:eastAsia="zh-CN"/>
              </w:rPr>
              <w:t>海丰村</w:t>
            </w:r>
          </w:p>
        </w:tc>
        <w:tc>
          <w:tcPr>
            <w:tcW w:w="3041" w:type="dxa"/>
            <w:tcBorders>
              <w:tl2br w:val="nil"/>
              <w:tr2bl w:val="nil"/>
            </w:tcBorders>
            <w:vAlign w:val="center"/>
          </w:tcPr>
          <w:p w14:paraId="252CD774">
            <w:pPr>
              <w:jc w:val="center"/>
              <w:rPr>
                <w:color w:val="auto"/>
                <w:kern w:val="0"/>
                <w:szCs w:val="21"/>
              </w:rPr>
            </w:pPr>
            <w:r>
              <w:rPr>
                <w:color w:val="auto"/>
                <w:kern w:val="0"/>
                <w:szCs w:val="21"/>
              </w:rPr>
              <w:t>村民</w:t>
            </w:r>
          </w:p>
        </w:tc>
        <w:tc>
          <w:tcPr>
            <w:tcW w:w="1647" w:type="dxa"/>
            <w:tcBorders>
              <w:tl2br w:val="nil"/>
              <w:tr2bl w:val="nil"/>
            </w:tcBorders>
            <w:vAlign w:val="center"/>
          </w:tcPr>
          <w:p w14:paraId="4CFCAAE2">
            <w:pPr>
              <w:jc w:val="center"/>
              <w:rPr>
                <w:rFonts w:hint="eastAsia"/>
                <w:color w:val="auto"/>
                <w:szCs w:val="21"/>
                <w:lang w:eastAsia="zh-CN"/>
              </w:rPr>
            </w:pPr>
            <w:r>
              <w:rPr>
                <w:rFonts w:hint="eastAsia"/>
                <w:color w:val="auto"/>
                <w:szCs w:val="21"/>
                <w:highlight w:val="none"/>
                <w:lang w:eastAsia="zh-CN"/>
              </w:rPr>
              <w:t>东北</w:t>
            </w:r>
          </w:p>
        </w:tc>
        <w:tc>
          <w:tcPr>
            <w:tcW w:w="1887" w:type="dxa"/>
            <w:tcBorders>
              <w:tl2br w:val="nil"/>
              <w:tr2bl w:val="nil"/>
            </w:tcBorders>
            <w:vAlign w:val="center"/>
          </w:tcPr>
          <w:p w14:paraId="15119235">
            <w:pPr>
              <w:jc w:val="center"/>
              <w:rPr>
                <w:rFonts w:hint="eastAsia"/>
                <w:color w:val="auto"/>
                <w:szCs w:val="21"/>
                <w:lang w:val="en-US" w:eastAsia="zh-CN"/>
              </w:rPr>
            </w:pPr>
            <w:r>
              <w:rPr>
                <w:rFonts w:hint="eastAsia"/>
                <w:color w:val="auto"/>
                <w:szCs w:val="21"/>
                <w:highlight w:val="none"/>
                <w:lang w:val="en-US" w:eastAsia="zh-CN"/>
              </w:rPr>
              <w:t>2592</w:t>
            </w:r>
          </w:p>
        </w:tc>
      </w:tr>
      <w:tr w14:paraId="3D79583A">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920" w:type="dxa"/>
            <w:tcBorders>
              <w:tl2br w:val="nil"/>
              <w:tr2bl w:val="nil"/>
            </w:tcBorders>
            <w:vAlign w:val="center"/>
          </w:tcPr>
          <w:p w14:paraId="227FE1A3">
            <w:pPr>
              <w:autoSpaceDE w:val="0"/>
              <w:autoSpaceDN w:val="0"/>
              <w:jc w:val="center"/>
              <w:rPr>
                <w:rFonts w:hint="eastAsia"/>
                <w:color w:val="auto"/>
                <w:szCs w:val="21"/>
                <w:lang w:eastAsia="zh-CN"/>
              </w:rPr>
            </w:pPr>
            <w:r>
              <w:rPr>
                <w:rFonts w:hint="eastAsia"/>
                <w:color w:val="auto"/>
                <w:szCs w:val="21"/>
                <w:lang w:eastAsia="zh-CN"/>
              </w:rPr>
              <w:t>东官营河</w:t>
            </w:r>
          </w:p>
        </w:tc>
        <w:tc>
          <w:tcPr>
            <w:tcW w:w="3041" w:type="dxa"/>
            <w:tcBorders>
              <w:tl2br w:val="nil"/>
              <w:tr2bl w:val="nil"/>
            </w:tcBorders>
            <w:vAlign w:val="center"/>
          </w:tcPr>
          <w:p w14:paraId="43580D96">
            <w:pPr>
              <w:jc w:val="center"/>
              <w:rPr>
                <w:rFonts w:hint="eastAsia" w:eastAsia="宋体"/>
                <w:color w:val="auto"/>
                <w:szCs w:val="21"/>
                <w:lang w:eastAsia="zh-CN"/>
              </w:rPr>
            </w:pPr>
            <w:r>
              <w:rPr>
                <w:rFonts w:hint="eastAsia"/>
                <w:color w:val="auto"/>
                <w:szCs w:val="21"/>
                <w:lang w:eastAsia="zh-CN"/>
              </w:rPr>
              <w:t>地表水</w:t>
            </w:r>
          </w:p>
        </w:tc>
        <w:tc>
          <w:tcPr>
            <w:tcW w:w="1647" w:type="dxa"/>
            <w:tcBorders>
              <w:tl2br w:val="nil"/>
              <w:tr2bl w:val="nil"/>
            </w:tcBorders>
            <w:vAlign w:val="center"/>
          </w:tcPr>
          <w:p w14:paraId="4DE60AFE">
            <w:pPr>
              <w:jc w:val="center"/>
              <w:rPr>
                <w:rFonts w:hint="eastAsia"/>
                <w:color w:val="auto"/>
                <w:szCs w:val="21"/>
                <w:highlight w:val="none"/>
                <w:lang w:eastAsia="zh-CN"/>
              </w:rPr>
            </w:pPr>
            <w:r>
              <w:rPr>
                <w:rFonts w:hint="eastAsia"/>
                <w:color w:val="auto"/>
                <w:szCs w:val="21"/>
                <w:highlight w:val="none"/>
                <w:lang w:eastAsia="zh-CN"/>
              </w:rPr>
              <w:t>东</w:t>
            </w:r>
          </w:p>
        </w:tc>
        <w:tc>
          <w:tcPr>
            <w:tcW w:w="1887" w:type="dxa"/>
            <w:tcBorders>
              <w:tl2br w:val="nil"/>
              <w:tr2bl w:val="nil"/>
            </w:tcBorders>
            <w:vAlign w:val="center"/>
          </w:tcPr>
          <w:p w14:paraId="73D1EB5D">
            <w:pPr>
              <w:jc w:val="center"/>
              <w:rPr>
                <w:rFonts w:hint="default"/>
                <w:color w:val="auto"/>
                <w:szCs w:val="21"/>
                <w:highlight w:val="none"/>
                <w:lang w:val="en-US" w:eastAsia="zh-CN"/>
              </w:rPr>
            </w:pPr>
            <w:r>
              <w:rPr>
                <w:rFonts w:hint="eastAsia"/>
                <w:color w:val="auto"/>
                <w:szCs w:val="21"/>
                <w:highlight w:val="none"/>
                <w:lang w:val="en-US" w:eastAsia="zh-CN"/>
              </w:rPr>
              <w:t>2931</w:t>
            </w:r>
          </w:p>
        </w:tc>
      </w:tr>
    </w:tbl>
    <w:p w14:paraId="5CF7A488">
      <w:pPr>
        <w:jc w:val="left"/>
        <w:rPr>
          <w:b/>
          <w:color w:val="auto"/>
          <w:kern w:val="0"/>
          <w:sz w:val="24"/>
        </w:rPr>
      </w:pPr>
      <w:r>
        <w:rPr>
          <w:color w:val="auto"/>
          <w:szCs w:val="21"/>
        </w:rPr>
        <w:t>注：距离为直线距离。</w:t>
      </w:r>
      <w:r>
        <w:rPr>
          <w:color w:val="auto"/>
          <w:kern w:val="0"/>
          <w:sz w:val="24"/>
        </w:rPr>
        <w:t xml:space="preserve">   </w:t>
      </w:r>
      <w:r>
        <w:rPr>
          <w:rFonts w:hint="eastAsia"/>
          <w:color w:val="auto"/>
          <w:kern w:val="0"/>
          <w:sz w:val="24"/>
        </w:rPr>
        <w:t xml:space="preserve">   </w:t>
      </w:r>
    </w:p>
    <w:p w14:paraId="5BE44917">
      <w:pPr>
        <w:pStyle w:val="3"/>
        <w:adjustRightInd w:val="0"/>
        <w:jc w:val="both"/>
        <w:rPr>
          <w:rFonts w:eastAsia="宋体"/>
          <w:color w:val="auto"/>
          <w:sz w:val="30"/>
          <w:szCs w:val="30"/>
        </w:rPr>
      </w:pPr>
      <w:bookmarkStart w:id="239" w:name="_Toc17834"/>
      <w:bookmarkStart w:id="240" w:name="_Toc19757"/>
      <w:bookmarkStart w:id="241" w:name="_Toc448771398"/>
      <w:bookmarkStart w:id="242" w:name="_Toc446938389"/>
      <w:bookmarkStart w:id="243" w:name="_Toc448765663"/>
      <w:bookmarkStart w:id="244" w:name="_Toc448693355"/>
      <w:bookmarkStart w:id="245" w:name="_Toc448693433"/>
      <w:bookmarkStart w:id="246" w:name="_Toc24027901"/>
      <w:r>
        <w:rPr>
          <w:rFonts w:eastAsia="宋体"/>
          <w:color w:val="auto"/>
          <w:sz w:val="30"/>
          <w:szCs w:val="30"/>
        </w:rPr>
        <w:t>4.3生态现状调查与评价</w:t>
      </w:r>
      <w:bookmarkEnd w:id="239"/>
      <w:bookmarkEnd w:id="240"/>
    </w:p>
    <w:p w14:paraId="5ED5018C">
      <w:pPr>
        <w:pStyle w:val="4"/>
        <w:numPr>
          <w:ilvl w:val="2"/>
          <w:numId w:val="0"/>
        </w:numPr>
        <w:bidi w:val="0"/>
        <w:ind w:leftChars="0" w:right="0" w:rightChars="0"/>
        <w:rPr>
          <w:rFonts w:hint="eastAsia" w:ascii="Times New Roman" w:hAnsi="Times New Roman" w:eastAsia="宋体" w:cs="Times New Roman"/>
          <w:b/>
          <w:bCs/>
          <w:color w:val="auto"/>
          <w:lang w:val="en-US" w:eastAsia="zh-CN"/>
        </w:rPr>
      </w:pPr>
      <w:bookmarkStart w:id="247" w:name="_Toc7874"/>
      <w:bookmarkStart w:id="248" w:name="_Toc23297"/>
      <w:bookmarkStart w:id="249" w:name="_Toc2724"/>
      <w:r>
        <w:rPr>
          <w:rFonts w:hint="eastAsia" w:ascii="Times New Roman" w:hAnsi="Times New Roman" w:eastAsia="宋体" w:cs="Times New Roman"/>
          <w:b/>
          <w:bCs/>
          <w:color w:val="auto"/>
          <w:lang w:val="en-US" w:eastAsia="zh-CN"/>
        </w:rPr>
        <w:t>4.3.1生态环境现状调查方法</w:t>
      </w:r>
      <w:bookmarkEnd w:id="247"/>
      <w:bookmarkEnd w:id="248"/>
      <w:bookmarkEnd w:id="249"/>
    </w:p>
    <w:p w14:paraId="4A5DEA5E">
      <w:pPr>
        <w:autoSpaceDE/>
        <w:autoSpaceDN/>
        <w:snapToGrid w:val="0"/>
        <w:spacing w:before="0" w:after="0" w:line="360" w:lineRule="auto"/>
        <w:ind w:left="0" w:right="0" w:firstLine="480" w:firstLineChars="200"/>
        <w:contextualSpacing/>
        <w:jc w:val="both"/>
        <w:rPr>
          <w:rFonts w:ascii="Times New Roman" w:hAnsi="Times New Roman" w:eastAsia="宋体" w:cs="Times New Roman"/>
          <w:color w:val="auto"/>
          <w:kern w:val="2"/>
          <w:sz w:val="24"/>
          <w:szCs w:val="24"/>
          <w:lang w:val="en-US" w:bidi="ar-SA"/>
        </w:rPr>
      </w:pPr>
      <w:r>
        <w:rPr>
          <w:rFonts w:ascii="Times New Roman" w:hAnsi="Times New Roman" w:eastAsia="宋体" w:cs="Times New Roman"/>
          <w:color w:val="auto"/>
          <w:kern w:val="2"/>
          <w:sz w:val="24"/>
          <w:szCs w:val="24"/>
          <w:lang w:val="en-US" w:bidi="ar-SA"/>
        </w:rPr>
        <w:t>解译使用的信息源为高分一号卫星遥感影像，其全色分辨率为1m，多光谱空间分辨率为4m，遥感图拍摄时间为2021年8月。</w:t>
      </w:r>
    </w:p>
    <w:p w14:paraId="3120AAAE">
      <w:pPr>
        <w:autoSpaceDE/>
        <w:autoSpaceDN/>
        <w:snapToGrid w:val="0"/>
        <w:spacing w:before="0" w:after="0" w:line="360" w:lineRule="auto"/>
        <w:ind w:left="0" w:right="0" w:firstLine="480" w:firstLineChars="200"/>
        <w:contextualSpacing/>
        <w:jc w:val="both"/>
        <w:rPr>
          <w:rFonts w:ascii="Times New Roman" w:hAnsi="Times New Roman" w:eastAsia="宋体" w:cs="Times New Roman"/>
          <w:color w:val="auto"/>
          <w:kern w:val="2"/>
          <w:sz w:val="24"/>
          <w:szCs w:val="24"/>
          <w:lang w:val="en-US" w:bidi="ar-SA"/>
        </w:rPr>
      </w:pPr>
      <w:r>
        <w:rPr>
          <w:rFonts w:ascii="Times New Roman" w:hAnsi="Times New Roman" w:eastAsia="宋体" w:cs="Times New Roman"/>
          <w:color w:val="auto"/>
          <w:kern w:val="2"/>
          <w:sz w:val="24"/>
          <w:szCs w:val="24"/>
          <w:lang w:val="en-US" w:bidi="ar-SA"/>
        </w:rPr>
        <w:t>高分一号卫星遥感影像各谱段具体用途见</w:t>
      </w:r>
      <w:r>
        <w:rPr>
          <w:rFonts w:hint="eastAsia" w:ascii="Times New Roman" w:hAnsi="Times New Roman" w:cs="Times New Roman"/>
          <w:color w:val="auto"/>
          <w:kern w:val="2"/>
          <w:sz w:val="24"/>
          <w:szCs w:val="24"/>
          <w:lang w:val="en-US" w:eastAsia="zh-CN" w:bidi="ar-SA"/>
        </w:rPr>
        <w:t>下</w:t>
      </w:r>
      <w:r>
        <w:rPr>
          <w:rFonts w:ascii="Times New Roman" w:hAnsi="Times New Roman" w:eastAsia="宋体" w:cs="Times New Roman"/>
          <w:color w:val="auto"/>
          <w:kern w:val="2"/>
          <w:sz w:val="24"/>
          <w:szCs w:val="24"/>
          <w:lang w:val="en-US" w:bidi="ar-SA"/>
        </w:rPr>
        <w:t>。专题信息获取流程见</w:t>
      </w:r>
      <w:r>
        <w:rPr>
          <w:rFonts w:hint="eastAsia" w:ascii="Times New Roman" w:hAnsi="Times New Roman" w:cs="Times New Roman"/>
          <w:color w:val="auto"/>
          <w:kern w:val="2"/>
          <w:sz w:val="24"/>
          <w:szCs w:val="24"/>
          <w:lang w:val="en-US" w:eastAsia="zh-CN" w:bidi="ar-SA"/>
        </w:rPr>
        <w:t>下</w:t>
      </w:r>
      <w:r>
        <w:rPr>
          <w:rFonts w:ascii="Times New Roman" w:hAnsi="Times New Roman" w:eastAsia="宋体" w:cs="Times New Roman"/>
          <w:color w:val="auto"/>
          <w:kern w:val="2"/>
          <w:sz w:val="24"/>
          <w:szCs w:val="24"/>
          <w:lang w:val="en-US" w:bidi="ar-SA"/>
        </w:rPr>
        <w:t>图。</w:t>
      </w:r>
    </w:p>
    <w:p w14:paraId="2E4E2E3E">
      <w:pPr>
        <w:keepNext w:val="0"/>
        <w:keepLines w:val="0"/>
        <w:widowControl/>
        <w:suppressLineNumbers w:val="0"/>
        <w:spacing w:line="240" w:lineRule="auto"/>
        <w:ind w:left="0" w:leftChars="0" w:firstLine="0" w:firstLineChars="0"/>
        <w:jc w:val="center"/>
        <w:rPr>
          <w:rFonts w:hint="eastAsia"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表4.</w:t>
      </w:r>
      <w:r>
        <w:rPr>
          <w:rFonts w:hint="eastAsia" w:cs="Times New Roman"/>
          <w:b/>
          <w:bCs/>
          <w:color w:val="auto"/>
          <w:kern w:val="0"/>
          <w:sz w:val="21"/>
          <w:szCs w:val="21"/>
          <w:lang w:val="en-US" w:eastAsia="zh-CN" w:bidi="ar"/>
        </w:rPr>
        <w:t>3</w:t>
      </w:r>
      <w:r>
        <w:rPr>
          <w:rFonts w:hint="eastAsia" w:ascii="Times New Roman" w:hAnsi="Times New Roman" w:eastAsia="宋体" w:cs="Times New Roman"/>
          <w:b/>
          <w:bCs/>
          <w:color w:val="auto"/>
          <w:kern w:val="0"/>
          <w:sz w:val="21"/>
          <w:szCs w:val="21"/>
          <w:lang w:val="en-US" w:eastAsia="zh-CN" w:bidi="ar"/>
        </w:rPr>
        <w:t>-1  高分一号卫星遥感影像各谱段具体用途表</w:t>
      </w:r>
    </w:p>
    <w:tbl>
      <w:tblPr>
        <w:tblStyle w:val="53"/>
        <w:tblW w:w="5000" w:type="pct"/>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71"/>
        <w:gridCol w:w="1575"/>
        <w:gridCol w:w="1702"/>
        <w:gridCol w:w="3594"/>
      </w:tblGrid>
      <w:tr w14:paraId="13ACB2C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82" w:type="pct"/>
            <w:vMerge w:val="restart"/>
            <w:tcBorders>
              <w:tl2br w:val="nil"/>
              <w:tr2bl w:val="nil"/>
            </w:tcBorders>
            <w:noWrap w:val="0"/>
            <w:tcMar>
              <w:top w:w="15" w:type="dxa"/>
              <w:left w:w="15" w:type="dxa"/>
              <w:bottom w:w="15" w:type="dxa"/>
              <w:right w:w="15" w:type="dxa"/>
            </w:tcMar>
            <w:vAlign w:val="center"/>
          </w:tcPr>
          <w:p w14:paraId="0EDA4B6E">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参</w:t>
            </w:r>
            <w:r>
              <w:rPr>
                <w:rFonts w:ascii="Times New Roman" w:hAnsi="Times New Roman" w:eastAsia="宋体" w:cs="Times New Roman"/>
                <w:color w:val="auto"/>
                <w:kern w:val="2"/>
                <w:sz w:val="21"/>
                <w:szCs w:val="21"/>
                <w:lang w:val="en-US" w:bidi="ar-SA"/>
              </w:rPr>
              <w:t xml:space="preserve">  数</w:t>
            </w:r>
          </w:p>
        </w:tc>
        <w:tc>
          <w:tcPr>
            <w:tcW w:w="4118" w:type="pct"/>
            <w:gridSpan w:val="3"/>
            <w:tcBorders>
              <w:tl2br w:val="nil"/>
              <w:tr2bl w:val="nil"/>
            </w:tcBorders>
            <w:noWrap w:val="0"/>
            <w:tcMar>
              <w:top w:w="15" w:type="dxa"/>
              <w:left w:w="15" w:type="dxa"/>
              <w:bottom w:w="15" w:type="dxa"/>
              <w:right w:w="15" w:type="dxa"/>
            </w:tcMar>
            <w:vAlign w:val="center"/>
          </w:tcPr>
          <w:p w14:paraId="1E37E195">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1m分辨率全色/4m分辨率多光谱相机</w:t>
            </w:r>
          </w:p>
        </w:tc>
      </w:tr>
      <w:tr w14:paraId="0CDB9F69">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0" w:type="auto"/>
            <w:vMerge w:val="continue"/>
            <w:tcBorders>
              <w:tl2br w:val="nil"/>
              <w:tr2bl w:val="nil"/>
            </w:tcBorders>
            <w:noWrap w:val="0"/>
            <w:vAlign w:val="center"/>
          </w:tcPr>
          <w:p w14:paraId="786A7032">
            <w:pPr>
              <w:widowControl/>
              <w:autoSpaceDE/>
              <w:autoSpaceDN/>
              <w:spacing w:before="0" w:after="0" w:line="240" w:lineRule="auto"/>
              <w:ind w:left="0" w:right="0" w:firstLine="0" w:firstLineChars="0"/>
              <w:jc w:val="left"/>
              <w:rPr>
                <w:rFonts w:ascii="Times New Roman" w:hAnsi="Times New Roman" w:eastAsia="宋体" w:cs="Times New Roman"/>
                <w:color w:val="auto"/>
                <w:kern w:val="2"/>
                <w:sz w:val="21"/>
                <w:szCs w:val="21"/>
                <w:lang w:val="en-US" w:bidi="ar-SA"/>
              </w:rPr>
            </w:pPr>
          </w:p>
        </w:tc>
        <w:tc>
          <w:tcPr>
            <w:tcW w:w="1964" w:type="pct"/>
            <w:gridSpan w:val="2"/>
            <w:tcBorders>
              <w:tl2br w:val="nil"/>
              <w:tr2bl w:val="nil"/>
            </w:tcBorders>
            <w:noWrap w:val="0"/>
            <w:tcMar>
              <w:top w:w="15" w:type="dxa"/>
              <w:left w:w="15" w:type="dxa"/>
              <w:bottom w:w="15" w:type="dxa"/>
              <w:right w:w="15" w:type="dxa"/>
            </w:tcMar>
            <w:vAlign w:val="center"/>
          </w:tcPr>
          <w:p w14:paraId="6CC42732">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波长</w:t>
            </w:r>
          </w:p>
        </w:tc>
        <w:tc>
          <w:tcPr>
            <w:tcW w:w="2154" w:type="pct"/>
            <w:tcBorders>
              <w:tl2br w:val="nil"/>
              <w:tr2bl w:val="nil"/>
            </w:tcBorders>
            <w:noWrap w:val="0"/>
            <w:tcMar>
              <w:top w:w="15" w:type="dxa"/>
              <w:left w:w="15" w:type="dxa"/>
              <w:bottom w:w="15" w:type="dxa"/>
              <w:right w:w="15" w:type="dxa"/>
            </w:tcMar>
            <w:vAlign w:val="center"/>
          </w:tcPr>
          <w:p w14:paraId="57B9ED8A">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功能</w:t>
            </w:r>
          </w:p>
        </w:tc>
      </w:tr>
      <w:tr w14:paraId="69C3F07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82" w:type="pct"/>
            <w:vMerge w:val="restart"/>
            <w:tcBorders>
              <w:tl2br w:val="nil"/>
              <w:tr2bl w:val="nil"/>
            </w:tcBorders>
            <w:noWrap w:val="0"/>
            <w:tcMar>
              <w:top w:w="15" w:type="dxa"/>
              <w:left w:w="15" w:type="dxa"/>
              <w:bottom w:w="15" w:type="dxa"/>
              <w:right w:w="15" w:type="dxa"/>
            </w:tcMar>
            <w:vAlign w:val="center"/>
          </w:tcPr>
          <w:p w14:paraId="38FC8161">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光谱范围</w:t>
            </w:r>
          </w:p>
        </w:tc>
        <w:tc>
          <w:tcPr>
            <w:tcW w:w="944" w:type="pct"/>
            <w:tcBorders>
              <w:tl2br w:val="nil"/>
              <w:tr2bl w:val="nil"/>
            </w:tcBorders>
            <w:noWrap w:val="0"/>
            <w:tcMar>
              <w:top w:w="15" w:type="dxa"/>
              <w:left w:w="15" w:type="dxa"/>
              <w:bottom w:w="15" w:type="dxa"/>
              <w:right w:w="15" w:type="dxa"/>
            </w:tcMar>
            <w:vAlign w:val="center"/>
          </w:tcPr>
          <w:p w14:paraId="77801562">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全色</w:t>
            </w:r>
          </w:p>
        </w:tc>
        <w:tc>
          <w:tcPr>
            <w:tcW w:w="1020" w:type="pct"/>
            <w:tcBorders>
              <w:tl2br w:val="nil"/>
              <w:tr2bl w:val="nil"/>
            </w:tcBorders>
            <w:noWrap w:val="0"/>
            <w:tcMar>
              <w:top w:w="15" w:type="dxa"/>
              <w:left w:w="15" w:type="dxa"/>
              <w:bottom w:w="15" w:type="dxa"/>
              <w:right w:w="15" w:type="dxa"/>
            </w:tcMar>
            <w:vAlign w:val="center"/>
          </w:tcPr>
          <w:p w14:paraId="220A8941">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0"/>
                <w:sz w:val="21"/>
                <w:szCs w:val="21"/>
                <w:lang w:val="en-US" w:bidi="ar-SA"/>
              </w:rPr>
            </w:pPr>
            <w:r>
              <w:rPr>
                <w:rFonts w:ascii="Times New Roman" w:hAnsi="Times New Roman" w:eastAsia="宋体" w:cs="Times New Roman"/>
                <w:color w:val="auto"/>
                <w:kern w:val="0"/>
                <w:sz w:val="21"/>
                <w:szCs w:val="21"/>
                <w:lang w:val="en-US" w:bidi="ar-SA"/>
              </w:rPr>
              <w:t>0.45—0.90μm</w:t>
            </w:r>
          </w:p>
        </w:tc>
        <w:tc>
          <w:tcPr>
            <w:tcW w:w="2154" w:type="pct"/>
            <w:tcBorders>
              <w:tl2br w:val="nil"/>
              <w:tr2bl w:val="nil"/>
            </w:tcBorders>
            <w:noWrap w:val="0"/>
            <w:tcMar>
              <w:top w:w="15" w:type="dxa"/>
              <w:left w:w="15" w:type="dxa"/>
              <w:bottom w:w="15" w:type="dxa"/>
              <w:right w:w="15" w:type="dxa"/>
            </w:tcMar>
            <w:vAlign w:val="center"/>
          </w:tcPr>
          <w:p w14:paraId="3315B3C2">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地物分辨</w:t>
            </w:r>
          </w:p>
        </w:tc>
      </w:tr>
      <w:tr w14:paraId="3A2E9A2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0" w:type="auto"/>
            <w:vMerge w:val="continue"/>
            <w:tcBorders>
              <w:tl2br w:val="nil"/>
              <w:tr2bl w:val="nil"/>
            </w:tcBorders>
            <w:noWrap w:val="0"/>
            <w:vAlign w:val="center"/>
          </w:tcPr>
          <w:p w14:paraId="6552B97D">
            <w:pPr>
              <w:widowControl/>
              <w:autoSpaceDE/>
              <w:autoSpaceDN/>
              <w:spacing w:before="0" w:after="0" w:line="240" w:lineRule="auto"/>
              <w:ind w:left="0" w:right="0" w:firstLine="0" w:firstLineChars="0"/>
              <w:jc w:val="left"/>
              <w:rPr>
                <w:rFonts w:ascii="Times New Roman" w:hAnsi="Times New Roman" w:eastAsia="宋体" w:cs="Times New Roman"/>
                <w:color w:val="auto"/>
                <w:kern w:val="2"/>
                <w:sz w:val="21"/>
                <w:szCs w:val="21"/>
                <w:lang w:val="en-US" w:bidi="ar-SA"/>
              </w:rPr>
            </w:pPr>
          </w:p>
        </w:tc>
        <w:tc>
          <w:tcPr>
            <w:tcW w:w="944" w:type="pct"/>
            <w:vMerge w:val="restart"/>
            <w:tcBorders>
              <w:tl2br w:val="nil"/>
              <w:tr2bl w:val="nil"/>
            </w:tcBorders>
            <w:noWrap w:val="0"/>
            <w:tcMar>
              <w:top w:w="15" w:type="dxa"/>
              <w:left w:w="15" w:type="dxa"/>
              <w:bottom w:w="15" w:type="dxa"/>
              <w:right w:w="15" w:type="dxa"/>
            </w:tcMar>
            <w:vAlign w:val="center"/>
          </w:tcPr>
          <w:p w14:paraId="109E46EF">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多光谱</w:t>
            </w:r>
          </w:p>
        </w:tc>
        <w:tc>
          <w:tcPr>
            <w:tcW w:w="1020" w:type="pct"/>
            <w:tcBorders>
              <w:tl2br w:val="nil"/>
              <w:tr2bl w:val="nil"/>
            </w:tcBorders>
            <w:noWrap w:val="0"/>
            <w:tcMar>
              <w:top w:w="15" w:type="dxa"/>
              <w:left w:w="15" w:type="dxa"/>
              <w:bottom w:w="15" w:type="dxa"/>
              <w:right w:w="15" w:type="dxa"/>
            </w:tcMar>
            <w:vAlign w:val="center"/>
          </w:tcPr>
          <w:p w14:paraId="708DDFD8">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0"/>
                <w:sz w:val="21"/>
                <w:szCs w:val="21"/>
                <w:lang w:val="en-US" w:bidi="ar-SA"/>
              </w:rPr>
            </w:pPr>
            <w:r>
              <w:rPr>
                <w:rFonts w:ascii="Times New Roman" w:hAnsi="Times New Roman" w:eastAsia="宋体" w:cs="Times New Roman"/>
                <w:color w:val="auto"/>
                <w:kern w:val="0"/>
                <w:sz w:val="21"/>
                <w:szCs w:val="21"/>
                <w:lang w:val="en-US" w:bidi="ar-SA"/>
              </w:rPr>
              <w:t>0.45—0.52μm</w:t>
            </w:r>
          </w:p>
        </w:tc>
        <w:tc>
          <w:tcPr>
            <w:tcW w:w="2154" w:type="pct"/>
            <w:tcBorders>
              <w:tl2br w:val="nil"/>
              <w:tr2bl w:val="nil"/>
            </w:tcBorders>
            <w:noWrap w:val="0"/>
            <w:tcMar>
              <w:top w:w="15" w:type="dxa"/>
              <w:left w:w="15" w:type="dxa"/>
              <w:bottom w:w="15" w:type="dxa"/>
              <w:right w:w="15" w:type="dxa"/>
            </w:tcMar>
            <w:vAlign w:val="center"/>
          </w:tcPr>
          <w:p w14:paraId="12276A38">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绘制水系图和森林图，识别土壤和常绿、落叶植被</w:t>
            </w:r>
          </w:p>
        </w:tc>
      </w:tr>
      <w:tr w14:paraId="5917602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0" w:type="auto"/>
            <w:vMerge w:val="continue"/>
            <w:tcBorders>
              <w:tl2br w:val="nil"/>
              <w:tr2bl w:val="nil"/>
            </w:tcBorders>
            <w:noWrap w:val="0"/>
            <w:vAlign w:val="center"/>
          </w:tcPr>
          <w:p w14:paraId="75C6880F">
            <w:pPr>
              <w:widowControl/>
              <w:autoSpaceDE/>
              <w:autoSpaceDN/>
              <w:spacing w:before="0" w:after="0" w:line="240" w:lineRule="auto"/>
              <w:ind w:left="0" w:right="0" w:firstLine="0" w:firstLineChars="0"/>
              <w:jc w:val="left"/>
              <w:rPr>
                <w:rFonts w:ascii="Times New Roman" w:hAnsi="Times New Roman" w:eastAsia="宋体" w:cs="Times New Roman"/>
                <w:color w:val="auto"/>
                <w:kern w:val="2"/>
                <w:sz w:val="21"/>
                <w:szCs w:val="21"/>
                <w:lang w:val="en-US" w:bidi="ar-SA"/>
              </w:rPr>
            </w:pPr>
          </w:p>
        </w:tc>
        <w:tc>
          <w:tcPr>
            <w:tcW w:w="0" w:type="auto"/>
            <w:vMerge w:val="continue"/>
            <w:tcBorders>
              <w:tl2br w:val="nil"/>
              <w:tr2bl w:val="nil"/>
            </w:tcBorders>
            <w:noWrap w:val="0"/>
            <w:vAlign w:val="center"/>
          </w:tcPr>
          <w:p w14:paraId="351447D4">
            <w:pPr>
              <w:widowControl/>
              <w:autoSpaceDE/>
              <w:autoSpaceDN/>
              <w:spacing w:before="0" w:after="0" w:line="240" w:lineRule="auto"/>
              <w:ind w:left="0" w:right="0" w:firstLine="0" w:firstLineChars="0"/>
              <w:jc w:val="left"/>
              <w:rPr>
                <w:rFonts w:ascii="Times New Roman" w:hAnsi="Times New Roman" w:eastAsia="宋体" w:cs="Times New Roman"/>
                <w:color w:val="auto"/>
                <w:kern w:val="2"/>
                <w:sz w:val="21"/>
                <w:szCs w:val="21"/>
                <w:lang w:val="en-US" w:bidi="ar-SA"/>
              </w:rPr>
            </w:pPr>
          </w:p>
        </w:tc>
        <w:tc>
          <w:tcPr>
            <w:tcW w:w="1020" w:type="pct"/>
            <w:tcBorders>
              <w:tl2br w:val="nil"/>
              <w:tr2bl w:val="nil"/>
            </w:tcBorders>
            <w:noWrap w:val="0"/>
            <w:tcMar>
              <w:top w:w="15" w:type="dxa"/>
              <w:left w:w="15" w:type="dxa"/>
              <w:bottom w:w="15" w:type="dxa"/>
              <w:right w:w="15" w:type="dxa"/>
            </w:tcMar>
            <w:vAlign w:val="center"/>
          </w:tcPr>
          <w:p w14:paraId="7FB50DF6">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0"/>
                <w:sz w:val="21"/>
                <w:szCs w:val="21"/>
                <w:lang w:val="en-US" w:bidi="ar-SA"/>
              </w:rPr>
            </w:pPr>
            <w:r>
              <w:rPr>
                <w:rFonts w:ascii="Times New Roman" w:hAnsi="Times New Roman" w:eastAsia="宋体" w:cs="Times New Roman"/>
                <w:color w:val="auto"/>
                <w:kern w:val="0"/>
                <w:sz w:val="21"/>
                <w:szCs w:val="21"/>
                <w:lang w:val="en-US" w:bidi="ar-SA"/>
              </w:rPr>
              <w:t>0.52—0.59μm</w:t>
            </w:r>
          </w:p>
        </w:tc>
        <w:tc>
          <w:tcPr>
            <w:tcW w:w="2154" w:type="pct"/>
            <w:tcBorders>
              <w:tl2br w:val="nil"/>
              <w:tr2bl w:val="nil"/>
            </w:tcBorders>
            <w:noWrap w:val="0"/>
            <w:tcMar>
              <w:top w:w="15" w:type="dxa"/>
              <w:left w:w="15" w:type="dxa"/>
              <w:bottom w:w="15" w:type="dxa"/>
              <w:right w:w="15" w:type="dxa"/>
            </w:tcMar>
            <w:vAlign w:val="center"/>
          </w:tcPr>
          <w:p w14:paraId="051E5ABC">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探测健康植物绿色反射率和反映水下特征</w:t>
            </w:r>
          </w:p>
        </w:tc>
      </w:tr>
      <w:tr w14:paraId="14CBEF3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0" w:type="auto"/>
            <w:vMerge w:val="continue"/>
            <w:tcBorders>
              <w:tl2br w:val="nil"/>
              <w:tr2bl w:val="nil"/>
            </w:tcBorders>
            <w:noWrap w:val="0"/>
            <w:vAlign w:val="center"/>
          </w:tcPr>
          <w:p w14:paraId="1F138094">
            <w:pPr>
              <w:widowControl/>
              <w:autoSpaceDE/>
              <w:autoSpaceDN/>
              <w:spacing w:before="0" w:after="0" w:line="240" w:lineRule="auto"/>
              <w:ind w:left="0" w:right="0" w:firstLine="0" w:firstLineChars="0"/>
              <w:jc w:val="left"/>
              <w:rPr>
                <w:rFonts w:ascii="Times New Roman" w:hAnsi="Times New Roman" w:eastAsia="宋体" w:cs="Times New Roman"/>
                <w:color w:val="auto"/>
                <w:kern w:val="2"/>
                <w:sz w:val="21"/>
                <w:szCs w:val="21"/>
                <w:lang w:val="en-US" w:bidi="ar-SA"/>
              </w:rPr>
            </w:pPr>
          </w:p>
        </w:tc>
        <w:tc>
          <w:tcPr>
            <w:tcW w:w="0" w:type="auto"/>
            <w:vMerge w:val="continue"/>
            <w:tcBorders>
              <w:tl2br w:val="nil"/>
              <w:tr2bl w:val="nil"/>
            </w:tcBorders>
            <w:noWrap w:val="0"/>
            <w:vAlign w:val="center"/>
          </w:tcPr>
          <w:p w14:paraId="5604CEC0">
            <w:pPr>
              <w:widowControl/>
              <w:autoSpaceDE/>
              <w:autoSpaceDN/>
              <w:spacing w:before="0" w:after="0" w:line="240" w:lineRule="auto"/>
              <w:ind w:left="0" w:right="0" w:firstLine="0" w:firstLineChars="0"/>
              <w:jc w:val="left"/>
              <w:rPr>
                <w:rFonts w:ascii="Times New Roman" w:hAnsi="Times New Roman" w:eastAsia="宋体" w:cs="Times New Roman"/>
                <w:color w:val="auto"/>
                <w:kern w:val="2"/>
                <w:sz w:val="21"/>
                <w:szCs w:val="21"/>
                <w:lang w:val="en-US" w:bidi="ar-SA"/>
              </w:rPr>
            </w:pPr>
          </w:p>
        </w:tc>
        <w:tc>
          <w:tcPr>
            <w:tcW w:w="1020" w:type="pct"/>
            <w:tcBorders>
              <w:tl2br w:val="nil"/>
              <w:tr2bl w:val="nil"/>
            </w:tcBorders>
            <w:noWrap w:val="0"/>
            <w:tcMar>
              <w:top w:w="15" w:type="dxa"/>
              <w:left w:w="15" w:type="dxa"/>
              <w:bottom w:w="15" w:type="dxa"/>
              <w:right w:w="15" w:type="dxa"/>
            </w:tcMar>
            <w:vAlign w:val="center"/>
          </w:tcPr>
          <w:p w14:paraId="3C93BC94">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0"/>
                <w:sz w:val="21"/>
                <w:szCs w:val="21"/>
                <w:lang w:val="en-US" w:bidi="ar-SA"/>
              </w:rPr>
            </w:pPr>
            <w:r>
              <w:rPr>
                <w:rFonts w:ascii="Times New Roman" w:hAnsi="Times New Roman" w:eastAsia="宋体" w:cs="Times New Roman"/>
                <w:color w:val="auto"/>
                <w:kern w:val="0"/>
                <w:sz w:val="21"/>
                <w:szCs w:val="21"/>
                <w:lang w:val="en-US" w:bidi="ar-SA"/>
              </w:rPr>
              <w:t>0.63—0.69μm</w:t>
            </w:r>
          </w:p>
        </w:tc>
        <w:tc>
          <w:tcPr>
            <w:tcW w:w="2154" w:type="pct"/>
            <w:tcBorders>
              <w:tl2br w:val="nil"/>
              <w:tr2bl w:val="nil"/>
            </w:tcBorders>
            <w:noWrap w:val="0"/>
            <w:tcMar>
              <w:top w:w="15" w:type="dxa"/>
              <w:left w:w="15" w:type="dxa"/>
              <w:bottom w:w="15" w:type="dxa"/>
              <w:right w:w="15" w:type="dxa"/>
            </w:tcMar>
            <w:vAlign w:val="center"/>
          </w:tcPr>
          <w:p w14:paraId="17978506">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进行植被分类，鉴别人工建筑物、水质</w:t>
            </w:r>
          </w:p>
        </w:tc>
      </w:tr>
      <w:tr w14:paraId="15592AC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0" w:type="auto"/>
            <w:vMerge w:val="continue"/>
            <w:tcBorders>
              <w:tl2br w:val="nil"/>
              <w:tr2bl w:val="nil"/>
            </w:tcBorders>
            <w:noWrap w:val="0"/>
            <w:vAlign w:val="center"/>
          </w:tcPr>
          <w:p w14:paraId="33E5FC90">
            <w:pPr>
              <w:widowControl/>
              <w:autoSpaceDE/>
              <w:autoSpaceDN/>
              <w:spacing w:before="0" w:after="0" w:line="240" w:lineRule="auto"/>
              <w:ind w:left="0" w:right="0" w:firstLine="0" w:firstLineChars="0"/>
              <w:jc w:val="left"/>
              <w:rPr>
                <w:rFonts w:ascii="Times New Roman" w:hAnsi="Times New Roman" w:eastAsia="宋体" w:cs="Times New Roman"/>
                <w:color w:val="auto"/>
                <w:kern w:val="2"/>
                <w:sz w:val="21"/>
                <w:szCs w:val="21"/>
                <w:lang w:val="en-US" w:bidi="ar-SA"/>
              </w:rPr>
            </w:pPr>
          </w:p>
        </w:tc>
        <w:tc>
          <w:tcPr>
            <w:tcW w:w="0" w:type="auto"/>
            <w:vMerge w:val="continue"/>
            <w:tcBorders>
              <w:tl2br w:val="nil"/>
              <w:tr2bl w:val="nil"/>
            </w:tcBorders>
            <w:noWrap w:val="0"/>
            <w:vAlign w:val="center"/>
          </w:tcPr>
          <w:p w14:paraId="1D46CCD4">
            <w:pPr>
              <w:widowControl/>
              <w:autoSpaceDE/>
              <w:autoSpaceDN/>
              <w:spacing w:before="0" w:after="0" w:line="240" w:lineRule="auto"/>
              <w:ind w:left="0" w:right="0" w:firstLine="0" w:firstLineChars="0"/>
              <w:jc w:val="left"/>
              <w:rPr>
                <w:rFonts w:ascii="Times New Roman" w:hAnsi="Times New Roman" w:eastAsia="宋体" w:cs="Times New Roman"/>
                <w:color w:val="auto"/>
                <w:kern w:val="2"/>
                <w:sz w:val="21"/>
                <w:szCs w:val="21"/>
                <w:lang w:val="en-US" w:bidi="ar-SA"/>
              </w:rPr>
            </w:pPr>
          </w:p>
        </w:tc>
        <w:tc>
          <w:tcPr>
            <w:tcW w:w="1020" w:type="pct"/>
            <w:tcBorders>
              <w:tl2br w:val="nil"/>
              <w:tr2bl w:val="nil"/>
            </w:tcBorders>
            <w:noWrap w:val="0"/>
            <w:tcMar>
              <w:top w:w="15" w:type="dxa"/>
              <w:left w:w="15" w:type="dxa"/>
              <w:bottom w:w="15" w:type="dxa"/>
              <w:right w:w="15" w:type="dxa"/>
            </w:tcMar>
            <w:vAlign w:val="center"/>
          </w:tcPr>
          <w:p w14:paraId="004FDF56">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0"/>
                <w:sz w:val="21"/>
                <w:szCs w:val="21"/>
                <w:lang w:val="en-US" w:bidi="ar-SA"/>
              </w:rPr>
            </w:pPr>
            <w:r>
              <w:rPr>
                <w:rFonts w:ascii="Times New Roman" w:hAnsi="Times New Roman" w:eastAsia="宋体" w:cs="Times New Roman"/>
                <w:color w:val="auto"/>
                <w:kern w:val="0"/>
                <w:sz w:val="21"/>
                <w:szCs w:val="21"/>
                <w:lang w:val="en-US" w:bidi="ar-SA"/>
              </w:rPr>
              <w:t>0.77—0.89μm</w:t>
            </w:r>
          </w:p>
        </w:tc>
        <w:tc>
          <w:tcPr>
            <w:tcW w:w="2154" w:type="pct"/>
            <w:tcBorders>
              <w:tl2br w:val="nil"/>
              <w:tr2bl w:val="nil"/>
            </w:tcBorders>
            <w:noWrap w:val="0"/>
            <w:tcMar>
              <w:top w:w="15" w:type="dxa"/>
              <w:left w:w="15" w:type="dxa"/>
              <w:bottom w:w="15" w:type="dxa"/>
              <w:right w:w="15" w:type="dxa"/>
            </w:tcMar>
            <w:vAlign w:val="center"/>
          </w:tcPr>
          <w:p w14:paraId="493B0F1D">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用于生物量和作物长势的测定，绘制水体边界</w:t>
            </w:r>
          </w:p>
        </w:tc>
      </w:tr>
      <w:tr w14:paraId="621427B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5" w:hRule="atLeast"/>
          <w:jc w:val="center"/>
        </w:trPr>
        <w:tc>
          <w:tcPr>
            <w:tcW w:w="882" w:type="pct"/>
            <w:vMerge w:val="restart"/>
            <w:tcBorders>
              <w:tl2br w:val="nil"/>
              <w:tr2bl w:val="nil"/>
            </w:tcBorders>
            <w:noWrap w:val="0"/>
            <w:tcMar>
              <w:top w:w="15" w:type="dxa"/>
              <w:left w:w="15" w:type="dxa"/>
              <w:bottom w:w="15" w:type="dxa"/>
              <w:right w:w="15" w:type="dxa"/>
            </w:tcMar>
            <w:vAlign w:val="center"/>
          </w:tcPr>
          <w:p w14:paraId="397E0D20">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空间分辨率</w:t>
            </w:r>
          </w:p>
        </w:tc>
        <w:tc>
          <w:tcPr>
            <w:tcW w:w="944" w:type="pct"/>
            <w:tcBorders>
              <w:tl2br w:val="nil"/>
              <w:tr2bl w:val="nil"/>
            </w:tcBorders>
            <w:noWrap w:val="0"/>
            <w:tcMar>
              <w:top w:w="15" w:type="dxa"/>
              <w:left w:w="15" w:type="dxa"/>
              <w:bottom w:w="15" w:type="dxa"/>
              <w:right w:w="15" w:type="dxa"/>
            </w:tcMar>
            <w:vAlign w:val="center"/>
          </w:tcPr>
          <w:p w14:paraId="55C1CE20">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全色</w:t>
            </w:r>
          </w:p>
        </w:tc>
        <w:tc>
          <w:tcPr>
            <w:tcW w:w="3174" w:type="pct"/>
            <w:gridSpan w:val="2"/>
            <w:tcBorders>
              <w:tl2br w:val="nil"/>
              <w:tr2bl w:val="nil"/>
            </w:tcBorders>
            <w:noWrap w:val="0"/>
            <w:tcMar>
              <w:top w:w="15" w:type="dxa"/>
              <w:left w:w="15" w:type="dxa"/>
              <w:bottom w:w="15" w:type="dxa"/>
              <w:right w:w="15" w:type="dxa"/>
            </w:tcMar>
            <w:vAlign w:val="center"/>
          </w:tcPr>
          <w:p w14:paraId="6C9E1638">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0"/>
                <w:sz w:val="21"/>
                <w:szCs w:val="21"/>
                <w:lang w:val="en-US" w:bidi="ar-SA"/>
              </w:rPr>
            </w:pPr>
            <w:r>
              <w:rPr>
                <w:rFonts w:ascii="Times New Roman" w:hAnsi="Times New Roman" w:eastAsia="宋体" w:cs="Times New Roman"/>
                <w:color w:val="auto"/>
                <w:kern w:val="0"/>
                <w:sz w:val="21"/>
                <w:szCs w:val="21"/>
                <w:lang w:val="en-US" w:bidi="ar-SA"/>
              </w:rPr>
              <w:t>1m</w:t>
            </w:r>
          </w:p>
        </w:tc>
      </w:tr>
      <w:tr w14:paraId="63147D5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0" w:type="auto"/>
            <w:vMerge w:val="continue"/>
            <w:tcBorders>
              <w:tl2br w:val="nil"/>
              <w:tr2bl w:val="nil"/>
            </w:tcBorders>
            <w:noWrap w:val="0"/>
            <w:vAlign w:val="center"/>
          </w:tcPr>
          <w:p w14:paraId="2652FA34">
            <w:pPr>
              <w:widowControl/>
              <w:autoSpaceDE/>
              <w:autoSpaceDN/>
              <w:spacing w:before="0" w:after="0" w:line="240" w:lineRule="auto"/>
              <w:ind w:left="0" w:right="0" w:firstLine="0" w:firstLineChars="0"/>
              <w:jc w:val="left"/>
              <w:rPr>
                <w:rFonts w:ascii="Times New Roman" w:hAnsi="Times New Roman" w:eastAsia="宋体" w:cs="Times New Roman"/>
                <w:color w:val="auto"/>
                <w:kern w:val="2"/>
                <w:sz w:val="21"/>
                <w:szCs w:val="21"/>
                <w:lang w:val="en-US" w:bidi="ar-SA"/>
              </w:rPr>
            </w:pPr>
          </w:p>
        </w:tc>
        <w:tc>
          <w:tcPr>
            <w:tcW w:w="944" w:type="pct"/>
            <w:tcBorders>
              <w:tl2br w:val="nil"/>
              <w:tr2bl w:val="nil"/>
            </w:tcBorders>
            <w:noWrap w:val="0"/>
            <w:tcMar>
              <w:top w:w="15" w:type="dxa"/>
              <w:left w:w="15" w:type="dxa"/>
              <w:bottom w:w="15" w:type="dxa"/>
              <w:right w:w="15" w:type="dxa"/>
            </w:tcMar>
            <w:vAlign w:val="center"/>
          </w:tcPr>
          <w:p w14:paraId="49521197">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多光谱</w:t>
            </w:r>
          </w:p>
        </w:tc>
        <w:tc>
          <w:tcPr>
            <w:tcW w:w="3174" w:type="pct"/>
            <w:gridSpan w:val="2"/>
            <w:tcBorders>
              <w:tl2br w:val="nil"/>
              <w:tr2bl w:val="nil"/>
            </w:tcBorders>
            <w:noWrap w:val="0"/>
            <w:tcMar>
              <w:top w:w="15" w:type="dxa"/>
              <w:left w:w="15" w:type="dxa"/>
              <w:bottom w:w="15" w:type="dxa"/>
              <w:right w:w="15" w:type="dxa"/>
            </w:tcMar>
            <w:vAlign w:val="center"/>
          </w:tcPr>
          <w:p w14:paraId="03920B50">
            <w:pPr>
              <w:widowControl/>
              <w:autoSpaceDE/>
              <w:autoSpaceDN/>
              <w:snapToGrid w:val="0"/>
              <w:spacing w:before="0" w:after="0" w:line="240" w:lineRule="auto"/>
              <w:ind w:left="0" w:right="0" w:firstLine="0" w:firstLineChars="0"/>
              <w:jc w:val="center"/>
              <w:textAlignment w:val="center"/>
              <w:rPr>
                <w:rFonts w:ascii="Times New Roman" w:hAnsi="Times New Roman" w:eastAsia="宋体" w:cs="Times New Roman"/>
                <w:color w:val="auto"/>
                <w:kern w:val="2"/>
                <w:sz w:val="21"/>
                <w:szCs w:val="21"/>
                <w:lang w:val="en-US" w:bidi="ar-SA"/>
              </w:rPr>
            </w:pPr>
            <w:r>
              <w:rPr>
                <w:rFonts w:ascii="Times New Roman" w:hAnsi="Times New Roman" w:eastAsia="宋体" w:cs="Times New Roman"/>
                <w:color w:val="auto"/>
                <w:kern w:val="0"/>
                <w:sz w:val="21"/>
                <w:szCs w:val="21"/>
                <w:lang w:val="en-US" w:bidi="ar-SA"/>
              </w:rPr>
              <w:t>4m</w:t>
            </w:r>
          </w:p>
        </w:tc>
      </w:tr>
    </w:tbl>
    <w:p w14:paraId="461A2890">
      <w:pPr>
        <w:widowControl/>
        <w:autoSpaceDE/>
        <w:autoSpaceDN/>
        <w:spacing w:before="0" w:after="0" w:line="240" w:lineRule="auto"/>
        <w:ind w:right="0"/>
        <w:jc w:val="center"/>
        <w:rPr>
          <w:rFonts w:ascii="Times New Roman" w:hAnsi="Times New Roman" w:eastAsia="宋体" w:cs="Times New Roman"/>
          <w:b/>
          <w:color w:val="auto"/>
          <w:kern w:val="0"/>
          <w:sz w:val="21"/>
          <w:szCs w:val="21"/>
          <w:lang w:val="en-US" w:bidi="ar-SA"/>
        </w:rPr>
      </w:pPr>
      <w:r>
        <w:rPr>
          <w:rFonts w:ascii="Times New Roman" w:hAnsi="Times New Roman" w:eastAsia="宋体" w:cs="Times New Roman"/>
          <w:color w:val="auto"/>
          <w:kern w:val="2"/>
          <w:sz w:val="24"/>
          <w:szCs w:val="24"/>
          <w:lang w:val="en-US" w:bidi="ar-SA"/>
        </w:rPr>
        <w:drawing>
          <wp:inline distT="0" distB="0" distL="114300" distR="114300">
            <wp:extent cx="4543425" cy="4375150"/>
            <wp:effectExtent l="0" t="0" r="9525" b="6350"/>
            <wp:docPr id="4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26"/>
                    <pic:cNvPicPr>
                      <a:picLocks noChangeAspect="1"/>
                    </pic:cNvPicPr>
                  </pic:nvPicPr>
                  <pic:blipFill>
                    <a:blip r:embed="rId34"/>
                    <a:stretch>
                      <a:fillRect/>
                    </a:stretch>
                  </pic:blipFill>
                  <pic:spPr>
                    <a:xfrm>
                      <a:off x="0" y="0"/>
                      <a:ext cx="4543425" cy="4375150"/>
                    </a:xfrm>
                    <a:prstGeom prst="rect">
                      <a:avLst/>
                    </a:prstGeom>
                    <a:noFill/>
                    <a:ln>
                      <a:noFill/>
                    </a:ln>
                  </pic:spPr>
                </pic:pic>
              </a:graphicData>
            </a:graphic>
          </wp:inline>
        </w:drawing>
      </w:r>
    </w:p>
    <w:p w14:paraId="18BDD044">
      <w:pPr>
        <w:widowControl/>
        <w:autoSpaceDE/>
        <w:autoSpaceDN/>
        <w:spacing w:before="0" w:after="0" w:line="360" w:lineRule="auto"/>
        <w:ind w:left="0" w:right="0" w:firstLine="482" w:firstLineChars="200"/>
        <w:jc w:val="center"/>
        <w:rPr>
          <w:rFonts w:hint="default" w:ascii="Times New Roman" w:hAnsi="Times New Roman" w:eastAsia="宋体" w:cs="Times New Roman"/>
          <w:b/>
          <w:color w:val="auto"/>
          <w:kern w:val="0"/>
          <w:sz w:val="24"/>
          <w:szCs w:val="24"/>
          <w:lang w:val="en-US" w:bidi="ar-SA"/>
        </w:rPr>
      </w:pPr>
      <w:r>
        <w:rPr>
          <w:rFonts w:hint="default" w:ascii="Times New Roman" w:hAnsi="Times New Roman" w:eastAsia="宋体" w:cs="Times New Roman"/>
          <w:b/>
          <w:color w:val="auto"/>
          <w:kern w:val="0"/>
          <w:sz w:val="24"/>
          <w:szCs w:val="24"/>
          <w:lang w:val="en-US" w:bidi="ar-SA"/>
        </w:rPr>
        <w:t>图</w:t>
      </w:r>
      <w:r>
        <w:rPr>
          <w:rFonts w:hint="default" w:ascii="Times New Roman" w:hAnsi="Times New Roman" w:eastAsia="宋体" w:cs="Times New Roman"/>
          <w:b/>
          <w:color w:val="auto"/>
          <w:kern w:val="0"/>
          <w:sz w:val="24"/>
          <w:szCs w:val="24"/>
          <w:lang w:val="en-US" w:eastAsia="zh-CN" w:bidi="ar-SA"/>
        </w:rPr>
        <w:t>4</w:t>
      </w:r>
      <w:r>
        <w:rPr>
          <w:rFonts w:hint="default" w:ascii="Times New Roman" w:hAnsi="Times New Roman" w:eastAsia="宋体" w:cs="Times New Roman"/>
          <w:b/>
          <w:color w:val="auto"/>
          <w:kern w:val="0"/>
          <w:sz w:val="24"/>
          <w:szCs w:val="24"/>
          <w:lang w:val="en-US" w:bidi="ar-SA"/>
        </w:rPr>
        <w:t>.</w:t>
      </w:r>
      <w:r>
        <w:rPr>
          <w:rFonts w:hint="default" w:ascii="Times New Roman" w:hAnsi="Times New Roman" w:cs="Times New Roman"/>
          <w:b/>
          <w:color w:val="auto"/>
          <w:kern w:val="0"/>
          <w:sz w:val="24"/>
          <w:szCs w:val="24"/>
          <w:lang w:val="en-US" w:eastAsia="zh-CN" w:bidi="ar-SA"/>
        </w:rPr>
        <w:t>3</w:t>
      </w:r>
      <w:r>
        <w:rPr>
          <w:rFonts w:hint="default" w:ascii="Times New Roman" w:hAnsi="Times New Roman" w:eastAsia="宋体" w:cs="Times New Roman"/>
          <w:b/>
          <w:color w:val="auto"/>
          <w:kern w:val="0"/>
          <w:sz w:val="24"/>
          <w:szCs w:val="24"/>
          <w:lang w:val="en-US" w:bidi="ar-SA"/>
        </w:rPr>
        <w:t>-1  调查方法于技术路线框图</w:t>
      </w:r>
    </w:p>
    <w:p w14:paraId="6A5B55FA">
      <w:pPr>
        <w:pStyle w:val="4"/>
        <w:numPr>
          <w:ilvl w:val="2"/>
          <w:numId w:val="0"/>
        </w:numPr>
        <w:bidi w:val="0"/>
        <w:ind w:leftChars="0" w:right="0" w:rightChars="0"/>
        <w:rPr>
          <w:rFonts w:hint="eastAsia" w:ascii="Times New Roman" w:hAnsi="Times New Roman" w:eastAsia="宋体" w:cs="Times New Roman"/>
          <w:b/>
          <w:bCs/>
          <w:color w:val="auto"/>
          <w:lang w:val="zh-CN" w:eastAsia="zh-CN"/>
        </w:rPr>
      </w:pPr>
      <w:bookmarkStart w:id="250" w:name="_Toc12263"/>
      <w:r>
        <w:rPr>
          <w:rFonts w:hint="eastAsia" w:ascii="Times New Roman" w:hAnsi="Times New Roman" w:eastAsia="宋体" w:cs="Times New Roman"/>
          <w:b/>
          <w:bCs/>
          <w:color w:val="auto"/>
          <w:lang w:val="en-US" w:eastAsia="zh-CN"/>
        </w:rPr>
        <w:t>4.3.2</w:t>
      </w:r>
      <w:r>
        <w:rPr>
          <w:rFonts w:hint="eastAsia" w:ascii="Times New Roman" w:hAnsi="Times New Roman" w:eastAsia="宋体" w:cs="Times New Roman"/>
          <w:b/>
          <w:bCs/>
          <w:color w:val="auto"/>
          <w:lang w:val="zh-CN" w:eastAsia="zh-CN"/>
        </w:rPr>
        <w:t>评价区生态现状</w:t>
      </w:r>
      <w:bookmarkEnd w:id="250"/>
    </w:p>
    <w:p w14:paraId="27C72C13">
      <w:pPr>
        <w:numPr>
          <w:ilvl w:val="0"/>
          <w:numId w:val="0"/>
        </w:numPr>
        <w:spacing w:line="360" w:lineRule="auto"/>
        <w:ind w:firstLine="480" w:firstLineChars="200"/>
        <w:rPr>
          <w:rFonts w:hint="eastAsia"/>
          <w:color w:val="auto"/>
          <w:sz w:val="24"/>
          <w:lang w:val="zh-CN"/>
        </w:rPr>
      </w:pPr>
      <w:r>
        <w:rPr>
          <w:rFonts w:hint="eastAsia"/>
          <w:color w:val="auto"/>
          <w:sz w:val="24"/>
          <w:lang w:val="zh-CN"/>
        </w:rPr>
        <w:t>（1）</w:t>
      </w:r>
      <w:r>
        <w:rPr>
          <w:rFonts w:hint="eastAsia"/>
          <w:color w:val="auto"/>
          <w:sz w:val="24"/>
          <w:lang w:val="zh-CN" w:eastAsia="zh-CN"/>
        </w:rPr>
        <w:t>植物与植被现状调查</w:t>
      </w:r>
    </w:p>
    <w:p w14:paraId="3AFA1C16">
      <w:pPr>
        <w:numPr>
          <w:ilvl w:val="0"/>
          <w:numId w:val="0"/>
        </w:numPr>
        <w:spacing w:line="360" w:lineRule="auto"/>
        <w:ind w:firstLine="480" w:firstLineChars="200"/>
        <w:rPr>
          <w:rFonts w:hint="eastAsia"/>
          <w:color w:val="auto"/>
          <w:sz w:val="24"/>
          <w:lang w:val="zh-CN"/>
        </w:rPr>
      </w:pPr>
      <w:r>
        <w:rPr>
          <w:rFonts w:hint="eastAsia"/>
          <w:color w:val="auto"/>
          <w:sz w:val="24"/>
          <w:lang w:val="zh-CN" w:eastAsia="zh-CN"/>
        </w:rPr>
        <w:t>项目评价范围内植被具有山地特征，植被以人工经济林为主。</w:t>
      </w:r>
      <w:r>
        <w:rPr>
          <w:rFonts w:hint="eastAsia"/>
          <w:color w:val="auto"/>
          <w:sz w:val="24"/>
          <w:lang w:val="zh-CN"/>
        </w:rPr>
        <w:t>组成本区的植物生活型主要有乔木、灌木、半灌木、多年生草本和一、二年生草本等五大基本类群。</w:t>
      </w:r>
      <w:r>
        <w:rPr>
          <w:rFonts w:hint="eastAsia"/>
          <w:color w:val="auto"/>
          <w:sz w:val="24"/>
          <w:lang w:val="zh-CN" w:eastAsia="zh-CN"/>
        </w:rPr>
        <w:t>野生植物种类较单一，木本植物有油松、山杨等，草本植物以杂草为主，有白羊草、百里香、达乌里胡枝子及蒿类等，草层低矮，植被覆盖率约50%。项目区周围尚未发现国家或地方级保护的珍稀植物，植物名录见表4.</w:t>
      </w:r>
      <w:r>
        <w:rPr>
          <w:rFonts w:hint="eastAsia"/>
          <w:color w:val="auto"/>
          <w:sz w:val="24"/>
          <w:lang w:val="en-US" w:eastAsia="zh-CN"/>
        </w:rPr>
        <w:t>3-2</w:t>
      </w:r>
      <w:r>
        <w:rPr>
          <w:rFonts w:hint="eastAsia"/>
          <w:color w:val="auto"/>
          <w:sz w:val="24"/>
          <w:lang w:val="zh-CN" w:eastAsia="zh-CN"/>
        </w:rPr>
        <w:t>。</w:t>
      </w:r>
    </w:p>
    <w:p w14:paraId="04A861FF">
      <w:pPr>
        <w:numPr>
          <w:ilvl w:val="0"/>
          <w:numId w:val="0"/>
        </w:numPr>
        <w:spacing w:line="240" w:lineRule="auto"/>
        <w:ind w:firstLine="422" w:firstLineChars="200"/>
        <w:jc w:val="center"/>
        <w:rPr>
          <w:rFonts w:hint="default" w:eastAsia="宋体"/>
          <w:b/>
          <w:bCs/>
          <w:color w:val="auto"/>
          <w:sz w:val="21"/>
          <w:szCs w:val="21"/>
          <w:lang w:val="en-US" w:eastAsia="zh-CN"/>
        </w:rPr>
      </w:pPr>
      <w:r>
        <w:rPr>
          <w:rFonts w:hint="eastAsia"/>
          <w:b/>
          <w:bCs/>
          <w:color w:val="auto"/>
          <w:sz w:val="21"/>
          <w:szCs w:val="21"/>
          <w:lang w:val="zh-CN"/>
        </w:rPr>
        <w:t>表</w:t>
      </w:r>
      <w:r>
        <w:rPr>
          <w:rFonts w:hint="eastAsia"/>
          <w:b/>
          <w:bCs/>
          <w:color w:val="auto"/>
          <w:sz w:val="21"/>
          <w:szCs w:val="21"/>
          <w:lang w:val="en-US" w:eastAsia="zh-CN"/>
        </w:rPr>
        <w:t>4.3-2  项目评价区植物名录</w:t>
      </w:r>
    </w:p>
    <w:tbl>
      <w:tblPr>
        <w:tblStyle w:val="5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8"/>
        <w:gridCol w:w="1728"/>
        <w:gridCol w:w="1730"/>
        <w:gridCol w:w="3339"/>
      </w:tblGrid>
      <w:tr w14:paraId="674B935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tcBorders>
              <w:tl2br w:val="nil"/>
              <w:tr2bl w:val="nil"/>
            </w:tcBorders>
            <w:vAlign w:val="center"/>
          </w:tcPr>
          <w:p w14:paraId="64F6540D">
            <w:pPr>
              <w:jc w:val="center"/>
              <w:rPr>
                <w:rFonts w:hint="eastAsia"/>
                <w:color w:val="auto"/>
                <w:lang w:val="zh-CN" w:eastAsia="zh-CN"/>
              </w:rPr>
            </w:pPr>
            <w:r>
              <w:rPr>
                <w:rFonts w:hint="eastAsia"/>
                <w:color w:val="auto"/>
                <w:lang w:val="zh-CN" w:eastAsia="zh-CN"/>
              </w:rPr>
              <w:t>类型</w:t>
            </w:r>
          </w:p>
        </w:tc>
        <w:tc>
          <w:tcPr>
            <w:tcW w:w="1013" w:type="pct"/>
            <w:tcBorders>
              <w:tl2br w:val="nil"/>
              <w:tr2bl w:val="nil"/>
            </w:tcBorders>
            <w:vAlign w:val="center"/>
          </w:tcPr>
          <w:p w14:paraId="01627E8C">
            <w:pPr>
              <w:jc w:val="center"/>
              <w:rPr>
                <w:rFonts w:hint="eastAsia"/>
                <w:color w:val="auto"/>
                <w:lang w:val="zh-CN" w:eastAsia="zh-CN"/>
              </w:rPr>
            </w:pPr>
            <w:r>
              <w:rPr>
                <w:rFonts w:hint="eastAsia"/>
                <w:color w:val="auto"/>
                <w:lang w:val="zh-CN" w:eastAsia="zh-CN"/>
              </w:rPr>
              <w:t>属性</w:t>
            </w:r>
          </w:p>
        </w:tc>
        <w:tc>
          <w:tcPr>
            <w:tcW w:w="1014" w:type="pct"/>
            <w:tcBorders>
              <w:tl2br w:val="nil"/>
              <w:tr2bl w:val="nil"/>
            </w:tcBorders>
            <w:vAlign w:val="center"/>
          </w:tcPr>
          <w:p w14:paraId="6AF61797">
            <w:pPr>
              <w:jc w:val="center"/>
              <w:rPr>
                <w:rFonts w:hint="eastAsia"/>
                <w:color w:val="auto"/>
                <w:lang w:val="zh-CN" w:eastAsia="zh-CN"/>
              </w:rPr>
            </w:pPr>
            <w:r>
              <w:rPr>
                <w:rFonts w:hint="eastAsia"/>
                <w:color w:val="auto"/>
                <w:lang w:val="zh-CN" w:eastAsia="zh-CN"/>
              </w:rPr>
              <w:t>种名</w:t>
            </w:r>
          </w:p>
        </w:tc>
        <w:tc>
          <w:tcPr>
            <w:tcW w:w="1957" w:type="pct"/>
            <w:tcBorders>
              <w:tl2br w:val="nil"/>
              <w:tr2bl w:val="nil"/>
            </w:tcBorders>
            <w:vAlign w:val="center"/>
          </w:tcPr>
          <w:p w14:paraId="62754A65">
            <w:pPr>
              <w:jc w:val="center"/>
              <w:rPr>
                <w:rFonts w:hint="eastAsia"/>
                <w:color w:val="auto"/>
                <w:lang w:val="zh-CN" w:eastAsia="zh-CN"/>
              </w:rPr>
            </w:pPr>
            <w:r>
              <w:rPr>
                <w:rFonts w:hint="eastAsia"/>
                <w:color w:val="auto"/>
                <w:lang w:val="zh-CN" w:eastAsia="zh-CN"/>
              </w:rPr>
              <w:t>拉丁名</w:t>
            </w:r>
          </w:p>
        </w:tc>
      </w:tr>
      <w:tr w14:paraId="3909AB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tcBorders>
              <w:tl2br w:val="nil"/>
              <w:tr2bl w:val="nil"/>
            </w:tcBorders>
            <w:vAlign w:val="center"/>
          </w:tcPr>
          <w:p w14:paraId="1CCB8703">
            <w:pPr>
              <w:jc w:val="center"/>
              <w:rPr>
                <w:rFonts w:hint="eastAsia"/>
                <w:color w:val="auto"/>
                <w:lang w:val="zh-CN" w:eastAsia="zh-CN"/>
              </w:rPr>
            </w:pPr>
            <w:r>
              <w:rPr>
                <w:rFonts w:hint="eastAsia"/>
                <w:color w:val="auto"/>
                <w:lang w:val="zh-CN" w:eastAsia="zh-CN"/>
              </w:rPr>
              <w:t>松科</w:t>
            </w:r>
          </w:p>
        </w:tc>
        <w:tc>
          <w:tcPr>
            <w:tcW w:w="1013" w:type="pct"/>
            <w:tcBorders>
              <w:tl2br w:val="nil"/>
              <w:tr2bl w:val="nil"/>
            </w:tcBorders>
            <w:vAlign w:val="center"/>
          </w:tcPr>
          <w:p w14:paraId="37100E7F">
            <w:pPr>
              <w:jc w:val="center"/>
              <w:rPr>
                <w:rFonts w:hint="eastAsia"/>
                <w:color w:val="auto"/>
                <w:lang w:val="zh-CN" w:eastAsia="zh-CN"/>
              </w:rPr>
            </w:pPr>
            <w:r>
              <w:rPr>
                <w:rFonts w:hint="eastAsia"/>
                <w:color w:val="auto"/>
                <w:lang w:val="zh-CN" w:eastAsia="zh-CN"/>
              </w:rPr>
              <w:t>松属</w:t>
            </w:r>
          </w:p>
        </w:tc>
        <w:tc>
          <w:tcPr>
            <w:tcW w:w="1014" w:type="pct"/>
            <w:tcBorders>
              <w:tl2br w:val="nil"/>
              <w:tr2bl w:val="nil"/>
            </w:tcBorders>
            <w:vAlign w:val="center"/>
          </w:tcPr>
          <w:p w14:paraId="59CA9B12">
            <w:pPr>
              <w:jc w:val="center"/>
              <w:rPr>
                <w:rFonts w:hint="eastAsia"/>
                <w:color w:val="auto"/>
                <w:lang w:val="zh-CN" w:eastAsia="zh-CN"/>
              </w:rPr>
            </w:pPr>
            <w:r>
              <w:rPr>
                <w:rFonts w:hint="eastAsia"/>
                <w:color w:val="auto"/>
                <w:lang w:val="zh-CN" w:eastAsia="zh-CN"/>
              </w:rPr>
              <w:t>油松</w:t>
            </w:r>
          </w:p>
        </w:tc>
        <w:tc>
          <w:tcPr>
            <w:tcW w:w="1957" w:type="pct"/>
            <w:tcBorders>
              <w:tl2br w:val="nil"/>
              <w:tr2bl w:val="nil"/>
            </w:tcBorders>
            <w:vAlign w:val="center"/>
          </w:tcPr>
          <w:p w14:paraId="44067399">
            <w:pPr>
              <w:jc w:val="center"/>
              <w:rPr>
                <w:rFonts w:hint="eastAsia"/>
                <w:color w:val="auto"/>
                <w:lang w:val="zh-CN" w:eastAsia="zh-CN"/>
              </w:rPr>
            </w:pPr>
            <w:r>
              <w:rPr>
                <w:rFonts w:hint="eastAsia"/>
                <w:color w:val="auto"/>
                <w:lang w:val="zh-CN" w:eastAsia="zh-CN"/>
              </w:rPr>
              <w:t>Pinus</w:t>
            </w:r>
            <w:r>
              <w:rPr>
                <w:rFonts w:hint="eastAsia"/>
                <w:color w:val="auto"/>
                <w:lang w:val="en-US" w:eastAsia="zh-CN"/>
              </w:rPr>
              <w:t xml:space="preserve"> t</w:t>
            </w:r>
            <w:r>
              <w:rPr>
                <w:rFonts w:hint="eastAsia"/>
                <w:color w:val="auto"/>
                <w:lang w:val="zh-CN" w:eastAsia="zh-CN"/>
              </w:rPr>
              <w:t>abuliformis</w:t>
            </w:r>
            <w:r>
              <w:rPr>
                <w:rFonts w:hint="eastAsia"/>
                <w:color w:val="auto"/>
                <w:lang w:val="en-US" w:eastAsia="zh-CN"/>
              </w:rPr>
              <w:t xml:space="preserve"> </w:t>
            </w:r>
            <w:r>
              <w:rPr>
                <w:rFonts w:hint="eastAsia"/>
                <w:color w:val="auto"/>
                <w:lang w:val="zh-CN" w:eastAsia="zh-CN"/>
              </w:rPr>
              <w:t>Carrière</w:t>
            </w:r>
          </w:p>
        </w:tc>
      </w:tr>
      <w:tr w14:paraId="1EEB09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tcBorders>
              <w:tl2br w:val="nil"/>
              <w:tr2bl w:val="nil"/>
            </w:tcBorders>
            <w:vAlign w:val="center"/>
          </w:tcPr>
          <w:p w14:paraId="5157C782">
            <w:pPr>
              <w:jc w:val="center"/>
              <w:rPr>
                <w:rFonts w:hint="eastAsia"/>
                <w:color w:val="auto"/>
                <w:lang w:val="zh-CN" w:eastAsia="zh-CN"/>
              </w:rPr>
            </w:pPr>
            <w:r>
              <w:rPr>
                <w:rFonts w:hint="eastAsia"/>
                <w:color w:val="auto"/>
                <w:lang w:val="zh-CN" w:eastAsia="zh-CN"/>
              </w:rPr>
              <w:t>杨柳科</w:t>
            </w:r>
          </w:p>
        </w:tc>
        <w:tc>
          <w:tcPr>
            <w:tcW w:w="1013" w:type="pct"/>
            <w:tcBorders>
              <w:tl2br w:val="nil"/>
              <w:tr2bl w:val="nil"/>
            </w:tcBorders>
            <w:vAlign w:val="center"/>
          </w:tcPr>
          <w:p w14:paraId="3BE8AEE7">
            <w:pPr>
              <w:jc w:val="center"/>
              <w:rPr>
                <w:rFonts w:hint="eastAsia"/>
                <w:color w:val="auto"/>
                <w:lang w:val="zh-CN" w:eastAsia="zh-CN"/>
              </w:rPr>
            </w:pPr>
            <w:r>
              <w:rPr>
                <w:rFonts w:hint="eastAsia"/>
                <w:color w:val="auto"/>
                <w:lang w:val="zh-CN" w:eastAsia="zh-CN"/>
              </w:rPr>
              <w:t>杨属</w:t>
            </w:r>
          </w:p>
        </w:tc>
        <w:tc>
          <w:tcPr>
            <w:tcW w:w="1014" w:type="pct"/>
            <w:tcBorders>
              <w:tl2br w:val="nil"/>
              <w:tr2bl w:val="nil"/>
            </w:tcBorders>
            <w:vAlign w:val="center"/>
          </w:tcPr>
          <w:p w14:paraId="40E4310D">
            <w:pPr>
              <w:jc w:val="center"/>
              <w:rPr>
                <w:rFonts w:hint="eastAsia"/>
                <w:color w:val="auto"/>
                <w:lang w:val="zh-CN" w:eastAsia="zh-CN"/>
              </w:rPr>
            </w:pPr>
            <w:r>
              <w:rPr>
                <w:rFonts w:hint="eastAsia"/>
                <w:color w:val="auto"/>
                <w:lang w:val="zh-CN" w:eastAsia="zh-CN"/>
              </w:rPr>
              <w:t>山杨</w:t>
            </w:r>
          </w:p>
        </w:tc>
        <w:tc>
          <w:tcPr>
            <w:tcW w:w="1957" w:type="pct"/>
            <w:tcBorders>
              <w:tl2br w:val="nil"/>
              <w:tr2bl w:val="nil"/>
            </w:tcBorders>
            <w:vAlign w:val="center"/>
          </w:tcPr>
          <w:p w14:paraId="5D3C3428">
            <w:pPr>
              <w:jc w:val="center"/>
              <w:rPr>
                <w:rFonts w:hint="eastAsia"/>
                <w:color w:val="auto"/>
                <w:lang w:val="zh-CN" w:eastAsia="zh-CN"/>
              </w:rPr>
            </w:pPr>
            <w:r>
              <w:rPr>
                <w:rFonts w:hint="eastAsia"/>
                <w:color w:val="auto"/>
                <w:lang w:val="zh-CN" w:eastAsia="zh-CN"/>
              </w:rPr>
              <w:t>Populus davidiana</w:t>
            </w:r>
          </w:p>
        </w:tc>
      </w:tr>
      <w:tr w14:paraId="7D0E87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tcBorders>
              <w:tl2br w:val="nil"/>
              <w:tr2bl w:val="nil"/>
            </w:tcBorders>
            <w:vAlign w:val="center"/>
          </w:tcPr>
          <w:p w14:paraId="08AAD287">
            <w:pPr>
              <w:jc w:val="center"/>
              <w:rPr>
                <w:rFonts w:hint="eastAsia"/>
                <w:color w:val="auto"/>
                <w:lang w:val="zh-CN" w:eastAsia="zh-CN"/>
              </w:rPr>
            </w:pPr>
            <w:r>
              <w:rPr>
                <w:rFonts w:hint="eastAsia"/>
                <w:color w:val="auto"/>
                <w:lang w:val="zh-CN" w:eastAsia="zh-CN"/>
              </w:rPr>
              <w:t>禾本科</w:t>
            </w:r>
          </w:p>
        </w:tc>
        <w:tc>
          <w:tcPr>
            <w:tcW w:w="1013" w:type="pct"/>
            <w:tcBorders>
              <w:tl2br w:val="nil"/>
              <w:tr2bl w:val="nil"/>
            </w:tcBorders>
            <w:vAlign w:val="center"/>
          </w:tcPr>
          <w:p w14:paraId="7B4BDD12">
            <w:pPr>
              <w:jc w:val="center"/>
              <w:rPr>
                <w:rFonts w:hint="eastAsia"/>
                <w:color w:val="auto"/>
                <w:lang w:val="zh-CN" w:eastAsia="zh-CN"/>
              </w:rPr>
            </w:pPr>
            <w:r>
              <w:rPr>
                <w:rFonts w:hint="eastAsia"/>
                <w:color w:val="auto"/>
                <w:lang w:val="zh-CN" w:eastAsia="zh-CN"/>
              </w:rPr>
              <w:t>针茅属</w:t>
            </w:r>
          </w:p>
        </w:tc>
        <w:tc>
          <w:tcPr>
            <w:tcW w:w="1014" w:type="pct"/>
            <w:tcBorders>
              <w:tl2br w:val="nil"/>
              <w:tr2bl w:val="nil"/>
            </w:tcBorders>
            <w:vAlign w:val="center"/>
          </w:tcPr>
          <w:p w14:paraId="1E78F622">
            <w:pPr>
              <w:jc w:val="center"/>
              <w:rPr>
                <w:rFonts w:hint="eastAsia"/>
                <w:color w:val="auto"/>
                <w:lang w:val="zh-CN" w:eastAsia="zh-CN"/>
              </w:rPr>
            </w:pPr>
            <w:r>
              <w:rPr>
                <w:rFonts w:hint="eastAsia"/>
                <w:color w:val="auto"/>
                <w:lang w:val="zh-CN" w:eastAsia="zh-CN"/>
              </w:rPr>
              <w:t>白羊草</w:t>
            </w:r>
          </w:p>
        </w:tc>
        <w:tc>
          <w:tcPr>
            <w:tcW w:w="1957" w:type="pct"/>
            <w:tcBorders>
              <w:tl2br w:val="nil"/>
              <w:tr2bl w:val="nil"/>
            </w:tcBorders>
            <w:vAlign w:val="center"/>
          </w:tcPr>
          <w:p w14:paraId="4253A941">
            <w:pPr>
              <w:jc w:val="center"/>
              <w:rPr>
                <w:rFonts w:hint="eastAsia"/>
                <w:color w:val="auto"/>
                <w:lang w:val="zh-CN" w:eastAsia="zh-CN"/>
              </w:rPr>
            </w:pPr>
            <w:r>
              <w:rPr>
                <w:rFonts w:hint="eastAsia"/>
                <w:color w:val="auto"/>
                <w:lang w:val="zh-CN" w:eastAsia="zh-CN"/>
              </w:rPr>
              <w:t>Bothriochloa ischaemum (L.) Keng</w:t>
            </w:r>
          </w:p>
        </w:tc>
      </w:tr>
      <w:tr w14:paraId="5865477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tcBorders>
              <w:tl2br w:val="nil"/>
              <w:tr2bl w:val="nil"/>
            </w:tcBorders>
            <w:vAlign w:val="center"/>
          </w:tcPr>
          <w:p w14:paraId="440CCF2B">
            <w:pPr>
              <w:jc w:val="center"/>
              <w:rPr>
                <w:rFonts w:hint="eastAsia"/>
                <w:color w:val="auto"/>
                <w:lang w:val="zh-CN" w:eastAsia="zh-CN"/>
              </w:rPr>
            </w:pPr>
            <w:r>
              <w:rPr>
                <w:rFonts w:hint="eastAsia"/>
                <w:color w:val="auto"/>
                <w:lang w:val="zh-CN" w:eastAsia="zh-CN"/>
              </w:rPr>
              <w:t>唇形科</w:t>
            </w:r>
          </w:p>
        </w:tc>
        <w:tc>
          <w:tcPr>
            <w:tcW w:w="1013" w:type="pct"/>
            <w:tcBorders>
              <w:tl2br w:val="nil"/>
              <w:tr2bl w:val="nil"/>
            </w:tcBorders>
            <w:vAlign w:val="center"/>
          </w:tcPr>
          <w:p w14:paraId="3B3D4C68">
            <w:pPr>
              <w:jc w:val="center"/>
              <w:rPr>
                <w:rFonts w:hint="eastAsia"/>
                <w:color w:val="auto"/>
                <w:lang w:val="zh-CN" w:eastAsia="zh-CN"/>
              </w:rPr>
            </w:pPr>
            <w:r>
              <w:rPr>
                <w:rFonts w:hint="eastAsia"/>
                <w:color w:val="auto"/>
                <w:lang w:val="zh-CN" w:eastAsia="zh-CN"/>
              </w:rPr>
              <w:t>百里香属</w:t>
            </w:r>
          </w:p>
        </w:tc>
        <w:tc>
          <w:tcPr>
            <w:tcW w:w="1014" w:type="pct"/>
            <w:tcBorders>
              <w:tl2br w:val="nil"/>
              <w:tr2bl w:val="nil"/>
            </w:tcBorders>
            <w:vAlign w:val="center"/>
          </w:tcPr>
          <w:p w14:paraId="35330B44">
            <w:pPr>
              <w:jc w:val="center"/>
              <w:rPr>
                <w:rFonts w:hint="eastAsia"/>
                <w:color w:val="auto"/>
                <w:lang w:val="zh-CN" w:eastAsia="zh-CN"/>
              </w:rPr>
            </w:pPr>
            <w:r>
              <w:rPr>
                <w:rFonts w:hint="eastAsia"/>
                <w:color w:val="auto"/>
                <w:lang w:val="zh-CN" w:eastAsia="zh-CN"/>
              </w:rPr>
              <w:t>百里香</w:t>
            </w:r>
          </w:p>
        </w:tc>
        <w:tc>
          <w:tcPr>
            <w:tcW w:w="1957" w:type="pct"/>
            <w:tcBorders>
              <w:tl2br w:val="nil"/>
              <w:tr2bl w:val="nil"/>
            </w:tcBorders>
            <w:vAlign w:val="center"/>
          </w:tcPr>
          <w:p w14:paraId="732471DC">
            <w:pPr>
              <w:jc w:val="center"/>
              <w:rPr>
                <w:rFonts w:hint="eastAsia"/>
                <w:color w:val="auto"/>
                <w:lang w:val="zh-CN" w:eastAsia="zh-CN"/>
              </w:rPr>
            </w:pPr>
            <w:r>
              <w:rPr>
                <w:rFonts w:hint="eastAsia"/>
                <w:color w:val="auto"/>
                <w:lang w:val="zh-CN" w:eastAsia="zh-CN"/>
              </w:rPr>
              <w:t>Thymus mongolicus Ronn</w:t>
            </w:r>
          </w:p>
        </w:tc>
      </w:tr>
      <w:tr w14:paraId="559FAE9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tcBorders>
              <w:tl2br w:val="nil"/>
              <w:tr2bl w:val="nil"/>
            </w:tcBorders>
            <w:vAlign w:val="center"/>
          </w:tcPr>
          <w:p w14:paraId="54B9FCF6">
            <w:pPr>
              <w:jc w:val="center"/>
              <w:rPr>
                <w:rFonts w:hint="eastAsia"/>
                <w:color w:val="auto"/>
                <w:lang w:val="zh-CN" w:eastAsia="zh-CN"/>
              </w:rPr>
            </w:pPr>
            <w:r>
              <w:rPr>
                <w:rFonts w:hint="eastAsia"/>
                <w:color w:val="auto"/>
                <w:lang w:val="zh-CN" w:eastAsia="zh-CN"/>
              </w:rPr>
              <w:t>豆科</w:t>
            </w:r>
          </w:p>
        </w:tc>
        <w:tc>
          <w:tcPr>
            <w:tcW w:w="1013" w:type="pct"/>
            <w:tcBorders>
              <w:tl2br w:val="nil"/>
              <w:tr2bl w:val="nil"/>
            </w:tcBorders>
            <w:vAlign w:val="center"/>
          </w:tcPr>
          <w:p w14:paraId="59E1997F">
            <w:pPr>
              <w:jc w:val="center"/>
              <w:rPr>
                <w:rFonts w:hint="eastAsia"/>
                <w:color w:val="auto"/>
                <w:lang w:val="zh-CN" w:eastAsia="zh-CN"/>
              </w:rPr>
            </w:pPr>
            <w:r>
              <w:rPr>
                <w:rFonts w:hint="eastAsia"/>
                <w:color w:val="auto"/>
                <w:lang w:val="zh-CN" w:eastAsia="zh-CN"/>
              </w:rPr>
              <w:t>胡枝子属</w:t>
            </w:r>
          </w:p>
        </w:tc>
        <w:tc>
          <w:tcPr>
            <w:tcW w:w="1014" w:type="pct"/>
            <w:tcBorders>
              <w:tl2br w:val="nil"/>
              <w:tr2bl w:val="nil"/>
            </w:tcBorders>
            <w:vAlign w:val="center"/>
          </w:tcPr>
          <w:p w14:paraId="653F881F">
            <w:pPr>
              <w:jc w:val="center"/>
              <w:rPr>
                <w:rFonts w:hint="eastAsia"/>
                <w:color w:val="auto"/>
                <w:lang w:val="zh-CN" w:eastAsia="zh-CN"/>
              </w:rPr>
            </w:pPr>
            <w:r>
              <w:rPr>
                <w:rFonts w:hint="eastAsia"/>
                <w:color w:val="auto"/>
                <w:lang w:val="zh-CN" w:eastAsia="zh-CN"/>
              </w:rPr>
              <w:t>胡枝子</w:t>
            </w:r>
          </w:p>
        </w:tc>
        <w:tc>
          <w:tcPr>
            <w:tcW w:w="1957" w:type="pct"/>
            <w:tcBorders>
              <w:tl2br w:val="nil"/>
              <w:tr2bl w:val="nil"/>
            </w:tcBorders>
            <w:vAlign w:val="center"/>
          </w:tcPr>
          <w:p w14:paraId="7FA5BAD6">
            <w:pPr>
              <w:jc w:val="center"/>
              <w:rPr>
                <w:rFonts w:hint="eastAsia"/>
                <w:color w:val="auto"/>
                <w:lang w:val="zh-CN" w:eastAsia="zh-CN"/>
              </w:rPr>
            </w:pPr>
            <w:r>
              <w:rPr>
                <w:rFonts w:hint="eastAsia"/>
                <w:color w:val="auto"/>
                <w:lang w:val="zh-CN" w:eastAsia="zh-CN"/>
              </w:rPr>
              <w:t>LespedezabicolorTurcz.</w:t>
            </w:r>
          </w:p>
        </w:tc>
      </w:tr>
      <w:tr w14:paraId="2779F83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tcBorders>
              <w:tl2br w:val="nil"/>
              <w:tr2bl w:val="nil"/>
            </w:tcBorders>
            <w:vAlign w:val="center"/>
          </w:tcPr>
          <w:p w14:paraId="469C2720">
            <w:pPr>
              <w:jc w:val="center"/>
              <w:rPr>
                <w:rFonts w:hint="eastAsia"/>
                <w:color w:val="auto"/>
                <w:lang w:val="zh-CN" w:eastAsia="zh-CN"/>
              </w:rPr>
            </w:pPr>
            <w:r>
              <w:rPr>
                <w:rFonts w:hint="eastAsia"/>
                <w:color w:val="auto"/>
                <w:lang w:val="zh-CN" w:eastAsia="zh-CN"/>
              </w:rPr>
              <w:t>菊科</w:t>
            </w:r>
          </w:p>
        </w:tc>
        <w:tc>
          <w:tcPr>
            <w:tcW w:w="1013" w:type="pct"/>
            <w:tcBorders>
              <w:tl2br w:val="nil"/>
              <w:tr2bl w:val="nil"/>
            </w:tcBorders>
            <w:vAlign w:val="center"/>
          </w:tcPr>
          <w:p w14:paraId="4F43DAB7">
            <w:pPr>
              <w:jc w:val="center"/>
              <w:rPr>
                <w:rFonts w:hint="eastAsia"/>
                <w:color w:val="auto"/>
                <w:lang w:val="zh-CN" w:eastAsia="zh-CN"/>
              </w:rPr>
            </w:pPr>
            <w:r>
              <w:rPr>
                <w:rFonts w:hint="eastAsia"/>
                <w:color w:val="auto"/>
                <w:lang w:val="zh-CN" w:eastAsia="zh-CN"/>
              </w:rPr>
              <w:t>蒿属</w:t>
            </w:r>
          </w:p>
        </w:tc>
        <w:tc>
          <w:tcPr>
            <w:tcW w:w="1014" w:type="pct"/>
            <w:tcBorders>
              <w:tl2br w:val="nil"/>
              <w:tr2bl w:val="nil"/>
            </w:tcBorders>
            <w:vAlign w:val="center"/>
          </w:tcPr>
          <w:p w14:paraId="554F7300">
            <w:pPr>
              <w:jc w:val="center"/>
              <w:rPr>
                <w:rFonts w:hint="eastAsia"/>
                <w:color w:val="auto"/>
                <w:lang w:val="zh-CN" w:eastAsia="zh-CN"/>
              </w:rPr>
            </w:pPr>
            <w:r>
              <w:rPr>
                <w:rFonts w:hint="eastAsia"/>
                <w:color w:val="auto"/>
                <w:lang w:val="zh-CN" w:eastAsia="zh-CN"/>
              </w:rPr>
              <w:t>万年蒿</w:t>
            </w:r>
          </w:p>
        </w:tc>
        <w:tc>
          <w:tcPr>
            <w:tcW w:w="1957" w:type="pct"/>
            <w:tcBorders>
              <w:tl2br w:val="nil"/>
              <w:tr2bl w:val="nil"/>
            </w:tcBorders>
            <w:vAlign w:val="center"/>
          </w:tcPr>
          <w:p w14:paraId="2FEA4B86">
            <w:pPr>
              <w:jc w:val="center"/>
              <w:rPr>
                <w:rFonts w:hint="eastAsia"/>
                <w:color w:val="auto"/>
                <w:lang w:val="zh-CN" w:eastAsia="zh-CN"/>
              </w:rPr>
            </w:pPr>
            <w:r>
              <w:rPr>
                <w:rFonts w:hint="eastAsia"/>
                <w:color w:val="auto"/>
                <w:lang w:val="zh-CN" w:eastAsia="zh-CN"/>
              </w:rPr>
              <w:t>Artemisia sacrorum Ledeb.</w:t>
            </w:r>
          </w:p>
        </w:tc>
      </w:tr>
    </w:tbl>
    <w:p w14:paraId="12DB5455">
      <w:pPr>
        <w:numPr>
          <w:ilvl w:val="0"/>
          <w:numId w:val="0"/>
        </w:numPr>
        <w:spacing w:line="360" w:lineRule="auto"/>
        <w:ind w:left="0" w:leftChars="0" w:firstLine="480" w:firstLineChars="200"/>
        <w:rPr>
          <w:rFonts w:hint="eastAsia"/>
          <w:color w:val="auto"/>
          <w:sz w:val="24"/>
          <w:lang w:val="zh-CN"/>
        </w:rPr>
      </w:pPr>
      <w:r>
        <w:rPr>
          <w:rFonts w:hint="eastAsia" w:ascii="Times New Roman" w:hAnsi="Times New Roman" w:eastAsia="宋体" w:cs="Times New Roman"/>
          <w:color w:val="auto"/>
          <w:kern w:val="2"/>
          <w:sz w:val="24"/>
          <w:szCs w:val="24"/>
          <w:lang w:val="zh-CN" w:eastAsia="zh-CN" w:bidi="ar-SA"/>
        </w:rPr>
        <w:t>（</w:t>
      </w:r>
      <w:r>
        <w:rPr>
          <w:rFonts w:hint="eastAsia" w:cs="Times New Roman"/>
          <w:color w:val="auto"/>
          <w:kern w:val="2"/>
          <w:sz w:val="24"/>
          <w:szCs w:val="24"/>
          <w:lang w:val="en-US" w:eastAsia="zh-CN" w:bidi="ar-SA"/>
        </w:rPr>
        <w:t>2</w:t>
      </w:r>
      <w:r>
        <w:rPr>
          <w:rFonts w:hint="eastAsia" w:ascii="Times New Roman" w:hAnsi="Times New Roman" w:eastAsia="宋体" w:cs="Times New Roman"/>
          <w:color w:val="auto"/>
          <w:kern w:val="2"/>
          <w:sz w:val="24"/>
          <w:szCs w:val="24"/>
          <w:lang w:val="zh-CN" w:eastAsia="zh-CN" w:bidi="ar-SA"/>
        </w:rPr>
        <w:t>）</w:t>
      </w:r>
      <w:r>
        <w:rPr>
          <w:rFonts w:hint="eastAsia"/>
          <w:color w:val="auto"/>
          <w:sz w:val="24"/>
          <w:lang w:val="zh-CN"/>
        </w:rPr>
        <w:t>动物种类及其分布</w:t>
      </w:r>
    </w:p>
    <w:p w14:paraId="13766021">
      <w:pPr>
        <w:numPr>
          <w:ilvl w:val="0"/>
          <w:numId w:val="0"/>
        </w:numPr>
        <w:spacing w:line="360" w:lineRule="auto"/>
        <w:ind w:left="0" w:leftChars="0" w:firstLine="480" w:firstLineChars="200"/>
        <w:rPr>
          <w:rFonts w:hint="eastAsia"/>
          <w:color w:val="auto"/>
          <w:sz w:val="24"/>
          <w:lang w:val="zh-CN"/>
        </w:rPr>
      </w:pPr>
      <w:r>
        <w:rPr>
          <w:color w:val="auto"/>
          <w:kern w:val="0"/>
          <w:sz w:val="24"/>
          <w:lang w:bidi="zh-CN"/>
        </w:rPr>
        <w:t>北票市地处内蒙古高原与松辽平原结合部，以低山丘陵为主要地形特征，</w:t>
      </w:r>
      <w:r>
        <w:rPr>
          <w:rFonts w:hint="eastAsia"/>
          <w:color w:val="auto"/>
          <w:sz w:val="24"/>
          <w:lang w:val="zh-CN" w:eastAsia="zh-CN"/>
        </w:rPr>
        <w:t>地形多变，气候多样，人类对自然环境的扰动强烈。根据评价区野生动物现状调查，野生动物的种类和数量都很少，野生动物主要为鸟类和一些啮齿类哺乳动物，鸟类主要有家燕、麻雀、大嘴乌鸦等；啮齿类小型哺乳动物有：田鼠、黄鼬、蒙古兔等。评价区内没有发现珍稀野生动物种类，目前，评价区内没有发现濒危野生动物栖息地，未发现国家重点保护和珍稀濒危野生动物。评价区内的动物名录见表4.</w:t>
      </w:r>
      <w:r>
        <w:rPr>
          <w:rFonts w:hint="eastAsia"/>
          <w:color w:val="auto"/>
          <w:sz w:val="24"/>
          <w:lang w:val="en-US" w:eastAsia="zh-CN"/>
        </w:rPr>
        <w:t>3-3</w:t>
      </w:r>
      <w:r>
        <w:rPr>
          <w:rFonts w:hint="eastAsia"/>
          <w:color w:val="auto"/>
          <w:sz w:val="24"/>
          <w:lang w:val="zh-CN" w:eastAsia="zh-CN"/>
        </w:rPr>
        <w:t>。</w:t>
      </w:r>
    </w:p>
    <w:p w14:paraId="319177AC">
      <w:pPr>
        <w:numPr>
          <w:ilvl w:val="0"/>
          <w:numId w:val="0"/>
        </w:numPr>
        <w:spacing w:line="240" w:lineRule="auto"/>
        <w:ind w:firstLine="422" w:firstLineChars="200"/>
        <w:jc w:val="center"/>
        <w:rPr>
          <w:rFonts w:hint="default" w:eastAsia="宋体"/>
          <w:b/>
          <w:bCs/>
          <w:color w:val="auto"/>
          <w:sz w:val="21"/>
          <w:szCs w:val="21"/>
          <w:lang w:val="en-US" w:eastAsia="zh-CN"/>
        </w:rPr>
      </w:pPr>
      <w:r>
        <w:rPr>
          <w:rFonts w:hint="eastAsia"/>
          <w:b/>
          <w:bCs/>
          <w:color w:val="auto"/>
          <w:sz w:val="21"/>
          <w:szCs w:val="21"/>
          <w:lang w:val="zh-CN"/>
        </w:rPr>
        <w:t>表</w:t>
      </w:r>
      <w:r>
        <w:rPr>
          <w:rFonts w:hint="eastAsia"/>
          <w:b/>
          <w:bCs/>
          <w:color w:val="auto"/>
          <w:sz w:val="21"/>
          <w:szCs w:val="21"/>
          <w:lang w:val="en-US" w:eastAsia="zh-CN"/>
        </w:rPr>
        <w:t>4.3-3    项目评价区植物名录</w:t>
      </w:r>
    </w:p>
    <w:tbl>
      <w:tblPr>
        <w:tblStyle w:val="54"/>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8"/>
        <w:gridCol w:w="1728"/>
        <w:gridCol w:w="1728"/>
        <w:gridCol w:w="3341"/>
      </w:tblGrid>
      <w:tr w14:paraId="3232FD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tcBorders>
              <w:tl2br w:val="nil"/>
              <w:tr2bl w:val="nil"/>
            </w:tcBorders>
            <w:vAlign w:val="center"/>
          </w:tcPr>
          <w:p w14:paraId="08B89A47">
            <w:pPr>
              <w:jc w:val="center"/>
              <w:rPr>
                <w:rFonts w:hint="eastAsia"/>
                <w:color w:val="auto"/>
                <w:lang w:val="zh-CN" w:eastAsia="zh-CN"/>
              </w:rPr>
            </w:pPr>
            <w:r>
              <w:rPr>
                <w:rFonts w:hint="eastAsia"/>
                <w:color w:val="auto"/>
                <w:lang w:val="zh-CN" w:eastAsia="zh-CN"/>
              </w:rPr>
              <w:t>目</w:t>
            </w:r>
          </w:p>
        </w:tc>
        <w:tc>
          <w:tcPr>
            <w:tcW w:w="1013" w:type="pct"/>
            <w:tcBorders>
              <w:tl2br w:val="nil"/>
              <w:tr2bl w:val="nil"/>
            </w:tcBorders>
            <w:vAlign w:val="center"/>
          </w:tcPr>
          <w:p w14:paraId="23C2D31F">
            <w:pPr>
              <w:jc w:val="center"/>
              <w:rPr>
                <w:rFonts w:hint="eastAsia"/>
                <w:color w:val="auto"/>
                <w:lang w:val="zh-CN" w:eastAsia="zh-CN"/>
              </w:rPr>
            </w:pPr>
            <w:r>
              <w:rPr>
                <w:rFonts w:hint="eastAsia"/>
                <w:color w:val="auto"/>
                <w:lang w:val="zh-CN" w:eastAsia="zh-CN"/>
              </w:rPr>
              <w:t>科</w:t>
            </w:r>
          </w:p>
        </w:tc>
        <w:tc>
          <w:tcPr>
            <w:tcW w:w="1013" w:type="pct"/>
            <w:tcBorders>
              <w:tl2br w:val="nil"/>
              <w:tr2bl w:val="nil"/>
            </w:tcBorders>
            <w:vAlign w:val="center"/>
          </w:tcPr>
          <w:p w14:paraId="65A0FB8A">
            <w:pPr>
              <w:jc w:val="center"/>
              <w:rPr>
                <w:rFonts w:hint="eastAsia"/>
                <w:color w:val="auto"/>
                <w:lang w:val="zh-CN" w:eastAsia="zh-CN"/>
              </w:rPr>
            </w:pPr>
            <w:r>
              <w:rPr>
                <w:rFonts w:hint="eastAsia"/>
                <w:color w:val="auto"/>
                <w:lang w:val="zh-CN" w:eastAsia="zh-CN"/>
              </w:rPr>
              <w:t>名称</w:t>
            </w:r>
          </w:p>
        </w:tc>
        <w:tc>
          <w:tcPr>
            <w:tcW w:w="1959" w:type="pct"/>
            <w:tcBorders>
              <w:tl2br w:val="nil"/>
              <w:tr2bl w:val="nil"/>
            </w:tcBorders>
            <w:vAlign w:val="center"/>
          </w:tcPr>
          <w:p w14:paraId="264BE127">
            <w:pPr>
              <w:jc w:val="center"/>
              <w:rPr>
                <w:rFonts w:hint="eastAsia"/>
                <w:color w:val="auto"/>
                <w:lang w:val="zh-CN" w:eastAsia="zh-CN"/>
              </w:rPr>
            </w:pPr>
            <w:r>
              <w:rPr>
                <w:rFonts w:hint="eastAsia"/>
                <w:color w:val="auto"/>
                <w:lang w:val="zh-CN" w:eastAsia="zh-CN"/>
              </w:rPr>
              <w:t>拉丁名</w:t>
            </w:r>
          </w:p>
        </w:tc>
      </w:tr>
      <w:tr w14:paraId="3F6ADF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tcBorders>
              <w:tl2br w:val="nil"/>
              <w:tr2bl w:val="nil"/>
            </w:tcBorders>
            <w:vAlign w:val="center"/>
          </w:tcPr>
          <w:p w14:paraId="034C2319">
            <w:pPr>
              <w:jc w:val="center"/>
              <w:rPr>
                <w:rFonts w:hint="eastAsia"/>
                <w:color w:val="auto"/>
                <w:lang w:val="zh-CN" w:eastAsia="zh-CN"/>
              </w:rPr>
            </w:pPr>
            <w:r>
              <w:rPr>
                <w:rFonts w:hint="eastAsia"/>
                <w:color w:val="auto"/>
                <w:lang w:val="en-US" w:eastAsia="zh-CN"/>
              </w:rPr>
              <w:t>食肉目</w:t>
            </w:r>
          </w:p>
        </w:tc>
        <w:tc>
          <w:tcPr>
            <w:tcW w:w="1013" w:type="pct"/>
            <w:tcBorders>
              <w:tl2br w:val="nil"/>
              <w:tr2bl w:val="nil"/>
            </w:tcBorders>
            <w:vAlign w:val="center"/>
          </w:tcPr>
          <w:p w14:paraId="1AC8E89C">
            <w:pPr>
              <w:jc w:val="center"/>
              <w:rPr>
                <w:rFonts w:hint="eastAsia"/>
                <w:color w:val="auto"/>
                <w:lang w:val="zh-CN" w:eastAsia="zh-CN"/>
              </w:rPr>
            </w:pPr>
            <w:r>
              <w:rPr>
                <w:rFonts w:hint="eastAsia"/>
                <w:color w:val="auto"/>
                <w:lang w:val="en-US" w:eastAsia="zh-CN"/>
              </w:rPr>
              <w:t>鼬</w:t>
            </w:r>
          </w:p>
        </w:tc>
        <w:tc>
          <w:tcPr>
            <w:tcW w:w="1013" w:type="pct"/>
            <w:tcBorders>
              <w:tl2br w:val="nil"/>
              <w:tr2bl w:val="nil"/>
            </w:tcBorders>
            <w:vAlign w:val="center"/>
          </w:tcPr>
          <w:p w14:paraId="441A2FCF">
            <w:pPr>
              <w:jc w:val="center"/>
              <w:rPr>
                <w:rFonts w:hint="eastAsia"/>
                <w:color w:val="auto"/>
                <w:lang w:val="zh-CN" w:eastAsia="zh-CN"/>
              </w:rPr>
            </w:pPr>
            <w:r>
              <w:rPr>
                <w:rFonts w:hint="eastAsia"/>
                <w:color w:val="auto"/>
                <w:lang w:val="en-US" w:eastAsia="zh-CN"/>
              </w:rPr>
              <w:t>黄鼬</w:t>
            </w:r>
          </w:p>
        </w:tc>
        <w:tc>
          <w:tcPr>
            <w:tcW w:w="1959" w:type="pct"/>
            <w:tcBorders>
              <w:tl2br w:val="nil"/>
              <w:tr2bl w:val="nil"/>
            </w:tcBorders>
            <w:vAlign w:val="center"/>
          </w:tcPr>
          <w:p w14:paraId="7C9B4163">
            <w:pPr>
              <w:jc w:val="center"/>
              <w:rPr>
                <w:rFonts w:hint="eastAsia"/>
                <w:color w:val="auto"/>
                <w:lang w:val="zh-CN" w:eastAsia="zh-CN"/>
              </w:rPr>
            </w:pPr>
            <w:r>
              <w:rPr>
                <w:rFonts w:hint="default"/>
                <w:color w:val="auto"/>
                <w:lang w:val="en-US" w:eastAsia="zh-CN"/>
              </w:rPr>
              <w:t>Mustela</w:t>
            </w:r>
          </w:p>
        </w:tc>
      </w:tr>
      <w:tr w14:paraId="0DA36C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vMerge w:val="restart"/>
            <w:tcBorders>
              <w:tl2br w:val="nil"/>
              <w:tr2bl w:val="nil"/>
            </w:tcBorders>
            <w:vAlign w:val="center"/>
          </w:tcPr>
          <w:p w14:paraId="56F60D1F">
            <w:pPr>
              <w:jc w:val="center"/>
              <w:rPr>
                <w:rFonts w:hint="eastAsia"/>
                <w:color w:val="auto"/>
                <w:lang w:val="zh-CN" w:eastAsia="zh-CN"/>
              </w:rPr>
            </w:pPr>
            <w:r>
              <w:rPr>
                <w:rFonts w:hint="eastAsia"/>
                <w:color w:val="auto"/>
                <w:lang w:val="en-US" w:eastAsia="zh-CN"/>
              </w:rPr>
              <w:t>雀形目</w:t>
            </w:r>
          </w:p>
        </w:tc>
        <w:tc>
          <w:tcPr>
            <w:tcW w:w="1013" w:type="pct"/>
            <w:tcBorders>
              <w:tl2br w:val="nil"/>
              <w:tr2bl w:val="nil"/>
            </w:tcBorders>
            <w:vAlign w:val="center"/>
          </w:tcPr>
          <w:p w14:paraId="76671AB4">
            <w:pPr>
              <w:jc w:val="center"/>
              <w:rPr>
                <w:rFonts w:hint="eastAsia"/>
                <w:color w:val="auto"/>
                <w:lang w:val="zh-CN" w:eastAsia="zh-CN"/>
              </w:rPr>
            </w:pPr>
            <w:r>
              <w:rPr>
                <w:rFonts w:hint="eastAsia"/>
                <w:color w:val="auto"/>
                <w:lang w:val="zh-CN" w:eastAsia="zh-CN"/>
              </w:rPr>
              <w:t>百灵鸟科</w:t>
            </w:r>
          </w:p>
        </w:tc>
        <w:tc>
          <w:tcPr>
            <w:tcW w:w="1013" w:type="pct"/>
            <w:tcBorders>
              <w:tl2br w:val="nil"/>
              <w:tr2bl w:val="nil"/>
            </w:tcBorders>
            <w:vAlign w:val="center"/>
          </w:tcPr>
          <w:p w14:paraId="1EE3C104">
            <w:pPr>
              <w:jc w:val="center"/>
              <w:rPr>
                <w:rFonts w:hint="eastAsia"/>
                <w:color w:val="auto"/>
                <w:lang w:val="zh-CN" w:eastAsia="zh-CN"/>
              </w:rPr>
            </w:pPr>
            <w:r>
              <w:rPr>
                <w:rFonts w:hint="eastAsia"/>
                <w:color w:val="auto"/>
                <w:lang w:val="zh-CN" w:eastAsia="zh-CN"/>
              </w:rPr>
              <w:t>麻雀</w:t>
            </w:r>
          </w:p>
        </w:tc>
        <w:tc>
          <w:tcPr>
            <w:tcW w:w="1959" w:type="pct"/>
            <w:tcBorders>
              <w:tl2br w:val="nil"/>
              <w:tr2bl w:val="nil"/>
            </w:tcBorders>
            <w:vAlign w:val="center"/>
          </w:tcPr>
          <w:p w14:paraId="69522777">
            <w:pPr>
              <w:jc w:val="center"/>
              <w:rPr>
                <w:rFonts w:hint="eastAsia"/>
                <w:color w:val="auto"/>
                <w:lang w:val="zh-CN" w:eastAsia="zh-CN"/>
              </w:rPr>
            </w:pPr>
            <w:r>
              <w:rPr>
                <w:rFonts w:hint="default"/>
                <w:color w:val="auto"/>
                <w:lang w:val="en-US" w:eastAsia="zh-CN"/>
              </w:rPr>
              <w:t>Passer monanus saturatus</w:t>
            </w:r>
          </w:p>
        </w:tc>
      </w:tr>
      <w:tr w14:paraId="1A8158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vMerge w:val="continue"/>
            <w:tcBorders>
              <w:tl2br w:val="nil"/>
              <w:tr2bl w:val="nil"/>
            </w:tcBorders>
            <w:vAlign w:val="center"/>
          </w:tcPr>
          <w:p w14:paraId="03BA8963">
            <w:pPr>
              <w:jc w:val="center"/>
              <w:rPr>
                <w:rFonts w:hint="eastAsia"/>
                <w:color w:val="auto"/>
                <w:lang w:val="zh-CN" w:eastAsia="zh-CN"/>
              </w:rPr>
            </w:pPr>
          </w:p>
        </w:tc>
        <w:tc>
          <w:tcPr>
            <w:tcW w:w="1013" w:type="pct"/>
            <w:tcBorders>
              <w:tl2br w:val="nil"/>
              <w:tr2bl w:val="nil"/>
            </w:tcBorders>
            <w:vAlign w:val="center"/>
          </w:tcPr>
          <w:p w14:paraId="31DE3132">
            <w:pPr>
              <w:jc w:val="center"/>
              <w:rPr>
                <w:rFonts w:hint="eastAsia"/>
                <w:color w:val="auto"/>
                <w:lang w:val="zh-CN" w:eastAsia="zh-CN"/>
              </w:rPr>
            </w:pPr>
            <w:r>
              <w:rPr>
                <w:rFonts w:hint="eastAsia"/>
                <w:color w:val="auto"/>
                <w:lang w:val="zh-CN" w:eastAsia="zh-CN"/>
              </w:rPr>
              <w:t>鸦科</w:t>
            </w:r>
          </w:p>
        </w:tc>
        <w:tc>
          <w:tcPr>
            <w:tcW w:w="1013" w:type="pct"/>
            <w:tcBorders>
              <w:tl2br w:val="nil"/>
              <w:tr2bl w:val="nil"/>
            </w:tcBorders>
            <w:vAlign w:val="center"/>
          </w:tcPr>
          <w:p w14:paraId="3E5D189B">
            <w:pPr>
              <w:jc w:val="center"/>
              <w:rPr>
                <w:rFonts w:hint="eastAsia"/>
                <w:color w:val="auto"/>
                <w:lang w:val="zh-CN" w:eastAsia="zh-CN"/>
              </w:rPr>
            </w:pPr>
            <w:r>
              <w:rPr>
                <w:rFonts w:hint="eastAsia"/>
                <w:color w:val="auto"/>
                <w:lang w:val="zh-CN" w:eastAsia="zh-CN"/>
              </w:rPr>
              <w:t>喜鹊</w:t>
            </w:r>
          </w:p>
        </w:tc>
        <w:tc>
          <w:tcPr>
            <w:tcW w:w="1959" w:type="pct"/>
            <w:tcBorders>
              <w:tl2br w:val="nil"/>
              <w:tr2bl w:val="nil"/>
            </w:tcBorders>
            <w:vAlign w:val="center"/>
          </w:tcPr>
          <w:p w14:paraId="5D18A28C">
            <w:pPr>
              <w:jc w:val="center"/>
              <w:rPr>
                <w:rFonts w:hint="eastAsia"/>
                <w:color w:val="auto"/>
                <w:lang w:val="zh-CN" w:eastAsia="zh-CN"/>
              </w:rPr>
            </w:pPr>
            <w:r>
              <w:rPr>
                <w:rFonts w:hint="default"/>
                <w:color w:val="auto"/>
                <w:lang w:val="en-US" w:eastAsia="zh-CN"/>
              </w:rPr>
              <w:t>Picapica sericea</w:t>
            </w:r>
          </w:p>
        </w:tc>
      </w:tr>
      <w:tr w14:paraId="4CC9C7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vMerge w:val="continue"/>
            <w:tcBorders>
              <w:tl2br w:val="nil"/>
              <w:tr2bl w:val="nil"/>
            </w:tcBorders>
            <w:vAlign w:val="center"/>
          </w:tcPr>
          <w:p w14:paraId="7DD0BCEB">
            <w:pPr>
              <w:jc w:val="center"/>
              <w:rPr>
                <w:rFonts w:hint="eastAsia"/>
                <w:color w:val="auto"/>
                <w:lang w:val="zh-CN" w:eastAsia="zh-CN"/>
              </w:rPr>
            </w:pPr>
          </w:p>
        </w:tc>
        <w:tc>
          <w:tcPr>
            <w:tcW w:w="1013" w:type="pct"/>
            <w:tcBorders>
              <w:tl2br w:val="nil"/>
              <w:tr2bl w:val="nil"/>
            </w:tcBorders>
            <w:vAlign w:val="center"/>
          </w:tcPr>
          <w:p w14:paraId="46835E95">
            <w:pPr>
              <w:jc w:val="center"/>
              <w:rPr>
                <w:rFonts w:hint="eastAsia"/>
                <w:color w:val="auto"/>
                <w:lang w:val="zh-CN" w:eastAsia="zh-CN"/>
              </w:rPr>
            </w:pPr>
            <w:r>
              <w:rPr>
                <w:rFonts w:hint="eastAsia"/>
                <w:color w:val="auto"/>
                <w:lang w:val="zh-CN" w:eastAsia="zh-CN"/>
              </w:rPr>
              <w:t>燕科</w:t>
            </w:r>
          </w:p>
        </w:tc>
        <w:tc>
          <w:tcPr>
            <w:tcW w:w="1013" w:type="pct"/>
            <w:tcBorders>
              <w:tl2br w:val="nil"/>
              <w:tr2bl w:val="nil"/>
            </w:tcBorders>
            <w:vAlign w:val="center"/>
          </w:tcPr>
          <w:p w14:paraId="62D38BCD">
            <w:pPr>
              <w:jc w:val="center"/>
              <w:rPr>
                <w:rFonts w:hint="eastAsia"/>
                <w:color w:val="auto"/>
                <w:lang w:val="zh-CN" w:eastAsia="zh-CN"/>
              </w:rPr>
            </w:pPr>
            <w:r>
              <w:rPr>
                <w:rFonts w:hint="eastAsia"/>
                <w:color w:val="auto"/>
                <w:lang w:val="zh-CN" w:eastAsia="zh-CN"/>
              </w:rPr>
              <w:t>家燕</w:t>
            </w:r>
          </w:p>
        </w:tc>
        <w:tc>
          <w:tcPr>
            <w:tcW w:w="1959" w:type="pct"/>
            <w:tcBorders>
              <w:tl2br w:val="nil"/>
              <w:tr2bl w:val="nil"/>
            </w:tcBorders>
            <w:vAlign w:val="center"/>
          </w:tcPr>
          <w:p w14:paraId="62754094">
            <w:pPr>
              <w:jc w:val="center"/>
              <w:rPr>
                <w:rFonts w:hint="eastAsia"/>
                <w:color w:val="auto"/>
                <w:lang w:val="zh-CN" w:eastAsia="zh-CN"/>
              </w:rPr>
            </w:pPr>
            <w:r>
              <w:rPr>
                <w:rFonts w:hint="default"/>
                <w:color w:val="auto"/>
                <w:lang w:val="en-US" w:eastAsia="zh-CN"/>
              </w:rPr>
              <w:t>Hirundo rasrica linne</w:t>
            </w:r>
          </w:p>
        </w:tc>
      </w:tr>
      <w:tr w14:paraId="3C88583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tcBorders>
              <w:tl2br w:val="nil"/>
              <w:tr2bl w:val="nil"/>
            </w:tcBorders>
            <w:vAlign w:val="center"/>
          </w:tcPr>
          <w:p w14:paraId="02321803">
            <w:pPr>
              <w:jc w:val="center"/>
              <w:rPr>
                <w:rFonts w:hint="eastAsia"/>
                <w:color w:val="auto"/>
                <w:lang w:val="zh-CN" w:eastAsia="zh-CN"/>
              </w:rPr>
            </w:pPr>
            <w:r>
              <w:rPr>
                <w:rFonts w:hint="eastAsia"/>
                <w:color w:val="auto"/>
                <w:lang w:val="zh-CN" w:eastAsia="zh-CN"/>
              </w:rPr>
              <w:t>兔形目</w:t>
            </w:r>
          </w:p>
        </w:tc>
        <w:tc>
          <w:tcPr>
            <w:tcW w:w="1013" w:type="pct"/>
            <w:tcBorders>
              <w:tl2br w:val="nil"/>
              <w:tr2bl w:val="nil"/>
            </w:tcBorders>
            <w:vAlign w:val="center"/>
          </w:tcPr>
          <w:p w14:paraId="0770C970">
            <w:pPr>
              <w:jc w:val="center"/>
              <w:rPr>
                <w:rFonts w:hint="eastAsia"/>
                <w:color w:val="auto"/>
                <w:lang w:val="zh-CN" w:eastAsia="zh-CN"/>
              </w:rPr>
            </w:pPr>
            <w:r>
              <w:rPr>
                <w:rFonts w:hint="eastAsia"/>
                <w:color w:val="auto"/>
                <w:lang w:val="zh-CN" w:eastAsia="zh-CN"/>
              </w:rPr>
              <w:t>兔</w:t>
            </w:r>
          </w:p>
        </w:tc>
        <w:tc>
          <w:tcPr>
            <w:tcW w:w="1013" w:type="pct"/>
            <w:tcBorders>
              <w:tl2br w:val="nil"/>
              <w:tr2bl w:val="nil"/>
            </w:tcBorders>
            <w:vAlign w:val="center"/>
          </w:tcPr>
          <w:p w14:paraId="6583369A">
            <w:pPr>
              <w:jc w:val="center"/>
              <w:rPr>
                <w:rFonts w:hint="eastAsia"/>
                <w:color w:val="auto"/>
                <w:lang w:val="zh-CN" w:eastAsia="zh-CN"/>
              </w:rPr>
            </w:pPr>
            <w:r>
              <w:rPr>
                <w:rFonts w:hint="eastAsia"/>
                <w:color w:val="auto"/>
                <w:lang w:val="zh-CN" w:eastAsia="zh-CN"/>
              </w:rPr>
              <w:t>蒙古兔</w:t>
            </w:r>
          </w:p>
        </w:tc>
        <w:tc>
          <w:tcPr>
            <w:tcW w:w="1959" w:type="pct"/>
            <w:tcBorders>
              <w:tl2br w:val="nil"/>
              <w:tr2bl w:val="nil"/>
            </w:tcBorders>
            <w:vAlign w:val="center"/>
          </w:tcPr>
          <w:p w14:paraId="19793748">
            <w:pPr>
              <w:jc w:val="center"/>
              <w:rPr>
                <w:rFonts w:hint="eastAsia"/>
                <w:color w:val="auto"/>
                <w:lang w:val="zh-CN" w:eastAsia="zh-CN"/>
              </w:rPr>
            </w:pPr>
            <w:r>
              <w:rPr>
                <w:rFonts w:hint="default"/>
                <w:color w:val="auto"/>
                <w:lang w:val="en-US" w:eastAsia="zh-CN"/>
              </w:rPr>
              <w:t>Lepus tolai</w:t>
            </w:r>
          </w:p>
        </w:tc>
      </w:tr>
      <w:tr w14:paraId="1E6F570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3" w:type="pct"/>
            <w:tcBorders>
              <w:tl2br w:val="nil"/>
              <w:tr2bl w:val="nil"/>
            </w:tcBorders>
            <w:vAlign w:val="center"/>
          </w:tcPr>
          <w:p w14:paraId="2DC36340">
            <w:pPr>
              <w:jc w:val="center"/>
              <w:rPr>
                <w:rFonts w:hint="eastAsia"/>
                <w:color w:val="auto"/>
                <w:lang w:val="zh-CN" w:eastAsia="zh-CN"/>
              </w:rPr>
            </w:pPr>
            <w:r>
              <w:rPr>
                <w:rFonts w:hint="eastAsia"/>
                <w:color w:val="auto"/>
                <w:lang w:val="zh-CN" w:eastAsia="zh-CN"/>
              </w:rPr>
              <w:t>啮齿目</w:t>
            </w:r>
          </w:p>
        </w:tc>
        <w:tc>
          <w:tcPr>
            <w:tcW w:w="1013" w:type="pct"/>
            <w:tcBorders>
              <w:tl2br w:val="nil"/>
              <w:tr2bl w:val="nil"/>
            </w:tcBorders>
            <w:vAlign w:val="center"/>
          </w:tcPr>
          <w:p w14:paraId="46B05AA7">
            <w:pPr>
              <w:jc w:val="center"/>
              <w:rPr>
                <w:rFonts w:hint="eastAsia"/>
                <w:color w:val="auto"/>
                <w:lang w:val="zh-CN" w:eastAsia="zh-CN"/>
              </w:rPr>
            </w:pPr>
            <w:r>
              <w:rPr>
                <w:rFonts w:hint="eastAsia"/>
                <w:color w:val="auto"/>
                <w:lang w:val="zh-CN" w:eastAsia="zh-CN"/>
              </w:rPr>
              <w:t>田鼠亚科</w:t>
            </w:r>
          </w:p>
        </w:tc>
        <w:tc>
          <w:tcPr>
            <w:tcW w:w="1013" w:type="pct"/>
            <w:tcBorders>
              <w:tl2br w:val="nil"/>
              <w:tr2bl w:val="nil"/>
            </w:tcBorders>
            <w:vAlign w:val="center"/>
          </w:tcPr>
          <w:p w14:paraId="602C9C12">
            <w:pPr>
              <w:jc w:val="center"/>
              <w:rPr>
                <w:rFonts w:hint="eastAsia"/>
                <w:color w:val="auto"/>
                <w:lang w:val="zh-CN" w:eastAsia="zh-CN"/>
              </w:rPr>
            </w:pPr>
            <w:r>
              <w:rPr>
                <w:rFonts w:hint="eastAsia"/>
                <w:color w:val="auto"/>
                <w:lang w:val="zh-CN" w:eastAsia="zh-CN"/>
              </w:rPr>
              <w:t>田鼠</w:t>
            </w:r>
          </w:p>
        </w:tc>
        <w:tc>
          <w:tcPr>
            <w:tcW w:w="1959" w:type="pct"/>
            <w:tcBorders>
              <w:tl2br w:val="nil"/>
              <w:tr2bl w:val="nil"/>
            </w:tcBorders>
            <w:vAlign w:val="center"/>
          </w:tcPr>
          <w:p w14:paraId="4A385264">
            <w:pPr>
              <w:jc w:val="center"/>
              <w:rPr>
                <w:rFonts w:hint="eastAsia"/>
                <w:color w:val="auto"/>
                <w:lang w:val="zh-CN" w:eastAsia="zh-CN"/>
              </w:rPr>
            </w:pPr>
            <w:r>
              <w:rPr>
                <w:rFonts w:hint="default"/>
                <w:color w:val="auto"/>
                <w:lang w:val="en-US" w:eastAsia="zh-CN"/>
              </w:rPr>
              <w:t>Microtus leucurus</w:t>
            </w:r>
          </w:p>
        </w:tc>
      </w:tr>
    </w:tbl>
    <w:p w14:paraId="47A7A92B">
      <w:pPr>
        <w:pStyle w:val="4"/>
        <w:numPr>
          <w:ilvl w:val="2"/>
          <w:numId w:val="0"/>
        </w:numPr>
        <w:bidi w:val="0"/>
        <w:ind w:leftChars="0" w:right="0" w:rightChars="0"/>
        <w:rPr>
          <w:rFonts w:hint="eastAsia" w:ascii="Times New Roman" w:hAnsi="Times New Roman" w:eastAsia="宋体" w:cs="Times New Roman"/>
          <w:b/>
          <w:bCs/>
          <w:color w:val="auto"/>
          <w:lang w:val="zh-CN" w:eastAsia="zh-CN"/>
        </w:rPr>
      </w:pPr>
      <w:bookmarkStart w:id="251" w:name="_Toc32509"/>
      <w:r>
        <w:rPr>
          <w:rFonts w:hint="eastAsia" w:ascii="Times New Roman" w:hAnsi="Times New Roman" w:eastAsia="宋体" w:cs="Times New Roman"/>
          <w:b/>
          <w:bCs/>
          <w:color w:val="auto"/>
          <w:lang w:val="en-US" w:eastAsia="zh-CN"/>
        </w:rPr>
        <w:t>4.3.3</w:t>
      </w:r>
      <w:r>
        <w:rPr>
          <w:rFonts w:hint="eastAsia" w:ascii="Times New Roman" w:hAnsi="Times New Roman" w:eastAsia="宋体" w:cs="Times New Roman"/>
          <w:b/>
          <w:bCs/>
          <w:color w:val="auto"/>
          <w:lang w:val="zh-CN" w:eastAsia="zh-CN"/>
        </w:rPr>
        <w:t>评价区植被类型</w:t>
      </w:r>
      <w:bookmarkEnd w:id="251"/>
    </w:p>
    <w:p w14:paraId="42691614">
      <w:pPr>
        <w:numPr>
          <w:ilvl w:val="0"/>
          <w:numId w:val="0"/>
        </w:numPr>
        <w:spacing w:line="360" w:lineRule="auto"/>
        <w:ind w:left="0" w:leftChars="0" w:firstLine="480" w:firstLineChars="200"/>
        <w:rPr>
          <w:rFonts w:hint="eastAsia"/>
          <w:color w:val="auto"/>
          <w:sz w:val="24"/>
          <w:highlight w:val="none"/>
          <w:lang w:val="zh-CN"/>
        </w:rPr>
      </w:pPr>
      <w:r>
        <w:rPr>
          <w:rFonts w:hint="eastAsia"/>
          <w:color w:val="auto"/>
          <w:sz w:val="24"/>
          <w:lang w:val="zh-CN"/>
        </w:rPr>
        <w:t>评价区域的主要植被类型分为其他林地、田间杂草、耕地，</w:t>
      </w:r>
      <w:r>
        <w:rPr>
          <w:rFonts w:hint="eastAsia"/>
          <w:color w:val="auto"/>
          <w:sz w:val="24"/>
          <w:highlight w:val="none"/>
          <w:lang w:val="zh-CN"/>
        </w:rPr>
        <w:t>详见表4.3-</w:t>
      </w:r>
      <w:r>
        <w:rPr>
          <w:rFonts w:hint="eastAsia"/>
          <w:color w:val="auto"/>
          <w:sz w:val="24"/>
          <w:highlight w:val="none"/>
          <w:lang w:val="en-US" w:eastAsia="zh-CN"/>
        </w:rPr>
        <w:t>4</w:t>
      </w:r>
      <w:r>
        <w:rPr>
          <w:rFonts w:hint="eastAsia"/>
          <w:color w:val="auto"/>
          <w:sz w:val="24"/>
          <w:highlight w:val="none"/>
          <w:lang w:val="zh-CN"/>
        </w:rPr>
        <w:t>。</w:t>
      </w:r>
    </w:p>
    <w:p w14:paraId="4E0426CE">
      <w:pPr>
        <w:spacing w:line="240" w:lineRule="auto"/>
        <w:ind w:firstLine="422" w:firstLineChars="200"/>
        <w:jc w:val="center"/>
        <w:rPr>
          <w:rFonts w:hint="default" w:eastAsia="宋体"/>
          <w:b/>
          <w:bCs/>
          <w:color w:val="auto"/>
          <w:sz w:val="21"/>
          <w:szCs w:val="21"/>
          <w:highlight w:val="none"/>
          <w:lang w:val="en-US" w:eastAsia="zh-CN"/>
        </w:rPr>
      </w:pPr>
      <w:r>
        <w:rPr>
          <w:rFonts w:hint="eastAsia"/>
          <w:b/>
          <w:bCs/>
          <w:color w:val="auto"/>
          <w:sz w:val="21"/>
          <w:szCs w:val="21"/>
          <w:highlight w:val="none"/>
          <w:lang w:val="zh-CN"/>
        </w:rPr>
        <w:t>表</w:t>
      </w:r>
      <w:r>
        <w:rPr>
          <w:rFonts w:hint="eastAsia"/>
          <w:b/>
          <w:bCs/>
          <w:color w:val="auto"/>
          <w:sz w:val="21"/>
          <w:szCs w:val="21"/>
          <w:highlight w:val="none"/>
          <w:lang w:val="en-US" w:eastAsia="zh-CN"/>
        </w:rPr>
        <w:t>4.3-4  评价区植被类型特征表</w:t>
      </w:r>
    </w:p>
    <w:tbl>
      <w:tblPr>
        <w:tblStyle w:val="54"/>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1"/>
        <w:gridCol w:w="1421"/>
        <w:gridCol w:w="1422"/>
        <w:gridCol w:w="1421"/>
        <w:gridCol w:w="1421"/>
      </w:tblGrid>
      <w:tr w14:paraId="6D61E9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841" w:type="dxa"/>
            <w:gridSpan w:val="2"/>
            <w:tcBorders>
              <w:tl2br w:val="nil"/>
              <w:tr2bl w:val="nil"/>
            </w:tcBorders>
            <w:vAlign w:val="center"/>
          </w:tcPr>
          <w:p w14:paraId="34CAF579">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植被类型</w:t>
            </w:r>
          </w:p>
        </w:tc>
        <w:tc>
          <w:tcPr>
            <w:tcW w:w="2843" w:type="dxa"/>
            <w:gridSpan w:val="2"/>
            <w:tcBorders>
              <w:tl2br w:val="nil"/>
              <w:tr2bl w:val="nil"/>
            </w:tcBorders>
            <w:vAlign w:val="center"/>
          </w:tcPr>
          <w:p w14:paraId="1D70BB81">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评价范围</w:t>
            </w:r>
          </w:p>
        </w:tc>
        <w:tc>
          <w:tcPr>
            <w:tcW w:w="2842" w:type="dxa"/>
            <w:gridSpan w:val="2"/>
            <w:tcBorders>
              <w:tl2br w:val="nil"/>
              <w:tr2bl w:val="nil"/>
            </w:tcBorders>
            <w:vAlign w:val="center"/>
          </w:tcPr>
          <w:p w14:paraId="09DAC69D">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项目范围</w:t>
            </w:r>
          </w:p>
        </w:tc>
      </w:tr>
      <w:tr w14:paraId="11F085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1420" w:type="dxa"/>
            <w:tcBorders>
              <w:tl2br w:val="nil"/>
              <w:tr2bl w:val="nil"/>
            </w:tcBorders>
            <w:vAlign w:val="center"/>
          </w:tcPr>
          <w:p w14:paraId="1C439375">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一级类型</w:t>
            </w:r>
          </w:p>
        </w:tc>
        <w:tc>
          <w:tcPr>
            <w:tcW w:w="1421" w:type="dxa"/>
            <w:tcBorders>
              <w:tl2br w:val="nil"/>
              <w:tr2bl w:val="nil"/>
            </w:tcBorders>
            <w:vAlign w:val="center"/>
          </w:tcPr>
          <w:p w14:paraId="5704CF94">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二级类型</w:t>
            </w:r>
          </w:p>
        </w:tc>
        <w:tc>
          <w:tcPr>
            <w:tcW w:w="1421" w:type="dxa"/>
            <w:tcBorders>
              <w:tl2br w:val="nil"/>
              <w:tr2bl w:val="nil"/>
            </w:tcBorders>
            <w:vAlign w:val="center"/>
          </w:tcPr>
          <w:p w14:paraId="6479DD8A">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斑块数（个）</w:t>
            </w:r>
          </w:p>
        </w:tc>
        <w:tc>
          <w:tcPr>
            <w:tcW w:w="1422" w:type="dxa"/>
            <w:tcBorders>
              <w:tl2br w:val="nil"/>
              <w:tr2bl w:val="nil"/>
            </w:tcBorders>
            <w:vAlign w:val="center"/>
          </w:tcPr>
          <w:p w14:paraId="7272230C">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面积（</w:t>
            </w:r>
            <w:r>
              <w:rPr>
                <w:rFonts w:hint="eastAsia"/>
                <w:color w:val="auto"/>
                <w:sz w:val="21"/>
                <w:szCs w:val="21"/>
                <w:vertAlign w:val="baseline"/>
                <w:lang w:val="en-US" w:eastAsia="zh-CN"/>
              </w:rPr>
              <w:t>m</w:t>
            </w:r>
            <w:r>
              <w:rPr>
                <w:rFonts w:hint="eastAsia"/>
                <w:color w:val="auto"/>
                <w:sz w:val="21"/>
                <w:szCs w:val="21"/>
                <w:vertAlign w:val="superscript"/>
                <w:lang w:val="en-US" w:eastAsia="zh-CN"/>
              </w:rPr>
              <w:t>2</w:t>
            </w:r>
            <w:r>
              <w:rPr>
                <w:rFonts w:hint="eastAsia"/>
                <w:color w:val="auto"/>
                <w:sz w:val="21"/>
                <w:szCs w:val="21"/>
                <w:vertAlign w:val="baseline"/>
                <w:lang w:val="zh-CN"/>
              </w:rPr>
              <w:t>）</w:t>
            </w:r>
          </w:p>
        </w:tc>
        <w:tc>
          <w:tcPr>
            <w:tcW w:w="1421" w:type="dxa"/>
            <w:tcBorders>
              <w:tl2br w:val="nil"/>
              <w:tr2bl w:val="nil"/>
            </w:tcBorders>
            <w:vAlign w:val="center"/>
          </w:tcPr>
          <w:p w14:paraId="3BA4C381">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斑块数（个）</w:t>
            </w:r>
          </w:p>
        </w:tc>
        <w:tc>
          <w:tcPr>
            <w:tcW w:w="1421" w:type="dxa"/>
            <w:tcBorders>
              <w:tl2br w:val="nil"/>
              <w:tr2bl w:val="nil"/>
            </w:tcBorders>
            <w:vAlign w:val="center"/>
          </w:tcPr>
          <w:p w14:paraId="708883F7">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面积（</w:t>
            </w:r>
            <w:r>
              <w:rPr>
                <w:rFonts w:hint="eastAsia"/>
                <w:color w:val="auto"/>
                <w:sz w:val="21"/>
                <w:szCs w:val="21"/>
                <w:vertAlign w:val="baseline"/>
                <w:lang w:val="en-US" w:eastAsia="zh-CN"/>
              </w:rPr>
              <w:t>m</w:t>
            </w:r>
            <w:r>
              <w:rPr>
                <w:rFonts w:hint="eastAsia"/>
                <w:color w:val="auto"/>
                <w:sz w:val="21"/>
                <w:szCs w:val="21"/>
                <w:vertAlign w:val="superscript"/>
                <w:lang w:val="en-US" w:eastAsia="zh-CN"/>
              </w:rPr>
              <w:t>2</w:t>
            </w:r>
            <w:r>
              <w:rPr>
                <w:rFonts w:hint="eastAsia"/>
                <w:color w:val="auto"/>
                <w:sz w:val="21"/>
                <w:szCs w:val="21"/>
                <w:vertAlign w:val="baseline"/>
                <w:lang w:val="zh-CN"/>
              </w:rPr>
              <w:t>）</w:t>
            </w:r>
          </w:p>
        </w:tc>
      </w:tr>
      <w:tr w14:paraId="58AD096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420" w:type="dxa"/>
            <w:tcBorders>
              <w:tl2br w:val="nil"/>
              <w:tr2bl w:val="nil"/>
            </w:tcBorders>
            <w:vAlign w:val="center"/>
          </w:tcPr>
          <w:p w14:paraId="5356D9BF">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落叶阔叶林</w:t>
            </w:r>
          </w:p>
        </w:tc>
        <w:tc>
          <w:tcPr>
            <w:tcW w:w="1421" w:type="dxa"/>
            <w:tcBorders>
              <w:tl2br w:val="nil"/>
              <w:tr2bl w:val="nil"/>
            </w:tcBorders>
            <w:vAlign w:val="center"/>
          </w:tcPr>
          <w:p w14:paraId="5FC8EAF5">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杨树、柳树、榆树</w:t>
            </w:r>
          </w:p>
        </w:tc>
        <w:tc>
          <w:tcPr>
            <w:tcW w:w="1421" w:type="dxa"/>
            <w:tcBorders>
              <w:tl2br w:val="nil"/>
              <w:tr2bl w:val="nil"/>
            </w:tcBorders>
            <w:vAlign w:val="center"/>
          </w:tcPr>
          <w:p w14:paraId="618B56CD">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7</w:t>
            </w:r>
          </w:p>
        </w:tc>
        <w:tc>
          <w:tcPr>
            <w:tcW w:w="1422" w:type="dxa"/>
            <w:tcBorders>
              <w:tl2br w:val="nil"/>
              <w:tr2bl w:val="nil"/>
            </w:tcBorders>
            <w:vAlign w:val="center"/>
          </w:tcPr>
          <w:p w14:paraId="4DE4F42E">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160187</w:t>
            </w:r>
          </w:p>
        </w:tc>
        <w:tc>
          <w:tcPr>
            <w:tcW w:w="1421" w:type="dxa"/>
            <w:tcBorders>
              <w:tl2br w:val="nil"/>
              <w:tr2bl w:val="nil"/>
            </w:tcBorders>
            <w:vAlign w:val="center"/>
          </w:tcPr>
          <w:p w14:paraId="165E81E8">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0</w:t>
            </w:r>
          </w:p>
        </w:tc>
        <w:tc>
          <w:tcPr>
            <w:tcW w:w="1421" w:type="dxa"/>
            <w:tcBorders>
              <w:tl2br w:val="nil"/>
              <w:tr2bl w:val="nil"/>
            </w:tcBorders>
            <w:vAlign w:val="center"/>
          </w:tcPr>
          <w:p w14:paraId="75463CDF">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0</w:t>
            </w:r>
          </w:p>
        </w:tc>
      </w:tr>
      <w:tr w14:paraId="3D2F75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vAlign w:val="center"/>
          </w:tcPr>
          <w:p w14:paraId="60244133">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田间杂草</w:t>
            </w:r>
          </w:p>
        </w:tc>
        <w:tc>
          <w:tcPr>
            <w:tcW w:w="1421" w:type="dxa"/>
            <w:tcBorders>
              <w:tl2br w:val="nil"/>
              <w:tr2bl w:val="nil"/>
            </w:tcBorders>
            <w:vAlign w:val="center"/>
          </w:tcPr>
          <w:p w14:paraId="5F03094F">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隐子草、蒿类含禾草杂类</w:t>
            </w:r>
          </w:p>
        </w:tc>
        <w:tc>
          <w:tcPr>
            <w:tcW w:w="1421" w:type="dxa"/>
            <w:tcBorders>
              <w:tl2br w:val="nil"/>
              <w:tr2bl w:val="nil"/>
            </w:tcBorders>
            <w:vAlign w:val="center"/>
          </w:tcPr>
          <w:p w14:paraId="498FEE10">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3</w:t>
            </w:r>
          </w:p>
        </w:tc>
        <w:tc>
          <w:tcPr>
            <w:tcW w:w="1422" w:type="dxa"/>
            <w:tcBorders>
              <w:tl2br w:val="nil"/>
              <w:tr2bl w:val="nil"/>
            </w:tcBorders>
            <w:vAlign w:val="center"/>
          </w:tcPr>
          <w:p w14:paraId="5CB019ED">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14046</w:t>
            </w:r>
          </w:p>
        </w:tc>
        <w:tc>
          <w:tcPr>
            <w:tcW w:w="1421" w:type="dxa"/>
            <w:tcBorders>
              <w:tl2br w:val="nil"/>
              <w:tr2bl w:val="nil"/>
            </w:tcBorders>
            <w:vAlign w:val="center"/>
          </w:tcPr>
          <w:p w14:paraId="730BB488">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1</w:t>
            </w:r>
          </w:p>
        </w:tc>
        <w:tc>
          <w:tcPr>
            <w:tcW w:w="1421" w:type="dxa"/>
            <w:tcBorders>
              <w:tl2br w:val="nil"/>
              <w:tr2bl w:val="nil"/>
            </w:tcBorders>
            <w:vAlign w:val="center"/>
          </w:tcPr>
          <w:p w14:paraId="50D344D3">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4208</w:t>
            </w:r>
          </w:p>
        </w:tc>
      </w:tr>
      <w:tr w14:paraId="4187211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vAlign w:val="center"/>
          </w:tcPr>
          <w:p w14:paraId="18E34788">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耕地</w:t>
            </w:r>
          </w:p>
        </w:tc>
        <w:tc>
          <w:tcPr>
            <w:tcW w:w="1421" w:type="dxa"/>
            <w:tcBorders>
              <w:tl2br w:val="nil"/>
              <w:tr2bl w:val="nil"/>
            </w:tcBorders>
            <w:vAlign w:val="center"/>
          </w:tcPr>
          <w:p w14:paraId="0C1B3BD8">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旱地（玉米、高粱）</w:t>
            </w:r>
          </w:p>
        </w:tc>
        <w:tc>
          <w:tcPr>
            <w:tcW w:w="1421" w:type="dxa"/>
            <w:tcBorders>
              <w:tl2br w:val="nil"/>
              <w:tr2bl w:val="nil"/>
            </w:tcBorders>
            <w:vAlign w:val="center"/>
          </w:tcPr>
          <w:p w14:paraId="4B0AEB20">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10</w:t>
            </w:r>
          </w:p>
        </w:tc>
        <w:tc>
          <w:tcPr>
            <w:tcW w:w="1422" w:type="dxa"/>
            <w:tcBorders>
              <w:tl2br w:val="nil"/>
              <w:tr2bl w:val="nil"/>
            </w:tcBorders>
            <w:vAlign w:val="center"/>
          </w:tcPr>
          <w:p w14:paraId="375EAE14">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1055380</w:t>
            </w:r>
          </w:p>
        </w:tc>
        <w:tc>
          <w:tcPr>
            <w:tcW w:w="1421" w:type="dxa"/>
            <w:tcBorders>
              <w:tl2br w:val="nil"/>
              <w:tr2bl w:val="nil"/>
            </w:tcBorders>
            <w:vAlign w:val="center"/>
          </w:tcPr>
          <w:p w14:paraId="5F68467F">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1</w:t>
            </w:r>
          </w:p>
        </w:tc>
        <w:tc>
          <w:tcPr>
            <w:tcW w:w="1421" w:type="dxa"/>
            <w:tcBorders>
              <w:tl2br w:val="nil"/>
              <w:tr2bl w:val="nil"/>
            </w:tcBorders>
            <w:vAlign w:val="center"/>
          </w:tcPr>
          <w:p w14:paraId="5ECFD37A">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53866</w:t>
            </w:r>
          </w:p>
        </w:tc>
      </w:tr>
    </w:tbl>
    <w:p w14:paraId="39111FEE">
      <w:pPr>
        <w:pStyle w:val="4"/>
        <w:numPr>
          <w:ilvl w:val="2"/>
          <w:numId w:val="0"/>
        </w:numPr>
        <w:bidi w:val="0"/>
        <w:ind w:leftChars="0" w:right="0" w:rightChars="0"/>
        <w:rPr>
          <w:rFonts w:hint="eastAsia" w:ascii="Times New Roman" w:hAnsi="Times New Roman" w:eastAsia="宋体" w:cs="Times New Roman"/>
          <w:b/>
          <w:bCs/>
          <w:color w:val="auto"/>
          <w:lang w:val="zh-CN" w:eastAsia="zh-CN"/>
        </w:rPr>
      </w:pPr>
      <w:bookmarkStart w:id="252" w:name="_Toc17098"/>
      <w:r>
        <w:rPr>
          <w:rFonts w:hint="eastAsia" w:ascii="Times New Roman" w:hAnsi="Times New Roman" w:eastAsia="宋体" w:cs="Times New Roman"/>
          <w:b/>
          <w:bCs/>
          <w:color w:val="auto"/>
          <w:lang w:val="en-US" w:eastAsia="zh-CN"/>
        </w:rPr>
        <w:t>4.3.4</w:t>
      </w:r>
      <w:r>
        <w:rPr>
          <w:rFonts w:hint="eastAsia" w:ascii="Times New Roman" w:hAnsi="Times New Roman" w:eastAsia="宋体" w:cs="Times New Roman"/>
          <w:b/>
          <w:bCs/>
          <w:color w:val="auto"/>
          <w:lang w:val="zh-CN" w:eastAsia="zh-CN"/>
        </w:rPr>
        <w:t>土地利用</w:t>
      </w:r>
      <w:bookmarkEnd w:id="252"/>
    </w:p>
    <w:p w14:paraId="46A7C79E">
      <w:pPr>
        <w:numPr>
          <w:ilvl w:val="0"/>
          <w:numId w:val="0"/>
        </w:numPr>
        <w:spacing w:line="360" w:lineRule="auto"/>
        <w:ind w:firstLine="480" w:firstLineChars="200"/>
        <w:rPr>
          <w:rFonts w:hint="eastAsia"/>
          <w:color w:val="auto"/>
          <w:sz w:val="24"/>
          <w:lang w:val="zh-CN"/>
        </w:rPr>
      </w:pPr>
      <w:r>
        <w:rPr>
          <w:rFonts w:hint="eastAsia"/>
          <w:color w:val="auto"/>
          <w:sz w:val="24"/>
          <w:lang w:val="zh-CN"/>
        </w:rPr>
        <w:t>根据实地调查并参照《土地利用现状分类》（GB/T21010-20</w:t>
      </w:r>
      <w:r>
        <w:rPr>
          <w:rFonts w:hint="eastAsia"/>
          <w:color w:val="auto"/>
          <w:sz w:val="24"/>
          <w:lang w:val="en-US" w:eastAsia="zh-CN"/>
        </w:rPr>
        <w:t>1</w:t>
      </w:r>
      <w:r>
        <w:rPr>
          <w:rFonts w:hint="eastAsia"/>
          <w:color w:val="auto"/>
          <w:sz w:val="24"/>
          <w:lang w:val="zh-CN"/>
        </w:rPr>
        <w:t>7），将评价区土地利用情况划分为</w:t>
      </w:r>
      <w:r>
        <w:rPr>
          <w:rFonts w:hint="eastAsia"/>
          <w:color w:val="auto"/>
          <w:sz w:val="24"/>
          <w:lang w:val="en-US" w:eastAsia="zh-CN"/>
        </w:rPr>
        <w:t>2</w:t>
      </w:r>
      <w:r>
        <w:rPr>
          <w:rFonts w:hint="eastAsia"/>
          <w:color w:val="auto"/>
          <w:sz w:val="24"/>
          <w:lang w:val="zh-CN"/>
        </w:rPr>
        <w:t>个一级类型和</w:t>
      </w:r>
      <w:r>
        <w:rPr>
          <w:rFonts w:hint="eastAsia"/>
          <w:color w:val="auto"/>
          <w:sz w:val="24"/>
          <w:lang w:val="en-US" w:eastAsia="zh-CN"/>
        </w:rPr>
        <w:t>2</w:t>
      </w:r>
      <w:r>
        <w:rPr>
          <w:rFonts w:hint="eastAsia"/>
          <w:color w:val="auto"/>
          <w:sz w:val="24"/>
          <w:lang w:val="zh-CN"/>
        </w:rPr>
        <w:t>个二级类型。项目区具体的一级土地利用类型为：林地、草地、耕地。评价区土地利用现状特征见表4.3-</w:t>
      </w:r>
      <w:r>
        <w:rPr>
          <w:rFonts w:hint="eastAsia"/>
          <w:color w:val="auto"/>
          <w:sz w:val="24"/>
          <w:lang w:val="en-US" w:eastAsia="zh-CN"/>
        </w:rPr>
        <w:t>5</w:t>
      </w:r>
      <w:r>
        <w:rPr>
          <w:rFonts w:hint="eastAsia"/>
          <w:color w:val="auto"/>
          <w:sz w:val="24"/>
          <w:lang w:val="zh-CN"/>
        </w:rPr>
        <w:t>。</w:t>
      </w:r>
    </w:p>
    <w:p w14:paraId="61F1154E">
      <w:pPr>
        <w:spacing w:line="240" w:lineRule="auto"/>
        <w:ind w:firstLine="422" w:firstLineChars="200"/>
        <w:jc w:val="center"/>
        <w:rPr>
          <w:rFonts w:hint="eastAsia" w:ascii="Times New Roman" w:hAnsi="Times New Roman" w:eastAsia="宋体" w:cs="Times New Roman"/>
          <w:b/>
          <w:bCs/>
          <w:color w:val="auto"/>
          <w:sz w:val="21"/>
          <w:szCs w:val="21"/>
          <w:highlight w:val="none"/>
          <w:lang w:val="zh-CN"/>
        </w:rPr>
      </w:pPr>
      <w:r>
        <w:rPr>
          <w:rFonts w:hint="eastAsia" w:ascii="Times New Roman" w:hAnsi="Times New Roman" w:eastAsia="宋体" w:cs="Times New Roman"/>
          <w:b/>
          <w:bCs/>
          <w:color w:val="auto"/>
          <w:sz w:val="21"/>
          <w:szCs w:val="21"/>
          <w:highlight w:val="none"/>
          <w:lang w:val="zh-CN"/>
        </w:rPr>
        <w:t>表4.3-</w:t>
      </w:r>
      <w:r>
        <w:rPr>
          <w:rFonts w:hint="eastAsia" w:cs="Times New Roman"/>
          <w:b/>
          <w:bCs/>
          <w:color w:val="auto"/>
          <w:sz w:val="21"/>
          <w:szCs w:val="21"/>
          <w:highlight w:val="none"/>
          <w:lang w:val="en-US" w:eastAsia="zh-CN"/>
        </w:rPr>
        <w:t xml:space="preserve">5  </w:t>
      </w:r>
      <w:r>
        <w:rPr>
          <w:rFonts w:hint="eastAsia" w:ascii="Times New Roman" w:hAnsi="Times New Roman" w:eastAsia="宋体" w:cs="Times New Roman"/>
          <w:b/>
          <w:bCs/>
          <w:color w:val="auto"/>
          <w:sz w:val="21"/>
          <w:szCs w:val="21"/>
          <w:highlight w:val="none"/>
          <w:lang w:val="zh-CN"/>
        </w:rPr>
        <w:t xml:space="preserve"> 评价区土地利用现状及面积</w:t>
      </w:r>
    </w:p>
    <w:tbl>
      <w:tblPr>
        <w:tblStyle w:val="54"/>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1"/>
        <w:gridCol w:w="1421"/>
        <w:gridCol w:w="1422"/>
        <w:gridCol w:w="1421"/>
        <w:gridCol w:w="1421"/>
      </w:tblGrid>
      <w:tr w14:paraId="667088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841" w:type="dxa"/>
            <w:gridSpan w:val="2"/>
            <w:tcBorders>
              <w:tl2br w:val="nil"/>
              <w:tr2bl w:val="nil"/>
            </w:tcBorders>
            <w:vAlign w:val="center"/>
          </w:tcPr>
          <w:p w14:paraId="6E534B48">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土地类型</w:t>
            </w:r>
          </w:p>
        </w:tc>
        <w:tc>
          <w:tcPr>
            <w:tcW w:w="2843" w:type="dxa"/>
            <w:gridSpan w:val="2"/>
            <w:tcBorders>
              <w:tl2br w:val="nil"/>
              <w:tr2bl w:val="nil"/>
            </w:tcBorders>
            <w:vAlign w:val="center"/>
          </w:tcPr>
          <w:p w14:paraId="725DEC05">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评价范围</w:t>
            </w:r>
          </w:p>
        </w:tc>
        <w:tc>
          <w:tcPr>
            <w:tcW w:w="2842" w:type="dxa"/>
            <w:gridSpan w:val="2"/>
            <w:tcBorders>
              <w:tl2br w:val="nil"/>
              <w:tr2bl w:val="nil"/>
            </w:tcBorders>
            <w:vAlign w:val="center"/>
          </w:tcPr>
          <w:p w14:paraId="107020E5">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项目范围</w:t>
            </w:r>
          </w:p>
        </w:tc>
      </w:tr>
      <w:tr w14:paraId="06BCE99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1420" w:type="dxa"/>
            <w:tcBorders>
              <w:tl2br w:val="nil"/>
              <w:tr2bl w:val="nil"/>
            </w:tcBorders>
            <w:vAlign w:val="center"/>
          </w:tcPr>
          <w:p w14:paraId="22EEEF5D">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一级类型</w:t>
            </w:r>
          </w:p>
        </w:tc>
        <w:tc>
          <w:tcPr>
            <w:tcW w:w="1421" w:type="dxa"/>
            <w:tcBorders>
              <w:tl2br w:val="nil"/>
              <w:tr2bl w:val="nil"/>
            </w:tcBorders>
            <w:vAlign w:val="center"/>
          </w:tcPr>
          <w:p w14:paraId="33ECC44C">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二级类型</w:t>
            </w:r>
          </w:p>
        </w:tc>
        <w:tc>
          <w:tcPr>
            <w:tcW w:w="1421" w:type="dxa"/>
            <w:tcBorders>
              <w:tl2br w:val="nil"/>
              <w:tr2bl w:val="nil"/>
            </w:tcBorders>
            <w:vAlign w:val="center"/>
          </w:tcPr>
          <w:p w14:paraId="7D8E2064">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斑块数（个）</w:t>
            </w:r>
          </w:p>
        </w:tc>
        <w:tc>
          <w:tcPr>
            <w:tcW w:w="1422" w:type="dxa"/>
            <w:tcBorders>
              <w:tl2br w:val="nil"/>
              <w:tr2bl w:val="nil"/>
            </w:tcBorders>
            <w:vAlign w:val="center"/>
          </w:tcPr>
          <w:p w14:paraId="5078F040">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面积（</w:t>
            </w:r>
            <w:r>
              <w:rPr>
                <w:rFonts w:hint="eastAsia"/>
                <w:color w:val="auto"/>
                <w:sz w:val="21"/>
                <w:szCs w:val="21"/>
                <w:vertAlign w:val="baseline"/>
                <w:lang w:val="en-US" w:eastAsia="zh-CN"/>
              </w:rPr>
              <w:t>m</w:t>
            </w:r>
            <w:r>
              <w:rPr>
                <w:rFonts w:hint="eastAsia"/>
                <w:color w:val="auto"/>
                <w:sz w:val="21"/>
                <w:szCs w:val="21"/>
                <w:vertAlign w:val="superscript"/>
                <w:lang w:val="en-US" w:eastAsia="zh-CN"/>
              </w:rPr>
              <w:t>2</w:t>
            </w:r>
            <w:r>
              <w:rPr>
                <w:rFonts w:hint="eastAsia"/>
                <w:color w:val="auto"/>
                <w:sz w:val="21"/>
                <w:szCs w:val="21"/>
                <w:vertAlign w:val="baseline"/>
                <w:lang w:val="zh-CN"/>
              </w:rPr>
              <w:t>）</w:t>
            </w:r>
          </w:p>
        </w:tc>
        <w:tc>
          <w:tcPr>
            <w:tcW w:w="1421" w:type="dxa"/>
            <w:tcBorders>
              <w:tl2br w:val="nil"/>
              <w:tr2bl w:val="nil"/>
            </w:tcBorders>
            <w:vAlign w:val="center"/>
          </w:tcPr>
          <w:p w14:paraId="73ADA97D">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斑块数（个）</w:t>
            </w:r>
          </w:p>
        </w:tc>
        <w:tc>
          <w:tcPr>
            <w:tcW w:w="1421" w:type="dxa"/>
            <w:tcBorders>
              <w:tl2br w:val="nil"/>
              <w:tr2bl w:val="nil"/>
            </w:tcBorders>
            <w:vAlign w:val="center"/>
          </w:tcPr>
          <w:p w14:paraId="6091B054">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面积（</w:t>
            </w:r>
            <w:r>
              <w:rPr>
                <w:rFonts w:hint="eastAsia"/>
                <w:color w:val="auto"/>
                <w:sz w:val="21"/>
                <w:szCs w:val="21"/>
                <w:vertAlign w:val="baseline"/>
                <w:lang w:val="en-US" w:eastAsia="zh-CN"/>
              </w:rPr>
              <w:t>m</w:t>
            </w:r>
            <w:r>
              <w:rPr>
                <w:rFonts w:hint="eastAsia"/>
                <w:color w:val="auto"/>
                <w:sz w:val="21"/>
                <w:szCs w:val="21"/>
                <w:vertAlign w:val="superscript"/>
                <w:lang w:val="en-US" w:eastAsia="zh-CN"/>
              </w:rPr>
              <w:t>2</w:t>
            </w:r>
            <w:r>
              <w:rPr>
                <w:rFonts w:hint="eastAsia"/>
                <w:color w:val="auto"/>
                <w:sz w:val="21"/>
                <w:szCs w:val="21"/>
                <w:vertAlign w:val="baseline"/>
                <w:lang w:val="zh-CN"/>
              </w:rPr>
              <w:t>）</w:t>
            </w:r>
          </w:p>
        </w:tc>
      </w:tr>
      <w:tr w14:paraId="47C321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420" w:type="dxa"/>
            <w:tcBorders>
              <w:tl2br w:val="nil"/>
              <w:tr2bl w:val="nil"/>
            </w:tcBorders>
            <w:vAlign w:val="center"/>
          </w:tcPr>
          <w:p w14:paraId="2E1E150E">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林地</w:t>
            </w:r>
          </w:p>
        </w:tc>
        <w:tc>
          <w:tcPr>
            <w:tcW w:w="1421" w:type="dxa"/>
            <w:tcBorders>
              <w:tl2br w:val="nil"/>
              <w:tr2bl w:val="nil"/>
            </w:tcBorders>
            <w:vAlign w:val="center"/>
          </w:tcPr>
          <w:p w14:paraId="7348360C">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有林地</w:t>
            </w:r>
          </w:p>
        </w:tc>
        <w:tc>
          <w:tcPr>
            <w:tcW w:w="1421" w:type="dxa"/>
            <w:tcBorders>
              <w:tl2br w:val="nil"/>
              <w:tr2bl w:val="nil"/>
            </w:tcBorders>
            <w:vAlign w:val="center"/>
          </w:tcPr>
          <w:p w14:paraId="6A9572B3">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7</w:t>
            </w:r>
          </w:p>
        </w:tc>
        <w:tc>
          <w:tcPr>
            <w:tcW w:w="1422" w:type="dxa"/>
            <w:tcBorders>
              <w:tl2br w:val="nil"/>
              <w:tr2bl w:val="nil"/>
            </w:tcBorders>
            <w:vAlign w:val="center"/>
          </w:tcPr>
          <w:p w14:paraId="663F87FA">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160187</w:t>
            </w:r>
          </w:p>
        </w:tc>
        <w:tc>
          <w:tcPr>
            <w:tcW w:w="1421" w:type="dxa"/>
            <w:tcBorders>
              <w:tl2br w:val="nil"/>
              <w:tr2bl w:val="nil"/>
            </w:tcBorders>
            <w:vAlign w:val="center"/>
          </w:tcPr>
          <w:p w14:paraId="3C65BC69">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0</w:t>
            </w:r>
          </w:p>
        </w:tc>
        <w:tc>
          <w:tcPr>
            <w:tcW w:w="1421" w:type="dxa"/>
            <w:tcBorders>
              <w:tl2br w:val="nil"/>
              <w:tr2bl w:val="nil"/>
            </w:tcBorders>
            <w:vAlign w:val="center"/>
          </w:tcPr>
          <w:p w14:paraId="65F1E6B7">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0</w:t>
            </w:r>
          </w:p>
        </w:tc>
      </w:tr>
      <w:tr w14:paraId="32E19E0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vAlign w:val="center"/>
          </w:tcPr>
          <w:p w14:paraId="53C04D74">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草地</w:t>
            </w:r>
          </w:p>
        </w:tc>
        <w:tc>
          <w:tcPr>
            <w:tcW w:w="1421" w:type="dxa"/>
            <w:tcBorders>
              <w:tl2br w:val="nil"/>
              <w:tr2bl w:val="nil"/>
            </w:tcBorders>
            <w:vAlign w:val="center"/>
          </w:tcPr>
          <w:p w14:paraId="0D963064">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天然草地</w:t>
            </w:r>
          </w:p>
        </w:tc>
        <w:tc>
          <w:tcPr>
            <w:tcW w:w="1421" w:type="dxa"/>
            <w:tcBorders>
              <w:tl2br w:val="nil"/>
              <w:tr2bl w:val="nil"/>
            </w:tcBorders>
            <w:vAlign w:val="center"/>
          </w:tcPr>
          <w:p w14:paraId="1215268F">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3</w:t>
            </w:r>
          </w:p>
        </w:tc>
        <w:tc>
          <w:tcPr>
            <w:tcW w:w="1422" w:type="dxa"/>
            <w:tcBorders>
              <w:tl2br w:val="nil"/>
              <w:tr2bl w:val="nil"/>
            </w:tcBorders>
            <w:vAlign w:val="center"/>
          </w:tcPr>
          <w:p w14:paraId="6366287A">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14046</w:t>
            </w:r>
          </w:p>
        </w:tc>
        <w:tc>
          <w:tcPr>
            <w:tcW w:w="1421" w:type="dxa"/>
            <w:tcBorders>
              <w:tl2br w:val="nil"/>
              <w:tr2bl w:val="nil"/>
            </w:tcBorders>
            <w:vAlign w:val="center"/>
          </w:tcPr>
          <w:p w14:paraId="56B7D5A7">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1</w:t>
            </w:r>
          </w:p>
        </w:tc>
        <w:tc>
          <w:tcPr>
            <w:tcW w:w="1421" w:type="dxa"/>
            <w:tcBorders>
              <w:tl2br w:val="nil"/>
              <w:tr2bl w:val="nil"/>
            </w:tcBorders>
            <w:vAlign w:val="center"/>
          </w:tcPr>
          <w:p w14:paraId="4777974E">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4208</w:t>
            </w:r>
          </w:p>
        </w:tc>
      </w:tr>
      <w:tr w14:paraId="04FA30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vAlign w:val="center"/>
          </w:tcPr>
          <w:p w14:paraId="02FD514C">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耕地</w:t>
            </w:r>
          </w:p>
        </w:tc>
        <w:tc>
          <w:tcPr>
            <w:tcW w:w="1421" w:type="dxa"/>
            <w:tcBorders>
              <w:tl2br w:val="nil"/>
              <w:tr2bl w:val="nil"/>
            </w:tcBorders>
            <w:vAlign w:val="center"/>
          </w:tcPr>
          <w:p w14:paraId="7B0C190C">
            <w:pPr>
              <w:spacing w:line="240" w:lineRule="auto"/>
              <w:jc w:val="center"/>
              <w:rPr>
                <w:rFonts w:hint="eastAsia" w:eastAsia="宋体"/>
                <w:color w:val="auto"/>
                <w:sz w:val="21"/>
                <w:szCs w:val="21"/>
                <w:vertAlign w:val="baseline"/>
                <w:lang w:val="en-US" w:eastAsia="zh-CN"/>
              </w:rPr>
            </w:pPr>
            <w:r>
              <w:rPr>
                <w:rFonts w:hint="eastAsia" w:eastAsia="宋体"/>
                <w:color w:val="auto"/>
                <w:sz w:val="21"/>
                <w:szCs w:val="21"/>
                <w:vertAlign w:val="baseline"/>
                <w:lang w:val="en-US" w:eastAsia="zh-CN"/>
              </w:rPr>
              <w:t>旱地</w:t>
            </w:r>
          </w:p>
        </w:tc>
        <w:tc>
          <w:tcPr>
            <w:tcW w:w="1421" w:type="dxa"/>
            <w:tcBorders>
              <w:tl2br w:val="nil"/>
              <w:tr2bl w:val="nil"/>
            </w:tcBorders>
            <w:vAlign w:val="center"/>
          </w:tcPr>
          <w:p w14:paraId="689128E6">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10</w:t>
            </w:r>
          </w:p>
        </w:tc>
        <w:tc>
          <w:tcPr>
            <w:tcW w:w="1422" w:type="dxa"/>
            <w:tcBorders>
              <w:tl2br w:val="nil"/>
              <w:tr2bl w:val="nil"/>
            </w:tcBorders>
            <w:vAlign w:val="center"/>
          </w:tcPr>
          <w:p w14:paraId="6D7A396B">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1055380</w:t>
            </w:r>
          </w:p>
        </w:tc>
        <w:tc>
          <w:tcPr>
            <w:tcW w:w="1421" w:type="dxa"/>
            <w:tcBorders>
              <w:tl2br w:val="nil"/>
              <w:tr2bl w:val="nil"/>
            </w:tcBorders>
            <w:vAlign w:val="center"/>
          </w:tcPr>
          <w:p w14:paraId="2731ED98">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1</w:t>
            </w:r>
          </w:p>
        </w:tc>
        <w:tc>
          <w:tcPr>
            <w:tcW w:w="1421" w:type="dxa"/>
            <w:tcBorders>
              <w:tl2br w:val="nil"/>
              <w:tr2bl w:val="nil"/>
            </w:tcBorders>
            <w:vAlign w:val="center"/>
          </w:tcPr>
          <w:p w14:paraId="468BD813">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53866</w:t>
            </w:r>
          </w:p>
        </w:tc>
      </w:tr>
    </w:tbl>
    <w:p w14:paraId="54AF78FB">
      <w:pPr>
        <w:pStyle w:val="4"/>
        <w:numPr>
          <w:ilvl w:val="2"/>
          <w:numId w:val="0"/>
        </w:numPr>
        <w:bidi w:val="0"/>
        <w:ind w:leftChars="0" w:right="0" w:rightChars="0"/>
        <w:rPr>
          <w:rFonts w:hint="eastAsia" w:ascii="Times New Roman" w:hAnsi="Times New Roman" w:eastAsia="宋体" w:cs="Times New Roman"/>
          <w:b/>
          <w:bCs/>
          <w:color w:val="auto"/>
          <w:lang w:val="zh-CN" w:eastAsia="zh-CN"/>
        </w:rPr>
      </w:pPr>
      <w:bookmarkStart w:id="253" w:name="_Toc23329"/>
      <w:r>
        <w:rPr>
          <w:rFonts w:hint="eastAsia" w:ascii="Times New Roman" w:hAnsi="Times New Roman" w:eastAsia="宋体" w:cs="Times New Roman"/>
          <w:b/>
          <w:bCs/>
          <w:color w:val="auto"/>
          <w:lang w:val="en-US" w:eastAsia="zh-CN"/>
        </w:rPr>
        <w:t>4.3.5</w:t>
      </w:r>
      <w:r>
        <w:rPr>
          <w:rFonts w:hint="eastAsia" w:ascii="Times New Roman" w:hAnsi="Times New Roman" w:eastAsia="宋体" w:cs="Times New Roman"/>
          <w:b/>
          <w:bCs/>
          <w:color w:val="auto"/>
          <w:lang w:val="zh-CN" w:eastAsia="zh-CN"/>
        </w:rPr>
        <w:t>土壤侵蚀</w:t>
      </w:r>
      <w:bookmarkEnd w:id="253"/>
    </w:p>
    <w:p w14:paraId="5283C7F8">
      <w:pPr>
        <w:spacing w:line="360" w:lineRule="auto"/>
        <w:ind w:firstLine="480" w:firstLineChars="200"/>
        <w:rPr>
          <w:rFonts w:hint="eastAsia"/>
          <w:color w:val="auto"/>
          <w:sz w:val="24"/>
          <w:lang w:val="zh-CN"/>
        </w:rPr>
      </w:pPr>
      <w:r>
        <w:rPr>
          <w:rFonts w:hint="eastAsia"/>
          <w:color w:val="auto"/>
          <w:sz w:val="24"/>
          <w:lang w:val="zh-CN"/>
        </w:rPr>
        <w:t>评价区域植被覆盖率中等，土质疏松，水土流失现象较普遍，壤侵蚀类型表现为以风力侵蚀为主的风水复合侵蚀区，土壤侵蚀类型以轻度侵蚀为主，土壤侵蚀背景值确定为：水力侵蚀模数1000t/km</w:t>
      </w:r>
      <w:r>
        <w:rPr>
          <w:rFonts w:hint="eastAsia"/>
          <w:color w:val="auto"/>
          <w:sz w:val="24"/>
          <w:vertAlign w:val="superscript"/>
          <w:lang w:val="zh-CN"/>
        </w:rPr>
        <w:t>2</w:t>
      </w:r>
      <w:r>
        <w:rPr>
          <w:rFonts w:hint="default" w:ascii="Times New Roman" w:hAnsi="Times New Roman" w:cs="Times New Roman"/>
          <w:color w:val="auto"/>
          <w:sz w:val="24"/>
          <w:lang w:val="zh-CN"/>
        </w:rPr>
        <w:t>·</w:t>
      </w:r>
      <w:r>
        <w:rPr>
          <w:rFonts w:hint="eastAsia"/>
          <w:color w:val="auto"/>
          <w:sz w:val="24"/>
          <w:lang w:val="zh-CN"/>
        </w:rPr>
        <w:t>a，风力侵蚀模数2500t/km</w:t>
      </w:r>
      <w:r>
        <w:rPr>
          <w:rFonts w:hint="eastAsia"/>
          <w:color w:val="auto"/>
          <w:sz w:val="24"/>
          <w:vertAlign w:val="superscript"/>
          <w:lang w:val="zh-CN"/>
        </w:rPr>
        <w:t>2</w:t>
      </w:r>
      <w:r>
        <w:rPr>
          <w:rFonts w:hint="default" w:ascii="Times New Roman" w:hAnsi="Times New Roman" w:cs="Times New Roman"/>
          <w:color w:val="auto"/>
          <w:sz w:val="24"/>
          <w:lang w:val="zh-CN"/>
        </w:rPr>
        <w:t>·</w:t>
      </w:r>
      <w:r>
        <w:rPr>
          <w:rFonts w:hint="eastAsia"/>
          <w:color w:val="auto"/>
          <w:sz w:val="24"/>
          <w:lang w:val="zh-CN"/>
        </w:rPr>
        <w:t>a。根据《土壤侵蚀分类分级标准》(SL190-2007)，容许土壤流失量500/km</w:t>
      </w:r>
      <w:r>
        <w:rPr>
          <w:rFonts w:hint="eastAsia"/>
          <w:color w:val="auto"/>
          <w:sz w:val="24"/>
          <w:vertAlign w:val="superscript"/>
          <w:lang w:val="zh-CN"/>
        </w:rPr>
        <w:t>2</w:t>
      </w:r>
      <w:r>
        <w:rPr>
          <w:rFonts w:hint="default" w:ascii="Times New Roman" w:hAnsi="Times New Roman" w:cs="Times New Roman"/>
          <w:color w:val="auto"/>
          <w:sz w:val="24"/>
          <w:lang w:val="zh-CN"/>
        </w:rPr>
        <w:t>·</w:t>
      </w:r>
      <w:r>
        <w:rPr>
          <w:rFonts w:hint="eastAsia"/>
          <w:color w:val="auto"/>
          <w:sz w:val="24"/>
          <w:lang w:val="zh-CN"/>
        </w:rPr>
        <w:t>a。评价区域目前土壤侵蚀现状情况见表4.3-</w:t>
      </w:r>
      <w:r>
        <w:rPr>
          <w:rFonts w:hint="eastAsia"/>
          <w:color w:val="auto"/>
          <w:sz w:val="24"/>
          <w:lang w:val="en-US" w:eastAsia="zh-CN"/>
        </w:rPr>
        <w:t>6</w:t>
      </w:r>
      <w:r>
        <w:rPr>
          <w:rFonts w:hint="eastAsia"/>
          <w:color w:val="auto"/>
          <w:sz w:val="24"/>
          <w:lang w:val="zh-CN"/>
        </w:rPr>
        <w:t>。</w:t>
      </w:r>
    </w:p>
    <w:p w14:paraId="728B6667">
      <w:pPr>
        <w:spacing w:line="240" w:lineRule="auto"/>
        <w:jc w:val="center"/>
        <w:rPr>
          <w:rFonts w:hint="eastAsia"/>
          <w:b/>
          <w:bCs/>
          <w:color w:val="auto"/>
          <w:sz w:val="21"/>
          <w:szCs w:val="21"/>
          <w:lang w:val="zh-CN"/>
        </w:rPr>
      </w:pPr>
      <w:r>
        <w:rPr>
          <w:rFonts w:hint="eastAsia"/>
          <w:b/>
          <w:bCs/>
          <w:color w:val="auto"/>
          <w:sz w:val="21"/>
          <w:szCs w:val="21"/>
          <w:lang w:val="zh-CN"/>
        </w:rPr>
        <w:t>表4.3-</w:t>
      </w:r>
      <w:r>
        <w:rPr>
          <w:rFonts w:hint="eastAsia"/>
          <w:b/>
          <w:bCs/>
          <w:color w:val="auto"/>
          <w:sz w:val="21"/>
          <w:szCs w:val="21"/>
          <w:lang w:val="en-US" w:eastAsia="zh-CN"/>
        </w:rPr>
        <w:t xml:space="preserve">6   </w:t>
      </w:r>
      <w:r>
        <w:rPr>
          <w:rFonts w:hint="eastAsia"/>
          <w:b/>
          <w:bCs/>
          <w:color w:val="auto"/>
          <w:sz w:val="21"/>
          <w:szCs w:val="21"/>
          <w:lang w:val="zh-CN"/>
        </w:rPr>
        <w:t xml:space="preserve"> 各类土壤侵蚀强度现状面积表</w:t>
      </w:r>
    </w:p>
    <w:tbl>
      <w:tblPr>
        <w:tblStyle w:val="54"/>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1"/>
        <w:gridCol w:w="1610"/>
        <w:gridCol w:w="1421"/>
        <w:gridCol w:w="1422"/>
        <w:gridCol w:w="1421"/>
        <w:gridCol w:w="1421"/>
      </w:tblGrid>
      <w:tr w14:paraId="71000A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841" w:type="dxa"/>
            <w:gridSpan w:val="2"/>
            <w:tcBorders>
              <w:tl2br w:val="nil"/>
              <w:tr2bl w:val="nil"/>
            </w:tcBorders>
            <w:vAlign w:val="center"/>
          </w:tcPr>
          <w:p w14:paraId="41225EBD">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土壤侵蚀类型</w:t>
            </w:r>
          </w:p>
        </w:tc>
        <w:tc>
          <w:tcPr>
            <w:tcW w:w="2843" w:type="dxa"/>
            <w:gridSpan w:val="2"/>
            <w:tcBorders>
              <w:tl2br w:val="nil"/>
              <w:tr2bl w:val="nil"/>
            </w:tcBorders>
            <w:vAlign w:val="center"/>
          </w:tcPr>
          <w:p w14:paraId="2D3CE043">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评价范围</w:t>
            </w:r>
          </w:p>
        </w:tc>
        <w:tc>
          <w:tcPr>
            <w:tcW w:w="2842" w:type="dxa"/>
            <w:gridSpan w:val="2"/>
            <w:tcBorders>
              <w:tl2br w:val="nil"/>
              <w:tr2bl w:val="nil"/>
            </w:tcBorders>
            <w:vAlign w:val="center"/>
          </w:tcPr>
          <w:p w14:paraId="62BD8239">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项目范围</w:t>
            </w:r>
          </w:p>
        </w:tc>
      </w:tr>
      <w:tr w14:paraId="2C3B953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1231" w:type="dxa"/>
            <w:tcBorders>
              <w:tl2br w:val="nil"/>
              <w:tr2bl w:val="nil"/>
            </w:tcBorders>
            <w:vAlign w:val="center"/>
          </w:tcPr>
          <w:p w14:paraId="3D14874A">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一级类型</w:t>
            </w:r>
          </w:p>
        </w:tc>
        <w:tc>
          <w:tcPr>
            <w:tcW w:w="1610" w:type="dxa"/>
            <w:tcBorders>
              <w:tl2br w:val="nil"/>
              <w:tr2bl w:val="nil"/>
            </w:tcBorders>
            <w:vAlign w:val="center"/>
          </w:tcPr>
          <w:p w14:paraId="6A0BB5D7">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二级类型</w:t>
            </w:r>
          </w:p>
        </w:tc>
        <w:tc>
          <w:tcPr>
            <w:tcW w:w="1421" w:type="dxa"/>
            <w:tcBorders>
              <w:tl2br w:val="nil"/>
              <w:tr2bl w:val="nil"/>
            </w:tcBorders>
            <w:vAlign w:val="center"/>
          </w:tcPr>
          <w:p w14:paraId="63BCE36D">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斑块数（个）</w:t>
            </w:r>
          </w:p>
        </w:tc>
        <w:tc>
          <w:tcPr>
            <w:tcW w:w="1422" w:type="dxa"/>
            <w:tcBorders>
              <w:tl2br w:val="nil"/>
              <w:tr2bl w:val="nil"/>
            </w:tcBorders>
            <w:vAlign w:val="center"/>
          </w:tcPr>
          <w:p w14:paraId="6D0A9C4F">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面积（</w:t>
            </w:r>
            <w:r>
              <w:rPr>
                <w:rFonts w:hint="eastAsia"/>
                <w:color w:val="auto"/>
                <w:sz w:val="21"/>
                <w:szCs w:val="21"/>
                <w:vertAlign w:val="baseline"/>
                <w:lang w:val="en-US" w:eastAsia="zh-CN"/>
              </w:rPr>
              <w:t>m</w:t>
            </w:r>
            <w:r>
              <w:rPr>
                <w:rFonts w:hint="eastAsia"/>
                <w:color w:val="auto"/>
                <w:sz w:val="21"/>
                <w:szCs w:val="21"/>
                <w:vertAlign w:val="superscript"/>
                <w:lang w:val="en-US" w:eastAsia="zh-CN"/>
              </w:rPr>
              <w:t>2</w:t>
            </w:r>
            <w:r>
              <w:rPr>
                <w:rFonts w:hint="eastAsia"/>
                <w:color w:val="auto"/>
                <w:sz w:val="21"/>
                <w:szCs w:val="21"/>
                <w:vertAlign w:val="baseline"/>
                <w:lang w:val="zh-CN"/>
              </w:rPr>
              <w:t>）</w:t>
            </w:r>
          </w:p>
        </w:tc>
        <w:tc>
          <w:tcPr>
            <w:tcW w:w="1421" w:type="dxa"/>
            <w:tcBorders>
              <w:tl2br w:val="nil"/>
              <w:tr2bl w:val="nil"/>
            </w:tcBorders>
            <w:vAlign w:val="center"/>
          </w:tcPr>
          <w:p w14:paraId="42CE2025">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斑块数（个）</w:t>
            </w:r>
          </w:p>
        </w:tc>
        <w:tc>
          <w:tcPr>
            <w:tcW w:w="1421" w:type="dxa"/>
            <w:tcBorders>
              <w:tl2br w:val="nil"/>
              <w:tr2bl w:val="nil"/>
            </w:tcBorders>
            <w:vAlign w:val="center"/>
          </w:tcPr>
          <w:p w14:paraId="6CEC249F">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面积（</w:t>
            </w:r>
            <w:r>
              <w:rPr>
                <w:rFonts w:hint="eastAsia"/>
                <w:color w:val="auto"/>
                <w:sz w:val="21"/>
                <w:szCs w:val="21"/>
                <w:vertAlign w:val="baseline"/>
                <w:lang w:val="en-US" w:eastAsia="zh-CN"/>
              </w:rPr>
              <w:t>m</w:t>
            </w:r>
            <w:r>
              <w:rPr>
                <w:rFonts w:hint="eastAsia"/>
                <w:color w:val="auto"/>
                <w:sz w:val="21"/>
                <w:szCs w:val="21"/>
                <w:vertAlign w:val="superscript"/>
                <w:lang w:val="en-US" w:eastAsia="zh-CN"/>
              </w:rPr>
              <w:t>2</w:t>
            </w:r>
            <w:r>
              <w:rPr>
                <w:rFonts w:hint="eastAsia"/>
                <w:color w:val="auto"/>
                <w:sz w:val="21"/>
                <w:szCs w:val="21"/>
                <w:vertAlign w:val="baseline"/>
                <w:lang w:val="zh-CN"/>
              </w:rPr>
              <w:t>）</w:t>
            </w:r>
          </w:p>
        </w:tc>
      </w:tr>
      <w:tr w14:paraId="5DA80DE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231" w:type="dxa"/>
            <w:tcBorders>
              <w:tl2br w:val="nil"/>
              <w:tr2bl w:val="nil"/>
            </w:tcBorders>
            <w:vAlign w:val="center"/>
          </w:tcPr>
          <w:p w14:paraId="3D2A16E2">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水力侵蚀</w:t>
            </w:r>
          </w:p>
        </w:tc>
        <w:tc>
          <w:tcPr>
            <w:tcW w:w="1610" w:type="dxa"/>
            <w:tcBorders>
              <w:tl2br w:val="nil"/>
              <w:tr2bl w:val="nil"/>
            </w:tcBorders>
            <w:vAlign w:val="center"/>
          </w:tcPr>
          <w:p w14:paraId="002FE19C">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水利轻度侵蚀</w:t>
            </w:r>
          </w:p>
        </w:tc>
        <w:tc>
          <w:tcPr>
            <w:tcW w:w="1421" w:type="dxa"/>
            <w:tcBorders>
              <w:tl2br w:val="nil"/>
              <w:tr2bl w:val="nil"/>
            </w:tcBorders>
            <w:vAlign w:val="center"/>
          </w:tcPr>
          <w:p w14:paraId="53DDC0D6">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10</w:t>
            </w:r>
          </w:p>
        </w:tc>
        <w:tc>
          <w:tcPr>
            <w:tcW w:w="1422" w:type="dxa"/>
            <w:tcBorders>
              <w:tl2br w:val="nil"/>
              <w:tr2bl w:val="nil"/>
            </w:tcBorders>
            <w:vAlign w:val="center"/>
          </w:tcPr>
          <w:p w14:paraId="0A00D49D">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1055380</w:t>
            </w:r>
          </w:p>
        </w:tc>
        <w:tc>
          <w:tcPr>
            <w:tcW w:w="1421" w:type="dxa"/>
            <w:tcBorders>
              <w:tl2br w:val="nil"/>
              <w:tr2bl w:val="nil"/>
            </w:tcBorders>
            <w:vAlign w:val="center"/>
          </w:tcPr>
          <w:p w14:paraId="3C7B6168">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1</w:t>
            </w:r>
          </w:p>
        </w:tc>
        <w:tc>
          <w:tcPr>
            <w:tcW w:w="1421" w:type="dxa"/>
            <w:tcBorders>
              <w:tl2br w:val="nil"/>
              <w:tr2bl w:val="nil"/>
            </w:tcBorders>
            <w:vAlign w:val="center"/>
          </w:tcPr>
          <w:p w14:paraId="790ECCA4">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53866</w:t>
            </w:r>
          </w:p>
        </w:tc>
      </w:tr>
      <w:tr w14:paraId="2E5AB2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1231" w:type="dxa"/>
            <w:vMerge w:val="restart"/>
            <w:tcBorders>
              <w:tl2br w:val="nil"/>
              <w:tr2bl w:val="nil"/>
            </w:tcBorders>
            <w:vAlign w:val="center"/>
          </w:tcPr>
          <w:p w14:paraId="7CCD9178">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风力侵蚀</w:t>
            </w:r>
          </w:p>
        </w:tc>
        <w:tc>
          <w:tcPr>
            <w:tcW w:w="1610" w:type="dxa"/>
            <w:tcBorders>
              <w:tl2br w:val="nil"/>
              <w:tr2bl w:val="nil"/>
            </w:tcBorders>
            <w:vAlign w:val="center"/>
          </w:tcPr>
          <w:p w14:paraId="0D68A1A5">
            <w:pPr>
              <w:spacing w:line="240" w:lineRule="auto"/>
              <w:jc w:val="center"/>
              <w:rPr>
                <w:rFonts w:hint="eastAsia"/>
                <w:color w:val="auto"/>
                <w:sz w:val="21"/>
                <w:szCs w:val="21"/>
                <w:vertAlign w:val="baseline"/>
                <w:lang w:val="zh-CN"/>
              </w:rPr>
            </w:pPr>
            <w:r>
              <w:rPr>
                <w:rFonts w:hint="eastAsia"/>
                <w:color w:val="auto"/>
                <w:sz w:val="21"/>
                <w:szCs w:val="21"/>
                <w:vertAlign w:val="baseline"/>
                <w:lang w:val="zh-CN"/>
              </w:rPr>
              <w:t>风力轻度侵蚀</w:t>
            </w:r>
          </w:p>
        </w:tc>
        <w:tc>
          <w:tcPr>
            <w:tcW w:w="1421" w:type="dxa"/>
            <w:tcBorders>
              <w:tl2br w:val="nil"/>
              <w:tr2bl w:val="nil"/>
            </w:tcBorders>
            <w:vAlign w:val="center"/>
          </w:tcPr>
          <w:p w14:paraId="2C9619B0">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3</w:t>
            </w:r>
          </w:p>
        </w:tc>
        <w:tc>
          <w:tcPr>
            <w:tcW w:w="1422" w:type="dxa"/>
            <w:tcBorders>
              <w:tl2br w:val="nil"/>
              <w:tr2bl w:val="nil"/>
            </w:tcBorders>
            <w:vAlign w:val="center"/>
          </w:tcPr>
          <w:p w14:paraId="6A1342B7">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14046</w:t>
            </w:r>
          </w:p>
        </w:tc>
        <w:tc>
          <w:tcPr>
            <w:tcW w:w="1421" w:type="dxa"/>
            <w:tcBorders>
              <w:tl2br w:val="nil"/>
              <w:tr2bl w:val="nil"/>
            </w:tcBorders>
            <w:vAlign w:val="center"/>
          </w:tcPr>
          <w:p w14:paraId="5DE74160">
            <w:pPr>
              <w:spacing w:line="240" w:lineRule="auto"/>
              <w:jc w:val="center"/>
              <w:rPr>
                <w:rFonts w:hint="default" w:eastAsia="宋体"/>
                <w:color w:val="auto"/>
                <w:sz w:val="21"/>
                <w:szCs w:val="21"/>
                <w:vertAlign w:val="baseline"/>
                <w:lang w:val="en-US" w:eastAsia="zh-CN"/>
              </w:rPr>
            </w:pPr>
            <w:r>
              <w:rPr>
                <w:rFonts w:hint="eastAsia" w:eastAsia="宋体"/>
                <w:color w:val="auto"/>
                <w:sz w:val="21"/>
                <w:szCs w:val="21"/>
                <w:vertAlign w:val="baseline"/>
                <w:lang w:val="en-US" w:eastAsia="zh-CN"/>
              </w:rPr>
              <w:t>0</w:t>
            </w:r>
          </w:p>
        </w:tc>
        <w:tc>
          <w:tcPr>
            <w:tcW w:w="1421" w:type="dxa"/>
            <w:tcBorders>
              <w:tl2br w:val="nil"/>
              <w:tr2bl w:val="nil"/>
            </w:tcBorders>
            <w:vAlign w:val="center"/>
          </w:tcPr>
          <w:p w14:paraId="09F69579">
            <w:pPr>
              <w:spacing w:line="240" w:lineRule="auto"/>
              <w:jc w:val="center"/>
              <w:rPr>
                <w:rFonts w:hint="default" w:eastAsia="宋体"/>
                <w:color w:val="auto"/>
                <w:sz w:val="21"/>
                <w:szCs w:val="21"/>
                <w:vertAlign w:val="baseline"/>
                <w:lang w:val="en-US" w:eastAsia="zh-CN"/>
              </w:rPr>
            </w:pPr>
            <w:r>
              <w:rPr>
                <w:rFonts w:hint="eastAsia" w:eastAsia="宋体"/>
                <w:color w:val="auto"/>
                <w:sz w:val="21"/>
                <w:szCs w:val="21"/>
                <w:vertAlign w:val="baseline"/>
                <w:lang w:val="en-US" w:eastAsia="zh-CN"/>
              </w:rPr>
              <w:t>0</w:t>
            </w:r>
          </w:p>
        </w:tc>
      </w:tr>
      <w:tr w14:paraId="334775D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231" w:type="dxa"/>
            <w:vMerge w:val="continue"/>
            <w:tcBorders>
              <w:tl2br w:val="nil"/>
              <w:tr2bl w:val="nil"/>
            </w:tcBorders>
            <w:vAlign w:val="center"/>
          </w:tcPr>
          <w:p w14:paraId="6F955E65">
            <w:pPr>
              <w:spacing w:line="240" w:lineRule="auto"/>
              <w:jc w:val="center"/>
              <w:rPr>
                <w:rFonts w:hint="eastAsia"/>
                <w:color w:val="auto"/>
                <w:sz w:val="21"/>
                <w:szCs w:val="21"/>
                <w:vertAlign w:val="baseline"/>
                <w:lang w:val="zh-CN"/>
              </w:rPr>
            </w:pPr>
          </w:p>
        </w:tc>
        <w:tc>
          <w:tcPr>
            <w:tcW w:w="1610" w:type="dxa"/>
            <w:tcBorders>
              <w:tl2br w:val="nil"/>
              <w:tr2bl w:val="nil"/>
            </w:tcBorders>
            <w:vAlign w:val="center"/>
          </w:tcPr>
          <w:p w14:paraId="5AAB5C39">
            <w:pPr>
              <w:spacing w:line="240" w:lineRule="auto"/>
              <w:jc w:val="center"/>
              <w:rPr>
                <w:rFonts w:hint="eastAsia" w:eastAsia="宋体"/>
                <w:color w:val="auto"/>
                <w:sz w:val="21"/>
                <w:szCs w:val="21"/>
                <w:vertAlign w:val="baseline"/>
                <w:lang w:val="en-US" w:eastAsia="zh-CN"/>
              </w:rPr>
            </w:pPr>
            <w:r>
              <w:rPr>
                <w:rFonts w:hint="eastAsia" w:eastAsia="宋体"/>
                <w:color w:val="auto"/>
                <w:sz w:val="21"/>
                <w:szCs w:val="21"/>
                <w:vertAlign w:val="baseline"/>
                <w:lang w:val="en-US" w:eastAsia="zh-CN"/>
              </w:rPr>
              <w:t>风力中度侵蚀</w:t>
            </w:r>
          </w:p>
        </w:tc>
        <w:tc>
          <w:tcPr>
            <w:tcW w:w="1421" w:type="dxa"/>
            <w:tcBorders>
              <w:tl2br w:val="nil"/>
              <w:tr2bl w:val="nil"/>
            </w:tcBorders>
            <w:vAlign w:val="center"/>
          </w:tcPr>
          <w:p w14:paraId="0224CAA3">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7</w:t>
            </w:r>
          </w:p>
        </w:tc>
        <w:tc>
          <w:tcPr>
            <w:tcW w:w="1422" w:type="dxa"/>
            <w:tcBorders>
              <w:tl2br w:val="nil"/>
              <w:tr2bl w:val="nil"/>
            </w:tcBorders>
            <w:vAlign w:val="center"/>
          </w:tcPr>
          <w:p w14:paraId="1C5DD3A1">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160187</w:t>
            </w:r>
          </w:p>
        </w:tc>
        <w:tc>
          <w:tcPr>
            <w:tcW w:w="1421" w:type="dxa"/>
            <w:tcBorders>
              <w:tl2br w:val="nil"/>
              <w:tr2bl w:val="nil"/>
            </w:tcBorders>
            <w:vAlign w:val="center"/>
          </w:tcPr>
          <w:p w14:paraId="047660B4">
            <w:pPr>
              <w:spacing w:line="240" w:lineRule="auto"/>
              <w:jc w:val="center"/>
              <w:rPr>
                <w:rFonts w:hint="default" w:eastAsia="宋体"/>
                <w:color w:val="auto"/>
                <w:sz w:val="21"/>
                <w:szCs w:val="21"/>
                <w:vertAlign w:val="baseline"/>
                <w:lang w:val="en-US" w:eastAsia="zh-CN"/>
              </w:rPr>
            </w:pPr>
            <w:r>
              <w:rPr>
                <w:rFonts w:hint="eastAsia" w:eastAsia="宋体"/>
                <w:color w:val="auto"/>
                <w:sz w:val="21"/>
                <w:szCs w:val="21"/>
                <w:vertAlign w:val="baseline"/>
                <w:lang w:val="en-US" w:eastAsia="zh-CN"/>
              </w:rPr>
              <w:t>0</w:t>
            </w:r>
          </w:p>
        </w:tc>
        <w:tc>
          <w:tcPr>
            <w:tcW w:w="1421" w:type="dxa"/>
            <w:tcBorders>
              <w:tl2br w:val="nil"/>
              <w:tr2bl w:val="nil"/>
            </w:tcBorders>
            <w:vAlign w:val="center"/>
          </w:tcPr>
          <w:p w14:paraId="09B737E3">
            <w:pPr>
              <w:spacing w:line="240" w:lineRule="auto"/>
              <w:jc w:val="center"/>
              <w:rPr>
                <w:rFonts w:hint="default" w:eastAsia="宋体"/>
                <w:color w:val="auto"/>
                <w:sz w:val="21"/>
                <w:szCs w:val="21"/>
                <w:vertAlign w:val="baseline"/>
                <w:lang w:val="en-US" w:eastAsia="zh-CN"/>
              </w:rPr>
            </w:pPr>
            <w:r>
              <w:rPr>
                <w:rFonts w:hint="eastAsia" w:eastAsia="宋体"/>
                <w:color w:val="auto"/>
                <w:sz w:val="21"/>
                <w:szCs w:val="21"/>
                <w:vertAlign w:val="baseline"/>
                <w:lang w:val="en-US" w:eastAsia="zh-CN"/>
              </w:rPr>
              <w:t>0</w:t>
            </w:r>
          </w:p>
        </w:tc>
      </w:tr>
    </w:tbl>
    <w:p w14:paraId="4D28D227">
      <w:pPr>
        <w:pStyle w:val="4"/>
        <w:numPr>
          <w:ilvl w:val="2"/>
          <w:numId w:val="0"/>
        </w:numPr>
        <w:bidi w:val="0"/>
        <w:ind w:leftChars="0" w:right="0" w:rightChars="0"/>
        <w:rPr>
          <w:rFonts w:hint="eastAsia" w:ascii="Times New Roman" w:hAnsi="Times New Roman" w:eastAsia="宋体" w:cs="Times New Roman"/>
          <w:b/>
          <w:bCs/>
          <w:color w:val="auto"/>
          <w:lang w:val="zh-CN" w:eastAsia="zh-CN"/>
        </w:rPr>
      </w:pPr>
      <w:bookmarkStart w:id="254" w:name="_Toc16918"/>
      <w:r>
        <w:rPr>
          <w:rFonts w:hint="eastAsia" w:ascii="Times New Roman" w:hAnsi="Times New Roman" w:eastAsia="宋体" w:cs="Times New Roman"/>
          <w:b/>
          <w:bCs/>
          <w:color w:val="auto"/>
          <w:lang w:val="en-US" w:eastAsia="zh-CN"/>
        </w:rPr>
        <w:t>4.3.6生态系统及功能区划</w:t>
      </w:r>
      <w:bookmarkEnd w:id="254"/>
    </w:p>
    <w:p w14:paraId="561CF685">
      <w:pPr>
        <w:spacing w:line="360" w:lineRule="auto"/>
        <w:ind w:firstLine="480" w:firstLineChars="200"/>
        <w:rPr>
          <w:color w:val="auto"/>
          <w:sz w:val="24"/>
          <w:lang w:val="zh-CN"/>
        </w:rPr>
      </w:pPr>
      <w:r>
        <w:rPr>
          <w:rFonts w:hint="eastAsia"/>
          <w:color w:val="auto"/>
          <w:sz w:val="24"/>
          <w:lang w:val="zh-CN"/>
        </w:rPr>
        <w:t>北票天勤农牧科技有限公司100万只蛋鸡养殖基地建设项目位于辽宁省朝阳市北票市西官镇大巴里村，该区域年平均温度6~7℃，极端最高和最低温分别为42℃和-31.</w:t>
      </w:r>
      <w:r>
        <w:rPr>
          <w:rFonts w:hint="eastAsia"/>
          <w:color w:val="auto"/>
          <w:sz w:val="24"/>
        </w:rPr>
        <w:t>2</w:t>
      </w:r>
      <w:r>
        <w:rPr>
          <w:rFonts w:hint="eastAsia"/>
          <w:color w:val="auto"/>
          <w:sz w:val="24"/>
          <w:lang w:val="zh-CN"/>
        </w:rPr>
        <w:t>℃。全年日照时数可达2700-3000小时，无霜期</w:t>
      </w:r>
      <w:r>
        <w:rPr>
          <w:rFonts w:hint="eastAsia"/>
          <w:color w:val="auto"/>
          <w:sz w:val="24"/>
        </w:rPr>
        <w:t>140</w:t>
      </w:r>
      <w:r>
        <w:rPr>
          <w:rFonts w:hint="eastAsia"/>
          <w:color w:val="auto"/>
          <w:sz w:val="24"/>
          <w:lang w:val="zh-CN"/>
        </w:rPr>
        <w:t>~1</w:t>
      </w:r>
      <w:r>
        <w:rPr>
          <w:rFonts w:hint="eastAsia"/>
          <w:color w:val="auto"/>
          <w:sz w:val="24"/>
        </w:rPr>
        <w:t>5</w:t>
      </w:r>
      <w:r>
        <w:rPr>
          <w:rFonts w:hint="eastAsia"/>
          <w:color w:val="auto"/>
          <w:sz w:val="24"/>
          <w:lang w:val="zh-CN"/>
        </w:rPr>
        <w:t>0天。年降雨量360~400毫米，蒸发量1900~2500mm，蒸发量是降水量的5~8倍。湿润度(K)为0.3~0.7，6~8月份湿润度可达0.5~0.9。</w:t>
      </w:r>
    </w:p>
    <w:p w14:paraId="36E4CCD6">
      <w:pPr>
        <w:spacing w:line="360" w:lineRule="auto"/>
        <w:ind w:firstLine="480" w:firstLineChars="200"/>
        <w:rPr>
          <w:color w:val="auto"/>
          <w:sz w:val="24"/>
          <w:lang w:val="zh-CN"/>
        </w:rPr>
      </w:pPr>
      <w:r>
        <w:rPr>
          <w:rFonts w:hint="eastAsia"/>
          <w:color w:val="auto"/>
          <w:sz w:val="24"/>
          <w:lang w:val="zh-CN"/>
        </w:rPr>
        <w:t>根据《全国生态状况调查评估技术规范》（</w:t>
      </w:r>
      <w:r>
        <w:rPr>
          <w:rFonts w:hint="eastAsia"/>
          <w:color w:val="auto"/>
          <w:sz w:val="24"/>
          <w:lang w:val="en-US" w:eastAsia="zh-CN"/>
        </w:rPr>
        <w:t>HJ1174-2021</w:t>
      </w:r>
      <w:r>
        <w:rPr>
          <w:rFonts w:hint="eastAsia"/>
          <w:color w:val="auto"/>
          <w:sz w:val="24"/>
          <w:lang w:val="zh-CN"/>
        </w:rPr>
        <w:t>）“</w:t>
      </w:r>
      <w:r>
        <w:rPr>
          <w:rFonts w:hint="eastAsia"/>
          <w:color w:val="auto"/>
          <w:sz w:val="24"/>
          <w:lang w:val="en-US" w:eastAsia="zh-CN"/>
        </w:rPr>
        <w:t>2.2生态系统类型在一定的空间内，生物与环境之间通过物质循环和能量流动而构成的统一整体，主要包括森林、灌丛、草地、湿地、农田、城镇、荒漠等生态系统类型</w:t>
      </w:r>
      <w:r>
        <w:rPr>
          <w:rFonts w:hint="eastAsia"/>
          <w:color w:val="auto"/>
          <w:sz w:val="24"/>
          <w:lang w:val="zh-CN"/>
        </w:rPr>
        <w:t>”，项目区的生态系统类型以农田为主；根据《全国生态功能区划（修编版）》（2015.11）、，项目区在生态功能区划方案中属于“Ⅱ产品提供功能区”中“Ⅱ-01-09西辽河上游丘陵平原农产品提供功能区”。</w:t>
      </w:r>
    </w:p>
    <w:p w14:paraId="211C885D">
      <w:pPr>
        <w:spacing w:line="360" w:lineRule="auto"/>
        <w:ind w:firstLine="480" w:firstLineChars="200"/>
        <w:rPr>
          <w:rFonts w:hint="eastAsia"/>
          <w:color w:val="auto"/>
          <w:sz w:val="24"/>
          <w:highlight w:val="none"/>
          <w:lang w:val="zh-CN"/>
        </w:rPr>
      </w:pPr>
      <w:r>
        <w:rPr>
          <w:rFonts w:hint="eastAsia"/>
          <w:color w:val="auto"/>
          <w:sz w:val="24"/>
          <w:highlight w:val="none"/>
          <w:lang w:val="zh-CN"/>
        </w:rPr>
        <w:t>项目位于全国生态功能区划方案位置及全国重要生态功能区分布图位置见下图。</w:t>
      </w:r>
    </w:p>
    <w:p w14:paraId="64859813">
      <w:pPr>
        <w:pStyle w:val="69"/>
        <w:rPr>
          <w:rFonts w:hint="eastAsia"/>
          <w:color w:val="auto"/>
          <w:sz w:val="24"/>
          <w:highlight w:val="green"/>
          <w:lang w:val="zh-CN"/>
        </w:rPr>
      </w:pPr>
      <w:r>
        <w:rPr>
          <w:color w:val="auto"/>
          <w:sz w:val="24"/>
        </w:rPr>
        <mc:AlternateContent>
          <mc:Choice Requires="wps">
            <w:drawing>
              <wp:anchor distT="0" distB="0" distL="114300" distR="114300" simplePos="0" relativeHeight="251748352" behindDoc="0" locked="0" layoutInCell="1" allowOverlap="1">
                <wp:simplePos x="0" y="0"/>
                <wp:positionH relativeFrom="column">
                  <wp:posOffset>3650615</wp:posOffset>
                </wp:positionH>
                <wp:positionV relativeFrom="paragraph">
                  <wp:posOffset>403860</wp:posOffset>
                </wp:positionV>
                <wp:extent cx="714375" cy="351790"/>
                <wp:effectExtent l="6350" t="6350" r="22225" b="365760"/>
                <wp:wrapNone/>
                <wp:docPr id="427" name="圆角矩形标注 427"/>
                <wp:cNvGraphicFramePr/>
                <a:graphic xmlns:a="http://schemas.openxmlformats.org/drawingml/2006/main">
                  <a:graphicData uri="http://schemas.microsoft.com/office/word/2010/wordprocessingShape">
                    <wps:wsp>
                      <wps:cNvSpPr/>
                      <wps:spPr>
                        <a:xfrm>
                          <a:off x="4982210" y="1755775"/>
                          <a:ext cx="714375" cy="351790"/>
                        </a:xfrm>
                        <a:prstGeom prst="wedgeRoundRectCallout">
                          <a:avLst>
                            <a:gd name="adj1" fmla="val -8844"/>
                            <a:gd name="adj2" fmla="val 151805"/>
                            <a:gd name="adj3" fmla="val 16667"/>
                          </a:avLst>
                        </a:prstGeom>
                        <a:solidFill>
                          <a:srgbClr val="FFFF00"/>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652AF37">
                            <w:pPr>
                              <w:jc w:val="center"/>
                              <w:rPr>
                                <w:rFonts w:hint="eastAsia" w:eastAsia="宋体"/>
                                <w:b/>
                                <w:bCs/>
                                <w:color w:val="FF0000"/>
                                <w:lang w:eastAsia="zh-CN"/>
                              </w:rPr>
                            </w:pPr>
                            <w:r>
                              <w:rPr>
                                <w:rFonts w:hint="eastAsia"/>
                                <w:b/>
                                <w:bCs/>
                                <w:color w:val="FF0000"/>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87.45pt;margin-top:31.8pt;height:27.7pt;width:56.25pt;z-index:251748352;v-text-anchor:middle;mso-width-relative:page;mso-height-relative:page;" fillcolor="#FFFF00" filled="t" stroked="t" coordsize="21600,21600" o:gfxdata="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HTw+&#10;qtkAAAAKAQAADwAAAAAAAAABACAAAAAiAAAAZHJzL2Rvd25yZXYueG1sUEsBAhQAFAAAAAgAh07i&#10;QIIHGrHMAgAAigUAAA4AAAAAAAAAAQAgAAAAKAEAAGRycy9lMm9Eb2MueG1sUEsFBgAAAAAGAAYA&#10;WQEAAGYGAAAAAA==&#10;" adj="8890,43590,14400">
                <v:fill on="t" focussize="0,0"/>
                <v:stroke weight="1pt" color="#000000 [3213]" joinstyle="round"/>
                <v:imagedata o:title=""/>
                <o:lock v:ext="edit" aspectratio="f"/>
                <v:textbox>
                  <w:txbxContent>
                    <w:p w14:paraId="4652AF37">
                      <w:pPr>
                        <w:jc w:val="center"/>
                        <w:rPr>
                          <w:rFonts w:hint="eastAsia" w:eastAsia="宋体"/>
                          <w:b/>
                          <w:bCs/>
                          <w:color w:val="FF0000"/>
                          <w:lang w:eastAsia="zh-CN"/>
                        </w:rPr>
                      </w:pPr>
                      <w:r>
                        <w:rPr>
                          <w:rFonts w:hint="eastAsia"/>
                          <w:b/>
                          <w:bCs/>
                          <w:color w:val="FF0000"/>
                          <w:lang w:eastAsia="zh-CN"/>
                        </w:rPr>
                        <w:t>本项目</w:t>
                      </w:r>
                    </w:p>
                  </w:txbxContent>
                </v:textbox>
              </v:shape>
            </w:pict>
          </mc:Fallback>
        </mc:AlternateContent>
      </w:r>
      <w:r>
        <w:rPr>
          <w:color w:val="auto"/>
        </w:rPr>
        <w:drawing>
          <wp:inline distT="0" distB="0" distL="114300" distR="114300">
            <wp:extent cx="5272405" cy="3327400"/>
            <wp:effectExtent l="0" t="0" r="4445" b="6350"/>
            <wp:docPr id="4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27"/>
                    <pic:cNvPicPr>
                      <a:picLocks noChangeAspect="1"/>
                    </pic:cNvPicPr>
                  </pic:nvPicPr>
                  <pic:blipFill>
                    <a:blip r:embed="rId35"/>
                    <a:stretch>
                      <a:fillRect/>
                    </a:stretch>
                  </pic:blipFill>
                  <pic:spPr>
                    <a:xfrm>
                      <a:off x="0" y="0"/>
                      <a:ext cx="5272405" cy="3327400"/>
                    </a:xfrm>
                    <a:prstGeom prst="rect">
                      <a:avLst/>
                    </a:prstGeom>
                    <a:noFill/>
                    <a:ln>
                      <a:noFill/>
                    </a:ln>
                  </pic:spPr>
                </pic:pic>
              </a:graphicData>
            </a:graphic>
          </wp:inline>
        </w:drawing>
      </w:r>
    </w:p>
    <w:p w14:paraId="1E89971D">
      <w:pPr>
        <w:spacing w:line="360" w:lineRule="auto"/>
        <w:jc w:val="center"/>
        <w:rPr>
          <w:rFonts w:hint="default" w:eastAsia="宋体"/>
          <w:b/>
          <w:bCs/>
          <w:color w:val="auto"/>
          <w:sz w:val="24"/>
          <w:highlight w:val="none"/>
          <w:lang w:val="en-US" w:eastAsia="zh-CN"/>
        </w:rPr>
      </w:pPr>
      <w:r>
        <w:rPr>
          <w:rFonts w:hint="eastAsia"/>
          <w:b/>
          <w:bCs/>
          <w:color w:val="auto"/>
          <w:sz w:val="24"/>
          <w:highlight w:val="none"/>
          <w:lang w:val="zh-CN"/>
        </w:rPr>
        <w:t>图</w:t>
      </w:r>
      <w:r>
        <w:rPr>
          <w:rFonts w:hint="eastAsia"/>
          <w:b/>
          <w:bCs/>
          <w:color w:val="auto"/>
          <w:sz w:val="24"/>
          <w:highlight w:val="none"/>
          <w:lang w:val="en-US" w:eastAsia="zh-CN"/>
        </w:rPr>
        <w:t>4.3-2  项目位于全国生态功能区位置图</w:t>
      </w:r>
    </w:p>
    <w:p w14:paraId="7BEECCFD">
      <w:pPr>
        <w:pStyle w:val="69"/>
        <w:rPr>
          <w:rFonts w:hint="eastAsia"/>
          <w:color w:val="auto"/>
          <w:sz w:val="24"/>
          <w:highlight w:val="none"/>
          <w:lang w:val="zh-CN"/>
        </w:rPr>
      </w:pPr>
      <w:r>
        <w:rPr>
          <w:color w:val="auto"/>
          <w:sz w:val="24"/>
          <w:highlight w:val="none"/>
        </w:rPr>
        <mc:AlternateContent>
          <mc:Choice Requires="wps">
            <w:drawing>
              <wp:anchor distT="0" distB="0" distL="114300" distR="114300" simplePos="0" relativeHeight="251749376" behindDoc="0" locked="0" layoutInCell="1" allowOverlap="1">
                <wp:simplePos x="0" y="0"/>
                <wp:positionH relativeFrom="column">
                  <wp:posOffset>3641090</wp:posOffset>
                </wp:positionH>
                <wp:positionV relativeFrom="paragraph">
                  <wp:posOffset>410210</wp:posOffset>
                </wp:positionV>
                <wp:extent cx="714375" cy="351790"/>
                <wp:effectExtent l="6350" t="6350" r="22225" b="365760"/>
                <wp:wrapNone/>
                <wp:docPr id="428" name="圆角矩形标注 428"/>
                <wp:cNvGraphicFramePr/>
                <a:graphic xmlns:a="http://schemas.openxmlformats.org/drawingml/2006/main">
                  <a:graphicData uri="http://schemas.microsoft.com/office/word/2010/wordprocessingShape">
                    <wps:wsp>
                      <wps:cNvSpPr/>
                      <wps:spPr>
                        <a:xfrm>
                          <a:off x="0" y="0"/>
                          <a:ext cx="714375" cy="351790"/>
                        </a:xfrm>
                        <a:prstGeom prst="wedgeRoundRectCallout">
                          <a:avLst>
                            <a:gd name="adj1" fmla="val -8844"/>
                            <a:gd name="adj2" fmla="val 151805"/>
                            <a:gd name="adj3" fmla="val 16667"/>
                          </a:avLst>
                        </a:prstGeom>
                        <a:solidFill>
                          <a:srgbClr val="FFFF00"/>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E8FC0E5">
                            <w:pPr>
                              <w:jc w:val="center"/>
                              <w:rPr>
                                <w:rFonts w:hint="eastAsia" w:eastAsia="宋体"/>
                                <w:b/>
                                <w:bCs/>
                                <w:color w:val="FF0000"/>
                                <w:lang w:eastAsia="zh-CN"/>
                              </w:rPr>
                            </w:pPr>
                            <w:r>
                              <w:rPr>
                                <w:rFonts w:hint="eastAsia"/>
                                <w:b/>
                                <w:bCs/>
                                <w:color w:val="FF0000"/>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86.7pt;margin-top:32.3pt;height:27.7pt;width:56.25pt;z-index:251749376;v-text-anchor:middle;mso-width-relative:page;mso-height-relative:page;" fillcolor="#FFFF00" filled="t" stroked="t" coordsize="21600,21600" o:gfxdata="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BP67AL1wAAAAoBAAAPAAAAAAAA&#10;AAEAIAAAACIAAABkcnMvZG93bnJldi54bWxQSwECFAAUAAAACACHTuJAJsjxfb4CAAB+BQAADgAA&#10;AAAAAAABACAAAAAmAQAAZHJzL2Uyb0RvYy54bWxQSwUGAAAAAAYABgBZAQAAVgYAAAAA&#10;" adj="8890,43590,14400">
                <v:fill on="t" focussize="0,0"/>
                <v:stroke weight="1pt" color="#000000 [3213]" joinstyle="round"/>
                <v:imagedata o:title=""/>
                <o:lock v:ext="edit" aspectratio="f"/>
                <v:textbox>
                  <w:txbxContent>
                    <w:p w14:paraId="6E8FC0E5">
                      <w:pPr>
                        <w:jc w:val="center"/>
                        <w:rPr>
                          <w:rFonts w:hint="eastAsia" w:eastAsia="宋体"/>
                          <w:b/>
                          <w:bCs/>
                          <w:color w:val="FF0000"/>
                          <w:lang w:eastAsia="zh-CN"/>
                        </w:rPr>
                      </w:pPr>
                      <w:r>
                        <w:rPr>
                          <w:rFonts w:hint="eastAsia"/>
                          <w:b/>
                          <w:bCs/>
                          <w:color w:val="FF0000"/>
                          <w:lang w:eastAsia="zh-CN"/>
                        </w:rPr>
                        <w:t>本项目</w:t>
                      </w:r>
                    </w:p>
                  </w:txbxContent>
                </v:textbox>
              </v:shape>
            </w:pict>
          </mc:Fallback>
        </mc:AlternateContent>
      </w:r>
      <w:r>
        <w:rPr>
          <w:color w:val="auto"/>
          <w:highlight w:val="none"/>
        </w:rPr>
        <w:drawing>
          <wp:inline distT="0" distB="0" distL="114300" distR="114300">
            <wp:extent cx="5272405" cy="3333115"/>
            <wp:effectExtent l="0" t="0" r="4445" b="635"/>
            <wp:docPr id="42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28"/>
                    <pic:cNvPicPr>
                      <a:picLocks noChangeAspect="1"/>
                    </pic:cNvPicPr>
                  </pic:nvPicPr>
                  <pic:blipFill>
                    <a:blip r:embed="rId36"/>
                    <a:stretch>
                      <a:fillRect/>
                    </a:stretch>
                  </pic:blipFill>
                  <pic:spPr>
                    <a:xfrm>
                      <a:off x="0" y="0"/>
                      <a:ext cx="5272405" cy="3333115"/>
                    </a:xfrm>
                    <a:prstGeom prst="rect">
                      <a:avLst/>
                    </a:prstGeom>
                    <a:noFill/>
                    <a:ln>
                      <a:noFill/>
                    </a:ln>
                  </pic:spPr>
                </pic:pic>
              </a:graphicData>
            </a:graphic>
          </wp:inline>
        </w:drawing>
      </w:r>
    </w:p>
    <w:p w14:paraId="3B3B993E">
      <w:pPr>
        <w:pStyle w:val="69"/>
        <w:spacing w:line="36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zh-CN"/>
        </w:rPr>
        <w:t>图</w:t>
      </w:r>
      <w:r>
        <w:rPr>
          <w:rFonts w:hint="default" w:ascii="Times New Roman" w:hAnsi="Times New Roman" w:eastAsia="宋体" w:cs="Times New Roman"/>
          <w:b/>
          <w:bCs/>
          <w:color w:val="auto"/>
          <w:highlight w:val="none"/>
          <w:lang w:val="en-US" w:eastAsia="zh-CN"/>
        </w:rPr>
        <w:t>4.3-3  项目位于重要生态功能区位置图</w:t>
      </w:r>
    </w:p>
    <w:p w14:paraId="3874B14A">
      <w:pPr>
        <w:pStyle w:val="4"/>
        <w:numPr>
          <w:ilvl w:val="2"/>
          <w:numId w:val="0"/>
        </w:numPr>
        <w:bidi w:val="0"/>
        <w:ind w:leftChars="0" w:right="0" w:rightChars="0"/>
        <w:rPr>
          <w:rFonts w:hint="eastAsia" w:ascii="Times New Roman" w:hAnsi="Times New Roman" w:eastAsia="宋体" w:cs="Times New Roman"/>
          <w:b/>
          <w:bCs/>
          <w:color w:val="auto"/>
          <w:lang w:val="en-US" w:eastAsia="zh-CN"/>
        </w:rPr>
      </w:pPr>
      <w:bookmarkStart w:id="255" w:name="_Toc11196"/>
      <w:r>
        <w:rPr>
          <w:rFonts w:hint="eastAsia" w:ascii="Times New Roman" w:hAnsi="Times New Roman" w:eastAsia="宋体" w:cs="Times New Roman"/>
          <w:b/>
          <w:bCs/>
          <w:color w:val="auto"/>
          <w:lang w:val="en-US" w:eastAsia="zh-CN"/>
        </w:rPr>
        <w:t>4.3.7生态环境敏感性评价</w:t>
      </w:r>
      <w:bookmarkEnd w:id="255"/>
    </w:p>
    <w:p w14:paraId="1A72A5F3">
      <w:pPr>
        <w:spacing w:line="360" w:lineRule="auto"/>
        <w:ind w:firstLine="480" w:firstLineChars="200"/>
        <w:rPr>
          <w:rFonts w:ascii="宋体" w:hAnsi="宋体" w:cs="宋体"/>
          <w:color w:val="auto"/>
          <w:sz w:val="24"/>
        </w:rPr>
      </w:pPr>
      <w:r>
        <w:rPr>
          <w:rFonts w:ascii="宋体" w:hAnsi="宋体" w:cs="宋体"/>
          <w:color w:val="auto"/>
          <w:sz w:val="24"/>
        </w:rPr>
        <w:t>本项目位于农产品提供功能区中，农产品提供功能区主要是指以提供粮食、肉类、蛋、奶、水产品和棉、油等农产品为主的长期从事农业生产的地区，包括全国商品粮基地和集中联片的农业用地，以及畜产品和水产品提供的区域。</w:t>
      </w:r>
    </w:p>
    <w:p w14:paraId="013EABAA">
      <w:pPr>
        <w:spacing w:line="360" w:lineRule="auto"/>
        <w:ind w:firstLine="480" w:firstLineChars="200"/>
        <w:rPr>
          <w:rFonts w:ascii="宋体" w:hAnsi="宋体" w:cs="宋体"/>
          <w:color w:val="auto"/>
          <w:sz w:val="24"/>
        </w:rPr>
      </w:pPr>
      <w:r>
        <w:rPr>
          <w:rFonts w:ascii="宋体" w:hAnsi="宋体" w:cs="宋体"/>
          <w:color w:val="auto"/>
          <w:sz w:val="24"/>
        </w:rPr>
        <w:t>该类型区的主要生态问题：</w:t>
      </w:r>
    </w:p>
    <w:p w14:paraId="68266BDD">
      <w:pPr>
        <w:spacing w:line="360" w:lineRule="auto"/>
        <w:ind w:firstLine="480" w:firstLineChars="200"/>
        <w:rPr>
          <w:rFonts w:ascii="宋体" w:hAnsi="宋体" w:cs="宋体"/>
          <w:color w:val="auto"/>
          <w:sz w:val="24"/>
        </w:rPr>
      </w:pPr>
      <w:r>
        <w:rPr>
          <w:rFonts w:ascii="宋体" w:hAnsi="宋体" w:cs="宋体"/>
          <w:color w:val="auto"/>
          <w:sz w:val="24"/>
        </w:rPr>
        <w:t>农田侵占、土壤肥力下降、农业面源污染严重；在草地畜牧业区，过度放牧，草地退化沙化，抵御灾害能力低。</w:t>
      </w:r>
    </w:p>
    <w:p w14:paraId="3F8295B2">
      <w:pPr>
        <w:spacing w:line="360" w:lineRule="auto"/>
        <w:ind w:firstLine="480" w:firstLineChars="200"/>
        <w:rPr>
          <w:rFonts w:ascii="宋体" w:hAnsi="宋体" w:cs="宋体"/>
          <w:color w:val="auto"/>
          <w:sz w:val="24"/>
        </w:rPr>
      </w:pPr>
      <w:r>
        <w:rPr>
          <w:rFonts w:ascii="宋体" w:hAnsi="宋体" w:cs="宋体"/>
          <w:color w:val="auto"/>
          <w:sz w:val="24"/>
        </w:rPr>
        <w:t>该类型区生态保护的主要方向：</w:t>
      </w:r>
    </w:p>
    <w:p w14:paraId="619CECDB">
      <w:pPr>
        <w:numPr>
          <w:ilvl w:val="0"/>
          <w:numId w:val="6"/>
        </w:numPr>
        <w:spacing w:line="360" w:lineRule="auto"/>
        <w:ind w:firstLine="480" w:firstLineChars="200"/>
        <w:rPr>
          <w:rFonts w:ascii="宋体" w:hAnsi="宋体" w:cs="宋体"/>
          <w:color w:val="auto"/>
          <w:sz w:val="24"/>
        </w:rPr>
      </w:pPr>
      <w:r>
        <w:rPr>
          <w:rFonts w:ascii="宋体" w:hAnsi="宋体" w:cs="宋体"/>
          <w:color w:val="auto"/>
          <w:sz w:val="24"/>
        </w:rPr>
        <w:t>严格保护基本农田，培养土壤肥力。</w:t>
      </w:r>
    </w:p>
    <w:p w14:paraId="2622C11E">
      <w:pPr>
        <w:numPr>
          <w:ilvl w:val="0"/>
          <w:numId w:val="6"/>
        </w:numPr>
        <w:spacing w:line="360" w:lineRule="auto"/>
        <w:ind w:firstLine="480" w:firstLineChars="200"/>
        <w:rPr>
          <w:color w:val="auto"/>
          <w:sz w:val="24"/>
          <w:lang w:val="zh-CN"/>
        </w:rPr>
      </w:pPr>
      <w:r>
        <w:rPr>
          <w:rFonts w:ascii="宋体" w:hAnsi="宋体" w:cs="宋体"/>
          <w:color w:val="auto"/>
          <w:sz w:val="24"/>
        </w:rPr>
        <w:t>加强农田基本建设，增强抗自然灾害的能力。</w:t>
      </w:r>
    </w:p>
    <w:p w14:paraId="4B50114C">
      <w:pPr>
        <w:numPr>
          <w:ilvl w:val="0"/>
          <w:numId w:val="6"/>
        </w:numPr>
        <w:spacing w:line="360" w:lineRule="auto"/>
        <w:ind w:firstLine="480" w:firstLineChars="200"/>
        <w:rPr>
          <w:color w:val="auto"/>
          <w:sz w:val="24"/>
          <w:lang w:val="zh-CN"/>
        </w:rPr>
      </w:pPr>
      <w:r>
        <w:rPr>
          <w:rFonts w:ascii="宋体" w:hAnsi="宋体" w:cs="宋体"/>
          <w:color w:val="auto"/>
          <w:sz w:val="24"/>
        </w:rPr>
        <w:t>加强水利建设，大力发展节水农业；种养结合，科学施肥。</w:t>
      </w:r>
    </w:p>
    <w:p w14:paraId="6419EC2C">
      <w:pPr>
        <w:numPr>
          <w:ilvl w:val="0"/>
          <w:numId w:val="6"/>
        </w:numPr>
        <w:spacing w:line="360" w:lineRule="auto"/>
        <w:ind w:firstLine="480" w:firstLineChars="200"/>
        <w:rPr>
          <w:color w:val="auto"/>
          <w:sz w:val="24"/>
          <w:lang w:val="zh-CN"/>
        </w:rPr>
      </w:pPr>
      <w:r>
        <w:rPr>
          <w:rFonts w:ascii="宋体" w:hAnsi="宋体" w:cs="宋体"/>
          <w:color w:val="auto"/>
          <w:sz w:val="24"/>
        </w:rPr>
        <w:t>发展无公害农产品、绿色食品和有机食品；调整农业产业和农村经济结构，合理组织农业生产和农村经济活动。</w:t>
      </w:r>
    </w:p>
    <w:p w14:paraId="21A58F26">
      <w:pPr>
        <w:numPr>
          <w:ilvl w:val="0"/>
          <w:numId w:val="6"/>
        </w:numPr>
        <w:spacing w:line="360" w:lineRule="auto"/>
        <w:ind w:firstLine="480" w:firstLineChars="200"/>
        <w:rPr>
          <w:color w:val="auto"/>
          <w:sz w:val="24"/>
          <w:lang w:val="zh-CN"/>
        </w:rPr>
      </w:pPr>
      <w:r>
        <w:rPr>
          <w:rFonts w:ascii="宋体" w:hAnsi="宋体" w:cs="宋体"/>
          <w:color w:val="auto"/>
          <w:sz w:val="24"/>
        </w:rPr>
        <w:t>在草地畜牧业区，要科学确定草场载畜量，实行季节畜牧业，实现草畜平衡；草地封育改良相结合，实施大范围轮封轮牧制度。</w:t>
      </w:r>
    </w:p>
    <w:p w14:paraId="46385366">
      <w:pPr>
        <w:pStyle w:val="4"/>
        <w:numPr>
          <w:ilvl w:val="2"/>
          <w:numId w:val="0"/>
        </w:numPr>
        <w:bidi w:val="0"/>
        <w:ind w:leftChars="0" w:right="0" w:rightChars="0"/>
        <w:rPr>
          <w:rFonts w:hint="eastAsia" w:ascii="Times New Roman" w:hAnsi="Times New Roman" w:eastAsia="宋体" w:cs="Times New Roman"/>
          <w:b/>
          <w:bCs/>
          <w:color w:val="auto"/>
          <w:lang w:val="en-US" w:eastAsia="zh-CN"/>
        </w:rPr>
      </w:pPr>
      <w:bookmarkStart w:id="256" w:name="_Toc18410"/>
      <w:r>
        <w:rPr>
          <w:rFonts w:hint="eastAsia" w:ascii="Times New Roman" w:hAnsi="Times New Roman" w:eastAsia="宋体" w:cs="Times New Roman"/>
          <w:b/>
          <w:bCs/>
          <w:color w:val="auto"/>
          <w:lang w:val="en-US" w:eastAsia="zh-CN"/>
        </w:rPr>
        <w:t>4.3.8生态环境调查结论</w:t>
      </w:r>
      <w:bookmarkEnd w:id="256"/>
    </w:p>
    <w:p w14:paraId="430B5937">
      <w:pPr>
        <w:spacing w:line="360" w:lineRule="auto"/>
        <w:ind w:firstLine="480" w:firstLineChars="200"/>
        <w:rPr>
          <w:color w:val="auto"/>
          <w:sz w:val="24"/>
          <w:highlight w:val="none"/>
        </w:rPr>
      </w:pPr>
      <w:r>
        <w:rPr>
          <w:color w:val="auto"/>
          <w:sz w:val="24"/>
        </w:rPr>
        <w:t>根据</w:t>
      </w:r>
      <w:r>
        <w:rPr>
          <w:rFonts w:hint="eastAsia"/>
          <w:color w:val="auto"/>
          <w:sz w:val="24"/>
        </w:rPr>
        <w:t>土地勘测定界图</w:t>
      </w:r>
      <w:r>
        <w:rPr>
          <w:color w:val="auto"/>
          <w:sz w:val="24"/>
        </w:rPr>
        <w:t>，项目占用的地块坐落在</w:t>
      </w:r>
      <w:r>
        <w:rPr>
          <w:rFonts w:hint="eastAsia"/>
          <w:color w:val="auto"/>
          <w:sz w:val="24"/>
          <w:lang w:eastAsia="zh-CN"/>
        </w:rPr>
        <w:t>辽宁省朝阳市北票市西官镇大巴里村</w:t>
      </w:r>
      <w:r>
        <w:rPr>
          <w:color w:val="auto"/>
          <w:sz w:val="24"/>
        </w:rPr>
        <w:t>，</w:t>
      </w:r>
      <w:r>
        <w:rPr>
          <w:rFonts w:hint="eastAsia"/>
          <w:color w:val="auto"/>
          <w:sz w:val="24"/>
        </w:rPr>
        <w:t>占</w:t>
      </w:r>
      <w:r>
        <w:rPr>
          <w:rFonts w:hint="eastAsia"/>
          <w:color w:val="auto"/>
          <w:sz w:val="24"/>
          <w:highlight w:val="none"/>
        </w:rPr>
        <w:t>地为农业设施用地</w:t>
      </w:r>
      <w:r>
        <w:rPr>
          <w:rFonts w:hint="eastAsia"/>
          <w:color w:val="auto"/>
          <w:sz w:val="24"/>
          <w:highlight w:val="none"/>
          <w:lang w:eastAsia="zh-CN"/>
        </w:rPr>
        <w:t>（用地手续正在办理中），现状为耕地（不属于基本农田）</w:t>
      </w:r>
      <w:r>
        <w:rPr>
          <w:color w:val="auto"/>
          <w:sz w:val="24"/>
          <w:highlight w:val="none"/>
        </w:rPr>
        <w:t>，</w:t>
      </w:r>
      <w:r>
        <w:rPr>
          <w:color w:val="auto"/>
          <w:sz w:val="24"/>
        </w:rPr>
        <w:t>占地范围内不</w:t>
      </w:r>
      <w:r>
        <w:rPr>
          <w:rFonts w:hint="eastAsia"/>
          <w:color w:val="auto"/>
          <w:sz w:val="24"/>
          <w:lang w:eastAsia="zh-CN"/>
        </w:rPr>
        <w:t>存</w:t>
      </w:r>
      <w:r>
        <w:rPr>
          <w:color w:val="auto"/>
          <w:sz w:val="24"/>
        </w:rPr>
        <w:t>在土地整治规划区和增减挂钩项目区内。根据植被分布图可知项目占地范围内</w:t>
      </w:r>
      <w:r>
        <w:rPr>
          <w:rFonts w:hint="eastAsia"/>
          <w:color w:val="auto"/>
          <w:sz w:val="24"/>
          <w:lang w:eastAsia="zh-CN"/>
        </w:rPr>
        <w:t>现存</w:t>
      </w:r>
      <w:r>
        <w:rPr>
          <w:color w:val="auto"/>
          <w:sz w:val="24"/>
        </w:rPr>
        <w:t>植被为</w:t>
      </w:r>
      <w:r>
        <w:rPr>
          <w:rFonts w:hint="eastAsia"/>
          <w:color w:val="auto"/>
          <w:sz w:val="24"/>
          <w:lang w:eastAsia="zh-CN"/>
        </w:rPr>
        <w:t>农作物</w:t>
      </w:r>
      <w:r>
        <w:rPr>
          <w:color w:val="auto"/>
          <w:sz w:val="24"/>
        </w:rPr>
        <w:t>。</w:t>
      </w:r>
      <w:r>
        <w:rPr>
          <w:rFonts w:hint="eastAsia"/>
          <w:color w:val="auto"/>
          <w:sz w:val="24"/>
          <w:lang w:eastAsia="zh-CN"/>
        </w:rPr>
        <w:t>项目评价范围内无重要物种、生态敏感区及其他需要保护的物种、种群、生物群落及生态空间等生态保护目标，</w:t>
      </w:r>
      <w:r>
        <w:rPr>
          <w:rFonts w:hint="eastAsia"/>
          <w:color w:val="auto"/>
          <w:sz w:val="24"/>
          <w:highlight w:val="none"/>
        </w:rPr>
        <w:t>项目占地范围内及评价范围内</w:t>
      </w:r>
      <w:r>
        <w:rPr>
          <w:color w:val="auto"/>
          <w:sz w:val="24"/>
          <w:highlight w:val="none"/>
        </w:rPr>
        <w:t>土</w:t>
      </w:r>
      <w:r>
        <w:rPr>
          <w:rFonts w:hint="eastAsia"/>
          <w:color w:val="auto"/>
          <w:sz w:val="24"/>
          <w:highlight w:val="none"/>
        </w:rPr>
        <w:t>地利用现状图、</w:t>
      </w:r>
      <w:r>
        <w:rPr>
          <w:color w:val="auto"/>
          <w:sz w:val="24"/>
          <w:highlight w:val="none"/>
        </w:rPr>
        <w:t>植被分布图</w:t>
      </w:r>
      <w:r>
        <w:rPr>
          <w:rFonts w:hint="eastAsia"/>
          <w:color w:val="auto"/>
          <w:sz w:val="24"/>
          <w:highlight w:val="none"/>
          <w:lang w:eastAsia="zh-CN"/>
        </w:rPr>
        <w:t>见下图</w:t>
      </w:r>
      <w:r>
        <w:rPr>
          <w:color w:val="auto"/>
          <w:sz w:val="24"/>
          <w:highlight w:val="none"/>
        </w:rPr>
        <w:t>。</w:t>
      </w:r>
    </w:p>
    <w:p w14:paraId="3BA0D3B4">
      <w:pPr>
        <w:pStyle w:val="45"/>
        <w:rPr>
          <w:color w:val="auto"/>
          <w:sz w:val="24"/>
          <w:highlight w:val="green"/>
        </w:rPr>
      </w:pPr>
    </w:p>
    <w:p w14:paraId="6068369F">
      <w:pPr>
        <w:pStyle w:val="45"/>
        <w:rPr>
          <w:color w:val="auto"/>
          <w:sz w:val="24"/>
          <w:highlight w:val="green"/>
        </w:rPr>
        <w:sectPr>
          <w:headerReference r:id="rId8" w:type="default"/>
          <w:footerReference r:id="rId9" w:type="default"/>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44A621E6">
      <w:pPr>
        <w:pStyle w:val="45"/>
        <w:rPr>
          <w:color w:val="auto"/>
          <w:sz w:val="24"/>
          <w:highlight w:val="gree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rPr>
        <mc:AlternateContent>
          <mc:Choice Requires="wpg">
            <w:drawing>
              <wp:anchor distT="0" distB="0" distL="114300" distR="114300" simplePos="0" relativeHeight="251747328" behindDoc="0" locked="0" layoutInCell="1" allowOverlap="1">
                <wp:simplePos x="0" y="0"/>
                <wp:positionH relativeFrom="column">
                  <wp:posOffset>541655</wp:posOffset>
                </wp:positionH>
                <wp:positionV relativeFrom="paragraph">
                  <wp:posOffset>3930650</wp:posOffset>
                </wp:positionV>
                <wp:extent cx="1351280" cy="1609090"/>
                <wp:effectExtent l="4445" t="4445" r="15875" b="5715"/>
                <wp:wrapNone/>
                <wp:docPr id="501" name="组合 501"/>
                <wp:cNvGraphicFramePr/>
                <a:graphic xmlns:a="http://schemas.openxmlformats.org/drawingml/2006/main">
                  <a:graphicData uri="http://schemas.microsoft.com/office/word/2010/wordprocessingGroup">
                    <wpg:wgp>
                      <wpg:cNvGrpSpPr/>
                      <wpg:grpSpPr>
                        <a:xfrm>
                          <a:off x="0" y="0"/>
                          <a:ext cx="1351280" cy="1609090"/>
                          <a:chOff x="7801" y="1191734"/>
                          <a:chExt cx="2128" cy="2534"/>
                        </a:xfrm>
                      </wpg:grpSpPr>
                      <wps:wsp>
                        <wps:cNvPr id="399" name="文本框 399"/>
                        <wps:cNvSpPr txBox="1"/>
                        <wps:spPr>
                          <a:xfrm>
                            <a:off x="7801" y="1191734"/>
                            <a:ext cx="2128" cy="253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C189247">
                              <w:pPr>
                                <w:spacing w:line="360" w:lineRule="auto"/>
                                <w:rPr>
                                  <w:rFonts w:hint="eastAsia"/>
                                  <w:lang w:eastAsia="zh-CN"/>
                                </w:rPr>
                              </w:pPr>
                              <w:r>
                                <w:rPr>
                                  <w:rFonts w:hint="eastAsia"/>
                                  <w:lang w:eastAsia="zh-CN"/>
                                </w:rPr>
                                <w:t>图例</w:t>
                              </w:r>
                            </w:p>
                            <w:p w14:paraId="20AD4E1C">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旱地</w:t>
                              </w:r>
                            </w:p>
                            <w:p w14:paraId="52174299">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有林地</w:t>
                              </w:r>
                            </w:p>
                            <w:p w14:paraId="27631004">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大棚</w:t>
                              </w:r>
                            </w:p>
                            <w:p w14:paraId="0AFB068E">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人工林地</w:t>
                              </w:r>
                            </w:p>
                            <w:p w14:paraId="1377372F">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村庄</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05" name="矩形 405"/>
                        <wps:cNvSpPr/>
                        <wps:spPr>
                          <a:xfrm>
                            <a:off x="8040" y="1192258"/>
                            <a:ext cx="390" cy="240"/>
                          </a:xfrm>
                          <a:prstGeom prst="rect">
                            <a:avLst/>
                          </a:prstGeom>
                          <a:solidFill>
                            <a:srgbClr val="D29E00">
                              <a:alpha val="25000"/>
                            </a:srgbClr>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06" name="矩形 406"/>
                        <wps:cNvSpPr/>
                        <wps:spPr>
                          <a:xfrm>
                            <a:off x="8040" y="1192648"/>
                            <a:ext cx="390" cy="240"/>
                          </a:xfrm>
                          <a:prstGeom prst="rect">
                            <a:avLst/>
                          </a:prstGeom>
                          <a:solidFill>
                            <a:srgbClr val="21F330">
                              <a:alpha val="50000"/>
                            </a:srgbClr>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14" name="矩形 414"/>
                        <wps:cNvSpPr/>
                        <wps:spPr>
                          <a:xfrm>
                            <a:off x="8040" y="1193458"/>
                            <a:ext cx="390" cy="240"/>
                          </a:xfrm>
                          <a:prstGeom prst="rect">
                            <a:avLst/>
                          </a:prstGeom>
                          <a:solidFill>
                            <a:srgbClr val="07E9F7">
                              <a:alpha val="50000"/>
                            </a:srgbClr>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07" name="矩形 407"/>
                        <wps:cNvSpPr/>
                        <wps:spPr>
                          <a:xfrm>
                            <a:off x="8040" y="1193068"/>
                            <a:ext cx="390" cy="240"/>
                          </a:xfrm>
                          <a:prstGeom prst="rect">
                            <a:avLst/>
                          </a:prstGeom>
                          <a:solidFill>
                            <a:srgbClr val="0B06F8">
                              <a:alpha val="50000"/>
                            </a:srgbClr>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59" name="矩形 459"/>
                        <wps:cNvSpPr/>
                        <wps:spPr>
                          <a:xfrm>
                            <a:off x="8040" y="1193893"/>
                            <a:ext cx="390" cy="240"/>
                          </a:xfrm>
                          <a:prstGeom prst="rect">
                            <a:avLst/>
                          </a:prstGeom>
                          <a:solidFill>
                            <a:srgbClr val="F608F3">
                              <a:alpha val="50000"/>
                            </a:srgbClr>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42.65pt;margin-top:309.5pt;height:126.7pt;width:106.4pt;z-index:251747328;mso-width-relative:page;mso-height-relative:page;" coordorigin="7801,1191734" coordsize="2128,2534" o:gfxdata="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">
                <o:lock v:ext="edit" aspectratio="f"/>
                <v:shape id="_x0000_s1026" o:spid="_x0000_s1026" o:spt="202" type="#_x0000_t202" style="position:absolute;left:7801;top:1191734;height:2534;width:2128;" fillcolor="#C7EDCC [3201]" filled="t" stroked="t" coordsize="21600,21600" o:gfxdata="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gZ2uO/&#10;AAAA3AAAAA8AAAAAAAAAAQAgAAAAIgAAAGRycy9kb3ducmV2LnhtbFBLAQIUABQAAAAIAIdO4kAz&#10;LwWeOwAAADkAAAAQAAAAAAAAAAEAIAAAAA4BAABkcnMvc2hhcGV4bWwueG1sUEsFBgAAAAAGAAYA&#10;WwEAALgDAAAAAA==&#10;">
                  <v:fill on="t" focussize="0,0"/>
                  <v:stroke weight="0.5pt" color="#000000 [3204]" joinstyle="round"/>
                  <v:imagedata o:title=""/>
                  <o:lock v:ext="edit" aspectratio="f"/>
                  <v:textbox>
                    <w:txbxContent>
                      <w:p w14:paraId="4C189247">
                        <w:pPr>
                          <w:spacing w:line="360" w:lineRule="auto"/>
                          <w:rPr>
                            <w:rFonts w:hint="eastAsia"/>
                            <w:lang w:eastAsia="zh-CN"/>
                          </w:rPr>
                        </w:pPr>
                        <w:r>
                          <w:rPr>
                            <w:rFonts w:hint="eastAsia"/>
                            <w:lang w:eastAsia="zh-CN"/>
                          </w:rPr>
                          <w:t>图例</w:t>
                        </w:r>
                      </w:p>
                      <w:p w14:paraId="20AD4E1C">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旱地</w:t>
                        </w:r>
                      </w:p>
                      <w:p w14:paraId="52174299">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有林地</w:t>
                        </w:r>
                      </w:p>
                      <w:p w14:paraId="27631004">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大棚</w:t>
                        </w:r>
                      </w:p>
                      <w:p w14:paraId="0AFB068E">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人工林地</w:t>
                        </w:r>
                      </w:p>
                      <w:p w14:paraId="1377372F">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村庄</w:t>
                        </w:r>
                      </w:p>
                    </w:txbxContent>
                  </v:textbox>
                </v:shape>
                <v:rect id="_x0000_s1026" o:spid="_x0000_s1026" o:spt="1" style="position:absolute;left:8040;top:1192258;height:240;width:390;v-text-anchor:middle;" fillcolor="#D29E00" filled="t" stroked="t" coordsize="21600,21600" o:gfxdata="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rkyoW8AAAA&#10;3AAAAA8AAAAAAAAAAQAgAAAAIgAAAGRycy9kb3ducmV2LnhtbFBLAQIUABQAAAAIAIdO4kAzLwWe&#10;OwAAADkAAAAQAAAAAAAAAAEAIAAAAAsBAABkcnMvc2hhcGV4bWwueG1sUEsFBgAAAAAGAAYAWwEA&#10;ALUDAAAAAA==&#10;">
                  <v:fill on="t" opacity="16384f" focussize="0,0"/>
                  <v:stroke weight="1pt" color="#FF0000 [2404]" joinstyle="round"/>
                  <v:imagedata o:title=""/>
                  <o:lock v:ext="edit" aspectratio="f"/>
                </v:rect>
                <v:rect id="_x0000_s1026" o:spid="_x0000_s1026" o:spt="1" style="position:absolute;left:8040;top:1192648;height:240;width:390;v-text-anchor:middle;" fillcolor="#21F330" filled="t" stroked="t" coordsize="21600,21600" o:gfxdata="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wuyZq/&#10;AAAA3AAAAA8AAAAAAAAAAQAgAAAAIgAAAGRycy9kb3ducmV2LnhtbFBLAQIUABQAAAAIAIdO4kAz&#10;LwWeOwAAADkAAAAQAAAAAAAAAAEAIAAAAA4BAABkcnMvc2hhcGV4bWwueG1sUEsFBgAAAAAGAAYA&#10;WwEAALgDAAAAAA==&#10;">
                  <v:fill on="t" opacity="32768f" focussize="0,0"/>
                  <v:stroke weight="1pt" color="#FF0000 [2404]" joinstyle="round"/>
                  <v:imagedata o:title=""/>
                  <o:lock v:ext="edit" aspectratio="f"/>
                </v:rect>
                <v:rect id="_x0000_s1026" o:spid="_x0000_s1026" o:spt="1" style="position:absolute;left:8040;top:1193458;height:240;width:390;v-text-anchor:middle;" fillcolor="#07E9F7" filled="t" stroked="t" coordsize="21600,21600" o:gfxdata="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LDvarsAAADc&#10;AAAADwAAAAAAAAABACAAAAAiAAAAZHJzL2Rvd25yZXYueG1sUEsBAhQAFAAAAAgAh07iQDMvBZ47&#10;AAAAOQAAABAAAAAAAAAAAQAgAAAACgEAAGRycy9zaGFwZXhtbC54bWxQSwUGAAAAAAYABgBbAQAA&#10;tAMAAAAA&#10;">
                  <v:fill on="t" opacity="32768f" focussize="0,0"/>
                  <v:stroke weight="1pt" color="#FF0000 [2404]" joinstyle="round"/>
                  <v:imagedata o:title=""/>
                  <o:lock v:ext="edit" aspectratio="f"/>
                </v:rect>
                <v:rect id="_x0000_s1026" o:spid="_x0000_s1026" o:spt="1" style="position:absolute;left:8040;top:1193068;height:240;width:390;v-text-anchor:middle;" fillcolor="#0B06F8" filled="t" stroked="t" coordsize="21600,21600" o:gfxdata="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aAmUL4A&#10;AADcAAAADwAAAAAAAAABACAAAAAiAAAAZHJzL2Rvd25yZXYueG1sUEsBAhQAFAAAAAgAh07iQDMv&#10;BZ47AAAAOQAAABAAAAAAAAAAAQAgAAAADQEAAGRycy9zaGFwZXhtbC54bWxQSwUGAAAAAAYABgBb&#10;AQAAtwMAAAAA&#10;">
                  <v:fill on="t" opacity="32768f" focussize="0,0"/>
                  <v:stroke weight="1pt" color="#FF0000 [2404]" joinstyle="round"/>
                  <v:imagedata o:title=""/>
                  <o:lock v:ext="edit" aspectratio="f"/>
                </v:rect>
                <v:rect id="_x0000_s1026" o:spid="_x0000_s1026" o:spt="1" style="position:absolute;left:8040;top:1193893;height:240;width:390;v-text-anchor:middle;" fillcolor="#F608F3" filled="t" stroked="t" coordsize="21600,21600" o:gfxdata="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xa9Lq/&#10;AAAA3AAAAA8AAAAAAAAAAQAgAAAAIgAAAGRycy9kb3ducmV2LnhtbFBLAQIUABQAAAAIAIdO4kAz&#10;LwWeOwAAADkAAAAQAAAAAAAAAAEAIAAAAA4BAABkcnMvc2hhcGV4bWwueG1sUEsFBgAAAAAGAAYA&#10;WwEAALgDAAAAAA==&#10;">
                  <v:fill on="t" opacity="32768f" focussize="0,0"/>
                  <v:stroke weight="1pt" color="#FF0000 [2404]" joinstyle="round"/>
                  <v:imagedata o:title=""/>
                  <o:lock v:ext="edit" aspectratio="f"/>
                </v:rect>
              </v:group>
            </w:pict>
          </mc:Fallback>
        </mc:AlternateContent>
      </w:r>
      <w:r>
        <w:rPr>
          <w:color w:val="auto"/>
        </w:rPr>
        <w:drawing>
          <wp:anchor distT="0" distB="0" distL="114300" distR="114300" simplePos="0" relativeHeight="251753472" behindDoc="0" locked="0" layoutInCell="1" allowOverlap="1">
            <wp:simplePos x="0" y="0"/>
            <wp:positionH relativeFrom="column">
              <wp:posOffset>7575550</wp:posOffset>
            </wp:positionH>
            <wp:positionV relativeFrom="paragraph">
              <wp:posOffset>-363855</wp:posOffset>
            </wp:positionV>
            <wp:extent cx="617855" cy="584835"/>
            <wp:effectExtent l="0" t="0" r="10795" b="5715"/>
            <wp:wrapNone/>
            <wp:docPr id="4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3"/>
                    <pic:cNvPicPr>
                      <a:picLocks noChangeAspect="1"/>
                    </pic:cNvPicPr>
                  </pic:nvPicPr>
                  <pic:blipFill>
                    <a:blip r:embed="rId21"/>
                    <a:stretch>
                      <a:fillRect/>
                    </a:stretch>
                  </pic:blipFill>
                  <pic:spPr>
                    <a:xfrm>
                      <a:off x="0" y="0"/>
                      <a:ext cx="617855" cy="58483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746304" behindDoc="0" locked="0" layoutInCell="1" allowOverlap="1">
                <wp:simplePos x="0" y="0"/>
                <wp:positionH relativeFrom="column">
                  <wp:posOffset>2665095</wp:posOffset>
                </wp:positionH>
                <wp:positionV relativeFrom="paragraph">
                  <wp:posOffset>5541645</wp:posOffset>
                </wp:positionV>
                <wp:extent cx="3552825" cy="390525"/>
                <wp:effectExtent l="0" t="0" r="0" b="0"/>
                <wp:wrapNone/>
                <wp:docPr id="416" name="文本框 416"/>
                <wp:cNvGraphicFramePr/>
                <a:graphic xmlns:a="http://schemas.openxmlformats.org/drawingml/2006/main">
                  <a:graphicData uri="http://schemas.microsoft.com/office/word/2010/wordprocessingShape">
                    <wps:wsp>
                      <wps:cNvSpPr txBox="1"/>
                      <wps:spPr>
                        <a:xfrm>
                          <a:off x="3884295" y="6577965"/>
                          <a:ext cx="3552825" cy="390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370BEF">
                            <w:pPr>
                              <w:jc w:val="center"/>
                              <w:rPr>
                                <w:rFonts w:hint="default" w:eastAsia="宋体"/>
                                <w:b/>
                                <w:bCs/>
                                <w:sz w:val="24"/>
                                <w:szCs w:val="24"/>
                                <w:highlight w:val="none"/>
                                <w:lang w:val="en-US" w:eastAsia="zh-CN"/>
                              </w:rPr>
                            </w:pPr>
                            <w:r>
                              <w:rPr>
                                <w:rFonts w:hint="eastAsia"/>
                                <w:b/>
                                <w:bCs/>
                                <w:sz w:val="24"/>
                                <w:szCs w:val="24"/>
                                <w:highlight w:val="none"/>
                                <w:lang w:eastAsia="zh-CN"/>
                              </w:rPr>
                              <w:t>图</w:t>
                            </w:r>
                            <w:r>
                              <w:rPr>
                                <w:rFonts w:hint="eastAsia"/>
                                <w:b/>
                                <w:bCs/>
                                <w:sz w:val="24"/>
                                <w:szCs w:val="24"/>
                                <w:highlight w:val="none"/>
                                <w:lang w:val="en-US" w:eastAsia="zh-CN"/>
                              </w:rPr>
                              <w:t>4.3-4  评价范围内土地利用现状图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85pt;margin-top:436.35pt;height:30.75pt;width:279.75pt;z-index:251746304;mso-width-relative:page;mso-height-relative:page;" filled="f" stroked="f" coordsize="21600,21600" o:gfxdata="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XVvTpdsAAAALAQAADwAAAAAA&#10;AAABACAAAAAiAAAAZHJzL2Rvd25yZXYueG1sUEsBAhQAFAAAAAgAh07iQPYNSjtJAgAAdgQAAA4A&#10;AAAAAAAAAQAgAAAAKgEAAGRycy9lMm9Eb2MueG1sUEsFBgAAAAAGAAYAWQEAAOUFAAAAAA==&#10;">
                <v:fill on="f" focussize="0,0"/>
                <v:stroke on="f" weight="0.5pt"/>
                <v:imagedata o:title=""/>
                <o:lock v:ext="edit" aspectratio="f"/>
                <v:textbox>
                  <w:txbxContent>
                    <w:p w14:paraId="39370BEF">
                      <w:pPr>
                        <w:jc w:val="center"/>
                        <w:rPr>
                          <w:rFonts w:hint="default" w:eastAsia="宋体"/>
                          <w:b/>
                          <w:bCs/>
                          <w:sz w:val="24"/>
                          <w:szCs w:val="24"/>
                          <w:highlight w:val="none"/>
                          <w:lang w:val="en-US" w:eastAsia="zh-CN"/>
                        </w:rPr>
                      </w:pPr>
                      <w:r>
                        <w:rPr>
                          <w:rFonts w:hint="eastAsia"/>
                          <w:b/>
                          <w:bCs/>
                          <w:sz w:val="24"/>
                          <w:szCs w:val="24"/>
                          <w:highlight w:val="none"/>
                          <w:lang w:eastAsia="zh-CN"/>
                        </w:rPr>
                        <w:t>图</w:t>
                      </w:r>
                      <w:r>
                        <w:rPr>
                          <w:rFonts w:hint="eastAsia"/>
                          <w:b/>
                          <w:bCs/>
                          <w:sz w:val="24"/>
                          <w:szCs w:val="24"/>
                          <w:highlight w:val="none"/>
                          <w:lang w:val="en-US" w:eastAsia="zh-CN"/>
                        </w:rPr>
                        <w:t>4.3-4  评价范围内土地利用现状图</w:t>
                      </w:r>
                    </w:p>
                  </w:txbxContent>
                </v:textbox>
              </v:shape>
            </w:pict>
          </mc:Fallback>
        </mc:AlternateContent>
      </w:r>
      <w:r>
        <w:drawing>
          <wp:anchor distT="0" distB="0" distL="114300" distR="114300" simplePos="0" relativeHeight="251928576" behindDoc="1" locked="0" layoutInCell="1" allowOverlap="1">
            <wp:simplePos x="0" y="0"/>
            <wp:positionH relativeFrom="column">
              <wp:posOffset>552450</wp:posOffset>
            </wp:positionH>
            <wp:positionV relativeFrom="paragraph">
              <wp:posOffset>-369570</wp:posOffset>
            </wp:positionV>
            <wp:extent cx="7660640" cy="5919470"/>
            <wp:effectExtent l="57150" t="57150" r="73660" b="62230"/>
            <wp:wrapNone/>
            <wp:docPr id="4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22"/>
                    <pic:cNvPicPr>
                      <a:picLocks noChangeAspect="1"/>
                    </pic:cNvPicPr>
                  </pic:nvPicPr>
                  <pic:blipFill>
                    <a:blip r:embed="rId37"/>
                    <a:stretch>
                      <a:fillRect/>
                    </a:stretch>
                  </pic:blipFill>
                  <pic:spPr>
                    <a:xfrm>
                      <a:off x="0" y="0"/>
                      <a:ext cx="7660640" cy="5919470"/>
                    </a:xfrm>
                    <a:prstGeom prst="rect">
                      <a:avLst/>
                    </a:prstGeom>
                    <a:noFill/>
                    <a:ln w="57150" cmpd="thickThin">
                      <a:solidFill>
                        <a:schemeClr val="tx1"/>
                      </a:solidFill>
                    </a:ln>
                  </pic:spPr>
                </pic:pic>
              </a:graphicData>
            </a:graphic>
          </wp:anchor>
        </w:drawing>
      </w:r>
    </w:p>
    <w:p w14:paraId="1F244C33">
      <w:pPr>
        <w:pStyle w:val="45"/>
        <w:jc w:val="both"/>
        <w:rPr>
          <w:color w:val="auto"/>
          <w:sz w:val="24"/>
          <w:highlight w:val="green"/>
        </w:rPr>
      </w:pPr>
      <w:r>
        <w:drawing>
          <wp:anchor distT="0" distB="0" distL="114300" distR="114300" simplePos="0" relativeHeight="251928576" behindDoc="0" locked="0" layoutInCell="1" allowOverlap="1">
            <wp:simplePos x="0" y="0"/>
            <wp:positionH relativeFrom="column">
              <wp:posOffset>114300</wp:posOffset>
            </wp:positionH>
            <wp:positionV relativeFrom="paragraph">
              <wp:posOffset>-362585</wp:posOffset>
            </wp:positionV>
            <wp:extent cx="8578850" cy="5681345"/>
            <wp:effectExtent l="57150" t="57150" r="69850" b="71755"/>
            <wp:wrapNone/>
            <wp:docPr id="4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23"/>
                    <pic:cNvPicPr>
                      <a:picLocks noChangeAspect="1"/>
                    </pic:cNvPicPr>
                  </pic:nvPicPr>
                  <pic:blipFill>
                    <a:blip r:embed="rId38"/>
                    <a:stretch>
                      <a:fillRect/>
                    </a:stretch>
                  </pic:blipFill>
                  <pic:spPr>
                    <a:xfrm>
                      <a:off x="0" y="0"/>
                      <a:ext cx="8578850" cy="5681345"/>
                    </a:xfrm>
                    <a:prstGeom prst="rect">
                      <a:avLst/>
                    </a:prstGeom>
                    <a:noFill/>
                    <a:ln w="57150" cmpd="thickThin">
                      <a:solidFill>
                        <a:schemeClr val="tx1"/>
                      </a:solidFill>
                    </a:ln>
                  </pic:spPr>
                </pic:pic>
              </a:graphicData>
            </a:graphic>
          </wp:anchor>
        </w:drawing>
      </w:r>
      <w:r>
        <w:rPr>
          <w:color w:val="auto"/>
        </w:rPr>
        <w:drawing>
          <wp:anchor distT="0" distB="0" distL="114300" distR="114300" simplePos="0" relativeHeight="251931648" behindDoc="0" locked="0" layoutInCell="1" allowOverlap="1">
            <wp:simplePos x="0" y="0"/>
            <wp:positionH relativeFrom="column">
              <wp:posOffset>8080375</wp:posOffset>
            </wp:positionH>
            <wp:positionV relativeFrom="paragraph">
              <wp:posOffset>-335280</wp:posOffset>
            </wp:positionV>
            <wp:extent cx="617855" cy="584835"/>
            <wp:effectExtent l="0" t="0" r="10795" b="5715"/>
            <wp:wrapNone/>
            <wp:docPr id="4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3"/>
                    <pic:cNvPicPr>
                      <a:picLocks noChangeAspect="1"/>
                    </pic:cNvPicPr>
                  </pic:nvPicPr>
                  <pic:blipFill>
                    <a:blip r:embed="rId21"/>
                    <a:stretch>
                      <a:fillRect/>
                    </a:stretch>
                  </pic:blipFill>
                  <pic:spPr>
                    <a:xfrm>
                      <a:off x="0" y="0"/>
                      <a:ext cx="617855" cy="584835"/>
                    </a:xfrm>
                    <a:prstGeom prst="rect">
                      <a:avLst/>
                    </a:prstGeom>
                    <a:noFill/>
                    <a:ln>
                      <a:noFill/>
                    </a:ln>
                  </pic:spPr>
                </pic:pic>
              </a:graphicData>
            </a:graphic>
          </wp:anchor>
        </w:drawing>
      </w:r>
    </w:p>
    <w:p w14:paraId="2195FA33">
      <w:pPr>
        <w:pStyle w:val="45"/>
        <w:rPr>
          <w:color w:val="auto"/>
          <w:sz w:val="24"/>
          <w:highlight w:val="green"/>
        </w:rPr>
      </w:pPr>
    </w:p>
    <w:p w14:paraId="13FB1393">
      <w:pPr>
        <w:pStyle w:val="45"/>
        <w:rPr>
          <w:color w:val="auto"/>
          <w:sz w:val="24"/>
          <w:highlight w:val="green"/>
        </w:rPr>
      </w:pPr>
    </w:p>
    <w:p w14:paraId="3D48F314">
      <w:pPr>
        <w:rPr>
          <w:color w:val="auto"/>
          <w:sz w:val="24"/>
          <w:highlight w:val="green"/>
        </w:rPr>
      </w:pPr>
      <w:r>
        <w:rPr>
          <w:color w:val="auto"/>
          <w:sz w:val="21"/>
        </w:rPr>
        <mc:AlternateContent>
          <mc:Choice Requires="wpg">
            <w:drawing>
              <wp:anchor distT="0" distB="0" distL="114300" distR="114300" simplePos="0" relativeHeight="251930624" behindDoc="0" locked="0" layoutInCell="1" allowOverlap="1">
                <wp:simplePos x="0" y="0"/>
                <wp:positionH relativeFrom="column">
                  <wp:posOffset>113030</wp:posOffset>
                </wp:positionH>
                <wp:positionV relativeFrom="paragraph">
                  <wp:posOffset>3683000</wp:posOffset>
                </wp:positionV>
                <wp:extent cx="2254885" cy="1094740"/>
                <wp:effectExtent l="4445" t="4445" r="7620" b="5715"/>
                <wp:wrapNone/>
                <wp:docPr id="504" name="组合 504"/>
                <wp:cNvGraphicFramePr/>
                <a:graphic xmlns:a="http://schemas.openxmlformats.org/drawingml/2006/main">
                  <a:graphicData uri="http://schemas.microsoft.com/office/word/2010/wordprocessingGroup">
                    <wpg:wgp>
                      <wpg:cNvGrpSpPr/>
                      <wpg:grpSpPr>
                        <a:xfrm>
                          <a:off x="0" y="0"/>
                          <a:ext cx="2254885" cy="1094740"/>
                          <a:chOff x="6436" y="1204508"/>
                          <a:chExt cx="3551" cy="1724"/>
                        </a:xfrm>
                      </wpg:grpSpPr>
                      <wps:wsp>
                        <wps:cNvPr id="422" name="文本框 422"/>
                        <wps:cNvSpPr txBox="1"/>
                        <wps:spPr>
                          <a:xfrm>
                            <a:off x="6436" y="1204508"/>
                            <a:ext cx="3551" cy="172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E676938">
                              <w:pPr>
                                <w:spacing w:line="360" w:lineRule="auto"/>
                                <w:rPr>
                                  <w:rFonts w:hint="eastAsia"/>
                                  <w:lang w:eastAsia="zh-CN"/>
                                </w:rPr>
                              </w:pPr>
                              <w:r>
                                <w:rPr>
                                  <w:rFonts w:hint="eastAsia"/>
                                  <w:lang w:eastAsia="zh-CN"/>
                                </w:rPr>
                                <w:t>图例</w:t>
                              </w:r>
                            </w:p>
                            <w:p w14:paraId="08347D1B">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农作物（玉米、高粱）</w:t>
                              </w:r>
                            </w:p>
                            <w:p w14:paraId="40CE238F">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落叶乔木（杨树、柳树）</w:t>
                              </w:r>
                            </w:p>
                            <w:p w14:paraId="61BA5402">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人工林地（杏树）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21" name="矩形 421"/>
                        <wps:cNvSpPr/>
                        <wps:spPr>
                          <a:xfrm>
                            <a:off x="6675" y="1205017"/>
                            <a:ext cx="390" cy="240"/>
                          </a:xfrm>
                          <a:prstGeom prst="rect">
                            <a:avLst/>
                          </a:prstGeom>
                          <a:solidFill>
                            <a:srgbClr val="D29E00">
                              <a:alpha val="25000"/>
                            </a:srgbClr>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20" name="矩形 420"/>
                        <wps:cNvSpPr/>
                        <wps:spPr>
                          <a:xfrm>
                            <a:off x="6675" y="1205422"/>
                            <a:ext cx="390" cy="240"/>
                          </a:xfrm>
                          <a:prstGeom prst="rect">
                            <a:avLst/>
                          </a:prstGeom>
                          <a:solidFill>
                            <a:srgbClr val="21F330">
                              <a:alpha val="25000"/>
                            </a:srgbClr>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0" name="矩形 460"/>
                        <wps:cNvSpPr/>
                        <wps:spPr>
                          <a:xfrm>
                            <a:off x="6675" y="1205812"/>
                            <a:ext cx="390" cy="240"/>
                          </a:xfrm>
                          <a:prstGeom prst="rect">
                            <a:avLst/>
                          </a:prstGeom>
                          <a:solidFill>
                            <a:srgbClr val="07E9F7">
                              <a:alpha val="50000"/>
                            </a:srgbClr>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9pt;margin-top:290pt;height:86.2pt;width:177.55pt;z-index:251930624;mso-width-relative:page;mso-height-relative:page;" coordorigin="6436,1204508" coordsize="3551,1724" o:gfxdata="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">
                <o:lock v:ext="edit" aspectratio="f"/>
                <v:shape id="_x0000_s1026" o:spid="_x0000_s1026" o:spt="202" type="#_x0000_t202" style="position:absolute;left:6436;top:1204508;height:1724;width:3551;" fillcolor="#C7EDCC [3201]" filled="t" stroked="t" coordsize="21600,21600" o:gfxdata="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ahMEL4A&#10;AADcAAAADwAAAAAAAAABACAAAAAiAAAAZHJzL2Rvd25yZXYueG1sUEsBAhQAFAAAAAgAh07iQDMv&#10;BZ47AAAAOQAAABAAAAAAAAAAAQAgAAAADQEAAGRycy9zaGFwZXhtbC54bWxQSwUGAAAAAAYABgBb&#10;AQAAtwMAAAAA&#10;">
                  <v:fill on="t" focussize="0,0"/>
                  <v:stroke weight="0.5pt" color="#000000 [3204]" joinstyle="round"/>
                  <v:imagedata o:title=""/>
                  <o:lock v:ext="edit" aspectratio="f"/>
                  <v:textbox>
                    <w:txbxContent>
                      <w:p w14:paraId="7E676938">
                        <w:pPr>
                          <w:spacing w:line="360" w:lineRule="auto"/>
                          <w:rPr>
                            <w:rFonts w:hint="eastAsia"/>
                            <w:lang w:eastAsia="zh-CN"/>
                          </w:rPr>
                        </w:pPr>
                        <w:r>
                          <w:rPr>
                            <w:rFonts w:hint="eastAsia"/>
                            <w:lang w:eastAsia="zh-CN"/>
                          </w:rPr>
                          <w:t>图例</w:t>
                        </w:r>
                      </w:p>
                      <w:p w14:paraId="08347D1B">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农作物（玉米、高粱）</w:t>
                        </w:r>
                      </w:p>
                      <w:p w14:paraId="40CE238F">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落叶乔木（杨树、柳树）</w:t>
                        </w:r>
                      </w:p>
                      <w:p w14:paraId="61BA5402">
                        <w:pPr>
                          <w:pStyle w:val="45"/>
                          <w:spacing w:line="360" w:lineRule="auto"/>
                          <w:ind w:firstLine="630" w:firstLineChars="300"/>
                          <w:jc w:val="both"/>
                          <w:rPr>
                            <w:rFonts w:hint="eastAsia" w:ascii="宋体" w:hAnsi="宋体" w:eastAsia="宋体" w:cs="宋体"/>
                            <w:lang w:eastAsia="zh-CN"/>
                          </w:rPr>
                        </w:pPr>
                        <w:r>
                          <w:rPr>
                            <w:rFonts w:hint="eastAsia" w:ascii="宋体" w:hAnsi="宋体" w:eastAsia="宋体" w:cs="宋体"/>
                            <w:lang w:eastAsia="zh-CN"/>
                          </w:rPr>
                          <w:t>人工林地（杏树）</w:t>
                        </w:r>
                      </w:p>
                    </w:txbxContent>
                  </v:textbox>
                </v:shape>
                <v:rect id="_x0000_s1026" o:spid="_x0000_s1026" o:spt="1" style="position:absolute;left:6675;top:1205017;height:240;width:390;v-text-anchor:middle;" fillcolor="#D29E00" filled="t" stroked="t" coordsize="21600,21600" o:gfxdata="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5qkOa8AAAA&#10;3AAAAA8AAAAAAAAAAQAgAAAAIgAAAGRycy9kb3ducmV2LnhtbFBLAQIUABQAAAAIAIdO4kAzLwWe&#10;OwAAADkAAAAQAAAAAAAAAAEAIAAAAAsBAABkcnMvc2hhcGV4bWwueG1sUEsFBgAAAAAGAAYAWwEA&#10;ALUDAAAAAA==&#10;">
                  <v:fill on="t" opacity="16384f" focussize="0,0"/>
                  <v:stroke weight="1pt" color="#FF0000 [2404]" joinstyle="round"/>
                  <v:imagedata o:title=""/>
                  <o:lock v:ext="edit" aspectratio="f"/>
                </v:rect>
                <v:rect id="_x0000_s1026" o:spid="_x0000_s1026" o:spt="1" style="position:absolute;left:6675;top:1205422;height:240;width:390;v-text-anchor:middle;" fillcolor="#21F330" filled="t" stroked="t" coordsize="21600,21600" o:gfxdata="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Z76H28AAAA&#10;3AAAAA8AAAAAAAAAAQAgAAAAIgAAAGRycy9kb3ducmV2LnhtbFBLAQIUABQAAAAIAIdO4kAzLwWe&#10;OwAAADkAAAAQAAAAAAAAAAEAIAAAAAsBAABkcnMvc2hhcGV4bWwueG1sUEsFBgAAAAAGAAYAWwEA&#10;ALUDAAAAAA==&#10;">
                  <v:fill on="t" opacity="16384f" focussize="0,0"/>
                  <v:stroke weight="1pt" color="#FF0000 [2404]" joinstyle="round"/>
                  <v:imagedata o:title=""/>
                  <o:lock v:ext="edit" aspectratio="f"/>
                </v:rect>
                <v:rect id="_x0000_s1026" o:spid="_x0000_s1026" o:spt="1" style="position:absolute;left:6675;top:1205812;height:240;width:390;v-text-anchor:middle;" fillcolor="#07E9F7" filled="t" stroked="t" coordsize="21600,21600" o:gfxdata="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jZoUugAAANwA&#10;AAAPAAAAAAAAAAEAIAAAACIAAABkcnMvZG93bnJldi54bWxQSwECFAAUAAAACACHTuJAMy8FnjsA&#10;AAA5AAAAEAAAAAAAAAABACAAAAAJAQAAZHJzL3NoYXBleG1sLnhtbFBLBQYAAAAABgAGAFsBAACz&#10;AwAAAAA=&#10;">
                  <v:fill on="t" opacity="32768f" focussize="0,0"/>
                  <v:stroke weight="1pt" color="#FF0000 [2404]" joinstyle="round"/>
                  <v:imagedata o:title=""/>
                  <o:lock v:ext="edit" aspectratio="f"/>
                </v:rect>
              </v:group>
            </w:pict>
          </mc:Fallback>
        </mc:AlternateContent>
      </w:r>
      <w:r>
        <w:rPr>
          <w:color w:val="auto"/>
          <w:sz w:val="21"/>
        </w:rPr>
        <mc:AlternateContent>
          <mc:Choice Requires="wps">
            <w:drawing>
              <wp:anchor distT="0" distB="0" distL="114300" distR="114300" simplePos="0" relativeHeight="251929600" behindDoc="0" locked="0" layoutInCell="1" allowOverlap="1">
                <wp:simplePos x="0" y="0"/>
                <wp:positionH relativeFrom="column">
                  <wp:posOffset>2731135</wp:posOffset>
                </wp:positionH>
                <wp:positionV relativeFrom="paragraph">
                  <wp:posOffset>4907280</wp:posOffset>
                </wp:positionV>
                <wp:extent cx="3552825" cy="390525"/>
                <wp:effectExtent l="0" t="0" r="0" b="0"/>
                <wp:wrapNone/>
                <wp:docPr id="423" name="文本框 423"/>
                <wp:cNvGraphicFramePr/>
                <a:graphic xmlns:a="http://schemas.openxmlformats.org/drawingml/2006/main">
                  <a:graphicData uri="http://schemas.microsoft.com/office/word/2010/wordprocessingShape">
                    <wps:wsp>
                      <wps:cNvSpPr txBox="1"/>
                      <wps:spPr>
                        <a:xfrm>
                          <a:off x="0" y="0"/>
                          <a:ext cx="3552825" cy="390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FF87E3">
                            <w:pPr>
                              <w:jc w:val="center"/>
                              <w:rPr>
                                <w:rFonts w:hint="default" w:eastAsia="宋体"/>
                                <w:b/>
                                <w:bCs/>
                                <w:sz w:val="24"/>
                                <w:szCs w:val="24"/>
                                <w:highlight w:val="none"/>
                                <w:lang w:val="en-US" w:eastAsia="zh-CN"/>
                              </w:rPr>
                            </w:pPr>
                            <w:r>
                              <w:rPr>
                                <w:rFonts w:hint="eastAsia"/>
                                <w:b/>
                                <w:bCs/>
                                <w:sz w:val="24"/>
                                <w:szCs w:val="24"/>
                                <w:highlight w:val="none"/>
                                <w:lang w:eastAsia="zh-CN"/>
                              </w:rPr>
                              <w:t>图</w:t>
                            </w:r>
                            <w:r>
                              <w:rPr>
                                <w:rFonts w:hint="eastAsia"/>
                                <w:b/>
                                <w:bCs/>
                                <w:sz w:val="24"/>
                                <w:szCs w:val="24"/>
                                <w:highlight w:val="none"/>
                                <w:lang w:val="en-US" w:eastAsia="zh-CN"/>
                              </w:rPr>
                              <w:t>4.3-5  评价范围内植被类型分布图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5.05pt;margin-top:386.4pt;height:30.75pt;width:279.75pt;z-index:251929600;mso-width-relative:page;mso-height-relative:page;" filled="f" stroked="f" coordsize="21600,21600" o:gfxdata="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3ZC0st0AAAALAQAADwAAAAAAAAABACAAAAAi&#10;AAAAZHJzL2Rvd25yZXYueG1sUEsBAhQAFAAAAAgAh07iQEhBTCo+AgAAagQAAA4AAAAAAAAAAQAg&#10;AAAALAEAAGRycy9lMm9Eb2MueG1sUEsFBgAAAAAGAAYAWQEAANwFAAAAAA==&#10;">
                <v:fill on="f" focussize="0,0"/>
                <v:stroke on="f" weight="0.5pt"/>
                <v:imagedata o:title=""/>
                <o:lock v:ext="edit" aspectratio="f"/>
                <v:textbox>
                  <w:txbxContent>
                    <w:p w14:paraId="3DFF87E3">
                      <w:pPr>
                        <w:jc w:val="center"/>
                        <w:rPr>
                          <w:rFonts w:hint="default" w:eastAsia="宋体"/>
                          <w:b/>
                          <w:bCs/>
                          <w:sz w:val="24"/>
                          <w:szCs w:val="24"/>
                          <w:highlight w:val="none"/>
                          <w:lang w:val="en-US" w:eastAsia="zh-CN"/>
                        </w:rPr>
                      </w:pPr>
                      <w:r>
                        <w:rPr>
                          <w:rFonts w:hint="eastAsia"/>
                          <w:b/>
                          <w:bCs/>
                          <w:sz w:val="24"/>
                          <w:szCs w:val="24"/>
                          <w:highlight w:val="none"/>
                          <w:lang w:eastAsia="zh-CN"/>
                        </w:rPr>
                        <w:t>图</w:t>
                      </w:r>
                      <w:r>
                        <w:rPr>
                          <w:rFonts w:hint="eastAsia"/>
                          <w:b/>
                          <w:bCs/>
                          <w:sz w:val="24"/>
                          <w:szCs w:val="24"/>
                          <w:highlight w:val="none"/>
                          <w:lang w:val="en-US" w:eastAsia="zh-CN"/>
                        </w:rPr>
                        <w:t>4.3-5  评价范围内植被类型分布图</w:t>
                      </w:r>
                    </w:p>
                  </w:txbxContent>
                </v:textbox>
              </v:shape>
            </w:pict>
          </mc:Fallback>
        </mc:AlternateContent>
      </w:r>
      <w:r>
        <w:rPr>
          <w:color w:val="auto"/>
          <w:sz w:val="24"/>
          <w:highlight w:val="green"/>
        </w:rPr>
        <w:br w:type="page"/>
      </w:r>
    </w:p>
    <w:p w14:paraId="11328D70">
      <w:pPr>
        <w:pStyle w:val="45"/>
        <w:jc w:val="both"/>
        <w:rPr>
          <w:color w:val="auto"/>
          <w:sz w:val="24"/>
          <w:highlight w:val="gree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3314E709">
      <w:pPr>
        <w:pStyle w:val="3"/>
        <w:adjustRightInd w:val="0"/>
        <w:jc w:val="both"/>
        <w:rPr>
          <w:rFonts w:eastAsia="宋体"/>
          <w:color w:val="auto"/>
          <w:sz w:val="30"/>
          <w:szCs w:val="30"/>
        </w:rPr>
      </w:pPr>
      <w:bookmarkStart w:id="257" w:name="_Toc2545"/>
      <w:bookmarkStart w:id="258" w:name="_Toc29269"/>
      <w:r>
        <w:rPr>
          <w:rFonts w:hint="eastAsia" w:eastAsia="宋体"/>
          <w:color w:val="auto"/>
          <w:sz w:val="30"/>
          <w:szCs w:val="30"/>
        </w:rPr>
        <w:t>4.4</w:t>
      </w:r>
      <w:r>
        <w:rPr>
          <w:rFonts w:eastAsia="宋体"/>
          <w:color w:val="auto"/>
          <w:sz w:val="30"/>
          <w:szCs w:val="30"/>
        </w:rPr>
        <w:t>环境空气质量现状调查与评价</w:t>
      </w:r>
      <w:bookmarkEnd w:id="241"/>
      <w:bookmarkEnd w:id="242"/>
      <w:bookmarkEnd w:id="243"/>
      <w:bookmarkEnd w:id="244"/>
      <w:bookmarkEnd w:id="245"/>
      <w:bookmarkEnd w:id="246"/>
      <w:bookmarkEnd w:id="257"/>
      <w:bookmarkEnd w:id="258"/>
    </w:p>
    <w:p w14:paraId="5AF12C16">
      <w:pPr>
        <w:pStyle w:val="4"/>
        <w:snapToGrid w:val="0"/>
        <w:spacing w:before="0"/>
        <w:rPr>
          <w:rFonts w:ascii="Times New Roman" w:hAnsi="Times New Roman" w:eastAsia="宋体"/>
          <w:bCs/>
          <w:color w:val="auto"/>
          <w:sz w:val="28"/>
          <w:szCs w:val="28"/>
        </w:rPr>
      </w:pPr>
      <w:bookmarkStart w:id="259" w:name="_Toc441053111"/>
      <w:bookmarkStart w:id="260" w:name="_Toc440874819"/>
      <w:bookmarkStart w:id="261" w:name="_Toc23130"/>
      <w:r>
        <w:rPr>
          <w:rFonts w:ascii="Times New Roman" w:hAnsi="Times New Roman" w:eastAsia="宋体"/>
          <w:bCs/>
          <w:color w:val="auto"/>
          <w:sz w:val="28"/>
          <w:szCs w:val="28"/>
        </w:rPr>
        <w:t>4.</w:t>
      </w:r>
      <w:r>
        <w:rPr>
          <w:rFonts w:hint="eastAsia" w:ascii="Times New Roman" w:hAnsi="Times New Roman" w:eastAsia="宋体"/>
          <w:bCs/>
          <w:color w:val="auto"/>
          <w:sz w:val="28"/>
          <w:szCs w:val="28"/>
        </w:rPr>
        <w:t>4</w:t>
      </w:r>
      <w:r>
        <w:rPr>
          <w:rFonts w:ascii="Times New Roman" w:hAnsi="Times New Roman" w:eastAsia="宋体"/>
          <w:bCs/>
          <w:color w:val="auto"/>
          <w:sz w:val="28"/>
          <w:szCs w:val="28"/>
        </w:rPr>
        <w:t>.1</w:t>
      </w:r>
      <w:r>
        <w:rPr>
          <w:color w:val="auto"/>
        </w:rPr>
        <w:fldChar w:fldCharType="begin"/>
      </w:r>
      <w:r>
        <w:rPr>
          <w:color w:val="auto"/>
        </w:rPr>
        <w:instrText xml:space="preserve"> HYPERLINK "http://baike.baidu.com/view/1165565.htm" \l "#" \o "返回页首" </w:instrText>
      </w:r>
      <w:r>
        <w:rPr>
          <w:color w:val="auto"/>
        </w:rPr>
        <w:fldChar w:fldCharType="separate"/>
      </w:r>
      <w:r>
        <w:rPr>
          <w:color w:val="auto"/>
        </w:rPr>
        <w:fldChar w:fldCharType="end"/>
      </w:r>
      <w:bookmarkEnd w:id="259"/>
      <w:bookmarkEnd w:id="260"/>
      <w:r>
        <w:rPr>
          <w:rFonts w:ascii="Times New Roman" w:hAnsi="Times New Roman" w:eastAsia="宋体"/>
          <w:bCs/>
          <w:color w:val="auto"/>
          <w:sz w:val="28"/>
          <w:szCs w:val="28"/>
        </w:rPr>
        <w:t>基本污染物环境质量现状</w:t>
      </w:r>
      <w:bookmarkEnd w:id="261"/>
    </w:p>
    <w:p w14:paraId="38F9F1E5">
      <w:pPr>
        <w:keepNext w:val="0"/>
        <w:keepLines w:val="0"/>
        <w:pageBreakBefore w:val="0"/>
        <w:widowControl w:val="0"/>
        <w:kinsoku/>
        <w:wordWrap/>
        <w:overflowPunct/>
        <w:topLinePunct w:val="0"/>
        <w:autoSpaceDE/>
        <w:autoSpaceDN/>
        <w:bidi w:val="0"/>
        <w:adjustRightInd w:val="0"/>
        <w:snapToGrid w:val="0"/>
        <w:spacing w:afterAutospacing="0" w:line="360" w:lineRule="auto"/>
        <w:ind w:firstLine="48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4"/>
          <w:szCs w:val="24"/>
        </w:rPr>
        <w:t>根据</w:t>
      </w:r>
      <w:r>
        <w:rPr>
          <w:rFonts w:hint="default" w:ascii="Times New Roman" w:hAnsi="Times New Roman" w:eastAsia="宋体" w:cs="Times New Roman"/>
          <w:color w:val="auto"/>
          <w:sz w:val="24"/>
          <w:szCs w:val="24"/>
          <w:lang w:eastAsia="zh-CN"/>
        </w:rPr>
        <w:t>朝阳市生态环境局</w:t>
      </w:r>
      <w:r>
        <w:rPr>
          <w:rFonts w:hint="default" w:ascii="Times New Roman" w:hAnsi="Times New Roman" w:eastAsia="宋体" w:cs="Times New Roman"/>
          <w:color w:val="auto"/>
          <w:sz w:val="24"/>
          <w:szCs w:val="24"/>
          <w:lang w:val="en-US" w:eastAsia="zh-CN"/>
        </w:rPr>
        <w:t>2024年6月5日发布的《朝阳市生态环境质量公报》（2023年）</w:t>
      </w:r>
      <w:r>
        <w:rPr>
          <w:rFonts w:hint="default" w:ascii="Times New Roman" w:hAnsi="Times New Roman" w:eastAsia="宋体" w:cs="Times New Roman"/>
          <w:color w:val="auto"/>
          <w:sz w:val="24"/>
          <w:szCs w:val="24"/>
          <w:lang w:eastAsia="zh-CN"/>
        </w:rPr>
        <w:t>中</w:t>
      </w:r>
      <w:r>
        <w:rPr>
          <w:rFonts w:hint="default" w:ascii="Times New Roman" w:hAnsi="Times New Roman" w:eastAsia="宋体" w:cs="Times New Roman"/>
          <w:color w:val="auto"/>
          <w:sz w:val="24"/>
          <w:szCs w:val="24"/>
          <w:lang w:val="en-US" w:eastAsia="zh-CN"/>
        </w:rPr>
        <w:t>“城市环境空气质量状况”</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朝阳市</w:t>
      </w:r>
      <w:r>
        <w:rPr>
          <w:rFonts w:hint="default" w:ascii="Times New Roman" w:hAnsi="Times New Roman" w:eastAsia="宋体" w:cs="Times New Roman"/>
          <w:color w:val="auto"/>
          <w:sz w:val="24"/>
          <w:szCs w:val="24"/>
        </w:rPr>
        <w:t>空气质量现状见下表。</w:t>
      </w:r>
    </w:p>
    <w:p w14:paraId="552A980B">
      <w:pPr>
        <w:keepNext w:val="0"/>
        <w:keepLines w:val="0"/>
        <w:pageBreakBefore w:val="0"/>
        <w:widowControl w:val="0"/>
        <w:tabs>
          <w:tab w:val="left" w:pos="3240"/>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pacing w:val="0"/>
          <w:position w:val="0"/>
          <w:szCs w:val="21"/>
          <w:highlight w:val="none"/>
        </w:rPr>
      </w:pPr>
      <w:r>
        <w:rPr>
          <w:rFonts w:hint="default" w:ascii="Times New Roman" w:hAnsi="Times New Roman" w:eastAsia="宋体" w:cs="Times New Roman"/>
          <w:b/>
          <w:color w:val="auto"/>
          <w:spacing w:val="0"/>
          <w:position w:val="0"/>
          <w:szCs w:val="21"/>
          <w:highlight w:val="none"/>
        </w:rPr>
        <w:t>表</w:t>
      </w:r>
      <w:r>
        <w:rPr>
          <w:rFonts w:hint="eastAsia" w:cs="Times New Roman"/>
          <w:b/>
          <w:color w:val="auto"/>
          <w:spacing w:val="0"/>
          <w:position w:val="0"/>
          <w:szCs w:val="21"/>
          <w:highlight w:val="none"/>
          <w:lang w:val="en-US" w:eastAsia="zh-CN"/>
        </w:rPr>
        <w:t>4.4</w:t>
      </w:r>
      <w:r>
        <w:rPr>
          <w:rFonts w:hint="default" w:ascii="Times New Roman" w:hAnsi="Times New Roman" w:eastAsia="宋体" w:cs="Times New Roman"/>
          <w:b/>
          <w:color w:val="auto"/>
          <w:spacing w:val="0"/>
          <w:position w:val="0"/>
          <w:szCs w:val="21"/>
          <w:highlight w:val="none"/>
          <w:lang w:val="en-US" w:eastAsia="zh-CN"/>
        </w:rPr>
        <w:t>-1</w:t>
      </w:r>
      <w:r>
        <w:rPr>
          <w:rFonts w:hint="default" w:ascii="Times New Roman" w:hAnsi="Times New Roman" w:eastAsia="宋体" w:cs="Times New Roman"/>
          <w:b/>
          <w:color w:val="auto"/>
          <w:spacing w:val="0"/>
          <w:position w:val="0"/>
          <w:szCs w:val="21"/>
          <w:highlight w:val="none"/>
        </w:rPr>
        <w:t xml:space="preserve">   </w:t>
      </w:r>
      <w:r>
        <w:rPr>
          <w:rFonts w:hint="default" w:ascii="Times New Roman" w:hAnsi="Times New Roman" w:eastAsia="宋体" w:cs="Times New Roman"/>
          <w:b/>
          <w:color w:val="auto"/>
          <w:spacing w:val="0"/>
          <w:position w:val="0"/>
          <w:szCs w:val="21"/>
          <w:highlight w:val="none"/>
          <w:lang w:val="en-US" w:eastAsia="zh-CN"/>
        </w:rPr>
        <w:t>2023年</w:t>
      </w:r>
      <w:r>
        <w:rPr>
          <w:rFonts w:hint="default" w:ascii="Times New Roman" w:hAnsi="Times New Roman" w:eastAsia="宋体" w:cs="Times New Roman"/>
          <w:b/>
          <w:color w:val="auto"/>
          <w:spacing w:val="0"/>
          <w:position w:val="0"/>
          <w:szCs w:val="21"/>
          <w:highlight w:val="none"/>
        </w:rPr>
        <w:t>朝阳市六项指标</w:t>
      </w:r>
      <w:r>
        <w:rPr>
          <w:rFonts w:hint="default" w:ascii="Times New Roman" w:hAnsi="Times New Roman" w:eastAsia="宋体" w:cs="Times New Roman"/>
          <w:b/>
          <w:color w:val="auto"/>
          <w:spacing w:val="0"/>
          <w:position w:val="0"/>
          <w:szCs w:val="21"/>
          <w:highlight w:val="none"/>
          <w:lang w:eastAsia="zh-CN"/>
        </w:rPr>
        <w:t>年均值</w:t>
      </w:r>
    </w:p>
    <w:tbl>
      <w:tblPr>
        <w:tblStyle w:val="53"/>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6"/>
        <w:gridCol w:w="2034"/>
        <w:gridCol w:w="1157"/>
        <w:gridCol w:w="1421"/>
        <w:gridCol w:w="1595"/>
        <w:gridCol w:w="1248"/>
      </w:tblGrid>
      <w:tr w14:paraId="3AA0484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7883EE94">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1922" w:type="dxa"/>
            <w:tcBorders>
              <w:tl2br w:val="nil"/>
              <w:tr2bl w:val="nil"/>
            </w:tcBorders>
            <w:noWrap w:val="0"/>
            <w:vAlign w:val="center"/>
          </w:tcPr>
          <w:p w14:paraId="3A691CD2">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年评价指标</w:t>
            </w:r>
          </w:p>
        </w:tc>
        <w:tc>
          <w:tcPr>
            <w:tcW w:w="1093" w:type="dxa"/>
            <w:tcBorders>
              <w:tl2br w:val="nil"/>
              <w:tr2bl w:val="nil"/>
            </w:tcBorders>
            <w:noWrap w:val="0"/>
            <w:vAlign w:val="center"/>
          </w:tcPr>
          <w:p w14:paraId="223B3044">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现状浓度</w:t>
            </w:r>
          </w:p>
        </w:tc>
        <w:tc>
          <w:tcPr>
            <w:tcW w:w="1343" w:type="dxa"/>
            <w:tcBorders>
              <w:tl2br w:val="nil"/>
              <w:tr2bl w:val="nil"/>
            </w:tcBorders>
            <w:noWrap w:val="0"/>
            <w:vAlign w:val="center"/>
          </w:tcPr>
          <w:p w14:paraId="07A9C7BE">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tc>
        <w:tc>
          <w:tcPr>
            <w:tcW w:w="1507" w:type="dxa"/>
            <w:tcBorders>
              <w:tl2br w:val="nil"/>
              <w:tr2bl w:val="nil"/>
            </w:tcBorders>
            <w:noWrap w:val="0"/>
            <w:vAlign w:val="center"/>
          </w:tcPr>
          <w:p w14:paraId="72D00B84">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占标率（%）</w:t>
            </w:r>
          </w:p>
        </w:tc>
        <w:tc>
          <w:tcPr>
            <w:tcW w:w="1179" w:type="dxa"/>
            <w:tcBorders>
              <w:tl2br w:val="nil"/>
              <w:tr2bl w:val="nil"/>
            </w:tcBorders>
            <w:noWrap w:val="0"/>
            <w:vAlign w:val="center"/>
          </w:tcPr>
          <w:p w14:paraId="35AB202A">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达标情况</w:t>
            </w:r>
          </w:p>
        </w:tc>
      </w:tr>
      <w:tr w14:paraId="76C0846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2FA67240">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922" w:type="dxa"/>
            <w:tcBorders>
              <w:tl2br w:val="nil"/>
              <w:tr2bl w:val="nil"/>
            </w:tcBorders>
            <w:noWrap w:val="0"/>
            <w:vAlign w:val="center"/>
          </w:tcPr>
          <w:p w14:paraId="47CBD398">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93" w:type="dxa"/>
            <w:tcBorders>
              <w:tl2br w:val="nil"/>
              <w:tr2bl w:val="nil"/>
            </w:tcBorders>
            <w:noWrap w:val="0"/>
            <w:vAlign w:val="center"/>
          </w:tcPr>
          <w:p w14:paraId="142E3084">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28.6</w:t>
            </w:r>
          </w:p>
        </w:tc>
        <w:tc>
          <w:tcPr>
            <w:tcW w:w="1343" w:type="dxa"/>
            <w:tcBorders>
              <w:tl2br w:val="nil"/>
              <w:tr2bl w:val="nil"/>
            </w:tcBorders>
            <w:noWrap w:val="0"/>
            <w:vAlign w:val="center"/>
          </w:tcPr>
          <w:p w14:paraId="16FEFDE7">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w:t>
            </w:r>
          </w:p>
        </w:tc>
        <w:tc>
          <w:tcPr>
            <w:tcW w:w="1507" w:type="dxa"/>
            <w:tcBorders>
              <w:tl2br w:val="nil"/>
              <w:tr2bl w:val="nil"/>
            </w:tcBorders>
            <w:noWrap w:val="0"/>
            <w:vAlign w:val="center"/>
          </w:tcPr>
          <w:p w14:paraId="513B1A56">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81.7</w:t>
            </w:r>
          </w:p>
        </w:tc>
        <w:tc>
          <w:tcPr>
            <w:tcW w:w="1179" w:type="dxa"/>
            <w:tcBorders>
              <w:tl2br w:val="nil"/>
              <w:tr2bl w:val="nil"/>
            </w:tcBorders>
            <w:noWrap w:val="0"/>
            <w:vAlign w:val="center"/>
          </w:tcPr>
          <w:p w14:paraId="4E4BED52">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7F58F16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1983684E">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922" w:type="dxa"/>
            <w:tcBorders>
              <w:tl2br w:val="nil"/>
              <w:tr2bl w:val="nil"/>
            </w:tcBorders>
            <w:noWrap w:val="0"/>
            <w:vAlign w:val="center"/>
          </w:tcPr>
          <w:p w14:paraId="3C47CEFC">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93" w:type="dxa"/>
            <w:tcBorders>
              <w:tl2br w:val="nil"/>
              <w:tr2bl w:val="nil"/>
            </w:tcBorders>
            <w:noWrap w:val="0"/>
            <w:vAlign w:val="center"/>
          </w:tcPr>
          <w:p w14:paraId="3F4B4282">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58</w:t>
            </w:r>
          </w:p>
        </w:tc>
        <w:tc>
          <w:tcPr>
            <w:tcW w:w="1343" w:type="dxa"/>
            <w:tcBorders>
              <w:tl2br w:val="nil"/>
              <w:tr2bl w:val="nil"/>
            </w:tcBorders>
            <w:noWrap w:val="0"/>
            <w:vAlign w:val="center"/>
          </w:tcPr>
          <w:p w14:paraId="32594C54">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1507" w:type="dxa"/>
            <w:tcBorders>
              <w:tl2br w:val="nil"/>
              <w:tr2bl w:val="nil"/>
            </w:tcBorders>
            <w:noWrap w:val="0"/>
            <w:vAlign w:val="center"/>
          </w:tcPr>
          <w:p w14:paraId="4FB855B2">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82.9</w:t>
            </w:r>
          </w:p>
        </w:tc>
        <w:tc>
          <w:tcPr>
            <w:tcW w:w="1179" w:type="dxa"/>
            <w:tcBorders>
              <w:tl2br w:val="nil"/>
              <w:tr2bl w:val="nil"/>
            </w:tcBorders>
            <w:noWrap w:val="0"/>
            <w:vAlign w:val="center"/>
          </w:tcPr>
          <w:p w14:paraId="1642FCD6">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A2D5E0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0F4C5A8B">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922" w:type="dxa"/>
            <w:tcBorders>
              <w:tl2br w:val="nil"/>
              <w:tr2bl w:val="nil"/>
            </w:tcBorders>
            <w:noWrap w:val="0"/>
            <w:vAlign w:val="center"/>
          </w:tcPr>
          <w:p w14:paraId="24F5BD7F">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93" w:type="dxa"/>
            <w:tcBorders>
              <w:tl2br w:val="nil"/>
              <w:tr2bl w:val="nil"/>
            </w:tcBorders>
            <w:noWrap w:val="0"/>
            <w:vAlign w:val="center"/>
          </w:tcPr>
          <w:p w14:paraId="0A65FF3C">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w:t>
            </w:r>
          </w:p>
        </w:tc>
        <w:tc>
          <w:tcPr>
            <w:tcW w:w="1343" w:type="dxa"/>
            <w:tcBorders>
              <w:tl2br w:val="nil"/>
              <w:tr2bl w:val="nil"/>
            </w:tcBorders>
            <w:noWrap w:val="0"/>
            <w:vAlign w:val="center"/>
          </w:tcPr>
          <w:p w14:paraId="7CFB1554">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1507" w:type="dxa"/>
            <w:tcBorders>
              <w:tl2br w:val="nil"/>
              <w:tr2bl w:val="nil"/>
            </w:tcBorders>
            <w:noWrap w:val="0"/>
            <w:vAlign w:val="center"/>
          </w:tcPr>
          <w:p w14:paraId="5153FAED">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20.0</w:t>
            </w:r>
          </w:p>
        </w:tc>
        <w:tc>
          <w:tcPr>
            <w:tcW w:w="1179" w:type="dxa"/>
            <w:tcBorders>
              <w:tl2br w:val="nil"/>
              <w:tr2bl w:val="nil"/>
            </w:tcBorders>
            <w:noWrap w:val="0"/>
            <w:vAlign w:val="center"/>
          </w:tcPr>
          <w:p w14:paraId="1505AD3D">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3BBAE2B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04DF8BCE">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922" w:type="dxa"/>
            <w:tcBorders>
              <w:tl2br w:val="nil"/>
              <w:tr2bl w:val="nil"/>
            </w:tcBorders>
            <w:noWrap w:val="0"/>
            <w:vAlign w:val="center"/>
          </w:tcPr>
          <w:p w14:paraId="511D5CF1">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93" w:type="dxa"/>
            <w:tcBorders>
              <w:tl2br w:val="nil"/>
              <w:tr2bl w:val="nil"/>
            </w:tcBorders>
            <w:noWrap w:val="0"/>
            <w:vAlign w:val="center"/>
          </w:tcPr>
          <w:p w14:paraId="51EDF510">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22</w:t>
            </w:r>
          </w:p>
        </w:tc>
        <w:tc>
          <w:tcPr>
            <w:tcW w:w="1343" w:type="dxa"/>
            <w:tcBorders>
              <w:tl2br w:val="nil"/>
              <w:tr2bl w:val="nil"/>
            </w:tcBorders>
            <w:noWrap w:val="0"/>
            <w:vAlign w:val="center"/>
          </w:tcPr>
          <w:p w14:paraId="5389E3AE">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1507" w:type="dxa"/>
            <w:tcBorders>
              <w:tl2br w:val="nil"/>
              <w:tr2bl w:val="nil"/>
            </w:tcBorders>
            <w:noWrap w:val="0"/>
            <w:vAlign w:val="center"/>
          </w:tcPr>
          <w:p w14:paraId="38062264">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55.0</w:t>
            </w:r>
          </w:p>
        </w:tc>
        <w:tc>
          <w:tcPr>
            <w:tcW w:w="1179" w:type="dxa"/>
            <w:tcBorders>
              <w:tl2br w:val="nil"/>
              <w:tr2bl w:val="nil"/>
            </w:tcBorders>
            <w:noWrap w:val="0"/>
            <w:vAlign w:val="center"/>
          </w:tcPr>
          <w:p w14:paraId="05DE0E9A">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39D693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5365E0EF">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1922" w:type="dxa"/>
            <w:tcBorders>
              <w:tl2br w:val="nil"/>
              <w:tr2bl w:val="nil"/>
            </w:tcBorders>
            <w:noWrap w:val="0"/>
            <w:vAlign w:val="center"/>
          </w:tcPr>
          <w:p w14:paraId="567C1031">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百分位数日平均或8h平均质量浓度</w:t>
            </w:r>
          </w:p>
        </w:tc>
        <w:tc>
          <w:tcPr>
            <w:tcW w:w="1093" w:type="dxa"/>
            <w:tcBorders>
              <w:tl2br w:val="nil"/>
              <w:tr2bl w:val="nil"/>
            </w:tcBorders>
            <w:noWrap w:val="0"/>
            <w:vAlign w:val="center"/>
          </w:tcPr>
          <w:p w14:paraId="27DF94AD">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w:t>
            </w:r>
          </w:p>
        </w:tc>
        <w:tc>
          <w:tcPr>
            <w:tcW w:w="1343" w:type="dxa"/>
            <w:tcBorders>
              <w:tl2br w:val="nil"/>
              <w:tr2bl w:val="nil"/>
            </w:tcBorders>
            <w:noWrap w:val="0"/>
            <w:vAlign w:val="center"/>
          </w:tcPr>
          <w:p w14:paraId="652EDA74">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1507" w:type="dxa"/>
            <w:tcBorders>
              <w:tl2br w:val="nil"/>
              <w:tr2bl w:val="nil"/>
            </w:tcBorders>
            <w:noWrap w:val="0"/>
            <w:vAlign w:val="center"/>
          </w:tcPr>
          <w:p w14:paraId="6E7DDB43">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35.0</w:t>
            </w:r>
          </w:p>
        </w:tc>
        <w:tc>
          <w:tcPr>
            <w:tcW w:w="1179" w:type="dxa"/>
            <w:tcBorders>
              <w:tl2br w:val="nil"/>
              <w:tr2bl w:val="nil"/>
            </w:tcBorders>
            <w:noWrap w:val="0"/>
            <w:vAlign w:val="center"/>
          </w:tcPr>
          <w:p w14:paraId="2D50394D">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497E798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7" w:type="dxa"/>
            <w:tcBorders>
              <w:tl2br w:val="nil"/>
              <w:tr2bl w:val="nil"/>
            </w:tcBorders>
            <w:noWrap w:val="0"/>
            <w:vAlign w:val="center"/>
          </w:tcPr>
          <w:p w14:paraId="556981FF">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1922" w:type="dxa"/>
            <w:tcBorders>
              <w:tl2br w:val="nil"/>
              <w:tr2bl w:val="nil"/>
            </w:tcBorders>
            <w:noWrap w:val="0"/>
            <w:vAlign w:val="center"/>
          </w:tcPr>
          <w:p w14:paraId="2C13FCC1">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百分位数日平均或8h平均质量浓度</w:t>
            </w:r>
          </w:p>
        </w:tc>
        <w:tc>
          <w:tcPr>
            <w:tcW w:w="1093" w:type="dxa"/>
            <w:tcBorders>
              <w:tl2br w:val="nil"/>
              <w:tr2bl w:val="nil"/>
            </w:tcBorders>
            <w:noWrap w:val="0"/>
            <w:vAlign w:val="center"/>
          </w:tcPr>
          <w:p w14:paraId="3216460E">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156</w:t>
            </w:r>
          </w:p>
        </w:tc>
        <w:tc>
          <w:tcPr>
            <w:tcW w:w="1343" w:type="dxa"/>
            <w:tcBorders>
              <w:tl2br w:val="nil"/>
              <w:tr2bl w:val="nil"/>
            </w:tcBorders>
            <w:noWrap w:val="0"/>
            <w:vAlign w:val="center"/>
          </w:tcPr>
          <w:p w14:paraId="0E88DA38">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p>
        </w:tc>
        <w:tc>
          <w:tcPr>
            <w:tcW w:w="1507" w:type="dxa"/>
            <w:tcBorders>
              <w:tl2br w:val="nil"/>
              <w:tr2bl w:val="nil"/>
            </w:tcBorders>
            <w:noWrap w:val="0"/>
            <w:vAlign w:val="center"/>
          </w:tcPr>
          <w:p w14:paraId="3E85E1DF">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97.5</w:t>
            </w:r>
          </w:p>
        </w:tc>
        <w:tc>
          <w:tcPr>
            <w:tcW w:w="1179" w:type="dxa"/>
            <w:tcBorders>
              <w:tl2br w:val="nil"/>
              <w:tr2bl w:val="nil"/>
            </w:tcBorders>
            <w:noWrap w:val="0"/>
            <w:vAlign w:val="center"/>
          </w:tcPr>
          <w:p w14:paraId="0A1E103C">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p w14:paraId="392DAF46">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eastAsia="宋体" w:cs="Times New Roman"/>
          <w:color w:val="auto"/>
          <w:sz w:val="24"/>
          <w:szCs w:val="24"/>
        </w:rPr>
        <w:t>由表可见，</w:t>
      </w:r>
      <w:r>
        <w:rPr>
          <w:rFonts w:hint="default" w:ascii="Times New Roman" w:hAnsi="Times New Roman" w:eastAsia="宋体" w:cs="Times New Roman"/>
          <w:color w:val="auto"/>
          <w:sz w:val="24"/>
          <w:szCs w:val="24"/>
          <w:lang w:eastAsia="zh-CN"/>
        </w:rPr>
        <w:t>项目区域基本因子</w:t>
      </w:r>
      <w:r>
        <w:rPr>
          <w:rFonts w:hint="default" w:ascii="Times New Roman" w:hAnsi="Times New Roman" w:eastAsia="宋体" w:cs="Times New Roman"/>
          <w:bCs/>
          <w:color w:val="auto"/>
          <w:sz w:val="24"/>
          <w:szCs w:val="24"/>
        </w:rPr>
        <w:t>均</w:t>
      </w:r>
      <w:r>
        <w:rPr>
          <w:rFonts w:hint="default" w:ascii="Times New Roman" w:hAnsi="Times New Roman" w:eastAsia="宋体" w:cs="Times New Roman"/>
          <w:color w:val="auto"/>
          <w:sz w:val="24"/>
          <w:szCs w:val="24"/>
        </w:rPr>
        <w:t>符合《环境空气质量标准》(GB3095—2012)中二级标准，该区域属于为环境空气质量达标区</w:t>
      </w:r>
      <w:r>
        <w:rPr>
          <w:rFonts w:hint="default" w:ascii="Times New Roman" w:hAnsi="Times New Roman" w:eastAsia="宋体" w:cs="Times New Roman"/>
          <w:bCs/>
          <w:color w:val="auto"/>
          <w:sz w:val="24"/>
          <w:szCs w:val="24"/>
        </w:rPr>
        <w:t>。</w:t>
      </w:r>
    </w:p>
    <w:p w14:paraId="4AED16C3">
      <w:pPr>
        <w:pStyle w:val="4"/>
        <w:snapToGrid w:val="0"/>
        <w:spacing w:before="0"/>
        <w:rPr>
          <w:rFonts w:ascii="Times New Roman" w:hAnsi="Times New Roman" w:eastAsia="宋体"/>
          <w:bCs/>
          <w:color w:val="auto"/>
          <w:sz w:val="28"/>
          <w:szCs w:val="28"/>
        </w:rPr>
      </w:pPr>
      <w:bookmarkStart w:id="262" w:name="_Toc22294"/>
      <w:r>
        <w:rPr>
          <w:rFonts w:ascii="Times New Roman" w:hAnsi="Times New Roman" w:eastAsia="宋体"/>
          <w:bCs/>
          <w:color w:val="auto"/>
          <w:sz w:val="28"/>
          <w:szCs w:val="28"/>
        </w:rPr>
        <w:t>4.</w:t>
      </w:r>
      <w:r>
        <w:rPr>
          <w:rFonts w:hint="eastAsia" w:ascii="Times New Roman" w:hAnsi="Times New Roman" w:eastAsia="宋体"/>
          <w:bCs/>
          <w:color w:val="auto"/>
          <w:sz w:val="28"/>
          <w:szCs w:val="28"/>
        </w:rPr>
        <w:t>4</w:t>
      </w:r>
      <w:r>
        <w:rPr>
          <w:rFonts w:ascii="Times New Roman" w:hAnsi="Times New Roman" w:eastAsia="宋体"/>
          <w:bCs/>
          <w:color w:val="auto"/>
          <w:sz w:val="28"/>
          <w:szCs w:val="28"/>
        </w:rPr>
        <w:t>.2特征污染物环境质量现状</w:t>
      </w:r>
      <w:bookmarkEnd w:id="262"/>
    </w:p>
    <w:p w14:paraId="0E6C5097">
      <w:pPr>
        <w:spacing w:line="360" w:lineRule="auto"/>
        <w:ind w:firstLine="480" w:firstLineChars="200"/>
        <w:rPr>
          <w:color w:val="auto"/>
          <w:sz w:val="24"/>
          <w:highlight w:val="none"/>
        </w:rPr>
      </w:pPr>
      <w:r>
        <w:rPr>
          <w:color w:val="auto"/>
          <w:sz w:val="24"/>
          <w:highlight w:val="none"/>
          <w:lang w:val="zh-CN"/>
        </w:rPr>
        <w:t>为了反应区域环境空气质量，</w:t>
      </w:r>
      <w:r>
        <w:rPr>
          <w:color w:val="auto"/>
          <w:sz w:val="24"/>
          <w:highlight w:val="green"/>
        </w:rPr>
        <w:t>朝阳彤天环保发展有限公司于</w:t>
      </w:r>
      <w:r>
        <w:rPr>
          <w:color w:val="auto"/>
          <w:kern w:val="0"/>
          <w:sz w:val="24"/>
          <w:highlight w:val="green"/>
        </w:rPr>
        <w:t>202</w:t>
      </w:r>
      <w:r>
        <w:rPr>
          <w:rFonts w:hint="eastAsia"/>
          <w:color w:val="auto"/>
          <w:kern w:val="0"/>
          <w:sz w:val="24"/>
          <w:highlight w:val="green"/>
          <w:lang w:val="en-US" w:eastAsia="zh-CN"/>
        </w:rPr>
        <w:t>3</w:t>
      </w:r>
      <w:r>
        <w:rPr>
          <w:color w:val="auto"/>
          <w:kern w:val="0"/>
          <w:sz w:val="24"/>
          <w:highlight w:val="green"/>
        </w:rPr>
        <w:t>年</w:t>
      </w:r>
      <w:r>
        <w:rPr>
          <w:rFonts w:hint="eastAsia"/>
          <w:color w:val="auto"/>
          <w:kern w:val="0"/>
          <w:sz w:val="24"/>
          <w:highlight w:val="green"/>
          <w:lang w:val="en-US" w:eastAsia="zh-CN"/>
        </w:rPr>
        <w:t>9</w:t>
      </w:r>
      <w:r>
        <w:rPr>
          <w:color w:val="auto"/>
          <w:kern w:val="0"/>
          <w:sz w:val="24"/>
          <w:highlight w:val="green"/>
        </w:rPr>
        <w:t>月</w:t>
      </w:r>
      <w:r>
        <w:rPr>
          <w:rFonts w:hint="eastAsia"/>
          <w:color w:val="auto"/>
          <w:kern w:val="0"/>
          <w:sz w:val="24"/>
          <w:highlight w:val="green"/>
        </w:rPr>
        <w:t>26</w:t>
      </w:r>
      <w:r>
        <w:rPr>
          <w:color w:val="auto"/>
          <w:kern w:val="0"/>
          <w:sz w:val="24"/>
          <w:highlight w:val="green"/>
        </w:rPr>
        <w:t>日～</w:t>
      </w:r>
      <w:r>
        <w:rPr>
          <w:rFonts w:hint="eastAsia"/>
          <w:color w:val="auto"/>
          <w:kern w:val="0"/>
          <w:sz w:val="24"/>
          <w:highlight w:val="green"/>
          <w:lang w:val="en-US" w:eastAsia="zh-CN"/>
        </w:rPr>
        <w:t>10</w:t>
      </w:r>
      <w:r>
        <w:rPr>
          <w:color w:val="auto"/>
          <w:kern w:val="0"/>
          <w:sz w:val="24"/>
          <w:highlight w:val="green"/>
        </w:rPr>
        <w:t>月</w:t>
      </w:r>
      <w:r>
        <w:rPr>
          <w:rFonts w:hint="eastAsia"/>
          <w:color w:val="auto"/>
          <w:kern w:val="0"/>
          <w:sz w:val="24"/>
          <w:highlight w:val="green"/>
          <w:lang w:val="en-US" w:eastAsia="zh-CN"/>
        </w:rPr>
        <w:t>2</w:t>
      </w:r>
      <w:r>
        <w:rPr>
          <w:color w:val="auto"/>
          <w:kern w:val="0"/>
          <w:sz w:val="24"/>
          <w:highlight w:val="green"/>
        </w:rPr>
        <w:t>日</w:t>
      </w:r>
      <w:r>
        <w:rPr>
          <w:color w:val="auto"/>
          <w:sz w:val="24"/>
          <w:highlight w:val="green"/>
        </w:rPr>
        <w:t>对项目地、</w:t>
      </w:r>
      <w:r>
        <w:rPr>
          <w:rFonts w:hint="eastAsia"/>
          <w:color w:val="auto"/>
          <w:sz w:val="24"/>
          <w:highlight w:val="green"/>
          <w:lang w:eastAsia="zh-CN"/>
        </w:rPr>
        <w:t>东井村</w:t>
      </w:r>
      <w:r>
        <w:rPr>
          <w:bCs/>
          <w:color w:val="auto"/>
          <w:kern w:val="0"/>
          <w:sz w:val="24"/>
          <w:highlight w:val="green"/>
        </w:rPr>
        <w:t>进行了连续7天</w:t>
      </w:r>
      <w:r>
        <w:rPr>
          <w:color w:val="auto"/>
          <w:sz w:val="24"/>
          <w:highlight w:val="green"/>
        </w:rPr>
        <w:t>环境</w:t>
      </w:r>
      <w:r>
        <w:rPr>
          <w:bCs/>
          <w:color w:val="auto"/>
          <w:kern w:val="0"/>
          <w:sz w:val="24"/>
          <w:highlight w:val="green"/>
        </w:rPr>
        <w:t>空气质量</w:t>
      </w:r>
      <w:r>
        <w:rPr>
          <w:color w:val="auto"/>
          <w:sz w:val="24"/>
          <w:highlight w:val="green"/>
        </w:rPr>
        <w:t>现状监测，</w:t>
      </w:r>
      <w:r>
        <w:rPr>
          <w:color w:val="auto"/>
          <w:sz w:val="24"/>
          <w:highlight w:val="none"/>
        </w:rPr>
        <w:t>污染物补充监测点位基本信息见表</w:t>
      </w:r>
      <w:r>
        <w:rPr>
          <w:rFonts w:hint="eastAsia"/>
          <w:color w:val="auto"/>
          <w:sz w:val="24"/>
          <w:highlight w:val="none"/>
          <w:lang w:val="en-US" w:eastAsia="zh-CN"/>
        </w:rPr>
        <w:t>4.4-2</w:t>
      </w:r>
      <w:r>
        <w:rPr>
          <w:color w:val="auto"/>
          <w:sz w:val="24"/>
          <w:highlight w:val="none"/>
        </w:rPr>
        <w:t>。</w:t>
      </w:r>
    </w:p>
    <w:p w14:paraId="7413256E">
      <w:pPr>
        <w:ind w:firstLine="413" w:firstLineChars="196"/>
        <w:jc w:val="center"/>
        <w:rPr>
          <w:b/>
          <w:bCs/>
          <w:color w:val="auto"/>
          <w:szCs w:val="21"/>
          <w:highlight w:val="green"/>
        </w:rPr>
      </w:pPr>
      <w:r>
        <w:rPr>
          <w:b/>
          <w:bCs/>
          <w:color w:val="auto"/>
          <w:szCs w:val="21"/>
          <w:highlight w:val="green"/>
        </w:rPr>
        <w:t>表</w:t>
      </w:r>
      <w:r>
        <w:rPr>
          <w:rFonts w:hint="eastAsia"/>
          <w:b/>
          <w:bCs/>
          <w:color w:val="auto"/>
          <w:szCs w:val="21"/>
          <w:highlight w:val="green"/>
          <w:lang w:val="en-US" w:eastAsia="zh-CN"/>
        </w:rPr>
        <w:t xml:space="preserve">4.4-2 </w:t>
      </w:r>
      <w:r>
        <w:rPr>
          <w:b/>
          <w:bCs/>
          <w:color w:val="auto"/>
          <w:szCs w:val="21"/>
          <w:highlight w:val="green"/>
        </w:rPr>
        <w:t xml:space="preserve">   污染物补充监测点位基本信息</w:t>
      </w:r>
    </w:p>
    <w:tbl>
      <w:tblPr>
        <w:tblStyle w:val="53"/>
        <w:tblW w:w="0" w:type="auto"/>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5"/>
        <w:gridCol w:w="1244"/>
        <w:gridCol w:w="1162"/>
        <w:gridCol w:w="1459"/>
        <w:gridCol w:w="2763"/>
        <w:gridCol w:w="952"/>
      </w:tblGrid>
      <w:tr w14:paraId="5BC5415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PrEx>
        <w:trPr>
          <w:trHeight w:val="340" w:hRule="atLeast"/>
          <w:jc w:val="center"/>
        </w:trPr>
        <w:tc>
          <w:tcPr>
            <w:tcW w:w="945" w:type="dxa"/>
            <w:vMerge w:val="restart"/>
            <w:vAlign w:val="center"/>
          </w:tcPr>
          <w:p w14:paraId="28151B58">
            <w:pPr>
              <w:jc w:val="center"/>
              <w:rPr>
                <w:color w:val="auto"/>
                <w:szCs w:val="21"/>
                <w:highlight w:val="green"/>
              </w:rPr>
            </w:pPr>
            <w:r>
              <w:rPr>
                <w:color w:val="auto"/>
                <w:szCs w:val="21"/>
                <w:highlight w:val="green"/>
              </w:rPr>
              <w:t>监测点名称</w:t>
            </w:r>
          </w:p>
        </w:tc>
        <w:tc>
          <w:tcPr>
            <w:tcW w:w="2406" w:type="dxa"/>
            <w:gridSpan w:val="2"/>
            <w:vAlign w:val="center"/>
          </w:tcPr>
          <w:p w14:paraId="3A4310FF">
            <w:pPr>
              <w:jc w:val="center"/>
              <w:rPr>
                <w:color w:val="auto"/>
                <w:szCs w:val="21"/>
                <w:highlight w:val="green"/>
              </w:rPr>
            </w:pPr>
            <w:r>
              <w:rPr>
                <w:color w:val="auto"/>
                <w:szCs w:val="21"/>
                <w:highlight w:val="green"/>
              </w:rPr>
              <w:t>监测点经纬坐标</w:t>
            </w:r>
          </w:p>
        </w:tc>
        <w:tc>
          <w:tcPr>
            <w:tcW w:w="1459" w:type="dxa"/>
            <w:vMerge w:val="restart"/>
            <w:vAlign w:val="center"/>
          </w:tcPr>
          <w:p w14:paraId="587A0D07">
            <w:pPr>
              <w:jc w:val="center"/>
              <w:rPr>
                <w:color w:val="auto"/>
                <w:szCs w:val="21"/>
                <w:highlight w:val="green"/>
              </w:rPr>
            </w:pPr>
            <w:r>
              <w:rPr>
                <w:color w:val="auto"/>
                <w:szCs w:val="21"/>
                <w:highlight w:val="green"/>
              </w:rPr>
              <w:t>监测因子</w:t>
            </w:r>
          </w:p>
        </w:tc>
        <w:tc>
          <w:tcPr>
            <w:tcW w:w="2763" w:type="dxa"/>
            <w:vMerge w:val="restart"/>
            <w:vAlign w:val="center"/>
          </w:tcPr>
          <w:p w14:paraId="76B2F9FB">
            <w:pPr>
              <w:jc w:val="center"/>
              <w:rPr>
                <w:color w:val="auto"/>
                <w:szCs w:val="21"/>
                <w:highlight w:val="green"/>
              </w:rPr>
            </w:pPr>
            <w:r>
              <w:rPr>
                <w:color w:val="auto"/>
                <w:szCs w:val="21"/>
                <w:highlight w:val="green"/>
              </w:rPr>
              <w:t>监测</w:t>
            </w:r>
          </w:p>
          <w:p w14:paraId="77A3DFDC">
            <w:pPr>
              <w:jc w:val="center"/>
              <w:rPr>
                <w:color w:val="auto"/>
                <w:szCs w:val="21"/>
                <w:highlight w:val="green"/>
              </w:rPr>
            </w:pPr>
            <w:r>
              <w:rPr>
                <w:color w:val="auto"/>
                <w:szCs w:val="21"/>
                <w:highlight w:val="green"/>
              </w:rPr>
              <w:t>时段</w:t>
            </w:r>
          </w:p>
        </w:tc>
        <w:tc>
          <w:tcPr>
            <w:tcW w:w="952" w:type="dxa"/>
            <w:vMerge w:val="restart"/>
            <w:vAlign w:val="center"/>
          </w:tcPr>
          <w:p w14:paraId="4E2048EC">
            <w:pPr>
              <w:jc w:val="center"/>
              <w:rPr>
                <w:color w:val="auto"/>
                <w:szCs w:val="21"/>
                <w:highlight w:val="green"/>
              </w:rPr>
            </w:pPr>
            <w:r>
              <w:rPr>
                <w:color w:val="auto"/>
                <w:szCs w:val="21"/>
                <w:highlight w:val="green"/>
              </w:rPr>
              <w:t>相对厂址方位</w:t>
            </w:r>
          </w:p>
        </w:tc>
      </w:tr>
      <w:tr w14:paraId="3CA9C11E">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5" w:type="dxa"/>
            <w:vMerge w:val="continue"/>
            <w:vAlign w:val="center"/>
          </w:tcPr>
          <w:p w14:paraId="6F713A3E">
            <w:pPr>
              <w:widowControl/>
              <w:jc w:val="left"/>
              <w:rPr>
                <w:color w:val="auto"/>
                <w:szCs w:val="21"/>
                <w:highlight w:val="green"/>
              </w:rPr>
            </w:pPr>
          </w:p>
        </w:tc>
        <w:tc>
          <w:tcPr>
            <w:tcW w:w="1244" w:type="dxa"/>
            <w:vAlign w:val="center"/>
          </w:tcPr>
          <w:p w14:paraId="68374694">
            <w:pPr>
              <w:jc w:val="center"/>
              <w:rPr>
                <w:color w:val="auto"/>
                <w:szCs w:val="21"/>
                <w:highlight w:val="green"/>
              </w:rPr>
            </w:pPr>
            <w:r>
              <w:rPr>
                <w:color w:val="auto"/>
                <w:szCs w:val="21"/>
                <w:highlight w:val="green"/>
              </w:rPr>
              <w:t>经度</w:t>
            </w:r>
          </w:p>
        </w:tc>
        <w:tc>
          <w:tcPr>
            <w:tcW w:w="1162" w:type="dxa"/>
            <w:vAlign w:val="center"/>
          </w:tcPr>
          <w:p w14:paraId="4E2961AC">
            <w:pPr>
              <w:jc w:val="center"/>
              <w:rPr>
                <w:color w:val="auto"/>
                <w:szCs w:val="21"/>
                <w:highlight w:val="green"/>
              </w:rPr>
            </w:pPr>
            <w:r>
              <w:rPr>
                <w:color w:val="auto"/>
                <w:szCs w:val="21"/>
                <w:highlight w:val="green"/>
              </w:rPr>
              <w:t>纬度</w:t>
            </w:r>
          </w:p>
        </w:tc>
        <w:tc>
          <w:tcPr>
            <w:tcW w:w="1459" w:type="dxa"/>
            <w:vMerge w:val="continue"/>
            <w:vAlign w:val="center"/>
          </w:tcPr>
          <w:p w14:paraId="46C10BEA">
            <w:pPr>
              <w:widowControl/>
              <w:jc w:val="left"/>
              <w:rPr>
                <w:color w:val="auto"/>
                <w:szCs w:val="21"/>
                <w:highlight w:val="green"/>
              </w:rPr>
            </w:pPr>
          </w:p>
        </w:tc>
        <w:tc>
          <w:tcPr>
            <w:tcW w:w="2763" w:type="dxa"/>
            <w:vMerge w:val="continue"/>
            <w:vAlign w:val="center"/>
          </w:tcPr>
          <w:p w14:paraId="758E067F">
            <w:pPr>
              <w:widowControl/>
              <w:jc w:val="left"/>
              <w:rPr>
                <w:color w:val="auto"/>
                <w:szCs w:val="21"/>
                <w:highlight w:val="green"/>
              </w:rPr>
            </w:pPr>
          </w:p>
        </w:tc>
        <w:tc>
          <w:tcPr>
            <w:tcW w:w="952" w:type="dxa"/>
            <w:vMerge w:val="continue"/>
            <w:vAlign w:val="center"/>
          </w:tcPr>
          <w:p w14:paraId="24B2492B">
            <w:pPr>
              <w:widowControl/>
              <w:jc w:val="left"/>
              <w:rPr>
                <w:color w:val="auto"/>
                <w:szCs w:val="21"/>
                <w:highlight w:val="green"/>
              </w:rPr>
            </w:pPr>
          </w:p>
        </w:tc>
      </w:tr>
      <w:tr w14:paraId="4D7F7260">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5" w:type="dxa"/>
            <w:vAlign w:val="center"/>
          </w:tcPr>
          <w:p w14:paraId="585919DE">
            <w:pPr>
              <w:widowControl/>
              <w:jc w:val="center"/>
              <w:rPr>
                <w:color w:val="auto"/>
                <w:szCs w:val="21"/>
                <w:highlight w:val="green"/>
              </w:rPr>
            </w:pPr>
            <w:r>
              <w:rPr>
                <w:color w:val="auto"/>
                <w:szCs w:val="21"/>
                <w:highlight w:val="green"/>
              </w:rPr>
              <w:t>项目地</w:t>
            </w:r>
          </w:p>
        </w:tc>
        <w:tc>
          <w:tcPr>
            <w:tcW w:w="1244" w:type="dxa"/>
            <w:vAlign w:val="center"/>
          </w:tcPr>
          <w:p w14:paraId="41DF425E">
            <w:pPr>
              <w:widowControl/>
              <w:ind w:left="-105" w:leftChars="-50" w:right="-105" w:rightChars="-50"/>
              <w:jc w:val="center"/>
              <w:rPr>
                <w:color w:val="auto"/>
                <w:szCs w:val="21"/>
                <w:highlight w:val="green"/>
              </w:rPr>
            </w:pPr>
            <w:r>
              <w:rPr>
                <w:color w:val="auto"/>
                <w:szCs w:val="21"/>
                <w:highlight w:val="green"/>
              </w:rPr>
              <w:t>1</w:t>
            </w:r>
            <w:r>
              <w:rPr>
                <w:rFonts w:hint="eastAsia"/>
                <w:color w:val="auto"/>
                <w:szCs w:val="21"/>
                <w:highlight w:val="green"/>
                <w:lang w:val="en-US" w:eastAsia="zh-CN"/>
              </w:rPr>
              <w:t>20</w:t>
            </w:r>
            <w:r>
              <w:rPr>
                <w:color w:val="auto"/>
                <w:szCs w:val="21"/>
                <w:highlight w:val="green"/>
              </w:rPr>
              <w:t>°</w:t>
            </w:r>
            <w:r>
              <w:rPr>
                <w:rFonts w:hint="eastAsia"/>
                <w:color w:val="auto"/>
                <w:szCs w:val="21"/>
                <w:highlight w:val="green"/>
                <w:lang w:val="en-US" w:eastAsia="zh-CN"/>
              </w:rPr>
              <w:t>03</w:t>
            </w:r>
            <w:r>
              <w:rPr>
                <w:color w:val="auto"/>
                <w:szCs w:val="21"/>
                <w:highlight w:val="green"/>
              </w:rPr>
              <w:t>′</w:t>
            </w:r>
            <w:r>
              <w:rPr>
                <w:rFonts w:hint="eastAsia"/>
                <w:color w:val="auto"/>
                <w:szCs w:val="21"/>
                <w:highlight w:val="green"/>
                <w:lang w:val="en-US" w:eastAsia="zh-CN"/>
              </w:rPr>
              <w:t>18</w:t>
            </w:r>
            <w:r>
              <w:rPr>
                <w:color w:val="auto"/>
                <w:szCs w:val="21"/>
                <w:highlight w:val="green"/>
              </w:rPr>
              <w:t>.6</w:t>
            </w:r>
            <w:r>
              <w:rPr>
                <w:rFonts w:hint="eastAsia"/>
                <w:color w:val="auto"/>
                <w:szCs w:val="21"/>
                <w:highlight w:val="green"/>
                <w:lang w:val="en-US" w:eastAsia="zh-CN"/>
              </w:rPr>
              <w:t>6</w:t>
            </w:r>
            <w:r>
              <w:rPr>
                <w:color w:val="auto"/>
                <w:szCs w:val="21"/>
                <w:highlight w:val="green"/>
              </w:rPr>
              <w:t>″</w:t>
            </w:r>
          </w:p>
        </w:tc>
        <w:tc>
          <w:tcPr>
            <w:tcW w:w="1162" w:type="dxa"/>
            <w:vAlign w:val="center"/>
          </w:tcPr>
          <w:p w14:paraId="19787863">
            <w:pPr>
              <w:widowControl/>
              <w:ind w:left="-105" w:leftChars="-50" w:right="-105" w:rightChars="-50"/>
              <w:jc w:val="center"/>
              <w:rPr>
                <w:color w:val="auto"/>
                <w:szCs w:val="21"/>
                <w:highlight w:val="green"/>
              </w:rPr>
            </w:pPr>
            <w:r>
              <w:rPr>
                <w:color w:val="auto"/>
                <w:szCs w:val="21"/>
                <w:highlight w:val="green"/>
              </w:rPr>
              <w:t>4</w:t>
            </w:r>
            <w:r>
              <w:rPr>
                <w:rFonts w:hint="eastAsia"/>
                <w:color w:val="auto"/>
                <w:szCs w:val="21"/>
                <w:highlight w:val="green"/>
                <w:lang w:val="en-US" w:eastAsia="zh-CN"/>
              </w:rPr>
              <w:t>1</w:t>
            </w:r>
            <w:r>
              <w:rPr>
                <w:color w:val="auto"/>
                <w:szCs w:val="21"/>
                <w:highlight w:val="green"/>
              </w:rPr>
              <w:t>°</w:t>
            </w:r>
            <w:r>
              <w:rPr>
                <w:rFonts w:hint="eastAsia"/>
                <w:color w:val="auto"/>
                <w:szCs w:val="21"/>
                <w:highlight w:val="green"/>
                <w:lang w:val="en-US" w:eastAsia="zh-CN"/>
              </w:rPr>
              <w:t>53</w:t>
            </w:r>
            <w:r>
              <w:rPr>
                <w:color w:val="auto"/>
                <w:szCs w:val="21"/>
                <w:highlight w:val="green"/>
              </w:rPr>
              <w:t>′</w:t>
            </w:r>
            <w:r>
              <w:rPr>
                <w:rFonts w:hint="eastAsia"/>
                <w:color w:val="auto"/>
                <w:szCs w:val="21"/>
                <w:highlight w:val="green"/>
                <w:lang w:val="en-US" w:eastAsia="zh-CN"/>
              </w:rPr>
              <w:t>35</w:t>
            </w:r>
            <w:r>
              <w:rPr>
                <w:color w:val="auto"/>
                <w:szCs w:val="21"/>
                <w:highlight w:val="green"/>
              </w:rPr>
              <w:t>.</w:t>
            </w:r>
            <w:r>
              <w:rPr>
                <w:rFonts w:hint="eastAsia"/>
                <w:color w:val="auto"/>
                <w:szCs w:val="21"/>
                <w:highlight w:val="green"/>
                <w:lang w:val="en-US" w:eastAsia="zh-CN"/>
              </w:rPr>
              <w:t>81</w:t>
            </w:r>
            <w:r>
              <w:rPr>
                <w:color w:val="auto"/>
                <w:szCs w:val="21"/>
                <w:highlight w:val="green"/>
              </w:rPr>
              <w:t>″</w:t>
            </w:r>
          </w:p>
        </w:tc>
        <w:tc>
          <w:tcPr>
            <w:tcW w:w="1459" w:type="dxa"/>
            <w:vMerge w:val="restart"/>
            <w:vAlign w:val="center"/>
          </w:tcPr>
          <w:p w14:paraId="493FC3F4">
            <w:pPr>
              <w:jc w:val="center"/>
              <w:rPr>
                <w:color w:val="auto"/>
                <w:szCs w:val="21"/>
                <w:highlight w:val="green"/>
              </w:rPr>
            </w:pPr>
            <w:r>
              <w:rPr>
                <w:color w:val="auto"/>
                <w:szCs w:val="21"/>
                <w:highlight w:val="green"/>
              </w:rPr>
              <w:t>NH</w:t>
            </w:r>
            <w:r>
              <w:rPr>
                <w:color w:val="auto"/>
                <w:szCs w:val="21"/>
                <w:highlight w:val="green"/>
                <w:vertAlign w:val="subscript"/>
              </w:rPr>
              <w:t>3</w:t>
            </w:r>
            <w:r>
              <w:rPr>
                <w:color w:val="auto"/>
                <w:szCs w:val="21"/>
                <w:highlight w:val="green"/>
              </w:rPr>
              <w:t>、H</w:t>
            </w:r>
            <w:r>
              <w:rPr>
                <w:color w:val="auto"/>
                <w:szCs w:val="21"/>
                <w:highlight w:val="green"/>
                <w:vertAlign w:val="subscript"/>
              </w:rPr>
              <w:t>2</w:t>
            </w:r>
            <w:r>
              <w:rPr>
                <w:color w:val="auto"/>
                <w:szCs w:val="21"/>
                <w:highlight w:val="green"/>
              </w:rPr>
              <w:t>S、臭气浓度</w:t>
            </w:r>
            <w:r>
              <w:rPr>
                <w:rFonts w:hint="eastAsia"/>
                <w:color w:val="auto"/>
                <w:szCs w:val="21"/>
                <w:highlight w:val="green"/>
              </w:rPr>
              <w:t>、总悬浮颗粒物、氮氧化物</w:t>
            </w:r>
          </w:p>
        </w:tc>
        <w:tc>
          <w:tcPr>
            <w:tcW w:w="2763" w:type="dxa"/>
            <w:vMerge w:val="restart"/>
            <w:vAlign w:val="center"/>
          </w:tcPr>
          <w:p w14:paraId="3A26FA21">
            <w:pPr>
              <w:jc w:val="center"/>
              <w:rPr>
                <w:color w:val="auto"/>
                <w:szCs w:val="21"/>
                <w:highlight w:val="green"/>
              </w:rPr>
            </w:pPr>
            <w:r>
              <w:rPr>
                <w:color w:val="auto"/>
                <w:szCs w:val="21"/>
                <w:highlight w:val="green"/>
              </w:rPr>
              <w:t>NH</w:t>
            </w:r>
            <w:r>
              <w:rPr>
                <w:color w:val="auto"/>
                <w:szCs w:val="21"/>
                <w:highlight w:val="green"/>
                <w:vertAlign w:val="subscript"/>
              </w:rPr>
              <w:t>3</w:t>
            </w:r>
            <w:r>
              <w:rPr>
                <w:color w:val="auto"/>
                <w:szCs w:val="21"/>
                <w:highlight w:val="green"/>
              </w:rPr>
              <w:t>、H</w:t>
            </w:r>
            <w:r>
              <w:rPr>
                <w:color w:val="auto"/>
                <w:szCs w:val="21"/>
                <w:highlight w:val="green"/>
                <w:vertAlign w:val="subscript"/>
              </w:rPr>
              <w:t>2</w:t>
            </w:r>
            <w:r>
              <w:rPr>
                <w:color w:val="auto"/>
                <w:szCs w:val="21"/>
                <w:highlight w:val="green"/>
              </w:rPr>
              <w:t>S为1小时均值，臭气浓度一次值</w:t>
            </w:r>
            <w:r>
              <w:rPr>
                <w:rFonts w:hint="eastAsia"/>
                <w:color w:val="auto"/>
                <w:szCs w:val="21"/>
                <w:highlight w:val="green"/>
              </w:rPr>
              <w:t>，总悬浮颗粒物监测24小时平均，氮氧化物监测24小时平均</w:t>
            </w:r>
          </w:p>
        </w:tc>
        <w:tc>
          <w:tcPr>
            <w:tcW w:w="952" w:type="dxa"/>
            <w:vAlign w:val="center"/>
          </w:tcPr>
          <w:p w14:paraId="12713263">
            <w:pPr>
              <w:jc w:val="center"/>
              <w:rPr>
                <w:color w:val="auto"/>
                <w:szCs w:val="21"/>
                <w:highlight w:val="green"/>
              </w:rPr>
            </w:pPr>
            <w:r>
              <w:rPr>
                <w:color w:val="auto"/>
                <w:szCs w:val="21"/>
                <w:highlight w:val="green"/>
              </w:rPr>
              <w:t>/</w:t>
            </w:r>
          </w:p>
        </w:tc>
      </w:tr>
      <w:tr w14:paraId="3FCB6843">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5" w:type="dxa"/>
            <w:vAlign w:val="center"/>
          </w:tcPr>
          <w:p w14:paraId="28D679A2">
            <w:pPr>
              <w:jc w:val="center"/>
              <w:rPr>
                <w:rFonts w:hint="eastAsia" w:eastAsia="宋体"/>
                <w:color w:val="auto"/>
                <w:szCs w:val="21"/>
                <w:highlight w:val="green"/>
                <w:lang w:eastAsia="zh-CN"/>
              </w:rPr>
            </w:pPr>
            <w:r>
              <w:rPr>
                <w:rFonts w:hint="eastAsia"/>
                <w:color w:val="auto"/>
                <w:szCs w:val="21"/>
                <w:highlight w:val="green"/>
                <w:lang w:eastAsia="zh-CN"/>
              </w:rPr>
              <w:t>东井村</w:t>
            </w:r>
          </w:p>
        </w:tc>
        <w:tc>
          <w:tcPr>
            <w:tcW w:w="1244" w:type="dxa"/>
            <w:vAlign w:val="center"/>
          </w:tcPr>
          <w:p w14:paraId="23BB1968">
            <w:pPr>
              <w:ind w:left="-105" w:leftChars="-50" w:right="-105" w:rightChars="-50"/>
              <w:jc w:val="center"/>
              <w:rPr>
                <w:color w:val="auto"/>
                <w:szCs w:val="21"/>
                <w:highlight w:val="green"/>
              </w:rPr>
            </w:pPr>
            <w:r>
              <w:rPr>
                <w:color w:val="auto"/>
                <w:szCs w:val="21"/>
                <w:highlight w:val="green"/>
              </w:rPr>
              <w:t>1</w:t>
            </w:r>
            <w:r>
              <w:rPr>
                <w:rFonts w:hint="eastAsia"/>
                <w:color w:val="auto"/>
                <w:szCs w:val="21"/>
                <w:highlight w:val="green"/>
                <w:lang w:val="en-US" w:eastAsia="zh-CN"/>
              </w:rPr>
              <w:t>20</w:t>
            </w:r>
            <w:r>
              <w:rPr>
                <w:color w:val="auto"/>
                <w:szCs w:val="21"/>
                <w:highlight w:val="green"/>
              </w:rPr>
              <w:t>°</w:t>
            </w:r>
            <w:r>
              <w:rPr>
                <w:rFonts w:hint="eastAsia"/>
                <w:color w:val="auto"/>
                <w:szCs w:val="21"/>
                <w:highlight w:val="green"/>
                <w:lang w:val="en-US" w:eastAsia="zh-CN"/>
              </w:rPr>
              <w:t>03</w:t>
            </w:r>
            <w:r>
              <w:rPr>
                <w:color w:val="auto"/>
                <w:szCs w:val="21"/>
                <w:highlight w:val="green"/>
              </w:rPr>
              <w:t>′</w:t>
            </w:r>
            <w:r>
              <w:rPr>
                <w:rFonts w:hint="eastAsia"/>
                <w:color w:val="auto"/>
                <w:szCs w:val="21"/>
                <w:highlight w:val="green"/>
                <w:lang w:val="en-US" w:eastAsia="zh-CN"/>
              </w:rPr>
              <w:t>47</w:t>
            </w:r>
            <w:r>
              <w:rPr>
                <w:color w:val="auto"/>
                <w:szCs w:val="21"/>
                <w:highlight w:val="green"/>
              </w:rPr>
              <w:t>.6</w:t>
            </w:r>
            <w:r>
              <w:rPr>
                <w:rFonts w:hint="eastAsia"/>
                <w:color w:val="auto"/>
                <w:szCs w:val="21"/>
                <w:highlight w:val="green"/>
                <w:lang w:val="en-US" w:eastAsia="zh-CN"/>
              </w:rPr>
              <w:t>3</w:t>
            </w:r>
            <w:r>
              <w:rPr>
                <w:color w:val="auto"/>
                <w:szCs w:val="21"/>
                <w:highlight w:val="green"/>
              </w:rPr>
              <w:t>″</w:t>
            </w:r>
          </w:p>
        </w:tc>
        <w:tc>
          <w:tcPr>
            <w:tcW w:w="1162" w:type="dxa"/>
            <w:vAlign w:val="center"/>
          </w:tcPr>
          <w:p w14:paraId="7034688A">
            <w:pPr>
              <w:ind w:left="-105" w:leftChars="-50" w:right="-105" w:rightChars="-50"/>
              <w:jc w:val="center"/>
              <w:rPr>
                <w:color w:val="auto"/>
                <w:szCs w:val="21"/>
                <w:highlight w:val="green"/>
              </w:rPr>
            </w:pPr>
            <w:r>
              <w:rPr>
                <w:color w:val="auto"/>
                <w:szCs w:val="21"/>
                <w:highlight w:val="green"/>
              </w:rPr>
              <w:t>4</w:t>
            </w:r>
            <w:r>
              <w:rPr>
                <w:rFonts w:hint="eastAsia"/>
                <w:color w:val="auto"/>
                <w:szCs w:val="21"/>
                <w:highlight w:val="green"/>
                <w:lang w:val="en-US" w:eastAsia="zh-CN"/>
              </w:rPr>
              <w:t>1</w:t>
            </w:r>
            <w:r>
              <w:rPr>
                <w:color w:val="auto"/>
                <w:szCs w:val="21"/>
                <w:highlight w:val="green"/>
              </w:rPr>
              <w:t>°</w:t>
            </w:r>
            <w:r>
              <w:rPr>
                <w:rFonts w:hint="eastAsia"/>
                <w:color w:val="auto"/>
                <w:szCs w:val="21"/>
                <w:highlight w:val="green"/>
                <w:lang w:val="en-US" w:eastAsia="zh-CN"/>
              </w:rPr>
              <w:t>54</w:t>
            </w:r>
            <w:r>
              <w:rPr>
                <w:color w:val="auto"/>
                <w:szCs w:val="21"/>
                <w:highlight w:val="green"/>
              </w:rPr>
              <w:t>′</w:t>
            </w:r>
            <w:r>
              <w:rPr>
                <w:rFonts w:hint="eastAsia"/>
                <w:color w:val="auto"/>
                <w:szCs w:val="21"/>
                <w:highlight w:val="green"/>
                <w:lang w:val="en-US" w:eastAsia="zh-CN"/>
              </w:rPr>
              <w:t>06</w:t>
            </w:r>
            <w:r>
              <w:rPr>
                <w:color w:val="auto"/>
                <w:szCs w:val="21"/>
                <w:highlight w:val="green"/>
              </w:rPr>
              <w:t>.</w:t>
            </w:r>
            <w:r>
              <w:rPr>
                <w:rFonts w:hint="eastAsia"/>
                <w:color w:val="auto"/>
                <w:szCs w:val="21"/>
                <w:highlight w:val="green"/>
                <w:lang w:val="en-US" w:eastAsia="zh-CN"/>
              </w:rPr>
              <w:t>06</w:t>
            </w:r>
            <w:r>
              <w:rPr>
                <w:color w:val="auto"/>
                <w:szCs w:val="21"/>
                <w:highlight w:val="green"/>
              </w:rPr>
              <w:t>″</w:t>
            </w:r>
          </w:p>
        </w:tc>
        <w:tc>
          <w:tcPr>
            <w:tcW w:w="1459" w:type="dxa"/>
            <w:vMerge w:val="continue"/>
            <w:vAlign w:val="center"/>
          </w:tcPr>
          <w:p w14:paraId="45805ABA">
            <w:pPr>
              <w:jc w:val="center"/>
              <w:rPr>
                <w:color w:val="auto"/>
                <w:szCs w:val="21"/>
                <w:highlight w:val="green"/>
              </w:rPr>
            </w:pPr>
          </w:p>
        </w:tc>
        <w:tc>
          <w:tcPr>
            <w:tcW w:w="2763" w:type="dxa"/>
            <w:vMerge w:val="continue"/>
            <w:vAlign w:val="center"/>
          </w:tcPr>
          <w:p w14:paraId="6A611D95">
            <w:pPr>
              <w:jc w:val="center"/>
              <w:rPr>
                <w:color w:val="auto"/>
                <w:szCs w:val="21"/>
                <w:highlight w:val="green"/>
              </w:rPr>
            </w:pPr>
          </w:p>
        </w:tc>
        <w:tc>
          <w:tcPr>
            <w:tcW w:w="952" w:type="dxa"/>
            <w:vAlign w:val="center"/>
          </w:tcPr>
          <w:p w14:paraId="1EA99699">
            <w:pPr>
              <w:jc w:val="center"/>
              <w:rPr>
                <w:color w:val="auto"/>
                <w:szCs w:val="21"/>
                <w:highlight w:val="green"/>
              </w:rPr>
            </w:pPr>
            <w:r>
              <w:rPr>
                <w:rFonts w:hint="eastAsia"/>
                <w:color w:val="auto"/>
                <w:szCs w:val="21"/>
                <w:highlight w:val="green"/>
              </w:rPr>
              <w:t>东</w:t>
            </w:r>
            <w:r>
              <w:rPr>
                <w:color w:val="auto"/>
                <w:szCs w:val="21"/>
                <w:highlight w:val="green"/>
              </w:rPr>
              <w:t>北</w:t>
            </w:r>
          </w:p>
        </w:tc>
      </w:tr>
    </w:tbl>
    <w:p w14:paraId="67700E8C">
      <w:pPr>
        <w:spacing w:line="360" w:lineRule="auto"/>
        <w:ind w:firstLine="480" w:firstLineChars="200"/>
        <w:rPr>
          <w:color w:val="auto"/>
          <w:szCs w:val="21"/>
          <w:highlight w:val="none"/>
        </w:rPr>
      </w:pPr>
      <w:r>
        <w:rPr>
          <w:color w:val="auto"/>
          <w:sz w:val="24"/>
          <w:highlight w:val="none"/>
        </w:rPr>
        <w:t>监测结果统计表见表</w:t>
      </w:r>
      <w:r>
        <w:rPr>
          <w:rFonts w:hint="eastAsia"/>
          <w:color w:val="auto"/>
          <w:sz w:val="24"/>
          <w:highlight w:val="none"/>
          <w:lang w:val="en-US" w:eastAsia="zh-CN"/>
        </w:rPr>
        <w:t>4.4-3~4.4-4</w:t>
      </w:r>
      <w:r>
        <w:rPr>
          <w:color w:val="auto"/>
          <w:sz w:val="24"/>
          <w:highlight w:val="none"/>
        </w:rPr>
        <w:t>。</w:t>
      </w:r>
    </w:p>
    <w:p w14:paraId="5BFDDAF5">
      <w:pPr>
        <w:jc w:val="center"/>
        <w:rPr>
          <w:b/>
          <w:color w:val="auto"/>
          <w:szCs w:val="21"/>
          <w:highlight w:val="green"/>
        </w:rPr>
      </w:pPr>
      <w:r>
        <w:rPr>
          <w:b/>
          <w:color w:val="auto"/>
          <w:szCs w:val="21"/>
          <w:highlight w:val="green"/>
        </w:rPr>
        <w:t>表</w:t>
      </w:r>
      <w:r>
        <w:rPr>
          <w:rFonts w:hint="eastAsia"/>
          <w:b/>
          <w:color w:val="auto"/>
          <w:szCs w:val="21"/>
          <w:highlight w:val="green"/>
          <w:lang w:val="en-US" w:eastAsia="zh-CN"/>
        </w:rPr>
        <w:t xml:space="preserve">4.4-3  </w:t>
      </w:r>
      <w:r>
        <w:rPr>
          <w:b/>
          <w:color w:val="auto"/>
          <w:szCs w:val="21"/>
          <w:highlight w:val="green"/>
        </w:rPr>
        <w:t xml:space="preserve">  </w:t>
      </w:r>
      <w:r>
        <w:rPr>
          <w:rFonts w:ascii="Times New Roman" w:hAnsi="Times New Roman" w:eastAsia="宋体" w:cs="Times New Roman"/>
          <w:b/>
          <w:color w:val="auto"/>
          <w:szCs w:val="21"/>
          <w:highlight w:val="green"/>
        </w:rPr>
        <w:t>检测期间气象条件一览表</w:t>
      </w:r>
    </w:p>
    <w:tbl>
      <w:tblPr>
        <w:tblStyle w:val="53"/>
        <w:tblW w:w="4998" w:type="pct"/>
        <w:jc w:val="center"/>
        <w:tblBorders>
          <w:top w:val="double" w:color="auto" w:sz="2" w:space="0"/>
          <w:left w:val="none" w:color="auto" w:sz="0" w:space="0"/>
          <w:bottom w:val="double" w:color="auto" w:sz="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97"/>
        <w:gridCol w:w="1599"/>
        <w:gridCol w:w="1684"/>
        <w:gridCol w:w="1626"/>
        <w:gridCol w:w="2119"/>
      </w:tblGrid>
      <w:tr w14:paraId="3102E2C4">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 w:type="pct"/>
            <w:vAlign w:val="center"/>
          </w:tcPr>
          <w:p w14:paraId="198A0311">
            <w:pPr>
              <w:jc w:val="center"/>
              <w:rPr>
                <w:rFonts w:hint="default" w:eastAsia="宋体"/>
                <w:color w:val="auto"/>
                <w:szCs w:val="21"/>
                <w:highlight w:val="green"/>
                <w:lang w:val="en-US" w:eastAsia="zh-CN"/>
              </w:rPr>
            </w:pPr>
            <w:r>
              <w:rPr>
                <w:rFonts w:hint="eastAsia"/>
                <w:color w:val="auto"/>
                <w:szCs w:val="21"/>
                <w:highlight w:val="green"/>
                <w:lang w:val="en-US" w:eastAsia="zh-CN"/>
              </w:rPr>
              <w:t>检测时间</w:t>
            </w:r>
          </w:p>
        </w:tc>
        <w:tc>
          <w:tcPr>
            <w:tcW w:w="937" w:type="pct"/>
            <w:vAlign w:val="center"/>
          </w:tcPr>
          <w:p w14:paraId="40BD6DFE">
            <w:pPr>
              <w:jc w:val="center"/>
              <w:rPr>
                <w:rFonts w:hint="eastAsia" w:eastAsia="宋体"/>
                <w:color w:val="auto"/>
                <w:szCs w:val="21"/>
                <w:highlight w:val="green"/>
                <w:lang w:val="en-US" w:eastAsia="zh-CN"/>
              </w:rPr>
            </w:pPr>
            <w:r>
              <w:rPr>
                <w:rFonts w:hint="eastAsia"/>
                <w:color w:val="auto"/>
                <w:szCs w:val="21"/>
                <w:highlight w:val="green"/>
                <w:lang w:val="en-US" w:eastAsia="zh-CN"/>
              </w:rPr>
              <w:t>气温（℃）</w:t>
            </w:r>
          </w:p>
        </w:tc>
        <w:tc>
          <w:tcPr>
            <w:tcW w:w="987" w:type="pct"/>
            <w:vAlign w:val="center"/>
          </w:tcPr>
          <w:p w14:paraId="7694A752">
            <w:pPr>
              <w:jc w:val="center"/>
              <w:rPr>
                <w:rFonts w:hint="default" w:eastAsia="宋体"/>
                <w:color w:val="auto"/>
                <w:szCs w:val="21"/>
                <w:highlight w:val="green"/>
                <w:lang w:val="en-US" w:eastAsia="zh-CN"/>
              </w:rPr>
            </w:pPr>
            <w:r>
              <w:rPr>
                <w:rFonts w:hint="eastAsia"/>
                <w:color w:val="auto"/>
                <w:szCs w:val="21"/>
                <w:highlight w:val="green"/>
                <w:lang w:val="en-US" w:eastAsia="zh-CN"/>
              </w:rPr>
              <w:t>气压（kPa）</w:t>
            </w:r>
          </w:p>
        </w:tc>
        <w:tc>
          <w:tcPr>
            <w:tcW w:w="953" w:type="pct"/>
            <w:vAlign w:val="center"/>
          </w:tcPr>
          <w:p w14:paraId="6B37DD16">
            <w:pPr>
              <w:jc w:val="center"/>
              <w:rPr>
                <w:rFonts w:hint="eastAsia" w:eastAsia="宋体"/>
                <w:color w:val="auto"/>
                <w:szCs w:val="21"/>
                <w:highlight w:val="green"/>
                <w:lang w:val="en-US" w:eastAsia="zh-CN"/>
              </w:rPr>
            </w:pPr>
            <w:r>
              <w:rPr>
                <w:rFonts w:hint="eastAsia"/>
                <w:color w:val="auto"/>
                <w:szCs w:val="21"/>
                <w:highlight w:val="green"/>
                <w:lang w:val="en-US" w:eastAsia="zh-CN"/>
              </w:rPr>
              <w:t>风向</w:t>
            </w:r>
          </w:p>
        </w:tc>
        <w:tc>
          <w:tcPr>
            <w:tcW w:w="1242" w:type="pct"/>
            <w:vAlign w:val="center"/>
          </w:tcPr>
          <w:p w14:paraId="67E33108">
            <w:pPr>
              <w:jc w:val="center"/>
              <w:rPr>
                <w:rFonts w:hint="eastAsia" w:eastAsia="宋体"/>
                <w:color w:val="auto"/>
                <w:szCs w:val="21"/>
                <w:highlight w:val="green"/>
                <w:lang w:val="en-US" w:eastAsia="zh-CN"/>
              </w:rPr>
            </w:pPr>
            <w:r>
              <w:rPr>
                <w:rFonts w:hint="eastAsia"/>
                <w:color w:val="auto"/>
                <w:szCs w:val="21"/>
                <w:highlight w:val="green"/>
                <w:lang w:val="en-US" w:eastAsia="zh-CN"/>
              </w:rPr>
              <w:t>风速（m/s）</w:t>
            </w:r>
          </w:p>
        </w:tc>
      </w:tr>
      <w:tr w14:paraId="34C1A10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 w:type="pct"/>
            <w:vAlign w:val="center"/>
          </w:tcPr>
          <w:p w14:paraId="242A2EE9">
            <w:pPr>
              <w:widowControl/>
              <w:jc w:val="center"/>
              <w:rPr>
                <w:color w:val="auto"/>
                <w:szCs w:val="21"/>
                <w:highlight w:val="green"/>
              </w:rPr>
            </w:pPr>
            <w:r>
              <w:rPr>
                <w:rFonts w:hint="eastAsia"/>
                <w:color w:val="auto"/>
                <w:szCs w:val="21"/>
                <w:highlight w:val="green"/>
                <w:lang w:val="en-US" w:eastAsia="zh-CN"/>
              </w:rPr>
              <w:t>9</w:t>
            </w:r>
            <w:r>
              <w:rPr>
                <w:color w:val="auto"/>
                <w:szCs w:val="21"/>
                <w:highlight w:val="green"/>
              </w:rPr>
              <w:t>月</w:t>
            </w:r>
            <w:r>
              <w:rPr>
                <w:rFonts w:hint="eastAsia"/>
                <w:color w:val="auto"/>
                <w:szCs w:val="21"/>
                <w:highlight w:val="green"/>
              </w:rPr>
              <w:t>26</w:t>
            </w:r>
            <w:r>
              <w:rPr>
                <w:color w:val="auto"/>
                <w:szCs w:val="21"/>
                <w:highlight w:val="green"/>
              </w:rPr>
              <w:t>日</w:t>
            </w:r>
          </w:p>
        </w:tc>
        <w:tc>
          <w:tcPr>
            <w:tcW w:w="1599" w:type="dxa"/>
            <w:vAlign w:val="center"/>
          </w:tcPr>
          <w:p w14:paraId="0855807C">
            <w:pPr>
              <w:jc w:val="center"/>
              <w:rPr>
                <w:rFonts w:hint="default" w:eastAsia="宋体"/>
                <w:color w:val="auto"/>
                <w:szCs w:val="21"/>
                <w:highlight w:val="green"/>
                <w:lang w:val="en-US" w:eastAsia="zh-CN"/>
              </w:rPr>
            </w:pPr>
            <w:r>
              <w:rPr>
                <w:rFonts w:hint="eastAsia"/>
                <w:color w:val="auto"/>
                <w:szCs w:val="21"/>
                <w:highlight w:val="green"/>
                <w:lang w:val="en-US" w:eastAsia="zh-CN"/>
              </w:rPr>
              <w:t>10.6</w:t>
            </w:r>
          </w:p>
        </w:tc>
        <w:tc>
          <w:tcPr>
            <w:tcW w:w="1684" w:type="dxa"/>
            <w:vAlign w:val="center"/>
          </w:tcPr>
          <w:p w14:paraId="4B492195">
            <w:pPr>
              <w:jc w:val="center"/>
              <w:rPr>
                <w:rFonts w:hint="default" w:eastAsia="宋体"/>
                <w:color w:val="auto"/>
                <w:szCs w:val="21"/>
                <w:highlight w:val="green"/>
                <w:lang w:val="en-US" w:eastAsia="zh-CN"/>
              </w:rPr>
            </w:pPr>
            <w:r>
              <w:rPr>
                <w:rFonts w:hint="eastAsia"/>
                <w:color w:val="auto"/>
                <w:szCs w:val="21"/>
                <w:highlight w:val="green"/>
                <w:lang w:val="en-US" w:eastAsia="zh-CN"/>
              </w:rPr>
              <w:t>94.9</w:t>
            </w:r>
          </w:p>
        </w:tc>
        <w:tc>
          <w:tcPr>
            <w:tcW w:w="1626" w:type="dxa"/>
            <w:vAlign w:val="center"/>
          </w:tcPr>
          <w:p w14:paraId="37AB42CE">
            <w:pPr>
              <w:jc w:val="center"/>
              <w:rPr>
                <w:rFonts w:hint="eastAsia" w:eastAsia="宋体"/>
                <w:color w:val="auto"/>
                <w:szCs w:val="21"/>
                <w:highlight w:val="green"/>
                <w:lang w:val="en-US" w:eastAsia="zh-CN"/>
              </w:rPr>
            </w:pPr>
            <w:r>
              <w:rPr>
                <w:rFonts w:hint="eastAsia"/>
                <w:color w:val="auto"/>
                <w:szCs w:val="21"/>
                <w:highlight w:val="green"/>
                <w:lang w:eastAsia="zh-CN"/>
              </w:rPr>
              <w:t>西南</w:t>
            </w:r>
          </w:p>
        </w:tc>
        <w:tc>
          <w:tcPr>
            <w:tcW w:w="2119" w:type="dxa"/>
            <w:vAlign w:val="center"/>
          </w:tcPr>
          <w:p w14:paraId="688B993D">
            <w:pPr>
              <w:jc w:val="center"/>
              <w:rPr>
                <w:rFonts w:hint="default" w:eastAsia="宋体"/>
                <w:color w:val="auto"/>
                <w:szCs w:val="21"/>
                <w:highlight w:val="green"/>
                <w:lang w:val="en-US" w:eastAsia="zh-CN"/>
              </w:rPr>
            </w:pPr>
            <w:r>
              <w:rPr>
                <w:rFonts w:hint="eastAsia"/>
                <w:color w:val="auto"/>
                <w:szCs w:val="21"/>
                <w:highlight w:val="green"/>
                <w:lang w:val="en-US" w:eastAsia="zh-CN"/>
              </w:rPr>
              <w:t>2.3</w:t>
            </w:r>
          </w:p>
        </w:tc>
      </w:tr>
      <w:tr w14:paraId="33364E8C">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878" w:type="pct"/>
            <w:vAlign w:val="center"/>
          </w:tcPr>
          <w:p w14:paraId="21D1F109">
            <w:pPr>
              <w:widowControl/>
              <w:jc w:val="center"/>
              <w:rPr>
                <w:color w:val="auto"/>
                <w:szCs w:val="21"/>
                <w:highlight w:val="green"/>
              </w:rPr>
            </w:pPr>
            <w:r>
              <w:rPr>
                <w:rFonts w:hint="eastAsia"/>
                <w:color w:val="auto"/>
                <w:szCs w:val="21"/>
                <w:highlight w:val="green"/>
                <w:lang w:val="en-US" w:eastAsia="zh-CN"/>
              </w:rPr>
              <w:t>9</w:t>
            </w:r>
            <w:r>
              <w:rPr>
                <w:color w:val="auto"/>
                <w:szCs w:val="21"/>
                <w:highlight w:val="green"/>
              </w:rPr>
              <w:t>月</w:t>
            </w:r>
            <w:r>
              <w:rPr>
                <w:rFonts w:hint="eastAsia"/>
                <w:color w:val="auto"/>
                <w:szCs w:val="21"/>
                <w:highlight w:val="green"/>
              </w:rPr>
              <w:t>2</w:t>
            </w:r>
            <w:r>
              <w:rPr>
                <w:rFonts w:hint="eastAsia"/>
                <w:color w:val="auto"/>
                <w:szCs w:val="21"/>
                <w:highlight w:val="green"/>
                <w:lang w:val="en-US" w:eastAsia="zh-CN"/>
              </w:rPr>
              <w:t>7</w:t>
            </w:r>
            <w:r>
              <w:rPr>
                <w:color w:val="auto"/>
                <w:szCs w:val="21"/>
                <w:highlight w:val="green"/>
              </w:rPr>
              <w:t>日</w:t>
            </w:r>
          </w:p>
        </w:tc>
        <w:tc>
          <w:tcPr>
            <w:tcW w:w="1599" w:type="dxa"/>
            <w:vAlign w:val="center"/>
          </w:tcPr>
          <w:p w14:paraId="4314FBC5">
            <w:pPr>
              <w:jc w:val="center"/>
              <w:rPr>
                <w:rFonts w:hint="default" w:eastAsia="宋体"/>
                <w:color w:val="auto"/>
                <w:szCs w:val="21"/>
                <w:highlight w:val="green"/>
                <w:lang w:val="en-US" w:eastAsia="zh-CN"/>
              </w:rPr>
            </w:pPr>
            <w:r>
              <w:rPr>
                <w:rFonts w:hint="eastAsia"/>
                <w:color w:val="auto"/>
                <w:szCs w:val="21"/>
                <w:highlight w:val="green"/>
                <w:lang w:val="en-US" w:eastAsia="zh-CN"/>
              </w:rPr>
              <w:t>10.6</w:t>
            </w:r>
          </w:p>
        </w:tc>
        <w:tc>
          <w:tcPr>
            <w:tcW w:w="1684" w:type="dxa"/>
            <w:vAlign w:val="center"/>
          </w:tcPr>
          <w:p w14:paraId="4B114CC8">
            <w:pPr>
              <w:jc w:val="center"/>
              <w:rPr>
                <w:rFonts w:hint="default" w:eastAsia="宋体"/>
                <w:color w:val="auto"/>
                <w:szCs w:val="21"/>
                <w:highlight w:val="green"/>
                <w:lang w:val="en-US" w:eastAsia="zh-CN"/>
              </w:rPr>
            </w:pPr>
            <w:r>
              <w:rPr>
                <w:rFonts w:hint="eastAsia"/>
                <w:color w:val="auto"/>
                <w:szCs w:val="21"/>
                <w:highlight w:val="green"/>
                <w:lang w:val="en-US" w:eastAsia="zh-CN"/>
              </w:rPr>
              <w:t>94.9</w:t>
            </w:r>
          </w:p>
        </w:tc>
        <w:tc>
          <w:tcPr>
            <w:tcW w:w="1626" w:type="dxa"/>
            <w:vAlign w:val="center"/>
          </w:tcPr>
          <w:p w14:paraId="1BD1BA09">
            <w:pPr>
              <w:jc w:val="center"/>
              <w:rPr>
                <w:rFonts w:hint="eastAsia" w:eastAsia="宋体"/>
                <w:color w:val="auto"/>
                <w:szCs w:val="21"/>
                <w:highlight w:val="green"/>
                <w:lang w:val="en-US" w:eastAsia="zh-CN"/>
              </w:rPr>
            </w:pPr>
            <w:r>
              <w:rPr>
                <w:rFonts w:hint="eastAsia"/>
                <w:color w:val="auto"/>
                <w:szCs w:val="21"/>
                <w:highlight w:val="green"/>
                <w:lang w:eastAsia="zh-CN"/>
              </w:rPr>
              <w:t>西南</w:t>
            </w:r>
          </w:p>
        </w:tc>
        <w:tc>
          <w:tcPr>
            <w:tcW w:w="2119" w:type="dxa"/>
            <w:vAlign w:val="center"/>
          </w:tcPr>
          <w:p w14:paraId="1213EB39">
            <w:pPr>
              <w:jc w:val="center"/>
              <w:rPr>
                <w:rFonts w:hint="default" w:eastAsia="宋体"/>
                <w:color w:val="auto"/>
                <w:szCs w:val="21"/>
                <w:highlight w:val="green"/>
                <w:lang w:val="en-US" w:eastAsia="zh-CN"/>
              </w:rPr>
            </w:pPr>
            <w:r>
              <w:rPr>
                <w:rFonts w:hint="eastAsia"/>
                <w:color w:val="auto"/>
                <w:szCs w:val="21"/>
                <w:highlight w:val="green"/>
                <w:lang w:val="en-US" w:eastAsia="zh-CN"/>
              </w:rPr>
              <w:t>2.3</w:t>
            </w:r>
          </w:p>
        </w:tc>
      </w:tr>
      <w:tr w14:paraId="1B4768E2">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 w:type="pct"/>
            <w:vAlign w:val="center"/>
          </w:tcPr>
          <w:p w14:paraId="07B48BAF">
            <w:pPr>
              <w:widowControl/>
              <w:jc w:val="center"/>
              <w:rPr>
                <w:color w:val="auto"/>
                <w:szCs w:val="21"/>
                <w:highlight w:val="green"/>
              </w:rPr>
            </w:pPr>
            <w:r>
              <w:rPr>
                <w:rFonts w:hint="eastAsia"/>
                <w:color w:val="auto"/>
                <w:szCs w:val="21"/>
                <w:highlight w:val="green"/>
                <w:lang w:val="en-US" w:eastAsia="zh-CN"/>
              </w:rPr>
              <w:t>9</w:t>
            </w:r>
            <w:r>
              <w:rPr>
                <w:color w:val="auto"/>
                <w:szCs w:val="21"/>
                <w:highlight w:val="green"/>
              </w:rPr>
              <w:t>月</w:t>
            </w:r>
            <w:r>
              <w:rPr>
                <w:rFonts w:hint="eastAsia"/>
                <w:color w:val="auto"/>
                <w:szCs w:val="21"/>
                <w:highlight w:val="green"/>
              </w:rPr>
              <w:t>2</w:t>
            </w:r>
            <w:r>
              <w:rPr>
                <w:rFonts w:hint="eastAsia"/>
                <w:color w:val="auto"/>
                <w:szCs w:val="21"/>
                <w:highlight w:val="green"/>
                <w:lang w:val="en-US" w:eastAsia="zh-CN"/>
              </w:rPr>
              <w:t>8</w:t>
            </w:r>
            <w:r>
              <w:rPr>
                <w:color w:val="auto"/>
                <w:szCs w:val="21"/>
                <w:highlight w:val="green"/>
              </w:rPr>
              <w:t>日</w:t>
            </w:r>
          </w:p>
        </w:tc>
        <w:tc>
          <w:tcPr>
            <w:tcW w:w="1599" w:type="dxa"/>
            <w:vAlign w:val="center"/>
          </w:tcPr>
          <w:p w14:paraId="625BF40E">
            <w:pPr>
              <w:jc w:val="center"/>
              <w:rPr>
                <w:rFonts w:hint="default" w:eastAsia="宋体"/>
                <w:color w:val="auto"/>
                <w:szCs w:val="21"/>
                <w:highlight w:val="green"/>
                <w:lang w:val="en-US" w:eastAsia="zh-CN"/>
              </w:rPr>
            </w:pPr>
            <w:r>
              <w:rPr>
                <w:rFonts w:hint="eastAsia"/>
                <w:color w:val="auto"/>
                <w:szCs w:val="21"/>
                <w:highlight w:val="green"/>
                <w:lang w:val="en-US" w:eastAsia="zh-CN"/>
              </w:rPr>
              <w:t>14.8</w:t>
            </w:r>
          </w:p>
        </w:tc>
        <w:tc>
          <w:tcPr>
            <w:tcW w:w="1684" w:type="dxa"/>
            <w:vAlign w:val="center"/>
          </w:tcPr>
          <w:p w14:paraId="20FD5E2A">
            <w:pPr>
              <w:jc w:val="center"/>
              <w:rPr>
                <w:rFonts w:hint="default" w:eastAsia="宋体"/>
                <w:color w:val="auto"/>
                <w:szCs w:val="21"/>
                <w:highlight w:val="green"/>
                <w:lang w:val="en-US" w:eastAsia="zh-CN"/>
              </w:rPr>
            </w:pPr>
            <w:r>
              <w:rPr>
                <w:rFonts w:hint="eastAsia"/>
                <w:color w:val="auto"/>
                <w:szCs w:val="21"/>
                <w:highlight w:val="green"/>
                <w:lang w:val="en-US" w:eastAsia="zh-CN"/>
              </w:rPr>
              <w:t>94.9</w:t>
            </w:r>
          </w:p>
        </w:tc>
        <w:tc>
          <w:tcPr>
            <w:tcW w:w="1626" w:type="dxa"/>
            <w:vAlign w:val="center"/>
          </w:tcPr>
          <w:p w14:paraId="520BBE00">
            <w:pPr>
              <w:jc w:val="center"/>
              <w:rPr>
                <w:rFonts w:hint="eastAsia" w:eastAsia="宋体"/>
                <w:color w:val="auto"/>
                <w:szCs w:val="21"/>
                <w:highlight w:val="green"/>
                <w:lang w:val="en-US" w:eastAsia="zh-CN"/>
              </w:rPr>
            </w:pPr>
            <w:r>
              <w:rPr>
                <w:rFonts w:hint="eastAsia"/>
                <w:color w:val="auto"/>
                <w:szCs w:val="21"/>
                <w:highlight w:val="green"/>
                <w:lang w:eastAsia="zh-CN"/>
              </w:rPr>
              <w:t>西南</w:t>
            </w:r>
          </w:p>
        </w:tc>
        <w:tc>
          <w:tcPr>
            <w:tcW w:w="2119" w:type="dxa"/>
            <w:vAlign w:val="center"/>
          </w:tcPr>
          <w:p w14:paraId="49E85CE4">
            <w:pPr>
              <w:jc w:val="center"/>
              <w:rPr>
                <w:rFonts w:hint="default" w:eastAsia="宋体"/>
                <w:color w:val="auto"/>
                <w:szCs w:val="21"/>
                <w:highlight w:val="green"/>
                <w:lang w:val="en-US" w:eastAsia="zh-CN"/>
              </w:rPr>
            </w:pPr>
            <w:r>
              <w:rPr>
                <w:rFonts w:hint="eastAsia"/>
                <w:color w:val="auto"/>
                <w:szCs w:val="21"/>
                <w:highlight w:val="green"/>
                <w:lang w:val="en-US" w:eastAsia="zh-CN"/>
              </w:rPr>
              <w:t>2.2</w:t>
            </w:r>
          </w:p>
        </w:tc>
      </w:tr>
      <w:tr w14:paraId="2506DD8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 w:type="pct"/>
            <w:vAlign w:val="center"/>
          </w:tcPr>
          <w:p w14:paraId="375201C6">
            <w:pPr>
              <w:widowControl/>
              <w:jc w:val="center"/>
              <w:rPr>
                <w:color w:val="auto"/>
                <w:szCs w:val="21"/>
                <w:highlight w:val="green"/>
              </w:rPr>
            </w:pPr>
            <w:r>
              <w:rPr>
                <w:rFonts w:hint="eastAsia"/>
                <w:color w:val="auto"/>
                <w:szCs w:val="21"/>
                <w:highlight w:val="green"/>
                <w:lang w:val="en-US" w:eastAsia="zh-CN"/>
              </w:rPr>
              <w:t>9</w:t>
            </w:r>
            <w:r>
              <w:rPr>
                <w:color w:val="auto"/>
                <w:szCs w:val="21"/>
                <w:highlight w:val="green"/>
              </w:rPr>
              <w:t>月</w:t>
            </w:r>
            <w:r>
              <w:rPr>
                <w:rFonts w:hint="eastAsia"/>
                <w:color w:val="auto"/>
                <w:szCs w:val="21"/>
                <w:highlight w:val="green"/>
              </w:rPr>
              <w:t>2</w:t>
            </w:r>
            <w:r>
              <w:rPr>
                <w:rFonts w:hint="eastAsia"/>
                <w:color w:val="auto"/>
                <w:szCs w:val="21"/>
                <w:highlight w:val="green"/>
                <w:lang w:val="en-US" w:eastAsia="zh-CN"/>
              </w:rPr>
              <w:t>9</w:t>
            </w:r>
            <w:r>
              <w:rPr>
                <w:color w:val="auto"/>
                <w:szCs w:val="21"/>
                <w:highlight w:val="green"/>
              </w:rPr>
              <w:t>日</w:t>
            </w:r>
          </w:p>
        </w:tc>
        <w:tc>
          <w:tcPr>
            <w:tcW w:w="1599" w:type="dxa"/>
            <w:vAlign w:val="center"/>
          </w:tcPr>
          <w:p w14:paraId="0BAD84FB">
            <w:pPr>
              <w:jc w:val="center"/>
              <w:rPr>
                <w:rFonts w:hint="default" w:eastAsia="宋体"/>
                <w:color w:val="auto"/>
                <w:szCs w:val="21"/>
                <w:highlight w:val="green"/>
                <w:lang w:val="en-US" w:eastAsia="zh-CN"/>
              </w:rPr>
            </w:pPr>
            <w:r>
              <w:rPr>
                <w:rFonts w:hint="eastAsia"/>
                <w:color w:val="auto"/>
                <w:szCs w:val="21"/>
                <w:highlight w:val="green"/>
                <w:lang w:val="en-US" w:eastAsia="zh-CN"/>
              </w:rPr>
              <w:t>18.5</w:t>
            </w:r>
          </w:p>
        </w:tc>
        <w:tc>
          <w:tcPr>
            <w:tcW w:w="1684" w:type="dxa"/>
            <w:vAlign w:val="center"/>
          </w:tcPr>
          <w:p w14:paraId="52F6F929">
            <w:pPr>
              <w:jc w:val="center"/>
              <w:rPr>
                <w:rFonts w:hint="default" w:eastAsia="宋体"/>
                <w:color w:val="auto"/>
                <w:szCs w:val="21"/>
                <w:highlight w:val="green"/>
                <w:lang w:val="en-US" w:eastAsia="zh-CN"/>
              </w:rPr>
            </w:pPr>
            <w:r>
              <w:rPr>
                <w:rFonts w:hint="eastAsia"/>
                <w:color w:val="auto"/>
                <w:szCs w:val="21"/>
                <w:highlight w:val="green"/>
                <w:lang w:val="en-US" w:eastAsia="zh-CN"/>
              </w:rPr>
              <w:t>94.8</w:t>
            </w:r>
          </w:p>
        </w:tc>
        <w:tc>
          <w:tcPr>
            <w:tcW w:w="1626" w:type="dxa"/>
            <w:vAlign w:val="center"/>
          </w:tcPr>
          <w:p w14:paraId="636AD19A">
            <w:pPr>
              <w:jc w:val="center"/>
              <w:rPr>
                <w:rFonts w:hint="eastAsia" w:eastAsia="宋体"/>
                <w:color w:val="auto"/>
                <w:szCs w:val="21"/>
                <w:highlight w:val="green"/>
                <w:lang w:val="en-US" w:eastAsia="zh-CN"/>
              </w:rPr>
            </w:pPr>
            <w:r>
              <w:rPr>
                <w:rFonts w:hint="eastAsia"/>
                <w:color w:val="auto"/>
                <w:szCs w:val="21"/>
                <w:highlight w:val="green"/>
                <w:lang w:eastAsia="zh-CN"/>
              </w:rPr>
              <w:t>西南</w:t>
            </w:r>
          </w:p>
        </w:tc>
        <w:tc>
          <w:tcPr>
            <w:tcW w:w="2119" w:type="dxa"/>
            <w:vAlign w:val="center"/>
          </w:tcPr>
          <w:p w14:paraId="157CF148">
            <w:pPr>
              <w:jc w:val="center"/>
              <w:rPr>
                <w:rFonts w:hint="default" w:eastAsia="宋体"/>
                <w:color w:val="auto"/>
                <w:szCs w:val="21"/>
                <w:highlight w:val="green"/>
                <w:lang w:val="en-US" w:eastAsia="zh-CN"/>
              </w:rPr>
            </w:pPr>
            <w:r>
              <w:rPr>
                <w:rFonts w:hint="eastAsia"/>
                <w:color w:val="auto"/>
                <w:szCs w:val="21"/>
                <w:highlight w:val="green"/>
                <w:lang w:val="en-US" w:eastAsia="zh-CN"/>
              </w:rPr>
              <w:t>2.1</w:t>
            </w:r>
          </w:p>
        </w:tc>
      </w:tr>
      <w:tr w14:paraId="0132DA2A">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 w:type="pct"/>
            <w:vAlign w:val="center"/>
          </w:tcPr>
          <w:p w14:paraId="54F34E93">
            <w:pPr>
              <w:widowControl/>
              <w:jc w:val="center"/>
              <w:rPr>
                <w:color w:val="auto"/>
                <w:szCs w:val="21"/>
                <w:highlight w:val="green"/>
              </w:rPr>
            </w:pPr>
            <w:r>
              <w:rPr>
                <w:rFonts w:hint="eastAsia"/>
                <w:color w:val="auto"/>
                <w:szCs w:val="21"/>
                <w:highlight w:val="green"/>
                <w:lang w:val="en-US" w:eastAsia="zh-CN"/>
              </w:rPr>
              <w:t>9</w:t>
            </w:r>
            <w:r>
              <w:rPr>
                <w:color w:val="auto"/>
                <w:szCs w:val="21"/>
                <w:highlight w:val="green"/>
              </w:rPr>
              <w:t>月</w:t>
            </w:r>
            <w:r>
              <w:rPr>
                <w:rFonts w:hint="eastAsia"/>
                <w:color w:val="auto"/>
                <w:szCs w:val="21"/>
                <w:highlight w:val="green"/>
                <w:lang w:val="en-US" w:eastAsia="zh-CN"/>
              </w:rPr>
              <w:t>30</w:t>
            </w:r>
            <w:r>
              <w:rPr>
                <w:color w:val="auto"/>
                <w:szCs w:val="21"/>
                <w:highlight w:val="green"/>
              </w:rPr>
              <w:t>日</w:t>
            </w:r>
          </w:p>
        </w:tc>
        <w:tc>
          <w:tcPr>
            <w:tcW w:w="1599" w:type="dxa"/>
            <w:vAlign w:val="center"/>
          </w:tcPr>
          <w:p w14:paraId="53561DE9">
            <w:pPr>
              <w:jc w:val="center"/>
              <w:rPr>
                <w:rFonts w:hint="default" w:eastAsia="宋体"/>
                <w:color w:val="auto"/>
                <w:szCs w:val="21"/>
                <w:highlight w:val="green"/>
                <w:lang w:val="en-US" w:eastAsia="zh-CN"/>
              </w:rPr>
            </w:pPr>
            <w:r>
              <w:rPr>
                <w:rFonts w:hint="eastAsia"/>
                <w:color w:val="auto"/>
                <w:szCs w:val="21"/>
                <w:highlight w:val="green"/>
                <w:lang w:val="en-US" w:eastAsia="zh-CN"/>
              </w:rPr>
              <w:t>14.7</w:t>
            </w:r>
          </w:p>
        </w:tc>
        <w:tc>
          <w:tcPr>
            <w:tcW w:w="1684" w:type="dxa"/>
            <w:vAlign w:val="center"/>
          </w:tcPr>
          <w:p w14:paraId="79E9F17E">
            <w:pPr>
              <w:jc w:val="center"/>
              <w:rPr>
                <w:rFonts w:hint="default" w:eastAsia="宋体"/>
                <w:color w:val="auto"/>
                <w:szCs w:val="21"/>
                <w:highlight w:val="green"/>
                <w:lang w:val="en-US" w:eastAsia="zh-CN"/>
              </w:rPr>
            </w:pPr>
            <w:r>
              <w:rPr>
                <w:rFonts w:hint="eastAsia"/>
                <w:color w:val="auto"/>
                <w:szCs w:val="21"/>
                <w:highlight w:val="green"/>
                <w:lang w:val="en-US" w:eastAsia="zh-CN"/>
              </w:rPr>
              <w:t>94.6</w:t>
            </w:r>
          </w:p>
        </w:tc>
        <w:tc>
          <w:tcPr>
            <w:tcW w:w="1626" w:type="dxa"/>
            <w:vAlign w:val="center"/>
          </w:tcPr>
          <w:p w14:paraId="371AD504">
            <w:pPr>
              <w:jc w:val="center"/>
              <w:rPr>
                <w:rFonts w:hint="eastAsia" w:eastAsia="宋体"/>
                <w:color w:val="auto"/>
                <w:szCs w:val="21"/>
                <w:highlight w:val="green"/>
                <w:lang w:val="en-US" w:eastAsia="zh-CN"/>
              </w:rPr>
            </w:pPr>
            <w:r>
              <w:rPr>
                <w:rFonts w:hint="eastAsia"/>
                <w:color w:val="auto"/>
                <w:szCs w:val="21"/>
                <w:highlight w:val="green"/>
                <w:lang w:eastAsia="zh-CN"/>
              </w:rPr>
              <w:t>西北</w:t>
            </w:r>
          </w:p>
        </w:tc>
        <w:tc>
          <w:tcPr>
            <w:tcW w:w="2119" w:type="dxa"/>
            <w:vAlign w:val="center"/>
          </w:tcPr>
          <w:p w14:paraId="7E6301F0">
            <w:pPr>
              <w:jc w:val="center"/>
              <w:rPr>
                <w:rFonts w:hint="default" w:eastAsia="宋体"/>
                <w:color w:val="auto"/>
                <w:szCs w:val="21"/>
                <w:highlight w:val="green"/>
                <w:lang w:val="en-US" w:eastAsia="zh-CN"/>
              </w:rPr>
            </w:pPr>
            <w:r>
              <w:rPr>
                <w:rFonts w:hint="eastAsia"/>
                <w:color w:val="auto"/>
                <w:szCs w:val="21"/>
                <w:highlight w:val="green"/>
                <w:lang w:val="en-US" w:eastAsia="zh-CN"/>
              </w:rPr>
              <w:t>2.5</w:t>
            </w:r>
          </w:p>
        </w:tc>
      </w:tr>
      <w:tr w14:paraId="0CD38EF9">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 w:type="pct"/>
            <w:vAlign w:val="center"/>
          </w:tcPr>
          <w:p w14:paraId="3F0D1D8C">
            <w:pPr>
              <w:widowControl/>
              <w:jc w:val="center"/>
              <w:rPr>
                <w:color w:val="auto"/>
                <w:szCs w:val="21"/>
                <w:highlight w:val="green"/>
              </w:rPr>
            </w:pPr>
            <w:r>
              <w:rPr>
                <w:rFonts w:hint="eastAsia"/>
                <w:color w:val="auto"/>
                <w:szCs w:val="21"/>
                <w:highlight w:val="green"/>
                <w:lang w:val="en-US" w:eastAsia="zh-CN"/>
              </w:rPr>
              <w:t>10</w:t>
            </w:r>
            <w:r>
              <w:rPr>
                <w:color w:val="auto"/>
                <w:szCs w:val="21"/>
                <w:highlight w:val="green"/>
              </w:rPr>
              <w:t>月</w:t>
            </w:r>
            <w:r>
              <w:rPr>
                <w:rFonts w:hint="eastAsia"/>
                <w:color w:val="auto"/>
                <w:szCs w:val="21"/>
                <w:highlight w:val="green"/>
                <w:lang w:val="en-US" w:eastAsia="zh-CN"/>
              </w:rPr>
              <w:t>1</w:t>
            </w:r>
            <w:r>
              <w:rPr>
                <w:color w:val="auto"/>
                <w:szCs w:val="21"/>
                <w:highlight w:val="green"/>
              </w:rPr>
              <w:t>日</w:t>
            </w:r>
          </w:p>
        </w:tc>
        <w:tc>
          <w:tcPr>
            <w:tcW w:w="1599" w:type="dxa"/>
            <w:vAlign w:val="center"/>
          </w:tcPr>
          <w:p w14:paraId="4D791229">
            <w:pPr>
              <w:jc w:val="center"/>
              <w:rPr>
                <w:rFonts w:hint="default" w:eastAsia="宋体"/>
                <w:color w:val="auto"/>
                <w:szCs w:val="21"/>
                <w:highlight w:val="green"/>
                <w:lang w:val="en-US" w:eastAsia="zh-CN"/>
              </w:rPr>
            </w:pPr>
            <w:r>
              <w:rPr>
                <w:rFonts w:hint="eastAsia"/>
                <w:color w:val="auto"/>
                <w:szCs w:val="21"/>
                <w:highlight w:val="green"/>
                <w:lang w:val="en-US" w:eastAsia="zh-CN"/>
              </w:rPr>
              <w:t>14.7</w:t>
            </w:r>
          </w:p>
        </w:tc>
        <w:tc>
          <w:tcPr>
            <w:tcW w:w="1684" w:type="dxa"/>
            <w:vAlign w:val="center"/>
          </w:tcPr>
          <w:p w14:paraId="0ECEC56E">
            <w:pPr>
              <w:jc w:val="center"/>
              <w:rPr>
                <w:rFonts w:hint="default" w:eastAsia="宋体"/>
                <w:color w:val="auto"/>
                <w:szCs w:val="21"/>
                <w:highlight w:val="green"/>
                <w:lang w:val="en-US" w:eastAsia="zh-CN"/>
              </w:rPr>
            </w:pPr>
            <w:r>
              <w:rPr>
                <w:rFonts w:hint="eastAsia"/>
                <w:color w:val="auto"/>
                <w:szCs w:val="21"/>
                <w:highlight w:val="green"/>
                <w:lang w:val="en-US" w:eastAsia="zh-CN"/>
              </w:rPr>
              <w:t>94.6</w:t>
            </w:r>
          </w:p>
        </w:tc>
        <w:tc>
          <w:tcPr>
            <w:tcW w:w="1626" w:type="dxa"/>
            <w:vAlign w:val="center"/>
          </w:tcPr>
          <w:p w14:paraId="2A7A9521">
            <w:pPr>
              <w:jc w:val="center"/>
              <w:rPr>
                <w:rFonts w:hint="eastAsia" w:eastAsia="宋体"/>
                <w:color w:val="auto"/>
                <w:szCs w:val="21"/>
                <w:highlight w:val="green"/>
                <w:lang w:val="en-US" w:eastAsia="zh-CN"/>
              </w:rPr>
            </w:pPr>
            <w:r>
              <w:rPr>
                <w:rFonts w:hint="eastAsia"/>
                <w:color w:val="auto"/>
                <w:szCs w:val="21"/>
                <w:highlight w:val="green"/>
                <w:lang w:eastAsia="zh-CN"/>
              </w:rPr>
              <w:t>西北</w:t>
            </w:r>
          </w:p>
        </w:tc>
        <w:tc>
          <w:tcPr>
            <w:tcW w:w="2119" w:type="dxa"/>
            <w:vAlign w:val="center"/>
          </w:tcPr>
          <w:p w14:paraId="2881794C">
            <w:pPr>
              <w:jc w:val="center"/>
              <w:rPr>
                <w:rFonts w:hint="default" w:eastAsia="宋体"/>
                <w:color w:val="auto"/>
                <w:szCs w:val="21"/>
                <w:highlight w:val="green"/>
                <w:lang w:val="en-US" w:eastAsia="zh-CN"/>
              </w:rPr>
            </w:pPr>
            <w:r>
              <w:rPr>
                <w:rFonts w:hint="eastAsia"/>
                <w:color w:val="auto"/>
                <w:szCs w:val="21"/>
                <w:highlight w:val="green"/>
                <w:lang w:val="en-US" w:eastAsia="zh-CN"/>
              </w:rPr>
              <w:t>2.5</w:t>
            </w:r>
          </w:p>
        </w:tc>
      </w:tr>
      <w:tr w14:paraId="5A4A7066">
        <w:tblPrEx>
          <w:tblBorders>
            <w:top w:val="double" w:color="auto" w:sz="2" w:space="0"/>
            <w:left w:val="none" w:color="auto" w:sz="0" w:space="0"/>
            <w:bottom w:val="doub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 w:type="pct"/>
            <w:vAlign w:val="center"/>
          </w:tcPr>
          <w:p w14:paraId="1DEC2E4B">
            <w:pPr>
              <w:widowControl/>
              <w:jc w:val="center"/>
              <w:rPr>
                <w:color w:val="auto"/>
                <w:szCs w:val="21"/>
                <w:highlight w:val="green"/>
              </w:rPr>
            </w:pPr>
            <w:r>
              <w:rPr>
                <w:rFonts w:hint="eastAsia"/>
                <w:color w:val="auto"/>
                <w:szCs w:val="21"/>
                <w:highlight w:val="green"/>
                <w:lang w:val="en-US" w:eastAsia="zh-CN"/>
              </w:rPr>
              <w:t>10</w:t>
            </w:r>
            <w:r>
              <w:rPr>
                <w:color w:val="auto"/>
                <w:szCs w:val="21"/>
                <w:highlight w:val="green"/>
              </w:rPr>
              <w:t>月</w:t>
            </w:r>
            <w:r>
              <w:rPr>
                <w:rFonts w:hint="eastAsia"/>
                <w:color w:val="auto"/>
                <w:szCs w:val="21"/>
                <w:highlight w:val="green"/>
                <w:lang w:val="en-US" w:eastAsia="zh-CN"/>
              </w:rPr>
              <w:t>2</w:t>
            </w:r>
            <w:r>
              <w:rPr>
                <w:color w:val="auto"/>
                <w:szCs w:val="21"/>
                <w:highlight w:val="green"/>
              </w:rPr>
              <w:t>日</w:t>
            </w:r>
          </w:p>
        </w:tc>
        <w:tc>
          <w:tcPr>
            <w:tcW w:w="1599" w:type="dxa"/>
            <w:vAlign w:val="center"/>
          </w:tcPr>
          <w:p w14:paraId="7A69383E">
            <w:pPr>
              <w:jc w:val="center"/>
              <w:rPr>
                <w:rFonts w:hint="default" w:eastAsia="宋体"/>
                <w:color w:val="auto"/>
                <w:szCs w:val="21"/>
                <w:highlight w:val="green"/>
                <w:lang w:val="en-US" w:eastAsia="zh-CN"/>
              </w:rPr>
            </w:pPr>
            <w:r>
              <w:rPr>
                <w:rFonts w:hint="eastAsia"/>
                <w:color w:val="auto"/>
                <w:szCs w:val="21"/>
                <w:highlight w:val="green"/>
                <w:lang w:val="en-US" w:eastAsia="zh-CN"/>
              </w:rPr>
              <w:t>19.4</w:t>
            </w:r>
          </w:p>
        </w:tc>
        <w:tc>
          <w:tcPr>
            <w:tcW w:w="1684" w:type="dxa"/>
            <w:vAlign w:val="center"/>
          </w:tcPr>
          <w:p w14:paraId="58EC2F50">
            <w:pPr>
              <w:jc w:val="center"/>
              <w:rPr>
                <w:rFonts w:hint="default" w:eastAsia="宋体"/>
                <w:color w:val="auto"/>
                <w:szCs w:val="21"/>
                <w:highlight w:val="green"/>
                <w:lang w:val="en-US" w:eastAsia="zh-CN"/>
              </w:rPr>
            </w:pPr>
            <w:r>
              <w:rPr>
                <w:rFonts w:hint="eastAsia"/>
                <w:color w:val="auto"/>
                <w:szCs w:val="21"/>
                <w:highlight w:val="green"/>
                <w:lang w:val="en-US" w:eastAsia="zh-CN"/>
              </w:rPr>
              <w:t>94.5</w:t>
            </w:r>
          </w:p>
        </w:tc>
        <w:tc>
          <w:tcPr>
            <w:tcW w:w="1626" w:type="dxa"/>
            <w:vAlign w:val="center"/>
          </w:tcPr>
          <w:p w14:paraId="1EDDC6CC">
            <w:pPr>
              <w:jc w:val="center"/>
              <w:rPr>
                <w:rFonts w:hint="eastAsia" w:eastAsia="宋体"/>
                <w:color w:val="auto"/>
                <w:szCs w:val="21"/>
                <w:highlight w:val="green"/>
                <w:lang w:val="en-US" w:eastAsia="zh-CN"/>
              </w:rPr>
            </w:pPr>
            <w:r>
              <w:rPr>
                <w:rFonts w:hint="eastAsia"/>
                <w:color w:val="auto"/>
                <w:szCs w:val="21"/>
                <w:highlight w:val="green"/>
                <w:lang w:eastAsia="zh-CN"/>
              </w:rPr>
              <w:t>西北</w:t>
            </w:r>
          </w:p>
        </w:tc>
        <w:tc>
          <w:tcPr>
            <w:tcW w:w="2119" w:type="dxa"/>
            <w:vAlign w:val="center"/>
          </w:tcPr>
          <w:p w14:paraId="73A0DCC1">
            <w:pPr>
              <w:jc w:val="center"/>
              <w:rPr>
                <w:rFonts w:hint="default" w:eastAsia="宋体"/>
                <w:color w:val="auto"/>
                <w:szCs w:val="21"/>
                <w:highlight w:val="green"/>
                <w:lang w:val="en-US" w:eastAsia="zh-CN"/>
              </w:rPr>
            </w:pPr>
            <w:r>
              <w:rPr>
                <w:rFonts w:hint="eastAsia"/>
                <w:color w:val="auto"/>
                <w:szCs w:val="21"/>
                <w:highlight w:val="green"/>
                <w:lang w:val="en-US" w:eastAsia="zh-CN"/>
              </w:rPr>
              <w:t>2.4</w:t>
            </w:r>
          </w:p>
        </w:tc>
      </w:tr>
    </w:tbl>
    <w:p w14:paraId="47C16B66">
      <w:pPr>
        <w:jc w:val="center"/>
        <w:rPr>
          <w:b/>
          <w:color w:val="auto"/>
          <w:szCs w:val="21"/>
          <w:highlight w:val="green"/>
        </w:rPr>
      </w:pPr>
    </w:p>
    <w:p w14:paraId="319366B6">
      <w:pPr>
        <w:jc w:val="center"/>
        <w:rPr>
          <w:rFonts w:hint="eastAsia"/>
          <w:b/>
          <w:color w:val="auto"/>
          <w:szCs w:val="21"/>
          <w:highlight w:val="green"/>
          <w:lang w:val="en-US" w:eastAsia="zh-CN"/>
        </w:rPr>
      </w:pPr>
    </w:p>
    <w:p w14:paraId="23C863C1">
      <w:pPr>
        <w:jc w:val="center"/>
        <w:rPr>
          <w:b/>
          <w:color w:val="auto"/>
          <w:szCs w:val="21"/>
          <w:highlight w:val="green"/>
        </w:rPr>
      </w:pPr>
      <w:r>
        <w:rPr>
          <w:rFonts w:hint="eastAsia"/>
          <w:b/>
          <w:color w:val="auto"/>
          <w:szCs w:val="21"/>
          <w:highlight w:val="green"/>
          <w:lang w:val="en-US" w:eastAsia="zh-CN"/>
        </w:rPr>
        <w:t xml:space="preserve">表4.4-4    </w:t>
      </w:r>
      <w:r>
        <w:rPr>
          <w:b/>
          <w:color w:val="auto"/>
          <w:szCs w:val="21"/>
          <w:highlight w:val="green"/>
        </w:rPr>
        <w:t>现状监测与评价结果统计表</w:t>
      </w:r>
    </w:p>
    <w:tbl>
      <w:tblPr>
        <w:tblStyle w:val="53"/>
        <w:tblW w:w="4729"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8"/>
        <w:gridCol w:w="867"/>
        <w:gridCol w:w="1671"/>
        <w:gridCol w:w="938"/>
        <w:gridCol w:w="1414"/>
        <w:gridCol w:w="1074"/>
        <w:gridCol w:w="847"/>
        <w:gridCol w:w="747"/>
      </w:tblGrid>
      <w:tr w14:paraId="4C5BB71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 w:type="pct"/>
            <w:vAlign w:val="center"/>
          </w:tcPr>
          <w:p w14:paraId="0680BF8E">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b/>
                <w:color w:val="auto"/>
                <w:szCs w:val="21"/>
                <w:highlight w:val="green"/>
                <w:lang w:val="en-US" w:eastAsia="zh-CN"/>
              </w:rPr>
            </w:pPr>
            <w:r>
              <w:rPr>
                <w:rFonts w:hint="eastAsia"/>
                <w:b/>
                <w:color w:val="auto"/>
                <w:szCs w:val="21"/>
                <w:highlight w:val="green"/>
                <w:lang w:val="en-US" w:eastAsia="zh-CN"/>
              </w:rPr>
              <w:t>检测点位</w:t>
            </w:r>
          </w:p>
        </w:tc>
        <w:tc>
          <w:tcPr>
            <w:tcW w:w="537" w:type="pct"/>
            <w:vAlign w:val="center"/>
          </w:tcPr>
          <w:p w14:paraId="2AE573C6">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b/>
                <w:color w:val="auto"/>
                <w:szCs w:val="21"/>
                <w:highlight w:val="green"/>
                <w:lang w:val="en-US" w:eastAsia="zh-CN"/>
              </w:rPr>
            </w:pPr>
            <w:r>
              <w:rPr>
                <w:rFonts w:hint="eastAsia"/>
                <w:b/>
                <w:color w:val="auto"/>
                <w:szCs w:val="21"/>
                <w:highlight w:val="green"/>
                <w:lang w:val="en-US" w:eastAsia="zh-CN"/>
              </w:rPr>
              <w:t>污染物</w:t>
            </w:r>
          </w:p>
        </w:tc>
        <w:tc>
          <w:tcPr>
            <w:tcW w:w="1035" w:type="pct"/>
            <w:vAlign w:val="center"/>
          </w:tcPr>
          <w:p w14:paraId="036D7A09">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b/>
                <w:color w:val="auto"/>
                <w:szCs w:val="21"/>
                <w:highlight w:val="green"/>
                <w:lang w:val="en-US" w:eastAsia="zh-CN"/>
              </w:rPr>
            </w:pPr>
            <w:r>
              <w:rPr>
                <w:rFonts w:hint="eastAsia"/>
                <w:b/>
                <w:color w:val="auto"/>
                <w:szCs w:val="21"/>
                <w:highlight w:val="green"/>
                <w:lang w:val="en-US" w:eastAsia="zh-CN"/>
              </w:rPr>
              <w:t>平均时间</w:t>
            </w:r>
          </w:p>
        </w:tc>
        <w:tc>
          <w:tcPr>
            <w:tcW w:w="581" w:type="pct"/>
            <w:vAlign w:val="center"/>
          </w:tcPr>
          <w:p w14:paraId="41BB442C">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b/>
                <w:color w:val="auto"/>
                <w:szCs w:val="21"/>
                <w:highlight w:val="green"/>
                <w:lang w:val="en-US" w:eastAsia="zh-CN"/>
              </w:rPr>
            </w:pPr>
            <w:r>
              <w:rPr>
                <w:rFonts w:hint="eastAsia"/>
                <w:b/>
                <w:color w:val="auto"/>
                <w:szCs w:val="21"/>
                <w:highlight w:val="green"/>
                <w:lang w:val="en-US" w:eastAsia="zh-CN"/>
              </w:rPr>
              <w:t>评价标准（</w:t>
            </w:r>
            <w:r>
              <w:rPr>
                <w:rFonts w:hint="default" w:ascii="Times New Roman" w:hAnsi="Times New Roman" w:cs="Times New Roman"/>
                <w:b/>
                <w:color w:val="auto"/>
                <w:szCs w:val="21"/>
                <w:highlight w:val="green"/>
                <w:lang w:val="en-US" w:eastAsia="zh-CN"/>
              </w:rPr>
              <w:t>μg/m</w:t>
            </w:r>
            <w:r>
              <w:rPr>
                <w:rFonts w:hint="default" w:ascii="Times New Roman" w:hAnsi="Times New Roman" w:cs="Times New Roman"/>
                <w:b/>
                <w:color w:val="auto"/>
                <w:szCs w:val="21"/>
                <w:highlight w:val="green"/>
                <w:vertAlign w:val="superscript"/>
                <w:lang w:val="en-US" w:eastAsia="zh-CN"/>
              </w:rPr>
              <w:t>3</w:t>
            </w:r>
            <w:r>
              <w:rPr>
                <w:rFonts w:hint="default" w:ascii="Times New Roman" w:hAnsi="Times New Roman" w:cs="Times New Roman"/>
                <w:b/>
                <w:color w:val="auto"/>
                <w:szCs w:val="21"/>
                <w:highlight w:val="green"/>
                <w:lang w:val="en-US" w:eastAsia="zh-CN"/>
              </w:rPr>
              <w:t>）</w:t>
            </w:r>
          </w:p>
        </w:tc>
        <w:tc>
          <w:tcPr>
            <w:tcW w:w="876" w:type="pct"/>
            <w:vAlign w:val="center"/>
          </w:tcPr>
          <w:p w14:paraId="7D2E6F6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b/>
                <w:color w:val="auto"/>
                <w:szCs w:val="21"/>
                <w:highlight w:val="green"/>
                <w:lang w:val="en-US" w:eastAsia="zh-CN"/>
              </w:rPr>
            </w:pPr>
            <w:r>
              <w:rPr>
                <w:rFonts w:hint="eastAsia"/>
                <w:b/>
                <w:color w:val="auto"/>
                <w:szCs w:val="21"/>
                <w:highlight w:val="green"/>
                <w:lang w:val="en-US" w:eastAsia="zh-CN"/>
              </w:rPr>
              <w:t>浓度范围（</w:t>
            </w:r>
            <w:r>
              <w:rPr>
                <w:rFonts w:hint="default" w:ascii="Times New Roman" w:hAnsi="Times New Roman" w:cs="Times New Roman"/>
                <w:b/>
                <w:color w:val="auto"/>
                <w:szCs w:val="21"/>
                <w:highlight w:val="green"/>
                <w:lang w:val="en-US" w:eastAsia="zh-CN"/>
              </w:rPr>
              <w:t>μ</w:t>
            </w:r>
            <w:r>
              <w:rPr>
                <w:rFonts w:hint="eastAsia"/>
                <w:b/>
                <w:color w:val="auto"/>
                <w:szCs w:val="21"/>
                <w:highlight w:val="green"/>
                <w:lang w:val="en-US" w:eastAsia="zh-CN"/>
              </w:rPr>
              <w:t>g/m</w:t>
            </w:r>
            <w:r>
              <w:rPr>
                <w:rFonts w:hint="eastAsia"/>
                <w:b/>
                <w:color w:val="auto"/>
                <w:szCs w:val="21"/>
                <w:highlight w:val="green"/>
                <w:vertAlign w:val="superscript"/>
                <w:lang w:val="en-US" w:eastAsia="zh-CN"/>
              </w:rPr>
              <w:t>3</w:t>
            </w:r>
            <w:r>
              <w:rPr>
                <w:rFonts w:hint="eastAsia"/>
                <w:b/>
                <w:color w:val="auto"/>
                <w:szCs w:val="21"/>
                <w:highlight w:val="green"/>
                <w:lang w:val="en-US" w:eastAsia="zh-CN"/>
              </w:rPr>
              <w:t>）</w:t>
            </w:r>
          </w:p>
        </w:tc>
        <w:tc>
          <w:tcPr>
            <w:tcW w:w="665" w:type="pct"/>
            <w:vAlign w:val="center"/>
          </w:tcPr>
          <w:p w14:paraId="46279CB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eastAsia="宋体"/>
                <w:b/>
                <w:color w:val="auto"/>
                <w:szCs w:val="21"/>
                <w:highlight w:val="green"/>
                <w:lang w:val="en-US" w:eastAsia="zh-CN"/>
              </w:rPr>
            </w:pPr>
            <w:r>
              <w:rPr>
                <w:rFonts w:hint="eastAsia"/>
                <w:b/>
                <w:color w:val="auto"/>
                <w:szCs w:val="21"/>
                <w:highlight w:val="green"/>
                <w:lang w:val="en-US" w:eastAsia="zh-CN"/>
              </w:rPr>
              <w:t>最大浓度占标率（%）</w:t>
            </w:r>
          </w:p>
        </w:tc>
        <w:tc>
          <w:tcPr>
            <w:tcW w:w="525" w:type="pct"/>
            <w:vAlign w:val="center"/>
          </w:tcPr>
          <w:p w14:paraId="50C845E4">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b/>
                <w:color w:val="auto"/>
                <w:szCs w:val="21"/>
                <w:highlight w:val="green"/>
                <w:lang w:val="en-US" w:eastAsia="zh-CN"/>
              </w:rPr>
            </w:pPr>
            <w:r>
              <w:rPr>
                <w:rFonts w:hint="eastAsia"/>
                <w:b/>
                <w:color w:val="auto"/>
                <w:szCs w:val="21"/>
                <w:highlight w:val="green"/>
                <w:lang w:val="en-US" w:eastAsia="zh-CN"/>
              </w:rPr>
              <w:t>超标率（%）</w:t>
            </w:r>
          </w:p>
        </w:tc>
        <w:tc>
          <w:tcPr>
            <w:tcW w:w="463" w:type="pct"/>
            <w:vAlign w:val="center"/>
          </w:tcPr>
          <w:p w14:paraId="554F9991">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eastAsia" w:eastAsia="宋体"/>
                <w:b/>
                <w:color w:val="auto"/>
                <w:szCs w:val="21"/>
                <w:highlight w:val="green"/>
                <w:lang w:val="en-US" w:eastAsia="zh-CN"/>
              </w:rPr>
            </w:pPr>
            <w:r>
              <w:rPr>
                <w:rFonts w:hint="eastAsia"/>
                <w:b/>
                <w:color w:val="auto"/>
                <w:szCs w:val="21"/>
                <w:highlight w:val="green"/>
                <w:lang w:val="en-US" w:eastAsia="zh-CN"/>
              </w:rPr>
              <w:t>达标情况</w:t>
            </w:r>
          </w:p>
        </w:tc>
      </w:tr>
      <w:tr w14:paraId="5A4618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 w:type="pct"/>
            <w:vMerge w:val="restart"/>
            <w:vAlign w:val="center"/>
          </w:tcPr>
          <w:p w14:paraId="5264A69B">
            <w:pPr>
              <w:jc w:val="center"/>
              <w:rPr>
                <w:rFonts w:hint="eastAsia" w:eastAsia="宋体"/>
                <w:color w:val="auto"/>
                <w:szCs w:val="21"/>
                <w:highlight w:val="green"/>
                <w:lang w:eastAsia="zh-CN"/>
              </w:rPr>
            </w:pPr>
            <w:r>
              <w:rPr>
                <w:rFonts w:hint="eastAsia"/>
                <w:b/>
                <w:color w:val="auto"/>
                <w:szCs w:val="21"/>
                <w:highlight w:val="green"/>
                <w:lang w:eastAsia="zh-CN"/>
              </w:rPr>
              <w:t>东井村</w:t>
            </w:r>
          </w:p>
        </w:tc>
        <w:tc>
          <w:tcPr>
            <w:tcW w:w="537" w:type="pct"/>
            <w:vAlign w:val="center"/>
          </w:tcPr>
          <w:p w14:paraId="4D900FE0">
            <w:pPr>
              <w:jc w:val="center"/>
              <w:rPr>
                <w:rFonts w:hint="default" w:eastAsia="宋体"/>
                <w:color w:val="auto"/>
                <w:szCs w:val="21"/>
                <w:highlight w:val="green"/>
                <w:lang w:val="en-US" w:eastAsia="zh-CN"/>
              </w:rPr>
            </w:pPr>
            <w:r>
              <w:rPr>
                <w:rFonts w:hint="eastAsia"/>
                <w:color w:val="auto"/>
                <w:szCs w:val="21"/>
                <w:highlight w:val="green"/>
                <w:lang w:val="en-US" w:eastAsia="zh-CN"/>
              </w:rPr>
              <w:t>TSP</w:t>
            </w:r>
          </w:p>
        </w:tc>
        <w:tc>
          <w:tcPr>
            <w:tcW w:w="1035" w:type="pct"/>
            <w:vAlign w:val="center"/>
          </w:tcPr>
          <w:p w14:paraId="51EFEB36">
            <w:pPr>
              <w:jc w:val="center"/>
              <w:rPr>
                <w:rFonts w:hint="default" w:eastAsia="宋体"/>
                <w:color w:val="auto"/>
                <w:szCs w:val="21"/>
                <w:highlight w:val="green"/>
                <w:lang w:val="en-US" w:eastAsia="zh-CN"/>
              </w:rPr>
            </w:pPr>
            <w:r>
              <w:rPr>
                <w:rFonts w:hint="eastAsia"/>
                <w:color w:val="auto"/>
                <w:szCs w:val="21"/>
                <w:highlight w:val="green"/>
                <w:lang w:val="en-US" w:eastAsia="zh-CN"/>
              </w:rPr>
              <w:t>24小时平均浓度</w:t>
            </w:r>
          </w:p>
        </w:tc>
        <w:tc>
          <w:tcPr>
            <w:tcW w:w="581" w:type="pct"/>
            <w:vAlign w:val="center"/>
          </w:tcPr>
          <w:p w14:paraId="796383FA">
            <w:pPr>
              <w:jc w:val="center"/>
              <w:rPr>
                <w:rFonts w:hint="default" w:eastAsia="宋体"/>
                <w:color w:val="auto"/>
                <w:szCs w:val="21"/>
                <w:highlight w:val="green"/>
                <w:lang w:val="en-US" w:eastAsia="zh-CN"/>
              </w:rPr>
            </w:pPr>
            <w:r>
              <w:rPr>
                <w:rFonts w:hint="eastAsia"/>
                <w:color w:val="auto"/>
                <w:szCs w:val="21"/>
                <w:highlight w:val="green"/>
                <w:lang w:val="en-US" w:eastAsia="zh-CN"/>
              </w:rPr>
              <w:t>300</w:t>
            </w:r>
          </w:p>
        </w:tc>
        <w:tc>
          <w:tcPr>
            <w:tcW w:w="876" w:type="pct"/>
            <w:vAlign w:val="center"/>
          </w:tcPr>
          <w:p w14:paraId="56A45889">
            <w:pPr>
              <w:jc w:val="center"/>
              <w:rPr>
                <w:rFonts w:hint="default" w:eastAsia="宋体"/>
                <w:color w:val="auto"/>
                <w:szCs w:val="21"/>
                <w:highlight w:val="green"/>
                <w:lang w:val="en-US" w:eastAsia="zh-CN"/>
              </w:rPr>
            </w:pPr>
            <w:r>
              <w:rPr>
                <w:rFonts w:hint="eastAsia"/>
                <w:color w:val="auto"/>
                <w:szCs w:val="21"/>
                <w:highlight w:val="green"/>
                <w:lang w:val="en-US" w:eastAsia="zh-CN"/>
              </w:rPr>
              <w:t>156-183</w:t>
            </w:r>
          </w:p>
        </w:tc>
        <w:tc>
          <w:tcPr>
            <w:tcW w:w="665" w:type="pct"/>
            <w:vAlign w:val="center"/>
          </w:tcPr>
          <w:p w14:paraId="0F094DB9">
            <w:pPr>
              <w:jc w:val="center"/>
              <w:rPr>
                <w:rFonts w:hint="default" w:eastAsia="宋体"/>
                <w:color w:val="auto"/>
                <w:szCs w:val="21"/>
                <w:highlight w:val="green"/>
                <w:lang w:val="en-US" w:eastAsia="zh-CN"/>
              </w:rPr>
            </w:pPr>
            <w:r>
              <w:rPr>
                <w:rFonts w:hint="eastAsia"/>
                <w:color w:val="auto"/>
                <w:szCs w:val="21"/>
                <w:highlight w:val="green"/>
                <w:lang w:val="en-US" w:eastAsia="zh-CN"/>
              </w:rPr>
              <w:t>61</w:t>
            </w:r>
          </w:p>
        </w:tc>
        <w:tc>
          <w:tcPr>
            <w:tcW w:w="525" w:type="pct"/>
            <w:vAlign w:val="center"/>
          </w:tcPr>
          <w:p w14:paraId="656FDD5D">
            <w:pPr>
              <w:jc w:val="center"/>
              <w:rPr>
                <w:rFonts w:hint="eastAsia" w:eastAsia="宋体"/>
                <w:color w:val="auto"/>
                <w:szCs w:val="21"/>
                <w:highlight w:val="green"/>
                <w:lang w:val="en-US" w:eastAsia="zh-CN"/>
              </w:rPr>
            </w:pPr>
            <w:r>
              <w:rPr>
                <w:rFonts w:hint="eastAsia"/>
                <w:color w:val="auto"/>
                <w:szCs w:val="21"/>
                <w:highlight w:val="green"/>
                <w:lang w:val="en-US" w:eastAsia="zh-CN"/>
              </w:rPr>
              <w:t>0</w:t>
            </w:r>
          </w:p>
        </w:tc>
        <w:tc>
          <w:tcPr>
            <w:tcW w:w="463" w:type="pct"/>
            <w:vAlign w:val="center"/>
          </w:tcPr>
          <w:p w14:paraId="668411D5">
            <w:pPr>
              <w:jc w:val="center"/>
              <w:rPr>
                <w:rFonts w:hint="default" w:eastAsia="宋体"/>
                <w:color w:val="auto"/>
                <w:szCs w:val="21"/>
                <w:highlight w:val="green"/>
                <w:lang w:val="en-US" w:eastAsia="zh-CN"/>
              </w:rPr>
            </w:pPr>
            <w:r>
              <w:rPr>
                <w:rFonts w:hint="eastAsia"/>
                <w:color w:val="auto"/>
                <w:szCs w:val="21"/>
                <w:highlight w:val="green"/>
                <w:lang w:val="en-US" w:eastAsia="zh-CN"/>
              </w:rPr>
              <w:t>达标</w:t>
            </w:r>
          </w:p>
        </w:tc>
      </w:tr>
      <w:tr w14:paraId="2842C8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 w:type="pct"/>
            <w:vMerge w:val="continue"/>
            <w:vAlign w:val="center"/>
          </w:tcPr>
          <w:p w14:paraId="49EC77E5">
            <w:pPr>
              <w:jc w:val="center"/>
              <w:rPr>
                <w:color w:val="auto"/>
                <w:szCs w:val="21"/>
                <w:highlight w:val="green"/>
              </w:rPr>
            </w:pPr>
          </w:p>
        </w:tc>
        <w:tc>
          <w:tcPr>
            <w:tcW w:w="537" w:type="pct"/>
            <w:vAlign w:val="center"/>
          </w:tcPr>
          <w:p w14:paraId="4D328EF5">
            <w:pPr>
              <w:jc w:val="center"/>
              <w:rPr>
                <w:rFonts w:hint="default"/>
                <w:color w:val="auto"/>
                <w:highlight w:val="green"/>
                <w:lang w:val="en-US" w:eastAsia="zh-CN"/>
              </w:rPr>
            </w:pPr>
            <w:r>
              <w:rPr>
                <w:rFonts w:hint="eastAsia"/>
                <w:color w:val="auto"/>
                <w:highlight w:val="green"/>
                <w:lang w:val="en-US" w:eastAsia="zh-CN"/>
              </w:rPr>
              <w:t>NOx</w:t>
            </w:r>
          </w:p>
        </w:tc>
        <w:tc>
          <w:tcPr>
            <w:tcW w:w="1035" w:type="pct"/>
            <w:vAlign w:val="center"/>
          </w:tcPr>
          <w:p w14:paraId="0C053824">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24小时平均浓度</w:t>
            </w:r>
          </w:p>
        </w:tc>
        <w:tc>
          <w:tcPr>
            <w:tcW w:w="581" w:type="pct"/>
            <w:vAlign w:val="center"/>
          </w:tcPr>
          <w:p w14:paraId="58CEC2AB">
            <w:pPr>
              <w:jc w:val="center"/>
              <w:rPr>
                <w:rFonts w:hint="default" w:eastAsia="宋体"/>
                <w:color w:val="auto"/>
                <w:szCs w:val="21"/>
                <w:highlight w:val="green"/>
                <w:lang w:val="en-US" w:eastAsia="zh-CN"/>
              </w:rPr>
            </w:pPr>
            <w:r>
              <w:rPr>
                <w:rFonts w:hint="eastAsia"/>
                <w:color w:val="auto"/>
                <w:szCs w:val="21"/>
                <w:highlight w:val="green"/>
                <w:lang w:val="en-US" w:eastAsia="zh-CN"/>
              </w:rPr>
              <w:t>100</w:t>
            </w:r>
          </w:p>
        </w:tc>
        <w:tc>
          <w:tcPr>
            <w:tcW w:w="876" w:type="pct"/>
            <w:vAlign w:val="center"/>
          </w:tcPr>
          <w:p w14:paraId="27EB3FDE">
            <w:pPr>
              <w:jc w:val="center"/>
              <w:rPr>
                <w:rFonts w:hint="default" w:eastAsia="宋体"/>
                <w:color w:val="auto"/>
                <w:szCs w:val="21"/>
                <w:highlight w:val="green"/>
                <w:lang w:val="en-US" w:eastAsia="zh-CN"/>
              </w:rPr>
            </w:pPr>
            <w:r>
              <w:rPr>
                <w:rFonts w:hint="eastAsia"/>
                <w:color w:val="auto"/>
                <w:szCs w:val="21"/>
                <w:highlight w:val="green"/>
                <w:lang w:val="en-US" w:eastAsia="zh-CN"/>
              </w:rPr>
              <w:t>21-29</w:t>
            </w:r>
          </w:p>
        </w:tc>
        <w:tc>
          <w:tcPr>
            <w:tcW w:w="665" w:type="pct"/>
            <w:vAlign w:val="center"/>
          </w:tcPr>
          <w:p w14:paraId="5F667188">
            <w:pPr>
              <w:jc w:val="center"/>
              <w:rPr>
                <w:rFonts w:hint="default" w:eastAsia="宋体"/>
                <w:color w:val="auto"/>
                <w:szCs w:val="21"/>
                <w:highlight w:val="green"/>
                <w:lang w:val="en-US" w:eastAsia="zh-CN"/>
              </w:rPr>
            </w:pPr>
            <w:r>
              <w:rPr>
                <w:rFonts w:hint="eastAsia"/>
                <w:color w:val="auto"/>
                <w:szCs w:val="21"/>
                <w:highlight w:val="green"/>
                <w:lang w:val="en-US" w:eastAsia="zh-CN"/>
              </w:rPr>
              <w:t>29</w:t>
            </w:r>
          </w:p>
        </w:tc>
        <w:tc>
          <w:tcPr>
            <w:tcW w:w="525" w:type="pct"/>
            <w:vAlign w:val="center"/>
          </w:tcPr>
          <w:p w14:paraId="30FE1BF2">
            <w:pPr>
              <w:jc w:val="center"/>
              <w:rPr>
                <w:rFonts w:hint="eastAsia"/>
                <w:color w:val="auto"/>
                <w:szCs w:val="21"/>
                <w:highlight w:val="green"/>
              </w:rPr>
            </w:pPr>
            <w:r>
              <w:rPr>
                <w:rFonts w:hint="eastAsia"/>
                <w:color w:val="auto"/>
                <w:szCs w:val="21"/>
                <w:highlight w:val="green"/>
                <w:lang w:val="en-US" w:eastAsia="zh-CN"/>
              </w:rPr>
              <w:t>0</w:t>
            </w:r>
          </w:p>
        </w:tc>
        <w:tc>
          <w:tcPr>
            <w:tcW w:w="463" w:type="pct"/>
            <w:vAlign w:val="center"/>
          </w:tcPr>
          <w:p w14:paraId="37238D9F">
            <w:pPr>
              <w:jc w:val="center"/>
              <w:rPr>
                <w:rFonts w:hint="eastAsia"/>
                <w:color w:val="auto"/>
                <w:szCs w:val="21"/>
                <w:highlight w:val="green"/>
              </w:rPr>
            </w:pPr>
            <w:r>
              <w:rPr>
                <w:rFonts w:hint="eastAsia"/>
                <w:color w:val="auto"/>
                <w:szCs w:val="21"/>
                <w:highlight w:val="green"/>
                <w:lang w:val="en-US" w:eastAsia="zh-CN"/>
              </w:rPr>
              <w:t>达标</w:t>
            </w:r>
          </w:p>
        </w:tc>
      </w:tr>
      <w:tr w14:paraId="155C99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 w:type="pct"/>
            <w:vMerge w:val="continue"/>
            <w:vAlign w:val="center"/>
          </w:tcPr>
          <w:p w14:paraId="21DB9AA1">
            <w:pPr>
              <w:jc w:val="center"/>
              <w:rPr>
                <w:color w:val="auto"/>
                <w:szCs w:val="21"/>
                <w:highlight w:val="green"/>
              </w:rPr>
            </w:pPr>
          </w:p>
        </w:tc>
        <w:tc>
          <w:tcPr>
            <w:tcW w:w="537" w:type="pct"/>
            <w:vAlign w:val="center"/>
          </w:tcPr>
          <w:p w14:paraId="31ACACE7">
            <w:pPr>
              <w:jc w:val="center"/>
              <w:rPr>
                <w:rFonts w:hint="eastAsia" w:eastAsia="宋体"/>
                <w:color w:val="auto"/>
                <w:szCs w:val="21"/>
                <w:highlight w:val="green"/>
                <w:lang w:val="en-US" w:eastAsia="zh-CN"/>
              </w:rPr>
            </w:pPr>
            <w:r>
              <w:rPr>
                <w:rFonts w:hint="eastAsia"/>
                <w:color w:val="auto"/>
                <w:szCs w:val="21"/>
                <w:highlight w:val="green"/>
                <w:lang w:val="en-US" w:eastAsia="zh-CN"/>
              </w:rPr>
              <w:t>氨</w:t>
            </w:r>
          </w:p>
        </w:tc>
        <w:tc>
          <w:tcPr>
            <w:tcW w:w="1035" w:type="pct"/>
            <w:vAlign w:val="center"/>
          </w:tcPr>
          <w:p w14:paraId="5E7303BD">
            <w:pPr>
              <w:jc w:val="center"/>
              <w:rPr>
                <w:rFonts w:hint="default" w:eastAsia="宋体"/>
                <w:color w:val="auto"/>
                <w:szCs w:val="21"/>
                <w:highlight w:val="green"/>
                <w:lang w:val="en-US" w:eastAsia="zh-CN"/>
              </w:rPr>
            </w:pPr>
            <w:r>
              <w:rPr>
                <w:rFonts w:hint="eastAsia"/>
                <w:color w:val="auto"/>
                <w:szCs w:val="21"/>
                <w:highlight w:val="green"/>
                <w:lang w:val="en-US" w:eastAsia="zh-CN"/>
              </w:rPr>
              <w:t>1小时平均浓度</w:t>
            </w:r>
          </w:p>
        </w:tc>
        <w:tc>
          <w:tcPr>
            <w:tcW w:w="581" w:type="pct"/>
            <w:vAlign w:val="center"/>
          </w:tcPr>
          <w:p w14:paraId="3197078B">
            <w:pPr>
              <w:jc w:val="center"/>
              <w:rPr>
                <w:rFonts w:hint="default" w:eastAsia="宋体"/>
                <w:color w:val="auto"/>
                <w:szCs w:val="21"/>
                <w:highlight w:val="green"/>
                <w:lang w:val="en-US" w:eastAsia="zh-CN"/>
              </w:rPr>
            </w:pPr>
            <w:r>
              <w:rPr>
                <w:rFonts w:hint="eastAsia"/>
                <w:color w:val="auto"/>
                <w:szCs w:val="21"/>
                <w:highlight w:val="green"/>
                <w:lang w:val="en-US" w:eastAsia="zh-CN"/>
              </w:rPr>
              <w:t>200</w:t>
            </w:r>
          </w:p>
        </w:tc>
        <w:tc>
          <w:tcPr>
            <w:tcW w:w="876" w:type="pct"/>
            <w:vAlign w:val="center"/>
          </w:tcPr>
          <w:p w14:paraId="03B8B1EC">
            <w:pPr>
              <w:jc w:val="center"/>
              <w:rPr>
                <w:rFonts w:hint="default" w:eastAsia="宋体"/>
                <w:color w:val="auto"/>
                <w:szCs w:val="21"/>
                <w:highlight w:val="green"/>
                <w:lang w:val="en-US" w:eastAsia="zh-CN"/>
              </w:rPr>
            </w:pPr>
            <w:r>
              <w:rPr>
                <w:rFonts w:hint="eastAsia"/>
                <w:color w:val="auto"/>
                <w:szCs w:val="21"/>
                <w:highlight w:val="green"/>
                <w:lang w:val="en-US" w:eastAsia="zh-CN"/>
              </w:rPr>
              <w:t>10</w:t>
            </w:r>
          </w:p>
        </w:tc>
        <w:tc>
          <w:tcPr>
            <w:tcW w:w="665" w:type="pct"/>
            <w:vAlign w:val="center"/>
          </w:tcPr>
          <w:p w14:paraId="010C50DF">
            <w:pPr>
              <w:jc w:val="center"/>
              <w:rPr>
                <w:rFonts w:hint="default" w:eastAsia="宋体"/>
                <w:color w:val="auto"/>
                <w:szCs w:val="21"/>
                <w:highlight w:val="green"/>
                <w:lang w:val="en-US" w:eastAsia="zh-CN"/>
              </w:rPr>
            </w:pPr>
            <w:r>
              <w:rPr>
                <w:rFonts w:hint="eastAsia"/>
                <w:color w:val="auto"/>
                <w:szCs w:val="21"/>
                <w:highlight w:val="green"/>
                <w:lang w:val="en-US" w:eastAsia="zh-CN"/>
              </w:rPr>
              <w:t>5</w:t>
            </w:r>
          </w:p>
        </w:tc>
        <w:tc>
          <w:tcPr>
            <w:tcW w:w="525" w:type="pct"/>
            <w:vAlign w:val="center"/>
          </w:tcPr>
          <w:p w14:paraId="111D0F59">
            <w:pPr>
              <w:jc w:val="center"/>
              <w:rPr>
                <w:rFonts w:hint="eastAsia"/>
                <w:color w:val="auto"/>
                <w:szCs w:val="21"/>
                <w:highlight w:val="green"/>
              </w:rPr>
            </w:pPr>
            <w:r>
              <w:rPr>
                <w:rFonts w:hint="eastAsia"/>
                <w:color w:val="auto"/>
                <w:szCs w:val="21"/>
                <w:highlight w:val="green"/>
                <w:lang w:val="en-US" w:eastAsia="zh-CN"/>
              </w:rPr>
              <w:t>0</w:t>
            </w:r>
          </w:p>
        </w:tc>
        <w:tc>
          <w:tcPr>
            <w:tcW w:w="463" w:type="pct"/>
            <w:vAlign w:val="center"/>
          </w:tcPr>
          <w:p w14:paraId="3082A8FD">
            <w:pPr>
              <w:jc w:val="center"/>
              <w:rPr>
                <w:rFonts w:hint="eastAsia"/>
                <w:color w:val="auto"/>
                <w:szCs w:val="21"/>
                <w:highlight w:val="green"/>
              </w:rPr>
            </w:pPr>
            <w:r>
              <w:rPr>
                <w:rFonts w:hint="eastAsia"/>
                <w:color w:val="auto"/>
                <w:szCs w:val="21"/>
                <w:highlight w:val="green"/>
                <w:lang w:val="en-US" w:eastAsia="zh-CN"/>
              </w:rPr>
              <w:t>达标</w:t>
            </w:r>
          </w:p>
        </w:tc>
      </w:tr>
      <w:tr w14:paraId="053C1B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 w:type="pct"/>
            <w:vMerge w:val="continue"/>
            <w:vAlign w:val="center"/>
          </w:tcPr>
          <w:p w14:paraId="5E5A6B9B">
            <w:pPr>
              <w:jc w:val="center"/>
              <w:rPr>
                <w:color w:val="auto"/>
                <w:szCs w:val="21"/>
                <w:highlight w:val="green"/>
              </w:rPr>
            </w:pPr>
          </w:p>
        </w:tc>
        <w:tc>
          <w:tcPr>
            <w:tcW w:w="537" w:type="pct"/>
            <w:vAlign w:val="center"/>
          </w:tcPr>
          <w:p w14:paraId="077FE82D">
            <w:pPr>
              <w:jc w:val="center"/>
              <w:rPr>
                <w:rFonts w:hint="eastAsia" w:eastAsia="宋体"/>
                <w:color w:val="auto"/>
                <w:szCs w:val="21"/>
                <w:highlight w:val="green"/>
                <w:lang w:val="en-US" w:eastAsia="zh-CN"/>
              </w:rPr>
            </w:pPr>
            <w:r>
              <w:rPr>
                <w:rFonts w:hint="eastAsia"/>
                <w:color w:val="auto"/>
                <w:szCs w:val="21"/>
                <w:highlight w:val="green"/>
                <w:lang w:val="en-US" w:eastAsia="zh-CN"/>
              </w:rPr>
              <w:t>硫化氢</w:t>
            </w:r>
          </w:p>
        </w:tc>
        <w:tc>
          <w:tcPr>
            <w:tcW w:w="1035" w:type="pct"/>
            <w:vAlign w:val="center"/>
          </w:tcPr>
          <w:p w14:paraId="126DDAF3">
            <w:pPr>
              <w:jc w:val="center"/>
              <w:rPr>
                <w:rFonts w:hint="eastAsia"/>
                <w:color w:val="auto"/>
                <w:szCs w:val="21"/>
                <w:highlight w:val="green"/>
              </w:rPr>
            </w:pPr>
            <w:r>
              <w:rPr>
                <w:rFonts w:hint="eastAsia"/>
                <w:color w:val="auto"/>
                <w:szCs w:val="21"/>
                <w:highlight w:val="green"/>
                <w:lang w:val="en-US" w:eastAsia="zh-CN"/>
              </w:rPr>
              <w:t>1小时平均浓度</w:t>
            </w:r>
          </w:p>
        </w:tc>
        <w:tc>
          <w:tcPr>
            <w:tcW w:w="581" w:type="pct"/>
            <w:vAlign w:val="center"/>
          </w:tcPr>
          <w:p w14:paraId="60C7A06D">
            <w:pPr>
              <w:jc w:val="center"/>
              <w:rPr>
                <w:rFonts w:hint="default" w:eastAsia="宋体"/>
                <w:color w:val="auto"/>
                <w:szCs w:val="21"/>
                <w:highlight w:val="green"/>
                <w:lang w:val="en-US" w:eastAsia="zh-CN"/>
              </w:rPr>
            </w:pPr>
            <w:r>
              <w:rPr>
                <w:rFonts w:hint="eastAsia"/>
                <w:color w:val="auto"/>
                <w:szCs w:val="21"/>
                <w:highlight w:val="green"/>
                <w:lang w:val="en-US" w:eastAsia="zh-CN"/>
              </w:rPr>
              <w:t>10</w:t>
            </w:r>
          </w:p>
        </w:tc>
        <w:tc>
          <w:tcPr>
            <w:tcW w:w="876" w:type="pct"/>
            <w:vAlign w:val="center"/>
          </w:tcPr>
          <w:p w14:paraId="37AFEA2D">
            <w:pPr>
              <w:jc w:val="center"/>
              <w:rPr>
                <w:rFonts w:hint="default"/>
                <w:color w:val="auto"/>
                <w:szCs w:val="21"/>
                <w:highlight w:val="green"/>
                <w:lang w:val="en-US"/>
              </w:rPr>
            </w:pPr>
            <w:r>
              <w:rPr>
                <w:rFonts w:hint="eastAsia"/>
                <w:color w:val="auto"/>
                <w:szCs w:val="21"/>
                <w:highlight w:val="green"/>
                <w:lang w:val="en-US" w:eastAsia="zh-CN"/>
              </w:rPr>
              <w:t>2</w:t>
            </w:r>
          </w:p>
        </w:tc>
        <w:tc>
          <w:tcPr>
            <w:tcW w:w="665" w:type="pct"/>
            <w:vAlign w:val="center"/>
          </w:tcPr>
          <w:p w14:paraId="2F233835">
            <w:pPr>
              <w:jc w:val="center"/>
              <w:rPr>
                <w:rFonts w:hint="default" w:eastAsia="宋体"/>
                <w:color w:val="auto"/>
                <w:szCs w:val="21"/>
                <w:highlight w:val="green"/>
                <w:lang w:val="en-US" w:eastAsia="zh-CN"/>
              </w:rPr>
            </w:pPr>
            <w:r>
              <w:rPr>
                <w:rFonts w:hint="eastAsia"/>
                <w:color w:val="auto"/>
                <w:szCs w:val="21"/>
                <w:highlight w:val="green"/>
                <w:lang w:val="en-US" w:eastAsia="zh-CN"/>
              </w:rPr>
              <w:t>20</w:t>
            </w:r>
          </w:p>
        </w:tc>
        <w:tc>
          <w:tcPr>
            <w:tcW w:w="525" w:type="pct"/>
            <w:vAlign w:val="center"/>
          </w:tcPr>
          <w:p w14:paraId="7E981534">
            <w:pPr>
              <w:jc w:val="center"/>
              <w:rPr>
                <w:rFonts w:hint="eastAsia"/>
                <w:color w:val="auto"/>
                <w:szCs w:val="21"/>
                <w:highlight w:val="green"/>
              </w:rPr>
            </w:pPr>
            <w:r>
              <w:rPr>
                <w:rFonts w:hint="eastAsia"/>
                <w:color w:val="auto"/>
                <w:szCs w:val="21"/>
                <w:highlight w:val="green"/>
                <w:lang w:val="en-US" w:eastAsia="zh-CN"/>
              </w:rPr>
              <w:t>0</w:t>
            </w:r>
          </w:p>
        </w:tc>
        <w:tc>
          <w:tcPr>
            <w:tcW w:w="463" w:type="pct"/>
            <w:vAlign w:val="center"/>
          </w:tcPr>
          <w:p w14:paraId="35470F26">
            <w:pPr>
              <w:jc w:val="center"/>
              <w:rPr>
                <w:rFonts w:hint="eastAsia"/>
                <w:color w:val="auto"/>
                <w:szCs w:val="21"/>
                <w:highlight w:val="green"/>
              </w:rPr>
            </w:pPr>
            <w:r>
              <w:rPr>
                <w:rFonts w:hint="eastAsia"/>
                <w:color w:val="auto"/>
                <w:szCs w:val="21"/>
                <w:highlight w:val="green"/>
                <w:lang w:val="en-US" w:eastAsia="zh-CN"/>
              </w:rPr>
              <w:t>达标</w:t>
            </w:r>
          </w:p>
        </w:tc>
      </w:tr>
      <w:tr w14:paraId="08F1F8F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 w:type="pct"/>
            <w:vMerge w:val="continue"/>
            <w:vAlign w:val="center"/>
          </w:tcPr>
          <w:p w14:paraId="7F188BFA">
            <w:pPr>
              <w:jc w:val="center"/>
              <w:rPr>
                <w:color w:val="auto"/>
                <w:szCs w:val="21"/>
                <w:highlight w:val="green"/>
              </w:rPr>
            </w:pPr>
          </w:p>
        </w:tc>
        <w:tc>
          <w:tcPr>
            <w:tcW w:w="537" w:type="pct"/>
            <w:vAlign w:val="center"/>
          </w:tcPr>
          <w:p w14:paraId="0FDF2929">
            <w:pPr>
              <w:jc w:val="center"/>
              <w:rPr>
                <w:rFonts w:hint="eastAsia" w:eastAsia="宋体"/>
                <w:color w:val="auto"/>
                <w:szCs w:val="21"/>
                <w:highlight w:val="green"/>
                <w:lang w:val="en-US" w:eastAsia="zh-CN"/>
              </w:rPr>
            </w:pPr>
            <w:r>
              <w:rPr>
                <w:rFonts w:hint="eastAsia"/>
                <w:color w:val="auto"/>
                <w:szCs w:val="21"/>
                <w:highlight w:val="green"/>
                <w:lang w:val="en-US" w:eastAsia="zh-CN"/>
              </w:rPr>
              <w:t>臭气浓度</w:t>
            </w:r>
          </w:p>
        </w:tc>
        <w:tc>
          <w:tcPr>
            <w:tcW w:w="1035" w:type="pct"/>
            <w:vAlign w:val="center"/>
          </w:tcPr>
          <w:p w14:paraId="3064D45B">
            <w:pPr>
              <w:jc w:val="center"/>
              <w:rPr>
                <w:rFonts w:hint="eastAsia" w:eastAsia="宋体"/>
                <w:color w:val="auto"/>
                <w:szCs w:val="21"/>
                <w:highlight w:val="green"/>
                <w:lang w:val="en-US" w:eastAsia="zh-CN"/>
              </w:rPr>
            </w:pPr>
            <w:r>
              <w:rPr>
                <w:rFonts w:hint="eastAsia"/>
                <w:color w:val="auto"/>
                <w:szCs w:val="21"/>
                <w:highlight w:val="green"/>
                <w:lang w:val="en-US" w:eastAsia="zh-CN"/>
              </w:rPr>
              <w:t>一次浓度值</w:t>
            </w:r>
          </w:p>
        </w:tc>
        <w:tc>
          <w:tcPr>
            <w:tcW w:w="581" w:type="pct"/>
            <w:vAlign w:val="center"/>
          </w:tcPr>
          <w:p w14:paraId="5F608715">
            <w:pPr>
              <w:jc w:val="center"/>
              <w:rPr>
                <w:rFonts w:hint="default" w:eastAsia="宋体"/>
                <w:color w:val="auto"/>
                <w:szCs w:val="21"/>
                <w:highlight w:val="green"/>
                <w:lang w:val="en-US" w:eastAsia="zh-CN"/>
              </w:rPr>
            </w:pPr>
            <w:r>
              <w:rPr>
                <w:rFonts w:hint="eastAsia"/>
                <w:color w:val="auto"/>
                <w:szCs w:val="21"/>
                <w:highlight w:val="green"/>
                <w:lang w:val="en-US" w:eastAsia="zh-CN"/>
              </w:rPr>
              <w:t>20（无量纲）</w:t>
            </w:r>
          </w:p>
        </w:tc>
        <w:tc>
          <w:tcPr>
            <w:tcW w:w="876" w:type="pct"/>
            <w:vAlign w:val="center"/>
          </w:tcPr>
          <w:p w14:paraId="04CFFD17">
            <w:pPr>
              <w:jc w:val="center"/>
              <w:rPr>
                <w:rFonts w:hint="eastAsia"/>
                <w:color w:val="auto"/>
                <w:szCs w:val="21"/>
                <w:highlight w:val="green"/>
              </w:rPr>
            </w:pPr>
            <w:r>
              <w:rPr>
                <w:rFonts w:hint="default" w:ascii="Times New Roman" w:hAnsi="Times New Roman" w:eastAsia="宋体" w:cs="Times New Roman"/>
                <w:color w:val="auto"/>
                <w:szCs w:val="21"/>
                <w:highlight w:val="green"/>
              </w:rPr>
              <w:t>&lt;</w:t>
            </w:r>
            <w:r>
              <w:rPr>
                <w:rFonts w:hint="default" w:ascii="Times New Roman" w:hAnsi="Times New Roman" w:eastAsia="宋体" w:cs="Times New Roman"/>
                <w:color w:val="auto"/>
                <w:szCs w:val="21"/>
                <w:highlight w:val="green"/>
                <w:lang w:val="en-US" w:eastAsia="zh-CN"/>
              </w:rPr>
              <w:t>10</w:t>
            </w:r>
          </w:p>
        </w:tc>
        <w:tc>
          <w:tcPr>
            <w:tcW w:w="665" w:type="pct"/>
            <w:vAlign w:val="center"/>
          </w:tcPr>
          <w:p w14:paraId="00511460">
            <w:pPr>
              <w:jc w:val="center"/>
              <w:rPr>
                <w:rFonts w:hint="eastAsia" w:eastAsia="宋体"/>
                <w:color w:val="auto"/>
                <w:szCs w:val="21"/>
                <w:highlight w:val="green"/>
                <w:lang w:val="en-US" w:eastAsia="zh-CN"/>
              </w:rPr>
            </w:pPr>
            <w:r>
              <w:rPr>
                <w:rFonts w:hint="eastAsia"/>
                <w:color w:val="auto"/>
                <w:szCs w:val="21"/>
                <w:highlight w:val="green"/>
                <w:lang w:val="en-US" w:eastAsia="zh-CN"/>
              </w:rPr>
              <w:t>/</w:t>
            </w:r>
          </w:p>
        </w:tc>
        <w:tc>
          <w:tcPr>
            <w:tcW w:w="525" w:type="pct"/>
            <w:vAlign w:val="center"/>
          </w:tcPr>
          <w:p w14:paraId="5B519D7E">
            <w:pPr>
              <w:jc w:val="center"/>
              <w:rPr>
                <w:rFonts w:hint="eastAsia"/>
                <w:color w:val="auto"/>
                <w:szCs w:val="21"/>
                <w:highlight w:val="green"/>
              </w:rPr>
            </w:pPr>
            <w:r>
              <w:rPr>
                <w:rFonts w:hint="eastAsia"/>
                <w:color w:val="auto"/>
                <w:szCs w:val="21"/>
                <w:highlight w:val="green"/>
                <w:lang w:val="en-US" w:eastAsia="zh-CN"/>
              </w:rPr>
              <w:t>0</w:t>
            </w:r>
          </w:p>
        </w:tc>
        <w:tc>
          <w:tcPr>
            <w:tcW w:w="463" w:type="pct"/>
            <w:vAlign w:val="center"/>
          </w:tcPr>
          <w:p w14:paraId="6AC7D11A">
            <w:pPr>
              <w:jc w:val="center"/>
              <w:rPr>
                <w:rFonts w:hint="eastAsia"/>
                <w:color w:val="auto"/>
                <w:szCs w:val="21"/>
                <w:highlight w:val="green"/>
              </w:rPr>
            </w:pPr>
            <w:r>
              <w:rPr>
                <w:rFonts w:hint="eastAsia"/>
                <w:color w:val="auto"/>
                <w:szCs w:val="21"/>
                <w:highlight w:val="green"/>
                <w:lang w:val="en-US" w:eastAsia="zh-CN"/>
              </w:rPr>
              <w:t>达标</w:t>
            </w:r>
          </w:p>
        </w:tc>
      </w:tr>
      <w:tr w14:paraId="31E8D4B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 w:type="pct"/>
            <w:vMerge w:val="restart"/>
            <w:vAlign w:val="center"/>
          </w:tcPr>
          <w:p w14:paraId="0C8A2571">
            <w:pPr>
              <w:jc w:val="center"/>
              <w:rPr>
                <w:color w:val="auto"/>
                <w:szCs w:val="21"/>
                <w:highlight w:val="green"/>
              </w:rPr>
            </w:pPr>
            <w:r>
              <w:rPr>
                <w:rFonts w:hint="eastAsia"/>
                <w:b/>
                <w:color w:val="auto"/>
                <w:szCs w:val="21"/>
                <w:highlight w:val="green"/>
              </w:rPr>
              <w:t>项目地</w:t>
            </w:r>
          </w:p>
        </w:tc>
        <w:tc>
          <w:tcPr>
            <w:tcW w:w="537" w:type="pct"/>
            <w:vAlign w:val="center"/>
          </w:tcPr>
          <w:p w14:paraId="6E5725B1">
            <w:pPr>
              <w:jc w:val="center"/>
              <w:rPr>
                <w:rFonts w:hint="default"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TSP</w:t>
            </w:r>
          </w:p>
        </w:tc>
        <w:tc>
          <w:tcPr>
            <w:tcW w:w="1035" w:type="pct"/>
            <w:vAlign w:val="center"/>
          </w:tcPr>
          <w:p w14:paraId="75B20899">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24小时平均浓度</w:t>
            </w:r>
          </w:p>
        </w:tc>
        <w:tc>
          <w:tcPr>
            <w:tcW w:w="938" w:type="dxa"/>
            <w:vAlign w:val="center"/>
          </w:tcPr>
          <w:p w14:paraId="48AF8D8A">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300</w:t>
            </w:r>
          </w:p>
        </w:tc>
        <w:tc>
          <w:tcPr>
            <w:tcW w:w="876" w:type="pct"/>
            <w:vAlign w:val="center"/>
          </w:tcPr>
          <w:p w14:paraId="3AFF201E">
            <w:pPr>
              <w:jc w:val="center"/>
              <w:rPr>
                <w:rFonts w:hint="default" w:eastAsia="宋体"/>
                <w:color w:val="auto"/>
                <w:szCs w:val="21"/>
                <w:highlight w:val="green"/>
                <w:lang w:val="en-US" w:eastAsia="zh-CN"/>
              </w:rPr>
            </w:pPr>
            <w:r>
              <w:rPr>
                <w:rFonts w:hint="eastAsia"/>
                <w:color w:val="auto"/>
                <w:szCs w:val="21"/>
                <w:highlight w:val="green"/>
                <w:lang w:val="en-US" w:eastAsia="zh-CN"/>
              </w:rPr>
              <w:t>153-187</w:t>
            </w:r>
          </w:p>
        </w:tc>
        <w:tc>
          <w:tcPr>
            <w:tcW w:w="665" w:type="pct"/>
            <w:vAlign w:val="center"/>
          </w:tcPr>
          <w:p w14:paraId="53532985">
            <w:pPr>
              <w:jc w:val="center"/>
              <w:rPr>
                <w:rFonts w:hint="default" w:eastAsia="宋体"/>
                <w:color w:val="auto"/>
                <w:szCs w:val="21"/>
                <w:highlight w:val="green"/>
                <w:lang w:val="en-US" w:eastAsia="zh-CN"/>
              </w:rPr>
            </w:pPr>
            <w:r>
              <w:rPr>
                <w:rFonts w:hint="eastAsia"/>
                <w:color w:val="auto"/>
                <w:szCs w:val="21"/>
                <w:highlight w:val="green"/>
                <w:lang w:val="en-US" w:eastAsia="zh-CN"/>
              </w:rPr>
              <w:t>62</w:t>
            </w:r>
          </w:p>
        </w:tc>
        <w:tc>
          <w:tcPr>
            <w:tcW w:w="525" w:type="pct"/>
            <w:vAlign w:val="center"/>
          </w:tcPr>
          <w:p w14:paraId="03E4B010">
            <w:pPr>
              <w:jc w:val="center"/>
              <w:rPr>
                <w:rFonts w:hint="eastAsia"/>
                <w:color w:val="auto"/>
                <w:szCs w:val="21"/>
                <w:highlight w:val="green"/>
              </w:rPr>
            </w:pPr>
            <w:r>
              <w:rPr>
                <w:rFonts w:hint="eastAsia"/>
                <w:color w:val="auto"/>
                <w:szCs w:val="21"/>
                <w:highlight w:val="green"/>
                <w:lang w:val="en-US" w:eastAsia="zh-CN"/>
              </w:rPr>
              <w:t>0</w:t>
            </w:r>
          </w:p>
        </w:tc>
        <w:tc>
          <w:tcPr>
            <w:tcW w:w="463" w:type="pct"/>
            <w:vAlign w:val="center"/>
          </w:tcPr>
          <w:p w14:paraId="24EF04AC">
            <w:pPr>
              <w:jc w:val="center"/>
              <w:rPr>
                <w:rFonts w:hint="eastAsia"/>
                <w:color w:val="auto"/>
                <w:szCs w:val="21"/>
                <w:highlight w:val="green"/>
              </w:rPr>
            </w:pPr>
            <w:r>
              <w:rPr>
                <w:rFonts w:hint="eastAsia"/>
                <w:color w:val="auto"/>
                <w:szCs w:val="21"/>
                <w:highlight w:val="green"/>
                <w:lang w:val="en-US" w:eastAsia="zh-CN"/>
              </w:rPr>
              <w:t>达标</w:t>
            </w:r>
          </w:p>
        </w:tc>
      </w:tr>
      <w:tr w14:paraId="7B46618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 w:type="pct"/>
            <w:vMerge w:val="continue"/>
            <w:vAlign w:val="center"/>
          </w:tcPr>
          <w:p w14:paraId="1AC90E78">
            <w:pPr>
              <w:jc w:val="center"/>
              <w:rPr>
                <w:color w:val="auto"/>
                <w:szCs w:val="21"/>
                <w:highlight w:val="green"/>
              </w:rPr>
            </w:pPr>
          </w:p>
        </w:tc>
        <w:tc>
          <w:tcPr>
            <w:tcW w:w="537" w:type="pct"/>
            <w:vAlign w:val="center"/>
          </w:tcPr>
          <w:p w14:paraId="05C22910">
            <w:pPr>
              <w:jc w:val="center"/>
              <w:rPr>
                <w:rFonts w:hint="default" w:ascii="Times New Roman" w:hAnsi="Times New Roman" w:eastAsia="宋体" w:cs="Times New Roman"/>
                <w:color w:val="auto"/>
                <w:kern w:val="2"/>
                <w:sz w:val="21"/>
                <w:szCs w:val="24"/>
                <w:highlight w:val="green"/>
                <w:lang w:val="en-US" w:eastAsia="zh-CN" w:bidi="ar-SA"/>
              </w:rPr>
            </w:pPr>
            <w:r>
              <w:rPr>
                <w:rFonts w:hint="eastAsia"/>
                <w:color w:val="auto"/>
                <w:highlight w:val="green"/>
                <w:lang w:val="en-US" w:eastAsia="zh-CN"/>
              </w:rPr>
              <w:t>NOx</w:t>
            </w:r>
          </w:p>
        </w:tc>
        <w:tc>
          <w:tcPr>
            <w:tcW w:w="1035" w:type="pct"/>
            <w:vAlign w:val="center"/>
          </w:tcPr>
          <w:p w14:paraId="7B1FA2EE">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24小时平均浓度</w:t>
            </w:r>
          </w:p>
        </w:tc>
        <w:tc>
          <w:tcPr>
            <w:tcW w:w="938" w:type="dxa"/>
            <w:vAlign w:val="center"/>
          </w:tcPr>
          <w:p w14:paraId="6C54E0F9">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100</w:t>
            </w:r>
          </w:p>
        </w:tc>
        <w:tc>
          <w:tcPr>
            <w:tcW w:w="876" w:type="pct"/>
            <w:vAlign w:val="center"/>
          </w:tcPr>
          <w:p w14:paraId="3A667E0F">
            <w:pPr>
              <w:jc w:val="center"/>
              <w:rPr>
                <w:rFonts w:hint="default" w:eastAsia="宋体"/>
                <w:color w:val="auto"/>
                <w:szCs w:val="21"/>
                <w:highlight w:val="green"/>
                <w:lang w:val="en-US" w:eastAsia="zh-CN"/>
              </w:rPr>
            </w:pPr>
            <w:r>
              <w:rPr>
                <w:rFonts w:hint="eastAsia"/>
                <w:color w:val="auto"/>
                <w:szCs w:val="21"/>
                <w:highlight w:val="green"/>
                <w:lang w:val="en-US" w:eastAsia="zh-CN"/>
              </w:rPr>
              <w:t>23-32</w:t>
            </w:r>
          </w:p>
        </w:tc>
        <w:tc>
          <w:tcPr>
            <w:tcW w:w="665" w:type="pct"/>
            <w:vAlign w:val="center"/>
          </w:tcPr>
          <w:p w14:paraId="58CDED24">
            <w:pPr>
              <w:jc w:val="center"/>
              <w:rPr>
                <w:rFonts w:hint="default" w:eastAsia="宋体"/>
                <w:color w:val="auto"/>
                <w:szCs w:val="21"/>
                <w:highlight w:val="green"/>
                <w:lang w:val="en-US" w:eastAsia="zh-CN"/>
              </w:rPr>
            </w:pPr>
            <w:r>
              <w:rPr>
                <w:rFonts w:hint="eastAsia"/>
                <w:color w:val="auto"/>
                <w:szCs w:val="21"/>
                <w:highlight w:val="green"/>
                <w:lang w:val="en-US" w:eastAsia="zh-CN"/>
              </w:rPr>
              <w:t>32</w:t>
            </w:r>
          </w:p>
        </w:tc>
        <w:tc>
          <w:tcPr>
            <w:tcW w:w="525" w:type="pct"/>
            <w:vAlign w:val="center"/>
          </w:tcPr>
          <w:p w14:paraId="755852E7">
            <w:pPr>
              <w:jc w:val="center"/>
              <w:rPr>
                <w:rFonts w:hint="eastAsia"/>
                <w:color w:val="auto"/>
                <w:szCs w:val="21"/>
                <w:highlight w:val="green"/>
              </w:rPr>
            </w:pPr>
            <w:r>
              <w:rPr>
                <w:rFonts w:hint="eastAsia"/>
                <w:color w:val="auto"/>
                <w:szCs w:val="21"/>
                <w:highlight w:val="green"/>
                <w:lang w:val="en-US" w:eastAsia="zh-CN"/>
              </w:rPr>
              <w:t>0</w:t>
            </w:r>
          </w:p>
        </w:tc>
        <w:tc>
          <w:tcPr>
            <w:tcW w:w="463" w:type="pct"/>
            <w:vAlign w:val="center"/>
          </w:tcPr>
          <w:p w14:paraId="40545D19">
            <w:pPr>
              <w:jc w:val="center"/>
              <w:rPr>
                <w:rFonts w:hint="eastAsia"/>
                <w:color w:val="auto"/>
                <w:szCs w:val="21"/>
                <w:highlight w:val="green"/>
              </w:rPr>
            </w:pPr>
            <w:r>
              <w:rPr>
                <w:rFonts w:hint="eastAsia"/>
                <w:color w:val="auto"/>
                <w:szCs w:val="21"/>
                <w:highlight w:val="green"/>
                <w:lang w:val="en-US" w:eastAsia="zh-CN"/>
              </w:rPr>
              <w:t>达标</w:t>
            </w:r>
          </w:p>
        </w:tc>
      </w:tr>
      <w:tr w14:paraId="7AED99F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 w:type="pct"/>
            <w:vMerge w:val="continue"/>
            <w:vAlign w:val="center"/>
          </w:tcPr>
          <w:p w14:paraId="3E2957C1">
            <w:pPr>
              <w:jc w:val="center"/>
              <w:rPr>
                <w:color w:val="auto"/>
                <w:szCs w:val="21"/>
                <w:highlight w:val="green"/>
              </w:rPr>
            </w:pPr>
          </w:p>
        </w:tc>
        <w:tc>
          <w:tcPr>
            <w:tcW w:w="537" w:type="pct"/>
            <w:vAlign w:val="center"/>
          </w:tcPr>
          <w:p w14:paraId="4CD904F0">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氨</w:t>
            </w:r>
          </w:p>
        </w:tc>
        <w:tc>
          <w:tcPr>
            <w:tcW w:w="1035" w:type="pct"/>
            <w:vAlign w:val="center"/>
          </w:tcPr>
          <w:p w14:paraId="204FCCFD">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1小时平均浓度</w:t>
            </w:r>
          </w:p>
        </w:tc>
        <w:tc>
          <w:tcPr>
            <w:tcW w:w="938" w:type="dxa"/>
            <w:vAlign w:val="center"/>
          </w:tcPr>
          <w:p w14:paraId="1CD138D9">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200</w:t>
            </w:r>
          </w:p>
        </w:tc>
        <w:tc>
          <w:tcPr>
            <w:tcW w:w="876" w:type="pct"/>
            <w:vAlign w:val="center"/>
          </w:tcPr>
          <w:p w14:paraId="29D6B6C0">
            <w:pPr>
              <w:jc w:val="center"/>
              <w:rPr>
                <w:rFonts w:hint="default" w:eastAsia="宋体"/>
                <w:color w:val="auto"/>
                <w:szCs w:val="21"/>
                <w:highlight w:val="green"/>
                <w:lang w:val="en-US" w:eastAsia="zh-CN"/>
              </w:rPr>
            </w:pPr>
            <w:r>
              <w:rPr>
                <w:rFonts w:hint="eastAsia"/>
                <w:color w:val="auto"/>
                <w:szCs w:val="21"/>
                <w:highlight w:val="green"/>
                <w:lang w:val="en-US" w:eastAsia="zh-CN"/>
              </w:rPr>
              <w:t>20</w:t>
            </w:r>
          </w:p>
        </w:tc>
        <w:tc>
          <w:tcPr>
            <w:tcW w:w="665" w:type="pct"/>
            <w:vAlign w:val="center"/>
          </w:tcPr>
          <w:p w14:paraId="3F6E8C9E">
            <w:pPr>
              <w:jc w:val="center"/>
              <w:rPr>
                <w:rFonts w:hint="default" w:eastAsia="宋体"/>
                <w:color w:val="auto"/>
                <w:szCs w:val="21"/>
                <w:highlight w:val="green"/>
                <w:lang w:val="en-US" w:eastAsia="zh-CN"/>
              </w:rPr>
            </w:pPr>
            <w:r>
              <w:rPr>
                <w:rFonts w:hint="eastAsia"/>
                <w:color w:val="auto"/>
                <w:szCs w:val="21"/>
                <w:highlight w:val="green"/>
                <w:lang w:val="en-US" w:eastAsia="zh-CN"/>
              </w:rPr>
              <w:t>10</w:t>
            </w:r>
          </w:p>
        </w:tc>
        <w:tc>
          <w:tcPr>
            <w:tcW w:w="525" w:type="pct"/>
            <w:vAlign w:val="center"/>
          </w:tcPr>
          <w:p w14:paraId="55B13A09">
            <w:pPr>
              <w:jc w:val="center"/>
              <w:rPr>
                <w:rFonts w:hint="eastAsia"/>
                <w:color w:val="auto"/>
                <w:szCs w:val="21"/>
                <w:highlight w:val="green"/>
              </w:rPr>
            </w:pPr>
            <w:r>
              <w:rPr>
                <w:rFonts w:hint="eastAsia"/>
                <w:color w:val="auto"/>
                <w:szCs w:val="21"/>
                <w:highlight w:val="green"/>
                <w:lang w:val="en-US" w:eastAsia="zh-CN"/>
              </w:rPr>
              <w:t>0</w:t>
            </w:r>
          </w:p>
        </w:tc>
        <w:tc>
          <w:tcPr>
            <w:tcW w:w="463" w:type="pct"/>
            <w:vAlign w:val="center"/>
          </w:tcPr>
          <w:p w14:paraId="1956C0DC">
            <w:pPr>
              <w:jc w:val="center"/>
              <w:rPr>
                <w:rFonts w:hint="eastAsia"/>
                <w:color w:val="auto"/>
                <w:szCs w:val="21"/>
                <w:highlight w:val="green"/>
              </w:rPr>
            </w:pPr>
            <w:r>
              <w:rPr>
                <w:rFonts w:hint="eastAsia"/>
                <w:color w:val="auto"/>
                <w:szCs w:val="21"/>
                <w:highlight w:val="green"/>
                <w:lang w:val="en-US" w:eastAsia="zh-CN"/>
              </w:rPr>
              <w:t>达标</w:t>
            </w:r>
          </w:p>
        </w:tc>
      </w:tr>
      <w:tr w14:paraId="3E241B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 w:type="pct"/>
            <w:vMerge w:val="continue"/>
            <w:vAlign w:val="center"/>
          </w:tcPr>
          <w:p w14:paraId="1DEA146F">
            <w:pPr>
              <w:jc w:val="center"/>
              <w:rPr>
                <w:color w:val="auto"/>
                <w:szCs w:val="21"/>
                <w:highlight w:val="green"/>
              </w:rPr>
            </w:pPr>
          </w:p>
        </w:tc>
        <w:tc>
          <w:tcPr>
            <w:tcW w:w="537" w:type="pct"/>
            <w:vAlign w:val="center"/>
          </w:tcPr>
          <w:p w14:paraId="42A983CB">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硫化氢</w:t>
            </w:r>
          </w:p>
        </w:tc>
        <w:tc>
          <w:tcPr>
            <w:tcW w:w="1035" w:type="pct"/>
            <w:vAlign w:val="center"/>
          </w:tcPr>
          <w:p w14:paraId="263D9F87">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1小时平均浓度</w:t>
            </w:r>
          </w:p>
        </w:tc>
        <w:tc>
          <w:tcPr>
            <w:tcW w:w="938" w:type="dxa"/>
            <w:vAlign w:val="center"/>
          </w:tcPr>
          <w:p w14:paraId="1E905465">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10</w:t>
            </w:r>
          </w:p>
        </w:tc>
        <w:tc>
          <w:tcPr>
            <w:tcW w:w="876" w:type="pct"/>
            <w:vAlign w:val="center"/>
          </w:tcPr>
          <w:p w14:paraId="6020B2D7">
            <w:pPr>
              <w:jc w:val="center"/>
              <w:rPr>
                <w:rFonts w:hint="eastAsia" w:eastAsia="宋体"/>
                <w:color w:val="auto"/>
                <w:szCs w:val="21"/>
                <w:highlight w:val="green"/>
                <w:lang w:val="en-US" w:eastAsia="zh-CN"/>
              </w:rPr>
            </w:pPr>
            <w:r>
              <w:rPr>
                <w:rFonts w:hint="eastAsia"/>
                <w:color w:val="auto"/>
                <w:szCs w:val="21"/>
                <w:highlight w:val="green"/>
                <w:lang w:val="en-US" w:eastAsia="zh-CN"/>
              </w:rPr>
              <w:t>2</w:t>
            </w:r>
          </w:p>
        </w:tc>
        <w:tc>
          <w:tcPr>
            <w:tcW w:w="665" w:type="pct"/>
            <w:vAlign w:val="center"/>
          </w:tcPr>
          <w:p w14:paraId="70307BF1">
            <w:pPr>
              <w:jc w:val="center"/>
              <w:rPr>
                <w:rFonts w:hint="default" w:eastAsia="宋体"/>
                <w:color w:val="auto"/>
                <w:szCs w:val="21"/>
                <w:highlight w:val="green"/>
                <w:lang w:val="en-US" w:eastAsia="zh-CN"/>
              </w:rPr>
            </w:pPr>
            <w:r>
              <w:rPr>
                <w:rFonts w:hint="eastAsia"/>
                <w:color w:val="auto"/>
                <w:szCs w:val="21"/>
                <w:highlight w:val="green"/>
                <w:lang w:val="en-US" w:eastAsia="zh-CN"/>
              </w:rPr>
              <w:t>20</w:t>
            </w:r>
          </w:p>
        </w:tc>
        <w:tc>
          <w:tcPr>
            <w:tcW w:w="525" w:type="pct"/>
            <w:vAlign w:val="center"/>
          </w:tcPr>
          <w:p w14:paraId="0D7F4EFA">
            <w:pPr>
              <w:jc w:val="center"/>
              <w:rPr>
                <w:rFonts w:hint="eastAsia"/>
                <w:color w:val="auto"/>
                <w:szCs w:val="21"/>
                <w:highlight w:val="green"/>
              </w:rPr>
            </w:pPr>
            <w:r>
              <w:rPr>
                <w:rFonts w:hint="eastAsia"/>
                <w:color w:val="auto"/>
                <w:szCs w:val="21"/>
                <w:highlight w:val="green"/>
                <w:lang w:val="en-US" w:eastAsia="zh-CN"/>
              </w:rPr>
              <w:t>0</w:t>
            </w:r>
          </w:p>
        </w:tc>
        <w:tc>
          <w:tcPr>
            <w:tcW w:w="463" w:type="pct"/>
            <w:vAlign w:val="center"/>
          </w:tcPr>
          <w:p w14:paraId="548FF4D5">
            <w:pPr>
              <w:jc w:val="center"/>
              <w:rPr>
                <w:rFonts w:hint="eastAsia"/>
                <w:color w:val="auto"/>
                <w:szCs w:val="21"/>
                <w:highlight w:val="green"/>
              </w:rPr>
            </w:pPr>
            <w:r>
              <w:rPr>
                <w:rFonts w:hint="eastAsia"/>
                <w:color w:val="auto"/>
                <w:szCs w:val="21"/>
                <w:highlight w:val="green"/>
                <w:lang w:val="en-US" w:eastAsia="zh-CN"/>
              </w:rPr>
              <w:t>达标</w:t>
            </w:r>
          </w:p>
        </w:tc>
      </w:tr>
      <w:tr w14:paraId="5350755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4" w:type="pct"/>
            <w:vMerge w:val="continue"/>
            <w:vAlign w:val="center"/>
          </w:tcPr>
          <w:p w14:paraId="08DB78DA">
            <w:pPr>
              <w:jc w:val="center"/>
              <w:rPr>
                <w:color w:val="auto"/>
                <w:szCs w:val="21"/>
                <w:highlight w:val="green"/>
              </w:rPr>
            </w:pPr>
          </w:p>
        </w:tc>
        <w:tc>
          <w:tcPr>
            <w:tcW w:w="537" w:type="pct"/>
            <w:vAlign w:val="center"/>
          </w:tcPr>
          <w:p w14:paraId="49FA3C6F">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臭气浓度</w:t>
            </w:r>
          </w:p>
        </w:tc>
        <w:tc>
          <w:tcPr>
            <w:tcW w:w="1035" w:type="pct"/>
            <w:vAlign w:val="center"/>
          </w:tcPr>
          <w:p w14:paraId="500EA1C9">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一次浓度值</w:t>
            </w:r>
          </w:p>
        </w:tc>
        <w:tc>
          <w:tcPr>
            <w:tcW w:w="581" w:type="pct"/>
            <w:vAlign w:val="center"/>
          </w:tcPr>
          <w:p w14:paraId="692C1AE1">
            <w:pPr>
              <w:jc w:val="center"/>
              <w:rPr>
                <w:rFonts w:hint="eastAsia" w:ascii="Times New Roman" w:hAnsi="Times New Roman" w:eastAsia="宋体" w:cs="Times New Roman"/>
                <w:color w:val="auto"/>
                <w:kern w:val="2"/>
                <w:sz w:val="21"/>
                <w:szCs w:val="21"/>
                <w:highlight w:val="green"/>
                <w:lang w:val="en-US" w:eastAsia="zh-CN" w:bidi="ar-SA"/>
              </w:rPr>
            </w:pPr>
            <w:r>
              <w:rPr>
                <w:rFonts w:hint="eastAsia"/>
                <w:color w:val="auto"/>
                <w:szCs w:val="21"/>
                <w:highlight w:val="green"/>
                <w:lang w:val="en-US" w:eastAsia="zh-CN"/>
              </w:rPr>
              <w:t>20（无量纲）</w:t>
            </w:r>
          </w:p>
        </w:tc>
        <w:tc>
          <w:tcPr>
            <w:tcW w:w="876" w:type="pct"/>
            <w:vAlign w:val="center"/>
          </w:tcPr>
          <w:p w14:paraId="61C6E0BA">
            <w:pPr>
              <w:jc w:val="center"/>
              <w:rPr>
                <w:rFonts w:hint="eastAsia"/>
                <w:color w:val="auto"/>
                <w:szCs w:val="21"/>
                <w:highlight w:val="green"/>
              </w:rPr>
            </w:pPr>
            <w:r>
              <w:rPr>
                <w:rFonts w:hint="default" w:ascii="Times New Roman" w:hAnsi="Times New Roman" w:eastAsia="宋体" w:cs="Times New Roman"/>
                <w:color w:val="auto"/>
                <w:szCs w:val="21"/>
                <w:highlight w:val="green"/>
              </w:rPr>
              <w:t>&lt;</w:t>
            </w:r>
            <w:r>
              <w:rPr>
                <w:rFonts w:hint="default" w:ascii="Times New Roman" w:hAnsi="Times New Roman" w:eastAsia="宋体" w:cs="Times New Roman"/>
                <w:color w:val="auto"/>
                <w:szCs w:val="21"/>
                <w:highlight w:val="green"/>
                <w:lang w:val="en-US" w:eastAsia="zh-CN"/>
              </w:rPr>
              <w:t>10</w:t>
            </w:r>
          </w:p>
        </w:tc>
        <w:tc>
          <w:tcPr>
            <w:tcW w:w="665" w:type="pct"/>
            <w:vAlign w:val="center"/>
          </w:tcPr>
          <w:p w14:paraId="71A30EF5">
            <w:pPr>
              <w:jc w:val="center"/>
              <w:rPr>
                <w:rFonts w:hint="eastAsia" w:eastAsia="宋体"/>
                <w:color w:val="auto"/>
                <w:szCs w:val="21"/>
                <w:highlight w:val="green"/>
                <w:lang w:val="en-US" w:eastAsia="zh-CN"/>
              </w:rPr>
            </w:pPr>
            <w:r>
              <w:rPr>
                <w:rFonts w:hint="eastAsia"/>
                <w:color w:val="auto"/>
                <w:szCs w:val="21"/>
                <w:highlight w:val="green"/>
                <w:lang w:val="en-US" w:eastAsia="zh-CN"/>
              </w:rPr>
              <w:t>/</w:t>
            </w:r>
          </w:p>
        </w:tc>
        <w:tc>
          <w:tcPr>
            <w:tcW w:w="525" w:type="pct"/>
            <w:vAlign w:val="center"/>
          </w:tcPr>
          <w:p w14:paraId="221C673B">
            <w:pPr>
              <w:jc w:val="center"/>
              <w:rPr>
                <w:rFonts w:hint="eastAsia"/>
                <w:color w:val="auto"/>
                <w:szCs w:val="21"/>
                <w:highlight w:val="green"/>
              </w:rPr>
            </w:pPr>
            <w:r>
              <w:rPr>
                <w:rFonts w:hint="eastAsia"/>
                <w:color w:val="auto"/>
                <w:szCs w:val="21"/>
                <w:highlight w:val="green"/>
                <w:lang w:val="en-US" w:eastAsia="zh-CN"/>
              </w:rPr>
              <w:t>0</w:t>
            </w:r>
          </w:p>
        </w:tc>
        <w:tc>
          <w:tcPr>
            <w:tcW w:w="463" w:type="pct"/>
            <w:vAlign w:val="center"/>
          </w:tcPr>
          <w:p w14:paraId="079BC899">
            <w:pPr>
              <w:jc w:val="center"/>
              <w:rPr>
                <w:rFonts w:hint="eastAsia"/>
                <w:color w:val="auto"/>
                <w:szCs w:val="21"/>
                <w:highlight w:val="green"/>
              </w:rPr>
            </w:pPr>
            <w:r>
              <w:rPr>
                <w:rFonts w:hint="eastAsia"/>
                <w:color w:val="auto"/>
                <w:szCs w:val="21"/>
                <w:highlight w:val="green"/>
                <w:lang w:val="en-US" w:eastAsia="zh-CN"/>
              </w:rPr>
              <w:t>达标</w:t>
            </w:r>
          </w:p>
        </w:tc>
      </w:tr>
    </w:tbl>
    <w:p w14:paraId="168025BF">
      <w:pPr>
        <w:spacing w:line="360" w:lineRule="auto"/>
        <w:ind w:firstLine="480" w:firstLineChars="200"/>
        <w:jc w:val="left"/>
        <w:rPr>
          <w:color w:val="auto"/>
          <w:sz w:val="24"/>
          <w:highlight w:val="none"/>
        </w:rPr>
      </w:pPr>
      <w:r>
        <w:rPr>
          <w:color w:val="auto"/>
          <w:sz w:val="24"/>
          <w:highlight w:val="none"/>
        </w:rPr>
        <w:t>由监测结果可以看出，本项目所在区域环境空气中NH</w:t>
      </w:r>
      <w:r>
        <w:rPr>
          <w:color w:val="auto"/>
          <w:sz w:val="24"/>
          <w:highlight w:val="none"/>
          <w:vertAlign w:val="subscript"/>
        </w:rPr>
        <w:t>3</w:t>
      </w:r>
      <w:r>
        <w:rPr>
          <w:color w:val="auto"/>
          <w:sz w:val="24"/>
          <w:highlight w:val="none"/>
        </w:rPr>
        <w:t>、H</w:t>
      </w:r>
      <w:r>
        <w:rPr>
          <w:color w:val="auto"/>
          <w:sz w:val="24"/>
          <w:highlight w:val="none"/>
          <w:vertAlign w:val="subscript"/>
        </w:rPr>
        <w:t>2</w:t>
      </w:r>
      <w:r>
        <w:rPr>
          <w:color w:val="auto"/>
          <w:sz w:val="24"/>
          <w:highlight w:val="none"/>
        </w:rPr>
        <w:t>S实际监测1h平均浓度值均符合《环境影响评价技术导则 大气环境》(HJ2.2  2018)附录D.1中</w:t>
      </w:r>
      <w:r>
        <w:rPr>
          <w:color w:val="auto"/>
          <w:sz w:val="24"/>
          <w:szCs w:val="32"/>
          <w:highlight w:val="none"/>
        </w:rPr>
        <w:t>的相关标准值</w:t>
      </w:r>
      <w:r>
        <w:rPr>
          <w:color w:val="auto"/>
          <w:sz w:val="24"/>
          <w:highlight w:val="none"/>
        </w:rPr>
        <w:t>，</w:t>
      </w:r>
      <w:r>
        <w:rPr>
          <w:rFonts w:hint="eastAsia"/>
          <w:color w:val="auto"/>
          <w:sz w:val="24"/>
          <w:highlight w:val="none"/>
        </w:rPr>
        <w:t>TSP、氮氧化物执行《环境空气质量标准》（GB3095-2012）中标准</w:t>
      </w:r>
      <w:r>
        <w:rPr>
          <w:rFonts w:hint="eastAsia"/>
          <w:color w:val="auto"/>
          <w:sz w:val="24"/>
          <w:highlight w:val="none"/>
          <w:lang w:eastAsia="zh-CN"/>
        </w:rPr>
        <w:t>，</w:t>
      </w:r>
      <w:r>
        <w:rPr>
          <w:color w:val="auto"/>
          <w:sz w:val="24"/>
          <w:highlight w:val="none"/>
        </w:rPr>
        <w:t>表明当地环境空气质量较好。</w:t>
      </w:r>
    </w:p>
    <w:p w14:paraId="5437CC3A">
      <w:pPr>
        <w:pStyle w:val="3"/>
        <w:adjustRightInd w:val="0"/>
        <w:jc w:val="both"/>
        <w:rPr>
          <w:rFonts w:eastAsia="宋体"/>
          <w:color w:val="auto"/>
          <w:sz w:val="30"/>
          <w:szCs w:val="30"/>
          <w:highlight w:val="none"/>
        </w:rPr>
      </w:pPr>
      <w:bookmarkStart w:id="263" w:name="_Toc37831597"/>
      <w:bookmarkStart w:id="264" w:name="_Toc12128"/>
      <w:bookmarkStart w:id="265" w:name="_Toc17067"/>
      <w:r>
        <w:rPr>
          <w:rFonts w:eastAsia="宋体"/>
          <w:color w:val="auto"/>
          <w:sz w:val="30"/>
          <w:szCs w:val="30"/>
          <w:highlight w:val="none"/>
        </w:rPr>
        <w:t>4.</w:t>
      </w:r>
      <w:r>
        <w:rPr>
          <w:rFonts w:hint="eastAsia" w:eastAsia="宋体"/>
          <w:color w:val="auto"/>
          <w:sz w:val="30"/>
          <w:szCs w:val="30"/>
          <w:highlight w:val="none"/>
        </w:rPr>
        <w:t>5</w:t>
      </w:r>
      <w:r>
        <w:rPr>
          <w:rFonts w:eastAsia="宋体"/>
          <w:color w:val="auto"/>
          <w:sz w:val="30"/>
          <w:szCs w:val="30"/>
          <w:highlight w:val="none"/>
        </w:rPr>
        <w:t>声环境质量现状调查与评价</w:t>
      </w:r>
      <w:bookmarkEnd w:id="263"/>
      <w:bookmarkEnd w:id="264"/>
      <w:bookmarkEnd w:id="265"/>
    </w:p>
    <w:p w14:paraId="25D92F6A">
      <w:pPr>
        <w:spacing w:line="360" w:lineRule="auto"/>
        <w:ind w:firstLine="480" w:firstLineChars="200"/>
        <w:jc w:val="left"/>
        <w:rPr>
          <w:color w:val="auto"/>
          <w:sz w:val="24"/>
          <w:highlight w:val="green"/>
        </w:rPr>
      </w:pPr>
      <w:r>
        <w:rPr>
          <w:bCs/>
          <w:color w:val="auto"/>
          <w:sz w:val="24"/>
          <w:highlight w:val="green"/>
        </w:rPr>
        <w:t>朝阳彤天环保发展有限公司于</w:t>
      </w:r>
      <w:r>
        <w:rPr>
          <w:color w:val="auto"/>
          <w:kern w:val="0"/>
          <w:sz w:val="24"/>
          <w:highlight w:val="green"/>
        </w:rPr>
        <w:t>202</w:t>
      </w:r>
      <w:r>
        <w:rPr>
          <w:rFonts w:hint="eastAsia"/>
          <w:color w:val="auto"/>
          <w:kern w:val="0"/>
          <w:sz w:val="24"/>
          <w:highlight w:val="green"/>
          <w:lang w:val="en-US" w:eastAsia="zh-CN"/>
        </w:rPr>
        <w:t>3</w:t>
      </w:r>
      <w:r>
        <w:rPr>
          <w:color w:val="auto"/>
          <w:kern w:val="0"/>
          <w:sz w:val="24"/>
          <w:highlight w:val="green"/>
        </w:rPr>
        <w:t>年</w:t>
      </w:r>
      <w:r>
        <w:rPr>
          <w:rFonts w:hint="eastAsia"/>
          <w:color w:val="auto"/>
          <w:kern w:val="0"/>
          <w:sz w:val="24"/>
          <w:highlight w:val="green"/>
          <w:lang w:val="en-US" w:eastAsia="zh-CN"/>
        </w:rPr>
        <w:t>9</w:t>
      </w:r>
      <w:r>
        <w:rPr>
          <w:color w:val="auto"/>
          <w:kern w:val="0"/>
          <w:sz w:val="24"/>
          <w:highlight w:val="green"/>
        </w:rPr>
        <w:t>月</w:t>
      </w:r>
      <w:r>
        <w:rPr>
          <w:rFonts w:hint="eastAsia"/>
          <w:color w:val="auto"/>
          <w:kern w:val="0"/>
          <w:sz w:val="24"/>
          <w:highlight w:val="green"/>
        </w:rPr>
        <w:t>26</w:t>
      </w:r>
      <w:r>
        <w:rPr>
          <w:color w:val="auto"/>
          <w:kern w:val="0"/>
          <w:sz w:val="24"/>
          <w:highlight w:val="green"/>
        </w:rPr>
        <w:t>日～</w:t>
      </w:r>
      <w:r>
        <w:rPr>
          <w:rFonts w:hint="eastAsia"/>
          <w:color w:val="auto"/>
          <w:kern w:val="0"/>
          <w:sz w:val="24"/>
          <w:highlight w:val="green"/>
        </w:rPr>
        <w:t>27</w:t>
      </w:r>
      <w:r>
        <w:rPr>
          <w:color w:val="auto"/>
          <w:kern w:val="0"/>
          <w:sz w:val="24"/>
          <w:highlight w:val="green"/>
        </w:rPr>
        <w:t>日</w:t>
      </w:r>
      <w:r>
        <w:rPr>
          <w:color w:val="auto"/>
          <w:sz w:val="24"/>
          <w:highlight w:val="green"/>
        </w:rPr>
        <w:t>对厂界四周</w:t>
      </w:r>
      <w:r>
        <w:rPr>
          <w:bCs/>
          <w:color w:val="auto"/>
          <w:sz w:val="24"/>
          <w:highlight w:val="green"/>
        </w:rPr>
        <w:t>进行了2天现状监测</w:t>
      </w:r>
      <w:r>
        <w:rPr>
          <w:color w:val="auto"/>
          <w:sz w:val="24"/>
          <w:highlight w:val="green"/>
        </w:rPr>
        <w:t>，监测点位信息如下：</w:t>
      </w:r>
    </w:p>
    <w:p w14:paraId="070455F6">
      <w:pPr>
        <w:jc w:val="center"/>
        <w:rPr>
          <w:b/>
          <w:color w:val="auto"/>
          <w:szCs w:val="21"/>
          <w:highlight w:val="green"/>
        </w:rPr>
      </w:pPr>
      <w:r>
        <w:rPr>
          <w:b/>
          <w:color w:val="auto"/>
          <w:szCs w:val="21"/>
          <w:highlight w:val="green"/>
        </w:rPr>
        <w:t>表4</w:t>
      </w:r>
      <w:r>
        <w:rPr>
          <w:rFonts w:hint="eastAsia"/>
          <w:b/>
          <w:color w:val="auto"/>
          <w:szCs w:val="21"/>
          <w:highlight w:val="green"/>
          <w:lang w:val="en-US" w:eastAsia="zh-CN"/>
        </w:rPr>
        <w:t>.4</w:t>
      </w:r>
      <w:r>
        <w:rPr>
          <w:b/>
          <w:color w:val="auto"/>
          <w:szCs w:val="21"/>
          <w:highlight w:val="green"/>
        </w:rPr>
        <w:t>-</w:t>
      </w:r>
      <w:r>
        <w:rPr>
          <w:rFonts w:hint="eastAsia"/>
          <w:b/>
          <w:color w:val="auto"/>
          <w:szCs w:val="21"/>
          <w:highlight w:val="green"/>
        </w:rPr>
        <w:t>5</w:t>
      </w:r>
      <w:r>
        <w:rPr>
          <w:b/>
          <w:color w:val="auto"/>
          <w:szCs w:val="21"/>
          <w:highlight w:val="green"/>
        </w:rPr>
        <w:t xml:space="preserve">    监测点位基本信息</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640"/>
        <w:gridCol w:w="1833"/>
        <w:gridCol w:w="1920"/>
        <w:gridCol w:w="3130"/>
      </w:tblGrid>
      <w:tr w14:paraId="49B25977">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640" w:type="dxa"/>
            <w:vMerge w:val="restart"/>
            <w:vAlign w:val="center"/>
          </w:tcPr>
          <w:p w14:paraId="5D52713B">
            <w:pPr>
              <w:jc w:val="center"/>
              <w:rPr>
                <w:b/>
                <w:color w:val="auto"/>
                <w:szCs w:val="21"/>
                <w:highlight w:val="green"/>
              </w:rPr>
            </w:pPr>
            <w:r>
              <w:rPr>
                <w:b/>
                <w:color w:val="auto"/>
                <w:szCs w:val="21"/>
                <w:highlight w:val="green"/>
              </w:rPr>
              <w:t>监测点位</w:t>
            </w:r>
          </w:p>
          <w:p w14:paraId="682E3F05">
            <w:pPr>
              <w:jc w:val="center"/>
              <w:rPr>
                <w:b/>
                <w:color w:val="auto"/>
                <w:szCs w:val="21"/>
                <w:highlight w:val="green"/>
              </w:rPr>
            </w:pPr>
            <w:r>
              <w:rPr>
                <w:b/>
                <w:color w:val="auto"/>
                <w:szCs w:val="21"/>
                <w:highlight w:val="green"/>
              </w:rPr>
              <w:t>名称</w:t>
            </w:r>
          </w:p>
        </w:tc>
        <w:tc>
          <w:tcPr>
            <w:tcW w:w="3753" w:type="dxa"/>
            <w:gridSpan w:val="2"/>
            <w:vAlign w:val="center"/>
          </w:tcPr>
          <w:p w14:paraId="5124DA1A">
            <w:pPr>
              <w:jc w:val="center"/>
              <w:rPr>
                <w:b/>
                <w:color w:val="auto"/>
                <w:szCs w:val="21"/>
                <w:highlight w:val="green"/>
              </w:rPr>
            </w:pPr>
            <w:r>
              <w:rPr>
                <w:b/>
                <w:color w:val="auto"/>
                <w:szCs w:val="21"/>
                <w:highlight w:val="green"/>
              </w:rPr>
              <w:t>监测点位坐标</w:t>
            </w:r>
          </w:p>
        </w:tc>
        <w:tc>
          <w:tcPr>
            <w:tcW w:w="3130" w:type="dxa"/>
            <w:vMerge w:val="restart"/>
            <w:vAlign w:val="center"/>
          </w:tcPr>
          <w:p w14:paraId="02EEC063">
            <w:pPr>
              <w:jc w:val="center"/>
              <w:rPr>
                <w:b/>
                <w:color w:val="auto"/>
                <w:szCs w:val="21"/>
                <w:highlight w:val="green"/>
              </w:rPr>
            </w:pPr>
            <w:r>
              <w:rPr>
                <w:b/>
                <w:color w:val="auto"/>
                <w:szCs w:val="21"/>
                <w:highlight w:val="green"/>
              </w:rPr>
              <w:t>监测因子</w:t>
            </w:r>
          </w:p>
        </w:tc>
      </w:tr>
      <w:tr w14:paraId="22A098BF">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640" w:type="dxa"/>
            <w:vMerge w:val="continue"/>
            <w:vAlign w:val="center"/>
          </w:tcPr>
          <w:p w14:paraId="4DC3A953">
            <w:pPr>
              <w:widowControl/>
              <w:jc w:val="left"/>
              <w:rPr>
                <w:b/>
                <w:color w:val="auto"/>
                <w:szCs w:val="21"/>
                <w:highlight w:val="green"/>
              </w:rPr>
            </w:pPr>
          </w:p>
        </w:tc>
        <w:tc>
          <w:tcPr>
            <w:tcW w:w="1833" w:type="dxa"/>
            <w:vAlign w:val="center"/>
          </w:tcPr>
          <w:p w14:paraId="765D847F">
            <w:pPr>
              <w:jc w:val="center"/>
              <w:rPr>
                <w:b/>
                <w:color w:val="auto"/>
                <w:szCs w:val="21"/>
                <w:highlight w:val="green"/>
              </w:rPr>
            </w:pPr>
            <w:r>
              <w:rPr>
                <w:b/>
                <w:color w:val="auto"/>
                <w:szCs w:val="21"/>
                <w:highlight w:val="green"/>
              </w:rPr>
              <w:t>纬度</w:t>
            </w:r>
          </w:p>
        </w:tc>
        <w:tc>
          <w:tcPr>
            <w:tcW w:w="1920" w:type="dxa"/>
            <w:vAlign w:val="center"/>
          </w:tcPr>
          <w:p w14:paraId="09B954FB">
            <w:pPr>
              <w:jc w:val="center"/>
              <w:rPr>
                <w:b/>
                <w:color w:val="auto"/>
                <w:szCs w:val="21"/>
                <w:highlight w:val="green"/>
              </w:rPr>
            </w:pPr>
            <w:r>
              <w:rPr>
                <w:b/>
                <w:color w:val="auto"/>
                <w:szCs w:val="21"/>
                <w:highlight w:val="green"/>
              </w:rPr>
              <w:t>经度</w:t>
            </w:r>
          </w:p>
        </w:tc>
        <w:tc>
          <w:tcPr>
            <w:tcW w:w="3130" w:type="dxa"/>
            <w:vMerge w:val="continue"/>
            <w:vAlign w:val="center"/>
          </w:tcPr>
          <w:p w14:paraId="23598572">
            <w:pPr>
              <w:widowControl/>
              <w:jc w:val="left"/>
              <w:rPr>
                <w:b/>
                <w:color w:val="auto"/>
                <w:szCs w:val="21"/>
                <w:highlight w:val="green"/>
              </w:rPr>
            </w:pPr>
          </w:p>
        </w:tc>
      </w:tr>
      <w:tr w14:paraId="289FBF79">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640" w:type="dxa"/>
            <w:vAlign w:val="center"/>
          </w:tcPr>
          <w:p w14:paraId="6A0A2329">
            <w:pPr>
              <w:jc w:val="center"/>
              <w:rPr>
                <w:color w:val="auto"/>
                <w:szCs w:val="21"/>
                <w:highlight w:val="green"/>
              </w:rPr>
            </w:pPr>
            <w:r>
              <w:rPr>
                <w:color w:val="auto"/>
                <w:szCs w:val="21"/>
                <w:highlight w:val="green"/>
              </w:rPr>
              <w:t>东厂界</w:t>
            </w:r>
          </w:p>
        </w:tc>
        <w:tc>
          <w:tcPr>
            <w:tcW w:w="1833" w:type="dxa"/>
            <w:vAlign w:val="center"/>
          </w:tcPr>
          <w:p w14:paraId="4AF66D3C">
            <w:pPr>
              <w:jc w:val="center"/>
              <w:rPr>
                <w:color w:val="auto"/>
                <w:szCs w:val="21"/>
                <w:highlight w:val="green"/>
              </w:rPr>
            </w:pPr>
            <w:r>
              <w:rPr>
                <w:color w:val="auto"/>
                <w:szCs w:val="21"/>
                <w:highlight w:val="green"/>
              </w:rPr>
              <w:t>4</w:t>
            </w:r>
            <w:r>
              <w:rPr>
                <w:rFonts w:hint="eastAsia"/>
                <w:color w:val="auto"/>
                <w:szCs w:val="21"/>
                <w:highlight w:val="green"/>
                <w:lang w:val="en-US" w:eastAsia="zh-CN"/>
              </w:rPr>
              <w:t>1</w:t>
            </w:r>
            <w:r>
              <w:rPr>
                <w:color w:val="auto"/>
                <w:szCs w:val="21"/>
                <w:highlight w:val="green"/>
              </w:rPr>
              <w:t>°</w:t>
            </w:r>
            <w:r>
              <w:rPr>
                <w:rFonts w:hint="eastAsia"/>
                <w:color w:val="auto"/>
                <w:szCs w:val="21"/>
                <w:highlight w:val="green"/>
                <w:lang w:val="en-US" w:eastAsia="zh-CN"/>
              </w:rPr>
              <w:t>53</w:t>
            </w:r>
            <w:r>
              <w:rPr>
                <w:color w:val="auto"/>
                <w:szCs w:val="21"/>
                <w:highlight w:val="green"/>
              </w:rPr>
              <w:t>′</w:t>
            </w:r>
            <w:r>
              <w:rPr>
                <w:rFonts w:hint="eastAsia"/>
                <w:color w:val="auto"/>
                <w:szCs w:val="21"/>
                <w:highlight w:val="green"/>
                <w:lang w:val="en-US" w:eastAsia="zh-CN"/>
              </w:rPr>
              <w:t>35</w:t>
            </w:r>
            <w:r>
              <w:rPr>
                <w:rFonts w:hint="eastAsia"/>
                <w:color w:val="auto"/>
                <w:szCs w:val="21"/>
                <w:highlight w:val="green"/>
              </w:rPr>
              <w:t>.</w:t>
            </w:r>
            <w:r>
              <w:rPr>
                <w:rFonts w:hint="eastAsia"/>
                <w:color w:val="auto"/>
                <w:szCs w:val="21"/>
                <w:highlight w:val="green"/>
                <w:lang w:val="en-US" w:eastAsia="zh-CN"/>
              </w:rPr>
              <w:t>07</w:t>
            </w:r>
            <w:r>
              <w:rPr>
                <w:color w:val="auto"/>
                <w:szCs w:val="21"/>
                <w:highlight w:val="green"/>
              </w:rPr>
              <w:t>″</w:t>
            </w:r>
          </w:p>
        </w:tc>
        <w:tc>
          <w:tcPr>
            <w:tcW w:w="1920" w:type="dxa"/>
            <w:vAlign w:val="center"/>
          </w:tcPr>
          <w:p w14:paraId="211774A6">
            <w:pPr>
              <w:jc w:val="center"/>
              <w:rPr>
                <w:color w:val="auto"/>
                <w:szCs w:val="21"/>
                <w:highlight w:val="green"/>
              </w:rPr>
            </w:pPr>
            <w:r>
              <w:rPr>
                <w:rFonts w:hint="eastAsia"/>
                <w:color w:val="auto"/>
                <w:szCs w:val="21"/>
                <w:highlight w:val="green"/>
                <w:lang w:val="en-US" w:eastAsia="zh-CN"/>
              </w:rPr>
              <w:t>120</w:t>
            </w:r>
            <w:r>
              <w:rPr>
                <w:color w:val="auto"/>
                <w:szCs w:val="21"/>
                <w:highlight w:val="green"/>
              </w:rPr>
              <w:t>°</w:t>
            </w:r>
            <w:r>
              <w:rPr>
                <w:rFonts w:hint="eastAsia"/>
                <w:color w:val="auto"/>
                <w:szCs w:val="21"/>
                <w:highlight w:val="green"/>
                <w:lang w:val="en-US" w:eastAsia="zh-CN"/>
              </w:rPr>
              <w:t>03</w:t>
            </w:r>
            <w:r>
              <w:rPr>
                <w:color w:val="auto"/>
                <w:szCs w:val="21"/>
                <w:highlight w:val="green"/>
              </w:rPr>
              <w:t>′</w:t>
            </w:r>
            <w:r>
              <w:rPr>
                <w:rFonts w:hint="eastAsia"/>
                <w:color w:val="auto"/>
                <w:szCs w:val="21"/>
                <w:highlight w:val="green"/>
                <w:lang w:val="en-US" w:eastAsia="zh-CN"/>
              </w:rPr>
              <w:t>19</w:t>
            </w:r>
            <w:r>
              <w:rPr>
                <w:rFonts w:hint="eastAsia"/>
                <w:color w:val="auto"/>
                <w:szCs w:val="21"/>
                <w:highlight w:val="green"/>
              </w:rPr>
              <w:t>.53</w:t>
            </w:r>
            <w:r>
              <w:rPr>
                <w:color w:val="auto"/>
                <w:szCs w:val="21"/>
                <w:highlight w:val="green"/>
              </w:rPr>
              <w:t>″</w:t>
            </w:r>
          </w:p>
        </w:tc>
        <w:tc>
          <w:tcPr>
            <w:tcW w:w="3130" w:type="dxa"/>
            <w:vMerge w:val="restart"/>
            <w:vAlign w:val="center"/>
          </w:tcPr>
          <w:p w14:paraId="4D2F4A5F">
            <w:pPr>
              <w:jc w:val="center"/>
              <w:rPr>
                <w:color w:val="auto"/>
                <w:szCs w:val="21"/>
                <w:highlight w:val="green"/>
              </w:rPr>
            </w:pPr>
            <w:r>
              <w:rPr>
                <w:color w:val="auto"/>
                <w:szCs w:val="21"/>
                <w:highlight w:val="green"/>
              </w:rPr>
              <w:t>Leq（A）</w:t>
            </w:r>
          </w:p>
        </w:tc>
      </w:tr>
      <w:tr w14:paraId="7184D169">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640" w:type="dxa"/>
            <w:vAlign w:val="center"/>
          </w:tcPr>
          <w:p w14:paraId="1BE4041A">
            <w:pPr>
              <w:jc w:val="center"/>
              <w:rPr>
                <w:color w:val="auto"/>
                <w:szCs w:val="21"/>
                <w:highlight w:val="green"/>
              </w:rPr>
            </w:pPr>
            <w:r>
              <w:rPr>
                <w:color w:val="auto"/>
                <w:szCs w:val="21"/>
                <w:highlight w:val="green"/>
              </w:rPr>
              <w:t>南厂界</w:t>
            </w:r>
          </w:p>
        </w:tc>
        <w:tc>
          <w:tcPr>
            <w:tcW w:w="1833" w:type="dxa"/>
            <w:vAlign w:val="center"/>
          </w:tcPr>
          <w:p w14:paraId="381C6714">
            <w:pPr>
              <w:jc w:val="center"/>
              <w:rPr>
                <w:color w:val="auto"/>
                <w:szCs w:val="21"/>
                <w:highlight w:val="green"/>
              </w:rPr>
            </w:pPr>
            <w:r>
              <w:rPr>
                <w:color w:val="auto"/>
                <w:szCs w:val="21"/>
                <w:highlight w:val="green"/>
              </w:rPr>
              <w:t>4</w:t>
            </w:r>
            <w:r>
              <w:rPr>
                <w:rFonts w:hint="eastAsia"/>
                <w:color w:val="auto"/>
                <w:szCs w:val="21"/>
                <w:highlight w:val="green"/>
                <w:lang w:val="en-US" w:eastAsia="zh-CN"/>
              </w:rPr>
              <w:t>1</w:t>
            </w:r>
            <w:r>
              <w:rPr>
                <w:color w:val="auto"/>
                <w:szCs w:val="21"/>
                <w:highlight w:val="green"/>
              </w:rPr>
              <w:t>°</w:t>
            </w:r>
            <w:r>
              <w:rPr>
                <w:rFonts w:hint="eastAsia"/>
                <w:color w:val="auto"/>
                <w:szCs w:val="21"/>
                <w:highlight w:val="green"/>
                <w:lang w:val="en-US" w:eastAsia="zh-CN"/>
              </w:rPr>
              <w:t>53</w:t>
            </w:r>
            <w:r>
              <w:rPr>
                <w:color w:val="auto"/>
                <w:szCs w:val="21"/>
                <w:highlight w:val="green"/>
              </w:rPr>
              <w:t>′</w:t>
            </w:r>
            <w:r>
              <w:rPr>
                <w:rFonts w:hint="eastAsia"/>
                <w:color w:val="auto"/>
                <w:szCs w:val="21"/>
                <w:highlight w:val="green"/>
                <w:lang w:val="en-US" w:eastAsia="zh-CN"/>
              </w:rPr>
              <w:t>35</w:t>
            </w:r>
            <w:r>
              <w:rPr>
                <w:rFonts w:hint="eastAsia"/>
                <w:color w:val="auto"/>
                <w:szCs w:val="21"/>
                <w:highlight w:val="green"/>
              </w:rPr>
              <w:t>.</w:t>
            </w:r>
            <w:r>
              <w:rPr>
                <w:rFonts w:hint="eastAsia"/>
                <w:color w:val="auto"/>
                <w:szCs w:val="21"/>
                <w:highlight w:val="green"/>
                <w:lang w:val="en-US" w:eastAsia="zh-CN"/>
              </w:rPr>
              <w:t>74</w:t>
            </w:r>
            <w:r>
              <w:rPr>
                <w:color w:val="auto"/>
                <w:szCs w:val="21"/>
                <w:highlight w:val="green"/>
              </w:rPr>
              <w:t>″</w:t>
            </w:r>
          </w:p>
        </w:tc>
        <w:tc>
          <w:tcPr>
            <w:tcW w:w="1920" w:type="dxa"/>
            <w:vAlign w:val="center"/>
          </w:tcPr>
          <w:p w14:paraId="0FAB1B75">
            <w:pPr>
              <w:jc w:val="center"/>
              <w:rPr>
                <w:color w:val="auto"/>
                <w:szCs w:val="21"/>
                <w:highlight w:val="green"/>
              </w:rPr>
            </w:pPr>
            <w:r>
              <w:rPr>
                <w:rFonts w:hint="eastAsia"/>
                <w:color w:val="auto"/>
                <w:szCs w:val="21"/>
                <w:highlight w:val="green"/>
                <w:lang w:val="en-US" w:eastAsia="zh-CN"/>
              </w:rPr>
              <w:t>120</w:t>
            </w:r>
            <w:r>
              <w:rPr>
                <w:color w:val="auto"/>
                <w:szCs w:val="21"/>
                <w:highlight w:val="green"/>
              </w:rPr>
              <w:t>°</w:t>
            </w:r>
            <w:r>
              <w:rPr>
                <w:rFonts w:hint="eastAsia"/>
                <w:color w:val="auto"/>
                <w:szCs w:val="21"/>
                <w:highlight w:val="green"/>
                <w:lang w:val="en-US" w:eastAsia="zh-CN"/>
              </w:rPr>
              <w:t>03</w:t>
            </w:r>
            <w:r>
              <w:rPr>
                <w:color w:val="auto"/>
                <w:szCs w:val="21"/>
                <w:highlight w:val="green"/>
              </w:rPr>
              <w:t>′</w:t>
            </w:r>
            <w:r>
              <w:rPr>
                <w:rFonts w:hint="eastAsia"/>
                <w:color w:val="auto"/>
                <w:szCs w:val="21"/>
                <w:highlight w:val="green"/>
                <w:lang w:val="en-US" w:eastAsia="zh-CN"/>
              </w:rPr>
              <w:t>12</w:t>
            </w:r>
            <w:r>
              <w:rPr>
                <w:rFonts w:hint="eastAsia"/>
                <w:color w:val="auto"/>
                <w:szCs w:val="21"/>
                <w:highlight w:val="green"/>
              </w:rPr>
              <w:t>.</w:t>
            </w:r>
            <w:r>
              <w:rPr>
                <w:rFonts w:hint="eastAsia"/>
                <w:color w:val="auto"/>
                <w:szCs w:val="21"/>
                <w:highlight w:val="green"/>
                <w:lang w:val="en-US" w:eastAsia="zh-CN"/>
              </w:rPr>
              <w:t>67</w:t>
            </w:r>
            <w:r>
              <w:rPr>
                <w:color w:val="auto"/>
                <w:szCs w:val="21"/>
                <w:highlight w:val="green"/>
              </w:rPr>
              <w:t>″</w:t>
            </w:r>
          </w:p>
        </w:tc>
        <w:tc>
          <w:tcPr>
            <w:tcW w:w="3130" w:type="dxa"/>
            <w:vMerge w:val="continue"/>
            <w:vAlign w:val="center"/>
          </w:tcPr>
          <w:p w14:paraId="63724B0B">
            <w:pPr>
              <w:jc w:val="center"/>
              <w:rPr>
                <w:color w:val="auto"/>
                <w:szCs w:val="21"/>
                <w:highlight w:val="green"/>
              </w:rPr>
            </w:pPr>
          </w:p>
        </w:tc>
      </w:tr>
      <w:tr w14:paraId="1E7192DC">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640" w:type="dxa"/>
            <w:vAlign w:val="center"/>
          </w:tcPr>
          <w:p w14:paraId="310ABA25">
            <w:pPr>
              <w:jc w:val="center"/>
              <w:rPr>
                <w:color w:val="auto"/>
                <w:szCs w:val="21"/>
                <w:highlight w:val="green"/>
              </w:rPr>
            </w:pPr>
            <w:r>
              <w:rPr>
                <w:color w:val="auto"/>
                <w:szCs w:val="21"/>
                <w:highlight w:val="green"/>
              </w:rPr>
              <w:t>西厂界</w:t>
            </w:r>
          </w:p>
        </w:tc>
        <w:tc>
          <w:tcPr>
            <w:tcW w:w="1833" w:type="dxa"/>
            <w:vAlign w:val="center"/>
          </w:tcPr>
          <w:p w14:paraId="31CC6EE9">
            <w:pPr>
              <w:jc w:val="center"/>
              <w:rPr>
                <w:color w:val="auto"/>
                <w:szCs w:val="21"/>
                <w:highlight w:val="green"/>
              </w:rPr>
            </w:pPr>
            <w:r>
              <w:rPr>
                <w:color w:val="auto"/>
                <w:szCs w:val="21"/>
                <w:highlight w:val="green"/>
              </w:rPr>
              <w:t>4</w:t>
            </w:r>
            <w:r>
              <w:rPr>
                <w:rFonts w:hint="eastAsia"/>
                <w:color w:val="auto"/>
                <w:szCs w:val="21"/>
                <w:highlight w:val="green"/>
                <w:lang w:val="en-US" w:eastAsia="zh-CN"/>
              </w:rPr>
              <w:t>1</w:t>
            </w:r>
            <w:r>
              <w:rPr>
                <w:color w:val="auto"/>
                <w:szCs w:val="21"/>
                <w:highlight w:val="green"/>
              </w:rPr>
              <w:t>°</w:t>
            </w:r>
            <w:r>
              <w:rPr>
                <w:rFonts w:hint="eastAsia"/>
                <w:color w:val="auto"/>
                <w:szCs w:val="21"/>
                <w:highlight w:val="green"/>
                <w:lang w:val="en-US" w:eastAsia="zh-CN"/>
              </w:rPr>
              <w:t>53</w:t>
            </w:r>
            <w:r>
              <w:rPr>
                <w:color w:val="auto"/>
                <w:szCs w:val="21"/>
                <w:highlight w:val="green"/>
              </w:rPr>
              <w:t>′</w:t>
            </w:r>
            <w:r>
              <w:rPr>
                <w:rFonts w:hint="eastAsia"/>
                <w:color w:val="auto"/>
                <w:szCs w:val="21"/>
                <w:highlight w:val="green"/>
                <w:lang w:val="en-US" w:eastAsia="zh-CN"/>
              </w:rPr>
              <w:t>42</w:t>
            </w:r>
            <w:r>
              <w:rPr>
                <w:rFonts w:hint="eastAsia"/>
                <w:color w:val="auto"/>
                <w:szCs w:val="21"/>
                <w:highlight w:val="green"/>
              </w:rPr>
              <w:t>.</w:t>
            </w:r>
            <w:r>
              <w:rPr>
                <w:rFonts w:hint="eastAsia"/>
                <w:color w:val="auto"/>
                <w:szCs w:val="21"/>
                <w:highlight w:val="green"/>
                <w:lang w:val="en-US" w:eastAsia="zh-CN"/>
              </w:rPr>
              <w:t>11</w:t>
            </w:r>
            <w:r>
              <w:rPr>
                <w:color w:val="auto"/>
                <w:szCs w:val="21"/>
                <w:highlight w:val="green"/>
              </w:rPr>
              <w:t>″</w:t>
            </w:r>
          </w:p>
        </w:tc>
        <w:tc>
          <w:tcPr>
            <w:tcW w:w="1920" w:type="dxa"/>
            <w:vAlign w:val="center"/>
          </w:tcPr>
          <w:p w14:paraId="17811E04">
            <w:pPr>
              <w:jc w:val="center"/>
              <w:rPr>
                <w:color w:val="auto"/>
                <w:szCs w:val="21"/>
                <w:highlight w:val="green"/>
              </w:rPr>
            </w:pPr>
            <w:r>
              <w:rPr>
                <w:rFonts w:hint="eastAsia"/>
                <w:color w:val="auto"/>
                <w:szCs w:val="21"/>
                <w:highlight w:val="green"/>
                <w:lang w:val="en-US" w:eastAsia="zh-CN"/>
              </w:rPr>
              <w:t>120</w:t>
            </w:r>
            <w:r>
              <w:rPr>
                <w:color w:val="auto"/>
                <w:szCs w:val="21"/>
                <w:highlight w:val="green"/>
              </w:rPr>
              <w:t>°</w:t>
            </w:r>
            <w:r>
              <w:rPr>
                <w:rFonts w:hint="eastAsia"/>
                <w:color w:val="auto"/>
                <w:szCs w:val="21"/>
                <w:highlight w:val="green"/>
                <w:lang w:val="en-US" w:eastAsia="zh-CN"/>
              </w:rPr>
              <w:t>03</w:t>
            </w:r>
            <w:r>
              <w:rPr>
                <w:color w:val="auto"/>
                <w:szCs w:val="21"/>
                <w:highlight w:val="green"/>
              </w:rPr>
              <w:t>′</w:t>
            </w:r>
            <w:r>
              <w:rPr>
                <w:rFonts w:hint="eastAsia"/>
                <w:color w:val="auto"/>
                <w:szCs w:val="21"/>
                <w:highlight w:val="green"/>
                <w:lang w:val="en-US" w:eastAsia="zh-CN"/>
              </w:rPr>
              <w:t>09</w:t>
            </w:r>
            <w:r>
              <w:rPr>
                <w:rFonts w:hint="eastAsia"/>
                <w:color w:val="auto"/>
                <w:szCs w:val="21"/>
                <w:highlight w:val="green"/>
              </w:rPr>
              <w:t>.</w:t>
            </w:r>
            <w:r>
              <w:rPr>
                <w:rFonts w:hint="eastAsia"/>
                <w:color w:val="auto"/>
                <w:szCs w:val="21"/>
                <w:highlight w:val="green"/>
                <w:lang w:val="en-US" w:eastAsia="zh-CN"/>
              </w:rPr>
              <w:t>11</w:t>
            </w:r>
            <w:r>
              <w:rPr>
                <w:color w:val="auto"/>
                <w:szCs w:val="21"/>
                <w:highlight w:val="green"/>
              </w:rPr>
              <w:t>″</w:t>
            </w:r>
          </w:p>
        </w:tc>
        <w:tc>
          <w:tcPr>
            <w:tcW w:w="3130" w:type="dxa"/>
            <w:vMerge w:val="continue"/>
            <w:vAlign w:val="center"/>
          </w:tcPr>
          <w:p w14:paraId="10A12052">
            <w:pPr>
              <w:jc w:val="center"/>
              <w:rPr>
                <w:color w:val="auto"/>
                <w:szCs w:val="21"/>
                <w:highlight w:val="green"/>
              </w:rPr>
            </w:pPr>
          </w:p>
        </w:tc>
      </w:tr>
      <w:tr w14:paraId="6F91F536">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640" w:type="dxa"/>
            <w:vAlign w:val="center"/>
          </w:tcPr>
          <w:p w14:paraId="7C433818">
            <w:pPr>
              <w:jc w:val="center"/>
              <w:rPr>
                <w:color w:val="auto"/>
                <w:szCs w:val="21"/>
                <w:highlight w:val="green"/>
              </w:rPr>
            </w:pPr>
            <w:r>
              <w:rPr>
                <w:color w:val="auto"/>
                <w:szCs w:val="21"/>
                <w:highlight w:val="green"/>
              </w:rPr>
              <w:t>北厂界</w:t>
            </w:r>
          </w:p>
        </w:tc>
        <w:tc>
          <w:tcPr>
            <w:tcW w:w="1833" w:type="dxa"/>
            <w:vAlign w:val="center"/>
          </w:tcPr>
          <w:p w14:paraId="2C4964E1">
            <w:pPr>
              <w:jc w:val="center"/>
              <w:rPr>
                <w:color w:val="auto"/>
                <w:szCs w:val="21"/>
                <w:highlight w:val="green"/>
              </w:rPr>
            </w:pPr>
            <w:r>
              <w:rPr>
                <w:color w:val="auto"/>
                <w:szCs w:val="21"/>
                <w:highlight w:val="green"/>
              </w:rPr>
              <w:t>4</w:t>
            </w:r>
            <w:r>
              <w:rPr>
                <w:rFonts w:hint="eastAsia"/>
                <w:color w:val="auto"/>
                <w:szCs w:val="21"/>
                <w:highlight w:val="green"/>
                <w:lang w:val="en-US" w:eastAsia="zh-CN"/>
              </w:rPr>
              <w:t>1</w:t>
            </w:r>
            <w:r>
              <w:rPr>
                <w:color w:val="auto"/>
                <w:szCs w:val="21"/>
                <w:highlight w:val="green"/>
              </w:rPr>
              <w:t>°</w:t>
            </w:r>
            <w:r>
              <w:rPr>
                <w:rFonts w:hint="eastAsia"/>
                <w:color w:val="auto"/>
                <w:szCs w:val="21"/>
                <w:highlight w:val="green"/>
                <w:lang w:val="en-US" w:eastAsia="zh-CN"/>
              </w:rPr>
              <w:t>53</w:t>
            </w:r>
            <w:r>
              <w:rPr>
                <w:color w:val="auto"/>
                <w:szCs w:val="21"/>
                <w:highlight w:val="green"/>
              </w:rPr>
              <w:t>′</w:t>
            </w:r>
            <w:r>
              <w:rPr>
                <w:rFonts w:hint="eastAsia"/>
                <w:color w:val="auto"/>
                <w:szCs w:val="21"/>
                <w:highlight w:val="green"/>
                <w:lang w:val="en-US" w:eastAsia="zh-CN"/>
              </w:rPr>
              <w:t>41</w:t>
            </w:r>
            <w:r>
              <w:rPr>
                <w:rFonts w:hint="eastAsia"/>
                <w:color w:val="auto"/>
                <w:szCs w:val="21"/>
                <w:highlight w:val="green"/>
              </w:rPr>
              <w:t>.</w:t>
            </w:r>
            <w:r>
              <w:rPr>
                <w:rFonts w:hint="eastAsia"/>
                <w:color w:val="auto"/>
                <w:szCs w:val="21"/>
                <w:highlight w:val="green"/>
                <w:lang w:val="en-US" w:eastAsia="zh-CN"/>
              </w:rPr>
              <w:t>45</w:t>
            </w:r>
            <w:r>
              <w:rPr>
                <w:color w:val="auto"/>
                <w:szCs w:val="21"/>
                <w:highlight w:val="green"/>
              </w:rPr>
              <w:t>″</w:t>
            </w:r>
          </w:p>
        </w:tc>
        <w:tc>
          <w:tcPr>
            <w:tcW w:w="1920" w:type="dxa"/>
            <w:vAlign w:val="center"/>
          </w:tcPr>
          <w:p w14:paraId="14378259">
            <w:pPr>
              <w:jc w:val="center"/>
              <w:rPr>
                <w:color w:val="auto"/>
                <w:szCs w:val="21"/>
                <w:highlight w:val="green"/>
              </w:rPr>
            </w:pPr>
            <w:r>
              <w:rPr>
                <w:rFonts w:hint="eastAsia"/>
                <w:color w:val="auto"/>
                <w:szCs w:val="21"/>
                <w:highlight w:val="green"/>
                <w:lang w:val="en-US" w:eastAsia="zh-CN"/>
              </w:rPr>
              <w:t>120</w:t>
            </w:r>
            <w:r>
              <w:rPr>
                <w:color w:val="auto"/>
                <w:szCs w:val="21"/>
                <w:highlight w:val="green"/>
              </w:rPr>
              <w:t>°</w:t>
            </w:r>
            <w:r>
              <w:rPr>
                <w:rFonts w:hint="eastAsia"/>
                <w:color w:val="auto"/>
                <w:szCs w:val="21"/>
                <w:highlight w:val="green"/>
                <w:lang w:val="en-US" w:eastAsia="zh-CN"/>
              </w:rPr>
              <w:t>03</w:t>
            </w:r>
            <w:r>
              <w:rPr>
                <w:color w:val="auto"/>
                <w:szCs w:val="21"/>
                <w:highlight w:val="green"/>
              </w:rPr>
              <w:t>′</w:t>
            </w:r>
            <w:r>
              <w:rPr>
                <w:rFonts w:hint="eastAsia"/>
                <w:color w:val="auto"/>
                <w:szCs w:val="21"/>
                <w:highlight w:val="green"/>
                <w:lang w:val="en-US" w:eastAsia="zh-CN"/>
              </w:rPr>
              <w:t>16</w:t>
            </w:r>
            <w:r>
              <w:rPr>
                <w:rFonts w:hint="eastAsia"/>
                <w:color w:val="auto"/>
                <w:szCs w:val="21"/>
                <w:highlight w:val="green"/>
              </w:rPr>
              <w:t>.</w:t>
            </w:r>
            <w:r>
              <w:rPr>
                <w:rFonts w:hint="eastAsia"/>
                <w:color w:val="auto"/>
                <w:szCs w:val="21"/>
                <w:highlight w:val="green"/>
                <w:lang w:val="en-US" w:eastAsia="zh-CN"/>
              </w:rPr>
              <w:t>62</w:t>
            </w:r>
            <w:r>
              <w:rPr>
                <w:color w:val="auto"/>
                <w:szCs w:val="21"/>
                <w:highlight w:val="green"/>
              </w:rPr>
              <w:t>″</w:t>
            </w:r>
          </w:p>
        </w:tc>
        <w:tc>
          <w:tcPr>
            <w:tcW w:w="3130" w:type="dxa"/>
            <w:vMerge w:val="continue"/>
            <w:vAlign w:val="center"/>
          </w:tcPr>
          <w:p w14:paraId="1F60A8E8">
            <w:pPr>
              <w:jc w:val="center"/>
              <w:rPr>
                <w:color w:val="auto"/>
                <w:szCs w:val="21"/>
                <w:highlight w:val="green"/>
              </w:rPr>
            </w:pPr>
          </w:p>
        </w:tc>
      </w:tr>
    </w:tbl>
    <w:p w14:paraId="0B332CAE">
      <w:pPr>
        <w:spacing w:line="360" w:lineRule="auto"/>
        <w:ind w:firstLine="480" w:firstLineChars="200"/>
        <w:rPr>
          <w:color w:val="auto"/>
          <w:sz w:val="24"/>
          <w:highlight w:val="green"/>
        </w:rPr>
      </w:pPr>
      <w:r>
        <w:rPr>
          <w:color w:val="auto"/>
          <w:sz w:val="24"/>
          <w:highlight w:val="green"/>
        </w:rPr>
        <w:t>监测结果见表4</w:t>
      </w:r>
      <w:r>
        <w:rPr>
          <w:rFonts w:hint="eastAsia"/>
          <w:color w:val="auto"/>
          <w:sz w:val="24"/>
          <w:highlight w:val="green"/>
          <w:lang w:val="en-US" w:eastAsia="zh-CN"/>
        </w:rPr>
        <w:t>.4</w:t>
      </w:r>
      <w:r>
        <w:rPr>
          <w:color w:val="auto"/>
          <w:sz w:val="24"/>
          <w:highlight w:val="green"/>
        </w:rPr>
        <w:t>-</w:t>
      </w:r>
      <w:r>
        <w:rPr>
          <w:rFonts w:hint="eastAsia"/>
          <w:color w:val="auto"/>
          <w:sz w:val="24"/>
          <w:highlight w:val="green"/>
        </w:rPr>
        <w:t>6</w:t>
      </w:r>
      <w:r>
        <w:rPr>
          <w:color w:val="auto"/>
          <w:sz w:val="24"/>
          <w:highlight w:val="green"/>
        </w:rPr>
        <w:t>。</w:t>
      </w:r>
    </w:p>
    <w:p w14:paraId="7448454A">
      <w:pPr>
        <w:pStyle w:val="290"/>
        <w:snapToGrid w:val="0"/>
        <w:spacing w:line="240" w:lineRule="auto"/>
        <w:ind w:firstLine="422"/>
        <w:jc w:val="center"/>
        <w:rPr>
          <w:b/>
          <w:color w:val="auto"/>
          <w:sz w:val="21"/>
          <w:highlight w:val="green"/>
        </w:rPr>
      </w:pPr>
      <w:r>
        <w:rPr>
          <w:b/>
          <w:color w:val="auto"/>
          <w:sz w:val="21"/>
          <w:highlight w:val="green"/>
        </w:rPr>
        <w:t>表4</w:t>
      </w:r>
      <w:r>
        <w:rPr>
          <w:rFonts w:hint="eastAsia"/>
          <w:b/>
          <w:color w:val="auto"/>
          <w:sz w:val="21"/>
          <w:highlight w:val="green"/>
          <w:lang w:val="en-US" w:eastAsia="zh-CN"/>
        </w:rPr>
        <w:t>.4</w:t>
      </w:r>
      <w:r>
        <w:rPr>
          <w:b/>
          <w:color w:val="auto"/>
          <w:sz w:val="21"/>
          <w:highlight w:val="green"/>
        </w:rPr>
        <w:t>-</w:t>
      </w:r>
      <w:r>
        <w:rPr>
          <w:rFonts w:hint="eastAsia"/>
          <w:b/>
          <w:color w:val="auto"/>
          <w:sz w:val="21"/>
          <w:highlight w:val="green"/>
        </w:rPr>
        <w:t>6</w:t>
      </w:r>
      <w:r>
        <w:rPr>
          <w:b/>
          <w:color w:val="auto"/>
          <w:sz w:val="21"/>
          <w:highlight w:val="green"/>
        </w:rPr>
        <w:t xml:space="preserve">    评价区域内声质量现状监测结果    单位：dB(A)</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4"/>
        <w:gridCol w:w="834"/>
        <w:gridCol w:w="834"/>
        <w:gridCol w:w="834"/>
        <w:gridCol w:w="841"/>
        <w:gridCol w:w="837"/>
        <w:gridCol w:w="2181"/>
      </w:tblGrid>
      <w:tr w14:paraId="7BE8E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restart"/>
            <w:tcBorders>
              <w:top w:val="double" w:color="auto" w:sz="4" w:space="0"/>
              <w:left w:val="nil"/>
            </w:tcBorders>
            <w:vAlign w:val="center"/>
          </w:tcPr>
          <w:p w14:paraId="1CD862EA">
            <w:pPr>
              <w:jc w:val="center"/>
              <w:rPr>
                <w:color w:val="auto"/>
                <w:szCs w:val="21"/>
                <w:highlight w:val="green"/>
              </w:rPr>
            </w:pPr>
            <w:r>
              <w:rPr>
                <w:b/>
                <w:color w:val="auto"/>
                <w:szCs w:val="21"/>
                <w:highlight w:val="green"/>
              </w:rPr>
              <w:t>监测点位</w:t>
            </w:r>
          </w:p>
        </w:tc>
        <w:tc>
          <w:tcPr>
            <w:tcW w:w="3343" w:type="dxa"/>
            <w:gridSpan w:val="4"/>
            <w:tcBorders>
              <w:top w:val="double" w:color="auto" w:sz="4" w:space="0"/>
            </w:tcBorders>
            <w:vAlign w:val="center"/>
          </w:tcPr>
          <w:p w14:paraId="6FC7295B">
            <w:pPr>
              <w:jc w:val="center"/>
              <w:rPr>
                <w:color w:val="auto"/>
                <w:szCs w:val="21"/>
                <w:highlight w:val="green"/>
              </w:rPr>
            </w:pPr>
            <w:r>
              <w:rPr>
                <w:b/>
                <w:color w:val="auto"/>
                <w:szCs w:val="21"/>
                <w:highlight w:val="green"/>
              </w:rPr>
              <w:t>单位：dB(A)</w:t>
            </w:r>
          </w:p>
        </w:tc>
        <w:tc>
          <w:tcPr>
            <w:tcW w:w="837" w:type="dxa"/>
            <w:vMerge w:val="restart"/>
            <w:tcBorders>
              <w:top w:val="double" w:color="auto" w:sz="4" w:space="0"/>
            </w:tcBorders>
            <w:vAlign w:val="center"/>
          </w:tcPr>
          <w:p w14:paraId="5AB1CB7D">
            <w:pPr>
              <w:jc w:val="center"/>
              <w:rPr>
                <w:color w:val="auto"/>
                <w:szCs w:val="21"/>
                <w:highlight w:val="green"/>
              </w:rPr>
            </w:pPr>
            <w:r>
              <w:rPr>
                <w:b/>
                <w:color w:val="auto"/>
                <w:szCs w:val="21"/>
                <w:highlight w:val="green"/>
              </w:rPr>
              <w:t>SD</w:t>
            </w:r>
          </w:p>
        </w:tc>
        <w:tc>
          <w:tcPr>
            <w:tcW w:w="2181" w:type="dxa"/>
            <w:vMerge w:val="restart"/>
            <w:tcBorders>
              <w:top w:val="double" w:color="auto" w:sz="4" w:space="0"/>
              <w:right w:val="nil"/>
            </w:tcBorders>
            <w:vAlign w:val="center"/>
          </w:tcPr>
          <w:p w14:paraId="414DB7FB">
            <w:pPr>
              <w:jc w:val="center"/>
              <w:rPr>
                <w:color w:val="auto"/>
                <w:szCs w:val="21"/>
                <w:highlight w:val="green"/>
              </w:rPr>
            </w:pPr>
            <w:r>
              <w:rPr>
                <w:b/>
                <w:color w:val="auto"/>
                <w:szCs w:val="21"/>
                <w:highlight w:val="green"/>
              </w:rPr>
              <w:t>监测时间</w:t>
            </w:r>
          </w:p>
        </w:tc>
      </w:tr>
      <w:tr w14:paraId="112D3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continue"/>
            <w:tcBorders>
              <w:left w:val="nil"/>
            </w:tcBorders>
            <w:vAlign w:val="center"/>
          </w:tcPr>
          <w:p w14:paraId="4F74A69F">
            <w:pPr>
              <w:jc w:val="center"/>
              <w:rPr>
                <w:b/>
                <w:color w:val="auto"/>
                <w:szCs w:val="21"/>
                <w:highlight w:val="green"/>
              </w:rPr>
            </w:pPr>
          </w:p>
        </w:tc>
        <w:tc>
          <w:tcPr>
            <w:tcW w:w="834" w:type="dxa"/>
            <w:vAlign w:val="center"/>
          </w:tcPr>
          <w:p w14:paraId="17506EDF">
            <w:pPr>
              <w:jc w:val="center"/>
              <w:rPr>
                <w:b/>
                <w:color w:val="auto"/>
                <w:szCs w:val="21"/>
                <w:highlight w:val="green"/>
              </w:rPr>
            </w:pPr>
            <w:r>
              <w:rPr>
                <w:b/>
                <w:color w:val="auto"/>
                <w:szCs w:val="21"/>
                <w:highlight w:val="green"/>
              </w:rPr>
              <w:t>L</w:t>
            </w:r>
            <w:r>
              <w:rPr>
                <w:b/>
                <w:color w:val="auto"/>
                <w:szCs w:val="21"/>
                <w:highlight w:val="green"/>
                <w:vertAlign w:val="subscript"/>
              </w:rPr>
              <w:t>10</w:t>
            </w:r>
          </w:p>
        </w:tc>
        <w:tc>
          <w:tcPr>
            <w:tcW w:w="834" w:type="dxa"/>
            <w:vAlign w:val="center"/>
          </w:tcPr>
          <w:p w14:paraId="2ED2C664">
            <w:pPr>
              <w:jc w:val="center"/>
              <w:rPr>
                <w:b/>
                <w:color w:val="auto"/>
                <w:szCs w:val="21"/>
                <w:highlight w:val="green"/>
              </w:rPr>
            </w:pPr>
            <w:r>
              <w:rPr>
                <w:b/>
                <w:color w:val="auto"/>
                <w:szCs w:val="21"/>
                <w:highlight w:val="green"/>
              </w:rPr>
              <w:t>L</w:t>
            </w:r>
            <w:r>
              <w:rPr>
                <w:b/>
                <w:color w:val="auto"/>
                <w:szCs w:val="21"/>
                <w:highlight w:val="green"/>
                <w:vertAlign w:val="subscript"/>
              </w:rPr>
              <w:t>50</w:t>
            </w:r>
          </w:p>
        </w:tc>
        <w:tc>
          <w:tcPr>
            <w:tcW w:w="834" w:type="dxa"/>
            <w:vAlign w:val="center"/>
          </w:tcPr>
          <w:p w14:paraId="7D00486F">
            <w:pPr>
              <w:jc w:val="center"/>
              <w:rPr>
                <w:b/>
                <w:color w:val="auto"/>
                <w:szCs w:val="21"/>
                <w:highlight w:val="green"/>
              </w:rPr>
            </w:pPr>
            <w:r>
              <w:rPr>
                <w:b/>
                <w:color w:val="auto"/>
                <w:szCs w:val="21"/>
                <w:highlight w:val="green"/>
              </w:rPr>
              <w:t>L</w:t>
            </w:r>
            <w:r>
              <w:rPr>
                <w:b/>
                <w:color w:val="auto"/>
                <w:szCs w:val="21"/>
                <w:highlight w:val="green"/>
                <w:vertAlign w:val="subscript"/>
              </w:rPr>
              <w:t>90</w:t>
            </w:r>
          </w:p>
        </w:tc>
        <w:tc>
          <w:tcPr>
            <w:tcW w:w="841" w:type="dxa"/>
            <w:vAlign w:val="center"/>
          </w:tcPr>
          <w:p w14:paraId="05979337">
            <w:pPr>
              <w:jc w:val="center"/>
              <w:rPr>
                <w:b/>
                <w:color w:val="auto"/>
                <w:szCs w:val="21"/>
                <w:highlight w:val="green"/>
              </w:rPr>
            </w:pPr>
            <w:r>
              <w:rPr>
                <w:b/>
                <w:color w:val="auto"/>
                <w:szCs w:val="21"/>
                <w:highlight w:val="green"/>
              </w:rPr>
              <w:t>L</w:t>
            </w:r>
            <w:r>
              <w:rPr>
                <w:b/>
                <w:color w:val="auto"/>
                <w:szCs w:val="21"/>
                <w:highlight w:val="green"/>
                <w:vertAlign w:val="subscript"/>
              </w:rPr>
              <w:t>eq</w:t>
            </w:r>
          </w:p>
        </w:tc>
        <w:tc>
          <w:tcPr>
            <w:tcW w:w="837" w:type="dxa"/>
            <w:vMerge w:val="continue"/>
            <w:vAlign w:val="center"/>
          </w:tcPr>
          <w:p w14:paraId="070625A4">
            <w:pPr>
              <w:jc w:val="center"/>
              <w:rPr>
                <w:b/>
                <w:color w:val="auto"/>
                <w:szCs w:val="21"/>
                <w:highlight w:val="green"/>
              </w:rPr>
            </w:pPr>
          </w:p>
        </w:tc>
        <w:tc>
          <w:tcPr>
            <w:tcW w:w="2181" w:type="dxa"/>
            <w:vMerge w:val="continue"/>
            <w:tcBorders>
              <w:right w:val="nil"/>
            </w:tcBorders>
            <w:vAlign w:val="center"/>
          </w:tcPr>
          <w:p w14:paraId="69EC316B">
            <w:pPr>
              <w:jc w:val="center"/>
              <w:rPr>
                <w:b/>
                <w:color w:val="auto"/>
                <w:szCs w:val="21"/>
                <w:highlight w:val="green"/>
              </w:rPr>
            </w:pPr>
          </w:p>
        </w:tc>
      </w:tr>
      <w:tr w14:paraId="2EA24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restart"/>
            <w:tcBorders>
              <w:left w:val="nil"/>
            </w:tcBorders>
            <w:vAlign w:val="center"/>
          </w:tcPr>
          <w:p w14:paraId="1C465FD4">
            <w:pPr>
              <w:jc w:val="center"/>
              <w:rPr>
                <w:b/>
                <w:color w:val="auto"/>
                <w:szCs w:val="21"/>
                <w:highlight w:val="green"/>
              </w:rPr>
            </w:pPr>
            <w:r>
              <w:rPr>
                <w:b/>
                <w:color w:val="auto"/>
                <w:szCs w:val="21"/>
                <w:highlight w:val="green"/>
              </w:rPr>
              <w:t>东厂界</w:t>
            </w:r>
          </w:p>
        </w:tc>
        <w:tc>
          <w:tcPr>
            <w:tcW w:w="834" w:type="dxa"/>
            <w:vAlign w:val="center"/>
          </w:tcPr>
          <w:p w14:paraId="2DB3391D">
            <w:pPr>
              <w:jc w:val="center"/>
              <w:rPr>
                <w:color w:val="auto"/>
                <w:szCs w:val="21"/>
                <w:highlight w:val="green"/>
              </w:rPr>
            </w:pPr>
            <w:r>
              <w:rPr>
                <w:rFonts w:hint="eastAsia"/>
                <w:color w:val="auto"/>
                <w:szCs w:val="21"/>
                <w:highlight w:val="green"/>
                <w:lang w:val="en-US" w:eastAsia="zh-CN"/>
              </w:rPr>
              <w:t>50.9</w:t>
            </w:r>
          </w:p>
        </w:tc>
        <w:tc>
          <w:tcPr>
            <w:tcW w:w="834" w:type="dxa"/>
            <w:vAlign w:val="center"/>
          </w:tcPr>
          <w:p w14:paraId="76657E4C">
            <w:pPr>
              <w:jc w:val="center"/>
              <w:rPr>
                <w:color w:val="auto"/>
                <w:szCs w:val="21"/>
                <w:highlight w:val="green"/>
              </w:rPr>
            </w:pPr>
            <w:r>
              <w:rPr>
                <w:rFonts w:hint="eastAsia"/>
                <w:color w:val="auto"/>
                <w:szCs w:val="21"/>
                <w:highlight w:val="green"/>
                <w:lang w:val="en-US" w:eastAsia="zh-CN"/>
              </w:rPr>
              <w:t>46.3</w:t>
            </w:r>
          </w:p>
        </w:tc>
        <w:tc>
          <w:tcPr>
            <w:tcW w:w="834" w:type="dxa"/>
            <w:vAlign w:val="center"/>
          </w:tcPr>
          <w:p w14:paraId="69592CFE">
            <w:pPr>
              <w:jc w:val="center"/>
              <w:rPr>
                <w:color w:val="auto"/>
                <w:szCs w:val="21"/>
                <w:highlight w:val="green"/>
              </w:rPr>
            </w:pPr>
            <w:r>
              <w:rPr>
                <w:rFonts w:hint="eastAsia"/>
                <w:color w:val="auto"/>
                <w:szCs w:val="21"/>
                <w:highlight w:val="green"/>
                <w:lang w:val="en-US" w:eastAsia="zh-CN"/>
              </w:rPr>
              <w:t>41.3</w:t>
            </w:r>
          </w:p>
        </w:tc>
        <w:tc>
          <w:tcPr>
            <w:tcW w:w="841" w:type="dxa"/>
            <w:vAlign w:val="center"/>
          </w:tcPr>
          <w:p w14:paraId="01C1C16C">
            <w:pPr>
              <w:jc w:val="center"/>
              <w:rPr>
                <w:color w:val="auto"/>
                <w:szCs w:val="21"/>
                <w:highlight w:val="green"/>
              </w:rPr>
            </w:pPr>
            <w:r>
              <w:rPr>
                <w:rFonts w:hint="eastAsia"/>
                <w:color w:val="auto"/>
                <w:szCs w:val="21"/>
                <w:highlight w:val="green"/>
                <w:lang w:val="en-US" w:eastAsia="zh-CN"/>
              </w:rPr>
              <w:t>48</w:t>
            </w:r>
          </w:p>
        </w:tc>
        <w:tc>
          <w:tcPr>
            <w:tcW w:w="837" w:type="dxa"/>
            <w:vAlign w:val="center"/>
          </w:tcPr>
          <w:p w14:paraId="2BA812AF">
            <w:pPr>
              <w:jc w:val="center"/>
              <w:rPr>
                <w:color w:val="auto"/>
                <w:szCs w:val="21"/>
                <w:highlight w:val="green"/>
              </w:rPr>
            </w:pPr>
            <w:r>
              <w:rPr>
                <w:rFonts w:hint="eastAsia"/>
                <w:color w:val="auto"/>
                <w:szCs w:val="21"/>
                <w:highlight w:val="green"/>
                <w:lang w:val="en-US" w:eastAsia="zh-CN"/>
              </w:rPr>
              <w:t>3.9</w:t>
            </w:r>
          </w:p>
        </w:tc>
        <w:tc>
          <w:tcPr>
            <w:tcW w:w="2181" w:type="dxa"/>
            <w:tcBorders>
              <w:right w:val="nil"/>
            </w:tcBorders>
            <w:vAlign w:val="center"/>
          </w:tcPr>
          <w:p w14:paraId="5511BA90">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月26日（昼间）</w:t>
            </w:r>
          </w:p>
        </w:tc>
      </w:tr>
      <w:tr w14:paraId="4E0B9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continue"/>
            <w:tcBorders>
              <w:left w:val="nil"/>
            </w:tcBorders>
            <w:vAlign w:val="center"/>
          </w:tcPr>
          <w:p w14:paraId="0817F99A">
            <w:pPr>
              <w:jc w:val="center"/>
              <w:rPr>
                <w:b/>
                <w:color w:val="auto"/>
                <w:szCs w:val="21"/>
                <w:highlight w:val="green"/>
              </w:rPr>
            </w:pPr>
          </w:p>
        </w:tc>
        <w:tc>
          <w:tcPr>
            <w:tcW w:w="834" w:type="dxa"/>
            <w:vAlign w:val="center"/>
          </w:tcPr>
          <w:p w14:paraId="6896E008">
            <w:pPr>
              <w:jc w:val="center"/>
              <w:rPr>
                <w:color w:val="auto"/>
                <w:szCs w:val="21"/>
                <w:highlight w:val="green"/>
              </w:rPr>
            </w:pPr>
            <w:r>
              <w:rPr>
                <w:rFonts w:hint="eastAsia"/>
                <w:color w:val="auto"/>
                <w:szCs w:val="21"/>
                <w:highlight w:val="green"/>
                <w:lang w:val="en-US" w:eastAsia="zh-CN"/>
              </w:rPr>
              <w:t>42.8</w:t>
            </w:r>
          </w:p>
        </w:tc>
        <w:tc>
          <w:tcPr>
            <w:tcW w:w="834" w:type="dxa"/>
            <w:vAlign w:val="center"/>
          </w:tcPr>
          <w:p w14:paraId="01DF36C2">
            <w:pPr>
              <w:jc w:val="center"/>
              <w:rPr>
                <w:color w:val="auto"/>
                <w:szCs w:val="21"/>
                <w:highlight w:val="green"/>
              </w:rPr>
            </w:pPr>
            <w:r>
              <w:rPr>
                <w:rFonts w:hint="eastAsia"/>
                <w:color w:val="auto"/>
                <w:szCs w:val="21"/>
                <w:highlight w:val="green"/>
                <w:lang w:val="en-US" w:eastAsia="zh-CN"/>
              </w:rPr>
              <w:t>38.2</w:t>
            </w:r>
          </w:p>
        </w:tc>
        <w:tc>
          <w:tcPr>
            <w:tcW w:w="834" w:type="dxa"/>
            <w:vAlign w:val="center"/>
          </w:tcPr>
          <w:p w14:paraId="4C62CB6D">
            <w:pPr>
              <w:jc w:val="center"/>
              <w:rPr>
                <w:color w:val="auto"/>
                <w:szCs w:val="21"/>
                <w:highlight w:val="green"/>
              </w:rPr>
            </w:pPr>
            <w:r>
              <w:rPr>
                <w:rFonts w:hint="eastAsia"/>
                <w:color w:val="auto"/>
                <w:szCs w:val="21"/>
                <w:highlight w:val="green"/>
                <w:lang w:val="en-US" w:eastAsia="zh-CN"/>
              </w:rPr>
              <w:t>35.3</w:t>
            </w:r>
          </w:p>
        </w:tc>
        <w:tc>
          <w:tcPr>
            <w:tcW w:w="841" w:type="dxa"/>
            <w:vAlign w:val="center"/>
          </w:tcPr>
          <w:p w14:paraId="6FF8834B">
            <w:pPr>
              <w:jc w:val="center"/>
              <w:rPr>
                <w:color w:val="auto"/>
                <w:szCs w:val="21"/>
                <w:highlight w:val="green"/>
              </w:rPr>
            </w:pPr>
            <w:r>
              <w:rPr>
                <w:rFonts w:hint="eastAsia"/>
                <w:color w:val="auto"/>
                <w:szCs w:val="21"/>
                <w:highlight w:val="green"/>
                <w:lang w:val="en-US" w:eastAsia="zh-CN"/>
              </w:rPr>
              <w:t>40</w:t>
            </w:r>
          </w:p>
        </w:tc>
        <w:tc>
          <w:tcPr>
            <w:tcW w:w="837" w:type="dxa"/>
            <w:vAlign w:val="center"/>
          </w:tcPr>
          <w:p w14:paraId="615D7939">
            <w:pPr>
              <w:jc w:val="center"/>
              <w:rPr>
                <w:color w:val="auto"/>
                <w:szCs w:val="21"/>
                <w:highlight w:val="green"/>
              </w:rPr>
            </w:pPr>
            <w:r>
              <w:rPr>
                <w:rFonts w:hint="eastAsia"/>
                <w:color w:val="auto"/>
                <w:szCs w:val="21"/>
                <w:highlight w:val="green"/>
                <w:lang w:val="en-US" w:eastAsia="zh-CN"/>
              </w:rPr>
              <w:t>2.9</w:t>
            </w:r>
          </w:p>
        </w:tc>
        <w:tc>
          <w:tcPr>
            <w:tcW w:w="2181" w:type="dxa"/>
            <w:tcBorders>
              <w:right w:val="nil"/>
            </w:tcBorders>
            <w:vAlign w:val="center"/>
          </w:tcPr>
          <w:p w14:paraId="5CCA9992">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月26日（夜间）</w:t>
            </w:r>
          </w:p>
        </w:tc>
      </w:tr>
      <w:tr w14:paraId="79AD7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continue"/>
            <w:tcBorders>
              <w:left w:val="nil"/>
            </w:tcBorders>
            <w:vAlign w:val="center"/>
          </w:tcPr>
          <w:p w14:paraId="677D138F">
            <w:pPr>
              <w:jc w:val="center"/>
              <w:rPr>
                <w:b/>
                <w:color w:val="auto"/>
                <w:szCs w:val="21"/>
                <w:highlight w:val="green"/>
              </w:rPr>
            </w:pPr>
          </w:p>
        </w:tc>
        <w:tc>
          <w:tcPr>
            <w:tcW w:w="834" w:type="dxa"/>
            <w:vAlign w:val="center"/>
          </w:tcPr>
          <w:p w14:paraId="31D614FD">
            <w:pPr>
              <w:jc w:val="center"/>
              <w:rPr>
                <w:color w:val="auto"/>
                <w:szCs w:val="21"/>
                <w:highlight w:val="green"/>
              </w:rPr>
            </w:pPr>
            <w:r>
              <w:rPr>
                <w:rFonts w:hint="eastAsia"/>
                <w:color w:val="auto"/>
                <w:szCs w:val="21"/>
                <w:highlight w:val="green"/>
                <w:lang w:val="en-US" w:eastAsia="zh-CN"/>
              </w:rPr>
              <w:t>49.3</w:t>
            </w:r>
          </w:p>
        </w:tc>
        <w:tc>
          <w:tcPr>
            <w:tcW w:w="834" w:type="dxa"/>
            <w:vAlign w:val="center"/>
          </w:tcPr>
          <w:p w14:paraId="716EEE56">
            <w:pPr>
              <w:jc w:val="center"/>
              <w:rPr>
                <w:color w:val="auto"/>
                <w:szCs w:val="21"/>
                <w:highlight w:val="green"/>
              </w:rPr>
            </w:pPr>
            <w:r>
              <w:rPr>
                <w:rFonts w:hint="eastAsia"/>
                <w:color w:val="auto"/>
                <w:szCs w:val="21"/>
                <w:highlight w:val="green"/>
                <w:lang w:val="en-US" w:eastAsia="zh-CN"/>
              </w:rPr>
              <w:t>46.5</w:t>
            </w:r>
          </w:p>
        </w:tc>
        <w:tc>
          <w:tcPr>
            <w:tcW w:w="834" w:type="dxa"/>
            <w:vAlign w:val="center"/>
          </w:tcPr>
          <w:p w14:paraId="4D468BFA">
            <w:pPr>
              <w:jc w:val="center"/>
              <w:rPr>
                <w:color w:val="auto"/>
                <w:szCs w:val="21"/>
                <w:highlight w:val="green"/>
              </w:rPr>
            </w:pPr>
            <w:r>
              <w:rPr>
                <w:rFonts w:hint="eastAsia"/>
                <w:color w:val="auto"/>
                <w:szCs w:val="21"/>
                <w:highlight w:val="green"/>
                <w:lang w:val="en-US" w:eastAsia="zh-CN"/>
              </w:rPr>
              <w:t>43.9</w:t>
            </w:r>
          </w:p>
        </w:tc>
        <w:tc>
          <w:tcPr>
            <w:tcW w:w="841" w:type="dxa"/>
            <w:vAlign w:val="center"/>
          </w:tcPr>
          <w:p w14:paraId="6CBF8773">
            <w:pPr>
              <w:jc w:val="center"/>
              <w:rPr>
                <w:color w:val="auto"/>
                <w:szCs w:val="21"/>
                <w:highlight w:val="green"/>
              </w:rPr>
            </w:pPr>
            <w:r>
              <w:rPr>
                <w:rFonts w:hint="eastAsia"/>
                <w:color w:val="auto"/>
                <w:szCs w:val="21"/>
                <w:highlight w:val="green"/>
                <w:lang w:val="en-US" w:eastAsia="zh-CN"/>
              </w:rPr>
              <w:t>47</w:t>
            </w:r>
          </w:p>
        </w:tc>
        <w:tc>
          <w:tcPr>
            <w:tcW w:w="837" w:type="dxa"/>
            <w:vAlign w:val="center"/>
          </w:tcPr>
          <w:p w14:paraId="68A44C88">
            <w:pPr>
              <w:jc w:val="center"/>
              <w:rPr>
                <w:color w:val="auto"/>
                <w:szCs w:val="21"/>
                <w:highlight w:val="green"/>
              </w:rPr>
            </w:pPr>
            <w:r>
              <w:rPr>
                <w:rFonts w:hint="eastAsia"/>
                <w:color w:val="auto"/>
                <w:szCs w:val="21"/>
                <w:highlight w:val="green"/>
                <w:lang w:val="en-US" w:eastAsia="zh-CN"/>
              </w:rPr>
              <w:t>3.3</w:t>
            </w:r>
          </w:p>
        </w:tc>
        <w:tc>
          <w:tcPr>
            <w:tcW w:w="2181" w:type="dxa"/>
            <w:tcBorders>
              <w:right w:val="nil"/>
            </w:tcBorders>
            <w:vAlign w:val="center"/>
          </w:tcPr>
          <w:p w14:paraId="4AEA4318">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月27日（昼间）</w:t>
            </w:r>
          </w:p>
        </w:tc>
      </w:tr>
      <w:tr w14:paraId="039C4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continue"/>
            <w:tcBorders>
              <w:left w:val="nil"/>
            </w:tcBorders>
            <w:vAlign w:val="center"/>
          </w:tcPr>
          <w:p w14:paraId="0A2C6A6B">
            <w:pPr>
              <w:jc w:val="center"/>
              <w:rPr>
                <w:b/>
                <w:color w:val="auto"/>
                <w:szCs w:val="21"/>
                <w:highlight w:val="green"/>
              </w:rPr>
            </w:pPr>
          </w:p>
        </w:tc>
        <w:tc>
          <w:tcPr>
            <w:tcW w:w="834" w:type="dxa"/>
            <w:vAlign w:val="center"/>
          </w:tcPr>
          <w:p w14:paraId="0CA28373">
            <w:pPr>
              <w:jc w:val="center"/>
              <w:rPr>
                <w:color w:val="auto"/>
                <w:szCs w:val="21"/>
                <w:highlight w:val="green"/>
              </w:rPr>
            </w:pPr>
            <w:r>
              <w:rPr>
                <w:rFonts w:hint="eastAsia"/>
                <w:color w:val="auto"/>
                <w:szCs w:val="21"/>
                <w:highlight w:val="green"/>
                <w:lang w:val="en-US" w:eastAsia="zh-CN"/>
              </w:rPr>
              <w:t>41.7</w:t>
            </w:r>
          </w:p>
        </w:tc>
        <w:tc>
          <w:tcPr>
            <w:tcW w:w="834" w:type="dxa"/>
            <w:vAlign w:val="center"/>
          </w:tcPr>
          <w:p w14:paraId="16112A7B">
            <w:pPr>
              <w:jc w:val="center"/>
              <w:rPr>
                <w:color w:val="auto"/>
                <w:szCs w:val="21"/>
                <w:highlight w:val="green"/>
              </w:rPr>
            </w:pPr>
            <w:r>
              <w:rPr>
                <w:rFonts w:hint="eastAsia"/>
                <w:color w:val="auto"/>
                <w:szCs w:val="21"/>
                <w:highlight w:val="green"/>
                <w:lang w:val="en-US" w:eastAsia="zh-CN"/>
              </w:rPr>
              <w:t>38.8</w:t>
            </w:r>
          </w:p>
        </w:tc>
        <w:tc>
          <w:tcPr>
            <w:tcW w:w="834" w:type="dxa"/>
            <w:vAlign w:val="center"/>
          </w:tcPr>
          <w:p w14:paraId="71645F77">
            <w:pPr>
              <w:jc w:val="center"/>
              <w:rPr>
                <w:color w:val="auto"/>
                <w:szCs w:val="21"/>
                <w:highlight w:val="green"/>
              </w:rPr>
            </w:pPr>
            <w:r>
              <w:rPr>
                <w:rFonts w:hint="eastAsia"/>
                <w:color w:val="auto"/>
                <w:szCs w:val="21"/>
                <w:highlight w:val="green"/>
                <w:lang w:val="en-US" w:eastAsia="zh-CN"/>
              </w:rPr>
              <w:t>35.1</w:t>
            </w:r>
          </w:p>
        </w:tc>
        <w:tc>
          <w:tcPr>
            <w:tcW w:w="841" w:type="dxa"/>
            <w:vAlign w:val="center"/>
          </w:tcPr>
          <w:p w14:paraId="02555F74">
            <w:pPr>
              <w:jc w:val="center"/>
              <w:rPr>
                <w:color w:val="auto"/>
                <w:szCs w:val="21"/>
                <w:highlight w:val="green"/>
              </w:rPr>
            </w:pPr>
            <w:r>
              <w:rPr>
                <w:rFonts w:hint="eastAsia"/>
                <w:color w:val="auto"/>
                <w:szCs w:val="21"/>
                <w:highlight w:val="green"/>
                <w:lang w:val="en-US" w:eastAsia="zh-CN"/>
              </w:rPr>
              <w:t>39</w:t>
            </w:r>
          </w:p>
        </w:tc>
        <w:tc>
          <w:tcPr>
            <w:tcW w:w="837" w:type="dxa"/>
            <w:vAlign w:val="center"/>
          </w:tcPr>
          <w:p w14:paraId="58188A03">
            <w:pPr>
              <w:jc w:val="center"/>
              <w:rPr>
                <w:color w:val="auto"/>
                <w:szCs w:val="21"/>
                <w:highlight w:val="green"/>
              </w:rPr>
            </w:pPr>
            <w:r>
              <w:rPr>
                <w:rFonts w:hint="eastAsia"/>
                <w:color w:val="auto"/>
                <w:szCs w:val="21"/>
                <w:highlight w:val="green"/>
                <w:lang w:val="en-US" w:eastAsia="zh-CN"/>
              </w:rPr>
              <w:t>2.9</w:t>
            </w:r>
          </w:p>
        </w:tc>
        <w:tc>
          <w:tcPr>
            <w:tcW w:w="2181" w:type="dxa"/>
            <w:tcBorders>
              <w:right w:val="nil"/>
            </w:tcBorders>
            <w:vAlign w:val="center"/>
          </w:tcPr>
          <w:p w14:paraId="196331D3">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月27日（夜间）</w:t>
            </w:r>
          </w:p>
        </w:tc>
      </w:tr>
      <w:tr w14:paraId="133A4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restart"/>
            <w:tcBorders>
              <w:left w:val="nil"/>
            </w:tcBorders>
            <w:vAlign w:val="center"/>
          </w:tcPr>
          <w:p w14:paraId="311B70E7">
            <w:pPr>
              <w:jc w:val="center"/>
              <w:rPr>
                <w:b/>
                <w:color w:val="auto"/>
                <w:szCs w:val="21"/>
                <w:highlight w:val="green"/>
              </w:rPr>
            </w:pPr>
            <w:r>
              <w:rPr>
                <w:b/>
                <w:color w:val="auto"/>
                <w:szCs w:val="21"/>
                <w:highlight w:val="green"/>
              </w:rPr>
              <w:t>南厂界</w:t>
            </w:r>
          </w:p>
        </w:tc>
        <w:tc>
          <w:tcPr>
            <w:tcW w:w="834" w:type="dxa"/>
            <w:vAlign w:val="center"/>
          </w:tcPr>
          <w:p w14:paraId="6E448B31">
            <w:pPr>
              <w:jc w:val="center"/>
              <w:rPr>
                <w:color w:val="auto"/>
                <w:szCs w:val="21"/>
                <w:highlight w:val="green"/>
              </w:rPr>
            </w:pPr>
            <w:r>
              <w:rPr>
                <w:rFonts w:hint="eastAsia"/>
                <w:color w:val="auto"/>
                <w:szCs w:val="21"/>
                <w:highlight w:val="green"/>
                <w:lang w:val="en-US" w:eastAsia="zh-CN"/>
              </w:rPr>
              <w:t>47.7</w:t>
            </w:r>
          </w:p>
        </w:tc>
        <w:tc>
          <w:tcPr>
            <w:tcW w:w="834" w:type="dxa"/>
            <w:vAlign w:val="center"/>
          </w:tcPr>
          <w:p w14:paraId="7416868D">
            <w:pPr>
              <w:jc w:val="center"/>
              <w:rPr>
                <w:color w:val="auto"/>
                <w:szCs w:val="21"/>
                <w:highlight w:val="green"/>
              </w:rPr>
            </w:pPr>
            <w:r>
              <w:rPr>
                <w:rFonts w:hint="eastAsia"/>
                <w:color w:val="auto"/>
                <w:szCs w:val="21"/>
                <w:highlight w:val="green"/>
                <w:lang w:val="en-US" w:eastAsia="zh-CN"/>
              </w:rPr>
              <w:t>45.4</w:t>
            </w:r>
          </w:p>
        </w:tc>
        <w:tc>
          <w:tcPr>
            <w:tcW w:w="834" w:type="dxa"/>
            <w:vAlign w:val="center"/>
          </w:tcPr>
          <w:p w14:paraId="7D97F9F1">
            <w:pPr>
              <w:jc w:val="center"/>
              <w:rPr>
                <w:color w:val="auto"/>
                <w:szCs w:val="21"/>
                <w:highlight w:val="green"/>
              </w:rPr>
            </w:pPr>
            <w:r>
              <w:rPr>
                <w:rFonts w:hint="eastAsia"/>
                <w:color w:val="auto"/>
                <w:szCs w:val="21"/>
                <w:highlight w:val="green"/>
                <w:lang w:val="en-US" w:eastAsia="zh-CN"/>
              </w:rPr>
              <w:t>42.9</w:t>
            </w:r>
          </w:p>
        </w:tc>
        <w:tc>
          <w:tcPr>
            <w:tcW w:w="841" w:type="dxa"/>
            <w:vAlign w:val="center"/>
          </w:tcPr>
          <w:p w14:paraId="279AADDF">
            <w:pPr>
              <w:jc w:val="center"/>
              <w:rPr>
                <w:color w:val="auto"/>
                <w:szCs w:val="21"/>
                <w:highlight w:val="green"/>
              </w:rPr>
            </w:pPr>
            <w:r>
              <w:rPr>
                <w:rFonts w:hint="eastAsia"/>
                <w:color w:val="auto"/>
                <w:szCs w:val="21"/>
                <w:highlight w:val="green"/>
                <w:lang w:val="en-US" w:eastAsia="zh-CN"/>
              </w:rPr>
              <w:t>46</w:t>
            </w:r>
          </w:p>
        </w:tc>
        <w:tc>
          <w:tcPr>
            <w:tcW w:w="837" w:type="dxa"/>
            <w:vAlign w:val="center"/>
          </w:tcPr>
          <w:p w14:paraId="0299E623">
            <w:pPr>
              <w:jc w:val="center"/>
              <w:rPr>
                <w:color w:val="auto"/>
                <w:szCs w:val="21"/>
                <w:highlight w:val="green"/>
              </w:rPr>
            </w:pPr>
            <w:r>
              <w:rPr>
                <w:rFonts w:hint="eastAsia"/>
                <w:color w:val="auto"/>
                <w:szCs w:val="21"/>
                <w:highlight w:val="green"/>
                <w:lang w:val="en-US" w:eastAsia="zh-CN"/>
              </w:rPr>
              <w:t>2.4</w:t>
            </w:r>
          </w:p>
        </w:tc>
        <w:tc>
          <w:tcPr>
            <w:tcW w:w="2181" w:type="dxa"/>
            <w:tcBorders>
              <w:right w:val="nil"/>
            </w:tcBorders>
            <w:vAlign w:val="center"/>
          </w:tcPr>
          <w:p w14:paraId="10842D8C">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月26日（昼间）</w:t>
            </w:r>
          </w:p>
        </w:tc>
      </w:tr>
      <w:tr w14:paraId="4E360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continue"/>
            <w:tcBorders>
              <w:left w:val="nil"/>
            </w:tcBorders>
            <w:vAlign w:val="center"/>
          </w:tcPr>
          <w:p w14:paraId="222F53D5">
            <w:pPr>
              <w:jc w:val="center"/>
              <w:rPr>
                <w:b/>
                <w:color w:val="auto"/>
                <w:szCs w:val="21"/>
                <w:highlight w:val="green"/>
              </w:rPr>
            </w:pPr>
          </w:p>
        </w:tc>
        <w:tc>
          <w:tcPr>
            <w:tcW w:w="834" w:type="dxa"/>
            <w:vAlign w:val="center"/>
          </w:tcPr>
          <w:p w14:paraId="76ED308F">
            <w:pPr>
              <w:jc w:val="center"/>
              <w:rPr>
                <w:color w:val="auto"/>
                <w:szCs w:val="21"/>
                <w:highlight w:val="green"/>
              </w:rPr>
            </w:pPr>
            <w:r>
              <w:rPr>
                <w:rFonts w:hint="eastAsia"/>
                <w:color w:val="auto"/>
                <w:szCs w:val="21"/>
                <w:highlight w:val="green"/>
                <w:lang w:val="en-US" w:eastAsia="zh-CN"/>
              </w:rPr>
              <w:t>41.7</w:t>
            </w:r>
          </w:p>
        </w:tc>
        <w:tc>
          <w:tcPr>
            <w:tcW w:w="834" w:type="dxa"/>
            <w:vAlign w:val="center"/>
          </w:tcPr>
          <w:p w14:paraId="01554756">
            <w:pPr>
              <w:jc w:val="center"/>
              <w:rPr>
                <w:color w:val="auto"/>
                <w:szCs w:val="21"/>
                <w:highlight w:val="green"/>
              </w:rPr>
            </w:pPr>
            <w:r>
              <w:rPr>
                <w:rFonts w:hint="eastAsia"/>
                <w:color w:val="auto"/>
                <w:szCs w:val="21"/>
                <w:highlight w:val="green"/>
                <w:lang w:val="en-US" w:eastAsia="zh-CN"/>
              </w:rPr>
              <w:t>38.5</w:t>
            </w:r>
          </w:p>
        </w:tc>
        <w:tc>
          <w:tcPr>
            <w:tcW w:w="834" w:type="dxa"/>
            <w:vAlign w:val="center"/>
          </w:tcPr>
          <w:p w14:paraId="2B12517B">
            <w:pPr>
              <w:jc w:val="center"/>
              <w:rPr>
                <w:color w:val="auto"/>
                <w:szCs w:val="21"/>
                <w:highlight w:val="green"/>
              </w:rPr>
            </w:pPr>
            <w:r>
              <w:rPr>
                <w:rFonts w:hint="eastAsia"/>
                <w:color w:val="auto"/>
                <w:szCs w:val="21"/>
                <w:highlight w:val="green"/>
                <w:lang w:val="en-US" w:eastAsia="zh-CN"/>
              </w:rPr>
              <w:t>35.2</w:t>
            </w:r>
          </w:p>
        </w:tc>
        <w:tc>
          <w:tcPr>
            <w:tcW w:w="841" w:type="dxa"/>
            <w:vAlign w:val="center"/>
          </w:tcPr>
          <w:p w14:paraId="64E06BC7">
            <w:pPr>
              <w:jc w:val="center"/>
              <w:rPr>
                <w:color w:val="auto"/>
                <w:szCs w:val="21"/>
                <w:highlight w:val="green"/>
              </w:rPr>
            </w:pPr>
            <w:r>
              <w:rPr>
                <w:rFonts w:hint="eastAsia"/>
                <w:color w:val="auto"/>
                <w:szCs w:val="21"/>
                <w:highlight w:val="green"/>
                <w:lang w:val="en-US" w:eastAsia="zh-CN"/>
              </w:rPr>
              <w:t>39</w:t>
            </w:r>
          </w:p>
        </w:tc>
        <w:tc>
          <w:tcPr>
            <w:tcW w:w="837" w:type="dxa"/>
            <w:vAlign w:val="center"/>
          </w:tcPr>
          <w:p w14:paraId="0DC24966">
            <w:pPr>
              <w:jc w:val="center"/>
              <w:rPr>
                <w:color w:val="auto"/>
                <w:szCs w:val="21"/>
                <w:highlight w:val="green"/>
              </w:rPr>
            </w:pPr>
            <w:r>
              <w:rPr>
                <w:rFonts w:hint="eastAsia"/>
                <w:color w:val="auto"/>
                <w:szCs w:val="21"/>
                <w:highlight w:val="green"/>
                <w:lang w:val="en-US" w:eastAsia="zh-CN"/>
              </w:rPr>
              <w:t>2.8</w:t>
            </w:r>
          </w:p>
        </w:tc>
        <w:tc>
          <w:tcPr>
            <w:tcW w:w="2181" w:type="dxa"/>
            <w:tcBorders>
              <w:right w:val="nil"/>
            </w:tcBorders>
            <w:vAlign w:val="center"/>
          </w:tcPr>
          <w:p w14:paraId="2CEC90B3">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月26日（夜间）</w:t>
            </w:r>
          </w:p>
        </w:tc>
      </w:tr>
      <w:tr w14:paraId="00DB2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continue"/>
            <w:tcBorders>
              <w:left w:val="nil"/>
            </w:tcBorders>
            <w:vAlign w:val="center"/>
          </w:tcPr>
          <w:p w14:paraId="63AD86B9">
            <w:pPr>
              <w:jc w:val="center"/>
              <w:rPr>
                <w:b/>
                <w:color w:val="auto"/>
                <w:szCs w:val="21"/>
                <w:highlight w:val="green"/>
              </w:rPr>
            </w:pPr>
          </w:p>
        </w:tc>
        <w:tc>
          <w:tcPr>
            <w:tcW w:w="834" w:type="dxa"/>
            <w:vAlign w:val="center"/>
          </w:tcPr>
          <w:p w14:paraId="0E43961C">
            <w:pPr>
              <w:jc w:val="center"/>
              <w:rPr>
                <w:color w:val="auto"/>
                <w:szCs w:val="21"/>
                <w:highlight w:val="green"/>
              </w:rPr>
            </w:pPr>
            <w:r>
              <w:rPr>
                <w:rFonts w:hint="eastAsia"/>
                <w:color w:val="auto"/>
                <w:szCs w:val="21"/>
                <w:highlight w:val="green"/>
                <w:lang w:val="en-US" w:eastAsia="zh-CN"/>
              </w:rPr>
              <w:t>48.8</w:t>
            </w:r>
          </w:p>
        </w:tc>
        <w:tc>
          <w:tcPr>
            <w:tcW w:w="834" w:type="dxa"/>
            <w:vAlign w:val="center"/>
          </w:tcPr>
          <w:p w14:paraId="2FE60344">
            <w:pPr>
              <w:jc w:val="center"/>
              <w:rPr>
                <w:color w:val="auto"/>
                <w:szCs w:val="21"/>
                <w:highlight w:val="green"/>
              </w:rPr>
            </w:pPr>
            <w:r>
              <w:rPr>
                <w:rFonts w:hint="eastAsia"/>
                <w:color w:val="auto"/>
                <w:szCs w:val="21"/>
                <w:highlight w:val="green"/>
                <w:lang w:val="en-US" w:eastAsia="zh-CN"/>
              </w:rPr>
              <w:t>45.5</w:t>
            </w:r>
          </w:p>
        </w:tc>
        <w:tc>
          <w:tcPr>
            <w:tcW w:w="834" w:type="dxa"/>
            <w:vAlign w:val="center"/>
          </w:tcPr>
          <w:p w14:paraId="74FE0FDF">
            <w:pPr>
              <w:jc w:val="center"/>
              <w:rPr>
                <w:color w:val="auto"/>
                <w:szCs w:val="21"/>
                <w:highlight w:val="green"/>
              </w:rPr>
            </w:pPr>
            <w:r>
              <w:rPr>
                <w:rFonts w:hint="eastAsia"/>
                <w:color w:val="auto"/>
                <w:szCs w:val="21"/>
                <w:highlight w:val="green"/>
                <w:lang w:val="en-US" w:eastAsia="zh-CN"/>
              </w:rPr>
              <w:t>39.4</w:t>
            </w:r>
          </w:p>
        </w:tc>
        <w:tc>
          <w:tcPr>
            <w:tcW w:w="841" w:type="dxa"/>
            <w:vAlign w:val="center"/>
          </w:tcPr>
          <w:p w14:paraId="4D5351C8">
            <w:pPr>
              <w:jc w:val="center"/>
              <w:rPr>
                <w:color w:val="auto"/>
                <w:szCs w:val="21"/>
                <w:highlight w:val="green"/>
              </w:rPr>
            </w:pPr>
            <w:r>
              <w:rPr>
                <w:rFonts w:hint="eastAsia"/>
                <w:color w:val="auto"/>
                <w:szCs w:val="21"/>
                <w:highlight w:val="green"/>
                <w:lang w:val="en-US" w:eastAsia="zh-CN"/>
              </w:rPr>
              <w:t>46</w:t>
            </w:r>
          </w:p>
        </w:tc>
        <w:tc>
          <w:tcPr>
            <w:tcW w:w="837" w:type="dxa"/>
            <w:vAlign w:val="center"/>
          </w:tcPr>
          <w:p w14:paraId="3370C8CE">
            <w:pPr>
              <w:jc w:val="center"/>
              <w:rPr>
                <w:color w:val="auto"/>
                <w:szCs w:val="21"/>
                <w:highlight w:val="green"/>
              </w:rPr>
            </w:pPr>
            <w:r>
              <w:rPr>
                <w:rFonts w:hint="eastAsia"/>
                <w:color w:val="auto"/>
                <w:szCs w:val="21"/>
                <w:highlight w:val="green"/>
                <w:lang w:val="en-US" w:eastAsia="zh-CN"/>
              </w:rPr>
              <w:t>3.7</w:t>
            </w:r>
          </w:p>
        </w:tc>
        <w:tc>
          <w:tcPr>
            <w:tcW w:w="2181" w:type="dxa"/>
            <w:tcBorders>
              <w:right w:val="nil"/>
            </w:tcBorders>
            <w:vAlign w:val="center"/>
          </w:tcPr>
          <w:p w14:paraId="6D5ED036">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月27日（昼间）</w:t>
            </w:r>
          </w:p>
        </w:tc>
      </w:tr>
      <w:tr w14:paraId="2BBA1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continue"/>
            <w:tcBorders>
              <w:left w:val="nil"/>
            </w:tcBorders>
            <w:vAlign w:val="center"/>
          </w:tcPr>
          <w:p w14:paraId="4C2A0E5C">
            <w:pPr>
              <w:jc w:val="center"/>
              <w:rPr>
                <w:b/>
                <w:color w:val="auto"/>
                <w:szCs w:val="21"/>
                <w:highlight w:val="green"/>
              </w:rPr>
            </w:pPr>
          </w:p>
        </w:tc>
        <w:tc>
          <w:tcPr>
            <w:tcW w:w="834" w:type="dxa"/>
            <w:vAlign w:val="center"/>
          </w:tcPr>
          <w:p w14:paraId="6A23240D">
            <w:pPr>
              <w:jc w:val="center"/>
              <w:rPr>
                <w:color w:val="auto"/>
                <w:szCs w:val="21"/>
                <w:highlight w:val="green"/>
              </w:rPr>
            </w:pPr>
            <w:r>
              <w:rPr>
                <w:rFonts w:hint="eastAsia"/>
                <w:color w:val="auto"/>
                <w:szCs w:val="21"/>
                <w:highlight w:val="green"/>
                <w:lang w:val="en-US" w:eastAsia="zh-CN"/>
              </w:rPr>
              <w:t>42.6</w:t>
            </w:r>
          </w:p>
        </w:tc>
        <w:tc>
          <w:tcPr>
            <w:tcW w:w="834" w:type="dxa"/>
            <w:vAlign w:val="center"/>
          </w:tcPr>
          <w:p w14:paraId="42A6E67A">
            <w:pPr>
              <w:jc w:val="center"/>
              <w:rPr>
                <w:color w:val="auto"/>
                <w:szCs w:val="21"/>
                <w:highlight w:val="green"/>
              </w:rPr>
            </w:pPr>
            <w:r>
              <w:rPr>
                <w:rFonts w:hint="eastAsia"/>
                <w:color w:val="auto"/>
                <w:szCs w:val="21"/>
                <w:highlight w:val="green"/>
                <w:lang w:val="en-US" w:eastAsia="zh-CN"/>
              </w:rPr>
              <w:t>38.5</w:t>
            </w:r>
          </w:p>
        </w:tc>
        <w:tc>
          <w:tcPr>
            <w:tcW w:w="834" w:type="dxa"/>
            <w:vAlign w:val="center"/>
          </w:tcPr>
          <w:p w14:paraId="17FF8648">
            <w:pPr>
              <w:jc w:val="center"/>
              <w:rPr>
                <w:color w:val="auto"/>
                <w:szCs w:val="21"/>
                <w:highlight w:val="green"/>
              </w:rPr>
            </w:pPr>
            <w:r>
              <w:rPr>
                <w:rFonts w:hint="eastAsia"/>
                <w:color w:val="auto"/>
                <w:szCs w:val="21"/>
                <w:highlight w:val="green"/>
                <w:lang w:val="en-US" w:eastAsia="zh-CN"/>
              </w:rPr>
              <w:t>33.7</w:t>
            </w:r>
          </w:p>
        </w:tc>
        <w:tc>
          <w:tcPr>
            <w:tcW w:w="841" w:type="dxa"/>
            <w:vAlign w:val="center"/>
          </w:tcPr>
          <w:p w14:paraId="0FAAD6B8">
            <w:pPr>
              <w:jc w:val="center"/>
              <w:rPr>
                <w:color w:val="auto"/>
                <w:szCs w:val="21"/>
                <w:highlight w:val="green"/>
              </w:rPr>
            </w:pPr>
            <w:r>
              <w:rPr>
                <w:rFonts w:hint="eastAsia"/>
                <w:color w:val="auto"/>
                <w:szCs w:val="21"/>
                <w:highlight w:val="green"/>
                <w:lang w:val="en-US" w:eastAsia="zh-CN"/>
              </w:rPr>
              <w:t>40</w:t>
            </w:r>
          </w:p>
        </w:tc>
        <w:tc>
          <w:tcPr>
            <w:tcW w:w="837" w:type="dxa"/>
            <w:vAlign w:val="center"/>
          </w:tcPr>
          <w:p w14:paraId="5732DA46">
            <w:pPr>
              <w:jc w:val="center"/>
              <w:rPr>
                <w:color w:val="auto"/>
                <w:szCs w:val="21"/>
                <w:highlight w:val="green"/>
              </w:rPr>
            </w:pPr>
            <w:r>
              <w:rPr>
                <w:rFonts w:hint="eastAsia"/>
                <w:color w:val="auto"/>
                <w:szCs w:val="21"/>
                <w:highlight w:val="green"/>
                <w:lang w:val="en-US" w:eastAsia="zh-CN"/>
              </w:rPr>
              <w:t>3.5</w:t>
            </w:r>
          </w:p>
        </w:tc>
        <w:tc>
          <w:tcPr>
            <w:tcW w:w="2181" w:type="dxa"/>
            <w:tcBorders>
              <w:right w:val="nil"/>
            </w:tcBorders>
            <w:vAlign w:val="center"/>
          </w:tcPr>
          <w:p w14:paraId="480B6693">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月27日（夜间）</w:t>
            </w:r>
          </w:p>
        </w:tc>
      </w:tr>
      <w:tr w14:paraId="2DCDE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restart"/>
            <w:tcBorders>
              <w:left w:val="nil"/>
            </w:tcBorders>
            <w:vAlign w:val="center"/>
          </w:tcPr>
          <w:p w14:paraId="4B4491DB">
            <w:pPr>
              <w:jc w:val="center"/>
              <w:rPr>
                <w:b/>
                <w:color w:val="auto"/>
                <w:szCs w:val="21"/>
                <w:highlight w:val="green"/>
              </w:rPr>
            </w:pPr>
            <w:r>
              <w:rPr>
                <w:b/>
                <w:color w:val="auto"/>
                <w:szCs w:val="21"/>
                <w:highlight w:val="green"/>
              </w:rPr>
              <w:t>西厂界</w:t>
            </w:r>
          </w:p>
        </w:tc>
        <w:tc>
          <w:tcPr>
            <w:tcW w:w="834" w:type="dxa"/>
            <w:vAlign w:val="center"/>
          </w:tcPr>
          <w:p w14:paraId="0B61F0D7">
            <w:pPr>
              <w:jc w:val="center"/>
              <w:rPr>
                <w:color w:val="auto"/>
                <w:szCs w:val="21"/>
                <w:highlight w:val="green"/>
              </w:rPr>
            </w:pPr>
            <w:r>
              <w:rPr>
                <w:rFonts w:hint="eastAsia"/>
                <w:color w:val="auto"/>
                <w:szCs w:val="21"/>
                <w:highlight w:val="green"/>
                <w:lang w:val="en-US" w:eastAsia="zh-CN"/>
              </w:rPr>
              <w:t>49.0</w:t>
            </w:r>
          </w:p>
        </w:tc>
        <w:tc>
          <w:tcPr>
            <w:tcW w:w="834" w:type="dxa"/>
            <w:vAlign w:val="center"/>
          </w:tcPr>
          <w:p w14:paraId="545B7036">
            <w:pPr>
              <w:jc w:val="center"/>
              <w:rPr>
                <w:color w:val="auto"/>
                <w:szCs w:val="21"/>
                <w:highlight w:val="green"/>
              </w:rPr>
            </w:pPr>
            <w:r>
              <w:rPr>
                <w:rFonts w:hint="eastAsia"/>
                <w:color w:val="auto"/>
                <w:szCs w:val="21"/>
                <w:highlight w:val="green"/>
                <w:lang w:val="en-US" w:eastAsia="zh-CN"/>
              </w:rPr>
              <w:t>45.1</w:t>
            </w:r>
          </w:p>
        </w:tc>
        <w:tc>
          <w:tcPr>
            <w:tcW w:w="834" w:type="dxa"/>
            <w:vAlign w:val="center"/>
          </w:tcPr>
          <w:p w14:paraId="64CB63D9">
            <w:pPr>
              <w:jc w:val="center"/>
              <w:rPr>
                <w:color w:val="auto"/>
                <w:szCs w:val="21"/>
                <w:highlight w:val="green"/>
              </w:rPr>
            </w:pPr>
            <w:r>
              <w:rPr>
                <w:rFonts w:hint="eastAsia"/>
                <w:color w:val="auto"/>
                <w:szCs w:val="21"/>
                <w:highlight w:val="green"/>
                <w:lang w:val="en-US" w:eastAsia="zh-CN"/>
              </w:rPr>
              <w:t>41.9</w:t>
            </w:r>
          </w:p>
        </w:tc>
        <w:tc>
          <w:tcPr>
            <w:tcW w:w="841" w:type="dxa"/>
            <w:vAlign w:val="center"/>
          </w:tcPr>
          <w:p w14:paraId="5948496D">
            <w:pPr>
              <w:jc w:val="center"/>
              <w:rPr>
                <w:color w:val="auto"/>
                <w:szCs w:val="21"/>
                <w:highlight w:val="green"/>
              </w:rPr>
            </w:pPr>
            <w:r>
              <w:rPr>
                <w:rFonts w:hint="eastAsia"/>
                <w:color w:val="auto"/>
                <w:szCs w:val="21"/>
                <w:highlight w:val="green"/>
                <w:lang w:val="en-US" w:eastAsia="zh-CN"/>
              </w:rPr>
              <w:t>46</w:t>
            </w:r>
          </w:p>
        </w:tc>
        <w:tc>
          <w:tcPr>
            <w:tcW w:w="837" w:type="dxa"/>
            <w:vAlign w:val="center"/>
          </w:tcPr>
          <w:p w14:paraId="0E43F0EA">
            <w:pPr>
              <w:jc w:val="center"/>
              <w:rPr>
                <w:color w:val="auto"/>
                <w:szCs w:val="21"/>
                <w:highlight w:val="green"/>
              </w:rPr>
            </w:pPr>
            <w:r>
              <w:rPr>
                <w:rFonts w:hint="eastAsia"/>
                <w:color w:val="auto"/>
                <w:szCs w:val="21"/>
                <w:highlight w:val="green"/>
                <w:lang w:val="en-US" w:eastAsia="zh-CN"/>
              </w:rPr>
              <w:t>3.9</w:t>
            </w:r>
          </w:p>
        </w:tc>
        <w:tc>
          <w:tcPr>
            <w:tcW w:w="2181" w:type="dxa"/>
            <w:tcBorders>
              <w:right w:val="nil"/>
            </w:tcBorders>
            <w:vAlign w:val="center"/>
          </w:tcPr>
          <w:p w14:paraId="2D71A22A">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月26日（昼间）</w:t>
            </w:r>
          </w:p>
        </w:tc>
      </w:tr>
      <w:tr w14:paraId="4238D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continue"/>
            <w:tcBorders>
              <w:left w:val="nil"/>
            </w:tcBorders>
            <w:vAlign w:val="center"/>
          </w:tcPr>
          <w:p w14:paraId="0E4E28EE">
            <w:pPr>
              <w:jc w:val="center"/>
              <w:rPr>
                <w:b/>
                <w:color w:val="auto"/>
                <w:szCs w:val="21"/>
                <w:highlight w:val="green"/>
              </w:rPr>
            </w:pPr>
          </w:p>
        </w:tc>
        <w:tc>
          <w:tcPr>
            <w:tcW w:w="834" w:type="dxa"/>
            <w:vAlign w:val="center"/>
          </w:tcPr>
          <w:p w14:paraId="5658FC68">
            <w:pPr>
              <w:jc w:val="center"/>
              <w:rPr>
                <w:color w:val="auto"/>
                <w:szCs w:val="21"/>
                <w:highlight w:val="green"/>
              </w:rPr>
            </w:pPr>
            <w:r>
              <w:rPr>
                <w:rFonts w:hint="eastAsia"/>
                <w:color w:val="auto"/>
                <w:szCs w:val="21"/>
                <w:highlight w:val="green"/>
                <w:lang w:val="en-US" w:eastAsia="zh-CN"/>
              </w:rPr>
              <w:t>41.0</w:t>
            </w:r>
          </w:p>
        </w:tc>
        <w:tc>
          <w:tcPr>
            <w:tcW w:w="834" w:type="dxa"/>
            <w:vAlign w:val="center"/>
          </w:tcPr>
          <w:p w14:paraId="6232DDF9">
            <w:pPr>
              <w:jc w:val="center"/>
              <w:rPr>
                <w:color w:val="auto"/>
                <w:szCs w:val="21"/>
                <w:highlight w:val="green"/>
              </w:rPr>
            </w:pPr>
            <w:r>
              <w:rPr>
                <w:rFonts w:hint="eastAsia"/>
                <w:color w:val="auto"/>
                <w:szCs w:val="21"/>
                <w:highlight w:val="green"/>
                <w:lang w:val="en-US" w:eastAsia="zh-CN"/>
              </w:rPr>
              <w:t>38.0</w:t>
            </w:r>
          </w:p>
        </w:tc>
        <w:tc>
          <w:tcPr>
            <w:tcW w:w="834" w:type="dxa"/>
            <w:vAlign w:val="center"/>
          </w:tcPr>
          <w:p w14:paraId="75AAF6F5">
            <w:pPr>
              <w:jc w:val="center"/>
              <w:rPr>
                <w:color w:val="auto"/>
                <w:szCs w:val="21"/>
                <w:highlight w:val="green"/>
              </w:rPr>
            </w:pPr>
            <w:r>
              <w:rPr>
                <w:rFonts w:hint="eastAsia"/>
                <w:color w:val="auto"/>
                <w:szCs w:val="21"/>
                <w:highlight w:val="green"/>
                <w:lang w:val="en-US" w:eastAsia="zh-CN"/>
              </w:rPr>
              <w:t>34.5</w:t>
            </w:r>
          </w:p>
        </w:tc>
        <w:tc>
          <w:tcPr>
            <w:tcW w:w="841" w:type="dxa"/>
            <w:vAlign w:val="center"/>
          </w:tcPr>
          <w:p w14:paraId="7F1B6198">
            <w:pPr>
              <w:jc w:val="center"/>
              <w:rPr>
                <w:color w:val="auto"/>
                <w:szCs w:val="21"/>
                <w:highlight w:val="green"/>
              </w:rPr>
            </w:pPr>
            <w:r>
              <w:rPr>
                <w:rFonts w:hint="eastAsia"/>
                <w:color w:val="auto"/>
                <w:szCs w:val="21"/>
                <w:highlight w:val="green"/>
                <w:lang w:val="en-US" w:eastAsia="zh-CN"/>
              </w:rPr>
              <w:t>39</w:t>
            </w:r>
          </w:p>
        </w:tc>
        <w:tc>
          <w:tcPr>
            <w:tcW w:w="837" w:type="dxa"/>
            <w:vAlign w:val="center"/>
          </w:tcPr>
          <w:p w14:paraId="0A2AB15B">
            <w:pPr>
              <w:jc w:val="center"/>
              <w:rPr>
                <w:color w:val="auto"/>
                <w:szCs w:val="21"/>
                <w:highlight w:val="green"/>
              </w:rPr>
            </w:pPr>
            <w:r>
              <w:rPr>
                <w:rFonts w:hint="eastAsia"/>
                <w:color w:val="auto"/>
                <w:szCs w:val="21"/>
                <w:highlight w:val="green"/>
                <w:lang w:val="en-US" w:eastAsia="zh-CN"/>
              </w:rPr>
              <w:t>3.2</w:t>
            </w:r>
          </w:p>
        </w:tc>
        <w:tc>
          <w:tcPr>
            <w:tcW w:w="2181" w:type="dxa"/>
            <w:tcBorders>
              <w:right w:val="nil"/>
            </w:tcBorders>
            <w:vAlign w:val="center"/>
          </w:tcPr>
          <w:p w14:paraId="756ECD94">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月26日（夜间）</w:t>
            </w:r>
          </w:p>
        </w:tc>
      </w:tr>
      <w:tr w14:paraId="78B1D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continue"/>
            <w:tcBorders>
              <w:left w:val="nil"/>
            </w:tcBorders>
            <w:vAlign w:val="center"/>
          </w:tcPr>
          <w:p w14:paraId="10474FB0">
            <w:pPr>
              <w:jc w:val="center"/>
              <w:rPr>
                <w:b/>
                <w:color w:val="auto"/>
                <w:szCs w:val="21"/>
                <w:highlight w:val="green"/>
              </w:rPr>
            </w:pPr>
          </w:p>
        </w:tc>
        <w:tc>
          <w:tcPr>
            <w:tcW w:w="834" w:type="dxa"/>
            <w:vAlign w:val="center"/>
          </w:tcPr>
          <w:p w14:paraId="475B939D">
            <w:pPr>
              <w:jc w:val="center"/>
              <w:rPr>
                <w:color w:val="auto"/>
                <w:szCs w:val="21"/>
                <w:highlight w:val="green"/>
              </w:rPr>
            </w:pPr>
            <w:r>
              <w:rPr>
                <w:rFonts w:hint="eastAsia"/>
                <w:color w:val="auto"/>
                <w:szCs w:val="21"/>
                <w:highlight w:val="green"/>
                <w:lang w:val="en-US" w:eastAsia="zh-CN"/>
              </w:rPr>
              <w:t>47.6</w:t>
            </w:r>
          </w:p>
        </w:tc>
        <w:tc>
          <w:tcPr>
            <w:tcW w:w="834" w:type="dxa"/>
            <w:vAlign w:val="center"/>
          </w:tcPr>
          <w:p w14:paraId="29E04DDA">
            <w:pPr>
              <w:jc w:val="center"/>
              <w:rPr>
                <w:color w:val="auto"/>
                <w:szCs w:val="21"/>
                <w:highlight w:val="green"/>
              </w:rPr>
            </w:pPr>
            <w:r>
              <w:rPr>
                <w:rFonts w:hint="eastAsia"/>
                <w:color w:val="auto"/>
                <w:szCs w:val="21"/>
                <w:highlight w:val="green"/>
                <w:lang w:val="en-US" w:eastAsia="zh-CN"/>
              </w:rPr>
              <w:t>45.1</w:t>
            </w:r>
          </w:p>
        </w:tc>
        <w:tc>
          <w:tcPr>
            <w:tcW w:w="834" w:type="dxa"/>
            <w:vAlign w:val="center"/>
          </w:tcPr>
          <w:p w14:paraId="6B206368">
            <w:pPr>
              <w:jc w:val="center"/>
              <w:rPr>
                <w:color w:val="auto"/>
                <w:szCs w:val="21"/>
                <w:highlight w:val="green"/>
              </w:rPr>
            </w:pPr>
            <w:r>
              <w:rPr>
                <w:rFonts w:hint="eastAsia"/>
                <w:color w:val="auto"/>
                <w:szCs w:val="21"/>
                <w:highlight w:val="green"/>
                <w:lang w:val="en-US" w:eastAsia="zh-CN"/>
              </w:rPr>
              <w:t>41.7</w:t>
            </w:r>
          </w:p>
        </w:tc>
        <w:tc>
          <w:tcPr>
            <w:tcW w:w="841" w:type="dxa"/>
            <w:vAlign w:val="center"/>
          </w:tcPr>
          <w:p w14:paraId="08BE8C5F">
            <w:pPr>
              <w:jc w:val="center"/>
              <w:rPr>
                <w:color w:val="auto"/>
                <w:szCs w:val="21"/>
                <w:highlight w:val="green"/>
              </w:rPr>
            </w:pPr>
            <w:r>
              <w:rPr>
                <w:rFonts w:hint="eastAsia"/>
                <w:color w:val="auto"/>
                <w:szCs w:val="21"/>
                <w:highlight w:val="green"/>
                <w:lang w:val="en-US" w:eastAsia="zh-CN"/>
              </w:rPr>
              <w:t>45</w:t>
            </w:r>
          </w:p>
        </w:tc>
        <w:tc>
          <w:tcPr>
            <w:tcW w:w="837" w:type="dxa"/>
            <w:vAlign w:val="center"/>
          </w:tcPr>
          <w:p w14:paraId="31E27133">
            <w:pPr>
              <w:jc w:val="center"/>
              <w:rPr>
                <w:color w:val="auto"/>
                <w:szCs w:val="21"/>
                <w:highlight w:val="green"/>
              </w:rPr>
            </w:pPr>
            <w:r>
              <w:rPr>
                <w:rFonts w:hint="eastAsia"/>
                <w:color w:val="auto"/>
                <w:szCs w:val="21"/>
                <w:highlight w:val="green"/>
                <w:lang w:val="en-US" w:eastAsia="zh-CN"/>
              </w:rPr>
              <w:t>2.9</w:t>
            </w:r>
          </w:p>
        </w:tc>
        <w:tc>
          <w:tcPr>
            <w:tcW w:w="2181" w:type="dxa"/>
            <w:tcBorders>
              <w:right w:val="nil"/>
            </w:tcBorders>
            <w:vAlign w:val="center"/>
          </w:tcPr>
          <w:p w14:paraId="27A097EF">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月27日（昼间）</w:t>
            </w:r>
          </w:p>
        </w:tc>
      </w:tr>
      <w:tr w14:paraId="02CB7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continue"/>
            <w:tcBorders>
              <w:left w:val="nil"/>
            </w:tcBorders>
            <w:vAlign w:val="center"/>
          </w:tcPr>
          <w:p w14:paraId="095E15A9">
            <w:pPr>
              <w:jc w:val="center"/>
              <w:rPr>
                <w:b/>
                <w:color w:val="auto"/>
                <w:szCs w:val="21"/>
                <w:highlight w:val="green"/>
              </w:rPr>
            </w:pPr>
          </w:p>
        </w:tc>
        <w:tc>
          <w:tcPr>
            <w:tcW w:w="834" w:type="dxa"/>
            <w:vAlign w:val="center"/>
          </w:tcPr>
          <w:p w14:paraId="0CCE991B">
            <w:pPr>
              <w:jc w:val="center"/>
              <w:rPr>
                <w:color w:val="auto"/>
                <w:szCs w:val="21"/>
                <w:highlight w:val="green"/>
              </w:rPr>
            </w:pPr>
            <w:r>
              <w:rPr>
                <w:rFonts w:hint="eastAsia"/>
                <w:color w:val="auto"/>
                <w:szCs w:val="21"/>
                <w:highlight w:val="green"/>
                <w:lang w:val="en-US" w:eastAsia="zh-CN"/>
              </w:rPr>
              <w:t>42.2</w:t>
            </w:r>
          </w:p>
        </w:tc>
        <w:tc>
          <w:tcPr>
            <w:tcW w:w="834" w:type="dxa"/>
            <w:vAlign w:val="center"/>
          </w:tcPr>
          <w:p w14:paraId="50E0733A">
            <w:pPr>
              <w:jc w:val="center"/>
              <w:rPr>
                <w:color w:val="auto"/>
                <w:szCs w:val="21"/>
                <w:highlight w:val="green"/>
              </w:rPr>
            </w:pPr>
            <w:r>
              <w:rPr>
                <w:rFonts w:hint="eastAsia"/>
                <w:color w:val="auto"/>
                <w:szCs w:val="21"/>
                <w:highlight w:val="green"/>
                <w:lang w:val="en-US" w:eastAsia="zh-CN"/>
              </w:rPr>
              <w:t>36.8</w:t>
            </w:r>
          </w:p>
        </w:tc>
        <w:tc>
          <w:tcPr>
            <w:tcW w:w="834" w:type="dxa"/>
            <w:vAlign w:val="center"/>
          </w:tcPr>
          <w:p w14:paraId="007186C1">
            <w:pPr>
              <w:jc w:val="center"/>
              <w:rPr>
                <w:color w:val="auto"/>
                <w:szCs w:val="21"/>
                <w:highlight w:val="green"/>
              </w:rPr>
            </w:pPr>
            <w:r>
              <w:rPr>
                <w:rFonts w:hint="eastAsia"/>
                <w:color w:val="auto"/>
                <w:szCs w:val="21"/>
                <w:highlight w:val="green"/>
                <w:lang w:val="en-US" w:eastAsia="zh-CN"/>
              </w:rPr>
              <w:t>32.1</w:t>
            </w:r>
          </w:p>
        </w:tc>
        <w:tc>
          <w:tcPr>
            <w:tcW w:w="841" w:type="dxa"/>
            <w:vAlign w:val="center"/>
          </w:tcPr>
          <w:p w14:paraId="5DB9764B">
            <w:pPr>
              <w:jc w:val="center"/>
              <w:rPr>
                <w:color w:val="auto"/>
                <w:szCs w:val="21"/>
                <w:highlight w:val="green"/>
              </w:rPr>
            </w:pPr>
            <w:r>
              <w:rPr>
                <w:rFonts w:hint="eastAsia"/>
                <w:color w:val="auto"/>
                <w:szCs w:val="21"/>
                <w:highlight w:val="green"/>
                <w:lang w:val="en-US" w:eastAsia="zh-CN"/>
              </w:rPr>
              <w:t>39</w:t>
            </w:r>
          </w:p>
        </w:tc>
        <w:tc>
          <w:tcPr>
            <w:tcW w:w="837" w:type="dxa"/>
            <w:vAlign w:val="center"/>
          </w:tcPr>
          <w:p w14:paraId="5EEBA634">
            <w:pPr>
              <w:jc w:val="center"/>
              <w:rPr>
                <w:color w:val="auto"/>
                <w:szCs w:val="21"/>
                <w:highlight w:val="green"/>
              </w:rPr>
            </w:pPr>
            <w:r>
              <w:rPr>
                <w:rFonts w:hint="eastAsia"/>
                <w:color w:val="auto"/>
                <w:szCs w:val="21"/>
                <w:highlight w:val="green"/>
                <w:lang w:val="en-US" w:eastAsia="zh-CN"/>
              </w:rPr>
              <w:t>3.8</w:t>
            </w:r>
          </w:p>
        </w:tc>
        <w:tc>
          <w:tcPr>
            <w:tcW w:w="2181" w:type="dxa"/>
            <w:tcBorders>
              <w:right w:val="nil"/>
            </w:tcBorders>
            <w:vAlign w:val="center"/>
          </w:tcPr>
          <w:p w14:paraId="1B532016">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月27日（夜间）</w:t>
            </w:r>
          </w:p>
        </w:tc>
      </w:tr>
      <w:tr w14:paraId="36FA4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restart"/>
            <w:tcBorders>
              <w:left w:val="nil"/>
            </w:tcBorders>
            <w:vAlign w:val="center"/>
          </w:tcPr>
          <w:p w14:paraId="5E706694">
            <w:pPr>
              <w:jc w:val="center"/>
              <w:rPr>
                <w:b/>
                <w:color w:val="auto"/>
                <w:szCs w:val="21"/>
                <w:highlight w:val="green"/>
              </w:rPr>
            </w:pPr>
            <w:r>
              <w:rPr>
                <w:b/>
                <w:color w:val="auto"/>
                <w:szCs w:val="21"/>
                <w:highlight w:val="green"/>
              </w:rPr>
              <w:t>北厂界</w:t>
            </w:r>
          </w:p>
        </w:tc>
        <w:tc>
          <w:tcPr>
            <w:tcW w:w="834" w:type="dxa"/>
            <w:vAlign w:val="center"/>
          </w:tcPr>
          <w:p w14:paraId="3F85BDBE">
            <w:pPr>
              <w:jc w:val="center"/>
              <w:rPr>
                <w:color w:val="auto"/>
                <w:szCs w:val="21"/>
                <w:highlight w:val="green"/>
              </w:rPr>
            </w:pPr>
            <w:r>
              <w:rPr>
                <w:rFonts w:hint="eastAsia"/>
                <w:color w:val="auto"/>
                <w:szCs w:val="21"/>
                <w:highlight w:val="green"/>
                <w:lang w:val="en-US" w:eastAsia="zh-CN"/>
              </w:rPr>
              <w:t>49.5</w:t>
            </w:r>
          </w:p>
        </w:tc>
        <w:tc>
          <w:tcPr>
            <w:tcW w:w="834" w:type="dxa"/>
            <w:vAlign w:val="center"/>
          </w:tcPr>
          <w:p w14:paraId="138F7C6F">
            <w:pPr>
              <w:jc w:val="center"/>
              <w:rPr>
                <w:color w:val="auto"/>
                <w:szCs w:val="21"/>
                <w:highlight w:val="green"/>
              </w:rPr>
            </w:pPr>
            <w:r>
              <w:rPr>
                <w:rFonts w:hint="eastAsia"/>
                <w:color w:val="auto"/>
                <w:szCs w:val="21"/>
                <w:highlight w:val="green"/>
                <w:lang w:val="en-US" w:eastAsia="zh-CN"/>
              </w:rPr>
              <w:t>46.6</w:t>
            </w:r>
          </w:p>
        </w:tc>
        <w:tc>
          <w:tcPr>
            <w:tcW w:w="834" w:type="dxa"/>
            <w:vAlign w:val="center"/>
          </w:tcPr>
          <w:p w14:paraId="2FA4CF7A">
            <w:pPr>
              <w:jc w:val="center"/>
              <w:rPr>
                <w:color w:val="auto"/>
                <w:szCs w:val="21"/>
                <w:highlight w:val="green"/>
              </w:rPr>
            </w:pPr>
            <w:r>
              <w:rPr>
                <w:rFonts w:hint="eastAsia"/>
                <w:color w:val="auto"/>
                <w:szCs w:val="21"/>
                <w:highlight w:val="green"/>
                <w:lang w:val="en-US" w:eastAsia="zh-CN"/>
              </w:rPr>
              <w:t>42.3</w:t>
            </w:r>
          </w:p>
        </w:tc>
        <w:tc>
          <w:tcPr>
            <w:tcW w:w="841" w:type="dxa"/>
            <w:vAlign w:val="center"/>
          </w:tcPr>
          <w:p w14:paraId="0D8F70B7">
            <w:pPr>
              <w:jc w:val="center"/>
              <w:rPr>
                <w:color w:val="auto"/>
                <w:szCs w:val="21"/>
                <w:highlight w:val="green"/>
              </w:rPr>
            </w:pPr>
            <w:r>
              <w:rPr>
                <w:rFonts w:hint="eastAsia"/>
                <w:color w:val="auto"/>
                <w:szCs w:val="21"/>
                <w:highlight w:val="green"/>
                <w:lang w:val="en-US" w:eastAsia="zh-CN"/>
              </w:rPr>
              <w:t>47</w:t>
            </w:r>
          </w:p>
        </w:tc>
        <w:tc>
          <w:tcPr>
            <w:tcW w:w="837" w:type="dxa"/>
            <w:vAlign w:val="center"/>
          </w:tcPr>
          <w:p w14:paraId="4789551B">
            <w:pPr>
              <w:jc w:val="center"/>
              <w:rPr>
                <w:color w:val="auto"/>
                <w:szCs w:val="21"/>
                <w:highlight w:val="green"/>
              </w:rPr>
            </w:pPr>
            <w:r>
              <w:rPr>
                <w:rFonts w:hint="eastAsia"/>
                <w:color w:val="auto"/>
                <w:szCs w:val="21"/>
                <w:highlight w:val="green"/>
                <w:lang w:val="en-US" w:eastAsia="zh-CN"/>
              </w:rPr>
              <w:t>3.6</w:t>
            </w:r>
          </w:p>
        </w:tc>
        <w:tc>
          <w:tcPr>
            <w:tcW w:w="2181" w:type="dxa"/>
            <w:tcBorders>
              <w:right w:val="nil"/>
            </w:tcBorders>
            <w:vAlign w:val="center"/>
          </w:tcPr>
          <w:p w14:paraId="34DAF732">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月26日（昼间）</w:t>
            </w:r>
          </w:p>
        </w:tc>
      </w:tr>
      <w:tr w14:paraId="57FBF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continue"/>
            <w:tcBorders>
              <w:left w:val="nil"/>
            </w:tcBorders>
            <w:vAlign w:val="center"/>
          </w:tcPr>
          <w:p w14:paraId="76300797">
            <w:pPr>
              <w:jc w:val="center"/>
              <w:rPr>
                <w:color w:val="auto"/>
                <w:szCs w:val="21"/>
                <w:highlight w:val="green"/>
              </w:rPr>
            </w:pPr>
          </w:p>
        </w:tc>
        <w:tc>
          <w:tcPr>
            <w:tcW w:w="834" w:type="dxa"/>
            <w:vAlign w:val="center"/>
          </w:tcPr>
          <w:p w14:paraId="16EA9F81">
            <w:pPr>
              <w:jc w:val="center"/>
              <w:rPr>
                <w:color w:val="auto"/>
                <w:szCs w:val="21"/>
                <w:highlight w:val="green"/>
              </w:rPr>
            </w:pPr>
            <w:r>
              <w:rPr>
                <w:rFonts w:hint="eastAsia"/>
                <w:color w:val="auto"/>
                <w:szCs w:val="21"/>
                <w:highlight w:val="green"/>
                <w:lang w:val="en-US" w:eastAsia="zh-CN"/>
              </w:rPr>
              <w:t>42.5</w:t>
            </w:r>
          </w:p>
        </w:tc>
        <w:tc>
          <w:tcPr>
            <w:tcW w:w="834" w:type="dxa"/>
            <w:vAlign w:val="center"/>
          </w:tcPr>
          <w:p w14:paraId="69F0C655">
            <w:pPr>
              <w:jc w:val="center"/>
              <w:rPr>
                <w:color w:val="auto"/>
                <w:szCs w:val="21"/>
                <w:highlight w:val="green"/>
              </w:rPr>
            </w:pPr>
            <w:r>
              <w:rPr>
                <w:rFonts w:hint="eastAsia"/>
                <w:color w:val="auto"/>
                <w:szCs w:val="21"/>
                <w:highlight w:val="green"/>
                <w:lang w:val="en-US" w:eastAsia="zh-CN"/>
              </w:rPr>
              <w:t>39.2</w:t>
            </w:r>
          </w:p>
        </w:tc>
        <w:tc>
          <w:tcPr>
            <w:tcW w:w="834" w:type="dxa"/>
            <w:vAlign w:val="center"/>
          </w:tcPr>
          <w:p w14:paraId="2F5AF71D">
            <w:pPr>
              <w:jc w:val="center"/>
              <w:rPr>
                <w:color w:val="auto"/>
                <w:szCs w:val="21"/>
                <w:highlight w:val="green"/>
              </w:rPr>
            </w:pPr>
            <w:r>
              <w:rPr>
                <w:rFonts w:hint="eastAsia"/>
                <w:color w:val="auto"/>
                <w:szCs w:val="21"/>
                <w:highlight w:val="green"/>
                <w:lang w:val="en-US" w:eastAsia="zh-CN"/>
              </w:rPr>
              <w:t>36.2</w:t>
            </w:r>
          </w:p>
        </w:tc>
        <w:tc>
          <w:tcPr>
            <w:tcW w:w="841" w:type="dxa"/>
            <w:vAlign w:val="center"/>
          </w:tcPr>
          <w:p w14:paraId="715BC240">
            <w:pPr>
              <w:jc w:val="center"/>
              <w:rPr>
                <w:color w:val="auto"/>
                <w:szCs w:val="21"/>
                <w:highlight w:val="green"/>
              </w:rPr>
            </w:pPr>
            <w:r>
              <w:rPr>
                <w:rFonts w:hint="eastAsia"/>
                <w:color w:val="auto"/>
                <w:szCs w:val="21"/>
                <w:highlight w:val="green"/>
                <w:lang w:val="en-US" w:eastAsia="zh-CN"/>
              </w:rPr>
              <w:t>40</w:t>
            </w:r>
          </w:p>
        </w:tc>
        <w:tc>
          <w:tcPr>
            <w:tcW w:w="837" w:type="dxa"/>
            <w:vAlign w:val="center"/>
          </w:tcPr>
          <w:p w14:paraId="7116127C">
            <w:pPr>
              <w:jc w:val="center"/>
              <w:rPr>
                <w:color w:val="auto"/>
                <w:szCs w:val="21"/>
                <w:highlight w:val="green"/>
              </w:rPr>
            </w:pPr>
            <w:r>
              <w:rPr>
                <w:rFonts w:hint="eastAsia"/>
                <w:color w:val="auto"/>
                <w:szCs w:val="21"/>
                <w:highlight w:val="green"/>
                <w:lang w:val="en-US" w:eastAsia="zh-CN"/>
              </w:rPr>
              <w:t>3.0</w:t>
            </w:r>
          </w:p>
        </w:tc>
        <w:tc>
          <w:tcPr>
            <w:tcW w:w="2181" w:type="dxa"/>
            <w:tcBorders>
              <w:right w:val="nil"/>
            </w:tcBorders>
            <w:vAlign w:val="center"/>
          </w:tcPr>
          <w:p w14:paraId="66E44FC8">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月26日（夜间）</w:t>
            </w:r>
          </w:p>
        </w:tc>
      </w:tr>
      <w:tr w14:paraId="2B742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continue"/>
            <w:tcBorders>
              <w:left w:val="nil"/>
            </w:tcBorders>
            <w:vAlign w:val="center"/>
          </w:tcPr>
          <w:p w14:paraId="12DF485C">
            <w:pPr>
              <w:jc w:val="center"/>
              <w:rPr>
                <w:color w:val="auto"/>
                <w:szCs w:val="21"/>
                <w:highlight w:val="green"/>
              </w:rPr>
            </w:pPr>
          </w:p>
        </w:tc>
        <w:tc>
          <w:tcPr>
            <w:tcW w:w="834" w:type="dxa"/>
            <w:vAlign w:val="center"/>
          </w:tcPr>
          <w:p w14:paraId="5F2CB27A">
            <w:pPr>
              <w:jc w:val="center"/>
              <w:rPr>
                <w:color w:val="auto"/>
                <w:szCs w:val="21"/>
                <w:highlight w:val="green"/>
              </w:rPr>
            </w:pPr>
            <w:r>
              <w:rPr>
                <w:rFonts w:hint="eastAsia"/>
                <w:color w:val="auto"/>
                <w:szCs w:val="21"/>
                <w:highlight w:val="green"/>
                <w:lang w:val="en-US" w:eastAsia="zh-CN"/>
              </w:rPr>
              <w:t>49.4</w:t>
            </w:r>
          </w:p>
        </w:tc>
        <w:tc>
          <w:tcPr>
            <w:tcW w:w="834" w:type="dxa"/>
            <w:vAlign w:val="center"/>
          </w:tcPr>
          <w:p w14:paraId="2A371C0F">
            <w:pPr>
              <w:jc w:val="center"/>
              <w:rPr>
                <w:color w:val="auto"/>
                <w:szCs w:val="21"/>
                <w:highlight w:val="green"/>
              </w:rPr>
            </w:pPr>
            <w:r>
              <w:rPr>
                <w:rFonts w:hint="eastAsia"/>
                <w:color w:val="auto"/>
                <w:szCs w:val="21"/>
                <w:highlight w:val="green"/>
                <w:lang w:val="en-US" w:eastAsia="zh-CN"/>
              </w:rPr>
              <w:t>46.0</w:t>
            </w:r>
          </w:p>
        </w:tc>
        <w:tc>
          <w:tcPr>
            <w:tcW w:w="834" w:type="dxa"/>
            <w:vAlign w:val="center"/>
          </w:tcPr>
          <w:p w14:paraId="0D7132DC">
            <w:pPr>
              <w:jc w:val="center"/>
              <w:rPr>
                <w:color w:val="auto"/>
                <w:szCs w:val="21"/>
                <w:highlight w:val="green"/>
              </w:rPr>
            </w:pPr>
            <w:r>
              <w:rPr>
                <w:rFonts w:hint="eastAsia"/>
                <w:color w:val="auto"/>
                <w:szCs w:val="21"/>
                <w:highlight w:val="green"/>
                <w:lang w:val="en-US" w:eastAsia="zh-CN"/>
              </w:rPr>
              <w:t>40.3</w:t>
            </w:r>
          </w:p>
        </w:tc>
        <w:tc>
          <w:tcPr>
            <w:tcW w:w="841" w:type="dxa"/>
            <w:vAlign w:val="center"/>
          </w:tcPr>
          <w:p w14:paraId="4BDAEB2E">
            <w:pPr>
              <w:jc w:val="center"/>
              <w:rPr>
                <w:color w:val="auto"/>
                <w:szCs w:val="21"/>
                <w:highlight w:val="green"/>
              </w:rPr>
            </w:pPr>
            <w:r>
              <w:rPr>
                <w:rFonts w:hint="eastAsia"/>
                <w:color w:val="auto"/>
                <w:szCs w:val="21"/>
                <w:highlight w:val="green"/>
                <w:lang w:val="en-US" w:eastAsia="zh-CN"/>
              </w:rPr>
              <w:t>46</w:t>
            </w:r>
          </w:p>
        </w:tc>
        <w:tc>
          <w:tcPr>
            <w:tcW w:w="837" w:type="dxa"/>
            <w:vAlign w:val="center"/>
          </w:tcPr>
          <w:p w14:paraId="39600421">
            <w:pPr>
              <w:jc w:val="center"/>
              <w:rPr>
                <w:color w:val="auto"/>
                <w:szCs w:val="21"/>
                <w:highlight w:val="green"/>
              </w:rPr>
            </w:pPr>
            <w:r>
              <w:rPr>
                <w:rFonts w:hint="eastAsia"/>
                <w:color w:val="auto"/>
                <w:szCs w:val="21"/>
                <w:highlight w:val="green"/>
                <w:lang w:val="en-US" w:eastAsia="zh-CN"/>
              </w:rPr>
              <w:t>3.9</w:t>
            </w:r>
          </w:p>
        </w:tc>
        <w:tc>
          <w:tcPr>
            <w:tcW w:w="2181" w:type="dxa"/>
            <w:tcBorders>
              <w:right w:val="nil"/>
            </w:tcBorders>
            <w:vAlign w:val="center"/>
          </w:tcPr>
          <w:p w14:paraId="6F174195">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月27日（昼间）</w:t>
            </w:r>
          </w:p>
        </w:tc>
      </w:tr>
      <w:tr w14:paraId="27328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64" w:type="dxa"/>
            <w:vMerge w:val="continue"/>
            <w:tcBorders>
              <w:left w:val="nil"/>
              <w:bottom w:val="double" w:color="auto" w:sz="4" w:space="0"/>
            </w:tcBorders>
            <w:vAlign w:val="center"/>
          </w:tcPr>
          <w:p w14:paraId="16BC3C21">
            <w:pPr>
              <w:jc w:val="center"/>
              <w:rPr>
                <w:color w:val="auto"/>
                <w:szCs w:val="21"/>
                <w:highlight w:val="green"/>
              </w:rPr>
            </w:pPr>
          </w:p>
        </w:tc>
        <w:tc>
          <w:tcPr>
            <w:tcW w:w="834" w:type="dxa"/>
            <w:tcBorders>
              <w:bottom w:val="double" w:color="auto" w:sz="4" w:space="0"/>
            </w:tcBorders>
            <w:vAlign w:val="center"/>
          </w:tcPr>
          <w:p w14:paraId="7640625D">
            <w:pPr>
              <w:jc w:val="center"/>
              <w:rPr>
                <w:color w:val="auto"/>
                <w:szCs w:val="21"/>
                <w:highlight w:val="green"/>
              </w:rPr>
            </w:pPr>
            <w:r>
              <w:rPr>
                <w:rFonts w:hint="eastAsia"/>
                <w:color w:val="auto"/>
                <w:szCs w:val="21"/>
                <w:highlight w:val="green"/>
                <w:lang w:val="en-US" w:eastAsia="zh-CN"/>
              </w:rPr>
              <w:t>43.0</w:t>
            </w:r>
          </w:p>
        </w:tc>
        <w:tc>
          <w:tcPr>
            <w:tcW w:w="834" w:type="dxa"/>
            <w:tcBorders>
              <w:bottom w:val="double" w:color="auto" w:sz="4" w:space="0"/>
            </w:tcBorders>
            <w:vAlign w:val="center"/>
          </w:tcPr>
          <w:p w14:paraId="51BE13DA">
            <w:pPr>
              <w:jc w:val="center"/>
              <w:rPr>
                <w:color w:val="auto"/>
                <w:szCs w:val="21"/>
                <w:highlight w:val="green"/>
              </w:rPr>
            </w:pPr>
            <w:r>
              <w:rPr>
                <w:rFonts w:hint="eastAsia"/>
                <w:color w:val="auto"/>
                <w:szCs w:val="21"/>
                <w:highlight w:val="green"/>
                <w:lang w:val="en-US" w:eastAsia="zh-CN"/>
              </w:rPr>
              <w:t>39.5</w:t>
            </w:r>
          </w:p>
        </w:tc>
        <w:tc>
          <w:tcPr>
            <w:tcW w:w="834" w:type="dxa"/>
            <w:tcBorders>
              <w:bottom w:val="double" w:color="auto" w:sz="4" w:space="0"/>
            </w:tcBorders>
            <w:vAlign w:val="center"/>
          </w:tcPr>
          <w:p w14:paraId="5391B74B">
            <w:pPr>
              <w:jc w:val="center"/>
              <w:rPr>
                <w:color w:val="auto"/>
                <w:szCs w:val="21"/>
                <w:highlight w:val="green"/>
              </w:rPr>
            </w:pPr>
            <w:r>
              <w:rPr>
                <w:rFonts w:hint="eastAsia"/>
                <w:color w:val="auto"/>
                <w:szCs w:val="21"/>
                <w:highlight w:val="green"/>
                <w:lang w:val="en-US" w:eastAsia="zh-CN"/>
              </w:rPr>
              <w:t>35.8</w:t>
            </w:r>
          </w:p>
        </w:tc>
        <w:tc>
          <w:tcPr>
            <w:tcW w:w="841" w:type="dxa"/>
            <w:tcBorders>
              <w:bottom w:val="double" w:color="auto" w:sz="4" w:space="0"/>
            </w:tcBorders>
            <w:vAlign w:val="center"/>
          </w:tcPr>
          <w:p w14:paraId="27C6647E">
            <w:pPr>
              <w:jc w:val="center"/>
              <w:rPr>
                <w:color w:val="auto"/>
                <w:szCs w:val="21"/>
                <w:highlight w:val="green"/>
              </w:rPr>
            </w:pPr>
            <w:r>
              <w:rPr>
                <w:rFonts w:hint="eastAsia"/>
                <w:color w:val="auto"/>
                <w:szCs w:val="21"/>
                <w:highlight w:val="green"/>
                <w:lang w:val="en-US" w:eastAsia="zh-CN"/>
              </w:rPr>
              <w:t>40</w:t>
            </w:r>
          </w:p>
        </w:tc>
        <w:tc>
          <w:tcPr>
            <w:tcW w:w="837" w:type="dxa"/>
            <w:tcBorders>
              <w:bottom w:val="double" w:color="auto" w:sz="4" w:space="0"/>
            </w:tcBorders>
            <w:vAlign w:val="center"/>
          </w:tcPr>
          <w:p w14:paraId="7854C57A">
            <w:pPr>
              <w:jc w:val="center"/>
              <w:rPr>
                <w:color w:val="auto"/>
                <w:szCs w:val="21"/>
                <w:highlight w:val="green"/>
              </w:rPr>
            </w:pPr>
            <w:r>
              <w:rPr>
                <w:rFonts w:hint="eastAsia"/>
                <w:color w:val="auto"/>
                <w:szCs w:val="21"/>
                <w:highlight w:val="green"/>
                <w:lang w:val="en-US" w:eastAsia="zh-CN"/>
              </w:rPr>
              <w:t>3.3</w:t>
            </w:r>
          </w:p>
        </w:tc>
        <w:tc>
          <w:tcPr>
            <w:tcW w:w="2181" w:type="dxa"/>
            <w:tcBorders>
              <w:bottom w:val="double" w:color="auto" w:sz="4" w:space="0"/>
              <w:right w:val="nil"/>
            </w:tcBorders>
            <w:vAlign w:val="center"/>
          </w:tcPr>
          <w:p w14:paraId="4959BF82">
            <w:pPr>
              <w:jc w:val="center"/>
              <w:rPr>
                <w:color w:val="auto"/>
                <w:szCs w:val="21"/>
                <w:highlight w:val="green"/>
              </w:rPr>
            </w:pPr>
            <w:r>
              <w:rPr>
                <w:rFonts w:hint="eastAsia"/>
                <w:color w:val="auto"/>
                <w:szCs w:val="21"/>
                <w:highlight w:val="green"/>
                <w:lang w:val="en-US" w:eastAsia="zh-CN"/>
              </w:rPr>
              <w:t>9</w:t>
            </w:r>
            <w:r>
              <w:rPr>
                <w:rFonts w:hint="eastAsia"/>
                <w:color w:val="auto"/>
                <w:szCs w:val="21"/>
                <w:highlight w:val="green"/>
              </w:rPr>
              <w:t>月27日（夜间）</w:t>
            </w:r>
          </w:p>
        </w:tc>
      </w:tr>
    </w:tbl>
    <w:p w14:paraId="5D3D5084">
      <w:pPr>
        <w:adjustRightInd w:val="0"/>
        <w:snapToGrid w:val="0"/>
        <w:spacing w:line="360" w:lineRule="auto"/>
        <w:ind w:firstLine="480" w:firstLineChars="200"/>
        <w:rPr>
          <w:color w:val="auto"/>
          <w:sz w:val="24"/>
          <w:highlight w:val="green"/>
        </w:rPr>
      </w:pPr>
      <w:r>
        <w:rPr>
          <w:color w:val="auto"/>
          <w:sz w:val="24"/>
          <w:highlight w:val="green"/>
        </w:rPr>
        <w:t>根据监测结果可以看出，厂界四周声环境现状值均符合《声环境质量标准》(GB3096-2008)中1类标准。</w:t>
      </w:r>
    </w:p>
    <w:p w14:paraId="52C20558">
      <w:pPr>
        <w:pStyle w:val="3"/>
        <w:adjustRightInd w:val="0"/>
        <w:ind w:firstLine="301" w:firstLineChars="100"/>
        <w:jc w:val="both"/>
        <w:rPr>
          <w:rFonts w:eastAsia="宋体"/>
          <w:color w:val="auto"/>
          <w:sz w:val="30"/>
          <w:szCs w:val="30"/>
          <w:highlight w:val="none"/>
        </w:rPr>
      </w:pPr>
      <w:bookmarkStart w:id="266" w:name="_Toc6013"/>
      <w:bookmarkStart w:id="267" w:name="_Toc18728"/>
      <w:bookmarkStart w:id="268" w:name="_Toc37831598"/>
      <w:r>
        <w:rPr>
          <w:rFonts w:eastAsia="宋体"/>
          <w:color w:val="auto"/>
          <w:sz w:val="30"/>
          <w:szCs w:val="30"/>
          <w:highlight w:val="none"/>
        </w:rPr>
        <w:t>4.</w:t>
      </w:r>
      <w:r>
        <w:rPr>
          <w:rFonts w:hint="eastAsia" w:eastAsia="宋体"/>
          <w:color w:val="auto"/>
          <w:sz w:val="30"/>
          <w:szCs w:val="30"/>
          <w:highlight w:val="none"/>
        </w:rPr>
        <w:t>6</w:t>
      </w:r>
      <w:r>
        <w:rPr>
          <w:rFonts w:eastAsia="宋体"/>
          <w:color w:val="auto"/>
          <w:sz w:val="30"/>
          <w:szCs w:val="30"/>
          <w:highlight w:val="none"/>
        </w:rPr>
        <w:t>地下水质量现状调查与评价</w:t>
      </w:r>
      <w:bookmarkEnd w:id="266"/>
      <w:bookmarkEnd w:id="267"/>
      <w:bookmarkEnd w:id="268"/>
    </w:p>
    <w:p w14:paraId="20E9E886">
      <w:pPr>
        <w:adjustRightInd w:val="0"/>
        <w:snapToGrid w:val="0"/>
        <w:spacing w:line="360" w:lineRule="auto"/>
        <w:ind w:firstLine="480" w:firstLineChars="200"/>
        <w:rPr>
          <w:rFonts w:hint="eastAsia"/>
          <w:color w:val="auto"/>
          <w:sz w:val="24"/>
          <w:highlight w:val="green"/>
          <w:lang w:eastAsia="zh-CN"/>
        </w:rPr>
      </w:pPr>
      <w:bookmarkStart w:id="269" w:name="_Toc25679"/>
      <w:bookmarkStart w:id="270" w:name="_Toc20758"/>
      <w:bookmarkStart w:id="271" w:name="_Toc25871"/>
      <w:bookmarkStart w:id="272" w:name="_Toc20115"/>
      <w:bookmarkStart w:id="273" w:name="_Toc9847"/>
      <w:bookmarkStart w:id="274" w:name="_Toc2152"/>
      <w:bookmarkStart w:id="275" w:name="_Toc6101"/>
      <w:bookmarkStart w:id="276" w:name="_Toc222"/>
      <w:bookmarkStart w:id="277" w:name="_Toc14255"/>
      <w:bookmarkStart w:id="278" w:name="_Toc26287"/>
      <w:bookmarkStart w:id="279" w:name="_Toc17813"/>
      <w:bookmarkStart w:id="280" w:name="_Toc18716"/>
      <w:bookmarkStart w:id="281" w:name="_Toc9133"/>
      <w:bookmarkStart w:id="282" w:name="_Toc24681"/>
      <w:bookmarkStart w:id="283" w:name="_Toc118"/>
      <w:bookmarkStart w:id="284" w:name="_Toc17865"/>
      <w:r>
        <w:rPr>
          <w:color w:val="auto"/>
          <w:sz w:val="24"/>
          <w:highlight w:val="green"/>
        </w:rPr>
        <w:t>该项目地下水现状评价采用朝阳彤天环保发展有限公司于202</w:t>
      </w:r>
      <w:r>
        <w:rPr>
          <w:rFonts w:hint="eastAsia"/>
          <w:color w:val="auto"/>
          <w:sz w:val="24"/>
          <w:highlight w:val="green"/>
          <w:lang w:val="en-US" w:eastAsia="zh-CN"/>
        </w:rPr>
        <w:t>3</w:t>
      </w:r>
      <w:r>
        <w:rPr>
          <w:color w:val="auto"/>
          <w:sz w:val="24"/>
          <w:highlight w:val="green"/>
        </w:rPr>
        <w:t>年</w:t>
      </w:r>
      <w:r>
        <w:rPr>
          <w:rFonts w:hint="eastAsia"/>
          <w:color w:val="auto"/>
          <w:sz w:val="24"/>
          <w:highlight w:val="green"/>
          <w:lang w:val="en-US" w:eastAsia="zh-CN"/>
        </w:rPr>
        <w:t>12</w:t>
      </w:r>
      <w:r>
        <w:rPr>
          <w:color w:val="auto"/>
          <w:sz w:val="24"/>
          <w:highlight w:val="green"/>
        </w:rPr>
        <w:t>月</w:t>
      </w:r>
      <w:r>
        <w:rPr>
          <w:rFonts w:hint="eastAsia"/>
          <w:color w:val="auto"/>
          <w:sz w:val="24"/>
          <w:highlight w:val="green"/>
          <w:lang w:val="en-US" w:eastAsia="zh-CN"/>
        </w:rPr>
        <w:t>21</w:t>
      </w:r>
      <w:r>
        <w:rPr>
          <w:color w:val="auto"/>
          <w:sz w:val="24"/>
          <w:highlight w:val="green"/>
        </w:rPr>
        <w:t>日～</w:t>
      </w:r>
      <w:r>
        <w:rPr>
          <w:rFonts w:hint="eastAsia"/>
          <w:color w:val="auto"/>
          <w:sz w:val="24"/>
          <w:highlight w:val="green"/>
          <w:lang w:val="en-US" w:eastAsia="zh-CN"/>
        </w:rPr>
        <w:t>22</w:t>
      </w:r>
      <w:r>
        <w:rPr>
          <w:color w:val="auto"/>
          <w:sz w:val="24"/>
          <w:highlight w:val="green"/>
        </w:rPr>
        <w:t>日对</w:t>
      </w:r>
      <w:r>
        <w:rPr>
          <w:rFonts w:hint="eastAsia"/>
          <w:color w:val="auto"/>
          <w:sz w:val="24"/>
          <w:highlight w:val="green"/>
          <w:lang w:eastAsia="zh-CN"/>
        </w:rPr>
        <w:t>西南侧林家地村居民</w:t>
      </w:r>
      <w:r>
        <w:rPr>
          <w:color w:val="auto"/>
          <w:sz w:val="24"/>
          <w:highlight w:val="green"/>
        </w:rPr>
        <w:t>水井、</w:t>
      </w:r>
      <w:r>
        <w:rPr>
          <w:rFonts w:hint="eastAsia"/>
          <w:color w:val="auto"/>
          <w:sz w:val="24"/>
          <w:highlight w:val="green"/>
          <w:lang w:eastAsia="zh-CN"/>
        </w:rPr>
        <w:t>北侧</w:t>
      </w:r>
      <w:r>
        <w:rPr>
          <w:color w:val="auto"/>
          <w:sz w:val="24"/>
          <w:highlight w:val="green"/>
        </w:rPr>
        <w:t>房身</w:t>
      </w:r>
      <w:r>
        <w:rPr>
          <w:rFonts w:hint="eastAsia"/>
          <w:color w:val="auto"/>
          <w:sz w:val="24"/>
          <w:highlight w:val="green"/>
          <w:lang w:eastAsia="zh-CN"/>
        </w:rPr>
        <w:t>地</w:t>
      </w:r>
      <w:r>
        <w:rPr>
          <w:color w:val="auto"/>
          <w:sz w:val="24"/>
          <w:highlight w:val="green"/>
        </w:rPr>
        <w:t>村</w:t>
      </w:r>
      <w:r>
        <w:rPr>
          <w:rFonts w:hint="eastAsia"/>
          <w:color w:val="auto"/>
          <w:sz w:val="24"/>
          <w:highlight w:val="green"/>
          <w:lang w:eastAsia="zh-CN"/>
        </w:rPr>
        <w:t>居民</w:t>
      </w:r>
      <w:r>
        <w:rPr>
          <w:rFonts w:hint="eastAsia"/>
          <w:color w:val="auto"/>
          <w:sz w:val="24"/>
          <w:highlight w:val="green"/>
        </w:rPr>
        <w:t>水井、</w:t>
      </w:r>
      <w:r>
        <w:rPr>
          <w:rFonts w:hint="eastAsia"/>
          <w:color w:val="auto"/>
          <w:sz w:val="24"/>
          <w:highlight w:val="green"/>
          <w:lang w:eastAsia="zh-CN"/>
        </w:rPr>
        <w:t>厂区内</w:t>
      </w:r>
      <w:r>
        <w:rPr>
          <w:color w:val="auto"/>
          <w:sz w:val="24"/>
          <w:highlight w:val="green"/>
        </w:rPr>
        <w:t>水井</w:t>
      </w:r>
      <w:r>
        <w:rPr>
          <w:rFonts w:hint="eastAsia"/>
          <w:color w:val="auto"/>
          <w:sz w:val="24"/>
          <w:highlight w:val="green"/>
          <w:lang w:eastAsia="zh-CN"/>
        </w:rPr>
        <w:t>进行了水质、水位监测，对东井村居民水井、西侧林家地居民水井、东南侧北沟村居民水井</w:t>
      </w:r>
      <w:r>
        <w:rPr>
          <w:rFonts w:hint="eastAsia"/>
          <w:color w:val="auto"/>
          <w:sz w:val="24"/>
          <w:highlight w:val="green"/>
        </w:rPr>
        <w:t>进行</w:t>
      </w:r>
      <w:r>
        <w:rPr>
          <w:rFonts w:hint="eastAsia"/>
          <w:color w:val="auto"/>
          <w:sz w:val="24"/>
          <w:highlight w:val="green"/>
          <w:lang w:eastAsia="zh-CN"/>
        </w:rPr>
        <w:t>水位</w:t>
      </w:r>
      <w:r>
        <w:rPr>
          <w:rFonts w:hint="eastAsia"/>
          <w:color w:val="auto"/>
          <w:sz w:val="24"/>
          <w:highlight w:val="green"/>
        </w:rPr>
        <w:t>监测，</w:t>
      </w:r>
      <w:r>
        <w:rPr>
          <w:color w:val="auto"/>
          <w:sz w:val="24"/>
          <w:highlight w:val="green"/>
        </w:rPr>
        <w:t>监测数据，</w:t>
      </w:r>
      <w:bookmarkEnd w:id="269"/>
      <w:bookmarkEnd w:id="270"/>
      <w:bookmarkEnd w:id="271"/>
      <w:bookmarkEnd w:id="272"/>
      <w:bookmarkEnd w:id="273"/>
      <w:bookmarkEnd w:id="274"/>
      <w:r>
        <w:rPr>
          <w:color w:val="auto"/>
          <w:sz w:val="24"/>
          <w:highlight w:val="green"/>
        </w:rPr>
        <w:t>监测点位基本信息如下</w:t>
      </w:r>
      <w:bookmarkEnd w:id="275"/>
      <w:bookmarkEnd w:id="276"/>
      <w:bookmarkEnd w:id="277"/>
      <w:bookmarkEnd w:id="278"/>
      <w:bookmarkEnd w:id="279"/>
      <w:bookmarkEnd w:id="280"/>
      <w:bookmarkEnd w:id="281"/>
      <w:bookmarkEnd w:id="282"/>
      <w:r>
        <w:rPr>
          <w:rFonts w:hint="eastAsia"/>
          <w:color w:val="auto"/>
          <w:sz w:val="24"/>
          <w:highlight w:val="green"/>
          <w:lang w:eastAsia="zh-CN"/>
        </w:rPr>
        <w:t>：</w:t>
      </w:r>
      <w:bookmarkEnd w:id="283"/>
      <w:bookmarkEnd w:id="284"/>
    </w:p>
    <w:p w14:paraId="5B49A522">
      <w:pPr>
        <w:jc w:val="center"/>
        <w:rPr>
          <w:b/>
          <w:color w:val="auto"/>
          <w:szCs w:val="21"/>
          <w:highlight w:val="green"/>
        </w:rPr>
      </w:pPr>
      <w:r>
        <w:rPr>
          <w:b/>
          <w:color w:val="auto"/>
          <w:szCs w:val="21"/>
          <w:highlight w:val="green"/>
        </w:rPr>
        <w:t>表4</w:t>
      </w:r>
      <w:r>
        <w:rPr>
          <w:rFonts w:hint="eastAsia"/>
          <w:b/>
          <w:color w:val="auto"/>
          <w:szCs w:val="21"/>
          <w:highlight w:val="green"/>
          <w:lang w:val="en-US" w:eastAsia="zh-CN"/>
        </w:rPr>
        <w:t>.4</w:t>
      </w:r>
      <w:r>
        <w:rPr>
          <w:b/>
          <w:color w:val="auto"/>
          <w:szCs w:val="21"/>
          <w:highlight w:val="green"/>
        </w:rPr>
        <w:t>-</w:t>
      </w:r>
      <w:r>
        <w:rPr>
          <w:rFonts w:hint="eastAsia"/>
          <w:b/>
          <w:color w:val="auto"/>
          <w:szCs w:val="21"/>
          <w:highlight w:val="green"/>
        </w:rPr>
        <w:t>7</w:t>
      </w:r>
      <w:r>
        <w:rPr>
          <w:b/>
          <w:color w:val="auto"/>
          <w:szCs w:val="21"/>
          <w:highlight w:val="green"/>
        </w:rPr>
        <w:t xml:space="preserve"> </w:t>
      </w:r>
      <w:r>
        <w:rPr>
          <w:rFonts w:hint="eastAsia"/>
          <w:b/>
          <w:color w:val="auto"/>
          <w:szCs w:val="21"/>
          <w:highlight w:val="green"/>
        </w:rPr>
        <w:t xml:space="preserve"> </w:t>
      </w:r>
      <w:r>
        <w:rPr>
          <w:b/>
          <w:color w:val="auto"/>
          <w:szCs w:val="21"/>
          <w:highlight w:val="green"/>
        </w:rPr>
        <w:t xml:space="preserve">  地下水监测点位</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983"/>
        <w:gridCol w:w="1524"/>
        <w:gridCol w:w="1665"/>
        <w:gridCol w:w="3347"/>
      </w:tblGrid>
      <w:tr w14:paraId="3AC159BB">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983" w:type="dxa"/>
            <w:vMerge w:val="restart"/>
            <w:vAlign w:val="center"/>
          </w:tcPr>
          <w:p w14:paraId="30213084">
            <w:pPr>
              <w:jc w:val="center"/>
              <w:rPr>
                <w:b/>
                <w:color w:val="auto"/>
                <w:szCs w:val="21"/>
                <w:highlight w:val="green"/>
              </w:rPr>
            </w:pPr>
            <w:r>
              <w:rPr>
                <w:b/>
                <w:color w:val="auto"/>
                <w:szCs w:val="21"/>
                <w:highlight w:val="green"/>
              </w:rPr>
              <w:t>监测点位名称</w:t>
            </w:r>
          </w:p>
        </w:tc>
        <w:tc>
          <w:tcPr>
            <w:tcW w:w="3189" w:type="dxa"/>
            <w:gridSpan w:val="2"/>
            <w:vAlign w:val="center"/>
          </w:tcPr>
          <w:p w14:paraId="39C5A0E2">
            <w:pPr>
              <w:jc w:val="center"/>
              <w:rPr>
                <w:b/>
                <w:color w:val="auto"/>
                <w:szCs w:val="21"/>
                <w:highlight w:val="green"/>
              </w:rPr>
            </w:pPr>
            <w:r>
              <w:rPr>
                <w:b/>
                <w:color w:val="auto"/>
                <w:szCs w:val="21"/>
                <w:highlight w:val="green"/>
              </w:rPr>
              <w:t>监测点位坐标</w:t>
            </w:r>
          </w:p>
        </w:tc>
        <w:tc>
          <w:tcPr>
            <w:tcW w:w="3347" w:type="dxa"/>
            <w:vMerge w:val="restart"/>
            <w:vAlign w:val="center"/>
          </w:tcPr>
          <w:p w14:paraId="3DF2D1DB">
            <w:pPr>
              <w:jc w:val="center"/>
              <w:rPr>
                <w:b/>
                <w:color w:val="auto"/>
                <w:szCs w:val="21"/>
                <w:highlight w:val="green"/>
              </w:rPr>
            </w:pPr>
            <w:r>
              <w:rPr>
                <w:b/>
                <w:color w:val="auto"/>
                <w:szCs w:val="21"/>
                <w:highlight w:val="green"/>
              </w:rPr>
              <w:t>监测因子</w:t>
            </w:r>
          </w:p>
        </w:tc>
      </w:tr>
      <w:tr w14:paraId="0EF1CFA7">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983" w:type="dxa"/>
            <w:vMerge w:val="continue"/>
            <w:vAlign w:val="center"/>
          </w:tcPr>
          <w:p w14:paraId="6ACFAF28">
            <w:pPr>
              <w:widowControl/>
              <w:jc w:val="left"/>
              <w:rPr>
                <w:b/>
                <w:color w:val="auto"/>
                <w:szCs w:val="21"/>
                <w:highlight w:val="green"/>
              </w:rPr>
            </w:pPr>
          </w:p>
        </w:tc>
        <w:tc>
          <w:tcPr>
            <w:tcW w:w="1524" w:type="dxa"/>
            <w:vAlign w:val="center"/>
          </w:tcPr>
          <w:p w14:paraId="1A2009D2">
            <w:pPr>
              <w:jc w:val="center"/>
              <w:rPr>
                <w:b/>
                <w:color w:val="auto"/>
                <w:szCs w:val="21"/>
                <w:highlight w:val="green"/>
              </w:rPr>
            </w:pPr>
            <w:r>
              <w:rPr>
                <w:b/>
                <w:color w:val="auto"/>
                <w:szCs w:val="21"/>
                <w:highlight w:val="green"/>
              </w:rPr>
              <w:t>纬度</w:t>
            </w:r>
          </w:p>
        </w:tc>
        <w:tc>
          <w:tcPr>
            <w:tcW w:w="1665" w:type="dxa"/>
            <w:vAlign w:val="center"/>
          </w:tcPr>
          <w:p w14:paraId="22C322B7">
            <w:pPr>
              <w:jc w:val="center"/>
              <w:rPr>
                <w:b/>
                <w:color w:val="auto"/>
                <w:szCs w:val="21"/>
                <w:highlight w:val="green"/>
              </w:rPr>
            </w:pPr>
            <w:r>
              <w:rPr>
                <w:b/>
                <w:color w:val="auto"/>
                <w:szCs w:val="21"/>
                <w:highlight w:val="green"/>
              </w:rPr>
              <w:t>经度</w:t>
            </w:r>
          </w:p>
        </w:tc>
        <w:tc>
          <w:tcPr>
            <w:tcW w:w="3347" w:type="dxa"/>
            <w:vMerge w:val="continue"/>
            <w:vAlign w:val="center"/>
          </w:tcPr>
          <w:p w14:paraId="54EB0815">
            <w:pPr>
              <w:widowControl/>
              <w:jc w:val="left"/>
              <w:rPr>
                <w:b/>
                <w:color w:val="auto"/>
                <w:szCs w:val="21"/>
                <w:highlight w:val="green"/>
              </w:rPr>
            </w:pPr>
          </w:p>
        </w:tc>
      </w:tr>
      <w:tr w14:paraId="41E728A9">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983" w:type="dxa"/>
            <w:vAlign w:val="center"/>
          </w:tcPr>
          <w:p w14:paraId="027B414F">
            <w:pPr>
              <w:widowControl/>
              <w:jc w:val="center"/>
              <w:rPr>
                <w:color w:val="auto"/>
                <w:szCs w:val="21"/>
                <w:highlight w:val="green"/>
              </w:rPr>
            </w:pPr>
            <w:r>
              <w:rPr>
                <w:rFonts w:hint="eastAsia"/>
                <w:color w:val="auto"/>
                <w:szCs w:val="21"/>
                <w:highlight w:val="green"/>
                <w:lang w:eastAsia="zh-CN"/>
              </w:rPr>
              <w:t>西南侧林家地村居民</w:t>
            </w:r>
            <w:r>
              <w:rPr>
                <w:color w:val="auto"/>
                <w:szCs w:val="21"/>
                <w:highlight w:val="green"/>
              </w:rPr>
              <w:t>水井</w:t>
            </w:r>
          </w:p>
        </w:tc>
        <w:tc>
          <w:tcPr>
            <w:tcW w:w="1524" w:type="dxa"/>
            <w:vAlign w:val="center"/>
          </w:tcPr>
          <w:p w14:paraId="18F0341A">
            <w:pPr>
              <w:widowControl/>
              <w:jc w:val="center"/>
              <w:rPr>
                <w:color w:val="auto"/>
                <w:szCs w:val="21"/>
                <w:highlight w:val="green"/>
              </w:rPr>
            </w:pPr>
            <w:r>
              <w:rPr>
                <w:color w:val="auto"/>
                <w:sz w:val="21"/>
                <w:szCs w:val="21"/>
                <w:highlight w:val="green"/>
              </w:rPr>
              <w:t>41°</w:t>
            </w:r>
            <w:r>
              <w:rPr>
                <w:rFonts w:hint="eastAsia"/>
                <w:color w:val="auto"/>
                <w:sz w:val="21"/>
                <w:szCs w:val="21"/>
                <w:highlight w:val="green"/>
                <w:lang w:val="en-US" w:eastAsia="zh-CN"/>
              </w:rPr>
              <w:t>53</w:t>
            </w:r>
            <w:r>
              <w:rPr>
                <w:color w:val="auto"/>
                <w:sz w:val="21"/>
                <w:szCs w:val="21"/>
                <w:highlight w:val="green"/>
              </w:rPr>
              <w:t>′</w:t>
            </w:r>
            <w:r>
              <w:rPr>
                <w:rFonts w:hint="eastAsia"/>
                <w:color w:val="auto"/>
                <w:sz w:val="21"/>
                <w:szCs w:val="21"/>
                <w:highlight w:val="green"/>
                <w:lang w:val="en-US" w:eastAsia="zh-CN"/>
              </w:rPr>
              <w:t>12</w:t>
            </w:r>
            <w:r>
              <w:rPr>
                <w:color w:val="auto"/>
                <w:sz w:val="21"/>
                <w:szCs w:val="21"/>
                <w:highlight w:val="green"/>
              </w:rPr>
              <w:t>.</w:t>
            </w:r>
            <w:r>
              <w:rPr>
                <w:rFonts w:hint="eastAsia"/>
                <w:color w:val="auto"/>
                <w:sz w:val="21"/>
                <w:szCs w:val="21"/>
                <w:highlight w:val="green"/>
                <w:lang w:val="en-US" w:eastAsia="zh-CN"/>
              </w:rPr>
              <w:t>48</w:t>
            </w:r>
            <w:r>
              <w:rPr>
                <w:color w:val="auto"/>
                <w:sz w:val="21"/>
                <w:szCs w:val="21"/>
                <w:highlight w:val="green"/>
              </w:rPr>
              <w:t>″</w:t>
            </w:r>
          </w:p>
        </w:tc>
        <w:tc>
          <w:tcPr>
            <w:tcW w:w="1665" w:type="dxa"/>
            <w:vAlign w:val="center"/>
          </w:tcPr>
          <w:p w14:paraId="63DB9E89">
            <w:pPr>
              <w:widowControl/>
              <w:jc w:val="center"/>
              <w:rPr>
                <w:color w:val="auto"/>
                <w:szCs w:val="21"/>
                <w:highlight w:val="green"/>
              </w:rPr>
            </w:pPr>
            <w:r>
              <w:rPr>
                <w:color w:val="auto"/>
                <w:sz w:val="21"/>
                <w:szCs w:val="21"/>
                <w:highlight w:val="green"/>
              </w:rPr>
              <w:t>120°</w:t>
            </w:r>
            <w:r>
              <w:rPr>
                <w:rFonts w:hint="eastAsia"/>
                <w:color w:val="auto"/>
                <w:sz w:val="21"/>
                <w:szCs w:val="21"/>
                <w:highlight w:val="green"/>
                <w:lang w:val="en-US" w:eastAsia="zh-CN"/>
              </w:rPr>
              <w:t>03</w:t>
            </w:r>
            <w:r>
              <w:rPr>
                <w:color w:val="auto"/>
                <w:sz w:val="21"/>
                <w:szCs w:val="21"/>
                <w:highlight w:val="green"/>
              </w:rPr>
              <w:t>′</w:t>
            </w:r>
            <w:r>
              <w:rPr>
                <w:rFonts w:hint="eastAsia"/>
                <w:color w:val="auto"/>
                <w:sz w:val="21"/>
                <w:szCs w:val="21"/>
                <w:highlight w:val="green"/>
                <w:lang w:val="en-US" w:eastAsia="zh-CN"/>
              </w:rPr>
              <w:t>04</w:t>
            </w:r>
            <w:r>
              <w:rPr>
                <w:color w:val="auto"/>
                <w:sz w:val="21"/>
                <w:szCs w:val="21"/>
                <w:highlight w:val="green"/>
              </w:rPr>
              <w:t>.</w:t>
            </w:r>
            <w:r>
              <w:rPr>
                <w:rFonts w:hint="eastAsia"/>
                <w:color w:val="auto"/>
                <w:sz w:val="21"/>
                <w:szCs w:val="21"/>
                <w:highlight w:val="green"/>
                <w:lang w:val="en-US" w:eastAsia="zh-CN"/>
              </w:rPr>
              <w:t>35</w:t>
            </w:r>
            <w:r>
              <w:rPr>
                <w:color w:val="auto"/>
                <w:sz w:val="21"/>
                <w:szCs w:val="21"/>
                <w:highlight w:val="green"/>
              </w:rPr>
              <w:t>″</w:t>
            </w:r>
          </w:p>
        </w:tc>
        <w:tc>
          <w:tcPr>
            <w:tcW w:w="3347" w:type="dxa"/>
            <w:vMerge w:val="restart"/>
            <w:vAlign w:val="center"/>
          </w:tcPr>
          <w:p w14:paraId="42839BB4">
            <w:pPr>
              <w:jc w:val="center"/>
              <w:rPr>
                <w:rFonts w:hint="eastAsia" w:ascii="宋体" w:hAnsi="宋体"/>
                <w:color w:val="auto"/>
                <w:szCs w:val="21"/>
                <w:highlight w:val="green"/>
                <w:lang w:eastAsia="zh-CN"/>
              </w:rPr>
            </w:pPr>
            <w:r>
              <w:rPr>
                <w:rFonts w:hint="eastAsia" w:ascii="宋体" w:hAnsi="宋体"/>
                <w:color w:val="auto"/>
                <w:szCs w:val="21"/>
                <w:highlight w:val="green"/>
              </w:rPr>
              <w:t>K</w:t>
            </w:r>
            <w:r>
              <w:rPr>
                <w:rFonts w:hint="eastAsia" w:ascii="宋体" w:hAnsi="宋体"/>
                <w:color w:val="auto"/>
                <w:szCs w:val="21"/>
                <w:highlight w:val="green"/>
                <w:vertAlign w:val="superscript"/>
              </w:rPr>
              <w:t>+</w:t>
            </w:r>
            <w:r>
              <w:rPr>
                <w:rFonts w:hint="eastAsia" w:ascii="宋体" w:hAnsi="宋体"/>
                <w:color w:val="auto"/>
                <w:szCs w:val="21"/>
                <w:highlight w:val="green"/>
              </w:rPr>
              <w:t>、Na</w:t>
            </w:r>
            <w:r>
              <w:rPr>
                <w:rFonts w:hint="eastAsia" w:ascii="宋体" w:hAnsi="宋体"/>
                <w:color w:val="auto"/>
                <w:szCs w:val="21"/>
                <w:highlight w:val="green"/>
                <w:vertAlign w:val="superscript"/>
              </w:rPr>
              <w:t>+</w:t>
            </w:r>
            <w:r>
              <w:rPr>
                <w:rFonts w:hint="eastAsia" w:ascii="宋体" w:hAnsi="宋体"/>
                <w:color w:val="auto"/>
                <w:szCs w:val="21"/>
                <w:highlight w:val="green"/>
              </w:rPr>
              <w:t>、Ca</w:t>
            </w:r>
            <w:r>
              <w:rPr>
                <w:rFonts w:hint="eastAsia" w:ascii="宋体" w:hAnsi="宋体"/>
                <w:color w:val="auto"/>
                <w:szCs w:val="21"/>
                <w:highlight w:val="green"/>
                <w:vertAlign w:val="superscript"/>
              </w:rPr>
              <w:t>2+</w:t>
            </w:r>
            <w:r>
              <w:rPr>
                <w:rFonts w:hint="eastAsia" w:ascii="宋体" w:hAnsi="宋体"/>
                <w:color w:val="auto"/>
                <w:szCs w:val="21"/>
                <w:highlight w:val="green"/>
              </w:rPr>
              <w:t>、Mg</w:t>
            </w:r>
            <w:r>
              <w:rPr>
                <w:rFonts w:hint="eastAsia" w:ascii="宋体" w:hAnsi="宋体"/>
                <w:color w:val="auto"/>
                <w:szCs w:val="21"/>
                <w:highlight w:val="green"/>
                <w:vertAlign w:val="superscript"/>
              </w:rPr>
              <w:t>2+</w:t>
            </w:r>
            <w:r>
              <w:rPr>
                <w:rFonts w:hint="eastAsia" w:ascii="宋体" w:hAnsi="宋体"/>
                <w:color w:val="auto"/>
                <w:szCs w:val="21"/>
                <w:highlight w:val="green"/>
              </w:rPr>
              <w:t>、CO</w:t>
            </w:r>
            <w:r>
              <w:rPr>
                <w:rFonts w:hint="eastAsia" w:ascii="宋体" w:hAnsi="宋体"/>
                <w:color w:val="auto"/>
                <w:szCs w:val="21"/>
                <w:highlight w:val="green"/>
                <w:vertAlign w:val="subscript"/>
              </w:rPr>
              <w:t>3</w:t>
            </w:r>
            <w:r>
              <w:rPr>
                <w:rFonts w:hint="eastAsia" w:ascii="宋体" w:hAnsi="宋体"/>
                <w:color w:val="auto"/>
                <w:szCs w:val="21"/>
                <w:highlight w:val="green"/>
                <w:vertAlign w:val="superscript"/>
              </w:rPr>
              <w:t>2-</w:t>
            </w:r>
            <w:r>
              <w:rPr>
                <w:rFonts w:hint="eastAsia" w:ascii="宋体" w:hAnsi="宋体"/>
                <w:color w:val="auto"/>
                <w:szCs w:val="21"/>
                <w:highlight w:val="green"/>
              </w:rPr>
              <w:t>、HCO</w:t>
            </w:r>
            <w:r>
              <w:rPr>
                <w:rFonts w:hint="eastAsia" w:ascii="宋体" w:hAnsi="宋体"/>
                <w:color w:val="auto"/>
                <w:szCs w:val="21"/>
                <w:highlight w:val="green"/>
                <w:vertAlign w:val="subscript"/>
              </w:rPr>
              <w:t>3</w:t>
            </w:r>
            <w:r>
              <w:rPr>
                <w:rFonts w:hint="eastAsia" w:ascii="宋体" w:hAnsi="宋体"/>
                <w:color w:val="auto"/>
                <w:szCs w:val="21"/>
                <w:highlight w:val="green"/>
                <w:vertAlign w:val="superscript"/>
              </w:rPr>
              <w:t>-</w:t>
            </w:r>
            <w:r>
              <w:rPr>
                <w:rFonts w:hint="eastAsia" w:ascii="宋体" w:hAnsi="宋体"/>
                <w:color w:val="auto"/>
                <w:szCs w:val="21"/>
                <w:highlight w:val="green"/>
              </w:rPr>
              <w:t>、Cl</w:t>
            </w:r>
            <w:r>
              <w:rPr>
                <w:rFonts w:hint="eastAsia" w:ascii="宋体" w:hAnsi="宋体"/>
                <w:color w:val="auto"/>
                <w:szCs w:val="21"/>
                <w:highlight w:val="green"/>
                <w:vertAlign w:val="superscript"/>
              </w:rPr>
              <w:t>-</w:t>
            </w:r>
            <w:r>
              <w:rPr>
                <w:rFonts w:hint="eastAsia" w:ascii="宋体" w:hAnsi="宋体"/>
                <w:color w:val="auto"/>
                <w:szCs w:val="21"/>
                <w:highlight w:val="green"/>
              </w:rPr>
              <w:t>、SO</w:t>
            </w:r>
            <w:r>
              <w:rPr>
                <w:rFonts w:hint="eastAsia" w:ascii="宋体" w:hAnsi="宋体"/>
                <w:color w:val="auto"/>
                <w:szCs w:val="21"/>
                <w:highlight w:val="green"/>
                <w:vertAlign w:val="subscript"/>
              </w:rPr>
              <w:t>4</w:t>
            </w:r>
            <w:r>
              <w:rPr>
                <w:rFonts w:hint="eastAsia" w:ascii="宋体" w:hAnsi="宋体"/>
                <w:color w:val="auto"/>
                <w:szCs w:val="21"/>
                <w:highlight w:val="green"/>
                <w:vertAlign w:val="superscript"/>
              </w:rPr>
              <w:t>2-</w:t>
            </w:r>
            <w:r>
              <w:rPr>
                <w:rFonts w:hint="eastAsia" w:ascii="宋体" w:hAnsi="宋体"/>
                <w:color w:val="auto"/>
                <w:szCs w:val="21"/>
                <w:highlight w:val="green"/>
                <w:lang w:eastAsia="zh-CN"/>
              </w:rPr>
              <w:t>；</w:t>
            </w:r>
          </w:p>
          <w:p w14:paraId="1FC7139A">
            <w:pPr>
              <w:jc w:val="center"/>
              <w:rPr>
                <w:rFonts w:hint="eastAsia" w:ascii="宋体" w:hAnsi="宋体"/>
                <w:color w:val="auto"/>
                <w:szCs w:val="21"/>
                <w:highlight w:val="green"/>
                <w:lang w:eastAsia="zh-CN"/>
              </w:rPr>
            </w:pPr>
            <w:r>
              <w:rPr>
                <w:rFonts w:hint="eastAsia" w:ascii="宋体" w:hAnsi="宋体"/>
                <w:color w:val="auto"/>
                <w:szCs w:val="21"/>
                <w:highlight w:val="green"/>
              </w:rPr>
              <w:t>pH、</w:t>
            </w:r>
            <w:r>
              <w:rPr>
                <w:rFonts w:hint="eastAsia" w:ascii="宋体" w:hAnsi="宋体"/>
                <w:color w:val="auto"/>
                <w:szCs w:val="21"/>
                <w:highlight w:val="green"/>
                <w:lang w:eastAsia="zh-CN"/>
              </w:rPr>
              <w:t>氨氮、硝酸盐、亚硝酸盐、挥发性酚类、氰化物、砷、汞、铬（六价）、总硬度、铅、氟、镉、铁、锰、溶解性总固体、高锰酸盐指数（耗氧量）、硫酸盐、氯化物、</w:t>
            </w:r>
            <w:r>
              <w:rPr>
                <w:rFonts w:hint="eastAsia" w:ascii="宋体" w:hAnsi="宋体"/>
                <w:color w:val="auto"/>
                <w:szCs w:val="21"/>
                <w:highlight w:val="green"/>
              </w:rPr>
              <w:t>总大肠菌群数、</w:t>
            </w:r>
            <w:r>
              <w:rPr>
                <w:rFonts w:hint="eastAsia" w:ascii="宋体" w:hAnsi="宋体"/>
                <w:color w:val="auto"/>
                <w:szCs w:val="21"/>
                <w:highlight w:val="green"/>
                <w:lang w:eastAsia="zh-CN"/>
              </w:rPr>
              <w:t>细菌</w:t>
            </w:r>
            <w:r>
              <w:rPr>
                <w:rFonts w:hint="eastAsia" w:ascii="宋体" w:hAnsi="宋体"/>
                <w:color w:val="auto"/>
                <w:szCs w:val="21"/>
                <w:highlight w:val="green"/>
              </w:rPr>
              <w:t>总数</w:t>
            </w:r>
            <w:r>
              <w:rPr>
                <w:rFonts w:hint="eastAsia" w:ascii="宋体" w:hAnsi="宋体"/>
                <w:color w:val="auto"/>
                <w:szCs w:val="21"/>
                <w:highlight w:val="green"/>
                <w:lang w:eastAsia="zh-CN"/>
              </w:rPr>
              <w:t>；</w:t>
            </w:r>
          </w:p>
          <w:p w14:paraId="50441457">
            <w:pPr>
              <w:jc w:val="center"/>
              <w:rPr>
                <w:color w:val="auto"/>
                <w:szCs w:val="21"/>
                <w:highlight w:val="green"/>
              </w:rPr>
            </w:pPr>
            <w:r>
              <w:rPr>
                <w:color w:val="auto"/>
                <w:szCs w:val="21"/>
                <w:highlight w:val="green"/>
              </w:rPr>
              <w:t>水位</w:t>
            </w:r>
          </w:p>
        </w:tc>
      </w:tr>
      <w:tr w14:paraId="41B5AD5F">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983" w:type="dxa"/>
            <w:vAlign w:val="center"/>
          </w:tcPr>
          <w:p w14:paraId="6223877A">
            <w:pPr>
              <w:widowControl/>
              <w:jc w:val="center"/>
              <w:rPr>
                <w:color w:val="auto"/>
                <w:szCs w:val="21"/>
                <w:highlight w:val="green"/>
              </w:rPr>
            </w:pPr>
            <w:r>
              <w:rPr>
                <w:rFonts w:hint="eastAsia"/>
                <w:color w:val="auto"/>
                <w:szCs w:val="21"/>
                <w:highlight w:val="green"/>
                <w:lang w:eastAsia="zh-CN"/>
              </w:rPr>
              <w:t>北侧房申地</w:t>
            </w:r>
            <w:r>
              <w:rPr>
                <w:color w:val="auto"/>
                <w:szCs w:val="21"/>
                <w:highlight w:val="green"/>
              </w:rPr>
              <w:t>村</w:t>
            </w:r>
            <w:r>
              <w:rPr>
                <w:rFonts w:hint="eastAsia"/>
                <w:color w:val="auto"/>
                <w:szCs w:val="21"/>
                <w:highlight w:val="green"/>
                <w:lang w:eastAsia="zh-CN"/>
              </w:rPr>
              <w:t>居民</w:t>
            </w:r>
            <w:r>
              <w:rPr>
                <w:rFonts w:hint="eastAsia"/>
                <w:color w:val="auto"/>
                <w:szCs w:val="21"/>
                <w:highlight w:val="green"/>
              </w:rPr>
              <w:t>水井</w:t>
            </w:r>
          </w:p>
        </w:tc>
        <w:tc>
          <w:tcPr>
            <w:tcW w:w="1524" w:type="dxa"/>
            <w:vAlign w:val="center"/>
          </w:tcPr>
          <w:p w14:paraId="18CCE155">
            <w:pPr>
              <w:widowControl/>
              <w:jc w:val="center"/>
              <w:rPr>
                <w:color w:val="auto"/>
                <w:szCs w:val="21"/>
                <w:highlight w:val="green"/>
              </w:rPr>
            </w:pPr>
            <w:r>
              <w:rPr>
                <w:color w:val="auto"/>
                <w:sz w:val="21"/>
                <w:szCs w:val="21"/>
                <w:highlight w:val="green"/>
              </w:rPr>
              <w:t>41°</w:t>
            </w:r>
            <w:r>
              <w:rPr>
                <w:rFonts w:hint="eastAsia"/>
                <w:color w:val="auto"/>
                <w:sz w:val="21"/>
                <w:szCs w:val="21"/>
                <w:highlight w:val="green"/>
                <w:lang w:val="en-US" w:eastAsia="zh-CN"/>
              </w:rPr>
              <w:t>54</w:t>
            </w:r>
            <w:r>
              <w:rPr>
                <w:color w:val="auto"/>
                <w:sz w:val="21"/>
                <w:szCs w:val="21"/>
                <w:highlight w:val="green"/>
              </w:rPr>
              <w:t>′</w:t>
            </w:r>
            <w:r>
              <w:rPr>
                <w:rFonts w:hint="eastAsia"/>
                <w:color w:val="auto"/>
                <w:sz w:val="21"/>
                <w:szCs w:val="21"/>
                <w:highlight w:val="green"/>
                <w:lang w:val="en-US" w:eastAsia="zh-CN"/>
              </w:rPr>
              <w:t>25</w:t>
            </w:r>
            <w:r>
              <w:rPr>
                <w:color w:val="auto"/>
                <w:sz w:val="21"/>
                <w:szCs w:val="21"/>
                <w:highlight w:val="green"/>
              </w:rPr>
              <w:t>.</w:t>
            </w:r>
            <w:r>
              <w:rPr>
                <w:rFonts w:hint="eastAsia"/>
                <w:color w:val="auto"/>
                <w:sz w:val="21"/>
                <w:szCs w:val="21"/>
                <w:highlight w:val="green"/>
                <w:lang w:val="en-US" w:eastAsia="zh-CN"/>
              </w:rPr>
              <w:t>22</w:t>
            </w:r>
            <w:r>
              <w:rPr>
                <w:color w:val="auto"/>
                <w:sz w:val="21"/>
                <w:szCs w:val="21"/>
                <w:highlight w:val="green"/>
              </w:rPr>
              <w:t>″</w:t>
            </w:r>
          </w:p>
        </w:tc>
        <w:tc>
          <w:tcPr>
            <w:tcW w:w="1665" w:type="dxa"/>
            <w:vAlign w:val="center"/>
          </w:tcPr>
          <w:p w14:paraId="59A873DF">
            <w:pPr>
              <w:widowControl/>
              <w:jc w:val="center"/>
              <w:rPr>
                <w:color w:val="auto"/>
                <w:szCs w:val="21"/>
                <w:highlight w:val="green"/>
              </w:rPr>
            </w:pPr>
            <w:r>
              <w:rPr>
                <w:color w:val="auto"/>
                <w:sz w:val="21"/>
                <w:szCs w:val="21"/>
                <w:highlight w:val="green"/>
              </w:rPr>
              <w:t>120°</w:t>
            </w:r>
            <w:r>
              <w:rPr>
                <w:rFonts w:hint="eastAsia"/>
                <w:color w:val="auto"/>
                <w:sz w:val="21"/>
                <w:szCs w:val="21"/>
                <w:highlight w:val="green"/>
                <w:lang w:val="en-US" w:eastAsia="zh-CN"/>
              </w:rPr>
              <w:t>03</w:t>
            </w:r>
            <w:r>
              <w:rPr>
                <w:color w:val="auto"/>
                <w:sz w:val="21"/>
                <w:szCs w:val="21"/>
                <w:highlight w:val="green"/>
              </w:rPr>
              <w:t>′</w:t>
            </w:r>
            <w:r>
              <w:rPr>
                <w:rFonts w:hint="eastAsia"/>
                <w:color w:val="auto"/>
                <w:sz w:val="21"/>
                <w:szCs w:val="21"/>
                <w:highlight w:val="green"/>
                <w:lang w:val="en-US" w:eastAsia="zh-CN"/>
              </w:rPr>
              <w:t>17</w:t>
            </w:r>
            <w:r>
              <w:rPr>
                <w:color w:val="auto"/>
                <w:sz w:val="21"/>
                <w:szCs w:val="21"/>
                <w:highlight w:val="green"/>
              </w:rPr>
              <w:t>.</w:t>
            </w:r>
            <w:r>
              <w:rPr>
                <w:rFonts w:hint="eastAsia"/>
                <w:color w:val="auto"/>
                <w:sz w:val="21"/>
                <w:szCs w:val="21"/>
                <w:highlight w:val="green"/>
                <w:lang w:val="en-US" w:eastAsia="zh-CN"/>
              </w:rPr>
              <w:t>63</w:t>
            </w:r>
            <w:r>
              <w:rPr>
                <w:color w:val="auto"/>
                <w:sz w:val="21"/>
                <w:szCs w:val="21"/>
                <w:highlight w:val="green"/>
              </w:rPr>
              <w:t>″</w:t>
            </w:r>
          </w:p>
        </w:tc>
        <w:tc>
          <w:tcPr>
            <w:tcW w:w="3347" w:type="dxa"/>
            <w:vMerge w:val="continue"/>
            <w:vAlign w:val="center"/>
          </w:tcPr>
          <w:p w14:paraId="4AD60C4D">
            <w:pPr>
              <w:jc w:val="center"/>
              <w:rPr>
                <w:color w:val="auto"/>
                <w:szCs w:val="21"/>
                <w:highlight w:val="green"/>
              </w:rPr>
            </w:pPr>
          </w:p>
        </w:tc>
      </w:tr>
      <w:tr w14:paraId="7F9815F2">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983" w:type="dxa"/>
            <w:vAlign w:val="center"/>
          </w:tcPr>
          <w:p w14:paraId="2FCF8907">
            <w:pPr>
              <w:jc w:val="center"/>
              <w:rPr>
                <w:color w:val="auto"/>
                <w:szCs w:val="21"/>
                <w:highlight w:val="green"/>
              </w:rPr>
            </w:pPr>
            <w:r>
              <w:rPr>
                <w:rFonts w:hint="eastAsia"/>
                <w:color w:val="auto"/>
                <w:szCs w:val="21"/>
                <w:highlight w:val="green"/>
                <w:lang w:eastAsia="zh-CN"/>
              </w:rPr>
              <w:t>厂区内</w:t>
            </w:r>
            <w:r>
              <w:rPr>
                <w:color w:val="auto"/>
                <w:szCs w:val="21"/>
                <w:highlight w:val="green"/>
              </w:rPr>
              <w:t>水井</w:t>
            </w:r>
          </w:p>
        </w:tc>
        <w:tc>
          <w:tcPr>
            <w:tcW w:w="1524" w:type="dxa"/>
            <w:vAlign w:val="center"/>
          </w:tcPr>
          <w:p w14:paraId="2BB8A8FC">
            <w:pPr>
              <w:jc w:val="center"/>
              <w:rPr>
                <w:color w:val="auto"/>
                <w:szCs w:val="21"/>
                <w:highlight w:val="green"/>
              </w:rPr>
            </w:pPr>
            <w:r>
              <w:rPr>
                <w:color w:val="auto"/>
                <w:sz w:val="21"/>
                <w:szCs w:val="21"/>
                <w:highlight w:val="green"/>
              </w:rPr>
              <w:t>41°</w:t>
            </w:r>
            <w:r>
              <w:rPr>
                <w:rFonts w:hint="eastAsia"/>
                <w:color w:val="auto"/>
                <w:sz w:val="21"/>
                <w:szCs w:val="21"/>
                <w:highlight w:val="green"/>
                <w:lang w:val="en-US" w:eastAsia="zh-CN"/>
              </w:rPr>
              <w:t>53</w:t>
            </w:r>
            <w:r>
              <w:rPr>
                <w:color w:val="auto"/>
                <w:sz w:val="21"/>
                <w:szCs w:val="21"/>
                <w:highlight w:val="green"/>
              </w:rPr>
              <w:t>′</w:t>
            </w:r>
            <w:r>
              <w:rPr>
                <w:rFonts w:hint="eastAsia"/>
                <w:color w:val="auto"/>
                <w:sz w:val="21"/>
                <w:szCs w:val="21"/>
                <w:highlight w:val="green"/>
                <w:lang w:val="en-US" w:eastAsia="zh-CN"/>
              </w:rPr>
              <w:t>37</w:t>
            </w:r>
            <w:r>
              <w:rPr>
                <w:color w:val="auto"/>
                <w:sz w:val="21"/>
                <w:szCs w:val="21"/>
                <w:highlight w:val="green"/>
              </w:rPr>
              <w:t>.</w:t>
            </w:r>
            <w:r>
              <w:rPr>
                <w:rFonts w:hint="eastAsia"/>
                <w:color w:val="auto"/>
                <w:sz w:val="21"/>
                <w:szCs w:val="21"/>
                <w:highlight w:val="green"/>
                <w:lang w:val="en-US" w:eastAsia="zh-CN"/>
              </w:rPr>
              <w:t>22</w:t>
            </w:r>
            <w:r>
              <w:rPr>
                <w:color w:val="auto"/>
                <w:sz w:val="21"/>
                <w:szCs w:val="21"/>
                <w:highlight w:val="green"/>
              </w:rPr>
              <w:t>″</w:t>
            </w:r>
          </w:p>
        </w:tc>
        <w:tc>
          <w:tcPr>
            <w:tcW w:w="1665" w:type="dxa"/>
            <w:vAlign w:val="center"/>
          </w:tcPr>
          <w:p w14:paraId="091082C5">
            <w:pPr>
              <w:jc w:val="center"/>
              <w:rPr>
                <w:color w:val="auto"/>
                <w:szCs w:val="21"/>
                <w:highlight w:val="green"/>
              </w:rPr>
            </w:pPr>
            <w:r>
              <w:rPr>
                <w:color w:val="auto"/>
                <w:sz w:val="21"/>
                <w:szCs w:val="21"/>
                <w:highlight w:val="green"/>
              </w:rPr>
              <w:t>120°</w:t>
            </w:r>
            <w:r>
              <w:rPr>
                <w:rFonts w:hint="eastAsia"/>
                <w:color w:val="auto"/>
                <w:sz w:val="21"/>
                <w:szCs w:val="21"/>
                <w:highlight w:val="green"/>
                <w:lang w:val="en-US" w:eastAsia="zh-CN"/>
              </w:rPr>
              <w:t>03</w:t>
            </w:r>
            <w:r>
              <w:rPr>
                <w:color w:val="auto"/>
                <w:sz w:val="21"/>
                <w:szCs w:val="21"/>
                <w:highlight w:val="green"/>
              </w:rPr>
              <w:t>′</w:t>
            </w:r>
            <w:r>
              <w:rPr>
                <w:rFonts w:hint="eastAsia"/>
                <w:color w:val="auto"/>
                <w:sz w:val="21"/>
                <w:szCs w:val="21"/>
                <w:highlight w:val="green"/>
                <w:lang w:val="en-US" w:eastAsia="zh-CN"/>
              </w:rPr>
              <w:t>17</w:t>
            </w:r>
            <w:r>
              <w:rPr>
                <w:color w:val="auto"/>
                <w:sz w:val="21"/>
                <w:szCs w:val="21"/>
                <w:highlight w:val="green"/>
              </w:rPr>
              <w:t>.</w:t>
            </w:r>
            <w:r>
              <w:rPr>
                <w:rFonts w:hint="eastAsia"/>
                <w:color w:val="auto"/>
                <w:sz w:val="21"/>
                <w:szCs w:val="21"/>
                <w:highlight w:val="green"/>
                <w:lang w:val="en-US" w:eastAsia="zh-CN"/>
              </w:rPr>
              <w:t>45</w:t>
            </w:r>
            <w:r>
              <w:rPr>
                <w:color w:val="auto"/>
                <w:sz w:val="21"/>
                <w:szCs w:val="21"/>
                <w:highlight w:val="green"/>
              </w:rPr>
              <w:t>″</w:t>
            </w:r>
          </w:p>
        </w:tc>
        <w:tc>
          <w:tcPr>
            <w:tcW w:w="3347" w:type="dxa"/>
            <w:vMerge w:val="continue"/>
            <w:vAlign w:val="center"/>
          </w:tcPr>
          <w:p w14:paraId="3A66BBAD">
            <w:pPr>
              <w:jc w:val="center"/>
              <w:rPr>
                <w:color w:val="auto"/>
                <w:szCs w:val="21"/>
                <w:highlight w:val="green"/>
              </w:rPr>
            </w:pPr>
          </w:p>
        </w:tc>
      </w:tr>
      <w:tr w14:paraId="1CA7100D">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983" w:type="dxa"/>
            <w:vAlign w:val="center"/>
          </w:tcPr>
          <w:p w14:paraId="6C849C85">
            <w:pPr>
              <w:jc w:val="center"/>
              <w:rPr>
                <w:color w:val="auto"/>
                <w:szCs w:val="21"/>
                <w:highlight w:val="green"/>
              </w:rPr>
            </w:pPr>
            <w:r>
              <w:rPr>
                <w:rFonts w:hint="eastAsia"/>
                <w:color w:val="auto"/>
                <w:szCs w:val="21"/>
                <w:highlight w:val="green"/>
                <w:lang w:eastAsia="zh-CN"/>
              </w:rPr>
              <w:t>东井村</w:t>
            </w:r>
            <w:r>
              <w:rPr>
                <w:color w:val="auto"/>
                <w:szCs w:val="21"/>
                <w:highlight w:val="green"/>
              </w:rPr>
              <w:t>居民水井</w:t>
            </w:r>
          </w:p>
        </w:tc>
        <w:tc>
          <w:tcPr>
            <w:tcW w:w="1524" w:type="dxa"/>
            <w:vAlign w:val="center"/>
          </w:tcPr>
          <w:p w14:paraId="642715D5">
            <w:pPr>
              <w:jc w:val="center"/>
              <w:rPr>
                <w:color w:val="auto"/>
                <w:szCs w:val="21"/>
                <w:highlight w:val="green"/>
              </w:rPr>
            </w:pPr>
            <w:r>
              <w:rPr>
                <w:color w:val="auto"/>
                <w:sz w:val="21"/>
                <w:szCs w:val="21"/>
                <w:highlight w:val="green"/>
              </w:rPr>
              <w:t>41°</w:t>
            </w:r>
            <w:r>
              <w:rPr>
                <w:rFonts w:hint="eastAsia"/>
                <w:color w:val="auto"/>
                <w:sz w:val="21"/>
                <w:szCs w:val="21"/>
                <w:highlight w:val="green"/>
                <w:lang w:val="en-US" w:eastAsia="zh-CN"/>
              </w:rPr>
              <w:t>54</w:t>
            </w:r>
            <w:r>
              <w:rPr>
                <w:color w:val="auto"/>
                <w:sz w:val="21"/>
                <w:szCs w:val="21"/>
                <w:highlight w:val="green"/>
              </w:rPr>
              <w:t>′</w:t>
            </w:r>
            <w:r>
              <w:rPr>
                <w:rFonts w:hint="eastAsia"/>
                <w:color w:val="auto"/>
                <w:sz w:val="21"/>
                <w:szCs w:val="21"/>
                <w:highlight w:val="green"/>
                <w:lang w:val="en-US" w:eastAsia="zh-CN"/>
              </w:rPr>
              <w:t>00</w:t>
            </w:r>
            <w:r>
              <w:rPr>
                <w:color w:val="auto"/>
                <w:sz w:val="21"/>
                <w:szCs w:val="21"/>
                <w:highlight w:val="green"/>
              </w:rPr>
              <w:t>.</w:t>
            </w:r>
            <w:r>
              <w:rPr>
                <w:rFonts w:hint="eastAsia"/>
                <w:color w:val="auto"/>
                <w:sz w:val="21"/>
                <w:szCs w:val="21"/>
                <w:highlight w:val="green"/>
                <w:lang w:val="en-US" w:eastAsia="zh-CN"/>
              </w:rPr>
              <w:t>25</w:t>
            </w:r>
            <w:r>
              <w:rPr>
                <w:color w:val="auto"/>
                <w:sz w:val="21"/>
                <w:szCs w:val="21"/>
                <w:highlight w:val="green"/>
              </w:rPr>
              <w:t>″</w:t>
            </w:r>
          </w:p>
        </w:tc>
        <w:tc>
          <w:tcPr>
            <w:tcW w:w="1665" w:type="dxa"/>
            <w:vAlign w:val="center"/>
          </w:tcPr>
          <w:p w14:paraId="60A4233D">
            <w:pPr>
              <w:jc w:val="center"/>
              <w:rPr>
                <w:color w:val="auto"/>
                <w:szCs w:val="21"/>
                <w:highlight w:val="green"/>
              </w:rPr>
            </w:pPr>
            <w:r>
              <w:rPr>
                <w:color w:val="auto"/>
                <w:sz w:val="21"/>
                <w:szCs w:val="21"/>
                <w:highlight w:val="green"/>
              </w:rPr>
              <w:t>120°</w:t>
            </w:r>
            <w:r>
              <w:rPr>
                <w:rFonts w:hint="eastAsia"/>
                <w:color w:val="auto"/>
                <w:sz w:val="21"/>
                <w:szCs w:val="21"/>
                <w:highlight w:val="green"/>
                <w:lang w:val="en-US" w:eastAsia="zh-CN"/>
              </w:rPr>
              <w:t>03</w:t>
            </w:r>
            <w:r>
              <w:rPr>
                <w:color w:val="auto"/>
                <w:sz w:val="21"/>
                <w:szCs w:val="21"/>
                <w:highlight w:val="green"/>
              </w:rPr>
              <w:t>′</w:t>
            </w:r>
            <w:r>
              <w:rPr>
                <w:rFonts w:hint="eastAsia"/>
                <w:color w:val="auto"/>
                <w:sz w:val="21"/>
                <w:szCs w:val="21"/>
                <w:highlight w:val="green"/>
                <w:lang w:val="en-US" w:eastAsia="zh-CN"/>
              </w:rPr>
              <w:t>52</w:t>
            </w:r>
            <w:r>
              <w:rPr>
                <w:color w:val="auto"/>
                <w:sz w:val="21"/>
                <w:szCs w:val="21"/>
                <w:highlight w:val="green"/>
              </w:rPr>
              <w:t>.</w:t>
            </w:r>
            <w:r>
              <w:rPr>
                <w:rFonts w:hint="eastAsia"/>
                <w:color w:val="auto"/>
                <w:sz w:val="21"/>
                <w:szCs w:val="21"/>
                <w:highlight w:val="green"/>
                <w:lang w:val="en-US" w:eastAsia="zh-CN"/>
              </w:rPr>
              <w:t>36</w:t>
            </w:r>
            <w:r>
              <w:rPr>
                <w:color w:val="auto"/>
                <w:sz w:val="21"/>
                <w:szCs w:val="21"/>
                <w:highlight w:val="green"/>
              </w:rPr>
              <w:t>″</w:t>
            </w:r>
          </w:p>
        </w:tc>
        <w:tc>
          <w:tcPr>
            <w:tcW w:w="3347" w:type="dxa"/>
            <w:vMerge w:val="restart"/>
            <w:vAlign w:val="center"/>
          </w:tcPr>
          <w:p w14:paraId="791DE13F">
            <w:pPr>
              <w:jc w:val="center"/>
              <w:rPr>
                <w:color w:val="auto"/>
                <w:szCs w:val="21"/>
                <w:highlight w:val="green"/>
              </w:rPr>
            </w:pPr>
            <w:r>
              <w:rPr>
                <w:color w:val="auto"/>
                <w:szCs w:val="21"/>
                <w:highlight w:val="green"/>
              </w:rPr>
              <w:t>水位</w:t>
            </w:r>
          </w:p>
        </w:tc>
      </w:tr>
      <w:tr w14:paraId="45A6DC8B">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983" w:type="dxa"/>
            <w:vAlign w:val="center"/>
          </w:tcPr>
          <w:p w14:paraId="783E2D11">
            <w:pPr>
              <w:jc w:val="center"/>
              <w:rPr>
                <w:color w:val="auto"/>
                <w:szCs w:val="21"/>
                <w:highlight w:val="green"/>
              </w:rPr>
            </w:pPr>
            <w:r>
              <w:rPr>
                <w:rFonts w:hint="eastAsia"/>
                <w:color w:val="auto"/>
                <w:szCs w:val="21"/>
                <w:highlight w:val="green"/>
                <w:lang w:eastAsia="zh-CN"/>
              </w:rPr>
              <w:t>西侧林家地</w:t>
            </w:r>
            <w:r>
              <w:rPr>
                <w:color w:val="auto"/>
                <w:szCs w:val="21"/>
                <w:highlight w:val="green"/>
              </w:rPr>
              <w:t>居民水井</w:t>
            </w:r>
          </w:p>
        </w:tc>
        <w:tc>
          <w:tcPr>
            <w:tcW w:w="1524" w:type="dxa"/>
            <w:vAlign w:val="center"/>
          </w:tcPr>
          <w:p w14:paraId="16C3A44D">
            <w:pPr>
              <w:jc w:val="center"/>
              <w:rPr>
                <w:color w:val="auto"/>
                <w:szCs w:val="21"/>
                <w:highlight w:val="green"/>
              </w:rPr>
            </w:pPr>
            <w:r>
              <w:rPr>
                <w:color w:val="auto"/>
                <w:sz w:val="21"/>
                <w:szCs w:val="21"/>
                <w:highlight w:val="green"/>
              </w:rPr>
              <w:t>41°</w:t>
            </w:r>
            <w:r>
              <w:rPr>
                <w:rFonts w:hint="eastAsia"/>
                <w:color w:val="auto"/>
                <w:sz w:val="21"/>
                <w:szCs w:val="21"/>
                <w:highlight w:val="green"/>
                <w:lang w:val="en-US" w:eastAsia="zh-CN"/>
              </w:rPr>
              <w:t>53</w:t>
            </w:r>
            <w:r>
              <w:rPr>
                <w:color w:val="auto"/>
                <w:sz w:val="21"/>
                <w:szCs w:val="21"/>
                <w:highlight w:val="green"/>
              </w:rPr>
              <w:t>′</w:t>
            </w:r>
            <w:r>
              <w:rPr>
                <w:rFonts w:hint="eastAsia"/>
                <w:color w:val="auto"/>
                <w:sz w:val="21"/>
                <w:szCs w:val="21"/>
                <w:highlight w:val="green"/>
                <w:lang w:val="en-US" w:eastAsia="zh-CN"/>
              </w:rPr>
              <w:t>38</w:t>
            </w:r>
            <w:r>
              <w:rPr>
                <w:color w:val="auto"/>
                <w:sz w:val="21"/>
                <w:szCs w:val="21"/>
                <w:highlight w:val="green"/>
              </w:rPr>
              <w:t>.</w:t>
            </w:r>
            <w:r>
              <w:rPr>
                <w:rFonts w:hint="eastAsia"/>
                <w:color w:val="auto"/>
                <w:sz w:val="21"/>
                <w:szCs w:val="21"/>
                <w:highlight w:val="green"/>
                <w:lang w:val="en-US" w:eastAsia="zh-CN"/>
              </w:rPr>
              <w:t>01</w:t>
            </w:r>
            <w:r>
              <w:rPr>
                <w:color w:val="auto"/>
                <w:sz w:val="21"/>
                <w:szCs w:val="21"/>
                <w:highlight w:val="green"/>
              </w:rPr>
              <w:t>″</w:t>
            </w:r>
          </w:p>
        </w:tc>
        <w:tc>
          <w:tcPr>
            <w:tcW w:w="1665" w:type="dxa"/>
            <w:vAlign w:val="center"/>
          </w:tcPr>
          <w:p w14:paraId="7C5B0167">
            <w:pPr>
              <w:jc w:val="center"/>
              <w:rPr>
                <w:color w:val="auto"/>
                <w:szCs w:val="21"/>
                <w:highlight w:val="green"/>
              </w:rPr>
            </w:pPr>
            <w:r>
              <w:rPr>
                <w:color w:val="auto"/>
                <w:sz w:val="21"/>
                <w:szCs w:val="21"/>
                <w:highlight w:val="green"/>
              </w:rPr>
              <w:t>120°</w:t>
            </w:r>
            <w:r>
              <w:rPr>
                <w:rFonts w:hint="eastAsia"/>
                <w:color w:val="auto"/>
                <w:sz w:val="21"/>
                <w:szCs w:val="21"/>
                <w:highlight w:val="green"/>
                <w:lang w:val="en-US" w:eastAsia="zh-CN"/>
              </w:rPr>
              <w:t>02</w:t>
            </w:r>
            <w:r>
              <w:rPr>
                <w:color w:val="auto"/>
                <w:sz w:val="21"/>
                <w:szCs w:val="21"/>
                <w:highlight w:val="green"/>
              </w:rPr>
              <w:t>′</w:t>
            </w:r>
            <w:r>
              <w:rPr>
                <w:rFonts w:hint="eastAsia"/>
                <w:color w:val="auto"/>
                <w:sz w:val="21"/>
                <w:szCs w:val="21"/>
                <w:highlight w:val="green"/>
                <w:lang w:val="en-US" w:eastAsia="zh-CN"/>
              </w:rPr>
              <w:t>27</w:t>
            </w:r>
            <w:r>
              <w:rPr>
                <w:color w:val="auto"/>
                <w:sz w:val="21"/>
                <w:szCs w:val="21"/>
                <w:highlight w:val="green"/>
              </w:rPr>
              <w:t>.</w:t>
            </w:r>
            <w:r>
              <w:rPr>
                <w:rFonts w:hint="eastAsia"/>
                <w:color w:val="auto"/>
                <w:sz w:val="21"/>
                <w:szCs w:val="21"/>
                <w:highlight w:val="green"/>
                <w:lang w:val="en-US" w:eastAsia="zh-CN"/>
              </w:rPr>
              <w:t>08</w:t>
            </w:r>
            <w:r>
              <w:rPr>
                <w:color w:val="auto"/>
                <w:sz w:val="21"/>
                <w:szCs w:val="21"/>
                <w:highlight w:val="green"/>
              </w:rPr>
              <w:t>″</w:t>
            </w:r>
          </w:p>
        </w:tc>
        <w:tc>
          <w:tcPr>
            <w:tcW w:w="3347" w:type="dxa"/>
            <w:vMerge w:val="continue"/>
            <w:vAlign w:val="center"/>
          </w:tcPr>
          <w:p w14:paraId="723F9399">
            <w:pPr>
              <w:jc w:val="center"/>
              <w:rPr>
                <w:color w:val="auto"/>
                <w:szCs w:val="21"/>
                <w:highlight w:val="green"/>
              </w:rPr>
            </w:pPr>
          </w:p>
        </w:tc>
      </w:tr>
      <w:tr w14:paraId="363AE3BF">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40" w:hRule="atLeast"/>
          <w:jc w:val="center"/>
        </w:trPr>
        <w:tc>
          <w:tcPr>
            <w:tcW w:w="1983" w:type="dxa"/>
            <w:vAlign w:val="center"/>
          </w:tcPr>
          <w:p w14:paraId="12A5CD5B">
            <w:pPr>
              <w:jc w:val="center"/>
              <w:rPr>
                <w:color w:val="auto"/>
                <w:szCs w:val="21"/>
                <w:highlight w:val="green"/>
              </w:rPr>
            </w:pPr>
            <w:r>
              <w:rPr>
                <w:rFonts w:hint="eastAsia"/>
                <w:color w:val="auto"/>
                <w:szCs w:val="21"/>
                <w:highlight w:val="green"/>
                <w:lang w:eastAsia="zh-CN"/>
              </w:rPr>
              <w:t>东南侧北沟村</w:t>
            </w:r>
            <w:r>
              <w:rPr>
                <w:color w:val="auto"/>
                <w:szCs w:val="21"/>
                <w:highlight w:val="green"/>
              </w:rPr>
              <w:t>居民水井</w:t>
            </w:r>
          </w:p>
        </w:tc>
        <w:tc>
          <w:tcPr>
            <w:tcW w:w="1524" w:type="dxa"/>
            <w:vAlign w:val="center"/>
          </w:tcPr>
          <w:p w14:paraId="4C43390D">
            <w:pPr>
              <w:jc w:val="center"/>
              <w:rPr>
                <w:color w:val="auto"/>
                <w:szCs w:val="21"/>
                <w:highlight w:val="green"/>
              </w:rPr>
            </w:pPr>
            <w:r>
              <w:rPr>
                <w:color w:val="auto"/>
                <w:sz w:val="21"/>
                <w:szCs w:val="21"/>
                <w:highlight w:val="green"/>
              </w:rPr>
              <w:t>41°</w:t>
            </w:r>
            <w:r>
              <w:rPr>
                <w:rFonts w:hint="eastAsia"/>
                <w:color w:val="auto"/>
                <w:sz w:val="21"/>
                <w:szCs w:val="21"/>
                <w:highlight w:val="green"/>
                <w:lang w:val="en-US" w:eastAsia="zh-CN"/>
              </w:rPr>
              <w:t>52</w:t>
            </w:r>
            <w:r>
              <w:rPr>
                <w:color w:val="auto"/>
                <w:sz w:val="21"/>
                <w:szCs w:val="21"/>
                <w:highlight w:val="green"/>
              </w:rPr>
              <w:t>′</w:t>
            </w:r>
            <w:r>
              <w:rPr>
                <w:rFonts w:hint="eastAsia"/>
                <w:color w:val="auto"/>
                <w:sz w:val="21"/>
                <w:szCs w:val="21"/>
                <w:highlight w:val="green"/>
                <w:lang w:val="en-US" w:eastAsia="zh-CN"/>
              </w:rPr>
              <w:t>33</w:t>
            </w:r>
            <w:r>
              <w:rPr>
                <w:color w:val="auto"/>
                <w:sz w:val="21"/>
                <w:szCs w:val="21"/>
                <w:highlight w:val="green"/>
              </w:rPr>
              <w:t>.</w:t>
            </w:r>
            <w:r>
              <w:rPr>
                <w:rFonts w:hint="eastAsia"/>
                <w:color w:val="auto"/>
                <w:sz w:val="21"/>
                <w:szCs w:val="21"/>
                <w:highlight w:val="green"/>
                <w:lang w:val="en-US" w:eastAsia="zh-CN"/>
              </w:rPr>
              <w:t>12</w:t>
            </w:r>
            <w:r>
              <w:rPr>
                <w:color w:val="auto"/>
                <w:sz w:val="21"/>
                <w:szCs w:val="21"/>
                <w:highlight w:val="green"/>
              </w:rPr>
              <w:t>″</w:t>
            </w:r>
          </w:p>
        </w:tc>
        <w:tc>
          <w:tcPr>
            <w:tcW w:w="1665" w:type="dxa"/>
            <w:vAlign w:val="center"/>
          </w:tcPr>
          <w:p w14:paraId="31EB1ED3">
            <w:pPr>
              <w:jc w:val="center"/>
              <w:rPr>
                <w:color w:val="auto"/>
                <w:szCs w:val="21"/>
                <w:highlight w:val="green"/>
              </w:rPr>
            </w:pPr>
            <w:r>
              <w:rPr>
                <w:color w:val="auto"/>
                <w:sz w:val="21"/>
                <w:szCs w:val="21"/>
                <w:highlight w:val="green"/>
              </w:rPr>
              <w:t>120°</w:t>
            </w:r>
            <w:r>
              <w:rPr>
                <w:rFonts w:hint="eastAsia"/>
                <w:color w:val="auto"/>
                <w:sz w:val="21"/>
                <w:szCs w:val="21"/>
                <w:highlight w:val="green"/>
                <w:lang w:val="en-US" w:eastAsia="zh-CN"/>
              </w:rPr>
              <w:t>04</w:t>
            </w:r>
            <w:r>
              <w:rPr>
                <w:color w:val="auto"/>
                <w:sz w:val="21"/>
                <w:szCs w:val="21"/>
                <w:highlight w:val="green"/>
              </w:rPr>
              <w:t>′</w:t>
            </w:r>
            <w:r>
              <w:rPr>
                <w:rFonts w:hint="eastAsia"/>
                <w:color w:val="auto"/>
                <w:sz w:val="21"/>
                <w:szCs w:val="21"/>
                <w:highlight w:val="green"/>
                <w:lang w:val="en-US" w:eastAsia="zh-CN"/>
              </w:rPr>
              <w:t>24</w:t>
            </w:r>
            <w:r>
              <w:rPr>
                <w:color w:val="auto"/>
                <w:sz w:val="21"/>
                <w:szCs w:val="21"/>
                <w:highlight w:val="green"/>
              </w:rPr>
              <w:t>.</w:t>
            </w:r>
            <w:r>
              <w:rPr>
                <w:rFonts w:hint="eastAsia"/>
                <w:color w:val="auto"/>
                <w:sz w:val="21"/>
                <w:szCs w:val="21"/>
                <w:highlight w:val="green"/>
                <w:lang w:val="en-US" w:eastAsia="zh-CN"/>
              </w:rPr>
              <w:t>49</w:t>
            </w:r>
            <w:r>
              <w:rPr>
                <w:color w:val="auto"/>
                <w:sz w:val="21"/>
                <w:szCs w:val="21"/>
                <w:highlight w:val="green"/>
              </w:rPr>
              <w:t>″</w:t>
            </w:r>
          </w:p>
        </w:tc>
        <w:tc>
          <w:tcPr>
            <w:tcW w:w="3347" w:type="dxa"/>
            <w:vMerge w:val="continue"/>
            <w:vAlign w:val="center"/>
          </w:tcPr>
          <w:p w14:paraId="64F97915">
            <w:pPr>
              <w:jc w:val="center"/>
              <w:rPr>
                <w:color w:val="auto"/>
                <w:szCs w:val="21"/>
                <w:highlight w:val="green"/>
              </w:rPr>
            </w:pPr>
          </w:p>
        </w:tc>
      </w:tr>
    </w:tbl>
    <w:p w14:paraId="34BFC130">
      <w:pPr>
        <w:spacing w:line="360" w:lineRule="auto"/>
        <w:ind w:firstLine="480" w:firstLineChars="200"/>
        <w:rPr>
          <w:color w:val="auto"/>
          <w:sz w:val="24"/>
          <w:highlight w:val="green"/>
        </w:rPr>
      </w:pPr>
      <w:r>
        <w:rPr>
          <w:color w:val="auto"/>
          <w:sz w:val="24"/>
          <w:highlight w:val="green"/>
        </w:rPr>
        <w:t>监测结果见表4</w:t>
      </w:r>
      <w:r>
        <w:rPr>
          <w:rFonts w:hint="eastAsia"/>
          <w:color w:val="auto"/>
          <w:sz w:val="24"/>
          <w:highlight w:val="green"/>
          <w:lang w:val="en-US" w:eastAsia="zh-CN"/>
        </w:rPr>
        <w:t>.4</w:t>
      </w:r>
      <w:r>
        <w:rPr>
          <w:color w:val="auto"/>
          <w:sz w:val="24"/>
          <w:highlight w:val="green"/>
        </w:rPr>
        <w:t>-</w:t>
      </w:r>
      <w:r>
        <w:rPr>
          <w:rFonts w:hint="eastAsia"/>
          <w:color w:val="auto"/>
          <w:sz w:val="24"/>
          <w:highlight w:val="green"/>
        </w:rPr>
        <w:t>8</w:t>
      </w:r>
      <w:r>
        <w:rPr>
          <w:color w:val="auto"/>
          <w:sz w:val="24"/>
          <w:highlight w:val="green"/>
        </w:rPr>
        <w:t>。</w:t>
      </w:r>
    </w:p>
    <w:p w14:paraId="73D8320B">
      <w:pPr>
        <w:snapToGrid w:val="0"/>
        <w:ind w:right="420" w:firstLine="2471" w:firstLineChars="1172"/>
        <w:rPr>
          <w:b/>
          <w:color w:val="auto"/>
          <w:szCs w:val="21"/>
          <w:highlight w:val="green"/>
        </w:rPr>
      </w:pPr>
      <w:r>
        <w:rPr>
          <w:b/>
          <w:color w:val="auto"/>
          <w:szCs w:val="21"/>
          <w:highlight w:val="green"/>
        </w:rPr>
        <w:t>表4</w:t>
      </w:r>
      <w:r>
        <w:rPr>
          <w:rFonts w:hint="eastAsia"/>
          <w:b/>
          <w:color w:val="auto"/>
          <w:szCs w:val="21"/>
          <w:highlight w:val="green"/>
          <w:lang w:val="en-US" w:eastAsia="zh-CN"/>
        </w:rPr>
        <w:t>.4</w:t>
      </w:r>
      <w:r>
        <w:rPr>
          <w:b/>
          <w:color w:val="auto"/>
          <w:szCs w:val="21"/>
          <w:highlight w:val="green"/>
        </w:rPr>
        <w:t>-</w:t>
      </w:r>
      <w:r>
        <w:rPr>
          <w:rFonts w:hint="eastAsia"/>
          <w:b/>
          <w:color w:val="auto"/>
          <w:szCs w:val="21"/>
          <w:highlight w:val="green"/>
        </w:rPr>
        <w:t>8</w:t>
      </w:r>
      <w:r>
        <w:rPr>
          <w:b/>
          <w:color w:val="auto"/>
          <w:szCs w:val="21"/>
          <w:highlight w:val="green"/>
        </w:rPr>
        <w:t xml:space="preserve"> </w:t>
      </w:r>
      <w:r>
        <w:rPr>
          <w:rFonts w:hint="eastAsia"/>
          <w:b/>
          <w:color w:val="auto"/>
          <w:szCs w:val="21"/>
          <w:highlight w:val="green"/>
          <w:lang w:val="en-US" w:eastAsia="zh-CN"/>
        </w:rPr>
        <w:t xml:space="preserve">  </w:t>
      </w:r>
      <w:r>
        <w:rPr>
          <w:b/>
          <w:color w:val="auto"/>
          <w:szCs w:val="21"/>
          <w:highlight w:val="green"/>
        </w:rPr>
        <w:t xml:space="preserve"> 地下水监测结果</w:t>
      </w:r>
    </w:p>
    <w:tbl>
      <w:tblPr>
        <w:tblStyle w:val="53"/>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57"/>
        <w:gridCol w:w="1252"/>
        <w:gridCol w:w="1547"/>
        <w:gridCol w:w="1496"/>
        <w:gridCol w:w="1354"/>
        <w:gridCol w:w="1119"/>
      </w:tblGrid>
      <w:tr w14:paraId="0704D6D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030" w:type="pct"/>
            <w:vMerge w:val="restart"/>
            <w:vAlign w:val="center"/>
          </w:tcPr>
          <w:p w14:paraId="1F84AF97">
            <w:pPr>
              <w:jc w:val="center"/>
              <w:rPr>
                <w:b/>
                <w:color w:val="auto"/>
                <w:szCs w:val="21"/>
                <w:highlight w:val="green"/>
              </w:rPr>
            </w:pPr>
            <w:r>
              <w:rPr>
                <w:b/>
                <w:color w:val="auto"/>
                <w:szCs w:val="21"/>
                <w:highlight w:val="green"/>
              </w:rPr>
              <w:t>检测项目</w:t>
            </w:r>
          </w:p>
        </w:tc>
        <w:tc>
          <w:tcPr>
            <w:tcW w:w="734" w:type="pct"/>
            <w:vMerge w:val="restart"/>
            <w:vAlign w:val="center"/>
          </w:tcPr>
          <w:p w14:paraId="31710317">
            <w:pPr>
              <w:snapToGrid w:val="0"/>
              <w:jc w:val="center"/>
              <w:rPr>
                <w:b/>
                <w:color w:val="auto"/>
                <w:szCs w:val="21"/>
                <w:highlight w:val="green"/>
              </w:rPr>
            </w:pPr>
            <w:r>
              <w:rPr>
                <w:b/>
                <w:color w:val="auto"/>
                <w:szCs w:val="21"/>
                <w:highlight w:val="green"/>
              </w:rPr>
              <w:t>采样时间</w:t>
            </w:r>
          </w:p>
        </w:tc>
        <w:tc>
          <w:tcPr>
            <w:tcW w:w="2578" w:type="pct"/>
            <w:gridSpan w:val="3"/>
            <w:vAlign w:val="center"/>
          </w:tcPr>
          <w:p w14:paraId="731DEBB7">
            <w:pPr>
              <w:jc w:val="center"/>
              <w:rPr>
                <w:rFonts w:hint="eastAsia" w:eastAsia="宋体"/>
                <w:b/>
                <w:color w:val="auto"/>
                <w:szCs w:val="21"/>
                <w:highlight w:val="green"/>
                <w:lang w:eastAsia="zh-CN"/>
              </w:rPr>
            </w:pPr>
            <w:r>
              <w:rPr>
                <w:rFonts w:hint="eastAsia"/>
                <w:b/>
                <w:color w:val="auto"/>
                <w:szCs w:val="21"/>
                <w:highlight w:val="green"/>
                <w:lang w:eastAsia="zh-CN"/>
              </w:rPr>
              <w:t>监测结果</w:t>
            </w:r>
          </w:p>
        </w:tc>
        <w:tc>
          <w:tcPr>
            <w:tcW w:w="656" w:type="pct"/>
            <w:vMerge w:val="restart"/>
            <w:vAlign w:val="center"/>
          </w:tcPr>
          <w:p w14:paraId="5D843BD2">
            <w:pPr>
              <w:jc w:val="center"/>
              <w:rPr>
                <w:rFonts w:hint="eastAsia"/>
                <w:b/>
                <w:color w:val="auto"/>
                <w:szCs w:val="21"/>
                <w:highlight w:val="green"/>
                <w:lang w:eastAsia="zh-CN"/>
              </w:rPr>
            </w:pPr>
            <w:r>
              <w:rPr>
                <w:rFonts w:hint="eastAsia"/>
                <w:b/>
                <w:color w:val="auto"/>
                <w:szCs w:val="21"/>
                <w:highlight w:val="green"/>
                <w:lang w:eastAsia="zh-CN"/>
              </w:rPr>
              <w:t>标准</w:t>
            </w:r>
          </w:p>
        </w:tc>
      </w:tr>
      <w:tr w14:paraId="462035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1030" w:type="pct"/>
            <w:vMerge w:val="continue"/>
            <w:vAlign w:val="center"/>
          </w:tcPr>
          <w:p w14:paraId="3099A93F">
            <w:pPr>
              <w:jc w:val="center"/>
              <w:rPr>
                <w:b/>
                <w:color w:val="auto"/>
                <w:szCs w:val="21"/>
                <w:highlight w:val="green"/>
              </w:rPr>
            </w:pPr>
          </w:p>
        </w:tc>
        <w:tc>
          <w:tcPr>
            <w:tcW w:w="734" w:type="pct"/>
            <w:vMerge w:val="continue"/>
            <w:vAlign w:val="center"/>
          </w:tcPr>
          <w:p w14:paraId="710E0047">
            <w:pPr>
              <w:jc w:val="center"/>
              <w:rPr>
                <w:b/>
                <w:color w:val="auto"/>
                <w:szCs w:val="21"/>
                <w:highlight w:val="green"/>
              </w:rPr>
            </w:pPr>
          </w:p>
        </w:tc>
        <w:tc>
          <w:tcPr>
            <w:tcW w:w="907" w:type="pct"/>
            <w:vAlign w:val="center"/>
          </w:tcPr>
          <w:p w14:paraId="348974A5">
            <w:pPr>
              <w:jc w:val="center"/>
              <w:rPr>
                <w:rFonts w:hint="eastAsia"/>
                <w:color w:val="auto"/>
                <w:highlight w:val="green"/>
                <w:lang w:eastAsia="zh-CN"/>
              </w:rPr>
            </w:pPr>
            <w:r>
              <w:rPr>
                <w:rFonts w:hint="eastAsia"/>
                <w:color w:val="auto"/>
                <w:highlight w:val="green"/>
                <w:lang w:eastAsia="zh-CN"/>
              </w:rPr>
              <w:t>西南侧林家地村</w:t>
            </w:r>
          </w:p>
        </w:tc>
        <w:tc>
          <w:tcPr>
            <w:tcW w:w="877" w:type="pct"/>
            <w:vAlign w:val="center"/>
          </w:tcPr>
          <w:p w14:paraId="5D1DEF33">
            <w:pPr>
              <w:jc w:val="center"/>
              <w:rPr>
                <w:rFonts w:hint="eastAsia"/>
                <w:color w:val="auto"/>
                <w:highlight w:val="green"/>
                <w:lang w:eastAsia="zh-CN"/>
              </w:rPr>
            </w:pPr>
            <w:r>
              <w:rPr>
                <w:rFonts w:hint="eastAsia"/>
                <w:color w:val="auto"/>
                <w:highlight w:val="green"/>
                <w:lang w:eastAsia="zh-CN"/>
              </w:rPr>
              <w:t>北侧</w:t>
            </w:r>
            <w:r>
              <w:rPr>
                <w:color w:val="auto"/>
                <w:highlight w:val="green"/>
              </w:rPr>
              <w:t>房身</w:t>
            </w:r>
            <w:r>
              <w:rPr>
                <w:rFonts w:hint="eastAsia"/>
                <w:color w:val="auto"/>
                <w:highlight w:val="green"/>
                <w:lang w:eastAsia="zh-CN"/>
              </w:rPr>
              <w:t>地</w:t>
            </w:r>
            <w:r>
              <w:rPr>
                <w:color w:val="auto"/>
                <w:highlight w:val="green"/>
              </w:rPr>
              <w:t>村</w:t>
            </w:r>
          </w:p>
        </w:tc>
        <w:tc>
          <w:tcPr>
            <w:tcW w:w="794" w:type="pct"/>
            <w:vAlign w:val="center"/>
          </w:tcPr>
          <w:p w14:paraId="5CE055B7">
            <w:pPr>
              <w:jc w:val="center"/>
              <w:rPr>
                <w:rFonts w:hint="eastAsia"/>
                <w:color w:val="auto"/>
                <w:highlight w:val="green"/>
                <w:lang w:eastAsia="zh-CN"/>
              </w:rPr>
            </w:pPr>
            <w:r>
              <w:rPr>
                <w:rFonts w:hint="eastAsia"/>
                <w:color w:val="auto"/>
                <w:highlight w:val="green"/>
                <w:lang w:eastAsia="zh-CN"/>
              </w:rPr>
              <w:t>厂区内</w:t>
            </w:r>
            <w:r>
              <w:rPr>
                <w:color w:val="auto"/>
                <w:highlight w:val="green"/>
              </w:rPr>
              <w:t>水井</w:t>
            </w:r>
          </w:p>
        </w:tc>
        <w:tc>
          <w:tcPr>
            <w:tcW w:w="656" w:type="pct"/>
            <w:vMerge w:val="continue"/>
            <w:vAlign w:val="center"/>
          </w:tcPr>
          <w:p w14:paraId="3E7C3A41">
            <w:pPr>
              <w:jc w:val="center"/>
              <w:rPr>
                <w:rFonts w:hint="eastAsia"/>
                <w:b/>
                <w:color w:val="auto"/>
                <w:szCs w:val="21"/>
                <w:highlight w:val="green"/>
                <w:lang w:eastAsia="zh-CN"/>
              </w:rPr>
            </w:pPr>
          </w:p>
        </w:tc>
      </w:tr>
      <w:tr w14:paraId="770F1AF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1030" w:type="pct"/>
            <w:vAlign w:val="center"/>
          </w:tcPr>
          <w:p w14:paraId="2F883444">
            <w:pPr>
              <w:jc w:val="center"/>
              <w:rPr>
                <w:rFonts w:hint="eastAsia" w:eastAsia="宋体"/>
                <w:b/>
                <w:color w:val="auto"/>
                <w:szCs w:val="21"/>
                <w:highlight w:val="green"/>
                <w:lang w:eastAsia="zh-CN"/>
              </w:rPr>
            </w:pPr>
            <w:r>
              <w:rPr>
                <w:rFonts w:hint="eastAsia"/>
                <w:b w:val="0"/>
                <w:bCs/>
                <w:color w:val="auto"/>
                <w:szCs w:val="21"/>
                <w:highlight w:val="green"/>
                <w:lang w:eastAsia="zh-CN"/>
              </w:rPr>
              <w:t>水位</w:t>
            </w:r>
          </w:p>
        </w:tc>
        <w:tc>
          <w:tcPr>
            <w:tcW w:w="734" w:type="pct"/>
            <w:vAlign w:val="center"/>
          </w:tcPr>
          <w:p w14:paraId="16E6985F">
            <w:pPr>
              <w:jc w:val="center"/>
              <w:rPr>
                <w:rFonts w:hint="default" w:eastAsia="宋体"/>
                <w:b w:val="0"/>
                <w:bCs/>
                <w:color w:val="auto"/>
                <w:szCs w:val="21"/>
                <w:highlight w:val="green"/>
                <w:lang w:val="en-US" w:eastAsia="zh-CN"/>
              </w:rPr>
            </w:pPr>
            <w:r>
              <w:rPr>
                <w:rFonts w:hint="eastAsia"/>
                <w:b w:val="0"/>
                <w:bCs/>
                <w:color w:val="auto"/>
                <w:szCs w:val="21"/>
                <w:highlight w:val="green"/>
                <w:lang w:val="en-US" w:eastAsia="zh-CN"/>
              </w:rPr>
              <w:t>12月21日</w:t>
            </w:r>
          </w:p>
        </w:tc>
        <w:tc>
          <w:tcPr>
            <w:tcW w:w="907" w:type="pct"/>
            <w:vAlign w:val="center"/>
          </w:tcPr>
          <w:p w14:paraId="4575D19E">
            <w:pPr>
              <w:jc w:val="center"/>
              <w:rPr>
                <w:rFonts w:hint="default"/>
                <w:color w:val="auto"/>
                <w:highlight w:val="green"/>
                <w:lang w:val="en-US" w:eastAsia="zh-CN"/>
              </w:rPr>
            </w:pPr>
            <w:r>
              <w:rPr>
                <w:rFonts w:hint="eastAsia"/>
                <w:color w:val="auto"/>
                <w:highlight w:val="green"/>
                <w:lang w:val="en-US" w:eastAsia="zh-CN"/>
              </w:rPr>
              <w:t>577.24</w:t>
            </w:r>
          </w:p>
        </w:tc>
        <w:tc>
          <w:tcPr>
            <w:tcW w:w="877" w:type="pct"/>
            <w:vAlign w:val="center"/>
          </w:tcPr>
          <w:p w14:paraId="0678A7C5">
            <w:pPr>
              <w:jc w:val="center"/>
              <w:rPr>
                <w:rFonts w:hint="default"/>
                <w:color w:val="auto"/>
                <w:highlight w:val="green"/>
                <w:lang w:val="en-US" w:eastAsia="zh-CN"/>
              </w:rPr>
            </w:pPr>
            <w:r>
              <w:rPr>
                <w:rFonts w:hint="eastAsia"/>
                <w:color w:val="auto"/>
                <w:highlight w:val="green"/>
                <w:lang w:val="en-US" w:eastAsia="zh-CN"/>
              </w:rPr>
              <w:t>589.11</w:t>
            </w:r>
          </w:p>
        </w:tc>
        <w:tc>
          <w:tcPr>
            <w:tcW w:w="794" w:type="pct"/>
            <w:vAlign w:val="center"/>
          </w:tcPr>
          <w:p w14:paraId="4E6457E5">
            <w:pPr>
              <w:jc w:val="center"/>
              <w:rPr>
                <w:rFonts w:hint="default"/>
                <w:color w:val="auto"/>
                <w:highlight w:val="green"/>
                <w:lang w:val="en-US" w:eastAsia="zh-CN"/>
              </w:rPr>
            </w:pPr>
            <w:r>
              <w:rPr>
                <w:rFonts w:hint="eastAsia"/>
                <w:color w:val="auto"/>
                <w:highlight w:val="green"/>
                <w:lang w:val="en-US" w:eastAsia="zh-CN"/>
              </w:rPr>
              <w:t>576.24</w:t>
            </w:r>
          </w:p>
        </w:tc>
        <w:tc>
          <w:tcPr>
            <w:tcW w:w="656" w:type="pct"/>
            <w:vAlign w:val="center"/>
          </w:tcPr>
          <w:p w14:paraId="41FFD20A">
            <w:pPr>
              <w:jc w:val="center"/>
              <w:rPr>
                <w:rFonts w:hint="default"/>
                <w:b/>
                <w:color w:val="auto"/>
                <w:szCs w:val="21"/>
                <w:highlight w:val="green"/>
                <w:lang w:val="en-US" w:eastAsia="zh-CN"/>
              </w:rPr>
            </w:pPr>
            <w:r>
              <w:rPr>
                <w:rFonts w:hint="eastAsia"/>
                <w:b/>
                <w:color w:val="auto"/>
                <w:szCs w:val="21"/>
                <w:highlight w:val="green"/>
                <w:lang w:val="en-US" w:eastAsia="zh-CN"/>
              </w:rPr>
              <w:t>/</w:t>
            </w:r>
          </w:p>
        </w:tc>
      </w:tr>
      <w:tr w14:paraId="6550134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5F5B55CA">
            <w:pPr>
              <w:jc w:val="center"/>
              <w:rPr>
                <w:color w:val="auto"/>
                <w:spacing w:val="12"/>
                <w:szCs w:val="21"/>
                <w:highlight w:val="green"/>
                <w:vertAlign w:val="superscript"/>
              </w:rPr>
            </w:pPr>
            <w:r>
              <w:rPr>
                <w:color w:val="auto"/>
                <w:spacing w:val="12"/>
                <w:szCs w:val="21"/>
                <w:highlight w:val="green"/>
              </w:rPr>
              <w:t>K</w:t>
            </w:r>
            <w:r>
              <w:rPr>
                <w:color w:val="auto"/>
                <w:spacing w:val="12"/>
                <w:szCs w:val="21"/>
                <w:highlight w:val="green"/>
                <w:vertAlign w:val="superscript"/>
              </w:rPr>
              <w:t>+</w:t>
            </w:r>
          </w:p>
          <w:p w14:paraId="79E4EFB2">
            <w:pPr>
              <w:jc w:val="center"/>
              <w:rPr>
                <w:color w:val="auto"/>
                <w:szCs w:val="21"/>
                <w:highlight w:val="green"/>
              </w:rPr>
            </w:pPr>
            <w:r>
              <w:rPr>
                <w:color w:val="auto"/>
                <w:szCs w:val="21"/>
                <w:highlight w:val="green"/>
              </w:rPr>
              <w:t>（mg/L）</w:t>
            </w:r>
          </w:p>
        </w:tc>
        <w:tc>
          <w:tcPr>
            <w:tcW w:w="734" w:type="pct"/>
            <w:vAlign w:val="center"/>
          </w:tcPr>
          <w:p w14:paraId="2098BFC9">
            <w:pPr>
              <w:jc w:val="center"/>
              <w:rPr>
                <w:rFonts w:hint="default" w:eastAsia="宋体"/>
                <w:color w:val="auto"/>
                <w:szCs w:val="21"/>
                <w:highlight w:val="green"/>
                <w:lang w:val="en-US" w:eastAsia="zh-CN"/>
              </w:rPr>
            </w:pPr>
            <w:r>
              <w:rPr>
                <w:rFonts w:hint="eastAsia"/>
                <w:color w:val="auto"/>
                <w:szCs w:val="21"/>
                <w:highlight w:val="green"/>
                <w:lang w:val="en-US" w:eastAsia="zh-CN"/>
              </w:rPr>
              <w:t>12月21日</w:t>
            </w:r>
          </w:p>
        </w:tc>
        <w:tc>
          <w:tcPr>
            <w:tcW w:w="1547" w:type="dxa"/>
            <w:vAlign w:val="center"/>
          </w:tcPr>
          <w:p w14:paraId="3E1C1899">
            <w:pPr>
              <w:jc w:val="center"/>
              <w:rPr>
                <w:color w:val="auto"/>
                <w:highlight w:val="green"/>
              </w:rPr>
            </w:pPr>
            <w:r>
              <w:rPr>
                <w:rFonts w:hint="eastAsia"/>
                <w:color w:val="auto"/>
                <w:highlight w:val="green"/>
                <w:lang w:val="en-US" w:eastAsia="zh-CN"/>
              </w:rPr>
              <w:t>1.53</w:t>
            </w:r>
          </w:p>
        </w:tc>
        <w:tc>
          <w:tcPr>
            <w:tcW w:w="1496" w:type="dxa"/>
            <w:vAlign w:val="center"/>
          </w:tcPr>
          <w:p w14:paraId="51955C54">
            <w:pPr>
              <w:jc w:val="center"/>
              <w:rPr>
                <w:color w:val="auto"/>
                <w:highlight w:val="green"/>
              </w:rPr>
            </w:pPr>
            <w:r>
              <w:rPr>
                <w:rFonts w:hint="eastAsia"/>
                <w:color w:val="auto"/>
                <w:highlight w:val="green"/>
                <w:lang w:val="en-US" w:eastAsia="zh-CN"/>
              </w:rPr>
              <w:t>2.12</w:t>
            </w:r>
          </w:p>
        </w:tc>
        <w:tc>
          <w:tcPr>
            <w:tcW w:w="794" w:type="pct"/>
            <w:vAlign w:val="center"/>
          </w:tcPr>
          <w:p w14:paraId="48E68D62">
            <w:pPr>
              <w:jc w:val="center"/>
              <w:rPr>
                <w:color w:val="auto"/>
                <w:highlight w:val="green"/>
              </w:rPr>
            </w:pPr>
            <w:r>
              <w:rPr>
                <w:rFonts w:hint="eastAsia"/>
                <w:color w:val="auto"/>
                <w:highlight w:val="green"/>
                <w:lang w:val="en-US" w:eastAsia="zh-CN"/>
              </w:rPr>
              <w:t>3.23</w:t>
            </w:r>
          </w:p>
        </w:tc>
        <w:tc>
          <w:tcPr>
            <w:tcW w:w="656" w:type="pct"/>
            <w:vMerge w:val="restart"/>
            <w:vAlign w:val="center"/>
          </w:tcPr>
          <w:p w14:paraId="431B0433">
            <w:pPr>
              <w:jc w:val="center"/>
              <w:rPr>
                <w:rFonts w:hint="default" w:ascii="Times New Roman" w:hAnsi="Times New Roman" w:eastAsia="宋体"/>
                <w:color w:val="auto"/>
                <w:szCs w:val="21"/>
                <w:highlight w:val="green"/>
                <w:lang w:val="en-US" w:eastAsia="zh-CN"/>
              </w:rPr>
            </w:pPr>
            <w:r>
              <w:rPr>
                <w:rFonts w:hint="eastAsia"/>
                <w:color w:val="auto"/>
                <w:szCs w:val="21"/>
                <w:highlight w:val="green"/>
                <w:lang w:val="en-US" w:eastAsia="zh-CN"/>
              </w:rPr>
              <w:t>/</w:t>
            </w:r>
          </w:p>
        </w:tc>
      </w:tr>
      <w:tr w14:paraId="084B0EF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6247CDF9">
            <w:pPr>
              <w:jc w:val="center"/>
              <w:rPr>
                <w:color w:val="auto"/>
                <w:szCs w:val="21"/>
                <w:highlight w:val="green"/>
              </w:rPr>
            </w:pPr>
          </w:p>
        </w:tc>
        <w:tc>
          <w:tcPr>
            <w:tcW w:w="734" w:type="pct"/>
            <w:vAlign w:val="center"/>
          </w:tcPr>
          <w:p w14:paraId="53763154">
            <w:pPr>
              <w:jc w:val="center"/>
              <w:rPr>
                <w:rFonts w:hint="default" w:eastAsia="宋体"/>
                <w:color w:val="auto"/>
                <w:szCs w:val="21"/>
                <w:highlight w:val="green"/>
                <w:lang w:val="en-US" w:eastAsia="zh-CN"/>
              </w:rPr>
            </w:pPr>
            <w:r>
              <w:rPr>
                <w:rFonts w:hint="eastAsia"/>
                <w:color w:val="auto"/>
                <w:szCs w:val="21"/>
                <w:highlight w:val="green"/>
                <w:lang w:val="en-US" w:eastAsia="zh-CN"/>
              </w:rPr>
              <w:t>12月22日</w:t>
            </w:r>
          </w:p>
        </w:tc>
        <w:tc>
          <w:tcPr>
            <w:tcW w:w="1547" w:type="dxa"/>
            <w:vAlign w:val="center"/>
          </w:tcPr>
          <w:p w14:paraId="3E0E6385">
            <w:pPr>
              <w:jc w:val="center"/>
              <w:rPr>
                <w:color w:val="auto"/>
                <w:highlight w:val="green"/>
              </w:rPr>
            </w:pPr>
            <w:r>
              <w:rPr>
                <w:rFonts w:hint="eastAsia"/>
                <w:color w:val="auto"/>
                <w:highlight w:val="green"/>
                <w:lang w:val="en-US" w:eastAsia="zh-CN"/>
              </w:rPr>
              <w:t>1.53</w:t>
            </w:r>
          </w:p>
        </w:tc>
        <w:tc>
          <w:tcPr>
            <w:tcW w:w="1496" w:type="dxa"/>
            <w:vAlign w:val="center"/>
          </w:tcPr>
          <w:p w14:paraId="7C7828AF">
            <w:pPr>
              <w:jc w:val="center"/>
              <w:rPr>
                <w:color w:val="auto"/>
                <w:highlight w:val="green"/>
              </w:rPr>
            </w:pPr>
            <w:r>
              <w:rPr>
                <w:rFonts w:hint="eastAsia"/>
                <w:color w:val="auto"/>
                <w:highlight w:val="green"/>
                <w:lang w:val="en-US" w:eastAsia="zh-CN"/>
              </w:rPr>
              <w:t>2.13</w:t>
            </w:r>
          </w:p>
        </w:tc>
        <w:tc>
          <w:tcPr>
            <w:tcW w:w="794" w:type="pct"/>
            <w:vAlign w:val="center"/>
          </w:tcPr>
          <w:p w14:paraId="68481C7F">
            <w:pPr>
              <w:jc w:val="center"/>
              <w:rPr>
                <w:color w:val="auto"/>
                <w:highlight w:val="green"/>
              </w:rPr>
            </w:pPr>
            <w:r>
              <w:rPr>
                <w:rFonts w:hint="eastAsia"/>
                <w:color w:val="auto"/>
                <w:highlight w:val="green"/>
                <w:lang w:val="en-US" w:eastAsia="zh-CN"/>
              </w:rPr>
              <w:t>3.24</w:t>
            </w:r>
          </w:p>
        </w:tc>
        <w:tc>
          <w:tcPr>
            <w:tcW w:w="656" w:type="pct"/>
            <w:vMerge w:val="continue"/>
            <w:vAlign w:val="center"/>
          </w:tcPr>
          <w:p w14:paraId="4359C71F">
            <w:pPr>
              <w:jc w:val="center"/>
              <w:rPr>
                <w:rFonts w:hint="eastAsia" w:ascii="Times New Roman" w:hAnsi="Times New Roman" w:eastAsia="宋体"/>
                <w:color w:val="auto"/>
                <w:szCs w:val="21"/>
                <w:highlight w:val="green"/>
                <w:lang w:val="en-US" w:eastAsia="zh-CN"/>
              </w:rPr>
            </w:pPr>
          </w:p>
        </w:tc>
      </w:tr>
      <w:tr w14:paraId="6BA1A1E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6F834567">
            <w:pPr>
              <w:jc w:val="center"/>
              <w:rPr>
                <w:color w:val="auto"/>
                <w:spacing w:val="12"/>
                <w:szCs w:val="21"/>
                <w:highlight w:val="green"/>
                <w:vertAlign w:val="superscript"/>
              </w:rPr>
            </w:pPr>
            <w:r>
              <w:rPr>
                <w:color w:val="auto"/>
                <w:spacing w:val="12"/>
                <w:szCs w:val="21"/>
                <w:highlight w:val="green"/>
              </w:rPr>
              <w:t>Na</w:t>
            </w:r>
            <w:r>
              <w:rPr>
                <w:color w:val="auto"/>
                <w:spacing w:val="12"/>
                <w:szCs w:val="21"/>
                <w:highlight w:val="green"/>
                <w:vertAlign w:val="superscript"/>
              </w:rPr>
              <w:t>+</w:t>
            </w:r>
          </w:p>
          <w:p w14:paraId="1C93C64B">
            <w:pPr>
              <w:jc w:val="center"/>
              <w:rPr>
                <w:color w:val="auto"/>
                <w:szCs w:val="21"/>
                <w:highlight w:val="green"/>
              </w:rPr>
            </w:pPr>
            <w:r>
              <w:rPr>
                <w:color w:val="auto"/>
                <w:szCs w:val="21"/>
                <w:highlight w:val="green"/>
              </w:rPr>
              <w:t>（mg/L）</w:t>
            </w:r>
          </w:p>
        </w:tc>
        <w:tc>
          <w:tcPr>
            <w:tcW w:w="1252" w:type="dxa"/>
            <w:vAlign w:val="center"/>
          </w:tcPr>
          <w:p w14:paraId="43C06A2B">
            <w:pPr>
              <w:jc w:val="center"/>
              <w:rPr>
                <w:color w:val="auto"/>
                <w:szCs w:val="21"/>
                <w:highlight w:val="green"/>
              </w:rPr>
            </w:pPr>
            <w:r>
              <w:rPr>
                <w:rFonts w:hint="eastAsia"/>
                <w:color w:val="auto"/>
                <w:szCs w:val="21"/>
                <w:highlight w:val="green"/>
                <w:lang w:val="en-US" w:eastAsia="zh-CN"/>
              </w:rPr>
              <w:t>12月21日</w:t>
            </w:r>
          </w:p>
        </w:tc>
        <w:tc>
          <w:tcPr>
            <w:tcW w:w="1547" w:type="dxa"/>
            <w:vAlign w:val="center"/>
          </w:tcPr>
          <w:p w14:paraId="18304518">
            <w:pPr>
              <w:jc w:val="center"/>
              <w:rPr>
                <w:color w:val="auto"/>
                <w:highlight w:val="green"/>
              </w:rPr>
            </w:pPr>
            <w:r>
              <w:rPr>
                <w:rFonts w:hint="eastAsia"/>
                <w:color w:val="auto"/>
                <w:highlight w:val="green"/>
                <w:lang w:val="en-US" w:eastAsia="zh-CN"/>
              </w:rPr>
              <w:t>8.53</w:t>
            </w:r>
          </w:p>
        </w:tc>
        <w:tc>
          <w:tcPr>
            <w:tcW w:w="1496" w:type="dxa"/>
            <w:vAlign w:val="center"/>
          </w:tcPr>
          <w:p w14:paraId="574E5DAE">
            <w:pPr>
              <w:jc w:val="center"/>
              <w:rPr>
                <w:color w:val="auto"/>
                <w:highlight w:val="green"/>
              </w:rPr>
            </w:pPr>
            <w:r>
              <w:rPr>
                <w:rFonts w:hint="eastAsia"/>
                <w:color w:val="auto"/>
                <w:highlight w:val="green"/>
                <w:lang w:val="en-US" w:eastAsia="zh-CN"/>
              </w:rPr>
              <w:t>4.48</w:t>
            </w:r>
          </w:p>
        </w:tc>
        <w:tc>
          <w:tcPr>
            <w:tcW w:w="794" w:type="pct"/>
            <w:vAlign w:val="center"/>
          </w:tcPr>
          <w:p w14:paraId="1404BEFE">
            <w:pPr>
              <w:jc w:val="center"/>
              <w:rPr>
                <w:color w:val="auto"/>
                <w:highlight w:val="green"/>
              </w:rPr>
            </w:pPr>
            <w:r>
              <w:rPr>
                <w:rFonts w:hint="eastAsia"/>
                <w:color w:val="auto"/>
                <w:highlight w:val="green"/>
                <w:lang w:val="en-US" w:eastAsia="zh-CN"/>
              </w:rPr>
              <w:t>24.8</w:t>
            </w:r>
          </w:p>
        </w:tc>
        <w:tc>
          <w:tcPr>
            <w:tcW w:w="656" w:type="pct"/>
            <w:vMerge w:val="restart"/>
            <w:vAlign w:val="center"/>
          </w:tcPr>
          <w:p w14:paraId="66D84716">
            <w:pPr>
              <w:jc w:val="center"/>
              <w:rPr>
                <w:rFonts w:hint="default" w:ascii="Times New Roman" w:hAnsi="Times New Roman"/>
                <w:color w:val="auto"/>
                <w:szCs w:val="21"/>
                <w:highlight w:val="green"/>
                <w:lang w:val="en-US" w:eastAsia="zh-CN"/>
              </w:rPr>
            </w:pPr>
            <w:r>
              <w:rPr>
                <w:rFonts w:hint="eastAsia"/>
                <w:color w:val="auto"/>
                <w:szCs w:val="21"/>
                <w:highlight w:val="green"/>
                <w:lang w:val="en-US" w:eastAsia="zh-CN"/>
              </w:rPr>
              <w:t>/</w:t>
            </w:r>
          </w:p>
        </w:tc>
      </w:tr>
      <w:tr w14:paraId="5CA72E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0A4E11A6">
            <w:pPr>
              <w:jc w:val="center"/>
              <w:rPr>
                <w:color w:val="auto"/>
                <w:szCs w:val="21"/>
                <w:highlight w:val="green"/>
              </w:rPr>
            </w:pPr>
          </w:p>
        </w:tc>
        <w:tc>
          <w:tcPr>
            <w:tcW w:w="1252" w:type="dxa"/>
            <w:vAlign w:val="center"/>
          </w:tcPr>
          <w:p w14:paraId="3AF8F9DB">
            <w:pPr>
              <w:jc w:val="center"/>
              <w:rPr>
                <w:color w:val="auto"/>
                <w:szCs w:val="21"/>
                <w:highlight w:val="green"/>
              </w:rPr>
            </w:pPr>
            <w:r>
              <w:rPr>
                <w:rFonts w:hint="eastAsia"/>
                <w:color w:val="auto"/>
                <w:szCs w:val="21"/>
                <w:highlight w:val="green"/>
                <w:lang w:val="en-US" w:eastAsia="zh-CN"/>
              </w:rPr>
              <w:t>12月22日</w:t>
            </w:r>
          </w:p>
        </w:tc>
        <w:tc>
          <w:tcPr>
            <w:tcW w:w="1547" w:type="dxa"/>
            <w:vAlign w:val="center"/>
          </w:tcPr>
          <w:p w14:paraId="69DCC02D">
            <w:pPr>
              <w:jc w:val="center"/>
              <w:rPr>
                <w:color w:val="auto"/>
                <w:highlight w:val="green"/>
              </w:rPr>
            </w:pPr>
            <w:r>
              <w:rPr>
                <w:rFonts w:hint="eastAsia"/>
                <w:color w:val="auto"/>
                <w:highlight w:val="green"/>
                <w:lang w:val="en-US" w:eastAsia="zh-CN"/>
              </w:rPr>
              <w:t>8.50</w:t>
            </w:r>
          </w:p>
        </w:tc>
        <w:tc>
          <w:tcPr>
            <w:tcW w:w="1496" w:type="dxa"/>
            <w:vAlign w:val="center"/>
          </w:tcPr>
          <w:p w14:paraId="13FD6A9A">
            <w:pPr>
              <w:jc w:val="center"/>
              <w:rPr>
                <w:color w:val="auto"/>
                <w:highlight w:val="green"/>
              </w:rPr>
            </w:pPr>
            <w:r>
              <w:rPr>
                <w:rFonts w:hint="eastAsia"/>
                <w:color w:val="auto"/>
                <w:highlight w:val="green"/>
                <w:lang w:val="en-US" w:eastAsia="zh-CN"/>
              </w:rPr>
              <w:t>4.50</w:t>
            </w:r>
          </w:p>
        </w:tc>
        <w:tc>
          <w:tcPr>
            <w:tcW w:w="794" w:type="pct"/>
            <w:vAlign w:val="center"/>
          </w:tcPr>
          <w:p w14:paraId="777C25E2">
            <w:pPr>
              <w:jc w:val="center"/>
              <w:rPr>
                <w:color w:val="auto"/>
                <w:highlight w:val="green"/>
              </w:rPr>
            </w:pPr>
            <w:r>
              <w:rPr>
                <w:rFonts w:hint="eastAsia"/>
                <w:color w:val="auto"/>
                <w:highlight w:val="green"/>
                <w:lang w:val="en-US" w:eastAsia="zh-CN"/>
              </w:rPr>
              <w:t>25.0</w:t>
            </w:r>
          </w:p>
        </w:tc>
        <w:tc>
          <w:tcPr>
            <w:tcW w:w="656" w:type="pct"/>
            <w:vMerge w:val="continue"/>
            <w:vAlign w:val="center"/>
          </w:tcPr>
          <w:p w14:paraId="530BCDE7">
            <w:pPr>
              <w:jc w:val="center"/>
              <w:rPr>
                <w:rFonts w:hint="eastAsia" w:ascii="Times New Roman" w:hAnsi="Times New Roman"/>
                <w:color w:val="auto"/>
                <w:szCs w:val="21"/>
                <w:highlight w:val="green"/>
                <w:lang w:val="en-US" w:eastAsia="zh-CN"/>
              </w:rPr>
            </w:pPr>
          </w:p>
        </w:tc>
      </w:tr>
      <w:tr w14:paraId="0686DC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7313043B">
            <w:pPr>
              <w:jc w:val="center"/>
              <w:rPr>
                <w:color w:val="auto"/>
                <w:spacing w:val="12"/>
                <w:szCs w:val="21"/>
                <w:highlight w:val="green"/>
                <w:vertAlign w:val="superscript"/>
              </w:rPr>
            </w:pPr>
            <w:r>
              <w:rPr>
                <w:color w:val="auto"/>
                <w:spacing w:val="12"/>
                <w:szCs w:val="21"/>
                <w:highlight w:val="green"/>
              </w:rPr>
              <w:t>Ca</w:t>
            </w:r>
            <w:r>
              <w:rPr>
                <w:color w:val="auto"/>
                <w:spacing w:val="12"/>
                <w:szCs w:val="21"/>
                <w:highlight w:val="green"/>
                <w:vertAlign w:val="superscript"/>
              </w:rPr>
              <w:t>2+</w:t>
            </w:r>
          </w:p>
          <w:p w14:paraId="17E68CCC">
            <w:pPr>
              <w:jc w:val="center"/>
              <w:rPr>
                <w:color w:val="auto"/>
                <w:szCs w:val="21"/>
                <w:highlight w:val="green"/>
              </w:rPr>
            </w:pPr>
            <w:r>
              <w:rPr>
                <w:color w:val="auto"/>
                <w:szCs w:val="21"/>
                <w:highlight w:val="green"/>
              </w:rPr>
              <w:t>（mg/L）</w:t>
            </w:r>
          </w:p>
        </w:tc>
        <w:tc>
          <w:tcPr>
            <w:tcW w:w="1252" w:type="dxa"/>
            <w:vAlign w:val="center"/>
          </w:tcPr>
          <w:p w14:paraId="32CE585F">
            <w:pPr>
              <w:jc w:val="center"/>
              <w:rPr>
                <w:color w:val="auto"/>
                <w:szCs w:val="21"/>
                <w:highlight w:val="green"/>
              </w:rPr>
            </w:pPr>
            <w:r>
              <w:rPr>
                <w:rFonts w:hint="eastAsia"/>
                <w:color w:val="auto"/>
                <w:szCs w:val="21"/>
                <w:highlight w:val="green"/>
                <w:lang w:val="en-US" w:eastAsia="zh-CN"/>
              </w:rPr>
              <w:t>12月21日</w:t>
            </w:r>
          </w:p>
        </w:tc>
        <w:tc>
          <w:tcPr>
            <w:tcW w:w="1547" w:type="dxa"/>
            <w:vAlign w:val="center"/>
          </w:tcPr>
          <w:p w14:paraId="7D9435CB">
            <w:pPr>
              <w:jc w:val="center"/>
              <w:rPr>
                <w:color w:val="auto"/>
                <w:highlight w:val="green"/>
              </w:rPr>
            </w:pPr>
            <w:r>
              <w:rPr>
                <w:rFonts w:hint="eastAsia"/>
                <w:color w:val="auto"/>
                <w:highlight w:val="green"/>
                <w:lang w:val="en-US" w:eastAsia="zh-CN"/>
              </w:rPr>
              <w:t>49.5</w:t>
            </w:r>
          </w:p>
        </w:tc>
        <w:tc>
          <w:tcPr>
            <w:tcW w:w="1496" w:type="dxa"/>
            <w:vAlign w:val="center"/>
          </w:tcPr>
          <w:p w14:paraId="26CCB4F8">
            <w:pPr>
              <w:jc w:val="center"/>
              <w:rPr>
                <w:color w:val="auto"/>
                <w:highlight w:val="green"/>
              </w:rPr>
            </w:pPr>
            <w:r>
              <w:rPr>
                <w:rFonts w:hint="eastAsia"/>
                <w:color w:val="auto"/>
                <w:highlight w:val="green"/>
                <w:lang w:val="en-US" w:eastAsia="zh-CN"/>
              </w:rPr>
              <w:t>78.1</w:t>
            </w:r>
          </w:p>
        </w:tc>
        <w:tc>
          <w:tcPr>
            <w:tcW w:w="794" w:type="pct"/>
            <w:vAlign w:val="center"/>
          </w:tcPr>
          <w:p w14:paraId="424816CB">
            <w:pPr>
              <w:jc w:val="center"/>
              <w:rPr>
                <w:color w:val="auto"/>
                <w:highlight w:val="green"/>
              </w:rPr>
            </w:pPr>
            <w:r>
              <w:rPr>
                <w:rFonts w:hint="eastAsia"/>
                <w:color w:val="auto"/>
                <w:highlight w:val="green"/>
                <w:lang w:val="en-US" w:eastAsia="zh-CN"/>
              </w:rPr>
              <w:t>93.6</w:t>
            </w:r>
          </w:p>
        </w:tc>
        <w:tc>
          <w:tcPr>
            <w:tcW w:w="656" w:type="pct"/>
            <w:vMerge w:val="restart"/>
            <w:vAlign w:val="center"/>
          </w:tcPr>
          <w:p w14:paraId="03C5F475">
            <w:pPr>
              <w:jc w:val="center"/>
              <w:rPr>
                <w:rFonts w:hint="default" w:ascii="Times New Roman" w:hAnsi="Times New Roman"/>
                <w:color w:val="auto"/>
                <w:szCs w:val="21"/>
                <w:highlight w:val="green"/>
                <w:lang w:val="en-US" w:eastAsia="zh-CN"/>
              </w:rPr>
            </w:pPr>
            <w:r>
              <w:rPr>
                <w:rFonts w:hint="eastAsia"/>
                <w:color w:val="auto"/>
                <w:szCs w:val="21"/>
                <w:highlight w:val="green"/>
                <w:lang w:val="en-US" w:eastAsia="zh-CN"/>
              </w:rPr>
              <w:t>/</w:t>
            </w:r>
          </w:p>
        </w:tc>
      </w:tr>
      <w:tr w14:paraId="7509E4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200302AD">
            <w:pPr>
              <w:jc w:val="center"/>
              <w:rPr>
                <w:color w:val="auto"/>
                <w:szCs w:val="21"/>
                <w:highlight w:val="green"/>
              </w:rPr>
            </w:pPr>
          </w:p>
        </w:tc>
        <w:tc>
          <w:tcPr>
            <w:tcW w:w="1252" w:type="dxa"/>
            <w:vAlign w:val="center"/>
          </w:tcPr>
          <w:p w14:paraId="302A8514">
            <w:pPr>
              <w:jc w:val="center"/>
              <w:rPr>
                <w:color w:val="auto"/>
                <w:szCs w:val="21"/>
                <w:highlight w:val="green"/>
              </w:rPr>
            </w:pPr>
            <w:r>
              <w:rPr>
                <w:rFonts w:hint="eastAsia"/>
                <w:color w:val="auto"/>
                <w:szCs w:val="21"/>
                <w:highlight w:val="green"/>
                <w:lang w:val="en-US" w:eastAsia="zh-CN"/>
              </w:rPr>
              <w:t>12月22日</w:t>
            </w:r>
          </w:p>
        </w:tc>
        <w:tc>
          <w:tcPr>
            <w:tcW w:w="1547" w:type="dxa"/>
            <w:vAlign w:val="center"/>
          </w:tcPr>
          <w:p w14:paraId="575F6165">
            <w:pPr>
              <w:jc w:val="center"/>
              <w:rPr>
                <w:color w:val="auto"/>
                <w:highlight w:val="green"/>
              </w:rPr>
            </w:pPr>
            <w:r>
              <w:rPr>
                <w:rFonts w:hint="eastAsia"/>
                <w:color w:val="auto"/>
                <w:highlight w:val="green"/>
                <w:lang w:val="en-US" w:eastAsia="zh-CN"/>
              </w:rPr>
              <w:t>49.7</w:t>
            </w:r>
          </w:p>
        </w:tc>
        <w:tc>
          <w:tcPr>
            <w:tcW w:w="1496" w:type="dxa"/>
            <w:vAlign w:val="center"/>
          </w:tcPr>
          <w:p w14:paraId="19E9723E">
            <w:pPr>
              <w:jc w:val="center"/>
              <w:rPr>
                <w:color w:val="auto"/>
                <w:highlight w:val="green"/>
              </w:rPr>
            </w:pPr>
            <w:r>
              <w:rPr>
                <w:rFonts w:hint="eastAsia"/>
                <w:color w:val="auto"/>
                <w:highlight w:val="green"/>
                <w:lang w:val="en-US" w:eastAsia="zh-CN"/>
              </w:rPr>
              <w:t>78.5</w:t>
            </w:r>
          </w:p>
        </w:tc>
        <w:tc>
          <w:tcPr>
            <w:tcW w:w="794" w:type="pct"/>
            <w:vAlign w:val="center"/>
          </w:tcPr>
          <w:p w14:paraId="4FF1025F">
            <w:pPr>
              <w:jc w:val="center"/>
              <w:rPr>
                <w:color w:val="auto"/>
                <w:highlight w:val="green"/>
              </w:rPr>
            </w:pPr>
            <w:r>
              <w:rPr>
                <w:rFonts w:hint="eastAsia"/>
                <w:color w:val="auto"/>
                <w:highlight w:val="green"/>
                <w:lang w:val="en-US" w:eastAsia="zh-CN"/>
              </w:rPr>
              <w:t>95.1</w:t>
            </w:r>
          </w:p>
        </w:tc>
        <w:tc>
          <w:tcPr>
            <w:tcW w:w="656" w:type="pct"/>
            <w:vMerge w:val="continue"/>
            <w:vAlign w:val="center"/>
          </w:tcPr>
          <w:p w14:paraId="120008DA">
            <w:pPr>
              <w:jc w:val="center"/>
              <w:rPr>
                <w:rFonts w:hint="eastAsia" w:ascii="Times New Roman" w:hAnsi="Times New Roman"/>
                <w:color w:val="auto"/>
                <w:szCs w:val="21"/>
                <w:highlight w:val="green"/>
                <w:lang w:val="en-US" w:eastAsia="zh-CN"/>
              </w:rPr>
            </w:pPr>
          </w:p>
        </w:tc>
      </w:tr>
      <w:tr w14:paraId="629B19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3B09D8DD">
            <w:pPr>
              <w:jc w:val="center"/>
              <w:rPr>
                <w:color w:val="auto"/>
                <w:spacing w:val="12"/>
                <w:szCs w:val="21"/>
                <w:highlight w:val="green"/>
                <w:vertAlign w:val="superscript"/>
              </w:rPr>
            </w:pPr>
            <w:r>
              <w:rPr>
                <w:color w:val="auto"/>
                <w:spacing w:val="12"/>
                <w:szCs w:val="21"/>
                <w:highlight w:val="green"/>
              </w:rPr>
              <w:t>Mg</w:t>
            </w:r>
            <w:r>
              <w:rPr>
                <w:color w:val="auto"/>
                <w:spacing w:val="12"/>
                <w:szCs w:val="21"/>
                <w:highlight w:val="green"/>
                <w:vertAlign w:val="superscript"/>
              </w:rPr>
              <w:t>2+</w:t>
            </w:r>
          </w:p>
          <w:p w14:paraId="6BB07E1A">
            <w:pPr>
              <w:jc w:val="center"/>
              <w:rPr>
                <w:color w:val="auto"/>
                <w:szCs w:val="21"/>
                <w:highlight w:val="green"/>
              </w:rPr>
            </w:pPr>
            <w:r>
              <w:rPr>
                <w:color w:val="auto"/>
                <w:szCs w:val="21"/>
                <w:highlight w:val="green"/>
              </w:rPr>
              <w:t>（mg/L）</w:t>
            </w:r>
          </w:p>
        </w:tc>
        <w:tc>
          <w:tcPr>
            <w:tcW w:w="1252" w:type="dxa"/>
            <w:vAlign w:val="center"/>
          </w:tcPr>
          <w:p w14:paraId="02BA8882">
            <w:pPr>
              <w:jc w:val="center"/>
              <w:rPr>
                <w:color w:val="auto"/>
                <w:szCs w:val="21"/>
                <w:highlight w:val="green"/>
              </w:rPr>
            </w:pPr>
            <w:r>
              <w:rPr>
                <w:rFonts w:hint="eastAsia"/>
                <w:color w:val="auto"/>
                <w:szCs w:val="21"/>
                <w:highlight w:val="green"/>
                <w:lang w:val="en-US" w:eastAsia="zh-CN"/>
              </w:rPr>
              <w:t>12月21日</w:t>
            </w:r>
          </w:p>
        </w:tc>
        <w:tc>
          <w:tcPr>
            <w:tcW w:w="1547" w:type="dxa"/>
            <w:vAlign w:val="center"/>
          </w:tcPr>
          <w:p w14:paraId="6E6F5F6F">
            <w:pPr>
              <w:jc w:val="center"/>
              <w:rPr>
                <w:color w:val="auto"/>
                <w:highlight w:val="green"/>
              </w:rPr>
            </w:pPr>
            <w:r>
              <w:rPr>
                <w:rFonts w:hint="eastAsia"/>
                <w:color w:val="auto"/>
                <w:highlight w:val="green"/>
                <w:lang w:val="en-US" w:eastAsia="zh-CN"/>
              </w:rPr>
              <w:t>8.82</w:t>
            </w:r>
          </w:p>
        </w:tc>
        <w:tc>
          <w:tcPr>
            <w:tcW w:w="1496" w:type="dxa"/>
            <w:vAlign w:val="center"/>
          </w:tcPr>
          <w:p w14:paraId="53CA9EE5">
            <w:pPr>
              <w:jc w:val="center"/>
              <w:rPr>
                <w:color w:val="auto"/>
                <w:highlight w:val="green"/>
              </w:rPr>
            </w:pPr>
            <w:r>
              <w:rPr>
                <w:rFonts w:hint="eastAsia"/>
                <w:color w:val="auto"/>
                <w:highlight w:val="green"/>
                <w:lang w:val="en-US" w:eastAsia="zh-CN"/>
              </w:rPr>
              <w:t>18.1</w:t>
            </w:r>
          </w:p>
        </w:tc>
        <w:tc>
          <w:tcPr>
            <w:tcW w:w="794" w:type="pct"/>
            <w:vAlign w:val="center"/>
          </w:tcPr>
          <w:p w14:paraId="68AEB143">
            <w:pPr>
              <w:jc w:val="center"/>
              <w:rPr>
                <w:color w:val="auto"/>
                <w:highlight w:val="green"/>
              </w:rPr>
            </w:pPr>
            <w:r>
              <w:rPr>
                <w:rFonts w:hint="eastAsia"/>
                <w:color w:val="auto"/>
                <w:highlight w:val="green"/>
                <w:lang w:val="en-US" w:eastAsia="zh-CN"/>
              </w:rPr>
              <w:t>14.0</w:t>
            </w:r>
          </w:p>
        </w:tc>
        <w:tc>
          <w:tcPr>
            <w:tcW w:w="656" w:type="pct"/>
            <w:vMerge w:val="restart"/>
            <w:vAlign w:val="center"/>
          </w:tcPr>
          <w:p w14:paraId="74B9FFF4">
            <w:pPr>
              <w:jc w:val="center"/>
              <w:rPr>
                <w:rFonts w:hint="default" w:ascii="Times New Roman" w:hAnsi="Times New Roman"/>
                <w:color w:val="auto"/>
                <w:szCs w:val="21"/>
                <w:highlight w:val="green"/>
                <w:lang w:val="en-US" w:eastAsia="zh-CN"/>
              </w:rPr>
            </w:pPr>
            <w:r>
              <w:rPr>
                <w:rFonts w:hint="eastAsia"/>
                <w:color w:val="auto"/>
                <w:szCs w:val="21"/>
                <w:highlight w:val="green"/>
                <w:lang w:val="en-US" w:eastAsia="zh-CN"/>
              </w:rPr>
              <w:t>/</w:t>
            </w:r>
          </w:p>
        </w:tc>
      </w:tr>
      <w:tr w14:paraId="2058250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10F8E6CD">
            <w:pPr>
              <w:jc w:val="center"/>
              <w:rPr>
                <w:color w:val="auto"/>
                <w:szCs w:val="21"/>
                <w:highlight w:val="green"/>
              </w:rPr>
            </w:pPr>
          </w:p>
        </w:tc>
        <w:tc>
          <w:tcPr>
            <w:tcW w:w="1252" w:type="dxa"/>
            <w:vAlign w:val="center"/>
          </w:tcPr>
          <w:p w14:paraId="57176D41">
            <w:pPr>
              <w:jc w:val="center"/>
              <w:rPr>
                <w:color w:val="auto"/>
                <w:szCs w:val="21"/>
                <w:highlight w:val="green"/>
              </w:rPr>
            </w:pPr>
            <w:r>
              <w:rPr>
                <w:rFonts w:hint="eastAsia"/>
                <w:color w:val="auto"/>
                <w:szCs w:val="21"/>
                <w:highlight w:val="green"/>
                <w:lang w:val="en-US" w:eastAsia="zh-CN"/>
              </w:rPr>
              <w:t>12月22日</w:t>
            </w:r>
          </w:p>
        </w:tc>
        <w:tc>
          <w:tcPr>
            <w:tcW w:w="1547" w:type="dxa"/>
            <w:vAlign w:val="center"/>
          </w:tcPr>
          <w:p w14:paraId="52F3B7BF">
            <w:pPr>
              <w:jc w:val="center"/>
              <w:rPr>
                <w:color w:val="auto"/>
                <w:highlight w:val="green"/>
              </w:rPr>
            </w:pPr>
            <w:r>
              <w:rPr>
                <w:rFonts w:hint="eastAsia"/>
                <w:color w:val="auto"/>
                <w:highlight w:val="green"/>
                <w:lang w:val="en-US" w:eastAsia="zh-CN"/>
              </w:rPr>
              <w:t>8.85</w:t>
            </w:r>
          </w:p>
        </w:tc>
        <w:tc>
          <w:tcPr>
            <w:tcW w:w="1496" w:type="dxa"/>
            <w:vAlign w:val="center"/>
          </w:tcPr>
          <w:p w14:paraId="6ABE4951">
            <w:pPr>
              <w:jc w:val="center"/>
              <w:rPr>
                <w:color w:val="auto"/>
                <w:highlight w:val="green"/>
              </w:rPr>
            </w:pPr>
            <w:r>
              <w:rPr>
                <w:rFonts w:hint="eastAsia"/>
                <w:color w:val="auto"/>
                <w:highlight w:val="green"/>
                <w:lang w:val="en-US" w:eastAsia="zh-CN"/>
              </w:rPr>
              <w:t>18.1</w:t>
            </w:r>
          </w:p>
        </w:tc>
        <w:tc>
          <w:tcPr>
            <w:tcW w:w="794" w:type="pct"/>
            <w:vAlign w:val="center"/>
          </w:tcPr>
          <w:p w14:paraId="29278C55">
            <w:pPr>
              <w:jc w:val="center"/>
              <w:rPr>
                <w:color w:val="auto"/>
                <w:highlight w:val="green"/>
              </w:rPr>
            </w:pPr>
            <w:r>
              <w:rPr>
                <w:rFonts w:hint="eastAsia"/>
                <w:color w:val="auto"/>
                <w:highlight w:val="green"/>
                <w:lang w:val="en-US" w:eastAsia="zh-CN"/>
              </w:rPr>
              <w:t>14.1</w:t>
            </w:r>
          </w:p>
        </w:tc>
        <w:tc>
          <w:tcPr>
            <w:tcW w:w="656" w:type="pct"/>
            <w:vMerge w:val="continue"/>
            <w:vAlign w:val="center"/>
          </w:tcPr>
          <w:p w14:paraId="715CB65C">
            <w:pPr>
              <w:jc w:val="center"/>
              <w:rPr>
                <w:rFonts w:hint="eastAsia" w:ascii="Times New Roman" w:hAnsi="Times New Roman"/>
                <w:color w:val="auto"/>
                <w:szCs w:val="21"/>
                <w:highlight w:val="green"/>
                <w:lang w:val="en-US" w:eastAsia="zh-CN"/>
              </w:rPr>
            </w:pPr>
          </w:p>
        </w:tc>
      </w:tr>
      <w:tr w14:paraId="7426DE6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608BBEDA">
            <w:pPr>
              <w:jc w:val="center"/>
              <w:rPr>
                <w:color w:val="auto"/>
                <w:spacing w:val="12"/>
                <w:szCs w:val="21"/>
                <w:highlight w:val="green"/>
                <w:vertAlign w:val="superscript"/>
              </w:rPr>
            </w:pPr>
            <w:r>
              <w:rPr>
                <w:color w:val="auto"/>
                <w:spacing w:val="12"/>
                <w:szCs w:val="21"/>
                <w:highlight w:val="green"/>
              </w:rPr>
              <w:t>CO</w:t>
            </w:r>
            <w:r>
              <w:rPr>
                <w:color w:val="auto"/>
                <w:spacing w:val="12"/>
                <w:szCs w:val="21"/>
                <w:highlight w:val="green"/>
                <w:vertAlign w:val="subscript"/>
              </w:rPr>
              <w:t>3</w:t>
            </w:r>
            <w:r>
              <w:rPr>
                <w:color w:val="auto"/>
                <w:spacing w:val="12"/>
                <w:szCs w:val="21"/>
                <w:highlight w:val="green"/>
                <w:vertAlign w:val="superscript"/>
              </w:rPr>
              <w:t>2-</w:t>
            </w:r>
          </w:p>
          <w:p w14:paraId="1A582313">
            <w:pPr>
              <w:jc w:val="center"/>
              <w:rPr>
                <w:color w:val="auto"/>
                <w:szCs w:val="21"/>
                <w:highlight w:val="green"/>
              </w:rPr>
            </w:pPr>
            <w:r>
              <w:rPr>
                <w:color w:val="auto"/>
                <w:szCs w:val="21"/>
                <w:highlight w:val="green"/>
              </w:rPr>
              <w:t>（mg/L）</w:t>
            </w:r>
          </w:p>
        </w:tc>
        <w:tc>
          <w:tcPr>
            <w:tcW w:w="1252" w:type="dxa"/>
            <w:vAlign w:val="center"/>
          </w:tcPr>
          <w:p w14:paraId="4EE53AB9">
            <w:pPr>
              <w:jc w:val="center"/>
              <w:rPr>
                <w:color w:val="auto"/>
                <w:szCs w:val="21"/>
                <w:highlight w:val="green"/>
              </w:rPr>
            </w:pPr>
            <w:r>
              <w:rPr>
                <w:rFonts w:hint="eastAsia"/>
                <w:color w:val="auto"/>
                <w:szCs w:val="21"/>
                <w:highlight w:val="green"/>
                <w:lang w:val="en-US" w:eastAsia="zh-CN"/>
              </w:rPr>
              <w:t>12月21日</w:t>
            </w:r>
          </w:p>
        </w:tc>
        <w:tc>
          <w:tcPr>
            <w:tcW w:w="1547" w:type="dxa"/>
            <w:vAlign w:val="center"/>
          </w:tcPr>
          <w:p w14:paraId="21C9CEEE">
            <w:pPr>
              <w:jc w:val="center"/>
              <w:rPr>
                <w:color w:val="auto"/>
                <w:highlight w:val="green"/>
              </w:rPr>
            </w:pPr>
            <w:r>
              <w:rPr>
                <w:rFonts w:hint="eastAsia"/>
                <w:color w:val="auto"/>
                <w:highlight w:val="green"/>
                <w:lang w:val="en-US" w:eastAsia="zh-CN"/>
              </w:rPr>
              <w:t>0</w:t>
            </w:r>
          </w:p>
        </w:tc>
        <w:tc>
          <w:tcPr>
            <w:tcW w:w="1496" w:type="dxa"/>
            <w:vAlign w:val="center"/>
          </w:tcPr>
          <w:p w14:paraId="38619727">
            <w:pPr>
              <w:jc w:val="center"/>
              <w:rPr>
                <w:color w:val="auto"/>
                <w:highlight w:val="green"/>
              </w:rPr>
            </w:pPr>
            <w:r>
              <w:rPr>
                <w:rFonts w:hint="eastAsia"/>
                <w:color w:val="auto"/>
                <w:highlight w:val="green"/>
                <w:lang w:val="en-US" w:eastAsia="zh-CN"/>
              </w:rPr>
              <w:t>0</w:t>
            </w:r>
          </w:p>
        </w:tc>
        <w:tc>
          <w:tcPr>
            <w:tcW w:w="794" w:type="pct"/>
            <w:vAlign w:val="center"/>
          </w:tcPr>
          <w:p w14:paraId="7D79FE29">
            <w:pPr>
              <w:jc w:val="center"/>
              <w:rPr>
                <w:color w:val="auto"/>
                <w:highlight w:val="green"/>
              </w:rPr>
            </w:pPr>
            <w:r>
              <w:rPr>
                <w:rFonts w:hint="eastAsia"/>
                <w:color w:val="auto"/>
                <w:highlight w:val="green"/>
                <w:lang w:val="en-US" w:eastAsia="zh-CN"/>
              </w:rPr>
              <w:t>0</w:t>
            </w:r>
          </w:p>
        </w:tc>
        <w:tc>
          <w:tcPr>
            <w:tcW w:w="656" w:type="pct"/>
            <w:vMerge w:val="restart"/>
            <w:vAlign w:val="center"/>
          </w:tcPr>
          <w:p w14:paraId="392F0A9B">
            <w:pPr>
              <w:jc w:val="center"/>
              <w:rPr>
                <w:rFonts w:hint="default" w:ascii="Times New Roman" w:hAnsi="Times New Roman"/>
                <w:color w:val="auto"/>
                <w:szCs w:val="21"/>
                <w:highlight w:val="green"/>
                <w:lang w:val="en-US" w:eastAsia="zh-CN"/>
              </w:rPr>
            </w:pPr>
            <w:r>
              <w:rPr>
                <w:rFonts w:hint="eastAsia"/>
                <w:color w:val="auto"/>
                <w:szCs w:val="21"/>
                <w:highlight w:val="green"/>
                <w:lang w:val="en-US" w:eastAsia="zh-CN"/>
              </w:rPr>
              <w:t>/</w:t>
            </w:r>
          </w:p>
        </w:tc>
      </w:tr>
      <w:tr w14:paraId="4EC375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5EE212C2">
            <w:pPr>
              <w:jc w:val="center"/>
              <w:rPr>
                <w:color w:val="auto"/>
                <w:szCs w:val="21"/>
                <w:highlight w:val="green"/>
              </w:rPr>
            </w:pPr>
          </w:p>
        </w:tc>
        <w:tc>
          <w:tcPr>
            <w:tcW w:w="1252" w:type="dxa"/>
            <w:vAlign w:val="center"/>
          </w:tcPr>
          <w:p w14:paraId="52B6860A">
            <w:pPr>
              <w:jc w:val="center"/>
              <w:rPr>
                <w:color w:val="auto"/>
                <w:szCs w:val="21"/>
                <w:highlight w:val="green"/>
              </w:rPr>
            </w:pPr>
            <w:r>
              <w:rPr>
                <w:rFonts w:hint="eastAsia"/>
                <w:color w:val="auto"/>
                <w:szCs w:val="21"/>
                <w:highlight w:val="green"/>
                <w:lang w:val="en-US" w:eastAsia="zh-CN"/>
              </w:rPr>
              <w:t>12月22日</w:t>
            </w:r>
          </w:p>
        </w:tc>
        <w:tc>
          <w:tcPr>
            <w:tcW w:w="1547" w:type="dxa"/>
            <w:vAlign w:val="center"/>
          </w:tcPr>
          <w:p w14:paraId="61EAAE26">
            <w:pPr>
              <w:jc w:val="center"/>
              <w:rPr>
                <w:color w:val="auto"/>
                <w:highlight w:val="green"/>
              </w:rPr>
            </w:pPr>
            <w:r>
              <w:rPr>
                <w:rFonts w:hint="eastAsia"/>
                <w:color w:val="auto"/>
                <w:highlight w:val="green"/>
                <w:lang w:val="en-US" w:eastAsia="zh-CN"/>
              </w:rPr>
              <w:t>0</w:t>
            </w:r>
          </w:p>
        </w:tc>
        <w:tc>
          <w:tcPr>
            <w:tcW w:w="1496" w:type="dxa"/>
            <w:vAlign w:val="center"/>
          </w:tcPr>
          <w:p w14:paraId="3D7CE91C">
            <w:pPr>
              <w:jc w:val="center"/>
              <w:rPr>
                <w:color w:val="auto"/>
                <w:highlight w:val="green"/>
              </w:rPr>
            </w:pPr>
            <w:r>
              <w:rPr>
                <w:rFonts w:hint="eastAsia"/>
                <w:color w:val="auto"/>
                <w:highlight w:val="green"/>
                <w:lang w:val="en-US" w:eastAsia="zh-CN"/>
              </w:rPr>
              <w:t>0</w:t>
            </w:r>
          </w:p>
        </w:tc>
        <w:tc>
          <w:tcPr>
            <w:tcW w:w="794" w:type="pct"/>
            <w:vAlign w:val="center"/>
          </w:tcPr>
          <w:p w14:paraId="7C126978">
            <w:pPr>
              <w:jc w:val="center"/>
              <w:rPr>
                <w:color w:val="auto"/>
                <w:highlight w:val="green"/>
              </w:rPr>
            </w:pPr>
            <w:r>
              <w:rPr>
                <w:rFonts w:hint="eastAsia"/>
                <w:color w:val="auto"/>
                <w:highlight w:val="green"/>
                <w:lang w:val="en-US" w:eastAsia="zh-CN"/>
              </w:rPr>
              <w:t>0</w:t>
            </w:r>
          </w:p>
        </w:tc>
        <w:tc>
          <w:tcPr>
            <w:tcW w:w="656" w:type="pct"/>
            <w:vMerge w:val="continue"/>
            <w:vAlign w:val="center"/>
          </w:tcPr>
          <w:p w14:paraId="5DFF2917">
            <w:pPr>
              <w:jc w:val="center"/>
              <w:rPr>
                <w:rFonts w:hint="eastAsia" w:ascii="Times New Roman" w:hAnsi="Times New Roman"/>
                <w:color w:val="auto"/>
                <w:szCs w:val="21"/>
                <w:highlight w:val="green"/>
                <w:lang w:val="en-US" w:eastAsia="zh-CN"/>
              </w:rPr>
            </w:pPr>
          </w:p>
        </w:tc>
      </w:tr>
      <w:tr w14:paraId="39F500A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0612CAAB">
            <w:pPr>
              <w:jc w:val="center"/>
              <w:rPr>
                <w:color w:val="auto"/>
                <w:spacing w:val="12"/>
                <w:szCs w:val="21"/>
                <w:highlight w:val="green"/>
                <w:vertAlign w:val="superscript"/>
              </w:rPr>
            </w:pPr>
            <w:r>
              <w:rPr>
                <w:color w:val="auto"/>
                <w:spacing w:val="12"/>
                <w:szCs w:val="21"/>
                <w:highlight w:val="green"/>
              </w:rPr>
              <w:t>HCO</w:t>
            </w:r>
            <w:r>
              <w:rPr>
                <w:color w:val="auto"/>
                <w:spacing w:val="12"/>
                <w:szCs w:val="21"/>
                <w:highlight w:val="green"/>
                <w:vertAlign w:val="subscript"/>
              </w:rPr>
              <w:t>3</w:t>
            </w:r>
            <w:r>
              <w:rPr>
                <w:color w:val="auto"/>
                <w:spacing w:val="12"/>
                <w:szCs w:val="21"/>
                <w:highlight w:val="green"/>
                <w:vertAlign w:val="superscript"/>
              </w:rPr>
              <w:t>-</w:t>
            </w:r>
          </w:p>
          <w:p w14:paraId="3FE45EC8">
            <w:pPr>
              <w:jc w:val="center"/>
              <w:rPr>
                <w:color w:val="auto"/>
                <w:szCs w:val="21"/>
                <w:highlight w:val="green"/>
              </w:rPr>
            </w:pPr>
            <w:r>
              <w:rPr>
                <w:color w:val="auto"/>
                <w:szCs w:val="21"/>
                <w:highlight w:val="green"/>
              </w:rPr>
              <w:t>（mg/L）</w:t>
            </w:r>
          </w:p>
        </w:tc>
        <w:tc>
          <w:tcPr>
            <w:tcW w:w="1252" w:type="dxa"/>
            <w:vAlign w:val="center"/>
          </w:tcPr>
          <w:p w14:paraId="00047C29">
            <w:pPr>
              <w:jc w:val="center"/>
              <w:rPr>
                <w:color w:val="auto"/>
                <w:szCs w:val="21"/>
                <w:highlight w:val="green"/>
              </w:rPr>
            </w:pPr>
            <w:r>
              <w:rPr>
                <w:rFonts w:hint="eastAsia"/>
                <w:color w:val="auto"/>
                <w:szCs w:val="21"/>
                <w:highlight w:val="green"/>
                <w:lang w:val="en-US" w:eastAsia="zh-CN"/>
              </w:rPr>
              <w:t>12月21日</w:t>
            </w:r>
          </w:p>
        </w:tc>
        <w:tc>
          <w:tcPr>
            <w:tcW w:w="1547" w:type="dxa"/>
            <w:vAlign w:val="center"/>
          </w:tcPr>
          <w:p w14:paraId="114FFB43">
            <w:pPr>
              <w:jc w:val="center"/>
              <w:rPr>
                <w:color w:val="auto"/>
                <w:highlight w:val="green"/>
              </w:rPr>
            </w:pPr>
            <w:r>
              <w:rPr>
                <w:rFonts w:hint="eastAsia"/>
                <w:color w:val="auto"/>
                <w:highlight w:val="green"/>
                <w:lang w:val="en-US" w:eastAsia="zh-CN"/>
              </w:rPr>
              <w:t>178</w:t>
            </w:r>
          </w:p>
        </w:tc>
        <w:tc>
          <w:tcPr>
            <w:tcW w:w="1496" w:type="dxa"/>
            <w:vAlign w:val="center"/>
          </w:tcPr>
          <w:p w14:paraId="6754218A">
            <w:pPr>
              <w:jc w:val="center"/>
              <w:rPr>
                <w:color w:val="auto"/>
                <w:highlight w:val="green"/>
              </w:rPr>
            </w:pPr>
            <w:r>
              <w:rPr>
                <w:rFonts w:hint="eastAsia"/>
                <w:color w:val="auto"/>
                <w:highlight w:val="green"/>
                <w:lang w:val="en-US" w:eastAsia="zh-CN"/>
              </w:rPr>
              <w:t>171</w:t>
            </w:r>
          </w:p>
        </w:tc>
        <w:tc>
          <w:tcPr>
            <w:tcW w:w="794" w:type="pct"/>
            <w:vAlign w:val="center"/>
          </w:tcPr>
          <w:p w14:paraId="62423C54">
            <w:pPr>
              <w:jc w:val="center"/>
              <w:rPr>
                <w:color w:val="auto"/>
                <w:highlight w:val="green"/>
              </w:rPr>
            </w:pPr>
            <w:r>
              <w:rPr>
                <w:rFonts w:hint="eastAsia"/>
                <w:color w:val="auto"/>
                <w:highlight w:val="green"/>
                <w:lang w:val="en-US" w:eastAsia="zh-CN"/>
              </w:rPr>
              <w:t>156</w:t>
            </w:r>
          </w:p>
        </w:tc>
        <w:tc>
          <w:tcPr>
            <w:tcW w:w="656" w:type="pct"/>
            <w:vMerge w:val="restart"/>
            <w:vAlign w:val="center"/>
          </w:tcPr>
          <w:p w14:paraId="48FCDE61">
            <w:pPr>
              <w:jc w:val="center"/>
              <w:rPr>
                <w:rFonts w:hint="default" w:ascii="Times New Roman" w:hAnsi="Times New Roman"/>
                <w:color w:val="auto"/>
                <w:szCs w:val="21"/>
                <w:highlight w:val="green"/>
                <w:lang w:val="en-US" w:eastAsia="zh-CN"/>
              </w:rPr>
            </w:pPr>
            <w:r>
              <w:rPr>
                <w:rFonts w:hint="eastAsia"/>
                <w:color w:val="auto"/>
                <w:szCs w:val="21"/>
                <w:highlight w:val="green"/>
                <w:lang w:val="en-US" w:eastAsia="zh-CN"/>
              </w:rPr>
              <w:t>/</w:t>
            </w:r>
          </w:p>
        </w:tc>
      </w:tr>
      <w:tr w14:paraId="104B934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3867F7BF">
            <w:pPr>
              <w:jc w:val="center"/>
              <w:rPr>
                <w:color w:val="auto"/>
                <w:szCs w:val="21"/>
                <w:highlight w:val="green"/>
              </w:rPr>
            </w:pPr>
          </w:p>
        </w:tc>
        <w:tc>
          <w:tcPr>
            <w:tcW w:w="1252" w:type="dxa"/>
            <w:vAlign w:val="center"/>
          </w:tcPr>
          <w:p w14:paraId="702E497D">
            <w:pPr>
              <w:jc w:val="center"/>
              <w:rPr>
                <w:color w:val="auto"/>
                <w:szCs w:val="21"/>
                <w:highlight w:val="green"/>
              </w:rPr>
            </w:pPr>
            <w:r>
              <w:rPr>
                <w:rFonts w:hint="eastAsia"/>
                <w:color w:val="auto"/>
                <w:szCs w:val="21"/>
                <w:highlight w:val="green"/>
                <w:lang w:val="en-US" w:eastAsia="zh-CN"/>
              </w:rPr>
              <w:t>12月22日</w:t>
            </w:r>
          </w:p>
        </w:tc>
        <w:tc>
          <w:tcPr>
            <w:tcW w:w="1547" w:type="dxa"/>
            <w:vAlign w:val="center"/>
          </w:tcPr>
          <w:p w14:paraId="0642381B">
            <w:pPr>
              <w:jc w:val="center"/>
              <w:rPr>
                <w:color w:val="auto"/>
                <w:highlight w:val="green"/>
              </w:rPr>
            </w:pPr>
            <w:r>
              <w:rPr>
                <w:rFonts w:hint="eastAsia"/>
                <w:color w:val="auto"/>
                <w:highlight w:val="green"/>
                <w:lang w:val="en-US" w:eastAsia="zh-CN"/>
              </w:rPr>
              <w:t>180</w:t>
            </w:r>
          </w:p>
        </w:tc>
        <w:tc>
          <w:tcPr>
            <w:tcW w:w="1496" w:type="dxa"/>
            <w:vAlign w:val="center"/>
          </w:tcPr>
          <w:p w14:paraId="39E6D9F9">
            <w:pPr>
              <w:jc w:val="center"/>
              <w:rPr>
                <w:color w:val="auto"/>
                <w:highlight w:val="green"/>
              </w:rPr>
            </w:pPr>
            <w:r>
              <w:rPr>
                <w:rFonts w:hint="eastAsia"/>
                <w:color w:val="auto"/>
                <w:highlight w:val="green"/>
                <w:lang w:val="en-US" w:eastAsia="zh-CN"/>
              </w:rPr>
              <w:t>172</w:t>
            </w:r>
          </w:p>
        </w:tc>
        <w:tc>
          <w:tcPr>
            <w:tcW w:w="794" w:type="pct"/>
            <w:vAlign w:val="center"/>
          </w:tcPr>
          <w:p w14:paraId="4B150C7D">
            <w:pPr>
              <w:jc w:val="center"/>
              <w:rPr>
                <w:color w:val="auto"/>
                <w:highlight w:val="green"/>
              </w:rPr>
            </w:pPr>
            <w:r>
              <w:rPr>
                <w:rFonts w:hint="eastAsia"/>
                <w:color w:val="auto"/>
                <w:highlight w:val="green"/>
                <w:lang w:val="en-US" w:eastAsia="zh-CN"/>
              </w:rPr>
              <w:t>153</w:t>
            </w:r>
          </w:p>
        </w:tc>
        <w:tc>
          <w:tcPr>
            <w:tcW w:w="656" w:type="pct"/>
            <w:vMerge w:val="continue"/>
            <w:vAlign w:val="center"/>
          </w:tcPr>
          <w:p w14:paraId="37C80E2F">
            <w:pPr>
              <w:jc w:val="center"/>
              <w:rPr>
                <w:rFonts w:hint="eastAsia" w:ascii="Times New Roman" w:hAnsi="Times New Roman"/>
                <w:color w:val="auto"/>
                <w:szCs w:val="21"/>
                <w:highlight w:val="green"/>
                <w:lang w:val="en-US" w:eastAsia="zh-CN"/>
              </w:rPr>
            </w:pPr>
          </w:p>
        </w:tc>
      </w:tr>
      <w:tr w14:paraId="37D07B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2781E728">
            <w:pPr>
              <w:jc w:val="center"/>
              <w:rPr>
                <w:color w:val="auto"/>
                <w:spacing w:val="12"/>
                <w:szCs w:val="21"/>
                <w:highlight w:val="green"/>
                <w:vertAlign w:val="superscript"/>
              </w:rPr>
            </w:pPr>
            <w:r>
              <w:rPr>
                <w:color w:val="auto"/>
                <w:spacing w:val="12"/>
                <w:szCs w:val="21"/>
                <w:highlight w:val="green"/>
              </w:rPr>
              <w:t>Cl</w:t>
            </w:r>
            <w:r>
              <w:rPr>
                <w:color w:val="auto"/>
                <w:spacing w:val="12"/>
                <w:szCs w:val="21"/>
                <w:highlight w:val="green"/>
                <w:vertAlign w:val="superscript"/>
              </w:rPr>
              <w:t>-</w:t>
            </w:r>
          </w:p>
          <w:p w14:paraId="61568258">
            <w:pPr>
              <w:jc w:val="center"/>
              <w:rPr>
                <w:color w:val="auto"/>
                <w:szCs w:val="21"/>
                <w:highlight w:val="green"/>
              </w:rPr>
            </w:pPr>
            <w:r>
              <w:rPr>
                <w:color w:val="auto"/>
                <w:szCs w:val="21"/>
                <w:highlight w:val="green"/>
              </w:rPr>
              <w:t>（mg/L）</w:t>
            </w:r>
          </w:p>
        </w:tc>
        <w:tc>
          <w:tcPr>
            <w:tcW w:w="1252" w:type="dxa"/>
            <w:vAlign w:val="center"/>
          </w:tcPr>
          <w:p w14:paraId="32C38465">
            <w:pPr>
              <w:jc w:val="center"/>
              <w:rPr>
                <w:color w:val="auto"/>
                <w:szCs w:val="21"/>
                <w:highlight w:val="green"/>
              </w:rPr>
            </w:pPr>
            <w:r>
              <w:rPr>
                <w:rFonts w:hint="eastAsia"/>
                <w:color w:val="auto"/>
                <w:szCs w:val="21"/>
                <w:highlight w:val="green"/>
                <w:lang w:val="en-US" w:eastAsia="zh-CN"/>
              </w:rPr>
              <w:t>12月21日</w:t>
            </w:r>
          </w:p>
        </w:tc>
        <w:tc>
          <w:tcPr>
            <w:tcW w:w="1547" w:type="dxa"/>
            <w:vAlign w:val="center"/>
          </w:tcPr>
          <w:p w14:paraId="306F19EC">
            <w:pPr>
              <w:jc w:val="center"/>
              <w:rPr>
                <w:color w:val="auto"/>
                <w:highlight w:val="green"/>
              </w:rPr>
            </w:pPr>
            <w:r>
              <w:rPr>
                <w:rFonts w:hint="eastAsia"/>
                <w:color w:val="auto"/>
                <w:highlight w:val="green"/>
                <w:lang w:val="en-US" w:eastAsia="zh-CN"/>
              </w:rPr>
              <w:t>13.1</w:t>
            </w:r>
          </w:p>
        </w:tc>
        <w:tc>
          <w:tcPr>
            <w:tcW w:w="1496" w:type="dxa"/>
            <w:vAlign w:val="center"/>
          </w:tcPr>
          <w:p w14:paraId="7B5F72D5">
            <w:pPr>
              <w:jc w:val="center"/>
              <w:rPr>
                <w:color w:val="auto"/>
                <w:highlight w:val="green"/>
              </w:rPr>
            </w:pPr>
            <w:r>
              <w:rPr>
                <w:rFonts w:hint="eastAsia"/>
                <w:color w:val="auto"/>
                <w:highlight w:val="green"/>
                <w:lang w:val="en-US" w:eastAsia="zh-CN"/>
              </w:rPr>
              <w:t>57.6</w:t>
            </w:r>
          </w:p>
        </w:tc>
        <w:tc>
          <w:tcPr>
            <w:tcW w:w="794" w:type="pct"/>
            <w:vAlign w:val="center"/>
          </w:tcPr>
          <w:p w14:paraId="747F879A">
            <w:pPr>
              <w:jc w:val="center"/>
              <w:rPr>
                <w:color w:val="auto"/>
                <w:highlight w:val="green"/>
              </w:rPr>
            </w:pPr>
            <w:r>
              <w:rPr>
                <w:rFonts w:hint="eastAsia"/>
                <w:color w:val="auto"/>
                <w:highlight w:val="green"/>
                <w:lang w:val="en-US" w:eastAsia="zh-CN"/>
              </w:rPr>
              <w:t>48.2</w:t>
            </w:r>
          </w:p>
        </w:tc>
        <w:tc>
          <w:tcPr>
            <w:tcW w:w="656" w:type="pct"/>
            <w:vMerge w:val="restart"/>
            <w:vAlign w:val="center"/>
          </w:tcPr>
          <w:p w14:paraId="2CE856EA">
            <w:pPr>
              <w:jc w:val="center"/>
              <w:rPr>
                <w:rFonts w:hint="default" w:ascii="Times New Roman" w:hAnsi="Times New Roman"/>
                <w:color w:val="auto"/>
                <w:szCs w:val="21"/>
                <w:highlight w:val="green"/>
                <w:lang w:val="en-US" w:eastAsia="zh-CN"/>
              </w:rPr>
            </w:pPr>
            <w:r>
              <w:rPr>
                <w:rFonts w:hint="eastAsia"/>
                <w:color w:val="auto"/>
                <w:szCs w:val="21"/>
                <w:highlight w:val="green"/>
                <w:lang w:val="en-US" w:eastAsia="zh-CN"/>
              </w:rPr>
              <w:t>/</w:t>
            </w:r>
          </w:p>
        </w:tc>
      </w:tr>
      <w:tr w14:paraId="74DABA2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5C536F93">
            <w:pPr>
              <w:jc w:val="center"/>
              <w:rPr>
                <w:color w:val="auto"/>
                <w:szCs w:val="21"/>
                <w:highlight w:val="green"/>
              </w:rPr>
            </w:pPr>
          </w:p>
        </w:tc>
        <w:tc>
          <w:tcPr>
            <w:tcW w:w="1252" w:type="dxa"/>
            <w:vAlign w:val="center"/>
          </w:tcPr>
          <w:p w14:paraId="7CAC740B">
            <w:pPr>
              <w:jc w:val="center"/>
              <w:rPr>
                <w:color w:val="auto"/>
                <w:szCs w:val="21"/>
                <w:highlight w:val="green"/>
              </w:rPr>
            </w:pPr>
            <w:r>
              <w:rPr>
                <w:rFonts w:hint="eastAsia"/>
                <w:color w:val="auto"/>
                <w:szCs w:val="21"/>
                <w:highlight w:val="green"/>
                <w:lang w:val="en-US" w:eastAsia="zh-CN"/>
              </w:rPr>
              <w:t>12月22日</w:t>
            </w:r>
          </w:p>
        </w:tc>
        <w:tc>
          <w:tcPr>
            <w:tcW w:w="1547" w:type="dxa"/>
            <w:vAlign w:val="center"/>
          </w:tcPr>
          <w:p w14:paraId="7942D1AD">
            <w:pPr>
              <w:jc w:val="center"/>
              <w:rPr>
                <w:color w:val="auto"/>
                <w:highlight w:val="green"/>
              </w:rPr>
            </w:pPr>
            <w:r>
              <w:rPr>
                <w:rFonts w:hint="eastAsia"/>
                <w:color w:val="auto"/>
                <w:highlight w:val="green"/>
                <w:lang w:val="en-US" w:eastAsia="zh-CN"/>
              </w:rPr>
              <w:t>12.8</w:t>
            </w:r>
          </w:p>
        </w:tc>
        <w:tc>
          <w:tcPr>
            <w:tcW w:w="1496" w:type="dxa"/>
            <w:vAlign w:val="center"/>
          </w:tcPr>
          <w:p w14:paraId="4D4F1950">
            <w:pPr>
              <w:jc w:val="center"/>
              <w:rPr>
                <w:color w:val="auto"/>
                <w:highlight w:val="green"/>
              </w:rPr>
            </w:pPr>
            <w:r>
              <w:rPr>
                <w:rFonts w:hint="eastAsia"/>
                <w:color w:val="auto"/>
                <w:highlight w:val="green"/>
                <w:lang w:val="en-US" w:eastAsia="zh-CN"/>
              </w:rPr>
              <w:t>58.1</w:t>
            </w:r>
          </w:p>
        </w:tc>
        <w:tc>
          <w:tcPr>
            <w:tcW w:w="794" w:type="pct"/>
            <w:vAlign w:val="center"/>
          </w:tcPr>
          <w:p w14:paraId="2865B525">
            <w:pPr>
              <w:jc w:val="center"/>
              <w:rPr>
                <w:color w:val="auto"/>
                <w:highlight w:val="green"/>
              </w:rPr>
            </w:pPr>
            <w:r>
              <w:rPr>
                <w:rFonts w:hint="eastAsia"/>
                <w:color w:val="auto"/>
                <w:highlight w:val="green"/>
                <w:lang w:val="en-US" w:eastAsia="zh-CN"/>
              </w:rPr>
              <w:t>48.3</w:t>
            </w:r>
          </w:p>
        </w:tc>
        <w:tc>
          <w:tcPr>
            <w:tcW w:w="656" w:type="pct"/>
            <w:vMerge w:val="continue"/>
            <w:vAlign w:val="center"/>
          </w:tcPr>
          <w:p w14:paraId="4425CFA1">
            <w:pPr>
              <w:jc w:val="center"/>
              <w:rPr>
                <w:rFonts w:hint="eastAsia" w:ascii="Times New Roman" w:hAnsi="Times New Roman"/>
                <w:color w:val="auto"/>
                <w:szCs w:val="21"/>
                <w:highlight w:val="green"/>
                <w:lang w:val="en-US" w:eastAsia="zh-CN"/>
              </w:rPr>
            </w:pPr>
          </w:p>
        </w:tc>
      </w:tr>
      <w:tr w14:paraId="30007C0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5B11CAB6">
            <w:pPr>
              <w:jc w:val="center"/>
              <w:rPr>
                <w:color w:val="auto"/>
                <w:spacing w:val="12"/>
                <w:szCs w:val="21"/>
                <w:highlight w:val="green"/>
                <w:vertAlign w:val="superscript"/>
              </w:rPr>
            </w:pPr>
            <w:r>
              <w:rPr>
                <w:color w:val="auto"/>
                <w:spacing w:val="12"/>
                <w:szCs w:val="21"/>
                <w:highlight w:val="green"/>
              </w:rPr>
              <w:t>SO</w:t>
            </w:r>
            <w:r>
              <w:rPr>
                <w:color w:val="auto"/>
                <w:spacing w:val="12"/>
                <w:szCs w:val="21"/>
                <w:highlight w:val="green"/>
                <w:vertAlign w:val="subscript"/>
              </w:rPr>
              <w:t>4</w:t>
            </w:r>
            <w:r>
              <w:rPr>
                <w:color w:val="auto"/>
                <w:spacing w:val="12"/>
                <w:szCs w:val="21"/>
                <w:highlight w:val="green"/>
                <w:vertAlign w:val="superscript"/>
              </w:rPr>
              <w:t>2-</w:t>
            </w:r>
          </w:p>
          <w:p w14:paraId="0BBD526E">
            <w:pPr>
              <w:jc w:val="center"/>
              <w:rPr>
                <w:color w:val="auto"/>
                <w:szCs w:val="21"/>
                <w:highlight w:val="green"/>
              </w:rPr>
            </w:pPr>
            <w:r>
              <w:rPr>
                <w:color w:val="auto"/>
                <w:szCs w:val="21"/>
                <w:highlight w:val="green"/>
              </w:rPr>
              <w:t>（mg/L）</w:t>
            </w:r>
          </w:p>
        </w:tc>
        <w:tc>
          <w:tcPr>
            <w:tcW w:w="1252" w:type="dxa"/>
            <w:vAlign w:val="center"/>
          </w:tcPr>
          <w:p w14:paraId="1162ABDB">
            <w:pPr>
              <w:jc w:val="center"/>
              <w:rPr>
                <w:color w:val="auto"/>
                <w:szCs w:val="21"/>
                <w:highlight w:val="green"/>
              </w:rPr>
            </w:pPr>
            <w:r>
              <w:rPr>
                <w:rFonts w:hint="eastAsia"/>
                <w:color w:val="auto"/>
                <w:szCs w:val="21"/>
                <w:highlight w:val="green"/>
                <w:lang w:val="en-US" w:eastAsia="zh-CN"/>
              </w:rPr>
              <w:t>12月21日</w:t>
            </w:r>
          </w:p>
        </w:tc>
        <w:tc>
          <w:tcPr>
            <w:tcW w:w="1547" w:type="dxa"/>
            <w:vAlign w:val="center"/>
          </w:tcPr>
          <w:p w14:paraId="2AD210CE">
            <w:pPr>
              <w:jc w:val="center"/>
              <w:rPr>
                <w:color w:val="auto"/>
                <w:highlight w:val="green"/>
              </w:rPr>
            </w:pPr>
            <w:r>
              <w:rPr>
                <w:rFonts w:hint="eastAsia"/>
                <w:color w:val="auto"/>
                <w:highlight w:val="green"/>
                <w:lang w:val="en-US" w:eastAsia="zh-CN"/>
              </w:rPr>
              <w:t>12.6</w:t>
            </w:r>
          </w:p>
        </w:tc>
        <w:tc>
          <w:tcPr>
            <w:tcW w:w="1496" w:type="dxa"/>
            <w:vAlign w:val="center"/>
          </w:tcPr>
          <w:p w14:paraId="3AA4FE72">
            <w:pPr>
              <w:jc w:val="center"/>
              <w:rPr>
                <w:color w:val="auto"/>
                <w:highlight w:val="green"/>
              </w:rPr>
            </w:pPr>
            <w:r>
              <w:rPr>
                <w:rFonts w:hint="eastAsia"/>
                <w:color w:val="auto"/>
                <w:highlight w:val="green"/>
                <w:lang w:val="en-US" w:eastAsia="zh-CN"/>
              </w:rPr>
              <w:t>54.3</w:t>
            </w:r>
          </w:p>
        </w:tc>
        <w:tc>
          <w:tcPr>
            <w:tcW w:w="794" w:type="pct"/>
            <w:vAlign w:val="center"/>
          </w:tcPr>
          <w:p w14:paraId="137AAA46">
            <w:pPr>
              <w:jc w:val="center"/>
              <w:rPr>
                <w:color w:val="auto"/>
                <w:highlight w:val="green"/>
              </w:rPr>
            </w:pPr>
            <w:r>
              <w:rPr>
                <w:rFonts w:hint="eastAsia"/>
                <w:color w:val="auto"/>
                <w:highlight w:val="green"/>
                <w:lang w:val="en-US" w:eastAsia="zh-CN"/>
              </w:rPr>
              <w:t>147</w:t>
            </w:r>
          </w:p>
        </w:tc>
        <w:tc>
          <w:tcPr>
            <w:tcW w:w="656" w:type="pct"/>
            <w:vMerge w:val="restart"/>
            <w:vAlign w:val="center"/>
          </w:tcPr>
          <w:p w14:paraId="16991A85">
            <w:pPr>
              <w:jc w:val="center"/>
              <w:rPr>
                <w:rFonts w:hint="default" w:ascii="Times New Roman" w:hAnsi="Times New Roman"/>
                <w:color w:val="auto"/>
                <w:szCs w:val="21"/>
                <w:highlight w:val="green"/>
                <w:lang w:val="en-US" w:eastAsia="zh-CN"/>
              </w:rPr>
            </w:pPr>
            <w:r>
              <w:rPr>
                <w:rFonts w:hint="eastAsia"/>
                <w:color w:val="auto"/>
                <w:szCs w:val="21"/>
                <w:highlight w:val="green"/>
                <w:lang w:val="en-US" w:eastAsia="zh-CN"/>
              </w:rPr>
              <w:t>/</w:t>
            </w:r>
          </w:p>
        </w:tc>
      </w:tr>
      <w:tr w14:paraId="2A24E0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4AC65F16">
            <w:pPr>
              <w:jc w:val="center"/>
              <w:rPr>
                <w:color w:val="auto"/>
                <w:szCs w:val="21"/>
                <w:highlight w:val="green"/>
              </w:rPr>
            </w:pPr>
          </w:p>
        </w:tc>
        <w:tc>
          <w:tcPr>
            <w:tcW w:w="1252" w:type="dxa"/>
            <w:vAlign w:val="center"/>
          </w:tcPr>
          <w:p w14:paraId="7F4DC8E2">
            <w:pPr>
              <w:jc w:val="center"/>
              <w:rPr>
                <w:color w:val="auto"/>
                <w:szCs w:val="21"/>
                <w:highlight w:val="green"/>
              </w:rPr>
            </w:pPr>
            <w:r>
              <w:rPr>
                <w:rFonts w:hint="eastAsia"/>
                <w:color w:val="auto"/>
                <w:szCs w:val="21"/>
                <w:highlight w:val="green"/>
                <w:lang w:val="en-US" w:eastAsia="zh-CN"/>
              </w:rPr>
              <w:t>12月22日</w:t>
            </w:r>
          </w:p>
        </w:tc>
        <w:tc>
          <w:tcPr>
            <w:tcW w:w="1547" w:type="dxa"/>
            <w:vAlign w:val="center"/>
          </w:tcPr>
          <w:p w14:paraId="1560D004">
            <w:pPr>
              <w:jc w:val="center"/>
              <w:rPr>
                <w:color w:val="auto"/>
                <w:highlight w:val="green"/>
              </w:rPr>
            </w:pPr>
            <w:r>
              <w:rPr>
                <w:rFonts w:hint="eastAsia"/>
                <w:color w:val="auto"/>
                <w:highlight w:val="green"/>
                <w:lang w:val="en-US" w:eastAsia="zh-CN"/>
              </w:rPr>
              <w:t>12.6</w:t>
            </w:r>
          </w:p>
        </w:tc>
        <w:tc>
          <w:tcPr>
            <w:tcW w:w="1496" w:type="dxa"/>
            <w:vAlign w:val="center"/>
          </w:tcPr>
          <w:p w14:paraId="4B845CAF">
            <w:pPr>
              <w:jc w:val="center"/>
              <w:rPr>
                <w:color w:val="auto"/>
                <w:highlight w:val="green"/>
              </w:rPr>
            </w:pPr>
            <w:r>
              <w:rPr>
                <w:rFonts w:hint="eastAsia"/>
                <w:color w:val="auto"/>
                <w:highlight w:val="green"/>
                <w:lang w:val="en-US" w:eastAsia="zh-CN"/>
              </w:rPr>
              <w:t>54.7</w:t>
            </w:r>
          </w:p>
        </w:tc>
        <w:tc>
          <w:tcPr>
            <w:tcW w:w="794" w:type="pct"/>
            <w:vAlign w:val="center"/>
          </w:tcPr>
          <w:p w14:paraId="0B3CC1E3">
            <w:pPr>
              <w:jc w:val="center"/>
              <w:rPr>
                <w:color w:val="auto"/>
                <w:highlight w:val="green"/>
              </w:rPr>
            </w:pPr>
            <w:r>
              <w:rPr>
                <w:rFonts w:hint="eastAsia"/>
                <w:color w:val="auto"/>
                <w:highlight w:val="green"/>
                <w:lang w:val="en-US" w:eastAsia="zh-CN"/>
              </w:rPr>
              <w:t>149</w:t>
            </w:r>
          </w:p>
        </w:tc>
        <w:tc>
          <w:tcPr>
            <w:tcW w:w="656" w:type="pct"/>
            <w:vMerge w:val="continue"/>
            <w:vAlign w:val="center"/>
          </w:tcPr>
          <w:p w14:paraId="001008A0">
            <w:pPr>
              <w:jc w:val="center"/>
              <w:rPr>
                <w:rFonts w:hint="eastAsia" w:ascii="Times New Roman" w:hAnsi="Times New Roman"/>
                <w:color w:val="auto"/>
                <w:szCs w:val="21"/>
                <w:highlight w:val="green"/>
                <w:lang w:val="en-US" w:eastAsia="zh-CN"/>
              </w:rPr>
            </w:pPr>
          </w:p>
        </w:tc>
      </w:tr>
      <w:tr w14:paraId="531DDD4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0848980A">
            <w:pPr>
              <w:jc w:val="center"/>
              <w:rPr>
                <w:color w:val="auto"/>
                <w:szCs w:val="21"/>
                <w:highlight w:val="green"/>
              </w:rPr>
            </w:pPr>
            <w:r>
              <w:rPr>
                <w:color w:val="auto"/>
                <w:szCs w:val="21"/>
                <w:highlight w:val="green"/>
              </w:rPr>
              <w:t>pH</w:t>
            </w:r>
          </w:p>
          <w:p w14:paraId="7CB5F7A1">
            <w:pPr>
              <w:jc w:val="center"/>
              <w:rPr>
                <w:color w:val="auto"/>
                <w:szCs w:val="21"/>
                <w:highlight w:val="green"/>
              </w:rPr>
            </w:pPr>
            <w:r>
              <w:rPr>
                <w:color w:val="auto"/>
                <w:szCs w:val="21"/>
                <w:highlight w:val="green"/>
              </w:rPr>
              <w:t>（无量纲）</w:t>
            </w:r>
          </w:p>
        </w:tc>
        <w:tc>
          <w:tcPr>
            <w:tcW w:w="1252" w:type="dxa"/>
            <w:vAlign w:val="center"/>
          </w:tcPr>
          <w:p w14:paraId="4A619BDE">
            <w:pPr>
              <w:jc w:val="center"/>
              <w:rPr>
                <w:color w:val="auto"/>
                <w:szCs w:val="21"/>
                <w:highlight w:val="green"/>
              </w:rPr>
            </w:pPr>
            <w:r>
              <w:rPr>
                <w:rFonts w:hint="eastAsia"/>
                <w:color w:val="auto"/>
                <w:szCs w:val="21"/>
                <w:highlight w:val="green"/>
                <w:lang w:val="en-US" w:eastAsia="zh-CN"/>
              </w:rPr>
              <w:t>12月21日</w:t>
            </w:r>
          </w:p>
        </w:tc>
        <w:tc>
          <w:tcPr>
            <w:tcW w:w="1547" w:type="dxa"/>
            <w:vAlign w:val="center"/>
          </w:tcPr>
          <w:p w14:paraId="506637F2">
            <w:pPr>
              <w:jc w:val="center"/>
              <w:rPr>
                <w:color w:val="auto"/>
                <w:highlight w:val="green"/>
              </w:rPr>
            </w:pPr>
            <w:r>
              <w:rPr>
                <w:rFonts w:hint="eastAsia"/>
                <w:color w:val="auto"/>
                <w:highlight w:val="green"/>
                <w:lang w:val="en-US" w:eastAsia="zh-CN"/>
              </w:rPr>
              <w:t>7.5</w:t>
            </w:r>
          </w:p>
        </w:tc>
        <w:tc>
          <w:tcPr>
            <w:tcW w:w="1496" w:type="dxa"/>
            <w:vAlign w:val="center"/>
          </w:tcPr>
          <w:p w14:paraId="6A7C10FC">
            <w:pPr>
              <w:jc w:val="center"/>
              <w:rPr>
                <w:color w:val="auto"/>
                <w:highlight w:val="green"/>
              </w:rPr>
            </w:pPr>
            <w:r>
              <w:rPr>
                <w:rFonts w:hint="eastAsia"/>
                <w:color w:val="auto"/>
                <w:highlight w:val="green"/>
                <w:lang w:val="en-US" w:eastAsia="zh-CN"/>
              </w:rPr>
              <w:t>7.6</w:t>
            </w:r>
          </w:p>
        </w:tc>
        <w:tc>
          <w:tcPr>
            <w:tcW w:w="794" w:type="pct"/>
            <w:vAlign w:val="center"/>
          </w:tcPr>
          <w:p w14:paraId="35B7628F">
            <w:pPr>
              <w:jc w:val="center"/>
              <w:rPr>
                <w:rFonts w:hint="default"/>
                <w:color w:val="auto"/>
                <w:highlight w:val="green"/>
                <w:lang w:val="en-US" w:eastAsia="zh-CN"/>
              </w:rPr>
            </w:pPr>
            <w:r>
              <w:rPr>
                <w:rFonts w:hint="eastAsia"/>
                <w:color w:val="auto"/>
                <w:highlight w:val="green"/>
                <w:lang w:val="en-US" w:eastAsia="zh-CN"/>
              </w:rPr>
              <w:t>7.6</w:t>
            </w:r>
          </w:p>
        </w:tc>
        <w:tc>
          <w:tcPr>
            <w:tcW w:w="656" w:type="pct"/>
            <w:vMerge w:val="restart"/>
            <w:vAlign w:val="center"/>
          </w:tcPr>
          <w:p w14:paraId="5870E474">
            <w:pPr>
              <w:jc w:val="center"/>
              <w:rPr>
                <w:rFonts w:hint="eastAsia" w:ascii="Times New Roman" w:hAnsi="Times New Roman"/>
                <w:color w:val="auto"/>
                <w:szCs w:val="21"/>
                <w:highlight w:val="green"/>
                <w:lang w:val="en-US" w:eastAsia="zh-CN"/>
              </w:rPr>
            </w:pPr>
            <w:r>
              <w:rPr>
                <w:color w:val="auto"/>
                <w:highlight w:val="green"/>
              </w:rPr>
              <w:t>6.5~8.5</w:t>
            </w:r>
          </w:p>
        </w:tc>
      </w:tr>
      <w:tr w14:paraId="196B636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260F0BA5">
            <w:pPr>
              <w:jc w:val="center"/>
              <w:rPr>
                <w:color w:val="auto"/>
                <w:szCs w:val="21"/>
                <w:highlight w:val="green"/>
              </w:rPr>
            </w:pPr>
          </w:p>
        </w:tc>
        <w:tc>
          <w:tcPr>
            <w:tcW w:w="1252" w:type="dxa"/>
            <w:vAlign w:val="center"/>
          </w:tcPr>
          <w:p w14:paraId="47DF7749">
            <w:pPr>
              <w:jc w:val="center"/>
              <w:rPr>
                <w:color w:val="auto"/>
                <w:szCs w:val="21"/>
                <w:highlight w:val="green"/>
              </w:rPr>
            </w:pPr>
            <w:r>
              <w:rPr>
                <w:rFonts w:hint="eastAsia"/>
                <w:color w:val="auto"/>
                <w:szCs w:val="21"/>
                <w:highlight w:val="green"/>
                <w:lang w:val="en-US" w:eastAsia="zh-CN"/>
              </w:rPr>
              <w:t>12月22日</w:t>
            </w:r>
          </w:p>
        </w:tc>
        <w:tc>
          <w:tcPr>
            <w:tcW w:w="1547" w:type="dxa"/>
            <w:vAlign w:val="center"/>
          </w:tcPr>
          <w:p w14:paraId="555DED5F">
            <w:pPr>
              <w:jc w:val="center"/>
              <w:rPr>
                <w:color w:val="auto"/>
                <w:highlight w:val="green"/>
              </w:rPr>
            </w:pPr>
            <w:r>
              <w:rPr>
                <w:rFonts w:hint="eastAsia"/>
                <w:color w:val="auto"/>
                <w:highlight w:val="green"/>
                <w:lang w:val="en-US" w:eastAsia="zh-CN"/>
              </w:rPr>
              <w:t>7.6</w:t>
            </w:r>
          </w:p>
        </w:tc>
        <w:tc>
          <w:tcPr>
            <w:tcW w:w="1496" w:type="dxa"/>
            <w:vAlign w:val="center"/>
          </w:tcPr>
          <w:p w14:paraId="217A8BB8">
            <w:pPr>
              <w:jc w:val="center"/>
              <w:rPr>
                <w:color w:val="auto"/>
                <w:highlight w:val="green"/>
              </w:rPr>
            </w:pPr>
            <w:r>
              <w:rPr>
                <w:rFonts w:hint="eastAsia"/>
                <w:color w:val="auto"/>
                <w:highlight w:val="green"/>
                <w:lang w:val="en-US" w:eastAsia="zh-CN"/>
              </w:rPr>
              <w:t>7.7</w:t>
            </w:r>
          </w:p>
        </w:tc>
        <w:tc>
          <w:tcPr>
            <w:tcW w:w="794" w:type="pct"/>
            <w:vAlign w:val="center"/>
          </w:tcPr>
          <w:p w14:paraId="36209E2C">
            <w:pPr>
              <w:jc w:val="center"/>
              <w:rPr>
                <w:rFonts w:hint="default"/>
                <w:color w:val="auto"/>
                <w:highlight w:val="green"/>
                <w:lang w:val="en-US" w:eastAsia="zh-CN"/>
              </w:rPr>
            </w:pPr>
            <w:r>
              <w:rPr>
                <w:rFonts w:hint="eastAsia"/>
                <w:color w:val="auto"/>
                <w:highlight w:val="green"/>
                <w:lang w:val="en-US" w:eastAsia="zh-CN"/>
              </w:rPr>
              <w:t>7.5</w:t>
            </w:r>
          </w:p>
        </w:tc>
        <w:tc>
          <w:tcPr>
            <w:tcW w:w="656" w:type="pct"/>
            <w:vMerge w:val="continue"/>
            <w:vAlign w:val="center"/>
          </w:tcPr>
          <w:p w14:paraId="6F55D6AA">
            <w:pPr>
              <w:jc w:val="center"/>
              <w:rPr>
                <w:rFonts w:hint="eastAsia" w:ascii="Times New Roman" w:hAnsi="Times New Roman"/>
                <w:color w:val="auto"/>
                <w:szCs w:val="21"/>
                <w:highlight w:val="green"/>
                <w:lang w:val="en-US" w:eastAsia="zh-CN"/>
              </w:rPr>
            </w:pPr>
          </w:p>
        </w:tc>
      </w:tr>
      <w:tr w14:paraId="0AF79F4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66C54C83">
            <w:pPr>
              <w:jc w:val="center"/>
              <w:rPr>
                <w:color w:val="auto"/>
                <w:szCs w:val="21"/>
                <w:highlight w:val="green"/>
              </w:rPr>
            </w:pPr>
            <w:r>
              <w:rPr>
                <w:color w:val="auto"/>
                <w:szCs w:val="21"/>
                <w:highlight w:val="green"/>
              </w:rPr>
              <w:t>氨氮</w:t>
            </w:r>
          </w:p>
          <w:p w14:paraId="5F13C3B5">
            <w:pPr>
              <w:jc w:val="center"/>
              <w:rPr>
                <w:color w:val="auto"/>
                <w:szCs w:val="21"/>
                <w:highlight w:val="green"/>
              </w:rPr>
            </w:pPr>
            <w:r>
              <w:rPr>
                <w:color w:val="auto"/>
                <w:szCs w:val="21"/>
                <w:highlight w:val="green"/>
              </w:rPr>
              <w:t>（mg/L）</w:t>
            </w:r>
          </w:p>
        </w:tc>
        <w:tc>
          <w:tcPr>
            <w:tcW w:w="1252" w:type="dxa"/>
            <w:vAlign w:val="center"/>
          </w:tcPr>
          <w:p w14:paraId="4D306943">
            <w:pPr>
              <w:jc w:val="center"/>
              <w:rPr>
                <w:rFonts w:hint="eastAsia"/>
                <w:color w:val="auto"/>
                <w:szCs w:val="21"/>
                <w:highlight w:val="green"/>
              </w:rPr>
            </w:pPr>
            <w:r>
              <w:rPr>
                <w:rFonts w:hint="eastAsia"/>
                <w:color w:val="auto"/>
                <w:szCs w:val="21"/>
                <w:highlight w:val="green"/>
                <w:lang w:val="en-US" w:eastAsia="zh-CN"/>
              </w:rPr>
              <w:t>12月21日</w:t>
            </w:r>
          </w:p>
        </w:tc>
        <w:tc>
          <w:tcPr>
            <w:tcW w:w="1547" w:type="dxa"/>
            <w:vAlign w:val="center"/>
          </w:tcPr>
          <w:p w14:paraId="3187AB2E">
            <w:pPr>
              <w:jc w:val="center"/>
              <w:rPr>
                <w:rFonts w:hint="eastAsia"/>
                <w:color w:val="auto"/>
                <w:highlight w:val="green"/>
              </w:rPr>
            </w:pPr>
            <w:r>
              <w:rPr>
                <w:rFonts w:hint="eastAsia"/>
                <w:color w:val="auto"/>
                <w:highlight w:val="green"/>
                <w:lang w:val="en-US" w:eastAsia="zh-CN"/>
              </w:rPr>
              <w:t>0.110</w:t>
            </w:r>
          </w:p>
        </w:tc>
        <w:tc>
          <w:tcPr>
            <w:tcW w:w="1496" w:type="dxa"/>
            <w:vAlign w:val="center"/>
          </w:tcPr>
          <w:p w14:paraId="06ABBB6D">
            <w:pPr>
              <w:jc w:val="center"/>
              <w:rPr>
                <w:rFonts w:hint="eastAsia"/>
                <w:color w:val="auto"/>
                <w:highlight w:val="green"/>
              </w:rPr>
            </w:pPr>
            <w:r>
              <w:rPr>
                <w:rFonts w:hint="eastAsia"/>
                <w:color w:val="auto"/>
                <w:highlight w:val="green"/>
                <w:lang w:val="en-US" w:eastAsia="zh-CN"/>
              </w:rPr>
              <w:t>0.180</w:t>
            </w:r>
          </w:p>
        </w:tc>
        <w:tc>
          <w:tcPr>
            <w:tcW w:w="794" w:type="pct"/>
            <w:vAlign w:val="center"/>
          </w:tcPr>
          <w:p w14:paraId="2C729C6E">
            <w:pPr>
              <w:jc w:val="center"/>
              <w:rPr>
                <w:rFonts w:hint="eastAsia"/>
                <w:color w:val="auto"/>
                <w:highlight w:val="green"/>
              </w:rPr>
            </w:pPr>
            <w:r>
              <w:rPr>
                <w:rFonts w:hint="eastAsia"/>
                <w:color w:val="auto"/>
                <w:highlight w:val="green"/>
                <w:lang w:val="en-US" w:eastAsia="zh-CN"/>
              </w:rPr>
              <w:t>0.107</w:t>
            </w:r>
          </w:p>
        </w:tc>
        <w:tc>
          <w:tcPr>
            <w:tcW w:w="656" w:type="pct"/>
            <w:vMerge w:val="restart"/>
            <w:vAlign w:val="center"/>
          </w:tcPr>
          <w:p w14:paraId="77BE4A99">
            <w:pPr>
              <w:jc w:val="center"/>
              <w:rPr>
                <w:rFonts w:hint="eastAsia" w:ascii="Times New Roman" w:hAnsi="Times New Roman"/>
                <w:color w:val="auto"/>
                <w:szCs w:val="21"/>
                <w:highlight w:val="green"/>
                <w:lang w:val="en-US" w:eastAsia="zh-CN"/>
              </w:rPr>
            </w:pPr>
            <w:r>
              <w:rPr>
                <w:color w:val="auto"/>
                <w:highlight w:val="green"/>
              </w:rPr>
              <w:t>≤0.5</w:t>
            </w:r>
          </w:p>
        </w:tc>
      </w:tr>
      <w:tr w14:paraId="77DB88C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143B3EBE">
            <w:pPr>
              <w:jc w:val="center"/>
              <w:rPr>
                <w:color w:val="auto"/>
                <w:szCs w:val="21"/>
                <w:highlight w:val="green"/>
              </w:rPr>
            </w:pPr>
          </w:p>
        </w:tc>
        <w:tc>
          <w:tcPr>
            <w:tcW w:w="1252" w:type="dxa"/>
            <w:vAlign w:val="center"/>
          </w:tcPr>
          <w:p w14:paraId="6ADBB9C4">
            <w:pPr>
              <w:jc w:val="center"/>
              <w:rPr>
                <w:rFonts w:hint="eastAsia"/>
                <w:color w:val="auto"/>
                <w:szCs w:val="21"/>
                <w:highlight w:val="green"/>
              </w:rPr>
            </w:pPr>
            <w:r>
              <w:rPr>
                <w:rFonts w:hint="eastAsia"/>
                <w:color w:val="auto"/>
                <w:szCs w:val="21"/>
                <w:highlight w:val="green"/>
                <w:lang w:val="en-US" w:eastAsia="zh-CN"/>
              </w:rPr>
              <w:t>12月22日</w:t>
            </w:r>
          </w:p>
        </w:tc>
        <w:tc>
          <w:tcPr>
            <w:tcW w:w="1547" w:type="dxa"/>
            <w:vAlign w:val="center"/>
          </w:tcPr>
          <w:p w14:paraId="7AB9ED8A">
            <w:pPr>
              <w:jc w:val="center"/>
              <w:rPr>
                <w:rFonts w:hint="eastAsia"/>
                <w:color w:val="auto"/>
                <w:highlight w:val="green"/>
              </w:rPr>
            </w:pPr>
            <w:r>
              <w:rPr>
                <w:rFonts w:hint="eastAsia"/>
                <w:color w:val="auto"/>
                <w:highlight w:val="green"/>
                <w:lang w:val="en-US" w:eastAsia="zh-CN"/>
              </w:rPr>
              <w:t>0.102</w:t>
            </w:r>
          </w:p>
        </w:tc>
        <w:tc>
          <w:tcPr>
            <w:tcW w:w="1496" w:type="dxa"/>
            <w:vAlign w:val="center"/>
          </w:tcPr>
          <w:p w14:paraId="07447A95">
            <w:pPr>
              <w:jc w:val="center"/>
              <w:rPr>
                <w:rFonts w:hint="eastAsia"/>
                <w:color w:val="auto"/>
                <w:highlight w:val="green"/>
              </w:rPr>
            </w:pPr>
            <w:r>
              <w:rPr>
                <w:rFonts w:hint="eastAsia"/>
                <w:color w:val="auto"/>
                <w:highlight w:val="green"/>
                <w:lang w:val="en-US" w:eastAsia="zh-CN"/>
              </w:rPr>
              <w:t>0.178</w:t>
            </w:r>
          </w:p>
        </w:tc>
        <w:tc>
          <w:tcPr>
            <w:tcW w:w="794" w:type="pct"/>
            <w:vAlign w:val="center"/>
          </w:tcPr>
          <w:p w14:paraId="22E33592">
            <w:pPr>
              <w:jc w:val="center"/>
              <w:rPr>
                <w:rFonts w:hint="eastAsia"/>
                <w:color w:val="auto"/>
                <w:highlight w:val="green"/>
              </w:rPr>
            </w:pPr>
            <w:r>
              <w:rPr>
                <w:rFonts w:hint="eastAsia"/>
                <w:color w:val="auto"/>
                <w:highlight w:val="green"/>
                <w:lang w:val="en-US" w:eastAsia="zh-CN"/>
              </w:rPr>
              <w:t>0.110</w:t>
            </w:r>
          </w:p>
        </w:tc>
        <w:tc>
          <w:tcPr>
            <w:tcW w:w="656" w:type="pct"/>
            <w:vMerge w:val="continue"/>
            <w:vAlign w:val="center"/>
          </w:tcPr>
          <w:p w14:paraId="353E3A8E">
            <w:pPr>
              <w:jc w:val="center"/>
              <w:rPr>
                <w:rFonts w:hint="eastAsia" w:ascii="Times New Roman" w:hAnsi="Times New Roman"/>
                <w:color w:val="auto"/>
                <w:szCs w:val="21"/>
                <w:highlight w:val="green"/>
                <w:lang w:val="en-US" w:eastAsia="zh-CN"/>
              </w:rPr>
            </w:pPr>
          </w:p>
        </w:tc>
      </w:tr>
      <w:tr w14:paraId="598A782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66116330">
            <w:pPr>
              <w:jc w:val="center"/>
              <w:rPr>
                <w:rFonts w:ascii="Times New Roman" w:hAnsi="Times New Roman"/>
                <w:color w:val="auto"/>
                <w:szCs w:val="21"/>
                <w:highlight w:val="green"/>
              </w:rPr>
            </w:pPr>
            <w:r>
              <w:rPr>
                <w:rFonts w:ascii="Times New Roman" w:hAnsi="Times New Roman"/>
                <w:color w:val="auto"/>
                <w:szCs w:val="21"/>
                <w:highlight w:val="green"/>
              </w:rPr>
              <w:t>硝酸盐氮</w:t>
            </w:r>
          </w:p>
          <w:p w14:paraId="2B0FE5F1">
            <w:pPr>
              <w:jc w:val="center"/>
              <w:rPr>
                <w:color w:val="auto"/>
                <w:szCs w:val="21"/>
                <w:highlight w:val="green"/>
              </w:rPr>
            </w:pPr>
            <w:r>
              <w:rPr>
                <w:rFonts w:hint="eastAsia" w:ascii="Times New Roman" w:hAnsi="Times New Roman"/>
                <w:color w:val="auto"/>
                <w:szCs w:val="21"/>
                <w:highlight w:val="green"/>
                <w:vertAlign w:val="baseline"/>
                <w:lang w:eastAsia="zh-CN"/>
              </w:rPr>
              <w:t>（</w:t>
            </w:r>
            <w:r>
              <w:rPr>
                <w:rFonts w:hint="eastAsia" w:ascii="Times New Roman" w:hAnsi="Times New Roman"/>
                <w:color w:val="auto"/>
                <w:szCs w:val="21"/>
                <w:highlight w:val="green"/>
                <w:vertAlign w:val="baseline"/>
                <w:lang w:val="en-US" w:eastAsia="zh-CN"/>
              </w:rPr>
              <w:t>mg/L</w:t>
            </w:r>
            <w:r>
              <w:rPr>
                <w:rFonts w:hint="eastAsia" w:ascii="Times New Roman" w:hAnsi="Times New Roman"/>
                <w:color w:val="auto"/>
                <w:szCs w:val="21"/>
                <w:highlight w:val="green"/>
                <w:vertAlign w:val="baseline"/>
                <w:lang w:eastAsia="zh-CN"/>
              </w:rPr>
              <w:t>）</w:t>
            </w:r>
          </w:p>
        </w:tc>
        <w:tc>
          <w:tcPr>
            <w:tcW w:w="1252" w:type="dxa"/>
            <w:vAlign w:val="center"/>
          </w:tcPr>
          <w:p w14:paraId="628FE5C5">
            <w:pPr>
              <w:jc w:val="center"/>
              <w:rPr>
                <w:rFonts w:hint="eastAsia"/>
                <w:color w:val="auto"/>
                <w:szCs w:val="21"/>
                <w:highlight w:val="green"/>
              </w:rPr>
            </w:pPr>
            <w:r>
              <w:rPr>
                <w:rFonts w:hint="eastAsia"/>
                <w:color w:val="auto"/>
                <w:szCs w:val="21"/>
                <w:highlight w:val="green"/>
                <w:lang w:val="en-US" w:eastAsia="zh-CN"/>
              </w:rPr>
              <w:t>12月21日</w:t>
            </w:r>
          </w:p>
        </w:tc>
        <w:tc>
          <w:tcPr>
            <w:tcW w:w="1547" w:type="dxa"/>
            <w:vAlign w:val="center"/>
          </w:tcPr>
          <w:p w14:paraId="0603CF00">
            <w:pPr>
              <w:jc w:val="center"/>
              <w:rPr>
                <w:rFonts w:hint="eastAsia"/>
                <w:color w:val="auto"/>
                <w:highlight w:val="green"/>
              </w:rPr>
            </w:pPr>
            <w:r>
              <w:rPr>
                <w:rFonts w:hint="eastAsia"/>
                <w:color w:val="auto"/>
                <w:highlight w:val="green"/>
                <w:lang w:val="en-US" w:eastAsia="zh-CN"/>
              </w:rPr>
              <w:t>3.84</w:t>
            </w:r>
          </w:p>
        </w:tc>
        <w:tc>
          <w:tcPr>
            <w:tcW w:w="1496" w:type="dxa"/>
            <w:vAlign w:val="center"/>
          </w:tcPr>
          <w:p w14:paraId="1BB86300">
            <w:pPr>
              <w:jc w:val="center"/>
              <w:rPr>
                <w:rFonts w:hint="eastAsia"/>
                <w:color w:val="auto"/>
                <w:highlight w:val="green"/>
              </w:rPr>
            </w:pPr>
            <w:r>
              <w:rPr>
                <w:rFonts w:hint="eastAsia"/>
                <w:color w:val="auto"/>
                <w:highlight w:val="green"/>
                <w:lang w:val="en-US" w:eastAsia="zh-CN"/>
              </w:rPr>
              <w:t>18.5</w:t>
            </w:r>
          </w:p>
        </w:tc>
        <w:tc>
          <w:tcPr>
            <w:tcW w:w="794" w:type="pct"/>
            <w:vAlign w:val="center"/>
          </w:tcPr>
          <w:p w14:paraId="17CDDB22">
            <w:pPr>
              <w:jc w:val="center"/>
              <w:rPr>
                <w:rFonts w:hint="eastAsia"/>
                <w:color w:val="auto"/>
                <w:highlight w:val="green"/>
              </w:rPr>
            </w:pPr>
            <w:r>
              <w:rPr>
                <w:rFonts w:hint="eastAsia"/>
                <w:color w:val="auto"/>
                <w:highlight w:val="green"/>
                <w:lang w:val="en-US" w:eastAsia="zh-CN"/>
              </w:rPr>
              <w:t>6.50</w:t>
            </w:r>
          </w:p>
        </w:tc>
        <w:tc>
          <w:tcPr>
            <w:tcW w:w="656" w:type="pct"/>
            <w:vMerge w:val="restart"/>
            <w:vAlign w:val="center"/>
          </w:tcPr>
          <w:p w14:paraId="2B193AF8">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lang w:val="en-US" w:eastAsia="zh-CN"/>
              </w:rPr>
              <w:t>20</w:t>
            </w:r>
          </w:p>
        </w:tc>
      </w:tr>
      <w:tr w14:paraId="12CB13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69DF5C90">
            <w:pPr>
              <w:jc w:val="center"/>
              <w:rPr>
                <w:color w:val="auto"/>
                <w:szCs w:val="21"/>
                <w:highlight w:val="green"/>
              </w:rPr>
            </w:pPr>
          </w:p>
        </w:tc>
        <w:tc>
          <w:tcPr>
            <w:tcW w:w="1252" w:type="dxa"/>
            <w:vAlign w:val="center"/>
          </w:tcPr>
          <w:p w14:paraId="4C3E110C">
            <w:pPr>
              <w:jc w:val="center"/>
              <w:rPr>
                <w:rFonts w:hint="eastAsia"/>
                <w:color w:val="auto"/>
                <w:szCs w:val="21"/>
                <w:highlight w:val="green"/>
              </w:rPr>
            </w:pPr>
            <w:r>
              <w:rPr>
                <w:rFonts w:hint="eastAsia"/>
                <w:color w:val="auto"/>
                <w:szCs w:val="21"/>
                <w:highlight w:val="green"/>
                <w:lang w:val="en-US" w:eastAsia="zh-CN"/>
              </w:rPr>
              <w:t>12月22日</w:t>
            </w:r>
          </w:p>
        </w:tc>
        <w:tc>
          <w:tcPr>
            <w:tcW w:w="1547" w:type="dxa"/>
            <w:vAlign w:val="center"/>
          </w:tcPr>
          <w:p w14:paraId="1F4C14BE">
            <w:pPr>
              <w:jc w:val="center"/>
              <w:rPr>
                <w:rFonts w:hint="eastAsia"/>
                <w:color w:val="auto"/>
                <w:highlight w:val="green"/>
              </w:rPr>
            </w:pPr>
            <w:r>
              <w:rPr>
                <w:rFonts w:hint="eastAsia"/>
                <w:color w:val="auto"/>
                <w:highlight w:val="green"/>
                <w:lang w:val="en-US" w:eastAsia="zh-CN"/>
              </w:rPr>
              <w:t>3.71</w:t>
            </w:r>
          </w:p>
        </w:tc>
        <w:tc>
          <w:tcPr>
            <w:tcW w:w="1496" w:type="dxa"/>
            <w:vAlign w:val="center"/>
          </w:tcPr>
          <w:p w14:paraId="2512F4D7">
            <w:pPr>
              <w:jc w:val="center"/>
              <w:rPr>
                <w:rFonts w:hint="eastAsia"/>
                <w:color w:val="auto"/>
                <w:highlight w:val="green"/>
              </w:rPr>
            </w:pPr>
            <w:r>
              <w:rPr>
                <w:rFonts w:hint="eastAsia"/>
                <w:color w:val="auto"/>
                <w:highlight w:val="green"/>
                <w:lang w:val="en-US" w:eastAsia="zh-CN"/>
              </w:rPr>
              <w:t>18.3</w:t>
            </w:r>
          </w:p>
        </w:tc>
        <w:tc>
          <w:tcPr>
            <w:tcW w:w="794" w:type="pct"/>
            <w:vAlign w:val="center"/>
          </w:tcPr>
          <w:p w14:paraId="618780E4">
            <w:pPr>
              <w:jc w:val="center"/>
              <w:rPr>
                <w:rFonts w:hint="eastAsia"/>
                <w:color w:val="auto"/>
                <w:highlight w:val="green"/>
              </w:rPr>
            </w:pPr>
            <w:r>
              <w:rPr>
                <w:rFonts w:hint="eastAsia"/>
                <w:color w:val="auto"/>
                <w:highlight w:val="green"/>
                <w:lang w:val="en-US" w:eastAsia="zh-CN"/>
              </w:rPr>
              <w:t>6.30</w:t>
            </w:r>
          </w:p>
        </w:tc>
        <w:tc>
          <w:tcPr>
            <w:tcW w:w="656" w:type="pct"/>
            <w:vMerge w:val="continue"/>
            <w:vAlign w:val="center"/>
          </w:tcPr>
          <w:p w14:paraId="5CEDDDB4">
            <w:pPr>
              <w:jc w:val="center"/>
              <w:rPr>
                <w:rFonts w:hint="eastAsia" w:ascii="Times New Roman" w:hAnsi="Times New Roman"/>
                <w:color w:val="auto"/>
                <w:szCs w:val="21"/>
                <w:highlight w:val="green"/>
                <w:lang w:val="en-US" w:eastAsia="zh-CN"/>
              </w:rPr>
            </w:pPr>
          </w:p>
        </w:tc>
      </w:tr>
      <w:tr w14:paraId="5F81B3E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11FE8CA2">
            <w:pPr>
              <w:jc w:val="center"/>
              <w:rPr>
                <w:color w:val="auto"/>
                <w:szCs w:val="21"/>
                <w:highlight w:val="green"/>
              </w:rPr>
            </w:pPr>
            <w:r>
              <w:rPr>
                <w:rFonts w:ascii="Times New Roman" w:hAnsi="Times New Roman"/>
                <w:color w:val="auto"/>
                <w:szCs w:val="21"/>
                <w:highlight w:val="green"/>
              </w:rPr>
              <w:t>亚硝酸盐氮</w:t>
            </w:r>
            <w:r>
              <w:rPr>
                <w:rFonts w:hint="eastAsia" w:ascii="Times New Roman" w:hAnsi="Times New Roman"/>
                <w:color w:val="auto"/>
                <w:szCs w:val="21"/>
                <w:highlight w:val="green"/>
                <w:vertAlign w:val="baseline"/>
                <w:lang w:eastAsia="zh-CN"/>
              </w:rPr>
              <w:t>（</w:t>
            </w:r>
            <w:r>
              <w:rPr>
                <w:rFonts w:hint="eastAsia" w:ascii="Times New Roman" w:hAnsi="Times New Roman"/>
                <w:color w:val="auto"/>
                <w:szCs w:val="21"/>
                <w:highlight w:val="green"/>
                <w:vertAlign w:val="baseline"/>
                <w:lang w:val="en-US" w:eastAsia="zh-CN"/>
              </w:rPr>
              <w:t>mg/L</w:t>
            </w:r>
            <w:r>
              <w:rPr>
                <w:rFonts w:hint="eastAsia" w:ascii="Times New Roman" w:hAnsi="Times New Roman"/>
                <w:color w:val="auto"/>
                <w:szCs w:val="21"/>
                <w:highlight w:val="green"/>
                <w:vertAlign w:val="baseline"/>
                <w:lang w:eastAsia="zh-CN"/>
              </w:rPr>
              <w:t>）</w:t>
            </w:r>
          </w:p>
        </w:tc>
        <w:tc>
          <w:tcPr>
            <w:tcW w:w="1252" w:type="dxa"/>
            <w:vAlign w:val="center"/>
          </w:tcPr>
          <w:p w14:paraId="522B2CDE">
            <w:pPr>
              <w:jc w:val="center"/>
              <w:rPr>
                <w:rFonts w:hint="eastAsia"/>
                <w:color w:val="auto"/>
                <w:szCs w:val="21"/>
                <w:highlight w:val="green"/>
              </w:rPr>
            </w:pPr>
            <w:r>
              <w:rPr>
                <w:rFonts w:hint="eastAsia"/>
                <w:color w:val="auto"/>
                <w:szCs w:val="21"/>
                <w:highlight w:val="green"/>
                <w:lang w:val="en-US" w:eastAsia="zh-CN"/>
              </w:rPr>
              <w:t>12月21日</w:t>
            </w:r>
          </w:p>
        </w:tc>
        <w:tc>
          <w:tcPr>
            <w:tcW w:w="1547" w:type="dxa"/>
            <w:vAlign w:val="center"/>
          </w:tcPr>
          <w:p w14:paraId="10A046F1">
            <w:pPr>
              <w:jc w:val="center"/>
              <w:rPr>
                <w:rFonts w:hint="eastAsia"/>
                <w:color w:val="auto"/>
                <w:highlight w:val="green"/>
              </w:rPr>
            </w:pPr>
            <w:r>
              <w:rPr>
                <w:rFonts w:hint="eastAsia"/>
                <w:color w:val="auto"/>
                <w:highlight w:val="green"/>
                <w:lang w:val="en-US" w:eastAsia="zh-CN"/>
              </w:rPr>
              <w:t>0.003L</w:t>
            </w:r>
          </w:p>
        </w:tc>
        <w:tc>
          <w:tcPr>
            <w:tcW w:w="1496" w:type="dxa"/>
            <w:vAlign w:val="center"/>
          </w:tcPr>
          <w:p w14:paraId="0630B32B">
            <w:pPr>
              <w:jc w:val="center"/>
              <w:rPr>
                <w:rFonts w:hint="eastAsia"/>
                <w:color w:val="auto"/>
                <w:highlight w:val="green"/>
              </w:rPr>
            </w:pPr>
            <w:r>
              <w:rPr>
                <w:rFonts w:hint="eastAsia"/>
                <w:color w:val="auto"/>
                <w:highlight w:val="green"/>
                <w:lang w:val="en-US" w:eastAsia="zh-CN"/>
              </w:rPr>
              <w:t>0.006</w:t>
            </w:r>
          </w:p>
        </w:tc>
        <w:tc>
          <w:tcPr>
            <w:tcW w:w="794" w:type="pct"/>
            <w:vAlign w:val="center"/>
          </w:tcPr>
          <w:p w14:paraId="13FA125C">
            <w:pPr>
              <w:jc w:val="center"/>
              <w:rPr>
                <w:rFonts w:hint="eastAsia"/>
                <w:color w:val="auto"/>
                <w:highlight w:val="green"/>
              </w:rPr>
            </w:pPr>
            <w:r>
              <w:rPr>
                <w:rFonts w:hint="eastAsia"/>
                <w:color w:val="auto"/>
                <w:highlight w:val="green"/>
                <w:lang w:val="en-US" w:eastAsia="zh-CN"/>
              </w:rPr>
              <w:t>0.003L</w:t>
            </w:r>
          </w:p>
        </w:tc>
        <w:tc>
          <w:tcPr>
            <w:tcW w:w="656" w:type="pct"/>
            <w:vMerge w:val="restart"/>
            <w:vAlign w:val="center"/>
          </w:tcPr>
          <w:p w14:paraId="2107E173">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lang w:val="en-US" w:eastAsia="zh-CN"/>
              </w:rPr>
              <w:t>1.0</w:t>
            </w:r>
          </w:p>
        </w:tc>
      </w:tr>
      <w:tr w14:paraId="1B3BC5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399AA4BD">
            <w:pPr>
              <w:jc w:val="center"/>
              <w:rPr>
                <w:color w:val="auto"/>
                <w:szCs w:val="21"/>
                <w:highlight w:val="green"/>
              </w:rPr>
            </w:pPr>
          </w:p>
        </w:tc>
        <w:tc>
          <w:tcPr>
            <w:tcW w:w="1252" w:type="dxa"/>
            <w:vAlign w:val="center"/>
          </w:tcPr>
          <w:p w14:paraId="117E31DA">
            <w:pPr>
              <w:jc w:val="center"/>
              <w:rPr>
                <w:rFonts w:hint="eastAsia"/>
                <w:color w:val="auto"/>
                <w:szCs w:val="21"/>
                <w:highlight w:val="green"/>
              </w:rPr>
            </w:pPr>
            <w:r>
              <w:rPr>
                <w:rFonts w:hint="eastAsia"/>
                <w:color w:val="auto"/>
                <w:szCs w:val="21"/>
                <w:highlight w:val="green"/>
                <w:lang w:val="en-US" w:eastAsia="zh-CN"/>
              </w:rPr>
              <w:t>12月22日</w:t>
            </w:r>
          </w:p>
        </w:tc>
        <w:tc>
          <w:tcPr>
            <w:tcW w:w="1547" w:type="dxa"/>
            <w:vAlign w:val="center"/>
          </w:tcPr>
          <w:p w14:paraId="79DA205D">
            <w:pPr>
              <w:jc w:val="center"/>
              <w:rPr>
                <w:rFonts w:hint="eastAsia"/>
                <w:color w:val="auto"/>
                <w:highlight w:val="green"/>
              </w:rPr>
            </w:pPr>
            <w:r>
              <w:rPr>
                <w:rFonts w:hint="eastAsia"/>
                <w:color w:val="auto"/>
                <w:highlight w:val="green"/>
                <w:lang w:val="en-US" w:eastAsia="zh-CN"/>
              </w:rPr>
              <w:t>0.003L</w:t>
            </w:r>
          </w:p>
        </w:tc>
        <w:tc>
          <w:tcPr>
            <w:tcW w:w="1496" w:type="dxa"/>
            <w:vAlign w:val="center"/>
          </w:tcPr>
          <w:p w14:paraId="60CE0DF2">
            <w:pPr>
              <w:jc w:val="center"/>
              <w:rPr>
                <w:rFonts w:hint="eastAsia"/>
                <w:color w:val="auto"/>
                <w:highlight w:val="green"/>
              </w:rPr>
            </w:pPr>
            <w:r>
              <w:rPr>
                <w:rFonts w:hint="eastAsia"/>
                <w:color w:val="auto"/>
                <w:highlight w:val="green"/>
                <w:lang w:val="en-US" w:eastAsia="zh-CN"/>
              </w:rPr>
              <w:t>0.005</w:t>
            </w:r>
          </w:p>
        </w:tc>
        <w:tc>
          <w:tcPr>
            <w:tcW w:w="794" w:type="pct"/>
            <w:vAlign w:val="center"/>
          </w:tcPr>
          <w:p w14:paraId="729E481B">
            <w:pPr>
              <w:jc w:val="center"/>
              <w:rPr>
                <w:rFonts w:hint="eastAsia"/>
                <w:color w:val="auto"/>
                <w:highlight w:val="green"/>
              </w:rPr>
            </w:pPr>
            <w:r>
              <w:rPr>
                <w:rFonts w:hint="eastAsia"/>
                <w:color w:val="auto"/>
                <w:highlight w:val="green"/>
                <w:lang w:val="en-US" w:eastAsia="zh-CN"/>
              </w:rPr>
              <w:t>0.003L</w:t>
            </w:r>
          </w:p>
        </w:tc>
        <w:tc>
          <w:tcPr>
            <w:tcW w:w="656" w:type="pct"/>
            <w:vMerge w:val="continue"/>
            <w:vAlign w:val="center"/>
          </w:tcPr>
          <w:p w14:paraId="27021455">
            <w:pPr>
              <w:jc w:val="center"/>
              <w:rPr>
                <w:rFonts w:hint="eastAsia" w:ascii="Times New Roman" w:hAnsi="Times New Roman"/>
                <w:color w:val="auto"/>
                <w:szCs w:val="21"/>
                <w:highlight w:val="green"/>
                <w:lang w:val="en-US" w:eastAsia="zh-CN"/>
              </w:rPr>
            </w:pPr>
          </w:p>
        </w:tc>
      </w:tr>
      <w:tr w14:paraId="1018210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25C03454">
            <w:pPr>
              <w:jc w:val="center"/>
              <w:rPr>
                <w:rFonts w:hint="eastAsia" w:eastAsia="宋体"/>
                <w:color w:val="auto"/>
                <w:szCs w:val="21"/>
                <w:highlight w:val="green"/>
                <w:lang w:eastAsia="zh-CN"/>
              </w:rPr>
            </w:pPr>
            <w:r>
              <w:rPr>
                <w:rFonts w:hint="eastAsia"/>
                <w:color w:val="auto"/>
                <w:szCs w:val="21"/>
                <w:highlight w:val="green"/>
                <w:lang w:eastAsia="zh-CN"/>
              </w:rPr>
              <w:t>挥发性酚类</w:t>
            </w:r>
          </w:p>
        </w:tc>
        <w:tc>
          <w:tcPr>
            <w:tcW w:w="1252" w:type="dxa"/>
            <w:vAlign w:val="center"/>
          </w:tcPr>
          <w:p w14:paraId="506B2FB4">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12月21日</w:t>
            </w:r>
          </w:p>
        </w:tc>
        <w:tc>
          <w:tcPr>
            <w:tcW w:w="1547" w:type="dxa"/>
            <w:vAlign w:val="center"/>
          </w:tcPr>
          <w:p w14:paraId="2BA786C8">
            <w:pPr>
              <w:jc w:val="center"/>
              <w:rPr>
                <w:rFonts w:hint="eastAsia"/>
                <w:color w:val="auto"/>
                <w:highlight w:val="green"/>
                <w:lang w:val="en-US" w:eastAsia="zh-CN"/>
              </w:rPr>
            </w:pPr>
            <w:r>
              <w:rPr>
                <w:rFonts w:hint="eastAsia"/>
                <w:color w:val="auto"/>
                <w:highlight w:val="green"/>
                <w:lang w:val="en-US" w:eastAsia="zh-CN"/>
              </w:rPr>
              <w:t>0.0010</w:t>
            </w:r>
          </w:p>
        </w:tc>
        <w:tc>
          <w:tcPr>
            <w:tcW w:w="1496" w:type="dxa"/>
            <w:vAlign w:val="center"/>
          </w:tcPr>
          <w:p w14:paraId="41F7D1DA">
            <w:pPr>
              <w:jc w:val="center"/>
              <w:rPr>
                <w:rFonts w:hint="eastAsia"/>
                <w:color w:val="auto"/>
                <w:highlight w:val="green"/>
                <w:lang w:val="en-US" w:eastAsia="zh-CN"/>
              </w:rPr>
            </w:pPr>
            <w:r>
              <w:rPr>
                <w:rFonts w:hint="eastAsia"/>
                <w:color w:val="auto"/>
                <w:highlight w:val="green"/>
                <w:lang w:val="en-US" w:eastAsia="zh-CN"/>
              </w:rPr>
              <w:t>0.0006</w:t>
            </w:r>
          </w:p>
        </w:tc>
        <w:tc>
          <w:tcPr>
            <w:tcW w:w="794" w:type="pct"/>
            <w:vAlign w:val="center"/>
          </w:tcPr>
          <w:p w14:paraId="3DEC9C95">
            <w:pPr>
              <w:jc w:val="center"/>
              <w:rPr>
                <w:rFonts w:hint="eastAsia"/>
                <w:color w:val="auto"/>
                <w:highlight w:val="green"/>
                <w:lang w:val="en-US" w:eastAsia="zh-CN"/>
              </w:rPr>
            </w:pPr>
            <w:r>
              <w:rPr>
                <w:rFonts w:hint="eastAsia"/>
                <w:color w:val="auto"/>
                <w:highlight w:val="green"/>
                <w:lang w:val="en-US" w:eastAsia="zh-CN"/>
              </w:rPr>
              <w:t>0.0007</w:t>
            </w:r>
          </w:p>
        </w:tc>
        <w:tc>
          <w:tcPr>
            <w:tcW w:w="656" w:type="pct"/>
            <w:vMerge w:val="restart"/>
            <w:vAlign w:val="center"/>
          </w:tcPr>
          <w:p w14:paraId="7BABCA45">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lang w:val="en-US" w:eastAsia="zh-CN"/>
              </w:rPr>
              <w:t>0.002</w:t>
            </w:r>
          </w:p>
        </w:tc>
      </w:tr>
      <w:tr w14:paraId="1C37EB6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59505B5F">
            <w:pPr>
              <w:jc w:val="center"/>
              <w:rPr>
                <w:color w:val="auto"/>
                <w:szCs w:val="21"/>
                <w:highlight w:val="green"/>
              </w:rPr>
            </w:pPr>
          </w:p>
        </w:tc>
        <w:tc>
          <w:tcPr>
            <w:tcW w:w="1252" w:type="dxa"/>
            <w:vAlign w:val="center"/>
          </w:tcPr>
          <w:p w14:paraId="36BD9DC0">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12月22日</w:t>
            </w:r>
          </w:p>
        </w:tc>
        <w:tc>
          <w:tcPr>
            <w:tcW w:w="1547" w:type="dxa"/>
            <w:vAlign w:val="center"/>
          </w:tcPr>
          <w:p w14:paraId="644D162E">
            <w:pPr>
              <w:jc w:val="center"/>
              <w:rPr>
                <w:rFonts w:hint="eastAsia"/>
                <w:color w:val="auto"/>
                <w:highlight w:val="green"/>
                <w:lang w:val="en-US" w:eastAsia="zh-CN"/>
              </w:rPr>
            </w:pPr>
            <w:r>
              <w:rPr>
                <w:rFonts w:hint="eastAsia"/>
                <w:color w:val="auto"/>
                <w:highlight w:val="green"/>
                <w:lang w:val="en-US" w:eastAsia="zh-CN"/>
              </w:rPr>
              <w:t>0.0009</w:t>
            </w:r>
          </w:p>
        </w:tc>
        <w:tc>
          <w:tcPr>
            <w:tcW w:w="1496" w:type="dxa"/>
            <w:vAlign w:val="center"/>
          </w:tcPr>
          <w:p w14:paraId="053F2796">
            <w:pPr>
              <w:jc w:val="center"/>
              <w:rPr>
                <w:rFonts w:hint="eastAsia"/>
                <w:color w:val="auto"/>
                <w:highlight w:val="green"/>
                <w:lang w:val="en-US" w:eastAsia="zh-CN"/>
              </w:rPr>
            </w:pPr>
            <w:r>
              <w:rPr>
                <w:rFonts w:hint="eastAsia"/>
                <w:color w:val="auto"/>
                <w:highlight w:val="green"/>
                <w:lang w:val="en-US" w:eastAsia="zh-CN"/>
              </w:rPr>
              <w:t>0.0007</w:t>
            </w:r>
          </w:p>
        </w:tc>
        <w:tc>
          <w:tcPr>
            <w:tcW w:w="794" w:type="pct"/>
            <w:vAlign w:val="center"/>
          </w:tcPr>
          <w:p w14:paraId="35A5FBE0">
            <w:pPr>
              <w:jc w:val="center"/>
              <w:rPr>
                <w:rFonts w:hint="eastAsia"/>
                <w:color w:val="auto"/>
                <w:highlight w:val="green"/>
                <w:lang w:val="en-US" w:eastAsia="zh-CN"/>
              </w:rPr>
            </w:pPr>
            <w:r>
              <w:rPr>
                <w:rFonts w:hint="eastAsia"/>
                <w:color w:val="auto"/>
                <w:highlight w:val="green"/>
                <w:lang w:val="en-US" w:eastAsia="zh-CN"/>
              </w:rPr>
              <w:t>0.0008</w:t>
            </w:r>
          </w:p>
        </w:tc>
        <w:tc>
          <w:tcPr>
            <w:tcW w:w="656" w:type="pct"/>
            <w:vMerge w:val="continue"/>
            <w:vAlign w:val="center"/>
          </w:tcPr>
          <w:p w14:paraId="0081A89E">
            <w:pPr>
              <w:jc w:val="center"/>
              <w:rPr>
                <w:rFonts w:hint="eastAsia" w:ascii="Times New Roman" w:hAnsi="Times New Roman"/>
                <w:color w:val="auto"/>
                <w:szCs w:val="21"/>
                <w:highlight w:val="green"/>
                <w:lang w:val="en-US" w:eastAsia="zh-CN"/>
              </w:rPr>
            </w:pPr>
          </w:p>
        </w:tc>
      </w:tr>
      <w:tr w14:paraId="238F10B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758BD3A4">
            <w:pPr>
              <w:jc w:val="center"/>
              <w:rPr>
                <w:rFonts w:hint="eastAsia" w:eastAsia="宋体"/>
                <w:color w:val="auto"/>
                <w:szCs w:val="21"/>
                <w:highlight w:val="green"/>
                <w:lang w:eastAsia="zh-CN"/>
              </w:rPr>
            </w:pPr>
            <w:r>
              <w:rPr>
                <w:rFonts w:hint="eastAsia"/>
                <w:color w:val="auto"/>
                <w:szCs w:val="21"/>
                <w:highlight w:val="green"/>
                <w:lang w:eastAsia="zh-CN"/>
              </w:rPr>
              <w:t>氰化物</w:t>
            </w:r>
          </w:p>
        </w:tc>
        <w:tc>
          <w:tcPr>
            <w:tcW w:w="1252" w:type="dxa"/>
            <w:vAlign w:val="center"/>
          </w:tcPr>
          <w:p w14:paraId="734BB61F">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12月21日</w:t>
            </w:r>
          </w:p>
        </w:tc>
        <w:tc>
          <w:tcPr>
            <w:tcW w:w="1547" w:type="dxa"/>
            <w:vAlign w:val="center"/>
          </w:tcPr>
          <w:p w14:paraId="2B255C29">
            <w:pPr>
              <w:jc w:val="center"/>
              <w:rPr>
                <w:rFonts w:hint="eastAsia"/>
                <w:color w:val="auto"/>
                <w:highlight w:val="green"/>
                <w:lang w:val="en-US" w:eastAsia="zh-CN"/>
              </w:rPr>
            </w:pPr>
            <w:r>
              <w:rPr>
                <w:rFonts w:hint="eastAsia"/>
                <w:color w:val="auto"/>
                <w:highlight w:val="green"/>
                <w:lang w:val="en-US" w:eastAsia="zh-CN"/>
              </w:rPr>
              <w:t>0.002L</w:t>
            </w:r>
          </w:p>
        </w:tc>
        <w:tc>
          <w:tcPr>
            <w:tcW w:w="1496" w:type="dxa"/>
            <w:vAlign w:val="center"/>
          </w:tcPr>
          <w:p w14:paraId="0024B3B6">
            <w:pPr>
              <w:jc w:val="center"/>
              <w:rPr>
                <w:rFonts w:hint="eastAsia"/>
                <w:color w:val="auto"/>
                <w:highlight w:val="green"/>
                <w:lang w:val="en-US" w:eastAsia="zh-CN"/>
              </w:rPr>
            </w:pPr>
            <w:r>
              <w:rPr>
                <w:rFonts w:hint="eastAsia"/>
                <w:color w:val="auto"/>
                <w:highlight w:val="green"/>
                <w:lang w:val="en-US" w:eastAsia="zh-CN"/>
              </w:rPr>
              <w:t>0.002L</w:t>
            </w:r>
          </w:p>
        </w:tc>
        <w:tc>
          <w:tcPr>
            <w:tcW w:w="794" w:type="pct"/>
            <w:vAlign w:val="center"/>
          </w:tcPr>
          <w:p w14:paraId="309DFF27">
            <w:pPr>
              <w:jc w:val="center"/>
              <w:rPr>
                <w:rFonts w:hint="eastAsia"/>
                <w:color w:val="auto"/>
                <w:highlight w:val="green"/>
                <w:lang w:val="en-US" w:eastAsia="zh-CN"/>
              </w:rPr>
            </w:pPr>
            <w:r>
              <w:rPr>
                <w:rFonts w:hint="eastAsia"/>
                <w:color w:val="auto"/>
                <w:highlight w:val="green"/>
                <w:lang w:val="en-US" w:eastAsia="zh-CN"/>
              </w:rPr>
              <w:t>0.002L</w:t>
            </w:r>
          </w:p>
        </w:tc>
        <w:tc>
          <w:tcPr>
            <w:tcW w:w="656" w:type="pct"/>
            <w:vMerge w:val="restart"/>
            <w:vAlign w:val="center"/>
          </w:tcPr>
          <w:p w14:paraId="1FB86908">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lang w:val="en-US" w:eastAsia="zh-CN"/>
              </w:rPr>
              <w:t>0.05</w:t>
            </w:r>
          </w:p>
        </w:tc>
      </w:tr>
      <w:tr w14:paraId="7997464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6C6DA2D5">
            <w:pPr>
              <w:jc w:val="center"/>
              <w:rPr>
                <w:color w:val="auto"/>
                <w:szCs w:val="21"/>
                <w:highlight w:val="green"/>
              </w:rPr>
            </w:pPr>
          </w:p>
        </w:tc>
        <w:tc>
          <w:tcPr>
            <w:tcW w:w="1252" w:type="dxa"/>
            <w:vAlign w:val="center"/>
          </w:tcPr>
          <w:p w14:paraId="5673FFD2">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12月22日</w:t>
            </w:r>
          </w:p>
        </w:tc>
        <w:tc>
          <w:tcPr>
            <w:tcW w:w="1547" w:type="dxa"/>
            <w:vAlign w:val="center"/>
          </w:tcPr>
          <w:p w14:paraId="3CD8A028">
            <w:pPr>
              <w:jc w:val="center"/>
              <w:rPr>
                <w:rFonts w:hint="eastAsia"/>
                <w:color w:val="auto"/>
                <w:highlight w:val="green"/>
                <w:lang w:val="en-US" w:eastAsia="zh-CN"/>
              </w:rPr>
            </w:pPr>
            <w:r>
              <w:rPr>
                <w:rFonts w:hint="eastAsia"/>
                <w:color w:val="auto"/>
                <w:highlight w:val="green"/>
                <w:lang w:val="en-US" w:eastAsia="zh-CN"/>
              </w:rPr>
              <w:t>0.002L</w:t>
            </w:r>
          </w:p>
        </w:tc>
        <w:tc>
          <w:tcPr>
            <w:tcW w:w="1496" w:type="dxa"/>
            <w:vAlign w:val="center"/>
          </w:tcPr>
          <w:p w14:paraId="5A6E8695">
            <w:pPr>
              <w:jc w:val="center"/>
              <w:rPr>
                <w:rFonts w:hint="eastAsia"/>
                <w:color w:val="auto"/>
                <w:highlight w:val="green"/>
                <w:lang w:val="en-US" w:eastAsia="zh-CN"/>
              </w:rPr>
            </w:pPr>
            <w:r>
              <w:rPr>
                <w:rFonts w:hint="eastAsia"/>
                <w:color w:val="auto"/>
                <w:highlight w:val="green"/>
                <w:lang w:val="en-US" w:eastAsia="zh-CN"/>
              </w:rPr>
              <w:t>0.002L</w:t>
            </w:r>
          </w:p>
        </w:tc>
        <w:tc>
          <w:tcPr>
            <w:tcW w:w="794" w:type="pct"/>
            <w:vAlign w:val="center"/>
          </w:tcPr>
          <w:p w14:paraId="28A184A9">
            <w:pPr>
              <w:jc w:val="center"/>
              <w:rPr>
                <w:rFonts w:hint="eastAsia"/>
                <w:color w:val="auto"/>
                <w:highlight w:val="green"/>
                <w:lang w:val="en-US" w:eastAsia="zh-CN"/>
              </w:rPr>
            </w:pPr>
            <w:r>
              <w:rPr>
                <w:rFonts w:hint="eastAsia"/>
                <w:color w:val="auto"/>
                <w:highlight w:val="green"/>
                <w:lang w:val="en-US" w:eastAsia="zh-CN"/>
              </w:rPr>
              <w:t>0.002L</w:t>
            </w:r>
          </w:p>
        </w:tc>
        <w:tc>
          <w:tcPr>
            <w:tcW w:w="656" w:type="pct"/>
            <w:vMerge w:val="continue"/>
            <w:vAlign w:val="center"/>
          </w:tcPr>
          <w:p w14:paraId="440F19C1">
            <w:pPr>
              <w:jc w:val="center"/>
              <w:rPr>
                <w:rFonts w:hint="eastAsia" w:ascii="Times New Roman" w:hAnsi="Times New Roman"/>
                <w:color w:val="auto"/>
                <w:szCs w:val="21"/>
                <w:highlight w:val="green"/>
                <w:lang w:val="en-US" w:eastAsia="zh-CN"/>
              </w:rPr>
            </w:pPr>
          </w:p>
        </w:tc>
      </w:tr>
      <w:tr w14:paraId="45D029C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4CCC73E5">
            <w:pPr>
              <w:pStyle w:val="69"/>
              <w:jc w:val="center"/>
              <w:rPr>
                <w:rFonts w:hint="eastAsia" w:eastAsia="仿宋_GB2312"/>
                <w:color w:val="auto"/>
                <w:highlight w:val="green"/>
                <w:lang w:eastAsia="zh-CN"/>
              </w:rPr>
            </w:pPr>
            <w:r>
              <w:rPr>
                <w:rFonts w:hint="eastAsia" w:ascii="Times New Roman" w:hAnsi="Times New Roman" w:eastAsia="宋体" w:cs="Times New Roman"/>
                <w:color w:val="auto"/>
                <w:kern w:val="2"/>
                <w:sz w:val="21"/>
                <w:szCs w:val="21"/>
                <w:highlight w:val="green"/>
                <w:lang w:val="en-US" w:eastAsia="zh-CN" w:bidi="ar-SA"/>
              </w:rPr>
              <w:t>砷</w:t>
            </w:r>
          </w:p>
        </w:tc>
        <w:tc>
          <w:tcPr>
            <w:tcW w:w="1252" w:type="dxa"/>
            <w:vAlign w:val="center"/>
          </w:tcPr>
          <w:p w14:paraId="55F84CF9">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12月21日</w:t>
            </w:r>
          </w:p>
        </w:tc>
        <w:tc>
          <w:tcPr>
            <w:tcW w:w="1547" w:type="dxa"/>
            <w:vAlign w:val="center"/>
          </w:tcPr>
          <w:p w14:paraId="24788CD9">
            <w:pPr>
              <w:jc w:val="center"/>
              <w:rPr>
                <w:rFonts w:hint="eastAsia"/>
                <w:color w:val="auto"/>
                <w:highlight w:val="green"/>
                <w:lang w:val="en-US" w:eastAsia="zh-CN"/>
              </w:rPr>
            </w:pPr>
            <w:r>
              <w:rPr>
                <w:rFonts w:hint="eastAsia"/>
                <w:color w:val="auto"/>
                <w:highlight w:val="green"/>
                <w:lang w:val="en-US" w:eastAsia="zh-CN"/>
              </w:rPr>
              <w:t>0.3L</w:t>
            </w:r>
          </w:p>
        </w:tc>
        <w:tc>
          <w:tcPr>
            <w:tcW w:w="1496" w:type="dxa"/>
            <w:vAlign w:val="center"/>
          </w:tcPr>
          <w:p w14:paraId="3AC16DEB">
            <w:pPr>
              <w:jc w:val="center"/>
              <w:rPr>
                <w:rFonts w:hint="eastAsia"/>
                <w:color w:val="auto"/>
                <w:highlight w:val="green"/>
                <w:lang w:val="en-US" w:eastAsia="zh-CN"/>
              </w:rPr>
            </w:pPr>
            <w:r>
              <w:rPr>
                <w:rFonts w:hint="eastAsia"/>
                <w:color w:val="auto"/>
                <w:highlight w:val="green"/>
                <w:lang w:val="en-US" w:eastAsia="zh-CN"/>
              </w:rPr>
              <w:t>0.3L</w:t>
            </w:r>
          </w:p>
        </w:tc>
        <w:tc>
          <w:tcPr>
            <w:tcW w:w="794" w:type="pct"/>
            <w:vAlign w:val="center"/>
          </w:tcPr>
          <w:p w14:paraId="2135C3FE">
            <w:pPr>
              <w:jc w:val="center"/>
              <w:rPr>
                <w:rFonts w:hint="eastAsia"/>
                <w:color w:val="auto"/>
                <w:highlight w:val="green"/>
                <w:lang w:val="en-US" w:eastAsia="zh-CN"/>
              </w:rPr>
            </w:pPr>
            <w:r>
              <w:rPr>
                <w:rFonts w:hint="eastAsia"/>
                <w:color w:val="auto"/>
                <w:highlight w:val="green"/>
                <w:lang w:val="en-US" w:eastAsia="zh-CN"/>
              </w:rPr>
              <w:t>0.3L</w:t>
            </w:r>
          </w:p>
        </w:tc>
        <w:tc>
          <w:tcPr>
            <w:tcW w:w="656" w:type="pct"/>
            <w:vMerge w:val="restart"/>
            <w:vAlign w:val="center"/>
          </w:tcPr>
          <w:p w14:paraId="1EC50975">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lang w:val="en-US" w:eastAsia="zh-CN"/>
              </w:rPr>
              <w:t>0.01</w:t>
            </w:r>
          </w:p>
        </w:tc>
      </w:tr>
      <w:tr w14:paraId="447B10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5EF98F28">
            <w:pPr>
              <w:jc w:val="center"/>
              <w:rPr>
                <w:color w:val="auto"/>
                <w:szCs w:val="21"/>
                <w:highlight w:val="green"/>
              </w:rPr>
            </w:pPr>
          </w:p>
        </w:tc>
        <w:tc>
          <w:tcPr>
            <w:tcW w:w="1252" w:type="dxa"/>
            <w:vAlign w:val="center"/>
          </w:tcPr>
          <w:p w14:paraId="29025C84">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12月22日</w:t>
            </w:r>
          </w:p>
        </w:tc>
        <w:tc>
          <w:tcPr>
            <w:tcW w:w="1547" w:type="dxa"/>
            <w:vAlign w:val="center"/>
          </w:tcPr>
          <w:p w14:paraId="76326922">
            <w:pPr>
              <w:jc w:val="center"/>
              <w:rPr>
                <w:rFonts w:hint="eastAsia"/>
                <w:color w:val="auto"/>
                <w:highlight w:val="green"/>
                <w:lang w:val="en-US" w:eastAsia="zh-CN"/>
              </w:rPr>
            </w:pPr>
            <w:r>
              <w:rPr>
                <w:rFonts w:hint="eastAsia"/>
                <w:color w:val="auto"/>
                <w:highlight w:val="green"/>
                <w:lang w:val="en-US" w:eastAsia="zh-CN"/>
              </w:rPr>
              <w:t>0.3L</w:t>
            </w:r>
          </w:p>
        </w:tc>
        <w:tc>
          <w:tcPr>
            <w:tcW w:w="1496" w:type="dxa"/>
            <w:vAlign w:val="center"/>
          </w:tcPr>
          <w:p w14:paraId="59B89E38">
            <w:pPr>
              <w:jc w:val="center"/>
              <w:rPr>
                <w:rFonts w:hint="eastAsia"/>
                <w:color w:val="auto"/>
                <w:highlight w:val="green"/>
                <w:lang w:val="en-US" w:eastAsia="zh-CN"/>
              </w:rPr>
            </w:pPr>
            <w:r>
              <w:rPr>
                <w:rFonts w:hint="eastAsia"/>
                <w:color w:val="auto"/>
                <w:highlight w:val="green"/>
                <w:lang w:val="en-US" w:eastAsia="zh-CN"/>
              </w:rPr>
              <w:t>0.3L</w:t>
            </w:r>
          </w:p>
        </w:tc>
        <w:tc>
          <w:tcPr>
            <w:tcW w:w="794" w:type="pct"/>
            <w:vAlign w:val="center"/>
          </w:tcPr>
          <w:p w14:paraId="22A16CA1">
            <w:pPr>
              <w:jc w:val="center"/>
              <w:rPr>
                <w:rFonts w:hint="eastAsia"/>
                <w:color w:val="auto"/>
                <w:highlight w:val="green"/>
                <w:lang w:val="en-US" w:eastAsia="zh-CN"/>
              </w:rPr>
            </w:pPr>
            <w:r>
              <w:rPr>
                <w:rFonts w:hint="eastAsia"/>
                <w:color w:val="auto"/>
                <w:highlight w:val="green"/>
                <w:lang w:val="en-US" w:eastAsia="zh-CN"/>
              </w:rPr>
              <w:t>0.3L</w:t>
            </w:r>
          </w:p>
        </w:tc>
        <w:tc>
          <w:tcPr>
            <w:tcW w:w="656" w:type="pct"/>
            <w:vMerge w:val="continue"/>
            <w:vAlign w:val="center"/>
          </w:tcPr>
          <w:p w14:paraId="6E2FE92C">
            <w:pPr>
              <w:jc w:val="center"/>
              <w:rPr>
                <w:rFonts w:hint="eastAsia" w:ascii="Times New Roman" w:hAnsi="Times New Roman"/>
                <w:color w:val="auto"/>
                <w:szCs w:val="21"/>
                <w:highlight w:val="green"/>
                <w:lang w:val="en-US" w:eastAsia="zh-CN"/>
              </w:rPr>
            </w:pPr>
          </w:p>
        </w:tc>
      </w:tr>
      <w:tr w14:paraId="0CD230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2C110CAE">
            <w:pPr>
              <w:jc w:val="center"/>
              <w:rPr>
                <w:rFonts w:hint="eastAsia" w:eastAsia="宋体"/>
                <w:color w:val="auto"/>
                <w:szCs w:val="21"/>
                <w:highlight w:val="green"/>
                <w:lang w:eastAsia="zh-CN"/>
              </w:rPr>
            </w:pPr>
            <w:r>
              <w:rPr>
                <w:rFonts w:hint="eastAsia"/>
                <w:color w:val="auto"/>
                <w:szCs w:val="21"/>
                <w:highlight w:val="green"/>
                <w:lang w:eastAsia="zh-CN"/>
              </w:rPr>
              <w:t>汞</w:t>
            </w:r>
          </w:p>
        </w:tc>
        <w:tc>
          <w:tcPr>
            <w:tcW w:w="1252" w:type="dxa"/>
            <w:vAlign w:val="center"/>
          </w:tcPr>
          <w:p w14:paraId="60BD1541">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12月21日</w:t>
            </w:r>
          </w:p>
        </w:tc>
        <w:tc>
          <w:tcPr>
            <w:tcW w:w="1547" w:type="dxa"/>
            <w:vAlign w:val="center"/>
          </w:tcPr>
          <w:p w14:paraId="73F02108">
            <w:pPr>
              <w:jc w:val="center"/>
              <w:rPr>
                <w:rFonts w:hint="eastAsia"/>
                <w:color w:val="auto"/>
                <w:highlight w:val="green"/>
                <w:lang w:val="en-US" w:eastAsia="zh-CN"/>
              </w:rPr>
            </w:pPr>
            <w:r>
              <w:rPr>
                <w:rFonts w:hint="eastAsia"/>
                <w:color w:val="auto"/>
                <w:highlight w:val="green"/>
                <w:lang w:val="en-US" w:eastAsia="zh-CN"/>
              </w:rPr>
              <w:t>0.04L</w:t>
            </w:r>
          </w:p>
        </w:tc>
        <w:tc>
          <w:tcPr>
            <w:tcW w:w="1496" w:type="dxa"/>
            <w:vAlign w:val="center"/>
          </w:tcPr>
          <w:p w14:paraId="7B0972E4">
            <w:pPr>
              <w:jc w:val="center"/>
              <w:rPr>
                <w:rFonts w:hint="eastAsia"/>
                <w:color w:val="auto"/>
                <w:highlight w:val="green"/>
                <w:lang w:val="en-US" w:eastAsia="zh-CN"/>
              </w:rPr>
            </w:pPr>
            <w:r>
              <w:rPr>
                <w:rFonts w:hint="eastAsia"/>
                <w:color w:val="auto"/>
                <w:highlight w:val="green"/>
                <w:lang w:val="en-US" w:eastAsia="zh-CN"/>
              </w:rPr>
              <w:t>0.04L</w:t>
            </w:r>
          </w:p>
        </w:tc>
        <w:tc>
          <w:tcPr>
            <w:tcW w:w="794" w:type="pct"/>
            <w:vAlign w:val="center"/>
          </w:tcPr>
          <w:p w14:paraId="703AA955">
            <w:pPr>
              <w:jc w:val="center"/>
              <w:rPr>
                <w:rFonts w:hint="eastAsia"/>
                <w:color w:val="auto"/>
                <w:highlight w:val="green"/>
                <w:lang w:val="en-US" w:eastAsia="zh-CN"/>
              </w:rPr>
            </w:pPr>
            <w:r>
              <w:rPr>
                <w:rFonts w:hint="eastAsia"/>
                <w:color w:val="auto"/>
                <w:highlight w:val="green"/>
                <w:lang w:val="en-US" w:eastAsia="zh-CN"/>
              </w:rPr>
              <w:t>0.04L</w:t>
            </w:r>
          </w:p>
        </w:tc>
        <w:tc>
          <w:tcPr>
            <w:tcW w:w="656" w:type="pct"/>
            <w:vMerge w:val="restart"/>
            <w:vAlign w:val="center"/>
          </w:tcPr>
          <w:p w14:paraId="564F1596">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lang w:val="en-US" w:eastAsia="zh-CN"/>
              </w:rPr>
              <w:t>0.001</w:t>
            </w:r>
          </w:p>
        </w:tc>
      </w:tr>
      <w:tr w14:paraId="367F1BC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693E1D2D">
            <w:pPr>
              <w:jc w:val="center"/>
              <w:rPr>
                <w:color w:val="auto"/>
                <w:szCs w:val="21"/>
                <w:highlight w:val="green"/>
              </w:rPr>
            </w:pPr>
          </w:p>
        </w:tc>
        <w:tc>
          <w:tcPr>
            <w:tcW w:w="1252" w:type="dxa"/>
            <w:vAlign w:val="center"/>
          </w:tcPr>
          <w:p w14:paraId="1EF537BE">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12月22日</w:t>
            </w:r>
          </w:p>
        </w:tc>
        <w:tc>
          <w:tcPr>
            <w:tcW w:w="1547" w:type="dxa"/>
            <w:vAlign w:val="center"/>
          </w:tcPr>
          <w:p w14:paraId="006BC0AA">
            <w:pPr>
              <w:jc w:val="center"/>
              <w:rPr>
                <w:rFonts w:hint="eastAsia"/>
                <w:color w:val="auto"/>
                <w:highlight w:val="green"/>
                <w:lang w:val="en-US" w:eastAsia="zh-CN"/>
              </w:rPr>
            </w:pPr>
            <w:r>
              <w:rPr>
                <w:rFonts w:hint="eastAsia"/>
                <w:color w:val="auto"/>
                <w:highlight w:val="green"/>
                <w:lang w:val="en-US" w:eastAsia="zh-CN"/>
              </w:rPr>
              <w:t>0.04L</w:t>
            </w:r>
          </w:p>
        </w:tc>
        <w:tc>
          <w:tcPr>
            <w:tcW w:w="1496" w:type="dxa"/>
            <w:vAlign w:val="center"/>
          </w:tcPr>
          <w:p w14:paraId="51EE30A3">
            <w:pPr>
              <w:jc w:val="center"/>
              <w:rPr>
                <w:rFonts w:hint="eastAsia"/>
                <w:color w:val="auto"/>
                <w:highlight w:val="green"/>
                <w:lang w:val="en-US" w:eastAsia="zh-CN"/>
              </w:rPr>
            </w:pPr>
            <w:r>
              <w:rPr>
                <w:rFonts w:hint="eastAsia"/>
                <w:color w:val="auto"/>
                <w:highlight w:val="green"/>
                <w:lang w:val="en-US" w:eastAsia="zh-CN"/>
              </w:rPr>
              <w:t>0.04L</w:t>
            </w:r>
          </w:p>
        </w:tc>
        <w:tc>
          <w:tcPr>
            <w:tcW w:w="794" w:type="pct"/>
            <w:vAlign w:val="center"/>
          </w:tcPr>
          <w:p w14:paraId="768F7E72">
            <w:pPr>
              <w:jc w:val="center"/>
              <w:rPr>
                <w:rFonts w:hint="eastAsia"/>
                <w:color w:val="auto"/>
                <w:highlight w:val="green"/>
                <w:lang w:val="en-US" w:eastAsia="zh-CN"/>
              </w:rPr>
            </w:pPr>
            <w:r>
              <w:rPr>
                <w:rFonts w:hint="eastAsia"/>
                <w:color w:val="auto"/>
                <w:highlight w:val="green"/>
                <w:lang w:val="en-US" w:eastAsia="zh-CN"/>
              </w:rPr>
              <w:t>0.04L</w:t>
            </w:r>
          </w:p>
        </w:tc>
        <w:tc>
          <w:tcPr>
            <w:tcW w:w="656" w:type="pct"/>
            <w:vMerge w:val="continue"/>
            <w:vAlign w:val="center"/>
          </w:tcPr>
          <w:p w14:paraId="69FC3FA5">
            <w:pPr>
              <w:jc w:val="center"/>
              <w:rPr>
                <w:rFonts w:hint="eastAsia" w:ascii="Times New Roman" w:hAnsi="Times New Roman"/>
                <w:color w:val="auto"/>
                <w:szCs w:val="21"/>
                <w:highlight w:val="green"/>
                <w:lang w:val="en-US" w:eastAsia="zh-CN"/>
              </w:rPr>
            </w:pPr>
          </w:p>
        </w:tc>
      </w:tr>
      <w:tr w14:paraId="03430E6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0E033E74">
            <w:pPr>
              <w:jc w:val="center"/>
              <w:rPr>
                <w:color w:val="auto"/>
                <w:szCs w:val="21"/>
                <w:highlight w:val="green"/>
              </w:rPr>
            </w:pPr>
            <w:r>
              <w:rPr>
                <w:rFonts w:hint="eastAsia" w:ascii="宋体" w:hAnsi="宋体"/>
                <w:color w:val="auto"/>
                <w:szCs w:val="21"/>
                <w:highlight w:val="green"/>
                <w:lang w:eastAsia="zh-CN"/>
              </w:rPr>
              <w:t>铬（六价）</w:t>
            </w:r>
          </w:p>
        </w:tc>
        <w:tc>
          <w:tcPr>
            <w:tcW w:w="1252" w:type="dxa"/>
            <w:vAlign w:val="center"/>
          </w:tcPr>
          <w:p w14:paraId="40FC7D54">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12月21日</w:t>
            </w:r>
          </w:p>
        </w:tc>
        <w:tc>
          <w:tcPr>
            <w:tcW w:w="1547" w:type="dxa"/>
            <w:vAlign w:val="center"/>
          </w:tcPr>
          <w:p w14:paraId="5F7D5B86">
            <w:pPr>
              <w:jc w:val="center"/>
              <w:rPr>
                <w:rFonts w:hint="eastAsia"/>
                <w:color w:val="auto"/>
                <w:highlight w:val="green"/>
                <w:lang w:val="en-US" w:eastAsia="zh-CN"/>
              </w:rPr>
            </w:pPr>
            <w:r>
              <w:rPr>
                <w:rFonts w:hint="eastAsia"/>
                <w:color w:val="auto"/>
                <w:highlight w:val="green"/>
                <w:lang w:val="en-US" w:eastAsia="zh-CN"/>
              </w:rPr>
              <w:t>0.004L</w:t>
            </w:r>
          </w:p>
        </w:tc>
        <w:tc>
          <w:tcPr>
            <w:tcW w:w="1496" w:type="dxa"/>
            <w:vAlign w:val="center"/>
          </w:tcPr>
          <w:p w14:paraId="78019BB8">
            <w:pPr>
              <w:jc w:val="center"/>
              <w:rPr>
                <w:rFonts w:hint="eastAsia"/>
                <w:color w:val="auto"/>
                <w:highlight w:val="green"/>
                <w:lang w:val="en-US" w:eastAsia="zh-CN"/>
              </w:rPr>
            </w:pPr>
            <w:r>
              <w:rPr>
                <w:rFonts w:hint="eastAsia"/>
                <w:color w:val="auto"/>
                <w:highlight w:val="green"/>
                <w:lang w:val="en-US" w:eastAsia="zh-CN"/>
              </w:rPr>
              <w:t>0.004L</w:t>
            </w:r>
          </w:p>
        </w:tc>
        <w:tc>
          <w:tcPr>
            <w:tcW w:w="794" w:type="pct"/>
            <w:vAlign w:val="center"/>
          </w:tcPr>
          <w:p w14:paraId="7CBAE678">
            <w:pPr>
              <w:jc w:val="center"/>
              <w:rPr>
                <w:rFonts w:hint="eastAsia"/>
                <w:color w:val="auto"/>
                <w:highlight w:val="green"/>
                <w:lang w:val="en-US" w:eastAsia="zh-CN"/>
              </w:rPr>
            </w:pPr>
            <w:r>
              <w:rPr>
                <w:rFonts w:hint="eastAsia"/>
                <w:color w:val="auto"/>
                <w:highlight w:val="green"/>
                <w:lang w:val="en-US" w:eastAsia="zh-CN"/>
              </w:rPr>
              <w:t>0.004L</w:t>
            </w:r>
          </w:p>
        </w:tc>
        <w:tc>
          <w:tcPr>
            <w:tcW w:w="656" w:type="pct"/>
            <w:vMerge w:val="restart"/>
            <w:vAlign w:val="center"/>
          </w:tcPr>
          <w:p w14:paraId="5D01ADA5">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lang w:val="en-US" w:eastAsia="zh-CN"/>
              </w:rPr>
              <w:t>0.05</w:t>
            </w:r>
          </w:p>
        </w:tc>
      </w:tr>
      <w:tr w14:paraId="01CFD05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0715D481">
            <w:pPr>
              <w:jc w:val="center"/>
              <w:rPr>
                <w:color w:val="auto"/>
                <w:szCs w:val="21"/>
                <w:highlight w:val="green"/>
              </w:rPr>
            </w:pPr>
          </w:p>
        </w:tc>
        <w:tc>
          <w:tcPr>
            <w:tcW w:w="1252" w:type="dxa"/>
            <w:vAlign w:val="center"/>
          </w:tcPr>
          <w:p w14:paraId="446B6D05">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12月22日</w:t>
            </w:r>
          </w:p>
        </w:tc>
        <w:tc>
          <w:tcPr>
            <w:tcW w:w="1547" w:type="dxa"/>
            <w:vAlign w:val="center"/>
          </w:tcPr>
          <w:p w14:paraId="2F751245">
            <w:pPr>
              <w:jc w:val="center"/>
              <w:rPr>
                <w:rFonts w:hint="eastAsia"/>
                <w:color w:val="auto"/>
                <w:highlight w:val="green"/>
                <w:lang w:val="en-US" w:eastAsia="zh-CN"/>
              </w:rPr>
            </w:pPr>
            <w:r>
              <w:rPr>
                <w:rFonts w:hint="eastAsia"/>
                <w:color w:val="auto"/>
                <w:highlight w:val="green"/>
                <w:lang w:val="en-US" w:eastAsia="zh-CN"/>
              </w:rPr>
              <w:t>0.004L</w:t>
            </w:r>
          </w:p>
        </w:tc>
        <w:tc>
          <w:tcPr>
            <w:tcW w:w="1496" w:type="dxa"/>
            <w:vAlign w:val="center"/>
          </w:tcPr>
          <w:p w14:paraId="08F38365">
            <w:pPr>
              <w:jc w:val="center"/>
              <w:rPr>
                <w:rFonts w:hint="eastAsia"/>
                <w:color w:val="auto"/>
                <w:highlight w:val="green"/>
                <w:lang w:val="en-US" w:eastAsia="zh-CN"/>
              </w:rPr>
            </w:pPr>
            <w:r>
              <w:rPr>
                <w:rFonts w:hint="eastAsia"/>
                <w:color w:val="auto"/>
                <w:highlight w:val="green"/>
                <w:lang w:val="en-US" w:eastAsia="zh-CN"/>
              </w:rPr>
              <w:t>0.004L</w:t>
            </w:r>
          </w:p>
        </w:tc>
        <w:tc>
          <w:tcPr>
            <w:tcW w:w="794" w:type="pct"/>
            <w:vAlign w:val="center"/>
          </w:tcPr>
          <w:p w14:paraId="467207E2">
            <w:pPr>
              <w:jc w:val="center"/>
              <w:rPr>
                <w:rFonts w:hint="eastAsia"/>
                <w:color w:val="auto"/>
                <w:highlight w:val="green"/>
                <w:lang w:val="en-US" w:eastAsia="zh-CN"/>
              </w:rPr>
            </w:pPr>
            <w:r>
              <w:rPr>
                <w:rFonts w:hint="eastAsia"/>
                <w:color w:val="auto"/>
                <w:highlight w:val="green"/>
                <w:lang w:val="en-US" w:eastAsia="zh-CN"/>
              </w:rPr>
              <w:t>0.004L</w:t>
            </w:r>
          </w:p>
        </w:tc>
        <w:tc>
          <w:tcPr>
            <w:tcW w:w="656" w:type="pct"/>
            <w:vMerge w:val="continue"/>
            <w:vAlign w:val="center"/>
          </w:tcPr>
          <w:p w14:paraId="775B5773">
            <w:pPr>
              <w:jc w:val="center"/>
              <w:rPr>
                <w:rFonts w:hint="eastAsia" w:ascii="Times New Roman" w:hAnsi="Times New Roman"/>
                <w:color w:val="auto"/>
                <w:szCs w:val="21"/>
                <w:highlight w:val="green"/>
                <w:lang w:val="en-US" w:eastAsia="zh-CN"/>
              </w:rPr>
            </w:pPr>
          </w:p>
        </w:tc>
      </w:tr>
      <w:tr w14:paraId="2214BE1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709305DD">
            <w:pPr>
              <w:jc w:val="center"/>
              <w:rPr>
                <w:color w:val="auto"/>
                <w:szCs w:val="21"/>
                <w:highlight w:val="green"/>
              </w:rPr>
            </w:pPr>
            <w:r>
              <w:rPr>
                <w:color w:val="auto"/>
                <w:szCs w:val="21"/>
                <w:highlight w:val="green"/>
              </w:rPr>
              <w:t>总硬度</w:t>
            </w:r>
          </w:p>
          <w:p w14:paraId="5B73AD52">
            <w:pPr>
              <w:jc w:val="center"/>
              <w:rPr>
                <w:color w:val="auto"/>
                <w:szCs w:val="21"/>
                <w:highlight w:val="green"/>
              </w:rPr>
            </w:pPr>
            <w:r>
              <w:rPr>
                <w:color w:val="auto"/>
                <w:szCs w:val="21"/>
                <w:highlight w:val="green"/>
              </w:rPr>
              <w:t>（mg/L）</w:t>
            </w:r>
          </w:p>
        </w:tc>
        <w:tc>
          <w:tcPr>
            <w:tcW w:w="1252" w:type="dxa"/>
            <w:vAlign w:val="center"/>
          </w:tcPr>
          <w:p w14:paraId="76D3348F">
            <w:pPr>
              <w:jc w:val="center"/>
              <w:rPr>
                <w:color w:val="auto"/>
                <w:szCs w:val="21"/>
                <w:highlight w:val="green"/>
              </w:rPr>
            </w:pPr>
            <w:r>
              <w:rPr>
                <w:rFonts w:hint="eastAsia"/>
                <w:color w:val="auto"/>
                <w:szCs w:val="21"/>
                <w:highlight w:val="green"/>
                <w:lang w:val="en-US" w:eastAsia="zh-CN"/>
              </w:rPr>
              <w:t>12月21日</w:t>
            </w:r>
          </w:p>
        </w:tc>
        <w:tc>
          <w:tcPr>
            <w:tcW w:w="1547" w:type="dxa"/>
            <w:vAlign w:val="center"/>
          </w:tcPr>
          <w:p w14:paraId="29D57EAB">
            <w:pPr>
              <w:jc w:val="center"/>
              <w:rPr>
                <w:color w:val="auto"/>
                <w:highlight w:val="green"/>
              </w:rPr>
            </w:pPr>
            <w:r>
              <w:rPr>
                <w:rFonts w:hint="eastAsia"/>
                <w:color w:val="auto"/>
                <w:highlight w:val="green"/>
                <w:lang w:val="en-US" w:eastAsia="zh-CN"/>
              </w:rPr>
              <w:t>164</w:t>
            </w:r>
          </w:p>
        </w:tc>
        <w:tc>
          <w:tcPr>
            <w:tcW w:w="1496" w:type="dxa"/>
            <w:vAlign w:val="center"/>
          </w:tcPr>
          <w:p w14:paraId="236E739E">
            <w:pPr>
              <w:jc w:val="center"/>
              <w:rPr>
                <w:color w:val="auto"/>
                <w:highlight w:val="green"/>
              </w:rPr>
            </w:pPr>
            <w:r>
              <w:rPr>
                <w:rFonts w:hint="eastAsia"/>
                <w:color w:val="auto"/>
                <w:highlight w:val="green"/>
                <w:lang w:val="en-US" w:eastAsia="zh-CN"/>
              </w:rPr>
              <w:t>274</w:t>
            </w:r>
          </w:p>
        </w:tc>
        <w:tc>
          <w:tcPr>
            <w:tcW w:w="794" w:type="pct"/>
            <w:vAlign w:val="center"/>
          </w:tcPr>
          <w:p w14:paraId="44CE7F02">
            <w:pPr>
              <w:jc w:val="center"/>
              <w:rPr>
                <w:color w:val="auto"/>
                <w:highlight w:val="green"/>
              </w:rPr>
            </w:pPr>
            <w:r>
              <w:rPr>
                <w:rFonts w:hint="eastAsia"/>
                <w:color w:val="auto"/>
                <w:highlight w:val="green"/>
                <w:lang w:val="en-US" w:eastAsia="zh-CN"/>
              </w:rPr>
              <w:t>294</w:t>
            </w:r>
          </w:p>
        </w:tc>
        <w:tc>
          <w:tcPr>
            <w:tcW w:w="656" w:type="pct"/>
            <w:vMerge w:val="restart"/>
            <w:vAlign w:val="center"/>
          </w:tcPr>
          <w:p w14:paraId="79A7C721">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rPr>
              <w:t>45</w:t>
            </w:r>
            <w:r>
              <w:rPr>
                <w:color w:val="auto"/>
                <w:highlight w:val="green"/>
              </w:rPr>
              <w:t>0</w:t>
            </w:r>
          </w:p>
        </w:tc>
      </w:tr>
      <w:tr w14:paraId="76AE463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42F39719">
            <w:pPr>
              <w:jc w:val="center"/>
              <w:rPr>
                <w:color w:val="auto"/>
                <w:szCs w:val="21"/>
                <w:highlight w:val="green"/>
              </w:rPr>
            </w:pPr>
          </w:p>
        </w:tc>
        <w:tc>
          <w:tcPr>
            <w:tcW w:w="1252" w:type="dxa"/>
            <w:vAlign w:val="center"/>
          </w:tcPr>
          <w:p w14:paraId="746E142F">
            <w:pPr>
              <w:jc w:val="center"/>
              <w:rPr>
                <w:color w:val="auto"/>
                <w:szCs w:val="21"/>
                <w:highlight w:val="green"/>
              </w:rPr>
            </w:pPr>
            <w:r>
              <w:rPr>
                <w:rFonts w:hint="eastAsia"/>
                <w:color w:val="auto"/>
                <w:szCs w:val="21"/>
                <w:highlight w:val="green"/>
                <w:lang w:val="en-US" w:eastAsia="zh-CN"/>
              </w:rPr>
              <w:t>12月22日</w:t>
            </w:r>
          </w:p>
        </w:tc>
        <w:tc>
          <w:tcPr>
            <w:tcW w:w="1547" w:type="dxa"/>
            <w:vAlign w:val="center"/>
          </w:tcPr>
          <w:p w14:paraId="1AF7783E">
            <w:pPr>
              <w:jc w:val="center"/>
              <w:rPr>
                <w:color w:val="auto"/>
                <w:highlight w:val="green"/>
              </w:rPr>
            </w:pPr>
            <w:r>
              <w:rPr>
                <w:rFonts w:hint="eastAsia"/>
                <w:color w:val="auto"/>
                <w:highlight w:val="green"/>
                <w:lang w:val="en-US" w:eastAsia="zh-CN"/>
              </w:rPr>
              <w:t>162</w:t>
            </w:r>
          </w:p>
        </w:tc>
        <w:tc>
          <w:tcPr>
            <w:tcW w:w="1496" w:type="dxa"/>
            <w:vAlign w:val="center"/>
          </w:tcPr>
          <w:p w14:paraId="79DC9119">
            <w:pPr>
              <w:jc w:val="center"/>
              <w:rPr>
                <w:color w:val="auto"/>
                <w:highlight w:val="green"/>
              </w:rPr>
            </w:pPr>
            <w:r>
              <w:rPr>
                <w:rFonts w:hint="eastAsia"/>
                <w:color w:val="auto"/>
                <w:highlight w:val="green"/>
                <w:lang w:val="en-US" w:eastAsia="zh-CN"/>
              </w:rPr>
              <w:t>276</w:t>
            </w:r>
          </w:p>
        </w:tc>
        <w:tc>
          <w:tcPr>
            <w:tcW w:w="794" w:type="pct"/>
            <w:vAlign w:val="center"/>
          </w:tcPr>
          <w:p w14:paraId="6B93B91B">
            <w:pPr>
              <w:jc w:val="center"/>
              <w:rPr>
                <w:color w:val="auto"/>
                <w:highlight w:val="green"/>
              </w:rPr>
            </w:pPr>
            <w:r>
              <w:rPr>
                <w:rFonts w:hint="eastAsia"/>
                <w:color w:val="auto"/>
                <w:highlight w:val="green"/>
                <w:lang w:val="en-US" w:eastAsia="zh-CN"/>
              </w:rPr>
              <w:t>298</w:t>
            </w:r>
          </w:p>
        </w:tc>
        <w:tc>
          <w:tcPr>
            <w:tcW w:w="656" w:type="pct"/>
            <w:vMerge w:val="continue"/>
            <w:vAlign w:val="center"/>
          </w:tcPr>
          <w:p w14:paraId="1F3D601D">
            <w:pPr>
              <w:jc w:val="center"/>
              <w:rPr>
                <w:rFonts w:hint="eastAsia" w:ascii="Times New Roman" w:hAnsi="Times New Roman"/>
                <w:color w:val="auto"/>
                <w:szCs w:val="21"/>
                <w:highlight w:val="green"/>
                <w:lang w:val="en-US" w:eastAsia="zh-CN"/>
              </w:rPr>
            </w:pPr>
          </w:p>
        </w:tc>
      </w:tr>
      <w:tr w14:paraId="2A0356B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62169556">
            <w:pPr>
              <w:jc w:val="center"/>
              <w:rPr>
                <w:color w:val="auto"/>
                <w:szCs w:val="21"/>
                <w:highlight w:val="green"/>
              </w:rPr>
            </w:pPr>
            <w:r>
              <w:rPr>
                <w:rFonts w:hint="eastAsia" w:ascii="宋体" w:hAnsi="宋体"/>
                <w:color w:val="auto"/>
                <w:szCs w:val="21"/>
                <w:highlight w:val="green"/>
                <w:lang w:eastAsia="zh-CN"/>
              </w:rPr>
              <w:t>铅</w:t>
            </w:r>
          </w:p>
        </w:tc>
        <w:tc>
          <w:tcPr>
            <w:tcW w:w="1252" w:type="dxa"/>
            <w:vAlign w:val="center"/>
          </w:tcPr>
          <w:p w14:paraId="59CFB6F4">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12月21日</w:t>
            </w:r>
          </w:p>
        </w:tc>
        <w:tc>
          <w:tcPr>
            <w:tcW w:w="1547" w:type="dxa"/>
            <w:vAlign w:val="center"/>
          </w:tcPr>
          <w:p w14:paraId="2971E97C">
            <w:pPr>
              <w:jc w:val="center"/>
              <w:rPr>
                <w:rFonts w:hint="eastAsia"/>
                <w:color w:val="auto"/>
                <w:highlight w:val="green"/>
                <w:lang w:val="en-US" w:eastAsia="zh-CN"/>
              </w:rPr>
            </w:pPr>
            <w:r>
              <w:rPr>
                <w:rFonts w:hint="eastAsia"/>
                <w:color w:val="auto"/>
                <w:highlight w:val="green"/>
                <w:lang w:val="en-US" w:eastAsia="zh-CN"/>
              </w:rPr>
              <w:t>1L</w:t>
            </w:r>
          </w:p>
        </w:tc>
        <w:tc>
          <w:tcPr>
            <w:tcW w:w="1496" w:type="dxa"/>
            <w:vAlign w:val="center"/>
          </w:tcPr>
          <w:p w14:paraId="1903B9FC">
            <w:pPr>
              <w:jc w:val="center"/>
              <w:rPr>
                <w:rFonts w:hint="eastAsia"/>
                <w:color w:val="auto"/>
                <w:highlight w:val="green"/>
                <w:lang w:val="en-US" w:eastAsia="zh-CN"/>
              </w:rPr>
            </w:pPr>
            <w:r>
              <w:rPr>
                <w:rFonts w:hint="eastAsia"/>
                <w:color w:val="auto"/>
                <w:highlight w:val="green"/>
                <w:lang w:val="en-US" w:eastAsia="zh-CN"/>
              </w:rPr>
              <w:t>1L</w:t>
            </w:r>
          </w:p>
        </w:tc>
        <w:tc>
          <w:tcPr>
            <w:tcW w:w="1354" w:type="dxa"/>
            <w:vAlign w:val="center"/>
          </w:tcPr>
          <w:p w14:paraId="0F625CD0">
            <w:pPr>
              <w:jc w:val="center"/>
              <w:rPr>
                <w:rFonts w:hint="eastAsia"/>
                <w:color w:val="auto"/>
                <w:highlight w:val="green"/>
                <w:lang w:val="en-US" w:eastAsia="zh-CN"/>
              </w:rPr>
            </w:pPr>
            <w:r>
              <w:rPr>
                <w:rFonts w:hint="eastAsia"/>
                <w:color w:val="auto"/>
                <w:highlight w:val="green"/>
                <w:lang w:val="en-US" w:eastAsia="zh-CN"/>
              </w:rPr>
              <w:t>1L</w:t>
            </w:r>
          </w:p>
        </w:tc>
        <w:tc>
          <w:tcPr>
            <w:tcW w:w="656" w:type="pct"/>
            <w:vMerge w:val="restart"/>
            <w:vAlign w:val="center"/>
          </w:tcPr>
          <w:p w14:paraId="4E2D3735">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lang w:val="en-US" w:eastAsia="zh-CN"/>
              </w:rPr>
              <w:t>0.01</w:t>
            </w:r>
          </w:p>
        </w:tc>
      </w:tr>
      <w:tr w14:paraId="52600F4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5211FF1E">
            <w:pPr>
              <w:jc w:val="center"/>
              <w:rPr>
                <w:color w:val="auto"/>
                <w:szCs w:val="21"/>
                <w:highlight w:val="green"/>
              </w:rPr>
            </w:pPr>
          </w:p>
        </w:tc>
        <w:tc>
          <w:tcPr>
            <w:tcW w:w="1252" w:type="dxa"/>
            <w:vAlign w:val="center"/>
          </w:tcPr>
          <w:p w14:paraId="14DE0DCF">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12月22日</w:t>
            </w:r>
          </w:p>
        </w:tc>
        <w:tc>
          <w:tcPr>
            <w:tcW w:w="1547" w:type="dxa"/>
            <w:vAlign w:val="center"/>
          </w:tcPr>
          <w:p w14:paraId="25C966FE">
            <w:pPr>
              <w:jc w:val="center"/>
              <w:rPr>
                <w:rFonts w:hint="eastAsia"/>
                <w:color w:val="auto"/>
                <w:highlight w:val="green"/>
                <w:lang w:val="en-US" w:eastAsia="zh-CN"/>
              </w:rPr>
            </w:pPr>
            <w:r>
              <w:rPr>
                <w:rFonts w:hint="eastAsia"/>
                <w:color w:val="auto"/>
                <w:highlight w:val="green"/>
                <w:lang w:val="en-US" w:eastAsia="zh-CN"/>
              </w:rPr>
              <w:t>1L</w:t>
            </w:r>
          </w:p>
        </w:tc>
        <w:tc>
          <w:tcPr>
            <w:tcW w:w="1496" w:type="dxa"/>
            <w:vAlign w:val="center"/>
          </w:tcPr>
          <w:p w14:paraId="24F9B604">
            <w:pPr>
              <w:jc w:val="center"/>
              <w:rPr>
                <w:rFonts w:hint="eastAsia"/>
                <w:color w:val="auto"/>
                <w:highlight w:val="green"/>
                <w:lang w:val="en-US" w:eastAsia="zh-CN"/>
              </w:rPr>
            </w:pPr>
            <w:r>
              <w:rPr>
                <w:rFonts w:hint="eastAsia"/>
                <w:color w:val="auto"/>
                <w:highlight w:val="green"/>
                <w:lang w:val="en-US" w:eastAsia="zh-CN"/>
              </w:rPr>
              <w:t>1L</w:t>
            </w:r>
          </w:p>
        </w:tc>
        <w:tc>
          <w:tcPr>
            <w:tcW w:w="1354" w:type="dxa"/>
            <w:vAlign w:val="center"/>
          </w:tcPr>
          <w:p w14:paraId="18C69D56">
            <w:pPr>
              <w:jc w:val="center"/>
              <w:rPr>
                <w:rFonts w:hint="eastAsia"/>
                <w:color w:val="auto"/>
                <w:highlight w:val="green"/>
                <w:lang w:val="en-US" w:eastAsia="zh-CN"/>
              </w:rPr>
            </w:pPr>
            <w:r>
              <w:rPr>
                <w:rFonts w:hint="eastAsia"/>
                <w:color w:val="auto"/>
                <w:highlight w:val="green"/>
                <w:lang w:val="en-US" w:eastAsia="zh-CN"/>
              </w:rPr>
              <w:t>1L</w:t>
            </w:r>
          </w:p>
        </w:tc>
        <w:tc>
          <w:tcPr>
            <w:tcW w:w="656" w:type="pct"/>
            <w:vMerge w:val="continue"/>
            <w:vAlign w:val="center"/>
          </w:tcPr>
          <w:p w14:paraId="4B79DD0F">
            <w:pPr>
              <w:jc w:val="center"/>
              <w:rPr>
                <w:rFonts w:hint="eastAsia" w:ascii="Times New Roman" w:hAnsi="Times New Roman"/>
                <w:color w:val="auto"/>
                <w:szCs w:val="21"/>
                <w:highlight w:val="green"/>
                <w:lang w:val="en-US" w:eastAsia="zh-CN"/>
              </w:rPr>
            </w:pPr>
          </w:p>
        </w:tc>
      </w:tr>
      <w:tr w14:paraId="5A8118C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3E8C2C72">
            <w:pPr>
              <w:jc w:val="center"/>
              <w:rPr>
                <w:color w:val="auto"/>
                <w:szCs w:val="21"/>
                <w:highlight w:val="green"/>
              </w:rPr>
            </w:pPr>
            <w:r>
              <w:rPr>
                <w:rFonts w:hint="eastAsia" w:ascii="宋体" w:hAnsi="宋体"/>
                <w:color w:val="auto"/>
                <w:szCs w:val="21"/>
                <w:highlight w:val="green"/>
                <w:lang w:eastAsia="zh-CN"/>
              </w:rPr>
              <w:t>氟</w:t>
            </w:r>
          </w:p>
        </w:tc>
        <w:tc>
          <w:tcPr>
            <w:tcW w:w="1252" w:type="dxa"/>
            <w:vAlign w:val="center"/>
          </w:tcPr>
          <w:p w14:paraId="29AB5E04">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12月21日</w:t>
            </w:r>
          </w:p>
        </w:tc>
        <w:tc>
          <w:tcPr>
            <w:tcW w:w="1547" w:type="dxa"/>
            <w:vAlign w:val="center"/>
          </w:tcPr>
          <w:p w14:paraId="276D3381">
            <w:pPr>
              <w:jc w:val="center"/>
              <w:rPr>
                <w:rFonts w:hint="eastAsia"/>
                <w:color w:val="auto"/>
                <w:highlight w:val="green"/>
                <w:lang w:val="en-US" w:eastAsia="zh-CN"/>
              </w:rPr>
            </w:pPr>
            <w:r>
              <w:rPr>
                <w:rFonts w:hint="eastAsia"/>
                <w:color w:val="auto"/>
                <w:highlight w:val="green"/>
                <w:lang w:val="en-US" w:eastAsia="zh-CN"/>
              </w:rPr>
              <w:t>0.67</w:t>
            </w:r>
          </w:p>
        </w:tc>
        <w:tc>
          <w:tcPr>
            <w:tcW w:w="1496" w:type="dxa"/>
            <w:vAlign w:val="center"/>
          </w:tcPr>
          <w:p w14:paraId="07BC1E38">
            <w:pPr>
              <w:jc w:val="center"/>
              <w:rPr>
                <w:rFonts w:hint="eastAsia"/>
                <w:color w:val="auto"/>
                <w:highlight w:val="green"/>
                <w:lang w:val="en-US" w:eastAsia="zh-CN"/>
              </w:rPr>
            </w:pPr>
            <w:r>
              <w:rPr>
                <w:rFonts w:hint="eastAsia"/>
                <w:color w:val="auto"/>
                <w:highlight w:val="green"/>
                <w:lang w:val="en-US" w:eastAsia="zh-CN"/>
              </w:rPr>
              <w:t>0.20</w:t>
            </w:r>
          </w:p>
        </w:tc>
        <w:tc>
          <w:tcPr>
            <w:tcW w:w="1354" w:type="dxa"/>
            <w:vAlign w:val="center"/>
          </w:tcPr>
          <w:p w14:paraId="32065A7B">
            <w:pPr>
              <w:jc w:val="center"/>
              <w:rPr>
                <w:rFonts w:hint="eastAsia"/>
                <w:color w:val="auto"/>
                <w:highlight w:val="green"/>
                <w:lang w:val="en-US" w:eastAsia="zh-CN"/>
              </w:rPr>
            </w:pPr>
            <w:r>
              <w:rPr>
                <w:rFonts w:hint="eastAsia"/>
                <w:color w:val="auto"/>
                <w:highlight w:val="green"/>
                <w:lang w:val="en-US" w:eastAsia="zh-CN"/>
              </w:rPr>
              <w:t>0.87</w:t>
            </w:r>
          </w:p>
        </w:tc>
        <w:tc>
          <w:tcPr>
            <w:tcW w:w="656" w:type="pct"/>
            <w:vMerge w:val="restart"/>
            <w:vAlign w:val="center"/>
          </w:tcPr>
          <w:p w14:paraId="79063AFA">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lang w:val="en-US" w:eastAsia="zh-CN"/>
              </w:rPr>
              <w:t>1.0</w:t>
            </w:r>
          </w:p>
        </w:tc>
      </w:tr>
      <w:tr w14:paraId="132300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0625B4C5">
            <w:pPr>
              <w:jc w:val="center"/>
              <w:rPr>
                <w:color w:val="auto"/>
                <w:szCs w:val="21"/>
                <w:highlight w:val="green"/>
              </w:rPr>
            </w:pPr>
          </w:p>
        </w:tc>
        <w:tc>
          <w:tcPr>
            <w:tcW w:w="1252" w:type="dxa"/>
            <w:vAlign w:val="center"/>
          </w:tcPr>
          <w:p w14:paraId="3FBE0114">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12月22日</w:t>
            </w:r>
          </w:p>
        </w:tc>
        <w:tc>
          <w:tcPr>
            <w:tcW w:w="1547" w:type="dxa"/>
            <w:vAlign w:val="center"/>
          </w:tcPr>
          <w:p w14:paraId="01732BCF">
            <w:pPr>
              <w:jc w:val="center"/>
              <w:rPr>
                <w:rFonts w:hint="eastAsia"/>
                <w:color w:val="auto"/>
                <w:highlight w:val="green"/>
                <w:lang w:val="en-US" w:eastAsia="zh-CN"/>
              </w:rPr>
            </w:pPr>
            <w:r>
              <w:rPr>
                <w:rFonts w:hint="eastAsia"/>
                <w:color w:val="auto"/>
                <w:highlight w:val="green"/>
                <w:lang w:val="en-US" w:eastAsia="zh-CN"/>
              </w:rPr>
              <w:t>0.61</w:t>
            </w:r>
          </w:p>
        </w:tc>
        <w:tc>
          <w:tcPr>
            <w:tcW w:w="1496" w:type="dxa"/>
            <w:vAlign w:val="center"/>
          </w:tcPr>
          <w:p w14:paraId="7E3A6766">
            <w:pPr>
              <w:jc w:val="center"/>
              <w:rPr>
                <w:rFonts w:hint="eastAsia"/>
                <w:color w:val="auto"/>
                <w:highlight w:val="green"/>
                <w:lang w:val="en-US" w:eastAsia="zh-CN"/>
              </w:rPr>
            </w:pPr>
            <w:r>
              <w:rPr>
                <w:rFonts w:hint="eastAsia"/>
                <w:color w:val="auto"/>
                <w:highlight w:val="green"/>
                <w:lang w:val="en-US" w:eastAsia="zh-CN"/>
              </w:rPr>
              <w:t>0.22</w:t>
            </w:r>
          </w:p>
        </w:tc>
        <w:tc>
          <w:tcPr>
            <w:tcW w:w="1354" w:type="dxa"/>
            <w:vAlign w:val="center"/>
          </w:tcPr>
          <w:p w14:paraId="68E29921">
            <w:pPr>
              <w:jc w:val="center"/>
              <w:rPr>
                <w:rFonts w:hint="eastAsia"/>
                <w:color w:val="auto"/>
                <w:highlight w:val="green"/>
                <w:lang w:val="en-US" w:eastAsia="zh-CN"/>
              </w:rPr>
            </w:pPr>
            <w:r>
              <w:rPr>
                <w:rFonts w:hint="eastAsia"/>
                <w:color w:val="auto"/>
                <w:highlight w:val="green"/>
                <w:lang w:val="en-US" w:eastAsia="zh-CN"/>
              </w:rPr>
              <w:t>0.84</w:t>
            </w:r>
          </w:p>
        </w:tc>
        <w:tc>
          <w:tcPr>
            <w:tcW w:w="656" w:type="pct"/>
            <w:vMerge w:val="continue"/>
            <w:vAlign w:val="center"/>
          </w:tcPr>
          <w:p w14:paraId="4455389C">
            <w:pPr>
              <w:jc w:val="center"/>
              <w:rPr>
                <w:rFonts w:hint="eastAsia" w:ascii="Times New Roman" w:hAnsi="Times New Roman"/>
                <w:color w:val="auto"/>
                <w:szCs w:val="21"/>
                <w:highlight w:val="green"/>
                <w:lang w:val="en-US" w:eastAsia="zh-CN"/>
              </w:rPr>
            </w:pPr>
          </w:p>
        </w:tc>
      </w:tr>
      <w:tr w14:paraId="78E5569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0802411B">
            <w:pPr>
              <w:jc w:val="center"/>
              <w:rPr>
                <w:color w:val="auto"/>
                <w:szCs w:val="21"/>
                <w:highlight w:val="green"/>
              </w:rPr>
            </w:pPr>
            <w:r>
              <w:rPr>
                <w:rFonts w:hint="eastAsia" w:ascii="宋体" w:hAnsi="宋体"/>
                <w:color w:val="auto"/>
                <w:szCs w:val="21"/>
                <w:highlight w:val="green"/>
                <w:lang w:eastAsia="zh-CN"/>
              </w:rPr>
              <w:t>镉</w:t>
            </w:r>
          </w:p>
        </w:tc>
        <w:tc>
          <w:tcPr>
            <w:tcW w:w="1252" w:type="dxa"/>
            <w:vAlign w:val="center"/>
          </w:tcPr>
          <w:p w14:paraId="37272169">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12月21日</w:t>
            </w:r>
          </w:p>
        </w:tc>
        <w:tc>
          <w:tcPr>
            <w:tcW w:w="1547" w:type="dxa"/>
            <w:vAlign w:val="center"/>
          </w:tcPr>
          <w:p w14:paraId="74C7A572">
            <w:pPr>
              <w:jc w:val="center"/>
              <w:rPr>
                <w:rFonts w:hint="eastAsia"/>
                <w:color w:val="auto"/>
                <w:highlight w:val="green"/>
                <w:lang w:val="en-US" w:eastAsia="zh-CN"/>
              </w:rPr>
            </w:pPr>
            <w:r>
              <w:rPr>
                <w:rFonts w:hint="eastAsia"/>
                <w:color w:val="auto"/>
                <w:highlight w:val="green"/>
                <w:lang w:val="en-US" w:eastAsia="zh-CN"/>
              </w:rPr>
              <w:t>0.1L</w:t>
            </w:r>
          </w:p>
        </w:tc>
        <w:tc>
          <w:tcPr>
            <w:tcW w:w="1496" w:type="dxa"/>
            <w:vAlign w:val="center"/>
          </w:tcPr>
          <w:p w14:paraId="1463E430">
            <w:pPr>
              <w:jc w:val="center"/>
              <w:rPr>
                <w:rFonts w:hint="eastAsia"/>
                <w:color w:val="auto"/>
                <w:highlight w:val="green"/>
                <w:lang w:val="en-US" w:eastAsia="zh-CN"/>
              </w:rPr>
            </w:pPr>
            <w:r>
              <w:rPr>
                <w:rFonts w:hint="eastAsia"/>
                <w:color w:val="auto"/>
                <w:highlight w:val="green"/>
                <w:lang w:val="en-US" w:eastAsia="zh-CN"/>
              </w:rPr>
              <w:t>0.1L</w:t>
            </w:r>
          </w:p>
        </w:tc>
        <w:tc>
          <w:tcPr>
            <w:tcW w:w="1354" w:type="dxa"/>
            <w:vAlign w:val="center"/>
          </w:tcPr>
          <w:p w14:paraId="7B5EA805">
            <w:pPr>
              <w:jc w:val="center"/>
              <w:rPr>
                <w:rFonts w:hint="eastAsia"/>
                <w:color w:val="auto"/>
                <w:highlight w:val="green"/>
                <w:lang w:val="en-US" w:eastAsia="zh-CN"/>
              </w:rPr>
            </w:pPr>
            <w:r>
              <w:rPr>
                <w:rFonts w:hint="eastAsia"/>
                <w:color w:val="auto"/>
                <w:highlight w:val="green"/>
                <w:lang w:val="en-US" w:eastAsia="zh-CN"/>
              </w:rPr>
              <w:t>0.1L</w:t>
            </w:r>
          </w:p>
        </w:tc>
        <w:tc>
          <w:tcPr>
            <w:tcW w:w="656" w:type="pct"/>
            <w:vMerge w:val="restart"/>
            <w:vAlign w:val="center"/>
          </w:tcPr>
          <w:p w14:paraId="47916D16">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lang w:val="en-US" w:eastAsia="zh-CN"/>
              </w:rPr>
              <w:t>0.005</w:t>
            </w:r>
          </w:p>
        </w:tc>
      </w:tr>
      <w:tr w14:paraId="0B39848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1B774F88">
            <w:pPr>
              <w:jc w:val="center"/>
              <w:rPr>
                <w:color w:val="auto"/>
                <w:szCs w:val="21"/>
                <w:highlight w:val="green"/>
              </w:rPr>
            </w:pPr>
          </w:p>
        </w:tc>
        <w:tc>
          <w:tcPr>
            <w:tcW w:w="1252" w:type="dxa"/>
            <w:vAlign w:val="center"/>
          </w:tcPr>
          <w:p w14:paraId="103737EF">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12月22日</w:t>
            </w:r>
          </w:p>
        </w:tc>
        <w:tc>
          <w:tcPr>
            <w:tcW w:w="1547" w:type="dxa"/>
            <w:vAlign w:val="center"/>
          </w:tcPr>
          <w:p w14:paraId="6ECC8520">
            <w:pPr>
              <w:jc w:val="center"/>
              <w:rPr>
                <w:rFonts w:hint="eastAsia"/>
                <w:color w:val="auto"/>
                <w:highlight w:val="green"/>
                <w:lang w:val="en-US" w:eastAsia="zh-CN"/>
              </w:rPr>
            </w:pPr>
            <w:r>
              <w:rPr>
                <w:rFonts w:hint="eastAsia"/>
                <w:color w:val="auto"/>
                <w:highlight w:val="green"/>
                <w:lang w:val="en-US" w:eastAsia="zh-CN"/>
              </w:rPr>
              <w:t>0.1L</w:t>
            </w:r>
          </w:p>
        </w:tc>
        <w:tc>
          <w:tcPr>
            <w:tcW w:w="1496" w:type="dxa"/>
            <w:vAlign w:val="center"/>
          </w:tcPr>
          <w:p w14:paraId="1F7B5A6D">
            <w:pPr>
              <w:jc w:val="center"/>
              <w:rPr>
                <w:rFonts w:hint="eastAsia"/>
                <w:color w:val="auto"/>
                <w:highlight w:val="green"/>
                <w:lang w:val="en-US" w:eastAsia="zh-CN"/>
              </w:rPr>
            </w:pPr>
            <w:r>
              <w:rPr>
                <w:rFonts w:hint="eastAsia"/>
                <w:color w:val="auto"/>
                <w:highlight w:val="green"/>
                <w:lang w:val="en-US" w:eastAsia="zh-CN"/>
              </w:rPr>
              <w:t>0.1L</w:t>
            </w:r>
          </w:p>
        </w:tc>
        <w:tc>
          <w:tcPr>
            <w:tcW w:w="1354" w:type="dxa"/>
            <w:vAlign w:val="center"/>
          </w:tcPr>
          <w:p w14:paraId="46F58FA5">
            <w:pPr>
              <w:jc w:val="center"/>
              <w:rPr>
                <w:rFonts w:hint="eastAsia"/>
                <w:color w:val="auto"/>
                <w:highlight w:val="green"/>
                <w:lang w:val="en-US" w:eastAsia="zh-CN"/>
              </w:rPr>
            </w:pPr>
            <w:r>
              <w:rPr>
                <w:rFonts w:hint="eastAsia"/>
                <w:color w:val="auto"/>
                <w:highlight w:val="green"/>
                <w:lang w:val="en-US" w:eastAsia="zh-CN"/>
              </w:rPr>
              <w:t>0.1L</w:t>
            </w:r>
          </w:p>
        </w:tc>
        <w:tc>
          <w:tcPr>
            <w:tcW w:w="656" w:type="pct"/>
            <w:vMerge w:val="continue"/>
            <w:vAlign w:val="center"/>
          </w:tcPr>
          <w:p w14:paraId="1923B3E3">
            <w:pPr>
              <w:jc w:val="center"/>
              <w:rPr>
                <w:rFonts w:hint="eastAsia" w:ascii="Times New Roman" w:hAnsi="Times New Roman"/>
                <w:color w:val="auto"/>
                <w:szCs w:val="21"/>
                <w:highlight w:val="green"/>
                <w:lang w:val="en-US" w:eastAsia="zh-CN"/>
              </w:rPr>
            </w:pPr>
          </w:p>
        </w:tc>
      </w:tr>
      <w:tr w14:paraId="652A71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1AD764AA">
            <w:pPr>
              <w:jc w:val="center"/>
              <w:rPr>
                <w:color w:val="auto"/>
                <w:szCs w:val="21"/>
                <w:highlight w:val="green"/>
              </w:rPr>
            </w:pPr>
            <w:r>
              <w:rPr>
                <w:color w:val="auto"/>
                <w:highlight w:val="green"/>
              </w:rPr>
              <w:t>铁</w:t>
            </w:r>
          </w:p>
        </w:tc>
        <w:tc>
          <w:tcPr>
            <w:tcW w:w="1252" w:type="dxa"/>
            <w:vAlign w:val="center"/>
          </w:tcPr>
          <w:p w14:paraId="530C4BBD">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12月21日</w:t>
            </w:r>
          </w:p>
        </w:tc>
        <w:tc>
          <w:tcPr>
            <w:tcW w:w="1547" w:type="dxa"/>
            <w:vAlign w:val="center"/>
          </w:tcPr>
          <w:p w14:paraId="1CCFD39A">
            <w:pPr>
              <w:jc w:val="center"/>
              <w:rPr>
                <w:rFonts w:hint="eastAsia"/>
                <w:color w:val="auto"/>
                <w:highlight w:val="green"/>
                <w:lang w:val="en-US" w:eastAsia="zh-CN"/>
              </w:rPr>
            </w:pPr>
            <w:r>
              <w:rPr>
                <w:rFonts w:hint="eastAsia"/>
                <w:color w:val="auto"/>
                <w:highlight w:val="green"/>
                <w:lang w:val="en-US" w:eastAsia="zh-CN"/>
              </w:rPr>
              <w:t>0.03L</w:t>
            </w:r>
          </w:p>
        </w:tc>
        <w:tc>
          <w:tcPr>
            <w:tcW w:w="1496" w:type="dxa"/>
            <w:vAlign w:val="center"/>
          </w:tcPr>
          <w:p w14:paraId="2E129498">
            <w:pPr>
              <w:jc w:val="center"/>
              <w:rPr>
                <w:rFonts w:hint="eastAsia"/>
                <w:color w:val="auto"/>
                <w:highlight w:val="green"/>
                <w:lang w:val="en-US" w:eastAsia="zh-CN"/>
              </w:rPr>
            </w:pPr>
            <w:r>
              <w:rPr>
                <w:rFonts w:hint="eastAsia"/>
                <w:color w:val="auto"/>
                <w:highlight w:val="green"/>
                <w:lang w:val="en-US" w:eastAsia="zh-CN"/>
              </w:rPr>
              <w:t>0.03L</w:t>
            </w:r>
          </w:p>
        </w:tc>
        <w:tc>
          <w:tcPr>
            <w:tcW w:w="1354" w:type="dxa"/>
            <w:vAlign w:val="center"/>
          </w:tcPr>
          <w:p w14:paraId="16816096">
            <w:pPr>
              <w:jc w:val="center"/>
              <w:rPr>
                <w:rFonts w:hint="eastAsia"/>
                <w:color w:val="auto"/>
                <w:highlight w:val="green"/>
                <w:lang w:val="en-US" w:eastAsia="zh-CN"/>
              </w:rPr>
            </w:pPr>
            <w:r>
              <w:rPr>
                <w:rFonts w:hint="eastAsia"/>
                <w:color w:val="auto"/>
                <w:highlight w:val="green"/>
                <w:lang w:val="en-US" w:eastAsia="zh-CN"/>
              </w:rPr>
              <w:t>0.03L</w:t>
            </w:r>
          </w:p>
        </w:tc>
        <w:tc>
          <w:tcPr>
            <w:tcW w:w="656" w:type="pct"/>
            <w:vMerge w:val="restart"/>
            <w:vAlign w:val="center"/>
          </w:tcPr>
          <w:p w14:paraId="6CC05762">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rPr>
              <w:t>0.3</w:t>
            </w:r>
          </w:p>
        </w:tc>
      </w:tr>
      <w:tr w14:paraId="60BCB9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5E65569C">
            <w:pPr>
              <w:jc w:val="center"/>
              <w:rPr>
                <w:color w:val="auto"/>
                <w:szCs w:val="21"/>
                <w:highlight w:val="green"/>
              </w:rPr>
            </w:pPr>
          </w:p>
        </w:tc>
        <w:tc>
          <w:tcPr>
            <w:tcW w:w="1252" w:type="dxa"/>
            <w:vAlign w:val="center"/>
          </w:tcPr>
          <w:p w14:paraId="5F6265F2">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12月22日</w:t>
            </w:r>
          </w:p>
        </w:tc>
        <w:tc>
          <w:tcPr>
            <w:tcW w:w="1547" w:type="dxa"/>
            <w:vAlign w:val="center"/>
          </w:tcPr>
          <w:p w14:paraId="3E02E355">
            <w:pPr>
              <w:jc w:val="center"/>
              <w:rPr>
                <w:rFonts w:hint="eastAsia"/>
                <w:color w:val="auto"/>
                <w:highlight w:val="green"/>
                <w:lang w:val="en-US" w:eastAsia="zh-CN"/>
              </w:rPr>
            </w:pPr>
            <w:r>
              <w:rPr>
                <w:rFonts w:hint="eastAsia"/>
                <w:color w:val="auto"/>
                <w:highlight w:val="green"/>
                <w:lang w:val="en-US" w:eastAsia="zh-CN"/>
              </w:rPr>
              <w:t>0.03L</w:t>
            </w:r>
          </w:p>
        </w:tc>
        <w:tc>
          <w:tcPr>
            <w:tcW w:w="1496" w:type="dxa"/>
            <w:vAlign w:val="center"/>
          </w:tcPr>
          <w:p w14:paraId="78B6DEE1">
            <w:pPr>
              <w:jc w:val="center"/>
              <w:rPr>
                <w:rFonts w:hint="eastAsia"/>
                <w:color w:val="auto"/>
                <w:highlight w:val="green"/>
                <w:lang w:val="en-US" w:eastAsia="zh-CN"/>
              </w:rPr>
            </w:pPr>
            <w:r>
              <w:rPr>
                <w:rFonts w:hint="eastAsia"/>
                <w:color w:val="auto"/>
                <w:highlight w:val="green"/>
                <w:lang w:val="en-US" w:eastAsia="zh-CN"/>
              </w:rPr>
              <w:t>0.03L</w:t>
            </w:r>
          </w:p>
        </w:tc>
        <w:tc>
          <w:tcPr>
            <w:tcW w:w="1354" w:type="dxa"/>
            <w:vAlign w:val="center"/>
          </w:tcPr>
          <w:p w14:paraId="0316C725">
            <w:pPr>
              <w:jc w:val="center"/>
              <w:rPr>
                <w:rFonts w:hint="eastAsia"/>
                <w:color w:val="auto"/>
                <w:highlight w:val="green"/>
                <w:lang w:val="en-US" w:eastAsia="zh-CN"/>
              </w:rPr>
            </w:pPr>
            <w:r>
              <w:rPr>
                <w:rFonts w:hint="eastAsia"/>
                <w:color w:val="auto"/>
                <w:highlight w:val="green"/>
                <w:lang w:val="en-US" w:eastAsia="zh-CN"/>
              </w:rPr>
              <w:t>0.03L</w:t>
            </w:r>
          </w:p>
        </w:tc>
        <w:tc>
          <w:tcPr>
            <w:tcW w:w="656" w:type="pct"/>
            <w:vMerge w:val="continue"/>
            <w:vAlign w:val="center"/>
          </w:tcPr>
          <w:p w14:paraId="736465A7">
            <w:pPr>
              <w:jc w:val="center"/>
              <w:rPr>
                <w:rFonts w:hint="eastAsia" w:ascii="Times New Roman" w:hAnsi="Times New Roman"/>
                <w:color w:val="auto"/>
                <w:szCs w:val="21"/>
                <w:highlight w:val="green"/>
                <w:lang w:val="en-US" w:eastAsia="zh-CN"/>
              </w:rPr>
            </w:pPr>
          </w:p>
        </w:tc>
      </w:tr>
      <w:tr w14:paraId="1CEA57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03C35202">
            <w:pPr>
              <w:jc w:val="center"/>
              <w:rPr>
                <w:color w:val="auto"/>
                <w:szCs w:val="21"/>
                <w:highlight w:val="green"/>
              </w:rPr>
            </w:pPr>
            <w:r>
              <w:rPr>
                <w:color w:val="auto"/>
                <w:highlight w:val="green"/>
              </w:rPr>
              <w:t>锰</w:t>
            </w:r>
          </w:p>
        </w:tc>
        <w:tc>
          <w:tcPr>
            <w:tcW w:w="1252" w:type="dxa"/>
            <w:vAlign w:val="center"/>
          </w:tcPr>
          <w:p w14:paraId="1BDA9E81">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12月21日</w:t>
            </w:r>
          </w:p>
        </w:tc>
        <w:tc>
          <w:tcPr>
            <w:tcW w:w="1547" w:type="dxa"/>
            <w:vAlign w:val="center"/>
          </w:tcPr>
          <w:p w14:paraId="16AD3F33">
            <w:pPr>
              <w:jc w:val="center"/>
              <w:rPr>
                <w:rFonts w:hint="eastAsia"/>
                <w:color w:val="auto"/>
                <w:highlight w:val="green"/>
                <w:lang w:val="en-US" w:eastAsia="zh-CN"/>
              </w:rPr>
            </w:pPr>
            <w:r>
              <w:rPr>
                <w:rFonts w:hint="eastAsia"/>
                <w:color w:val="auto"/>
                <w:highlight w:val="green"/>
                <w:lang w:val="en-US" w:eastAsia="zh-CN"/>
              </w:rPr>
              <w:t>0.01L</w:t>
            </w:r>
          </w:p>
        </w:tc>
        <w:tc>
          <w:tcPr>
            <w:tcW w:w="1496" w:type="dxa"/>
            <w:vAlign w:val="center"/>
          </w:tcPr>
          <w:p w14:paraId="4E1CE2A3">
            <w:pPr>
              <w:jc w:val="center"/>
              <w:rPr>
                <w:rFonts w:hint="eastAsia"/>
                <w:color w:val="auto"/>
                <w:highlight w:val="green"/>
                <w:lang w:val="en-US" w:eastAsia="zh-CN"/>
              </w:rPr>
            </w:pPr>
            <w:r>
              <w:rPr>
                <w:rFonts w:hint="eastAsia"/>
                <w:color w:val="auto"/>
                <w:highlight w:val="green"/>
                <w:lang w:val="en-US" w:eastAsia="zh-CN"/>
              </w:rPr>
              <w:t>0.01L</w:t>
            </w:r>
          </w:p>
        </w:tc>
        <w:tc>
          <w:tcPr>
            <w:tcW w:w="1354" w:type="dxa"/>
            <w:vAlign w:val="center"/>
          </w:tcPr>
          <w:p w14:paraId="4710B003">
            <w:pPr>
              <w:jc w:val="center"/>
              <w:rPr>
                <w:rFonts w:hint="eastAsia"/>
                <w:color w:val="auto"/>
                <w:highlight w:val="green"/>
                <w:lang w:val="en-US" w:eastAsia="zh-CN"/>
              </w:rPr>
            </w:pPr>
            <w:r>
              <w:rPr>
                <w:rFonts w:hint="eastAsia"/>
                <w:color w:val="auto"/>
                <w:highlight w:val="green"/>
                <w:lang w:val="en-US" w:eastAsia="zh-CN"/>
              </w:rPr>
              <w:t>0.01L</w:t>
            </w:r>
          </w:p>
        </w:tc>
        <w:tc>
          <w:tcPr>
            <w:tcW w:w="656" w:type="pct"/>
            <w:vMerge w:val="restart"/>
            <w:vAlign w:val="center"/>
          </w:tcPr>
          <w:p w14:paraId="3BBE558E">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rPr>
              <w:t>0.10</w:t>
            </w:r>
          </w:p>
        </w:tc>
      </w:tr>
      <w:tr w14:paraId="258968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301EC497">
            <w:pPr>
              <w:jc w:val="center"/>
              <w:rPr>
                <w:color w:val="auto"/>
                <w:szCs w:val="21"/>
                <w:highlight w:val="green"/>
              </w:rPr>
            </w:pPr>
          </w:p>
        </w:tc>
        <w:tc>
          <w:tcPr>
            <w:tcW w:w="1252" w:type="dxa"/>
            <w:vAlign w:val="center"/>
          </w:tcPr>
          <w:p w14:paraId="765FC7E6">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12月22日</w:t>
            </w:r>
          </w:p>
        </w:tc>
        <w:tc>
          <w:tcPr>
            <w:tcW w:w="1547" w:type="dxa"/>
            <w:vAlign w:val="center"/>
          </w:tcPr>
          <w:p w14:paraId="2FE72B19">
            <w:pPr>
              <w:jc w:val="center"/>
              <w:rPr>
                <w:rFonts w:hint="eastAsia"/>
                <w:color w:val="auto"/>
                <w:highlight w:val="green"/>
                <w:lang w:val="en-US" w:eastAsia="zh-CN"/>
              </w:rPr>
            </w:pPr>
            <w:r>
              <w:rPr>
                <w:rFonts w:hint="eastAsia"/>
                <w:color w:val="auto"/>
                <w:highlight w:val="green"/>
                <w:lang w:val="en-US" w:eastAsia="zh-CN"/>
              </w:rPr>
              <w:t>0.01L</w:t>
            </w:r>
          </w:p>
        </w:tc>
        <w:tc>
          <w:tcPr>
            <w:tcW w:w="1496" w:type="dxa"/>
            <w:vAlign w:val="center"/>
          </w:tcPr>
          <w:p w14:paraId="291DF001">
            <w:pPr>
              <w:jc w:val="center"/>
              <w:rPr>
                <w:rFonts w:hint="eastAsia"/>
                <w:color w:val="auto"/>
                <w:highlight w:val="green"/>
                <w:lang w:val="en-US" w:eastAsia="zh-CN"/>
              </w:rPr>
            </w:pPr>
            <w:r>
              <w:rPr>
                <w:rFonts w:hint="eastAsia"/>
                <w:color w:val="auto"/>
                <w:highlight w:val="green"/>
                <w:lang w:val="en-US" w:eastAsia="zh-CN"/>
              </w:rPr>
              <w:t>0.01L</w:t>
            </w:r>
          </w:p>
        </w:tc>
        <w:tc>
          <w:tcPr>
            <w:tcW w:w="1354" w:type="dxa"/>
            <w:vAlign w:val="center"/>
          </w:tcPr>
          <w:p w14:paraId="0FB7C9AC">
            <w:pPr>
              <w:jc w:val="center"/>
              <w:rPr>
                <w:rFonts w:hint="eastAsia"/>
                <w:color w:val="auto"/>
                <w:highlight w:val="green"/>
                <w:lang w:val="en-US" w:eastAsia="zh-CN"/>
              </w:rPr>
            </w:pPr>
            <w:r>
              <w:rPr>
                <w:rFonts w:hint="eastAsia"/>
                <w:color w:val="auto"/>
                <w:highlight w:val="green"/>
                <w:lang w:val="en-US" w:eastAsia="zh-CN"/>
              </w:rPr>
              <w:t>0.01L</w:t>
            </w:r>
          </w:p>
        </w:tc>
        <w:tc>
          <w:tcPr>
            <w:tcW w:w="656" w:type="pct"/>
            <w:vMerge w:val="continue"/>
            <w:vAlign w:val="center"/>
          </w:tcPr>
          <w:p w14:paraId="0CFDEEB3">
            <w:pPr>
              <w:jc w:val="center"/>
              <w:rPr>
                <w:rFonts w:hint="eastAsia" w:ascii="Times New Roman" w:hAnsi="Times New Roman"/>
                <w:color w:val="auto"/>
                <w:szCs w:val="21"/>
                <w:highlight w:val="green"/>
                <w:lang w:val="en-US" w:eastAsia="zh-CN"/>
              </w:rPr>
            </w:pPr>
          </w:p>
        </w:tc>
      </w:tr>
      <w:tr w14:paraId="5A2D01D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285C3610">
            <w:pPr>
              <w:jc w:val="center"/>
              <w:rPr>
                <w:color w:val="auto"/>
                <w:szCs w:val="21"/>
                <w:highlight w:val="green"/>
              </w:rPr>
            </w:pPr>
            <w:r>
              <w:rPr>
                <w:color w:val="auto"/>
                <w:szCs w:val="21"/>
                <w:highlight w:val="green"/>
              </w:rPr>
              <w:t>溶解性总固体</w:t>
            </w:r>
          </w:p>
          <w:p w14:paraId="50654F73">
            <w:pPr>
              <w:jc w:val="center"/>
              <w:rPr>
                <w:color w:val="auto"/>
                <w:szCs w:val="21"/>
                <w:highlight w:val="green"/>
              </w:rPr>
            </w:pPr>
            <w:r>
              <w:rPr>
                <w:rFonts w:hint="eastAsia"/>
                <w:color w:val="auto"/>
                <w:szCs w:val="21"/>
                <w:highlight w:val="green"/>
              </w:rPr>
              <w:t>（mg/L）</w:t>
            </w:r>
          </w:p>
        </w:tc>
        <w:tc>
          <w:tcPr>
            <w:tcW w:w="1252" w:type="dxa"/>
            <w:vAlign w:val="center"/>
          </w:tcPr>
          <w:p w14:paraId="665734CF">
            <w:pPr>
              <w:jc w:val="center"/>
              <w:rPr>
                <w:rFonts w:hint="eastAsia"/>
                <w:color w:val="auto"/>
                <w:szCs w:val="21"/>
                <w:highlight w:val="green"/>
              </w:rPr>
            </w:pPr>
            <w:r>
              <w:rPr>
                <w:rFonts w:hint="eastAsia"/>
                <w:color w:val="auto"/>
                <w:szCs w:val="21"/>
                <w:highlight w:val="green"/>
                <w:lang w:val="en-US" w:eastAsia="zh-CN"/>
              </w:rPr>
              <w:t>12月21日</w:t>
            </w:r>
          </w:p>
        </w:tc>
        <w:tc>
          <w:tcPr>
            <w:tcW w:w="1547" w:type="dxa"/>
            <w:vAlign w:val="center"/>
          </w:tcPr>
          <w:p w14:paraId="5703046E">
            <w:pPr>
              <w:jc w:val="center"/>
              <w:rPr>
                <w:rFonts w:hint="eastAsia"/>
                <w:color w:val="auto"/>
                <w:highlight w:val="green"/>
              </w:rPr>
            </w:pPr>
            <w:r>
              <w:rPr>
                <w:rFonts w:hint="eastAsia"/>
                <w:color w:val="auto"/>
                <w:highlight w:val="green"/>
                <w:lang w:val="en-US" w:eastAsia="zh-CN"/>
              </w:rPr>
              <w:t>245</w:t>
            </w:r>
          </w:p>
        </w:tc>
        <w:tc>
          <w:tcPr>
            <w:tcW w:w="1496" w:type="dxa"/>
            <w:vAlign w:val="center"/>
          </w:tcPr>
          <w:p w14:paraId="04EA56DE">
            <w:pPr>
              <w:jc w:val="center"/>
              <w:rPr>
                <w:rFonts w:hint="eastAsia"/>
                <w:color w:val="auto"/>
                <w:highlight w:val="green"/>
              </w:rPr>
            </w:pPr>
            <w:r>
              <w:rPr>
                <w:rFonts w:hint="eastAsia"/>
                <w:color w:val="auto"/>
                <w:highlight w:val="green"/>
                <w:lang w:val="en-US" w:eastAsia="zh-CN"/>
              </w:rPr>
              <w:t>441</w:t>
            </w:r>
          </w:p>
        </w:tc>
        <w:tc>
          <w:tcPr>
            <w:tcW w:w="794" w:type="pct"/>
            <w:vAlign w:val="center"/>
          </w:tcPr>
          <w:p w14:paraId="317907AD">
            <w:pPr>
              <w:jc w:val="center"/>
              <w:rPr>
                <w:rFonts w:hint="eastAsia"/>
                <w:color w:val="auto"/>
                <w:highlight w:val="green"/>
              </w:rPr>
            </w:pPr>
            <w:r>
              <w:rPr>
                <w:rFonts w:hint="eastAsia"/>
                <w:color w:val="auto"/>
                <w:highlight w:val="green"/>
                <w:lang w:val="en-US" w:eastAsia="zh-CN"/>
              </w:rPr>
              <w:t>547</w:t>
            </w:r>
          </w:p>
        </w:tc>
        <w:tc>
          <w:tcPr>
            <w:tcW w:w="656" w:type="pct"/>
            <w:vMerge w:val="restart"/>
            <w:vAlign w:val="center"/>
          </w:tcPr>
          <w:p w14:paraId="0EE1B492">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rPr>
              <w:t>1000</w:t>
            </w:r>
          </w:p>
        </w:tc>
      </w:tr>
      <w:tr w14:paraId="783AD15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7DD04273">
            <w:pPr>
              <w:jc w:val="center"/>
              <w:rPr>
                <w:color w:val="auto"/>
                <w:szCs w:val="21"/>
                <w:highlight w:val="green"/>
              </w:rPr>
            </w:pPr>
          </w:p>
        </w:tc>
        <w:tc>
          <w:tcPr>
            <w:tcW w:w="1252" w:type="dxa"/>
            <w:vAlign w:val="center"/>
          </w:tcPr>
          <w:p w14:paraId="259E29C6">
            <w:pPr>
              <w:jc w:val="center"/>
              <w:rPr>
                <w:rFonts w:hint="eastAsia"/>
                <w:color w:val="auto"/>
                <w:szCs w:val="21"/>
                <w:highlight w:val="green"/>
              </w:rPr>
            </w:pPr>
            <w:r>
              <w:rPr>
                <w:rFonts w:hint="eastAsia"/>
                <w:color w:val="auto"/>
                <w:szCs w:val="21"/>
                <w:highlight w:val="green"/>
                <w:lang w:val="en-US" w:eastAsia="zh-CN"/>
              </w:rPr>
              <w:t>12月22日</w:t>
            </w:r>
          </w:p>
        </w:tc>
        <w:tc>
          <w:tcPr>
            <w:tcW w:w="1547" w:type="dxa"/>
            <w:vAlign w:val="center"/>
          </w:tcPr>
          <w:p w14:paraId="17D5A671">
            <w:pPr>
              <w:jc w:val="center"/>
              <w:rPr>
                <w:rFonts w:hint="eastAsia"/>
                <w:color w:val="auto"/>
                <w:highlight w:val="green"/>
              </w:rPr>
            </w:pPr>
            <w:r>
              <w:rPr>
                <w:rFonts w:hint="eastAsia"/>
                <w:color w:val="auto"/>
                <w:highlight w:val="green"/>
                <w:lang w:val="en-US" w:eastAsia="zh-CN"/>
              </w:rPr>
              <w:t>240</w:t>
            </w:r>
          </w:p>
        </w:tc>
        <w:tc>
          <w:tcPr>
            <w:tcW w:w="1496" w:type="dxa"/>
            <w:vAlign w:val="center"/>
          </w:tcPr>
          <w:p w14:paraId="5A8D5E22">
            <w:pPr>
              <w:jc w:val="center"/>
              <w:rPr>
                <w:rFonts w:hint="eastAsia"/>
                <w:color w:val="auto"/>
                <w:highlight w:val="green"/>
              </w:rPr>
            </w:pPr>
            <w:r>
              <w:rPr>
                <w:rFonts w:hint="eastAsia"/>
                <w:color w:val="auto"/>
                <w:highlight w:val="green"/>
                <w:lang w:val="en-US" w:eastAsia="zh-CN"/>
              </w:rPr>
              <w:t>444</w:t>
            </w:r>
          </w:p>
        </w:tc>
        <w:tc>
          <w:tcPr>
            <w:tcW w:w="794" w:type="pct"/>
            <w:vAlign w:val="center"/>
          </w:tcPr>
          <w:p w14:paraId="15F53D55">
            <w:pPr>
              <w:jc w:val="center"/>
              <w:rPr>
                <w:rFonts w:hint="eastAsia"/>
                <w:color w:val="auto"/>
                <w:highlight w:val="green"/>
              </w:rPr>
            </w:pPr>
            <w:r>
              <w:rPr>
                <w:rFonts w:hint="eastAsia"/>
                <w:color w:val="auto"/>
                <w:highlight w:val="green"/>
                <w:lang w:val="en-US" w:eastAsia="zh-CN"/>
              </w:rPr>
              <w:t>551</w:t>
            </w:r>
          </w:p>
        </w:tc>
        <w:tc>
          <w:tcPr>
            <w:tcW w:w="656" w:type="pct"/>
            <w:vMerge w:val="continue"/>
            <w:vAlign w:val="center"/>
          </w:tcPr>
          <w:p w14:paraId="38925F22">
            <w:pPr>
              <w:jc w:val="center"/>
              <w:rPr>
                <w:rFonts w:hint="eastAsia" w:ascii="Times New Roman" w:hAnsi="Times New Roman"/>
                <w:color w:val="auto"/>
                <w:szCs w:val="21"/>
                <w:highlight w:val="green"/>
                <w:lang w:val="en-US" w:eastAsia="zh-CN"/>
              </w:rPr>
            </w:pPr>
          </w:p>
        </w:tc>
      </w:tr>
      <w:tr w14:paraId="66449D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4F9BAE38">
            <w:pPr>
              <w:jc w:val="center"/>
              <w:rPr>
                <w:color w:val="auto"/>
                <w:szCs w:val="21"/>
                <w:highlight w:val="green"/>
              </w:rPr>
            </w:pPr>
            <w:r>
              <w:rPr>
                <w:rFonts w:hint="eastAsia"/>
                <w:color w:val="auto"/>
                <w:szCs w:val="21"/>
                <w:highlight w:val="green"/>
                <w:lang w:eastAsia="zh-CN"/>
              </w:rPr>
              <w:t>高锰酸盐指数</w:t>
            </w:r>
            <w:r>
              <w:rPr>
                <w:color w:val="auto"/>
                <w:szCs w:val="21"/>
                <w:highlight w:val="green"/>
              </w:rPr>
              <w:t>（mg/L）</w:t>
            </w:r>
          </w:p>
        </w:tc>
        <w:tc>
          <w:tcPr>
            <w:tcW w:w="1252" w:type="dxa"/>
            <w:vAlign w:val="center"/>
          </w:tcPr>
          <w:p w14:paraId="2670719A">
            <w:pPr>
              <w:jc w:val="center"/>
              <w:rPr>
                <w:color w:val="auto"/>
                <w:szCs w:val="21"/>
                <w:highlight w:val="green"/>
              </w:rPr>
            </w:pPr>
            <w:r>
              <w:rPr>
                <w:rFonts w:hint="eastAsia"/>
                <w:color w:val="auto"/>
                <w:szCs w:val="21"/>
                <w:highlight w:val="green"/>
                <w:lang w:val="en-US" w:eastAsia="zh-CN"/>
              </w:rPr>
              <w:t>12月21日</w:t>
            </w:r>
          </w:p>
        </w:tc>
        <w:tc>
          <w:tcPr>
            <w:tcW w:w="1547" w:type="dxa"/>
            <w:vAlign w:val="center"/>
          </w:tcPr>
          <w:p w14:paraId="69EC8275">
            <w:pPr>
              <w:jc w:val="center"/>
              <w:rPr>
                <w:color w:val="auto"/>
                <w:highlight w:val="green"/>
              </w:rPr>
            </w:pPr>
            <w:r>
              <w:rPr>
                <w:rFonts w:hint="eastAsia"/>
                <w:color w:val="auto"/>
                <w:highlight w:val="green"/>
                <w:lang w:val="en-US" w:eastAsia="zh-CN"/>
              </w:rPr>
              <w:t>0.5L</w:t>
            </w:r>
          </w:p>
        </w:tc>
        <w:tc>
          <w:tcPr>
            <w:tcW w:w="1496" w:type="dxa"/>
            <w:vAlign w:val="center"/>
          </w:tcPr>
          <w:p w14:paraId="2C5FC73A">
            <w:pPr>
              <w:jc w:val="center"/>
              <w:rPr>
                <w:color w:val="auto"/>
                <w:highlight w:val="green"/>
              </w:rPr>
            </w:pPr>
            <w:r>
              <w:rPr>
                <w:rFonts w:hint="eastAsia"/>
                <w:color w:val="auto"/>
                <w:highlight w:val="green"/>
                <w:lang w:val="en-US" w:eastAsia="zh-CN"/>
              </w:rPr>
              <w:t>1.4</w:t>
            </w:r>
          </w:p>
        </w:tc>
        <w:tc>
          <w:tcPr>
            <w:tcW w:w="1354" w:type="dxa"/>
            <w:vAlign w:val="center"/>
          </w:tcPr>
          <w:p w14:paraId="76B9ED17">
            <w:pPr>
              <w:jc w:val="center"/>
              <w:rPr>
                <w:color w:val="auto"/>
                <w:highlight w:val="green"/>
              </w:rPr>
            </w:pPr>
            <w:r>
              <w:rPr>
                <w:rFonts w:hint="eastAsia"/>
                <w:color w:val="auto"/>
                <w:highlight w:val="green"/>
                <w:lang w:val="en-US" w:eastAsia="zh-CN"/>
              </w:rPr>
              <w:t>0.7</w:t>
            </w:r>
          </w:p>
        </w:tc>
        <w:tc>
          <w:tcPr>
            <w:tcW w:w="656" w:type="pct"/>
            <w:vMerge w:val="restart"/>
            <w:vAlign w:val="center"/>
          </w:tcPr>
          <w:p w14:paraId="2C582239">
            <w:pPr>
              <w:jc w:val="center"/>
              <w:rPr>
                <w:rFonts w:hint="eastAsia" w:ascii="Times New Roman" w:hAnsi="Times New Roman"/>
                <w:color w:val="auto"/>
                <w:szCs w:val="21"/>
                <w:highlight w:val="green"/>
                <w:lang w:val="en-US" w:eastAsia="zh-CN"/>
              </w:rPr>
            </w:pPr>
            <w:r>
              <w:rPr>
                <w:color w:val="auto"/>
                <w:kern w:val="0"/>
                <w:szCs w:val="21"/>
                <w:highlight w:val="green"/>
              </w:rPr>
              <w:t>≤</w:t>
            </w:r>
            <w:r>
              <w:rPr>
                <w:color w:val="auto"/>
                <w:highlight w:val="green"/>
              </w:rPr>
              <w:t>3.0</w:t>
            </w:r>
          </w:p>
        </w:tc>
      </w:tr>
      <w:tr w14:paraId="10A83F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5DB71423">
            <w:pPr>
              <w:jc w:val="center"/>
              <w:rPr>
                <w:color w:val="auto"/>
                <w:szCs w:val="21"/>
                <w:highlight w:val="green"/>
              </w:rPr>
            </w:pPr>
          </w:p>
        </w:tc>
        <w:tc>
          <w:tcPr>
            <w:tcW w:w="1252" w:type="dxa"/>
            <w:vAlign w:val="center"/>
          </w:tcPr>
          <w:p w14:paraId="72822539">
            <w:pPr>
              <w:jc w:val="center"/>
              <w:rPr>
                <w:color w:val="auto"/>
                <w:szCs w:val="21"/>
                <w:highlight w:val="green"/>
              </w:rPr>
            </w:pPr>
            <w:r>
              <w:rPr>
                <w:rFonts w:hint="eastAsia"/>
                <w:color w:val="auto"/>
                <w:szCs w:val="21"/>
                <w:highlight w:val="green"/>
                <w:lang w:val="en-US" w:eastAsia="zh-CN"/>
              </w:rPr>
              <w:t>12月22日</w:t>
            </w:r>
          </w:p>
        </w:tc>
        <w:tc>
          <w:tcPr>
            <w:tcW w:w="1547" w:type="dxa"/>
            <w:vAlign w:val="center"/>
          </w:tcPr>
          <w:p w14:paraId="61F70609">
            <w:pPr>
              <w:jc w:val="center"/>
              <w:rPr>
                <w:color w:val="auto"/>
                <w:highlight w:val="green"/>
              </w:rPr>
            </w:pPr>
            <w:r>
              <w:rPr>
                <w:rFonts w:hint="eastAsia"/>
                <w:color w:val="auto"/>
                <w:highlight w:val="green"/>
                <w:lang w:val="en-US" w:eastAsia="zh-CN"/>
              </w:rPr>
              <w:t>0.5L</w:t>
            </w:r>
          </w:p>
        </w:tc>
        <w:tc>
          <w:tcPr>
            <w:tcW w:w="1496" w:type="dxa"/>
            <w:vAlign w:val="center"/>
          </w:tcPr>
          <w:p w14:paraId="18432CF1">
            <w:pPr>
              <w:jc w:val="center"/>
              <w:rPr>
                <w:color w:val="auto"/>
                <w:highlight w:val="green"/>
              </w:rPr>
            </w:pPr>
            <w:r>
              <w:rPr>
                <w:rFonts w:hint="eastAsia"/>
                <w:color w:val="auto"/>
                <w:highlight w:val="green"/>
                <w:lang w:val="en-US" w:eastAsia="zh-CN"/>
              </w:rPr>
              <w:t>1.5</w:t>
            </w:r>
          </w:p>
        </w:tc>
        <w:tc>
          <w:tcPr>
            <w:tcW w:w="1354" w:type="dxa"/>
            <w:vAlign w:val="center"/>
          </w:tcPr>
          <w:p w14:paraId="09820840">
            <w:pPr>
              <w:jc w:val="center"/>
              <w:rPr>
                <w:color w:val="auto"/>
                <w:highlight w:val="green"/>
              </w:rPr>
            </w:pPr>
            <w:r>
              <w:rPr>
                <w:rFonts w:hint="eastAsia"/>
                <w:color w:val="auto"/>
                <w:highlight w:val="green"/>
                <w:lang w:val="en-US" w:eastAsia="zh-CN"/>
              </w:rPr>
              <w:t>0.7</w:t>
            </w:r>
          </w:p>
        </w:tc>
        <w:tc>
          <w:tcPr>
            <w:tcW w:w="656" w:type="pct"/>
            <w:vMerge w:val="continue"/>
            <w:vAlign w:val="center"/>
          </w:tcPr>
          <w:p w14:paraId="499DD9AD">
            <w:pPr>
              <w:jc w:val="center"/>
              <w:rPr>
                <w:rFonts w:hint="eastAsia" w:ascii="Times New Roman" w:hAnsi="Times New Roman"/>
                <w:color w:val="auto"/>
                <w:szCs w:val="21"/>
                <w:highlight w:val="green"/>
                <w:lang w:val="en-US" w:eastAsia="zh-CN"/>
              </w:rPr>
            </w:pPr>
          </w:p>
        </w:tc>
      </w:tr>
      <w:tr w14:paraId="3F90141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20ED4B22">
            <w:pPr>
              <w:jc w:val="center"/>
              <w:rPr>
                <w:color w:val="auto"/>
                <w:szCs w:val="21"/>
                <w:highlight w:val="green"/>
              </w:rPr>
            </w:pPr>
            <w:r>
              <w:rPr>
                <w:rFonts w:hint="eastAsia" w:ascii="宋体" w:hAnsi="宋体"/>
                <w:color w:val="auto"/>
                <w:szCs w:val="21"/>
                <w:highlight w:val="green"/>
                <w:lang w:eastAsia="zh-CN"/>
              </w:rPr>
              <w:t>硫酸盐</w:t>
            </w:r>
          </w:p>
        </w:tc>
        <w:tc>
          <w:tcPr>
            <w:tcW w:w="1252" w:type="dxa"/>
            <w:vAlign w:val="center"/>
          </w:tcPr>
          <w:p w14:paraId="2219FC6D">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12月21日</w:t>
            </w:r>
          </w:p>
        </w:tc>
        <w:tc>
          <w:tcPr>
            <w:tcW w:w="1547" w:type="dxa"/>
            <w:vAlign w:val="center"/>
          </w:tcPr>
          <w:p w14:paraId="148377FF">
            <w:pPr>
              <w:jc w:val="center"/>
              <w:rPr>
                <w:rFonts w:hint="eastAsia"/>
                <w:color w:val="auto"/>
                <w:highlight w:val="green"/>
                <w:lang w:val="en-US" w:eastAsia="zh-CN"/>
              </w:rPr>
            </w:pPr>
            <w:r>
              <w:rPr>
                <w:rFonts w:hint="eastAsia"/>
                <w:color w:val="auto"/>
                <w:highlight w:val="green"/>
                <w:lang w:val="en-US" w:eastAsia="zh-CN"/>
              </w:rPr>
              <w:t>15</w:t>
            </w:r>
          </w:p>
        </w:tc>
        <w:tc>
          <w:tcPr>
            <w:tcW w:w="1496" w:type="dxa"/>
            <w:vAlign w:val="center"/>
          </w:tcPr>
          <w:p w14:paraId="20133686">
            <w:pPr>
              <w:jc w:val="center"/>
              <w:rPr>
                <w:rFonts w:hint="eastAsia"/>
                <w:color w:val="auto"/>
                <w:highlight w:val="green"/>
                <w:lang w:val="en-US" w:eastAsia="zh-CN"/>
              </w:rPr>
            </w:pPr>
            <w:r>
              <w:rPr>
                <w:rFonts w:hint="eastAsia"/>
                <w:color w:val="auto"/>
                <w:highlight w:val="green"/>
                <w:lang w:val="en-US" w:eastAsia="zh-CN"/>
              </w:rPr>
              <w:t>55</w:t>
            </w:r>
          </w:p>
        </w:tc>
        <w:tc>
          <w:tcPr>
            <w:tcW w:w="1354" w:type="dxa"/>
            <w:vAlign w:val="center"/>
          </w:tcPr>
          <w:p w14:paraId="53FB0F9A">
            <w:pPr>
              <w:jc w:val="center"/>
              <w:rPr>
                <w:rFonts w:hint="eastAsia"/>
                <w:color w:val="auto"/>
                <w:highlight w:val="green"/>
                <w:lang w:val="en-US" w:eastAsia="zh-CN"/>
              </w:rPr>
            </w:pPr>
            <w:r>
              <w:rPr>
                <w:rFonts w:hint="eastAsia"/>
                <w:color w:val="auto"/>
                <w:highlight w:val="green"/>
                <w:lang w:val="en-US" w:eastAsia="zh-CN"/>
              </w:rPr>
              <w:t>149</w:t>
            </w:r>
          </w:p>
        </w:tc>
        <w:tc>
          <w:tcPr>
            <w:tcW w:w="656" w:type="pct"/>
            <w:vMerge w:val="restart"/>
            <w:vAlign w:val="center"/>
          </w:tcPr>
          <w:p w14:paraId="10AA0E0D">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lang w:val="en-US" w:eastAsia="zh-CN"/>
              </w:rPr>
              <w:t>250</w:t>
            </w:r>
          </w:p>
        </w:tc>
      </w:tr>
      <w:tr w14:paraId="22536C2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4DE67C9E">
            <w:pPr>
              <w:jc w:val="center"/>
              <w:rPr>
                <w:color w:val="auto"/>
                <w:szCs w:val="21"/>
                <w:highlight w:val="green"/>
              </w:rPr>
            </w:pPr>
          </w:p>
        </w:tc>
        <w:tc>
          <w:tcPr>
            <w:tcW w:w="1252" w:type="dxa"/>
            <w:vAlign w:val="center"/>
          </w:tcPr>
          <w:p w14:paraId="2822088D">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12月22日</w:t>
            </w:r>
          </w:p>
        </w:tc>
        <w:tc>
          <w:tcPr>
            <w:tcW w:w="1547" w:type="dxa"/>
            <w:vAlign w:val="center"/>
          </w:tcPr>
          <w:p w14:paraId="0B007DF6">
            <w:pPr>
              <w:jc w:val="center"/>
              <w:rPr>
                <w:rFonts w:hint="eastAsia"/>
                <w:color w:val="auto"/>
                <w:highlight w:val="green"/>
                <w:lang w:val="en-US" w:eastAsia="zh-CN"/>
              </w:rPr>
            </w:pPr>
            <w:r>
              <w:rPr>
                <w:rFonts w:hint="eastAsia"/>
                <w:color w:val="auto"/>
                <w:highlight w:val="green"/>
                <w:lang w:val="en-US" w:eastAsia="zh-CN"/>
              </w:rPr>
              <w:t>14</w:t>
            </w:r>
          </w:p>
        </w:tc>
        <w:tc>
          <w:tcPr>
            <w:tcW w:w="1496" w:type="dxa"/>
            <w:vAlign w:val="center"/>
          </w:tcPr>
          <w:p w14:paraId="3F3121E8">
            <w:pPr>
              <w:jc w:val="center"/>
              <w:rPr>
                <w:rFonts w:hint="eastAsia"/>
                <w:color w:val="auto"/>
                <w:highlight w:val="green"/>
                <w:lang w:val="en-US" w:eastAsia="zh-CN"/>
              </w:rPr>
            </w:pPr>
            <w:r>
              <w:rPr>
                <w:rFonts w:hint="eastAsia"/>
                <w:color w:val="auto"/>
                <w:highlight w:val="green"/>
                <w:lang w:val="en-US" w:eastAsia="zh-CN"/>
              </w:rPr>
              <w:t>56</w:t>
            </w:r>
          </w:p>
        </w:tc>
        <w:tc>
          <w:tcPr>
            <w:tcW w:w="1354" w:type="dxa"/>
            <w:vAlign w:val="center"/>
          </w:tcPr>
          <w:p w14:paraId="1C6F1FF0">
            <w:pPr>
              <w:jc w:val="center"/>
              <w:rPr>
                <w:rFonts w:hint="eastAsia"/>
                <w:color w:val="auto"/>
                <w:highlight w:val="green"/>
                <w:lang w:val="en-US" w:eastAsia="zh-CN"/>
              </w:rPr>
            </w:pPr>
            <w:r>
              <w:rPr>
                <w:rFonts w:hint="eastAsia"/>
                <w:color w:val="auto"/>
                <w:highlight w:val="green"/>
                <w:lang w:val="en-US" w:eastAsia="zh-CN"/>
              </w:rPr>
              <w:t>151</w:t>
            </w:r>
          </w:p>
        </w:tc>
        <w:tc>
          <w:tcPr>
            <w:tcW w:w="656" w:type="pct"/>
            <w:vMerge w:val="continue"/>
            <w:vAlign w:val="center"/>
          </w:tcPr>
          <w:p w14:paraId="445E4CF0">
            <w:pPr>
              <w:jc w:val="center"/>
              <w:rPr>
                <w:rFonts w:hint="eastAsia" w:ascii="Times New Roman" w:hAnsi="Times New Roman"/>
                <w:color w:val="auto"/>
                <w:szCs w:val="21"/>
                <w:highlight w:val="green"/>
                <w:lang w:val="en-US" w:eastAsia="zh-CN"/>
              </w:rPr>
            </w:pPr>
          </w:p>
        </w:tc>
      </w:tr>
      <w:tr w14:paraId="337A9C9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1438DD36">
            <w:pPr>
              <w:jc w:val="center"/>
              <w:rPr>
                <w:color w:val="auto"/>
                <w:szCs w:val="21"/>
                <w:highlight w:val="green"/>
              </w:rPr>
            </w:pPr>
            <w:r>
              <w:rPr>
                <w:rFonts w:hint="eastAsia" w:ascii="宋体" w:hAnsi="宋体"/>
                <w:color w:val="auto"/>
                <w:szCs w:val="21"/>
                <w:highlight w:val="green"/>
                <w:lang w:eastAsia="zh-CN"/>
              </w:rPr>
              <w:t>氯化物</w:t>
            </w:r>
          </w:p>
        </w:tc>
        <w:tc>
          <w:tcPr>
            <w:tcW w:w="1252" w:type="dxa"/>
            <w:vAlign w:val="center"/>
          </w:tcPr>
          <w:p w14:paraId="0ACF9087">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12月21日</w:t>
            </w:r>
          </w:p>
        </w:tc>
        <w:tc>
          <w:tcPr>
            <w:tcW w:w="1547" w:type="dxa"/>
            <w:vAlign w:val="center"/>
          </w:tcPr>
          <w:p w14:paraId="345E8588">
            <w:pPr>
              <w:jc w:val="center"/>
              <w:rPr>
                <w:rFonts w:hint="eastAsia"/>
                <w:color w:val="auto"/>
                <w:highlight w:val="green"/>
                <w:lang w:val="en-US" w:eastAsia="zh-CN"/>
              </w:rPr>
            </w:pPr>
            <w:r>
              <w:rPr>
                <w:rFonts w:hint="eastAsia"/>
                <w:color w:val="auto"/>
                <w:highlight w:val="green"/>
                <w:lang w:val="en-US" w:eastAsia="zh-CN"/>
              </w:rPr>
              <w:t>14.2</w:t>
            </w:r>
          </w:p>
        </w:tc>
        <w:tc>
          <w:tcPr>
            <w:tcW w:w="1496" w:type="dxa"/>
            <w:vAlign w:val="center"/>
          </w:tcPr>
          <w:p w14:paraId="7E3EDE15">
            <w:pPr>
              <w:jc w:val="center"/>
              <w:rPr>
                <w:rFonts w:hint="eastAsia"/>
                <w:color w:val="auto"/>
                <w:highlight w:val="green"/>
                <w:lang w:val="en-US" w:eastAsia="zh-CN"/>
              </w:rPr>
            </w:pPr>
            <w:r>
              <w:rPr>
                <w:rFonts w:hint="eastAsia"/>
                <w:color w:val="auto"/>
                <w:highlight w:val="green"/>
                <w:lang w:val="en-US" w:eastAsia="zh-CN"/>
              </w:rPr>
              <w:t>59.4</w:t>
            </w:r>
          </w:p>
        </w:tc>
        <w:tc>
          <w:tcPr>
            <w:tcW w:w="1354" w:type="dxa"/>
            <w:vAlign w:val="center"/>
          </w:tcPr>
          <w:p w14:paraId="4076AFC4">
            <w:pPr>
              <w:jc w:val="center"/>
              <w:rPr>
                <w:rFonts w:hint="eastAsia"/>
                <w:color w:val="auto"/>
                <w:highlight w:val="green"/>
                <w:lang w:val="en-US" w:eastAsia="zh-CN"/>
              </w:rPr>
            </w:pPr>
            <w:r>
              <w:rPr>
                <w:rFonts w:hint="eastAsia"/>
                <w:color w:val="auto"/>
                <w:highlight w:val="green"/>
                <w:lang w:val="en-US" w:eastAsia="zh-CN"/>
              </w:rPr>
              <w:t>47.0</w:t>
            </w:r>
          </w:p>
        </w:tc>
        <w:tc>
          <w:tcPr>
            <w:tcW w:w="656" w:type="pct"/>
            <w:vMerge w:val="restart"/>
            <w:vAlign w:val="center"/>
          </w:tcPr>
          <w:p w14:paraId="6A2F4F49">
            <w:pPr>
              <w:jc w:val="center"/>
              <w:rPr>
                <w:rFonts w:hint="eastAsia" w:ascii="Times New Roman" w:hAnsi="Times New Roman"/>
                <w:color w:val="auto"/>
                <w:szCs w:val="21"/>
                <w:highlight w:val="green"/>
                <w:lang w:val="en-US" w:eastAsia="zh-CN"/>
              </w:rPr>
            </w:pPr>
            <w:r>
              <w:rPr>
                <w:color w:val="auto"/>
                <w:highlight w:val="green"/>
              </w:rPr>
              <w:t>≤</w:t>
            </w:r>
            <w:r>
              <w:rPr>
                <w:rFonts w:hint="eastAsia"/>
                <w:color w:val="auto"/>
                <w:highlight w:val="green"/>
                <w:lang w:val="en-US" w:eastAsia="zh-CN"/>
              </w:rPr>
              <w:t>250</w:t>
            </w:r>
          </w:p>
        </w:tc>
      </w:tr>
      <w:tr w14:paraId="3D8C939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48042388">
            <w:pPr>
              <w:jc w:val="center"/>
              <w:rPr>
                <w:color w:val="auto"/>
                <w:szCs w:val="21"/>
                <w:highlight w:val="green"/>
              </w:rPr>
            </w:pPr>
          </w:p>
        </w:tc>
        <w:tc>
          <w:tcPr>
            <w:tcW w:w="1252" w:type="dxa"/>
            <w:vAlign w:val="center"/>
          </w:tcPr>
          <w:p w14:paraId="36BB942C">
            <w:pPr>
              <w:jc w:val="center"/>
              <w:rPr>
                <w:rFonts w:hint="eastAsia" w:ascii="Times New Roman" w:hAnsi="Times New Roman"/>
                <w:color w:val="auto"/>
                <w:szCs w:val="21"/>
                <w:highlight w:val="green"/>
                <w:lang w:val="en-US" w:eastAsia="zh-CN"/>
              </w:rPr>
            </w:pPr>
            <w:r>
              <w:rPr>
                <w:rFonts w:hint="eastAsia"/>
                <w:color w:val="auto"/>
                <w:szCs w:val="21"/>
                <w:highlight w:val="green"/>
                <w:lang w:val="en-US" w:eastAsia="zh-CN"/>
              </w:rPr>
              <w:t>12月22日</w:t>
            </w:r>
          </w:p>
        </w:tc>
        <w:tc>
          <w:tcPr>
            <w:tcW w:w="1547" w:type="dxa"/>
            <w:vAlign w:val="center"/>
          </w:tcPr>
          <w:p w14:paraId="50A8874B">
            <w:pPr>
              <w:jc w:val="center"/>
              <w:rPr>
                <w:rFonts w:hint="eastAsia"/>
                <w:color w:val="auto"/>
                <w:highlight w:val="green"/>
                <w:lang w:val="en-US" w:eastAsia="zh-CN"/>
              </w:rPr>
            </w:pPr>
            <w:r>
              <w:rPr>
                <w:rFonts w:hint="eastAsia"/>
                <w:color w:val="auto"/>
                <w:highlight w:val="green"/>
                <w:lang w:val="en-US" w:eastAsia="zh-CN"/>
              </w:rPr>
              <w:t>15.1</w:t>
            </w:r>
          </w:p>
        </w:tc>
        <w:tc>
          <w:tcPr>
            <w:tcW w:w="1496" w:type="dxa"/>
            <w:vAlign w:val="center"/>
          </w:tcPr>
          <w:p w14:paraId="4ECBEF49">
            <w:pPr>
              <w:jc w:val="center"/>
              <w:rPr>
                <w:rFonts w:hint="eastAsia"/>
                <w:color w:val="auto"/>
                <w:highlight w:val="green"/>
                <w:lang w:val="en-US" w:eastAsia="zh-CN"/>
              </w:rPr>
            </w:pPr>
            <w:r>
              <w:rPr>
                <w:rFonts w:hint="eastAsia"/>
                <w:color w:val="auto"/>
                <w:highlight w:val="green"/>
                <w:lang w:val="en-US" w:eastAsia="zh-CN"/>
              </w:rPr>
              <w:t>58.0</w:t>
            </w:r>
          </w:p>
        </w:tc>
        <w:tc>
          <w:tcPr>
            <w:tcW w:w="1354" w:type="dxa"/>
            <w:vAlign w:val="center"/>
          </w:tcPr>
          <w:p w14:paraId="0AC462EB">
            <w:pPr>
              <w:jc w:val="center"/>
              <w:rPr>
                <w:rFonts w:hint="eastAsia"/>
                <w:color w:val="auto"/>
                <w:highlight w:val="green"/>
                <w:lang w:val="en-US" w:eastAsia="zh-CN"/>
              </w:rPr>
            </w:pPr>
            <w:r>
              <w:rPr>
                <w:rFonts w:hint="eastAsia"/>
                <w:color w:val="auto"/>
                <w:highlight w:val="green"/>
                <w:lang w:val="en-US" w:eastAsia="zh-CN"/>
              </w:rPr>
              <w:t>46.1</w:t>
            </w:r>
          </w:p>
        </w:tc>
        <w:tc>
          <w:tcPr>
            <w:tcW w:w="656" w:type="pct"/>
            <w:vMerge w:val="continue"/>
            <w:vAlign w:val="center"/>
          </w:tcPr>
          <w:p w14:paraId="335B8348">
            <w:pPr>
              <w:jc w:val="center"/>
              <w:rPr>
                <w:rFonts w:hint="eastAsia" w:ascii="Times New Roman" w:hAnsi="Times New Roman"/>
                <w:color w:val="auto"/>
                <w:szCs w:val="21"/>
                <w:highlight w:val="green"/>
                <w:lang w:val="en-US" w:eastAsia="zh-CN"/>
              </w:rPr>
            </w:pPr>
          </w:p>
        </w:tc>
      </w:tr>
      <w:tr w14:paraId="1663F00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3D5964A0">
            <w:pPr>
              <w:jc w:val="center"/>
              <w:rPr>
                <w:color w:val="auto"/>
                <w:szCs w:val="21"/>
                <w:highlight w:val="green"/>
              </w:rPr>
            </w:pPr>
            <w:r>
              <w:rPr>
                <w:color w:val="auto"/>
                <w:szCs w:val="21"/>
                <w:highlight w:val="green"/>
              </w:rPr>
              <w:t>总大肠菌群</w:t>
            </w:r>
          </w:p>
          <w:p w14:paraId="163CFC72">
            <w:pPr>
              <w:jc w:val="center"/>
              <w:rPr>
                <w:color w:val="auto"/>
                <w:szCs w:val="21"/>
                <w:highlight w:val="green"/>
              </w:rPr>
            </w:pPr>
            <w:r>
              <w:rPr>
                <w:color w:val="auto"/>
                <w:szCs w:val="21"/>
                <w:highlight w:val="green"/>
              </w:rPr>
              <w:t>（MPN/100mL）</w:t>
            </w:r>
          </w:p>
        </w:tc>
        <w:tc>
          <w:tcPr>
            <w:tcW w:w="1252" w:type="dxa"/>
            <w:vAlign w:val="center"/>
          </w:tcPr>
          <w:p w14:paraId="3178A644">
            <w:pPr>
              <w:jc w:val="center"/>
              <w:rPr>
                <w:color w:val="auto"/>
                <w:szCs w:val="21"/>
                <w:highlight w:val="green"/>
              </w:rPr>
            </w:pPr>
            <w:r>
              <w:rPr>
                <w:rFonts w:hint="eastAsia"/>
                <w:color w:val="auto"/>
                <w:szCs w:val="21"/>
                <w:highlight w:val="green"/>
                <w:lang w:val="en-US" w:eastAsia="zh-CN"/>
              </w:rPr>
              <w:t>12月21日</w:t>
            </w:r>
          </w:p>
        </w:tc>
        <w:tc>
          <w:tcPr>
            <w:tcW w:w="1547" w:type="dxa"/>
            <w:vAlign w:val="center"/>
          </w:tcPr>
          <w:p w14:paraId="0E773EE9">
            <w:pPr>
              <w:jc w:val="center"/>
              <w:rPr>
                <w:color w:val="auto"/>
                <w:highlight w:val="green"/>
              </w:rPr>
            </w:pPr>
            <w:r>
              <w:rPr>
                <w:rFonts w:hint="eastAsia"/>
                <w:color w:val="auto"/>
                <w:highlight w:val="green"/>
                <w:lang w:val="en-US" w:eastAsia="zh-CN"/>
              </w:rPr>
              <w:t>未检出</w:t>
            </w:r>
          </w:p>
        </w:tc>
        <w:tc>
          <w:tcPr>
            <w:tcW w:w="1496" w:type="dxa"/>
            <w:vAlign w:val="center"/>
          </w:tcPr>
          <w:p w14:paraId="66F28C68">
            <w:pPr>
              <w:jc w:val="center"/>
              <w:rPr>
                <w:color w:val="auto"/>
                <w:highlight w:val="green"/>
              </w:rPr>
            </w:pPr>
            <w:r>
              <w:rPr>
                <w:rFonts w:hint="eastAsia"/>
                <w:color w:val="auto"/>
                <w:highlight w:val="green"/>
                <w:lang w:val="en-US" w:eastAsia="zh-CN"/>
              </w:rPr>
              <w:t>未检出</w:t>
            </w:r>
          </w:p>
        </w:tc>
        <w:tc>
          <w:tcPr>
            <w:tcW w:w="1354" w:type="dxa"/>
            <w:vAlign w:val="center"/>
          </w:tcPr>
          <w:p w14:paraId="24CE6F0B">
            <w:pPr>
              <w:jc w:val="center"/>
              <w:rPr>
                <w:color w:val="auto"/>
                <w:highlight w:val="green"/>
              </w:rPr>
            </w:pPr>
            <w:r>
              <w:rPr>
                <w:rFonts w:hint="eastAsia"/>
                <w:color w:val="auto"/>
                <w:highlight w:val="green"/>
                <w:lang w:val="en-US" w:eastAsia="zh-CN"/>
              </w:rPr>
              <w:t>未检出</w:t>
            </w:r>
          </w:p>
        </w:tc>
        <w:tc>
          <w:tcPr>
            <w:tcW w:w="656" w:type="pct"/>
            <w:vMerge w:val="restart"/>
            <w:vAlign w:val="center"/>
          </w:tcPr>
          <w:p w14:paraId="7FFF87D2">
            <w:pPr>
              <w:jc w:val="center"/>
              <w:rPr>
                <w:rFonts w:hint="eastAsia" w:ascii="Times New Roman" w:hAnsi="Times New Roman"/>
                <w:color w:val="auto"/>
                <w:szCs w:val="21"/>
                <w:highlight w:val="green"/>
                <w:lang w:eastAsia="zh-CN"/>
              </w:rPr>
            </w:pPr>
            <w:r>
              <w:rPr>
                <w:color w:val="auto"/>
                <w:kern w:val="0"/>
                <w:szCs w:val="21"/>
                <w:highlight w:val="green"/>
              </w:rPr>
              <w:t>≤3.0</w:t>
            </w:r>
          </w:p>
        </w:tc>
      </w:tr>
      <w:tr w14:paraId="17336A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2A4132F7">
            <w:pPr>
              <w:jc w:val="center"/>
              <w:rPr>
                <w:color w:val="auto"/>
                <w:szCs w:val="21"/>
                <w:highlight w:val="green"/>
              </w:rPr>
            </w:pPr>
          </w:p>
        </w:tc>
        <w:tc>
          <w:tcPr>
            <w:tcW w:w="1252" w:type="dxa"/>
            <w:vAlign w:val="center"/>
          </w:tcPr>
          <w:p w14:paraId="341F92AD">
            <w:pPr>
              <w:jc w:val="center"/>
              <w:rPr>
                <w:color w:val="auto"/>
                <w:szCs w:val="21"/>
                <w:highlight w:val="green"/>
              </w:rPr>
            </w:pPr>
            <w:r>
              <w:rPr>
                <w:rFonts w:hint="eastAsia"/>
                <w:color w:val="auto"/>
                <w:szCs w:val="21"/>
                <w:highlight w:val="green"/>
                <w:lang w:val="en-US" w:eastAsia="zh-CN"/>
              </w:rPr>
              <w:t>12月22日</w:t>
            </w:r>
          </w:p>
        </w:tc>
        <w:tc>
          <w:tcPr>
            <w:tcW w:w="1547" w:type="dxa"/>
            <w:vAlign w:val="center"/>
          </w:tcPr>
          <w:p w14:paraId="0888B8D1">
            <w:pPr>
              <w:jc w:val="center"/>
              <w:rPr>
                <w:color w:val="auto"/>
                <w:highlight w:val="green"/>
              </w:rPr>
            </w:pPr>
            <w:r>
              <w:rPr>
                <w:rFonts w:hint="eastAsia"/>
                <w:color w:val="auto"/>
                <w:highlight w:val="green"/>
                <w:lang w:val="en-US" w:eastAsia="zh-CN"/>
              </w:rPr>
              <w:t>未检出</w:t>
            </w:r>
          </w:p>
        </w:tc>
        <w:tc>
          <w:tcPr>
            <w:tcW w:w="1496" w:type="dxa"/>
            <w:vAlign w:val="center"/>
          </w:tcPr>
          <w:p w14:paraId="50BFA6EA">
            <w:pPr>
              <w:jc w:val="center"/>
              <w:rPr>
                <w:color w:val="auto"/>
                <w:highlight w:val="green"/>
              </w:rPr>
            </w:pPr>
            <w:r>
              <w:rPr>
                <w:rFonts w:hint="eastAsia"/>
                <w:color w:val="auto"/>
                <w:highlight w:val="green"/>
                <w:lang w:val="en-US" w:eastAsia="zh-CN"/>
              </w:rPr>
              <w:t>未检出</w:t>
            </w:r>
          </w:p>
        </w:tc>
        <w:tc>
          <w:tcPr>
            <w:tcW w:w="1354" w:type="dxa"/>
            <w:vAlign w:val="center"/>
          </w:tcPr>
          <w:p w14:paraId="451D8EDE">
            <w:pPr>
              <w:jc w:val="center"/>
              <w:rPr>
                <w:color w:val="auto"/>
                <w:highlight w:val="green"/>
              </w:rPr>
            </w:pPr>
            <w:r>
              <w:rPr>
                <w:rFonts w:hint="eastAsia"/>
                <w:color w:val="auto"/>
                <w:highlight w:val="green"/>
                <w:lang w:val="en-US" w:eastAsia="zh-CN"/>
              </w:rPr>
              <w:t>未检出</w:t>
            </w:r>
          </w:p>
        </w:tc>
        <w:tc>
          <w:tcPr>
            <w:tcW w:w="656" w:type="pct"/>
            <w:vMerge w:val="continue"/>
            <w:vAlign w:val="center"/>
          </w:tcPr>
          <w:p w14:paraId="6BE9785A">
            <w:pPr>
              <w:jc w:val="center"/>
              <w:rPr>
                <w:rFonts w:hint="eastAsia" w:ascii="Times New Roman" w:hAnsi="Times New Roman"/>
                <w:color w:val="auto"/>
                <w:szCs w:val="21"/>
                <w:highlight w:val="green"/>
                <w:lang w:eastAsia="zh-CN"/>
              </w:rPr>
            </w:pPr>
          </w:p>
        </w:tc>
      </w:tr>
      <w:tr w14:paraId="797005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restart"/>
            <w:vAlign w:val="center"/>
          </w:tcPr>
          <w:p w14:paraId="2DCD8241">
            <w:pPr>
              <w:jc w:val="center"/>
              <w:rPr>
                <w:color w:val="auto"/>
                <w:szCs w:val="21"/>
                <w:highlight w:val="green"/>
              </w:rPr>
            </w:pPr>
            <w:r>
              <w:rPr>
                <w:rFonts w:hint="eastAsia"/>
                <w:color w:val="auto"/>
                <w:szCs w:val="21"/>
                <w:highlight w:val="green"/>
                <w:lang w:eastAsia="zh-CN"/>
              </w:rPr>
              <w:t>细菌</w:t>
            </w:r>
            <w:r>
              <w:rPr>
                <w:color w:val="auto"/>
                <w:szCs w:val="21"/>
                <w:highlight w:val="green"/>
              </w:rPr>
              <w:t>总数</w:t>
            </w:r>
          </w:p>
          <w:p w14:paraId="34BF10C2">
            <w:pPr>
              <w:jc w:val="center"/>
              <w:rPr>
                <w:color w:val="auto"/>
                <w:szCs w:val="21"/>
                <w:highlight w:val="green"/>
              </w:rPr>
            </w:pPr>
            <w:r>
              <w:rPr>
                <w:color w:val="auto"/>
                <w:szCs w:val="21"/>
                <w:highlight w:val="green"/>
              </w:rPr>
              <w:t>（CFU/mL）</w:t>
            </w:r>
          </w:p>
        </w:tc>
        <w:tc>
          <w:tcPr>
            <w:tcW w:w="1252" w:type="dxa"/>
            <w:vAlign w:val="center"/>
          </w:tcPr>
          <w:p w14:paraId="711F01F7">
            <w:pPr>
              <w:jc w:val="center"/>
              <w:rPr>
                <w:color w:val="auto"/>
                <w:szCs w:val="21"/>
                <w:highlight w:val="green"/>
              </w:rPr>
            </w:pPr>
            <w:r>
              <w:rPr>
                <w:rFonts w:hint="eastAsia"/>
                <w:color w:val="auto"/>
                <w:szCs w:val="21"/>
                <w:highlight w:val="green"/>
                <w:lang w:val="en-US" w:eastAsia="zh-CN"/>
              </w:rPr>
              <w:t>12月21日</w:t>
            </w:r>
          </w:p>
        </w:tc>
        <w:tc>
          <w:tcPr>
            <w:tcW w:w="1547" w:type="dxa"/>
            <w:vAlign w:val="center"/>
          </w:tcPr>
          <w:p w14:paraId="1DC143E8">
            <w:pPr>
              <w:jc w:val="center"/>
              <w:rPr>
                <w:color w:val="auto"/>
                <w:highlight w:val="green"/>
              </w:rPr>
            </w:pPr>
            <w:r>
              <w:rPr>
                <w:rFonts w:hint="eastAsia"/>
                <w:color w:val="auto"/>
                <w:highlight w:val="green"/>
                <w:lang w:val="en-US" w:eastAsia="zh-CN"/>
              </w:rPr>
              <w:t>67</w:t>
            </w:r>
          </w:p>
        </w:tc>
        <w:tc>
          <w:tcPr>
            <w:tcW w:w="1496" w:type="dxa"/>
            <w:vAlign w:val="center"/>
          </w:tcPr>
          <w:p w14:paraId="100EDA4B">
            <w:pPr>
              <w:jc w:val="center"/>
              <w:rPr>
                <w:color w:val="auto"/>
                <w:highlight w:val="green"/>
              </w:rPr>
            </w:pPr>
            <w:r>
              <w:rPr>
                <w:rFonts w:hint="eastAsia"/>
                <w:color w:val="auto"/>
                <w:highlight w:val="green"/>
                <w:lang w:val="en-US" w:eastAsia="zh-CN"/>
              </w:rPr>
              <w:t>75</w:t>
            </w:r>
          </w:p>
        </w:tc>
        <w:tc>
          <w:tcPr>
            <w:tcW w:w="1354" w:type="dxa"/>
            <w:vAlign w:val="center"/>
          </w:tcPr>
          <w:p w14:paraId="5BAC7DB7">
            <w:pPr>
              <w:jc w:val="center"/>
              <w:rPr>
                <w:color w:val="auto"/>
                <w:highlight w:val="green"/>
              </w:rPr>
            </w:pPr>
            <w:r>
              <w:rPr>
                <w:rFonts w:hint="eastAsia"/>
                <w:color w:val="auto"/>
                <w:highlight w:val="green"/>
                <w:lang w:val="en-US" w:eastAsia="zh-CN"/>
              </w:rPr>
              <w:t>49</w:t>
            </w:r>
          </w:p>
        </w:tc>
        <w:tc>
          <w:tcPr>
            <w:tcW w:w="656" w:type="pct"/>
            <w:vMerge w:val="restart"/>
            <w:vAlign w:val="center"/>
          </w:tcPr>
          <w:p w14:paraId="63A81A80">
            <w:pPr>
              <w:jc w:val="center"/>
              <w:rPr>
                <w:rFonts w:hint="eastAsia" w:ascii="Times New Roman" w:hAnsi="Times New Roman"/>
                <w:color w:val="auto"/>
                <w:szCs w:val="21"/>
                <w:highlight w:val="green"/>
                <w:lang w:val="en-US" w:eastAsia="zh-CN"/>
              </w:rPr>
            </w:pPr>
            <w:r>
              <w:rPr>
                <w:color w:val="auto"/>
                <w:highlight w:val="green"/>
              </w:rPr>
              <w:t>≤100</w:t>
            </w:r>
          </w:p>
        </w:tc>
      </w:tr>
      <w:tr w14:paraId="7558F6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0" w:type="pct"/>
            <w:vMerge w:val="continue"/>
            <w:vAlign w:val="center"/>
          </w:tcPr>
          <w:p w14:paraId="18DF9711">
            <w:pPr>
              <w:jc w:val="center"/>
              <w:rPr>
                <w:color w:val="auto"/>
                <w:szCs w:val="21"/>
                <w:highlight w:val="green"/>
              </w:rPr>
            </w:pPr>
          </w:p>
        </w:tc>
        <w:tc>
          <w:tcPr>
            <w:tcW w:w="1252" w:type="dxa"/>
            <w:vAlign w:val="center"/>
          </w:tcPr>
          <w:p w14:paraId="2350DF42">
            <w:pPr>
              <w:jc w:val="center"/>
              <w:rPr>
                <w:color w:val="auto"/>
                <w:szCs w:val="21"/>
                <w:highlight w:val="green"/>
              </w:rPr>
            </w:pPr>
            <w:r>
              <w:rPr>
                <w:rFonts w:hint="eastAsia"/>
                <w:color w:val="auto"/>
                <w:szCs w:val="21"/>
                <w:highlight w:val="green"/>
                <w:lang w:val="en-US" w:eastAsia="zh-CN"/>
              </w:rPr>
              <w:t>12月22日</w:t>
            </w:r>
          </w:p>
        </w:tc>
        <w:tc>
          <w:tcPr>
            <w:tcW w:w="1547" w:type="dxa"/>
            <w:vAlign w:val="center"/>
          </w:tcPr>
          <w:p w14:paraId="44A9E564">
            <w:pPr>
              <w:jc w:val="center"/>
              <w:rPr>
                <w:color w:val="auto"/>
                <w:highlight w:val="green"/>
              </w:rPr>
            </w:pPr>
            <w:r>
              <w:rPr>
                <w:rFonts w:hint="eastAsia"/>
                <w:color w:val="auto"/>
                <w:highlight w:val="green"/>
                <w:lang w:val="en-US" w:eastAsia="zh-CN"/>
              </w:rPr>
              <w:t>62</w:t>
            </w:r>
          </w:p>
        </w:tc>
        <w:tc>
          <w:tcPr>
            <w:tcW w:w="1496" w:type="dxa"/>
            <w:vAlign w:val="center"/>
          </w:tcPr>
          <w:p w14:paraId="702BBDAA">
            <w:pPr>
              <w:jc w:val="center"/>
              <w:rPr>
                <w:color w:val="auto"/>
                <w:highlight w:val="green"/>
              </w:rPr>
            </w:pPr>
            <w:r>
              <w:rPr>
                <w:rFonts w:hint="eastAsia"/>
                <w:color w:val="auto"/>
                <w:highlight w:val="green"/>
                <w:lang w:val="en-US" w:eastAsia="zh-CN"/>
              </w:rPr>
              <w:t>70</w:t>
            </w:r>
          </w:p>
        </w:tc>
        <w:tc>
          <w:tcPr>
            <w:tcW w:w="1354" w:type="dxa"/>
            <w:vAlign w:val="center"/>
          </w:tcPr>
          <w:p w14:paraId="2672B6F3">
            <w:pPr>
              <w:jc w:val="center"/>
              <w:rPr>
                <w:color w:val="auto"/>
                <w:highlight w:val="green"/>
              </w:rPr>
            </w:pPr>
            <w:r>
              <w:rPr>
                <w:rFonts w:hint="eastAsia"/>
                <w:color w:val="auto"/>
                <w:highlight w:val="green"/>
                <w:lang w:val="en-US" w:eastAsia="zh-CN"/>
              </w:rPr>
              <w:t>51</w:t>
            </w:r>
          </w:p>
        </w:tc>
        <w:tc>
          <w:tcPr>
            <w:tcW w:w="656" w:type="pct"/>
            <w:vMerge w:val="continue"/>
            <w:vAlign w:val="center"/>
          </w:tcPr>
          <w:p w14:paraId="6975E621">
            <w:pPr>
              <w:jc w:val="center"/>
              <w:rPr>
                <w:rFonts w:hint="eastAsia" w:ascii="Times New Roman" w:hAnsi="Times New Roman"/>
                <w:color w:val="auto"/>
                <w:szCs w:val="21"/>
                <w:highlight w:val="green"/>
                <w:lang w:val="en-US" w:eastAsia="zh-CN"/>
              </w:rPr>
            </w:pPr>
          </w:p>
        </w:tc>
      </w:tr>
    </w:tbl>
    <w:p w14:paraId="007813ED">
      <w:pPr>
        <w:snapToGrid w:val="0"/>
        <w:ind w:right="420"/>
        <w:jc w:val="center"/>
        <w:rPr>
          <w:b/>
          <w:color w:val="auto"/>
          <w:szCs w:val="21"/>
          <w:highlight w:val="green"/>
        </w:rPr>
      </w:pPr>
      <w:r>
        <w:rPr>
          <w:b/>
          <w:color w:val="auto"/>
          <w:szCs w:val="21"/>
          <w:highlight w:val="green"/>
        </w:rPr>
        <w:t>表4</w:t>
      </w:r>
      <w:r>
        <w:rPr>
          <w:rFonts w:hint="eastAsia"/>
          <w:b/>
          <w:color w:val="auto"/>
          <w:szCs w:val="21"/>
          <w:highlight w:val="green"/>
          <w:lang w:val="en-US" w:eastAsia="zh-CN"/>
        </w:rPr>
        <w:t>.4</w:t>
      </w:r>
      <w:r>
        <w:rPr>
          <w:b/>
          <w:color w:val="auto"/>
          <w:szCs w:val="21"/>
          <w:highlight w:val="green"/>
        </w:rPr>
        <w:t>-</w:t>
      </w:r>
      <w:r>
        <w:rPr>
          <w:rFonts w:hint="eastAsia"/>
          <w:b/>
          <w:color w:val="auto"/>
          <w:szCs w:val="21"/>
          <w:highlight w:val="green"/>
        </w:rPr>
        <w:t>9</w:t>
      </w:r>
      <w:r>
        <w:rPr>
          <w:b/>
          <w:color w:val="auto"/>
          <w:szCs w:val="21"/>
          <w:highlight w:val="green"/>
        </w:rPr>
        <w:t xml:space="preserve">  地下水监测结果</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3405"/>
        <w:gridCol w:w="1162"/>
        <w:gridCol w:w="1175"/>
        <w:gridCol w:w="1077"/>
      </w:tblGrid>
      <w:tr w14:paraId="5D710E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0" w:hRule="atLeast"/>
        </w:trPr>
        <w:tc>
          <w:tcPr>
            <w:tcW w:w="1704" w:type="dxa"/>
            <w:vAlign w:val="center"/>
          </w:tcPr>
          <w:p w14:paraId="466D9BFE">
            <w:pPr>
              <w:jc w:val="center"/>
              <w:rPr>
                <w:b/>
                <w:color w:val="auto"/>
                <w:szCs w:val="21"/>
                <w:highlight w:val="green"/>
              </w:rPr>
            </w:pPr>
            <w:r>
              <w:rPr>
                <w:b/>
                <w:color w:val="auto"/>
                <w:szCs w:val="21"/>
                <w:highlight w:val="green"/>
              </w:rPr>
              <w:t>检测项目</w:t>
            </w:r>
          </w:p>
        </w:tc>
        <w:tc>
          <w:tcPr>
            <w:tcW w:w="3405" w:type="dxa"/>
            <w:vAlign w:val="center"/>
            <mc:AlternateContent>
              <mc:Choice Requires="wpsCustomData">
                <wpsCustomData:diagonals>
                  <wpsCustomData:diagonal from="10000" to="30000">
                    <wpsCustomData:border w:val="single" w:color="auto" w:sz="4" w:space="0"/>
                  </wpsCustomData:diagonal>
                </wpsCustomData:diagonals>
              </mc:Choice>
            </mc:AlternateContent>
          </w:tcPr>
          <w:p w14:paraId="0195A000">
            <w:pPr>
              <w:snapToGrid w:val="0"/>
              <w:rPr>
                <w:b/>
                <w:color w:val="auto"/>
                <w:szCs w:val="21"/>
                <w:highlight w:val="green"/>
              </w:rPr>
            </w:pPr>
          </w:p>
          <w:p w14:paraId="0E63842D">
            <w:pPr>
              <w:snapToGrid w:val="0"/>
              <w:rPr>
                <w:b/>
                <w:color w:val="auto"/>
                <w:szCs w:val="21"/>
                <w:highlight w:val="green"/>
              </w:rPr>
            </w:pPr>
          </w:p>
          <w:p w14:paraId="0A9A35AB">
            <w:pPr>
              <w:snapToGrid w:val="0"/>
              <w:rPr>
                <w:b/>
                <w:color w:val="auto"/>
                <w:szCs w:val="21"/>
                <w:highlight w:val="green"/>
              </w:rPr>
            </w:pPr>
            <w:r>
              <w:rPr>
                <w:b/>
                <w:color w:val="auto"/>
                <w:szCs w:val="21"/>
                <w:highlight w:val="green"/>
              </w:rPr>
              <w:t>采样时间</w:t>
            </w:r>
          </w:p>
          <w:p w14:paraId="22A23F64">
            <w:pPr>
              <w:snapToGrid w:val="0"/>
              <mc:AlternateContent>
                <mc:Choice Requires="wpsCustomData">
                  <wpsCustomData:diagonalParaType/>
                </mc:Choice>
              </mc:AlternateContent>
              <w:rPr>
                <w:b/>
                <w:color w:val="auto"/>
                <w:szCs w:val="21"/>
                <w:highlight w:val="green"/>
              </w:rPr>
            </w:pPr>
          </w:p>
          <w:p w14:paraId="35D0B0B1">
            <w:pPr>
              <w:jc w:val="right"/>
              <w:rPr>
                <w:b/>
                <w:color w:val="auto"/>
                <w:szCs w:val="21"/>
                <w:highlight w:val="green"/>
              </w:rPr>
            </w:pPr>
            <w:r>
              <w:rPr>
                <w:b/>
                <w:color w:val="auto"/>
                <w:szCs w:val="21"/>
                <w:highlight w:val="green"/>
              </w:rPr>
              <w:t>采样点位</w:t>
            </w:r>
          </w:p>
          <w:p w14:paraId="1002F8E3">
            <w:pPr>
              <w:rPr>
                <w:b/>
                <w:color w:val="auto"/>
                <w:szCs w:val="21"/>
                <w:highlight w:val="green"/>
              </w:rPr>
            </w:pPr>
          </w:p>
        </w:tc>
        <w:tc>
          <w:tcPr>
            <w:tcW w:w="1162" w:type="dxa"/>
            <w:vAlign w:val="center"/>
          </w:tcPr>
          <w:p w14:paraId="3B90DC61">
            <w:pPr>
              <w:jc w:val="center"/>
              <w:rPr>
                <w:b/>
                <w:color w:val="auto"/>
                <w:szCs w:val="21"/>
                <w:highlight w:val="green"/>
              </w:rPr>
            </w:pPr>
            <w:r>
              <w:rPr>
                <w:rFonts w:hint="eastAsia"/>
                <w:color w:val="auto"/>
                <w:szCs w:val="21"/>
                <w:highlight w:val="green"/>
                <w:lang w:eastAsia="zh-CN"/>
              </w:rPr>
              <w:t>东井村</w:t>
            </w:r>
            <w:r>
              <w:rPr>
                <w:color w:val="auto"/>
                <w:szCs w:val="21"/>
                <w:highlight w:val="green"/>
              </w:rPr>
              <w:t>居民水井</w:t>
            </w:r>
          </w:p>
        </w:tc>
        <w:tc>
          <w:tcPr>
            <w:tcW w:w="1175" w:type="dxa"/>
            <w:vAlign w:val="center"/>
          </w:tcPr>
          <w:p w14:paraId="076045D0">
            <w:pPr>
              <w:jc w:val="center"/>
              <w:rPr>
                <w:b/>
                <w:color w:val="auto"/>
                <w:szCs w:val="21"/>
                <w:highlight w:val="green"/>
              </w:rPr>
            </w:pPr>
            <w:r>
              <w:rPr>
                <w:rFonts w:hint="eastAsia"/>
                <w:color w:val="auto"/>
                <w:szCs w:val="21"/>
                <w:highlight w:val="green"/>
                <w:lang w:eastAsia="zh-CN"/>
              </w:rPr>
              <w:t>林家地</w:t>
            </w:r>
            <w:r>
              <w:rPr>
                <w:color w:val="auto"/>
                <w:szCs w:val="21"/>
                <w:highlight w:val="green"/>
              </w:rPr>
              <w:t>居民水井</w:t>
            </w:r>
          </w:p>
        </w:tc>
        <w:tc>
          <w:tcPr>
            <w:tcW w:w="1077" w:type="dxa"/>
            <w:vAlign w:val="center"/>
          </w:tcPr>
          <w:p w14:paraId="7F620A7F">
            <w:pPr>
              <w:jc w:val="center"/>
              <w:rPr>
                <w:b/>
                <w:color w:val="auto"/>
                <w:szCs w:val="21"/>
                <w:highlight w:val="green"/>
              </w:rPr>
            </w:pPr>
            <w:r>
              <w:rPr>
                <w:rFonts w:hint="eastAsia"/>
                <w:color w:val="auto"/>
                <w:szCs w:val="21"/>
                <w:highlight w:val="green"/>
                <w:lang w:eastAsia="zh-CN"/>
              </w:rPr>
              <w:t>北沟村</w:t>
            </w:r>
            <w:r>
              <w:rPr>
                <w:color w:val="auto"/>
                <w:szCs w:val="21"/>
                <w:highlight w:val="green"/>
              </w:rPr>
              <w:t>居民水井</w:t>
            </w:r>
          </w:p>
        </w:tc>
      </w:tr>
      <w:tr w14:paraId="0E83062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dxa"/>
            <w:vAlign w:val="center"/>
          </w:tcPr>
          <w:p w14:paraId="22216689">
            <w:pPr>
              <w:jc w:val="center"/>
              <w:rPr>
                <w:bCs/>
                <w:color w:val="auto"/>
                <w:szCs w:val="21"/>
                <w:highlight w:val="green"/>
              </w:rPr>
            </w:pPr>
            <w:r>
              <w:rPr>
                <w:bCs/>
                <w:color w:val="auto"/>
                <w:szCs w:val="21"/>
                <w:highlight w:val="green"/>
              </w:rPr>
              <w:t>水位（m）</w:t>
            </w:r>
          </w:p>
        </w:tc>
        <w:tc>
          <w:tcPr>
            <w:tcW w:w="3405" w:type="dxa"/>
            <w:vAlign w:val="center"/>
          </w:tcPr>
          <w:p w14:paraId="2D76B0B1">
            <w:pPr>
              <w:jc w:val="center"/>
              <w:rPr>
                <w:color w:val="auto"/>
                <w:szCs w:val="21"/>
                <w:highlight w:val="green"/>
              </w:rPr>
            </w:pPr>
            <w:r>
              <w:rPr>
                <w:rFonts w:hint="eastAsia"/>
                <w:color w:val="auto"/>
                <w:szCs w:val="21"/>
                <w:highlight w:val="green"/>
                <w:lang w:val="en-US" w:eastAsia="zh-CN"/>
              </w:rPr>
              <w:t>12月21日</w:t>
            </w:r>
          </w:p>
        </w:tc>
        <w:tc>
          <w:tcPr>
            <w:tcW w:w="1162" w:type="dxa"/>
            <w:vAlign w:val="center"/>
          </w:tcPr>
          <w:p w14:paraId="0EA2A966">
            <w:pPr>
              <w:jc w:val="center"/>
              <w:rPr>
                <w:rFonts w:hint="default" w:eastAsia="宋体"/>
                <w:color w:val="auto"/>
                <w:szCs w:val="21"/>
                <w:highlight w:val="green"/>
                <w:lang w:val="en-US" w:eastAsia="zh-CN"/>
              </w:rPr>
            </w:pPr>
            <w:r>
              <w:rPr>
                <w:rFonts w:hint="eastAsia"/>
                <w:color w:val="auto"/>
                <w:szCs w:val="21"/>
                <w:highlight w:val="green"/>
                <w:lang w:val="en-US" w:eastAsia="zh-CN"/>
              </w:rPr>
              <w:t>585.21</w:t>
            </w:r>
          </w:p>
        </w:tc>
        <w:tc>
          <w:tcPr>
            <w:tcW w:w="1175" w:type="dxa"/>
            <w:vAlign w:val="center"/>
          </w:tcPr>
          <w:p w14:paraId="16AE8BA6">
            <w:pPr>
              <w:jc w:val="center"/>
              <w:rPr>
                <w:rFonts w:hint="default" w:eastAsia="宋体"/>
                <w:color w:val="auto"/>
                <w:szCs w:val="21"/>
                <w:highlight w:val="green"/>
                <w:lang w:val="en-US" w:eastAsia="zh-CN"/>
              </w:rPr>
            </w:pPr>
            <w:r>
              <w:rPr>
                <w:rFonts w:hint="eastAsia"/>
                <w:color w:val="auto"/>
                <w:szCs w:val="21"/>
                <w:highlight w:val="green"/>
                <w:lang w:val="en-US" w:eastAsia="zh-CN"/>
              </w:rPr>
              <w:t>577.43</w:t>
            </w:r>
          </w:p>
        </w:tc>
        <w:tc>
          <w:tcPr>
            <w:tcW w:w="1077" w:type="dxa"/>
            <w:vAlign w:val="center"/>
          </w:tcPr>
          <w:p w14:paraId="407CAEEC">
            <w:pPr>
              <w:jc w:val="center"/>
              <w:rPr>
                <w:rFonts w:hint="default" w:eastAsia="宋体"/>
                <w:color w:val="auto"/>
                <w:szCs w:val="21"/>
                <w:highlight w:val="green"/>
                <w:lang w:val="en-US" w:eastAsia="zh-CN"/>
              </w:rPr>
            </w:pPr>
            <w:r>
              <w:rPr>
                <w:rFonts w:hint="eastAsia"/>
                <w:color w:val="auto"/>
                <w:szCs w:val="21"/>
                <w:highlight w:val="green"/>
                <w:lang w:val="en-US" w:eastAsia="zh-CN"/>
              </w:rPr>
              <w:t>572.29</w:t>
            </w:r>
          </w:p>
        </w:tc>
      </w:tr>
    </w:tbl>
    <w:p w14:paraId="26689A05">
      <w:pPr>
        <w:spacing w:line="360" w:lineRule="auto"/>
        <w:ind w:firstLine="480" w:firstLineChars="200"/>
        <w:rPr>
          <w:color w:val="auto"/>
          <w:sz w:val="24"/>
          <w:highlight w:val="none"/>
        </w:rPr>
      </w:pPr>
      <w:r>
        <w:rPr>
          <w:color w:val="auto"/>
          <w:sz w:val="24"/>
          <w:highlight w:val="green"/>
        </w:rPr>
        <w:t>由监测结果可知，各项指标均满足我国《地下水质量标准》（GB/T14848-93）</w:t>
      </w:r>
      <w:r>
        <w:rPr>
          <w:color w:val="auto"/>
          <w:sz w:val="24"/>
          <w:highlight w:val="none"/>
        </w:rPr>
        <w:t>中的Ⅲ类标准，区域地下水环境质量现状良好。</w:t>
      </w:r>
    </w:p>
    <w:p w14:paraId="741023E4">
      <w:pPr>
        <w:pStyle w:val="3"/>
        <w:adjustRightInd w:val="0"/>
        <w:jc w:val="both"/>
        <w:rPr>
          <w:rFonts w:eastAsia="宋体"/>
          <w:color w:val="auto"/>
          <w:sz w:val="30"/>
          <w:szCs w:val="30"/>
          <w:highlight w:val="none"/>
        </w:rPr>
      </w:pPr>
      <w:bookmarkStart w:id="285" w:name="_Toc31722"/>
      <w:bookmarkStart w:id="286" w:name="_Toc37831599"/>
      <w:bookmarkStart w:id="287" w:name="_Toc23428"/>
      <w:r>
        <w:rPr>
          <w:rFonts w:eastAsia="宋体"/>
          <w:color w:val="auto"/>
          <w:sz w:val="30"/>
          <w:szCs w:val="30"/>
          <w:highlight w:val="none"/>
        </w:rPr>
        <w:t>4.</w:t>
      </w:r>
      <w:r>
        <w:rPr>
          <w:rFonts w:hint="eastAsia" w:eastAsia="宋体"/>
          <w:color w:val="auto"/>
          <w:sz w:val="30"/>
          <w:szCs w:val="30"/>
          <w:highlight w:val="none"/>
        </w:rPr>
        <w:t>7</w:t>
      </w:r>
      <w:r>
        <w:rPr>
          <w:rFonts w:eastAsia="宋体"/>
          <w:color w:val="auto"/>
          <w:sz w:val="30"/>
          <w:szCs w:val="30"/>
          <w:highlight w:val="none"/>
        </w:rPr>
        <w:t>土壤环境现状调查与评价</w:t>
      </w:r>
      <w:bookmarkEnd w:id="285"/>
      <w:bookmarkEnd w:id="286"/>
      <w:bookmarkEnd w:id="287"/>
    </w:p>
    <w:p w14:paraId="0F184146">
      <w:pPr>
        <w:spacing w:line="360" w:lineRule="auto"/>
        <w:ind w:firstLine="480" w:firstLineChars="200"/>
        <w:rPr>
          <w:color w:val="auto"/>
          <w:sz w:val="24"/>
          <w:highlight w:val="none"/>
        </w:rPr>
      </w:pPr>
      <w:r>
        <w:rPr>
          <w:rFonts w:hint="eastAsia"/>
          <w:color w:val="auto"/>
          <w:sz w:val="24"/>
          <w:highlight w:val="none"/>
          <w:lang w:eastAsia="zh-CN"/>
        </w:rPr>
        <w:t>项目所在区域地类为耕地（耕地不属于基本农田），根据现场踏勘及调查发现，厂区内原为生猪养殖场，已废弃，不存在原有土壤污染问题。</w:t>
      </w:r>
      <w:r>
        <w:rPr>
          <w:color w:val="auto"/>
          <w:sz w:val="24"/>
          <w:highlight w:val="green"/>
        </w:rPr>
        <w:t>为了解项目厂区</w:t>
      </w:r>
      <w:r>
        <w:rPr>
          <w:rFonts w:hint="eastAsia"/>
          <w:color w:val="auto"/>
          <w:sz w:val="24"/>
          <w:highlight w:val="green"/>
          <w:lang w:eastAsia="zh-CN"/>
        </w:rPr>
        <w:t>内</w:t>
      </w:r>
      <w:r>
        <w:rPr>
          <w:color w:val="auto"/>
          <w:sz w:val="24"/>
          <w:highlight w:val="green"/>
        </w:rPr>
        <w:t>土壤环境现状，委托朝阳彤天环保发展有限公司于</w:t>
      </w:r>
      <w:r>
        <w:rPr>
          <w:color w:val="auto"/>
          <w:kern w:val="0"/>
          <w:sz w:val="24"/>
          <w:highlight w:val="green"/>
        </w:rPr>
        <w:t>202</w:t>
      </w:r>
      <w:r>
        <w:rPr>
          <w:rFonts w:hint="eastAsia"/>
          <w:color w:val="auto"/>
          <w:kern w:val="0"/>
          <w:sz w:val="24"/>
          <w:highlight w:val="green"/>
          <w:lang w:val="en-US" w:eastAsia="zh-CN"/>
        </w:rPr>
        <w:t>3</w:t>
      </w:r>
      <w:r>
        <w:rPr>
          <w:color w:val="auto"/>
          <w:kern w:val="0"/>
          <w:sz w:val="24"/>
          <w:highlight w:val="green"/>
        </w:rPr>
        <w:t>年</w:t>
      </w:r>
      <w:r>
        <w:rPr>
          <w:rFonts w:hint="eastAsia"/>
          <w:color w:val="auto"/>
          <w:kern w:val="0"/>
          <w:sz w:val="24"/>
          <w:highlight w:val="green"/>
          <w:lang w:val="en-US" w:eastAsia="zh-CN"/>
        </w:rPr>
        <w:t>9</w:t>
      </w:r>
      <w:r>
        <w:rPr>
          <w:color w:val="auto"/>
          <w:kern w:val="0"/>
          <w:sz w:val="24"/>
          <w:highlight w:val="green"/>
        </w:rPr>
        <w:t>月</w:t>
      </w:r>
      <w:r>
        <w:rPr>
          <w:rFonts w:hint="eastAsia"/>
          <w:color w:val="auto"/>
          <w:kern w:val="0"/>
          <w:sz w:val="24"/>
          <w:highlight w:val="green"/>
        </w:rPr>
        <w:t>26</w:t>
      </w:r>
      <w:r>
        <w:rPr>
          <w:color w:val="auto"/>
          <w:kern w:val="0"/>
          <w:sz w:val="24"/>
          <w:highlight w:val="green"/>
        </w:rPr>
        <w:t>日对</w:t>
      </w:r>
      <w:r>
        <w:rPr>
          <w:color w:val="auto"/>
          <w:sz w:val="24"/>
          <w:highlight w:val="green"/>
        </w:rPr>
        <w:t>厂区</w:t>
      </w:r>
      <w:r>
        <w:rPr>
          <w:color w:val="auto"/>
          <w:sz w:val="24"/>
          <w:highlight w:val="none"/>
        </w:rPr>
        <w:t>内土壤环境现状进行监测，根据《环境影响评价技术导则 土壤环境（试行）》（HJ964-2018）可知，土壤三级评价需在占地范围内设置3个表层样点，具体如下：</w:t>
      </w:r>
    </w:p>
    <w:p w14:paraId="440A7CE2">
      <w:pPr>
        <w:spacing w:line="360" w:lineRule="auto"/>
        <w:ind w:firstLine="480" w:firstLineChars="200"/>
        <w:rPr>
          <w:color w:val="auto"/>
          <w:sz w:val="24"/>
          <w:highlight w:val="green"/>
        </w:rPr>
      </w:pPr>
      <w:r>
        <w:rPr>
          <w:color w:val="auto"/>
          <w:sz w:val="24"/>
          <w:highlight w:val="green"/>
        </w:rPr>
        <w:t>监测点位情况见下表：</w:t>
      </w:r>
    </w:p>
    <w:p w14:paraId="30BFEF18">
      <w:pPr>
        <w:ind w:firstLine="413" w:firstLineChars="196"/>
        <w:jc w:val="center"/>
        <w:rPr>
          <w:b/>
          <w:color w:val="auto"/>
          <w:szCs w:val="21"/>
          <w:highlight w:val="green"/>
        </w:rPr>
      </w:pPr>
      <w:r>
        <w:rPr>
          <w:b/>
          <w:color w:val="auto"/>
          <w:szCs w:val="21"/>
          <w:highlight w:val="green"/>
        </w:rPr>
        <w:t>表4</w:t>
      </w:r>
      <w:r>
        <w:rPr>
          <w:rFonts w:hint="eastAsia"/>
          <w:b/>
          <w:color w:val="auto"/>
          <w:szCs w:val="21"/>
          <w:highlight w:val="green"/>
          <w:lang w:val="en-US" w:eastAsia="zh-CN"/>
        </w:rPr>
        <w:t>.4</w:t>
      </w:r>
      <w:r>
        <w:rPr>
          <w:b/>
          <w:color w:val="auto"/>
          <w:szCs w:val="21"/>
          <w:highlight w:val="green"/>
        </w:rPr>
        <w:t>-1</w:t>
      </w:r>
      <w:r>
        <w:rPr>
          <w:rFonts w:hint="eastAsia"/>
          <w:b/>
          <w:color w:val="auto"/>
          <w:szCs w:val="21"/>
          <w:highlight w:val="green"/>
        </w:rPr>
        <w:t>0</w:t>
      </w:r>
      <w:r>
        <w:rPr>
          <w:b/>
          <w:color w:val="auto"/>
          <w:szCs w:val="21"/>
          <w:highlight w:val="green"/>
        </w:rPr>
        <w:t xml:space="preserve"> </w:t>
      </w:r>
      <w:r>
        <w:rPr>
          <w:rFonts w:hint="eastAsia"/>
          <w:b/>
          <w:color w:val="auto"/>
          <w:szCs w:val="21"/>
          <w:highlight w:val="green"/>
          <w:lang w:val="en-US" w:eastAsia="zh-CN"/>
        </w:rPr>
        <w:t xml:space="preserve"> </w:t>
      </w:r>
      <w:r>
        <w:rPr>
          <w:b/>
          <w:color w:val="auto"/>
          <w:szCs w:val="21"/>
          <w:highlight w:val="green"/>
        </w:rPr>
        <w:t xml:space="preserve">  监测点位情况</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1"/>
        <w:gridCol w:w="2234"/>
        <w:gridCol w:w="1189"/>
        <w:gridCol w:w="3418"/>
        <w:gridCol w:w="1176"/>
      </w:tblGrid>
      <w:tr w14:paraId="3105829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1" w:type="dxa"/>
            <w:vAlign w:val="center"/>
          </w:tcPr>
          <w:p w14:paraId="5F9B03B9">
            <w:pPr>
              <w:jc w:val="center"/>
              <w:rPr>
                <w:b/>
                <w:bCs/>
                <w:color w:val="auto"/>
                <w:szCs w:val="21"/>
                <w:highlight w:val="green"/>
              </w:rPr>
            </w:pPr>
            <w:r>
              <w:rPr>
                <w:b/>
                <w:bCs/>
                <w:color w:val="auto"/>
                <w:szCs w:val="21"/>
                <w:highlight w:val="green"/>
              </w:rPr>
              <w:t>序号</w:t>
            </w:r>
          </w:p>
        </w:tc>
        <w:tc>
          <w:tcPr>
            <w:tcW w:w="2234" w:type="dxa"/>
            <w:vAlign w:val="center"/>
          </w:tcPr>
          <w:p w14:paraId="512144D1">
            <w:pPr>
              <w:jc w:val="center"/>
              <w:rPr>
                <w:b/>
                <w:bCs/>
                <w:color w:val="auto"/>
                <w:szCs w:val="21"/>
                <w:highlight w:val="green"/>
              </w:rPr>
            </w:pPr>
            <w:r>
              <w:rPr>
                <w:b/>
                <w:bCs/>
                <w:color w:val="auto"/>
                <w:szCs w:val="21"/>
                <w:highlight w:val="green"/>
              </w:rPr>
              <w:t>点位名称</w:t>
            </w:r>
          </w:p>
        </w:tc>
        <w:tc>
          <w:tcPr>
            <w:tcW w:w="1189" w:type="dxa"/>
            <w:vAlign w:val="center"/>
          </w:tcPr>
          <w:p w14:paraId="5DA4D0C8">
            <w:pPr>
              <w:jc w:val="center"/>
              <w:rPr>
                <w:b/>
                <w:bCs/>
                <w:color w:val="auto"/>
                <w:szCs w:val="21"/>
                <w:highlight w:val="green"/>
              </w:rPr>
            </w:pPr>
            <w:r>
              <w:rPr>
                <w:b/>
                <w:bCs/>
                <w:color w:val="auto"/>
                <w:szCs w:val="21"/>
                <w:highlight w:val="green"/>
              </w:rPr>
              <w:t>取样深度</w:t>
            </w:r>
          </w:p>
        </w:tc>
        <w:tc>
          <w:tcPr>
            <w:tcW w:w="3418" w:type="dxa"/>
            <w:vAlign w:val="center"/>
          </w:tcPr>
          <w:p w14:paraId="41948510">
            <w:pPr>
              <w:jc w:val="center"/>
              <w:rPr>
                <w:b/>
                <w:bCs/>
                <w:color w:val="auto"/>
                <w:szCs w:val="21"/>
                <w:highlight w:val="green"/>
              </w:rPr>
            </w:pPr>
            <w:r>
              <w:rPr>
                <w:b/>
                <w:bCs/>
                <w:color w:val="auto"/>
                <w:szCs w:val="21"/>
                <w:highlight w:val="green"/>
              </w:rPr>
              <w:t>监测因子</w:t>
            </w:r>
          </w:p>
        </w:tc>
        <w:tc>
          <w:tcPr>
            <w:tcW w:w="1176" w:type="dxa"/>
            <w:vAlign w:val="center"/>
          </w:tcPr>
          <w:p w14:paraId="3377FC68">
            <w:pPr>
              <w:jc w:val="center"/>
              <w:rPr>
                <w:b/>
                <w:bCs/>
                <w:color w:val="auto"/>
                <w:szCs w:val="21"/>
                <w:highlight w:val="green"/>
              </w:rPr>
            </w:pPr>
            <w:r>
              <w:rPr>
                <w:color w:val="auto"/>
                <w:szCs w:val="21"/>
                <w:highlight w:val="green"/>
              </w:rPr>
              <w:t>监测时间及频次</w:t>
            </w:r>
          </w:p>
        </w:tc>
      </w:tr>
      <w:tr w14:paraId="7E9D2F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1" w:type="dxa"/>
            <w:vAlign w:val="center"/>
          </w:tcPr>
          <w:p w14:paraId="6FF95A77">
            <w:pPr>
              <w:jc w:val="center"/>
              <w:rPr>
                <w:color w:val="auto"/>
                <w:szCs w:val="21"/>
                <w:highlight w:val="green"/>
              </w:rPr>
            </w:pPr>
            <w:r>
              <w:rPr>
                <w:color w:val="auto"/>
                <w:szCs w:val="21"/>
                <w:highlight w:val="green"/>
              </w:rPr>
              <w:t>S1</w:t>
            </w:r>
          </w:p>
        </w:tc>
        <w:tc>
          <w:tcPr>
            <w:tcW w:w="2234" w:type="dxa"/>
            <w:vAlign w:val="center"/>
          </w:tcPr>
          <w:p w14:paraId="182FF4F5">
            <w:pPr>
              <w:widowControl/>
              <w:jc w:val="center"/>
              <w:rPr>
                <w:rFonts w:hint="eastAsia"/>
                <w:color w:val="auto"/>
                <w:szCs w:val="21"/>
                <w:highlight w:val="green"/>
              </w:rPr>
            </w:pPr>
            <w:r>
              <w:rPr>
                <w:rFonts w:hint="eastAsia"/>
                <w:color w:val="auto"/>
                <w:szCs w:val="21"/>
                <w:highlight w:val="green"/>
                <w:lang w:val="en-US" w:eastAsia="zh-CN"/>
              </w:rPr>
              <w:t>厂区中心表层土</w:t>
            </w:r>
          </w:p>
          <w:p w14:paraId="29A55C39">
            <w:pPr>
              <w:widowControl/>
              <w:jc w:val="center"/>
              <w:rPr>
                <w:color w:val="auto"/>
                <w:szCs w:val="21"/>
                <w:highlight w:val="green"/>
              </w:rPr>
            </w:pPr>
            <w:r>
              <w:rPr>
                <w:color w:val="auto"/>
                <w:szCs w:val="21"/>
                <w:highlight w:val="green"/>
              </w:rPr>
              <w:t>（N：4</w:t>
            </w:r>
            <w:r>
              <w:rPr>
                <w:rFonts w:hint="eastAsia"/>
                <w:color w:val="auto"/>
                <w:szCs w:val="21"/>
                <w:highlight w:val="green"/>
              </w:rPr>
              <w:t>1</w:t>
            </w:r>
            <w:r>
              <w:rPr>
                <w:color w:val="auto"/>
                <w:szCs w:val="21"/>
                <w:highlight w:val="green"/>
              </w:rPr>
              <w:t>°</w:t>
            </w:r>
            <w:r>
              <w:rPr>
                <w:rFonts w:hint="eastAsia"/>
                <w:color w:val="auto"/>
                <w:szCs w:val="21"/>
                <w:highlight w:val="green"/>
                <w:lang w:val="en-US" w:eastAsia="zh-CN"/>
              </w:rPr>
              <w:t>53</w:t>
            </w:r>
            <w:r>
              <w:rPr>
                <w:color w:val="auto"/>
                <w:szCs w:val="21"/>
                <w:highlight w:val="green"/>
              </w:rPr>
              <w:t>′</w:t>
            </w:r>
            <w:r>
              <w:rPr>
                <w:rFonts w:hint="eastAsia"/>
                <w:color w:val="auto"/>
                <w:szCs w:val="21"/>
                <w:highlight w:val="green"/>
                <w:lang w:val="en-US" w:eastAsia="zh-CN"/>
              </w:rPr>
              <w:t>38</w:t>
            </w:r>
            <w:r>
              <w:rPr>
                <w:color w:val="auto"/>
                <w:szCs w:val="21"/>
                <w:highlight w:val="green"/>
              </w:rPr>
              <w:t>.</w:t>
            </w:r>
            <w:r>
              <w:rPr>
                <w:rFonts w:hint="eastAsia"/>
                <w:color w:val="auto"/>
                <w:szCs w:val="21"/>
                <w:highlight w:val="green"/>
                <w:lang w:val="en-US" w:eastAsia="zh-CN"/>
              </w:rPr>
              <w:t>77</w:t>
            </w:r>
            <w:r>
              <w:rPr>
                <w:color w:val="auto"/>
                <w:szCs w:val="21"/>
                <w:highlight w:val="green"/>
              </w:rPr>
              <w:t>″</w:t>
            </w:r>
          </w:p>
          <w:p w14:paraId="762DDAD2">
            <w:pPr>
              <w:widowControl/>
              <w:jc w:val="center"/>
              <w:rPr>
                <w:color w:val="auto"/>
                <w:kern w:val="0"/>
                <w:szCs w:val="21"/>
                <w:highlight w:val="green"/>
              </w:rPr>
            </w:pPr>
            <w:r>
              <w:rPr>
                <w:color w:val="auto"/>
                <w:szCs w:val="21"/>
                <w:highlight w:val="green"/>
              </w:rPr>
              <w:t>E：1</w:t>
            </w:r>
            <w:r>
              <w:rPr>
                <w:rFonts w:hint="eastAsia"/>
                <w:color w:val="auto"/>
                <w:szCs w:val="21"/>
                <w:highlight w:val="green"/>
              </w:rPr>
              <w:t>20</w:t>
            </w:r>
            <w:r>
              <w:rPr>
                <w:color w:val="auto"/>
                <w:szCs w:val="21"/>
                <w:highlight w:val="green"/>
              </w:rPr>
              <w:t>°</w:t>
            </w:r>
            <w:r>
              <w:rPr>
                <w:rFonts w:hint="eastAsia"/>
                <w:color w:val="auto"/>
                <w:szCs w:val="21"/>
                <w:highlight w:val="green"/>
                <w:lang w:val="en-US" w:eastAsia="zh-CN"/>
              </w:rPr>
              <w:t>03</w:t>
            </w:r>
            <w:r>
              <w:rPr>
                <w:color w:val="auto"/>
                <w:szCs w:val="21"/>
                <w:highlight w:val="green"/>
              </w:rPr>
              <w:t>′</w:t>
            </w:r>
            <w:r>
              <w:rPr>
                <w:rFonts w:hint="eastAsia"/>
                <w:color w:val="auto"/>
                <w:szCs w:val="21"/>
                <w:highlight w:val="green"/>
                <w:lang w:val="en-US" w:eastAsia="zh-CN"/>
              </w:rPr>
              <w:t>15</w:t>
            </w:r>
            <w:r>
              <w:rPr>
                <w:color w:val="auto"/>
                <w:szCs w:val="21"/>
                <w:highlight w:val="green"/>
              </w:rPr>
              <w:t>.</w:t>
            </w:r>
            <w:r>
              <w:rPr>
                <w:rFonts w:hint="eastAsia"/>
                <w:color w:val="auto"/>
                <w:szCs w:val="21"/>
                <w:highlight w:val="green"/>
                <w:lang w:val="en-US" w:eastAsia="zh-CN"/>
              </w:rPr>
              <w:t>07</w:t>
            </w:r>
            <w:r>
              <w:rPr>
                <w:color w:val="auto"/>
                <w:szCs w:val="21"/>
                <w:highlight w:val="green"/>
              </w:rPr>
              <w:t>″）</w:t>
            </w:r>
          </w:p>
        </w:tc>
        <w:tc>
          <w:tcPr>
            <w:tcW w:w="1189" w:type="dxa"/>
            <w:vAlign w:val="center"/>
          </w:tcPr>
          <w:p w14:paraId="1ABC1870">
            <w:pPr>
              <w:jc w:val="center"/>
              <w:rPr>
                <w:color w:val="auto"/>
                <w:szCs w:val="21"/>
                <w:highlight w:val="green"/>
              </w:rPr>
            </w:pPr>
            <w:r>
              <w:rPr>
                <w:color w:val="auto"/>
                <w:szCs w:val="21"/>
                <w:highlight w:val="green"/>
              </w:rPr>
              <w:t>0-0.2m</w:t>
            </w:r>
          </w:p>
        </w:tc>
        <w:tc>
          <w:tcPr>
            <w:tcW w:w="3418" w:type="dxa"/>
            <w:vAlign w:val="center"/>
          </w:tcPr>
          <w:p w14:paraId="28D0496F">
            <w:pPr>
              <w:jc w:val="left"/>
              <w:rPr>
                <w:color w:val="auto"/>
                <w:szCs w:val="21"/>
                <w:highlight w:val="green"/>
              </w:rPr>
            </w:pPr>
            <w:r>
              <w:rPr>
                <w:rFonts w:hint="eastAsia"/>
                <w:color w:val="auto"/>
                <w:szCs w:val="21"/>
                <w:highlight w:val="green"/>
                <w:lang w:eastAsia="zh-CN"/>
              </w:rPr>
              <w:t>GB15618-2018</w:t>
            </w:r>
            <w:r>
              <w:rPr>
                <w:color w:val="auto"/>
                <w:szCs w:val="21"/>
                <w:highlight w:val="green"/>
              </w:rPr>
              <w:t>中的基本项目+pH、阳离子交换量、氧化还原点位、饱和导水率、土壤容重、孔隙度</w:t>
            </w:r>
          </w:p>
        </w:tc>
        <w:tc>
          <w:tcPr>
            <w:tcW w:w="1176" w:type="dxa"/>
            <w:vAlign w:val="center"/>
          </w:tcPr>
          <w:p w14:paraId="6F428A0F">
            <w:pPr>
              <w:jc w:val="left"/>
              <w:rPr>
                <w:color w:val="auto"/>
                <w:szCs w:val="21"/>
                <w:highlight w:val="green"/>
              </w:rPr>
            </w:pPr>
            <w:r>
              <w:rPr>
                <w:color w:val="auto"/>
                <w:szCs w:val="21"/>
                <w:highlight w:val="green"/>
              </w:rPr>
              <w:t>监测1天，采样1次</w:t>
            </w:r>
          </w:p>
        </w:tc>
      </w:tr>
      <w:tr w14:paraId="692B29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1" w:type="dxa"/>
            <w:vAlign w:val="center"/>
          </w:tcPr>
          <w:p w14:paraId="163BC096">
            <w:pPr>
              <w:jc w:val="center"/>
              <w:rPr>
                <w:color w:val="auto"/>
                <w:szCs w:val="21"/>
                <w:highlight w:val="green"/>
              </w:rPr>
            </w:pPr>
            <w:r>
              <w:rPr>
                <w:color w:val="auto"/>
                <w:szCs w:val="21"/>
                <w:highlight w:val="green"/>
              </w:rPr>
              <w:t>S2</w:t>
            </w:r>
          </w:p>
        </w:tc>
        <w:tc>
          <w:tcPr>
            <w:tcW w:w="2234" w:type="dxa"/>
            <w:vAlign w:val="center"/>
          </w:tcPr>
          <w:p w14:paraId="542E154F">
            <w:pPr>
              <w:widowControl/>
              <w:jc w:val="center"/>
              <w:rPr>
                <w:rFonts w:hint="eastAsia"/>
                <w:color w:val="auto"/>
                <w:szCs w:val="21"/>
                <w:highlight w:val="green"/>
              </w:rPr>
            </w:pPr>
            <w:r>
              <w:rPr>
                <w:rFonts w:hint="eastAsia"/>
                <w:color w:val="auto"/>
                <w:szCs w:val="21"/>
                <w:highlight w:val="green"/>
                <w:lang w:val="en-US" w:eastAsia="zh-CN"/>
              </w:rPr>
              <w:t>厂区北侧表层土</w:t>
            </w:r>
          </w:p>
          <w:p w14:paraId="67F20521">
            <w:pPr>
              <w:widowControl/>
              <w:jc w:val="center"/>
              <w:rPr>
                <w:color w:val="auto"/>
                <w:szCs w:val="21"/>
                <w:highlight w:val="green"/>
              </w:rPr>
            </w:pPr>
            <w:r>
              <w:rPr>
                <w:color w:val="auto"/>
                <w:szCs w:val="21"/>
                <w:highlight w:val="green"/>
              </w:rPr>
              <w:t>（N：4</w:t>
            </w:r>
            <w:r>
              <w:rPr>
                <w:rFonts w:hint="eastAsia"/>
                <w:color w:val="auto"/>
                <w:szCs w:val="21"/>
                <w:highlight w:val="green"/>
              </w:rPr>
              <w:t>1</w:t>
            </w:r>
            <w:r>
              <w:rPr>
                <w:color w:val="auto"/>
                <w:szCs w:val="21"/>
                <w:highlight w:val="green"/>
              </w:rPr>
              <w:t>°</w:t>
            </w:r>
            <w:r>
              <w:rPr>
                <w:rFonts w:hint="eastAsia"/>
                <w:color w:val="auto"/>
                <w:szCs w:val="21"/>
                <w:highlight w:val="green"/>
                <w:lang w:val="en-US" w:eastAsia="zh-CN"/>
              </w:rPr>
              <w:t>53</w:t>
            </w:r>
            <w:r>
              <w:rPr>
                <w:color w:val="auto"/>
                <w:szCs w:val="21"/>
                <w:highlight w:val="green"/>
              </w:rPr>
              <w:t>′</w:t>
            </w:r>
            <w:r>
              <w:rPr>
                <w:rFonts w:hint="eastAsia"/>
                <w:color w:val="auto"/>
                <w:szCs w:val="21"/>
                <w:highlight w:val="green"/>
                <w:lang w:val="en-US" w:eastAsia="zh-CN"/>
              </w:rPr>
              <w:t>40</w:t>
            </w:r>
            <w:r>
              <w:rPr>
                <w:color w:val="auto"/>
                <w:szCs w:val="21"/>
                <w:highlight w:val="green"/>
              </w:rPr>
              <w:t>.</w:t>
            </w:r>
            <w:r>
              <w:rPr>
                <w:rFonts w:hint="eastAsia"/>
                <w:color w:val="auto"/>
                <w:szCs w:val="21"/>
                <w:highlight w:val="green"/>
                <w:lang w:val="en-US" w:eastAsia="zh-CN"/>
              </w:rPr>
              <w:t>97</w:t>
            </w:r>
            <w:r>
              <w:rPr>
                <w:color w:val="auto"/>
                <w:szCs w:val="21"/>
                <w:highlight w:val="green"/>
              </w:rPr>
              <w:t>″</w:t>
            </w:r>
          </w:p>
          <w:p w14:paraId="67FE21AC">
            <w:pPr>
              <w:widowControl/>
              <w:jc w:val="center"/>
              <w:rPr>
                <w:color w:val="auto"/>
                <w:kern w:val="0"/>
                <w:szCs w:val="21"/>
                <w:highlight w:val="green"/>
              </w:rPr>
            </w:pPr>
            <w:r>
              <w:rPr>
                <w:color w:val="auto"/>
                <w:szCs w:val="21"/>
                <w:highlight w:val="green"/>
              </w:rPr>
              <w:t>E：1</w:t>
            </w:r>
            <w:r>
              <w:rPr>
                <w:rFonts w:hint="eastAsia"/>
                <w:color w:val="auto"/>
                <w:szCs w:val="21"/>
                <w:highlight w:val="green"/>
              </w:rPr>
              <w:t>20</w:t>
            </w:r>
            <w:r>
              <w:rPr>
                <w:color w:val="auto"/>
                <w:szCs w:val="21"/>
                <w:highlight w:val="green"/>
              </w:rPr>
              <w:t>°</w:t>
            </w:r>
            <w:r>
              <w:rPr>
                <w:rFonts w:hint="eastAsia"/>
                <w:color w:val="auto"/>
                <w:szCs w:val="21"/>
                <w:highlight w:val="green"/>
                <w:lang w:val="en-US" w:eastAsia="zh-CN"/>
              </w:rPr>
              <w:t>03</w:t>
            </w:r>
            <w:r>
              <w:rPr>
                <w:color w:val="auto"/>
                <w:szCs w:val="21"/>
                <w:highlight w:val="green"/>
              </w:rPr>
              <w:t>′</w:t>
            </w:r>
            <w:r>
              <w:rPr>
                <w:rFonts w:hint="eastAsia"/>
                <w:color w:val="auto"/>
                <w:szCs w:val="21"/>
                <w:highlight w:val="green"/>
                <w:lang w:val="en-US" w:eastAsia="zh-CN"/>
              </w:rPr>
              <w:t>17</w:t>
            </w:r>
            <w:r>
              <w:rPr>
                <w:color w:val="auto"/>
                <w:szCs w:val="21"/>
                <w:highlight w:val="green"/>
              </w:rPr>
              <w:t>.</w:t>
            </w:r>
            <w:r>
              <w:rPr>
                <w:rFonts w:hint="eastAsia"/>
                <w:color w:val="auto"/>
                <w:szCs w:val="21"/>
                <w:highlight w:val="green"/>
                <w:lang w:val="en-US" w:eastAsia="zh-CN"/>
              </w:rPr>
              <w:t>19</w:t>
            </w:r>
            <w:r>
              <w:rPr>
                <w:color w:val="auto"/>
                <w:szCs w:val="21"/>
                <w:highlight w:val="green"/>
              </w:rPr>
              <w:t>″）</w:t>
            </w:r>
          </w:p>
        </w:tc>
        <w:tc>
          <w:tcPr>
            <w:tcW w:w="1189" w:type="dxa"/>
            <w:vAlign w:val="center"/>
          </w:tcPr>
          <w:p w14:paraId="01C1D188">
            <w:pPr>
              <w:jc w:val="center"/>
              <w:rPr>
                <w:color w:val="auto"/>
                <w:szCs w:val="21"/>
                <w:highlight w:val="green"/>
              </w:rPr>
            </w:pPr>
            <w:r>
              <w:rPr>
                <w:color w:val="auto"/>
                <w:szCs w:val="21"/>
                <w:highlight w:val="green"/>
              </w:rPr>
              <w:t>0-0.2m</w:t>
            </w:r>
          </w:p>
        </w:tc>
        <w:tc>
          <w:tcPr>
            <w:tcW w:w="3418" w:type="dxa"/>
            <w:vAlign w:val="center"/>
          </w:tcPr>
          <w:p w14:paraId="2DDD0700">
            <w:pPr>
              <w:jc w:val="left"/>
              <w:rPr>
                <w:color w:val="auto"/>
                <w:szCs w:val="21"/>
                <w:highlight w:val="green"/>
              </w:rPr>
            </w:pPr>
            <w:r>
              <w:rPr>
                <w:rFonts w:hint="eastAsia"/>
                <w:color w:val="auto"/>
                <w:szCs w:val="21"/>
                <w:highlight w:val="green"/>
                <w:lang w:eastAsia="zh-CN"/>
              </w:rPr>
              <w:t>GB15618-2018</w:t>
            </w:r>
            <w:r>
              <w:rPr>
                <w:color w:val="auto"/>
                <w:szCs w:val="21"/>
                <w:highlight w:val="green"/>
              </w:rPr>
              <w:t>中的基本项目+pH、阳离子交换量、氧化还原点位、饱和导水率、土壤容重、孔隙度</w:t>
            </w:r>
          </w:p>
        </w:tc>
        <w:tc>
          <w:tcPr>
            <w:tcW w:w="1176" w:type="dxa"/>
            <w:vAlign w:val="center"/>
          </w:tcPr>
          <w:p w14:paraId="757AA81B">
            <w:pPr>
              <w:jc w:val="left"/>
              <w:rPr>
                <w:color w:val="auto"/>
                <w:szCs w:val="21"/>
                <w:highlight w:val="green"/>
              </w:rPr>
            </w:pPr>
            <w:r>
              <w:rPr>
                <w:color w:val="auto"/>
                <w:szCs w:val="21"/>
                <w:highlight w:val="green"/>
              </w:rPr>
              <w:t>监测1天，采样1次</w:t>
            </w:r>
          </w:p>
        </w:tc>
      </w:tr>
      <w:tr w14:paraId="5BA386A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1" w:type="dxa"/>
            <w:vAlign w:val="center"/>
          </w:tcPr>
          <w:p w14:paraId="3A282A9E">
            <w:pPr>
              <w:jc w:val="center"/>
              <w:rPr>
                <w:color w:val="auto"/>
                <w:szCs w:val="21"/>
                <w:highlight w:val="green"/>
              </w:rPr>
            </w:pPr>
            <w:r>
              <w:rPr>
                <w:color w:val="auto"/>
                <w:szCs w:val="21"/>
                <w:highlight w:val="green"/>
              </w:rPr>
              <w:t>S3</w:t>
            </w:r>
          </w:p>
        </w:tc>
        <w:tc>
          <w:tcPr>
            <w:tcW w:w="2234" w:type="dxa"/>
            <w:vAlign w:val="center"/>
          </w:tcPr>
          <w:p w14:paraId="5092DE0B">
            <w:pPr>
              <w:widowControl/>
              <w:jc w:val="center"/>
              <w:rPr>
                <w:rFonts w:hint="eastAsia"/>
                <w:color w:val="auto"/>
                <w:szCs w:val="21"/>
                <w:highlight w:val="green"/>
              </w:rPr>
            </w:pPr>
            <w:r>
              <w:rPr>
                <w:rFonts w:hint="eastAsia"/>
                <w:color w:val="auto"/>
                <w:szCs w:val="21"/>
                <w:highlight w:val="green"/>
                <w:lang w:val="en-US" w:eastAsia="zh-CN"/>
              </w:rPr>
              <w:t>厂区南侧表层土</w:t>
            </w:r>
          </w:p>
          <w:p w14:paraId="56CCEAE3">
            <w:pPr>
              <w:jc w:val="center"/>
              <w:rPr>
                <w:color w:val="auto"/>
                <w:szCs w:val="21"/>
                <w:highlight w:val="green"/>
              </w:rPr>
            </w:pPr>
            <w:r>
              <w:rPr>
                <w:color w:val="auto"/>
                <w:szCs w:val="21"/>
                <w:highlight w:val="green"/>
              </w:rPr>
              <w:t>（N：4</w:t>
            </w:r>
            <w:r>
              <w:rPr>
                <w:rFonts w:hint="eastAsia"/>
                <w:color w:val="auto"/>
                <w:szCs w:val="21"/>
                <w:highlight w:val="green"/>
              </w:rPr>
              <w:t>1</w:t>
            </w:r>
            <w:r>
              <w:rPr>
                <w:color w:val="auto"/>
                <w:szCs w:val="21"/>
                <w:highlight w:val="green"/>
              </w:rPr>
              <w:t>°</w:t>
            </w:r>
            <w:r>
              <w:rPr>
                <w:rFonts w:hint="eastAsia"/>
                <w:color w:val="auto"/>
                <w:szCs w:val="21"/>
                <w:highlight w:val="green"/>
                <w:lang w:val="en-US" w:eastAsia="zh-CN"/>
              </w:rPr>
              <w:t>53</w:t>
            </w:r>
            <w:r>
              <w:rPr>
                <w:color w:val="auto"/>
                <w:szCs w:val="21"/>
                <w:highlight w:val="green"/>
              </w:rPr>
              <w:t>′</w:t>
            </w:r>
            <w:r>
              <w:rPr>
                <w:rFonts w:hint="eastAsia"/>
                <w:color w:val="auto"/>
                <w:szCs w:val="21"/>
                <w:highlight w:val="green"/>
                <w:lang w:val="en-US" w:eastAsia="zh-CN"/>
              </w:rPr>
              <w:t>36</w:t>
            </w:r>
            <w:r>
              <w:rPr>
                <w:color w:val="auto"/>
                <w:szCs w:val="21"/>
                <w:highlight w:val="green"/>
              </w:rPr>
              <w:t>.</w:t>
            </w:r>
            <w:r>
              <w:rPr>
                <w:rFonts w:hint="eastAsia"/>
                <w:color w:val="auto"/>
                <w:szCs w:val="21"/>
                <w:highlight w:val="green"/>
                <w:lang w:val="en-US" w:eastAsia="zh-CN"/>
              </w:rPr>
              <w:t>09</w:t>
            </w:r>
            <w:r>
              <w:rPr>
                <w:color w:val="auto"/>
                <w:szCs w:val="21"/>
                <w:highlight w:val="green"/>
              </w:rPr>
              <w:t>″</w:t>
            </w:r>
          </w:p>
          <w:p w14:paraId="79D06496">
            <w:pPr>
              <w:jc w:val="center"/>
              <w:rPr>
                <w:color w:val="auto"/>
                <w:szCs w:val="21"/>
                <w:highlight w:val="green"/>
              </w:rPr>
            </w:pPr>
            <w:r>
              <w:rPr>
                <w:color w:val="auto"/>
                <w:szCs w:val="21"/>
                <w:highlight w:val="green"/>
              </w:rPr>
              <w:t>E：1</w:t>
            </w:r>
            <w:r>
              <w:rPr>
                <w:rFonts w:hint="eastAsia"/>
                <w:color w:val="auto"/>
                <w:szCs w:val="21"/>
                <w:highlight w:val="green"/>
              </w:rPr>
              <w:t>20</w:t>
            </w:r>
            <w:r>
              <w:rPr>
                <w:color w:val="auto"/>
                <w:szCs w:val="21"/>
                <w:highlight w:val="green"/>
              </w:rPr>
              <w:t>°</w:t>
            </w:r>
            <w:r>
              <w:rPr>
                <w:rFonts w:hint="eastAsia"/>
                <w:color w:val="auto"/>
                <w:szCs w:val="21"/>
                <w:highlight w:val="green"/>
                <w:lang w:val="en-US" w:eastAsia="zh-CN"/>
              </w:rPr>
              <w:t>03</w:t>
            </w:r>
            <w:r>
              <w:rPr>
                <w:color w:val="auto"/>
                <w:szCs w:val="21"/>
                <w:highlight w:val="green"/>
              </w:rPr>
              <w:t>′</w:t>
            </w:r>
            <w:r>
              <w:rPr>
                <w:rFonts w:hint="eastAsia"/>
                <w:color w:val="auto"/>
                <w:szCs w:val="21"/>
                <w:highlight w:val="green"/>
                <w:lang w:val="en-US" w:eastAsia="zh-CN"/>
              </w:rPr>
              <w:t>13</w:t>
            </w:r>
            <w:r>
              <w:rPr>
                <w:color w:val="auto"/>
                <w:szCs w:val="21"/>
                <w:highlight w:val="green"/>
              </w:rPr>
              <w:t>.</w:t>
            </w:r>
            <w:r>
              <w:rPr>
                <w:rFonts w:hint="eastAsia"/>
                <w:color w:val="auto"/>
                <w:szCs w:val="21"/>
                <w:highlight w:val="green"/>
                <w:lang w:val="en-US" w:eastAsia="zh-CN"/>
              </w:rPr>
              <w:t>35</w:t>
            </w:r>
            <w:r>
              <w:rPr>
                <w:color w:val="auto"/>
                <w:szCs w:val="21"/>
                <w:highlight w:val="green"/>
              </w:rPr>
              <w:t>″）</w:t>
            </w:r>
          </w:p>
        </w:tc>
        <w:tc>
          <w:tcPr>
            <w:tcW w:w="1189" w:type="dxa"/>
            <w:vAlign w:val="center"/>
          </w:tcPr>
          <w:p w14:paraId="12C42124">
            <w:pPr>
              <w:jc w:val="center"/>
              <w:rPr>
                <w:color w:val="auto"/>
                <w:szCs w:val="21"/>
                <w:highlight w:val="green"/>
              </w:rPr>
            </w:pPr>
            <w:r>
              <w:rPr>
                <w:color w:val="auto"/>
                <w:szCs w:val="21"/>
                <w:highlight w:val="green"/>
              </w:rPr>
              <w:t>0-0.2m</w:t>
            </w:r>
          </w:p>
        </w:tc>
        <w:tc>
          <w:tcPr>
            <w:tcW w:w="3418" w:type="dxa"/>
            <w:vAlign w:val="center"/>
          </w:tcPr>
          <w:p w14:paraId="3236492D">
            <w:pPr>
              <w:jc w:val="left"/>
              <w:rPr>
                <w:color w:val="auto"/>
                <w:szCs w:val="21"/>
                <w:highlight w:val="green"/>
              </w:rPr>
            </w:pPr>
            <w:r>
              <w:rPr>
                <w:rFonts w:hint="eastAsia"/>
                <w:color w:val="auto"/>
                <w:szCs w:val="21"/>
                <w:highlight w:val="green"/>
                <w:lang w:eastAsia="zh-CN"/>
              </w:rPr>
              <w:t>GB15618-2018</w:t>
            </w:r>
            <w:r>
              <w:rPr>
                <w:color w:val="auto"/>
                <w:szCs w:val="21"/>
                <w:highlight w:val="green"/>
              </w:rPr>
              <w:t>中的基本项目+pH、阳离子交换量、氧化还原点位、饱和导水率、土壤容重、孔隙度</w:t>
            </w:r>
          </w:p>
        </w:tc>
        <w:tc>
          <w:tcPr>
            <w:tcW w:w="1176" w:type="dxa"/>
            <w:vAlign w:val="center"/>
          </w:tcPr>
          <w:p w14:paraId="3E557EBA">
            <w:pPr>
              <w:jc w:val="left"/>
              <w:rPr>
                <w:color w:val="auto"/>
                <w:szCs w:val="21"/>
                <w:highlight w:val="green"/>
              </w:rPr>
            </w:pPr>
            <w:r>
              <w:rPr>
                <w:color w:val="auto"/>
                <w:szCs w:val="21"/>
                <w:highlight w:val="green"/>
              </w:rPr>
              <w:t>监测1天，采样1次</w:t>
            </w:r>
          </w:p>
        </w:tc>
      </w:tr>
    </w:tbl>
    <w:p w14:paraId="6A1F3AB4">
      <w:pPr>
        <w:spacing w:line="360" w:lineRule="auto"/>
        <w:ind w:firstLine="480" w:firstLineChars="200"/>
        <w:rPr>
          <w:bCs/>
          <w:color w:val="auto"/>
          <w:sz w:val="24"/>
          <w:highlight w:val="green"/>
        </w:rPr>
      </w:pPr>
      <w:r>
        <w:rPr>
          <w:bCs/>
          <w:color w:val="auto"/>
          <w:sz w:val="24"/>
          <w:highlight w:val="green"/>
        </w:rPr>
        <w:t>土壤监测结果见下表。</w:t>
      </w:r>
    </w:p>
    <w:p w14:paraId="54285AB6">
      <w:pPr>
        <w:ind w:firstLine="422" w:firstLineChars="200"/>
        <w:jc w:val="center"/>
        <w:rPr>
          <w:b/>
          <w:color w:val="auto"/>
          <w:sz w:val="24"/>
          <w:highlight w:val="green"/>
        </w:rPr>
      </w:pPr>
      <w:r>
        <w:rPr>
          <w:b/>
          <w:color w:val="auto"/>
          <w:highlight w:val="green"/>
        </w:rPr>
        <w:t>表4</w:t>
      </w:r>
      <w:r>
        <w:rPr>
          <w:rFonts w:hint="eastAsia"/>
          <w:b/>
          <w:color w:val="auto"/>
          <w:highlight w:val="green"/>
          <w:lang w:val="en-US" w:eastAsia="zh-CN"/>
        </w:rPr>
        <w:t>.4</w:t>
      </w:r>
      <w:r>
        <w:rPr>
          <w:b/>
          <w:color w:val="auto"/>
          <w:highlight w:val="green"/>
        </w:rPr>
        <w:t>-1</w:t>
      </w:r>
      <w:r>
        <w:rPr>
          <w:rFonts w:hint="eastAsia"/>
          <w:b/>
          <w:color w:val="auto"/>
          <w:highlight w:val="green"/>
        </w:rPr>
        <w:t>1</w:t>
      </w:r>
      <w:r>
        <w:rPr>
          <w:b/>
          <w:color w:val="auto"/>
          <w:highlight w:val="green"/>
        </w:rPr>
        <w:t xml:space="preserve">    项目厂区土壤监测统计结果      单位:mg/kg</w:t>
      </w:r>
    </w:p>
    <w:tbl>
      <w:tblPr>
        <w:tblStyle w:val="53"/>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9"/>
        <w:gridCol w:w="1349"/>
        <w:gridCol w:w="1347"/>
        <w:gridCol w:w="1542"/>
        <w:gridCol w:w="1544"/>
        <w:gridCol w:w="897"/>
      </w:tblGrid>
      <w:tr w14:paraId="42CB000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2F62F659">
            <w:pPr>
              <w:widowControl/>
              <w:jc w:val="center"/>
              <w:rPr>
                <w:rFonts w:hAnsi="宋体"/>
                <w:color w:val="000000"/>
                <w:szCs w:val="21"/>
                <w:highlight w:val="green"/>
              </w:rPr>
            </w:pPr>
            <w:r>
              <w:rPr>
                <w:rFonts w:hint="eastAsia" w:hAnsi="宋体"/>
                <w:color w:val="000000"/>
                <w:szCs w:val="21"/>
                <w:highlight w:val="green"/>
              </w:rPr>
              <w:t>检测项目</w:t>
            </w:r>
          </w:p>
        </w:tc>
        <w:tc>
          <w:tcPr>
            <w:tcW w:w="791" w:type="pct"/>
            <w:noWrap w:val="0"/>
            <w:vAlign w:val="center"/>
          </w:tcPr>
          <w:p w14:paraId="1F004E7A">
            <w:pPr>
              <w:jc w:val="center"/>
              <w:rPr>
                <w:color w:val="000000"/>
                <w:szCs w:val="21"/>
                <w:highlight w:val="green"/>
              </w:rPr>
            </w:pPr>
            <w:r>
              <w:rPr>
                <w:rFonts w:hint="eastAsia"/>
                <w:color w:val="000000"/>
                <w:szCs w:val="21"/>
                <w:highlight w:val="green"/>
              </w:rPr>
              <w:t>监测时间</w:t>
            </w:r>
          </w:p>
        </w:tc>
        <w:tc>
          <w:tcPr>
            <w:tcW w:w="790" w:type="pct"/>
            <w:noWrap w:val="0"/>
            <w:vAlign w:val="center"/>
          </w:tcPr>
          <w:p w14:paraId="71EC2458">
            <w:pPr>
              <w:jc w:val="center"/>
              <w:rPr>
                <w:color w:val="000000"/>
                <w:szCs w:val="21"/>
                <w:highlight w:val="green"/>
              </w:rPr>
            </w:pPr>
            <w:r>
              <w:rPr>
                <w:rFonts w:hint="eastAsia"/>
                <w:color w:val="000000"/>
                <w:szCs w:val="21"/>
                <w:highlight w:val="green"/>
              </w:rPr>
              <w:t>厂区中心</w:t>
            </w:r>
          </w:p>
        </w:tc>
        <w:tc>
          <w:tcPr>
            <w:tcW w:w="904" w:type="pct"/>
            <w:noWrap w:val="0"/>
            <w:vAlign w:val="center"/>
          </w:tcPr>
          <w:p w14:paraId="04EFCCCB">
            <w:pPr>
              <w:jc w:val="center"/>
              <w:rPr>
                <w:color w:val="000000"/>
                <w:szCs w:val="21"/>
                <w:highlight w:val="green"/>
              </w:rPr>
            </w:pPr>
            <w:r>
              <w:rPr>
                <w:rFonts w:hint="eastAsia"/>
                <w:color w:val="000000"/>
                <w:szCs w:val="21"/>
                <w:highlight w:val="green"/>
              </w:rPr>
              <w:t>厂区东侧</w:t>
            </w:r>
          </w:p>
        </w:tc>
        <w:tc>
          <w:tcPr>
            <w:tcW w:w="905" w:type="pct"/>
            <w:noWrap w:val="0"/>
            <w:vAlign w:val="center"/>
          </w:tcPr>
          <w:p w14:paraId="4C2F3966">
            <w:pPr>
              <w:jc w:val="center"/>
              <w:rPr>
                <w:color w:val="000000"/>
                <w:szCs w:val="21"/>
                <w:highlight w:val="green"/>
              </w:rPr>
            </w:pPr>
            <w:r>
              <w:rPr>
                <w:rFonts w:hint="eastAsia"/>
                <w:color w:val="000000"/>
                <w:szCs w:val="21"/>
                <w:highlight w:val="green"/>
              </w:rPr>
              <w:t>厂区西侧</w:t>
            </w:r>
          </w:p>
        </w:tc>
        <w:tc>
          <w:tcPr>
            <w:tcW w:w="526" w:type="pct"/>
            <w:noWrap w:val="0"/>
            <w:vAlign w:val="center"/>
          </w:tcPr>
          <w:p w14:paraId="6B5D8B9E">
            <w:pPr>
              <w:jc w:val="center"/>
              <w:rPr>
                <w:color w:val="000000"/>
                <w:szCs w:val="21"/>
                <w:highlight w:val="green"/>
              </w:rPr>
            </w:pPr>
            <w:r>
              <w:rPr>
                <w:rFonts w:hint="eastAsia"/>
                <w:color w:val="000000"/>
                <w:szCs w:val="21"/>
                <w:highlight w:val="green"/>
              </w:rPr>
              <w:t>标准</w:t>
            </w:r>
          </w:p>
        </w:tc>
      </w:tr>
      <w:tr w14:paraId="2914257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573EE8C7">
            <w:pPr>
              <w:widowControl/>
              <w:jc w:val="center"/>
              <w:rPr>
                <w:color w:val="000000"/>
                <w:szCs w:val="21"/>
                <w:highlight w:val="green"/>
              </w:rPr>
            </w:pPr>
            <w:r>
              <w:rPr>
                <w:color w:val="000000"/>
                <w:szCs w:val="21"/>
                <w:highlight w:val="green"/>
              </w:rPr>
              <w:t>pH</w:t>
            </w:r>
          </w:p>
          <w:p w14:paraId="0CF88604">
            <w:pPr>
              <w:widowControl/>
              <w:jc w:val="center"/>
              <w:rPr>
                <w:color w:val="000000"/>
                <w:szCs w:val="21"/>
                <w:highlight w:val="green"/>
              </w:rPr>
            </w:pPr>
            <w:r>
              <w:rPr>
                <w:rFonts w:hint="eastAsia"/>
                <w:color w:val="000000"/>
                <w:szCs w:val="21"/>
                <w:highlight w:val="green"/>
              </w:rPr>
              <w:t>（无量纲）</w:t>
            </w:r>
          </w:p>
        </w:tc>
        <w:tc>
          <w:tcPr>
            <w:tcW w:w="791" w:type="pct"/>
            <w:noWrap w:val="0"/>
            <w:vAlign w:val="center"/>
          </w:tcPr>
          <w:p w14:paraId="2608F6A6">
            <w:pPr>
              <w:jc w:val="center"/>
              <w:rPr>
                <w:color w:val="000000"/>
                <w:szCs w:val="21"/>
                <w:highlight w:val="green"/>
              </w:rPr>
            </w:pPr>
            <w:r>
              <w:rPr>
                <w:rFonts w:hint="eastAsia"/>
                <w:color w:val="000000"/>
                <w:szCs w:val="21"/>
                <w:highlight w:val="green"/>
              </w:rPr>
              <w:t>4月18日</w:t>
            </w:r>
          </w:p>
        </w:tc>
        <w:tc>
          <w:tcPr>
            <w:tcW w:w="790" w:type="pct"/>
            <w:noWrap w:val="0"/>
            <w:vAlign w:val="center"/>
          </w:tcPr>
          <w:p w14:paraId="75149796">
            <w:pPr>
              <w:jc w:val="center"/>
              <w:rPr>
                <w:color w:val="000000"/>
                <w:szCs w:val="21"/>
                <w:highlight w:val="green"/>
              </w:rPr>
            </w:pPr>
            <w:r>
              <w:rPr>
                <w:color w:val="000000"/>
                <w:szCs w:val="21"/>
                <w:highlight w:val="green"/>
              </w:rPr>
              <w:t>8.24</w:t>
            </w:r>
          </w:p>
        </w:tc>
        <w:tc>
          <w:tcPr>
            <w:tcW w:w="904" w:type="pct"/>
            <w:noWrap w:val="0"/>
            <w:vAlign w:val="center"/>
          </w:tcPr>
          <w:p w14:paraId="7DD75E5E">
            <w:pPr>
              <w:jc w:val="center"/>
              <w:rPr>
                <w:color w:val="000000"/>
                <w:szCs w:val="21"/>
                <w:highlight w:val="green"/>
              </w:rPr>
            </w:pPr>
            <w:r>
              <w:rPr>
                <w:color w:val="000000"/>
                <w:szCs w:val="21"/>
                <w:highlight w:val="green"/>
              </w:rPr>
              <w:t>8.11</w:t>
            </w:r>
          </w:p>
        </w:tc>
        <w:tc>
          <w:tcPr>
            <w:tcW w:w="905" w:type="pct"/>
            <w:noWrap w:val="0"/>
            <w:vAlign w:val="center"/>
          </w:tcPr>
          <w:p w14:paraId="3372F329">
            <w:pPr>
              <w:jc w:val="center"/>
              <w:rPr>
                <w:color w:val="000000"/>
                <w:szCs w:val="21"/>
                <w:highlight w:val="green"/>
              </w:rPr>
            </w:pPr>
            <w:r>
              <w:rPr>
                <w:color w:val="000000"/>
                <w:szCs w:val="21"/>
                <w:highlight w:val="green"/>
              </w:rPr>
              <w:t>8.19</w:t>
            </w:r>
          </w:p>
        </w:tc>
        <w:tc>
          <w:tcPr>
            <w:tcW w:w="526" w:type="pct"/>
            <w:noWrap w:val="0"/>
            <w:vAlign w:val="center"/>
          </w:tcPr>
          <w:p w14:paraId="1303727D">
            <w:pPr>
              <w:jc w:val="center"/>
              <w:rPr>
                <w:color w:val="000000"/>
                <w:spacing w:val="12"/>
                <w:szCs w:val="21"/>
                <w:highlight w:val="green"/>
              </w:rPr>
            </w:pPr>
            <w:r>
              <w:rPr>
                <w:rFonts w:hint="eastAsia"/>
                <w:color w:val="000000"/>
                <w:spacing w:val="12"/>
                <w:szCs w:val="21"/>
                <w:highlight w:val="green"/>
              </w:rPr>
              <w:t>—</w:t>
            </w:r>
          </w:p>
        </w:tc>
      </w:tr>
      <w:tr w14:paraId="72185A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0B8F29B9">
            <w:pPr>
              <w:widowControl/>
              <w:jc w:val="center"/>
              <w:rPr>
                <w:color w:val="000000"/>
                <w:szCs w:val="21"/>
                <w:highlight w:val="green"/>
              </w:rPr>
            </w:pPr>
            <w:r>
              <w:rPr>
                <w:rFonts w:hint="eastAsia"/>
                <w:color w:val="000000"/>
                <w:szCs w:val="21"/>
                <w:highlight w:val="green"/>
              </w:rPr>
              <w:t>阳离子交换量</w:t>
            </w:r>
          </w:p>
          <w:p w14:paraId="69A5B6DF">
            <w:pPr>
              <w:widowControl/>
              <w:jc w:val="center"/>
              <w:rPr>
                <w:color w:val="000000"/>
                <w:szCs w:val="21"/>
                <w:highlight w:val="green"/>
              </w:rPr>
            </w:pPr>
            <w:r>
              <w:rPr>
                <w:rFonts w:hint="eastAsia"/>
                <w:color w:val="000000"/>
                <w:szCs w:val="21"/>
                <w:highlight w:val="green"/>
              </w:rPr>
              <w:t>（</w:t>
            </w:r>
            <w:r>
              <w:rPr>
                <w:color w:val="000000"/>
                <w:szCs w:val="21"/>
                <w:highlight w:val="green"/>
              </w:rPr>
              <w:t>cmol/kg</w:t>
            </w:r>
            <w:r>
              <w:rPr>
                <w:rFonts w:hint="eastAsia"/>
                <w:color w:val="000000"/>
                <w:szCs w:val="21"/>
                <w:highlight w:val="green"/>
              </w:rPr>
              <w:t>）</w:t>
            </w:r>
          </w:p>
        </w:tc>
        <w:tc>
          <w:tcPr>
            <w:tcW w:w="791" w:type="pct"/>
            <w:noWrap w:val="0"/>
            <w:vAlign w:val="center"/>
          </w:tcPr>
          <w:p w14:paraId="6FFDC967">
            <w:pPr>
              <w:jc w:val="center"/>
              <w:rPr>
                <w:color w:val="000000"/>
                <w:highlight w:val="green"/>
              </w:rPr>
            </w:pPr>
            <w:r>
              <w:rPr>
                <w:rFonts w:hint="eastAsia"/>
                <w:color w:val="000000"/>
                <w:szCs w:val="21"/>
                <w:highlight w:val="green"/>
              </w:rPr>
              <w:t>4月18日</w:t>
            </w:r>
          </w:p>
        </w:tc>
        <w:tc>
          <w:tcPr>
            <w:tcW w:w="790" w:type="pct"/>
            <w:noWrap w:val="0"/>
            <w:vAlign w:val="center"/>
          </w:tcPr>
          <w:p w14:paraId="342A7D15">
            <w:pPr>
              <w:jc w:val="center"/>
              <w:rPr>
                <w:color w:val="000000"/>
                <w:szCs w:val="21"/>
                <w:highlight w:val="green"/>
              </w:rPr>
            </w:pPr>
            <w:r>
              <w:rPr>
                <w:color w:val="000000"/>
                <w:szCs w:val="21"/>
                <w:highlight w:val="green"/>
              </w:rPr>
              <w:t>20.8</w:t>
            </w:r>
          </w:p>
        </w:tc>
        <w:tc>
          <w:tcPr>
            <w:tcW w:w="904" w:type="pct"/>
            <w:noWrap w:val="0"/>
            <w:vAlign w:val="center"/>
          </w:tcPr>
          <w:p w14:paraId="349F6EC4">
            <w:pPr>
              <w:jc w:val="center"/>
              <w:rPr>
                <w:color w:val="000000"/>
                <w:szCs w:val="21"/>
                <w:highlight w:val="green"/>
              </w:rPr>
            </w:pPr>
            <w:r>
              <w:rPr>
                <w:color w:val="000000"/>
                <w:szCs w:val="21"/>
                <w:highlight w:val="green"/>
              </w:rPr>
              <w:t>21.7</w:t>
            </w:r>
          </w:p>
        </w:tc>
        <w:tc>
          <w:tcPr>
            <w:tcW w:w="905" w:type="pct"/>
            <w:noWrap w:val="0"/>
            <w:vAlign w:val="center"/>
          </w:tcPr>
          <w:p w14:paraId="1519CF8C">
            <w:pPr>
              <w:jc w:val="center"/>
              <w:rPr>
                <w:color w:val="000000"/>
                <w:szCs w:val="21"/>
                <w:highlight w:val="green"/>
              </w:rPr>
            </w:pPr>
            <w:r>
              <w:rPr>
                <w:color w:val="000000"/>
                <w:szCs w:val="21"/>
                <w:highlight w:val="green"/>
              </w:rPr>
              <w:t>22.3</w:t>
            </w:r>
          </w:p>
        </w:tc>
        <w:tc>
          <w:tcPr>
            <w:tcW w:w="526" w:type="pct"/>
            <w:noWrap w:val="0"/>
            <w:vAlign w:val="center"/>
          </w:tcPr>
          <w:p w14:paraId="7ACC3097">
            <w:pPr>
              <w:jc w:val="center"/>
              <w:rPr>
                <w:color w:val="000000"/>
                <w:spacing w:val="12"/>
                <w:szCs w:val="21"/>
                <w:highlight w:val="green"/>
              </w:rPr>
            </w:pPr>
            <w:r>
              <w:rPr>
                <w:rFonts w:hint="eastAsia"/>
                <w:color w:val="000000"/>
                <w:spacing w:val="12"/>
                <w:szCs w:val="21"/>
                <w:highlight w:val="green"/>
              </w:rPr>
              <w:t>—</w:t>
            </w:r>
          </w:p>
        </w:tc>
      </w:tr>
      <w:tr w14:paraId="08217A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4F19F1CF">
            <w:pPr>
              <w:widowControl/>
              <w:jc w:val="center"/>
              <w:rPr>
                <w:color w:val="000000"/>
                <w:szCs w:val="21"/>
                <w:highlight w:val="green"/>
              </w:rPr>
            </w:pPr>
            <w:r>
              <w:rPr>
                <w:rFonts w:hint="eastAsia"/>
                <w:color w:val="000000"/>
                <w:szCs w:val="21"/>
                <w:highlight w:val="green"/>
              </w:rPr>
              <w:t>氧化还原电位</w:t>
            </w:r>
          </w:p>
          <w:p w14:paraId="1B1F72D1">
            <w:pPr>
              <w:pStyle w:val="73"/>
              <w:ind w:left="420"/>
              <w:rPr>
                <w:color w:val="000000"/>
                <w:sz w:val="21"/>
                <w:szCs w:val="21"/>
                <w:highlight w:val="green"/>
              </w:rPr>
            </w:pPr>
            <w:r>
              <w:rPr>
                <w:rFonts w:hint="eastAsia"/>
                <w:color w:val="000000"/>
                <w:sz w:val="21"/>
                <w:szCs w:val="21"/>
                <w:highlight w:val="green"/>
                <w:shd w:val="clear" w:color="auto" w:fill="FFFFFF"/>
              </w:rPr>
              <w:t>（</w:t>
            </w:r>
            <w:r>
              <w:rPr>
                <w:color w:val="000000"/>
                <w:sz w:val="21"/>
                <w:szCs w:val="21"/>
                <w:highlight w:val="green"/>
                <w:shd w:val="clear" w:color="auto" w:fill="FFFFFF"/>
              </w:rPr>
              <w:t>mV</w:t>
            </w:r>
            <w:r>
              <w:rPr>
                <w:rFonts w:hint="eastAsia"/>
                <w:color w:val="000000"/>
                <w:sz w:val="21"/>
                <w:szCs w:val="21"/>
                <w:highlight w:val="green"/>
                <w:shd w:val="clear" w:color="auto" w:fill="FFFFFF"/>
              </w:rPr>
              <w:t>）</w:t>
            </w:r>
          </w:p>
        </w:tc>
        <w:tc>
          <w:tcPr>
            <w:tcW w:w="791" w:type="pct"/>
            <w:noWrap w:val="0"/>
            <w:vAlign w:val="center"/>
          </w:tcPr>
          <w:p w14:paraId="75FE0C71">
            <w:pPr>
              <w:jc w:val="center"/>
              <w:rPr>
                <w:color w:val="000000"/>
                <w:highlight w:val="green"/>
              </w:rPr>
            </w:pPr>
            <w:r>
              <w:rPr>
                <w:rFonts w:hint="eastAsia"/>
                <w:color w:val="000000"/>
                <w:szCs w:val="21"/>
                <w:highlight w:val="green"/>
              </w:rPr>
              <w:t>4月18日</w:t>
            </w:r>
          </w:p>
        </w:tc>
        <w:tc>
          <w:tcPr>
            <w:tcW w:w="790" w:type="pct"/>
            <w:noWrap w:val="0"/>
            <w:vAlign w:val="center"/>
          </w:tcPr>
          <w:p w14:paraId="549954C8">
            <w:pPr>
              <w:jc w:val="center"/>
              <w:rPr>
                <w:color w:val="000000"/>
                <w:szCs w:val="21"/>
                <w:highlight w:val="green"/>
              </w:rPr>
            </w:pPr>
            <w:r>
              <w:rPr>
                <w:color w:val="000000"/>
                <w:szCs w:val="21"/>
                <w:highlight w:val="green"/>
              </w:rPr>
              <w:t>242</w:t>
            </w:r>
          </w:p>
        </w:tc>
        <w:tc>
          <w:tcPr>
            <w:tcW w:w="904" w:type="pct"/>
            <w:noWrap w:val="0"/>
            <w:vAlign w:val="center"/>
          </w:tcPr>
          <w:p w14:paraId="5208A943">
            <w:pPr>
              <w:jc w:val="center"/>
              <w:rPr>
                <w:color w:val="000000"/>
                <w:szCs w:val="21"/>
                <w:highlight w:val="green"/>
              </w:rPr>
            </w:pPr>
            <w:r>
              <w:rPr>
                <w:color w:val="000000"/>
                <w:szCs w:val="21"/>
                <w:highlight w:val="green"/>
              </w:rPr>
              <w:t>215</w:t>
            </w:r>
          </w:p>
        </w:tc>
        <w:tc>
          <w:tcPr>
            <w:tcW w:w="905" w:type="pct"/>
            <w:noWrap w:val="0"/>
            <w:vAlign w:val="center"/>
          </w:tcPr>
          <w:p w14:paraId="2383A1C6">
            <w:pPr>
              <w:jc w:val="center"/>
              <w:rPr>
                <w:color w:val="000000"/>
                <w:szCs w:val="21"/>
                <w:highlight w:val="green"/>
              </w:rPr>
            </w:pPr>
            <w:r>
              <w:rPr>
                <w:color w:val="000000"/>
                <w:szCs w:val="21"/>
                <w:highlight w:val="green"/>
              </w:rPr>
              <w:t>194</w:t>
            </w:r>
          </w:p>
        </w:tc>
        <w:tc>
          <w:tcPr>
            <w:tcW w:w="526" w:type="pct"/>
            <w:noWrap w:val="0"/>
            <w:vAlign w:val="center"/>
          </w:tcPr>
          <w:p w14:paraId="0C9BFB02">
            <w:pPr>
              <w:jc w:val="center"/>
              <w:rPr>
                <w:color w:val="000000"/>
                <w:spacing w:val="12"/>
                <w:szCs w:val="21"/>
                <w:highlight w:val="green"/>
              </w:rPr>
            </w:pPr>
            <w:r>
              <w:rPr>
                <w:rFonts w:hint="eastAsia"/>
                <w:color w:val="000000"/>
                <w:spacing w:val="12"/>
                <w:szCs w:val="21"/>
                <w:highlight w:val="green"/>
              </w:rPr>
              <w:t>—</w:t>
            </w:r>
          </w:p>
        </w:tc>
      </w:tr>
      <w:tr w14:paraId="023D484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395AA43C">
            <w:pPr>
              <w:widowControl/>
              <w:jc w:val="center"/>
              <w:rPr>
                <w:color w:val="000000"/>
                <w:szCs w:val="21"/>
                <w:highlight w:val="green"/>
              </w:rPr>
            </w:pPr>
            <w:r>
              <w:rPr>
                <w:rFonts w:hint="eastAsia"/>
                <w:color w:val="000000"/>
                <w:szCs w:val="21"/>
                <w:highlight w:val="green"/>
              </w:rPr>
              <w:t>土壤容重</w:t>
            </w:r>
          </w:p>
          <w:p w14:paraId="6FBC1141">
            <w:pPr>
              <w:widowControl/>
              <w:jc w:val="center"/>
              <w:rPr>
                <w:color w:val="000000"/>
                <w:szCs w:val="21"/>
                <w:highlight w:val="green"/>
              </w:rPr>
            </w:pPr>
            <w:r>
              <w:rPr>
                <w:rFonts w:hint="eastAsia"/>
                <w:color w:val="000000"/>
                <w:szCs w:val="21"/>
                <w:highlight w:val="green"/>
              </w:rPr>
              <w:t>（</w:t>
            </w:r>
            <w:r>
              <w:rPr>
                <w:color w:val="000000"/>
                <w:szCs w:val="21"/>
                <w:highlight w:val="green"/>
              </w:rPr>
              <w:t>g/cm</w:t>
            </w:r>
            <w:r>
              <w:rPr>
                <w:color w:val="000000"/>
                <w:szCs w:val="21"/>
                <w:highlight w:val="green"/>
                <w:vertAlign w:val="superscript"/>
              </w:rPr>
              <w:t>3</w:t>
            </w:r>
            <w:r>
              <w:rPr>
                <w:rFonts w:hint="eastAsia"/>
                <w:color w:val="000000"/>
                <w:szCs w:val="21"/>
                <w:highlight w:val="green"/>
              </w:rPr>
              <w:t>）</w:t>
            </w:r>
          </w:p>
        </w:tc>
        <w:tc>
          <w:tcPr>
            <w:tcW w:w="791" w:type="pct"/>
            <w:noWrap w:val="0"/>
            <w:vAlign w:val="center"/>
          </w:tcPr>
          <w:p w14:paraId="78CDAFB8">
            <w:pPr>
              <w:jc w:val="center"/>
              <w:rPr>
                <w:color w:val="000000"/>
                <w:highlight w:val="green"/>
              </w:rPr>
            </w:pPr>
            <w:r>
              <w:rPr>
                <w:rFonts w:hint="eastAsia"/>
                <w:color w:val="000000"/>
                <w:szCs w:val="21"/>
                <w:highlight w:val="green"/>
              </w:rPr>
              <w:t>4月18日</w:t>
            </w:r>
          </w:p>
        </w:tc>
        <w:tc>
          <w:tcPr>
            <w:tcW w:w="790" w:type="pct"/>
            <w:noWrap w:val="0"/>
            <w:vAlign w:val="center"/>
          </w:tcPr>
          <w:p w14:paraId="624BC116">
            <w:pPr>
              <w:jc w:val="center"/>
              <w:rPr>
                <w:color w:val="000000"/>
                <w:szCs w:val="21"/>
                <w:highlight w:val="green"/>
              </w:rPr>
            </w:pPr>
            <w:r>
              <w:rPr>
                <w:color w:val="000000"/>
                <w:szCs w:val="21"/>
                <w:highlight w:val="green"/>
              </w:rPr>
              <w:t>1.50</w:t>
            </w:r>
          </w:p>
        </w:tc>
        <w:tc>
          <w:tcPr>
            <w:tcW w:w="904" w:type="pct"/>
            <w:noWrap w:val="0"/>
            <w:vAlign w:val="center"/>
          </w:tcPr>
          <w:p w14:paraId="748E56B4">
            <w:pPr>
              <w:jc w:val="center"/>
              <w:rPr>
                <w:color w:val="000000"/>
                <w:szCs w:val="21"/>
                <w:highlight w:val="green"/>
              </w:rPr>
            </w:pPr>
            <w:r>
              <w:rPr>
                <w:color w:val="000000"/>
                <w:szCs w:val="21"/>
                <w:highlight w:val="green"/>
              </w:rPr>
              <w:t>1.40</w:t>
            </w:r>
          </w:p>
        </w:tc>
        <w:tc>
          <w:tcPr>
            <w:tcW w:w="905" w:type="pct"/>
            <w:noWrap w:val="0"/>
            <w:vAlign w:val="center"/>
          </w:tcPr>
          <w:p w14:paraId="5323D521">
            <w:pPr>
              <w:jc w:val="center"/>
              <w:rPr>
                <w:color w:val="000000"/>
                <w:szCs w:val="21"/>
                <w:highlight w:val="green"/>
              </w:rPr>
            </w:pPr>
            <w:r>
              <w:rPr>
                <w:color w:val="000000"/>
                <w:szCs w:val="21"/>
                <w:highlight w:val="green"/>
              </w:rPr>
              <w:t>1.50</w:t>
            </w:r>
          </w:p>
        </w:tc>
        <w:tc>
          <w:tcPr>
            <w:tcW w:w="526" w:type="pct"/>
            <w:noWrap w:val="0"/>
            <w:vAlign w:val="center"/>
          </w:tcPr>
          <w:p w14:paraId="161F4114">
            <w:pPr>
              <w:jc w:val="center"/>
              <w:rPr>
                <w:color w:val="000000"/>
                <w:spacing w:val="12"/>
                <w:szCs w:val="21"/>
                <w:highlight w:val="green"/>
              </w:rPr>
            </w:pPr>
            <w:r>
              <w:rPr>
                <w:rFonts w:hint="eastAsia"/>
                <w:color w:val="000000"/>
                <w:spacing w:val="12"/>
                <w:szCs w:val="21"/>
                <w:highlight w:val="green"/>
              </w:rPr>
              <w:t>—</w:t>
            </w:r>
          </w:p>
        </w:tc>
      </w:tr>
      <w:tr w14:paraId="268339F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3C94AA51">
            <w:pPr>
              <w:widowControl/>
              <w:jc w:val="center"/>
              <w:rPr>
                <w:color w:val="000000"/>
                <w:szCs w:val="21"/>
                <w:highlight w:val="green"/>
              </w:rPr>
            </w:pPr>
            <w:r>
              <w:rPr>
                <w:color w:val="000000"/>
                <w:szCs w:val="21"/>
                <w:highlight w:val="green"/>
              </w:rPr>
              <w:t>*</w:t>
            </w:r>
            <w:r>
              <w:rPr>
                <w:rFonts w:hint="eastAsia"/>
                <w:color w:val="000000"/>
                <w:szCs w:val="21"/>
                <w:highlight w:val="green"/>
              </w:rPr>
              <w:t>渗透率（饱和导水率）（</w:t>
            </w:r>
            <w:r>
              <w:rPr>
                <w:color w:val="000000"/>
                <w:szCs w:val="21"/>
                <w:highlight w:val="green"/>
              </w:rPr>
              <w:t>cm/s</w:t>
            </w:r>
            <w:r>
              <w:rPr>
                <w:rFonts w:hint="eastAsia"/>
                <w:color w:val="000000"/>
                <w:szCs w:val="21"/>
                <w:highlight w:val="green"/>
              </w:rPr>
              <w:t>）</w:t>
            </w:r>
          </w:p>
        </w:tc>
        <w:tc>
          <w:tcPr>
            <w:tcW w:w="791" w:type="pct"/>
            <w:noWrap w:val="0"/>
            <w:vAlign w:val="center"/>
          </w:tcPr>
          <w:p w14:paraId="0D0B81B6">
            <w:pPr>
              <w:jc w:val="center"/>
              <w:rPr>
                <w:color w:val="000000"/>
                <w:highlight w:val="green"/>
              </w:rPr>
            </w:pPr>
            <w:r>
              <w:rPr>
                <w:rFonts w:hint="eastAsia"/>
                <w:color w:val="000000"/>
                <w:szCs w:val="21"/>
                <w:highlight w:val="green"/>
              </w:rPr>
              <w:t>4月18日</w:t>
            </w:r>
          </w:p>
        </w:tc>
        <w:tc>
          <w:tcPr>
            <w:tcW w:w="790" w:type="pct"/>
            <w:noWrap w:val="0"/>
            <w:vAlign w:val="center"/>
          </w:tcPr>
          <w:p w14:paraId="41506A45">
            <w:pPr>
              <w:jc w:val="center"/>
              <w:rPr>
                <w:color w:val="000000"/>
                <w:szCs w:val="21"/>
                <w:highlight w:val="green"/>
              </w:rPr>
            </w:pPr>
            <w:r>
              <w:rPr>
                <w:color w:val="000000"/>
                <w:szCs w:val="21"/>
                <w:highlight w:val="green"/>
              </w:rPr>
              <w:t>0.492</w:t>
            </w:r>
          </w:p>
        </w:tc>
        <w:tc>
          <w:tcPr>
            <w:tcW w:w="904" w:type="pct"/>
            <w:noWrap w:val="0"/>
            <w:vAlign w:val="center"/>
          </w:tcPr>
          <w:p w14:paraId="406700B8">
            <w:pPr>
              <w:jc w:val="center"/>
              <w:rPr>
                <w:color w:val="000000"/>
                <w:szCs w:val="21"/>
                <w:highlight w:val="green"/>
              </w:rPr>
            </w:pPr>
            <w:r>
              <w:rPr>
                <w:color w:val="000000"/>
                <w:szCs w:val="21"/>
                <w:highlight w:val="green"/>
              </w:rPr>
              <w:t>0.521</w:t>
            </w:r>
          </w:p>
        </w:tc>
        <w:tc>
          <w:tcPr>
            <w:tcW w:w="905" w:type="pct"/>
            <w:noWrap w:val="0"/>
            <w:vAlign w:val="center"/>
          </w:tcPr>
          <w:p w14:paraId="61385295">
            <w:pPr>
              <w:jc w:val="center"/>
              <w:rPr>
                <w:color w:val="000000"/>
                <w:szCs w:val="21"/>
                <w:highlight w:val="green"/>
              </w:rPr>
            </w:pPr>
            <w:r>
              <w:rPr>
                <w:color w:val="000000"/>
                <w:szCs w:val="21"/>
                <w:highlight w:val="green"/>
              </w:rPr>
              <w:t>0.558</w:t>
            </w:r>
          </w:p>
        </w:tc>
        <w:tc>
          <w:tcPr>
            <w:tcW w:w="526" w:type="pct"/>
            <w:noWrap w:val="0"/>
            <w:vAlign w:val="center"/>
          </w:tcPr>
          <w:p w14:paraId="0C8C4022">
            <w:pPr>
              <w:spacing w:line="0" w:lineRule="atLeast"/>
              <w:jc w:val="center"/>
              <w:rPr>
                <w:color w:val="000000"/>
                <w:szCs w:val="21"/>
                <w:highlight w:val="green"/>
              </w:rPr>
            </w:pPr>
            <w:r>
              <w:rPr>
                <w:color w:val="000000"/>
                <w:szCs w:val="21"/>
                <w:highlight w:val="green"/>
              </w:rPr>
              <w:t>60</w:t>
            </w:r>
          </w:p>
        </w:tc>
      </w:tr>
      <w:tr w14:paraId="006180D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102DBB25">
            <w:pPr>
              <w:widowControl/>
              <w:jc w:val="center"/>
              <w:rPr>
                <w:color w:val="000000"/>
                <w:szCs w:val="21"/>
                <w:highlight w:val="green"/>
              </w:rPr>
            </w:pPr>
            <w:r>
              <w:rPr>
                <w:color w:val="000000"/>
                <w:szCs w:val="21"/>
                <w:highlight w:val="green"/>
              </w:rPr>
              <w:t>*</w:t>
            </w:r>
            <w:r>
              <w:rPr>
                <w:rFonts w:hint="eastAsia"/>
                <w:color w:val="000000"/>
                <w:szCs w:val="21"/>
                <w:highlight w:val="green"/>
              </w:rPr>
              <w:t>总孔隙度（孔隙度）（</w:t>
            </w:r>
            <w:r>
              <w:rPr>
                <w:color w:val="000000"/>
                <w:szCs w:val="21"/>
                <w:highlight w:val="green"/>
              </w:rPr>
              <w:t>%</w:t>
            </w:r>
            <w:r>
              <w:rPr>
                <w:rFonts w:hint="eastAsia"/>
                <w:color w:val="000000"/>
                <w:szCs w:val="21"/>
                <w:highlight w:val="green"/>
              </w:rPr>
              <w:t>）</w:t>
            </w:r>
          </w:p>
        </w:tc>
        <w:tc>
          <w:tcPr>
            <w:tcW w:w="791" w:type="pct"/>
            <w:noWrap w:val="0"/>
            <w:vAlign w:val="center"/>
          </w:tcPr>
          <w:p w14:paraId="3AAC411A">
            <w:pPr>
              <w:jc w:val="center"/>
              <w:rPr>
                <w:color w:val="000000"/>
                <w:highlight w:val="green"/>
              </w:rPr>
            </w:pPr>
            <w:r>
              <w:rPr>
                <w:rFonts w:hint="eastAsia"/>
                <w:color w:val="000000"/>
                <w:szCs w:val="21"/>
                <w:highlight w:val="green"/>
              </w:rPr>
              <w:t>4月18日</w:t>
            </w:r>
          </w:p>
        </w:tc>
        <w:tc>
          <w:tcPr>
            <w:tcW w:w="790" w:type="pct"/>
            <w:noWrap w:val="0"/>
            <w:vAlign w:val="center"/>
          </w:tcPr>
          <w:p w14:paraId="64CD419D">
            <w:pPr>
              <w:jc w:val="center"/>
              <w:rPr>
                <w:color w:val="000000"/>
                <w:szCs w:val="21"/>
                <w:highlight w:val="green"/>
              </w:rPr>
            </w:pPr>
            <w:r>
              <w:rPr>
                <w:color w:val="000000"/>
                <w:szCs w:val="21"/>
                <w:highlight w:val="green"/>
              </w:rPr>
              <w:t>49</w:t>
            </w:r>
          </w:p>
        </w:tc>
        <w:tc>
          <w:tcPr>
            <w:tcW w:w="904" w:type="pct"/>
            <w:noWrap w:val="0"/>
            <w:vAlign w:val="center"/>
          </w:tcPr>
          <w:p w14:paraId="7651BCC7">
            <w:pPr>
              <w:jc w:val="center"/>
              <w:rPr>
                <w:color w:val="000000"/>
                <w:szCs w:val="21"/>
                <w:highlight w:val="green"/>
              </w:rPr>
            </w:pPr>
            <w:r>
              <w:rPr>
                <w:color w:val="000000"/>
                <w:szCs w:val="21"/>
                <w:highlight w:val="green"/>
              </w:rPr>
              <w:t>54</w:t>
            </w:r>
          </w:p>
        </w:tc>
        <w:tc>
          <w:tcPr>
            <w:tcW w:w="905" w:type="pct"/>
            <w:noWrap w:val="0"/>
            <w:vAlign w:val="center"/>
          </w:tcPr>
          <w:p w14:paraId="41F9B502">
            <w:pPr>
              <w:jc w:val="center"/>
              <w:rPr>
                <w:color w:val="000000"/>
                <w:szCs w:val="21"/>
                <w:highlight w:val="green"/>
              </w:rPr>
            </w:pPr>
            <w:r>
              <w:rPr>
                <w:color w:val="000000"/>
                <w:szCs w:val="21"/>
                <w:highlight w:val="green"/>
              </w:rPr>
              <w:t>58</w:t>
            </w:r>
          </w:p>
        </w:tc>
        <w:tc>
          <w:tcPr>
            <w:tcW w:w="526" w:type="pct"/>
            <w:noWrap w:val="0"/>
            <w:vAlign w:val="center"/>
          </w:tcPr>
          <w:p w14:paraId="2776355D">
            <w:pPr>
              <w:spacing w:line="0" w:lineRule="atLeast"/>
              <w:jc w:val="center"/>
              <w:rPr>
                <w:color w:val="000000"/>
                <w:szCs w:val="21"/>
                <w:highlight w:val="green"/>
              </w:rPr>
            </w:pPr>
            <w:r>
              <w:rPr>
                <w:color w:val="000000"/>
                <w:szCs w:val="21"/>
                <w:highlight w:val="green"/>
              </w:rPr>
              <w:t>65</w:t>
            </w:r>
          </w:p>
        </w:tc>
      </w:tr>
      <w:tr w14:paraId="73594E5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184F548E">
            <w:pPr>
              <w:widowControl/>
              <w:jc w:val="center"/>
              <w:rPr>
                <w:color w:val="000000"/>
                <w:szCs w:val="21"/>
                <w:highlight w:val="green"/>
              </w:rPr>
            </w:pPr>
            <w:r>
              <w:rPr>
                <w:rFonts w:hint="eastAsia"/>
                <w:color w:val="000000"/>
                <w:szCs w:val="21"/>
                <w:highlight w:val="green"/>
              </w:rPr>
              <w:t>砷</w:t>
            </w:r>
          </w:p>
          <w:p w14:paraId="38D9CA48">
            <w:pPr>
              <w:widowControl/>
              <w:jc w:val="center"/>
              <w:rPr>
                <w:color w:val="000000"/>
                <w:szCs w:val="21"/>
                <w:highlight w:val="green"/>
              </w:rPr>
            </w:pPr>
            <w:r>
              <w:rPr>
                <w:rFonts w:hint="eastAsia"/>
                <w:color w:val="000000"/>
                <w:szCs w:val="21"/>
                <w:highlight w:val="green"/>
              </w:rPr>
              <w:t>（</w:t>
            </w:r>
            <w:r>
              <w:rPr>
                <w:color w:val="000000"/>
                <w:szCs w:val="21"/>
                <w:highlight w:val="green"/>
              </w:rPr>
              <w:t>mg/kg</w:t>
            </w:r>
            <w:r>
              <w:rPr>
                <w:rFonts w:hint="eastAsia"/>
                <w:color w:val="000000"/>
                <w:szCs w:val="21"/>
                <w:highlight w:val="green"/>
              </w:rPr>
              <w:t>）</w:t>
            </w:r>
          </w:p>
        </w:tc>
        <w:tc>
          <w:tcPr>
            <w:tcW w:w="791" w:type="pct"/>
            <w:noWrap w:val="0"/>
            <w:vAlign w:val="center"/>
          </w:tcPr>
          <w:p w14:paraId="166F4521">
            <w:pPr>
              <w:jc w:val="center"/>
              <w:rPr>
                <w:color w:val="000000"/>
                <w:highlight w:val="green"/>
              </w:rPr>
            </w:pPr>
            <w:r>
              <w:rPr>
                <w:rFonts w:hint="eastAsia"/>
                <w:color w:val="000000"/>
                <w:szCs w:val="21"/>
                <w:highlight w:val="green"/>
              </w:rPr>
              <w:t>4月18日</w:t>
            </w:r>
          </w:p>
        </w:tc>
        <w:tc>
          <w:tcPr>
            <w:tcW w:w="790" w:type="pct"/>
            <w:noWrap w:val="0"/>
            <w:vAlign w:val="center"/>
          </w:tcPr>
          <w:p w14:paraId="647503E9">
            <w:pPr>
              <w:jc w:val="center"/>
              <w:rPr>
                <w:color w:val="000000"/>
                <w:szCs w:val="21"/>
                <w:highlight w:val="green"/>
              </w:rPr>
            </w:pPr>
            <w:r>
              <w:rPr>
                <w:color w:val="000000"/>
                <w:szCs w:val="21"/>
                <w:highlight w:val="green"/>
              </w:rPr>
              <w:t>9.83</w:t>
            </w:r>
          </w:p>
        </w:tc>
        <w:tc>
          <w:tcPr>
            <w:tcW w:w="904" w:type="pct"/>
            <w:noWrap w:val="0"/>
            <w:vAlign w:val="center"/>
          </w:tcPr>
          <w:p w14:paraId="4CC79161">
            <w:pPr>
              <w:jc w:val="center"/>
              <w:rPr>
                <w:color w:val="000000"/>
                <w:szCs w:val="21"/>
                <w:highlight w:val="green"/>
              </w:rPr>
            </w:pPr>
            <w:r>
              <w:rPr>
                <w:color w:val="000000"/>
                <w:szCs w:val="21"/>
                <w:highlight w:val="green"/>
              </w:rPr>
              <w:t>6.77</w:t>
            </w:r>
          </w:p>
        </w:tc>
        <w:tc>
          <w:tcPr>
            <w:tcW w:w="905" w:type="pct"/>
            <w:noWrap w:val="0"/>
            <w:vAlign w:val="center"/>
          </w:tcPr>
          <w:p w14:paraId="13F396F7">
            <w:pPr>
              <w:jc w:val="center"/>
              <w:rPr>
                <w:color w:val="000000"/>
                <w:szCs w:val="21"/>
                <w:highlight w:val="green"/>
              </w:rPr>
            </w:pPr>
            <w:r>
              <w:rPr>
                <w:color w:val="000000"/>
                <w:szCs w:val="21"/>
                <w:highlight w:val="green"/>
              </w:rPr>
              <w:t>6.75</w:t>
            </w:r>
          </w:p>
        </w:tc>
        <w:tc>
          <w:tcPr>
            <w:tcW w:w="526" w:type="pct"/>
            <w:noWrap w:val="0"/>
            <w:vAlign w:val="center"/>
          </w:tcPr>
          <w:p w14:paraId="4DD35233">
            <w:pPr>
              <w:spacing w:line="0" w:lineRule="atLeast"/>
              <w:jc w:val="center"/>
              <w:rPr>
                <w:rFonts w:hint="eastAsia"/>
                <w:color w:val="000000"/>
                <w:szCs w:val="21"/>
                <w:highlight w:val="green"/>
              </w:rPr>
            </w:pPr>
            <w:r>
              <w:rPr>
                <w:rFonts w:hint="eastAsia"/>
                <w:color w:val="000000"/>
                <w:szCs w:val="21"/>
                <w:highlight w:val="green"/>
              </w:rPr>
              <w:t>25</w:t>
            </w:r>
          </w:p>
        </w:tc>
      </w:tr>
      <w:tr w14:paraId="0109AA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4EDAEC09">
            <w:pPr>
              <w:widowControl/>
              <w:jc w:val="center"/>
              <w:rPr>
                <w:color w:val="000000"/>
                <w:szCs w:val="21"/>
                <w:highlight w:val="green"/>
              </w:rPr>
            </w:pPr>
            <w:r>
              <w:rPr>
                <w:rFonts w:hint="eastAsia"/>
                <w:color w:val="000000"/>
                <w:szCs w:val="21"/>
                <w:highlight w:val="green"/>
              </w:rPr>
              <w:t>镉</w:t>
            </w:r>
          </w:p>
          <w:p w14:paraId="23D2824F">
            <w:pPr>
              <w:widowControl/>
              <w:jc w:val="center"/>
              <w:rPr>
                <w:color w:val="000000"/>
                <w:szCs w:val="21"/>
                <w:highlight w:val="green"/>
              </w:rPr>
            </w:pPr>
            <w:r>
              <w:rPr>
                <w:rFonts w:hint="eastAsia"/>
                <w:color w:val="000000"/>
                <w:szCs w:val="21"/>
                <w:highlight w:val="green"/>
              </w:rPr>
              <w:t>（</w:t>
            </w:r>
            <w:r>
              <w:rPr>
                <w:color w:val="000000"/>
                <w:szCs w:val="21"/>
                <w:highlight w:val="green"/>
              </w:rPr>
              <w:t>mg/kg</w:t>
            </w:r>
            <w:r>
              <w:rPr>
                <w:rFonts w:hint="eastAsia"/>
                <w:color w:val="000000"/>
                <w:szCs w:val="21"/>
                <w:highlight w:val="green"/>
              </w:rPr>
              <w:t>）</w:t>
            </w:r>
          </w:p>
        </w:tc>
        <w:tc>
          <w:tcPr>
            <w:tcW w:w="791" w:type="pct"/>
            <w:noWrap w:val="0"/>
            <w:vAlign w:val="center"/>
          </w:tcPr>
          <w:p w14:paraId="6CB9ED0E">
            <w:pPr>
              <w:jc w:val="center"/>
              <w:rPr>
                <w:color w:val="000000"/>
                <w:highlight w:val="green"/>
              </w:rPr>
            </w:pPr>
            <w:r>
              <w:rPr>
                <w:rFonts w:hint="eastAsia"/>
                <w:color w:val="000000"/>
                <w:szCs w:val="21"/>
                <w:highlight w:val="green"/>
              </w:rPr>
              <w:t>4月18日</w:t>
            </w:r>
          </w:p>
        </w:tc>
        <w:tc>
          <w:tcPr>
            <w:tcW w:w="790" w:type="pct"/>
            <w:noWrap w:val="0"/>
            <w:vAlign w:val="center"/>
          </w:tcPr>
          <w:p w14:paraId="5FE9C42A">
            <w:pPr>
              <w:jc w:val="center"/>
              <w:rPr>
                <w:color w:val="000000"/>
                <w:szCs w:val="21"/>
                <w:highlight w:val="green"/>
              </w:rPr>
            </w:pPr>
            <w:r>
              <w:rPr>
                <w:color w:val="000000"/>
                <w:szCs w:val="21"/>
                <w:highlight w:val="green"/>
              </w:rPr>
              <w:t>0.03</w:t>
            </w:r>
          </w:p>
        </w:tc>
        <w:tc>
          <w:tcPr>
            <w:tcW w:w="904" w:type="pct"/>
            <w:noWrap w:val="0"/>
            <w:vAlign w:val="center"/>
          </w:tcPr>
          <w:p w14:paraId="733956EA">
            <w:pPr>
              <w:jc w:val="center"/>
              <w:rPr>
                <w:color w:val="000000"/>
                <w:szCs w:val="21"/>
                <w:highlight w:val="green"/>
              </w:rPr>
            </w:pPr>
            <w:r>
              <w:rPr>
                <w:color w:val="000000"/>
                <w:szCs w:val="21"/>
                <w:highlight w:val="green"/>
              </w:rPr>
              <w:t>0.09</w:t>
            </w:r>
          </w:p>
        </w:tc>
        <w:tc>
          <w:tcPr>
            <w:tcW w:w="905" w:type="pct"/>
            <w:noWrap w:val="0"/>
            <w:vAlign w:val="center"/>
          </w:tcPr>
          <w:p w14:paraId="77B3023F">
            <w:pPr>
              <w:jc w:val="center"/>
              <w:rPr>
                <w:color w:val="000000"/>
                <w:szCs w:val="21"/>
                <w:highlight w:val="green"/>
              </w:rPr>
            </w:pPr>
            <w:r>
              <w:rPr>
                <w:color w:val="000000"/>
                <w:szCs w:val="21"/>
                <w:highlight w:val="green"/>
              </w:rPr>
              <w:t>0.07</w:t>
            </w:r>
          </w:p>
        </w:tc>
        <w:tc>
          <w:tcPr>
            <w:tcW w:w="526" w:type="pct"/>
            <w:noWrap w:val="0"/>
            <w:vAlign w:val="center"/>
          </w:tcPr>
          <w:p w14:paraId="6BBAF367">
            <w:pPr>
              <w:spacing w:line="0" w:lineRule="atLeast"/>
              <w:jc w:val="center"/>
              <w:rPr>
                <w:rFonts w:hint="eastAsia"/>
                <w:color w:val="000000"/>
                <w:szCs w:val="21"/>
                <w:highlight w:val="green"/>
              </w:rPr>
            </w:pPr>
            <w:r>
              <w:rPr>
                <w:rFonts w:hint="eastAsia"/>
                <w:color w:val="000000"/>
                <w:szCs w:val="21"/>
                <w:highlight w:val="green"/>
              </w:rPr>
              <w:t>0.6</w:t>
            </w:r>
          </w:p>
        </w:tc>
      </w:tr>
      <w:tr w14:paraId="5900AD0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589BEDA6">
            <w:pPr>
              <w:widowControl/>
              <w:jc w:val="center"/>
              <w:rPr>
                <w:color w:val="000000"/>
                <w:szCs w:val="21"/>
                <w:highlight w:val="green"/>
              </w:rPr>
            </w:pPr>
            <w:r>
              <w:rPr>
                <w:rFonts w:hint="eastAsia"/>
                <w:color w:val="000000"/>
                <w:szCs w:val="21"/>
                <w:highlight w:val="green"/>
              </w:rPr>
              <w:t>铬（六价）</w:t>
            </w:r>
          </w:p>
          <w:p w14:paraId="3920BAFD">
            <w:pPr>
              <w:widowControl/>
              <w:jc w:val="center"/>
              <w:rPr>
                <w:color w:val="000000"/>
                <w:szCs w:val="21"/>
                <w:highlight w:val="green"/>
              </w:rPr>
            </w:pPr>
            <w:r>
              <w:rPr>
                <w:rFonts w:hint="eastAsia"/>
                <w:color w:val="000000"/>
                <w:szCs w:val="21"/>
                <w:highlight w:val="green"/>
              </w:rPr>
              <w:t>（</w:t>
            </w:r>
            <w:r>
              <w:rPr>
                <w:color w:val="000000"/>
                <w:szCs w:val="21"/>
                <w:highlight w:val="green"/>
              </w:rPr>
              <w:t>mg/kg</w:t>
            </w:r>
            <w:r>
              <w:rPr>
                <w:rFonts w:hint="eastAsia"/>
                <w:color w:val="000000"/>
                <w:szCs w:val="21"/>
                <w:highlight w:val="green"/>
              </w:rPr>
              <w:t>）</w:t>
            </w:r>
          </w:p>
        </w:tc>
        <w:tc>
          <w:tcPr>
            <w:tcW w:w="791" w:type="pct"/>
            <w:noWrap w:val="0"/>
            <w:vAlign w:val="center"/>
          </w:tcPr>
          <w:p w14:paraId="70FCF91F">
            <w:pPr>
              <w:jc w:val="center"/>
              <w:rPr>
                <w:color w:val="000000"/>
                <w:highlight w:val="green"/>
              </w:rPr>
            </w:pPr>
            <w:r>
              <w:rPr>
                <w:rFonts w:hint="eastAsia"/>
                <w:color w:val="000000"/>
                <w:szCs w:val="21"/>
                <w:highlight w:val="green"/>
              </w:rPr>
              <w:t>4月18日</w:t>
            </w:r>
          </w:p>
        </w:tc>
        <w:tc>
          <w:tcPr>
            <w:tcW w:w="790" w:type="pct"/>
            <w:noWrap w:val="0"/>
            <w:vAlign w:val="center"/>
          </w:tcPr>
          <w:p w14:paraId="1CA2A96F">
            <w:pPr>
              <w:jc w:val="center"/>
              <w:rPr>
                <w:color w:val="000000"/>
                <w:szCs w:val="21"/>
                <w:highlight w:val="green"/>
              </w:rPr>
            </w:pPr>
            <w:r>
              <w:rPr>
                <w:color w:val="000000"/>
                <w:szCs w:val="21"/>
                <w:highlight w:val="green"/>
              </w:rPr>
              <w:t>2L</w:t>
            </w:r>
          </w:p>
        </w:tc>
        <w:tc>
          <w:tcPr>
            <w:tcW w:w="904" w:type="pct"/>
            <w:noWrap w:val="0"/>
            <w:vAlign w:val="center"/>
          </w:tcPr>
          <w:p w14:paraId="77EDFEF2">
            <w:pPr>
              <w:jc w:val="center"/>
              <w:rPr>
                <w:color w:val="000000"/>
                <w:szCs w:val="21"/>
                <w:highlight w:val="green"/>
              </w:rPr>
            </w:pPr>
            <w:r>
              <w:rPr>
                <w:color w:val="000000"/>
                <w:szCs w:val="21"/>
                <w:highlight w:val="green"/>
              </w:rPr>
              <w:t>2L</w:t>
            </w:r>
          </w:p>
        </w:tc>
        <w:tc>
          <w:tcPr>
            <w:tcW w:w="905" w:type="pct"/>
            <w:noWrap w:val="0"/>
            <w:vAlign w:val="center"/>
          </w:tcPr>
          <w:p w14:paraId="358AEA89">
            <w:pPr>
              <w:jc w:val="center"/>
              <w:rPr>
                <w:color w:val="000000"/>
                <w:szCs w:val="21"/>
                <w:highlight w:val="green"/>
              </w:rPr>
            </w:pPr>
            <w:r>
              <w:rPr>
                <w:color w:val="000000"/>
                <w:szCs w:val="21"/>
                <w:highlight w:val="green"/>
              </w:rPr>
              <w:t>2L</w:t>
            </w:r>
          </w:p>
        </w:tc>
        <w:tc>
          <w:tcPr>
            <w:tcW w:w="526" w:type="pct"/>
            <w:noWrap w:val="0"/>
            <w:vAlign w:val="center"/>
          </w:tcPr>
          <w:p w14:paraId="52046515">
            <w:pPr>
              <w:spacing w:line="0" w:lineRule="atLeast"/>
              <w:jc w:val="center"/>
              <w:rPr>
                <w:rFonts w:hint="eastAsia"/>
                <w:color w:val="000000"/>
                <w:szCs w:val="21"/>
                <w:highlight w:val="green"/>
              </w:rPr>
            </w:pPr>
            <w:r>
              <w:rPr>
                <w:rFonts w:hint="eastAsia"/>
                <w:color w:val="000000"/>
                <w:szCs w:val="21"/>
                <w:highlight w:val="green"/>
              </w:rPr>
              <w:t>250</w:t>
            </w:r>
          </w:p>
        </w:tc>
      </w:tr>
      <w:tr w14:paraId="0365A5B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01C0B8F9">
            <w:pPr>
              <w:widowControl/>
              <w:jc w:val="center"/>
              <w:rPr>
                <w:color w:val="000000"/>
                <w:szCs w:val="21"/>
                <w:highlight w:val="green"/>
              </w:rPr>
            </w:pPr>
            <w:r>
              <w:rPr>
                <w:rFonts w:hint="eastAsia"/>
                <w:color w:val="000000"/>
                <w:szCs w:val="21"/>
                <w:highlight w:val="green"/>
              </w:rPr>
              <w:t>铜</w:t>
            </w:r>
          </w:p>
          <w:p w14:paraId="5FF5CB45">
            <w:pPr>
              <w:widowControl/>
              <w:jc w:val="center"/>
              <w:rPr>
                <w:color w:val="000000"/>
                <w:szCs w:val="21"/>
                <w:highlight w:val="green"/>
              </w:rPr>
            </w:pPr>
            <w:r>
              <w:rPr>
                <w:rFonts w:hint="eastAsia"/>
                <w:color w:val="000000"/>
                <w:szCs w:val="21"/>
                <w:highlight w:val="green"/>
              </w:rPr>
              <w:t>（</w:t>
            </w:r>
            <w:r>
              <w:rPr>
                <w:color w:val="000000"/>
                <w:szCs w:val="21"/>
                <w:highlight w:val="green"/>
              </w:rPr>
              <w:t>mg/kg</w:t>
            </w:r>
            <w:r>
              <w:rPr>
                <w:rFonts w:hint="eastAsia"/>
                <w:color w:val="000000"/>
                <w:szCs w:val="21"/>
                <w:highlight w:val="green"/>
              </w:rPr>
              <w:t>）</w:t>
            </w:r>
          </w:p>
        </w:tc>
        <w:tc>
          <w:tcPr>
            <w:tcW w:w="791" w:type="pct"/>
            <w:noWrap w:val="0"/>
            <w:vAlign w:val="center"/>
          </w:tcPr>
          <w:p w14:paraId="058228A2">
            <w:pPr>
              <w:jc w:val="center"/>
              <w:rPr>
                <w:color w:val="000000"/>
                <w:highlight w:val="green"/>
              </w:rPr>
            </w:pPr>
            <w:r>
              <w:rPr>
                <w:rFonts w:hint="eastAsia"/>
                <w:color w:val="000000"/>
                <w:szCs w:val="21"/>
                <w:highlight w:val="green"/>
              </w:rPr>
              <w:t>4月18日</w:t>
            </w:r>
          </w:p>
        </w:tc>
        <w:tc>
          <w:tcPr>
            <w:tcW w:w="790" w:type="pct"/>
            <w:noWrap w:val="0"/>
            <w:vAlign w:val="center"/>
          </w:tcPr>
          <w:p w14:paraId="7F1F6D24">
            <w:pPr>
              <w:jc w:val="center"/>
              <w:rPr>
                <w:color w:val="000000"/>
                <w:szCs w:val="21"/>
                <w:highlight w:val="green"/>
              </w:rPr>
            </w:pPr>
            <w:r>
              <w:rPr>
                <w:color w:val="000000"/>
                <w:szCs w:val="21"/>
                <w:highlight w:val="green"/>
              </w:rPr>
              <w:t>25</w:t>
            </w:r>
          </w:p>
        </w:tc>
        <w:tc>
          <w:tcPr>
            <w:tcW w:w="904" w:type="pct"/>
            <w:noWrap w:val="0"/>
            <w:vAlign w:val="center"/>
          </w:tcPr>
          <w:p w14:paraId="53BCACD5">
            <w:pPr>
              <w:jc w:val="center"/>
              <w:rPr>
                <w:color w:val="000000"/>
                <w:szCs w:val="21"/>
                <w:highlight w:val="green"/>
              </w:rPr>
            </w:pPr>
            <w:r>
              <w:rPr>
                <w:color w:val="000000"/>
                <w:szCs w:val="21"/>
                <w:highlight w:val="green"/>
              </w:rPr>
              <w:t>27</w:t>
            </w:r>
          </w:p>
        </w:tc>
        <w:tc>
          <w:tcPr>
            <w:tcW w:w="905" w:type="pct"/>
            <w:noWrap w:val="0"/>
            <w:vAlign w:val="center"/>
          </w:tcPr>
          <w:p w14:paraId="3A43D9AB">
            <w:pPr>
              <w:jc w:val="center"/>
              <w:rPr>
                <w:color w:val="000000"/>
                <w:szCs w:val="21"/>
                <w:highlight w:val="green"/>
              </w:rPr>
            </w:pPr>
            <w:r>
              <w:rPr>
                <w:color w:val="000000"/>
                <w:szCs w:val="21"/>
                <w:highlight w:val="green"/>
              </w:rPr>
              <w:t>28</w:t>
            </w:r>
          </w:p>
        </w:tc>
        <w:tc>
          <w:tcPr>
            <w:tcW w:w="526" w:type="pct"/>
            <w:noWrap w:val="0"/>
            <w:vAlign w:val="center"/>
          </w:tcPr>
          <w:p w14:paraId="4752929D">
            <w:pPr>
              <w:spacing w:line="0" w:lineRule="atLeast"/>
              <w:jc w:val="center"/>
              <w:rPr>
                <w:rFonts w:hint="eastAsia"/>
                <w:color w:val="000000"/>
                <w:szCs w:val="21"/>
                <w:highlight w:val="green"/>
              </w:rPr>
            </w:pPr>
            <w:r>
              <w:rPr>
                <w:rFonts w:hint="eastAsia"/>
                <w:color w:val="000000"/>
                <w:szCs w:val="21"/>
                <w:highlight w:val="green"/>
              </w:rPr>
              <w:t>100</w:t>
            </w:r>
          </w:p>
        </w:tc>
      </w:tr>
      <w:tr w14:paraId="0EDEF52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5DAB8381">
            <w:pPr>
              <w:widowControl/>
              <w:jc w:val="center"/>
              <w:rPr>
                <w:color w:val="000000"/>
                <w:szCs w:val="21"/>
                <w:highlight w:val="green"/>
              </w:rPr>
            </w:pPr>
            <w:r>
              <w:rPr>
                <w:rFonts w:hint="eastAsia"/>
                <w:color w:val="000000"/>
                <w:szCs w:val="21"/>
                <w:highlight w:val="green"/>
              </w:rPr>
              <w:t>铅</w:t>
            </w:r>
          </w:p>
          <w:p w14:paraId="7DEF45E1">
            <w:pPr>
              <w:widowControl/>
              <w:jc w:val="center"/>
              <w:rPr>
                <w:color w:val="000000"/>
                <w:szCs w:val="21"/>
                <w:highlight w:val="green"/>
              </w:rPr>
            </w:pPr>
            <w:r>
              <w:rPr>
                <w:rFonts w:hint="eastAsia"/>
                <w:color w:val="000000"/>
                <w:szCs w:val="21"/>
                <w:highlight w:val="green"/>
              </w:rPr>
              <w:t>（</w:t>
            </w:r>
            <w:r>
              <w:rPr>
                <w:color w:val="000000"/>
                <w:szCs w:val="21"/>
                <w:highlight w:val="green"/>
              </w:rPr>
              <w:t>mg/kg</w:t>
            </w:r>
            <w:r>
              <w:rPr>
                <w:rFonts w:hint="eastAsia"/>
                <w:color w:val="000000"/>
                <w:szCs w:val="21"/>
                <w:highlight w:val="green"/>
              </w:rPr>
              <w:t>）</w:t>
            </w:r>
          </w:p>
        </w:tc>
        <w:tc>
          <w:tcPr>
            <w:tcW w:w="791" w:type="pct"/>
            <w:noWrap w:val="0"/>
            <w:vAlign w:val="center"/>
          </w:tcPr>
          <w:p w14:paraId="25A5CAD7">
            <w:pPr>
              <w:jc w:val="center"/>
              <w:rPr>
                <w:color w:val="000000"/>
                <w:highlight w:val="green"/>
              </w:rPr>
            </w:pPr>
            <w:r>
              <w:rPr>
                <w:rFonts w:hint="eastAsia"/>
                <w:color w:val="000000"/>
                <w:szCs w:val="21"/>
                <w:highlight w:val="green"/>
              </w:rPr>
              <w:t>4月18日</w:t>
            </w:r>
          </w:p>
        </w:tc>
        <w:tc>
          <w:tcPr>
            <w:tcW w:w="790" w:type="pct"/>
            <w:noWrap w:val="0"/>
            <w:vAlign w:val="center"/>
          </w:tcPr>
          <w:p w14:paraId="145C0332">
            <w:pPr>
              <w:jc w:val="center"/>
              <w:rPr>
                <w:color w:val="000000"/>
                <w:szCs w:val="21"/>
                <w:highlight w:val="green"/>
              </w:rPr>
            </w:pPr>
            <w:r>
              <w:rPr>
                <w:color w:val="000000"/>
                <w:szCs w:val="21"/>
                <w:highlight w:val="green"/>
              </w:rPr>
              <w:t>63</w:t>
            </w:r>
          </w:p>
        </w:tc>
        <w:tc>
          <w:tcPr>
            <w:tcW w:w="904" w:type="pct"/>
            <w:noWrap w:val="0"/>
            <w:vAlign w:val="center"/>
          </w:tcPr>
          <w:p w14:paraId="2528691A">
            <w:pPr>
              <w:jc w:val="center"/>
              <w:rPr>
                <w:color w:val="000000"/>
                <w:szCs w:val="21"/>
                <w:highlight w:val="green"/>
              </w:rPr>
            </w:pPr>
            <w:r>
              <w:rPr>
                <w:color w:val="000000"/>
                <w:szCs w:val="21"/>
                <w:highlight w:val="green"/>
              </w:rPr>
              <w:t>63</w:t>
            </w:r>
          </w:p>
        </w:tc>
        <w:tc>
          <w:tcPr>
            <w:tcW w:w="905" w:type="pct"/>
            <w:noWrap w:val="0"/>
            <w:vAlign w:val="center"/>
          </w:tcPr>
          <w:p w14:paraId="23C99CC9">
            <w:pPr>
              <w:jc w:val="center"/>
              <w:rPr>
                <w:color w:val="000000"/>
                <w:szCs w:val="21"/>
                <w:highlight w:val="green"/>
              </w:rPr>
            </w:pPr>
            <w:r>
              <w:rPr>
                <w:color w:val="000000"/>
                <w:szCs w:val="21"/>
                <w:highlight w:val="green"/>
              </w:rPr>
              <w:t>62</w:t>
            </w:r>
          </w:p>
        </w:tc>
        <w:tc>
          <w:tcPr>
            <w:tcW w:w="526" w:type="pct"/>
            <w:noWrap w:val="0"/>
            <w:vAlign w:val="center"/>
          </w:tcPr>
          <w:p w14:paraId="15673A12">
            <w:pPr>
              <w:jc w:val="center"/>
              <w:rPr>
                <w:rFonts w:hint="eastAsia"/>
                <w:color w:val="000000"/>
                <w:kern w:val="0"/>
                <w:szCs w:val="21"/>
                <w:highlight w:val="green"/>
              </w:rPr>
            </w:pPr>
            <w:r>
              <w:rPr>
                <w:rFonts w:hint="eastAsia"/>
                <w:color w:val="000000"/>
                <w:kern w:val="0"/>
                <w:szCs w:val="21"/>
                <w:highlight w:val="green"/>
              </w:rPr>
              <w:t>170</w:t>
            </w:r>
          </w:p>
        </w:tc>
      </w:tr>
      <w:tr w14:paraId="4F1F670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6E1C68AD">
            <w:pPr>
              <w:widowControl/>
              <w:jc w:val="center"/>
              <w:rPr>
                <w:color w:val="000000"/>
                <w:szCs w:val="21"/>
                <w:highlight w:val="green"/>
              </w:rPr>
            </w:pPr>
            <w:r>
              <w:rPr>
                <w:rFonts w:hint="eastAsia"/>
                <w:color w:val="000000"/>
                <w:szCs w:val="21"/>
                <w:highlight w:val="green"/>
              </w:rPr>
              <w:t>汞</w:t>
            </w:r>
          </w:p>
          <w:p w14:paraId="1139D51B">
            <w:pPr>
              <w:widowControl/>
              <w:jc w:val="center"/>
              <w:rPr>
                <w:color w:val="000000"/>
                <w:szCs w:val="21"/>
                <w:highlight w:val="green"/>
              </w:rPr>
            </w:pPr>
            <w:r>
              <w:rPr>
                <w:rFonts w:hint="eastAsia"/>
                <w:color w:val="000000"/>
                <w:szCs w:val="21"/>
                <w:highlight w:val="green"/>
              </w:rPr>
              <w:t>（</w:t>
            </w:r>
            <w:r>
              <w:rPr>
                <w:color w:val="000000"/>
                <w:szCs w:val="21"/>
                <w:highlight w:val="green"/>
              </w:rPr>
              <w:t>mg/kg</w:t>
            </w:r>
            <w:r>
              <w:rPr>
                <w:rFonts w:hint="eastAsia"/>
                <w:color w:val="000000"/>
                <w:szCs w:val="21"/>
                <w:highlight w:val="green"/>
              </w:rPr>
              <w:t>）</w:t>
            </w:r>
          </w:p>
        </w:tc>
        <w:tc>
          <w:tcPr>
            <w:tcW w:w="791" w:type="pct"/>
            <w:noWrap w:val="0"/>
            <w:vAlign w:val="center"/>
          </w:tcPr>
          <w:p w14:paraId="5A52FDB9">
            <w:pPr>
              <w:jc w:val="center"/>
              <w:rPr>
                <w:color w:val="000000"/>
                <w:highlight w:val="green"/>
              </w:rPr>
            </w:pPr>
            <w:r>
              <w:rPr>
                <w:rFonts w:hint="eastAsia"/>
                <w:color w:val="000000"/>
                <w:szCs w:val="21"/>
                <w:highlight w:val="green"/>
              </w:rPr>
              <w:t>4月18日</w:t>
            </w:r>
          </w:p>
        </w:tc>
        <w:tc>
          <w:tcPr>
            <w:tcW w:w="790" w:type="pct"/>
            <w:noWrap w:val="0"/>
            <w:vAlign w:val="center"/>
          </w:tcPr>
          <w:p w14:paraId="24FE25B3">
            <w:pPr>
              <w:jc w:val="center"/>
              <w:rPr>
                <w:color w:val="000000"/>
                <w:szCs w:val="21"/>
                <w:highlight w:val="green"/>
              </w:rPr>
            </w:pPr>
            <w:r>
              <w:rPr>
                <w:color w:val="000000"/>
                <w:szCs w:val="21"/>
                <w:highlight w:val="green"/>
              </w:rPr>
              <w:t>0.056</w:t>
            </w:r>
          </w:p>
        </w:tc>
        <w:tc>
          <w:tcPr>
            <w:tcW w:w="904" w:type="pct"/>
            <w:noWrap w:val="0"/>
            <w:vAlign w:val="center"/>
          </w:tcPr>
          <w:p w14:paraId="14E8064D">
            <w:pPr>
              <w:jc w:val="center"/>
              <w:rPr>
                <w:color w:val="000000"/>
                <w:szCs w:val="21"/>
                <w:highlight w:val="green"/>
              </w:rPr>
            </w:pPr>
            <w:r>
              <w:rPr>
                <w:color w:val="000000"/>
                <w:szCs w:val="21"/>
                <w:highlight w:val="green"/>
              </w:rPr>
              <w:t>0.039</w:t>
            </w:r>
          </w:p>
        </w:tc>
        <w:tc>
          <w:tcPr>
            <w:tcW w:w="905" w:type="pct"/>
            <w:noWrap w:val="0"/>
            <w:vAlign w:val="center"/>
          </w:tcPr>
          <w:p w14:paraId="2B8361D1">
            <w:pPr>
              <w:jc w:val="center"/>
              <w:rPr>
                <w:color w:val="000000"/>
                <w:szCs w:val="21"/>
                <w:highlight w:val="green"/>
              </w:rPr>
            </w:pPr>
            <w:r>
              <w:rPr>
                <w:color w:val="000000"/>
                <w:szCs w:val="21"/>
                <w:highlight w:val="green"/>
              </w:rPr>
              <w:t>0.060</w:t>
            </w:r>
          </w:p>
        </w:tc>
        <w:tc>
          <w:tcPr>
            <w:tcW w:w="526" w:type="pct"/>
            <w:noWrap w:val="0"/>
            <w:vAlign w:val="center"/>
          </w:tcPr>
          <w:p w14:paraId="5A23559F">
            <w:pPr>
              <w:spacing w:line="0" w:lineRule="atLeast"/>
              <w:jc w:val="center"/>
              <w:rPr>
                <w:rFonts w:hint="eastAsia"/>
                <w:color w:val="000000"/>
                <w:szCs w:val="21"/>
                <w:highlight w:val="green"/>
              </w:rPr>
            </w:pPr>
            <w:r>
              <w:rPr>
                <w:rFonts w:hint="eastAsia"/>
                <w:color w:val="000000"/>
                <w:szCs w:val="21"/>
                <w:highlight w:val="green"/>
              </w:rPr>
              <w:t>3.4</w:t>
            </w:r>
          </w:p>
        </w:tc>
      </w:tr>
      <w:tr w14:paraId="0AD5F0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84" w:type="pct"/>
            <w:noWrap w:val="0"/>
            <w:vAlign w:val="center"/>
          </w:tcPr>
          <w:p w14:paraId="1CA5463B">
            <w:pPr>
              <w:widowControl/>
              <w:jc w:val="center"/>
              <w:rPr>
                <w:color w:val="000000"/>
                <w:szCs w:val="21"/>
                <w:highlight w:val="green"/>
              </w:rPr>
            </w:pPr>
            <w:r>
              <w:rPr>
                <w:rFonts w:hint="eastAsia"/>
                <w:color w:val="000000"/>
                <w:szCs w:val="21"/>
                <w:highlight w:val="green"/>
              </w:rPr>
              <w:t>镍</w:t>
            </w:r>
          </w:p>
          <w:p w14:paraId="0C1C3C41">
            <w:pPr>
              <w:widowControl/>
              <w:jc w:val="center"/>
              <w:rPr>
                <w:color w:val="000000"/>
                <w:szCs w:val="21"/>
                <w:highlight w:val="green"/>
              </w:rPr>
            </w:pPr>
            <w:r>
              <w:rPr>
                <w:rFonts w:hint="eastAsia"/>
                <w:color w:val="000000"/>
                <w:szCs w:val="21"/>
                <w:highlight w:val="green"/>
              </w:rPr>
              <w:t>（</w:t>
            </w:r>
            <w:r>
              <w:rPr>
                <w:color w:val="000000"/>
                <w:szCs w:val="21"/>
                <w:highlight w:val="green"/>
              </w:rPr>
              <w:t>mg/kg</w:t>
            </w:r>
            <w:r>
              <w:rPr>
                <w:rFonts w:hint="eastAsia"/>
                <w:color w:val="000000"/>
                <w:szCs w:val="21"/>
                <w:highlight w:val="green"/>
              </w:rPr>
              <w:t>）</w:t>
            </w:r>
          </w:p>
        </w:tc>
        <w:tc>
          <w:tcPr>
            <w:tcW w:w="791" w:type="pct"/>
            <w:noWrap w:val="0"/>
            <w:vAlign w:val="center"/>
          </w:tcPr>
          <w:p w14:paraId="24CAF6ED">
            <w:pPr>
              <w:jc w:val="center"/>
              <w:rPr>
                <w:color w:val="000000"/>
                <w:highlight w:val="green"/>
              </w:rPr>
            </w:pPr>
            <w:r>
              <w:rPr>
                <w:rFonts w:hint="eastAsia"/>
                <w:color w:val="000000"/>
                <w:szCs w:val="21"/>
                <w:highlight w:val="green"/>
              </w:rPr>
              <w:t>4月18日</w:t>
            </w:r>
          </w:p>
        </w:tc>
        <w:tc>
          <w:tcPr>
            <w:tcW w:w="790" w:type="pct"/>
            <w:noWrap w:val="0"/>
            <w:vAlign w:val="center"/>
          </w:tcPr>
          <w:p w14:paraId="2E565CAA">
            <w:pPr>
              <w:jc w:val="center"/>
              <w:rPr>
                <w:color w:val="000000"/>
                <w:szCs w:val="21"/>
                <w:highlight w:val="green"/>
              </w:rPr>
            </w:pPr>
            <w:r>
              <w:rPr>
                <w:color w:val="000000"/>
                <w:szCs w:val="21"/>
                <w:highlight w:val="green"/>
              </w:rPr>
              <w:t>17</w:t>
            </w:r>
          </w:p>
        </w:tc>
        <w:tc>
          <w:tcPr>
            <w:tcW w:w="904" w:type="pct"/>
            <w:noWrap w:val="0"/>
            <w:vAlign w:val="center"/>
          </w:tcPr>
          <w:p w14:paraId="45533F4E">
            <w:pPr>
              <w:jc w:val="center"/>
              <w:rPr>
                <w:color w:val="000000"/>
                <w:szCs w:val="21"/>
                <w:highlight w:val="green"/>
              </w:rPr>
            </w:pPr>
            <w:r>
              <w:rPr>
                <w:color w:val="000000"/>
                <w:szCs w:val="21"/>
                <w:highlight w:val="green"/>
              </w:rPr>
              <w:t>18</w:t>
            </w:r>
          </w:p>
        </w:tc>
        <w:tc>
          <w:tcPr>
            <w:tcW w:w="905" w:type="pct"/>
            <w:noWrap w:val="0"/>
            <w:vAlign w:val="center"/>
          </w:tcPr>
          <w:p w14:paraId="48E4C73C">
            <w:pPr>
              <w:jc w:val="center"/>
              <w:rPr>
                <w:color w:val="000000"/>
                <w:szCs w:val="21"/>
                <w:highlight w:val="green"/>
              </w:rPr>
            </w:pPr>
            <w:r>
              <w:rPr>
                <w:color w:val="000000"/>
                <w:szCs w:val="21"/>
                <w:highlight w:val="green"/>
              </w:rPr>
              <w:t>18</w:t>
            </w:r>
          </w:p>
        </w:tc>
        <w:tc>
          <w:tcPr>
            <w:tcW w:w="526" w:type="pct"/>
            <w:noWrap w:val="0"/>
            <w:vAlign w:val="center"/>
          </w:tcPr>
          <w:p w14:paraId="6962DD36">
            <w:pPr>
              <w:spacing w:line="0" w:lineRule="atLeast"/>
              <w:jc w:val="center"/>
              <w:rPr>
                <w:rFonts w:hint="eastAsia"/>
                <w:color w:val="000000"/>
                <w:szCs w:val="21"/>
                <w:highlight w:val="green"/>
              </w:rPr>
            </w:pPr>
            <w:r>
              <w:rPr>
                <w:rFonts w:hint="eastAsia"/>
                <w:color w:val="000000"/>
                <w:szCs w:val="21"/>
                <w:highlight w:val="green"/>
              </w:rPr>
              <w:t>190</w:t>
            </w:r>
          </w:p>
        </w:tc>
      </w:tr>
    </w:tbl>
    <w:p w14:paraId="7DE293FA">
      <w:pPr>
        <w:spacing w:line="360" w:lineRule="auto"/>
        <w:ind w:firstLine="480" w:firstLineChars="200"/>
        <w:rPr>
          <w:color w:val="auto"/>
          <w:sz w:val="24"/>
          <w:highlight w:val="none"/>
        </w:rPr>
      </w:pPr>
      <w:r>
        <w:rPr>
          <w:color w:val="auto"/>
          <w:sz w:val="24"/>
          <w:highlight w:val="green"/>
        </w:rPr>
        <w:t>由表中可见，</w:t>
      </w:r>
      <w:r>
        <w:rPr>
          <w:rFonts w:hint="eastAsia"/>
          <w:color w:val="auto"/>
          <w:sz w:val="24"/>
          <w:highlight w:val="green"/>
        </w:rPr>
        <w:t>厂区内</w:t>
      </w:r>
      <w:r>
        <w:rPr>
          <w:color w:val="auto"/>
          <w:sz w:val="24"/>
          <w:highlight w:val="green"/>
        </w:rPr>
        <w:t>土壤环境质量满足</w:t>
      </w:r>
      <w:r>
        <w:rPr>
          <w:rFonts w:hint="eastAsia"/>
          <w:color w:val="auto"/>
          <w:sz w:val="24"/>
          <w:highlight w:val="green"/>
          <w:lang w:eastAsia="zh-CN"/>
        </w:rPr>
        <w:t>《土壤环境质量 农用地土壤污染风险管控标准（试行）》（GB15618-2018）</w:t>
      </w:r>
      <w:r>
        <w:rPr>
          <w:color w:val="auto"/>
          <w:sz w:val="24"/>
          <w:highlight w:val="green"/>
        </w:rPr>
        <w:t>中风险筛选值要求。</w:t>
      </w:r>
    </w:p>
    <w:p w14:paraId="5344D897">
      <w:pPr>
        <w:spacing w:line="360" w:lineRule="auto"/>
        <w:rPr>
          <w:color w:val="auto"/>
          <w:kern w:val="0"/>
          <w:sz w:val="24"/>
          <w:highlight w:val="green"/>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77223AC7">
      <w:pPr>
        <w:pStyle w:val="2"/>
        <w:tabs>
          <w:tab w:val="left" w:pos="360"/>
        </w:tabs>
        <w:spacing w:line="360" w:lineRule="auto"/>
        <w:ind w:left="0"/>
        <w:jc w:val="both"/>
        <w:rPr>
          <w:rFonts w:ascii="Times New Roman" w:eastAsia="宋体"/>
          <w:bCs/>
          <w:color w:val="auto"/>
          <w:sz w:val="32"/>
          <w:szCs w:val="32"/>
        </w:rPr>
      </w:pPr>
      <w:bookmarkStart w:id="288" w:name="_Toc27748"/>
      <w:bookmarkStart w:id="289" w:name="_Toc30639"/>
      <w:bookmarkStart w:id="290" w:name="_Toc13023"/>
      <w:bookmarkStart w:id="291" w:name="_Toc446938393"/>
      <w:bookmarkStart w:id="292" w:name="_Toc448765667"/>
      <w:bookmarkStart w:id="293" w:name="_Toc24027906"/>
      <w:bookmarkStart w:id="294" w:name="_Toc448693437"/>
      <w:bookmarkStart w:id="295" w:name="_Toc448771402"/>
      <w:bookmarkStart w:id="296" w:name="_Toc448693359"/>
      <w:r>
        <w:rPr>
          <w:rFonts w:ascii="Times New Roman" w:eastAsia="宋体"/>
          <w:bCs/>
          <w:color w:val="auto"/>
          <w:sz w:val="32"/>
          <w:szCs w:val="32"/>
        </w:rPr>
        <w:t>5、环境影响预测与评价</w:t>
      </w:r>
      <w:bookmarkEnd w:id="288"/>
      <w:bookmarkEnd w:id="289"/>
      <w:bookmarkEnd w:id="290"/>
    </w:p>
    <w:p w14:paraId="50FDFB7F">
      <w:pPr>
        <w:pStyle w:val="3"/>
        <w:adjustRightInd w:val="0"/>
        <w:jc w:val="both"/>
        <w:rPr>
          <w:rFonts w:eastAsia="宋体"/>
          <w:color w:val="auto"/>
          <w:szCs w:val="28"/>
        </w:rPr>
      </w:pPr>
      <w:bookmarkStart w:id="297" w:name="_Toc30102"/>
      <w:bookmarkStart w:id="298" w:name="_Toc16737"/>
      <w:bookmarkStart w:id="299" w:name="_Toc856"/>
      <w:r>
        <w:rPr>
          <w:rFonts w:eastAsia="宋体"/>
          <w:color w:val="auto"/>
          <w:szCs w:val="28"/>
        </w:rPr>
        <w:t>5.1</w:t>
      </w:r>
      <w:r>
        <w:rPr>
          <w:rFonts w:eastAsia="宋体"/>
          <w:snapToGrid w:val="0"/>
          <w:color w:val="auto"/>
          <w:kern w:val="0"/>
          <w:szCs w:val="28"/>
        </w:rPr>
        <w:t>施工期</w:t>
      </w:r>
      <w:r>
        <w:rPr>
          <w:rFonts w:eastAsia="宋体"/>
          <w:bCs/>
          <w:color w:val="auto"/>
          <w:szCs w:val="28"/>
        </w:rPr>
        <w:t>环境影响预测与评价</w:t>
      </w:r>
      <w:bookmarkEnd w:id="297"/>
      <w:bookmarkEnd w:id="298"/>
      <w:bookmarkEnd w:id="299"/>
    </w:p>
    <w:p w14:paraId="0EF7D039">
      <w:pPr>
        <w:pStyle w:val="4"/>
        <w:snapToGrid w:val="0"/>
        <w:spacing w:before="0"/>
        <w:rPr>
          <w:rFonts w:ascii="Times New Roman" w:hAnsi="Times New Roman" w:eastAsia="宋体"/>
          <w:bCs/>
          <w:color w:val="auto"/>
          <w:sz w:val="28"/>
          <w:szCs w:val="28"/>
        </w:rPr>
      </w:pPr>
      <w:bookmarkStart w:id="300" w:name="_Toc28286"/>
      <w:bookmarkStart w:id="301" w:name="_Toc479754862"/>
      <w:r>
        <w:rPr>
          <w:rFonts w:ascii="Times New Roman" w:hAnsi="Times New Roman" w:eastAsia="宋体"/>
          <w:bCs/>
          <w:color w:val="auto"/>
          <w:sz w:val="28"/>
          <w:szCs w:val="28"/>
        </w:rPr>
        <w:t>5.1.1施工期大气环境影响分析</w:t>
      </w:r>
      <w:bookmarkEnd w:id="300"/>
      <w:bookmarkEnd w:id="301"/>
    </w:p>
    <w:p w14:paraId="5DAB1443">
      <w:pPr>
        <w:snapToGrid w:val="0"/>
        <w:spacing w:line="360" w:lineRule="auto"/>
        <w:ind w:firstLine="480" w:firstLineChars="200"/>
        <w:rPr>
          <w:color w:val="auto"/>
          <w:sz w:val="24"/>
        </w:rPr>
      </w:pPr>
      <w:r>
        <w:rPr>
          <w:color w:val="auto"/>
          <w:sz w:val="24"/>
        </w:rPr>
        <w:t>本项目施工期不设混凝土拌合站，混凝土外购。施工期大气污染物主要是施工过程中产生的扬尘和运输车辆产生的汽车尾气</w:t>
      </w:r>
      <w:r>
        <w:rPr>
          <w:bCs/>
          <w:color w:val="auto"/>
          <w:kern w:val="0"/>
          <w:sz w:val="24"/>
        </w:rPr>
        <w:t>。</w:t>
      </w:r>
    </w:p>
    <w:p w14:paraId="1B6FB55F">
      <w:pPr>
        <w:snapToGrid w:val="0"/>
        <w:spacing w:line="360" w:lineRule="auto"/>
        <w:ind w:firstLine="480" w:firstLineChars="200"/>
        <w:rPr>
          <w:color w:val="auto"/>
          <w:sz w:val="24"/>
        </w:rPr>
      </w:pPr>
      <w:r>
        <w:rPr>
          <w:bCs/>
          <w:color w:val="auto"/>
          <w:kern w:val="0"/>
          <w:sz w:val="24"/>
        </w:rPr>
        <w:t>(1)扬尘影响分析</w:t>
      </w:r>
    </w:p>
    <w:p w14:paraId="328FBE5C">
      <w:pPr>
        <w:spacing w:line="360" w:lineRule="auto"/>
        <w:ind w:firstLine="480" w:firstLineChars="200"/>
        <w:rPr>
          <w:color w:val="auto"/>
          <w:sz w:val="24"/>
        </w:rPr>
      </w:pPr>
      <w:r>
        <w:rPr>
          <w:color w:val="auto"/>
          <w:sz w:val="24"/>
        </w:rPr>
        <w:t>在施工过程中，土石方开挖回填、建筑材料的汽车装卸和堆放等都会产生扬尘，对环境空气质量造成影响。在天气干燥的季节，渣土堆放过程易产生风蚀扬尘，装车是易造成尘土飞扬，运输车辆的夹带和遗洒，在风力和车轮的共同作用下，用易产生扬尘。本项目施工扬尘范围较大，露天作业，施工期扬尘排放源较多，扬尘影响至下风向数百米，在干燥大风天气则扬尘加大。根据同类建筑施工工地扬尘影响范围进行类比，当风速为2.4m/s时，其建筑施工扬尘的影响范围情况见表5</w:t>
      </w:r>
      <w:r>
        <w:rPr>
          <w:rFonts w:hint="eastAsia"/>
          <w:color w:val="auto"/>
          <w:sz w:val="24"/>
          <w:lang w:val="en-US" w:eastAsia="zh-CN"/>
        </w:rPr>
        <w:t>.1</w:t>
      </w:r>
      <w:r>
        <w:rPr>
          <w:color w:val="auto"/>
          <w:sz w:val="24"/>
        </w:rPr>
        <w:t>-1。</w:t>
      </w:r>
    </w:p>
    <w:p w14:paraId="4B125418">
      <w:pPr>
        <w:ind w:firstLine="535" w:firstLineChars="254"/>
        <w:jc w:val="center"/>
        <w:rPr>
          <w:b/>
          <w:color w:val="auto"/>
          <w:szCs w:val="21"/>
        </w:rPr>
      </w:pPr>
      <w:r>
        <w:rPr>
          <w:b/>
          <w:color w:val="auto"/>
          <w:szCs w:val="21"/>
        </w:rPr>
        <w:t>表5</w:t>
      </w:r>
      <w:r>
        <w:rPr>
          <w:rFonts w:hint="eastAsia"/>
          <w:b/>
          <w:color w:val="auto"/>
          <w:szCs w:val="21"/>
          <w:lang w:val="en-US" w:eastAsia="zh-CN"/>
        </w:rPr>
        <w:t>.1</w:t>
      </w:r>
      <w:r>
        <w:rPr>
          <w:b/>
          <w:color w:val="auto"/>
          <w:szCs w:val="21"/>
        </w:rPr>
        <w:t xml:space="preserve">-1   </w:t>
      </w:r>
      <w:r>
        <w:rPr>
          <w:rFonts w:hint="eastAsia"/>
          <w:b/>
          <w:color w:val="auto"/>
          <w:szCs w:val="21"/>
          <w:lang w:val="en-US" w:eastAsia="zh-CN"/>
        </w:rPr>
        <w:t xml:space="preserve"> </w:t>
      </w:r>
      <w:r>
        <w:rPr>
          <w:b/>
          <w:color w:val="auto"/>
          <w:szCs w:val="21"/>
        </w:rPr>
        <w:t>工地扬尘污染影响</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73"/>
        <w:gridCol w:w="1749"/>
        <w:gridCol w:w="1319"/>
        <w:gridCol w:w="1429"/>
        <w:gridCol w:w="1429"/>
        <w:gridCol w:w="1429"/>
      </w:tblGrid>
      <w:tr w14:paraId="760BE2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1473" w:type="dxa"/>
            <w:vMerge w:val="restart"/>
            <w:tcBorders>
              <w:top w:val="double" w:color="auto" w:sz="4" w:space="0"/>
              <w:left w:val="nil"/>
              <w:right w:val="single" w:color="auto" w:sz="4" w:space="0"/>
            </w:tcBorders>
            <w:vAlign w:val="center"/>
          </w:tcPr>
          <w:p w14:paraId="7443E224">
            <w:pPr>
              <w:pStyle w:val="33"/>
              <w:tabs>
                <w:tab w:val="left" w:pos="9432"/>
              </w:tabs>
              <w:spacing w:after="0" w:line="240" w:lineRule="auto"/>
              <w:ind w:left="0" w:leftChars="0"/>
              <w:jc w:val="center"/>
              <w:rPr>
                <w:color w:val="auto"/>
                <w:szCs w:val="21"/>
              </w:rPr>
            </w:pPr>
            <w:r>
              <w:rPr>
                <w:color w:val="auto"/>
                <w:szCs w:val="21"/>
              </w:rPr>
              <w:t>污染物</w:t>
            </w:r>
          </w:p>
        </w:tc>
        <w:tc>
          <w:tcPr>
            <w:tcW w:w="7355" w:type="dxa"/>
            <w:gridSpan w:val="5"/>
            <w:tcBorders>
              <w:top w:val="double" w:color="auto" w:sz="4" w:space="0"/>
              <w:left w:val="single" w:color="auto" w:sz="4" w:space="0"/>
              <w:bottom w:val="single" w:color="auto" w:sz="4" w:space="0"/>
              <w:right w:val="nil"/>
            </w:tcBorders>
            <w:vAlign w:val="center"/>
          </w:tcPr>
          <w:p w14:paraId="083833FD">
            <w:pPr>
              <w:pStyle w:val="33"/>
              <w:tabs>
                <w:tab w:val="left" w:pos="9432"/>
              </w:tabs>
              <w:spacing w:after="0" w:line="240" w:lineRule="auto"/>
              <w:ind w:left="0" w:leftChars="0" w:firstLine="476" w:firstLineChars="227"/>
              <w:jc w:val="center"/>
              <w:rPr>
                <w:color w:val="auto"/>
                <w:szCs w:val="21"/>
              </w:rPr>
            </w:pPr>
            <w:r>
              <w:rPr>
                <w:color w:val="auto"/>
                <w:szCs w:val="21"/>
              </w:rPr>
              <w:t>总悬浮颗粒物（TSP)mg/m</w:t>
            </w:r>
            <w:r>
              <w:rPr>
                <w:color w:val="auto"/>
                <w:szCs w:val="21"/>
                <w:vertAlign w:val="superscript"/>
              </w:rPr>
              <w:t>3</w:t>
            </w:r>
          </w:p>
        </w:tc>
      </w:tr>
      <w:tr w14:paraId="64073FA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1473" w:type="dxa"/>
            <w:vMerge w:val="continue"/>
            <w:tcBorders>
              <w:left w:val="nil"/>
              <w:right w:val="single" w:color="auto" w:sz="4" w:space="0"/>
            </w:tcBorders>
            <w:vAlign w:val="center"/>
          </w:tcPr>
          <w:p w14:paraId="01AF53B8">
            <w:pPr>
              <w:widowControl/>
              <w:jc w:val="center"/>
              <w:rPr>
                <w:color w:val="auto"/>
                <w:szCs w:val="21"/>
              </w:rPr>
            </w:pPr>
          </w:p>
        </w:tc>
        <w:tc>
          <w:tcPr>
            <w:tcW w:w="1749" w:type="dxa"/>
            <w:tcBorders>
              <w:top w:val="single" w:color="auto" w:sz="4" w:space="0"/>
              <w:left w:val="single" w:color="auto" w:sz="4" w:space="0"/>
              <w:bottom w:val="single" w:color="auto" w:sz="4" w:space="0"/>
              <w:right w:val="single" w:color="auto" w:sz="4" w:space="0"/>
            </w:tcBorders>
            <w:vAlign w:val="center"/>
          </w:tcPr>
          <w:p w14:paraId="4C86026C">
            <w:pPr>
              <w:pStyle w:val="33"/>
              <w:tabs>
                <w:tab w:val="left" w:pos="9432"/>
              </w:tabs>
              <w:spacing w:after="0" w:line="240" w:lineRule="auto"/>
              <w:ind w:left="0" w:leftChars="0"/>
              <w:jc w:val="center"/>
              <w:rPr>
                <w:color w:val="auto"/>
                <w:szCs w:val="21"/>
              </w:rPr>
            </w:pPr>
            <w:r>
              <w:rPr>
                <w:color w:val="auto"/>
                <w:szCs w:val="21"/>
              </w:rPr>
              <w:t>上风向（m）</w:t>
            </w:r>
          </w:p>
        </w:tc>
        <w:tc>
          <w:tcPr>
            <w:tcW w:w="5606" w:type="dxa"/>
            <w:gridSpan w:val="4"/>
            <w:tcBorders>
              <w:top w:val="single" w:color="auto" w:sz="4" w:space="0"/>
              <w:left w:val="single" w:color="auto" w:sz="4" w:space="0"/>
              <w:bottom w:val="single" w:color="auto" w:sz="4" w:space="0"/>
              <w:right w:val="nil"/>
            </w:tcBorders>
            <w:vAlign w:val="center"/>
          </w:tcPr>
          <w:p w14:paraId="6E922BFA">
            <w:pPr>
              <w:pStyle w:val="33"/>
              <w:tabs>
                <w:tab w:val="left" w:pos="9432"/>
              </w:tabs>
              <w:spacing w:after="0" w:line="240" w:lineRule="auto"/>
              <w:ind w:left="0" w:leftChars="0"/>
              <w:jc w:val="center"/>
              <w:rPr>
                <w:color w:val="auto"/>
                <w:szCs w:val="21"/>
              </w:rPr>
            </w:pPr>
            <w:r>
              <w:rPr>
                <w:color w:val="auto"/>
                <w:szCs w:val="21"/>
              </w:rPr>
              <w:t>下风向（m)</w:t>
            </w:r>
          </w:p>
        </w:tc>
      </w:tr>
      <w:tr w14:paraId="30510D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1473" w:type="dxa"/>
            <w:vMerge w:val="continue"/>
            <w:tcBorders>
              <w:left w:val="nil"/>
              <w:right w:val="single" w:color="auto" w:sz="4" w:space="0"/>
            </w:tcBorders>
            <w:vAlign w:val="center"/>
          </w:tcPr>
          <w:p w14:paraId="281CA982">
            <w:pPr>
              <w:widowControl/>
              <w:jc w:val="center"/>
              <w:rPr>
                <w:color w:val="auto"/>
                <w:szCs w:val="21"/>
              </w:rPr>
            </w:pPr>
          </w:p>
        </w:tc>
        <w:tc>
          <w:tcPr>
            <w:tcW w:w="1749" w:type="dxa"/>
            <w:tcBorders>
              <w:top w:val="single" w:color="auto" w:sz="4" w:space="0"/>
              <w:left w:val="single" w:color="auto" w:sz="4" w:space="0"/>
              <w:bottom w:val="single" w:color="auto" w:sz="4" w:space="0"/>
              <w:right w:val="single" w:color="auto" w:sz="4" w:space="0"/>
            </w:tcBorders>
            <w:vAlign w:val="center"/>
          </w:tcPr>
          <w:p w14:paraId="5CA3B714">
            <w:pPr>
              <w:pStyle w:val="33"/>
              <w:tabs>
                <w:tab w:val="left" w:pos="9432"/>
              </w:tabs>
              <w:spacing w:after="0" w:line="240" w:lineRule="auto"/>
              <w:ind w:left="0" w:leftChars="0"/>
              <w:jc w:val="center"/>
              <w:rPr>
                <w:color w:val="auto"/>
                <w:szCs w:val="21"/>
              </w:rPr>
            </w:pPr>
            <w:r>
              <w:rPr>
                <w:color w:val="auto"/>
                <w:szCs w:val="21"/>
              </w:rPr>
              <w:t>50</w:t>
            </w:r>
          </w:p>
        </w:tc>
        <w:tc>
          <w:tcPr>
            <w:tcW w:w="1319" w:type="dxa"/>
            <w:tcBorders>
              <w:top w:val="single" w:color="auto" w:sz="4" w:space="0"/>
              <w:left w:val="single" w:color="auto" w:sz="4" w:space="0"/>
              <w:bottom w:val="single" w:color="auto" w:sz="4" w:space="0"/>
              <w:right w:val="single" w:color="auto" w:sz="4" w:space="0"/>
            </w:tcBorders>
            <w:vAlign w:val="center"/>
          </w:tcPr>
          <w:p w14:paraId="7BEE62F6">
            <w:pPr>
              <w:pStyle w:val="33"/>
              <w:tabs>
                <w:tab w:val="left" w:pos="9432"/>
              </w:tabs>
              <w:spacing w:after="0" w:line="240" w:lineRule="auto"/>
              <w:ind w:left="0" w:leftChars="0"/>
              <w:jc w:val="center"/>
              <w:rPr>
                <w:color w:val="auto"/>
                <w:szCs w:val="21"/>
              </w:rPr>
            </w:pPr>
            <w:r>
              <w:rPr>
                <w:color w:val="auto"/>
                <w:szCs w:val="21"/>
              </w:rPr>
              <w:t>50</w:t>
            </w:r>
          </w:p>
        </w:tc>
        <w:tc>
          <w:tcPr>
            <w:tcW w:w="1429" w:type="dxa"/>
            <w:tcBorders>
              <w:top w:val="single" w:color="auto" w:sz="4" w:space="0"/>
              <w:left w:val="single" w:color="auto" w:sz="4" w:space="0"/>
              <w:bottom w:val="single" w:color="auto" w:sz="4" w:space="0"/>
              <w:right w:val="single" w:color="auto" w:sz="4" w:space="0"/>
            </w:tcBorders>
            <w:vAlign w:val="center"/>
          </w:tcPr>
          <w:p w14:paraId="15DC492B">
            <w:pPr>
              <w:pStyle w:val="33"/>
              <w:tabs>
                <w:tab w:val="left" w:pos="9432"/>
              </w:tabs>
              <w:spacing w:after="0" w:line="240" w:lineRule="auto"/>
              <w:ind w:left="0" w:leftChars="0"/>
              <w:jc w:val="center"/>
              <w:rPr>
                <w:color w:val="auto"/>
                <w:szCs w:val="21"/>
              </w:rPr>
            </w:pPr>
            <w:r>
              <w:rPr>
                <w:color w:val="auto"/>
                <w:szCs w:val="21"/>
              </w:rPr>
              <w:t>100</w:t>
            </w:r>
          </w:p>
        </w:tc>
        <w:tc>
          <w:tcPr>
            <w:tcW w:w="1429" w:type="dxa"/>
            <w:tcBorders>
              <w:top w:val="single" w:color="auto" w:sz="4" w:space="0"/>
              <w:left w:val="single" w:color="auto" w:sz="4" w:space="0"/>
              <w:bottom w:val="single" w:color="auto" w:sz="4" w:space="0"/>
              <w:right w:val="single" w:color="auto" w:sz="4" w:space="0"/>
            </w:tcBorders>
            <w:vAlign w:val="center"/>
          </w:tcPr>
          <w:p w14:paraId="0F999CCF">
            <w:pPr>
              <w:pStyle w:val="33"/>
              <w:tabs>
                <w:tab w:val="left" w:pos="9432"/>
              </w:tabs>
              <w:spacing w:after="0" w:line="240" w:lineRule="auto"/>
              <w:ind w:left="0" w:leftChars="0"/>
              <w:jc w:val="center"/>
              <w:rPr>
                <w:color w:val="auto"/>
                <w:szCs w:val="21"/>
              </w:rPr>
            </w:pPr>
            <w:r>
              <w:rPr>
                <w:color w:val="auto"/>
                <w:szCs w:val="21"/>
              </w:rPr>
              <w:t>150</w:t>
            </w:r>
          </w:p>
        </w:tc>
        <w:tc>
          <w:tcPr>
            <w:tcW w:w="1429" w:type="dxa"/>
            <w:tcBorders>
              <w:top w:val="single" w:color="auto" w:sz="4" w:space="0"/>
              <w:left w:val="single" w:color="auto" w:sz="4" w:space="0"/>
              <w:bottom w:val="single" w:color="auto" w:sz="4" w:space="0"/>
              <w:right w:val="nil"/>
            </w:tcBorders>
            <w:vAlign w:val="center"/>
          </w:tcPr>
          <w:p w14:paraId="4B80CDA9">
            <w:pPr>
              <w:pStyle w:val="33"/>
              <w:tabs>
                <w:tab w:val="left" w:pos="9432"/>
              </w:tabs>
              <w:spacing w:after="0" w:line="240" w:lineRule="auto"/>
              <w:ind w:left="0" w:leftChars="0"/>
              <w:jc w:val="center"/>
              <w:rPr>
                <w:color w:val="auto"/>
                <w:szCs w:val="21"/>
              </w:rPr>
            </w:pPr>
            <w:r>
              <w:rPr>
                <w:color w:val="auto"/>
                <w:szCs w:val="21"/>
              </w:rPr>
              <w:t>平均值</w:t>
            </w:r>
          </w:p>
        </w:tc>
      </w:tr>
      <w:tr w14:paraId="1EE523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1473" w:type="dxa"/>
            <w:vMerge w:val="continue"/>
            <w:tcBorders>
              <w:left w:val="nil"/>
              <w:right w:val="single" w:color="auto" w:sz="4" w:space="0"/>
            </w:tcBorders>
            <w:vAlign w:val="center"/>
          </w:tcPr>
          <w:p w14:paraId="6D4EE20D">
            <w:pPr>
              <w:widowControl/>
              <w:jc w:val="center"/>
              <w:rPr>
                <w:color w:val="auto"/>
                <w:szCs w:val="21"/>
              </w:rPr>
            </w:pPr>
          </w:p>
        </w:tc>
        <w:tc>
          <w:tcPr>
            <w:tcW w:w="1749" w:type="dxa"/>
            <w:tcBorders>
              <w:top w:val="single" w:color="auto" w:sz="4" w:space="0"/>
              <w:left w:val="single" w:color="auto" w:sz="4" w:space="0"/>
              <w:bottom w:val="single" w:color="auto" w:sz="4" w:space="0"/>
              <w:right w:val="single" w:color="auto" w:sz="4" w:space="0"/>
            </w:tcBorders>
            <w:vAlign w:val="center"/>
          </w:tcPr>
          <w:p w14:paraId="2BA27A1C">
            <w:pPr>
              <w:pStyle w:val="33"/>
              <w:tabs>
                <w:tab w:val="left" w:pos="9432"/>
              </w:tabs>
              <w:spacing w:after="0" w:line="240" w:lineRule="auto"/>
              <w:ind w:left="0" w:leftChars="0"/>
              <w:jc w:val="center"/>
              <w:rPr>
                <w:color w:val="auto"/>
                <w:szCs w:val="21"/>
              </w:rPr>
            </w:pPr>
            <w:r>
              <w:rPr>
                <w:color w:val="auto"/>
                <w:szCs w:val="21"/>
              </w:rPr>
              <w:t>0.320</w:t>
            </w:r>
          </w:p>
        </w:tc>
        <w:tc>
          <w:tcPr>
            <w:tcW w:w="1319" w:type="dxa"/>
            <w:tcBorders>
              <w:top w:val="single" w:color="auto" w:sz="4" w:space="0"/>
              <w:left w:val="single" w:color="auto" w:sz="4" w:space="0"/>
              <w:bottom w:val="single" w:color="auto" w:sz="4" w:space="0"/>
              <w:right w:val="single" w:color="auto" w:sz="4" w:space="0"/>
            </w:tcBorders>
            <w:vAlign w:val="center"/>
          </w:tcPr>
          <w:p w14:paraId="2B31816A">
            <w:pPr>
              <w:pStyle w:val="33"/>
              <w:tabs>
                <w:tab w:val="left" w:pos="9432"/>
              </w:tabs>
              <w:spacing w:after="0" w:line="240" w:lineRule="auto"/>
              <w:ind w:left="0" w:leftChars="0"/>
              <w:jc w:val="center"/>
              <w:rPr>
                <w:color w:val="auto"/>
                <w:szCs w:val="21"/>
              </w:rPr>
            </w:pPr>
            <w:r>
              <w:rPr>
                <w:color w:val="auto"/>
                <w:szCs w:val="21"/>
              </w:rPr>
              <w:t>0.607</w:t>
            </w:r>
          </w:p>
        </w:tc>
        <w:tc>
          <w:tcPr>
            <w:tcW w:w="1429" w:type="dxa"/>
            <w:tcBorders>
              <w:top w:val="single" w:color="auto" w:sz="4" w:space="0"/>
              <w:left w:val="single" w:color="auto" w:sz="4" w:space="0"/>
              <w:bottom w:val="single" w:color="auto" w:sz="4" w:space="0"/>
              <w:right w:val="single" w:color="auto" w:sz="4" w:space="0"/>
            </w:tcBorders>
            <w:vAlign w:val="center"/>
          </w:tcPr>
          <w:p w14:paraId="40745663">
            <w:pPr>
              <w:pStyle w:val="33"/>
              <w:tabs>
                <w:tab w:val="left" w:pos="9432"/>
              </w:tabs>
              <w:spacing w:after="0" w:line="240" w:lineRule="auto"/>
              <w:ind w:left="0" w:leftChars="0"/>
              <w:jc w:val="center"/>
              <w:rPr>
                <w:color w:val="auto"/>
                <w:szCs w:val="21"/>
              </w:rPr>
            </w:pPr>
            <w:r>
              <w:rPr>
                <w:color w:val="auto"/>
                <w:szCs w:val="21"/>
              </w:rPr>
              <w:t>0.506</w:t>
            </w:r>
          </w:p>
        </w:tc>
        <w:tc>
          <w:tcPr>
            <w:tcW w:w="1429" w:type="dxa"/>
            <w:tcBorders>
              <w:top w:val="single" w:color="auto" w:sz="4" w:space="0"/>
              <w:left w:val="single" w:color="auto" w:sz="4" w:space="0"/>
              <w:bottom w:val="single" w:color="auto" w:sz="4" w:space="0"/>
              <w:right w:val="single" w:color="auto" w:sz="4" w:space="0"/>
            </w:tcBorders>
            <w:vAlign w:val="center"/>
          </w:tcPr>
          <w:p w14:paraId="2FDE35B6">
            <w:pPr>
              <w:pStyle w:val="33"/>
              <w:tabs>
                <w:tab w:val="left" w:pos="9432"/>
              </w:tabs>
              <w:spacing w:after="0" w:line="240" w:lineRule="auto"/>
              <w:ind w:left="0" w:leftChars="0"/>
              <w:jc w:val="center"/>
              <w:rPr>
                <w:color w:val="auto"/>
                <w:szCs w:val="21"/>
              </w:rPr>
            </w:pPr>
            <w:r>
              <w:rPr>
                <w:color w:val="auto"/>
                <w:szCs w:val="21"/>
              </w:rPr>
              <w:t>0.406</w:t>
            </w:r>
          </w:p>
        </w:tc>
        <w:tc>
          <w:tcPr>
            <w:tcW w:w="1429" w:type="dxa"/>
            <w:tcBorders>
              <w:top w:val="single" w:color="auto" w:sz="4" w:space="0"/>
              <w:left w:val="single" w:color="auto" w:sz="4" w:space="0"/>
              <w:bottom w:val="single" w:color="auto" w:sz="4" w:space="0"/>
              <w:right w:val="nil"/>
            </w:tcBorders>
            <w:vAlign w:val="center"/>
          </w:tcPr>
          <w:p w14:paraId="7D6D1F72">
            <w:pPr>
              <w:pStyle w:val="33"/>
              <w:tabs>
                <w:tab w:val="left" w:pos="9432"/>
              </w:tabs>
              <w:spacing w:after="0" w:line="240" w:lineRule="auto"/>
              <w:ind w:left="0" w:leftChars="0"/>
              <w:jc w:val="center"/>
              <w:rPr>
                <w:color w:val="auto"/>
                <w:szCs w:val="21"/>
              </w:rPr>
            </w:pPr>
            <w:r>
              <w:rPr>
                <w:color w:val="auto"/>
                <w:szCs w:val="21"/>
              </w:rPr>
              <w:t>0.506</w:t>
            </w:r>
          </w:p>
        </w:tc>
      </w:tr>
      <w:tr w14:paraId="18508C7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1473" w:type="dxa"/>
            <w:vMerge w:val="continue"/>
            <w:tcBorders>
              <w:left w:val="nil"/>
              <w:right w:val="single" w:color="auto" w:sz="4" w:space="0"/>
            </w:tcBorders>
            <w:vAlign w:val="center"/>
          </w:tcPr>
          <w:p w14:paraId="15775BC0">
            <w:pPr>
              <w:widowControl/>
              <w:jc w:val="center"/>
              <w:rPr>
                <w:color w:val="auto"/>
                <w:szCs w:val="21"/>
              </w:rPr>
            </w:pPr>
          </w:p>
        </w:tc>
        <w:tc>
          <w:tcPr>
            <w:tcW w:w="1749" w:type="dxa"/>
            <w:tcBorders>
              <w:top w:val="single" w:color="auto" w:sz="4" w:space="0"/>
              <w:left w:val="single" w:color="auto" w:sz="4" w:space="0"/>
              <w:bottom w:val="single" w:color="auto" w:sz="4" w:space="0"/>
              <w:right w:val="single" w:color="auto" w:sz="4" w:space="0"/>
            </w:tcBorders>
            <w:vAlign w:val="center"/>
          </w:tcPr>
          <w:p w14:paraId="580AB7F4">
            <w:pPr>
              <w:pStyle w:val="33"/>
              <w:tabs>
                <w:tab w:val="left" w:pos="9432"/>
              </w:tabs>
              <w:spacing w:after="0" w:line="240" w:lineRule="auto"/>
              <w:ind w:left="0" w:leftChars="0"/>
              <w:jc w:val="center"/>
              <w:rPr>
                <w:color w:val="auto"/>
                <w:szCs w:val="21"/>
              </w:rPr>
            </w:pPr>
            <w:r>
              <w:rPr>
                <w:color w:val="auto"/>
                <w:szCs w:val="21"/>
              </w:rPr>
              <w:t>0.325</w:t>
            </w:r>
          </w:p>
        </w:tc>
        <w:tc>
          <w:tcPr>
            <w:tcW w:w="1319" w:type="dxa"/>
            <w:tcBorders>
              <w:top w:val="single" w:color="auto" w:sz="4" w:space="0"/>
              <w:left w:val="single" w:color="auto" w:sz="4" w:space="0"/>
              <w:bottom w:val="single" w:color="auto" w:sz="4" w:space="0"/>
              <w:right w:val="single" w:color="auto" w:sz="4" w:space="0"/>
            </w:tcBorders>
            <w:vAlign w:val="center"/>
          </w:tcPr>
          <w:p w14:paraId="422CFBAF">
            <w:pPr>
              <w:pStyle w:val="33"/>
              <w:tabs>
                <w:tab w:val="left" w:pos="9432"/>
              </w:tabs>
              <w:spacing w:after="0" w:line="240" w:lineRule="auto"/>
              <w:ind w:left="0" w:leftChars="0"/>
              <w:jc w:val="center"/>
              <w:rPr>
                <w:color w:val="auto"/>
                <w:szCs w:val="21"/>
              </w:rPr>
            </w:pPr>
            <w:r>
              <w:rPr>
                <w:color w:val="auto"/>
                <w:szCs w:val="21"/>
              </w:rPr>
              <w:t>0.586</w:t>
            </w:r>
          </w:p>
        </w:tc>
        <w:tc>
          <w:tcPr>
            <w:tcW w:w="1429" w:type="dxa"/>
            <w:tcBorders>
              <w:top w:val="single" w:color="auto" w:sz="4" w:space="0"/>
              <w:left w:val="single" w:color="auto" w:sz="4" w:space="0"/>
              <w:bottom w:val="single" w:color="auto" w:sz="4" w:space="0"/>
              <w:right w:val="single" w:color="auto" w:sz="4" w:space="0"/>
            </w:tcBorders>
            <w:vAlign w:val="center"/>
          </w:tcPr>
          <w:p w14:paraId="3F498EBE">
            <w:pPr>
              <w:pStyle w:val="33"/>
              <w:tabs>
                <w:tab w:val="left" w:pos="9432"/>
              </w:tabs>
              <w:spacing w:after="0" w:line="240" w:lineRule="auto"/>
              <w:ind w:left="0" w:leftChars="0"/>
              <w:jc w:val="center"/>
              <w:rPr>
                <w:color w:val="auto"/>
                <w:szCs w:val="21"/>
              </w:rPr>
            </w:pPr>
            <w:r>
              <w:rPr>
                <w:color w:val="auto"/>
                <w:szCs w:val="21"/>
              </w:rPr>
              <w:t>0.493</w:t>
            </w:r>
          </w:p>
        </w:tc>
        <w:tc>
          <w:tcPr>
            <w:tcW w:w="1429" w:type="dxa"/>
            <w:tcBorders>
              <w:top w:val="single" w:color="auto" w:sz="4" w:space="0"/>
              <w:left w:val="single" w:color="auto" w:sz="4" w:space="0"/>
              <w:bottom w:val="single" w:color="auto" w:sz="4" w:space="0"/>
              <w:right w:val="single" w:color="auto" w:sz="4" w:space="0"/>
            </w:tcBorders>
            <w:vAlign w:val="center"/>
          </w:tcPr>
          <w:p w14:paraId="0C731B25">
            <w:pPr>
              <w:pStyle w:val="33"/>
              <w:tabs>
                <w:tab w:val="left" w:pos="9432"/>
              </w:tabs>
              <w:spacing w:after="0" w:line="240" w:lineRule="auto"/>
              <w:ind w:left="0" w:leftChars="0"/>
              <w:jc w:val="center"/>
              <w:rPr>
                <w:color w:val="auto"/>
                <w:szCs w:val="21"/>
              </w:rPr>
            </w:pPr>
            <w:r>
              <w:rPr>
                <w:color w:val="auto"/>
                <w:szCs w:val="21"/>
              </w:rPr>
              <w:t>0.413</w:t>
            </w:r>
          </w:p>
        </w:tc>
        <w:tc>
          <w:tcPr>
            <w:tcW w:w="1429" w:type="dxa"/>
            <w:tcBorders>
              <w:top w:val="single" w:color="auto" w:sz="4" w:space="0"/>
              <w:left w:val="single" w:color="auto" w:sz="4" w:space="0"/>
              <w:bottom w:val="single" w:color="auto" w:sz="4" w:space="0"/>
              <w:right w:val="nil"/>
            </w:tcBorders>
            <w:vAlign w:val="center"/>
          </w:tcPr>
          <w:p w14:paraId="29D07087">
            <w:pPr>
              <w:pStyle w:val="33"/>
              <w:tabs>
                <w:tab w:val="left" w:pos="9432"/>
              </w:tabs>
              <w:spacing w:after="0" w:line="240" w:lineRule="auto"/>
              <w:ind w:left="0" w:leftChars="0"/>
              <w:jc w:val="center"/>
              <w:rPr>
                <w:color w:val="auto"/>
                <w:szCs w:val="21"/>
              </w:rPr>
            </w:pPr>
            <w:r>
              <w:rPr>
                <w:color w:val="auto"/>
                <w:szCs w:val="21"/>
              </w:rPr>
              <w:t>0.497</w:t>
            </w:r>
          </w:p>
        </w:tc>
      </w:tr>
      <w:tr w14:paraId="585B4DC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1473" w:type="dxa"/>
            <w:vMerge w:val="continue"/>
            <w:tcBorders>
              <w:left w:val="nil"/>
              <w:right w:val="single" w:color="auto" w:sz="4" w:space="0"/>
            </w:tcBorders>
            <w:vAlign w:val="center"/>
          </w:tcPr>
          <w:p w14:paraId="0FA5AB86">
            <w:pPr>
              <w:widowControl/>
              <w:jc w:val="center"/>
              <w:rPr>
                <w:color w:val="auto"/>
                <w:szCs w:val="21"/>
              </w:rPr>
            </w:pPr>
          </w:p>
        </w:tc>
        <w:tc>
          <w:tcPr>
            <w:tcW w:w="1749" w:type="dxa"/>
            <w:tcBorders>
              <w:top w:val="single" w:color="auto" w:sz="4" w:space="0"/>
              <w:left w:val="single" w:color="auto" w:sz="4" w:space="0"/>
              <w:bottom w:val="single" w:color="auto" w:sz="4" w:space="0"/>
              <w:right w:val="single" w:color="auto" w:sz="4" w:space="0"/>
            </w:tcBorders>
            <w:vAlign w:val="center"/>
          </w:tcPr>
          <w:p w14:paraId="68957425">
            <w:pPr>
              <w:pStyle w:val="33"/>
              <w:tabs>
                <w:tab w:val="left" w:pos="9432"/>
              </w:tabs>
              <w:spacing w:after="0" w:line="240" w:lineRule="auto"/>
              <w:ind w:left="0" w:leftChars="0"/>
              <w:jc w:val="center"/>
              <w:rPr>
                <w:color w:val="auto"/>
                <w:szCs w:val="21"/>
              </w:rPr>
            </w:pPr>
            <w:r>
              <w:rPr>
                <w:color w:val="auto"/>
                <w:szCs w:val="21"/>
              </w:rPr>
              <w:t>0.311</w:t>
            </w:r>
          </w:p>
        </w:tc>
        <w:tc>
          <w:tcPr>
            <w:tcW w:w="1319" w:type="dxa"/>
            <w:tcBorders>
              <w:top w:val="single" w:color="auto" w:sz="4" w:space="0"/>
              <w:left w:val="single" w:color="auto" w:sz="4" w:space="0"/>
              <w:bottom w:val="single" w:color="auto" w:sz="4" w:space="0"/>
              <w:right w:val="single" w:color="auto" w:sz="4" w:space="0"/>
            </w:tcBorders>
            <w:vAlign w:val="center"/>
          </w:tcPr>
          <w:p w14:paraId="58980F24">
            <w:pPr>
              <w:pStyle w:val="33"/>
              <w:tabs>
                <w:tab w:val="left" w:pos="9432"/>
              </w:tabs>
              <w:spacing w:after="0" w:line="240" w:lineRule="auto"/>
              <w:ind w:left="0" w:leftChars="0"/>
              <w:jc w:val="center"/>
              <w:rPr>
                <w:color w:val="auto"/>
                <w:szCs w:val="21"/>
              </w:rPr>
            </w:pPr>
            <w:r>
              <w:rPr>
                <w:color w:val="auto"/>
                <w:szCs w:val="21"/>
              </w:rPr>
              <w:t>0.527</w:t>
            </w:r>
          </w:p>
        </w:tc>
        <w:tc>
          <w:tcPr>
            <w:tcW w:w="1429" w:type="dxa"/>
            <w:tcBorders>
              <w:top w:val="single" w:color="auto" w:sz="4" w:space="0"/>
              <w:left w:val="single" w:color="auto" w:sz="4" w:space="0"/>
              <w:bottom w:val="single" w:color="auto" w:sz="4" w:space="0"/>
              <w:right w:val="single" w:color="auto" w:sz="4" w:space="0"/>
            </w:tcBorders>
            <w:vAlign w:val="center"/>
          </w:tcPr>
          <w:p w14:paraId="3ACAF590">
            <w:pPr>
              <w:pStyle w:val="33"/>
              <w:tabs>
                <w:tab w:val="left" w:pos="9432"/>
              </w:tabs>
              <w:spacing w:after="0" w:line="240" w:lineRule="auto"/>
              <w:ind w:left="0" w:leftChars="0"/>
              <w:jc w:val="center"/>
              <w:rPr>
                <w:color w:val="auto"/>
                <w:szCs w:val="21"/>
              </w:rPr>
            </w:pPr>
            <w:r>
              <w:rPr>
                <w:color w:val="auto"/>
                <w:szCs w:val="21"/>
              </w:rPr>
              <w:t>0.466</w:t>
            </w:r>
          </w:p>
        </w:tc>
        <w:tc>
          <w:tcPr>
            <w:tcW w:w="1429" w:type="dxa"/>
            <w:tcBorders>
              <w:top w:val="single" w:color="auto" w:sz="4" w:space="0"/>
              <w:left w:val="single" w:color="auto" w:sz="4" w:space="0"/>
              <w:bottom w:val="single" w:color="auto" w:sz="4" w:space="0"/>
              <w:right w:val="single" w:color="auto" w:sz="4" w:space="0"/>
            </w:tcBorders>
            <w:vAlign w:val="center"/>
          </w:tcPr>
          <w:p w14:paraId="5AB064E2">
            <w:pPr>
              <w:pStyle w:val="33"/>
              <w:tabs>
                <w:tab w:val="left" w:pos="9432"/>
              </w:tabs>
              <w:spacing w:after="0" w:line="240" w:lineRule="auto"/>
              <w:ind w:left="0" w:leftChars="0"/>
              <w:jc w:val="center"/>
              <w:rPr>
                <w:color w:val="auto"/>
                <w:szCs w:val="21"/>
              </w:rPr>
            </w:pPr>
            <w:r>
              <w:rPr>
                <w:color w:val="auto"/>
                <w:szCs w:val="21"/>
              </w:rPr>
              <w:t>0.425</w:t>
            </w:r>
          </w:p>
        </w:tc>
        <w:tc>
          <w:tcPr>
            <w:tcW w:w="1429" w:type="dxa"/>
            <w:tcBorders>
              <w:top w:val="single" w:color="auto" w:sz="4" w:space="0"/>
              <w:left w:val="single" w:color="auto" w:sz="4" w:space="0"/>
              <w:bottom w:val="single" w:color="auto" w:sz="4" w:space="0"/>
              <w:right w:val="nil"/>
            </w:tcBorders>
            <w:vAlign w:val="center"/>
          </w:tcPr>
          <w:p w14:paraId="381A68C7">
            <w:pPr>
              <w:pStyle w:val="33"/>
              <w:tabs>
                <w:tab w:val="left" w:pos="9432"/>
              </w:tabs>
              <w:spacing w:after="0" w:line="240" w:lineRule="auto"/>
              <w:ind w:left="0" w:leftChars="0"/>
              <w:jc w:val="center"/>
              <w:rPr>
                <w:color w:val="auto"/>
                <w:szCs w:val="21"/>
              </w:rPr>
            </w:pPr>
            <w:r>
              <w:rPr>
                <w:color w:val="auto"/>
                <w:szCs w:val="21"/>
              </w:rPr>
              <w:t>0.472</w:t>
            </w:r>
          </w:p>
        </w:tc>
      </w:tr>
      <w:tr w14:paraId="2CA832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exact"/>
          <w:jc w:val="center"/>
        </w:trPr>
        <w:tc>
          <w:tcPr>
            <w:tcW w:w="1473" w:type="dxa"/>
            <w:tcBorders>
              <w:left w:val="nil"/>
              <w:bottom w:val="double" w:color="auto" w:sz="4" w:space="0"/>
              <w:right w:val="single" w:color="auto" w:sz="4" w:space="0"/>
            </w:tcBorders>
            <w:vAlign w:val="center"/>
          </w:tcPr>
          <w:p w14:paraId="54615C86">
            <w:pPr>
              <w:pStyle w:val="33"/>
              <w:tabs>
                <w:tab w:val="left" w:pos="9432"/>
              </w:tabs>
              <w:spacing w:after="0" w:line="240" w:lineRule="auto"/>
              <w:ind w:left="0" w:leftChars="0"/>
              <w:rPr>
                <w:color w:val="auto"/>
                <w:szCs w:val="21"/>
              </w:rPr>
            </w:pPr>
            <w:r>
              <w:rPr>
                <w:color w:val="auto"/>
                <w:szCs w:val="21"/>
              </w:rPr>
              <w:t>均值</w:t>
            </w:r>
          </w:p>
        </w:tc>
        <w:tc>
          <w:tcPr>
            <w:tcW w:w="1749" w:type="dxa"/>
            <w:tcBorders>
              <w:top w:val="single" w:color="auto" w:sz="4" w:space="0"/>
              <w:left w:val="single" w:color="auto" w:sz="4" w:space="0"/>
              <w:bottom w:val="double" w:color="auto" w:sz="4" w:space="0"/>
              <w:right w:val="single" w:color="auto" w:sz="4" w:space="0"/>
            </w:tcBorders>
            <w:vAlign w:val="center"/>
          </w:tcPr>
          <w:p w14:paraId="7AE216E1">
            <w:pPr>
              <w:pStyle w:val="33"/>
              <w:tabs>
                <w:tab w:val="left" w:pos="9432"/>
              </w:tabs>
              <w:spacing w:after="0" w:line="240" w:lineRule="auto"/>
              <w:ind w:left="0" w:leftChars="0"/>
              <w:jc w:val="center"/>
              <w:rPr>
                <w:color w:val="auto"/>
                <w:szCs w:val="21"/>
              </w:rPr>
            </w:pPr>
            <w:r>
              <w:rPr>
                <w:color w:val="auto"/>
                <w:szCs w:val="21"/>
              </w:rPr>
              <w:t>0.319</w:t>
            </w:r>
          </w:p>
        </w:tc>
        <w:tc>
          <w:tcPr>
            <w:tcW w:w="1319" w:type="dxa"/>
            <w:tcBorders>
              <w:top w:val="single" w:color="auto" w:sz="4" w:space="0"/>
              <w:left w:val="single" w:color="auto" w:sz="4" w:space="0"/>
              <w:bottom w:val="double" w:color="auto" w:sz="4" w:space="0"/>
              <w:right w:val="single" w:color="auto" w:sz="4" w:space="0"/>
            </w:tcBorders>
            <w:vAlign w:val="center"/>
          </w:tcPr>
          <w:p w14:paraId="014D816A">
            <w:pPr>
              <w:pStyle w:val="33"/>
              <w:tabs>
                <w:tab w:val="left" w:pos="9432"/>
              </w:tabs>
              <w:spacing w:after="0" w:line="240" w:lineRule="auto"/>
              <w:ind w:left="0" w:leftChars="0"/>
              <w:jc w:val="center"/>
              <w:rPr>
                <w:color w:val="auto"/>
                <w:szCs w:val="21"/>
              </w:rPr>
            </w:pPr>
            <w:r>
              <w:rPr>
                <w:color w:val="auto"/>
                <w:szCs w:val="21"/>
              </w:rPr>
              <w:t>0.573</w:t>
            </w:r>
          </w:p>
        </w:tc>
        <w:tc>
          <w:tcPr>
            <w:tcW w:w="1429" w:type="dxa"/>
            <w:tcBorders>
              <w:top w:val="single" w:color="auto" w:sz="4" w:space="0"/>
              <w:left w:val="single" w:color="auto" w:sz="4" w:space="0"/>
              <w:bottom w:val="double" w:color="auto" w:sz="4" w:space="0"/>
              <w:right w:val="single" w:color="auto" w:sz="4" w:space="0"/>
            </w:tcBorders>
            <w:vAlign w:val="center"/>
          </w:tcPr>
          <w:p w14:paraId="6D31FB86">
            <w:pPr>
              <w:pStyle w:val="33"/>
              <w:tabs>
                <w:tab w:val="left" w:pos="9432"/>
              </w:tabs>
              <w:spacing w:after="0" w:line="240" w:lineRule="auto"/>
              <w:ind w:left="0" w:leftChars="0"/>
              <w:jc w:val="center"/>
              <w:rPr>
                <w:color w:val="auto"/>
                <w:szCs w:val="21"/>
              </w:rPr>
            </w:pPr>
            <w:r>
              <w:rPr>
                <w:color w:val="auto"/>
                <w:szCs w:val="21"/>
              </w:rPr>
              <w:t>0.488</w:t>
            </w:r>
          </w:p>
        </w:tc>
        <w:tc>
          <w:tcPr>
            <w:tcW w:w="1429" w:type="dxa"/>
            <w:tcBorders>
              <w:top w:val="single" w:color="auto" w:sz="4" w:space="0"/>
              <w:left w:val="single" w:color="auto" w:sz="4" w:space="0"/>
              <w:bottom w:val="double" w:color="auto" w:sz="4" w:space="0"/>
              <w:right w:val="single" w:color="auto" w:sz="4" w:space="0"/>
            </w:tcBorders>
            <w:vAlign w:val="center"/>
          </w:tcPr>
          <w:p w14:paraId="37321E67">
            <w:pPr>
              <w:pStyle w:val="33"/>
              <w:tabs>
                <w:tab w:val="left" w:pos="9432"/>
              </w:tabs>
              <w:spacing w:after="0" w:line="240" w:lineRule="auto"/>
              <w:ind w:left="0" w:leftChars="0"/>
              <w:jc w:val="center"/>
              <w:rPr>
                <w:color w:val="auto"/>
                <w:szCs w:val="21"/>
              </w:rPr>
            </w:pPr>
            <w:r>
              <w:rPr>
                <w:color w:val="auto"/>
                <w:szCs w:val="21"/>
              </w:rPr>
              <w:t>0.414</w:t>
            </w:r>
          </w:p>
        </w:tc>
        <w:tc>
          <w:tcPr>
            <w:tcW w:w="1429" w:type="dxa"/>
            <w:tcBorders>
              <w:top w:val="single" w:color="auto" w:sz="4" w:space="0"/>
              <w:left w:val="single" w:color="auto" w:sz="4" w:space="0"/>
              <w:bottom w:val="double" w:color="auto" w:sz="4" w:space="0"/>
              <w:right w:val="nil"/>
            </w:tcBorders>
            <w:vAlign w:val="center"/>
          </w:tcPr>
          <w:p w14:paraId="790DB08D">
            <w:pPr>
              <w:pStyle w:val="33"/>
              <w:tabs>
                <w:tab w:val="left" w:pos="9432"/>
              </w:tabs>
              <w:spacing w:after="0" w:line="240" w:lineRule="auto"/>
              <w:ind w:left="0" w:leftChars="0"/>
              <w:jc w:val="center"/>
              <w:rPr>
                <w:color w:val="auto"/>
                <w:szCs w:val="21"/>
              </w:rPr>
            </w:pPr>
            <w:r>
              <w:rPr>
                <w:color w:val="auto"/>
                <w:szCs w:val="21"/>
              </w:rPr>
              <w:t>0.491</w:t>
            </w:r>
          </w:p>
        </w:tc>
      </w:tr>
    </w:tbl>
    <w:p w14:paraId="10502CEB">
      <w:pPr>
        <w:spacing w:line="360" w:lineRule="auto"/>
        <w:ind w:firstLine="480" w:firstLineChars="200"/>
        <w:rPr>
          <w:color w:val="auto"/>
          <w:sz w:val="24"/>
        </w:rPr>
      </w:pPr>
      <w:r>
        <w:rPr>
          <w:color w:val="auto"/>
          <w:sz w:val="24"/>
        </w:rPr>
        <w:t>由上表可见，上风向50m内，被影响区域的TSP浓度平均值为0.321mg/m</w:t>
      </w:r>
      <w:r>
        <w:rPr>
          <w:color w:val="auto"/>
          <w:sz w:val="24"/>
          <w:vertAlign w:val="superscript"/>
        </w:rPr>
        <w:t>3</w:t>
      </w:r>
      <w:r>
        <w:rPr>
          <w:color w:val="auto"/>
          <w:sz w:val="24"/>
        </w:rPr>
        <w:t>，下风向150m之内，被影响区域的TSP浓度平均值为0.491mg/m</w:t>
      </w:r>
      <w:r>
        <w:rPr>
          <w:color w:val="auto"/>
          <w:sz w:val="24"/>
          <w:vertAlign w:val="superscript"/>
        </w:rPr>
        <w:t>3</w:t>
      </w:r>
      <w:r>
        <w:rPr>
          <w:color w:val="auto"/>
          <w:sz w:val="24"/>
        </w:rPr>
        <w:t>，本项目500m范围内无居民等环境敏感点，故施工扬尘对周围环境影响较小。</w:t>
      </w:r>
    </w:p>
    <w:p w14:paraId="77CE35EE">
      <w:pPr>
        <w:spacing w:line="360" w:lineRule="auto"/>
        <w:ind w:firstLine="480" w:firstLineChars="200"/>
        <w:rPr>
          <w:color w:val="auto"/>
          <w:sz w:val="24"/>
        </w:rPr>
      </w:pPr>
      <w:r>
        <w:rPr>
          <w:bCs/>
          <w:color w:val="auto"/>
          <w:kern w:val="0"/>
          <w:sz w:val="24"/>
        </w:rPr>
        <w:t>(2)</w:t>
      </w:r>
      <w:r>
        <w:rPr>
          <w:color w:val="auto"/>
          <w:sz w:val="24"/>
        </w:rPr>
        <w:t>运输车辆尾气的影响</w:t>
      </w:r>
    </w:p>
    <w:p w14:paraId="5F63C764">
      <w:pPr>
        <w:spacing w:line="360" w:lineRule="auto"/>
        <w:ind w:firstLine="480" w:firstLineChars="200"/>
        <w:rPr>
          <w:bCs/>
          <w:color w:val="auto"/>
          <w:sz w:val="24"/>
        </w:rPr>
      </w:pPr>
      <w:r>
        <w:rPr>
          <w:bCs/>
          <w:color w:val="auto"/>
          <w:sz w:val="24"/>
        </w:rPr>
        <w:t>施工机械、机动车辆在燃料燃烧时排放的尾气，含有CO、HC等。</w:t>
      </w:r>
    </w:p>
    <w:p w14:paraId="6302F9FF">
      <w:pPr>
        <w:spacing w:line="360" w:lineRule="auto"/>
        <w:ind w:firstLine="480" w:firstLineChars="200"/>
        <w:rPr>
          <w:bCs/>
          <w:color w:val="auto"/>
          <w:sz w:val="24"/>
        </w:rPr>
      </w:pPr>
      <w:r>
        <w:rPr>
          <w:bCs/>
          <w:color w:val="auto"/>
          <w:sz w:val="24"/>
        </w:rPr>
        <w:t>在施工过程中施工方应保证施工机械及车辆运行状态的良好。在机械、车辆运转状况良好的条件下，产生的上述污染物质浓度较低，不会对环境空气质量产生较明显的影响；施工期采取逐段施工，增加的车辆数量不多，尾气排放量有限，并且施工机械对环境的影响仅是暂时性的，不会对当地的环境空气质量带来长久的影响。因此，施工期汽车尾气对空气环境的影响较小。</w:t>
      </w:r>
    </w:p>
    <w:p w14:paraId="0484ECB6">
      <w:pPr>
        <w:pStyle w:val="4"/>
        <w:snapToGrid w:val="0"/>
        <w:spacing w:before="0"/>
        <w:rPr>
          <w:rFonts w:ascii="Times New Roman" w:hAnsi="Times New Roman" w:eastAsia="宋体"/>
          <w:bCs/>
          <w:color w:val="auto"/>
          <w:sz w:val="28"/>
          <w:szCs w:val="28"/>
        </w:rPr>
      </w:pPr>
      <w:bookmarkStart w:id="302" w:name="_Toc479754863"/>
      <w:bookmarkStart w:id="303" w:name="_Toc11905"/>
      <w:r>
        <w:rPr>
          <w:rFonts w:ascii="Times New Roman" w:hAnsi="Times New Roman" w:eastAsia="宋体"/>
          <w:bCs/>
          <w:color w:val="auto"/>
          <w:sz w:val="28"/>
          <w:szCs w:val="28"/>
        </w:rPr>
        <w:t>5.1.2施工期水环境影响分析</w:t>
      </w:r>
      <w:bookmarkEnd w:id="302"/>
      <w:bookmarkEnd w:id="303"/>
    </w:p>
    <w:p w14:paraId="7B527F81">
      <w:pPr>
        <w:snapToGrid w:val="0"/>
        <w:spacing w:line="360" w:lineRule="auto"/>
        <w:ind w:firstLine="482"/>
        <w:rPr>
          <w:color w:val="auto"/>
          <w:sz w:val="24"/>
        </w:rPr>
      </w:pPr>
      <w:r>
        <w:rPr>
          <w:color w:val="auto"/>
          <w:sz w:val="24"/>
        </w:rPr>
        <w:t>(1)施工生活污水</w:t>
      </w:r>
    </w:p>
    <w:p w14:paraId="3627A7AD">
      <w:pPr>
        <w:snapToGrid w:val="0"/>
        <w:spacing w:line="360" w:lineRule="auto"/>
        <w:ind w:firstLine="482"/>
        <w:rPr>
          <w:color w:val="auto"/>
          <w:sz w:val="24"/>
        </w:rPr>
      </w:pPr>
      <w:r>
        <w:rPr>
          <w:color w:val="auto"/>
          <w:sz w:val="24"/>
        </w:rPr>
        <w:t>施工期生活污水主要来自施工人员日常的生活洗涤、清洁卫生等过程，主要污染物为COD和NH</w:t>
      </w:r>
      <w:r>
        <w:rPr>
          <w:color w:val="auto"/>
          <w:sz w:val="24"/>
          <w:vertAlign w:val="subscript"/>
        </w:rPr>
        <w:t>3</w:t>
      </w:r>
      <w:r>
        <w:rPr>
          <w:color w:val="auto"/>
          <w:sz w:val="24"/>
        </w:rPr>
        <w:t>-N等。</w:t>
      </w:r>
    </w:p>
    <w:p w14:paraId="36F0D943">
      <w:pPr>
        <w:snapToGrid w:val="0"/>
        <w:spacing w:line="360" w:lineRule="auto"/>
        <w:ind w:firstLine="482"/>
        <w:rPr>
          <w:color w:val="auto"/>
          <w:sz w:val="24"/>
        </w:rPr>
      </w:pPr>
      <w:r>
        <w:rPr>
          <w:color w:val="auto"/>
          <w:sz w:val="24"/>
        </w:rPr>
        <w:t>本项目施工期的时间相对较短，施工人员为当地居民，不设置集中生活区。施工人员会产生一定量的生活污水，排入施工期</w:t>
      </w:r>
      <w:r>
        <w:rPr>
          <w:rFonts w:hint="eastAsia"/>
          <w:color w:val="auto"/>
          <w:sz w:val="24"/>
        </w:rPr>
        <w:t>厂区现有</w:t>
      </w:r>
      <w:r>
        <w:rPr>
          <w:color w:val="auto"/>
          <w:sz w:val="24"/>
        </w:rPr>
        <w:t>旱厕。由于采用定点定时供应盒饭的方式，故不存在食堂废水。施工结束污染即将消失，其影响也将消失。</w:t>
      </w:r>
    </w:p>
    <w:p w14:paraId="52726B41">
      <w:pPr>
        <w:snapToGrid w:val="0"/>
        <w:spacing w:line="360" w:lineRule="auto"/>
        <w:ind w:firstLine="482"/>
        <w:rPr>
          <w:color w:val="auto"/>
          <w:sz w:val="24"/>
        </w:rPr>
      </w:pPr>
      <w:r>
        <w:rPr>
          <w:color w:val="auto"/>
          <w:sz w:val="24"/>
        </w:rPr>
        <w:t>(2)施工生产废水</w:t>
      </w:r>
    </w:p>
    <w:p w14:paraId="4C0B180F">
      <w:pPr>
        <w:spacing w:line="360" w:lineRule="auto"/>
        <w:ind w:firstLine="482"/>
        <w:rPr>
          <w:color w:val="auto"/>
          <w:sz w:val="24"/>
        </w:rPr>
      </w:pPr>
      <w:r>
        <w:rPr>
          <w:color w:val="auto"/>
          <w:sz w:val="24"/>
        </w:rPr>
        <w:t>拟建项目施工过程中会产生少量的泥浆水等生产废水，主要污染物是SS和石油类。施工场地应根据现场条件和废水产生情况修建隔油沉淀池(作防渗处理)，集中收集各类施工废水，同时采取及时收集残油等方法尽量减少含油污水。施工废水预处理达到《城市污水再生利用  城市杂用水水质》(GB/T18920-2002)后全部用于施工现场的洒水降尘。施工结束后隔油沉淀池沉渣及时清理，并覆土掩埋，进行绿化。</w:t>
      </w:r>
    </w:p>
    <w:p w14:paraId="00D1ACC1">
      <w:pPr>
        <w:pStyle w:val="4"/>
        <w:snapToGrid w:val="0"/>
        <w:spacing w:before="0"/>
        <w:rPr>
          <w:rFonts w:ascii="Times New Roman" w:hAnsi="Times New Roman" w:eastAsia="宋体"/>
          <w:bCs/>
          <w:color w:val="auto"/>
          <w:sz w:val="28"/>
          <w:szCs w:val="28"/>
        </w:rPr>
      </w:pPr>
      <w:bookmarkStart w:id="304" w:name="_Toc479754864"/>
      <w:bookmarkStart w:id="305" w:name="_Toc30133"/>
      <w:r>
        <w:rPr>
          <w:rFonts w:ascii="Times New Roman" w:hAnsi="Times New Roman" w:eastAsia="宋体"/>
          <w:bCs/>
          <w:color w:val="auto"/>
          <w:sz w:val="28"/>
          <w:szCs w:val="28"/>
        </w:rPr>
        <w:t>5.1.3施工期声环境影响分析</w:t>
      </w:r>
      <w:bookmarkEnd w:id="304"/>
      <w:bookmarkEnd w:id="305"/>
    </w:p>
    <w:p w14:paraId="4E3324E2">
      <w:pPr>
        <w:adjustRightInd w:val="0"/>
        <w:snapToGrid w:val="0"/>
        <w:spacing w:line="360" w:lineRule="auto"/>
        <w:ind w:firstLine="482"/>
        <w:rPr>
          <w:snapToGrid w:val="0"/>
          <w:color w:val="auto"/>
          <w:kern w:val="0"/>
          <w:sz w:val="24"/>
        </w:rPr>
      </w:pPr>
      <w:r>
        <w:rPr>
          <w:snapToGrid w:val="0"/>
          <w:color w:val="auto"/>
          <w:kern w:val="0"/>
          <w:sz w:val="24"/>
        </w:rPr>
        <w:t>本项目工程施工期间，对周围环境的主要噪声影响是施工设备作业时所产生的机械噪声，</w:t>
      </w:r>
      <w:r>
        <w:rPr>
          <w:bCs/>
          <w:color w:val="auto"/>
          <w:sz w:val="24"/>
        </w:rPr>
        <w:t>其中推土机、挖掘机等噪声均在85dB(A)以上。据调查，主要施工机械在不同距离的噪声水平见表5</w:t>
      </w:r>
      <w:r>
        <w:rPr>
          <w:rFonts w:hint="eastAsia"/>
          <w:bCs/>
          <w:color w:val="auto"/>
          <w:sz w:val="24"/>
          <w:lang w:val="en-US" w:eastAsia="zh-CN"/>
        </w:rPr>
        <w:t>.1</w:t>
      </w:r>
      <w:r>
        <w:rPr>
          <w:bCs/>
          <w:color w:val="auto"/>
          <w:sz w:val="24"/>
        </w:rPr>
        <w:t>-2。</w:t>
      </w:r>
    </w:p>
    <w:p w14:paraId="4A8789C6">
      <w:pPr>
        <w:ind w:firstLine="422" w:firstLineChars="200"/>
        <w:jc w:val="center"/>
        <w:rPr>
          <w:b/>
          <w:bCs/>
          <w:color w:val="auto"/>
          <w:szCs w:val="21"/>
        </w:rPr>
      </w:pPr>
      <w:r>
        <w:rPr>
          <w:b/>
          <w:bCs/>
          <w:color w:val="auto"/>
          <w:szCs w:val="21"/>
        </w:rPr>
        <w:t>表5</w:t>
      </w:r>
      <w:r>
        <w:rPr>
          <w:rFonts w:hint="eastAsia"/>
          <w:b/>
          <w:bCs/>
          <w:color w:val="auto"/>
          <w:szCs w:val="21"/>
          <w:lang w:val="en-US" w:eastAsia="zh-CN"/>
        </w:rPr>
        <w:t>.1</w:t>
      </w:r>
      <w:r>
        <w:rPr>
          <w:b/>
          <w:bCs/>
          <w:color w:val="auto"/>
          <w:szCs w:val="21"/>
        </w:rPr>
        <w:t xml:space="preserve">-2   </w:t>
      </w:r>
      <w:r>
        <w:rPr>
          <w:rFonts w:hint="eastAsia"/>
          <w:b/>
          <w:bCs/>
          <w:color w:val="auto"/>
          <w:szCs w:val="21"/>
          <w:lang w:val="en-US" w:eastAsia="zh-CN"/>
        </w:rPr>
        <w:t xml:space="preserve"> </w:t>
      </w:r>
      <w:r>
        <w:rPr>
          <w:b/>
          <w:bCs/>
          <w:color w:val="auto"/>
          <w:szCs w:val="21"/>
        </w:rPr>
        <w:t xml:space="preserve">主要施工机械噪声水平   </w:t>
      </w:r>
      <w:r>
        <w:rPr>
          <w:rFonts w:hint="eastAsia"/>
          <w:b/>
          <w:bCs/>
          <w:color w:val="auto"/>
          <w:szCs w:val="21"/>
          <w:lang w:val="en-US" w:eastAsia="zh-CN"/>
        </w:rPr>
        <w:t xml:space="preserve"> </w:t>
      </w:r>
      <w:r>
        <w:rPr>
          <w:b/>
          <w:bCs/>
          <w:color w:val="auto"/>
          <w:szCs w:val="21"/>
        </w:rPr>
        <w:t>单位：dB(A)</w:t>
      </w:r>
    </w:p>
    <w:tbl>
      <w:tblPr>
        <w:tblStyle w:val="53"/>
        <w:tblW w:w="4999"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2"/>
        <w:gridCol w:w="440"/>
        <w:gridCol w:w="529"/>
        <w:gridCol w:w="529"/>
        <w:gridCol w:w="529"/>
        <w:gridCol w:w="529"/>
        <w:gridCol w:w="529"/>
        <w:gridCol w:w="617"/>
        <w:gridCol w:w="617"/>
        <w:gridCol w:w="617"/>
        <w:gridCol w:w="617"/>
        <w:gridCol w:w="617"/>
        <w:gridCol w:w="617"/>
        <w:gridCol w:w="637"/>
      </w:tblGrid>
      <w:tr w14:paraId="2B54B2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pct"/>
            <w:vMerge w:val="restart"/>
            <w:vAlign w:val="center"/>
          </w:tcPr>
          <w:p w14:paraId="096496B8">
            <w:pPr>
              <w:jc w:val="center"/>
              <w:rPr>
                <w:color w:val="auto"/>
                <w:szCs w:val="21"/>
              </w:rPr>
            </w:pPr>
            <w:r>
              <w:rPr>
                <w:color w:val="auto"/>
                <w:szCs w:val="21"/>
              </w:rPr>
              <w:t>机械类型</w:t>
            </w:r>
          </w:p>
        </w:tc>
        <w:tc>
          <w:tcPr>
            <w:tcW w:w="4353" w:type="pct"/>
            <w:gridSpan w:val="13"/>
            <w:vAlign w:val="center"/>
          </w:tcPr>
          <w:p w14:paraId="4D63AC48">
            <w:pPr>
              <w:jc w:val="center"/>
              <w:rPr>
                <w:color w:val="auto"/>
                <w:szCs w:val="21"/>
              </w:rPr>
            </w:pPr>
            <w:r>
              <w:rPr>
                <w:bCs/>
                <w:color w:val="auto"/>
                <w:szCs w:val="21"/>
              </w:rPr>
              <w:t>噪声贡献值</w:t>
            </w:r>
          </w:p>
        </w:tc>
      </w:tr>
      <w:tr w14:paraId="2ADA03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pct"/>
            <w:vMerge w:val="continue"/>
            <w:vAlign w:val="center"/>
          </w:tcPr>
          <w:p w14:paraId="1A86948D">
            <w:pPr>
              <w:jc w:val="center"/>
              <w:rPr>
                <w:color w:val="auto"/>
                <w:szCs w:val="21"/>
              </w:rPr>
            </w:pPr>
          </w:p>
        </w:tc>
        <w:tc>
          <w:tcPr>
            <w:tcW w:w="258" w:type="pct"/>
            <w:vAlign w:val="center"/>
          </w:tcPr>
          <w:p w14:paraId="728A3878">
            <w:pPr>
              <w:ind w:left="-105" w:leftChars="-50" w:right="-105" w:rightChars="-50"/>
              <w:jc w:val="center"/>
              <w:rPr>
                <w:color w:val="auto"/>
                <w:szCs w:val="21"/>
              </w:rPr>
            </w:pPr>
            <w:r>
              <w:rPr>
                <w:color w:val="auto"/>
                <w:szCs w:val="21"/>
              </w:rPr>
              <w:t>5m</w:t>
            </w:r>
          </w:p>
        </w:tc>
        <w:tc>
          <w:tcPr>
            <w:tcW w:w="310" w:type="pct"/>
            <w:vAlign w:val="center"/>
          </w:tcPr>
          <w:p w14:paraId="556B679E">
            <w:pPr>
              <w:ind w:left="-105" w:leftChars="-50" w:right="-105" w:rightChars="-50"/>
              <w:jc w:val="center"/>
              <w:rPr>
                <w:color w:val="auto"/>
                <w:szCs w:val="21"/>
              </w:rPr>
            </w:pPr>
            <w:r>
              <w:rPr>
                <w:color w:val="auto"/>
                <w:szCs w:val="21"/>
              </w:rPr>
              <w:t>10m</w:t>
            </w:r>
          </w:p>
        </w:tc>
        <w:tc>
          <w:tcPr>
            <w:tcW w:w="310" w:type="pct"/>
            <w:vAlign w:val="center"/>
          </w:tcPr>
          <w:p w14:paraId="13BF96DA">
            <w:pPr>
              <w:ind w:left="-105" w:leftChars="-50" w:right="-105" w:rightChars="-50"/>
              <w:jc w:val="center"/>
              <w:rPr>
                <w:color w:val="auto"/>
                <w:szCs w:val="21"/>
              </w:rPr>
            </w:pPr>
            <w:r>
              <w:rPr>
                <w:color w:val="auto"/>
                <w:szCs w:val="21"/>
              </w:rPr>
              <w:t>20m</w:t>
            </w:r>
          </w:p>
        </w:tc>
        <w:tc>
          <w:tcPr>
            <w:tcW w:w="310" w:type="pct"/>
            <w:vAlign w:val="center"/>
          </w:tcPr>
          <w:p w14:paraId="305B9C28">
            <w:pPr>
              <w:ind w:left="-105" w:leftChars="-50" w:right="-105" w:rightChars="-50"/>
              <w:jc w:val="center"/>
              <w:rPr>
                <w:color w:val="auto"/>
                <w:szCs w:val="21"/>
              </w:rPr>
            </w:pPr>
            <w:r>
              <w:rPr>
                <w:color w:val="auto"/>
                <w:szCs w:val="21"/>
              </w:rPr>
              <w:t>30m</w:t>
            </w:r>
          </w:p>
        </w:tc>
        <w:tc>
          <w:tcPr>
            <w:tcW w:w="310" w:type="pct"/>
            <w:vAlign w:val="center"/>
          </w:tcPr>
          <w:p w14:paraId="57FDF181">
            <w:pPr>
              <w:ind w:left="-105" w:leftChars="-50" w:right="-105" w:rightChars="-50"/>
              <w:jc w:val="center"/>
              <w:rPr>
                <w:color w:val="auto"/>
                <w:szCs w:val="21"/>
              </w:rPr>
            </w:pPr>
            <w:r>
              <w:rPr>
                <w:color w:val="auto"/>
                <w:szCs w:val="21"/>
              </w:rPr>
              <w:t>40m</w:t>
            </w:r>
          </w:p>
        </w:tc>
        <w:tc>
          <w:tcPr>
            <w:tcW w:w="310" w:type="pct"/>
            <w:vAlign w:val="center"/>
          </w:tcPr>
          <w:p w14:paraId="0899B5BA">
            <w:pPr>
              <w:ind w:left="-105" w:leftChars="-50" w:right="-105" w:rightChars="-50"/>
              <w:jc w:val="center"/>
              <w:rPr>
                <w:color w:val="auto"/>
                <w:szCs w:val="21"/>
              </w:rPr>
            </w:pPr>
            <w:r>
              <w:rPr>
                <w:color w:val="auto"/>
                <w:szCs w:val="21"/>
              </w:rPr>
              <w:t>50m</w:t>
            </w:r>
          </w:p>
        </w:tc>
        <w:tc>
          <w:tcPr>
            <w:tcW w:w="362" w:type="pct"/>
            <w:vAlign w:val="center"/>
          </w:tcPr>
          <w:p w14:paraId="5CF7C072">
            <w:pPr>
              <w:ind w:left="-105" w:leftChars="-50" w:right="-105" w:rightChars="-50"/>
              <w:jc w:val="center"/>
              <w:rPr>
                <w:color w:val="auto"/>
                <w:szCs w:val="21"/>
              </w:rPr>
            </w:pPr>
            <w:r>
              <w:rPr>
                <w:color w:val="auto"/>
                <w:szCs w:val="21"/>
              </w:rPr>
              <w:t>100m</w:t>
            </w:r>
          </w:p>
        </w:tc>
        <w:tc>
          <w:tcPr>
            <w:tcW w:w="362" w:type="pct"/>
            <w:vAlign w:val="center"/>
          </w:tcPr>
          <w:p w14:paraId="02D0AFF3">
            <w:pPr>
              <w:ind w:left="-105" w:leftChars="-50" w:right="-105" w:rightChars="-50"/>
              <w:jc w:val="center"/>
              <w:rPr>
                <w:color w:val="auto"/>
                <w:szCs w:val="21"/>
              </w:rPr>
            </w:pPr>
            <w:r>
              <w:rPr>
                <w:color w:val="auto"/>
                <w:szCs w:val="21"/>
              </w:rPr>
              <w:t>150m</w:t>
            </w:r>
          </w:p>
        </w:tc>
        <w:tc>
          <w:tcPr>
            <w:tcW w:w="362" w:type="pct"/>
            <w:vAlign w:val="center"/>
          </w:tcPr>
          <w:p w14:paraId="3A62D26B">
            <w:pPr>
              <w:ind w:left="-105" w:leftChars="-50" w:right="-105" w:rightChars="-50"/>
              <w:jc w:val="center"/>
              <w:rPr>
                <w:color w:val="auto"/>
                <w:szCs w:val="21"/>
              </w:rPr>
            </w:pPr>
            <w:r>
              <w:rPr>
                <w:color w:val="auto"/>
                <w:szCs w:val="21"/>
              </w:rPr>
              <w:t>200m</w:t>
            </w:r>
          </w:p>
        </w:tc>
        <w:tc>
          <w:tcPr>
            <w:tcW w:w="362" w:type="pct"/>
            <w:vAlign w:val="center"/>
          </w:tcPr>
          <w:p w14:paraId="5234A257">
            <w:pPr>
              <w:ind w:left="-105" w:leftChars="-50" w:right="-105" w:rightChars="-50"/>
              <w:jc w:val="center"/>
              <w:rPr>
                <w:color w:val="auto"/>
                <w:szCs w:val="21"/>
              </w:rPr>
            </w:pPr>
            <w:r>
              <w:rPr>
                <w:color w:val="auto"/>
                <w:szCs w:val="21"/>
              </w:rPr>
              <w:t>300m</w:t>
            </w:r>
          </w:p>
        </w:tc>
        <w:tc>
          <w:tcPr>
            <w:tcW w:w="362" w:type="pct"/>
            <w:vAlign w:val="center"/>
          </w:tcPr>
          <w:p w14:paraId="0F4F61FB">
            <w:pPr>
              <w:ind w:left="-105" w:leftChars="-50" w:right="-105" w:rightChars="-50"/>
              <w:jc w:val="center"/>
              <w:rPr>
                <w:color w:val="auto"/>
                <w:szCs w:val="21"/>
              </w:rPr>
            </w:pPr>
            <w:r>
              <w:rPr>
                <w:color w:val="auto"/>
                <w:szCs w:val="21"/>
              </w:rPr>
              <w:t>400m</w:t>
            </w:r>
          </w:p>
        </w:tc>
        <w:tc>
          <w:tcPr>
            <w:tcW w:w="362" w:type="pct"/>
            <w:vAlign w:val="center"/>
          </w:tcPr>
          <w:p w14:paraId="15B40744">
            <w:pPr>
              <w:ind w:left="-105" w:leftChars="-50" w:right="-105" w:rightChars="-50"/>
              <w:jc w:val="center"/>
              <w:rPr>
                <w:color w:val="auto"/>
                <w:szCs w:val="21"/>
              </w:rPr>
            </w:pPr>
            <w:r>
              <w:rPr>
                <w:color w:val="auto"/>
                <w:szCs w:val="21"/>
              </w:rPr>
              <w:t>500m</w:t>
            </w:r>
          </w:p>
        </w:tc>
        <w:tc>
          <w:tcPr>
            <w:tcW w:w="366" w:type="pct"/>
            <w:vAlign w:val="center"/>
          </w:tcPr>
          <w:p w14:paraId="0CDCF6D9">
            <w:pPr>
              <w:ind w:left="-105" w:leftChars="-50" w:right="-105" w:rightChars="-50"/>
              <w:jc w:val="center"/>
              <w:rPr>
                <w:color w:val="auto"/>
                <w:szCs w:val="21"/>
              </w:rPr>
            </w:pPr>
            <w:r>
              <w:rPr>
                <w:color w:val="auto"/>
                <w:szCs w:val="21"/>
              </w:rPr>
              <w:t>600m</w:t>
            </w:r>
          </w:p>
        </w:tc>
      </w:tr>
      <w:tr w14:paraId="72F8043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pct"/>
            <w:vAlign w:val="center"/>
          </w:tcPr>
          <w:p w14:paraId="53918069">
            <w:pPr>
              <w:ind w:left="-105" w:leftChars="-50" w:right="-105" w:rightChars="-50"/>
              <w:jc w:val="center"/>
              <w:rPr>
                <w:color w:val="auto"/>
                <w:szCs w:val="21"/>
              </w:rPr>
            </w:pPr>
            <w:r>
              <w:rPr>
                <w:color w:val="auto"/>
                <w:szCs w:val="21"/>
              </w:rPr>
              <w:t>推土机</w:t>
            </w:r>
          </w:p>
        </w:tc>
        <w:tc>
          <w:tcPr>
            <w:tcW w:w="258" w:type="pct"/>
            <w:vAlign w:val="center"/>
          </w:tcPr>
          <w:p w14:paraId="3978F698">
            <w:pPr>
              <w:ind w:left="-105" w:leftChars="-50" w:right="-105" w:rightChars="-50"/>
              <w:jc w:val="center"/>
              <w:rPr>
                <w:color w:val="auto"/>
                <w:szCs w:val="21"/>
              </w:rPr>
            </w:pPr>
            <w:r>
              <w:rPr>
                <w:color w:val="auto"/>
                <w:szCs w:val="21"/>
              </w:rPr>
              <w:t>87</w:t>
            </w:r>
          </w:p>
        </w:tc>
        <w:tc>
          <w:tcPr>
            <w:tcW w:w="310" w:type="pct"/>
            <w:vAlign w:val="center"/>
          </w:tcPr>
          <w:p w14:paraId="643973B3">
            <w:pPr>
              <w:ind w:left="-105" w:leftChars="-50" w:right="-105" w:rightChars="-50"/>
              <w:jc w:val="center"/>
              <w:rPr>
                <w:color w:val="auto"/>
                <w:szCs w:val="21"/>
              </w:rPr>
            </w:pPr>
            <w:r>
              <w:rPr>
                <w:color w:val="auto"/>
                <w:szCs w:val="21"/>
              </w:rPr>
              <w:t>67</w:t>
            </w:r>
          </w:p>
        </w:tc>
        <w:tc>
          <w:tcPr>
            <w:tcW w:w="310" w:type="pct"/>
            <w:vAlign w:val="center"/>
          </w:tcPr>
          <w:p w14:paraId="799889D4">
            <w:pPr>
              <w:ind w:left="-105" w:leftChars="-50" w:right="-105" w:rightChars="-50"/>
              <w:jc w:val="center"/>
              <w:rPr>
                <w:color w:val="auto"/>
                <w:szCs w:val="21"/>
              </w:rPr>
            </w:pPr>
            <w:r>
              <w:rPr>
                <w:color w:val="auto"/>
                <w:szCs w:val="21"/>
              </w:rPr>
              <w:t>61</w:t>
            </w:r>
          </w:p>
        </w:tc>
        <w:tc>
          <w:tcPr>
            <w:tcW w:w="310" w:type="pct"/>
            <w:vAlign w:val="center"/>
          </w:tcPr>
          <w:p w14:paraId="447C8F58">
            <w:pPr>
              <w:ind w:left="-105" w:leftChars="-50" w:right="-105" w:rightChars="-50"/>
              <w:jc w:val="center"/>
              <w:rPr>
                <w:color w:val="auto"/>
                <w:szCs w:val="21"/>
              </w:rPr>
            </w:pPr>
            <w:r>
              <w:rPr>
                <w:color w:val="auto"/>
                <w:szCs w:val="21"/>
              </w:rPr>
              <w:t>57.5</w:t>
            </w:r>
          </w:p>
        </w:tc>
        <w:tc>
          <w:tcPr>
            <w:tcW w:w="310" w:type="pct"/>
            <w:vAlign w:val="center"/>
          </w:tcPr>
          <w:p w14:paraId="0C4384A0">
            <w:pPr>
              <w:ind w:left="-105" w:leftChars="-50" w:right="-105" w:rightChars="-50"/>
              <w:jc w:val="center"/>
              <w:rPr>
                <w:color w:val="auto"/>
                <w:szCs w:val="21"/>
              </w:rPr>
            </w:pPr>
            <w:r>
              <w:rPr>
                <w:color w:val="auto"/>
                <w:szCs w:val="21"/>
              </w:rPr>
              <w:t>55</w:t>
            </w:r>
          </w:p>
        </w:tc>
        <w:tc>
          <w:tcPr>
            <w:tcW w:w="310" w:type="pct"/>
            <w:vAlign w:val="center"/>
          </w:tcPr>
          <w:p w14:paraId="48F1832C">
            <w:pPr>
              <w:ind w:left="-105" w:leftChars="-50" w:right="-105" w:rightChars="-50"/>
              <w:jc w:val="center"/>
              <w:rPr>
                <w:color w:val="auto"/>
                <w:szCs w:val="21"/>
              </w:rPr>
            </w:pPr>
            <w:r>
              <w:rPr>
                <w:color w:val="auto"/>
                <w:szCs w:val="21"/>
              </w:rPr>
              <w:t>53</w:t>
            </w:r>
          </w:p>
        </w:tc>
        <w:tc>
          <w:tcPr>
            <w:tcW w:w="362" w:type="pct"/>
            <w:vAlign w:val="center"/>
          </w:tcPr>
          <w:p w14:paraId="2D17E330">
            <w:pPr>
              <w:ind w:left="-105" w:leftChars="-50" w:right="-105" w:rightChars="-50"/>
              <w:jc w:val="center"/>
              <w:rPr>
                <w:color w:val="auto"/>
                <w:szCs w:val="21"/>
              </w:rPr>
            </w:pPr>
            <w:r>
              <w:rPr>
                <w:color w:val="auto"/>
                <w:szCs w:val="21"/>
              </w:rPr>
              <w:t>47</w:t>
            </w:r>
          </w:p>
        </w:tc>
        <w:tc>
          <w:tcPr>
            <w:tcW w:w="362" w:type="pct"/>
            <w:vAlign w:val="center"/>
          </w:tcPr>
          <w:p w14:paraId="5F214050">
            <w:pPr>
              <w:ind w:left="-105" w:leftChars="-50" w:right="-105" w:rightChars="-50"/>
              <w:jc w:val="center"/>
              <w:rPr>
                <w:color w:val="auto"/>
                <w:szCs w:val="21"/>
              </w:rPr>
            </w:pPr>
            <w:r>
              <w:rPr>
                <w:color w:val="auto"/>
                <w:szCs w:val="21"/>
              </w:rPr>
              <w:t>43</w:t>
            </w:r>
          </w:p>
        </w:tc>
        <w:tc>
          <w:tcPr>
            <w:tcW w:w="362" w:type="pct"/>
            <w:vAlign w:val="center"/>
          </w:tcPr>
          <w:p w14:paraId="2B677212">
            <w:pPr>
              <w:ind w:left="-105" w:leftChars="-50" w:right="-105" w:rightChars="-50"/>
              <w:jc w:val="center"/>
              <w:rPr>
                <w:color w:val="auto"/>
                <w:szCs w:val="21"/>
              </w:rPr>
            </w:pPr>
            <w:r>
              <w:rPr>
                <w:color w:val="auto"/>
                <w:szCs w:val="21"/>
              </w:rPr>
              <w:t>41</w:t>
            </w:r>
          </w:p>
        </w:tc>
        <w:tc>
          <w:tcPr>
            <w:tcW w:w="362" w:type="pct"/>
            <w:vAlign w:val="center"/>
          </w:tcPr>
          <w:p w14:paraId="79D39BE6">
            <w:pPr>
              <w:ind w:left="-105" w:leftChars="-50" w:right="-105" w:rightChars="-50"/>
              <w:jc w:val="center"/>
              <w:rPr>
                <w:color w:val="auto"/>
                <w:szCs w:val="21"/>
              </w:rPr>
            </w:pPr>
            <w:r>
              <w:rPr>
                <w:color w:val="auto"/>
                <w:szCs w:val="21"/>
              </w:rPr>
              <w:t>37</w:t>
            </w:r>
          </w:p>
        </w:tc>
        <w:tc>
          <w:tcPr>
            <w:tcW w:w="362" w:type="pct"/>
            <w:vAlign w:val="center"/>
          </w:tcPr>
          <w:p w14:paraId="620DD770">
            <w:pPr>
              <w:ind w:left="-105" w:leftChars="-50" w:right="-105" w:rightChars="-50"/>
              <w:jc w:val="center"/>
              <w:rPr>
                <w:color w:val="auto"/>
                <w:szCs w:val="21"/>
              </w:rPr>
            </w:pPr>
            <w:r>
              <w:rPr>
                <w:color w:val="auto"/>
                <w:szCs w:val="21"/>
              </w:rPr>
              <w:t>35</w:t>
            </w:r>
          </w:p>
        </w:tc>
        <w:tc>
          <w:tcPr>
            <w:tcW w:w="362" w:type="pct"/>
            <w:vAlign w:val="center"/>
          </w:tcPr>
          <w:p w14:paraId="40E74A65">
            <w:pPr>
              <w:ind w:left="-105" w:leftChars="-50" w:right="-105" w:rightChars="-50"/>
              <w:jc w:val="center"/>
              <w:rPr>
                <w:color w:val="auto"/>
                <w:szCs w:val="21"/>
              </w:rPr>
            </w:pPr>
            <w:r>
              <w:rPr>
                <w:color w:val="auto"/>
                <w:szCs w:val="21"/>
              </w:rPr>
              <w:t>33</w:t>
            </w:r>
          </w:p>
        </w:tc>
        <w:tc>
          <w:tcPr>
            <w:tcW w:w="366" w:type="pct"/>
            <w:vAlign w:val="center"/>
          </w:tcPr>
          <w:p w14:paraId="4E5401B6">
            <w:pPr>
              <w:ind w:left="-105" w:leftChars="-50" w:right="-105" w:rightChars="-50"/>
              <w:jc w:val="center"/>
              <w:rPr>
                <w:color w:val="auto"/>
                <w:szCs w:val="21"/>
              </w:rPr>
            </w:pPr>
            <w:r>
              <w:rPr>
                <w:color w:val="auto"/>
                <w:szCs w:val="21"/>
              </w:rPr>
              <w:t>31</w:t>
            </w:r>
          </w:p>
        </w:tc>
      </w:tr>
      <w:tr w14:paraId="502668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pct"/>
            <w:vAlign w:val="center"/>
          </w:tcPr>
          <w:p w14:paraId="219FAD00">
            <w:pPr>
              <w:ind w:left="-105" w:leftChars="-50" w:right="-105" w:rightChars="-50"/>
              <w:jc w:val="center"/>
              <w:rPr>
                <w:color w:val="auto"/>
                <w:szCs w:val="21"/>
              </w:rPr>
            </w:pPr>
            <w:r>
              <w:rPr>
                <w:color w:val="auto"/>
                <w:szCs w:val="21"/>
              </w:rPr>
              <w:t>车载起重机</w:t>
            </w:r>
          </w:p>
        </w:tc>
        <w:tc>
          <w:tcPr>
            <w:tcW w:w="258" w:type="pct"/>
            <w:vAlign w:val="center"/>
          </w:tcPr>
          <w:p w14:paraId="3C8EDAEA">
            <w:pPr>
              <w:ind w:left="-105" w:leftChars="-50" w:right="-105" w:rightChars="-50"/>
              <w:jc w:val="center"/>
              <w:rPr>
                <w:color w:val="auto"/>
                <w:szCs w:val="21"/>
              </w:rPr>
            </w:pPr>
            <w:r>
              <w:rPr>
                <w:color w:val="auto"/>
                <w:szCs w:val="21"/>
              </w:rPr>
              <w:t>96</w:t>
            </w:r>
          </w:p>
        </w:tc>
        <w:tc>
          <w:tcPr>
            <w:tcW w:w="310" w:type="pct"/>
            <w:vAlign w:val="center"/>
          </w:tcPr>
          <w:p w14:paraId="14AD5284">
            <w:pPr>
              <w:ind w:left="-105" w:leftChars="-50" w:right="-105" w:rightChars="-50"/>
              <w:jc w:val="center"/>
              <w:rPr>
                <w:color w:val="auto"/>
                <w:szCs w:val="21"/>
              </w:rPr>
            </w:pPr>
            <w:r>
              <w:rPr>
                <w:color w:val="auto"/>
                <w:szCs w:val="21"/>
              </w:rPr>
              <w:t>76</w:t>
            </w:r>
          </w:p>
        </w:tc>
        <w:tc>
          <w:tcPr>
            <w:tcW w:w="310" w:type="pct"/>
            <w:vAlign w:val="center"/>
          </w:tcPr>
          <w:p w14:paraId="6F3241DC">
            <w:pPr>
              <w:ind w:left="-105" w:leftChars="-50" w:right="-105" w:rightChars="-50"/>
              <w:jc w:val="center"/>
              <w:rPr>
                <w:color w:val="auto"/>
                <w:szCs w:val="21"/>
              </w:rPr>
            </w:pPr>
            <w:r>
              <w:rPr>
                <w:color w:val="auto"/>
                <w:szCs w:val="21"/>
              </w:rPr>
              <w:t>70</w:t>
            </w:r>
          </w:p>
        </w:tc>
        <w:tc>
          <w:tcPr>
            <w:tcW w:w="310" w:type="pct"/>
            <w:vAlign w:val="center"/>
          </w:tcPr>
          <w:p w14:paraId="65B1AD6E">
            <w:pPr>
              <w:ind w:left="-105" w:leftChars="-50" w:right="-105" w:rightChars="-50"/>
              <w:jc w:val="center"/>
              <w:rPr>
                <w:color w:val="auto"/>
                <w:szCs w:val="21"/>
              </w:rPr>
            </w:pPr>
            <w:r>
              <w:rPr>
                <w:color w:val="auto"/>
                <w:szCs w:val="21"/>
              </w:rPr>
              <w:t>66.5</w:t>
            </w:r>
          </w:p>
        </w:tc>
        <w:tc>
          <w:tcPr>
            <w:tcW w:w="310" w:type="pct"/>
            <w:vAlign w:val="center"/>
          </w:tcPr>
          <w:p w14:paraId="28B80644">
            <w:pPr>
              <w:ind w:left="-105" w:leftChars="-50" w:right="-105" w:rightChars="-50"/>
              <w:jc w:val="center"/>
              <w:rPr>
                <w:color w:val="auto"/>
                <w:szCs w:val="21"/>
              </w:rPr>
            </w:pPr>
            <w:r>
              <w:rPr>
                <w:color w:val="auto"/>
                <w:szCs w:val="21"/>
              </w:rPr>
              <w:t>64</w:t>
            </w:r>
          </w:p>
        </w:tc>
        <w:tc>
          <w:tcPr>
            <w:tcW w:w="310" w:type="pct"/>
            <w:vAlign w:val="center"/>
          </w:tcPr>
          <w:p w14:paraId="28A6F01E">
            <w:pPr>
              <w:ind w:left="-105" w:leftChars="-50" w:right="-105" w:rightChars="-50"/>
              <w:jc w:val="center"/>
              <w:rPr>
                <w:color w:val="auto"/>
                <w:szCs w:val="21"/>
              </w:rPr>
            </w:pPr>
            <w:r>
              <w:rPr>
                <w:color w:val="auto"/>
                <w:szCs w:val="21"/>
              </w:rPr>
              <w:t>62</w:t>
            </w:r>
          </w:p>
        </w:tc>
        <w:tc>
          <w:tcPr>
            <w:tcW w:w="362" w:type="pct"/>
            <w:vAlign w:val="center"/>
          </w:tcPr>
          <w:p w14:paraId="53B85D78">
            <w:pPr>
              <w:ind w:left="-105" w:leftChars="-50" w:right="-105" w:rightChars="-50"/>
              <w:jc w:val="center"/>
              <w:rPr>
                <w:color w:val="auto"/>
                <w:szCs w:val="21"/>
              </w:rPr>
            </w:pPr>
            <w:r>
              <w:rPr>
                <w:color w:val="auto"/>
                <w:szCs w:val="21"/>
              </w:rPr>
              <w:t>56</w:t>
            </w:r>
          </w:p>
        </w:tc>
        <w:tc>
          <w:tcPr>
            <w:tcW w:w="362" w:type="pct"/>
            <w:vAlign w:val="center"/>
          </w:tcPr>
          <w:p w14:paraId="46A4DD09">
            <w:pPr>
              <w:ind w:left="-105" w:leftChars="-50" w:right="-105" w:rightChars="-50"/>
              <w:jc w:val="center"/>
              <w:rPr>
                <w:color w:val="auto"/>
                <w:szCs w:val="21"/>
              </w:rPr>
            </w:pPr>
            <w:r>
              <w:rPr>
                <w:color w:val="auto"/>
                <w:szCs w:val="21"/>
              </w:rPr>
              <w:t>52</w:t>
            </w:r>
          </w:p>
        </w:tc>
        <w:tc>
          <w:tcPr>
            <w:tcW w:w="362" w:type="pct"/>
            <w:vAlign w:val="center"/>
          </w:tcPr>
          <w:p w14:paraId="38A73D5B">
            <w:pPr>
              <w:ind w:left="-105" w:leftChars="-50" w:right="-105" w:rightChars="-50"/>
              <w:jc w:val="center"/>
              <w:rPr>
                <w:color w:val="auto"/>
                <w:szCs w:val="21"/>
              </w:rPr>
            </w:pPr>
            <w:r>
              <w:rPr>
                <w:color w:val="auto"/>
                <w:szCs w:val="21"/>
              </w:rPr>
              <w:t>50</w:t>
            </w:r>
          </w:p>
        </w:tc>
        <w:tc>
          <w:tcPr>
            <w:tcW w:w="362" w:type="pct"/>
            <w:vAlign w:val="center"/>
          </w:tcPr>
          <w:p w14:paraId="283E4948">
            <w:pPr>
              <w:ind w:left="-105" w:leftChars="-50" w:right="-105" w:rightChars="-50"/>
              <w:jc w:val="center"/>
              <w:rPr>
                <w:color w:val="auto"/>
                <w:szCs w:val="21"/>
              </w:rPr>
            </w:pPr>
            <w:r>
              <w:rPr>
                <w:color w:val="auto"/>
                <w:szCs w:val="21"/>
              </w:rPr>
              <w:t>46</w:t>
            </w:r>
          </w:p>
        </w:tc>
        <w:tc>
          <w:tcPr>
            <w:tcW w:w="362" w:type="pct"/>
            <w:vAlign w:val="center"/>
          </w:tcPr>
          <w:p w14:paraId="05FCE4E7">
            <w:pPr>
              <w:ind w:left="-105" w:leftChars="-50" w:right="-105" w:rightChars="-50"/>
              <w:jc w:val="center"/>
              <w:rPr>
                <w:color w:val="auto"/>
                <w:szCs w:val="21"/>
              </w:rPr>
            </w:pPr>
            <w:r>
              <w:rPr>
                <w:color w:val="auto"/>
                <w:szCs w:val="21"/>
              </w:rPr>
              <w:t>44</w:t>
            </w:r>
          </w:p>
        </w:tc>
        <w:tc>
          <w:tcPr>
            <w:tcW w:w="362" w:type="pct"/>
            <w:vAlign w:val="center"/>
          </w:tcPr>
          <w:p w14:paraId="4CC6E567">
            <w:pPr>
              <w:ind w:left="-105" w:leftChars="-50" w:right="-105" w:rightChars="-50"/>
              <w:jc w:val="center"/>
              <w:rPr>
                <w:color w:val="auto"/>
                <w:szCs w:val="21"/>
              </w:rPr>
            </w:pPr>
            <w:r>
              <w:rPr>
                <w:color w:val="auto"/>
                <w:szCs w:val="21"/>
              </w:rPr>
              <w:t>42</w:t>
            </w:r>
          </w:p>
        </w:tc>
        <w:tc>
          <w:tcPr>
            <w:tcW w:w="366" w:type="pct"/>
            <w:vAlign w:val="center"/>
          </w:tcPr>
          <w:p w14:paraId="3DD03EDB">
            <w:pPr>
              <w:ind w:left="-105" w:leftChars="-50" w:right="-105" w:rightChars="-50"/>
              <w:jc w:val="center"/>
              <w:rPr>
                <w:color w:val="auto"/>
                <w:szCs w:val="21"/>
              </w:rPr>
            </w:pPr>
            <w:r>
              <w:rPr>
                <w:color w:val="auto"/>
                <w:szCs w:val="21"/>
              </w:rPr>
              <w:t>40</w:t>
            </w:r>
          </w:p>
        </w:tc>
      </w:tr>
      <w:tr w14:paraId="2155E63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pct"/>
            <w:vAlign w:val="center"/>
          </w:tcPr>
          <w:p w14:paraId="505149A1">
            <w:pPr>
              <w:ind w:left="-105" w:leftChars="-50" w:right="-105" w:rightChars="-50"/>
              <w:jc w:val="center"/>
              <w:rPr>
                <w:color w:val="auto"/>
                <w:szCs w:val="21"/>
              </w:rPr>
            </w:pPr>
            <w:r>
              <w:rPr>
                <w:color w:val="auto"/>
                <w:szCs w:val="21"/>
              </w:rPr>
              <w:t>液压挖土机</w:t>
            </w:r>
          </w:p>
        </w:tc>
        <w:tc>
          <w:tcPr>
            <w:tcW w:w="258" w:type="pct"/>
            <w:vAlign w:val="center"/>
          </w:tcPr>
          <w:p w14:paraId="5C5539B7">
            <w:pPr>
              <w:ind w:left="-105" w:leftChars="-50" w:right="-105" w:rightChars="-50"/>
              <w:jc w:val="center"/>
              <w:rPr>
                <w:color w:val="auto"/>
                <w:szCs w:val="21"/>
              </w:rPr>
            </w:pPr>
            <w:r>
              <w:rPr>
                <w:color w:val="auto"/>
                <w:szCs w:val="21"/>
              </w:rPr>
              <w:t>85</w:t>
            </w:r>
          </w:p>
        </w:tc>
        <w:tc>
          <w:tcPr>
            <w:tcW w:w="310" w:type="pct"/>
            <w:vAlign w:val="center"/>
          </w:tcPr>
          <w:p w14:paraId="6B58887B">
            <w:pPr>
              <w:ind w:left="-105" w:leftChars="-50" w:right="-105" w:rightChars="-50"/>
              <w:jc w:val="center"/>
              <w:rPr>
                <w:color w:val="auto"/>
                <w:szCs w:val="21"/>
              </w:rPr>
            </w:pPr>
            <w:r>
              <w:rPr>
                <w:color w:val="auto"/>
                <w:szCs w:val="21"/>
              </w:rPr>
              <w:t>65</w:t>
            </w:r>
          </w:p>
        </w:tc>
        <w:tc>
          <w:tcPr>
            <w:tcW w:w="310" w:type="pct"/>
            <w:vAlign w:val="center"/>
          </w:tcPr>
          <w:p w14:paraId="165549EC">
            <w:pPr>
              <w:ind w:left="-105" w:leftChars="-50" w:right="-105" w:rightChars="-50"/>
              <w:jc w:val="center"/>
              <w:rPr>
                <w:color w:val="auto"/>
                <w:szCs w:val="21"/>
              </w:rPr>
            </w:pPr>
            <w:r>
              <w:rPr>
                <w:color w:val="auto"/>
                <w:szCs w:val="21"/>
              </w:rPr>
              <w:t>59</w:t>
            </w:r>
          </w:p>
        </w:tc>
        <w:tc>
          <w:tcPr>
            <w:tcW w:w="310" w:type="pct"/>
            <w:vAlign w:val="center"/>
          </w:tcPr>
          <w:p w14:paraId="7E118A18">
            <w:pPr>
              <w:ind w:left="-105" w:leftChars="-50" w:right="-105" w:rightChars="-50"/>
              <w:jc w:val="center"/>
              <w:rPr>
                <w:color w:val="auto"/>
                <w:szCs w:val="21"/>
              </w:rPr>
            </w:pPr>
            <w:r>
              <w:rPr>
                <w:color w:val="auto"/>
                <w:szCs w:val="21"/>
              </w:rPr>
              <w:t>55.5</w:t>
            </w:r>
          </w:p>
        </w:tc>
        <w:tc>
          <w:tcPr>
            <w:tcW w:w="310" w:type="pct"/>
            <w:vAlign w:val="center"/>
          </w:tcPr>
          <w:p w14:paraId="7BF0A671">
            <w:pPr>
              <w:ind w:left="-105" w:leftChars="-50" w:right="-105" w:rightChars="-50"/>
              <w:jc w:val="center"/>
              <w:rPr>
                <w:color w:val="auto"/>
                <w:szCs w:val="21"/>
              </w:rPr>
            </w:pPr>
            <w:r>
              <w:rPr>
                <w:color w:val="auto"/>
                <w:szCs w:val="21"/>
              </w:rPr>
              <w:t>53</w:t>
            </w:r>
          </w:p>
        </w:tc>
        <w:tc>
          <w:tcPr>
            <w:tcW w:w="310" w:type="pct"/>
            <w:vAlign w:val="center"/>
          </w:tcPr>
          <w:p w14:paraId="7EBC7CBC">
            <w:pPr>
              <w:ind w:left="-105" w:leftChars="-50" w:right="-105" w:rightChars="-50"/>
              <w:jc w:val="center"/>
              <w:rPr>
                <w:color w:val="auto"/>
                <w:szCs w:val="21"/>
              </w:rPr>
            </w:pPr>
            <w:r>
              <w:rPr>
                <w:color w:val="auto"/>
                <w:szCs w:val="21"/>
              </w:rPr>
              <w:t>51</w:t>
            </w:r>
          </w:p>
        </w:tc>
        <w:tc>
          <w:tcPr>
            <w:tcW w:w="362" w:type="pct"/>
            <w:vAlign w:val="center"/>
          </w:tcPr>
          <w:p w14:paraId="2CF9A08D">
            <w:pPr>
              <w:ind w:left="-105" w:leftChars="-50" w:right="-105" w:rightChars="-50"/>
              <w:jc w:val="center"/>
              <w:rPr>
                <w:color w:val="auto"/>
                <w:szCs w:val="21"/>
              </w:rPr>
            </w:pPr>
            <w:r>
              <w:rPr>
                <w:color w:val="auto"/>
                <w:szCs w:val="21"/>
              </w:rPr>
              <w:t>45</w:t>
            </w:r>
          </w:p>
        </w:tc>
        <w:tc>
          <w:tcPr>
            <w:tcW w:w="362" w:type="pct"/>
            <w:vAlign w:val="center"/>
          </w:tcPr>
          <w:p w14:paraId="3EAD7BF5">
            <w:pPr>
              <w:ind w:left="-105" w:leftChars="-50" w:right="-105" w:rightChars="-50"/>
              <w:jc w:val="center"/>
              <w:rPr>
                <w:color w:val="auto"/>
                <w:szCs w:val="21"/>
              </w:rPr>
            </w:pPr>
            <w:r>
              <w:rPr>
                <w:color w:val="auto"/>
                <w:szCs w:val="21"/>
              </w:rPr>
              <w:t>41</w:t>
            </w:r>
          </w:p>
        </w:tc>
        <w:tc>
          <w:tcPr>
            <w:tcW w:w="362" w:type="pct"/>
            <w:vAlign w:val="center"/>
          </w:tcPr>
          <w:p w14:paraId="3C651088">
            <w:pPr>
              <w:ind w:left="-105" w:leftChars="-50" w:right="-105" w:rightChars="-50"/>
              <w:jc w:val="center"/>
              <w:rPr>
                <w:color w:val="auto"/>
                <w:szCs w:val="21"/>
              </w:rPr>
            </w:pPr>
            <w:r>
              <w:rPr>
                <w:color w:val="auto"/>
                <w:szCs w:val="21"/>
              </w:rPr>
              <w:t>39</w:t>
            </w:r>
          </w:p>
        </w:tc>
        <w:tc>
          <w:tcPr>
            <w:tcW w:w="362" w:type="pct"/>
            <w:vAlign w:val="center"/>
          </w:tcPr>
          <w:p w14:paraId="63E2AB95">
            <w:pPr>
              <w:ind w:left="-105" w:leftChars="-50" w:right="-105" w:rightChars="-50"/>
              <w:jc w:val="center"/>
              <w:rPr>
                <w:color w:val="auto"/>
                <w:szCs w:val="21"/>
              </w:rPr>
            </w:pPr>
            <w:r>
              <w:rPr>
                <w:color w:val="auto"/>
                <w:szCs w:val="21"/>
              </w:rPr>
              <w:t>35</w:t>
            </w:r>
          </w:p>
        </w:tc>
        <w:tc>
          <w:tcPr>
            <w:tcW w:w="362" w:type="pct"/>
            <w:vAlign w:val="center"/>
          </w:tcPr>
          <w:p w14:paraId="18BB3087">
            <w:pPr>
              <w:ind w:left="-105" w:leftChars="-50" w:right="-105" w:rightChars="-50"/>
              <w:jc w:val="center"/>
              <w:rPr>
                <w:color w:val="auto"/>
                <w:szCs w:val="21"/>
              </w:rPr>
            </w:pPr>
            <w:r>
              <w:rPr>
                <w:color w:val="auto"/>
                <w:szCs w:val="21"/>
              </w:rPr>
              <w:t>33</w:t>
            </w:r>
          </w:p>
        </w:tc>
        <w:tc>
          <w:tcPr>
            <w:tcW w:w="362" w:type="pct"/>
            <w:vAlign w:val="center"/>
          </w:tcPr>
          <w:p w14:paraId="0B079E91">
            <w:pPr>
              <w:ind w:left="-105" w:leftChars="-50" w:right="-105" w:rightChars="-50"/>
              <w:jc w:val="center"/>
              <w:rPr>
                <w:color w:val="auto"/>
                <w:szCs w:val="21"/>
              </w:rPr>
            </w:pPr>
            <w:r>
              <w:rPr>
                <w:color w:val="auto"/>
                <w:szCs w:val="21"/>
              </w:rPr>
              <w:t>31</w:t>
            </w:r>
          </w:p>
        </w:tc>
        <w:tc>
          <w:tcPr>
            <w:tcW w:w="366" w:type="pct"/>
            <w:vAlign w:val="center"/>
          </w:tcPr>
          <w:p w14:paraId="59FE195C">
            <w:pPr>
              <w:ind w:left="-105" w:leftChars="-50" w:right="-105" w:rightChars="-50"/>
              <w:jc w:val="center"/>
              <w:rPr>
                <w:color w:val="auto"/>
                <w:szCs w:val="21"/>
              </w:rPr>
            </w:pPr>
            <w:r>
              <w:rPr>
                <w:color w:val="auto"/>
                <w:szCs w:val="21"/>
              </w:rPr>
              <w:t>29</w:t>
            </w:r>
          </w:p>
        </w:tc>
      </w:tr>
      <w:tr w14:paraId="06D1CBE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pct"/>
            <w:vAlign w:val="center"/>
          </w:tcPr>
          <w:p w14:paraId="16A3B289">
            <w:pPr>
              <w:ind w:left="-105" w:leftChars="-50" w:right="-105" w:rightChars="-50"/>
              <w:jc w:val="center"/>
              <w:rPr>
                <w:color w:val="auto"/>
                <w:szCs w:val="21"/>
              </w:rPr>
            </w:pPr>
            <w:r>
              <w:rPr>
                <w:color w:val="auto"/>
                <w:szCs w:val="21"/>
              </w:rPr>
              <w:t>卡车</w:t>
            </w:r>
          </w:p>
        </w:tc>
        <w:tc>
          <w:tcPr>
            <w:tcW w:w="258" w:type="pct"/>
            <w:vAlign w:val="center"/>
          </w:tcPr>
          <w:p w14:paraId="41534DBF">
            <w:pPr>
              <w:ind w:left="-105" w:leftChars="-50" w:right="-105" w:rightChars="-50"/>
              <w:jc w:val="center"/>
              <w:rPr>
                <w:color w:val="auto"/>
                <w:szCs w:val="21"/>
              </w:rPr>
            </w:pPr>
            <w:r>
              <w:rPr>
                <w:color w:val="auto"/>
                <w:szCs w:val="21"/>
              </w:rPr>
              <w:t>91</w:t>
            </w:r>
          </w:p>
        </w:tc>
        <w:tc>
          <w:tcPr>
            <w:tcW w:w="310" w:type="pct"/>
            <w:vAlign w:val="center"/>
          </w:tcPr>
          <w:p w14:paraId="456A63D5">
            <w:pPr>
              <w:ind w:left="-105" w:leftChars="-50" w:right="-105" w:rightChars="-50"/>
              <w:jc w:val="center"/>
              <w:rPr>
                <w:color w:val="auto"/>
                <w:szCs w:val="21"/>
              </w:rPr>
            </w:pPr>
            <w:r>
              <w:rPr>
                <w:color w:val="auto"/>
                <w:szCs w:val="21"/>
              </w:rPr>
              <w:t>71</w:t>
            </w:r>
          </w:p>
        </w:tc>
        <w:tc>
          <w:tcPr>
            <w:tcW w:w="310" w:type="pct"/>
            <w:vAlign w:val="center"/>
          </w:tcPr>
          <w:p w14:paraId="19C39327">
            <w:pPr>
              <w:ind w:left="-105" w:leftChars="-50" w:right="-105" w:rightChars="-50"/>
              <w:jc w:val="center"/>
              <w:rPr>
                <w:color w:val="auto"/>
                <w:szCs w:val="21"/>
              </w:rPr>
            </w:pPr>
            <w:r>
              <w:rPr>
                <w:color w:val="auto"/>
                <w:szCs w:val="21"/>
              </w:rPr>
              <w:t>65</w:t>
            </w:r>
          </w:p>
        </w:tc>
        <w:tc>
          <w:tcPr>
            <w:tcW w:w="310" w:type="pct"/>
            <w:vAlign w:val="center"/>
          </w:tcPr>
          <w:p w14:paraId="7398902D">
            <w:pPr>
              <w:ind w:left="-105" w:leftChars="-50" w:right="-105" w:rightChars="-50"/>
              <w:jc w:val="center"/>
              <w:rPr>
                <w:color w:val="auto"/>
                <w:szCs w:val="21"/>
              </w:rPr>
            </w:pPr>
            <w:r>
              <w:rPr>
                <w:color w:val="auto"/>
                <w:szCs w:val="21"/>
              </w:rPr>
              <w:t>61.5</w:t>
            </w:r>
          </w:p>
        </w:tc>
        <w:tc>
          <w:tcPr>
            <w:tcW w:w="310" w:type="pct"/>
            <w:vAlign w:val="center"/>
          </w:tcPr>
          <w:p w14:paraId="7B18F4A2">
            <w:pPr>
              <w:ind w:left="-105" w:leftChars="-50" w:right="-105" w:rightChars="-50"/>
              <w:jc w:val="center"/>
              <w:rPr>
                <w:color w:val="auto"/>
                <w:szCs w:val="21"/>
              </w:rPr>
            </w:pPr>
            <w:r>
              <w:rPr>
                <w:color w:val="auto"/>
                <w:szCs w:val="21"/>
              </w:rPr>
              <w:t>59</w:t>
            </w:r>
          </w:p>
        </w:tc>
        <w:tc>
          <w:tcPr>
            <w:tcW w:w="310" w:type="pct"/>
            <w:vAlign w:val="center"/>
          </w:tcPr>
          <w:p w14:paraId="12A3BD89">
            <w:pPr>
              <w:ind w:left="-105" w:leftChars="-50" w:right="-105" w:rightChars="-50"/>
              <w:jc w:val="center"/>
              <w:rPr>
                <w:color w:val="auto"/>
                <w:szCs w:val="21"/>
              </w:rPr>
            </w:pPr>
            <w:r>
              <w:rPr>
                <w:color w:val="auto"/>
                <w:szCs w:val="21"/>
              </w:rPr>
              <w:t>57</w:t>
            </w:r>
          </w:p>
        </w:tc>
        <w:tc>
          <w:tcPr>
            <w:tcW w:w="362" w:type="pct"/>
            <w:vAlign w:val="center"/>
          </w:tcPr>
          <w:p w14:paraId="740185F6">
            <w:pPr>
              <w:ind w:left="-105" w:leftChars="-50" w:right="-105" w:rightChars="-50"/>
              <w:jc w:val="center"/>
              <w:rPr>
                <w:color w:val="auto"/>
                <w:szCs w:val="21"/>
              </w:rPr>
            </w:pPr>
            <w:r>
              <w:rPr>
                <w:color w:val="auto"/>
                <w:szCs w:val="21"/>
              </w:rPr>
              <w:t>51</w:t>
            </w:r>
          </w:p>
        </w:tc>
        <w:tc>
          <w:tcPr>
            <w:tcW w:w="362" w:type="pct"/>
            <w:vAlign w:val="center"/>
          </w:tcPr>
          <w:p w14:paraId="0C752706">
            <w:pPr>
              <w:ind w:left="-105" w:leftChars="-50" w:right="-105" w:rightChars="-50"/>
              <w:jc w:val="center"/>
              <w:rPr>
                <w:color w:val="auto"/>
                <w:szCs w:val="21"/>
              </w:rPr>
            </w:pPr>
            <w:r>
              <w:rPr>
                <w:color w:val="auto"/>
                <w:szCs w:val="21"/>
              </w:rPr>
              <w:t>47</w:t>
            </w:r>
          </w:p>
        </w:tc>
        <w:tc>
          <w:tcPr>
            <w:tcW w:w="362" w:type="pct"/>
            <w:vAlign w:val="center"/>
          </w:tcPr>
          <w:p w14:paraId="56EB804D">
            <w:pPr>
              <w:ind w:left="-105" w:leftChars="-50" w:right="-105" w:rightChars="-50"/>
              <w:jc w:val="center"/>
              <w:rPr>
                <w:color w:val="auto"/>
                <w:szCs w:val="21"/>
              </w:rPr>
            </w:pPr>
            <w:r>
              <w:rPr>
                <w:color w:val="auto"/>
                <w:szCs w:val="21"/>
              </w:rPr>
              <w:t>45</w:t>
            </w:r>
          </w:p>
        </w:tc>
        <w:tc>
          <w:tcPr>
            <w:tcW w:w="362" w:type="pct"/>
            <w:vAlign w:val="center"/>
          </w:tcPr>
          <w:p w14:paraId="6A8538D7">
            <w:pPr>
              <w:ind w:left="-105" w:leftChars="-50" w:right="-105" w:rightChars="-50"/>
              <w:jc w:val="center"/>
              <w:rPr>
                <w:color w:val="auto"/>
                <w:szCs w:val="21"/>
              </w:rPr>
            </w:pPr>
            <w:r>
              <w:rPr>
                <w:color w:val="auto"/>
                <w:szCs w:val="21"/>
              </w:rPr>
              <w:t>41</w:t>
            </w:r>
          </w:p>
        </w:tc>
        <w:tc>
          <w:tcPr>
            <w:tcW w:w="362" w:type="pct"/>
            <w:vAlign w:val="center"/>
          </w:tcPr>
          <w:p w14:paraId="3C94EE85">
            <w:pPr>
              <w:ind w:left="-105" w:leftChars="-50" w:right="-105" w:rightChars="-50"/>
              <w:jc w:val="center"/>
              <w:rPr>
                <w:color w:val="auto"/>
                <w:szCs w:val="21"/>
              </w:rPr>
            </w:pPr>
            <w:r>
              <w:rPr>
                <w:color w:val="auto"/>
                <w:szCs w:val="21"/>
              </w:rPr>
              <w:t>39</w:t>
            </w:r>
          </w:p>
        </w:tc>
        <w:tc>
          <w:tcPr>
            <w:tcW w:w="362" w:type="pct"/>
            <w:vAlign w:val="center"/>
          </w:tcPr>
          <w:p w14:paraId="48461956">
            <w:pPr>
              <w:ind w:left="-105" w:leftChars="-50" w:right="-105" w:rightChars="-50"/>
              <w:jc w:val="center"/>
              <w:rPr>
                <w:color w:val="auto"/>
                <w:szCs w:val="21"/>
              </w:rPr>
            </w:pPr>
            <w:r>
              <w:rPr>
                <w:color w:val="auto"/>
                <w:szCs w:val="21"/>
              </w:rPr>
              <w:t>37</w:t>
            </w:r>
          </w:p>
        </w:tc>
        <w:tc>
          <w:tcPr>
            <w:tcW w:w="366" w:type="pct"/>
            <w:vAlign w:val="center"/>
          </w:tcPr>
          <w:p w14:paraId="131B14E1">
            <w:pPr>
              <w:ind w:left="-105" w:leftChars="-50" w:right="-105" w:rightChars="-50"/>
              <w:jc w:val="center"/>
              <w:rPr>
                <w:color w:val="auto"/>
                <w:szCs w:val="21"/>
              </w:rPr>
            </w:pPr>
            <w:r>
              <w:rPr>
                <w:color w:val="auto"/>
                <w:szCs w:val="21"/>
              </w:rPr>
              <w:t>35</w:t>
            </w:r>
          </w:p>
        </w:tc>
      </w:tr>
      <w:tr w14:paraId="46DAD31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6" w:type="pct"/>
            <w:vAlign w:val="center"/>
          </w:tcPr>
          <w:p w14:paraId="0D862760">
            <w:pPr>
              <w:ind w:left="-105" w:leftChars="-50" w:right="-105" w:rightChars="-50"/>
              <w:jc w:val="center"/>
              <w:rPr>
                <w:color w:val="auto"/>
                <w:szCs w:val="21"/>
              </w:rPr>
            </w:pPr>
            <w:r>
              <w:rPr>
                <w:color w:val="auto"/>
                <w:szCs w:val="21"/>
              </w:rPr>
              <w:t>切割机</w:t>
            </w:r>
          </w:p>
        </w:tc>
        <w:tc>
          <w:tcPr>
            <w:tcW w:w="258" w:type="pct"/>
            <w:vAlign w:val="center"/>
          </w:tcPr>
          <w:p w14:paraId="64C5224E">
            <w:pPr>
              <w:ind w:left="-105" w:leftChars="-50" w:right="-105" w:rightChars="-50"/>
              <w:jc w:val="center"/>
              <w:rPr>
                <w:color w:val="auto"/>
                <w:szCs w:val="21"/>
              </w:rPr>
            </w:pPr>
            <w:r>
              <w:rPr>
                <w:color w:val="auto"/>
                <w:szCs w:val="21"/>
              </w:rPr>
              <w:t>91</w:t>
            </w:r>
          </w:p>
        </w:tc>
        <w:tc>
          <w:tcPr>
            <w:tcW w:w="310" w:type="pct"/>
            <w:vAlign w:val="center"/>
          </w:tcPr>
          <w:p w14:paraId="6EC28EBA">
            <w:pPr>
              <w:ind w:left="-105" w:leftChars="-50" w:right="-105" w:rightChars="-50"/>
              <w:jc w:val="center"/>
              <w:rPr>
                <w:color w:val="auto"/>
                <w:szCs w:val="21"/>
              </w:rPr>
            </w:pPr>
            <w:r>
              <w:rPr>
                <w:color w:val="auto"/>
                <w:szCs w:val="21"/>
              </w:rPr>
              <w:t>71</w:t>
            </w:r>
          </w:p>
        </w:tc>
        <w:tc>
          <w:tcPr>
            <w:tcW w:w="310" w:type="pct"/>
            <w:vAlign w:val="center"/>
          </w:tcPr>
          <w:p w14:paraId="20A86EAA">
            <w:pPr>
              <w:ind w:left="-105" w:leftChars="-50" w:right="-105" w:rightChars="-50"/>
              <w:jc w:val="center"/>
              <w:rPr>
                <w:color w:val="auto"/>
                <w:szCs w:val="21"/>
              </w:rPr>
            </w:pPr>
            <w:r>
              <w:rPr>
                <w:color w:val="auto"/>
                <w:szCs w:val="21"/>
              </w:rPr>
              <w:t>65</w:t>
            </w:r>
          </w:p>
        </w:tc>
        <w:tc>
          <w:tcPr>
            <w:tcW w:w="310" w:type="pct"/>
            <w:vAlign w:val="center"/>
          </w:tcPr>
          <w:p w14:paraId="57E7F370">
            <w:pPr>
              <w:ind w:left="-105" w:leftChars="-50" w:right="-105" w:rightChars="-50"/>
              <w:jc w:val="center"/>
              <w:rPr>
                <w:color w:val="auto"/>
                <w:szCs w:val="21"/>
              </w:rPr>
            </w:pPr>
            <w:r>
              <w:rPr>
                <w:color w:val="auto"/>
                <w:szCs w:val="21"/>
              </w:rPr>
              <w:t>61.5</w:t>
            </w:r>
          </w:p>
        </w:tc>
        <w:tc>
          <w:tcPr>
            <w:tcW w:w="310" w:type="pct"/>
            <w:vAlign w:val="center"/>
          </w:tcPr>
          <w:p w14:paraId="2BD69CB0">
            <w:pPr>
              <w:ind w:left="-105" w:leftChars="-50" w:right="-105" w:rightChars="-50"/>
              <w:jc w:val="center"/>
              <w:rPr>
                <w:color w:val="auto"/>
                <w:szCs w:val="21"/>
              </w:rPr>
            </w:pPr>
            <w:r>
              <w:rPr>
                <w:color w:val="auto"/>
                <w:szCs w:val="21"/>
              </w:rPr>
              <w:t>59</w:t>
            </w:r>
          </w:p>
        </w:tc>
        <w:tc>
          <w:tcPr>
            <w:tcW w:w="310" w:type="pct"/>
            <w:vAlign w:val="center"/>
          </w:tcPr>
          <w:p w14:paraId="781F5881">
            <w:pPr>
              <w:ind w:left="-105" w:leftChars="-50" w:right="-105" w:rightChars="-50"/>
              <w:jc w:val="center"/>
              <w:rPr>
                <w:color w:val="auto"/>
                <w:szCs w:val="21"/>
              </w:rPr>
            </w:pPr>
            <w:r>
              <w:rPr>
                <w:color w:val="auto"/>
                <w:szCs w:val="21"/>
              </w:rPr>
              <w:t>57</w:t>
            </w:r>
          </w:p>
        </w:tc>
        <w:tc>
          <w:tcPr>
            <w:tcW w:w="362" w:type="pct"/>
            <w:vAlign w:val="center"/>
          </w:tcPr>
          <w:p w14:paraId="59D5AD07">
            <w:pPr>
              <w:ind w:left="-105" w:leftChars="-50" w:right="-105" w:rightChars="-50"/>
              <w:jc w:val="center"/>
              <w:rPr>
                <w:color w:val="auto"/>
                <w:szCs w:val="21"/>
              </w:rPr>
            </w:pPr>
            <w:r>
              <w:rPr>
                <w:color w:val="auto"/>
                <w:szCs w:val="21"/>
              </w:rPr>
              <w:t>51</w:t>
            </w:r>
          </w:p>
        </w:tc>
        <w:tc>
          <w:tcPr>
            <w:tcW w:w="362" w:type="pct"/>
            <w:vAlign w:val="center"/>
          </w:tcPr>
          <w:p w14:paraId="7138B9C5">
            <w:pPr>
              <w:ind w:left="-105" w:leftChars="-50" w:right="-105" w:rightChars="-50"/>
              <w:jc w:val="center"/>
              <w:rPr>
                <w:color w:val="auto"/>
                <w:szCs w:val="21"/>
              </w:rPr>
            </w:pPr>
            <w:r>
              <w:rPr>
                <w:color w:val="auto"/>
                <w:szCs w:val="21"/>
              </w:rPr>
              <w:t>47</w:t>
            </w:r>
          </w:p>
        </w:tc>
        <w:tc>
          <w:tcPr>
            <w:tcW w:w="362" w:type="pct"/>
            <w:vAlign w:val="center"/>
          </w:tcPr>
          <w:p w14:paraId="2C97EF44">
            <w:pPr>
              <w:ind w:left="-105" w:leftChars="-50" w:right="-105" w:rightChars="-50"/>
              <w:jc w:val="center"/>
              <w:rPr>
                <w:color w:val="auto"/>
                <w:szCs w:val="21"/>
              </w:rPr>
            </w:pPr>
            <w:r>
              <w:rPr>
                <w:color w:val="auto"/>
                <w:szCs w:val="21"/>
              </w:rPr>
              <w:t>45</w:t>
            </w:r>
          </w:p>
        </w:tc>
        <w:tc>
          <w:tcPr>
            <w:tcW w:w="362" w:type="pct"/>
            <w:vAlign w:val="center"/>
          </w:tcPr>
          <w:p w14:paraId="26B3CFE8">
            <w:pPr>
              <w:ind w:left="-105" w:leftChars="-50" w:right="-105" w:rightChars="-50"/>
              <w:jc w:val="center"/>
              <w:rPr>
                <w:color w:val="auto"/>
                <w:szCs w:val="21"/>
              </w:rPr>
            </w:pPr>
            <w:r>
              <w:rPr>
                <w:color w:val="auto"/>
                <w:szCs w:val="21"/>
              </w:rPr>
              <w:t>41</w:t>
            </w:r>
          </w:p>
        </w:tc>
        <w:tc>
          <w:tcPr>
            <w:tcW w:w="362" w:type="pct"/>
            <w:vAlign w:val="center"/>
          </w:tcPr>
          <w:p w14:paraId="78ADCC28">
            <w:pPr>
              <w:ind w:left="-105" w:leftChars="-50" w:right="-105" w:rightChars="-50"/>
              <w:jc w:val="center"/>
              <w:rPr>
                <w:color w:val="auto"/>
                <w:szCs w:val="21"/>
              </w:rPr>
            </w:pPr>
            <w:r>
              <w:rPr>
                <w:color w:val="auto"/>
                <w:szCs w:val="21"/>
              </w:rPr>
              <w:t>39</w:t>
            </w:r>
          </w:p>
        </w:tc>
        <w:tc>
          <w:tcPr>
            <w:tcW w:w="362" w:type="pct"/>
            <w:vAlign w:val="center"/>
          </w:tcPr>
          <w:p w14:paraId="5712DA8F">
            <w:pPr>
              <w:ind w:left="-105" w:leftChars="-50" w:right="-105" w:rightChars="-50"/>
              <w:jc w:val="center"/>
              <w:rPr>
                <w:color w:val="auto"/>
                <w:szCs w:val="21"/>
              </w:rPr>
            </w:pPr>
            <w:r>
              <w:rPr>
                <w:color w:val="auto"/>
                <w:szCs w:val="21"/>
              </w:rPr>
              <w:t>37</w:t>
            </w:r>
          </w:p>
        </w:tc>
        <w:tc>
          <w:tcPr>
            <w:tcW w:w="366" w:type="pct"/>
            <w:vAlign w:val="center"/>
          </w:tcPr>
          <w:p w14:paraId="39DB0A30">
            <w:pPr>
              <w:ind w:left="-105" w:leftChars="-50" w:right="-105" w:rightChars="-50"/>
              <w:jc w:val="center"/>
              <w:rPr>
                <w:color w:val="auto"/>
                <w:szCs w:val="21"/>
              </w:rPr>
            </w:pPr>
            <w:r>
              <w:rPr>
                <w:color w:val="auto"/>
                <w:szCs w:val="21"/>
              </w:rPr>
              <w:t>35</w:t>
            </w:r>
          </w:p>
        </w:tc>
      </w:tr>
    </w:tbl>
    <w:p w14:paraId="3604D396">
      <w:pPr>
        <w:spacing w:line="500" w:lineRule="exact"/>
        <w:ind w:firstLine="480" w:firstLineChars="200"/>
        <w:rPr>
          <w:color w:val="auto"/>
          <w:sz w:val="24"/>
        </w:rPr>
      </w:pPr>
      <w:r>
        <w:rPr>
          <w:color w:val="auto"/>
          <w:sz w:val="24"/>
        </w:rPr>
        <w:t>本项目施工期噪声源强是各种机械设备作业噪声和车辆运输(运送物料及清运建筑垃圾)噪声的合成噪声。其噪声合成计算公式见下式：</w:t>
      </w:r>
    </w:p>
    <w:p w14:paraId="76BE723B">
      <w:pPr>
        <w:ind w:firstLine="480" w:firstLineChars="200"/>
        <w:rPr>
          <w:color w:val="auto"/>
          <w:sz w:val="24"/>
        </w:rPr>
      </w:pPr>
      <w:r>
        <w:rPr>
          <w:color w:val="auto"/>
          <w:sz w:val="24"/>
        </w:rPr>
        <w:pict>
          <v:shape id="_x0000_s7320" o:spid="_x0000_s7320" o:spt="75" type="#_x0000_t75" style="position:absolute;left:0pt;margin-left:117pt;margin-top:7.75pt;height:36pt;width:111.65pt;mso-wrap-distance-bottom:0pt;mso-wrap-distance-left:9pt;mso-wrap-distance-right:9pt;mso-wrap-distance-top:0pt;z-index:251672576;mso-width-relative:page;mso-height-relative:page;" o:ole="t" filled="f" o:preferrelative="t" stroked="f" coordsize="21600,21600">
            <v:path/>
            <v:fill on="f" focussize="0,0"/>
            <v:stroke on="f"/>
            <v:imagedata r:id="rId40" o:title=""/>
            <o:lock v:ext="edit" aspectratio="t"/>
            <w10:wrap type="square" side="right"/>
          </v:shape>
          <o:OLEObject Type="Embed" ProgID="Equation.3" ShapeID="_x0000_s7320" DrawAspect="Content" ObjectID="_1468075728" r:id="rId39">
            <o:LockedField>false</o:LockedField>
          </o:OLEObject>
        </w:pict>
      </w:r>
    </w:p>
    <w:p w14:paraId="39A45E45">
      <w:pPr>
        <w:ind w:firstLine="480" w:firstLineChars="200"/>
        <w:rPr>
          <w:color w:val="auto"/>
          <w:sz w:val="24"/>
        </w:rPr>
      </w:pPr>
    </w:p>
    <w:p w14:paraId="355667C6">
      <w:pPr>
        <w:ind w:firstLine="480" w:firstLineChars="200"/>
        <w:rPr>
          <w:color w:val="auto"/>
          <w:sz w:val="24"/>
        </w:rPr>
      </w:pPr>
    </w:p>
    <w:p w14:paraId="641176CA">
      <w:pPr>
        <w:ind w:firstLine="480" w:firstLineChars="200"/>
        <w:rPr>
          <w:color w:val="auto"/>
          <w:sz w:val="24"/>
        </w:rPr>
      </w:pPr>
    </w:p>
    <w:p w14:paraId="15FE8887">
      <w:pPr>
        <w:spacing w:line="500" w:lineRule="exact"/>
        <w:rPr>
          <w:color w:val="auto"/>
          <w:sz w:val="24"/>
        </w:rPr>
      </w:pPr>
      <w:r>
        <w:rPr>
          <w:color w:val="auto"/>
          <w:sz w:val="24"/>
        </w:rPr>
        <w:t>式中：Li——第i个声源的源强，dB(A)；</w:t>
      </w:r>
    </w:p>
    <w:p w14:paraId="40621675">
      <w:pPr>
        <w:spacing w:line="500" w:lineRule="exact"/>
        <w:ind w:firstLine="720" w:firstLineChars="300"/>
        <w:rPr>
          <w:color w:val="auto"/>
          <w:sz w:val="24"/>
        </w:rPr>
      </w:pPr>
      <w:r>
        <w:rPr>
          <w:color w:val="auto"/>
          <w:sz w:val="24"/>
        </w:rPr>
        <w:t>L</w:t>
      </w:r>
      <w:r>
        <w:rPr>
          <w:color w:val="auto"/>
          <w:sz w:val="24"/>
          <w:vertAlign w:val="subscript"/>
        </w:rPr>
        <w:t>合</w:t>
      </w:r>
      <w:r>
        <w:rPr>
          <w:color w:val="auto"/>
          <w:sz w:val="24"/>
        </w:rPr>
        <w:t>——合成声压级，dB(A)；</w:t>
      </w:r>
    </w:p>
    <w:p w14:paraId="343A7503">
      <w:pPr>
        <w:spacing w:line="500" w:lineRule="exact"/>
        <w:ind w:firstLine="720" w:firstLineChars="300"/>
        <w:rPr>
          <w:color w:val="auto"/>
          <w:sz w:val="24"/>
        </w:rPr>
      </w:pPr>
      <w:r>
        <w:rPr>
          <w:color w:val="auto"/>
          <w:sz w:val="24"/>
        </w:rPr>
        <w:t>n ——声源个数。</w:t>
      </w:r>
    </w:p>
    <w:p w14:paraId="103BEFF2">
      <w:pPr>
        <w:snapToGrid w:val="0"/>
        <w:spacing w:line="360" w:lineRule="auto"/>
        <w:ind w:firstLine="480" w:firstLineChars="200"/>
        <w:jc w:val="left"/>
        <w:rPr>
          <w:bCs/>
          <w:color w:val="auto"/>
          <w:sz w:val="24"/>
        </w:rPr>
      </w:pPr>
      <w:r>
        <w:rPr>
          <w:bCs/>
          <w:color w:val="auto"/>
          <w:sz w:val="24"/>
        </w:rPr>
        <w:t>施工噪声可近似看作点声源处理，利用点声源噪声衰减模式，因此，采用点声源距离衰减公式：</w:t>
      </w:r>
    </w:p>
    <w:p w14:paraId="7AF23A4D">
      <w:pPr>
        <w:snapToGrid w:val="0"/>
        <w:spacing w:line="360" w:lineRule="auto"/>
        <w:ind w:firstLine="480" w:firstLineChars="200"/>
        <w:jc w:val="left"/>
        <w:rPr>
          <w:bCs/>
          <w:color w:val="auto"/>
          <w:sz w:val="24"/>
        </w:rPr>
      </w:pPr>
      <w:r>
        <w:rPr>
          <w:bCs/>
          <w:color w:val="auto"/>
          <w:sz w:val="24"/>
        </w:rPr>
        <w:drawing>
          <wp:inline distT="0" distB="0" distL="114300" distR="114300">
            <wp:extent cx="1773555" cy="228600"/>
            <wp:effectExtent l="0" t="0" r="9525" b="0"/>
            <wp:docPr id="261"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39"/>
                    <pic:cNvPicPr>
                      <a:picLocks noChangeAspect="1"/>
                    </pic:cNvPicPr>
                  </pic:nvPicPr>
                  <pic:blipFill>
                    <a:blip r:embed="rId41"/>
                    <a:stretch>
                      <a:fillRect/>
                    </a:stretch>
                  </pic:blipFill>
                  <pic:spPr>
                    <a:xfrm>
                      <a:off x="0" y="0"/>
                      <a:ext cx="1773555" cy="228600"/>
                    </a:xfrm>
                    <a:prstGeom prst="rect">
                      <a:avLst/>
                    </a:prstGeom>
                    <a:noFill/>
                    <a:ln>
                      <a:noFill/>
                    </a:ln>
                  </pic:spPr>
                </pic:pic>
              </a:graphicData>
            </a:graphic>
          </wp:inline>
        </w:drawing>
      </w:r>
    </w:p>
    <w:p w14:paraId="5B9B7BC4">
      <w:pPr>
        <w:snapToGrid w:val="0"/>
        <w:spacing w:line="360" w:lineRule="auto"/>
        <w:jc w:val="left"/>
        <w:rPr>
          <w:bCs/>
          <w:color w:val="auto"/>
          <w:sz w:val="24"/>
        </w:rPr>
      </w:pPr>
      <w:r>
        <w:rPr>
          <w:bCs/>
          <w:color w:val="auto"/>
          <w:sz w:val="24"/>
        </w:rPr>
        <w:t>式中：</w:t>
      </w:r>
      <w:r>
        <w:rPr>
          <w:bCs/>
          <w:color w:val="auto"/>
          <w:sz w:val="24"/>
        </w:rPr>
        <w:drawing>
          <wp:inline distT="0" distB="0" distL="114300" distR="114300">
            <wp:extent cx="390525" cy="219075"/>
            <wp:effectExtent l="0" t="0" r="5715" b="10795"/>
            <wp:docPr id="262"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40"/>
                    <pic:cNvPicPr>
                      <a:picLocks noChangeAspect="1"/>
                    </pic:cNvPicPr>
                  </pic:nvPicPr>
                  <pic:blipFill>
                    <a:blip r:embed="rId42"/>
                    <a:stretch>
                      <a:fillRect/>
                    </a:stretch>
                  </pic:blipFill>
                  <pic:spPr>
                    <a:xfrm>
                      <a:off x="0" y="0"/>
                      <a:ext cx="390525" cy="219075"/>
                    </a:xfrm>
                    <a:prstGeom prst="rect">
                      <a:avLst/>
                    </a:prstGeom>
                    <a:noFill/>
                    <a:ln>
                      <a:noFill/>
                    </a:ln>
                  </pic:spPr>
                </pic:pic>
              </a:graphicData>
            </a:graphic>
          </wp:inline>
        </w:drawing>
      </w:r>
      <w:r>
        <w:rPr>
          <w:bCs/>
          <w:color w:val="auto"/>
          <w:sz w:val="24"/>
        </w:rPr>
        <w:sym w:font="Times New Roman" w:char="2014"/>
      </w:r>
      <w:r>
        <w:rPr>
          <w:bCs/>
          <w:color w:val="auto"/>
          <w:sz w:val="24"/>
        </w:rPr>
        <w:sym w:font="Times New Roman" w:char="2014"/>
      </w:r>
      <w:r>
        <w:rPr>
          <w:bCs/>
          <w:color w:val="auto"/>
          <w:sz w:val="24"/>
        </w:rPr>
        <w:t>距声源r处的A声级，dB(A)；</w:t>
      </w:r>
    </w:p>
    <w:p w14:paraId="141193E4">
      <w:pPr>
        <w:snapToGrid w:val="0"/>
        <w:spacing w:line="360" w:lineRule="auto"/>
        <w:ind w:firstLine="720" w:firstLineChars="300"/>
        <w:jc w:val="left"/>
        <w:rPr>
          <w:bCs/>
          <w:color w:val="auto"/>
          <w:sz w:val="24"/>
        </w:rPr>
      </w:pPr>
      <w:r>
        <w:rPr>
          <w:bCs/>
          <w:color w:val="auto"/>
          <w:sz w:val="24"/>
        </w:rPr>
        <w:drawing>
          <wp:inline distT="0" distB="0" distL="114300" distR="114300">
            <wp:extent cx="447675" cy="228600"/>
            <wp:effectExtent l="0" t="0" r="9525" b="0"/>
            <wp:docPr id="263"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41"/>
                    <pic:cNvPicPr>
                      <a:picLocks noChangeAspect="1"/>
                    </pic:cNvPicPr>
                  </pic:nvPicPr>
                  <pic:blipFill>
                    <a:blip r:embed="rId43"/>
                    <a:stretch>
                      <a:fillRect/>
                    </a:stretch>
                  </pic:blipFill>
                  <pic:spPr>
                    <a:xfrm>
                      <a:off x="0" y="0"/>
                      <a:ext cx="447675" cy="228600"/>
                    </a:xfrm>
                    <a:prstGeom prst="rect">
                      <a:avLst/>
                    </a:prstGeom>
                    <a:noFill/>
                    <a:ln>
                      <a:noFill/>
                    </a:ln>
                  </pic:spPr>
                </pic:pic>
              </a:graphicData>
            </a:graphic>
          </wp:inline>
        </w:drawing>
      </w:r>
      <w:r>
        <w:rPr>
          <w:bCs/>
          <w:color w:val="auto"/>
          <w:sz w:val="24"/>
        </w:rPr>
        <w:sym w:font="Times New Roman" w:char="2014"/>
      </w:r>
      <w:r>
        <w:rPr>
          <w:bCs/>
          <w:color w:val="auto"/>
          <w:sz w:val="24"/>
        </w:rPr>
        <w:sym w:font="Times New Roman" w:char="2014"/>
      </w:r>
      <w:r>
        <w:rPr>
          <w:bCs/>
          <w:color w:val="auto"/>
          <w:sz w:val="24"/>
        </w:rPr>
        <w:t>参考位置r</w:t>
      </w:r>
      <w:r>
        <w:rPr>
          <w:bCs/>
          <w:color w:val="auto"/>
          <w:sz w:val="24"/>
          <w:vertAlign w:val="subscript"/>
        </w:rPr>
        <w:t>0</w:t>
      </w:r>
      <w:r>
        <w:rPr>
          <w:bCs/>
          <w:color w:val="auto"/>
          <w:sz w:val="24"/>
        </w:rPr>
        <w:t>处的A声级，dB(A)；</w:t>
      </w:r>
    </w:p>
    <w:p w14:paraId="0B710677">
      <w:pPr>
        <w:snapToGrid w:val="0"/>
        <w:spacing w:line="360" w:lineRule="auto"/>
        <w:ind w:firstLine="720" w:firstLineChars="300"/>
        <w:jc w:val="left"/>
        <w:rPr>
          <w:bCs/>
          <w:color w:val="auto"/>
          <w:sz w:val="24"/>
        </w:rPr>
      </w:pPr>
      <w:r>
        <w:rPr>
          <w:bCs/>
          <w:color w:val="auto"/>
          <w:sz w:val="24"/>
        </w:rPr>
        <w:t>r、r</w:t>
      </w:r>
      <w:r>
        <w:rPr>
          <w:bCs/>
          <w:color w:val="auto"/>
          <w:sz w:val="24"/>
          <w:vertAlign w:val="subscript"/>
        </w:rPr>
        <w:t>0</w:t>
      </w:r>
      <w:r>
        <w:rPr>
          <w:bCs/>
          <w:color w:val="auto"/>
          <w:sz w:val="24"/>
        </w:rPr>
        <w:sym w:font="Times New Roman" w:char="2014"/>
      </w:r>
      <w:r>
        <w:rPr>
          <w:bCs/>
          <w:color w:val="auto"/>
          <w:sz w:val="24"/>
        </w:rPr>
        <w:sym w:font="Times New Roman" w:char="2014"/>
      </w:r>
      <w:r>
        <w:rPr>
          <w:bCs/>
          <w:color w:val="auto"/>
          <w:sz w:val="24"/>
        </w:rPr>
        <w:t>距离，m。</w:t>
      </w:r>
    </w:p>
    <w:p w14:paraId="6845F6EA">
      <w:pPr>
        <w:spacing w:line="360" w:lineRule="auto"/>
        <w:ind w:firstLine="480" w:firstLineChars="200"/>
        <w:rPr>
          <w:bCs/>
          <w:color w:val="auto"/>
          <w:sz w:val="24"/>
        </w:rPr>
      </w:pPr>
      <w:r>
        <w:rPr>
          <w:bCs/>
          <w:color w:val="auto"/>
          <w:sz w:val="24"/>
        </w:rPr>
        <w:t>施工期多台机械设备同时运转噪声预测值见表5</w:t>
      </w:r>
      <w:r>
        <w:rPr>
          <w:rFonts w:hint="eastAsia"/>
          <w:bCs/>
          <w:color w:val="auto"/>
          <w:sz w:val="24"/>
          <w:lang w:val="en-US" w:eastAsia="zh-CN"/>
        </w:rPr>
        <w:t>.1</w:t>
      </w:r>
      <w:r>
        <w:rPr>
          <w:bCs/>
          <w:color w:val="auto"/>
          <w:sz w:val="24"/>
        </w:rPr>
        <w:t>-3。</w:t>
      </w:r>
    </w:p>
    <w:p w14:paraId="7340DDDD">
      <w:pPr>
        <w:ind w:firstLine="422" w:firstLineChars="200"/>
        <w:jc w:val="center"/>
        <w:rPr>
          <w:b/>
          <w:bCs/>
          <w:color w:val="auto"/>
          <w:szCs w:val="21"/>
        </w:rPr>
      </w:pPr>
      <w:r>
        <w:rPr>
          <w:b/>
          <w:bCs/>
          <w:color w:val="auto"/>
          <w:szCs w:val="21"/>
        </w:rPr>
        <w:t>表5</w:t>
      </w:r>
      <w:r>
        <w:rPr>
          <w:rFonts w:hint="eastAsia"/>
          <w:b/>
          <w:bCs/>
          <w:color w:val="auto"/>
          <w:szCs w:val="21"/>
          <w:lang w:val="en-US" w:eastAsia="zh-CN"/>
        </w:rPr>
        <w:t>.1</w:t>
      </w:r>
      <w:r>
        <w:rPr>
          <w:b/>
          <w:bCs/>
          <w:color w:val="auto"/>
          <w:szCs w:val="21"/>
        </w:rPr>
        <w:t>-3    多台机械设备同时运转噪声预测值    单位：dB(A)</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601"/>
        <w:gridCol w:w="606"/>
        <w:gridCol w:w="606"/>
        <w:gridCol w:w="606"/>
        <w:gridCol w:w="606"/>
        <w:gridCol w:w="605"/>
        <w:gridCol w:w="707"/>
        <w:gridCol w:w="707"/>
        <w:gridCol w:w="707"/>
        <w:gridCol w:w="707"/>
        <w:gridCol w:w="707"/>
        <w:gridCol w:w="707"/>
        <w:gridCol w:w="707"/>
      </w:tblGrid>
      <w:tr w14:paraId="2A7EE4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1" w:type="dxa"/>
            <w:vAlign w:val="center"/>
          </w:tcPr>
          <w:p w14:paraId="364619BC">
            <w:pPr>
              <w:jc w:val="center"/>
              <w:rPr>
                <w:color w:val="auto"/>
                <w:szCs w:val="21"/>
              </w:rPr>
            </w:pPr>
            <w:r>
              <w:rPr>
                <w:color w:val="auto"/>
                <w:szCs w:val="21"/>
              </w:rPr>
              <w:t>距离</w:t>
            </w:r>
          </w:p>
        </w:tc>
        <w:tc>
          <w:tcPr>
            <w:tcW w:w="601" w:type="dxa"/>
            <w:vAlign w:val="center"/>
          </w:tcPr>
          <w:p w14:paraId="325D0C13">
            <w:pPr>
              <w:jc w:val="center"/>
              <w:rPr>
                <w:color w:val="auto"/>
                <w:szCs w:val="21"/>
              </w:rPr>
            </w:pPr>
            <w:r>
              <w:rPr>
                <w:color w:val="auto"/>
                <w:szCs w:val="21"/>
              </w:rPr>
              <w:t>5m</w:t>
            </w:r>
          </w:p>
        </w:tc>
        <w:tc>
          <w:tcPr>
            <w:tcW w:w="606" w:type="dxa"/>
            <w:vAlign w:val="center"/>
          </w:tcPr>
          <w:p w14:paraId="5B5DE654">
            <w:pPr>
              <w:jc w:val="center"/>
              <w:rPr>
                <w:color w:val="auto"/>
                <w:szCs w:val="21"/>
              </w:rPr>
            </w:pPr>
            <w:r>
              <w:rPr>
                <w:color w:val="auto"/>
                <w:szCs w:val="21"/>
              </w:rPr>
              <w:t>10m</w:t>
            </w:r>
          </w:p>
        </w:tc>
        <w:tc>
          <w:tcPr>
            <w:tcW w:w="606" w:type="dxa"/>
            <w:vAlign w:val="center"/>
          </w:tcPr>
          <w:p w14:paraId="66EC76E9">
            <w:pPr>
              <w:jc w:val="center"/>
              <w:rPr>
                <w:color w:val="auto"/>
                <w:szCs w:val="21"/>
              </w:rPr>
            </w:pPr>
            <w:r>
              <w:rPr>
                <w:color w:val="auto"/>
                <w:szCs w:val="21"/>
              </w:rPr>
              <w:t>20m</w:t>
            </w:r>
          </w:p>
        </w:tc>
        <w:tc>
          <w:tcPr>
            <w:tcW w:w="606" w:type="dxa"/>
            <w:vAlign w:val="center"/>
          </w:tcPr>
          <w:p w14:paraId="3C845562">
            <w:pPr>
              <w:jc w:val="center"/>
              <w:rPr>
                <w:color w:val="auto"/>
                <w:szCs w:val="21"/>
              </w:rPr>
            </w:pPr>
            <w:r>
              <w:rPr>
                <w:color w:val="auto"/>
                <w:szCs w:val="21"/>
              </w:rPr>
              <w:t>30m</w:t>
            </w:r>
          </w:p>
        </w:tc>
        <w:tc>
          <w:tcPr>
            <w:tcW w:w="606" w:type="dxa"/>
            <w:vAlign w:val="center"/>
          </w:tcPr>
          <w:p w14:paraId="7375ADCC">
            <w:pPr>
              <w:jc w:val="center"/>
              <w:rPr>
                <w:color w:val="auto"/>
                <w:szCs w:val="21"/>
              </w:rPr>
            </w:pPr>
            <w:r>
              <w:rPr>
                <w:color w:val="auto"/>
                <w:szCs w:val="21"/>
              </w:rPr>
              <w:t>40m</w:t>
            </w:r>
          </w:p>
        </w:tc>
        <w:tc>
          <w:tcPr>
            <w:tcW w:w="605" w:type="dxa"/>
            <w:vAlign w:val="center"/>
          </w:tcPr>
          <w:p w14:paraId="638BCDBA">
            <w:pPr>
              <w:jc w:val="center"/>
              <w:rPr>
                <w:color w:val="auto"/>
                <w:szCs w:val="21"/>
              </w:rPr>
            </w:pPr>
            <w:r>
              <w:rPr>
                <w:color w:val="auto"/>
                <w:szCs w:val="21"/>
              </w:rPr>
              <w:t>50m</w:t>
            </w:r>
          </w:p>
        </w:tc>
        <w:tc>
          <w:tcPr>
            <w:tcW w:w="707" w:type="dxa"/>
            <w:vAlign w:val="center"/>
          </w:tcPr>
          <w:p w14:paraId="6FE2A9AB">
            <w:pPr>
              <w:jc w:val="center"/>
              <w:rPr>
                <w:color w:val="auto"/>
                <w:szCs w:val="21"/>
              </w:rPr>
            </w:pPr>
            <w:r>
              <w:rPr>
                <w:color w:val="auto"/>
                <w:szCs w:val="21"/>
              </w:rPr>
              <w:t>100m</w:t>
            </w:r>
          </w:p>
        </w:tc>
        <w:tc>
          <w:tcPr>
            <w:tcW w:w="707" w:type="dxa"/>
            <w:vAlign w:val="center"/>
          </w:tcPr>
          <w:p w14:paraId="6D4D9844">
            <w:pPr>
              <w:jc w:val="center"/>
              <w:rPr>
                <w:color w:val="auto"/>
                <w:szCs w:val="21"/>
              </w:rPr>
            </w:pPr>
            <w:r>
              <w:rPr>
                <w:color w:val="auto"/>
                <w:szCs w:val="21"/>
              </w:rPr>
              <w:t>150m</w:t>
            </w:r>
          </w:p>
        </w:tc>
        <w:tc>
          <w:tcPr>
            <w:tcW w:w="707" w:type="dxa"/>
            <w:vAlign w:val="center"/>
          </w:tcPr>
          <w:p w14:paraId="70C5A048">
            <w:pPr>
              <w:jc w:val="center"/>
              <w:rPr>
                <w:color w:val="auto"/>
                <w:szCs w:val="21"/>
              </w:rPr>
            </w:pPr>
            <w:r>
              <w:rPr>
                <w:color w:val="auto"/>
                <w:szCs w:val="21"/>
              </w:rPr>
              <w:t>200m</w:t>
            </w:r>
          </w:p>
        </w:tc>
        <w:tc>
          <w:tcPr>
            <w:tcW w:w="707" w:type="dxa"/>
            <w:vAlign w:val="center"/>
          </w:tcPr>
          <w:p w14:paraId="04EF2C39">
            <w:pPr>
              <w:jc w:val="center"/>
              <w:rPr>
                <w:color w:val="auto"/>
                <w:szCs w:val="21"/>
              </w:rPr>
            </w:pPr>
            <w:r>
              <w:rPr>
                <w:color w:val="auto"/>
                <w:szCs w:val="21"/>
              </w:rPr>
              <w:t>300m</w:t>
            </w:r>
          </w:p>
        </w:tc>
        <w:tc>
          <w:tcPr>
            <w:tcW w:w="707" w:type="dxa"/>
            <w:vAlign w:val="center"/>
          </w:tcPr>
          <w:p w14:paraId="363B90AC">
            <w:pPr>
              <w:jc w:val="center"/>
              <w:rPr>
                <w:color w:val="auto"/>
                <w:szCs w:val="21"/>
              </w:rPr>
            </w:pPr>
            <w:r>
              <w:rPr>
                <w:color w:val="auto"/>
                <w:szCs w:val="21"/>
              </w:rPr>
              <w:t>400m</w:t>
            </w:r>
          </w:p>
        </w:tc>
        <w:tc>
          <w:tcPr>
            <w:tcW w:w="707" w:type="dxa"/>
            <w:vAlign w:val="center"/>
          </w:tcPr>
          <w:p w14:paraId="44947EFD">
            <w:pPr>
              <w:jc w:val="center"/>
              <w:rPr>
                <w:color w:val="auto"/>
                <w:szCs w:val="21"/>
              </w:rPr>
            </w:pPr>
            <w:r>
              <w:rPr>
                <w:color w:val="auto"/>
                <w:szCs w:val="21"/>
              </w:rPr>
              <w:t>500m</w:t>
            </w:r>
          </w:p>
        </w:tc>
        <w:tc>
          <w:tcPr>
            <w:tcW w:w="707" w:type="dxa"/>
            <w:vAlign w:val="center"/>
          </w:tcPr>
          <w:p w14:paraId="1DFB1AF6">
            <w:pPr>
              <w:jc w:val="center"/>
              <w:rPr>
                <w:color w:val="auto"/>
                <w:szCs w:val="21"/>
              </w:rPr>
            </w:pPr>
            <w:r>
              <w:rPr>
                <w:color w:val="auto"/>
                <w:szCs w:val="21"/>
              </w:rPr>
              <w:t>600m</w:t>
            </w:r>
          </w:p>
        </w:tc>
      </w:tr>
      <w:tr w14:paraId="044A33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1" w:type="dxa"/>
            <w:vAlign w:val="center"/>
          </w:tcPr>
          <w:p w14:paraId="60A8F314">
            <w:pPr>
              <w:jc w:val="center"/>
              <w:rPr>
                <w:bCs/>
                <w:color w:val="auto"/>
                <w:szCs w:val="21"/>
              </w:rPr>
            </w:pPr>
            <w:r>
              <w:rPr>
                <w:bCs/>
                <w:color w:val="auto"/>
                <w:szCs w:val="21"/>
              </w:rPr>
              <w:t>噪声</w:t>
            </w:r>
          </w:p>
          <w:p w14:paraId="0ED18B2C">
            <w:pPr>
              <w:jc w:val="center"/>
              <w:rPr>
                <w:color w:val="auto"/>
                <w:szCs w:val="21"/>
              </w:rPr>
            </w:pPr>
            <w:r>
              <w:rPr>
                <w:bCs/>
                <w:color w:val="auto"/>
                <w:szCs w:val="21"/>
              </w:rPr>
              <w:t>预测</w:t>
            </w:r>
          </w:p>
        </w:tc>
        <w:tc>
          <w:tcPr>
            <w:tcW w:w="601" w:type="dxa"/>
            <w:vAlign w:val="center"/>
          </w:tcPr>
          <w:p w14:paraId="26E4A6EC">
            <w:pPr>
              <w:jc w:val="center"/>
              <w:rPr>
                <w:color w:val="auto"/>
                <w:szCs w:val="21"/>
              </w:rPr>
            </w:pPr>
            <w:r>
              <w:rPr>
                <w:color w:val="auto"/>
                <w:szCs w:val="21"/>
              </w:rPr>
              <w:t>98.6</w:t>
            </w:r>
          </w:p>
        </w:tc>
        <w:tc>
          <w:tcPr>
            <w:tcW w:w="606" w:type="dxa"/>
            <w:vAlign w:val="center"/>
          </w:tcPr>
          <w:p w14:paraId="0DA7A9F2">
            <w:pPr>
              <w:jc w:val="center"/>
              <w:rPr>
                <w:color w:val="auto"/>
                <w:szCs w:val="21"/>
              </w:rPr>
            </w:pPr>
            <w:r>
              <w:rPr>
                <w:color w:val="auto"/>
                <w:szCs w:val="21"/>
              </w:rPr>
              <w:t>78.6</w:t>
            </w:r>
          </w:p>
        </w:tc>
        <w:tc>
          <w:tcPr>
            <w:tcW w:w="606" w:type="dxa"/>
            <w:vAlign w:val="center"/>
          </w:tcPr>
          <w:p w14:paraId="41EC527E">
            <w:pPr>
              <w:jc w:val="center"/>
              <w:rPr>
                <w:color w:val="auto"/>
                <w:szCs w:val="21"/>
              </w:rPr>
            </w:pPr>
            <w:r>
              <w:rPr>
                <w:color w:val="auto"/>
                <w:szCs w:val="21"/>
              </w:rPr>
              <w:t>72.6</w:t>
            </w:r>
          </w:p>
        </w:tc>
        <w:tc>
          <w:tcPr>
            <w:tcW w:w="606" w:type="dxa"/>
            <w:vAlign w:val="center"/>
          </w:tcPr>
          <w:p w14:paraId="5A104B7A">
            <w:pPr>
              <w:jc w:val="center"/>
              <w:rPr>
                <w:color w:val="auto"/>
                <w:szCs w:val="21"/>
              </w:rPr>
            </w:pPr>
            <w:r>
              <w:rPr>
                <w:color w:val="auto"/>
                <w:szCs w:val="21"/>
              </w:rPr>
              <w:t>69.1</w:t>
            </w:r>
          </w:p>
        </w:tc>
        <w:tc>
          <w:tcPr>
            <w:tcW w:w="606" w:type="dxa"/>
            <w:vAlign w:val="center"/>
          </w:tcPr>
          <w:p w14:paraId="3CE8F632">
            <w:pPr>
              <w:jc w:val="center"/>
              <w:rPr>
                <w:color w:val="auto"/>
                <w:szCs w:val="21"/>
              </w:rPr>
            </w:pPr>
            <w:r>
              <w:rPr>
                <w:color w:val="auto"/>
                <w:szCs w:val="21"/>
              </w:rPr>
              <w:t>66.6</w:t>
            </w:r>
          </w:p>
        </w:tc>
        <w:tc>
          <w:tcPr>
            <w:tcW w:w="605" w:type="dxa"/>
            <w:vAlign w:val="center"/>
          </w:tcPr>
          <w:p w14:paraId="351C988C">
            <w:pPr>
              <w:jc w:val="center"/>
              <w:rPr>
                <w:color w:val="auto"/>
                <w:szCs w:val="21"/>
              </w:rPr>
            </w:pPr>
            <w:r>
              <w:rPr>
                <w:color w:val="auto"/>
                <w:szCs w:val="21"/>
              </w:rPr>
              <w:t>64.6</w:t>
            </w:r>
          </w:p>
        </w:tc>
        <w:tc>
          <w:tcPr>
            <w:tcW w:w="707" w:type="dxa"/>
            <w:vAlign w:val="center"/>
          </w:tcPr>
          <w:p w14:paraId="205822D8">
            <w:pPr>
              <w:jc w:val="center"/>
              <w:rPr>
                <w:color w:val="auto"/>
                <w:szCs w:val="21"/>
              </w:rPr>
            </w:pPr>
            <w:r>
              <w:rPr>
                <w:color w:val="auto"/>
                <w:szCs w:val="21"/>
              </w:rPr>
              <w:t>58.6</w:t>
            </w:r>
          </w:p>
        </w:tc>
        <w:tc>
          <w:tcPr>
            <w:tcW w:w="707" w:type="dxa"/>
            <w:vAlign w:val="center"/>
          </w:tcPr>
          <w:p w14:paraId="7D86E622">
            <w:pPr>
              <w:jc w:val="center"/>
              <w:rPr>
                <w:color w:val="auto"/>
                <w:szCs w:val="21"/>
              </w:rPr>
            </w:pPr>
            <w:r>
              <w:rPr>
                <w:color w:val="auto"/>
                <w:szCs w:val="21"/>
              </w:rPr>
              <w:t>55.1</w:t>
            </w:r>
          </w:p>
        </w:tc>
        <w:tc>
          <w:tcPr>
            <w:tcW w:w="707" w:type="dxa"/>
            <w:vAlign w:val="center"/>
          </w:tcPr>
          <w:p w14:paraId="0B32EEE4">
            <w:pPr>
              <w:jc w:val="center"/>
              <w:rPr>
                <w:color w:val="auto"/>
                <w:szCs w:val="21"/>
              </w:rPr>
            </w:pPr>
            <w:r>
              <w:rPr>
                <w:color w:val="auto"/>
                <w:szCs w:val="21"/>
              </w:rPr>
              <w:t>52.6</w:t>
            </w:r>
          </w:p>
        </w:tc>
        <w:tc>
          <w:tcPr>
            <w:tcW w:w="707" w:type="dxa"/>
            <w:vAlign w:val="center"/>
          </w:tcPr>
          <w:p w14:paraId="6F44DC28">
            <w:pPr>
              <w:jc w:val="center"/>
              <w:rPr>
                <w:color w:val="auto"/>
                <w:szCs w:val="21"/>
              </w:rPr>
            </w:pPr>
            <w:r>
              <w:rPr>
                <w:color w:val="auto"/>
                <w:szCs w:val="21"/>
              </w:rPr>
              <w:t>49.1</w:t>
            </w:r>
          </w:p>
        </w:tc>
        <w:tc>
          <w:tcPr>
            <w:tcW w:w="707" w:type="dxa"/>
            <w:vAlign w:val="center"/>
          </w:tcPr>
          <w:p w14:paraId="61CE4851">
            <w:pPr>
              <w:jc w:val="center"/>
              <w:rPr>
                <w:color w:val="auto"/>
                <w:szCs w:val="21"/>
              </w:rPr>
            </w:pPr>
            <w:r>
              <w:rPr>
                <w:color w:val="auto"/>
                <w:szCs w:val="21"/>
              </w:rPr>
              <w:t>46.6</w:t>
            </w:r>
          </w:p>
        </w:tc>
        <w:tc>
          <w:tcPr>
            <w:tcW w:w="707" w:type="dxa"/>
            <w:vAlign w:val="center"/>
          </w:tcPr>
          <w:p w14:paraId="5DD990C8">
            <w:pPr>
              <w:jc w:val="center"/>
              <w:rPr>
                <w:color w:val="auto"/>
                <w:szCs w:val="21"/>
              </w:rPr>
            </w:pPr>
            <w:r>
              <w:rPr>
                <w:color w:val="auto"/>
                <w:szCs w:val="21"/>
              </w:rPr>
              <w:t>44.6</w:t>
            </w:r>
          </w:p>
        </w:tc>
        <w:tc>
          <w:tcPr>
            <w:tcW w:w="707" w:type="dxa"/>
            <w:vAlign w:val="center"/>
          </w:tcPr>
          <w:p w14:paraId="733757FD">
            <w:pPr>
              <w:jc w:val="center"/>
              <w:rPr>
                <w:color w:val="auto"/>
                <w:szCs w:val="21"/>
              </w:rPr>
            </w:pPr>
            <w:r>
              <w:rPr>
                <w:color w:val="auto"/>
                <w:szCs w:val="21"/>
              </w:rPr>
              <w:t>43.0</w:t>
            </w:r>
          </w:p>
        </w:tc>
      </w:tr>
    </w:tbl>
    <w:p w14:paraId="269455CC">
      <w:pPr>
        <w:pStyle w:val="16"/>
        <w:spacing w:line="360" w:lineRule="auto"/>
        <w:ind w:firstLine="508" w:firstLineChars="212"/>
        <w:rPr>
          <w:color w:val="auto"/>
          <w:sz w:val="24"/>
        </w:rPr>
      </w:pPr>
      <w:r>
        <w:rPr>
          <w:bCs/>
          <w:color w:val="auto"/>
          <w:sz w:val="24"/>
        </w:rPr>
        <w:t>从</w:t>
      </w:r>
      <w:r>
        <w:rPr>
          <w:rFonts w:hint="eastAsia"/>
          <w:bCs/>
          <w:color w:val="auto"/>
          <w:sz w:val="24"/>
          <w:lang w:eastAsia="zh-CN"/>
        </w:rPr>
        <w:t>上表</w:t>
      </w:r>
      <w:r>
        <w:rPr>
          <w:bCs/>
          <w:color w:val="auto"/>
          <w:sz w:val="24"/>
        </w:rPr>
        <w:t>的预测结果可知，多台机械设备同时运转时，昼间距离噪声源30m左右才能达到建筑施工场界环境噪声排放限值，在场地外围约150m范围内的人员受到不同程度的影响，</w:t>
      </w:r>
      <w:r>
        <w:rPr>
          <w:color w:val="auto"/>
          <w:sz w:val="24"/>
        </w:rPr>
        <w:t>本项目</w:t>
      </w:r>
      <w:r>
        <w:rPr>
          <w:rFonts w:hint="eastAsia"/>
          <w:color w:val="auto"/>
          <w:sz w:val="24"/>
          <w:lang w:val="en-US" w:eastAsia="zh-CN"/>
        </w:rPr>
        <w:t>150</w:t>
      </w:r>
      <w:r>
        <w:rPr>
          <w:color w:val="auto"/>
          <w:sz w:val="24"/>
        </w:rPr>
        <w:t>m范围内无居民等环境敏感点，故施工噪声对周围环境影响较小。</w:t>
      </w:r>
    </w:p>
    <w:p w14:paraId="6667F12B">
      <w:pPr>
        <w:pStyle w:val="4"/>
        <w:snapToGrid w:val="0"/>
        <w:spacing w:before="0"/>
        <w:rPr>
          <w:rFonts w:ascii="Times New Roman" w:hAnsi="Times New Roman" w:eastAsia="宋体"/>
          <w:bCs/>
          <w:color w:val="auto"/>
          <w:sz w:val="28"/>
          <w:szCs w:val="28"/>
        </w:rPr>
      </w:pPr>
      <w:bookmarkStart w:id="306" w:name="_Toc479754865"/>
      <w:bookmarkStart w:id="307" w:name="_Toc13325"/>
      <w:r>
        <w:rPr>
          <w:rFonts w:ascii="Times New Roman" w:hAnsi="Times New Roman" w:eastAsia="宋体"/>
          <w:bCs/>
          <w:color w:val="auto"/>
          <w:sz w:val="28"/>
          <w:szCs w:val="28"/>
        </w:rPr>
        <w:t>5.1.4施工期固体废物环境影响分析</w:t>
      </w:r>
      <w:bookmarkEnd w:id="306"/>
      <w:bookmarkEnd w:id="307"/>
    </w:p>
    <w:p w14:paraId="466A37DE">
      <w:pPr>
        <w:spacing w:line="360" w:lineRule="auto"/>
        <w:ind w:firstLine="480" w:firstLineChars="200"/>
        <w:rPr>
          <w:color w:val="auto"/>
          <w:sz w:val="24"/>
        </w:rPr>
      </w:pPr>
      <w:r>
        <w:rPr>
          <w:color w:val="auto"/>
          <w:sz w:val="24"/>
        </w:rPr>
        <w:t>施工期固体废物主要包括施工中产生的弃土、建筑过程中产生的建筑垃圾和施工人员产生的生活垃圾。</w:t>
      </w:r>
    </w:p>
    <w:p w14:paraId="28E26C4E">
      <w:pPr>
        <w:spacing w:line="360" w:lineRule="auto"/>
        <w:ind w:firstLine="511" w:firstLineChars="213"/>
        <w:rPr>
          <w:color w:val="auto"/>
          <w:sz w:val="24"/>
        </w:rPr>
      </w:pPr>
      <w:r>
        <w:rPr>
          <w:color w:val="auto"/>
          <w:sz w:val="24"/>
        </w:rPr>
        <w:t>建设过程中土石方主要是土地平整、地基开挖的土方量，开挖</w:t>
      </w:r>
      <w:r>
        <w:rPr>
          <w:bCs/>
          <w:color w:val="auto"/>
          <w:sz w:val="24"/>
        </w:rPr>
        <w:t>剩余土石方</w:t>
      </w:r>
      <w:r>
        <w:rPr>
          <w:color w:val="auto"/>
          <w:sz w:val="24"/>
        </w:rPr>
        <w:t>用于场区土地平整，施工人员产生的生活垃圾送往附近垃圾点堆存，最终由环卫部门送城市垃圾填埋场，不会对项目所在地环境造成污染影响。</w:t>
      </w:r>
    </w:p>
    <w:p w14:paraId="53B73B1F">
      <w:pPr>
        <w:spacing w:line="360" w:lineRule="auto"/>
        <w:ind w:firstLine="480" w:firstLineChars="200"/>
        <w:rPr>
          <w:color w:val="auto"/>
          <w:sz w:val="24"/>
        </w:rPr>
      </w:pPr>
      <w:r>
        <w:rPr>
          <w:color w:val="auto"/>
          <w:sz w:val="24"/>
        </w:rPr>
        <w:t>施工期产生的固体废物不会对周围环境造成较大影响，另外，其影响是暂时的，施工结束后便会消失。</w:t>
      </w:r>
    </w:p>
    <w:p w14:paraId="4EAE1B93">
      <w:pPr>
        <w:spacing w:line="360" w:lineRule="auto"/>
        <w:ind w:firstLine="480" w:firstLineChars="200"/>
        <w:rPr>
          <w:color w:val="auto"/>
          <w:sz w:val="24"/>
        </w:rPr>
      </w:pPr>
      <w:r>
        <w:rPr>
          <w:color w:val="auto"/>
          <w:sz w:val="24"/>
        </w:rPr>
        <w:t>本项目施工期土石方主要来源于土地平整及地基开挖等，挖方量约为19075m</w:t>
      </w:r>
      <w:r>
        <w:rPr>
          <w:color w:val="auto"/>
          <w:sz w:val="24"/>
          <w:vertAlign w:val="superscript"/>
        </w:rPr>
        <w:t>3</w:t>
      </w:r>
      <w:r>
        <w:rPr>
          <w:color w:val="auto"/>
          <w:sz w:val="24"/>
        </w:rPr>
        <w:t>，全部用于场地平整，不外排，不设取弃土场。</w:t>
      </w:r>
    </w:p>
    <w:p w14:paraId="2E2357D0">
      <w:pPr>
        <w:pStyle w:val="4"/>
        <w:snapToGrid w:val="0"/>
        <w:spacing w:before="0"/>
        <w:rPr>
          <w:rFonts w:ascii="Times New Roman" w:hAnsi="Times New Roman" w:eastAsia="宋体"/>
          <w:bCs/>
          <w:color w:val="auto"/>
          <w:sz w:val="28"/>
          <w:szCs w:val="28"/>
        </w:rPr>
      </w:pPr>
      <w:bookmarkStart w:id="308" w:name="_Toc479754866"/>
      <w:bookmarkStart w:id="309" w:name="_Toc26"/>
      <w:r>
        <w:rPr>
          <w:rFonts w:ascii="Times New Roman" w:hAnsi="Times New Roman" w:eastAsia="宋体"/>
          <w:bCs/>
          <w:color w:val="auto"/>
          <w:sz w:val="28"/>
          <w:szCs w:val="28"/>
        </w:rPr>
        <w:t>5.1.5施工期生态环境影响分析</w:t>
      </w:r>
      <w:bookmarkEnd w:id="308"/>
      <w:bookmarkEnd w:id="309"/>
    </w:p>
    <w:p w14:paraId="70F3BCDC">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生态环境影响分析</w:t>
      </w:r>
    </w:p>
    <w:p w14:paraId="02F28FC6">
      <w:pPr>
        <w:spacing w:line="360" w:lineRule="auto"/>
        <w:ind w:firstLine="480" w:firstLineChars="200"/>
        <w:rPr>
          <w:color w:val="auto"/>
          <w:sz w:val="24"/>
        </w:rPr>
      </w:pPr>
      <w:r>
        <w:rPr>
          <w:color w:val="auto"/>
          <w:sz w:val="24"/>
        </w:rPr>
        <w:t>由于工程施工过程中场地平整、开挖等施工过程，使原地表结构及下垫面植被完全遭到破坏。因此本工程施工期，施工活动对施工场地占地及附近生态环境的不利影响在土地利用、水土流失、植被覆盖、土地生产力等多个方面均有所体现。</w:t>
      </w:r>
    </w:p>
    <w:p w14:paraId="085055DF">
      <w:pPr>
        <w:spacing w:line="360" w:lineRule="auto"/>
        <w:ind w:firstLine="480" w:firstLineChars="200"/>
        <w:rPr>
          <w:color w:val="auto"/>
          <w:sz w:val="24"/>
        </w:rPr>
      </w:pPr>
      <w:r>
        <w:rPr>
          <w:color w:val="auto"/>
          <w:sz w:val="24"/>
        </w:rPr>
        <w:t>项目对所在地的生态环境的影响主要表现在对植被、景观和生态功能等的影响上。为定性说明项目实施产生的生态环境影响情况，按《环境影响评价技术导则—生态影响》（HJ19-2022）的要求，将影响因子、影响范围、影响程度制成表格，如</w:t>
      </w:r>
      <w:r>
        <w:rPr>
          <w:rFonts w:hint="eastAsia"/>
          <w:color w:val="auto"/>
          <w:sz w:val="24"/>
          <w:lang w:eastAsia="zh-CN"/>
        </w:rPr>
        <w:t>下</w:t>
      </w:r>
      <w:r>
        <w:rPr>
          <w:color w:val="auto"/>
          <w:sz w:val="24"/>
        </w:rPr>
        <w:t>表所示。</w:t>
      </w:r>
    </w:p>
    <w:p w14:paraId="0BAF22BE">
      <w:pPr>
        <w:ind w:firstLine="422" w:firstLineChars="200"/>
        <w:jc w:val="center"/>
        <w:rPr>
          <w:b/>
          <w:bCs/>
          <w:color w:val="auto"/>
          <w:szCs w:val="21"/>
        </w:rPr>
      </w:pPr>
      <w:r>
        <w:rPr>
          <w:b/>
          <w:bCs/>
          <w:color w:val="auto"/>
          <w:szCs w:val="21"/>
        </w:rPr>
        <w:t>表5</w:t>
      </w:r>
      <w:r>
        <w:rPr>
          <w:rFonts w:hint="eastAsia"/>
          <w:b/>
          <w:bCs/>
          <w:color w:val="auto"/>
          <w:szCs w:val="21"/>
          <w:lang w:val="en-US" w:eastAsia="zh-CN"/>
        </w:rPr>
        <w:t>.1</w:t>
      </w:r>
      <w:r>
        <w:rPr>
          <w:b/>
          <w:bCs/>
          <w:color w:val="auto"/>
          <w:szCs w:val="21"/>
        </w:rPr>
        <w:t>-</w:t>
      </w:r>
      <w:r>
        <w:rPr>
          <w:rFonts w:hint="eastAsia"/>
          <w:b/>
          <w:bCs/>
          <w:color w:val="auto"/>
          <w:szCs w:val="21"/>
        </w:rPr>
        <w:t>4</w:t>
      </w:r>
      <w:r>
        <w:rPr>
          <w:b/>
          <w:bCs/>
          <w:color w:val="auto"/>
          <w:szCs w:val="21"/>
        </w:rPr>
        <w:t xml:space="preserve">    生态环境影响分析表</w:t>
      </w:r>
    </w:p>
    <w:tbl>
      <w:tblPr>
        <w:tblStyle w:val="53"/>
        <w:tblW w:w="4996"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1"/>
        <w:gridCol w:w="1835"/>
        <w:gridCol w:w="690"/>
        <w:gridCol w:w="801"/>
        <w:gridCol w:w="637"/>
        <w:gridCol w:w="595"/>
        <w:gridCol w:w="676"/>
        <w:gridCol w:w="791"/>
        <w:gridCol w:w="676"/>
        <w:gridCol w:w="630"/>
      </w:tblGrid>
      <w:tr w14:paraId="67861B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pct"/>
            <w:vMerge w:val="restart"/>
            <w:vAlign w:val="center"/>
          </w:tcPr>
          <w:p w14:paraId="52CD0E4F">
            <w:pPr>
              <w:jc w:val="center"/>
              <w:rPr>
                <w:color w:val="auto"/>
                <w:szCs w:val="21"/>
              </w:rPr>
            </w:pPr>
            <w:r>
              <w:rPr>
                <w:rFonts w:hint="eastAsia"/>
                <w:color w:val="auto"/>
                <w:szCs w:val="21"/>
              </w:rPr>
              <w:t>影响因素</w:t>
            </w:r>
          </w:p>
        </w:tc>
        <w:tc>
          <w:tcPr>
            <w:tcW w:w="1076" w:type="pct"/>
            <w:vMerge w:val="restart"/>
            <w:vAlign w:val="center"/>
          </w:tcPr>
          <w:p w14:paraId="30DEDA9A">
            <w:pPr>
              <w:jc w:val="center"/>
              <w:rPr>
                <w:color w:val="auto"/>
                <w:szCs w:val="21"/>
              </w:rPr>
            </w:pPr>
            <w:r>
              <w:rPr>
                <w:rFonts w:hint="eastAsia"/>
                <w:color w:val="auto"/>
                <w:szCs w:val="21"/>
              </w:rPr>
              <w:t>被影响对象</w:t>
            </w:r>
          </w:p>
        </w:tc>
        <w:tc>
          <w:tcPr>
            <w:tcW w:w="875" w:type="pct"/>
            <w:gridSpan w:val="2"/>
            <w:vAlign w:val="center"/>
          </w:tcPr>
          <w:p w14:paraId="32F96A43">
            <w:pPr>
              <w:jc w:val="center"/>
              <w:rPr>
                <w:color w:val="auto"/>
                <w:szCs w:val="21"/>
              </w:rPr>
            </w:pPr>
            <w:r>
              <w:rPr>
                <w:rFonts w:hint="eastAsia"/>
                <w:color w:val="auto"/>
                <w:szCs w:val="21"/>
              </w:rPr>
              <w:t>可逆性</w:t>
            </w:r>
          </w:p>
        </w:tc>
        <w:tc>
          <w:tcPr>
            <w:tcW w:w="723" w:type="pct"/>
            <w:gridSpan w:val="2"/>
            <w:vAlign w:val="center"/>
          </w:tcPr>
          <w:p w14:paraId="681AC5AC">
            <w:pPr>
              <w:jc w:val="center"/>
              <w:rPr>
                <w:color w:val="auto"/>
                <w:szCs w:val="21"/>
              </w:rPr>
            </w:pPr>
            <w:r>
              <w:rPr>
                <w:rFonts w:hint="eastAsia"/>
                <w:color w:val="auto"/>
                <w:szCs w:val="21"/>
              </w:rPr>
              <w:t>影响期限</w:t>
            </w:r>
          </w:p>
        </w:tc>
        <w:tc>
          <w:tcPr>
            <w:tcW w:w="860" w:type="pct"/>
            <w:gridSpan w:val="2"/>
            <w:vAlign w:val="center"/>
          </w:tcPr>
          <w:p w14:paraId="0CB771CE">
            <w:pPr>
              <w:jc w:val="center"/>
              <w:rPr>
                <w:color w:val="auto"/>
                <w:szCs w:val="21"/>
              </w:rPr>
            </w:pPr>
            <w:r>
              <w:rPr>
                <w:rFonts w:hint="eastAsia"/>
                <w:color w:val="auto"/>
                <w:szCs w:val="21"/>
              </w:rPr>
              <w:t>影响程度</w:t>
            </w:r>
          </w:p>
        </w:tc>
        <w:tc>
          <w:tcPr>
            <w:tcW w:w="766" w:type="pct"/>
            <w:gridSpan w:val="2"/>
            <w:vAlign w:val="center"/>
          </w:tcPr>
          <w:p w14:paraId="299327D8">
            <w:pPr>
              <w:jc w:val="center"/>
              <w:rPr>
                <w:color w:val="auto"/>
                <w:szCs w:val="21"/>
              </w:rPr>
            </w:pPr>
            <w:r>
              <w:rPr>
                <w:rFonts w:hint="eastAsia"/>
                <w:color w:val="auto"/>
                <w:szCs w:val="21"/>
              </w:rPr>
              <w:t>影响范围</w:t>
            </w:r>
          </w:p>
        </w:tc>
      </w:tr>
      <w:tr w14:paraId="6BD953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pct"/>
            <w:vMerge w:val="continue"/>
            <w:vAlign w:val="center"/>
          </w:tcPr>
          <w:p w14:paraId="30680806">
            <w:pPr>
              <w:jc w:val="center"/>
              <w:rPr>
                <w:color w:val="auto"/>
                <w:szCs w:val="21"/>
              </w:rPr>
            </w:pPr>
          </w:p>
        </w:tc>
        <w:tc>
          <w:tcPr>
            <w:tcW w:w="1076" w:type="pct"/>
            <w:vMerge w:val="continue"/>
            <w:vAlign w:val="center"/>
          </w:tcPr>
          <w:p w14:paraId="4B7A94D2">
            <w:pPr>
              <w:jc w:val="center"/>
              <w:rPr>
                <w:color w:val="auto"/>
                <w:szCs w:val="21"/>
              </w:rPr>
            </w:pPr>
          </w:p>
        </w:tc>
        <w:tc>
          <w:tcPr>
            <w:tcW w:w="405" w:type="pct"/>
            <w:vAlign w:val="center"/>
          </w:tcPr>
          <w:p w14:paraId="04E25A49">
            <w:pPr>
              <w:jc w:val="center"/>
              <w:rPr>
                <w:color w:val="auto"/>
                <w:szCs w:val="21"/>
              </w:rPr>
            </w:pPr>
            <w:r>
              <w:rPr>
                <w:rFonts w:hint="eastAsia"/>
                <w:color w:val="auto"/>
                <w:szCs w:val="21"/>
              </w:rPr>
              <w:t>可逆</w:t>
            </w:r>
          </w:p>
        </w:tc>
        <w:tc>
          <w:tcPr>
            <w:tcW w:w="470" w:type="pct"/>
            <w:vAlign w:val="center"/>
          </w:tcPr>
          <w:p w14:paraId="137581DB">
            <w:pPr>
              <w:jc w:val="center"/>
              <w:rPr>
                <w:color w:val="auto"/>
                <w:szCs w:val="21"/>
              </w:rPr>
            </w:pPr>
            <w:r>
              <w:rPr>
                <w:rFonts w:hint="eastAsia"/>
                <w:color w:val="auto"/>
                <w:szCs w:val="21"/>
              </w:rPr>
              <w:t>不可逆</w:t>
            </w:r>
          </w:p>
        </w:tc>
        <w:tc>
          <w:tcPr>
            <w:tcW w:w="374" w:type="pct"/>
            <w:vAlign w:val="center"/>
          </w:tcPr>
          <w:p w14:paraId="570F3D19">
            <w:pPr>
              <w:jc w:val="center"/>
              <w:rPr>
                <w:color w:val="auto"/>
                <w:szCs w:val="21"/>
              </w:rPr>
            </w:pPr>
            <w:r>
              <w:rPr>
                <w:rFonts w:hint="eastAsia"/>
                <w:color w:val="auto"/>
                <w:szCs w:val="21"/>
              </w:rPr>
              <w:t>近期</w:t>
            </w:r>
          </w:p>
        </w:tc>
        <w:tc>
          <w:tcPr>
            <w:tcW w:w="349" w:type="pct"/>
            <w:vAlign w:val="center"/>
          </w:tcPr>
          <w:p w14:paraId="1BF0855D">
            <w:pPr>
              <w:jc w:val="center"/>
              <w:rPr>
                <w:color w:val="auto"/>
                <w:szCs w:val="21"/>
              </w:rPr>
            </w:pPr>
            <w:r>
              <w:rPr>
                <w:rFonts w:hint="eastAsia"/>
                <w:color w:val="auto"/>
                <w:szCs w:val="21"/>
              </w:rPr>
              <w:t>长期</w:t>
            </w:r>
          </w:p>
        </w:tc>
        <w:tc>
          <w:tcPr>
            <w:tcW w:w="396" w:type="pct"/>
            <w:vAlign w:val="center"/>
          </w:tcPr>
          <w:p w14:paraId="12C43DAA">
            <w:pPr>
              <w:jc w:val="center"/>
              <w:rPr>
                <w:color w:val="auto"/>
                <w:szCs w:val="21"/>
              </w:rPr>
            </w:pPr>
            <w:r>
              <w:rPr>
                <w:rFonts w:hint="eastAsia"/>
                <w:color w:val="auto"/>
                <w:szCs w:val="21"/>
              </w:rPr>
              <w:t>明显</w:t>
            </w:r>
          </w:p>
        </w:tc>
        <w:tc>
          <w:tcPr>
            <w:tcW w:w="463" w:type="pct"/>
            <w:vAlign w:val="center"/>
          </w:tcPr>
          <w:p w14:paraId="1106E8F9">
            <w:pPr>
              <w:jc w:val="center"/>
              <w:rPr>
                <w:color w:val="auto"/>
                <w:szCs w:val="21"/>
              </w:rPr>
            </w:pPr>
            <w:r>
              <w:rPr>
                <w:rFonts w:hint="eastAsia"/>
                <w:color w:val="auto"/>
                <w:szCs w:val="21"/>
              </w:rPr>
              <w:t>潜在</w:t>
            </w:r>
          </w:p>
        </w:tc>
        <w:tc>
          <w:tcPr>
            <w:tcW w:w="396" w:type="pct"/>
            <w:vAlign w:val="center"/>
          </w:tcPr>
          <w:p w14:paraId="41DF6A41">
            <w:pPr>
              <w:jc w:val="center"/>
              <w:rPr>
                <w:color w:val="auto"/>
                <w:szCs w:val="21"/>
              </w:rPr>
            </w:pPr>
            <w:r>
              <w:rPr>
                <w:rFonts w:hint="eastAsia"/>
                <w:color w:val="auto"/>
                <w:szCs w:val="21"/>
              </w:rPr>
              <w:t>局部</w:t>
            </w:r>
          </w:p>
        </w:tc>
        <w:tc>
          <w:tcPr>
            <w:tcW w:w="369" w:type="pct"/>
            <w:vAlign w:val="center"/>
          </w:tcPr>
          <w:p w14:paraId="0B75F94B">
            <w:pPr>
              <w:jc w:val="center"/>
              <w:rPr>
                <w:color w:val="auto"/>
                <w:szCs w:val="21"/>
              </w:rPr>
            </w:pPr>
            <w:r>
              <w:rPr>
                <w:rFonts w:hint="eastAsia"/>
                <w:color w:val="auto"/>
                <w:szCs w:val="21"/>
              </w:rPr>
              <w:t>区域</w:t>
            </w:r>
          </w:p>
        </w:tc>
      </w:tr>
      <w:tr w14:paraId="3F075F0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pct"/>
            <w:vAlign w:val="center"/>
          </w:tcPr>
          <w:p w14:paraId="243F1235">
            <w:pPr>
              <w:jc w:val="center"/>
              <w:rPr>
                <w:bCs/>
                <w:color w:val="auto"/>
                <w:szCs w:val="21"/>
              </w:rPr>
            </w:pPr>
            <w:r>
              <w:rPr>
                <w:bCs/>
                <w:color w:val="auto"/>
                <w:szCs w:val="21"/>
              </w:rPr>
              <w:t>土地占用</w:t>
            </w:r>
          </w:p>
        </w:tc>
        <w:tc>
          <w:tcPr>
            <w:tcW w:w="1076" w:type="pct"/>
            <w:vAlign w:val="center"/>
          </w:tcPr>
          <w:p w14:paraId="609C3DC7">
            <w:pPr>
              <w:jc w:val="center"/>
              <w:rPr>
                <w:color w:val="auto"/>
                <w:szCs w:val="21"/>
              </w:rPr>
            </w:pPr>
            <w:r>
              <w:rPr>
                <w:color w:val="auto"/>
                <w:szCs w:val="21"/>
              </w:rPr>
              <w:t>植被覆盖率下降、生态景观结构改变、破坏度增加</w:t>
            </w:r>
          </w:p>
        </w:tc>
        <w:tc>
          <w:tcPr>
            <w:tcW w:w="405" w:type="pct"/>
            <w:vAlign w:val="center"/>
          </w:tcPr>
          <w:p w14:paraId="10500CAA">
            <w:pPr>
              <w:jc w:val="center"/>
              <w:rPr>
                <w:color w:val="auto"/>
                <w:szCs w:val="21"/>
              </w:rPr>
            </w:pPr>
          </w:p>
        </w:tc>
        <w:tc>
          <w:tcPr>
            <w:tcW w:w="470" w:type="pct"/>
            <w:vAlign w:val="center"/>
          </w:tcPr>
          <w:p w14:paraId="607833B4">
            <w:pPr>
              <w:jc w:val="center"/>
              <w:rPr>
                <w:color w:val="auto"/>
                <w:szCs w:val="21"/>
              </w:rPr>
            </w:pPr>
            <w:r>
              <w:rPr>
                <w:color w:val="auto"/>
                <w:szCs w:val="21"/>
              </w:rPr>
              <w:t>√</w:t>
            </w:r>
          </w:p>
        </w:tc>
        <w:tc>
          <w:tcPr>
            <w:tcW w:w="374" w:type="pct"/>
            <w:vAlign w:val="center"/>
          </w:tcPr>
          <w:p w14:paraId="28B11CB6">
            <w:pPr>
              <w:jc w:val="center"/>
              <w:rPr>
                <w:color w:val="auto"/>
                <w:szCs w:val="21"/>
              </w:rPr>
            </w:pPr>
          </w:p>
        </w:tc>
        <w:tc>
          <w:tcPr>
            <w:tcW w:w="349" w:type="pct"/>
            <w:vAlign w:val="center"/>
          </w:tcPr>
          <w:p w14:paraId="2ABDA4EF">
            <w:pPr>
              <w:jc w:val="center"/>
              <w:rPr>
                <w:color w:val="auto"/>
                <w:szCs w:val="21"/>
              </w:rPr>
            </w:pPr>
            <w:r>
              <w:rPr>
                <w:color w:val="auto"/>
                <w:szCs w:val="21"/>
              </w:rPr>
              <w:t>√</w:t>
            </w:r>
          </w:p>
        </w:tc>
        <w:tc>
          <w:tcPr>
            <w:tcW w:w="396" w:type="pct"/>
            <w:vAlign w:val="center"/>
          </w:tcPr>
          <w:p w14:paraId="0093DAF4">
            <w:pPr>
              <w:jc w:val="center"/>
              <w:rPr>
                <w:color w:val="auto"/>
                <w:szCs w:val="21"/>
              </w:rPr>
            </w:pPr>
            <w:r>
              <w:rPr>
                <w:color w:val="auto"/>
                <w:szCs w:val="21"/>
              </w:rPr>
              <w:t>√</w:t>
            </w:r>
          </w:p>
        </w:tc>
        <w:tc>
          <w:tcPr>
            <w:tcW w:w="463" w:type="pct"/>
            <w:vAlign w:val="center"/>
          </w:tcPr>
          <w:p w14:paraId="7331B388">
            <w:pPr>
              <w:jc w:val="center"/>
              <w:rPr>
                <w:color w:val="auto"/>
                <w:szCs w:val="21"/>
              </w:rPr>
            </w:pPr>
          </w:p>
        </w:tc>
        <w:tc>
          <w:tcPr>
            <w:tcW w:w="396" w:type="pct"/>
            <w:vAlign w:val="center"/>
          </w:tcPr>
          <w:p w14:paraId="686EF275">
            <w:pPr>
              <w:jc w:val="center"/>
              <w:rPr>
                <w:color w:val="auto"/>
                <w:szCs w:val="21"/>
              </w:rPr>
            </w:pPr>
            <w:r>
              <w:rPr>
                <w:color w:val="auto"/>
                <w:szCs w:val="21"/>
              </w:rPr>
              <w:t>√</w:t>
            </w:r>
          </w:p>
        </w:tc>
        <w:tc>
          <w:tcPr>
            <w:tcW w:w="369" w:type="pct"/>
            <w:vAlign w:val="center"/>
          </w:tcPr>
          <w:p w14:paraId="7C1CBE34">
            <w:pPr>
              <w:jc w:val="center"/>
              <w:rPr>
                <w:color w:val="auto"/>
                <w:szCs w:val="21"/>
              </w:rPr>
            </w:pPr>
          </w:p>
        </w:tc>
      </w:tr>
      <w:tr w14:paraId="6762A26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pct"/>
            <w:vAlign w:val="center"/>
          </w:tcPr>
          <w:p w14:paraId="08F67B84">
            <w:pPr>
              <w:jc w:val="center"/>
              <w:rPr>
                <w:bCs/>
                <w:color w:val="auto"/>
                <w:szCs w:val="21"/>
              </w:rPr>
            </w:pPr>
            <w:r>
              <w:rPr>
                <w:bCs/>
                <w:color w:val="auto"/>
                <w:szCs w:val="21"/>
              </w:rPr>
              <w:t>施工场地</w:t>
            </w:r>
          </w:p>
        </w:tc>
        <w:tc>
          <w:tcPr>
            <w:tcW w:w="1076" w:type="pct"/>
            <w:vAlign w:val="center"/>
          </w:tcPr>
          <w:p w14:paraId="57D8E350">
            <w:pPr>
              <w:jc w:val="center"/>
              <w:rPr>
                <w:color w:val="auto"/>
                <w:szCs w:val="21"/>
              </w:rPr>
            </w:pPr>
            <w:r>
              <w:rPr>
                <w:color w:val="auto"/>
                <w:szCs w:val="21"/>
              </w:rPr>
              <w:t>水土流失隐患增加，景观美感丧失</w:t>
            </w:r>
          </w:p>
        </w:tc>
        <w:tc>
          <w:tcPr>
            <w:tcW w:w="405" w:type="pct"/>
            <w:vAlign w:val="center"/>
          </w:tcPr>
          <w:p w14:paraId="12E2F419">
            <w:pPr>
              <w:jc w:val="center"/>
              <w:rPr>
                <w:color w:val="auto"/>
                <w:szCs w:val="21"/>
              </w:rPr>
            </w:pPr>
            <w:r>
              <w:rPr>
                <w:color w:val="auto"/>
                <w:szCs w:val="21"/>
              </w:rPr>
              <w:t>√</w:t>
            </w:r>
          </w:p>
        </w:tc>
        <w:tc>
          <w:tcPr>
            <w:tcW w:w="470" w:type="pct"/>
            <w:vAlign w:val="center"/>
          </w:tcPr>
          <w:p w14:paraId="53C508DD">
            <w:pPr>
              <w:jc w:val="center"/>
              <w:rPr>
                <w:color w:val="auto"/>
                <w:szCs w:val="21"/>
              </w:rPr>
            </w:pPr>
          </w:p>
        </w:tc>
        <w:tc>
          <w:tcPr>
            <w:tcW w:w="374" w:type="pct"/>
            <w:vAlign w:val="center"/>
          </w:tcPr>
          <w:p w14:paraId="6CE74B86">
            <w:pPr>
              <w:jc w:val="center"/>
              <w:rPr>
                <w:color w:val="auto"/>
                <w:szCs w:val="21"/>
              </w:rPr>
            </w:pPr>
          </w:p>
        </w:tc>
        <w:tc>
          <w:tcPr>
            <w:tcW w:w="349" w:type="pct"/>
            <w:vAlign w:val="center"/>
          </w:tcPr>
          <w:p w14:paraId="5B522629">
            <w:pPr>
              <w:jc w:val="center"/>
              <w:rPr>
                <w:color w:val="auto"/>
                <w:szCs w:val="21"/>
              </w:rPr>
            </w:pPr>
            <w:r>
              <w:rPr>
                <w:color w:val="auto"/>
                <w:szCs w:val="21"/>
              </w:rPr>
              <w:t>√</w:t>
            </w:r>
          </w:p>
        </w:tc>
        <w:tc>
          <w:tcPr>
            <w:tcW w:w="396" w:type="pct"/>
            <w:vAlign w:val="center"/>
          </w:tcPr>
          <w:p w14:paraId="6F461E86">
            <w:pPr>
              <w:jc w:val="center"/>
              <w:rPr>
                <w:color w:val="auto"/>
                <w:szCs w:val="21"/>
              </w:rPr>
            </w:pPr>
            <w:r>
              <w:rPr>
                <w:color w:val="auto"/>
                <w:szCs w:val="21"/>
              </w:rPr>
              <w:t>√</w:t>
            </w:r>
          </w:p>
        </w:tc>
        <w:tc>
          <w:tcPr>
            <w:tcW w:w="463" w:type="pct"/>
            <w:vAlign w:val="center"/>
          </w:tcPr>
          <w:p w14:paraId="1F99464E">
            <w:pPr>
              <w:jc w:val="center"/>
              <w:rPr>
                <w:color w:val="auto"/>
                <w:szCs w:val="21"/>
              </w:rPr>
            </w:pPr>
          </w:p>
        </w:tc>
        <w:tc>
          <w:tcPr>
            <w:tcW w:w="396" w:type="pct"/>
            <w:vAlign w:val="center"/>
          </w:tcPr>
          <w:p w14:paraId="37C2CEAA">
            <w:pPr>
              <w:jc w:val="center"/>
              <w:rPr>
                <w:color w:val="auto"/>
                <w:szCs w:val="21"/>
              </w:rPr>
            </w:pPr>
            <w:r>
              <w:rPr>
                <w:color w:val="auto"/>
                <w:szCs w:val="21"/>
              </w:rPr>
              <w:t>√</w:t>
            </w:r>
          </w:p>
        </w:tc>
        <w:tc>
          <w:tcPr>
            <w:tcW w:w="369" w:type="pct"/>
            <w:vAlign w:val="center"/>
          </w:tcPr>
          <w:p w14:paraId="30E2730D">
            <w:pPr>
              <w:jc w:val="center"/>
              <w:rPr>
                <w:color w:val="auto"/>
                <w:szCs w:val="21"/>
              </w:rPr>
            </w:pPr>
          </w:p>
        </w:tc>
      </w:tr>
      <w:tr w14:paraId="5C685D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8" w:type="pct"/>
            <w:vAlign w:val="center"/>
          </w:tcPr>
          <w:p w14:paraId="7E4CB628">
            <w:pPr>
              <w:jc w:val="center"/>
              <w:rPr>
                <w:bCs/>
                <w:color w:val="auto"/>
                <w:szCs w:val="21"/>
              </w:rPr>
            </w:pPr>
            <w:r>
              <w:rPr>
                <w:bCs/>
                <w:color w:val="auto"/>
                <w:szCs w:val="21"/>
              </w:rPr>
              <w:t>机械噪声车辆运输人群活动</w:t>
            </w:r>
          </w:p>
        </w:tc>
        <w:tc>
          <w:tcPr>
            <w:tcW w:w="1076" w:type="pct"/>
            <w:vAlign w:val="center"/>
          </w:tcPr>
          <w:p w14:paraId="3B43E614">
            <w:pPr>
              <w:jc w:val="center"/>
              <w:rPr>
                <w:color w:val="auto"/>
                <w:szCs w:val="21"/>
              </w:rPr>
            </w:pPr>
            <w:r>
              <w:rPr>
                <w:color w:val="auto"/>
                <w:szCs w:val="21"/>
              </w:rPr>
              <w:t>动植物</w:t>
            </w:r>
          </w:p>
        </w:tc>
        <w:tc>
          <w:tcPr>
            <w:tcW w:w="405" w:type="pct"/>
            <w:vAlign w:val="center"/>
          </w:tcPr>
          <w:p w14:paraId="01C72A62">
            <w:pPr>
              <w:jc w:val="center"/>
              <w:rPr>
                <w:color w:val="auto"/>
                <w:szCs w:val="21"/>
              </w:rPr>
            </w:pPr>
          </w:p>
        </w:tc>
        <w:tc>
          <w:tcPr>
            <w:tcW w:w="470" w:type="pct"/>
            <w:vAlign w:val="center"/>
          </w:tcPr>
          <w:p w14:paraId="236348E6">
            <w:pPr>
              <w:jc w:val="center"/>
              <w:rPr>
                <w:color w:val="auto"/>
                <w:szCs w:val="21"/>
              </w:rPr>
            </w:pPr>
            <w:r>
              <w:rPr>
                <w:color w:val="auto"/>
                <w:szCs w:val="21"/>
              </w:rPr>
              <w:t>√</w:t>
            </w:r>
          </w:p>
        </w:tc>
        <w:tc>
          <w:tcPr>
            <w:tcW w:w="374" w:type="pct"/>
            <w:vAlign w:val="center"/>
          </w:tcPr>
          <w:p w14:paraId="40C3474A">
            <w:pPr>
              <w:jc w:val="center"/>
              <w:rPr>
                <w:color w:val="auto"/>
                <w:szCs w:val="21"/>
              </w:rPr>
            </w:pPr>
          </w:p>
        </w:tc>
        <w:tc>
          <w:tcPr>
            <w:tcW w:w="349" w:type="pct"/>
            <w:vAlign w:val="center"/>
          </w:tcPr>
          <w:p w14:paraId="491C93F5">
            <w:pPr>
              <w:jc w:val="center"/>
              <w:rPr>
                <w:color w:val="auto"/>
                <w:szCs w:val="21"/>
              </w:rPr>
            </w:pPr>
            <w:r>
              <w:rPr>
                <w:color w:val="auto"/>
                <w:szCs w:val="21"/>
              </w:rPr>
              <w:t>√</w:t>
            </w:r>
          </w:p>
        </w:tc>
        <w:tc>
          <w:tcPr>
            <w:tcW w:w="396" w:type="pct"/>
            <w:vAlign w:val="center"/>
          </w:tcPr>
          <w:p w14:paraId="3D7712A3">
            <w:pPr>
              <w:jc w:val="center"/>
              <w:rPr>
                <w:color w:val="auto"/>
                <w:szCs w:val="21"/>
              </w:rPr>
            </w:pPr>
            <w:r>
              <w:rPr>
                <w:color w:val="auto"/>
                <w:szCs w:val="21"/>
              </w:rPr>
              <w:t>√</w:t>
            </w:r>
          </w:p>
        </w:tc>
        <w:tc>
          <w:tcPr>
            <w:tcW w:w="463" w:type="pct"/>
            <w:vAlign w:val="center"/>
          </w:tcPr>
          <w:p w14:paraId="3FF1C7DF">
            <w:pPr>
              <w:jc w:val="center"/>
              <w:rPr>
                <w:color w:val="auto"/>
                <w:szCs w:val="21"/>
              </w:rPr>
            </w:pPr>
          </w:p>
        </w:tc>
        <w:tc>
          <w:tcPr>
            <w:tcW w:w="396" w:type="pct"/>
            <w:vAlign w:val="center"/>
          </w:tcPr>
          <w:p w14:paraId="43DFEB8D">
            <w:pPr>
              <w:jc w:val="center"/>
              <w:rPr>
                <w:color w:val="auto"/>
                <w:szCs w:val="21"/>
              </w:rPr>
            </w:pPr>
            <w:r>
              <w:rPr>
                <w:color w:val="auto"/>
                <w:szCs w:val="21"/>
              </w:rPr>
              <w:t>√</w:t>
            </w:r>
          </w:p>
        </w:tc>
        <w:tc>
          <w:tcPr>
            <w:tcW w:w="369" w:type="pct"/>
            <w:vAlign w:val="center"/>
          </w:tcPr>
          <w:p w14:paraId="08DECA3A">
            <w:pPr>
              <w:jc w:val="center"/>
              <w:rPr>
                <w:color w:val="auto"/>
                <w:szCs w:val="21"/>
              </w:rPr>
            </w:pPr>
          </w:p>
        </w:tc>
      </w:tr>
    </w:tbl>
    <w:p w14:paraId="2AEDB322">
      <w:pPr>
        <w:spacing w:line="360" w:lineRule="auto"/>
        <w:ind w:firstLine="480" w:firstLineChars="200"/>
        <w:rPr>
          <w:color w:val="auto"/>
          <w:sz w:val="24"/>
        </w:rPr>
      </w:pPr>
      <w:r>
        <w:rPr>
          <w:color w:val="auto"/>
          <w:sz w:val="24"/>
        </w:rPr>
        <w:t>由上表可见，该项目的实施虽然对生态环境的影响大部分都是长期性和明显的，但全部是局部影响。</w:t>
      </w:r>
    </w:p>
    <w:p w14:paraId="1CAB24F2">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对土壤及植物的影响</w:t>
      </w:r>
    </w:p>
    <w:p w14:paraId="37222F45">
      <w:pPr>
        <w:spacing w:line="360" w:lineRule="auto"/>
        <w:ind w:firstLine="480" w:firstLineChars="200"/>
        <w:rPr>
          <w:color w:val="auto"/>
          <w:sz w:val="24"/>
        </w:rPr>
      </w:pPr>
      <w:r>
        <w:rPr>
          <w:color w:val="auto"/>
          <w:sz w:val="24"/>
        </w:rPr>
        <w:t>①占地影响：本项目施工期永久占地面积</w:t>
      </w:r>
      <w:r>
        <w:rPr>
          <w:rFonts w:hint="eastAsia"/>
          <w:color w:val="auto"/>
          <w:sz w:val="24"/>
          <w:lang w:eastAsia="zh-CN"/>
        </w:rPr>
        <w:t>78234.55</w:t>
      </w:r>
      <w:r>
        <w:rPr>
          <w:color w:val="auto"/>
          <w:sz w:val="24"/>
        </w:rPr>
        <w:t>m</w:t>
      </w:r>
      <w:r>
        <w:rPr>
          <w:color w:val="auto"/>
          <w:sz w:val="24"/>
          <w:vertAlign w:val="superscript"/>
        </w:rPr>
        <w:t>2</w:t>
      </w:r>
      <w:r>
        <w:rPr>
          <w:rFonts w:hint="eastAsia"/>
          <w:color w:val="auto"/>
          <w:sz w:val="24"/>
          <w:lang w:eastAsia="zh-CN"/>
        </w:rPr>
        <w:t>，</w:t>
      </w:r>
      <w:r>
        <w:rPr>
          <w:rFonts w:hint="eastAsia"/>
          <w:color w:val="auto"/>
          <w:sz w:val="24"/>
        </w:rPr>
        <w:t>无</w:t>
      </w:r>
      <w:r>
        <w:rPr>
          <w:color w:val="auto"/>
          <w:sz w:val="24"/>
        </w:rPr>
        <w:t>临时占地，破坏为植被完全清除，生物量损失会随植被的清除降低项目区涵养水源、保持土壤的生态服务功能，易发水土流失。另外施工期产生的生活垃圾、施工材料、建筑垃圾等堆放，会压埋植被，临时造成原地貌功能丧失；如果缺乏规范和约束，过往车辆和工作人员会对项目区内的植被随意碾压和践踏，造成土壤板结、物种多样性降低、植被盖度降低。</w:t>
      </w:r>
    </w:p>
    <w:p w14:paraId="6E2A46D2">
      <w:pPr>
        <w:spacing w:line="360" w:lineRule="auto"/>
        <w:ind w:firstLine="480" w:firstLineChars="200"/>
        <w:rPr>
          <w:color w:val="auto"/>
          <w:sz w:val="24"/>
        </w:rPr>
      </w:pPr>
      <w:r>
        <w:rPr>
          <w:color w:val="auto"/>
          <w:sz w:val="24"/>
        </w:rPr>
        <w:t>②大气污染对植被影响：项目产生的粉尘、扬尘等大气污染物会对项目区周围空气环境产生影响。悬浮微粒自然沉降降落到植物叶面上，堵塞叶面气孔，使光合作用强度下降，吹至周边土壤中，常年累积会改变土壤理化性质，从而对植被的生长产生影响；同时，覆尘叶片吸收红外光辐射的能力增强，导致叶温增高，蒸腾速度加快，引起失水，使植物生长发育不良。大气污染物还可通过自然沉降和降水淋溶等途径进入土壤环境，常年累积可能从物理、化学等方面影响周围土壤的孔隙度、团粒结构、酸碱度、土壤肥力及微量元素含量等，从而间接影响植被生长。</w:t>
      </w:r>
    </w:p>
    <w:p w14:paraId="36032598">
      <w:pPr>
        <w:spacing w:line="360" w:lineRule="auto"/>
        <w:ind w:firstLine="480" w:firstLineChars="200"/>
        <w:rPr>
          <w:color w:val="auto"/>
          <w:sz w:val="24"/>
        </w:rPr>
      </w:pPr>
      <w:r>
        <w:rPr>
          <w:color w:val="auto"/>
          <w:sz w:val="24"/>
        </w:rPr>
        <w:t>由于项目破坏面积较小，经过咨询，项目占地范围内无珍稀濒危物种分布，因此对整个项目区对所在区域植被的群落组成、覆盖度、生物资源量、频率、密度以及连续性等影响很小，对区域生态环境影响不大。施工结束后，建设方应根据当地的气候条件、土壤类型和水资源状况等各方面的情况，按照水土保持及环评要求制定适宜的植被修复方案。采取以上措施后，项目施工对周边的土壤及植被影响可接受。</w:t>
      </w:r>
    </w:p>
    <w:p w14:paraId="5AA5D3CE">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color w:val="auto"/>
          <w:sz w:val="24"/>
        </w:rPr>
        <w:t xml:space="preserve">对动物的影响 </w:t>
      </w:r>
    </w:p>
    <w:p w14:paraId="00D88609">
      <w:pPr>
        <w:spacing w:line="360" w:lineRule="auto"/>
        <w:ind w:firstLine="480" w:firstLineChars="200"/>
        <w:rPr>
          <w:color w:val="auto"/>
          <w:sz w:val="24"/>
        </w:rPr>
      </w:pPr>
      <w:r>
        <w:rPr>
          <w:color w:val="auto"/>
          <w:sz w:val="24"/>
        </w:rPr>
        <w:t>项目在施工过程中，清除植被，会对现有动物的栖息生境产生一定程度的扰动，如可能限制某些动物进入它们习惯的季节性觅食区，使之不能更大范围的觅食。此外，项目区施工机械、施工人员活动及运输车辆等对现有动物的栖息生境产生扰动，对各类动物产生不同程度的影响。对项目区动物的栖息、繁衍将产生局部影响，可能造成动物的脱离或搬迁。使它们移居到周围干扰较小的地区，并在新的环境中适应和生存。</w:t>
      </w:r>
    </w:p>
    <w:p w14:paraId="16DA1907">
      <w:pPr>
        <w:spacing w:line="360" w:lineRule="auto"/>
        <w:ind w:firstLine="480" w:firstLineChars="200"/>
        <w:rPr>
          <w:color w:val="auto"/>
          <w:sz w:val="24"/>
        </w:rPr>
      </w:pPr>
      <w:r>
        <w:rPr>
          <w:color w:val="auto"/>
          <w:sz w:val="24"/>
        </w:rPr>
        <w:t>由于项目区没有固定或必经的动物迁徒信道，工程建设和各项设施的布局，不存在阻隔这些野生动物的迁徒通道，通过现场调查和咨询，项目占地范围内动物资源受人类活动影响较馈乏，主要是小型啮齿类、爬行类动物，没有珍稀物种，同时该区域人类活动较早，对动物的影响不大，因此项目施工期对周边野生动物资源的影响不大。</w:t>
      </w:r>
    </w:p>
    <w:p w14:paraId="51AEA5F9">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color w:val="auto"/>
          <w:sz w:val="24"/>
        </w:rPr>
        <w:t>对景观的影响</w:t>
      </w:r>
    </w:p>
    <w:p w14:paraId="638E84D5">
      <w:pPr>
        <w:spacing w:line="360" w:lineRule="auto"/>
        <w:ind w:firstLine="480" w:firstLineChars="200"/>
        <w:rPr>
          <w:color w:val="auto"/>
          <w:sz w:val="24"/>
        </w:rPr>
      </w:pPr>
      <w:r>
        <w:rPr>
          <w:color w:val="auto"/>
          <w:sz w:val="24"/>
        </w:rPr>
        <w:t>工程建设中施工机械、施工人员进驻，临时建筑物的搭建，车辆流动以及土方开挖等，将在一定程度上改变局部地区的原有景观，使原有自然景观的连续性、完整性遭到破坏，增加了新的斑块，人工建筑景观与周围反差较大，对周围人群的视觉产生较大的冲击。施工造成的尘土飞扬等会形成不利影响。这种影响属短期影响，随着施工的结束，其影响会逐渐消失，并被绿化后的景观所取代。</w:t>
      </w:r>
    </w:p>
    <w:p w14:paraId="0C2AA498">
      <w:pPr>
        <w:pStyle w:val="3"/>
        <w:adjustRightInd w:val="0"/>
        <w:jc w:val="both"/>
        <w:rPr>
          <w:rFonts w:eastAsia="宋体"/>
          <w:color w:val="auto"/>
          <w:sz w:val="30"/>
          <w:szCs w:val="30"/>
        </w:rPr>
      </w:pPr>
      <w:bookmarkStart w:id="310" w:name="_Toc5920"/>
      <w:bookmarkStart w:id="311" w:name="_Toc28235"/>
      <w:bookmarkStart w:id="312" w:name="_Toc32231"/>
      <w:r>
        <w:rPr>
          <w:rFonts w:eastAsia="宋体"/>
          <w:color w:val="auto"/>
          <w:sz w:val="30"/>
          <w:szCs w:val="30"/>
        </w:rPr>
        <w:t>5.2</w:t>
      </w:r>
      <w:r>
        <w:rPr>
          <w:rFonts w:eastAsia="宋体"/>
          <w:snapToGrid w:val="0"/>
          <w:color w:val="auto"/>
          <w:kern w:val="0"/>
          <w:sz w:val="30"/>
          <w:szCs w:val="30"/>
        </w:rPr>
        <w:t>运营期</w:t>
      </w:r>
      <w:r>
        <w:rPr>
          <w:rFonts w:eastAsia="宋体"/>
          <w:bCs/>
          <w:snapToGrid w:val="0"/>
          <w:color w:val="auto"/>
          <w:kern w:val="0"/>
          <w:sz w:val="30"/>
          <w:szCs w:val="30"/>
        </w:rPr>
        <w:t>环境影响预测与评价</w:t>
      </w:r>
      <w:bookmarkEnd w:id="310"/>
      <w:bookmarkEnd w:id="311"/>
      <w:bookmarkEnd w:id="312"/>
    </w:p>
    <w:p w14:paraId="13570937">
      <w:pPr>
        <w:pStyle w:val="4"/>
        <w:snapToGrid w:val="0"/>
        <w:spacing w:before="0"/>
        <w:rPr>
          <w:rFonts w:ascii="Times New Roman" w:hAnsi="Times New Roman" w:eastAsia="宋体"/>
          <w:bCs/>
          <w:color w:val="auto"/>
          <w:sz w:val="28"/>
          <w:szCs w:val="28"/>
        </w:rPr>
      </w:pPr>
      <w:bookmarkStart w:id="313" w:name="_Toc479754868"/>
      <w:bookmarkStart w:id="314" w:name="_Toc14611"/>
      <w:r>
        <w:rPr>
          <w:rFonts w:ascii="Times New Roman" w:hAnsi="Times New Roman" w:eastAsia="宋体"/>
          <w:bCs/>
          <w:color w:val="auto"/>
          <w:sz w:val="28"/>
          <w:szCs w:val="28"/>
        </w:rPr>
        <w:t>5.2.1运营期大气环境影响预测与评价</w:t>
      </w:r>
      <w:bookmarkEnd w:id="313"/>
      <w:bookmarkEnd w:id="314"/>
    </w:p>
    <w:p w14:paraId="116D6190">
      <w:pPr>
        <w:pStyle w:val="276"/>
        <w:ind w:left="0" w:leftChars="0" w:firstLine="0" w:firstLineChars="0"/>
        <w:rPr>
          <w:b/>
          <w:color w:val="auto"/>
        </w:rPr>
      </w:pPr>
      <w:r>
        <w:rPr>
          <w:b/>
          <w:color w:val="auto"/>
        </w:rPr>
        <w:t>5.2.1.1</w:t>
      </w:r>
      <w:r>
        <w:rPr>
          <w:rFonts w:hint="eastAsia"/>
          <w:b/>
          <w:color w:val="auto"/>
          <w:lang w:eastAsia="zh-CN"/>
        </w:rPr>
        <w:t>常规气象</w:t>
      </w:r>
      <w:r>
        <w:rPr>
          <w:b/>
          <w:color w:val="auto"/>
        </w:rPr>
        <w:t>资料</w:t>
      </w:r>
    </w:p>
    <w:p w14:paraId="60D797E5">
      <w:pPr>
        <w:spacing w:line="360" w:lineRule="auto"/>
        <w:ind w:firstLine="480" w:firstLineChars="200"/>
        <w:rPr>
          <w:color w:val="auto"/>
          <w:sz w:val="24"/>
        </w:rPr>
      </w:pPr>
      <w:bookmarkStart w:id="315" w:name="_Toc375035968"/>
      <w:bookmarkStart w:id="316" w:name="_Toc440888735"/>
      <w:bookmarkStart w:id="317" w:name="_Toc449102254"/>
      <w:bookmarkStart w:id="318" w:name="_Toc440368253"/>
      <w:bookmarkStart w:id="319" w:name="_Toc377222835"/>
      <w:bookmarkStart w:id="320" w:name="_Toc377222618"/>
      <w:bookmarkStart w:id="321" w:name="_Toc445467968"/>
      <w:bookmarkStart w:id="322" w:name="_Toc440987749"/>
      <w:bookmarkStart w:id="323" w:name="_Toc441158289"/>
      <w:r>
        <w:rPr>
          <w:rFonts w:hint="eastAsia"/>
          <w:color w:val="auto"/>
          <w:sz w:val="24"/>
          <w:lang w:eastAsia="zh-CN"/>
        </w:rPr>
        <w:t>（一）</w:t>
      </w:r>
      <w:r>
        <w:rPr>
          <w:color w:val="auto"/>
          <w:sz w:val="24"/>
        </w:rPr>
        <w:t>气候特征</w:t>
      </w:r>
    </w:p>
    <w:p w14:paraId="1C0FD931">
      <w:pPr>
        <w:spacing w:line="360" w:lineRule="auto"/>
        <w:ind w:firstLine="480" w:firstLineChars="200"/>
        <w:rPr>
          <w:color w:val="auto"/>
          <w:sz w:val="24"/>
        </w:rPr>
      </w:pPr>
      <w:r>
        <w:rPr>
          <w:color w:val="auto"/>
          <w:sz w:val="24"/>
        </w:rPr>
        <w:t>（1）气候特征</w:t>
      </w:r>
    </w:p>
    <w:p w14:paraId="29241A4D">
      <w:pPr>
        <w:spacing w:line="360" w:lineRule="auto"/>
        <w:ind w:firstLine="480" w:firstLineChars="200"/>
        <w:rPr>
          <w:color w:val="auto"/>
          <w:sz w:val="24"/>
        </w:rPr>
      </w:pPr>
      <w:r>
        <w:rPr>
          <w:color w:val="auto"/>
          <w:sz w:val="24"/>
        </w:rPr>
        <w:t>根据北票气象站多年气象要素统计结果，说明本地区气候概况。</w:t>
      </w:r>
    </w:p>
    <w:p w14:paraId="05687B3E">
      <w:pPr>
        <w:spacing w:line="360" w:lineRule="auto"/>
        <w:ind w:firstLine="480" w:firstLineChars="200"/>
        <w:rPr>
          <w:color w:val="auto"/>
          <w:sz w:val="24"/>
        </w:rPr>
      </w:pPr>
      <w:r>
        <w:rPr>
          <w:color w:val="auto"/>
          <w:sz w:val="24"/>
        </w:rPr>
        <w:t>厂址所在地区地处中纬度，属于温带大陆性季风气候区，主要特点四季分明。春季干旱升温快，夏季炎热多雨，秋季凉爽降温迅速，冬季寒冷漫长。该地区年平均温度为9.78度，1月份平均温度最低为-7.16度，8月份平均温度最高为24.34度。该地区年平均气压为994.2hPa，7月份平均气压最低为984.5hPa，1月份平均气压最高为1004.1hPa。该地区年平均相对湿度为57.7%，12月份平均相对湿度最低为40.1%，7月份平均相对湿度最高为84.1%。该地区年平均风速为2.41m/s，1月份平均风速最低为1.7m/s，3月份平均风速最高为3.83m/s。该地区全年最多风向为SSW，其频率为8.23％，次多风向为NNE，其频率为7.32％，静风频率为26.78％。</w:t>
      </w:r>
    </w:p>
    <w:p w14:paraId="016B36B3">
      <w:pPr>
        <w:spacing w:line="360" w:lineRule="auto"/>
        <w:ind w:firstLine="480" w:firstLineChars="200"/>
        <w:rPr>
          <w:color w:val="auto"/>
          <w:sz w:val="24"/>
        </w:rPr>
      </w:pPr>
      <w:r>
        <w:rPr>
          <w:color w:val="auto"/>
          <w:sz w:val="24"/>
        </w:rPr>
        <w:t>（2）气象站的代表性分析</w:t>
      </w:r>
    </w:p>
    <w:p w14:paraId="236A79A6">
      <w:pPr>
        <w:spacing w:line="360" w:lineRule="auto"/>
        <w:ind w:firstLine="480" w:firstLineChars="200"/>
        <w:rPr>
          <w:color w:val="auto"/>
          <w:sz w:val="24"/>
        </w:rPr>
      </w:pPr>
      <w:r>
        <w:rPr>
          <w:color w:val="auto"/>
          <w:sz w:val="24"/>
        </w:rPr>
        <w:t>辽宁省地面气象站密度约数十公里至百公里不等，其中本项目选取的北票气象站资料可满足本项目气候和一般天气的代表性要求。</w:t>
      </w:r>
    </w:p>
    <w:p w14:paraId="4A5F2484">
      <w:pPr>
        <w:spacing w:line="360" w:lineRule="auto"/>
        <w:ind w:firstLine="480" w:firstLineChars="200"/>
        <w:rPr>
          <w:color w:val="auto"/>
          <w:sz w:val="24"/>
        </w:rPr>
      </w:pPr>
      <w:r>
        <w:rPr>
          <w:rFonts w:hint="eastAsia"/>
          <w:color w:val="auto"/>
          <w:sz w:val="24"/>
          <w:lang w:eastAsia="zh-CN"/>
        </w:rPr>
        <w:t>（二）</w:t>
      </w:r>
      <w:r>
        <w:rPr>
          <w:color w:val="auto"/>
          <w:sz w:val="24"/>
        </w:rPr>
        <w:t>评价区地面风场分析</w:t>
      </w:r>
    </w:p>
    <w:p w14:paraId="7921632F">
      <w:pPr>
        <w:spacing w:line="360" w:lineRule="auto"/>
        <w:ind w:firstLine="480" w:firstLineChars="200"/>
        <w:rPr>
          <w:color w:val="auto"/>
          <w:sz w:val="24"/>
        </w:rPr>
      </w:pPr>
      <w:r>
        <w:rPr>
          <w:color w:val="auto"/>
          <w:sz w:val="24"/>
        </w:rPr>
        <w:t>决定地面风向及其日变化的因素有三个方面：一是系统风向；二是由于下垫面摩擦</w:t>
      </w:r>
      <w:r>
        <w:rPr>
          <w:rFonts w:hint="eastAsia"/>
          <w:color w:val="auto"/>
          <w:sz w:val="24"/>
          <w:lang w:eastAsia="zh-CN"/>
        </w:rPr>
        <w:t>、</w:t>
      </w:r>
      <w:r>
        <w:rPr>
          <w:color w:val="auto"/>
          <w:sz w:val="24"/>
        </w:rPr>
        <w:t>或地形作用而导致的系统风的风向改变，这两者决定的风向成为地面风的基本风向。三是由局地热力性质的差异而导致的风分量，此分量一般较弱。实际的地面风是由这三个分量合成的结果。</w:t>
      </w:r>
    </w:p>
    <w:p w14:paraId="49FBD2BD">
      <w:pPr>
        <w:spacing w:line="360" w:lineRule="auto"/>
        <w:rPr>
          <w:color w:val="auto"/>
          <w:sz w:val="24"/>
        </w:rPr>
      </w:pPr>
      <w:r>
        <w:drawing>
          <wp:inline distT="0" distB="0" distL="114300" distR="114300">
            <wp:extent cx="5276215" cy="7555230"/>
            <wp:effectExtent l="0" t="0" r="635" b="7620"/>
            <wp:docPr id="1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
                    <pic:cNvPicPr>
                      <a:picLocks noChangeAspect="1"/>
                    </pic:cNvPicPr>
                  </pic:nvPicPr>
                  <pic:blipFill>
                    <a:blip r:embed="rId44"/>
                    <a:stretch>
                      <a:fillRect/>
                    </a:stretch>
                  </pic:blipFill>
                  <pic:spPr>
                    <a:xfrm>
                      <a:off x="0" y="0"/>
                      <a:ext cx="5276215" cy="7555230"/>
                    </a:xfrm>
                    <a:prstGeom prst="rect">
                      <a:avLst/>
                    </a:prstGeom>
                    <a:noFill/>
                    <a:ln>
                      <a:noFill/>
                    </a:ln>
                  </pic:spPr>
                </pic:pic>
              </a:graphicData>
            </a:graphic>
          </wp:inline>
        </w:drawing>
      </w:r>
    </w:p>
    <w:p w14:paraId="083D56D8">
      <w:pPr>
        <w:spacing w:line="360" w:lineRule="auto"/>
        <w:ind w:firstLine="482" w:firstLineChars="200"/>
        <w:jc w:val="center"/>
        <w:rPr>
          <w:b/>
          <w:bCs/>
          <w:color w:val="auto"/>
          <w:sz w:val="24"/>
        </w:rPr>
      </w:pPr>
      <w:r>
        <w:rPr>
          <w:b/>
          <w:bCs/>
          <w:color w:val="auto"/>
          <w:sz w:val="24"/>
        </w:rPr>
        <w:t>图5</w:t>
      </w:r>
      <w:r>
        <w:rPr>
          <w:rFonts w:hint="eastAsia"/>
          <w:b/>
          <w:bCs/>
          <w:color w:val="auto"/>
          <w:sz w:val="24"/>
          <w:lang w:val="en-US" w:eastAsia="zh-CN"/>
        </w:rPr>
        <w:t>.2</w:t>
      </w:r>
      <w:r>
        <w:rPr>
          <w:b/>
          <w:bCs/>
          <w:color w:val="auto"/>
          <w:sz w:val="24"/>
        </w:rPr>
        <w:t>-1  北票市</w:t>
      </w:r>
      <w:r>
        <w:rPr>
          <w:rFonts w:hint="eastAsia"/>
          <w:b/>
          <w:bCs/>
          <w:color w:val="auto"/>
          <w:sz w:val="24"/>
          <w:lang w:val="en-US" w:eastAsia="zh-CN"/>
        </w:rPr>
        <w:t>2023</w:t>
      </w:r>
      <w:r>
        <w:rPr>
          <w:b/>
          <w:bCs/>
          <w:color w:val="auto"/>
          <w:sz w:val="24"/>
        </w:rPr>
        <w:t>年全年风向玫瑰图</w:t>
      </w:r>
    </w:p>
    <w:p w14:paraId="50DB3731">
      <w:pPr>
        <w:spacing w:line="360" w:lineRule="auto"/>
        <w:ind w:firstLine="480" w:firstLineChars="200"/>
        <w:rPr>
          <w:color w:val="auto"/>
          <w:sz w:val="24"/>
        </w:rPr>
        <w:sectPr>
          <w:headerReference r:id="rId10" w:type="default"/>
          <w:footerReference r:id="rId11" w:type="default"/>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371CFFB2">
      <w:pPr>
        <w:spacing w:before="212" w:line="219" w:lineRule="auto"/>
        <w:ind w:right="28"/>
        <w:jc w:val="center"/>
        <w:rPr>
          <w:sz w:val="21"/>
          <w:szCs w:val="21"/>
        </w:rPr>
      </w:pPr>
      <w:r>
        <w:rPr>
          <w:rFonts w:ascii="宋体" w:hAnsi="宋体" w:eastAsia="宋体" w:cs="宋体"/>
          <w:b/>
          <w:bCs/>
          <w:sz w:val="21"/>
          <w:szCs w:val="21"/>
        </w:rPr>
        <w:t>表</w:t>
      </w:r>
      <w:r>
        <w:rPr>
          <w:rFonts w:ascii="宋体" w:hAnsi="宋体" w:eastAsia="宋体" w:cs="宋体"/>
          <w:spacing w:val="-52"/>
          <w:sz w:val="21"/>
          <w:szCs w:val="21"/>
        </w:rPr>
        <w:t xml:space="preserve"> </w:t>
      </w:r>
      <w:r>
        <w:rPr>
          <w:rFonts w:ascii="Times New Roman" w:hAnsi="Times New Roman" w:eastAsia="Times New Roman" w:cs="Times New Roman"/>
          <w:b/>
          <w:bCs/>
          <w:sz w:val="21"/>
          <w:szCs w:val="21"/>
        </w:rPr>
        <w:t>5</w:t>
      </w:r>
      <w:r>
        <w:rPr>
          <w:rFonts w:hint="eastAsia" w:eastAsia="宋体" w:cs="Times New Roman"/>
          <w:b/>
          <w:bCs/>
          <w:sz w:val="21"/>
          <w:szCs w:val="21"/>
          <w:lang w:val="en-US" w:eastAsia="zh-CN"/>
        </w:rPr>
        <w:t>.2</w:t>
      </w:r>
      <w:r>
        <w:rPr>
          <w:rFonts w:ascii="Times New Roman" w:hAnsi="Times New Roman" w:eastAsia="Times New Roman" w:cs="Times New Roman"/>
          <w:b/>
          <w:bCs/>
          <w:sz w:val="21"/>
          <w:szCs w:val="21"/>
        </w:rPr>
        <w:t xml:space="preserve">-2    </w:t>
      </w:r>
      <w:r>
        <w:rPr>
          <w:rFonts w:ascii="宋体" w:hAnsi="宋体" w:eastAsia="宋体" w:cs="宋体"/>
          <w:b/>
          <w:bCs/>
          <w:sz w:val="21"/>
          <w:szCs w:val="21"/>
        </w:rPr>
        <w:t>北票市</w:t>
      </w:r>
      <w:r>
        <w:rPr>
          <w:rFonts w:hint="eastAsia" w:ascii="Times New Roman" w:hAnsi="Times New Roman" w:eastAsia="宋体" w:cs="Times New Roman"/>
          <w:b/>
          <w:bCs/>
          <w:sz w:val="21"/>
          <w:szCs w:val="21"/>
          <w:lang w:val="en-US" w:eastAsia="zh-CN"/>
        </w:rPr>
        <w:t>2023</w:t>
      </w:r>
      <w:r>
        <w:rPr>
          <w:rFonts w:ascii="宋体" w:hAnsi="宋体" w:eastAsia="宋体" w:cs="宋体"/>
          <w:b/>
          <w:bCs/>
          <w:sz w:val="21"/>
          <w:szCs w:val="21"/>
        </w:rPr>
        <w:t>年全年及各月</w:t>
      </w:r>
      <w:r>
        <w:rPr>
          <w:rFonts w:ascii="宋体" w:hAnsi="宋体" w:eastAsia="宋体" w:cs="宋体"/>
          <w:b/>
          <w:bCs/>
          <w:spacing w:val="-1"/>
          <w:sz w:val="21"/>
          <w:szCs w:val="21"/>
        </w:rPr>
        <w:t>各季风频</w:t>
      </w:r>
      <w:r>
        <w:rPr>
          <w:rFonts w:ascii="宋体" w:hAnsi="宋体" w:eastAsia="宋体" w:cs="宋体"/>
          <w:spacing w:val="-1"/>
          <w:sz w:val="21"/>
          <w:szCs w:val="21"/>
        </w:rPr>
        <w:t xml:space="preserve">    </w:t>
      </w:r>
      <w:r>
        <w:rPr>
          <w:rFonts w:ascii="宋体" w:hAnsi="宋体" w:eastAsia="宋体" w:cs="宋体"/>
          <w:b/>
          <w:bCs/>
          <w:spacing w:val="-1"/>
          <w:sz w:val="21"/>
          <w:szCs w:val="21"/>
        </w:rPr>
        <w:t>单位：</w:t>
      </w:r>
      <w:r>
        <w:rPr>
          <w:rFonts w:ascii="Times New Roman" w:hAnsi="Times New Roman" w:eastAsia="Times New Roman" w:cs="Times New Roman"/>
          <w:b/>
          <w:bCs/>
          <w:spacing w:val="-1"/>
          <w:sz w:val="21"/>
          <w:szCs w:val="21"/>
        </w:rPr>
        <w:t>%</w:t>
      </w:r>
    </w:p>
    <w:tbl>
      <w:tblPr>
        <w:tblStyle w:val="551"/>
        <w:tblW w:w="13984" w:type="dxa"/>
        <w:tblInd w:w="2"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778"/>
        <w:gridCol w:w="774"/>
        <w:gridCol w:w="776"/>
        <w:gridCol w:w="775"/>
        <w:gridCol w:w="776"/>
        <w:gridCol w:w="775"/>
        <w:gridCol w:w="775"/>
        <w:gridCol w:w="775"/>
        <w:gridCol w:w="775"/>
        <w:gridCol w:w="776"/>
        <w:gridCol w:w="775"/>
        <w:gridCol w:w="775"/>
        <w:gridCol w:w="778"/>
        <w:gridCol w:w="777"/>
        <w:gridCol w:w="787"/>
        <w:gridCol w:w="778"/>
        <w:gridCol w:w="777"/>
        <w:gridCol w:w="782"/>
      </w:tblGrid>
      <w:tr w14:paraId="66C93F5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7" w:hRule="atLeast"/>
        </w:trPr>
        <w:tc>
          <w:tcPr>
            <w:tcW w:w="778" w:type="dxa"/>
            <w:tcBorders>
              <w:tl2br w:val="nil"/>
              <w:tr2bl w:val="nil"/>
            </w:tcBorders>
            <w:vAlign w:val="center"/>
          </w:tcPr>
          <w:p w14:paraId="365B5480">
            <w:pPr>
              <w:jc w:val="center"/>
            </w:pPr>
            <w:r>
              <w:t>月份</w:t>
            </w:r>
          </w:p>
        </w:tc>
        <w:tc>
          <w:tcPr>
            <w:tcW w:w="774" w:type="dxa"/>
            <w:tcBorders>
              <w:tl2br w:val="nil"/>
              <w:tr2bl w:val="nil"/>
            </w:tcBorders>
            <w:vAlign w:val="center"/>
          </w:tcPr>
          <w:p w14:paraId="671ACB88">
            <w:pPr>
              <w:jc w:val="center"/>
            </w:pPr>
            <w:r>
              <w:t>N</w:t>
            </w:r>
          </w:p>
        </w:tc>
        <w:tc>
          <w:tcPr>
            <w:tcW w:w="776" w:type="dxa"/>
            <w:tcBorders>
              <w:tl2br w:val="nil"/>
              <w:tr2bl w:val="nil"/>
            </w:tcBorders>
            <w:vAlign w:val="center"/>
          </w:tcPr>
          <w:p w14:paraId="1E542EED">
            <w:pPr>
              <w:jc w:val="center"/>
            </w:pPr>
            <w:r>
              <w:t>NNE</w:t>
            </w:r>
          </w:p>
        </w:tc>
        <w:tc>
          <w:tcPr>
            <w:tcW w:w="775" w:type="dxa"/>
            <w:tcBorders>
              <w:tl2br w:val="nil"/>
              <w:tr2bl w:val="nil"/>
            </w:tcBorders>
            <w:vAlign w:val="center"/>
          </w:tcPr>
          <w:p w14:paraId="0ED6101D">
            <w:pPr>
              <w:jc w:val="center"/>
            </w:pPr>
            <w:r>
              <w:t>NE</w:t>
            </w:r>
          </w:p>
        </w:tc>
        <w:tc>
          <w:tcPr>
            <w:tcW w:w="776" w:type="dxa"/>
            <w:tcBorders>
              <w:tl2br w:val="nil"/>
              <w:tr2bl w:val="nil"/>
            </w:tcBorders>
            <w:vAlign w:val="center"/>
          </w:tcPr>
          <w:p w14:paraId="72BB7347">
            <w:pPr>
              <w:jc w:val="center"/>
            </w:pPr>
            <w:r>
              <w:t>ENE</w:t>
            </w:r>
          </w:p>
        </w:tc>
        <w:tc>
          <w:tcPr>
            <w:tcW w:w="775" w:type="dxa"/>
            <w:tcBorders>
              <w:tl2br w:val="nil"/>
              <w:tr2bl w:val="nil"/>
            </w:tcBorders>
            <w:vAlign w:val="center"/>
          </w:tcPr>
          <w:p w14:paraId="222DE6A8">
            <w:pPr>
              <w:jc w:val="center"/>
            </w:pPr>
            <w:r>
              <w:t>E</w:t>
            </w:r>
          </w:p>
        </w:tc>
        <w:tc>
          <w:tcPr>
            <w:tcW w:w="775" w:type="dxa"/>
            <w:tcBorders>
              <w:tl2br w:val="nil"/>
              <w:tr2bl w:val="nil"/>
            </w:tcBorders>
            <w:vAlign w:val="center"/>
          </w:tcPr>
          <w:p w14:paraId="2DEBC803">
            <w:pPr>
              <w:jc w:val="center"/>
            </w:pPr>
            <w:r>
              <w:t>ESE</w:t>
            </w:r>
          </w:p>
        </w:tc>
        <w:tc>
          <w:tcPr>
            <w:tcW w:w="775" w:type="dxa"/>
            <w:tcBorders>
              <w:tl2br w:val="nil"/>
              <w:tr2bl w:val="nil"/>
            </w:tcBorders>
            <w:vAlign w:val="center"/>
          </w:tcPr>
          <w:p w14:paraId="04506866">
            <w:pPr>
              <w:jc w:val="center"/>
            </w:pPr>
            <w:r>
              <w:t>SE</w:t>
            </w:r>
          </w:p>
        </w:tc>
        <w:tc>
          <w:tcPr>
            <w:tcW w:w="775" w:type="dxa"/>
            <w:tcBorders>
              <w:tl2br w:val="nil"/>
              <w:tr2bl w:val="nil"/>
            </w:tcBorders>
            <w:vAlign w:val="center"/>
          </w:tcPr>
          <w:p w14:paraId="57917BBD">
            <w:pPr>
              <w:jc w:val="center"/>
            </w:pPr>
            <w:r>
              <w:t>SSE</w:t>
            </w:r>
          </w:p>
        </w:tc>
        <w:tc>
          <w:tcPr>
            <w:tcW w:w="776" w:type="dxa"/>
            <w:tcBorders>
              <w:tl2br w:val="nil"/>
              <w:tr2bl w:val="nil"/>
            </w:tcBorders>
            <w:vAlign w:val="center"/>
          </w:tcPr>
          <w:p w14:paraId="4C823295">
            <w:pPr>
              <w:jc w:val="center"/>
            </w:pPr>
            <w:r>
              <w:t>S</w:t>
            </w:r>
          </w:p>
        </w:tc>
        <w:tc>
          <w:tcPr>
            <w:tcW w:w="775" w:type="dxa"/>
            <w:tcBorders>
              <w:tl2br w:val="nil"/>
              <w:tr2bl w:val="nil"/>
            </w:tcBorders>
            <w:vAlign w:val="center"/>
          </w:tcPr>
          <w:p w14:paraId="2595510E">
            <w:pPr>
              <w:jc w:val="center"/>
            </w:pPr>
            <w:r>
              <w:t>SSW</w:t>
            </w:r>
          </w:p>
        </w:tc>
        <w:tc>
          <w:tcPr>
            <w:tcW w:w="775" w:type="dxa"/>
            <w:tcBorders>
              <w:tl2br w:val="nil"/>
              <w:tr2bl w:val="nil"/>
            </w:tcBorders>
            <w:vAlign w:val="center"/>
          </w:tcPr>
          <w:p w14:paraId="4788B3A6">
            <w:pPr>
              <w:jc w:val="center"/>
            </w:pPr>
            <w:r>
              <w:t>SW</w:t>
            </w:r>
          </w:p>
        </w:tc>
        <w:tc>
          <w:tcPr>
            <w:tcW w:w="778" w:type="dxa"/>
            <w:tcBorders>
              <w:tl2br w:val="nil"/>
              <w:tr2bl w:val="nil"/>
            </w:tcBorders>
            <w:vAlign w:val="center"/>
          </w:tcPr>
          <w:p w14:paraId="6245C811">
            <w:pPr>
              <w:jc w:val="center"/>
            </w:pPr>
            <w:r>
              <w:t>WSW</w:t>
            </w:r>
          </w:p>
        </w:tc>
        <w:tc>
          <w:tcPr>
            <w:tcW w:w="777" w:type="dxa"/>
            <w:tcBorders>
              <w:tl2br w:val="nil"/>
              <w:tr2bl w:val="nil"/>
            </w:tcBorders>
            <w:vAlign w:val="center"/>
          </w:tcPr>
          <w:p w14:paraId="0D7787CD">
            <w:pPr>
              <w:jc w:val="center"/>
            </w:pPr>
            <w:r>
              <w:t>W</w:t>
            </w:r>
          </w:p>
        </w:tc>
        <w:tc>
          <w:tcPr>
            <w:tcW w:w="787" w:type="dxa"/>
            <w:tcBorders>
              <w:tl2br w:val="nil"/>
              <w:tr2bl w:val="nil"/>
            </w:tcBorders>
            <w:vAlign w:val="center"/>
          </w:tcPr>
          <w:p w14:paraId="549699AC">
            <w:pPr>
              <w:jc w:val="center"/>
            </w:pPr>
            <w:r>
              <w:t>WNW</w:t>
            </w:r>
          </w:p>
        </w:tc>
        <w:tc>
          <w:tcPr>
            <w:tcW w:w="778" w:type="dxa"/>
            <w:tcBorders>
              <w:tl2br w:val="nil"/>
              <w:tr2bl w:val="nil"/>
            </w:tcBorders>
            <w:vAlign w:val="center"/>
          </w:tcPr>
          <w:p w14:paraId="61E3771D">
            <w:pPr>
              <w:jc w:val="center"/>
            </w:pPr>
            <w:r>
              <w:t>NW</w:t>
            </w:r>
          </w:p>
        </w:tc>
        <w:tc>
          <w:tcPr>
            <w:tcW w:w="777" w:type="dxa"/>
            <w:tcBorders>
              <w:tl2br w:val="nil"/>
              <w:tr2bl w:val="nil"/>
            </w:tcBorders>
            <w:vAlign w:val="center"/>
          </w:tcPr>
          <w:p w14:paraId="2E4FD987">
            <w:pPr>
              <w:jc w:val="center"/>
            </w:pPr>
            <w:r>
              <w:t>NNW</w:t>
            </w:r>
          </w:p>
        </w:tc>
        <w:tc>
          <w:tcPr>
            <w:tcW w:w="782" w:type="dxa"/>
            <w:tcBorders>
              <w:tl2br w:val="nil"/>
              <w:tr2bl w:val="nil"/>
            </w:tcBorders>
            <w:vAlign w:val="center"/>
          </w:tcPr>
          <w:p w14:paraId="4D23736B">
            <w:pPr>
              <w:jc w:val="center"/>
            </w:pPr>
            <w:r>
              <w:t>C</w:t>
            </w:r>
          </w:p>
        </w:tc>
      </w:tr>
      <w:tr w14:paraId="06D2481A">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8" w:hRule="atLeast"/>
        </w:trPr>
        <w:tc>
          <w:tcPr>
            <w:tcW w:w="778" w:type="dxa"/>
            <w:tcBorders>
              <w:tl2br w:val="nil"/>
              <w:tr2bl w:val="nil"/>
            </w:tcBorders>
            <w:vAlign w:val="center"/>
          </w:tcPr>
          <w:p w14:paraId="075B23D4">
            <w:pPr>
              <w:jc w:val="center"/>
            </w:pPr>
            <w:r>
              <w:t>1</w:t>
            </w:r>
          </w:p>
        </w:tc>
        <w:tc>
          <w:tcPr>
            <w:tcW w:w="774" w:type="dxa"/>
            <w:tcBorders>
              <w:tl2br w:val="nil"/>
              <w:tr2bl w:val="nil"/>
            </w:tcBorders>
            <w:vAlign w:val="center"/>
          </w:tcPr>
          <w:p w14:paraId="62A49889">
            <w:pPr>
              <w:jc w:val="center"/>
            </w:pPr>
            <w:r>
              <w:t>5.78</w:t>
            </w:r>
          </w:p>
        </w:tc>
        <w:tc>
          <w:tcPr>
            <w:tcW w:w="776" w:type="dxa"/>
            <w:tcBorders>
              <w:tl2br w:val="nil"/>
              <w:tr2bl w:val="nil"/>
            </w:tcBorders>
            <w:vAlign w:val="center"/>
          </w:tcPr>
          <w:p w14:paraId="7E84D976">
            <w:pPr>
              <w:jc w:val="center"/>
            </w:pPr>
            <w:r>
              <w:t>11.83</w:t>
            </w:r>
          </w:p>
        </w:tc>
        <w:tc>
          <w:tcPr>
            <w:tcW w:w="775" w:type="dxa"/>
            <w:tcBorders>
              <w:tl2br w:val="nil"/>
              <w:tr2bl w:val="nil"/>
            </w:tcBorders>
            <w:vAlign w:val="center"/>
          </w:tcPr>
          <w:p w14:paraId="4769E4CC">
            <w:pPr>
              <w:jc w:val="center"/>
            </w:pPr>
            <w:r>
              <w:t>5.91</w:t>
            </w:r>
          </w:p>
        </w:tc>
        <w:tc>
          <w:tcPr>
            <w:tcW w:w="776" w:type="dxa"/>
            <w:tcBorders>
              <w:tl2br w:val="nil"/>
              <w:tr2bl w:val="nil"/>
            </w:tcBorders>
            <w:vAlign w:val="center"/>
          </w:tcPr>
          <w:p w14:paraId="0C874A81">
            <w:pPr>
              <w:jc w:val="center"/>
            </w:pPr>
            <w:r>
              <w:t>6.18</w:t>
            </w:r>
          </w:p>
        </w:tc>
        <w:tc>
          <w:tcPr>
            <w:tcW w:w="775" w:type="dxa"/>
            <w:tcBorders>
              <w:tl2br w:val="nil"/>
              <w:tr2bl w:val="nil"/>
            </w:tcBorders>
            <w:vAlign w:val="center"/>
          </w:tcPr>
          <w:p w14:paraId="644DFA37">
            <w:pPr>
              <w:jc w:val="center"/>
            </w:pPr>
            <w:r>
              <w:t>2.55</w:t>
            </w:r>
          </w:p>
        </w:tc>
        <w:tc>
          <w:tcPr>
            <w:tcW w:w="775" w:type="dxa"/>
            <w:tcBorders>
              <w:tl2br w:val="nil"/>
              <w:tr2bl w:val="nil"/>
            </w:tcBorders>
            <w:vAlign w:val="center"/>
          </w:tcPr>
          <w:p w14:paraId="5B24FE55">
            <w:pPr>
              <w:jc w:val="center"/>
            </w:pPr>
            <w:r>
              <w:t>1.61</w:t>
            </w:r>
          </w:p>
        </w:tc>
        <w:tc>
          <w:tcPr>
            <w:tcW w:w="775" w:type="dxa"/>
            <w:tcBorders>
              <w:tl2br w:val="nil"/>
              <w:tr2bl w:val="nil"/>
            </w:tcBorders>
            <w:vAlign w:val="center"/>
          </w:tcPr>
          <w:p w14:paraId="142ACB30">
            <w:pPr>
              <w:jc w:val="center"/>
            </w:pPr>
            <w:r>
              <w:t>3.49</w:t>
            </w:r>
          </w:p>
        </w:tc>
        <w:tc>
          <w:tcPr>
            <w:tcW w:w="775" w:type="dxa"/>
            <w:tcBorders>
              <w:tl2br w:val="nil"/>
              <w:tr2bl w:val="nil"/>
            </w:tcBorders>
            <w:vAlign w:val="center"/>
          </w:tcPr>
          <w:p w14:paraId="3B2A9AF0">
            <w:pPr>
              <w:jc w:val="center"/>
            </w:pPr>
            <w:r>
              <w:t>5.65</w:t>
            </w:r>
          </w:p>
        </w:tc>
        <w:tc>
          <w:tcPr>
            <w:tcW w:w="776" w:type="dxa"/>
            <w:tcBorders>
              <w:tl2br w:val="nil"/>
              <w:tr2bl w:val="nil"/>
            </w:tcBorders>
            <w:vAlign w:val="center"/>
          </w:tcPr>
          <w:p w14:paraId="6759B70F">
            <w:pPr>
              <w:jc w:val="center"/>
            </w:pPr>
            <w:r>
              <w:t>3.23</w:t>
            </w:r>
          </w:p>
        </w:tc>
        <w:tc>
          <w:tcPr>
            <w:tcW w:w="775" w:type="dxa"/>
            <w:tcBorders>
              <w:tl2br w:val="nil"/>
              <w:tr2bl w:val="nil"/>
            </w:tcBorders>
            <w:vAlign w:val="center"/>
          </w:tcPr>
          <w:p w14:paraId="1C972088">
            <w:pPr>
              <w:jc w:val="center"/>
            </w:pPr>
            <w:r>
              <w:t>4.03</w:t>
            </w:r>
          </w:p>
        </w:tc>
        <w:tc>
          <w:tcPr>
            <w:tcW w:w="775" w:type="dxa"/>
            <w:tcBorders>
              <w:tl2br w:val="nil"/>
              <w:tr2bl w:val="nil"/>
            </w:tcBorders>
            <w:vAlign w:val="center"/>
          </w:tcPr>
          <w:p w14:paraId="6780F1DE">
            <w:pPr>
              <w:jc w:val="center"/>
            </w:pPr>
            <w:r>
              <w:t>2.42</w:t>
            </w:r>
          </w:p>
        </w:tc>
        <w:tc>
          <w:tcPr>
            <w:tcW w:w="778" w:type="dxa"/>
            <w:tcBorders>
              <w:tl2br w:val="nil"/>
              <w:tr2bl w:val="nil"/>
            </w:tcBorders>
            <w:vAlign w:val="center"/>
          </w:tcPr>
          <w:p w14:paraId="3C4B3F9E">
            <w:pPr>
              <w:jc w:val="center"/>
            </w:pPr>
            <w:r>
              <w:t>3.63</w:t>
            </w:r>
          </w:p>
        </w:tc>
        <w:tc>
          <w:tcPr>
            <w:tcW w:w="777" w:type="dxa"/>
            <w:tcBorders>
              <w:tl2br w:val="nil"/>
              <w:tr2bl w:val="nil"/>
            </w:tcBorders>
            <w:vAlign w:val="center"/>
          </w:tcPr>
          <w:p w14:paraId="2698A953">
            <w:pPr>
              <w:jc w:val="center"/>
            </w:pPr>
            <w:r>
              <w:t>3.9</w:t>
            </w:r>
          </w:p>
        </w:tc>
        <w:tc>
          <w:tcPr>
            <w:tcW w:w="787" w:type="dxa"/>
            <w:tcBorders>
              <w:tl2br w:val="nil"/>
              <w:tr2bl w:val="nil"/>
            </w:tcBorders>
            <w:vAlign w:val="center"/>
          </w:tcPr>
          <w:p w14:paraId="63DDFC04">
            <w:pPr>
              <w:jc w:val="center"/>
            </w:pPr>
            <w:r>
              <w:t>2.28</w:t>
            </w:r>
          </w:p>
        </w:tc>
        <w:tc>
          <w:tcPr>
            <w:tcW w:w="778" w:type="dxa"/>
            <w:tcBorders>
              <w:tl2br w:val="nil"/>
              <w:tr2bl w:val="nil"/>
            </w:tcBorders>
            <w:vAlign w:val="center"/>
          </w:tcPr>
          <w:p w14:paraId="7C29DD92">
            <w:pPr>
              <w:jc w:val="center"/>
            </w:pPr>
            <w:r>
              <w:t>1.75</w:t>
            </w:r>
          </w:p>
        </w:tc>
        <w:tc>
          <w:tcPr>
            <w:tcW w:w="777" w:type="dxa"/>
            <w:tcBorders>
              <w:tl2br w:val="nil"/>
              <w:tr2bl w:val="nil"/>
            </w:tcBorders>
            <w:vAlign w:val="center"/>
          </w:tcPr>
          <w:p w14:paraId="2CAAC5D2">
            <w:pPr>
              <w:jc w:val="center"/>
            </w:pPr>
            <w:r>
              <w:t>2.55</w:t>
            </w:r>
          </w:p>
        </w:tc>
        <w:tc>
          <w:tcPr>
            <w:tcW w:w="782" w:type="dxa"/>
            <w:tcBorders>
              <w:tl2br w:val="nil"/>
              <w:tr2bl w:val="nil"/>
            </w:tcBorders>
            <w:vAlign w:val="center"/>
          </w:tcPr>
          <w:p w14:paraId="681CFC89">
            <w:pPr>
              <w:jc w:val="center"/>
            </w:pPr>
            <w:r>
              <w:t>33.2</w:t>
            </w:r>
          </w:p>
        </w:tc>
      </w:tr>
      <w:tr w14:paraId="53C4DF1F">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PrEx>
        <w:trPr>
          <w:trHeight w:val="367" w:hRule="atLeast"/>
        </w:trPr>
        <w:tc>
          <w:tcPr>
            <w:tcW w:w="778" w:type="dxa"/>
            <w:tcBorders>
              <w:tl2br w:val="nil"/>
              <w:tr2bl w:val="nil"/>
            </w:tcBorders>
            <w:vAlign w:val="center"/>
          </w:tcPr>
          <w:p w14:paraId="65AB633C">
            <w:pPr>
              <w:jc w:val="center"/>
            </w:pPr>
            <w:r>
              <w:t>2</w:t>
            </w:r>
          </w:p>
        </w:tc>
        <w:tc>
          <w:tcPr>
            <w:tcW w:w="774" w:type="dxa"/>
            <w:tcBorders>
              <w:tl2br w:val="nil"/>
              <w:tr2bl w:val="nil"/>
            </w:tcBorders>
            <w:vAlign w:val="center"/>
          </w:tcPr>
          <w:p w14:paraId="72330D55">
            <w:pPr>
              <w:jc w:val="center"/>
            </w:pPr>
            <w:r>
              <w:t>6.7</w:t>
            </w:r>
          </w:p>
        </w:tc>
        <w:tc>
          <w:tcPr>
            <w:tcW w:w="776" w:type="dxa"/>
            <w:tcBorders>
              <w:tl2br w:val="nil"/>
              <w:tr2bl w:val="nil"/>
            </w:tcBorders>
            <w:vAlign w:val="center"/>
          </w:tcPr>
          <w:p w14:paraId="4E209E30">
            <w:pPr>
              <w:jc w:val="center"/>
            </w:pPr>
            <w:r>
              <w:t>10.42</w:t>
            </w:r>
          </w:p>
        </w:tc>
        <w:tc>
          <w:tcPr>
            <w:tcW w:w="775" w:type="dxa"/>
            <w:tcBorders>
              <w:tl2br w:val="nil"/>
              <w:tr2bl w:val="nil"/>
            </w:tcBorders>
            <w:vAlign w:val="center"/>
          </w:tcPr>
          <w:p w14:paraId="387CAB64">
            <w:pPr>
              <w:jc w:val="center"/>
            </w:pPr>
            <w:r>
              <w:t>5.95</w:t>
            </w:r>
          </w:p>
        </w:tc>
        <w:tc>
          <w:tcPr>
            <w:tcW w:w="776" w:type="dxa"/>
            <w:tcBorders>
              <w:tl2br w:val="nil"/>
              <w:tr2bl w:val="nil"/>
            </w:tcBorders>
            <w:vAlign w:val="center"/>
          </w:tcPr>
          <w:p w14:paraId="468782BD">
            <w:pPr>
              <w:jc w:val="center"/>
            </w:pPr>
            <w:r>
              <w:t>4.02</w:t>
            </w:r>
          </w:p>
        </w:tc>
        <w:tc>
          <w:tcPr>
            <w:tcW w:w="775" w:type="dxa"/>
            <w:tcBorders>
              <w:tl2br w:val="nil"/>
              <w:tr2bl w:val="nil"/>
            </w:tcBorders>
            <w:vAlign w:val="center"/>
          </w:tcPr>
          <w:p w14:paraId="749C1EB1">
            <w:pPr>
              <w:jc w:val="center"/>
            </w:pPr>
            <w:r>
              <w:t>2.38</w:t>
            </w:r>
          </w:p>
        </w:tc>
        <w:tc>
          <w:tcPr>
            <w:tcW w:w="775" w:type="dxa"/>
            <w:tcBorders>
              <w:tl2br w:val="nil"/>
              <w:tr2bl w:val="nil"/>
            </w:tcBorders>
            <w:vAlign w:val="center"/>
          </w:tcPr>
          <w:p w14:paraId="2D941194">
            <w:pPr>
              <w:jc w:val="center"/>
            </w:pPr>
            <w:r>
              <w:t>1.19</w:t>
            </w:r>
          </w:p>
        </w:tc>
        <w:tc>
          <w:tcPr>
            <w:tcW w:w="775" w:type="dxa"/>
            <w:tcBorders>
              <w:tl2br w:val="nil"/>
              <w:tr2bl w:val="nil"/>
            </w:tcBorders>
            <w:vAlign w:val="center"/>
          </w:tcPr>
          <w:p w14:paraId="4E4FF0A3">
            <w:pPr>
              <w:jc w:val="center"/>
            </w:pPr>
            <w:r>
              <w:t>3.72</w:t>
            </w:r>
          </w:p>
        </w:tc>
        <w:tc>
          <w:tcPr>
            <w:tcW w:w="775" w:type="dxa"/>
            <w:tcBorders>
              <w:tl2br w:val="nil"/>
              <w:tr2bl w:val="nil"/>
            </w:tcBorders>
            <w:vAlign w:val="center"/>
          </w:tcPr>
          <w:p w14:paraId="0F230099">
            <w:pPr>
              <w:jc w:val="center"/>
            </w:pPr>
            <w:r>
              <w:t>4.32</w:t>
            </w:r>
          </w:p>
        </w:tc>
        <w:tc>
          <w:tcPr>
            <w:tcW w:w="776" w:type="dxa"/>
            <w:tcBorders>
              <w:tl2br w:val="nil"/>
              <w:tr2bl w:val="nil"/>
            </w:tcBorders>
            <w:vAlign w:val="center"/>
          </w:tcPr>
          <w:p w14:paraId="7EBDF6DB">
            <w:pPr>
              <w:jc w:val="center"/>
            </w:pPr>
            <w:r>
              <w:t>5.65</w:t>
            </w:r>
          </w:p>
        </w:tc>
        <w:tc>
          <w:tcPr>
            <w:tcW w:w="775" w:type="dxa"/>
            <w:tcBorders>
              <w:tl2br w:val="nil"/>
              <w:tr2bl w:val="nil"/>
            </w:tcBorders>
            <w:vAlign w:val="center"/>
          </w:tcPr>
          <w:p w14:paraId="2E436226">
            <w:pPr>
              <w:jc w:val="center"/>
            </w:pPr>
            <w:r>
              <w:t>10.42</w:t>
            </w:r>
          </w:p>
        </w:tc>
        <w:tc>
          <w:tcPr>
            <w:tcW w:w="775" w:type="dxa"/>
            <w:tcBorders>
              <w:tl2br w:val="nil"/>
              <w:tr2bl w:val="nil"/>
            </w:tcBorders>
            <w:vAlign w:val="center"/>
          </w:tcPr>
          <w:p w14:paraId="65A0834B">
            <w:pPr>
              <w:jc w:val="center"/>
            </w:pPr>
            <w:r>
              <w:t>4.76</w:t>
            </w:r>
          </w:p>
        </w:tc>
        <w:tc>
          <w:tcPr>
            <w:tcW w:w="778" w:type="dxa"/>
            <w:tcBorders>
              <w:tl2br w:val="nil"/>
              <w:tr2bl w:val="nil"/>
            </w:tcBorders>
            <w:vAlign w:val="center"/>
          </w:tcPr>
          <w:p w14:paraId="4895ED8C">
            <w:pPr>
              <w:jc w:val="center"/>
            </w:pPr>
            <w:r>
              <w:t>6.55</w:t>
            </w:r>
          </w:p>
        </w:tc>
        <w:tc>
          <w:tcPr>
            <w:tcW w:w="777" w:type="dxa"/>
            <w:tcBorders>
              <w:tl2br w:val="nil"/>
              <w:tr2bl w:val="nil"/>
            </w:tcBorders>
            <w:vAlign w:val="center"/>
          </w:tcPr>
          <w:p w14:paraId="16810831">
            <w:pPr>
              <w:jc w:val="center"/>
            </w:pPr>
            <w:r>
              <w:t>4.76</w:t>
            </w:r>
          </w:p>
        </w:tc>
        <w:tc>
          <w:tcPr>
            <w:tcW w:w="787" w:type="dxa"/>
            <w:tcBorders>
              <w:tl2br w:val="nil"/>
              <w:tr2bl w:val="nil"/>
            </w:tcBorders>
            <w:vAlign w:val="center"/>
          </w:tcPr>
          <w:p w14:paraId="1B9FB970">
            <w:pPr>
              <w:jc w:val="center"/>
            </w:pPr>
            <w:r>
              <w:t>2.98</w:t>
            </w:r>
          </w:p>
        </w:tc>
        <w:tc>
          <w:tcPr>
            <w:tcW w:w="778" w:type="dxa"/>
            <w:tcBorders>
              <w:tl2br w:val="nil"/>
              <w:tr2bl w:val="nil"/>
            </w:tcBorders>
            <w:vAlign w:val="center"/>
          </w:tcPr>
          <w:p w14:paraId="4D09372B">
            <w:pPr>
              <w:jc w:val="center"/>
            </w:pPr>
            <w:r>
              <w:t>5.06</w:t>
            </w:r>
          </w:p>
        </w:tc>
        <w:tc>
          <w:tcPr>
            <w:tcW w:w="777" w:type="dxa"/>
            <w:tcBorders>
              <w:tl2br w:val="nil"/>
              <w:tr2bl w:val="nil"/>
            </w:tcBorders>
            <w:vAlign w:val="center"/>
          </w:tcPr>
          <w:p w14:paraId="523FFF02">
            <w:pPr>
              <w:jc w:val="center"/>
            </w:pPr>
            <w:r>
              <w:t>3.27</w:t>
            </w:r>
          </w:p>
        </w:tc>
        <w:tc>
          <w:tcPr>
            <w:tcW w:w="782" w:type="dxa"/>
            <w:tcBorders>
              <w:tl2br w:val="nil"/>
              <w:tr2bl w:val="nil"/>
            </w:tcBorders>
            <w:vAlign w:val="center"/>
          </w:tcPr>
          <w:p w14:paraId="4B546F38">
            <w:pPr>
              <w:jc w:val="center"/>
            </w:pPr>
            <w:r>
              <w:t>17.86</w:t>
            </w:r>
          </w:p>
        </w:tc>
      </w:tr>
      <w:tr w14:paraId="1B89A7E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78" w:type="dxa"/>
            <w:tcBorders>
              <w:tl2br w:val="nil"/>
              <w:tr2bl w:val="nil"/>
            </w:tcBorders>
            <w:vAlign w:val="center"/>
          </w:tcPr>
          <w:p w14:paraId="49CFACA5">
            <w:pPr>
              <w:jc w:val="center"/>
            </w:pPr>
            <w:r>
              <w:t>3</w:t>
            </w:r>
          </w:p>
        </w:tc>
        <w:tc>
          <w:tcPr>
            <w:tcW w:w="774" w:type="dxa"/>
            <w:tcBorders>
              <w:tl2br w:val="nil"/>
              <w:tr2bl w:val="nil"/>
            </w:tcBorders>
            <w:vAlign w:val="center"/>
          </w:tcPr>
          <w:p w14:paraId="2BE4AECA">
            <w:pPr>
              <w:jc w:val="center"/>
            </w:pPr>
            <w:r>
              <w:t>6.05</w:t>
            </w:r>
          </w:p>
        </w:tc>
        <w:tc>
          <w:tcPr>
            <w:tcW w:w="776" w:type="dxa"/>
            <w:tcBorders>
              <w:tl2br w:val="nil"/>
              <w:tr2bl w:val="nil"/>
            </w:tcBorders>
            <w:vAlign w:val="center"/>
          </w:tcPr>
          <w:p w14:paraId="78006F7E">
            <w:pPr>
              <w:jc w:val="center"/>
            </w:pPr>
            <w:r>
              <w:t>7.39</w:t>
            </w:r>
          </w:p>
        </w:tc>
        <w:tc>
          <w:tcPr>
            <w:tcW w:w="775" w:type="dxa"/>
            <w:tcBorders>
              <w:tl2br w:val="nil"/>
              <w:tr2bl w:val="nil"/>
            </w:tcBorders>
            <w:vAlign w:val="center"/>
          </w:tcPr>
          <w:p w14:paraId="2A66F4BC">
            <w:pPr>
              <w:jc w:val="center"/>
            </w:pPr>
            <w:r>
              <w:t>4.57</w:t>
            </w:r>
          </w:p>
        </w:tc>
        <w:tc>
          <w:tcPr>
            <w:tcW w:w="776" w:type="dxa"/>
            <w:tcBorders>
              <w:tl2br w:val="nil"/>
              <w:tr2bl w:val="nil"/>
            </w:tcBorders>
            <w:vAlign w:val="center"/>
          </w:tcPr>
          <w:p w14:paraId="7E1211B3">
            <w:pPr>
              <w:jc w:val="center"/>
            </w:pPr>
            <w:r>
              <w:t>4.84</w:t>
            </w:r>
          </w:p>
        </w:tc>
        <w:tc>
          <w:tcPr>
            <w:tcW w:w="775" w:type="dxa"/>
            <w:tcBorders>
              <w:tl2br w:val="nil"/>
              <w:tr2bl w:val="nil"/>
            </w:tcBorders>
            <w:vAlign w:val="center"/>
          </w:tcPr>
          <w:p w14:paraId="025BF392">
            <w:pPr>
              <w:jc w:val="center"/>
            </w:pPr>
            <w:r>
              <w:t>3.23</w:t>
            </w:r>
          </w:p>
        </w:tc>
        <w:tc>
          <w:tcPr>
            <w:tcW w:w="775" w:type="dxa"/>
            <w:tcBorders>
              <w:tl2br w:val="nil"/>
              <w:tr2bl w:val="nil"/>
            </w:tcBorders>
            <w:vAlign w:val="center"/>
          </w:tcPr>
          <w:p w14:paraId="24C0FE1C">
            <w:pPr>
              <w:jc w:val="center"/>
            </w:pPr>
            <w:r>
              <w:t>0.67</w:t>
            </w:r>
          </w:p>
        </w:tc>
        <w:tc>
          <w:tcPr>
            <w:tcW w:w="775" w:type="dxa"/>
            <w:tcBorders>
              <w:tl2br w:val="nil"/>
              <w:tr2bl w:val="nil"/>
            </w:tcBorders>
            <w:vAlign w:val="center"/>
          </w:tcPr>
          <w:p w14:paraId="589CE484">
            <w:pPr>
              <w:jc w:val="center"/>
            </w:pPr>
            <w:r>
              <w:t>3.09</w:t>
            </w:r>
          </w:p>
        </w:tc>
        <w:tc>
          <w:tcPr>
            <w:tcW w:w="775" w:type="dxa"/>
            <w:tcBorders>
              <w:tl2br w:val="nil"/>
              <w:tr2bl w:val="nil"/>
            </w:tcBorders>
            <w:vAlign w:val="center"/>
          </w:tcPr>
          <w:p w14:paraId="3DC165C5">
            <w:pPr>
              <w:jc w:val="center"/>
            </w:pPr>
            <w:r>
              <w:t>3.36</w:t>
            </w:r>
          </w:p>
        </w:tc>
        <w:tc>
          <w:tcPr>
            <w:tcW w:w="776" w:type="dxa"/>
            <w:tcBorders>
              <w:tl2br w:val="nil"/>
              <w:tr2bl w:val="nil"/>
            </w:tcBorders>
            <w:vAlign w:val="center"/>
          </w:tcPr>
          <w:p w14:paraId="28AE5755">
            <w:pPr>
              <w:jc w:val="center"/>
            </w:pPr>
            <w:r>
              <w:t>6.45</w:t>
            </w:r>
          </w:p>
        </w:tc>
        <w:tc>
          <w:tcPr>
            <w:tcW w:w="775" w:type="dxa"/>
            <w:tcBorders>
              <w:tl2br w:val="nil"/>
              <w:tr2bl w:val="nil"/>
            </w:tcBorders>
            <w:vAlign w:val="center"/>
          </w:tcPr>
          <w:p w14:paraId="0842862D">
            <w:pPr>
              <w:jc w:val="center"/>
            </w:pPr>
            <w:r>
              <w:t>10.75</w:t>
            </w:r>
          </w:p>
        </w:tc>
        <w:tc>
          <w:tcPr>
            <w:tcW w:w="775" w:type="dxa"/>
            <w:tcBorders>
              <w:tl2br w:val="nil"/>
              <w:tr2bl w:val="nil"/>
            </w:tcBorders>
            <w:vAlign w:val="center"/>
          </w:tcPr>
          <w:p w14:paraId="48EC1404">
            <w:pPr>
              <w:jc w:val="center"/>
            </w:pPr>
            <w:r>
              <w:t>5. 11</w:t>
            </w:r>
          </w:p>
        </w:tc>
        <w:tc>
          <w:tcPr>
            <w:tcW w:w="778" w:type="dxa"/>
            <w:tcBorders>
              <w:tl2br w:val="nil"/>
              <w:tr2bl w:val="nil"/>
            </w:tcBorders>
            <w:vAlign w:val="center"/>
          </w:tcPr>
          <w:p w14:paraId="557A2C24">
            <w:pPr>
              <w:jc w:val="center"/>
            </w:pPr>
            <w:r>
              <w:t>3.36</w:t>
            </w:r>
          </w:p>
        </w:tc>
        <w:tc>
          <w:tcPr>
            <w:tcW w:w="777" w:type="dxa"/>
            <w:tcBorders>
              <w:tl2br w:val="nil"/>
              <w:tr2bl w:val="nil"/>
            </w:tcBorders>
            <w:vAlign w:val="center"/>
          </w:tcPr>
          <w:p w14:paraId="5F4B6A1D">
            <w:pPr>
              <w:jc w:val="center"/>
            </w:pPr>
            <w:r>
              <w:t>6.05</w:t>
            </w:r>
          </w:p>
        </w:tc>
        <w:tc>
          <w:tcPr>
            <w:tcW w:w="787" w:type="dxa"/>
            <w:tcBorders>
              <w:tl2br w:val="nil"/>
              <w:tr2bl w:val="nil"/>
            </w:tcBorders>
            <w:vAlign w:val="center"/>
          </w:tcPr>
          <w:p w14:paraId="3074B04A">
            <w:pPr>
              <w:jc w:val="center"/>
            </w:pPr>
            <w:r>
              <w:t>3.76</w:t>
            </w:r>
          </w:p>
        </w:tc>
        <w:tc>
          <w:tcPr>
            <w:tcW w:w="778" w:type="dxa"/>
            <w:tcBorders>
              <w:tl2br w:val="nil"/>
              <w:tr2bl w:val="nil"/>
            </w:tcBorders>
            <w:vAlign w:val="center"/>
          </w:tcPr>
          <w:p w14:paraId="722BB891">
            <w:pPr>
              <w:jc w:val="center"/>
            </w:pPr>
            <w:r>
              <w:t>10.89</w:t>
            </w:r>
          </w:p>
        </w:tc>
        <w:tc>
          <w:tcPr>
            <w:tcW w:w="777" w:type="dxa"/>
            <w:tcBorders>
              <w:tl2br w:val="nil"/>
              <w:tr2bl w:val="nil"/>
            </w:tcBorders>
            <w:vAlign w:val="center"/>
          </w:tcPr>
          <w:p w14:paraId="0B3A5FA8">
            <w:pPr>
              <w:jc w:val="center"/>
            </w:pPr>
            <w:r>
              <w:t>4.3</w:t>
            </w:r>
          </w:p>
        </w:tc>
        <w:tc>
          <w:tcPr>
            <w:tcW w:w="782" w:type="dxa"/>
            <w:tcBorders>
              <w:tl2br w:val="nil"/>
              <w:tr2bl w:val="nil"/>
            </w:tcBorders>
            <w:vAlign w:val="center"/>
          </w:tcPr>
          <w:p w14:paraId="4298C7C3">
            <w:pPr>
              <w:jc w:val="center"/>
            </w:pPr>
            <w:r>
              <w:t>16.13</w:t>
            </w:r>
          </w:p>
        </w:tc>
      </w:tr>
      <w:tr w14:paraId="199DE20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78" w:type="dxa"/>
            <w:tcBorders>
              <w:tl2br w:val="nil"/>
              <w:tr2bl w:val="nil"/>
            </w:tcBorders>
            <w:vAlign w:val="center"/>
          </w:tcPr>
          <w:p w14:paraId="5921D8B3">
            <w:pPr>
              <w:jc w:val="center"/>
            </w:pPr>
            <w:r>
              <w:t>4</w:t>
            </w:r>
          </w:p>
        </w:tc>
        <w:tc>
          <w:tcPr>
            <w:tcW w:w="774" w:type="dxa"/>
            <w:tcBorders>
              <w:tl2br w:val="nil"/>
              <w:tr2bl w:val="nil"/>
            </w:tcBorders>
            <w:vAlign w:val="center"/>
          </w:tcPr>
          <w:p w14:paraId="7776B1A5">
            <w:pPr>
              <w:jc w:val="center"/>
            </w:pPr>
            <w:r>
              <w:t>7.78</w:t>
            </w:r>
          </w:p>
        </w:tc>
        <w:tc>
          <w:tcPr>
            <w:tcW w:w="776" w:type="dxa"/>
            <w:tcBorders>
              <w:tl2br w:val="nil"/>
              <w:tr2bl w:val="nil"/>
            </w:tcBorders>
            <w:vAlign w:val="center"/>
          </w:tcPr>
          <w:p w14:paraId="581DC943">
            <w:pPr>
              <w:jc w:val="center"/>
            </w:pPr>
            <w:r>
              <w:t>7.22</w:t>
            </w:r>
          </w:p>
        </w:tc>
        <w:tc>
          <w:tcPr>
            <w:tcW w:w="775" w:type="dxa"/>
            <w:tcBorders>
              <w:tl2br w:val="nil"/>
              <w:tr2bl w:val="nil"/>
            </w:tcBorders>
            <w:vAlign w:val="center"/>
          </w:tcPr>
          <w:p w14:paraId="73C40FEE">
            <w:pPr>
              <w:jc w:val="center"/>
            </w:pPr>
            <w:r>
              <w:t>4.72</w:t>
            </w:r>
          </w:p>
        </w:tc>
        <w:tc>
          <w:tcPr>
            <w:tcW w:w="776" w:type="dxa"/>
            <w:tcBorders>
              <w:tl2br w:val="nil"/>
              <w:tr2bl w:val="nil"/>
            </w:tcBorders>
            <w:vAlign w:val="center"/>
          </w:tcPr>
          <w:p w14:paraId="6AE5B9DB">
            <w:pPr>
              <w:jc w:val="center"/>
            </w:pPr>
            <w:r>
              <w:t>4.58</w:t>
            </w:r>
          </w:p>
        </w:tc>
        <w:tc>
          <w:tcPr>
            <w:tcW w:w="775" w:type="dxa"/>
            <w:tcBorders>
              <w:tl2br w:val="nil"/>
              <w:tr2bl w:val="nil"/>
            </w:tcBorders>
            <w:vAlign w:val="center"/>
          </w:tcPr>
          <w:p w14:paraId="577927B7">
            <w:pPr>
              <w:jc w:val="center"/>
            </w:pPr>
            <w:r>
              <w:t>2.64</w:t>
            </w:r>
          </w:p>
        </w:tc>
        <w:tc>
          <w:tcPr>
            <w:tcW w:w="775" w:type="dxa"/>
            <w:tcBorders>
              <w:tl2br w:val="nil"/>
              <w:tr2bl w:val="nil"/>
            </w:tcBorders>
            <w:vAlign w:val="center"/>
          </w:tcPr>
          <w:p w14:paraId="246E83F4">
            <w:pPr>
              <w:jc w:val="center"/>
            </w:pPr>
            <w:r>
              <w:t>3.19</w:t>
            </w:r>
          </w:p>
        </w:tc>
        <w:tc>
          <w:tcPr>
            <w:tcW w:w="775" w:type="dxa"/>
            <w:tcBorders>
              <w:tl2br w:val="nil"/>
              <w:tr2bl w:val="nil"/>
            </w:tcBorders>
            <w:vAlign w:val="center"/>
          </w:tcPr>
          <w:p w14:paraId="73E4623C">
            <w:pPr>
              <w:jc w:val="center"/>
            </w:pPr>
            <w:r>
              <w:t>5.83</w:t>
            </w:r>
          </w:p>
        </w:tc>
        <w:tc>
          <w:tcPr>
            <w:tcW w:w="775" w:type="dxa"/>
            <w:tcBorders>
              <w:tl2br w:val="nil"/>
              <w:tr2bl w:val="nil"/>
            </w:tcBorders>
            <w:vAlign w:val="center"/>
          </w:tcPr>
          <w:p w14:paraId="79A2AE92">
            <w:pPr>
              <w:jc w:val="center"/>
            </w:pPr>
            <w:r>
              <w:t>5.56</w:t>
            </w:r>
          </w:p>
        </w:tc>
        <w:tc>
          <w:tcPr>
            <w:tcW w:w="776" w:type="dxa"/>
            <w:tcBorders>
              <w:tl2br w:val="nil"/>
              <w:tr2bl w:val="nil"/>
            </w:tcBorders>
            <w:vAlign w:val="center"/>
          </w:tcPr>
          <w:p w14:paraId="274EE022">
            <w:pPr>
              <w:jc w:val="center"/>
            </w:pPr>
            <w:r>
              <w:t>5.83</w:t>
            </w:r>
          </w:p>
        </w:tc>
        <w:tc>
          <w:tcPr>
            <w:tcW w:w="775" w:type="dxa"/>
            <w:tcBorders>
              <w:tl2br w:val="nil"/>
              <w:tr2bl w:val="nil"/>
            </w:tcBorders>
            <w:vAlign w:val="center"/>
          </w:tcPr>
          <w:p w14:paraId="123507AB">
            <w:pPr>
              <w:jc w:val="center"/>
            </w:pPr>
            <w:r>
              <w:t>7.36</w:t>
            </w:r>
          </w:p>
        </w:tc>
        <w:tc>
          <w:tcPr>
            <w:tcW w:w="775" w:type="dxa"/>
            <w:tcBorders>
              <w:tl2br w:val="nil"/>
              <w:tr2bl w:val="nil"/>
            </w:tcBorders>
            <w:vAlign w:val="center"/>
          </w:tcPr>
          <w:p w14:paraId="19F08BA3">
            <w:pPr>
              <w:jc w:val="center"/>
            </w:pPr>
            <w:r>
              <w:t>3.06</w:t>
            </w:r>
          </w:p>
        </w:tc>
        <w:tc>
          <w:tcPr>
            <w:tcW w:w="778" w:type="dxa"/>
            <w:tcBorders>
              <w:tl2br w:val="nil"/>
              <w:tr2bl w:val="nil"/>
            </w:tcBorders>
            <w:vAlign w:val="center"/>
          </w:tcPr>
          <w:p w14:paraId="34A30386">
            <w:pPr>
              <w:jc w:val="center"/>
            </w:pPr>
            <w:r>
              <w:t>4.31</w:t>
            </w:r>
          </w:p>
        </w:tc>
        <w:tc>
          <w:tcPr>
            <w:tcW w:w="777" w:type="dxa"/>
            <w:tcBorders>
              <w:tl2br w:val="nil"/>
              <w:tr2bl w:val="nil"/>
            </w:tcBorders>
            <w:vAlign w:val="center"/>
          </w:tcPr>
          <w:p w14:paraId="34B1588C">
            <w:pPr>
              <w:jc w:val="center"/>
            </w:pPr>
            <w:r>
              <w:t>5.42</w:t>
            </w:r>
          </w:p>
        </w:tc>
        <w:tc>
          <w:tcPr>
            <w:tcW w:w="787" w:type="dxa"/>
            <w:tcBorders>
              <w:tl2br w:val="nil"/>
              <w:tr2bl w:val="nil"/>
            </w:tcBorders>
            <w:vAlign w:val="center"/>
          </w:tcPr>
          <w:p w14:paraId="60D3719F">
            <w:pPr>
              <w:jc w:val="center"/>
            </w:pPr>
            <w:r>
              <w:t>3.61</w:t>
            </w:r>
          </w:p>
        </w:tc>
        <w:tc>
          <w:tcPr>
            <w:tcW w:w="778" w:type="dxa"/>
            <w:tcBorders>
              <w:tl2br w:val="nil"/>
              <w:tr2bl w:val="nil"/>
            </w:tcBorders>
            <w:vAlign w:val="center"/>
          </w:tcPr>
          <w:p w14:paraId="450E448E">
            <w:pPr>
              <w:jc w:val="center"/>
            </w:pPr>
            <w:r>
              <w:t>7.92</w:t>
            </w:r>
          </w:p>
        </w:tc>
        <w:tc>
          <w:tcPr>
            <w:tcW w:w="777" w:type="dxa"/>
            <w:tcBorders>
              <w:tl2br w:val="nil"/>
              <w:tr2bl w:val="nil"/>
            </w:tcBorders>
            <w:vAlign w:val="center"/>
          </w:tcPr>
          <w:p w14:paraId="76FA2628">
            <w:pPr>
              <w:jc w:val="center"/>
            </w:pPr>
            <w:r>
              <w:t>5. 14</w:t>
            </w:r>
          </w:p>
        </w:tc>
        <w:tc>
          <w:tcPr>
            <w:tcW w:w="782" w:type="dxa"/>
            <w:tcBorders>
              <w:tl2br w:val="nil"/>
              <w:tr2bl w:val="nil"/>
            </w:tcBorders>
            <w:vAlign w:val="center"/>
          </w:tcPr>
          <w:p w14:paraId="3F5474AE">
            <w:pPr>
              <w:jc w:val="center"/>
            </w:pPr>
            <w:r>
              <w:t>15.83</w:t>
            </w:r>
          </w:p>
        </w:tc>
      </w:tr>
      <w:tr w14:paraId="25E77025">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78" w:type="dxa"/>
            <w:tcBorders>
              <w:tl2br w:val="nil"/>
              <w:tr2bl w:val="nil"/>
            </w:tcBorders>
            <w:vAlign w:val="center"/>
          </w:tcPr>
          <w:p w14:paraId="67872BB7">
            <w:pPr>
              <w:jc w:val="center"/>
            </w:pPr>
            <w:r>
              <w:t>5</w:t>
            </w:r>
          </w:p>
        </w:tc>
        <w:tc>
          <w:tcPr>
            <w:tcW w:w="774" w:type="dxa"/>
            <w:tcBorders>
              <w:tl2br w:val="nil"/>
              <w:tr2bl w:val="nil"/>
            </w:tcBorders>
            <w:vAlign w:val="center"/>
          </w:tcPr>
          <w:p w14:paraId="390A5613">
            <w:pPr>
              <w:jc w:val="center"/>
            </w:pPr>
            <w:r>
              <w:t>4.57</w:t>
            </w:r>
          </w:p>
        </w:tc>
        <w:tc>
          <w:tcPr>
            <w:tcW w:w="776" w:type="dxa"/>
            <w:tcBorders>
              <w:tl2br w:val="nil"/>
              <w:tr2bl w:val="nil"/>
            </w:tcBorders>
            <w:vAlign w:val="center"/>
          </w:tcPr>
          <w:p w14:paraId="516CE116">
            <w:pPr>
              <w:jc w:val="center"/>
            </w:pPr>
            <w:r>
              <w:t>7. 12</w:t>
            </w:r>
          </w:p>
        </w:tc>
        <w:tc>
          <w:tcPr>
            <w:tcW w:w="775" w:type="dxa"/>
            <w:tcBorders>
              <w:tl2br w:val="nil"/>
              <w:tr2bl w:val="nil"/>
            </w:tcBorders>
            <w:vAlign w:val="center"/>
          </w:tcPr>
          <w:p w14:paraId="7A27B85B">
            <w:pPr>
              <w:jc w:val="center"/>
            </w:pPr>
            <w:r>
              <w:t>4.17</w:t>
            </w:r>
          </w:p>
        </w:tc>
        <w:tc>
          <w:tcPr>
            <w:tcW w:w="776" w:type="dxa"/>
            <w:tcBorders>
              <w:tl2br w:val="nil"/>
              <w:tr2bl w:val="nil"/>
            </w:tcBorders>
            <w:vAlign w:val="center"/>
          </w:tcPr>
          <w:p w14:paraId="01681AA8">
            <w:pPr>
              <w:jc w:val="center"/>
            </w:pPr>
            <w:r>
              <w:t>5. 11</w:t>
            </w:r>
          </w:p>
        </w:tc>
        <w:tc>
          <w:tcPr>
            <w:tcW w:w="775" w:type="dxa"/>
            <w:tcBorders>
              <w:tl2br w:val="nil"/>
              <w:tr2bl w:val="nil"/>
            </w:tcBorders>
            <w:vAlign w:val="center"/>
          </w:tcPr>
          <w:p w14:paraId="7A1C51A5">
            <w:pPr>
              <w:jc w:val="center"/>
            </w:pPr>
            <w:r>
              <w:t>1.88</w:t>
            </w:r>
          </w:p>
        </w:tc>
        <w:tc>
          <w:tcPr>
            <w:tcW w:w="775" w:type="dxa"/>
            <w:tcBorders>
              <w:tl2br w:val="nil"/>
              <w:tr2bl w:val="nil"/>
            </w:tcBorders>
            <w:vAlign w:val="center"/>
          </w:tcPr>
          <w:p w14:paraId="72D4CC21">
            <w:pPr>
              <w:jc w:val="center"/>
            </w:pPr>
            <w:r>
              <w:t>2.28</w:t>
            </w:r>
          </w:p>
        </w:tc>
        <w:tc>
          <w:tcPr>
            <w:tcW w:w="775" w:type="dxa"/>
            <w:tcBorders>
              <w:tl2br w:val="nil"/>
              <w:tr2bl w:val="nil"/>
            </w:tcBorders>
            <w:vAlign w:val="center"/>
          </w:tcPr>
          <w:p w14:paraId="49F0787A">
            <w:pPr>
              <w:jc w:val="center"/>
            </w:pPr>
            <w:r>
              <w:t>6.85</w:t>
            </w:r>
          </w:p>
        </w:tc>
        <w:tc>
          <w:tcPr>
            <w:tcW w:w="775" w:type="dxa"/>
            <w:tcBorders>
              <w:tl2br w:val="nil"/>
              <w:tr2bl w:val="nil"/>
            </w:tcBorders>
            <w:vAlign w:val="center"/>
          </w:tcPr>
          <w:p w14:paraId="026D1BA8">
            <w:pPr>
              <w:jc w:val="center"/>
            </w:pPr>
            <w:r>
              <w:t>6.72</w:t>
            </w:r>
          </w:p>
        </w:tc>
        <w:tc>
          <w:tcPr>
            <w:tcW w:w="776" w:type="dxa"/>
            <w:tcBorders>
              <w:tl2br w:val="nil"/>
              <w:tr2bl w:val="nil"/>
            </w:tcBorders>
            <w:vAlign w:val="center"/>
          </w:tcPr>
          <w:p w14:paraId="7018B340">
            <w:pPr>
              <w:jc w:val="center"/>
            </w:pPr>
            <w:r>
              <w:t>7.66</w:t>
            </w:r>
          </w:p>
        </w:tc>
        <w:tc>
          <w:tcPr>
            <w:tcW w:w="775" w:type="dxa"/>
            <w:tcBorders>
              <w:tl2br w:val="nil"/>
              <w:tr2bl w:val="nil"/>
            </w:tcBorders>
            <w:vAlign w:val="center"/>
          </w:tcPr>
          <w:p w14:paraId="0014EFBE">
            <w:pPr>
              <w:jc w:val="center"/>
            </w:pPr>
            <w:r>
              <w:t>8.87</w:t>
            </w:r>
          </w:p>
        </w:tc>
        <w:tc>
          <w:tcPr>
            <w:tcW w:w="775" w:type="dxa"/>
            <w:tcBorders>
              <w:tl2br w:val="nil"/>
              <w:tr2bl w:val="nil"/>
            </w:tcBorders>
            <w:vAlign w:val="center"/>
          </w:tcPr>
          <w:p w14:paraId="1D75C1CC">
            <w:pPr>
              <w:jc w:val="center"/>
            </w:pPr>
            <w:r>
              <w:t>5.24</w:t>
            </w:r>
          </w:p>
        </w:tc>
        <w:tc>
          <w:tcPr>
            <w:tcW w:w="778" w:type="dxa"/>
            <w:tcBorders>
              <w:tl2br w:val="nil"/>
              <w:tr2bl w:val="nil"/>
            </w:tcBorders>
            <w:vAlign w:val="center"/>
          </w:tcPr>
          <w:p w14:paraId="5EC9A1CD">
            <w:pPr>
              <w:jc w:val="center"/>
            </w:pPr>
            <w:r>
              <w:t>4.17</w:t>
            </w:r>
          </w:p>
        </w:tc>
        <w:tc>
          <w:tcPr>
            <w:tcW w:w="777" w:type="dxa"/>
            <w:tcBorders>
              <w:tl2br w:val="nil"/>
              <w:tr2bl w:val="nil"/>
            </w:tcBorders>
            <w:vAlign w:val="center"/>
          </w:tcPr>
          <w:p w14:paraId="7DF6FB86">
            <w:pPr>
              <w:jc w:val="center"/>
            </w:pPr>
            <w:r>
              <w:t>4.7</w:t>
            </w:r>
          </w:p>
        </w:tc>
        <w:tc>
          <w:tcPr>
            <w:tcW w:w="787" w:type="dxa"/>
            <w:tcBorders>
              <w:tl2br w:val="nil"/>
              <w:tr2bl w:val="nil"/>
            </w:tcBorders>
            <w:vAlign w:val="center"/>
          </w:tcPr>
          <w:p w14:paraId="5C49FED6">
            <w:pPr>
              <w:jc w:val="center"/>
            </w:pPr>
            <w:r>
              <w:t>1.21</w:t>
            </w:r>
          </w:p>
        </w:tc>
        <w:tc>
          <w:tcPr>
            <w:tcW w:w="778" w:type="dxa"/>
            <w:tcBorders>
              <w:tl2br w:val="nil"/>
              <w:tr2bl w:val="nil"/>
            </w:tcBorders>
            <w:vAlign w:val="center"/>
          </w:tcPr>
          <w:p w14:paraId="4ABE9192">
            <w:pPr>
              <w:jc w:val="center"/>
            </w:pPr>
            <w:r>
              <w:t>3.09</w:t>
            </w:r>
          </w:p>
        </w:tc>
        <w:tc>
          <w:tcPr>
            <w:tcW w:w="777" w:type="dxa"/>
            <w:tcBorders>
              <w:tl2br w:val="nil"/>
              <w:tr2bl w:val="nil"/>
            </w:tcBorders>
            <w:vAlign w:val="center"/>
          </w:tcPr>
          <w:p w14:paraId="5C94566D">
            <w:pPr>
              <w:jc w:val="center"/>
            </w:pPr>
            <w:r>
              <w:t>2.42</w:t>
            </w:r>
          </w:p>
        </w:tc>
        <w:tc>
          <w:tcPr>
            <w:tcW w:w="782" w:type="dxa"/>
            <w:tcBorders>
              <w:tl2br w:val="nil"/>
              <w:tr2bl w:val="nil"/>
            </w:tcBorders>
            <w:vAlign w:val="center"/>
          </w:tcPr>
          <w:p w14:paraId="58BBDD50">
            <w:pPr>
              <w:jc w:val="center"/>
            </w:pPr>
            <w:r>
              <w:t>23.92</w:t>
            </w:r>
          </w:p>
        </w:tc>
      </w:tr>
      <w:tr w14:paraId="1F448863">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8" w:hRule="atLeast"/>
        </w:trPr>
        <w:tc>
          <w:tcPr>
            <w:tcW w:w="778" w:type="dxa"/>
            <w:tcBorders>
              <w:tl2br w:val="nil"/>
              <w:tr2bl w:val="nil"/>
            </w:tcBorders>
            <w:vAlign w:val="center"/>
          </w:tcPr>
          <w:p w14:paraId="6467F16E">
            <w:pPr>
              <w:jc w:val="center"/>
            </w:pPr>
            <w:r>
              <w:t>6</w:t>
            </w:r>
          </w:p>
        </w:tc>
        <w:tc>
          <w:tcPr>
            <w:tcW w:w="774" w:type="dxa"/>
            <w:tcBorders>
              <w:tl2br w:val="nil"/>
              <w:tr2bl w:val="nil"/>
            </w:tcBorders>
            <w:vAlign w:val="center"/>
          </w:tcPr>
          <w:p w14:paraId="7A938944">
            <w:pPr>
              <w:jc w:val="center"/>
            </w:pPr>
            <w:r>
              <w:t>2.92</w:t>
            </w:r>
          </w:p>
        </w:tc>
        <w:tc>
          <w:tcPr>
            <w:tcW w:w="776" w:type="dxa"/>
            <w:tcBorders>
              <w:tl2br w:val="nil"/>
              <w:tr2bl w:val="nil"/>
            </w:tcBorders>
            <w:vAlign w:val="center"/>
          </w:tcPr>
          <w:p w14:paraId="39A08841">
            <w:pPr>
              <w:jc w:val="center"/>
            </w:pPr>
            <w:r>
              <w:t>6.39</w:t>
            </w:r>
          </w:p>
        </w:tc>
        <w:tc>
          <w:tcPr>
            <w:tcW w:w="775" w:type="dxa"/>
            <w:tcBorders>
              <w:tl2br w:val="nil"/>
              <w:tr2bl w:val="nil"/>
            </w:tcBorders>
            <w:vAlign w:val="center"/>
          </w:tcPr>
          <w:p w14:paraId="190C0967">
            <w:pPr>
              <w:jc w:val="center"/>
            </w:pPr>
            <w:r>
              <w:t>3.19</w:t>
            </w:r>
          </w:p>
        </w:tc>
        <w:tc>
          <w:tcPr>
            <w:tcW w:w="776" w:type="dxa"/>
            <w:tcBorders>
              <w:tl2br w:val="nil"/>
              <w:tr2bl w:val="nil"/>
            </w:tcBorders>
            <w:vAlign w:val="center"/>
          </w:tcPr>
          <w:p w14:paraId="3BD23340">
            <w:pPr>
              <w:jc w:val="center"/>
            </w:pPr>
            <w:r>
              <w:t>2.78</w:t>
            </w:r>
          </w:p>
        </w:tc>
        <w:tc>
          <w:tcPr>
            <w:tcW w:w="775" w:type="dxa"/>
            <w:tcBorders>
              <w:tl2br w:val="nil"/>
              <w:tr2bl w:val="nil"/>
            </w:tcBorders>
            <w:vAlign w:val="center"/>
          </w:tcPr>
          <w:p w14:paraId="7AD61CE5">
            <w:pPr>
              <w:jc w:val="center"/>
            </w:pPr>
            <w:r>
              <w:t>3.61</w:t>
            </w:r>
          </w:p>
        </w:tc>
        <w:tc>
          <w:tcPr>
            <w:tcW w:w="775" w:type="dxa"/>
            <w:tcBorders>
              <w:tl2br w:val="nil"/>
              <w:tr2bl w:val="nil"/>
            </w:tcBorders>
            <w:vAlign w:val="center"/>
          </w:tcPr>
          <w:p w14:paraId="74869483">
            <w:pPr>
              <w:jc w:val="center"/>
            </w:pPr>
            <w:r>
              <w:t>2.5</w:t>
            </w:r>
          </w:p>
        </w:tc>
        <w:tc>
          <w:tcPr>
            <w:tcW w:w="775" w:type="dxa"/>
            <w:tcBorders>
              <w:tl2br w:val="nil"/>
              <w:tr2bl w:val="nil"/>
            </w:tcBorders>
            <w:vAlign w:val="center"/>
          </w:tcPr>
          <w:p w14:paraId="0446D55A">
            <w:pPr>
              <w:jc w:val="center"/>
            </w:pPr>
            <w:r>
              <w:t>5</w:t>
            </w:r>
          </w:p>
        </w:tc>
        <w:tc>
          <w:tcPr>
            <w:tcW w:w="775" w:type="dxa"/>
            <w:tcBorders>
              <w:tl2br w:val="nil"/>
              <w:tr2bl w:val="nil"/>
            </w:tcBorders>
            <w:vAlign w:val="center"/>
          </w:tcPr>
          <w:p w14:paraId="32C72159">
            <w:pPr>
              <w:jc w:val="center"/>
            </w:pPr>
            <w:r>
              <w:t>4.86</w:t>
            </w:r>
          </w:p>
        </w:tc>
        <w:tc>
          <w:tcPr>
            <w:tcW w:w="776" w:type="dxa"/>
            <w:tcBorders>
              <w:tl2br w:val="nil"/>
              <w:tr2bl w:val="nil"/>
            </w:tcBorders>
            <w:vAlign w:val="center"/>
          </w:tcPr>
          <w:p w14:paraId="0CD35F35">
            <w:pPr>
              <w:jc w:val="center"/>
            </w:pPr>
            <w:r>
              <w:t>5. 14</w:t>
            </w:r>
          </w:p>
        </w:tc>
        <w:tc>
          <w:tcPr>
            <w:tcW w:w="775" w:type="dxa"/>
            <w:tcBorders>
              <w:tl2br w:val="nil"/>
              <w:tr2bl w:val="nil"/>
            </w:tcBorders>
            <w:vAlign w:val="center"/>
          </w:tcPr>
          <w:p w14:paraId="1EBD98AD">
            <w:pPr>
              <w:jc w:val="center"/>
            </w:pPr>
            <w:r>
              <w:t>7.22</w:t>
            </w:r>
          </w:p>
        </w:tc>
        <w:tc>
          <w:tcPr>
            <w:tcW w:w="775" w:type="dxa"/>
            <w:tcBorders>
              <w:tl2br w:val="nil"/>
              <w:tr2bl w:val="nil"/>
            </w:tcBorders>
            <w:vAlign w:val="center"/>
          </w:tcPr>
          <w:p w14:paraId="78026178">
            <w:pPr>
              <w:jc w:val="center"/>
            </w:pPr>
            <w:r>
              <w:t>4.31</w:t>
            </w:r>
          </w:p>
        </w:tc>
        <w:tc>
          <w:tcPr>
            <w:tcW w:w="778" w:type="dxa"/>
            <w:tcBorders>
              <w:tl2br w:val="nil"/>
              <w:tr2bl w:val="nil"/>
            </w:tcBorders>
            <w:vAlign w:val="center"/>
          </w:tcPr>
          <w:p w14:paraId="5738ECD3">
            <w:pPr>
              <w:jc w:val="center"/>
            </w:pPr>
            <w:r>
              <w:t>5. 14</w:t>
            </w:r>
          </w:p>
        </w:tc>
        <w:tc>
          <w:tcPr>
            <w:tcW w:w="777" w:type="dxa"/>
            <w:tcBorders>
              <w:tl2br w:val="nil"/>
              <w:tr2bl w:val="nil"/>
            </w:tcBorders>
            <w:vAlign w:val="center"/>
          </w:tcPr>
          <w:p w14:paraId="1FDDCEF3">
            <w:pPr>
              <w:jc w:val="center"/>
            </w:pPr>
            <w:r>
              <w:t>6.39</w:t>
            </w:r>
          </w:p>
        </w:tc>
        <w:tc>
          <w:tcPr>
            <w:tcW w:w="787" w:type="dxa"/>
            <w:tcBorders>
              <w:tl2br w:val="nil"/>
              <w:tr2bl w:val="nil"/>
            </w:tcBorders>
            <w:vAlign w:val="center"/>
          </w:tcPr>
          <w:p w14:paraId="28A0B26E">
            <w:pPr>
              <w:jc w:val="center"/>
            </w:pPr>
            <w:r>
              <w:t>3.61</w:t>
            </w:r>
          </w:p>
        </w:tc>
        <w:tc>
          <w:tcPr>
            <w:tcW w:w="778" w:type="dxa"/>
            <w:tcBorders>
              <w:tl2br w:val="nil"/>
              <w:tr2bl w:val="nil"/>
            </w:tcBorders>
            <w:vAlign w:val="center"/>
          </w:tcPr>
          <w:p w14:paraId="08B43AF0">
            <w:pPr>
              <w:jc w:val="center"/>
            </w:pPr>
            <w:r>
              <w:t>3.75</w:t>
            </w:r>
          </w:p>
        </w:tc>
        <w:tc>
          <w:tcPr>
            <w:tcW w:w="777" w:type="dxa"/>
            <w:tcBorders>
              <w:tl2br w:val="nil"/>
              <w:tr2bl w:val="nil"/>
            </w:tcBorders>
            <w:vAlign w:val="center"/>
          </w:tcPr>
          <w:p w14:paraId="2A5E67CB">
            <w:pPr>
              <w:jc w:val="center"/>
            </w:pPr>
            <w:r>
              <w:t>2.78</w:t>
            </w:r>
          </w:p>
        </w:tc>
        <w:tc>
          <w:tcPr>
            <w:tcW w:w="782" w:type="dxa"/>
            <w:tcBorders>
              <w:tl2br w:val="nil"/>
              <w:tr2bl w:val="nil"/>
            </w:tcBorders>
            <w:vAlign w:val="center"/>
          </w:tcPr>
          <w:p w14:paraId="5BE1EE07">
            <w:pPr>
              <w:jc w:val="center"/>
            </w:pPr>
            <w:r>
              <w:t>30.42</w:t>
            </w:r>
          </w:p>
        </w:tc>
      </w:tr>
      <w:tr w14:paraId="76C78EFE">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78" w:type="dxa"/>
            <w:tcBorders>
              <w:tl2br w:val="nil"/>
              <w:tr2bl w:val="nil"/>
            </w:tcBorders>
            <w:vAlign w:val="center"/>
          </w:tcPr>
          <w:p w14:paraId="07915CBD">
            <w:pPr>
              <w:jc w:val="center"/>
            </w:pPr>
            <w:r>
              <w:t>7</w:t>
            </w:r>
          </w:p>
        </w:tc>
        <w:tc>
          <w:tcPr>
            <w:tcW w:w="774" w:type="dxa"/>
            <w:tcBorders>
              <w:tl2br w:val="nil"/>
              <w:tr2bl w:val="nil"/>
            </w:tcBorders>
            <w:vAlign w:val="center"/>
          </w:tcPr>
          <w:p w14:paraId="1519B63D">
            <w:pPr>
              <w:jc w:val="center"/>
            </w:pPr>
            <w:r>
              <w:t>2.28</w:t>
            </w:r>
          </w:p>
        </w:tc>
        <w:tc>
          <w:tcPr>
            <w:tcW w:w="776" w:type="dxa"/>
            <w:tcBorders>
              <w:tl2br w:val="nil"/>
              <w:tr2bl w:val="nil"/>
            </w:tcBorders>
            <w:vAlign w:val="center"/>
          </w:tcPr>
          <w:p w14:paraId="0BD38D9C">
            <w:pPr>
              <w:jc w:val="center"/>
            </w:pPr>
            <w:r>
              <w:t>4.17</w:t>
            </w:r>
          </w:p>
        </w:tc>
        <w:tc>
          <w:tcPr>
            <w:tcW w:w="775" w:type="dxa"/>
            <w:tcBorders>
              <w:tl2br w:val="nil"/>
              <w:tr2bl w:val="nil"/>
            </w:tcBorders>
            <w:vAlign w:val="center"/>
          </w:tcPr>
          <w:p w14:paraId="3DDF7913">
            <w:pPr>
              <w:jc w:val="center"/>
            </w:pPr>
            <w:r>
              <w:t>1.88</w:t>
            </w:r>
          </w:p>
        </w:tc>
        <w:tc>
          <w:tcPr>
            <w:tcW w:w="776" w:type="dxa"/>
            <w:tcBorders>
              <w:tl2br w:val="nil"/>
              <w:tr2bl w:val="nil"/>
            </w:tcBorders>
            <w:vAlign w:val="center"/>
          </w:tcPr>
          <w:p w14:paraId="7F8EB57A">
            <w:pPr>
              <w:jc w:val="center"/>
            </w:pPr>
            <w:r>
              <w:t>2.96</w:t>
            </w:r>
          </w:p>
        </w:tc>
        <w:tc>
          <w:tcPr>
            <w:tcW w:w="775" w:type="dxa"/>
            <w:tcBorders>
              <w:tl2br w:val="nil"/>
              <w:tr2bl w:val="nil"/>
            </w:tcBorders>
            <w:vAlign w:val="center"/>
          </w:tcPr>
          <w:p w14:paraId="67E55858">
            <w:pPr>
              <w:jc w:val="center"/>
            </w:pPr>
            <w:r>
              <w:t>2.02</w:t>
            </w:r>
          </w:p>
        </w:tc>
        <w:tc>
          <w:tcPr>
            <w:tcW w:w="775" w:type="dxa"/>
            <w:tcBorders>
              <w:tl2br w:val="nil"/>
              <w:tr2bl w:val="nil"/>
            </w:tcBorders>
            <w:vAlign w:val="center"/>
          </w:tcPr>
          <w:p w14:paraId="35ED82B3">
            <w:pPr>
              <w:jc w:val="center"/>
            </w:pPr>
            <w:r>
              <w:t>2.02</w:t>
            </w:r>
          </w:p>
        </w:tc>
        <w:tc>
          <w:tcPr>
            <w:tcW w:w="775" w:type="dxa"/>
            <w:tcBorders>
              <w:tl2br w:val="nil"/>
              <w:tr2bl w:val="nil"/>
            </w:tcBorders>
            <w:vAlign w:val="center"/>
          </w:tcPr>
          <w:p w14:paraId="11F56B5F">
            <w:pPr>
              <w:jc w:val="center"/>
            </w:pPr>
            <w:r>
              <w:t>7.8</w:t>
            </w:r>
          </w:p>
        </w:tc>
        <w:tc>
          <w:tcPr>
            <w:tcW w:w="775" w:type="dxa"/>
            <w:tcBorders>
              <w:tl2br w:val="nil"/>
              <w:tr2bl w:val="nil"/>
            </w:tcBorders>
            <w:vAlign w:val="center"/>
          </w:tcPr>
          <w:p w14:paraId="49D4D410">
            <w:pPr>
              <w:jc w:val="center"/>
            </w:pPr>
            <w:r>
              <w:t>13.31</w:t>
            </w:r>
          </w:p>
        </w:tc>
        <w:tc>
          <w:tcPr>
            <w:tcW w:w="776" w:type="dxa"/>
            <w:tcBorders>
              <w:tl2br w:val="nil"/>
              <w:tr2bl w:val="nil"/>
            </w:tcBorders>
            <w:vAlign w:val="center"/>
          </w:tcPr>
          <w:p w14:paraId="16631F02">
            <w:pPr>
              <w:jc w:val="center"/>
            </w:pPr>
            <w:r>
              <w:t>10.08</w:t>
            </w:r>
          </w:p>
        </w:tc>
        <w:tc>
          <w:tcPr>
            <w:tcW w:w="775" w:type="dxa"/>
            <w:tcBorders>
              <w:tl2br w:val="nil"/>
              <w:tr2bl w:val="nil"/>
            </w:tcBorders>
            <w:vAlign w:val="center"/>
          </w:tcPr>
          <w:p w14:paraId="6060C01F">
            <w:pPr>
              <w:jc w:val="center"/>
            </w:pPr>
            <w:r>
              <w:t>8.74</w:t>
            </w:r>
          </w:p>
        </w:tc>
        <w:tc>
          <w:tcPr>
            <w:tcW w:w="775" w:type="dxa"/>
            <w:tcBorders>
              <w:tl2br w:val="nil"/>
              <w:tr2bl w:val="nil"/>
            </w:tcBorders>
            <w:vAlign w:val="center"/>
          </w:tcPr>
          <w:p w14:paraId="14CEEDC8">
            <w:pPr>
              <w:jc w:val="center"/>
            </w:pPr>
            <w:r>
              <w:t>2.42</w:t>
            </w:r>
          </w:p>
        </w:tc>
        <w:tc>
          <w:tcPr>
            <w:tcW w:w="778" w:type="dxa"/>
            <w:tcBorders>
              <w:tl2br w:val="nil"/>
              <w:tr2bl w:val="nil"/>
            </w:tcBorders>
            <w:vAlign w:val="center"/>
          </w:tcPr>
          <w:p w14:paraId="6C6C5419">
            <w:pPr>
              <w:jc w:val="center"/>
            </w:pPr>
            <w:r>
              <w:t>3.9</w:t>
            </w:r>
          </w:p>
        </w:tc>
        <w:tc>
          <w:tcPr>
            <w:tcW w:w="777" w:type="dxa"/>
            <w:tcBorders>
              <w:tl2br w:val="nil"/>
              <w:tr2bl w:val="nil"/>
            </w:tcBorders>
            <w:vAlign w:val="center"/>
          </w:tcPr>
          <w:p w14:paraId="0D9F1FAD">
            <w:pPr>
              <w:jc w:val="center"/>
            </w:pPr>
            <w:r>
              <w:t>4.57</w:t>
            </w:r>
          </w:p>
        </w:tc>
        <w:tc>
          <w:tcPr>
            <w:tcW w:w="787" w:type="dxa"/>
            <w:tcBorders>
              <w:tl2br w:val="nil"/>
              <w:tr2bl w:val="nil"/>
            </w:tcBorders>
            <w:vAlign w:val="center"/>
          </w:tcPr>
          <w:p w14:paraId="37C85424">
            <w:pPr>
              <w:jc w:val="center"/>
            </w:pPr>
            <w:r>
              <w:t>0.94</w:t>
            </w:r>
          </w:p>
        </w:tc>
        <w:tc>
          <w:tcPr>
            <w:tcW w:w="778" w:type="dxa"/>
            <w:tcBorders>
              <w:tl2br w:val="nil"/>
              <w:tr2bl w:val="nil"/>
            </w:tcBorders>
            <w:vAlign w:val="center"/>
          </w:tcPr>
          <w:p w14:paraId="0586F995">
            <w:pPr>
              <w:jc w:val="center"/>
            </w:pPr>
            <w:r>
              <w:t>2.96</w:t>
            </w:r>
          </w:p>
        </w:tc>
        <w:tc>
          <w:tcPr>
            <w:tcW w:w="777" w:type="dxa"/>
            <w:tcBorders>
              <w:tl2br w:val="nil"/>
              <w:tr2bl w:val="nil"/>
            </w:tcBorders>
            <w:vAlign w:val="center"/>
          </w:tcPr>
          <w:p w14:paraId="1CB51B3E">
            <w:pPr>
              <w:jc w:val="center"/>
            </w:pPr>
            <w:r>
              <w:t>1.34</w:t>
            </w:r>
          </w:p>
        </w:tc>
        <w:tc>
          <w:tcPr>
            <w:tcW w:w="782" w:type="dxa"/>
            <w:tcBorders>
              <w:tl2br w:val="nil"/>
              <w:tr2bl w:val="nil"/>
            </w:tcBorders>
            <w:vAlign w:val="center"/>
          </w:tcPr>
          <w:p w14:paraId="46B6EC35">
            <w:pPr>
              <w:jc w:val="center"/>
            </w:pPr>
            <w:r>
              <w:t>28.63</w:t>
            </w:r>
          </w:p>
        </w:tc>
      </w:tr>
      <w:tr w14:paraId="54CE6550">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78" w:type="dxa"/>
            <w:tcBorders>
              <w:tl2br w:val="nil"/>
              <w:tr2bl w:val="nil"/>
            </w:tcBorders>
            <w:vAlign w:val="center"/>
          </w:tcPr>
          <w:p w14:paraId="616A9589">
            <w:pPr>
              <w:jc w:val="center"/>
            </w:pPr>
            <w:r>
              <w:t>8</w:t>
            </w:r>
          </w:p>
        </w:tc>
        <w:tc>
          <w:tcPr>
            <w:tcW w:w="774" w:type="dxa"/>
            <w:tcBorders>
              <w:tl2br w:val="nil"/>
              <w:tr2bl w:val="nil"/>
            </w:tcBorders>
            <w:vAlign w:val="center"/>
          </w:tcPr>
          <w:p w14:paraId="5F843877">
            <w:pPr>
              <w:jc w:val="center"/>
            </w:pPr>
            <w:r>
              <w:t>2.96</w:t>
            </w:r>
          </w:p>
        </w:tc>
        <w:tc>
          <w:tcPr>
            <w:tcW w:w="776" w:type="dxa"/>
            <w:tcBorders>
              <w:tl2br w:val="nil"/>
              <w:tr2bl w:val="nil"/>
            </w:tcBorders>
            <w:vAlign w:val="center"/>
          </w:tcPr>
          <w:p w14:paraId="3ABC0101">
            <w:pPr>
              <w:jc w:val="center"/>
            </w:pPr>
            <w:r>
              <w:t>4.7</w:t>
            </w:r>
          </w:p>
        </w:tc>
        <w:tc>
          <w:tcPr>
            <w:tcW w:w="775" w:type="dxa"/>
            <w:tcBorders>
              <w:tl2br w:val="nil"/>
              <w:tr2bl w:val="nil"/>
            </w:tcBorders>
            <w:vAlign w:val="center"/>
          </w:tcPr>
          <w:p w14:paraId="2EE1113B">
            <w:pPr>
              <w:jc w:val="center"/>
            </w:pPr>
            <w:r>
              <w:t>4.44</w:t>
            </w:r>
          </w:p>
        </w:tc>
        <w:tc>
          <w:tcPr>
            <w:tcW w:w="776" w:type="dxa"/>
            <w:tcBorders>
              <w:tl2br w:val="nil"/>
              <w:tr2bl w:val="nil"/>
            </w:tcBorders>
            <w:vAlign w:val="center"/>
          </w:tcPr>
          <w:p w14:paraId="1D99D408">
            <w:pPr>
              <w:jc w:val="center"/>
            </w:pPr>
            <w:r>
              <w:t>4.44</w:t>
            </w:r>
          </w:p>
        </w:tc>
        <w:tc>
          <w:tcPr>
            <w:tcW w:w="775" w:type="dxa"/>
            <w:tcBorders>
              <w:tl2br w:val="nil"/>
              <w:tr2bl w:val="nil"/>
            </w:tcBorders>
            <w:vAlign w:val="center"/>
          </w:tcPr>
          <w:p w14:paraId="006FB3B4">
            <w:pPr>
              <w:jc w:val="center"/>
            </w:pPr>
            <w:r>
              <w:t>2.42</w:t>
            </w:r>
          </w:p>
        </w:tc>
        <w:tc>
          <w:tcPr>
            <w:tcW w:w="775" w:type="dxa"/>
            <w:tcBorders>
              <w:tl2br w:val="nil"/>
              <w:tr2bl w:val="nil"/>
            </w:tcBorders>
            <w:vAlign w:val="center"/>
          </w:tcPr>
          <w:p w14:paraId="7954B64B">
            <w:pPr>
              <w:jc w:val="center"/>
            </w:pPr>
            <w:r>
              <w:t>0.81</w:t>
            </w:r>
          </w:p>
        </w:tc>
        <w:tc>
          <w:tcPr>
            <w:tcW w:w="775" w:type="dxa"/>
            <w:tcBorders>
              <w:tl2br w:val="nil"/>
              <w:tr2bl w:val="nil"/>
            </w:tcBorders>
            <w:vAlign w:val="center"/>
          </w:tcPr>
          <w:p w14:paraId="3D68BBCA">
            <w:pPr>
              <w:jc w:val="center"/>
            </w:pPr>
            <w:r>
              <w:t>5.24</w:t>
            </w:r>
          </w:p>
        </w:tc>
        <w:tc>
          <w:tcPr>
            <w:tcW w:w="775" w:type="dxa"/>
            <w:tcBorders>
              <w:tl2br w:val="nil"/>
              <w:tr2bl w:val="nil"/>
            </w:tcBorders>
            <w:vAlign w:val="center"/>
          </w:tcPr>
          <w:p w14:paraId="16D7FB21">
            <w:pPr>
              <w:jc w:val="center"/>
            </w:pPr>
            <w:r>
              <w:t>8.06</w:t>
            </w:r>
          </w:p>
        </w:tc>
        <w:tc>
          <w:tcPr>
            <w:tcW w:w="776" w:type="dxa"/>
            <w:tcBorders>
              <w:tl2br w:val="nil"/>
              <w:tr2bl w:val="nil"/>
            </w:tcBorders>
            <w:vAlign w:val="center"/>
          </w:tcPr>
          <w:p w14:paraId="765783DF">
            <w:pPr>
              <w:jc w:val="center"/>
            </w:pPr>
            <w:r>
              <w:t>12.77</w:t>
            </w:r>
          </w:p>
        </w:tc>
        <w:tc>
          <w:tcPr>
            <w:tcW w:w="775" w:type="dxa"/>
            <w:tcBorders>
              <w:tl2br w:val="nil"/>
              <w:tr2bl w:val="nil"/>
            </w:tcBorders>
            <w:vAlign w:val="center"/>
          </w:tcPr>
          <w:p w14:paraId="68191440">
            <w:pPr>
              <w:jc w:val="center"/>
            </w:pPr>
            <w:r>
              <w:t>13.44</w:t>
            </w:r>
          </w:p>
        </w:tc>
        <w:tc>
          <w:tcPr>
            <w:tcW w:w="775" w:type="dxa"/>
            <w:tcBorders>
              <w:tl2br w:val="nil"/>
              <w:tr2bl w:val="nil"/>
            </w:tcBorders>
            <w:vAlign w:val="center"/>
          </w:tcPr>
          <w:p w14:paraId="6C385811">
            <w:pPr>
              <w:jc w:val="center"/>
            </w:pPr>
            <w:r>
              <w:t>4.3</w:t>
            </w:r>
          </w:p>
        </w:tc>
        <w:tc>
          <w:tcPr>
            <w:tcW w:w="778" w:type="dxa"/>
            <w:tcBorders>
              <w:tl2br w:val="nil"/>
              <w:tr2bl w:val="nil"/>
            </w:tcBorders>
            <w:vAlign w:val="center"/>
          </w:tcPr>
          <w:p w14:paraId="26EDB9F9">
            <w:pPr>
              <w:jc w:val="center"/>
            </w:pPr>
            <w:r>
              <w:t>1.75</w:t>
            </w:r>
          </w:p>
        </w:tc>
        <w:tc>
          <w:tcPr>
            <w:tcW w:w="777" w:type="dxa"/>
            <w:tcBorders>
              <w:tl2br w:val="nil"/>
              <w:tr2bl w:val="nil"/>
            </w:tcBorders>
            <w:vAlign w:val="center"/>
          </w:tcPr>
          <w:p w14:paraId="02E6574F">
            <w:pPr>
              <w:jc w:val="center"/>
            </w:pPr>
            <w:r>
              <w:t>0.81</w:t>
            </w:r>
          </w:p>
        </w:tc>
        <w:tc>
          <w:tcPr>
            <w:tcW w:w="787" w:type="dxa"/>
            <w:tcBorders>
              <w:tl2br w:val="nil"/>
              <w:tr2bl w:val="nil"/>
            </w:tcBorders>
            <w:vAlign w:val="center"/>
          </w:tcPr>
          <w:p w14:paraId="20050A96">
            <w:pPr>
              <w:jc w:val="center"/>
            </w:pPr>
            <w:r>
              <w:t>0.27</w:t>
            </w:r>
          </w:p>
        </w:tc>
        <w:tc>
          <w:tcPr>
            <w:tcW w:w="778" w:type="dxa"/>
            <w:tcBorders>
              <w:tl2br w:val="nil"/>
              <w:tr2bl w:val="nil"/>
            </w:tcBorders>
            <w:vAlign w:val="center"/>
          </w:tcPr>
          <w:p w14:paraId="33586D9A">
            <w:pPr>
              <w:jc w:val="center"/>
            </w:pPr>
            <w:r>
              <w:t>0.4</w:t>
            </w:r>
          </w:p>
        </w:tc>
        <w:tc>
          <w:tcPr>
            <w:tcW w:w="777" w:type="dxa"/>
            <w:tcBorders>
              <w:tl2br w:val="nil"/>
              <w:tr2bl w:val="nil"/>
            </w:tcBorders>
            <w:vAlign w:val="center"/>
          </w:tcPr>
          <w:p w14:paraId="41E2F69C">
            <w:pPr>
              <w:jc w:val="center"/>
            </w:pPr>
            <w:r>
              <w:t>1.61</w:t>
            </w:r>
          </w:p>
        </w:tc>
        <w:tc>
          <w:tcPr>
            <w:tcW w:w="782" w:type="dxa"/>
            <w:tcBorders>
              <w:tl2br w:val="nil"/>
              <w:tr2bl w:val="nil"/>
            </w:tcBorders>
            <w:vAlign w:val="center"/>
          </w:tcPr>
          <w:p w14:paraId="790ACC9C">
            <w:pPr>
              <w:jc w:val="center"/>
            </w:pPr>
            <w:r>
              <w:t>31.59</w:t>
            </w:r>
          </w:p>
        </w:tc>
      </w:tr>
      <w:tr w14:paraId="29E3ABE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78" w:type="dxa"/>
            <w:tcBorders>
              <w:tl2br w:val="nil"/>
              <w:tr2bl w:val="nil"/>
            </w:tcBorders>
            <w:vAlign w:val="center"/>
          </w:tcPr>
          <w:p w14:paraId="6D269763">
            <w:pPr>
              <w:jc w:val="center"/>
            </w:pPr>
            <w:r>
              <w:t>9</w:t>
            </w:r>
          </w:p>
        </w:tc>
        <w:tc>
          <w:tcPr>
            <w:tcW w:w="774" w:type="dxa"/>
            <w:tcBorders>
              <w:tl2br w:val="nil"/>
              <w:tr2bl w:val="nil"/>
            </w:tcBorders>
            <w:vAlign w:val="center"/>
          </w:tcPr>
          <w:p w14:paraId="116DE175">
            <w:pPr>
              <w:jc w:val="center"/>
            </w:pPr>
            <w:r>
              <w:t>3.47</w:t>
            </w:r>
          </w:p>
        </w:tc>
        <w:tc>
          <w:tcPr>
            <w:tcW w:w="776" w:type="dxa"/>
            <w:tcBorders>
              <w:tl2br w:val="nil"/>
              <w:tr2bl w:val="nil"/>
            </w:tcBorders>
            <w:vAlign w:val="center"/>
          </w:tcPr>
          <w:p w14:paraId="5C4E574A">
            <w:pPr>
              <w:jc w:val="center"/>
            </w:pPr>
            <w:r>
              <w:t>6.39</w:t>
            </w:r>
          </w:p>
        </w:tc>
        <w:tc>
          <w:tcPr>
            <w:tcW w:w="775" w:type="dxa"/>
            <w:tcBorders>
              <w:tl2br w:val="nil"/>
              <w:tr2bl w:val="nil"/>
            </w:tcBorders>
            <w:vAlign w:val="center"/>
          </w:tcPr>
          <w:p w14:paraId="196947A7">
            <w:pPr>
              <w:jc w:val="center"/>
            </w:pPr>
            <w:r>
              <w:t>5.83</w:t>
            </w:r>
          </w:p>
        </w:tc>
        <w:tc>
          <w:tcPr>
            <w:tcW w:w="776" w:type="dxa"/>
            <w:tcBorders>
              <w:tl2br w:val="nil"/>
              <w:tr2bl w:val="nil"/>
            </w:tcBorders>
            <w:vAlign w:val="center"/>
          </w:tcPr>
          <w:p w14:paraId="3930575C">
            <w:pPr>
              <w:jc w:val="center"/>
            </w:pPr>
            <w:r>
              <w:t>8.33</w:t>
            </w:r>
          </w:p>
        </w:tc>
        <w:tc>
          <w:tcPr>
            <w:tcW w:w="775" w:type="dxa"/>
            <w:tcBorders>
              <w:tl2br w:val="nil"/>
              <w:tr2bl w:val="nil"/>
            </w:tcBorders>
            <w:vAlign w:val="center"/>
          </w:tcPr>
          <w:p w14:paraId="4B4FE818">
            <w:pPr>
              <w:jc w:val="center"/>
            </w:pPr>
            <w:r>
              <w:t>3.33</w:t>
            </w:r>
          </w:p>
        </w:tc>
        <w:tc>
          <w:tcPr>
            <w:tcW w:w="775" w:type="dxa"/>
            <w:tcBorders>
              <w:tl2br w:val="nil"/>
              <w:tr2bl w:val="nil"/>
            </w:tcBorders>
            <w:vAlign w:val="center"/>
          </w:tcPr>
          <w:p w14:paraId="4115FB8E">
            <w:pPr>
              <w:jc w:val="center"/>
            </w:pPr>
            <w:r>
              <w:t>1.25</w:t>
            </w:r>
          </w:p>
        </w:tc>
        <w:tc>
          <w:tcPr>
            <w:tcW w:w="775" w:type="dxa"/>
            <w:tcBorders>
              <w:tl2br w:val="nil"/>
              <w:tr2bl w:val="nil"/>
            </w:tcBorders>
            <w:vAlign w:val="center"/>
          </w:tcPr>
          <w:p w14:paraId="0996380F">
            <w:pPr>
              <w:jc w:val="center"/>
            </w:pPr>
            <w:r>
              <w:t>2.92</w:t>
            </w:r>
          </w:p>
        </w:tc>
        <w:tc>
          <w:tcPr>
            <w:tcW w:w="775" w:type="dxa"/>
            <w:tcBorders>
              <w:tl2br w:val="nil"/>
              <w:tr2bl w:val="nil"/>
            </w:tcBorders>
            <w:vAlign w:val="center"/>
          </w:tcPr>
          <w:p w14:paraId="7EE87FC9">
            <w:pPr>
              <w:jc w:val="center"/>
            </w:pPr>
            <w:r>
              <w:t>3.75</w:t>
            </w:r>
          </w:p>
        </w:tc>
        <w:tc>
          <w:tcPr>
            <w:tcW w:w="776" w:type="dxa"/>
            <w:tcBorders>
              <w:tl2br w:val="nil"/>
              <w:tr2bl w:val="nil"/>
            </w:tcBorders>
            <w:vAlign w:val="center"/>
          </w:tcPr>
          <w:p w14:paraId="36C98401">
            <w:pPr>
              <w:jc w:val="center"/>
            </w:pPr>
            <w:r>
              <w:t>7.08</w:t>
            </w:r>
          </w:p>
        </w:tc>
        <w:tc>
          <w:tcPr>
            <w:tcW w:w="775" w:type="dxa"/>
            <w:tcBorders>
              <w:tl2br w:val="nil"/>
              <w:tr2bl w:val="nil"/>
            </w:tcBorders>
            <w:vAlign w:val="center"/>
          </w:tcPr>
          <w:p w14:paraId="50758B33">
            <w:pPr>
              <w:jc w:val="center"/>
            </w:pPr>
            <w:r>
              <w:t>8.19</w:t>
            </w:r>
          </w:p>
        </w:tc>
        <w:tc>
          <w:tcPr>
            <w:tcW w:w="775" w:type="dxa"/>
            <w:tcBorders>
              <w:tl2br w:val="nil"/>
              <w:tr2bl w:val="nil"/>
            </w:tcBorders>
            <w:vAlign w:val="center"/>
          </w:tcPr>
          <w:p w14:paraId="52813E5A">
            <w:pPr>
              <w:jc w:val="center"/>
            </w:pPr>
            <w:r>
              <w:t>5.56</w:t>
            </w:r>
          </w:p>
        </w:tc>
        <w:tc>
          <w:tcPr>
            <w:tcW w:w="778" w:type="dxa"/>
            <w:tcBorders>
              <w:tl2br w:val="nil"/>
              <w:tr2bl w:val="nil"/>
            </w:tcBorders>
            <w:vAlign w:val="center"/>
          </w:tcPr>
          <w:p w14:paraId="74889363">
            <w:pPr>
              <w:jc w:val="center"/>
            </w:pPr>
            <w:r>
              <w:t>4.03</w:t>
            </w:r>
          </w:p>
        </w:tc>
        <w:tc>
          <w:tcPr>
            <w:tcW w:w="777" w:type="dxa"/>
            <w:tcBorders>
              <w:tl2br w:val="nil"/>
              <w:tr2bl w:val="nil"/>
            </w:tcBorders>
            <w:vAlign w:val="center"/>
          </w:tcPr>
          <w:p w14:paraId="7FEE170F">
            <w:pPr>
              <w:jc w:val="center"/>
            </w:pPr>
            <w:r>
              <w:t>2.22</w:t>
            </w:r>
          </w:p>
        </w:tc>
        <w:tc>
          <w:tcPr>
            <w:tcW w:w="787" w:type="dxa"/>
            <w:tcBorders>
              <w:tl2br w:val="nil"/>
              <w:tr2bl w:val="nil"/>
            </w:tcBorders>
            <w:vAlign w:val="center"/>
          </w:tcPr>
          <w:p w14:paraId="1AA9E8EA">
            <w:pPr>
              <w:jc w:val="center"/>
            </w:pPr>
            <w:r>
              <w:t>0.69</w:t>
            </w:r>
          </w:p>
        </w:tc>
        <w:tc>
          <w:tcPr>
            <w:tcW w:w="778" w:type="dxa"/>
            <w:tcBorders>
              <w:tl2br w:val="nil"/>
              <w:tr2bl w:val="nil"/>
            </w:tcBorders>
            <w:vAlign w:val="center"/>
          </w:tcPr>
          <w:p w14:paraId="3E8E81A9">
            <w:pPr>
              <w:jc w:val="center"/>
            </w:pPr>
            <w:r>
              <w:t>2.78</w:t>
            </w:r>
          </w:p>
        </w:tc>
        <w:tc>
          <w:tcPr>
            <w:tcW w:w="777" w:type="dxa"/>
            <w:tcBorders>
              <w:tl2br w:val="nil"/>
              <w:tr2bl w:val="nil"/>
            </w:tcBorders>
            <w:vAlign w:val="center"/>
          </w:tcPr>
          <w:p w14:paraId="21122B94">
            <w:pPr>
              <w:jc w:val="center"/>
            </w:pPr>
            <w:r>
              <w:t>2.5</w:t>
            </w:r>
          </w:p>
        </w:tc>
        <w:tc>
          <w:tcPr>
            <w:tcW w:w="782" w:type="dxa"/>
            <w:tcBorders>
              <w:tl2br w:val="nil"/>
              <w:tr2bl w:val="nil"/>
            </w:tcBorders>
            <w:vAlign w:val="center"/>
          </w:tcPr>
          <w:p w14:paraId="7AD63C0F">
            <w:pPr>
              <w:jc w:val="center"/>
            </w:pPr>
            <w:r>
              <w:t>31.67</w:t>
            </w:r>
          </w:p>
        </w:tc>
      </w:tr>
      <w:tr w14:paraId="108FFEC0">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8" w:hRule="atLeast"/>
        </w:trPr>
        <w:tc>
          <w:tcPr>
            <w:tcW w:w="778" w:type="dxa"/>
            <w:tcBorders>
              <w:tl2br w:val="nil"/>
              <w:tr2bl w:val="nil"/>
            </w:tcBorders>
            <w:vAlign w:val="center"/>
          </w:tcPr>
          <w:p w14:paraId="432C2186">
            <w:pPr>
              <w:jc w:val="center"/>
            </w:pPr>
            <w:r>
              <w:t>10</w:t>
            </w:r>
          </w:p>
        </w:tc>
        <w:tc>
          <w:tcPr>
            <w:tcW w:w="774" w:type="dxa"/>
            <w:tcBorders>
              <w:tl2br w:val="nil"/>
              <w:tr2bl w:val="nil"/>
            </w:tcBorders>
            <w:vAlign w:val="center"/>
          </w:tcPr>
          <w:p w14:paraId="1EF57A7D">
            <w:pPr>
              <w:jc w:val="center"/>
            </w:pPr>
            <w:r>
              <w:t>6.45</w:t>
            </w:r>
          </w:p>
        </w:tc>
        <w:tc>
          <w:tcPr>
            <w:tcW w:w="776" w:type="dxa"/>
            <w:tcBorders>
              <w:tl2br w:val="nil"/>
              <w:tr2bl w:val="nil"/>
            </w:tcBorders>
            <w:vAlign w:val="center"/>
          </w:tcPr>
          <w:p w14:paraId="76A3F1D2">
            <w:pPr>
              <w:jc w:val="center"/>
            </w:pPr>
            <w:r>
              <w:t>6.32</w:t>
            </w:r>
          </w:p>
        </w:tc>
        <w:tc>
          <w:tcPr>
            <w:tcW w:w="775" w:type="dxa"/>
            <w:tcBorders>
              <w:tl2br w:val="nil"/>
              <w:tr2bl w:val="nil"/>
            </w:tcBorders>
            <w:vAlign w:val="center"/>
          </w:tcPr>
          <w:p w14:paraId="725C2132">
            <w:pPr>
              <w:jc w:val="center"/>
            </w:pPr>
            <w:r>
              <w:t>4.3</w:t>
            </w:r>
          </w:p>
        </w:tc>
        <w:tc>
          <w:tcPr>
            <w:tcW w:w="776" w:type="dxa"/>
            <w:tcBorders>
              <w:tl2br w:val="nil"/>
              <w:tr2bl w:val="nil"/>
            </w:tcBorders>
            <w:vAlign w:val="center"/>
          </w:tcPr>
          <w:p w14:paraId="3E451BF1">
            <w:pPr>
              <w:jc w:val="center"/>
            </w:pPr>
            <w:r>
              <w:t>7. 12</w:t>
            </w:r>
          </w:p>
        </w:tc>
        <w:tc>
          <w:tcPr>
            <w:tcW w:w="775" w:type="dxa"/>
            <w:tcBorders>
              <w:tl2br w:val="nil"/>
              <w:tr2bl w:val="nil"/>
            </w:tcBorders>
            <w:vAlign w:val="center"/>
          </w:tcPr>
          <w:p w14:paraId="439B801C">
            <w:pPr>
              <w:jc w:val="center"/>
            </w:pPr>
            <w:r>
              <w:t>3.9</w:t>
            </w:r>
          </w:p>
        </w:tc>
        <w:tc>
          <w:tcPr>
            <w:tcW w:w="775" w:type="dxa"/>
            <w:tcBorders>
              <w:tl2br w:val="nil"/>
              <w:tr2bl w:val="nil"/>
            </w:tcBorders>
            <w:vAlign w:val="center"/>
          </w:tcPr>
          <w:p w14:paraId="1E22A9BD">
            <w:pPr>
              <w:jc w:val="center"/>
            </w:pPr>
            <w:r>
              <w:t>0.4</w:t>
            </w:r>
          </w:p>
        </w:tc>
        <w:tc>
          <w:tcPr>
            <w:tcW w:w="775" w:type="dxa"/>
            <w:tcBorders>
              <w:tl2br w:val="nil"/>
              <w:tr2bl w:val="nil"/>
            </w:tcBorders>
            <w:vAlign w:val="center"/>
          </w:tcPr>
          <w:p w14:paraId="69A729E9">
            <w:pPr>
              <w:jc w:val="center"/>
            </w:pPr>
            <w:r>
              <w:t>1.88</w:t>
            </w:r>
          </w:p>
        </w:tc>
        <w:tc>
          <w:tcPr>
            <w:tcW w:w="775" w:type="dxa"/>
            <w:tcBorders>
              <w:tl2br w:val="nil"/>
              <w:tr2bl w:val="nil"/>
            </w:tcBorders>
            <w:vAlign w:val="center"/>
          </w:tcPr>
          <w:p w14:paraId="3FB6A4B2">
            <w:pPr>
              <w:jc w:val="center"/>
            </w:pPr>
            <w:r>
              <w:t>4.75</w:t>
            </w:r>
          </w:p>
        </w:tc>
        <w:tc>
          <w:tcPr>
            <w:tcW w:w="776" w:type="dxa"/>
            <w:tcBorders>
              <w:tl2br w:val="nil"/>
              <w:tr2bl w:val="nil"/>
            </w:tcBorders>
            <w:vAlign w:val="center"/>
          </w:tcPr>
          <w:p w14:paraId="01637683">
            <w:pPr>
              <w:jc w:val="center"/>
            </w:pPr>
            <w:r>
              <w:t>6.45</w:t>
            </w:r>
          </w:p>
        </w:tc>
        <w:tc>
          <w:tcPr>
            <w:tcW w:w="775" w:type="dxa"/>
            <w:tcBorders>
              <w:tl2br w:val="nil"/>
              <w:tr2bl w:val="nil"/>
            </w:tcBorders>
            <w:vAlign w:val="center"/>
          </w:tcPr>
          <w:p w14:paraId="4A1E012A">
            <w:pPr>
              <w:jc w:val="center"/>
            </w:pPr>
            <w:r>
              <w:t>8.33</w:t>
            </w:r>
          </w:p>
        </w:tc>
        <w:tc>
          <w:tcPr>
            <w:tcW w:w="775" w:type="dxa"/>
            <w:tcBorders>
              <w:tl2br w:val="nil"/>
              <w:tr2bl w:val="nil"/>
            </w:tcBorders>
            <w:vAlign w:val="center"/>
          </w:tcPr>
          <w:p w14:paraId="13CDE09A">
            <w:pPr>
              <w:jc w:val="center"/>
            </w:pPr>
            <w:r>
              <w:t>5.38</w:t>
            </w:r>
          </w:p>
        </w:tc>
        <w:tc>
          <w:tcPr>
            <w:tcW w:w="778" w:type="dxa"/>
            <w:tcBorders>
              <w:tl2br w:val="nil"/>
              <w:tr2bl w:val="nil"/>
            </w:tcBorders>
            <w:vAlign w:val="center"/>
          </w:tcPr>
          <w:p w14:paraId="69F1833F">
            <w:pPr>
              <w:jc w:val="center"/>
            </w:pPr>
            <w:r>
              <w:t>7.39</w:t>
            </w:r>
          </w:p>
        </w:tc>
        <w:tc>
          <w:tcPr>
            <w:tcW w:w="777" w:type="dxa"/>
            <w:tcBorders>
              <w:tl2br w:val="nil"/>
              <w:tr2bl w:val="nil"/>
            </w:tcBorders>
            <w:vAlign w:val="center"/>
          </w:tcPr>
          <w:p w14:paraId="16C9064F">
            <w:pPr>
              <w:jc w:val="center"/>
            </w:pPr>
            <w:r>
              <w:t>4.84</w:t>
            </w:r>
          </w:p>
        </w:tc>
        <w:tc>
          <w:tcPr>
            <w:tcW w:w="787" w:type="dxa"/>
            <w:tcBorders>
              <w:tl2br w:val="nil"/>
              <w:tr2bl w:val="nil"/>
            </w:tcBorders>
            <w:vAlign w:val="center"/>
          </w:tcPr>
          <w:p w14:paraId="313BDBE6">
            <w:pPr>
              <w:jc w:val="center"/>
            </w:pPr>
            <w:r>
              <w:t>1.48</w:t>
            </w:r>
          </w:p>
        </w:tc>
        <w:tc>
          <w:tcPr>
            <w:tcW w:w="778" w:type="dxa"/>
            <w:tcBorders>
              <w:tl2br w:val="nil"/>
              <w:tr2bl w:val="nil"/>
            </w:tcBorders>
            <w:vAlign w:val="center"/>
          </w:tcPr>
          <w:p w14:paraId="3F158402">
            <w:pPr>
              <w:jc w:val="center"/>
            </w:pPr>
            <w:r>
              <w:t>1.61</w:t>
            </w:r>
          </w:p>
        </w:tc>
        <w:tc>
          <w:tcPr>
            <w:tcW w:w="777" w:type="dxa"/>
            <w:tcBorders>
              <w:tl2br w:val="nil"/>
              <w:tr2bl w:val="nil"/>
            </w:tcBorders>
            <w:vAlign w:val="center"/>
          </w:tcPr>
          <w:p w14:paraId="43FD39EB">
            <w:pPr>
              <w:jc w:val="center"/>
            </w:pPr>
            <w:r>
              <w:t>3.36</w:t>
            </w:r>
          </w:p>
        </w:tc>
        <w:tc>
          <w:tcPr>
            <w:tcW w:w="782" w:type="dxa"/>
            <w:tcBorders>
              <w:tl2br w:val="nil"/>
              <w:tr2bl w:val="nil"/>
            </w:tcBorders>
            <w:vAlign w:val="center"/>
          </w:tcPr>
          <w:p w14:paraId="01B80CF5">
            <w:pPr>
              <w:jc w:val="center"/>
            </w:pPr>
            <w:r>
              <w:t>26.21</w:t>
            </w:r>
          </w:p>
        </w:tc>
      </w:tr>
      <w:tr w14:paraId="428C7F88">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78" w:type="dxa"/>
            <w:tcBorders>
              <w:tl2br w:val="nil"/>
              <w:tr2bl w:val="nil"/>
            </w:tcBorders>
            <w:vAlign w:val="center"/>
          </w:tcPr>
          <w:p w14:paraId="5167C4CA">
            <w:pPr>
              <w:jc w:val="center"/>
            </w:pPr>
            <w:r>
              <w:t>11</w:t>
            </w:r>
          </w:p>
        </w:tc>
        <w:tc>
          <w:tcPr>
            <w:tcW w:w="774" w:type="dxa"/>
            <w:tcBorders>
              <w:tl2br w:val="nil"/>
              <w:tr2bl w:val="nil"/>
            </w:tcBorders>
            <w:vAlign w:val="center"/>
          </w:tcPr>
          <w:p w14:paraId="5A6AA4E2">
            <w:pPr>
              <w:jc w:val="center"/>
            </w:pPr>
            <w:r>
              <w:t>4.17</w:t>
            </w:r>
          </w:p>
        </w:tc>
        <w:tc>
          <w:tcPr>
            <w:tcW w:w="776" w:type="dxa"/>
            <w:tcBorders>
              <w:tl2br w:val="nil"/>
              <w:tr2bl w:val="nil"/>
            </w:tcBorders>
            <w:vAlign w:val="center"/>
          </w:tcPr>
          <w:p w14:paraId="384C8BB5">
            <w:pPr>
              <w:jc w:val="center"/>
            </w:pPr>
            <w:r>
              <w:t>8.33</w:t>
            </w:r>
          </w:p>
        </w:tc>
        <w:tc>
          <w:tcPr>
            <w:tcW w:w="775" w:type="dxa"/>
            <w:tcBorders>
              <w:tl2br w:val="nil"/>
              <w:tr2bl w:val="nil"/>
            </w:tcBorders>
            <w:vAlign w:val="center"/>
          </w:tcPr>
          <w:p w14:paraId="46468E4C">
            <w:pPr>
              <w:jc w:val="center"/>
            </w:pPr>
            <w:r>
              <w:t>6.81</w:t>
            </w:r>
          </w:p>
        </w:tc>
        <w:tc>
          <w:tcPr>
            <w:tcW w:w="776" w:type="dxa"/>
            <w:tcBorders>
              <w:tl2br w:val="nil"/>
              <w:tr2bl w:val="nil"/>
            </w:tcBorders>
            <w:vAlign w:val="center"/>
          </w:tcPr>
          <w:p w14:paraId="4CE9BE8A">
            <w:pPr>
              <w:jc w:val="center"/>
            </w:pPr>
            <w:r>
              <w:t>10.83</w:t>
            </w:r>
          </w:p>
        </w:tc>
        <w:tc>
          <w:tcPr>
            <w:tcW w:w="775" w:type="dxa"/>
            <w:tcBorders>
              <w:tl2br w:val="nil"/>
              <w:tr2bl w:val="nil"/>
            </w:tcBorders>
            <w:vAlign w:val="center"/>
          </w:tcPr>
          <w:p w14:paraId="459A4CDD">
            <w:pPr>
              <w:jc w:val="center"/>
            </w:pPr>
            <w:r>
              <w:t>4.58</w:t>
            </w:r>
          </w:p>
        </w:tc>
        <w:tc>
          <w:tcPr>
            <w:tcW w:w="775" w:type="dxa"/>
            <w:tcBorders>
              <w:tl2br w:val="nil"/>
              <w:tr2bl w:val="nil"/>
            </w:tcBorders>
            <w:vAlign w:val="center"/>
          </w:tcPr>
          <w:p w14:paraId="41A4CAE1">
            <w:pPr>
              <w:jc w:val="center"/>
            </w:pPr>
            <w:r>
              <w:t>0.97</w:t>
            </w:r>
          </w:p>
        </w:tc>
        <w:tc>
          <w:tcPr>
            <w:tcW w:w="775" w:type="dxa"/>
            <w:tcBorders>
              <w:tl2br w:val="nil"/>
              <w:tr2bl w:val="nil"/>
            </w:tcBorders>
            <w:vAlign w:val="center"/>
          </w:tcPr>
          <w:p w14:paraId="1223A38D">
            <w:pPr>
              <w:jc w:val="center"/>
            </w:pPr>
            <w:r>
              <w:t>1.39</w:t>
            </w:r>
          </w:p>
        </w:tc>
        <w:tc>
          <w:tcPr>
            <w:tcW w:w="775" w:type="dxa"/>
            <w:tcBorders>
              <w:tl2br w:val="nil"/>
              <w:tr2bl w:val="nil"/>
            </w:tcBorders>
            <w:vAlign w:val="center"/>
          </w:tcPr>
          <w:p w14:paraId="66AE991E">
            <w:pPr>
              <w:jc w:val="center"/>
            </w:pPr>
            <w:r>
              <w:t>2.64</w:t>
            </w:r>
          </w:p>
        </w:tc>
        <w:tc>
          <w:tcPr>
            <w:tcW w:w="776" w:type="dxa"/>
            <w:tcBorders>
              <w:tl2br w:val="nil"/>
              <w:tr2bl w:val="nil"/>
            </w:tcBorders>
            <w:vAlign w:val="center"/>
          </w:tcPr>
          <w:p w14:paraId="7FD5D7BD">
            <w:pPr>
              <w:jc w:val="center"/>
            </w:pPr>
            <w:r>
              <w:t>2.92</w:t>
            </w:r>
          </w:p>
        </w:tc>
        <w:tc>
          <w:tcPr>
            <w:tcW w:w="775" w:type="dxa"/>
            <w:tcBorders>
              <w:tl2br w:val="nil"/>
              <w:tr2bl w:val="nil"/>
            </w:tcBorders>
            <w:vAlign w:val="center"/>
          </w:tcPr>
          <w:p w14:paraId="7DBCFBFE">
            <w:pPr>
              <w:jc w:val="center"/>
            </w:pPr>
            <w:r>
              <w:t>4.44</w:t>
            </w:r>
          </w:p>
        </w:tc>
        <w:tc>
          <w:tcPr>
            <w:tcW w:w="775" w:type="dxa"/>
            <w:tcBorders>
              <w:tl2br w:val="nil"/>
              <w:tr2bl w:val="nil"/>
            </w:tcBorders>
            <w:vAlign w:val="center"/>
          </w:tcPr>
          <w:p w14:paraId="00415CCD">
            <w:pPr>
              <w:jc w:val="center"/>
            </w:pPr>
            <w:r>
              <w:t>6.25</w:t>
            </w:r>
          </w:p>
        </w:tc>
        <w:tc>
          <w:tcPr>
            <w:tcW w:w="778" w:type="dxa"/>
            <w:tcBorders>
              <w:tl2br w:val="nil"/>
              <w:tr2bl w:val="nil"/>
            </w:tcBorders>
            <w:vAlign w:val="center"/>
          </w:tcPr>
          <w:p w14:paraId="520F399A">
            <w:pPr>
              <w:jc w:val="center"/>
            </w:pPr>
            <w:r>
              <w:t>5.83</w:t>
            </w:r>
          </w:p>
        </w:tc>
        <w:tc>
          <w:tcPr>
            <w:tcW w:w="777" w:type="dxa"/>
            <w:tcBorders>
              <w:tl2br w:val="nil"/>
              <w:tr2bl w:val="nil"/>
            </w:tcBorders>
            <w:vAlign w:val="center"/>
          </w:tcPr>
          <w:p w14:paraId="6D8BE4C9">
            <w:pPr>
              <w:jc w:val="center"/>
            </w:pPr>
            <w:r>
              <w:t>4.03</w:t>
            </w:r>
          </w:p>
        </w:tc>
        <w:tc>
          <w:tcPr>
            <w:tcW w:w="787" w:type="dxa"/>
            <w:tcBorders>
              <w:tl2br w:val="nil"/>
              <w:tr2bl w:val="nil"/>
            </w:tcBorders>
            <w:vAlign w:val="center"/>
          </w:tcPr>
          <w:p w14:paraId="05FE93B3">
            <w:pPr>
              <w:jc w:val="center"/>
            </w:pPr>
            <w:r>
              <w:t>2.64</w:t>
            </w:r>
          </w:p>
        </w:tc>
        <w:tc>
          <w:tcPr>
            <w:tcW w:w="778" w:type="dxa"/>
            <w:tcBorders>
              <w:tl2br w:val="nil"/>
              <w:tr2bl w:val="nil"/>
            </w:tcBorders>
            <w:vAlign w:val="center"/>
          </w:tcPr>
          <w:p w14:paraId="22F95DEF">
            <w:pPr>
              <w:jc w:val="center"/>
            </w:pPr>
            <w:r>
              <w:t>3.47</w:t>
            </w:r>
          </w:p>
        </w:tc>
        <w:tc>
          <w:tcPr>
            <w:tcW w:w="777" w:type="dxa"/>
            <w:tcBorders>
              <w:tl2br w:val="nil"/>
              <w:tr2bl w:val="nil"/>
            </w:tcBorders>
            <w:vAlign w:val="center"/>
          </w:tcPr>
          <w:p w14:paraId="5AB468C9">
            <w:pPr>
              <w:jc w:val="center"/>
            </w:pPr>
            <w:r>
              <w:t>4.31</w:t>
            </w:r>
          </w:p>
        </w:tc>
        <w:tc>
          <w:tcPr>
            <w:tcW w:w="782" w:type="dxa"/>
            <w:tcBorders>
              <w:tl2br w:val="nil"/>
              <w:tr2bl w:val="nil"/>
            </w:tcBorders>
            <w:vAlign w:val="center"/>
          </w:tcPr>
          <w:p w14:paraId="0DA8DA8E">
            <w:pPr>
              <w:jc w:val="center"/>
            </w:pPr>
            <w:r>
              <w:t>26.39</w:t>
            </w:r>
          </w:p>
        </w:tc>
      </w:tr>
      <w:tr w14:paraId="716BFC64">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78" w:type="dxa"/>
            <w:tcBorders>
              <w:tl2br w:val="nil"/>
              <w:tr2bl w:val="nil"/>
            </w:tcBorders>
            <w:vAlign w:val="center"/>
          </w:tcPr>
          <w:p w14:paraId="31057879">
            <w:pPr>
              <w:jc w:val="center"/>
            </w:pPr>
            <w:r>
              <w:t>12</w:t>
            </w:r>
          </w:p>
        </w:tc>
        <w:tc>
          <w:tcPr>
            <w:tcW w:w="774" w:type="dxa"/>
            <w:tcBorders>
              <w:tl2br w:val="nil"/>
              <w:tr2bl w:val="nil"/>
            </w:tcBorders>
            <w:vAlign w:val="center"/>
          </w:tcPr>
          <w:p w14:paraId="50B1C177">
            <w:pPr>
              <w:jc w:val="center"/>
            </w:pPr>
            <w:r>
              <w:t>4.97</w:t>
            </w:r>
          </w:p>
        </w:tc>
        <w:tc>
          <w:tcPr>
            <w:tcW w:w="776" w:type="dxa"/>
            <w:tcBorders>
              <w:tl2br w:val="nil"/>
              <w:tr2bl w:val="nil"/>
            </w:tcBorders>
            <w:vAlign w:val="center"/>
          </w:tcPr>
          <w:p w14:paraId="775E376B">
            <w:pPr>
              <w:jc w:val="center"/>
            </w:pPr>
            <w:r>
              <w:t>7.8</w:t>
            </w:r>
          </w:p>
        </w:tc>
        <w:tc>
          <w:tcPr>
            <w:tcW w:w="775" w:type="dxa"/>
            <w:tcBorders>
              <w:tl2br w:val="nil"/>
              <w:tr2bl w:val="nil"/>
            </w:tcBorders>
            <w:vAlign w:val="center"/>
          </w:tcPr>
          <w:p w14:paraId="56B0D73B">
            <w:pPr>
              <w:jc w:val="center"/>
            </w:pPr>
            <w:r>
              <w:t>4.7</w:t>
            </w:r>
          </w:p>
        </w:tc>
        <w:tc>
          <w:tcPr>
            <w:tcW w:w="776" w:type="dxa"/>
            <w:tcBorders>
              <w:tl2br w:val="nil"/>
              <w:tr2bl w:val="nil"/>
            </w:tcBorders>
            <w:vAlign w:val="center"/>
          </w:tcPr>
          <w:p w14:paraId="51D4079D">
            <w:pPr>
              <w:jc w:val="center"/>
            </w:pPr>
            <w:r>
              <w:t>7. 12</w:t>
            </w:r>
          </w:p>
        </w:tc>
        <w:tc>
          <w:tcPr>
            <w:tcW w:w="775" w:type="dxa"/>
            <w:tcBorders>
              <w:tl2br w:val="nil"/>
              <w:tr2bl w:val="nil"/>
            </w:tcBorders>
            <w:vAlign w:val="center"/>
          </w:tcPr>
          <w:p w14:paraId="3875BBCC">
            <w:pPr>
              <w:jc w:val="center"/>
            </w:pPr>
            <w:r>
              <w:t>3.36</w:t>
            </w:r>
          </w:p>
        </w:tc>
        <w:tc>
          <w:tcPr>
            <w:tcW w:w="775" w:type="dxa"/>
            <w:tcBorders>
              <w:tl2br w:val="nil"/>
              <w:tr2bl w:val="nil"/>
            </w:tcBorders>
            <w:vAlign w:val="center"/>
          </w:tcPr>
          <w:p w14:paraId="3A823EF7">
            <w:pPr>
              <w:jc w:val="center"/>
            </w:pPr>
            <w:r>
              <w:t>0.4</w:t>
            </w:r>
          </w:p>
        </w:tc>
        <w:tc>
          <w:tcPr>
            <w:tcW w:w="775" w:type="dxa"/>
            <w:tcBorders>
              <w:tl2br w:val="nil"/>
              <w:tr2bl w:val="nil"/>
            </w:tcBorders>
            <w:vAlign w:val="center"/>
          </w:tcPr>
          <w:p w14:paraId="2B964298">
            <w:pPr>
              <w:jc w:val="center"/>
            </w:pPr>
            <w:r>
              <w:t>1.61</w:t>
            </w:r>
          </w:p>
        </w:tc>
        <w:tc>
          <w:tcPr>
            <w:tcW w:w="775" w:type="dxa"/>
            <w:tcBorders>
              <w:tl2br w:val="nil"/>
              <w:tr2bl w:val="nil"/>
            </w:tcBorders>
            <w:vAlign w:val="center"/>
          </w:tcPr>
          <w:p w14:paraId="502D2451">
            <w:pPr>
              <w:jc w:val="center"/>
            </w:pPr>
            <w:r>
              <w:t>1.34</w:t>
            </w:r>
          </w:p>
        </w:tc>
        <w:tc>
          <w:tcPr>
            <w:tcW w:w="776" w:type="dxa"/>
            <w:tcBorders>
              <w:tl2br w:val="nil"/>
              <w:tr2bl w:val="nil"/>
            </w:tcBorders>
            <w:vAlign w:val="center"/>
          </w:tcPr>
          <w:p w14:paraId="03E1288F">
            <w:pPr>
              <w:jc w:val="center"/>
            </w:pPr>
            <w:r>
              <w:t>1.48</w:t>
            </w:r>
          </w:p>
        </w:tc>
        <w:tc>
          <w:tcPr>
            <w:tcW w:w="775" w:type="dxa"/>
            <w:tcBorders>
              <w:tl2br w:val="nil"/>
              <w:tr2bl w:val="nil"/>
            </w:tcBorders>
            <w:vAlign w:val="center"/>
          </w:tcPr>
          <w:p w14:paraId="0D7772C7">
            <w:pPr>
              <w:jc w:val="center"/>
            </w:pPr>
            <w:r>
              <w:t>6.99</w:t>
            </w:r>
          </w:p>
        </w:tc>
        <w:tc>
          <w:tcPr>
            <w:tcW w:w="775" w:type="dxa"/>
            <w:tcBorders>
              <w:tl2br w:val="nil"/>
              <w:tr2bl w:val="nil"/>
            </w:tcBorders>
            <w:vAlign w:val="center"/>
          </w:tcPr>
          <w:p w14:paraId="3EC9D694">
            <w:pPr>
              <w:jc w:val="center"/>
            </w:pPr>
            <w:r>
              <w:t>4.57</w:t>
            </w:r>
          </w:p>
        </w:tc>
        <w:tc>
          <w:tcPr>
            <w:tcW w:w="778" w:type="dxa"/>
            <w:tcBorders>
              <w:tl2br w:val="nil"/>
              <w:tr2bl w:val="nil"/>
            </w:tcBorders>
            <w:vAlign w:val="center"/>
          </w:tcPr>
          <w:p w14:paraId="54FA3A95">
            <w:pPr>
              <w:jc w:val="center"/>
            </w:pPr>
            <w:r>
              <w:t>5.65</w:t>
            </w:r>
          </w:p>
        </w:tc>
        <w:tc>
          <w:tcPr>
            <w:tcW w:w="777" w:type="dxa"/>
            <w:tcBorders>
              <w:tl2br w:val="nil"/>
              <w:tr2bl w:val="nil"/>
            </w:tcBorders>
            <w:vAlign w:val="center"/>
          </w:tcPr>
          <w:p w14:paraId="3FAE04CE">
            <w:pPr>
              <w:jc w:val="center"/>
            </w:pPr>
            <w:r>
              <w:t>4.17</w:t>
            </w:r>
          </w:p>
        </w:tc>
        <w:tc>
          <w:tcPr>
            <w:tcW w:w="787" w:type="dxa"/>
            <w:tcBorders>
              <w:tl2br w:val="nil"/>
              <w:tr2bl w:val="nil"/>
            </w:tcBorders>
            <w:vAlign w:val="center"/>
          </w:tcPr>
          <w:p w14:paraId="57A049AD">
            <w:pPr>
              <w:jc w:val="center"/>
            </w:pPr>
            <w:r>
              <w:t>1.88</w:t>
            </w:r>
          </w:p>
        </w:tc>
        <w:tc>
          <w:tcPr>
            <w:tcW w:w="778" w:type="dxa"/>
            <w:tcBorders>
              <w:tl2br w:val="nil"/>
              <w:tr2bl w:val="nil"/>
            </w:tcBorders>
            <w:vAlign w:val="center"/>
          </w:tcPr>
          <w:p w14:paraId="7DEBCC07">
            <w:pPr>
              <w:jc w:val="center"/>
            </w:pPr>
            <w:r>
              <w:t>2.55</w:t>
            </w:r>
          </w:p>
        </w:tc>
        <w:tc>
          <w:tcPr>
            <w:tcW w:w="777" w:type="dxa"/>
            <w:tcBorders>
              <w:tl2br w:val="nil"/>
              <w:tr2bl w:val="nil"/>
            </w:tcBorders>
            <w:vAlign w:val="center"/>
          </w:tcPr>
          <w:p w14:paraId="4780B523">
            <w:pPr>
              <w:jc w:val="center"/>
            </w:pPr>
            <w:r>
              <w:t>2.82</w:t>
            </w:r>
          </w:p>
        </w:tc>
        <w:tc>
          <w:tcPr>
            <w:tcW w:w="782" w:type="dxa"/>
            <w:tcBorders>
              <w:tl2br w:val="nil"/>
              <w:tr2bl w:val="nil"/>
            </w:tcBorders>
            <w:vAlign w:val="center"/>
          </w:tcPr>
          <w:p w14:paraId="64509DED">
            <w:pPr>
              <w:jc w:val="center"/>
            </w:pPr>
            <w:r>
              <w:t>38.58</w:t>
            </w:r>
          </w:p>
        </w:tc>
      </w:tr>
      <w:tr w14:paraId="637FB88B">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3" w:hRule="atLeast"/>
        </w:trPr>
        <w:tc>
          <w:tcPr>
            <w:tcW w:w="778" w:type="dxa"/>
            <w:tcBorders>
              <w:tl2br w:val="nil"/>
              <w:tr2bl w:val="nil"/>
            </w:tcBorders>
            <w:vAlign w:val="center"/>
          </w:tcPr>
          <w:p w14:paraId="288E110A">
            <w:pPr>
              <w:jc w:val="center"/>
            </w:pPr>
            <w:r>
              <w:t>春</w:t>
            </w:r>
          </w:p>
        </w:tc>
        <w:tc>
          <w:tcPr>
            <w:tcW w:w="774" w:type="dxa"/>
            <w:tcBorders>
              <w:tl2br w:val="nil"/>
              <w:tr2bl w:val="nil"/>
            </w:tcBorders>
            <w:vAlign w:val="center"/>
          </w:tcPr>
          <w:p w14:paraId="44CD8D01">
            <w:pPr>
              <w:jc w:val="center"/>
            </w:pPr>
            <w:r>
              <w:t>6. 11</w:t>
            </w:r>
          </w:p>
        </w:tc>
        <w:tc>
          <w:tcPr>
            <w:tcW w:w="776" w:type="dxa"/>
            <w:tcBorders>
              <w:tl2br w:val="nil"/>
              <w:tr2bl w:val="nil"/>
            </w:tcBorders>
            <w:vAlign w:val="center"/>
          </w:tcPr>
          <w:p w14:paraId="7B5082B3">
            <w:pPr>
              <w:jc w:val="center"/>
            </w:pPr>
            <w:r>
              <w:t>7.25</w:t>
            </w:r>
          </w:p>
        </w:tc>
        <w:tc>
          <w:tcPr>
            <w:tcW w:w="775" w:type="dxa"/>
            <w:tcBorders>
              <w:tl2br w:val="nil"/>
              <w:tr2bl w:val="nil"/>
            </w:tcBorders>
            <w:vAlign w:val="center"/>
          </w:tcPr>
          <w:p w14:paraId="076FE052">
            <w:pPr>
              <w:jc w:val="center"/>
            </w:pPr>
            <w:r>
              <w:t>4.48</w:t>
            </w:r>
          </w:p>
        </w:tc>
        <w:tc>
          <w:tcPr>
            <w:tcW w:w="776" w:type="dxa"/>
            <w:tcBorders>
              <w:tl2br w:val="nil"/>
              <w:tr2bl w:val="nil"/>
            </w:tcBorders>
            <w:vAlign w:val="center"/>
          </w:tcPr>
          <w:p w14:paraId="4021F9EF">
            <w:pPr>
              <w:jc w:val="center"/>
            </w:pPr>
            <w:r>
              <w:t>4.85</w:t>
            </w:r>
          </w:p>
        </w:tc>
        <w:tc>
          <w:tcPr>
            <w:tcW w:w="775" w:type="dxa"/>
            <w:tcBorders>
              <w:tl2br w:val="nil"/>
              <w:tr2bl w:val="nil"/>
            </w:tcBorders>
            <w:vAlign w:val="center"/>
          </w:tcPr>
          <w:p w14:paraId="5BF47F87">
            <w:pPr>
              <w:jc w:val="center"/>
            </w:pPr>
            <w:r>
              <w:t>2.58</w:t>
            </w:r>
          </w:p>
        </w:tc>
        <w:tc>
          <w:tcPr>
            <w:tcW w:w="775" w:type="dxa"/>
            <w:tcBorders>
              <w:tl2br w:val="nil"/>
              <w:tr2bl w:val="nil"/>
            </w:tcBorders>
            <w:vAlign w:val="center"/>
          </w:tcPr>
          <w:p w14:paraId="3889026E">
            <w:pPr>
              <w:jc w:val="center"/>
            </w:pPr>
            <w:r>
              <w:t>2.04</w:t>
            </w:r>
          </w:p>
        </w:tc>
        <w:tc>
          <w:tcPr>
            <w:tcW w:w="775" w:type="dxa"/>
            <w:tcBorders>
              <w:tl2br w:val="nil"/>
              <w:tr2bl w:val="nil"/>
            </w:tcBorders>
            <w:vAlign w:val="center"/>
          </w:tcPr>
          <w:p w14:paraId="2C589895">
            <w:pPr>
              <w:jc w:val="center"/>
            </w:pPr>
            <w:r>
              <w:t>5.25</w:t>
            </w:r>
          </w:p>
        </w:tc>
        <w:tc>
          <w:tcPr>
            <w:tcW w:w="775" w:type="dxa"/>
            <w:tcBorders>
              <w:tl2br w:val="nil"/>
              <w:tr2bl w:val="nil"/>
            </w:tcBorders>
            <w:vAlign w:val="center"/>
          </w:tcPr>
          <w:p w14:paraId="503288B5">
            <w:pPr>
              <w:jc w:val="center"/>
            </w:pPr>
            <w:r>
              <w:t>5.21</w:t>
            </w:r>
          </w:p>
        </w:tc>
        <w:tc>
          <w:tcPr>
            <w:tcW w:w="776" w:type="dxa"/>
            <w:tcBorders>
              <w:tl2br w:val="nil"/>
              <w:tr2bl w:val="nil"/>
            </w:tcBorders>
            <w:vAlign w:val="center"/>
          </w:tcPr>
          <w:p w14:paraId="4498B3AD">
            <w:pPr>
              <w:jc w:val="center"/>
            </w:pPr>
            <w:r>
              <w:t>6.66</w:t>
            </w:r>
          </w:p>
        </w:tc>
        <w:tc>
          <w:tcPr>
            <w:tcW w:w="775" w:type="dxa"/>
            <w:tcBorders>
              <w:tl2br w:val="nil"/>
              <w:tr2bl w:val="nil"/>
            </w:tcBorders>
            <w:vAlign w:val="center"/>
          </w:tcPr>
          <w:p w14:paraId="231EC3B6">
            <w:pPr>
              <w:jc w:val="center"/>
            </w:pPr>
            <w:r>
              <w:t>9.01</w:t>
            </w:r>
          </w:p>
        </w:tc>
        <w:tc>
          <w:tcPr>
            <w:tcW w:w="775" w:type="dxa"/>
            <w:tcBorders>
              <w:tl2br w:val="nil"/>
              <w:tr2bl w:val="nil"/>
            </w:tcBorders>
            <w:vAlign w:val="center"/>
          </w:tcPr>
          <w:p w14:paraId="07753ECE">
            <w:pPr>
              <w:jc w:val="center"/>
            </w:pPr>
            <w:r>
              <w:t>4.48</w:t>
            </w:r>
          </w:p>
        </w:tc>
        <w:tc>
          <w:tcPr>
            <w:tcW w:w="778" w:type="dxa"/>
            <w:tcBorders>
              <w:tl2br w:val="nil"/>
              <w:tr2bl w:val="nil"/>
            </w:tcBorders>
            <w:vAlign w:val="center"/>
          </w:tcPr>
          <w:p w14:paraId="2E97EA8F">
            <w:pPr>
              <w:jc w:val="center"/>
            </w:pPr>
            <w:r>
              <w:t>3.94</w:t>
            </w:r>
          </w:p>
        </w:tc>
        <w:tc>
          <w:tcPr>
            <w:tcW w:w="777" w:type="dxa"/>
            <w:tcBorders>
              <w:tl2br w:val="nil"/>
              <w:tr2bl w:val="nil"/>
            </w:tcBorders>
            <w:vAlign w:val="center"/>
          </w:tcPr>
          <w:p w14:paraId="2A46F995">
            <w:pPr>
              <w:jc w:val="center"/>
            </w:pPr>
            <w:r>
              <w:t>5.39</w:t>
            </w:r>
          </w:p>
        </w:tc>
        <w:tc>
          <w:tcPr>
            <w:tcW w:w="787" w:type="dxa"/>
            <w:tcBorders>
              <w:tl2br w:val="nil"/>
              <w:tr2bl w:val="nil"/>
            </w:tcBorders>
            <w:vAlign w:val="center"/>
          </w:tcPr>
          <w:p w14:paraId="50CE764F">
            <w:pPr>
              <w:jc w:val="center"/>
            </w:pPr>
            <w:r>
              <w:t>2.85</w:t>
            </w:r>
          </w:p>
        </w:tc>
        <w:tc>
          <w:tcPr>
            <w:tcW w:w="778" w:type="dxa"/>
            <w:tcBorders>
              <w:tl2br w:val="nil"/>
              <w:tr2bl w:val="nil"/>
            </w:tcBorders>
            <w:vAlign w:val="center"/>
          </w:tcPr>
          <w:p w14:paraId="563D1CBB">
            <w:pPr>
              <w:jc w:val="center"/>
            </w:pPr>
            <w:r>
              <w:t>7.29</w:t>
            </w:r>
          </w:p>
        </w:tc>
        <w:tc>
          <w:tcPr>
            <w:tcW w:w="777" w:type="dxa"/>
            <w:tcBorders>
              <w:tl2br w:val="nil"/>
              <w:tr2bl w:val="nil"/>
            </w:tcBorders>
            <w:vAlign w:val="center"/>
          </w:tcPr>
          <w:p w14:paraId="08D11446">
            <w:pPr>
              <w:jc w:val="center"/>
            </w:pPr>
            <w:r>
              <w:t>3.94</w:t>
            </w:r>
          </w:p>
        </w:tc>
        <w:tc>
          <w:tcPr>
            <w:tcW w:w="782" w:type="dxa"/>
            <w:tcBorders>
              <w:tl2br w:val="nil"/>
              <w:tr2bl w:val="nil"/>
            </w:tcBorders>
            <w:vAlign w:val="center"/>
          </w:tcPr>
          <w:p w14:paraId="7DB05EF7">
            <w:pPr>
              <w:jc w:val="center"/>
            </w:pPr>
            <w:r>
              <w:t>18.66</w:t>
            </w:r>
          </w:p>
        </w:tc>
      </w:tr>
      <w:tr w14:paraId="234E246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778" w:type="dxa"/>
            <w:tcBorders>
              <w:tl2br w:val="nil"/>
              <w:tr2bl w:val="nil"/>
            </w:tcBorders>
            <w:vAlign w:val="center"/>
          </w:tcPr>
          <w:p w14:paraId="29D0ECCA">
            <w:pPr>
              <w:jc w:val="center"/>
            </w:pPr>
            <w:r>
              <w:t>夏</w:t>
            </w:r>
          </w:p>
        </w:tc>
        <w:tc>
          <w:tcPr>
            <w:tcW w:w="774" w:type="dxa"/>
            <w:tcBorders>
              <w:tl2br w:val="nil"/>
              <w:tr2bl w:val="nil"/>
            </w:tcBorders>
            <w:vAlign w:val="center"/>
          </w:tcPr>
          <w:p w14:paraId="7C8AF06F">
            <w:pPr>
              <w:jc w:val="center"/>
            </w:pPr>
            <w:r>
              <w:t>2.72</w:t>
            </w:r>
          </w:p>
        </w:tc>
        <w:tc>
          <w:tcPr>
            <w:tcW w:w="776" w:type="dxa"/>
            <w:tcBorders>
              <w:tl2br w:val="nil"/>
              <w:tr2bl w:val="nil"/>
            </w:tcBorders>
            <w:vAlign w:val="center"/>
          </w:tcPr>
          <w:p w14:paraId="103FCA8A">
            <w:pPr>
              <w:jc w:val="center"/>
            </w:pPr>
            <w:r>
              <w:t>5.07</w:t>
            </w:r>
          </w:p>
        </w:tc>
        <w:tc>
          <w:tcPr>
            <w:tcW w:w="775" w:type="dxa"/>
            <w:tcBorders>
              <w:tl2br w:val="nil"/>
              <w:tr2bl w:val="nil"/>
            </w:tcBorders>
            <w:vAlign w:val="center"/>
          </w:tcPr>
          <w:p w14:paraId="31D98AC9">
            <w:pPr>
              <w:jc w:val="center"/>
            </w:pPr>
            <w:r>
              <w:t>3.17</w:t>
            </w:r>
          </w:p>
        </w:tc>
        <w:tc>
          <w:tcPr>
            <w:tcW w:w="776" w:type="dxa"/>
            <w:tcBorders>
              <w:tl2br w:val="nil"/>
              <w:tr2bl w:val="nil"/>
            </w:tcBorders>
            <w:vAlign w:val="center"/>
          </w:tcPr>
          <w:p w14:paraId="71933E64">
            <w:pPr>
              <w:jc w:val="center"/>
            </w:pPr>
            <w:r>
              <w:t>3.4</w:t>
            </w:r>
          </w:p>
        </w:tc>
        <w:tc>
          <w:tcPr>
            <w:tcW w:w="775" w:type="dxa"/>
            <w:tcBorders>
              <w:tl2br w:val="nil"/>
              <w:tr2bl w:val="nil"/>
            </w:tcBorders>
            <w:vAlign w:val="center"/>
          </w:tcPr>
          <w:p w14:paraId="0FBE2F25">
            <w:pPr>
              <w:jc w:val="center"/>
            </w:pPr>
            <w:r>
              <w:t>2.67</w:t>
            </w:r>
          </w:p>
        </w:tc>
        <w:tc>
          <w:tcPr>
            <w:tcW w:w="775" w:type="dxa"/>
            <w:tcBorders>
              <w:tl2br w:val="nil"/>
              <w:tr2bl w:val="nil"/>
            </w:tcBorders>
            <w:vAlign w:val="center"/>
          </w:tcPr>
          <w:p w14:paraId="16CAD325">
            <w:pPr>
              <w:jc w:val="center"/>
            </w:pPr>
            <w:r>
              <w:t>1.77</w:t>
            </w:r>
          </w:p>
        </w:tc>
        <w:tc>
          <w:tcPr>
            <w:tcW w:w="775" w:type="dxa"/>
            <w:tcBorders>
              <w:tl2br w:val="nil"/>
              <w:tr2bl w:val="nil"/>
            </w:tcBorders>
            <w:vAlign w:val="center"/>
          </w:tcPr>
          <w:p w14:paraId="527F918C">
            <w:pPr>
              <w:jc w:val="center"/>
            </w:pPr>
            <w:r>
              <w:t>6.02</w:t>
            </w:r>
          </w:p>
        </w:tc>
        <w:tc>
          <w:tcPr>
            <w:tcW w:w="775" w:type="dxa"/>
            <w:tcBorders>
              <w:tl2br w:val="nil"/>
              <w:tr2bl w:val="nil"/>
            </w:tcBorders>
            <w:vAlign w:val="center"/>
          </w:tcPr>
          <w:p w14:paraId="4B557DEB">
            <w:pPr>
              <w:jc w:val="center"/>
            </w:pPr>
            <w:r>
              <w:t>8.79</w:t>
            </w:r>
          </w:p>
        </w:tc>
        <w:tc>
          <w:tcPr>
            <w:tcW w:w="776" w:type="dxa"/>
            <w:tcBorders>
              <w:tl2br w:val="nil"/>
              <w:tr2bl w:val="nil"/>
            </w:tcBorders>
            <w:vAlign w:val="center"/>
          </w:tcPr>
          <w:p w14:paraId="14A6B63A">
            <w:pPr>
              <w:jc w:val="center"/>
            </w:pPr>
            <w:r>
              <w:t>9.38</w:t>
            </w:r>
          </w:p>
        </w:tc>
        <w:tc>
          <w:tcPr>
            <w:tcW w:w="775" w:type="dxa"/>
            <w:tcBorders>
              <w:tl2br w:val="nil"/>
              <w:tr2bl w:val="nil"/>
            </w:tcBorders>
            <w:vAlign w:val="center"/>
          </w:tcPr>
          <w:p w14:paraId="6EABF1A9">
            <w:pPr>
              <w:jc w:val="center"/>
            </w:pPr>
            <w:r>
              <w:t>9.83</w:t>
            </w:r>
          </w:p>
        </w:tc>
        <w:tc>
          <w:tcPr>
            <w:tcW w:w="775" w:type="dxa"/>
            <w:tcBorders>
              <w:tl2br w:val="nil"/>
              <w:tr2bl w:val="nil"/>
            </w:tcBorders>
            <w:vAlign w:val="center"/>
          </w:tcPr>
          <w:p w14:paraId="4101D587">
            <w:pPr>
              <w:jc w:val="center"/>
            </w:pPr>
            <w:r>
              <w:t>3.67</w:t>
            </w:r>
          </w:p>
        </w:tc>
        <w:tc>
          <w:tcPr>
            <w:tcW w:w="778" w:type="dxa"/>
            <w:tcBorders>
              <w:tl2br w:val="nil"/>
              <w:tr2bl w:val="nil"/>
            </w:tcBorders>
            <w:vAlign w:val="center"/>
          </w:tcPr>
          <w:p w14:paraId="171C8F5F">
            <w:pPr>
              <w:jc w:val="center"/>
            </w:pPr>
            <w:r>
              <w:t>3.58</w:t>
            </w:r>
          </w:p>
        </w:tc>
        <w:tc>
          <w:tcPr>
            <w:tcW w:w="777" w:type="dxa"/>
            <w:tcBorders>
              <w:tl2br w:val="nil"/>
              <w:tr2bl w:val="nil"/>
            </w:tcBorders>
            <w:vAlign w:val="center"/>
          </w:tcPr>
          <w:p w14:paraId="6C06CEDA">
            <w:pPr>
              <w:jc w:val="center"/>
            </w:pPr>
            <w:r>
              <w:t>3.89</w:t>
            </w:r>
          </w:p>
        </w:tc>
        <w:tc>
          <w:tcPr>
            <w:tcW w:w="787" w:type="dxa"/>
            <w:tcBorders>
              <w:tl2br w:val="nil"/>
              <w:tr2bl w:val="nil"/>
            </w:tcBorders>
            <w:vAlign w:val="center"/>
          </w:tcPr>
          <w:p w14:paraId="73B75E97">
            <w:pPr>
              <w:jc w:val="center"/>
            </w:pPr>
            <w:r>
              <w:t>1.59</w:t>
            </w:r>
          </w:p>
        </w:tc>
        <w:tc>
          <w:tcPr>
            <w:tcW w:w="778" w:type="dxa"/>
            <w:tcBorders>
              <w:tl2br w:val="nil"/>
              <w:tr2bl w:val="nil"/>
            </w:tcBorders>
            <w:vAlign w:val="center"/>
          </w:tcPr>
          <w:p w14:paraId="65CA63FD">
            <w:pPr>
              <w:jc w:val="center"/>
            </w:pPr>
            <w:r>
              <w:t>2.36</w:t>
            </w:r>
          </w:p>
        </w:tc>
        <w:tc>
          <w:tcPr>
            <w:tcW w:w="777" w:type="dxa"/>
            <w:tcBorders>
              <w:tl2br w:val="nil"/>
              <w:tr2bl w:val="nil"/>
            </w:tcBorders>
            <w:vAlign w:val="center"/>
          </w:tcPr>
          <w:p w14:paraId="70C4E6B1">
            <w:pPr>
              <w:jc w:val="center"/>
            </w:pPr>
            <w:r>
              <w:t>1.9</w:t>
            </w:r>
          </w:p>
        </w:tc>
        <w:tc>
          <w:tcPr>
            <w:tcW w:w="782" w:type="dxa"/>
            <w:tcBorders>
              <w:tl2br w:val="nil"/>
              <w:tr2bl w:val="nil"/>
            </w:tcBorders>
            <w:vAlign w:val="center"/>
          </w:tcPr>
          <w:p w14:paraId="6BD24B9B">
            <w:pPr>
              <w:jc w:val="center"/>
            </w:pPr>
            <w:r>
              <w:t>30.21</w:t>
            </w:r>
          </w:p>
        </w:tc>
      </w:tr>
      <w:tr w14:paraId="0E50383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3" w:hRule="atLeast"/>
        </w:trPr>
        <w:tc>
          <w:tcPr>
            <w:tcW w:w="778" w:type="dxa"/>
            <w:tcBorders>
              <w:tl2br w:val="nil"/>
              <w:tr2bl w:val="nil"/>
            </w:tcBorders>
            <w:vAlign w:val="center"/>
          </w:tcPr>
          <w:p w14:paraId="2730E46F">
            <w:pPr>
              <w:jc w:val="center"/>
            </w:pPr>
            <w:r>
              <w:t>秋</w:t>
            </w:r>
          </w:p>
        </w:tc>
        <w:tc>
          <w:tcPr>
            <w:tcW w:w="774" w:type="dxa"/>
            <w:tcBorders>
              <w:tl2br w:val="nil"/>
              <w:tr2bl w:val="nil"/>
            </w:tcBorders>
            <w:vAlign w:val="center"/>
          </w:tcPr>
          <w:p w14:paraId="021F0D44">
            <w:pPr>
              <w:jc w:val="center"/>
            </w:pPr>
            <w:r>
              <w:t>4.72</w:t>
            </w:r>
          </w:p>
        </w:tc>
        <w:tc>
          <w:tcPr>
            <w:tcW w:w="776" w:type="dxa"/>
            <w:tcBorders>
              <w:tl2br w:val="nil"/>
              <w:tr2bl w:val="nil"/>
            </w:tcBorders>
            <w:vAlign w:val="center"/>
          </w:tcPr>
          <w:p w14:paraId="41BA1647">
            <w:pPr>
              <w:jc w:val="center"/>
            </w:pPr>
            <w:r>
              <w:t>7.01</w:t>
            </w:r>
          </w:p>
        </w:tc>
        <w:tc>
          <w:tcPr>
            <w:tcW w:w="775" w:type="dxa"/>
            <w:tcBorders>
              <w:tl2br w:val="nil"/>
              <w:tr2bl w:val="nil"/>
            </w:tcBorders>
            <w:vAlign w:val="center"/>
          </w:tcPr>
          <w:p w14:paraId="24DA4C7B">
            <w:pPr>
              <w:jc w:val="center"/>
            </w:pPr>
            <w:r>
              <w:t>5.63</w:t>
            </w:r>
          </w:p>
        </w:tc>
        <w:tc>
          <w:tcPr>
            <w:tcW w:w="776" w:type="dxa"/>
            <w:tcBorders>
              <w:tl2br w:val="nil"/>
              <w:tr2bl w:val="nil"/>
            </w:tcBorders>
            <w:vAlign w:val="center"/>
          </w:tcPr>
          <w:p w14:paraId="4C0DD4DA">
            <w:pPr>
              <w:jc w:val="center"/>
            </w:pPr>
            <w:r>
              <w:t>8.75</w:t>
            </w:r>
          </w:p>
        </w:tc>
        <w:tc>
          <w:tcPr>
            <w:tcW w:w="775" w:type="dxa"/>
            <w:tcBorders>
              <w:tl2br w:val="nil"/>
              <w:tr2bl w:val="nil"/>
            </w:tcBorders>
            <w:vAlign w:val="center"/>
          </w:tcPr>
          <w:p w14:paraId="723B0D5B">
            <w:pPr>
              <w:jc w:val="center"/>
            </w:pPr>
            <w:r>
              <w:t>3.94</w:t>
            </w:r>
          </w:p>
        </w:tc>
        <w:tc>
          <w:tcPr>
            <w:tcW w:w="775" w:type="dxa"/>
            <w:tcBorders>
              <w:tl2br w:val="nil"/>
              <w:tr2bl w:val="nil"/>
            </w:tcBorders>
            <w:vAlign w:val="center"/>
          </w:tcPr>
          <w:p w14:paraId="50A0E85C">
            <w:pPr>
              <w:jc w:val="center"/>
            </w:pPr>
            <w:r>
              <w:t>0.87</w:t>
            </w:r>
          </w:p>
        </w:tc>
        <w:tc>
          <w:tcPr>
            <w:tcW w:w="775" w:type="dxa"/>
            <w:tcBorders>
              <w:tl2br w:val="nil"/>
              <w:tr2bl w:val="nil"/>
            </w:tcBorders>
            <w:vAlign w:val="center"/>
          </w:tcPr>
          <w:p w14:paraId="6B12652A">
            <w:pPr>
              <w:jc w:val="center"/>
            </w:pPr>
            <w:r>
              <w:t>2.06</w:t>
            </w:r>
          </w:p>
        </w:tc>
        <w:tc>
          <w:tcPr>
            <w:tcW w:w="775" w:type="dxa"/>
            <w:tcBorders>
              <w:tl2br w:val="nil"/>
              <w:tr2bl w:val="nil"/>
            </w:tcBorders>
            <w:vAlign w:val="center"/>
          </w:tcPr>
          <w:p w14:paraId="38AF037C">
            <w:pPr>
              <w:jc w:val="center"/>
            </w:pPr>
            <w:r>
              <w:t>3.66</w:t>
            </w:r>
          </w:p>
        </w:tc>
        <w:tc>
          <w:tcPr>
            <w:tcW w:w="776" w:type="dxa"/>
            <w:tcBorders>
              <w:tl2br w:val="nil"/>
              <w:tr2bl w:val="nil"/>
            </w:tcBorders>
            <w:vAlign w:val="center"/>
          </w:tcPr>
          <w:p w14:paraId="6A8E120A">
            <w:pPr>
              <w:jc w:val="center"/>
            </w:pPr>
            <w:r>
              <w:t>5.49</w:t>
            </w:r>
          </w:p>
        </w:tc>
        <w:tc>
          <w:tcPr>
            <w:tcW w:w="775" w:type="dxa"/>
            <w:tcBorders>
              <w:tl2br w:val="nil"/>
              <w:tr2bl w:val="nil"/>
            </w:tcBorders>
            <w:vAlign w:val="center"/>
          </w:tcPr>
          <w:p w14:paraId="323CEBE7">
            <w:pPr>
              <w:jc w:val="center"/>
            </w:pPr>
            <w:r>
              <w:t>7.01</w:t>
            </w:r>
          </w:p>
        </w:tc>
        <w:tc>
          <w:tcPr>
            <w:tcW w:w="775" w:type="dxa"/>
            <w:tcBorders>
              <w:tl2br w:val="nil"/>
              <w:tr2bl w:val="nil"/>
            </w:tcBorders>
            <w:vAlign w:val="center"/>
          </w:tcPr>
          <w:p w14:paraId="717B2C3B">
            <w:pPr>
              <w:jc w:val="center"/>
            </w:pPr>
            <w:r>
              <w:t>5.72</w:t>
            </w:r>
          </w:p>
        </w:tc>
        <w:tc>
          <w:tcPr>
            <w:tcW w:w="778" w:type="dxa"/>
            <w:tcBorders>
              <w:tl2br w:val="nil"/>
              <w:tr2bl w:val="nil"/>
            </w:tcBorders>
            <w:vAlign w:val="center"/>
          </w:tcPr>
          <w:p w14:paraId="37946444">
            <w:pPr>
              <w:jc w:val="center"/>
            </w:pPr>
            <w:r>
              <w:t>5.77</w:t>
            </w:r>
          </w:p>
        </w:tc>
        <w:tc>
          <w:tcPr>
            <w:tcW w:w="777" w:type="dxa"/>
            <w:tcBorders>
              <w:tl2br w:val="nil"/>
              <w:tr2bl w:val="nil"/>
            </w:tcBorders>
            <w:vAlign w:val="center"/>
          </w:tcPr>
          <w:p w14:paraId="271C597E">
            <w:pPr>
              <w:jc w:val="center"/>
            </w:pPr>
            <w:r>
              <w:t>3.71</w:t>
            </w:r>
          </w:p>
        </w:tc>
        <w:tc>
          <w:tcPr>
            <w:tcW w:w="787" w:type="dxa"/>
            <w:tcBorders>
              <w:tl2br w:val="nil"/>
              <w:tr2bl w:val="nil"/>
            </w:tcBorders>
            <w:vAlign w:val="center"/>
          </w:tcPr>
          <w:p w14:paraId="05F3D267">
            <w:pPr>
              <w:jc w:val="center"/>
            </w:pPr>
            <w:r>
              <w:t>1.6</w:t>
            </w:r>
          </w:p>
        </w:tc>
        <w:tc>
          <w:tcPr>
            <w:tcW w:w="778" w:type="dxa"/>
            <w:tcBorders>
              <w:tl2br w:val="nil"/>
              <w:tr2bl w:val="nil"/>
            </w:tcBorders>
            <w:vAlign w:val="center"/>
          </w:tcPr>
          <w:p w14:paraId="276843E6">
            <w:pPr>
              <w:jc w:val="center"/>
            </w:pPr>
            <w:r>
              <w:t>2.61</w:t>
            </w:r>
          </w:p>
        </w:tc>
        <w:tc>
          <w:tcPr>
            <w:tcW w:w="777" w:type="dxa"/>
            <w:tcBorders>
              <w:tl2br w:val="nil"/>
              <w:tr2bl w:val="nil"/>
            </w:tcBorders>
            <w:vAlign w:val="center"/>
          </w:tcPr>
          <w:p w14:paraId="03EBC102">
            <w:pPr>
              <w:jc w:val="center"/>
            </w:pPr>
            <w:r>
              <w:t>3.39</w:t>
            </w:r>
          </w:p>
        </w:tc>
        <w:tc>
          <w:tcPr>
            <w:tcW w:w="782" w:type="dxa"/>
            <w:tcBorders>
              <w:tl2br w:val="nil"/>
              <w:tr2bl w:val="nil"/>
            </w:tcBorders>
            <w:vAlign w:val="center"/>
          </w:tcPr>
          <w:p w14:paraId="389A40CF">
            <w:pPr>
              <w:jc w:val="center"/>
            </w:pPr>
            <w:r>
              <w:t>28.07</w:t>
            </w:r>
          </w:p>
        </w:tc>
      </w:tr>
      <w:tr w14:paraId="68CC9753">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778" w:type="dxa"/>
            <w:tcBorders>
              <w:tl2br w:val="nil"/>
              <w:tr2bl w:val="nil"/>
            </w:tcBorders>
            <w:vAlign w:val="center"/>
          </w:tcPr>
          <w:p w14:paraId="11CD225D">
            <w:pPr>
              <w:jc w:val="center"/>
            </w:pPr>
            <w:r>
              <w:t>冬</w:t>
            </w:r>
          </w:p>
        </w:tc>
        <w:tc>
          <w:tcPr>
            <w:tcW w:w="774" w:type="dxa"/>
            <w:tcBorders>
              <w:tl2br w:val="nil"/>
              <w:tr2bl w:val="nil"/>
            </w:tcBorders>
            <w:vAlign w:val="center"/>
          </w:tcPr>
          <w:p w14:paraId="39285F8D">
            <w:pPr>
              <w:jc w:val="center"/>
            </w:pPr>
            <w:r>
              <w:t>5.79</w:t>
            </w:r>
          </w:p>
        </w:tc>
        <w:tc>
          <w:tcPr>
            <w:tcW w:w="776" w:type="dxa"/>
            <w:tcBorders>
              <w:tl2br w:val="nil"/>
              <w:tr2bl w:val="nil"/>
            </w:tcBorders>
            <w:vAlign w:val="center"/>
          </w:tcPr>
          <w:p w14:paraId="4380F9D5">
            <w:pPr>
              <w:jc w:val="center"/>
            </w:pPr>
            <w:r>
              <w:t>10</w:t>
            </w:r>
          </w:p>
        </w:tc>
        <w:tc>
          <w:tcPr>
            <w:tcW w:w="775" w:type="dxa"/>
            <w:tcBorders>
              <w:tl2br w:val="nil"/>
              <w:tr2bl w:val="nil"/>
            </w:tcBorders>
            <w:vAlign w:val="center"/>
          </w:tcPr>
          <w:p w14:paraId="03B1274C">
            <w:pPr>
              <w:jc w:val="center"/>
            </w:pPr>
            <w:r>
              <w:t>5.51</w:t>
            </w:r>
          </w:p>
        </w:tc>
        <w:tc>
          <w:tcPr>
            <w:tcW w:w="776" w:type="dxa"/>
            <w:tcBorders>
              <w:tl2br w:val="nil"/>
              <w:tr2bl w:val="nil"/>
            </w:tcBorders>
            <w:vAlign w:val="center"/>
          </w:tcPr>
          <w:p w14:paraId="028026E7">
            <w:pPr>
              <w:jc w:val="center"/>
            </w:pPr>
            <w:r>
              <w:t>5.83</w:t>
            </w:r>
          </w:p>
        </w:tc>
        <w:tc>
          <w:tcPr>
            <w:tcW w:w="775" w:type="dxa"/>
            <w:tcBorders>
              <w:tl2br w:val="nil"/>
              <w:tr2bl w:val="nil"/>
            </w:tcBorders>
            <w:vAlign w:val="center"/>
          </w:tcPr>
          <w:p w14:paraId="01FCDA13">
            <w:pPr>
              <w:jc w:val="center"/>
            </w:pPr>
            <w:r>
              <w:t>2.78</w:t>
            </w:r>
          </w:p>
        </w:tc>
        <w:tc>
          <w:tcPr>
            <w:tcW w:w="775" w:type="dxa"/>
            <w:tcBorders>
              <w:tl2br w:val="nil"/>
              <w:tr2bl w:val="nil"/>
            </w:tcBorders>
            <w:vAlign w:val="center"/>
          </w:tcPr>
          <w:p w14:paraId="7EEC1F92">
            <w:pPr>
              <w:jc w:val="center"/>
            </w:pPr>
            <w:r>
              <w:t>1.06</w:t>
            </w:r>
          </w:p>
        </w:tc>
        <w:tc>
          <w:tcPr>
            <w:tcW w:w="775" w:type="dxa"/>
            <w:tcBorders>
              <w:tl2br w:val="nil"/>
              <w:tr2bl w:val="nil"/>
            </w:tcBorders>
            <w:vAlign w:val="center"/>
          </w:tcPr>
          <w:p w14:paraId="1B82EECC">
            <w:pPr>
              <w:jc w:val="center"/>
            </w:pPr>
            <w:r>
              <w:t>2.92</w:t>
            </w:r>
          </w:p>
        </w:tc>
        <w:tc>
          <w:tcPr>
            <w:tcW w:w="775" w:type="dxa"/>
            <w:tcBorders>
              <w:tl2br w:val="nil"/>
              <w:tr2bl w:val="nil"/>
            </w:tcBorders>
            <w:vAlign w:val="center"/>
          </w:tcPr>
          <w:p w14:paraId="01636A62">
            <w:pPr>
              <w:jc w:val="center"/>
            </w:pPr>
            <w:r>
              <w:t>3.75</w:t>
            </w:r>
          </w:p>
        </w:tc>
        <w:tc>
          <w:tcPr>
            <w:tcW w:w="776" w:type="dxa"/>
            <w:tcBorders>
              <w:tl2br w:val="nil"/>
              <w:tr2bl w:val="nil"/>
            </w:tcBorders>
            <w:vAlign w:val="center"/>
          </w:tcPr>
          <w:p w14:paraId="66B3FE70">
            <w:pPr>
              <w:jc w:val="center"/>
            </w:pPr>
            <w:r>
              <w:t>3.38</w:t>
            </w:r>
          </w:p>
        </w:tc>
        <w:tc>
          <w:tcPr>
            <w:tcW w:w="775" w:type="dxa"/>
            <w:tcBorders>
              <w:tl2br w:val="nil"/>
              <w:tr2bl w:val="nil"/>
            </w:tcBorders>
            <w:vAlign w:val="center"/>
          </w:tcPr>
          <w:p w14:paraId="4DBAD392">
            <w:pPr>
              <w:jc w:val="center"/>
            </w:pPr>
            <w:r>
              <w:t>7.04</w:t>
            </w:r>
          </w:p>
        </w:tc>
        <w:tc>
          <w:tcPr>
            <w:tcW w:w="775" w:type="dxa"/>
            <w:tcBorders>
              <w:tl2br w:val="nil"/>
              <w:tr2bl w:val="nil"/>
            </w:tcBorders>
            <w:vAlign w:val="center"/>
          </w:tcPr>
          <w:p w14:paraId="525B1229">
            <w:pPr>
              <w:jc w:val="center"/>
            </w:pPr>
            <w:r>
              <w:t>3.89</w:t>
            </w:r>
          </w:p>
        </w:tc>
        <w:tc>
          <w:tcPr>
            <w:tcW w:w="778" w:type="dxa"/>
            <w:tcBorders>
              <w:tl2br w:val="nil"/>
              <w:tr2bl w:val="nil"/>
            </w:tcBorders>
            <w:vAlign w:val="center"/>
          </w:tcPr>
          <w:p w14:paraId="05F07167">
            <w:pPr>
              <w:jc w:val="center"/>
            </w:pPr>
            <w:r>
              <w:t>5.23</w:t>
            </w:r>
          </w:p>
        </w:tc>
        <w:tc>
          <w:tcPr>
            <w:tcW w:w="777" w:type="dxa"/>
            <w:tcBorders>
              <w:tl2br w:val="nil"/>
              <w:tr2bl w:val="nil"/>
            </w:tcBorders>
            <w:vAlign w:val="center"/>
          </w:tcPr>
          <w:p w14:paraId="320F91AE">
            <w:pPr>
              <w:jc w:val="center"/>
            </w:pPr>
            <w:r>
              <w:t>4.26</w:t>
            </w:r>
          </w:p>
        </w:tc>
        <w:tc>
          <w:tcPr>
            <w:tcW w:w="787" w:type="dxa"/>
            <w:tcBorders>
              <w:tl2br w:val="nil"/>
              <w:tr2bl w:val="nil"/>
            </w:tcBorders>
            <w:vAlign w:val="center"/>
          </w:tcPr>
          <w:p w14:paraId="0E38098F">
            <w:pPr>
              <w:jc w:val="center"/>
            </w:pPr>
            <w:r>
              <w:t>2.36</w:t>
            </w:r>
          </w:p>
        </w:tc>
        <w:tc>
          <w:tcPr>
            <w:tcW w:w="778" w:type="dxa"/>
            <w:tcBorders>
              <w:tl2br w:val="nil"/>
              <w:tr2bl w:val="nil"/>
            </w:tcBorders>
            <w:vAlign w:val="center"/>
          </w:tcPr>
          <w:p w14:paraId="7D57511C">
            <w:pPr>
              <w:jc w:val="center"/>
            </w:pPr>
            <w:r>
              <w:t>3.06</w:t>
            </w:r>
          </w:p>
        </w:tc>
        <w:tc>
          <w:tcPr>
            <w:tcW w:w="777" w:type="dxa"/>
            <w:tcBorders>
              <w:tl2br w:val="nil"/>
              <w:tr2bl w:val="nil"/>
            </w:tcBorders>
            <w:vAlign w:val="center"/>
          </w:tcPr>
          <w:p w14:paraId="38BDD5F6">
            <w:pPr>
              <w:jc w:val="center"/>
            </w:pPr>
            <w:r>
              <w:t>2.87</w:t>
            </w:r>
          </w:p>
        </w:tc>
        <w:tc>
          <w:tcPr>
            <w:tcW w:w="782" w:type="dxa"/>
            <w:tcBorders>
              <w:tl2br w:val="nil"/>
              <w:tr2bl w:val="nil"/>
            </w:tcBorders>
            <w:vAlign w:val="center"/>
          </w:tcPr>
          <w:p w14:paraId="4799E321">
            <w:pPr>
              <w:jc w:val="center"/>
            </w:pPr>
            <w:r>
              <w:t>30.28</w:t>
            </w:r>
          </w:p>
        </w:tc>
      </w:tr>
      <w:tr w14:paraId="777FAA6F">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8" w:hRule="atLeast"/>
        </w:trPr>
        <w:tc>
          <w:tcPr>
            <w:tcW w:w="778" w:type="dxa"/>
            <w:tcBorders>
              <w:tl2br w:val="nil"/>
              <w:tr2bl w:val="nil"/>
            </w:tcBorders>
            <w:vAlign w:val="center"/>
          </w:tcPr>
          <w:p w14:paraId="19D07EC4">
            <w:pPr>
              <w:jc w:val="center"/>
            </w:pPr>
            <w:r>
              <w:t>全年</w:t>
            </w:r>
          </w:p>
        </w:tc>
        <w:tc>
          <w:tcPr>
            <w:tcW w:w="774" w:type="dxa"/>
            <w:tcBorders>
              <w:tl2br w:val="nil"/>
              <w:tr2bl w:val="nil"/>
            </w:tcBorders>
            <w:vAlign w:val="center"/>
          </w:tcPr>
          <w:p w14:paraId="5A939951">
            <w:pPr>
              <w:jc w:val="center"/>
            </w:pPr>
            <w:r>
              <w:t>4.83</w:t>
            </w:r>
          </w:p>
        </w:tc>
        <w:tc>
          <w:tcPr>
            <w:tcW w:w="776" w:type="dxa"/>
            <w:tcBorders>
              <w:tl2br w:val="nil"/>
              <w:tr2bl w:val="nil"/>
            </w:tcBorders>
            <w:vAlign w:val="center"/>
          </w:tcPr>
          <w:p w14:paraId="4F46566D">
            <w:pPr>
              <w:jc w:val="center"/>
            </w:pPr>
            <w:r>
              <w:t>7.32</w:t>
            </w:r>
          </w:p>
        </w:tc>
        <w:tc>
          <w:tcPr>
            <w:tcW w:w="775" w:type="dxa"/>
            <w:tcBorders>
              <w:tl2br w:val="nil"/>
              <w:tr2bl w:val="nil"/>
            </w:tcBorders>
            <w:vAlign w:val="center"/>
          </w:tcPr>
          <w:p w14:paraId="248C4532">
            <w:pPr>
              <w:jc w:val="center"/>
            </w:pPr>
            <w:r>
              <w:t>4.69</w:t>
            </w:r>
          </w:p>
        </w:tc>
        <w:tc>
          <w:tcPr>
            <w:tcW w:w="776" w:type="dxa"/>
            <w:tcBorders>
              <w:tl2br w:val="nil"/>
              <w:tr2bl w:val="nil"/>
            </w:tcBorders>
            <w:vAlign w:val="center"/>
          </w:tcPr>
          <w:p w14:paraId="7E4F551F">
            <w:pPr>
              <w:jc w:val="center"/>
            </w:pPr>
            <w:r>
              <w:t>5.7</w:t>
            </w:r>
          </w:p>
        </w:tc>
        <w:tc>
          <w:tcPr>
            <w:tcW w:w="775" w:type="dxa"/>
            <w:tcBorders>
              <w:tl2br w:val="nil"/>
              <w:tr2bl w:val="nil"/>
            </w:tcBorders>
            <w:vAlign w:val="center"/>
          </w:tcPr>
          <w:p w14:paraId="6EED8953">
            <w:pPr>
              <w:jc w:val="center"/>
            </w:pPr>
            <w:r>
              <w:t>2.99</w:t>
            </w:r>
          </w:p>
        </w:tc>
        <w:tc>
          <w:tcPr>
            <w:tcW w:w="775" w:type="dxa"/>
            <w:tcBorders>
              <w:tl2br w:val="nil"/>
              <w:tr2bl w:val="nil"/>
            </w:tcBorders>
            <w:vAlign w:val="center"/>
          </w:tcPr>
          <w:p w14:paraId="346C4863">
            <w:pPr>
              <w:jc w:val="center"/>
            </w:pPr>
            <w:r>
              <w:t>1.44</w:t>
            </w:r>
          </w:p>
        </w:tc>
        <w:tc>
          <w:tcPr>
            <w:tcW w:w="775" w:type="dxa"/>
            <w:tcBorders>
              <w:tl2br w:val="nil"/>
              <w:tr2bl w:val="nil"/>
            </w:tcBorders>
            <w:vAlign w:val="center"/>
          </w:tcPr>
          <w:p w14:paraId="472EAB4D">
            <w:pPr>
              <w:jc w:val="center"/>
            </w:pPr>
            <w:r>
              <w:t>4.08</w:t>
            </w:r>
          </w:p>
        </w:tc>
        <w:tc>
          <w:tcPr>
            <w:tcW w:w="775" w:type="dxa"/>
            <w:tcBorders>
              <w:tl2br w:val="nil"/>
              <w:tr2bl w:val="nil"/>
            </w:tcBorders>
            <w:vAlign w:val="center"/>
          </w:tcPr>
          <w:p w14:paraId="64F4C0A3">
            <w:pPr>
              <w:jc w:val="center"/>
            </w:pPr>
            <w:r>
              <w:t>5.37</w:t>
            </w:r>
          </w:p>
        </w:tc>
        <w:tc>
          <w:tcPr>
            <w:tcW w:w="776" w:type="dxa"/>
            <w:tcBorders>
              <w:tl2br w:val="nil"/>
              <w:tr2bl w:val="nil"/>
            </w:tcBorders>
            <w:vAlign w:val="center"/>
          </w:tcPr>
          <w:p w14:paraId="506D70A2">
            <w:pPr>
              <w:jc w:val="center"/>
            </w:pPr>
            <w:r>
              <w:t>6.24</w:t>
            </w:r>
          </w:p>
        </w:tc>
        <w:tc>
          <w:tcPr>
            <w:tcW w:w="775" w:type="dxa"/>
            <w:tcBorders>
              <w:tl2br w:val="nil"/>
              <w:tr2bl w:val="nil"/>
            </w:tcBorders>
            <w:vAlign w:val="center"/>
          </w:tcPr>
          <w:p w14:paraId="58A4819F">
            <w:pPr>
              <w:jc w:val="center"/>
            </w:pPr>
            <w:r>
              <w:t>8.23</w:t>
            </w:r>
          </w:p>
        </w:tc>
        <w:tc>
          <w:tcPr>
            <w:tcW w:w="775" w:type="dxa"/>
            <w:tcBorders>
              <w:tl2br w:val="nil"/>
              <w:tr2bl w:val="nil"/>
            </w:tcBorders>
            <w:vAlign w:val="center"/>
          </w:tcPr>
          <w:p w14:paraId="394143BE">
            <w:pPr>
              <w:jc w:val="center"/>
            </w:pPr>
            <w:r>
              <w:t>4.44</w:t>
            </w:r>
          </w:p>
        </w:tc>
        <w:tc>
          <w:tcPr>
            <w:tcW w:w="778" w:type="dxa"/>
            <w:tcBorders>
              <w:tl2br w:val="nil"/>
              <w:tr2bl w:val="nil"/>
            </w:tcBorders>
            <w:vAlign w:val="center"/>
          </w:tcPr>
          <w:p w14:paraId="4E1BE3DA">
            <w:pPr>
              <w:jc w:val="center"/>
            </w:pPr>
            <w:r>
              <w:t>4.62</w:t>
            </w:r>
          </w:p>
        </w:tc>
        <w:tc>
          <w:tcPr>
            <w:tcW w:w="777" w:type="dxa"/>
            <w:tcBorders>
              <w:tl2br w:val="nil"/>
              <w:tr2bl w:val="nil"/>
            </w:tcBorders>
            <w:vAlign w:val="center"/>
          </w:tcPr>
          <w:p w14:paraId="272626CC">
            <w:pPr>
              <w:jc w:val="center"/>
            </w:pPr>
            <w:r>
              <w:t>4.32</w:t>
            </w:r>
          </w:p>
        </w:tc>
        <w:tc>
          <w:tcPr>
            <w:tcW w:w="787" w:type="dxa"/>
            <w:tcBorders>
              <w:tl2br w:val="nil"/>
              <w:tr2bl w:val="nil"/>
            </w:tcBorders>
            <w:vAlign w:val="center"/>
          </w:tcPr>
          <w:p w14:paraId="07783366">
            <w:pPr>
              <w:jc w:val="center"/>
            </w:pPr>
            <w:r>
              <w:t>2. 1</w:t>
            </w:r>
          </w:p>
        </w:tc>
        <w:tc>
          <w:tcPr>
            <w:tcW w:w="778" w:type="dxa"/>
            <w:tcBorders>
              <w:tl2br w:val="nil"/>
              <w:tr2bl w:val="nil"/>
            </w:tcBorders>
            <w:vAlign w:val="center"/>
          </w:tcPr>
          <w:p w14:paraId="1B3E516A">
            <w:pPr>
              <w:jc w:val="center"/>
            </w:pPr>
            <w:r>
              <w:t>3.84</w:t>
            </w:r>
          </w:p>
        </w:tc>
        <w:tc>
          <w:tcPr>
            <w:tcW w:w="777" w:type="dxa"/>
            <w:tcBorders>
              <w:tl2br w:val="nil"/>
              <w:tr2bl w:val="nil"/>
            </w:tcBorders>
            <w:vAlign w:val="center"/>
          </w:tcPr>
          <w:p w14:paraId="0F4E8C5C">
            <w:pPr>
              <w:jc w:val="center"/>
            </w:pPr>
            <w:r>
              <w:t>3.03</w:t>
            </w:r>
          </w:p>
        </w:tc>
        <w:tc>
          <w:tcPr>
            <w:tcW w:w="782" w:type="dxa"/>
            <w:tcBorders>
              <w:tl2br w:val="nil"/>
              <w:tr2bl w:val="nil"/>
            </w:tcBorders>
            <w:vAlign w:val="center"/>
          </w:tcPr>
          <w:p w14:paraId="41BFCC71">
            <w:pPr>
              <w:jc w:val="center"/>
            </w:pPr>
            <w:r>
              <w:t>26.78</w:t>
            </w:r>
          </w:p>
        </w:tc>
      </w:tr>
    </w:tbl>
    <w:p w14:paraId="0917C485">
      <w:pPr>
        <w:spacing w:line="360" w:lineRule="auto"/>
        <w:rPr>
          <w:color w:val="auto"/>
          <w:sz w:val="24"/>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276C3917">
      <w:pPr>
        <w:spacing w:before="212" w:line="219" w:lineRule="auto"/>
        <w:ind w:right="28"/>
        <w:jc w:val="center"/>
      </w:pPr>
      <w:r>
        <w:rPr>
          <w:rFonts w:hint="default" w:ascii="Times New Roman" w:hAnsi="Times New Roman" w:eastAsia="宋体" w:cs="Times New Roman"/>
          <w:b/>
          <w:bCs/>
          <w:sz w:val="21"/>
          <w:szCs w:val="21"/>
        </w:rPr>
        <w:t>表5</w:t>
      </w:r>
      <w:r>
        <w:rPr>
          <w:rFonts w:hint="eastAsia" w:cs="Times New Roman"/>
          <w:b/>
          <w:bCs/>
          <w:sz w:val="21"/>
          <w:szCs w:val="21"/>
          <w:lang w:val="en-US" w:eastAsia="zh-CN"/>
        </w:rPr>
        <w:t>.2</w:t>
      </w:r>
      <w:r>
        <w:rPr>
          <w:rFonts w:hint="default" w:ascii="Times New Roman" w:hAnsi="Times New Roman" w:eastAsia="宋体" w:cs="Times New Roman"/>
          <w:b/>
          <w:bCs/>
          <w:sz w:val="21"/>
          <w:szCs w:val="21"/>
        </w:rPr>
        <w:t xml:space="preserve">-3   </w:t>
      </w:r>
      <w:r>
        <w:rPr>
          <w:rFonts w:hint="default" w:ascii="Times New Roman" w:hAnsi="Times New Roman" w:eastAsia="宋体" w:cs="Times New Roman"/>
          <w:b/>
          <w:bCs/>
          <w:sz w:val="21"/>
          <w:szCs w:val="21"/>
          <w:lang w:val="en-US" w:eastAsia="zh-CN"/>
        </w:rPr>
        <w:t xml:space="preserve"> </w:t>
      </w:r>
      <w:r>
        <w:rPr>
          <w:rFonts w:hint="default" w:ascii="Times New Roman" w:hAnsi="Times New Roman" w:eastAsia="宋体" w:cs="Times New Roman"/>
          <w:b/>
          <w:bCs/>
          <w:sz w:val="21"/>
          <w:szCs w:val="21"/>
        </w:rPr>
        <w:t>北票市20</w:t>
      </w:r>
      <w:r>
        <w:rPr>
          <w:rFonts w:hint="eastAsia" w:cs="Times New Roman"/>
          <w:b/>
          <w:bCs/>
          <w:sz w:val="21"/>
          <w:szCs w:val="21"/>
          <w:lang w:val="en-US" w:eastAsia="zh-CN"/>
        </w:rPr>
        <w:t>23</w:t>
      </w:r>
      <w:r>
        <w:rPr>
          <w:rFonts w:hint="default" w:ascii="Times New Roman" w:hAnsi="Times New Roman" w:eastAsia="宋体" w:cs="Times New Roman"/>
          <w:b/>
          <w:bCs/>
          <w:sz w:val="21"/>
          <w:szCs w:val="21"/>
        </w:rPr>
        <w:t>年全年及各月各季平均风速     单位：m/s</w:t>
      </w:r>
    </w:p>
    <w:tbl>
      <w:tblPr>
        <w:tblStyle w:val="551"/>
        <w:tblW w:w="13984" w:type="dxa"/>
        <w:tblInd w:w="2"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780"/>
        <w:gridCol w:w="776"/>
        <w:gridCol w:w="775"/>
        <w:gridCol w:w="776"/>
        <w:gridCol w:w="776"/>
        <w:gridCol w:w="775"/>
        <w:gridCol w:w="776"/>
        <w:gridCol w:w="776"/>
        <w:gridCol w:w="776"/>
        <w:gridCol w:w="776"/>
        <w:gridCol w:w="776"/>
        <w:gridCol w:w="776"/>
        <w:gridCol w:w="778"/>
        <w:gridCol w:w="778"/>
        <w:gridCol w:w="777"/>
        <w:gridCol w:w="778"/>
        <w:gridCol w:w="777"/>
        <w:gridCol w:w="782"/>
      </w:tblGrid>
      <w:tr w14:paraId="19859008">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7" w:hRule="atLeast"/>
        </w:trPr>
        <w:tc>
          <w:tcPr>
            <w:tcW w:w="780" w:type="dxa"/>
            <w:tcBorders>
              <w:tl2br w:val="nil"/>
              <w:tr2bl w:val="nil"/>
            </w:tcBorders>
            <w:vAlign w:val="center"/>
          </w:tcPr>
          <w:p w14:paraId="3C551F71">
            <w:pPr>
              <w:jc w:val="center"/>
            </w:pPr>
            <w:r>
              <w:t>月份</w:t>
            </w:r>
          </w:p>
        </w:tc>
        <w:tc>
          <w:tcPr>
            <w:tcW w:w="776" w:type="dxa"/>
            <w:tcBorders>
              <w:tl2br w:val="nil"/>
              <w:tr2bl w:val="nil"/>
            </w:tcBorders>
            <w:vAlign w:val="center"/>
          </w:tcPr>
          <w:p w14:paraId="71EA9CB0">
            <w:pPr>
              <w:jc w:val="center"/>
            </w:pPr>
            <w:r>
              <w:t>N</w:t>
            </w:r>
          </w:p>
        </w:tc>
        <w:tc>
          <w:tcPr>
            <w:tcW w:w="775" w:type="dxa"/>
            <w:tcBorders>
              <w:tl2br w:val="nil"/>
              <w:tr2bl w:val="nil"/>
            </w:tcBorders>
            <w:vAlign w:val="center"/>
          </w:tcPr>
          <w:p w14:paraId="2F692313">
            <w:pPr>
              <w:jc w:val="center"/>
            </w:pPr>
            <w:r>
              <w:t>NNE</w:t>
            </w:r>
          </w:p>
        </w:tc>
        <w:tc>
          <w:tcPr>
            <w:tcW w:w="776" w:type="dxa"/>
            <w:tcBorders>
              <w:tl2br w:val="nil"/>
              <w:tr2bl w:val="nil"/>
            </w:tcBorders>
            <w:vAlign w:val="center"/>
          </w:tcPr>
          <w:p w14:paraId="5C9D81B9">
            <w:pPr>
              <w:jc w:val="center"/>
            </w:pPr>
            <w:r>
              <w:t>NE</w:t>
            </w:r>
          </w:p>
        </w:tc>
        <w:tc>
          <w:tcPr>
            <w:tcW w:w="776" w:type="dxa"/>
            <w:tcBorders>
              <w:tl2br w:val="nil"/>
              <w:tr2bl w:val="nil"/>
            </w:tcBorders>
            <w:vAlign w:val="center"/>
          </w:tcPr>
          <w:p w14:paraId="533C2251">
            <w:pPr>
              <w:jc w:val="center"/>
            </w:pPr>
            <w:r>
              <w:t>ENE</w:t>
            </w:r>
          </w:p>
        </w:tc>
        <w:tc>
          <w:tcPr>
            <w:tcW w:w="775" w:type="dxa"/>
            <w:tcBorders>
              <w:tl2br w:val="nil"/>
              <w:tr2bl w:val="nil"/>
            </w:tcBorders>
            <w:vAlign w:val="center"/>
          </w:tcPr>
          <w:p w14:paraId="7AD538BF">
            <w:pPr>
              <w:jc w:val="center"/>
            </w:pPr>
            <w:r>
              <w:t>E</w:t>
            </w:r>
          </w:p>
        </w:tc>
        <w:tc>
          <w:tcPr>
            <w:tcW w:w="776" w:type="dxa"/>
            <w:tcBorders>
              <w:tl2br w:val="nil"/>
              <w:tr2bl w:val="nil"/>
            </w:tcBorders>
            <w:vAlign w:val="center"/>
          </w:tcPr>
          <w:p w14:paraId="2A8D4880">
            <w:pPr>
              <w:jc w:val="center"/>
            </w:pPr>
            <w:r>
              <w:t>ESE</w:t>
            </w:r>
          </w:p>
        </w:tc>
        <w:tc>
          <w:tcPr>
            <w:tcW w:w="776" w:type="dxa"/>
            <w:tcBorders>
              <w:tl2br w:val="nil"/>
              <w:tr2bl w:val="nil"/>
            </w:tcBorders>
            <w:vAlign w:val="center"/>
          </w:tcPr>
          <w:p w14:paraId="7EBD27FD">
            <w:pPr>
              <w:jc w:val="center"/>
            </w:pPr>
            <w:r>
              <w:t>SE</w:t>
            </w:r>
          </w:p>
        </w:tc>
        <w:tc>
          <w:tcPr>
            <w:tcW w:w="776" w:type="dxa"/>
            <w:tcBorders>
              <w:tl2br w:val="nil"/>
              <w:tr2bl w:val="nil"/>
            </w:tcBorders>
            <w:vAlign w:val="center"/>
          </w:tcPr>
          <w:p w14:paraId="3B8A43F0">
            <w:pPr>
              <w:jc w:val="center"/>
            </w:pPr>
            <w:r>
              <w:t>SSE</w:t>
            </w:r>
          </w:p>
        </w:tc>
        <w:tc>
          <w:tcPr>
            <w:tcW w:w="776" w:type="dxa"/>
            <w:tcBorders>
              <w:tl2br w:val="nil"/>
              <w:tr2bl w:val="nil"/>
            </w:tcBorders>
            <w:vAlign w:val="center"/>
          </w:tcPr>
          <w:p w14:paraId="0C733AC1">
            <w:pPr>
              <w:jc w:val="center"/>
            </w:pPr>
            <w:r>
              <w:t>S</w:t>
            </w:r>
          </w:p>
        </w:tc>
        <w:tc>
          <w:tcPr>
            <w:tcW w:w="776" w:type="dxa"/>
            <w:tcBorders>
              <w:tl2br w:val="nil"/>
              <w:tr2bl w:val="nil"/>
            </w:tcBorders>
            <w:vAlign w:val="center"/>
          </w:tcPr>
          <w:p w14:paraId="7D807E2B">
            <w:pPr>
              <w:jc w:val="center"/>
            </w:pPr>
            <w:r>
              <w:t>SSW</w:t>
            </w:r>
          </w:p>
        </w:tc>
        <w:tc>
          <w:tcPr>
            <w:tcW w:w="776" w:type="dxa"/>
            <w:tcBorders>
              <w:tl2br w:val="nil"/>
              <w:tr2bl w:val="nil"/>
            </w:tcBorders>
            <w:vAlign w:val="center"/>
          </w:tcPr>
          <w:p w14:paraId="25496E45">
            <w:pPr>
              <w:jc w:val="center"/>
            </w:pPr>
            <w:r>
              <w:t>SW</w:t>
            </w:r>
          </w:p>
        </w:tc>
        <w:tc>
          <w:tcPr>
            <w:tcW w:w="778" w:type="dxa"/>
            <w:tcBorders>
              <w:tl2br w:val="nil"/>
              <w:tr2bl w:val="nil"/>
            </w:tcBorders>
            <w:vAlign w:val="center"/>
          </w:tcPr>
          <w:p w14:paraId="499FB058">
            <w:pPr>
              <w:jc w:val="center"/>
            </w:pPr>
            <w:r>
              <w:t>WSW</w:t>
            </w:r>
          </w:p>
        </w:tc>
        <w:tc>
          <w:tcPr>
            <w:tcW w:w="778" w:type="dxa"/>
            <w:tcBorders>
              <w:tl2br w:val="nil"/>
              <w:tr2bl w:val="nil"/>
            </w:tcBorders>
            <w:vAlign w:val="center"/>
          </w:tcPr>
          <w:p w14:paraId="332CB430">
            <w:pPr>
              <w:jc w:val="center"/>
            </w:pPr>
            <w:r>
              <w:t>W</w:t>
            </w:r>
          </w:p>
        </w:tc>
        <w:tc>
          <w:tcPr>
            <w:tcW w:w="777" w:type="dxa"/>
            <w:tcBorders>
              <w:tl2br w:val="nil"/>
              <w:tr2bl w:val="nil"/>
            </w:tcBorders>
            <w:vAlign w:val="center"/>
          </w:tcPr>
          <w:p w14:paraId="6A4A6EE8">
            <w:pPr>
              <w:jc w:val="center"/>
            </w:pPr>
            <w:r>
              <w:t>WNW</w:t>
            </w:r>
          </w:p>
        </w:tc>
        <w:tc>
          <w:tcPr>
            <w:tcW w:w="778" w:type="dxa"/>
            <w:tcBorders>
              <w:tl2br w:val="nil"/>
              <w:tr2bl w:val="nil"/>
            </w:tcBorders>
            <w:vAlign w:val="center"/>
          </w:tcPr>
          <w:p w14:paraId="120E470A">
            <w:pPr>
              <w:jc w:val="center"/>
            </w:pPr>
            <w:r>
              <w:t>NW</w:t>
            </w:r>
          </w:p>
        </w:tc>
        <w:tc>
          <w:tcPr>
            <w:tcW w:w="777" w:type="dxa"/>
            <w:tcBorders>
              <w:tl2br w:val="nil"/>
              <w:tr2bl w:val="nil"/>
            </w:tcBorders>
            <w:vAlign w:val="center"/>
          </w:tcPr>
          <w:p w14:paraId="58921A9F">
            <w:pPr>
              <w:jc w:val="center"/>
            </w:pPr>
            <w:r>
              <w:t>NNW</w:t>
            </w:r>
          </w:p>
        </w:tc>
        <w:tc>
          <w:tcPr>
            <w:tcW w:w="782" w:type="dxa"/>
            <w:tcBorders>
              <w:tl2br w:val="nil"/>
              <w:tr2bl w:val="nil"/>
            </w:tcBorders>
            <w:vAlign w:val="center"/>
          </w:tcPr>
          <w:p w14:paraId="2E8F32B0">
            <w:pPr>
              <w:jc w:val="center"/>
            </w:pPr>
            <w:r>
              <w:t>C</w:t>
            </w:r>
          </w:p>
        </w:tc>
      </w:tr>
      <w:tr w14:paraId="413DED37">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8" w:hRule="atLeast"/>
        </w:trPr>
        <w:tc>
          <w:tcPr>
            <w:tcW w:w="780" w:type="dxa"/>
            <w:tcBorders>
              <w:tl2br w:val="nil"/>
              <w:tr2bl w:val="nil"/>
            </w:tcBorders>
            <w:vAlign w:val="center"/>
          </w:tcPr>
          <w:p w14:paraId="2F835D44">
            <w:pPr>
              <w:jc w:val="center"/>
            </w:pPr>
            <w:r>
              <w:t>1</w:t>
            </w:r>
          </w:p>
        </w:tc>
        <w:tc>
          <w:tcPr>
            <w:tcW w:w="776" w:type="dxa"/>
            <w:tcBorders>
              <w:tl2br w:val="nil"/>
              <w:tr2bl w:val="nil"/>
            </w:tcBorders>
            <w:vAlign w:val="center"/>
          </w:tcPr>
          <w:p w14:paraId="36DD8734">
            <w:pPr>
              <w:jc w:val="center"/>
            </w:pPr>
            <w:r>
              <w:t>2.87</w:t>
            </w:r>
          </w:p>
        </w:tc>
        <w:tc>
          <w:tcPr>
            <w:tcW w:w="775" w:type="dxa"/>
            <w:tcBorders>
              <w:tl2br w:val="nil"/>
              <w:tr2bl w:val="nil"/>
            </w:tcBorders>
            <w:vAlign w:val="center"/>
          </w:tcPr>
          <w:p w14:paraId="5C68A137">
            <w:pPr>
              <w:jc w:val="center"/>
            </w:pPr>
            <w:r>
              <w:t>2.75</w:t>
            </w:r>
          </w:p>
        </w:tc>
        <w:tc>
          <w:tcPr>
            <w:tcW w:w="776" w:type="dxa"/>
            <w:tcBorders>
              <w:tl2br w:val="nil"/>
              <w:tr2bl w:val="nil"/>
            </w:tcBorders>
            <w:vAlign w:val="center"/>
          </w:tcPr>
          <w:p w14:paraId="22397895">
            <w:pPr>
              <w:jc w:val="center"/>
            </w:pPr>
            <w:r>
              <w:t>2.47</w:t>
            </w:r>
          </w:p>
        </w:tc>
        <w:tc>
          <w:tcPr>
            <w:tcW w:w="776" w:type="dxa"/>
            <w:tcBorders>
              <w:tl2br w:val="nil"/>
              <w:tr2bl w:val="nil"/>
            </w:tcBorders>
            <w:vAlign w:val="center"/>
          </w:tcPr>
          <w:p w14:paraId="7BC7BB3D">
            <w:pPr>
              <w:jc w:val="center"/>
            </w:pPr>
            <w:r>
              <w:t>2.6</w:t>
            </w:r>
          </w:p>
        </w:tc>
        <w:tc>
          <w:tcPr>
            <w:tcW w:w="775" w:type="dxa"/>
            <w:tcBorders>
              <w:tl2br w:val="nil"/>
              <w:tr2bl w:val="nil"/>
            </w:tcBorders>
            <w:vAlign w:val="center"/>
          </w:tcPr>
          <w:p w14:paraId="72185C96">
            <w:pPr>
              <w:jc w:val="center"/>
            </w:pPr>
            <w:r>
              <w:t>1.74</w:t>
            </w:r>
          </w:p>
        </w:tc>
        <w:tc>
          <w:tcPr>
            <w:tcW w:w="776" w:type="dxa"/>
            <w:tcBorders>
              <w:tl2br w:val="nil"/>
              <w:tr2bl w:val="nil"/>
            </w:tcBorders>
            <w:vAlign w:val="center"/>
          </w:tcPr>
          <w:p w14:paraId="177913E6">
            <w:pPr>
              <w:jc w:val="center"/>
            </w:pPr>
            <w:r>
              <w:t>2.32</w:t>
            </w:r>
          </w:p>
        </w:tc>
        <w:tc>
          <w:tcPr>
            <w:tcW w:w="776" w:type="dxa"/>
            <w:tcBorders>
              <w:tl2br w:val="nil"/>
              <w:tr2bl w:val="nil"/>
            </w:tcBorders>
            <w:vAlign w:val="center"/>
          </w:tcPr>
          <w:p w14:paraId="6E926B09">
            <w:pPr>
              <w:jc w:val="center"/>
            </w:pPr>
            <w:r>
              <w:t>1.91</w:t>
            </w:r>
          </w:p>
        </w:tc>
        <w:tc>
          <w:tcPr>
            <w:tcW w:w="776" w:type="dxa"/>
            <w:tcBorders>
              <w:tl2br w:val="nil"/>
              <w:tr2bl w:val="nil"/>
            </w:tcBorders>
            <w:vAlign w:val="center"/>
          </w:tcPr>
          <w:p w14:paraId="6BE1F47C">
            <w:pPr>
              <w:jc w:val="center"/>
            </w:pPr>
            <w:r>
              <w:t>1.98</w:t>
            </w:r>
          </w:p>
        </w:tc>
        <w:tc>
          <w:tcPr>
            <w:tcW w:w="776" w:type="dxa"/>
            <w:tcBorders>
              <w:tl2br w:val="nil"/>
              <w:tr2bl w:val="nil"/>
            </w:tcBorders>
            <w:vAlign w:val="center"/>
          </w:tcPr>
          <w:p w14:paraId="1A11AA57">
            <w:pPr>
              <w:jc w:val="center"/>
            </w:pPr>
            <w:r>
              <w:t>2.13</w:t>
            </w:r>
          </w:p>
        </w:tc>
        <w:tc>
          <w:tcPr>
            <w:tcW w:w="776" w:type="dxa"/>
            <w:tcBorders>
              <w:tl2br w:val="nil"/>
              <w:tr2bl w:val="nil"/>
            </w:tcBorders>
            <w:vAlign w:val="center"/>
          </w:tcPr>
          <w:p w14:paraId="6B6227F4">
            <w:pPr>
              <w:jc w:val="center"/>
            </w:pPr>
            <w:r>
              <w:t>2.42</w:t>
            </w:r>
          </w:p>
        </w:tc>
        <w:tc>
          <w:tcPr>
            <w:tcW w:w="776" w:type="dxa"/>
            <w:tcBorders>
              <w:tl2br w:val="nil"/>
              <w:tr2bl w:val="nil"/>
            </w:tcBorders>
            <w:vAlign w:val="center"/>
          </w:tcPr>
          <w:p w14:paraId="2D4F0046">
            <w:pPr>
              <w:jc w:val="center"/>
            </w:pPr>
            <w:r>
              <w:t>2.13</w:t>
            </w:r>
          </w:p>
        </w:tc>
        <w:tc>
          <w:tcPr>
            <w:tcW w:w="778" w:type="dxa"/>
            <w:tcBorders>
              <w:tl2br w:val="nil"/>
              <w:tr2bl w:val="nil"/>
            </w:tcBorders>
            <w:vAlign w:val="center"/>
          </w:tcPr>
          <w:p w14:paraId="79132F79">
            <w:pPr>
              <w:jc w:val="center"/>
            </w:pPr>
            <w:r>
              <w:t>2.09</w:t>
            </w:r>
          </w:p>
        </w:tc>
        <w:tc>
          <w:tcPr>
            <w:tcW w:w="778" w:type="dxa"/>
            <w:tcBorders>
              <w:tl2br w:val="nil"/>
              <w:tr2bl w:val="nil"/>
            </w:tcBorders>
            <w:vAlign w:val="center"/>
          </w:tcPr>
          <w:p w14:paraId="3A8E578C">
            <w:pPr>
              <w:jc w:val="center"/>
            </w:pPr>
            <w:r>
              <w:t>2.44</w:t>
            </w:r>
          </w:p>
        </w:tc>
        <w:tc>
          <w:tcPr>
            <w:tcW w:w="777" w:type="dxa"/>
            <w:tcBorders>
              <w:tl2br w:val="nil"/>
              <w:tr2bl w:val="nil"/>
            </w:tcBorders>
            <w:vAlign w:val="center"/>
          </w:tcPr>
          <w:p w14:paraId="6A1B2109">
            <w:pPr>
              <w:jc w:val="center"/>
            </w:pPr>
            <w:r>
              <w:t>2.82</w:t>
            </w:r>
          </w:p>
        </w:tc>
        <w:tc>
          <w:tcPr>
            <w:tcW w:w="778" w:type="dxa"/>
            <w:tcBorders>
              <w:tl2br w:val="nil"/>
              <w:tr2bl w:val="nil"/>
            </w:tcBorders>
            <w:vAlign w:val="center"/>
          </w:tcPr>
          <w:p w14:paraId="61F48821">
            <w:pPr>
              <w:jc w:val="center"/>
            </w:pPr>
            <w:r>
              <w:t>3.97</w:t>
            </w:r>
          </w:p>
        </w:tc>
        <w:tc>
          <w:tcPr>
            <w:tcW w:w="777" w:type="dxa"/>
            <w:tcBorders>
              <w:tl2br w:val="nil"/>
              <w:tr2bl w:val="nil"/>
            </w:tcBorders>
            <w:vAlign w:val="center"/>
          </w:tcPr>
          <w:p w14:paraId="5C771B66">
            <w:pPr>
              <w:jc w:val="center"/>
            </w:pPr>
            <w:r>
              <w:t>3.15</w:t>
            </w:r>
          </w:p>
        </w:tc>
        <w:tc>
          <w:tcPr>
            <w:tcW w:w="782" w:type="dxa"/>
            <w:tcBorders>
              <w:tl2br w:val="nil"/>
              <w:tr2bl w:val="nil"/>
            </w:tcBorders>
            <w:vAlign w:val="center"/>
          </w:tcPr>
          <w:p w14:paraId="112E21FD">
            <w:pPr>
              <w:jc w:val="center"/>
            </w:pPr>
            <w:r>
              <w:t>0.1</w:t>
            </w:r>
          </w:p>
        </w:tc>
      </w:tr>
      <w:tr w14:paraId="6BDF9CE4">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80" w:type="dxa"/>
            <w:tcBorders>
              <w:tl2br w:val="nil"/>
              <w:tr2bl w:val="nil"/>
            </w:tcBorders>
            <w:vAlign w:val="center"/>
          </w:tcPr>
          <w:p w14:paraId="35837315">
            <w:pPr>
              <w:jc w:val="center"/>
            </w:pPr>
            <w:r>
              <w:t>2</w:t>
            </w:r>
          </w:p>
        </w:tc>
        <w:tc>
          <w:tcPr>
            <w:tcW w:w="776" w:type="dxa"/>
            <w:tcBorders>
              <w:tl2br w:val="nil"/>
              <w:tr2bl w:val="nil"/>
            </w:tcBorders>
            <w:vAlign w:val="center"/>
          </w:tcPr>
          <w:p w14:paraId="390CB066">
            <w:pPr>
              <w:jc w:val="center"/>
            </w:pPr>
            <w:r>
              <w:t>3.67</w:t>
            </w:r>
          </w:p>
        </w:tc>
        <w:tc>
          <w:tcPr>
            <w:tcW w:w="775" w:type="dxa"/>
            <w:tcBorders>
              <w:tl2br w:val="nil"/>
              <w:tr2bl w:val="nil"/>
            </w:tcBorders>
            <w:vAlign w:val="center"/>
          </w:tcPr>
          <w:p w14:paraId="044B9131">
            <w:pPr>
              <w:jc w:val="center"/>
            </w:pPr>
            <w:r>
              <w:t>2.65</w:t>
            </w:r>
          </w:p>
        </w:tc>
        <w:tc>
          <w:tcPr>
            <w:tcW w:w="776" w:type="dxa"/>
            <w:tcBorders>
              <w:tl2br w:val="nil"/>
              <w:tr2bl w:val="nil"/>
            </w:tcBorders>
            <w:vAlign w:val="center"/>
          </w:tcPr>
          <w:p w14:paraId="6B7C1051">
            <w:pPr>
              <w:jc w:val="center"/>
            </w:pPr>
            <w:r>
              <w:t>2.72</w:t>
            </w:r>
          </w:p>
        </w:tc>
        <w:tc>
          <w:tcPr>
            <w:tcW w:w="776" w:type="dxa"/>
            <w:tcBorders>
              <w:tl2br w:val="nil"/>
              <w:tr2bl w:val="nil"/>
            </w:tcBorders>
            <w:vAlign w:val="center"/>
          </w:tcPr>
          <w:p w14:paraId="35A007B2">
            <w:pPr>
              <w:jc w:val="center"/>
            </w:pPr>
            <w:r>
              <w:t>2.81</w:t>
            </w:r>
          </w:p>
        </w:tc>
        <w:tc>
          <w:tcPr>
            <w:tcW w:w="775" w:type="dxa"/>
            <w:tcBorders>
              <w:tl2br w:val="nil"/>
              <w:tr2bl w:val="nil"/>
            </w:tcBorders>
            <w:vAlign w:val="center"/>
          </w:tcPr>
          <w:p w14:paraId="2E0AE7D8">
            <w:pPr>
              <w:jc w:val="center"/>
            </w:pPr>
            <w:r>
              <w:t>2.09</w:t>
            </w:r>
          </w:p>
        </w:tc>
        <w:tc>
          <w:tcPr>
            <w:tcW w:w="776" w:type="dxa"/>
            <w:tcBorders>
              <w:tl2br w:val="nil"/>
              <w:tr2bl w:val="nil"/>
            </w:tcBorders>
            <w:vAlign w:val="center"/>
          </w:tcPr>
          <w:p w14:paraId="0CDE734D">
            <w:pPr>
              <w:jc w:val="center"/>
            </w:pPr>
            <w:r>
              <w:t>2.7</w:t>
            </w:r>
          </w:p>
        </w:tc>
        <w:tc>
          <w:tcPr>
            <w:tcW w:w="776" w:type="dxa"/>
            <w:tcBorders>
              <w:tl2br w:val="nil"/>
              <w:tr2bl w:val="nil"/>
            </w:tcBorders>
            <w:vAlign w:val="center"/>
          </w:tcPr>
          <w:p w14:paraId="53DAFBD1">
            <w:pPr>
              <w:jc w:val="center"/>
            </w:pPr>
            <w:r>
              <w:t>2.2</w:t>
            </w:r>
          </w:p>
        </w:tc>
        <w:tc>
          <w:tcPr>
            <w:tcW w:w="776" w:type="dxa"/>
            <w:tcBorders>
              <w:tl2br w:val="nil"/>
              <w:tr2bl w:val="nil"/>
            </w:tcBorders>
            <w:vAlign w:val="center"/>
          </w:tcPr>
          <w:p w14:paraId="5CDD8D9E">
            <w:pPr>
              <w:jc w:val="center"/>
            </w:pPr>
            <w:r>
              <w:t>2.13</w:t>
            </w:r>
          </w:p>
        </w:tc>
        <w:tc>
          <w:tcPr>
            <w:tcW w:w="776" w:type="dxa"/>
            <w:tcBorders>
              <w:tl2br w:val="nil"/>
              <w:tr2bl w:val="nil"/>
            </w:tcBorders>
            <w:vAlign w:val="center"/>
          </w:tcPr>
          <w:p w14:paraId="1DD64D47">
            <w:pPr>
              <w:jc w:val="center"/>
            </w:pPr>
            <w:r>
              <w:t>3.51</w:t>
            </w:r>
          </w:p>
        </w:tc>
        <w:tc>
          <w:tcPr>
            <w:tcW w:w="776" w:type="dxa"/>
            <w:tcBorders>
              <w:tl2br w:val="nil"/>
              <w:tr2bl w:val="nil"/>
            </w:tcBorders>
            <w:vAlign w:val="center"/>
          </w:tcPr>
          <w:p w14:paraId="501A1895">
            <w:pPr>
              <w:jc w:val="center"/>
            </w:pPr>
            <w:r>
              <w:t>4.46</w:t>
            </w:r>
          </w:p>
        </w:tc>
        <w:tc>
          <w:tcPr>
            <w:tcW w:w="776" w:type="dxa"/>
            <w:tcBorders>
              <w:tl2br w:val="nil"/>
              <w:tr2bl w:val="nil"/>
            </w:tcBorders>
            <w:vAlign w:val="center"/>
          </w:tcPr>
          <w:p w14:paraId="1980746C">
            <w:pPr>
              <w:jc w:val="center"/>
            </w:pPr>
            <w:r>
              <w:t>4. 1</w:t>
            </w:r>
          </w:p>
        </w:tc>
        <w:tc>
          <w:tcPr>
            <w:tcW w:w="778" w:type="dxa"/>
            <w:tcBorders>
              <w:tl2br w:val="nil"/>
              <w:tr2bl w:val="nil"/>
            </w:tcBorders>
            <w:vAlign w:val="center"/>
          </w:tcPr>
          <w:p w14:paraId="06A01AC4">
            <w:pPr>
              <w:jc w:val="center"/>
            </w:pPr>
            <w:r>
              <w:t>3.87</w:t>
            </w:r>
          </w:p>
        </w:tc>
        <w:tc>
          <w:tcPr>
            <w:tcW w:w="778" w:type="dxa"/>
            <w:tcBorders>
              <w:tl2br w:val="nil"/>
              <w:tr2bl w:val="nil"/>
            </w:tcBorders>
            <w:vAlign w:val="center"/>
          </w:tcPr>
          <w:p w14:paraId="286FC1D7">
            <w:pPr>
              <w:jc w:val="center"/>
            </w:pPr>
            <w:r>
              <w:t>4.16</w:t>
            </w:r>
          </w:p>
        </w:tc>
        <w:tc>
          <w:tcPr>
            <w:tcW w:w="777" w:type="dxa"/>
            <w:tcBorders>
              <w:tl2br w:val="nil"/>
              <w:tr2bl w:val="nil"/>
            </w:tcBorders>
            <w:vAlign w:val="center"/>
          </w:tcPr>
          <w:p w14:paraId="77D46B4D">
            <w:pPr>
              <w:jc w:val="center"/>
            </w:pPr>
            <w:r>
              <w:t>4.31</w:t>
            </w:r>
          </w:p>
        </w:tc>
        <w:tc>
          <w:tcPr>
            <w:tcW w:w="778" w:type="dxa"/>
            <w:tcBorders>
              <w:tl2br w:val="nil"/>
              <w:tr2bl w:val="nil"/>
            </w:tcBorders>
            <w:vAlign w:val="center"/>
          </w:tcPr>
          <w:p w14:paraId="7E4E2572">
            <w:pPr>
              <w:jc w:val="center"/>
            </w:pPr>
            <w:r>
              <w:t>4.58</w:t>
            </w:r>
          </w:p>
        </w:tc>
        <w:tc>
          <w:tcPr>
            <w:tcW w:w="777" w:type="dxa"/>
            <w:tcBorders>
              <w:tl2br w:val="nil"/>
              <w:tr2bl w:val="nil"/>
            </w:tcBorders>
            <w:vAlign w:val="center"/>
          </w:tcPr>
          <w:p w14:paraId="09642F64">
            <w:pPr>
              <w:jc w:val="center"/>
            </w:pPr>
            <w:r>
              <w:t>4.37</w:t>
            </w:r>
          </w:p>
        </w:tc>
        <w:tc>
          <w:tcPr>
            <w:tcW w:w="782" w:type="dxa"/>
            <w:tcBorders>
              <w:tl2br w:val="nil"/>
              <w:tr2bl w:val="nil"/>
            </w:tcBorders>
            <w:vAlign w:val="center"/>
          </w:tcPr>
          <w:p w14:paraId="3B750535">
            <w:pPr>
              <w:jc w:val="center"/>
            </w:pPr>
            <w:r>
              <w:t>0.11</w:t>
            </w:r>
          </w:p>
        </w:tc>
      </w:tr>
      <w:tr w14:paraId="6C0C4B9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80" w:type="dxa"/>
            <w:tcBorders>
              <w:tl2br w:val="nil"/>
              <w:tr2bl w:val="nil"/>
            </w:tcBorders>
            <w:vAlign w:val="center"/>
          </w:tcPr>
          <w:p w14:paraId="4651A968">
            <w:pPr>
              <w:jc w:val="center"/>
            </w:pPr>
            <w:r>
              <w:t>3</w:t>
            </w:r>
          </w:p>
        </w:tc>
        <w:tc>
          <w:tcPr>
            <w:tcW w:w="776" w:type="dxa"/>
            <w:tcBorders>
              <w:tl2br w:val="nil"/>
              <w:tr2bl w:val="nil"/>
            </w:tcBorders>
            <w:vAlign w:val="center"/>
          </w:tcPr>
          <w:p w14:paraId="24A77084">
            <w:pPr>
              <w:jc w:val="center"/>
            </w:pPr>
            <w:r>
              <w:t>4.72</w:t>
            </w:r>
          </w:p>
        </w:tc>
        <w:tc>
          <w:tcPr>
            <w:tcW w:w="775" w:type="dxa"/>
            <w:tcBorders>
              <w:tl2br w:val="nil"/>
              <w:tr2bl w:val="nil"/>
            </w:tcBorders>
            <w:vAlign w:val="center"/>
          </w:tcPr>
          <w:p w14:paraId="01142DBE">
            <w:pPr>
              <w:jc w:val="center"/>
            </w:pPr>
            <w:r>
              <w:t>3.03</w:t>
            </w:r>
          </w:p>
        </w:tc>
        <w:tc>
          <w:tcPr>
            <w:tcW w:w="776" w:type="dxa"/>
            <w:tcBorders>
              <w:tl2br w:val="nil"/>
              <w:tr2bl w:val="nil"/>
            </w:tcBorders>
            <w:vAlign w:val="center"/>
          </w:tcPr>
          <w:p w14:paraId="4387749E">
            <w:pPr>
              <w:jc w:val="center"/>
            </w:pPr>
            <w:r>
              <w:t>3.66</w:t>
            </w:r>
          </w:p>
        </w:tc>
        <w:tc>
          <w:tcPr>
            <w:tcW w:w="776" w:type="dxa"/>
            <w:tcBorders>
              <w:tl2br w:val="nil"/>
              <w:tr2bl w:val="nil"/>
            </w:tcBorders>
            <w:vAlign w:val="center"/>
          </w:tcPr>
          <w:p w14:paraId="603A59D7">
            <w:pPr>
              <w:jc w:val="center"/>
            </w:pPr>
            <w:r>
              <w:t>2.67</w:t>
            </w:r>
          </w:p>
        </w:tc>
        <w:tc>
          <w:tcPr>
            <w:tcW w:w="775" w:type="dxa"/>
            <w:tcBorders>
              <w:tl2br w:val="nil"/>
              <w:tr2bl w:val="nil"/>
            </w:tcBorders>
            <w:vAlign w:val="center"/>
          </w:tcPr>
          <w:p w14:paraId="12867331">
            <w:pPr>
              <w:jc w:val="center"/>
            </w:pPr>
            <w:r>
              <w:t>2.72</w:t>
            </w:r>
          </w:p>
        </w:tc>
        <w:tc>
          <w:tcPr>
            <w:tcW w:w="776" w:type="dxa"/>
            <w:tcBorders>
              <w:tl2br w:val="nil"/>
              <w:tr2bl w:val="nil"/>
            </w:tcBorders>
            <w:vAlign w:val="center"/>
          </w:tcPr>
          <w:p w14:paraId="6E4629B5">
            <w:pPr>
              <w:jc w:val="center"/>
            </w:pPr>
            <w:r>
              <w:t>2.74</w:t>
            </w:r>
          </w:p>
        </w:tc>
        <w:tc>
          <w:tcPr>
            <w:tcW w:w="776" w:type="dxa"/>
            <w:tcBorders>
              <w:tl2br w:val="nil"/>
              <w:tr2bl w:val="nil"/>
            </w:tcBorders>
            <w:vAlign w:val="center"/>
          </w:tcPr>
          <w:p w14:paraId="708A64E6">
            <w:pPr>
              <w:jc w:val="center"/>
            </w:pPr>
            <w:r>
              <w:t>3</w:t>
            </w:r>
          </w:p>
        </w:tc>
        <w:tc>
          <w:tcPr>
            <w:tcW w:w="776" w:type="dxa"/>
            <w:tcBorders>
              <w:tl2br w:val="nil"/>
              <w:tr2bl w:val="nil"/>
            </w:tcBorders>
            <w:vAlign w:val="center"/>
          </w:tcPr>
          <w:p w14:paraId="36C1FF7C">
            <w:pPr>
              <w:jc w:val="center"/>
            </w:pPr>
            <w:r>
              <w:t>3.27</w:t>
            </w:r>
          </w:p>
        </w:tc>
        <w:tc>
          <w:tcPr>
            <w:tcW w:w="776" w:type="dxa"/>
            <w:tcBorders>
              <w:tl2br w:val="nil"/>
              <w:tr2bl w:val="nil"/>
            </w:tcBorders>
            <w:vAlign w:val="center"/>
          </w:tcPr>
          <w:p w14:paraId="04C244F6">
            <w:pPr>
              <w:jc w:val="center"/>
            </w:pPr>
            <w:r>
              <w:t>4.06</w:t>
            </w:r>
          </w:p>
        </w:tc>
        <w:tc>
          <w:tcPr>
            <w:tcW w:w="776" w:type="dxa"/>
            <w:tcBorders>
              <w:tl2br w:val="nil"/>
              <w:tr2bl w:val="nil"/>
            </w:tcBorders>
            <w:vAlign w:val="center"/>
          </w:tcPr>
          <w:p w14:paraId="58747DBA">
            <w:pPr>
              <w:jc w:val="center"/>
            </w:pPr>
            <w:r>
              <w:t>4.85</w:t>
            </w:r>
          </w:p>
        </w:tc>
        <w:tc>
          <w:tcPr>
            <w:tcW w:w="776" w:type="dxa"/>
            <w:tcBorders>
              <w:tl2br w:val="nil"/>
              <w:tr2bl w:val="nil"/>
            </w:tcBorders>
            <w:vAlign w:val="center"/>
          </w:tcPr>
          <w:p w14:paraId="180F57E0">
            <w:pPr>
              <w:jc w:val="center"/>
            </w:pPr>
            <w:r>
              <w:t>4.52</w:t>
            </w:r>
          </w:p>
        </w:tc>
        <w:tc>
          <w:tcPr>
            <w:tcW w:w="778" w:type="dxa"/>
            <w:tcBorders>
              <w:tl2br w:val="nil"/>
              <w:tr2bl w:val="nil"/>
            </w:tcBorders>
            <w:vAlign w:val="center"/>
          </w:tcPr>
          <w:p w14:paraId="5CE643EE">
            <w:pPr>
              <w:jc w:val="center"/>
            </w:pPr>
            <w:r>
              <w:t>4.89</w:t>
            </w:r>
          </w:p>
        </w:tc>
        <w:tc>
          <w:tcPr>
            <w:tcW w:w="778" w:type="dxa"/>
            <w:tcBorders>
              <w:tl2br w:val="nil"/>
              <w:tr2bl w:val="nil"/>
            </w:tcBorders>
            <w:vAlign w:val="center"/>
          </w:tcPr>
          <w:p w14:paraId="0B71D9AD">
            <w:pPr>
              <w:jc w:val="center"/>
            </w:pPr>
            <w:r>
              <w:t>6.28</w:t>
            </w:r>
          </w:p>
        </w:tc>
        <w:tc>
          <w:tcPr>
            <w:tcW w:w="777" w:type="dxa"/>
            <w:tcBorders>
              <w:tl2br w:val="nil"/>
              <w:tr2bl w:val="nil"/>
            </w:tcBorders>
            <w:vAlign w:val="center"/>
          </w:tcPr>
          <w:p w14:paraId="5D2E0026">
            <w:pPr>
              <w:jc w:val="center"/>
            </w:pPr>
            <w:r>
              <w:t>6.09</w:t>
            </w:r>
          </w:p>
        </w:tc>
        <w:tc>
          <w:tcPr>
            <w:tcW w:w="778" w:type="dxa"/>
            <w:tcBorders>
              <w:tl2br w:val="nil"/>
              <w:tr2bl w:val="nil"/>
            </w:tcBorders>
            <w:vAlign w:val="center"/>
          </w:tcPr>
          <w:p w14:paraId="48AF94F8">
            <w:pPr>
              <w:jc w:val="center"/>
            </w:pPr>
            <w:r>
              <w:t>6.17</w:t>
            </w:r>
          </w:p>
        </w:tc>
        <w:tc>
          <w:tcPr>
            <w:tcW w:w="777" w:type="dxa"/>
            <w:tcBorders>
              <w:tl2br w:val="nil"/>
              <w:tr2bl w:val="nil"/>
            </w:tcBorders>
            <w:vAlign w:val="center"/>
          </w:tcPr>
          <w:p w14:paraId="1EAE5AF5">
            <w:pPr>
              <w:jc w:val="center"/>
            </w:pPr>
            <w:r>
              <w:t>5.43</w:t>
            </w:r>
          </w:p>
        </w:tc>
        <w:tc>
          <w:tcPr>
            <w:tcW w:w="782" w:type="dxa"/>
            <w:tcBorders>
              <w:tl2br w:val="nil"/>
              <w:tr2bl w:val="nil"/>
            </w:tcBorders>
            <w:vAlign w:val="center"/>
          </w:tcPr>
          <w:p w14:paraId="66BE6898">
            <w:pPr>
              <w:jc w:val="center"/>
            </w:pPr>
            <w:r>
              <w:t>0.12</w:t>
            </w:r>
          </w:p>
        </w:tc>
      </w:tr>
      <w:tr w14:paraId="3264828E">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80" w:type="dxa"/>
            <w:tcBorders>
              <w:tl2br w:val="nil"/>
              <w:tr2bl w:val="nil"/>
            </w:tcBorders>
            <w:vAlign w:val="center"/>
          </w:tcPr>
          <w:p w14:paraId="261B493D">
            <w:pPr>
              <w:jc w:val="center"/>
            </w:pPr>
            <w:r>
              <w:t>4</w:t>
            </w:r>
          </w:p>
        </w:tc>
        <w:tc>
          <w:tcPr>
            <w:tcW w:w="776" w:type="dxa"/>
            <w:tcBorders>
              <w:tl2br w:val="nil"/>
              <w:tr2bl w:val="nil"/>
            </w:tcBorders>
            <w:vAlign w:val="center"/>
          </w:tcPr>
          <w:p w14:paraId="4CCB6565">
            <w:pPr>
              <w:jc w:val="center"/>
            </w:pPr>
            <w:r>
              <w:t>4.15</w:t>
            </w:r>
          </w:p>
        </w:tc>
        <w:tc>
          <w:tcPr>
            <w:tcW w:w="775" w:type="dxa"/>
            <w:tcBorders>
              <w:tl2br w:val="nil"/>
              <w:tr2bl w:val="nil"/>
            </w:tcBorders>
            <w:vAlign w:val="center"/>
          </w:tcPr>
          <w:p w14:paraId="1D5D6B56">
            <w:pPr>
              <w:jc w:val="center"/>
            </w:pPr>
            <w:r>
              <w:t>4.02</w:t>
            </w:r>
          </w:p>
        </w:tc>
        <w:tc>
          <w:tcPr>
            <w:tcW w:w="776" w:type="dxa"/>
            <w:tcBorders>
              <w:tl2br w:val="nil"/>
              <w:tr2bl w:val="nil"/>
            </w:tcBorders>
            <w:vAlign w:val="center"/>
          </w:tcPr>
          <w:p w14:paraId="33D5BBE0">
            <w:pPr>
              <w:jc w:val="center"/>
            </w:pPr>
            <w:r>
              <w:t>4.56</w:t>
            </w:r>
          </w:p>
        </w:tc>
        <w:tc>
          <w:tcPr>
            <w:tcW w:w="776" w:type="dxa"/>
            <w:tcBorders>
              <w:tl2br w:val="nil"/>
              <w:tr2bl w:val="nil"/>
            </w:tcBorders>
            <w:vAlign w:val="center"/>
          </w:tcPr>
          <w:p w14:paraId="2CD1BFFE">
            <w:pPr>
              <w:jc w:val="center"/>
            </w:pPr>
            <w:r>
              <w:t>3.86</w:t>
            </w:r>
          </w:p>
        </w:tc>
        <w:tc>
          <w:tcPr>
            <w:tcW w:w="775" w:type="dxa"/>
            <w:tcBorders>
              <w:tl2br w:val="nil"/>
              <w:tr2bl w:val="nil"/>
            </w:tcBorders>
            <w:vAlign w:val="center"/>
          </w:tcPr>
          <w:p w14:paraId="24DE8561">
            <w:pPr>
              <w:jc w:val="center"/>
            </w:pPr>
            <w:r>
              <w:t>2.26</w:t>
            </w:r>
          </w:p>
        </w:tc>
        <w:tc>
          <w:tcPr>
            <w:tcW w:w="776" w:type="dxa"/>
            <w:tcBorders>
              <w:tl2br w:val="nil"/>
              <w:tr2bl w:val="nil"/>
            </w:tcBorders>
            <w:vAlign w:val="center"/>
          </w:tcPr>
          <w:p w14:paraId="218D9C14">
            <w:pPr>
              <w:jc w:val="center"/>
            </w:pPr>
            <w:r>
              <w:t>2.6</w:t>
            </w:r>
          </w:p>
        </w:tc>
        <w:tc>
          <w:tcPr>
            <w:tcW w:w="776" w:type="dxa"/>
            <w:tcBorders>
              <w:tl2br w:val="nil"/>
              <w:tr2bl w:val="nil"/>
            </w:tcBorders>
            <w:vAlign w:val="center"/>
          </w:tcPr>
          <w:p w14:paraId="1FE1AB6A">
            <w:pPr>
              <w:jc w:val="center"/>
            </w:pPr>
            <w:r>
              <w:t>3.27</w:t>
            </w:r>
          </w:p>
        </w:tc>
        <w:tc>
          <w:tcPr>
            <w:tcW w:w="776" w:type="dxa"/>
            <w:tcBorders>
              <w:tl2br w:val="nil"/>
              <w:tr2bl w:val="nil"/>
            </w:tcBorders>
            <w:vAlign w:val="center"/>
          </w:tcPr>
          <w:p w14:paraId="7641508C">
            <w:pPr>
              <w:jc w:val="center"/>
            </w:pPr>
            <w:r>
              <w:t>3.12</w:t>
            </w:r>
          </w:p>
        </w:tc>
        <w:tc>
          <w:tcPr>
            <w:tcW w:w="776" w:type="dxa"/>
            <w:tcBorders>
              <w:tl2br w:val="nil"/>
              <w:tr2bl w:val="nil"/>
            </w:tcBorders>
            <w:vAlign w:val="center"/>
          </w:tcPr>
          <w:p w14:paraId="66AA60A3">
            <w:pPr>
              <w:jc w:val="center"/>
            </w:pPr>
            <w:r>
              <w:t>3.88</w:t>
            </w:r>
          </w:p>
        </w:tc>
        <w:tc>
          <w:tcPr>
            <w:tcW w:w="776" w:type="dxa"/>
            <w:tcBorders>
              <w:tl2br w:val="nil"/>
              <w:tr2bl w:val="nil"/>
            </w:tcBorders>
            <w:vAlign w:val="center"/>
          </w:tcPr>
          <w:p w14:paraId="169E43DE">
            <w:pPr>
              <w:jc w:val="center"/>
            </w:pPr>
            <w:r>
              <w:t>5.17</w:t>
            </w:r>
          </w:p>
        </w:tc>
        <w:tc>
          <w:tcPr>
            <w:tcW w:w="776" w:type="dxa"/>
            <w:tcBorders>
              <w:tl2br w:val="nil"/>
              <w:tr2bl w:val="nil"/>
            </w:tcBorders>
            <w:vAlign w:val="center"/>
          </w:tcPr>
          <w:p w14:paraId="57F49DF5">
            <w:pPr>
              <w:jc w:val="center"/>
            </w:pPr>
            <w:r>
              <w:t>5.37</w:t>
            </w:r>
          </w:p>
        </w:tc>
        <w:tc>
          <w:tcPr>
            <w:tcW w:w="778" w:type="dxa"/>
            <w:tcBorders>
              <w:tl2br w:val="nil"/>
              <w:tr2bl w:val="nil"/>
            </w:tcBorders>
            <w:vAlign w:val="center"/>
          </w:tcPr>
          <w:p w14:paraId="20A725A9">
            <w:pPr>
              <w:jc w:val="center"/>
            </w:pPr>
            <w:r>
              <w:t>3.71</w:t>
            </w:r>
          </w:p>
        </w:tc>
        <w:tc>
          <w:tcPr>
            <w:tcW w:w="778" w:type="dxa"/>
            <w:tcBorders>
              <w:tl2br w:val="nil"/>
              <w:tr2bl w:val="nil"/>
            </w:tcBorders>
            <w:vAlign w:val="center"/>
          </w:tcPr>
          <w:p w14:paraId="2C025F9D">
            <w:pPr>
              <w:jc w:val="center"/>
            </w:pPr>
            <w:r>
              <w:t>4.43</w:t>
            </w:r>
          </w:p>
        </w:tc>
        <w:tc>
          <w:tcPr>
            <w:tcW w:w="777" w:type="dxa"/>
            <w:tcBorders>
              <w:tl2br w:val="nil"/>
              <w:tr2bl w:val="nil"/>
            </w:tcBorders>
            <w:vAlign w:val="center"/>
          </w:tcPr>
          <w:p w14:paraId="11D599B1">
            <w:pPr>
              <w:jc w:val="center"/>
            </w:pPr>
            <w:r>
              <w:t>7.02</w:t>
            </w:r>
          </w:p>
        </w:tc>
        <w:tc>
          <w:tcPr>
            <w:tcW w:w="778" w:type="dxa"/>
            <w:tcBorders>
              <w:tl2br w:val="nil"/>
              <w:tr2bl w:val="nil"/>
            </w:tcBorders>
            <w:vAlign w:val="center"/>
          </w:tcPr>
          <w:p w14:paraId="492093E1">
            <w:pPr>
              <w:jc w:val="center"/>
            </w:pPr>
            <w:r>
              <w:t>5.91</w:t>
            </w:r>
          </w:p>
        </w:tc>
        <w:tc>
          <w:tcPr>
            <w:tcW w:w="777" w:type="dxa"/>
            <w:tcBorders>
              <w:tl2br w:val="nil"/>
              <w:tr2bl w:val="nil"/>
            </w:tcBorders>
            <w:vAlign w:val="center"/>
          </w:tcPr>
          <w:p w14:paraId="7138FE93">
            <w:pPr>
              <w:jc w:val="center"/>
            </w:pPr>
            <w:r>
              <w:t>5.25</w:t>
            </w:r>
          </w:p>
        </w:tc>
        <w:tc>
          <w:tcPr>
            <w:tcW w:w="782" w:type="dxa"/>
            <w:tcBorders>
              <w:tl2br w:val="nil"/>
              <w:tr2bl w:val="nil"/>
            </w:tcBorders>
            <w:vAlign w:val="center"/>
          </w:tcPr>
          <w:p w14:paraId="56BB1A45">
            <w:pPr>
              <w:jc w:val="center"/>
            </w:pPr>
            <w:r>
              <w:t>0.13</w:t>
            </w:r>
          </w:p>
        </w:tc>
      </w:tr>
      <w:tr w14:paraId="4151F966">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80" w:type="dxa"/>
            <w:tcBorders>
              <w:tl2br w:val="nil"/>
              <w:tr2bl w:val="nil"/>
            </w:tcBorders>
            <w:vAlign w:val="center"/>
          </w:tcPr>
          <w:p w14:paraId="347D3402">
            <w:pPr>
              <w:jc w:val="center"/>
            </w:pPr>
            <w:r>
              <w:t>5</w:t>
            </w:r>
          </w:p>
        </w:tc>
        <w:tc>
          <w:tcPr>
            <w:tcW w:w="776" w:type="dxa"/>
            <w:tcBorders>
              <w:tl2br w:val="nil"/>
              <w:tr2bl w:val="nil"/>
            </w:tcBorders>
            <w:vAlign w:val="center"/>
          </w:tcPr>
          <w:p w14:paraId="0AEA7A34">
            <w:pPr>
              <w:jc w:val="center"/>
            </w:pPr>
            <w:r>
              <w:t>3.28</w:t>
            </w:r>
          </w:p>
        </w:tc>
        <w:tc>
          <w:tcPr>
            <w:tcW w:w="775" w:type="dxa"/>
            <w:tcBorders>
              <w:tl2br w:val="nil"/>
              <w:tr2bl w:val="nil"/>
            </w:tcBorders>
            <w:vAlign w:val="center"/>
          </w:tcPr>
          <w:p w14:paraId="6249FC4B">
            <w:pPr>
              <w:jc w:val="center"/>
            </w:pPr>
            <w:r>
              <w:t>3.68</w:t>
            </w:r>
          </w:p>
        </w:tc>
        <w:tc>
          <w:tcPr>
            <w:tcW w:w="776" w:type="dxa"/>
            <w:tcBorders>
              <w:tl2br w:val="nil"/>
              <w:tr2bl w:val="nil"/>
            </w:tcBorders>
            <w:vAlign w:val="center"/>
          </w:tcPr>
          <w:p w14:paraId="0FE2CA53">
            <w:pPr>
              <w:jc w:val="center"/>
            </w:pPr>
            <w:r>
              <w:t>3.46</w:t>
            </w:r>
          </w:p>
        </w:tc>
        <w:tc>
          <w:tcPr>
            <w:tcW w:w="776" w:type="dxa"/>
            <w:tcBorders>
              <w:tl2br w:val="nil"/>
              <w:tr2bl w:val="nil"/>
            </w:tcBorders>
            <w:vAlign w:val="center"/>
          </w:tcPr>
          <w:p w14:paraId="3EDE083F">
            <w:pPr>
              <w:jc w:val="center"/>
            </w:pPr>
            <w:r>
              <w:t>3.34</w:t>
            </w:r>
          </w:p>
        </w:tc>
        <w:tc>
          <w:tcPr>
            <w:tcW w:w="775" w:type="dxa"/>
            <w:tcBorders>
              <w:tl2br w:val="nil"/>
              <w:tr2bl w:val="nil"/>
            </w:tcBorders>
            <w:vAlign w:val="center"/>
          </w:tcPr>
          <w:p w14:paraId="2D5221C9">
            <w:pPr>
              <w:jc w:val="center"/>
            </w:pPr>
            <w:r>
              <w:t>2.51</w:t>
            </w:r>
          </w:p>
        </w:tc>
        <w:tc>
          <w:tcPr>
            <w:tcW w:w="776" w:type="dxa"/>
            <w:tcBorders>
              <w:tl2br w:val="nil"/>
              <w:tr2bl w:val="nil"/>
            </w:tcBorders>
            <w:vAlign w:val="center"/>
          </w:tcPr>
          <w:p w14:paraId="32B7DFC6">
            <w:pPr>
              <w:jc w:val="center"/>
            </w:pPr>
            <w:r>
              <w:t>3.43</w:t>
            </w:r>
          </w:p>
        </w:tc>
        <w:tc>
          <w:tcPr>
            <w:tcW w:w="776" w:type="dxa"/>
            <w:tcBorders>
              <w:tl2br w:val="nil"/>
              <w:tr2bl w:val="nil"/>
            </w:tcBorders>
            <w:vAlign w:val="center"/>
          </w:tcPr>
          <w:p w14:paraId="22AC40C7">
            <w:pPr>
              <w:jc w:val="center"/>
            </w:pPr>
            <w:r>
              <w:t>3.69</w:t>
            </w:r>
          </w:p>
        </w:tc>
        <w:tc>
          <w:tcPr>
            <w:tcW w:w="776" w:type="dxa"/>
            <w:tcBorders>
              <w:tl2br w:val="nil"/>
              <w:tr2bl w:val="nil"/>
            </w:tcBorders>
            <w:vAlign w:val="center"/>
          </w:tcPr>
          <w:p w14:paraId="35114EB9">
            <w:pPr>
              <w:jc w:val="center"/>
            </w:pPr>
            <w:r>
              <w:t>3.5</w:t>
            </w:r>
          </w:p>
        </w:tc>
        <w:tc>
          <w:tcPr>
            <w:tcW w:w="776" w:type="dxa"/>
            <w:tcBorders>
              <w:tl2br w:val="nil"/>
              <w:tr2bl w:val="nil"/>
            </w:tcBorders>
            <w:vAlign w:val="center"/>
          </w:tcPr>
          <w:p w14:paraId="4019DF4D">
            <w:pPr>
              <w:jc w:val="center"/>
            </w:pPr>
            <w:r>
              <w:t>4.19</w:t>
            </w:r>
          </w:p>
        </w:tc>
        <w:tc>
          <w:tcPr>
            <w:tcW w:w="776" w:type="dxa"/>
            <w:tcBorders>
              <w:tl2br w:val="nil"/>
              <w:tr2bl w:val="nil"/>
            </w:tcBorders>
            <w:vAlign w:val="center"/>
          </w:tcPr>
          <w:p w14:paraId="6B427CE6">
            <w:pPr>
              <w:jc w:val="center"/>
            </w:pPr>
            <w:r>
              <w:t>4.87</w:t>
            </w:r>
          </w:p>
        </w:tc>
        <w:tc>
          <w:tcPr>
            <w:tcW w:w="776" w:type="dxa"/>
            <w:tcBorders>
              <w:tl2br w:val="nil"/>
              <w:tr2bl w:val="nil"/>
            </w:tcBorders>
            <w:vAlign w:val="center"/>
          </w:tcPr>
          <w:p w14:paraId="254BB8B7">
            <w:pPr>
              <w:jc w:val="center"/>
            </w:pPr>
            <w:r>
              <w:t>4.69</w:t>
            </w:r>
          </w:p>
        </w:tc>
        <w:tc>
          <w:tcPr>
            <w:tcW w:w="778" w:type="dxa"/>
            <w:tcBorders>
              <w:tl2br w:val="nil"/>
              <w:tr2bl w:val="nil"/>
            </w:tcBorders>
            <w:vAlign w:val="center"/>
          </w:tcPr>
          <w:p w14:paraId="7DF9EA64">
            <w:pPr>
              <w:jc w:val="center"/>
            </w:pPr>
            <w:r>
              <w:t>3.22</w:t>
            </w:r>
          </w:p>
        </w:tc>
        <w:tc>
          <w:tcPr>
            <w:tcW w:w="778" w:type="dxa"/>
            <w:tcBorders>
              <w:tl2br w:val="nil"/>
              <w:tr2bl w:val="nil"/>
            </w:tcBorders>
            <w:vAlign w:val="center"/>
          </w:tcPr>
          <w:p w14:paraId="31C7A771">
            <w:pPr>
              <w:jc w:val="center"/>
            </w:pPr>
            <w:r>
              <w:t>3.55</w:t>
            </w:r>
          </w:p>
        </w:tc>
        <w:tc>
          <w:tcPr>
            <w:tcW w:w="777" w:type="dxa"/>
            <w:tcBorders>
              <w:tl2br w:val="nil"/>
              <w:tr2bl w:val="nil"/>
            </w:tcBorders>
            <w:vAlign w:val="center"/>
          </w:tcPr>
          <w:p w14:paraId="4FA24ABB">
            <w:pPr>
              <w:jc w:val="center"/>
            </w:pPr>
            <w:r>
              <w:t>4.02</w:t>
            </w:r>
          </w:p>
        </w:tc>
        <w:tc>
          <w:tcPr>
            <w:tcW w:w="778" w:type="dxa"/>
            <w:tcBorders>
              <w:tl2br w:val="nil"/>
              <w:tr2bl w:val="nil"/>
            </w:tcBorders>
            <w:vAlign w:val="center"/>
          </w:tcPr>
          <w:p w14:paraId="6A13A30D">
            <w:pPr>
              <w:jc w:val="center"/>
            </w:pPr>
            <w:r>
              <w:t>3.88</w:t>
            </w:r>
          </w:p>
        </w:tc>
        <w:tc>
          <w:tcPr>
            <w:tcW w:w="777" w:type="dxa"/>
            <w:tcBorders>
              <w:tl2br w:val="nil"/>
              <w:tr2bl w:val="nil"/>
            </w:tcBorders>
            <w:vAlign w:val="center"/>
          </w:tcPr>
          <w:p w14:paraId="23AC1332">
            <w:pPr>
              <w:jc w:val="center"/>
            </w:pPr>
            <w:r>
              <w:t>4.58</w:t>
            </w:r>
          </w:p>
        </w:tc>
        <w:tc>
          <w:tcPr>
            <w:tcW w:w="782" w:type="dxa"/>
            <w:tcBorders>
              <w:tl2br w:val="nil"/>
              <w:tr2bl w:val="nil"/>
            </w:tcBorders>
            <w:vAlign w:val="center"/>
          </w:tcPr>
          <w:p w14:paraId="59141E7A">
            <w:pPr>
              <w:jc w:val="center"/>
            </w:pPr>
            <w:r>
              <w:t>0.09</w:t>
            </w:r>
          </w:p>
        </w:tc>
      </w:tr>
      <w:tr w14:paraId="2113A235">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8" w:hRule="atLeast"/>
        </w:trPr>
        <w:tc>
          <w:tcPr>
            <w:tcW w:w="780" w:type="dxa"/>
            <w:tcBorders>
              <w:tl2br w:val="nil"/>
              <w:tr2bl w:val="nil"/>
            </w:tcBorders>
            <w:vAlign w:val="center"/>
          </w:tcPr>
          <w:p w14:paraId="56235763">
            <w:pPr>
              <w:jc w:val="center"/>
            </w:pPr>
            <w:r>
              <w:t>6</w:t>
            </w:r>
          </w:p>
        </w:tc>
        <w:tc>
          <w:tcPr>
            <w:tcW w:w="776" w:type="dxa"/>
            <w:tcBorders>
              <w:tl2br w:val="nil"/>
              <w:tr2bl w:val="nil"/>
            </w:tcBorders>
            <w:vAlign w:val="center"/>
          </w:tcPr>
          <w:p w14:paraId="757A5A44">
            <w:pPr>
              <w:jc w:val="center"/>
            </w:pPr>
            <w:r>
              <w:t>2.93</w:t>
            </w:r>
          </w:p>
        </w:tc>
        <w:tc>
          <w:tcPr>
            <w:tcW w:w="775" w:type="dxa"/>
            <w:tcBorders>
              <w:tl2br w:val="nil"/>
              <w:tr2bl w:val="nil"/>
            </w:tcBorders>
            <w:vAlign w:val="center"/>
          </w:tcPr>
          <w:p w14:paraId="137C103B">
            <w:pPr>
              <w:jc w:val="center"/>
            </w:pPr>
            <w:r>
              <w:t>3.42</w:t>
            </w:r>
          </w:p>
        </w:tc>
        <w:tc>
          <w:tcPr>
            <w:tcW w:w="776" w:type="dxa"/>
            <w:tcBorders>
              <w:tl2br w:val="nil"/>
              <w:tr2bl w:val="nil"/>
            </w:tcBorders>
            <w:vAlign w:val="center"/>
          </w:tcPr>
          <w:p w14:paraId="3E41E254">
            <w:pPr>
              <w:jc w:val="center"/>
            </w:pPr>
            <w:r>
              <w:t>3. 12</w:t>
            </w:r>
          </w:p>
        </w:tc>
        <w:tc>
          <w:tcPr>
            <w:tcW w:w="776" w:type="dxa"/>
            <w:tcBorders>
              <w:tl2br w:val="nil"/>
              <w:tr2bl w:val="nil"/>
            </w:tcBorders>
            <w:vAlign w:val="center"/>
          </w:tcPr>
          <w:p w14:paraId="24368A43">
            <w:pPr>
              <w:jc w:val="center"/>
            </w:pPr>
            <w:r>
              <w:t>3. 11</w:t>
            </w:r>
          </w:p>
        </w:tc>
        <w:tc>
          <w:tcPr>
            <w:tcW w:w="775" w:type="dxa"/>
            <w:tcBorders>
              <w:tl2br w:val="nil"/>
              <w:tr2bl w:val="nil"/>
            </w:tcBorders>
            <w:vAlign w:val="center"/>
          </w:tcPr>
          <w:p w14:paraId="20DD2FD7">
            <w:pPr>
              <w:jc w:val="center"/>
            </w:pPr>
            <w:r>
              <w:t>2.18</w:t>
            </w:r>
          </w:p>
        </w:tc>
        <w:tc>
          <w:tcPr>
            <w:tcW w:w="776" w:type="dxa"/>
            <w:tcBorders>
              <w:tl2br w:val="nil"/>
              <w:tr2bl w:val="nil"/>
            </w:tcBorders>
            <w:vAlign w:val="center"/>
          </w:tcPr>
          <w:p w14:paraId="68B4D351">
            <w:pPr>
              <w:jc w:val="center"/>
            </w:pPr>
            <w:r>
              <w:t>2.38</w:t>
            </w:r>
          </w:p>
        </w:tc>
        <w:tc>
          <w:tcPr>
            <w:tcW w:w="776" w:type="dxa"/>
            <w:tcBorders>
              <w:tl2br w:val="nil"/>
              <w:tr2bl w:val="nil"/>
            </w:tcBorders>
            <w:vAlign w:val="center"/>
          </w:tcPr>
          <w:p w14:paraId="46F0ED49">
            <w:pPr>
              <w:jc w:val="center"/>
            </w:pPr>
            <w:r>
              <w:t>2.59</w:t>
            </w:r>
          </w:p>
        </w:tc>
        <w:tc>
          <w:tcPr>
            <w:tcW w:w="776" w:type="dxa"/>
            <w:tcBorders>
              <w:tl2br w:val="nil"/>
              <w:tr2bl w:val="nil"/>
            </w:tcBorders>
            <w:vAlign w:val="center"/>
          </w:tcPr>
          <w:p w14:paraId="745A3117">
            <w:pPr>
              <w:jc w:val="center"/>
            </w:pPr>
            <w:r>
              <w:t>2.93</w:t>
            </w:r>
          </w:p>
        </w:tc>
        <w:tc>
          <w:tcPr>
            <w:tcW w:w="776" w:type="dxa"/>
            <w:tcBorders>
              <w:tl2br w:val="nil"/>
              <w:tr2bl w:val="nil"/>
            </w:tcBorders>
            <w:vAlign w:val="center"/>
          </w:tcPr>
          <w:p w14:paraId="674551F9">
            <w:pPr>
              <w:jc w:val="center"/>
            </w:pPr>
            <w:r>
              <w:t>2.86</w:t>
            </w:r>
          </w:p>
        </w:tc>
        <w:tc>
          <w:tcPr>
            <w:tcW w:w="776" w:type="dxa"/>
            <w:tcBorders>
              <w:tl2br w:val="nil"/>
              <w:tr2bl w:val="nil"/>
            </w:tcBorders>
            <w:vAlign w:val="center"/>
          </w:tcPr>
          <w:p w14:paraId="00FD3DD8">
            <w:pPr>
              <w:jc w:val="center"/>
            </w:pPr>
            <w:r>
              <w:t>3.64</w:t>
            </w:r>
          </w:p>
        </w:tc>
        <w:tc>
          <w:tcPr>
            <w:tcW w:w="776" w:type="dxa"/>
            <w:tcBorders>
              <w:tl2br w:val="nil"/>
              <w:tr2bl w:val="nil"/>
            </w:tcBorders>
            <w:vAlign w:val="center"/>
          </w:tcPr>
          <w:p w14:paraId="2F01EB25">
            <w:pPr>
              <w:jc w:val="center"/>
            </w:pPr>
            <w:r>
              <w:t>3.82</w:t>
            </w:r>
          </w:p>
        </w:tc>
        <w:tc>
          <w:tcPr>
            <w:tcW w:w="778" w:type="dxa"/>
            <w:tcBorders>
              <w:tl2br w:val="nil"/>
              <w:tr2bl w:val="nil"/>
            </w:tcBorders>
            <w:vAlign w:val="center"/>
          </w:tcPr>
          <w:p w14:paraId="57B7C124">
            <w:pPr>
              <w:jc w:val="center"/>
            </w:pPr>
            <w:r>
              <w:t>4.06</w:t>
            </w:r>
          </w:p>
        </w:tc>
        <w:tc>
          <w:tcPr>
            <w:tcW w:w="778" w:type="dxa"/>
            <w:tcBorders>
              <w:tl2br w:val="nil"/>
              <w:tr2bl w:val="nil"/>
            </w:tcBorders>
            <w:vAlign w:val="center"/>
          </w:tcPr>
          <w:p w14:paraId="38D025AC">
            <w:pPr>
              <w:jc w:val="center"/>
            </w:pPr>
            <w:r>
              <w:t>3.24</w:t>
            </w:r>
          </w:p>
        </w:tc>
        <w:tc>
          <w:tcPr>
            <w:tcW w:w="777" w:type="dxa"/>
            <w:tcBorders>
              <w:tl2br w:val="nil"/>
              <w:tr2bl w:val="nil"/>
            </w:tcBorders>
            <w:vAlign w:val="center"/>
          </w:tcPr>
          <w:p w14:paraId="360EF1A0">
            <w:pPr>
              <w:jc w:val="center"/>
            </w:pPr>
            <w:r>
              <w:t>3.2</w:t>
            </w:r>
          </w:p>
        </w:tc>
        <w:tc>
          <w:tcPr>
            <w:tcW w:w="778" w:type="dxa"/>
            <w:tcBorders>
              <w:tl2br w:val="nil"/>
              <w:tr2bl w:val="nil"/>
            </w:tcBorders>
            <w:vAlign w:val="center"/>
          </w:tcPr>
          <w:p w14:paraId="5BD91ADB">
            <w:pPr>
              <w:jc w:val="center"/>
            </w:pPr>
            <w:r>
              <w:t>4.03</w:t>
            </w:r>
          </w:p>
        </w:tc>
        <w:tc>
          <w:tcPr>
            <w:tcW w:w="777" w:type="dxa"/>
            <w:tcBorders>
              <w:tl2br w:val="nil"/>
              <w:tr2bl w:val="nil"/>
            </w:tcBorders>
            <w:vAlign w:val="center"/>
          </w:tcPr>
          <w:p w14:paraId="525094AF">
            <w:pPr>
              <w:jc w:val="center"/>
            </w:pPr>
            <w:r>
              <w:t>2.62</w:t>
            </w:r>
          </w:p>
        </w:tc>
        <w:tc>
          <w:tcPr>
            <w:tcW w:w="782" w:type="dxa"/>
            <w:tcBorders>
              <w:tl2br w:val="nil"/>
              <w:tr2bl w:val="nil"/>
            </w:tcBorders>
            <w:vAlign w:val="center"/>
          </w:tcPr>
          <w:p w14:paraId="0C61D2FB">
            <w:pPr>
              <w:jc w:val="center"/>
            </w:pPr>
            <w:r>
              <w:t>0.1</w:t>
            </w:r>
          </w:p>
        </w:tc>
      </w:tr>
      <w:tr w14:paraId="4BD129B9">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80" w:type="dxa"/>
            <w:tcBorders>
              <w:tl2br w:val="nil"/>
              <w:tr2bl w:val="nil"/>
            </w:tcBorders>
            <w:vAlign w:val="center"/>
          </w:tcPr>
          <w:p w14:paraId="6D3ACA4C">
            <w:pPr>
              <w:jc w:val="center"/>
            </w:pPr>
            <w:r>
              <w:t>7</w:t>
            </w:r>
          </w:p>
        </w:tc>
        <w:tc>
          <w:tcPr>
            <w:tcW w:w="776" w:type="dxa"/>
            <w:tcBorders>
              <w:tl2br w:val="nil"/>
              <w:tr2bl w:val="nil"/>
            </w:tcBorders>
            <w:vAlign w:val="center"/>
          </w:tcPr>
          <w:p w14:paraId="501D5E22">
            <w:pPr>
              <w:jc w:val="center"/>
            </w:pPr>
            <w:r>
              <w:t>3.16</w:t>
            </w:r>
          </w:p>
        </w:tc>
        <w:tc>
          <w:tcPr>
            <w:tcW w:w="775" w:type="dxa"/>
            <w:tcBorders>
              <w:tl2br w:val="nil"/>
              <w:tr2bl w:val="nil"/>
            </w:tcBorders>
            <w:vAlign w:val="center"/>
          </w:tcPr>
          <w:p w14:paraId="1FBDF20A">
            <w:pPr>
              <w:jc w:val="center"/>
            </w:pPr>
            <w:r>
              <w:t>2.75</w:t>
            </w:r>
          </w:p>
        </w:tc>
        <w:tc>
          <w:tcPr>
            <w:tcW w:w="776" w:type="dxa"/>
            <w:tcBorders>
              <w:tl2br w:val="nil"/>
              <w:tr2bl w:val="nil"/>
            </w:tcBorders>
            <w:vAlign w:val="center"/>
          </w:tcPr>
          <w:p w14:paraId="613D0A02">
            <w:pPr>
              <w:jc w:val="center"/>
            </w:pPr>
            <w:r>
              <w:t>2.39</w:t>
            </w:r>
          </w:p>
        </w:tc>
        <w:tc>
          <w:tcPr>
            <w:tcW w:w="776" w:type="dxa"/>
            <w:tcBorders>
              <w:tl2br w:val="nil"/>
              <w:tr2bl w:val="nil"/>
            </w:tcBorders>
            <w:vAlign w:val="center"/>
          </w:tcPr>
          <w:p w14:paraId="09AA18CD">
            <w:pPr>
              <w:jc w:val="center"/>
            </w:pPr>
            <w:r>
              <w:t>2.33</w:t>
            </w:r>
          </w:p>
        </w:tc>
        <w:tc>
          <w:tcPr>
            <w:tcW w:w="775" w:type="dxa"/>
            <w:tcBorders>
              <w:tl2br w:val="nil"/>
              <w:tr2bl w:val="nil"/>
            </w:tcBorders>
            <w:vAlign w:val="center"/>
          </w:tcPr>
          <w:p w14:paraId="69A4409C">
            <w:pPr>
              <w:jc w:val="center"/>
            </w:pPr>
            <w:r>
              <w:t>2.23</w:t>
            </w:r>
          </w:p>
        </w:tc>
        <w:tc>
          <w:tcPr>
            <w:tcW w:w="776" w:type="dxa"/>
            <w:tcBorders>
              <w:tl2br w:val="nil"/>
              <w:tr2bl w:val="nil"/>
            </w:tcBorders>
            <w:vAlign w:val="center"/>
          </w:tcPr>
          <w:p w14:paraId="59549562">
            <w:pPr>
              <w:jc w:val="center"/>
            </w:pPr>
            <w:r>
              <w:t>2.33</w:t>
            </w:r>
          </w:p>
        </w:tc>
        <w:tc>
          <w:tcPr>
            <w:tcW w:w="776" w:type="dxa"/>
            <w:tcBorders>
              <w:tl2br w:val="nil"/>
              <w:tr2bl w:val="nil"/>
            </w:tcBorders>
            <w:vAlign w:val="center"/>
          </w:tcPr>
          <w:p w14:paraId="1F1C0DFA">
            <w:pPr>
              <w:jc w:val="center"/>
            </w:pPr>
            <w:r>
              <w:t>2.49</w:t>
            </w:r>
          </w:p>
        </w:tc>
        <w:tc>
          <w:tcPr>
            <w:tcW w:w="776" w:type="dxa"/>
            <w:tcBorders>
              <w:tl2br w:val="nil"/>
              <w:tr2bl w:val="nil"/>
            </w:tcBorders>
            <w:vAlign w:val="center"/>
          </w:tcPr>
          <w:p w14:paraId="0A915BC5">
            <w:pPr>
              <w:jc w:val="center"/>
            </w:pPr>
            <w:r>
              <w:t>2.66</w:t>
            </w:r>
          </w:p>
        </w:tc>
        <w:tc>
          <w:tcPr>
            <w:tcW w:w="776" w:type="dxa"/>
            <w:tcBorders>
              <w:tl2br w:val="nil"/>
              <w:tr2bl w:val="nil"/>
            </w:tcBorders>
            <w:vAlign w:val="center"/>
          </w:tcPr>
          <w:p w14:paraId="7E3FF070">
            <w:pPr>
              <w:jc w:val="center"/>
            </w:pPr>
            <w:r>
              <w:t>3.2</w:t>
            </w:r>
          </w:p>
        </w:tc>
        <w:tc>
          <w:tcPr>
            <w:tcW w:w="776" w:type="dxa"/>
            <w:tcBorders>
              <w:tl2br w:val="nil"/>
              <w:tr2bl w:val="nil"/>
            </w:tcBorders>
            <w:vAlign w:val="center"/>
          </w:tcPr>
          <w:p w14:paraId="14AB678F">
            <w:pPr>
              <w:jc w:val="center"/>
            </w:pPr>
            <w:r>
              <w:t>3.16</w:t>
            </w:r>
          </w:p>
        </w:tc>
        <w:tc>
          <w:tcPr>
            <w:tcW w:w="776" w:type="dxa"/>
            <w:tcBorders>
              <w:tl2br w:val="nil"/>
              <w:tr2bl w:val="nil"/>
            </w:tcBorders>
            <w:vAlign w:val="center"/>
          </w:tcPr>
          <w:p w14:paraId="3116B13B">
            <w:pPr>
              <w:jc w:val="center"/>
            </w:pPr>
            <w:r>
              <w:t>2.8</w:t>
            </w:r>
          </w:p>
        </w:tc>
        <w:tc>
          <w:tcPr>
            <w:tcW w:w="778" w:type="dxa"/>
            <w:tcBorders>
              <w:tl2br w:val="nil"/>
              <w:tr2bl w:val="nil"/>
            </w:tcBorders>
            <w:vAlign w:val="center"/>
          </w:tcPr>
          <w:p w14:paraId="4A647BF5">
            <w:pPr>
              <w:jc w:val="center"/>
            </w:pPr>
            <w:r>
              <w:t>2.18</w:t>
            </w:r>
          </w:p>
        </w:tc>
        <w:tc>
          <w:tcPr>
            <w:tcW w:w="778" w:type="dxa"/>
            <w:tcBorders>
              <w:tl2br w:val="nil"/>
              <w:tr2bl w:val="nil"/>
            </w:tcBorders>
            <w:vAlign w:val="center"/>
          </w:tcPr>
          <w:p w14:paraId="523C95F9">
            <w:pPr>
              <w:jc w:val="center"/>
            </w:pPr>
            <w:r>
              <w:t>2.39</w:t>
            </w:r>
          </w:p>
        </w:tc>
        <w:tc>
          <w:tcPr>
            <w:tcW w:w="777" w:type="dxa"/>
            <w:tcBorders>
              <w:tl2br w:val="nil"/>
              <w:tr2bl w:val="nil"/>
            </w:tcBorders>
            <w:vAlign w:val="center"/>
          </w:tcPr>
          <w:p w14:paraId="5EDDCF49">
            <w:pPr>
              <w:jc w:val="center"/>
            </w:pPr>
            <w:r>
              <w:t>2.23</w:t>
            </w:r>
          </w:p>
        </w:tc>
        <w:tc>
          <w:tcPr>
            <w:tcW w:w="778" w:type="dxa"/>
            <w:tcBorders>
              <w:tl2br w:val="nil"/>
              <w:tr2bl w:val="nil"/>
            </w:tcBorders>
            <w:vAlign w:val="center"/>
          </w:tcPr>
          <w:p w14:paraId="5F737CEF">
            <w:pPr>
              <w:jc w:val="center"/>
            </w:pPr>
            <w:r>
              <w:t>3.96</w:t>
            </w:r>
          </w:p>
        </w:tc>
        <w:tc>
          <w:tcPr>
            <w:tcW w:w="777" w:type="dxa"/>
            <w:tcBorders>
              <w:tl2br w:val="nil"/>
              <w:tr2bl w:val="nil"/>
            </w:tcBorders>
            <w:vAlign w:val="center"/>
          </w:tcPr>
          <w:p w14:paraId="31FCA0D5">
            <w:pPr>
              <w:jc w:val="center"/>
            </w:pPr>
            <w:r>
              <w:t>3.37</w:t>
            </w:r>
          </w:p>
        </w:tc>
        <w:tc>
          <w:tcPr>
            <w:tcW w:w="782" w:type="dxa"/>
            <w:tcBorders>
              <w:tl2br w:val="nil"/>
              <w:tr2bl w:val="nil"/>
            </w:tcBorders>
            <w:vAlign w:val="center"/>
          </w:tcPr>
          <w:p w14:paraId="5ADD6F7E">
            <w:pPr>
              <w:jc w:val="center"/>
            </w:pPr>
            <w:r>
              <w:t>0.08</w:t>
            </w:r>
          </w:p>
        </w:tc>
      </w:tr>
      <w:tr w14:paraId="24811D80">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80" w:type="dxa"/>
            <w:tcBorders>
              <w:tl2br w:val="nil"/>
              <w:tr2bl w:val="nil"/>
            </w:tcBorders>
            <w:vAlign w:val="center"/>
          </w:tcPr>
          <w:p w14:paraId="56FE2D4E">
            <w:pPr>
              <w:jc w:val="center"/>
            </w:pPr>
            <w:r>
              <w:t>8</w:t>
            </w:r>
          </w:p>
        </w:tc>
        <w:tc>
          <w:tcPr>
            <w:tcW w:w="776" w:type="dxa"/>
            <w:tcBorders>
              <w:tl2br w:val="nil"/>
              <w:tr2bl w:val="nil"/>
            </w:tcBorders>
            <w:vAlign w:val="center"/>
          </w:tcPr>
          <w:p w14:paraId="69E68BD7">
            <w:pPr>
              <w:jc w:val="center"/>
            </w:pPr>
            <w:r>
              <w:t>3.17</w:t>
            </w:r>
          </w:p>
        </w:tc>
        <w:tc>
          <w:tcPr>
            <w:tcW w:w="775" w:type="dxa"/>
            <w:tcBorders>
              <w:tl2br w:val="nil"/>
              <w:tr2bl w:val="nil"/>
            </w:tcBorders>
            <w:vAlign w:val="center"/>
          </w:tcPr>
          <w:p w14:paraId="648AB7C3">
            <w:pPr>
              <w:jc w:val="center"/>
            </w:pPr>
            <w:r>
              <w:t>2.34</w:t>
            </w:r>
          </w:p>
        </w:tc>
        <w:tc>
          <w:tcPr>
            <w:tcW w:w="776" w:type="dxa"/>
            <w:tcBorders>
              <w:tl2br w:val="nil"/>
              <w:tr2bl w:val="nil"/>
            </w:tcBorders>
            <w:vAlign w:val="center"/>
          </w:tcPr>
          <w:p w14:paraId="4283E176">
            <w:pPr>
              <w:jc w:val="center"/>
            </w:pPr>
            <w:r>
              <w:t>2.28</w:t>
            </w:r>
          </w:p>
        </w:tc>
        <w:tc>
          <w:tcPr>
            <w:tcW w:w="776" w:type="dxa"/>
            <w:tcBorders>
              <w:tl2br w:val="nil"/>
              <w:tr2bl w:val="nil"/>
            </w:tcBorders>
            <w:vAlign w:val="center"/>
          </w:tcPr>
          <w:p w14:paraId="07A8D6A2">
            <w:pPr>
              <w:jc w:val="center"/>
            </w:pPr>
            <w:r>
              <w:t>2.54</w:t>
            </w:r>
          </w:p>
        </w:tc>
        <w:tc>
          <w:tcPr>
            <w:tcW w:w="775" w:type="dxa"/>
            <w:tcBorders>
              <w:tl2br w:val="nil"/>
              <w:tr2bl w:val="nil"/>
            </w:tcBorders>
            <w:vAlign w:val="center"/>
          </w:tcPr>
          <w:p w14:paraId="2C78ABBD">
            <w:pPr>
              <w:jc w:val="center"/>
            </w:pPr>
            <w:r>
              <w:t>2.34</w:t>
            </w:r>
          </w:p>
        </w:tc>
        <w:tc>
          <w:tcPr>
            <w:tcW w:w="776" w:type="dxa"/>
            <w:tcBorders>
              <w:tl2br w:val="nil"/>
              <w:tr2bl w:val="nil"/>
            </w:tcBorders>
            <w:vAlign w:val="center"/>
          </w:tcPr>
          <w:p w14:paraId="00CD329C">
            <w:pPr>
              <w:jc w:val="center"/>
            </w:pPr>
            <w:r>
              <w:t>2.08</w:t>
            </w:r>
          </w:p>
        </w:tc>
        <w:tc>
          <w:tcPr>
            <w:tcW w:w="776" w:type="dxa"/>
            <w:tcBorders>
              <w:tl2br w:val="nil"/>
              <w:tr2bl w:val="nil"/>
            </w:tcBorders>
            <w:vAlign w:val="center"/>
          </w:tcPr>
          <w:p w14:paraId="51049383">
            <w:pPr>
              <w:jc w:val="center"/>
            </w:pPr>
            <w:r>
              <w:t>2.01</w:t>
            </w:r>
          </w:p>
        </w:tc>
        <w:tc>
          <w:tcPr>
            <w:tcW w:w="776" w:type="dxa"/>
            <w:tcBorders>
              <w:tl2br w:val="nil"/>
              <w:tr2bl w:val="nil"/>
            </w:tcBorders>
            <w:vAlign w:val="center"/>
          </w:tcPr>
          <w:p w14:paraId="0F298D04">
            <w:pPr>
              <w:jc w:val="center"/>
            </w:pPr>
            <w:r>
              <w:t>2.38</w:t>
            </w:r>
          </w:p>
        </w:tc>
        <w:tc>
          <w:tcPr>
            <w:tcW w:w="776" w:type="dxa"/>
            <w:tcBorders>
              <w:tl2br w:val="nil"/>
              <w:tr2bl w:val="nil"/>
            </w:tcBorders>
            <w:vAlign w:val="center"/>
          </w:tcPr>
          <w:p w14:paraId="2C26B397">
            <w:pPr>
              <w:jc w:val="center"/>
            </w:pPr>
            <w:r>
              <w:t>2.82</w:t>
            </w:r>
          </w:p>
        </w:tc>
        <w:tc>
          <w:tcPr>
            <w:tcW w:w="776" w:type="dxa"/>
            <w:tcBorders>
              <w:tl2br w:val="nil"/>
              <w:tr2bl w:val="nil"/>
            </w:tcBorders>
            <w:vAlign w:val="center"/>
          </w:tcPr>
          <w:p w14:paraId="73D5C3F9">
            <w:pPr>
              <w:jc w:val="center"/>
            </w:pPr>
            <w:r>
              <w:t>3.59</w:t>
            </w:r>
          </w:p>
        </w:tc>
        <w:tc>
          <w:tcPr>
            <w:tcW w:w="776" w:type="dxa"/>
            <w:tcBorders>
              <w:tl2br w:val="nil"/>
              <w:tr2bl w:val="nil"/>
            </w:tcBorders>
            <w:vAlign w:val="center"/>
          </w:tcPr>
          <w:p w14:paraId="1F915EB9">
            <w:pPr>
              <w:jc w:val="center"/>
            </w:pPr>
            <w:r>
              <w:t>2.87</w:t>
            </w:r>
          </w:p>
        </w:tc>
        <w:tc>
          <w:tcPr>
            <w:tcW w:w="778" w:type="dxa"/>
            <w:tcBorders>
              <w:tl2br w:val="nil"/>
              <w:tr2bl w:val="nil"/>
            </w:tcBorders>
            <w:vAlign w:val="center"/>
          </w:tcPr>
          <w:p w14:paraId="7A2D1857">
            <w:pPr>
              <w:jc w:val="center"/>
            </w:pPr>
            <w:r>
              <w:t>1.89</w:t>
            </w:r>
          </w:p>
        </w:tc>
        <w:tc>
          <w:tcPr>
            <w:tcW w:w="778" w:type="dxa"/>
            <w:tcBorders>
              <w:tl2br w:val="nil"/>
              <w:tr2bl w:val="nil"/>
            </w:tcBorders>
            <w:vAlign w:val="center"/>
          </w:tcPr>
          <w:p w14:paraId="69774378">
            <w:pPr>
              <w:jc w:val="center"/>
            </w:pPr>
            <w:r>
              <w:t>1.88</w:t>
            </w:r>
          </w:p>
        </w:tc>
        <w:tc>
          <w:tcPr>
            <w:tcW w:w="777" w:type="dxa"/>
            <w:tcBorders>
              <w:tl2br w:val="nil"/>
              <w:tr2bl w:val="nil"/>
            </w:tcBorders>
            <w:vAlign w:val="center"/>
          </w:tcPr>
          <w:p w14:paraId="13514CC7">
            <w:pPr>
              <w:jc w:val="center"/>
            </w:pPr>
            <w:r>
              <w:t>1.6</w:t>
            </w:r>
          </w:p>
        </w:tc>
        <w:tc>
          <w:tcPr>
            <w:tcW w:w="778" w:type="dxa"/>
            <w:tcBorders>
              <w:tl2br w:val="nil"/>
              <w:tr2bl w:val="nil"/>
            </w:tcBorders>
            <w:vAlign w:val="center"/>
          </w:tcPr>
          <w:p w14:paraId="0AAA3166">
            <w:pPr>
              <w:jc w:val="center"/>
            </w:pPr>
            <w:r>
              <w:t>1.6</w:t>
            </w:r>
          </w:p>
        </w:tc>
        <w:tc>
          <w:tcPr>
            <w:tcW w:w="777" w:type="dxa"/>
            <w:tcBorders>
              <w:tl2br w:val="nil"/>
              <w:tr2bl w:val="nil"/>
            </w:tcBorders>
            <w:vAlign w:val="center"/>
          </w:tcPr>
          <w:p w14:paraId="41CD7FE0">
            <w:pPr>
              <w:jc w:val="center"/>
            </w:pPr>
            <w:r>
              <w:t>2.84</w:t>
            </w:r>
          </w:p>
        </w:tc>
        <w:tc>
          <w:tcPr>
            <w:tcW w:w="782" w:type="dxa"/>
            <w:tcBorders>
              <w:tl2br w:val="nil"/>
              <w:tr2bl w:val="nil"/>
            </w:tcBorders>
            <w:vAlign w:val="center"/>
          </w:tcPr>
          <w:p w14:paraId="249BDF1E">
            <w:pPr>
              <w:jc w:val="center"/>
            </w:pPr>
            <w:r>
              <w:t>0.08</w:t>
            </w:r>
          </w:p>
        </w:tc>
      </w:tr>
      <w:tr w14:paraId="6A07356E">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80" w:type="dxa"/>
            <w:tcBorders>
              <w:tl2br w:val="nil"/>
              <w:tr2bl w:val="nil"/>
            </w:tcBorders>
            <w:vAlign w:val="center"/>
          </w:tcPr>
          <w:p w14:paraId="4BCCCBCE">
            <w:pPr>
              <w:jc w:val="center"/>
            </w:pPr>
            <w:r>
              <w:t>9</w:t>
            </w:r>
          </w:p>
        </w:tc>
        <w:tc>
          <w:tcPr>
            <w:tcW w:w="776" w:type="dxa"/>
            <w:tcBorders>
              <w:tl2br w:val="nil"/>
              <w:tr2bl w:val="nil"/>
            </w:tcBorders>
            <w:vAlign w:val="center"/>
          </w:tcPr>
          <w:p w14:paraId="3DDF6E04">
            <w:pPr>
              <w:jc w:val="center"/>
            </w:pPr>
            <w:r>
              <w:t>3.04</w:t>
            </w:r>
          </w:p>
        </w:tc>
        <w:tc>
          <w:tcPr>
            <w:tcW w:w="775" w:type="dxa"/>
            <w:tcBorders>
              <w:tl2br w:val="nil"/>
              <w:tr2bl w:val="nil"/>
            </w:tcBorders>
            <w:vAlign w:val="center"/>
          </w:tcPr>
          <w:p w14:paraId="3E0DE154">
            <w:pPr>
              <w:jc w:val="center"/>
            </w:pPr>
            <w:r>
              <w:t>2.45</w:t>
            </w:r>
          </w:p>
        </w:tc>
        <w:tc>
          <w:tcPr>
            <w:tcW w:w="776" w:type="dxa"/>
            <w:tcBorders>
              <w:tl2br w:val="nil"/>
              <w:tr2bl w:val="nil"/>
            </w:tcBorders>
            <w:vAlign w:val="center"/>
          </w:tcPr>
          <w:p w14:paraId="76D8CCE1">
            <w:pPr>
              <w:jc w:val="center"/>
            </w:pPr>
            <w:r>
              <w:t>2.04</w:t>
            </w:r>
          </w:p>
        </w:tc>
        <w:tc>
          <w:tcPr>
            <w:tcW w:w="776" w:type="dxa"/>
            <w:tcBorders>
              <w:tl2br w:val="nil"/>
              <w:tr2bl w:val="nil"/>
            </w:tcBorders>
            <w:vAlign w:val="center"/>
          </w:tcPr>
          <w:p w14:paraId="46259516">
            <w:pPr>
              <w:jc w:val="center"/>
            </w:pPr>
            <w:r>
              <w:t>2.27</w:t>
            </w:r>
          </w:p>
        </w:tc>
        <w:tc>
          <w:tcPr>
            <w:tcW w:w="775" w:type="dxa"/>
            <w:tcBorders>
              <w:tl2br w:val="nil"/>
              <w:tr2bl w:val="nil"/>
            </w:tcBorders>
            <w:vAlign w:val="center"/>
          </w:tcPr>
          <w:p w14:paraId="56CD7615">
            <w:pPr>
              <w:jc w:val="center"/>
            </w:pPr>
            <w:r>
              <w:t>2.05</w:t>
            </w:r>
          </w:p>
        </w:tc>
        <w:tc>
          <w:tcPr>
            <w:tcW w:w="776" w:type="dxa"/>
            <w:tcBorders>
              <w:tl2br w:val="nil"/>
              <w:tr2bl w:val="nil"/>
            </w:tcBorders>
            <w:vAlign w:val="center"/>
          </w:tcPr>
          <w:p w14:paraId="0F4A176D">
            <w:pPr>
              <w:jc w:val="center"/>
            </w:pPr>
            <w:r>
              <w:t>1.73</w:t>
            </w:r>
          </w:p>
        </w:tc>
        <w:tc>
          <w:tcPr>
            <w:tcW w:w="776" w:type="dxa"/>
            <w:tcBorders>
              <w:tl2br w:val="nil"/>
              <w:tr2bl w:val="nil"/>
            </w:tcBorders>
            <w:vAlign w:val="center"/>
          </w:tcPr>
          <w:p w14:paraId="646B2C41">
            <w:pPr>
              <w:jc w:val="center"/>
            </w:pPr>
            <w:r>
              <w:t>2.06</w:t>
            </w:r>
          </w:p>
        </w:tc>
        <w:tc>
          <w:tcPr>
            <w:tcW w:w="776" w:type="dxa"/>
            <w:tcBorders>
              <w:tl2br w:val="nil"/>
              <w:tr2bl w:val="nil"/>
            </w:tcBorders>
            <w:vAlign w:val="center"/>
          </w:tcPr>
          <w:p w14:paraId="2BF39095">
            <w:pPr>
              <w:jc w:val="center"/>
            </w:pPr>
            <w:r>
              <w:t>2.25</w:t>
            </w:r>
          </w:p>
        </w:tc>
        <w:tc>
          <w:tcPr>
            <w:tcW w:w="776" w:type="dxa"/>
            <w:tcBorders>
              <w:tl2br w:val="nil"/>
              <w:tr2bl w:val="nil"/>
            </w:tcBorders>
            <w:vAlign w:val="center"/>
          </w:tcPr>
          <w:p w14:paraId="76BA4491">
            <w:pPr>
              <w:jc w:val="center"/>
            </w:pPr>
            <w:r>
              <w:t>2.59</w:t>
            </w:r>
          </w:p>
        </w:tc>
        <w:tc>
          <w:tcPr>
            <w:tcW w:w="776" w:type="dxa"/>
            <w:tcBorders>
              <w:tl2br w:val="nil"/>
              <w:tr2bl w:val="nil"/>
            </w:tcBorders>
            <w:vAlign w:val="center"/>
          </w:tcPr>
          <w:p w14:paraId="736F0536">
            <w:pPr>
              <w:jc w:val="center"/>
            </w:pPr>
            <w:r>
              <w:t>2.85</w:t>
            </w:r>
          </w:p>
        </w:tc>
        <w:tc>
          <w:tcPr>
            <w:tcW w:w="776" w:type="dxa"/>
            <w:tcBorders>
              <w:tl2br w:val="nil"/>
              <w:tr2bl w:val="nil"/>
            </w:tcBorders>
            <w:vAlign w:val="center"/>
          </w:tcPr>
          <w:p w14:paraId="2ED398FD">
            <w:pPr>
              <w:jc w:val="center"/>
            </w:pPr>
            <w:r>
              <w:t>2.46</w:t>
            </w:r>
          </w:p>
        </w:tc>
        <w:tc>
          <w:tcPr>
            <w:tcW w:w="778" w:type="dxa"/>
            <w:tcBorders>
              <w:tl2br w:val="nil"/>
              <w:tr2bl w:val="nil"/>
            </w:tcBorders>
            <w:vAlign w:val="center"/>
          </w:tcPr>
          <w:p w14:paraId="6C269BE0">
            <w:pPr>
              <w:jc w:val="center"/>
            </w:pPr>
            <w:r>
              <w:t>2.59</w:t>
            </w:r>
          </w:p>
        </w:tc>
        <w:tc>
          <w:tcPr>
            <w:tcW w:w="778" w:type="dxa"/>
            <w:tcBorders>
              <w:tl2br w:val="nil"/>
              <w:tr2bl w:val="nil"/>
            </w:tcBorders>
            <w:vAlign w:val="center"/>
          </w:tcPr>
          <w:p w14:paraId="5B00B95C">
            <w:pPr>
              <w:jc w:val="center"/>
            </w:pPr>
            <w:r>
              <w:t>2.38</w:t>
            </w:r>
          </w:p>
        </w:tc>
        <w:tc>
          <w:tcPr>
            <w:tcW w:w="777" w:type="dxa"/>
            <w:tcBorders>
              <w:tl2br w:val="nil"/>
              <w:tr2bl w:val="nil"/>
            </w:tcBorders>
            <w:vAlign w:val="center"/>
          </w:tcPr>
          <w:p w14:paraId="3CAED58A">
            <w:pPr>
              <w:jc w:val="center"/>
            </w:pPr>
            <w:r>
              <w:t>1.56</w:t>
            </w:r>
          </w:p>
        </w:tc>
        <w:tc>
          <w:tcPr>
            <w:tcW w:w="778" w:type="dxa"/>
            <w:tcBorders>
              <w:tl2br w:val="nil"/>
              <w:tr2bl w:val="nil"/>
            </w:tcBorders>
            <w:vAlign w:val="center"/>
          </w:tcPr>
          <w:p w14:paraId="140A9B84">
            <w:pPr>
              <w:jc w:val="center"/>
            </w:pPr>
            <w:r>
              <w:t>2.92</w:t>
            </w:r>
          </w:p>
        </w:tc>
        <w:tc>
          <w:tcPr>
            <w:tcW w:w="777" w:type="dxa"/>
            <w:tcBorders>
              <w:tl2br w:val="nil"/>
              <w:tr2bl w:val="nil"/>
            </w:tcBorders>
            <w:vAlign w:val="center"/>
          </w:tcPr>
          <w:p w14:paraId="5033F994">
            <w:pPr>
              <w:jc w:val="center"/>
            </w:pPr>
            <w:r>
              <w:t>3.48</w:t>
            </w:r>
          </w:p>
        </w:tc>
        <w:tc>
          <w:tcPr>
            <w:tcW w:w="782" w:type="dxa"/>
            <w:tcBorders>
              <w:tl2br w:val="nil"/>
              <w:tr2bl w:val="nil"/>
            </w:tcBorders>
            <w:vAlign w:val="center"/>
          </w:tcPr>
          <w:p w14:paraId="07C862A9">
            <w:pPr>
              <w:jc w:val="center"/>
            </w:pPr>
            <w:r>
              <w:t>0.1</w:t>
            </w:r>
          </w:p>
        </w:tc>
      </w:tr>
      <w:tr w14:paraId="284FC1D3">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8" w:hRule="atLeast"/>
        </w:trPr>
        <w:tc>
          <w:tcPr>
            <w:tcW w:w="780" w:type="dxa"/>
            <w:tcBorders>
              <w:tl2br w:val="nil"/>
              <w:tr2bl w:val="nil"/>
            </w:tcBorders>
            <w:vAlign w:val="center"/>
          </w:tcPr>
          <w:p w14:paraId="37E0F49B">
            <w:pPr>
              <w:jc w:val="center"/>
            </w:pPr>
            <w:r>
              <w:t>10</w:t>
            </w:r>
          </w:p>
        </w:tc>
        <w:tc>
          <w:tcPr>
            <w:tcW w:w="776" w:type="dxa"/>
            <w:tcBorders>
              <w:tl2br w:val="nil"/>
              <w:tr2bl w:val="nil"/>
            </w:tcBorders>
            <w:vAlign w:val="center"/>
          </w:tcPr>
          <w:p w14:paraId="38FE2722">
            <w:pPr>
              <w:jc w:val="center"/>
            </w:pPr>
            <w:r>
              <w:t>3.45</w:t>
            </w:r>
          </w:p>
        </w:tc>
        <w:tc>
          <w:tcPr>
            <w:tcW w:w="775" w:type="dxa"/>
            <w:tcBorders>
              <w:tl2br w:val="nil"/>
              <w:tr2bl w:val="nil"/>
            </w:tcBorders>
            <w:vAlign w:val="center"/>
          </w:tcPr>
          <w:p w14:paraId="66BC7BA5">
            <w:pPr>
              <w:jc w:val="center"/>
            </w:pPr>
            <w:r>
              <w:t>3.2</w:t>
            </w:r>
          </w:p>
        </w:tc>
        <w:tc>
          <w:tcPr>
            <w:tcW w:w="776" w:type="dxa"/>
            <w:tcBorders>
              <w:tl2br w:val="nil"/>
              <w:tr2bl w:val="nil"/>
            </w:tcBorders>
            <w:vAlign w:val="center"/>
          </w:tcPr>
          <w:p w14:paraId="2F185ABD">
            <w:pPr>
              <w:jc w:val="center"/>
            </w:pPr>
            <w:r>
              <w:t>2.51</w:t>
            </w:r>
          </w:p>
        </w:tc>
        <w:tc>
          <w:tcPr>
            <w:tcW w:w="776" w:type="dxa"/>
            <w:tcBorders>
              <w:tl2br w:val="nil"/>
              <w:tr2bl w:val="nil"/>
            </w:tcBorders>
            <w:vAlign w:val="center"/>
          </w:tcPr>
          <w:p w14:paraId="5EA4C2F5">
            <w:pPr>
              <w:jc w:val="center"/>
            </w:pPr>
            <w:r>
              <w:t>2.41</w:t>
            </w:r>
          </w:p>
        </w:tc>
        <w:tc>
          <w:tcPr>
            <w:tcW w:w="775" w:type="dxa"/>
            <w:tcBorders>
              <w:tl2br w:val="nil"/>
              <w:tr2bl w:val="nil"/>
            </w:tcBorders>
            <w:vAlign w:val="center"/>
          </w:tcPr>
          <w:p w14:paraId="73E54969">
            <w:pPr>
              <w:jc w:val="center"/>
            </w:pPr>
            <w:r>
              <w:t>2.47</w:t>
            </w:r>
          </w:p>
        </w:tc>
        <w:tc>
          <w:tcPr>
            <w:tcW w:w="776" w:type="dxa"/>
            <w:tcBorders>
              <w:tl2br w:val="nil"/>
              <w:tr2bl w:val="nil"/>
            </w:tcBorders>
            <w:vAlign w:val="center"/>
          </w:tcPr>
          <w:p w14:paraId="5EAB63E4">
            <w:pPr>
              <w:jc w:val="center"/>
            </w:pPr>
            <w:r>
              <w:t>1.67</w:t>
            </w:r>
          </w:p>
        </w:tc>
        <w:tc>
          <w:tcPr>
            <w:tcW w:w="776" w:type="dxa"/>
            <w:tcBorders>
              <w:tl2br w:val="nil"/>
              <w:tr2bl w:val="nil"/>
            </w:tcBorders>
            <w:vAlign w:val="center"/>
          </w:tcPr>
          <w:p w14:paraId="43E15776">
            <w:pPr>
              <w:jc w:val="center"/>
            </w:pPr>
            <w:r>
              <w:t>2.64</w:t>
            </w:r>
          </w:p>
        </w:tc>
        <w:tc>
          <w:tcPr>
            <w:tcW w:w="776" w:type="dxa"/>
            <w:tcBorders>
              <w:tl2br w:val="nil"/>
              <w:tr2bl w:val="nil"/>
            </w:tcBorders>
            <w:vAlign w:val="center"/>
          </w:tcPr>
          <w:p w14:paraId="1971B6BA">
            <w:pPr>
              <w:jc w:val="center"/>
            </w:pPr>
            <w:r>
              <w:t>2.15</w:t>
            </w:r>
          </w:p>
        </w:tc>
        <w:tc>
          <w:tcPr>
            <w:tcW w:w="776" w:type="dxa"/>
            <w:tcBorders>
              <w:tl2br w:val="nil"/>
              <w:tr2bl w:val="nil"/>
            </w:tcBorders>
            <w:vAlign w:val="center"/>
          </w:tcPr>
          <w:p w14:paraId="2946C631">
            <w:pPr>
              <w:jc w:val="center"/>
            </w:pPr>
            <w:r>
              <w:t>2.38</w:t>
            </w:r>
          </w:p>
        </w:tc>
        <w:tc>
          <w:tcPr>
            <w:tcW w:w="776" w:type="dxa"/>
            <w:tcBorders>
              <w:tl2br w:val="nil"/>
              <w:tr2bl w:val="nil"/>
            </w:tcBorders>
            <w:vAlign w:val="center"/>
          </w:tcPr>
          <w:p w14:paraId="6A86AC39">
            <w:pPr>
              <w:jc w:val="center"/>
            </w:pPr>
            <w:r>
              <w:t>3.71</w:t>
            </w:r>
          </w:p>
        </w:tc>
        <w:tc>
          <w:tcPr>
            <w:tcW w:w="776" w:type="dxa"/>
            <w:tcBorders>
              <w:tl2br w:val="nil"/>
              <w:tr2bl w:val="nil"/>
            </w:tcBorders>
            <w:vAlign w:val="center"/>
          </w:tcPr>
          <w:p w14:paraId="01CD03CE">
            <w:pPr>
              <w:jc w:val="center"/>
            </w:pPr>
            <w:r>
              <w:t>3.34</w:t>
            </w:r>
          </w:p>
        </w:tc>
        <w:tc>
          <w:tcPr>
            <w:tcW w:w="778" w:type="dxa"/>
            <w:tcBorders>
              <w:tl2br w:val="nil"/>
              <w:tr2bl w:val="nil"/>
            </w:tcBorders>
            <w:vAlign w:val="center"/>
          </w:tcPr>
          <w:p w14:paraId="70B462E0">
            <w:pPr>
              <w:jc w:val="center"/>
            </w:pPr>
            <w:r>
              <w:t>2.9</w:t>
            </w:r>
          </w:p>
        </w:tc>
        <w:tc>
          <w:tcPr>
            <w:tcW w:w="778" w:type="dxa"/>
            <w:tcBorders>
              <w:tl2br w:val="nil"/>
              <w:tr2bl w:val="nil"/>
            </w:tcBorders>
            <w:vAlign w:val="center"/>
          </w:tcPr>
          <w:p w14:paraId="4449C394">
            <w:pPr>
              <w:jc w:val="center"/>
            </w:pPr>
            <w:r>
              <w:t>2.44</w:t>
            </w:r>
          </w:p>
        </w:tc>
        <w:tc>
          <w:tcPr>
            <w:tcW w:w="777" w:type="dxa"/>
            <w:tcBorders>
              <w:tl2br w:val="nil"/>
              <w:tr2bl w:val="nil"/>
            </w:tcBorders>
            <w:vAlign w:val="center"/>
          </w:tcPr>
          <w:p w14:paraId="0D0301EC">
            <w:pPr>
              <w:jc w:val="center"/>
            </w:pPr>
            <w:r>
              <w:t>1.75</w:t>
            </w:r>
          </w:p>
        </w:tc>
        <w:tc>
          <w:tcPr>
            <w:tcW w:w="778" w:type="dxa"/>
            <w:tcBorders>
              <w:tl2br w:val="nil"/>
              <w:tr2bl w:val="nil"/>
            </w:tcBorders>
            <w:vAlign w:val="center"/>
          </w:tcPr>
          <w:p w14:paraId="7FD9BCC4">
            <w:pPr>
              <w:jc w:val="center"/>
            </w:pPr>
            <w:r>
              <w:t>2.24</w:t>
            </w:r>
          </w:p>
        </w:tc>
        <w:tc>
          <w:tcPr>
            <w:tcW w:w="777" w:type="dxa"/>
            <w:tcBorders>
              <w:tl2br w:val="nil"/>
              <w:tr2bl w:val="nil"/>
            </w:tcBorders>
            <w:vAlign w:val="center"/>
          </w:tcPr>
          <w:p w14:paraId="688D3150">
            <w:pPr>
              <w:jc w:val="center"/>
            </w:pPr>
            <w:r>
              <w:t>4.47</w:t>
            </w:r>
          </w:p>
        </w:tc>
        <w:tc>
          <w:tcPr>
            <w:tcW w:w="782" w:type="dxa"/>
            <w:tcBorders>
              <w:tl2br w:val="nil"/>
              <w:tr2bl w:val="nil"/>
            </w:tcBorders>
            <w:vAlign w:val="center"/>
          </w:tcPr>
          <w:p w14:paraId="2098102E">
            <w:pPr>
              <w:jc w:val="center"/>
            </w:pPr>
            <w:r>
              <w:t>0.1</w:t>
            </w:r>
          </w:p>
        </w:tc>
      </w:tr>
      <w:tr w14:paraId="43478B98">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80" w:type="dxa"/>
            <w:tcBorders>
              <w:tl2br w:val="nil"/>
              <w:tr2bl w:val="nil"/>
            </w:tcBorders>
            <w:vAlign w:val="center"/>
          </w:tcPr>
          <w:p w14:paraId="24B7F809">
            <w:pPr>
              <w:jc w:val="center"/>
            </w:pPr>
            <w:r>
              <w:t>11</w:t>
            </w:r>
          </w:p>
        </w:tc>
        <w:tc>
          <w:tcPr>
            <w:tcW w:w="776" w:type="dxa"/>
            <w:tcBorders>
              <w:tl2br w:val="nil"/>
              <w:tr2bl w:val="nil"/>
            </w:tcBorders>
            <w:vAlign w:val="center"/>
          </w:tcPr>
          <w:p w14:paraId="79676629">
            <w:pPr>
              <w:jc w:val="center"/>
            </w:pPr>
            <w:r>
              <w:t>3.58</w:t>
            </w:r>
          </w:p>
        </w:tc>
        <w:tc>
          <w:tcPr>
            <w:tcW w:w="775" w:type="dxa"/>
            <w:tcBorders>
              <w:tl2br w:val="nil"/>
              <w:tr2bl w:val="nil"/>
            </w:tcBorders>
            <w:vAlign w:val="center"/>
          </w:tcPr>
          <w:p w14:paraId="06A66A74">
            <w:pPr>
              <w:jc w:val="center"/>
            </w:pPr>
            <w:r>
              <w:t>3.07</w:t>
            </w:r>
          </w:p>
        </w:tc>
        <w:tc>
          <w:tcPr>
            <w:tcW w:w="776" w:type="dxa"/>
            <w:tcBorders>
              <w:tl2br w:val="nil"/>
              <w:tr2bl w:val="nil"/>
            </w:tcBorders>
            <w:vAlign w:val="center"/>
          </w:tcPr>
          <w:p w14:paraId="530C30FA">
            <w:pPr>
              <w:jc w:val="center"/>
            </w:pPr>
            <w:r>
              <w:t>2.48</w:t>
            </w:r>
          </w:p>
        </w:tc>
        <w:tc>
          <w:tcPr>
            <w:tcW w:w="776" w:type="dxa"/>
            <w:tcBorders>
              <w:tl2br w:val="nil"/>
              <w:tr2bl w:val="nil"/>
            </w:tcBorders>
            <w:vAlign w:val="center"/>
          </w:tcPr>
          <w:p w14:paraId="3DFE3B45">
            <w:pPr>
              <w:jc w:val="center"/>
            </w:pPr>
            <w:r>
              <w:t>2.34</w:t>
            </w:r>
          </w:p>
        </w:tc>
        <w:tc>
          <w:tcPr>
            <w:tcW w:w="775" w:type="dxa"/>
            <w:tcBorders>
              <w:tl2br w:val="nil"/>
              <w:tr2bl w:val="nil"/>
            </w:tcBorders>
            <w:vAlign w:val="center"/>
          </w:tcPr>
          <w:p w14:paraId="0D7B5251">
            <w:pPr>
              <w:jc w:val="center"/>
            </w:pPr>
            <w:r>
              <w:t>2.38</w:t>
            </w:r>
          </w:p>
        </w:tc>
        <w:tc>
          <w:tcPr>
            <w:tcW w:w="776" w:type="dxa"/>
            <w:tcBorders>
              <w:tl2br w:val="nil"/>
              <w:tr2bl w:val="nil"/>
            </w:tcBorders>
            <w:vAlign w:val="center"/>
          </w:tcPr>
          <w:p w14:paraId="3FF10042">
            <w:pPr>
              <w:jc w:val="center"/>
            </w:pPr>
            <w:r>
              <w:t>2.67</w:t>
            </w:r>
          </w:p>
        </w:tc>
        <w:tc>
          <w:tcPr>
            <w:tcW w:w="776" w:type="dxa"/>
            <w:tcBorders>
              <w:tl2br w:val="nil"/>
              <w:tr2bl w:val="nil"/>
            </w:tcBorders>
            <w:vAlign w:val="center"/>
          </w:tcPr>
          <w:p w14:paraId="654C1219">
            <w:pPr>
              <w:jc w:val="center"/>
            </w:pPr>
            <w:r>
              <w:t>1.73</w:t>
            </w:r>
          </w:p>
        </w:tc>
        <w:tc>
          <w:tcPr>
            <w:tcW w:w="776" w:type="dxa"/>
            <w:tcBorders>
              <w:tl2br w:val="nil"/>
              <w:tr2bl w:val="nil"/>
            </w:tcBorders>
            <w:vAlign w:val="center"/>
          </w:tcPr>
          <w:p w14:paraId="69B6649D">
            <w:pPr>
              <w:jc w:val="center"/>
            </w:pPr>
            <w:r>
              <w:t>1.59</w:t>
            </w:r>
          </w:p>
        </w:tc>
        <w:tc>
          <w:tcPr>
            <w:tcW w:w="776" w:type="dxa"/>
            <w:tcBorders>
              <w:tl2br w:val="nil"/>
              <w:tr2bl w:val="nil"/>
            </w:tcBorders>
            <w:vAlign w:val="center"/>
          </w:tcPr>
          <w:p w14:paraId="4DFE05ED">
            <w:pPr>
              <w:jc w:val="center"/>
            </w:pPr>
            <w:r>
              <w:t>1.64</w:t>
            </w:r>
          </w:p>
        </w:tc>
        <w:tc>
          <w:tcPr>
            <w:tcW w:w="776" w:type="dxa"/>
            <w:tcBorders>
              <w:tl2br w:val="nil"/>
              <w:tr2bl w:val="nil"/>
            </w:tcBorders>
            <w:vAlign w:val="center"/>
          </w:tcPr>
          <w:p w14:paraId="739AFBEA">
            <w:pPr>
              <w:jc w:val="center"/>
            </w:pPr>
            <w:r>
              <w:t>2.86</w:t>
            </w:r>
          </w:p>
        </w:tc>
        <w:tc>
          <w:tcPr>
            <w:tcW w:w="776" w:type="dxa"/>
            <w:tcBorders>
              <w:tl2br w:val="nil"/>
              <w:tr2bl w:val="nil"/>
            </w:tcBorders>
            <w:vAlign w:val="center"/>
          </w:tcPr>
          <w:p w14:paraId="6984C9BA">
            <w:pPr>
              <w:jc w:val="center"/>
            </w:pPr>
            <w:r>
              <w:t>3.5</w:t>
            </w:r>
          </w:p>
        </w:tc>
        <w:tc>
          <w:tcPr>
            <w:tcW w:w="778" w:type="dxa"/>
            <w:tcBorders>
              <w:tl2br w:val="nil"/>
              <w:tr2bl w:val="nil"/>
            </w:tcBorders>
            <w:vAlign w:val="center"/>
          </w:tcPr>
          <w:p w14:paraId="33B2FA8F">
            <w:pPr>
              <w:jc w:val="center"/>
            </w:pPr>
            <w:r>
              <w:t>3.22</w:t>
            </w:r>
          </w:p>
        </w:tc>
        <w:tc>
          <w:tcPr>
            <w:tcW w:w="778" w:type="dxa"/>
            <w:tcBorders>
              <w:tl2br w:val="nil"/>
              <w:tr2bl w:val="nil"/>
            </w:tcBorders>
            <w:vAlign w:val="center"/>
          </w:tcPr>
          <w:p w14:paraId="1418249E">
            <w:pPr>
              <w:jc w:val="center"/>
            </w:pPr>
            <w:r>
              <w:t>2.46</w:t>
            </w:r>
          </w:p>
        </w:tc>
        <w:tc>
          <w:tcPr>
            <w:tcW w:w="777" w:type="dxa"/>
            <w:tcBorders>
              <w:tl2br w:val="nil"/>
              <w:tr2bl w:val="nil"/>
            </w:tcBorders>
            <w:vAlign w:val="center"/>
          </w:tcPr>
          <w:p w14:paraId="6FA898E1">
            <w:pPr>
              <w:jc w:val="center"/>
            </w:pPr>
            <w:r>
              <w:t>3. 12</w:t>
            </w:r>
          </w:p>
        </w:tc>
        <w:tc>
          <w:tcPr>
            <w:tcW w:w="778" w:type="dxa"/>
            <w:tcBorders>
              <w:tl2br w:val="nil"/>
              <w:tr2bl w:val="nil"/>
            </w:tcBorders>
            <w:vAlign w:val="center"/>
          </w:tcPr>
          <w:p w14:paraId="3C38870C">
            <w:pPr>
              <w:jc w:val="center"/>
            </w:pPr>
            <w:r>
              <w:t>2.9</w:t>
            </w:r>
          </w:p>
        </w:tc>
        <w:tc>
          <w:tcPr>
            <w:tcW w:w="777" w:type="dxa"/>
            <w:tcBorders>
              <w:tl2br w:val="nil"/>
              <w:tr2bl w:val="nil"/>
            </w:tcBorders>
            <w:vAlign w:val="center"/>
          </w:tcPr>
          <w:p w14:paraId="6567EF03">
            <w:pPr>
              <w:jc w:val="center"/>
            </w:pPr>
            <w:r>
              <w:t>4.03</w:t>
            </w:r>
          </w:p>
        </w:tc>
        <w:tc>
          <w:tcPr>
            <w:tcW w:w="782" w:type="dxa"/>
            <w:tcBorders>
              <w:tl2br w:val="nil"/>
              <w:tr2bl w:val="nil"/>
            </w:tcBorders>
            <w:vAlign w:val="center"/>
          </w:tcPr>
          <w:p w14:paraId="57EB3555">
            <w:pPr>
              <w:jc w:val="center"/>
            </w:pPr>
            <w:r>
              <w:t>0.09</w:t>
            </w:r>
          </w:p>
        </w:tc>
      </w:tr>
      <w:tr w14:paraId="494B0485">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80" w:type="dxa"/>
            <w:tcBorders>
              <w:tl2br w:val="nil"/>
              <w:tr2bl w:val="nil"/>
            </w:tcBorders>
            <w:vAlign w:val="center"/>
          </w:tcPr>
          <w:p w14:paraId="6F888CC2">
            <w:pPr>
              <w:jc w:val="center"/>
            </w:pPr>
            <w:r>
              <w:t>12</w:t>
            </w:r>
          </w:p>
        </w:tc>
        <w:tc>
          <w:tcPr>
            <w:tcW w:w="776" w:type="dxa"/>
            <w:tcBorders>
              <w:tl2br w:val="nil"/>
              <w:tr2bl w:val="nil"/>
            </w:tcBorders>
            <w:vAlign w:val="center"/>
          </w:tcPr>
          <w:p w14:paraId="349BC061">
            <w:pPr>
              <w:jc w:val="center"/>
            </w:pPr>
            <w:r>
              <w:t>3.59</w:t>
            </w:r>
          </w:p>
        </w:tc>
        <w:tc>
          <w:tcPr>
            <w:tcW w:w="775" w:type="dxa"/>
            <w:tcBorders>
              <w:tl2br w:val="nil"/>
              <w:tr2bl w:val="nil"/>
            </w:tcBorders>
            <w:vAlign w:val="center"/>
          </w:tcPr>
          <w:p w14:paraId="4D550B00">
            <w:pPr>
              <w:jc w:val="center"/>
            </w:pPr>
            <w:r>
              <w:t>2.64</w:t>
            </w:r>
          </w:p>
        </w:tc>
        <w:tc>
          <w:tcPr>
            <w:tcW w:w="776" w:type="dxa"/>
            <w:tcBorders>
              <w:tl2br w:val="nil"/>
              <w:tr2bl w:val="nil"/>
            </w:tcBorders>
            <w:vAlign w:val="center"/>
          </w:tcPr>
          <w:p w14:paraId="2715D434">
            <w:pPr>
              <w:jc w:val="center"/>
            </w:pPr>
            <w:r>
              <w:t>2.48</w:t>
            </w:r>
          </w:p>
        </w:tc>
        <w:tc>
          <w:tcPr>
            <w:tcW w:w="776" w:type="dxa"/>
            <w:tcBorders>
              <w:tl2br w:val="nil"/>
              <w:tr2bl w:val="nil"/>
            </w:tcBorders>
            <w:vAlign w:val="center"/>
          </w:tcPr>
          <w:p w14:paraId="20EF5306">
            <w:pPr>
              <w:jc w:val="center"/>
            </w:pPr>
            <w:r>
              <w:t>1.83</w:t>
            </w:r>
          </w:p>
        </w:tc>
        <w:tc>
          <w:tcPr>
            <w:tcW w:w="775" w:type="dxa"/>
            <w:tcBorders>
              <w:tl2br w:val="nil"/>
              <w:tr2bl w:val="nil"/>
            </w:tcBorders>
            <w:vAlign w:val="center"/>
          </w:tcPr>
          <w:p w14:paraId="4692D433">
            <w:pPr>
              <w:jc w:val="center"/>
            </w:pPr>
            <w:r>
              <w:t>1.97</w:t>
            </w:r>
          </w:p>
        </w:tc>
        <w:tc>
          <w:tcPr>
            <w:tcW w:w="776" w:type="dxa"/>
            <w:tcBorders>
              <w:tl2br w:val="nil"/>
              <w:tr2bl w:val="nil"/>
            </w:tcBorders>
            <w:vAlign w:val="center"/>
          </w:tcPr>
          <w:p w14:paraId="4333D204">
            <w:pPr>
              <w:jc w:val="center"/>
            </w:pPr>
            <w:r>
              <w:t>2</w:t>
            </w:r>
          </w:p>
        </w:tc>
        <w:tc>
          <w:tcPr>
            <w:tcW w:w="776" w:type="dxa"/>
            <w:tcBorders>
              <w:tl2br w:val="nil"/>
              <w:tr2bl w:val="nil"/>
            </w:tcBorders>
            <w:vAlign w:val="center"/>
          </w:tcPr>
          <w:p w14:paraId="251A0B95">
            <w:pPr>
              <w:jc w:val="center"/>
            </w:pPr>
            <w:r>
              <w:t>1.52</w:t>
            </w:r>
          </w:p>
        </w:tc>
        <w:tc>
          <w:tcPr>
            <w:tcW w:w="776" w:type="dxa"/>
            <w:tcBorders>
              <w:tl2br w:val="nil"/>
              <w:tr2bl w:val="nil"/>
            </w:tcBorders>
            <w:vAlign w:val="center"/>
          </w:tcPr>
          <w:p w14:paraId="1EB4F2BA">
            <w:pPr>
              <w:jc w:val="center"/>
            </w:pPr>
            <w:r>
              <w:t>2.05</w:t>
            </w:r>
          </w:p>
        </w:tc>
        <w:tc>
          <w:tcPr>
            <w:tcW w:w="776" w:type="dxa"/>
            <w:tcBorders>
              <w:tl2br w:val="nil"/>
              <w:tr2bl w:val="nil"/>
            </w:tcBorders>
            <w:vAlign w:val="center"/>
          </w:tcPr>
          <w:p w14:paraId="05C847CA">
            <w:pPr>
              <w:jc w:val="center"/>
            </w:pPr>
            <w:r>
              <w:t>1.64</w:t>
            </w:r>
          </w:p>
        </w:tc>
        <w:tc>
          <w:tcPr>
            <w:tcW w:w="776" w:type="dxa"/>
            <w:tcBorders>
              <w:tl2br w:val="nil"/>
              <w:tr2bl w:val="nil"/>
            </w:tcBorders>
            <w:vAlign w:val="center"/>
          </w:tcPr>
          <w:p w14:paraId="1E738EDF">
            <w:pPr>
              <w:jc w:val="center"/>
            </w:pPr>
            <w:r>
              <w:t>3.43</w:t>
            </w:r>
          </w:p>
        </w:tc>
        <w:tc>
          <w:tcPr>
            <w:tcW w:w="776" w:type="dxa"/>
            <w:tcBorders>
              <w:tl2br w:val="nil"/>
              <w:tr2bl w:val="nil"/>
            </w:tcBorders>
            <w:vAlign w:val="center"/>
          </w:tcPr>
          <w:p w14:paraId="3574832D">
            <w:pPr>
              <w:jc w:val="center"/>
            </w:pPr>
            <w:r>
              <w:t>3.54</w:t>
            </w:r>
          </w:p>
        </w:tc>
        <w:tc>
          <w:tcPr>
            <w:tcW w:w="778" w:type="dxa"/>
            <w:tcBorders>
              <w:tl2br w:val="nil"/>
              <w:tr2bl w:val="nil"/>
            </w:tcBorders>
            <w:vAlign w:val="center"/>
          </w:tcPr>
          <w:p w14:paraId="173588A5">
            <w:pPr>
              <w:jc w:val="center"/>
            </w:pPr>
            <w:r>
              <w:t>3.23</w:t>
            </w:r>
          </w:p>
        </w:tc>
        <w:tc>
          <w:tcPr>
            <w:tcW w:w="778" w:type="dxa"/>
            <w:tcBorders>
              <w:tl2br w:val="nil"/>
              <w:tr2bl w:val="nil"/>
            </w:tcBorders>
            <w:vAlign w:val="center"/>
          </w:tcPr>
          <w:p w14:paraId="1E92D410">
            <w:pPr>
              <w:jc w:val="center"/>
            </w:pPr>
            <w:r>
              <w:t>2.37</w:t>
            </w:r>
          </w:p>
        </w:tc>
        <w:tc>
          <w:tcPr>
            <w:tcW w:w="777" w:type="dxa"/>
            <w:tcBorders>
              <w:tl2br w:val="nil"/>
              <w:tr2bl w:val="nil"/>
            </w:tcBorders>
            <w:vAlign w:val="center"/>
          </w:tcPr>
          <w:p w14:paraId="1DE7F864">
            <w:pPr>
              <w:jc w:val="center"/>
            </w:pPr>
            <w:r>
              <w:t>2.49</w:t>
            </w:r>
          </w:p>
        </w:tc>
        <w:tc>
          <w:tcPr>
            <w:tcW w:w="778" w:type="dxa"/>
            <w:tcBorders>
              <w:tl2br w:val="nil"/>
              <w:tr2bl w:val="nil"/>
            </w:tcBorders>
            <w:vAlign w:val="center"/>
          </w:tcPr>
          <w:p w14:paraId="6A1ADAE7">
            <w:pPr>
              <w:jc w:val="center"/>
            </w:pPr>
            <w:r>
              <w:t>2.7</w:t>
            </w:r>
          </w:p>
        </w:tc>
        <w:tc>
          <w:tcPr>
            <w:tcW w:w="777" w:type="dxa"/>
            <w:tcBorders>
              <w:tl2br w:val="nil"/>
              <w:tr2bl w:val="nil"/>
            </w:tcBorders>
            <w:vAlign w:val="center"/>
          </w:tcPr>
          <w:p w14:paraId="695FF2A3">
            <w:pPr>
              <w:jc w:val="center"/>
            </w:pPr>
            <w:r>
              <w:t>4.67</w:t>
            </w:r>
          </w:p>
        </w:tc>
        <w:tc>
          <w:tcPr>
            <w:tcW w:w="782" w:type="dxa"/>
            <w:tcBorders>
              <w:tl2br w:val="nil"/>
              <w:tr2bl w:val="nil"/>
            </w:tcBorders>
            <w:vAlign w:val="center"/>
          </w:tcPr>
          <w:p w14:paraId="6CC2A186">
            <w:pPr>
              <w:jc w:val="center"/>
            </w:pPr>
            <w:r>
              <w:t>0.09</w:t>
            </w:r>
          </w:p>
        </w:tc>
      </w:tr>
      <w:tr w14:paraId="5289A59B">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3" w:hRule="atLeast"/>
        </w:trPr>
        <w:tc>
          <w:tcPr>
            <w:tcW w:w="780" w:type="dxa"/>
            <w:tcBorders>
              <w:tl2br w:val="nil"/>
              <w:tr2bl w:val="nil"/>
            </w:tcBorders>
            <w:vAlign w:val="center"/>
          </w:tcPr>
          <w:p w14:paraId="65EC6EA9">
            <w:pPr>
              <w:jc w:val="center"/>
            </w:pPr>
            <w:r>
              <w:t>春</w:t>
            </w:r>
          </w:p>
        </w:tc>
        <w:tc>
          <w:tcPr>
            <w:tcW w:w="776" w:type="dxa"/>
            <w:tcBorders>
              <w:tl2br w:val="nil"/>
              <w:tr2bl w:val="nil"/>
            </w:tcBorders>
            <w:vAlign w:val="center"/>
          </w:tcPr>
          <w:p w14:paraId="1521F25A">
            <w:pPr>
              <w:jc w:val="center"/>
            </w:pPr>
            <w:r>
              <w:t>4. 12</w:t>
            </w:r>
          </w:p>
        </w:tc>
        <w:tc>
          <w:tcPr>
            <w:tcW w:w="775" w:type="dxa"/>
            <w:tcBorders>
              <w:tl2br w:val="nil"/>
              <w:tr2bl w:val="nil"/>
            </w:tcBorders>
            <w:vAlign w:val="center"/>
          </w:tcPr>
          <w:p w14:paraId="4F39103D">
            <w:pPr>
              <w:jc w:val="center"/>
            </w:pPr>
            <w:r>
              <w:t>3.57</w:t>
            </w:r>
          </w:p>
        </w:tc>
        <w:tc>
          <w:tcPr>
            <w:tcW w:w="776" w:type="dxa"/>
            <w:tcBorders>
              <w:tl2br w:val="nil"/>
              <w:tr2bl w:val="nil"/>
            </w:tcBorders>
            <w:vAlign w:val="center"/>
          </w:tcPr>
          <w:p w14:paraId="40C090BB">
            <w:pPr>
              <w:jc w:val="center"/>
            </w:pPr>
            <w:r>
              <w:t>3.91</w:t>
            </w:r>
          </w:p>
        </w:tc>
        <w:tc>
          <w:tcPr>
            <w:tcW w:w="776" w:type="dxa"/>
            <w:tcBorders>
              <w:tl2br w:val="nil"/>
              <w:tr2bl w:val="nil"/>
            </w:tcBorders>
            <w:vAlign w:val="center"/>
          </w:tcPr>
          <w:p w14:paraId="5698D426">
            <w:pPr>
              <w:jc w:val="center"/>
            </w:pPr>
            <w:r>
              <w:t>3.28</w:t>
            </w:r>
          </w:p>
        </w:tc>
        <w:tc>
          <w:tcPr>
            <w:tcW w:w="775" w:type="dxa"/>
            <w:tcBorders>
              <w:tl2br w:val="nil"/>
              <w:tr2bl w:val="nil"/>
            </w:tcBorders>
            <w:vAlign w:val="center"/>
          </w:tcPr>
          <w:p w14:paraId="5734CEBD">
            <w:pPr>
              <w:jc w:val="center"/>
            </w:pPr>
            <w:r>
              <w:t>2.52</w:t>
            </w:r>
          </w:p>
        </w:tc>
        <w:tc>
          <w:tcPr>
            <w:tcW w:w="776" w:type="dxa"/>
            <w:tcBorders>
              <w:tl2br w:val="nil"/>
              <w:tr2bl w:val="nil"/>
            </w:tcBorders>
            <w:vAlign w:val="center"/>
          </w:tcPr>
          <w:p w14:paraId="37A01B1A">
            <w:pPr>
              <w:jc w:val="center"/>
            </w:pPr>
            <w:r>
              <w:t>2.93</w:t>
            </w:r>
          </w:p>
        </w:tc>
        <w:tc>
          <w:tcPr>
            <w:tcW w:w="776" w:type="dxa"/>
            <w:tcBorders>
              <w:tl2br w:val="nil"/>
              <w:tr2bl w:val="nil"/>
            </w:tcBorders>
            <w:vAlign w:val="center"/>
          </w:tcPr>
          <w:p w14:paraId="497E1D90">
            <w:pPr>
              <w:jc w:val="center"/>
            </w:pPr>
            <w:r>
              <w:t>3.4</w:t>
            </w:r>
          </w:p>
        </w:tc>
        <w:tc>
          <w:tcPr>
            <w:tcW w:w="776" w:type="dxa"/>
            <w:tcBorders>
              <w:tl2br w:val="nil"/>
              <w:tr2bl w:val="nil"/>
            </w:tcBorders>
            <w:vAlign w:val="center"/>
          </w:tcPr>
          <w:p w14:paraId="0C5BF737">
            <w:pPr>
              <w:jc w:val="center"/>
            </w:pPr>
            <w:r>
              <w:t>3.32</w:t>
            </w:r>
          </w:p>
        </w:tc>
        <w:tc>
          <w:tcPr>
            <w:tcW w:w="776" w:type="dxa"/>
            <w:tcBorders>
              <w:tl2br w:val="nil"/>
              <w:tr2bl w:val="nil"/>
            </w:tcBorders>
            <w:vAlign w:val="center"/>
          </w:tcPr>
          <w:p w14:paraId="6844AE65">
            <w:pPr>
              <w:jc w:val="center"/>
            </w:pPr>
            <w:r>
              <w:t>4.06</w:t>
            </w:r>
          </w:p>
        </w:tc>
        <w:tc>
          <w:tcPr>
            <w:tcW w:w="776" w:type="dxa"/>
            <w:tcBorders>
              <w:tl2br w:val="nil"/>
              <w:tr2bl w:val="nil"/>
            </w:tcBorders>
            <w:vAlign w:val="center"/>
          </w:tcPr>
          <w:p w14:paraId="0F709631">
            <w:pPr>
              <w:jc w:val="center"/>
            </w:pPr>
            <w:r>
              <w:t>4.94</w:t>
            </w:r>
          </w:p>
        </w:tc>
        <w:tc>
          <w:tcPr>
            <w:tcW w:w="776" w:type="dxa"/>
            <w:tcBorders>
              <w:tl2br w:val="nil"/>
              <w:tr2bl w:val="nil"/>
            </w:tcBorders>
            <w:vAlign w:val="center"/>
          </w:tcPr>
          <w:p w14:paraId="7BC09872">
            <w:pPr>
              <w:jc w:val="center"/>
            </w:pPr>
            <w:r>
              <w:t>4.78</w:t>
            </w:r>
          </w:p>
        </w:tc>
        <w:tc>
          <w:tcPr>
            <w:tcW w:w="778" w:type="dxa"/>
            <w:tcBorders>
              <w:tl2br w:val="nil"/>
              <w:tr2bl w:val="nil"/>
            </w:tcBorders>
            <w:vAlign w:val="center"/>
          </w:tcPr>
          <w:p w14:paraId="73FA0C01">
            <w:pPr>
              <w:jc w:val="center"/>
            </w:pPr>
            <w:r>
              <w:t>3.87</w:t>
            </w:r>
          </w:p>
        </w:tc>
        <w:tc>
          <w:tcPr>
            <w:tcW w:w="778" w:type="dxa"/>
            <w:tcBorders>
              <w:tl2br w:val="nil"/>
              <w:tr2bl w:val="nil"/>
            </w:tcBorders>
            <w:vAlign w:val="center"/>
          </w:tcPr>
          <w:p w14:paraId="719A16DF">
            <w:pPr>
              <w:jc w:val="center"/>
            </w:pPr>
            <w:r>
              <w:t>4.87</w:t>
            </w:r>
          </w:p>
        </w:tc>
        <w:tc>
          <w:tcPr>
            <w:tcW w:w="777" w:type="dxa"/>
            <w:tcBorders>
              <w:tl2br w:val="nil"/>
              <w:tr2bl w:val="nil"/>
            </w:tcBorders>
            <w:vAlign w:val="center"/>
          </w:tcPr>
          <w:p w14:paraId="6ABE0560">
            <w:pPr>
              <w:jc w:val="center"/>
            </w:pPr>
            <w:r>
              <w:t>6.17</w:t>
            </w:r>
          </w:p>
        </w:tc>
        <w:tc>
          <w:tcPr>
            <w:tcW w:w="778" w:type="dxa"/>
            <w:tcBorders>
              <w:tl2br w:val="nil"/>
              <w:tr2bl w:val="nil"/>
            </w:tcBorders>
            <w:vAlign w:val="center"/>
          </w:tcPr>
          <w:p w14:paraId="73DF9963">
            <w:pPr>
              <w:jc w:val="center"/>
            </w:pPr>
            <w:r>
              <w:t>5.75</w:t>
            </w:r>
          </w:p>
        </w:tc>
        <w:tc>
          <w:tcPr>
            <w:tcW w:w="777" w:type="dxa"/>
            <w:tcBorders>
              <w:tl2br w:val="nil"/>
              <w:tr2bl w:val="nil"/>
            </w:tcBorders>
            <w:vAlign w:val="center"/>
          </w:tcPr>
          <w:p w14:paraId="12362463">
            <w:pPr>
              <w:jc w:val="center"/>
            </w:pPr>
            <w:r>
              <w:t>5.18</w:t>
            </w:r>
          </w:p>
        </w:tc>
        <w:tc>
          <w:tcPr>
            <w:tcW w:w="782" w:type="dxa"/>
            <w:tcBorders>
              <w:tl2br w:val="nil"/>
              <w:tr2bl w:val="nil"/>
            </w:tcBorders>
            <w:vAlign w:val="center"/>
          </w:tcPr>
          <w:p w14:paraId="2E8C3B5D">
            <w:pPr>
              <w:jc w:val="center"/>
            </w:pPr>
            <w:r>
              <w:t>0.11</w:t>
            </w:r>
          </w:p>
        </w:tc>
      </w:tr>
      <w:tr w14:paraId="6B038EF8">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780" w:type="dxa"/>
            <w:tcBorders>
              <w:tl2br w:val="nil"/>
              <w:tr2bl w:val="nil"/>
            </w:tcBorders>
            <w:vAlign w:val="center"/>
          </w:tcPr>
          <w:p w14:paraId="14ACC879">
            <w:pPr>
              <w:jc w:val="center"/>
            </w:pPr>
            <w:r>
              <w:t>夏</w:t>
            </w:r>
          </w:p>
        </w:tc>
        <w:tc>
          <w:tcPr>
            <w:tcW w:w="776" w:type="dxa"/>
            <w:tcBorders>
              <w:tl2br w:val="nil"/>
              <w:tr2bl w:val="nil"/>
            </w:tcBorders>
            <w:vAlign w:val="center"/>
          </w:tcPr>
          <w:p w14:paraId="46B4A07E">
            <w:pPr>
              <w:jc w:val="center"/>
            </w:pPr>
            <w:r>
              <w:t>3.08</w:t>
            </w:r>
          </w:p>
        </w:tc>
        <w:tc>
          <w:tcPr>
            <w:tcW w:w="775" w:type="dxa"/>
            <w:tcBorders>
              <w:tl2br w:val="nil"/>
              <w:tr2bl w:val="nil"/>
            </w:tcBorders>
            <w:vAlign w:val="center"/>
          </w:tcPr>
          <w:p w14:paraId="77308031">
            <w:pPr>
              <w:jc w:val="center"/>
            </w:pPr>
            <w:r>
              <w:t>2.9</w:t>
            </w:r>
          </w:p>
        </w:tc>
        <w:tc>
          <w:tcPr>
            <w:tcW w:w="776" w:type="dxa"/>
            <w:tcBorders>
              <w:tl2br w:val="nil"/>
              <w:tr2bl w:val="nil"/>
            </w:tcBorders>
            <w:vAlign w:val="center"/>
          </w:tcPr>
          <w:p w14:paraId="76BFA86D">
            <w:pPr>
              <w:jc w:val="center"/>
            </w:pPr>
            <w:r>
              <w:t>2.58</w:t>
            </w:r>
          </w:p>
        </w:tc>
        <w:tc>
          <w:tcPr>
            <w:tcW w:w="776" w:type="dxa"/>
            <w:tcBorders>
              <w:tl2br w:val="nil"/>
              <w:tr2bl w:val="nil"/>
            </w:tcBorders>
            <w:vAlign w:val="center"/>
          </w:tcPr>
          <w:p w14:paraId="550BF7CE">
            <w:pPr>
              <w:jc w:val="center"/>
            </w:pPr>
            <w:r>
              <w:t>2.63</w:t>
            </w:r>
          </w:p>
        </w:tc>
        <w:tc>
          <w:tcPr>
            <w:tcW w:w="775" w:type="dxa"/>
            <w:tcBorders>
              <w:tl2br w:val="nil"/>
              <w:tr2bl w:val="nil"/>
            </w:tcBorders>
            <w:vAlign w:val="center"/>
          </w:tcPr>
          <w:p w14:paraId="422610D6">
            <w:pPr>
              <w:jc w:val="center"/>
            </w:pPr>
            <w:r>
              <w:t>2.24</w:t>
            </w:r>
          </w:p>
        </w:tc>
        <w:tc>
          <w:tcPr>
            <w:tcW w:w="776" w:type="dxa"/>
            <w:tcBorders>
              <w:tl2br w:val="nil"/>
              <w:tr2bl w:val="nil"/>
            </w:tcBorders>
            <w:vAlign w:val="center"/>
          </w:tcPr>
          <w:p w14:paraId="216039A2">
            <w:pPr>
              <w:jc w:val="center"/>
            </w:pPr>
            <w:r>
              <w:t>2.31</w:t>
            </w:r>
          </w:p>
        </w:tc>
        <w:tc>
          <w:tcPr>
            <w:tcW w:w="776" w:type="dxa"/>
            <w:tcBorders>
              <w:tl2br w:val="nil"/>
              <w:tr2bl w:val="nil"/>
            </w:tcBorders>
            <w:vAlign w:val="center"/>
          </w:tcPr>
          <w:p w14:paraId="4B26B8ED">
            <w:pPr>
              <w:jc w:val="center"/>
            </w:pPr>
            <w:r>
              <w:t>2.38</w:t>
            </w:r>
          </w:p>
        </w:tc>
        <w:tc>
          <w:tcPr>
            <w:tcW w:w="776" w:type="dxa"/>
            <w:tcBorders>
              <w:tl2br w:val="nil"/>
              <w:tr2bl w:val="nil"/>
            </w:tcBorders>
            <w:vAlign w:val="center"/>
          </w:tcPr>
          <w:p w14:paraId="63121799">
            <w:pPr>
              <w:jc w:val="center"/>
            </w:pPr>
            <w:r>
              <w:t>2.62</w:t>
            </w:r>
          </w:p>
        </w:tc>
        <w:tc>
          <w:tcPr>
            <w:tcW w:w="776" w:type="dxa"/>
            <w:tcBorders>
              <w:tl2br w:val="nil"/>
              <w:tr2bl w:val="nil"/>
            </w:tcBorders>
            <w:vAlign w:val="center"/>
          </w:tcPr>
          <w:p w14:paraId="6B9906DE">
            <w:pPr>
              <w:jc w:val="center"/>
            </w:pPr>
            <w:r>
              <w:t>2.96</w:t>
            </w:r>
          </w:p>
        </w:tc>
        <w:tc>
          <w:tcPr>
            <w:tcW w:w="776" w:type="dxa"/>
            <w:tcBorders>
              <w:tl2br w:val="nil"/>
              <w:tr2bl w:val="nil"/>
            </w:tcBorders>
            <w:vAlign w:val="center"/>
          </w:tcPr>
          <w:p w14:paraId="29C1DB26">
            <w:pPr>
              <w:jc w:val="center"/>
            </w:pPr>
            <w:r>
              <w:t>3.47</w:t>
            </w:r>
          </w:p>
        </w:tc>
        <w:tc>
          <w:tcPr>
            <w:tcW w:w="776" w:type="dxa"/>
            <w:tcBorders>
              <w:tl2br w:val="nil"/>
              <w:tr2bl w:val="nil"/>
            </w:tcBorders>
            <w:vAlign w:val="center"/>
          </w:tcPr>
          <w:p w14:paraId="4F356D66">
            <w:pPr>
              <w:jc w:val="center"/>
            </w:pPr>
            <w:r>
              <w:t>3.22</w:t>
            </w:r>
          </w:p>
        </w:tc>
        <w:tc>
          <w:tcPr>
            <w:tcW w:w="778" w:type="dxa"/>
            <w:tcBorders>
              <w:tl2br w:val="nil"/>
              <w:tr2bl w:val="nil"/>
            </w:tcBorders>
            <w:vAlign w:val="center"/>
          </w:tcPr>
          <w:p w14:paraId="48E2CBCA">
            <w:pPr>
              <w:jc w:val="center"/>
            </w:pPr>
            <w:r>
              <w:t>3.01</w:t>
            </w:r>
          </w:p>
        </w:tc>
        <w:tc>
          <w:tcPr>
            <w:tcW w:w="778" w:type="dxa"/>
            <w:tcBorders>
              <w:tl2br w:val="nil"/>
              <w:tr2bl w:val="nil"/>
            </w:tcBorders>
            <w:vAlign w:val="center"/>
          </w:tcPr>
          <w:p w14:paraId="1112E6E7">
            <w:pPr>
              <w:jc w:val="center"/>
            </w:pPr>
            <w:r>
              <w:t>2.81</w:t>
            </w:r>
          </w:p>
        </w:tc>
        <w:tc>
          <w:tcPr>
            <w:tcW w:w="777" w:type="dxa"/>
            <w:tcBorders>
              <w:tl2br w:val="nil"/>
              <w:tr2bl w:val="nil"/>
            </w:tcBorders>
            <w:vAlign w:val="center"/>
          </w:tcPr>
          <w:p w14:paraId="5FC51370">
            <w:pPr>
              <w:jc w:val="center"/>
            </w:pPr>
            <w:r>
              <w:t>2.91</w:t>
            </w:r>
          </w:p>
        </w:tc>
        <w:tc>
          <w:tcPr>
            <w:tcW w:w="778" w:type="dxa"/>
            <w:tcBorders>
              <w:tl2br w:val="nil"/>
              <w:tr2bl w:val="nil"/>
            </w:tcBorders>
            <w:vAlign w:val="center"/>
          </w:tcPr>
          <w:p w14:paraId="7E0EA1EA">
            <w:pPr>
              <w:jc w:val="center"/>
            </w:pPr>
            <w:r>
              <w:t>3.86</w:t>
            </w:r>
          </w:p>
        </w:tc>
        <w:tc>
          <w:tcPr>
            <w:tcW w:w="777" w:type="dxa"/>
            <w:tcBorders>
              <w:tl2br w:val="nil"/>
              <w:tr2bl w:val="nil"/>
            </w:tcBorders>
            <w:vAlign w:val="center"/>
          </w:tcPr>
          <w:p w14:paraId="3FEE16CF">
            <w:pPr>
              <w:jc w:val="center"/>
            </w:pPr>
            <w:r>
              <w:t>2.86</w:t>
            </w:r>
          </w:p>
        </w:tc>
        <w:tc>
          <w:tcPr>
            <w:tcW w:w="782" w:type="dxa"/>
            <w:tcBorders>
              <w:tl2br w:val="nil"/>
              <w:tr2bl w:val="nil"/>
            </w:tcBorders>
            <w:vAlign w:val="center"/>
          </w:tcPr>
          <w:p w14:paraId="4448A81C">
            <w:pPr>
              <w:jc w:val="center"/>
            </w:pPr>
            <w:r>
              <w:t>0.09</w:t>
            </w:r>
          </w:p>
        </w:tc>
      </w:tr>
      <w:tr w14:paraId="1DE37BC2">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3" w:hRule="atLeast"/>
        </w:trPr>
        <w:tc>
          <w:tcPr>
            <w:tcW w:w="780" w:type="dxa"/>
            <w:tcBorders>
              <w:tl2br w:val="nil"/>
              <w:tr2bl w:val="nil"/>
            </w:tcBorders>
            <w:vAlign w:val="center"/>
          </w:tcPr>
          <w:p w14:paraId="26548AE1">
            <w:pPr>
              <w:jc w:val="center"/>
            </w:pPr>
            <w:r>
              <w:t>秋</w:t>
            </w:r>
          </w:p>
        </w:tc>
        <w:tc>
          <w:tcPr>
            <w:tcW w:w="776" w:type="dxa"/>
            <w:tcBorders>
              <w:tl2br w:val="nil"/>
              <w:tr2bl w:val="nil"/>
            </w:tcBorders>
            <w:vAlign w:val="center"/>
          </w:tcPr>
          <w:p w14:paraId="5591647D">
            <w:pPr>
              <w:jc w:val="center"/>
            </w:pPr>
            <w:r>
              <w:t>3.39</w:t>
            </w:r>
          </w:p>
        </w:tc>
        <w:tc>
          <w:tcPr>
            <w:tcW w:w="775" w:type="dxa"/>
            <w:tcBorders>
              <w:tl2br w:val="nil"/>
              <w:tr2bl w:val="nil"/>
            </w:tcBorders>
            <w:vAlign w:val="center"/>
          </w:tcPr>
          <w:p w14:paraId="1860FFC6">
            <w:pPr>
              <w:jc w:val="center"/>
            </w:pPr>
            <w:r>
              <w:t>2.92</w:t>
            </w:r>
          </w:p>
        </w:tc>
        <w:tc>
          <w:tcPr>
            <w:tcW w:w="776" w:type="dxa"/>
            <w:tcBorders>
              <w:tl2br w:val="nil"/>
              <w:tr2bl w:val="nil"/>
            </w:tcBorders>
            <w:vAlign w:val="center"/>
          </w:tcPr>
          <w:p w14:paraId="7ED42720">
            <w:pPr>
              <w:jc w:val="center"/>
            </w:pPr>
            <w:r>
              <w:t>2.34</w:t>
            </w:r>
          </w:p>
        </w:tc>
        <w:tc>
          <w:tcPr>
            <w:tcW w:w="776" w:type="dxa"/>
            <w:tcBorders>
              <w:tl2br w:val="nil"/>
              <w:tr2bl w:val="nil"/>
            </w:tcBorders>
            <w:vAlign w:val="center"/>
          </w:tcPr>
          <w:p w14:paraId="6E536CD9">
            <w:pPr>
              <w:jc w:val="center"/>
            </w:pPr>
            <w:r>
              <w:t>2.34</w:t>
            </w:r>
          </w:p>
        </w:tc>
        <w:tc>
          <w:tcPr>
            <w:tcW w:w="775" w:type="dxa"/>
            <w:tcBorders>
              <w:tl2br w:val="nil"/>
              <w:tr2bl w:val="nil"/>
            </w:tcBorders>
            <w:vAlign w:val="center"/>
          </w:tcPr>
          <w:p w14:paraId="3DC56E06">
            <w:pPr>
              <w:jc w:val="center"/>
            </w:pPr>
            <w:r>
              <w:t>2.32</w:t>
            </w:r>
          </w:p>
        </w:tc>
        <w:tc>
          <w:tcPr>
            <w:tcW w:w="776" w:type="dxa"/>
            <w:tcBorders>
              <w:tl2br w:val="nil"/>
              <w:tr2bl w:val="nil"/>
            </w:tcBorders>
            <w:vAlign w:val="center"/>
          </w:tcPr>
          <w:p w14:paraId="267809BA">
            <w:pPr>
              <w:jc w:val="center"/>
            </w:pPr>
            <w:r>
              <w:t>2.07</w:t>
            </w:r>
          </w:p>
        </w:tc>
        <w:tc>
          <w:tcPr>
            <w:tcW w:w="776" w:type="dxa"/>
            <w:tcBorders>
              <w:tl2br w:val="nil"/>
              <w:tr2bl w:val="nil"/>
            </w:tcBorders>
            <w:vAlign w:val="center"/>
          </w:tcPr>
          <w:p w14:paraId="3B25D613">
            <w:pPr>
              <w:jc w:val="center"/>
            </w:pPr>
            <w:r>
              <w:t>2.17</w:t>
            </w:r>
          </w:p>
        </w:tc>
        <w:tc>
          <w:tcPr>
            <w:tcW w:w="776" w:type="dxa"/>
            <w:tcBorders>
              <w:tl2br w:val="nil"/>
              <w:tr2bl w:val="nil"/>
            </w:tcBorders>
            <w:vAlign w:val="center"/>
          </w:tcPr>
          <w:p w14:paraId="1BB18586">
            <w:pPr>
              <w:jc w:val="center"/>
            </w:pPr>
            <w:r>
              <w:t>2.05</w:t>
            </w:r>
          </w:p>
        </w:tc>
        <w:tc>
          <w:tcPr>
            <w:tcW w:w="776" w:type="dxa"/>
            <w:tcBorders>
              <w:tl2br w:val="nil"/>
              <w:tr2bl w:val="nil"/>
            </w:tcBorders>
            <w:vAlign w:val="center"/>
          </w:tcPr>
          <w:p w14:paraId="79BF1D50">
            <w:pPr>
              <w:jc w:val="center"/>
            </w:pPr>
            <w:r>
              <w:t>2.34</w:t>
            </w:r>
          </w:p>
        </w:tc>
        <w:tc>
          <w:tcPr>
            <w:tcW w:w="776" w:type="dxa"/>
            <w:tcBorders>
              <w:tl2br w:val="nil"/>
              <w:tr2bl w:val="nil"/>
            </w:tcBorders>
            <w:vAlign w:val="center"/>
          </w:tcPr>
          <w:p w14:paraId="0E37FE88">
            <w:pPr>
              <w:jc w:val="center"/>
            </w:pPr>
            <w:r>
              <w:t>3.2</w:t>
            </w:r>
          </w:p>
        </w:tc>
        <w:tc>
          <w:tcPr>
            <w:tcW w:w="776" w:type="dxa"/>
            <w:tcBorders>
              <w:tl2br w:val="nil"/>
              <w:tr2bl w:val="nil"/>
            </w:tcBorders>
            <w:vAlign w:val="center"/>
          </w:tcPr>
          <w:p w14:paraId="7ACFBF82">
            <w:pPr>
              <w:jc w:val="center"/>
            </w:pPr>
            <w:r>
              <w:t>3. 12</w:t>
            </w:r>
          </w:p>
        </w:tc>
        <w:tc>
          <w:tcPr>
            <w:tcW w:w="778" w:type="dxa"/>
            <w:tcBorders>
              <w:tl2br w:val="nil"/>
              <w:tr2bl w:val="nil"/>
            </w:tcBorders>
            <w:vAlign w:val="center"/>
          </w:tcPr>
          <w:p w14:paraId="1D21419F">
            <w:pPr>
              <w:jc w:val="center"/>
            </w:pPr>
            <w:r>
              <w:t>2.93</w:t>
            </w:r>
          </w:p>
        </w:tc>
        <w:tc>
          <w:tcPr>
            <w:tcW w:w="778" w:type="dxa"/>
            <w:tcBorders>
              <w:tl2br w:val="nil"/>
              <w:tr2bl w:val="nil"/>
            </w:tcBorders>
            <w:vAlign w:val="center"/>
          </w:tcPr>
          <w:p w14:paraId="6EA46872">
            <w:pPr>
              <w:jc w:val="center"/>
            </w:pPr>
            <w:r>
              <w:t>2.43</w:t>
            </w:r>
          </w:p>
        </w:tc>
        <w:tc>
          <w:tcPr>
            <w:tcW w:w="777" w:type="dxa"/>
            <w:tcBorders>
              <w:tl2br w:val="nil"/>
              <w:tr2bl w:val="nil"/>
            </w:tcBorders>
            <w:vAlign w:val="center"/>
          </w:tcPr>
          <w:p w14:paraId="0230495C">
            <w:pPr>
              <w:jc w:val="center"/>
            </w:pPr>
            <w:r>
              <w:t>2.47</w:t>
            </w:r>
          </w:p>
        </w:tc>
        <w:tc>
          <w:tcPr>
            <w:tcW w:w="778" w:type="dxa"/>
            <w:tcBorders>
              <w:tl2br w:val="nil"/>
              <w:tr2bl w:val="nil"/>
            </w:tcBorders>
            <w:vAlign w:val="center"/>
          </w:tcPr>
          <w:p w14:paraId="300A8BCE">
            <w:pPr>
              <w:jc w:val="center"/>
            </w:pPr>
            <w:r>
              <w:t>2.77</w:t>
            </w:r>
          </w:p>
        </w:tc>
        <w:tc>
          <w:tcPr>
            <w:tcW w:w="777" w:type="dxa"/>
            <w:tcBorders>
              <w:tl2br w:val="nil"/>
              <w:tr2bl w:val="nil"/>
            </w:tcBorders>
            <w:vAlign w:val="center"/>
          </w:tcPr>
          <w:p w14:paraId="0BCE9294">
            <w:pPr>
              <w:jc w:val="center"/>
            </w:pPr>
            <w:r>
              <w:t>4.04</w:t>
            </w:r>
          </w:p>
        </w:tc>
        <w:tc>
          <w:tcPr>
            <w:tcW w:w="782" w:type="dxa"/>
            <w:tcBorders>
              <w:tl2br w:val="nil"/>
              <w:tr2bl w:val="nil"/>
            </w:tcBorders>
            <w:vAlign w:val="center"/>
          </w:tcPr>
          <w:p w14:paraId="349DBDB9">
            <w:pPr>
              <w:jc w:val="center"/>
            </w:pPr>
            <w:r>
              <w:t>0.1</w:t>
            </w:r>
          </w:p>
        </w:tc>
      </w:tr>
      <w:tr w14:paraId="4A4BFD93">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780" w:type="dxa"/>
            <w:tcBorders>
              <w:tl2br w:val="nil"/>
              <w:tr2bl w:val="nil"/>
            </w:tcBorders>
            <w:vAlign w:val="center"/>
          </w:tcPr>
          <w:p w14:paraId="146FCB4A">
            <w:pPr>
              <w:jc w:val="center"/>
            </w:pPr>
            <w:r>
              <w:t>冬</w:t>
            </w:r>
          </w:p>
        </w:tc>
        <w:tc>
          <w:tcPr>
            <w:tcW w:w="776" w:type="dxa"/>
            <w:tcBorders>
              <w:tl2br w:val="nil"/>
              <w:tr2bl w:val="nil"/>
            </w:tcBorders>
            <w:vAlign w:val="center"/>
          </w:tcPr>
          <w:p w14:paraId="55529B73">
            <w:pPr>
              <w:jc w:val="center"/>
            </w:pPr>
            <w:r>
              <w:t>3.37</w:t>
            </w:r>
          </w:p>
        </w:tc>
        <w:tc>
          <w:tcPr>
            <w:tcW w:w="775" w:type="dxa"/>
            <w:tcBorders>
              <w:tl2br w:val="nil"/>
              <w:tr2bl w:val="nil"/>
            </w:tcBorders>
            <w:vAlign w:val="center"/>
          </w:tcPr>
          <w:p w14:paraId="5A6D64DD">
            <w:pPr>
              <w:jc w:val="center"/>
            </w:pPr>
            <w:r>
              <w:t>2.69</w:t>
            </w:r>
          </w:p>
        </w:tc>
        <w:tc>
          <w:tcPr>
            <w:tcW w:w="776" w:type="dxa"/>
            <w:tcBorders>
              <w:tl2br w:val="nil"/>
              <w:tr2bl w:val="nil"/>
            </w:tcBorders>
            <w:vAlign w:val="center"/>
          </w:tcPr>
          <w:p w14:paraId="618446EB">
            <w:pPr>
              <w:jc w:val="center"/>
            </w:pPr>
            <w:r>
              <w:t>2.56</w:t>
            </w:r>
          </w:p>
        </w:tc>
        <w:tc>
          <w:tcPr>
            <w:tcW w:w="776" w:type="dxa"/>
            <w:tcBorders>
              <w:tl2br w:val="nil"/>
              <w:tr2bl w:val="nil"/>
            </w:tcBorders>
            <w:vAlign w:val="center"/>
          </w:tcPr>
          <w:p w14:paraId="6D190D0B">
            <w:pPr>
              <w:jc w:val="center"/>
            </w:pPr>
            <w:r>
              <w:t>2.32</w:t>
            </w:r>
          </w:p>
        </w:tc>
        <w:tc>
          <w:tcPr>
            <w:tcW w:w="775" w:type="dxa"/>
            <w:tcBorders>
              <w:tl2br w:val="nil"/>
              <w:tr2bl w:val="nil"/>
            </w:tcBorders>
            <w:vAlign w:val="center"/>
          </w:tcPr>
          <w:p w14:paraId="6FD13A78">
            <w:pPr>
              <w:jc w:val="center"/>
            </w:pPr>
            <w:r>
              <w:t>1.93</w:t>
            </w:r>
          </w:p>
        </w:tc>
        <w:tc>
          <w:tcPr>
            <w:tcW w:w="776" w:type="dxa"/>
            <w:tcBorders>
              <w:tl2br w:val="nil"/>
              <w:tr2bl w:val="nil"/>
            </w:tcBorders>
            <w:vAlign w:val="center"/>
          </w:tcPr>
          <w:p w14:paraId="57C94321">
            <w:pPr>
              <w:jc w:val="center"/>
            </w:pPr>
            <w:r>
              <w:t>2.41</w:t>
            </w:r>
          </w:p>
        </w:tc>
        <w:tc>
          <w:tcPr>
            <w:tcW w:w="776" w:type="dxa"/>
            <w:tcBorders>
              <w:tl2br w:val="nil"/>
              <w:tr2bl w:val="nil"/>
            </w:tcBorders>
            <w:vAlign w:val="center"/>
          </w:tcPr>
          <w:p w14:paraId="4ADE0A17">
            <w:pPr>
              <w:jc w:val="center"/>
            </w:pPr>
            <w:r>
              <w:t>1.95</w:t>
            </w:r>
          </w:p>
        </w:tc>
        <w:tc>
          <w:tcPr>
            <w:tcW w:w="776" w:type="dxa"/>
            <w:tcBorders>
              <w:tl2br w:val="nil"/>
              <w:tr2bl w:val="nil"/>
            </w:tcBorders>
            <w:vAlign w:val="center"/>
          </w:tcPr>
          <w:p w14:paraId="1749DBD2">
            <w:pPr>
              <w:jc w:val="center"/>
            </w:pPr>
            <w:r>
              <w:t>2.04</w:t>
            </w:r>
          </w:p>
        </w:tc>
        <w:tc>
          <w:tcPr>
            <w:tcW w:w="776" w:type="dxa"/>
            <w:tcBorders>
              <w:tl2br w:val="nil"/>
              <w:tr2bl w:val="nil"/>
            </w:tcBorders>
            <w:vAlign w:val="center"/>
          </w:tcPr>
          <w:p w14:paraId="521C9DAD">
            <w:pPr>
              <w:jc w:val="center"/>
            </w:pPr>
            <w:r>
              <w:t>2.78</w:t>
            </w:r>
          </w:p>
        </w:tc>
        <w:tc>
          <w:tcPr>
            <w:tcW w:w="776" w:type="dxa"/>
            <w:tcBorders>
              <w:tl2br w:val="nil"/>
              <w:tr2bl w:val="nil"/>
            </w:tcBorders>
            <w:vAlign w:val="center"/>
          </w:tcPr>
          <w:p w14:paraId="75A2C997">
            <w:pPr>
              <w:jc w:val="center"/>
            </w:pPr>
            <w:r>
              <w:t>3.71</w:t>
            </w:r>
          </w:p>
        </w:tc>
        <w:tc>
          <w:tcPr>
            <w:tcW w:w="776" w:type="dxa"/>
            <w:tcBorders>
              <w:tl2br w:val="nil"/>
              <w:tr2bl w:val="nil"/>
            </w:tcBorders>
            <w:vAlign w:val="center"/>
          </w:tcPr>
          <w:p w14:paraId="52023C89">
            <w:pPr>
              <w:jc w:val="center"/>
            </w:pPr>
            <w:r>
              <w:t>3.45</w:t>
            </w:r>
          </w:p>
        </w:tc>
        <w:tc>
          <w:tcPr>
            <w:tcW w:w="778" w:type="dxa"/>
            <w:tcBorders>
              <w:tl2br w:val="nil"/>
              <w:tr2bl w:val="nil"/>
            </w:tcBorders>
            <w:vAlign w:val="center"/>
          </w:tcPr>
          <w:p w14:paraId="3313525B">
            <w:pPr>
              <w:jc w:val="center"/>
            </w:pPr>
            <w:r>
              <w:t>3.21</w:t>
            </w:r>
          </w:p>
        </w:tc>
        <w:tc>
          <w:tcPr>
            <w:tcW w:w="778" w:type="dxa"/>
            <w:tcBorders>
              <w:tl2br w:val="nil"/>
              <w:tr2bl w:val="nil"/>
            </w:tcBorders>
            <w:vAlign w:val="center"/>
          </w:tcPr>
          <w:p w14:paraId="2F6EA648">
            <w:pPr>
              <w:jc w:val="center"/>
            </w:pPr>
            <w:r>
              <w:t>3.02</w:t>
            </w:r>
          </w:p>
        </w:tc>
        <w:tc>
          <w:tcPr>
            <w:tcW w:w="777" w:type="dxa"/>
            <w:tcBorders>
              <w:tl2br w:val="nil"/>
              <w:tr2bl w:val="nil"/>
            </w:tcBorders>
            <w:vAlign w:val="center"/>
          </w:tcPr>
          <w:p w14:paraId="4F224978">
            <w:pPr>
              <w:jc w:val="center"/>
            </w:pPr>
            <w:r>
              <w:t>3.31</w:t>
            </w:r>
          </w:p>
        </w:tc>
        <w:tc>
          <w:tcPr>
            <w:tcW w:w="778" w:type="dxa"/>
            <w:tcBorders>
              <w:tl2br w:val="nil"/>
              <w:tr2bl w:val="nil"/>
            </w:tcBorders>
            <w:vAlign w:val="center"/>
          </w:tcPr>
          <w:p w14:paraId="58CADEAB">
            <w:pPr>
              <w:jc w:val="center"/>
            </w:pPr>
            <w:r>
              <w:t>3.92</w:t>
            </w:r>
          </w:p>
        </w:tc>
        <w:tc>
          <w:tcPr>
            <w:tcW w:w="777" w:type="dxa"/>
            <w:tcBorders>
              <w:tl2br w:val="nil"/>
              <w:tr2bl w:val="nil"/>
            </w:tcBorders>
            <w:vAlign w:val="center"/>
          </w:tcPr>
          <w:p w14:paraId="3E0B2E23">
            <w:pPr>
              <w:jc w:val="center"/>
            </w:pPr>
            <w:r>
              <w:t>4.1</w:t>
            </w:r>
          </w:p>
        </w:tc>
        <w:tc>
          <w:tcPr>
            <w:tcW w:w="782" w:type="dxa"/>
            <w:tcBorders>
              <w:tl2br w:val="nil"/>
              <w:tr2bl w:val="nil"/>
            </w:tcBorders>
            <w:vAlign w:val="center"/>
          </w:tcPr>
          <w:p w14:paraId="48C99242">
            <w:pPr>
              <w:jc w:val="center"/>
            </w:pPr>
            <w:r>
              <w:t>0.1</w:t>
            </w:r>
          </w:p>
        </w:tc>
      </w:tr>
      <w:tr w14:paraId="18F35643">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8" w:hRule="atLeast"/>
        </w:trPr>
        <w:tc>
          <w:tcPr>
            <w:tcW w:w="780" w:type="dxa"/>
            <w:tcBorders>
              <w:tl2br w:val="nil"/>
              <w:tr2bl w:val="nil"/>
            </w:tcBorders>
            <w:vAlign w:val="center"/>
          </w:tcPr>
          <w:p w14:paraId="58B663A0">
            <w:pPr>
              <w:jc w:val="center"/>
            </w:pPr>
            <w:r>
              <w:t>全年</w:t>
            </w:r>
          </w:p>
        </w:tc>
        <w:tc>
          <w:tcPr>
            <w:tcW w:w="776" w:type="dxa"/>
            <w:tcBorders>
              <w:tl2br w:val="nil"/>
              <w:tr2bl w:val="nil"/>
            </w:tcBorders>
            <w:vAlign w:val="center"/>
          </w:tcPr>
          <w:p w14:paraId="0E5C7AC8">
            <w:pPr>
              <w:jc w:val="center"/>
            </w:pPr>
            <w:r>
              <w:t>3.57</w:t>
            </w:r>
          </w:p>
        </w:tc>
        <w:tc>
          <w:tcPr>
            <w:tcW w:w="775" w:type="dxa"/>
            <w:tcBorders>
              <w:tl2br w:val="nil"/>
              <w:tr2bl w:val="nil"/>
            </w:tcBorders>
            <w:vAlign w:val="center"/>
          </w:tcPr>
          <w:p w14:paraId="4C7E97D5">
            <w:pPr>
              <w:jc w:val="center"/>
            </w:pPr>
            <w:r>
              <w:t>3</w:t>
            </w:r>
          </w:p>
        </w:tc>
        <w:tc>
          <w:tcPr>
            <w:tcW w:w="776" w:type="dxa"/>
            <w:tcBorders>
              <w:tl2br w:val="nil"/>
              <w:tr2bl w:val="nil"/>
            </w:tcBorders>
            <w:vAlign w:val="center"/>
          </w:tcPr>
          <w:p w14:paraId="509544CB">
            <w:pPr>
              <w:jc w:val="center"/>
            </w:pPr>
            <w:r>
              <w:t>2.82</w:t>
            </w:r>
          </w:p>
        </w:tc>
        <w:tc>
          <w:tcPr>
            <w:tcW w:w="776" w:type="dxa"/>
            <w:tcBorders>
              <w:tl2br w:val="nil"/>
              <w:tr2bl w:val="nil"/>
            </w:tcBorders>
            <w:vAlign w:val="center"/>
          </w:tcPr>
          <w:p w14:paraId="33097A1A">
            <w:pPr>
              <w:jc w:val="center"/>
            </w:pPr>
            <w:r>
              <w:t>2.58</w:t>
            </w:r>
          </w:p>
        </w:tc>
        <w:tc>
          <w:tcPr>
            <w:tcW w:w="775" w:type="dxa"/>
            <w:tcBorders>
              <w:tl2br w:val="nil"/>
              <w:tr2bl w:val="nil"/>
            </w:tcBorders>
            <w:vAlign w:val="center"/>
          </w:tcPr>
          <w:p w14:paraId="7B8DFE69">
            <w:pPr>
              <w:jc w:val="center"/>
            </w:pPr>
            <w:r>
              <w:t>2.25</w:t>
            </w:r>
          </w:p>
        </w:tc>
        <w:tc>
          <w:tcPr>
            <w:tcW w:w="776" w:type="dxa"/>
            <w:tcBorders>
              <w:tl2br w:val="nil"/>
              <w:tr2bl w:val="nil"/>
            </w:tcBorders>
            <w:vAlign w:val="center"/>
          </w:tcPr>
          <w:p w14:paraId="63A1F3AE">
            <w:pPr>
              <w:jc w:val="center"/>
            </w:pPr>
            <w:r>
              <w:t>2.51</w:t>
            </w:r>
          </w:p>
        </w:tc>
        <w:tc>
          <w:tcPr>
            <w:tcW w:w="776" w:type="dxa"/>
            <w:tcBorders>
              <w:tl2br w:val="nil"/>
              <w:tr2bl w:val="nil"/>
            </w:tcBorders>
            <w:vAlign w:val="center"/>
          </w:tcPr>
          <w:p w14:paraId="68BD7483">
            <w:pPr>
              <w:jc w:val="center"/>
            </w:pPr>
            <w:r>
              <w:t>2.61</w:t>
            </w:r>
          </w:p>
        </w:tc>
        <w:tc>
          <w:tcPr>
            <w:tcW w:w="776" w:type="dxa"/>
            <w:tcBorders>
              <w:tl2br w:val="nil"/>
              <w:tr2bl w:val="nil"/>
            </w:tcBorders>
            <w:vAlign w:val="center"/>
          </w:tcPr>
          <w:p w14:paraId="348E6F9C">
            <w:pPr>
              <w:jc w:val="center"/>
            </w:pPr>
            <w:r>
              <w:t>2.6</w:t>
            </w:r>
          </w:p>
        </w:tc>
        <w:tc>
          <w:tcPr>
            <w:tcW w:w="776" w:type="dxa"/>
            <w:tcBorders>
              <w:tl2br w:val="nil"/>
              <w:tr2bl w:val="nil"/>
            </w:tcBorders>
            <w:vAlign w:val="center"/>
          </w:tcPr>
          <w:p w14:paraId="04F6BC22">
            <w:pPr>
              <w:jc w:val="center"/>
            </w:pPr>
            <w:r>
              <w:t>3. 1</w:t>
            </w:r>
          </w:p>
        </w:tc>
        <w:tc>
          <w:tcPr>
            <w:tcW w:w="776" w:type="dxa"/>
            <w:tcBorders>
              <w:tl2br w:val="nil"/>
              <w:tr2bl w:val="nil"/>
            </w:tcBorders>
            <w:vAlign w:val="center"/>
          </w:tcPr>
          <w:p w14:paraId="526FBD44">
            <w:pPr>
              <w:jc w:val="center"/>
            </w:pPr>
            <w:r>
              <w:t>3.87</w:t>
            </w:r>
          </w:p>
        </w:tc>
        <w:tc>
          <w:tcPr>
            <w:tcW w:w="776" w:type="dxa"/>
            <w:tcBorders>
              <w:tl2br w:val="nil"/>
              <w:tr2bl w:val="nil"/>
            </w:tcBorders>
            <w:vAlign w:val="center"/>
          </w:tcPr>
          <w:p w14:paraId="391DA302">
            <w:pPr>
              <w:jc w:val="center"/>
            </w:pPr>
            <w:r>
              <w:t>3.63</w:t>
            </w:r>
          </w:p>
        </w:tc>
        <w:tc>
          <w:tcPr>
            <w:tcW w:w="778" w:type="dxa"/>
            <w:tcBorders>
              <w:tl2br w:val="nil"/>
              <w:tr2bl w:val="nil"/>
            </w:tcBorders>
            <w:vAlign w:val="center"/>
          </w:tcPr>
          <w:p w14:paraId="05D4A5F4">
            <w:pPr>
              <w:jc w:val="center"/>
            </w:pPr>
            <w:r>
              <w:t>3.23</w:t>
            </w:r>
          </w:p>
        </w:tc>
        <w:tc>
          <w:tcPr>
            <w:tcW w:w="778" w:type="dxa"/>
            <w:tcBorders>
              <w:tl2br w:val="nil"/>
              <w:tr2bl w:val="nil"/>
            </w:tcBorders>
            <w:vAlign w:val="center"/>
          </w:tcPr>
          <w:p w14:paraId="44F6C83B">
            <w:pPr>
              <w:jc w:val="center"/>
            </w:pPr>
            <w:r>
              <w:t>3.43</w:t>
            </w:r>
          </w:p>
        </w:tc>
        <w:tc>
          <w:tcPr>
            <w:tcW w:w="777" w:type="dxa"/>
            <w:tcBorders>
              <w:tl2br w:val="nil"/>
              <w:tr2bl w:val="nil"/>
            </w:tcBorders>
            <w:vAlign w:val="center"/>
          </w:tcPr>
          <w:p w14:paraId="33B827DA">
            <w:pPr>
              <w:jc w:val="center"/>
            </w:pPr>
            <w:r>
              <w:t>4.06</w:t>
            </w:r>
          </w:p>
        </w:tc>
        <w:tc>
          <w:tcPr>
            <w:tcW w:w="778" w:type="dxa"/>
            <w:tcBorders>
              <w:tl2br w:val="nil"/>
              <w:tr2bl w:val="nil"/>
            </w:tcBorders>
            <w:vAlign w:val="center"/>
          </w:tcPr>
          <w:p w14:paraId="1A3FFBDA">
            <w:pPr>
              <w:jc w:val="center"/>
            </w:pPr>
            <w:r>
              <w:t>4.59</w:t>
            </w:r>
          </w:p>
        </w:tc>
        <w:tc>
          <w:tcPr>
            <w:tcW w:w="777" w:type="dxa"/>
            <w:tcBorders>
              <w:tl2br w:val="nil"/>
              <w:tr2bl w:val="nil"/>
            </w:tcBorders>
            <w:vAlign w:val="center"/>
          </w:tcPr>
          <w:p w14:paraId="220F7F20">
            <w:pPr>
              <w:jc w:val="center"/>
            </w:pPr>
            <w:r>
              <w:t>4.24</w:t>
            </w:r>
          </w:p>
        </w:tc>
        <w:tc>
          <w:tcPr>
            <w:tcW w:w="782" w:type="dxa"/>
            <w:tcBorders>
              <w:tl2br w:val="nil"/>
              <w:tr2bl w:val="nil"/>
            </w:tcBorders>
            <w:vAlign w:val="center"/>
          </w:tcPr>
          <w:p w14:paraId="25E5E7FC">
            <w:pPr>
              <w:jc w:val="center"/>
            </w:pPr>
            <w:r>
              <w:t>0.1</w:t>
            </w:r>
          </w:p>
        </w:tc>
      </w:tr>
    </w:tbl>
    <w:p w14:paraId="62BDEEEB">
      <w:pPr>
        <w:spacing w:line="360" w:lineRule="auto"/>
        <w:rPr>
          <w:color w:val="auto"/>
          <w:sz w:val="24"/>
        </w:rPr>
      </w:pPr>
    </w:p>
    <w:p w14:paraId="65773128">
      <w:pPr>
        <w:spacing w:line="360" w:lineRule="auto"/>
        <w:rPr>
          <w:color w:val="auto"/>
          <w:sz w:val="24"/>
        </w:rPr>
      </w:pPr>
    </w:p>
    <w:p w14:paraId="1D20A2C2">
      <w:pPr>
        <w:spacing w:line="360" w:lineRule="auto"/>
        <w:rPr>
          <w:color w:val="auto"/>
          <w:sz w:val="24"/>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3D9066DB">
      <w:pPr>
        <w:spacing w:line="360" w:lineRule="auto"/>
        <w:ind w:firstLine="480" w:firstLineChars="200"/>
        <w:rPr>
          <w:color w:val="auto"/>
          <w:sz w:val="24"/>
        </w:rPr>
      </w:pPr>
      <w:r>
        <w:rPr>
          <w:color w:val="auto"/>
          <w:sz w:val="24"/>
        </w:rPr>
        <w:t>由北票气象站</w:t>
      </w:r>
      <w:r>
        <w:rPr>
          <w:rFonts w:hint="eastAsia"/>
          <w:color w:val="auto"/>
          <w:sz w:val="24"/>
          <w:lang w:val="en-US" w:eastAsia="zh-CN"/>
        </w:rPr>
        <w:t>2023</w:t>
      </w:r>
      <w:r>
        <w:rPr>
          <w:color w:val="auto"/>
          <w:sz w:val="24"/>
        </w:rPr>
        <w:t>年全年及各月各季风玫瑰图及年及各月各季风频表可见：该地区春季最多风向为SSW，其频率为8.23％，次多风向为NNE，其频率为7.32％，静风频率为18.66％。该地区夏季最多风向为SSW，其频率为9.83％，次多风向为S，其频率为9.38％，静风频率为30.21％。该地区秋季最多风向为ENE，其频率为8.75％，次多风向为NNE，其频率为7.01％，静风频率为28.07％。该地区冬季最多风向为NNE，其频率为10.00％，次多风向为SSW，其频率为7.04％，静风频率为30.28％。该地区全年最多风向为SSW，其频率为8.23％，次多风向为NNE，其频率为7.32％，静风频率为26.78％。</w:t>
      </w:r>
    </w:p>
    <w:bookmarkEnd w:id="315"/>
    <w:bookmarkEnd w:id="316"/>
    <w:bookmarkEnd w:id="317"/>
    <w:bookmarkEnd w:id="318"/>
    <w:bookmarkEnd w:id="319"/>
    <w:bookmarkEnd w:id="320"/>
    <w:bookmarkEnd w:id="321"/>
    <w:bookmarkEnd w:id="322"/>
    <w:bookmarkEnd w:id="323"/>
    <w:p w14:paraId="2A0FBE39">
      <w:pPr>
        <w:bidi w:val="0"/>
        <w:spacing w:line="360" w:lineRule="auto"/>
        <w:rPr>
          <w:rFonts w:hint="eastAsia"/>
          <w:b/>
          <w:bCs/>
          <w:color w:val="auto"/>
          <w:sz w:val="24"/>
          <w:szCs w:val="24"/>
          <w:lang w:eastAsia="zh-CN"/>
        </w:rPr>
      </w:pPr>
      <w:bookmarkStart w:id="324" w:name="_Toc55205860"/>
      <w:r>
        <w:rPr>
          <w:rFonts w:hint="eastAsia"/>
          <w:b/>
          <w:bCs/>
          <w:color w:val="auto"/>
          <w:sz w:val="24"/>
          <w:szCs w:val="24"/>
        </w:rPr>
        <w:t>5.2.1.</w:t>
      </w:r>
      <w:bookmarkEnd w:id="324"/>
      <w:r>
        <w:rPr>
          <w:rFonts w:hint="eastAsia"/>
          <w:b/>
          <w:bCs/>
          <w:color w:val="auto"/>
          <w:sz w:val="24"/>
          <w:szCs w:val="24"/>
          <w:lang w:val="en-US" w:eastAsia="zh-CN"/>
        </w:rPr>
        <w:t>2</w:t>
      </w:r>
      <w:r>
        <w:rPr>
          <w:rFonts w:hint="eastAsia"/>
          <w:b/>
          <w:bCs/>
          <w:color w:val="auto"/>
          <w:sz w:val="24"/>
          <w:szCs w:val="24"/>
          <w:lang w:eastAsia="zh-CN"/>
        </w:rPr>
        <w:t>评价因子和评价标准筛选</w:t>
      </w:r>
    </w:p>
    <w:p w14:paraId="51E7057B">
      <w:pPr>
        <w:pStyle w:val="450"/>
        <w:rPr>
          <w:rFonts w:hAnsi="宋体"/>
          <w:bCs w:val="0"/>
          <w:snapToGrid/>
          <w:color w:val="auto"/>
          <w:szCs w:val="24"/>
        </w:rPr>
      </w:pPr>
      <w:r>
        <w:rPr>
          <w:rFonts w:hint="eastAsia" w:hAnsi="宋体"/>
          <w:bCs w:val="0"/>
          <w:snapToGrid/>
          <w:color w:val="auto"/>
          <w:szCs w:val="24"/>
        </w:rPr>
        <w:t>（</w:t>
      </w:r>
      <w:r>
        <w:rPr>
          <w:rFonts w:hint="eastAsia" w:hAnsi="宋体"/>
          <w:bCs w:val="0"/>
          <w:snapToGrid/>
          <w:color w:val="auto"/>
          <w:szCs w:val="24"/>
          <w:lang w:val="en-US" w:eastAsia="zh-CN"/>
        </w:rPr>
        <w:t>1</w:t>
      </w:r>
      <w:r>
        <w:rPr>
          <w:rFonts w:hint="eastAsia" w:hAnsi="宋体"/>
          <w:bCs w:val="0"/>
          <w:snapToGrid/>
          <w:color w:val="auto"/>
          <w:szCs w:val="24"/>
        </w:rPr>
        <w:t>）</w:t>
      </w:r>
      <w:r>
        <w:rPr>
          <w:rFonts w:hint="eastAsia" w:hAnsi="宋体"/>
          <w:bCs w:val="0"/>
          <w:snapToGrid/>
          <w:color w:val="auto"/>
          <w:szCs w:val="24"/>
          <w:lang w:eastAsia="zh-CN"/>
        </w:rPr>
        <w:t>预测</w:t>
      </w:r>
      <w:r>
        <w:rPr>
          <w:rFonts w:hint="eastAsia" w:hAnsi="宋体"/>
          <w:bCs w:val="0"/>
          <w:snapToGrid/>
          <w:color w:val="auto"/>
          <w:szCs w:val="24"/>
        </w:rPr>
        <w:t>因子</w:t>
      </w:r>
    </w:p>
    <w:p w14:paraId="08CF84C7">
      <w:pPr>
        <w:pStyle w:val="450"/>
        <w:rPr>
          <w:rFonts w:hAnsi="宋体"/>
          <w:bCs w:val="0"/>
          <w:snapToGrid/>
          <w:color w:val="auto"/>
          <w:szCs w:val="24"/>
        </w:rPr>
      </w:pPr>
      <w:r>
        <w:rPr>
          <w:rFonts w:hAnsi="宋体"/>
          <w:bCs w:val="0"/>
          <w:snapToGrid/>
          <w:color w:val="auto"/>
          <w:szCs w:val="24"/>
        </w:rPr>
        <w:t>项目预测因子选用</w:t>
      </w:r>
      <w:r>
        <w:rPr>
          <w:rFonts w:hint="eastAsia" w:hAnsi="宋体" w:eastAsia="宋体"/>
          <w:bCs w:val="0"/>
          <w:snapToGrid/>
          <w:color w:val="auto"/>
          <w:szCs w:val="24"/>
          <w:lang w:val="en-US" w:eastAsia="zh-CN"/>
        </w:rPr>
        <w:t>PM</w:t>
      </w:r>
      <w:r>
        <w:rPr>
          <w:rFonts w:hint="eastAsia" w:hAnsi="宋体" w:eastAsia="宋体"/>
          <w:bCs w:val="0"/>
          <w:snapToGrid/>
          <w:color w:val="auto"/>
          <w:szCs w:val="24"/>
          <w:vertAlign w:val="subscript"/>
          <w:lang w:val="en-US" w:eastAsia="zh-CN"/>
        </w:rPr>
        <w:t>10</w:t>
      </w:r>
      <w:r>
        <w:rPr>
          <w:rFonts w:hint="eastAsia" w:hAnsi="宋体" w:eastAsia="宋体"/>
          <w:bCs w:val="0"/>
          <w:snapToGrid/>
          <w:color w:val="auto"/>
          <w:szCs w:val="24"/>
          <w:lang w:val="en-US" w:eastAsia="zh-CN"/>
        </w:rPr>
        <w:t>、SO</w:t>
      </w:r>
      <w:r>
        <w:rPr>
          <w:rFonts w:hint="eastAsia" w:hAnsi="宋体" w:eastAsia="宋体"/>
          <w:bCs w:val="0"/>
          <w:snapToGrid/>
          <w:color w:val="auto"/>
          <w:szCs w:val="24"/>
          <w:vertAlign w:val="subscript"/>
          <w:lang w:val="en-US" w:eastAsia="zh-CN"/>
        </w:rPr>
        <w:t>2</w:t>
      </w:r>
      <w:r>
        <w:rPr>
          <w:rFonts w:hint="eastAsia" w:hAnsi="宋体" w:eastAsia="宋体"/>
          <w:bCs w:val="0"/>
          <w:snapToGrid/>
          <w:color w:val="auto"/>
          <w:szCs w:val="24"/>
          <w:lang w:val="en-US" w:eastAsia="zh-CN"/>
        </w:rPr>
        <w:t>、NO</w:t>
      </w:r>
      <w:r>
        <w:rPr>
          <w:rFonts w:hint="eastAsia" w:hAnsi="宋体" w:eastAsia="宋体"/>
          <w:bCs w:val="0"/>
          <w:snapToGrid/>
          <w:color w:val="auto"/>
          <w:szCs w:val="24"/>
          <w:vertAlign w:val="subscript"/>
          <w:lang w:val="en-US" w:eastAsia="zh-CN"/>
        </w:rPr>
        <w:t>2</w:t>
      </w:r>
      <w:r>
        <w:rPr>
          <w:rFonts w:hint="eastAsia" w:hAnsi="宋体" w:eastAsia="宋体"/>
          <w:bCs w:val="0"/>
          <w:snapToGrid/>
          <w:color w:val="auto"/>
          <w:szCs w:val="24"/>
          <w:lang w:val="en-US" w:eastAsia="zh-CN"/>
        </w:rPr>
        <w:t>、NH</w:t>
      </w:r>
      <w:r>
        <w:rPr>
          <w:rFonts w:hint="eastAsia" w:hAnsi="宋体" w:eastAsia="宋体"/>
          <w:bCs w:val="0"/>
          <w:snapToGrid/>
          <w:color w:val="auto"/>
          <w:szCs w:val="24"/>
          <w:vertAlign w:val="subscript"/>
          <w:lang w:val="en-US" w:eastAsia="zh-CN"/>
        </w:rPr>
        <w:t>3</w:t>
      </w:r>
      <w:r>
        <w:rPr>
          <w:rFonts w:hint="eastAsia" w:hAnsi="宋体" w:eastAsia="宋体"/>
          <w:bCs w:val="0"/>
          <w:snapToGrid/>
          <w:color w:val="auto"/>
          <w:szCs w:val="24"/>
          <w:lang w:val="en-US" w:eastAsia="zh-CN"/>
        </w:rPr>
        <w:t>、H</w:t>
      </w:r>
      <w:r>
        <w:rPr>
          <w:rFonts w:hint="eastAsia" w:hAnsi="宋体" w:eastAsia="宋体"/>
          <w:bCs w:val="0"/>
          <w:snapToGrid/>
          <w:color w:val="auto"/>
          <w:szCs w:val="24"/>
          <w:vertAlign w:val="subscript"/>
          <w:lang w:val="en-US" w:eastAsia="zh-CN"/>
        </w:rPr>
        <w:t>2</w:t>
      </w:r>
      <w:r>
        <w:rPr>
          <w:rFonts w:hint="eastAsia" w:hAnsi="宋体" w:eastAsia="宋体"/>
          <w:bCs w:val="0"/>
          <w:snapToGrid/>
          <w:color w:val="auto"/>
          <w:szCs w:val="24"/>
          <w:lang w:val="en-US" w:eastAsia="zh-CN"/>
        </w:rPr>
        <w:t>S</w:t>
      </w:r>
      <w:r>
        <w:rPr>
          <w:rFonts w:hAnsi="宋体"/>
          <w:bCs w:val="0"/>
          <w:snapToGrid/>
          <w:color w:val="auto"/>
          <w:szCs w:val="24"/>
        </w:rPr>
        <w:t>。</w:t>
      </w:r>
    </w:p>
    <w:p w14:paraId="08C178F6">
      <w:pPr>
        <w:pStyle w:val="450"/>
        <w:rPr>
          <w:rFonts w:hint="eastAsia" w:ascii="Times New Roman" w:hAnsi="宋体" w:eastAsia="宋体" w:cs="Times New Roman"/>
          <w:bCs/>
          <w:snapToGrid/>
          <w:color w:val="auto"/>
          <w:szCs w:val="24"/>
          <w:lang w:eastAsia="zh-CN"/>
        </w:rPr>
      </w:pPr>
      <w:r>
        <w:rPr>
          <w:rFonts w:hint="eastAsia" w:ascii="Times New Roman" w:hAnsi="宋体" w:eastAsia="宋体" w:cs="Times New Roman"/>
          <w:bCs/>
          <w:snapToGrid/>
          <w:color w:val="auto"/>
          <w:szCs w:val="24"/>
          <w:lang w:eastAsia="zh-CN"/>
        </w:rPr>
        <w:t>（</w:t>
      </w:r>
      <w:r>
        <w:rPr>
          <w:rFonts w:hint="eastAsia" w:ascii="Times New Roman" w:hAnsi="宋体" w:eastAsia="宋体" w:cs="Times New Roman"/>
          <w:bCs/>
          <w:snapToGrid/>
          <w:color w:val="auto"/>
          <w:szCs w:val="24"/>
          <w:lang w:val="en-US" w:eastAsia="zh-CN"/>
        </w:rPr>
        <w:t>2</w:t>
      </w:r>
      <w:r>
        <w:rPr>
          <w:rFonts w:hint="eastAsia" w:ascii="Times New Roman" w:hAnsi="宋体" w:eastAsia="宋体" w:cs="Times New Roman"/>
          <w:bCs/>
          <w:snapToGrid/>
          <w:color w:val="auto"/>
          <w:szCs w:val="24"/>
          <w:lang w:eastAsia="zh-CN"/>
        </w:rPr>
        <w:t>）执行标准</w:t>
      </w:r>
    </w:p>
    <w:p w14:paraId="6C882ED8">
      <w:pPr>
        <w:pStyle w:val="450"/>
        <w:rPr>
          <w:rFonts w:hint="eastAsia" w:ascii="Times New Roman" w:hAnsi="宋体" w:eastAsia="宋体" w:cs="Times New Roman"/>
          <w:bCs/>
          <w:snapToGrid/>
          <w:color w:val="auto"/>
          <w:szCs w:val="24"/>
        </w:rPr>
      </w:pPr>
      <w:r>
        <w:rPr>
          <w:rFonts w:hint="eastAsia" w:ascii="Times New Roman" w:hAnsi="宋体" w:eastAsia="宋体" w:cs="Times New Roman"/>
          <w:bCs/>
          <w:snapToGrid/>
          <w:color w:val="auto"/>
          <w:szCs w:val="24"/>
        </w:rPr>
        <w:t>PM10</w:t>
      </w:r>
      <w:r>
        <w:rPr>
          <w:rFonts w:hint="eastAsia" w:ascii="Times New Roman" w:hAnsi="宋体" w:eastAsia="宋体" w:cs="Times New Roman"/>
          <w:bCs/>
          <w:snapToGrid/>
          <w:color w:val="auto"/>
          <w:szCs w:val="24"/>
          <w:lang w:eastAsia="zh-CN"/>
        </w:rPr>
        <w:t>、</w:t>
      </w:r>
      <w:r>
        <w:rPr>
          <w:rFonts w:hint="eastAsia" w:hAnsi="宋体" w:eastAsia="宋体"/>
          <w:bCs w:val="0"/>
          <w:snapToGrid/>
          <w:color w:val="auto"/>
          <w:szCs w:val="24"/>
          <w:lang w:val="en-US" w:eastAsia="zh-CN"/>
        </w:rPr>
        <w:t>SO</w:t>
      </w:r>
      <w:r>
        <w:rPr>
          <w:rFonts w:hint="eastAsia" w:hAnsi="宋体" w:eastAsia="宋体"/>
          <w:bCs w:val="0"/>
          <w:snapToGrid/>
          <w:color w:val="auto"/>
          <w:szCs w:val="24"/>
          <w:vertAlign w:val="subscript"/>
          <w:lang w:val="en-US" w:eastAsia="zh-CN"/>
        </w:rPr>
        <w:t>2</w:t>
      </w:r>
      <w:r>
        <w:rPr>
          <w:rFonts w:hint="eastAsia" w:hAnsi="宋体" w:eastAsia="宋体"/>
          <w:bCs w:val="0"/>
          <w:snapToGrid/>
          <w:color w:val="auto"/>
          <w:szCs w:val="24"/>
          <w:lang w:val="en-US" w:eastAsia="zh-CN"/>
        </w:rPr>
        <w:t>、NO</w:t>
      </w:r>
      <w:r>
        <w:rPr>
          <w:rFonts w:hint="eastAsia" w:hAnsi="宋体" w:eastAsia="宋体"/>
          <w:bCs w:val="0"/>
          <w:snapToGrid/>
          <w:color w:val="auto"/>
          <w:szCs w:val="24"/>
          <w:vertAlign w:val="subscript"/>
          <w:lang w:val="en-US" w:eastAsia="zh-CN"/>
        </w:rPr>
        <w:t>2</w:t>
      </w:r>
      <w:r>
        <w:rPr>
          <w:rFonts w:hint="eastAsia" w:ascii="Times New Roman" w:hAnsi="宋体" w:eastAsia="宋体" w:cs="Times New Roman"/>
          <w:bCs/>
          <w:snapToGrid/>
          <w:color w:val="auto"/>
          <w:szCs w:val="24"/>
        </w:rPr>
        <w:t>执行《环境空气质量标准》(GB3095-2012)中的二级标准</w:t>
      </w:r>
      <w:r>
        <w:rPr>
          <w:rFonts w:hint="eastAsia" w:ascii="Times New Roman" w:hAnsi="宋体" w:eastAsia="宋体" w:cs="Times New Roman"/>
          <w:bCs/>
          <w:snapToGrid/>
          <w:color w:val="auto"/>
          <w:szCs w:val="24"/>
          <w:lang w:eastAsia="zh-CN"/>
        </w:rPr>
        <w:t>，</w:t>
      </w:r>
      <w:r>
        <w:rPr>
          <w:rFonts w:hint="eastAsia" w:hAnsi="宋体" w:eastAsia="宋体"/>
          <w:bCs w:val="0"/>
          <w:snapToGrid/>
          <w:color w:val="auto"/>
          <w:szCs w:val="24"/>
          <w:lang w:val="en-US" w:eastAsia="zh-CN"/>
        </w:rPr>
        <w:t>NH</w:t>
      </w:r>
      <w:r>
        <w:rPr>
          <w:rFonts w:hint="eastAsia" w:hAnsi="宋体" w:eastAsia="宋体"/>
          <w:bCs w:val="0"/>
          <w:snapToGrid/>
          <w:color w:val="auto"/>
          <w:szCs w:val="24"/>
          <w:vertAlign w:val="subscript"/>
          <w:lang w:val="en-US" w:eastAsia="zh-CN"/>
        </w:rPr>
        <w:t>3</w:t>
      </w:r>
      <w:r>
        <w:rPr>
          <w:rFonts w:hint="eastAsia" w:hAnsi="宋体" w:eastAsia="宋体"/>
          <w:bCs w:val="0"/>
          <w:snapToGrid/>
          <w:color w:val="auto"/>
          <w:szCs w:val="24"/>
          <w:lang w:val="en-US" w:eastAsia="zh-CN"/>
        </w:rPr>
        <w:t>、H</w:t>
      </w:r>
      <w:r>
        <w:rPr>
          <w:rFonts w:hint="eastAsia" w:hAnsi="宋体" w:eastAsia="宋体"/>
          <w:bCs w:val="0"/>
          <w:snapToGrid/>
          <w:color w:val="auto"/>
          <w:szCs w:val="24"/>
          <w:vertAlign w:val="subscript"/>
          <w:lang w:val="en-US" w:eastAsia="zh-CN"/>
        </w:rPr>
        <w:t>2</w:t>
      </w:r>
      <w:r>
        <w:rPr>
          <w:rFonts w:hint="eastAsia" w:hAnsi="宋体" w:eastAsia="宋体"/>
          <w:bCs w:val="0"/>
          <w:snapToGrid/>
          <w:color w:val="auto"/>
          <w:szCs w:val="24"/>
          <w:lang w:val="en-US" w:eastAsia="zh-CN"/>
        </w:rPr>
        <w:t>S</w:t>
      </w:r>
      <w:r>
        <w:rPr>
          <w:color w:val="auto"/>
          <w:kern w:val="0"/>
          <w:sz w:val="24"/>
        </w:rPr>
        <w:t>执行《环境影响评价技术导则 大气环境》HJ2.2-2018附录D</w:t>
      </w:r>
      <w:r>
        <w:rPr>
          <w:rFonts w:hint="eastAsia" w:ascii="Times New Roman" w:hAnsi="宋体" w:eastAsia="宋体" w:cs="Times New Roman"/>
          <w:bCs/>
          <w:snapToGrid/>
          <w:color w:val="auto"/>
          <w:szCs w:val="24"/>
        </w:rPr>
        <w:t>。</w:t>
      </w:r>
    </w:p>
    <w:p w14:paraId="0793D998">
      <w:pPr>
        <w:snapToGrid w:val="0"/>
        <w:ind w:firstLine="422" w:firstLineChars="20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表5.2-</w:t>
      </w:r>
      <w:r>
        <w:rPr>
          <w:rFonts w:hint="eastAsia" w:cs="Times New Roman"/>
          <w:b/>
          <w:bCs/>
          <w:color w:val="auto"/>
          <w:szCs w:val="21"/>
          <w:lang w:val="en-US" w:eastAsia="zh-CN"/>
        </w:rPr>
        <w:t>4</w:t>
      </w:r>
      <w:r>
        <w:rPr>
          <w:rFonts w:ascii="Times New Roman" w:hAnsi="Times New Roman" w:eastAsia="宋体" w:cs="Times New Roman"/>
          <w:b/>
          <w:bCs/>
          <w:color w:val="auto"/>
          <w:szCs w:val="21"/>
        </w:rPr>
        <w:t xml:space="preserve">    运营期大气环境影响评价因子和评价标准</w:t>
      </w:r>
    </w:p>
    <w:tbl>
      <w:tblPr>
        <w:tblStyle w:val="551"/>
        <w:tblW w:w="4997" w:type="pct"/>
        <w:tblInd w:w="0"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558"/>
        <w:gridCol w:w="2478"/>
        <w:gridCol w:w="617"/>
        <w:gridCol w:w="3654"/>
      </w:tblGrid>
      <w:tr w14:paraId="4B2B5934">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6" w:hRule="atLeast"/>
        </w:trPr>
        <w:tc>
          <w:tcPr>
            <w:tcW w:w="938" w:type="pct"/>
            <w:tcBorders>
              <w:tl2br w:val="nil"/>
              <w:tr2bl w:val="nil"/>
            </w:tcBorders>
            <w:noWrap w:val="0"/>
            <w:vAlign w:val="center"/>
          </w:tcPr>
          <w:p w14:paraId="4D417AD0">
            <w:pPr>
              <w:pStyle w:val="554"/>
              <w:jc w:val="center"/>
              <w:rPr>
                <w:rFonts w:ascii="Times New Roman" w:hAnsi="Times New Roman" w:eastAsia="Times New Roman" w:cs="Times New Roman"/>
                <w:color w:val="auto"/>
              </w:rPr>
            </w:pPr>
            <w:r>
              <w:rPr>
                <w:rFonts w:ascii="Times New Roman" w:hAnsi="Times New Roman" w:eastAsia="Times New Roman" w:cs="Times New Roman"/>
                <w:color w:val="auto"/>
              </w:rPr>
              <w:t>评价因子</w:t>
            </w:r>
          </w:p>
        </w:tc>
        <w:tc>
          <w:tcPr>
            <w:tcW w:w="1491" w:type="pct"/>
            <w:tcBorders>
              <w:tl2br w:val="nil"/>
              <w:tr2bl w:val="nil"/>
            </w:tcBorders>
            <w:noWrap w:val="0"/>
            <w:vAlign w:val="center"/>
          </w:tcPr>
          <w:p w14:paraId="2BF5BADD">
            <w:pPr>
              <w:pStyle w:val="554"/>
              <w:jc w:val="center"/>
              <w:rPr>
                <w:rFonts w:ascii="Times New Roman" w:hAnsi="Times New Roman" w:eastAsia="Times New Roman" w:cs="Times New Roman"/>
                <w:color w:val="auto"/>
              </w:rPr>
            </w:pPr>
            <w:r>
              <w:rPr>
                <w:rFonts w:ascii="Times New Roman" w:hAnsi="Times New Roman" w:eastAsia="Times New Roman" w:cs="Times New Roman"/>
                <w:color w:val="auto"/>
              </w:rPr>
              <w:t>标准数值</w:t>
            </w:r>
          </w:p>
        </w:tc>
        <w:tc>
          <w:tcPr>
            <w:tcW w:w="371" w:type="pct"/>
            <w:tcBorders>
              <w:tl2br w:val="nil"/>
              <w:tr2bl w:val="nil"/>
            </w:tcBorders>
            <w:noWrap w:val="0"/>
            <w:vAlign w:val="center"/>
          </w:tcPr>
          <w:p w14:paraId="15157F73">
            <w:pPr>
              <w:pStyle w:val="554"/>
              <w:jc w:val="center"/>
              <w:rPr>
                <w:rFonts w:ascii="Times New Roman" w:hAnsi="Times New Roman" w:eastAsia="Times New Roman" w:cs="Times New Roman"/>
                <w:color w:val="auto"/>
              </w:rPr>
            </w:pPr>
            <w:r>
              <w:rPr>
                <w:rFonts w:ascii="Times New Roman" w:hAnsi="Times New Roman" w:eastAsia="Times New Roman" w:cs="Times New Roman"/>
                <w:color w:val="auto"/>
              </w:rPr>
              <w:t>单位</w:t>
            </w:r>
          </w:p>
        </w:tc>
        <w:tc>
          <w:tcPr>
            <w:tcW w:w="2199" w:type="pct"/>
            <w:tcBorders>
              <w:tl2br w:val="nil"/>
              <w:tr2bl w:val="nil"/>
            </w:tcBorders>
            <w:noWrap w:val="0"/>
            <w:vAlign w:val="center"/>
          </w:tcPr>
          <w:p w14:paraId="3BEAF95C">
            <w:pPr>
              <w:pStyle w:val="554"/>
              <w:jc w:val="center"/>
              <w:rPr>
                <w:rFonts w:ascii="Times New Roman" w:hAnsi="Times New Roman" w:eastAsia="Times New Roman" w:cs="Times New Roman"/>
                <w:color w:val="auto"/>
              </w:rPr>
            </w:pPr>
            <w:r>
              <w:rPr>
                <w:rFonts w:ascii="Times New Roman" w:hAnsi="Times New Roman" w:eastAsia="Times New Roman" w:cs="Times New Roman"/>
                <w:color w:val="auto"/>
              </w:rPr>
              <w:t>标准来源</w:t>
            </w:r>
          </w:p>
        </w:tc>
      </w:tr>
      <w:tr w14:paraId="351E8A4B">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938" w:type="pct"/>
            <w:tcBorders>
              <w:tl2br w:val="nil"/>
              <w:tr2bl w:val="nil"/>
            </w:tcBorders>
            <w:noWrap w:val="0"/>
            <w:vAlign w:val="center"/>
          </w:tcPr>
          <w:p w14:paraId="3C700899">
            <w:pPr>
              <w:pStyle w:val="554"/>
              <w:jc w:val="center"/>
              <w:rPr>
                <w:rFonts w:ascii="Times New Roman" w:hAnsi="Times New Roman" w:eastAsia="Times New Roman" w:cs="Times New Roman"/>
                <w:color w:val="auto"/>
              </w:rPr>
            </w:pPr>
            <w:r>
              <w:rPr>
                <w:rFonts w:ascii="Times New Roman" w:hAnsi="Times New Roman" w:eastAsia="Times New Roman" w:cs="Times New Roman"/>
                <w:color w:val="auto"/>
              </w:rPr>
              <w:t>PM</w:t>
            </w:r>
            <w:r>
              <w:rPr>
                <w:rFonts w:ascii="Times New Roman" w:hAnsi="Times New Roman" w:eastAsia="Times New Roman" w:cs="Times New Roman"/>
                <w:color w:val="auto"/>
                <w:vertAlign w:val="subscript"/>
              </w:rPr>
              <w:t>10</w:t>
            </w:r>
          </w:p>
        </w:tc>
        <w:tc>
          <w:tcPr>
            <w:tcW w:w="1491" w:type="pct"/>
            <w:tcBorders>
              <w:tl2br w:val="nil"/>
              <w:tr2bl w:val="nil"/>
            </w:tcBorders>
            <w:noWrap w:val="0"/>
            <w:vAlign w:val="center"/>
          </w:tcPr>
          <w:p w14:paraId="543C2115">
            <w:pPr>
              <w:pStyle w:val="554"/>
              <w:jc w:val="center"/>
              <w:rPr>
                <w:rFonts w:ascii="Times New Roman" w:hAnsi="Times New Roman" w:eastAsia="Times New Roman" w:cs="Times New Roman"/>
                <w:color w:val="auto"/>
              </w:rPr>
            </w:pPr>
            <w:r>
              <w:rPr>
                <w:rFonts w:ascii="Times New Roman" w:hAnsi="Times New Roman" w:eastAsia="Times New Roman" w:cs="Times New Roman"/>
                <w:color w:val="auto"/>
              </w:rPr>
              <w:t>450(日均值150的三倍)</w:t>
            </w:r>
          </w:p>
        </w:tc>
        <w:tc>
          <w:tcPr>
            <w:tcW w:w="371" w:type="pct"/>
            <w:tcBorders>
              <w:tl2br w:val="nil"/>
              <w:tr2bl w:val="nil"/>
            </w:tcBorders>
            <w:noWrap w:val="0"/>
            <w:vAlign w:val="center"/>
          </w:tcPr>
          <w:p w14:paraId="55B81E4D">
            <w:pPr>
              <w:pStyle w:val="554"/>
              <w:jc w:val="center"/>
              <w:rPr>
                <w:rFonts w:ascii="Times New Roman" w:hAnsi="Times New Roman" w:eastAsia="Times New Roman" w:cs="Times New Roman"/>
                <w:color w:val="auto"/>
              </w:rPr>
            </w:pPr>
            <w:r>
              <w:rPr>
                <w:rFonts w:ascii="Times New Roman" w:hAnsi="Times New Roman" w:eastAsia="Times New Roman" w:cs="Times New Roman"/>
                <w:color w:val="auto"/>
              </w:rPr>
              <w:t>μg/m</w:t>
            </w:r>
            <w:r>
              <w:rPr>
                <w:rFonts w:ascii="Times New Roman" w:hAnsi="Times New Roman" w:eastAsia="Times New Roman" w:cs="Times New Roman"/>
                <w:color w:val="auto"/>
                <w:vertAlign w:val="superscript"/>
              </w:rPr>
              <w:t>3</w:t>
            </w:r>
          </w:p>
        </w:tc>
        <w:tc>
          <w:tcPr>
            <w:tcW w:w="2199" w:type="pct"/>
            <w:vMerge w:val="restart"/>
            <w:tcBorders>
              <w:tl2br w:val="nil"/>
              <w:tr2bl w:val="nil"/>
            </w:tcBorders>
            <w:noWrap w:val="0"/>
            <w:vAlign w:val="center"/>
          </w:tcPr>
          <w:p w14:paraId="3CF7EE9C">
            <w:pPr>
              <w:pStyle w:val="554"/>
              <w:jc w:val="center"/>
              <w:rPr>
                <w:rFonts w:ascii="Times New Roman" w:hAnsi="Times New Roman" w:eastAsia="Times New Roman" w:cs="Times New Roman"/>
                <w:color w:val="auto"/>
              </w:rPr>
            </w:pPr>
            <w:r>
              <w:rPr>
                <w:rFonts w:ascii="Times New Roman" w:hAnsi="Times New Roman" w:eastAsia="Times New Roman" w:cs="Times New Roman"/>
                <w:color w:val="auto"/>
              </w:rPr>
              <w:t>GB3095-2012二级标准</w:t>
            </w:r>
          </w:p>
        </w:tc>
      </w:tr>
      <w:tr w14:paraId="44FB944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938" w:type="pct"/>
            <w:tcBorders>
              <w:tl2br w:val="nil"/>
              <w:tr2bl w:val="nil"/>
            </w:tcBorders>
            <w:noWrap w:val="0"/>
            <w:vAlign w:val="center"/>
          </w:tcPr>
          <w:p w14:paraId="5E083324">
            <w:pPr>
              <w:pStyle w:val="554"/>
              <w:jc w:val="center"/>
              <w:rPr>
                <w:rFonts w:hint="default" w:ascii="Times New Roman" w:hAnsi="Times New Roman" w:eastAsia="宋体" w:cs="Times New Roman"/>
                <w:color w:val="auto"/>
                <w:lang w:val="en-US" w:eastAsia="zh-CN"/>
              </w:rPr>
            </w:pPr>
            <w:r>
              <w:rPr>
                <w:rFonts w:hint="eastAsia" w:hAnsi="Times New Roman" w:eastAsia="宋体" w:cs="Times New Roman"/>
                <w:color w:val="auto"/>
                <w:lang w:val="en-US" w:eastAsia="zh-CN"/>
              </w:rPr>
              <w:t>SO</w:t>
            </w:r>
            <w:r>
              <w:rPr>
                <w:rFonts w:hint="eastAsia" w:hAnsi="Times New Roman" w:eastAsia="宋体" w:cs="Times New Roman"/>
                <w:color w:val="auto"/>
                <w:vertAlign w:val="subscript"/>
                <w:lang w:val="en-US" w:eastAsia="zh-CN"/>
              </w:rPr>
              <w:t>2</w:t>
            </w:r>
          </w:p>
        </w:tc>
        <w:tc>
          <w:tcPr>
            <w:tcW w:w="1491" w:type="pct"/>
            <w:tcBorders>
              <w:tl2br w:val="nil"/>
              <w:tr2bl w:val="nil"/>
            </w:tcBorders>
            <w:noWrap w:val="0"/>
            <w:vAlign w:val="center"/>
          </w:tcPr>
          <w:p w14:paraId="2852FAD7">
            <w:pPr>
              <w:pStyle w:val="554"/>
              <w:jc w:val="center"/>
              <w:rPr>
                <w:rFonts w:hint="default" w:ascii="Times New Roman" w:hAnsi="Times New Roman" w:eastAsia="宋体" w:cs="Times New Roman"/>
                <w:color w:val="auto"/>
                <w:lang w:val="en-US" w:eastAsia="zh-CN"/>
              </w:rPr>
            </w:pPr>
            <w:r>
              <w:rPr>
                <w:rFonts w:hint="eastAsia" w:hAnsi="Times New Roman" w:eastAsia="宋体" w:cs="Times New Roman"/>
                <w:color w:val="auto"/>
                <w:lang w:val="en-US" w:eastAsia="zh-CN"/>
              </w:rPr>
              <w:t>500</w:t>
            </w:r>
          </w:p>
        </w:tc>
        <w:tc>
          <w:tcPr>
            <w:tcW w:w="371" w:type="pct"/>
            <w:tcBorders>
              <w:tl2br w:val="nil"/>
              <w:tr2bl w:val="nil"/>
            </w:tcBorders>
            <w:noWrap w:val="0"/>
            <w:vAlign w:val="center"/>
          </w:tcPr>
          <w:p w14:paraId="3393A362">
            <w:pPr>
              <w:pStyle w:val="554"/>
              <w:jc w:val="center"/>
              <w:rPr>
                <w:rFonts w:ascii="Times New Roman" w:hAnsi="Times New Roman" w:eastAsia="Times New Roman" w:cs="Times New Roman"/>
                <w:color w:val="auto"/>
              </w:rPr>
            </w:pPr>
            <w:r>
              <w:rPr>
                <w:rFonts w:ascii="Times New Roman" w:hAnsi="Times New Roman" w:eastAsia="Times New Roman" w:cs="Times New Roman"/>
                <w:color w:val="auto"/>
              </w:rPr>
              <w:t>μg/m</w:t>
            </w:r>
            <w:r>
              <w:rPr>
                <w:rFonts w:ascii="Times New Roman" w:hAnsi="Times New Roman" w:eastAsia="Times New Roman" w:cs="Times New Roman"/>
                <w:color w:val="auto"/>
                <w:vertAlign w:val="superscript"/>
              </w:rPr>
              <w:t>3</w:t>
            </w:r>
          </w:p>
        </w:tc>
        <w:tc>
          <w:tcPr>
            <w:tcW w:w="2199" w:type="pct"/>
            <w:vMerge w:val="continue"/>
            <w:tcBorders>
              <w:tl2br w:val="nil"/>
              <w:tr2bl w:val="nil"/>
            </w:tcBorders>
            <w:noWrap w:val="0"/>
            <w:vAlign w:val="center"/>
          </w:tcPr>
          <w:p w14:paraId="46F44FC2">
            <w:pPr>
              <w:pStyle w:val="554"/>
              <w:jc w:val="center"/>
              <w:rPr>
                <w:rFonts w:ascii="Times New Roman" w:hAnsi="Times New Roman" w:eastAsia="Times New Roman" w:cs="Times New Roman"/>
                <w:color w:val="auto"/>
              </w:rPr>
            </w:pPr>
          </w:p>
        </w:tc>
      </w:tr>
      <w:tr w14:paraId="5079106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938" w:type="pct"/>
            <w:tcBorders>
              <w:tl2br w:val="nil"/>
              <w:tr2bl w:val="nil"/>
            </w:tcBorders>
            <w:noWrap w:val="0"/>
            <w:vAlign w:val="center"/>
          </w:tcPr>
          <w:p w14:paraId="1B388943">
            <w:pPr>
              <w:pStyle w:val="554"/>
              <w:jc w:val="center"/>
              <w:rPr>
                <w:rFonts w:hint="default" w:hAnsi="Times New Roman" w:eastAsia="宋体" w:cs="Times New Roman"/>
                <w:color w:val="auto"/>
                <w:lang w:val="en-US" w:eastAsia="zh-CN"/>
              </w:rPr>
            </w:pPr>
            <w:r>
              <w:rPr>
                <w:rFonts w:hint="eastAsia" w:hAnsi="Times New Roman" w:eastAsia="宋体" w:cs="Times New Roman"/>
                <w:color w:val="auto"/>
                <w:lang w:val="en-US" w:eastAsia="zh-CN"/>
              </w:rPr>
              <w:t>NO</w:t>
            </w:r>
            <w:r>
              <w:rPr>
                <w:rFonts w:hint="eastAsia" w:hAnsi="Times New Roman" w:eastAsia="宋体" w:cs="Times New Roman"/>
                <w:color w:val="auto"/>
                <w:vertAlign w:val="subscript"/>
                <w:lang w:val="en-US" w:eastAsia="zh-CN"/>
              </w:rPr>
              <w:t>2</w:t>
            </w:r>
          </w:p>
        </w:tc>
        <w:tc>
          <w:tcPr>
            <w:tcW w:w="1491" w:type="pct"/>
            <w:tcBorders>
              <w:tl2br w:val="nil"/>
              <w:tr2bl w:val="nil"/>
            </w:tcBorders>
            <w:noWrap w:val="0"/>
            <w:vAlign w:val="center"/>
          </w:tcPr>
          <w:p w14:paraId="78E0BCE2">
            <w:pPr>
              <w:pStyle w:val="554"/>
              <w:jc w:val="center"/>
              <w:rPr>
                <w:rFonts w:hint="default" w:ascii="Times New Roman" w:hAnsi="Times New Roman" w:eastAsia="宋体" w:cs="Times New Roman"/>
                <w:color w:val="auto"/>
                <w:lang w:val="en-US" w:eastAsia="zh-CN"/>
              </w:rPr>
            </w:pPr>
            <w:r>
              <w:rPr>
                <w:rFonts w:hint="eastAsia" w:hAnsi="Times New Roman" w:eastAsia="宋体" w:cs="Times New Roman"/>
                <w:color w:val="auto"/>
                <w:lang w:val="en-US" w:eastAsia="zh-CN"/>
              </w:rPr>
              <w:t>200</w:t>
            </w:r>
          </w:p>
        </w:tc>
        <w:tc>
          <w:tcPr>
            <w:tcW w:w="371" w:type="pct"/>
            <w:tcBorders>
              <w:tl2br w:val="nil"/>
              <w:tr2bl w:val="nil"/>
            </w:tcBorders>
            <w:noWrap w:val="0"/>
            <w:vAlign w:val="center"/>
          </w:tcPr>
          <w:p w14:paraId="6C4BAAC0">
            <w:pPr>
              <w:pStyle w:val="554"/>
              <w:jc w:val="center"/>
              <w:rPr>
                <w:rFonts w:ascii="Times New Roman" w:hAnsi="Times New Roman" w:eastAsia="Times New Roman" w:cs="Times New Roman"/>
                <w:color w:val="auto"/>
              </w:rPr>
            </w:pPr>
            <w:r>
              <w:rPr>
                <w:rFonts w:ascii="Times New Roman" w:hAnsi="Times New Roman" w:eastAsia="Times New Roman" w:cs="Times New Roman"/>
                <w:color w:val="auto"/>
              </w:rPr>
              <w:t>μg/m</w:t>
            </w:r>
            <w:r>
              <w:rPr>
                <w:rFonts w:ascii="Times New Roman" w:hAnsi="Times New Roman" w:eastAsia="Times New Roman" w:cs="Times New Roman"/>
                <w:color w:val="auto"/>
                <w:vertAlign w:val="superscript"/>
              </w:rPr>
              <w:t>3</w:t>
            </w:r>
          </w:p>
        </w:tc>
        <w:tc>
          <w:tcPr>
            <w:tcW w:w="2199" w:type="pct"/>
            <w:vMerge w:val="continue"/>
            <w:tcBorders>
              <w:tl2br w:val="nil"/>
              <w:tr2bl w:val="nil"/>
            </w:tcBorders>
            <w:noWrap w:val="0"/>
            <w:vAlign w:val="center"/>
          </w:tcPr>
          <w:p w14:paraId="2D601169">
            <w:pPr>
              <w:pStyle w:val="554"/>
              <w:jc w:val="center"/>
              <w:rPr>
                <w:rFonts w:ascii="Times New Roman" w:hAnsi="Times New Roman" w:eastAsia="Times New Roman" w:cs="Times New Roman"/>
                <w:color w:val="auto"/>
              </w:rPr>
            </w:pPr>
          </w:p>
        </w:tc>
      </w:tr>
      <w:tr w14:paraId="09496BF5">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4" w:hRule="atLeast"/>
        </w:trPr>
        <w:tc>
          <w:tcPr>
            <w:tcW w:w="938" w:type="pct"/>
            <w:tcBorders>
              <w:tl2br w:val="nil"/>
              <w:tr2bl w:val="nil"/>
            </w:tcBorders>
            <w:noWrap w:val="0"/>
            <w:vAlign w:val="center"/>
          </w:tcPr>
          <w:p w14:paraId="1AC4727D">
            <w:pPr>
              <w:jc w:val="center"/>
              <w:rPr>
                <w:rFonts w:ascii="Times New Roman" w:hAnsi="Times New Roman" w:eastAsia="Times New Roman" w:cs="Times New Roman"/>
                <w:color w:val="auto"/>
              </w:rPr>
            </w:pPr>
            <w:r>
              <w:rPr>
                <w:color w:val="auto"/>
                <w:szCs w:val="21"/>
              </w:rPr>
              <w:t>H</w:t>
            </w:r>
            <w:r>
              <w:rPr>
                <w:color w:val="auto"/>
                <w:szCs w:val="21"/>
                <w:vertAlign w:val="subscript"/>
              </w:rPr>
              <w:t>2</w:t>
            </w:r>
            <w:r>
              <w:rPr>
                <w:color w:val="auto"/>
                <w:szCs w:val="21"/>
              </w:rPr>
              <w:t>S</w:t>
            </w:r>
          </w:p>
        </w:tc>
        <w:tc>
          <w:tcPr>
            <w:tcW w:w="1491" w:type="pct"/>
            <w:tcBorders>
              <w:tl2br w:val="nil"/>
              <w:tr2bl w:val="nil"/>
            </w:tcBorders>
            <w:noWrap w:val="0"/>
            <w:vAlign w:val="center"/>
          </w:tcPr>
          <w:p w14:paraId="430361F7">
            <w:pPr>
              <w:pStyle w:val="554"/>
              <w:jc w:val="center"/>
              <w:rPr>
                <w:rFonts w:hint="default" w:ascii="Times New Roman" w:hAnsi="Times New Roman" w:eastAsia="宋体" w:cs="Times New Roman"/>
                <w:color w:val="auto"/>
                <w:lang w:val="en-US" w:eastAsia="zh-CN"/>
              </w:rPr>
            </w:pPr>
            <w:r>
              <w:rPr>
                <w:rFonts w:hint="eastAsia" w:hAnsi="Times New Roman" w:eastAsia="宋体" w:cs="Times New Roman"/>
                <w:color w:val="auto"/>
                <w:lang w:val="en-US" w:eastAsia="zh-CN"/>
              </w:rPr>
              <w:t>10</w:t>
            </w:r>
          </w:p>
        </w:tc>
        <w:tc>
          <w:tcPr>
            <w:tcW w:w="371" w:type="pct"/>
            <w:tcBorders>
              <w:tl2br w:val="nil"/>
              <w:tr2bl w:val="nil"/>
            </w:tcBorders>
            <w:noWrap w:val="0"/>
            <w:vAlign w:val="center"/>
          </w:tcPr>
          <w:p w14:paraId="7A504444">
            <w:pPr>
              <w:kinsoku w:val="0"/>
              <w:overflowPunct w:val="0"/>
              <w:autoSpaceDE w:val="0"/>
              <w:autoSpaceDN w:val="0"/>
              <w:adjustRightInd w:val="0"/>
              <w:snapToGrid w:val="0"/>
              <w:jc w:val="center"/>
              <w:rPr>
                <w:rFonts w:ascii="Times New Roman" w:hAnsi="Times New Roman" w:eastAsia="Times New Roman" w:cs="Times New Roman"/>
                <w:color w:val="auto"/>
              </w:rPr>
            </w:pPr>
            <w:r>
              <w:rPr>
                <w:color w:val="auto"/>
                <w:szCs w:val="21"/>
              </w:rPr>
              <w:t>μ</w:t>
            </w:r>
            <w:r>
              <w:rPr>
                <w:color w:val="auto"/>
                <w:kern w:val="0"/>
                <w:szCs w:val="21"/>
              </w:rPr>
              <w:t>g/m</w:t>
            </w:r>
            <w:r>
              <w:rPr>
                <w:color w:val="auto"/>
                <w:kern w:val="0"/>
                <w:szCs w:val="21"/>
                <w:vertAlign w:val="superscript"/>
              </w:rPr>
              <w:t>3</w:t>
            </w:r>
          </w:p>
        </w:tc>
        <w:tc>
          <w:tcPr>
            <w:tcW w:w="2199" w:type="pct"/>
            <w:vMerge w:val="restart"/>
            <w:tcBorders>
              <w:tl2br w:val="nil"/>
              <w:tr2bl w:val="nil"/>
            </w:tcBorders>
            <w:noWrap w:val="0"/>
            <w:vAlign w:val="center"/>
          </w:tcPr>
          <w:p w14:paraId="0D2EB3CD">
            <w:pPr>
              <w:pStyle w:val="554"/>
              <w:jc w:val="center"/>
              <w:rPr>
                <w:rFonts w:ascii="Times New Roman" w:hAnsi="Times New Roman" w:eastAsia="Times New Roman" w:cs="Times New Roman"/>
                <w:color w:val="auto"/>
              </w:rPr>
            </w:pPr>
            <w:r>
              <w:rPr>
                <w:color w:val="auto"/>
                <w:kern w:val="0"/>
                <w:szCs w:val="21"/>
              </w:rPr>
              <w:t>《环境影响评价技术导则 大气环境》HJ2.2-2018居附录D</w:t>
            </w:r>
          </w:p>
        </w:tc>
      </w:tr>
      <w:tr w14:paraId="6BA2A862">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938" w:type="pct"/>
            <w:tcBorders>
              <w:tl2br w:val="nil"/>
              <w:tr2bl w:val="nil"/>
            </w:tcBorders>
            <w:noWrap w:val="0"/>
            <w:vAlign w:val="center"/>
          </w:tcPr>
          <w:p w14:paraId="70DA36CE">
            <w:pPr>
              <w:jc w:val="center"/>
              <w:rPr>
                <w:rFonts w:ascii="Times New Roman" w:hAnsi="Times New Roman" w:eastAsia="Times New Roman" w:cs="Times New Roman"/>
                <w:color w:val="auto"/>
              </w:rPr>
            </w:pPr>
            <w:r>
              <w:rPr>
                <w:color w:val="auto"/>
                <w:szCs w:val="21"/>
              </w:rPr>
              <w:t>NH</w:t>
            </w:r>
            <w:r>
              <w:rPr>
                <w:color w:val="auto"/>
                <w:szCs w:val="21"/>
                <w:vertAlign w:val="subscript"/>
              </w:rPr>
              <w:t>3</w:t>
            </w:r>
          </w:p>
        </w:tc>
        <w:tc>
          <w:tcPr>
            <w:tcW w:w="1491" w:type="pct"/>
            <w:tcBorders>
              <w:tl2br w:val="nil"/>
              <w:tr2bl w:val="nil"/>
            </w:tcBorders>
            <w:noWrap w:val="0"/>
            <w:vAlign w:val="center"/>
          </w:tcPr>
          <w:p w14:paraId="75124D8F">
            <w:pPr>
              <w:pStyle w:val="554"/>
              <w:jc w:val="center"/>
              <w:rPr>
                <w:rFonts w:hint="default" w:ascii="Times New Roman" w:hAnsi="Times New Roman" w:eastAsia="宋体" w:cs="Times New Roman"/>
                <w:color w:val="auto"/>
                <w:lang w:val="en-US" w:eastAsia="zh-CN"/>
              </w:rPr>
            </w:pPr>
            <w:r>
              <w:rPr>
                <w:rFonts w:hint="eastAsia" w:hAnsi="Times New Roman" w:eastAsia="宋体" w:cs="Times New Roman"/>
                <w:color w:val="auto"/>
                <w:lang w:val="en-US" w:eastAsia="zh-CN"/>
              </w:rPr>
              <w:t>200</w:t>
            </w:r>
          </w:p>
        </w:tc>
        <w:tc>
          <w:tcPr>
            <w:tcW w:w="371" w:type="pct"/>
            <w:tcBorders>
              <w:tl2br w:val="nil"/>
              <w:tr2bl w:val="nil"/>
            </w:tcBorders>
            <w:noWrap w:val="0"/>
            <w:vAlign w:val="center"/>
          </w:tcPr>
          <w:p w14:paraId="02B39853">
            <w:pPr>
              <w:kinsoku w:val="0"/>
              <w:overflowPunct w:val="0"/>
              <w:autoSpaceDE w:val="0"/>
              <w:autoSpaceDN w:val="0"/>
              <w:adjustRightInd w:val="0"/>
              <w:snapToGrid w:val="0"/>
              <w:jc w:val="center"/>
              <w:rPr>
                <w:rFonts w:ascii="Times New Roman" w:hAnsi="Times New Roman" w:eastAsia="Times New Roman" w:cs="Times New Roman"/>
                <w:color w:val="auto"/>
              </w:rPr>
            </w:pPr>
            <w:r>
              <w:rPr>
                <w:color w:val="auto"/>
                <w:szCs w:val="21"/>
              </w:rPr>
              <w:t>μ</w:t>
            </w:r>
            <w:r>
              <w:rPr>
                <w:color w:val="auto"/>
                <w:kern w:val="0"/>
                <w:szCs w:val="21"/>
              </w:rPr>
              <w:t>g/m</w:t>
            </w:r>
            <w:r>
              <w:rPr>
                <w:color w:val="auto"/>
                <w:kern w:val="0"/>
                <w:szCs w:val="21"/>
                <w:vertAlign w:val="superscript"/>
              </w:rPr>
              <w:t>3</w:t>
            </w:r>
          </w:p>
        </w:tc>
        <w:tc>
          <w:tcPr>
            <w:tcW w:w="2199" w:type="pct"/>
            <w:vMerge w:val="continue"/>
            <w:tcBorders>
              <w:tl2br w:val="nil"/>
              <w:tr2bl w:val="nil"/>
            </w:tcBorders>
            <w:noWrap w:val="0"/>
            <w:vAlign w:val="center"/>
          </w:tcPr>
          <w:p w14:paraId="67C1A7DE">
            <w:pPr>
              <w:pStyle w:val="554"/>
              <w:jc w:val="center"/>
              <w:rPr>
                <w:rFonts w:ascii="Times New Roman" w:hAnsi="Times New Roman" w:eastAsia="Times New Roman" w:cs="Times New Roman"/>
                <w:color w:val="auto"/>
              </w:rPr>
            </w:pPr>
          </w:p>
        </w:tc>
      </w:tr>
    </w:tbl>
    <w:p w14:paraId="2C7CFDF5">
      <w:pPr>
        <w:pStyle w:val="276"/>
        <w:ind w:left="0" w:firstLine="562"/>
        <w:rPr>
          <w:b/>
          <w:color w:val="auto"/>
          <w:sz w:val="28"/>
          <w:szCs w:val="28"/>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39516DFE">
      <w:pPr>
        <w:bidi w:val="0"/>
        <w:spacing w:line="360" w:lineRule="auto"/>
        <w:rPr>
          <w:rFonts w:hint="eastAsia" w:ascii="Times New Roman" w:hAnsi="Times New Roman" w:eastAsia="宋体" w:cs="Times New Roman"/>
          <w:b/>
          <w:bCs/>
          <w:color w:val="auto"/>
          <w:sz w:val="24"/>
          <w:szCs w:val="24"/>
        </w:rPr>
      </w:pPr>
      <w:bookmarkStart w:id="325" w:name="_Toc55205861"/>
      <w:r>
        <w:rPr>
          <w:rFonts w:hint="eastAsia" w:ascii="Times New Roman" w:hAnsi="Times New Roman" w:eastAsia="宋体" w:cs="Times New Roman"/>
          <w:b/>
          <w:bCs/>
          <w:color w:val="auto"/>
          <w:sz w:val="24"/>
          <w:szCs w:val="24"/>
        </w:rPr>
        <w:t>5.2.1.</w:t>
      </w:r>
      <w:r>
        <w:rPr>
          <w:rFonts w:hint="eastAsia" w:cs="Times New Roman"/>
          <w:b/>
          <w:bCs/>
          <w:color w:val="auto"/>
          <w:sz w:val="24"/>
          <w:szCs w:val="24"/>
          <w:lang w:val="en-US" w:eastAsia="zh-CN"/>
        </w:rPr>
        <w:t>3</w:t>
      </w:r>
      <w:r>
        <w:rPr>
          <w:rFonts w:hint="eastAsia" w:ascii="Times New Roman" w:hAnsi="Times New Roman" w:eastAsia="宋体" w:cs="Times New Roman"/>
          <w:b/>
          <w:bCs/>
          <w:color w:val="auto"/>
          <w:sz w:val="24"/>
          <w:szCs w:val="24"/>
        </w:rPr>
        <w:t>污染源调查</w:t>
      </w:r>
      <w:bookmarkEnd w:id="325"/>
    </w:p>
    <w:p w14:paraId="147AB4AC">
      <w:pPr>
        <w:pStyle w:val="450"/>
        <w:rPr>
          <w:rFonts w:hint="eastAsia" w:hAnsi="宋体"/>
          <w:bCs w:val="0"/>
          <w:snapToGrid/>
          <w:color w:val="auto"/>
          <w:szCs w:val="24"/>
        </w:rPr>
      </w:pPr>
      <w:r>
        <w:rPr>
          <w:rFonts w:hint="eastAsia" w:hAnsi="宋体"/>
          <w:bCs w:val="0"/>
          <w:snapToGrid/>
          <w:color w:val="auto"/>
          <w:szCs w:val="24"/>
        </w:rPr>
        <w:t>按照《环境影响评价技术导则 大气环境》(HJ2.2-2018)中“8.1.2二级评价项目，参照8.1.1.1和8.1.1.2调查本项目现有及新增污染源和拟被替代的污染源”。本项目污染源调查见表5.2-</w:t>
      </w:r>
      <w:r>
        <w:rPr>
          <w:rFonts w:hint="eastAsia" w:hAnsi="宋体" w:eastAsia="宋体"/>
          <w:bCs w:val="0"/>
          <w:snapToGrid/>
          <w:color w:val="auto"/>
          <w:szCs w:val="24"/>
          <w:lang w:val="en-US" w:eastAsia="zh-CN"/>
        </w:rPr>
        <w:t>5</w:t>
      </w:r>
      <w:r>
        <w:rPr>
          <w:rFonts w:hint="eastAsia" w:hAnsi="宋体"/>
          <w:bCs w:val="0"/>
          <w:snapToGrid/>
          <w:color w:val="auto"/>
          <w:szCs w:val="24"/>
        </w:rPr>
        <w:t>~表5.2-</w:t>
      </w:r>
      <w:r>
        <w:rPr>
          <w:rFonts w:hint="eastAsia" w:hAnsi="宋体" w:eastAsia="宋体"/>
          <w:bCs w:val="0"/>
          <w:snapToGrid/>
          <w:color w:val="auto"/>
          <w:szCs w:val="24"/>
          <w:lang w:val="en-US" w:eastAsia="zh-CN"/>
        </w:rPr>
        <w:t>6</w:t>
      </w:r>
      <w:r>
        <w:rPr>
          <w:rFonts w:hint="eastAsia" w:hAnsi="宋体"/>
          <w:bCs w:val="0"/>
          <w:snapToGrid/>
          <w:color w:val="auto"/>
          <w:szCs w:val="24"/>
        </w:rPr>
        <w:t>。</w:t>
      </w:r>
    </w:p>
    <w:p w14:paraId="405371F3">
      <w:pPr>
        <w:pStyle w:val="450"/>
        <w:rPr>
          <w:rFonts w:hAnsi="宋体"/>
          <w:bCs w:val="0"/>
          <w:snapToGrid/>
          <w:color w:val="auto"/>
          <w:szCs w:val="24"/>
        </w:rPr>
      </w:pPr>
      <w:r>
        <w:rPr>
          <w:rFonts w:hint="eastAsia" w:hAnsi="宋体"/>
          <w:bCs w:val="0"/>
          <w:snapToGrid/>
          <w:color w:val="auto"/>
          <w:szCs w:val="24"/>
        </w:rPr>
        <w:t>（</w:t>
      </w:r>
      <w:r>
        <w:rPr>
          <w:rFonts w:hAnsi="宋体"/>
          <w:bCs w:val="0"/>
          <w:snapToGrid/>
          <w:color w:val="auto"/>
          <w:szCs w:val="24"/>
        </w:rPr>
        <w:t>1</w:t>
      </w:r>
      <w:r>
        <w:rPr>
          <w:rFonts w:hint="eastAsia" w:hAnsi="宋体"/>
          <w:bCs w:val="0"/>
          <w:snapToGrid/>
          <w:color w:val="auto"/>
          <w:szCs w:val="24"/>
        </w:rPr>
        <w:t>）项目污染源</w:t>
      </w:r>
    </w:p>
    <w:p w14:paraId="167A94C6">
      <w:pPr>
        <w:pStyle w:val="450"/>
        <w:rPr>
          <w:rFonts w:hint="eastAsia" w:hAnsi="宋体"/>
          <w:bCs w:val="0"/>
          <w:snapToGrid/>
          <w:color w:val="auto"/>
          <w:szCs w:val="24"/>
        </w:rPr>
      </w:pPr>
      <w:r>
        <w:rPr>
          <w:rFonts w:hint="eastAsia" w:hAnsi="宋体"/>
          <w:bCs w:val="0"/>
          <w:snapToGrid/>
          <w:color w:val="auto"/>
          <w:szCs w:val="24"/>
        </w:rPr>
        <w:t>依据工程分析，本项目废气排放源强见下表。</w:t>
      </w:r>
    </w:p>
    <w:p w14:paraId="1BB82423">
      <w:pPr>
        <w:snapToGrid w:val="0"/>
        <w:ind w:firstLine="422" w:firstLineChars="20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表5.2</w:t>
      </w:r>
      <w:r>
        <w:rPr>
          <w:rFonts w:hint="eastAsia" w:ascii="Times New Roman" w:hAnsi="Times New Roman" w:eastAsia="宋体" w:cs="Times New Roman"/>
          <w:b/>
          <w:bCs/>
          <w:color w:val="auto"/>
          <w:szCs w:val="21"/>
          <w:lang w:val="en-US" w:eastAsia="zh-CN"/>
        </w:rPr>
        <w:t>-</w:t>
      </w:r>
      <w:r>
        <w:rPr>
          <w:rFonts w:hint="eastAsia" w:cs="Times New Roman"/>
          <w:b/>
          <w:bCs/>
          <w:color w:val="auto"/>
          <w:szCs w:val="21"/>
          <w:lang w:val="en-US" w:eastAsia="zh-CN"/>
        </w:rPr>
        <w:t>5</w:t>
      </w:r>
      <w:r>
        <w:rPr>
          <w:rFonts w:hint="eastAsia" w:ascii="Times New Roman" w:hAnsi="Times New Roman" w:eastAsia="宋体" w:cs="Times New Roman"/>
          <w:b/>
          <w:bCs/>
          <w:color w:val="auto"/>
          <w:szCs w:val="21"/>
          <w:lang w:val="en-US" w:eastAsia="zh-CN"/>
        </w:rPr>
        <w:t xml:space="preserve">  </w:t>
      </w:r>
      <w:r>
        <w:rPr>
          <w:rFonts w:ascii="Times New Roman" w:hAnsi="Times New Roman" w:eastAsia="宋体" w:cs="Times New Roman"/>
          <w:b/>
          <w:bCs/>
          <w:color w:val="auto"/>
          <w:szCs w:val="21"/>
        </w:rPr>
        <w:t xml:space="preserve">  本项目污染源清单（点源）</w:t>
      </w:r>
    </w:p>
    <w:tbl>
      <w:tblPr>
        <w:tblStyle w:val="53"/>
        <w:tblW w:w="4995"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423"/>
        <w:gridCol w:w="1727"/>
        <w:gridCol w:w="925"/>
        <w:gridCol w:w="900"/>
        <w:gridCol w:w="1200"/>
        <w:gridCol w:w="925"/>
        <w:gridCol w:w="925"/>
        <w:gridCol w:w="1200"/>
        <w:gridCol w:w="1025"/>
        <w:gridCol w:w="1075"/>
        <w:gridCol w:w="875"/>
        <w:gridCol w:w="925"/>
        <w:gridCol w:w="1025"/>
        <w:gridCol w:w="1055"/>
      </w:tblGrid>
      <w:tr w14:paraId="6C9F233E">
        <w:tblPrEx>
          <w:tblBorders>
            <w:top w:val="double" w:color="auto" w:sz="4" w:space="0"/>
            <w:left w:val="none" w:color="auto" w:sz="0" w:space="0"/>
            <w:bottom w:val="double" w:color="auto" w:sz="4"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03" w:hRule="atLeast"/>
          <w:tblHeader/>
        </w:trPr>
        <w:tc>
          <w:tcPr>
            <w:tcW w:w="148" w:type="pct"/>
            <w:vMerge w:val="restart"/>
            <w:tcBorders>
              <w:tl2br w:val="nil"/>
              <w:tr2bl w:val="nil"/>
            </w:tcBorders>
            <w:noWrap w:val="0"/>
            <w:vAlign w:val="center"/>
          </w:tcPr>
          <w:p w14:paraId="6AE0B30A">
            <w:pPr>
              <w:autoSpaceDE w:val="0"/>
              <w:autoSpaceDN w:val="0"/>
              <w:adjustRightInd w:val="0"/>
              <w:jc w:val="center"/>
              <w:rPr>
                <w:bCs/>
                <w:color w:val="auto"/>
                <w:sz w:val="21"/>
                <w:szCs w:val="21"/>
                <w:highlight w:val="none"/>
              </w:rPr>
            </w:pPr>
            <w:r>
              <w:rPr>
                <w:bCs/>
                <w:color w:val="auto"/>
                <w:sz w:val="21"/>
                <w:szCs w:val="21"/>
                <w:highlight w:val="none"/>
              </w:rPr>
              <w:t>编号</w:t>
            </w:r>
          </w:p>
        </w:tc>
        <w:tc>
          <w:tcPr>
            <w:tcW w:w="607" w:type="pct"/>
            <w:vMerge w:val="restart"/>
            <w:tcBorders>
              <w:tl2br w:val="nil"/>
              <w:tr2bl w:val="nil"/>
            </w:tcBorders>
            <w:noWrap w:val="0"/>
            <w:vAlign w:val="center"/>
          </w:tcPr>
          <w:p w14:paraId="57845F65">
            <w:pPr>
              <w:autoSpaceDE w:val="0"/>
              <w:autoSpaceDN w:val="0"/>
              <w:adjustRightInd w:val="0"/>
              <w:jc w:val="center"/>
              <w:rPr>
                <w:bCs/>
                <w:color w:val="auto"/>
                <w:sz w:val="21"/>
                <w:szCs w:val="21"/>
                <w:highlight w:val="none"/>
              </w:rPr>
            </w:pPr>
            <w:r>
              <w:rPr>
                <w:bCs/>
                <w:color w:val="auto"/>
                <w:sz w:val="21"/>
                <w:szCs w:val="21"/>
                <w:highlight w:val="none"/>
              </w:rPr>
              <w:t>名称</w:t>
            </w:r>
          </w:p>
        </w:tc>
        <w:tc>
          <w:tcPr>
            <w:tcW w:w="642" w:type="pct"/>
            <w:gridSpan w:val="2"/>
            <w:tcBorders>
              <w:tl2br w:val="nil"/>
              <w:tr2bl w:val="nil"/>
            </w:tcBorders>
            <w:noWrap w:val="0"/>
            <w:vAlign w:val="center"/>
          </w:tcPr>
          <w:p w14:paraId="2D72F372">
            <w:pPr>
              <w:autoSpaceDE w:val="0"/>
              <w:autoSpaceDN w:val="0"/>
              <w:adjustRightInd w:val="0"/>
              <w:jc w:val="center"/>
              <w:rPr>
                <w:rFonts w:hint="eastAsia" w:eastAsia="宋体"/>
                <w:bCs/>
                <w:color w:val="auto"/>
                <w:sz w:val="21"/>
                <w:szCs w:val="21"/>
                <w:highlight w:val="none"/>
                <w:lang w:eastAsia="zh-CN"/>
              </w:rPr>
            </w:pPr>
            <w:r>
              <w:rPr>
                <w:bCs/>
                <w:color w:val="auto"/>
                <w:sz w:val="21"/>
                <w:szCs w:val="21"/>
                <w:highlight w:val="none"/>
              </w:rPr>
              <w:t>排气筒底部中心坐标</w:t>
            </w:r>
            <w:r>
              <w:rPr>
                <w:rFonts w:hint="eastAsia"/>
                <w:bCs/>
                <w:color w:val="auto"/>
                <w:sz w:val="21"/>
                <w:szCs w:val="21"/>
                <w:highlight w:val="none"/>
                <w:lang w:val="en-US" w:eastAsia="zh-CN"/>
              </w:rPr>
              <w:t>m</w:t>
            </w:r>
          </w:p>
        </w:tc>
        <w:tc>
          <w:tcPr>
            <w:tcW w:w="422" w:type="pct"/>
            <w:vMerge w:val="restart"/>
            <w:tcBorders>
              <w:tl2br w:val="nil"/>
              <w:tr2bl w:val="nil"/>
            </w:tcBorders>
            <w:noWrap w:val="0"/>
            <w:vAlign w:val="center"/>
          </w:tcPr>
          <w:p w14:paraId="19994A2B">
            <w:pPr>
              <w:autoSpaceDE w:val="0"/>
              <w:autoSpaceDN w:val="0"/>
              <w:adjustRightInd w:val="0"/>
              <w:jc w:val="center"/>
              <w:rPr>
                <w:bCs/>
                <w:color w:val="auto"/>
                <w:sz w:val="21"/>
                <w:szCs w:val="21"/>
                <w:highlight w:val="none"/>
              </w:rPr>
            </w:pPr>
            <w:r>
              <w:rPr>
                <w:bCs/>
                <w:color w:val="auto"/>
                <w:sz w:val="21"/>
                <w:szCs w:val="21"/>
                <w:highlight w:val="none"/>
              </w:rPr>
              <w:t>排气筒底部海拔高度/m</w:t>
            </w:r>
          </w:p>
        </w:tc>
        <w:tc>
          <w:tcPr>
            <w:tcW w:w="325" w:type="pct"/>
            <w:vMerge w:val="restart"/>
            <w:tcBorders>
              <w:tl2br w:val="nil"/>
              <w:tr2bl w:val="nil"/>
            </w:tcBorders>
            <w:noWrap w:val="0"/>
            <w:vAlign w:val="center"/>
          </w:tcPr>
          <w:p w14:paraId="6FA7A671">
            <w:pPr>
              <w:autoSpaceDE w:val="0"/>
              <w:autoSpaceDN w:val="0"/>
              <w:adjustRightInd w:val="0"/>
              <w:jc w:val="center"/>
              <w:rPr>
                <w:bCs/>
                <w:color w:val="auto"/>
                <w:sz w:val="21"/>
                <w:szCs w:val="21"/>
                <w:highlight w:val="none"/>
              </w:rPr>
            </w:pPr>
            <w:r>
              <w:rPr>
                <w:bCs/>
                <w:color w:val="auto"/>
                <w:sz w:val="21"/>
                <w:szCs w:val="21"/>
                <w:highlight w:val="none"/>
              </w:rPr>
              <w:t>排气筒高度/m</w:t>
            </w:r>
          </w:p>
        </w:tc>
        <w:tc>
          <w:tcPr>
            <w:tcW w:w="325" w:type="pct"/>
            <w:vMerge w:val="restart"/>
            <w:tcBorders>
              <w:tl2br w:val="nil"/>
              <w:tr2bl w:val="nil"/>
            </w:tcBorders>
            <w:noWrap w:val="0"/>
            <w:vAlign w:val="center"/>
          </w:tcPr>
          <w:p w14:paraId="6660E7FF">
            <w:pPr>
              <w:autoSpaceDE w:val="0"/>
              <w:autoSpaceDN w:val="0"/>
              <w:adjustRightInd w:val="0"/>
              <w:jc w:val="center"/>
              <w:rPr>
                <w:bCs/>
                <w:color w:val="auto"/>
                <w:sz w:val="21"/>
                <w:szCs w:val="21"/>
                <w:highlight w:val="none"/>
              </w:rPr>
            </w:pPr>
            <w:r>
              <w:rPr>
                <w:bCs/>
                <w:color w:val="auto"/>
                <w:sz w:val="21"/>
                <w:szCs w:val="21"/>
                <w:highlight w:val="none"/>
              </w:rPr>
              <w:t>出口内径/m</w:t>
            </w:r>
          </w:p>
        </w:tc>
        <w:tc>
          <w:tcPr>
            <w:tcW w:w="422" w:type="pct"/>
            <w:vMerge w:val="restart"/>
            <w:tcBorders>
              <w:tl2br w:val="nil"/>
              <w:tr2bl w:val="nil"/>
            </w:tcBorders>
            <w:noWrap w:val="0"/>
            <w:vAlign w:val="center"/>
          </w:tcPr>
          <w:p w14:paraId="3754890F">
            <w:pPr>
              <w:autoSpaceDE w:val="0"/>
              <w:autoSpaceDN w:val="0"/>
              <w:adjustRightInd w:val="0"/>
              <w:jc w:val="center"/>
              <w:rPr>
                <w:bCs/>
                <w:color w:val="auto"/>
                <w:sz w:val="21"/>
                <w:szCs w:val="21"/>
                <w:highlight w:val="none"/>
              </w:rPr>
            </w:pPr>
            <w:r>
              <w:rPr>
                <w:bCs/>
                <w:color w:val="auto"/>
                <w:sz w:val="21"/>
                <w:szCs w:val="21"/>
                <w:highlight w:val="none"/>
              </w:rPr>
              <w:t>烟气流速/（m/s）</w:t>
            </w:r>
          </w:p>
        </w:tc>
        <w:tc>
          <w:tcPr>
            <w:tcW w:w="360" w:type="pct"/>
            <w:vMerge w:val="restart"/>
            <w:tcBorders>
              <w:tl2br w:val="nil"/>
              <w:tr2bl w:val="nil"/>
            </w:tcBorders>
            <w:noWrap w:val="0"/>
            <w:vAlign w:val="center"/>
          </w:tcPr>
          <w:p w14:paraId="080650D0">
            <w:pPr>
              <w:autoSpaceDE w:val="0"/>
              <w:autoSpaceDN w:val="0"/>
              <w:adjustRightInd w:val="0"/>
              <w:jc w:val="center"/>
              <w:rPr>
                <w:bCs/>
                <w:color w:val="auto"/>
                <w:sz w:val="21"/>
                <w:szCs w:val="21"/>
                <w:highlight w:val="none"/>
              </w:rPr>
            </w:pPr>
            <w:r>
              <w:rPr>
                <w:bCs/>
                <w:color w:val="auto"/>
                <w:sz w:val="21"/>
                <w:szCs w:val="21"/>
                <w:highlight w:val="none"/>
              </w:rPr>
              <w:t>烟气温度/</w:t>
            </w:r>
            <w:r>
              <w:rPr>
                <w:rFonts w:hAnsi="宋体"/>
                <w:bCs/>
                <w:color w:val="auto"/>
                <w:sz w:val="21"/>
                <w:szCs w:val="21"/>
                <w:highlight w:val="none"/>
              </w:rPr>
              <w:t>℃</w:t>
            </w:r>
          </w:p>
        </w:tc>
        <w:tc>
          <w:tcPr>
            <w:tcW w:w="378" w:type="pct"/>
            <w:vMerge w:val="restart"/>
            <w:tcBorders>
              <w:tl2br w:val="nil"/>
              <w:tr2bl w:val="nil"/>
            </w:tcBorders>
            <w:noWrap w:val="0"/>
            <w:vAlign w:val="center"/>
          </w:tcPr>
          <w:p w14:paraId="0F08260E">
            <w:pPr>
              <w:autoSpaceDE w:val="0"/>
              <w:autoSpaceDN w:val="0"/>
              <w:adjustRightInd w:val="0"/>
              <w:jc w:val="center"/>
              <w:rPr>
                <w:bCs/>
                <w:color w:val="auto"/>
                <w:sz w:val="21"/>
                <w:szCs w:val="21"/>
                <w:highlight w:val="none"/>
              </w:rPr>
            </w:pPr>
            <w:r>
              <w:rPr>
                <w:bCs/>
                <w:color w:val="auto"/>
                <w:sz w:val="21"/>
                <w:szCs w:val="21"/>
                <w:highlight w:val="none"/>
              </w:rPr>
              <w:t>年排放小时数/h</w:t>
            </w:r>
          </w:p>
        </w:tc>
        <w:tc>
          <w:tcPr>
            <w:tcW w:w="307" w:type="pct"/>
            <w:vMerge w:val="restart"/>
            <w:tcBorders>
              <w:tl2br w:val="nil"/>
              <w:tr2bl w:val="nil"/>
            </w:tcBorders>
            <w:noWrap w:val="0"/>
            <w:vAlign w:val="center"/>
          </w:tcPr>
          <w:p w14:paraId="675C01C2">
            <w:pPr>
              <w:autoSpaceDE w:val="0"/>
              <w:autoSpaceDN w:val="0"/>
              <w:adjustRightInd w:val="0"/>
              <w:jc w:val="center"/>
              <w:rPr>
                <w:bCs/>
                <w:color w:val="auto"/>
                <w:sz w:val="21"/>
                <w:szCs w:val="21"/>
                <w:highlight w:val="none"/>
              </w:rPr>
            </w:pPr>
            <w:r>
              <w:rPr>
                <w:bCs/>
                <w:color w:val="auto"/>
                <w:sz w:val="21"/>
                <w:szCs w:val="21"/>
                <w:highlight w:val="none"/>
              </w:rPr>
              <w:t>排放工况</w:t>
            </w:r>
          </w:p>
        </w:tc>
        <w:tc>
          <w:tcPr>
            <w:tcW w:w="686" w:type="pct"/>
            <w:gridSpan w:val="2"/>
            <w:vMerge w:val="restart"/>
            <w:tcBorders>
              <w:tl2br w:val="nil"/>
              <w:tr2bl w:val="nil"/>
            </w:tcBorders>
            <w:noWrap w:val="0"/>
            <w:vAlign w:val="center"/>
          </w:tcPr>
          <w:p w14:paraId="620EBF89">
            <w:pPr>
              <w:autoSpaceDE w:val="0"/>
              <w:autoSpaceDN w:val="0"/>
              <w:adjustRightInd w:val="0"/>
              <w:jc w:val="center"/>
              <w:rPr>
                <w:bCs/>
                <w:color w:val="auto"/>
                <w:sz w:val="21"/>
                <w:szCs w:val="21"/>
                <w:highlight w:val="none"/>
              </w:rPr>
            </w:pPr>
            <w:r>
              <w:rPr>
                <w:bCs/>
                <w:color w:val="auto"/>
                <w:sz w:val="21"/>
                <w:szCs w:val="21"/>
                <w:highlight w:val="none"/>
              </w:rPr>
              <w:t>污染物排放速率/（kg/h）</w:t>
            </w:r>
          </w:p>
        </w:tc>
        <w:tc>
          <w:tcPr>
            <w:tcW w:w="371" w:type="pct"/>
            <w:vMerge w:val="restart"/>
            <w:tcBorders>
              <w:tl2br w:val="nil"/>
              <w:tr2bl w:val="nil"/>
            </w:tcBorders>
            <w:noWrap w:val="0"/>
            <w:vAlign w:val="center"/>
          </w:tcPr>
          <w:p w14:paraId="574638D2">
            <w:pPr>
              <w:autoSpaceDE w:val="0"/>
              <w:autoSpaceDN w:val="0"/>
              <w:adjustRightInd w:val="0"/>
              <w:jc w:val="center"/>
              <w:rPr>
                <w:rFonts w:hint="eastAsia" w:eastAsia="宋体"/>
                <w:bCs/>
                <w:color w:val="auto"/>
                <w:sz w:val="21"/>
                <w:szCs w:val="21"/>
                <w:highlight w:val="none"/>
                <w:lang w:eastAsia="zh-CN"/>
              </w:rPr>
            </w:pPr>
            <w:r>
              <w:rPr>
                <w:rFonts w:hint="eastAsia"/>
                <w:bCs/>
                <w:color w:val="auto"/>
                <w:sz w:val="21"/>
                <w:szCs w:val="21"/>
                <w:highlight w:val="none"/>
                <w:lang w:eastAsia="zh-CN"/>
              </w:rPr>
              <w:t>排放口类型</w:t>
            </w:r>
          </w:p>
        </w:tc>
      </w:tr>
      <w:tr w14:paraId="0851DBE3">
        <w:tblPrEx>
          <w:tblBorders>
            <w:top w:val="double" w:color="auto" w:sz="4" w:space="0"/>
            <w:left w:val="none" w:color="auto" w:sz="0" w:space="0"/>
            <w:bottom w:val="double" w:color="auto" w:sz="4"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08" w:hRule="atLeast"/>
          <w:tblHeader/>
        </w:trPr>
        <w:tc>
          <w:tcPr>
            <w:tcW w:w="148" w:type="pct"/>
            <w:vMerge w:val="continue"/>
            <w:tcBorders>
              <w:tl2br w:val="nil"/>
              <w:tr2bl w:val="nil"/>
            </w:tcBorders>
            <w:noWrap w:val="0"/>
            <w:vAlign w:val="center"/>
          </w:tcPr>
          <w:p w14:paraId="76F5FC00">
            <w:pPr>
              <w:widowControl/>
              <w:jc w:val="center"/>
              <w:rPr>
                <w:bCs/>
                <w:color w:val="auto"/>
                <w:sz w:val="21"/>
                <w:szCs w:val="21"/>
                <w:highlight w:val="none"/>
              </w:rPr>
            </w:pPr>
          </w:p>
        </w:tc>
        <w:tc>
          <w:tcPr>
            <w:tcW w:w="607" w:type="pct"/>
            <w:vMerge w:val="continue"/>
            <w:tcBorders>
              <w:tl2br w:val="nil"/>
              <w:tr2bl w:val="nil"/>
            </w:tcBorders>
            <w:noWrap w:val="0"/>
            <w:vAlign w:val="center"/>
          </w:tcPr>
          <w:p w14:paraId="113A6FA9">
            <w:pPr>
              <w:widowControl/>
              <w:jc w:val="center"/>
              <w:rPr>
                <w:bCs/>
                <w:color w:val="auto"/>
                <w:sz w:val="21"/>
                <w:szCs w:val="21"/>
                <w:highlight w:val="none"/>
              </w:rPr>
            </w:pPr>
          </w:p>
        </w:tc>
        <w:tc>
          <w:tcPr>
            <w:tcW w:w="325" w:type="pct"/>
            <w:tcBorders>
              <w:tl2br w:val="nil"/>
              <w:tr2bl w:val="nil"/>
            </w:tcBorders>
            <w:noWrap w:val="0"/>
            <w:vAlign w:val="center"/>
          </w:tcPr>
          <w:p w14:paraId="3C4F4A74">
            <w:pPr>
              <w:autoSpaceDE w:val="0"/>
              <w:autoSpaceDN w:val="0"/>
              <w:adjustRightInd w:val="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X</w:t>
            </w:r>
          </w:p>
        </w:tc>
        <w:tc>
          <w:tcPr>
            <w:tcW w:w="316" w:type="pct"/>
            <w:tcBorders>
              <w:tl2br w:val="nil"/>
              <w:tr2bl w:val="nil"/>
            </w:tcBorders>
            <w:noWrap w:val="0"/>
            <w:vAlign w:val="center"/>
          </w:tcPr>
          <w:p w14:paraId="196BAEC6">
            <w:pPr>
              <w:autoSpaceDE w:val="0"/>
              <w:autoSpaceDN w:val="0"/>
              <w:adjustRightInd w:val="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Y</w:t>
            </w:r>
          </w:p>
        </w:tc>
        <w:tc>
          <w:tcPr>
            <w:tcW w:w="422" w:type="pct"/>
            <w:vMerge w:val="continue"/>
            <w:tcBorders>
              <w:tl2br w:val="nil"/>
              <w:tr2bl w:val="nil"/>
            </w:tcBorders>
            <w:noWrap w:val="0"/>
            <w:vAlign w:val="center"/>
          </w:tcPr>
          <w:p w14:paraId="1DF0DACB">
            <w:pPr>
              <w:widowControl/>
              <w:jc w:val="center"/>
              <w:rPr>
                <w:bCs/>
                <w:color w:val="auto"/>
                <w:sz w:val="21"/>
                <w:szCs w:val="21"/>
                <w:highlight w:val="none"/>
              </w:rPr>
            </w:pPr>
          </w:p>
        </w:tc>
        <w:tc>
          <w:tcPr>
            <w:tcW w:w="325" w:type="pct"/>
            <w:vMerge w:val="continue"/>
            <w:tcBorders>
              <w:tl2br w:val="nil"/>
              <w:tr2bl w:val="nil"/>
            </w:tcBorders>
            <w:noWrap w:val="0"/>
            <w:vAlign w:val="center"/>
          </w:tcPr>
          <w:p w14:paraId="6DEE1D66">
            <w:pPr>
              <w:widowControl/>
              <w:jc w:val="center"/>
              <w:rPr>
                <w:bCs/>
                <w:color w:val="auto"/>
                <w:sz w:val="21"/>
                <w:szCs w:val="21"/>
                <w:highlight w:val="none"/>
              </w:rPr>
            </w:pPr>
          </w:p>
        </w:tc>
        <w:tc>
          <w:tcPr>
            <w:tcW w:w="325" w:type="pct"/>
            <w:vMerge w:val="continue"/>
            <w:tcBorders>
              <w:tl2br w:val="nil"/>
              <w:tr2bl w:val="nil"/>
            </w:tcBorders>
            <w:noWrap w:val="0"/>
            <w:vAlign w:val="center"/>
          </w:tcPr>
          <w:p w14:paraId="64ABD40C">
            <w:pPr>
              <w:widowControl/>
              <w:jc w:val="center"/>
              <w:rPr>
                <w:bCs/>
                <w:color w:val="auto"/>
                <w:sz w:val="21"/>
                <w:szCs w:val="21"/>
                <w:highlight w:val="none"/>
              </w:rPr>
            </w:pPr>
          </w:p>
        </w:tc>
        <w:tc>
          <w:tcPr>
            <w:tcW w:w="422" w:type="pct"/>
            <w:vMerge w:val="continue"/>
            <w:tcBorders>
              <w:tl2br w:val="nil"/>
              <w:tr2bl w:val="nil"/>
            </w:tcBorders>
            <w:noWrap w:val="0"/>
            <w:vAlign w:val="center"/>
          </w:tcPr>
          <w:p w14:paraId="297A7708">
            <w:pPr>
              <w:widowControl/>
              <w:jc w:val="center"/>
              <w:rPr>
                <w:bCs/>
                <w:color w:val="auto"/>
                <w:sz w:val="21"/>
                <w:szCs w:val="21"/>
                <w:highlight w:val="none"/>
              </w:rPr>
            </w:pPr>
          </w:p>
        </w:tc>
        <w:tc>
          <w:tcPr>
            <w:tcW w:w="360" w:type="pct"/>
            <w:vMerge w:val="continue"/>
            <w:tcBorders>
              <w:tl2br w:val="nil"/>
              <w:tr2bl w:val="nil"/>
            </w:tcBorders>
            <w:noWrap w:val="0"/>
            <w:vAlign w:val="center"/>
          </w:tcPr>
          <w:p w14:paraId="29E802AE">
            <w:pPr>
              <w:widowControl/>
              <w:jc w:val="center"/>
              <w:rPr>
                <w:bCs/>
                <w:color w:val="auto"/>
                <w:sz w:val="21"/>
                <w:szCs w:val="21"/>
                <w:highlight w:val="none"/>
              </w:rPr>
            </w:pPr>
          </w:p>
        </w:tc>
        <w:tc>
          <w:tcPr>
            <w:tcW w:w="378" w:type="pct"/>
            <w:vMerge w:val="continue"/>
            <w:tcBorders>
              <w:tl2br w:val="nil"/>
              <w:tr2bl w:val="nil"/>
            </w:tcBorders>
            <w:noWrap w:val="0"/>
            <w:vAlign w:val="center"/>
          </w:tcPr>
          <w:p w14:paraId="26A7E510">
            <w:pPr>
              <w:widowControl/>
              <w:jc w:val="center"/>
              <w:rPr>
                <w:bCs/>
                <w:color w:val="auto"/>
                <w:sz w:val="21"/>
                <w:szCs w:val="21"/>
                <w:highlight w:val="none"/>
              </w:rPr>
            </w:pPr>
          </w:p>
        </w:tc>
        <w:tc>
          <w:tcPr>
            <w:tcW w:w="307" w:type="pct"/>
            <w:vMerge w:val="continue"/>
            <w:tcBorders>
              <w:tl2br w:val="nil"/>
              <w:tr2bl w:val="nil"/>
            </w:tcBorders>
            <w:noWrap w:val="0"/>
            <w:vAlign w:val="center"/>
          </w:tcPr>
          <w:p w14:paraId="0F4FB5CE">
            <w:pPr>
              <w:widowControl/>
              <w:jc w:val="center"/>
              <w:rPr>
                <w:bCs/>
                <w:color w:val="auto"/>
                <w:sz w:val="21"/>
                <w:szCs w:val="21"/>
                <w:highlight w:val="none"/>
              </w:rPr>
            </w:pPr>
          </w:p>
        </w:tc>
        <w:tc>
          <w:tcPr>
            <w:tcW w:w="686" w:type="pct"/>
            <w:gridSpan w:val="2"/>
            <w:vMerge w:val="continue"/>
            <w:tcBorders>
              <w:tl2br w:val="nil"/>
              <w:tr2bl w:val="nil"/>
            </w:tcBorders>
            <w:noWrap w:val="0"/>
            <w:vAlign w:val="center"/>
          </w:tcPr>
          <w:p w14:paraId="04940631">
            <w:pPr>
              <w:widowControl/>
              <w:jc w:val="center"/>
              <w:rPr>
                <w:bCs/>
                <w:color w:val="auto"/>
                <w:sz w:val="21"/>
                <w:szCs w:val="21"/>
                <w:highlight w:val="none"/>
              </w:rPr>
            </w:pPr>
          </w:p>
        </w:tc>
        <w:tc>
          <w:tcPr>
            <w:tcW w:w="371" w:type="pct"/>
            <w:vMerge w:val="continue"/>
            <w:tcBorders>
              <w:tl2br w:val="nil"/>
              <w:tr2bl w:val="nil"/>
            </w:tcBorders>
            <w:noWrap w:val="0"/>
            <w:vAlign w:val="center"/>
          </w:tcPr>
          <w:p w14:paraId="5B7B1FEC">
            <w:pPr>
              <w:widowControl/>
              <w:jc w:val="center"/>
              <w:rPr>
                <w:bCs/>
                <w:color w:val="auto"/>
                <w:sz w:val="21"/>
                <w:szCs w:val="21"/>
                <w:highlight w:val="none"/>
              </w:rPr>
            </w:pPr>
          </w:p>
        </w:tc>
      </w:tr>
      <w:tr w14:paraId="18674132">
        <w:tblPrEx>
          <w:tblBorders>
            <w:top w:val="double" w:color="auto" w:sz="4" w:space="0"/>
            <w:left w:val="none" w:color="auto" w:sz="0" w:space="0"/>
            <w:bottom w:val="double" w:color="auto" w:sz="4"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27" w:hRule="atLeast"/>
          <w:tblHeader/>
        </w:trPr>
        <w:tc>
          <w:tcPr>
            <w:tcW w:w="148" w:type="pct"/>
            <w:vMerge w:val="restart"/>
            <w:tcBorders>
              <w:tl2br w:val="nil"/>
              <w:tr2bl w:val="nil"/>
            </w:tcBorders>
            <w:noWrap w:val="0"/>
            <w:vAlign w:val="center"/>
          </w:tcPr>
          <w:p w14:paraId="47387516">
            <w:pPr>
              <w:autoSpaceDE w:val="0"/>
              <w:autoSpaceDN w:val="0"/>
              <w:adjustRightIn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w:t>
            </w:r>
          </w:p>
        </w:tc>
        <w:tc>
          <w:tcPr>
            <w:tcW w:w="607" w:type="pct"/>
            <w:vMerge w:val="restart"/>
            <w:tcBorders>
              <w:tl2br w:val="nil"/>
              <w:tr2bl w:val="nil"/>
            </w:tcBorders>
            <w:noWrap w:val="0"/>
            <w:vAlign w:val="center"/>
          </w:tcPr>
          <w:p w14:paraId="36F96FC0">
            <w:pPr>
              <w:widowControl/>
              <w:jc w:val="center"/>
              <w:textAlignment w:val="center"/>
              <w:rPr>
                <w:rFonts w:hint="default"/>
                <w:color w:val="auto"/>
                <w:sz w:val="21"/>
                <w:szCs w:val="21"/>
                <w:highlight w:val="none"/>
                <w:lang w:val="en-US" w:eastAsia="zh-CN"/>
              </w:rPr>
            </w:pPr>
            <w:r>
              <w:rPr>
                <w:rFonts w:hint="eastAsia"/>
                <w:color w:val="auto"/>
                <w:sz w:val="21"/>
                <w:szCs w:val="21"/>
                <w:highlight w:val="none"/>
                <w:lang w:val="en-US" w:eastAsia="zh-CN"/>
              </w:rPr>
              <w:t>生物质锅炉（DA001）</w:t>
            </w:r>
          </w:p>
        </w:tc>
        <w:tc>
          <w:tcPr>
            <w:tcW w:w="325" w:type="pct"/>
            <w:vMerge w:val="restart"/>
            <w:tcBorders>
              <w:tl2br w:val="nil"/>
              <w:tr2bl w:val="nil"/>
            </w:tcBorders>
            <w:noWrap w:val="0"/>
            <w:vAlign w:val="center"/>
          </w:tcPr>
          <w:p w14:paraId="01547582">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541</w:t>
            </w:r>
          </w:p>
        </w:tc>
        <w:tc>
          <w:tcPr>
            <w:tcW w:w="316" w:type="pct"/>
            <w:vMerge w:val="restart"/>
            <w:tcBorders>
              <w:tl2br w:val="nil"/>
              <w:tr2bl w:val="nil"/>
            </w:tcBorders>
            <w:noWrap w:val="0"/>
            <w:vAlign w:val="center"/>
          </w:tcPr>
          <w:p w14:paraId="349CF624">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216</w:t>
            </w:r>
          </w:p>
        </w:tc>
        <w:tc>
          <w:tcPr>
            <w:tcW w:w="422" w:type="pct"/>
            <w:vMerge w:val="restart"/>
            <w:tcBorders>
              <w:tl2br w:val="nil"/>
              <w:tr2bl w:val="nil"/>
            </w:tcBorders>
            <w:noWrap w:val="0"/>
            <w:vAlign w:val="center"/>
          </w:tcPr>
          <w:p w14:paraId="34FDB787">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291</w:t>
            </w:r>
          </w:p>
        </w:tc>
        <w:tc>
          <w:tcPr>
            <w:tcW w:w="325" w:type="pct"/>
            <w:vMerge w:val="restart"/>
            <w:tcBorders>
              <w:tl2br w:val="nil"/>
              <w:tr2bl w:val="nil"/>
            </w:tcBorders>
            <w:noWrap w:val="0"/>
            <w:vAlign w:val="center"/>
          </w:tcPr>
          <w:p w14:paraId="0CC3CF02">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w:t>
            </w:r>
          </w:p>
        </w:tc>
        <w:tc>
          <w:tcPr>
            <w:tcW w:w="325" w:type="pct"/>
            <w:vMerge w:val="restart"/>
            <w:tcBorders>
              <w:tl2br w:val="nil"/>
              <w:tr2bl w:val="nil"/>
            </w:tcBorders>
            <w:noWrap w:val="0"/>
            <w:vAlign w:val="center"/>
          </w:tcPr>
          <w:p w14:paraId="6D679F0C">
            <w:pPr>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0.3</w:t>
            </w:r>
          </w:p>
        </w:tc>
        <w:tc>
          <w:tcPr>
            <w:tcW w:w="422" w:type="pct"/>
            <w:vMerge w:val="restart"/>
            <w:tcBorders>
              <w:tl2br w:val="nil"/>
              <w:tr2bl w:val="nil"/>
            </w:tcBorders>
            <w:noWrap w:val="0"/>
            <w:vAlign w:val="center"/>
          </w:tcPr>
          <w:p w14:paraId="56220956">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8.31</w:t>
            </w:r>
          </w:p>
        </w:tc>
        <w:tc>
          <w:tcPr>
            <w:tcW w:w="360" w:type="pct"/>
            <w:vMerge w:val="restart"/>
            <w:tcBorders>
              <w:tl2br w:val="nil"/>
              <w:tr2bl w:val="nil"/>
            </w:tcBorders>
            <w:noWrap w:val="0"/>
            <w:vAlign w:val="center"/>
          </w:tcPr>
          <w:p w14:paraId="548A99ED">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378" w:type="pct"/>
            <w:vMerge w:val="restart"/>
            <w:tcBorders>
              <w:tl2br w:val="nil"/>
              <w:tr2bl w:val="nil"/>
            </w:tcBorders>
            <w:noWrap w:val="0"/>
            <w:vAlign w:val="center"/>
          </w:tcPr>
          <w:p w14:paraId="399F3923">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2880</w:t>
            </w:r>
          </w:p>
        </w:tc>
        <w:tc>
          <w:tcPr>
            <w:tcW w:w="307" w:type="pct"/>
            <w:vMerge w:val="restart"/>
            <w:tcBorders>
              <w:tl2br w:val="nil"/>
              <w:tr2bl w:val="nil"/>
            </w:tcBorders>
            <w:noWrap w:val="0"/>
            <w:vAlign w:val="center"/>
          </w:tcPr>
          <w:p w14:paraId="567B5AC4">
            <w:pPr>
              <w:pStyle w:val="554"/>
              <w:jc w:val="center"/>
              <w:rPr>
                <w:rFonts w:hAnsi="宋体" w:eastAsia="宋体"/>
                <w:color w:val="auto"/>
                <w:sz w:val="21"/>
                <w:szCs w:val="21"/>
                <w:highlight w:val="none"/>
              </w:rPr>
            </w:pPr>
            <w:r>
              <w:rPr>
                <w:rFonts w:hAnsi="宋体" w:eastAsia="宋体"/>
                <w:color w:val="auto"/>
                <w:sz w:val="21"/>
                <w:szCs w:val="21"/>
                <w:highlight w:val="none"/>
              </w:rPr>
              <w:t>正常工况</w:t>
            </w:r>
          </w:p>
        </w:tc>
        <w:tc>
          <w:tcPr>
            <w:tcW w:w="325" w:type="pct"/>
            <w:tcBorders>
              <w:tl2br w:val="nil"/>
              <w:tr2bl w:val="nil"/>
            </w:tcBorders>
            <w:noWrap w:val="0"/>
            <w:vAlign w:val="center"/>
          </w:tcPr>
          <w:p w14:paraId="4AA32707">
            <w:pPr>
              <w:widowControl/>
              <w:jc w:val="center"/>
              <w:textAlignment w:val="center"/>
              <w:rPr>
                <w:rFonts w:hint="eastAsia"/>
                <w:color w:val="auto"/>
                <w:sz w:val="21"/>
                <w:szCs w:val="21"/>
                <w:highlight w:val="none"/>
                <w:lang w:val="en-US" w:eastAsia="zh-CN"/>
              </w:rPr>
            </w:pPr>
            <w:r>
              <w:rPr>
                <w:rFonts w:hint="eastAsia"/>
                <w:bCs/>
                <w:color w:val="auto"/>
                <w:sz w:val="21"/>
                <w:szCs w:val="21"/>
                <w:highlight w:val="none"/>
                <w:lang w:val="en-US" w:eastAsia="zh-CN"/>
              </w:rPr>
              <w:t>PM</w:t>
            </w:r>
            <w:r>
              <w:rPr>
                <w:rFonts w:hint="eastAsia"/>
                <w:bCs/>
                <w:color w:val="auto"/>
                <w:sz w:val="21"/>
                <w:szCs w:val="21"/>
                <w:highlight w:val="none"/>
                <w:vertAlign w:val="subscript"/>
                <w:lang w:val="en-US" w:eastAsia="zh-CN"/>
              </w:rPr>
              <w:t>10</w:t>
            </w:r>
          </w:p>
        </w:tc>
        <w:tc>
          <w:tcPr>
            <w:tcW w:w="360" w:type="pct"/>
            <w:tcBorders>
              <w:tl2br w:val="nil"/>
              <w:tr2bl w:val="nil"/>
            </w:tcBorders>
            <w:noWrap w:val="0"/>
            <w:vAlign w:val="center"/>
          </w:tcPr>
          <w:p w14:paraId="0C541890">
            <w:pPr>
              <w:jc w:val="center"/>
              <w:rPr>
                <w:rFonts w:hint="eastAsia"/>
                <w:color w:val="auto"/>
                <w:sz w:val="21"/>
                <w:szCs w:val="21"/>
                <w:highlight w:val="none"/>
                <w:lang w:val="en-US" w:eastAsia="zh-CN"/>
              </w:rPr>
            </w:pPr>
            <w:r>
              <w:rPr>
                <w:rFonts w:hint="eastAsia"/>
                <w:color w:val="auto"/>
                <w:lang w:val="en-US" w:eastAsia="zh-CN"/>
              </w:rPr>
              <w:t>0.002</w:t>
            </w:r>
          </w:p>
        </w:tc>
        <w:tc>
          <w:tcPr>
            <w:tcW w:w="371" w:type="pct"/>
            <w:vMerge w:val="restart"/>
            <w:tcBorders>
              <w:tl2br w:val="nil"/>
              <w:tr2bl w:val="nil"/>
            </w:tcBorders>
            <w:noWrap w:val="0"/>
            <w:vAlign w:val="center"/>
          </w:tcPr>
          <w:p w14:paraId="5AEEF781">
            <w:pPr>
              <w:widowControl/>
              <w:jc w:val="center"/>
              <w:textAlignment w:val="center"/>
              <w:rPr>
                <w:rFonts w:hint="default" w:eastAsia="宋体"/>
                <w:color w:val="auto"/>
                <w:sz w:val="21"/>
                <w:szCs w:val="21"/>
                <w:highlight w:val="none"/>
                <w:lang w:val="en-US" w:eastAsia="zh-CN"/>
              </w:rPr>
            </w:pPr>
            <w:r>
              <w:rPr>
                <w:rFonts w:hint="eastAsia"/>
                <w:color w:val="auto"/>
                <w:sz w:val="21"/>
                <w:szCs w:val="21"/>
                <w:highlight w:val="none"/>
                <w:lang w:val="en-US" w:eastAsia="zh-CN"/>
              </w:rPr>
              <w:t>一般排放口</w:t>
            </w:r>
          </w:p>
        </w:tc>
      </w:tr>
      <w:tr w14:paraId="0B3AEECD">
        <w:tblPrEx>
          <w:tblBorders>
            <w:top w:val="double" w:color="auto" w:sz="4" w:space="0"/>
            <w:left w:val="none" w:color="auto" w:sz="0" w:space="0"/>
            <w:bottom w:val="double" w:color="auto" w:sz="4"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60" w:hRule="atLeast"/>
          <w:tblHeader/>
        </w:trPr>
        <w:tc>
          <w:tcPr>
            <w:tcW w:w="148" w:type="pct"/>
            <w:vMerge w:val="continue"/>
            <w:tcBorders>
              <w:tl2br w:val="nil"/>
              <w:tr2bl w:val="nil"/>
            </w:tcBorders>
            <w:noWrap w:val="0"/>
            <w:vAlign w:val="center"/>
          </w:tcPr>
          <w:p w14:paraId="59F56155">
            <w:pPr>
              <w:autoSpaceDE w:val="0"/>
              <w:autoSpaceDN w:val="0"/>
              <w:adjustRightInd w:val="0"/>
              <w:jc w:val="center"/>
              <w:rPr>
                <w:rFonts w:hint="eastAsia"/>
                <w:color w:val="auto"/>
                <w:sz w:val="21"/>
                <w:szCs w:val="21"/>
                <w:highlight w:val="none"/>
                <w:lang w:val="en-US" w:eastAsia="zh-CN"/>
              </w:rPr>
            </w:pPr>
          </w:p>
        </w:tc>
        <w:tc>
          <w:tcPr>
            <w:tcW w:w="607" w:type="pct"/>
            <w:vMerge w:val="continue"/>
            <w:tcBorders>
              <w:tl2br w:val="nil"/>
              <w:tr2bl w:val="nil"/>
            </w:tcBorders>
            <w:noWrap w:val="0"/>
            <w:vAlign w:val="center"/>
          </w:tcPr>
          <w:p w14:paraId="066CF326">
            <w:pPr>
              <w:widowControl/>
              <w:jc w:val="center"/>
              <w:textAlignment w:val="center"/>
              <w:rPr>
                <w:rFonts w:hint="eastAsia"/>
                <w:color w:val="auto"/>
                <w:sz w:val="21"/>
                <w:szCs w:val="21"/>
                <w:highlight w:val="none"/>
                <w:lang w:val="en-US" w:eastAsia="zh-CN"/>
              </w:rPr>
            </w:pPr>
          </w:p>
        </w:tc>
        <w:tc>
          <w:tcPr>
            <w:tcW w:w="325" w:type="pct"/>
            <w:vMerge w:val="continue"/>
            <w:tcBorders>
              <w:tl2br w:val="nil"/>
              <w:tr2bl w:val="nil"/>
            </w:tcBorders>
            <w:noWrap w:val="0"/>
            <w:vAlign w:val="center"/>
          </w:tcPr>
          <w:p w14:paraId="5B2DA706">
            <w:pPr>
              <w:jc w:val="center"/>
              <w:rPr>
                <w:rFonts w:hint="default" w:ascii="Times New Roman" w:hAnsi="Times New Roman" w:eastAsia="宋体" w:cs="Times New Roman"/>
                <w:color w:val="auto"/>
                <w:sz w:val="21"/>
                <w:szCs w:val="21"/>
                <w:highlight w:val="none"/>
              </w:rPr>
            </w:pPr>
          </w:p>
        </w:tc>
        <w:tc>
          <w:tcPr>
            <w:tcW w:w="316" w:type="pct"/>
            <w:vMerge w:val="continue"/>
            <w:tcBorders>
              <w:tl2br w:val="nil"/>
              <w:tr2bl w:val="nil"/>
            </w:tcBorders>
            <w:noWrap w:val="0"/>
            <w:vAlign w:val="center"/>
          </w:tcPr>
          <w:p w14:paraId="49FB2778">
            <w:pPr>
              <w:jc w:val="center"/>
              <w:rPr>
                <w:rFonts w:hint="default" w:ascii="Times New Roman" w:hAnsi="Times New Roman" w:eastAsia="宋体" w:cs="Times New Roman"/>
                <w:color w:val="auto"/>
                <w:sz w:val="21"/>
                <w:szCs w:val="21"/>
                <w:highlight w:val="none"/>
              </w:rPr>
            </w:pPr>
          </w:p>
        </w:tc>
        <w:tc>
          <w:tcPr>
            <w:tcW w:w="422" w:type="pct"/>
            <w:vMerge w:val="continue"/>
            <w:tcBorders>
              <w:tl2br w:val="nil"/>
              <w:tr2bl w:val="nil"/>
            </w:tcBorders>
            <w:noWrap w:val="0"/>
            <w:vAlign w:val="center"/>
          </w:tcPr>
          <w:p w14:paraId="7F0571E3">
            <w:pPr>
              <w:jc w:val="center"/>
              <w:rPr>
                <w:rFonts w:hint="eastAsia" w:ascii="Times New Roman" w:hAnsi="Times New Roman" w:eastAsia="宋体" w:cs="Times New Roman"/>
                <w:color w:val="auto"/>
                <w:sz w:val="21"/>
                <w:szCs w:val="21"/>
                <w:highlight w:val="none"/>
                <w:lang w:val="en-US" w:eastAsia="zh-CN"/>
              </w:rPr>
            </w:pPr>
          </w:p>
        </w:tc>
        <w:tc>
          <w:tcPr>
            <w:tcW w:w="325" w:type="pct"/>
            <w:vMerge w:val="continue"/>
            <w:tcBorders>
              <w:tl2br w:val="nil"/>
              <w:tr2bl w:val="nil"/>
            </w:tcBorders>
            <w:noWrap w:val="0"/>
            <w:vAlign w:val="center"/>
          </w:tcPr>
          <w:p w14:paraId="22840E80">
            <w:pPr>
              <w:jc w:val="center"/>
              <w:rPr>
                <w:rFonts w:hint="eastAsia" w:ascii="Times New Roman" w:hAnsi="Times New Roman" w:eastAsia="宋体" w:cs="Times New Roman"/>
                <w:color w:val="auto"/>
                <w:sz w:val="21"/>
                <w:szCs w:val="21"/>
                <w:highlight w:val="none"/>
                <w:lang w:val="en-US" w:eastAsia="zh-CN"/>
              </w:rPr>
            </w:pPr>
          </w:p>
        </w:tc>
        <w:tc>
          <w:tcPr>
            <w:tcW w:w="325" w:type="pct"/>
            <w:vMerge w:val="continue"/>
            <w:tcBorders>
              <w:tl2br w:val="nil"/>
              <w:tr2bl w:val="nil"/>
            </w:tcBorders>
            <w:noWrap w:val="0"/>
            <w:vAlign w:val="center"/>
          </w:tcPr>
          <w:p w14:paraId="06468FD3">
            <w:pPr>
              <w:jc w:val="center"/>
              <w:rPr>
                <w:rFonts w:hint="eastAsia" w:eastAsia="宋体"/>
                <w:color w:val="auto"/>
                <w:sz w:val="21"/>
                <w:szCs w:val="21"/>
                <w:highlight w:val="none"/>
                <w:lang w:val="en-US" w:eastAsia="zh-CN"/>
              </w:rPr>
            </w:pPr>
          </w:p>
        </w:tc>
        <w:tc>
          <w:tcPr>
            <w:tcW w:w="422" w:type="pct"/>
            <w:vMerge w:val="continue"/>
            <w:tcBorders>
              <w:tl2br w:val="nil"/>
              <w:tr2bl w:val="nil"/>
            </w:tcBorders>
            <w:noWrap w:val="0"/>
            <w:vAlign w:val="center"/>
          </w:tcPr>
          <w:p w14:paraId="0C016C9C">
            <w:pPr>
              <w:jc w:val="center"/>
              <w:rPr>
                <w:rFonts w:hint="eastAsia" w:ascii="Times New Roman" w:hAnsi="Times New Roman" w:eastAsia="宋体" w:cs="Times New Roman"/>
                <w:color w:val="auto"/>
                <w:sz w:val="21"/>
                <w:szCs w:val="21"/>
                <w:highlight w:val="none"/>
                <w:lang w:val="en-US" w:eastAsia="zh-CN"/>
              </w:rPr>
            </w:pPr>
          </w:p>
        </w:tc>
        <w:tc>
          <w:tcPr>
            <w:tcW w:w="360" w:type="pct"/>
            <w:vMerge w:val="continue"/>
            <w:tcBorders>
              <w:tl2br w:val="nil"/>
              <w:tr2bl w:val="nil"/>
            </w:tcBorders>
            <w:noWrap w:val="0"/>
            <w:vAlign w:val="center"/>
          </w:tcPr>
          <w:p w14:paraId="76CE9A77">
            <w:pPr>
              <w:jc w:val="center"/>
              <w:rPr>
                <w:rFonts w:hint="eastAsia" w:ascii="Times New Roman" w:hAnsi="Times New Roman" w:eastAsia="宋体" w:cs="Times New Roman"/>
                <w:color w:val="auto"/>
                <w:sz w:val="21"/>
                <w:szCs w:val="21"/>
                <w:highlight w:val="none"/>
                <w:lang w:val="en-US" w:eastAsia="zh-CN"/>
              </w:rPr>
            </w:pPr>
          </w:p>
        </w:tc>
        <w:tc>
          <w:tcPr>
            <w:tcW w:w="378" w:type="pct"/>
            <w:vMerge w:val="continue"/>
            <w:tcBorders>
              <w:tl2br w:val="nil"/>
              <w:tr2bl w:val="nil"/>
            </w:tcBorders>
            <w:noWrap w:val="0"/>
            <w:vAlign w:val="center"/>
          </w:tcPr>
          <w:p w14:paraId="49EE3C13">
            <w:pPr>
              <w:jc w:val="center"/>
              <w:rPr>
                <w:rFonts w:hint="eastAsia" w:ascii="Times New Roman" w:hAnsi="Times New Roman" w:eastAsia="宋体" w:cs="Times New Roman"/>
                <w:color w:val="auto"/>
                <w:sz w:val="21"/>
                <w:szCs w:val="21"/>
                <w:highlight w:val="none"/>
                <w:lang w:val="en-US" w:eastAsia="zh-CN"/>
              </w:rPr>
            </w:pPr>
          </w:p>
        </w:tc>
        <w:tc>
          <w:tcPr>
            <w:tcW w:w="307" w:type="pct"/>
            <w:vMerge w:val="continue"/>
            <w:tcBorders>
              <w:tl2br w:val="nil"/>
              <w:tr2bl w:val="nil"/>
            </w:tcBorders>
            <w:noWrap w:val="0"/>
            <w:vAlign w:val="center"/>
          </w:tcPr>
          <w:p w14:paraId="3F307037">
            <w:pPr>
              <w:pStyle w:val="554"/>
              <w:jc w:val="center"/>
              <w:rPr>
                <w:rFonts w:hAnsi="宋体" w:eastAsia="宋体"/>
                <w:color w:val="auto"/>
                <w:sz w:val="21"/>
                <w:szCs w:val="21"/>
                <w:highlight w:val="none"/>
              </w:rPr>
            </w:pPr>
          </w:p>
        </w:tc>
        <w:tc>
          <w:tcPr>
            <w:tcW w:w="325" w:type="pct"/>
            <w:tcBorders>
              <w:tl2br w:val="nil"/>
              <w:tr2bl w:val="nil"/>
            </w:tcBorders>
            <w:noWrap w:val="0"/>
            <w:vAlign w:val="center"/>
          </w:tcPr>
          <w:p w14:paraId="599BD467">
            <w:pPr>
              <w:widowControl/>
              <w:jc w:val="center"/>
              <w:textAlignment w:val="center"/>
              <w:rPr>
                <w:rFonts w:hint="eastAsia"/>
                <w:color w:val="auto"/>
                <w:sz w:val="21"/>
                <w:szCs w:val="21"/>
                <w:highlight w:val="none"/>
                <w:lang w:val="en-US" w:eastAsia="zh-CN"/>
              </w:rPr>
            </w:pPr>
            <w:r>
              <w:rPr>
                <w:rFonts w:hint="eastAsia"/>
                <w:color w:val="auto"/>
                <w:sz w:val="21"/>
                <w:szCs w:val="21"/>
                <w:highlight w:val="none"/>
                <w:lang w:val="en-US" w:eastAsia="zh-CN"/>
              </w:rPr>
              <w:t>SO</w:t>
            </w:r>
            <w:r>
              <w:rPr>
                <w:rFonts w:hint="eastAsia"/>
                <w:color w:val="auto"/>
                <w:sz w:val="21"/>
                <w:szCs w:val="21"/>
                <w:highlight w:val="none"/>
                <w:vertAlign w:val="subscript"/>
                <w:lang w:val="en-US" w:eastAsia="zh-CN"/>
              </w:rPr>
              <w:t>2</w:t>
            </w:r>
          </w:p>
        </w:tc>
        <w:tc>
          <w:tcPr>
            <w:tcW w:w="360" w:type="pct"/>
            <w:tcBorders>
              <w:tl2br w:val="nil"/>
              <w:tr2bl w:val="nil"/>
            </w:tcBorders>
            <w:noWrap w:val="0"/>
            <w:vAlign w:val="center"/>
          </w:tcPr>
          <w:p w14:paraId="67637DAB">
            <w:pPr>
              <w:jc w:val="center"/>
              <w:rPr>
                <w:rFonts w:hint="default"/>
                <w:color w:val="auto"/>
                <w:sz w:val="21"/>
                <w:szCs w:val="21"/>
                <w:highlight w:val="none"/>
                <w:lang w:val="en-US" w:eastAsia="zh-CN"/>
              </w:rPr>
            </w:pPr>
            <w:r>
              <w:rPr>
                <w:rFonts w:hint="eastAsia"/>
                <w:color w:val="auto"/>
                <w:lang w:val="en-US" w:eastAsia="zh-CN"/>
              </w:rPr>
              <w:t>0.167</w:t>
            </w:r>
          </w:p>
        </w:tc>
        <w:tc>
          <w:tcPr>
            <w:tcW w:w="371" w:type="pct"/>
            <w:vMerge w:val="continue"/>
            <w:tcBorders>
              <w:tl2br w:val="nil"/>
              <w:tr2bl w:val="nil"/>
            </w:tcBorders>
            <w:noWrap w:val="0"/>
            <w:vAlign w:val="center"/>
          </w:tcPr>
          <w:p w14:paraId="33985C66">
            <w:pPr>
              <w:widowControl/>
              <w:jc w:val="center"/>
              <w:textAlignment w:val="center"/>
              <w:rPr>
                <w:rFonts w:hint="eastAsia" w:eastAsia="宋体"/>
                <w:color w:val="auto"/>
                <w:sz w:val="21"/>
                <w:szCs w:val="21"/>
                <w:highlight w:val="none"/>
                <w:lang w:val="en-US" w:eastAsia="zh-CN"/>
              </w:rPr>
            </w:pPr>
          </w:p>
        </w:tc>
      </w:tr>
      <w:tr w14:paraId="58825E28">
        <w:tblPrEx>
          <w:tblBorders>
            <w:top w:val="double" w:color="auto" w:sz="4" w:space="0"/>
            <w:left w:val="none" w:color="auto" w:sz="0" w:space="0"/>
            <w:bottom w:val="double" w:color="auto" w:sz="4"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262" w:hRule="atLeast"/>
          <w:tblHeader/>
        </w:trPr>
        <w:tc>
          <w:tcPr>
            <w:tcW w:w="148" w:type="pct"/>
            <w:vMerge w:val="continue"/>
            <w:tcBorders>
              <w:tl2br w:val="nil"/>
              <w:tr2bl w:val="nil"/>
            </w:tcBorders>
            <w:noWrap w:val="0"/>
            <w:vAlign w:val="center"/>
          </w:tcPr>
          <w:p w14:paraId="5D889BCF">
            <w:pPr>
              <w:autoSpaceDE w:val="0"/>
              <w:autoSpaceDN w:val="0"/>
              <w:adjustRightInd w:val="0"/>
              <w:jc w:val="center"/>
              <w:rPr>
                <w:rFonts w:hint="eastAsia"/>
                <w:color w:val="auto"/>
                <w:sz w:val="21"/>
                <w:szCs w:val="21"/>
                <w:highlight w:val="none"/>
                <w:lang w:val="en-US" w:eastAsia="zh-CN"/>
              </w:rPr>
            </w:pPr>
          </w:p>
        </w:tc>
        <w:tc>
          <w:tcPr>
            <w:tcW w:w="607" w:type="pct"/>
            <w:vMerge w:val="continue"/>
            <w:tcBorders>
              <w:tl2br w:val="nil"/>
              <w:tr2bl w:val="nil"/>
            </w:tcBorders>
            <w:noWrap w:val="0"/>
            <w:vAlign w:val="center"/>
          </w:tcPr>
          <w:p w14:paraId="11BDABE3">
            <w:pPr>
              <w:widowControl/>
              <w:jc w:val="center"/>
              <w:textAlignment w:val="center"/>
              <w:rPr>
                <w:rFonts w:hint="eastAsia"/>
                <w:color w:val="auto"/>
                <w:sz w:val="21"/>
                <w:szCs w:val="21"/>
                <w:highlight w:val="none"/>
                <w:lang w:val="en-US" w:eastAsia="zh-CN"/>
              </w:rPr>
            </w:pPr>
          </w:p>
        </w:tc>
        <w:tc>
          <w:tcPr>
            <w:tcW w:w="325" w:type="pct"/>
            <w:vMerge w:val="continue"/>
            <w:tcBorders>
              <w:tl2br w:val="nil"/>
              <w:tr2bl w:val="nil"/>
            </w:tcBorders>
            <w:noWrap w:val="0"/>
            <w:vAlign w:val="center"/>
          </w:tcPr>
          <w:p w14:paraId="4274C5B5">
            <w:pPr>
              <w:jc w:val="center"/>
              <w:rPr>
                <w:rFonts w:hint="default" w:ascii="Times New Roman" w:hAnsi="Times New Roman" w:eastAsia="宋体" w:cs="Times New Roman"/>
                <w:color w:val="auto"/>
                <w:sz w:val="21"/>
                <w:szCs w:val="21"/>
                <w:highlight w:val="none"/>
              </w:rPr>
            </w:pPr>
          </w:p>
        </w:tc>
        <w:tc>
          <w:tcPr>
            <w:tcW w:w="316" w:type="pct"/>
            <w:vMerge w:val="continue"/>
            <w:tcBorders>
              <w:tl2br w:val="nil"/>
              <w:tr2bl w:val="nil"/>
            </w:tcBorders>
            <w:noWrap w:val="0"/>
            <w:vAlign w:val="center"/>
          </w:tcPr>
          <w:p w14:paraId="54670128">
            <w:pPr>
              <w:jc w:val="center"/>
              <w:rPr>
                <w:rFonts w:hint="default" w:ascii="Times New Roman" w:hAnsi="Times New Roman" w:eastAsia="宋体" w:cs="Times New Roman"/>
                <w:color w:val="auto"/>
                <w:sz w:val="21"/>
                <w:szCs w:val="21"/>
                <w:highlight w:val="none"/>
              </w:rPr>
            </w:pPr>
          </w:p>
        </w:tc>
        <w:tc>
          <w:tcPr>
            <w:tcW w:w="422" w:type="pct"/>
            <w:vMerge w:val="continue"/>
            <w:tcBorders>
              <w:tl2br w:val="nil"/>
              <w:tr2bl w:val="nil"/>
            </w:tcBorders>
            <w:noWrap w:val="0"/>
            <w:vAlign w:val="center"/>
          </w:tcPr>
          <w:p w14:paraId="54DA1C4E">
            <w:pPr>
              <w:jc w:val="center"/>
              <w:rPr>
                <w:rFonts w:hint="eastAsia" w:ascii="Times New Roman" w:hAnsi="Times New Roman" w:eastAsia="宋体" w:cs="Times New Roman"/>
                <w:color w:val="auto"/>
                <w:sz w:val="21"/>
                <w:szCs w:val="21"/>
                <w:highlight w:val="none"/>
                <w:lang w:val="en-US" w:eastAsia="zh-CN"/>
              </w:rPr>
            </w:pPr>
          </w:p>
        </w:tc>
        <w:tc>
          <w:tcPr>
            <w:tcW w:w="325" w:type="pct"/>
            <w:vMerge w:val="continue"/>
            <w:tcBorders>
              <w:tl2br w:val="nil"/>
              <w:tr2bl w:val="nil"/>
            </w:tcBorders>
            <w:noWrap w:val="0"/>
            <w:vAlign w:val="center"/>
          </w:tcPr>
          <w:p w14:paraId="07B1E5D3">
            <w:pPr>
              <w:jc w:val="center"/>
              <w:rPr>
                <w:rFonts w:hint="eastAsia" w:ascii="Times New Roman" w:hAnsi="Times New Roman" w:eastAsia="宋体" w:cs="Times New Roman"/>
                <w:color w:val="auto"/>
                <w:sz w:val="21"/>
                <w:szCs w:val="21"/>
                <w:highlight w:val="none"/>
                <w:lang w:val="en-US" w:eastAsia="zh-CN"/>
              </w:rPr>
            </w:pPr>
          </w:p>
        </w:tc>
        <w:tc>
          <w:tcPr>
            <w:tcW w:w="325" w:type="pct"/>
            <w:vMerge w:val="continue"/>
            <w:tcBorders>
              <w:tl2br w:val="nil"/>
              <w:tr2bl w:val="nil"/>
            </w:tcBorders>
            <w:noWrap w:val="0"/>
            <w:vAlign w:val="center"/>
          </w:tcPr>
          <w:p w14:paraId="182EBE93">
            <w:pPr>
              <w:jc w:val="center"/>
              <w:rPr>
                <w:rFonts w:hint="eastAsia" w:eastAsia="宋体"/>
                <w:color w:val="auto"/>
                <w:sz w:val="21"/>
                <w:szCs w:val="21"/>
                <w:highlight w:val="none"/>
                <w:lang w:val="en-US" w:eastAsia="zh-CN"/>
              </w:rPr>
            </w:pPr>
          </w:p>
        </w:tc>
        <w:tc>
          <w:tcPr>
            <w:tcW w:w="422" w:type="pct"/>
            <w:vMerge w:val="continue"/>
            <w:tcBorders>
              <w:tl2br w:val="nil"/>
              <w:tr2bl w:val="nil"/>
            </w:tcBorders>
            <w:noWrap w:val="0"/>
            <w:vAlign w:val="center"/>
          </w:tcPr>
          <w:p w14:paraId="1B24721C">
            <w:pPr>
              <w:jc w:val="center"/>
              <w:rPr>
                <w:rFonts w:hint="eastAsia" w:ascii="Times New Roman" w:hAnsi="Times New Roman" w:eastAsia="宋体" w:cs="Times New Roman"/>
                <w:color w:val="auto"/>
                <w:sz w:val="21"/>
                <w:szCs w:val="21"/>
                <w:highlight w:val="none"/>
                <w:lang w:val="en-US" w:eastAsia="zh-CN"/>
              </w:rPr>
            </w:pPr>
          </w:p>
        </w:tc>
        <w:tc>
          <w:tcPr>
            <w:tcW w:w="360" w:type="pct"/>
            <w:vMerge w:val="continue"/>
            <w:tcBorders>
              <w:tl2br w:val="nil"/>
              <w:tr2bl w:val="nil"/>
            </w:tcBorders>
            <w:noWrap w:val="0"/>
            <w:vAlign w:val="center"/>
          </w:tcPr>
          <w:p w14:paraId="0902BAF1">
            <w:pPr>
              <w:jc w:val="center"/>
              <w:rPr>
                <w:rFonts w:hint="eastAsia" w:ascii="Times New Roman" w:hAnsi="Times New Roman" w:eastAsia="宋体" w:cs="Times New Roman"/>
                <w:color w:val="auto"/>
                <w:sz w:val="21"/>
                <w:szCs w:val="21"/>
                <w:highlight w:val="none"/>
                <w:lang w:val="en-US" w:eastAsia="zh-CN"/>
              </w:rPr>
            </w:pPr>
          </w:p>
        </w:tc>
        <w:tc>
          <w:tcPr>
            <w:tcW w:w="378" w:type="pct"/>
            <w:vMerge w:val="continue"/>
            <w:tcBorders>
              <w:tl2br w:val="nil"/>
              <w:tr2bl w:val="nil"/>
            </w:tcBorders>
            <w:noWrap w:val="0"/>
            <w:vAlign w:val="center"/>
          </w:tcPr>
          <w:p w14:paraId="3CDBD01C">
            <w:pPr>
              <w:jc w:val="center"/>
              <w:rPr>
                <w:rFonts w:hint="eastAsia" w:ascii="Times New Roman" w:hAnsi="Times New Roman" w:eastAsia="宋体" w:cs="Times New Roman"/>
                <w:color w:val="auto"/>
                <w:sz w:val="21"/>
                <w:szCs w:val="21"/>
                <w:highlight w:val="none"/>
                <w:lang w:val="en-US" w:eastAsia="zh-CN"/>
              </w:rPr>
            </w:pPr>
          </w:p>
        </w:tc>
        <w:tc>
          <w:tcPr>
            <w:tcW w:w="307" w:type="pct"/>
            <w:vMerge w:val="continue"/>
            <w:tcBorders>
              <w:tl2br w:val="nil"/>
              <w:tr2bl w:val="nil"/>
            </w:tcBorders>
            <w:noWrap w:val="0"/>
            <w:vAlign w:val="center"/>
          </w:tcPr>
          <w:p w14:paraId="2E30ECB9">
            <w:pPr>
              <w:pStyle w:val="554"/>
              <w:jc w:val="center"/>
              <w:rPr>
                <w:rFonts w:hAnsi="宋体" w:eastAsia="宋体"/>
                <w:color w:val="auto"/>
                <w:sz w:val="21"/>
                <w:szCs w:val="21"/>
                <w:highlight w:val="none"/>
              </w:rPr>
            </w:pPr>
          </w:p>
        </w:tc>
        <w:tc>
          <w:tcPr>
            <w:tcW w:w="325" w:type="pct"/>
            <w:tcBorders>
              <w:tl2br w:val="nil"/>
              <w:tr2bl w:val="nil"/>
            </w:tcBorders>
            <w:noWrap w:val="0"/>
            <w:vAlign w:val="center"/>
          </w:tcPr>
          <w:p w14:paraId="38F90A50">
            <w:pPr>
              <w:widowControl/>
              <w:jc w:val="center"/>
              <w:textAlignment w:val="center"/>
              <w:rPr>
                <w:rFonts w:hint="eastAsia"/>
                <w:color w:val="auto"/>
                <w:sz w:val="21"/>
                <w:szCs w:val="21"/>
                <w:highlight w:val="none"/>
                <w:lang w:val="en-US" w:eastAsia="zh-CN"/>
              </w:rPr>
            </w:pPr>
            <w:r>
              <w:rPr>
                <w:rFonts w:hint="eastAsia"/>
                <w:color w:val="auto"/>
                <w:sz w:val="21"/>
                <w:szCs w:val="21"/>
                <w:highlight w:val="none"/>
                <w:lang w:val="en-US" w:eastAsia="zh-CN"/>
              </w:rPr>
              <w:t>NO</w:t>
            </w:r>
            <w:r>
              <w:rPr>
                <w:rFonts w:hint="eastAsia"/>
                <w:color w:val="auto"/>
                <w:sz w:val="21"/>
                <w:szCs w:val="21"/>
                <w:highlight w:val="none"/>
                <w:vertAlign w:val="subscript"/>
                <w:lang w:val="en-US" w:eastAsia="zh-CN"/>
              </w:rPr>
              <w:t>x</w:t>
            </w:r>
          </w:p>
        </w:tc>
        <w:tc>
          <w:tcPr>
            <w:tcW w:w="360" w:type="pct"/>
            <w:tcBorders>
              <w:tl2br w:val="nil"/>
              <w:tr2bl w:val="nil"/>
            </w:tcBorders>
            <w:noWrap w:val="0"/>
            <w:vAlign w:val="center"/>
          </w:tcPr>
          <w:p w14:paraId="414A9D5F">
            <w:pPr>
              <w:jc w:val="center"/>
              <w:rPr>
                <w:rFonts w:hint="default"/>
                <w:color w:val="auto"/>
                <w:sz w:val="21"/>
                <w:szCs w:val="21"/>
                <w:highlight w:val="none"/>
                <w:lang w:val="en-US" w:eastAsia="zh-CN"/>
              </w:rPr>
            </w:pPr>
            <w:r>
              <w:rPr>
                <w:rFonts w:hint="eastAsia"/>
                <w:color w:val="auto"/>
                <w:lang w:val="en-US" w:eastAsia="zh-CN"/>
              </w:rPr>
              <w:t>0.233</w:t>
            </w:r>
          </w:p>
        </w:tc>
        <w:tc>
          <w:tcPr>
            <w:tcW w:w="371" w:type="pct"/>
            <w:vMerge w:val="continue"/>
            <w:tcBorders>
              <w:tl2br w:val="nil"/>
              <w:tr2bl w:val="nil"/>
            </w:tcBorders>
            <w:noWrap w:val="0"/>
            <w:vAlign w:val="center"/>
          </w:tcPr>
          <w:p w14:paraId="777A9C2E">
            <w:pPr>
              <w:widowControl/>
              <w:jc w:val="center"/>
              <w:textAlignment w:val="center"/>
              <w:rPr>
                <w:rFonts w:hint="eastAsia" w:eastAsia="宋体"/>
                <w:color w:val="auto"/>
                <w:sz w:val="21"/>
                <w:szCs w:val="21"/>
                <w:highlight w:val="none"/>
                <w:lang w:val="en-US" w:eastAsia="zh-CN"/>
              </w:rPr>
            </w:pPr>
          </w:p>
        </w:tc>
      </w:tr>
    </w:tbl>
    <w:p w14:paraId="3ED8007A">
      <w:pPr>
        <w:jc w:val="center"/>
        <w:rPr>
          <w:b/>
          <w:color w:val="auto"/>
          <w:szCs w:val="21"/>
        </w:rPr>
      </w:pPr>
    </w:p>
    <w:p w14:paraId="35DF2308">
      <w:pPr>
        <w:jc w:val="center"/>
        <w:rPr>
          <w:b/>
          <w:color w:val="auto"/>
          <w:szCs w:val="21"/>
        </w:rPr>
      </w:pPr>
      <w:r>
        <w:rPr>
          <w:b/>
          <w:color w:val="auto"/>
          <w:szCs w:val="21"/>
        </w:rPr>
        <w:t>表5.2-</w:t>
      </w:r>
      <w:r>
        <w:rPr>
          <w:rFonts w:hint="eastAsia"/>
          <w:b/>
          <w:color w:val="auto"/>
          <w:szCs w:val="21"/>
          <w:lang w:val="en-US" w:eastAsia="zh-CN"/>
        </w:rPr>
        <w:t xml:space="preserve">6  </w:t>
      </w:r>
      <w:r>
        <w:rPr>
          <w:b/>
          <w:color w:val="auto"/>
          <w:szCs w:val="21"/>
        </w:rPr>
        <w:t xml:space="preserve">  </w:t>
      </w:r>
      <w:r>
        <w:rPr>
          <w:rFonts w:hint="eastAsia"/>
          <w:b/>
          <w:color w:val="auto"/>
          <w:szCs w:val="21"/>
        </w:rPr>
        <w:t>无组织面源</w:t>
      </w:r>
      <w:r>
        <w:rPr>
          <w:b/>
          <w:color w:val="auto"/>
          <w:szCs w:val="21"/>
        </w:rPr>
        <w:t>污染源清单（</w:t>
      </w:r>
      <w:r>
        <w:rPr>
          <w:rFonts w:hint="eastAsia"/>
          <w:b/>
          <w:color w:val="auto"/>
          <w:szCs w:val="21"/>
          <w:lang w:eastAsia="zh-CN"/>
        </w:rPr>
        <w:t>矩形</w:t>
      </w:r>
      <w:r>
        <w:rPr>
          <w:b/>
          <w:color w:val="auto"/>
          <w:szCs w:val="21"/>
        </w:rPr>
        <w:t>面源）</w:t>
      </w:r>
    </w:p>
    <w:tbl>
      <w:tblPr>
        <w:tblStyle w:val="5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984"/>
        <w:gridCol w:w="910"/>
        <w:gridCol w:w="978"/>
        <w:gridCol w:w="1123"/>
        <w:gridCol w:w="1101"/>
        <w:gridCol w:w="1200"/>
        <w:gridCol w:w="1226"/>
        <w:gridCol w:w="1274"/>
        <w:gridCol w:w="1061"/>
        <w:gridCol w:w="794"/>
        <w:gridCol w:w="1323"/>
        <w:gridCol w:w="1533"/>
      </w:tblGrid>
      <w:tr w14:paraId="7C29D18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248" w:type="pct"/>
            <w:vMerge w:val="restart"/>
            <w:tcBorders>
              <w:tl2br w:val="nil"/>
              <w:tr2bl w:val="nil"/>
            </w:tcBorders>
            <w:noWrap w:val="0"/>
            <w:vAlign w:val="center"/>
          </w:tcPr>
          <w:p w14:paraId="40131A95">
            <w:pPr>
              <w:autoSpaceDE w:val="0"/>
              <w:autoSpaceDN w:val="0"/>
              <w:adjustRightInd w:val="0"/>
              <w:jc w:val="center"/>
              <w:rPr>
                <w:bCs/>
                <w:color w:val="auto"/>
                <w:sz w:val="21"/>
                <w:szCs w:val="21"/>
                <w:highlight w:val="none"/>
              </w:rPr>
            </w:pPr>
            <w:r>
              <w:rPr>
                <w:bCs/>
                <w:color w:val="auto"/>
                <w:sz w:val="21"/>
                <w:szCs w:val="21"/>
                <w:highlight w:val="none"/>
              </w:rPr>
              <w:t>编号</w:t>
            </w:r>
          </w:p>
        </w:tc>
        <w:tc>
          <w:tcPr>
            <w:tcW w:w="346" w:type="pct"/>
            <w:vMerge w:val="restart"/>
            <w:tcBorders>
              <w:tl2br w:val="nil"/>
              <w:tr2bl w:val="nil"/>
            </w:tcBorders>
            <w:noWrap w:val="0"/>
            <w:vAlign w:val="center"/>
          </w:tcPr>
          <w:p w14:paraId="34911621">
            <w:pPr>
              <w:autoSpaceDE w:val="0"/>
              <w:autoSpaceDN w:val="0"/>
              <w:adjustRightInd w:val="0"/>
              <w:jc w:val="center"/>
              <w:rPr>
                <w:bCs/>
                <w:color w:val="auto"/>
                <w:sz w:val="21"/>
                <w:szCs w:val="21"/>
                <w:highlight w:val="none"/>
              </w:rPr>
            </w:pPr>
            <w:r>
              <w:rPr>
                <w:bCs/>
                <w:color w:val="auto"/>
                <w:sz w:val="21"/>
                <w:szCs w:val="21"/>
                <w:highlight w:val="none"/>
              </w:rPr>
              <w:t>名称</w:t>
            </w:r>
          </w:p>
        </w:tc>
        <w:tc>
          <w:tcPr>
            <w:tcW w:w="664" w:type="pct"/>
            <w:gridSpan w:val="2"/>
            <w:tcBorders>
              <w:tl2br w:val="nil"/>
              <w:tr2bl w:val="nil"/>
            </w:tcBorders>
            <w:noWrap w:val="0"/>
            <w:vAlign w:val="center"/>
          </w:tcPr>
          <w:p w14:paraId="004D531D">
            <w:pPr>
              <w:autoSpaceDE w:val="0"/>
              <w:autoSpaceDN w:val="0"/>
              <w:adjustRightInd w:val="0"/>
              <w:jc w:val="center"/>
              <w:rPr>
                <w:rFonts w:hint="default" w:eastAsia="宋体"/>
                <w:bCs/>
                <w:color w:val="auto"/>
                <w:sz w:val="21"/>
                <w:szCs w:val="21"/>
                <w:highlight w:val="none"/>
                <w:lang w:val="en-US" w:eastAsia="zh-CN"/>
              </w:rPr>
            </w:pPr>
            <w:r>
              <w:rPr>
                <w:bCs/>
                <w:color w:val="auto"/>
                <w:sz w:val="21"/>
                <w:szCs w:val="21"/>
                <w:highlight w:val="none"/>
              </w:rPr>
              <w:t>面源</w:t>
            </w:r>
            <w:r>
              <w:rPr>
                <w:rFonts w:hint="eastAsia"/>
                <w:bCs/>
                <w:color w:val="auto"/>
                <w:sz w:val="21"/>
                <w:szCs w:val="21"/>
                <w:highlight w:val="none"/>
                <w:lang w:eastAsia="zh-CN"/>
              </w:rPr>
              <w:t>起点</w:t>
            </w:r>
            <w:r>
              <w:rPr>
                <w:bCs/>
                <w:color w:val="auto"/>
                <w:sz w:val="21"/>
                <w:szCs w:val="21"/>
                <w:highlight w:val="none"/>
              </w:rPr>
              <w:t>坐标</w:t>
            </w:r>
            <w:r>
              <w:rPr>
                <w:rFonts w:hint="eastAsia"/>
                <w:bCs/>
                <w:color w:val="auto"/>
                <w:sz w:val="21"/>
                <w:szCs w:val="21"/>
                <w:highlight w:val="none"/>
                <w:lang w:val="en-US" w:eastAsia="zh-CN"/>
              </w:rPr>
              <w:t>/m</w:t>
            </w:r>
          </w:p>
        </w:tc>
        <w:tc>
          <w:tcPr>
            <w:tcW w:w="395" w:type="pct"/>
            <w:vMerge w:val="restart"/>
            <w:tcBorders>
              <w:tl2br w:val="nil"/>
              <w:tr2bl w:val="nil"/>
            </w:tcBorders>
            <w:noWrap w:val="0"/>
            <w:vAlign w:val="center"/>
          </w:tcPr>
          <w:p w14:paraId="4138DBB4">
            <w:pPr>
              <w:autoSpaceDE w:val="0"/>
              <w:autoSpaceDN w:val="0"/>
              <w:adjustRightInd w:val="0"/>
              <w:jc w:val="center"/>
              <w:rPr>
                <w:bCs/>
                <w:color w:val="auto"/>
                <w:sz w:val="21"/>
                <w:szCs w:val="21"/>
                <w:highlight w:val="none"/>
              </w:rPr>
            </w:pPr>
            <w:r>
              <w:rPr>
                <w:bCs/>
                <w:color w:val="auto"/>
                <w:sz w:val="21"/>
                <w:szCs w:val="21"/>
                <w:highlight w:val="none"/>
              </w:rPr>
              <w:t>面源海拔高度/m</w:t>
            </w:r>
          </w:p>
        </w:tc>
        <w:tc>
          <w:tcPr>
            <w:tcW w:w="387" w:type="pct"/>
            <w:vMerge w:val="restart"/>
            <w:tcBorders>
              <w:tl2br w:val="nil"/>
              <w:tr2bl w:val="nil"/>
            </w:tcBorders>
            <w:noWrap w:val="0"/>
            <w:vAlign w:val="center"/>
          </w:tcPr>
          <w:p w14:paraId="2074BAB7">
            <w:pPr>
              <w:autoSpaceDE w:val="0"/>
              <w:autoSpaceDN w:val="0"/>
              <w:adjustRightInd w:val="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面源长度/m</w:t>
            </w:r>
          </w:p>
        </w:tc>
        <w:tc>
          <w:tcPr>
            <w:tcW w:w="422" w:type="pct"/>
            <w:vMerge w:val="restart"/>
            <w:tcBorders>
              <w:tl2br w:val="nil"/>
              <w:tr2bl w:val="nil"/>
            </w:tcBorders>
            <w:noWrap w:val="0"/>
            <w:vAlign w:val="center"/>
          </w:tcPr>
          <w:p w14:paraId="55E07AEE">
            <w:pPr>
              <w:autoSpaceDE w:val="0"/>
              <w:autoSpaceDN w:val="0"/>
              <w:adjustRightInd w:val="0"/>
              <w:jc w:val="center"/>
              <w:rPr>
                <w:rFonts w:hint="default" w:eastAsia="宋体"/>
                <w:bCs/>
                <w:color w:val="auto"/>
                <w:sz w:val="21"/>
                <w:szCs w:val="21"/>
                <w:highlight w:val="none"/>
                <w:lang w:val="en-US" w:eastAsia="zh-CN"/>
              </w:rPr>
            </w:pPr>
            <w:r>
              <w:rPr>
                <w:rFonts w:hint="eastAsia"/>
                <w:bCs/>
                <w:color w:val="auto"/>
                <w:sz w:val="21"/>
                <w:szCs w:val="21"/>
                <w:highlight w:val="none"/>
                <w:lang w:eastAsia="zh-CN"/>
              </w:rPr>
              <w:t>面源宽度</w:t>
            </w:r>
            <w:r>
              <w:rPr>
                <w:rFonts w:hint="eastAsia"/>
                <w:bCs/>
                <w:color w:val="auto"/>
                <w:sz w:val="21"/>
                <w:szCs w:val="21"/>
                <w:highlight w:val="none"/>
                <w:lang w:val="en-US" w:eastAsia="zh-CN"/>
              </w:rPr>
              <w:t>/m</w:t>
            </w:r>
          </w:p>
        </w:tc>
        <w:tc>
          <w:tcPr>
            <w:tcW w:w="431" w:type="pct"/>
            <w:vMerge w:val="restart"/>
            <w:tcBorders>
              <w:tl2br w:val="nil"/>
              <w:tr2bl w:val="nil"/>
            </w:tcBorders>
            <w:noWrap w:val="0"/>
            <w:vAlign w:val="center"/>
          </w:tcPr>
          <w:p w14:paraId="0379B9E3">
            <w:pPr>
              <w:autoSpaceDE w:val="0"/>
              <w:autoSpaceDN w:val="0"/>
              <w:adjustRightInd w:val="0"/>
              <w:jc w:val="center"/>
              <w:rPr>
                <w:rFonts w:hint="default" w:ascii="Times New Roman" w:hAnsi="Times New Roman" w:eastAsia="宋体" w:cs="Times New Roman"/>
                <w:bCs/>
                <w:color w:val="auto"/>
                <w:sz w:val="21"/>
                <w:szCs w:val="21"/>
                <w:highlight w:val="none"/>
                <w:lang w:val="en-US" w:eastAsia="zh-CN"/>
              </w:rPr>
            </w:pPr>
            <w:r>
              <w:rPr>
                <w:rFonts w:hint="eastAsia"/>
                <w:bCs/>
                <w:color w:val="auto"/>
                <w:sz w:val="21"/>
                <w:szCs w:val="21"/>
                <w:highlight w:val="none"/>
                <w:lang w:eastAsia="zh-CN"/>
              </w:rPr>
              <w:t>与正北向夹角</w:t>
            </w:r>
            <w:r>
              <w:rPr>
                <w:rFonts w:hint="eastAsia"/>
                <w:bCs/>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w:t>
            </w:r>
          </w:p>
        </w:tc>
        <w:tc>
          <w:tcPr>
            <w:tcW w:w="448" w:type="pct"/>
            <w:vMerge w:val="restart"/>
            <w:tcBorders>
              <w:tl2br w:val="nil"/>
              <w:tr2bl w:val="nil"/>
            </w:tcBorders>
            <w:noWrap w:val="0"/>
            <w:vAlign w:val="center"/>
          </w:tcPr>
          <w:p w14:paraId="18DAEED0">
            <w:pPr>
              <w:autoSpaceDE w:val="0"/>
              <w:autoSpaceDN w:val="0"/>
              <w:adjustRightInd w:val="0"/>
              <w:jc w:val="center"/>
              <w:rPr>
                <w:bCs/>
                <w:color w:val="auto"/>
                <w:sz w:val="21"/>
                <w:szCs w:val="21"/>
                <w:highlight w:val="none"/>
              </w:rPr>
            </w:pPr>
            <w:r>
              <w:rPr>
                <w:bCs/>
                <w:color w:val="auto"/>
                <w:sz w:val="21"/>
                <w:szCs w:val="21"/>
                <w:highlight w:val="none"/>
              </w:rPr>
              <w:t>面源有效排放高度/m</w:t>
            </w:r>
          </w:p>
        </w:tc>
        <w:tc>
          <w:tcPr>
            <w:tcW w:w="373" w:type="pct"/>
            <w:vMerge w:val="restart"/>
            <w:tcBorders>
              <w:tl2br w:val="nil"/>
              <w:tr2bl w:val="nil"/>
            </w:tcBorders>
            <w:noWrap w:val="0"/>
            <w:vAlign w:val="center"/>
          </w:tcPr>
          <w:p w14:paraId="69AD6260">
            <w:pPr>
              <w:autoSpaceDE w:val="0"/>
              <w:autoSpaceDN w:val="0"/>
              <w:adjustRightInd w:val="0"/>
              <w:jc w:val="center"/>
              <w:rPr>
                <w:bCs/>
                <w:color w:val="auto"/>
                <w:sz w:val="21"/>
                <w:szCs w:val="21"/>
                <w:highlight w:val="none"/>
              </w:rPr>
            </w:pPr>
            <w:r>
              <w:rPr>
                <w:bCs/>
                <w:color w:val="auto"/>
                <w:sz w:val="21"/>
                <w:szCs w:val="21"/>
                <w:highlight w:val="none"/>
              </w:rPr>
              <w:t>年排放小时数/h</w:t>
            </w:r>
          </w:p>
        </w:tc>
        <w:tc>
          <w:tcPr>
            <w:tcW w:w="279" w:type="pct"/>
            <w:vMerge w:val="restart"/>
            <w:tcBorders>
              <w:tl2br w:val="nil"/>
              <w:tr2bl w:val="nil"/>
            </w:tcBorders>
            <w:noWrap w:val="0"/>
            <w:vAlign w:val="center"/>
          </w:tcPr>
          <w:p w14:paraId="0A8C59F7">
            <w:pPr>
              <w:autoSpaceDE w:val="0"/>
              <w:autoSpaceDN w:val="0"/>
              <w:adjustRightInd w:val="0"/>
              <w:jc w:val="center"/>
              <w:rPr>
                <w:bCs/>
                <w:color w:val="auto"/>
                <w:sz w:val="21"/>
                <w:szCs w:val="21"/>
                <w:highlight w:val="none"/>
              </w:rPr>
            </w:pPr>
            <w:r>
              <w:rPr>
                <w:bCs/>
                <w:color w:val="auto"/>
                <w:sz w:val="21"/>
                <w:szCs w:val="21"/>
                <w:highlight w:val="none"/>
              </w:rPr>
              <w:t>排放工况</w:t>
            </w:r>
          </w:p>
        </w:tc>
        <w:tc>
          <w:tcPr>
            <w:tcW w:w="1004" w:type="pct"/>
            <w:gridSpan w:val="2"/>
            <w:vMerge w:val="restart"/>
            <w:tcBorders>
              <w:tl2br w:val="nil"/>
              <w:tr2bl w:val="nil"/>
            </w:tcBorders>
            <w:noWrap w:val="0"/>
            <w:vAlign w:val="center"/>
          </w:tcPr>
          <w:p w14:paraId="32DC9A14">
            <w:pPr>
              <w:autoSpaceDE w:val="0"/>
              <w:autoSpaceDN w:val="0"/>
              <w:adjustRightInd w:val="0"/>
              <w:jc w:val="center"/>
              <w:rPr>
                <w:bCs/>
                <w:color w:val="auto"/>
                <w:sz w:val="21"/>
                <w:szCs w:val="21"/>
                <w:highlight w:val="none"/>
              </w:rPr>
            </w:pPr>
            <w:r>
              <w:rPr>
                <w:bCs/>
                <w:color w:val="auto"/>
                <w:sz w:val="21"/>
                <w:szCs w:val="21"/>
                <w:highlight w:val="none"/>
              </w:rPr>
              <w:t>污染物排放速率（kg/h）</w:t>
            </w:r>
          </w:p>
        </w:tc>
      </w:tr>
      <w:tr w14:paraId="3B9DF6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48" w:type="pct"/>
            <w:vMerge w:val="continue"/>
            <w:tcBorders>
              <w:tl2br w:val="nil"/>
              <w:tr2bl w:val="nil"/>
            </w:tcBorders>
            <w:noWrap w:val="0"/>
            <w:vAlign w:val="center"/>
          </w:tcPr>
          <w:p w14:paraId="68D0BEDC">
            <w:pPr>
              <w:widowControl/>
              <w:jc w:val="left"/>
              <w:rPr>
                <w:bCs/>
                <w:color w:val="auto"/>
                <w:sz w:val="21"/>
                <w:szCs w:val="21"/>
                <w:highlight w:val="none"/>
              </w:rPr>
            </w:pPr>
          </w:p>
        </w:tc>
        <w:tc>
          <w:tcPr>
            <w:tcW w:w="346" w:type="pct"/>
            <w:vMerge w:val="continue"/>
            <w:tcBorders>
              <w:tl2br w:val="nil"/>
              <w:tr2bl w:val="nil"/>
            </w:tcBorders>
            <w:noWrap w:val="0"/>
            <w:vAlign w:val="center"/>
          </w:tcPr>
          <w:p w14:paraId="4014B417">
            <w:pPr>
              <w:widowControl/>
              <w:jc w:val="left"/>
              <w:rPr>
                <w:bCs/>
                <w:color w:val="auto"/>
                <w:sz w:val="21"/>
                <w:szCs w:val="21"/>
                <w:highlight w:val="none"/>
              </w:rPr>
            </w:pPr>
          </w:p>
        </w:tc>
        <w:tc>
          <w:tcPr>
            <w:tcW w:w="320" w:type="pct"/>
            <w:tcBorders>
              <w:tl2br w:val="nil"/>
              <w:tr2bl w:val="nil"/>
            </w:tcBorders>
            <w:noWrap w:val="0"/>
            <w:vAlign w:val="center"/>
          </w:tcPr>
          <w:p w14:paraId="0697D798">
            <w:pPr>
              <w:autoSpaceDE w:val="0"/>
              <w:autoSpaceDN w:val="0"/>
              <w:adjustRightInd w:val="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X</w:t>
            </w:r>
          </w:p>
        </w:tc>
        <w:tc>
          <w:tcPr>
            <w:tcW w:w="344" w:type="pct"/>
            <w:tcBorders>
              <w:tl2br w:val="nil"/>
              <w:tr2bl w:val="nil"/>
            </w:tcBorders>
            <w:noWrap w:val="0"/>
            <w:vAlign w:val="center"/>
          </w:tcPr>
          <w:p w14:paraId="7726F7BF">
            <w:pPr>
              <w:autoSpaceDE w:val="0"/>
              <w:autoSpaceDN w:val="0"/>
              <w:adjustRightInd w:val="0"/>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Y</w:t>
            </w:r>
          </w:p>
        </w:tc>
        <w:tc>
          <w:tcPr>
            <w:tcW w:w="395" w:type="pct"/>
            <w:vMerge w:val="continue"/>
            <w:tcBorders>
              <w:tl2br w:val="nil"/>
              <w:tr2bl w:val="nil"/>
            </w:tcBorders>
            <w:noWrap w:val="0"/>
            <w:vAlign w:val="center"/>
          </w:tcPr>
          <w:p w14:paraId="209FB8C2">
            <w:pPr>
              <w:widowControl/>
              <w:jc w:val="left"/>
              <w:rPr>
                <w:bCs/>
                <w:color w:val="auto"/>
                <w:sz w:val="21"/>
                <w:szCs w:val="21"/>
                <w:highlight w:val="none"/>
              </w:rPr>
            </w:pPr>
          </w:p>
        </w:tc>
        <w:tc>
          <w:tcPr>
            <w:tcW w:w="387" w:type="pct"/>
            <w:vMerge w:val="continue"/>
            <w:tcBorders>
              <w:tl2br w:val="nil"/>
              <w:tr2bl w:val="nil"/>
            </w:tcBorders>
            <w:noWrap w:val="0"/>
            <w:vAlign w:val="center"/>
          </w:tcPr>
          <w:p w14:paraId="4C76F760">
            <w:pPr>
              <w:widowControl/>
              <w:jc w:val="left"/>
              <w:rPr>
                <w:bCs/>
                <w:color w:val="auto"/>
                <w:sz w:val="21"/>
                <w:szCs w:val="21"/>
                <w:highlight w:val="none"/>
              </w:rPr>
            </w:pPr>
          </w:p>
        </w:tc>
        <w:tc>
          <w:tcPr>
            <w:tcW w:w="422" w:type="pct"/>
            <w:vMerge w:val="continue"/>
            <w:tcBorders>
              <w:tl2br w:val="nil"/>
              <w:tr2bl w:val="nil"/>
            </w:tcBorders>
            <w:noWrap w:val="0"/>
            <w:vAlign w:val="center"/>
          </w:tcPr>
          <w:p w14:paraId="1A545ADB">
            <w:pPr>
              <w:widowControl/>
              <w:jc w:val="left"/>
              <w:rPr>
                <w:bCs/>
                <w:color w:val="auto"/>
                <w:sz w:val="21"/>
                <w:szCs w:val="21"/>
                <w:highlight w:val="none"/>
              </w:rPr>
            </w:pPr>
          </w:p>
        </w:tc>
        <w:tc>
          <w:tcPr>
            <w:tcW w:w="431" w:type="pct"/>
            <w:vMerge w:val="continue"/>
            <w:tcBorders>
              <w:tl2br w:val="nil"/>
              <w:tr2bl w:val="nil"/>
            </w:tcBorders>
            <w:noWrap w:val="0"/>
            <w:vAlign w:val="center"/>
          </w:tcPr>
          <w:p w14:paraId="12A91D36">
            <w:pPr>
              <w:widowControl/>
              <w:jc w:val="left"/>
              <w:rPr>
                <w:bCs/>
                <w:color w:val="auto"/>
                <w:sz w:val="21"/>
                <w:szCs w:val="21"/>
                <w:highlight w:val="none"/>
              </w:rPr>
            </w:pPr>
          </w:p>
        </w:tc>
        <w:tc>
          <w:tcPr>
            <w:tcW w:w="448" w:type="pct"/>
            <w:vMerge w:val="continue"/>
            <w:tcBorders>
              <w:tl2br w:val="nil"/>
              <w:tr2bl w:val="nil"/>
            </w:tcBorders>
            <w:noWrap w:val="0"/>
            <w:vAlign w:val="center"/>
          </w:tcPr>
          <w:p w14:paraId="39A8DFD2">
            <w:pPr>
              <w:widowControl/>
              <w:jc w:val="left"/>
              <w:rPr>
                <w:bCs/>
                <w:color w:val="auto"/>
                <w:sz w:val="21"/>
                <w:szCs w:val="21"/>
                <w:highlight w:val="none"/>
              </w:rPr>
            </w:pPr>
          </w:p>
        </w:tc>
        <w:tc>
          <w:tcPr>
            <w:tcW w:w="373" w:type="pct"/>
            <w:vMerge w:val="continue"/>
            <w:tcBorders>
              <w:tl2br w:val="nil"/>
              <w:tr2bl w:val="nil"/>
            </w:tcBorders>
            <w:noWrap w:val="0"/>
            <w:vAlign w:val="center"/>
          </w:tcPr>
          <w:p w14:paraId="4101E85A">
            <w:pPr>
              <w:widowControl/>
              <w:jc w:val="left"/>
              <w:rPr>
                <w:bCs/>
                <w:color w:val="auto"/>
                <w:sz w:val="21"/>
                <w:szCs w:val="21"/>
                <w:highlight w:val="none"/>
              </w:rPr>
            </w:pPr>
          </w:p>
        </w:tc>
        <w:tc>
          <w:tcPr>
            <w:tcW w:w="279" w:type="pct"/>
            <w:vMerge w:val="continue"/>
            <w:tcBorders>
              <w:tl2br w:val="nil"/>
              <w:tr2bl w:val="nil"/>
            </w:tcBorders>
            <w:noWrap w:val="0"/>
            <w:vAlign w:val="center"/>
          </w:tcPr>
          <w:p w14:paraId="78054A94">
            <w:pPr>
              <w:widowControl/>
              <w:jc w:val="left"/>
              <w:rPr>
                <w:bCs/>
                <w:color w:val="auto"/>
                <w:sz w:val="21"/>
                <w:szCs w:val="21"/>
                <w:highlight w:val="none"/>
              </w:rPr>
            </w:pPr>
          </w:p>
        </w:tc>
        <w:tc>
          <w:tcPr>
            <w:tcW w:w="1004" w:type="pct"/>
            <w:gridSpan w:val="2"/>
            <w:vMerge w:val="continue"/>
            <w:tcBorders>
              <w:tl2br w:val="nil"/>
              <w:tr2bl w:val="nil"/>
            </w:tcBorders>
            <w:noWrap w:val="0"/>
            <w:vAlign w:val="center"/>
          </w:tcPr>
          <w:p w14:paraId="2C12D19A">
            <w:pPr>
              <w:widowControl/>
              <w:jc w:val="left"/>
              <w:rPr>
                <w:bCs/>
                <w:color w:val="auto"/>
                <w:sz w:val="21"/>
                <w:szCs w:val="21"/>
                <w:highlight w:val="none"/>
              </w:rPr>
            </w:pPr>
          </w:p>
        </w:tc>
      </w:tr>
      <w:tr w14:paraId="18093A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48" w:type="pct"/>
            <w:vMerge w:val="restart"/>
            <w:tcBorders>
              <w:tl2br w:val="nil"/>
              <w:tr2bl w:val="nil"/>
            </w:tcBorders>
            <w:noWrap w:val="0"/>
            <w:vAlign w:val="center"/>
          </w:tcPr>
          <w:p w14:paraId="639289AF">
            <w:pPr>
              <w:widowControl/>
              <w:jc w:val="center"/>
              <w:rPr>
                <w:rFonts w:hint="default"/>
                <w:bCs/>
                <w:color w:val="auto"/>
                <w:sz w:val="21"/>
                <w:szCs w:val="21"/>
                <w:highlight w:val="none"/>
                <w:lang w:val="en-US" w:eastAsia="zh-CN"/>
              </w:rPr>
            </w:pPr>
            <w:r>
              <w:rPr>
                <w:rFonts w:hint="eastAsia"/>
                <w:bCs/>
                <w:color w:val="auto"/>
                <w:sz w:val="21"/>
                <w:szCs w:val="21"/>
                <w:highlight w:val="none"/>
                <w:lang w:val="en-US" w:eastAsia="zh-CN"/>
              </w:rPr>
              <w:t>1</w:t>
            </w:r>
          </w:p>
        </w:tc>
        <w:tc>
          <w:tcPr>
            <w:tcW w:w="346" w:type="pct"/>
            <w:vMerge w:val="restart"/>
            <w:tcBorders>
              <w:tl2br w:val="nil"/>
              <w:tr2bl w:val="nil"/>
            </w:tcBorders>
            <w:noWrap w:val="0"/>
            <w:vAlign w:val="center"/>
          </w:tcPr>
          <w:p w14:paraId="2392B9C3">
            <w:pPr>
              <w:widowControl/>
              <w:jc w:val="center"/>
              <w:rPr>
                <w:rFonts w:hint="eastAsia" w:eastAsia="宋体"/>
                <w:bCs/>
                <w:color w:val="auto"/>
                <w:sz w:val="21"/>
                <w:szCs w:val="21"/>
                <w:highlight w:val="none"/>
                <w:lang w:eastAsia="zh-CN"/>
              </w:rPr>
            </w:pPr>
            <w:r>
              <w:rPr>
                <w:rFonts w:hint="eastAsia"/>
                <w:bCs/>
                <w:color w:val="auto"/>
                <w:sz w:val="21"/>
                <w:szCs w:val="21"/>
                <w:highlight w:val="none"/>
                <w:lang w:val="en-US" w:eastAsia="zh-CN"/>
              </w:rPr>
              <w:t>鸡舍区域</w:t>
            </w:r>
          </w:p>
        </w:tc>
        <w:tc>
          <w:tcPr>
            <w:tcW w:w="320" w:type="pct"/>
            <w:vMerge w:val="restart"/>
            <w:tcBorders>
              <w:tl2br w:val="nil"/>
              <w:tr2bl w:val="nil"/>
            </w:tcBorders>
            <w:noWrap w:val="0"/>
            <w:vAlign w:val="center"/>
          </w:tcPr>
          <w:p w14:paraId="7DF4330C">
            <w:pPr>
              <w:autoSpaceDE w:val="0"/>
              <w:autoSpaceDN w:val="0"/>
              <w:adjustRightInd w:val="0"/>
              <w:jc w:val="center"/>
              <w:rPr>
                <w:rFonts w:hint="default" w:ascii="Times New Roman" w:hAnsi="Times New Roman" w:eastAsia="宋体" w:cs="Times New Roman"/>
                <w:bCs/>
                <w:iCs/>
                <w:color w:val="auto"/>
                <w:sz w:val="21"/>
                <w:szCs w:val="21"/>
                <w:highlight w:val="none"/>
                <w:lang w:val="en-US" w:eastAsia="zh-CN"/>
              </w:rPr>
            </w:pPr>
            <w:r>
              <w:rPr>
                <w:rFonts w:hint="eastAsia" w:cs="Times New Roman"/>
                <w:bCs/>
                <w:iCs/>
                <w:color w:val="auto"/>
                <w:sz w:val="21"/>
                <w:szCs w:val="21"/>
                <w:highlight w:val="none"/>
                <w:lang w:val="en-US" w:eastAsia="zh-CN"/>
              </w:rPr>
              <w:t>578</w:t>
            </w:r>
          </w:p>
        </w:tc>
        <w:tc>
          <w:tcPr>
            <w:tcW w:w="344" w:type="pct"/>
            <w:vMerge w:val="restart"/>
            <w:tcBorders>
              <w:tl2br w:val="nil"/>
              <w:tr2bl w:val="nil"/>
            </w:tcBorders>
            <w:noWrap w:val="0"/>
            <w:vAlign w:val="center"/>
          </w:tcPr>
          <w:p w14:paraId="1225ADCA">
            <w:pPr>
              <w:autoSpaceDE w:val="0"/>
              <w:autoSpaceDN w:val="0"/>
              <w:adjustRightInd w:val="0"/>
              <w:jc w:val="center"/>
              <w:rPr>
                <w:rFonts w:hint="default" w:ascii="Times New Roman" w:hAnsi="Times New Roman" w:eastAsia="宋体" w:cs="Times New Roman"/>
                <w:bCs/>
                <w:iCs/>
                <w:color w:val="auto"/>
                <w:sz w:val="21"/>
                <w:szCs w:val="21"/>
                <w:highlight w:val="none"/>
                <w:lang w:val="en-US" w:eastAsia="zh-CN"/>
              </w:rPr>
            </w:pPr>
            <w:r>
              <w:rPr>
                <w:rFonts w:hint="eastAsia" w:cs="Times New Roman"/>
                <w:bCs/>
                <w:iCs/>
                <w:color w:val="auto"/>
                <w:sz w:val="21"/>
                <w:szCs w:val="21"/>
                <w:highlight w:val="none"/>
                <w:lang w:val="en-US" w:eastAsia="zh-CN"/>
              </w:rPr>
              <w:t>228</w:t>
            </w:r>
          </w:p>
        </w:tc>
        <w:tc>
          <w:tcPr>
            <w:tcW w:w="395" w:type="pct"/>
            <w:vMerge w:val="restart"/>
            <w:tcBorders>
              <w:tl2br w:val="nil"/>
              <w:tr2bl w:val="nil"/>
            </w:tcBorders>
            <w:noWrap w:val="0"/>
            <w:vAlign w:val="center"/>
          </w:tcPr>
          <w:p w14:paraId="4A427026">
            <w:pPr>
              <w:widowControl/>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613</w:t>
            </w:r>
          </w:p>
        </w:tc>
        <w:tc>
          <w:tcPr>
            <w:tcW w:w="387" w:type="pct"/>
            <w:vMerge w:val="restart"/>
            <w:tcBorders>
              <w:tl2br w:val="nil"/>
              <w:tr2bl w:val="nil"/>
            </w:tcBorders>
            <w:noWrap w:val="0"/>
            <w:vAlign w:val="center"/>
          </w:tcPr>
          <w:p w14:paraId="6736B169">
            <w:pPr>
              <w:widowControl/>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250</w:t>
            </w:r>
          </w:p>
        </w:tc>
        <w:tc>
          <w:tcPr>
            <w:tcW w:w="422" w:type="pct"/>
            <w:vMerge w:val="restart"/>
            <w:tcBorders>
              <w:tl2br w:val="nil"/>
              <w:tr2bl w:val="nil"/>
            </w:tcBorders>
            <w:noWrap w:val="0"/>
            <w:vAlign w:val="center"/>
          </w:tcPr>
          <w:p w14:paraId="723CBE71">
            <w:pPr>
              <w:widowControl/>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105</w:t>
            </w:r>
          </w:p>
        </w:tc>
        <w:tc>
          <w:tcPr>
            <w:tcW w:w="431" w:type="pct"/>
            <w:vMerge w:val="restart"/>
            <w:tcBorders>
              <w:tl2br w:val="nil"/>
              <w:tr2bl w:val="nil"/>
            </w:tcBorders>
            <w:noWrap w:val="0"/>
            <w:vAlign w:val="center"/>
          </w:tcPr>
          <w:p w14:paraId="1CBFC7A7">
            <w:pPr>
              <w:widowControl/>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130</w:t>
            </w:r>
          </w:p>
        </w:tc>
        <w:tc>
          <w:tcPr>
            <w:tcW w:w="448" w:type="pct"/>
            <w:vMerge w:val="restart"/>
            <w:tcBorders>
              <w:tl2br w:val="nil"/>
              <w:tr2bl w:val="nil"/>
            </w:tcBorders>
            <w:noWrap w:val="0"/>
            <w:vAlign w:val="center"/>
          </w:tcPr>
          <w:p w14:paraId="6AE78273">
            <w:pPr>
              <w:widowControl/>
              <w:jc w:val="center"/>
              <w:rPr>
                <w:rFonts w:hint="default" w:eastAsia="宋体"/>
                <w:bCs/>
                <w:color w:val="auto"/>
                <w:sz w:val="21"/>
                <w:szCs w:val="21"/>
                <w:highlight w:val="none"/>
                <w:lang w:val="en-US" w:eastAsia="zh-CN"/>
              </w:rPr>
            </w:pPr>
            <w:r>
              <w:rPr>
                <w:rFonts w:hint="eastAsia" w:eastAsia="宋体"/>
                <w:bCs/>
                <w:color w:val="auto"/>
                <w:sz w:val="21"/>
                <w:szCs w:val="21"/>
                <w:highlight w:val="none"/>
                <w:lang w:val="en-US" w:eastAsia="zh-CN"/>
              </w:rPr>
              <w:t>6</w:t>
            </w:r>
          </w:p>
        </w:tc>
        <w:tc>
          <w:tcPr>
            <w:tcW w:w="373" w:type="pct"/>
            <w:vMerge w:val="restart"/>
            <w:tcBorders>
              <w:tl2br w:val="nil"/>
              <w:tr2bl w:val="nil"/>
            </w:tcBorders>
            <w:noWrap w:val="0"/>
            <w:vAlign w:val="center"/>
          </w:tcPr>
          <w:p w14:paraId="572CC10A">
            <w:pPr>
              <w:widowControl/>
              <w:jc w:val="center"/>
              <w:rPr>
                <w:rFonts w:hint="default" w:eastAsia="宋体"/>
                <w:bCs/>
                <w:color w:val="auto"/>
                <w:sz w:val="21"/>
                <w:szCs w:val="21"/>
                <w:highlight w:val="none"/>
                <w:lang w:val="en-US" w:eastAsia="zh-CN"/>
              </w:rPr>
            </w:pPr>
            <w:r>
              <w:rPr>
                <w:rFonts w:hint="eastAsia" w:eastAsia="宋体"/>
                <w:bCs/>
                <w:color w:val="auto"/>
                <w:sz w:val="21"/>
                <w:szCs w:val="21"/>
                <w:highlight w:val="none"/>
                <w:lang w:val="en-US" w:eastAsia="zh-CN"/>
              </w:rPr>
              <w:t>8760</w:t>
            </w:r>
          </w:p>
        </w:tc>
        <w:tc>
          <w:tcPr>
            <w:tcW w:w="279" w:type="pct"/>
            <w:vMerge w:val="restart"/>
            <w:tcBorders>
              <w:tl2br w:val="nil"/>
              <w:tr2bl w:val="nil"/>
            </w:tcBorders>
            <w:noWrap w:val="0"/>
            <w:vAlign w:val="center"/>
          </w:tcPr>
          <w:p w14:paraId="3B2BC5A9">
            <w:pPr>
              <w:widowControl/>
              <w:jc w:val="center"/>
              <w:rPr>
                <w:rFonts w:hint="eastAsia" w:eastAsia="宋体"/>
                <w:bCs/>
                <w:color w:val="auto"/>
                <w:sz w:val="21"/>
                <w:szCs w:val="21"/>
                <w:highlight w:val="none"/>
                <w:lang w:eastAsia="zh-CN"/>
              </w:rPr>
            </w:pPr>
            <w:r>
              <w:rPr>
                <w:rFonts w:hint="eastAsia"/>
                <w:bCs/>
                <w:color w:val="auto"/>
                <w:sz w:val="21"/>
                <w:szCs w:val="21"/>
                <w:highlight w:val="none"/>
                <w:lang w:eastAsia="zh-CN"/>
              </w:rPr>
              <w:t>正常</w:t>
            </w:r>
          </w:p>
        </w:tc>
        <w:tc>
          <w:tcPr>
            <w:tcW w:w="465" w:type="pct"/>
            <w:tcBorders>
              <w:tl2br w:val="nil"/>
              <w:tr2bl w:val="nil"/>
            </w:tcBorders>
            <w:noWrap w:val="0"/>
            <w:vAlign w:val="center"/>
          </w:tcPr>
          <w:p w14:paraId="7A6910FF">
            <w:pPr>
              <w:autoSpaceDE w:val="0"/>
              <w:autoSpaceDN w:val="0"/>
              <w:adjustRightInd w:val="0"/>
              <w:jc w:val="center"/>
              <w:rPr>
                <w:bCs/>
                <w:color w:val="auto"/>
                <w:sz w:val="21"/>
                <w:szCs w:val="21"/>
                <w:highlight w:val="none"/>
              </w:rPr>
            </w:pPr>
            <w:r>
              <w:rPr>
                <w:color w:val="auto"/>
                <w:sz w:val="21"/>
                <w:szCs w:val="21"/>
                <w:highlight w:val="none"/>
              </w:rPr>
              <w:t>NH</w:t>
            </w:r>
            <w:r>
              <w:rPr>
                <w:color w:val="auto"/>
                <w:sz w:val="21"/>
                <w:szCs w:val="21"/>
                <w:highlight w:val="none"/>
                <w:vertAlign w:val="subscript"/>
              </w:rPr>
              <w:t>3</w:t>
            </w:r>
          </w:p>
        </w:tc>
        <w:tc>
          <w:tcPr>
            <w:tcW w:w="539" w:type="pct"/>
            <w:tcBorders>
              <w:tl2br w:val="nil"/>
              <w:tr2bl w:val="nil"/>
            </w:tcBorders>
            <w:noWrap w:val="0"/>
            <w:vAlign w:val="center"/>
          </w:tcPr>
          <w:p w14:paraId="77C21E69">
            <w:pPr>
              <w:widowControl/>
              <w:jc w:val="center"/>
              <w:textAlignment w:val="center"/>
              <w:rPr>
                <w:rFonts w:hint="default" w:eastAsia="宋体"/>
                <w:bCs/>
                <w:color w:val="auto"/>
                <w:sz w:val="21"/>
                <w:szCs w:val="21"/>
                <w:highlight w:val="none"/>
                <w:lang w:val="en-US" w:eastAsia="zh-CN"/>
              </w:rPr>
            </w:pPr>
            <w:r>
              <w:rPr>
                <w:color w:val="auto"/>
                <w:sz w:val="21"/>
                <w:szCs w:val="21"/>
                <w:highlight w:val="none"/>
              </w:rPr>
              <w:t>0.005</w:t>
            </w:r>
          </w:p>
        </w:tc>
      </w:tr>
      <w:tr w14:paraId="74B2DC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48" w:type="pct"/>
            <w:vMerge w:val="continue"/>
            <w:tcBorders>
              <w:tl2br w:val="nil"/>
              <w:tr2bl w:val="nil"/>
            </w:tcBorders>
            <w:noWrap w:val="0"/>
            <w:vAlign w:val="center"/>
          </w:tcPr>
          <w:p w14:paraId="734BA0FD">
            <w:pPr>
              <w:widowControl/>
              <w:jc w:val="center"/>
              <w:rPr>
                <w:rFonts w:hint="default"/>
                <w:bCs/>
                <w:color w:val="auto"/>
                <w:sz w:val="21"/>
                <w:szCs w:val="21"/>
                <w:highlight w:val="none"/>
                <w:lang w:val="en-US" w:eastAsia="zh-CN"/>
              </w:rPr>
            </w:pPr>
          </w:p>
        </w:tc>
        <w:tc>
          <w:tcPr>
            <w:tcW w:w="346" w:type="pct"/>
            <w:vMerge w:val="continue"/>
            <w:tcBorders>
              <w:tl2br w:val="nil"/>
              <w:tr2bl w:val="nil"/>
            </w:tcBorders>
            <w:noWrap w:val="0"/>
            <w:vAlign w:val="center"/>
          </w:tcPr>
          <w:p w14:paraId="096462D1">
            <w:pPr>
              <w:widowControl/>
              <w:jc w:val="center"/>
              <w:rPr>
                <w:rFonts w:hint="eastAsia"/>
                <w:bCs/>
                <w:color w:val="auto"/>
                <w:sz w:val="21"/>
                <w:szCs w:val="21"/>
                <w:highlight w:val="none"/>
                <w:lang w:eastAsia="zh-CN"/>
              </w:rPr>
            </w:pPr>
          </w:p>
        </w:tc>
        <w:tc>
          <w:tcPr>
            <w:tcW w:w="320" w:type="pct"/>
            <w:vMerge w:val="continue"/>
            <w:tcBorders>
              <w:tl2br w:val="nil"/>
              <w:tr2bl w:val="nil"/>
            </w:tcBorders>
            <w:noWrap w:val="0"/>
            <w:vAlign w:val="center"/>
          </w:tcPr>
          <w:p w14:paraId="3B2D0868">
            <w:pPr>
              <w:autoSpaceDE w:val="0"/>
              <w:autoSpaceDN w:val="0"/>
              <w:adjustRightInd w:val="0"/>
              <w:jc w:val="center"/>
              <w:rPr>
                <w:rFonts w:hint="default" w:ascii="Times New Roman" w:hAnsi="Times New Roman" w:cs="Times New Roman"/>
                <w:bCs/>
                <w:iCs/>
                <w:color w:val="auto"/>
                <w:sz w:val="21"/>
                <w:szCs w:val="21"/>
                <w:highlight w:val="none"/>
              </w:rPr>
            </w:pPr>
          </w:p>
        </w:tc>
        <w:tc>
          <w:tcPr>
            <w:tcW w:w="344" w:type="pct"/>
            <w:vMerge w:val="continue"/>
            <w:tcBorders>
              <w:tl2br w:val="nil"/>
              <w:tr2bl w:val="nil"/>
            </w:tcBorders>
            <w:noWrap w:val="0"/>
            <w:vAlign w:val="center"/>
          </w:tcPr>
          <w:p w14:paraId="0BD941A5">
            <w:pPr>
              <w:autoSpaceDE w:val="0"/>
              <w:autoSpaceDN w:val="0"/>
              <w:adjustRightInd w:val="0"/>
              <w:jc w:val="center"/>
              <w:rPr>
                <w:rFonts w:hint="default" w:ascii="Times New Roman" w:hAnsi="Times New Roman" w:cs="Times New Roman"/>
                <w:bCs/>
                <w:iCs/>
                <w:color w:val="auto"/>
                <w:sz w:val="21"/>
                <w:szCs w:val="21"/>
                <w:highlight w:val="none"/>
              </w:rPr>
            </w:pPr>
          </w:p>
        </w:tc>
        <w:tc>
          <w:tcPr>
            <w:tcW w:w="395" w:type="pct"/>
            <w:vMerge w:val="continue"/>
            <w:tcBorders>
              <w:tl2br w:val="nil"/>
              <w:tr2bl w:val="nil"/>
            </w:tcBorders>
            <w:noWrap w:val="0"/>
            <w:vAlign w:val="center"/>
          </w:tcPr>
          <w:p w14:paraId="6E49BA33">
            <w:pPr>
              <w:widowControl/>
              <w:jc w:val="center"/>
              <w:rPr>
                <w:rFonts w:hint="eastAsia"/>
                <w:bCs/>
                <w:color w:val="auto"/>
                <w:sz w:val="21"/>
                <w:szCs w:val="21"/>
                <w:highlight w:val="none"/>
                <w:lang w:val="en-US" w:eastAsia="zh-CN"/>
              </w:rPr>
            </w:pPr>
          </w:p>
        </w:tc>
        <w:tc>
          <w:tcPr>
            <w:tcW w:w="387" w:type="pct"/>
            <w:vMerge w:val="continue"/>
            <w:tcBorders>
              <w:tl2br w:val="nil"/>
              <w:tr2bl w:val="nil"/>
            </w:tcBorders>
            <w:noWrap w:val="0"/>
            <w:vAlign w:val="center"/>
          </w:tcPr>
          <w:p w14:paraId="615A17EE">
            <w:pPr>
              <w:widowControl/>
              <w:jc w:val="center"/>
              <w:rPr>
                <w:rFonts w:hint="eastAsia"/>
                <w:bCs/>
                <w:color w:val="auto"/>
                <w:sz w:val="21"/>
                <w:szCs w:val="21"/>
                <w:highlight w:val="none"/>
                <w:lang w:val="en-US" w:eastAsia="zh-CN"/>
              </w:rPr>
            </w:pPr>
          </w:p>
        </w:tc>
        <w:tc>
          <w:tcPr>
            <w:tcW w:w="422" w:type="pct"/>
            <w:vMerge w:val="continue"/>
            <w:tcBorders>
              <w:tl2br w:val="nil"/>
              <w:tr2bl w:val="nil"/>
            </w:tcBorders>
            <w:noWrap w:val="0"/>
            <w:vAlign w:val="center"/>
          </w:tcPr>
          <w:p w14:paraId="26C1B930">
            <w:pPr>
              <w:widowControl/>
              <w:jc w:val="center"/>
              <w:rPr>
                <w:rFonts w:hint="eastAsia"/>
                <w:bCs/>
                <w:color w:val="auto"/>
                <w:sz w:val="21"/>
                <w:szCs w:val="21"/>
                <w:highlight w:val="none"/>
                <w:lang w:val="en-US" w:eastAsia="zh-CN"/>
              </w:rPr>
            </w:pPr>
          </w:p>
        </w:tc>
        <w:tc>
          <w:tcPr>
            <w:tcW w:w="431" w:type="pct"/>
            <w:vMerge w:val="continue"/>
            <w:tcBorders>
              <w:tl2br w:val="nil"/>
              <w:tr2bl w:val="nil"/>
            </w:tcBorders>
            <w:noWrap w:val="0"/>
            <w:vAlign w:val="center"/>
          </w:tcPr>
          <w:p w14:paraId="29A15F32">
            <w:pPr>
              <w:widowControl/>
              <w:jc w:val="center"/>
              <w:rPr>
                <w:rFonts w:hint="eastAsia"/>
                <w:bCs/>
                <w:color w:val="auto"/>
                <w:sz w:val="21"/>
                <w:szCs w:val="21"/>
                <w:highlight w:val="none"/>
                <w:lang w:val="en-US" w:eastAsia="zh-CN"/>
              </w:rPr>
            </w:pPr>
          </w:p>
        </w:tc>
        <w:tc>
          <w:tcPr>
            <w:tcW w:w="448" w:type="pct"/>
            <w:vMerge w:val="continue"/>
            <w:tcBorders>
              <w:tl2br w:val="nil"/>
              <w:tr2bl w:val="nil"/>
            </w:tcBorders>
            <w:noWrap w:val="0"/>
            <w:vAlign w:val="center"/>
          </w:tcPr>
          <w:p w14:paraId="74FCB193">
            <w:pPr>
              <w:widowControl/>
              <w:jc w:val="center"/>
              <w:rPr>
                <w:rFonts w:hint="eastAsia"/>
                <w:bCs/>
                <w:color w:val="auto"/>
                <w:sz w:val="21"/>
                <w:szCs w:val="21"/>
                <w:highlight w:val="none"/>
                <w:lang w:val="en-US" w:eastAsia="zh-CN"/>
              </w:rPr>
            </w:pPr>
          </w:p>
        </w:tc>
        <w:tc>
          <w:tcPr>
            <w:tcW w:w="373" w:type="pct"/>
            <w:vMerge w:val="continue"/>
            <w:tcBorders>
              <w:tl2br w:val="nil"/>
              <w:tr2bl w:val="nil"/>
            </w:tcBorders>
            <w:noWrap w:val="0"/>
            <w:vAlign w:val="center"/>
          </w:tcPr>
          <w:p w14:paraId="79F66E60">
            <w:pPr>
              <w:widowControl/>
              <w:jc w:val="center"/>
              <w:rPr>
                <w:rFonts w:hint="eastAsia"/>
                <w:bCs/>
                <w:color w:val="auto"/>
                <w:sz w:val="21"/>
                <w:szCs w:val="21"/>
                <w:highlight w:val="none"/>
                <w:lang w:val="en-US" w:eastAsia="zh-CN"/>
              </w:rPr>
            </w:pPr>
          </w:p>
        </w:tc>
        <w:tc>
          <w:tcPr>
            <w:tcW w:w="279" w:type="pct"/>
            <w:vMerge w:val="continue"/>
            <w:tcBorders>
              <w:tl2br w:val="nil"/>
              <w:tr2bl w:val="nil"/>
            </w:tcBorders>
            <w:noWrap w:val="0"/>
            <w:vAlign w:val="center"/>
          </w:tcPr>
          <w:p w14:paraId="7AA640F7">
            <w:pPr>
              <w:widowControl/>
              <w:jc w:val="center"/>
              <w:rPr>
                <w:rFonts w:hint="eastAsia"/>
                <w:bCs/>
                <w:color w:val="auto"/>
                <w:sz w:val="21"/>
                <w:szCs w:val="21"/>
                <w:highlight w:val="none"/>
                <w:lang w:eastAsia="zh-CN"/>
              </w:rPr>
            </w:pPr>
          </w:p>
        </w:tc>
        <w:tc>
          <w:tcPr>
            <w:tcW w:w="465" w:type="pct"/>
            <w:tcBorders>
              <w:tl2br w:val="nil"/>
              <w:tr2bl w:val="nil"/>
            </w:tcBorders>
            <w:noWrap w:val="0"/>
            <w:vAlign w:val="center"/>
          </w:tcPr>
          <w:p w14:paraId="3C71C264">
            <w:pPr>
              <w:autoSpaceDE w:val="0"/>
              <w:autoSpaceDN w:val="0"/>
              <w:adjustRightInd w:val="0"/>
              <w:jc w:val="center"/>
              <w:rPr>
                <w:bCs/>
                <w:color w:val="auto"/>
                <w:sz w:val="21"/>
                <w:szCs w:val="21"/>
                <w:highlight w:val="none"/>
              </w:rPr>
            </w:pPr>
            <w:r>
              <w:rPr>
                <w:color w:val="auto"/>
                <w:sz w:val="21"/>
                <w:szCs w:val="21"/>
                <w:highlight w:val="none"/>
              </w:rPr>
              <w:t>H</w:t>
            </w:r>
            <w:r>
              <w:rPr>
                <w:color w:val="auto"/>
                <w:sz w:val="21"/>
                <w:szCs w:val="21"/>
                <w:highlight w:val="none"/>
                <w:vertAlign w:val="subscript"/>
              </w:rPr>
              <w:t>2</w:t>
            </w:r>
            <w:r>
              <w:rPr>
                <w:color w:val="auto"/>
                <w:sz w:val="21"/>
                <w:szCs w:val="21"/>
                <w:highlight w:val="none"/>
              </w:rPr>
              <w:t>S</w:t>
            </w:r>
          </w:p>
        </w:tc>
        <w:tc>
          <w:tcPr>
            <w:tcW w:w="539" w:type="pct"/>
            <w:tcBorders>
              <w:tl2br w:val="nil"/>
              <w:tr2bl w:val="nil"/>
            </w:tcBorders>
            <w:noWrap w:val="0"/>
            <w:vAlign w:val="center"/>
          </w:tcPr>
          <w:p w14:paraId="238DD7BC">
            <w:pPr>
              <w:widowControl/>
              <w:jc w:val="center"/>
              <w:textAlignment w:val="center"/>
              <w:rPr>
                <w:rFonts w:hint="eastAsia" w:eastAsia="宋体"/>
                <w:bCs/>
                <w:color w:val="auto"/>
                <w:sz w:val="21"/>
                <w:szCs w:val="21"/>
                <w:highlight w:val="none"/>
                <w:lang w:val="en-US" w:eastAsia="zh-CN"/>
              </w:rPr>
            </w:pPr>
            <w:r>
              <w:rPr>
                <w:color w:val="auto"/>
                <w:sz w:val="21"/>
                <w:szCs w:val="21"/>
                <w:highlight w:val="none"/>
              </w:rPr>
              <w:t>0.00025</w:t>
            </w:r>
          </w:p>
        </w:tc>
      </w:tr>
      <w:tr w14:paraId="0BD873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48" w:type="pct"/>
            <w:vMerge w:val="restart"/>
            <w:tcBorders>
              <w:tl2br w:val="nil"/>
              <w:tr2bl w:val="nil"/>
            </w:tcBorders>
            <w:noWrap w:val="0"/>
            <w:vAlign w:val="center"/>
          </w:tcPr>
          <w:p w14:paraId="5AD2ABED">
            <w:pPr>
              <w:widowControl/>
              <w:jc w:val="center"/>
              <w:rPr>
                <w:rFonts w:hint="default"/>
                <w:bCs/>
                <w:color w:val="auto"/>
                <w:sz w:val="21"/>
                <w:szCs w:val="21"/>
                <w:highlight w:val="none"/>
                <w:lang w:val="en-US" w:eastAsia="zh-CN"/>
              </w:rPr>
            </w:pPr>
            <w:r>
              <w:rPr>
                <w:rFonts w:hint="eastAsia"/>
                <w:bCs/>
                <w:color w:val="auto"/>
                <w:sz w:val="21"/>
                <w:szCs w:val="21"/>
                <w:highlight w:val="none"/>
                <w:lang w:val="en-US" w:eastAsia="zh-CN"/>
              </w:rPr>
              <w:t>2</w:t>
            </w:r>
          </w:p>
        </w:tc>
        <w:tc>
          <w:tcPr>
            <w:tcW w:w="346" w:type="pct"/>
            <w:vMerge w:val="restart"/>
            <w:tcBorders>
              <w:tl2br w:val="nil"/>
              <w:tr2bl w:val="nil"/>
            </w:tcBorders>
            <w:noWrap w:val="0"/>
            <w:vAlign w:val="center"/>
          </w:tcPr>
          <w:p w14:paraId="2D1A0928">
            <w:pPr>
              <w:widowControl/>
              <w:jc w:val="center"/>
              <w:rPr>
                <w:rFonts w:hint="eastAsia"/>
                <w:bCs/>
                <w:color w:val="auto"/>
                <w:sz w:val="21"/>
                <w:szCs w:val="21"/>
                <w:highlight w:val="none"/>
                <w:lang w:eastAsia="zh-CN"/>
              </w:rPr>
            </w:pPr>
            <w:r>
              <w:rPr>
                <w:rFonts w:hint="eastAsia"/>
                <w:bCs/>
                <w:color w:val="auto"/>
                <w:sz w:val="21"/>
                <w:szCs w:val="21"/>
                <w:highlight w:val="none"/>
                <w:lang w:eastAsia="zh-CN"/>
              </w:rPr>
              <w:t>临时储粪场</w:t>
            </w:r>
          </w:p>
        </w:tc>
        <w:tc>
          <w:tcPr>
            <w:tcW w:w="320" w:type="pct"/>
            <w:vMerge w:val="restart"/>
            <w:tcBorders>
              <w:tl2br w:val="nil"/>
              <w:tr2bl w:val="nil"/>
            </w:tcBorders>
            <w:noWrap w:val="0"/>
            <w:vAlign w:val="center"/>
          </w:tcPr>
          <w:p w14:paraId="5BAC0D82">
            <w:pPr>
              <w:autoSpaceDE w:val="0"/>
              <w:autoSpaceDN w:val="0"/>
              <w:adjustRightInd w:val="0"/>
              <w:jc w:val="center"/>
              <w:rPr>
                <w:rFonts w:hint="default" w:ascii="Times New Roman" w:hAnsi="Times New Roman" w:eastAsia="宋体" w:cs="Times New Roman"/>
                <w:bCs/>
                <w:iCs/>
                <w:color w:val="auto"/>
                <w:sz w:val="21"/>
                <w:szCs w:val="21"/>
                <w:highlight w:val="none"/>
                <w:lang w:val="en-US" w:eastAsia="zh-CN"/>
              </w:rPr>
            </w:pPr>
            <w:r>
              <w:rPr>
                <w:rFonts w:hint="eastAsia" w:cs="Times New Roman"/>
                <w:bCs/>
                <w:iCs/>
                <w:color w:val="auto"/>
                <w:sz w:val="21"/>
                <w:szCs w:val="21"/>
                <w:highlight w:val="none"/>
                <w:lang w:val="en-US" w:eastAsia="zh-CN"/>
              </w:rPr>
              <w:t>381</w:t>
            </w:r>
          </w:p>
        </w:tc>
        <w:tc>
          <w:tcPr>
            <w:tcW w:w="344" w:type="pct"/>
            <w:vMerge w:val="restart"/>
            <w:tcBorders>
              <w:tl2br w:val="nil"/>
              <w:tr2bl w:val="nil"/>
            </w:tcBorders>
            <w:noWrap w:val="0"/>
            <w:vAlign w:val="center"/>
          </w:tcPr>
          <w:p w14:paraId="01CCD296">
            <w:pPr>
              <w:autoSpaceDE w:val="0"/>
              <w:autoSpaceDN w:val="0"/>
              <w:adjustRightInd w:val="0"/>
              <w:jc w:val="center"/>
              <w:rPr>
                <w:rFonts w:hint="default" w:ascii="Times New Roman" w:hAnsi="Times New Roman" w:eastAsia="宋体" w:cs="Times New Roman"/>
                <w:bCs/>
                <w:iCs/>
                <w:color w:val="auto"/>
                <w:sz w:val="21"/>
                <w:szCs w:val="21"/>
                <w:highlight w:val="none"/>
                <w:lang w:val="en-US" w:eastAsia="zh-CN"/>
              </w:rPr>
            </w:pPr>
            <w:r>
              <w:rPr>
                <w:rFonts w:hint="eastAsia" w:cs="Times New Roman"/>
                <w:bCs/>
                <w:iCs/>
                <w:color w:val="auto"/>
                <w:sz w:val="21"/>
                <w:szCs w:val="21"/>
                <w:highlight w:val="none"/>
                <w:lang w:val="en-US" w:eastAsia="zh-CN"/>
              </w:rPr>
              <w:t>358</w:t>
            </w:r>
          </w:p>
        </w:tc>
        <w:tc>
          <w:tcPr>
            <w:tcW w:w="395" w:type="pct"/>
            <w:vMerge w:val="restart"/>
            <w:tcBorders>
              <w:tl2br w:val="nil"/>
              <w:tr2bl w:val="nil"/>
            </w:tcBorders>
            <w:noWrap w:val="0"/>
            <w:vAlign w:val="center"/>
          </w:tcPr>
          <w:p w14:paraId="718F3F6E">
            <w:pPr>
              <w:widowControl/>
              <w:jc w:val="center"/>
              <w:rPr>
                <w:rFonts w:hint="default"/>
                <w:bCs/>
                <w:color w:val="auto"/>
                <w:sz w:val="21"/>
                <w:szCs w:val="21"/>
                <w:highlight w:val="none"/>
                <w:lang w:val="en-US" w:eastAsia="zh-CN"/>
              </w:rPr>
            </w:pPr>
            <w:r>
              <w:rPr>
                <w:rFonts w:hint="eastAsia"/>
                <w:bCs/>
                <w:color w:val="auto"/>
                <w:sz w:val="21"/>
                <w:szCs w:val="21"/>
                <w:highlight w:val="none"/>
                <w:lang w:val="en-US" w:eastAsia="zh-CN"/>
              </w:rPr>
              <w:t>597</w:t>
            </w:r>
          </w:p>
        </w:tc>
        <w:tc>
          <w:tcPr>
            <w:tcW w:w="387" w:type="pct"/>
            <w:vMerge w:val="restart"/>
            <w:tcBorders>
              <w:tl2br w:val="nil"/>
              <w:tr2bl w:val="nil"/>
            </w:tcBorders>
            <w:noWrap w:val="0"/>
            <w:vAlign w:val="center"/>
          </w:tcPr>
          <w:p w14:paraId="76503E2C">
            <w:pPr>
              <w:widowControl/>
              <w:jc w:val="center"/>
              <w:rPr>
                <w:rFonts w:hint="default"/>
                <w:bCs/>
                <w:color w:val="auto"/>
                <w:sz w:val="21"/>
                <w:szCs w:val="21"/>
                <w:highlight w:val="none"/>
                <w:lang w:val="en-US" w:eastAsia="zh-CN"/>
              </w:rPr>
            </w:pPr>
            <w:r>
              <w:rPr>
                <w:rFonts w:hint="eastAsia"/>
                <w:bCs/>
                <w:color w:val="auto"/>
                <w:sz w:val="21"/>
                <w:szCs w:val="21"/>
                <w:highlight w:val="none"/>
                <w:lang w:val="en-US" w:eastAsia="zh-CN"/>
              </w:rPr>
              <w:t>100</w:t>
            </w:r>
          </w:p>
        </w:tc>
        <w:tc>
          <w:tcPr>
            <w:tcW w:w="422" w:type="pct"/>
            <w:vMerge w:val="restart"/>
            <w:tcBorders>
              <w:tl2br w:val="nil"/>
              <w:tr2bl w:val="nil"/>
            </w:tcBorders>
            <w:noWrap w:val="0"/>
            <w:vAlign w:val="center"/>
          </w:tcPr>
          <w:p w14:paraId="009FD59D">
            <w:pPr>
              <w:widowControl/>
              <w:jc w:val="center"/>
              <w:rPr>
                <w:rFonts w:hint="default"/>
                <w:bCs/>
                <w:color w:val="auto"/>
                <w:sz w:val="21"/>
                <w:szCs w:val="21"/>
                <w:highlight w:val="none"/>
                <w:lang w:val="en-US" w:eastAsia="zh-CN"/>
              </w:rPr>
            </w:pPr>
            <w:r>
              <w:rPr>
                <w:rFonts w:hint="eastAsia"/>
                <w:bCs/>
                <w:color w:val="auto"/>
                <w:sz w:val="21"/>
                <w:szCs w:val="21"/>
                <w:highlight w:val="none"/>
                <w:lang w:val="en-US" w:eastAsia="zh-CN"/>
              </w:rPr>
              <w:t>20</w:t>
            </w:r>
          </w:p>
        </w:tc>
        <w:tc>
          <w:tcPr>
            <w:tcW w:w="431" w:type="pct"/>
            <w:vMerge w:val="restart"/>
            <w:tcBorders>
              <w:tl2br w:val="nil"/>
              <w:tr2bl w:val="nil"/>
            </w:tcBorders>
            <w:noWrap w:val="0"/>
            <w:vAlign w:val="center"/>
          </w:tcPr>
          <w:p w14:paraId="544E0415">
            <w:pPr>
              <w:widowControl/>
              <w:jc w:val="center"/>
              <w:rPr>
                <w:rFonts w:hint="default"/>
                <w:bCs/>
                <w:color w:val="auto"/>
                <w:sz w:val="21"/>
                <w:szCs w:val="21"/>
                <w:highlight w:val="none"/>
                <w:lang w:val="en-US" w:eastAsia="zh-CN"/>
              </w:rPr>
            </w:pPr>
            <w:r>
              <w:rPr>
                <w:rFonts w:hint="eastAsia"/>
                <w:bCs/>
                <w:color w:val="auto"/>
                <w:sz w:val="21"/>
                <w:szCs w:val="21"/>
                <w:highlight w:val="none"/>
                <w:lang w:val="en-US" w:eastAsia="zh-CN"/>
              </w:rPr>
              <w:t>130</w:t>
            </w:r>
          </w:p>
        </w:tc>
        <w:tc>
          <w:tcPr>
            <w:tcW w:w="448" w:type="pct"/>
            <w:vMerge w:val="restart"/>
            <w:tcBorders>
              <w:tl2br w:val="nil"/>
              <w:tr2bl w:val="nil"/>
            </w:tcBorders>
            <w:noWrap w:val="0"/>
            <w:vAlign w:val="center"/>
          </w:tcPr>
          <w:p w14:paraId="756B668C">
            <w:pPr>
              <w:widowControl/>
              <w:jc w:val="center"/>
              <w:rPr>
                <w:rFonts w:hint="default"/>
                <w:bCs/>
                <w:color w:val="auto"/>
                <w:sz w:val="21"/>
                <w:szCs w:val="21"/>
                <w:highlight w:val="none"/>
                <w:lang w:val="en-US" w:eastAsia="zh-CN"/>
              </w:rPr>
            </w:pPr>
            <w:r>
              <w:rPr>
                <w:rFonts w:hint="eastAsia"/>
                <w:bCs/>
                <w:color w:val="auto"/>
                <w:sz w:val="21"/>
                <w:szCs w:val="21"/>
                <w:highlight w:val="none"/>
                <w:lang w:val="en-US" w:eastAsia="zh-CN"/>
              </w:rPr>
              <w:t>4</w:t>
            </w:r>
          </w:p>
        </w:tc>
        <w:tc>
          <w:tcPr>
            <w:tcW w:w="373" w:type="pct"/>
            <w:vMerge w:val="restart"/>
            <w:tcBorders>
              <w:tl2br w:val="nil"/>
              <w:tr2bl w:val="nil"/>
            </w:tcBorders>
            <w:noWrap w:val="0"/>
            <w:vAlign w:val="center"/>
          </w:tcPr>
          <w:p w14:paraId="48645861">
            <w:pPr>
              <w:widowControl/>
              <w:jc w:val="center"/>
              <w:rPr>
                <w:rFonts w:hint="default"/>
                <w:bCs/>
                <w:color w:val="auto"/>
                <w:sz w:val="21"/>
                <w:szCs w:val="21"/>
                <w:highlight w:val="none"/>
                <w:lang w:val="en-US" w:eastAsia="zh-CN"/>
              </w:rPr>
            </w:pPr>
            <w:r>
              <w:rPr>
                <w:rFonts w:hint="eastAsia"/>
                <w:bCs/>
                <w:color w:val="auto"/>
                <w:sz w:val="21"/>
                <w:szCs w:val="21"/>
                <w:highlight w:val="none"/>
                <w:lang w:val="en-US" w:eastAsia="zh-CN"/>
              </w:rPr>
              <w:t>1200</w:t>
            </w:r>
          </w:p>
        </w:tc>
        <w:tc>
          <w:tcPr>
            <w:tcW w:w="279" w:type="pct"/>
            <w:vMerge w:val="restart"/>
            <w:tcBorders>
              <w:tl2br w:val="nil"/>
              <w:tr2bl w:val="nil"/>
            </w:tcBorders>
            <w:noWrap w:val="0"/>
            <w:vAlign w:val="center"/>
          </w:tcPr>
          <w:p w14:paraId="26A20A12">
            <w:pPr>
              <w:widowControl/>
              <w:jc w:val="center"/>
              <w:rPr>
                <w:rFonts w:hint="default"/>
                <w:bCs/>
                <w:color w:val="auto"/>
                <w:sz w:val="21"/>
                <w:szCs w:val="21"/>
                <w:highlight w:val="none"/>
                <w:lang w:val="en-US" w:eastAsia="zh-CN"/>
              </w:rPr>
            </w:pPr>
            <w:r>
              <w:rPr>
                <w:rFonts w:hint="eastAsia"/>
                <w:bCs/>
                <w:color w:val="auto"/>
                <w:sz w:val="21"/>
                <w:szCs w:val="21"/>
                <w:highlight w:val="none"/>
                <w:lang w:val="en-US" w:eastAsia="zh-CN"/>
              </w:rPr>
              <w:t>正常</w:t>
            </w:r>
          </w:p>
        </w:tc>
        <w:tc>
          <w:tcPr>
            <w:tcW w:w="465" w:type="pct"/>
            <w:tcBorders>
              <w:tl2br w:val="nil"/>
              <w:tr2bl w:val="nil"/>
            </w:tcBorders>
            <w:noWrap w:val="0"/>
            <w:vAlign w:val="center"/>
          </w:tcPr>
          <w:p w14:paraId="58E05D60">
            <w:pPr>
              <w:autoSpaceDE w:val="0"/>
              <w:autoSpaceDN w:val="0"/>
              <w:adjustRightInd w:val="0"/>
              <w:jc w:val="center"/>
              <w:rPr>
                <w:bCs/>
                <w:color w:val="auto"/>
                <w:sz w:val="21"/>
                <w:szCs w:val="21"/>
                <w:highlight w:val="none"/>
              </w:rPr>
            </w:pPr>
            <w:r>
              <w:rPr>
                <w:color w:val="auto"/>
                <w:sz w:val="21"/>
                <w:szCs w:val="21"/>
                <w:highlight w:val="none"/>
              </w:rPr>
              <w:t>NH</w:t>
            </w:r>
            <w:r>
              <w:rPr>
                <w:color w:val="auto"/>
                <w:sz w:val="21"/>
                <w:szCs w:val="21"/>
                <w:highlight w:val="none"/>
                <w:vertAlign w:val="subscript"/>
              </w:rPr>
              <w:t>3</w:t>
            </w:r>
          </w:p>
        </w:tc>
        <w:tc>
          <w:tcPr>
            <w:tcW w:w="539" w:type="pct"/>
            <w:tcBorders>
              <w:tl2br w:val="nil"/>
              <w:tr2bl w:val="nil"/>
            </w:tcBorders>
            <w:noWrap w:val="0"/>
            <w:vAlign w:val="center"/>
          </w:tcPr>
          <w:p w14:paraId="08BB39F1">
            <w:pPr>
              <w:widowControl/>
              <w:jc w:val="center"/>
              <w:textAlignment w:val="center"/>
              <w:rPr>
                <w:rFonts w:hint="eastAsia" w:eastAsia="宋体"/>
                <w:bCs/>
                <w:color w:val="auto"/>
                <w:sz w:val="21"/>
                <w:szCs w:val="21"/>
                <w:highlight w:val="none"/>
                <w:lang w:val="en-US" w:eastAsia="zh-CN"/>
              </w:rPr>
            </w:pPr>
            <w:r>
              <w:rPr>
                <w:rFonts w:hint="eastAsia"/>
                <w:color w:val="auto"/>
                <w:sz w:val="21"/>
                <w:szCs w:val="21"/>
                <w:highlight w:val="none"/>
                <w:lang w:val="en-US" w:eastAsia="zh-CN"/>
              </w:rPr>
              <w:t>0.09</w:t>
            </w:r>
          </w:p>
        </w:tc>
      </w:tr>
      <w:tr w14:paraId="23BA15B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8" w:type="pct"/>
            <w:vMerge w:val="continue"/>
            <w:tcBorders>
              <w:tl2br w:val="nil"/>
              <w:tr2bl w:val="nil"/>
            </w:tcBorders>
            <w:noWrap w:val="0"/>
            <w:vAlign w:val="center"/>
          </w:tcPr>
          <w:p w14:paraId="14D30E01">
            <w:pPr>
              <w:widowControl/>
              <w:jc w:val="center"/>
              <w:rPr>
                <w:rFonts w:hint="eastAsia"/>
                <w:bCs/>
                <w:color w:val="auto"/>
                <w:sz w:val="21"/>
                <w:szCs w:val="21"/>
                <w:highlight w:val="none"/>
                <w:lang w:val="en-US" w:eastAsia="zh-CN"/>
              </w:rPr>
            </w:pPr>
          </w:p>
        </w:tc>
        <w:tc>
          <w:tcPr>
            <w:tcW w:w="346" w:type="pct"/>
            <w:vMerge w:val="continue"/>
            <w:tcBorders>
              <w:tl2br w:val="nil"/>
              <w:tr2bl w:val="nil"/>
            </w:tcBorders>
            <w:noWrap w:val="0"/>
            <w:vAlign w:val="center"/>
          </w:tcPr>
          <w:p w14:paraId="772D61FB">
            <w:pPr>
              <w:widowControl/>
              <w:jc w:val="center"/>
              <w:rPr>
                <w:rFonts w:hint="eastAsia"/>
                <w:bCs/>
                <w:color w:val="auto"/>
                <w:sz w:val="21"/>
                <w:szCs w:val="21"/>
                <w:highlight w:val="none"/>
                <w:lang w:eastAsia="zh-CN"/>
              </w:rPr>
            </w:pPr>
          </w:p>
        </w:tc>
        <w:tc>
          <w:tcPr>
            <w:tcW w:w="320" w:type="pct"/>
            <w:vMerge w:val="continue"/>
            <w:tcBorders>
              <w:tl2br w:val="nil"/>
              <w:tr2bl w:val="nil"/>
            </w:tcBorders>
            <w:noWrap w:val="0"/>
            <w:vAlign w:val="center"/>
          </w:tcPr>
          <w:p w14:paraId="4127111F">
            <w:pPr>
              <w:autoSpaceDE w:val="0"/>
              <w:autoSpaceDN w:val="0"/>
              <w:adjustRightInd w:val="0"/>
              <w:jc w:val="center"/>
              <w:rPr>
                <w:rFonts w:hint="default" w:ascii="Times New Roman" w:hAnsi="Times New Roman" w:cs="Times New Roman"/>
                <w:bCs/>
                <w:iCs/>
                <w:color w:val="auto"/>
                <w:sz w:val="21"/>
                <w:szCs w:val="21"/>
                <w:highlight w:val="none"/>
              </w:rPr>
            </w:pPr>
          </w:p>
        </w:tc>
        <w:tc>
          <w:tcPr>
            <w:tcW w:w="344" w:type="pct"/>
            <w:vMerge w:val="continue"/>
            <w:tcBorders>
              <w:tl2br w:val="nil"/>
              <w:tr2bl w:val="nil"/>
            </w:tcBorders>
            <w:noWrap w:val="0"/>
            <w:vAlign w:val="center"/>
          </w:tcPr>
          <w:p w14:paraId="2BC8EDB9">
            <w:pPr>
              <w:autoSpaceDE w:val="0"/>
              <w:autoSpaceDN w:val="0"/>
              <w:adjustRightInd w:val="0"/>
              <w:jc w:val="center"/>
              <w:rPr>
                <w:rFonts w:hint="default" w:ascii="Times New Roman" w:hAnsi="Times New Roman" w:cs="Times New Roman"/>
                <w:bCs/>
                <w:iCs/>
                <w:color w:val="auto"/>
                <w:sz w:val="21"/>
                <w:szCs w:val="21"/>
                <w:highlight w:val="none"/>
              </w:rPr>
            </w:pPr>
          </w:p>
        </w:tc>
        <w:tc>
          <w:tcPr>
            <w:tcW w:w="395" w:type="pct"/>
            <w:vMerge w:val="continue"/>
            <w:tcBorders>
              <w:tl2br w:val="nil"/>
              <w:tr2bl w:val="nil"/>
            </w:tcBorders>
            <w:noWrap w:val="0"/>
            <w:vAlign w:val="center"/>
          </w:tcPr>
          <w:p w14:paraId="6E067040">
            <w:pPr>
              <w:widowControl/>
              <w:jc w:val="center"/>
              <w:rPr>
                <w:rFonts w:hint="eastAsia"/>
                <w:bCs/>
                <w:color w:val="auto"/>
                <w:sz w:val="21"/>
                <w:szCs w:val="21"/>
                <w:highlight w:val="none"/>
                <w:lang w:val="en-US" w:eastAsia="zh-CN"/>
              </w:rPr>
            </w:pPr>
          </w:p>
        </w:tc>
        <w:tc>
          <w:tcPr>
            <w:tcW w:w="387" w:type="pct"/>
            <w:vMerge w:val="continue"/>
            <w:tcBorders>
              <w:tl2br w:val="nil"/>
              <w:tr2bl w:val="nil"/>
            </w:tcBorders>
            <w:noWrap w:val="0"/>
            <w:vAlign w:val="center"/>
          </w:tcPr>
          <w:p w14:paraId="576152D6">
            <w:pPr>
              <w:widowControl/>
              <w:jc w:val="center"/>
              <w:rPr>
                <w:rFonts w:hint="eastAsia"/>
                <w:bCs/>
                <w:color w:val="auto"/>
                <w:sz w:val="21"/>
                <w:szCs w:val="21"/>
                <w:highlight w:val="none"/>
                <w:lang w:val="en-US" w:eastAsia="zh-CN"/>
              </w:rPr>
            </w:pPr>
          </w:p>
        </w:tc>
        <w:tc>
          <w:tcPr>
            <w:tcW w:w="422" w:type="pct"/>
            <w:vMerge w:val="continue"/>
            <w:tcBorders>
              <w:tl2br w:val="nil"/>
              <w:tr2bl w:val="nil"/>
            </w:tcBorders>
            <w:noWrap w:val="0"/>
            <w:vAlign w:val="center"/>
          </w:tcPr>
          <w:p w14:paraId="35A0FDBA">
            <w:pPr>
              <w:widowControl/>
              <w:jc w:val="center"/>
              <w:rPr>
                <w:rFonts w:hint="eastAsia"/>
                <w:bCs/>
                <w:color w:val="auto"/>
                <w:sz w:val="21"/>
                <w:szCs w:val="21"/>
                <w:highlight w:val="none"/>
                <w:lang w:val="en-US" w:eastAsia="zh-CN"/>
              </w:rPr>
            </w:pPr>
          </w:p>
        </w:tc>
        <w:tc>
          <w:tcPr>
            <w:tcW w:w="431" w:type="pct"/>
            <w:vMerge w:val="continue"/>
            <w:tcBorders>
              <w:tl2br w:val="nil"/>
              <w:tr2bl w:val="nil"/>
            </w:tcBorders>
            <w:noWrap w:val="0"/>
            <w:vAlign w:val="center"/>
          </w:tcPr>
          <w:p w14:paraId="500A904A">
            <w:pPr>
              <w:widowControl/>
              <w:jc w:val="center"/>
              <w:rPr>
                <w:rFonts w:hint="eastAsia"/>
                <w:bCs/>
                <w:color w:val="auto"/>
                <w:sz w:val="21"/>
                <w:szCs w:val="21"/>
                <w:highlight w:val="none"/>
                <w:lang w:val="en-US" w:eastAsia="zh-CN"/>
              </w:rPr>
            </w:pPr>
          </w:p>
        </w:tc>
        <w:tc>
          <w:tcPr>
            <w:tcW w:w="448" w:type="pct"/>
            <w:vMerge w:val="continue"/>
            <w:tcBorders>
              <w:tl2br w:val="nil"/>
              <w:tr2bl w:val="nil"/>
            </w:tcBorders>
            <w:noWrap w:val="0"/>
            <w:vAlign w:val="center"/>
          </w:tcPr>
          <w:p w14:paraId="785D537F">
            <w:pPr>
              <w:widowControl/>
              <w:jc w:val="center"/>
              <w:rPr>
                <w:rFonts w:hint="eastAsia"/>
                <w:bCs/>
                <w:color w:val="auto"/>
                <w:sz w:val="21"/>
                <w:szCs w:val="21"/>
                <w:highlight w:val="none"/>
                <w:lang w:val="en-US" w:eastAsia="zh-CN"/>
              </w:rPr>
            </w:pPr>
          </w:p>
        </w:tc>
        <w:tc>
          <w:tcPr>
            <w:tcW w:w="373" w:type="pct"/>
            <w:vMerge w:val="continue"/>
            <w:tcBorders>
              <w:tl2br w:val="nil"/>
              <w:tr2bl w:val="nil"/>
            </w:tcBorders>
            <w:noWrap w:val="0"/>
            <w:vAlign w:val="center"/>
          </w:tcPr>
          <w:p w14:paraId="5063B7EC">
            <w:pPr>
              <w:widowControl/>
              <w:jc w:val="center"/>
              <w:rPr>
                <w:rFonts w:hint="eastAsia"/>
                <w:bCs/>
                <w:color w:val="auto"/>
                <w:sz w:val="21"/>
                <w:szCs w:val="21"/>
                <w:highlight w:val="none"/>
                <w:lang w:val="en-US" w:eastAsia="zh-CN"/>
              </w:rPr>
            </w:pPr>
          </w:p>
        </w:tc>
        <w:tc>
          <w:tcPr>
            <w:tcW w:w="279" w:type="pct"/>
            <w:vMerge w:val="continue"/>
            <w:tcBorders>
              <w:tl2br w:val="nil"/>
              <w:tr2bl w:val="nil"/>
            </w:tcBorders>
            <w:noWrap w:val="0"/>
            <w:vAlign w:val="center"/>
          </w:tcPr>
          <w:p w14:paraId="50DAF3CC">
            <w:pPr>
              <w:widowControl/>
              <w:jc w:val="center"/>
              <w:rPr>
                <w:rFonts w:hint="eastAsia"/>
                <w:bCs/>
                <w:color w:val="auto"/>
                <w:sz w:val="21"/>
                <w:szCs w:val="21"/>
                <w:highlight w:val="none"/>
                <w:lang w:eastAsia="zh-CN"/>
              </w:rPr>
            </w:pPr>
          </w:p>
        </w:tc>
        <w:tc>
          <w:tcPr>
            <w:tcW w:w="465" w:type="pct"/>
            <w:tcBorders>
              <w:tl2br w:val="nil"/>
              <w:tr2bl w:val="nil"/>
            </w:tcBorders>
            <w:noWrap w:val="0"/>
            <w:vAlign w:val="center"/>
          </w:tcPr>
          <w:p w14:paraId="483AE05A">
            <w:pPr>
              <w:autoSpaceDE w:val="0"/>
              <w:autoSpaceDN w:val="0"/>
              <w:adjustRightInd w:val="0"/>
              <w:jc w:val="center"/>
              <w:rPr>
                <w:bCs/>
                <w:color w:val="auto"/>
                <w:sz w:val="21"/>
                <w:szCs w:val="21"/>
                <w:highlight w:val="none"/>
              </w:rPr>
            </w:pPr>
            <w:r>
              <w:rPr>
                <w:color w:val="auto"/>
                <w:sz w:val="21"/>
                <w:szCs w:val="21"/>
                <w:highlight w:val="none"/>
              </w:rPr>
              <w:t>H</w:t>
            </w:r>
            <w:r>
              <w:rPr>
                <w:color w:val="auto"/>
                <w:sz w:val="21"/>
                <w:szCs w:val="21"/>
                <w:highlight w:val="none"/>
                <w:vertAlign w:val="subscript"/>
              </w:rPr>
              <w:t>2</w:t>
            </w:r>
            <w:r>
              <w:rPr>
                <w:color w:val="auto"/>
                <w:sz w:val="21"/>
                <w:szCs w:val="21"/>
                <w:highlight w:val="none"/>
              </w:rPr>
              <w:t>S</w:t>
            </w:r>
          </w:p>
        </w:tc>
        <w:tc>
          <w:tcPr>
            <w:tcW w:w="539" w:type="pct"/>
            <w:tcBorders>
              <w:tl2br w:val="nil"/>
              <w:tr2bl w:val="nil"/>
            </w:tcBorders>
            <w:noWrap w:val="0"/>
            <w:vAlign w:val="center"/>
          </w:tcPr>
          <w:p w14:paraId="27DAFCE3">
            <w:pPr>
              <w:widowControl/>
              <w:jc w:val="center"/>
              <w:textAlignment w:val="center"/>
              <w:rPr>
                <w:rFonts w:hint="default" w:eastAsia="宋体"/>
                <w:bCs/>
                <w:color w:val="auto"/>
                <w:sz w:val="21"/>
                <w:szCs w:val="21"/>
                <w:highlight w:val="none"/>
                <w:lang w:val="en-US" w:eastAsia="zh-CN"/>
              </w:rPr>
            </w:pPr>
            <w:r>
              <w:rPr>
                <w:rFonts w:hint="eastAsia"/>
                <w:color w:val="auto"/>
                <w:sz w:val="21"/>
                <w:szCs w:val="21"/>
                <w:highlight w:val="none"/>
                <w:lang w:val="en-US" w:eastAsia="zh-CN"/>
              </w:rPr>
              <w:t>0.0045</w:t>
            </w:r>
          </w:p>
        </w:tc>
      </w:tr>
    </w:tbl>
    <w:p w14:paraId="53C2B1A5">
      <w:pPr>
        <w:pStyle w:val="276"/>
        <w:ind w:left="0" w:leftChars="0" w:firstLine="0" w:firstLineChars="0"/>
        <w:rPr>
          <w:b/>
          <w:color w:val="auto"/>
          <w:sz w:val="28"/>
          <w:szCs w:val="28"/>
        </w:rPr>
      </w:pPr>
    </w:p>
    <w:p w14:paraId="2E0724E2">
      <w:pPr>
        <w:pStyle w:val="276"/>
        <w:ind w:left="0" w:leftChars="0" w:firstLine="0" w:firstLineChars="0"/>
        <w:rPr>
          <w:b/>
          <w:color w:val="auto"/>
          <w:sz w:val="28"/>
          <w:szCs w:val="28"/>
        </w:rPr>
        <w:sectPr>
          <w:pgSz w:w="16838" w:h="11906" w:orient="landscape"/>
          <w:pgMar w:top="1452" w:right="1418" w:bottom="1452" w:left="1418"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066DEC3D">
      <w:pPr>
        <w:bidi w:val="0"/>
        <w:spacing w:line="360" w:lineRule="auto"/>
        <w:rPr>
          <w:rFonts w:hint="eastAsia"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rPr>
        <w:t>5.</w:t>
      </w:r>
      <w:r>
        <w:rPr>
          <w:rFonts w:hint="eastAsia" w:cs="Times New Roman"/>
          <w:b/>
          <w:bCs/>
          <w:color w:val="auto"/>
          <w:sz w:val="24"/>
          <w:szCs w:val="24"/>
          <w:lang w:val="en-US" w:eastAsia="zh-CN"/>
        </w:rPr>
        <w:t>2.1</w:t>
      </w:r>
      <w:r>
        <w:rPr>
          <w:rFonts w:hint="eastAsia" w:ascii="Times New Roman" w:hAnsi="Times New Roman" w:eastAsia="宋体" w:cs="Times New Roman"/>
          <w:b/>
          <w:bCs/>
          <w:color w:val="auto"/>
          <w:sz w:val="24"/>
          <w:szCs w:val="24"/>
        </w:rPr>
        <w:t>.</w:t>
      </w:r>
      <w:r>
        <w:rPr>
          <w:rFonts w:hint="eastAsia" w:cs="Times New Roman"/>
          <w:b/>
          <w:bCs/>
          <w:color w:val="auto"/>
          <w:sz w:val="24"/>
          <w:szCs w:val="24"/>
          <w:lang w:val="en-US" w:eastAsia="zh-CN"/>
        </w:rPr>
        <w:t>4</w:t>
      </w:r>
      <w:r>
        <w:rPr>
          <w:rFonts w:hint="eastAsia" w:ascii="Times New Roman" w:hAnsi="Times New Roman" w:eastAsia="宋体" w:cs="Times New Roman"/>
          <w:b/>
          <w:bCs/>
          <w:color w:val="auto"/>
          <w:sz w:val="24"/>
          <w:szCs w:val="24"/>
        </w:rPr>
        <w:t>预测参数</w:t>
      </w:r>
    </w:p>
    <w:p w14:paraId="1492F343">
      <w:pPr>
        <w:pStyle w:val="450"/>
        <w:rPr>
          <w:rFonts w:hint="eastAsia" w:ascii="Times New Roman" w:hAnsi="宋体" w:eastAsia="宋体" w:cs="Times New Roman"/>
          <w:bCs/>
          <w:snapToGrid/>
          <w:color w:val="auto"/>
          <w:szCs w:val="24"/>
        </w:rPr>
      </w:pPr>
      <w:r>
        <w:rPr>
          <w:rFonts w:hint="eastAsia" w:ascii="Times New Roman" w:hAnsi="宋体" w:eastAsia="宋体" w:cs="Times New Roman"/>
          <w:bCs/>
          <w:snapToGrid/>
          <w:color w:val="auto"/>
          <w:szCs w:val="24"/>
        </w:rPr>
        <w:t>估算模式所用参数见下表。</w:t>
      </w:r>
    </w:p>
    <w:p w14:paraId="794C7B5B">
      <w:pPr>
        <w:snapToGrid w:val="0"/>
        <w:ind w:firstLine="422" w:firstLineChars="200"/>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表5.2-</w:t>
      </w:r>
      <w:r>
        <w:rPr>
          <w:rFonts w:hint="eastAsia" w:cs="Times New Roman"/>
          <w:b/>
          <w:bCs/>
          <w:color w:val="auto"/>
          <w:szCs w:val="21"/>
          <w:lang w:val="en-US" w:eastAsia="zh-CN"/>
        </w:rPr>
        <w:t>7</w:t>
      </w:r>
      <w:r>
        <w:rPr>
          <w:rFonts w:hint="eastAsia" w:ascii="Times New Roman" w:hAnsi="Times New Roman" w:eastAsia="宋体" w:cs="Times New Roman"/>
          <w:b/>
          <w:bCs/>
          <w:color w:val="auto"/>
          <w:szCs w:val="21"/>
          <w:lang w:val="en-US" w:eastAsia="zh-CN"/>
        </w:rPr>
        <w:t xml:space="preserve">   </w:t>
      </w:r>
      <w:r>
        <w:rPr>
          <w:rFonts w:ascii="Times New Roman" w:hAnsi="Times New Roman" w:eastAsia="宋体" w:cs="Times New Roman"/>
          <w:b/>
          <w:bCs/>
          <w:color w:val="auto"/>
          <w:szCs w:val="21"/>
        </w:rPr>
        <w:t>估算模型参数表</w:t>
      </w:r>
    </w:p>
    <w:p w14:paraId="6C830FA9">
      <w:pPr>
        <w:spacing w:line="36" w:lineRule="exact"/>
        <w:rPr>
          <w:color w:val="auto"/>
        </w:rPr>
      </w:pPr>
    </w:p>
    <w:tbl>
      <w:tblPr>
        <w:tblStyle w:val="53"/>
        <w:tblW w:w="4999"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82"/>
        <w:gridCol w:w="2935"/>
        <w:gridCol w:w="2809"/>
      </w:tblGrid>
      <w:tr w14:paraId="3DE696B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52" w:type="pct"/>
            <w:gridSpan w:val="2"/>
            <w:vAlign w:val="center"/>
          </w:tcPr>
          <w:p w14:paraId="60A2C415">
            <w:pPr>
              <w:jc w:val="center"/>
              <w:rPr>
                <w:b/>
                <w:color w:val="auto"/>
              </w:rPr>
            </w:pPr>
            <w:r>
              <w:rPr>
                <w:b/>
                <w:color w:val="auto"/>
              </w:rPr>
              <w:t>参数</w:t>
            </w:r>
          </w:p>
        </w:tc>
        <w:tc>
          <w:tcPr>
            <w:tcW w:w="1647" w:type="pct"/>
            <w:vAlign w:val="center"/>
          </w:tcPr>
          <w:p w14:paraId="498F6D49">
            <w:pPr>
              <w:jc w:val="center"/>
              <w:rPr>
                <w:b/>
                <w:color w:val="auto"/>
              </w:rPr>
            </w:pPr>
            <w:r>
              <w:rPr>
                <w:b/>
                <w:color w:val="auto"/>
              </w:rPr>
              <w:t>取值</w:t>
            </w:r>
          </w:p>
        </w:tc>
      </w:tr>
      <w:tr w14:paraId="4D79D51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restart"/>
            <w:vAlign w:val="center"/>
          </w:tcPr>
          <w:p w14:paraId="412ACFDD">
            <w:pPr>
              <w:jc w:val="center"/>
              <w:rPr>
                <w:color w:val="auto"/>
              </w:rPr>
            </w:pPr>
            <w:r>
              <w:rPr>
                <w:color w:val="auto"/>
              </w:rPr>
              <w:t>城市农村/选项</w:t>
            </w:r>
          </w:p>
        </w:tc>
        <w:tc>
          <w:tcPr>
            <w:tcW w:w="1720" w:type="pct"/>
            <w:vAlign w:val="center"/>
          </w:tcPr>
          <w:p w14:paraId="77980AB6">
            <w:pPr>
              <w:jc w:val="center"/>
              <w:rPr>
                <w:color w:val="auto"/>
              </w:rPr>
            </w:pPr>
            <w:r>
              <w:rPr>
                <w:color w:val="auto"/>
              </w:rPr>
              <w:t>城市/农村</w:t>
            </w:r>
          </w:p>
        </w:tc>
        <w:tc>
          <w:tcPr>
            <w:tcW w:w="1647" w:type="pct"/>
            <w:vAlign w:val="center"/>
          </w:tcPr>
          <w:p w14:paraId="555CD21D">
            <w:pPr>
              <w:jc w:val="center"/>
              <w:rPr>
                <w:color w:val="auto"/>
              </w:rPr>
            </w:pPr>
            <w:r>
              <w:rPr>
                <w:color w:val="auto"/>
              </w:rPr>
              <w:t>农村</w:t>
            </w:r>
          </w:p>
        </w:tc>
      </w:tr>
      <w:tr w14:paraId="24035EC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continue"/>
            <w:vAlign w:val="center"/>
          </w:tcPr>
          <w:p w14:paraId="3DE50FB3">
            <w:pPr>
              <w:widowControl/>
              <w:jc w:val="left"/>
              <w:rPr>
                <w:color w:val="auto"/>
              </w:rPr>
            </w:pPr>
          </w:p>
        </w:tc>
        <w:tc>
          <w:tcPr>
            <w:tcW w:w="1720" w:type="pct"/>
            <w:vAlign w:val="center"/>
          </w:tcPr>
          <w:p w14:paraId="0D0CF103">
            <w:pPr>
              <w:jc w:val="center"/>
              <w:rPr>
                <w:color w:val="auto"/>
              </w:rPr>
            </w:pPr>
            <w:r>
              <w:rPr>
                <w:color w:val="auto"/>
              </w:rPr>
              <w:t>人口数(城市人口数)</w:t>
            </w:r>
          </w:p>
        </w:tc>
        <w:tc>
          <w:tcPr>
            <w:tcW w:w="1647" w:type="pct"/>
            <w:vAlign w:val="center"/>
          </w:tcPr>
          <w:p w14:paraId="33484C2B">
            <w:pPr>
              <w:jc w:val="center"/>
              <w:rPr>
                <w:color w:val="auto"/>
              </w:rPr>
            </w:pPr>
            <w:r>
              <w:rPr>
                <w:color w:val="auto"/>
              </w:rPr>
              <w:t>/</w:t>
            </w:r>
          </w:p>
        </w:tc>
      </w:tr>
      <w:tr w14:paraId="5DAB547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52" w:type="pct"/>
            <w:gridSpan w:val="2"/>
            <w:vAlign w:val="center"/>
          </w:tcPr>
          <w:p w14:paraId="47378F53">
            <w:pPr>
              <w:jc w:val="center"/>
              <w:rPr>
                <w:color w:val="auto"/>
              </w:rPr>
            </w:pPr>
            <w:r>
              <w:rPr>
                <w:color w:val="auto"/>
              </w:rPr>
              <w:t>最高环境温度</w:t>
            </w:r>
          </w:p>
        </w:tc>
        <w:tc>
          <w:tcPr>
            <w:tcW w:w="1647" w:type="pct"/>
            <w:vAlign w:val="center"/>
          </w:tcPr>
          <w:p w14:paraId="7F4C1A1F">
            <w:pPr>
              <w:jc w:val="center"/>
              <w:rPr>
                <w:color w:val="auto"/>
              </w:rPr>
            </w:pPr>
            <w:r>
              <w:rPr>
                <w:rFonts w:hint="eastAsia"/>
                <w:color w:val="auto"/>
              </w:rPr>
              <w:t>42</w:t>
            </w:r>
            <w:r>
              <w:rPr>
                <w:color w:val="auto"/>
              </w:rPr>
              <w:t>°C</w:t>
            </w:r>
          </w:p>
        </w:tc>
      </w:tr>
      <w:tr w14:paraId="0554AE4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52" w:type="pct"/>
            <w:gridSpan w:val="2"/>
            <w:vAlign w:val="center"/>
          </w:tcPr>
          <w:p w14:paraId="115FB9F6">
            <w:pPr>
              <w:jc w:val="center"/>
              <w:rPr>
                <w:color w:val="auto"/>
              </w:rPr>
            </w:pPr>
            <w:r>
              <w:rPr>
                <w:color w:val="auto"/>
              </w:rPr>
              <w:t>最低环境温度</w:t>
            </w:r>
          </w:p>
        </w:tc>
        <w:tc>
          <w:tcPr>
            <w:tcW w:w="1647" w:type="pct"/>
            <w:vAlign w:val="center"/>
          </w:tcPr>
          <w:p w14:paraId="373D9B63">
            <w:pPr>
              <w:jc w:val="center"/>
              <w:rPr>
                <w:color w:val="auto"/>
              </w:rPr>
            </w:pPr>
            <w:r>
              <w:rPr>
                <w:rFonts w:hint="eastAsia"/>
                <w:color w:val="auto"/>
              </w:rPr>
              <w:t>-31.2</w:t>
            </w:r>
          </w:p>
        </w:tc>
      </w:tr>
      <w:tr w14:paraId="323261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52" w:type="pct"/>
            <w:gridSpan w:val="2"/>
            <w:vAlign w:val="center"/>
          </w:tcPr>
          <w:p w14:paraId="12ED263D">
            <w:pPr>
              <w:jc w:val="center"/>
              <w:rPr>
                <w:color w:val="auto"/>
              </w:rPr>
            </w:pPr>
            <w:r>
              <w:rPr>
                <w:color w:val="auto"/>
              </w:rPr>
              <w:t>土地利用类型</w:t>
            </w:r>
          </w:p>
        </w:tc>
        <w:tc>
          <w:tcPr>
            <w:tcW w:w="1647" w:type="pct"/>
            <w:vAlign w:val="center"/>
          </w:tcPr>
          <w:p w14:paraId="36C24A9C">
            <w:pPr>
              <w:jc w:val="center"/>
              <w:rPr>
                <w:color w:val="auto"/>
              </w:rPr>
            </w:pPr>
            <w:r>
              <w:rPr>
                <w:rFonts w:hint="eastAsia"/>
                <w:color w:val="auto"/>
              </w:rPr>
              <w:t>草地</w:t>
            </w:r>
          </w:p>
        </w:tc>
      </w:tr>
      <w:tr w14:paraId="76A634E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52" w:type="pct"/>
            <w:gridSpan w:val="2"/>
            <w:vAlign w:val="center"/>
          </w:tcPr>
          <w:p w14:paraId="1587B9A3">
            <w:pPr>
              <w:jc w:val="center"/>
              <w:rPr>
                <w:color w:val="auto"/>
              </w:rPr>
            </w:pPr>
            <w:r>
              <w:rPr>
                <w:color w:val="auto"/>
              </w:rPr>
              <w:t>区域湿度条件</w:t>
            </w:r>
          </w:p>
        </w:tc>
        <w:tc>
          <w:tcPr>
            <w:tcW w:w="1647" w:type="pct"/>
            <w:vAlign w:val="center"/>
          </w:tcPr>
          <w:p w14:paraId="09E6924E">
            <w:pPr>
              <w:jc w:val="center"/>
              <w:rPr>
                <w:rFonts w:hint="eastAsia" w:eastAsia="宋体"/>
                <w:color w:val="auto"/>
                <w:lang w:eastAsia="zh-CN"/>
              </w:rPr>
            </w:pPr>
            <w:r>
              <w:rPr>
                <w:rFonts w:hint="eastAsia"/>
                <w:color w:val="auto"/>
                <w:lang w:eastAsia="zh-CN"/>
              </w:rPr>
              <w:t>干燥气候</w:t>
            </w:r>
          </w:p>
        </w:tc>
      </w:tr>
      <w:tr w14:paraId="62209C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restart"/>
            <w:vAlign w:val="center"/>
          </w:tcPr>
          <w:p w14:paraId="3F8B3425">
            <w:pPr>
              <w:jc w:val="center"/>
              <w:rPr>
                <w:color w:val="auto"/>
              </w:rPr>
            </w:pPr>
            <w:r>
              <w:rPr>
                <w:color w:val="auto"/>
              </w:rPr>
              <w:t>是否考虑地形</w:t>
            </w:r>
          </w:p>
        </w:tc>
        <w:tc>
          <w:tcPr>
            <w:tcW w:w="1720" w:type="pct"/>
            <w:vAlign w:val="center"/>
          </w:tcPr>
          <w:p w14:paraId="42674CA5">
            <w:pPr>
              <w:jc w:val="center"/>
              <w:rPr>
                <w:color w:val="auto"/>
              </w:rPr>
            </w:pPr>
            <w:r>
              <w:rPr>
                <w:color w:val="auto"/>
              </w:rPr>
              <w:t>考虑地形</w:t>
            </w:r>
          </w:p>
        </w:tc>
        <w:tc>
          <w:tcPr>
            <w:tcW w:w="1647" w:type="pct"/>
            <w:vAlign w:val="center"/>
          </w:tcPr>
          <w:p w14:paraId="100E3A50">
            <w:pPr>
              <w:jc w:val="center"/>
              <w:rPr>
                <w:color w:val="auto"/>
              </w:rPr>
            </w:pPr>
            <w:r>
              <w:rPr>
                <w:color w:val="auto"/>
              </w:rPr>
              <w:t>是</w:t>
            </w:r>
          </w:p>
        </w:tc>
      </w:tr>
      <w:tr w14:paraId="32C5580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continue"/>
            <w:vAlign w:val="center"/>
          </w:tcPr>
          <w:p w14:paraId="46F8DB9C">
            <w:pPr>
              <w:widowControl/>
              <w:jc w:val="left"/>
              <w:rPr>
                <w:color w:val="auto"/>
              </w:rPr>
            </w:pPr>
          </w:p>
        </w:tc>
        <w:tc>
          <w:tcPr>
            <w:tcW w:w="1720" w:type="pct"/>
            <w:vAlign w:val="center"/>
          </w:tcPr>
          <w:p w14:paraId="525187AC">
            <w:pPr>
              <w:jc w:val="center"/>
              <w:rPr>
                <w:color w:val="auto"/>
              </w:rPr>
            </w:pPr>
            <w:r>
              <w:rPr>
                <w:color w:val="auto"/>
              </w:rPr>
              <w:t>地形数据分辨率(m)</w:t>
            </w:r>
          </w:p>
        </w:tc>
        <w:tc>
          <w:tcPr>
            <w:tcW w:w="1647" w:type="pct"/>
            <w:vAlign w:val="center"/>
          </w:tcPr>
          <w:p w14:paraId="4167200A">
            <w:pPr>
              <w:jc w:val="center"/>
              <w:rPr>
                <w:color w:val="auto"/>
              </w:rPr>
            </w:pPr>
            <w:r>
              <w:rPr>
                <w:color w:val="auto"/>
              </w:rPr>
              <w:t>90</w:t>
            </w:r>
          </w:p>
        </w:tc>
      </w:tr>
      <w:tr w14:paraId="759601D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restart"/>
            <w:vAlign w:val="center"/>
          </w:tcPr>
          <w:p w14:paraId="216B1CF1">
            <w:pPr>
              <w:jc w:val="center"/>
              <w:rPr>
                <w:color w:val="auto"/>
              </w:rPr>
            </w:pPr>
            <w:r>
              <w:rPr>
                <w:color w:val="auto"/>
              </w:rPr>
              <w:t>是否考虑海岸线熏烟</w:t>
            </w:r>
          </w:p>
        </w:tc>
        <w:tc>
          <w:tcPr>
            <w:tcW w:w="1720" w:type="pct"/>
            <w:vAlign w:val="center"/>
          </w:tcPr>
          <w:p w14:paraId="3D6474A7">
            <w:pPr>
              <w:jc w:val="center"/>
              <w:rPr>
                <w:color w:val="auto"/>
              </w:rPr>
            </w:pPr>
            <w:r>
              <w:rPr>
                <w:color w:val="auto"/>
              </w:rPr>
              <w:t>考虑海岸线熏烟</w:t>
            </w:r>
          </w:p>
        </w:tc>
        <w:tc>
          <w:tcPr>
            <w:tcW w:w="1647" w:type="pct"/>
            <w:vAlign w:val="center"/>
          </w:tcPr>
          <w:p w14:paraId="10CDD717">
            <w:pPr>
              <w:jc w:val="center"/>
              <w:rPr>
                <w:color w:val="auto"/>
              </w:rPr>
            </w:pPr>
            <w:r>
              <w:rPr>
                <w:color w:val="auto"/>
              </w:rPr>
              <w:t>否</w:t>
            </w:r>
          </w:p>
        </w:tc>
      </w:tr>
      <w:tr w14:paraId="4A692D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continue"/>
            <w:vAlign w:val="center"/>
          </w:tcPr>
          <w:p w14:paraId="2056546D">
            <w:pPr>
              <w:widowControl/>
              <w:jc w:val="left"/>
              <w:rPr>
                <w:color w:val="auto"/>
              </w:rPr>
            </w:pPr>
          </w:p>
        </w:tc>
        <w:tc>
          <w:tcPr>
            <w:tcW w:w="1720" w:type="pct"/>
            <w:vAlign w:val="center"/>
          </w:tcPr>
          <w:p w14:paraId="11894747">
            <w:pPr>
              <w:jc w:val="center"/>
              <w:rPr>
                <w:color w:val="auto"/>
              </w:rPr>
            </w:pPr>
            <w:r>
              <w:rPr>
                <w:color w:val="auto"/>
              </w:rPr>
              <w:t>海岸线距离/m</w:t>
            </w:r>
          </w:p>
        </w:tc>
        <w:tc>
          <w:tcPr>
            <w:tcW w:w="1647" w:type="pct"/>
            <w:vAlign w:val="center"/>
          </w:tcPr>
          <w:p w14:paraId="7C3E168B">
            <w:pPr>
              <w:jc w:val="center"/>
              <w:rPr>
                <w:color w:val="auto"/>
              </w:rPr>
            </w:pPr>
            <w:r>
              <w:rPr>
                <w:color w:val="auto"/>
              </w:rPr>
              <w:t>/</w:t>
            </w:r>
          </w:p>
        </w:tc>
      </w:tr>
      <w:tr w14:paraId="57B515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1" w:type="pct"/>
            <w:vMerge w:val="continue"/>
            <w:vAlign w:val="center"/>
          </w:tcPr>
          <w:p w14:paraId="5C0D40C4">
            <w:pPr>
              <w:widowControl/>
              <w:jc w:val="left"/>
              <w:rPr>
                <w:color w:val="auto"/>
              </w:rPr>
            </w:pPr>
          </w:p>
        </w:tc>
        <w:tc>
          <w:tcPr>
            <w:tcW w:w="1720" w:type="pct"/>
            <w:vAlign w:val="center"/>
          </w:tcPr>
          <w:p w14:paraId="46DA11F7">
            <w:pPr>
              <w:jc w:val="center"/>
              <w:rPr>
                <w:color w:val="auto"/>
              </w:rPr>
            </w:pPr>
            <w:r>
              <w:rPr>
                <w:color w:val="auto"/>
              </w:rPr>
              <w:t>海岸线方向/</w:t>
            </w:r>
            <w:r>
              <w:rPr>
                <w:color w:val="auto"/>
                <w:vertAlign w:val="superscript"/>
              </w:rPr>
              <w:t>o</w:t>
            </w:r>
          </w:p>
        </w:tc>
        <w:tc>
          <w:tcPr>
            <w:tcW w:w="1647" w:type="pct"/>
            <w:vAlign w:val="center"/>
          </w:tcPr>
          <w:p w14:paraId="58390DB2">
            <w:pPr>
              <w:jc w:val="center"/>
              <w:rPr>
                <w:color w:val="auto"/>
              </w:rPr>
            </w:pPr>
            <w:r>
              <w:rPr>
                <w:color w:val="auto"/>
              </w:rPr>
              <w:t>/</w:t>
            </w:r>
          </w:p>
        </w:tc>
      </w:tr>
    </w:tbl>
    <w:p w14:paraId="02101DFD">
      <w:pPr>
        <w:bidi w:val="0"/>
        <w:spacing w:line="360" w:lineRule="auto"/>
        <w:rPr>
          <w:rFonts w:hint="eastAsia"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rPr>
        <w:t>5</w:t>
      </w:r>
      <w:r>
        <w:rPr>
          <w:rFonts w:hint="eastAsia" w:cs="Times New Roman"/>
          <w:b/>
          <w:bCs/>
          <w:color w:val="auto"/>
          <w:sz w:val="24"/>
          <w:szCs w:val="24"/>
          <w:lang w:val="en-US" w:eastAsia="zh-CN"/>
        </w:rPr>
        <w:t>.2.1</w:t>
      </w:r>
      <w:r>
        <w:rPr>
          <w:rFonts w:hint="eastAsia" w:ascii="Times New Roman" w:hAnsi="Times New Roman" w:eastAsia="宋体" w:cs="Times New Roman"/>
          <w:b/>
          <w:bCs/>
          <w:color w:val="auto"/>
          <w:sz w:val="24"/>
          <w:szCs w:val="24"/>
        </w:rPr>
        <w:t>.</w:t>
      </w:r>
      <w:r>
        <w:rPr>
          <w:rFonts w:hint="eastAsia" w:cs="Times New Roman"/>
          <w:b/>
          <w:bCs/>
          <w:color w:val="auto"/>
          <w:sz w:val="24"/>
          <w:szCs w:val="24"/>
          <w:lang w:val="en-US" w:eastAsia="zh-CN"/>
        </w:rPr>
        <w:t>5</w:t>
      </w:r>
      <w:r>
        <w:rPr>
          <w:rFonts w:hint="eastAsia" w:ascii="Times New Roman" w:hAnsi="Times New Roman" w:eastAsia="宋体" w:cs="Times New Roman"/>
          <w:b/>
          <w:bCs/>
          <w:color w:val="auto"/>
          <w:sz w:val="24"/>
          <w:szCs w:val="24"/>
        </w:rPr>
        <w:t>预测结果</w:t>
      </w:r>
    </w:p>
    <w:p w14:paraId="3D0CF81A">
      <w:pPr>
        <w:pStyle w:val="450"/>
        <w:rPr>
          <w:rFonts w:hint="eastAsia" w:ascii="Times New Roman" w:hAnsi="宋体" w:eastAsia="宋体" w:cs="Times New Roman"/>
          <w:bCs/>
          <w:snapToGrid/>
          <w:color w:val="auto"/>
          <w:szCs w:val="24"/>
          <w:highlight w:val="none"/>
        </w:rPr>
      </w:pPr>
      <w:r>
        <w:rPr>
          <w:rFonts w:hint="eastAsia" w:ascii="Times New Roman" w:hAnsi="宋体" w:eastAsia="宋体" w:cs="Times New Roman"/>
          <w:bCs/>
          <w:snapToGrid/>
          <w:color w:val="auto"/>
          <w:szCs w:val="24"/>
          <w:highlight w:val="none"/>
        </w:rPr>
        <w:t>根据《环境影响评价技术导则大气环境》(HJ2.2-2018)</w:t>
      </w:r>
      <w:r>
        <w:rPr>
          <w:rFonts w:hint="eastAsia" w:ascii="Times New Roman" w:hAnsi="宋体" w:eastAsia="宋体" w:cs="Times New Roman"/>
          <w:bCs/>
          <w:snapToGrid/>
          <w:color w:val="auto"/>
          <w:szCs w:val="24"/>
          <w:highlight w:val="none"/>
          <w:lang w:eastAsia="zh-CN"/>
        </w:rPr>
        <w:t>中</w:t>
      </w:r>
      <w:r>
        <w:rPr>
          <w:rFonts w:hint="eastAsia" w:ascii="Times New Roman" w:hAnsi="宋体" w:eastAsia="宋体" w:cs="Times New Roman"/>
          <w:bCs/>
          <w:snapToGrid/>
          <w:color w:val="auto"/>
          <w:szCs w:val="24"/>
          <w:highlight w:val="none"/>
        </w:rPr>
        <w:t>5.3要求，采用附录A推荐模式中的估算模型分别计算项目污染源的最大环境影响，然后按评价工作分级判据进行分级。本项目正常工况下污染源估算模型计算结果见下表5.2-</w:t>
      </w:r>
      <w:r>
        <w:rPr>
          <w:rFonts w:hint="eastAsia" w:hAnsi="宋体" w:eastAsia="宋体" w:cs="Times New Roman"/>
          <w:bCs/>
          <w:snapToGrid/>
          <w:color w:val="auto"/>
          <w:szCs w:val="24"/>
          <w:highlight w:val="none"/>
          <w:lang w:val="en-US" w:eastAsia="zh-CN"/>
        </w:rPr>
        <w:t>8</w:t>
      </w:r>
      <w:r>
        <w:rPr>
          <w:rFonts w:hint="eastAsia" w:ascii="Times New Roman" w:hAnsi="宋体" w:eastAsia="宋体" w:cs="Times New Roman"/>
          <w:bCs/>
          <w:snapToGrid/>
          <w:color w:val="auto"/>
          <w:szCs w:val="24"/>
          <w:highlight w:val="none"/>
        </w:rPr>
        <w:t>。</w:t>
      </w:r>
    </w:p>
    <w:p w14:paraId="3362FA7C">
      <w:pPr>
        <w:snapToGrid w:val="0"/>
        <w:ind w:firstLine="422" w:firstLineChars="20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表5.2-</w:t>
      </w:r>
      <w:r>
        <w:rPr>
          <w:rFonts w:hint="eastAsia" w:cs="Times New Roman"/>
          <w:b/>
          <w:bCs/>
          <w:color w:val="auto"/>
          <w:szCs w:val="21"/>
          <w:highlight w:val="none"/>
          <w:lang w:val="en-US" w:eastAsia="zh-CN"/>
        </w:rPr>
        <w:t>8</w:t>
      </w:r>
      <w:r>
        <w:rPr>
          <w:rFonts w:ascii="Times New Roman" w:hAnsi="Times New Roman" w:eastAsia="宋体" w:cs="Times New Roman"/>
          <w:b/>
          <w:bCs/>
          <w:color w:val="auto"/>
          <w:szCs w:val="21"/>
          <w:highlight w:val="none"/>
        </w:rPr>
        <w:t xml:space="preserve">    排放源估算模型计算结果统计表(正常工况)</w:t>
      </w:r>
    </w:p>
    <w:tbl>
      <w:tblPr>
        <w:tblStyle w:val="551"/>
        <w:tblW w:w="4995" w:type="pct"/>
        <w:tblInd w:w="0"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223"/>
        <w:gridCol w:w="1446"/>
        <w:gridCol w:w="1007"/>
        <w:gridCol w:w="1042"/>
        <w:gridCol w:w="1225"/>
        <w:gridCol w:w="921"/>
        <w:gridCol w:w="720"/>
        <w:gridCol w:w="720"/>
      </w:tblGrid>
      <w:tr w14:paraId="4A8FAA5B">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71" w:hRule="atLeast"/>
        </w:trPr>
        <w:tc>
          <w:tcPr>
            <w:tcW w:w="736" w:type="pct"/>
            <w:tcBorders>
              <w:tl2br w:val="nil"/>
              <w:tr2bl w:val="nil"/>
            </w:tcBorders>
            <w:noWrap w:val="0"/>
            <w:vAlign w:val="center"/>
          </w:tcPr>
          <w:p w14:paraId="781DD82E">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污染源</w:t>
            </w:r>
          </w:p>
          <w:p w14:paraId="7EDE850F">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870" w:type="pct"/>
            <w:tcBorders>
              <w:tl2br w:val="nil"/>
              <w:tr2bl w:val="nil"/>
            </w:tcBorders>
            <w:noWrap w:val="0"/>
            <w:vAlign w:val="center"/>
          </w:tcPr>
          <w:p w14:paraId="62AEC57C">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评价因子</w:t>
            </w:r>
          </w:p>
        </w:tc>
        <w:tc>
          <w:tcPr>
            <w:tcW w:w="606" w:type="pct"/>
            <w:tcBorders>
              <w:tl2br w:val="nil"/>
              <w:tr2bl w:val="nil"/>
            </w:tcBorders>
            <w:noWrap w:val="0"/>
            <w:vAlign w:val="center"/>
          </w:tcPr>
          <w:p w14:paraId="05FCEE83">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评价标准</w:t>
            </w:r>
          </w:p>
          <w:p w14:paraId="323B575C">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627" w:type="pct"/>
            <w:tcBorders>
              <w:tl2br w:val="nil"/>
              <w:tr2bl w:val="nil"/>
            </w:tcBorders>
            <w:noWrap w:val="0"/>
            <w:vAlign w:val="center"/>
          </w:tcPr>
          <w:p w14:paraId="504B01C1">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Cmax</w:t>
            </w:r>
          </w:p>
          <w:p w14:paraId="11614195">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737" w:type="pct"/>
            <w:tcBorders>
              <w:tl2br w:val="nil"/>
              <w:tr2bl w:val="nil"/>
            </w:tcBorders>
            <w:noWrap w:val="0"/>
            <w:vAlign w:val="center"/>
          </w:tcPr>
          <w:p w14:paraId="167B542C">
            <w:pPr>
              <w:pStyle w:val="554"/>
              <w:jc w:val="center"/>
              <w:rPr>
                <w:rFonts w:hint="default"/>
                <w:color w:val="auto"/>
                <w:highlight w:val="none"/>
              </w:rPr>
            </w:pPr>
            <w:r>
              <w:rPr>
                <w:rFonts w:hint="default"/>
                <w:color w:val="auto"/>
                <w:highlight w:val="none"/>
              </w:rPr>
              <w:t>最大浓度</w:t>
            </w:r>
          </w:p>
          <w:p w14:paraId="5E0EBA88">
            <w:pPr>
              <w:pStyle w:val="554"/>
              <w:jc w:val="center"/>
              <w:rPr>
                <w:rFonts w:hint="eastAsia"/>
                <w:color w:val="auto"/>
                <w:highlight w:val="none"/>
                <w:lang w:val="en-US" w:eastAsia="zh-CN"/>
              </w:rPr>
            </w:pPr>
            <w:r>
              <w:rPr>
                <w:rFonts w:hint="default"/>
                <w:color w:val="auto"/>
                <w:highlight w:val="none"/>
              </w:rPr>
              <w:t>出现距离</w:t>
            </w:r>
            <w:r>
              <w:rPr>
                <w:rFonts w:hint="eastAsia" w:eastAsia="宋体"/>
                <w:color w:val="auto"/>
                <w:highlight w:val="none"/>
                <w:lang w:val="en-US" w:eastAsia="zh-CN"/>
              </w:rPr>
              <w:t>m</w:t>
            </w:r>
          </w:p>
        </w:tc>
        <w:tc>
          <w:tcPr>
            <w:tcW w:w="554" w:type="pct"/>
            <w:tcBorders>
              <w:tl2br w:val="nil"/>
              <w:tr2bl w:val="nil"/>
            </w:tcBorders>
            <w:noWrap w:val="0"/>
            <w:vAlign w:val="center"/>
          </w:tcPr>
          <w:p w14:paraId="272D0836">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Pmax</w:t>
            </w:r>
          </w:p>
          <w:p w14:paraId="66D4D04A">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433" w:type="pct"/>
            <w:tcBorders>
              <w:tl2br w:val="nil"/>
              <w:tr2bl w:val="nil"/>
            </w:tcBorders>
            <w:noWrap w:val="0"/>
            <w:vAlign w:val="center"/>
          </w:tcPr>
          <w:p w14:paraId="4F1D7701">
            <w:pPr>
              <w:pStyle w:val="55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D10% (m)</w:t>
            </w:r>
          </w:p>
        </w:tc>
        <w:tc>
          <w:tcPr>
            <w:tcW w:w="433" w:type="pct"/>
            <w:tcBorders>
              <w:tl2br w:val="nil"/>
              <w:tr2bl w:val="nil"/>
            </w:tcBorders>
            <w:noWrap w:val="0"/>
            <w:vAlign w:val="center"/>
          </w:tcPr>
          <w:p w14:paraId="26FB67D7">
            <w:pPr>
              <w:pStyle w:val="554"/>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评价等级</w:t>
            </w:r>
          </w:p>
        </w:tc>
      </w:tr>
      <w:tr w14:paraId="61C3CC91">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736" w:type="pct"/>
            <w:vMerge w:val="restart"/>
            <w:tcBorders>
              <w:tl2br w:val="nil"/>
              <w:tr2bl w:val="nil"/>
            </w:tcBorders>
            <w:noWrap w:val="0"/>
            <w:vAlign w:val="center"/>
          </w:tcPr>
          <w:p w14:paraId="4C4F77C0">
            <w:pPr>
              <w:widowControl/>
              <w:jc w:val="center"/>
              <w:textAlignment w:val="center"/>
              <w:rPr>
                <w:rFonts w:hint="default"/>
                <w:color w:val="auto"/>
                <w:szCs w:val="21"/>
                <w:highlight w:val="none"/>
                <w:lang w:val="en-US" w:eastAsia="zh-CN"/>
              </w:rPr>
            </w:pPr>
            <w:r>
              <w:rPr>
                <w:rFonts w:hint="eastAsia"/>
                <w:color w:val="auto"/>
                <w:szCs w:val="21"/>
                <w:highlight w:val="none"/>
                <w:lang w:val="en-US" w:eastAsia="zh-CN"/>
              </w:rPr>
              <w:t>生物质锅炉</w:t>
            </w:r>
          </w:p>
        </w:tc>
        <w:tc>
          <w:tcPr>
            <w:tcW w:w="870" w:type="pct"/>
            <w:tcBorders>
              <w:tl2br w:val="nil"/>
              <w:tr2bl w:val="nil"/>
            </w:tcBorders>
            <w:noWrap w:val="0"/>
            <w:vAlign w:val="center"/>
          </w:tcPr>
          <w:p w14:paraId="088AF145">
            <w:pPr>
              <w:pStyle w:val="554"/>
              <w:jc w:val="center"/>
              <w:rPr>
                <w:rFonts w:hint="eastAsia"/>
                <w:color w:val="auto"/>
                <w:szCs w:val="21"/>
                <w:highlight w:val="none"/>
                <w:lang w:val="en-US" w:eastAsia="zh-CN"/>
              </w:rPr>
            </w:pPr>
            <w:r>
              <w:rPr>
                <w:rFonts w:hint="default" w:ascii="Times New Roman" w:hAnsi="Times New Roman" w:eastAsia="宋体" w:cs="Times New Roman"/>
                <w:color w:val="auto"/>
                <w:highlight w:val="none"/>
              </w:rPr>
              <w:t>颗粒物</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PM</w:t>
            </w:r>
            <w:r>
              <w:rPr>
                <w:rFonts w:hint="eastAsia" w:ascii="Times New Roman" w:hAnsi="Times New Roman" w:eastAsia="宋体" w:cs="Times New Roman"/>
                <w:color w:val="auto"/>
                <w:highlight w:val="none"/>
                <w:vertAlign w:val="subscript"/>
                <w:lang w:val="en-US" w:eastAsia="zh-CN"/>
              </w:rPr>
              <w:t>10</w:t>
            </w:r>
            <w:r>
              <w:rPr>
                <w:rFonts w:hint="eastAsia" w:ascii="Times New Roman" w:hAnsi="Times New Roman" w:eastAsia="宋体" w:cs="Times New Roman"/>
                <w:color w:val="auto"/>
                <w:highlight w:val="none"/>
                <w:lang w:eastAsia="zh-CN"/>
              </w:rPr>
              <w:t>）</w:t>
            </w:r>
          </w:p>
        </w:tc>
        <w:tc>
          <w:tcPr>
            <w:tcW w:w="606" w:type="pct"/>
            <w:tcBorders>
              <w:tl2br w:val="nil"/>
              <w:tr2bl w:val="nil"/>
            </w:tcBorders>
            <w:noWrap w:val="0"/>
            <w:vAlign w:val="center"/>
          </w:tcPr>
          <w:p w14:paraId="765E177F">
            <w:pPr>
              <w:pStyle w:val="554"/>
              <w:jc w:val="center"/>
              <w:rPr>
                <w:rFonts w:hint="eastAsia" w:hAnsi="Times New Roman" w:eastAsia="宋体" w:cs="Times New Roman"/>
                <w:color w:val="auto"/>
                <w:highlight w:val="none"/>
                <w:lang w:val="en-US" w:eastAsia="zh-CN"/>
              </w:rPr>
            </w:pPr>
            <w:r>
              <w:rPr>
                <w:rFonts w:hint="eastAsia" w:eastAsia="宋体" w:cs="Times New Roman"/>
                <w:color w:val="auto"/>
                <w:highlight w:val="none"/>
                <w:lang w:val="en-US" w:eastAsia="zh-CN"/>
              </w:rPr>
              <w:t>900</w:t>
            </w:r>
          </w:p>
        </w:tc>
        <w:tc>
          <w:tcPr>
            <w:tcW w:w="627" w:type="pct"/>
            <w:tcBorders>
              <w:tl2br w:val="nil"/>
              <w:tr2bl w:val="nil"/>
            </w:tcBorders>
            <w:noWrap w:val="0"/>
            <w:vAlign w:val="center"/>
          </w:tcPr>
          <w:p w14:paraId="17AC4644">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0.406</w:t>
            </w:r>
          </w:p>
        </w:tc>
        <w:tc>
          <w:tcPr>
            <w:tcW w:w="737" w:type="pct"/>
            <w:tcBorders>
              <w:tl2br w:val="nil"/>
              <w:tr2bl w:val="nil"/>
            </w:tcBorders>
            <w:noWrap w:val="0"/>
            <w:vAlign w:val="center"/>
          </w:tcPr>
          <w:p w14:paraId="72E88899">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554" w:type="pct"/>
            <w:tcBorders>
              <w:tl2br w:val="nil"/>
              <w:tr2bl w:val="nil"/>
            </w:tcBorders>
            <w:noWrap w:val="0"/>
            <w:vAlign w:val="center"/>
          </w:tcPr>
          <w:p w14:paraId="5A7AC162">
            <w:pPr>
              <w:pStyle w:val="554"/>
              <w:jc w:val="center"/>
              <w:rPr>
                <w:rFonts w:hint="eastAsia" w:hAnsi="Times New Roman" w:eastAsia="宋体" w:cs="Times New Roman"/>
                <w:color w:val="auto"/>
                <w:highlight w:val="none"/>
                <w:lang w:val="en-US" w:eastAsia="zh-CN"/>
              </w:rPr>
            </w:pPr>
            <w:r>
              <w:rPr>
                <w:rFonts w:hint="eastAsia" w:eastAsia="宋体" w:cs="Times New Roman"/>
                <w:color w:val="auto"/>
                <w:highlight w:val="none"/>
                <w:lang w:val="en-US" w:eastAsia="zh-CN"/>
              </w:rPr>
              <w:t>0.09</w:t>
            </w:r>
          </w:p>
        </w:tc>
        <w:tc>
          <w:tcPr>
            <w:tcW w:w="433" w:type="pct"/>
            <w:tcBorders>
              <w:tl2br w:val="nil"/>
              <w:tr2bl w:val="nil"/>
            </w:tcBorders>
            <w:noWrap w:val="0"/>
            <w:vAlign w:val="center"/>
          </w:tcPr>
          <w:p w14:paraId="094C8D43">
            <w:pPr>
              <w:pStyle w:val="554"/>
              <w:jc w:val="center"/>
              <w:rPr>
                <w:rFonts w:hint="eastAsia"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433" w:type="pct"/>
            <w:tcBorders>
              <w:tl2br w:val="nil"/>
              <w:tr2bl w:val="nil"/>
            </w:tcBorders>
            <w:noWrap w:val="0"/>
            <w:vAlign w:val="center"/>
          </w:tcPr>
          <w:p w14:paraId="0E776009">
            <w:pPr>
              <w:pStyle w:val="554"/>
              <w:jc w:val="center"/>
              <w:rPr>
                <w:rFonts w:hint="eastAsia"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三级</w:t>
            </w:r>
          </w:p>
        </w:tc>
      </w:tr>
      <w:tr w14:paraId="287ABDA9">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736" w:type="pct"/>
            <w:vMerge w:val="continue"/>
            <w:tcBorders>
              <w:tl2br w:val="nil"/>
              <w:tr2bl w:val="nil"/>
            </w:tcBorders>
            <w:noWrap w:val="0"/>
            <w:vAlign w:val="center"/>
          </w:tcPr>
          <w:p w14:paraId="728FAC71">
            <w:pPr>
              <w:widowControl/>
              <w:jc w:val="center"/>
              <w:textAlignment w:val="center"/>
              <w:rPr>
                <w:rFonts w:hint="eastAsia"/>
                <w:color w:val="auto"/>
                <w:szCs w:val="21"/>
                <w:highlight w:val="none"/>
                <w:lang w:val="en-US" w:eastAsia="zh-CN"/>
              </w:rPr>
            </w:pPr>
          </w:p>
        </w:tc>
        <w:tc>
          <w:tcPr>
            <w:tcW w:w="870" w:type="pct"/>
            <w:tcBorders>
              <w:tl2br w:val="nil"/>
              <w:tr2bl w:val="nil"/>
            </w:tcBorders>
            <w:noWrap w:val="0"/>
            <w:vAlign w:val="center"/>
          </w:tcPr>
          <w:p w14:paraId="0B289D41">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SO</w:t>
            </w:r>
            <w:r>
              <w:rPr>
                <w:rFonts w:hint="eastAsia"/>
                <w:color w:val="auto"/>
                <w:szCs w:val="21"/>
                <w:highlight w:val="none"/>
                <w:vertAlign w:val="subscript"/>
                <w:lang w:val="en-US" w:eastAsia="zh-CN"/>
              </w:rPr>
              <w:t>2</w:t>
            </w:r>
          </w:p>
        </w:tc>
        <w:tc>
          <w:tcPr>
            <w:tcW w:w="606" w:type="pct"/>
            <w:tcBorders>
              <w:tl2br w:val="nil"/>
              <w:tr2bl w:val="nil"/>
            </w:tcBorders>
            <w:noWrap w:val="0"/>
            <w:vAlign w:val="center"/>
          </w:tcPr>
          <w:p w14:paraId="752D9073">
            <w:pPr>
              <w:pStyle w:val="554"/>
              <w:jc w:val="center"/>
              <w:rPr>
                <w:rFonts w:hint="eastAsia" w:hAnsi="Times New Roman" w:eastAsia="宋体" w:cs="Times New Roman"/>
                <w:color w:val="auto"/>
                <w:highlight w:val="none"/>
                <w:lang w:val="en-US" w:eastAsia="zh-CN"/>
              </w:rPr>
            </w:pPr>
            <w:r>
              <w:rPr>
                <w:rFonts w:hint="eastAsia" w:eastAsia="宋体" w:cs="Times New Roman"/>
                <w:color w:val="auto"/>
                <w:highlight w:val="none"/>
                <w:lang w:val="en-US" w:eastAsia="zh-CN"/>
              </w:rPr>
              <w:t>500</w:t>
            </w:r>
          </w:p>
        </w:tc>
        <w:tc>
          <w:tcPr>
            <w:tcW w:w="627" w:type="pct"/>
            <w:tcBorders>
              <w:tl2br w:val="nil"/>
              <w:tr2bl w:val="nil"/>
            </w:tcBorders>
            <w:noWrap w:val="0"/>
            <w:vAlign w:val="center"/>
          </w:tcPr>
          <w:p w14:paraId="48BE67B4">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11.8</w:t>
            </w:r>
          </w:p>
        </w:tc>
        <w:tc>
          <w:tcPr>
            <w:tcW w:w="737" w:type="pct"/>
            <w:tcBorders>
              <w:tl2br w:val="nil"/>
              <w:tr2bl w:val="nil"/>
            </w:tcBorders>
            <w:noWrap w:val="0"/>
            <w:vAlign w:val="center"/>
          </w:tcPr>
          <w:p w14:paraId="0A61B2EB">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554" w:type="pct"/>
            <w:tcBorders>
              <w:tl2br w:val="nil"/>
              <w:tr2bl w:val="nil"/>
            </w:tcBorders>
            <w:noWrap w:val="0"/>
            <w:vAlign w:val="center"/>
          </w:tcPr>
          <w:p w14:paraId="241C0366">
            <w:pPr>
              <w:pStyle w:val="554"/>
              <w:jc w:val="center"/>
              <w:rPr>
                <w:rFonts w:hint="eastAsia" w:hAnsi="Times New Roman" w:eastAsia="宋体" w:cs="Times New Roman"/>
                <w:color w:val="auto"/>
                <w:highlight w:val="none"/>
                <w:lang w:val="en-US" w:eastAsia="zh-CN"/>
              </w:rPr>
            </w:pPr>
            <w:r>
              <w:rPr>
                <w:rFonts w:hint="eastAsia" w:eastAsia="宋体" w:cs="Times New Roman"/>
                <w:color w:val="auto"/>
                <w:highlight w:val="none"/>
                <w:lang w:val="en-US" w:eastAsia="zh-CN"/>
              </w:rPr>
              <w:t>2.36</w:t>
            </w:r>
          </w:p>
        </w:tc>
        <w:tc>
          <w:tcPr>
            <w:tcW w:w="433" w:type="pct"/>
            <w:tcBorders>
              <w:tl2br w:val="nil"/>
              <w:tr2bl w:val="nil"/>
            </w:tcBorders>
            <w:noWrap w:val="0"/>
            <w:vAlign w:val="center"/>
          </w:tcPr>
          <w:p w14:paraId="193EE674">
            <w:pPr>
              <w:pStyle w:val="554"/>
              <w:jc w:val="center"/>
              <w:rPr>
                <w:rFonts w:hint="eastAsia"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w:t>
            </w:r>
          </w:p>
        </w:tc>
        <w:tc>
          <w:tcPr>
            <w:tcW w:w="433" w:type="pct"/>
            <w:tcBorders>
              <w:tl2br w:val="nil"/>
              <w:tr2bl w:val="nil"/>
            </w:tcBorders>
            <w:noWrap w:val="0"/>
            <w:vAlign w:val="center"/>
          </w:tcPr>
          <w:p w14:paraId="2E4CE80D">
            <w:pPr>
              <w:pStyle w:val="554"/>
              <w:jc w:val="center"/>
              <w:rPr>
                <w:rFonts w:hint="eastAsia" w:hAnsi="Times New Roman" w:eastAsia="宋体" w:cs="Times New Roman"/>
                <w:color w:val="auto"/>
                <w:highlight w:val="none"/>
                <w:lang w:eastAsia="zh-CN"/>
              </w:rPr>
            </w:pPr>
            <w:r>
              <w:rPr>
                <w:rFonts w:hint="eastAsia" w:hAnsi="Times New Roman" w:eastAsia="宋体" w:cs="Times New Roman"/>
                <w:color w:val="auto"/>
                <w:highlight w:val="none"/>
                <w:lang w:eastAsia="zh-CN"/>
              </w:rPr>
              <w:t>二级</w:t>
            </w:r>
          </w:p>
        </w:tc>
      </w:tr>
      <w:tr w14:paraId="0932A54E">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736" w:type="pct"/>
            <w:vMerge w:val="continue"/>
            <w:tcBorders>
              <w:tl2br w:val="nil"/>
              <w:tr2bl w:val="nil"/>
            </w:tcBorders>
            <w:noWrap w:val="0"/>
            <w:vAlign w:val="center"/>
          </w:tcPr>
          <w:p w14:paraId="45A3F0AC">
            <w:pPr>
              <w:widowControl/>
              <w:jc w:val="center"/>
              <w:textAlignment w:val="center"/>
              <w:rPr>
                <w:rFonts w:hint="eastAsia"/>
                <w:color w:val="auto"/>
                <w:szCs w:val="21"/>
                <w:highlight w:val="none"/>
                <w:lang w:val="en-US" w:eastAsia="zh-CN"/>
              </w:rPr>
            </w:pPr>
          </w:p>
        </w:tc>
        <w:tc>
          <w:tcPr>
            <w:tcW w:w="870" w:type="pct"/>
            <w:tcBorders>
              <w:tl2br w:val="nil"/>
              <w:tr2bl w:val="nil"/>
            </w:tcBorders>
            <w:noWrap w:val="0"/>
            <w:vAlign w:val="center"/>
          </w:tcPr>
          <w:p w14:paraId="20D8AEB9">
            <w:pPr>
              <w:widowControl/>
              <w:jc w:val="center"/>
              <w:textAlignment w:val="center"/>
              <w:rPr>
                <w:rFonts w:hint="eastAsia"/>
                <w:color w:val="auto"/>
                <w:szCs w:val="21"/>
                <w:highlight w:val="none"/>
                <w:lang w:val="en-US" w:eastAsia="zh-CN"/>
              </w:rPr>
            </w:pPr>
            <w:r>
              <w:rPr>
                <w:rFonts w:hint="eastAsia"/>
                <w:color w:val="auto"/>
                <w:szCs w:val="21"/>
                <w:highlight w:val="none"/>
                <w:lang w:val="en-US" w:eastAsia="zh-CN"/>
              </w:rPr>
              <w:t>NO</w:t>
            </w:r>
            <w:r>
              <w:rPr>
                <w:rFonts w:hint="eastAsia"/>
                <w:color w:val="auto"/>
                <w:szCs w:val="21"/>
                <w:highlight w:val="none"/>
                <w:vertAlign w:val="subscript"/>
                <w:lang w:val="en-US" w:eastAsia="zh-CN"/>
              </w:rPr>
              <w:t>2</w:t>
            </w:r>
          </w:p>
        </w:tc>
        <w:tc>
          <w:tcPr>
            <w:tcW w:w="606" w:type="pct"/>
            <w:tcBorders>
              <w:tl2br w:val="nil"/>
              <w:tr2bl w:val="nil"/>
            </w:tcBorders>
            <w:noWrap w:val="0"/>
            <w:vAlign w:val="center"/>
          </w:tcPr>
          <w:p w14:paraId="076BF7DF">
            <w:pPr>
              <w:pStyle w:val="554"/>
              <w:jc w:val="center"/>
              <w:rPr>
                <w:rFonts w:hint="eastAsia" w:hAnsi="Times New Roman" w:eastAsia="宋体" w:cs="Times New Roman"/>
                <w:color w:val="auto"/>
                <w:highlight w:val="none"/>
                <w:lang w:val="en-US" w:eastAsia="zh-CN"/>
              </w:rPr>
            </w:pPr>
            <w:r>
              <w:rPr>
                <w:rFonts w:hint="eastAsia" w:eastAsia="宋体" w:cs="Times New Roman"/>
                <w:color w:val="auto"/>
                <w:highlight w:val="none"/>
                <w:lang w:val="en-US" w:eastAsia="zh-CN"/>
              </w:rPr>
              <w:t>250</w:t>
            </w:r>
          </w:p>
        </w:tc>
        <w:tc>
          <w:tcPr>
            <w:tcW w:w="627" w:type="pct"/>
            <w:tcBorders>
              <w:tl2br w:val="nil"/>
              <w:tr2bl w:val="nil"/>
            </w:tcBorders>
            <w:noWrap w:val="0"/>
            <w:vAlign w:val="center"/>
          </w:tcPr>
          <w:p w14:paraId="3DFF294C">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4.88</w:t>
            </w:r>
          </w:p>
        </w:tc>
        <w:tc>
          <w:tcPr>
            <w:tcW w:w="737" w:type="pct"/>
            <w:tcBorders>
              <w:tl2br w:val="nil"/>
              <w:tr2bl w:val="nil"/>
            </w:tcBorders>
            <w:noWrap w:val="0"/>
            <w:vAlign w:val="center"/>
          </w:tcPr>
          <w:p w14:paraId="2A3E1CC6">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554" w:type="pct"/>
            <w:tcBorders>
              <w:tl2br w:val="nil"/>
              <w:tr2bl w:val="nil"/>
            </w:tcBorders>
            <w:noWrap w:val="0"/>
            <w:vAlign w:val="center"/>
          </w:tcPr>
          <w:p w14:paraId="6D1C88A8">
            <w:pPr>
              <w:pStyle w:val="554"/>
              <w:jc w:val="center"/>
              <w:rPr>
                <w:rFonts w:hint="default" w:hAnsi="Times New Roman" w:eastAsia="宋体" w:cs="Times New Roman"/>
                <w:color w:val="auto"/>
                <w:highlight w:val="none"/>
                <w:lang w:val="en-US" w:eastAsia="zh-CN"/>
              </w:rPr>
            </w:pPr>
            <w:r>
              <w:rPr>
                <w:rFonts w:hint="eastAsia" w:eastAsia="宋体" w:cs="Times New Roman"/>
                <w:color w:val="auto"/>
                <w:highlight w:val="none"/>
                <w:lang w:val="en-US" w:eastAsia="zh-CN"/>
              </w:rPr>
              <w:t>1.95</w:t>
            </w:r>
          </w:p>
        </w:tc>
        <w:tc>
          <w:tcPr>
            <w:tcW w:w="433" w:type="pct"/>
            <w:tcBorders>
              <w:tl2br w:val="nil"/>
              <w:tr2bl w:val="nil"/>
            </w:tcBorders>
            <w:noWrap w:val="0"/>
            <w:vAlign w:val="center"/>
          </w:tcPr>
          <w:p w14:paraId="1B64AF99">
            <w:pPr>
              <w:pStyle w:val="554"/>
              <w:jc w:val="center"/>
              <w:rPr>
                <w:rFonts w:hint="eastAsia"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w:t>
            </w:r>
          </w:p>
        </w:tc>
        <w:tc>
          <w:tcPr>
            <w:tcW w:w="433" w:type="pct"/>
            <w:tcBorders>
              <w:tl2br w:val="nil"/>
              <w:tr2bl w:val="nil"/>
            </w:tcBorders>
            <w:noWrap w:val="0"/>
            <w:vAlign w:val="center"/>
          </w:tcPr>
          <w:p w14:paraId="1F7FD5E3">
            <w:pPr>
              <w:pStyle w:val="554"/>
              <w:jc w:val="center"/>
              <w:rPr>
                <w:rFonts w:hint="eastAsia" w:hAnsi="Times New Roman" w:eastAsia="宋体" w:cs="Times New Roman"/>
                <w:color w:val="auto"/>
                <w:highlight w:val="none"/>
                <w:lang w:eastAsia="zh-CN"/>
              </w:rPr>
            </w:pPr>
            <w:r>
              <w:rPr>
                <w:rFonts w:hint="eastAsia" w:hAnsi="Times New Roman" w:eastAsia="宋体" w:cs="Times New Roman"/>
                <w:color w:val="auto"/>
                <w:highlight w:val="none"/>
                <w:lang w:eastAsia="zh-CN"/>
              </w:rPr>
              <w:t>二级</w:t>
            </w:r>
          </w:p>
        </w:tc>
      </w:tr>
      <w:tr w14:paraId="1DA99F1F">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736" w:type="pct"/>
            <w:vMerge w:val="restart"/>
            <w:tcBorders>
              <w:tl2br w:val="nil"/>
              <w:tr2bl w:val="nil"/>
            </w:tcBorders>
            <w:noWrap w:val="0"/>
            <w:vAlign w:val="center"/>
          </w:tcPr>
          <w:p w14:paraId="21298F99">
            <w:pPr>
              <w:widowControl/>
              <w:jc w:val="center"/>
              <w:textAlignment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鸡舍区域</w:t>
            </w:r>
          </w:p>
        </w:tc>
        <w:tc>
          <w:tcPr>
            <w:tcW w:w="870" w:type="pct"/>
            <w:tcBorders>
              <w:tl2br w:val="nil"/>
              <w:tr2bl w:val="nil"/>
            </w:tcBorders>
            <w:noWrap w:val="0"/>
            <w:vAlign w:val="center"/>
          </w:tcPr>
          <w:p w14:paraId="5232EBE0">
            <w:pPr>
              <w:autoSpaceDE w:val="0"/>
              <w:autoSpaceDN w:val="0"/>
              <w:adjustRightInd w:val="0"/>
              <w:jc w:val="center"/>
              <w:rPr>
                <w:rFonts w:hint="default" w:ascii="Times New Roman" w:hAnsi="Times New Roman" w:eastAsia="宋体" w:cs="Times New Roman"/>
                <w:color w:val="auto"/>
                <w:highlight w:val="none"/>
              </w:rPr>
            </w:pPr>
            <w:r>
              <w:rPr>
                <w:color w:val="auto"/>
                <w:szCs w:val="21"/>
                <w:highlight w:val="none"/>
              </w:rPr>
              <w:t>NH</w:t>
            </w:r>
            <w:r>
              <w:rPr>
                <w:color w:val="auto"/>
                <w:szCs w:val="21"/>
                <w:highlight w:val="none"/>
                <w:vertAlign w:val="subscript"/>
              </w:rPr>
              <w:t>3</w:t>
            </w:r>
          </w:p>
        </w:tc>
        <w:tc>
          <w:tcPr>
            <w:tcW w:w="606" w:type="pct"/>
            <w:tcBorders>
              <w:tl2br w:val="nil"/>
              <w:tr2bl w:val="nil"/>
            </w:tcBorders>
            <w:noWrap w:val="0"/>
            <w:vAlign w:val="center"/>
          </w:tcPr>
          <w:p w14:paraId="68C9D1CF">
            <w:pPr>
              <w:pStyle w:val="554"/>
              <w:jc w:val="center"/>
              <w:rPr>
                <w:rFonts w:hint="default" w:ascii="Times New Roman"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200</w:t>
            </w:r>
          </w:p>
        </w:tc>
        <w:tc>
          <w:tcPr>
            <w:tcW w:w="627" w:type="pct"/>
            <w:tcBorders>
              <w:tl2br w:val="nil"/>
              <w:tr2bl w:val="nil"/>
            </w:tcBorders>
            <w:noWrap w:val="0"/>
            <w:vAlign w:val="center"/>
          </w:tcPr>
          <w:p w14:paraId="5C2AB7E9">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1.64</w:t>
            </w:r>
          </w:p>
        </w:tc>
        <w:tc>
          <w:tcPr>
            <w:tcW w:w="737" w:type="pct"/>
            <w:tcBorders>
              <w:tl2br w:val="nil"/>
              <w:tr2bl w:val="nil"/>
            </w:tcBorders>
            <w:noWrap w:val="0"/>
            <w:vAlign w:val="center"/>
          </w:tcPr>
          <w:p w14:paraId="596BF8DF">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554" w:type="pct"/>
            <w:tcBorders>
              <w:tl2br w:val="nil"/>
              <w:tr2bl w:val="nil"/>
            </w:tcBorders>
            <w:noWrap w:val="0"/>
            <w:vAlign w:val="center"/>
          </w:tcPr>
          <w:p w14:paraId="5CFCAE38">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0.82</w:t>
            </w:r>
          </w:p>
        </w:tc>
        <w:tc>
          <w:tcPr>
            <w:tcW w:w="433" w:type="pct"/>
            <w:tcBorders>
              <w:tl2br w:val="nil"/>
              <w:tr2bl w:val="nil"/>
            </w:tcBorders>
            <w:noWrap w:val="0"/>
            <w:vAlign w:val="center"/>
          </w:tcPr>
          <w:p w14:paraId="5FCD105A">
            <w:pPr>
              <w:pStyle w:val="554"/>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433" w:type="pct"/>
            <w:tcBorders>
              <w:tl2br w:val="nil"/>
              <w:tr2bl w:val="nil"/>
            </w:tcBorders>
            <w:noWrap w:val="0"/>
            <w:vAlign w:val="center"/>
          </w:tcPr>
          <w:p w14:paraId="152DC529">
            <w:pPr>
              <w:pStyle w:val="554"/>
              <w:jc w:val="center"/>
              <w:rPr>
                <w:rFonts w:hint="default" w:ascii="Times New Roman" w:hAnsi="Times New Roman" w:eastAsia="宋体" w:cs="Times New Roman"/>
                <w:color w:val="auto"/>
                <w:highlight w:val="none"/>
              </w:rPr>
            </w:pPr>
            <w:r>
              <w:rPr>
                <w:rFonts w:hint="eastAsia" w:hAnsi="Times New Roman" w:eastAsia="宋体" w:cs="Times New Roman"/>
                <w:color w:val="auto"/>
                <w:highlight w:val="none"/>
                <w:lang w:eastAsia="zh-CN"/>
              </w:rPr>
              <w:t>二级</w:t>
            </w:r>
          </w:p>
        </w:tc>
      </w:tr>
      <w:tr w14:paraId="43DA1B1C">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736" w:type="pct"/>
            <w:vMerge w:val="continue"/>
            <w:tcBorders>
              <w:tl2br w:val="nil"/>
              <w:tr2bl w:val="nil"/>
            </w:tcBorders>
            <w:noWrap w:val="0"/>
            <w:vAlign w:val="center"/>
          </w:tcPr>
          <w:p w14:paraId="7EF9AC90">
            <w:pPr>
              <w:pStyle w:val="554"/>
              <w:jc w:val="center"/>
              <w:rPr>
                <w:rFonts w:hint="default" w:ascii="Times New Roman" w:hAnsi="Times New Roman" w:eastAsia="宋体" w:cs="Times New Roman"/>
                <w:color w:val="auto"/>
                <w:highlight w:val="none"/>
              </w:rPr>
            </w:pPr>
          </w:p>
        </w:tc>
        <w:tc>
          <w:tcPr>
            <w:tcW w:w="870" w:type="pct"/>
            <w:tcBorders>
              <w:tl2br w:val="nil"/>
              <w:tr2bl w:val="nil"/>
            </w:tcBorders>
            <w:noWrap w:val="0"/>
            <w:vAlign w:val="center"/>
          </w:tcPr>
          <w:p w14:paraId="20D885BB">
            <w:pPr>
              <w:autoSpaceDE w:val="0"/>
              <w:autoSpaceDN w:val="0"/>
              <w:adjustRightInd w:val="0"/>
              <w:jc w:val="center"/>
              <w:rPr>
                <w:rFonts w:hint="default" w:ascii="Times New Roman" w:hAnsi="Times New Roman" w:eastAsia="宋体" w:cs="Times New Roman"/>
                <w:color w:val="auto"/>
                <w:highlight w:val="none"/>
              </w:rPr>
            </w:pPr>
            <w:r>
              <w:rPr>
                <w:color w:val="auto"/>
                <w:szCs w:val="21"/>
                <w:highlight w:val="none"/>
              </w:rPr>
              <w:t>H</w:t>
            </w:r>
            <w:r>
              <w:rPr>
                <w:color w:val="auto"/>
                <w:szCs w:val="21"/>
                <w:highlight w:val="none"/>
                <w:vertAlign w:val="subscript"/>
              </w:rPr>
              <w:t>2</w:t>
            </w:r>
            <w:r>
              <w:rPr>
                <w:color w:val="auto"/>
                <w:szCs w:val="21"/>
                <w:highlight w:val="none"/>
              </w:rPr>
              <w:t>S</w:t>
            </w:r>
          </w:p>
        </w:tc>
        <w:tc>
          <w:tcPr>
            <w:tcW w:w="606" w:type="pct"/>
            <w:tcBorders>
              <w:tl2br w:val="nil"/>
              <w:tr2bl w:val="nil"/>
            </w:tcBorders>
            <w:noWrap w:val="0"/>
            <w:vAlign w:val="center"/>
          </w:tcPr>
          <w:p w14:paraId="6DD1873F">
            <w:pPr>
              <w:pStyle w:val="554"/>
              <w:jc w:val="center"/>
              <w:rPr>
                <w:rFonts w:hint="default" w:ascii="Times New Roman"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10</w:t>
            </w:r>
          </w:p>
        </w:tc>
        <w:tc>
          <w:tcPr>
            <w:tcW w:w="627" w:type="pct"/>
            <w:tcBorders>
              <w:tl2br w:val="nil"/>
              <w:tr2bl w:val="nil"/>
            </w:tcBorders>
            <w:noWrap w:val="0"/>
            <w:vAlign w:val="center"/>
          </w:tcPr>
          <w:p w14:paraId="4F2E8846">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0.082</w:t>
            </w:r>
          </w:p>
        </w:tc>
        <w:tc>
          <w:tcPr>
            <w:tcW w:w="737" w:type="pct"/>
            <w:tcBorders>
              <w:tl2br w:val="nil"/>
              <w:tr2bl w:val="nil"/>
            </w:tcBorders>
            <w:noWrap w:val="0"/>
            <w:vAlign w:val="center"/>
          </w:tcPr>
          <w:p w14:paraId="6FEDEF56">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554" w:type="pct"/>
            <w:tcBorders>
              <w:tl2br w:val="nil"/>
              <w:tr2bl w:val="nil"/>
            </w:tcBorders>
            <w:noWrap w:val="0"/>
            <w:vAlign w:val="center"/>
          </w:tcPr>
          <w:p w14:paraId="7D77EE7E">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0.82</w:t>
            </w:r>
          </w:p>
        </w:tc>
        <w:tc>
          <w:tcPr>
            <w:tcW w:w="433" w:type="pct"/>
            <w:tcBorders>
              <w:tl2br w:val="nil"/>
              <w:tr2bl w:val="nil"/>
            </w:tcBorders>
            <w:noWrap w:val="0"/>
            <w:vAlign w:val="center"/>
          </w:tcPr>
          <w:p w14:paraId="7A85CA14">
            <w:pPr>
              <w:pStyle w:val="554"/>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433" w:type="pct"/>
            <w:tcBorders>
              <w:tl2br w:val="nil"/>
              <w:tr2bl w:val="nil"/>
            </w:tcBorders>
            <w:noWrap w:val="0"/>
            <w:vAlign w:val="center"/>
          </w:tcPr>
          <w:p w14:paraId="3E77ACE0">
            <w:pPr>
              <w:pStyle w:val="554"/>
              <w:jc w:val="center"/>
              <w:rPr>
                <w:rFonts w:hint="default" w:ascii="Times New Roman" w:hAnsi="Times New Roman" w:eastAsia="宋体" w:cs="Times New Roman"/>
                <w:color w:val="auto"/>
                <w:highlight w:val="none"/>
              </w:rPr>
            </w:pPr>
            <w:r>
              <w:rPr>
                <w:rFonts w:hint="eastAsia" w:hAnsi="Times New Roman" w:eastAsia="宋体" w:cs="Times New Roman"/>
                <w:color w:val="auto"/>
                <w:highlight w:val="none"/>
                <w:lang w:eastAsia="zh-CN"/>
              </w:rPr>
              <w:t>二级</w:t>
            </w:r>
          </w:p>
        </w:tc>
      </w:tr>
      <w:tr w14:paraId="60CD9FD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736" w:type="pct"/>
            <w:vMerge w:val="restart"/>
            <w:tcBorders>
              <w:tl2br w:val="nil"/>
              <w:tr2bl w:val="nil"/>
            </w:tcBorders>
            <w:noWrap w:val="0"/>
            <w:vAlign w:val="center"/>
          </w:tcPr>
          <w:p w14:paraId="1AC0DEB5">
            <w:pPr>
              <w:widowControl/>
              <w:jc w:val="center"/>
              <w:textAlignment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临时储粪场</w:t>
            </w:r>
          </w:p>
        </w:tc>
        <w:tc>
          <w:tcPr>
            <w:tcW w:w="870" w:type="pct"/>
            <w:tcBorders>
              <w:tl2br w:val="nil"/>
              <w:tr2bl w:val="nil"/>
            </w:tcBorders>
            <w:noWrap w:val="0"/>
            <w:vAlign w:val="center"/>
          </w:tcPr>
          <w:p w14:paraId="10B7E3AD">
            <w:pPr>
              <w:autoSpaceDE w:val="0"/>
              <w:autoSpaceDN w:val="0"/>
              <w:adjustRightInd w:val="0"/>
              <w:jc w:val="center"/>
              <w:rPr>
                <w:rFonts w:hint="default" w:ascii="Times New Roman" w:hAnsi="Times New Roman" w:eastAsia="宋体" w:cs="Times New Roman"/>
                <w:color w:val="auto"/>
                <w:highlight w:val="none"/>
              </w:rPr>
            </w:pPr>
            <w:r>
              <w:rPr>
                <w:color w:val="auto"/>
                <w:szCs w:val="21"/>
                <w:highlight w:val="none"/>
              </w:rPr>
              <w:t>NH</w:t>
            </w:r>
            <w:r>
              <w:rPr>
                <w:color w:val="auto"/>
                <w:szCs w:val="21"/>
                <w:highlight w:val="none"/>
                <w:vertAlign w:val="subscript"/>
              </w:rPr>
              <w:t>3</w:t>
            </w:r>
          </w:p>
        </w:tc>
        <w:tc>
          <w:tcPr>
            <w:tcW w:w="606" w:type="pct"/>
            <w:tcBorders>
              <w:tl2br w:val="nil"/>
              <w:tr2bl w:val="nil"/>
            </w:tcBorders>
            <w:noWrap w:val="0"/>
            <w:vAlign w:val="center"/>
          </w:tcPr>
          <w:p w14:paraId="28F2D55B">
            <w:pPr>
              <w:pStyle w:val="554"/>
              <w:jc w:val="center"/>
              <w:rPr>
                <w:rFonts w:hint="default" w:ascii="Times New Roman"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200</w:t>
            </w:r>
          </w:p>
        </w:tc>
        <w:tc>
          <w:tcPr>
            <w:tcW w:w="627" w:type="pct"/>
            <w:tcBorders>
              <w:tl2br w:val="nil"/>
              <w:tr2bl w:val="nil"/>
            </w:tcBorders>
            <w:noWrap w:val="0"/>
            <w:vAlign w:val="center"/>
          </w:tcPr>
          <w:p w14:paraId="0A6EF4D4">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8.98</w:t>
            </w:r>
          </w:p>
        </w:tc>
        <w:tc>
          <w:tcPr>
            <w:tcW w:w="737" w:type="pct"/>
            <w:tcBorders>
              <w:tl2br w:val="nil"/>
              <w:tr2bl w:val="nil"/>
            </w:tcBorders>
            <w:noWrap w:val="0"/>
            <w:vAlign w:val="center"/>
          </w:tcPr>
          <w:p w14:paraId="0DD4EDD8">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554" w:type="pct"/>
            <w:tcBorders>
              <w:tl2br w:val="nil"/>
              <w:tr2bl w:val="nil"/>
            </w:tcBorders>
            <w:noWrap w:val="0"/>
            <w:vAlign w:val="center"/>
          </w:tcPr>
          <w:p w14:paraId="59D2F534">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4.49</w:t>
            </w:r>
          </w:p>
        </w:tc>
        <w:tc>
          <w:tcPr>
            <w:tcW w:w="433" w:type="pct"/>
            <w:tcBorders>
              <w:tl2br w:val="nil"/>
              <w:tr2bl w:val="nil"/>
            </w:tcBorders>
            <w:noWrap w:val="0"/>
            <w:vAlign w:val="center"/>
          </w:tcPr>
          <w:p w14:paraId="7469DC15">
            <w:pPr>
              <w:pStyle w:val="554"/>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433" w:type="pct"/>
            <w:tcBorders>
              <w:tl2br w:val="nil"/>
              <w:tr2bl w:val="nil"/>
            </w:tcBorders>
            <w:noWrap w:val="0"/>
            <w:vAlign w:val="center"/>
          </w:tcPr>
          <w:p w14:paraId="0D616C95">
            <w:pPr>
              <w:pStyle w:val="554"/>
              <w:jc w:val="center"/>
              <w:rPr>
                <w:rFonts w:hint="default" w:ascii="Times New Roman" w:hAnsi="Times New Roman" w:eastAsia="宋体" w:cs="Times New Roman"/>
                <w:color w:val="auto"/>
                <w:highlight w:val="none"/>
              </w:rPr>
            </w:pPr>
            <w:r>
              <w:rPr>
                <w:rFonts w:hint="eastAsia" w:hAnsi="Times New Roman" w:eastAsia="宋体" w:cs="Times New Roman"/>
                <w:color w:val="auto"/>
                <w:highlight w:val="none"/>
                <w:lang w:eastAsia="zh-CN"/>
              </w:rPr>
              <w:t>二级</w:t>
            </w:r>
          </w:p>
        </w:tc>
      </w:tr>
      <w:tr w14:paraId="053185CD">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736" w:type="pct"/>
            <w:vMerge w:val="continue"/>
            <w:tcBorders>
              <w:tl2br w:val="nil"/>
              <w:tr2bl w:val="nil"/>
            </w:tcBorders>
            <w:noWrap w:val="0"/>
            <w:vAlign w:val="center"/>
          </w:tcPr>
          <w:p w14:paraId="562669BF">
            <w:pPr>
              <w:pStyle w:val="554"/>
              <w:jc w:val="center"/>
              <w:rPr>
                <w:rFonts w:hint="default" w:ascii="Times New Roman" w:hAnsi="Times New Roman" w:eastAsia="宋体" w:cs="Times New Roman"/>
                <w:color w:val="auto"/>
                <w:highlight w:val="none"/>
              </w:rPr>
            </w:pPr>
          </w:p>
        </w:tc>
        <w:tc>
          <w:tcPr>
            <w:tcW w:w="870" w:type="pct"/>
            <w:tcBorders>
              <w:tl2br w:val="nil"/>
              <w:tr2bl w:val="nil"/>
            </w:tcBorders>
            <w:noWrap w:val="0"/>
            <w:vAlign w:val="center"/>
          </w:tcPr>
          <w:p w14:paraId="64DE5189">
            <w:pPr>
              <w:autoSpaceDE w:val="0"/>
              <w:autoSpaceDN w:val="0"/>
              <w:adjustRightInd w:val="0"/>
              <w:jc w:val="center"/>
              <w:rPr>
                <w:rFonts w:hint="default" w:ascii="Times New Roman" w:hAnsi="Times New Roman" w:eastAsia="宋体" w:cs="Times New Roman"/>
                <w:color w:val="auto"/>
                <w:highlight w:val="none"/>
              </w:rPr>
            </w:pPr>
            <w:r>
              <w:rPr>
                <w:color w:val="auto"/>
                <w:szCs w:val="21"/>
                <w:highlight w:val="none"/>
              </w:rPr>
              <w:t>H</w:t>
            </w:r>
            <w:r>
              <w:rPr>
                <w:color w:val="auto"/>
                <w:szCs w:val="21"/>
                <w:highlight w:val="none"/>
                <w:vertAlign w:val="subscript"/>
              </w:rPr>
              <w:t>2</w:t>
            </w:r>
            <w:r>
              <w:rPr>
                <w:color w:val="auto"/>
                <w:szCs w:val="21"/>
                <w:highlight w:val="none"/>
              </w:rPr>
              <w:t>S</w:t>
            </w:r>
          </w:p>
        </w:tc>
        <w:tc>
          <w:tcPr>
            <w:tcW w:w="606" w:type="pct"/>
            <w:tcBorders>
              <w:tl2br w:val="nil"/>
              <w:tr2bl w:val="nil"/>
            </w:tcBorders>
            <w:noWrap w:val="0"/>
            <w:vAlign w:val="center"/>
          </w:tcPr>
          <w:p w14:paraId="1D4E4457">
            <w:pPr>
              <w:pStyle w:val="554"/>
              <w:jc w:val="center"/>
              <w:rPr>
                <w:rFonts w:hint="default" w:ascii="Times New Roman" w:hAnsi="Times New Roman" w:eastAsia="宋体" w:cs="Times New Roman"/>
                <w:color w:val="auto"/>
                <w:highlight w:val="none"/>
                <w:lang w:val="en-US" w:eastAsia="zh-CN"/>
              </w:rPr>
            </w:pPr>
            <w:r>
              <w:rPr>
                <w:rFonts w:hint="eastAsia" w:hAnsi="Times New Roman" w:eastAsia="宋体" w:cs="Times New Roman"/>
                <w:color w:val="auto"/>
                <w:highlight w:val="none"/>
                <w:lang w:val="en-US" w:eastAsia="zh-CN"/>
              </w:rPr>
              <w:t>10</w:t>
            </w:r>
          </w:p>
        </w:tc>
        <w:tc>
          <w:tcPr>
            <w:tcW w:w="627" w:type="pct"/>
            <w:tcBorders>
              <w:tl2br w:val="nil"/>
              <w:tr2bl w:val="nil"/>
            </w:tcBorders>
            <w:noWrap w:val="0"/>
            <w:vAlign w:val="center"/>
          </w:tcPr>
          <w:p w14:paraId="720D3104">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0.449</w:t>
            </w:r>
          </w:p>
        </w:tc>
        <w:tc>
          <w:tcPr>
            <w:tcW w:w="737" w:type="pct"/>
            <w:tcBorders>
              <w:tl2br w:val="nil"/>
              <w:tr2bl w:val="nil"/>
            </w:tcBorders>
            <w:noWrap w:val="0"/>
            <w:vAlign w:val="center"/>
          </w:tcPr>
          <w:p w14:paraId="27B9BD70">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w:t>
            </w:r>
          </w:p>
        </w:tc>
        <w:tc>
          <w:tcPr>
            <w:tcW w:w="554" w:type="pct"/>
            <w:tcBorders>
              <w:tl2br w:val="nil"/>
              <w:tr2bl w:val="nil"/>
            </w:tcBorders>
            <w:noWrap w:val="0"/>
            <w:vAlign w:val="center"/>
          </w:tcPr>
          <w:p w14:paraId="776B803F">
            <w:pPr>
              <w:pStyle w:val="554"/>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4.49</w:t>
            </w:r>
          </w:p>
        </w:tc>
        <w:tc>
          <w:tcPr>
            <w:tcW w:w="433" w:type="pct"/>
            <w:tcBorders>
              <w:tl2br w:val="nil"/>
              <w:tr2bl w:val="nil"/>
            </w:tcBorders>
            <w:noWrap w:val="0"/>
            <w:vAlign w:val="center"/>
          </w:tcPr>
          <w:p w14:paraId="7766D7EF">
            <w:pPr>
              <w:pStyle w:val="554"/>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433" w:type="pct"/>
            <w:tcBorders>
              <w:tl2br w:val="nil"/>
              <w:tr2bl w:val="nil"/>
            </w:tcBorders>
            <w:noWrap w:val="0"/>
            <w:vAlign w:val="center"/>
          </w:tcPr>
          <w:p w14:paraId="70C43479">
            <w:pPr>
              <w:pStyle w:val="554"/>
              <w:jc w:val="center"/>
              <w:rPr>
                <w:rFonts w:hint="default" w:ascii="Times New Roman" w:hAnsi="Times New Roman" w:eastAsia="宋体" w:cs="Times New Roman"/>
                <w:color w:val="auto"/>
                <w:highlight w:val="none"/>
              </w:rPr>
            </w:pPr>
            <w:r>
              <w:rPr>
                <w:rFonts w:hint="eastAsia" w:hAnsi="Times New Roman" w:eastAsia="宋体" w:cs="Times New Roman"/>
                <w:color w:val="auto"/>
                <w:highlight w:val="none"/>
                <w:lang w:eastAsia="zh-CN"/>
              </w:rPr>
              <w:t>二级</w:t>
            </w:r>
          </w:p>
        </w:tc>
      </w:tr>
    </w:tbl>
    <w:p w14:paraId="3B063995">
      <w:pPr>
        <w:pStyle w:val="450"/>
        <w:spacing w:line="240" w:lineRule="auto"/>
        <w:rPr>
          <w:rFonts w:hint="eastAsia" w:hAnsi="宋体"/>
          <w:bCs w:val="0"/>
          <w:snapToGrid/>
          <w:color w:val="auto"/>
          <w:szCs w:val="24"/>
          <w:highlight w:val="none"/>
        </w:rPr>
      </w:pPr>
    </w:p>
    <w:p w14:paraId="750F76BF">
      <w:pPr>
        <w:pStyle w:val="450"/>
        <w:spacing w:line="240" w:lineRule="auto"/>
        <w:ind w:left="0" w:leftChars="0" w:firstLine="0" w:firstLineChars="0"/>
        <w:rPr>
          <w:rFonts w:hint="eastAsia" w:hAnsi="宋体"/>
          <w:bCs w:val="0"/>
          <w:snapToGrid/>
          <w:color w:val="auto"/>
          <w:szCs w:val="24"/>
          <w:highlight w:val="none"/>
        </w:rPr>
      </w:pPr>
      <w:r>
        <w:rPr>
          <w:color w:val="auto"/>
          <w:highlight w:val="none"/>
        </w:rPr>
        <w:drawing>
          <wp:inline distT="0" distB="0" distL="114300" distR="114300">
            <wp:extent cx="5268595" cy="2045335"/>
            <wp:effectExtent l="0" t="0" r="8255" b="12065"/>
            <wp:docPr id="51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21"/>
                    <pic:cNvPicPr>
                      <a:picLocks noChangeAspect="1"/>
                    </pic:cNvPicPr>
                  </pic:nvPicPr>
                  <pic:blipFill>
                    <a:blip r:embed="rId23"/>
                    <a:stretch>
                      <a:fillRect/>
                    </a:stretch>
                  </pic:blipFill>
                  <pic:spPr>
                    <a:xfrm>
                      <a:off x="0" y="0"/>
                      <a:ext cx="5268595" cy="2045335"/>
                    </a:xfrm>
                    <a:prstGeom prst="rect">
                      <a:avLst/>
                    </a:prstGeom>
                    <a:noFill/>
                    <a:ln>
                      <a:noFill/>
                    </a:ln>
                  </pic:spPr>
                </pic:pic>
              </a:graphicData>
            </a:graphic>
          </wp:inline>
        </w:drawing>
      </w:r>
    </w:p>
    <w:p w14:paraId="1EA0AD89">
      <w:pPr>
        <w:pStyle w:val="450"/>
        <w:ind w:left="0" w:leftChars="0" w:firstLine="0" w:firstLineChars="0"/>
        <w:jc w:val="center"/>
        <w:rPr>
          <w:rFonts w:hint="eastAsia" w:ascii="Times New Roman" w:hAnsi="宋体" w:eastAsia="宋体" w:cs="Times New Roman"/>
          <w:b/>
          <w:bCs w:val="0"/>
          <w:snapToGrid/>
          <w:color w:val="auto"/>
          <w:szCs w:val="24"/>
          <w:highlight w:val="none"/>
          <w:lang w:eastAsia="zh-CN"/>
        </w:rPr>
      </w:pPr>
      <w:r>
        <w:rPr>
          <w:rFonts w:hint="eastAsia" w:ascii="Times New Roman" w:hAnsi="宋体" w:eastAsia="宋体" w:cs="Times New Roman"/>
          <w:b/>
          <w:bCs w:val="0"/>
          <w:snapToGrid/>
          <w:color w:val="auto"/>
          <w:szCs w:val="24"/>
          <w:highlight w:val="none"/>
          <w:lang w:eastAsia="zh-CN"/>
        </w:rPr>
        <w:t>图</w:t>
      </w:r>
      <w:r>
        <w:rPr>
          <w:rFonts w:hint="eastAsia" w:ascii="Times New Roman" w:hAnsi="宋体" w:eastAsia="宋体" w:cs="Times New Roman"/>
          <w:b/>
          <w:bCs w:val="0"/>
          <w:snapToGrid/>
          <w:color w:val="auto"/>
          <w:szCs w:val="24"/>
          <w:highlight w:val="none"/>
          <w:lang w:val="en-US" w:eastAsia="zh-CN"/>
        </w:rPr>
        <w:t>5.2-</w:t>
      </w:r>
      <w:r>
        <w:rPr>
          <w:rFonts w:hint="eastAsia" w:hAnsi="宋体" w:eastAsia="宋体" w:cs="Times New Roman"/>
          <w:b/>
          <w:bCs w:val="0"/>
          <w:snapToGrid/>
          <w:color w:val="auto"/>
          <w:szCs w:val="24"/>
          <w:highlight w:val="none"/>
          <w:lang w:val="en-US" w:eastAsia="zh-CN"/>
        </w:rPr>
        <w:t>2</w:t>
      </w:r>
      <w:r>
        <w:rPr>
          <w:rFonts w:hint="eastAsia" w:ascii="Times New Roman" w:hAnsi="宋体" w:eastAsia="宋体" w:cs="Times New Roman"/>
          <w:b/>
          <w:bCs w:val="0"/>
          <w:snapToGrid/>
          <w:color w:val="auto"/>
          <w:szCs w:val="24"/>
          <w:highlight w:val="none"/>
          <w:lang w:val="en-US" w:eastAsia="zh-CN"/>
        </w:rPr>
        <w:t xml:space="preserve">  </w:t>
      </w:r>
      <w:r>
        <w:rPr>
          <w:rFonts w:hint="eastAsia" w:ascii="Times New Roman" w:hAnsi="宋体" w:eastAsia="宋体" w:cs="Times New Roman"/>
          <w:b/>
          <w:bCs w:val="0"/>
          <w:snapToGrid/>
          <w:color w:val="auto"/>
          <w:szCs w:val="24"/>
          <w:highlight w:val="none"/>
          <w:lang w:eastAsia="zh-CN"/>
        </w:rPr>
        <w:t>估算模型计算结果截图</w:t>
      </w:r>
    </w:p>
    <w:p w14:paraId="699283C2">
      <w:pPr>
        <w:pStyle w:val="450"/>
        <w:rPr>
          <w:rFonts w:hint="eastAsia" w:ascii="Times New Roman" w:hAnsi="宋体" w:eastAsia="宋体" w:cs="Times New Roman"/>
          <w:bCs/>
          <w:snapToGrid/>
          <w:color w:val="auto"/>
          <w:szCs w:val="24"/>
          <w:highlight w:val="green"/>
        </w:rPr>
      </w:pPr>
      <w:r>
        <w:rPr>
          <w:bCs/>
          <w:color w:val="auto"/>
          <w:sz w:val="24"/>
          <w:highlight w:val="none"/>
        </w:rPr>
        <w:t>分析预测结果表明，</w:t>
      </w:r>
      <w:r>
        <w:rPr>
          <w:rFonts w:hint="eastAsia" w:ascii="Times New Roman" w:hAnsi="宋体" w:eastAsia="宋体" w:cs="Times New Roman"/>
          <w:bCs/>
          <w:snapToGrid/>
          <w:color w:val="auto"/>
          <w:szCs w:val="24"/>
          <w:highlight w:val="none"/>
        </w:rPr>
        <w:t>本项目Pmax最大值出现为</w:t>
      </w:r>
      <w:r>
        <w:rPr>
          <w:rFonts w:hint="eastAsia" w:ascii="Times New Roman" w:hAnsi="宋体" w:eastAsia="宋体" w:cs="Times New Roman"/>
          <w:bCs/>
          <w:snapToGrid/>
          <w:color w:val="auto"/>
          <w:szCs w:val="24"/>
          <w:highlight w:val="none"/>
          <w:lang w:eastAsia="zh-CN"/>
        </w:rPr>
        <w:t>临时储粪场</w:t>
      </w:r>
      <w:r>
        <w:rPr>
          <w:rFonts w:hint="eastAsia" w:ascii="Times New Roman" w:hAnsi="宋体" w:eastAsia="宋体" w:cs="Times New Roman"/>
          <w:bCs/>
          <w:snapToGrid/>
          <w:color w:val="auto"/>
          <w:szCs w:val="24"/>
          <w:highlight w:val="none"/>
        </w:rPr>
        <w:t>无组织排放</w:t>
      </w:r>
      <w:r>
        <w:rPr>
          <w:rFonts w:hint="eastAsia" w:ascii="Times New Roman" w:hAnsi="宋体" w:eastAsia="宋体" w:cs="Times New Roman"/>
          <w:bCs/>
          <w:snapToGrid/>
          <w:color w:val="auto"/>
          <w:szCs w:val="24"/>
          <w:highlight w:val="none"/>
          <w:lang w:eastAsia="zh-CN"/>
        </w:rPr>
        <w:t>，</w:t>
      </w:r>
      <w:r>
        <w:rPr>
          <w:rFonts w:hint="eastAsia" w:ascii="Times New Roman" w:hAnsi="宋体" w:eastAsia="宋体" w:cs="Times New Roman"/>
          <w:bCs/>
          <w:snapToGrid/>
          <w:color w:val="auto"/>
          <w:szCs w:val="24"/>
          <w:highlight w:val="none"/>
          <w:lang w:val="en-US" w:eastAsia="zh-CN"/>
        </w:rPr>
        <w:t>HN</w:t>
      </w:r>
      <w:r>
        <w:rPr>
          <w:rFonts w:hint="eastAsia" w:ascii="Times New Roman" w:hAnsi="宋体" w:eastAsia="宋体" w:cs="Times New Roman"/>
          <w:bCs/>
          <w:snapToGrid/>
          <w:color w:val="auto"/>
          <w:szCs w:val="24"/>
          <w:highlight w:val="none"/>
          <w:vertAlign w:val="subscript"/>
          <w:lang w:val="en-US" w:eastAsia="zh-CN"/>
        </w:rPr>
        <w:t>3</w:t>
      </w:r>
      <w:r>
        <w:rPr>
          <w:rFonts w:hint="eastAsia" w:ascii="Times New Roman" w:hAnsi="宋体" w:eastAsia="宋体" w:cs="Times New Roman"/>
          <w:bCs/>
          <w:snapToGrid/>
          <w:color w:val="auto"/>
          <w:szCs w:val="24"/>
          <w:highlight w:val="none"/>
          <w:lang w:eastAsia="zh-CN"/>
        </w:rPr>
        <w:t>：</w:t>
      </w:r>
      <w:r>
        <w:rPr>
          <w:rFonts w:hint="eastAsia" w:ascii="Times New Roman" w:hAnsi="宋体" w:eastAsia="宋体" w:cs="Times New Roman"/>
          <w:bCs/>
          <w:snapToGrid/>
          <w:color w:val="auto"/>
          <w:szCs w:val="24"/>
          <w:highlight w:val="none"/>
        </w:rPr>
        <w:t>Pmax值为</w:t>
      </w:r>
      <w:r>
        <w:rPr>
          <w:rFonts w:hint="eastAsia" w:hAnsi="宋体" w:eastAsia="宋体" w:cs="Times New Roman"/>
          <w:bCs/>
          <w:snapToGrid/>
          <w:color w:val="auto"/>
          <w:szCs w:val="24"/>
          <w:highlight w:val="none"/>
          <w:lang w:val="en-US" w:eastAsia="zh-CN"/>
        </w:rPr>
        <w:t>4.49</w:t>
      </w:r>
      <w:r>
        <w:rPr>
          <w:rFonts w:hint="eastAsia" w:ascii="Times New Roman" w:hAnsi="宋体" w:eastAsia="宋体" w:cs="Times New Roman"/>
          <w:bCs/>
          <w:snapToGrid/>
          <w:color w:val="auto"/>
          <w:szCs w:val="24"/>
          <w:highlight w:val="none"/>
        </w:rPr>
        <w:t>%，Cmax为</w:t>
      </w:r>
      <w:r>
        <w:rPr>
          <w:rFonts w:hint="eastAsia" w:hAnsi="宋体" w:eastAsia="宋体" w:cs="Times New Roman"/>
          <w:bCs/>
          <w:snapToGrid/>
          <w:color w:val="auto"/>
          <w:szCs w:val="24"/>
          <w:highlight w:val="none"/>
          <w:lang w:val="en-US" w:eastAsia="zh-CN"/>
        </w:rPr>
        <w:t>8.98</w:t>
      </w:r>
      <w:r>
        <w:rPr>
          <w:rFonts w:hint="default" w:ascii="Times New Roman" w:hAnsi="Times New Roman" w:eastAsia="宋体" w:cs="Times New Roman"/>
          <w:color w:val="auto"/>
          <w:highlight w:val="none"/>
        </w:rPr>
        <w:t>μ</w:t>
      </w:r>
      <w:r>
        <w:rPr>
          <w:rFonts w:hint="eastAsia" w:ascii="Times New Roman" w:hAnsi="宋体" w:eastAsia="宋体" w:cs="Times New Roman"/>
          <w:bCs/>
          <w:snapToGrid/>
          <w:color w:val="auto"/>
          <w:szCs w:val="24"/>
          <w:highlight w:val="none"/>
        </w:rPr>
        <w:t>g/m</w:t>
      </w:r>
      <w:r>
        <w:rPr>
          <w:rFonts w:hint="eastAsia" w:ascii="Times New Roman" w:hAnsi="宋体" w:eastAsia="宋体" w:cs="Times New Roman"/>
          <w:bCs/>
          <w:snapToGrid/>
          <w:color w:val="auto"/>
          <w:szCs w:val="24"/>
          <w:highlight w:val="none"/>
          <w:vertAlign w:val="superscript"/>
        </w:rPr>
        <w:t>3</w:t>
      </w:r>
      <w:r>
        <w:rPr>
          <w:rFonts w:hint="eastAsia" w:ascii="Times New Roman" w:hAnsi="宋体" w:eastAsia="宋体" w:cs="Times New Roman"/>
          <w:bCs/>
          <w:snapToGrid/>
          <w:color w:val="auto"/>
          <w:szCs w:val="24"/>
          <w:highlight w:val="none"/>
        </w:rPr>
        <w:t>，</w:t>
      </w:r>
      <w:r>
        <w:rPr>
          <w:rFonts w:hint="eastAsia" w:ascii="Times New Roman" w:hAnsi="宋体" w:eastAsia="宋体" w:cs="Times New Roman"/>
          <w:bCs/>
          <w:snapToGrid/>
          <w:color w:val="auto"/>
          <w:szCs w:val="24"/>
          <w:highlight w:val="none"/>
          <w:lang w:val="en-US" w:eastAsia="zh-CN"/>
        </w:rPr>
        <w:t>H</w:t>
      </w:r>
      <w:r>
        <w:rPr>
          <w:rFonts w:hint="eastAsia" w:ascii="Times New Roman" w:hAnsi="宋体" w:eastAsia="宋体" w:cs="Times New Roman"/>
          <w:bCs/>
          <w:snapToGrid/>
          <w:color w:val="auto"/>
          <w:szCs w:val="24"/>
          <w:highlight w:val="none"/>
          <w:vertAlign w:val="subscript"/>
          <w:lang w:val="en-US" w:eastAsia="zh-CN"/>
        </w:rPr>
        <w:t>2</w:t>
      </w:r>
      <w:r>
        <w:rPr>
          <w:rFonts w:hint="eastAsia" w:ascii="Times New Roman" w:hAnsi="宋体" w:eastAsia="宋体" w:cs="Times New Roman"/>
          <w:bCs/>
          <w:snapToGrid/>
          <w:color w:val="auto"/>
          <w:szCs w:val="24"/>
          <w:highlight w:val="none"/>
          <w:lang w:val="en-US" w:eastAsia="zh-CN"/>
        </w:rPr>
        <w:t>S</w:t>
      </w:r>
      <w:r>
        <w:rPr>
          <w:rFonts w:hint="eastAsia" w:ascii="Times New Roman" w:hAnsi="宋体" w:eastAsia="宋体" w:cs="Times New Roman"/>
          <w:bCs/>
          <w:snapToGrid/>
          <w:color w:val="auto"/>
          <w:szCs w:val="24"/>
          <w:highlight w:val="none"/>
          <w:lang w:eastAsia="zh-CN"/>
        </w:rPr>
        <w:t>：</w:t>
      </w:r>
      <w:r>
        <w:rPr>
          <w:rFonts w:hint="eastAsia" w:ascii="Times New Roman" w:hAnsi="宋体" w:eastAsia="宋体" w:cs="Times New Roman"/>
          <w:bCs/>
          <w:snapToGrid/>
          <w:color w:val="auto"/>
          <w:szCs w:val="24"/>
          <w:highlight w:val="none"/>
        </w:rPr>
        <w:t>Pmax值为</w:t>
      </w:r>
      <w:r>
        <w:rPr>
          <w:rFonts w:hint="eastAsia" w:hAnsi="宋体" w:eastAsia="宋体" w:cs="Times New Roman"/>
          <w:bCs/>
          <w:snapToGrid/>
          <w:color w:val="auto"/>
          <w:szCs w:val="24"/>
          <w:highlight w:val="none"/>
          <w:lang w:val="en-US" w:eastAsia="zh-CN"/>
        </w:rPr>
        <w:t>4.49</w:t>
      </w:r>
      <w:r>
        <w:rPr>
          <w:rFonts w:hint="eastAsia" w:ascii="Times New Roman" w:hAnsi="宋体" w:eastAsia="宋体" w:cs="Times New Roman"/>
          <w:bCs/>
          <w:snapToGrid/>
          <w:color w:val="auto"/>
          <w:szCs w:val="24"/>
          <w:highlight w:val="none"/>
        </w:rPr>
        <w:t>%，Cmax为</w:t>
      </w:r>
      <w:r>
        <w:rPr>
          <w:rFonts w:hint="eastAsia" w:hAnsi="宋体" w:eastAsia="宋体" w:cs="Times New Roman"/>
          <w:bCs/>
          <w:snapToGrid/>
          <w:color w:val="auto"/>
          <w:szCs w:val="24"/>
          <w:highlight w:val="none"/>
          <w:lang w:val="en-US" w:eastAsia="zh-CN"/>
        </w:rPr>
        <w:t>0.449</w:t>
      </w:r>
      <w:r>
        <w:rPr>
          <w:rFonts w:hint="default" w:ascii="Times New Roman" w:hAnsi="Times New Roman" w:eastAsia="宋体" w:cs="Times New Roman"/>
          <w:color w:val="auto"/>
          <w:highlight w:val="none"/>
        </w:rPr>
        <w:t>μ</w:t>
      </w:r>
      <w:r>
        <w:rPr>
          <w:rFonts w:hint="eastAsia" w:ascii="Times New Roman" w:hAnsi="宋体" w:eastAsia="宋体" w:cs="Times New Roman"/>
          <w:bCs/>
          <w:snapToGrid/>
          <w:color w:val="auto"/>
          <w:szCs w:val="24"/>
          <w:highlight w:val="none"/>
        </w:rPr>
        <w:t>g/m</w:t>
      </w:r>
      <w:r>
        <w:rPr>
          <w:rFonts w:hint="eastAsia" w:ascii="Times New Roman" w:hAnsi="宋体" w:eastAsia="宋体" w:cs="Times New Roman"/>
          <w:bCs/>
          <w:snapToGrid/>
          <w:color w:val="auto"/>
          <w:szCs w:val="24"/>
          <w:highlight w:val="none"/>
          <w:vertAlign w:val="superscript"/>
        </w:rPr>
        <w:t>3</w:t>
      </w:r>
      <w:r>
        <w:rPr>
          <w:rFonts w:hint="eastAsia" w:ascii="Times New Roman" w:hAnsi="宋体" w:eastAsia="宋体" w:cs="Times New Roman"/>
          <w:bCs/>
          <w:snapToGrid/>
          <w:color w:val="auto"/>
          <w:szCs w:val="24"/>
          <w:highlight w:val="none"/>
        </w:rPr>
        <w:t>，根据《环境影响评价技术导则</w:t>
      </w:r>
      <w:r>
        <w:rPr>
          <w:rFonts w:hint="eastAsia" w:ascii="Times New Roman" w:hAnsi="宋体" w:eastAsia="宋体" w:cs="Times New Roman"/>
          <w:bCs/>
          <w:snapToGrid/>
          <w:color w:val="auto"/>
          <w:szCs w:val="24"/>
          <w:highlight w:val="none"/>
          <w:lang w:val="en-US" w:eastAsia="zh-CN"/>
        </w:rPr>
        <w:t xml:space="preserve"> </w:t>
      </w:r>
      <w:r>
        <w:rPr>
          <w:rFonts w:hint="eastAsia" w:ascii="Times New Roman" w:hAnsi="宋体" w:eastAsia="宋体" w:cs="Times New Roman"/>
          <w:bCs/>
          <w:snapToGrid/>
          <w:color w:val="auto"/>
          <w:szCs w:val="24"/>
          <w:highlight w:val="none"/>
        </w:rPr>
        <w:t>大气环境》(HJ2.2-2018)分级判据，确定本项目大气环境影响评价工作等级为二级。</w:t>
      </w:r>
    </w:p>
    <w:p w14:paraId="5BD4F830">
      <w:pPr>
        <w:pStyle w:val="450"/>
        <w:rPr>
          <w:rFonts w:hint="eastAsia" w:ascii="Times New Roman" w:hAnsi="宋体" w:eastAsia="宋体" w:cs="Times New Roman"/>
          <w:bCs/>
          <w:snapToGrid/>
          <w:color w:val="auto"/>
          <w:szCs w:val="24"/>
          <w:highlight w:val="none"/>
        </w:rPr>
      </w:pPr>
      <w:r>
        <w:rPr>
          <w:rFonts w:hint="eastAsia" w:ascii="Times New Roman" w:hAnsi="宋体" w:eastAsia="宋体" w:cs="Times New Roman"/>
          <w:bCs/>
          <w:snapToGrid/>
          <w:color w:val="auto"/>
          <w:szCs w:val="24"/>
          <w:highlight w:val="none"/>
        </w:rPr>
        <w:t>根据《环境影响评价技术导则 大气环境》(HJ2.2-2018) 要求，二级评价的项目，不进行进一步环境影响预测与评价，只对污染物排放量进行核算。故项目不对废气污染源进行进一步环境影响预测与评价，无须设置大气环境防护距离，利用估算结果进行分析，并对污染物排放量进行核算。</w:t>
      </w:r>
    </w:p>
    <w:p w14:paraId="24EA9711">
      <w:pPr>
        <w:bidi w:val="0"/>
        <w:spacing w:line="360" w:lineRule="auto"/>
        <w:rPr>
          <w:rFonts w:hint="eastAsia"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5.</w:t>
      </w:r>
      <w:r>
        <w:rPr>
          <w:rFonts w:hint="eastAsia" w:cs="Times New Roman"/>
          <w:b/>
          <w:bCs/>
          <w:color w:val="auto"/>
          <w:sz w:val="24"/>
          <w:szCs w:val="24"/>
          <w:lang w:val="en-US" w:eastAsia="zh-CN"/>
        </w:rPr>
        <w:t>2.1</w:t>
      </w:r>
      <w:r>
        <w:rPr>
          <w:rFonts w:hint="eastAsia" w:ascii="Times New Roman" w:hAnsi="Times New Roman" w:eastAsia="宋体" w:cs="Times New Roman"/>
          <w:b/>
          <w:bCs/>
          <w:color w:val="auto"/>
          <w:sz w:val="24"/>
          <w:szCs w:val="24"/>
          <w:lang w:val="en-US" w:eastAsia="zh-CN"/>
        </w:rPr>
        <w:t>.6</w:t>
      </w:r>
      <w:r>
        <w:rPr>
          <w:rFonts w:hint="eastAsia" w:ascii="Times New Roman" w:hAnsi="Times New Roman" w:eastAsia="宋体" w:cs="Times New Roman"/>
          <w:b/>
          <w:bCs/>
          <w:color w:val="auto"/>
          <w:sz w:val="24"/>
          <w:szCs w:val="24"/>
        </w:rPr>
        <w:t>污染物排放量核算</w:t>
      </w:r>
    </w:p>
    <w:p w14:paraId="3EFD0F58">
      <w:pPr>
        <w:spacing w:line="360" w:lineRule="auto"/>
        <w:ind w:firstLine="480" w:firstLineChars="200"/>
        <w:rPr>
          <w:color w:val="auto"/>
          <w:sz w:val="24"/>
        </w:rPr>
      </w:pPr>
      <w:r>
        <w:rPr>
          <w:color w:val="auto"/>
          <w:sz w:val="24"/>
        </w:rPr>
        <w:t>（</w:t>
      </w:r>
      <w:r>
        <w:rPr>
          <w:rFonts w:hint="eastAsia"/>
          <w:color w:val="auto"/>
          <w:sz w:val="24"/>
        </w:rPr>
        <w:t>1</w:t>
      </w:r>
      <w:r>
        <w:rPr>
          <w:color w:val="auto"/>
          <w:sz w:val="24"/>
        </w:rPr>
        <w:t>）</w:t>
      </w:r>
      <w:r>
        <w:rPr>
          <w:rFonts w:ascii="宋体" w:hAnsi="宋体" w:cs="宋体"/>
          <w:color w:val="auto"/>
          <w:sz w:val="24"/>
        </w:rPr>
        <w:t>污染物有组织排放量核算</w:t>
      </w:r>
    </w:p>
    <w:p w14:paraId="75E310E3">
      <w:pPr>
        <w:ind w:firstLine="422" w:firstLineChars="200"/>
        <w:jc w:val="center"/>
        <w:rPr>
          <w:bCs/>
          <w:color w:val="auto"/>
          <w:sz w:val="24"/>
        </w:rPr>
      </w:pPr>
      <w:r>
        <w:rPr>
          <w:b/>
          <w:bCs/>
          <w:color w:val="auto"/>
          <w:szCs w:val="21"/>
        </w:rPr>
        <w:t>表</w:t>
      </w:r>
      <w:r>
        <w:rPr>
          <w:rFonts w:hint="eastAsia"/>
          <w:b/>
          <w:bCs/>
          <w:color w:val="auto"/>
          <w:szCs w:val="21"/>
          <w:lang w:val="en-US" w:eastAsia="zh-CN"/>
        </w:rPr>
        <w:t xml:space="preserve">5.2-9   </w:t>
      </w:r>
      <w:r>
        <w:rPr>
          <w:rFonts w:hint="eastAsia"/>
          <w:b/>
          <w:bCs/>
          <w:color w:val="auto"/>
          <w:szCs w:val="21"/>
        </w:rPr>
        <w:t xml:space="preserve"> </w:t>
      </w:r>
      <w:r>
        <w:rPr>
          <w:b/>
          <w:bCs/>
          <w:color w:val="auto"/>
          <w:szCs w:val="21"/>
        </w:rPr>
        <w:t>大气污染物有组织排放量核算表</w:t>
      </w:r>
    </w:p>
    <w:tbl>
      <w:tblPr>
        <w:tblStyle w:val="53"/>
        <w:tblW w:w="4994"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7"/>
        <w:gridCol w:w="1443"/>
        <w:gridCol w:w="1416"/>
        <w:gridCol w:w="1416"/>
        <w:gridCol w:w="1455"/>
        <w:gridCol w:w="1431"/>
      </w:tblGrid>
      <w:tr w14:paraId="7D258A1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Align w:val="center"/>
          </w:tcPr>
          <w:p w14:paraId="5356D0F8">
            <w:pPr>
              <w:jc w:val="center"/>
              <w:rPr>
                <w:bCs/>
                <w:color w:val="auto"/>
                <w:szCs w:val="21"/>
              </w:rPr>
            </w:pPr>
            <w:r>
              <w:rPr>
                <w:bCs/>
                <w:color w:val="auto"/>
                <w:szCs w:val="21"/>
              </w:rPr>
              <w:t>序号</w:t>
            </w:r>
          </w:p>
        </w:tc>
        <w:tc>
          <w:tcPr>
            <w:tcW w:w="847" w:type="pct"/>
            <w:vAlign w:val="center"/>
          </w:tcPr>
          <w:p w14:paraId="3894E74A">
            <w:pPr>
              <w:jc w:val="center"/>
              <w:rPr>
                <w:bCs/>
                <w:color w:val="auto"/>
                <w:szCs w:val="21"/>
              </w:rPr>
            </w:pPr>
            <w:r>
              <w:rPr>
                <w:bCs/>
                <w:color w:val="auto"/>
                <w:szCs w:val="21"/>
              </w:rPr>
              <w:t>排放口编号</w:t>
            </w:r>
          </w:p>
        </w:tc>
        <w:tc>
          <w:tcPr>
            <w:tcW w:w="831" w:type="pct"/>
            <w:vAlign w:val="center"/>
          </w:tcPr>
          <w:p w14:paraId="2605981F">
            <w:pPr>
              <w:jc w:val="center"/>
              <w:rPr>
                <w:bCs/>
                <w:color w:val="auto"/>
                <w:szCs w:val="21"/>
              </w:rPr>
            </w:pPr>
            <w:r>
              <w:rPr>
                <w:bCs/>
                <w:color w:val="auto"/>
                <w:szCs w:val="21"/>
              </w:rPr>
              <w:t>污染物</w:t>
            </w:r>
          </w:p>
        </w:tc>
        <w:tc>
          <w:tcPr>
            <w:tcW w:w="831" w:type="pct"/>
            <w:vAlign w:val="center"/>
          </w:tcPr>
          <w:p w14:paraId="71BEADC4">
            <w:pPr>
              <w:jc w:val="center"/>
              <w:rPr>
                <w:bCs/>
                <w:color w:val="auto"/>
                <w:szCs w:val="21"/>
              </w:rPr>
            </w:pPr>
            <w:r>
              <w:rPr>
                <w:bCs/>
                <w:color w:val="auto"/>
                <w:szCs w:val="21"/>
              </w:rPr>
              <w:t>核算排放浓度（</w:t>
            </w:r>
            <w:r>
              <w:rPr>
                <w:color w:val="auto"/>
                <w:szCs w:val="21"/>
              </w:rPr>
              <w:t>mg/m</w:t>
            </w:r>
            <w:r>
              <w:rPr>
                <w:color w:val="auto"/>
                <w:szCs w:val="21"/>
                <w:vertAlign w:val="superscript"/>
              </w:rPr>
              <w:t>3</w:t>
            </w:r>
            <w:r>
              <w:rPr>
                <w:bCs/>
                <w:color w:val="auto"/>
                <w:szCs w:val="21"/>
              </w:rPr>
              <w:t>）</w:t>
            </w:r>
          </w:p>
        </w:tc>
        <w:tc>
          <w:tcPr>
            <w:tcW w:w="852" w:type="pct"/>
            <w:vAlign w:val="center"/>
          </w:tcPr>
          <w:p w14:paraId="3273C0A6">
            <w:pPr>
              <w:jc w:val="center"/>
              <w:rPr>
                <w:bCs/>
                <w:color w:val="auto"/>
                <w:szCs w:val="21"/>
              </w:rPr>
            </w:pPr>
            <w:r>
              <w:rPr>
                <w:bCs/>
                <w:color w:val="auto"/>
                <w:szCs w:val="21"/>
              </w:rPr>
              <w:t>核算排放速率（kg/h）</w:t>
            </w:r>
          </w:p>
        </w:tc>
        <w:tc>
          <w:tcPr>
            <w:tcW w:w="838" w:type="pct"/>
            <w:vAlign w:val="center"/>
          </w:tcPr>
          <w:p w14:paraId="38423D4A">
            <w:pPr>
              <w:jc w:val="center"/>
              <w:rPr>
                <w:bCs/>
                <w:color w:val="auto"/>
                <w:szCs w:val="21"/>
              </w:rPr>
            </w:pPr>
            <w:r>
              <w:rPr>
                <w:bCs/>
                <w:color w:val="auto"/>
                <w:szCs w:val="21"/>
              </w:rPr>
              <w:t>核算年排放量（t/a）</w:t>
            </w:r>
          </w:p>
        </w:tc>
      </w:tr>
      <w:tr w14:paraId="715FE10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6"/>
            <w:vAlign w:val="center"/>
          </w:tcPr>
          <w:p w14:paraId="50A3535B">
            <w:pPr>
              <w:jc w:val="center"/>
              <w:rPr>
                <w:bCs/>
                <w:color w:val="auto"/>
                <w:szCs w:val="21"/>
              </w:rPr>
            </w:pPr>
            <w:r>
              <w:rPr>
                <w:bCs/>
                <w:color w:val="auto"/>
                <w:szCs w:val="21"/>
              </w:rPr>
              <w:t>一般排放口</w:t>
            </w:r>
          </w:p>
        </w:tc>
      </w:tr>
      <w:tr w14:paraId="2081CA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restart"/>
            <w:vAlign w:val="center"/>
          </w:tcPr>
          <w:p w14:paraId="77ABAD50">
            <w:pPr>
              <w:jc w:val="center"/>
              <w:rPr>
                <w:rFonts w:hint="eastAsia" w:eastAsia="宋体"/>
                <w:bCs/>
                <w:color w:val="auto"/>
                <w:szCs w:val="21"/>
                <w:lang w:val="en-US" w:eastAsia="zh-CN"/>
              </w:rPr>
            </w:pPr>
            <w:r>
              <w:rPr>
                <w:rFonts w:hint="eastAsia"/>
                <w:bCs/>
                <w:color w:val="auto"/>
                <w:szCs w:val="21"/>
                <w:lang w:val="en-US" w:eastAsia="zh-CN"/>
              </w:rPr>
              <w:t>1</w:t>
            </w:r>
          </w:p>
        </w:tc>
        <w:tc>
          <w:tcPr>
            <w:tcW w:w="847" w:type="pct"/>
            <w:vMerge w:val="restart"/>
            <w:vAlign w:val="center"/>
          </w:tcPr>
          <w:p w14:paraId="4A2C934A">
            <w:pPr>
              <w:jc w:val="center"/>
              <w:rPr>
                <w:rFonts w:hint="eastAsia" w:eastAsia="宋体"/>
                <w:bCs/>
                <w:color w:val="auto"/>
                <w:szCs w:val="21"/>
                <w:lang w:eastAsia="zh-CN"/>
              </w:rPr>
            </w:pPr>
            <w:r>
              <w:rPr>
                <w:rFonts w:hint="eastAsia" w:ascii="Times New Roman" w:hAnsi="Times New Roman" w:eastAsia="宋体"/>
                <w:color w:val="auto"/>
                <w:lang w:val="en-US" w:eastAsia="zh-CN"/>
              </w:rPr>
              <w:t>DA00</w:t>
            </w:r>
            <w:r>
              <w:rPr>
                <w:rFonts w:hint="eastAsia"/>
                <w:bCs/>
                <w:color w:val="auto"/>
                <w:szCs w:val="21"/>
                <w:lang w:val="en-US" w:eastAsia="zh-CN"/>
              </w:rPr>
              <w:t>1</w:t>
            </w:r>
          </w:p>
        </w:tc>
        <w:tc>
          <w:tcPr>
            <w:tcW w:w="831" w:type="pct"/>
            <w:vAlign w:val="center"/>
          </w:tcPr>
          <w:p w14:paraId="741803A6">
            <w:pPr>
              <w:tabs>
                <w:tab w:val="left" w:pos="4065"/>
                <w:tab w:val="left" w:pos="4875"/>
              </w:tabs>
              <w:autoSpaceDE w:val="0"/>
              <w:autoSpaceDN w:val="0"/>
              <w:adjustRightInd w:val="0"/>
              <w:jc w:val="center"/>
              <w:rPr>
                <w:bCs/>
                <w:color w:val="auto"/>
                <w:szCs w:val="21"/>
              </w:rPr>
            </w:pPr>
            <w:r>
              <w:rPr>
                <w:rFonts w:hint="eastAsia"/>
                <w:bCs/>
                <w:color w:val="auto"/>
                <w:szCs w:val="21"/>
              </w:rPr>
              <w:t>颗粒物</w:t>
            </w:r>
          </w:p>
        </w:tc>
        <w:tc>
          <w:tcPr>
            <w:tcW w:w="831" w:type="pct"/>
            <w:vAlign w:val="center"/>
          </w:tcPr>
          <w:p w14:paraId="060EEB0F">
            <w:pPr>
              <w:jc w:val="center"/>
              <w:rPr>
                <w:color w:val="auto"/>
                <w:sz w:val="21"/>
                <w:szCs w:val="21"/>
              </w:rPr>
            </w:pPr>
            <w:r>
              <w:rPr>
                <w:rFonts w:hint="eastAsia"/>
                <w:color w:val="auto"/>
                <w:lang w:val="en-US" w:eastAsia="zh-CN"/>
              </w:rPr>
              <w:t>1.0</w:t>
            </w:r>
          </w:p>
        </w:tc>
        <w:tc>
          <w:tcPr>
            <w:tcW w:w="852" w:type="pct"/>
            <w:vAlign w:val="center"/>
          </w:tcPr>
          <w:p w14:paraId="6D8FA38B">
            <w:pPr>
              <w:jc w:val="center"/>
              <w:rPr>
                <w:color w:val="auto"/>
                <w:sz w:val="21"/>
                <w:szCs w:val="21"/>
              </w:rPr>
            </w:pPr>
            <w:r>
              <w:rPr>
                <w:rFonts w:hint="eastAsia"/>
                <w:color w:val="auto"/>
                <w:lang w:val="en-US" w:eastAsia="zh-CN"/>
              </w:rPr>
              <w:t>0.002</w:t>
            </w:r>
          </w:p>
        </w:tc>
        <w:tc>
          <w:tcPr>
            <w:tcW w:w="838" w:type="pct"/>
            <w:vAlign w:val="center"/>
          </w:tcPr>
          <w:p w14:paraId="1DAC52DA">
            <w:pPr>
              <w:jc w:val="center"/>
              <w:rPr>
                <w:color w:val="auto"/>
                <w:sz w:val="21"/>
                <w:szCs w:val="21"/>
              </w:rPr>
            </w:pPr>
            <w:r>
              <w:rPr>
                <w:rFonts w:hint="eastAsia"/>
                <w:color w:val="auto"/>
                <w:lang w:val="en-US" w:eastAsia="zh-CN"/>
              </w:rPr>
              <w:t>0.005</w:t>
            </w:r>
          </w:p>
        </w:tc>
      </w:tr>
      <w:tr w14:paraId="4C204FF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vAlign w:val="center"/>
          </w:tcPr>
          <w:p w14:paraId="2E5FD2E6">
            <w:pPr>
              <w:jc w:val="center"/>
              <w:rPr>
                <w:bCs/>
                <w:color w:val="auto"/>
                <w:szCs w:val="21"/>
              </w:rPr>
            </w:pPr>
          </w:p>
        </w:tc>
        <w:tc>
          <w:tcPr>
            <w:tcW w:w="847" w:type="pct"/>
            <w:vMerge w:val="continue"/>
            <w:vAlign w:val="center"/>
          </w:tcPr>
          <w:p w14:paraId="1D73422B">
            <w:pPr>
              <w:jc w:val="center"/>
              <w:rPr>
                <w:bCs/>
                <w:color w:val="auto"/>
                <w:szCs w:val="21"/>
              </w:rPr>
            </w:pPr>
          </w:p>
        </w:tc>
        <w:tc>
          <w:tcPr>
            <w:tcW w:w="831" w:type="pct"/>
            <w:vAlign w:val="center"/>
          </w:tcPr>
          <w:p w14:paraId="474E011C">
            <w:pPr>
              <w:tabs>
                <w:tab w:val="left" w:pos="4065"/>
                <w:tab w:val="left" w:pos="4875"/>
              </w:tabs>
              <w:autoSpaceDE w:val="0"/>
              <w:autoSpaceDN w:val="0"/>
              <w:adjustRightInd w:val="0"/>
              <w:jc w:val="center"/>
              <w:rPr>
                <w:bCs/>
                <w:color w:val="auto"/>
                <w:szCs w:val="21"/>
              </w:rPr>
            </w:pPr>
            <w:r>
              <w:rPr>
                <w:rFonts w:hint="eastAsia"/>
                <w:bCs/>
                <w:color w:val="auto"/>
                <w:szCs w:val="21"/>
              </w:rPr>
              <w:t>SO</w:t>
            </w:r>
            <w:r>
              <w:rPr>
                <w:rFonts w:hint="eastAsia"/>
                <w:bCs/>
                <w:color w:val="auto"/>
                <w:szCs w:val="21"/>
                <w:vertAlign w:val="subscript"/>
              </w:rPr>
              <w:t>2</w:t>
            </w:r>
          </w:p>
        </w:tc>
        <w:tc>
          <w:tcPr>
            <w:tcW w:w="831" w:type="pct"/>
            <w:vAlign w:val="center"/>
          </w:tcPr>
          <w:p w14:paraId="2218BA1A">
            <w:pPr>
              <w:jc w:val="center"/>
              <w:rPr>
                <w:rFonts w:hint="eastAsia" w:eastAsia="宋体"/>
                <w:color w:val="auto"/>
                <w:sz w:val="21"/>
                <w:szCs w:val="21"/>
                <w:lang w:eastAsia="zh-CN"/>
              </w:rPr>
            </w:pPr>
            <w:r>
              <w:rPr>
                <w:rFonts w:hint="eastAsia"/>
                <w:color w:val="auto"/>
                <w:lang w:val="en-US" w:eastAsia="zh-CN"/>
              </w:rPr>
              <w:t>235</w:t>
            </w:r>
          </w:p>
        </w:tc>
        <w:tc>
          <w:tcPr>
            <w:tcW w:w="852" w:type="pct"/>
            <w:vAlign w:val="center"/>
          </w:tcPr>
          <w:p w14:paraId="28319174">
            <w:pPr>
              <w:jc w:val="center"/>
              <w:rPr>
                <w:rFonts w:hint="eastAsia" w:eastAsia="宋体"/>
                <w:color w:val="auto"/>
                <w:sz w:val="21"/>
                <w:szCs w:val="21"/>
                <w:lang w:eastAsia="zh-CN"/>
              </w:rPr>
            </w:pPr>
            <w:r>
              <w:rPr>
                <w:rFonts w:hint="eastAsia"/>
                <w:color w:val="auto"/>
                <w:lang w:val="en-US" w:eastAsia="zh-CN"/>
              </w:rPr>
              <w:t>0.497</w:t>
            </w:r>
          </w:p>
        </w:tc>
        <w:tc>
          <w:tcPr>
            <w:tcW w:w="838" w:type="pct"/>
            <w:vAlign w:val="center"/>
          </w:tcPr>
          <w:p w14:paraId="37B53379">
            <w:pPr>
              <w:jc w:val="center"/>
              <w:rPr>
                <w:rFonts w:hint="default" w:eastAsia="宋体"/>
                <w:color w:val="auto"/>
                <w:sz w:val="21"/>
                <w:szCs w:val="21"/>
                <w:lang w:val="en-US" w:eastAsia="zh-CN"/>
              </w:rPr>
            </w:pPr>
            <w:r>
              <w:rPr>
                <w:rFonts w:hint="eastAsia"/>
                <w:color w:val="auto"/>
                <w:sz w:val="21"/>
                <w:szCs w:val="21"/>
                <w:lang w:val="en-US" w:eastAsia="zh-CN"/>
              </w:rPr>
              <w:t>0.48</w:t>
            </w:r>
          </w:p>
        </w:tc>
      </w:tr>
      <w:tr w14:paraId="0ACE713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vAlign w:val="center"/>
          </w:tcPr>
          <w:p w14:paraId="0D118343">
            <w:pPr>
              <w:jc w:val="center"/>
              <w:rPr>
                <w:bCs/>
                <w:color w:val="auto"/>
                <w:szCs w:val="21"/>
              </w:rPr>
            </w:pPr>
          </w:p>
        </w:tc>
        <w:tc>
          <w:tcPr>
            <w:tcW w:w="847" w:type="pct"/>
            <w:vMerge w:val="continue"/>
            <w:vAlign w:val="center"/>
          </w:tcPr>
          <w:p w14:paraId="023B12A3">
            <w:pPr>
              <w:jc w:val="center"/>
              <w:rPr>
                <w:bCs/>
                <w:color w:val="auto"/>
                <w:szCs w:val="21"/>
              </w:rPr>
            </w:pPr>
          </w:p>
        </w:tc>
        <w:tc>
          <w:tcPr>
            <w:tcW w:w="831" w:type="pct"/>
            <w:vAlign w:val="center"/>
          </w:tcPr>
          <w:p w14:paraId="5F8D698D">
            <w:pPr>
              <w:tabs>
                <w:tab w:val="left" w:pos="4065"/>
                <w:tab w:val="left" w:pos="4875"/>
              </w:tabs>
              <w:autoSpaceDE w:val="0"/>
              <w:autoSpaceDN w:val="0"/>
              <w:adjustRightInd w:val="0"/>
              <w:jc w:val="center"/>
              <w:rPr>
                <w:color w:val="auto"/>
                <w:kern w:val="0"/>
                <w:szCs w:val="21"/>
              </w:rPr>
            </w:pPr>
            <w:r>
              <w:rPr>
                <w:rFonts w:hint="eastAsia"/>
                <w:color w:val="auto"/>
                <w:kern w:val="0"/>
                <w:szCs w:val="21"/>
              </w:rPr>
              <w:t>NOx</w:t>
            </w:r>
          </w:p>
        </w:tc>
        <w:tc>
          <w:tcPr>
            <w:tcW w:w="831" w:type="pct"/>
            <w:vAlign w:val="center"/>
          </w:tcPr>
          <w:p w14:paraId="11E627BA">
            <w:pPr>
              <w:jc w:val="center"/>
              <w:rPr>
                <w:rFonts w:hint="default" w:eastAsia="宋体"/>
                <w:color w:val="auto"/>
                <w:sz w:val="21"/>
                <w:szCs w:val="21"/>
                <w:lang w:val="en-US" w:eastAsia="zh-CN"/>
              </w:rPr>
            </w:pPr>
            <w:r>
              <w:rPr>
                <w:rFonts w:hint="eastAsia"/>
                <w:color w:val="auto"/>
                <w:lang w:val="en-US" w:eastAsia="zh-CN"/>
              </w:rPr>
              <w:t>110</w:t>
            </w:r>
          </w:p>
        </w:tc>
        <w:tc>
          <w:tcPr>
            <w:tcW w:w="852" w:type="pct"/>
            <w:vAlign w:val="center"/>
          </w:tcPr>
          <w:p w14:paraId="23F322D0">
            <w:pPr>
              <w:jc w:val="center"/>
              <w:rPr>
                <w:rFonts w:hint="default" w:eastAsia="宋体"/>
                <w:color w:val="auto"/>
                <w:sz w:val="21"/>
                <w:szCs w:val="21"/>
                <w:lang w:val="en-US" w:eastAsia="zh-CN"/>
              </w:rPr>
            </w:pPr>
            <w:r>
              <w:rPr>
                <w:rFonts w:hint="eastAsia"/>
                <w:color w:val="auto"/>
                <w:lang w:val="en-US" w:eastAsia="zh-CN"/>
              </w:rPr>
              <w:t>0.233</w:t>
            </w:r>
          </w:p>
        </w:tc>
        <w:tc>
          <w:tcPr>
            <w:tcW w:w="838" w:type="pct"/>
            <w:vAlign w:val="center"/>
          </w:tcPr>
          <w:p w14:paraId="1879802B">
            <w:pPr>
              <w:jc w:val="center"/>
              <w:rPr>
                <w:rFonts w:hint="default" w:eastAsia="宋体"/>
                <w:color w:val="auto"/>
                <w:sz w:val="21"/>
                <w:szCs w:val="21"/>
                <w:lang w:val="en-US" w:eastAsia="zh-CN"/>
              </w:rPr>
            </w:pPr>
            <w:r>
              <w:rPr>
                <w:rFonts w:hint="eastAsia"/>
                <w:color w:val="auto"/>
                <w:lang w:val="en-US" w:eastAsia="zh-CN"/>
              </w:rPr>
              <w:t>0.67</w:t>
            </w:r>
          </w:p>
        </w:tc>
      </w:tr>
      <w:tr w14:paraId="3C0AD7C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Align w:val="center"/>
          </w:tcPr>
          <w:p w14:paraId="27487B41">
            <w:pPr>
              <w:jc w:val="center"/>
              <w:rPr>
                <w:rFonts w:hint="eastAsia" w:eastAsia="宋体"/>
                <w:bCs/>
                <w:color w:val="auto"/>
                <w:szCs w:val="21"/>
                <w:lang w:eastAsia="zh-CN"/>
              </w:rPr>
            </w:pPr>
            <w:r>
              <w:rPr>
                <w:rFonts w:hint="eastAsia"/>
                <w:bCs/>
                <w:color w:val="auto"/>
                <w:szCs w:val="21"/>
                <w:lang w:val="en-US" w:eastAsia="zh-CN"/>
              </w:rPr>
              <w:t>2</w:t>
            </w:r>
          </w:p>
        </w:tc>
        <w:tc>
          <w:tcPr>
            <w:tcW w:w="847" w:type="pct"/>
            <w:vAlign w:val="center"/>
          </w:tcPr>
          <w:p w14:paraId="7A07B656">
            <w:pPr>
              <w:jc w:val="center"/>
              <w:rPr>
                <w:rFonts w:hint="default" w:eastAsia="宋体"/>
                <w:bCs/>
                <w:color w:val="auto"/>
                <w:szCs w:val="21"/>
                <w:lang w:val="en-US" w:eastAsia="zh-CN"/>
              </w:rPr>
            </w:pPr>
            <w:r>
              <w:rPr>
                <w:rFonts w:hint="eastAsia" w:ascii="Times New Roman" w:hAnsi="Times New Roman" w:eastAsia="宋体"/>
                <w:color w:val="auto"/>
                <w:lang w:val="en-US" w:eastAsia="zh-CN"/>
              </w:rPr>
              <w:t>DA0</w:t>
            </w:r>
            <w:r>
              <w:rPr>
                <w:rFonts w:hint="eastAsia"/>
                <w:bCs/>
                <w:color w:val="auto"/>
                <w:szCs w:val="21"/>
                <w:lang w:val="en-US" w:eastAsia="zh-CN"/>
              </w:rPr>
              <w:t>02</w:t>
            </w:r>
          </w:p>
        </w:tc>
        <w:tc>
          <w:tcPr>
            <w:tcW w:w="831" w:type="pct"/>
            <w:vAlign w:val="center"/>
          </w:tcPr>
          <w:p w14:paraId="7EFFA2D5">
            <w:pPr>
              <w:autoSpaceDE w:val="0"/>
              <w:autoSpaceDN w:val="0"/>
              <w:adjustRightInd w:val="0"/>
              <w:jc w:val="center"/>
              <w:rPr>
                <w:color w:val="auto"/>
                <w:kern w:val="0"/>
                <w:szCs w:val="21"/>
              </w:rPr>
            </w:pPr>
            <w:r>
              <w:rPr>
                <w:rFonts w:hint="eastAsia"/>
                <w:color w:val="auto"/>
                <w:kern w:val="0"/>
                <w:szCs w:val="21"/>
              </w:rPr>
              <w:t>油烟</w:t>
            </w:r>
          </w:p>
        </w:tc>
        <w:tc>
          <w:tcPr>
            <w:tcW w:w="831" w:type="pct"/>
            <w:vAlign w:val="center"/>
          </w:tcPr>
          <w:p w14:paraId="03BC1782">
            <w:pPr>
              <w:jc w:val="center"/>
              <w:rPr>
                <w:rFonts w:hint="eastAsia" w:eastAsia="宋体"/>
                <w:bCs/>
                <w:color w:val="auto"/>
                <w:szCs w:val="21"/>
                <w:lang w:eastAsia="zh-CN"/>
              </w:rPr>
            </w:pPr>
            <w:r>
              <w:rPr>
                <w:rFonts w:hint="eastAsia"/>
                <w:bCs/>
                <w:color w:val="auto"/>
                <w:szCs w:val="21"/>
              </w:rPr>
              <w:t>1.</w:t>
            </w:r>
            <w:r>
              <w:rPr>
                <w:rFonts w:hint="eastAsia"/>
                <w:bCs/>
                <w:color w:val="auto"/>
                <w:szCs w:val="21"/>
                <w:lang w:val="en-US" w:eastAsia="zh-CN"/>
              </w:rPr>
              <w:t>4</w:t>
            </w:r>
          </w:p>
        </w:tc>
        <w:tc>
          <w:tcPr>
            <w:tcW w:w="852" w:type="pct"/>
            <w:vAlign w:val="center"/>
          </w:tcPr>
          <w:p w14:paraId="7BBF85BF">
            <w:pPr>
              <w:pStyle w:val="434"/>
              <w:jc w:val="center"/>
              <w:rPr>
                <w:color w:val="auto"/>
                <w:sz w:val="21"/>
                <w:szCs w:val="21"/>
              </w:rPr>
            </w:pPr>
            <w:r>
              <w:rPr>
                <w:rFonts w:hint="eastAsia"/>
                <w:color w:val="auto"/>
                <w:sz w:val="21"/>
                <w:szCs w:val="21"/>
              </w:rPr>
              <w:t>0.006</w:t>
            </w:r>
          </w:p>
        </w:tc>
        <w:tc>
          <w:tcPr>
            <w:tcW w:w="838" w:type="pct"/>
            <w:vAlign w:val="center"/>
          </w:tcPr>
          <w:p w14:paraId="2B363021">
            <w:pPr>
              <w:pStyle w:val="434"/>
              <w:jc w:val="center"/>
              <w:rPr>
                <w:color w:val="auto"/>
                <w:sz w:val="21"/>
                <w:szCs w:val="21"/>
              </w:rPr>
            </w:pPr>
            <w:r>
              <w:rPr>
                <w:rFonts w:hint="eastAsia"/>
                <w:color w:val="auto"/>
                <w:sz w:val="21"/>
                <w:szCs w:val="21"/>
              </w:rPr>
              <w:t>0.00876</w:t>
            </w:r>
          </w:p>
        </w:tc>
      </w:tr>
      <w:tr w14:paraId="201D69E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44" w:type="pct"/>
            <w:gridSpan w:val="2"/>
            <w:vMerge w:val="restart"/>
            <w:vAlign w:val="center"/>
          </w:tcPr>
          <w:p w14:paraId="783D6E82">
            <w:pPr>
              <w:jc w:val="center"/>
              <w:rPr>
                <w:bCs/>
                <w:color w:val="auto"/>
                <w:szCs w:val="21"/>
              </w:rPr>
            </w:pPr>
            <w:r>
              <w:rPr>
                <w:bCs/>
                <w:color w:val="auto"/>
                <w:szCs w:val="21"/>
              </w:rPr>
              <w:t>一般排放口合计</w:t>
            </w:r>
          </w:p>
        </w:tc>
        <w:tc>
          <w:tcPr>
            <w:tcW w:w="2516" w:type="pct"/>
            <w:gridSpan w:val="3"/>
            <w:vAlign w:val="center"/>
          </w:tcPr>
          <w:p w14:paraId="4F84BF6C">
            <w:pPr>
              <w:tabs>
                <w:tab w:val="left" w:pos="4065"/>
                <w:tab w:val="left" w:pos="4875"/>
              </w:tabs>
              <w:autoSpaceDE w:val="0"/>
              <w:autoSpaceDN w:val="0"/>
              <w:adjustRightInd w:val="0"/>
              <w:jc w:val="center"/>
              <w:rPr>
                <w:bCs/>
                <w:color w:val="auto"/>
                <w:szCs w:val="21"/>
              </w:rPr>
            </w:pPr>
            <w:r>
              <w:rPr>
                <w:rFonts w:hint="eastAsia"/>
                <w:bCs/>
                <w:color w:val="auto"/>
                <w:szCs w:val="21"/>
              </w:rPr>
              <w:t>颗粒物</w:t>
            </w:r>
          </w:p>
        </w:tc>
        <w:tc>
          <w:tcPr>
            <w:tcW w:w="1431" w:type="dxa"/>
            <w:vAlign w:val="center"/>
          </w:tcPr>
          <w:p w14:paraId="4E0D3C3C">
            <w:pPr>
              <w:jc w:val="center"/>
              <w:rPr>
                <w:rFonts w:hint="default" w:eastAsia="宋体"/>
                <w:bCs/>
                <w:color w:val="auto"/>
                <w:szCs w:val="21"/>
                <w:lang w:val="en-US" w:eastAsia="zh-CN"/>
              </w:rPr>
            </w:pPr>
            <w:r>
              <w:rPr>
                <w:rFonts w:hint="eastAsia"/>
                <w:color w:val="auto"/>
                <w:lang w:val="en-US" w:eastAsia="zh-CN"/>
              </w:rPr>
              <w:t>0.005</w:t>
            </w:r>
          </w:p>
        </w:tc>
      </w:tr>
      <w:tr w14:paraId="78EB4A9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44" w:type="pct"/>
            <w:gridSpan w:val="2"/>
            <w:vMerge w:val="continue"/>
            <w:vAlign w:val="center"/>
          </w:tcPr>
          <w:p w14:paraId="12017150">
            <w:pPr>
              <w:jc w:val="center"/>
              <w:rPr>
                <w:bCs/>
                <w:color w:val="auto"/>
                <w:szCs w:val="21"/>
              </w:rPr>
            </w:pPr>
          </w:p>
        </w:tc>
        <w:tc>
          <w:tcPr>
            <w:tcW w:w="2516" w:type="pct"/>
            <w:gridSpan w:val="3"/>
            <w:vAlign w:val="center"/>
          </w:tcPr>
          <w:p w14:paraId="599C78CF">
            <w:pPr>
              <w:tabs>
                <w:tab w:val="left" w:pos="4065"/>
                <w:tab w:val="left" w:pos="4875"/>
              </w:tabs>
              <w:autoSpaceDE w:val="0"/>
              <w:autoSpaceDN w:val="0"/>
              <w:adjustRightInd w:val="0"/>
              <w:jc w:val="center"/>
              <w:rPr>
                <w:color w:val="auto"/>
                <w:kern w:val="0"/>
                <w:szCs w:val="21"/>
              </w:rPr>
            </w:pPr>
            <w:r>
              <w:rPr>
                <w:rFonts w:hint="eastAsia"/>
                <w:bCs/>
                <w:color w:val="auto"/>
                <w:szCs w:val="21"/>
              </w:rPr>
              <w:t>SO</w:t>
            </w:r>
            <w:r>
              <w:rPr>
                <w:rFonts w:hint="eastAsia"/>
                <w:bCs/>
                <w:color w:val="auto"/>
                <w:szCs w:val="21"/>
                <w:vertAlign w:val="subscript"/>
              </w:rPr>
              <w:t>2</w:t>
            </w:r>
          </w:p>
        </w:tc>
        <w:tc>
          <w:tcPr>
            <w:tcW w:w="1431" w:type="dxa"/>
            <w:vAlign w:val="center"/>
          </w:tcPr>
          <w:p w14:paraId="18C6A782">
            <w:pPr>
              <w:jc w:val="center"/>
              <w:rPr>
                <w:rFonts w:hint="default" w:eastAsia="宋体"/>
                <w:bCs/>
                <w:color w:val="auto"/>
                <w:szCs w:val="21"/>
                <w:lang w:val="en-US" w:eastAsia="zh-CN"/>
              </w:rPr>
            </w:pPr>
            <w:r>
              <w:rPr>
                <w:rFonts w:hint="eastAsia"/>
                <w:color w:val="auto"/>
                <w:lang w:val="en-US" w:eastAsia="zh-CN"/>
              </w:rPr>
              <w:t>0.48</w:t>
            </w:r>
          </w:p>
        </w:tc>
      </w:tr>
      <w:tr w14:paraId="0B691D6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44" w:type="pct"/>
            <w:gridSpan w:val="2"/>
            <w:vMerge w:val="continue"/>
            <w:vAlign w:val="center"/>
          </w:tcPr>
          <w:p w14:paraId="780A57FD">
            <w:pPr>
              <w:jc w:val="center"/>
              <w:rPr>
                <w:bCs/>
                <w:color w:val="auto"/>
                <w:szCs w:val="21"/>
              </w:rPr>
            </w:pPr>
          </w:p>
        </w:tc>
        <w:tc>
          <w:tcPr>
            <w:tcW w:w="2516" w:type="pct"/>
            <w:gridSpan w:val="3"/>
            <w:vAlign w:val="center"/>
          </w:tcPr>
          <w:p w14:paraId="0390BE09">
            <w:pPr>
              <w:tabs>
                <w:tab w:val="left" w:pos="4065"/>
                <w:tab w:val="left" w:pos="4875"/>
              </w:tabs>
              <w:autoSpaceDE w:val="0"/>
              <w:autoSpaceDN w:val="0"/>
              <w:adjustRightInd w:val="0"/>
              <w:jc w:val="center"/>
              <w:rPr>
                <w:color w:val="auto"/>
                <w:kern w:val="0"/>
                <w:szCs w:val="21"/>
              </w:rPr>
            </w:pPr>
            <w:r>
              <w:rPr>
                <w:rFonts w:hint="eastAsia"/>
                <w:color w:val="auto"/>
                <w:kern w:val="0"/>
                <w:szCs w:val="21"/>
              </w:rPr>
              <w:t>NOx</w:t>
            </w:r>
          </w:p>
        </w:tc>
        <w:tc>
          <w:tcPr>
            <w:tcW w:w="1431" w:type="dxa"/>
            <w:vAlign w:val="center"/>
          </w:tcPr>
          <w:p w14:paraId="6597F749">
            <w:pPr>
              <w:jc w:val="center"/>
              <w:rPr>
                <w:rFonts w:hint="default" w:eastAsia="宋体"/>
                <w:bCs/>
                <w:color w:val="auto"/>
                <w:szCs w:val="21"/>
                <w:lang w:val="en-US" w:eastAsia="zh-CN"/>
              </w:rPr>
            </w:pPr>
            <w:r>
              <w:rPr>
                <w:rFonts w:hint="eastAsia"/>
                <w:color w:val="auto"/>
                <w:lang w:val="en-US" w:eastAsia="zh-CN"/>
              </w:rPr>
              <w:t>0.67</w:t>
            </w:r>
          </w:p>
        </w:tc>
      </w:tr>
      <w:tr w14:paraId="4B5367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44" w:type="pct"/>
            <w:gridSpan w:val="2"/>
            <w:vMerge w:val="continue"/>
            <w:vAlign w:val="center"/>
          </w:tcPr>
          <w:p w14:paraId="44CFFCA8">
            <w:pPr>
              <w:jc w:val="center"/>
              <w:rPr>
                <w:bCs/>
                <w:color w:val="auto"/>
                <w:szCs w:val="21"/>
              </w:rPr>
            </w:pPr>
          </w:p>
        </w:tc>
        <w:tc>
          <w:tcPr>
            <w:tcW w:w="2516" w:type="pct"/>
            <w:gridSpan w:val="3"/>
            <w:vAlign w:val="center"/>
          </w:tcPr>
          <w:p w14:paraId="3F6B72B0">
            <w:pPr>
              <w:tabs>
                <w:tab w:val="left" w:pos="4065"/>
                <w:tab w:val="left" w:pos="4875"/>
              </w:tabs>
              <w:autoSpaceDE w:val="0"/>
              <w:autoSpaceDN w:val="0"/>
              <w:adjustRightInd w:val="0"/>
              <w:jc w:val="center"/>
              <w:rPr>
                <w:color w:val="auto"/>
                <w:kern w:val="0"/>
                <w:szCs w:val="21"/>
              </w:rPr>
            </w:pPr>
            <w:r>
              <w:rPr>
                <w:rFonts w:hint="eastAsia"/>
                <w:color w:val="auto"/>
                <w:kern w:val="0"/>
                <w:szCs w:val="21"/>
              </w:rPr>
              <w:t>油烟</w:t>
            </w:r>
          </w:p>
        </w:tc>
        <w:tc>
          <w:tcPr>
            <w:tcW w:w="838" w:type="pct"/>
            <w:vAlign w:val="center"/>
          </w:tcPr>
          <w:p w14:paraId="78CDB761">
            <w:pPr>
              <w:pStyle w:val="434"/>
              <w:jc w:val="center"/>
              <w:rPr>
                <w:rFonts w:hint="default" w:eastAsia="宋体"/>
                <w:color w:val="auto"/>
                <w:sz w:val="21"/>
                <w:szCs w:val="21"/>
                <w:highlight w:val="yellow"/>
                <w:lang w:val="en-US" w:eastAsia="zh-CN"/>
              </w:rPr>
            </w:pPr>
            <w:r>
              <w:rPr>
                <w:rFonts w:hint="eastAsia"/>
                <w:color w:val="auto"/>
                <w:sz w:val="21"/>
                <w:szCs w:val="21"/>
                <w:highlight w:val="none"/>
                <w:lang w:val="en-US" w:eastAsia="zh-CN"/>
              </w:rPr>
              <w:t>0.00876</w:t>
            </w:r>
          </w:p>
        </w:tc>
      </w:tr>
      <w:tr w14:paraId="6677E15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6"/>
            <w:vAlign w:val="center"/>
          </w:tcPr>
          <w:p w14:paraId="2A6C1B9A">
            <w:pPr>
              <w:jc w:val="center"/>
              <w:rPr>
                <w:bCs/>
                <w:color w:val="auto"/>
                <w:szCs w:val="21"/>
              </w:rPr>
            </w:pPr>
            <w:r>
              <w:rPr>
                <w:bCs/>
                <w:color w:val="auto"/>
                <w:szCs w:val="21"/>
              </w:rPr>
              <w:t>一般排放口合计</w:t>
            </w:r>
          </w:p>
        </w:tc>
      </w:tr>
      <w:tr w14:paraId="739746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44" w:type="pct"/>
            <w:gridSpan w:val="2"/>
            <w:vMerge w:val="restart"/>
            <w:vAlign w:val="center"/>
          </w:tcPr>
          <w:p w14:paraId="20674A84">
            <w:pPr>
              <w:jc w:val="center"/>
              <w:rPr>
                <w:bCs/>
                <w:color w:val="auto"/>
                <w:szCs w:val="21"/>
              </w:rPr>
            </w:pPr>
            <w:r>
              <w:rPr>
                <w:bCs/>
                <w:color w:val="auto"/>
                <w:szCs w:val="21"/>
              </w:rPr>
              <w:t>有组织排放合计</w:t>
            </w:r>
          </w:p>
        </w:tc>
        <w:tc>
          <w:tcPr>
            <w:tcW w:w="2516" w:type="pct"/>
            <w:gridSpan w:val="3"/>
            <w:vAlign w:val="center"/>
          </w:tcPr>
          <w:p w14:paraId="14EE4052">
            <w:pPr>
              <w:tabs>
                <w:tab w:val="left" w:pos="4065"/>
                <w:tab w:val="left" w:pos="4875"/>
              </w:tabs>
              <w:autoSpaceDE w:val="0"/>
              <w:autoSpaceDN w:val="0"/>
              <w:adjustRightInd w:val="0"/>
              <w:jc w:val="center"/>
              <w:rPr>
                <w:bCs/>
                <w:color w:val="auto"/>
                <w:szCs w:val="21"/>
              </w:rPr>
            </w:pPr>
            <w:r>
              <w:rPr>
                <w:rFonts w:hint="eastAsia"/>
                <w:bCs/>
                <w:color w:val="auto"/>
                <w:szCs w:val="21"/>
              </w:rPr>
              <w:t>颗粒物</w:t>
            </w:r>
          </w:p>
        </w:tc>
        <w:tc>
          <w:tcPr>
            <w:tcW w:w="1431" w:type="dxa"/>
            <w:vAlign w:val="center"/>
          </w:tcPr>
          <w:p w14:paraId="463689F5">
            <w:pPr>
              <w:jc w:val="center"/>
              <w:rPr>
                <w:bCs/>
                <w:color w:val="auto"/>
                <w:szCs w:val="21"/>
              </w:rPr>
            </w:pPr>
            <w:r>
              <w:rPr>
                <w:rFonts w:hint="eastAsia"/>
                <w:color w:val="auto"/>
                <w:lang w:val="en-US" w:eastAsia="zh-CN"/>
              </w:rPr>
              <w:t>0.005</w:t>
            </w:r>
          </w:p>
        </w:tc>
      </w:tr>
      <w:tr w14:paraId="6033B20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44" w:type="pct"/>
            <w:gridSpan w:val="2"/>
            <w:vMerge w:val="continue"/>
            <w:vAlign w:val="center"/>
          </w:tcPr>
          <w:p w14:paraId="54DA7964">
            <w:pPr>
              <w:jc w:val="center"/>
              <w:rPr>
                <w:bCs/>
                <w:color w:val="auto"/>
                <w:szCs w:val="21"/>
              </w:rPr>
            </w:pPr>
          </w:p>
        </w:tc>
        <w:tc>
          <w:tcPr>
            <w:tcW w:w="2516" w:type="pct"/>
            <w:gridSpan w:val="3"/>
            <w:vAlign w:val="center"/>
          </w:tcPr>
          <w:p w14:paraId="240D7058">
            <w:pPr>
              <w:tabs>
                <w:tab w:val="left" w:pos="4065"/>
                <w:tab w:val="left" w:pos="4875"/>
              </w:tabs>
              <w:autoSpaceDE w:val="0"/>
              <w:autoSpaceDN w:val="0"/>
              <w:adjustRightInd w:val="0"/>
              <w:jc w:val="center"/>
              <w:rPr>
                <w:color w:val="auto"/>
                <w:kern w:val="0"/>
                <w:szCs w:val="21"/>
              </w:rPr>
            </w:pPr>
            <w:r>
              <w:rPr>
                <w:rFonts w:hint="eastAsia"/>
                <w:bCs/>
                <w:color w:val="auto"/>
                <w:szCs w:val="21"/>
              </w:rPr>
              <w:t>SO</w:t>
            </w:r>
            <w:r>
              <w:rPr>
                <w:rFonts w:hint="eastAsia"/>
                <w:bCs/>
                <w:color w:val="auto"/>
                <w:szCs w:val="21"/>
                <w:vertAlign w:val="subscript"/>
              </w:rPr>
              <w:t>2</w:t>
            </w:r>
          </w:p>
        </w:tc>
        <w:tc>
          <w:tcPr>
            <w:tcW w:w="1431" w:type="dxa"/>
            <w:vAlign w:val="center"/>
          </w:tcPr>
          <w:p w14:paraId="632FF37A">
            <w:pPr>
              <w:jc w:val="center"/>
              <w:rPr>
                <w:rFonts w:hint="default"/>
                <w:bCs/>
                <w:color w:val="auto"/>
                <w:szCs w:val="21"/>
                <w:lang w:val="en-US"/>
              </w:rPr>
            </w:pPr>
            <w:r>
              <w:rPr>
                <w:rFonts w:hint="eastAsia"/>
                <w:color w:val="auto"/>
                <w:lang w:val="en-US" w:eastAsia="zh-CN"/>
              </w:rPr>
              <w:t>0.48</w:t>
            </w:r>
          </w:p>
        </w:tc>
      </w:tr>
      <w:tr w14:paraId="62CDE2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44" w:type="pct"/>
            <w:gridSpan w:val="2"/>
            <w:vMerge w:val="continue"/>
            <w:vAlign w:val="center"/>
          </w:tcPr>
          <w:p w14:paraId="176FE6F5">
            <w:pPr>
              <w:jc w:val="center"/>
              <w:rPr>
                <w:bCs/>
                <w:color w:val="auto"/>
                <w:szCs w:val="21"/>
              </w:rPr>
            </w:pPr>
          </w:p>
        </w:tc>
        <w:tc>
          <w:tcPr>
            <w:tcW w:w="2516" w:type="pct"/>
            <w:gridSpan w:val="3"/>
            <w:vAlign w:val="center"/>
          </w:tcPr>
          <w:p w14:paraId="2B740DBE">
            <w:pPr>
              <w:tabs>
                <w:tab w:val="left" w:pos="4065"/>
                <w:tab w:val="left" w:pos="4875"/>
              </w:tabs>
              <w:autoSpaceDE w:val="0"/>
              <w:autoSpaceDN w:val="0"/>
              <w:adjustRightInd w:val="0"/>
              <w:jc w:val="center"/>
              <w:rPr>
                <w:color w:val="auto"/>
                <w:kern w:val="0"/>
                <w:szCs w:val="21"/>
              </w:rPr>
            </w:pPr>
            <w:r>
              <w:rPr>
                <w:rFonts w:hint="eastAsia"/>
                <w:color w:val="auto"/>
                <w:kern w:val="0"/>
                <w:szCs w:val="21"/>
              </w:rPr>
              <w:t>NOx</w:t>
            </w:r>
          </w:p>
        </w:tc>
        <w:tc>
          <w:tcPr>
            <w:tcW w:w="1431" w:type="dxa"/>
            <w:vAlign w:val="center"/>
          </w:tcPr>
          <w:p w14:paraId="787B3CCB">
            <w:pPr>
              <w:jc w:val="center"/>
              <w:rPr>
                <w:color w:val="auto"/>
                <w:sz w:val="21"/>
                <w:szCs w:val="21"/>
                <w:highlight w:val="yellow"/>
              </w:rPr>
            </w:pPr>
            <w:r>
              <w:rPr>
                <w:rFonts w:hint="eastAsia"/>
                <w:color w:val="auto"/>
                <w:lang w:val="en-US" w:eastAsia="zh-CN"/>
              </w:rPr>
              <w:t>0.67</w:t>
            </w:r>
          </w:p>
        </w:tc>
      </w:tr>
      <w:tr w14:paraId="679DBD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44" w:type="pct"/>
            <w:gridSpan w:val="2"/>
            <w:vMerge w:val="continue"/>
            <w:vAlign w:val="center"/>
          </w:tcPr>
          <w:p w14:paraId="6E7F738C">
            <w:pPr>
              <w:jc w:val="center"/>
              <w:rPr>
                <w:bCs/>
                <w:color w:val="auto"/>
                <w:szCs w:val="21"/>
              </w:rPr>
            </w:pPr>
          </w:p>
        </w:tc>
        <w:tc>
          <w:tcPr>
            <w:tcW w:w="2516" w:type="pct"/>
            <w:gridSpan w:val="3"/>
            <w:vAlign w:val="center"/>
          </w:tcPr>
          <w:p w14:paraId="662F4EAA">
            <w:pPr>
              <w:tabs>
                <w:tab w:val="left" w:pos="4065"/>
                <w:tab w:val="left" w:pos="4875"/>
              </w:tabs>
              <w:autoSpaceDE w:val="0"/>
              <w:autoSpaceDN w:val="0"/>
              <w:adjustRightInd w:val="0"/>
              <w:jc w:val="center"/>
              <w:rPr>
                <w:bCs/>
                <w:color w:val="auto"/>
                <w:szCs w:val="21"/>
              </w:rPr>
            </w:pPr>
            <w:r>
              <w:rPr>
                <w:rFonts w:hint="eastAsia"/>
                <w:color w:val="auto"/>
                <w:kern w:val="0"/>
                <w:szCs w:val="21"/>
              </w:rPr>
              <w:t>油烟</w:t>
            </w:r>
          </w:p>
        </w:tc>
        <w:tc>
          <w:tcPr>
            <w:tcW w:w="838" w:type="pct"/>
            <w:vAlign w:val="center"/>
          </w:tcPr>
          <w:p w14:paraId="51D10FE3">
            <w:pPr>
              <w:pStyle w:val="434"/>
              <w:jc w:val="center"/>
              <w:rPr>
                <w:color w:val="auto"/>
                <w:sz w:val="21"/>
                <w:szCs w:val="21"/>
                <w:highlight w:val="yellow"/>
              </w:rPr>
            </w:pPr>
            <w:r>
              <w:rPr>
                <w:rFonts w:hint="eastAsia"/>
                <w:color w:val="auto"/>
                <w:sz w:val="21"/>
                <w:szCs w:val="21"/>
                <w:highlight w:val="none"/>
                <w:lang w:val="en-US" w:eastAsia="zh-CN"/>
              </w:rPr>
              <w:t>0.00876</w:t>
            </w:r>
          </w:p>
        </w:tc>
      </w:tr>
    </w:tbl>
    <w:p w14:paraId="75210D37">
      <w:pPr>
        <w:spacing w:line="360" w:lineRule="auto"/>
        <w:ind w:firstLine="480" w:firstLineChars="200"/>
        <w:rPr>
          <w:color w:val="auto"/>
          <w:sz w:val="24"/>
        </w:rPr>
      </w:pPr>
      <w:r>
        <w:rPr>
          <w:color w:val="auto"/>
          <w:sz w:val="24"/>
        </w:rPr>
        <w:t>（</w:t>
      </w:r>
      <w:r>
        <w:rPr>
          <w:rFonts w:hint="eastAsia"/>
          <w:color w:val="auto"/>
          <w:sz w:val="24"/>
        </w:rPr>
        <w:t>2</w:t>
      </w:r>
      <w:r>
        <w:rPr>
          <w:color w:val="auto"/>
          <w:sz w:val="24"/>
        </w:rPr>
        <w:t>）污染物</w:t>
      </w:r>
      <w:r>
        <w:rPr>
          <w:rFonts w:hint="eastAsia"/>
          <w:color w:val="auto"/>
          <w:sz w:val="24"/>
        </w:rPr>
        <w:t>无</w:t>
      </w:r>
      <w:r>
        <w:rPr>
          <w:color w:val="auto"/>
          <w:sz w:val="24"/>
        </w:rPr>
        <w:t>组织排放量核算</w:t>
      </w:r>
    </w:p>
    <w:p w14:paraId="62C8B5C7">
      <w:pPr>
        <w:ind w:firstLine="422" w:firstLineChars="200"/>
        <w:jc w:val="center"/>
        <w:rPr>
          <w:b/>
          <w:color w:val="auto"/>
          <w:szCs w:val="21"/>
        </w:rPr>
      </w:pPr>
      <w:r>
        <w:rPr>
          <w:b/>
          <w:color w:val="auto"/>
          <w:szCs w:val="21"/>
        </w:rPr>
        <w:t>表</w:t>
      </w:r>
      <w:r>
        <w:rPr>
          <w:rFonts w:hint="eastAsia"/>
          <w:b/>
          <w:color w:val="auto"/>
          <w:szCs w:val="21"/>
        </w:rPr>
        <w:t>5</w:t>
      </w:r>
      <w:r>
        <w:rPr>
          <w:rFonts w:hint="eastAsia"/>
          <w:b/>
          <w:color w:val="auto"/>
          <w:szCs w:val="21"/>
          <w:lang w:val="en-US" w:eastAsia="zh-CN"/>
        </w:rPr>
        <w:t>.2-10</w:t>
      </w:r>
      <w:r>
        <w:rPr>
          <w:b/>
          <w:color w:val="auto"/>
          <w:szCs w:val="21"/>
        </w:rPr>
        <w:t xml:space="preserve">    本项目大气污染物无组织排放量核算表</w:t>
      </w:r>
    </w:p>
    <w:tbl>
      <w:tblPr>
        <w:tblStyle w:val="53"/>
        <w:tblW w:w="5000" w:type="pct"/>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61"/>
        <w:gridCol w:w="738"/>
        <w:gridCol w:w="772"/>
        <w:gridCol w:w="783"/>
        <w:gridCol w:w="1707"/>
        <w:gridCol w:w="1791"/>
        <w:gridCol w:w="1142"/>
        <w:gridCol w:w="1134"/>
      </w:tblGrid>
      <w:tr w14:paraId="32A8E79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5" w:type="pct"/>
            <w:vMerge w:val="restart"/>
            <w:vAlign w:val="center"/>
          </w:tcPr>
          <w:p w14:paraId="1663CFD5">
            <w:pPr>
              <w:tabs>
                <w:tab w:val="left" w:pos="4065"/>
                <w:tab w:val="left" w:pos="4875"/>
              </w:tabs>
              <w:autoSpaceDE w:val="0"/>
              <w:autoSpaceDN w:val="0"/>
              <w:adjustRightInd w:val="0"/>
              <w:jc w:val="center"/>
              <w:rPr>
                <w:b/>
                <w:color w:val="auto"/>
                <w:kern w:val="0"/>
                <w:szCs w:val="21"/>
              </w:rPr>
            </w:pPr>
            <w:r>
              <w:rPr>
                <w:b/>
                <w:color w:val="auto"/>
                <w:kern w:val="0"/>
                <w:szCs w:val="21"/>
              </w:rPr>
              <w:t>序号</w:t>
            </w:r>
          </w:p>
        </w:tc>
        <w:tc>
          <w:tcPr>
            <w:tcW w:w="437" w:type="pct"/>
            <w:vMerge w:val="restart"/>
            <w:vAlign w:val="center"/>
          </w:tcPr>
          <w:p w14:paraId="7E89444D">
            <w:pPr>
              <w:tabs>
                <w:tab w:val="left" w:pos="4065"/>
                <w:tab w:val="left" w:pos="4875"/>
              </w:tabs>
              <w:autoSpaceDE w:val="0"/>
              <w:autoSpaceDN w:val="0"/>
              <w:adjustRightInd w:val="0"/>
              <w:jc w:val="center"/>
              <w:rPr>
                <w:b/>
                <w:color w:val="auto"/>
                <w:kern w:val="0"/>
                <w:szCs w:val="21"/>
              </w:rPr>
            </w:pPr>
            <w:r>
              <w:rPr>
                <w:b/>
                <w:color w:val="auto"/>
                <w:kern w:val="0"/>
                <w:szCs w:val="21"/>
              </w:rPr>
              <w:t>排放口编号</w:t>
            </w:r>
          </w:p>
        </w:tc>
        <w:tc>
          <w:tcPr>
            <w:tcW w:w="457" w:type="pct"/>
            <w:vMerge w:val="restart"/>
            <w:vAlign w:val="center"/>
          </w:tcPr>
          <w:p w14:paraId="31E72E61">
            <w:pPr>
              <w:tabs>
                <w:tab w:val="left" w:pos="4065"/>
                <w:tab w:val="left" w:pos="4875"/>
              </w:tabs>
              <w:autoSpaceDE w:val="0"/>
              <w:autoSpaceDN w:val="0"/>
              <w:adjustRightInd w:val="0"/>
              <w:jc w:val="center"/>
              <w:rPr>
                <w:b/>
                <w:color w:val="auto"/>
                <w:kern w:val="0"/>
                <w:szCs w:val="21"/>
              </w:rPr>
            </w:pPr>
            <w:r>
              <w:rPr>
                <w:b/>
                <w:color w:val="auto"/>
                <w:kern w:val="0"/>
                <w:szCs w:val="21"/>
              </w:rPr>
              <w:t>产污环节</w:t>
            </w:r>
          </w:p>
        </w:tc>
        <w:tc>
          <w:tcPr>
            <w:tcW w:w="462" w:type="pct"/>
            <w:vMerge w:val="restart"/>
            <w:vAlign w:val="center"/>
          </w:tcPr>
          <w:p w14:paraId="77A3708A">
            <w:pPr>
              <w:tabs>
                <w:tab w:val="left" w:pos="4065"/>
                <w:tab w:val="left" w:pos="4875"/>
              </w:tabs>
              <w:autoSpaceDE w:val="0"/>
              <w:autoSpaceDN w:val="0"/>
              <w:adjustRightInd w:val="0"/>
              <w:jc w:val="center"/>
              <w:rPr>
                <w:b/>
                <w:color w:val="auto"/>
                <w:kern w:val="0"/>
                <w:szCs w:val="21"/>
              </w:rPr>
            </w:pPr>
            <w:r>
              <w:rPr>
                <w:b/>
                <w:color w:val="auto"/>
                <w:kern w:val="0"/>
                <w:szCs w:val="21"/>
              </w:rPr>
              <w:t>污染物</w:t>
            </w:r>
          </w:p>
        </w:tc>
        <w:tc>
          <w:tcPr>
            <w:tcW w:w="1005" w:type="pct"/>
            <w:vMerge w:val="restart"/>
            <w:vAlign w:val="center"/>
          </w:tcPr>
          <w:p w14:paraId="2FF19081">
            <w:pPr>
              <w:tabs>
                <w:tab w:val="left" w:pos="4065"/>
                <w:tab w:val="left" w:pos="4875"/>
              </w:tabs>
              <w:autoSpaceDE w:val="0"/>
              <w:autoSpaceDN w:val="0"/>
              <w:adjustRightInd w:val="0"/>
              <w:jc w:val="center"/>
              <w:rPr>
                <w:b/>
                <w:color w:val="auto"/>
                <w:kern w:val="0"/>
                <w:szCs w:val="21"/>
              </w:rPr>
            </w:pPr>
            <w:r>
              <w:rPr>
                <w:b/>
                <w:color w:val="auto"/>
                <w:kern w:val="0"/>
                <w:szCs w:val="21"/>
              </w:rPr>
              <w:t>主要污染防治措施</w:t>
            </w:r>
          </w:p>
        </w:tc>
        <w:tc>
          <w:tcPr>
            <w:tcW w:w="1693" w:type="pct"/>
            <w:gridSpan w:val="2"/>
            <w:vAlign w:val="center"/>
          </w:tcPr>
          <w:p w14:paraId="533345B8">
            <w:pPr>
              <w:tabs>
                <w:tab w:val="left" w:pos="4065"/>
                <w:tab w:val="left" w:pos="4875"/>
              </w:tabs>
              <w:autoSpaceDE w:val="0"/>
              <w:autoSpaceDN w:val="0"/>
              <w:adjustRightInd w:val="0"/>
              <w:jc w:val="center"/>
              <w:rPr>
                <w:b/>
                <w:color w:val="auto"/>
                <w:kern w:val="0"/>
                <w:szCs w:val="21"/>
              </w:rPr>
            </w:pPr>
            <w:r>
              <w:rPr>
                <w:b/>
                <w:color w:val="auto"/>
                <w:kern w:val="0"/>
                <w:szCs w:val="21"/>
              </w:rPr>
              <w:t>国家或地方污染物排放标准</w:t>
            </w:r>
          </w:p>
        </w:tc>
        <w:tc>
          <w:tcPr>
            <w:tcW w:w="668" w:type="pct"/>
            <w:vMerge w:val="restart"/>
            <w:vAlign w:val="center"/>
          </w:tcPr>
          <w:p w14:paraId="588306FC">
            <w:pPr>
              <w:tabs>
                <w:tab w:val="left" w:pos="4065"/>
                <w:tab w:val="left" w:pos="4875"/>
              </w:tabs>
              <w:autoSpaceDE w:val="0"/>
              <w:autoSpaceDN w:val="0"/>
              <w:adjustRightInd w:val="0"/>
              <w:jc w:val="center"/>
              <w:rPr>
                <w:b/>
                <w:color w:val="auto"/>
                <w:kern w:val="0"/>
                <w:szCs w:val="21"/>
              </w:rPr>
            </w:pPr>
            <w:r>
              <w:rPr>
                <w:b/>
                <w:color w:val="auto"/>
                <w:kern w:val="0"/>
                <w:szCs w:val="21"/>
              </w:rPr>
              <w:t>年排放量</w:t>
            </w:r>
          </w:p>
          <w:p w14:paraId="36B83F6D">
            <w:pPr>
              <w:tabs>
                <w:tab w:val="left" w:pos="4065"/>
                <w:tab w:val="left" w:pos="4875"/>
              </w:tabs>
              <w:autoSpaceDE w:val="0"/>
              <w:autoSpaceDN w:val="0"/>
              <w:adjustRightInd w:val="0"/>
              <w:jc w:val="center"/>
              <w:rPr>
                <w:b/>
                <w:color w:val="auto"/>
                <w:kern w:val="0"/>
                <w:szCs w:val="21"/>
              </w:rPr>
            </w:pPr>
            <w:r>
              <w:rPr>
                <w:b/>
                <w:color w:val="auto"/>
                <w:kern w:val="0"/>
                <w:szCs w:val="21"/>
              </w:rPr>
              <w:t>(t/a)</w:t>
            </w:r>
          </w:p>
        </w:tc>
      </w:tr>
      <w:tr w14:paraId="7AD2E6B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5" w:type="pct"/>
            <w:vMerge w:val="continue"/>
            <w:vAlign w:val="center"/>
          </w:tcPr>
          <w:p w14:paraId="0E6D1D5C">
            <w:pPr>
              <w:tabs>
                <w:tab w:val="left" w:pos="4065"/>
                <w:tab w:val="left" w:pos="4875"/>
              </w:tabs>
              <w:autoSpaceDE w:val="0"/>
              <w:autoSpaceDN w:val="0"/>
              <w:adjustRightInd w:val="0"/>
              <w:jc w:val="center"/>
              <w:rPr>
                <w:b/>
                <w:color w:val="auto"/>
                <w:kern w:val="0"/>
                <w:szCs w:val="21"/>
              </w:rPr>
            </w:pPr>
          </w:p>
        </w:tc>
        <w:tc>
          <w:tcPr>
            <w:tcW w:w="437" w:type="pct"/>
            <w:vMerge w:val="continue"/>
            <w:vAlign w:val="center"/>
          </w:tcPr>
          <w:p w14:paraId="544C1E98">
            <w:pPr>
              <w:tabs>
                <w:tab w:val="left" w:pos="4065"/>
                <w:tab w:val="left" w:pos="4875"/>
              </w:tabs>
              <w:autoSpaceDE w:val="0"/>
              <w:autoSpaceDN w:val="0"/>
              <w:adjustRightInd w:val="0"/>
              <w:jc w:val="center"/>
              <w:rPr>
                <w:b/>
                <w:color w:val="auto"/>
                <w:kern w:val="0"/>
                <w:szCs w:val="21"/>
              </w:rPr>
            </w:pPr>
          </w:p>
        </w:tc>
        <w:tc>
          <w:tcPr>
            <w:tcW w:w="457" w:type="pct"/>
            <w:vMerge w:val="continue"/>
            <w:vAlign w:val="center"/>
          </w:tcPr>
          <w:p w14:paraId="11C94403">
            <w:pPr>
              <w:tabs>
                <w:tab w:val="left" w:pos="4065"/>
                <w:tab w:val="left" w:pos="4875"/>
              </w:tabs>
              <w:autoSpaceDE w:val="0"/>
              <w:autoSpaceDN w:val="0"/>
              <w:adjustRightInd w:val="0"/>
              <w:jc w:val="center"/>
              <w:rPr>
                <w:b/>
                <w:color w:val="auto"/>
                <w:kern w:val="0"/>
                <w:szCs w:val="21"/>
              </w:rPr>
            </w:pPr>
          </w:p>
        </w:tc>
        <w:tc>
          <w:tcPr>
            <w:tcW w:w="462" w:type="pct"/>
            <w:vMerge w:val="continue"/>
            <w:vAlign w:val="center"/>
          </w:tcPr>
          <w:p w14:paraId="7FBC6461">
            <w:pPr>
              <w:tabs>
                <w:tab w:val="left" w:pos="4065"/>
                <w:tab w:val="left" w:pos="4875"/>
              </w:tabs>
              <w:autoSpaceDE w:val="0"/>
              <w:autoSpaceDN w:val="0"/>
              <w:adjustRightInd w:val="0"/>
              <w:jc w:val="center"/>
              <w:rPr>
                <w:b/>
                <w:color w:val="auto"/>
                <w:kern w:val="0"/>
                <w:szCs w:val="21"/>
              </w:rPr>
            </w:pPr>
          </w:p>
        </w:tc>
        <w:tc>
          <w:tcPr>
            <w:tcW w:w="1005" w:type="pct"/>
            <w:vMerge w:val="continue"/>
            <w:vAlign w:val="center"/>
          </w:tcPr>
          <w:p w14:paraId="692909D5">
            <w:pPr>
              <w:tabs>
                <w:tab w:val="left" w:pos="4065"/>
                <w:tab w:val="left" w:pos="4875"/>
              </w:tabs>
              <w:autoSpaceDE w:val="0"/>
              <w:autoSpaceDN w:val="0"/>
              <w:adjustRightInd w:val="0"/>
              <w:jc w:val="center"/>
              <w:rPr>
                <w:b/>
                <w:color w:val="auto"/>
                <w:kern w:val="0"/>
                <w:szCs w:val="21"/>
              </w:rPr>
            </w:pPr>
          </w:p>
        </w:tc>
        <w:tc>
          <w:tcPr>
            <w:tcW w:w="1053" w:type="pct"/>
            <w:vAlign w:val="center"/>
          </w:tcPr>
          <w:p w14:paraId="79CF7DFF">
            <w:pPr>
              <w:tabs>
                <w:tab w:val="left" w:pos="4065"/>
                <w:tab w:val="left" w:pos="4875"/>
              </w:tabs>
              <w:autoSpaceDE w:val="0"/>
              <w:autoSpaceDN w:val="0"/>
              <w:adjustRightInd w:val="0"/>
              <w:jc w:val="center"/>
              <w:rPr>
                <w:b/>
                <w:color w:val="auto"/>
                <w:kern w:val="0"/>
                <w:szCs w:val="21"/>
              </w:rPr>
            </w:pPr>
            <w:r>
              <w:rPr>
                <w:b/>
                <w:color w:val="auto"/>
                <w:kern w:val="0"/>
                <w:szCs w:val="21"/>
              </w:rPr>
              <w:t>标准名称</w:t>
            </w:r>
          </w:p>
        </w:tc>
        <w:tc>
          <w:tcPr>
            <w:tcW w:w="640" w:type="pct"/>
            <w:vAlign w:val="center"/>
          </w:tcPr>
          <w:p w14:paraId="21533018">
            <w:pPr>
              <w:tabs>
                <w:tab w:val="left" w:pos="4065"/>
                <w:tab w:val="left" w:pos="4875"/>
              </w:tabs>
              <w:autoSpaceDE w:val="0"/>
              <w:autoSpaceDN w:val="0"/>
              <w:adjustRightInd w:val="0"/>
              <w:jc w:val="center"/>
              <w:rPr>
                <w:b/>
                <w:color w:val="auto"/>
                <w:kern w:val="0"/>
                <w:szCs w:val="21"/>
              </w:rPr>
            </w:pPr>
            <w:r>
              <w:rPr>
                <w:b/>
                <w:color w:val="auto"/>
                <w:kern w:val="0"/>
                <w:szCs w:val="21"/>
              </w:rPr>
              <w:t>浓度限值</w:t>
            </w:r>
          </w:p>
        </w:tc>
        <w:tc>
          <w:tcPr>
            <w:tcW w:w="668" w:type="pct"/>
            <w:vMerge w:val="continue"/>
            <w:vAlign w:val="center"/>
          </w:tcPr>
          <w:p w14:paraId="2FD26CC6">
            <w:pPr>
              <w:tabs>
                <w:tab w:val="left" w:pos="4065"/>
                <w:tab w:val="left" w:pos="4875"/>
              </w:tabs>
              <w:autoSpaceDE w:val="0"/>
              <w:autoSpaceDN w:val="0"/>
              <w:adjustRightInd w:val="0"/>
              <w:jc w:val="center"/>
              <w:rPr>
                <w:b/>
                <w:color w:val="auto"/>
                <w:kern w:val="0"/>
                <w:szCs w:val="21"/>
              </w:rPr>
            </w:pPr>
          </w:p>
        </w:tc>
      </w:tr>
      <w:tr w14:paraId="02F3AF1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5" w:type="pct"/>
            <w:vMerge w:val="restart"/>
            <w:vAlign w:val="center"/>
          </w:tcPr>
          <w:p w14:paraId="36CD2050">
            <w:pPr>
              <w:tabs>
                <w:tab w:val="left" w:pos="4065"/>
                <w:tab w:val="left" w:pos="4875"/>
              </w:tabs>
              <w:autoSpaceDE w:val="0"/>
              <w:autoSpaceDN w:val="0"/>
              <w:adjustRightInd w:val="0"/>
              <w:jc w:val="center"/>
              <w:rPr>
                <w:color w:val="auto"/>
                <w:kern w:val="0"/>
                <w:szCs w:val="21"/>
              </w:rPr>
            </w:pPr>
            <w:r>
              <w:rPr>
                <w:color w:val="auto"/>
                <w:kern w:val="0"/>
                <w:szCs w:val="21"/>
              </w:rPr>
              <w:t>1</w:t>
            </w:r>
          </w:p>
        </w:tc>
        <w:tc>
          <w:tcPr>
            <w:tcW w:w="437" w:type="pct"/>
            <w:vMerge w:val="restart"/>
            <w:vAlign w:val="center"/>
          </w:tcPr>
          <w:p w14:paraId="53CF482C">
            <w:pPr>
              <w:tabs>
                <w:tab w:val="left" w:pos="4065"/>
                <w:tab w:val="left" w:pos="4875"/>
              </w:tabs>
              <w:autoSpaceDE w:val="0"/>
              <w:autoSpaceDN w:val="0"/>
              <w:adjustRightInd w:val="0"/>
              <w:jc w:val="center"/>
              <w:rPr>
                <w:color w:val="auto"/>
                <w:kern w:val="0"/>
                <w:szCs w:val="21"/>
              </w:rPr>
            </w:pPr>
            <w:r>
              <w:rPr>
                <w:color w:val="auto"/>
                <w:kern w:val="0"/>
                <w:szCs w:val="21"/>
              </w:rPr>
              <w:t>A1</w:t>
            </w:r>
          </w:p>
        </w:tc>
        <w:tc>
          <w:tcPr>
            <w:tcW w:w="457" w:type="pct"/>
            <w:vMerge w:val="restart"/>
            <w:vAlign w:val="center"/>
          </w:tcPr>
          <w:p w14:paraId="1515D09D">
            <w:pPr>
              <w:tabs>
                <w:tab w:val="left" w:pos="4065"/>
                <w:tab w:val="left" w:pos="4875"/>
              </w:tabs>
              <w:autoSpaceDE w:val="0"/>
              <w:autoSpaceDN w:val="0"/>
              <w:adjustRightInd w:val="0"/>
              <w:jc w:val="center"/>
              <w:rPr>
                <w:color w:val="auto"/>
                <w:kern w:val="0"/>
                <w:szCs w:val="21"/>
              </w:rPr>
            </w:pPr>
            <w:r>
              <w:rPr>
                <w:color w:val="auto"/>
                <w:kern w:val="0"/>
                <w:szCs w:val="21"/>
              </w:rPr>
              <w:t>鸡舍</w:t>
            </w:r>
          </w:p>
        </w:tc>
        <w:tc>
          <w:tcPr>
            <w:tcW w:w="462" w:type="pct"/>
            <w:vAlign w:val="center"/>
          </w:tcPr>
          <w:p w14:paraId="3B5E653F">
            <w:pPr>
              <w:tabs>
                <w:tab w:val="left" w:pos="4065"/>
                <w:tab w:val="left" w:pos="4875"/>
              </w:tabs>
              <w:autoSpaceDE w:val="0"/>
              <w:autoSpaceDN w:val="0"/>
              <w:adjustRightInd w:val="0"/>
              <w:jc w:val="center"/>
              <w:rPr>
                <w:color w:val="auto"/>
                <w:kern w:val="0"/>
                <w:szCs w:val="21"/>
              </w:rPr>
            </w:pPr>
            <w:r>
              <w:rPr>
                <w:color w:val="auto"/>
                <w:kern w:val="0"/>
                <w:szCs w:val="21"/>
              </w:rPr>
              <w:t>NH</w:t>
            </w:r>
            <w:r>
              <w:rPr>
                <w:color w:val="auto"/>
                <w:kern w:val="0"/>
                <w:szCs w:val="21"/>
                <w:vertAlign w:val="subscript"/>
              </w:rPr>
              <w:t>3</w:t>
            </w:r>
          </w:p>
        </w:tc>
        <w:tc>
          <w:tcPr>
            <w:tcW w:w="1005" w:type="pct"/>
            <w:vMerge w:val="restart"/>
            <w:vAlign w:val="center"/>
          </w:tcPr>
          <w:p w14:paraId="394E1802">
            <w:pPr>
              <w:tabs>
                <w:tab w:val="left" w:pos="4065"/>
                <w:tab w:val="left" w:pos="4875"/>
              </w:tabs>
              <w:autoSpaceDE w:val="0"/>
              <w:autoSpaceDN w:val="0"/>
              <w:adjustRightInd w:val="0"/>
              <w:jc w:val="center"/>
              <w:rPr>
                <w:color w:val="auto"/>
                <w:szCs w:val="21"/>
              </w:rPr>
            </w:pPr>
            <w:r>
              <w:rPr>
                <w:rFonts w:hint="eastAsia"/>
                <w:color w:val="auto"/>
                <w:szCs w:val="21"/>
                <w:highlight w:val="none"/>
              </w:rPr>
              <w:t>选用益生菌配方饲料，及时清理粪便，定期喷洒除臭剂</w:t>
            </w:r>
          </w:p>
        </w:tc>
        <w:tc>
          <w:tcPr>
            <w:tcW w:w="1053" w:type="pct"/>
            <w:vMerge w:val="restart"/>
            <w:vAlign w:val="center"/>
          </w:tcPr>
          <w:p w14:paraId="2CF40C6F">
            <w:pPr>
              <w:tabs>
                <w:tab w:val="left" w:pos="4065"/>
                <w:tab w:val="left" w:pos="4875"/>
              </w:tabs>
              <w:autoSpaceDE w:val="0"/>
              <w:autoSpaceDN w:val="0"/>
              <w:adjustRightInd w:val="0"/>
              <w:jc w:val="center"/>
              <w:rPr>
                <w:color w:val="auto"/>
                <w:kern w:val="0"/>
                <w:szCs w:val="21"/>
              </w:rPr>
            </w:pPr>
            <w:r>
              <w:rPr>
                <w:color w:val="auto"/>
                <w:kern w:val="0"/>
                <w:szCs w:val="21"/>
              </w:rPr>
              <w:t>《恶臭污染物排放标准》(GB14554-93)</w:t>
            </w:r>
          </w:p>
        </w:tc>
        <w:tc>
          <w:tcPr>
            <w:tcW w:w="640" w:type="pct"/>
            <w:vAlign w:val="center"/>
          </w:tcPr>
          <w:p w14:paraId="2F4B57B9">
            <w:pPr>
              <w:tabs>
                <w:tab w:val="left" w:pos="4065"/>
                <w:tab w:val="left" w:pos="4875"/>
              </w:tabs>
              <w:autoSpaceDE w:val="0"/>
              <w:autoSpaceDN w:val="0"/>
              <w:adjustRightInd w:val="0"/>
              <w:jc w:val="center"/>
              <w:rPr>
                <w:color w:val="auto"/>
                <w:kern w:val="0"/>
                <w:szCs w:val="21"/>
              </w:rPr>
            </w:pPr>
            <w:r>
              <w:rPr>
                <w:color w:val="auto"/>
                <w:kern w:val="0"/>
                <w:szCs w:val="21"/>
              </w:rPr>
              <w:t>1.5</w:t>
            </w:r>
            <w:r>
              <w:rPr>
                <w:color w:val="auto"/>
                <w:szCs w:val="21"/>
              </w:rPr>
              <w:t>mg/m</w:t>
            </w:r>
            <w:r>
              <w:rPr>
                <w:color w:val="auto"/>
                <w:szCs w:val="21"/>
                <w:vertAlign w:val="superscript"/>
              </w:rPr>
              <w:t>3</w:t>
            </w:r>
          </w:p>
        </w:tc>
        <w:tc>
          <w:tcPr>
            <w:tcW w:w="668" w:type="pct"/>
            <w:vAlign w:val="center"/>
          </w:tcPr>
          <w:p w14:paraId="15489240">
            <w:pPr>
              <w:widowControl/>
              <w:jc w:val="center"/>
              <w:textAlignment w:val="center"/>
              <w:rPr>
                <w:rFonts w:hint="default" w:eastAsia="宋体"/>
                <w:color w:val="auto"/>
                <w:kern w:val="0"/>
                <w:szCs w:val="21"/>
                <w:lang w:val="en-US" w:eastAsia="zh-CN"/>
              </w:rPr>
            </w:pPr>
            <w:r>
              <w:rPr>
                <w:rFonts w:hint="eastAsia"/>
                <w:color w:val="auto"/>
                <w:kern w:val="0"/>
                <w:szCs w:val="21"/>
              </w:rPr>
              <w:t>0.0438</w:t>
            </w:r>
          </w:p>
        </w:tc>
      </w:tr>
      <w:tr w14:paraId="4FB6708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5" w:type="pct"/>
            <w:vMerge w:val="continue"/>
            <w:vAlign w:val="center"/>
          </w:tcPr>
          <w:p w14:paraId="5646A161">
            <w:pPr>
              <w:tabs>
                <w:tab w:val="left" w:pos="4065"/>
                <w:tab w:val="left" w:pos="4875"/>
              </w:tabs>
              <w:autoSpaceDE w:val="0"/>
              <w:autoSpaceDN w:val="0"/>
              <w:adjustRightInd w:val="0"/>
              <w:jc w:val="center"/>
              <w:rPr>
                <w:color w:val="auto"/>
                <w:kern w:val="0"/>
                <w:szCs w:val="21"/>
              </w:rPr>
            </w:pPr>
          </w:p>
        </w:tc>
        <w:tc>
          <w:tcPr>
            <w:tcW w:w="437" w:type="pct"/>
            <w:vMerge w:val="continue"/>
            <w:vAlign w:val="center"/>
          </w:tcPr>
          <w:p w14:paraId="65CE169A">
            <w:pPr>
              <w:tabs>
                <w:tab w:val="left" w:pos="4065"/>
                <w:tab w:val="left" w:pos="4875"/>
              </w:tabs>
              <w:autoSpaceDE w:val="0"/>
              <w:autoSpaceDN w:val="0"/>
              <w:adjustRightInd w:val="0"/>
              <w:jc w:val="center"/>
              <w:rPr>
                <w:color w:val="auto"/>
                <w:kern w:val="0"/>
                <w:szCs w:val="21"/>
              </w:rPr>
            </w:pPr>
          </w:p>
        </w:tc>
        <w:tc>
          <w:tcPr>
            <w:tcW w:w="457" w:type="pct"/>
            <w:vMerge w:val="continue"/>
            <w:vAlign w:val="center"/>
          </w:tcPr>
          <w:p w14:paraId="68E1C2A2">
            <w:pPr>
              <w:tabs>
                <w:tab w:val="left" w:pos="4065"/>
                <w:tab w:val="left" w:pos="4875"/>
              </w:tabs>
              <w:autoSpaceDE w:val="0"/>
              <w:autoSpaceDN w:val="0"/>
              <w:adjustRightInd w:val="0"/>
              <w:jc w:val="center"/>
              <w:rPr>
                <w:color w:val="auto"/>
                <w:kern w:val="0"/>
                <w:szCs w:val="21"/>
              </w:rPr>
            </w:pPr>
          </w:p>
        </w:tc>
        <w:tc>
          <w:tcPr>
            <w:tcW w:w="462" w:type="pct"/>
            <w:tcBorders>
              <w:bottom w:val="single" w:color="auto" w:sz="4" w:space="0"/>
            </w:tcBorders>
            <w:vAlign w:val="center"/>
          </w:tcPr>
          <w:p w14:paraId="58CA0FD5">
            <w:pPr>
              <w:tabs>
                <w:tab w:val="left" w:pos="4065"/>
                <w:tab w:val="left" w:pos="4875"/>
              </w:tabs>
              <w:autoSpaceDE w:val="0"/>
              <w:autoSpaceDN w:val="0"/>
              <w:adjustRightInd w:val="0"/>
              <w:jc w:val="center"/>
              <w:rPr>
                <w:color w:val="auto"/>
                <w:kern w:val="0"/>
                <w:szCs w:val="21"/>
              </w:rPr>
            </w:pPr>
            <w:r>
              <w:rPr>
                <w:color w:val="auto"/>
                <w:kern w:val="0"/>
                <w:szCs w:val="21"/>
              </w:rPr>
              <w:t>H</w:t>
            </w:r>
            <w:r>
              <w:rPr>
                <w:color w:val="auto"/>
                <w:kern w:val="0"/>
                <w:szCs w:val="21"/>
                <w:vertAlign w:val="subscript"/>
              </w:rPr>
              <w:t>2</w:t>
            </w:r>
            <w:r>
              <w:rPr>
                <w:color w:val="auto"/>
                <w:kern w:val="0"/>
                <w:szCs w:val="21"/>
              </w:rPr>
              <w:t>S</w:t>
            </w:r>
          </w:p>
        </w:tc>
        <w:tc>
          <w:tcPr>
            <w:tcW w:w="1005" w:type="pct"/>
            <w:vMerge w:val="continue"/>
            <w:tcBorders>
              <w:bottom w:val="single" w:color="auto" w:sz="4" w:space="0"/>
            </w:tcBorders>
            <w:vAlign w:val="center"/>
          </w:tcPr>
          <w:p w14:paraId="3230FB80">
            <w:pPr>
              <w:tabs>
                <w:tab w:val="left" w:pos="4065"/>
                <w:tab w:val="left" w:pos="4875"/>
              </w:tabs>
              <w:autoSpaceDE w:val="0"/>
              <w:autoSpaceDN w:val="0"/>
              <w:adjustRightInd w:val="0"/>
              <w:jc w:val="center"/>
              <w:rPr>
                <w:color w:val="auto"/>
                <w:kern w:val="0"/>
                <w:szCs w:val="21"/>
              </w:rPr>
            </w:pPr>
          </w:p>
        </w:tc>
        <w:tc>
          <w:tcPr>
            <w:tcW w:w="1053" w:type="pct"/>
            <w:vMerge w:val="continue"/>
            <w:tcBorders>
              <w:bottom w:val="single" w:color="auto" w:sz="4" w:space="0"/>
            </w:tcBorders>
            <w:vAlign w:val="center"/>
          </w:tcPr>
          <w:p w14:paraId="36497037">
            <w:pPr>
              <w:tabs>
                <w:tab w:val="left" w:pos="4065"/>
                <w:tab w:val="left" w:pos="4875"/>
              </w:tabs>
              <w:autoSpaceDE w:val="0"/>
              <w:autoSpaceDN w:val="0"/>
              <w:adjustRightInd w:val="0"/>
              <w:jc w:val="center"/>
              <w:rPr>
                <w:color w:val="auto"/>
                <w:kern w:val="0"/>
                <w:szCs w:val="21"/>
              </w:rPr>
            </w:pPr>
          </w:p>
        </w:tc>
        <w:tc>
          <w:tcPr>
            <w:tcW w:w="640" w:type="pct"/>
            <w:vAlign w:val="center"/>
          </w:tcPr>
          <w:p w14:paraId="42E94112">
            <w:pPr>
              <w:tabs>
                <w:tab w:val="left" w:pos="4065"/>
                <w:tab w:val="left" w:pos="4875"/>
              </w:tabs>
              <w:autoSpaceDE w:val="0"/>
              <w:autoSpaceDN w:val="0"/>
              <w:adjustRightInd w:val="0"/>
              <w:jc w:val="center"/>
              <w:rPr>
                <w:color w:val="auto"/>
                <w:kern w:val="0"/>
                <w:szCs w:val="21"/>
              </w:rPr>
            </w:pPr>
            <w:r>
              <w:rPr>
                <w:color w:val="auto"/>
                <w:szCs w:val="21"/>
              </w:rPr>
              <w:t>0.06mg/m</w:t>
            </w:r>
            <w:r>
              <w:rPr>
                <w:color w:val="auto"/>
                <w:szCs w:val="21"/>
                <w:vertAlign w:val="superscript"/>
              </w:rPr>
              <w:t>3</w:t>
            </w:r>
          </w:p>
        </w:tc>
        <w:tc>
          <w:tcPr>
            <w:tcW w:w="668" w:type="pct"/>
            <w:vAlign w:val="center"/>
          </w:tcPr>
          <w:p w14:paraId="64D8D702">
            <w:pPr>
              <w:widowControl/>
              <w:jc w:val="center"/>
              <w:textAlignment w:val="center"/>
              <w:rPr>
                <w:color w:val="auto"/>
                <w:kern w:val="0"/>
                <w:szCs w:val="21"/>
              </w:rPr>
            </w:pPr>
            <w:r>
              <w:rPr>
                <w:rFonts w:hint="eastAsia"/>
                <w:color w:val="auto"/>
                <w:kern w:val="0"/>
                <w:szCs w:val="21"/>
              </w:rPr>
              <w:t>0.00219</w:t>
            </w:r>
          </w:p>
        </w:tc>
      </w:tr>
      <w:tr w14:paraId="7489B81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5" w:type="pct"/>
            <w:vMerge w:val="restart"/>
            <w:vAlign w:val="center"/>
          </w:tcPr>
          <w:p w14:paraId="38A40F86">
            <w:pPr>
              <w:tabs>
                <w:tab w:val="left" w:pos="4065"/>
                <w:tab w:val="left" w:pos="4875"/>
              </w:tabs>
              <w:autoSpaceDE w:val="0"/>
              <w:autoSpaceDN w:val="0"/>
              <w:adjustRightInd w:val="0"/>
              <w:jc w:val="center"/>
              <w:rPr>
                <w:rFonts w:hint="eastAsia" w:eastAsia="宋体"/>
                <w:color w:val="auto"/>
                <w:kern w:val="0"/>
                <w:szCs w:val="21"/>
                <w:lang w:val="en-US" w:eastAsia="zh-CN"/>
              </w:rPr>
            </w:pPr>
            <w:r>
              <w:rPr>
                <w:rFonts w:hint="eastAsia"/>
                <w:color w:val="auto"/>
                <w:kern w:val="0"/>
                <w:szCs w:val="21"/>
                <w:lang w:val="en-US" w:eastAsia="zh-CN"/>
              </w:rPr>
              <w:t>1</w:t>
            </w:r>
          </w:p>
        </w:tc>
        <w:tc>
          <w:tcPr>
            <w:tcW w:w="437" w:type="pct"/>
            <w:vMerge w:val="restart"/>
            <w:vAlign w:val="center"/>
          </w:tcPr>
          <w:p w14:paraId="38D16AD6">
            <w:pPr>
              <w:tabs>
                <w:tab w:val="left" w:pos="4065"/>
                <w:tab w:val="left" w:pos="4875"/>
              </w:tabs>
              <w:autoSpaceDE w:val="0"/>
              <w:autoSpaceDN w:val="0"/>
              <w:adjustRightInd w:val="0"/>
              <w:jc w:val="center"/>
              <w:rPr>
                <w:rFonts w:hint="default"/>
                <w:color w:val="auto"/>
                <w:lang w:val="en-US" w:eastAsia="zh-CN"/>
              </w:rPr>
            </w:pPr>
            <w:r>
              <w:rPr>
                <w:rFonts w:hint="eastAsia"/>
                <w:color w:val="auto"/>
                <w:kern w:val="0"/>
                <w:szCs w:val="21"/>
                <w:lang w:val="en-US" w:eastAsia="zh-CN"/>
              </w:rPr>
              <w:t>A2</w:t>
            </w:r>
          </w:p>
        </w:tc>
        <w:tc>
          <w:tcPr>
            <w:tcW w:w="457" w:type="pct"/>
            <w:vMerge w:val="restart"/>
            <w:vAlign w:val="center"/>
          </w:tcPr>
          <w:p w14:paraId="4B09F71D">
            <w:pPr>
              <w:tabs>
                <w:tab w:val="left" w:pos="4065"/>
                <w:tab w:val="left" w:pos="4875"/>
              </w:tabs>
              <w:autoSpaceDE w:val="0"/>
              <w:autoSpaceDN w:val="0"/>
              <w:adjustRightInd w:val="0"/>
              <w:jc w:val="center"/>
              <w:rPr>
                <w:rFonts w:hint="default" w:eastAsia="宋体"/>
                <w:color w:val="auto"/>
                <w:kern w:val="0"/>
                <w:szCs w:val="21"/>
                <w:lang w:val="en-US" w:eastAsia="zh-CN"/>
              </w:rPr>
            </w:pPr>
            <w:r>
              <w:rPr>
                <w:rFonts w:hint="eastAsia"/>
                <w:color w:val="auto"/>
                <w:kern w:val="0"/>
                <w:szCs w:val="21"/>
                <w:lang w:val="en-US" w:eastAsia="zh-CN"/>
              </w:rPr>
              <w:t>临时储粪场</w:t>
            </w:r>
          </w:p>
        </w:tc>
        <w:tc>
          <w:tcPr>
            <w:tcW w:w="462" w:type="pct"/>
            <w:tcBorders>
              <w:bottom w:val="single" w:color="auto" w:sz="4" w:space="0"/>
            </w:tcBorders>
            <w:vAlign w:val="center"/>
          </w:tcPr>
          <w:p w14:paraId="5CD1ECC3">
            <w:pPr>
              <w:tabs>
                <w:tab w:val="left" w:pos="4065"/>
                <w:tab w:val="left" w:pos="4875"/>
              </w:tabs>
              <w:autoSpaceDE w:val="0"/>
              <w:autoSpaceDN w:val="0"/>
              <w:adjustRightInd w:val="0"/>
              <w:jc w:val="center"/>
              <w:rPr>
                <w:color w:val="auto"/>
                <w:kern w:val="0"/>
                <w:szCs w:val="21"/>
              </w:rPr>
            </w:pPr>
            <w:r>
              <w:rPr>
                <w:color w:val="auto"/>
                <w:kern w:val="0"/>
                <w:szCs w:val="21"/>
              </w:rPr>
              <w:t>NH</w:t>
            </w:r>
            <w:r>
              <w:rPr>
                <w:color w:val="auto"/>
                <w:kern w:val="0"/>
                <w:szCs w:val="21"/>
                <w:vertAlign w:val="subscript"/>
              </w:rPr>
              <w:t>3</w:t>
            </w:r>
          </w:p>
        </w:tc>
        <w:tc>
          <w:tcPr>
            <w:tcW w:w="1005" w:type="pct"/>
            <w:vMerge w:val="restart"/>
            <w:vAlign w:val="center"/>
          </w:tcPr>
          <w:p w14:paraId="2BBEE5FB">
            <w:pPr>
              <w:tabs>
                <w:tab w:val="left" w:pos="4065"/>
                <w:tab w:val="left" w:pos="4875"/>
              </w:tabs>
              <w:autoSpaceDE w:val="0"/>
              <w:autoSpaceDN w:val="0"/>
              <w:adjustRightInd w:val="0"/>
              <w:jc w:val="center"/>
              <w:rPr>
                <w:color w:val="auto"/>
                <w:kern w:val="0"/>
                <w:szCs w:val="21"/>
              </w:rPr>
            </w:pPr>
            <w:r>
              <w:rPr>
                <w:rFonts w:hint="eastAsia" w:ascii="Times New Roman" w:hAnsi="Times New Roman" w:eastAsia="宋体"/>
                <w:color w:val="auto"/>
                <w:highlight w:val="none"/>
              </w:rPr>
              <w:t>企业定期喷洒除臭剂、</w:t>
            </w:r>
            <w:r>
              <w:rPr>
                <w:rFonts w:hint="eastAsia"/>
                <w:color w:val="auto"/>
                <w:highlight w:val="none"/>
                <w:lang w:eastAsia="zh-CN"/>
              </w:rPr>
              <w:t>设置为封闭结构</w:t>
            </w:r>
            <w:r>
              <w:rPr>
                <w:rFonts w:hint="eastAsia" w:ascii="Times New Roman" w:hAnsi="Times New Roman" w:eastAsia="宋体"/>
                <w:color w:val="auto"/>
                <w:highlight w:val="none"/>
              </w:rPr>
              <w:t>并及时清运粪污</w:t>
            </w:r>
          </w:p>
        </w:tc>
        <w:tc>
          <w:tcPr>
            <w:tcW w:w="1053" w:type="pct"/>
            <w:vMerge w:val="restart"/>
            <w:vAlign w:val="center"/>
          </w:tcPr>
          <w:p w14:paraId="13744BDE">
            <w:pPr>
              <w:tabs>
                <w:tab w:val="left" w:pos="4065"/>
                <w:tab w:val="left" w:pos="4875"/>
              </w:tabs>
              <w:autoSpaceDE w:val="0"/>
              <w:autoSpaceDN w:val="0"/>
              <w:adjustRightInd w:val="0"/>
              <w:jc w:val="center"/>
              <w:rPr>
                <w:color w:val="auto"/>
                <w:kern w:val="0"/>
                <w:szCs w:val="21"/>
              </w:rPr>
            </w:pPr>
            <w:r>
              <w:rPr>
                <w:color w:val="auto"/>
                <w:kern w:val="0"/>
                <w:szCs w:val="21"/>
              </w:rPr>
              <w:t>《恶臭污染物排放标准》(GB14554-93)</w:t>
            </w:r>
          </w:p>
        </w:tc>
        <w:tc>
          <w:tcPr>
            <w:tcW w:w="1180" w:type="dxa"/>
            <w:vAlign w:val="center"/>
          </w:tcPr>
          <w:p w14:paraId="345B7371">
            <w:pPr>
              <w:tabs>
                <w:tab w:val="left" w:pos="4065"/>
                <w:tab w:val="left" w:pos="4875"/>
              </w:tabs>
              <w:autoSpaceDE w:val="0"/>
              <w:autoSpaceDN w:val="0"/>
              <w:adjustRightInd w:val="0"/>
              <w:jc w:val="center"/>
              <w:rPr>
                <w:color w:val="auto"/>
                <w:szCs w:val="21"/>
              </w:rPr>
            </w:pPr>
            <w:r>
              <w:rPr>
                <w:color w:val="auto"/>
                <w:kern w:val="0"/>
                <w:szCs w:val="21"/>
              </w:rPr>
              <w:t>1.5</w:t>
            </w:r>
            <w:r>
              <w:rPr>
                <w:color w:val="auto"/>
                <w:szCs w:val="21"/>
              </w:rPr>
              <w:t>mg/m</w:t>
            </w:r>
            <w:r>
              <w:rPr>
                <w:color w:val="auto"/>
                <w:szCs w:val="21"/>
                <w:vertAlign w:val="superscript"/>
              </w:rPr>
              <w:t>3</w:t>
            </w:r>
          </w:p>
        </w:tc>
        <w:tc>
          <w:tcPr>
            <w:tcW w:w="1233" w:type="dxa"/>
            <w:vAlign w:val="center"/>
          </w:tcPr>
          <w:p w14:paraId="6886B7AF">
            <w:pPr>
              <w:widowControl/>
              <w:jc w:val="center"/>
              <w:textAlignment w:val="center"/>
              <w:rPr>
                <w:rFonts w:hint="eastAsia"/>
                <w:color w:val="auto"/>
                <w:kern w:val="0"/>
                <w:szCs w:val="21"/>
              </w:rPr>
            </w:pPr>
            <w:r>
              <w:rPr>
                <w:rFonts w:hint="eastAsia"/>
                <w:color w:val="auto"/>
                <w:szCs w:val="21"/>
                <w:highlight w:val="none"/>
                <w:lang w:val="en-US" w:eastAsia="zh-CN"/>
              </w:rPr>
              <w:t>0.108</w:t>
            </w:r>
          </w:p>
        </w:tc>
      </w:tr>
      <w:tr w14:paraId="16BADEAC">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5" w:type="pct"/>
            <w:vMerge w:val="continue"/>
            <w:vAlign w:val="center"/>
          </w:tcPr>
          <w:p w14:paraId="77761520">
            <w:pPr>
              <w:tabs>
                <w:tab w:val="left" w:pos="4065"/>
                <w:tab w:val="left" w:pos="4875"/>
              </w:tabs>
              <w:autoSpaceDE w:val="0"/>
              <w:autoSpaceDN w:val="0"/>
              <w:adjustRightInd w:val="0"/>
              <w:jc w:val="center"/>
              <w:rPr>
                <w:color w:val="auto"/>
                <w:kern w:val="0"/>
                <w:szCs w:val="21"/>
              </w:rPr>
            </w:pPr>
          </w:p>
        </w:tc>
        <w:tc>
          <w:tcPr>
            <w:tcW w:w="437" w:type="pct"/>
            <w:vMerge w:val="continue"/>
            <w:vAlign w:val="center"/>
          </w:tcPr>
          <w:p w14:paraId="619AE022">
            <w:pPr>
              <w:tabs>
                <w:tab w:val="left" w:pos="4065"/>
                <w:tab w:val="left" w:pos="4875"/>
              </w:tabs>
              <w:autoSpaceDE w:val="0"/>
              <w:autoSpaceDN w:val="0"/>
              <w:adjustRightInd w:val="0"/>
              <w:jc w:val="center"/>
              <w:rPr>
                <w:color w:val="auto"/>
                <w:kern w:val="0"/>
                <w:szCs w:val="21"/>
              </w:rPr>
            </w:pPr>
          </w:p>
        </w:tc>
        <w:tc>
          <w:tcPr>
            <w:tcW w:w="457" w:type="pct"/>
            <w:vMerge w:val="continue"/>
            <w:vAlign w:val="center"/>
          </w:tcPr>
          <w:p w14:paraId="6FC09E55">
            <w:pPr>
              <w:tabs>
                <w:tab w:val="left" w:pos="4065"/>
                <w:tab w:val="left" w:pos="4875"/>
              </w:tabs>
              <w:autoSpaceDE w:val="0"/>
              <w:autoSpaceDN w:val="0"/>
              <w:adjustRightInd w:val="0"/>
              <w:jc w:val="center"/>
              <w:rPr>
                <w:color w:val="auto"/>
                <w:kern w:val="0"/>
                <w:szCs w:val="21"/>
              </w:rPr>
            </w:pPr>
          </w:p>
        </w:tc>
        <w:tc>
          <w:tcPr>
            <w:tcW w:w="462" w:type="pct"/>
            <w:tcBorders>
              <w:bottom w:val="single" w:color="auto" w:sz="4" w:space="0"/>
            </w:tcBorders>
            <w:vAlign w:val="center"/>
          </w:tcPr>
          <w:p w14:paraId="1259D014">
            <w:pPr>
              <w:tabs>
                <w:tab w:val="left" w:pos="4065"/>
                <w:tab w:val="left" w:pos="4875"/>
              </w:tabs>
              <w:autoSpaceDE w:val="0"/>
              <w:autoSpaceDN w:val="0"/>
              <w:adjustRightInd w:val="0"/>
              <w:jc w:val="center"/>
              <w:rPr>
                <w:color w:val="auto"/>
                <w:kern w:val="0"/>
                <w:szCs w:val="21"/>
              </w:rPr>
            </w:pPr>
            <w:r>
              <w:rPr>
                <w:color w:val="auto"/>
                <w:kern w:val="0"/>
                <w:szCs w:val="21"/>
              </w:rPr>
              <w:t>H</w:t>
            </w:r>
            <w:r>
              <w:rPr>
                <w:color w:val="auto"/>
                <w:kern w:val="0"/>
                <w:szCs w:val="21"/>
                <w:vertAlign w:val="subscript"/>
              </w:rPr>
              <w:t>2</w:t>
            </w:r>
            <w:r>
              <w:rPr>
                <w:color w:val="auto"/>
                <w:kern w:val="0"/>
                <w:szCs w:val="21"/>
              </w:rPr>
              <w:t>S</w:t>
            </w:r>
          </w:p>
        </w:tc>
        <w:tc>
          <w:tcPr>
            <w:tcW w:w="1005" w:type="pct"/>
            <w:vMerge w:val="continue"/>
            <w:tcBorders>
              <w:bottom w:val="single" w:color="auto" w:sz="4" w:space="0"/>
            </w:tcBorders>
            <w:vAlign w:val="center"/>
          </w:tcPr>
          <w:p w14:paraId="78E5E61F">
            <w:pPr>
              <w:tabs>
                <w:tab w:val="left" w:pos="4065"/>
                <w:tab w:val="left" w:pos="4875"/>
              </w:tabs>
              <w:autoSpaceDE w:val="0"/>
              <w:autoSpaceDN w:val="0"/>
              <w:adjustRightInd w:val="0"/>
              <w:jc w:val="center"/>
              <w:rPr>
                <w:color w:val="auto"/>
                <w:kern w:val="0"/>
                <w:szCs w:val="21"/>
              </w:rPr>
            </w:pPr>
          </w:p>
        </w:tc>
        <w:tc>
          <w:tcPr>
            <w:tcW w:w="1053" w:type="pct"/>
            <w:vMerge w:val="continue"/>
            <w:tcBorders>
              <w:bottom w:val="single" w:color="auto" w:sz="4" w:space="0"/>
            </w:tcBorders>
            <w:vAlign w:val="center"/>
          </w:tcPr>
          <w:p w14:paraId="757468F3">
            <w:pPr>
              <w:tabs>
                <w:tab w:val="left" w:pos="4065"/>
                <w:tab w:val="left" w:pos="4875"/>
              </w:tabs>
              <w:autoSpaceDE w:val="0"/>
              <w:autoSpaceDN w:val="0"/>
              <w:adjustRightInd w:val="0"/>
              <w:jc w:val="center"/>
              <w:rPr>
                <w:color w:val="auto"/>
                <w:kern w:val="0"/>
                <w:szCs w:val="21"/>
              </w:rPr>
            </w:pPr>
          </w:p>
        </w:tc>
        <w:tc>
          <w:tcPr>
            <w:tcW w:w="1180" w:type="dxa"/>
            <w:vAlign w:val="center"/>
          </w:tcPr>
          <w:p w14:paraId="7F0921F0">
            <w:pPr>
              <w:tabs>
                <w:tab w:val="left" w:pos="4065"/>
                <w:tab w:val="left" w:pos="4875"/>
              </w:tabs>
              <w:autoSpaceDE w:val="0"/>
              <w:autoSpaceDN w:val="0"/>
              <w:adjustRightInd w:val="0"/>
              <w:jc w:val="center"/>
              <w:rPr>
                <w:color w:val="auto"/>
                <w:szCs w:val="21"/>
              </w:rPr>
            </w:pPr>
            <w:r>
              <w:rPr>
                <w:color w:val="auto"/>
                <w:szCs w:val="21"/>
              </w:rPr>
              <w:t>0.06mg/m</w:t>
            </w:r>
            <w:r>
              <w:rPr>
                <w:color w:val="auto"/>
                <w:szCs w:val="21"/>
                <w:vertAlign w:val="superscript"/>
              </w:rPr>
              <w:t>3</w:t>
            </w:r>
          </w:p>
        </w:tc>
        <w:tc>
          <w:tcPr>
            <w:tcW w:w="1233" w:type="dxa"/>
            <w:vAlign w:val="center"/>
          </w:tcPr>
          <w:p w14:paraId="592D7A7D">
            <w:pPr>
              <w:widowControl/>
              <w:jc w:val="center"/>
              <w:textAlignment w:val="center"/>
              <w:rPr>
                <w:rFonts w:hint="eastAsia"/>
                <w:color w:val="auto"/>
                <w:kern w:val="0"/>
                <w:szCs w:val="21"/>
              </w:rPr>
            </w:pPr>
            <w:r>
              <w:rPr>
                <w:rFonts w:hint="eastAsia"/>
                <w:color w:val="auto"/>
                <w:szCs w:val="21"/>
                <w:highlight w:val="none"/>
                <w:lang w:val="en-US" w:eastAsia="zh-CN"/>
              </w:rPr>
              <w:t>0.0054</w:t>
            </w:r>
          </w:p>
        </w:tc>
      </w:tr>
      <w:tr w14:paraId="1B1776B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8"/>
            <w:vAlign w:val="center"/>
          </w:tcPr>
          <w:p w14:paraId="1386ABC9">
            <w:pPr>
              <w:tabs>
                <w:tab w:val="left" w:pos="4065"/>
                <w:tab w:val="left" w:pos="4875"/>
              </w:tabs>
              <w:autoSpaceDE w:val="0"/>
              <w:autoSpaceDN w:val="0"/>
              <w:adjustRightInd w:val="0"/>
              <w:jc w:val="center"/>
              <w:rPr>
                <w:color w:val="auto"/>
                <w:kern w:val="0"/>
                <w:szCs w:val="21"/>
              </w:rPr>
            </w:pPr>
            <w:r>
              <w:rPr>
                <w:color w:val="auto"/>
                <w:kern w:val="0"/>
                <w:szCs w:val="21"/>
              </w:rPr>
              <w:t>全厂无组织排放总计</w:t>
            </w:r>
          </w:p>
        </w:tc>
      </w:tr>
      <w:tr w14:paraId="1E1C53F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32" w:type="pct"/>
            <w:gridSpan w:val="4"/>
            <w:vMerge w:val="restart"/>
            <w:vAlign w:val="center"/>
          </w:tcPr>
          <w:p w14:paraId="55AD4552">
            <w:pPr>
              <w:tabs>
                <w:tab w:val="left" w:pos="4065"/>
                <w:tab w:val="left" w:pos="4875"/>
              </w:tabs>
              <w:autoSpaceDE w:val="0"/>
              <w:autoSpaceDN w:val="0"/>
              <w:adjustRightInd w:val="0"/>
              <w:jc w:val="center"/>
              <w:rPr>
                <w:color w:val="auto"/>
                <w:kern w:val="0"/>
                <w:szCs w:val="21"/>
              </w:rPr>
            </w:pPr>
            <w:r>
              <w:rPr>
                <w:color w:val="auto"/>
                <w:kern w:val="0"/>
                <w:szCs w:val="21"/>
              </w:rPr>
              <w:t>全厂无组织排放总计</w:t>
            </w:r>
          </w:p>
        </w:tc>
        <w:tc>
          <w:tcPr>
            <w:tcW w:w="2059" w:type="pct"/>
            <w:gridSpan w:val="2"/>
            <w:vAlign w:val="center"/>
          </w:tcPr>
          <w:p w14:paraId="04D0C3D4">
            <w:pPr>
              <w:tabs>
                <w:tab w:val="left" w:pos="4065"/>
                <w:tab w:val="left" w:pos="4875"/>
              </w:tabs>
              <w:autoSpaceDE w:val="0"/>
              <w:autoSpaceDN w:val="0"/>
              <w:adjustRightInd w:val="0"/>
              <w:jc w:val="center"/>
              <w:rPr>
                <w:color w:val="auto"/>
                <w:kern w:val="0"/>
                <w:szCs w:val="21"/>
              </w:rPr>
            </w:pPr>
            <w:r>
              <w:rPr>
                <w:color w:val="auto"/>
                <w:kern w:val="0"/>
                <w:szCs w:val="21"/>
              </w:rPr>
              <w:t>NH</w:t>
            </w:r>
            <w:r>
              <w:rPr>
                <w:color w:val="auto"/>
                <w:kern w:val="0"/>
                <w:szCs w:val="21"/>
                <w:vertAlign w:val="subscript"/>
              </w:rPr>
              <w:t>3</w:t>
            </w:r>
          </w:p>
        </w:tc>
        <w:tc>
          <w:tcPr>
            <w:tcW w:w="1308" w:type="pct"/>
            <w:gridSpan w:val="2"/>
            <w:vAlign w:val="center"/>
          </w:tcPr>
          <w:p w14:paraId="4A98D62F">
            <w:pPr>
              <w:widowControl/>
              <w:jc w:val="center"/>
              <w:textAlignment w:val="center"/>
              <w:rPr>
                <w:color w:val="auto"/>
                <w:kern w:val="0"/>
                <w:szCs w:val="21"/>
              </w:rPr>
            </w:pPr>
            <w:r>
              <w:rPr>
                <w:rFonts w:hint="eastAsia"/>
                <w:color w:val="auto"/>
                <w:kern w:val="0"/>
                <w:szCs w:val="21"/>
                <w:lang w:val="en-US" w:eastAsia="zh-CN"/>
              </w:rPr>
              <w:t>0.546</w:t>
            </w:r>
          </w:p>
        </w:tc>
      </w:tr>
      <w:tr w14:paraId="27A1C60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32" w:type="pct"/>
            <w:gridSpan w:val="4"/>
            <w:vMerge w:val="continue"/>
            <w:vAlign w:val="center"/>
          </w:tcPr>
          <w:p w14:paraId="56BF4380">
            <w:pPr>
              <w:tabs>
                <w:tab w:val="left" w:pos="4065"/>
                <w:tab w:val="left" w:pos="4875"/>
              </w:tabs>
              <w:autoSpaceDE w:val="0"/>
              <w:autoSpaceDN w:val="0"/>
              <w:adjustRightInd w:val="0"/>
              <w:jc w:val="center"/>
              <w:rPr>
                <w:color w:val="auto"/>
                <w:kern w:val="0"/>
                <w:szCs w:val="21"/>
              </w:rPr>
            </w:pPr>
          </w:p>
        </w:tc>
        <w:tc>
          <w:tcPr>
            <w:tcW w:w="2059" w:type="pct"/>
            <w:gridSpan w:val="2"/>
            <w:vAlign w:val="center"/>
          </w:tcPr>
          <w:p w14:paraId="6F113BD8">
            <w:pPr>
              <w:tabs>
                <w:tab w:val="left" w:pos="4065"/>
                <w:tab w:val="left" w:pos="4875"/>
              </w:tabs>
              <w:autoSpaceDE w:val="0"/>
              <w:autoSpaceDN w:val="0"/>
              <w:adjustRightInd w:val="0"/>
              <w:jc w:val="center"/>
              <w:rPr>
                <w:color w:val="auto"/>
                <w:kern w:val="0"/>
                <w:szCs w:val="21"/>
              </w:rPr>
            </w:pPr>
            <w:r>
              <w:rPr>
                <w:color w:val="auto"/>
                <w:kern w:val="0"/>
                <w:szCs w:val="21"/>
              </w:rPr>
              <w:t>H</w:t>
            </w:r>
            <w:r>
              <w:rPr>
                <w:color w:val="auto"/>
                <w:kern w:val="0"/>
                <w:szCs w:val="21"/>
                <w:vertAlign w:val="subscript"/>
              </w:rPr>
              <w:t>2</w:t>
            </w:r>
            <w:r>
              <w:rPr>
                <w:color w:val="auto"/>
                <w:kern w:val="0"/>
                <w:szCs w:val="21"/>
              </w:rPr>
              <w:t>S</w:t>
            </w:r>
          </w:p>
        </w:tc>
        <w:tc>
          <w:tcPr>
            <w:tcW w:w="1308" w:type="pct"/>
            <w:gridSpan w:val="2"/>
            <w:vAlign w:val="center"/>
          </w:tcPr>
          <w:p w14:paraId="3706E332">
            <w:pPr>
              <w:widowControl/>
              <w:jc w:val="center"/>
              <w:textAlignment w:val="center"/>
              <w:rPr>
                <w:rFonts w:hint="default" w:eastAsia="宋体"/>
                <w:color w:val="auto"/>
                <w:kern w:val="0"/>
                <w:szCs w:val="21"/>
                <w:lang w:val="en-US" w:eastAsia="zh-CN"/>
              </w:rPr>
            </w:pPr>
            <w:r>
              <w:rPr>
                <w:rFonts w:hint="eastAsia"/>
                <w:color w:val="auto"/>
                <w:kern w:val="0"/>
                <w:szCs w:val="21"/>
                <w:lang w:val="en-US" w:eastAsia="zh-CN"/>
              </w:rPr>
              <w:t>0.00759</w:t>
            </w:r>
          </w:p>
        </w:tc>
      </w:tr>
    </w:tbl>
    <w:p w14:paraId="6FF4D7E4">
      <w:pPr>
        <w:spacing w:line="360" w:lineRule="auto"/>
        <w:ind w:firstLine="480" w:firstLineChars="200"/>
        <w:rPr>
          <w:color w:val="auto"/>
          <w:sz w:val="24"/>
        </w:rPr>
      </w:pPr>
      <w:r>
        <w:rPr>
          <w:color w:val="auto"/>
          <w:sz w:val="24"/>
        </w:rPr>
        <w:t>（</w:t>
      </w:r>
      <w:r>
        <w:rPr>
          <w:rFonts w:hint="eastAsia"/>
          <w:color w:val="auto"/>
          <w:sz w:val="24"/>
        </w:rPr>
        <w:t>3</w:t>
      </w:r>
      <w:r>
        <w:rPr>
          <w:color w:val="auto"/>
          <w:sz w:val="24"/>
        </w:rPr>
        <w:t>）</w:t>
      </w:r>
      <w:r>
        <w:rPr>
          <w:rFonts w:hint="eastAsia"/>
          <w:color w:val="auto"/>
          <w:sz w:val="24"/>
        </w:rPr>
        <w:t>项目大气</w:t>
      </w:r>
      <w:r>
        <w:rPr>
          <w:color w:val="auto"/>
          <w:sz w:val="24"/>
        </w:rPr>
        <w:t>污染物</w:t>
      </w:r>
      <w:r>
        <w:rPr>
          <w:rFonts w:hint="eastAsia"/>
          <w:color w:val="auto"/>
          <w:sz w:val="24"/>
        </w:rPr>
        <w:t>年</w:t>
      </w:r>
      <w:r>
        <w:rPr>
          <w:color w:val="auto"/>
          <w:sz w:val="24"/>
        </w:rPr>
        <w:t>排放量核算</w:t>
      </w:r>
    </w:p>
    <w:p w14:paraId="5FFE68DC">
      <w:pPr>
        <w:jc w:val="center"/>
        <w:rPr>
          <w:b/>
          <w:color w:val="auto"/>
          <w:szCs w:val="21"/>
        </w:rPr>
      </w:pPr>
      <w:r>
        <w:rPr>
          <w:b/>
          <w:color w:val="auto"/>
          <w:szCs w:val="21"/>
        </w:rPr>
        <w:t>表5</w:t>
      </w:r>
      <w:r>
        <w:rPr>
          <w:rFonts w:hint="eastAsia"/>
          <w:b/>
          <w:color w:val="auto"/>
          <w:szCs w:val="21"/>
          <w:lang w:val="en-US" w:eastAsia="zh-CN"/>
        </w:rPr>
        <w:t>.2-11</w:t>
      </w:r>
      <w:r>
        <w:rPr>
          <w:b/>
          <w:color w:val="auto"/>
          <w:szCs w:val="21"/>
        </w:rPr>
        <w:t xml:space="preserve">    本项目大气污染物年排放量核算表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805"/>
        <w:gridCol w:w="3552"/>
        <w:gridCol w:w="3861"/>
      </w:tblGrid>
      <w:tr w14:paraId="06AC44C7">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05" w:type="dxa"/>
            <w:tcBorders>
              <w:tl2br w:val="nil"/>
              <w:tr2bl w:val="nil"/>
            </w:tcBorders>
            <w:vAlign w:val="center"/>
          </w:tcPr>
          <w:p w14:paraId="6AA69E2D">
            <w:pPr>
              <w:widowControl/>
              <w:adjustRightInd w:val="0"/>
              <w:snapToGrid w:val="0"/>
              <w:jc w:val="center"/>
              <w:rPr>
                <w:color w:val="auto"/>
                <w:kern w:val="0"/>
                <w:szCs w:val="21"/>
              </w:rPr>
            </w:pPr>
            <w:r>
              <w:rPr>
                <w:color w:val="auto"/>
                <w:kern w:val="0"/>
                <w:szCs w:val="21"/>
              </w:rPr>
              <w:t>序号</w:t>
            </w:r>
          </w:p>
        </w:tc>
        <w:tc>
          <w:tcPr>
            <w:tcW w:w="3552" w:type="dxa"/>
            <w:tcBorders>
              <w:tl2br w:val="nil"/>
              <w:tr2bl w:val="nil"/>
            </w:tcBorders>
            <w:vAlign w:val="center"/>
          </w:tcPr>
          <w:p w14:paraId="410EA2A9">
            <w:pPr>
              <w:widowControl/>
              <w:adjustRightInd w:val="0"/>
              <w:snapToGrid w:val="0"/>
              <w:jc w:val="center"/>
              <w:rPr>
                <w:color w:val="auto"/>
                <w:kern w:val="0"/>
                <w:szCs w:val="21"/>
              </w:rPr>
            </w:pPr>
            <w:r>
              <w:rPr>
                <w:color w:val="auto"/>
                <w:kern w:val="0"/>
                <w:szCs w:val="21"/>
              </w:rPr>
              <w:t>污染物</w:t>
            </w:r>
          </w:p>
        </w:tc>
        <w:tc>
          <w:tcPr>
            <w:tcW w:w="3861" w:type="dxa"/>
            <w:tcBorders>
              <w:tl2br w:val="nil"/>
              <w:tr2bl w:val="nil"/>
            </w:tcBorders>
            <w:vAlign w:val="center"/>
          </w:tcPr>
          <w:p w14:paraId="4727C37C">
            <w:pPr>
              <w:widowControl/>
              <w:adjustRightInd w:val="0"/>
              <w:snapToGrid w:val="0"/>
              <w:jc w:val="center"/>
              <w:rPr>
                <w:color w:val="auto"/>
                <w:kern w:val="0"/>
                <w:szCs w:val="21"/>
              </w:rPr>
            </w:pPr>
            <w:r>
              <w:rPr>
                <w:color w:val="auto"/>
                <w:kern w:val="0"/>
                <w:szCs w:val="21"/>
              </w:rPr>
              <w:t>年排放量/（t/a）</w:t>
            </w:r>
          </w:p>
        </w:tc>
      </w:tr>
      <w:tr w14:paraId="0FA27C6F">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05" w:type="dxa"/>
            <w:tcBorders>
              <w:tl2br w:val="nil"/>
              <w:tr2bl w:val="nil"/>
            </w:tcBorders>
            <w:vAlign w:val="center"/>
          </w:tcPr>
          <w:p w14:paraId="702838B2">
            <w:pPr>
              <w:widowControl/>
              <w:adjustRightInd w:val="0"/>
              <w:snapToGrid w:val="0"/>
              <w:jc w:val="center"/>
              <w:rPr>
                <w:color w:val="auto"/>
                <w:kern w:val="0"/>
                <w:szCs w:val="21"/>
              </w:rPr>
            </w:pPr>
            <w:r>
              <w:rPr>
                <w:color w:val="auto"/>
                <w:kern w:val="0"/>
                <w:szCs w:val="21"/>
              </w:rPr>
              <w:t>1</w:t>
            </w:r>
          </w:p>
        </w:tc>
        <w:tc>
          <w:tcPr>
            <w:tcW w:w="3552" w:type="dxa"/>
            <w:tcBorders>
              <w:tl2br w:val="nil"/>
              <w:tr2bl w:val="nil"/>
            </w:tcBorders>
            <w:vAlign w:val="center"/>
          </w:tcPr>
          <w:p w14:paraId="79E63985">
            <w:pPr>
              <w:tabs>
                <w:tab w:val="left" w:pos="4065"/>
                <w:tab w:val="left" w:pos="4875"/>
              </w:tabs>
              <w:autoSpaceDE w:val="0"/>
              <w:autoSpaceDN w:val="0"/>
              <w:adjustRightInd w:val="0"/>
              <w:jc w:val="center"/>
              <w:rPr>
                <w:color w:val="auto"/>
                <w:szCs w:val="21"/>
              </w:rPr>
            </w:pPr>
            <w:r>
              <w:rPr>
                <w:rFonts w:hint="eastAsia"/>
                <w:bCs/>
                <w:color w:val="auto"/>
                <w:szCs w:val="21"/>
              </w:rPr>
              <w:t>颗粒物</w:t>
            </w:r>
          </w:p>
        </w:tc>
        <w:tc>
          <w:tcPr>
            <w:tcW w:w="3861" w:type="dxa"/>
            <w:tcBorders>
              <w:tl2br w:val="nil"/>
              <w:tr2bl w:val="nil"/>
            </w:tcBorders>
            <w:vAlign w:val="center"/>
          </w:tcPr>
          <w:p w14:paraId="2E370DE6">
            <w:pPr>
              <w:jc w:val="center"/>
              <w:rPr>
                <w:color w:val="auto"/>
                <w:kern w:val="0"/>
                <w:szCs w:val="21"/>
              </w:rPr>
            </w:pPr>
            <w:r>
              <w:rPr>
                <w:rFonts w:hint="eastAsia"/>
                <w:color w:val="auto"/>
                <w:lang w:val="en-US" w:eastAsia="zh-CN"/>
              </w:rPr>
              <w:t>0.005</w:t>
            </w:r>
          </w:p>
        </w:tc>
      </w:tr>
      <w:tr w14:paraId="68BA4A5D">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05" w:type="dxa"/>
            <w:tcBorders>
              <w:tl2br w:val="nil"/>
              <w:tr2bl w:val="nil"/>
            </w:tcBorders>
            <w:vAlign w:val="center"/>
          </w:tcPr>
          <w:p w14:paraId="2366391B">
            <w:pPr>
              <w:widowControl/>
              <w:adjustRightInd w:val="0"/>
              <w:snapToGrid w:val="0"/>
              <w:jc w:val="center"/>
              <w:rPr>
                <w:color w:val="auto"/>
                <w:kern w:val="0"/>
                <w:szCs w:val="21"/>
              </w:rPr>
            </w:pPr>
            <w:r>
              <w:rPr>
                <w:color w:val="auto"/>
                <w:kern w:val="0"/>
                <w:szCs w:val="21"/>
              </w:rPr>
              <w:t>2</w:t>
            </w:r>
          </w:p>
        </w:tc>
        <w:tc>
          <w:tcPr>
            <w:tcW w:w="3552" w:type="dxa"/>
            <w:tcBorders>
              <w:tl2br w:val="nil"/>
              <w:tr2bl w:val="nil"/>
            </w:tcBorders>
            <w:vAlign w:val="center"/>
          </w:tcPr>
          <w:p w14:paraId="7A9501A1">
            <w:pPr>
              <w:tabs>
                <w:tab w:val="left" w:pos="4065"/>
                <w:tab w:val="left" w:pos="4875"/>
              </w:tabs>
              <w:autoSpaceDE w:val="0"/>
              <w:autoSpaceDN w:val="0"/>
              <w:adjustRightInd w:val="0"/>
              <w:jc w:val="center"/>
              <w:rPr>
                <w:color w:val="auto"/>
                <w:szCs w:val="21"/>
              </w:rPr>
            </w:pPr>
            <w:r>
              <w:rPr>
                <w:rFonts w:hint="eastAsia"/>
                <w:bCs/>
                <w:color w:val="auto"/>
                <w:szCs w:val="21"/>
              </w:rPr>
              <w:t>SO</w:t>
            </w:r>
            <w:r>
              <w:rPr>
                <w:rFonts w:hint="eastAsia"/>
                <w:bCs/>
                <w:color w:val="auto"/>
                <w:szCs w:val="21"/>
                <w:vertAlign w:val="subscript"/>
              </w:rPr>
              <w:t>2</w:t>
            </w:r>
          </w:p>
        </w:tc>
        <w:tc>
          <w:tcPr>
            <w:tcW w:w="3861" w:type="dxa"/>
            <w:tcBorders>
              <w:tl2br w:val="nil"/>
              <w:tr2bl w:val="nil"/>
            </w:tcBorders>
            <w:vAlign w:val="center"/>
          </w:tcPr>
          <w:p w14:paraId="0893F0A7">
            <w:pPr>
              <w:jc w:val="center"/>
              <w:rPr>
                <w:rFonts w:hint="default"/>
                <w:color w:val="auto"/>
                <w:kern w:val="0"/>
                <w:szCs w:val="21"/>
                <w:lang w:val="en-US"/>
              </w:rPr>
            </w:pPr>
            <w:r>
              <w:rPr>
                <w:rFonts w:hint="eastAsia"/>
                <w:color w:val="auto"/>
                <w:lang w:val="en-US" w:eastAsia="zh-CN"/>
              </w:rPr>
              <w:t>0.48</w:t>
            </w:r>
          </w:p>
        </w:tc>
      </w:tr>
      <w:tr w14:paraId="5F37AF70">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05" w:type="dxa"/>
            <w:tcBorders>
              <w:tl2br w:val="nil"/>
              <w:tr2bl w:val="nil"/>
            </w:tcBorders>
            <w:vAlign w:val="center"/>
          </w:tcPr>
          <w:p w14:paraId="2E6DEF24">
            <w:pPr>
              <w:widowControl/>
              <w:adjustRightInd w:val="0"/>
              <w:snapToGrid w:val="0"/>
              <w:jc w:val="center"/>
              <w:rPr>
                <w:color w:val="auto"/>
                <w:kern w:val="0"/>
                <w:szCs w:val="21"/>
              </w:rPr>
            </w:pPr>
            <w:r>
              <w:rPr>
                <w:color w:val="auto"/>
                <w:kern w:val="0"/>
                <w:szCs w:val="21"/>
              </w:rPr>
              <w:t>3</w:t>
            </w:r>
          </w:p>
        </w:tc>
        <w:tc>
          <w:tcPr>
            <w:tcW w:w="3552" w:type="dxa"/>
            <w:tcBorders>
              <w:tl2br w:val="nil"/>
              <w:tr2bl w:val="nil"/>
            </w:tcBorders>
            <w:vAlign w:val="center"/>
          </w:tcPr>
          <w:p w14:paraId="371FE1E9">
            <w:pPr>
              <w:tabs>
                <w:tab w:val="left" w:pos="4065"/>
                <w:tab w:val="left" w:pos="4875"/>
              </w:tabs>
              <w:autoSpaceDE w:val="0"/>
              <w:autoSpaceDN w:val="0"/>
              <w:adjustRightInd w:val="0"/>
              <w:jc w:val="center"/>
              <w:rPr>
                <w:color w:val="auto"/>
                <w:szCs w:val="21"/>
              </w:rPr>
            </w:pPr>
            <w:r>
              <w:rPr>
                <w:rFonts w:hint="eastAsia"/>
                <w:color w:val="auto"/>
                <w:kern w:val="0"/>
                <w:szCs w:val="21"/>
              </w:rPr>
              <w:t>NOx</w:t>
            </w:r>
          </w:p>
        </w:tc>
        <w:tc>
          <w:tcPr>
            <w:tcW w:w="3861" w:type="dxa"/>
            <w:tcBorders>
              <w:tl2br w:val="nil"/>
              <w:tr2bl w:val="nil"/>
            </w:tcBorders>
            <w:vAlign w:val="center"/>
          </w:tcPr>
          <w:p w14:paraId="3F32068C">
            <w:pPr>
              <w:jc w:val="center"/>
              <w:rPr>
                <w:rFonts w:hint="default"/>
                <w:color w:val="auto"/>
                <w:kern w:val="0"/>
                <w:szCs w:val="21"/>
                <w:highlight w:val="yellow"/>
                <w:lang w:val="en-US"/>
              </w:rPr>
            </w:pPr>
            <w:r>
              <w:rPr>
                <w:rFonts w:hint="eastAsia"/>
                <w:color w:val="auto"/>
                <w:lang w:val="en-US" w:eastAsia="zh-CN"/>
              </w:rPr>
              <w:t>0.67</w:t>
            </w:r>
          </w:p>
        </w:tc>
      </w:tr>
      <w:tr w14:paraId="24AFE483">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05" w:type="dxa"/>
            <w:tcBorders>
              <w:tl2br w:val="nil"/>
              <w:tr2bl w:val="nil"/>
            </w:tcBorders>
            <w:vAlign w:val="center"/>
          </w:tcPr>
          <w:p w14:paraId="728968C5">
            <w:pPr>
              <w:widowControl/>
              <w:adjustRightInd w:val="0"/>
              <w:snapToGrid w:val="0"/>
              <w:jc w:val="center"/>
              <w:rPr>
                <w:color w:val="auto"/>
                <w:kern w:val="0"/>
                <w:szCs w:val="21"/>
              </w:rPr>
            </w:pPr>
            <w:r>
              <w:rPr>
                <w:rFonts w:hint="eastAsia"/>
                <w:color w:val="auto"/>
                <w:kern w:val="0"/>
                <w:szCs w:val="21"/>
              </w:rPr>
              <w:t>4</w:t>
            </w:r>
          </w:p>
        </w:tc>
        <w:tc>
          <w:tcPr>
            <w:tcW w:w="3552" w:type="dxa"/>
            <w:tcBorders>
              <w:tl2br w:val="nil"/>
              <w:tr2bl w:val="nil"/>
            </w:tcBorders>
            <w:vAlign w:val="center"/>
          </w:tcPr>
          <w:p w14:paraId="0CEE1768">
            <w:pPr>
              <w:tabs>
                <w:tab w:val="left" w:pos="4065"/>
                <w:tab w:val="left" w:pos="4875"/>
              </w:tabs>
              <w:autoSpaceDE w:val="0"/>
              <w:autoSpaceDN w:val="0"/>
              <w:adjustRightInd w:val="0"/>
              <w:jc w:val="center"/>
              <w:rPr>
                <w:bCs/>
                <w:color w:val="auto"/>
                <w:szCs w:val="21"/>
              </w:rPr>
            </w:pPr>
            <w:r>
              <w:rPr>
                <w:rFonts w:hint="eastAsia"/>
                <w:color w:val="auto"/>
                <w:kern w:val="0"/>
                <w:szCs w:val="21"/>
              </w:rPr>
              <w:t>油烟</w:t>
            </w:r>
          </w:p>
        </w:tc>
        <w:tc>
          <w:tcPr>
            <w:tcW w:w="3861" w:type="dxa"/>
            <w:tcBorders>
              <w:tl2br w:val="nil"/>
              <w:tr2bl w:val="nil"/>
            </w:tcBorders>
            <w:vAlign w:val="center"/>
          </w:tcPr>
          <w:p w14:paraId="447E7F30">
            <w:pPr>
              <w:pStyle w:val="434"/>
              <w:jc w:val="center"/>
              <w:rPr>
                <w:color w:val="auto"/>
                <w:sz w:val="21"/>
                <w:szCs w:val="21"/>
                <w:highlight w:val="yellow"/>
              </w:rPr>
            </w:pPr>
            <w:r>
              <w:rPr>
                <w:rFonts w:hint="eastAsia"/>
                <w:color w:val="auto"/>
                <w:sz w:val="21"/>
                <w:szCs w:val="21"/>
                <w:highlight w:val="none"/>
                <w:lang w:val="en-US" w:eastAsia="zh-CN"/>
              </w:rPr>
              <w:t>0.00876</w:t>
            </w:r>
          </w:p>
        </w:tc>
      </w:tr>
      <w:tr w14:paraId="46F070DD">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05" w:type="dxa"/>
            <w:tcBorders>
              <w:tl2br w:val="nil"/>
              <w:tr2bl w:val="nil"/>
            </w:tcBorders>
            <w:vAlign w:val="center"/>
          </w:tcPr>
          <w:p w14:paraId="1845F1D0">
            <w:pPr>
              <w:widowControl/>
              <w:adjustRightInd w:val="0"/>
              <w:snapToGrid w:val="0"/>
              <w:jc w:val="center"/>
              <w:rPr>
                <w:color w:val="auto"/>
                <w:kern w:val="0"/>
                <w:szCs w:val="21"/>
              </w:rPr>
            </w:pPr>
            <w:r>
              <w:rPr>
                <w:rFonts w:hint="eastAsia"/>
                <w:color w:val="auto"/>
                <w:kern w:val="0"/>
                <w:szCs w:val="21"/>
              </w:rPr>
              <w:t>5</w:t>
            </w:r>
          </w:p>
        </w:tc>
        <w:tc>
          <w:tcPr>
            <w:tcW w:w="3552" w:type="dxa"/>
            <w:tcBorders>
              <w:tl2br w:val="nil"/>
              <w:tr2bl w:val="nil"/>
            </w:tcBorders>
            <w:vAlign w:val="center"/>
          </w:tcPr>
          <w:p w14:paraId="3A6825C1">
            <w:pPr>
              <w:tabs>
                <w:tab w:val="left" w:pos="4065"/>
                <w:tab w:val="left" w:pos="4875"/>
              </w:tabs>
              <w:autoSpaceDE w:val="0"/>
              <w:autoSpaceDN w:val="0"/>
              <w:adjustRightInd w:val="0"/>
              <w:jc w:val="center"/>
              <w:rPr>
                <w:bCs/>
                <w:color w:val="auto"/>
                <w:szCs w:val="21"/>
              </w:rPr>
            </w:pPr>
            <w:r>
              <w:rPr>
                <w:color w:val="auto"/>
                <w:kern w:val="0"/>
                <w:szCs w:val="21"/>
              </w:rPr>
              <w:t>NH</w:t>
            </w:r>
            <w:r>
              <w:rPr>
                <w:color w:val="auto"/>
                <w:kern w:val="0"/>
                <w:szCs w:val="21"/>
                <w:vertAlign w:val="subscript"/>
              </w:rPr>
              <w:t>3</w:t>
            </w:r>
          </w:p>
        </w:tc>
        <w:tc>
          <w:tcPr>
            <w:tcW w:w="3861" w:type="dxa"/>
            <w:tcBorders>
              <w:tl2br w:val="nil"/>
              <w:tr2bl w:val="nil"/>
            </w:tcBorders>
            <w:vAlign w:val="center"/>
          </w:tcPr>
          <w:p w14:paraId="5C4EEF5E">
            <w:pPr>
              <w:widowControl/>
              <w:jc w:val="center"/>
              <w:textAlignment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0.546</w:t>
            </w:r>
          </w:p>
        </w:tc>
      </w:tr>
      <w:tr w14:paraId="1DB656A4">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805" w:type="dxa"/>
            <w:tcBorders>
              <w:tl2br w:val="nil"/>
              <w:tr2bl w:val="nil"/>
            </w:tcBorders>
            <w:vAlign w:val="center"/>
          </w:tcPr>
          <w:p w14:paraId="2532E339">
            <w:pPr>
              <w:widowControl/>
              <w:adjustRightInd w:val="0"/>
              <w:snapToGrid w:val="0"/>
              <w:jc w:val="center"/>
              <w:rPr>
                <w:color w:val="auto"/>
                <w:kern w:val="0"/>
                <w:szCs w:val="21"/>
              </w:rPr>
            </w:pPr>
            <w:r>
              <w:rPr>
                <w:rFonts w:hint="eastAsia"/>
                <w:color w:val="auto"/>
                <w:kern w:val="0"/>
                <w:szCs w:val="21"/>
              </w:rPr>
              <w:t>6</w:t>
            </w:r>
          </w:p>
        </w:tc>
        <w:tc>
          <w:tcPr>
            <w:tcW w:w="3552" w:type="dxa"/>
            <w:tcBorders>
              <w:tl2br w:val="nil"/>
              <w:tr2bl w:val="nil"/>
            </w:tcBorders>
            <w:vAlign w:val="center"/>
          </w:tcPr>
          <w:p w14:paraId="1E1FE373">
            <w:pPr>
              <w:tabs>
                <w:tab w:val="left" w:pos="4065"/>
                <w:tab w:val="left" w:pos="4875"/>
              </w:tabs>
              <w:autoSpaceDE w:val="0"/>
              <w:autoSpaceDN w:val="0"/>
              <w:adjustRightInd w:val="0"/>
              <w:jc w:val="center"/>
              <w:rPr>
                <w:color w:val="auto"/>
                <w:kern w:val="0"/>
                <w:szCs w:val="21"/>
              </w:rPr>
            </w:pPr>
            <w:r>
              <w:rPr>
                <w:color w:val="auto"/>
                <w:kern w:val="0"/>
                <w:szCs w:val="21"/>
              </w:rPr>
              <w:t>H</w:t>
            </w:r>
            <w:r>
              <w:rPr>
                <w:color w:val="auto"/>
                <w:kern w:val="0"/>
                <w:szCs w:val="21"/>
                <w:vertAlign w:val="subscript"/>
              </w:rPr>
              <w:t>2</w:t>
            </w:r>
            <w:r>
              <w:rPr>
                <w:color w:val="auto"/>
                <w:kern w:val="0"/>
                <w:szCs w:val="21"/>
              </w:rPr>
              <w:t>S</w:t>
            </w:r>
          </w:p>
        </w:tc>
        <w:tc>
          <w:tcPr>
            <w:tcW w:w="3861" w:type="dxa"/>
            <w:tcBorders>
              <w:tl2br w:val="nil"/>
              <w:tr2bl w:val="nil"/>
            </w:tcBorders>
            <w:vAlign w:val="center"/>
          </w:tcPr>
          <w:p w14:paraId="0BC573E1">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0.00759</w:t>
            </w:r>
          </w:p>
        </w:tc>
      </w:tr>
    </w:tbl>
    <w:p w14:paraId="4A2710B5">
      <w:pPr>
        <w:spacing w:line="360" w:lineRule="auto"/>
        <w:ind w:firstLine="480" w:firstLineChars="200"/>
        <w:rPr>
          <w:color w:val="auto"/>
          <w:sz w:val="24"/>
        </w:rPr>
      </w:pPr>
      <w:r>
        <w:rPr>
          <w:color w:val="auto"/>
          <w:sz w:val="24"/>
        </w:rPr>
        <w:t>（</w:t>
      </w:r>
      <w:r>
        <w:rPr>
          <w:rFonts w:hint="eastAsia"/>
          <w:color w:val="auto"/>
          <w:sz w:val="24"/>
        </w:rPr>
        <w:t>4</w:t>
      </w:r>
      <w:r>
        <w:rPr>
          <w:color w:val="auto"/>
          <w:sz w:val="24"/>
        </w:rPr>
        <w:t>）</w:t>
      </w:r>
      <w:r>
        <w:rPr>
          <w:rFonts w:hint="eastAsia"/>
          <w:color w:val="auto"/>
          <w:sz w:val="24"/>
        </w:rPr>
        <w:t>非正常</w:t>
      </w:r>
      <w:r>
        <w:rPr>
          <w:color w:val="auto"/>
          <w:sz w:val="24"/>
        </w:rPr>
        <w:t>排放量核算</w:t>
      </w:r>
    </w:p>
    <w:p w14:paraId="164185A2">
      <w:pPr>
        <w:jc w:val="center"/>
        <w:rPr>
          <w:b/>
          <w:color w:val="auto"/>
          <w:szCs w:val="21"/>
        </w:rPr>
      </w:pPr>
      <w:r>
        <w:rPr>
          <w:b/>
          <w:color w:val="auto"/>
          <w:szCs w:val="21"/>
        </w:rPr>
        <w:t>表5</w:t>
      </w:r>
      <w:r>
        <w:rPr>
          <w:rFonts w:hint="eastAsia"/>
          <w:b/>
          <w:color w:val="auto"/>
          <w:szCs w:val="21"/>
          <w:lang w:val="en-US" w:eastAsia="zh-CN"/>
        </w:rPr>
        <w:t>.2-12</w:t>
      </w:r>
      <w:r>
        <w:rPr>
          <w:b/>
          <w:color w:val="auto"/>
          <w:szCs w:val="21"/>
        </w:rPr>
        <w:t xml:space="preserve">    </w:t>
      </w:r>
      <w:r>
        <w:rPr>
          <w:rFonts w:hint="eastAsia"/>
          <w:b/>
          <w:color w:val="auto"/>
          <w:szCs w:val="21"/>
        </w:rPr>
        <w:t>污染源非正常</w:t>
      </w:r>
      <w:r>
        <w:rPr>
          <w:b/>
          <w:color w:val="auto"/>
          <w:szCs w:val="21"/>
        </w:rPr>
        <w:t>排放量核算表</w:t>
      </w:r>
    </w:p>
    <w:tbl>
      <w:tblPr>
        <w:tblStyle w:val="53"/>
        <w:tblW w:w="9218" w:type="dxa"/>
        <w:jc w:val="center"/>
        <w:tblBorders>
          <w:top w:val="double" w:color="auto" w:sz="4" w:space="0"/>
          <w:left w:val="none" w:color="auto" w:sz="0" w:space="0"/>
          <w:bottom w:val="double" w:color="auto" w:sz="4"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860"/>
        <w:gridCol w:w="1204"/>
        <w:gridCol w:w="1318"/>
        <w:gridCol w:w="874"/>
        <w:gridCol w:w="1101"/>
        <w:gridCol w:w="1240"/>
        <w:gridCol w:w="1384"/>
        <w:gridCol w:w="1237"/>
      </w:tblGrid>
      <w:tr w14:paraId="65EC1C83">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60" w:type="dxa"/>
            <w:tcBorders>
              <w:top w:val="double" w:color="auto" w:sz="4" w:space="0"/>
              <w:left w:val="nil"/>
              <w:bottom w:val="single" w:color="auto" w:sz="8" w:space="0"/>
              <w:right w:val="single" w:color="auto" w:sz="4" w:space="0"/>
            </w:tcBorders>
            <w:vAlign w:val="center"/>
          </w:tcPr>
          <w:p w14:paraId="1C9368FE">
            <w:pPr>
              <w:widowControl/>
              <w:adjustRightInd w:val="0"/>
              <w:snapToGrid w:val="0"/>
              <w:jc w:val="center"/>
              <w:rPr>
                <w:color w:val="auto"/>
                <w:kern w:val="0"/>
                <w:szCs w:val="21"/>
              </w:rPr>
            </w:pPr>
            <w:r>
              <w:rPr>
                <w:rFonts w:hint="eastAsia"/>
                <w:color w:val="auto"/>
                <w:kern w:val="0"/>
                <w:szCs w:val="21"/>
              </w:rPr>
              <w:t>污染源编号</w:t>
            </w:r>
          </w:p>
        </w:tc>
        <w:tc>
          <w:tcPr>
            <w:tcW w:w="1204" w:type="dxa"/>
            <w:tcBorders>
              <w:top w:val="double" w:color="auto" w:sz="4" w:space="0"/>
              <w:left w:val="single" w:color="auto" w:sz="4" w:space="0"/>
              <w:bottom w:val="single" w:color="auto" w:sz="8" w:space="0"/>
              <w:right w:val="single" w:color="auto" w:sz="8" w:space="0"/>
            </w:tcBorders>
            <w:vAlign w:val="center"/>
          </w:tcPr>
          <w:p w14:paraId="35A66DAE">
            <w:pPr>
              <w:widowControl/>
              <w:adjustRightInd w:val="0"/>
              <w:snapToGrid w:val="0"/>
              <w:jc w:val="center"/>
              <w:rPr>
                <w:color w:val="auto"/>
                <w:kern w:val="0"/>
                <w:szCs w:val="21"/>
              </w:rPr>
            </w:pPr>
            <w:r>
              <w:rPr>
                <w:rFonts w:hint="eastAsia"/>
                <w:color w:val="auto"/>
                <w:kern w:val="0"/>
                <w:szCs w:val="21"/>
              </w:rPr>
              <w:t>非正常排放源</w:t>
            </w:r>
          </w:p>
        </w:tc>
        <w:tc>
          <w:tcPr>
            <w:tcW w:w="1318" w:type="dxa"/>
            <w:tcBorders>
              <w:top w:val="double" w:color="auto" w:sz="4" w:space="0"/>
              <w:left w:val="single" w:color="auto" w:sz="8" w:space="0"/>
              <w:bottom w:val="single" w:color="auto" w:sz="8" w:space="0"/>
              <w:right w:val="single" w:color="auto" w:sz="4" w:space="0"/>
            </w:tcBorders>
            <w:vAlign w:val="center"/>
          </w:tcPr>
          <w:p w14:paraId="6682224C">
            <w:pPr>
              <w:widowControl/>
              <w:adjustRightInd w:val="0"/>
              <w:snapToGrid w:val="0"/>
              <w:jc w:val="center"/>
              <w:rPr>
                <w:color w:val="auto"/>
                <w:kern w:val="0"/>
                <w:szCs w:val="21"/>
              </w:rPr>
            </w:pPr>
            <w:r>
              <w:rPr>
                <w:rFonts w:hint="eastAsia"/>
                <w:color w:val="auto"/>
                <w:kern w:val="0"/>
                <w:szCs w:val="21"/>
              </w:rPr>
              <w:t>非正常排放原因</w:t>
            </w:r>
          </w:p>
        </w:tc>
        <w:tc>
          <w:tcPr>
            <w:tcW w:w="874" w:type="dxa"/>
            <w:tcBorders>
              <w:top w:val="double" w:color="auto" w:sz="4" w:space="0"/>
              <w:left w:val="single" w:color="auto" w:sz="4" w:space="0"/>
              <w:bottom w:val="single" w:color="auto" w:sz="8" w:space="0"/>
              <w:right w:val="single" w:color="auto" w:sz="4" w:space="0"/>
            </w:tcBorders>
            <w:vAlign w:val="center"/>
          </w:tcPr>
          <w:p w14:paraId="35F5DAC3">
            <w:pPr>
              <w:widowControl/>
              <w:adjustRightInd w:val="0"/>
              <w:snapToGrid w:val="0"/>
              <w:jc w:val="center"/>
              <w:rPr>
                <w:color w:val="auto"/>
                <w:kern w:val="0"/>
                <w:szCs w:val="21"/>
              </w:rPr>
            </w:pPr>
            <w:r>
              <w:rPr>
                <w:rFonts w:hint="eastAsia"/>
                <w:color w:val="auto"/>
                <w:kern w:val="0"/>
                <w:szCs w:val="21"/>
              </w:rPr>
              <w:t>污染物</w:t>
            </w:r>
          </w:p>
        </w:tc>
        <w:tc>
          <w:tcPr>
            <w:tcW w:w="1101" w:type="dxa"/>
            <w:tcBorders>
              <w:top w:val="double" w:color="auto" w:sz="4" w:space="0"/>
              <w:left w:val="single" w:color="auto" w:sz="4" w:space="0"/>
              <w:bottom w:val="single" w:color="auto" w:sz="8" w:space="0"/>
              <w:right w:val="single" w:color="auto" w:sz="8" w:space="0"/>
            </w:tcBorders>
            <w:vAlign w:val="center"/>
          </w:tcPr>
          <w:p w14:paraId="78DB4478">
            <w:pPr>
              <w:widowControl/>
              <w:adjustRightInd w:val="0"/>
              <w:snapToGrid w:val="0"/>
              <w:jc w:val="center"/>
              <w:rPr>
                <w:color w:val="auto"/>
                <w:kern w:val="0"/>
                <w:szCs w:val="21"/>
              </w:rPr>
            </w:pPr>
            <w:r>
              <w:rPr>
                <w:rFonts w:hint="eastAsia"/>
                <w:color w:val="auto"/>
                <w:kern w:val="0"/>
                <w:szCs w:val="21"/>
              </w:rPr>
              <w:t>非正常排放浓度（mg/m</w:t>
            </w:r>
            <w:r>
              <w:rPr>
                <w:rFonts w:hint="eastAsia"/>
                <w:color w:val="auto"/>
                <w:kern w:val="0"/>
                <w:szCs w:val="21"/>
                <w:vertAlign w:val="superscript"/>
              </w:rPr>
              <w:t>3</w:t>
            </w:r>
            <w:r>
              <w:rPr>
                <w:rFonts w:hint="eastAsia"/>
                <w:color w:val="auto"/>
                <w:kern w:val="0"/>
                <w:szCs w:val="21"/>
              </w:rPr>
              <w:t>）</w:t>
            </w:r>
          </w:p>
        </w:tc>
        <w:tc>
          <w:tcPr>
            <w:tcW w:w="1240" w:type="dxa"/>
            <w:tcBorders>
              <w:top w:val="double" w:color="auto" w:sz="4" w:space="0"/>
              <w:left w:val="single" w:color="auto" w:sz="8" w:space="0"/>
              <w:bottom w:val="single" w:color="auto" w:sz="8" w:space="0"/>
              <w:right w:val="single" w:color="auto" w:sz="4" w:space="0"/>
            </w:tcBorders>
            <w:vAlign w:val="center"/>
          </w:tcPr>
          <w:p w14:paraId="2CB64B4B">
            <w:pPr>
              <w:widowControl/>
              <w:adjustRightInd w:val="0"/>
              <w:snapToGrid w:val="0"/>
              <w:jc w:val="center"/>
              <w:rPr>
                <w:color w:val="auto"/>
                <w:kern w:val="0"/>
                <w:szCs w:val="21"/>
              </w:rPr>
            </w:pPr>
            <w:r>
              <w:rPr>
                <w:rFonts w:hint="eastAsia"/>
                <w:color w:val="auto"/>
                <w:kern w:val="0"/>
                <w:szCs w:val="21"/>
              </w:rPr>
              <w:t>非正常</w:t>
            </w:r>
            <w:r>
              <w:rPr>
                <w:color w:val="auto"/>
                <w:kern w:val="0"/>
                <w:szCs w:val="21"/>
              </w:rPr>
              <w:t>排放</w:t>
            </w:r>
            <w:r>
              <w:rPr>
                <w:rFonts w:hint="eastAsia"/>
                <w:color w:val="auto"/>
                <w:kern w:val="0"/>
                <w:szCs w:val="21"/>
              </w:rPr>
              <w:t>速率</w:t>
            </w:r>
            <w:r>
              <w:rPr>
                <w:color w:val="auto"/>
                <w:kern w:val="0"/>
                <w:szCs w:val="21"/>
              </w:rPr>
              <w:t>/（</w:t>
            </w:r>
            <w:r>
              <w:rPr>
                <w:rFonts w:hint="eastAsia"/>
                <w:color w:val="auto"/>
                <w:kern w:val="0"/>
                <w:szCs w:val="21"/>
              </w:rPr>
              <w:t>kg/h</w:t>
            </w:r>
            <w:r>
              <w:rPr>
                <w:color w:val="auto"/>
                <w:kern w:val="0"/>
                <w:szCs w:val="21"/>
              </w:rPr>
              <w:t>）</w:t>
            </w:r>
          </w:p>
        </w:tc>
        <w:tc>
          <w:tcPr>
            <w:tcW w:w="1384" w:type="dxa"/>
            <w:tcBorders>
              <w:top w:val="double" w:color="auto" w:sz="4" w:space="0"/>
              <w:left w:val="single" w:color="auto" w:sz="4" w:space="0"/>
              <w:bottom w:val="single" w:color="auto" w:sz="8" w:space="0"/>
              <w:right w:val="single" w:color="auto" w:sz="4" w:space="0"/>
            </w:tcBorders>
            <w:vAlign w:val="center"/>
          </w:tcPr>
          <w:p w14:paraId="28455666">
            <w:pPr>
              <w:widowControl/>
              <w:adjustRightInd w:val="0"/>
              <w:snapToGrid w:val="0"/>
              <w:jc w:val="center"/>
              <w:rPr>
                <w:color w:val="auto"/>
                <w:kern w:val="0"/>
                <w:szCs w:val="21"/>
              </w:rPr>
            </w:pPr>
            <w:r>
              <w:rPr>
                <w:rFonts w:hint="eastAsia"/>
                <w:color w:val="auto"/>
                <w:kern w:val="0"/>
                <w:szCs w:val="21"/>
              </w:rPr>
              <w:t>单次持续时间（h）</w:t>
            </w:r>
          </w:p>
        </w:tc>
        <w:tc>
          <w:tcPr>
            <w:tcW w:w="1237" w:type="dxa"/>
            <w:tcBorders>
              <w:top w:val="double" w:color="auto" w:sz="4" w:space="0"/>
              <w:left w:val="single" w:color="auto" w:sz="4" w:space="0"/>
              <w:bottom w:val="single" w:color="auto" w:sz="8" w:space="0"/>
              <w:right w:val="nil"/>
            </w:tcBorders>
            <w:vAlign w:val="center"/>
          </w:tcPr>
          <w:p w14:paraId="3D43883B">
            <w:pPr>
              <w:widowControl/>
              <w:adjustRightInd w:val="0"/>
              <w:snapToGrid w:val="0"/>
              <w:jc w:val="center"/>
              <w:rPr>
                <w:color w:val="auto"/>
                <w:kern w:val="0"/>
                <w:szCs w:val="21"/>
              </w:rPr>
            </w:pPr>
            <w:r>
              <w:rPr>
                <w:rFonts w:hint="eastAsia"/>
                <w:color w:val="auto"/>
                <w:kern w:val="0"/>
                <w:szCs w:val="21"/>
              </w:rPr>
              <w:t>年发生频次（次）</w:t>
            </w:r>
          </w:p>
        </w:tc>
      </w:tr>
      <w:tr w14:paraId="14316CA7">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60" w:type="dxa"/>
            <w:tcBorders>
              <w:top w:val="single" w:color="auto" w:sz="8" w:space="0"/>
              <w:left w:val="nil"/>
              <w:right w:val="single" w:color="auto" w:sz="4" w:space="0"/>
            </w:tcBorders>
            <w:vAlign w:val="center"/>
          </w:tcPr>
          <w:p w14:paraId="24F3D98B">
            <w:pPr>
              <w:jc w:val="center"/>
              <w:rPr>
                <w:rFonts w:hint="eastAsia" w:eastAsia="宋体"/>
                <w:bCs/>
                <w:color w:val="auto"/>
                <w:szCs w:val="21"/>
                <w:lang w:eastAsia="zh-CN"/>
              </w:rPr>
            </w:pPr>
            <w:r>
              <w:rPr>
                <w:rFonts w:hint="eastAsia" w:ascii="Times New Roman" w:hAnsi="Times New Roman" w:eastAsia="宋体"/>
                <w:color w:val="auto"/>
                <w:lang w:val="en-US" w:eastAsia="zh-CN"/>
              </w:rPr>
              <w:t>DA00</w:t>
            </w:r>
            <w:r>
              <w:rPr>
                <w:rFonts w:hint="eastAsia"/>
                <w:bCs/>
                <w:color w:val="auto"/>
                <w:szCs w:val="21"/>
                <w:lang w:val="en-US" w:eastAsia="zh-CN"/>
              </w:rPr>
              <w:t>1</w:t>
            </w:r>
          </w:p>
        </w:tc>
        <w:tc>
          <w:tcPr>
            <w:tcW w:w="1204" w:type="dxa"/>
            <w:tcBorders>
              <w:top w:val="single" w:color="auto" w:sz="8" w:space="0"/>
              <w:left w:val="single" w:color="auto" w:sz="4" w:space="0"/>
              <w:right w:val="single" w:color="auto" w:sz="8" w:space="0"/>
            </w:tcBorders>
            <w:vAlign w:val="center"/>
          </w:tcPr>
          <w:p w14:paraId="4616D1A5">
            <w:pPr>
              <w:jc w:val="center"/>
              <w:rPr>
                <w:rFonts w:hint="default" w:eastAsia="宋体"/>
                <w:bCs/>
                <w:color w:val="auto"/>
                <w:szCs w:val="21"/>
                <w:lang w:val="en-US" w:eastAsia="zh-CN"/>
              </w:rPr>
            </w:pPr>
            <w:r>
              <w:rPr>
                <w:rFonts w:hint="eastAsia"/>
                <w:bCs/>
                <w:color w:val="auto"/>
                <w:szCs w:val="21"/>
                <w:lang w:eastAsia="zh-CN"/>
              </w:rPr>
              <w:t>生物质锅炉</w:t>
            </w:r>
            <w:r>
              <w:rPr>
                <w:rFonts w:hint="eastAsia"/>
                <w:bCs/>
                <w:color w:val="auto"/>
                <w:szCs w:val="21"/>
                <w:lang w:val="en-US" w:eastAsia="zh-CN"/>
              </w:rPr>
              <w:t>1</w:t>
            </w:r>
          </w:p>
        </w:tc>
        <w:tc>
          <w:tcPr>
            <w:tcW w:w="1318" w:type="dxa"/>
            <w:vMerge w:val="restart"/>
            <w:tcBorders>
              <w:top w:val="single" w:color="auto" w:sz="8" w:space="0"/>
              <w:left w:val="single" w:color="auto" w:sz="8" w:space="0"/>
              <w:right w:val="single" w:color="auto" w:sz="4" w:space="0"/>
            </w:tcBorders>
            <w:vAlign w:val="center"/>
          </w:tcPr>
          <w:p w14:paraId="702B1982">
            <w:pPr>
              <w:tabs>
                <w:tab w:val="left" w:pos="4065"/>
                <w:tab w:val="left" w:pos="4875"/>
              </w:tabs>
              <w:autoSpaceDE w:val="0"/>
              <w:autoSpaceDN w:val="0"/>
              <w:adjustRightInd w:val="0"/>
              <w:jc w:val="center"/>
              <w:rPr>
                <w:color w:val="auto"/>
                <w:szCs w:val="21"/>
              </w:rPr>
            </w:pPr>
            <w:r>
              <w:rPr>
                <w:rFonts w:hint="eastAsia"/>
                <w:bCs/>
                <w:color w:val="auto"/>
                <w:szCs w:val="21"/>
              </w:rPr>
              <w:t>废气治理装置由于管理不善或引风机等机械发生故障，使处理装置不能正常工作而失效</w:t>
            </w:r>
          </w:p>
        </w:tc>
        <w:tc>
          <w:tcPr>
            <w:tcW w:w="874" w:type="dxa"/>
            <w:tcBorders>
              <w:top w:val="single" w:color="auto" w:sz="8" w:space="0"/>
              <w:left w:val="single" w:color="auto" w:sz="4" w:space="0"/>
              <w:bottom w:val="single" w:color="auto" w:sz="8" w:space="0"/>
              <w:right w:val="single" w:color="auto" w:sz="4" w:space="0"/>
            </w:tcBorders>
            <w:vAlign w:val="center"/>
          </w:tcPr>
          <w:p w14:paraId="18E82A16">
            <w:pPr>
              <w:tabs>
                <w:tab w:val="left" w:pos="4065"/>
                <w:tab w:val="left" w:pos="4875"/>
              </w:tabs>
              <w:autoSpaceDE w:val="0"/>
              <w:autoSpaceDN w:val="0"/>
              <w:adjustRightInd w:val="0"/>
              <w:jc w:val="center"/>
              <w:rPr>
                <w:rFonts w:hint="eastAsia" w:eastAsia="宋体"/>
                <w:color w:val="auto"/>
                <w:szCs w:val="21"/>
                <w:lang w:eastAsia="zh-CN"/>
              </w:rPr>
            </w:pPr>
            <w:r>
              <w:rPr>
                <w:rFonts w:hint="eastAsia"/>
                <w:color w:val="auto"/>
                <w:szCs w:val="21"/>
                <w:lang w:eastAsia="zh-CN"/>
              </w:rPr>
              <w:t>烟尘</w:t>
            </w:r>
          </w:p>
        </w:tc>
        <w:tc>
          <w:tcPr>
            <w:tcW w:w="1101" w:type="dxa"/>
            <w:tcBorders>
              <w:top w:val="single" w:color="auto" w:sz="8" w:space="0"/>
              <w:left w:val="single" w:color="auto" w:sz="4" w:space="0"/>
              <w:bottom w:val="single" w:color="auto" w:sz="8" w:space="0"/>
              <w:right w:val="single" w:color="auto" w:sz="8" w:space="0"/>
            </w:tcBorders>
            <w:vAlign w:val="center"/>
          </w:tcPr>
          <w:p w14:paraId="05CC53FE">
            <w:pPr>
              <w:pStyle w:val="434"/>
              <w:jc w:val="center"/>
              <w:rPr>
                <w:rFonts w:hint="default" w:eastAsia="宋体"/>
                <w:color w:val="auto"/>
                <w:sz w:val="21"/>
                <w:szCs w:val="21"/>
                <w:lang w:val="en-US" w:eastAsia="zh-CN"/>
              </w:rPr>
            </w:pPr>
            <w:r>
              <w:rPr>
                <w:rFonts w:hint="eastAsia"/>
                <w:color w:val="auto"/>
                <w:sz w:val="21"/>
                <w:szCs w:val="21"/>
                <w:lang w:val="en-US" w:eastAsia="zh-CN"/>
              </w:rPr>
              <w:t>65</w:t>
            </w:r>
          </w:p>
        </w:tc>
        <w:tc>
          <w:tcPr>
            <w:tcW w:w="1240" w:type="dxa"/>
            <w:tcBorders>
              <w:top w:val="single" w:color="auto" w:sz="8" w:space="0"/>
              <w:left w:val="single" w:color="auto" w:sz="8" w:space="0"/>
              <w:bottom w:val="single" w:color="auto" w:sz="8" w:space="0"/>
              <w:right w:val="single" w:color="auto" w:sz="4" w:space="0"/>
            </w:tcBorders>
            <w:vAlign w:val="center"/>
          </w:tcPr>
          <w:p w14:paraId="5CA5ECB8">
            <w:pPr>
              <w:autoSpaceDE w:val="0"/>
              <w:autoSpaceDN w:val="0"/>
              <w:adjustRightInd w:val="0"/>
              <w:jc w:val="center"/>
              <w:rPr>
                <w:rFonts w:hint="default" w:eastAsia="宋体"/>
                <w:bCs/>
                <w:color w:val="auto"/>
                <w:szCs w:val="21"/>
                <w:lang w:val="en-US" w:eastAsia="zh-CN"/>
              </w:rPr>
            </w:pPr>
            <w:r>
              <w:rPr>
                <w:rFonts w:hint="eastAsia"/>
                <w:bCs/>
                <w:color w:val="auto"/>
                <w:szCs w:val="21"/>
                <w:lang w:val="en-US" w:eastAsia="zh-CN"/>
              </w:rPr>
              <w:t>0.17</w:t>
            </w:r>
          </w:p>
        </w:tc>
        <w:tc>
          <w:tcPr>
            <w:tcW w:w="1384" w:type="dxa"/>
            <w:tcBorders>
              <w:top w:val="single" w:color="auto" w:sz="8" w:space="0"/>
              <w:left w:val="single" w:color="auto" w:sz="4" w:space="0"/>
              <w:bottom w:val="single" w:color="auto" w:sz="8" w:space="0"/>
              <w:right w:val="single" w:color="auto" w:sz="4" w:space="0"/>
            </w:tcBorders>
            <w:vAlign w:val="center"/>
          </w:tcPr>
          <w:p w14:paraId="6548D24A">
            <w:pPr>
              <w:tabs>
                <w:tab w:val="left" w:pos="4065"/>
                <w:tab w:val="left" w:pos="4875"/>
              </w:tabs>
              <w:autoSpaceDE w:val="0"/>
              <w:autoSpaceDN w:val="0"/>
              <w:adjustRightInd w:val="0"/>
              <w:jc w:val="center"/>
              <w:rPr>
                <w:color w:val="auto"/>
                <w:kern w:val="0"/>
                <w:szCs w:val="21"/>
              </w:rPr>
            </w:pPr>
            <w:r>
              <w:rPr>
                <w:rFonts w:hint="eastAsia"/>
                <w:color w:val="auto"/>
                <w:kern w:val="0"/>
                <w:szCs w:val="21"/>
              </w:rPr>
              <w:t>1</w:t>
            </w:r>
          </w:p>
        </w:tc>
        <w:tc>
          <w:tcPr>
            <w:tcW w:w="1237" w:type="dxa"/>
            <w:tcBorders>
              <w:top w:val="single" w:color="auto" w:sz="8" w:space="0"/>
              <w:left w:val="single" w:color="auto" w:sz="4" w:space="0"/>
              <w:bottom w:val="single" w:color="auto" w:sz="8" w:space="0"/>
              <w:right w:val="nil"/>
            </w:tcBorders>
            <w:vAlign w:val="center"/>
          </w:tcPr>
          <w:p w14:paraId="07C0ED49">
            <w:pPr>
              <w:tabs>
                <w:tab w:val="left" w:pos="4065"/>
                <w:tab w:val="left" w:pos="4875"/>
              </w:tabs>
              <w:autoSpaceDE w:val="0"/>
              <w:autoSpaceDN w:val="0"/>
              <w:adjustRightInd w:val="0"/>
              <w:jc w:val="center"/>
              <w:rPr>
                <w:color w:val="auto"/>
                <w:kern w:val="0"/>
                <w:szCs w:val="21"/>
              </w:rPr>
            </w:pPr>
            <w:r>
              <w:rPr>
                <w:rFonts w:hint="eastAsia"/>
                <w:color w:val="auto"/>
                <w:kern w:val="0"/>
                <w:szCs w:val="21"/>
              </w:rPr>
              <w:t>1</w:t>
            </w:r>
          </w:p>
        </w:tc>
      </w:tr>
      <w:tr w14:paraId="13D84F9D">
        <w:tblPrEx>
          <w:tblBorders>
            <w:top w:val="double" w:color="auto" w:sz="4" w:space="0"/>
            <w:left w:val="none" w:color="auto" w:sz="0" w:space="0"/>
            <w:bottom w:val="doub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60" w:type="dxa"/>
            <w:tcBorders>
              <w:top w:val="single" w:color="auto" w:sz="8" w:space="0"/>
              <w:left w:val="nil"/>
              <w:bottom w:val="double" w:color="auto" w:sz="4" w:space="0"/>
              <w:right w:val="single" w:color="auto" w:sz="4" w:space="0"/>
            </w:tcBorders>
            <w:vAlign w:val="center"/>
          </w:tcPr>
          <w:p w14:paraId="4EA0D7C3">
            <w:pPr>
              <w:jc w:val="center"/>
              <w:rPr>
                <w:rFonts w:hint="default" w:eastAsia="宋体"/>
                <w:bCs/>
                <w:color w:val="auto"/>
                <w:szCs w:val="21"/>
                <w:lang w:val="en-US" w:eastAsia="zh-CN"/>
              </w:rPr>
            </w:pPr>
            <w:r>
              <w:rPr>
                <w:rFonts w:hint="eastAsia" w:ascii="Times New Roman" w:hAnsi="Times New Roman" w:eastAsia="宋体"/>
                <w:color w:val="auto"/>
                <w:lang w:val="en-US" w:eastAsia="zh-CN"/>
              </w:rPr>
              <w:t>DA0</w:t>
            </w:r>
            <w:r>
              <w:rPr>
                <w:rFonts w:hint="eastAsia"/>
                <w:bCs/>
                <w:color w:val="auto"/>
                <w:szCs w:val="21"/>
                <w:lang w:val="en-US" w:eastAsia="zh-CN"/>
              </w:rPr>
              <w:t>02</w:t>
            </w:r>
          </w:p>
        </w:tc>
        <w:tc>
          <w:tcPr>
            <w:tcW w:w="1204" w:type="dxa"/>
            <w:tcBorders>
              <w:top w:val="single" w:color="auto" w:sz="8" w:space="0"/>
              <w:left w:val="single" w:color="auto" w:sz="4" w:space="0"/>
              <w:bottom w:val="double" w:color="auto" w:sz="4" w:space="0"/>
              <w:right w:val="single" w:color="auto" w:sz="8" w:space="0"/>
            </w:tcBorders>
            <w:vAlign w:val="center"/>
          </w:tcPr>
          <w:p w14:paraId="77147E4C">
            <w:pPr>
              <w:jc w:val="center"/>
              <w:rPr>
                <w:bCs/>
                <w:color w:val="auto"/>
                <w:szCs w:val="21"/>
              </w:rPr>
            </w:pPr>
            <w:r>
              <w:rPr>
                <w:rFonts w:hint="eastAsia"/>
                <w:bCs/>
                <w:color w:val="auto"/>
                <w:szCs w:val="21"/>
              </w:rPr>
              <w:t>食堂</w:t>
            </w:r>
          </w:p>
        </w:tc>
        <w:tc>
          <w:tcPr>
            <w:tcW w:w="1318" w:type="dxa"/>
            <w:vMerge w:val="continue"/>
            <w:tcBorders>
              <w:left w:val="single" w:color="auto" w:sz="8" w:space="0"/>
              <w:bottom w:val="double" w:color="auto" w:sz="4" w:space="0"/>
              <w:right w:val="single" w:color="auto" w:sz="4" w:space="0"/>
            </w:tcBorders>
            <w:vAlign w:val="center"/>
          </w:tcPr>
          <w:p w14:paraId="040299A7">
            <w:pPr>
              <w:tabs>
                <w:tab w:val="left" w:pos="4065"/>
                <w:tab w:val="left" w:pos="4875"/>
              </w:tabs>
              <w:autoSpaceDE w:val="0"/>
              <w:autoSpaceDN w:val="0"/>
              <w:adjustRightInd w:val="0"/>
              <w:jc w:val="center"/>
              <w:rPr>
                <w:color w:val="auto"/>
                <w:kern w:val="0"/>
                <w:szCs w:val="21"/>
              </w:rPr>
            </w:pPr>
          </w:p>
        </w:tc>
        <w:tc>
          <w:tcPr>
            <w:tcW w:w="874" w:type="dxa"/>
            <w:tcBorders>
              <w:top w:val="single" w:color="auto" w:sz="8" w:space="0"/>
              <w:left w:val="single" w:color="auto" w:sz="4" w:space="0"/>
              <w:bottom w:val="double" w:color="auto" w:sz="4" w:space="0"/>
              <w:right w:val="single" w:color="auto" w:sz="4" w:space="0"/>
            </w:tcBorders>
            <w:vAlign w:val="center"/>
          </w:tcPr>
          <w:p w14:paraId="1AC39381">
            <w:pPr>
              <w:tabs>
                <w:tab w:val="left" w:pos="4065"/>
                <w:tab w:val="left" w:pos="4875"/>
              </w:tabs>
              <w:autoSpaceDE w:val="0"/>
              <w:autoSpaceDN w:val="0"/>
              <w:adjustRightInd w:val="0"/>
              <w:jc w:val="center"/>
              <w:rPr>
                <w:color w:val="auto"/>
                <w:kern w:val="0"/>
                <w:szCs w:val="21"/>
              </w:rPr>
            </w:pPr>
            <w:r>
              <w:rPr>
                <w:color w:val="auto"/>
                <w:kern w:val="0"/>
                <w:szCs w:val="21"/>
              </w:rPr>
              <w:t>油烟</w:t>
            </w:r>
          </w:p>
        </w:tc>
        <w:tc>
          <w:tcPr>
            <w:tcW w:w="1101" w:type="dxa"/>
            <w:tcBorders>
              <w:top w:val="single" w:color="auto" w:sz="8" w:space="0"/>
              <w:left w:val="single" w:color="auto" w:sz="4" w:space="0"/>
              <w:bottom w:val="double" w:color="auto" w:sz="4" w:space="0"/>
              <w:right w:val="single" w:color="auto" w:sz="8" w:space="0"/>
            </w:tcBorders>
            <w:vAlign w:val="center"/>
          </w:tcPr>
          <w:p w14:paraId="33BFCB37">
            <w:pPr>
              <w:tabs>
                <w:tab w:val="left" w:pos="4065"/>
                <w:tab w:val="left" w:pos="4875"/>
              </w:tabs>
              <w:autoSpaceDE w:val="0"/>
              <w:autoSpaceDN w:val="0"/>
              <w:adjustRightInd w:val="0"/>
              <w:jc w:val="center"/>
              <w:rPr>
                <w:color w:val="auto"/>
                <w:kern w:val="0"/>
                <w:szCs w:val="21"/>
              </w:rPr>
            </w:pPr>
            <w:r>
              <w:rPr>
                <w:rFonts w:hint="eastAsia"/>
                <w:color w:val="auto"/>
                <w:kern w:val="0"/>
                <w:szCs w:val="21"/>
              </w:rPr>
              <w:t>3.75</w:t>
            </w:r>
          </w:p>
        </w:tc>
        <w:tc>
          <w:tcPr>
            <w:tcW w:w="1240" w:type="dxa"/>
            <w:tcBorders>
              <w:top w:val="single" w:color="auto" w:sz="8" w:space="0"/>
              <w:left w:val="single" w:color="auto" w:sz="8" w:space="0"/>
              <w:bottom w:val="double" w:color="auto" w:sz="4" w:space="0"/>
              <w:right w:val="single" w:color="auto" w:sz="4" w:space="0"/>
            </w:tcBorders>
            <w:vAlign w:val="center"/>
          </w:tcPr>
          <w:p w14:paraId="65869020">
            <w:pPr>
              <w:pStyle w:val="434"/>
              <w:jc w:val="center"/>
              <w:rPr>
                <w:color w:val="auto"/>
                <w:sz w:val="21"/>
                <w:szCs w:val="21"/>
              </w:rPr>
            </w:pPr>
            <w:r>
              <w:rPr>
                <w:rFonts w:hint="eastAsia"/>
                <w:color w:val="auto"/>
                <w:sz w:val="21"/>
                <w:szCs w:val="21"/>
              </w:rPr>
              <w:t>0.015</w:t>
            </w:r>
          </w:p>
        </w:tc>
        <w:tc>
          <w:tcPr>
            <w:tcW w:w="1384" w:type="dxa"/>
            <w:tcBorders>
              <w:top w:val="single" w:color="auto" w:sz="8" w:space="0"/>
              <w:left w:val="single" w:color="auto" w:sz="4" w:space="0"/>
              <w:bottom w:val="double" w:color="auto" w:sz="4" w:space="0"/>
              <w:right w:val="single" w:color="auto" w:sz="4" w:space="0"/>
            </w:tcBorders>
            <w:vAlign w:val="center"/>
          </w:tcPr>
          <w:p w14:paraId="2789EEC5">
            <w:pPr>
              <w:tabs>
                <w:tab w:val="left" w:pos="4065"/>
                <w:tab w:val="left" w:pos="4875"/>
              </w:tabs>
              <w:autoSpaceDE w:val="0"/>
              <w:autoSpaceDN w:val="0"/>
              <w:adjustRightInd w:val="0"/>
              <w:jc w:val="center"/>
              <w:rPr>
                <w:color w:val="auto"/>
                <w:szCs w:val="21"/>
              </w:rPr>
            </w:pPr>
            <w:r>
              <w:rPr>
                <w:rFonts w:hint="eastAsia"/>
                <w:color w:val="auto"/>
                <w:kern w:val="0"/>
                <w:szCs w:val="21"/>
              </w:rPr>
              <w:t>1</w:t>
            </w:r>
          </w:p>
        </w:tc>
        <w:tc>
          <w:tcPr>
            <w:tcW w:w="1237" w:type="dxa"/>
            <w:tcBorders>
              <w:top w:val="single" w:color="auto" w:sz="8" w:space="0"/>
              <w:left w:val="single" w:color="auto" w:sz="4" w:space="0"/>
              <w:bottom w:val="double" w:color="auto" w:sz="4" w:space="0"/>
              <w:right w:val="nil"/>
            </w:tcBorders>
            <w:vAlign w:val="center"/>
          </w:tcPr>
          <w:p w14:paraId="138E3B4C">
            <w:pPr>
              <w:tabs>
                <w:tab w:val="left" w:pos="4065"/>
                <w:tab w:val="left" w:pos="4875"/>
              </w:tabs>
              <w:autoSpaceDE w:val="0"/>
              <w:autoSpaceDN w:val="0"/>
              <w:adjustRightInd w:val="0"/>
              <w:jc w:val="center"/>
              <w:rPr>
                <w:color w:val="auto"/>
                <w:szCs w:val="21"/>
              </w:rPr>
            </w:pPr>
            <w:r>
              <w:rPr>
                <w:rFonts w:hint="eastAsia"/>
                <w:color w:val="auto"/>
                <w:kern w:val="0"/>
                <w:szCs w:val="21"/>
              </w:rPr>
              <w:t>1</w:t>
            </w:r>
          </w:p>
        </w:tc>
      </w:tr>
    </w:tbl>
    <w:p w14:paraId="5E037F6F">
      <w:pPr>
        <w:bidi w:val="0"/>
        <w:spacing w:line="360" w:lineRule="auto"/>
        <w:rPr>
          <w:rFonts w:hint="eastAsia"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5.2.1.7</w:t>
      </w:r>
      <w:r>
        <w:rPr>
          <w:rFonts w:hint="eastAsia" w:ascii="Times New Roman" w:hAnsi="Times New Roman" w:eastAsia="宋体" w:cs="Times New Roman"/>
          <w:b/>
          <w:bCs/>
          <w:color w:val="auto"/>
          <w:sz w:val="24"/>
          <w:szCs w:val="24"/>
          <w:lang w:val="en-US" w:eastAsia="zh-CN"/>
        </w:rPr>
        <w:t>恶臭环境影响分析</w:t>
      </w:r>
    </w:p>
    <w:p w14:paraId="1516C895">
      <w:pPr>
        <w:spacing w:line="360" w:lineRule="auto"/>
        <w:ind w:firstLine="480" w:firstLineChars="200"/>
        <w:rPr>
          <w:color w:val="auto"/>
          <w:sz w:val="24"/>
        </w:rPr>
      </w:pPr>
      <w:r>
        <w:rPr>
          <w:rFonts w:hint="eastAsia"/>
          <w:color w:val="auto"/>
          <w:sz w:val="24"/>
        </w:rPr>
        <w:t>（1）恶臭的产生</w:t>
      </w:r>
    </w:p>
    <w:p w14:paraId="2CA8D971">
      <w:pPr>
        <w:spacing w:line="360" w:lineRule="auto"/>
        <w:ind w:firstLine="480" w:firstLineChars="200"/>
        <w:rPr>
          <w:color w:val="auto"/>
          <w:sz w:val="24"/>
        </w:rPr>
      </w:pPr>
      <w:r>
        <w:rPr>
          <w:rFonts w:hint="eastAsia"/>
          <w:color w:val="auto"/>
          <w:sz w:val="24"/>
        </w:rPr>
        <w:t>随着畜牧业生产集约化程度的不断提高，养殖场的恶臭对大气污染已构成了社会公害，使人类生存环境下降，使畜禽生产力下降，对疫病的易感性提高或直接引起某些疾病，从而引起普遍关注。</w:t>
      </w:r>
    </w:p>
    <w:p w14:paraId="7D8BDC20">
      <w:pPr>
        <w:spacing w:line="360" w:lineRule="auto"/>
        <w:ind w:firstLine="480" w:firstLineChars="200"/>
        <w:rPr>
          <w:color w:val="auto"/>
          <w:sz w:val="24"/>
        </w:rPr>
      </w:pPr>
      <w:r>
        <w:rPr>
          <w:rFonts w:hint="eastAsia"/>
          <w:color w:val="auto"/>
          <w:sz w:val="24"/>
        </w:rPr>
        <w:t>养殖场恶臭来自鸡粪便、污水等腐败分解，鸡的新鲜粪便、消化道排出的气体，皮脂腺和汗腺的分泌物，粘附在体表的污染物等，呼出气等也会散发出难闻气味。但养殖场恶臭主要来源是鸡粪便排出体外之后的腐败分解。影响养殖区恶臭产生的主要因素是清粪方式、管理水平、粪便和污水的无害化处理程度。同时，也与场址规划和布局、畜舍设计、畜舍通风等有关。</w:t>
      </w:r>
    </w:p>
    <w:p w14:paraId="169C7E02">
      <w:pPr>
        <w:spacing w:line="360" w:lineRule="auto"/>
        <w:ind w:firstLine="480" w:firstLineChars="200"/>
        <w:rPr>
          <w:color w:val="auto"/>
          <w:sz w:val="24"/>
        </w:rPr>
      </w:pPr>
      <w:r>
        <w:rPr>
          <w:rFonts w:hint="eastAsia"/>
          <w:color w:val="auto"/>
          <w:sz w:val="24"/>
        </w:rPr>
        <w:t>根据有关文献，引起养殖场恶臭的物质经鉴定有220种以上化合物。包括多种挥发性有机酸类（Acid）、醇类（Alcohls）、酚类（Phenols）、酮类（Kelones）、酯类（Esters）、 胺类（Amines）、硫醇类（Mercaptans）以及含氮杂环类物质。其中主要有三大类化合物：挥发性脂肪酸、酚类化合物，吲哚。养殖场中的恶臭是由许多单一的臭气物质复合作用生成的。其中对环境危害最大的恶臭物质是NH</w:t>
      </w:r>
      <w:r>
        <w:rPr>
          <w:rFonts w:hint="eastAsia"/>
          <w:color w:val="auto"/>
          <w:sz w:val="24"/>
          <w:vertAlign w:val="subscript"/>
        </w:rPr>
        <w:t>3</w:t>
      </w:r>
      <w:r>
        <w:rPr>
          <w:rFonts w:hint="eastAsia"/>
          <w:color w:val="auto"/>
          <w:sz w:val="24"/>
        </w:rPr>
        <w:t>和H</w:t>
      </w:r>
      <w:r>
        <w:rPr>
          <w:rFonts w:hint="eastAsia"/>
          <w:color w:val="auto"/>
          <w:sz w:val="24"/>
          <w:vertAlign w:val="subscript"/>
        </w:rPr>
        <w:t>2</w:t>
      </w:r>
      <w:r>
        <w:rPr>
          <w:rFonts w:hint="eastAsia"/>
          <w:color w:val="auto"/>
          <w:sz w:val="24"/>
        </w:rPr>
        <w:t>S。</w:t>
      </w:r>
    </w:p>
    <w:p w14:paraId="568A419F">
      <w:pPr>
        <w:spacing w:line="360" w:lineRule="auto"/>
        <w:ind w:firstLine="480" w:firstLineChars="200"/>
        <w:rPr>
          <w:color w:val="auto"/>
          <w:sz w:val="24"/>
        </w:rPr>
      </w:pPr>
      <w:r>
        <w:rPr>
          <w:rFonts w:hint="eastAsia"/>
          <w:color w:val="auto"/>
          <w:sz w:val="24"/>
        </w:rPr>
        <w:t>氨为无色气体，具有刺激性臭气，比空气轻，易溶于水。氨能刺激黏膜，引起黏膜充血，喉头水肿，氨吸入呼吸系统后，可引起上部呼吸道黏膜充血、支气管炎，严重者可引起肺水肿、肺出血等。低浓度的氨可刺激三叉神经末稍，引起呼吸中枢的反射性兴奋。吸入肺部的氨，可通过肺泡上皮组织进入血液，引起血管中枢神经的反应，并与血红蛋白结合，置换氧基，破坏血液的运氧功能。如果短期吸入少量的氨，可被体液吸收，变成尿素排出体外。而高浓度的氨，可直接刺激肌体组织，引起中枢神经系统麻痹、中毒性肝病、心肌损伤等症。空气中如含有47.5mg/m</w:t>
      </w:r>
      <w:r>
        <w:rPr>
          <w:rFonts w:hint="eastAsia"/>
          <w:color w:val="auto"/>
          <w:sz w:val="24"/>
          <w:vertAlign w:val="superscript"/>
        </w:rPr>
        <w:t>3</w:t>
      </w:r>
      <w:r>
        <w:rPr>
          <w:rFonts w:hint="eastAsia"/>
          <w:color w:val="auto"/>
          <w:sz w:val="24"/>
        </w:rPr>
        <w:t>的氨，可使鸡的增重滞缓；75～150mg/m</w:t>
      </w:r>
      <w:r>
        <w:rPr>
          <w:rFonts w:hint="eastAsia"/>
          <w:color w:val="auto"/>
          <w:sz w:val="24"/>
          <w:vertAlign w:val="superscript"/>
        </w:rPr>
        <w:t>3</w:t>
      </w:r>
      <w:r>
        <w:rPr>
          <w:rFonts w:hint="eastAsia"/>
          <w:color w:val="auto"/>
          <w:sz w:val="24"/>
        </w:rPr>
        <w:t>时可引起鸡摇头、流涎、喷嚏、丧失食欲。</w:t>
      </w:r>
    </w:p>
    <w:p w14:paraId="4539A5C8">
      <w:pPr>
        <w:spacing w:line="360" w:lineRule="auto"/>
        <w:ind w:firstLine="480" w:firstLineChars="200"/>
        <w:rPr>
          <w:color w:val="auto"/>
          <w:sz w:val="24"/>
        </w:rPr>
      </w:pPr>
      <w:r>
        <w:rPr>
          <w:rFonts w:hint="eastAsia"/>
          <w:color w:val="auto"/>
          <w:sz w:val="24"/>
        </w:rPr>
        <w:t>硫化氢是一种无色、易挥发的恶臭气体，比空气重，易溶于水。硫化氢的危害主要是刺激人的黏膜，当硫化氢接触到动物黏膜上的水分时，很快溶解并与黏液中的钠离子结合生成硫化钠，对黏膜产生刺激作用，引起结膜炎，表现流泪、角膜混浊、畏光等症状，同时引起鼻炎、气管炎、咽喉灼伤，以至肺水肿。人若经常吸入低浓度的硫化氢，可出现植物性神经紊乱，偶然发生多发性神经炎。硫化氢在肺泡内很快被吸收进入血液内，氧化成硫酸盐或硫代硫酸盐等；游离在血液中的硫化氢，能和氧化型细胞色素氧化酶中的三价铁结合，使酶失去活性，以致影响细胞的氧化过程，造成组织缺氧。长期处于低浓度的硫化氢的环境中，牲畜体质变弱，抗病能力下降，易发生肠胃病、心脏衰弱等；高浓度的硫化氢可直接抵制呼吸中枢，引起窒息或死亡。硫化氢浓度为30mg/m</w:t>
      </w:r>
      <w:r>
        <w:rPr>
          <w:rFonts w:hint="eastAsia"/>
          <w:color w:val="auto"/>
          <w:sz w:val="24"/>
          <w:vertAlign w:val="superscript"/>
        </w:rPr>
        <w:t>3</w:t>
      </w:r>
      <w:r>
        <w:rPr>
          <w:rFonts w:hint="eastAsia"/>
          <w:color w:val="auto"/>
          <w:sz w:val="24"/>
        </w:rPr>
        <w:t>时，鸡变得畏光、丧失 食欲、神经质；75～300mg/m</w:t>
      </w:r>
      <w:r>
        <w:rPr>
          <w:rFonts w:hint="eastAsia"/>
          <w:color w:val="auto"/>
          <w:sz w:val="24"/>
          <w:vertAlign w:val="superscript"/>
        </w:rPr>
        <w:t>3</w:t>
      </w:r>
      <w:r>
        <w:rPr>
          <w:rFonts w:hint="eastAsia"/>
          <w:color w:val="auto"/>
          <w:sz w:val="24"/>
        </w:rPr>
        <w:t>时，鸡会突然呕吐，失去知觉，最后因呼吸中枢和血管运动中枢麻痹而死亡。硫化氢对人类的危害也相当大，低浓度时即可引起慢性中毒，高浓度（大于900mg/m</w:t>
      </w:r>
      <w:r>
        <w:rPr>
          <w:rFonts w:hint="eastAsia"/>
          <w:color w:val="auto"/>
          <w:sz w:val="24"/>
          <w:vertAlign w:val="superscript"/>
        </w:rPr>
        <w:t>3</w:t>
      </w:r>
      <w:r>
        <w:rPr>
          <w:rFonts w:hint="eastAsia"/>
          <w:color w:val="auto"/>
          <w:sz w:val="24"/>
        </w:rPr>
        <w:t>）时，可直接抵制呼吸中枢，引起窒息死亡。</w:t>
      </w:r>
    </w:p>
    <w:p w14:paraId="42363459">
      <w:pPr>
        <w:spacing w:line="360" w:lineRule="auto"/>
        <w:ind w:firstLine="480" w:firstLineChars="200"/>
        <w:rPr>
          <w:color w:val="auto"/>
          <w:sz w:val="24"/>
        </w:rPr>
      </w:pPr>
      <w:r>
        <w:rPr>
          <w:rFonts w:hint="eastAsia"/>
          <w:color w:val="auto"/>
          <w:sz w:val="24"/>
        </w:rPr>
        <w:t>恶臭气体的性质见表5</w:t>
      </w:r>
      <w:r>
        <w:rPr>
          <w:rFonts w:hint="eastAsia"/>
          <w:color w:val="auto"/>
          <w:sz w:val="24"/>
          <w:lang w:val="en-US" w:eastAsia="zh-CN"/>
        </w:rPr>
        <w:t>.2-13</w:t>
      </w:r>
      <w:r>
        <w:rPr>
          <w:rFonts w:hint="eastAsia"/>
          <w:color w:val="auto"/>
          <w:sz w:val="24"/>
        </w:rPr>
        <w:t>。</w:t>
      </w:r>
    </w:p>
    <w:p w14:paraId="307E8F5E">
      <w:pPr>
        <w:ind w:firstLine="422" w:firstLineChars="200"/>
        <w:jc w:val="center"/>
        <w:rPr>
          <w:b/>
          <w:color w:val="auto"/>
          <w:szCs w:val="21"/>
        </w:rPr>
      </w:pPr>
      <w:r>
        <w:rPr>
          <w:b/>
          <w:color w:val="auto"/>
          <w:szCs w:val="21"/>
        </w:rPr>
        <w:t>表</w:t>
      </w:r>
      <w:r>
        <w:rPr>
          <w:rFonts w:hint="eastAsia"/>
          <w:b/>
          <w:color w:val="auto"/>
          <w:szCs w:val="21"/>
        </w:rPr>
        <w:t>5</w:t>
      </w:r>
      <w:r>
        <w:rPr>
          <w:rFonts w:hint="eastAsia"/>
          <w:b/>
          <w:color w:val="auto"/>
          <w:szCs w:val="21"/>
          <w:lang w:val="en-US" w:eastAsia="zh-CN"/>
        </w:rPr>
        <w:t>.2-13</w:t>
      </w:r>
      <w:r>
        <w:rPr>
          <w:rFonts w:hint="eastAsia"/>
          <w:b/>
          <w:color w:val="auto"/>
          <w:szCs w:val="21"/>
        </w:rPr>
        <w:t xml:space="preserve">  </w:t>
      </w:r>
      <w:r>
        <w:rPr>
          <w:b/>
          <w:color w:val="auto"/>
          <w:szCs w:val="21"/>
        </w:rPr>
        <w:t xml:space="preserve">  恶臭物质理化特征</w:t>
      </w:r>
    </w:p>
    <w:tbl>
      <w:tblPr>
        <w:tblStyle w:val="53"/>
        <w:tblW w:w="4998" w:type="pct"/>
        <w:tblInd w:w="0" w:type="dxa"/>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687"/>
        <w:gridCol w:w="1732"/>
        <w:gridCol w:w="1728"/>
        <w:gridCol w:w="1689"/>
        <w:gridCol w:w="1689"/>
      </w:tblGrid>
      <w:tr w14:paraId="4525ADC0">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89" w:type="pct"/>
            <w:vAlign w:val="center"/>
          </w:tcPr>
          <w:p w14:paraId="0F60A0F9">
            <w:pPr>
              <w:spacing w:line="320" w:lineRule="exact"/>
              <w:jc w:val="center"/>
              <w:rPr>
                <w:b/>
                <w:color w:val="auto"/>
                <w:szCs w:val="21"/>
              </w:rPr>
            </w:pPr>
            <w:r>
              <w:rPr>
                <w:b/>
                <w:color w:val="auto"/>
                <w:szCs w:val="21"/>
              </w:rPr>
              <w:t>恶臭物质</w:t>
            </w:r>
          </w:p>
        </w:tc>
        <w:tc>
          <w:tcPr>
            <w:tcW w:w="1015" w:type="pct"/>
            <w:vAlign w:val="center"/>
          </w:tcPr>
          <w:p w14:paraId="71D30267">
            <w:pPr>
              <w:spacing w:line="320" w:lineRule="exact"/>
              <w:jc w:val="center"/>
              <w:rPr>
                <w:b/>
                <w:color w:val="auto"/>
                <w:szCs w:val="21"/>
              </w:rPr>
            </w:pPr>
            <w:r>
              <w:rPr>
                <w:b/>
                <w:color w:val="auto"/>
                <w:szCs w:val="21"/>
              </w:rPr>
              <w:t>分子式</w:t>
            </w:r>
          </w:p>
        </w:tc>
        <w:tc>
          <w:tcPr>
            <w:tcW w:w="1013" w:type="pct"/>
            <w:vAlign w:val="center"/>
          </w:tcPr>
          <w:p w14:paraId="5967FF98">
            <w:pPr>
              <w:spacing w:line="320" w:lineRule="exact"/>
              <w:jc w:val="center"/>
              <w:rPr>
                <w:b/>
                <w:color w:val="auto"/>
                <w:szCs w:val="21"/>
              </w:rPr>
            </w:pPr>
            <w:r>
              <w:rPr>
                <w:b/>
                <w:color w:val="auto"/>
                <w:szCs w:val="21"/>
              </w:rPr>
              <w:t xml:space="preserve">嗅阀值(ppm) </w:t>
            </w:r>
          </w:p>
        </w:tc>
        <w:tc>
          <w:tcPr>
            <w:tcW w:w="990" w:type="pct"/>
            <w:vAlign w:val="center"/>
          </w:tcPr>
          <w:p w14:paraId="6CFB0133">
            <w:pPr>
              <w:spacing w:line="320" w:lineRule="exact"/>
              <w:jc w:val="center"/>
              <w:rPr>
                <w:b/>
                <w:color w:val="auto"/>
                <w:szCs w:val="21"/>
              </w:rPr>
            </w:pPr>
            <w:r>
              <w:rPr>
                <w:b/>
                <w:color w:val="auto"/>
                <w:szCs w:val="21"/>
              </w:rPr>
              <w:t>嗅阀值</w:t>
            </w:r>
            <w:r>
              <w:rPr>
                <w:rFonts w:hint="eastAsia"/>
                <w:b/>
                <w:color w:val="auto"/>
                <w:szCs w:val="21"/>
              </w:rPr>
              <w:t>（mg/m</w:t>
            </w:r>
            <w:r>
              <w:rPr>
                <w:rFonts w:hint="eastAsia"/>
                <w:b/>
                <w:color w:val="auto"/>
                <w:szCs w:val="21"/>
                <w:vertAlign w:val="superscript"/>
              </w:rPr>
              <w:t>3</w:t>
            </w:r>
            <w:r>
              <w:rPr>
                <w:rFonts w:hint="eastAsia"/>
                <w:b/>
                <w:color w:val="auto"/>
                <w:szCs w:val="21"/>
              </w:rPr>
              <w:t>）</w:t>
            </w:r>
          </w:p>
        </w:tc>
        <w:tc>
          <w:tcPr>
            <w:tcW w:w="990" w:type="pct"/>
            <w:vAlign w:val="center"/>
          </w:tcPr>
          <w:p w14:paraId="7D126217">
            <w:pPr>
              <w:spacing w:line="320" w:lineRule="exact"/>
              <w:jc w:val="center"/>
              <w:rPr>
                <w:b/>
                <w:color w:val="auto"/>
                <w:szCs w:val="21"/>
              </w:rPr>
            </w:pPr>
            <w:r>
              <w:rPr>
                <w:b/>
                <w:color w:val="auto"/>
                <w:szCs w:val="21"/>
              </w:rPr>
              <w:t>臭气特征</w:t>
            </w:r>
          </w:p>
        </w:tc>
      </w:tr>
      <w:tr w14:paraId="47B07567">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89" w:type="pct"/>
            <w:vAlign w:val="center"/>
          </w:tcPr>
          <w:p w14:paraId="39D620B3">
            <w:pPr>
              <w:spacing w:line="320" w:lineRule="exact"/>
              <w:jc w:val="center"/>
              <w:rPr>
                <w:color w:val="auto"/>
                <w:szCs w:val="21"/>
              </w:rPr>
            </w:pPr>
            <w:r>
              <w:rPr>
                <w:color w:val="auto"/>
                <w:szCs w:val="21"/>
              </w:rPr>
              <w:t>氨</w:t>
            </w:r>
          </w:p>
        </w:tc>
        <w:tc>
          <w:tcPr>
            <w:tcW w:w="1015" w:type="pct"/>
            <w:vAlign w:val="center"/>
          </w:tcPr>
          <w:p w14:paraId="2FA124C4">
            <w:pPr>
              <w:spacing w:line="320" w:lineRule="exact"/>
              <w:jc w:val="center"/>
              <w:rPr>
                <w:color w:val="auto"/>
                <w:szCs w:val="21"/>
              </w:rPr>
            </w:pPr>
            <w:r>
              <w:rPr>
                <w:color w:val="auto"/>
                <w:szCs w:val="21"/>
              </w:rPr>
              <w:t>NH</w:t>
            </w:r>
            <w:r>
              <w:rPr>
                <w:color w:val="auto"/>
                <w:szCs w:val="21"/>
                <w:vertAlign w:val="subscript"/>
              </w:rPr>
              <w:t>3</w:t>
            </w:r>
          </w:p>
        </w:tc>
        <w:tc>
          <w:tcPr>
            <w:tcW w:w="1013" w:type="pct"/>
            <w:vAlign w:val="center"/>
          </w:tcPr>
          <w:p w14:paraId="1E62369B">
            <w:pPr>
              <w:spacing w:line="320" w:lineRule="exact"/>
              <w:jc w:val="center"/>
              <w:rPr>
                <w:color w:val="auto"/>
                <w:szCs w:val="21"/>
              </w:rPr>
            </w:pPr>
            <w:r>
              <w:rPr>
                <w:rFonts w:hint="eastAsia"/>
                <w:color w:val="auto"/>
                <w:szCs w:val="21"/>
              </w:rPr>
              <w:t>0.1</w:t>
            </w:r>
          </w:p>
        </w:tc>
        <w:tc>
          <w:tcPr>
            <w:tcW w:w="990" w:type="pct"/>
            <w:vAlign w:val="center"/>
          </w:tcPr>
          <w:p w14:paraId="44F577B3">
            <w:pPr>
              <w:spacing w:line="320" w:lineRule="exact"/>
              <w:jc w:val="center"/>
              <w:rPr>
                <w:color w:val="auto"/>
                <w:szCs w:val="21"/>
              </w:rPr>
            </w:pPr>
            <w:r>
              <w:rPr>
                <w:rFonts w:hint="eastAsia"/>
                <w:color w:val="auto"/>
                <w:szCs w:val="21"/>
              </w:rPr>
              <w:t>0.15</w:t>
            </w:r>
          </w:p>
        </w:tc>
        <w:tc>
          <w:tcPr>
            <w:tcW w:w="990" w:type="pct"/>
            <w:vAlign w:val="center"/>
          </w:tcPr>
          <w:p w14:paraId="07E3F212">
            <w:pPr>
              <w:spacing w:line="320" w:lineRule="exact"/>
              <w:jc w:val="center"/>
              <w:rPr>
                <w:color w:val="auto"/>
                <w:szCs w:val="21"/>
              </w:rPr>
            </w:pPr>
            <w:r>
              <w:rPr>
                <w:color w:val="auto"/>
                <w:szCs w:val="21"/>
              </w:rPr>
              <w:t>刺激味</w:t>
            </w:r>
          </w:p>
        </w:tc>
      </w:tr>
      <w:tr w14:paraId="0F03B4C8">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989" w:type="pct"/>
            <w:vAlign w:val="center"/>
          </w:tcPr>
          <w:p w14:paraId="2F9E4A8D">
            <w:pPr>
              <w:spacing w:line="320" w:lineRule="exact"/>
              <w:jc w:val="center"/>
              <w:rPr>
                <w:color w:val="auto"/>
                <w:szCs w:val="21"/>
              </w:rPr>
            </w:pPr>
            <w:r>
              <w:rPr>
                <w:color w:val="auto"/>
                <w:szCs w:val="21"/>
              </w:rPr>
              <w:t>硫化氢</w:t>
            </w:r>
          </w:p>
        </w:tc>
        <w:tc>
          <w:tcPr>
            <w:tcW w:w="1015" w:type="pct"/>
            <w:vAlign w:val="center"/>
          </w:tcPr>
          <w:p w14:paraId="5DA7BD29">
            <w:pPr>
              <w:spacing w:line="320" w:lineRule="exact"/>
              <w:jc w:val="center"/>
              <w:rPr>
                <w:color w:val="auto"/>
                <w:szCs w:val="21"/>
              </w:rPr>
            </w:pPr>
            <w:r>
              <w:rPr>
                <w:color w:val="auto"/>
                <w:szCs w:val="21"/>
              </w:rPr>
              <w:t>H</w:t>
            </w:r>
            <w:r>
              <w:rPr>
                <w:color w:val="auto"/>
                <w:szCs w:val="21"/>
                <w:vertAlign w:val="subscript"/>
              </w:rPr>
              <w:t>2</w:t>
            </w:r>
            <w:r>
              <w:rPr>
                <w:color w:val="auto"/>
                <w:szCs w:val="21"/>
              </w:rPr>
              <w:t>S</w:t>
            </w:r>
          </w:p>
        </w:tc>
        <w:tc>
          <w:tcPr>
            <w:tcW w:w="1013" w:type="pct"/>
            <w:vAlign w:val="center"/>
          </w:tcPr>
          <w:p w14:paraId="614233D8">
            <w:pPr>
              <w:spacing w:line="320" w:lineRule="exact"/>
              <w:jc w:val="center"/>
              <w:rPr>
                <w:color w:val="auto"/>
                <w:szCs w:val="21"/>
              </w:rPr>
            </w:pPr>
            <w:r>
              <w:rPr>
                <w:rFonts w:hint="eastAsia"/>
                <w:color w:val="auto"/>
                <w:szCs w:val="21"/>
              </w:rPr>
              <w:t>0.0005</w:t>
            </w:r>
          </w:p>
        </w:tc>
        <w:tc>
          <w:tcPr>
            <w:tcW w:w="990" w:type="pct"/>
            <w:vAlign w:val="center"/>
          </w:tcPr>
          <w:p w14:paraId="39F56D49">
            <w:pPr>
              <w:spacing w:line="320" w:lineRule="exact"/>
              <w:jc w:val="center"/>
              <w:rPr>
                <w:color w:val="auto"/>
                <w:szCs w:val="21"/>
              </w:rPr>
            </w:pPr>
            <w:r>
              <w:rPr>
                <w:rFonts w:hint="eastAsia"/>
                <w:color w:val="auto"/>
                <w:szCs w:val="21"/>
              </w:rPr>
              <w:t>0.00076</w:t>
            </w:r>
          </w:p>
        </w:tc>
        <w:tc>
          <w:tcPr>
            <w:tcW w:w="990" w:type="pct"/>
            <w:vAlign w:val="center"/>
          </w:tcPr>
          <w:p w14:paraId="33A188A2">
            <w:pPr>
              <w:spacing w:line="320" w:lineRule="exact"/>
              <w:jc w:val="center"/>
              <w:rPr>
                <w:color w:val="auto"/>
                <w:szCs w:val="21"/>
              </w:rPr>
            </w:pPr>
            <w:r>
              <w:rPr>
                <w:color w:val="auto"/>
                <w:szCs w:val="21"/>
              </w:rPr>
              <w:t>臭蛋味</w:t>
            </w:r>
          </w:p>
        </w:tc>
      </w:tr>
    </w:tbl>
    <w:p w14:paraId="3F1D9BF3">
      <w:pPr>
        <w:spacing w:line="360" w:lineRule="auto"/>
        <w:ind w:firstLine="480" w:firstLineChars="200"/>
        <w:rPr>
          <w:color w:val="auto"/>
          <w:sz w:val="24"/>
        </w:rPr>
      </w:pPr>
      <w:r>
        <w:rPr>
          <w:rFonts w:hint="eastAsia"/>
          <w:color w:val="auto"/>
          <w:sz w:val="24"/>
        </w:rPr>
        <w:t>（2）恶臭影响分析</w:t>
      </w:r>
    </w:p>
    <w:p w14:paraId="47FC7420">
      <w:pPr>
        <w:spacing w:line="360" w:lineRule="auto"/>
        <w:ind w:firstLine="480" w:firstLineChars="200"/>
        <w:rPr>
          <w:color w:val="auto"/>
          <w:sz w:val="24"/>
        </w:rPr>
      </w:pPr>
      <w:r>
        <w:rPr>
          <w:rFonts w:hint="eastAsia"/>
          <w:color w:val="auto"/>
          <w:sz w:val="24"/>
        </w:rPr>
        <w:t>在国际上，通常根据嗅觉判别标准，将臭气强度划分为6级，见表5</w:t>
      </w:r>
      <w:r>
        <w:rPr>
          <w:rFonts w:hint="eastAsia"/>
          <w:color w:val="auto"/>
          <w:sz w:val="24"/>
          <w:lang w:val="en-US" w:eastAsia="zh-CN"/>
        </w:rPr>
        <w:t>.2-14</w:t>
      </w:r>
      <w:r>
        <w:rPr>
          <w:rFonts w:hint="eastAsia"/>
          <w:color w:val="auto"/>
          <w:sz w:val="24"/>
        </w:rPr>
        <w:t>。</w:t>
      </w:r>
    </w:p>
    <w:p w14:paraId="6BBC0B7A">
      <w:pPr>
        <w:ind w:firstLine="422" w:firstLineChars="200"/>
        <w:jc w:val="center"/>
        <w:rPr>
          <w:b/>
          <w:color w:val="auto"/>
          <w:szCs w:val="21"/>
        </w:rPr>
      </w:pPr>
      <w:r>
        <w:rPr>
          <w:b/>
          <w:color w:val="auto"/>
          <w:szCs w:val="21"/>
        </w:rPr>
        <w:t>表</w:t>
      </w:r>
      <w:r>
        <w:rPr>
          <w:rFonts w:hint="eastAsia"/>
          <w:b/>
          <w:color w:val="auto"/>
          <w:szCs w:val="21"/>
        </w:rPr>
        <w:t>5</w:t>
      </w:r>
      <w:r>
        <w:rPr>
          <w:rFonts w:hint="eastAsia"/>
          <w:b/>
          <w:color w:val="auto"/>
          <w:szCs w:val="21"/>
          <w:lang w:val="en-US" w:eastAsia="zh-CN"/>
        </w:rPr>
        <w:t>.2-14</w:t>
      </w:r>
      <w:r>
        <w:rPr>
          <w:rFonts w:hint="eastAsia"/>
          <w:b/>
          <w:color w:val="auto"/>
          <w:szCs w:val="21"/>
        </w:rPr>
        <w:t xml:space="preserve">   </w:t>
      </w:r>
      <w:r>
        <w:rPr>
          <w:b/>
          <w:color w:val="auto"/>
          <w:szCs w:val="21"/>
        </w:rPr>
        <w:t xml:space="preserve">  恶臭物质理化特征</w:t>
      </w:r>
    </w:p>
    <w:tbl>
      <w:tblPr>
        <w:tblStyle w:val="53"/>
        <w:tblW w:w="4996" w:type="pct"/>
        <w:tblInd w:w="0" w:type="dxa"/>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084"/>
        <w:gridCol w:w="381"/>
        <w:gridCol w:w="1922"/>
        <w:gridCol w:w="1738"/>
        <w:gridCol w:w="1587"/>
        <w:gridCol w:w="593"/>
        <w:gridCol w:w="1217"/>
      </w:tblGrid>
      <w:tr w14:paraId="4011BDC6">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36" w:type="pct"/>
            <w:vAlign w:val="center"/>
          </w:tcPr>
          <w:p w14:paraId="3C93C716">
            <w:pPr>
              <w:spacing w:line="320" w:lineRule="exact"/>
              <w:ind w:left="-105" w:leftChars="-50" w:right="-105" w:rightChars="-50"/>
              <w:jc w:val="center"/>
              <w:rPr>
                <w:b/>
                <w:color w:val="auto"/>
                <w:szCs w:val="21"/>
              </w:rPr>
            </w:pPr>
            <w:r>
              <w:rPr>
                <w:rFonts w:hint="eastAsia"/>
                <w:b/>
                <w:color w:val="auto"/>
                <w:szCs w:val="21"/>
              </w:rPr>
              <w:t>强度等级</w:t>
            </w:r>
          </w:p>
        </w:tc>
        <w:tc>
          <w:tcPr>
            <w:tcW w:w="223" w:type="pct"/>
            <w:vAlign w:val="center"/>
          </w:tcPr>
          <w:p w14:paraId="78B61B64">
            <w:pPr>
              <w:spacing w:line="320" w:lineRule="exact"/>
              <w:ind w:left="-105" w:leftChars="-50" w:right="-105" w:rightChars="-50"/>
              <w:jc w:val="center"/>
              <w:rPr>
                <w:b/>
                <w:color w:val="auto"/>
                <w:szCs w:val="21"/>
              </w:rPr>
            </w:pPr>
            <w:r>
              <w:rPr>
                <w:rFonts w:hint="eastAsia"/>
                <w:b/>
                <w:color w:val="auto"/>
                <w:szCs w:val="21"/>
              </w:rPr>
              <w:t>0</w:t>
            </w:r>
          </w:p>
        </w:tc>
        <w:tc>
          <w:tcPr>
            <w:tcW w:w="1127" w:type="pct"/>
            <w:vAlign w:val="center"/>
          </w:tcPr>
          <w:p w14:paraId="0F0A1265">
            <w:pPr>
              <w:spacing w:line="320" w:lineRule="exact"/>
              <w:ind w:left="-105" w:leftChars="-50" w:right="-105" w:rightChars="-50"/>
              <w:jc w:val="center"/>
              <w:rPr>
                <w:b/>
                <w:color w:val="auto"/>
                <w:szCs w:val="21"/>
              </w:rPr>
            </w:pPr>
            <w:r>
              <w:rPr>
                <w:rFonts w:hint="eastAsia"/>
                <w:b/>
                <w:color w:val="auto"/>
                <w:szCs w:val="21"/>
              </w:rPr>
              <w:t>1</w:t>
            </w:r>
          </w:p>
        </w:tc>
        <w:tc>
          <w:tcPr>
            <w:tcW w:w="1019" w:type="pct"/>
            <w:vAlign w:val="center"/>
          </w:tcPr>
          <w:p w14:paraId="147A4FDD">
            <w:pPr>
              <w:spacing w:line="320" w:lineRule="exact"/>
              <w:ind w:left="-105" w:leftChars="-50" w:right="-105" w:rightChars="-50"/>
              <w:jc w:val="center"/>
              <w:rPr>
                <w:b/>
                <w:color w:val="auto"/>
                <w:szCs w:val="21"/>
              </w:rPr>
            </w:pPr>
            <w:r>
              <w:rPr>
                <w:rFonts w:hint="eastAsia"/>
                <w:b/>
                <w:color w:val="auto"/>
                <w:szCs w:val="21"/>
              </w:rPr>
              <w:t>2</w:t>
            </w:r>
          </w:p>
        </w:tc>
        <w:tc>
          <w:tcPr>
            <w:tcW w:w="930" w:type="pct"/>
            <w:vAlign w:val="center"/>
          </w:tcPr>
          <w:p w14:paraId="5B947107">
            <w:pPr>
              <w:spacing w:line="320" w:lineRule="exact"/>
              <w:ind w:left="-105" w:leftChars="-50" w:right="-105" w:rightChars="-50"/>
              <w:jc w:val="center"/>
              <w:rPr>
                <w:b/>
                <w:color w:val="auto"/>
                <w:szCs w:val="21"/>
              </w:rPr>
            </w:pPr>
            <w:r>
              <w:rPr>
                <w:rFonts w:hint="eastAsia"/>
                <w:b/>
                <w:color w:val="auto"/>
                <w:szCs w:val="21"/>
              </w:rPr>
              <w:t>3</w:t>
            </w:r>
          </w:p>
        </w:tc>
        <w:tc>
          <w:tcPr>
            <w:tcW w:w="348" w:type="pct"/>
            <w:vAlign w:val="center"/>
          </w:tcPr>
          <w:p w14:paraId="5122F8DD">
            <w:pPr>
              <w:spacing w:line="320" w:lineRule="exact"/>
              <w:ind w:left="-105" w:leftChars="-50" w:right="-105" w:rightChars="-50"/>
              <w:jc w:val="center"/>
              <w:rPr>
                <w:b/>
                <w:color w:val="auto"/>
                <w:szCs w:val="21"/>
              </w:rPr>
            </w:pPr>
            <w:r>
              <w:rPr>
                <w:rFonts w:hint="eastAsia"/>
                <w:b/>
                <w:color w:val="auto"/>
                <w:szCs w:val="21"/>
              </w:rPr>
              <w:t>4</w:t>
            </w:r>
          </w:p>
        </w:tc>
        <w:tc>
          <w:tcPr>
            <w:tcW w:w="713" w:type="pct"/>
            <w:vAlign w:val="center"/>
          </w:tcPr>
          <w:p w14:paraId="47930A09">
            <w:pPr>
              <w:spacing w:line="320" w:lineRule="exact"/>
              <w:ind w:left="-105" w:leftChars="-50" w:right="-105" w:rightChars="-50"/>
              <w:jc w:val="center"/>
              <w:rPr>
                <w:b/>
                <w:color w:val="auto"/>
                <w:szCs w:val="21"/>
              </w:rPr>
            </w:pPr>
            <w:r>
              <w:rPr>
                <w:rFonts w:hint="eastAsia"/>
                <w:b/>
                <w:color w:val="auto"/>
                <w:szCs w:val="21"/>
              </w:rPr>
              <w:t>5</w:t>
            </w:r>
          </w:p>
        </w:tc>
      </w:tr>
      <w:tr w14:paraId="5D6BF5B3">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36" w:type="pct"/>
            <w:vAlign w:val="center"/>
          </w:tcPr>
          <w:p w14:paraId="28D4AAB1">
            <w:pPr>
              <w:spacing w:line="320" w:lineRule="exact"/>
              <w:ind w:left="-105" w:leftChars="-50" w:right="-105" w:rightChars="-50"/>
              <w:jc w:val="center"/>
              <w:rPr>
                <w:color w:val="auto"/>
                <w:szCs w:val="21"/>
              </w:rPr>
            </w:pPr>
            <w:r>
              <w:rPr>
                <w:color w:val="auto"/>
                <w:szCs w:val="21"/>
              </w:rPr>
              <w:t>嗅觉判别标准</w:t>
            </w:r>
          </w:p>
        </w:tc>
        <w:tc>
          <w:tcPr>
            <w:tcW w:w="223" w:type="pct"/>
            <w:vAlign w:val="center"/>
          </w:tcPr>
          <w:p w14:paraId="3D89961E">
            <w:pPr>
              <w:spacing w:line="320" w:lineRule="exact"/>
              <w:ind w:left="-105" w:leftChars="-50" w:right="-105" w:rightChars="-50"/>
              <w:jc w:val="center"/>
              <w:rPr>
                <w:color w:val="auto"/>
                <w:szCs w:val="21"/>
              </w:rPr>
            </w:pPr>
            <w:r>
              <w:rPr>
                <w:rFonts w:hint="eastAsia"/>
                <w:color w:val="auto"/>
                <w:szCs w:val="21"/>
              </w:rPr>
              <w:t>无臭</w:t>
            </w:r>
          </w:p>
        </w:tc>
        <w:tc>
          <w:tcPr>
            <w:tcW w:w="1127" w:type="pct"/>
            <w:vAlign w:val="center"/>
          </w:tcPr>
          <w:p w14:paraId="284D5FAC">
            <w:pPr>
              <w:spacing w:line="320" w:lineRule="exact"/>
              <w:ind w:left="-105" w:leftChars="-50" w:right="-105" w:rightChars="-50"/>
              <w:jc w:val="center"/>
              <w:rPr>
                <w:color w:val="auto"/>
                <w:szCs w:val="21"/>
              </w:rPr>
            </w:pPr>
            <w:r>
              <w:rPr>
                <w:color w:val="auto"/>
                <w:szCs w:val="21"/>
              </w:rPr>
              <w:t>勉强可以感到轻微臭味(检知阀值浓度)</w:t>
            </w:r>
          </w:p>
        </w:tc>
        <w:tc>
          <w:tcPr>
            <w:tcW w:w="1019" w:type="pct"/>
            <w:vAlign w:val="center"/>
          </w:tcPr>
          <w:p w14:paraId="7DC86938">
            <w:pPr>
              <w:spacing w:line="320" w:lineRule="exact"/>
              <w:ind w:left="-105" w:leftChars="-50" w:right="-105" w:rightChars="-50"/>
              <w:jc w:val="center"/>
              <w:rPr>
                <w:color w:val="auto"/>
                <w:szCs w:val="21"/>
              </w:rPr>
            </w:pPr>
            <w:r>
              <w:rPr>
                <w:color w:val="auto"/>
                <w:szCs w:val="21"/>
              </w:rPr>
              <w:t>容易感到轻微臭味(认知阀值浓度)</w:t>
            </w:r>
          </w:p>
        </w:tc>
        <w:tc>
          <w:tcPr>
            <w:tcW w:w="930" w:type="pct"/>
            <w:vAlign w:val="center"/>
          </w:tcPr>
          <w:p w14:paraId="0FEA3848">
            <w:pPr>
              <w:spacing w:line="320" w:lineRule="exact"/>
              <w:ind w:left="-105" w:leftChars="-50" w:right="-105" w:rightChars="-50"/>
              <w:jc w:val="center"/>
              <w:rPr>
                <w:color w:val="auto"/>
                <w:szCs w:val="21"/>
              </w:rPr>
            </w:pPr>
            <w:r>
              <w:rPr>
                <w:color w:val="auto"/>
                <w:szCs w:val="21"/>
              </w:rPr>
              <w:t>明显感到臭味(可嗅出臭气种类)</w:t>
            </w:r>
          </w:p>
        </w:tc>
        <w:tc>
          <w:tcPr>
            <w:tcW w:w="348" w:type="pct"/>
            <w:vAlign w:val="center"/>
          </w:tcPr>
          <w:p w14:paraId="48290F31">
            <w:pPr>
              <w:spacing w:line="320" w:lineRule="exact"/>
              <w:ind w:left="-105" w:leftChars="-50" w:right="-105" w:rightChars="-50"/>
              <w:jc w:val="center"/>
              <w:rPr>
                <w:color w:val="auto"/>
                <w:szCs w:val="21"/>
              </w:rPr>
            </w:pPr>
            <w:r>
              <w:rPr>
                <w:color w:val="auto"/>
                <w:szCs w:val="21"/>
              </w:rPr>
              <w:t>强烈臭味</w:t>
            </w:r>
          </w:p>
        </w:tc>
        <w:tc>
          <w:tcPr>
            <w:tcW w:w="713" w:type="pct"/>
            <w:vAlign w:val="center"/>
          </w:tcPr>
          <w:p w14:paraId="5F19E30E">
            <w:pPr>
              <w:spacing w:line="320" w:lineRule="exact"/>
              <w:ind w:left="-105" w:leftChars="-50" w:right="-105" w:rightChars="-50"/>
              <w:jc w:val="center"/>
              <w:rPr>
                <w:color w:val="auto"/>
                <w:szCs w:val="21"/>
              </w:rPr>
            </w:pPr>
            <w:r>
              <w:rPr>
                <w:color w:val="auto"/>
                <w:szCs w:val="21"/>
              </w:rPr>
              <w:t>无法忍受的强烈臭味</w:t>
            </w:r>
          </w:p>
        </w:tc>
      </w:tr>
    </w:tbl>
    <w:p w14:paraId="2F414FFC">
      <w:pPr>
        <w:ind w:firstLine="422" w:firstLineChars="200"/>
        <w:jc w:val="center"/>
        <w:rPr>
          <w:b/>
          <w:color w:val="auto"/>
          <w:szCs w:val="21"/>
        </w:rPr>
      </w:pPr>
      <w:r>
        <w:rPr>
          <w:b/>
          <w:color w:val="auto"/>
          <w:szCs w:val="21"/>
        </w:rPr>
        <w:t>表</w:t>
      </w:r>
      <w:r>
        <w:rPr>
          <w:rFonts w:hint="eastAsia"/>
          <w:b/>
          <w:color w:val="auto"/>
          <w:szCs w:val="21"/>
        </w:rPr>
        <w:t>5</w:t>
      </w:r>
      <w:r>
        <w:rPr>
          <w:rFonts w:hint="eastAsia"/>
          <w:b/>
          <w:color w:val="auto"/>
          <w:szCs w:val="21"/>
          <w:lang w:val="en-US" w:eastAsia="zh-CN"/>
        </w:rPr>
        <w:t>.2-15</w:t>
      </w:r>
      <w:r>
        <w:rPr>
          <w:rFonts w:hint="eastAsia"/>
          <w:b/>
          <w:color w:val="auto"/>
          <w:szCs w:val="21"/>
        </w:rPr>
        <w:t xml:space="preserve">    </w:t>
      </w:r>
      <w:r>
        <w:rPr>
          <w:b/>
          <w:color w:val="auto"/>
          <w:szCs w:val="21"/>
        </w:rPr>
        <w:t>氨、H</w:t>
      </w:r>
      <w:r>
        <w:rPr>
          <w:b/>
          <w:color w:val="auto"/>
          <w:szCs w:val="21"/>
          <w:vertAlign w:val="subscript"/>
        </w:rPr>
        <w:t>2</w:t>
      </w:r>
      <w:r>
        <w:rPr>
          <w:b/>
          <w:color w:val="auto"/>
          <w:szCs w:val="21"/>
        </w:rPr>
        <w:t xml:space="preserve">S浓度与臭气强度关系 </w:t>
      </w:r>
      <w:r>
        <w:rPr>
          <w:rFonts w:hint="eastAsia"/>
          <w:b/>
          <w:color w:val="auto"/>
          <w:szCs w:val="21"/>
        </w:rPr>
        <w:t xml:space="preserve">   </w:t>
      </w:r>
      <w:r>
        <w:rPr>
          <w:b/>
          <w:color w:val="auto"/>
          <w:szCs w:val="21"/>
        </w:rPr>
        <w:t>单位</w:t>
      </w:r>
      <w:r>
        <w:rPr>
          <w:rFonts w:hint="eastAsia"/>
          <w:b/>
          <w:color w:val="auto"/>
          <w:szCs w:val="21"/>
          <w:lang w:eastAsia="zh-CN"/>
        </w:rPr>
        <w:t>：</w:t>
      </w:r>
      <w:r>
        <w:rPr>
          <w:b/>
          <w:color w:val="auto"/>
          <w:szCs w:val="21"/>
        </w:rPr>
        <w:t>ppm</w:t>
      </w:r>
    </w:p>
    <w:tbl>
      <w:tblPr>
        <w:tblStyle w:val="53"/>
        <w:tblW w:w="4996" w:type="pct"/>
        <w:tblInd w:w="0" w:type="dxa"/>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842"/>
        <w:gridCol w:w="850"/>
        <w:gridCol w:w="940"/>
        <w:gridCol w:w="1353"/>
        <w:gridCol w:w="924"/>
        <w:gridCol w:w="771"/>
        <w:gridCol w:w="947"/>
        <w:gridCol w:w="947"/>
        <w:gridCol w:w="947"/>
      </w:tblGrid>
      <w:tr w14:paraId="37DC0EE9">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94" w:type="pct"/>
            <w:vAlign w:val="center"/>
          </w:tcPr>
          <w:p w14:paraId="33D01C23">
            <w:pPr>
              <w:spacing w:line="320" w:lineRule="exact"/>
              <w:ind w:left="-105" w:leftChars="-50" w:right="-105" w:rightChars="-50"/>
              <w:jc w:val="center"/>
              <w:rPr>
                <w:b/>
                <w:color w:val="auto"/>
                <w:szCs w:val="21"/>
              </w:rPr>
            </w:pPr>
            <w:r>
              <w:rPr>
                <w:rFonts w:hint="eastAsia"/>
                <w:b/>
                <w:color w:val="auto"/>
                <w:szCs w:val="21"/>
              </w:rPr>
              <w:t>臭气强度</w:t>
            </w:r>
          </w:p>
        </w:tc>
        <w:tc>
          <w:tcPr>
            <w:tcW w:w="499" w:type="pct"/>
            <w:vAlign w:val="center"/>
          </w:tcPr>
          <w:p w14:paraId="5A334CAE">
            <w:pPr>
              <w:spacing w:line="320" w:lineRule="exact"/>
              <w:ind w:left="-105" w:leftChars="-50" w:right="-105" w:rightChars="-50"/>
              <w:jc w:val="center"/>
              <w:rPr>
                <w:b/>
                <w:color w:val="auto"/>
                <w:szCs w:val="21"/>
              </w:rPr>
            </w:pPr>
            <w:r>
              <w:rPr>
                <w:rFonts w:hint="eastAsia"/>
                <w:b/>
                <w:color w:val="auto"/>
                <w:szCs w:val="21"/>
              </w:rPr>
              <w:t>1</w:t>
            </w:r>
          </w:p>
        </w:tc>
        <w:tc>
          <w:tcPr>
            <w:tcW w:w="551" w:type="pct"/>
            <w:vAlign w:val="center"/>
          </w:tcPr>
          <w:p w14:paraId="20910D99">
            <w:pPr>
              <w:spacing w:line="320" w:lineRule="exact"/>
              <w:ind w:left="-105" w:leftChars="-50" w:right="-105" w:rightChars="-50"/>
              <w:jc w:val="center"/>
              <w:rPr>
                <w:b/>
                <w:color w:val="auto"/>
                <w:szCs w:val="21"/>
              </w:rPr>
            </w:pPr>
            <w:r>
              <w:rPr>
                <w:rFonts w:hint="eastAsia"/>
                <w:b/>
                <w:color w:val="auto"/>
                <w:szCs w:val="21"/>
              </w:rPr>
              <w:t>2</w:t>
            </w:r>
          </w:p>
        </w:tc>
        <w:tc>
          <w:tcPr>
            <w:tcW w:w="793" w:type="pct"/>
            <w:vAlign w:val="center"/>
          </w:tcPr>
          <w:p w14:paraId="7D300A4D">
            <w:pPr>
              <w:spacing w:line="320" w:lineRule="exact"/>
              <w:ind w:left="-105" w:leftChars="-50" w:right="-105" w:rightChars="-50"/>
              <w:jc w:val="center"/>
              <w:rPr>
                <w:b/>
                <w:color w:val="auto"/>
                <w:szCs w:val="21"/>
              </w:rPr>
            </w:pPr>
            <w:r>
              <w:rPr>
                <w:rFonts w:hint="eastAsia"/>
                <w:b/>
                <w:color w:val="auto"/>
                <w:szCs w:val="21"/>
              </w:rPr>
              <w:t>2.5</w:t>
            </w:r>
          </w:p>
        </w:tc>
        <w:tc>
          <w:tcPr>
            <w:tcW w:w="542" w:type="pct"/>
            <w:vAlign w:val="center"/>
          </w:tcPr>
          <w:p w14:paraId="64333023">
            <w:pPr>
              <w:spacing w:line="320" w:lineRule="exact"/>
              <w:ind w:left="-105" w:leftChars="-50" w:right="-105" w:rightChars="-50"/>
              <w:jc w:val="center"/>
              <w:rPr>
                <w:b/>
                <w:color w:val="auto"/>
                <w:szCs w:val="21"/>
              </w:rPr>
            </w:pPr>
            <w:r>
              <w:rPr>
                <w:rFonts w:hint="eastAsia"/>
                <w:b/>
                <w:color w:val="auto"/>
                <w:szCs w:val="21"/>
              </w:rPr>
              <w:t>3</w:t>
            </w:r>
          </w:p>
        </w:tc>
        <w:tc>
          <w:tcPr>
            <w:tcW w:w="452" w:type="pct"/>
            <w:vAlign w:val="center"/>
          </w:tcPr>
          <w:p w14:paraId="72DCDBD4">
            <w:pPr>
              <w:spacing w:line="320" w:lineRule="exact"/>
              <w:ind w:left="-105" w:leftChars="-50" w:right="-105" w:rightChars="-50"/>
              <w:jc w:val="center"/>
              <w:rPr>
                <w:b/>
                <w:color w:val="auto"/>
                <w:szCs w:val="21"/>
              </w:rPr>
            </w:pPr>
            <w:r>
              <w:rPr>
                <w:rFonts w:hint="eastAsia"/>
                <w:b/>
                <w:color w:val="auto"/>
                <w:szCs w:val="21"/>
              </w:rPr>
              <w:t>3.5</w:t>
            </w:r>
          </w:p>
        </w:tc>
        <w:tc>
          <w:tcPr>
            <w:tcW w:w="555" w:type="pct"/>
            <w:vAlign w:val="center"/>
          </w:tcPr>
          <w:p w14:paraId="3F170D51">
            <w:pPr>
              <w:spacing w:line="320" w:lineRule="exact"/>
              <w:ind w:left="-105" w:leftChars="-50" w:right="-105" w:rightChars="-50"/>
              <w:jc w:val="center"/>
              <w:rPr>
                <w:b/>
                <w:color w:val="auto"/>
                <w:szCs w:val="21"/>
              </w:rPr>
            </w:pPr>
            <w:r>
              <w:rPr>
                <w:rFonts w:hint="eastAsia"/>
                <w:b/>
                <w:color w:val="auto"/>
                <w:szCs w:val="21"/>
              </w:rPr>
              <w:t>4</w:t>
            </w:r>
          </w:p>
        </w:tc>
        <w:tc>
          <w:tcPr>
            <w:tcW w:w="555" w:type="pct"/>
            <w:vAlign w:val="center"/>
          </w:tcPr>
          <w:p w14:paraId="137F775F">
            <w:pPr>
              <w:spacing w:line="320" w:lineRule="exact"/>
              <w:ind w:left="-105" w:leftChars="-50" w:right="-105" w:rightChars="-50"/>
              <w:jc w:val="center"/>
              <w:rPr>
                <w:b/>
                <w:color w:val="auto"/>
                <w:szCs w:val="21"/>
              </w:rPr>
            </w:pPr>
            <w:r>
              <w:rPr>
                <w:rFonts w:hint="eastAsia"/>
                <w:b/>
                <w:color w:val="auto"/>
                <w:szCs w:val="21"/>
              </w:rPr>
              <w:t>5</w:t>
            </w:r>
          </w:p>
        </w:tc>
        <w:tc>
          <w:tcPr>
            <w:tcW w:w="555" w:type="pct"/>
            <w:vAlign w:val="center"/>
          </w:tcPr>
          <w:p w14:paraId="0A7944EB">
            <w:pPr>
              <w:spacing w:line="320" w:lineRule="exact"/>
              <w:ind w:left="-105" w:leftChars="-50" w:right="-105" w:rightChars="-50"/>
              <w:jc w:val="center"/>
              <w:rPr>
                <w:b/>
                <w:color w:val="auto"/>
                <w:szCs w:val="21"/>
              </w:rPr>
            </w:pPr>
            <w:r>
              <w:rPr>
                <w:rFonts w:hint="eastAsia"/>
                <w:b/>
                <w:color w:val="auto"/>
                <w:szCs w:val="21"/>
              </w:rPr>
              <w:t>臭气特征</w:t>
            </w:r>
          </w:p>
        </w:tc>
      </w:tr>
      <w:tr w14:paraId="70FC1F33">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94" w:type="pct"/>
            <w:vAlign w:val="center"/>
          </w:tcPr>
          <w:p w14:paraId="7CE8164B">
            <w:pPr>
              <w:spacing w:line="320" w:lineRule="exact"/>
              <w:ind w:left="-105" w:leftChars="-50" w:right="-105" w:rightChars="-50"/>
              <w:jc w:val="center"/>
              <w:rPr>
                <w:color w:val="auto"/>
                <w:szCs w:val="21"/>
              </w:rPr>
            </w:pPr>
            <w:r>
              <w:rPr>
                <w:rFonts w:hint="eastAsia"/>
                <w:color w:val="auto"/>
                <w:szCs w:val="21"/>
              </w:rPr>
              <w:t>氨</w:t>
            </w:r>
          </w:p>
        </w:tc>
        <w:tc>
          <w:tcPr>
            <w:tcW w:w="499" w:type="pct"/>
            <w:vAlign w:val="center"/>
          </w:tcPr>
          <w:p w14:paraId="6EA25DAD">
            <w:pPr>
              <w:spacing w:line="320" w:lineRule="exact"/>
              <w:ind w:left="-105" w:leftChars="-50" w:right="-105" w:rightChars="-50"/>
              <w:jc w:val="center"/>
              <w:rPr>
                <w:color w:val="auto"/>
                <w:szCs w:val="21"/>
              </w:rPr>
            </w:pPr>
            <w:r>
              <w:rPr>
                <w:rFonts w:hint="eastAsia"/>
                <w:color w:val="auto"/>
                <w:szCs w:val="21"/>
              </w:rPr>
              <w:t>0.1</w:t>
            </w:r>
          </w:p>
        </w:tc>
        <w:tc>
          <w:tcPr>
            <w:tcW w:w="551" w:type="pct"/>
            <w:vAlign w:val="center"/>
          </w:tcPr>
          <w:p w14:paraId="605BE589">
            <w:pPr>
              <w:spacing w:line="320" w:lineRule="exact"/>
              <w:ind w:left="-105" w:leftChars="-50" w:right="-105" w:rightChars="-50"/>
              <w:jc w:val="center"/>
              <w:rPr>
                <w:color w:val="auto"/>
                <w:szCs w:val="21"/>
              </w:rPr>
            </w:pPr>
            <w:r>
              <w:rPr>
                <w:rFonts w:hint="eastAsia"/>
                <w:color w:val="auto"/>
                <w:szCs w:val="21"/>
              </w:rPr>
              <w:t>0.5</w:t>
            </w:r>
          </w:p>
        </w:tc>
        <w:tc>
          <w:tcPr>
            <w:tcW w:w="793" w:type="pct"/>
            <w:vAlign w:val="center"/>
          </w:tcPr>
          <w:p w14:paraId="2ABD2C02">
            <w:pPr>
              <w:spacing w:line="320" w:lineRule="exact"/>
              <w:ind w:left="-105" w:leftChars="-50" w:right="-105" w:rightChars="-50"/>
              <w:jc w:val="center"/>
              <w:rPr>
                <w:color w:val="auto"/>
                <w:szCs w:val="21"/>
              </w:rPr>
            </w:pPr>
            <w:r>
              <w:rPr>
                <w:rFonts w:hint="eastAsia"/>
                <w:color w:val="auto"/>
                <w:szCs w:val="21"/>
              </w:rPr>
              <w:t>1.0</w:t>
            </w:r>
          </w:p>
        </w:tc>
        <w:tc>
          <w:tcPr>
            <w:tcW w:w="542" w:type="pct"/>
            <w:vAlign w:val="center"/>
          </w:tcPr>
          <w:p w14:paraId="5D5E5255">
            <w:pPr>
              <w:spacing w:line="320" w:lineRule="exact"/>
              <w:ind w:left="-105" w:leftChars="-50" w:right="-105" w:rightChars="-50"/>
              <w:jc w:val="center"/>
              <w:rPr>
                <w:color w:val="auto"/>
                <w:szCs w:val="21"/>
              </w:rPr>
            </w:pPr>
            <w:r>
              <w:rPr>
                <w:rFonts w:hint="eastAsia"/>
                <w:color w:val="auto"/>
                <w:szCs w:val="21"/>
              </w:rPr>
              <w:t>2</w:t>
            </w:r>
          </w:p>
        </w:tc>
        <w:tc>
          <w:tcPr>
            <w:tcW w:w="452" w:type="pct"/>
            <w:vAlign w:val="center"/>
          </w:tcPr>
          <w:p w14:paraId="57BDBA19">
            <w:pPr>
              <w:spacing w:line="320" w:lineRule="exact"/>
              <w:ind w:left="-105" w:leftChars="-50" w:right="-105" w:rightChars="-50"/>
              <w:jc w:val="center"/>
              <w:rPr>
                <w:color w:val="auto"/>
                <w:szCs w:val="21"/>
              </w:rPr>
            </w:pPr>
            <w:r>
              <w:rPr>
                <w:rFonts w:hint="eastAsia"/>
                <w:color w:val="auto"/>
                <w:szCs w:val="21"/>
              </w:rPr>
              <w:t>5</w:t>
            </w:r>
          </w:p>
        </w:tc>
        <w:tc>
          <w:tcPr>
            <w:tcW w:w="555" w:type="pct"/>
            <w:vAlign w:val="center"/>
          </w:tcPr>
          <w:p w14:paraId="383C61F9">
            <w:pPr>
              <w:spacing w:line="320" w:lineRule="exact"/>
              <w:ind w:left="-105" w:leftChars="-50" w:right="-105" w:rightChars="-50"/>
              <w:jc w:val="center"/>
              <w:rPr>
                <w:color w:val="auto"/>
                <w:szCs w:val="21"/>
              </w:rPr>
            </w:pPr>
            <w:r>
              <w:rPr>
                <w:rFonts w:hint="eastAsia"/>
                <w:color w:val="auto"/>
                <w:szCs w:val="21"/>
              </w:rPr>
              <w:t>10</w:t>
            </w:r>
          </w:p>
        </w:tc>
        <w:tc>
          <w:tcPr>
            <w:tcW w:w="555" w:type="pct"/>
            <w:vAlign w:val="center"/>
          </w:tcPr>
          <w:p w14:paraId="4CFD2DD2">
            <w:pPr>
              <w:spacing w:line="320" w:lineRule="exact"/>
              <w:ind w:left="-105" w:leftChars="-50" w:right="-105" w:rightChars="-50"/>
              <w:jc w:val="center"/>
              <w:rPr>
                <w:color w:val="auto"/>
                <w:szCs w:val="21"/>
              </w:rPr>
            </w:pPr>
            <w:r>
              <w:rPr>
                <w:rFonts w:hint="eastAsia"/>
                <w:color w:val="auto"/>
                <w:szCs w:val="21"/>
              </w:rPr>
              <w:t>40</w:t>
            </w:r>
          </w:p>
        </w:tc>
        <w:tc>
          <w:tcPr>
            <w:tcW w:w="555" w:type="pct"/>
            <w:vAlign w:val="center"/>
          </w:tcPr>
          <w:p w14:paraId="004F83F9">
            <w:pPr>
              <w:spacing w:line="320" w:lineRule="exact"/>
              <w:ind w:left="-105" w:leftChars="-50" w:right="-105" w:rightChars="-50"/>
              <w:jc w:val="center"/>
              <w:rPr>
                <w:color w:val="auto"/>
                <w:szCs w:val="21"/>
              </w:rPr>
            </w:pPr>
            <w:r>
              <w:rPr>
                <w:rFonts w:hint="eastAsia"/>
                <w:color w:val="auto"/>
                <w:szCs w:val="21"/>
              </w:rPr>
              <w:t>刺激味</w:t>
            </w:r>
          </w:p>
        </w:tc>
      </w:tr>
      <w:tr w14:paraId="6076EDC0">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494" w:type="pct"/>
            <w:vAlign w:val="center"/>
          </w:tcPr>
          <w:p w14:paraId="6625B172">
            <w:pPr>
              <w:spacing w:line="320" w:lineRule="exact"/>
              <w:ind w:left="-105" w:leftChars="-50" w:right="-105" w:rightChars="-50"/>
              <w:jc w:val="center"/>
              <w:rPr>
                <w:color w:val="auto"/>
                <w:szCs w:val="21"/>
              </w:rPr>
            </w:pPr>
            <w:r>
              <w:rPr>
                <w:rFonts w:hint="eastAsia"/>
                <w:color w:val="auto"/>
                <w:szCs w:val="21"/>
              </w:rPr>
              <w:t>硫化氢</w:t>
            </w:r>
          </w:p>
        </w:tc>
        <w:tc>
          <w:tcPr>
            <w:tcW w:w="499" w:type="pct"/>
            <w:vAlign w:val="center"/>
          </w:tcPr>
          <w:p w14:paraId="13493E76">
            <w:pPr>
              <w:spacing w:line="320" w:lineRule="exact"/>
              <w:ind w:left="-105" w:leftChars="-50" w:right="-105" w:rightChars="-50"/>
              <w:jc w:val="center"/>
              <w:rPr>
                <w:color w:val="auto"/>
                <w:szCs w:val="21"/>
              </w:rPr>
            </w:pPr>
            <w:r>
              <w:rPr>
                <w:rFonts w:hint="eastAsia"/>
                <w:color w:val="auto"/>
                <w:szCs w:val="21"/>
              </w:rPr>
              <w:t>0.0005</w:t>
            </w:r>
          </w:p>
        </w:tc>
        <w:tc>
          <w:tcPr>
            <w:tcW w:w="551" w:type="pct"/>
            <w:vAlign w:val="center"/>
          </w:tcPr>
          <w:p w14:paraId="7FC8678A">
            <w:pPr>
              <w:spacing w:line="320" w:lineRule="exact"/>
              <w:ind w:left="-105" w:leftChars="-50" w:right="-105" w:rightChars="-50"/>
              <w:jc w:val="center"/>
              <w:rPr>
                <w:color w:val="auto"/>
                <w:szCs w:val="21"/>
              </w:rPr>
            </w:pPr>
            <w:r>
              <w:rPr>
                <w:rFonts w:hint="eastAsia"/>
                <w:color w:val="auto"/>
                <w:szCs w:val="21"/>
              </w:rPr>
              <w:t>0.0006</w:t>
            </w:r>
          </w:p>
        </w:tc>
        <w:tc>
          <w:tcPr>
            <w:tcW w:w="793" w:type="pct"/>
            <w:vAlign w:val="center"/>
          </w:tcPr>
          <w:p w14:paraId="41D486AF">
            <w:pPr>
              <w:spacing w:line="320" w:lineRule="exact"/>
              <w:ind w:left="-105" w:leftChars="-50" w:right="-105" w:rightChars="-50"/>
              <w:jc w:val="center"/>
              <w:rPr>
                <w:color w:val="auto"/>
                <w:szCs w:val="21"/>
              </w:rPr>
            </w:pPr>
            <w:r>
              <w:rPr>
                <w:rFonts w:hint="eastAsia"/>
                <w:color w:val="auto"/>
                <w:szCs w:val="21"/>
              </w:rPr>
              <w:t>0.02</w:t>
            </w:r>
          </w:p>
        </w:tc>
        <w:tc>
          <w:tcPr>
            <w:tcW w:w="542" w:type="pct"/>
            <w:vAlign w:val="center"/>
          </w:tcPr>
          <w:p w14:paraId="6CDCD5F3">
            <w:pPr>
              <w:spacing w:line="320" w:lineRule="exact"/>
              <w:ind w:left="-105" w:leftChars="-50" w:right="-105" w:rightChars="-50"/>
              <w:jc w:val="center"/>
              <w:rPr>
                <w:color w:val="auto"/>
                <w:szCs w:val="21"/>
              </w:rPr>
            </w:pPr>
            <w:r>
              <w:rPr>
                <w:rFonts w:hint="eastAsia"/>
                <w:color w:val="auto"/>
                <w:szCs w:val="21"/>
              </w:rPr>
              <w:t>0.06</w:t>
            </w:r>
          </w:p>
        </w:tc>
        <w:tc>
          <w:tcPr>
            <w:tcW w:w="452" w:type="pct"/>
            <w:vAlign w:val="center"/>
          </w:tcPr>
          <w:p w14:paraId="6191C83A">
            <w:pPr>
              <w:spacing w:line="320" w:lineRule="exact"/>
              <w:ind w:left="-105" w:leftChars="-50" w:right="-105" w:rightChars="-50"/>
              <w:jc w:val="center"/>
              <w:rPr>
                <w:color w:val="auto"/>
                <w:szCs w:val="21"/>
              </w:rPr>
            </w:pPr>
            <w:r>
              <w:rPr>
                <w:rFonts w:hint="eastAsia"/>
                <w:color w:val="auto"/>
                <w:szCs w:val="21"/>
              </w:rPr>
              <w:t>0.2</w:t>
            </w:r>
          </w:p>
        </w:tc>
        <w:tc>
          <w:tcPr>
            <w:tcW w:w="555" w:type="pct"/>
            <w:vAlign w:val="center"/>
          </w:tcPr>
          <w:p w14:paraId="7BE55FC3">
            <w:pPr>
              <w:spacing w:line="320" w:lineRule="exact"/>
              <w:ind w:left="-105" w:leftChars="-50" w:right="-105" w:rightChars="-50"/>
              <w:jc w:val="center"/>
              <w:rPr>
                <w:color w:val="auto"/>
                <w:szCs w:val="21"/>
              </w:rPr>
            </w:pPr>
            <w:r>
              <w:rPr>
                <w:rFonts w:hint="eastAsia"/>
                <w:color w:val="auto"/>
                <w:szCs w:val="21"/>
              </w:rPr>
              <w:t>0.7</w:t>
            </w:r>
          </w:p>
        </w:tc>
        <w:tc>
          <w:tcPr>
            <w:tcW w:w="555" w:type="pct"/>
            <w:vAlign w:val="center"/>
          </w:tcPr>
          <w:p w14:paraId="280AFDD9">
            <w:pPr>
              <w:spacing w:line="320" w:lineRule="exact"/>
              <w:ind w:left="-105" w:leftChars="-50" w:right="-105" w:rightChars="-50"/>
              <w:jc w:val="center"/>
              <w:rPr>
                <w:color w:val="auto"/>
                <w:szCs w:val="21"/>
              </w:rPr>
            </w:pPr>
            <w:r>
              <w:rPr>
                <w:rFonts w:hint="eastAsia"/>
                <w:color w:val="auto"/>
                <w:szCs w:val="21"/>
              </w:rPr>
              <w:t>8</w:t>
            </w:r>
          </w:p>
        </w:tc>
        <w:tc>
          <w:tcPr>
            <w:tcW w:w="555" w:type="pct"/>
            <w:vAlign w:val="center"/>
          </w:tcPr>
          <w:p w14:paraId="49A8CFC9">
            <w:pPr>
              <w:spacing w:line="320" w:lineRule="exact"/>
              <w:ind w:left="-105" w:leftChars="-50" w:right="-105" w:rightChars="-50"/>
              <w:jc w:val="center"/>
              <w:rPr>
                <w:color w:val="auto"/>
                <w:szCs w:val="21"/>
              </w:rPr>
            </w:pPr>
            <w:r>
              <w:rPr>
                <w:rFonts w:hint="eastAsia"/>
                <w:color w:val="auto"/>
                <w:szCs w:val="21"/>
              </w:rPr>
              <w:t>臭鸡蛋</w:t>
            </w:r>
          </w:p>
        </w:tc>
      </w:tr>
    </w:tbl>
    <w:p w14:paraId="4F1ADA2A">
      <w:pPr>
        <w:spacing w:line="360" w:lineRule="auto"/>
        <w:ind w:firstLine="480" w:firstLineChars="200"/>
        <w:rPr>
          <w:color w:val="auto"/>
          <w:sz w:val="24"/>
        </w:rPr>
      </w:pPr>
      <w:r>
        <w:rPr>
          <w:rFonts w:hint="eastAsia"/>
          <w:color w:val="auto"/>
          <w:sz w:val="24"/>
        </w:rPr>
        <w:t>根据估算模式计算结果，评价区域硫化氢、氨气的小时最大落地浓度分别为4.680243</w:t>
      </w:r>
      <w:r>
        <w:rPr>
          <w:color w:val="auto"/>
          <w:sz w:val="24"/>
        </w:rPr>
        <w:t>μ</w:t>
      </w:r>
      <w:r>
        <w:rPr>
          <w:rFonts w:hint="eastAsia"/>
          <w:color w:val="auto"/>
          <w:sz w:val="24"/>
        </w:rPr>
        <w:t>g/m</w:t>
      </w:r>
      <w:r>
        <w:rPr>
          <w:rFonts w:hint="eastAsia"/>
          <w:color w:val="auto"/>
          <w:sz w:val="24"/>
          <w:vertAlign w:val="superscript"/>
        </w:rPr>
        <w:t>3</w:t>
      </w:r>
      <w:r>
        <w:rPr>
          <w:rFonts w:hint="eastAsia"/>
          <w:color w:val="auto"/>
          <w:sz w:val="24"/>
        </w:rPr>
        <w:t>、0.23505</w:t>
      </w:r>
      <w:r>
        <w:rPr>
          <w:color w:val="auto"/>
          <w:sz w:val="24"/>
        </w:rPr>
        <w:t>μ</w:t>
      </w:r>
      <w:r>
        <w:rPr>
          <w:rFonts w:hint="eastAsia"/>
          <w:color w:val="auto"/>
          <w:sz w:val="24"/>
        </w:rPr>
        <w:t>g/m</w:t>
      </w:r>
      <w:r>
        <w:rPr>
          <w:rFonts w:hint="eastAsia"/>
          <w:color w:val="auto"/>
          <w:sz w:val="24"/>
          <w:vertAlign w:val="superscript"/>
        </w:rPr>
        <w:t>3</w:t>
      </w:r>
      <w:r>
        <w:rPr>
          <w:rFonts w:hint="eastAsia"/>
          <w:color w:val="auto"/>
          <w:sz w:val="24"/>
        </w:rPr>
        <w:t>，臭气强度等级为1级，属于勉强可以感到轻微臭味（检知阀值浓度），对环境影响较小。</w:t>
      </w:r>
    </w:p>
    <w:p w14:paraId="5FD10299">
      <w:pPr>
        <w:spacing w:line="360" w:lineRule="auto"/>
        <w:ind w:firstLine="480" w:firstLineChars="200"/>
        <w:rPr>
          <w:color w:val="auto"/>
          <w:sz w:val="24"/>
        </w:rPr>
      </w:pPr>
      <w:r>
        <w:rPr>
          <w:rFonts w:hint="eastAsia"/>
          <w:color w:val="auto"/>
          <w:sz w:val="24"/>
        </w:rPr>
        <w:t>为了满足《恶臭污染物排放标准》（GB14544-93）以及《畜禽养殖业污染物排放标准》（GB18596-2001）的标准要求，减轻恶臭对外环境的不利影响，同时也为了防止恶臭气积聚过多对操作工人的健康带来危害，本项目针对恶臭气体采取的措施有：</w:t>
      </w:r>
    </w:p>
    <w:p w14:paraId="36417823">
      <w:pPr>
        <w:spacing w:line="360" w:lineRule="auto"/>
        <w:ind w:firstLine="480" w:firstLineChars="200"/>
        <w:rPr>
          <w:color w:val="auto"/>
          <w:sz w:val="24"/>
        </w:rPr>
      </w:pPr>
      <w:r>
        <w:rPr>
          <w:rFonts w:hint="eastAsia"/>
          <w:color w:val="auto"/>
          <w:sz w:val="24"/>
        </w:rPr>
        <w:t>①合理规划与正确选址</w:t>
      </w:r>
    </w:p>
    <w:p w14:paraId="60B3DB33">
      <w:pPr>
        <w:spacing w:line="360" w:lineRule="auto"/>
        <w:ind w:firstLine="480" w:firstLineChars="200"/>
        <w:rPr>
          <w:color w:val="auto"/>
          <w:sz w:val="24"/>
        </w:rPr>
      </w:pPr>
      <w:r>
        <w:rPr>
          <w:rFonts w:hint="eastAsia"/>
          <w:color w:val="auto"/>
          <w:sz w:val="24"/>
        </w:rPr>
        <w:t>在养殖场规模上应控制适度规模，应考虑农牧结合和生态环境效益，以及粪便的处理与消纳。本环评建议设置以</w:t>
      </w:r>
      <w:r>
        <w:rPr>
          <w:rFonts w:hint="eastAsia"/>
          <w:color w:val="auto"/>
          <w:sz w:val="24"/>
          <w:lang w:eastAsia="zh-CN"/>
        </w:rPr>
        <w:t>养殖区和粪污处置区</w:t>
      </w:r>
      <w:r>
        <w:rPr>
          <w:rFonts w:hint="eastAsia"/>
          <w:color w:val="auto"/>
          <w:sz w:val="24"/>
        </w:rPr>
        <w:t>为边界的500m的禁建区选址距离。</w:t>
      </w:r>
    </w:p>
    <w:p w14:paraId="3AF15906">
      <w:pPr>
        <w:spacing w:line="360" w:lineRule="auto"/>
        <w:ind w:firstLine="480" w:firstLineChars="200"/>
        <w:rPr>
          <w:color w:val="auto"/>
          <w:sz w:val="24"/>
        </w:rPr>
      </w:pPr>
      <w:r>
        <w:rPr>
          <w:rFonts w:hint="eastAsia"/>
          <w:color w:val="auto"/>
          <w:sz w:val="24"/>
        </w:rPr>
        <w:t>②在养殖区使用除臭剂</w:t>
      </w:r>
    </w:p>
    <w:p w14:paraId="44E22D1E">
      <w:pPr>
        <w:spacing w:line="360" w:lineRule="auto"/>
        <w:ind w:firstLine="480" w:firstLineChars="200"/>
        <w:rPr>
          <w:color w:val="auto"/>
          <w:sz w:val="24"/>
        </w:rPr>
      </w:pPr>
      <w:r>
        <w:rPr>
          <w:rFonts w:hint="eastAsia"/>
          <w:color w:val="auto"/>
          <w:sz w:val="24"/>
        </w:rPr>
        <w:t>生物除臭主要指活菌制剂，其作用是通过生化过程脱臭。</w:t>
      </w:r>
    </w:p>
    <w:p w14:paraId="3E47E1FE">
      <w:pPr>
        <w:spacing w:line="360" w:lineRule="auto"/>
        <w:ind w:firstLine="480" w:firstLineChars="200"/>
        <w:rPr>
          <w:color w:val="auto"/>
          <w:sz w:val="24"/>
        </w:rPr>
      </w:pPr>
      <w:r>
        <w:rPr>
          <w:rFonts w:hint="eastAsia"/>
          <w:color w:val="auto"/>
          <w:sz w:val="24"/>
        </w:rPr>
        <w:t>鸡舍日常人工使用喷雾装置喷洒天然植物除臭提取液，每天喷洒4次；整个养殖场周围种植绿化隔离带，植物主要为具有吸附恶臭气味的植物如松树、夹竹桃等，以降低恶臭污染的影响程度。</w:t>
      </w:r>
    </w:p>
    <w:p w14:paraId="30095835">
      <w:pPr>
        <w:spacing w:line="360" w:lineRule="auto"/>
        <w:ind w:firstLine="480" w:firstLineChars="200"/>
        <w:rPr>
          <w:color w:val="auto"/>
          <w:sz w:val="24"/>
        </w:rPr>
      </w:pPr>
      <w:r>
        <w:rPr>
          <w:rFonts w:hint="eastAsia"/>
          <w:color w:val="auto"/>
          <w:sz w:val="24"/>
        </w:rPr>
        <w:t>天然植物提取液的商品名称为Airsolution。Airsolution的原材料是天然植物提取液，Airsolution工作机理：使用Airsolution消除臭气，实际上是以氧化-还原反应为主的一系列化学反应。天然植物提取液中含有反应活性很高的功能团化合物和萜类化合物，它们可经过简单雾化形成气态，分布在污染区域的空中，如鸡舍内喷洒Airsolution，这些物质将与异味分子发生碰撞，并在碰撞中产生化学位移。具有反应活性的功能团和萜类化合物可用于氧化还原反应；在该类物质与硫化物分子进行碰撞时，可氧化负二价的硫，产生萜基硫化物。这类化合物不稳定，很容易进一步分解为硫酸根离子。例如：在生成硫化氢的各种场所，用Airsolution消除其异味就属这一类反应。Airsolution也能与氨、有机胺和硫醇化合物反应。在Airsolution中的物质含有胺基。因为氧的电负性大于碳，在键中氧是显负电荷，而碳是显正电荷。带正电荷的碳是亲电性的容易受到亲核进攻。这就是含有基的化合物与亲核的化合物反应的原因。如，氨、有机胺和硫醇。这些化合物正是食品工业和农业臭气的主要组成，也是多种废物所放出的臭气的成份。</w:t>
      </w:r>
    </w:p>
    <w:p w14:paraId="01665BD3">
      <w:pPr>
        <w:spacing w:line="360" w:lineRule="auto"/>
        <w:ind w:firstLine="480" w:firstLineChars="200"/>
        <w:rPr>
          <w:color w:val="auto"/>
          <w:sz w:val="24"/>
        </w:rPr>
      </w:pPr>
      <w:r>
        <w:rPr>
          <w:rFonts w:hint="eastAsia"/>
          <w:color w:val="auto"/>
          <w:sz w:val="24"/>
        </w:rPr>
        <w:t>A.酸碱反应：如air Solution®中含有生物碱，它可以与硫化氢等酸性臭气分子反应。与一般酸碱反应不同的是，一般的碱是有毒的，不可食用的，不能生物降解的。而air Solution®能进行生物降解，无毒。</w:t>
      </w:r>
    </w:p>
    <w:p w14:paraId="10C62D3C">
      <w:pPr>
        <w:spacing w:line="360" w:lineRule="auto"/>
        <w:ind w:firstLine="480" w:firstLineChars="200"/>
        <w:rPr>
          <w:color w:val="auto"/>
          <w:sz w:val="24"/>
        </w:rPr>
      </w:pPr>
      <w:r>
        <w:rPr>
          <w:rFonts w:hint="eastAsia"/>
          <w:color w:val="auto"/>
          <w:sz w:val="24"/>
        </w:rPr>
        <w:t xml:space="preserve">B.催化氧化反应：如硫化氢在一般情况下，不能与空气中的氧进行反应。但在air Solution®的催化用下，可以与空气中的氧气发生反应。以硫化氢的反应为例： </w:t>
      </w:r>
    </w:p>
    <w:p w14:paraId="50577450">
      <w:pPr>
        <w:spacing w:line="360" w:lineRule="auto"/>
        <w:ind w:firstLine="480" w:firstLineChars="200"/>
        <w:jc w:val="center"/>
        <w:rPr>
          <w:color w:val="auto"/>
          <w:sz w:val="24"/>
        </w:rPr>
      </w:pPr>
      <w:r>
        <w:rPr>
          <w:rFonts w:hint="eastAsia"/>
          <w:color w:val="auto"/>
          <w:sz w:val="24"/>
        </w:rPr>
        <w:t>R-NH</w:t>
      </w:r>
      <w:r>
        <w:rPr>
          <w:rFonts w:hint="eastAsia"/>
          <w:color w:val="auto"/>
          <w:sz w:val="24"/>
          <w:vertAlign w:val="subscript"/>
        </w:rPr>
        <w:t>2</w:t>
      </w:r>
      <w:r>
        <w:rPr>
          <w:rFonts w:hint="eastAsia"/>
          <w:color w:val="auto"/>
          <w:sz w:val="24"/>
        </w:rPr>
        <w:t>+H</w:t>
      </w:r>
      <w:r>
        <w:rPr>
          <w:rFonts w:hint="eastAsia"/>
          <w:color w:val="auto"/>
          <w:sz w:val="24"/>
          <w:vertAlign w:val="subscript"/>
        </w:rPr>
        <w:t>2</w:t>
      </w:r>
      <w:r>
        <w:rPr>
          <w:rFonts w:hint="eastAsia"/>
          <w:color w:val="auto"/>
          <w:sz w:val="24"/>
        </w:rPr>
        <w:t>S→R-NH</w:t>
      </w:r>
      <w:r>
        <w:rPr>
          <w:rFonts w:hint="eastAsia"/>
          <w:color w:val="auto"/>
          <w:sz w:val="24"/>
          <w:vertAlign w:val="superscript"/>
        </w:rPr>
        <w:t>3+</w:t>
      </w:r>
      <w:r>
        <w:rPr>
          <w:rFonts w:hint="eastAsia"/>
          <w:color w:val="auto"/>
          <w:sz w:val="24"/>
        </w:rPr>
        <w:t>+SH</w:t>
      </w:r>
      <w:r>
        <w:rPr>
          <w:rFonts w:hint="eastAsia"/>
          <w:color w:val="auto"/>
          <w:sz w:val="24"/>
          <w:vertAlign w:val="superscript"/>
        </w:rPr>
        <w:t>-</w:t>
      </w:r>
    </w:p>
    <w:p w14:paraId="21B43C4E">
      <w:pPr>
        <w:spacing w:line="360" w:lineRule="auto"/>
        <w:ind w:firstLine="480" w:firstLineChars="200"/>
        <w:jc w:val="center"/>
        <w:rPr>
          <w:color w:val="auto"/>
          <w:sz w:val="24"/>
        </w:rPr>
      </w:pPr>
      <w:r>
        <w:rPr>
          <w:rFonts w:hint="eastAsia"/>
          <w:color w:val="auto"/>
          <w:sz w:val="24"/>
        </w:rPr>
        <w:t>R-NH</w:t>
      </w:r>
      <w:r>
        <w:rPr>
          <w:rFonts w:hint="eastAsia"/>
          <w:color w:val="auto"/>
          <w:sz w:val="24"/>
          <w:vertAlign w:val="subscript"/>
        </w:rPr>
        <w:t>2</w:t>
      </w:r>
      <w:r>
        <w:rPr>
          <w:rFonts w:hint="eastAsia"/>
          <w:color w:val="auto"/>
          <w:sz w:val="24"/>
        </w:rPr>
        <w:t>+SH</w:t>
      </w:r>
      <w:r>
        <w:rPr>
          <w:rFonts w:hint="eastAsia"/>
          <w:color w:val="auto"/>
          <w:sz w:val="24"/>
          <w:vertAlign w:val="superscript"/>
        </w:rPr>
        <w:t>-</w:t>
      </w:r>
      <w:r>
        <w:rPr>
          <w:rFonts w:hint="eastAsia"/>
          <w:color w:val="auto"/>
          <w:sz w:val="24"/>
        </w:rPr>
        <w:t>＋O</w:t>
      </w:r>
      <w:r>
        <w:rPr>
          <w:rFonts w:hint="eastAsia"/>
          <w:color w:val="auto"/>
          <w:sz w:val="24"/>
          <w:vertAlign w:val="subscript"/>
        </w:rPr>
        <w:t>2</w:t>
      </w:r>
      <w:r>
        <w:rPr>
          <w:rFonts w:hint="eastAsia"/>
          <w:color w:val="auto"/>
          <w:sz w:val="24"/>
        </w:rPr>
        <w:t>＋H</w:t>
      </w:r>
      <w:r>
        <w:rPr>
          <w:rFonts w:hint="eastAsia"/>
          <w:color w:val="auto"/>
          <w:sz w:val="24"/>
          <w:vertAlign w:val="subscript"/>
        </w:rPr>
        <w:t>2</w:t>
      </w:r>
      <w:r>
        <w:rPr>
          <w:rFonts w:hint="eastAsia"/>
          <w:color w:val="auto"/>
          <w:sz w:val="24"/>
        </w:rPr>
        <w:t>O→R -NH</w:t>
      </w:r>
      <w:r>
        <w:rPr>
          <w:rFonts w:hint="eastAsia"/>
          <w:color w:val="auto"/>
          <w:sz w:val="24"/>
          <w:vertAlign w:val="subscript"/>
        </w:rPr>
        <w:t>3</w:t>
      </w:r>
      <w:r>
        <w:rPr>
          <w:rFonts w:hint="eastAsia"/>
          <w:color w:val="auto"/>
          <w:sz w:val="24"/>
        </w:rPr>
        <w:t>+SO</w:t>
      </w:r>
      <w:r>
        <w:rPr>
          <w:rFonts w:hint="eastAsia"/>
          <w:color w:val="auto"/>
          <w:sz w:val="24"/>
          <w:vertAlign w:val="subscript"/>
        </w:rPr>
        <w:t>4</w:t>
      </w:r>
      <w:r>
        <w:rPr>
          <w:rFonts w:hint="eastAsia"/>
          <w:color w:val="auto"/>
          <w:sz w:val="24"/>
          <w:vertAlign w:val="superscript"/>
        </w:rPr>
        <w:t>2-</w:t>
      </w:r>
      <w:r>
        <w:rPr>
          <w:rFonts w:hint="eastAsia"/>
          <w:color w:val="auto"/>
          <w:sz w:val="24"/>
        </w:rPr>
        <w:t>+OH</w:t>
      </w:r>
      <w:r>
        <w:rPr>
          <w:rFonts w:hint="eastAsia"/>
          <w:color w:val="auto"/>
          <w:sz w:val="24"/>
          <w:vertAlign w:val="superscript"/>
        </w:rPr>
        <w:t>-</w:t>
      </w:r>
      <w:r>
        <w:rPr>
          <w:rFonts w:hint="eastAsia"/>
          <w:color w:val="auto"/>
          <w:sz w:val="24"/>
        </w:rPr>
        <w:t>R</w:t>
      </w:r>
      <w:r>
        <w:rPr>
          <w:rFonts w:hint="eastAsia"/>
          <w:color w:val="auto"/>
          <w:sz w:val="24"/>
          <w:vertAlign w:val="superscript"/>
        </w:rPr>
        <w:t xml:space="preserve"> -</w:t>
      </w:r>
      <w:r>
        <w:rPr>
          <w:rFonts w:hint="eastAsia"/>
          <w:color w:val="auto"/>
          <w:sz w:val="24"/>
        </w:rPr>
        <w:t>NH3+OH</w:t>
      </w:r>
      <w:r>
        <w:rPr>
          <w:rFonts w:hint="eastAsia"/>
          <w:color w:val="auto"/>
          <w:sz w:val="24"/>
          <w:vertAlign w:val="superscript"/>
        </w:rPr>
        <w:t>-</w:t>
      </w:r>
      <w:r>
        <w:rPr>
          <w:rFonts w:hint="eastAsia"/>
          <w:color w:val="auto"/>
          <w:sz w:val="24"/>
        </w:rPr>
        <w:t>→R -NH</w:t>
      </w:r>
      <w:r>
        <w:rPr>
          <w:rFonts w:hint="eastAsia"/>
          <w:color w:val="auto"/>
          <w:sz w:val="24"/>
          <w:vertAlign w:val="subscript"/>
        </w:rPr>
        <w:t>2</w:t>
      </w:r>
      <w:r>
        <w:rPr>
          <w:rFonts w:hint="eastAsia"/>
          <w:color w:val="auto"/>
          <w:sz w:val="24"/>
        </w:rPr>
        <w:t>+H</w:t>
      </w:r>
      <w:r>
        <w:rPr>
          <w:rFonts w:hint="eastAsia"/>
          <w:color w:val="auto"/>
          <w:sz w:val="24"/>
          <w:vertAlign w:val="subscript"/>
        </w:rPr>
        <w:t>2</w:t>
      </w:r>
      <w:r>
        <w:rPr>
          <w:rFonts w:hint="eastAsia"/>
          <w:color w:val="auto"/>
          <w:sz w:val="24"/>
        </w:rPr>
        <w:t>O</w:t>
      </w:r>
    </w:p>
    <w:p w14:paraId="52BA213B">
      <w:pPr>
        <w:spacing w:line="360" w:lineRule="auto"/>
        <w:ind w:firstLine="480" w:firstLineChars="200"/>
        <w:rPr>
          <w:color w:val="auto"/>
          <w:sz w:val="24"/>
        </w:rPr>
      </w:pPr>
      <w:r>
        <w:rPr>
          <w:rFonts w:hint="eastAsia"/>
          <w:color w:val="auto"/>
          <w:sz w:val="24"/>
        </w:rPr>
        <w:t xml:space="preserve">C．热力学的角度来讨论。经过雾化的air Solution®液滴，其直径在0.04毫米。在这种情况下，液滴的表面能已达到一些有机化合物键能的三分之一和四分之一。在这种情况下，是以破坏臭气分子中的键，使它们不稳定，易分解。 </w:t>
      </w:r>
    </w:p>
    <w:p w14:paraId="5651F1E6">
      <w:pPr>
        <w:spacing w:line="360" w:lineRule="auto"/>
        <w:ind w:firstLine="480" w:firstLineChars="200"/>
        <w:rPr>
          <w:color w:val="auto"/>
          <w:sz w:val="24"/>
        </w:rPr>
      </w:pPr>
      <w:r>
        <w:rPr>
          <w:rFonts w:hint="eastAsia"/>
          <w:color w:val="auto"/>
          <w:sz w:val="24"/>
        </w:rPr>
        <w:t>③养殖场绿化、净化空气</w:t>
      </w:r>
    </w:p>
    <w:p w14:paraId="10BAFB4E">
      <w:pPr>
        <w:spacing w:line="360" w:lineRule="auto"/>
        <w:ind w:firstLine="480" w:firstLineChars="200"/>
        <w:rPr>
          <w:color w:val="auto"/>
          <w:sz w:val="24"/>
        </w:rPr>
      </w:pPr>
      <w:r>
        <w:rPr>
          <w:rFonts w:hint="eastAsia"/>
          <w:color w:val="auto"/>
          <w:sz w:val="24"/>
        </w:rPr>
        <w:t>合理植树绿化：绿化带可以阻留净化25%~40%的有害气体和吸附35%~67%的粉尘， 使恶臭强度下降30%~60%，还可以防止疫病传播及改善养鸡场小气候，起遮荫、降温作用。项目养殖场围绕养殖区，污粪处理区周围进行绿化，主要种植一些具有吸附恶臭气味的植物如松树、夹竹桃等，以净化空气。</w:t>
      </w:r>
    </w:p>
    <w:p w14:paraId="175AD2D0">
      <w:pPr>
        <w:spacing w:line="360" w:lineRule="auto"/>
        <w:ind w:firstLine="480" w:firstLineChars="200"/>
        <w:rPr>
          <w:color w:val="auto"/>
          <w:sz w:val="24"/>
        </w:rPr>
      </w:pPr>
      <w:r>
        <w:rPr>
          <w:rFonts w:hint="eastAsia"/>
          <w:color w:val="auto"/>
          <w:sz w:val="24"/>
        </w:rPr>
        <w:t>④科学的设计提高饲料利用率</w:t>
      </w:r>
    </w:p>
    <w:p w14:paraId="0E300073">
      <w:pPr>
        <w:spacing w:line="360" w:lineRule="auto"/>
        <w:ind w:firstLine="480" w:firstLineChars="200"/>
        <w:rPr>
          <w:color w:val="auto"/>
          <w:sz w:val="24"/>
        </w:rPr>
      </w:pPr>
      <w:r>
        <w:rPr>
          <w:rFonts w:hint="eastAsia"/>
          <w:color w:val="auto"/>
          <w:sz w:val="24"/>
        </w:rPr>
        <w:t>鸡采食饲料后，饲料在消化道消化过程中(尤其后段肠道)，因微生物腐败分解而产生臭气。同时，没有消化吸收部分在体外被微生物降解，也产生恶臭。产生的粪污越多，臭气就越多提高日粮的消化率、减少干物质(特别是蛋白质)排出量，既减少肠道臭气的产生，又可减少粪便排出后臭气的产生，这是减少恶臭来源的有效措施。</w:t>
      </w:r>
    </w:p>
    <w:p w14:paraId="55547939">
      <w:pPr>
        <w:spacing w:line="360" w:lineRule="auto"/>
        <w:ind w:firstLine="480" w:firstLineChars="200"/>
        <w:rPr>
          <w:color w:val="auto"/>
          <w:sz w:val="24"/>
        </w:rPr>
      </w:pPr>
      <w:r>
        <w:rPr>
          <w:rFonts w:hint="eastAsia"/>
          <w:color w:val="auto"/>
          <w:sz w:val="24"/>
        </w:rPr>
        <w:t>本项目养殖饲料应采用理想蛋白质体系配方，以提高蛋白质及其它营养的吸收效率，减少氮的排放量和粪的生产量。提倡使用微生物制剂、醇制剂和植物提取液等活动物质，减少污染物排放和恶臭气体的产生。这些微生物进入家畜体内后，能使肠内的有益细菌增殖，使肠的活动能力增强，从而达到抑制粪尿恶臭的目的。在选用饲料时，一是要注意消化率高、营养变异小，二是要注意选择有毒有害成分低、安全性高的饲料。在饲料中补充合成氨基酸，如赖氨酸、蛋氨酸、苏氨酸等，一方面可提高蛋白质利用率，同时又降低了动物排泄物中的氨气（NH</w:t>
      </w:r>
      <w:r>
        <w:rPr>
          <w:rFonts w:hint="eastAsia"/>
          <w:color w:val="auto"/>
          <w:sz w:val="24"/>
          <w:vertAlign w:val="subscript"/>
        </w:rPr>
        <w:t>3</w:t>
      </w:r>
      <w:r>
        <w:rPr>
          <w:rFonts w:hint="eastAsia"/>
          <w:color w:val="auto"/>
          <w:sz w:val="24"/>
        </w:rPr>
        <w:t>）产生量，减少臭气的产生。利用生物方法，将EM有效微生物菌剂加入饲料中，可以促进畜禽生长并降低粪便的臭味。如台湾源泉公司开发研制出一种叫“亚罗康菌”的微生物制剂，直接添加到饲料中，可将鸡体内的NH</w:t>
      </w:r>
      <w:r>
        <w:rPr>
          <w:rFonts w:hint="eastAsia"/>
          <w:color w:val="auto"/>
          <w:sz w:val="24"/>
          <w:vertAlign w:val="subscript"/>
        </w:rPr>
        <w:t>3</w:t>
      </w:r>
      <w:r>
        <w:rPr>
          <w:rFonts w:hint="eastAsia"/>
          <w:color w:val="auto"/>
          <w:sz w:val="24"/>
        </w:rPr>
        <w:t>、硫化氢（H</w:t>
      </w:r>
      <w:r>
        <w:rPr>
          <w:rFonts w:hint="eastAsia"/>
          <w:color w:val="auto"/>
          <w:sz w:val="24"/>
          <w:vertAlign w:val="subscript"/>
        </w:rPr>
        <w:t>2</w:t>
      </w:r>
      <w:r>
        <w:rPr>
          <w:rFonts w:hint="eastAsia"/>
          <w:color w:val="auto"/>
          <w:sz w:val="24"/>
        </w:rPr>
        <w:t>S）、甲烷（CH</w:t>
      </w:r>
      <w:r>
        <w:rPr>
          <w:rFonts w:hint="eastAsia"/>
          <w:color w:val="auto"/>
          <w:sz w:val="24"/>
          <w:vertAlign w:val="subscript"/>
        </w:rPr>
        <w:t>4</w:t>
      </w:r>
      <w:r>
        <w:rPr>
          <w:rFonts w:hint="eastAsia"/>
          <w:color w:val="auto"/>
          <w:sz w:val="24"/>
        </w:rPr>
        <w:t>）等转化为可供畜体吸收的化合态氮和其他物质，可使排泄物中的营养成分和有害成分都明显降低，从而提高饲料消化利用率，并减少臭气的产生。但值得注意的是：使用添加剂时，应选择微生物、低聚糖等无公害饲料添加剂，以保证畜产品安全和无公害。另外，分阶段饲喂，即用不同养分组成日粮来饲喂不同生长不育阶段的畜禽，使日粮养分更接近畜禽的需要，可避免养分的浪费和对环境的污染。</w:t>
      </w:r>
    </w:p>
    <w:p w14:paraId="7237F4EC">
      <w:pPr>
        <w:spacing w:line="360" w:lineRule="auto"/>
        <w:ind w:firstLine="480" w:firstLineChars="200"/>
        <w:rPr>
          <w:color w:val="auto"/>
          <w:sz w:val="24"/>
        </w:rPr>
      </w:pPr>
      <w:r>
        <w:rPr>
          <w:rFonts w:hint="eastAsia"/>
          <w:color w:val="auto"/>
          <w:sz w:val="24"/>
        </w:rPr>
        <w:t>⑤加强养殖场卫生管理</w:t>
      </w:r>
    </w:p>
    <w:p w14:paraId="6BC4385C">
      <w:pPr>
        <w:spacing w:line="360" w:lineRule="auto"/>
        <w:ind w:firstLine="480" w:firstLineChars="200"/>
        <w:rPr>
          <w:color w:val="auto"/>
          <w:sz w:val="24"/>
        </w:rPr>
      </w:pPr>
      <w:r>
        <w:rPr>
          <w:rFonts w:hint="eastAsia"/>
          <w:color w:val="auto"/>
          <w:sz w:val="24"/>
        </w:rPr>
        <w:t>A.合理设计养殖区。在窗口使用卷帘装置，合理组织舍内通风，注意舍内防潮，保持舍内干燥，及时清除粪便污物，减少舍内粉尘、微生物。</w:t>
      </w:r>
    </w:p>
    <w:p w14:paraId="12FB5EF0">
      <w:pPr>
        <w:spacing w:line="360" w:lineRule="auto"/>
        <w:ind w:firstLine="480" w:firstLineChars="200"/>
        <w:rPr>
          <w:color w:val="auto"/>
          <w:sz w:val="24"/>
        </w:rPr>
      </w:pPr>
      <w:r>
        <w:rPr>
          <w:rFonts w:hint="eastAsia"/>
          <w:color w:val="auto"/>
          <w:sz w:val="24"/>
        </w:rPr>
        <w:t>B.养殖区鸡粪日产日清，并尽快从养殖区内清粪，设排风扇加强通风，尽可能地减弱了养殖区中恶臭气体的聚居。采取上述措施后可有效减轻臭味向厂区外扩散，经处理后本项目营运过程中恶臭气体排放厂界浓度可以达到《畜禽养殖业污染物排放标准》（GB18596-2001）中的“表7”集约化畜禽养殖业恶臭污染物排放标准，对周围环境的影响不大。</w:t>
      </w:r>
    </w:p>
    <w:p w14:paraId="09E31373">
      <w:pPr>
        <w:autoSpaceDE w:val="0"/>
        <w:autoSpaceDN w:val="0"/>
        <w:adjustRightInd w:val="0"/>
        <w:spacing w:line="360" w:lineRule="auto"/>
        <w:jc w:val="left"/>
        <w:rPr>
          <w:b/>
          <w:color w:val="auto"/>
          <w:sz w:val="24"/>
        </w:rPr>
      </w:pPr>
      <w:r>
        <w:rPr>
          <w:rFonts w:hint="eastAsia"/>
          <w:b/>
          <w:color w:val="auto"/>
          <w:sz w:val="24"/>
          <w:lang w:val="en-US" w:eastAsia="zh-CN"/>
        </w:rPr>
        <w:t>5.2.1.8</w:t>
      </w:r>
      <w:r>
        <w:rPr>
          <w:b/>
          <w:color w:val="auto"/>
          <w:sz w:val="24"/>
        </w:rPr>
        <w:t>大气环境防护距离</w:t>
      </w:r>
    </w:p>
    <w:p w14:paraId="1B5FF6B0">
      <w:pPr>
        <w:tabs>
          <w:tab w:val="left" w:pos="5560"/>
        </w:tabs>
        <w:spacing w:line="360" w:lineRule="auto"/>
        <w:ind w:firstLine="480"/>
        <w:rPr>
          <w:color w:val="auto"/>
          <w:sz w:val="24"/>
          <w:szCs w:val="32"/>
        </w:rPr>
      </w:pPr>
      <w:r>
        <w:rPr>
          <w:color w:val="auto"/>
          <w:sz w:val="24"/>
          <w:szCs w:val="32"/>
        </w:rPr>
        <w:t>由预测结果分析可知，项目生产过程中产生的各类废气对评价范围内环境敏感目标的影响不大。</w:t>
      </w:r>
    </w:p>
    <w:p w14:paraId="49FB857E">
      <w:pPr>
        <w:tabs>
          <w:tab w:val="left" w:pos="5560"/>
        </w:tabs>
        <w:spacing w:line="360" w:lineRule="auto"/>
        <w:ind w:firstLine="480"/>
        <w:rPr>
          <w:color w:val="auto"/>
          <w:kern w:val="0"/>
          <w:sz w:val="24"/>
          <w:szCs w:val="40"/>
        </w:rPr>
      </w:pPr>
      <w:r>
        <w:rPr>
          <w:color w:val="auto"/>
          <w:sz w:val="24"/>
          <w:szCs w:val="32"/>
        </w:rPr>
        <w:t>根据《环境影响评价导则 大气环境》（HJ2.2-2018）中规定，“对于项目厂界浓度满足大气污染物厂界浓度限值，但厂界外大气污染物短期贡献浓度超过环境质量浓度限值的，可以自厂界向外设置一定范围的大气环境防护区域，以确保大气环境保护区域外的污染物贡献浓度满足环境质量标准”。本项目厂界浓度满足大气污染物厂界浓度限值，通过AERSCREEN模型预测厂界外大气污染物短期贡献浓度未超过环境质量浓度限值，则本工程不设置大气环境防护距离。</w:t>
      </w:r>
    </w:p>
    <w:p w14:paraId="7C963EB2">
      <w:pPr>
        <w:spacing w:line="360" w:lineRule="auto"/>
        <w:rPr>
          <w:b/>
          <w:color w:val="auto"/>
          <w:sz w:val="24"/>
        </w:rPr>
      </w:pPr>
      <w:r>
        <w:rPr>
          <w:rFonts w:hint="eastAsia"/>
          <w:b/>
          <w:bCs/>
          <w:color w:val="auto"/>
          <w:sz w:val="24"/>
          <w:lang w:val="en-US" w:eastAsia="zh-CN"/>
        </w:rPr>
        <w:t>5.2.1.9</w:t>
      </w:r>
      <w:r>
        <w:rPr>
          <w:b/>
          <w:color w:val="auto"/>
          <w:sz w:val="24"/>
        </w:rPr>
        <w:t>卫生防护距离</w:t>
      </w:r>
    </w:p>
    <w:p w14:paraId="0770DDB8">
      <w:pPr>
        <w:spacing w:line="360" w:lineRule="auto"/>
        <w:ind w:firstLine="412" w:firstLineChars="172"/>
        <w:rPr>
          <w:rFonts w:hint="eastAsia" w:hAnsi="宋体" w:eastAsia="宋体"/>
          <w:color w:val="auto"/>
          <w:sz w:val="24"/>
          <w:lang w:eastAsia="zh-CN"/>
        </w:rPr>
      </w:pPr>
      <w:r>
        <w:rPr>
          <w:rFonts w:hint="eastAsia" w:hAnsi="宋体"/>
          <w:color w:val="auto"/>
          <w:sz w:val="24"/>
          <w:lang w:eastAsia="zh-CN"/>
        </w:rPr>
        <w:t>（</w:t>
      </w:r>
      <w:r>
        <w:rPr>
          <w:rFonts w:hint="eastAsia" w:hAnsi="宋体"/>
          <w:color w:val="auto"/>
          <w:sz w:val="24"/>
          <w:lang w:val="en-US" w:eastAsia="zh-CN"/>
        </w:rPr>
        <w:t>1</w:t>
      </w:r>
      <w:r>
        <w:rPr>
          <w:rFonts w:hint="eastAsia" w:hAnsi="宋体"/>
          <w:color w:val="auto"/>
          <w:sz w:val="24"/>
          <w:lang w:eastAsia="zh-CN"/>
        </w:rPr>
        <w:t>）防疫距离要求</w:t>
      </w:r>
    </w:p>
    <w:p w14:paraId="5CD6CDAD">
      <w:pPr>
        <w:spacing w:line="360" w:lineRule="auto"/>
        <w:ind w:firstLine="412" w:firstLineChars="172"/>
        <w:rPr>
          <w:color w:val="auto"/>
          <w:sz w:val="24"/>
        </w:rPr>
      </w:pPr>
      <w:r>
        <w:rPr>
          <w:rFonts w:hAnsi="宋体"/>
          <w:color w:val="auto"/>
          <w:sz w:val="24"/>
        </w:rPr>
        <w:t>根据《畜禽养殖业污染防治技术规范》要求，养殖场选址要求如下：</w:t>
      </w:r>
    </w:p>
    <w:p w14:paraId="331F860E">
      <w:pPr>
        <w:spacing w:line="360" w:lineRule="auto"/>
        <w:ind w:firstLine="412" w:firstLineChars="172"/>
        <w:rPr>
          <w:color w:val="auto"/>
          <w:sz w:val="24"/>
        </w:rPr>
      </w:pPr>
      <w:r>
        <w:rPr>
          <w:rFonts w:hAnsi="宋体"/>
          <w:color w:val="auto"/>
          <w:sz w:val="24"/>
        </w:rPr>
        <w:t>选址要求禁止在下列区域内建设畜禽养殖场：</w:t>
      </w:r>
    </w:p>
    <w:p w14:paraId="072B37E2">
      <w:pPr>
        <w:spacing w:line="360" w:lineRule="auto"/>
        <w:ind w:firstLine="412" w:firstLineChars="172"/>
        <w:rPr>
          <w:color w:val="auto"/>
          <w:sz w:val="24"/>
        </w:rPr>
      </w:pPr>
      <w:r>
        <w:rPr>
          <w:rFonts w:hint="eastAsia"/>
          <w:color w:val="auto"/>
          <w:sz w:val="24"/>
        </w:rPr>
        <w:t>1)</w:t>
      </w:r>
      <w:r>
        <w:rPr>
          <w:rFonts w:hAnsi="宋体"/>
          <w:color w:val="auto"/>
          <w:sz w:val="24"/>
        </w:rPr>
        <w:t>生活饮用水水源保护区、风景名胜区、自然保护区的核心区及缓冲区；</w:t>
      </w:r>
    </w:p>
    <w:p w14:paraId="68CC6407">
      <w:pPr>
        <w:spacing w:line="360" w:lineRule="auto"/>
        <w:ind w:firstLine="412" w:firstLineChars="172"/>
        <w:rPr>
          <w:color w:val="auto"/>
          <w:sz w:val="24"/>
        </w:rPr>
      </w:pPr>
      <w:r>
        <w:rPr>
          <w:rFonts w:hint="eastAsia"/>
          <w:color w:val="auto"/>
          <w:sz w:val="24"/>
        </w:rPr>
        <w:t>2)</w:t>
      </w:r>
      <w:r>
        <w:rPr>
          <w:rFonts w:hAnsi="宋体"/>
          <w:color w:val="auto"/>
          <w:sz w:val="24"/>
        </w:rPr>
        <w:t>城市和城镇居民区，包括文教科研区、医疗区、商业区、工业区、游览区等人口集中地区；</w:t>
      </w:r>
    </w:p>
    <w:p w14:paraId="5C9A6E62">
      <w:pPr>
        <w:spacing w:line="360" w:lineRule="auto"/>
        <w:ind w:firstLine="412" w:firstLineChars="172"/>
        <w:rPr>
          <w:color w:val="auto"/>
          <w:sz w:val="24"/>
        </w:rPr>
      </w:pPr>
      <w:r>
        <w:rPr>
          <w:rFonts w:hint="eastAsia"/>
          <w:color w:val="auto"/>
          <w:sz w:val="24"/>
        </w:rPr>
        <w:t>3)</w:t>
      </w:r>
      <w:r>
        <w:rPr>
          <w:rFonts w:hAnsi="宋体"/>
          <w:color w:val="auto"/>
          <w:sz w:val="24"/>
        </w:rPr>
        <w:t>县级人民政府依法划定的禁养区域；</w:t>
      </w:r>
    </w:p>
    <w:p w14:paraId="6CE441BB">
      <w:pPr>
        <w:spacing w:line="360" w:lineRule="auto"/>
        <w:ind w:firstLine="412" w:firstLineChars="172"/>
        <w:rPr>
          <w:color w:val="auto"/>
          <w:sz w:val="24"/>
        </w:rPr>
      </w:pPr>
      <w:r>
        <w:rPr>
          <w:rFonts w:hint="eastAsia"/>
          <w:color w:val="auto"/>
          <w:sz w:val="24"/>
        </w:rPr>
        <w:t>4)</w:t>
      </w:r>
      <w:r>
        <w:rPr>
          <w:rFonts w:hAnsi="宋体"/>
          <w:color w:val="auto"/>
          <w:sz w:val="24"/>
        </w:rPr>
        <w:t>国家或地方法律、法规规定需特殊保护的其它区域。</w:t>
      </w:r>
    </w:p>
    <w:p w14:paraId="77640EEF">
      <w:pPr>
        <w:spacing w:line="360" w:lineRule="auto"/>
        <w:ind w:firstLine="412" w:firstLineChars="172"/>
        <w:rPr>
          <w:color w:val="auto"/>
          <w:sz w:val="24"/>
        </w:rPr>
      </w:pPr>
      <w:r>
        <w:rPr>
          <w:color w:val="auto"/>
          <w:sz w:val="24"/>
        </w:rPr>
        <w:t>5</w:t>
      </w:r>
      <w:r>
        <w:rPr>
          <w:rFonts w:hint="eastAsia" w:hAnsi="宋体"/>
          <w:color w:val="auto"/>
          <w:sz w:val="24"/>
        </w:rPr>
        <w:t>)</w:t>
      </w:r>
      <w:r>
        <w:rPr>
          <w:rFonts w:hAnsi="宋体"/>
          <w:color w:val="auto"/>
          <w:sz w:val="24"/>
        </w:rPr>
        <w:t>新建</w:t>
      </w:r>
      <w:r>
        <w:rPr>
          <w:rFonts w:hint="eastAsia" w:hAnsi="宋体"/>
          <w:color w:val="auto"/>
          <w:sz w:val="24"/>
          <w:lang w:eastAsia="zh-CN"/>
        </w:rPr>
        <w:t>、</w:t>
      </w:r>
      <w:r>
        <w:rPr>
          <w:rFonts w:hAnsi="宋体"/>
          <w:color w:val="auto"/>
          <w:sz w:val="24"/>
        </w:rPr>
        <w:t>改建、扩建的畜禽养殖场选址应避开以上规定的禁建区域，在禁建区域附近建设的，应设在以上规定的禁建区域常年主导风向的下风向或侧风向处，</w:t>
      </w:r>
      <w:r>
        <w:rPr>
          <w:rFonts w:hint="eastAsia" w:hAnsi="宋体"/>
          <w:color w:val="auto"/>
          <w:sz w:val="24"/>
          <w:lang w:eastAsia="zh-CN"/>
        </w:rPr>
        <w:t>养殖区和粪污处置区</w:t>
      </w:r>
      <w:r>
        <w:rPr>
          <w:rFonts w:hAnsi="宋体"/>
          <w:color w:val="auto"/>
          <w:sz w:val="24"/>
        </w:rPr>
        <w:t>与禁建区域边界的最小距离不得小于</w:t>
      </w:r>
      <w:r>
        <w:rPr>
          <w:color w:val="auto"/>
          <w:sz w:val="24"/>
        </w:rPr>
        <w:t>500m</w:t>
      </w:r>
      <w:r>
        <w:rPr>
          <w:rFonts w:hAnsi="宋体"/>
          <w:color w:val="auto"/>
          <w:sz w:val="24"/>
        </w:rPr>
        <w:t>。</w:t>
      </w:r>
    </w:p>
    <w:p w14:paraId="4EA786B6">
      <w:pPr>
        <w:tabs>
          <w:tab w:val="left" w:pos="5560"/>
        </w:tabs>
        <w:spacing w:line="360" w:lineRule="auto"/>
        <w:ind w:firstLine="480"/>
        <w:rPr>
          <w:bCs/>
          <w:color w:val="auto"/>
          <w:sz w:val="24"/>
          <w:szCs w:val="22"/>
        </w:rPr>
      </w:pPr>
      <w:r>
        <w:rPr>
          <w:rFonts w:hint="eastAsia" w:hAnsi="宋体"/>
          <w:color w:val="auto"/>
          <w:sz w:val="24"/>
        </w:rPr>
        <w:t>因此，确定本项目防疫距离为</w:t>
      </w:r>
      <w:r>
        <w:rPr>
          <w:rFonts w:hint="eastAsia" w:hAnsi="宋体"/>
          <w:color w:val="auto"/>
          <w:sz w:val="24"/>
          <w:lang w:eastAsia="zh-CN"/>
        </w:rPr>
        <w:t>养殖区和粪污处置区</w:t>
      </w:r>
      <w:r>
        <w:rPr>
          <w:rFonts w:hint="eastAsia" w:hAnsi="宋体"/>
          <w:color w:val="auto"/>
          <w:sz w:val="24"/>
        </w:rPr>
        <w:t>外</w:t>
      </w:r>
      <w:r>
        <w:rPr>
          <w:color w:val="auto"/>
          <w:sz w:val="24"/>
        </w:rPr>
        <w:t>500m</w:t>
      </w:r>
      <w:r>
        <w:rPr>
          <w:rFonts w:hint="eastAsia" w:hAnsi="宋体"/>
          <w:color w:val="auto"/>
          <w:sz w:val="24"/>
        </w:rPr>
        <w:t>范围。</w:t>
      </w:r>
    </w:p>
    <w:p w14:paraId="5B4D780F">
      <w:pPr>
        <w:adjustRightInd w:val="0"/>
        <w:spacing w:line="360" w:lineRule="auto"/>
        <w:ind w:firstLine="480" w:firstLineChars="200"/>
        <w:rPr>
          <w:color w:val="auto"/>
          <w:sz w:val="24"/>
        </w:rPr>
      </w:pPr>
      <w:r>
        <w:rPr>
          <w:color w:val="auto"/>
          <w:sz w:val="24"/>
        </w:rPr>
        <w:t>根据《</w:t>
      </w:r>
      <w:r>
        <w:rPr>
          <w:color w:val="auto"/>
          <w:kern w:val="0"/>
          <w:sz w:val="24"/>
          <w:lang w:bidi="ar"/>
        </w:rPr>
        <w:t>大气有害物质无组织排放卫生防护距离推导技术导则</w:t>
      </w:r>
      <w:r>
        <w:rPr>
          <w:color w:val="auto"/>
          <w:sz w:val="24"/>
        </w:rPr>
        <w:t>》(GB/T39499-2020)中适用范围：适用于产生大气有害物质的无组织排放的各种行业的新改扩建工程，该导则3.3中对有害大气物质的解释为：有关行业企业在正常生产时通过无组织排放形式扩散到周边的有毒有害大气污染物。</w:t>
      </w:r>
    </w:p>
    <w:p w14:paraId="0FCB1CCB">
      <w:pPr>
        <w:adjustRightInd w:val="0"/>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）卫生防护距离要求</w:t>
      </w:r>
    </w:p>
    <w:p w14:paraId="74F4FAD6">
      <w:pPr>
        <w:adjustRightInd w:val="0"/>
        <w:spacing w:line="360" w:lineRule="auto"/>
        <w:ind w:firstLine="480" w:firstLineChars="200"/>
        <w:rPr>
          <w:color w:val="auto"/>
        </w:rPr>
      </w:pPr>
      <w:r>
        <w:rPr>
          <w:color w:val="auto"/>
          <w:sz w:val="24"/>
        </w:rPr>
        <w:t>本项目排放的颗粒物、氨气、硫化氢属于大气有害物质，因此，本项目需设置卫生防护距离。根据《</w:t>
      </w:r>
      <w:r>
        <w:rPr>
          <w:color w:val="auto"/>
          <w:kern w:val="0"/>
          <w:sz w:val="24"/>
          <w:lang w:bidi="ar"/>
        </w:rPr>
        <w:t>大气有害物质无组织排放卫生防护距离推导技术导则</w:t>
      </w:r>
      <w:r>
        <w:rPr>
          <w:color w:val="auto"/>
          <w:sz w:val="24"/>
        </w:rPr>
        <w:t>》(GB/T39499-2020)，以各无组织排放源为计算单元，卫生防护距离计算公式如下：</w:t>
      </w:r>
    </w:p>
    <w:p w14:paraId="18DD9F12">
      <w:pPr>
        <w:adjustRightInd w:val="0"/>
        <w:spacing w:line="360" w:lineRule="auto"/>
        <w:ind w:left="464" w:leftChars="221" w:firstLine="2040" w:firstLineChars="850"/>
        <w:rPr>
          <w:color w:val="auto"/>
          <w:sz w:val="24"/>
        </w:rPr>
      </w:pPr>
      <w:r>
        <w:rPr>
          <w:color w:val="auto"/>
          <w:position w:val="-24"/>
          <w:sz w:val="24"/>
        </w:rPr>
        <w:drawing>
          <wp:inline distT="0" distB="0" distL="114300" distR="114300">
            <wp:extent cx="1749425" cy="421640"/>
            <wp:effectExtent l="0" t="0" r="3175" b="4445"/>
            <wp:docPr id="3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5"/>
                    <pic:cNvPicPr>
                      <a:picLocks noChangeAspect="1"/>
                    </pic:cNvPicPr>
                  </pic:nvPicPr>
                  <pic:blipFill>
                    <a:blip r:embed="rId45"/>
                    <a:stretch>
                      <a:fillRect/>
                    </a:stretch>
                  </pic:blipFill>
                  <pic:spPr>
                    <a:xfrm>
                      <a:off x="0" y="0"/>
                      <a:ext cx="1749425" cy="421640"/>
                    </a:xfrm>
                    <a:prstGeom prst="rect">
                      <a:avLst/>
                    </a:prstGeom>
                    <a:noFill/>
                    <a:ln>
                      <a:noFill/>
                    </a:ln>
                  </pic:spPr>
                </pic:pic>
              </a:graphicData>
            </a:graphic>
          </wp:inline>
        </w:drawing>
      </w:r>
    </w:p>
    <w:p w14:paraId="7804BF5C">
      <w:pPr>
        <w:adjustRightInd w:val="0"/>
        <w:spacing w:line="360" w:lineRule="auto"/>
        <w:rPr>
          <w:bCs/>
          <w:color w:val="auto"/>
          <w:sz w:val="24"/>
        </w:rPr>
      </w:pPr>
      <w:r>
        <w:rPr>
          <w:bCs/>
          <w:color w:val="auto"/>
          <w:sz w:val="24"/>
        </w:rPr>
        <w:t>式中：Cm—</w:t>
      </w:r>
      <w:r>
        <w:rPr>
          <w:color w:val="auto"/>
          <w:sz w:val="24"/>
        </w:rPr>
        <w:t>大气有害物质环境空气质量的标准</w:t>
      </w:r>
      <w:r>
        <w:rPr>
          <w:bCs/>
          <w:color w:val="auto"/>
          <w:sz w:val="24"/>
        </w:rPr>
        <w:t>限值，mg/m</w:t>
      </w:r>
      <w:r>
        <w:rPr>
          <w:bCs/>
          <w:color w:val="auto"/>
          <w:sz w:val="24"/>
          <w:vertAlign w:val="superscript"/>
        </w:rPr>
        <w:t>3</w:t>
      </w:r>
      <w:r>
        <w:rPr>
          <w:bCs/>
          <w:color w:val="auto"/>
          <w:sz w:val="24"/>
        </w:rPr>
        <w:t>；</w:t>
      </w:r>
    </w:p>
    <w:p w14:paraId="3E443A88">
      <w:pPr>
        <w:adjustRightInd w:val="0"/>
        <w:spacing w:line="360" w:lineRule="auto"/>
        <w:ind w:firstLine="720" w:firstLineChars="300"/>
        <w:rPr>
          <w:bCs/>
          <w:color w:val="auto"/>
          <w:sz w:val="24"/>
        </w:rPr>
      </w:pPr>
      <w:r>
        <w:rPr>
          <w:bCs/>
          <w:color w:val="auto"/>
          <w:sz w:val="24"/>
        </w:rPr>
        <w:t>L—</w:t>
      </w:r>
      <w:r>
        <w:rPr>
          <w:color w:val="auto"/>
          <w:sz w:val="24"/>
        </w:rPr>
        <w:t>大气有害物质</w:t>
      </w:r>
      <w:r>
        <w:rPr>
          <w:bCs/>
          <w:color w:val="auto"/>
          <w:sz w:val="24"/>
        </w:rPr>
        <w:t>卫生防护距离初值，m；</w:t>
      </w:r>
    </w:p>
    <w:p w14:paraId="66DC4972">
      <w:pPr>
        <w:adjustRightInd w:val="0"/>
        <w:spacing w:line="360" w:lineRule="auto"/>
        <w:ind w:firstLine="720" w:firstLineChars="300"/>
        <w:rPr>
          <w:color w:val="auto"/>
          <w:sz w:val="24"/>
        </w:rPr>
      </w:pPr>
      <w:r>
        <w:rPr>
          <w:color w:val="auto"/>
          <w:sz w:val="24"/>
        </w:rPr>
        <w:t>r—大气有害物质无组织排放源所在生产单元的等效半径，m；根据该生产单元占地面积S(m</w:t>
      </w:r>
      <w:r>
        <w:rPr>
          <w:color w:val="auto"/>
          <w:sz w:val="24"/>
          <w:vertAlign w:val="superscript"/>
        </w:rPr>
        <w:t>2</w:t>
      </w:r>
      <w:r>
        <w:rPr>
          <w:color w:val="auto"/>
          <w:sz w:val="24"/>
        </w:rPr>
        <w:t>)计算，r=(S/π)</w:t>
      </w:r>
      <w:r>
        <w:rPr>
          <w:color w:val="auto"/>
          <w:sz w:val="24"/>
          <w:vertAlign w:val="superscript"/>
        </w:rPr>
        <w:t>0.5</w:t>
      </w:r>
      <w:r>
        <w:rPr>
          <w:color w:val="auto"/>
          <w:sz w:val="24"/>
        </w:rPr>
        <w:t>。</w:t>
      </w:r>
    </w:p>
    <w:p w14:paraId="00733520">
      <w:pPr>
        <w:adjustRightInd w:val="0"/>
        <w:spacing w:line="360" w:lineRule="auto"/>
        <w:ind w:firstLine="480" w:firstLineChars="200"/>
        <w:rPr>
          <w:color w:val="auto"/>
          <w:sz w:val="24"/>
        </w:rPr>
      </w:pPr>
      <w:r>
        <w:rPr>
          <w:color w:val="auto"/>
          <w:sz w:val="24"/>
        </w:rPr>
        <w:t>A、B、C、D—卫生防护距离初值计算系数，无因次，根据工业企业所在地近5年平均风速及大气污染源构成类别从表1查取。本工程卫生防护距离计算系数为Ⅱ类。</w:t>
      </w:r>
    </w:p>
    <w:p w14:paraId="26C33DEC">
      <w:pPr>
        <w:adjustRightInd w:val="0"/>
        <w:spacing w:line="360" w:lineRule="auto"/>
        <w:ind w:firstLine="480" w:firstLineChars="200"/>
        <w:rPr>
          <w:color w:val="auto"/>
          <w:sz w:val="24"/>
        </w:rPr>
      </w:pPr>
      <w:r>
        <w:rPr>
          <w:color w:val="auto"/>
          <w:sz w:val="24"/>
        </w:rPr>
        <w:t>Qc—大气有害物质无组织排放量，kg/h。</w:t>
      </w:r>
    </w:p>
    <w:p w14:paraId="39E6F887">
      <w:pPr>
        <w:adjustRightInd w:val="0"/>
        <w:spacing w:line="360" w:lineRule="auto"/>
        <w:ind w:firstLine="480" w:firstLineChars="200"/>
        <w:rPr>
          <w:color w:val="auto"/>
          <w:sz w:val="24"/>
        </w:rPr>
      </w:pPr>
      <w:r>
        <w:rPr>
          <w:color w:val="auto"/>
          <w:sz w:val="24"/>
        </w:rPr>
        <w:t>各系数取值如下：</w:t>
      </w:r>
    </w:p>
    <w:p w14:paraId="7847A57F">
      <w:pPr>
        <w:ind w:firstLine="422" w:firstLineChars="200"/>
        <w:jc w:val="center"/>
        <w:rPr>
          <w:b/>
          <w:color w:val="auto"/>
          <w:szCs w:val="21"/>
        </w:rPr>
      </w:pPr>
      <w:r>
        <w:rPr>
          <w:b/>
          <w:color w:val="auto"/>
          <w:szCs w:val="21"/>
        </w:rPr>
        <w:t>表</w:t>
      </w:r>
      <w:r>
        <w:rPr>
          <w:rFonts w:hint="eastAsia"/>
          <w:b/>
          <w:color w:val="auto"/>
          <w:szCs w:val="21"/>
        </w:rPr>
        <w:t>5</w:t>
      </w:r>
      <w:r>
        <w:rPr>
          <w:rFonts w:hint="eastAsia"/>
          <w:b/>
          <w:color w:val="auto"/>
          <w:szCs w:val="21"/>
          <w:lang w:val="en-US" w:eastAsia="zh-CN"/>
        </w:rPr>
        <w:t>.2</w:t>
      </w:r>
      <w:r>
        <w:rPr>
          <w:rFonts w:hint="eastAsia"/>
          <w:b/>
          <w:color w:val="auto"/>
          <w:szCs w:val="21"/>
        </w:rPr>
        <w:t>-1</w:t>
      </w:r>
      <w:r>
        <w:rPr>
          <w:rFonts w:hint="eastAsia"/>
          <w:b/>
          <w:color w:val="auto"/>
          <w:szCs w:val="21"/>
          <w:lang w:val="en-US" w:eastAsia="zh-CN"/>
        </w:rPr>
        <w:t>6</w:t>
      </w:r>
      <w:r>
        <w:rPr>
          <w:rFonts w:hint="eastAsia"/>
          <w:b/>
          <w:color w:val="auto"/>
          <w:szCs w:val="21"/>
        </w:rPr>
        <w:t xml:space="preserve">  </w:t>
      </w:r>
      <w:r>
        <w:rPr>
          <w:b/>
          <w:color w:val="auto"/>
          <w:szCs w:val="21"/>
        </w:rPr>
        <w:t xml:space="preserve"> 卫生防护距离初值计算系数</w:t>
      </w:r>
    </w:p>
    <w:tbl>
      <w:tblPr>
        <w:tblStyle w:val="54"/>
        <w:tblW w:w="4998"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841"/>
        <w:gridCol w:w="2842"/>
        <w:gridCol w:w="2842"/>
      </w:tblGrid>
      <w:tr w14:paraId="649DBD88">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66" w:type="pct"/>
            <w:tcBorders>
              <w:tl2br w:val="nil"/>
              <w:tr2bl w:val="nil"/>
            </w:tcBorders>
            <w:vAlign w:val="center"/>
          </w:tcPr>
          <w:p w14:paraId="69DACB3A">
            <w:pPr>
              <w:pStyle w:val="69"/>
              <w:tabs>
                <w:tab w:val="left" w:pos="4665"/>
                <w:tab w:val="left" w:pos="8970"/>
              </w:tabs>
              <w:jc w:val="center"/>
              <w:rPr>
                <w:rFonts w:ascii="Times New Roman" w:hAnsi="Times New Roman" w:eastAsia="宋体"/>
                <w:color w:val="auto"/>
                <w:sz w:val="21"/>
                <w:szCs w:val="21"/>
              </w:rPr>
            </w:pPr>
          </w:p>
        </w:tc>
        <w:tc>
          <w:tcPr>
            <w:tcW w:w="1666" w:type="pct"/>
            <w:tcBorders>
              <w:tl2br w:val="nil"/>
              <w:tr2bl w:val="nil"/>
            </w:tcBorders>
            <w:vAlign w:val="center"/>
          </w:tcPr>
          <w:p w14:paraId="4126FF8D">
            <w:pPr>
              <w:pStyle w:val="69"/>
              <w:tabs>
                <w:tab w:val="left" w:pos="4665"/>
                <w:tab w:val="left" w:pos="8970"/>
              </w:tabs>
              <w:jc w:val="center"/>
              <w:rPr>
                <w:rFonts w:ascii="Times New Roman" w:hAnsi="Times New Roman" w:eastAsia="宋体"/>
                <w:color w:val="auto"/>
                <w:sz w:val="21"/>
                <w:szCs w:val="21"/>
              </w:rPr>
            </w:pPr>
            <w:r>
              <w:rPr>
                <w:rFonts w:ascii="Times New Roman" w:hAnsi="Times New Roman" w:eastAsia="宋体"/>
                <w:color w:val="auto"/>
                <w:sz w:val="21"/>
                <w:szCs w:val="21"/>
              </w:rPr>
              <w:t>平均风速（m/s）</w:t>
            </w:r>
          </w:p>
        </w:tc>
        <w:tc>
          <w:tcPr>
            <w:tcW w:w="1666" w:type="pct"/>
            <w:tcBorders>
              <w:tl2br w:val="nil"/>
              <w:tr2bl w:val="nil"/>
            </w:tcBorders>
            <w:vAlign w:val="center"/>
          </w:tcPr>
          <w:p w14:paraId="577D385C">
            <w:pPr>
              <w:pStyle w:val="69"/>
              <w:tabs>
                <w:tab w:val="left" w:pos="4665"/>
                <w:tab w:val="left" w:pos="8970"/>
              </w:tabs>
              <w:jc w:val="center"/>
              <w:rPr>
                <w:rFonts w:ascii="Times New Roman" w:hAnsi="Times New Roman" w:eastAsia="宋体"/>
                <w:color w:val="auto"/>
                <w:sz w:val="21"/>
                <w:szCs w:val="21"/>
              </w:rPr>
            </w:pPr>
            <w:r>
              <w:rPr>
                <w:rFonts w:ascii="Times New Roman" w:hAnsi="Times New Roman" w:eastAsia="宋体"/>
                <w:color w:val="auto"/>
                <w:sz w:val="21"/>
                <w:szCs w:val="21"/>
              </w:rPr>
              <w:t>类别（Ⅱ类）</w:t>
            </w:r>
          </w:p>
        </w:tc>
      </w:tr>
      <w:tr w14:paraId="50FEA96B">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66" w:type="pct"/>
            <w:tcBorders>
              <w:tl2br w:val="nil"/>
              <w:tr2bl w:val="nil"/>
            </w:tcBorders>
            <w:vAlign w:val="center"/>
          </w:tcPr>
          <w:p w14:paraId="68213811">
            <w:pPr>
              <w:pStyle w:val="69"/>
              <w:tabs>
                <w:tab w:val="left" w:pos="4665"/>
                <w:tab w:val="left" w:pos="8970"/>
              </w:tabs>
              <w:jc w:val="center"/>
              <w:rPr>
                <w:rFonts w:ascii="Times New Roman" w:hAnsi="Times New Roman" w:eastAsia="宋体"/>
                <w:color w:val="auto"/>
                <w:sz w:val="21"/>
                <w:szCs w:val="21"/>
              </w:rPr>
            </w:pPr>
            <w:r>
              <w:rPr>
                <w:rFonts w:ascii="Times New Roman" w:hAnsi="Times New Roman" w:eastAsia="宋体"/>
                <w:color w:val="auto"/>
                <w:sz w:val="21"/>
                <w:szCs w:val="21"/>
              </w:rPr>
              <w:t>A</w:t>
            </w:r>
          </w:p>
        </w:tc>
        <w:tc>
          <w:tcPr>
            <w:tcW w:w="1666" w:type="pct"/>
            <w:tcBorders>
              <w:tl2br w:val="nil"/>
              <w:tr2bl w:val="nil"/>
            </w:tcBorders>
            <w:vAlign w:val="center"/>
          </w:tcPr>
          <w:p w14:paraId="50D5B8F4">
            <w:pPr>
              <w:pStyle w:val="69"/>
              <w:tabs>
                <w:tab w:val="left" w:pos="4665"/>
                <w:tab w:val="left" w:pos="8970"/>
              </w:tabs>
              <w:jc w:val="center"/>
              <w:rPr>
                <w:rFonts w:ascii="Times New Roman" w:hAnsi="Times New Roman" w:eastAsia="宋体"/>
                <w:color w:val="auto"/>
                <w:sz w:val="21"/>
                <w:szCs w:val="21"/>
              </w:rPr>
            </w:pPr>
            <w:r>
              <w:rPr>
                <w:rFonts w:ascii="Times New Roman" w:hAnsi="Times New Roman" w:eastAsia="宋体"/>
                <w:color w:val="auto"/>
                <w:sz w:val="21"/>
                <w:szCs w:val="21"/>
              </w:rPr>
              <w:t>2-4</w:t>
            </w:r>
          </w:p>
        </w:tc>
        <w:tc>
          <w:tcPr>
            <w:tcW w:w="1666" w:type="pct"/>
            <w:tcBorders>
              <w:tl2br w:val="nil"/>
              <w:tr2bl w:val="nil"/>
            </w:tcBorders>
            <w:vAlign w:val="center"/>
          </w:tcPr>
          <w:p w14:paraId="043DFEDB">
            <w:pPr>
              <w:pStyle w:val="69"/>
              <w:tabs>
                <w:tab w:val="left" w:pos="4665"/>
                <w:tab w:val="left" w:pos="8970"/>
              </w:tabs>
              <w:jc w:val="center"/>
              <w:rPr>
                <w:rFonts w:ascii="Times New Roman" w:hAnsi="Times New Roman" w:eastAsia="宋体"/>
                <w:color w:val="auto"/>
                <w:sz w:val="21"/>
                <w:szCs w:val="21"/>
              </w:rPr>
            </w:pPr>
            <w:r>
              <w:rPr>
                <w:rFonts w:ascii="Times New Roman" w:hAnsi="Times New Roman" w:eastAsia="宋体"/>
                <w:color w:val="auto"/>
                <w:sz w:val="21"/>
                <w:szCs w:val="21"/>
              </w:rPr>
              <w:t>470</w:t>
            </w:r>
          </w:p>
        </w:tc>
      </w:tr>
      <w:tr w14:paraId="6D1F138D">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66" w:type="pct"/>
            <w:tcBorders>
              <w:tl2br w:val="nil"/>
              <w:tr2bl w:val="nil"/>
            </w:tcBorders>
            <w:vAlign w:val="center"/>
          </w:tcPr>
          <w:p w14:paraId="77ECB504">
            <w:pPr>
              <w:pStyle w:val="69"/>
              <w:tabs>
                <w:tab w:val="left" w:pos="4665"/>
                <w:tab w:val="left" w:pos="8970"/>
              </w:tabs>
              <w:jc w:val="center"/>
              <w:rPr>
                <w:rFonts w:ascii="Times New Roman" w:hAnsi="Times New Roman" w:eastAsia="宋体"/>
                <w:color w:val="auto"/>
                <w:sz w:val="21"/>
                <w:szCs w:val="21"/>
              </w:rPr>
            </w:pPr>
            <w:r>
              <w:rPr>
                <w:rFonts w:ascii="Times New Roman" w:hAnsi="Times New Roman" w:eastAsia="宋体"/>
                <w:color w:val="auto"/>
                <w:sz w:val="21"/>
                <w:szCs w:val="21"/>
              </w:rPr>
              <w:t>B</w:t>
            </w:r>
          </w:p>
        </w:tc>
        <w:tc>
          <w:tcPr>
            <w:tcW w:w="1666" w:type="pct"/>
            <w:tcBorders>
              <w:tl2br w:val="nil"/>
              <w:tr2bl w:val="nil"/>
            </w:tcBorders>
            <w:vAlign w:val="center"/>
          </w:tcPr>
          <w:p w14:paraId="48024004">
            <w:pPr>
              <w:pStyle w:val="69"/>
              <w:tabs>
                <w:tab w:val="left" w:pos="4665"/>
                <w:tab w:val="left" w:pos="8970"/>
              </w:tabs>
              <w:jc w:val="center"/>
              <w:rPr>
                <w:rFonts w:ascii="Times New Roman" w:hAnsi="Times New Roman" w:eastAsia="宋体"/>
                <w:color w:val="auto"/>
                <w:sz w:val="21"/>
                <w:szCs w:val="21"/>
              </w:rPr>
            </w:pPr>
            <w:r>
              <w:rPr>
                <w:rFonts w:ascii="Times New Roman" w:hAnsi="Times New Roman" w:eastAsia="宋体"/>
                <w:color w:val="auto"/>
                <w:sz w:val="21"/>
                <w:szCs w:val="21"/>
              </w:rPr>
              <w:t>&gt;2</w:t>
            </w:r>
          </w:p>
        </w:tc>
        <w:tc>
          <w:tcPr>
            <w:tcW w:w="1666" w:type="pct"/>
            <w:tcBorders>
              <w:tl2br w:val="nil"/>
              <w:tr2bl w:val="nil"/>
            </w:tcBorders>
            <w:vAlign w:val="center"/>
          </w:tcPr>
          <w:p w14:paraId="2C6D6909">
            <w:pPr>
              <w:pStyle w:val="69"/>
              <w:tabs>
                <w:tab w:val="left" w:pos="4665"/>
                <w:tab w:val="left" w:pos="8970"/>
              </w:tabs>
              <w:jc w:val="center"/>
              <w:rPr>
                <w:rFonts w:ascii="Times New Roman" w:hAnsi="Times New Roman" w:eastAsia="宋体"/>
                <w:color w:val="auto"/>
                <w:sz w:val="21"/>
                <w:szCs w:val="21"/>
              </w:rPr>
            </w:pPr>
            <w:r>
              <w:rPr>
                <w:rFonts w:ascii="Times New Roman" w:hAnsi="Times New Roman" w:eastAsia="宋体"/>
                <w:color w:val="auto"/>
                <w:sz w:val="21"/>
                <w:szCs w:val="21"/>
              </w:rPr>
              <w:t>0.021</w:t>
            </w:r>
          </w:p>
        </w:tc>
      </w:tr>
      <w:tr w14:paraId="7A728B4E">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66" w:type="pct"/>
            <w:tcBorders>
              <w:tl2br w:val="nil"/>
              <w:tr2bl w:val="nil"/>
            </w:tcBorders>
            <w:vAlign w:val="center"/>
          </w:tcPr>
          <w:p w14:paraId="5E282809">
            <w:pPr>
              <w:pStyle w:val="69"/>
              <w:tabs>
                <w:tab w:val="left" w:pos="4665"/>
                <w:tab w:val="left" w:pos="8970"/>
              </w:tabs>
              <w:jc w:val="center"/>
              <w:rPr>
                <w:rFonts w:ascii="Times New Roman" w:hAnsi="Times New Roman" w:eastAsia="宋体"/>
                <w:color w:val="auto"/>
                <w:sz w:val="21"/>
                <w:szCs w:val="21"/>
              </w:rPr>
            </w:pPr>
            <w:r>
              <w:rPr>
                <w:rFonts w:ascii="Times New Roman" w:hAnsi="Times New Roman" w:eastAsia="宋体"/>
                <w:color w:val="auto"/>
                <w:sz w:val="21"/>
                <w:szCs w:val="21"/>
              </w:rPr>
              <w:t>C</w:t>
            </w:r>
          </w:p>
        </w:tc>
        <w:tc>
          <w:tcPr>
            <w:tcW w:w="1666" w:type="pct"/>
            <w:tcBorders>
              <w:tl2br w:val="nil"/>
              <w:tr2bl w:val="nil"/>
            </w:tcBorders>
            <w:vAlign w:val="center"/>
          </w:tcPr>
          <w:p w14:paraId="4E95A4D7">
            <w:pPr>
              <w:jc w:val="center"/>
              <w:rPr>
                <w:color w:val="auto"/>
                <w:szCs w:val="21"/>
              </w:rPr>
            </w:pPr>
            <w:r>
              <w:rPr>
                <w:color w:val="auto"/>
                <w:szCs w:val="21"/>
              </w:rPr>
              <w:t>&gt;2</w:t>
            </w:r>
          </w:p>
        </w:tc>
        <w:tc>
          <w:tcPr>
            <w:tcW w:w="1666" w:type="pct"/>
            <w:tcBorders>
              <w:tl2br w:val="nil"/>
              <w:tr2bl w:val="nil"/>
            </w:tcBorders>
            <w:vAlign w:val="center"/>
          </w:tcPr>
          <w:p w14:paraId="7220DC51">
            <w:pPr>
              <w:pStyle w:val="69"/>
              <w:tabs>
                <w:tab w:val="left" w:pos="4665"/>
                <w:tab w:val="left" w:pos="8970"/>
              </w:tabs>
              <w:jc w:val="center"/>
              <w:rPr>
                <w:rFonts w:ascii="Times New Roman" w:hAnsi="Times New Roman" w:eastAsia="宋体"/>
                <w:color w:val="auto"/>
                <w:sz w:val="21"/>
                <w:szCs w:val="21"/>
              </w:rPr>
            </w:pPr>
            <w:r>
              <w:rPr>
                <w:rFonts w:ascii="Times New Roman" w:hAnsi="Times New Roman" w:eastAsia="宋体"/>
                <w:color w:val="auto"/>
                <w:sz w:val="21"/>
                <w:szCs w:val="21"/>
              </w:rPr>
              <w:t>1.85</w:t>
            </w:r>
          </w:p>
        </w:tc>
      </w:tr>
      <w:tr w14:paraId="52A40757">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66" w:type="pct"/>
            <w:tcBorders>
              <w:tl2br w:val="nil"/>
              <w:tr2bl w:val="nil"/>
            </w:tcBorders>
            <w:vAlign w:val="center"/>
          </w:tcPr>
          <w:p w14:paraId="36EF5E95">
            <w:pPr>
              <w:pStyle w:val="69"/>
              <w:tabs>
                <w:tab w:val="left" w:pos="4665"/>
                <w:tab w:val="left" w:pos="8970"/>
              </w:tabs>
              <w:jc w:val="center"/>
              <w:rPr>
                <w:rFonts w:ascii="Times New Roman" w:hAnsi="Times New Roman" w:eastAsia="宋体"/>
                <w:color w:val="auto"/>
                <w:sz w:val="21"/>
                <w:szCs w:val="21"/>
              </w:rPr>
            </w:pPr>
            <w:r>
              <w:rPr>
                <w:rFonts w:ascii="Times New Roman" w:hAnsi="Times New Roman" w:eastAsia="宋体"/>
                <w:color w:val="auto"/>
                <w:sz w:val="21"/>
                <w:szCs w:val="21"/>
              </w:rPr>
              <w:t>D</w:t>
            </w:r>
          </w:p>
        </w:tc>
        <w:tc>
          <w:tcPr>
            <w:tcW w:w="1666" w:type="pct"/>
            <w:tcBorders>
              <w:tl2br w:val="nil"/>
              <w:tr2bl w:val="nil"/>
            </w:tcBorders>
            <w:vAlign w:val="center"/>
          </w:tcPr>
          <w:p w14:paraId="1E7F2FA2">
            <w:pPr>
              <w:jc w:val="center"/>
              <w:rPr>
                <w:color w:val="auto"/>
                <w:szCs w:val="21"/>
              </w:rPr>
            </w:pPr>
            <w:r>
              <w:rPr>
                <w:color w:val="auto"/>
                <w:szCs w:val="21"/>
              </w:rPr>
              <w:t>&gt;2</w:t>
            </w:r>
          </w:p>
        </w:tc>
        <w:tc>
          <w:tcPr>
            <w:tcW w:w="1666" w:type="pct"/>
            <w:tcBorders>
              <w:tl2br w:val="nil"/>
              <w:tr2bl w:val="nil"/>
            </w:tcBorders>
            <w:vAlign w:val="center"/>
          </w:tcPr>
          <w:p w14:paraId="23AC664B">
            <w:pPr>
              <w:pStyle w:val="69"/>
              <w:tabs>
                <w:tab w:val="left" w:pos="4665"/>
                <w:tab w:val="left" w:pos="8970"/>
              </w:tabs>
              <w:jc w:val="center"/>
              <w:rPr>
                <w:rFonts w:ascii="Times New Roman" w:hAnsi="Times New Roman" w:eastAsia="宋体"/>
                <w:color w:val="auto"/>
                <w:sz w:val="21"/>
                <w:szCs w:val="21"/>
              </w:rPr>
            </w:pPr>
            <w:r>
              <w:rPr>
                <w:rFonts w:ascii="Times New Roman" w:hAnsi="Times New Roman" w:eastAsia="宋体"/>
                <w:color w:val="auto"/>
                <w:sz w:val="21"/>
                <w:szCs w:val="21"/>
              </w:rPr>
              <w:t>0.84</w:t>
            </w:r>
          </w:p>
        </w:tc>
      </w:tr>
    </w:tbl>
    <w:p w14:paraId="36421F06">
      <w:pPr>
        <w:adjustRightInd w:val="0"/>
        <w:spacing w:line="360" w:lineRule="auto"/>
        <w:ind w:firstLine="480" w:firstLineChars="200"/>
        <w:rPr>
          <w:color w:val="auto"/>
          <w:sz w:val="24"/>
        </w:rPr>
      </w:pPr>
      <w:r>
        <w:rPr>
          <w:color w:val="auto"/>
          <w:sz w:val="24"/>
        </w:rPr>
        <w:t>据上述计算结果可知，本工程确定污染物排放参数及卫生防护距离见下表。</w:t>
      </w:r>
    </w:p>
    <w:p w14:paraId="10FBF53A">
      <w:pPr>
        <w:ind w:firstLine="422" w:firstLineChars="200"/>
        <w:jc w:val="center"/>
        <w:rPr>
          <w:b/>
          <w:color w:val="auto"/>
          <w:szCs w:val="21"/>
          <w:highlight w:val="none"/>
        </w:rPr>
      </w:pPr>
      <w:r>
        <w:rPr>
          <w:b/>
          <w:color w:val="auto"/>
          <w:szCs w:val="21"/>
          <w:highlight w:val="none"/>
        </w:rPr>
        <w:t>表</w:t>
      </w:r>
      <w:r>
        <w:rPr>
          <w:rFonts w:hint="eastAsia"/>
          <w:b/>
          <w:color w:val="auto"/>
          <w:szCs w:val="21"/>
          <w:highlight w:val="none"/>
        </w:rPr>
        <w:t>5</w:t>
      </w:r>
      <w:r>
        <w:rPr>
          <w:rFonts w:hint="eastAsia"/>
          <w:b/>
          <w:color w:val="auto"/>
          <w:szCs w:val="21"/>
          <w:highlight w:val="none"/>
          <w:lang w:val="en-US" w:eastAsia="zh-CN"/>
        </w:rPr>
        <w:t>.2</w:t>
      </w:r>
      <w:r>
        <w:rPr>
          <w:rFonts w:hint="eastAsia"/>
          <w:b/>
          <w:color w:val="auto"/>
          <w:szCs w:val="21"/>
          <w:highlight w:val="none"/>
        </w:rPr>
        <w:t>-1</w:t>
      </w:r>
      <w:r>
        <w:rPr>
          <w:rFonts w:hint="eastAsia"/>
          <w:b/>
          <w:color w:val="auto"/>
          <w:szCs w:val="21"/>
          <w:highlight w:val="none"/>
          <w:lang w:val="en-US" w:eastAsia="zh-CN"/>
        </w:rPr>
        <w:t>7</w:t>
      </w:r>
      <w:r>
        <w:rPr>
          <w:rFonts w:hint="eastAsia"/>
          <w:b/>
          <w:color w:val="auto"/>
          <w:szCs w:val="21"/>
          <w:highlight w:val="none"/>
        </w:rPr>
        <w:t xml:space="preserve">  </w:t>
      </w:r>
      <w:r>
        <w:rPr>
          <w:b/>
          <w:color w:val="auto"/>
          <w:szCs w:val="21"/>
          <w:highlight w:val="none"/>
        </w:rPr>
        <w:t xml:space="preserve">   卫生防护距离计算结果</w:t>
      </w:r>
    </w:p>
    <w:tbl>
      <w:tblPr>
        <w:tblStyle w:val="53"/>
        <w:tblW w:w="4996"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357"/>
        <w:gridCol w:w="1016"/>
        <w:gridCol w:w="1168"/>
        <w:gridCol w:w="2544"/>
        <w:gridCol w:w="2436"/>
      </w:tblGrid>
      <w:tr w14:paraId="3078C942">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96" w:type="pct"/>
            <w:tcBorders>
              <w:tl2br w:val="nil"/>
              <w:tr2bl w:val="nil"/>
            </w:tcBorders>
            <w:vAlign w:val="center"/>
          </w:tcPr>
          <w:p w14:paraId="245A4328">
            <w:pPr>
              <w:jc w:val="center"/>
              <w:rPr>
                <w:b/>
                <w:color w:val="auto"/>
                <w:szCs w:val="21"/>
                <w:highlight w:val="none"/>
              </w:rPr>
            </w:pPr>
            <w:r>
              <w:rPr>
                <w:b/>
                <w:color w:val="auto"/>
                <w:szCs w:val="21"/>
                <w:highlight w:val="none"/>
              </w:rPr>
              <w:t>污染源</w:t>
            </w:r>
          </w:p>
        </w:tc>
        <w:tc>
          <w:tcPr>
            <w:tcW w:w="596" w:type="pct"/>
            <w:tcBorders>
              <w:tl2br w:val="nil"/>
              <w:tr2bl w:val="nil"/>
            </w:tcBorders>
            <w:vAlign w:val="center"/>
          </w:tcPr>
          <w:p w14:paraId="64BC040E">
            <w:pPr>
              <w:jc w:val="center"/>
              <w:rPr>
                <w:b/>
                <w:color w:val="auto"/>
                <w:szCs w:val="21"/>
                <w:highlight w:val="none"/>
              </w:rPr>
            </w:pPr>
            <w:r>
              <w:rPr>
                <w:b/>
                <w:color w:val="auto"/>
                <w:szCs w:val="21"/>
                <w:highlight w:val="none"/>
              </w:rPr>
              <w:t>污染物</w:t>
            </w:r>
          </w:p>
        </w:tc>
        <w:tc>
          <w:tcPr>
            <w:tcW w:w="685" w:type="pct"/>
            <w:tcBorders>
              <w:tl2br w:val="nil"/>
              <w:tr2bl w:val="nil"/>
            </w:tcBorders>
            <w:vAlign w:val="center"/>
          </w:tcPr>
          <w:p w14:paraId="63553341">
            <w:pPr>
              <w:jc w:val="center"/>
              <w:rPr>
                <w:b/>
                <w:color w:val="auto"/>
                <w:szCs w:val="21"/>
                <w:highlight w:val="none"/>
              </w:rPr>
            </w:pPr>
            <w:r>
              <w:rPr>
                <w:b/>
                <w:color w:val="auto"/>
                <w:szCs w:val="21"/>
                <w:highlight w:val="none"/>
              </w:rPr>
              <w:t>排放速率(kg/h)</w:t>
            </w:r>
          </w:p>
        </w:tc>
        <w:tc>
          <w:tcPr>
            <w:tcW w:w="1492" w:type="pct"/>
            <w:tcBorders>
              <w:tl2br w:val="nil"/>
              <w:tr2bl w:val="nil"/>
            </w:tcBorders>
            <w:vAlign w:val="center"/>
          </w:tcPr>
          <w:p w14:paraId="01CE80C9">
            <w:pPr>
              <w:jc w:val="center"/>
              <w:rPr>
                <w:b/>
                <w:color w:val="auto"/>
                <w:szCs w:val="21"/>
                <w:highlight w:val="none"/>
              </w:rPr>
            </w:pPr>
            <w:r>
              <w:rPr>
                <w:b/>
                <w:color w:val="auto"/>
                <w:szCs w:val="21"/>
                <w:highlight w:val="none"/>
              </w:rPr>
              <w:t>卫生防护距离计算结果(m)</w:t>
            </w:r>
          </w:p>
        </w:tc>
        <w:tc>
          <w:tcPr>
            <w:tcW w:w="1428" w:type="pct"/>
            <w:tcBorders>
              <w:tl2br w:val="nil"/>
              <w:tr2bl w:val="nil"/>
            </w:tcBorders>
            <w:vAlign w:val="center"/>
          </w:tcPr>
          <w:p w14:paraId="5BA63CD2">
            <w:pPr>
              <w:jc w:val="center"/>
              <w:rPr>
                <w:b/>
                <w:color w:val="auto"/>
                <w:szCs w:val="21"/>
                <w:highlight w:val="none"/>
              </w:rPr>
            </w:pPr>
            <w:r>
              <w:rPr>
                <w:b/>
                <w:color w:val="auto"/>
                <w:szCs w:val="21"/>
                <w:highlight w:val="none"/>
              </w:rPr>
              <w:t>卫生防护距离最终确定(m)</w:t>
            </w:r>
          </w:p>
        </w:tc>
      </w:tr>
      <w:tr w14:paraId="1F4DDBBC">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96" w:type="pct"/>
            <w:vMerge w:val="restart"/>
            <w:tcBorders>
              <w:tl2br w:val="nil"/>
              <w:tr2bl w:val="nil"/>
            </w:tcBorders>
            <w:vAlign w:val="center"/>
          </w:tcPr>
          <w:p w14:paraId="3ABE17E5">
            <w:pPr>
              <w:jc w:val="center"/>
              <w:rPr>
                <w:color w:val="auto"/>
                <w:spacing w:val="-2"/>
                <w:kern w:val="0"/>
                <w:szCs w:val="21"/>
                <w:highlight w:val="none"/>
              </w:rPr>
            </w:pPr>
            <w:r>
              <w:rPr>
                <w:rFonts w:hint="eastAsia"/>
                <w:color w:val="auto"/>
                <w:spacing w:val="-2"/>
                <w:kern w:val="0"/>
                <w:szCs w:val="21"/>
                <w:highlight w:val="none"/>
              </w:rPr>
              <w:t>鸡舍</w:t>
            </w:r>
          </w:p>
        </w:tc>
        <w:tc>
          <w:tcPr>
            <w:tcW w:w="596" w:type="pct"/>
            <w:tcBorders>
              <w:tl2br w:val="nil"/>
              <w:tr2bl w:val="nil"/>
            </w:tcBorders>
            <w:vAlign w:val="center"/>
          </w:tcPr>
          <w:p w14:paraId="0456AF13">
            <w:pPr>
              <w:autoSpaceDE w:val="0"/>
              <w:autoSpaceDN w:val="0"/>
              <w:adjustRightInd w:val="0"/>
              <w:jc w:val="center"/>
              <w:rPr>
                <w:color w:val="auto"/>
                <w:szCs w:val="21"/>
                <w:highlight w:val="none"/>
              </w:rPr>
            </w:pPr>
            <w:r>
              <w:rPr>
                <w:color w:val="auto"/>
                <w:szCs w:val="21"/>
                <w:highlight w:val="none"/>
              </w:rPr>
              <w:t>NH</w:t>
            </w:r>
            <w:r>
              <w:rPr>
                <w:color w:val="auto"/>
                <w:szCs w:val="21"/>
                <w:highlight w:val="none"/>
                <w:vertAlign w:val="subscript"/>
              </w:rPr>
              <w:t>3</w:t>
            </w:r>
          </w:p>
        </w:tc>
        <w:tc>
          <w:tcPr>
            <w:tcW w:w="1263" w:type="dxa"/>
            <w:tcBorders>
              <w:tl2br w:val="nil"/>
              <w:tr2bl w:val="nil"/>
            </w:tcBorders>
            <w:vAlign w:val="center"/>
          </w:tcPr>
          <w:p w14:paraId="373B2CB3">
            <w:pPr>
              <w:widowControl/>
              <w:jc w:val="center"/>
              <w:textAlignment w:val="center"/>
              <w:rPr>
                <w:color w:val="auto"/>
                <w:szCs w:val="21"/>
                <w:highlight w:val="none"/>
              </w:rPr>
            </w:pPr>
            <w:r>
              <w:rPr>
                <w:color w:val="auto"/>
                <w:szCs w:val="21"/>
                <w:highlight w:val="none"/>
              </w:rPr>
              <w:t>0.005</w:t>
            </w:r>
          </w:p>
        </w:tc>
        <w:tc>
          <w:tcPr>
            <w:tcW w:w="1492" w:type="pct"/>
            <w:tcBorders>
              <w:tl2br w:val="nil"/>
              <w:tr2bl w:val="nil"/>
            </w:tcBorders>
            <w:vAlign w:val="center"/>
          </w:tcPr>
          <w:p w14:paraId="69FD1527">
            <w:pPr>
              <w:jc w:val="center"/>
              <w:rPr>
                <w:rFonts w:hint="default" w:eastAsia="宋体"/>
                <w:color w:val="auto"/>
                <w:szCs w:val="21"/>
                <w:highlight w:val="none"/>
                <w:lang w:val="en-US" w:eastAsia="zh-CN"/>
              </w:rPr>
            </w:pPr>
            <w:r>
              <w:rPr>
                <w:rFonts w:hint="eastAsia"/>
                <w:color w:val="auto"/>
                <w:szCs w:val="21"/>
                <w:highlight w:val="none"/>
                <w:lang w:val="en-US" w:eastAsia="zh-CN"/>
              </w:rPr>
              <w:t>0.125</w:t>
            </w:r>
          </w:p>
        </w:tc>
        <w:tc>
          <w:tcPr>
            <w:tcW w:w="1428" w:type="pct"/>
            <w:tcBorders>
              <w:tl2br w:val="nil"/>
              <w:tr2bl w:val="nil"/>
            </w:tcBorders>
            <w:vAlign w:val="center"/>
          </w:tcPr>
          <w:p w14:paraId="400C87E6">
            <w:pPr>
              <w:jc w:val="center"/>
              <w:rPr>
                <w:color w:val="auto"/>
                <w:szCs w:val="21"/>
                <w:highlight w:val="none"/>
              </w:rPr>
            </w:pPr>
            <w:r>
              <w:rPr>
                <w:rFonts w:hint="eastAsia"/>
                <w:color w:val="auto"/>
                <w:szCs w:val="21"/>
                <w:highlight w:val="none"/>
              </w:rPr>
              <w:t>50</w:t>
            </w:r>
          </w:p>
        </w:tc>
      </w:tr>
      <w:tr w14:paraId="243F71D3">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96" w:type="pct"/>
            <w:vMerge w:val="continue"/>
            <w:tcBorders>
              <w:tl2br w:val="nil"/>
              <w:tr2bl w:val="nil"/>
            </w:tcBorders>
            <w:vAlign w:val="center"/>
          </w:tcPr>
          <w:p w14:paraId="06BBE917">
            <w:pPr>
              <w:jc w:val="center"/>
              <w:rPr>
                <w:color w:val="auto"/>
                <w:spacing w:val="-2"/>
                <w:kern w:val="0"/>
                <w:szCs w:val="21"/>
                <w:highlight w:val="none"/>
              </w:rPr>
            </w:pPr>
          </w:p>
        </w:tc>
        <w:tc>
          <w:tcPr>
            <w:tcW w:w="596" w:type="pct"/>
            <w:tcBorders>
              <w:tl2br w:val="nil"/>
              <w:tr2bl w:val="nil"/>
            </w:tcBorders>
            <w:vAlign w:val="center"/>
          </w:tcPr>
          <w:p w14:paraId="4A0E9E8F">
            <w:pPr>
              <w:autoSpaceDE w:val="0"/>
              <w:autoSpaceDN w:val="0"/>
              <w:adjustRightInd w:val="0"/>
              <w:jc w:val="center"/>
              <w:rPr>
                <w:color w:val="auto"/>
                <w:szCs w:val="21"/>
                <w:highlight w:val="none"/>
              </w:rPr>
            </w:pPr>
            <w:r>
              <w:rPr>
                <w:color w:val="auto"/>
                <w:szCs w:val="21"/>
                <w:highlight w:val="none"/>
              </w:rPr>
              <w:t>H</w:t>
            </w:r>
            <w:r>
              <w:rPr>
                <w:color w:val="auto"/>
                <w:szCs w:val="21"/>
                <w:highlight w:val="none"/>
                <w:vertAlign w:val="subscript"/>
              </w:rPr>
              <w:t>2</w:t>
            </w:r>
            <w:r>
              <w:rPr>
                <w:color w:val="auto"/>
                <w:szCs w:val="21"/>
                <w:highlight w:val="none"/>
              </w:rPr>
              <w:t>S</w:t>
            </w:r>
          </w:p>
        </w:tc>
        <w:tc>
          <w:tcPr>
            <w:tcW w:w="1263" w:type="dxa"/>
            <w:tcBorders>
              <w:tl2br w:val="nil"/>
              <w:tr2bl w:val="nil"/>
            </w:tcBorders>
            <w:vAlign w:val="center"/>
          </w:tcPr>
          <w:p w14:paraId="3768F7B6">
            <w:pPr>
              <w:widowControl/>
              <w:jc w:val="center"/>
              <w:textAlignment w:val="center"/>
              <w:rPr>
                <w:color w:val="auto"/>
                <w:kern w:val="0"/>
                <w:szCs w:val="21"/>
                <w:highlight w:val="none"/>
                <w:lang w:bidi="ar"/>
              </w:rPr>
            </w:pPr>
            <w:r>
              <w:rPr>
                <w:color w:val="auto"/>
                <w:szCs w:val="21"/>
                <w:highlight w:val="none"/>
              </w:rPr>
              <w:t>0.00025</w:t>
            </w:r>
          </w:p>
        </w:tc>
        <w:tc>
          <w:tcPr>
            <w:tcW w:w="1492" w:type="pct"/>
            <w:tcBorders>
              <w:tl2br w:val="nil"/>
              <w:tr2bl w:val="nil"/>
            </w:tcBorders>
            <w:vAlign w:val="center"/>
          </w:tcPr>
          <w:p w14:paraId="0B1586ED">
            <w:pPr>
              <w:jc w:val="center"/>
              <w:rPr>
                <w:rFonts w:hint="default" w:eastAsia="宋体"/>
                <w:color w:val="auto"/>
                <w:szCs w:val="21"/>
                <w:highlight w:val="none"/>
                <w:lang w:val="en-US" w:eastAsia="zh-CN"/>
              </w:rPr>
            </w:pPr>
            <w:r>
              <w:rPr>
                <w:rFonts w:hint="eastAsia"/>
                <w:color w:val="auto"/>
                <w:szCs w:val="21"/>
                <w:highlight w:val="none"/>
                <w:lang w:val="en-US" w:eastAsia="zh-CN"/>
              </w:rPr>
              <w:t>0.125</w:t>
            </w:r>
          </w:p>
        </w:tc>
        <w:tc>
          <w:tcPr>
            <w:tcW w:w="1428" w:type="pct"/>
            <w:tcBorders>
              <w:tl2br w:val="nil"/>
              <w:tr2bl w:val="nil"/>
            </w:tcBorders>
            <w:vAlign w:val="center"/>
          </w:tcPr>
          <w:p w14:paraId="41448F63">
            <w:pPr>
              <w:jc w:val="center"/>
              <w:rPr>
                <w:color w:val="auto"/>
                <w:szCs w:val="21"/>
                <w:highlight w:val="none"/>
              </w:rPr>
            </w:pPr>
            <w:r>
              <w:rPr>
                <w:rFonts w:hint="eastAsia"/>
                <w:color w:val="auto"/>
                <w:szCs w:val="21"/>
                <w:highlight w:val="none"/>
              </w:rPr>
              <w:t>50</w:t>
            </w:r>
          </w:p>
        </w:tc>
      </w:tr>
      <w:tr w14:paraId="41DB6781">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96" w:type="pct"/>
            <w:vMerge w:val="restart"/>
            <w:tcBorders>
              <w:tl2br w:val="nil"/>
              <w:tr2bl w:val="nil"/>
            </w:tcBorders>
            <w:vAlign w:val="center"/>
          </w:tcPr>
          <w:p w14:paraId="00D4AE57">
            <w:pPr>
              <w:jc w:val="center"/>
              <w:rPr>
                <w:rFonts w:hint="eastAsia" w:eastAsia="宋体"/>
                <w:color w:val="auto"/>
                <w:spacing w:val="-2"/>
                <w:kern w:val="0"/>
                <w:szCs w:val="21"/>
                <w:highlight w:val="none"/>
                <w:lang w:eastAsia="zh-CN"/>
              </w:rPr>
            </w:pPr>
            <w:r>
              <w:rPr>
                <w:rFonts w:hint="eastAsia"/>
                <w:color w:val="auto"/>
                <w:spacing w:val="-2"/>
                <w:kern w:val="0"/>
                <w:szCs w:val="21"/>
                <w:highlight w:val="none"/>
                <w:lang w:eastAsia="zh-CN"/>
              </w:rPr>
              <w:t>临时储粪场</w:t>
            </w:r>
          </w:p>
        </w:tc>
        <w:tc>
          <w:tcPr>
            <w:tcW w:w="596" w:type="pct"/>
            <w:tcBorders>
              <w:tl2br w:val="nil"/>
              <w:tr2bl w:val="nil"/>
            </w:tcBorders>
            <w:vAlign w:val="center"/>
          </w:tcPr>
          <w:p w14:paraId="58ABE1FF">
            <w:pPr>
              <w:autoSpaceDE w:val="0"/>
              <w:autoSpaceDN w:val="0"/>
              <w:adjustRightInd w:val="0"/>
              <w:jc w:val="center"/>
              <w:rPr>
                <w:color w:val="auto"/>
                <w:szCs w:val="21"/>
                <w:highlight w:val="none"/>
              </w:rPr>
            </w:pPr>
            <w:r>
              <w:rPr>
                <w:color w:val="auto"/>
                <w:szCs w:val="21"/>
                <w:highlight w:val="none"/>
              </w:rPr>
              <w:t>NH</w:t>
            </w:r>
            <w:r>
              <w:rPr>
                <w:color w:val="auto"/>
                <w:szCs w:val="21"/>
                <w:highlight w:val="none"/>
                <w:vertAlign w:val="subscript"/>
              </w:rPr>
              <w:t>3</w:t>
            </w:r>
          </w:p>
        </w:tc>
        <w:tc>
          <w:tcPr>
            <w:tcW w:w="1263" w:type="dxa"/>
            <w:tcBorders>
              <w:tl2br w:val="nil"/>
              <w:tr2bl w:val="nil"/>
            </w:tcBorders>
            <w:vAlign w:val="center"/>
          </w:tcPr>
          <w:p w14:paraId="42BB47B8">
            <w:pPr>
              <w:widowControl/>
              <w:jc w:val="center"/>
              <w:textAlignment w:val="center"/>
              <w:rPr>
                <w:rFonts w:hint="eastAsia"/>
                <w:color w:val="auto"/>
                <w:kern w:val="0"/>
                <w:szCs w:val="21"/>
                <w:highlight w:val="none"/>
                <w:lang w:bidi="ar"/>
              </w:rPr>
            </w:pPr>
            <w:r>
              <w:rPr>
                <w:rFonts w:hint="eastAsia"/>
                <w:color w:val="auto"/>
                <w:szCs w:val="21"/>
                <w:highlight w:val="none"/>
                <w:lang w:val="en-US" w:eastAsia="zh-CN"/>
              </w:rPr>
              <w:t>0.09</w:t>
            </w:r>
          </w:p>
        </w:tc>
        <w:tc>
          <w:tcPr>
            <w:tcW w:w="1492" w:type="pct"/>
            <w:tcBorders>
              <w:tl2br w:val="nil"/>
              <w:tr2bl w:val="nil"/>
            </w:tcBorders>
            <w:vAlign w:val="center"/>
          </w:tcPr>
          <w:p w14:paraId="1205A382">
            <w:pPr>
              <w:jc w:val="center"/>
              <w:rPr>
                <w:rFonts w:hint="default" w:eastAsia="宋体"/>
                <w:color w:val="auto"/>
                <w:szCs w:val="21"/>
                <w:highlight w:val="none"/>
                <w:lang w:val="en-US" w:eastAsia="zh-CN"/>
              </w:rPr>
            </w:pPr>
            <w:r>
              <w:rPr>
                <w:rFonts w:hint="eastAsia"/>
                <w:color w:val="auto"/>
                <w:szCs w:val="21"/>
                <w:highlight w:val="none"/>
                <w:lang w:val="en-US" w:eastAsia="zh-CN"/>
              </w:rPr>
              <w:t>3.913</w:t>
            </w:r>
          </w:p>
        </w:tc>
        <w:tc>
          <w:tcPr>
            <w:tcW w:w="1428" w:type="pct"/>
            <w:tcBorders>
              <w:tl2br w:val="nil"/>
              <w:tr2bl w:val="nil"/>
            </w:tcBorders>
            <w:vAlign w:val="center"/>
          </w:tcPr>
          <w:p w14:paraId="7C8AB0B2">
            <w:pPr>
              <w:jc w:val="center"/>
              <w:rPr>
                <w:rFonts w:hint="default" w:eastAsia="宋体"/>
                <w:color w:val="auto"/>
                <w:szCs w:val="21"/>
                <w:highlight w:val="none"/>
                <w:lang w:val="en-US" w:eastAsia="zh-CN"/>
              </w:rPr>
            </w:pPr>
            <w:r>
              <w:rPr>
                <w:rFonts w:hint="eastAsia"/>
                <w:color w:val="auto"/>
                <w:szCs w:val="21"/>
                <w:highlight w:val="none"/>
                <w:lang w:val="en-US" w:eastAsia="zh-CN"/>
              </w:rPr>
              <w:t>50</w:t>
            </w:r>
          </w:p>
        </w:tc>
      </w:tr>
      <w:tr w14:paraId="5C117802">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96" w:type="pct"/>
            <w:vMerge w:val="continue"/>
            <w:tcBorders>
              <w:tl2br w:val="nil"/>
              <w:tr2bl w:val="nil"/>
            </w:tcBorders>
            <w:vAlign w:val="center"/>
          </w:tcPr>
          <w:p w14:paraId="6894D092">
            <w:pPr>
              <w:jc w:val="center"/>
              <w:rPr>
                <w:color w:val="auto"/>
                <w:spacing w:val="-2"/>
                <w:kern w:val="0"/>
                <w:szCs w:val="21"/>
                <w:highlight w:val="none"/>
              </w:rPr>
            </w:pPr>
          </w:p>
        </w:tc>
        <w:tc>
          <w:tcPr>
            <w:tcW w:w="596" w:type="pct"/>
            <w:tcBorders>
              <w:tl2br w:val="nil"/>
              <w:tr2bl w:val="nil"/>
            </w:tcBorders>
            <w:vAlign w:val="center"/>
          </w:tcPr>
          <w:p w14:paraId="757F7BB6">
            <w:pPr>
              <w:autoSpaceDE w:val="0"/>
              <w:autoSpaceDN w:val="0"/>
              <w:adjustRightInd w:val="0"/>
              <w:jc w:val="center"/>
              <w:rPr>
                <w:color w:val="auto"/>
                <w:szCs w:val="21"/>
                <w:highlight w:val="none"/>
              </w:rPr>
            </w:pPr>
            <w:r>
              <w:rPr>
                <w:color w:val="auto"/>
                <w:szCs w:val="21"/>
                <w:highlight w:val="none"/>
              </w:rPr>
              <w:t>H</w:t>
            </w:r>
            <w:r>
              <w:rPr>
                <w:color w:val="auto"/>
                <w:szCs w:val="21"/>
                <w:highlight w:val="none"/>
                <w:vertAlign w:val="subscript"/>
              </w:rPr>
              <w:t>2</w:t>
            </w:r>
            <w:r>
              <w:rPr>
                <w:color w:val="auto"/>
                <w:szCs w:val="21"/>
                <w:highlight w:val="none"/>
              </w:rPr>
              <w:t>S</w:t>
            </w:r>
          </w:p>
        </w:tc>
        <w:tc>
          <w:tcPr>
            <w:tcW w:w="1263" w:type="dxa"/>
            <w:tcBorders>
              <w:tl2br w:val="nil"/>
              <w:tr2bl w:val="nil"/>
            </w:tcBorders>
            <w:vAlign w:val="center"/>
          </w:tcPr>
          <w:p w14:paraId="7E0A4361">
            <w:pPr>
              <w:widowControl/>
              <w:jc w:val="center"/>
              <w:textAlignment w:val="center"/>
              <w:rPr>
                <w:rFonts w:hint="eastAsia"/>
                <w:color w:val="auto"/>
                <w:kern w:val="0"/>
                <w:szCs w:val="21"/>
                <w:highlight w:val="none"/>
                <w:lang w:bidi="ar"/>
              </w:rPr>
            </w:pPr>
            <w:r>
              <w:rPr>
                <w:rFonts w:hint="eastAsia"/>
                <w:color w:val="auto"/>
                <w:szCs w:val="21"/>
                <w:highlight w:val="none"/>
                <w:lang w:val="en-US" w:eastAsia="zh-CN"/>
              </w:rPr>
              <w:t>0.0045</w:t>
            </w:r>
          </w:p>
        </w:tc>
        <w:tc>
          <w:tcPr>
            <w:tcW w:w="1492" w:type="pct"/>
            <w:tcBorders>
              <w:tl2br w:val="nil"/>
              <w:tr2bl w:val="nil"/>
            </w:tcBorders>
            <w:vAlign w:val="center"/>
          </w:tcPr>
          <w:p w14:paraId="6F6FDDA0">
            <w:pPr>
              <w:jc w:val="center"/>
              <w:rPr>
                <w:rFonts w:hint="default" w:eastAsia="宋体"/>
                <w:color w:val="auto"/>
                <w:szCs w:val="21"/>
                <w:highlight w:val="none"/>
                <w:lang w:val="en-US" w:eastAsia="zh-CN"/>
              </w:rPr>
            </w:pPr>
            <w:r>
              <w:rPr>
                <w:rFonts w:hint="eastAsia"/>
                <w:color w:val="auto"/>
                <w:szCs w:val="21"/>
                <w:highlight w:val="none"/>
                <w:lang w:val="en-US" w:eastAsia="zh-CN"/>
              </w:rPr>
              <w:t>3.913</w:t>
            </w:r>
          </w:p>
        </w:tc>
        <w:tc>
          <w:tcPr>
            <w:tcW w:w="1428" w:type="pct"/>
            <w:tcBorders>
              <w:tl2br w:val="nil"/>
              <w:tr2bl w:val="nil"/>
            </w:tcBorders>
            <w:vAlign w:val="center"/>
          </w:tcPr>
          <w:p w14:paraId="2139788C">
            <w:pPr>
              <w:jc w:val="center"/>
              <w:rPr>
                <w:rFonts w:hint="default" w:eastAsia="宋体"/>
                <w:color w:val="auto"/>
                <w:szCs w:val="21"/>
                <w:highlight w:val="none"/>
                <w:lang w:val="en-US" w:eastAsia="zh-CN"/>
              </w:rPr>
            </w:pPr>
            <w:r>
              <w:rPr>
                <w:rFonts w:hint="eastAsia"/>
                <w:color w:val="auto"/>
                <w:szCs w:val="21"/>
                <w:highlight w:val="none"/>
                <w:lang w:val="en-US" w:eastAsia="zh-CN"/>
              </w:rPr>
              <w:t>50</w:t>
            </w:r>
          </w:p>
        </w:tc>
      </w:tr>
    </w:tbl>
    <w:p w14:paraId="6F166B66">
      <w:pPr>
        <w:adjustRightInd w:val="0"/>
        <w:spacing w:line="360" w:lineRule="auto"/>
        <w:ind w:firstLine="480" w:firstLineChars="200"/>
        <w:rPr>
          <w:color w:val="auto"/>
          <w:sz w:val="24"/>
        </w:rPr>
      </w:pPr>
      <w:r>
        <w:rPr>
          <w:color w:val="auto"/>
          <w:sz w:val="24"/>
        </w:rPr>
        <w:t>根据《大气有害物质无组织排放卫生防护距离推导技术导则》（GB/T39499-2020）的有关规定，卫生防护距离在100m以内时，级差为50m；超过100m，但小于或等于1000m时，级差为100m。无组织排放多种有害气体的工业企业，按Qc/Cm的最大值计算其所需卫生防护距离；但当按两种或两种以上的有害气体的Qc/Cm值计算的卫生防护距离在同一级别时，该类工业企业的卫生防护距离级别应该高一级。卫生防护距离初值不在同一级别的，以卫生防护距离终值较大者为准。</w:t>
      </w:r>
    </w:p>
    <w:p w14:paraId="57B11905">
      <w:pPr>
        <w:adjustRightInd w:val="0"/>
        <w:spacing w:line="360" w:lineRule="auto"/>
        <w:ind w:firstLine="480" w:firstLineChars="200"/>
        <w:rPr>
          <w:color w:val="auto"/>
          <w:sz w:val="24"/>
        </w:rPr>
      </w:pPr>
      <w:r>
        <w:rPr>
          <w:color w:val="auto"/>
          <w:sz w:val="24"/>
        </w:rPr>
        <w:t>因此，本项目</w:t>
      </w:r>
      <w:r>
        <w:rPr>
          <w:rFonts w:hint="eastAsia"/>
          <w:color w:val="auto"/>
          <w:sz w:val="24"/>
        </w:rPr>
        <w:t>鸡舍</w:t>
      </w:r>
      <w:r>
        <w:rPr>
          <w:rFonts w:hint="eastAsia"/>
          <w:color w:val="auto"/>
          <w:sz w:val="24"/>
          <w:lang w:eastAsia="zh-CN"/>
        </w:rPr>
        <w:t>、临时储粪场</w:t>
      </w:r>
      <w:r>
        <w:rPr>
          <w:color w:val="auto"/>
          <w:sz w:val="24"/>
        </w:rPr>
        <w:t>卫生防护距离最终确定为100m，</w:t>
      </w:r>
      <w:r>
        <w:rPr>
          <w:bCs/>
          <w:color w:val="auto"/>
          <w:sz w:val="24"/>
          <w:szCs w:val="22"/>
        </w:rPr>
        <w:t>根据《畜禽养殖业污染防治技术规范》（HJ/T81-2001）对畜禽养殖场选址要求中有关规定，</w:t>
      </w:r>
      <w:r>
        <w:rPr>
          <w:rFonts w:hint="eastAsia"/>
          <w:bCs/>
          <w:color w:val="auto"/>
          <w:sz w:val="24"/>
          <w:szCs w:val="22"/>
          <w:lang w:eastAsia="zh-CN"/>
        </w:rPr>
        <w:t>最终确定，</w:t>
      </w:r>
      <w:r>
        <w:rPr>
          <w:color w:val="auto"/>
          <w:sz w:val="24"/>
        </w:rPr>
        <w:t>防护距离为</w:t>
      </w:r>
      <w:r>
        <w:rPr>
          <w:rFonts w:hint="eastAsia"/>
          <w:color w:val="auto"/>
          <w:sz w:val="24"/>
        </w:rPr>
        <w:t>5</w:t>
      </w:r>
      <w:r>
        <w:rPr>
          <w:color w:val="auto"/>
          <w:sz w:val="24"/>
        </w:rPr>
        <w:t>00m，卫生防护距离包络线图见</w:t>
      </w:r>
      <w:r>
        <w:rPr>
          <w:rFonts w:hint="eastAsia"/>
          <w:color w:val="auto"/>
          <w:sz w:val="24"/>
          <w:lang w:eastAsia="zh-CN"/>
        </w:rPr>
        <w:t>下</w:t>
      </w:r>
      <w:r>
        <w:rPr>
          <w:color w:val="auto"/>
          <w:sz w:val="24"/>
        </w:rPr>
        <w:t>图。本项目包络线500m距离范围内无敏感目标</w:t>
      </w:r>
      <w:r>
        <w:rPr>
          <w:rFonts w:hint="eastAsia"/>
          <w:color w:val="auto"/>
          <w:sz w:val="24"/>
        </w:rPr>
        <w:t>，但本项目生活区（办公室、宿舍）位于卫生防护距离范围内，在营运期应加强对鸡舍恶臭气体的控制，以减少对生活区的影响</w:t>
      </w:r>
      <w:r>
        <w:rPr>
          <w:color w:val="auto"/>
          <w:sz w:val="24"/>
        </w:rPr>
        <w:t>。此外，今后在本项目卫生防护距离范围以内不宜再规划房地产、医院、学校等对环境质量要求较高的敏感类项目。</w:t>
      </w:r>
    </w:p>
    <w:p w14:paraId="6EE45622">
      <w:pPr>
        <w:spacing w:line="360" w:lineRule="auto"/>
        <w:rPr>
          <w:color w:val="auto"/>
          <w:sz w:val="24"/>
        </w:rPr>
      </w:pPr>
      <w:r>
        <w:rPr>
          <w:rFonts w:hint="eastAsia"/>
          <w:b/>
          <w:bCs/>
          <w:color w:val="auto"/>
          <w:sz w:val="24"/>
          <w:lang w:val="en-US" w:eastAsia="zh-CN"/>
        </w:rPr>
        <w:t>5.2.1.10</w:t>
      </w:r>
      <w:r>
        <w:rPr>
          <w:rFonts w:ascii="宋体" w:hAnsi="宋体" w:cs="宋体"/>
          <w:b/>
          <w:bCs/>
          <w:color w:val="auto"/>
          <w:sz w:val="24"/>
        </w:rPr>
        <w:t>大气环境影响评价结论</w:t>
      </w:r>
    </w:p>
    <w:p w14:paraId="7988A9AC">
      <w:pPr>
        <w:adjustRightInd w:val="0"/>
        <w:spacing w:line="360" w:lineRule="auto"/>
        <w:ind w:firstLine="480" w:firstLineChars="200"/>
        <w:rPr>
          <w:color w:val="auto"/>
          <w:sz w:val="24"/>
        </w:rPr>
      </w:pPr>
      <w:r>
        <w:rPr>
          <w:color w:val="auto"/>
          <w:sz w:val="24"/>
        </w:rPr>
        <w:t>（1）</w:t>
      </w:r>
      <w:r>
        <w:rPr>
          <w:rFonts w:hint="default" w:ascii="Times New Roman" w:hAnsi="Times New Roman" w:eastAsia="宋体" w:cs="Times New Roman"/>
          <w:color w:val="auto"/>
          <w:sz w:val="24"/>
          <w:szCs w:val="24"/>
        </w:rPr>
        <w:t>根据</w:t>
      </w:r>
      <w:r>
        <w:rPr>
          <w:rFonts w:hint="default" w:ascii="Times New Roman" w:hAnsi="Times New Roman" w:eastAsia="宋体" w:cs="Times New Roman"/>
          <w:color w:val="auto"/>
          <w:sz w:val="24"/>
          <w:szCs w:val="24"/>
          <w:lang w:eastAsia="zh-CN"/>
        </w:rPr>
        <w:t>朝阳市生态环境局</w:t>
      </w:r>
      <w:r>
        <w:rPr>
          <w:rFonts w:hint="default" w:ascii="Times New Roman" w:hAnsi="Times New Roman" w:eastAsia="宋体" w:cs="Times New Roman"/>
          <w:color w:val="auto"/>
          <w:sz w:val="24"/>
          <w:szCs w:val="24"/>
          <w:lang w:val="en-US" w:eastAsia="zh-CN"/>
        </w:rPr>
        <w:t>2024年6月5日发布的《朝阳市生态环境质量公报》（2023年）</w:t>
      </w:r>
      <w:r>
        <w:rPr>
          <w:rFonts w:hint="default" w:ascii="Times New Roman" w:hAnsi="Times New Roman" w:eastAsia="宋体" w:cs="Times New Roman"/>
          <w:color w:val="auto"/>
          <w:sz w:val="24"/>
          <w:szCs w:val="24"/>
          <w:lang w:eastAsia="zh-CN"/>
        </w:rPr>
        <w:t>中</w:t>
      </w:r>
      <w:r>
        <w:rPr>
          <w:rFonts w:hint="default" w:ascii="Times New Roman" w:hAnsi="Times New Roman" w:eastAsia="宋体" w:cs="Times New Roman"/>
          <w:color w:val="auto"/>
          <w:sz w:val="24"/>
          <w:szCs w:val="24"/>
          <w:lang w:val="en-US" w:eastAsia="zh-CN"/>
        </w:rPr>
        <w:t>“城市环境空气质量状况”</w:t>
      </w:r>
      <w:r>
        <w:rPr>
          <w:rFonts w:hint="default" w:ascii="Times New Roman" w:hAnsi="Times New Roman" w:eastAsia="宋体" w:cs="Times New Roman"/>
          <w:color w:val="auto"/>
          <w:sz w:val="24"/>
          <w:szCs w:val="24"/>
        </w:rPr>
        <w:t>，</w:t>
      </w:r>
      <w:r>
        <w:rPr>
          <w:color w:val="auto"/>
          <w:sz w:val="24"/>
        </w:rPr>
        <w:t>基本污染物SO</w:t>
      </w:r>
      <w:r>
        <w:rPr>
          <w:color w:val="auto"/>
          <w:sz w:val="24"/>
          <w:vertAlign w:val="subscript"/>
        </w:rPr>
        <w:t>2</w:t>
      </w:r>
      <w:r>
        <w:rPr>
          <w:color w:val="auto"/>
          <w:sz w:val="24"/>
        </w:rPr>
        <w:t>、NO</w:t>
      </w:r>
      <w:r>
        <w:rPr>
          <w:color w:val="auto"/>
          <w:sz w:val="24"/>
          <w:vertAlign w:val="subscript"/>
        </w:rPr>
        <w:t>2</w:t>
      </w:r>
      <w:r>
        <w:rPr>
          <w:color w:val="auto"/>
          <w:sz w:val="24"/>
        </w:rPr>
        <w:t>、PM</w:t>
      </w:r>
      <w:r>
        <w:rPr>
          <w:color w:val="auto"/>
          <w:sz w:val="24"/>
          <w:vertAlign w:val="subscript"/>
        </w:rPr>
        <w:t>10</w:t>
      </w:r>
      <w:r>
        <w:rPr>
          <w:color w:val="auto"/>
          <w:sz w:val="24"/>
        </w:rPr>
        <w:t>、PM</w:t>
      </w:r>
      <w:r>
        <w:rPr>
          <w:color w:val="auto"/>
          <w:sz w:val="24"/>
          <w:vertAlign w:val="subscript"/>
        </w:rPr>
        <w:t>2.5</w:t>
      </w:r>
      <w:r>
        <w:rPr>
          <w:color w:val="auto"/>
          <w:sz w:val="24"/>
        </w:rPr>
        <w:t>、CO年平均质量浓度，O</w:t>
      </w:r>
      <w:r>
        <w:rPr>
          <w:color w:val="auto"/>
          <w:sz w:val="24"/>
          <w:vertAlign w:val="subscript"/>
        </w:rPr>
        <w:t>3</w:t>
      </w:r>
      <w:r>
        <w:rPr>
          <w:color w:val="auto"/>
          <w:sz w:val="24"/>
        </w:rPr>
        <w:t>日最大8小时年平均浓度值，均符合《环境空气质量标准》（GB3095-2012）及修改单二级标准。项目区环境空气质量符合《环境空气质量标准》（GB3095-2012）二级标准及2018修改单，项目所在区域环境空气质量达标。根据朝阳彤天环保发展有限公司现状检测结果，TSP</w:t>
      </w:r>
      <w:r>
        <w:rPr>
          <w:rFonts w:hint="eastAsia"/>
          <w:color w:val="auto"/>
          <w:sz w:val="24"/>
        </w:rPr>
        <w:t>、SO</w:t>
      </w:r>
      <w:r>
        <w:rPr>
          <w:rFonts w:hint="eastAsia"/>
          <w:color w:val="auto"/>
          <w:sz w:val="24"/>
          <w:vertAlign w:val="subscript"/>
        </w:rPr>
        <w:t>2</w:t>
      </w:r>
      <w:r>
        <w:rPr>
          <w:rFonts w:hint="eastAsia"/>
          <w:color w:val="auto"/>
          <w:sz w:val="24"/>
        </w:rPr>
        <w:t>、NOx</w:t>
      </w:r>
      <w:r>
        <w:rPr>
          <w:color w:val="auto"/>
          <w:sz w:val="24"/>
        </w:rPr>
        <w:t>检测结果符合《环境空气质量标准》（GB3095-2012）二级标准及其修改单限值要求。NH</w:t>
      </w:r>
      <w:r>
        <w:rPr>
          <w:color w:val="auto"/>
          <w:sz w:val="24"/>
          <w:vertAlign w:val="subscript"/>
        </w:rPr>
        <w:t>3</w:t>
      </w:r>
      <w:r>
        <w:rPr>
          <w:color w:val="auto"/>
          <w:sz w:val="24"/>
        </w:rPr>
        <w:t>、H</w:t>
      </w:r>
      <w:r>
        <w:rPr>
          <w:color w:val="auto"/>
          <w:sz w:val="24"/>
          <w:vertAlign w:val="subscript"/>
        </w:rPr>
        <w:t>2</w:t>
      </w:r>
      <w:r>
        <w:rPr>
          <w:color w:val="auto"/>
          <w:sz w:val="24"/>
        </w:rPr>
        <w:t>S检测结果均符合《环境影响评价技术导则 大气环境》（HJ2.2-2018）附录D中小时均值标准限值要求，臭气浓度检测结果均符合《恶臭污染物排放标准》（GB14554-93）中表1新扩改建二级标准限值要求。</w:t>
      </w:r>
    </w:p>
    <w:p w14:paraId="46EFFDCF">
      <w:pPr>
        <w:adjustRightInd w:val="0"/>
        <w:spacing w:line="360" w:lineRule="auto"/>
        <w:ind w:firstLine="480" w:firstLineChars="200"/>
        <w:rPr>
          <w:color w:val="auto"/>
          <w:sz w:val="24"/>
          <w:highlight w:val="none"/>
        </w:rPr>
      </w:pPr>
      <w:r>
        <w:rPr>
          <w:color w:val="auto"/>
          <w:sz w:val="24"/>
          <w:highlight w:val="none"/>
        </w:rPr>
        <w:t>（2）根据估算模式计算结果，本项目大气污染物最大地面浓度占标率来自于</w:t>
      </w:r>
      <w:r>
        <w:rPr>
          <w:rFonts w:hint="eastAsia"/>
          <w:color w:val="auto"/>
          <w:sz w:val="24"/>
          <w:highlight w:val="none"/>
          <w:lang w:eastAsia="zh-CN"/>
        </w:rPr>
        <w:t>临时储粪场</w:t>
      </w:r>
      <w:r>
        <w:rPr>
          <w:rFonts w:hint="eastAsia"/>
          <w:color w:val="auto"/>
          <w:sz w:val="24"/>
          <w:highlight w:val="none"/>
          <w:lang w:val="en-US" w:eastAsia="zh-CN"/>
        </w:rPr>
        <w:t>NH</w:t>
      </w:r>
      <w:r>
        <w:rPr>
          <w:rFonts w:hint="eastAsia"/>
          <w:color w:val="auto"/>
          <w:sz w:val="24"/>
          <w:highlight w:val="none"/>
          <w:vertAlign w:val="subscript"/>
          <w:lang w:val="en-US" w:eastAsia="zh-CN"/>
        </w:rPr>
        <w:t>3</w:t>
      </w:r>
      <w:r>
        <w:rPr>
          <w:rFonts w:hint="eastAsia"/>
          <w:color w:val="auto"/>
          <w:sz w:val="24"/>
          <w:highlight w:val="none"/>
          <w:lang w:val="en-US" w:eastAsia="zh-CN"/>
        </w:rPr>
        <w:t>、H</w:t>
      </w:r>
      <w:r>
        <w:rPr>
          <w:rFonts w:hint="eastAsia"/>
          <w:color w:val="auto"/>
          <w:sz w:val="24"/>
          <w:highlight w:val="none"/>
          <w:vertAlign w:val="subscript"/>
          <w:lang w:val="en-US" w:eastAsia="zh-CN"/>
        </w:rPr>
        <w:t>2</w:t>
      </w:r>
      <w:r>
        <w:rPr>
          <w:rFonts w:hint="eastAsia"/>
          <w:color w:val="auto"/>
          <w:sz w:val="24"/>
          <w:highlight w:val="none"/>
          <w:lang w:val="en-US" w:eastAsia="zh-CN"/>
        </w:rPr>
        <w:t>S</w:t>
      </w:r>
      <w:r>
        <w:rPr>
          <w:color w:val="auto"/>
          <w:sz w:val="24"/>
          <w:highlight w:val="none"/>
        </w:rPr>
        <w:t>，最大地面空气质量浓度占标率P</w:t>
      </w:r>
      <w:r>
        <w:rPr>
          <w:color w:val="auto"/>
          <w:sz w:val="24"/>
          <w:highlight w:val="none"/>
          <w:vertAlign w:val="subscript"/>
        </w:rPr>
        <w:t>max</w:t>
      </w:r>
      <w:r>
        <w:rPr>
          <w:color w:val="auto"/>
          <w:sz w:val="24"/>
          <w:highlight w:val="none"/>
        </w:rPr>
        <w:t>最大为</w:t>
      </w:r>
      <w:r>
        <w:rPr>
          <w:rFonts w:hint="eastAsia"/>
          <w:color w:val="auto"/>
          <w:sz w:val="24"/>
          <w:highlight w:val="none"/>
          <w:lang w:val="en-US" w:eastAsia="zh-CN"/>
        </w:rPr>
        <w:t>4.49%，</w:t>
      </w:r>
      <w:r>
        <w:rPr>
          <w:color w:val="auto"/>
          <w:sz w:val="24"/>
          <w:highlight w:val="none"/>
        </w:rPr>
        <w:t>新增污染源正常排放下污染物短期浓度贡献值的最大浓度占标率均小于10%，排放的各污染物对评价区域环境空气影响较小。</w:t>
      </w:r>
    </w:p>
    <w:p w14:paraId="62204C37">
      <w:pPr>
        <w:adjustRightInd w:val="0"/>
        <w:spacing w:line="360" w:lineRule="auto"/>
        <w:ind w:firstLine="480" w:firstLineChars="200"/>
        <w:rPr>
          <w:color w:val="auto"/>
          <w:sz w:val="24"/>
        </w:rPr>
      </w:pPr>
      <w:r>
        <w:rPr>
          <w:color w:val="auto"/>
          <w:sz w:val="24"/>
        </w:rPr>
        <w:t>（3）本项目无需设置大气环境防护距离，本环评建议设置以</w:t>
      </w:r>
      <w:r>
        <w:rPr>
          <w:rFonts w:hint="eastAsia"/>
          <w:color w:val="auto"/>
          <w:sz w:val="24"/>
        </w:rPr>
        <w:t>鸡舍</w:t>
      </w:r>
      <w:r>
        <w:rPr>
          <w:rFonts w:hint="eastAsia"/>
          <w:color w:val="auto"/>
          <w:sz w:val="24"/>
          <w:lang w:eastAsia="zh-CN"/>
        </w:rPr>
        <w:t>、临时储粪场</w:t>
      </w:r>
      <w:r>
        <w:rPr>
          <w:color w:val="auto"/>
          <w:sz w:val="24"/>
        </w:rPr>
        <w:t>为边界的</w:t>
      </w:r>
      <w:r>
        <w:rPr>
          <w:rFonts w:hint="eastAsia"/>
          <w:color w:val="auto"/>
          <w:sz w:val="24"/>
          <w:lang w:val="en-US" w:eastAsia="zh-CN"/>
        </w:rPr>
        <w:t>5</w:t>
      </w:r>
      <w:r>
        <w:rPr>
          <w:color w:val="auto"/>
          <w:sz w:val="24"/>
        </w:rPr>
        <w:t>00m的</w:t>
      </w:r>
      <w:r>
        <w:rPr>
          <w:rFonts w:hint="eastAsia"/>
          <w:color w:val="auto"/>
          <w:sz w:val="24"/>
          <w:lang w:eastAsia="zh-CN"/>
        </w:rPr>
        <w:t>卫生</w:t>
      </w:r>
      <w:r>
        <w:rPr>
          <w:rFonts w:hint="eastAsia"/>
          <w:color w:val="auto"/>
          <w:sz w:val="24"/>
        </w:rPr>
        <w:t>防护</w:t>
      </w:r>
      <w:r>
        <w:rPr>
          <w:color w:val="auto"/>
          <w:sz w:val="24"/>
        </w:rPr>
        <w:t>距离</w:t>
      </w:r>
      <w:r>
        <w:rPr>
          <w:rFonts w:hint="eastAsia"/>
          <w:color w:val="auto"/>
          <w:sz w:val="24"/>
        </w:rPr>
        <w:t>，</w:t>
      </w:r>
      <w:r>
        <w:rPr>
          <w:color w:val="auto"/>
          <w:sz w:val="24"/>
        </w:rPr>
        <w:t>本项目</w:t>
      </w:r>
      <w:r>
        <w:rPr>
          <w:rFonts w:hint="eastAsia"/>
          <w:color w:val="auto"/>
          <w:sz w:val="24"/>
          <w:lang w:eastAsia="zh-CN"/>
        </w:rPr>
        <w:t>卫生防护距离</w:t>
      </w:r>
      <w:r>
        <w:rPr>
          <w:color w:val="auto"/>
          <w:sz w:val="24"/>
        </w:rPr>
        <w:t>包络线范围内无敏感目标。此外，今后在本项目卫生防护距离范围以内不宜再规划房地产、医院、学校等对环境质量要求较高的敏感类项目。</w:t>
      </w:r>
    </w:p>
    <w:p w14:paraId="300A2DC9">
      <w:pPr>
        <w:adjustRightInd w:val="0"/>
        <w:spacing w:line="360" w:lineRule="auto"/>
        <w:ind w:firstLine="480" w:firstLineChars="200"/>
        <w:rPr>
          <w:color w:val="auto"/>
          <w:sz w:val="24"/>
        </w:rPr>
      </w:pPr>
      <w:r>
        <w:rPr>
          <w:color w:val="auto"/>
          <w:sz w:val="24"/>
        </w:rPr>
        <w:t>综上所述，在落实好本工程各污染防治措施的前提下，从环境空气影响角度而言，该项目建设是可行的。</w:t>
      </w:r>
    </w:p>
    <w:p w14:paraId="18515F97">
      <w:pPr>
        <w:ind w:firstLine="422" w:firstLineChars="200"/>
        <w:jc w:val="center"/>
        <w:rPr>
          <w:b/>
          <w:color w:val="auto"/>
          <w:szCs w:val="21"/>
        </w:rPr>
      </w:pPr>
      <w:r>
        <w:rPr>
          <w:b/>
          <w:color w:val="auto"/>
          <w:szCs w:val="21"/>
        </w:rPr>
        <w:t>表5</w:t>
      </w:r>
      <w:r>
        <w:rPr>
          <w:rFonts w:hint="eastAsia"/>
          <w:b/>
          <w:color w:val="auto"/>
          <w:szCs w:val="21"/>
          <w:lang w:val="en-US" w:eastAsia="zh-CN"/>
        </w:rPr>
        <w:t xml:space="preserve">.2-18   </w:t>
      </w:r>
      <w:r>
        <w:rPr>
          <w:b/>
          <w:color w:val="auto"/>
          <w:szCs w:val="21"/>
        </w:rPr>
        <w:t xml:space="preserve"> 项目大气环境影响评价自查表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895"/>
        <w:gridCol w:w="1588"/>
        <w:gridCol w:w="974"/>
        <w:gridCol w:w="304"/>
        <w:gridCol w:w="87"/>
        <w:gridCol w:w="192"/>
        <w:gridCol w:w="96"/>
        <w:gridCol w:w="138"/>
        <w:gridCol w:w="442"/>
        <w:gridCol w:w="201"/>
        <w:gridCol w:w="71"/>
        <w:gridCol w:w="369"/>
        <w:gridCol w:w="163"/>
        <w:gridCol w:w="125"/>
        <w:gridCol w:w="69"/>
        <w:gridCol w:w="551"/>
        <w:gridCol w:w="351"/>
        <w:gridCol w:w="183"/>
        <w:gridCol w:w="246"/>
        <w:gridCol w:w="344"/>
        <w:gridCol w:w="179"/>
        <w:gridCol w:w="179"/>
        <w:gridCol w:w="62"/>
        <w:gridCol w:w="190"/>
        <w:gridCol w:w="413"/>
        <w:gridCol w:w="644"/>
      </w:tblGrid>
      <w:tr w14:paraId="77165C9C">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2483" w:type="dxa"/>
            <w:gridSpan w:val="2"/>
            <w:tcBorders>
              <w:top w:val="double" w:color="auto" w:sz="4" w:space="0"/>
              <w:left w:val="nil"/>
              <w:bottom w:val="single" w:color="auto" w:sz="6" w:space="0"/>
              <w:right w:val="single" w:color="auto" w:sz="6" w:space="0"/>
            </w:tcBorders>
            <w:vAlign w:val="center"/>
          </w:tcPr>
          <w:p w14:paraId="0C392BEE">
            <w:pPr>
              <w:pStyle w:val="168"/>
              <w:snapToGrid w:val="0"/>
              <w:spacing w:before="24" w:line="260" w:lineRule="atLeast"/>
              <w:ind w:firstLine="480"/>
              <w:rPr>
                <w:color w:val="auto"/>
                <w:szCs w:val="21"/>
              </w:rPr>
            </w:pPr>
            <w:r>
              <w:rPr>
                <w:color w:val="auto"/>
                <w:szCs w:val="21"/>
              </w:rPr>
              <w:t>工作内容</w:t>
            </w:r>
          </w:p>
        </w:tc>
        <w:tc>
          <w:tcPr>
            <w:tcW w:w="6573" w:type="dxa"/>
            <w:gridSpan w:val="24"/>
            <w:tcBorders>
              <w:top w:val="double" w:color="auto" w:sz="4" w:space="0"/>
              <w:left w:val="single" w:color="auto" w:sz="6" w:space="0"/>
              <w:bottom w:val="single" w:color="auto" w:sz="6" w:space="0"/>
              <w:right w:val="nil"/>
            </w:tcBorders>
            <w:vAlign w:val="center"/>
          </w:tcPr>
          <w:p w14:paraId="0208E527">
            <w:pPr>
              <w:pStyle w:val="168"/>
              <w:snapToGrid w:val="0"/>
              <w:spacing w:before="24" w:line="260" w:lineRule="atLeast"/>
              <w:rPr>
                <w:color w:val="auto"/>
                <w:szCs w:val="21"/>
              </w:rPr>
            </w:pPr>
            <w:r>
              <w:rPr>
                <w:color w:val="auto"/>
                <w:szCs w:val="21"/>
              </w:rPr>
              <w:t>自查项目</w:t>
            </w:r>
          </w:p>
        </w:tc>
      </w:tr>
      <w:tr w14:paraId="2E27C39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restart"/>
            <w:tcBorders>
              <w:top w:val="single" w:color="auto" w:sz="6" w:space="0"/>
              <w:left w:val="nil"/>
              <w:bottom w:val="single" w:color="auto" w:sz="6" w:space="0"/>
              <w:right w:val="single" w:color="auto" w:sz="6" w:space="0"/>
            </w:tcBorders>
            <w:vAlign w:val="center"/>
          </w:tcPr>
          <w:p w14:paraId="46A2C500">
            <w:pPr>
              <w:pStyle w:val="168"/>
              <w:snapToGrid w:val="0"/>
              <w:spacing w:before="24" w:line="260" w:lineRule="atLeast"/>
              <w:rPr>
                <w:color w:val="auto"/>
                <w:szCs w:val="21"/>
              </w:rPr>
            </w:pPr>
            <w:r>
              <w:rPr>
                <w:color w:val="auto"/>
                <w:szCs w:val="21"/>
              </w:rPr>
              <w:t>评价等级与范围</w:t>
            </w:r>
          </w:p>
        </w:tc>
        <w:tc>
          <w:tcPr>
            <w:tcW w:w="1588" w:type="dxa"/>
            <w:tcBorders>
              <w:top w:val="single" w:color="auto" w:sz="6" w:space="0"/>
              <w:left w:val="single" w:color="auto" w:sz="6" w:space="0"/>
              <w:bottom w:val="single" w:color="auto" w:sz="6" w:space="0"/>
              <w:right w:val="single" w:color="auto" w:sz="6" w:space="0"/>
            </w:tcBorders>
            <w:vAlign w:val="center"/>
          </w:tcPr>
          <w:p w14:paraId="6AC06B1A">
            <w:pPr>
              <w:pStyle w:val="168"/>
              <w:snapToGrid w:val="0"/>
              <w:spacing w:before="24" w:line="260" w:lineRule="atLeast"/>
              <w:rPr>
                <w:color w:val="auto"/>
                <w:szCs w:val="21"/>
              </w:rPr>
            </w:pPr>
            <w:r>
              <w:rPr>
                <w:color w:val="auto"/>
                <w:szCs w:val="21"/>
              </w:rPr>
              <w:t>评价等级</w:t>
            </w:r>
          </w:p>
        </w:tc>
        <w:tc>
          <w:tcPr>
            <w:tcW w:w="2233" w:type="dxa"/>
            <w:gridSpan w:val="7"/>
            <w:tcBorders>
              <w:top w:val="single" w:color="auto" w:sz="6" w:space="0"/>
              <w:left w:val="single" w:color="auto" w:sz="6" w:space="0"/>
              <w:bottom w:val="single" w:color="auto" w:sz="6" w:space="0"/>
              <w:right w:val="single" w:color="auto" w:sz="6" w:space="0"/>
            </w:tcBorders>
            <w:vAlign w:val="center"/>
          </w:tcPr>
          <w:p w14:paraId="20A3C0D9">
            <w:pPr>
              <w:pStyle w:val="168"/>
              <w:snapToGrid w:val="0"/>
              <w:spacing w:before="24" w:line="260" w:lineRule="atLeast"/>
              <w:rPr>
                <w:color w:val="auto"/>
                <w:szCs w:val="21"/>
              </w:rPr>
            </w:pPr>
            <w:r>
              <w:rPr>
                <w:color w:val="auto"/>
                <w:szCs w:val="21"/>
              </w:rPr>
              <w:t>一级□</w:t>
            </w:r>
          </w:p>
        </w:tc>
        <w:tc>
          <w:tcPr>
            <w:tcW w:w="2329" w:type="dxa"/>
            <w:gridSpan w:val="10"/>
            <w:tcBorders>
              <w:top w:val="single" w:color="auto" w:sz="6" w:space="0"/>
              <w:left w:val="single" w:color="auto" w:sz="6" w:space="0"/>
              <w:bottom w:val="single" w:color="auto" w:sz="6" w:space="0"/>
              <w:right w:val="single" w:color="auto" w:sz="6" w:space="0"/>
            </w:tcBorders>
            <w:vAlign w:val="center"/>
          </w:tcPr>
          <w:p w14:paraId="6CDF35C6">
            <w:pPr>
              <w:pStyle w:val="168"/>
              <w:snapToGrid w:val="0"/>
              <w:spacing w:before="24" w:line="260" w:lineRule="atLeast"/>
              <w:rPr>
                <w:color w:val="auto"/>
                <w:szCs w:val="21"/>
              </w:rPr>
            </w:pPr>
            <w:r>
              <w:rPr>
                <w:color w:val="auto"/>
                <w:szCs w:val="21"/>
              </w:rPr>
              <w:t>二级☑</w:t>
            </w:r>
          </w:p>
        </w:tc>
        <w:tc>
          <w:tcPr>
            <w:tcW w:w="2011" w:type="dxa"/>
            <w:gridSpan w:val="7"/>
            <w:tcBorders>
              <w:top w:val="single" w:color="auto" w:sz="6" w:space="0"/>
              <w:left w:val="single" w:color="auto" w:sz="6" w:space="0"/>
              <w:bottom w:val="single" w:color="auto" w:sz="6" w:space="0"/>
              <w:right w:val="nil"/>
            </w:tcBorders>
            <w:vAlign w:val="center"/>
          </w:tcPr>
          <w:p w14:paraId="21DEC803">
            <w:pPr>
              <w:pStyle w:val="168"/>
              <w:snapToGrid w:val="0"/>
              <w:spacing w:before="24" w:line="260" w:lineRule="atLeast"/>
              <w:rPr>
                <w:color w:val="auto"/>
                <w:szCs w:val="21"/>
              </w:rPr>
            </w:pPr>
            <w:r>
              <w:rPr>
                <w:color w:val="auto"/>
                <w:szCs w:val="21"/>
              </w:rPr>
              <w:t>三级□</w:t>
            </w:r>
          </w:p>
        </w:tc>
      </w:tr>
      <w:tr w14:paraId="168E16A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20BB8DD5">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33DA7D23">
            <w:pPr>
              <w:pStyle w:val="168"/>
              <w:snapToGrid w:val="0"/>
              <w:spacing w:before="24" w:line="260" w:lineRule="atLeast"/>
              <w:rPr>
                <w:color w:val="auto"/>
                <w:szCs w:val="21"/>
              </w:rPr>
            </w:pPr>
            <w:r>
              <w:rPr>
                <w:color w:val="auto"/>
                <w:szCs w:val="21"/>
              </w:rPr>
              <w:t>评价范围</w:t>
            </w:r>
          </w:p>
        </w:tc>
        <w:tc>
          <w:tcPr>
            <w:tcW w:w="2233" w:type="dxa"/>
            <w:gridSpan w:val="7"/>
            <w:tcBorders>
              <w:top w:val="single" w:color="auto" w:sz="6" w:space="0"/>
              <w:left w:val="single" w:color="auto" w:sz="6" w:space="0"/>
              <w:bottom w:val="single" w:color="auto" w:sz="6" w:space="0"/>
              <w:right w:val="single" w:color="auto" w:sz="6" w:space="0"/>
            </w:tcBorders>
            <w:vAlign w:val="center"/>
          </w:tcPr>
          <w:p w14:paraId="02495635">
            <w:pPr>
              <w:pStyle w:val="168"/>
              <w:snapToGrid w:val="0"/>
              <w:spacing w:before="24" w:line="260" w:lineRule="atLeast"/>
              <w:rPr>
                <w:color w:val="auto"/>
                <w:szCs w:val="21"/>
              </w:rPr>
            </w:pPr>
            <w:r>
              <w:rPr>
                <w:color w:val="auto"/>
                <w:szCs w:val="21"/>
              </w:rPr>
              <w:t>边长=50km□</w:t>
            </w:r>
          </w:p>
        </w:tc>
        <w:tc>
          <w:tcPr>
            <w:tcW w:w="2329" w:type="dxa"/>
            <w:gridSpan w:val="10"/>
            <w:tcBorders>
              <w:top w:val="single" w:color="auto" w:sz="6" w:space="0"/>
              <w:left w:val="single" w:color="auto" w:sz="6" w:space="0"/>
              <w:bottom w:val="single" w:color="auto" w:sz="6" w:space="0"/>
              <w:right w:val="single" w:color="auto" w:sz="6" w:space="0"/>
            </w:tcBorders>
            <w:vAlign w:val="center"/>
          </w:tcPr>
          <w:p w14:paraId="74BFC172">
            <w:pPr>
              <w:pStyle w:val="168"/>
              <w:snapToGrid w:val="0"/>
              <w:spacing w:before="24" w:line="260" w:lineRule="atLeast"/>
              <w:rPr>
                <w:color w:val="auto"/>
                <w:szCs w:val="21"/>
              </w:rPr>
            </w:pPr>
            <w:r>
              <w:rPr>
                <w:color w:val="auto"/>
                <w:szCs w:val="21"/>
              </w:rPr>
              <w:t>边长5～50km□</w:t>
            </w:r>
          </w:p>
        </w:tc>
        <w:tc>
          <w:tcPr>
            <w:tcW w:w="2011" w:type="dxa"/>
            <w:gridSpan w:val="7"/>
            <w:tcBorders>
              <w:top w:val="single" w:color="auto" w:sz="6" w:space="0"/>
              <w:left w:val="single" w:color="auto" w:sz="6" w:space="0"/>
              <w:bottom w:val="single" w:color="auto" w:sz="6" w:space="0"/>
              <w:right w:val="nil"/>
            </w:tcBorders>
            <w:vAlign w:val="center"/>
          </w:tcPr>
          <w:p w14:paraId="2529E250">
            <w:pPr>
              <w:pStyle w:val="168"/>
              <w:snapToGrid w:val="0"/>
              <w:spacing w:before="24" w:line="260" w:lineRule="atLeast"/>
              <w:rPr>
                <w:color w:val="auto"/>
                <w:szCs w:val="21"/>
              </w:rPr>
            </w:pPr>
            <w:r>
              <w:rPr>
                <w:color w:val="auto"/>
                <w:szCs w:val="21"/>
              </w:rPr>
              <w:t>边长=5 km</w:t>
            </w:r>
            <w:r>
              <w:rPr>
                <w:bCs/>
                <w:color w:val="auto"/>
                <w:sz w:val="24"/>
              </w:rPr>
              <w:t>☑</w:t>
            </w:r>
          </w:p>
        </w:tc>
      </w:tr>
      <w:tr w14:paraId="3E2A398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restart"/>
            <w:tcBorders>
              <w:top w:val="single" w:color="auto" w:sz="6" w:space="0"/>
              <w:left w:val="nil"/>
              <w:bottom w:val="single" w:color="auto" w:sz="6" w:space="0"/>
              <w:right w:val="single" w:color="auto" w:sz="6" w:space="0"/>
            </w:tcBorders>
            <w:vAlign w:val="center"/>
          </w:tcPr>
          <w:p w14:paraId="20EFB217">
            <w:pPr>
              <w:pStyle w:val="168"/>
              <w:snapToGrid w:val="0"/>
              <w:spacing w:before="24" w:line="260" w:lineRule="atLeast"/>
              <w:rPr>
                <w:color w:val="auto"/>
                <w:szCs w:val="21"/>
              </w:rPr>
            </w:pPr>
            <w:r>
              <w:rPr>
                <w:color w:val="auto"/>
                <w:szCs w:val="21"/>
              </w:rPr>
              <w:t>评价因子</w:t>
            </w:r>
          </w:p>
        </w:tc>
        <w:tc>
          <w:tcPr>
            <w:tcW w:w="1588" w:type="dxa"/>
            <w:tcBorders>
              <w:top w:val="single" w:color="auto" w:sz="6" w:space="0"/>
              <w:left w:val="single" w:color="auto" w:sz="6" w:space="0"/>
              <w:bottom w:val="single" w:color="auto" w:sz="6" w:space="0"/>
              <w:right w:val="single" w:color="auto" w:sz="6" w:space="0"/>
            </w:tcBorders>
            <w:vAlign w:val="center"/>
          </w:tcPr>
          <w:p w14:paraId="7061570D">
            <w:pPr>
              <w:pStyle w:val="168"/>
              <w:snapToGrid w:val="0"/>
              <w:spacing w:before="24" w:line="260" w:lineRule="atLeast"/>
              <w:rPr>
                <w:color w:val="auto"/>
                <w:szCs w:val="21"/>
              </w:rPr>
            </w:pPr>
            <w:r>
              <w:rPr>
                <w:color w:val="auto"/>
                <w:szCs w:val="21"/>
              </w:rPr>
              <w:t>SO</w:t>
            </w:r>
            <w:r>
              <w:rPr>
                <w:color w:val="auto"/>
                <w:szCs w:val="21"/>
                <w:vertAlign w:val="subscript"/>
              </w:rPr>
              <w:t xml:space="preserve">2 </w:t>
            </w:r>
            <w:r>
              <w:rPr>
                <w:color w:val="auto"/>
                <w:szCs w:val="21"/>
              </w:rPr>
              <w:t>+NO</w:t>
            </w:r>
            <w:r>
              <w:rPr>
                <w:i/>
                <w:color w:val="auto"/>
                <w:szCs w:val="21"/>
                <w:vertAlign w:val="subscript"/>
              </w:rPr>
              <w:t>x</w:t>
            </w:r>
            <w:r>
              <w:rPr>
                <w:color w:val="auto"/>
                <w:szCs w:val="21"/>
              </w:rPr>
              <w:t>排放量</w:t>
            </w:r>
          </w:p>
        </w:tc>
        <w:tc>
          <w:tcPr>
            <w:tcW w:w="1278" w:type="dxa"/>
            <w:gridSpan w:val="2"/>
            <w:tcBorders>
              <w:top w:val="single" w:color="auto" w:sz="6" w:space="0"/>
              <w:left w:val="single" w:color="auto" w:sz="6" w:space="0"/>
              <w:bottom w:val="single" w:color="auto" w:sz="6" w:space="0"/>
              <w:right w:val="single" w:color="auto" w:sz="6" w:space="0"/>
            </w:tcBorders>
            <w:vAlign w:val="center"/>
          </w:tcPr>
          <w:p w14:paraId="246D0122">
            <w:pPr>
              <w:pStyle w:val="168"/>
              <w:snapToGrid w:val="0"/>
              <w:spacing w:before="24" w:line="260" w:lineRule="atLeast"/>
              <w:rPr>
                <w:color w:val="auto"/>
                <w:szCs w:val="21"/>
              </w:rPr>
            </w:pPr>
            <w:r>
              <w:rPr>
                <w:color w:val="auto"/>
                <w:szCs w:val="21"/>
              </w:rPr>
              <w:t>≥ 2000t/a□</w:t>
            </w:r>
          </w:p>
        </w:tc>
        <w:tc>
          <w:tcPr>
            <w:tcW w:w="3284" w:type="dxa"/>
            <w:gridSpan w:val="15"/>
            <w:tcBorders>
              <w:top w:val="single" w:color="auto" w:sz="6" w:space="0"/>
              <w:left w:val="single" w:color="auto" w:sz="6" w:space="0"/>
              <w:bottom w:val="single" w:color="auto" w:sz="6" w:space="0"/>
              <w:right w:val="single" w:color="auto" w:sz="6" w:space="0"/>
            </w:tcBorders>
            <w:vAlign w:val="center"/>
          </w:tcPr>
          <w:p w14:paraId="753B7C4F">
            <w:pPr>
              <w:pStyle w:val="168"/>
              <w:snapToGrid w:val="0"/>
              <w:spacing w:before="24" w:line="260" w:lineRule="atLeast"/>
              <w:rPr>
                <w:color w:val="auto"/>
                <w:szCs w:val="21"/>
              </w:rPr>
            </w:pPr>
            <w:r>
              <w:rPr>
                <w:color w:val="auto"/>
                <w:szCs w:val="21"/>
              </w:rPr>
              <w:t>500 ~ 2000t/a□</w:t>
            </w:r>
          </w:p>
        </w:tc>
        <w:tc>
          <w:tcPr>
            <w:tcW w:w="2011" w:type="dxa"/>
            <w:gridSpan w:val="7"/>
            <w:tcBorders>
              <w:top w:val="single" w:color="auto" w:sz="6" w:space="0"/>
              <w:left w:val="single" w:color="auto" w:sz="6" w:space="0"/>
              <w:bottom w:val="single" w:color="auto" w:sz="6" w:space="0"/>
              <w:right w:val="nil"/>
            </w:tcBorders>
            <w:vAlign w:val="center"/>
          </w:tcPr>
          <w:p w14:paraId="589E5BC8">
            <w:pPr>
              <w:pStyle w:val="168"/>
              <w:snapToGrid w:val="0"/>
              <w:spacing w:before="24" w:line="260" w:lineRule="atLeast"/>
              <w:rPr>
                <w:color w:val="auto"/>
                <w:szCs w:val="21"/>
              </w:rPr>
            </w:pPr>
            <w:r>
              <w:rPr>
                <w:color w:val="auto"/>
                <w:szCs w:val="21"/>
              </w:rPr>
              <w:t>＜500 t/a</w:t>
            </w:r>
            <w:r>
              <w:rPr>
                <w:bCs/>
                <w:color w:val="auto"/>
                <w:sz w:val="24"/>
              </w:rPr>
              <w:t>☑</w:t>
            </w:r>
          </w:p>
        </w:tc>
      </w:tr>
      <w:tr w14:paraId="7FA816F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4CD2500A">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6661C6E3">
            <w:pPr>
              <w:pStyle w:val="168"/>
              <w:snapToGrid w:val="0"/>
              <w:spacing w:before="24" w:line="260" w:lineRule="atLeast"/>
              <w:rPr>
                <w:color w:val="auto"/>
                <w:szCs w:val="21"/>
              </w:rPr>
            </w:pPr>
            <w:r>
              <w:rPr>
                <w:color w:val="auto"/>
                <w:szCs w:val="21"/>
              </w:rPr>
              <w:t>评价因子</w:t>
            </w:r>
          </w:p>
        </w:tc>
        <w:tc>
          <w:tcPr>
            <w:tcW w:w="3782" w:type="dxa"/>
            <w:gridSpan w:val="14"/>
            <w:tcBorders>
              <w:top w:val="single" w:color="auto" w:sz="6" w:space="0"/>
              <w:left w:val="single" w:color="auto" w:sz="6" w:space="0"/>
              <w:bottom w:val="single" w:color="auto" w:sz="6" w:space="0"/>
              <w:right w:val="single" w:color="auto" w:sz="6" w:space="0"/>
            </w:tcBorders>
            <w:vAlign w:val="center"/>
          </w:tcPr>
          <w:p w14:paraId="636CB2C7">
            <w:pPr>
              <w:pStyle w:val="168"/>
              <w:snapToGrid w:val="0"/>
              <w:spacing w:before="24" w:line="260" w:lineRule="atLeast"/>
              <w:rPr>
                <w:color w:val="auto"/>
                <w:szCs w:val="21"/>
              </w:rPr>
            </w:pPr>
            <w:r>
              <w:rPr>
                <w:color w:val="auto"/>
                <w:szCs w:val="21"/>
              </w:rPr>
              <w:t>基本污染物 (SO</w:t>
            </w:r>
            <w:r>
              <w:rPr>
                <w:color w:val="auto"/>
                <w:szCs w:val="21"/>
                <w:vertAlign w:val="subscript"/>
              </w:rPr>
              <w:t>2</w:t>
            </w:r>
            <w:r>
              <w:rPr>
                <w:color w:val="auto"/>
                <w:szCs w:val="21"/>
              </w:rPr>
              <w:t>、NO</w:t>
            </w:r>
            <w:r>
              <w:rPr>
                <w:color w:val="auto"/>
                <w:szCs w:val="21"/>
                <w:vertAlign w:val="subscript"/>
              </w:rPr>
              <w:t>2</w:t>
            </w:r>
            <w:r>
              <w:rPr>
                <w:color w:val="auto"/>
                <w:szCs w:val="21"/>
              </w:rPr>
              <w:t>、PM</w:t>
            </w:r>
            <w:r>
              <w:rPr>
                <w:color w:val="auto"/>
                <w:szCs w:val="21"/>
                <w:vertAlign w:val="subscript"/>
              </w:rPr>
              <w:t>10</w:t>
            </w:r>
            <w:r>
              <w:rPr>
                <w:color w:val="auto"/>
                <w:szCs w:val="21"/>
              </w:rPr>
              <w:t>、PM</w:t>
            </w:r>
            <w:r>
              <w:rPr>
                <w:color w:val="auto"/>
                <w:szCs w:val="21"/>
                <w:vertAlign w:val="subscript"/>
              </w:rPr>
              <w:t>2.5</w:t>
            </w:r>
            <w:r>
              <w:rPr>
                <w:color w:val="auto"/>
                <w:szCs w:val="21"/>
              </w:rPr>
              <w:t>、CO、O</w:t>
            </w:r>
            <w:r>
              <w:rPr>
                <w:color w:val="auto"/>
                <w:szCs w:val="21"/>
                <w:vertAlign w:val="subscript"/>
              </w:rPr>
              <w:t>3</w:t>
            </w:r>
            <w:r>
              <w:rPr>
                <w:color w:val="auto"/>
                <w:szCs w:val="21"/>
              </w:rPr>
              <w:t xml:space="preserve"> )</w:t>
            </w:r>
          </w:p>
          <w:p w14:paraId="708B5CE7">
            <w:pPr>
              <w:pStyle w:val="168"/>
              <w:snapToGrid w:val="0"/>
              <w:spacing w:before="24" w:line="260" w:lineRule="atLeast"/>
              <w:rPr>
                <w:color w:val="auto"/>
                <w:szCs w:val="21"/>
              </w:rPr>
            </w:pPr>
            <w:r>
              <w:rPr>
                <w:color w:val="auto"/>
                <w:szCs w:val="21"/>
              </w:rPr>
              <w:t>其他污染物 (NH</w:t>
            </w:r>
            <w:r>
              <w:rPr>
                <w:color w:val="auto"/>
                <w:szCs w:val="21"/>
                <w:vertAlign w:val="subscript"/>
              </w:rPr>
              <w:t>3</w:t>
            </w:r>
            <w:r>
              <w:rPr>
                <w:color w:val="auto"/>
                <w:szCs w:val="21"/>
              </w:rPr>
              <w:t>、H</w:t>
            </w:r>
            <w:r>
              <w:rPr>
                <w:color w:val="auto"/>
                <w:szCs w:val="21"/>
                <w:vertAlign w:val="subscript"/>
              </w:rPr>
              <w:t>2</w:t>
            </w:r>
            <w:r>
              <w:rPr>
                <w:color w:val="auto"/>
                <w:szCs w:val="21"/>
              </w:rPr>
              <w:t>S)</w:t>
            </w:r>
          </w:p>
        </w:tc>
        <w:tc>
          <w:tcPr>
            <w:tcW w:w="2791" w:type="dxa"/>
            <w:gridSpan w:val="10"/>
            <w:tcBorders>
              <w:top w:val="single" w:color="auto" w:sz="6" w:space="0"/>
              <w:left w:val="single" w:color="auto" w:sz="6" w:space="0"/>
              <w:bottom w:val="single" w:color="auto" w:sz="6" w:space="0"/>
              <w:right w:val="nil"/>
            </w:tcBorders>
            <w:vAlign w:val="center"/>
          </w:tcPr>
          <w:p w14:paraId="46D34B62">
            <w:pPr>
              <w:pStyle w:val="168"/>
              <w:snapToGrid w:val="0"/>
              <w:spacing w:before="24" w:line="260" w:lineRule="atLeast"/>
              <w:ind w:right="412" w:rightChars="196"/>
              <w:jc w:val="right"/>
              <w:rPr>
                <w:color w:val="auto"/>
                <w:szCs w:val="21"/>
              </w:rPr>
            </w:pPr>
            <w:r>
              <w:rPr>
                <w:color w:val="auto"/>
                <w:szCs w:val="21"/>
              </w:rPr>
              <w:t>包括二次PM</w:t>
            </w:r>
            <w:r>
              <w:rPr>
                <w:color w:val="auto"/>
                <w:szCs w:val="21"/>
                <w:vertAlign w:val="subscript"/>
              </w:rPr>
              <w:t>2.5</w:t>
            </w:r>
            <w:r>
              <w:rPr>
                <w:color w:val="auto"/>
                <w:szCs w:val="21"/>
              </w:rPr>
              <w:t>□</w:t>
            </w:r>
          </w:p>
          <w:p w14:paraId="349A9B84">
            <w:pPr>
              <w:pStyle w:val="168"/>
              <w:snapToGrid w:val="0"/>
              <w:spacing w:before="24" w:line="260" w:lineRule="atLeast"/>
              <w:ind w:right="412" w:rightChars="196"/>
              <w:jc w:val="right"/>
              <w:rPr>
                <w:color w:val="auto"/>
                <w:szCs w:val="21"/>
              </w:rPr>
            </w:pPr>
            <w:r>
              <w:rPr>
                <w:color w:val="auto"/>
                <w:szCs w:val="21"/>
              </w:rPr>
              <w:t>不包括二次PM</w:t>
            </w:r>
            <w:r>
              <w:rPr>
                <w:color w:val="auto"/>
                <w:szCs w:val="21"/>
                <w:vertAlign w:val="subscript"/>
              </w:rPr>
              <w:t>2.5</w:t>
            </w:r>
            <w:r>
              <w:rPr>
                <w:color w:val="auto"/>
                <w:szCs w:val="21"/>
              </w:rPr>
              <w:t>□</w:t>
            </w:r>
          </w:p>
        </w:tc>
      </w:tr>
      <w:tr w14:paraId="52F86E0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tcBorders>
              <w:top w:val="single" w:color="auto" w:sz="6" w:space="0"/>
              <w:left w:val="nil"/>
              <w:bottom w:val="single" w:color="auto" w:sz="6" w:space="0"/>
              <w:right w:val="single" w:color="auto" w:sz="6" w:space="0"/>
            </w:tcBorders>
            <w:vAlign w:val="center"/>
          </w:tcPr>
          <w:p w14:paraId="52C1E87E">
            <w:pPr>
              <w:pStyle w:val="168"/>
              <w:snapToGrid w:val="0"/>
              <w:spacing w:before="24" w:line="260" w:lineRule="atLeast"/>
              <w:rPr>
                <w:color w:val="auto"/>
                <w:szCs w:val="21"/>
              </w:rPr>
            </w:pPr>
            <w:r>
              <w:rPr>
                <w:color w:val="auto"/>
                <w:szCs w:val="21"/>
              </w:rPr>
              <w:t>评价标准</w:t>
            </w:r>
          </w:p>
        </w:tc>
        <w:tc>
          <w:tcPr>
            <w:tcW w:w="1588" w:type="dxa"/>
            <w:tcBorders>
              <w:top w:val="single" w:color="auto" w:sz="6" w:space="0"/>
              <w:left w:val="single" w:color="auto" w:sz="6" w:space="0"/>
              <w:bottom w:val="single" w:color="auto" w:sz="6" w:space="0"/>
              <w:right w:val="single" w:color="auto" w:sz="6" w:space="0"/>
            </w:tcBorders>
            <w:vAlign w:val="center"/>
          </w:tcPr>
          <w:p w14:paraId="1E833697">
            <w:pPr>
              <w:pStyle w:val="168"/>
              <w:snapToGrid w:val="0"/>
              <w:spacing w:before="24" w:line="260" w:lineRule="atLeast"/>
              <w:rPr>
                <w:color w:val="auto"/>
                <w:szCs w:val="21"/>
              </w:rPr>
            </w:pPr>
            <w:r>
              <w:rPr>
                <w:color w:val="auto"/>
                <w:szCs w:val="21"/>
              </w:rPr>
              <w:t>评价标准</w:t>
            </w:r>
          </w:p>
        </w:tc>
        <w:tc>
          <w:tcPr>
            <w:tcW w:w="1791" w:type="dxa"/>
            <w:gridSpan w:val="6"/>
            <w:tcBorders>
              <w:top w:val="single" w:color="auto" w:sz="6" w:space="0"/>
              <w:left w:val="single" w:color="auto" w:sz="6" w:space="0"/>
              <w:bottom w:val="single" w:color="auto" w:sz="6" w:space="0"/>
              <w:right w:val="single" w:color="auto" w:sz="6" w:space="0"/>
            </w:tcBorders>
            <w:vAlign w:val="center"/>
          </w:tcPr>
          <w:p w14:paraId="6510444D">
            <w:pPr>
              <w:pStyle w:val="168"/>
              <w:snapToGrid w:val="0"/>
              <w:spacing w:before="24" w:line="260" w:lineRule="atLeast"/>
              <w:rPr>
                <w:color w:val="auto"/>
                <w:szCs w:val="21"/>
              </w:rPr>
            </w:pPr>
            <w:r>
              <w:rPr>
                <w:color w:val="auto"/>
                <w:szCs w:val="21"/>
              </w:rPr>
              <w:t>国家标准</w:t>
            </w:r>
            <w:r>
              <w:rPr>
                <w:bCs/>
                <w:color w:val="auto"/>
                <w:sz w:val="24"/>
              </w:rPr>
              <w:t>☑</w:t>
            </w:r>
          </w:p>
        </w:tc>
        <w:tc>
          <w:tcPr>
            <w:tcW w:w="1991" w:type="dxa"/>
            <w:gridSpan w:val="8"/>
            <w:tcBorders>
              <w:top w:val="single" w:color="auto" w:sz="6" w:space="0"/>
              <w:left w:val="single" w:color="auto" w:sz="6" w:space="0"/>
              <w:bottom w:val="single" w:color="auto" w:sz="6" w:space="0"/>
              <w:right w:val="single" w:color="auto" w:sz="6" w:space="0"/>
            </w:tcBorders>
            <w:vAlign w:val="center"/>
          </w:tcPr>
          <w:p w14:paraId="584F6BFF">
            <w:pPr>
              <w:pStyle w:val="168"/>
              <w:snapToGrid w:val="0"/>
              <w:spacing w:before="24" w:line="260" w:lineRule="atLeast"/>
              <w:rPr>
                <w:color w:val="auto"/>
                <w:szCs w:val="21"/>
              </w:rPr>
            </w:pPr>
            <w:r>
              <w:rPr>
                <w:color w:val="auto"/>
                <w:szCs w:val="21"/>
              </w:rPr>
              <w:t>地方标准 □</w:t>
            </w:r>
          </w:p>
        </w:tc>
        <w:tc>
          <w:tcPr>
            <w:tcW w:w="1482" w:type="dxa"/>
            <w:gridSpan w:val="6"/>
            <w:tcBorders>
              <w:top w:val="single" w:color="auto" w:sz="6" w:space="0"/>
              <w:left w:val="single" w:color="auto" w:sz="6" w:space="0"/>
              <w:bottom w:val="single" w:color="auto" w:sz="6" w:space="0"/>
              <w:right w:val="single" w:color="auto" w:sz="6" w:space="0"/>
            </w:tcBorders>
            <w:vAlign w:val="center"/>
          </w:tcPr>
          <w:p w14:paraId="2648A0CA">
            <w:pPr>
              <w:pStyle w:val="168"/>
              <w:snapToGrid w:val="0"/>
              <w:spacing w:before="24" w:line="260" w:lineRule="atLeast"/>
              <w:rPr>
                <w:color w:val="auto"/>
                <w:szCs w:val="21"/>
              </w:rPr>
            </w:pPr>
            <w:r>
              <w:rPr>
                <w:color w:val="auto"/>
                <w:szCs w:val="21"/>
              </w:rPr>
              <w:t xml:space="preserve">附录D </w:t>
            </w:r>
            <w:r>
              <w:rPr>
                <w:color w:val="auto"/>
                <w:szCs w:val="21"/>
              </w:rPr>
              <w:sym w:font="Wingdings 2" w:char="0052"/>
            </w:r>
          </w:p>
        </w:tc>
        <w:tc>
          <w:tcPr>
            <w:tcW w:w="1309" w:type="dxa"/>
            <w:gridSpan w:val="4"/>
            <w:tcBorders>
              <w:top w:val="single" w:color="auto" w:sz="6" w:space="0"/>
              <w:left w:val="single" w:color="auto" w:sz="6" w:space="0"/>
              <w:bottom w:val="single" w:color="auto" w:sz="6" w:space="0"/>
              <w:right w:val="nil"/>
            </w:tcBorders>
            <w:vAlign w:val="center"/>
          </w:tcPr>
          <w:p w14:paraId="3C681DBB">
            <w:pPr>
              <w:pStyle w:val="168"/>
              <w:snapToGrid w:val="0"/>
              <w:spacing w:before="24" w:line="260" w:lineRule="atLeast"/>
              <w:rPr>
                <w:color w:val="auto"/>
                <w:szCs w:val="21"/>
              </w:rPr>
            </w:pPr>
            <w:r>
              <w:rPr>
                <w:color w:val="auto"/>
                <w:szCs w:val="21"/>
              </w:rPr>
              <w:t xml:space="preserve">其他标准 </w:t>
            </w:r>
            <w:r>
              <w:rPr>
                <w:color w:val="auto"/>
                <w:szCs w:val="21"/>
              </w:rPr>
              <w:sym w:font="Wingdings 2" w:char="0052"/>
            </w:r>
          </w:p>
        </w:tc>
      </w:tr>
      <w:tr w14:paraId="0E4E9C9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restart"/>
            <w:tcBorders>
              <w:top w:val="single" w:color="auto" w:sz="6" w:space="0"/>
              <w:left w:val="nil"/>
              <w:bottom w:val="single" w:color="auto" w:sz="6" w:space="0"/>
              <w:right w:val="single" w:color="auto" w:sz="6" w:space="0"/>
            </w:tcBorders>
            <w:vAlign w:val="center"/>
          </w:tcPr>
          <w:p w14:paraId="697706D1">
            <w:pPr>
              <w:pStyle w:val="168"/>
              <w:snapToGrid w:val="0"/>
              <w:spacing w:before="24" w:line="260" w:lineRule="atLeast"/>
              <w:rPr>
                <w:color w:val="auto"/>
                <w:szCs w:val="21"/>
              </w:rPr>
            </w:pPr>
            <w:r>
              <w:rPr>
                <w:color w:val="auto"/>
                <w:szCs w:val="21"/>
              </w:rPr>
              <w:t>现状评价</w:t>
            </w:r>
          </w:p>
        </w:tc>
        <w:tc>
          <w:tcPr>
            <w:tcW w:w="1588" w:type="dxa"/>
            <w:tcBorders>
              <w:top w:val="single" w:color="auto" w:sz="6" w:space="0"/>
              <w:left w:val="single" w:color="auto" w:sz="6" w:space="0"/>
              <w:bottom w:val="single" w:color="auto" w:sz="6" w:space="0"/>
              <w:right w:val="single" w:color="auto" w:sz="6" w:space="0"/>
            </w:tcBorders>
            <w:vAlign w:val="center"/>
          </w:tcPr>
          <w:p w14:paraId="2DCE533A">
            <w:pPr>
              <w:pStyle w:val="168"/>
              <w:snapToGrid w:val="0"/>
              <w:spacing w:before="24" w:line="260" w:lineRule="atLeast"/>
              <w:rPr>
                <w:color w:val="auto"/>
                <w:szCs w:val="21"/>
              </w:rPr>
            </w:pPr>
            <w:r>
              <w:rPr>
                <w:color w:val="auto"/>
                <w:szCs w:val="21"/>
              </w:rPr>
              <w:t>环境功能区</w:t>
            </w:r>
          </w:p>
        </w:tc>
        <w:tc>
          <w:tcPr>
            <w:tcW w:w="2505" w:type="dxa"/>
            <w:gridSpan w:val="9"/>
            <w:tcBorders>
              <w:top w:val="single" w:color="auto" w:sz="6" w:space="0"/>
              <w:left w:val="single" w:color="auto" w:sz="6" w:space="0"/>
              <w:bottom w:val="single" w:color="auto" w:sz="6" w:space="0"/>
              <w:right w:val="single" w:color="auto" w:sz="6" w:space="0"/>
            </w:tcBorders>
            <w:vAlign w:val="center"/>
          </w:tcPr>
          <w:p w14:paraId="7113E3E5">
            <w:pPr>
              <w:pStyle w:val="168"/>
              <w:snapToGrid w:val="0"/>
              <w:spacing w:before="24" w:line="260" w:lineRule="atLeast"/>
              <w:rPr>
                <w:color w:val="auto"/>
                <w:szCs w:val="21"/>
              </w:rPr>
            </w:pPr>
            <w:r>
              <w:rPr>
                <w:color w:val="auto"/>
                <w:szCs w:val="21"/>
              </w:rPr>
              <w:t>一类区□</w:t>
            </w:r>
          </w:p>
        </w:tc>
        <w:tc>
          <w:tcPr>
            <w:tcW w:w="1811" w:type="dxa"/>
            <w:gridSpan w:val="7"/>
            <w:tcBorders>
              <w:top w:val="single" w:color="auto" w:sz="6" w:space="0"/>
              <w:left w:val="single" w:color="auto" w:sz="6" w:space="0"/>
              <w:bottom w:val="single" w:color="auto" w:sz="6" w:space="0"/>
              <w:right w:val="single" w:color="auto" w:sz="6" w:space="0"/>
            </w:tcBorders>
            <w:vAlign w:val="center"/>
          </w:tcPr>
          <w:p w14:paraId="5F6C5677">
            <w:pPr>
              <w:pStyle w:val="168"/>
              <w:snapToGrid w:val="0"/>
              <w:spacing w:before="24" w:line="260" w:lineRule="atLeast"/>
              <w:rPr>
                <w:color w:val="auto"/>
                <w:szCs w:val="21"/>
              </w:rPr>
            </w:pPr>
            <w:r>
              <w:rPr>
                <w:color w:val="auto"/>
                <w:szCs w:val="21"/>
              </w:rPr>
              <w:t>二类区</w:t>
            </w:r>
            <w:r>
              <w:rPr>
                <w:bCs/>
                <w:color w:val="auto"/>
                <w:sz w:val="24"/>
              </w:rPr>
              <w:t>☑</w:t>
            </w:r>
          </w:p>
        </w:tc>
        <w:tc>
          <w:tcPr>
            <w:tcW w:w="2257" w:type="dxa"/>
            <w:gridSpan w:val="8"/>
            <w:tcBorders>
              <w:top w:val="single" w:color="auto" w:sz="6" w:space="0"/>
              <w:left w:val="single" w:color="auto" w:sz="6" w:space="0"/>
              <w:bottom w:val="single" w:color="auto" w:sz="6" w:space="0"/>
              <w:right w:val="nil"/>
            </w:tcBorders>
            <w:vAlign w:val="center"/>
          </w:tcPr>
          <w:p w14:paraId="48264B34">
            <w:pPr>
              <w:pStyle w:val="168"/>
              <w:snapToGrid w:val="0"/>
              <w:spacing w:before="24" w:line="260" w:lineRule="atLeast"/>
              <w:rPr>
                <w:color w:val="auto"/>
                <w:szCs w:val="21"/>
              </w:rPr>
            </w:pPr>
            <w:r>
              <w:rPr>
                <w:color w:val="auto"/>
                <w:szCs w:val="21"/>
              </w:rPr>
              <w:t>一类区和二类区□</w:t>
            </w:r>
          </w:p>
        </w:tc>
      </w:tr>
      <w:tr w14:paraId="2906C12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0124EF7E">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5A742DAD">
            <w:pPr>
              <w:pStyle w:val="168"/>
              <w:snapToGrid w:val="0"/>
              <w:spacing w:before="24" w:line="260" w:lineRule="atLeast"/>
              <w:rPr>
                <w:color w:val="auto"/>
                <w:szCs w:val="21"/>
              </w:rPr>
            </w:pPr>
            <w:r>
              <w:rPr>
                <w:color w:val="auto"/>
                <w:szCs w:val="21"/>
              </w:rPr>
              <w:t>评价基准年</w:t>
            </w:r>
          </w:p>
        </w:tc>
        <w:tc>
          <w:tcPr>
            <w:tcW w:w="6573" w:type="dxa"/>
            <w:gridSpan w:val="24"/>
            <w:tcBorders>
              <w:top w:val="single" w:color="auto" w:sz="6" w:space="0"/>
              <w:left w:val="single" w:color="auto" w:sz="6" w:space="0"/>
              <w:bottom w:val="single" w:color="auto" w:sz="6" w:space="0"/>
              <w:right w:val="nil"/>
            </w:tcBorders>
            <w:vAlign w:val="center"/>
          </w:tcPr>
          <w:p w14:paraId="44098771">
            <w:pPr>
              <w:pStyle w:val="168"/>
              <w:snapToGrid w:val="0"/>
              <w:spacing w:before="24" w:line="260" w:lineRule="atLeast"/>
              <w:rPr>
                <w:color w:val="auto"/>
                <w:szCs w:val="21"/>
              </w:rPr>
            </w:pPr>
            <w:r>
              <w:rPr>
                <w:color w:val="auto"/>
                <w:szCs w:val="21"/>
              </w:rPr>
              <w:t>（ 20</w:t>
            </w:r>
            <w:r>
              <w:rPr>
                <w:rFonts w:hint="eastAsia"/>
                <w:color w:val="auto"/>
                <w:szCs w:val="21"/>
              </w:rPr>
              <w:t>2</w:t>
            </w:r>
            <w:r>
              <w:rPr>
                <w:rFonts w:hint="eastAsia"/>
                <w:color w:val="auto"/>
                <w:szCs w:val="21"/>
                <w:lang w:val="en-US" w:eastAsia="zh-CN"/>
              </w:rPr>
              <w:t>3</w:t>
            </w:r>
            <w:r>
              <w:rPr>
                <w:color w:val="auto"/>
                <w:szCs w:val="21"/>
              </w:rPr>
              <w:t>）年</w:t>
            </w:r>
          </w:p>
        </w:tc>
      </w:tr>
      <w:tr w14:paraId="4761460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2C0F901B">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7155EBB1">
            <w:pPr>
              <w:pStyle w:val="168"/>
              <w:snapToGrid w:val="0"/>
              <w:spacing w:before="24" w:line="260" w:lineRule="atLeast"/>
              <w:rPr>
                <w:color w:val="auto"/>
                <w:szCs w:val="21"/>
              </w:rPr>
            </w:pPr>
            <w:r>
              <w:rPr>
                <w:color w:val="auto"/>
                <w:szCs w:val="21"/>
              </w:rPr>
              <w:t>环境空气质量现状调查数据来源</w:t>
            </w:r>
          </w:p>
        </w:tc>
        <w:tc>
          <w:tcPr>
            <w:tcW w:w="2505" w:type="dxa"/>
            <w:gridSpan w:val="9"/>
            <w:tcBorders>
              <w:top w:val="single" w:color="auto" w:sz="6" w:space="0"/>
              <w:left w:val="single" w:color="auto" w:sz="6" w:space="0"/>
              <w:bottom w:val="single" w:color="auto" w:sz="6" w:space="0"/>
              <w:right w:val="single" w:color="auto" w:sz="6" w:space="0"/>
            </w:tcBorders>
            <w:vAlign w:val="center"/>
          </w:tcPr>
          <w:p w14:paraId="0826C0AB">
            <w:pPr>
              <w:pStyle w:val="168"/>
              <w:snapToGrid w:val="0"/>
              <w:spacing w:before="24" w:line="260" w:lineRule="atLeast"/>
              <w:rPr>
                <w:color w:val="auto"/>
                <w:szCs w:val="21"/>
              </w:rPr>
            </w:pPr>
            <w:r>
              <w:rPr>
                <w:color w:val="auto"/>
                <w:szCs w:val="21"/>
              </w:rPr>
              <w:t>长期例行监测数据□</w:t>
            </w:r>
          </w:p>
        </w:tc>
        <w:tc>
          <w:tcPr>
            <w:tcW w:w="2401" w:type="dxa"/>
            <w:gridSpan w:val="9"/>
            <w:tcBorders>
              <w:top w:val="single" w:color="auto" w:sz="6" w:space="0"/>
              <w:left w:val="single" w:color="auto" w:sz="6" w:space="0"/>
              <w:bottom w:val="single" w:color="auto" w:sz="6" w:space="0"/>
              <w:right w:val="single" w:color="auto" w:sz="6" w:space="0"/>
            </w:tcBorders>
            <w:vAlign w:val="center"/>
          </w:tcPr>
          <w:p w14:paraId="753E5729">
            <w:pPr>
              <w:pStyle w:val="168"/>
              <w:snapToGrid w:val="0"/>
              <w:spacing w:before="24" w:line="260" w:lineRule="atLeast"/>
              <w:rPr>
                <w:color w:val="auto"/>
                <w:szCs w:val="21"/>
              </w:rPr>
            </w:pPr>
            <w:r>
              <w:rPr>
                <w:color w:val="auto"/>
                <w:szCs w:val="21"/>
              </w:rPr>
              <w:t>主管部门发布的数据</w:t>
            </w:r>
            <w:r>
              <w:rPr>
                <w:bCs/>
                <w:color w:val="auto"/>
                <w:sz w:val="24"/>
              </w:rPr>
              <w:t>☑</w:t>
            </w:r>
          </w:p>
        </w:tc>
        <w:tc>
          <w:tcPr>
            <w:tcW w:w="1667" w:type="dxa"/>
            <w:gridSpan w:val="6"/>
            <w:tcBorders>
              <w:top w:val="single" w:color="auto" w:sz="6" w:space="0"/>
              <w:left w:val="single" w:color="auto" w:sz="6" w:space="0"/>
              <w:bottom w:val="single" w:color="auto" w:sz="6" w:space="0"/>
              <w:right w:val="nil"/>
            </w:tcBorders>
            <w:vAlign w:val="center"/>
          </w:tcPr>
          <w:p w14:paraId="192CBAA7">
            <w:pPr>
              <w:pStyle w:val="168"/>
              <w:snapToGrid w:val="0"/>
              <w:spacing w:before="24" w:line="260" w:lineRule="atLeast"/>
              <w:rPr>
                <w:color w:val="auto"/>
                <w:szCs w:val="21"/>
              </w:rPr>
            </w:pPr>
            <w:r>
              <w:rPr>
                <w:color w:val="auto"/>
                <w:szCs w:val="21"/>
              </w:rPr>
              <w:t>现状补充监测</w:t>
            </w:r>
            <w:r>
              <w:rPr>
                <w:bCs/>
                <w:color w:val="auto"/>
                <w:sz w:val="24"/>
              </w:rPr>
              <w:t>☑</w:t>
            </w:r>
          </w:p>
        </w:tc>
      </w:tr>
      <w:tr w14:paraId="3B4814CE">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36467D97">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6286C66D">
            <w:pPr>
              <w:pStyle w:val="168"/>
              <w:snapToGrid w:val="0"/>
              <w:spacing w:before="24" w:line="260" w:lineRule="atLeast"/>
              <w:rPr>
                <w:color w:val="auto"/>
                <w:szCs w:val="21"/>
              </w:rPr>
            </w:pPr>
            <w:r>
              <w:rPr>
                <w:color w:val="auto"/>
                <w:szCs w:val="21"/>
              </w:rPr>
              <w:t>现状评价</w:t>
            </w:r>
          </w:p>
        </w:tc>
        <w:tc>
          <w:tcPr>
            <w:tcW w:w="3782" w:type="dxa"/>
            <w:gridSpan w:val="14"/>
            <w:tcBorders>
              <w:top w:val="single" w:color="auto" w:sz="6" w:space="0"/>
              <w:left w:val="single" w:color="auto" w:sz="6" w:space="0"/>
              <w:bottom w:val="single" w:color="auto" w:sz="6" w:space="0"/>
              <w:right w:val="single" w:color="auto" w:sz="6" w:space="0"/>
            </w:tcBorders>
            <w:vAlign w:val="center"/>
          </w:tcPr>
          <w:p w14:paraId="02852CD3">
            <w:pPr>
              <w:pStyle w:val="168"/>
              <w:snapToGrid w:val="0"/>
              <w:spacing w:before="24" w:line="260" w:lineRule="atLeast"/>
              <w:rPr>
                <w:color w:val="auto"/>
                <w:szCs w:val="21"/>
              </w:rPr>
            </w:pPr>
            <w:r>
              <w:rPr>
                <w:color w:val="auto"/>
                <w:szCs w:val="21"/>
              </w:rPr>
              <w:t>达标区</w:t>
            </w:r>
            <w:r>
              <w:rPr>
                <w:color w:val="auto"/>
                <w:szCs w:val="21"/>
              </w:rPr>
              <w:sym w:font="Wingdings 2" w:char="0052"/>
            </w:r>
          </w:p>
        </w:tc>
        <w:tc>
          <w:tcPr>
            <w:tcW w:w="2791" w:type="dxa"/>
            <w:gridSpan w:val="10"/>
            <w:tcBorders>
              <w:top w:val="single" w:color="auto" w:sz="6" w:space="0"/>
              <w:left w:val="single" w:color="auto" w:sz="6" w:space="0"/>
              <w:bottom w:val="single" w:color="auto" w:sz="6" w:space="0"/>
              <w:right w:val="nil"/>
            </w:tcBorders>
            <w:vAlign w:val="center"/>
          </w:tcPr>
          <w:p w14:paraId="23F62E58">
            <w:pPr>
              <w:pStyle w:val="168"/>
              <w:snapToGrid w:val="0"/>
              <w:spacing w:before="24" w:line="260" w:lineRule="atLeast"/>
              <w:rPr>
                <w:color w:val="auto"/>
                <w:szCs w:val="21"/>
              </w:rPr>
            </w:pPr>
            <w:r>
              <w:rPr>
                <w:color w:val="auto"/>
                <w:szCs w:val="21"/>
              </w:rPr>
              <w:t>不达标区</w:t>
            </w:r>
            <w:r>
              <w:rPr>
                <w:rFonts w:hint="eastAsia"/>
                <w:bCs/>
                <w:color w:val="auto"/>
                <w:sz w:val="24"/>
              </w:rPr>
              <w:t>□</w:t>
            </w:r>
          </w:p>
        </w:tc>
      </w:tr>
      <w:tr w14:paraId="24E9E05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tcBorders>
              <w:top w:val="single" w:color="auto" w:sz="6" w:space="0"/>
              <w:left w:val="nil"/>
              <w:bottom w:val="single" w:color="auto" w:sz="6" w:space="0"/>
              <w:right w:val="single" w:color="auto" w:sz="6" w:space="0"/>
            </w:tcBorders>
            <w:vAlign w:val="center"/>
          </w:tcPr>
          <w:p w14:paraId="191690C7">
            <w:pPr>
              <w:pStyle w:val="168"/>
              <w:snapToGrid w:val="0"/>
              <w:spacing w:before="24" w:line="260" w:lineRule="atLeast"/>
              <w:rPr>
                <w:color w:val="auto"/>
                <w:szCs w:val="21"/>
              </w:rPr>
            </w:pPr>
            <w:r>
              <w:rPr>
                <w:color w:val="auto"/>
                <w:szCs w:val="21"/>
              </w:rPr>
              <w:t>污染源</w:t>
            </w:r>
          </w:p>
          <w:p w14:paraId="35E4DCAF">
            <w:pPr>
              <w:pStyle w:val="168"/>
              <w:snapToGrid w:val="0"/>
              <w:spacing w:before="24" w:line="260" w:lineRule="atLeast"/>
              <w:rPr>
                <w:color w:val="auto"/>
                <w:szCs w:val="21"/>
              </w:rPr>
            </w:pPr>
            <w:r>
              <w:rPr>
                <w:color w:val="auto"/>
                <w:szCs w:val="21"/>
              </w:rPr>
              <w:t>调查</w:t>
            </w:r>
          </w:p>
        </w:tc>
        <w:tc>
          <w:tcPr>
            <w:tcW w:w="1588" w:type="dxa"/>
            <w:tcBorders>
              <w:top w:val="single" w:color="auto" w:sz="6" w:space="0"/>
              <w:left w:val="single" w:color="auto" w:sz="6" w:space="0"/>
              <w:bottom w:val="single" w:color="auto" w:sz="6" w:space="0"/>
              <w:right w:val="single" w:color="auto" w:sz="6" w:space="0"/>
            </w:tcBorders>
            <w:vAlign w:val="center"/>
          </w:tcPr>
          <w:p w14:paraId="4A51103F">
            <w:pPr>
              <w:pStyle w:val="168"/>
              <w:snapToGrid w:val="0"/>
              <w:spacing w:before="24" w:line="260" w:lineRule="atLeast"/>
              <w:rPr>
                <w:color w:val="auto"/>
                <w:szCs w:val="21"/>
              </w:rPr>
            </w:pPr>
            <w:r>
              <w:rPr>
                <w:color w:val="auto"/>
                <w:szCs w:val="21"/>
              </w:rPr>
              <w:t>调查内容</w:t>
            </w:r>
          </w:p>
        </w:tc>
        <w:tc>
          <w:tcPr>
            <w:tcW w:w="2434" w:type="dxa"/>
            <w:gridSpan w:val="8"/>
            <w:tcBorders>
              <w:top w:val="single" w:color="auto" w:sz="6" w:space="0"/>
              <w:left w:val="single" w:color="auto" w:sz="6" w:space="0"/>
              <w:bottom w:val="single" w:color="auto" w:sz="6" w:space="0"/>
              <w:right w:val="single" w:color="auto" w:sz="6" w:space="0"/>
            </w:tcBorders>
            <w:vAlign w:val="center"/>
          </w:tcPr>
          <w:p w14:paraId="548FF7AD">
            <w:pPr>
              <w:pStyle w:val="168"/>
              <w:snapToGrid w:val="0"/>
              <w:spacing w:before="24" w:line="260" w:lineRule="atLeast"/>
              <w:ind w:right="210"/>
              <w:jc w:val="right"/>
              <w:rPr>
                <w:color w:val="auto"/>
                <w:szCs w:val="21"/>
              </w:rPr>
            </w:pPr>
            <w:r>
              <w:rPr>
                <w:color w:val="auto"/>
                <w:szCs w:val="21"/>
              </w:rPr>
              <w:t>本项目正常排放源</w:t>
            </w:r>
            <w:r>
              <w:rPr>
                <w:bCs/>
                <w:color w:val="auto"/>
                <w:sz w:val="24"/>
              </w:rPr>
              <w:t>☑</w:t>
            </w:r>
          </w:p>
          <w:p w14:paraId="583A127A">
            <w:pPr>
              <w:pStyle w:val="168"/>
              <w:snapToGrid w:val="0"/>
              <w:spacing w:before="24" w:line="260" w:lineRule="atLeast"/>
              <w:ind w:right="210"/>
              <w:jc w:val="right"/>
              <w:rPr>
                <w:color w:val="auto"/>
                <w:szCs w:val="21"/>
              </w:rPr>
            </w:pPr>
            <w:r>
              <w:rPr>
                <w:color w:val="auto"/>
                <w:szCs w:val="21"/>
              </w:rPr>
              <w:t>本项目非正常排放源</w:t>
            </w:r>
            <w:r>
              <w:rPr>
                <w:color w:val="auto"/>
                <w:szCs w:val="21"/>
              </w:rPr>
              <w:sym w:font="Wingdings 2" w:char="00A3"/>
            </w:r>
          </w:p>
          <w:p w14:paraId="20014676">
            <w:pPr>
              <w:pStyle w:val="168"/>
              <w:snapToGrid w:val="0"/>
              <w:spacing w:before="24" w:line="260" w:lineRule="atLeast"/>
              <w:ind w:right="210"/>
              <w:jc w:val="right"/>
              <w:rPr>
                <w:color w:val="auto"/>
                <w:szCs w:val="21"/>
              </w:rPr>
            </w:pPr>
            <w:r>
              <w:rPr>
                <w:color w:val="auto"/>
                <w:szCs w:val="21"/>
              </w:rPr>
              <w:t>现有污染源</w:t>
            </w:r>
            <w:r>
              <w:rPr>
                <w:color w:val="auto"/>
                <w:szCs w:val="21"/>
              </w:rPr>
              <w:sym w:font="Wingdings 2" w:char="00A3"/>
            </w:r>
          </w:p>
        </w:tc>
        <w:tc>
          <w:tcPr>
            <w:tcW w:w="1348" w:type="dxa"/>
            <w:gridSpan w:val="6"/>
            <w:tcBorders>
              <w:top w:val="single" w:color="auto" w:sz="6" w:space="0"/>
              <w:left w:val="single" w:color="auto" w:sz="6" w:space="0"/>
              <w:bottom w:val="single" w:color="auto" w:sz="6" w:space="0"/>
              <w:right w:val="single" w:color="auto" w:sz="6" w:space="0"/>
            </w:tcBorders>
            <w:vAlign w:val="center"/>
          </w:tcPr>
          <w:p w14:paraId="5F6C9DE4">
            <w:pPr>
              <w:pStyle w:val="168"/>
              <w:snapToGrid w:val="0"/>
              <w:spacing w:before="24" w:line="260" w:lineRule="atLeast"/>
              <w:rPr>
                <w:rFonts w:hint="eastAsia" w:eastAsia="宋体"/>
                <w:color w:val="auto"/>
                <w:szCs w:val="21"/>
                <w:lang w:eastAsia="zh-CN"/>
              </w:rPr>
            </w:pPr>
            <w:r>
              <w:rPr>
                <w:color w:val="auto"/>
                <w:szCs w:val="21"/>
              </w:rPr>
              <w:t>拟替代的污染源</w:t>
            </w:r>
            <w:r>
              <w:rPr>
                <w:rFonts w:hint="eastAsia"/>
                <w:color w:val="auto"/>
                <w:szCs w:val="21"/>
                <w:lang w:eastAsia="zh-CN"/>
              </w:rPr>
              <w:t>□</w:t>
            </w:r>
          </w:p>
        </w:tc>
        <w:tc>
          <w:tcPr>
            <w:tcW w:w="1734" w:type="dxa"/>
            <w:gridSpan w:val="8"/>
            <w:tcBorders>
              <w:top w:val="single" w:color="auto" w:sz="6" w:space="0"/>
              <w:left w:val="single" w:color="auto" w:sz="6" w:space="0"/>
              <w:bottom w:val="single" w:color="auto" w:sz="6" w:space="0"/>
              <w:right w:val="single" w:color="auto" w:sz="6" w:space="0"/>
            </w:tcBorders>
            <w:vAlign w:val="center"/>
          </w:tcPr>
          <w:p w14:paraId="22AC65A0">
            <w:pPr>
              <w:pStyle w:val="168"/>
              <w:snapToGrid w:val="0"/>
              <w:spacing w:before="24" w:line="260" w:lineRule="atLeast"/>
              <w:rPr>
                <w:color w:val="auto"/>
                <w:szCs w:val="21"/>
              </w:rPr>
            </w:pPr>
            <w:r>
              <w:rPr>
                <w:color w:val="auto"/>
                <w:szCs w:val="21"/>
              </w:rPr>
              <w:t>其他在建、拟建项目污染源□</w:t>
            </w:r>
          </w:p>
        </w:tc>
        <w:tc>
          <w:tcPr>
            <w:tcW w:w="1057" w:type="dxa"/>
            <w:gridSpan w:val="2"/>
            <w:tcBorders>
              <w:top w:val="single" w:color="auto" w:sz="6" w:space="0"/>
              <w:left w:val="single" w:color="auto" w:sz="6" w:space="0"/>
              <w:bottom w:val="single" w:color="auto" w:sz="6" w:space="0"/>
              <w:right w:val="nil"/>
            </w:tcBorders>
            <w:vAlign w:val="center"/>
          </w:tcPr>
          <w:p w14:paraId="26A23605">
            <w:pPr>
              <w:pStyle w:val="168"/>
              <w:snapToGrid w:val="0"/>
              <w:spacing w:before="24" w:line="260" w:lineRule="atLeast"/>
              <w:rPr>
                <w:color w:val="auto"/>
                <w:szCs w:val="21"/>
              </w:rPr>
            </w:pPr>
            <w:r>
              <w:rPr>
                <w:color w:val="auto"/>
                <w:szCs w:val="21"/>
              </w:rPr>
              <w:t>区域污染源□</w:t>
            </w:r>
          </w:p>
        </w:tc>
      </w:tr>
      <w:tr w14:paraId="052C018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restart"/>
            <w:tcBorders>
              <w:top w:val="single" w:color="auto" w:sz="6" w:space="0"/>
              <w:left w:val="nil"/>
              <w:bottom w:val="single" w:color="auto" w:sz="6" w:space="0"/>
              <w:right w:val="single" w:color="auto" w:sz="6" w:space="0"/>
            </w:tcBorders>
            <w:vAlign w:val="center"/>
          </w:tcPr>
          <w:p w14:paraId="665BD2F0">
            <w:pPr>
              <w:pStyle w:val="168"/>
              <w:snapToGrid w:val="0"/>
              <w:spacing w:before="24" w:line="260" w:lineRule="atLeast"/>
              <w:rPr>
                <w:color w:val="auto"/>
                <w:szCs w:val="21"/>
              </w:rPr>
            </w:pPr>
            <w:r>
              <w:rPr>
                <w:color w:val="auto"/>
                <w:szCs w:val="21"/>
              </w:rPr>
              <w:t>大气环境影响预测与评价</w:t>
            </w:r>
          </w:p>
        </w:tc>
        <w:tc>
          <w:tcPr>
            <w:tcW w:w="1588" w:type="dxa"/>
            <w:tcBorders>
              <w:top w:val="single" w:color="auto" w:sz="6" w:space="0"/>
              <w:left w:val="single" w:color="auto" w:sz="6" w:space="0"/>
              <w:bottom w:val="single" w:color="auto" w:sz="6" w:space="0"/>
              <w:right w:val="single" w:color="auto" w:sz="6" w:space="0"/>
            </w:tcBorders>
            <w:vAlign w:val="center"/>
          </w:tcPr>
          <w:p w14:paraId="7BEFC466">
            <w:pPr>
              <w:pStyle w:val="168"/>
              <w:snapToGrid w:val="0"/>
              <w:spacing w:before="24" w:line="260" w:lineRule="atLeast"/>
              <w:rPr>
                <w:color w:val="auto"/>
                <w:szCs w:val="21"/>
              </w:rPr>
            </w:pPr>
            <w:r>
              <w:rPr>
                <w:color w:val="auto"/>
                <w:szCs w:val="21"/>
              </w:rPr>
              <w:t>预测模型</w:t>
            </w:r>
          </w:p>
        </w:tc>
        <w:tc>
          <w:tcPr>
            <w:tcW w:w="974" w:type="dxa"/>
            <w:tcBorders>
              <w:top w:val="single" w:color="auto" w:sz="6" w:space="0"/>
              <w:left w:val="single" w:color="auto" w:sz="6" w:space="0"/>
              <w:bottom w:val="single" w:color="auto" w:sz="6" w:space="0"/>
              <w:right w:val="single" w:color="auto" w:sz="6" w:space="0"/>
            </w:tcBorders>
            <w:vAlign w:val="center"/>
          </w:tcPr>
          <w:p w14:paraId="75A8EB94">
            <w:pPr>
              <w:pStyle w:val="168"/>
              <w:snapToGrid w:val="0"/>
              <w:spacing w:before="24" w:line="260" w:lineRule="atLeast"/>
              <w:rPr>
                <w:color w:val="auto"/>
                <w:szCs w:val="21"/>
              </w:rPr>
            </w:pPr>
            <w:r>
              <w:rPr>
                <w:color w:val="auto"/>
                <w:szCs w:val="21"/>
              </w:rPr>
              <w:t>AERMOD</w:t>
            </w:r>
          </w:p>
          <w:p w14:paraId="7E3C87FB">
            <w:pPr>
              <w:pStyle w:val="168"/>
              <w:snapToGrid w:val="0"/>
              <w:spacing w:before="24" w:line="260" w:lineRule="atLeast"/>
              <w:rPr>
                <w:color w:val="auto"/>
                <w:szCs w:val="21"/>
              </w:rPr>
            </w:pPr>
            <w:r>
              <w:rPr>
                <w:color w:val="auto"/>
                <w:szCs w:val="21"/>
              </w:rPr>
              <w:t>□</w:t>
            </w:r>
          </w:p>
        </w:tc>
        <w:tc>
          <w:tcPr>
            <w:tcW w:w="679" w:type="dxa"/>
            <w:gridSpan w:val="4"/>
            <w:tcBorders>
              <w:top w:val="single" w:color="auto" w:sz="6" w:space="0"/>
              <w:left w:val="single" w:color="auto" w:sz="6" w:space="0"/>
              <w:bottom w:val="single" w:color="auto" w:sz="6" w:space="0"/>
              <w:right w:val="single" w:color="auto" w:sz="6" w:space="0"/>
            </w:tcBorders>
            <w:vAlign w:val="center"/>
          </w:tcPr>
          <w:p w14:paraId="50838867">
            <w:pPr>
              <w:pStyle w:val="168"/>
              <w:snapToGrid w:val="0"/>
              <w:spacing w:before="24" w:line="260" w:lineRule="atLeast"/>
              <w:rPr>
                <w:color w:val="auto"/>
                <w:szCs w:val="21"/>
              </w:rPr>
            </w:pPr>
            <w:r>
              <w:rPr>
                <w:color w:val="auto"/>
                <w:szCs w:val="21"/>
              </w:rPr>
              <w:t>ADMS</w:t>
            </w:r>
          </w:p>
          <w:p w14:paraId="4916417B">
            <w:pPr>
              <w:pStyle w:val="168"/>
              <w:snapToGrid w:val="0"/>
              <w:spacing w:before="24" w:line="260" w:lineRule="atLeast"/>
              <w:rPr>
                <w:color w:val="auto"/>
                <w:szCs w:val="21"/>
              </w:rPr>
            </w:pPr>
            <w:r>
              <w:rPr>
                <w:color w:val="auto"/>
                <w:szCs w:val="21"/>
              </w:rPr>
              <w:t>□</w:t>
            </w:r>
          </w:p>
        </w:tc>
        <w:tc>
          <w:tcPr>
            <w:tcW w:w="1384" w:type="dxa"/>
            <w:gridSpan w:val="6"/>
            <w:tcBorders>
              <w:top w:val="single" w:color="auto" w:sz="6" w:space="0"/>
              <w:left w:val="single" w:color="auto" w:sz="6" w:space="0"/>
              <w:bottom w:val="single" w:color="auto" w:sz="6" w:space="0"/>
              <w:right w:val="single" w:color="auto" w:sz="6" w:space="0"/>
            </w:tcBorders>
            <w:vAlign w:val="center"/>
          </w:tcPr>
          <w:p w14:paraId="5FF73204">
            <w:pPr>
              <w:pStyle w:val="168"/>
              <w:snapToGrid w:val="0"/>
              <w:spacing w:before="24" w:line="260" w:lineRule="atLeast"/>
              <w:rPr>
                <w:color w:val="auto"/>
                <w:szCs w:val="21"/>
              </w:rPr>
            </w:pPr>
            <w:r>
              <w:rPr>
                <w:color w:val="auto"/>
                <w:szCs w:val="21"/>
              </w:rPr>
              <w:t>AUSTAL2000</w:t>
            </w:r>
          </w:p>
          <w:p w14:paraId="77F739E3">
            <w:pPr>
              <w:pStyle w:val="168"/>
              <w:snapToGrid w:val="0"/>
              <w:spacing w:before="24" w:line="260" w:lineRule="atLeast"/>
              <w:rPr>
                <w:color w:val="auto"/>
                <w:szCs w:val="21"/>
              </w:rPr>
            </w:pPr>
            <w:r>
              <w:rPr>
                <w:color w:val="auto"/>
                <w:szCs w:val="21"/>
              </w:rPr>
              <w:t>□</w:t>
            </w:r>
          </w:p>
        </w:tc>
        <w:tc>
          <w:tcPr>
            <w:tcW w:w="1279" w:type="dxa"/>
            <w:gridSpan w:val="5"/>
            <w:tcBorders>
              <w:top w:val="single" w:color="auto" w:sz="6" w:space="0"/>
              <w:left w:val="single" w:color="auto" w:sz="6" w:space="0"/>
              <w:bottom w:val="single" w:color="auto" w:sz="6" w:space="0"/>
              <w:right w:val="single" w:color="auto" w:sz="6" w:space="0"/>
            </w:tcBorders>
            <w:vAlign w:val="center"/>
          </w:tcPr>
          <w:p w14:paraId="26314B19">
            <w:pPr>
              <w:pStyle w:val="168"/>
              <w:snapToGrid w:val="0"/>
              <w:spacing w:before="24" w:line="260" w:lineRule="atLeast"/>
              <w:rPr>
                <w:color w:val="auto"/>
                <w:szCs w:val="21"/>
              </w:rPr>
            </w:pPr>
            <w:r>
              <w:rPr>
                <w:color w:val="auto"/>
                <w:szCs w:val="21"/>
              </w:rPr>
              <w:t>EDMS/AEDT</w:t>
            </w:r>
          </w:p>
          <w:p w14:paraId="6146FD8E">
            <w:pPr>
              <w:pStyle w:val="168"/>
              <w:snapToGrid w:val="0"/>
              <w:spacing w:before="24" w:line="260" w:lineRule="atLeast"/>
              <w:rPr>
                <w:color w:val="auto"/>
                <w:szCs w:val="21"/>
              </w:rPr>
            </w:pPr>
            <w:r>
              <w:rPr>
                <w:color w:val="auto"/>
                <w:szCs w:val="21"/>
              </w:rPr>
              <w:t>□</w:t>
            </w:r>
          </w:p>
        </w:tc>
        <w:tc>
          <w:tcPr>
            <w:tcW w:w="1010" w:type="dxa"/>
            <w:gridSpan w:val="5"/>
            <w:tcBorders>
              <w:top w:val="single" w:color="auto" w:sz="6" w:space="0"/>
              <w:left w:val="single" w:color="auto" w:sz="6" w:space="0"/>
              <w:bottom w:val="single" w:color="auto" w:sz="6" w:space="0"/>
              <w:right w:val="single" w:color="auto" w:sz="6" w:space="0"/>
            </w:tcBorders>
            <w:vAlign w:val="center"/>
          </w:tcPr>
          <w:p w14:paraId="4EC783FC">
            <w:pPr>
              <w:pStyle w:val="168"/>
              <w:snapToGrid w:val="0"/>
              <w:spacing w:before="24" w:line="260" w:lineRule="atLeast"/>
              <w:rPr>
                <w:color w:val="auto"/>
                <w:szCs w:val="21"/>
              </w:rPr>
            </w:pPr>
            <w:r>
              <w:rPr>
                <w:color w:val="auto"/>
                <w:szCs w:val="21"/>
              </w:rPr>
              <w:t>CALPUFF</w:t>
            </w:r>
          </w:p>
          <w:p w14:paraId="2D370192">
            <w:pPr>
              <w:pStyle w:val="168"/>
              <w:snapToGrid w:val="0"/>
              <w:spacing w:before="24" w:line="260" w:lineRule="atLeast"/>
              <w:rPr>
                <w:color w:val="auto"/>
                <w:szCs w:val="21"/>
              </w:rPr>
            </w:pPr>
            <w:r>
              <w:rPr>
                <w:color w:val="auto"/>
                <w:szCs w:val="21"/>
              </w:rPr>
              <w:t>□</w:t>
            </w:r>
          </w:p>
        </w:tc>
        <w:tc>
          <w:tcPr>
            <w:tcW w:w="603" w:type="dxa"/>
            <w:gridSpan w:val="2"/>
            <w:tcBorders>
              <w:top w:val="single" w:color="auto" w:sz="6" w:space="0"/>
              <w:left w:val="single" w:color="auto" w:sz="6" w:space="0"/>
              <w:bottom w:val="single" w:color="auto" w:sz="6" w:space="0"/>
              <w:right w:val="single" w:color="auto" w:sz="6" w:space="0"/>
            </w:tcBorders>
            <w:vAlign w:val="center"/>
          </w:tcPr>
          <w:p w14:paraId="17C6095B">
            <w:pPr>
              <w:pStyle w:val="168"/>
              <w:snapToGrid w:val="0"/>
              <w:spacing w:before="24" w:line="260" w:lineRule="atLeast"/>
              <w:rPr>
                <w:color w:val="auto"/>
                <w:szCs w:val="21"/>
              </w:rPr>
            </w:pPr>
            <w:r>
              <w:rPr>
                <w:color w:val="auto"/>
                <w:szCs w:val="21"/>
              </w:rPr>
              <w:t>网格模型</w:t>
            </w:r>
          </w:p>
          <w:p w14:paraId="0B3ABD69">
            <w:pPr>
              <w:pStyle w:val="168"/>
              <w:snapToGrid w:val="0"/>
              <w:spacing w:before="24" w:line="260" w:lineRule="atLeast"/>
              <w:rPr>
                <w:color w:val="auto"/>
                <w:szCs w:val="21"/>
              </w:rPr>
            </w:pPr>
            <w:r>
              <w:rPr>
                <w:color w:val="auto"/>
                <w:szCs w:val="21"/>
              </w:rPr>
              <w:t>□</w:t>
            </w:r>
          </w:p>
        </w:tc>
        <w:tc>
          <w:tcPr>
            <w:tcW w:w="644" w:type="dxa"/>
            <w:tcBorders>
              <w:top w:val="single" w:color="auto" w:sz="6" w:space="0"/>
              <w:left w:val="single" w:color="auto" w:sz="6" w:space="0"/>
              <w:bottom w:val="single" w:color="auto" w:sz="6" w:space="0"/>
              <w:right w:val="nil"/>
            </w:tcBorders>
            <w:vAlign w:val="center"/>
          </w:tcPr>
          <w:p w14:paraId="74145D66">
            <w:pPr>
              <w:pStyle w:val="168"/>
              <w:snapToGrid w:val="0"/>
              <w:spacing w:before="24" w:line="260" w:lineRule="atLeast"/>
              <w:rPr>
                <w:color w:val="auto"/>
                <w:szCs w:val="21"/>
              </w:rPr>
            </w:pPr>
            <w:r>
              <w:rPr>
                <w:color w:val="auto"/>
                <w:szCs w:val="21"/>
              </w:rPr>
              <w:t>其他</w:t>
            </w:r>
          </w:p>
          <w:p w14:paraId="4667E78D">
            <w:pPr>
              <w:pStyle w:val="168"/>
              <w:snapToGrid w:val="0"/>
              <w:spacing w:before="24" w:line="260" w:lineRule="atLeast"/>
              <w:rPr>
                <w:color w:val="auto"/>
                <w:szCs w:val="21"/>
              </w:rPr>
            </w:pPr>
            <w:r>
              <w:rPr>
                <w:color w:val="auto"/>
                <w:szCs w:val="21"/>
              </w:rPr>
              <w:t>☑</w:t>
            </w:r>
          </w:p>
        </w:tc>
      </w:tr>
      <w:tr w14:paraId="0DFB6D4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6F44B020">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610394D3">
            <w:pPr>
              <w:pStyle w:val="168"/>
              <w:snapToGrid w:val="0"/>
              <w:spacing w:before="24" w:line="260" w:lineRule="atLeast"/>
              <w:rPr>
                <w:color w:val="auto"/>
                <w:szCs w:val="21"/>
              </w:rPr>
            </w:pPr>
            <w:r>
              <w:rPr>
                <w:color w:val="auto"/>
                <w:szCs w:val="21"/>
              </w:rPr>
              <w:t>预测范围</w:t>
            </w:r>
          </w:p>
        </w:tc>
        <w:tc>
          <w:tcPr>
            <w:tcW w:w="1653" w:type="dxa"/>
            <w:gridSpan w:val="5"/>
            <w:tcBorders>
              <w:top w:val="single" w:color="auto" w:sz="6" w:space="0"/>
              <w:left w:val="single" w:color="auto" w:sz="6" w:space="0"/>
              <w:bottom w:val="single" w:color="auto" w:sz="6" w:space="0"/>
              <w:right w:val="single" w:color="auto" w:sz="6" w:space="0"/>
            </w:tcBorders>
            <w:vAlign w:val="center"/>
          </w:tcPr>
          <w:p w14:paraId="3330D86A">
            <w:pPr>
              <w:pStyle w:val="168"/>
              <w:snapToGrid w:val="0"/>
              <w:spacing w:before="24" w:line="260" w:lineRule="atLeast"/>
              <w:rPr>
                <w:color w:val="auto"/>
                <w:szCs w:val="21"/>
              </w:rPr>
            </w:pPr>
            <w:r>
              <w:rPr>
                <w:color w:val="auto"/>
                <w:szCs w:val="21"/>
              </w:rPr>
              <w:t>边长≥ 50km□</w:t>
            </w:r>
          </w:p>
        </w:tc>
        <w:tc>
          <w:tcPr>
            <w:tcW w:w="3673" w:type="dxa"/>
            <w:gridSpan w:val="16"/>
            <w:tcBorders>
              <w:top w:val="single" w:color="auto" w:sz="6" w:space="0"/>
              <w:left w:val="single" w:color="auto" w:sz="6" w:space="0"/>
              <w:bottom w:val="single" w:color="auto" w:sz="6" w:space="0"/>
              <w:right w:val="single" w:color="auto" w:sz="6" w:space="0"/>
            </w:tcBorders>
            <w:vAlign w:val="center"/>
          </w:tcPr>
          <w:p w14:paraId="1B08737B">
            <w:pPr>
              <w:pStyle w:val="168"/>
              <w:snapToGrid w:val="0"/>
              <w:spacing w:before="24" w:line="260" w:lineRule="atLeast"/>
              <w:rPr>
                <w:color w:val="auto"/>
                <w:szCs w:val="21"/>
              </w:rPr>
            </w:pPr>
            <w:r>
              <w:rPr>
                <w:color w:val="auto"/>
                <w:szCs w:val="21"/>
              </w:rPr>
              <w:t>边长5～50km □</w:t>
            </w:r>
          </w:p>
        </w:tc>
        <w:tc>
          <w:tcPr>
            <w:tcW w:w="1247" w:type="dxa"/>
            <w:gridSpan w:val="3"/>
            <w:tcBorders>
              <w:top w:val="single" w:color="auto" w:sz="6" w:space="0"/>
              <w:left w:val="single" w:color="auto" w:sz="6" w:space="0"/>
              <w:bottom w:val="single" w:color="auto" w:sz="6" w:space="0"/>
              <w:right w:val="nil"/>
            </w:tcBorders>
            <w:vAlign w:val="center"/>
          </w:tcPr>
          <w:p w14:paraId="0D2D80D0">
            <w:pPr>
              <w:pStyle w:val="168"/>
              <w:snapToGrid w:val="0"/>
              <w:spacing w:before="24" w:line="260" w:lineRule="atLeast"/>
              <w:rPr>
                <w:rFonts w:hint="eastAsia" w:eastAsia="宋体"/>
                <w:color w:val="auto"/>
                <w:szCs w:val="21"/>
                <w:lang w:eastAsia="zh-CN"/>
              </w:rPr>
            </w:pPr>
            <w:r>
              <w:rPr>
                <w:color w:val="auto"/>
                <w:szCs w:val="21"/>
              </w:rPr>
              <w:t xml:space="preserve">边长 = 5 km </w:t>
            </w:r>
            <w:r>
              <w:rPr>
                <w:rFonts w:hint="eastAsia"/>
                <w:color w:val="auto"/>
                <w:szCs w:val="21"/>
                <w:lang w:eastAsia="zh-CN"/>
              </w:rPr>
              <w:t>☑</w:t>
            </w:r>
          </w:p>
        </w:tc>
      </w:tr>
      <w:tr w14:paraId="77983F2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07E7B310">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75C05D0C">
            <w:pPr>
              <w:pStyle w:val="168"/>
              <w:snapToGrid w:val="0"/>
              <w:spacing w:before="24" w:line="260" w:lineRule="atLeast"/>
              <w:rPr>
                <w:color w:val="auto"/>
                <w:szCs w:val="21"/>
              </w:rPr>
            </w:pPr>
            <w:r>
              <w:rPr>
                <w:color w:val="auto"/>
                <w:szCs w:val="21"/>
              </w:rPr>
              <w:t>预测因子</w:t>
            </w:r>
          </w:p>
        </w:tc>
        <w:tc>
          <w:tcPr>
            <w:tcW w:w="3782" w:type="dxa"/>
            <w:gridSpan w:val="14"/>
            <w:tcBorders>
              <w:top w:val="single" w:color="auto" w:sz="6" w:space="0"/>
              <w:left w:val="single" w:color="auto" w:sz="6" w:space="0"/>
              <w:bottom w:val="single" w:color="auto" w:sz="6" w:space="0"/>
              <w:right w:val="single" w:color="auto" w:sz="6" w:space="0"/>
            </w:tcBorders>
            <w:vAlign w:val="center"/>
          </w:tcPr>
          <w:p w14:paraId="541C8695">
            <w:pPr>
              <w:pStyle w:val="168"/>
              <w:snapToGrid w:val="0"/>
              <w:spacing w:before="24" w:line="260" w:lineRule="atLeast"/>
              <w:rPr>
                <w:color w:val="auto"/>
                <w:szCs w:val="21"/>
              </w:rPr>
            </w:pPr>
            <w:r>
              <w:rPr>
                <w:color w:val="auto"/>
                <w:szCs w:val="21"/>
              </w:rPr>
              <w:t>预测因子(SO</w:t>
            </w:r>
            <w:r>
              <w:rPr>
                <w:color w:val="auto"/>
                <w:szCs w:val="21"/>
                <w:vertAlign w:val="subscript"/>
              </w:rPr>
              <w:t>2</w:t>
            </w:r>
            <w:r>
              <w:rPr>
                <w:color w:val="auto"/>
                <w:szCs w:val="21"/>
              </w:rPr>
              <w:t>、NO</w:t>
            </w:r>
            <w:r>
              <w:rPr>
                <w:color w:val="auto"/>
                <w:szCs w:val="21"/>
                <w:vertAlign w:val="subscript"/>
              </w:rPr>
              <w:t>2</w:t>
            </w:r>
            <w:r>
              <w:rPr>
                <w:color w:val="auto"/>
                <w:szCs w:val="21"/>
              </w:rPr>
              <w:t>、</w:t>
            </w:r>
            <w:r>
              <w:rPr>
                <w:color w:val="auto"/>
                <w:kern w:val="0"/>
                <w:szCs w:val="21"/>
              </w:rPr>
              <w:t>PM</w:t>
            </w:r>
            <w:r>
              <w:rPr>
                <w:color w:val="auto"/>
                <w:kern w:val="0"/>
                <w:szCs w:val="21"/>
                <w:vertAlign w:val="subscript"/>
              </w:rPr>
              <w:t>10</w:t>
            </w:r>
            <w:r>
              <w:rPr>
                <w:color w:val="auto"/>
                <w:szCs w:val="21"/>
              </w:rPr>
              <w:t>、NH</w:t>
            </w:r>
            <w:r>
              <w:rPr>
                <w:color w:val="auto"/>
                <w:szCs w:val="21"/>
                <w:vertAlign w:val="subscript"/>
              </w:rPr>
              <w:t>3</w:t>
            </w:r>
            <w:r>
              <w:rPr>
                <w:color w:val="auto"/>
                <w:szCs w:val="21"/>
              </w:rPr>
              <w:t>、H</w:t>
            </w:r>
            <w:r>
              <w:rPr>
                <w:color w:val="auto"/>
                <w:szCs w:val="21"/>
                <w:vertAlign w:val="subscript"/>
              </w:rPr>
              <w:t>2</w:t>
            </w:r>
            <w:r>
              <w:rPr>
                <w:color w:val="auto"/>
                <w:szCs w:val="21"/>
              </w:rPr>
              <w:t>S )</w:t>
            </w:r>
          </w:p>
        </w:tc>
        <w:tc>
          <w:tcPr>
            <w:tcW w:w="2791" w:type="dxa"/>
            <w:gridSpan w:val="10"/>
            <w:tcBorders>
              <w:top w:val="single" w:color="auto" w:sz="6" w:space="0"/>
              <w:left w:val="single" w:color="auto" w:sz="6" w:space="0"/>
              <w:bottom w:val="single" w:color="auto" w:sz="6" w:space="0"/>
              <w:right w:val="nil"/>
            </w:tcBorders>
            <w:vAlign w:val="center"/>
          </w:tcPr>
          <w:p w14:paraId="5711578D">
            <w:pPr>
              <w:pStyle w:val="168"/>
              <w:snapToGrid w:val="0"/>
              <w:spacing w:before="24" w:line="260" w:lineRule="atLeast"/>
              <w:ind w:right="552" w:rightChars="263"/>
              <w:jc w:val="right"/>
              <w:rPr>
                <w:color w:val="auto"/>
                <w:szCs w:val="21"/>
              </w:rPr>
            </w:pPr>
            <w:r>
              <w:rPr>
                <w:color w:val="auto"/>
                <w:szCs w:val="21"/>
              </w:rPr>
              <w:t>包括二次PM</w:t>
            </w:r>
            <w:r>
              <w:rPr>
                <w:color w:val="auto"/>
                <w:szCs w:val="21"/>
                <w:vertAlign w:val="subscript"/>
              </w:rPr>
              <w:t>2.5</w:t>
            </w:r>
            <w:r>
              <w:rPr>
                <w:color w:val="auto"/>
                <w:szCs w:val="21"/>
              </w:rPr>
              <w:t xml:space="preserve"> □</w:t>
            </w:r>
          </w:p>
          <w:p w14:paraId="6A991FC3">
            <w:pPr>
              <w:pStyle w:val="168"/>
              <w:snapToGrid w:val="0"/>
              <w:spacing w:before="24" w:line="260" w:lineRule="atLeast"/>
              <w:ind w:right="552" w:rightChars="263"/>
              <w:jc w:val="right"/>
              <w:rPr>
                <w:color w:val="auto"/>
                <w:szCs w:val="21"/>
              </w:rPr>
            </w:pPr>
            <w:r>
              <w:rPr>
                <w:color w:val="auto"/>
                <w:szCs w:val="21"/>
              </w:rPr>
              <w:t>不包括二次PM</w:t>
            </w:r>
            <w:r>
              <w:rPr>
                <w:color w:val="auto"/>
                <w:szCs w:val="21"/>
                <w:vertAlign w:val="subscript"/>
              </w:rPr>
              <w:t>2.5</w:t>
            </w:r>
            <w:r>
              <w:rPr>
                <w:color w:val="auto"/>
                <w:szCs w:val="21"/>
              </w:rPr>
              <w:t xml:space="preserve"> □</w:t>
            </w:r>
          </w:p>
        </w:tc>
      </w:tr>
      <w:tr w14:paraId="7DACD8D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1060ED35">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0C8C08FC">
            <w:pPr>
              <w:pStyle w:val="168"/>
              <w:snapToGrid w:val="0"/>
              <w:spacing w:before="24" w:line="260" w:lineRule="atLeast"/>
              <w:rPr>
                <w:color w:val="auto"/>
                <w:szCs w:val="21"/>
              </w:rPr>
            </w:pPr>
            <w:r>
              <w:rPr>
                <w:color w:val="auto"/>
                <w:szCs w:val="21"/>
              </w:rPr>
              <w:t>正常排放短期浓度贡献值</w:t>
            </w:r>
          </w:p>
        </w:tc>
        <w:tc>
          <w:tcPr>
            <w:tcW w:w="3782" w:type="dxa"/>
            <w:gridSpan w:val="14"/>
            <w:tcBorders>
              <w:top w:val="single" w:color="auto" w:sz="6" w:space="0"/>
              <w:left w:val="single" w:color="auto" w:sz="6" w:space="0"/>
              <w:bottom w:val="single" w:color="auto" w:sz="6" w:space="0"/>
              <w:right w:val="single" w:color="auto" w:sz="6" w:space="0"/>
            </w:tcBorders>
            <w:vAlign w:val="center"/>
          </w:tcPr>
          <w:p w14:paraId="66710FC0">
            <w:pPr>
              <w:pStyle w:val="168"/>
              <w:snapToGrid w:val="0"/>
              <w:spacing w:before="24" w:line="260" w:lineRule="atLeast"/>
              <w:rPr>
                <w:color w:val="auto"/>
                <w:szCs w:val="21"/>
              </w:rPr>
            </w:pPr>
            <w:r>
              <w:rPr>
                <w:color w:val="auto"/>
                <w:szCs w:val="21"/>
              </w:rPr>
              <w:t>C</w:t>
            </w:r>
            <w:r>
              <w:rPr>
                <w:color w:val="auto"/>
                <w:szCs w:val="21"/>
                <w:vertAlign w:val="subscript"/>
              </w:rPr>
              <w:t>本项目</w:t>
            </w:r>
            <w:r>
              <w:rPr>
                <w:color w:val="auto"/>
                <w:szCs w:val="21"/>
              </w:rPr>
              <w:fldChar w:fldCharType="begin"/>
            </w:r>
            <w:r>
              <w:rPr>
                <w:color w:val="auto"/>
                <w:szCs w:val="21"/>
              </w:rPr>
              <w:instrText xml:space="preserve"> QUOTE </w:instrText>
            </w:r>
            <w:r>
              <w:rPr>
                <w:color w:val="auto"/>
                <w:szCs w:val="21"/>
              </w:rPr>
              <w:drawing>
                <wp:inline distT="0" distB="0" distL="114300" distR="114300">
                  <wp:extent cx="523875" cy="639445"/>
                  <wp:effectExtent l="0" t="0" r="9525" b="635"/>
                  <wp:docPr id="277"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13"/>
                          <pic:cNvPicPr>
                            <a:picLocks noChangeAspect="1"/>
                          </pic:cNvPicPr>
                        </pic:nvPicPr>
                        <pic:blipFill>
                          <a:blip r:embed="rId46">
                            <a:clrChange>
                              <a:clrFrom>
                                <a:srgbClr val="FFFFFF"/>
                              </a:clrFrom>
                              <a:clrTo>
                                <a:srgbClr val="FFFFFF">
                                  <a:alpha val="0"/>
                                </a:srgbClr>
                              </a:clrTo>
                            </a:clrChange>
                          </a:blip>
                          <a:stretch>
                            <a:fillRect/>
                          </a:stretch>
                        </pic:blipFill>
                        <pic:spPr>
                          <a:xfrm>
                            <a:off x="0" y="0"/>
                            <a:ext cx="523875" cy="639445"/>
                          </a:xfrm>
                          <a:prstGeom prst="rect">
                            <a:avLst/>
                          </a:prstGeom>
                          <a:noFill/>
                          <a:ln>
                            <a:noFill/>
                          </a:ln>
                        </pic:spPr>
                      </pic:pic>
                    </a:graphicData>
                  </a:graphic>
                </wp:inline>
              </w:drawing>
            </w:r>
            <w:r>
              <w:rPr>
                <w:color w:val="auto"/>
                <w:szCs w:val="21"/>
              </w:rPr>
              <w:instrText xml:space="preserve">  \* MERGEFORMAT </w:instrText>
            </w:r>
            <w:r>
              <w:rPr>
                <w:color w:val="auto"/>
                <w:szCs w:val="21"/>
              </w:rPr>
              <w:fldChar w:fldCharType="separate"/>
            </w:r>
            <w:r>
              <w:rPr>
                <w:color w:val="auto"/>
                <w:szCs w:val="21"/>
              </w:rPr>
              <w:fldChar w:fldCharType="end"/>
            </w:r>
            <w:r>
              <w:rPr>
                <w:color w:val="auto"/>
                <w:szCs w:val="21"/>
              </w:rPr>
              <w:t>最大占标率≤100%□</w:t>
            </w:r>
          </w:p>
        </w:tc>
        <w:tc>
          <w:tcPr>
            <w:tcW w:w="2791" w:type="dxa"/>
            <w:gridSpan w:val="10"/>
            <w:tcBorders>
              <w:top w:val="single" w:color="auto" w:sz="6" w:space="0"/>
              <w:left w:val="single" w:color="auto" w:sz="6" w:space="0"/>
              <w:bottom w:val="single" w:color="auto" w:sz="6" w:space="0"/>
              <w:right w:val="nil"/>
            </w:tcBorders>
            <w:vAlign w:val="center"/>
          </w:tcPr>
          <w:p w14:paraId="77C190FA">
            <w:pPr>
              <w:pStyle w:val="168"/>
              <w:snapToGrid w:val="0"/>
              <w:spacing w:before="24" w:line="260" w:lineRule="atLeast"/>
              <w:rPr>
                <w:color w:val="auto"/>
                <w:szCs w:val="21"/>
              </w:rPr>
            </w:pPr>
            <w:r>
              <w:rPr>
                <w:color w:val="auto"/>
                <w:szCs w:val="21"/>
              </w:rPr>
              <w:t>C</w:t>
            </w:r>
            <w:r>
              <w:rPr>
                <w:color w:val="auto"/>
                <w:szCs w:val="21"/>
                <w:vertAlign w:val="subscript"/>
              </w:rPr>
              <w:t>本项目</w:t>
            </w:r>
            <w:r>
              <w:rPr>
                <w:color w:val="auto"/>
                <w:szCs w:val="21"/>
              </w:rPr>
              <w:fldChar w:fldCharType="begin"/>
            </w:r>
            <w:r>
              <w:rPr>
                <w:color w:val="auto"/>
                <w:szCs w:val="21"/>
              </w:rPr>
              <w:instrText xml:space="preserve"> QUOTE </w:instrText>
            </w:r>
            <w:r>
              <w:rPr>
                <w:color w:val="auto"/>
                <w:szCs w:val="21"/>
              </w:rPr>
              <w:drawing>
                <wp:inline distT="0" distB="0" distL="114300" distR="114300">
                  <wp:extent cx="523875" cy="639445"/>
                  <wp:effectExtent l="0" t="0" r="9525" b="635"/>
                  <wp:docPr id="278"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14"/>
                          <pic:cNvPicPr>
                            <a:picLocks noChangeAspect="1"/>
                          </pic:cNvPicPr>
                        </pic:nvPicPr>
                        <pic:blipFill>
                          <a:blip r:embed="rId46">
                            <a:clrChange>
                              <a:clrFrom>
                                <a:srgbClr val="FFFFFF"/>
                              </a:clrFrom>
                              <a:clrTo>
                                <a:srgbClr val="FFFFFF">
                                  <a:alpha val="0"/>
                                </a:srgbClr>
                              </a:clrTo>
                            </a:clrChange>
                          </a:blip>
                          <a:stretch>
                            <a:fillRect/>
                          </a:stretch>
                        </pic:blipFill>
                        <pic:spPr>
                          <a:xfrm>
                            <a:off x="0" y="0"/>
                            <a:ext cx="523875" cy="639445"/>
                          </a:xfrm>
                          <a:prstGeom prst="rect">
                            <a:avLst/>
                          </a:prstGeom>
                          <a:noFill/>
                          <a:ln>
                            <a:noFill/>
                          </a:ln>
                        </pic:spPr>
                      </pic:pic>
                    </a:graphicData>
                  </a:graphic>
                </wp:inline>
              </w:drawing>
            </w:r>
            <w:r>
              <w:rPr>
                <w:color w:val="auto"/>
                <w:szCs w:val="21"/>
              </w:rPr>
              <w:instrText xml:space="preserve">  \* MERGEFORMAT </w:instrText>
            </w:r>
            <w:r>
              <w:rPr>
                <w:color w:val="auto"/>
                <w:szCs w:val="21"/>
              </w:rPr>
              <w:fldChar w:fldCharType="separate"/>
            </w:r>
            <w:r>
              <w:rPr>
                <w:color w:val="auto"/>
                <w:szCs w:val="21"/>
              </w:rPr>
              <w:fldChar w:fldCharType="end"/>
            </w:r>
            <w:r>
              <w:rPr>
                <w:color w:val="auto"/>
                <w:szCs w:val="21"/>
              </w:rPr>
              <w:t>最大占标率＞100% □</w:t>
            </w:r>
          </w:p>
        </w:tc>
      </w:tr>
      <w:tr w14:paraId="7161D4B0">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4ED67DAD">
            <w:pPr>
              <w:widowControl/>
              <w:jc w:val="left"/>
              <w:rPr>
                <w:color w:val="auto"/>
                <w:szCs w:val="21"/>
              </w:rPr>
            </w:pPr>
          </w:p>
        </w:tc>
        <w:tc>
          <w:tcPr>
            <w:tcW w:w="1588" w:type="dxa"/>
            <w:vMerge w:val="restart"/>
            <w:tcBorders>
              <w:top w:val="single" w:color="auto" w:sz="6" w:space="0"/>
              <w:left w:val="single" w:color="auto" w:sz="6" w:space="0"/>
              <w:bottom w:val="single" w:color="auto" w:sz="6" w:space="0"/>
              <w:right w:val="single" w:color="auto" w:sz="6" w:space="0"/>
            </w:tcBorders>
            <w:vAlign w:val="center"/>
          </w:tcPr>
          <w:p w14:paraId="7F861FD8">
            <w:pPr>
              <w:pStyle w:val="168"/>
              <w:snapToGrid w:val="0"/>
              <w:spacing w:before="24" w:line="260" w:lineRule="atLeast"/>
              <w:rPr>
                <w:color w:val="auto"/>
                <w:szCs w:val="21"/>
              </w:rPr>
            </w:pPr>
            <w:r>
              <w:rPr>
                <w:color w:val="auto"/>
                <w:szCs w:val="21"/>
              </w:rPr>
              <w:t>正常排放年均浓度贡献值</w:t>
            </w:r>
          </w:p>
        </w:tc>
        <w:tc>
          <w:tcPr>
            <w:tcW w:w="974" w:type="dxa"/>
            <w:tcBorders>
              <w:top w:val="single" w:color="auto" w:sz="6" w:space="0"/>
              <w:left w:val="single" w:color="auto" w:sz="6" w:space="0"/>
              <w:bottom w:val="single" w:color="auto" w:sz="6" w:space="0"/>
              <w:right w:val="single" w:color="auto" w:sz="6" w:space="0"/>
            </w:tcBorders>
            <w:vAlign w:val="center"/>
          </w:tcPr>
          <w:p w14:paraId="231C3C04">
            <w:pPr>
              <w:pStyle w:val="168"/>
              <w:snapToGrid w:val="0"/>
              <w:spacing w:before="24" w:line="260" w:lineRule="atLeast"/>
              <w:rPr>
                <w:color w:val="auto"/>
                <w:szCs w:val="21"/>
              </w:rPr>
            </w:pPr>
            <w:r>
              <w:rPr>
                <w:color w:val="auto"/>
                <w:szCs w:val="21"/>
              </w:rPr>
              <w:t>一类区</w:t>
            </w:r>
          </w:p>
        </w:tc>
        <w:tc>
          <w:tcPr>
            <w:tcW w:w="2808" w:type="dxa"/>
            <w:gridSpan w:val="13"/>
            <w:tcBorders>
              <w:top w:val="single" w:color="auto" w:sz="6" w:space="0"/>
              <w:left w:val="single" w:color="auto" w:sz="6" w:space="0"/>
              <w:bottom w:val="single" w:color="auto" w:sz="6" w:space="0"/>
              <w:right w:val="single" w:color="auto" w:sz="6" w:space="0"/>
            </w:tcBorders>
            <w:vAlign w:val="center"/>
          </w:tcPr>
          <w:p w14:paraId="4998714D">
            <w:pPr>
              <w:pStyle w:val="168"/>
              <w:snapToGrid w:val="0"/>
              <w:spacing w:before="24" w:line="260" w:lineRule="atLeast"/>
              <w:rPr>
                <w:color w:val="auto"/>
                <w:szCs w:val="21"/>
              </w:rPr>
            </w:pPr>
            <w:r>
              <w:rPr>
                <w:color w:val="auto"/>
                <w:szCs w:val="21"/>
              </w:rPr>
              <w:t>C</w:t>
            </w:r>
            <w:r>
              <w:rPr>
                <w:color w:val="auto"/>
                <w:szCs w:val="21"/>
                <w:vertAlign w:val="subscript"/>
              </w:rPr>
              <w:t>本项目</w:t>
            </w:r>
            <w:r>
              <w:rPr>
                <w:color w:val="auto"/>
                <w:szCs w:val="21"/>
              </w:rPr>
              <w:fldChar w:fldCharType="begin"/>
            </w:r>
            <w:r>
              <w:rPr>
                <w:color w:val="auto"/>
                <w:szCs w:val="21"/>
              </w:rPr>
              <w:instrText xml:space="preserve"> QUOTE </w:instrText>
            </w:r>
            <w:r>
              <w:rPr>
                <w:color w:val="auto"/>
                <w:szCs w:val="21"/>
              </w:rPr>
              <w:drawing>
                <wp:inline distT="0" distB="0" distL="114300" distR="114300">
                  <wp:extent cx="523875" cy="639445"/>
                  <wp:effectExtent l="0" t="0" r="9525" b="635"/>
                  <wp:docPr id="279"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15"/>
                          <pic:cNvPicPr>
                            <a:picLocks noChangeAspect="1"/>
                          </pic:cNvPicPr>
                        </pic:nvPicPr>
                        <pic:blipFill>
                          <a:blip r:embed="rId46">
                            <a:clrChange>
                              <a:clrFrom>
                                <a:srgbClr val="FFFFFF"/>
                              </a:clrFrom>
                              <a:clrTo>
                                <a:srgbClr val="FFFFFF">
                                  <a:alpha val="0"/>
                                </a:srgbClr>
                              </a:clrTo>
                            </a:clrChange>
                          </a:blip>
                          <a:stretch>
                            <a:fillRect/>
                          </a:stretch>
                        </pic:blipFill>
                        <pic:spPr>
                          <a:xfrm>
                            <a:off x="0" y="0"/>
                            <a:ext cx="523875" cy="639445"/>
                          </a:xfrm>
                          <a:prstGeom prst="rect">
                            <a:avLst/>
                          </a:prstGeom>
                          <a:noFill/>
                          <a:ln>
                            <a:noFill/>
                          </a:ln>
                        </pic:spPr>
                      </pic:pic>
                    </a:graphicData>
                  </a:graphic>
                </wp:inline>
              </w:drawing>
            </w:r>
            <w:r>
              <w:rPr>
                <w:color w:val="auto"/>
                <w:szCs w:val="21"/>
              </w:rPr>
              <w:instrText xml:space="preserve">  \* MERGEFORMAT </w:instrText>
            </w:r>
            <w:r>
              <w:rPr>
                <w:color w:val="auto"/>
                <w:szCs w:val="21"/>
              </w:rPr>
              <w:fldChar w:fldCharType="separate"/>
            </w:r>
            <w:r>
              <w:rPr>
                <w:color w:val="auto"/>
                <w:szCs w:val="21"/>
              </w:rPr>
              <w:fldChar w:fldCharType="end"/>
            </w:r>
            <w:r>
              <w:rPr>
                <w:color w:val="auto"/>
                <w:szCs w:val="21"/>
              </w:rPr>
              <w:t>最大占标率≤10%□</w:t>
            </w:r>
          </w:p>
        </w:tc>
        <w:tc>
          <w:tcPr>
            <w:tcW w:w="2791" w:type="dxa"/>
            <w:gridSpan w:val="10"/>
            <w:tcBorders>
              <w:top w:val="single" w:color="auto" w:sz="6" w:space="0"/>
              <w:left w:val="single" w:color="auto" w:sz="6" w:space="0"/>
              <w:bottom w:val="single" w:color="auto" w:sz="6" w:space="0"/>
              <w:right w:val="nil"/>
            </w:tcBorders>
            <w:vAlign w:val="center"/>
          </w:tcPr>
          <w:p w14:paraId="73459E95">
            <w:pPr>
              <w:pStyle w:val="168"/>
              <w:snapToGrid w:val="0"/>
              <w:spacing w:before="24" w:line="260" w:lineRule="atLeast"/>
              <w:rPr>
                <w:color w:val="auto"/>
                <w:szCs w:val="21"/>
              </w:rPr>
            </w:pPr>
            <w:r>
              <w:rPr>
                <w:color w:val="auto"/>
                <w:szCs w:val="21"/>
              </w:rPr>
              <w:t>C</w:t>
            </w:r>
            <w:r>
              <w:rPr>
                <w:color w:val="auto"/>
                <w:szCs w:val="21"/>
                <w:vertAlign w:val="subscript"/>
              </w:rPr>
              <w:t>本项目</w:t>
            </w:r>
            <w:r>
              <w:rPr>
                <w:color w:val="auto"/>
                <w:szCs w:val="21"/>
              </w:rPr>
              <w:fldChar w:fldCharType="begin"/>
            </w:r>
            <w:r>
              <w:rPr>
                <w:color w:val="auto"/>
                <w:szCs w:val="21"/>
              </w:rPr>
              <w:instrText xml:space="preserve"> QUOTE </w:instrText>
            </w:r>
            <w:r>
              <w:rPr>
                <w:color w:val="auto"/>
                <w:szCs w:val="21"/>
              </w:rPr>
              <w:drawing>
                <wp:inline distT="0" distB="0" distL="114300" distR="114300">
                  <wp:extent cx="523875" cy="639445"/>
                  <wp:effectExtent l="0" t="0" r="9525" b="635"/>
                  <wp:docPr id="280"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16"/>
                          <pic:cNvPicPr>
                            <a:picLocks noChangeAspect="1"/>
                          </pic:cNvPicPr>
                        </pic:nvPicPr>
                        <pic:blipFill>
                          <a:blip r:embed="rId46">
                            <a:clrChange>
                              <a:clrFrom>
                                <a:srgbClr val="FFFFFF"/>
                              </a:clrFrom>
                              <a:clrTo>
                                <a:srgbClr val="FFFFFF">
                                  <a:alpha val="0"/>
                                </a:srgbClr>
                              </a:clrTo>
                            </a:clrChange>
                          </a:blip>
                          <a:stretch>
                            <a:fillRect/>
                          </a:stretch>
                        </pic:blipFill>
                        <pic:spPr>
                          <a:xfrm>
                            <a:off x="0" y="0"/>
                            <a:ext cx="523875" cy="639445"/>
                          </a:xfrm>
                          <a:prstGeom prst="rect">
                            <a:avLst/>
                          </a:prstGeom>
                          <a:noFill/>
                          <a:ln>
                            <a:noFill/>
                          </a:ln>
                        </pic:spPr>
                      </pic:pic>
                    </a:graphicData>
                  </a:graphic>
                </wp:inline>
              </w:drawing>
            </w:r>
            <w:r>
              <w:rPr>
                <w:color w:val="auto"/>
                <w:szCs w:val="21"/>
              </w:rPr>
              <w:instrText xml:space="preserve">  \* MERGEFORMAT </w:instrText>
            </w:r>
            <w:r>
              <w:rPr>
                <w:color w:val="auto"/>
                <w:szCs w:val="21"/>
              </w:rPr>
              <w:fldChar w:fldCharType="separate"/>
            </w:r>
            <w:r>
              <w:rPr>
                <w:color w:val="auto"/>
                <w:szCs w:val="21"/>
              </w:rPr>
              <w:fldChar w:fldCharType="end"/>
            </w:r>
            <w:r>
              <w:rPr>
                <w:color w:val="auto"/>
                <w:szCs w:val="21"/>
              </w:rPr>
              <w:t>最大标率＞10% □</w:t>
            </w:r>
          </w:p>
        </w:tc>
      </w:tr>
      <w:tr w14:paraId="77C62C1C">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4FBF7F32">
            <w:pPr>
              <w:widowControl/>
              <w:jc w:val="left"/>
              <w:rPr>
                <w:color w:val="auto"/>
                <w:szCs w:val="21"/>
              </w:rPr>
            </w:pPr>
          </w:p>
        </w:tc>
        <w:tc>
          <w:tcPr>
            <w:tcW w:w="1588" w:type="dxa"/>
            <w:vMerge w:val="continue"/>
            <w:tcBorders>
              <w:top w:val="single" w:color="auto" w:sz="6" w:space="0"/>
              <w:left w:val="single" w:color="auto" w:sz="6" w:space="0"/>
              <w:bottom w:val="single" w:color="auto" w:sz="6" w:space="0"/>
              <w:right w:val="single" w:color="auto" w:sz="6" w:space="0"/>
            </w:tcBorders>
            <w:vAlign w:val="center"/>
          </w:tcPr>
          <w:p w14:paraId="729ADB25">
            <w:pPr>
              <w:widowControl/>
              <w:jc w:val="left"/>
              <w:rPr>
                <w:color w:val="auto"/>
                <w:szCs w:val="21"/>
              </w:rPr>
            </w:pPr>
          </w:p>
        </w:tc>
        <w:tc>
          <w:tcPr>
            <w:tcW w:w="974" w:type="dxa"/>
            <w:tcBorders>
              <w:top w:val="single" w:color="auto" w:sz="6" w:space="0"/>
              <w:left w:val="single" w:color="auto" w:sz="6" w:space="0"/>
              <w:bottom w:val="single" w:color="auto" w:sz="6" w:space="0"/>
              <w:right w:val="single" w:color="auto" w:sz="6" w:space="0"/>
            </w:tcBorders>
            <w:vAlign w:val="center"/>
          </w:tcPr>
          <w:p w14:paraId="532EEE6F">
            <w:pPr>
              <w:pStyle w:val="168"/>
              <w:snapToGrid w:val="0"/>
              <w:spacing w:before="24" w:line="260" w:lineRule="atLeast"/>
              <w:rPr>
                <w:color w:val="auto"/>
                <w:szCs w:val="21"/>
              </w:rPr>
            </w:pPr>
            <w:r>
              <w:rPr>
                <w:color w:val="auto"/>
                <w:szCs w:val="21"/>
              </w:rPr>
              <w:t>二类区</w:t>
            </w:r>
          </w:p>
        </w:tc>
        <w:tc>
          <w:tcPr>
            <w:tcW w:w="2808" w:type="dxa"/>
            <w:gridSpan w:val="13"/>
            <w:tcBorders>
              <w:top w:val="single" w:color="auto" w:sz="6" w:space="0"/>
              <w:left w:val="single" w:color="auto" w:sz="6" w:space="0"/>
              <w:bottom w:val="single" w:color="auto" w:sz="6" w:space="0"/>
              <w:right w:val="single" w:color="auto" w:sz="6" w:space="0"/>
            </w:tcBorders>
            <w:vAlign w:val="center"/>
          </w:tcPr>
          <w:p w14:paraId="1235DE02">
            <w:pPr>
              <w:pStyle w:val="168"/>
              <w:snapToGrid w:val="0"/>
              <w:spacing w:before="24" w:line="260" w:lineRule="atLeast"/>
              <w:rPr>
                <w:color w:val="auto"/>
                <w:szCs w:val="21"/>
              </w:rPr>
            </w:pPr>
            <w:r>
              <w:rPr>
                <w:color w:val="auto"/>
                <w:szCs w:val="21"/>
              </w:rPr>
              <w:t>C</w:t>
            </w:r>
            <w:r>
              <w:rPr>
                <w:color w:val="auto"/>
                <w:szCs w:val="21"/>
                <w:vertAlign w:val="subscript"/>
              </w:rPr>
              <w:t>本项目</w:t>
            </w:r>
            <w:r>
              <w:rPr>
                <w:color w:val="auto"/>
                <w:szCs w:val="21"/>
              </w:rPr>
              <w:fldChar w:fldCharType="begin"/>
            </w:r>
            <w:r>
              <w:rPr>
                <w:color w:val="auto"/>
                <w:szCs w:val="21"/>
              </w:rPr>
              <w:instrText xml:space="preserve"> QUOTE </w:instrText>
            </w:r>
            <w:r>
              <w:rPr>
                <w:color w:val="auto"/>
                <w:szCs w:val="21"/>
              </w:rPr>
              <w:drawing>
                <wp:inline distT="0" distB="0" distL="114300" distR="114300">
                  <wp:extent cx="523875" cy="639445"/>
                  <wp:effectExtent l="0" t="0" r="9525" b="635"/>
                  <wp:docPr id="281"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17"/>
                          <pic:cNvPicPr>
                            <a:picLocks noChangeAspect="1"/>
                          </pic:cNvPicPr>
                        </pic:nvPicPr>
                        <pic:blipFill>
                          <a:blip r:embed="rId46">
                            <a:clrChange>
                              <a:clrFrom>
                                <a:srgbClr val="FFFFFF"/>
                              </a:clrFrom>
                              <a:clrTo>
                                <a:srgbClr val="FFFFFF">
                                  <a:alpha val="0"/>
                                </a:srgbClr>
                              </a:clrTo>
                            </a:clrChange>
                          </a:blip>
                          <a:stretch>
                            <a:fillRect/>
                          </a:stretch>
                        </pic:blipFill>
                        <pic:spPr>
                          <a:xfrm>
                            <a:off x="0" y="0"/>
                            <a:ext cx="523875" cy="639445"/>
                          </a:xfrm>
                          <a:prstGeom prst="rect">
                            <a:avLst/>
                          </a:prstGeom>
                          <a:noFill/>
                          <a:ln>
                            <a:noFill/>
                          </a:ln>
                        </pic:spPr>
                      </pic:pic>
                    </a:graphicData>
                  </a:graphic>
                </wp:inline>
              </w:drawing>
            </w:r>
            <w:r>
              <w:rPr>
                <w:color w:val="auto"/>
                <w:szCs w:val="21"/>
              </w:rPr>
              <w:instrText xml:space="preserve">  \* MERGEFORMAT </w:instrText>
            </w:r>
            <w:r>
              <w:rPr>
                <w:color w:val="auto"/>
                <w:szCs w:val="21"/>
              </w:rPr>
              <w:fldChar w:fldCharType="separate"/>
            </w:r>
            <w:r>
              <w:rPr>
                <w:color w:val="auto"/>
                <w:szCs w:val="21"/>
              </w:rPr>
              <w:fldChar w:fldCharType="end"/>
            </w:r>
            <w:r>
              <w:rPr>
                <w:color w:val="auto"/>
                <w:szCs w:val="21"/>
              </w:rPr>
              <w:t>最大占标率≤30%□</w:t>
            </w:r>
          </w:p>
        </w:tc>
        <w:tc>
          <w:tcPr>
            <w:tcW w:w="2791" w:type="dxa"/>
            <w:gridSpan w:val="10"/>
            <w:tcBorders>
              <w:top w:val="single" w:color="auto" w:sz="6" w:space="0"/>
              <w:left w:val="single" w:color="auto" w:sz="6" w:space="0"/>
              <w:bottom w:val="single" w:color="auto" w:sz="6" w:space="0"/>
              <w:right w:val="nil"/>
            </w:tcBorders>
            <w:vAlign w:val="center"/>
          </w:tcPr>
          <w:p w14:paraId="3FFD8509">
            <w:pPr>
              <w:pStyle w:val="168"/>
              <w:snapToGrid w:val="0"/>
              <w:spacing w:before="24" w:line="260" w:lineRule="atLeast"/>
              <w:rPr>
                <w:color w:val="auto"/>
                <w:szCs w:val="21"/>
              </w:rPr>
            </w:pPr>
            <w:r>
              <w:rPr>
                <w:color w:val="auto"/>
                <w:szCs w:val="21"/>
              </w:rPr>
              <w:t>C</w:t>
            </w:r>
            <w:r>
              <w:rPr>
                <w:color w:val="auto"/>
                <w:szCs w:val="21"/>
                <w:vertAlign w:val="subscript"/>
              </w:rPr>
              <w:t>本项目</w:t>
            </w:r>
            <w:r>
              <w:rPr>
                <w:color w:val="auto"/>
                <w:szCs w:val="21"/>
              </w:rPr>
              <w:fldChar w:fldCharType="begin"/>
            </w:r>
            <w:r>
              <w:rPr>
                <w:color w:val="auto"/>
                <w:szCs w:val="21"/>
              </w:rPr>
              <w:instrText xml:space="preserve"> QUOTE </w:instrText>
            </w:r>
            <w:r>
              <w:rPr>
                <w:color w:val="auto"/>
                <w:szCs w:val="21"/>
              </w:rPr>
              <w:drawing>
                <wp:inline distT="0" distB="0" distL="114300" distR="114300">
                  <wp:extent cx="523875" cy="639445"/>
                  <wp:effectExtent l="0" t="0" r="9525" b="635"/>
                  <wp:docPr id="282"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18"/>
                          <pic:cNvPicPr>
                            <a:picLocks noChangeAspect="1"/>
                          </pic:cNvPicPr>
                        </pic:nvPicPr>
                        <pic:blipFill>
                          <a:blip r:embed="rId46">
                            <a:clrChange>
                              <a:clrFrom>
                                <a:srgbClr val="FFFFFF"/>
                              </a:clrFrom>
                              <a:clrTo>
                                <a:srgbClr val="FFFFFF">
                                  <a:alpha val="0"/>
                                </a:srgbClr>
                              </a:clrTo>
                            </a:clrChange>
                          </a:blip>
                          <a:stretch>
                            <a:fillRect/>
                          </a:stretch>
                        </pic:blipFill>
                        <pic:spPr>
                          <a:xfrm>
                            <a:off x="0" y="0"/>
                            <a:ext cx="523875" cy="639445"/>
                          </a:xfrm>
                          <a:prstGeom prst="rect">
                            <a:avLst/>
                          </a:prstGeom>
                          <a:noFill/>
                          <a:ln>
                            <a:noFill/>
                          </a:ln>
                        </pic:spPr>
                      </pic:pic>
                    </a:graphicData>
                  </a:graphic>
                </wp:inline>
              </w:drawing>
            </w:r>
            <w:r>
              <w:rPr>
                <w:color w:val="auto"/>
                <w:szCs w:val="21"/>
              </w:rPr>
              <w:instrText xml:space="preserve">  \* MERGEFORMAT </w:instrText>
            </w:r>
            <w:r>
              <w:rPr>
                <w:color w:val="auto"/>
                <w:szCs w:val="21"/>
              </w:rPr>
              <w:fldChar w:fldCharType="separate"/>
            </w:r>
            <w:r>
              <w:rPr>
                <w:color w:val="auto"/>
                <w:szCs w:val="21"/>
              </w:rPr>
              <w:fldChar w:fldCharType="end"/>
            </w:r>
            <w:r>
              <w:rPr>
                <w:color w:val="auto"/>
                <w:szCs w:val="21"/>
              </w:rPr>
              <w:t>最大标率＞30% □</w:t>
            </w:r>
          </w:p>
        </w:tc>
      </w:tr>
      <w:tr w14:paraId="171D3ED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1CF2FA03">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26426C32">
            <w:pPr>
              <w:pStyle w:val="168"/>
              <w:snapToGrid w:val="0"/>
              <w:spacing w:before="24" w:line="260" w:lineRule="atLeast"/>
              <w:rPr>
                <w:color w:val="auto"/>
                <w:szCs w:val="21"/>
              </w:rPr>
            </w:pPr>
            <w:r>
              <w:rPr>
                <w:color w:val="auto"/>
                <w:szCs w:val="21"/>
              </w:rPr>
              <w:t>非正常排放1h浓度贡献值</w:t>
            </w:r>
          </w:p>
        </w:tc>
        <w:tc>
          <w:tcPr>
            <w:tcW w:w="1365" w:type="dxa"/>
            <w:gridSpan w:val="3"/>
            <w:tcBorders>
              <w:top w:val="single" w:color="auto" w:sz="6" w:space="0"/>
              <w:left w:val="single" w:color="auto" w:sz="6" w:space="0"/>
              <w:bottom w:val="single" w:color="auto" w:sz="6" w:space="0"/>
              <w:right w:val="single" w:color="auto" w:sz="6" w:space="0"/>
            </w:tcBorders>
            <w:vAlign w:val="center"/>
          </w:tcPr>
          <w:p w14:paraId="32A2994A">
            <w:pPr>
              <w:pStyle w:val="168"/>
              <w:snapToGrid w:val="0"/>
              <w:spacing w:before="24" w:line="260" w:lineRule="atLeast"/>
              <w:rPr>
                <w:color w:val="auto"/>
                <w:szCs w:val="21"/>
              </w:rPr>
            </w:pPr>
            <w:r>
              <w:rPr>
                <w:color w:val="auto"/>
                <w:szCs w:val="21"/>
              </w:rPr>
              <w:t>非正常持续时长（ / ）h</w:t>
            </w:r>
          </w:p>
        </w:tc>
        <w:tc>
          <w:tcPr>
            <w:tcW w:w="2768" w:type="dxa"/>
            <w:gridSpan w:val="12"/>
            <w:tcBorders>
              <w:top w:val="single" w:color="auto" w:sz="6" w:space="0"/>
              <w:left w:val="single" w:color="auto" w:sz="6" w:space="0"/>
              <w:bottom w:val="single" w:color="auto" w:sz="6" w:space="0"/>
              <w:right w:val="single" w:color="auto" w:sz="6" w:space="0"/>
            </w:tcBorders>
            <w:vAlign w:val="center"/>
          </w:tcPr>
          <w:p w14:paraId="11E13E66">
            <w:pPr>
              <w:pStyle w:val="168"/>
              <w:snapToGrid w:val="0"/>
              <w:spacing w:before="24" w:line="260" w:lineRule="atLeast"/>
              <w:rPr>
                <w:color w:val="auto"/>
                <w:szCs w:val="21"/>
              </w:rPr>
            </w:pPr>
            <w:r>
              <w:rPr>
                <w:color w:val="auto"/>
                <w:szCs w:val="21"/>
              </w:rPr>
              <w:t>C</w:t>
            </w:r>
            <w:r>
              <w:rPr>
                <w:color w:val="auto"/>
                <w:szCs w:val="21"/>
                <w:vertAlign w:val="subscript"/>
              </w:rPr>
              <w:t>非正常</w:t>
            </w:r>
            <w:r>
              <w:rPr>
                <w:color w:val="auto"/>
                <w:szCs w:val="21"/>
              </w:rPr>
              <w:fldChar w:fldCharType="begin"/>
            </w:r>
            <w:r>
              <w:rPr>
                <w:color w:val="auto"/>
                <w:szCs w:val="21"/>
              </w:rPr>
              <w:instrText xml:space="preserve"> QUOTE </w:instrText>
            </w:r>
            <w:r>
              <w:rPr>
                <w:color w:val="auto"/>
                <w:szCs w:val="21"/>
              </w:rPr>
              <w:drawing>
                <wp:inline distT="0" distB="0" distL="114300" distR="114300">
                  <wp:extent cx="523875" cy="639445"/>
                  <wp:effectExtent l="0" t="0" r="9525" b="635"/>
                  <wp:docPr id="283"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19"/>
                          <pic:cNvPicPr>
                            <a:picLocks noChangeAspect="1"/>
                          </pic:cNvPicPr>
                        </pic:nvPicPr>
                        <pic:blipFill>
                          <a:blip r:embed="rId46">
                            <a:clrChange>
                              <a:clrFrom>
                                <a:srgbClr val="FFFFFF"/>
                              </a:clrFrom>
                              <a:clrTo>
                                <a:srgbClr val="FFFFFF">
                                  <a:alpha val="0"/>
                                </a:srgbClr>
                              </a:clrTo>
                            </a:clrChange>
                          </a:blip>
                          <a:stretch>
                            <a:fillRect/>
                          </a:stretch>
                        </pic:blipFill>
                        <pic:spPr>
                          <a:xfrm>
                            <a:off x="0" y="0"/>
                            <a:ext cx="523875" cy="639445"/>
                          </a:xfrm>
                          <a:prstGeom prst="rect">
                            <a:avLst/>
                          </a:prstGeom>
                          <a:noFill/>
                          <a:ln>
                            <a:noFill/>
                          </a:ln>
                        </pic:spPr>
                      </pic:pic>
                    </a:graphicData>
                  </a:graphic>
                </wp:inline>
              </w:drawing>
            </w:r>
            <w:r>
              <w:rPr>
                <w:color w:val="auto"/>
                <w:szCs w:val="21"/>
              </w:rPr>
              <w:instrText xml:space="preserve">  \* MERGEFORMAT </w:instrText>
            </w:r>
            <w:r>
              <w:rPr>
                <w:color w:val="auto"/>
                <w:szCs w:val="21"/>
              </w:rPr>
              <w:fldChar w:fldCharType="separate"/>
            </w:r>
            <w:r>
              <w:rPr>
                <w:color w:val="auto"/>
                <w:szCs w:val="21"/>
              </w:rPr>
              <w:fldChar w:fldCharType="end"/>
            </w:r>
            <w:r>
              <w:rPr>
                <w:color w:val="auto"/>
                <w:szCs w:val="21"/>
              </w:rPr>
              <w:t>占标率≤100% □</w:t>
            </w:r>
          </w:p>
        </w:tc>
        <w:tc>
          <w:tcPr>
            <w:tcW w:w="2440" w:type="dxa"/>
            <w:gridSpan w:val="9"/>
            <w:tcBorders>
              <w:top w:val="single" w:color="auto" w:sz="6" w:space="0"/>
              <w:left w:val="single" w:color="auto" w:sz="6" w:space="0"/>
              <w:bottom w:val="single" w:color="auto" w:sz="6" w:space="0"/>
              <w:right w:val="nil"/>
            </w:tcBorders>
            <w:vAlign w:val="center"/>
          </w:tcPr>
          <w:p w14:paraId="45016D76">
            <w:pPr>
              <w:pStyle w:val="168"/>
              <w:snapToGrid w:val="0"/>
              <w:spacing w:before="24" w:line="260" w:lineRule="atLeast"/>
              <w:rPr>
                <w:color w:val="auto"/>
                <w:szCs w:val="21"/>
              </w:rPr>
            </w:pPr>
            <w:r>
              <w:rPr>
                <w:color w:val="auto"/>
                <w:szCs w:val="21"/>
              </w:rPr>
              <w:t>C</w:t>
            </w:r>
            <w:r>
              <w:rPr>
                <w:color w:val="auto"/>
                <w:szCs w:val="21"/>
                <w:vertAlign w:val="subscript"/>
              </w:rPr>
              <w:t>非正常</w:t>
            </w:r>
            <w:r>
              <w:rPr>
                <w:color w:val="auto"/>
                <w:szCs w:val="21"/>
              </w:rPr>
              <w:fldChar w:fldCharType="begin"/>
            </w:r>
            <w:r>
              <w:rPr>
                <w:color w:val="auto"/>
                <w:szCs w:val="21"/>
              </w:rPr>
              <w:instrText xml:space="preserve"> QUOTE </w:instrText>
            </w:r>
            <w:r>
              <w:rPr>
                <w:color w:val="auto"/>
                <w:szCs w:val="21"/>
              </w:rPr>
              <w:drawing>
                <wp:inline distT="0" distB="0" distL="114300" distR="114300">
                  <wp:extent cx="523875" cy="639445"/>
                  <wp:effectExtent l="0" t="0" r="9525" b="635"/>
                  <wp:docPr id="284"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20"/>
                          <pic:cNvPicPr>
                            <a:picLocks noChangeAspect="1"/>
                          </pic:cNvPicPr>
                        </pic:nvPicPr>
                        <pic:blipFill>
                          <a:blip r:embed="rId46">
                            <a:clrChange>
                              <a:clrFrom>
                                <a:srgbClr val="FFFFFF"/>
                              </a:clrFrom>
                              <a:clrTo>
                                <a:srgbClr val="FFFFFF">
                                  <a:alpha val="0"/>
                                </a:srgbClr>
                              </a:clrTo>
                            </a:clrChange>
                          </a:blip>
                          <a:stretch>
                            <a:fillRect/>
                          </a:stretch>
                        </pic:blipFill>
                        <pic:spPr>
                          <a:xfrm>
                            <a:off x="0" y="0"/>
                            <a:ext cx="523875" cy="639445"/>
                          </a:xfrm>
                          <a:prstGeom prst="rect">
                            <a:avLst/>
                          </a:prstGeom>
                          <a:noFill/>
                          <a:ln>
                            <a:noFill/>
                          </a:ln>
                        </pic:spPr>
                      </pic:pic>
                    </a:graphicData>
                  </a:graphic>
                </wp:inline>
              </w:drawing>
            </w:r>
            <w:r>
              <w:rPr>
                <w:color w:val="auto"/>
                <w:szCs w:val="21"/>
              </w:rPr>
              <w:instrText xml:space="preserve">  \* MERGEFORMAT </w:instrText>
            </w:r>
            <w:r>
              <w:rPr>
                <w:color w:val="auto"/>
                <w:szCs w:val="21"/>
              </w:rPr>
              <w:fldChar w:fldCharType="separate"/>
            </w:r>
            <w:r>
              <w:rPr>
                <w:color w:val="auto"/>
                <w:szCs w:val="21"/>
              </w:rPr>
              <w:fldChar w:fldCharType="end"/>
            </w:r>
            <w:r>
              <w:rPr>
                <w:color w:val="auto"/>
                <w:szCs w:val="21"/>
              </w:rPr>
              <w:t>占标率＞100%□</w:t>
            </w:r>
          </w:p>
        </w:tc>
      </w:tr>
      <w:tr w14:paraId="267EC27E">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36D83D59">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034DE607">
            <w:pPr>
              <w:pStyle w:val="168"/>
              <w:snapToGrid w:val="0"/>
              <w:spacing w:before="24" w:line="260" w:lineRule="atLeast"/>
              <w:rPr>
                <w:color w:val="auto"/>
                <w:szCs w:val="21"/>
              </w:rPr>
            </w:pPr>
            <w:r>
              <w:rPr>
                <w:color w:val="auto"/>
                <w:szCs w:val="21"/>
              </w:rPr>
              <w:t>保证率日平均浓度和年平均浓度叠加值</w:t>
            </w:r>
          </w:p>
        </w:tc>
        <w:tc>
          <w:tcPr>
            <w:tcW w:w="3162" w:type="dxa"/>
            <w:gridSpan w:val="12"/>
            <w:tcBorders>
              <w:top w:val="single" w:color="auto" w:sz="6" w:space="0"/>
              <w:left w:val="single" w:color="auto" w:sz="6" w:space="0"/>
              <w:bottom w:val="single" w:color="auto" w:sz="6" w:space="0"/>
              <w:right w:val="single" w:color="auto" w:sz="6" w:space="0"/>
            </w:tcBorders>
            <w:vAlign w:val="center"/>
          </w:tcPr>
          <w:p w14:paraId="64A3BEDD">
            <w:pPr>
              <w:pStyle w:val="168"/>
              <w:snapToGrid w:val="0"/>
              <w:spacing w:before="24" w:line="260" w:lineRule="atLeast"/>
              <w:rPr>
                <w:color w:val="auto"/>
                <w:szCs w:val="21"/>
              </w:rPr>
            </w:pPr>
            <w:r>
              <w:rPr>
                <w:color w:val="auto"/>
                <w:szCs w:val="21"/>
              </w:rPr>
              <w:t>C</w:t>
            </w:r>
            <w:r>
              <w:rPr>
                <w:color w:val="auto"/>
                <w:szCs w:val="21"/>
                <w:vertAlign w:val="subscript"/>
              </w:rPr>
              <w:t>叠加</w:t>
            </w:r>
            <w:r>
              <w:rPr>
                <w:color w:val="auto"/>
                <w:szCs w:val="21"/>
              </w:rPr>
              <w:fldChar w:fldCharType="begin"/>
            </w:r>
            <w:r>
              <w:rPr>
                <w:color w:val="auto"/>
                <w:szCs w:val="21"/>
              </w:rPr>
              <w:instrText xml:space="preserve"> QUOTE </w:instrText>
            </w:r>
            <w:r>
              <w:rPr>
                <w:color w:val="auto"/>
                <w:szCs w:val="21"/>
              </w:rPr>
              <w:drawing>
                <wp:inline distT="0" distB="0" distL="114300" distR="114300">
                  <wp:extent cx="381000" cy="639445"/>
                  <wp:effectExtent l="0" t="0" r="0" b="635"/>
                  <wp:docPr id="285"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21"/>
                          <pic:cNvPicPr>
                            <a:picLocks noChangeAspect="1"/>
                          </pic:cNvPicPr>
                        </pic:nvPicPr>
                        <pic:blipFill>
                          <a:blip r:embed="rId47">
                            <a:clrChange>
                              <a:clrFrom>
                                <a:srgbClr val="FFFFFF"/>
                              </a:clrFrom>
                              <a:clrTo>
                                <a:srgbClr val="FFFFFF">
                                  <a:alpha val="0"/>
                                </a:srgbClr>
                              </a:clrTo>
                            </a:clrChange>
                          </a:blip>
                          <a:stretch>
                            <a:fillRect/>
                          </a:stretch>
                        </pic:blipFill>
                        <pic:spPr>
                          <a:xfrm>
                            <a:off x="0" y="0"/>
                            <a:ext cx="381000" cy="639445"/>
                          </a:xfrm>
                          <a:prstGeom prst="rect">
                            <a:avLst/>
                          </a:prstGeom>
                          <a:noFill/>
                          <a:ln>
                            <a:noFill/>
                          </a:ln>
                        </pic:spPr>
                      </pic:pic>
                    </a:graphicData>
                  </a:graphic>
                </wp:inline>
              </w:drawing>
            </w:r>
            <w:r>
              <w:rPr>
                <w:color w:val="auto"/>
                <w:szCs w:val="21"/>
              </w:rPr>
              <w:instrText xml:space="preserve">  \* MERGEFORMAT </w:instrText>
            </w:r>
            <w:r>
              <w:rPr>
                <w:color w:val="auto"/>
                <w:szCs w:val="21"/>
              </w:rPr>
              <w:fldChar w:fldCharType="separate"/>
            </w:r>
            <w:r>
              <w:rPr>
                <w:color w:val="auto"/>
                <w:szCs w:val="21"/>
              </w:rPr>
              <w:fldChar w:fldCharType="end"/>
            </w:r>
            <w:r>
              <w:rPr>
                <w:color w:val="auto"/>
                <w:szCs w:val="21"/>
              </w:rPr>
              <w:t>达标 □</w:t>
            </w:r>
          </w:p>
        </w:tc>
        <w:tc>
          <w:tcPr>
            <w:tcW w:w="3411" w:type="dxa"/>
            <w:gridSpan w:val="12"/>
            <w:tcBorders>
              <w:top w:val="single" w:color="auto" w:sz="6" w:space="0"/>
              <w:left w:val="single" w:color="auto" w:sz="6" w:space="0"/>
              <w:bottom w:val="single" w:color="auto" w:sz="6" w:space="0"/>
              <w:right w:val="nil"/>
            </w:tcBorders>
            <w:vAlign w:val="center"/>
          </w:tcPr>
          <w:p w14:paraId="59A33529">
            <w:pPr>
              <w:pStyle w:val="168"/>
              <w:snapToGrid w:val="0"/>
              <w:spacing w:before="24" w:line="260" w:lineRule="atLeast"/>
              <w:rPr>
                <w:color w:val="auto"/>
                <w:szCs w:val="21"/>
              </w:rPr>
            </w:pPr>
            <w:r>
              <w:rPr>
                <w:color w:val="auto"/>
                <w:szCs w:val="21"/>
              </w:rPr>
              <w:t>C</w:t>
            </w:r>
            <w:r>
              <w:rPr>
                <w:color w:val="auto"/>
                <w:szCs w:val="21"/>
                <w:vertAlign w:val="subscript"/>
              </w:rPr>
              <w:t>叠加</w:t>
            </w:r>
            <w:r>
              <w:rPr>
                <w:color w:val="auto"/>
                <w:szCs w:val="21"/>
              </w:rPr>
              <w:fldChar w:fldCharType="begin"/>
            </w:r>
            <w:r>
              <w:rPr>
                <w:color w:val="auto"/>
                <w:szCs w:val="21"/>
              </w:rPr>
              <w:instrText xml:space="preserve"> QUOTE </w:instrText>
            </w:r>
            <w:r>
              <w:rPr>
                <w:color w:val="auto"/>
                <w:szCs w:val="21"/>
              </w:rPr>
              <w:drawing>
                <wp:inline distT="0" distB="0" distL="114300" distR="114300">
                  <wp:extent cx="381000" cy="639445"/>
                  <wp:effectExtent l="0" t="0" r="0" b="635"/>
                  <wp:docPr id="286"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22"/>
                          <pic:cNvPicPr>
                            <a:picLocks noChangeAspect="1"/>
                          </pic:cNvPicPr>
                        </pic:nvPicPr>
                        <pic:blipFill>
                          <a:blip r:embed="rId47">
                            <a:clrChange>
                              <a:clrFrom>
                                <a:srgbClr val="FFFFFF"/>
                              </a:clrFrom>
                              <a:clrTo>
                                <a:srgbClr val="FFFFFF">
                                  <a:alpha val="0"/>
                                </a:srgbClr>
                              </a:clrTo>
                            </a:clrChange>
                          </a:blip>
                          <a:stretch>
                            <a:fillRect/>
                          </a:stretch>
                        </pic:blipFill>
                        <pic:spPr>
                          <a:xfrm>
                            <a:off x="0" y="0"/>
                            <a:ext cx="381000" cy="639445"/>
                          </a:xfrm>
                          <a:prstGeom prst="rect">
                            <a:avLst/>
                          </a:prstGeom>
                          <a:noFill/>
                          <a:ln>
                            <a:noFill/>
                          </a:ln>
                        </pic:spPr>
                      </pic:pic>
                    </a:graphicData>
                  </a:graphic>
                </wp:inline>
              </w:drawing>
            </w:r>
            <w:r>
              <w:rPr>
                <w:color w:val="auto"/>
                <w:szCs w:val="21"/>
              </w:rPr>
              <w:instrText xml:space="preserve">  \* MERGEFORMAT </w:instrText>
            </w:r>
            <w:r>
              <w:rPr>
                <w:color w:val="auto"/>
                <w:szCs w:val="21"/>
              </w:rPr>
              <w:fldChar w:fldCharType="separate"/>
            </w:r>
            <w:r>
              <w:rPr>
                <w:color w:val="auto"/>
                <w:szCs w:val="21"/>
              </w:rPr>
              <w:fldChar w:fldCharType="end"/>
            </w:r>
            <w:r>
              <w:rPr>
                <w:color w:val="auto"/>
                <w:szCs w:val="21"/>
              </w:rPr>
              <w:t>不达标 □</w:t>
            </w:r>
          </w:p>
        </w:tc>
      </w:tr>
      <w:tr w14:paraId="7672000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43612173">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1DC22555">
            <w:pPr>
              <w:pStyle w:val="168"/>
              <w:snapToGrid w:val="0"/>
              <w:spacing w:before="24" w:line="260" w:lineRule="atLeast"/>
              <w:rPr>
                <w:color w:val="auto"/>
                <w:szCs w:val="21"/>
              </w:rPr>
            </w:pPr>
            <w:r>
              <w:rPr>
                <w:color w:val="auto"/>
                <w:szCs w:val="21"/>
              </w:rPr>
              <w:t>区域环境质量的整体变化情况</w:t>
            </w:r>
          </w:p>
        </w:tc>
        <w:tc>
          <w:tcPr>
            <w:tcW w:w="3162" w:type="dxa"/>
            <w:gridSpan w:val="12"/>
            <w:tcBorders>
              <w:top w:val="single" w:color="auto" w:sz="6" w:space="0"/>
              <w:left w:val="single" w:color="auto" w:sz="6" w:space="0"/>
              <w:bottom w:val="single" w:color="auto" w:sz="6" w:space="0"/>
              <w:right w:val="single" w:color="auto" w:sz="6" w:space="0"/>
            </w:tcBorders>
            <w:vAlign w:val="center"/>
          </w:tcPr>
          <w:p w14:paraId="7D92BB18">
            <w:pPr>
              <w:pStyle w:val="168"/>
              <w:snapToGrid w:val="0"/>
              <w:spacing w:before="24" w:line="260" w:lineRule="atLeast"/>
              <w:rPr>
                <w:color w:val="auto"/>
                <w:szCs w:val="21"/>
              </w:rPr>
            </w:pPr>
            <w:r>
              <w:rPr>
                <w:i/>
                <w:color w:val="auto"/>
                <w:szCs w:val="21"/>
              </w:rPr>
              <w:t xml:space="preserve">k </w:t>
            </w:r>
            <w:r>
              <w:rPr>
                <w:color w:val="auto"/>
                <w:szCs w:val="21"/>
              </w:rPr>
              <w:t>≤-20% □</w:t>
            </w:r>
          </w:p>
        </w:tc>
        <w:tc>
          <w:tcPr>
            <w:tcW w:w="3411" w:type="dxa"/>
            <w:gridSpan w:val="12"/>
            <w:tcBorders>
              <w:top w:val="single" w:color="auto" w:sz="6" w:space="0"/>
              <w:left w:val="single" w:color="auto" w:sz="6" w:space="0"/>
              <w:bottom w:val="single" w:color="auto" w:sz="6" w:space="0"/>
              <w:right w:val="nil"/>
            </w:tcBorders>
            <w:vAlign w:val="center"/>
          </w:tcPr>
          <w:p w14:paraId="11175527">
            <w:pPr>
              <w:pStyle w:val="168"/>
              <w:snapToGrid w:val="0"/>
              <w:spacing w:before="24" w:line="260" w:lineRule="atLeast"/>
              <w:rPr>
                <w:color w:val="auto"/>
                <w:szCs w:val="21"/>
              </w:rPr>
            </w:pPr>
            <w:r>
              <w:rPr>
                <w:i/>
                <w:color w:val="auto"/>
                <w:szCs w:val="21"/>
              </w:rPr>
              <w:t>k</w:t>
            </w:r>
            <w:r>
              <w:rPr>
                <w:color w:val="auto"/>
                <w:szCs w:val="21"/>
              </w:rPr>
              <w:t xml:space="preserve"> ＞-20% □</w:t>
            </w:r>
          </w:p>
        </w:tc>
      </w:tr>
      <w:tr w14:paraId="4EC88F8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restart"/>
            <w:tcBorders>
              <w:top w:val="single" w:color="auto" w:sz="6" w:space="0"/>
              <w:left w:val="nil"/>
              <w:bottom w:val="single" w:color="auto" w:sz="6" w:space="0"/>
              <w:right w:val="single" w:color="auto" w:sz="6" w:space="0"/>
            </w:tcBorders>
            <w:vAlign w:val="center"/>
          </w:tcPr>
          <w:p w14:paraId="10B239DD">
            <w:pPr>
              <w:pStyle w:val="168"/>
              <w:snapToGrid w:val="0"/>
              <w:spacing w:before="24" w:line="260" w:lineRule="atLeast"/>
              <w:rPr>
                <w:color w:val="auto"/>
                <w:szCs w:val="21"/>
              </w:rPr>
            </w:pPr>
            <w:r>
              <w:rPr>
                <w:color w:val="auto"/>
                <w:szCs w:val="21"/>
              </w:rPr>
              <w:t>环境监测</w:t>
            </w:r>
          </w:p>
          <w:p w14:paraId="7FD820A1">
            <w:pPr>
              <w:pStyle w:val="168"/>
              <w:snapToGrid w:val="0"/>
              <w:spacing w:before="24" w:line="260" w:lineRule="atLeast"/>
              <w:rPr>
                <w:color w:val="auto"/>
                <w:szCs w:val="21"/>
              </w:rPr>
            </w:pPr>
            <w:r>
              <w:rPr>
                <w:color w:val="auto"/>
                <w:szCs w:val="21"/>
              </w:rPr>
              <w:t>计划</w:t>
            </w:r>
          </w:p>
        </w:tc>
        <w:tc>
          <w:tcPr>
            <w:tcW w:w="1588" w:type="dxa"/>
            <w:tcBorders>
              <w:top w:val="single" w:color="auto" w:sz="6" w:space="0"/>
              <w:left w:val="single" w:color="auto" w:sz="6" w:space="0"/>
              <w:bottom w:val="single" w:color="auto" w:sz="6" w:space="0"/>
              <w:right w:val="single" w:color="auto" w:sz="6" w:space="0"/>
            </w:tcBorders>
            <w:vAlign w:val="center"/>
          </w:tcPr>
          <w:p w14:paraId="133DE9D1">
            <w:pPr>
              <w:pStyle w:val="168"/>
              <w:snapToGrid w:val="0"/>
              <w:spacing w:before="24" w:line="260" w:lineRule="atLeast"/>
              <w:rPr>
                <w:color w:val="auto"/>
                <w:szCs w:val="21"/>
              </w:rPr>
            </w:pPr>
            <w:r>
              <w:rPr>
                <w:color w:val="auto"/>
                <w:szCs w:val="21"/>
              </w:rPr>
              <w:t>污染源监测</w:t>
            </w:r>
          </w:p>
        </w:tc>
        <w:tc>
          <w:tcPr>
            <w:tcW w:w="2874" w:type="dxa"/>
            <w:gridSpan w:val="10"/>
            <w:tcBorders>
              <w:top w:val="single" w:color="auto" w:sz="6" w:space="0"/>
              <w:left w:val="single" w:color="auto" w:sz="6" w:space="0"/>
              <w:bottom w:val="single" w:color="auto" w:sz="6" w:space="0"/>
              <w:right w:val="single" w:color="auto" w:sz="6" w:space="0"/>
            </w:tcBorders>
            <w:vAlign w:val="center"/>
          </w:tcPr>
          <w:p w14:paraId="2480D4BE">
            <w:pPr>
              <w:pStyle w:val="168"/>
              <w:snapToGrid w:val="0"/>
              <w:spacing w:before="24" w:line="260" w:lineRule="atLeast"/>
              <w:rPr>
                <w:color w:val="auto"/>
                <w:szCs w:val="21"/>
              </w:rPr>
            </w:pPr>
            <w:r>
              <w:rPr>
                <w:color w:val="auto"/>
                <w:szCs w:val="21"/>
              </w:rPr>
              <w:t>监测因子：（NH</w:t>
            </w:r>
            <w:r>
              <w:rPr>
                <w:color w:val="auto"/>
                <w:szCs w:val="21"/>
                <w:vertAlign w:val="subscript"/>
              </w:rPr>
              <w:t>3</w:t>
            </w:r>
            <w:r>
              <w:rPr>
                <w:color w:val="auto"/>
                <w:szCs w:val="21"/>
              </w:rPr>
              <w:t>、H</w:t>
            </w:r>
            <w:r>
              <w:rPr>
                <w:color w:val="auto"/>
                <w:szCs w:val="21"/>
                <w:vertAlign w:val="subscript"/>
              </w:rPr>
              <w:t>2</w:t>
            </w:r>
            <w:r>
              <w:rPr>
                <w:color w:val="auto"/>
                <w:szCs w:val="21"/>
              </w:rPr>
              <w:t>S、臭气 浓度、颗粒物、SO</w:t>
            </w:r>
            <w:r>
              <w:rPr>
                <w:color w:val="auto"/>
                <w:szCs w:val="21"/>
                <w:vertAlign w:val="subscript"/>
              </w:rPr>
              <w:t>2</w:t>
            </w:r>
            <w:r>
              <w:rPr>
                <w:color w:val="auto"/>
                <w:szCs w:val="21"/>
              </w:rPr>
              <w:t>、NOx）</w:t>
            </w:r>
          </w:p>
        </w:tc>
        <w:tc>
          <w:tcPr>
            <w:tcW w:w="2642" w:type="dxa"/>
            <w:gridSpan w:val="12"/>
            <w:tcBorders>
              <w:top w:val="single" w:color="auto" w:sz="6" w:space="0"/>
              <w:left w:val="single" w:color="auto" w:sz="6" w:space="0"/>
              <w:bottom w:val="single" w:color="auto" w:sz="6" w:space="0"/>
              <w:right w:val="single" w:color="auto" w:sz="6" w:space="0"/>
            </w:tcBorders>
            <w:vAlign w:val="center"/>
          </w:tcPr>
          <w:p w14:paraId="2BE2FE7D">
            <w:pPr>
              <w:pStyle w:val="168"/>
              <w:snapToGrid w:val="0"/>
              <w:spacing w:before="24" w:line="260" w:lineRule="atLeast"/>
              <w:rPr>
                <w:color w:val="auto"/>
                <w:szCs w:val="21"/>
              </w:rPr>
            </w:pPr>
            <w:r>
              <w:rPr>
                <w:color w:val="auto"/>
                <w:szCs w:val="21"/>
              </w:rPr>
              <w:t xml:space="preserve">有组织废气监测 </w:t>
            </w:r>
            <w:r>
              <w:rPr>
                <w:bCs/>
                <w:color w:val="auto"/>
                <w:sz w:val="24"/>
              </w:rPr>
              <w:sym w:font="Wingdings 2" w:char="0052"/>
            </w:r>
            <w:r>
              <w:rPr>
                <w:color w:val="auto"/>
                <w:szCs w:val="21"/>
              </w:rPr>
              <w:t xml:space="preserve">    </w:t>
            </w:r>
          </w:p>
          <w:p w14:paraId="6670F32A">
            <w:pPr>
              <w:pStyle w:val="168"/>
              <w:snapToGrid w:val="0"/>
              <w:spacing w:before="24" w:line="260" w:lineRule="atLeast"/>
              <w:rPr>
                <w:color w:val="auto"/>
                <w:szCs w:val="21"/>
              </w:rPr>
            </w:pPr>
            <w:r>
              <w:rPr>
                <w:color w:val="auto"/>
                <w:szCs w:val="21"/>
              </w:rPr>
              <w:t xml:space="preserve">无组织废气监测 </w:t>
            </w:r>
            <w:r>
              <w:rPr>
                <w:bCs/>
                <w:color w:val="auto"/>
                <w:sz w:val="24"/>
              </w:rPr>
              <w:t>☑</w:t>
            </w:r>
          </w:p>
        </w:tc>
        <w:tc>
          <w:tcPr>
            <w:tcW w:w="1057" w:type="dxa"/>
            <w:gridSpan w:val="2"/>
            <w:tcBorders>
              <w:top w:val="single" w:color="auto" w:sz="6" w:space="0"/>
              <w:left w:val="single" w:color="auto" w:sz="6" w:space="0"/>
              <w:bottom w:val="single" w:color="auto" w:sz="6" w:space="0"/>
              <w:right w:val="nil"/>
            </w:tcBorders>
            <w:vAlign w:val="center"/>
          </w:tcPr>
          <w:p w14:paraId="24179F4E">
            <w:pPr>
              <w:pStyle w:val="168"/>
              <w:snapToGrid w:val="0"/>
              <w:spacing w:before="24" w:line="260" w:lineRule="atLeast"/>
              <w:rPr>
                <w:color w:val="auto"/>
                <w:szCs w:val="21"/>
              </w:rPr>
            </w:pPr>
            <w:r>
              <w:rPr>
                <w:color w:val="auto"/>
                <w:szCs w:val="21"/>
              </w:rPr>
              <w:t>无监测□</w:t>
            </w:r>
          </w:p>
        </w:tc>
      </w:tr>
      <w:tr w14:paraId="2B2F250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090636A3">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7FC31202">
            <w:pPr>
              <w:pStyle w:val="168"/>
              <w:snapToGrid w:val="0"/>
              <w:spacing w:before="24" w:line="260" w:lineRule="atLeast"/>
              <w:rPr>
                <w:color w:val="auto"/>
                <w:szCs w:val="21"/>
              </w:rPr>
            </w:pPr>
            <w:r>
              <w:rPr>
                <w:color w:val="auto"/>
                <w:szCs w:val="21"/>
              </w:rPr>
              <w:t>环境质量监测</w:t>
            </w:r>
          </w:p>
        </w:tc>
        <w:tc>
          <w:tcPr>
            <w:tcW w:w="2874" w:type="dxa"/>
            <w:gridSpan w:val="10"/>
            <w:tcBorders>
              <w:top w:val="single" w:color="auto" w:sz="6" w:space="0"/>
              <w:left w:val="single" w:color="auto" w:sz="6" w:space="0"/>
              <w:bottom w:val="single" w:color="auto" w:sz="6" w:space="0"/>
              <w:right w:val="single" w:color="auto" w:sz="6" w:space="0"/>
            </w:tcBorders>
            <w:vAlign w:val="center"/>
          </w:tcPr>
          <w:p w14:paraId="40782335">
            <w:pPr>
              <w:pStyle w:val="168"/>
              <w:snapToGrid w:val="0"/>
              <w:spacing w:before="24" w:line="260" w:lineRule="atLeast"/>
              <w:rPr>
                <w:color w:val="auto"/>
                <w:szCs w:val="21"/>
              </w:rPr>
            </w:pPr>
            <w:r>
              <w:rPr>
                <w:color w:val="auto"/>
                <w:szCs w:val="21"/>
              </w:rPr>
              <w:t xml:space="preserve">监测因子：（     /   </w:t>
            </w:r>
            <w:r>
              <w:rPr>
                <w:color w:val="auto"/>
                <w:szCs w:val="21"/>
                <w:vertAlign w:val="subscript"/>
              </w:rPr>
              <w:t xml:space="preserve"> </w:t>
            </w:r>
            <w:r>
              <w:rPr>
                <w:color w:val="auto"/>
                <w:szCs w:val="21"/>
              </w:rPr>
              <w:t xml:space="preserve">  ）</w:t>
            </w:r>
          </w:p>
        </w:tc>
        <w:tc>
          <w:tcPr>
            <w:tcW w:w="2642" w:type="dxa"/>
            <w:gridSpan w:val="12"/>
            <w:tcBorders>
              <w:top w:val="single" w:color="auto" w:sz="6" w:space="0"/>
              <w:left w:val="single" w:color="auto" w:sz="6" w:space="0"/>
              <w:bottom w:val="single" w:color="auto" w:sz="6" w:space="0"/>
              <w:right w:val="single" w:color="auto" w:sz="6" w:space="0"/>
            </w:tcBorders>
            <w:vAlign w:val="center"/>
          </w:tcPr>
          <w:p w14:paraId="04C08D08">
            <w:pPr>
              <w:pStyle w:val="168"/>
              <w:snapToGrid w:val="0"/>
              <w:spacing w:before="24" w:line="260" w:lineRule="atLeast"/>
              <w:rPr>
                <w:color w:val="auto"/>
                <w:szCs w:val="21"/>
              </w:rPr>
            </w:pPr>
            <w:r>
              <w:rPr>
                <w:color w:val="auto"/>
                <w:szCs w:val="21"/>
              </w:rPr>
              <w:t>监测点位数（  /   ）</w:t>
            </w:r>
          </w:p>
        </w:tc>
        <w:tc>
          <w:tcPr>
            <w:tcW w:w="1057" w:type="dxa"/>
            <w:gridSpan w:val="2"/>
            <w:tcBorders>
              <w:top w:val="single" w:color="auto" w:sz="6" w:space="0"/>
              <w:left w:val="single" w:color="auto" w:sz="6" w:space="0"/>
              <w:bottom w:val="single" w:color="auto" w:sz="6" w:space="0"/>
              <w:right w:val="nil"/>
            </w:tcBorders>
            <w:vAlign w:val="center"/>
          </w:tcPr>
          <w:p w14:paraId="567D5360">
            <w:pPr>
              <w:pStyle w:val="168"/>
              <w:snapToGrid w:val="0"/>
              <w:spacing w:before="24" w:line="260" w:lineRule="atLeast"/>
              <w:rPr>
                <w:color w:val="auto"/>
                <w:szCs w:val="21"/>
              </w:rPr>
            </w:pPr>
            <w:r>
              <w:rPr>
                <w:color w:val="auto"/>
                <w:szCs w:val="21"/>
              </w:rPr>
              <w:t>无监测□</w:t>
            </w:r>
          </w:p>
        </w:tc>
      </w:tr>
      <w:tr w14:paraId="6063CE1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restart"/>
            <w:tcBorders>
              <w:top w:val="single" w:color="auto" w:sz="6" w:space="0"/>
              <w:left w:val="nil"/>
              <w:bottom w:val="single" w:color="auto" w:sz="6" w:space="0"/>
              <w:right w:val="single" w:color="auto" w:sz="6" w:space="0"/>
            </w:tcBorders>
            <w:vAlign w:val="center"/>
          </w:tcPr>
          <w:p w14:paraId="7B9E8F5C">
            <w:pPr>
              <w:pStyle w:val="168"/>
              <w:snapToGrid w:val="0"/>
              <w:spacing w:before="24" w:line="260" w:lineRule="atLeast"/>
              <w:rPr>
                <w:color w:val="auto"/>
                <w:szCs w:val="21"/>
              </w:rPr>
            </w:pPr>
            <w:r>
              <w:rPr>
                <w:color w:val="auto"/>
                <w:szCs w:val="21"/>
              </w:rPr>
              <w:t>评价结论</w:t>
            </w:r>
          </w:p>
        </w:tc>
        <w:tc>
          <w:tcPr>
            <w:tcW w:w="1588" w:type="dxa"/>
            <w:tcBorders>
              <w:top w:val="single" w:color="auto" w:sz="6" w:space="0"/>
              <w:left w:val="single" w:color="auto" w:sz="6" w:space="0"/>
              <w:bottom w:val="single" w:color="auto" w:sz="6" w:space="0"/>
              <w:right w:val="single" w:color="auto" w:sz="6" w:space="0"/>
            </w:tcBorders>
            <w:vAlign w:val="center"/>
          </w:tcPr>
          <w:p w14:paraId="56200D8F">
            <w:pPr>
              <w:pStyle w:val="168"/>
              <w:snapToGrid w:val="0"/>
              <w:spacing w:before="24" w:line="260" w:lineRule="atLeast"/>
              <w:rPr>
                <w:color w:val="auto"/>
                <w:szCs w:val="21"/>
              </w:rPr>
            </w:pPr>
            <w:r>
              <w:rPr>
                <w:color w:val="auto"/>
                <w:szCs w:val="21"/>
              </w:rPr>
              <w:t>环境影响</w:t>
            </w:r>
          </w:p>
        </w:tc>
        <w:tc>
          <w:tcPr>
            <w:tcW w:w="6573" w:type="dxa"/>
            <w:gridSpan w:val="24"/>
            <w:tcBorders>
              <w:top w:val="single" w:color="auto" w:sz="6" w:space="0"/>
              <w:left w:val="single" w:color="auto" w:sz="6" w:space="0"/>
              <w:bottom w:val="single" w:color="auto" w:sz="6" w:space="0"/>
              <w:right w:val="nil"/>
            </w:tcBorders>
            <w:vAlign w:val="center"/>
          </w:tcPr>
          <w:p w14:paraId="27FC3B2E">
            <w:pPr>
              <w:pStyle w:val="168"/>
              <w:snapToGrid w:val="0"/>
              <w:spacing w:before="24" w:line="260" w:lineRule="atLeast"/>
              <w:rPr>
                <w:color w:val="auto"/>
                <w:szCs w:val="21"/>
              </w:rPr>
            </w:pPr>
            <w:r>
              <w:rPr>
                <w:color w:val="auto"/>
                <w:szCs w:val="21"/>
              </w:rPr>
              <w:t xml:space="preserve">可以接受 </w:t>
            </w:r>
            <w:r>
              <w:rPr>
                <w:bCs/>
                <w:color w:val="auto"/>
                <w:sz w:val="24"/>
              </w:rPr>
              <w:t>☑</w:t>
            </w:r>
            <w:r>
              <w:rPr>
                <w:color w:val="auto"/>
                <w:szCs w:val="21"/>
              </w:rPr>
              <w:t xml:space="preserve">      不可以接受 □</w:t>
            </w:r>
          </w:p>
        </w:tc>
      </w:tr>
      <w:tr w14:paraId="464E798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55655B96">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06F1C118">
            <w:pPr>
              <w:pStyle w:val="168"/>
              <w:snapToGrid w:val="0"/>
              <w:spacing w:before="24" w:line="260" w:lineRule="atLeast"/>
              <w:rPr>
                <w:color w:val="auto"/>
                <w:szCs w:val="21"/>
              </w:rPr>
            </w:pPr>
            <w:r>
              <w:rPr>
                <w:color w:val="auto"/>
                <w:szCs w:val="21"/>
              </w:rPr>
              <w:t>大气环境防护距离</w:t>
            </w:r>
          </w:p>
        </w:tc>
        <w:tc>
          <w:tcPr>
            <w:tcW w:w="6573" w:type="dxa"/>
            <w:gridSpan w:val="24"/>
            <w:tcBorders>
              <w:top w:val="single" w:color="auto" w:sz="6" w:space="0"/>
              <w:left w:val="single" w:color="auto" w:sz="6" w:space="0"/>
              <w:bottom w:val="single" w:color="auto" w:sz="6" w:space="0"/>
              <w:right w:val="nil"/>
            </w:tcBorders>
            <w:vAlign w:val="center"/>
          </w:tcPr>
          <w:p w14:paraId="0EE04E74">
            <w:pPr>
              <w:pStyle w:val="168"/>
              <w:snapToGrid w:val="0"/>
              <w:spacing w:before="24" w:line="260" w:lineRule="atLeast"/>
              <w:rPr>
                <w:color w:val="auto"/>
                <w:szCs w:val="21"/>
              </w:rPr>
            </w:pPr>
            <w:r>
              <w:rPr>
                <w:color w:val="auto"/>
                <w:szCs w:val="21"/>
              </w:rPr>
              <w:t>距（ / ）厂界最远（ / ）m</w:t>
            </w:r>
          </w:p>
        </w:tc>
      </w:tr>
      <w:tr w14:paraId="3DF1405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5" w:type="dxa"/>
            <w:vMerge w:val="continue"/>
            <w:tcBorders>
              <w:top w:val="single" w:color="auto" w:sz="6" w:space="0"/>
              <w:left w:val="nil"/>
              <w:bottom w:val="single" w:color="auto" w:sz="6" w:space="0"/>
              <w:right w:val="single" w:color="auto" w:sz="6" w:space="0"/>
            </w:tcBorders>
            <w:vAlign w:val="center"/>
          </w:tcPr>
          <w:p w14:paraId="1082A0D6">
            <w:pPr>
              <w:widowControl/>
              <w:jc w:val="left"/>
              <w:rPr>
                <w:color w:val="auto"/>
                <w:szCs w:val="21"/>
              </w:rPr>
            </w:pPr>
          </w:p>
        </w:tc>
        <w:tc>
          <w:tcPr>
            <w:tcW w:w="1588" w:type="dxa"/>
            <w:tcBorders>
              <w:top w:val="single" w:color="auto" w:sz="6" w:space="0"/>
              <w:left w:val="single" w:color="auto" w:sz="6" w:space="0"/>
              <w:bottom w:val="single" w:color="auto" w:sz="6" w:space="0"/>
              <w:right w:val="single" w:color="auto" w:sz="6" w:space="0"/>
            </w:tcBorders>
            <w:vAlign w:val="center"/>
          </w:tcPr>
          <w:p w14:paraId="4A6652EB">
            <w:pPr>
              <w:pStyle w:val="168"/>
              <w:snapToGrid w:val="0"/>
              <w:spacing w:before="24" w:line="260" w:lineRule="atLeast"/>
              <w:rPr>
                <w:color w:val="auto"/>
                <w:szCs w:val="21"/>
              </w:rPr>
            </w:pPr>
            <w:r>
              <w:rPr>
                <w:color w:val="auto"/>
                <w:szCs w:val="21"/>
              </w:rPr>
              <w:t>污染源年排放量</w:t>
            </w:r>
          </w:p>
        </w:tc>
        <w:tc>
          <w:tcPr>
            <w:tcW w:w="1557" w:type="dxa"/>
            <w:gridSpan w:val="4"/>
            <w:tcBorders>
              <w:top w:val="single" w:color="auto" w:sz="6" w:space="0"/>
              <w:left w:val="single" w:color="auto" w:sz="6" w:space="0"/>
              <w:bottom w:val="single" w:color="auto" w:sz="6" w:space="0"/>
              <w:right w:val="single" w:color="auto" w:sz="6" w:space="0"/>
            </w:tcBorders>
            <w:vAlign w:val="center"/>
          </w:tcPr>
          <w:p w14:paraId="178D293B">
            <w:pPr>
              <w:pStyle w:val="168"/>
              <w:snapToGrid w:val="0"/>
              <w:spacing w:before="24" w:line="260" w:lineRule="atLeast"/>
              <w:rPr>
                <w:color w:val="auto"/>
                <w:szCs w:val="21"/>
                <w:highlight w:val="none"/>
              </w:rPr>
            </w:pPr>
            <w:r>
              <w:rPr>
                <w:color w:val="auto"/>
                <w:szCs w:val="21"/>
                <w:highlight w:val="none"/>
              </w:rPr>
              <w:t>SO</w:t>
            </w:r>
            <w:r>
              <w:rPr>
                <w:color w:val="auto"/>
                <w:szCs w:val="21"/>
                <w:highlight w:val="none"/>
                <w:vertAlign w:val="subscript"/>
              </w:rPr>
              <w:t>2</w:t>
            </w:r>
            <w:r>
              <w:rPr>
                <w:color w:val="auto"/>
                <w:szCs w:val="21"/>
                <w:highlight w:val="none"/>
              </w:rPr>
              <w:t>:（</w:t>
            </w:r>
            <w:r>
              <w:rPr>
                <w:rFonts w:hint="eastAsia"/>
                <w:color w:val="auto"/>
                <w:szCs w:val="21"/>
                <w:highlight w:val="none"/>
                <w:lang w:val="en-US" w:eastAsia="zh-CN"/>
              </w:rPr>
              <w:t>0.48</w:t>
            </w:r>
            <w:r>
              <w:rPr>
                <w:color w:val="auto"/>
                <w:szCs w:val="21"/>
                <w:highlight w:val="none"/>
              </w:rPr>
              <w:t>）t/a</w:t>
            </w:r>
          </w:p>
        </w:tc>
        <w:tc>
          <w:tcPr>
            <w:tcW w:w="1674" w:type="dxa"/>
            <w:gridSpan w:val="9"/>
            <w:tcBorders>
              <w:top w:val="single" w:color="auto" w:sz="6" w:space="0"/>
              <w:left w:val="single" w:color="auto" w:sz="6" w:space="0"/>
              <w:bottom w:val="single" w:color="auto" w:sz="6" w:space="0"/>
              <w:right w:val="single" w:color="auto" w:sz="6" w:space="0"/>
            </w:tcBorders>
            <w:vAlign w:val="center"/>
          </w:tcPr>
          <w:p w14:paraId="2036C9A3">
            <w:pPr>
              <w:pStyle w:val="168"/>
              <w:snapToGrid w:val="0"/>
              <w:spacing w:before="24" w:line="260" w:lineRule="atLeast"/>
              <w:rPr>
                <w:color w:val="auto"/>
                <w:szCs w:val="21"/>
                <w:highlight w:val="none"/>
              </w:rPr>
            </w:pPr>
            <w:r>
              <w:rPr>
                <w:color w:val="auto"/>
                <w:szCs w:val="21"/>
                <w:highlight w:val="none"/>
              </w:rPr>
              <w:t>NO</w:t>
            </w:r>
            <w:r>
              <w:rPr>
                <w:color w:val="auto"/>
                <w:szCs w:val="21"/>
                <w:highlight w:val="none"/>
                <w:vertAlign w:val="subscript"/>
              </w:rPr>
              <w:t>x</w:t>
            </w:r>
            <w:r>
              <w:rPr>
                <w:color w:val="auto"/>
                <w:szCs w:val="21"/>
                <w:highlight w:val="none"/>
              </w:rPr>
              <w:t>:（</w:t>
            </w:r>
            <w:r>
              <w:rPr>
                <w:rFonts w:hint="eastAsia"/>
                <w:color w:val="auto"/>
                <w:szCs w:val="21"/>
                <w:highlight w:val="none"/>
                <w:lang w:val="en-US" w:eastAsia="zh-CN"/>
              </w:rPr>
              <w:t>0.67</w:t>
            </w:r>
            <w:r>
              <w:rPr>
                <w:color w:val="auto"/>
                <w:szCs w:val="21"/>
                <w:highlight w:val="none"/>
              </w:rPr>
              <w:t>）t/a</w:t>
            </w:r>
          </w:p>
        </w:tc>
        <w:tc>
          <w:tcPr>
            <w:tcW w:w="1854" w:type="dxa"/>
            <w:gridSpan w:val="6"/>
            <w:tcBorders>
              <w:top w:val="single" w:color="auto" w:sz="6" w:space="0"/>
              <w:left w:val="single" w:color="auto" w:sz="6" w:space="0"/>
              <w:bottom w:val="single" w:color="auto" w:sz="6" w:space="0"/>
              <w:right w:val="single" w:color="auto" w:sz="6" w:space="0"/>
            </w:tcBorders>
            <w:vAlign w:val="center"/>
          </w:tcPr>
          <w:p w14:paraId="3A0147F0">
            <w:pPr>
              <w:pStyle w:val="168"/>
              <w:snapToGrid w:val="0"/>
              <w:spacing w:before="24" w:line="260" w:lineRule="atLeast"/>
              <w:rPr>
                <w:color w:val="auto"/>
                <w:szCs w:val="21"/>
                <w:highlight w:val="none"/>
              </w:rPr>
            </w:pPr>
            <w:r>
              <w:rPr>
                <w:color w:val="auto"/>
                <w:szCs w:val="21"/>
                <w:highlight w:val="none"/>
              </w:rPr>
              <w:t>颗粒物:</w:t>
            </w:r>
          </w:p>
          <w:p w14:paraId="3FB145A5">
            <w:pPr>
              <w:pStyle w:val="168"/>
              <w:snapToGrid w:val="0"/>
              <w:spacing w:before="24" w:line="260" w:lineRule="atLeast"/>
              <w:rPr>
                <w:color w:val="auto"/>
                <w:szCs w:val="21"/>
                <w:highlight w:val="none"/>
              </w:rPr>
            </w:pPr>
            <w:r>
              <w:rPr>
                <w:color w:val="auto"/>
                <w:szCs w:val="21"/>
                <w:highlight w:val="none"/>
              </w:rPr>
              <w:t>（</w:t>
            </w:r>
            <w:r>
              <w:rPr>
                <w:rFonts w:hint="eastAsia"/>
                <w:color w:val="auto"/>
                <w:szCs w:val="21"/>
                <w:highlight w:val="none"/>
              </w:rPr>
              <w:t>0.0</w:t>
            </w:r>
            <w:r>
              <w:rPr>
                <w:rFonts w:hint="eastAsia"/>
                <w:color w:val="auto"/>
                <w:szCs w:val="21"/>
                <w:highlight w:val="none"/>
                <w:lang w:val="en-US" w:eastAsia="zh-CN"/>
              </w:rPr>
              <w:t>05</w:t>
            </w:r>
            <w:r>
              <w:rPr>
                <w:color w:val="auto"/>
                <w:szCs w:val="21"/>
                <w:highlight w:val="none"/>
              </w:rPr>
              <w:t>）t/a</w:t>
            </w:r>
          </w:p>
        </w:tc>
        <w:tc>
          <w:tcPr>
            <w:tcW w:w="1488" w:type="dxa"/>
            <w:gridSpan w:val="5"/>
            <w:tcBorders>
              <w:top w:val="single" w:color="auto" w:sz="6" w:space="0"/>
              <w:left w:val="single" w:color="auto" w:sz="6" w:space="0"/>
              <w:bottom w:val="single" w:color="auto" w:sz="6" w:space="0"/>
              <w:right w:val="nil"/>
            </w:tcBorders>
            <w:vAlign w:val="center"/>
          </w:tcPr>
          <w:p w14:paraId="224FBD5C">
            <w:pPr>
              <w:pStyle w:val="168"/>
              <w:snapToGrid w:val="0"/>
              <w:spacing w:before="24" w:line="260" w:lineRule="atLeast"/>
              <w:rPr>
                <w:color w:val="auto"/>
                <w:szCs w:val="21"/>
                <w:highlight w:val="none"/>
              </w:rPr>
            </w:pPr>
            <w:r>
              <w:rPr>
                <w:color w:val="auto"/>
                <w:szCs w:val="21"/>
                <w:highlight w:val="none"/>
              </w:rPr>
              <w:t>VOC</w:t>
            </w:r>
            <w:r>
              <w:rPr>
                <w:color w:val="auto"/>
                <w:szCs w:val="21"/>
                <w:highlight w:val="none"/>
                <w:vertAlign w:val="subscript"/>
              </w:rPr>
              <w:t>s</w:t>
            </w:r>
            <w:r>
              <w:rPr>
                <w:color w:val="auto"/>
                <w:szCs w:val="21"/>
                <w:highlight w:val="none"/>
              </w:rPr>
              <w:t>:（</w:t>
            </w:r>
            <w:r>
              <w:rPr>
                <w:rFonts w:hint="eastAsia"/>
                <w:color w:val="auto"/>
                <w:kern w:val="0"/>
                <w:szCs w:val="21"/>
                <w:highlight w:val="none"/>
                <w:lang w:val="en-US" w:eastAsia="zh-CN"/>
              </w:rPr>
              <w:t>0</w:t>
            </w:r>
            <w:r>
              <w:rPr>
                <w:color w:val="auto"/>
                <w:szCs w:val="21"/>
                <w:highlight w:val="none"/>
              </w:rPr>
              <w:t>）t/a</w:t>
            </w:r>
          </w:p>
        </w:tc>
      </w:tr>
      <w:tr w14:paraId="5DF407D0">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9056" w:type="dxa"/>
            <w:gridSpan w:val="26"/>
            <w:tcBorders>
              <w:top w:val="single" w:color="auto" w:sz="6" w:space="0"/>
              <w:left w:val="nil"/>
              <w:bottom w:val="double" w:color="auto" w:sz="4" w:space="0"/>
              <w:right w:val="nil"/>
            </w:tcBorders>
            <w:vAlign w:val="center"/>
          </w:tcPr>
          <w:p w14:paraId="2354D67E">
            <w:pPr>
              <w:pStyle w:val="168"/>
              <w:snapToGrid w:val="0"/>
              <w:spacing w:before="24" w:line="260" w:lineRule="atLeast"/>
              <w:jc w:val="left"/>
              <w:rPr>
                <w:color w:val="auto"/>
                <w:szCs w:val="21"/>
              </w:rPr>
            </w:pPr>
            <w:r>
              <w:rPr>
                <w:color w:val="auto"/>
                <w:szCs w:val="21"/>
              </w:rPr>
              <w:t>注：“□” 为勾选项 ，填“√” ；“（   ）” 为内容填写项</w:t>
            </w:r>
          </w:p>
        </w:tc>
      </w:tr>
    </w:tbl>
    <w:p w14:paraId="37E5A812">
      <w:pPr>
        <w:pStyle w:val="4"/>
        <w:snapToGrid w:val="0"/>
        <w:spacing w:before="0"/>
        <w:rPr>
          <w:rFonts w:ascii="Times New Roman" w:hAnsi="Times New Roman" w:eastAsia="宋体"/>
          <w:bCs/>
          <w:color w:val="auto"/>
          <w:sz w:val="28"/>
          <w:szCs w:val="28"/>
        </w:rPr>
      </w:pPr>
      <w:bookmarkStart w:id="326" w:name="_Hlt22537770"/>
      <w:bookmarkEnd w:id="326"/>
      <w:bookmarkStart w:id="327" w:name="_Toc6785"/>
      <w:bookmarkStart w:id="328" w:name="_Toc479754869"/>
      <w:r>
        <w:rPr>
          <w:rFonts w:ascii="Times New Roman" w:hAnsi="Times New Roman" w:eastAsia="宋体"/>
          <w:bCs/>
          <w:color w:val="auto"/>
          <w:sz w:val="28"/>
          <w:szCs w:val="28"/>
        </w:rPr>
        <w:t>5.2.2运营期地表水环境影响分析</w:t>
      </w:r>
      <w:bookmarkEnd w:id="327"/>
      <w:bookmarkEnd w:id="328"/>
    </w:p>
    <w:p w14:paraId="4F99AB46">
      <w:pPr>
        <w:pStyle w:val="276"/>
        <w:ind w:left="0" w:leftChars="0" w:firstLine="0" w:firstLineChars="0"/>
        <w:rPr>
          <w:b/>
          <w:color w:val="auto"/>
          <w:highlight w:val="none"/>
        </w:rPr>
      </w:pPr>
      <w:r>
        <w:rPr>
          <w:b/>
          <w:color w:val="auto"/>
          <w:highlight w:val="none"/>
        </w:rPr>
        <w:t>5.2.</w:t>
      </w:r>
      <w:r>
        <w:rPr>
          <w:rFonts w:hint="eastAsia"/>
          <w:b/>
          <w:color w:val="auto"/>
          <w:highlight w:val="none"/>
        </w:rPr>
        <w:t>2</w:t>
      </w:r>
      <w:r>
        <w:rPr>
          <w:b/>
          <w:color w:val="auto"/>
          <w:highlight w:val="none"/>
        </w:rPr>
        <w:t>.</w:t>
      </w:r>
      <w:r>
        <w:rPr>
          <w:rFonts w:hint="eastAsia"/>
          <w:b/>
          <w:color w:val="auto"/>
          <w:highlight w:val="none"/>
        </w:rPr>
        <w:t>1</w:t>
      </w:r>
      <w:r>
        <w:rPr>
          <w:rFonts w:hint="eastAsia" w:hAnsi="宋体"/>
          <w:b/>
          <w:color w:val="auto"/>
          <w:highlight w:val="none"/>
        </w:rPr>
        <w:t>废水处理方式分析</w:t>
      </w:r>
    </w:p>
    <w:p w14:paraId="1D1BF360">
      <w:pPr>
        <w:spacing w:line="360" w:lineRule="auto"/>
        <w:ind w:firstLine="480" w:firstLineChars="200"/>
        <w:jc w:val="left"/>
        <w:rPr>
          <w:color w:val="auto"/>
          <w:sz w:val="24"/>
          <w:highlight w:val="none"/>
        </w:rPr>
      </w:pPr>
      <w:r>
        <w:rPr>
          <w:rFonts w:hint="eastAsia" w:hAnsi="宋体"/>
          <w:color w:val="auto"/>
          <w:sz w:val="24"/>
          <w:highlight w:val="none"/>
        </w:rPr>
        <w:t>（</w:t>
      </w:r>
      <w:r>
        <w:rPr>
          <w:color w:val="auto"/>
          <w:sz w:val="24"/>
          <w:highlight w:val="none"/>
        </w:rPr>
        <w:t>1</w:t>
      </w:r>
      <w:r>
        <w:rPr>
          <w:rFonts w:hint="eastAsia" w:hAnsi="宋体"/>
          <w:color w:val="auto"/>
          <w:sz w:val="24"/>
          <w:highlight w:val="none"/>
        </w:rPr>
        <w:t>）养殖用水</w:t>
      </w:r>
    </w:p>
    <w:p w14:paraId="7B3CB05D">
      <w:pPr>
        <w:spacing w:line="360" w:lineRule="auto"/>
        <w:ind w:firstLine="410" w:firstLineChars="171"/>
        <w:jc w:val="left"/>
        <w:rPr>
          <w:color w:val="auto"/>
          <w:sz w:val="24"/>
          <w:highlight w:val="none"/>
        </w:rPr>
      </w:pPr>
      <w:r>
        <w:rPr>
          <w:rFonts w:hint="eastAsia"/>
          <w:color w:val="auto"/>
          <w:sz w:val="24"/>
          <w:highlight w:val="none"/>
        </w:rPr>
        <w:t>鸡饮用水部分被吸收，剩余的进入粪便之中，无废水排放</w:t>
      </w:r>
      <w:r>
        <w:rPr>
          <w:rFonts w:hint="eastAsia" w:hAnsi="宋体"/>
          <w:color w:val="auto"/>
          <w:sz w:val="24"/>
          <w:highlight w:val="none"/>
        </w:rPr>
        <w:t>。</w:t>
      </w:r>
    </w:p>
    <w:p w14:paraId="47EF82BD">
      <w:pPr>
        <w:spacing w:line="360" w:lineRule="auto"/>
        <w:ind w:firstLine="480" w:firstLineChars="200"/>
        <w:rPr>
          <w:rFonts w:hAnsi="宋体"/>
          <w:color w:val="auto"/>
          <w:sz w:val="24"/>
          <w:highlight w:val="none"/>
        </w:rPr>
      </w:pPr>
      <w:r>
        <w:rPr>
          <w:rFonts w:hint="eastAsia" w:hAnsi="宋体"/>
          <w:color w:val="auto"/>
          <w:sz w:val="24"/>
          <w:highlight w:val="none"/>
        </w:rPr>
        <w:t>（2）鸡舍冲洗废水</w:t>
      </w:r>
    </w:p>
    <w:p w14:paraId="0AF3F70B">
      <w:pPr>
        <w:spacing w:line="360" w:lineRule="auto"/>
        <w:ind w:firstLine="480" w:firstLineChars="200"/>
        <w:rPr>
          <w:bCs/>
          <w:color w:val="auto"/>
          <w:sz w:val="24"/>
          <w:highlight w:val="green"/>
        </w:rPr>
      </w:pPr>
      <w:r>
        <w:rPr>
          <w:rFonts w:hint="eastAsia"/>
          <w:color w:val="auto"/>
          <w:sz w:val="24"/>
          <w:lang w:val="en-US" w:eastAsia="zh-CN"/>
        </w:rPr>
        <w:t>鸡舍冲洗废水全部进入废水收集池，日产日清，由罐车运至辰泰（辽宁）生物科技有限公司制造有机肥。</w:t>
      </w:r>
    </w:p>
    <w:p w14:paraId="0F4FE4E1">
      <w:pPr>
        <w:spacing w:line="360" w:lineRule="auto"/>
        <w:ind w:firstLine="480" w:firstLineChars="200"/>
        <w:rPr>
          <w:bCs/>
          <w:color w:val="auto"/>
          <w:sz w:val="24"/>
        </w:rPr>
      </w:pPr>
      <w:r>
        <w:rPr>
          <w:bCs/>
          <w:color w:val="auto"/>
          <w:sz w:val="24"/>
        </w:rPr>
        <w:t>（3）绿化用水</w:t>
      </w:r>
    </w:p>
    <w:p w14:paraId="7707B878">
      <w:pPr>
        <w:spacing w:line="360" w:lineRule="auto"/>
        <w:ind w:firstLine="480" w:firstLineChars="200"/>
        <w:rPr>
          <w:bCs/>
          <w:color w:val="auto"/>
          <w:sz w:val="24"/>
        </w:rPr>
      </w:pPr>
      <w:r>
        <w:rPr>
          <w:bCs/>
          <w:color w:val="auto"/>
          <w:sz w:val="24"/>
        </w:rPr>
        <w:t>本项目绿化面积</w:t>
      </w:r>
      <w:r>
        <w:rPr>
          <w:rFonts w:hint="eastAsia"/>
          <w:bCs/>
          <w:color w:val="auto"/>
          <w:sz w:val="24"/>
        </w:rPr>
        <w:t>5050</w:t>
      </w:r>
      <w:r>
        <w:rPr>
          <w:bCs/>
          <w:color w:val="auto"/>
          <w:sz w:val="24"/>
        </w:rPr>
        <w:t>m</w:t>
      </w:r>
      <w:r>
        <w:rPr>
          <w:bCs/>
          <w:color w:val="auto"/>
          <w:sz w:val="24"/>
          <w:vertAlign w:val="superscript"/>
        </w:rPr>
        <w:t>2</w:t>
      </w:r>
      <w:r>
        <w:rPr>
          <w:bCs/>
          <w:color w:val="auto"/>
          <w:sz w:val="24"/>
        </w:rPr>
        <w:t>，</w:t>
      </w:r>
      <w:r>
        <w:rPr>
          <w:rFonts w:hint="eastAsia"/>
          <w:bCs/>
          <w:color w:val="auto"/>
          <w:sz w:val="24"/>
        </w:rPr>
        <w:t>绿化用水自然蒸发损耗。</w:t>
      </w:r>
    </w:p>
    <w:p w14:paraId="777F63DC">
      <w:pPr>
        <w:spacing w:line="360" w:lineRule="auto"/>
        <w:ind w:firstLine="480" w:firstLineChars="200"/>
        <w:rPr>
          <w:bCs/>
          <w:color w:val="auto"/>
          <w:sz w:val="24"/>
        </w:rPr>
      </w:pPr>
      <w:r>
        <w:rPr>
          <w:bCs/>
          <w:color w:val="auto"/>
          <w:sz w:val="24"/>
        </w:rPr>
        <w:t>（4）消毒用水</w:t>
      </w:r>
    </w:p>
    <w:p w14:paraId="4CC7D68A">
      <w:pPr>
        <w:adjustRightInd w:val="0"/>
        <w:snapToGrid w:val="0"/>
        <w:spacing w:line="360" w:lineRule="auto"/>
        <w:ind w:firstLine="480" w:firstLineChars="200"/>
        <w:rPr>
          <w:color w:val="auto"/>
          <w:sz w:val="24"/>
        </w:rPr>
      </w:pPr>
      <w:r>
        <w:rPr>
          <w:color w:val="auto"/>
          <w:sz w:val="24"/>
        </w:rPr>
        <w:t>据建设单位提供资料，项目鸡舍消毒、车辆消毒及员工消毒均采用喷雾消毒，消毒剂主要为碘伏、复方酚溶液，消毒用水</w:t>
      </w:r>
      <w:r>
        <w:rPr>
          <w:rFonts w:hint="eastAsia"/>
          <w:bCs/>
          <w:color w:val="auto"/>
          <w:sz w:val="24"/>
        </w:rPr>
        <w:t>自然蒸发损耗。</w:t>
      </w:r>
    </w:p>
    <w:p w14:paraId="2C6E4444">
      <w:pPr>
        <w:spacing w:line="360" w:lineRule="auto"/>
        <w:ind w:firstLine="480" w:firstLineChars="200"/>
        <w:rPr>
          <w:color w:val="auto"/>
          <w:sz w:val="24"/>
        </w:rPr>
      </w:pPr>
      <w:r>
        <w:rPr>
          <w:bCs/>
          <w:color w:val="auto"/>
          <w:sz w:val="24"/>
        </w:rPr>
        <w:t>（5）</w:t>
      </w:r>
      <w:r>
        <w:rPr>
          <w:color w:val="auto"/>
          <w:sz w:val="24"/>
        </w:rPr>
        <w:t>湿帘降温补充水</w:t>
      </w:r>
    </w:p>
    <w:p w14:paraId="2B9BC01F">
      <w:pPr>
        <w:adjustRightInd w:val="0"/>
        <w:snapToGrid w:val="0"/>
        <w:spacing w:line="360" w:lineRule="auto"/>
        <w:ind w:firstLine="480" w:firstLineChars="200"/>
        <w:rPr>
          <w:color w:val="auto"/>
          <w:sz w:val="24"/>
        </w:rPr>
      </w:pPr>
      <w:r>
        <w:rPr>
          <w:color w:val="auto"/>
          <w:sz w:val="24"/>
        </w:rPr>
        <w:t>夏季鸡舍温度较高，当温度达到35℃以上，需开启鸡舍的循环水帘降温装置。根据建设单位提供的资料，项目鸡舍夏季用水帘对鸡舍进行降温的天数约为100d，水帘消耗损失水量定期补充，无废水排放。</w:t>
      </w:r>
    </w:p>
    <w:p w14:paraId="19780674">
      <w:pPr>
        <w:spacing w:line="360" w:lineRule="auto"/>
        <w:ind w:firstLine="480" w:firstLineChars="200"/>
        <w:rPr>
          <w:color w:val="auto"/>
          <w:sz w:val="24"/>
        </w:rPr>
      </w:pPr>
      <w:r>
        <w:rPr>
          <w:color w:val="auto"/>
          <w:sz w:val="24"/>
        </w:rPr>
        <w:t>（</w:t>
      </w:r>
      <w:r>
        <w:rPr>
          <w:rFonts w:hint="eastAsia"/>
          <w:color w:val="auto"/>
          <w:sz w:val="24"/>
        </w:rPr>
        <w:t>6</w:t>
      </w:r>
      <w:r>
        <w:rPr>
          <w:color w:val="auto"/>
          <w:sz w:val="24"/>
        </w:rPr>
        <w:t>）</w:t>
      </w:r>
      <w:r>
        <w:rPr>
          <w:rFonts w:hint="eastAsia"/>
          <w:color w:val="auto"/>
          <w:sz w:val="24"/>
        </w:rPr>
        <w:t>锅炉补水</w:t>
      </w:r>
    </w:p>
    <w:p w14:paraId="261E04A8">
      <w:pPr>
        <w:spacing w:line="360" w:lineRule="auto"/>
        <w:ind w:firstLine="480" w:firstLineChars="200"/>
        <w:rPr>
          <w:color w:val="auto"/>
          <w:sz w:val="24"/>
          <w:highlight w:val="none"/>
        </w:rPr>
      </w:pPr>
      <w:r>
        <w:rPr>
          <w:color w:val="auto"/>
          <w:sz w:val="24"/>
        </w:rPr>
        <w:t>锅炉热水循环使用，会有部分损耗</w:t>
      </w:r>
      <w:r>
        <w:rPr>
          <w:rFonts w:hint="eastAsia"/>
          <w:color w:val="auto"/>
          <w:sz w:val="24"/>
        </w:rPr>
        <w:t>，</w:t>
      </w:r>
      <w:r>
        <w:rPr>
          <w:color w:val="auto"/>
          <w:sz w:val="24"/>
        </w:rPr>
        <w:t>包括蒸发损失和排污，</w:t>
      </w:r>
      <w:r>
        <w:rPr>
          <w:rFonts w:hint="eastAsia"/>
          <w:color w:val="auto"/>
          <w:sz w:val="24"/>
        </w:rPr>
        <w:t>锅炉排污水</w:t>
      </w:r>
      <w:r>
        <w:rPr>
          <w:color w:val="auto"/>
          <w:sz w:val="24"/>
        </w:rPr>
        <w:t>其污染浓度不高，主要含钙、镁离子，</w:t>
      </w:r>
      <w:r>
        <w:rPr>
          <w:rFonts w:hint="eastAsia"/>
          <w:color w:val="auto"/>
          <w:sz w:val="24"/>
        </w:rPr>
        <w:t>进入水箱，</w:t>
      </w:r>
      <w:r>
        <w:rPr>
          <w:rFonts w:hint="eastAsia"/>
          <w:color w:val="auto"/>
          <w:sz w:val="24"/>
          <w:highlight w:val="none"/>
          <w:lang w:eastAsia="zh-CN"/>
        </w:rPr>
        <w:t>锅炉定排废水用于厂区绿化和地面降尘</w:t>
      </w:r>
      <w:r>
        <w:rPr>
          <w:color w:val="auto"/>
          <w:sz w:val="24"/>
          <w:highlight w:val="none"/>
        </w:rPr>
        <w:t>。</w:t>
      </w:r>
    </w:p>
    <w:p w14:paraId="2620E452">
      <w:pPr>
        <w:spacing w:line="360" w:lineRule="auto"/>
        <w:ind w:firstLine="480" w:firstLineChars="200"/>
        <w:rPr>
          <w:color w:val="auto"/>
          <w:sz w:val="24"/>
        </w:rPr>
      </w:pPr>
      <w:r>
        <w:rPr>
          <w:rFonts w:hint="eastAsia"/>
          <w:color w:val="auto"/>
          <w:sz w:val="24"/>
        </w:rPr>
        <w:t>（7）反冲洗废水</w:t>
      </w:r>
    </w:p>
    <w:p w14:paraId="0DCF266A">
      <w:pPr>
        <w:spacing w:line="360" w:lineRule="auto"/>
        <w:ind w:firstLine="480" w:firstLineChars="200"/>
        <w:rPr>
          <w:color w:val="auto"/>
          <w:sz w:val="24"/>
          <w:highlight w:val="green"/>
        </w:rPr>
      </w:pPr>
      <w:r>
        <w:rPr>
          <w:color w:val="auto"/>
          <w:sz w:val="24"/>
        </w:rPr>
        <w:t>本项目每台锅炉均设有一套软化水制备系统，采用离子交换树脂吸附处理工艺，设备在运行过程中会产生反冲洗水，这部分水主要污染物为一些盐类，</w:t>
      </w:r>
      <w:r>
        <w:rPr>
          <w:rFonts w:hint="eastAsia"/>
          <w:color w:val="auto"/>
          <w:sz w:val="24"/>
        </w:rPr>
        <w:t>进入水箱，</w:t>
      </w:r>
      <w:r>
        <w:rPr>
          <w:rFonts w:hint="eastAsia"/>
          <w:color w:val="auto"/>
          <w:sz w:val="24"/>
          <w:highlight w:val="none"/>
          <w:lang w:eastAsia="zh-CN"/>
        </w:rPr>
        <w:t>反冲洗废水用于厂区绿化和地面降尘</w:t>
      </w:r>
      <w:r>
        <w:rPr>
          <w:color w:val="auto"/>
          <w:sz w:val="24"/>
          <w:highlight w:val="none"/>
        </w:rPr>
        <w:t>。</w:t>
      </w:r>
    </w:p>
    <w:p w14:paraId="6C89F587">
      <w:pPr>
        <w:spacing w:line="360" w:lineRule="auto"/>
        <w:ind w:firstLine="480" w:firstLineChars="200"/>
        <w:rPr>
          <w:color w:val="auto"/>
          <w:sz w:val="24"/>
        </w:rPr>
      </w:pPr>
      <w:r>
        <w:rPr>
          <w:rFonts w:hint="eastAsia"/>
          <w:color w:val="auto"/>
          <w:sz w:val="24"/>
        </w:rPr>
        <w:t>（</w:t>
      </w:r>
      <w:r>
        <w:rPr>
          <w:rFonts w:hint="eastAsia"/>
          <w:color w:val="auto"/>
          <w:sz w:val="24"/>
          <w:lang w:val="en-US" w:eastAsia="zh-CN"/>
        </w:rPr>
        <w:t>8</w:t>
      </w:r>
      <w:r>
        <w:rPr>
          <w:rFonts w:hint="eastAsia"/>
          <w:color w:val="auto"/>
          <w:sz w:val="24"/>
        </w:rPr>
        <w:t>）</w:t>
      </w:r>
      <w:r>
        <w:rPr>
          <w:color w:val="auto"/>
          <w:sz w:val="24"/>
        </w:rPr>
        <w:t>职工生活污水</w:t>
      </w:r>
    </w:p>
    <w:p w14:paraId="33040EE0">
      <w:pPr>
        <w:spacing w:line="360" w:lineRule="auto"/>
        <w:ind w:firstLine="480" w:firstLineChars="200"/>
        <w:rPr>
          <w:color w:val="auto"/>
          <w:sz w:val="24"/>
        </w:rPr>
      </w:pPr>
      <w:r>
        <w:rPr>
          <w:color w:val="auto"/>
          <w:sz w:val="24"/>
        </w:rPr>
        <w:t>本项目运营期职工人数</w:t>
      </w:r>
      <w:r>
        <w:rPr>
          <w:rFonts w:hint="eastAsia"/>
          <w:color w:val="auto"/>
          <w:sz w:val="24"/>
          <w:lang w:val="en-US" w:eastAsia="zh-CN"/>
        </w:rPr>
        <w:t>60</w:t>
      </w:r>
      <w:r>
        <w:rPr>
          <w:color w:val="auto"/>
          <w:sz w:val="24"/>
        </w:rPr>
        <w:t>人</w:t>
      </w:r>
      <w:r>
        <w:rPr>
          <w:rFonts w:hint="eastAsia"/>
          <w:color w:val="auto"/>
          <w:sz w:val="24"/>
        </w:rPr>
        <w:t>，</w:t>
      </w:r>
      <w:r>
        <w:rPr>
          <w:color w:val="auto"/>
          <w:sz w:val="24"/>
        </w:rPr>
        <w:t>年工作日365天，生活污水排入旱厕定期清掏</w:t>
      </w:r>
      <w:r>
        <w:rPr>
          <w:rFonts w:hint="eastAsia"/>
          <w:color w:val="auto"/>
          <w:sz w:val="24"/>
        </w:rPr>
        <w:t>，</w:t>
      </w:r>
      <w:r>
        <w:rPr>
          <w:rFonts w:hint="eastAsia"/>
          <w:color w:val="auto"/>
          <w:sz w:val="24"/>
          <w:lang w:eastAsia="zh-CN"/>
        </w:rPr>
        <w:t>用作农肥</w:t>
      </w:r>
      <w:r>
        <w:rPr>
          <w:color w:val="auto"/>
          <w:sz w:val="24"/>
        </w:rPr>
        <w:t>。</w:t>
      </w:r>
    </w:p>
    <w:p w14:paraId="6A1D121C">
      <w:pPr>
        <w:autoSpaceDE w:val="0"/>
        <w:autoSpaceDN w:val="0"/>
        <w:adjustRightInd w:val="0"/>
        <w:snapToGrid w:val="0"/>
        <w:spacing w:line="360" w:lineRule="auto"/>
        <w:ind w:firstLine="480" w:firstLineChars="200"/>
        <w:rPr>
          <w:color w:val="auto"/>
          <w:sz w:val="24"/>
        </w:rPr>
      </w:pPr>
      <w:r>
        <w:rPr>
          <w:color w:val="auto"/>
          <w:sz w:val="24"/>
        </w:rPr>
        <w:t>（</w:t>
      </w:r>
      <w:r>
        <w:rPr>
          <w:rFonts w:hint="eastAsia"/>
          <w:color w:val="auto"/>
          <w:sz w:val="24"/>
          <w:lang w:val="en-US" w:eastAsia="zh-CN"/>
        </w:rPr>
        <w:t>9</w:t>
      </w:r>
      <w:r>
        <w:rPr>
          <w:color w:val="auto"/>
          <w:sz w:val="24"/>
        </w:rPr>
        <w:t>）食堂废水</w:t>
      </w:r>
    </w:p>
    <w:p w14:paraId="3021AB85">
      <w:pPr>
        <w:snapToGrid w:val="0"/>
        <w:spacing w:line="360" w:lineRule="auto"/>
        <w:ind w:firstLine="480" w:firstLineChars="200"/>
        <w:rPr>
          <w:color w:val="auto"/>
          <w:sz w:val="24"/>
        </w:rPr>
      </w:pPr>
      <w:r>
        <w:rPr>
          <w:color w:val="auto"/>
          <w:sz w:val="24"/>
        </w:rPr>
        <w:t>食堂在运营过程中的废水主要为食材清洗水、餐具清洗水，</w:t>
      </w:r>
      <w:r>
        <w:rPr>
          <w:rFonts w:hint="eastAsia"/>
          <w:color w:val="auto"/>
          <w:sz w:val="24"/>
        </w:rPr>
        <w:t>食堂废水</w:t>
      </w:r>
      <w:r>
        <w:rPr>
          <w:color w:val="auto"/>
          <w:sz w:val="24"/>
        </w:rPr>
        <w:t>经隔油池处理后，排入旱厕，定期清淘</w:t>
      </w:r>
      <w:r>
        <w:rPr>
          <w:rFonts w:hint="eastAsia"/>
          <w:color w:val="auto"/>
          <w:sz w:val="24"/>
        </w:rPr>
        <w:t>，</w:t>
      </w:r>
      <w:r>
        <w:rPr>
          <w:rFonts w:hint="eastAsia"/>
          <w:color w:val="auto"/>
          <w:sz w:val="24"/>
          <w:lang w:eastAsia="zh-CN"/>
        </w:rPr>
        <w:t>用作农肥</w:t>
      </w:r>
      <w:r>
        <w:rPr>
          <w:color w:val="auto"/>
          <w:sz w:val="24"/>
        </w:rPr>
        <w:t>。</w:t>
      </w:r>
    </w:p>
    <w:p w14:paraId="14B6897A">
      <w:pPr>
        <w:pStyle w:val="276"/>
        <w:ind w:left="0" w:leftChars="0" w:firstLine="0" w:firstLineChars="0"/>
        <w:rPr>
          <w:b/>
          <w:color w:val="auto"/>
        </w:rPr>
      </w:pPr>
      <w:r>
        <w:rPr>
          <w:b/>
          <w:color w:val="auto"/>
        </w:rPr>
        <w:t>5.2.2.</w:t>
      </w:r>
      <w:r>
        <w:rPr>
          <w:rFonts w:hint="eastAsia"/>
          <w:b/>
          <w:color w:val="auto"/>
        </w:rPr>
        <w:t>2</w:t>
      </w:r>
      <w:r>
        <w:rPr>
          <w:rFonts w:hint="eastAsia"/>
          <w:b/>
          <w:color w:val="auto"/>
          <w:lang w:eastAsia="zh-CN"/>
        </w:rPr>
        <w:t>废水收集池储存</w:t>
      </w:r>
      <w:r>
        <w:rPr>
          <w:rFonts w:hint="eastAsia" w:hAnsi="宋体"/>
          <w:b/>
          <w:color w:val="auto"/>
        </w:rPr>
        <w:t>能力分析</w:t>
      </w:r>
    </w:p>
    <w:p w14:paraId="5C709FB1">
      <w:pPr>
        <w:spacing w:line="360" w:lineRule="auto"/>
        <w:ind w:firstLine="480" w:firstLineChars="200"/>
        <w:rPr>
          <w:color w:val="auto"/>
          <w:sz w:val="24"/>
        </w:rPr>
      </w:pPr>
      <w:r>
        <w:rPr>
          <w:color w:val="auto"/>
          <w:sz w:val="24"/>
        </w:rPr>
        <w:t>项目设蛋鸡设</w:t>
      </w:r>
      <w:r>
        <w:rPr>
          <w:rFonts w:hint="eastAsia"/>
          <w:color w:val="auto"/>
          <w:sz w:val="24"/>
          <w:lang w:val="en-US" w:eastAsia="zh-CN"/>
        </w:rPr>
        <w:t>8</w:t>
      </w:r>
      <w:r>
        <w:rPr>
          <w:color w:val="auto"/>
          <w:sz w:val="24"/>
        </w:rPr>
        <w:t>栋，鸡舍采用干清粪工艺，</w:t>
      </w:r>
      <w:r>
        <w:rPr>
          <w:rFonts w:hint="eastAsia"/>
          <w:color w:val="auto"/>
          <w:sz w:val="24"/>
        </w:rPr>
        <w:t>约500天淘汰1批鸡，并对相应鸡舍进行冲洗，蛋鸡在蛋鸡舍生活410天。每三栋/四栋蛋鸡舍为一批，即410天冲洗4次。</w:t>
      </w:r>
    </w:p>
    <w:p w14:paraId="20482A0B">
      <w:pPr>
        <w:spacing w:line="360" w:lineRule="auto"/>
        <w:ind w:firstLine="480" w:firstLineChars="200"/>
        <w:rPr>
          <w:color w:val="auto"/>
          <w:sz w:val="24"/>
        </w:rPr>
      </w:pPr>
      <w:r>
        <w:rPr>
          <w:rFonts w:hint="eastAsia"/>
          <w:color w:val="auto"/>
          <w:sz w:val="24"/>
          <w:lang w:eastAsia="zh-CN"/>
        </w:rPr>
        <w:t>本项目</w:t>
      </w:r>
      <w:r>
        <w:rPr>
          <w:rFonts w:hint="eastAsia"/>
          <w:color w:val="auto"/>
          <w:sz w:val="24"/>
        </w:rPr>
        <w:t>鸡舍采用专用的高压冲洗设备进行冲洗，</w:t>
      </w:r>
      <w:r>
        <w:rPr>
          <w:rFonts w:hint="eastAsia"/>
          <w:color w:val="auto"/>
          <w:sz w:val="24"/>
          <w:lang w:eastAsia="zh-CN"/>
        </w:rPr>
        <w:t>根据企业提供的</w:t>
      </w:r>
      <w:r>
        <w:rPr>
          <w:rFonts w:hint="eastAsia"/>
          <w:color w:val="auto"/>
          <w:sz w:val="24"/>
        </w:rPr>
        <w:t>高压冲洗设备</w:t>
      </w:r>
      <w:r>
        <w:rPr>
          <w:rFonts w:hint="eastAsia"/>
          <w:color w:val="auto"/>
          <w:sz w:val="24"/>
          <w:lang w:eastAsia="zh-CN"/>
        </w:rPr>
        <w:t>说明书可知，冲洗设备</w:t>
      </w:r>
      <w:r>
        <w:rPr>
          <w:rFonts w:hint="eastAsia"/>
          <w:color w:val="auto"/>
          <w:sz w:val="24"/>
        </w:rPr>
        <w:t>的最大流量为14L/min，每个鸡舍用2台高压冲洗设备进行冲洗，每次冲洗2台高压冲洗设备总用时约为1h/栋。</w:t>
      </w:r>
    </w:p>
    <w:p w14:paraId="67B522BD">
      <w:pPr>
        <w:spacing w:line="360" w:lineRule="auto"/>
        <w:ind w:firstLine="480" w:firstLineChars="200"/>
        <w:rPr>
          <w:rFonts w:hint="eastAsia" w:hAnsi="宋体"/>
          <w:color w:val="auto"/>
          <w:sz w:val="24"/>
        </w:rPr>
      </w:pPr>
      <w:r>
        <w:rPr>
          <w:rFonts w:hint="eastAsia"/>
          <w:color w:val="auto"/>
          <w:sz w:val="24"/>
        </w:rPr>
        <w:t>经计算，本项目鸡舍冲洗用水量为</w:t>
      </w:r>
      <w:r>
        <w:rPr>
          <w:rFonts w:hint="eastAsia"/>
          <w:color w:val="auto"/>
          <w:sz w:val="24"/>
          <w:lang w:val="en-US" w:eastAsia="zh-CN"/>
        </w:rPr>
        <w:t>6.72</w:t>
      </w:r>
      <w:r>
        <w:rPr>
          <w:rFonts w:hint="eastAsia"/>
          <w:color w:val="auto"/>
          <w:sz w:val="24"/>
        </w:rPr>
        <w:t>t/410天（</w:t>
      </w:r>
      <w:r>
        <w:rPr>
          <w:rFonts w:hint="eastAsia"/>
          <w:color w:val="auto"/>
          <w:sz w:val="24"/>
          <w:lang w:val="en-US" w:eastAsia="zh-CN"/>
        </w:rPr>
        <w:t>5.98</w:t>
      </w:r>
      <w:r>
        <w:rPr>
          <w:rFonts w:hint="eastAsia"/>
          <w:color w:val="auto"/>
          <w:sz w:val="24"/>
        </w:rPr>
        <w:t>t/a），</w:t>
      </w:r>
      <w:r>
        <w:rPr>
          <w:color w:val="auto"/>
          <w:sz w:val="24"/>
        </w:rPr>
        <w:t>排水量按照用水量的8</w:t>
      </w:r>
      <w:r>
        <w:rPr>
          <w:rFonts w:hint="eastAsia"/>
          <w:color w:val="auto"/>
          <w:sz w:val="24"/>
        </w:rPr>
        <w:t>5</w:t>
      </w:r>
      <w:r>
        <w:rPr>
          <w:color w:val="auto"/>
          <w:sz w:val="24"/>
        </w:rPr>
        <w:t>%计</w:t>
      </w:r>
      <w:r>
        <w:rPr>
          <w:rFonts w:hint="eastAsia"/>
          <w:color w:val="auto"/>
          <w:sz w:val="24"/>
        </w:rPr>
        <w:t>，鸡舍冲洗废水总量为</w:t>
      </w:r>
      <w:r>
        <w:rPr>
          <w:rFonts w:hint="eastAsia"/>
          <w:color w:val="auto"/>
          <w:sz w:val="24"/>
          <w:lang w:val="en-US" w:eastAsia="zh-CN"/>
        </w:rPr>
        <w:t>5.08</w:t>
      </w:r>
      <w:r>
        <w:rPr>
          <w:rFonts w:hint="eastAsia"/>
          <w:color w:val="auto"/>
          <w:sz w:val="24"/>
        </w:rPr>
        <w:t>m</w:t>
      </w:r>
      <w:r>
        <w:rPr>
          <w:rFonts w:hint="eastAsia"/>
          <w:color w:val="auto"/>
          <w:sz w:val="24"/>
          <w:vertAlign w:val="superscript"/>
        </w:rPr>
        <w:t>3</w:t>
      </w:r>
      <w:r>
        <w:rPr>
          <w:rFonts w:hint="eastAsia"/>
          <w:color w:val="auto"/>
          <w:sz w:val="24"/>
        </w:rPr>
        <w:t>/a</w:t>
      </w:r>
      <w:r>
        <w:rPr>
          <w:rFonts w:hint="eastAsia"/>
          <w:color w:val="auto"/>
          <w:sz w:val="24"/>
          <w:lang w:eastAsia="zh-CN"/>
        </w:rPr>
        <w:t>，每栋鸡舍一次冲洗废水最大产生量为</w:t>
      </w:r>
      <w:r>
        <w:rPr>
          <w:rFonts w:hint="eastAsia"/>
          <w:color w:val="auto"/>
          <w:sz w:val="24"/>
          <w:lang w:val="en-US" w:eastAsia="zh-CN"/>
        </w:rPr>
        <w:t>1.69m</w:t>
      </w:r>
      <w:r>
        <w:rPr>
          <w:rFonts w:hint="eastAsia"/>
          <w:color w:val="auto"/>
          <w:sz w:val="24"/>
          <w:vertAlign w:val="superscript"/>
          <w:lang w:val="en-US" w:eastAsia="zh-CN"/>
        </w:rPr>
        <w:t>3</w:t>
      </w:r>
      <w:r>
        <w:rPr>
          <w:rFonts w:hint="eastAsia"/>
          <w:color w:val="auto"/>
          <w:sz w:val="24"/>
          <w:lang w:val="en-US" w:eastAsia="zh-CN"/>
        </w:rPr>
        <w:t>，每栋鸡舍东侧端头各设置1座10m</w:t>
      </w:r>
      <w:r>
        <w:rPr>
          <w:rFonts w:hint="eastAsia"/>
          <w:color w:val="auto"/>
          <w:sz w:val="24"/>
          <w:vertAlign w:val="superscript"/>
          <w:lang w:val="en-US" w:eastAsia="zh-CN"/>
        </w:rPr>
        <w:t>3</w:t>
      </w:r>
      <w:r>
        <w:rPr>
          <w:rFonts w:hint="eastAsia"/>
          <w:color w:val="auto"/>
          <w:sz w:val="24"/>
          <w:lang w:val="en-US" w:eastAsia="zh-CN"/>
        </w:rPr>
        <w:t>的废水收集池，鸡舍冲洗废水全部进入废水收集池，日产日清，由罐车运至辰泰（辽宁）生物科技有限公司制造有机肥。</w:t>
      </w:r>
      <w:r>
        <w:rPr>
          <w:rFonts w:hint="eastAsia" w:hAnsi="宋体"/>
          <w:color w:val="auto"/>
          <w:sz w:val="24"/>
        </w:rPr>
        <w:t>因此</w:t>
      </w:r>
      <w:r>
        <w:rPr>
          <w:rFonts w:hint="eastAsia" w:hAnsi="宋体"/>
          <w:color w:val="auto"/>
          <w:sz w:val="24"/>
          <w:lang w:eastAsia="zh-CN"/>
        </w:rPr>
        <w:t>废水收集池的</w:t>
      </w:r>
      <w:r>
        <w:rPr>
          <w:rFonts w:hint="eastAsia" w:hAnsi="宋体"/>
          <w:color w:val="auto"/>
          <w:sz w:val="24"/>
        </w:rPr>
        <w:t>容量符合本项目需求，</w:t>
      </w:r>
      <w:r>
        <w:rPr>
          <w:rFonts w:hint="eastAsia" w:hAnsi="宋体"/>
          <w:color w:val="auto"/>
          <w:sz w:val="24"/>
          <w:lang w:eastAsia="zh-CN"/>
        </w:rPr>
        <w:t>能够</w:t>
      </w:r>
      <w:r>
        <w:rPr>
          <w:rFonts w:hint="eastAsia" w:hAnsi="宋体"/>
          <w:color w:val="auto"/>
          <w:sz w:val="24"/>
        </w:rPr>
        <w:t>实现废水零排放。</w:t>
      </w:r>
      <w:r>
        <w:rPr>
          <w:rFonts w:hint="eastAsia" w:hAnsi="宋体"/>
          <w:color w:val="auto"/>
          <w:sz w:val="24"/>
          <w:lang w:eastAsia="zh-CN"/>
        </w:rPr>
        <w:t>鸡舍冲洗废水</w:t>
      </w:r>
      <w:r>
        <w:rPr>
          <w:rFonts w:hint="eastAsia"/>
          <w:color w:val="auto"/>
          <w:sz w:val="24"/>
          <w:lang w:val="en-US" w:eastAsia="zh-CN"/>
        </w:rPr>
        <w:t>为每410天产生一次，考虑极端天气情况下临时储存50天，废水收集池的容积完全能够满足临时储存需求，</w:t>
      </w:r>
    </w:p>
    <w:p w14:paraId="19532289">
      <w:pPr>
        <w:pStyle w:val="276"/>
        <w:ind w:left="0" w:leftChars="0" w:firstLine="0" w:firstLineChars="0"/>
        <w:rPr>
          <w:b/>
          <w:color w:val="auto"/>
        </w:rPr>
      </w:pPr>
      <w:r>
        <w:rPr>
          <w:b/>
          <w:color w:val="auto"/>
        </w:rPr>
        <w:t>5.2.2.</w:t>
      </w:r>
      <w:r>
        <w:rPr>
          <w:rFonts w:hint="eastAsia"/>
          <w:b/>
          <w:color w:val="auto"/>
          <w:lang w:val="en-US" w:eastAsia="zh-CN"/>
        </w:rPr>
        <w:t>3</w:t>
      </w:r>
      <w:r>
        <w:rPr>
          <w:rFonts w:hint="eastAsia"/>
          <w:b/>
          <w:color w:val="auto"/>
        </w:rPr>
        <w:t>地表水影响分析</w:t>
      </w:r>
    </w:p>
    <w:p w14:paraId="34E2A533">
      <w:pPr>
        <w:spacing w:line="360" w:lineRule="auto"/>
        <w:ind w:firstLine="480" w:firstLineChars="200"/>
        <w:rPr>
          <w:rFonts w:hAnsi="宋体"/>
          <w:color w:val="auto"/>
          <w:sz w:val="24"/>
        </w:rPr>
      </w:pPr>
      <w:r>
        <w:rPr>
          <w:rFonts w:hint="eastAsia" w:hAnsi="宋体"/>
          <w:color w:val="auto"/>
          <w:sz w:val="24"/>
        </w:rPr>
        <w:t>根据以上分析，本项目</w:t>
      </w:r>
      <w:r>
        <w:rPr>
          <w:rFonts w:hint="eastAsia"/>
          <w:color w:val="auto"/>
          <w:sz w:val="24"/>
          <w:lang w:val="en-US" w:eastAsia="zh-CN"/>
        </w:rPr>
        <w:t>鸡舍冲洗废水全部进入废水收集池，日产日清，由罐车运至辰泰（辽宁）生物科技有限公司制造有机肥，废水不外排。</w:t>
      </w:r>
      <w:r>
        <w:rPr>
          <w:rFonts w:hint="eastAsia"/>
          <w:color w:val="auto"/>
          <w:sz w:val="24"/>
          <w:highlight w:val="none"/>
          <w:lang w:eastAsia="zh-CN"/>
        </w:rPr>
        <w:t>另外项目地</w:t>
      </w:r>
      <w:r>
        <w:rPr>
          <w:rFonts w:hint="eastAsia"/>
          <w:color w:val="auto"/>
          <w:sz w:val="24"/>
          <w:highlight w:val="none"/>
        </w:rPr>
        <w:t>距离地表水体</w:t>
      </w:r>
      <w:r>
        <w:rPr>
          <w:rFonts w:hint="eastAsia"/>
          <w:color w:val="auto"/>
          <w:sz w:val="24"/>
          <w:highlight w:val="none"/>
          <w:lang w:eastAsia="zh-CN"/>
        </w:rPr>
        <w:t>为东侧东官营河，距离较远，且本项目废水不外排，</w:t>
      </w:r>
      <w:r>
        <w:rPr>
          <w:rFonts w:hint="eastAsia" w:hAnsi="宋体"/>
          <w:bCs/>
          <w:color w:val="auto"/>
          <w:sz w:val="24"/>
          <w:highlight w:val="none"/>
          <w:lang w:eastAsia="zh-CN"/>
        </w:rPr>
        <w:t>因此运营期废水</w:t>
      </w:r>
      <w:r>
        <w:rPr>
          <w:rFonts w:hint="eastAsia" w:hAnsi="宋体"/>
          <w:bCs/>
          <w:color w:val="auto"/>
          <w:sz w:val="24"/>
          <w:highlight w:val="none"/>
        </w:rPr>
        <w:t>对地表水环境影响较小。</w:t>
      </w:r>
    </w:p>
    <w:p w14:paraId="5B492DC1">
      <w:pPr>
        <w:pStyle w:val="276"/>
        <w:ind w:left="0" w:leftChars="0" w:firstLine="0" w:firstLineChars="0"/>
        <w:outlineLvl w:val="9"/>
        <w:rPr>
          <w:rFonts w:hint="default" w:eastAsia="宋体"/>
          <w:b/>
          <w:bCs/>
          <w:color w:val="auto"/>
          <w:lang w:val="en-US" w:eastAsia="zh-CN"/>
        </w:rPr>
      </w:pPr>
      <w:r>
        <w:rPr>
          <w:rFonts w:hint="eastAsia"/>
          <w:b/>
          <w:bCs/>
          <w:color w:val="auto"/>
          <w:lang w:val="en-US" w:eastAsia="zh-CN"/>
        </w:rPr>
        <w:t>5.2.2.3对饮用水水源的影响</w:t>
      </w:r>
    </w:p>
    <w:p w14:paraId="6EDCE6CC">
      <w:pPr>
        <w:pStyle w:val="276"/>
        <w:ind w:left="0" w:firstLine="480"/>
        <w:outlineLvl w:val="9"/>
        <w:rPr>
          <w:rFonts w:hint="default" w:eastAsia="宋体"/>
          <w:color w:val="auto"/>
          <w:lang w:val="en-US" w:eastAsia="zh-CN"/>
        </w:rPr>
      </w:pPr>
      <w:r>
        <w:rPr>
          <w:rFonts w:hint="eastAsia"/>
          <w:color w:val="auto"/>
          <w:lang w:eastAsia="zh-CN"/>
        </w:rPr>
        <w:t>根据现场调查，距离本项目最近的分散式饮用水水源井为南侧</w:t>
      </w:r>
      <w:r>
        <w:rPr>
          <w:rFonts w:hint="eastAsia"/>
          <w:color w:val="auto"/>
          <w:lang w:val="en-US" w:eastAsia="zh-CN"/>
        </w:rPr>
        <w:t>490m处的姜家沟村</w:t>
      </w:r>
      <w:r>
        <w:rPr>
          <w:rFonts w:hint="eastAsia"/>
          <w:color w:val="auto"/>
          <w:lang w:eastAsia="zh-CN"/>
        </w:rPr>
        <w:t>，</w:t>
      </w:r>
      <w:r>
        <w:rPr>
          <w:rFonts w:hint="eastAsia"/>
          <w:color w:val="auto"/>
          <w:highlight w:val="none"/>
          <w:lang w:eastAsia="zh-CN"/>
        </w:rPr>
        <w:t>附近无集中式饮用水水源井</w:t>
      </w:r>
      <w:r>
        <w:rPr>
          <w:rFonts w:hint="eastAsia"/>
          <w:color w:val="auto"/>
          <w:highlight w:val="none"/>
          <w:lang w:val="en-US" w:eastAsia="zh-CN"/>
        </w:rPr>
        <w:t>，本</w:t>
      </w:r>
      <w:r>
        <w:rPr>
          <w:rFonts w:hint="eastAsia"/>
          <w:color w:val="auto"/>
          <w:lang w:val="en-US" w:eastAsia="zh-CN"/>
        </w:rPr>
        <w:t>项目废水全部资源化利用，不外排，废水收集池和临时储粪场全部做防腐防渗措施，因此项目养殖废水对饮用水水源基本无影响。</w:t>
      </w:r>
    </w:p>
    <w:p w14:paraId="1DAB0A68">
      <w:pPr>
        <w:pStyle w:val="276"/>
        <w:ind w:left="0" w:firstLine="480"/>
        <w:outlineLvl w:val="9"/>
        <w:rPr>
          <w:color w:val="auto"/>
        </w:rPr>
      </w:pPr>
      <w:r>
        <w:rPr>
          <w:color w:val="auto"/>
        </w:rPr>
        <w:t>本项目的地表水环境影响评价自查表见下表5</w:t>
      </w:r>
      <w:r>
        <w:rPr>
          <w:rFonts w:hint="eastAsia"/>
          <w:color w:val="auto"/>
          <w:lang w:val="en-US" w:eastAsia="zh-CN"/>
        </w:rPr>
        <w:t>.2</w:t>
      </w:r>
      <w:r>
        <w:rPr>
          <w:color w:val="auto"/>
        </w:rPr>
        <w:t>-</w:t>
      </w:r>
      <w:r>
        <w:rPr>
          <w:rFonts w:hint="eastAsia"/>
          <w:color w:val="auto"/>
          <w:lang w:val="en-US" w:eastAsia="zh-CN"/>
        </w:rPr>
        <w:t>19</w:t>
      </w:r>
      <w:r>
        <w:rPr>
          <w:color w:val="auto"/>
        </w:rPr>
        <w:t>。</w:t>
      </w:r>
    </w:p>
    <w:p w14:paraId="69B387D0">
      <w:pPr>
        <w:jc w:val="center"/>
        <w:rPr>
          <w:b/>
          <w:bCs/>
          <w:color w:val="auto"/>
          <w:szCs w:val="21"/>
        </w:rPr>
      </w:pPr>
      <w:r>
        <w:rPr>
          <w:b/>
          <w:bCs/>
          <w:color w:val="auto"/>
          <w:szCs w:val="21"/>
        </w:rPr>
        <w:t>表5</w:t>
      </w:r>
      <w:r>
        <w:rPr>
          <w:rFonts w:hint="eastAsia"/>
          <w:b/>
          <w:bCs/>
          <w:color w:val="auto"/>
          <w:szCs w:val="21"/>
          <w:lang w:val="en-US" w:eastAsia="zh-CN"/>
        </w:rPr>
        <w:t>.2</w:t>
      </w:r>
      <w:r>
        <w:rPr>
          <w:b/>
          <w:bCs/>
          <w:color w:val="auto"/>
          <w:szCs w:val="21"/>
        </w:rPr>
        <w:t>-</w:t>
      </w:r>
      <w:r>
        <w:rPr>
          <w:rFonts w:hint="eastAsia"/>
          <w:b/>
          <w:bCs/>
          <w:color w:val="auto"/>
          <w:szCs w:val="21"/>
          <w:lang w:val="en-US" w:eastAsia="zh-CN"/>
        </w:rPr>
        <w:t>19</w:t>
      </w:r>
      <w:r>
        <w:rPr>
          <w:b/>
          <w:bCs/>
          <w:color w:val="auto"/>
          <w:szCs w:val="21"/>
        </w:rPr>
        <w:t xml:space="preserve">   地表水环境影响评价自查表</w:t>
      </w:r>
    </w:p>
    <w:tbl>
      <w:tblPr>
        <w:tblStyle w:val="53"/>
        <w:tblW w:w="8720"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2"/>
        <w:gridCol w:w="142"/>
        <w:gridCol w:w="1417"/>
        <w:gridCol w:w="1784"/>
        <w:gridCol w:w="1246"/>
        <w:gridCol w:w="939"/>
        <w:gridCol w:w="307"/>
        <w:gridCol w:w="1247"/>
        <w:gridCol w:w="1246"/>
      </w:tblGrid>
      <w:tr w14:paraId="7052ACF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1" w:type="dxa"/>
            <w:gridSpan w:val="3"/>
            <w:vAlign w:val="center"/>
          </w:tcPr>
          <w:p w14:paraId="358ACC9C">
            <w:pPr>
              <w:jc w:val="center"/>
              <w:rPr>
                <w:color w:val="auto"/>
                <w:szCs w:val="21"/>
              </w:rPr>
            </w:pPr>
            <w:r>
              <w:rPr>
                <w:color w:val="auto"/>
                <w:szCs w:val="21"/>
              </w:rPr>
              <w:t>工作内容</w:t>
            </w:r>
          </w:p>
        </w:tc>
        <w:tc>
          <w:tcPr>
            <w:tcW w:w="6769" w:type="dxa"/>
            <w:gridSpan w:val="6"/>
            <w:vAlign w:val="center"/>
          </w:tcPr>
          <w:p w14:paraId="764CDDAF">
            <w:pPr>
              <w:jc w:val="center"/>
              <w:rPr>
                <w:color w:val="auto"/>
                <w:szCs w:val="21"/>
              </w:rPr>
            </w:pPr>
            <w:r>
              <w:rPr>
                <w:color w:val="auto"/>
                <w:szCs w:val="21"/>
              </w:rPr>
              <w:t>自查项目</w:t>
            </w:r>
          </w:p>
        </w:tc>
      </w:tr>
      <w:tr w14:paraId="566D583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gridSpan w:val="2"/>
            <w:vMerge w:val="restart"/>
            <w:vAlign w:val="center"/>
          </w:tcPr>
          <w:p w14:paraId="38406F6C">
            <w:pPr>
              <w:jc w:val="center"/>
              <w:rPr>
                <w:color w:val="auto"/>
                <w:szCs w:val="21"/>
              </w:rPr>
            </w:pPr>
            <w:r>
              <w:rPr>
                <w:color w:val="auto"/>
                <w:szCs w:val="21"/>
              </w:rPr>
              <w:t>影响识别</w:t>
            </w:r>
          </w:p>
        </w:tc>
        <w:tc>
          <w:tcPr>
            <w:tcW w:w="1417" w:type="dxa"/>
            <w:vAlign w:val="center"/>
          </w:tcPr>
          <w:p w14:paraId="66A8806D">
            <w:pPr>
              <w:jc w:val="center"/>
              <w:rPr>
                <w:color w:val="auto"/>
                <w:szCs w:val="21"/>
              </w:rPr>
            </w:pPr>
            <w:r>
              <w:rPr>
                <w:color w:val="auto"/>
                <w:szCs w:val="21"/>
              </w:rPr>
              <w:t>影响类型</w:t>
            </w:r>
          </w:p>
        </w:tc>
        <w:tc>
          <w:tcPr>
            <w:tcW w:w="6769" w:type="dxa"/>
            <w:gridSpan w:val="6"/>
            <w:vAlign w:val="center"/>
          </w:tcPr>
          <w:p w14:paraId="4B3F8FB4">
            <w:pPr>
              <w:jc w:val="center"/>
              <w:rPr>
                <w:color w:val="auto"/>
                <w:szCs w:val="21"/>
              </w:rPr>
            </w:pPr>
            <w:r>
              <w:rPr>
                <w:color w:val="auto"/>
                <w:szCs w:val="21"/>
              </w:rPr>
              <w:t>水污染影响型☑；水文要素影响型□</w:t>
            </w:r>
          </w:p>
        </w:tc>
      </w:tr>
      <w:tr w14:paraId="5FEEBF1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gridSpan w:val="2"/>
            <w:vMerge w:val="continue"/>
            <w:vAlign w:val="center"/>
          </w:tcPr>
          <w:p w14:paraId="22B1A3D2">
            <w:pPr>
              <w:widowControl/>
              <w:jc w:val="left"/>
              <w:rPr>
                <w:color w:val="auto"/>
                <w:szCs w:val="21"/>
              </w:rPr>
            </w:pPr>
          </w:p>
        </w:tc>
        <w:tc>
          <w:tcPr>
            <w:tcW w:w="1417" w:type="dxa"/>
            <w:vAlign w:val="center"/>
          </w:tcPr>
          <w:p w14:paraId="06B094D3">
            <w:pPr>
              <w:jc w:val="center"/>
              <w:rPr>
                <w:color w:val="auto"/>
                <w:szCs w:val="21"/>
              </w:rPr>
            </w:pPr>
            <w:r>
              <w:rPr>
                <w:color w:val="auto"/>
                <w:szCs w:val="21"/>
              </w:rPr>
              <w:t>水环境保护目标</w:t>
            </w:r>
          </w:p>
        </w:tc>
        <w:tc>
          <w:tcPr>
            <w:tcW w:w="6769" w:type="dxa"/>
            <w:gridSpan w:val="6"/>
            <w:vAlign w:val="center"/>
          </w:tcPr>
          <w:p w14:paraId="5A2147CB">
            <w:pPr>
              <w:rPr>
                <w:color w:val="auto"/>
                <w:szCs w:val="21"/>
              </w:rPr>
            </w:pPr>
            <w:r>
              <w:rPr>
                <w:color w:val="auto"/>
                <w:szCs w:val="21"/>
              </w:rPr>
              <w:t>饮用水水源保护区□；饮用水取水口□；涉水的自然保护区□；涉水的风景名胜区□；重要湿地□；重点保护与珍稀水生生物的栖息地□；重要水生生物的自然产卵场及索饵场、越冬场和洄游通道□；天然渔场等渔业水体□；水产种质资源保护区□；其他</w:t>
            </w:r>
            <w:r>
              <w:rPr>
                <w:rFonts w:hint="eastAsia"/>
                <w:color w:val="auto"/>
                <w:szCs w:val="21"/>
              </w:rPr>
              <w:t>□</w:t>
            </w:r>
          </w:p>
        </w:tc>
      </w:tr>
      <w:tr w14:paraId="2D1B80A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gridSpan w:val="2"/>
            <w:vMerge w:val="continue"/>
            <w:vAlign w:val="center"/>
          </w:tcPr>
          <w:p w14:paraId="09AD9881">
            <w:pPr>
              <w:widowControl/>
              <w:jc w:val="left"/>
              <w:rPr>
                <w:color w:val="auto"/>
                <w:szCs w:val="21"/>
              </w:rPr>
            </w:pPr>
          </w:p>
        </w:tc>
        <w:tc>
          <w:tcPr>
            <w:tcW w:w="1417" w:type="dxa"/>
            <w:vMerge w:val="restart"/>
            <w:vAlign w:val="center"/>
          </w:tcPr>
          <w:p w14:paraId="58521420">
            <w:pPr>
              <w:jc w:val="center"/>
              <w:rPr>
                <w:color w:val="auto"/>
                <w:szCs w:val="21"/>
              </w:rPr>
            </w:pPr>
            <w:r>
              <w:rPr>
                <w:color w:val="auto"/>
                <w:szCs w:val="21"/>
              </w:rPr>
              <w:t>影响途径</w:t>
            </w:r>
          </w:p>
        </w:tc>
        <w:tc>
          <w:tcPr>
            <w:tcW w:w="3969" w:type="dxa"/>
            <w:gridSpan w:val="3"/>
            <w:vAlign w:val="center"/>
          </w:tcPr>
          <w:p w14:paraId="1BE7343C">
            <w:pPr>
              <w:jc w:val="center"/>
              <w:rPr>
                <w:color w:val="auto"/>
                <w:szCs w:val="21"/>
              </w:rPr>
            </w:pPr>
            <w:r>
              <w:rPr>
                <w:color w:val="auto"/>
                <w:szCs w:val="21"/>
              </w:rPr>
              <w:t>水污染影响型</w:t>
            </w:r>
          </w:p>
        </w:tc>
        <w:tc>
          <w:tcPr>
            <w:tcW w:w="2800" w:type="dxa"/>
            <w:gridSpan w:val="3"/>
            <w:vAlign w:val="center"/>
          </w:tcPr>
          <w:p w14:paraId="0579D8A7">
            <w:pPr>
              <w:jc w:val="center"/>
              <w:rPr>
                <w:color w:val="auto"/>
                <w:szCs w:val="21"/>
              </w:rPr>
            </w:pPr>
            <w:r>
              <w:rPr>
                <w:color w:val="auto"/>
                <w:szCs w:val="21"/>
              </w:rPr>
              <w:t>水文要素影响型</w:t>
            </w:r>
          </w:p>
        </w:tc>
      </w:tr>
      <w:tr w14:paraId="2F25CA9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gridSpan w:val="2"/>
            <w:vMerge w:val="continue"/>
            <w:vAlign w:val="center"/>
          </w:tcPr>
          <w:p w14:paraId="4E781685">
            <w:pPr>
              <w:widowControl/>
              <w:jc w:val="left"/>
              <w:rPr>
                <w:color w:val="auto"/>
                <w:szCs w:val="21"/>
              </w:rPr>
            </w:pPr>
          </w:p>
        </w:tc>
        <w:tc>
          <w:tcPr>
            <w:tcW w:w="1417" w:type="dxa"/>
            <w:vMerge w:val="continue"/>
            <w:vAlign w:val="center"/>
          </w:tcPr>
          <w:p w14:paraId="12F276E3">
            <w:pPr>
              <w:widowControl/>
              <w:jc w:val="left"/>
              <w:rPr>
                <w:color w:val="auto"/>
                <w:szCs w:val="21"/>
              </w:rPr>
            </w:pPr>
          </w:p>
        </w:tc>
        <w:tc>
          <w:tcPr>
            <w:tcW w:w="3969" w:type="dxa"/>
            <w:gridSpan w:val="3"/>
            <w:vAlign w:val="center"/>
          </w:tcPr>
          <w:p w14:paraId="27547969">
            <w:pPr>
              <w:jc w:val="center"/>
              <w:rPr>
                <w:color w:val="auto"/>
                <w:szCs w:val="21"/>
              </w:rPr>
            </w:pPr>
            <w:r>
              <w:rPr>
                <w:color w:val="auto"/>
              </w:rPr>
              <w:t>直接排放□；间接排放□；其他☑</w:t>
            </w:r>
          </w:p>
        </w:tc>
        <w:tc>
          <w:tcPr>
            <w:tcW w:w="2800" w:type="dxa"/>
            <w:gridSpan w:val="3"/>
            <w:vAlign w:val="center"/>
          </w:tcPr>
          <w:p w14:paraId="4EBA5A11">
            <w:pPr>
              <w:jc w:val="center"/>
              <w:rPr>
                <w:color w:val="auto"/>
                <w:szCs w:val="21"/>
              </w:rPr>
            </w:pPr>
            <w:r>
              <w:rPr>
                <w:color w:val="auto"/>
              </w:rPr>
              <w:t>水温□；径流□；水域面积□</w:t>
            </w:r>
          </w:p>
        </w:tc>
      </w:tr>
      <w:tr w14:paraId="1CB3D0B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4" w:type="dxa"/>
            <w:gridSpan w:val="2"/>
            <w:vMerge w:val="continue"/>
            <w:vAlign w:val="center"/>
          </w:tcPr>
          <w:p w14:paraId="5AFBDF52">
            <w:pPr>
              <w:widowControl/>
              <w:jc w:val="left"/>
              <w:rPr>
                <w:color w:val="auto"/>
                <w:szCs w:val="21"/>
              </w:rPr>
            </w:pPr>
          </w:p>
        </w:tc>
        <w:tc>
          <w:tcPr>
            <w:tcW w:w="1417" w:type="dxa"/>
            <w:vAlign w:val="center"/>
          </w:tcPr>
          <w:p w14:paraId="700736F1">
            <w:pPr>
              <w:jc w:val="center"/>
              <w:rPr>
                <w:color w:val="auto"/>
                <w:szCs w:val="21"/>
              </w:rPr>
            </w:pPr>
            <w:r>
              <w:rPr>
                <w:color w:val="auto"/>
                <w:szCs w:val="21"/>
              </w:rPr>
              <w:t>影响因子</w:t>
            </w:r>
          </w:p>
        </w:tc>
        <w:tc>
          <w:tcPr>
            <w:tcW w:w="3969" w:type="dxa"/>
            <w:gridSpan w:val="3"/>
            <w:vAlign w:val="center"/>
          </w:tcPr>
          <w:p w14:paraId="1D84B0B8">
            <w:pPr>
              <w:jc w:val="center"/>
              <w:rPr>
                <w:color w:val="auto"/>
              </w:rPr>
            </w:pPr>
            <w:r>
              <w:rPr>
                <w:color w:val="auto"/>
              </w:rPr>
              <w:t>持久性污染物□；有毒有害污染物□；非持久性污染物□；</w:t>
            </w:r>
          </w:p>
          <w:p w14:paraId="41C59043">
            <w:pPr>
              <w:jc w:val="center"/>
              <w:rPr>
                <w:color w:val="auto"/>
                <w:szCs w:val="21"/>
              </w:rPr>
            </w:pPr>
            <w:r>
              <w:rPr>
                <w:color w:val="auto"/>
              </w:rPr>
              <w:t>pH值□；热污染□；富营养化□；其他□</w:t>
            </w:r>
          </w:p>
        </w:tc>
        <w:tc>
          <w:tcPr>
            <w:tcW w:w="2800" w:type="dxa"/>
            <w:gridSpan w:val="3"/>
            <w:vAlign w:val="center"/>
          </w:tcPr>
          <w:p w14:paraId="07C38C9A">
            <w:pPr>
              <w:jc w:val="center"/>
              <w:rPr>
                <w:color w:val="auto"/>
                <w:szCs w:val="21"/>
              </w:rPr>
            </w:pPr>
            <w:r>
              <w:rPr>
                <w:color w:val="auto"/>
              </w:rPr>
              <w:t>水温□；水位（水深）□；流速□；流量□；其他□</w:t>
            </w:r>
          </w:p>
        </w:tc>
      </w:tr>
      <w:tr w14:paraId="747307F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1" w:type="dxa"/>
            <w:gridSpan w:val="3"/>
            <w:vMerge w:val="restart"/>
            <w:vAlign w:val="center"/>
          </w:tcPr>
          <w:p w14:paraId="4F42DBAC">
            <w:pPr>
              <w:jc w:val="center"/>
              <w:rPr>
                <w:color w:val="auto"/>
                <w:szCs w:val="21"/>
              </w:rPr>
            </w:pPr>
            <w:r>
              <w:rPr>
                <w:color w:val="auto"/>
                <w:szCs w:val="21"/>
              </w:rPr>
              <w:t>评价等级</w:t>
            </w:r>
          </w:p>
        </w:tc>
        <w:tc>
          <w:tcPr>
            <w:tcW w:w="3969" w:type="dxa"/>
            <w:gridSpan w:val="3"/>
            <w:vAlign w:val="center"/>
          </w:tcPr>
          <w:p w14:paraId="743CA4CC">
            <w:pPr>
              <w:jc w:val="center"/>
              <w:rPr>
                <w:color w:val="auto"/>
                <w:szCs w:val="21"/>
              </w:rPr>
            </w:pPr>
            <w:r>
              <w:rPr>
                <w:color w:val="auto"/>
                <w:szCs w:val="21"/>
              </w:rPr>
              <w:t>水污染影响型</w:t>
            </w:r>
          </w:p>
        </w:tc>
        <w:tc>
          <w:tcPr>
            <w:tcW w:w="2800" w:type="dxa"/>
            <w:gridSpan w:val="3"/>
            <w:vAlign w:val="center"/>
          </w:tcPr>
          <w:p w14:paraId="22BD3A1C">
            <w:pPr>
              <w:jc w:val="center"/>
              <w:rPr>
                <w:color w:val="auto"/>
                <w:szCs w:val="21"/>
              </w:rPr>
            </w:pPr>
            <w:r>
              <w:rPr>
                <w:color w:val="auto"/>
                <w:szCs w:val="21"/>
              </w:rPr>
              <w:t>水文要素影响型</w:t>
            </w:r>
          </w:p>
        </w:tc>
      </w:tr>
      <w:tr w14:paraId="0A36025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1" w:type="dxa"/>
            <w:gridSpan w:val="3"/>
            <w:vMerge w:val="continue"/>
            <w:vAlign w:val="center"/>
          </w:tcPr>
          <w:p w14:paraId="7A7735EC">
            <w:pPr>
              <w:widowControl/>
              <w:jc w:val="left"/>
              <w:rPr>
                <w:color w:val="auto"/>
                <w:szCs w:val="21"/>
              </w:rPr>
            </w:pPr>
          </w:p>
        </w:tc>
        <w:tc>
          <w:tcPr>
            <w:tcW w:w="3969" w:type="dxa"/>
            <w:gridSpan w:val="3"/>
            <w:vAlign w:val="center"/>
          </w:tcPr>
          <w:p w14:paraId="4412EB97">
            <w:pPr>
              <w:jc w:val="center"/>
              <w:rPr>
                <w:color w:val="auto"/>
                <w:szCs w:val="21"/>
              </w:rPr>
            </w:pPr>
            <w:r>
              <w:rPr>
                <w:color w:val="auto"/>
              </w:rPr>
              <w:t>一级□；二级□；三级A□；三级B☑</w:t>
            </w:r>
          </w:p>
        </w:tc>
        <w:tc>
          <w:tcPr>
            <w:tcW w:w="2800" w:type="dxa"/>
            <w:gridSpan w:val="3"/>
            <w:vAlign w:val="center"/>
          </w:tcPr>
          <w:p w14:paraId="79922052">
            <w:pPr>
              <w:jc w:val="center"/>
              <w:rPr>
                <w:color w:val="auto"/>
                <w:szCs w:val="21"/>
              </w:rPr>
            </w:pPr>
            <w:r>
              <w:rPr>
                <w:color w:val="auto"/>
              </w:rPr>
              <w:t>一级□；二级□；三级□</w:t>
            </w:r>
          </w:p>
        </w:tc>
      </w:tr>
      <w:tr w14:paraId="42FB67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restart"/>
            <w:vAlign w:val="center"/>
          </w:tcPr>
          <w:p w14:paraId="69BB72A0">
            <w:pPr>
              <w:jc w:val="center"/>
              <w:rPr>
                <w:color w:val="auto"/>
                <w:szCs w:val="21"/>
              </w:rPr>
            </w:pPr>
            <w:r>
              <w:rPr>
                <w:color w:val="auto"/>
                <w:szCs w:val="21"/>
              </w:rPr>
              <w:t>现状调查</w:t>
            </w:r>
          </w:p>
        </w:tc>
        <w:tc>
          <w:tcPr>
            <w:tcW w:w="1559" w:type="dxa"/>
            <w:gridSpan w:val="2"/>
            <w:vMerge w:val="restart"/>
            <w:vAlign w:val="center"/>
          </w:tcPr>
          <w:p w14:paraId="670B48A9">
            <w:pPr>
              <w:jc w:val="center"/>
              <w:rPr>
                <w:color w:val="auto"/>
                <w:szCs w:val="21"/>
              </w:rPr>
            </w:pPr>
            <w:r>
              <w:rPr>
                <w:color w:val="auto"/>
                <w:szCs w:val="21"/>
              </w:rPr>
              <w:t>区域污染源</w:t>
            </w:r>
          </w:p>
        </w:tc>
        <w:tc>
          <w:tcPr>
            <w:tcW w:w="3969" w:type="dxa"/>
            <w:gridSpan w:val="3"/>
            <w:vAlign w:val="center"/>
          </w:tcPr>
          <w:p w14:paraId="2A4F8A6B">
            <w:pPr>
              <w:jc w:val="center"/>
              <w:rPr>
                <w:color w:val="auto"/>
                <w:szCs w:val="21"/>
              </w:rPr>
            </w:pPr>
            <w:r>
              <w:rPr>
                <w:color w:val="auto"/>
                <w:szCs w:val="21"/>
              </w:rPr>
              <w:t>调查项目</w:t>
            </w:r>
          </w:p>
        </w:tc>
        <w:tc>
          <w:tcPr>
            <w:tcW w:w="2800" w:type="dxa"/>
            <w:gridSpan w:val="3"/>
            <w:vAlign w:val="center"/>
          </w:tcPr>
          <w:p w14:paraId="0CFD7A7B">
            <w:pPr>
              <w:jc w:val="center"/>
              <w:rPr>
                <w:color w:val="auto"/>
                <w:szCs w:val="21"/>
              </w:rPr>
            </w:pPr>
            <w:r>
              <w:rPr>
                <w:color w:val="auto"/>
                <w:szCs w:val="21"/>
              </w:rPr>
              <w:t>数据来源</w:t>
            </w:r>
          </w:p>
        </w:tc>
      </w:tr>
      <w:tr w14:paraId="597E086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7D1879AB">
            <w:pPr>
              <w:widowControl/>
              <w:jc w:val="left"/>
              <w:rPr>
                <w:color w:val="auto"/>
                <w:szCs w:val="21"/>
              </w:rPr>
            </w:pPr>
          </w:p>
        </w:tc>
        <w:tc>
          <w:tcPr>
            <w:tcW w:w="1559" w:type="dxa"/>
            <w:gridSpan w:val="2"/>
            <w:vMerge w:val="continue"/>
            <w:vAlign w:val="center"/>
          </w:tcPr>
          <w:p w14:paraId="77DEA6C8">
            <w:pPr>
              <w:widowControl/>
              <w:jc w:val="left"/>
              <w:rPr>
                <w:color w:val="auto"/>
                <w:szCs w:val="21"/>
              </w:rPr>
            </w:pPr>
          </w:p>
        </w:tc>
        <w:tc>
          <w:tcPr>
            <w:tcW w:w="3030" w:type="dxa"/>
            <w:gridSpan w:val="2"/>
            <w:vAlign w:val="center"/>
          </w:tcPr>
          <w:p w14:paraId="084AE005">
            <w:pPr>
              <w:jc w:val="center"/>
              <w:rPr>
                <w:color w:val="auto"/>
              </w:rPr>
            </w:pPr>
            <w:r>
              <w:rPr>
                <w:color w:val="auto"/>
              </w:rPr>
              <w:t>已建□；在建□；拟建□；</w:t>
            </w:r>
          </w:p>
          <w:p w14:paraId="2F1B9D1E">
            <w:pPr>
              <w:jc w:val="center"/>
              <w:rPr>
                <w:color w:val="auto"/>
                <w:szCs w:val="21"/>
              </w:rPr>
            </w:pPr>
            <w:r>
              <w:rPr>
                <w:color w:val="auto"/>
              </w:rPr>
              <w:t>其他□</w:t>
            </w:r>
          </w:p>
        </w:tc>
        <w:tc>
          <w:tcPr>
            <w:tcW w:w="939" w:type="dxa"/>
            <w:vAlign w:val="center"/>
          </w:tcPr>
          <w:p w14:paraId="129B8113">
            <w:pPr>
              <w:jc w:val="center"/>
              <w:rPr>
                <w:color w:val="auto"/>
                <w:szCs w:val="21"/>
              </w:rPr>
            </w:pPr>
            <w:r>
              <w:rPr>
                <w:color w:val="auto"/>
                <w:szCs w:val="21"/>
              </w:rPr>
              <w:t>拟替代的污染源□</w:t>
            </w:r>
          </w:p>
        </w:tc>
        <w:tc>
          <w:tcPr>
            <w:tcW w:w="2800" w:type="dxa"/>
            <w:gridSpan w:val="3"/>
            <w:vAlign w:val="center"/>
          </w:tcPr>
          <w:p w14:paraId="48723572">
            <w:pPr>
              <w:jc w:val="center"/>
              <w:rPr>
                <w:color w:val="auto"/>
                <w:szCs w:val="21"/>
              </w:rPr>
            </w:pPr>
            <w:r>
              <w:rPr>
                <w:color w:val="auto"/>
              </w:rPr>
              <w:t>排污许可证□；环评□；环保验收□；既有实测□；现场监测□；入河排放口数据□；其他□</w:t>
            </w:r>
          </w:p>
        </w:tc>
      </w:tr>
      <w:tr w14:paraId="39133F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45423E5F">
            <w:pPr>
              <w:widowControl/>
              <w:jc w:val="left"/>
              <w:rPr>
                <w:color w:val="auto"/>
                <w:szCs w:val="21"/>
              </w:rPr>
            </w:pPr>
          </w:p>
        </w:tc>
        <w:tc>
          <w:tcPr>
            <w:tcW w:w="1559" w:type="dxa"/>
            <w:gridSpan w:val="2"/>
            <w:vMerge w:val="restart"/>
            <w:vAlign w:val="center"/>
          </w:tcPr>
          <w:p w14:paraId="58F4E12A">
            <w:pPr>
              <w:jc w:val="center"/>
              <w:rPr>
                <w:color w:val="auto"/>
                <w:szCs w:val="21"/>
              </w:rPr>
            </w:pPr>
            <w:r>
              <w:rPr>
                <w:color w:val="auto"/>
                <w:szCs w:val="21"/>
              </w:rPr>
              <w:t>受影响水体水环境质量</w:t>
            </w:r>
          </w:p>
        </w:tc>
        <w:tc>
          <w:tcPr>
            <w:tcW w:w="3969" w:type="dxa"/>
            <w:gridSpan w:val="3"/>
            <w:vAlign w:val="center"/>
          </w:tcPr>
          <w:p w14:paraId="2ACC86E2">
            <w:pPr>
              <w:jc w:val="center"/>
              <w:rPr>
                <w:color w:val="auto"/>
                <w:szCs w:val="21"/>
              </w:rPr>
            </w:pPr>
            <w:r>
              <w:rPr>
                <w:color w:val="auto"/>
                <w:szCs w:val="21"/>
              </w:rPr>
              <w:t>调查时期</w:t>
            </w:r>
          </w:p>
        </w:tc>
        <w:tc>
          <w:tcPr>
            <w:tcW w:w="2800" w:type="dxa"/>
            <w:gridSpan w:val="3"/>
            <w:vAlign w:val="center"/>
          </w:tcPr>
          <w:p w14:paraId="142B6915">
            <w:pPr>
              <w:jc w:val="center"/>
              <w:rPr>
                <w:color w:val="auto"/>
                <w:szCs w:val="21"/>
              </w:rPr>
            </w:pPr>
            <w:r>
              <w:rPr>
                <w:color w:val="auto"/>
                <w:szCs w:val="21"/>
              </w:rPr>
              <w:t>数据来源</w:t>
            </w:r>
          </w:p>
        </w:tc>
      </w:tr>
      <w:tr w14:paraId="30492F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1C667847">
            <w:pPr>
              <w:widowControl/>
              <w:jc w:val="left"/>
              <w:rPr>
                <w:color w:val="auto"/>
                <w:szCs w:val="21"/>
              </w:rPr>
            </w:pPr>
          </w:p>
        </w:tc>
        <w:tc>
          <w:tcPr>
            <w:tcW w:w="1559" w:type="dxa"/>
            <w:gridSpan w:val="2"/>
            <w:vMerge w:val="continue"/>
            <w:vAlign w:val="center"/>
          </w:tcPr>
          <w:p w14:paraId="137C59D1">
            <w:pPr>
              <w:widowControl/>
              <w:jc w:val="left"/>
              <w:rPr>
                <w:color w:val="auto"/>
                <w:szCs w:val="21"/>
              </w:rPr>
            </w:pPr>
          </w:p>
        </w:tc>
        <w:tc>
          <w:tcPr>
            <w:tcW w:w="3969" w:type="dxa"/>
            <w:gridSpan w:val="3"/>
            <w:vAlign w:val="center"/>
          </w:tcPr>
          <w:p w14:paraId="4EFFA11E">
            <w:pPr>
              <w:jc w:val="center"/>
              <w:rPr>
                <w:color w:val="auto"/>
                <w:szCs w:val="21"/>
              </w:rPr>
            </w:pPr>
            <w:r>
              <w:rPr>
                <w:color w:val="auto"/>
              </w:rPr>
              <w:t>丰水期□；平水期□；枯水期□；冰封期□春季□；夏季□；秋季□；冬季□</w:t>
            </w:r>
          </w:p>
        </w:tc>
        <w:tc>
          <w:tcPr>
            <w:tcW w:w="2800" w:type="dxa"/>
            <w:gridSpan w:val="3"/>
            <w:vAlign w:val="center"/>
          </w:tcPr>
          <w:p w14:paraId="3A2F677B">
            <w:pPr>
              <w:jc w:val="center"/>
              <w:rPr>
                <w:color w:val="auto"/>
                <w:szCs w:val="21"/>
              </w:rPr>
            </w:pPr>
            <w:r>
              <w:rPr>
                <w:color w:val="auto"/>
              </w:rPr>
              <w:t>生态环境保护主管部门□；补充监测□；其他□</w:t>
            </w:r>
          </w:p>
        </w:tc>
      </w:tr>
      <w:tr w14:paraId="6F6FF83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23CF64C3">
            <w:pPr>
              <w:widowControl/>
              <w:jc w:val="left"/>
              <w:rPr>
                <w:color w:val="auto"/>
                <w:szCs w:val="21"/>
              </w:rPr>
            </w:pPr>
          </w:p>
        </w:tc>
        <w:tc>
          <w:tcPr>
            <w:tcW w:w="1559" w:type="dxa"/>
            <w:gridSpan w:val="2"/>
            <w:vAlign w:val="center"/>
          </w:tcPr>
          <w:p w14:paraId="4131BFA0">
            <w:pPr>
              <w:jc w:val="center"/>
              <w:rPr>
                <w:color w:val="auto"/>
                <w:szCs w:val="21"/>
              </w:rPr>
            </w:pPr>
            <w:r>
              <w:rPr>
                <w:color w:val="auto"/>
                <w:szCs w:val="21"/>
              </w:rPr>
              <w:t>区域水资源开发利用状况</w:t>
            </w:r>
          </w:p>
        </w:tc>
        <w:tc>
          <w:tcPr>
            <w:tcW w:w="6769" w:type="dxa"/>
            <w:gridSpan w:val="6"/>
            <w:vAlign w:val="center"/>
          </w:tcPr>
          <w:p w14:paraId="1CC05917">
            <w:pPr>
              <w:jc w:val="center"/>
              <w:rPr>
                <w:color w:val="auto"/>
                <w:szCs w:val="21"/>
              </w:rPr>
            </w:pPr>
            <w:r>
              <w:rPr>
                <w:color w:val="auto"/>
              </w:rPr>
              <w:t>未开发□；开发量40%以下□；开发量40%以上□</w:t>
            </w:r>
          </w:p>
        </w:tc>
      </w:tr>
      <w:tr w14:paraId="151AF3C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3F2386A5">
            <w:pPr>
              <w:widowControl/>
              <w:jc w:val="left"/>
              <w:rPr>
                <w:color w:val="auto"/>
                <w:szCs w:val="21"/>
              </w:rPr>
            </w:pPr>
          </w:p>
        </w:tc>
        <w:tc>
          <w:tcPr>
            <w:tcW w:w="1559" w:type="dxa"/>
            <w:gridSpan w:val="2"/>
            <w:vMerge w:val="restart"/>
            <w:vAlign w:val="center"/>
          </w:tcPr>
          <w:p w14:paraId="5008E642">
            <w:pPr>
              <w:jc w:val="center"/>
              <w:rPr>
                <w:color w:val="auto"/>
                <w:szCs w:val="21"/>
              </w:rPr>
            </w:pPr>
            <w:r>
              <w:rPr>
                <w:color w:val="auto"/>
                <w:szCs w:val="21"/>
              </w:rPr>
              <w:t>水文情势调查</w:t>
            </w:r>
          </w:p>
        </w:tc>
        <w:tc>
          <w:tcPr>
            <w:tcW w:w="4276" w:type="dxa"/>
            <w:gridSpan w:val="4"/>
            <w:vAlign w:val="center"/>
          </w:tcPr>
          <w:p w14:paraId="070F68E1">
            <w:pPr>
              <w:jc w:val="center"/>
              <w:rPr>
                <w:color w:val="auto"/>
                <w:szCs w:val="21"/>
              </w:rPr>
            </w:pPr>
            <w:r>
              <w:rPr>
                <w:color w:val="auto"/>
                <w:szCs w:val="21"/>
              </w:rPr>
              <w:t>调查时期</w:t>
            </w:r>
          </w:p>
        </w:tc>
        <w:tc>
          <w:tcPr>
            <w:tcW w:w="2493" w:type="dxa"/>
            <w:gridSpan w:val="2"/>
            <w:vAlign w:val="center"/>
          </w:tcPr>
          <w:p w14:paraId="2E75B494">
            <w:pPr>
              <w:jc w:val="center"/>
              <w:rPr>
                <w:color w:val="auto"/>
                <w:szCs w:val="21"/>
              </w:rPr>
            </w:pPr>
            <w:r>
              <w:rPr>
                <w:color w:val="auto"/>
                <w:szCs w:val="21"/>
              </w:rPr>
              <w:t>数据来源</w:t>
            </w:r>
          </w:p>
        </w:tc>
      </w:tr>
      <w:tr w14:paraId="6476A13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58793645">
            <w:pPr>
              <w:widowControl/>
              <w:jc w:val="left"/>
              <w:rPr>
                <w:color w:val="auto"/>
                <w:szCs w:val="21"/>
              </w:rPr>
            </w:pPr>
          </w:p>
        </w:tc>
        <w:tc>
          <w:tcPr>
            <w:tcW w:w="1559" w:type="dxa"/>
            <w:gridSpan w:val="2"/>
            <w:vMerge w:val="continue"/>
            <w:vAlign w:val="center"/>
          </w:tcPr>
          <w:p w14:paraId="59B00841">
            <w:pPr>
              <w:widowControl/>
              <w:jc w:val="left"/>
              <w:rPr>
                <w:color w:val="auto"/>
                <w:szCs w:val="21"/>
              </w:rPr>
            </w:pPr>
          </w:p>
        </w:tc>
        <w:tc>
          <w:tcPr>
            <w:tcW w:w="4276" w:type="dxa"/>
            <w:gridSpan w:val="4"/>
            <w:vAlign w:val="center"/>
          </w:tcPr>
          <w:p w14:paraId="05593F38">
            <w:pPr>
              <w:jc w:val="center"/>
              <w:rPr>
                <w:color w:val="auto"/>
                <w:szCs w:val="21"/>
              </w:rPr>
            </w:pPr>
            <w:r>
              <w:rPr>
                <w:color w:val="auto"/>
              </w:rPr>
              <w:t>丰水期□；平水期□；枯水期□；冰封期□春季□；夏季□；秋季□；冬季□</w:t>
            </w:r>
          </w:p>
        </w:tc>
        <w:tc>
          <w:tcPr>
            <w:tcW w:w="2493" w:type="dxa"/>
            <w:gridSpan w:val="2"/>
            <w:vAlign w:val="center"/>
          </w:tcPr>
          <w:p w14:paraId="0D1CD1C3">
            <w:pPr>
              <w:jc w:val="center"/>
              <w:rPr>
                <w:color w:val="auto"/>
                <w:szCs w:val="21"/>
              </w:rPr>
            </w:pPr>
            <w:r>
              <w:rPr>
                <w:color w:val="auto"/>
              </w:rPr>
              <w:t>水行政主管部门□；补充监测□；其他□</w:t>
            </w:r>
          </w:p>
        </w:tc>
      </w:tr>
      <w:tr w14:paraId="715F8C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4DC20C54">
            <w:pPr>
              <w:widowControl/>
              <w:jc w:val="left"/>
              <w:rPr>
                <w:color w:val="auto"/>
                <w:szCs w:val="21"/>
              </w:rPr>
            </w:pPr>
          </w:p>
        </w:tc>
        <w:tc>
          <w:tcPr>
            <w:tcW w:w="1559" w:type="dxa"/>
            <w:gridSpan w:val="2"/>
            <w:vMerge w:val="restart"/>
            <w:vAlign w:val="center"/>
          </w:tcPr>
          <w:p w14:paraId="754DF94A">
            <w:pPr>
              <w:jc w:val="center"/>
              <w:rPr>
                <w:color w:val="auto"/>
                <w:szCs w:val="21"/>
              </w:rPr>
            </w:pPr>
            <w:r>
              <w:rPr>
                <w:color w:val="auto"/>
                <w:szCs w:val="21"/>
              </w:rPr>
              <w:t>补充监测</w:t>
            </w:r>
          </w:p>
        </w:tc>
        <w:tc>
          <w:tcPr>
            <w:tcW w:w="3030" w:type="dxa"/>
            <w:gridSpan w:val="2"/>
            <w:vAlign w:val="center"/>
          </w:tcPr>
          <w:p w14:paraId="303C5F8A">
            <w:pPr>
              <w:jc w:val="center"/>
              <w:rPr>
                <w:color w:val="auto"/>
                <w:szCs w:val="21"/>
              </w:rPr>
            </w:pPr>
            <w:r>
              <w:rPr>
                <w:color w:val="auto"/>
                <w:szCs w:val="21"/>
              </w:rPr>
              <w:t>监测时期</w:t>
            </w:r>
          </w:p>
        </w:tc>
        <w:tc>
          <w:tcPr>
            <w:tcW w:w="2493" w:type="dxa"/>
            <w:gridSpan w:val="3"/>
            <w:vAlign w:val="center"/>
          </w:tcPr>
          <w:p w14:paraId="177F9BC3">
            <w:pPr>
              <w:jc w:val="center"/>
              <w:rPr>
                <w:color w:val="auto"/>
                <w:szCs w:val="21"/>
              </w:rPr>
            </w:pPr>
            <w:r>
              <w:rPr>
                <w:color w:val="auto"/>
                <w:szCs w:val="21"/>
              </w:rPr>
              <w:t>监测因子</w:t>
            </w:r>
          </w:p>
        </w:tc>
        <w:tc>
          <w:tcPr>
            <w:tcW w:w="1246" w:type="dxa"/>
            <w:vAlign w:val="center"/>
          </w:tcPr>
          <w:p w14:paraId="0F513A06">
            <w:pPr>
              <w:jc w:val="center"/>
              <w:rPr>
                <w:color w:val="auto"/>
                <w:szCs w:val="21"/>
              </w:rPr>
            </w:pPr>
            <w:r>
              <w:rPr>
                <w:color w:val="auto"/>
                <w:szCs w:val="21"/>
              </w:rPr>
              <w:t>监测断面或点位</w:t>
            </w:r>
          </w:p>
        </w:tc>
      </w:tr>
      <w:tr w14:paraId="0EA59DF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3F01008A">
            <w:pPr>
              <w:widowControl/>
              <w:jc w:val="left"/>
              <w:rPr>
                <w:color w:val="auto"/>
                <w:szCs w:val="21"/>
              </w:rPr>
            </w:pPr>
          </w:p>
        </w:tc>
        <w:tc>
          <w:tcPr>
            <w:tcW w:w="1559" w:type="dxa"/>
            <w:gridSpan w:val="2"/>
            <w:vMerge w:val="continue"/>
            <w:vAlign w:val="center"/>
          </w:tcPr>
          <w:p w14:paraId="5D8CE5CE">
            <w:pPr>
              <w:widowControl/>
              <w:jc w:val="left"/>
              <w:rPr>
                <w:color w:val="auto"/>
                <w:szCs w:val="21"/>
              </w:rPr>
            </w:pPr>
          </w:p>
        </w:tc>
        <w:tc>
          <w:tcPr>
            <w:tcW w:w="3030" w:type="dxa"/>
            <w:gridSpan w:val="2"/>
            <w:vAlign w:val="center"/>
          </w:tcPr>
          <w:p w14:paraId="74FBCC9D">
            <w:pPr>
              <w:jc w:val="center"/>
              <w:rPr>
                <w:color w:val="auto"/>
                <w:szCs w:val="21"/>
              </w:rPr>
            </w:pPr>
            <w:r>
              <w:rPr>
                <w:color w:val="auto"/>
              </w:rPr>
              <w:t>丰水期□；平水期□；枯水期□；冰封期□春季□；夏季□；秋季□；冬季□</w:t>
            </w:r>
          </w:p>
        </w:tc>
        <w:tc>
          <w:tcPr>
            <w:tcW w:w="2493" w:type="dxa"/>
            <w:gridSpan w:val="3"/>
            <w:vAlign w:val="center"/>
          </w:tcPr>
          <w:p w14:paraId="039E80F8">
            <w:pPr>
              <w:jc w:val="center"/>
              <w:rPr>
                <w:color w:val="auto"/>
                <w:szCs w:val="21"/>
              </w:rPr>
            </w:pPr>
            <w:r>
              <w:rPr>
                <w:color w:val="auto"/>
                <w:szCs w:val="21"/>
              </w:rPr>
              <w:t>（）</w:t>
            </w:r>
          </w:p>
        </w:tc>
        <w:tc>
          <w:tcPr>
            <w:tcW w:w="1246" w:type="dxa"/>
            <w:vAlign w:val="center"/>
          </w:tcPr>
          <w:p w14:paraId="75EC17D3">
            <w:pPr>
              <w:jc w:val="center"/>
              <w:rPr>
                <w:color w:val="auto"/>
                <w:szCs w:val="21"/>
              </w:rPr>
            </w:pPr>
            <w:r>
              <w:rPr>
                <w:color w:val="auto"/>
                <w:szCs w:val="21"/>
              </w:rPr>
              <w:t>监测断面或点位个数（）个</w:t>
            </w:r>
          </w:p>
        </w:tc>
      </w:tr>
      <w:tr w14:paraId="0CB9CC8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restart"/>
            <w:vAlign w:val="center"/>
          </w:tcPr>
          <w:p w14:paraId="68650E93">
            <w:pPr>
              <w:jc w:val="center"/>
              <w:rPr>
                <w:color w:val="auto"/>
                <w:szCs w:val="21"/>
              </w:rPr>
            </w:pPr>
            <w:r>
              <w:rPr>
                <w:color w:val="auto"/>
                <w:szCs w:val="21"/>
              </w:rPr>
              <w:t>现状评价</w:t>
            </w:r>
          </w:p>
        </w:tc>
        <w:tc>
          <w:tcPr>
            <w:tcW w:w="1559" w:type="dxa"/>
            <w:gridSpan w:val="2"/>
            <w:vAlign w:val="center"/>
          </w:tcPr>
          <w:p w14:paraId="3ED9CFC0">
            <w:pPr>
              <w:jc w:val="center"/>
              <w:rPr>
                <w:color w:val="auto"/>
                <w:szCs w:val="21"/>
              </w:rPr>
            </w:pPr>
            <w:r>
              <w:rPr>
                <w:color w:val="auto"/>
                <w:szCs w:val="21"/>
              </w:rPr>
              <w:t>评价范围</w:t>
            </w:r>
          </w:p>
        </w:tc>
        <w:tc>
          <w:tcPr>
            <w:tcW w:w="6769" w:type="dxa"/>
            <w:gridSpan w:val="6"/>
            <w:vAlign w:val="center"/>
          </w:tcPr>
          <w:p w14:paraId="2364F5C7">
            <w:pPr>
              <w:jc w:val="center"/>
              <w:rPr>
                <w:color w:val="auto"/>
                <w:szCs w:val="21"/>
              </w:rPr>
            </w:pPr>
            <w:r>
              <w:rPr>
                <w:color w:val="auto"/>
              </w:rPr>
              <w:t>河流：长度（）km；湖库、河口及近岸海域：面积（）km</w:t>
            </w:r>
            <w:r>
              <w:rPr>
                <w:color w:val="auto"/>
                <w:vertAlign w:val="superscript"/>
              </w:rPr>
              <w:t>2</w:t>
            </w:r>
          </w:p>
        </w:tc>
      </w:tr>
      <w:tr w14:paraId="0613520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5592BA9F">
            <w:pPr>
              <w:widowControl/>
              <w:jc w:val="left"/>
              <w:rPr>
                <w:color w:val="auto"/>
                <w:szCs w:val="21"/>
              </w:rPr>
            </w:pPr>
          </w:p>
        </w:tc>
        <w:tc>
          <w:tcPr>
            <w:tcW w:w="1559" w:type="dxa"/>
            <w:gridSpan w:val="2"/>
            <w:vAlign w:val="center"/>
          </w:tcPr>
          <w:p w14:paraId="6C8BEA67">
            <w:pPr>
              <w:jc w:val="center"/>
              <w:rPr>
                <w:color w:val="auto"/>
                <w:szCs w:val="21"/>
              </w:rPr>
            </w:pPr>
            <w:r>
              <w:rPr>
                <w:color w:val="auto"/>
                <w:szCs w:val="21"/>
              </w:rPr>
              <w:t>评价因子</w:t>
            </w:r>
          </w:p>
        </w:tc>
        <w:tc>
          <w:tcPr>
            <w:tcW w:w="6769" w:type="dxa"/>
            <w:gridSpan w:val="6"/>
            <w:vAlign w:val="center"/>
          </w:tcPr>
          <w:p w14:paraId="334287EE">
            <w:pPr>
              <w:jc w:val="center"/>
              <w:rPr>
                <w:color w:val="auto"/>
                <w:szCs w:val="21"/>
              </w:rPr>
            </w:pPr>
            <w:r>
              <w:rPr>
                <w:color w:val="auto"/>
                <w:szCs w:val="21"/>
              </w:rPr>
              <w:t>（</w:t>
            </w:r>
            <w:r>
              <w:rPr>
                <w:rFonts w:hint="eastAsia"/>
                <w:color w:val="auto"/>
                <w:szCs w:val="21"/>
                <w:lang w:val="en-US" w:eastAsia="zh-CN"/>
              </w:rPr>
              <w:t>COD、氨氮</w:t>
            </w:r>
            <w:r>
              <w:rPr>
                <w:color w:val="auto"/>
                <w:szCs w:val="21"/>
              </w:rPr>
              <w:t>）</w:t>
            </w:r>
          </w:p>
        </w:tc>
      </w:tr>
      <w:tr w14:paraId="082B2F7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0C64E967">
            <w:pPr>
              <w:widowControl/>
              <w:jc w:val="left"/>
              <w:rPr>
                <w:color w:val="auto"/>
                <w:szCs w:val="21"/>
              </w:rPr>
            </w:pPr>
          </w:p>
        </w:tc>
        <w:tc>
          <w:tcPr>
            <w:tcW w:w="1559" w:type="dxa"/>
            <w:gridSpan w:val="2"/>
            <w:vAlign w:val="center"/>
          </w:tcPr>
          <w:p w14:paraId="3F3DBEE4">
            <w:pPr>
              <w:jc w:val="center"/>
              <w:rPr>
                <w:color w:val="auto"/>
                <w:szCs w:val="21"/>
              </w:rPr>
            </w:pPr>
            <w:r>
              <w:rPr>
                <w:color w:val="auto"/>
                <w:szCs w:val="21"/>
              </w:rPr>
              <w:t>评价标准</w:t>
            </w:r>
          </w:p>
        </w:tc>
        <w:tc>
          <w:tcPr>
            <w:tcW w:w="6769" w:type="dxa"/>
            <w:gridSpan w:val="6"/>
            <w:vAlign w:val="center"/>
          </w:tcPr>
          <w:p w14:paraId="353CC4D7">
            <w:pPr>
              <w:jc w:val="center"/>
              <w:rPr>
                <w:color w:val="auto"/>
              </w:rPr>
            </w:pPr>
            <w:r>
              <w:rPr>
                <w:color w:val="auto"/>
              </w:rPr>
              <w:t>河流、湖库、河口：Ⅰ类□；Ⅱ类□；Ⅲ类□；Ⅳ类□；Ⅴ类□</w:t>
            </w:r>
          </w:p>
          <w:p w14:paraId="342D6AF7">
            <w:pPr>
              <w:jc w:val="center"/>
              <w:rPr>
                <w:color w:val="auto"/>
              </w:rPr>
            </w:pPr>
            <w:r>
              <w:rPr>
                <w:color w:val="auto"/>
              </w:rPr>
              <w:t>近岸海域：第一类□；第二类□；第三类□；第四类□</w:t>
            </w:r>
          </w:p>
          <w:p w14:paraId="4A6B2CCC">
            <w:pPr>
              <w:jc w:val="center"/>
              <w:rPr>
                <w:color w:val="auto"/>
                <w:szCs w:val="21"/>
              </w:rPr>
            </w:pPr>
            <w:r>
              <w:rPr>
                <w:color w:val="auto"/>
              </w:rPr>
              <w:t>规划年评价标准（）</w:t>
            </w:r>
          </w:p>
        </w:tc>
      </w:tr>
      <w:tr w14:paraId="520195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121EBD78">
            <w:pPr>
              <w:widowControl/>
              <w:jc w:val="left"/>
              <w:rPr>
                <w:color w:val="auto"/>
                <w:szCs w:val="21"/>
              </w:rPr>
            </w:pPr>
          </w:p>
        </w:tc>
        <w:tc>
          <w:tcPr>
            <w:tcW w:w="1559" w:type="dxa"/>
            <w:gridSpan w:val="2"/>
            <w:vAlign w:val="center"/>
          </w:tcPr>
          <w:p w14:paraId="6CAA15D0">
            <w:pPr>
              <w:jc w:val="center"/>
              <w:rPr>
                <w:color w:val="auto"/>
                <w:szCs w:val="21"/>
              </w:rPr>
            </w:pPr>
            <w:r>
              <w:rPr>
                <w:color w:val="auto"/>
                <w:szCs w:val="21"/>
              </w:rPr>
              <w:t>评价时期</w:t>
            </w:r>
          </w:p>
        </w:tc>
        <w:tc>
          <w:tcPr>
            <w:tcW w:w="6769" w:type="dxa"/>
            <w:gridSpan w:val="6"/>
            <w:vAlign w:val="center"/>
          </w:tcPr>
          <w:p w14:paraId="43398198">
            <w:pPr>
              <w:jc w:val="center"/>
              <w:rPr>
                <w:color w:val="auto"/>
                <w:szCs w:val="21"/>
              </w:rPr>
            </w:pPr>
            <w:r>
              <w:rPr>
                <w:color w:val="auto"/>
                <w:szCs w:val="21"/>
              </w:rPr>
              <w:t>丰水期□；平水期□；枯水期□；冰封期□</w:t>
            </w:r>
          </w:p>
          <w:p w14:paraId="38D51594">
            <w:pPr>
              <w:jc w:val="center"/>
              <w:rPr>
                <w:color w:val="auto"/>
                <w:szCs w:val="21"/>
              </w:rPr>
            </w:pPr>
            <w:r>
              <w:rPr>
                <w:color w:val="auto"/>
                <w:szCs w:val="21"/>
              </w:rPr>
              <w:t>春季□；夏季□；秋季□；冬季□</w:t>
            </w:r>
          </w:p>
        </w:tc>
      </w:tr>
      <w:tr w14:paraId="161416C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195D244E">
            <w:pPr>
              <w:widowControl/>
              <w:jc w:val="left"/>
              <w:rPr>
                <w:color w:val="auto"/>
                <w:szCs w:val="21"/>
              </w:rPr>
            </w:pPr>
          </w:p>
        </w:tc>
        <w:tc>
          <w:tcPr>
            <w:tcW w:w="1559" w:type="dxa"/>
            <w:gridSpan w:val="2"/>
            <w:vAlign w:val="center"/>
          </w:tcPr>
          <w:p w14:paraId="787184ED">
            <w:pPr>
              <w:jc w:val="center"/>
              <w:rPr>
                <w:color w:val="auto"/>
                <w:szCs w:val="21"/>
              </w:rPr>
            </w:pPr>
            <w:r>
              <w:rPr>
                <w:color w:val="auto"/>
                <w:szCs w:val="21"/>
              </w:rPr>
              <w:t>评价结论</w:t>
            </w:r>
          </w:p>
        </w:tc>
        <w:tc>
          <w:tcPr>
            <w:tcW w:w="5523" w:type="dxa"/>
            <w:gridSpan w:val="5"/>
            <w:vAlign w:val="center"/>
          </w:tcPr>
          <w:p w14:paraId="0FA96E0A">
            <w:pPr>
              <w:rPr>
                <w:color w:val="auto"/>
                <w:szCs w:val="21"/>
              </w:rPr>
            </w:pPr>
            <w:r>
              <w:rPr>
                <w:color w:val="auto"/>
                <w:szCs w:val="21"/>
              </w:rPr>
              <w:t>水环境功能区或水功能区、近岸海域环境功能区水质达标状况：达标□；不达标□</w:t>
            </w:r>
          </w:p>
          <w:p w14:paraId="75C3D795">
            <w:pPr>
              <w:rPr>
                <w:color w:val="auto"/>
                <w:szCs w:val="21"/>
              </w:rPr>
            </w:pPr>
            <w:r>
              <w:rPr>
                <w:color w:val="auto"/>
                <w:szCs w:val="21"/>
              </w:rPr>
              <w:t>水环境控制单元或断面水质达标状况：达标□；不达标□</w:t>
            </w:r>
          </w:p>
          <w:p w14:paraId="0A90C996">
            <w:pPr>
              <w:rPr>
                <w:color w:val="auto"/>
                <w:szCs w:val="21"/>
              </w:rPr>
            </w:pPr>
            <w:r>
              <w:rPr>
                <w:color w:val="auto"/>
                <w:szCs w:val="21"/>
              </w:rPr>
              <w:t>水环境保护目标质量状况：达标□；不达标□</w:t>
            </w:r>
          </w:p>
          <w:p w14:paraId="64FF3382">
            <w:pPr>
              <w:rPr>
                <w:color w:val="auto"/>
                <w:szCs w:val="21"/>
              </w:rPr>
            </w:pPr>
            <w:r>
              <w:rPr>
                <w:color w:val="auto"/>
                <w:szCs w:val="21"/>
              </w:rPr>
              <w:t>对照断面、控制断面等代表性断面的水质状况：达标□；不达标□</w:t>
            </w:r>
          </w:p>
          <w:p w14:paraId="05712CC8">
            <w:pPr>
              <w:rPr>
                <w:color w:val="auto"/>
                <w:szCs w:val="21"/>
              </w:rPr>
            </w:pPr>
            <w:r>
              <w:rPr>
                <w:color w:val="auto"/>
                <w:szCs w:val="21"/>
              </w:rPr>
              <w:t>底泥污染评价□</w:t>
            </w:r>
          </w:p>
          <w:p w14:paraId="6548514D">
            <w:pPr>
              <w:rPr>
                <w:color w:val="auto"/>
                <w:szCs w:val="21"/>
              </w:rPr>
            </w:pPr>
            <w:r>
              <w:rPr>
                <w:color w:val="auto"/>
                <w:szCs w:val="21"/>
              </w:rPr>
              <w:t>水资源与开发利用程度及其水文情势评价□</w:t>
            </w:r>
          </w:p>
          <w:p w14:paraId="48E8A290">
            <w:pPr>
              <w:rPr>
                <w:color w:val="auto"/>
                <w:szCs w:val="21"/>
              </w:rPr>
            </w:pPr>
            <w:r>
              <w:rPr>
                <w:color w:val="auto"/>
                <w:szCs w:val="21"/>
              </w:rPr>
              <w:t>水环境质量回顾评价□</w:t>
            </w:r>
          </w:p>
          <w:p w14:paraId="2B7149F4">
            <w:pPr>
              <w:rPr>
                <w:color w:val="auto"/>
                <w:szCs w:val="21"/>
              </w:rPr>
            </w:pPr>
            <w:r>
              <w:rPr>
                <w:color w:val="auto"/>
                <w:szCs w:val="21"/>
              </w:rPr>
              <w:t>流域（区域）水资源（包括水能资源）与开发利用总体状况、生态流量管理要求与现状满足程度、建设项目占用水域空间的水流状况与河湖演变状况□</w:t>
            </w:r>
          </w:p>
          <w:p w14:paraId="6BDFE77A">
            <w:pPr>
              <w:rPr>
                <w:color w:val="auto"/>
                <w:szCs w:val="21"/>
              </w:rPr>
            </w:pPr>
            <w:r>
              <w:rPr>
                <w:color w:val="auto"/>
                <w:szCs w:val="21"/>
              </w:rPr>
              <w:t>依托污水处理设施稳定达标排放评价□</w:t>
            </w:r>
          </w:p>
        </w:tc>
        <w:tc>
          <w:tcPr>
            <w:tcW w:w="1246" w:type="dxa"/>
            <w:vAlign w:val="center"/>
          </w:tcPr>
          <w:p w14:paraId="76230A56">
            <w:pPr>
              <w:jc w:val="center"/>
              <w:rPr>
                <w:color w:val="auto"/>
                <w:szCs w:val="21"/>
              </w:rPr>
            </w:pPr>
            <w:r>
              <w:rPr>
                <w:color w:val="auto"/>
                <w:szCs w:val="21"/>
              </w:rPr>
              <w:t>达标区□</w:t>
            </w:r>
          </w:p>
          <w:p w14:paraId="531C0C86">
            <w:pPr>
              <w:jc w:val="center"/>
              <w:rPr>
                <w:color w:val="auto"/>
                <w:szCs w:val="21"/>
              </w:rPr>
            </w:pPr>
            <w:r>
              <w:rPr>
                <w:color w:val="auto"/>
                <w:szCs w:val="21"/>
              </w:rPr>
              <w:t>不达标区□</w:t>
            </w:r>
          </w:p>
        </w:tc>
      </w:tr>
      <w:tr w14:paraId="7DFCA8A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restart"/>
            <w:vAlign w:val="center"/>
          </w:tcPr>
          <w:p w14:paraId="747BD822">
            <w:pPr>
              <w:jc w:val="center"/>
              <w:rPr>
                <w:color w:val="auto"/>
                <w:szCs w:val="21"/>
              </w:rPr>
            </w:pPr>
            <w:r>
              <w:rPr>
                <w:color w:val="auto"/>
                <w:szCs w:val="21"/>
              </w:rPr>
              <w:t>影响预测</w:t>
            </w:r>
          </w:p>
        </w:tc>
        <w:tc>
          <w:tcPr>
            <w:tcW w:w="1559" w:type="dxa"/>
            <w:gridSpan w:val="2"/>
            <w:vAlign w:val="center"/>
          </w:tcPr>
          <w:p w14:paraId="60687EFF">
            <w:pPr>
              <w:jc w:val="center"/>
              <w:rPr>
                <w:color w:val="auto"/>
                <w:szCs w:val="21"/>
              </w:rPr>
            </w:pPr>
            <w:r>
              <w:rPr>
                <w:color w:val="auto"/>
                <w:szCs w:val="21"/>
              </w:rPr>
              <w:t>预测范围</w:t>
            </w:r>
          </w:p>
        </w:tc>
        <w:tc>
          <w:tcPr>
            <w:tcW w:w="6769" w:type="dxa"/>
            <w:gridSpan w:val="6"/>
            <w:vAlign w:val="center"/>
          </w:tcPr>
          <w:p w14:paraId="072EB855">
            <w:pPr>
              <w:jc w:val="center"/>
              <w:rPr>
                <w:color w:val="auto"/>
                <w:szCs w:val="21"/>
              </w:rPr>
            </w:pPr>
            <w:r>
              <w:rPr>
                <w:color w:val="auto"/>
              </w:rPr>
              <w:t>河流：长度（）km；湖库、河口及近岸海域：面积（）km</w:t>
            </w:r>
            <w:r>
              <w:rPr>
                <w:color w:val="auto"/>
                <w:vertAlign w:val="superscript"/>
              </w:rPr>
              <w:t>2</w:t>
            </w:r>
          </w:p>
        </w:tc>
      </w:tr>
      <w:tr w14:paraId="3E67AD6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070BD645">
            <w:pPr>
              <w:widowControl/>
              <w:jc w:val="left"/>
              <w:rPr>
                <w:color w:val="auto"/>
                <w:szCs w:val="21"/>
              </w:rPr>
            </w:pPr>
          </w:p>
        </w:tc>
        <w:tc>
          <w:tcPr>
            <w:tcW w:w="1559" w:type="dxa"/>
            <w:gridSpan w:val="2"/>
            <w:vAlign w:val="center"/>
          </w:tcPr>
          <w:p w14:paraId="781FDC8A">
            <w:pPr>
              <w:jc w:val="center"/>
              <w:rPr>
                <w:color w:val="auto"/>
                <w:szCs w:val="21"/>
              </w:rPr>
            </w:pPr>
            <w:r>
              <w:rPr>
                <w:color w:val="auto"/>
                <w:szCs w:val="21"/>
              </w:rPr>
              <w:t>预测因子</w:t>
            </w:r>
          </w:p>
        </w:tc>
        <w:tc>
          <w:tcPr>
            <w:tcW w:w="6769" w:type="dxa"/>
            <w:gridSpan w:val="6"/>
            <w:vAlign w:val="center"/>
          </w:tcPr>
          <w:p w14:paraId="3E42DF70">
            <w:pPr>
              <w:jc w:val="center"/>
              <w:rPr>
                <w:color w:val="auto"/>
                <w:szCs w:val="21"/>
              </w:rPr>
            </w:pPr>
            <w:r>
              <w:rPr>
                <w:color w:val="auto"/>
                <w:szCs w:val="21"/>
              </w:rPr>
              <w:t>（）</w:t>
            </w:r>
          </w:p>
        </w:tc>
      </w:tr>
      <w:tr w14:paraId="3E2D9D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7F4D2DA0">
            <w:pPr>
              <w:widowControl/>
              <w:jc w:val="left"/>
              <w:rPr>
                <w:color w:val="auto"/>
                <w:szCs w:val="21"/>
              </w:rPr>
            </w:pPr>
          </w:p>
        </w:tc>
        <w:tc>
          <w:tcPr>
            <w:tcW w:w="1559" w:type="dxa"/>
            <w:gridSpan w:val="2"/>
            <w:vAlign w:val="center"/>
          </w:tcPr>
          <w:p w14:paraId="008F9F5B">
            <w:pPr>
              <w:jc w:val="center"/>
              <w:rPr>
                <w:color w:val="auto"/>
                <w:szCs w:val="21"/>
              </w:rPr>
            </w:pPr>
            <w:r>
              <w:rPr>
                <w:color w:val="auto"/>
                <w:szCs w:val="21"/>
              </w:rPr>
              <w:t>预测时期</w:t>
            </w:r>
          </w:p>
        </w:tc>
        <w:tc>
          <w:tcPr>
            <w:tcW w:w="6769" w:type="dxa"/>
            <w:gridSpan w:val="6"/>
            <w:vAlign w:val="center"/>
          </w:tcPr>
          <w:p w14:paraId="151EA2D6">
            <w:pPr>
              <w:jc w:val="center"/>
              <w:rPr>
                <w:color w:val="auto"/>
                <w:szCs w:val="21"/>
              </w:rPr>
            </w:pPr>
            <w:r>
              <w:rPr>
                <w:color w:val="auto"/>
                <w:szCs w:val="21"/>
              </w:rPr>
              <w:t>丰水期□；平水期□；枯水期□；冰封期□</w:t>
            </w:r>
          </w:p>
          <w:p w14:paraId="61076D84">
            <w:pPr>
              <w:jc w:val="center"/>
              <w:rPr>
                <w:color w:val="auto"/>
                <w:szCs w:val="21"/>
              </w:rPr>
            </w:pPr>
            <w:r>
              <w:rPr>
                <w:color w:val="auto"/>
                <w:szCs w:val="21"/>
              </w:rPr>
              <w:t>春季□；夏季□；秋季□；冬季□</w:t>
            </w:r>
          </w:p>
          <w:p w14:paraId="6597E2F6">
            <w:pPr>
              <w:jc w:val="center"/>
              <w:rPr>
                <w:color w:val="auto"/>
                <w:szCs w:val="21"/>
              </w:rPr>
            </w:pPr>
            <w:r>
              <w:rPr>
                <w:color w:val="auto"/>
                <w:szCs w:val="21"/>
              </w:rPr>
              <w:t>设计水文条件□</w:t>
            </w:r>
          </w:p>
        </w:tc>
      </w:tr>
      <w:tr w14:paraId="1C68A8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45C9D1D0">
            <w:pPr>
              <w:widowControl/>
              <w:jc w:val="left"/>
              <w:rPr>
                <w:color w:val="auto"/>
                <w:szCs w:val="21"/>
              </w:rPr>
            </w:pPr>
          </w:p>
        </w:tc>
        <w:tc>
          <w:tcPr>
            <w:tcW w:w="1559" w:type="dxa"/>
            <w:gridSpan w:val="2"/>
            <w:vAlign w:val="center"/>
          </w:tcPr>
          <w:p w14:paraId="238E9575">
            <w:pPr>
              <w:jc w:val="center"/>
              <w:rPr>
                <w:color w:val="auto"/>
                <w:szCs w:val="21"/>
              </w:rPr>
            </w:pPr>
            <w:r>
              <w:rPr>
                <w:color w:val="auto"/>
                <w:szCs w:val="21"/>
              </w:rPr>
              <w:t>预测背景</w:t>
            </w:r>
          </w:p>
        </w:tc>
        <w:tc>
          <w:tcPr>
            <w:tcW w:w="6769" w:type="dxa"/>
            <w:gridSpan w:val="6"/>
            <w:vAlign w:val="center"/>
          </w:tcPr>
          <w:p w14:paraId="7CF5E855">
            <w:pPr>
              <w:jc w:val="center"/>
              <w:rPr>
                <w:color w:val="auto"/>
                <w:szCs w:val="21"/>
              </w:rPr>
            </w:pPr>
            <w:r>
              <w:rPr>
                <w:color w:val="auto"/>
                <w:szCs w:val="21"/>
              </w:rPr>
              <w:t>建设期□；生产运行期□；服务期满后□</w:t>
            </w:r>
          </w:p>
          <w:p w14:paraId="6CEA2092">
            <w:pPr>
              <w:jc w:val="center"/>
              <w:rPr>
                <w:color w:val="auto"/>
                <w:szCs w:val="21"/>
              </w:rPr>
            </w:pPr>
            <w:r>
              <w:rPr>
                <w:color w:val="auto"/>
                <w:szCs w:val="21"/>
              </w:rPr>
              <w:t>正常工况□；非正常工况□</w:t>
            </w:r>
          </w:p>
          <w:p w14:paraId="284E9C49">
            <w:pPr>
              <w:jc w:val="center"/>
              <w:rPr>
                <w:color w:val="auto"/>
                <w:szCs w:val="21"/>
              </w:rPr>
            </w:pPr>
            <w:r>
              <w:rPr>
                <w:color w:val="auto"/>
                <w:szCs w:val="21"/>
              </w:rPr>
              <w:t>污染控制和减缓措施方案□</w:t>
            </w:r>
          </w:p>
          <w:p w14:paraId="60B8CDEF">
            <w:pPr>
              <w:jc w:val="center"/>
              <w:rPr>
                <w:color w:val="auto"/>
                <w:szCs w:val="21"/>
              </w:rPr>
            </w:pPr>
            <w:r>
              <w:rPr>
                <w:color w:val="auto"/>
                <w:szCs w:val="21"/>
              </w:rPr>
              <w:t>区（流）域环境质量改善目标要求情景□</w:t>
            </w:r>
          </w:p>
        </w:tc>
      </w:tr>
      <w:tr w14:paraId="606CC5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0F9461E5">
            <w:pPr>
              <w:widowControl/>
              <w:jc w:val="left"/>
              <w:rPr>
                <w:color w:val="auto"/>
                <w:szCs w:val="21"/>
              </w:rPr>
            </w:pPr>
          </w:p>
        </w:tc>
        <w:tc>
          <w:tcPr>
            <w:tcW w:w="1559" w:type="dxa"/>
            <w:gridSpan w:val="2"/>
            <w:vAlign w:val="center"/>
          </w:tcPr>
          <w:p w14:paraId="558D9B7A">
            <w:pPr>
              <w:jc w:val="center"/>
              <w:rPr>
                <w:color w:val="auto"/>
                <w:szCs w:val="21"/>
              </w:rPr>
            </w:pPr>
            <w:r>
              <w:rPr>
                <w:color w:val="auto"/>
                <w:szCs w:val="21"/>
              </w:rPr>
              <w:t>预测方法</w:t>
            </w:r>
          </w:p>
        </w:tc>
        <w:tc>
          <w:tcPr>
            <w:tcW w:w="6769" w:type="dxa"/>
            <w:gridSpan w:val="6"/>
            <w:vAlign w:val="center"/>
          </w:tcPr>
          <w:p w14:paraId="78ADC2AC">
            <w:pPr>
              <w:jc w:val="center"/>
              <w:rPr>
                <w:color w:val="auto"/>
                <w:szCs w:val="21"/>
              </w:rPr>
            </w:pPr>
            <w:r>
              <w:rPr>
                <w:color w:val="auto"/>
                <w:szCs w:val="21"/>
              </w:rPr>
              <w:t>数值解□：解析解□；其他□</w:t>
            </w:r>
          </w:p>
          <w:p w14:paraId="0D64EF6E">
            <w:pPr>
              <w:jc w:val="center"/>
              <w:rPr>
                <w:color w:val="auto"/>
                <w:szCs w:val="21"/>
              </w:rPr>
            </w:pPr>
            <w:r>
              <w:rPr>
                <w:color w:val="auto"/>
                <w:szCs w:val="21"/>
              </w:rPr>
              <w:t>导则推荐模式□：其他□</w:t>
            </w:r>
          </w:p>
        </w:tc>
      </w:tr>
      <w:tr w14:paraId="04B7A31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restart"/>
            <w:vAlign w:val="center"/>
          </w:tcPr>
          <w:p w14:paraId="1E7985B4">
            <w:pPr>
              <w:jc w:val="center"/>
              <w:rPr>
                <w:color w:val="auto"/>
                <w:szCs w:val="21"/>
              </w:rPr>
            </w:pPr>
            <w:r>
              <w:rPr>
                <w:color w:val="auto"/>
                <w:szCs w:val="21"/>
              </w:rPr>
              <w:t>影响评价</w:t>
            </w:r>
          </w:p>
        </w:tc>
        <w:tc>
          <w:tcPr>
            <w:tcW w:w="1559" w:type="dxa"/>
            <w:gridSpan w:val="2"/>
            <w:vAlign w:val="center"/>
          </w:tcPr>
          <w:p w14:paraId="67E6F40C">
            <w:pPr>
              <w:jc w:val="center"/>
              <w:rPr>
                <w:color w:val="auto"/>
                <w:szCs w:val="21"/>
              </w:rPr>
            </w:pPr>
            <w:r>
              <w:rPr>
                <w:color w:val="auto"/>
                <w:szCs w:val="21"/>
              </w:rPr>
              <w:t>水污染控制和水环境影响减缓措施有效性评价</w:t>
            </w:r>
          </w:p>
        </w:tc>
        <w:tc>
          <w:tcPr>
            <w:tcW w:w="6769" w:type="dxa"/>
            <w:gridSpan w:val="6"/>
            <w:vAlign w:val="center"/>
          </w:tcPr>
          <w:p w14:paraId="20E86406">
            <w:pPr>
              <w:jc w:val="center"/>
              <w:rPr>
                <w:color w:val="auto"/>
                <w:szCs w:val="21"/>
              </w:rPr>
            </w:pPr>
            <w:r>
              <w:rPr>
                <w:color w:val="auto"/>
              </w:rPr>
              <w:t>区（流）域水环境质量改善目标□；替代削减源□</w:t>
            </w:r>
          </w:p>
        </w:tc>
      </w:tr>
      <w:tr w14:paraId="25B7A7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0D043D87">
            <w:pPr>
              <w:widowControl/>
              <w:jc w:val="left"/>
              <w:rPr>
                <w:color w:val="auto"/>
                <w:szCs w:val="21"/>
              </w:rPr>
            </w:pPr>
          </w:p>
        </w:tc>
        <w:tc>
          <w:tcPr>
            <w:tcW w:w="1559" w:type="dxa"/>
            <w:gridSpan w:val="2"/>
            <w:vAlign w:val="center"/>
          </w:tcPr>
          <w:p w14:paraId="74E047FD">
            <w:pPr>
              <w:jc w:val="center"/>
              <w:rPr>
                <w:color w:val="auto"/>
                <w:szCs w:val="21"/>
              </w:rPr>
            </w:pPr>
            <w:r>
              <w:rPr>
                <w:color w:val="auto"/>
                <w:szCs w:val="21"/>
              </w:rPr>
              <w:t>水环境影响评价</w:t>
            </w:r>
          </w:p>
        </w:tc>
        <w:tc>
          <w:tcPr>
            <w:tcW w:w="6769" w:type="dxa"/>
            <w:gridSpan w:val="6"/>
            <w:vAlign w:val="center"/>
          </w:tcPr>
          <w:p w14:paraId="787A6980">
            <w:pPr>
              <w:rPr>
                <w:color w:val="auto"/>
              </w:rPr>
            </w:pPr>
            <w:r>
              <w:rPr>
                <w:color w:val="auto"/>
              </w:rPr>
              <w:t>排放口混合区外满足水环境管理要求□</w:t>
            </w:r>
          </w:p>
          <w:p w14:paraId="3734C844">
            <w:pPr>
              <w:rPr>
                <w:color w:val="auto"/>
              </w:rPr>
            </w:pPr>
            <w:r>
              <w:rPr>
                <w:color w:val="auto"/>
              </w:rPr>
              <w:t>水环境功能区或水功能区、近岸海域环境功能区水质达标□</w:t>
            </w:r>
          </w:p>
          <w:p w14:paraId="65105750">
            <w:pPr>
              <w:rPr>
                <w:color w:val="auto"/>
              </w:rPr>
            </w:pPr>
            <w:r>
              <w:rPr>
                <w:color w:val="auto"/>
              </w:rPr>
              <w:t>满足水环境保护目标水域水环境质量要求□</w:t>
            </w:r>
          </w:p>
          <w:p w14:paraId="42318D0B">
            <w:pPr>
              <w:rPr>
                <w:color w:val="auto"/>
              </w:rPr>
            </w:pPr>
            <w:r>
              <w:rPr>
                <w:color w:val="auto"/>
              </w:rPr>
              <w:t>水环境控制单元或断面水质达标□</w:t>
            </w:r>
          </w:p>
          <w:p w14:paraId="764B579C">
            <w:pPr>
              <w:rPr>
                <w:color w:val="auto"/>
              </w:rPr>
            </w:pPr>
            <w:r>
              <w:rPr>
                <w:color w:val="auto"/>
              </w:rPr>
              <w:t>满足重点水污染物排放总量控制指标要求，重点行业建设项目，主要污染物排放满足等量或减量替代要求□</w:t>
            </w:r>
          </w:p>
          <w:p w14:paraId="17A26555">
            <w:pPr>
              <w:rPr>
                <w:color w:val="auto"/>
              </w:rPr>
            </w:pPr>
            <w:r>
              <w:rPr>
                <w:color w:val="auto"/>
              </w:rPr>
              <w:t>满足区（流）域水环境质量改善目标要求□</w:t>
            </w:r>
          </w:p>
          <w:p w14:paraId="595F0298">
            <w:pPr>
              <w:rPr>
                <w:color w:val="auto"/>
              </w:rPr>
            </w:pPr>
            <w:r>
              <w:rPr>
                <w:color w:val="auto"/>
              </w:rPr>
              <w:t>水文要素影响型建设项目同时应包括水文情势变化评价、主要水文特征值影响评价、生态流量符合性评价□</w:t>
            </w:r>
          </w:p>
          <w:p w14:paraId="52F30809">
            <w:pPr>
              <w:rPr>
                <w:color w:val="auto"/>
              </w:rPr>
            </w:pPr>
            <w:r>
              <w:rPr>
                <w:color w:val="auto"/>
              </w:rPr>
              <w:t>对于新设或调整入河（湖库、近岸海域）排放口的建设项目，应包括排放口设置的环境合理性评价□</w:t>
            </w:r>
          </w:p>
          <w:p w14:paraId="3E06E73F">
            <w:pPr>
              <w:rPr>
                <w:color w:val="auto"/>
                <w:szCs w:val="21"/>
              </w:rPr>
            </w:pPr>
            <w:r>
              <w:rPr>
                <w:color w:val="auto"/>
              </w:rPr>
              <w:t>满足生态保护红线、水环境质量底线、资源利用上线和环境准入清单管理要求□</w:t>
            </w:r>
          </w:p>
        </w:tc>
      </w:tr>
      <w:tr w14:paraId="40FCB9A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47DFF7CF">
            <w:pPr>
              <w:widowControl/>
              <w:jc w:val="left"/>
              <w:rPr>
                <w:color w:val="auto"/>
                <w:szCs w:val="21"/>
              </w:rPr>
            </w:pPr>
          </w:p>
        </w:tc>
        <w:tc>
          <w:tcPr>
            <w:tcW w:w="1559" w:type="dxa"/>
            <w:gridSpan w:val="2"/>
            <w:vMerge w:val="restart"/>
            <w:vAlign w:val="center"/>
          </w:tcPr>
          <w:p w14:paraId="1046AAD1">
            <w:pPr>
              <w:jc w:val="center"/>
              <w:rPr>
                <w:color w:val="auto"/>
                <w:szCs w:val="21"/>
              </w:rPr>
            </w:pPr>
            <w:r>
              <w:rPr>
                <w:color w:val="auto"/>
                <w:szCs w:val="21"/>
              </w:rPr>
              <w:t>污染物排放量核算</w:t>
            </w:r>
          </w:p>
        </w:tc>
        <w:tc>
          <w:tcPr>
            <w:tcW w:w="3030" w:type="dxa"/>
            <w:gridSpan w:val="2"/>
            <w:vAlign w:val="center"/>
          </w:tcPr>
          <w:p w14:paraId="5675E33C">
            <w:pPr>
              <w:jc w:val="center"/>
              <w:rPr>
                <w:color w:val="auto"/>
                <w:szCs w:val="21"/>
              </w:rPr>
            </w:pPr>
            <w:r>
              <w:rPr>
                <w:color w:val="auto"/>
                <w:szCs w:val="21"/>
              </w:rPr>
              <w:t>污染物名称</w:t>
            </w:r>
          </w:p>
        </w:tc>
        <w:tc>
          <w:tcPr>
            <w:tcW w:w="1246" w:type="dxa"/>
            <w:gridSpan w:val="2"/>
            <w:vAlign w:val="center"/>
          </w:tcPr>
          <w:p w14:paraId="3ECF8B96">
            <w:pPr>
              <w:jc w:val="center"/>
              <w:rPr>
                <w:color w:val="auto"/>
                <w:szCs w:val="21"/>
              </w:rPr>
            </w:pPr>
            <w:r>
              <w:rPr>
                <w:color w:val="auto"/>
                <w:szCs w:val="21"/>
              </w:rPr>
              <w:t>排放量/（t/a）</w:t>
            </w:r>
          </w:p>
        </w:tc>
        <w:tc>
          <w:tcPr>
            <w:tcW w:w="2493" w:type="dxa"/>
            <w:gridSpan w:val="2"/>
            <w:vAlign w:val="center"/>
          </w:tcPr>
          <w:p w14:paraId="0348020A">
            <w:pPr>
              <w:jc w:val="center"/>
              <w:rPr>
                <w:color w:val="auto"/>
                <w:szCs w:val="21"/>
              </w:rPr>
            </w:pPr>
            <w:r>
              <w:rPr>
                <w:color w:val="auto"/>
                <w:szCs w:val="21"/>
              </w:rPr>
              <w:t>排放浓度/（mg/L）</w:t>
            </w:r>
          </w:p>
        </w:tc>
      </w:tr>
      <w:tr w14:paraId="3BD1CBC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22844AE6">
            <w:pPr>
              <w:widowControl/>
              <w:jc w:val="left"/>
              <w:rPr>
                <w:color w:val="auto"/>
                <w:szCs w:val="21"/>
              </w:rPr>
            </w:pPr>
          </w:p>
        </w:tc>
        <w:tc>
          <w:tcPr>
            <w:tcW w:w="1559" w:type="dxa"/>
            <w:gridSpan w:val="2"/>
            <w:vMerge w:val="continue"/>
            <w:vAlign w:val="center"/>
          </w:tcPr>
          <w:p w14:paraId="765E8E95">
            <w:pPr>
              <w:widowControl/>
              <w:jc w:val="left"/>
              <w:rPr>
                <w:color w:val="auto"/>
                <w:szCs w:val="21"/>
              </w:rPr>
            </w:pPr>
          </w:p>
        </w:tc>
        <w:tc>
          <w:tcPr>
            <w:tcW w:w="3030" w:type="dxa"/>
            <w:gridSpan w:val="2"/>
            <w:vAlign w:val="center"/>
          </w:tcPr>
          <w:p w14:paraId="718000FE">
            <w:pPr>
              <w:jc w:val="center"/>
              <w:rPr>
                <w:color w:val="auto"/>
                <w:szCs w:val="21"/>
              </w:rPr>
            </w:pPr>
            <w:r>
              <w:rPr>
                <w:color w:val="auto"/>
                <w:szCs w:val="21"/>
              </w:rPr>
              <w:t>（）</w:t>
            </w:r>
          </w:p>
        </w:tc>
        <w:tc>
          <w:tcPr>
            <w:tcW w:w="1246" w:type="dxa"/>
            <w:gridSpan w:val="2"/>
            <w:vAlign w:val="center"/>
          </w:tcPr>
          <w:p w14:paraId="7BB0F667">
            <w:pPr>
              <w:jc w:val="center"/>
              <w:rPr>
                <w:color w:val="auto"/>
                <w:szCs w:val="21"/>
              </w:rPr>
            </w:pPr>
            <w:r>
              <w:rPr>
                <w:color w:val="auto"/>
                <w:szCs w:val="21"/>
              </w:rPr>
              <w:t>（）</w:t>
            </w:r>
          </w:p>
        </w:tc>
        <w:tc>
          <w:tcPr>
            <w:tcW w:w="2493" w:type="dxa"/>
            <w:gridSpan w:val="2"/>
            <w:vAlign w:val="center"/>
          </w:tcPr>
          <w:p w14:paraId="6B7F7916">
            <w:pPr>
              <w:jc w:val="center"/>
              <w:rPr>
                <w:color w:val="auto"/>
                <w:szCs w:val="21"/>
              </w:rPr>
            </w:pPr>
            <w:r>
              <w:rPr>
                <w:color w:val="auto"/>
                <w:szCs w:val="21"/>
              </w:rPr>
              <w:t>（）</w:t>
            </w:r>
          </w:p>
        </w:tc>
      </w:tr>
      <w:tr w14:paraId="5FD4F41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618848DF">
            <w:pPr>
              <w:widowControl/>
              <w:jc w:val="left"/>
              <w:rPr>
                <w:color w:val="auto"/>
                <w:szCs w:val="21"/>
              </w:rPr>
            </w:pPr>
          </w:p>
        </w:tc>
        <w:tc>
          <w:tcPr>
            <w:tcW w:w="1559" w:type="dxa"/>
            <w:gridSpan w:val="2"/>
            <w:vMerge w:val="restart"/>
            <w:vAlign w:val="center"/>
          </w:tcPr>
          <w:p w14:paraId="5544765F">
            <w:pPr>
              <w:jc w:val="center"/>
              <w:rPr>
                <w:color w:val="auto"/>
                <w:szCs w:val="21"/>
              </w:rPr>
            </w:pPr>
            <w:r>
              <w:rPr>
                <w:color w:val="auto"/>
                <w:szCs w:val="21"/>
              </w:rPr>
              <w:t>替代源排放情况</w:t>
            </w:r>
          </w:p>
        </w:tc>
        <w:tc>
          <w:tcPr>
            <w:tcW w:w="1784" w:type="dxa"/>
            <w:vAlign w:val="center"/>
          </w:tcPr>
          <w:p w14:paraId="58BF15AD">
            <w:pPr>
              <w:jc w:val="center"/>
              <w:rPr>
                <w:color w:val="auto"/>
                <w:szCs w:val="21"/>
              </w:rPr>
            </w:pPr>
            <w:r>
              <w:rPr>
                <w:color w:val="auto"/>
                <w:szCs w:val="21"/>
              </w:rPr>
              <w:t>污染源名称</w:t>
            </w:r>
          </w:p>
        </w:tc>
        <w:tc>
          <w:tcPr>
            <w:tcW w:w="1246" w:type="dxa"/>
            <w:vAlign w:val="center"/>
          </w:tcPr>
          <w:p w14:paraId="3124170D">
            <w:pPr>
              <w:jc w:val="center"/>
              <w:rPr>
                <w:color w:val="auto"/>
                <w:szCs w:val="21"/>
              </w:rPr>
            </w:pPr>
            <w:r>
              <w:rPr>
                <w:color w:val="auto"/>
                <w:szCs w:val="21"/>
              </w:rPr>
              <w:t>排污许可证编号</w:t>
            </w:r>
          </w:p>
        </w:tc>
        <w:tc>
          <w:tcPr>
            <w:tcW w:w="1246" w:type="dxa"/>
            <w:gridSpan w:val="2"/>
            <w:vAlign w:val="center"/>
          </w:tcPr>
          <w:p w14:paraId="0385E585">
            <w:pPr>
              <w:jc w:val="center"/>
              <w:rPr>
                <w:color w:val="auto"/>
                <w:szCs w:val="21"/>
              </w:rPr>
            </w:pPr>
            <w:r>
              <w:rPr>
                <w:color w:val="auto"/>
                <w:szCs w:val="21"/>
              </w:rPr>
              <w:t>污染物名称</w:t>
            </w:r>
          </w:p>
        </w:tc>
        <w:tc>
          <w:tcPr>
            <w:tcW w:w="1247" w:type="dxa"/>
            <w:vAlign w:val="center"/>
          </w:tcPr>
          <w:p w14:paraId="1B6B813D">
            <w:pPr>
              <w:jc w:val="center"/>
              <w:rPr>
                <w:color w:val="auto"/>
                <w:szCs w:val="21"/>
              </w:rPr>
            </w:pPr>
            <w:r>
              <w:rPr>
                <w:color w:val="auto"/>
                <w:szCs w:val="21"/>
              </w:rPr>
              <w:t>排放量/（t/a）</w:t>
            </w:r>
          </w:p>
        </w:tc>
        <w:tc>
          <w:tcPr>
            <w:tcW w:w="1246" w:type="dxa"/>
            <w:vAlign w:val="center"/>
          </w:tcPr>
          <w:p w14:paraId="7BDBE15D">
            <w:pPr>
              <w:jc w:val="center"/>
              <w:rPr>
                <w:color w:val="auto"/>
                <w:szCs w:val="21"/>
              </w:rPr>
            </w:pPr>
            <w:r>
              <w:rPr>
                <w:color w:val="auto"/>
                <w:szCs w:val="21"/>
              </w:rPr>
              <w:t>排放浓度/（mg/L）</w:t>
            </w:r>
          </w:p>
        </w:tc>
      </w:tr>
      <w:tr w14:paraId="36A9484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5D8F8D1A">
            <w:pPr>
              <w:widowControl/>
              <w:jc w:val="left"/>
              <w:rPr>
                <w:color w:val="auto"/>
                <w:szCs w:val="21"/>
              </w:rPr>
            </w:pPr>
          </w:p>
        </w:tc>
        <w:tc>
          <w:tcPr>
            <w:tcW w:w="1559" w:type="dxa"/>
            <w:gridSpan w:val="2"/>
            <w:vMerge w:val="continue"/>
            <w:vAlign w:val="center"/>
          </w:tcPr>
          <w:p w14:paraId="0802EA06">
            <w:pPr>
              <w:jc w:val="center"/>
              <w:rPr>
                <w:color w:val="auto"/>
                <w:szCs w:val="21"/>
              </w:rPr>
            </w:pPr>
          </w:p>
        </w:tc>
        <w:tc>
          <w:tcPr>
            <w:tcW w:w="1784" w:type="dxa"/>
            <w:vAlign w:val="center"/>
          </w:tcPr>
          <w:p w14:paraId="2BBBCD44">
            <w:pPr>
              <w:jc w:val="center"/>
              <w:rPr>
                <w:color w:val="auto"/>
                <w:szCs w:val="21"/>
              </w:rPr>
            </w:pPr>
            <w:r>
              <w:rPr>
                <w:color w:val="auto"/>
                <w:szCs w:val="21"/>
              </w:rPr>
              <w:t>（）</w:t>
            </w:r>
          </w:p>
        </w:tc>
        <w:tc>
          <w:tcPr>
            <w:tcW w:w="1246" w:type="dxa"/>
            <w:vAlign w:val="center"/>
          </w:tcPr>
          <w:p w14:paraId="76F13038">
            <w:pPr>
              <w:jc w:val="center"/>
              <w:rPr>
                <w:color w:val="auto"/>
                <w:szCs w:val="21"/>
              </w:rPr>
            </w:pPr>
            <w:r>
              <w:rPr>
                <w:color w:val="auto"/>
                <w:szCs w:val="21"/>
              </w:rPr>
              <w:t>（）</w:t>
            </w:r>
          </w:p>
        </w:tc>
        <w:tc>
          <w:tcPr>
            <w:tcW w:w="1246" w:type="dxa"/>
            <w:gridSpan w:val="2"/>
            <w:vAlign w:val="center"/>
          </w:tcPr>
          <w:p w14:paraId="29BFA41F">
            <w:pPr>
              <w:jc w:val="center"/>
              <w:rPr>
                <w:color w:val="auto"/>
                <w:szCs w:val="21"/>
              </w:rPr>
            </w:pPr>
            <w:r>
              <w:rPr>
                <w:color w:val="auto"/>
                <w:szCs w:val="21"/>
              </w:rPr>
              <w:t>（）</w:t>
            </w:r>
          </w:p>
        </w:tc>
        <w:tc>
          <w:tcPr>
            <w:tcW w:w="1247" w:type="dxa"/>
            <w:vAlign w:val="center"/>
          </w:tcPr>
          <w:p w14:paraId="4C2B642B">
            <w:pPr>
              <w:jc w:val="center"/>
              <w:rPr>
                <w:color w:val="auto"/>
                <w:szCs w:val="21"/>
              </w:rPr>
            </w:pPr>
            <w:r>
              <w:rPr>
                <w:color w:val="auto"/>
                <w:szCs w:val="21"/>
              </w:rPr>
              <w:t>（）</w:t>
            </w:r>
          </w:p>
        </w:tc>
        <w:tc>
          <w:tcPr>
            <w:tcW w:w="1246" w:type="dxa"/>
            <w:vAlign w:val="center"/>
          </w:tcPr>
          <w:p w14:paraId="205116A1">
            <w:pPr>
              <w:jc w:val="center"/>
              <w:rPr>
                <w:color w:val="auto"/>
                <w:szCs w:val="21"/>
              </w:rPr>
            </w:pPr>
            <w:r>
              <w:rPr>
                <w:color w:val="auto"/>
                <w:szCs w:val="21"/>
              </w:rPr>
              <w:t>（）</w:t>
            </w:r>
          </w:p>
        </w:tc>
      </w:tr>
      <w:tr w14:paraId="7E043C8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2EA357E1">
            <w:pPr>
              <w:widowControl/>
              <w:jc w:val="left"/>
              <w:rPr>
                <w:color w:val="auto"/>
                <w:szCs w:val="21"/>
              </w:rPr>
            </w:pPr>
          </w:p>
        </w:tc>
        <w:tc>
          <w:tcPr>
            <w:tcW w:w="1559" w:type="dxa"/>
            <w:gridSpan w:val="2"/>
            <w:vAlign w:val="center"/>
          </w:tcPr>
          <w:p w14:paraId="05D56A38">
            <w:pPr>
              <w:jc w:val="center"/>
              <w:rPr>
                <w:color w:val="auto"/>
                <w:szCs w:val="21"/>
              </w:rPr>
            </w:pPr>
            <w:r>
              <w:rPr>
                <w:color w:val="auto"/>
                <w:szCs w:val="21"/>
              </w:rPr>
              <w:t>生态流量确定</w:t>
            </w:r>
          </w:p>
        </w:tc>
        <w:tc>
          <w:tcPr>
            <w:tcW w:w="6769" w:type="dxa"/>
            <w:gridSpan w:val="6"/>
            <w:vAlign w:val="center"/>
          </w:tcPr>
          <w:p w14:paraId="32A6D500">
            <w:pPr>
              <w:jc w:val="center"/>
              <w:rPr>
                <w:color w:val="auto"/>
              </w:rPr>
            </w:pPr>
            <w:r>
              <w:rPr>
                <w:color w:val="auto"/>
              </w:rPr>
              <w:t>生态流量：一般水期（）m</w:t>
            </w:r>
            <w:r>
              <w:rPr>
                <w:color w:val="auto"/>
                <w:vertAlign w:val="superscript"/>
              </w:rPr>
              <w:t>3</w:t>
            </w:r>
            <w:r>
              <w:rPr>
                <w:color w:val="auto"/>
              </w:rPr>
              <w:t>/s；鱼类繁殖期（）m</w:t>
            </w:r>
            <w:r>
              <w:rPr>
                <w:color w:val="auto"/>
                <w:vertAlign w:val="superscript"/>
              </w:rPr>
              <w:t>3</w:t>
            </w:r>
            <w:r>
              <w:rPr>
                <w:color w:val="auto"/>
              </w:rPr>
              <w:t>/s；其他（）m</w:t>
            </w:r>
            <w:r>
              <w:rPr>
                <w:color w:val="auto"/>
                <w:vertAlign w:val="superscript"/>
              </w:rPr>
              <w:t>3</w:t>
            </w:r>
            <w:r>
              <w:rPr>
                <w:color w:val="auto"/>
              </w:rPr>
              <w:t>/s</w:t>
            </w:r>
          </w:p>
          <w:p w14:paraId="219EAB46">
            <w:pPr>
              <w:jc w:val="center"/>
              <w:rPr>
                <w:color w:val="auto"/>
              </w:rPr>
            </w:pPr>
            <w:r>
              <w:rPr>
                <w:color w:val="auto"/>
              </w:rPr>
              <w:t>生态水位：一般水期（）m；鱼类繁殖期（）m；其他（）m</w:t>
            </w:r>
          </w:p>
        </w:tc>
      </w:tr>
      <w:tr w14:paraId="6D8BEE7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restart"/>
            <w:vAlign w:val="center"/>
          </w:tcPr>
          <w:p w14:paraId="1DB41011">
            <w:pPr>
              <w:jc w:val="center"/>
              <w:rPr>
                <w:color w:val="auto"/>
                <w:szCs w:val="21"/>
              </w:rPr>
            </w:pPr>
            <w:r>
              <w:rPr>
                <w:color w:val="auto"/>
                <w:szCs w:val="21"/>
              </w:rPr>
              <w:t>防治措施</w:t>
            </w:r>
          </w:p>
        </w:tc>
        <w:tc>
          <w:tcPr>
            <w:tcW w:w="1559" w:type="dxa"/>
            <w:gridSpan w:val="2"/>
            <w:vAlign w:val="center"/>
          </w:tcPr>
          <w:p w14:paraId="07909DA2">
            <w:pPr>
              <w:jc w:val="center"/>
              <w:rPr>
                <w:color w:val="auto"/>
                <w:szCs w:val="21"/>
              </w:rPr>
            </w:pPr>
            <w:r>
              <w:rPr>
                <w:color w:val="auto"/>
                <w:szCs w:val="21"/>
              </w:rPr>
              <w:t>环保措施</w:t>
            </w:r>
          </w:p>
        </w:tc>
        <w:tc>
          <w:tcPr>
            <w:tcW w:w="6769" w:type="dxa"/>
            <w:gridSpan w:val="6"/>
            <w:vAlign w:val="center"/>
          </w:tcPr>
          <w:p w14:paraId="3FD92D3C">
            <w:pPr>
              <w:jc w:val="center"/>
              <w:rPr>
                <w:rFonts w:hint="eastAsia" w:eastAsia="宋体"/>
                <w:color w:val="auto"/>
                <w:szCs w:val="21"/>
                <w:lang w:eastAsia="zh-CN"/>
              </w:rPr>
            </w:pPr>
            <w:r>
              <w:rPr>
                <w:color w:val="auto"/>
              </w:rPr>
              <w:t xml:space="preserve">污水处理设施 □；水文减缓设施 □；生态流量保障设施 □；区域削减 □；依托其他工程措施 □；其他 </w:t>
            </w:r>
            <w:r>
              <w:rPr>
                <w:rFonts w:hint="eastAsia"/>
                <w:color w:val="auto"/>
                <w:lang w:eastAsia="zh-CN"/>
              </w:rPr>
              <w:t>☑</w:t>
            </w:r>
          </w:p>
        </w:tc>
      </w:tr>
      <w:tr w14:paraId="563737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2605206C">
            <w:pPr>
              <w:widowControl/>
              <w:jc w:val="left"/>
              <w:rPr>
                <w:color w:val="auto"/>
                <w:szCs w:val="21"/>
              </w:rPr>
            </w:pPr>
          </w:p>
        </w:tc>
        <w:tc>
          <w:tcPr>
            <w:tcW w:w="1559" w:type="dxa"/>
            <w:gridSpan w:val="2"/>
            <w:vMerge w:val="restart"/>
            <w:vAlign w:val="center"/>
          </w:tcPr>
          <w:p w14:paraId="1D075FEC">
            <w:pPr>
              <w:jc w:val="center"/>
              <w:rPr>
                <w:color w:val="auto"/>
                <w:szCs w:val="21"/>
              </w:rPr>
            </w:pPr>
            <w:r>
              <w:rPr>
                <w:color w:val="auto"/>
                <w:szCs w:val="21"/>
              </w:rPr>
              <w:t>监测计划</w:t>
            </w:r>
          </w:p>
        </w:tc>
        <w:tc>
          <w:tcPr>
            <w:tcW w:w="1784" w:type="dxa"/>
            <w:vAlign w:val="center"/>
          </w:tcPr>
          <w:p w14:paraId="2F00F002">
            <w:pPr>
              <w:jc w:val="center"/>
              <w:rPr>
                <w:color w:val="auto"/>
                <w:szCs w:val="21"/>
              </w:rPr>
            </w:pPr>
          </w:p>
        </w:tc>
        <w:tc>
          <w:tcPr>
            <w:tcW w:w="2492" w:type="dxa"/>
            <w:gridSpan w:val="3"/>
            <w:vAlign w:val="center"/>
          </w:tcPr>
          <w:p w14:paraId="53E58855">
            <w:pPr>
              <w:jc w:val="center"/>
              <w:rPr>
                <w:color w:val="auto"/>
                <w:szCs w:val="21"/>
              </w:rPr>
            </w:pPr>
            <w:r>
              <w:rPr>
                <w:color w:val="auto"/>
                <w:szCs w:val="21"/>
              </w:rPr>
              <w:t>环境质量</w:t>
            </w:r>
          </w:p>
        </w:tc>
        <w:tc>
          <w:tcPr>
            <w:tcW w:w="2493" w:type="dxa"/>
            <w:gridSpan w:val="2"/>
            <w:vAlign w:val="center"/>
          </w:tcPr>
          <w:p w14:paraId="4A388484">
            <w:pPr>
              <w:jc w:val="center"/>
              <w:rPr>
                <w:color w:val="auto"/>
                <w:szCs w:val="21"/>
              </w:rPr>
            </w:pPr>
            <w:r>
              <w:rPr>
                <w:color w:val="auto"/>
                <w:szCs w:val="21"/>
              </w:rPr>
              <w:t>污染源</w:t>
            </w:r>
          </w:p>
        </w:tc>
      </w:tr>
      <w:tr w14:paraId="1D4E1C4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210DEE3A">
            <w:pPr>
              <w:widowControl/>
              <w:jc w:val="left"/>
              <w:rPr>
                <w:color w:val="auto"/>
                <w:szCs w:val="21"/>
              </w:rPr>
            </w:pPr>
          </w:p>
        </w:tc>
        <w:tc>
          <w:tcPr>
            <w:tcW w:w="1559" w:type="dxa"/>
            <w:gridSpan w:val="2"/>
            <w:vMerge w:val="continue"/>
            <w:vAlign w:val="center"/>
          </w:tcPr>
          <w:p w14:paraId="76C508C3">
            <w:pPr>
              <w:widowControl/>
              <w:jc w:val="left"/>
              <w:rPr>
                <w:color w:val="auto"/>
                <w:szCs w:val="21"/>
              </w:rPr>
            </w:pPr>
          </w:p>
        </w:tc>
        <w:tc>
          <w:tcPr>
            <w:tcW w:w="1784" w:type="dxa"/>
            <w:vAlign w:val="center"/>
          </w:tcPr>
          <w:p w14:paraId="1E27F213">
            <w:pPr>
              <w:jc w:val="center"/>
              <w:rPr>
                <w:color w:val="auto"/>
                <w:szCs w:val="21"/>
              </w:rPr>
            </w:pPr>
            <w:r>
              <w:rPr>
                <w:color w:val="auto"/>
                <w:szCs w:val="21"/>
              </w:rPr>
              <w:t>监测方式</w:t>
            </w:r>
          </w:p>
        </w:tc>
        <w:tc>
          <w:tcPr>
            <w:tcW w:w="2492" w:type="dxa"/>
            <w:gridSpan w:val="3"/>
            <w:vAlign w:val="center"/>
          </w:tcPr>
          <w:p w14:paraId="705C6710">
            <w:pPr>
              <w:jc w:val="center"/>
              <w:rPr>
                <w:color w:val="auto"/>
                <w:szCs w:val="21"/>
              </w:rPr>
            </w:pPr>
            <w:r>
              <w:rPr>
                <w:color w:val="auto"/>
              </w:rPr>
              <w:t>手动□；自动□；无监测□</w:t>
            </w:r>
          </w:p>
        </w:tc>
        <w:tc>
          <w:tcPr>
            <w:tcW w:w="2493" w:type="dxa"/>
            <w:gridSpan w:val="2"/>
            <w:vAlign w:val="center"/>
          </w:tcPr>
          <w:p w14:paraId="5F0E3B87">
            <w:pPr>
              <w:jc w:val="center"/>
              <w:rPr>
                <w:color w:val="auto"/>
                <w:szCs w:val="21"/>
              </w:rPr>
            </w:pPr>
            <w:r>
              <w:rPr>
                <w:color w:val="auto"/>
              </w:rPr>
              <w:t>手动□；自动□；无监测□</w:t>
            </w:r>
          </w:p>
        </w:tc>
      </w:tr>
      <w:tr w14:paraId="7DE97E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3100EC55">
            <w:pPr>
              <w:widowControl/>
              <w:jc w:val="left"/>
              <w:rPr>
                <w:color w:val="auto"/>
                <w:szCs w:val="21"/>
              </w:rPr>
            </w:pPr>
          </w:p>
        </w:tc>
        <w:tc>
          <w:tcPr>
            <w:tcW w:w="1559" w:type="dxa"/>
            <w:gridSpan w:val="2"/>
            <w:vMerge w:val="continue"/>
            <w:vAlign w:val="center"/>
          </w:tcPr>
          <w:p w14:paraId="1067D59F">
            <w:pPr>
              <w:widowControl/>
              <w:jc w:val="left"/>
              <w:rPr>
                <w:color w:val="auto"/>
                <w:szCs w:val="21"/>
              </w:rPr>
            </w:pPr>
          </w:p>
        </w:tc>
        <w:tc>
          <w:tcPr>
            <w:tcW w:w="1784" w:type="dxa"/>
            <w:vAlign w:val="center"/>
          </w:tcPr>
          <w:p w14:paraId="7074BE24">
            <w:pPr>
              <w:jc w:val="center"/>
              <w:rPr>
                <w:color w:val="auto"/>
                <w:szCs w:val="21"/>
              </w:rPr>
            </w:pPr>
            <w:r>
              <w:rPr>
                <w:color w:val="auto"/>
                <w:szCs w:val="21"/>
              </w:rPr>
              <w:t>监测点位</w:t>
            </w:r>
          </w:p>
        </w:tc>
        <w:tc>
          <w:tcPr>
            <w:tcW w:w="2492" w:type="dxa"/>
            <w:gridSpan w:val="3"/>
            <w:vAlign w:val="center"/>
          </w:tcPr>
          <w:p w14:paraId="30F275E6">
            <w:pPr>
              <w:jc w:val="center"/>
              <w:rPr>
                <w:color w:val="auto"/>
                <w:szCs w:val="21"/>
              </w:rPr>
            </w:pPr>
            <w:r>
              <w:rPr>
                <w:color w:val="auto"/>
                <w:szCs w:val="21"/>
              </w:rPr>
              <w:t>（）</w:t>
            </w:r>
          </w:p>
        </w:tc>
        <w:tc>
          <w:tcPr>
            <w:tcW w:w="2493" w:type="dxa"/>
            <w:gridSpan w:val="2"/>
            <w:vAlign w:val="center"/>
          </w:tcPr>
          <w:p w14:paraId="7286D25C">
            <w:pPr>
              <w:jc w:val="center"/>
              <w:rPr>
                <w:color w:val="auto"/>
                <w:szCs w:val="21"/>
              </w:rPr>
            </w:pPr>
            <w:r>
              <w:rPr>
                <w:color w:val="auto"/>
                <w:szCs w:val="21"/>
              </w:rPr>
              <w:t>（）</w:t>
            </w:r>
          </w:p>
        </w:tc>
      </w:tr>
      <w:tr w14:paraId="47BC807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4301A71A">
            <w:pPr>
              <w:widowControl/>
              <w:jc w:val="left"/>
              <w:rPr>
                <w:color w:val="auto"/>
                <w:szCs w:val="21"/>
              </w:rPr>
            </w:pPr>
          </w:p>
        </w:tc>
        <w:tc>
          <w:tcPr>
            <w:tcW w:w="1559" w:type="dxa"/>
            <w:gridSpan w:val="2"/>
            <w:vMerge w:val="continue"/>
            <w:vAlign w:val="center"/>
          </w:tcPr>
          <w:p w14:paraId="07717E7A">
            <w:pPr>
              <w:widowControl/>
              <w:jc w:val="left"/>
              <w:rPr>
                <w:color w:val="auto"/>
                <w:szCs w:val="21"/>
              </w:rPr>
            </w:pPr>
          </w:p>
        </w:tc>
        <w:tc>
          <w:tcPr>
            <w:tcW w:w="1784" w:type="dxa"/>
            <w:vAlign w:val="center"/>
          </w:tcPr>
          <w:p w14:paraId="75525153">
            <w:pPr>
              <w:jc w:val="center"/>
              <w:rPr>
                <w:color w:val="auto"/>
                <w:szCs w:val="21"/>
              </w:rPr>
            </w:pPr>
            <w:r>
              <w:rPr>
                <w:color w:val="auto"/>
                <w:szCs w:val="21"/>
              </w:rPr>
              <w:t>监测因子</w:t>
            </w:r>
          </w:p>
        </w:tc>
        <w:tc>
          <w:tcPr>
            <w:tcW w:w="2492" w:type="dxa"/>
            <w:gridSpan w:val="3"/>
            <w:vAlign w:val="center"/>
          </w:tcPr>
          <w:p w14:paraId="72759EA9">
            <w:pPr>
              <w:jc w:val="center"/>
              <w:rPr>
                <w:color w:val="auto"/>
                <w:szCs w:val="21"/>
              </w:rPr>
            </w:pPr>
            <w:r>
              <w:rPr>
                <w:color w:val="auto"/>
                <w:szCs w:val="21"/>
              </w:rPr>
              <w:t>（）</w:t>
            </w:r>
          </w:p>
        </w:tc>
        <w:tc>
          <w:tcPr>
            <w:tcW w:w="2493" w:type="dxa"/>
            <w:gridSpan w:val="2"/>
            <w:vAlign w:val="center"/>
          </w:tcPr>
          <w:p w14:paraId="1EBF705B">
            <w:pPr>
              <w:jc w:val="center"/>
              <w:rPr>
                <w:color w:val="auto"/>
                <w:szCs w:val="21"/>
              </w:rPr>
            </w:pPr>
            <w:r>
              <w:rPr>
                <w:color w:val="auto"/>
                <w:szCs w:val="21"/>
              </w:rPr>
              <w:t>（）</w:t>
            </w:r>
          </w:p>
        </w:tc>
      </w:tr>
      <w:tr w14:paraId="6298387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dxa"/>
            <w:vMerge w:val="continue"/>
            <w:vAlign w:val="center"/>
          </w:tcPr>
          <w:p w14:paraId="059DF2A5">
            <w:pPr>
              <w:widowControl/>
              <w:jc w:val="left"/>
              <w:rPr>
                <w:color w:val="auto"/>
                <w:szCs w:val="21"/>
              </w:rPr>
            </w:pPr>
          </w:p>
        </w:tc>
        <w:tc>
          <w:tcPr>
            <w:tcW w:w="1559" w:type="dxa"/>
            <w:gridSpan w:val="2"/>
            <w:vAlign w:val="center"/>
          </w:tcPr>
          <w:p w14:paraId="45129401">
            <w:pPr>
              <w:jc w:val="center"/>
              <w:rPr>
                <w:color w:val="auto"/>
                <w:szCs w:val="21"/>
              </w:rPr>
            </w:pPr>
            <w:r>
              <w:rPr>
                <w:color w:val="auto"/>
                <w:szCs w:val="21"/>
              </w:rPr>
              <w:t>污染物排放清单</w:t>
            </w:r>
          </w:p>
        </w:tc>
        <w:tc>
          <w:tcPr>
            <w:tcW w:w="6769" w:type="dxa"/>
            <w:gridSpan w:val="6"/>
            <w:vAlign w:val="center"/>
          </w:tcPr>
          <w:p w14:paraId="4BF8D20A">
            <w:pPr>
              <w:jc w:val="center"/>
              <w:rPr>
                <w:color w:val="auto"/>
                <w:szCs w:val="21"/>
              </w:rPr>
            </w:pPr>
            <w:r>
              <w:rPr>
                <w:color w:val="auto"/>
              </w:rPr>
              <w:t>□</w:t>
            </w:r>
          </w:p>
        </w:tc>
      </w:tr>
      <w:tr w14:paraId="0BC6D2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1" w:type="dxa"/>
            <w:gridSpan w:val="3"/>
            <w:vAlign w:val="center"/>
          </w:tcPr>
          <w:p w14:paraId="2E60BCBC">
            <w:pPr>
              <w:jc w:val="center"/>
              <w:rPr>
                <w:color w:val="auto"/>
                <w:szCs w:val="21"/>
              </w:rPr>
            </w:pPr>
            <w:r>
              <w:rPr>
                <w:color w:val="auto"/>
                <w:szCs w:val="21"/>
              </w:rPr>
              <w:t>评价结论</w:t>
            </w:r>
          </w:p>
        </w:tc>
        <w:tc>
          <w:tcPr>
            <w:tcW w:w="6769" w:type="dxa"/>
            <w:gridSpan w:val="6"/>
            <w:vAlign w:val="center"/>
          </w:tcPr>
          <w:p w14:paraId="2A33006E">
            <w:pPr>
              <w:jc w:val="center"/>
              <w:rPr>
                <w:color w:val="auto"/>
                <w:szCs w:val="21"/>
              </w:rPr>
            </w:pPr>
            <w:r>
              <w:rPr>
                <w:color w:val="auto"/>
                <w:szCs w:val="21"/>
              </w:rPr>
              <w:t>可以接受☑；不可以接受□</w:t>
            </w:r>
          </w:p>
        </w:tc>
      </w:tr>
      <w:tr w14:paraId="43E79C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0" w:type="dxa"/>
            <w:gridSpan w:val="9"/>
            <w:vAlign w:val="center"/>
          </w:tcPr>
          <w:p w14:paraId="3C024805">
            <w:pPr>
              <w:jc w:val="center"/>
              <w:rPr>
                <w:color w:val="auto"/>
                <w:szCs w:val="21"/>
              </w:rPr>
            </w:pPr>
            <w:r>
              <w:rPr>
                <w:color w:val="auto"/>
                <w:szCs w:val="21"/>
              </w:rPr>
              <w:t>注：“□”为勾选项，可打√；“（）”为内容填写项；“备注”为其他补充内容。</w:t>
            </w:r>
          </w:p>
        </w:tc>
      </w:tr>
    </w:tbl>
    <w:p w14:paraId="492183DF">
      <w:pPr>
        <w:pStyle w:val="4"/>
        <w:snapToGrid w:val="0"/>
        <w:spacing w:before="0"/>
        <w:rPr>
          <w:rFonts w:ascii="Times New Roman" w:hAnsi="Times New Roman" w:eastAsia="宋体"/>
          <w:bCs/>
          <w:color w:val="auto"/>
          <w:sz w:val="28"/>
          <w:szCs w:val="28"/>
        </w:rPr>
      </w:pPr>
      <w:bookmarkStart w:id="329" w:name="_Toc27471"/>
      <w:r>
        <w:rPr>
          <w:rFonts w:ascii="Times New Roman" w:hAnsi="Times New Roman" w:eastAsia="宋体"/>
          <w:bCs/>
          <w:color w:val="auto"/>
          <w:sz w:val="28"/>
          <w:szCs w:val="28"/>
        </w:rPr>
        <w:t>5.2.3运营期地下水环境影响分析</w:t>
      </w:r>
      <w:bookmarkEnd w:id="329"/>
    </w:p>
    <w:p w14:paraId="749EC960">
      <w:pPr>
        <w:adjustRightInd w:val="0"/>
        <w:spacing w:line="360" w:lineRule="auto"/>
        <w:ind w:firstLine="480" w:firstLineChars="200"/>
        <w:rPr>
          <w:color w:val="auto"/>
          <w:sz w:val="24"/>
        </w:rPr>
      </w:pPr>
      <w:r>
        <w:rPr>
          <w:color w:val="auto"/>
          <w:sz w:val="24"/>
        </w:rPr>
        <w:t>根据《环境影响评价技术导则 地下水环境》（HJ610-2016）附录A（规范性附录）地下水环境影响评价行业分类表，本项目属于“畜禽养殖场、养殖小区”地下水环境影响评价项目类别为Ⅲ类，通过建设项目的地下水环境影响评价工作等级划分，本项目地下水评价等级为三级。</w:t>
      </w:r>
    </w:p>
    <w:p w14:paraId="553BEEB6">
      <w:pPr>
        <w:pStyle w:val="276"/>
        <w:ind w:left="0" w:leftChars="0" w:firstLine="0" w:firstLineChars="0"/>
        <w:rPr>
          <w:b/>
          <w:color w:val="auto"/>
        </w:rPr>
      </w:pPr>
      <w:r>
        <w:rPr>
          <w:b/>
          <w:color w:val="auto"/>
        </w:rPr>
        <w:t>5.2.3.1本项目取水情况</w:t>
      </w:r>
    </w:p>
    <w:p w14:paraId="60EDFFC0">
      <w:pPr>
        <w:adjustRightInd w:val="0"/>
        <w:spacing w:line="360" w:lineRule="auto"/>
        <w:ind w:firstLine="480" w:firstLineChars="200"/>
        <w:rPr>
          <w:color w:val="auto"/>
          <w:sz w:val="24"/>
          <w:highlight w:val="green"/>
        </w:rPr>
      </w:pPr>
      <w:r>
        <w:rPr>
          <w:color w:val="auto"/>
          <w:sz w:val="24"/>
        </w:rPr>
        <w:t>项目供水由</w:t>
      </w:r>
      <w:r>
        <w:rPr>
          <w:rFonts w:hint="eastAsia"/>
          <w:color w:val="auto"/>
          <w:sz w:val="24"/>
          <w:lang w:eastAsia="zh-CN"/>
        </w:rPr>
        <w:t>厂区内自备水井</w:t>
      </w:r>
      <w:r>
        <w:rPr>
          <w:color w:val="auto"/>
          <w:sz w:val="24"/>
        </w:rPr>
        <w:t>供给。本项目用水内容包括</w:t>
      </w:r>
      <w:r>
        <w:rPr>
          <w:rFonts w:hint="eastAsia" w:hAnsi="宋体"/>
          <w:color w:val="auto"/>
          <w:sz w:val="24"/>
        </w:rPr>
        <w:t>养殖用水</w:t>
      </w:r>
      <w:r>
        <w:rPr>
          <w:rFonts w:hint="eastAsia"/>
          <w:color w:val="auto"/>
          <w:sz w:val="24"/>
        </w:rPr>
        <w:t>、</w:t>
      </w:r>
      <w:r>
        <w:rPr>
          <w:rFonts w:hint="eastAsia" w:hAnsi="宋体"/>
          <w:color w:val="auto"/>
          <w:sz w:val="24"/>
        </w:rPr>
        <w:t>鸡舍冲洗用水、</w:t>
      </w:r>
      <w:r>
        <w:rPr>
          <w:bCs/>
          <w:color w:val="auto"/>
          <w:sz w:val="24"/>
        </w:rPr>
        <w:t>绿化用水</w:t>
      </w:r>
      <w:r>
        <w:rPr>
          <w:rFonts w:hint="eastAsia"/>
          <w:bCs/>
          <w:color w:val="auto"/>
          <w:sz w:val="24"/>
        </w:rPr>
        <w:t>、</w:t>
      </w:r>
      <w:r>
        <w:rPr>
          <w:bCs/>
          <w:color w:val="auto"/>
          <w:sz w:val="24"/>
        </w:rPr>
        <w:t>消毒用水</w:t>
      </w:r>
      <w:r>
        <w:rPr>
          <w:rFonts w:hint="eastAsia"/>
          <w:bCs/>
          <w:color w:val="auto"/>
          <w:sz w:val="24"/>
        </w:rPr>
        <w:t>、</w:t>
      </w:r>
      <w:r>
        <w:rPr>
          <w:color w:val="auto"/>
          <w:sz w:val="24"/>
        </w:rPr>
        <w:t>湿帘降温补充水</w:t>
      </w:r>
      <w:r>
        <w:rPr>
          <w:rFonts w:hint="eastAsia"/>
          <w:color w:val="auto"/>
          <w:sz w:val="24"/>
        </w:rPr>
        <w:t>、锅炉补水、反冲洗用水、</w:t>
      </w:r>
      <w:r>
        <w:rPr>
          <w:color w:val="auto"/>
          <w:sz w:val="24"/>
        </w:rPr>
        <w:t>职工生活</w:t>
      </w:r>
      <w:r>
        <w:rPr>
          <w:rFonts w:hint="eastAsia"/>
          <w:color w:val="auto"/>
          <w:sz w:val="24"/>
        </w:rPr>
        <w:t>用</w:t>
      </w:r>
      <w:r>
        <w:rPr>
          <w:color w:val="auto"/>
          <w:sz w:val="24"/>
        </w:rPr>
        <w:t>水</w:t>
      </w:r>
      <w:r>
        <w:rPr>
          <w:rFonts w:hint="eastAsia"/>
          <w:color w:val="auto"/>
          <w:sz w:val="24"/>
        </w:rPr>
        <w:t>、</w:t>
      </w:r>
      <w:r>
        <w:rPr>
          <w:color w:val="auto"/>
          <w:sz w:val="24"/>
        </w:rPr>
        <w:t>食堂</w:t>
      </w:r>
      <w:r>
        <w:rPr>
          <w:rFonts w:hint="eastAsia"/>
          <w:color w:val="auto"/>
          <w:sz w:val="24"/>
        </w:rPr>
        <w:t>用</w:t>
      </w:r>
      <w:r>
        <w:rPr>
          <w:color w:val="auto"/>
          <w:sz w:val="24"/>
        </w:rPr>
        <w:t>水等，</w:t>
      </w:r>
      <w:r>
        <w:rPr>
          <w:rFonts w:hint="eastAsia"/>
          <w:color w:val="auto"/>
          <w:sz w:val="24"/>
          <w:highlight w:val="none"/>
        </w:rPr>
        <w:t>用</w:t>
      </w:r>
      <w:r>
        <w:rPr>
          <w:color w:val="auto"/>
          <w:sz w:val="24"/>
          <w:highlight w:val="none"/>
        </w:rPr>
        <w:t>水量为</w:t>
      </w:r>
      <w:r>
        <w:rPr>
          <w:rFonts w:hint="eastAsia"/>
          <w:color w:val="auto"/>
          <w:sz w:val="24"/>
          <w:highlight w:val="none"/>
          <w:lang w:eastAsia="zh-CN"/>
        </w:rPr>
        <w:t>740954.48</w:t>
      </w:r>
      <w:r>
        <w:rPr>
          <w:color w:val="auto"/>
          <w:sz w:val="24"/>
          <w:highlight w:val="none"/>
        </w:rPr>
        <w:t>m</w:t>
      </w:r>
      <w:r>
        <w:rPr>
          <w:color w:val="auto"/>
          <w:sz w:val="24"/>
          <w:highlight w:val="none"/>
          <w:vertAlign w:val="superscript"/>
        </w:rPr>
        <w:t>3</w:t>
      </w:r>
      <w:r>
        <w:rPr>
          <w:color w:val="auto"/>
          <w:sz w:val="24"/>
          <w:highlight w:val="none"/>
        </w:rPr>
        <w:t>/a。</w:t>
      </w:r>
    </w:p>
    <w:p w14:paraId="366FA159">
      <w:pPr>
        <w:pStyle w:val="276"/>
        <w:ind w:left="0" w:leftChars="0" w:firstLine="0" w:firstLineChars="0"/>
        <w:rPr>
          <w:b/>
          <w:color w:val="auto"/>
        </w:rPr>
      </w:pPr>
      <w:r>
        <w:rPr>
          <w:rFonts w:hint="eastAsia"/>
          <w:b/>
          <w:color w:val="auto"/>
        </w:rPr>
        <w:t>5.2.3.2项目区域</w:t>
      </w:r>
      <w:r>
        <w:rPr>
          <w:b/>
          <w:color w:val="auto"/>
        </w:rPr>
        <w:t>水文地质条件</w:t>
      </w:r>
    </w:p>
    <w:p w14:paraId="78A87226">
      <w:pPr>
        <w:pStyle w:val="152"/>
        <w:rPr>
          <w:rFonts w:ascii="Times New Roman" w:hAnsi="Times New Roman" w:cs="Times New Roman"/>
          <w:color w:val="auto"/>
          <w:szCs w:val="24"/>
        </w:rPr>
      </w:pPr>
      <w:r>
        <w:rPr>
          <w:rFonts w:ascii="Times New Roman" w:hAnsi="Times New Roman" w:cs="Times New Roman"/>
          <w:color w:val="auto"/>
          <w:szCs w:val="24"/>
        </w:rPr>
        <w:t>根据前文4.1.6中地下水调查分析，项目所在地下水地质单元属岩浆岩类裂隙含水岩组-喷出岩类富水程度弱岩组，单元北部为岩浆岩类裂隙含水岩组-侵入岩类含水岩组富水程度弱岩组，单元西北及西部为变质岩类裂隙含水岩组中的富水程度弱岩组，单元东部及东南东北部均为碎屑岩类孔隙裂隙含水岩组中-碎屑岩类含水岩组富水程度弱岩组。项目所在地整个地下水地质单元地下水条件较差。</w:t>
      </w:r>
    </w:p>
    <w:p w14:paraId="27A3C918">
      <w:pPr>
        <w:pStyle w:val="152"/>
        <w:rPr>
          <w:rFonts w:ascii="Times New Roman" w:hAnsi="Times New Roman" w:cs="Times New Roman"/>
          <w:color w:val="auto"/>
          <w:szCs w:val="24"/>
        </w:rPr>
      </w:pPr>
      <w:r>
        <w:rPr>
          <w:rFonts w:ascii="Times New Roman" w:hAnsi="Times New Roman" w:cs="Times New Roman"/>
          <w:color w:val="auto"/>
          <w:szCs w:val="24"/>
        </w:rPr>
        <w:t>项目所在区内无溶洞、岩溶洼地、漏斗等宏观形态，地下水总体的径流方向依据地势南北两侧地下水向河谷平原区汇集后，自西向东流，项目所在区域内无地下水出露泉点。</w:t>
      </w:r>
    </w:p>
    <w:p w14:paraId="0747EDD6">
      <w:pPr>
        <w:pStyle w:val="152"/>
        <w:rPr>
          <w:rFonts w:ascii="Times New Roman" w:hAnsi="Times New Roman" w:cs="Times New Roman"/>
          <w:color w:val="auto"/>
          <w:szCs w:val="24"/>
        </w:rPr>
      </w:pPr>
      <w:r>
        <w:rPr>
          <w:rFonts w:ascii="Times New Roman" w:hAnsi="Times New Roman" w:cs="Times New Roman"/>
          <w:color w:val="auto"/>
          <w:szCs w:val="24"/>
        </w:rPr>
        <w:t>项目所在区域不在饮用水源保护区范围内，周边没有集中供水水源地。根据对评价区域内村庄进行的调查结果可知，本扩建项目所在区域地下水评价范围内的农村居民饮用水目前多数为自打水井作为饮用水，地下水开发利用现状主要是村民生活洗衣、饮用 用水及农田灌溉。</w:t>
      </w:r>
    </w:p>
    <w:p w14:paraId="63F1AA01">
      <w:pPr>
        <w:pStyle w:val="152"/>
        <w:rPr>
          <w:rFonts w:ascii="Times New Roman" w:hAnsi="Times New Roman" w:cs="Times New Roman"/>
          <w:color w:val="auto"/>
          <w:szCs w:val="24"/>
        </w:rPr>
      </w:pPr>
      <w:r>
        <w:rPr>
          <w:rFonts w:ascii="Times New Roman" w:hAnsi="Times New Roman" w:cs="Times New Roman"/>
          <w:color w:val="auto"/>
          <w:szCs w:val="24"/>
        </w:rPr>
        <w:t>项目区位于</w:t>
      </w:r>
      <w:r>
        <w:rPr>
          <w:rFonts w:hint="eastAsia" w:ascii="Times New Roman" w:hAnsi="Times New Roman" w:cs="Times New Roman"/>
          <w:color w:val="auto"/>
          <w:szCs w:val="24"/>
          <w:lang w:eastAsia="zh-CN"/>
        </w:rPr>
        <w:t>北票市西官镇大巴里村</w:t>
      </w:r>
      <w:r>
        <w:rPr>
          <w:rFonts w:ascii="Times New Roman" w:hAnsi="Times New Roman" w:cs="Times New Roman"/>
          <w:color w:val="auto"/>
          <w:szCs w:val="24"/>
        </w:rPr>
        <w:t>，项目区短期内不会新增大型使用或大量开采地下水的项目。因此本区内生产用水在未来改变不大，仅可能有少量增加。对于村庄村民生活用水，随社会发展，人口增长率降低，未来村庄居住的居民人口增长缓慢，生活用水量变化不大。因此，本评价区内在未来地下水开采强度仅有少量增加，变化不大。</w:t>
      </w:r>
    </w:p>
    <w:p w14:paraId="69F61BB2">
      <w:pPr>
        <w:pStyle w:val="276"/>
        <w:ind w:left="0" w:leftChars="0" w:firstLine="0" w:firstLineChars="0"/>
        <w:rPr>
          <w:rFonts w:hint="eastAsia"/>
          <w:b/>
          <w:color w:val="auto"/>
        </w:rPr>
      </w:pPr>
      <w:r>
        <w:rPr>
          <w:rFonts w:hint="eastAsia"/>
          <w:b/>
          <w:color w:val="auto"/>
        </w:rPr>
        <w:t>5.2.3.7评价区及厂区水文地质条件</w:t>
      </w:r>
    </w:p>
    <w:p w14:paraId="44DA0386">
      <w:pPr>
        <w:pStyle w:val="152"/>
        <w:rPr>
          <w:rFonts w:ascii="Times New Roman" w:hAnsi="Times New Roman" w:cs="Times New Roman"/>
          <w:color w:val="auto"/>
          <w:szCs w:val="24"/>
        </w:rPr>
      </w:pPr>
      <w:r>
        <w:rPr>
          <w:rFonts w:hint="eastAsia" w:ascii="Times New Roman" w:hAnsi="Times New Roman" w:cs="Times New Roman"/>
          <w:color w:val="auto"/>
          <w:szCs w:val="24"/>
        </w:rPr>
        <w:t>（1）</w:t>
      </w:r>
      <w:r>
        <w:rPr>
          <w:rFonts w:ascii="Times New Roman" w:hAnsi="Times New Roman" w:cs="Times New Roman"/>
          <w:color w:val="auto"/>
          <w:szCs w:val="24"/>
        </w:rPr>
        <w:t>评价区含水层类型及分布特征</w:t>
      </w:r>
    </w:p>
    <w:p w14:paraId="33C5BEC7">
      <w:pPr>
        <w:pStyle w:val="152"/>
        <w:rPr>
          <w:rFonts w:ascii="Times New Roman" w:hAnsi="Times New Roman" w:cs="Times New Roman"/>
          <w:color w:val="auto"/>
          <w:szCs w:val="24"/>
        </w:rPr>
      </w:pPr>
      <w:r>
        <w:rPr>
          <w:rFonts w:ascii="Times New Roman" w:hAnsi="Times New Roman" w:cs="Times New Roman"/>
          <w:color w:val="auto"/>
          <w:szCs w:val="24"/>
        </w:rPr>
        <w:t>评价区对其水文地质特征分述于：一级阶地潜水极富水区，沿河连续呈带状分布的漫滩与一级阶地，以平庄一带最宽达10km，美丽河一沙子山间最窄，以北复宽，平均5km。具明显的双层结构，上部为2-5m的亚砂土，其下 部为砂砾石、卵砾石层。砾径一般1-5cm，大者15-20cm，磨圆较好，分选一般，不均匀系数5.5-10.9（上部粗砂层4.1-7.3）。砾石成分较杂，分布稳定，厚度大，从上、中、下段3个剖面分析，砂砾石层厚度达30-60m，平均厚度48m。据东北电力设计院元宝山电厂水源地勘探室内试验资料，给水度0.1-0.2。</w:t>
      </w:r>
    </w:p>
    <w:p w14:paraId="0BD3FCFC">
      <w:pPr>
        <w:pStyle w:val="152"/>
        <w:rPr>
          <w:rFonts w:ascii="Times New Roman" w:hAnsi="Times New Roman" w:cs="Times New Roman"/>
          <w:color w:val="auto"/>
          <w:szCs w:val="24"/>
        </w:rPr>
      </w:pPr>
      <w:r>
        <w:rPr>
          <w:rFonts w:ascii="Times New Roman" w:hAnsi="Times New Roman" w:cs="Times New Roman"/>
          <w:color w:val="auto"/>
          <w:szCs w:val="24"/>
        </w:rPr>
        <w:t>据12个钻孔7个机井抽水资料，钻孔单井涌水量大于6000t/d的6个孔，占50%。其余单井涌水量为2500-4000t/d。从含水层的结构分析，二者是一致的，所以产生差别，是成井工艺不同所致，机并单井涌水量在2000-4000t/d之间（其中2个井，单井涌水量大于5000t/d）。因机井多数为浅并，主要反映了表部粗砂含砾层的富水性特征。通过如上的分析，认为该河谷一级阶地区为单井涌水量（降深5m8寸口径）大于5000t/d的极富水区。</w:t>
      </w:r>
    </w:p>
    <w:p w14:paraId="44517AF6">
      <w:pPr>
        <w:pStyle w:val="152"/>
        <w:rPr>
          <w:rFonts w:ascii="Times New Roman" w:hAnsi="Times New Roman" w:cs="Times New Roman"/>
          <w:color w:val="auto"/>
          <w:szCs w:val="24"/>
        </w:rPr>
      </w:pPr>
      <w:r>
        <w:rPr>
          <w:rFonts w:hint="eastAsia" w:ascii="Times New Roman" w:hAnsi="Times New Roman" w:cs="Times New Roman"/>
          <w:color w:val="auto"/>
          <w:szCs w:val="24"/>
        </w:rPr>
        <w:t>（2）</w:t>
      </w:r>
      <w:r>
        <w:rPr>
          <w:rFonts w:ascii="Times New Roman" w:hAnsi="Times New Roman" w:cs="Times New Roman"/>
          <w:color w:val="auto"/>
          <w:szCs w:val="24"/>
        </w:rPr>
        <w:t>厂区地质条件</w:t>
      </w:r>
    </w:p>
    <w:p w14:paraId="340F1FEA">
      <w:pPr>
        <w:pStyle w:val="152"/>
        <w:rPr>
          <w:rFonts w:ascii="Times New Roman" w:hAnsi="Times New Roman" w:cs="Times New Roman"/>
          <w:color w:val="auto"/>
          <w:szCs w:val="24"/>
        </w:rPr>
      </w:pPr>
      <w:r>
        <w:rPr>
          <w:rFonts w:ascii="Times New Roman" w:hAnsi="Times New Roman" w:cs="Times New Roman"/>
          <w:color w:val="auto"/>
          <w:szCs w:val="24"/>
        </w:rPr>
        <w:t>在勘探深度内，评价区内地层为全新统冲击(Q</w:t>
      </w:r>
      <w:r>
        <w:rPr>
          <w:rFonts w:ascii="Times New Roman" w:hAnsi="Times New Roman" w:cs="Times New Roman"/>
          <w:color w:val="auto"/>
          <w:szCs w:val="24"/>
          <w:vertAlign w:val="subscript"/>
        </w:rPr>
        <w:t>4</w:t>
      </w:r>
      <w:r>
        <w:rPr>
          <w:rFonts w:ascii="Times New Roman" w:hAnsi="Times New Roman" w:cs="Times New Roman"/>
          <w:color w:val="auto"/>
          <w:szCs w:val="24"/>
          <w:vertAlign w:val="superscript"/>
        </w:rPr>
        <w:t>al</w:t>
      </w:r>
      <w:r>
        <w:rPr>
          <w:rFonts w:ascii="Times New Roman" w:hAnsi="Times New Roman" w:cs="Times New Roman"/>
          <w:color w:val="auto"/>
          <w:szCs w:val="24"/>
        </w:rPr>
        <w:t>)粉质粘土层和冲洪积(Q</w:t>
      </w:r>
      <w:r>
        <w:rPr>
          <w:rFonts w:ascii="Times New Roman" w:hAnsi="Times New Roman" w:cs="Times New Roman"/>
          <w:color w:val="auto"/>
          <w:szCs w:val="24"/>
          <w:vertAlign w:val="subscript"/>
        </w:rPr>
        <w:t>4</w:t>
      </w:r>
      <w:r>
        <w:rPr>
          <w:rFonts w:ascii="Times New Roman" w:hAnsi="Times New Roman" w:cs="Times New Roman"/>
          <w:color w:val="auto"/>
          <w:szCs w:val="24"/>
          <w:vertAlign w:val="superscript"/>
        </w:rPr>
        <w:t>al+pl</w:t>
      </w:r>
      <w:r>
        <w:rPr>
          <w:rFonts w:ascii="Times New Roman" w:hAnsi="Times New Roman" w:cs="Times New Roman"/>
          <w:color w:val="auto"/>
          <w:szCs w:val="24"/>
        </w:rPr>
        <w:t>)粉细砂、中砂、中粗砂和圆砾层。各层岩土的岩性特征及分布情况详见表</w:t>
      </w:r>
      <w:r>
        <w:rPr>
          <w:rFonts w:hint="eastAsia" w:ascii="Times New Roman" w:hAnsi="Times New Roman" w:cs="Times New Roman"/>
          <w:color w:val="auto"/>
          <w:szCs w:val="24"/>
        </w:rPr>
        <w:t>5</w:t>
      </w:r>
      <w:r>
        <w:rPr>
          <w:rFonts w:hint="eastAsia" w:ascii="Times New Roman" w:hAnsi="Times New Roman" w:cs="Times New Roman"/>
          <w:color w:val="auto"/>
          <w:szCs w:val="24"/>
          <w:lang w:val="en-US" w:eastAsia="zh-CN"/>
        </w:rPr>
        <w:t>.2-20</w:t>
      </w:r>
      <w:r>
        <w:rPr>
          <w:rFonts w:ascii="Times New Roman" w:hAnsi="Times New Roman" w:cs="Times New Roman"/>
          <w:color w:val="auto"/>
          <w:szCs w:val="24"/>
        </w:rPr>
        <w:t>评价区工程地质剖面图见</w:t>
      </w:r>
      <w:r>
        <w:rPr>
          <w:rFonts w:hint="eastAsia" w:ascii="Times New Roman" w:hAnsi="Times New Roman" w:cs="Times New Roman"/>
          <w:color w:val="auto"/>
          <w:szCs w:val="24"/>
          <w:lang w:eastAsia="zh-CN"/>
        </w:rPr>
        <w:t>下</w:t>
      </w:r>
      <w:r>
        <w:rPr>
          <w:rFonts w:ascii="Times New Roman" w:hAnsi="Times New Roman" w:cs="Times New Roman"/>
          <w:color w:val="auto"/>
          <w:szCs w:val="24"/>
        </w:rPr>
        <w:t>图</w:t>
      </w:r>
      <w:r>
        <w:rPr>
          <w:rFonts w:hint="eastAsia" w:ascii="Times New Roman" w:hAnsi="Times New Roman" w:cs="Times New Roman"/>
          <w:color w:val="auto"/>
          <w:szCs w:val="24"/>
        </w:rPr>
        <w:t>5</w:t>
      </w:r>
      <w:r>
        <w:rPr>
          <w:rFonts w:hint="eastAsia" w:ascii="Times New Roman" w:hAnsi="Times New Roman" w:cs="Times New Roman"/>
          <w:color w:val="auto"/>
          <w:szCs w:val="24"/>
          <w:lang w:val="en-US" w:eastAsia="zh-CN"/>
        </w:rPr>
        <w:t>.2</w:t>
      </w:r>
      <w:r>
        <w:rPr>
          <w:rFonts w:hint="eastAsia" w:ascii="Times New Roman" w:hAnsi="Times New Roman" w:cs="Times New Roman"/>
          <w:color w:val="auto"/>
          <w:szCs w:val="24"/>
        </w:rPr>
        <w:t>-</w:t>
      </w:r>
      <w:r>
        <w:rPr>
          <w:rFonts w:hint="eastAsia" w:ascii="Times New Roman" w:hAnsi="Times New Roman" w:cs="Times New Roman"/>
          <w:color w:val="auto"/>
          <w:szCs w:val="24"/>
          <w:lang w:val="en-US" w:eastAsia="zh-CN"/>
        </w:rPr>
        <w:t>3</w:t>
      </w:r>
      <w:r>
        <w:rPr>
          <w:rFonts w:hint="eastAsia" w:ascii="Times New Roman" w:hAnsi="Times New Roman" w:cs="Times New Roman"/>
          <w:color w:val="auto"/>
          <w:szCs w:val="24"/>
        </w:rPr>
        <w:t>。</w:t>
      </w:r>
    </w:p>
    <w:p w14:paraId="26AC42AD">
      <w:pPr>
        <w:ind w:firstLine="422" w:firstLineChars="200"/>
        <w:jc w:val="center"/>
        <w:rPr>
          <w:b/>
          <w:color w:val="auto"/>
          <w:szCs w:val="21"/>
        </w:rPr>
      </w:pPr>
      <w:r>
        <w:rPr>
          <w:b/>
          <w:color w:val="auto"/>
          <w:szCs w:val="21"/>
        </w:rPr>
        <w:t>表</w:t>
      </w:r>
      <w:r>
        <w:rPr>
          <w:rFonts w:hint="eastAsia"/>
          <w:b/>
          <w:color w:val="auto"/>
          <w:szCs w:val="21"/>
        </w:rPr>
        <w:t>5</w:t>
      </w:r>
      <w:r>
        <w:rPr>
          <w:rFonts w:hint="eastAsia"/>
          <w:b/>
          <w:color w:val="auto"/>
          <w:szCs w:val="21"/>
          <w:lang w:val="en-US" w:eastAsia="zh-CN"/>
        </w:rPr>
        <w:t>.2-20</w:t>
      </w:r>
      <w:r>
        <w:rPr>
          <w:rFonts w:hint="eastAsia"/>
          <w:b/>
          <w:color w:val="auto"/>
          <w:szCs w:val="21"/>
        </w:rPr>
        <w:t xml:space="preserve">  </w:t>
      </w:r>
      <w:r>
        <w:rPr>
          <w:b/>
          <w:color w:val="auto"/>
          <w:szCs w:val="21"/>
        </w:rPr>
        <w:t xml:space="preserve">  地层岩性特征表</w:t>
      </w:r>
    </w:p>
    <w:tbl>
      <w:tblPr>
        <w:tblStyle w:val="53"/>
        <w:tblW w:w="4996"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988"/>
        <w:gridCol w:w="1100"/>
        <w:gridCol w:w="3066"/>
        <w:gridCol w:w="1141"/>
        <w:gridCol w:w="1073"/>
        <w:gridCol w:w="1153"/>
      </w:tblGrid>
      <w:tr w14:paraId="773210E0">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tl2br w:val="nil"/>
              <w:tr2bl w:val="nil"/>
            </w:tcBorders>
            <w:vAlign w:val="center"/>
          </w:tcPr>
          <w:p w14:paraId="43557FEF">
            <w:pPr>
              <w:jc w:val="center"/>
              <w:rPr>
                <w:b/>
                <w:color w:val="auto"/>
                <w:szCs w:val="21"/>
              </w:rPr>
            </w:pPr>
            <w:r>
              <w:rPr>
                <w:b/>
                <w:color w:val="auto"/>
                <w:szCs w:val="21"/>
              </w:rPr>
              <w:t>地层编号</w:t>
            </w:r>
          </w:p>
        </w:tc>
        <w:tc>
          <w:tcPr>
            <w:tcW w:w="645" w:type="pct"/>
            <w:tcBorders>
              <w:tl2br w:val="nil"/>
              <w:tr2bl w:val="nil"/>
            </w:tcBorders>
            <w:vAlign w:val="center"/>
          </w:tcPr>
          <w:p w14:paraId="35C6D1FB">
            <w:pPr>
              <w:jc w:val="center"/>
              <w:rPr>
                <w:b/>
                <w:color w:val="auto"/>
                <w:szCs w:val="21"/>
              </w:rPr>
            </w:pPr>
            <w:r>
              <w:rPr>
                <w:b/>
                <w:color w:val="auto"/>
                <w:szCs w:val="21"/>
              </w:rPr>
              <w:t>地层名称</w:t>
            </w:r>
          </w:p>
        </w:tc>
        <w:tc>
          <w:tcPr>
            <w:tcW w:w="1798" w:type="pct"/>
            <w:tcBorders>
              <w:tl2br w:val="nil"/>
              <w:tr2bl w:val="nil"/>
            </w:tcBorders>
            <w:vAlign w:val="center"/>
          </w:tcPr>
          <w:p w14:paraId="0D4D5D1E">
            <w:pPr>
              <w:jc w:val="center"/>
              <w:rPr>
                <w:b/>
                <w:color w:val="auto"/>
                <w:szCs w:val="21"/>
              </w:rPr>
            </w:pPr>
            <w:r>
              <w:rPr>
                <w:b/>
                <w:color w:val="auto"/>
                <w:szCs w:val="21"/>
              </w:rPr>
              <w:t>岩土描述</w:t>
            </w:r>
          </w:p>
        </w:tc>
        <w:tc>
          <w:tcPr>
            <w:tcW w:w="669" w:type="pct"/>
            <w:tcBorders>
              <w:right w:val="single" w:color="auto" w:sz="4" w:space="0"/>
              <w:tl2br w:val="nil"/>
              <w:tr2bl w:val="nil"/>
            </w:tcBorders>
            <w:vAlign w:val="center"/>
          </w:tcPr>
          <w:p w14:paraId="7ED9FE0E">
            <w:pPr>
              <w:jc w:val="center"/>
              <w:rPr>
                <w:b/>
                <w:color w:val="auto"/>
                <w:szCs w:val="21"/>
              </w:rPr>
            </w:pPr>
            <w:r>
              <w:rPr>
                <w:b/>
                <w:color w:val="auto"/>
                <w:szCs w:val="21"/>
              </w:rPr>
              <w:t>厚度变化范围（m）</w:t>
            </w:r>
          </w:p>
        </w:tc>
        <w:tc>
          <w:tcPr>
            <w:tcW w:w="629" w:type="pct"/>
            <w:tcBorders>
              <w:left w:val="single" w:color="auto" w:sz="4" w:space="0"/>
              <w:tl2br w:val="nil"/>
              <w:tr2bl w:val="nil"/>
            </w:tcBorders>
            <w:vAlign w:val="center"/>
          </w:tcPr>
          <w:p w14:paraId="78286690">
            <w:pPr>
              <w:jc w:val="center"/>
              <w:rPr>
                <w:b/>
                <w:color w:val="auto"/>
                <w:szCs w:val="21"/>
              </w:rPr>
            </w:pPr>
            <w:r>
              <w:rPr>
                <w:b/>
                <w:color w:val="auto"/>
                <w:szCs w:val="21"/>
              </w:rPr>
              <w:t>层底标高变化范围（m）</w:t>
            </w:r>
          </w:p>
        </w:tc>
        <w:tc>
          <w:tcPr>
            <w:tcW w:w="676" w:type="pct"/>
            <w:tcBorders>
              <w:tl2br w:val="nil"/>
              <w:tr2bl w:val="nil"/>
            </w:tcBorders>
            <w:vAlign w:val="center"/>
          </w:tcPr>
          <w:p w14:paraId="4BD89340">
            <w:pPr>
              <w:jc w:val="center"/>
              <w:rPr>
                <w:b/>
                <w:color w:val="auto"/>
                <w:szCs w:val="21"/>
              </w:rPr>
            </w:pPr>
            <w:r>
              <w:rPr>
                <w:b/>
                <w:color w:val="auto"/>
                <w:szCs w:val="21"/>
              </w:rPr>
              <w:t>分布情况</w:t>
            </w:r>
          </w:p>
        </w:tc>
      </w:tr>
      <w:tr w14:paraId="1A853E41">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bottom w:val="single" w:color="auto" w:sz="4" w:space="0"/>
              <w:tl2br w:val="nil"/>
              <w:tr2bl w:val="nil"/>
            </w:tcBorders>
            <w:vAlign w:val="center"/>
          </w:tcPr>
          <w:p w14:paraId="7B7D0065">
            <w:pPr>
              <w:jc w:val="center"/>
              <w:rPr>
                <w:color w:val="auto"/>
                <w:spacing w:val="-2"/>
                <w:kern w:val="0"/>
                <w:szCs w:val="21"/>
              </w:rPr>
            </w:pPr>
            <w:r>
              <w:rPr>
                <w:color w:val="auto"/>
                <w:spacing w:val="-2"/>
                <w:kern w:val="0"/>
                <w:szCs w:val="21"/>
              </w:rPr>
              <w:t>①</w:t>
            </w:r>
          </w:p>
        </w:tc>
        <w:tc>
          <w:tcPr>
            <w:tcW w:w="645" w:type="pct"/>
            <w:tcBorders>
              <w:bottom w:val="single" w:color="auto" w:sz="4" w:space="0"/>
              <w:tl2br w:val="nil"/>
              <w:tr2bl w:val="nil"/>
            </w:tcBorders>
            <w:vAlign w:val="center"/>
          </w:tcPr>
          <w:p w14:paraId="02E058F3">
            <w:pPr>
              <w:jc w:val="center"/>
              <w:rPr>
                <w:color w:val="auto"/>
                <w:spacing w:val="-2"/>
                <w:kern w:val="0"/>
                <w:szCs w:val="21"/>
              </w:rPr>
            </w:pPr>
            <w:r>
              <w:rPr>
                <w:color w:val="auto"/>
                <w:spacing w:val="-2"/>
                <w:kern w:val="0"/>
                <w:szCs w:val="21"/>
              </w:rPr>
              <w:t>粉细砂</w:t>
            </w:r>
          </w:p>
        </w:tc>
        <w:tc>
          <w:tcPr>
            <w:tcW w:w="1798" w:type="pct"/>
            <w:tcBorders>
              <w:tl2br w:val="nil"/>
              <w:tr2bl w:val="nil"/>
            </w:tcBorders>
            <w:vAlign w:val="center"/>
          </w:tcPr>
          <w:p w14:paraId="42D39037">
            <w:pPr>
              <w:jc w:val="center"/>
              <w:rPr>
                <w:color w:val="auto"/>
                <w:spacing w:val="-2"/>
                <w:kern w:val="0"/>
                <w:szCs w:val="21"/>
              </w:rPr>
            </w:pPr>
            <w:r>
              <w:rPr>
                <w:color w:val="auto"/>
                <w:spacing w:val="-2"/>
                <w:kern w:val="0"/>
                <w:szCs w:val="21"/>
              </w:rPr>
              <w:t>淡黄色-黄褐色，主要矿物成分以石英和长石为主，松散-稍密，稍湿，表层含大量的植物根系和少量腐殖质，局部相变为粉土和粉质粘土。</w:t>
            </w:r>
          </w:p>
        </w:tc>
        <w:tc>
          <w:tcPr>
            <w:tcW w:w="669" w:type="pct"/>
            <w:tcBorders>
              <w:right w:val="single" w:color="auto" w:sz="4" w:space="0"/>
              <w:tl2br w:val="nil"/>
              <w:tr2bl w:val="nil"/>
            </w:tcBorders>
            <w:vAlign w:val="center"/>
          </w:tcPr>
          <w:p w14:paraId="62B5BEBF">
            <w:pPr>
              <w:jc w:val="center"/>
              <w:rPr>
                <w:color w:val="auto"/>
                <w:spacing w:val="-2"/>
                <w:kern w:val="0"/>
                <w:szCs w:val="21"/>
              </w:rPr>
            </w:pPr>
            <w:r>
              <w:rPr>
                <w:color w:val="auto"/>
                <w:spacing w:val="-2"/>
                <w:kern w:val="0"/>
                <w:szCs w:val="21"/>
              </w:rPr>
              <w:t>1.2～7.0</w:t>
            </w:r>
          </w:p>
        </w:tc>
        <w:tc>
          <w:tcPr>
            <w:tcW w:w="629" w:type="pct"/>
            <w:tcBorders>
              <w:left w:val="single" w:color="auto" w:sz="4" w:space="0"/>
              <w:tl2br w:val="nil"/>
              <w:tr2bl w:val="nil"/>
            </w:tcBorders>
            <w:vAlign w:val="center"/>
          </w:tcPr>
          <w:p w14:paraId="30F57503">
            <w:pPr>
              <w:jc w:val="center"/>
              <w:rPr>
                <w:color w:val="auto"/>
                <w:spacing w:val="-2"/>
                <w:kern w:val="0"/>
                <w:szCs w:val="21"/>
              </w:rPr>
            </w:pPr>
            <w:r>
              <w:rPr>
                <w:color w:val="auto"/>
                <w:spacing w:val="-2"/>
                <w:kern w:val="0"/>
                <w:szCs w:val="21"/>
              </w:rPr>
              <w:t>477.11 ~ 485.69</w:t>
            </w:r>
          </w:p>
        </w:tc>
        <w:tc>
          <w:tcPr>
            <w:tcW w:w="676" w:type="pct"/>
            <w:tcBorders>
              <w:tl2br w:val="nil"/>
              <w:tr2bl w:val="nil"/>
            </w:tcBorders>
            <w:vAlign w:val="center"/>
          </w:tcPr>
          <w:p w14:paraId="6C80E49F">
            <w:pPr>
              <w:jc w:val="center"/>
              <w:rPr>
                <w:color w:val="auto"/>
                <w:spacing w:val="-2"/>
                <w:kern w:val="0"/>
                <w:szCs w:val="21"/>
              </w:rPr>
            </w:pPr>
            <w:r>
              <w:rPr>
                <w:color w:val="auto"/>
                <w:spacing w:val="-2"/>
                <w:kern w:val="0"/>
                <w:szCs w:val="21"/>
              </w:rPr>
              <w:t>全场地分布</w:t>
            </w:r>
          </w:p>
        </w:tc>
      </w:tr>
      <w:tr w14:paraId="6DE54326">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top w:val="single" w:color="auto" w:sz="4" w:space="0"/>
              <w:tl2br w:val="nil"/>
              <w:tr2bl w:val="nil"/>
            </w:tcBorders>
            <w:vAlign w:val="center"/>
          </w:tcPr>
          <w:p w14:paraId="186159D4">
            <w:pPr>
              <w:jc w:val="center"/>
              <w:rPr>
                <w:color w:val="auto"/>
                <w:spacing w:val="-2"/>
                <w:kern w:val="0"/>
                <w:szCs w:val="21"/>
              </w:rPr>
            </w:pPr>
            <w:r>
              <w:rPr>
                <w:color w:val="auto"/>
                <w:spacing w:val="-2"/>
                <w:kern w:val="0"/>
                <w:szCs w:val="21"/>
              </w:rPr>
              <w:t>①</w:t>
            </w:r>
            <w:r>
              <w:rPr>
                <w:color w:val="auto"/>
                <w:spacing w:val="-2"/>
                <w:kern w:val="0"/>
                <w:szCs w:val="21"/>
                <w:vertAlign w:val="subscript"/>
              </w:rPr>
              <w:t>1</w:t>
            </w:r>
          </w:p>
        </w:tc>
        <w:tc>
          <w:tcPr>
            <w:tcW w:w="645" w:type="pct"/>
            <w:tcBorders>
              <w:top w:val="single" w:color="auto" w:sz="4" w:space="0"/>
              <w:tl2br w:val="nil"/>
              <w:tr2bl w:val="nil"/>
            </w:tcBorders>
            <w:vAlign w:val="center"/>
          </w:tcPr>
          <w:p w14:paraId="15025189">
            <w:pPr>
              <w:jc w:val="center"/>
              <w:rPr>
                <w:color w:val="auto"/>
                <w:spacing w:val="-2"/>
                <w:kern w:val="0"/>
                <w:szCs w:val="21"/>
              </w:rPr>
            </w:pPr>
            <w:r>
              <w:rPr>
                <w:color w:val="auto"/>
                <w:spacing w:val="-2"/>
                <w:kern w:val="0"/>
                <w:szCs w:val="21"/>
              </w:rPr>
              <w:t>粉质粘土</w:t>
            </w:r>
          </w:p>
        </w:tc>
        <w:tc>
          <w:tcPr>
            <w:tcW w:w="1798" w:type="pct"/>
            <w:tcBorders>
              <w:tl2br w:val="nil"/>
              <w:tr2bl w:val="nil"/>
            </w:tcBorders>
            <w:vAlign w:val="center"/>
          </w:tcPr>
          <w:p w14:paraId="30050A92">
            <w:pPr>
              <w:jc w:val="center"/>
              <w:rPr>
                <w:color w:val="auto"/>
                <w:spacing w:val="-2"/>
                <w:kern w:val="0"/>
                <w:szCs w:val="21"/>
              </w:rPr>
            </w:pPr>
            <w:r>
              <w:rPr>
                <w:color w:val="auto"/>
                <w:spacing w:val="-2"/>
                <w:kern w:val="0"/>
                <w:szCs w:val="21"/>
              </w:rPr>
              <w:t>黑灰色，可塑，无摇震反应，刀切面稍有光泽，干强度低，含腐殖质和植物根系。</w:t>
            </w:r>
          </w:p>
        </w:tc>
        <w:tc>
          <w:tcPr>
            <w:tcW w:w="669" w:type="pct"/>
            <w:tcBorders>
              <w:right w:val="single" w:color="auto" w:sz="4" w:space="0"/>
              <w:tl2br w:val="nil"/>
              <w:tr2bl w:val="nil"/>
            </w:tcBorders>
            <w:vAlign w:val="center"/>
          </w:tcPr>
          <w:p w14:paraId="05426132">
            <w:pPr>
              <w:jc w:val="center"/>
              <w:rPr>
                <w:color w:val="auto"/>
                <w:spacing w:val="-2"/>
                <w:kern w:val="0"/>
                <w:szCs w:val="21"/>
              </w:rPr>
            </w:pPr>
            <w:r>
              <w:rPr>
                <w:color w:val="auto"/>
                <w:spacing w:val="-2"/>
                <w:kern w:val="0"/>
                <w:szCs w:val="21"/>
              </w:rPr>
              <w:t>1.50</w:t>
            </w:r>
          </w:p>
        </w:tc>
        <w:tc>
          <w:tcPr>
            <w:tcW w:w="629" w:type="pct"/>
            <w:tcBorders>
              <w:left w:val="single" w:color="auto" w:sz="4" w:space="0"/>
              <w:tl2br w:val="nil"/>
              <w:tr2bl w:val="nil"/>
            </w:tcBorders>
            <w:vAlign w:val="center"/>
          </w:tcPr>
          <w:p w14:paraId="637351CC">
            <w:pPr>
              <w:jc w:val="center"/>
              <w:rPr>
                <w:color w:val="auto"/>
                <w:spacing w:val="-2"/>
                <w:kern w:val="0"/>
                <w:szCs w:val="21"/>
              </w:rPr>
            </w:pPr>
            <w:r>
              <w:rPr>
                <w:color w:val="auto"/>
                <w:spacing w:val="-2"/>
                <w:kern w:val="0"/>
                <w:szCs w:val="21"/>
              </w:rPr>
              <w:t>—</w:t>
            </w:r>
          </w:p>
        </w:tc>
        <w:tc>
          <w:tcPr>
            <w:tcW w:w="676" w:type="pct"/>
            <w:tcBorders>
              <w:tl2br w:val="nil"/>
              <w:tr2bl w:val="nil"/>
            </w:tcBorders>
            <w:vAlign w:val="center"/>
          </w:tcPr>
          <w:p w14:paraId="4774B88C">
            <w:pPr>
              <w:jc w:val="center"/>
              <w:rPr>
                <w:color w:val="auto"/>
                <w:spacing w:val="-2"/>
                <w:kern w:val="0"/>
                <w:szCs w:val="21"/>
              </w:rPr>
            </w:pPr>
            <w:r>
              <w:rPr>
                <w:color w:val="auto"/>
                <w:spacing w:val="-2"/>
                <w:kern w:val="0"/>
                <w:szCs w:val="21"/>
              </w:rPr>
              <w:t>局部分</w:t>
            </w:r>
            <w:r>
              <w:rPr>
                <w:rFonts w:hint="eastAsia"/>
                <w:color w:val="auto"/>
                <w:spacing w:val="-2"/>
                <w:kern w:val="0"/>
                <w:szCs w:val="21"/>
              </w:rPr>
              <w:t>布</w:t>
            </w:r>
          </w:p>
        </w:tc>
      </w:tr>
      <w:tr w14:paraId="033AA55F">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bottom w:val="single" w:color="auto" w:sz="4" w:space="0"/>
              <w:tl2br w:val="nil"/>
              <w:tr2bl w:val="nil"/>
            </w:tcBorders>
            <w:vAlign w:val="center"/>
          </w:tcPr>
          <w:p w14:paraId="76B2710C">
            <w:pPr>
              <w:jc w:val="center"/>
              <w:rPr>
                <w:color w:val="auto"/>
                <w:spacing w:val="-2"/>
                <w:kern w:val="0"/>
                <w:szCs w:val="21"/>
              </w:rPr>
            </w:pPr>
            <w:r>
              <w:rPr>
                <w:color w:val="auto"/>
                <w:spacing w:val="-2"/>
                <w:kern w:val="0"/>
                <w:szCs w:val="21"/>
              </w:rPr>
              <w:t>②</w:t>
            </w:r>
          </w:p>
        </w:tc>
        <w:tc>
          <w:tcPr>
            <w:tcW w:w="645" w:type="pct"/>
            <w:tcBorders>
              <w:bottom w:val="single" w:color="auto" w:sz="4" w:space="0"/>
              <w:tl2br w:val="nil"/>
              <w:tr2bl w:val="nil"/>
            </w:tcBorders>
            <w:vAlign w:val="center"/>
          </w:tcPr>
          <w:p w14:paraId="46539F5A">
            <w:pPr>
              <w:jc w:val="center"/>
              <w:rPr>
                <w:color w:val="auto"/>
                <w:spacing w:val="-2"/>
                <w:kern w:val="0"/>
                <w:szCs w:val="21"/>
              </w:rPr>
            </w:pPr>
            <w:r>
              <w:rPr>
                <w:color w:val="auto"/>
                <w:spacing w:val="-2"/>
                <w:kern w:val="0"/>
                <w:szCs w:val="21"/>
              </w:rPr>
              <w:t>粉质粘土</w:t>
            </w:r>
          </w:p>
        </w:tc>
        <w:tc>
          <w:tcPr>
            <w:tcW w:w="1798" w:type="pct"/>
            <w:tcBorders>
              <w:tl2br w:val="nil"/>
              <w:tr2bl w:val="nil"/>
            </w:tcBorders>
            <w:vAlign w:val="center"/>
          </w:tcPr>
          <w:p w14:paraId="131E1CC6">
            <w:pPr>
              <w:jc w:val="center"/>
              <w:rPr>
                <w:color w:val="auto"/>
                <w:spacing w:val="-2"/>
                <w:kern w:val="0"/>
                <w:szCs w:val="21"/>
              </w:rPr>
            </w:pPr>
            <w:r>
              <w:rPr>
                <w:color w:val="auto"/>
                <w:spacing w:val="-2"/>
                <w:kern w:val="0"/>
                <w:szCs w:val="21"/>
              </w:rPr>
              <w:t>黄褐色，可塑-硬塑，无摇震反应，刀切面稍有光泽，干强度低，局部含钙质结核和薄层粉细砂、粉土夹层。</w:t>
            </w:r>
          </w:p>
        </w:tc>
        <w:tc>
          <w:tcPr>
            <w:tcW w:w="669" w:type="pct"/>
            <w:tcBorders>
              <w:right w:val="single" w:color="auto" w:sz="4" w:space="0"/>
              <w:tl2br w:val="nil"/>
              <w:tr2bl w:val="nil"/>
            </w:tcBorders>
            <w:vAlign w:val="center"/>
          </w:tcPr>
          <w:p w14:paraId="4A435023">
            <w:pPr>
              <w:jc w:val="center"/>
              <w:rPr>
                <w:color w:val="auto"/>
                <w:spacing w:val="-2"/>
                <w:kern w:val="0"/>
                <w:szCs w:val="21"/>
              </w:rPr>
            </w:pPr>
            <w:r>
              <w:rPr>
                <w:color w:val="auto"/>
                <w:spacing w:val="-2"/>
                <w:kern w:val="0"/>
                <w:szCs w:val="21"/>
              </w:rPr>
              <w:t>0.5~5.1</w:t>
            </w:r>
          </w:p>
        </w:tc>
        <w:tc>
          <w:tcPr>
            <w:tcW w:w="629" w:type="pct"/>
            <w:tcBorders>
              <w:left w:val="single" w:color="auto" w:sz="4" w:space="0"/>
              <w:tl2br w:val="nil"/>
              <w:tr2bl w:val="nil"/>
            </w:tcBorders>
            <w:vAlign w:val="center"/>
          </w:tcPr>
          <w:p w14:paraId="585BC0E9">
            <w:pPr>
              <w:jc w:val="center"/>
              <w:rPr>
                <w:color w:val="auto"/>
                <w:spacing w:val="-2"/>
                <w:kern w:val="0"/>
                <w:szCs w:val="21"/>
              </w:rPr>
            </w:pPr>
            <w:r>
              <w:rPr>
                <w:color w:val="auto"/>
                <w:spacing w:val="-2"/>
                <w:kern w:val="0"/>
                <w:szCs w:val="21"/>
              </w:rPr>
              <w:t>475.49 ~ 484.29</w:t>
            </w:r>
          </w:p>
        </w:tc>
        <w:tc>
          <w:tcPr>
            <w:tcW w:w="676" w:type="pct"/>
            <w:tcBorders>
              <w:tl2br w:val="nil"/>
              <w:tr2bl w:val="nil"/>
            </w:tcBorders>
            <w:vAlign w:val="center"/>
          </w:tcPr>
          <w:p w14:paraId="43A489DB">
            <w:pPr>
              <w:jc w:val="center"/>
              <w:rPr>
                <w:color w:val="auto"/>
                <w:spacing w:val="-2"/>
                <w:kern w:val="0"/>
                <w:szCs w:val="21"/>
              </w:rPr>
            </w:pPr>
            <w:r>
              <w:rPr>
                <w:color w:val="auto"/>
                <w:spacing w:val="-2"/>
                <w:kern w:val="0"/>
                <w:szCs w:val="21"/>
              </w:rPr>
              <w:t>全场地分布</w:t>
            </w:r>
          </w:p>
        </w:tc>
      </w:tr>
      <w:tr w14:paraId="45B8543C">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top w:val="single" w:color="auto" w:sz="4" w:space="0"/>
              <w:tl2br w:val="nil"/>
              <w:tr2bl w:val="nil"/>
            </w:tcBorders>
            <w:vAlign w:val="center"/>
          </w:tcPr>
          <w:p w14:paraId="2532A0C2">
            <w:pPr>
              <w:jc w:val="center"/>
              <w:rPr>
                <w:color w:val="auto"/>
                <w:spacing w:val="-2"/>
                <w:kern w:val="0"/>
                <w:szCs w:val="21"/>
              </w:rPr>
            </w:pPr>
            <w:r>
              <w:rPr>
                <w:color w:val="auto"/>
                <w:spacing w:val="-2"/>
                <w:kern w:val="0"/>
                <w:szCs w:val="21"/>
              </w:rPr>
              <w:t>③</w:t>
            </w:r>
            <w:r>
              <w:rPr>
                <w:color w:val="auto"/>
                <w:spacing w:val="-2"/>
                <w:kern w:val="0"/>
                <w:szCs w:val="21"/>
                <w:vertAlign w:val="subscript"/>
              </w:rPr>
              <w:t>1</w:t>
            </w:r>
          </w:p>
        </w:tc>
        <w:tc>
          <w:tcPr>
            <w:tcW w:w="645" w:type="pct"/>
            <w:tcBorders>
              <w:top w:val="single" w:color="auto" w:sz="4" w:space="0"/>
              <w:tl2br w:val="nil"/>
              <w:tr2bl w:val="nil"/>
            </w:tcBorders>
            <w:vAlign w:val="center"/>
          </w:tcPr>
          <w:p w14:paraId="6EBFD96A">
            <w:pPr>
              <w:jc w:val="center"/>
              <w:rPr>
                <w:color w:val="auto"/>
                <w:spacing w:val="-2"/>
                <w:kern w:val="0"/>
                <w:szCs w:val="21"/>
              </w:rPr>
            </w:pPr>
            <w:r>
              <w:rPr>
                <w:color w:val="auto"/>
                <w:spacing w:val="-2"/>
                <w:kern w:val="0"/>
                <w:szCs w:val="21"/>
              </w:rPr>
              <w:t>粉细砂</w:t>
            </w:r>
          </w:p>
        </w:tc>
        <w:tc>
          <w:tcPr>
            <w:tcW w:w="1798" w:type="pct"/>
            <w:tcBorders>
              <w:tl2br w:val="nil"/>
              <w:tr2bl w:val="nil"/>
            </w:tcBorders>
            <w:vAlign w:val="center"/>
          </w:tcPr>
          <w:p w14:paraId="74201014">
            <w:pPr>
              <w:jc w:val="center"/>
              <w:rPr>
                <w:color w:val="auto"/>
                <w:spacing w:val="-2"/>
                <w:kern w:val="0"/>
                <w:szCs w:val="21"/>
              </w:rPr>
            </w:pPr>
            <w:r>
              <w:rPr>
                <w:color w:val="auto"/>
                <w:spacing w:val="-2"/>
                <w:kern w:val="0"/>
                <w:szCs w:val="21"/>
              </w:rPr>
              <w:t>淡黄色-黄褐色，主要矿物成分以石英和长石为主，中密，稍湿，局部夹薄层中砂和粉土。</w:t>
            </w:r>
          </w:p>
        </w:tc>
        <w:tc>
          <w:tcPr>
            <w:tcW w:w="669" w:type="pct"/>
            <w:tcBorders>
              <w:right w:val="single" w:color="auto" w:sz="4" w:space="0"/>
              <w:tl2br w:val="nil"/>
              <w:tr2bl w:val="nil"/>
            </w:tcBorders>
            <w:vAlign w:val="center"/>
          </w:tcPr>
          <w:p w14:paraId="13A8C10D">
            <w:pPr>
              <w:jc w:val="center"/>
              <w:rPr>
                <w:color w:val="auto"/>
                <w:spacing w:val="-2"/>
                <w:kern w:val="0"/>
                <w:szCs w:val="21"/>
              </w:rPr>
            </w:pPr>
            <w:r>
              <w:rPr>
                <w:color w:val="auto"/>
                <w:spacing w:val="-2"/>
                <w:kern w:val="0"/>
                <w:szCs w:val="21"/>
              </w:rPr>
              <w:t>0.1~9.7</w:t>
            </w:r>
          </w:p>
        </w:tc>
        <w:tc>
          <w:tcPr>
            <w:tcW w:w="629" w:type="pct"/>
            <w:tcBorders>
              <w:left w:val="single" w:color="auto" w:sz="4" w:space="0"/>
              <w:tl2br w:val="nil"/>
              <w:tr2bl w:val="nil"/>
            </w:tcBorders>
            <w:vAlign w:val="center"/>
          </w:tcPr>
          <w:p w14:paraId="03A4D7F4">
            <w:pPr>
              <w:jc w:val="center"/>
              <w:rPr>
                <w:color w:val="auto"/>
                <w:spacing w:val="-2"/>
                <w:kern w:val="0"/>
                <w:szCs w:val="21"/>
              </w:rPr>
            </w:pPr>
            <w:r>
              <w:rPr>
                <w:color w:val="auto"/>
                <w:spacing w:val="-2"/>
                <w:kern w:val="0"/>
                <w:szCs w:val="21"/>
              </w:rPr>
              <w:t>470.2 ~ 481.22</w:t>
            </w:r>
          </w:p>
        </w:tc>
        <w:tc>
          <w:tcPr>
            <w:tcW w:w="676" w:type="pct"/>
            <w:tcBorders>
              <w:tl2br w:val="nil"/>
              <w:tr2bl w:val="nil"/>
            </w:tcBorders>
            <w:vAlign w:val="center"/>
          </w:tcPr>
          <w:p w14:paraId="1048A748">
            <w:pPr>
              <w:jc w:val="center"/>
              <w:rPr>
                <w:color w:val="auto"/>
                <w:spacing w:val="-2"/>
                <w:kern w:val="0"/>
                <w:szCs w:val="21"/>
              </w:rPr>
            </w:pPr>
            <w:r>
              <w:rPr>
                <w:color w:val="auto"/>
                <w:spacing w:val="-2"/>
                <w:kern w:val="0"/>
                <w:szCs w:val="21"/>
              </w:rPr>
              <w:t>局部缺失</w:t>
            </w:r>
          </w:p>
        </w:tc>
      </w:tr>
      <w:tr w14:paraId="54EBD58B">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tl2br w:val="nil"/>
              <w:tr2bl w:val="nil"/>
            </w:tcBorders>
            <w:vAlign w:val="center"/>
          </w:tcPr>
          <w:p w14:paraId="7D6E84E0">
            <w:pPr>
              <w:jc w:val="center"/>
              <w:rPr>
                <w:color w:val="auto"/>
                <w:spacing w:val="-2"/>
                <w:kern w:val="0"/>
                <w:szCs w:val="21"/>
              </w:rPr>
            </w:pPr>
            <w:r>
              <w:rPr>
                <w:color w:val="auto"/>
                <w:spacing w:val="-2"/>
                <w:kern w:val="0"/>
                <w:szCs w:val="21"/>
              </w:rPr>
              <w:t>③</w:t>
            </w:r>
            <w:r>
              <w:rPr>
                <w:color w:val="auto"/>
                <w:spacing w:val="-2"/>
                <w:kern w:val="0"/>
                <w:szCs w:val="21"/>
                <w:vertAlign w:val="subscript"/>
              </w:rPr>
              <w:t>2</w:t>
            </w:r>
          </w:p>
        </w:tc>
        <w:tc>
          <w:tcPr>
            <w:tcW w:w="645" w:type="pct"/>
            <w:tcBorders>
              <w:tl2br w:val="nil"/>
              <w:tr2bl w:val="nil"/>
            </w:tcBorders>
            <w:vAlign w:val="center"/>
          </w:tcPr>
          <w:p w14:paraId="745F8ADE">
            <w:pPr>
              <w:jc w:val="center"/>
              <w:rPr>
                <w:color w:val="auto"/>
                <w:spacing w:val="-2"/>
                <w:kern w:val="0"/>
                <w:szCs w:val="21"/>
              </w:rPr>
            </w:pPr>
            <w:r>
              <w:rPr>
                <w:color w:val="auto"/>
                <w:spacing w:val="-2"/>
                <w:kern w:val="0"/>
                <w:szCs w:val="21"/>
              </w:rPr>
              <w:t>粉细砂</w:t>
            </w:r>
          </w:p>
        </w:tc>
        <w:tc>
          <w:tcPr>
            <w:tcW w:w="1798" w:type="pct"/>
            <w:tcBorders>
              <w:tl2br w:val="nil"/>
              <w:tr2bl w:val="nil"/>
            </w:tcBorders>
            <w:vAlign w:val="center"/>
          </w:tcPr>
          <w:p w14:paraId="45DE93E9">
            <w:pPr>
              <w:jc w:val="center"/>
              <w:rPr>
                <w:color w:val="auto"/>
                <w:spacing w:val="-2"/>
                <w:kern w:val="0"/>
                <w:szCs w:val="21"/>
              </w:rPr>
            </w:pPr>
            <w:r>
              <w:rPr>
                <w:color w:val="auto"/>
                <w:spacing w:val="-2"/>
                <w:kern w:val="0"/>
                <w:szCs w:val="21"/>
              </w:rPr>
              <w:t>淡黄色-黄褐色，主要矿物成分以石英和长石为主，密实，稍湿，局部夹薄层中砂和粉土。</w:t>
            </w:r>
          </w:p>
        </w:tc>
        <w:tc>
          <w:tcPr>
            <w:tcW w:w="669" w:type="pct"/>
            <w:tcBorders>
              <w:right w:val="single" w:color="auto" w:sz="4" w:space="0"/>
              <w:tl2br w:val="nil"/>
              <w:tr2bl w:val="nil"/>
            </w:tcBorders>
            <w:vAlign w:val="center"/>
          </w:tcPr>
          <w:p w14:paraId="008FF32E">
            <w:pPr>
              <w:jc w:val="center"/>
              <w:rPr>
                <w:color w:val="auto"/>
                <w:spacing w:val="-2"/>
                <w:kern w:val="0"/>
                <w:szCs w:val="21"/>
              </w:rPr>
            </w:pPr>
            <w:r>
              <w:rPr>
                <w:color w:val="auto"/>
                <w:spacing w:val="-2"/>
                <w:kern w:val="0"/>
                <w:szCs w:val="21"/>
              </w:rPr>
              <w:t>1.0~8.0</w:t>
            </w:r>
          </w:p>
        </w:tc>
        <w:tc>
          <w:tcPr>
            <w:tcW w:w="629" w:type="pct"/>
            <w:tcBorders>
              <w:left w:val="single" w:color="auto" w:sz="4" w:space="0"/>
              <w:tl2br w:val="nil"/>
              <w:tr2bl w:val="nil"/>
            </w:tcBorders>
            <w:vAlign w:val="center"/>
          </w:tcPr>
          <w:p w14:paraId="3A917F05">
            <w:pPr>
              <w:jc w:val="center"/>
              <w:rPr>
                <w:color w:val="auto"/>
                <w:spacing w:val="-2"/>
                <w:kern w:val="0"/>
                <w:szCs w:val="21"/>
              </w:rPr>
            </w:pPr>
            <w:r>
              <w:rPr>
                <w:color w:val="auto"/>
                <w:spacing w:val="-2"/>
                <w:kern w:val="0"/>
                <w:szCs w:val="21"/>
              </w:rPr>
              <w:t>467.48 ~ 477.89</w:t>
            </w:r>
          </w:p>
        </w:tc>
        <w:tc>
          <w:tcPr>
            <w:tcW w:w="676" w:type="pct"/>
            <w:tcBorders>
              <w:tl2br w:val="nil"/>
              <w:tr2bl w:val="nil"/>
            </w:tcBorders>
            <w:vAlign w:val="center"/>
          </w:tcPr>
          <w:p w14:paraId="49942AC0">
            <w:pPr>
              <w:jc w:val="center"/>
              <w:rPr>
                <w:color w:val="auto"/>
                <w:spacing w:val="-2"/>
                <w:kern w:val="0"/>
                <w:szCs w:val="21"/>
              </w:rPr>
            </w:pPr>
            <w:r>
              <w:rPr>
                <w:color w:val="auto"/>
                <w:spacing w:val="-2"/>
                <w:kern w:val="0"/>
                <w:szCs w:val="21"/>
              </w:rPr>
              <w:t>全场地分布</w:t>
            </w:r>
          </w:p>
        </w:tc>
      </w:tr>
      <w:tr w14:paraId="00C6338B">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tl2br w:val="nil"/>
              <w:tr2bl w:val="nil"/>
            </w:tcBorders>
            <w:vAlign w:val="center"/>
          </w:tcPr>
          <w:p w14:paraId="3CAEF4B0">
            <w:pPr>
              <w:jc w:val="center"/>
              <w:rPr>
                <w:color w:val="auto"/>
                <w:spacing w:val="-2"/>
                <w:kern w:val="0"/>
                <w:szCs w:val="21"/>
              </w:rPr>
            </w:pPr>
            <w:r>
              <w:rPr>
                <w:color w:val="auto"/>
                <w:spacing w:val="-2"/>
                <w:kern w:val="0"/>
                <w:szCs w:val="21"/>
              </w:rPr>
              <w:t>③</w:t>
            </w:r>
            <w:r>
              <w:rPr>
                <w:color w:val="auto"/>
                <w:spacing w:val="-2"/>
                <w:kern w:val="0"/>
                <w:szCs w:val="21"/>
                <w:vertAlign w:val="subscript"/>
              </w:rPr>
              <w:t>3</w:t>
            </w:r>
          </w:p>
        </w:tc>
        <w:tc>
          <w:tcPr>
            <w:tcW w:w="645" w:type="pct"/>
            <w:tcBorders>
              <w:tl2br w:val="nil"/>
              <w:tr2bl w:val="nil"/>
            </w:tcBorders>
            <w:vAlign w:val="center"/>
          </w:tcPr>
          <w:p w14:paraId="31181E64">
            <w:pPr>
              <w:jc w:val="center"/>
              <w:rPr>
                <w:color w:val="auto"/>
                <w:spacing w:val="-2"/>
                <w:kern w:val="0"/>
                <w:szCs w:val="21"/>
              </w:rPr>
            </w:pPr>
            <w:r>
              <w:rPr>
                <w:color w:val="auto"/>
                <w:spacing w:val="-2"/>
                <w:kern w:val="0"/>
                <w:szCs w:val="21"/>
              </w:rPr>
              <w:t>粉质粘土</w:t>
            </w:r>
          </w:p>
        </w:tc>
        <w:tc>
          <w:tcPr>
            <w:tcW w:w="1798" w:type="pct"/>
            <w:tcBorders>
              <w:tl2br w:val="nil"/>
              <w:tr2bl w:val="nil"/>
            </w:tcBorders>
            <w:vAlign w:val="center"/>
          </w:tcPr>
          <w:p w14:paraId="401EDDFA">
            <w:pPr>
              <w:jc w:val="center"/>
              <w:rPr>
                <w:color w:val="auto"/>
                <w:spacing w:val="-2"/>
                <w:kern w:val="0"/>
                <w:szCs w:val="21"/>
              </w:rPr>
            </w:pPr>
            <w:r>
              <w:rPr>
                <w:color w:val="auto"/>
                <w:spacing w:val="-2"/>
                <w:kern w:val="0"/>
                <w:szCs w:val="21"/>
              </w:rPr>
              <w:t>黄褐色，硬塑，无摇震反应，刀切面稍有光泽，干强度低。</w:t>
            </w:r>
          </w:p>
        </w:tc>
        <w:tc>
          <w:tcPr>
            <w:tcW w:w="669" w:type="pct"/>
            <w:tcBorders>
              <w:right w:val="single" w:color="auto" w:sz="4" w:space="0"/>
              <w:tl2br w:val="nil"/>
              <w:tr2bl w:val="nil"/>
            </w:tcBorders>
            <w:vAlign w:val="center"/>
          </w:tcPr>
          <w:p w14:paraId="52FC6997">
            <w:pPr>
              <w:jc w:val="center"/>
              <w:rPr>
                <w:color w:val="auto"/>
                <w:spacing w:val="-2"/>
                <w:kern w:val="0"/>
                <w:szCs w:val="21"/>
              </w:rPr>
            </w:pPr>
            <w:r>
              <w:rPr>
                <w:color w:val="auto"/>
                <w:spacing w:val="-2"/>
                <w:kern w:val="0"/>
                <w:szCs w:val="21"/>
              </w:rPr>
              <w:t>0.3~5.0</w:t>
            </w:r>
          </w:p>
        </w:tc>
        <w:tc>
          <w:tcPr>
            <w:tcW w:w="629" w:type="pct"/>
            <w:tcBorders>
              <w:left w:val="single" w:color="auto" w:sz="4" w:space="0"/>
              <w:tl2br w:val="nil"/>
              <w:tr2bl w:val="nil"/>
            </w:tcBorders>
            <w:vAlign w:val="center"/>
          </w:tcPr>
          <w:p w14:paraId="49776329">
            <w:pPr>
              <w:jc w:val="center"/>
              <w:rPr>
                <w:color w:val="auto"/>
                <w:spacing w:val="-2"/>
                <w:kern w:val="0"/>
                <w:szCs w:val="21"/>
              </w:rPr>
            </w:pPr>
            <w:r>
              <w:rPr>
                <w:color w:val="auto"/>
                <w:spacing w:val="-2"/>
                <w:kern w:val="0"/>
                <w:szCs w:val="21"/>
              </w:rPr>
              <w:t>470.02 ~ 476.57</w:t>
            </w:r>
          </w:p>
        </w:tc>
        <w:tc>
          <w:tcPr>
            <w:tcW w:w="676" w:type="pct"/>
            <w:tcBorders>
              <w:tl2br w:val="nil"/>
              <w:tr2bl w:val="nil"/>
            </w:tcBorders>
            <w:vAlign w:val="center"/>
          </w:tcPr>
          <w:p w14:paraId="0EF76791">
            <w:pPr>
              <w:jc w:val="center"/>
              <w:rPr>
                <w:color w:val="auto"/>
                <w:spacing w:val="-2"/>
                <w:kern w:val="0"/>
                <w:szCs w:val="21"/>
              </w:rPr>
            </w:pPr>
            <w:r>
              <w:rPr>
                <w:color w:val="auto"/>
                <w:spacing w:val="-2"/>
                <w:kern w:val="0"/>
                <w:szCs w:val="21"/>
              </w:rPr>
              <w:t>局部分布</w:t>
            </w:r>
          </w:p>
        </w:tc>
      </w:tr>
      <w:tr w14:paraId="1BAD82F7">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tl2br w:val="nil"/>
              <w:tr2bl w:val="nil"/>
            </w:tcBorders>
            <w:vAlign w:val="center"/>
          </w:tcPr>
          <w:p w14:paraId="4D05569E">
            <w:pPr>
              <w:jc w:val="center"/>
              <w:rPr>
                <w:color w:val="auto"/>
                <w:spacing w:val="-2"/>
                <w:kern w:val="0"/>
                <w:szCs w:val="21"/>
              </w:rPr>
            </w:pPr>
            <w:r>
              <w:rPr>
                <w:color w:val="auto"/>
                <w:spacing w:val="-2"/>
                <w:kern w:val="0"/>
                <w:szCs w:val="21"/>
              </w:rPr>
              <w:t>④</w:t>
            </w:r>
          </w:p>
        </w:tc>
        <w:tc>
          <w:tcPr>
            <w:tcW w:w="645" w:type="pct"/>
            <w:tcBorders>
              <w:tl2br w:val="nil"/>
              <w:tr2bl w:val="nil"/>
            </w:tcBorders>
            <w:vAlign w:val="center"/>
          </w:tcPr>
          <w:p w14:paraId="44687AC7">
            <w:pPr>
              <w:jc w:val="center"/>
              <w:rPr>
                <w:color w:val="auto"/>
                <w:spacing w:val="-2"/>
                <w:kern w:val="0"/>
                <w:szCs w:val="21"/>
              </w:rPr>
            </w:pPr>
            <w:r>
              <w:rPr>
                <w:color w:val="auto"/>
                <w:spacing w:val="-2"/>
                <w:kern w:val="0"/>
                <w:szCs w:val="21"/>
              </w:rPr>
              <w:t>粉质粘土</w:t>
            </w:r>
          </w:p>
        </w:tc>
        <w:tc>
          <w:tcPr>
            <w:tcW w:w="1798" w:type="pct"/>
            <w:tcBorders>
              <w:tl2br w:val="nil"/>
              <w:tr2bl w:val="nil"/>
            </w:tcBorders>
            <w:vAlign w:val="center"/>
          </w:tcPr>
          <w:p w14:paraId="7E8AC2F4">
            <w:pPr>
              <w:jc w:val="center"/>
              <w:rPr>
                <w:color w:val="auto"/>
                <w:spacing w:val="-2"/>
                <w:kern w:val="0"/>
                <w:szCs w:val="21"/>
              </w:rPr>
            </w:pPr>
            <w:r>
              <w:rPr>
                <w:color w:val="auto"/>
                <w:spacing w:val="-2"/>
                <w:kern w:val="0"/>
                <w:szCs w:val="21"/>
              </w:rPr>
              <w:t>黄褐色，可塑-硬塑，无摇震反应，刀切面稍有光泽，干强度低，局部含钙质核和薄层粉细砂夹层。</w:t>
            </w:r>
          </w:p>
        </w:tc>
        <w:tc>
          <w:tcPr>
            <w:tcW w:w="669" w:type="pct"/>
            <w:tcBorders>
              <w:right w:val="single" w:color="auto" w:sz="4" w:space="0"/>
              <w:tl2br w:val="nil"/>
              <w:tr2bl w:val="nil"/>
            </w:tcBorders>
            <w:vAlign w:val="center"/>
          </w:tcPr>
          <w:p w14:paraId="20DF6498">
            <w:pPr>
              <w:jc w:val="center"/>
              <w:rPr>
                <w:color w:val="auto"/>
                <w:spacing w:val="-2"/>
                <w:kern w:val="0"/>
                <w:szCs w:val="21"/>
              </w:rPr>
            </w:pPr>
            <w:r>
              <w:rPr>
                <w:color w:val="auto"/>
                <w:spacing w:val="-2"/>
                <w:kern w:val="0"/>
                <w:szCs w:val="21"/>
              </w:rPr>
              <w:t>0.2~15.6</w:t>
            </w:r>
          </w:p>
        </w:tc>
        <w:tc>
          <w:tcPr>
            <w:tcW w:w="629" w:type="pct"/>
            <w:tcBorders>
              <w:left w:val="single" w:color="auto" w:sz="4" w:space="0"/>
              <w:tl2br w:val="nil"/>
              <w:tr2bl w:val="nil"/>
            </w:tcBorders>
            <w:vAlign w:val="center"/>
          </w:tcPr>
          <w:p w14:paraId="55C5A928">
            <w:pPr>
              <w:jc w:val="center"/>
              <w:rPr>
                <w:color w:val="auto"/>
                <w:spacing w:val="-2"/>
                <w:kern w:val="0"/>
                <w:szCs w:val="21"/>
              </w:rPr>
            </w:pPr>
            <w:r>
              <w:rPr>
                <w:color w:val="auto"/>
                <w:spacing w:val="-2"/>
                <w:kern w:val="0"/>
                <w:szCs w:val="21"/>
              </w:rPr>
              <w:t>461.17 ~ 471.44</w:t>
            </w:r>
          </w:p>
        </w:tc>
        <w:tc>
          <w:tcPr>
            <w:tcW w:w="676" w:type="pct"/>
            <w:tcBorders>
              <w:tl2br w:val="nil"/>
              <w:tr2bl w:val="nil"/>
            </w:tcBorders>
            <w:vAlign w:val="center"/>
          </w:tcPr>
          <w:p w14:paraId="14857303">
            <w:pPr>
              <w:jc w:val="center"/>
              <w:rPr>
                <w:color w:val="auto"/>
                <w:spacing w:val="-2"/>
                <w:kern w:val="0"/>
                <w:szCs w:val="21"/>
              </w:rPr>
            </w:pPr>
            <w:r>
              <w:rPr>
                <w:color w:val="auto"/>
                <w:spacing w:val="-2"/>
                <w:kern w:val="0"/>
                <w:szCs w:val="21"/>
              </w:rPr>
              <w:t>全场地分布</w:t>
            </w:r>
          </w:p>
        </w:tc>
      </w:tr>
      <w:tr w14:paraId="7035193B">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tl2br w:val="nil"/>
              <w:tr2bl w:val="nil"/>
            </w:tcBorders>
            <w:vAlign w:val="center"/>
          </w:tcPr>
          <w:p w14:paraId="0C2A09D5">
            <w:pPr>
              <w:jc w:val="center"/>
              <w:rPr>
                <w:color w:val="auto"/>
                <w:spacing w:val="-2"/>
                <w:kern w:val="0"/>
                <w:szCs w:val="21"/>
              </w:rPr>
            </w:pPr>
            <w:r>
              <w:rPr>
                <w:color w:val="auto"/>
                <w:spacing w:val="-2"/>
                <w:kern w:val="0"/>
                <w:szCs w:val="21"/>
              </w:rPr>
              <w:t>⑤</w:t>
            </w:r>
          </w:p>
        </w:tc>
        <w:tc>
          <w:tcPr>
            <w:tcW w:w="645" w:type="pct"/>
            <w:tcBorders>
              <w:tl2br w:val="nil"/>
              <w:tr2bl w:val="nil"/>
            </w:tcBorders>
            <w:vAlign w:val="center"/>
          </w:tcPr>
          <w:p w14:paraId="737BB251">
            <w:pPr>
              <w:jc w:val="center"/>
              <w:rPr>
                <w:color w:val="auto"/>
                <w:spacing w:val="-2"/>
                <w:kern w:val="0"/>
                <w:szCs w:val="21"/>
              </w:rPr>
            </w:pPr>
            <w:r>
              <w:rPr>
                <w:color w:val="auto"/>
                <w:spacing w:val="-2"/>
                <w:kern w:val="0"/>
                <w:szCs w:val="21"/>
              </w:rPr>
              <w:t>粉细砂</w:t>
            </w:r>
          </w:p>
        </w:tc>
        <w:tc>
          <w:tcPr>
            <w:tcW w:w="1798" w:type="pct"/>
            <w:tcBorders>
              <w:tl2br w:val="nil"/>
              <w:tr2bl w:val="nil"/>
            </w:tcBorders>
            <w:vAlign w:val="center"/>
          </w:tcPr>
          <w:p w14:paraId="0BE9DA6C">
            <w:pPr>
              <w:jc w:val="center"/>
              <w:rPr>
                <w:color w:val="auto"/>
                <w:spacing w:val="-2"/>
                <w:kern w:val="0"/>
                <w:szCs w:val="21"/>
              </w:rPr>
            </w:pPr>
            <w:r>
              <w:rPr>
                <w:color w:val="auto"/>
                <w:spacing w:val="-2"/>
                <w:kern w:val="0"/>
                <w:szCs w:val="21"/>
              </w:rPr>
              <w:t>淡黄色-黄褐色，主要矿物成分以石英和长石为主，密实，稍湿，夹薄层圆砾和中粗砂，局部为薄层粉质粘土和粉砂互层。</w:t>
            </w:r>
          </w:p>
        </w:tc>
        <w:tc>
          <w:tcPr>
            <w:tcW w:w="669" w:type="pct"/>
            <w:tcBorders>
              <w:right w:val="single" w:color="auto" w:sz="4" w:space="0"/>
              <w:tl2br w:val="nil"/>
              <w:tr2bl w:val="nil"/>
            </w:tcBorders>
            <w:vAlign w:val="center"/>
          </w:tcPr>
          <w:p w14:paraId="6B4843AA">
            <w:pPr>
              <w:jc w:val="center"/>
              <w:rPr>
                <w:color w:val="auto"/>
                <w:spacing w:val="-2"/>
                <w:kern w:val="0"/>
                <w:szCs w:val="21"/>
              </w:rPr>
            </w:pPr>
            <w:r>
              <w:rPr>
                <w:color w:val="auto"/>
                <w:spacing w:val="-2"/>
                <w:kern w:val="0"/>
                <w:szCs w:val="21"/>
              </w:rPr>
              <w:t>0.5~14.0</w:t>
            </w:r>
          </w:p>
        </w:tc>
        <w:tc>
          <w:tcPr>
            <w:tcW w:w="629" w:type="pct"/>
            <w:tcBorders>
              <w:left w:val="single" w:color="auto" w:sz="4" w:space="0"/>
              <w:tl2br w:val="nil"/>
              <w:tr2bl w:val="nil"/>
            </w:tcBorders>
            <w:vAlign w:val="center"/>
          </w:tcPr>
          <w:p w14:paraId="23A59E94">
            <w:pPr>
              <w:jc w:val="center"/>
              <w:rPr>
                <w:color w:val="auto"/>
                <w:spacing w:val="-2"/>
                <w:kern w:val="0"/>
                <w:szCs w:val="21"/>
              </w:rPr>
            </w:pPr>
            <w:r>
              <w:rPr>
                <w:color w:val="auto"/>
                <w:spacing w:val="-2"/>
                <w:kern w:val="0"/>
                <w:szCs w:val="21"/>
              </w:rPr>
              <w:t>457.62 ~ 467.91</w:t>
            </w:r>
          </w:p>
        </w:tc>
        <w:tc>
          <w:tcPr>
            <w:tcW w:w="676" w:type="pct"/>
            <w:tcBorders>
              <w:tl2br w:val="nil"/>
              <w:tr2bl w:val="nil"/>
            </w:tcBorders>
            <w:vAlign w:val="center"/>
          </w:tcPr>
          <w:p w14:paraId="6953C39A">
            <w:pPr>
              <w:jc w:val="center"/>
              <w:rPr>
                <w:color w:val="auto"/>
                <w:spacing w:val="-2"/>
                <w:kern w:val="0"/>
                <w:szCs w:val="21"/>
              </w:rPr>
            </w:pPr>
            <w:r>
              <w:rPr>
                <w:color w:val="auto"/>
                <w:spacing w:val="-2"/>
                <w:kern w:val="0"/>
                <w:szCs w:val="21"/>
              </w:rPr>
              <w:t>局部缺失</w:t>
            </w:r>
          </w:p>
        </w:tc>
      </w:tr>
      <w:tr w14:paraId="48AE89B8">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tl2br w:val="nil"/>
              <w:tr2bl w:val="nil"/>
            </w:tcBorders>
            <w:vAlign w:val="center"/>
          </w:tcPr>
          <w:p w14:paraId="30E60184">
            <w:pPr>
              <w:jc w:val="center"/>
              <w:rPr>
                <w:color w:val="auto"/>
                <w:spacing w:val="-2"/>
                <w:kern w:val="0"/>
                <w:szCs w:val="21"/>
              </w:rPr>
            </w:pPr>
            <w:r>
              <w:rPr>
                <w:color w:val="auto"/>
                <w:spacing w:val="-2"/>
                <w:kern w:val="0"/>
                <w:szCs w:val="21"/>
              </w:rPr>
              <w:t>⑥</w:t>
            </w:r>
          </w:p>
        </w:tc>
        <w:tc>
          <w:tcPr>
            <w:tcW w:w="645" w:type="pct"/>
            <w:tcBorders>
              <w:tl2br w:val="nil"/>
              <w:tr2bl w:val="nil"/>
            </w:tcBorders>
            <w:vAlign w:val="center"/>
          </w:tcPr>
          <w:p w14:paraId="5B5EEE62">
            <w:pPr>
              <w:jc w:val="center"/>
              <w:rPr>
                <w:color w:val="auto"/>
                <w:spacing w:val="-2"/>
                <w:kern w:val="0"/>
                <w:szCs w:val="21"/>
              </w:rPr>
            </w:pPr>
            <w:r>
              <w:rPr>
                <w:color w:val="auto"/>
                <w:spacing w:val="-2"/>
                <w:kern w:val="0"/>
                <w:szCs w:val="21"/>
              </w:rPr>
              <w:t>中粗砂</w:t>
            </w:r>
          </w:p>
        </w:tc>
        <w:tc>
          <w:tcPr>
            <w:tcW w:w="1798" w:type="pct"/>
            <w:tcBorders>
              <w:tl2br w:val="nil"/>
              <w:tr2bl w:val="nil"/>
            </w:tcBorders>
            <w:vAlign w:val="center"/>
          </w:tcPr>
          <w:p w14:paraId="6975C066">
            <w:pPr>
              <w:jc w:val="center"/>
              <w:rPr>
                <w:color w:val="auto"/>
                <w:spacing w:val="-2"/>
                <w:kern w:val="0"/>
                <w:szCs w:val="21"/>
              </w:rPr>
            </w:pPr>
            <w:r>
              <w:rPr>
                <w:color w:val="auto"/>
                <w:spacing w:val="-2"/>
                <w:kern w:val="0"/>
                <w:szCs w:val="21"/>
              </w:rPr>
              <w:t>黄褐色，主要矿物成分以石英和长石为主，密实，稍湿-饱和，局部为薄层粉质粘土和粉砂互层。</w:t>
            </w:r>
          </w:p>
        </w:tc>
        <w:tc>
          <w:tcPr>
            <w:tcW w:w="669" w:type="pct"/>
            <w:tcBorders>
              <w:right w:val="single" w:color="auto" w:sz="4" w:space="0"/>
              <w:tl2br w:val="nil"/>
              <w:tr2bl w:val="nil"/>
            </w:tcBorders>
            <w:vAlign w:val="center"/>
          </w:tcPr>
          <w:p w14:paraId="44A1CF97">
            <w:pPr>
              <w:jc w:val="center"/>
              <w:rPr>
                <w:color w:val="auto"/>
                <w:spacing w:val="-2"/>
                <w:kern w:val="0"/>
                <w:szCs w:val="21"/>
              </w:rPr>
            </w:pPr>
            <w:r>
              <w:rPr>
                <w:color w:val="auto"/>
                <w:spacing w:val="-2"/>
                <w:kern w:val="0"/>
                <w:szCs w:val="21"/>
              </w:rPr>
              <w:t>0.8~12.0</w:t>
            </w:r>
          </w:p>
        </w:tc>
        <w:tc>
          <w:tcPr>
            <w:tcW w:w="629" w:type="pct"/>
            <w:tcBorders>
              <w:left w:val="single" w:color="auto" w:sz="4" w:space="0"/>
              <w:tl2br w:val="nil"/>
              <w:tr2bl w:val="nil"/>
            </w:tcBorders>
            <w:vAlign w:val="center"/>
          </w:tcPr>
          <w:p w14:paraId="616F0EC0">
            <w:pPr>
              <w:jc w:val="center"/>
              <w:rPr>
                <w:color w:val="auto"/>
                <w:spacing w:val="-2"/>
                <w:kern w:val="0"/>
                <w:szCs w:val="21"/>
              </w:rPr>
            </w:pPr>
            <w:r>
              <w:rPr>
                <w:color w:val="auto"/>
                <w:spacing w:val="-2"/>
                <w:kern w:val="0"/>
                <w:szCs w:val="21"/>
              </w:rPr>
              <w:t>452.0 ~ 463.61</w:t>
            </w:r>
          </w:p>
        </w:tc>
        <w:tc>
          <w:tcPr>
            <w:tcW w:w="676" w:type="pct"/>
            <w:tcBorders>
              <w:tl2br w:val="nil"/>
              <w:tr2bl w:val="nil"/>
            </w:tcBorders>
            <w:vAlign w:val="center"/>
          </w:tcPr>
          <w:p w14:paraId="260DB3B1">
            <w:pPr>
              <w:jc w:val="center"/>
              <w:rPr>
                <w:color w:val="auto"/>
                <w:spacing w:val="-2"/>
                <w:kern w:val="0"/>
                <w:szCs w:val="21"/>
              </w:rPr>
            </w:pPr>
            <w:r>
              <w:rPr>
                <w:color w:val="auto"/>
                <w:spacing w:val="-2"/>
                <w:kern w:val="0"/>
                <w:szCs w:val="21"/>
              </w:rPr>
              <w:t>全场地分布</w:t>
            </w:r>
          </w:p>
        </w:tc>
      </w:tr>
      <w:tr w14:paraId="5B65F645">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tl2br w:val="nil"/>
              <w:tr2bl w:val="nil"/>
            </w:tcBorders>
            <w:vAlign w:val="center"/>
          </w:tcPr>
          <w:p w14:paraId="395E23E4">
            <w:pPr>
              <w:jc w:val="center"/>
              <w:rPr>
                <w:color w:val="auto"/>
                <w:spacing w:val="-2"/>
                <w:kern w:val="0"/>
                <w:szCs w:val="21"/>
              </w:rPr>
            </w:pPr>
            <w:r>
              <w:rPr>
                <w:color w:val="auto"/>
                <w:spacing w:val="-2"/>
                <w:kern w:val="0"/>
                <w:szCs w:val="21"/>
              </w:rPr>
              <w:t>⑥</w:t>
            </w:r>
            <w:r>
              <w:rPr>
                <w:color w:val="auto"/>
                <w:spacing w:val="-2"/>
                <w:kern w:val="0"/>
                <w:szCs w:val="21"/>
                <w:vertAlign w:val="subscript"/>
              </w:rPr>
              <w:t>1</w:t>
            </w:r>
          </w:p>
        </w:tc>
        <w:tc>
          <w:tcPr>
            <w:tcW w:w="645" w:type="pct"/>
            <w:tcBorders>
              <w:tl2br w:val="nil"/>
              <w:tr2bl w:val="nil"/>
            </w:tcBorders>
            <w:vAlign w:val="center"/>
          </w:tcPr>
          <w:p w14:paraId="52E03220">
            <w:pPr>
              <w:jc w:val="center"/>
              <w:rPr>
                <w:color w:val="auto"/>
                <w:spacing w:val="-2"/>
                <w:kern w:val="0"/>
                <w:szCs w:val="21"/>
              </w:rPr>
            </w:pPr>
            <w:r>
              <w:rPr>
                <w:color w:val="auto"/>
                <w:spacing w:val="-2"/>
                <w:kern w:val="0"/>
                <w:szCs w:val="21"/>
              </w:rPr>
              <w:t>粉质粘土</w:t>
            </w:r>
          </w:p>
        </w:tc>
        <w:tc>
          <w:tcPr>
            <w:tcW w:w="1798" w:type="pct"/>
            <w:tcBorders>
              <w:tl2br w:val="nil"/>
              <w:tr2bl w:val="nil"/>
            </w:tcBorders>
            <w:vAlign w:val="center"/>
          </w:tcPr>
          <w:p w14:paraId="3E838A1A">
            <w:pPr>
              <w:jc w:val="center"/>
              <w:rPr>
                <w:color w:val="auto"/>
                <w:spacing w:val="-2"/>
                <w:kern w:val="0"/>
                <w:szCs w:val="21"/>
              </w:rPr>
            </w:pPr>
            <w:r>
              <w:rPr>
                <w:color w:val="auto"/>
                <w:spacing w:val="-2"/>
                <w:kern w:val="0"/>
                <w:szCs w:val="21"/>
              </w:rPr>
              <w:t>黄褐色，可塑-硬塑，无摇震反应，刀切面稍有光泽，干强度低，局部含薄层粉细砂夹层</w:t>
            </w:r>
          </w:p>
        </w:tc>
        <w:tc>
          <w:tcPr>
            <w:tcW w:w="669" w:type="pct"/>
            <w:tcBorders>
              <w:right w:val="single" w:color="auto" w:sz="4" w:space="0"/>
              <w:tl2br w:val="nil"/>
              <w:tr2bl w:val="nil"/>
            </w:tcBorders>
            <w:vAlign w:val="center"/>
          </w:tcPr>
          <w:p w14:paraId="4B62EA1A">
            <w:pPr>
              <w:jc w:val="center"/>
              <w:rPr>
                <w:color w:val="auto"/>
                <w:spacing w:val="-2"/>
                <w:kern w:val="0"/>
                <w:szCs w:val="21"/>
              </w:rPr>
            </w:pPr>
            <w:r>
              <w:rPr>
                <w:color w:val="auto"/>
                <w:spacing w:val="-2"/>
                <w:kern w:val="0"/>
                <w:szCs w:val="21"/>
              </w:rPr>
              <w:t>0.9~2.7</w:t>
            </w:r>
          </w:p>
        </w:tc>
        <w:tc>
          <w:tcPr>
            <w:tcW w:w="629" w:type="pct"/>
            <w:tcBorders>
              <w:left w:val="single" w:color="auto" w:sz="4" w:space="0"/>
              <w:tl2br w:val="nil"/>
              <w:tr2bl w:val="nil"/>
            </w:tcBorders>
            <w:vAlign w:val="center"/>
          </w:tcPr>
          <w:p w14:paraId="3CAAC2D9">
            <w:pPr>
              <w:jc w:val="center"/>
              <w:rPr>
                <w:color w:val="auto"/>
                <w:spacing w:val="-2"/>
                <w:kern w:val="0"/>
                <w:szCs w:val="21"/>
              </w:rPr>
            </w:pPr>
            <w:r>
              <w:rPr>
                <w:color w:val="auto"/>
                <w:spacing w:val="-2"/>
                <w:kern w:val="0"/>
                <w:szCs w:val="21"/>
              </w:rPr>
              <w:t>458.7 ~ 465.15</w:t>
            </w:r>
          </w:p>
        </w:tc>
        <w:tc>
          <w:tcPr>
            <w:tcW w:w="676" w:type="pct"/>
            <w:tcBorders>
              <w:tl2br w:val="nil"/>
              <w:tr2bl w:val="nil"/>
            </w:tcBorders>
            <w:vAlign w:val="center"/>
          </w:tcPr>
          <w:p w14:paraId="3BF2D41C">
            <w:pPr>
              <w:jc w:val="center"/>
              <w:rPr>
                <w:color w:val="auto"/>
                <w:spacing w:val="-2"/>
                <w:kern w:val="0"/>
                <w:szCs w:val="21"/>
              </w:rPr>
            </w:pPr>
            <w:r>
              <w:rPr>
                <w:color w:val="auto"/>
                <w:spacing w:val="-2"/>
                <w:kern w:val="0"/>
                <w:szCs w:val="21"/>
              </w:rPr>
              <w:t>局部分布</w:t>
            </w:r>
          </w:p>
        </w:tc>
      </w:tr>
      <w:tr w14:paraId="43032534">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tl2br w:val="nil"/>
              <w:tr2bl w:val="nil"/>
            </w:tcBorders>
            <w:vAlign w:val="center"/>
          </w:tcPr>
          <w:p w14:paraId="3B5F5CA8">
            <w:pPr>
              <w:jc w:val="center"/>
              <w:rPr>
                <w:color w:val="auto"/>
                <w:spacing w:val="-2"/>
                <w:kern w:val="0"/>
                <w:szCs w:val="21"/>
              </w:rPr>
            </w:pPr>
            <w:r>
              <w:rPr>
                <w:color w:val="auto"/>
                <w:spacing w:val="-2"/>
                <w:kern w:val="0"/>
                <w:szCs w:val="21"/>
              </w:rPr>
              <w:t>⑦</w:t>
            </w:r>
          </w:p>
        </w:tc>
        <w:tc>
          <w:tcPr>
            <w:tcW w:w="645" w:type="pct"/>
            <w:tcBorders>
              <w:tl2br w:val="nil"/>
              <w:tr2bl w:val="nil"/>
            </w:tcBorders>
            <w:vAlign w:val="center"/>
          </w:tcPr>
          <w:p w14:paraId="1E635054">
            <w:pPr>
              <w:jc w:val="center"/>
              <w:rPr>
                <w:color w:val="auto"/>
                <w:spacing w:val="-2"/>
                <w:kern w:val="0"/>
                <w:szCs w:val="21"/>
              </w:rPr>
            </w:pPr>
            <w:r>
              <w:rPr>
                <w:color w:val="auto"/>
                <w:spacing w:val="-2"/>
                <w:kern w:val="0"/>
                <w:szCs w:val="21"/>
              </w:rPr>
              <w:t>粉质粘土</w:t>
            </w:r>
          </w:p>
        </w:tc>
        <w:tc>
          <w:tcPr>
            <w:tcW w:w="1798" w:type="pct"/>
            <w:tcBorders>
              <w:tl2br w:val="nil"/>
              <w:tr2bl w:val="nil"/>
            </w:tcBorders>
            <w:vAlign w:val="center"/>
          </w:tcPr>
          <w:p w14:paraId="3F01E8A1">
            <w:pPr>
              <w:jc w:val="center"/>
              <w:rPr>
                <w:color w:val="auto"/>
                <w:spacing w:val="-2"/>
                <w:kern w:val="0"/>
                <w:szCs w:val="21"/>
              </w:rPr>
            </w:pPr>
            <w:r>
              <w:rPr>
                <w:color w:val="auto"/>
                <w:spacing w:val="-2"/>
                <w:kern w:val="0"/>
                <w:szCs w:val="21"/>
              </w:rPr>
              <w:t>黄褐色，可塑-硬塑，无摇震反应，刀切面稍有光泽，干强度低，局部含圆砾和薄层粉细砂夹层，圆砾一般粒径10-20mm，含量5%-30%。</w:t>
            </w:r>
          </w:p>
        </w:tc>
        <w:tc>
          <w:tcPr>
            <w:tcW w:w="669" w:type="pct"/>
            <w:tcBorders>
              <w:right w:val="single" w:color="auto" w:sz="4" w:space="0"/>
              <w:tl2br w:val="nil"/>
              <w:tr2bl w:val="nil"/>
            </w:tcBorders>
            <w:vAlign w:val="center"/>
          </w:tcPr>
          <w:p w14:paraId="7C65A6BF">
            <w:pPr>
              <w:jc w:val="center"/>
              <w:rPr>
                <w:color w:val="auto"/>
                <w:spacing w:val="-2"/>
                <w:kern w:val="0"/>
                <w:szCs w:val="21"/>
              </w:rPr>
            </w:pPr>
            <w:r>
              <w:rPr>
                <w:color w:val="auto"/>
                <w:spacing w:val="-2"/>
                <w:kern w:val="0"/>
                <w:szCs w:val="21"/>
              </w:rPr>
              <w:t>0.6~16.7</w:t>
            </w:r>
          </w:p>
        </w:tc>
        <w:tc>
          <w:tcPr>
            <w:tcW w:w="629" w:type="pct"/>
            <w:tcBorders>
              <w:left w:val="single" w:color="auto" w:sz="4" w:space="0"/>
              <w:tl2br w:val="nil"/>
              <w:tr2bl w:val="nil"/>
            </w:tcBorders>
            <w:vAlign w:val="center"/>
          </w:tcPr>
          <w:p w14:paraId="2B82E657">
            <w:pPr>
              <w:jc w:val="center"/>
              <w:rPr>
                <w:color w:val="auto"/>
                <w:spacing w:val="-2"/>
                <w:kern w:val="0"/>
                <w:szCs w:val="21"/>
              </w:rPr>
            </w:pPr>
            <w:r>
              <w:rPr>
                <w:color w:val="auto"/>
                <w:spacing w:val="-2"/>
                <w:kern w:val="0"/>
                <w:szCs w:val="21"/>
              </w:rPr>
              <w:t>444.17 ~ 458.57</w:t>
            </w:r>
          </w:p>
        </w:tc>
        <w:tc>
          <w:tcPr>
            <w:tcW w:w="676" w:type="pct"/>
            <w:tcBorders>
              <w:tl2br w:val="nil"/>
              <w:tr2bl w:val="nil"/>
            </w:tcBorders>
            <w:vAlign w:val="center"/>
          </w:tcPr>
          <w:p w14:paraId="041BC9CB">
            <w:pPr>
              <w:jc w:val="center"/>
              <w:rPr>
                <w:color w:val="auto"/>
                <w:spacing w:val="-2"/>
                <w:kern w:val="0"/>
                <w:szCs w:val="21"/>
              </w:rPr>
            </w:pPr>
            <w:r>
              <w:rPr>
                <w:color w:val="auto"/>
                <w:spacing w:val="-2"/>
                <w:kern w:val="0"/>
                <w:szCs w:val="21"/>
              </w:rPr>
              <w:t>全场地分布</w:t>
            </w:r>
          </w:p>
        </w:tc>
      </w:tr>
      <w:tr w14:paraId="5E7297D8">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tl2br w:val="nil"/>
              <w:tr2bl w:val="nil"/>
            </w:tcBorders>
            <w:vAlign w:val="center"/>
          </w:tcPr>
          <w:p w14:paraId="7DDBC806">
            <w:pPr>
              <w:jc w:val="center"/>
              <w:rPr>
                <w:color w:val="auto"/>
                <w:spacing w:val="-2"/>
                <w:kern w:val="0"/>
                <w:szCs w:val="21"/>
              </w:rPr>
            </w:pPr>
            <w:r>
              <w:rPr>
                <w:color w:val="auto"/>
                <w:spacing w:val="-2"/>
                <w:kern w:val="0"/>
                <w:szCs w:val="21"/>
              </w:rPr>
              <w:t>⑧</w:t>
            </w:r>
          </w:p>
        </w:tc>
        <w:tc>
          <w:tcPr>
            <w:tcW w:w="645" w:type="pct"/>
            <w:tcBorders>
              <w:tl2br w:val="nil"/>
              <w:tr2bl w:val="nil"/>
            </w:tcBorders>
            <w:vAlign w:val="center"/>
          </w:tcPr>
          <w:p w14:paraId="35057A6C">
            <w:pPr>
              <w:jc w:val="center"/>
              <w:rPr>
                <w:color w:val="auto"/>
                <w:spacing w:val="-2"/>
                <w:kern w:val="0"/>
                <w:szCs w:val="21"/>
              </w:rPr>
            </w:pPr>
            <w:r>
              <w:rPr>
                <w:color w:val="auto"/>
                <w:spacing w:val="-2"/>
                <w:kern w:val="0"/>
                <w:szCs w:val="21"/>
              </w:rPr>
              <w:t>中砂</w:t>
            </w:r>
          </w:p>
        </w:tc>
        <w:tc>
          <w:tcPr>
            <w:tcW w:w="1798" w:type="pct"/>
            <w:tcBorders>
              <w:tl2br w:val="nil"/>
              <w:tr2bl w:val="nil"/>
            </w:tcBorders>
            <w:vAlign w:val="center"/>
          </w:tcPr>
          <w:p w14:paraId="7616AD5A">
            <w:pPr>
              <w:jc w:val="center"/>
              <w:rPr>
                <w:color w:val="auto"/>
                <w:spacing w:val="-2"/>
                <w:kern w:val="0"/>
                <w:szCs w:val="21"/>
              </w:rPr>
            </w:pPr>
            <w:r>
              <w:rPr>
                <w:color w:val="auto"/>
                <w:spacing w:val="-2"/>
                <w:kern w:val="0"/>
                <w:szCs w:val="21"/>
              </w:rPr>
              <w:t>淡黄色-黄褐色，主要矿物成分以石英和长石为主，密实，稍湿，夹薄层圆砾和细砂，局部为薄层粉质粘土和粉砂互层。</w:t>
            </w:r>
          </w:p>
        </w:tc>
        <w:tc>
          <w:tcPr>
            <w:tcW w:w="669" w:type="pct"/>
            <w:tcBorders>
              <w:right w:val="single" w:color="auto" w:sz="4" w:space="0"/>
              <w:tl2br w:val="nil"/>
              <w:tr2bl w:val="nil"/>
            </w:tcBorders>
            <w:vAlign w:val="center"/>
          </w:tcPr>
          <w:p w14:paraId="78B5CBEB">
            <w:pPr>
              <w:jc w:val="center"/>
              <w:rPr>
                <w:color w:val="auto"/>
                <w:spacing w:val="-2"/>
                <w:kern w:val="0"/>
                <w:szCs w:val="21"/>
              </w:rPr>
            </w:pPr>
            <w:r>
              <w:rPr>
                <w:color w:val="auto"/>
                <w:spacing w:val="-2"/>
                <w:kern w:val="0"/>
                <w:szCs w:val="21"/>
              </w:rPr>
              <w:t>1.0~15.3</w:t>
            </w:r>
          </w:p>
        </w:tc>
        <w:tc>
          <w:tcPr>
            <w:tcW w:w="629" w:type="pct"/>
            <w:tcBorders>
              <w:left w:val="single" w:color="auto" w:sz="4" w:space="0"/>
              <w:tl2br w:val="nil"/>
              <w:tr2bl w:val="nil"/>
            </w:tcBorders>
            <w:vAlign w:val="center"/>
          </w:tcPr>
          <w:p w14:paraId="4DE63CC8">
            <w:pPr>
              <w:jc w:val="center"/>
              <w:rPr>
                <w:color w:val="auto"/>
                <w:spacing w:val="-2"/>
                <w:kern w:val="0"/>
                <w:szCs w:val="21"/>
              </w:rPr>
            </w:pPr>
            <w:r>
              <w:rPr>
                <w:color w:val="auto"/>
                <w:spacing w:val="-2"/>
                <w:kern w:val="0"/>
                <w:szCs w:val="21"/>
              </w:rPr>
              <w:t>440.69 ~ 455.57</w:t>
            </w:r>
          </w:p>
        </w:tc>
        <w:tc>
          <w:tcPr>
            <w:tcW w:w="676" w:type="pct"/>
            <w:tcBorders>
              <w:tl2br w:val="nil"/>
              <w:tr2bl w:val="nil"/>
            </w:tcBorders>
            <w:vAlign w:val="center"/>
          </w:tcPr>
          <w:p w14:paraId="7E1AC163">
            <w:pPr>
              <w:jc w:val="center"/>
              <w:rPr>
                <w:color w:val="auto"/>
                <w:spacing w:val="-2"/>
                <w:kern w:val="0"/>
                <w:szCs w:val="21"/>
              </w:rPr>
            </w:pPr>
            <w:r>
              <w:rPr>
                <w:color w:val="auto"/>
                <w:spacing w:val="-2"/>
                <w:kern w:val="0"/>
                <w:szCs w:val="21"/>
              </w:rPr>
              <w:t>全场地分布</w:t>
            </w:r>
          </w:p>
        </w:tc>
      </w:tr>
      <w:tr w14:paraId="432367CA">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tl2br w:val="nil"/>
              <w:tr2bl w:val="nil"/>
            </w:tcBorders>
            <w:vAlign w:val="center"/>
          </w:tcPr>
          <w:p w14:paraId="0418530E">
            <w:pPr>
              <w:jc w:val="center"/>
              <w:rPr>
                <w:color w:val="auto"/>
                <w:spacing w:val="-2"/>
                <w:kern w:val="0"/>
                <w:szCs w:val="21"/>
              </w:rPr>
            </w:pPr>
            <w:r>
              <w:rPr>
                <w:color w:val="auto"/>
                <w:spacing w:val="-2"/>
                <w:kern w:val="0"/>
                <w:szCs w:val="21"/>
              </w:rPr>
              <w:t>⑨</w:t>
            </w:r>
          </w:p>
        </w:tc>
        <w:tc>
          <w:tcPr>
            <w:tcW w:w="645" w:type="pct"/>
            <w:tcBorders>
              <w:tl2br w:val="nil"/>
              <w:tr2bl w:val="nil"/>
            </w:tcBorders>
            <w:vAlign w:val="center"/>
          </w:tcPr>
          <w:p w14:paraId="68213DCD">
            <w:pPr>
              <w:jc w:val="center"/>
              <w:rPr>
                <w:color w:val="auto"/>
                <w:spacing w:val="-2"/>
                <w:kern w:val="0"/>
                <w:szCs w:val="21"/>
              </w:rPr>
            </w:pPr>
            <w:r>
              <w:rPr>
                <w:color w:val="auto"/>
                <w:spacing w:val="-2"/>
                <w:kern w:val="0"/>
                <w:szCs w:val="21"/>
              </w:rPr>
              <w:t>圆砾</w:t>
            </w:r>
          </w:p>
        </w:tc>
        <w:tc>
          <w:tcPr>
            <w:tcW w:w="1798" w:type="pct"/>
            <w:tcBorders>
              <w:tl2br w:val="nil"/>
              <w:tr2bl w:val="nil"/>
            </w:tcBorders>
            <w:vAlign w:val="center"/>
          </w:tcPr>
          <w:p w14:paraId="7FC1C108">
            <w:pPr>
              <w:jc w:val="center"/>
              <w:rPr>
                <w:color w:val="auto"/>
                <w:spacing w:val="-2"/>
                <w:kern w:val="0"/>
                <w:szCs w:val="21"/>
              </w:rPr>
            </w:pPr>
            <w:r>
              <w:rPr>
                <w:color w:val="auto"/>
                <w:spacing w:val="-2"/>
                <w:kern w:val="0"/>
                <w:szCs w:val="21"/>
              </w:rPr>
              <w:t>杂色，黄褐色为主，母岩以花岗岩、凝灰岩为主，中密-密实，饱和，局部含少量卵石和粉质粘土夹层，卵石呈亚圆形， 一般粒径20-40mm。</w:t>
            </w:r>
          </w:p>
        </w:tc>
        <w:tc>
          <w:tcPr>
            <w:tcW w:w="669" w:type="pct"/>
            <w:tcBorders>
              <w:right w:val="single" w:color="auto" w:sz="4" w:space="0"/>
              <w:tl2br w:val="nil"/>
              <w:tr2bl w:val="nil"/>
            </w:tcBorders>
            <w:vAlign w:val="center"/>
          </w:tcPr>
          <w:p w14:paraId="6BB87233">
            <w:pPr>
              <w:jc w:val="center"/>
              <w:rPr>
                <w:color w:val="auto"/>
                <w:spacing w:val="-2"/>
                <w:kern w:val="0"/>
                <w:szCs w:val="21"/>
              </w:rPr>
            </w:pPr>
            <w:r>
              <w:rPr>
                <w:color w:val="auto"/>
                <w:spacing w:val="-2"/>
                <w:kern w:val="0"/>
                <w:szCs w:val="21"/>
              </w:rPr>
              <w:t>6.0~14.8</w:t>
            </w:r>
          </w:p>
        </w:tc>
        <w:tc>
          <w:tcPr>
            <w:tcW w:w="629" w:type="pct"/>
            <w:tcBorders>
              <w:left w:val="single" w:color="auto" w:sz="4" w:space="0"/>
              <w:tl2br w:val="nil"/>
              <w:tr2bl w:val="nil"/>
            </w:tcBorders>
            <w:vAlign w:val="center"/>
          </w:tcPr>
          <w:p w14:paraId="6D7E6C00">
            <w:pPr>
              <w:jc w:val="center"/>
              <w:rPr>
                <w:color w:val="auto"/>
                <w:spacing w:val="-2"/>
                <w:kern w:val="0"/>
                <w:szCs w:val="21"/>
              </w:rPr>
            </w:pPr>
            <w:r>
              <w:rPr>
                <w:color w:val="auto"/>
                <w:spacing w:val="-2"/>
                <w:kern w:val="0"/>
                <w:szCs w:val="21"/>
              </w:rPr>
              <w:t>局部未揭穿</w:t>
            </w:r>
          </w:p>
        </w:tc>
        <w:tc>
          <w:tcPr>
            <w:tcW w:w="676" w:type="pct"/>
            <w:tcBorders>
              <w:tl2br w:val="nil"/>
              <w:tr2bl w:val="nil"/>
            </w:tcBorders>
            <w:vAlign w:val="center"/>
          </w:tcPr>
          <w:p w14:paraId="29F8822C">
            <w:pPr>
              <w:jc w:val="center"/>
              <w:rPr>
                <w:color w:val="auto"/>
                <w:spacing w:val="-2"/>
                <w:kern w:val="0"/>
                <w:szCs w:val="21"/>
              </w:rPr>
            </w:pPr>
            <w:r>
              <w:rPr>
                <w:color w:val="auto"/>
                <w:spacing w:val="-2"/>
                <w:kern w:val="0"/>
                <w:szCs w:val="21"/>
              </w:rPr>
              <w:t xml:space="preserve"> —</w:t>
            </w:r>
          </w:p>
        </w:tc>
      </w:tr>
      <w:tr w14:paraId="7BCE011F">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80" w:type="pct"/>
            <w:tcBorders>
              <w:tl2br w:val="nil"/>
              <w:tr2bl w:val="nil"/>
            </w:tcBorders>
            <w:vAlign w:val="center"/>
          </w:tcPr>
          <w:p w14:paraId="5ECD78C0">
            <w:pPr>
              <w:jc w:val="center"/>
              <w:rPr>
                <w:color w:val="auto"/>
                <w:spacing w:val="-2"/>
                <w:kern w:val="0"/>
                <w:szCs w:val="21"/>
              </w:rPr>
            </w:pPr>
            <w:r>
              <w:rPr>
                <w:color w:val="auto"/>
                <w:spacing w:val="-2"/>
                <w:kern w:val="0"/>
                <w:szCs w:val="21"/>
              </w:rPr>
              <w:t>⑩</w:t>
            </w:r>
          </w:p>
        </w:tc>
        <w:tc>
          <w:tcPr>
            <w:tcW w:w="645" w:type="pct"/>
            <w:tcBorders>
              <w:tl2br w:val="nil"/>
              <w:tr2bl w:val="nil"/>
            </w:tcBorders>
            <w:vAlign w:val="center"/>
          </w:tcPr>
          <w:p w14:paraId="08F04C35">
            <w:pPr>
              <w:jc w:val="center"/>
              <w:rPr>
                <w:color w:val="auto"/>
                <w:spacing w:val="-2"/>
                <w:kern w:val="0"/>
                <w:szCs w:val="21"/>
              </w:rPr>
            </w:pPr>
            <w:r>
              <w:rPr>
                <w:color w:val="auto"/>
                <w:spacing w:val="-2"/>
                <w:kern w:val="0"/>
                <w:szCs w:val="21"/>
              </w:rPr>
              <w:t>粉质粘土</w:t>
            </w:r>
          </w:p>
        </w:tc>
        <w:tc>
          <w:tcPr>
            <w:tcW w:w="1798" w:type="pct"/>
            <w:tcBorders>
              <w:tl2br w:val="nil"/>
              <w:tr2bl w:val="nil"/>
            </w:tcBorders>
            <w:vAlign w:val="center"/>
          </w:tcPr>
          <w:p w14:paraId="0E24B684">
            <w:pPr>
              <w:jc w:val="center"/>
              <w:rPr>
                <w:color w:val="auto"/>
                <w:spacing w:val="-2"/>
                <w:kern w:val="0"/>
                <w:szCs w:val="21"/>
              </w:rPr>
            </w:pPr>
            <w:r>
              <w:rPr>
                <w:color w:val="auto"/>
                <w:spacing w:val="-2"/>
                <w:kern w:val="0"/>
                <w:szCs w:val="21"/>
              </w:rPr>
              <w:t>黄褐色，可塑-硬塑，无摇震反应，刀切面稍有光泽，干强度低，局部含薄层粉细砂夹层。</w:t>
            </w:r>
          </w:p>
        </w:tc>
        <w:tc>
          <w:tcPr>
            <w:tcW w:w="669" w:type="pct"/>
            <w:tcBorders>
              <w:right w:val="single" w:color="auto" w:sz="4" w:space="0"/>
              <w:tl2br w:val="nil"/>
              <w:tr2bl w:val="nil"/>
            </w:tcBorders>
            <w:vAlign w:val="center"/>
          </w:tcPr>
          <w:p w14:paraId="1DE947FA">
            <w:pPr>
              <w:jc w:val="center"/>
              <w:rPr>
                <w:color w:val="auto"/>
                <w:spacing w:val="-2"/>
                <w:kern w:val="0"/>
                <w:szCs w:val="21"/>
              </w:rPr>
            </w:pPr>
            <w:r>
              <w:rPr>
                <w:color w:val="auto"/>
                <w:spacing w:val="-2"/>
                <w:kern w:val="0"/>
                <w:szCs w:val="21"/>
              </w:rPr>
              <w:t>3.5~5.0</w:t>
            </w:r>
          </w:p>
        </w:tc>
        <w:tc>
          <w:tcPr>
            <w:tcW w:w="629" w:type="pct"/>
            <w:tcBorders>
              <w:left w:val="single" w:color="auto" w:sz="4" w:space="0"/>
              <w:tl2br w:val="nil"/>
              <w:tr2bl w:val="nil"/>
            </w:tcBorders>
            <w:vAlign w:val="center"/>
          </w:tcPr>
          <w:p w14:paraId="42981733">
            <w:pPr>
              <w:jc w:val="center"/>
              <w:rPr>
                <w:color w:val="auto"/>
                <w:spacing w:val="-2"/>
                <w:kern w:val="0"/>
                <w:szCs w:val="21"/>
              </w:rPr>
            </w:pPr>
            <w:r>
              <w:rPr>
                <w:color w:val="auto"/>
                <w:spacing w:val="-2"/>
                <w:kern w:val="0"/>
                <w:szCs w:val="21"/>
              </w:rPr>
              <w:t>未揭穿</w:t>
            </w:r>
          </w:p>
        </w:tc>
        <w:tc>
          <w:tcPr>
            <w:tcW w:w="676" w:type="pct"/>
            <w:tcBorders>
              <w:tl2br w:val="nil"/>
              <w:tr2bl w:val="nil"/>
            </w:tcBorders>
            <w:vAlign w:val="center"/>
          </w:tcPr>
          <w:p w14:paraId="3BEB979A">
            <w:pPr>
              <w:jc w:val="center"/>
              <w:rPr>
                <w:color w:val="auto"/>
                <w:spacing w:val="-2"/>
                <w:kern w:val="0"/>
                <w:szCs w:val="21"/>
              </w:rPr>
            </w:pPr>
            <w:r>
              <w:rPr>
                <w:color w:val="auto"/>
                <w:spacing w:val="-2"/>
                <w:kern w:val="0"/>
                <w:szCs w:val="21"/>
              </w:rPr>
              <w:t>—</w:t>
            </w:r>
          </w:p>
        </w:tc>
      </w:tr>
    </w:tbl>
    <w:p w14:paraId="0923EDB7">
      <w:pPr>
        <w:spacing w:line="360" w:lineRule="auto"/>
        <w:rPr>
          <w:rFonts w:hint="eastAsia"/>
          <w:color w:val="auto"/>
          <w:sz w:val="15"/>
          <w:szCs w:val="15"/>
        </w:rPr>
      </w:pPr>
    </w:p>
    <w:p w14:paraId="07C20AD1">
      <w:pPr>
        <w:spacing w:line="360" w:lineRule="auto"/>
        <w:jc w:val="center"/>
        <w:rPr>
          <w:color w:val="auto"/>
          <w:sz w:val="24"/>
        </w:rPr>
      </w:pPr>
      <w:r>
        <w:rPr>
          <w:rFonts w:hint="eastAsia"/>
          <w:color w:val="auto"/>
          <w:sz w:val="24"/>
        </w:rPr>
        <w:drawing>
          <wp:inline distT="0" distB="0" distL="114300" distR="114300">
            <wp:extent cx="4901565" cy="2567305"/>
            <wp:effectExtent l="0" t="0" r="13335" b="4445"/>
            <wp:docPr id="42" name="图片 42" descr="1660032508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660032508168"/>
                    <pic:cNvPicPr>
                      <a:picLocks noChangeAspect="1"/>
                    </pic:cNvPicPr>
                  </pic:nvPicPr>
                  <pic:blipFill>
                    <a:blip r:embed="rId48"/>
                    <a:stretch>
                      <a:fillRect/>
                    </a:stretch>
                  </pic:blipFill>
                  <pic:spPr>
                    <a:xfrm>
                      <a:off x="0" y="0"/>
                      <a:ext cx="4901565" cy="2567305"/>
                    </a:xfrm>
                    <a:prstGeom prst="rect">
                      <a:avLst/>
                    </a:prstGeom>
                  </pic:spPr>
                </pic:pic>
              </a:graphicData>
            </a:graphic>
          </wp:inline>
        </w:drawing>
      </w:r>
    </w:p>
    <w:p w14:paraId="607128CC">
      <w:pPr>
        <w:spacing w:line="360" w:lineRule="auto"/>
        <w:ind w:firstLine="482" w:firstLineChars="200"/>
        <w:jc w:val="center"/>
        <w:rPr>
          <w:color w:val="auto"/>
          <w:sz w:val="24"/>
          <w:szCs w:val="24"/>
        </w:rPr>
      </w:pPr>
      <w:r>
        <w:rPr>
          <w:rFonts w:hint="eastAsia"/>
          <w:b/>
          <w:color w:val="auto"/>
          <w:sz w:val="24"/>
          <w:szCs w:val="24"/>
        </w:rPr>
        <w:t>图5</w:t>
      </w:r>
      <w:r>
        <w:rPr>
          <w:rFonts w:hint="eastAsia"/>
          <w:b/>
          <w:color w:val="auto"/>
          <w:sz w:val="24"/>
          <w:szCs w:val="24"/>
          <w:lang w:val="en-US" w:eastAsia="zh-CN"/>
        </w:rPr>
        <w:t>.2</w:t>
      </w:r>
      <w:r>
        <w:rPr>
          <w:rFonts w:hint="eastAsia"/>
          <w:b/>
          <w:color w:val="auto"/>
          <w:sz w:val="24"/>
          <w:szCs w:val="24"/>
        </w:rPr>
        <w:t>-</w:t>
      </w:r>
      <w:r>
        <w:rPr>
          <w:rFonts w:hint="eastAsia"/>
          <w:b/>
          <w:color w:val="auto"/>
          <w:sz w:val="24"/>
          <w:szCs w:val="24"/>
          <w:lang w:val="en-US" w:eastAsia="zh-CN"/>
        </w:rPr>
        <w:t>3</w:t>
      </w:r>
      <w:r>
        <w:rPr>
          <w:rFonts w:hint="eastAsia"/>
          <w:b/>
          <w:color w:val="auto"/>
          <w:sz w:val="24"/>
          <w:szCs w:val="24"/>
        </w:rPr>
        <w:t xml:space="preserve"> </w:t>
      </w:r>
      <w:r>
        <w:rPr>
          <w:rFonts w:hint="eastAsia"/>
          <w:b/>
          <w:color w:val="auto"/>
          <w:sz w:val="24"/>
          <w:szCs w:val="24"/>
          <w:lang w:val="en-US" w:eastAsia="zh-CN"/>
        </w:rPr>
        <w:t xml:space="preserve">  </w:t>
      </w:r>
      <w:r>
        <w:rPr>
          <w:rFonts w:hint="eastAsia"/>
          <w:b/>
          <w:color w:val="auto"/>
          <w:sz w:val="24"/>
          <w:szCs w:val="24"/>
        </w:rPr>
        <w:t xml:space="preserve"> </w:t>
      </w:r>
      <w:r>
        <w:rPr>
          <w:b/>
          <w:color w:val="auto"/>
          <w:sz w:val="24"/>
          <w:szCs w:val="24"/>
        </w:rPr>
        <w:t>工程地质剖面图</w:t>
      </w:r>
    </w:p>
    <w:p w14:paraId="35F5C743">
      <w:pPr>
        <w:spacing w:line="360" w:lineRule="auto"/>
        <w:ind w:firstLine="480" w:firstLineChars="200"/>
        <w:rPr>
          <w:color w:val="auto"/>
          <w:sz w:val="24"/>
        </w:rPr>
      </w:pPr>
      <w:r>
        <w:rPr>
          <w:color w:val="auto"/>
          <w:sz w:val="24"/>
        </w:rPr>
        <w:t>（3）地下水补、径、排泄特征评估区内地下水的补给、径流、排泄条件受岩性、地貌、构造、气象、水文等各种因素的影响与控制，地下水一般接受大气降水及相邻含水层补给，由阶地后缘向前缘运移，排泄于河流。评估区赋存于含水层中的地下水，主要接受地表水体、大气降水的入渗和相邻含水层的侧向径流补给。</w:t>
      </w:r>
      <w:r>
        <w:rPr>
          <w:rFonts w:hint="eastAsia"/>
          <w:color w:val="auto"/>
          <w:sz w:val="24"/>
          <w:lang w:val="en-US" w:eastAsia="zh-CN"/>
        </w:rPr>
        <w:t>由于本区地形总体为北高南低，因此地下水总体径流方向为自北向南，呈单一方向的径流运动。水力坡度小，为2.6‰，径流缓慢。</w:t>
      </w:r>
    </w:p>
    <w:p w14:paraId="3BDC25DB">
      <w:pPr>
        <w:pStyle w:val="276"/>
        <w:ind w:left="0" w:leftChars="0" w:firstLine="0" w:firstLineChars="0"/>
        <w:jc w:val="center"/>
        <w:rPr>
          <w:rFonts w:hint="eastAsia"/>
          <w:b/>
          <w:color w:val="auto"/>
        </w:rPr>
      </w:pPr>
      <w:r>
        <w:rPr>
          <w:color w:val="auto"/>
          <w:sz w:val="24"/>
        </w:rPr>
        <mc:AlternateContent>
          <mc:Choice Requires="wps">
            <w:drawing>
              <wp:anchor distT="0" distB="0" distL="114300" distR="114300" simplePos="0" relativeHeight="251827200" behindDoc="0" locked="0" layoutInCell="1" allowOverlap="1">
                <wp:simplePos x="0" y="0"/>
                <wp:positionH relativeFrom="column">
                  <wp:posOffset>2103755</wp:posOffset>
                </wp:positionH>
                <wp:positionV relativeFrom="paragraph">
                  <wp:posOffset>1054735</wp:posOffset>
                </wp:positionV>
                <wp:extent cx="733425" cy="323850"/>
                <wp:effectExtent l="20955" t="6350" r="7620" b="203200"/>
                <wp:wrapNone/>
                <wp:docPr id="605" name="圆角矩形标注 605"/>
                <wp:cNvGraphicFramePr/>
                <a:graphic xmlns:a="http://schemas.openxmlformats.org/drawingml/2006/main">
                  <a:graphicData uri="http://schemas.microsoft.com/office/word/2010/wordprocessingShape">
                    <wps:wsp>
                      <wps:cNvSpPr/>
                      <wps:spPr>
                        <a:xfrm>
                          <a:off x="2759075" y="6721475"/>
                          <a:ext cx="733425" cy="323850"/>
                        </a:xfrm>
                        <a:prstGeom prst="wedgeRoundRectCallout">
                          <a:avLst>
                            <a:gd name="adj1" fmla="val -51991"/>
                            <a:gd name="adj2" fmla="val 105777"/>
                            <a:gd name="adj3" fmla="val 16667"/>
                          </a:avLst>
                        </a:prstGeom>
                        <a:solidFill>
                          <a:srgbClr val="FFFF00"/>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96AB27E">
                            <w:pPr>
                              <w:jc w:val="center"/>
                              <w:rPr>
                                <w:rFonts w:hint="eastAsia" w:eastAsia="宋体"/>
                                <w:b/>
                                <w:bCs/>
                                <w:color w:val="FF0000"/>
                                <w:lang w:eastAsia="zh-CN"/>
                              </w:rPr>
                            </w:pPr>
                            <w:r>
                              <w:rPr>
                                <w:rFonts w:hint="eastAsia"/>
                                <w:b/>
                                <w:bCs/>
                                <w:color w:val="FF0000"/>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65.65pt;margin-top:83.05pt;height:25.5pt;width:57.75pt;z-index:251827200;v-text-anchor:middle;mso-width-relative:page;mso-height-relative:page;" fillcolor="#FFFF00" filled="t" stroked="t" coordsize="21600,21600" o:gfxdata="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LCyyGra&#10;AAAACwEAAA8AAAAAAAAAAQAgAAAAIgAAAGRycy9kb3ducmV2LnhtbFBLAQIUABQAAAAIAIdO4kBs&#10;ZeCNyQIAAIsFAAAOAAAAAAAAAAEAIAAAACkBAABkcnMvZTJvRG9jLnhtbFBLBQYAAAAABgAGAFkB&#10;AABkBgAAAAA=&#10;" adj="-430,33648,14400">
                <v:fill on="t" focussize="0,0"/>
                <v:stroke weight="1pt" color="#000000 [3213]" joinstyle="round"/>
                <v:imagedata o:title=""/>
                <o:lock v:ext="edit" aspectratio="f"/>
                <v:textbox>
                  <w:txbxContent>
                    <w:p w14:paraId="596AB27E">
                      <w:pPr>
                        <w:jc w:val="center"/>
                        <w:rPr>
                          <w:rFonts w:hint="eastAsia" w:eastAsia="宋体"/>
                          <w:b/>
                          <w:bCs/>
                          <w:color w:val="FF0000"/>
                          <w:lang w:eastAsia="zh-CN"/>
                        </w:rPr>
                      </w:pPr>
                      <w:r>
                        <w:rPr>
                          <w:rFonts w:hint="eastAsia"/>
                          <w:b/>
                          <w:bCs/>
                          <w:color w:val="FF0000"/>
                          <w:lang w:eastAsia="zh-CN"/>
                        </w:rPr>
                        <w:t>项目地</w:t>
                      </w:r>
                    </w:p>
                  </w:txbxContent>
                </v:textbox>
              </v:shape>
            </w:pict>
          </mc:Fallback>
        </mc:AlternateContent>
      </w:r>
      <w:r>
        <w:rPr>
          <w:color w:val="auto"/>
          <w:sz w:val="24"/>
        </w:rPr>
        <mc:AlternateContent>
          <mc:Choice Requires="wps">
            <w:drawing>
              <wp:anchor distT="0" distB="0" distL="114300" distR="114300" simplePos="0" relativeHeight="251826176" behindDoc="0" locked="0" layoutInCell="1" allowOverlap="1">
                <wp:simplePos x="0" y="0"/>
                <wp:positionH relativeFrom="column">
                  <wp:posOffset>2046605</wp:posOffset>
                </wp:positionH>
                <wp:positionV relativeFrom="paragraph">
                  <wp:posOffset>1502410</wp:posOffset>
                </wp:positionV>
                <wp:extent cx="75565" cy="75565"/>
                <wp:effectExtent l="21590" t="21590" r="36195" b="36195"/>
                <wp:wrapNone/>
                <wp:docPr id="604" name="矩形 604"/>
                <wp:cNvGraphicFramePr/>
                <a:graphic xmlns:a="http://schemas.openxmlformats.org/drawingml/2006/main">
                  <a:graphicData uri="http://schemas.microsoft.com/office/word/2010/wordprocessingShape">
                    <wps:wsp>
                      <wps:cNvSpPr/>
                      <wps:spPr>
                        <a:xfrm rot="3240000">
                          <a:off x="2701925" y="7131050"/>
                          <a:ext cx="75565" cy="75565"/>
                        </a:xfrm>
                        <a:prstGeom prst="rect">
                          <a:avLst/>
                        </a:prstGeom>
                        <a:solidFill>
                          <a:srgbClr val="FF0000">
                            <a:alpha val="80000"/>
                          </a:srgbClr>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1.15pt;margin-top:118.3pt;height:5.95pt;width:5.95pt;rotation:3538944f;z-index:251826176;v-text-anchor:middle;mso-width-relative:page;mso-height-relative:page;" fillcolor="#FF0000" filled="t" stroked="t" coordsize="21600,21600" o:gfxdata="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80QlWtoAAAALAQAADwAAAAAA&#10;AAABACAAAAAiAAAAZHJzL2Rvd25yZXYueG1sUEsBAhQAFAAAAAgAh07iQJ1qzieDAgAAGQUAAA4A&#10;AAAAAAAAAQAgAAAAKQEAAGRycy9lMm9Eb2MueG1sUEsFBgAAAAAGAAYAWQEAAB4GAAAAAA==&#10;">
                <v:fill on="t" opacity="52428f" focussize="0,0"/>
                <v:stroke weight="1pt" color="#000000 [3213]" joinstyle="round"/>
                <v:imagedata o:title=""/>
                <o:lock v:ext="edit" aspectratio="f"/>
              </v:rect>
            </w:pict>
          </mc:Fallback>
        </mc:AlternateContent>
      </w:r>
      <w:r>
        <w:rPr>
          <w:color w:val="auto"/>
        </w:rPr>
        <w:drawing>
          <wp:inline distT="0" distB="0" distL="114300" distR="114300">
            <wp:extent cx="4759325" cy="3799840"/>
            <wp:effectExtent l="0" t="0" r="3175" b="10160"/>
            <wp:docPr id="6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
                    <pic:cNvPicPr>
                      <a:picLocks noChangeAspect="1"/>
                    </pic:cNvPicPr>
                  </pic:nvPicPr>
                  <pic:blipFill>
                    <a:blip r:embed="rId49"/>
                    <a:stretch>
                      <a:fillRect/>
                    </a:stretch>
                  </pic:blipFill>
                  <pic:spPr>
                    <a:xfrm>
                      <a:off x="0" y="0"/>
                      <a:ext cx="4759325" cy="3799840"/>
                    </a:xfrm>
                    <a:prstGeom prst="rect">
                      <a:avLst/>
                    </a:prstGeom>
                    <a:noFill/>
                    <a:ln>
                      <a:noFill/>
                    </a:ln>
                  </pic:spPr>
                </pic:pic>
              </a:graphicData>
            </a:graphic>
          </wp:inline>
        </w:drawing>
      </w:r>
    </w:p>
    <w:p w14:paraId="7ABB1D79">
      <w:pPr>
        <w:pStyle w:val="276"/>
        <w:ind w:left="0" w:leftChars="0" w:firstLine="0" w:firstLineChars="0"/>
        <w:jc w:val="center"/>
        <w:rPr>
          <w:rFonts w:hint="eastAsia"/>
          <w:b/>
          <w:color w:val="auto"/>
        </w:rPr>
      </w:pPr>
      <w:r>
        <w:rPr>
          <w:rFonts w:hint="eastAsia"/>
          <w:b/>
          <w:color w:val="auto"/>
          <w:lang w:val="en-US" w:eastAsia="zh-CN"/>
        </w:rPr>
        <w:t>图5.2-4   项目所在区域地下水系统水文地质图</w:t>
      </w:r>
    </w:p>
    <w:p w14:paraId="5A6B8C91">
      <w:pPr>
        <w:tabs>
          <w:tab w:val="left" w:pos="1661"/>
        </w:tabs>
        <w:autoSpaceDE w:val="0"/>
        <w:autoSpaceDN w:val="0"/>
        <w:spacing w:line="360" w:lineRule="auto"/>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b/>
          <w:color w:val="auto"/>
          <w:kern w:val="2"/>
          <w:sz w:val="24"/>
          <w:szCs w:val="24"/>
          <w:lang w:val="en-US" w:eastAsia="zh-CN" w:bidi="ar-SA"/>
        </w:rPr>
        <w:fldChar w:fldCharType="begin"/>
      </w:r>
      <w:r>
        <w:rPr>
          <w:rFonts w:hint="eastAsia" w:ascii="Times New Roman" w:hAnsi="Times New Roman" w:eastAsia="宋体" w:cs="Times New Roman"/>
          <w:b/>
          <w:color w:val="auto"/>
          <w:kern w:val="2"/>
          <w:sz w:val="24"/>
          <w:szCs w:val="24"/>
          <w:lang w:val="en-US" w:eastAsia="zh-CN" w:bidi="ar-SA"/>
        </w:rPr>
        <w:instrText xml:space="preserve"> HYPERLINK "5.2.3.3" </w:instrText>
      </w:r>
      <w:r>
        <w:rPr>
          <w:rFonts w:hint="eastAsia" w:ascii="Times New Roman" w:hAnsi="Times New Roman" w:eastAsia="宋体" w:cs="Times New Roman"/>
          <w:b/>
          <w:color w:val="auto"/>
          <w:kern w:val="2"/>
          <w:sz w:val="24"/>
          <w:szCs w:val="24"/>
          <w:lang w:val="en-US" w:eastAsia="zh-CN" w:bidi="ar-SA"/>
        </w:rPr>
        <w:fldChar w:fldCharType="separate"/>
      </w:r>
      <w:r>
        <w:rPr>
          <w:rFonts w:hint="eastAsia" w:ascii="Times New Roman" w:hAnsi="Times New Roman" w:eastAsia="宋体" w:cs="Times New Roman"/>
          <w:b/>
          <w:color w:val="auto"/>
          <w:kern w:val="2"/>
          <w:sz w:val="24"/>
          <w:szCs w:val="24"/>
          <w:lang w:val="en-US" w:eastAsia="zh-CN" w:bidi="ar-SA"/>
        </w:rPr>
        <w:t>5.2.3.3</w:t>
      </w:r>
      <w:r>
        <w:rPr>
          <w:rFonts w:hint="eastAsia" w:ascii="Times New Roman" w:hAnsi="Times New Roman" w:eastAsia="宋体" w:cs="Times New Roman"/>
          <w:b/>
          <w:color w:val="auto"/>
          <w:kern w:val="2"/>
          <w:sz w:val="24"/>
          <w:szCs w:val="24"/>
          <w:lang w:val="en-US" w:eastAsia="zh-CN" w:bidi="ar-SA"/>
        </w:rPr>
        <w:fldChar w:fldCharType="end"/>
      </w:r>
      <w:r>
        <w:rPr>
          <w:rFonts w:hint="eastAsia" w:ascii="Times New Roman" w:hAnsi="Times New Roman" w:eastAsia="宋体" w:cs="Times New Roman"/>
          <w:b/>
          <w:color w:val="auto"/>
          <w:kern w:val="2"/>
          <w:sz w:val="24"/>
          <w:szCs w:val="24"/>
          <w:lang w:val="en-US" w:eastAsia="zh-CN" w:bidi="ar-SA"/>
        </w:rPr>
        <w:t>污染途径</w:t>
      </w:r>
    </w:p>
    <w:p w14:paraId="69ABF8B4">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污染物从污染源进入地下水所经过路径称为地下水污染途径，地下水污染途径是多种多样的。根据拟建项目所处区域的地质情况分析，可能存在的主要污染方式是渗入型污染。污染物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地下水能否被污染以及污染程度的大小，取决于包气带的地质结构、成份、厚度、渗透性以及污染物的各类性质。一般说来，土壤粒细而紧密，渗透性差，则污染慢；反之，颗粒粗大松散，渗透性能良好则污染重。</w:t>
      </w:r>
    </w:p>
    <w:p w14:paraId="335743D4">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项目建成投产后，养殖废水全部经污水处理设施处理后还田综合利用，对地下水的影响主要为场区内污水处理池防渗措施不到位导致的废水下渗对地下水环境；处理后的废水还田利用可能对地下水质产生的影响。</w:t>
      </w:r>
    </w:p>
    <w:p w14:paraId="498A341F">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该项目主要渗漏污染因素分析如下：</w:t>
      </w:r>
    </w:p>
    <w:p w14:paraId="7040D7BC">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（1）临时储粪场、废水收集池等污水下渗。若防渗措施做不好，污染物会逐渐下渗影响浅层地下水；</w:t>
      </w:r>
    </w:p>
    <w:p w14:paraId="22BB3619">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（2）废水排污渠道的渗漏。污水通过管渠两侧或底部渗入含水层。</w:t>
      </w:r>
    </w:p>
    <w:p w14:paraId="764BEA58">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3）污水处理区各构筑物防渗层破裂、粘接缝不够密封或污水管道破裂等原因造成污水的渗透，从而污染浅层地下水。这种污染途径发生的可能性较小，一旦发生，极不容易发现，造成的污染和影响比较大，因此需要加强管理，避免发生。</w:t>
      </w:r>
    </w:p>
    <w:p w14:paraId="7B9950AD">
      <w:pPr>
        <w:tabs>
          <w:tab w:val="left" w:pos="1661"/>
        </w:tabs>
        <w:autoSpaceDE w:val="0"/>
        <w:autoSpaceDN w:val="0"/>
        <w:spacing w:line="360" w:lineRule="auto"/>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b/>
          <w:color w:val="auto"/>
          <w:kern w:val="2"/>
          <w:sz w:val="24"/>
          <w:szCs w:val="24"/>
          <w:lang w:val="en-US" w:eastAsia="zh-CN" w:bidi="ar-SA"/>
        </w:rPr>
        <w:fldChar w:fldCharType="begin"/>
      </w:r>
      <w:r>
        <w:rPr>
          <w:rFonts w:hint="eastAsia" w:ascii="Times New Roman" w:hAnsi="Times New Roman" w:eastAsia="宋体" w:cs="Times New Roman"/>
          <w:b/>
          <w:color w:val="auto"/>
          <w:kern w:val="2"/>
          <w:sz w:val="24"/>
          <w:szCs w:val="24"/>
          <w:lang w:val="en-US" w:eastAsia="zh-CN" w:bidi="ar-SA"/>
        </w:rPr>
        <w:instrText xml:space="preserve"> HYPERLINK "5.2.3.4" </w:instrText>
      </w:r>
      <w:r>
        <w:rPr>
          <w:rFonts w:hint="eastAsia" w:ascii="Times New Roman" w:hAnsi="Times New Roman" w:eastAsia="宋体" w:cs="Times New Roman"/>
          <w:b/>
          <w:color w:val="auto"/>
          <w:kern w:val="2"/>
          <w:sz w:val="24"/>
          <w:szCs w:val="24"/>
          <w:lang w:val="en-US" w:eastAsia="zh-CN" w:bidi="ar-SA"/>
        </w:rPr>
        <w:fldChar w:fldCharType="separate"/>
      </w:r>
      <w:r>
        <w:rPr>
          <w:rFonts w:hint="eastAsia" w:ascii="Times New Roman" w:hAnsi="Times New Roman" w:eastAsia="宋体" w:cs="Times New Roman"/>
          <w:b/>
          <w:color w:val="auto"/>
          <w:kern w:val="2"/>
          <w:sz w:val="24"/>
          <w:szCs w:val="24"/>
          <w:lang w:val="en-US" w:eastAsia="zh-CN" w:bidi="ar-SA"/>
        </w:rPr>
        <w:t>5.2.3.4</w:t>
      </w:r>
      <w:r>
        <w:rPr>
          <w:rFonts w:hint="eastAsia" w:ascii="Times New Roman" w:hAnsi="Times New Roman" w:eastAsia="宋体" w:cs="Times New Roman"/>
          <w:b/>
          <w:color w:val="auto"/>
          <w:kern w:val="2"/>
          <w:sz w:val="24"/>
          <w:szCs w:val="24"/>
          <w:lang w:val="en-US" w:eastAsia="zh-CN" w:bidi="ar-SA"/>
        </w:rPr>
        <w:fldChar w:fldCharType="end"/>
      </w:r>
      <w:r>
        <w:rPr>
          <w:rFonts w:hint="eastAsia" w:ascii="Times New Roman" w:hAnsi="Times New Roman" w:eastAsia="宋体" w:cs="Times New Roman"/>
          <w:b/>
          <w:color w:val="auto"/>
          <w:kern w:val="2"/>
          <w:sz w:val="24"/>
          <w:szCs w:val="24"/>
          <w:lang w:val="en-US" w:eastAsia="zh-CN" w:bidi="ar-SA"/>
        </w:rPr>
        <w:t>影响分析</w:t>
      </w:r>
    </w:p>
    <w:p w14:paraId="1592D5E2">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（1）对浅层地下水的污染影响</w:t>
      </w:r>
    </w:p>
    <w:p w14:paraId="701E008D">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正常情况下，对地下水的污染主要是由于污染物迁移穿过包气带进入含水层造成。本项目场地为粉质粘土层，其渗透系数为8.6×10</w:t>
      </w:r>
      <w:r>
        <w:rPr>
          <w:rFonts w:hint="eastAsia" w:ascii="Times New Roman" w:hAnsi="Times New Roman" w:eastAsia="宋体" w:cs="Times New Roman"/>
          <w:color w:val="auto"/>
          <w:sz w:val="24"/>
          <w:szCs w:val="22"/>
          <w:vertAlign w:val="superscript"/>
          <w:lang w:val="en-US" w:eastAsia="zh-CN" w:bidi="zh-CN"/>
        </w:rPr>
        <w:t>-7</w:t>
      </w:r>
      <w:r>
        <w:rPr>
          <w:rFonts w:hint="eastAsia" w:ascii="Times New Roman" w:hAnsi="Times New Roman" w:eastAsia="宋体" w:cs="Times New Roman"/>
          <w:color w:val="auto"/>
          <w:sz w:val="24"/>
          <w:szCs w:val="22"/>
          <w:lang w:val="en-US" w:eastAsia="zh-CN" w:bidi="zh-CN"/>
        </w:rPr>
        <w:t>cm/s，包气带防污性能为中级，说明浅层地下水不太容易受到污染。项目鸡舍、临时储粪场、废水收集池等均采用防渗措施，防渗区的防渗层为至少2mm厚高密度聚乙烯，或至少2毫米厚的其它人工材料，渗透系数≤10</w:t>
      </w:r>
      <w:r>
        <w:rPr>
          <w:rFonts w:hint="eastAsia" w:ascii="Times New Roman" w:hAnsi="Times New Roman" w:eastAsia="宋体" w:cs="Times New Roman"/>
          <w:color w:val="auto"/>
          <w:sz w:val="24"/>
          <w:szCs w:val="22"/>
          <w:vertAlign w:val="superscript"/>
          <w:lang w:val="en-US" w:eastAsia="zh-CN" w:bidi="zh-CN"/>
        </w:rPr>
        <w:t>-7</w:t>
      </w:r>
      <w:r>
        <w:rPr>
          <w:rFonts w:hint="eastAsia" w:ascii="Times New Roman" w:hAnsi="Times New Roman" w:eastAsia="宋体" w:cs="Times New Roman"/>
          <w:color w:val="auto"/>
          <w:sz w:val="24"/>
          <w:szCs w:val="22"/>
          <w:lang w:val="en-US" w:eastAsia="zh-CN" w:bidi="zh-CN"/>
        </w:rPr>
        <w:t>cm/s；若废水或废液发生渗漏，污染物不会很快穿过包气带进入浅层地下水，对浅层地下水的污染很小。</w:t>
      </w:r>
    </w:p>
    <w:p w14:paraId="63E3BE88">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（2）对深层地下水的污染影响</w:t>
      </w:r>
    </w:p>
    <w:p w14:paraId="371DFC92">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判断深层地下水是否会受到污染影响，通常分析深层地下水含水组上覆地层的防污性能和有无与浅层地下水的水力联系。通过水文地质条件分析，区内第Ⅱ含水组顶板为分布比较稳定且厚度较大的粘土隔水层，所以垂直渗入补给条件较差，与浅层地下水水力联系不密切。项目鸡舍、临时储粪场、废水收集池等均采用防渗措施，防渗区的防渗层为至少2mm厚高密度聚乙烯，或至少2mm厚的其它人工材料，渗透系数≤10</w:t>
      </w:r>
      <w:r>
        <w:rPr>
          <w:rFonts w:hint="eastAsia" w:ascii="Times New Roman" w:hAnsi="Times New Roman" w:eastAsia="宋体" w:cs="Times New Roman"/>
          <w:color w:val="auto"/>
          <w:sz w:val="24"/>
          <w:szCs w:val="22"/>
          <w:vertAlign w:val="superscript"/>
          <w:lang w:val="en-US" w:eastAsia="zh-CN" w:bidi="zh-CN"/>
        </w:rPr>
        <w:t>-7</w:t>
      </w:r>
      <w:r>
        <w:rPr>
          <w:rFonts w:hint="eastAsia" w:ascii="Times New Roman" w:hAnsi="Times New Roman" w:eastAsia="宋体" w:cs="Times New Roman"/>
          <w:color w:val="auto"/>
          <w:sz w:val="24"/>
          <w:szCs w:val="22"/>
          <w:lang w:val="en-US" w:eastAsia="zh-CN" w:bidi="zh-CN"/>
        </w:rPr>
        <w:t>cm/s；深层地下水不会受到项目下渗污水的污染影响。</w:t>
      </w:r>
    </w:p>
    <w:p w14:paraId="6597935F">
      <w:pPr>
        <w:tabs>
          <w:tab w:val="left" w:pos="1661"/>
        </w:tabs>
        <w:autoSpaceDE w:val="0"/>
        <w:autoSpaceDN w:val="0"/>
        <w:spacing w:line="360" w:lineRule="auto"/>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b/>
          <w:color w:val="auto"/>
          <w:kern w:val="2"/>
          <w:sz w:val="24"/>
          <w:szCs w:val="24"/>
          <w:lang w:val="en-US" w:eastAsia="zh-CN" w:bidi="ar-SA"/>
        </w:rPr>
        <w:fldChar w:fldCharType="begin"/>
      </w:r>
      <w:r>
        <w:rPr>
          <w:rFonts w:hint="eastAsia" w:ascii="Times New Roman" w:hAnsi="Times New Roman" w:eastAsia="宋体" w:cs="Times New Roman"/>
          <w:b/>
          <w:color w:val="auto"/>
          <w:kern w:val="2"/>
          <w:sz w:val="24"/>
          <w:szCs w:val="24"/>
          <w:lang w:val="en-US" w:eastAsia="zh-CN" w:bidi="ar-SA"/>
        </w:rPr>
        <w:instrText xml:space="preserve"> HYPERLINK "5.2.3.5" </w:instrText>
      </w:r>
      <w:r>
        <w:rPr>
          <w:rFonts w:hint="eastAsia" w:ascii="Times New Roman" w:hAnsi="Times New Roman" w:eastAsia="宋体" w:cs="Times New Roman"/>
          <w:b/>
          <w:color w:val="auto"/>
          <w:kern w:val="2"/>
          <w:sz w:val="24"/>
          <w:szCs w:val="24"/>
          <w:lang w:val="en-US" w:eastAsia="zh-CN" w:bidi="ar-SA"/>
        </w:rPr>
        <w:fldChar w:fldCharType="separate"/>
      </w:r>
      <w:r>
        <w:rPr>
          <w:rFonts w:hint="eastAsia" w:ascii="Times New Roman" w:hAnsi="Times New Roman" w:eastAsia="宋体" w:cs="Times New Roman"/>
          <w:b/>
          <w:color w:val="auto"/>
          <w:kern w:val="2"/>
          <w:sz w:val="24"/>
          <w:szCs w:val="24"/>
          <w:lang w:val="en-US" w:eastAsia="zh-CN" w:bidi="ar-SA"/>
        </w:rPr>
        <w:t>5.2.3.5</w:t>
      </w:r>
      <w:r>
        <w:rPr>
          <w:rFonts w:hint="eastAsia" w:ascii="Times New Roman" w:hAnsi="Times New Roman" w:eastAsia="宋体" w:cs="Times New Roman"/>
          <w:b/>
          <w:color w:val="auto"/>
          <w:kern w:val="2"/>
          <w:sz w:val="24"/>
          <w:szCs w:val="24"/>
          <w:lang w:val="en-US" w:eastAsia="zh-CN" w:bidi="ar-SA"/>
        </w:rPr>
        <w:fldChar w:fldCharType="end"/>
      </w:r>
      <w:r>
        <w:rPr>
          <w:rFonts w:hint="eastAsia" w:ascii="Times New Roman" w:hAnsi="Times New Roman" w:eastAsia="宋体" w:cs="Times New Roman"/>
          <w:b/>
          <w:color w:val="auto"/>
          <w:kern w:val="2"/>
          <w:sz w:val="24"/>
          <w:szCs w:val="24"/>
          <w:lang w:val="en-US" w:eastAsia="zh-CN" w:bidi="ar-SA"/>
        </w:rPr>
        <w:t>地下水影响预测</w:t>
      </w:r>
    </w:p>
    <w:p w14:paraId="05408F93">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本项目在非正常工况下，假定污水处理系统池底发生破裂引发渗漏，污水经过粘土层包气带进入含水层中，导致地下水污染。形成点状污染源，污染途径为层流型。污染物通过包气带进入含水层，并通过地下径流向外扩散，污染该区地下水。这种情况可以将污染源概化为一个连续渗漏污染源，溶质运移模型概化为一维半无限长多孔介质模型。</w:t>
      </w:r>
    </w:p>
    <w:p w14:paraId="65E7600B">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预测时段选取可能产生地下水污染的时段，对污染可能发生后30d、100d、300d、500d和1000d、1500d、2000d时地下水污染物的扩散范围进行预测。</w:t>
      </w:r>
    </w:p>
    <w:p w14:paraId="36EBBA27">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项目生产废水主要为鸡舍冲洗废水，主要污染物为CODcr、BOD</w:t>
      </w:r>
      <w:r>
        <w:rPr>
          <w:rFonts w:hint="eastAsia" w:ascii="Times New Roman" w:hAnsi="Times New Roman" w:eastAsia="宋体" w:cs="Times New Roman"/>
          <w:color w:val="auto"/>
          <w:sz w:val="24"/>
          <w:szCs w:val="22"/>
          <w:vertAlign w:val="subscript"/>
          <w:lang w:val="en-US" w:eastAsia="zh-CN" w:bidi="zh-CN"/>
        </w:rPr>
        <w:t>5</w:t>
      </w:r>
      <w:r>
        <w:rPr>
          <w:rFonts w:hint="eastAsia" w:ascii="Times New Roman" w:hAnsi="Times New Roman" w:eastAsia="宋体" w:cs="Times New Roman"/>
          <w:color w:val="auto"/>
          <w:sz w:val="24"/>
          <w:szCs w:val="22"/>
          <w:lang w:val="en-US" w:eastAsia="zh-CN" w:bidi="zh-CN"/>
        </w:rPr>
        <w:t>、SS、氨氮和总大肠菌群。正常状况下，全厂废水即产即清，外运至</w:t>
      </w:r>
      <w:r>
        <w:rPr>
          <w:rFonts w:hint="eastAsia" w:cs="Times New Roman"/>
          <w:color w:val="auto"/>
          <w:sz w:val="24"/>
          <w:szCs w:val="22"/>
          <w:lang w:val="en-US" w:eastAsia="zh-CN" w:bidi="zh-CN"/>
        </w:rPr>
        <w:t>辰泰（辽宁）生物科技有限公司</w:t>
      </w:r>
      <w:r>
        <w:rPr>
          <w:rFonts w:hint="eastAsia" w:ascii="Times New Roman" w:hAnsi="Times New Roman" w:eastAsia="宋体" w:cs="Times New Roman"/>
          <w:color w:val="auto"/>
          <w:sz w:val="24"/>
          <w:szCs w:val="22"/>
          <w:lang w:val="en-US" w:eastAsia="zh-CN" w:bidi="zh-CN"/>
        </w:rPr>
        <w:t>用于生产有机肥。在可能产生渗漏的建（构）筑物区域进行地面防渗处理，即使有少量的污染物泄漏，也很难通过防渗层渗入包气带。因此在正常状况下，污染物从源头和末端均能得到控制，污染物污染地下水的可能性很小。</w:t>
      </w:r>
    </w:p>
    <w:p w14:paraId="1F559E85">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根据本项目所产生废水水质特点，本次预测选取《国家环境保护“十四五”规划》主要控制的污染物CODcr、NH</w:t>
      </w:r>
      <w:r>
        <w:rPr>
          <w:rFonts w:hint="eastAsia" w:ascii="Times New Roman" w:hAnsi="Times New Roman" w:eastAsia="宋体" w:cs="Times New Roman"/>
          <w:color w:val="auto"/>
          <w:sz w:val="24"/>
          <w:szCs w:val="22"/>
          <w:vertAlign w:val="subscript"/>
          <w:lang w:val="en-US" w:eastAsia="zh-CN" w:bidi="zh-CN"/>
        </w:rPr>
        <w:t>3</w:t>
      </w:r>
      <w:r>
        <w:rPr>
          <w:rFonts w:hint="eastAsia" w:ascii="Times New Roman" w:hAnsi="Times New Roman" w:eastAsia="宋体" w:cs="Times New Roman"/>
          <w:color w:val="auto"/>
          <w:sz w:val="24"/>
          <w:szCs w:val="22"/>
          <w:lang w:val="en-US" w:eastAsia="zh-CN" w:bidi="zh-CN"/>
        </w:rPr>
        <w:t>-N作为代表性污染物进行预测。CODcr执行《生活饮用水卫生标准》(GB5749-2006)标准限值(3mg/L)，NH</w:t>
      </w:r>
      <w:r>
        <w:rPr>
          <w:rFonts w:hint="eastAsia" w:ascii="Times New Roman" w:hAnsi="Times New Roman" w:eastAsia="宋体" w:cs="Times New Roman"/>
          <w:color w:val="auto"/>
          <w:sz w:val="24"/>
          <w:szCs w:val="22"/>
          <w:vertAlign w:val="subscript"/>
          <w:lang w:val="en-US" w:eastAsia="zh-CN" w:bidi="zh-CN"/>
        </w:rPr>
        <w:t>3</w:t>
      </w:r>
      <w:r>
        <w:rPr>
          <w:rFonts w:hint="eastAsia" w:ascii="Times New Roman" w:hAnsi="Times New Roman" w:eastAsia="宋体" w:cs="Times New Roman"/>
          <w:color w:val="auto"/>
          <w:sz w:val="24"/>
          <w:szCs w:val="22"/>
          <w:lang w:val="en-US" w:eastAsia="zh-CN" w:bidi="zh-CN"/>
        </w:rPr>
        <w:t>-N执行《地下水质量标准》(GB/T14848-2017)Ⅲ类标准(0.5mg/L)。</w:t>
      </w:r>
    </w:p>
    <w:p w14:paraId="381C87DA">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废水中CODcr最大浓度是2640mg/L，NH</w:t>
      </w:r>
      <w:r>
        <w:rPr>
          <w:rFonts w:hint="eastAsia" w:ascii="Times New Roman" w:hAnsi="Times New Roman" w:eastAsia="宋体" w:cs="Times New Roman"/>
          <w:color w:val="auto"/>
          <w:sz w:val="24"/>
          <w:szCs w:val="22"/>
          <w:vertAlign w:val="subscript"/>
          <w:lang w:val="en-US" w:eastAsia="zh-CN" w:bidi="zh-CN"/>
        </w:rPr>
        <w:t>3</w:t>
      </w:r>
      <w:r>
        <w:rPr>
          <w:rFonts w:hint="eastAsia" w:ascii="Times New Roman" w:hAnsi="Times New Roman" w:eastAsia="宋体" w:cs="Times New Roman"/>
          <w:color w:val="auto"/>
          <w:sz w:val="24"/>
          <w:szCs w:val="22"/>
          <w:lang w:val="en-US" w:eastAsia="zh-CN" w:bidi="zh-CN"/>
        </w:rPr>
        <w:t>-N的最大浓度是261mg/L，以此作为地下水污染影响预测时的初始浓度。</w:t>
      </w:r>
    </w:p>
    <w:p w14:paraId="320750E9">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项目发生污水渗漏时，渗漏源为定浓度边界，溶质运移根据《环境影响评价技术导则 地下水环境》（HJ610-2016）中地下水溶质运移解析法采用一维半无限长多孔介质柱体浓度边界水动力弥散方程，预测项目非正常排放下对周围地下水环境的最大影响程度。为了反映项目废水渗漏对地下水的最大影响，假定不考虑土壤对污染因子的影响，即不考虑交换吸附、微生物等地下水污染运移过程的常见影响。</w:t>
      </w:r>
    </w:p>
    <w:p w14:paraId="6D1C2393">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①预测模型</w:t>
      </w:r>
    </w:p>
    <w:p w14:paraId="50FCC842">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根据评价工作等级和水文地质条件等因素选择地下水溶质运移解析法，一维半无限长多孔介质柱体，一端为定浓度边界。</w:t>
      </w:r>
    </w:p>
    <w:p w14:paraId="00BCA782">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drawing>
          <wp:inline distT="0" distB="0" distL="0" distR="0">
            <wp:extent cx="2440940" cy="484505"/>
            <wp:effectExtent l="0" t="0" r="16510" b="10795"/>
            <wp:docPr id="128" name="IM 318"/>
            <wp:cNvGraphicFramePr/>
            <a:graphic xmlns:a="http://schemas.openxmlformats.org/drawingml/2006/main">
              <a:graphicData uri="http://schemas.openxmlformats.org/drawingml/2006/picture">
                <pic:pic xmlns:pic="http://schemas.openxmlformats.org/drawingml/2006/picture">
                  <pic:nvPicPr>
                    <pic:cNvPr id="128" name="IM 318"/>
                    <pic:cNvPicPr/>
                  </pic:nvPicPr>
                  <pic:blipFill>
                    <a:blip r:embed="rId50"/>
                    <a:stretch>
                      <a:fillRect/>
                    </a:stretch>
                  </pic:blipFill>
                  <pic:spPr>
                    <a:xfrm>
                      <a:off x="0" y="0"/>
                      <a:ext cx="2441447" cy="484632"/>
                    </a:xfrm>
                    <a:prstGeom prst="rect">
                      <a:avLst/>
                    </a:prstGeom>
                  </pic:spPr>
                </pic:pic>
              </a:graphicData>
            </a:graphic>
          </wp:inline>
        </w:drawing>
      </w:r>
    </w:p>
    <w:p w14:paraId="377A262E">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式中：x——距注入点的距离，m；</w:t>
      </w:r>
    </w:p>
    <w:p w14:paraId="18B39864">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t——时间，d；</w:t>
      </w:r>
    </w:p>
    <w:p w14:paraId="55276326">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C——t时刻 x 处的示踪剂浓度，mg/L；</w:t>
      </w:r>
    </w:p>
    <w:p w14:paraId="09AC5F4E">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C0——注入的示踪剂浓度，mg/L；</w:t>
      </w:r>
    </w:p>
    <w:p w14:paraId="4D5CC8BF">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u——水流速度，m/d；</w:t>
      </w:r>
    </w:p>
    <w:p w14:paraId="49ED957B">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DL——纵向弥散系数，m</w:t>
      </w:r>
      <w:r>
        <w:rPr>
          <w:rFonts w:hint="eastAsia" w:ascii="Times New Roman" w:hAnsi="Times New Roman" w:eastAsia="宋体" w:cs="Times New Roman"/>
          <w:color w:val="auto"/>
          <w:sz w:val="24"/>
          <w:szCs w:val="22"/>
          <w:vertAlign w:val="superscript"/>
          <w:lang w:val="en-US" w:eastAsia="zh-CN" w:bidi="zh-CN"/>
        </w:rPr>
        <w:t>2</w:t>
      </w:r>
      <w:r>
        <w:rPr>
          <w:rFonts w:hint="eastAsia" w:ascii="Times New Roman" w:hAnsi="Times New Roman" w:eastAsia="宋体" w:cs="Times New Roman"/>
          <w:color w:val="auto"/>
          <w:sz w:val="24"/>
          <w:szCs w:val="22"/>
          <w:lang w:val="en-US" w:eastAsia="zh-CN" w:bidi="zh-CN"/>
        </w:rPr>
        <w:t>/d；</w:t>
      </w:r>
    </w:p>
    <w:p w14:paraId="28ADE972">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erfc()——余误差函数。</w:t>
      </w:r>
    </w:p>
    <w:p w14:paraId="231B4635">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②参数确定</w:t>
      </w:r>
    </w:p>
    <w:p w14:paraId="13392AC7">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参考本区域地下水水文地质条件，结合项目区地下水文地质相关资料，确定本地区地下水渗流速度、有效孔隙度、水力坡度和纵向弥散系数等参数。地下水流速度为u=KI/ne，纵向弥散系数DL=aL×u。</w:t>
      </w:r>
    </w:p>
    <w:p w14:paraId="6A9F9DCE">
      <w:pPr>
        <w:tabs>
          <w:tab w:val="left" w:pos="1661"/>
        </w:tabs>
        <w:autoSpaceDE w:val="0"/>
        <w:autoSpaceDN w:val="0"/>
        <w:spacing w:line="360" w:lineRule="auto"/>
        <w:ind w:firstLine="480" w:firstLineChars="200"/>
        <w:jc w:val="left"/>
        <w:rPr>
          <w:rFonts w:hint="default"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具体见表5</w:t>
      </w:r>
      <w:r>
        <w:rPr>
          <w:rFonts w:hint="eastAsia" w:cs="Times New Roman"/>
          <w:color w:val="auto"/>
          <w:sz w:val="24"/>
          <w:szCs w:val="22"/>
          <w:lang w:val="en-US" w:eastAsia="zh-CN" w:bidi="zh-CN"/>
        </w:rPr>
        <w:t>.2</w:t>
      </w:r>
      <w:r>
        <w:rPr>
          <w:rFonts w:hint="eastAsia" w:ascii="Times New Roman" w:hAnsi="Times New Roman" w:eastAsia="宋体" w:cs="Times New Roman"/>
          <w:color w:val="auto"/>
          <w:sz w:val="24"/>
          <w:szCs w:val="22"/>
          <w:lang w:val="en-US" w:eastAsia="zh-CN" w:bidi="zh-CN"/>
        </w:rPr>
        <w:t>-</w:t>
      </w:r>
      <w:r>
        <w:rPr>
          <w:rFonts w:hint="eastAsia" w:cs="Times New Roman"/>
          <w:color w:val="auto"/>
          <w:sz w:val="24"/>
          <w:szCs w:val="22"/>
          <w:lang w:val="en-US" w:eastAsia="zh-CN" w:bidi="zh-CN"/>
        </w:rPr>
        <w:t>21。</w:t>
      </w:r>
    </w:p>
    <w:p w14:paraId="0DAB1508">
      <w:pPr>
        <w:tabs>
          <w:tab w:val="left" w:pos="1661"/>
        </w:tabs>
        <w:autoSpaceDE w:val="0"/>
        <w:autoSpaceDN w:val="0"/>
        <w:spacing w:line="240" w:lineRule="auto"/>
        <w:ind w:firstLine="422" w:firstLineChars="200"/>
        <w:jc w:val="center"/>
        <w:rPr>
          <w:rFonts w:hint="eastAsia" w:ascii="Times New Roman" w:hAnsi="Times New Roman" w:eastAsia="宋体" w:cs="Times New Roman"/>
          <w:b/>
          <w:bCs/>
          <w:color w:val="auto"/>
          <w:sz w:val="21"/>
          <w:szCs w:val="21"/>
          <w:lang w:val="en-US" w:eastAsia="zh-CN" w:bidi="zh-CN"/>
        </w:rPr>
      </w:pPr>
      <w:r>
        <w:rPr>
          <w:rFonts w:hint="eastAsia" w:ascii="Times New Roman" w:hAnsi="Times New Roman" w:eastAsia="宋体" w:cs="Times New Roman"/>
          <w:b/>
          <w:bCs/>
          <w:color w:val="auto"/>
          <w:sz w:val="21"/>
          <w:szCs w:val="21"/>
          <w:lang w:val="en-US" w:eastAsia="zh-CN" w:bidi="zh-CN"/>
        </w:rPr>
        <w:t>表5</w:t>
      </w:r>
      <w:r>
        <w:rPr>
          <w:rFonts w:hint="eastAsia" w:cs="Times New Roman"/>
          <w:b/>
          <w:bCs/>
          <w:color w:val="auto"/>
          <w:sz w:val="21"/>
          <w:szCs w:val="21"/>
          <w:lang w:val="en-US" w:eastAsia="zh-CN" w:bidi="zh-CN"/>
        </w:rPr>
        <w:t>.2-21</w:t>
      </w:r>
      <w:r>
        <w:rPr>
          <w:rFonts w:hint="eastAsia" w:ascii="Times New Roman" w:hAnsi="Times New Roman" w:eastAsia="宋体" w:cs="Times New Roman"/>
          <w:b/>
          <w:bCs/>
          <w:color w:val="auto"/>
          <w:sz w:val="21"/>
          <w:szCs w:val="21"/>
          <w:lang w:val="en-US" w:eastAsia="zh-CN" w:bidi="zh-CN"/>
        </w:rPr>
        <w:t xml:space="preserve">      预测评价计算参数</w:t>
      </w:r>
    </w:p>
    <w:tbl>
      <w:tblPr>
        <w:tblStyle w:val="551"/>
        <w:tblW w:w="4995" w:type="pct"/>
        <w:tblInd w:w="0" w:type="dxa"/>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876"/>
        <w:gridCol w:w="1109"/>
        <w:gridCol w:w="1002"/>
        <w:gridCol w:w="1002"/>
        <w:gridCol w:w="1105"/>
        <w:gridCol w:w="1105"/>
        <w:gridCol w:w="1105"/>
      </w:tblGrid>
      <w:tr w14:paraId="604DC0D3">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1130" w:type="pct"/>
            <w:vMerge w:val="restart"/>
            <w:tcBorders>
              <w:tl2br w:val="nil"/>
              <w:tr2bl w:val="nil"/>
            </w:tcBorders>
            <w:vAlign w:val="center"/>
          </w:tcPr>
          <w:p w14:paraId="71A29A20">
            <w:pPr>
              <w:jc w:val="center"/>
              <w:rPr>
                <w:rFonts w:hint="eastAsia"/>
                <w:lang w:val="en-US" w:eastAsia="zh-CN"/>
              </w:rPr>
            </w:pPr>
            <w:r>
              <w:rPr>
                <w:rFonts w:hint="eastAsia"/>
                <w:lang w:val="en-US" w:eastAsia="zh-CN"/>
              </w:rPr>
              <w:t>地下水类型</w:t>
            </w:r>
          </w:p>
        </w:tc>
        <w:tc>
          <w:tcPr>
            <w:tcW w:w="3869" w:type="pct"/>
            <w:gridSpan w:val="6"/>
            <w:tcBorders>
              <w:tl2br w:val="nil"/>
              <w:tr2bl w:val="nil"/>
            </w:tcBorders>
            <w:vAlign w:val="center"/>
          </w:tcPr>
          <w:p w14:paraId="3CC365D0">
            <w:pPr>
              <w:jc w:val="center"/>
              <w:rPr>
                <w:rFonts w:hint="eastAsia"/>
                <w:lang w:val="en-US" w:eastAsia="zh-CN"/>
              </w:rPr>
            </w:pPr>
            <w:r>
              <w:rPr>
                <w:rFonts w:hint="eastAsia"/>
                <w:lang w:val="en-US" w:eastAsia="zh-CN"/>
              </w:rPr>
              <w:t>参数</w:t>
            </w:r>
          </w:p>
        </w:tc>
      </w:tr>
      <w:tr w14:paraId="4E96D9F1">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09" w:hRule="atLeast"/>
        </w:trPr>
        <w:tc>
          <w:tcPr>
            <w:tcW w:w="1130" w:type="pct"/>
            <w:vMerge w:val="continue"/>
            <w:tcBorders>
              <w:tl2br w:val="nil"/>
              <w:tr2bl w:val="nil"/>
            </w:tcBorders>
            <w:vAlign w:val="center"/>
          </w:tcPr>
          <w:p w14:paraId="5794AB6B">
            <w:pPr>
              <w:jc w:val="both"/>
              <w:rPr>
                <w:rFonts w:hint="eastAsia"/>
                <w:lang w:val="en-US" w:eastAsia="zh-CN"/>
              </w:rPr>
            </w:pPr>
          </w:p>
        </w:tc>
        <w:tc>
          <w:tcPr>
            <w:tcW w:w="668" w:type="pct"/>
            <w:tcBorders>
              <w:tl2br w:val="nil"/>
              <w:tr2bl w:val="nil"/>
            </w:tcBorders>
            <w:vAlign w:val="center"/>
          </w:tcPr>
          <w:p w14:paraId="0017D22E">
            <w:pPr>
              <w:jc w:val="center"/>
              <w:rPr>
                <w:rFonts w:hint="eastAsia"/>
                <w:lang w:val="en-US" w:eastAsia="zh-CN"/>
              </w:rPr>
            </w:pPr>
            <w:r>
              <w:rPr>
                <w:rFonts w:hint="eastAsia"/>
                <w:lang w:val="en-US" w:eastAsia="zh-CN"/>
              </w:rPr>
              <w:t>渗透系数K</w:t>
            </w:r>
          </w:p>
          <w:p w14:paraId="2C6C77F9">
            <w:pPr>
              <w:jc w:val="center"/>
              <w:rPr>
                <w:rFonts w:hint="eastAsia"/>
                <w:lang w:val="en-US" w:eastAsia="zh-CN"/>
              </w:rPr>
            </w:pPr>
            <w:r>
              <w:rPr>
                <w:rFonts w:hint="eastAsia"/>
                <w:lang w:val="en-US" w:eastAsia="zh-CN"/>
              </w:rPr>
              <w:t>（m/d）</w:t>
            </w:r>
          </w:p>
        </w:tc>
        <w:tc>
          <w:tcPr>
            <w:tcW w:w="603" w:type="pct"/>
            <w:tcBorders>
              <w:tl2br w:val="nil"/>
              <w:tr2bl w:val="nil"/>
            </w:tcBorders>
            <w:vAlign w:val="center"/>
          </w:tcPr>
          <w:p w14:paraId="2A2C9E63">
            <w:pPr>
              <w:jc w:val="center"/>
              <w:rPr>
                <w:rFonts w:hint="eastAsia"/>
                <w:lang w:val="en-US" w:eastAsia="zh-CN"/>
              </w:rPr>
            </w:pPr>
            <w:r>
              <w:rPr>
                <w:rFonts w:hint="eastAsia"/>
                <w:lang w:val="en-US" w:eastAsia="zh-CN"/>
              </w:rPr>
              <w:t>地下水水力坡度I</w:t>
            </w:r>
          </w:p>
        </w:tc>
        <w:tc>
          <w:tcPr>
            <w:tcW w:w="603" w:type="pct"/>
            <w:tcBorders>
              <w:tl2br w:val="nil"/>
              <w:tr2bl w:val="nil"/>
            </w:tcBorders>
            <w:vAlign w:val="center"/>
          </w:tcPr>
          <w:p w14:paraId="6E0FBFF1">
            <w:pPr>
              <w:jc w:val="center"/>
              <w:rPr>
                <w:rFonts w:hint="eastAsia"/>
                <w:lang w:val="en-US" w:eastAsia="zh-CN"/>
              </w:rPr>
            </w:pPr>
            <w:r>
              <w:rPr>
                <w:rFonts w:hint="eastAsia"/>
                <w:lang w:val="en-US" w:eastAsia="zh-CN"/>
              </w:rPr>
              <w:t>有效孔隙度（ne）</w:t>
            </w:r>
          </w:p>
        </w:tc>
        <w:tc>
          <w:tcPr>
            <w:tcW w:w="665" w:type="pct"/>
            <w:tcBorders>
              <w:tl2br w:val="nil"/>
              <w:tr2bl w:val="nil"/>
            </w:tcBorders>
            <w:vAlign w:val="center"/>
          </w:tcPr>
          <w:p w14:paraId="225730F8">
            <w:pPr>
              <w:jc w:val="center"/>
              <w:rPr>
                <w:rFonts w:hint="eastAsia"/>
                <w:lang w:val="en-US" w:eastAsia="zh-CN"/>
              </w:rPr>
            </w:pPr>
            <w:r>
              <w:rPr>
                <w:rFonts w:hint="eastAsia"/>
                <w:lang w:val="en-US" w:eastAsia="zh-CN"/>
              </w:rPr>
              <w:t>水流速度u</w:t>
            </w:r>
          </w:p>
          <w:p w14:paraId="06133527">
            <w:pPr>
              <w:jc w:val="center"/>
              <w:rPr>
                <w:rFonts w:hint="eastAsia"/>
                <w:lang w:val="en-US" w:eastAsia="zh-CN"/>
              </w:rPr>
            </w:pPr>
            <w:r>
              <w:rPr>
                <w:rFonts w:hint="eastAsia"/>
                <w:lang w:val="en-US" w:eastAsia="zh-CN"/>
              </w:rPr>
              <w:t>（m/d）</w:t>
            </w:r>
          </w:p>
        </w:tc>
        <w:tc>
          <w:tcPr>
            <w:tcW w:w="665" w:type="pct"/>
            <w:tcBorders>
              <w:tl2br w:val="nil"/>
              <w:tr2bl w:val="nil"/>
            </w:tcBorders>
            <w:vAlign w:val="center"/>
          </w:tcPr>
          <w:p w14:paraId="16EEB711">
            <w:pPr>
              <w:jc w:val="center"/>
              <w:rPr>
                <w:rFonts w:hint="eastAsia"/>
                <w:lang w:val="en-US" w:eastAsia="zh-CN"/>
              </w:rPr>
            </w:pPr>
            <w:r>
              <w:rPr>
                <w:rFonts w:hint="eastAsia"/>
                <w:lang w:val="en-US" w:eastAsia="zh-CN"/>
              </w:rPr>
              <w:t>纵向弥散度aL</w:t>
            </w:r>
          </w:p>
        </w:tc>
        <w:tc>
          <w:tcPr>
            <w:tcW w:w="662" w:type="pct"/>
            <w:tcBorders>
              <w:tl2br w:val="nil"/>
              <w:tr2bl w:val="nil"/>
            </w:tcBorders>
            <w:vAlign w:val="center"/>
          </w:tcPr>
          <w:p w14:paraId="27E9978A">
            <w:pPr>
              <w:jc w:val="center"/>
              <w:rPr>
                <w:rFonts w:hint="eastAsia"/>
                <w:lang w:val="en-US" w:eastAsia="zh-CN"/>
              </w:rPr>
            </w:pPr>
            <w:r>
              <w:rPr>
                <w:rFonts w:hint="eastAsia"/>
                <w:lang w:val="en-US" w:eastAsia="zh-CN"/>
              </w:rPr>
              <w:t>纵向弥散系数DL（m</w:t>
            </w:r>
            <w:r>
              <w:rPr>
                <w:rFonts w:hint="eastAsia"/>
                <w:vertAlign w:val="superscript"/>
                <w:lang w:val="en-US" w:eastAsia="zh-CN"/>
              </w:rPr>
              <w:t>2</w:t>
            </w:r>
            <w:r>
              <w:rPr>
                <w:rFonts w:hint="eastAsia"/>
                <w:lang w:val="en-US" w:eastAsia="zh-CN"/>
              </w:rPr>
              <w:t>/d）</w:t>
            </w:r>
          </w:p>
        </w:tc>
      </w:tr>
      <w:tr w14:paraId="64722B67">
        <w:tblPrEx>
          <w:tblBorders>
            <w:top w:val="double" w:color="000000" w:sz="4" w:space="0"/>
            <w:left w:val="none" w:color="auto" w:sz="0" w:space="0"/>
            <w:bottom w:val="double" w:color="000000"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06" w:hRule="atLeast"/>
        </w:trPr>
        <w:tc>
          <w:tcPr>
            <w:tcW w:w="1130" w:type="pct"/>
            <w:tcBorders>
              <w:tl2br w:val="nil"/>
              <w:tr2bl w:val="nil"/>
            </w:tcBorders>
            <w:vAlign w:val="center"/>
          </w:tcPr>
          <w:p w14:paraId="7902AFDD">
            <w:pPr>
              <w:jc w:val="center"/>
              <w:rPr>
                <w:rFonts w:hint="eastAsia"/>
                <w:lang w:val="en-US" w:eastAsia="zh-CN"/>
              </w:rPr>
            </w:pPr>
            <w:r>
              <w:rPr>
                <w:rFonts w:hint="eastAsia"/>
                <w:lang w:val="en-US" w:eastAsia="zh-CN"/>
              </w:rPr>
              <w:t>第四系孔隙潜水</w:t>
            </w:r>
          </w:p>
        </w:tc>
        <w:tc>
          <w:tcPr>
            <w:tcW w:w="668" w:type="pct"/>
            <w:tcBorders>
              <w:tl2br w:val="nil"/>
              <w:tr2bl w:val="nil"/>
            </w:tcBorders>
            <w:vAlign w:val="center"/>
          </w:tcPr>
          <w:p w14:paraId="3D7DAB00">
            <w:pPr>
              <w:jc w:val="center"/>
              <w:rPr>
                <w:rFonts w:hint="eastAsia"/>
                <w:lang w:val="en-US" w:eastAsia="zh-CN"/>
              </w:rPr>
            </w:pPr>
            <w:r>
              <w:rPr>
                <w:rFonts w:hint="eastAsia"/>
                <w:lang w:val="en-US" w:eastAsia="zh-CN"/>
              </w:rPr>
              <w:t>0.8</w:t>
            </w:r>
          </w:p>
        </w:tc>
        <w:tc>
          <w:tcPr>
            <w:tcW w:w="603" w:type="pct"/>
            <w:tcBorders>
              <w:tl2br w:val="nil"/>
              <w:tr2bl w:val="nil"/>
            </w:tcBorders>
            <w:vAlign w:val="center"/>
          </w:tcPr>
          <w:p w14:paraId="5187D385">
            <w:pPr>
              <w:jc w:val="center"/>
              <w:rPr>
                <w:rFonts w:hint="eastAsia"/>
                <w:lang w:val="en-US" w:eastAsia="zh-CN"/>
              </w:rPr>
            </w:pPr>
            <w:r>
              <w:rPr>
                <w:rFonts w:hint="eastAsia"/>
                <w:lang w:val="en-US" w:eastAsia="zh-CN"/>
              </w:rPr>
              <w:t>0.04</w:t>
            </w:r>
          </w:p>
        </w:tc>
        <w:tc>
          <w:tcPr>
            <w:tcW w:w="603" w:type="pct"/>
            <w:tcBorders>
              <w:tl2br w:val="nil"/>
              <w:tr2bl w:val="nil"/>
            </w:tcBorders>
            <w:vAlign w:val="center"/>
          </w:tcPr>
          <w:p w14:paraId="0FB46A85">
            <w:pPr>
              <w:jc w:val="center"/>
              <w:rPr>
                <w:rFonts w:hint="eastAsia"/>
                <w:lang w:val="en-US" w:eastAsia="zh-CN"/>
              </w:rPr>
            </w:pPr>
            <w:r>
              <w:rPr>
                <w:rFonts w:hint="eastAsia"/>
                <w:lang w:val="en-US" w:eastAsia="zh-CN"/>
              </w:rPr>
              <w:t>0.5</w:t>
            </w:r>
          </w:p>
        </w:tc>
        <w:tc>
          <w:tcPr>
            <w:tcW w:w="665" w:type="pct"/>
            <w:tcBorders>
              <w:tl2br w:val="nil"/>
              <w:tr2bl w:val="nil"/>
            </w:tcBorders>
            <w:vAlign w:val="center"/>
          </w:tcPr>
          <w:p w14:paraId="2FF448FD">
            <w:pPr>
              <w:jc w:val="center"/>
              <w:rPr>
                <w:rFonts w:hint="eastAsia"/>
                <w:lang w:val="en-US" w:eastAsia="zh-CN"/>
              </w:rPr>
            </w:pPr>
            <w:r>
              <w:rPr>
                <w:rFonts w:hint="eastAsia"/>
                <w:lang w:val="en-US" w:eastAsia="zh-CN"/>
              </w:rPr>
              <w:t>0.064</w:t>
            </w:r>
          </w:p>
        </w:tc>
        <w:tc>
          <w:tcPr>
            <w:tcW w:w="665" w:type="pct"/>
            <w:tcBorders>
              <w:tl2br w:val="nil"/>
              <w:tr2bl w:val="nil"/>
            </w:tcBorders>
            <w:vAlign w:val="center"/>
          </w:tcPr>
          <w:p w14:paraId="37A10BA7">
            <w:pPr>
              <w:jc w:val="center"/>
              <w:rPr>
                <w:rFonts w:hint="eastAsia"/>
                <w:lang w:val="en-US" w:eastAsia="zh-CN"/>
              </w:rPr>
            </w:pPr>
            <w:r>
              <w:rPr>
                <w:rFonts w:hint="eastAsia"/>
                <w:lang w:val="en-US" w:eastAsia="zh-CN"/>
              </w:rPr>
              <w:t>10</w:t>
            </w:r>
          </w:p>
        </w:tc>
        <w:tc>
          <w:tcPr>
            <w:tcW w:w="662" w:type="pct"/>
            <w:tcBorders>
              <w:tl2br w:val="nil"/>
              <w:tr2bl w:val="nil"/>
            </w:tcBorders>
            <w:vAlign w:val="center"/>
          </w:tcPr>
          <w:p w14:paraId="1104C6B0">
            <w:pPr>
              <w:jc w:val="center"/>
              <w:rPr>
                <w:rFonts w:hint="eastAsia"/>
                <w:lang w:val="en-US" w:eastAsia="zh-CN"/>
              </w:rPr>
            </w:pPr>
            <w:r>
              <w:rPr>
                <w:rFonts w:hint="eastAsia"/>
                <w:lang w:val="en-US" w:eastAsia="zh-CN"/>
              </w:rPr>
              <w:t>0.64</w:t>
            </w:r>
          </w:p>
        </w:tc>
      </w:tr>
    </w:tbl>
    <w:p w14:paraId="49E832D0">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③预测结果</w:t>
      </w:r>
    </w:p>
    <w:p w14:paraId="36924A62">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非正常工况下，预测污水处理系统池体下游方向上CODcr和NH</w:t>
      </w:r>
      <w:r>
        <w:rPr>
          <w:rFonts w:hint="eastAsia" w:ascii="Times New Roman" w:hAnsi="Times New Roman" w:eastAsia="宋体" w:cs="Times New Roman"/>
          <w:color w:val="auto"/>
          <w:sz w:val="24"/>
          <w:szCs w:val="22"/>
          <w:vertAlign w:val="subscript"/>
          <w:lang w:val="en-US" w:eastAsia="zh-CN" w:bidi="zh-CN"/>
        </w:rPr>
        <w:t>3</w:t>
      </w:r>
      <w:r>
        <w:rPr>
          <w:rFonts w:hint="eastAsia" w:ascii="Times New Roman" w:hAnsi="Times New Roman" w:eastAsia="宋体" w:cs="Times New Roman"/>
          <w:color w:val="auto"/>
          <w:sz w:val="24"/>
          <w:szCs w:val="22"/>
          <w:lang w:val="en-US" w:eastAsia="zh-CN" w:bidi="zh-CN"/>
        </w:rPr>
        <w:t>-N在不同时间不同距离位置预测结果见下表。</w:t>
      </w:r>
    </w:p>
    <w:p w14:paraId="317419CD">
      <w:pPr>
        <w:tabs>
          <w:tab w:val="left" w:pos="1661"/>
        </w:tabs>
        <w:autoSpaceDE w:val="0"/>
        <w:autoSpaceDN w:val="0"/>
        <w:spacing w:line="240" w:lineRule="auto"/>
        <w:jc w:val="center"/>
        <w:rPr>
          <w:rFonts w:hint="eastAsia" w:ascii="Times New Roman" w:hAnsi="Times New Roman" w:eastAsia="宋体" w:cs="Times New Roman"/>
          <w:b/>
          <w:bCs/>
          <w:color w:val="auto"/>
          <w:sz w:val="21"/>
          <w:szCs w:val="21"/>
          <w:lang w:val="en-US" w:eastAsia="zh-CN" w:bidi="zh-CN"/>
        </w:rPr>
      </w:pPr>
      <w:r>
        <w:rPr>
          <w:rFonts w:hint="eastAsia" w:ascii="Times New Roman" w:hAnsi="Times New Roman" w:eastAsia="宋体" w:cs="Times New Roman"/>
          <w:b/>
          <w:bCs/>
          <w:color w:val="auto"/>
          <w:sz w:val="21"/>
          <w:szCs w:val="21"/>
          <w:lang w:val="en-US" w:eastAsia="zh-CN" w:bidi="zh-CN"/>
        </w:rPr>
        <w:t>表5</w:t>
      </w:r>
      <w:r>
        <w:rPr>
          <w:rFonts w:hint="eastAsia" w:cs="Times New Roman"/>
          <w:b/>
          <w:bCs/>
          <w:color w:val="auto"/>
          <w:sz w:val="21"/>
          <w:szCs w:val="21"/>
          <w:lang w:val="en-US" w:eastAsia="zh-CN" w:bidi="zh-CN"/>
        </w:rPr>
        <w:t>.2-22</w:t>
      </w:r>
      <w:r>
        <w:rPr>
          <w:rFonts w:hint="eastAsia" w:ascii="Times New Roman" w:hAnsi="Times New Roman" w:eastAsia="宋体" w:cs="Times New Roman"/>
          <w:b/>
          <w:bCs/>
          <w:color w:val="auto"/>
          <w:sz w:val="21"/>
          <w:szCs w:val="21"/>
          <w:lang w:val="en-US" w:eastAsia="zh-CN" w:bidi="zh-CN"/>
        </w:rPr>
        <w:t xml:space="preserve">  本项目非正常状况下地下水CODcr污染影响预测结果表（浓度单位：mg/L）</w:t>
      </w:r>
    </w:p>
    <w:tbl>
      <w:tblPr>
        <w:tblStyle w:val="551"/>
        <w:tblW w:w="4995" w:type="pct"/>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00"/>
        <w:gridCol w:w="1083"/>
        <w:gridCol w:w="1085"/>
        <w:gridCol w:w="1085"/>
        <w:gridCol w:w="1085"/>
        <w:gridCol w:w="1085"/>
        <w:gridCol w:w="1085"/>
        <w:gridCol w:w="1096"/>
      </w:tblGrid>
      <w:tr w14:paraId="1458FC8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trPr>
        <w:tc>
          <w:tcPr>
            <w:tcW w:w="422" w:type="pct"/>
            <w:vMerge w:val="restart"/>
            <w:tcBorders>
              <w:tl2br w:val="nil"/>
              <w:tr2bl w:val="nil"/>
            </w:tcBorders>
            <w:vAlign w:val="center"/>
          </w:tcPr>
          <w:p w14:paraId="750C927F">
            <w:pPr>
              <w:jc w:val="center"/>
              <w:rPr>
                <w:rFonts w:hint="eastAsia"/>
                <w:sz w:val="21"/>
                <w:szCs w:val="21"/>
                <w:lang w:val="en-US" w:eastAsia="zh-CN"/>
              </w:rPr>
            </w:pPr>
            <w:r>
              <w:rPr>
                <w:rFonts w:hint="eastAsia"/>
                <w:sz w:val="21"/>
                <w:szCs w:val="21"/>
                <w:lang w:val="en-US" w:eastAsia="zh-CN"/>
              </w:rPr>
              <w:t>距离m</w:t>
            </w:r>
          </w:p>
        </w:tc>
        <w:tc>
          <w:tcPr>
            <w:tcW w:w="4577" w:type="pct"/>
            <w:gridSpan w:val="7"/>
            <w:tcBorders>
              <w:tl2br w:val="nil"/>
              <w:tr2bl w:val="nil"/>
            </w:tcBorders>
            <w:vAlign w:val="center"/>
          </w:tcPr>
          <w:p w14:paraId="6DECFB2B">
            <w:pPr>
              <w:jc w:val="center"/>
              <w:rPr>
                <w:rFonts w:hint="eastAsia"/>
                <w:sz w:val="21"/>
                <w:szCs w:val="21"/>
                <w:lang w:val="en-US" w:eastAsia="zh-CN"/>
              </w:rPr>
            </w:pPr>
            <w:r>
              <w:rPr>
                <w:rFonts w:hint="eastAsia"/>
                <w:sz w:val="21"/>
                <w:szCs w:val="21"/>
                <w:lang w:val="en-US" w:eastAsia="zh-CN"/>
              </w:rPr>
              <w:t>时间d</w:t>
            </w:r>
          </w:p>
        </w:tc>
      </w:tr>
      <w:tr w14:paraId="4AD3BA5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2" w:type="pct"/>
            <w:vMerge w:val="continue"/>
            <w:tcBorders>
              <w:tl2br w:val="nil"/>
              <w:tr2bl w:val="nil"/>
            </w:tcBorders>
            <w:vAlign w:val="center"/>
          </w:tcPr>
          <w:p w14:paraId="48AFB45E">
            <w:pPr>
              <w:jc w:val="center"/>
              <w:rPr>
                <w:rFonts w:hint="eastAsia"/>
                <w:sz w:val="21"/>
                <w:szCs w:val="21"/>
                <w:lang w:val="en-US" w:eastAsia="zh-CN"/>
              </w:rPr>
            </w:pPr>
          </w:p>
        </w:tc>
        <w:tc>
          <w:tcPr>
            <w:tcW w:w="652" w:type="pct"/>
            <w:tcBorders>
              <w:tl2br w:val="nil"/>
              <w:tr2bl w:val="nil"/>
            </w:tcBorders>
            <w:vAlign w:val="center"/>
          </w:tcPr>
          <w:p w14:paraId="69098531">
            <w:pPr>
              <w:jc w:val="center"/>
              <w:rPr>
                <w:rFonts w:hint="eastAsia"/>
                <w:sz w:val="21"/>
                <w:szCs w:val="21"/>
                <w:lang w:val="en-US" w:eastAsia="zh-CN"/>
              </w:rPr>
            </w:pPr>
            <w:r>
              <w:rPr>
                <w:rFonts w:hint="eastAsia"/>
                <w:sz w:val="21"/>
                <w:szCs w:val="21"/>
                <w:lang w:val="en-US" w:eastAsia="zh-CN"/>
              </w:rPr>
              <w:t>30</w:t>
            </w:r>
          </w:p>
        </w:tc>
        <w:tc>
          <w:tcPr>
            <w:tcW w:w="653" w:type="pct"/>
            <w:tcBorders>
              <w:tl2br w:val="nil"/>
              <w:tr2bl w:val="nil"/>
            </w:tcBorders>
            <w:vAlign w:val="center"/>
          </w:tcPr>
          <w:p w14:paraId="76A5C305">
            <w:pPr>
              <w:jc w:val="center"/>
              <w:rPr>
                <w:rFonts w:hint="eastAsia"/>
                <w:sz w:val="21"/>
                <w:szCs w:val="21"/>
                <w:lang w:val="en-US" w:eastAsia="zh-CN"/>
              </w:rPr>
            </w:pPr>
            <w:r>
              <w:rPr>
                <w:rFonts w:hint="eastAsia"/>
                <w:sz w:val="21"/>
                <w:szCs w:val="21"/>
                <w:lang w:val="en-US" w:eastAsia="zh-CN"/>
              </w:rPr>
              <w:t>100</w:t>
            </w:r>
          </w:p>
        </w:tc>
        <w:tc>
          <w:tcPr>
            <w:tcW w:w="653" w:type="pct"/>
            <w:tcBorders>
              <w:tl2br w:val="nil"/>
              <w:tr2bl w:val="nil"/>
            </w:tcBorders>
            <w:vAlign w:val="center"/>
          </w:tcPr>
          <w:p w14:paraId="5A71EF01">
            <w:pPr>
              <w:jc w:val="center"/>
              <w:rPr>
                <w:rFonts w:hint="eastAsia"/>
                <w:sz w:val="21"/>
                <w:szCs w:val="21"/>
                <w:lang w:val="en-US" w:eastAsia="zh-CN"/>
              </w:rPr>
            </w:pPr>
            <w:r>
              <w:rPr>
                <w:rFonts w:hint="eastAsia"/>
                <w:sz w:val="21"/>
                <w:szCs w:val="21"/>
                <w:lang w:val="en-US" w:eastAsia="zh-CN"/>
              </w:rPr>
              <w:t>300</w:t>
            </w:r>
          </w:p>
        </w:tc>
        <w:tc>
          <w:tcPr>
            <w:tcW w:w="653" w:type="pct"/>
            <w:tcBorders>
              <w:tl2br w:val="nil"/>
              <w:tr2bl w:val="nil"/>
            </w:tcBorders>
            <w:vAlign w:val="center"/>
          </w:tcPr>
          <w:p w14:paraId="6548F6E1">
            <w:pPr>
              <w:jc w:val="center"/>
              <w:rPr>
                <w:rFonts w:hint="eastAsia"/>
                <w:sz w:val="21"/>
                <w:szCs w:val="21"/>
                <w:lang w:val="en-US" w:eastAsia="zh-CN"/>
              </w:rPr>
            </w:pPr>
            <w:r>
              <w:rPr>
                <w:rFonts w:hint="eastAsia"/>
                <w:sz w:val="21"/>
                <w:szCs w:val="21"/>
                <w:lang w:val="en-US" w:eastAsia="zh-CN"/>
              </w:rPr>
              <w:t>500</w:t>
            </w:r>
          </w:p>
        </w:tc>
        <w:tc>
          <w:tcPr>
            <w:tcW w:w="653" w:type="pct"/>
            <w:tcBorders>
              <w:tl2br w:val="nil"/>
              <w:tr2bl w:val="nil"/>
            </w:tcBorders>
            <w:vAlign w:val="center"/>
          </w:tcPr>
          <w:p w14:paraId="07FBD13A">
            <w:pPr>
              <w:jc w:val="center"/>
              <w:rPr>
                <w:rFonts w:hint="eastAsia"/>
                <w:sz w:val="21"/>
                <w:szCs w:val="21"/>
                <w:lang w:val="en-US" w:eastAsia="zh-CN"/>
              </w:rPr>
            </w:pPr>
            <w:r>
              <w:rPr>
                <w:rFonts w:hint="eastAsia"/>
                <w:sz w:val="21"/>
                <w:szCs w:val="21"/>
                <w:lang w:val="en-US" w:eastAsia="zh-CN"/>
              </w:rPr>
              <w:t>1000</w:t>
            </w:r>
          </w:p>
        </w:tc>
        <w:tc>
          <w:tcPr>
            <w:tcW w:w="653" w:type="pct"/>
            <w:tcBorders>
              <w:tl2br w:val="nil"/>
              <w:tr2bl w:val="nil"/>
            </w:tcBorders>
            <w:vAlign w:val="center"/>
          </w:tcPr>
          <w:p w14:paraId="1586CDB3">
            <w:pPr>
              <w:jc w:val="center"/>
              <w:rPr>
                <w:rFonts w:hint="eastAsia"/>
                <w:sz w:val="21"/>
                <w:szCs w:val="21"/>
                <w:lang w:val="en-US" w:eastAsia="zh-CN"/>
              </w:rPr>
            </w:pPr>
            <w:r>
              <w:rPr>
                <w:rFonts w:hint="eastAsia"/>
                <w:sz w:val="21"/>
                <w:szCs w:val="21"/>
                <w:lang w:val="en-US" w:eastAsia="zh-CN"/>
              </w:rPr>
              <w:t>1500</w:t>
            </w:r>
          </w:p>
        </w:tc>
        <w:tc>
          <w:tcPr>
            <w:tcW w:w="658" w:type="pct"/>
            <w:tcBorders>
              <w:tl2br w:val="nil"/>
              <w:tr2bl w:val="nil"/>
            </w:tcBorders>
            <w:vAlign w:val="center"/>
          </w:tcPr>
          <w:p w14:paraId="29799203">
            <w:pPr>
              <w:jc w:val="center"/>
              <w:rPr>
                <w:rFonts w:hint="eastAsia"/>
                <w:sz w:val="21"/>
                <w:szCs w:val="21"/>
                <w:lang w:val="en-US" w:eastAsia="zh-CN"/>
              </w:rPr>
            </w:pPr>
            <w:r>
              <w:rPr>
                <w:rFonts w:hint="eastAsia"/>
                <w:sz w:val="21"/>
                <w:szCs w:val="21"/>
                <w:lang w:val="en-US" w:eastAsia="zh-CN"/>
              </w:rPr>
              <w:t>2000</w:t>
            </w:r>
          </w:p>
        </w:tc>
      </w:tr>
      <w:tr w14:paraId="27B27EB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trPr>
        <w:tc>
          <w:tcPr>
            <w:tcW w:w="422" w:type="pct"/>
            <w:tcBorders>
              <w:tl2br w:val="nil"/>
              <w:tr2bl w:val="nil"/>
            </w:tcBorders>
            <w:vAlign w:val="center"/>
          </w:tcPr>
          <w:p w14:paraId="37E473A3">
            <w:pPr>
              <w:jc w:val="center"/>
            </w:pPr>
            <w:r>
              <w:t>0</w:t>
            </w:r>
          </w:p>
        </w:tc>
        <w:tc>
          <w:tcPr>
            <w:tcW w:w="652" w:type="pct"/>
            <w:tcBorders>
              <w:tl2br w:val="nil"/>
              <w:tr2bl w:val="nil"/>
            </w:tcBorders>
            <w:vAlign w:val="center"/>
          </w:tcPr>
          <w:p w14:paraId="3094F592">
            <w:pPr>
              <w:jc w:val="center"/>
            </w:pPr>
            <w:r>
              <w:t>2640.00000</w:t>
            </w:r>
          </w:p>
        </w:tc>
        <w:tc>
          <w:tcPr>
            <w:tcW w:w="653" w:type="pct"/>
            <w:tcBorders>
              <w:tl2br w:val="nil"/>
              <w:tr2bl w:val="nil"/>
            </w:tcBorders>
            <w:vAlign w:val="center"/>
          </w:tcPr>
          <w:p w14:paraId="3C00092C">
            <w:pPr>
              <w:jc w:val="center"/>
            </w:pPr>
            <w:r>
              <w:t>2640.00000</w:t>
            </w:r>
          </w:p>
        </w:tc>
        <w:tc>
          <w:tcPr>
            <w:tcW w:w="653" w:type="pct"/>
            <w:tcBorders>
              <w:tl2br w:val="nil"/>
              <w:tr2bl w:val="nil"/>
            </w:tcBorders>
            <w:vAlign w:val="center"/>
          </w:tcPr>
          <w:p w14:paraId="43F7EC44">
            <w:pPr>
              <w:jc w:val="center"/>
            </w:pPr>
            <w:r>
              <w:t>2640.00000</w:t>
            </w:r>
          </w:p>
        </w:tc>
        <w:tc>
          <w:tcPr>
            <w:tcW w:w="653" w:type="pct"/>
            <w:tcBorders>
              <w:tl2br w:val="nil"/>
              <w:tr2bl w:val="nil"/>
            </w:tcBorders>
            <w:vAlign w:val="center"/>
          </w:tcPr>
          <w:p w14:paraId="281DD0E1">
            <w:pPr>
              <w:jc w:val="center"/>
            </w:pPr>
            <w:r>
              <w:t>2640.00000</w:t>
            </w:r>
          </w:p>
        </w:tc>
        <w:tc>
          <w:tcPr>
            <w:tcW w:w="653" w:type="pct"/>
            <w:tcBorders>
              <w:tl2br w:val="nil"/>
              <w:tr2bl w:val="nil"/>
            </w:tcBorders>
            <w:vAlign w:val="center"/>
          </w:tcPr>
          <w:p w14:paraId="52BB1B8C">
            <w:pPr>
              <w:jc w:val="center"/>
            </w:pPr>
            <w:r>
              <w:t>2640.00000</w:t>
            </w:r>
          </w:p>
        </w:tc>
        <w:tc>
          <w:tcPr>
            <w:tcW w:w="653" w:type="pct"/>
            <w:tcBorders>
              <w:tl2br w:val="nil"/>
              <w:tr2bl w:val="nil"/>
            </w:tcBorders>
            <w:vAlign w:val="center"/>
          </w:tcPr>
          <w:p w14:paraId="039CF727">
            <w:pPr>
              <w:jc w:val="center"/>
            </w:pPr>
            <w:r>
              <w:t>2640.00000</w:t>
            </w:r>
          </w:p>
        </w:tc>
        <w:tc>
          <w:tcPr>
            <w:tcW w:w="658" w:type="pct"/>
            <w:tcBorders>
              <w:tl2br w:val="nil"/>
              <w:tr2bl w:val="nil"/>
            </w:tcBorders>
            <w:vAlign w:val="center"/>
          </w:tcPr>
          <w:p w14:paraId="2A21DFCD">
            <w:pPr>
              <w:jc w:val="center"/>
            </w:pPr>
            <w:r>
              <w:t>2640.00000</w:t>
            </w:r>
          </w:p>
        </w:tc>
      </w:tr>
      <w:tr w14:paraId="38796CB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422" w:type="pct"/>
            <w:tcBorders>
              <w:tl2br w:val="nil"/>
              <w:tr2bl w:val="nil"/>
            </w:tcBorders>
            <w:vAlign w:val="center"/>
          </w:tcPr>
          <w:p w14:paraId="645DDCF1">
            <w:pPr>
              <w:jc w:val="center"/>
            </w:pPr>
            <w:r>
              <w:t>10</w:t>
            </w:r>
          </w:p>
        </w:tc>
        <w:tc>
          <w:tcPr>
            <w:tcW w:w="652" w:type="pct"/>
            <w:tcBorders>
              <w:tl2br w:val="nil"/>
              <w:tr2bl w:val="nil"/>
            </w:tcBorders>
            <w:vAlign w:val="center"/>
          </w:tcPr>
          <w:p w14:paraId="49DC212E">
            <w:pPr>
              <w:jc w:val="center"/>
            </w:pPr>
            <w:r>
              <w:t>449.00000</w:t>
            </w:r>
          </w:p>
        </w:tc>
        <w:tc>
          <w:tcPr>
            <w:tcW w:w="653" w:type="pct"/>
            <w:tcBorders>
              <w:tl2br w:val="nil"/>
              <w:tr2bl w:val="nil"/>
            </w:tcBorders>
            <w:vAlign w:val="center"/>
          </w:tcPr>
          <w:p w14:paraId="6F65FAD4">
            <w:pPr>
              <w:jc w:val="center"/>
            </w:pPr>
            <w:r>
              <w:t>1520.00000</w:t>
            </w:r>
          </w:p>
        </w:tc>
        <w:tc>
          <w:tcPr>
            <w:tcW w:w="653" w:type="pct"/>
            <w:tcBorders>
              <w:tl2br w:val="nil"/>
              <w:tr2bl w:val="nil"/>
            </w:tcBorders>
            <w:vAlign w:val="center"/>
          </w:tcPr>
          <w:p w14:paraId="2E4CFB07">
            <w:pPr>
              <w:jc w:val="center"/>
            </w:pPr>
            <w:r>
              <w:t>2290.00000</w:t>
            </w:r>
          </w:p>
        </w:tc>
        <w:tc>
          <w:tcPr>
            <w:tcW w:w="653" w:type="pct"/>
            <w:tcBorders>
              <w:tl2br w:val="nil"/>
              <w:tr2bl w:val="nil"/>
            </w:tcBorders>
            <w:vAlign w:val="center"/>
          </w:tcPr>
          <w:p w14:paraId="3DBB452B">
            <w:pPr>
              <w:jc w:val="center"/>
            </w:pPr>
            <w:r>
              <w:t>2480.00000</w:t>
            </w:r>
          </w:p>
        </w:tc>
        <w:tc>
          <w:tcPr>
            <w:tcW w:w="653" w:type="pct"/>
            <w:tcBorders>
              <w:tl2br w:val="nil"/>
              <w:tr2bl w:val="nil"/>
            </w:tcBorders>
            <w:vAlign w:val="center"/>
          </w:tcPr>
          <w:p w14:paraId="4C7EA171">
            <w:pPr>
              <w:jc w:val="center"/>
            </w:pPr>
            <w:r>
              <w:t>2610.00000</w:t>
            </w:r>
          </w:p>
        </w:tc>
        <w:tc>
          <w:tcPr>
            <w:tcW w:w="653" w:type="pct"/>
            <w:tcBorders>
              <w:tl2br w:val="nil"/>
              <w:tr2bl w:val="nil"/>
            </w:tcBorders>
            <w:vAlign w:val="center"/>
          </w:tcPr>
          <w:p w14:paraId="0DBC02D0">
            <w:pPr>
              <w:jc w:val="center"/>
            </w:pPr>
            <w:r>
              <w:t>2630.00000</w:t>
            </w:r>
          </w:p>
        </w:tc>
        <w:tc>
          <w:tcPr>
            <w:tcW w:w="658" w:type="pct"/>
            <w:tcBorders>
              <w:tl2br w:val="nil"/>
              <w:tr2bl w:val="nil"/>
            </w:tcBorders>
            <w:vAlign w:val="center"/>
          </w:tcPr>
          <w:p w14:paraId="77F019D1">
            <w:pPr>
              <w:jc w:val="center"/>
            </w:pPr>
            <w:r>
              <w:t>2640.00000</w:t>
            </w:r>
          </w:p>
        </w:tc>
      </w:tr>
      <w:tr w14:paraId="2FF16D8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89" w:hRule="atLeast"/>
        </w:trPr>
        <w:tc>
          <w:tcPr>
            <w:tcW w:w="422" w:type="pct"/>
            <w:tcBorders>
              <w:tl2br w:val="nil"/>
              <w:tr2bl w:val="nil"/>
            </w:tcBorders>
            <w:vAlign w:val="center"/>
          </w:tcPr>
          <w:p w14:paraId="3731D3EE">
            <w:pPr>
              <w:jc w:val="center"/>
            </w:pPr>
            <w:r>
              <w:t>20</w:t>
            </w:r>
          </w:p>
        </w:tc>
        <w:tc>
          <w:tcPr>
            <w:tcW w:w="652" w:type="pct"/>
            <w:tcBorders>
              <w:tl2br w:val="nil"/>
              <w:tr2bl w:val="nil"/>
            </w:tcBorders>
            <w:vAlign w:val="center"/>
          </w:tcPr>
          <w:p w14:paraId="2ACCC50B">
            <w:pPr>
              <w:jc w:val="center"/>
            </w:pPr>
            <w:r>
              <w:t>8.60000</w:t>
            </w:r>
          </w:p>
        </w:tc>
        <w:tc>
          <w:tcPr>
            <w:tcW w:w="653" w:type="pct"/>
            <w:tcBorders>
              <w:tl2br w:val="nil"/>
              <w:tr2bl w:val="nil"/>
            </w:tcBorders>
            <w:vAlign w:val="center"/>
          </w:tcPr>
          <w:p w14:paraId="75B419DD">
            <w:pPr>
              <w:jc w:val="center"/>
            </w:pPr>
            <w:r>
              <w:t>494.00000</w:t>
            </w:r>
          </w:p>
        </w:tc>
        <w:tc>
          <w:tcPr>
            <w:tcW w:w="653" w:type="pct"/>
            <w:tcBorders>
              <w:tl2br w:val="nil"/>
              <w:tr2bl w:val="nil"/>
            </w:tcBorders>
            <w:vAlign w:val="center"/>
          </w:tcPr>
          <w:p w14:paraId="4D9A0600">
            <w:pPr>
              <w:jc w:val="center"/>
            </w:pPr>
            <w:r>
              <w:t>1720.00000</w:t>
            </w:r>
          </w:p>
        </w:tc>
        <w:tc>
          <w:tcPr>
            <w:tcW w:w="653" w:type="pct"/>
            <w:tcBorders>
              <w:tl2br w:val="nil"/>
              <w:tr2bl w:val="nil"/>
            </w:tcBorders>
            <w:vAlign w:val="center"/>
          </w:tcPr>
          <w:p w14:paraId="4EE191F3">
            <w:pPr>
              <w:jc w:val="center"/>
            </w:pPr>
            <w:r>
              <w:t>2190.00000</w:t>
            </w:r>
          </w:p>
        </w:tc>
        <w:tc>
          <w:tcPr>
            <w:tcW w:w="653" w:type="pct"/>
            <w:tcBorders>
              <w:tl2br w:val="nil"/>
              <w:tr2bl w:val="nil"/>
            </w:tcBorders>
            <w:vAlign w:val="center"/>
          </w:tcPr>
          <w:p w14:paraId="1AEB0A90">
            <w:pPr>
              <w:jc w:val="center"/>
            </w:pPr>
            <w:r>
              <w:t>2540.00000</w:t>
            </w:r>
          </w:p>
        </w:tc>
        <w:tc>
          <w:tcPr>
            <w:tcW w:w="653" w:type="pct"/>
            <w:tcBorders>
              <w:tl2br w:val="nil"/>
              <w:tr2bl w:val="nil"/>
            </w:tcBorders>
            <w:vAlign w:val="center"/>
          </w:tcPr>
          <w:p w14:paraId="1AFB8820">
            <w:pPr>
              <w:jc w:val="center"/>
            </w:pPr>
            <w:r>
              <w:t>2610.00000</w:t>
            </w:r>
          </w:p>
        </w:tc>
        <w:tc>
          <w:tcPr>
            <w:tcW w:w="658" w:type="pct"/>
            <w:tcBorders>
              <w:tl2br w:val="nil"/>
              <w:tr2bl w:val="nil"/>
            </w:tcBorders>
            <w:vAlign w:val="center"/>
          </w:tcPr>
          <w:p w14:paraId="61ED948D">
            <w:pPr>
              <w:jc w:val="center"/>
            </w:pPr>
            <w:r>
              <w:t>2630.00000</w:t>
            </w:r>
          </w:p>
        </w:tc>
      </w:tr>
      <w:tr w14:paraId="6C59D0C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89" w:hRule="atLeast"/>
        </w:trPr>
        <w:tc>
          <w:tcPr>
            <w:tcW w:w="422" w:type="pct"/>
            <w:tcBorders>
              <w:tl2br w:val="nil"/>
              <w:tr2bl w:val="nil"/>
            </w:tcBorders>
            <w:vAlign w:val="center"/>
          </w:tcPr>
          <w:p w14:paraId="0B87BAE4">
            <w:pPr>
              <w:jc w:val="center"/>
            </w:pPr>
            <w:r>
              <w:t>30</w:t>
            </w:r>
          </w:p>
        </w:tc>
        <w:tc>
          <w:tcPr>
            <w:tcW w:w="652" w:type="pct"/>
            <w:tcBorders>
              <w:tl2br w:val="nil"/>
              <w:tr2bl w:val="nil"/>
            </w:tcBorders>
            <w:vAlign w:val="center"/>
          </w:tcPr>
          <w:p w14:paraId="210AFC8B">
            <w:pPr>
              <w:jc w:val="center"/>
            </w:pPr>
            <w:r>
              <w:t>0.01460</w:t>
            </w:r>
          </w:p>
        </w:tc>
        <w:tc>
          <w:tcPr>
            <w:tcW w:w="653" w:type="pct"/>
            <w:tcBorders>
              <w:tl2br w:val="nil"/>
              <w:tr2bl w:val="nil"/>
            </w:tcBorders>
            <w:vAlign w:val="center"/>
          </w:tcPr>
          <w:p w14:paraId="156B5A82">
            <w:pPr>
              <w:jc w:val="center"/>
            </w:pPr>
            <w:r>
              <w:t>83.10000</w:t>
            </w:r>
          </w:p>
        </w:tc>
        <w:tc>
          <w:tcPr>
            <w:tcW w:w="653" w:type="pct"/>
            <w:tcBorders>
              <w:tl2br w:val="nil"/>
              <w:tr2bl w:val="nil"/>
            </w:tcBorders>
            <w:vAlign w:val="center"/>
          </w:tcPr>
          <w:p w14:paraId="2B07849D">
            <w:pPr>
              <w:jc w:val="center"/>
            </w:pPr>
            <w:r>
              <w:t>1090.00000</w:t>
            </w:r>
          </w:p>
        </w:tc>
        <w:tc>
          <w:tcPr>
            <w:tcW w:w="653" w:type="pct"/>
            <w:tcBorders>
              <w:tl2br w:val="nil"/>
              <w:tr2bl w:val="nil"/>
            </w:tcBorders>
            <w:vAlign w:val="center"/>
          </w:tcPr>
          <w:p w14:paraId="557EAB8E">
            <w:pPr>
              <w:jc w:val="center"/>
            </w:pPr>
            <w:r>
              <w:t>1780.00000</w:t>
            </w:r>
          </w:p>
        </w:tc>
        <w:tc>
          <w:tcPr>
            <w:tcW w:w="653" w:type="pct"/>
            <w:tcBorders>
              <w:tl2br w:val="nil"/>
              <w:tr2bl w:val="nil"/>
            </w:tcBorders>
            <w:vAlign w:val="center"/>
          </w:tcPr>
          <w:p w14:paraId="1B0923FF">
            <w:pPr>
              <w:jc w:val="center"/>
            </w:pPr>
            <w:r>
              <w:t>2420.00000</w:t>
            </w:r>
          </w:p>
        </w:tc>
        <w:tc>
          <w:tcPr>
            <w:tcW w:w="653" w:type="pct"/>
            <w:tcBorders>
              <w:tl2br w:val="nil"/>
              <w:tr2bl w:val="nil"/>
            </w:tcBorders>
            <w:vAlign w:val="center"/>
          </w:tcPr>
          <w:p w14:paraId="00CC4F57">
            <w:pPr>
              <w:jc w:val="center"/>
            </w:pPr>
            <w:r>
              <w:t>2570.00000</w:t>
            </w:r>
          </w:p>
        </w:tc>
        <w:tc>
          <w:tcPr>
            <w:tcW w:w="658" w:type="pct"/>
            <w:tcBorders>
              <w:tl2br w:val="nil"/>
              <w:tr2bl w:val="nil"/>
            </w:tcBorders>
            <w:vAlign w:val="center"/>
          </w:tcPr>
          <w:p w14:paraId="5B6A4A58">
            <w:pPr>
              <w:jc w:val="center"/>
            </w:pPr>
            <w:r>
              <w:t>2620.00000</w:t>
            </w:r>
          </w:p>
        </w:tc>
      </w:tr>
      <w:tr w14:paraId="33F32EB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89" w:hRule="atLeast"/>
        </w:trPr>
        <w:tc>
          <w:tcPr>
            <w:tcW w:w="422" w:type="pct"/>
            <w:tcBorders>
              <w:tl2br w:val="nil"/>
              <w:tr2bl w:val="nil"/>
            </w:tcBorders>
            <w:vAlign w:val="center"/>
          </w:tcPr>
          <w:p w14:paraId="42628C55">
            <w:pPr>
              <w:jc w:val="center"/>
            </w:pPr>
            <w:r>
              <w:t>40</w:t>
            </w:r>
          </w:p>
        </w:tc>
        <w:tc>
          <w:tcPr>
            <w:tcW w:w="652" w:type="pct"/>
            <w:tcBorders>
              <w:tl2br w:val="nil"/>
              <w:tr2bl w:val="nil"/>
            </w:tcBorders>
            <w:vAlign w:val="center"/>
          </w:tcPr>
          <w:p w14:paraId="3BD88A0C">
            <w:pPr>
              <w:jc w:val="center"/>
            </w:pPr>
            <w:r>
              <w:t>0.00000</w:t>
            </w:r>
          </w:p>
        </w:tc>
        <w:tc>
          <w:tcPr>
            <w:tcW w:w="653" w:type="pct"/>
            <w:tcBorders>
              <w:tl2br w:val="nil"/>
              <w:tr2bl w:val="nil"/>
            </w:tcBorders>
            <w:vAlign w:val="center"/>
          </w:tcPr>
          <w:p w14:paraId="01DF01D3">
            <w:pPr>
              <w:jc w:val="center"/>
            </w:pPr>
            <w:r>
              <w:t>6.90000</w:t>
            </w:r>
          </w:p>
        </w:tc>
        <w:tc>
          <w:tcPr>
            <w:tcW w:w="653" w:type="pct"/>
            <w:tcBorders>
              <w:tl2br w:val="nil"/>
              <w:tr2bl w:val="nil"/>
            </w:tcBorders>
            <w:vAlign w:val="center"/>
          </w:tcPr>
          <w:p w14:paraId="7D769BB7">
            <w:pPr>
              <w:jc w:val="center"/>
            </w:pPr>
            <w:r>
              <w:t>562.00000</w:t>
            </w:r>
          </w:p>
        </w:tc>
        <w:tc>
          <w:tcPr>
            <w:tcW w:w="653" w:type="pct"/>
            <w:tcBorders>
              <w:tl2br w:val="nil"/>
              <w:tr2bl w:val="nil"/>
            </w:tcBorders>
            <w:vAlign w:val="center"/>
          </w:tcPr>
          <w:p w14:paraId="76B346A5">
            <w:pPr>
              <w:jc w:val="center"/>
            </w:pPr>
            <w:r>
              <w:t>1310.00000</w:t>
            </w:r>
          </w:p>
        </w:tc>
        <w:tc>
          <w:tcPr>
            <w:tcW w:w="653" w:type="pct"/>
            <w:tcBorders>
              <w:tl2br w:val="nil"/>
              <w:tr2bl w:val="nil"/>
            </w:tcBorders>
            <w:vAlign w:val="center"/>
          </w:tcPr>
          <w:p w14:paraId="640A9572">
            <w:pPr>
              <w:jc w:val="center"/>
            </w:pPr>
            <w:r>
              <w:t>2240.00000</w:t>
            </w:r>
          </w:p>
        </w:tc>
        <w:tc>
          <w:tcPr>
            <w:tcW w:w="653" w:type="pct"/>
            <w:tcBorders>
              <w:tl2br w:val="nil"/>
              <w:tr2bl w:val="nil"/>
            </w:tcBorders>
            <w:vAlign w:val="center"/>
          </w:tcPr>
          <w:p w14:paraId="6DBAF30E">
            <w:pPr>
              <w:jc w:val="center"/>
            </w:pPr>
            <w:r>
              <w:t>2510.00000</w:t>
            </w:r>
          </w:p>
        </w:tc>
        <w:tc>
          <w:tcPr>
            <w:tcW w:w="658" w:type="pct"/>
            <w:tcBorders>
              <w:tl2br w:val="nil"/>
              <w:tr2bl w:val="nil"/>
            </w:tcBorders>
            <w:vAlign w:val="center"/>
          </w:tcPr>
          <w:p w14:paraId="3FBCA331">
            <w:pPr>
              <w:jc w:val="center"/>
            </w:pPr>
            <w:r>
              <w:t>2600.00000</w:t>
            </w:r>
          </w:p>
        </w:tc>
      </w:tr>
      <w:tr w14:paraId="29727B8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89" w:hRule="atLeast"/>
        </w:trPr>
        <w:tc>
          <w:tcPr>
            <w:tcW w:w="422" w:type="pct"/>
            <w:tcBorders>
              <w:tl2br w:val="nil"/>
              <w:tr2bl w:val="nil"/>
            </w:tcBorders>
            <w:vAlign w:val="center"/>
          </w:tcPr>
          <w:p w14:paraId="46FC7FB7">
            <w:pPr>
              <w:jc w:val="center"/>
            </w:pPr>
            <w:r>
              <w:t>50</w:t>
            </w:r>
          </w:p>
        </w:tc>
        <w:tc>
          <w:tcPr>
            <w:tcW w:w="652" w:type="pct"/>
            <w:tcBorders>
              <w:tl2br w:val="nil"/>
              <w:tr2bl w:val="nil"/>
            </w:tcBorders>
            <w:vAlign w:val="center"/>
          </w:tcPr>
          <w:p w14:paraId="17E34876">
            <w:pPr>
              <w:jc w:val="center"/>
            </w:pPr>
            <w:r>
              <w:t>0.00000</w:t>
            </w:r>
          </w:p>
        </w:tc>
        <w:tc>
          <w:tcPr>
            <w:tcW w:w="653" w:type="pct"/>
            <w:tcBorders>
              <w:tl2br w:val="nil"/>
              <w:tr2bl w:val="nil"/>
            </w:tcBorders>
            <w:vAlign w:val="center"/>
          </w:tcPr>
          <w:p w14:paraId="4FEFB526">
            <w:pPr>
              <w:jc w:val="center"/>
            </w:pPr>
            <w:r>
              <w:t>0.27500</w:t>
            </w:r>
          </w:p>
        </w:tc>
        <w:tc>
          <w:tcPr>
            <w:tcW w:w="653" w:type="pct"/>
            <w:tcBorders>
              <w:tl2br w:val="nil"/>
              <w:tr2bl w:val="nil"/>
            </w:tcBorders>
            <w:vAlign w:val="center"/>
          </w:tcPr>
          <w:p w14:paraId="757C261C">
            <w:pPr>
              <w:jc w:val="center"/>
            </w:pPr>
            <w:r>
              <w:t>234.00000</w:t>
            </w:r>
          </w:p>
        </w:tc>
        <w:tc>
          <w:tcPr>
            <w:tcW w:w="653" w:type="pct"/>
            <w:tcBorders>
              <w:tl2br w:val="nil"/>
              <w:tr2bl w:val="nil"/>
            </w:tcBorders>
            <w:vAlign w:val="center"/>
          </w:tcPr>
          <w:p w14:paraId="36972674">
            <w:pPr>
              <w:jc w:val="center"/>
            </w:pPr>
            <w:r>
              <w:t>862.00000</w:t>
            </w:r>
          </w:p>
        </w:tc>
        <w:tc>
          <w:tcPr>
            <w:tcW w:w="653" w:type="pct"/>
            <w:tcBorders>
              <w:tl2br w:val="nil"/>
              <w:tr2bl w:val="nil"/>
            </w:tcBorders>
            <w:vAlign w:val="center"/>
          </w:tcPr>
          <w:p w14:paraId="4BFD95B3">
            <w:pPr>
              <w:jc w:val="center"/>
            </w:pPr>
            <w:r>
              <w:t>2000.00000</w:t>
            </w:r>
          </w:p>
        </w:tc>
        <w:tc>
          <w:tcPr>
            <w:tcW w:w="653" w:type="pct"/>
            <w:tcBorders>
              <w:tl2br w:val="nil"/>
              <w:tr2bl w:val="nil"/>
            </w:tcBorders>
            <w:vAlign w:val="center"/>
          </w:tcPr>
          <w:p w14:paraId="5CD7A354">
            <w:pPr>
              <w:jc w:val="center"/>
            </w:pPr>
            <w:r>
              <w:t>2420.00000</w:t>
            </w:r>
          </w:p>
        </w:tc>
        <w:tc>
          <w:tcPr>
            <w:tcW w:w="658" w:type="pct"/>
            <w:tcBorders>
              <w:tl2br w:val="nil"/>
              <w:tr2bl w:val="nil"/>
            </w:tcBorders>
            <w:vAlign w:val="center"/>
          </w:tcPr>
          <w:p w14:paraId="1D1A811B">
            <w:pPr>
              <w:jc w:val="center"/>
            </w:pPr>
            <w:r>
              <w:t>2560.00000</w:t>
            </w:r>
          </w:p>
        </w:tc>
      </w:tr>
      <w:tr w14:paraId="5A21B45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160BA59F">
            <w:pPr>
              <w:jc w:val="center"/>
            </w:pPr>
            <w:r>
              <w:t>60</w:t>
            </w:r>
          </w:p>
        </w:tc>
        <w:tc>
          <w:tcPr>
            <w:tcW w:w="652" w:type="pct"/>
            <w:tcBorders>
              <w:tl2br w:val="nil"/>
              <w:tr2bl w:val="nil"/>
            </w:tcBorders>
            <w:vAlign w:val="center"/>
          </w:tcPr>
          <w:p w14:paraId="7DB544CC">
            <w:pPr>
              <w:jc w:val="center"/>
            </w:pPr>
            <w:r>
              <w:t>0.00000</w:t>
            </w:r>
          </w:p>
        </w:tc>
        <w:tc>
          <w:tcPr>
            <w:tcW w:w="653" w:type="pct"/>
            <w:tcBorders>
              <w:tl2br w:val="nil"/>
              <w:tr2bl w:val="nil"/>
            </w:tcBorders>
            <w:vAlign w:val="center"/>
          </w:tcPr>
          <w:p w14:paraId="409C7987">
            <w:pPr>
              <w:jc w:val="center"/>
            </w:pPr>
            <w:r>
              <w:t>0.00520</w:t>
            </w:r>
          </w:p>
        </w:tc>
        <w:tc>
          <w:tcPr>
            <w:tcW w:w="653" w:type="pct"/>
            <w:tcBorders>
              <w:tl2br w:val="nil"/>
              <w:tr2bl w:val="nil"/>
            </w:tcBorders>
            <w:vAlign w:val="center"/>
          </w:tcPr>
          <w:p w14:paraId="2EAA172B">
            <w:pPr>
              <w:jc w:val="center"/>
            </w:pPr>
            <w:r>
              <w:t>77.60000</w:t>
            </w:r>
          </w:p>
        </w:tc>
        <w:tc>
          <w:tcPr>
            <w:tcW w:w="653" w:type="pct"/>
            <w:tcBorders>
              <w:tl2br w:val="nil"/>
              <w:tr2bl w:val="nil"/>
            </w:tcBorders>
            <w:vAlign w:val="center"/>
          </w:tcPr>
          <w:p w14:paraId="70B8F2FF">
            <w:pPr>
              <w:jc w:val="center"/>
            </w:pPr>
            <w:r>
              <w:t>501.00000</w:t>
            </w:r>
          </w:p>
        </w:tc>
        <w:tc>
          <w:tcPr>
            <w:tcW w:w="653" w:type="pct"/>
            <w:tcBorders>
              <w:tl2br w:val="nil"/>
              <w:tr2bl w:val="nil"/>
            </w:tcBorders>
            <w:vAlign w:val="center"/>
          </w:tcPr>
          <w:p w14:paraId="149A7E95">
            <w:pPr>
              <w:jc w:val="center"/>
            </w:pPr>
            <w:r>
              <w:t>1720.00000</w:t>
            </w:r>
          </w:p>
        </w:tc>
        <w:tc>
          <w:tcPr>
            <w:tcW w:w="653" w:type="pct"/>
            <w:tcBorders>
              <w:tl2br w:val="nil"/>
              <w:tr2bl w:val="nil"/>
            </w:tcBorders>
            <w:vAlign w:val="center"/>
          </w:tcPr>
          <w:p w14:paraId="59E80C79">
            <w:pPr>
              <w:jc w:val="center"/>
            </w:pPr>
            <w:r>
              <w:t>2290.00000</w:t>
            </w:r>
          </w:p>
        </w:tc>
        <w:tc>
          <w:tcPr>
            <w:tcW w:w="658" w:type="pct"/>
            <w:tcBorders>
              <w:tl2br w:val="nil"/>
              <w:tr2bl w:val="nil"/>
            </w:tcBorders>
            <w:vAlign w:val="center"/>
          </w:tcPr>
          <w:p w14:paraId="76827A3A">
            <w:pPr>
              <w:jc w:val="center"/>
            </w:pPr>
            <w:r>
              <w:t>2510.00000</w:t>
            </w:r>
          </w:p>
        </w:tc>
      </w:tr>
      <w:tr w14:paraId="3CB386B7">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1732F086">
            <w:pPr>
              <w:jc w:val="center"/>
            </w:pPr>
            <w:r>
              <w:t>70</w:t>
            </w:r>
          </w:p>
        </w:tc>
        <w:tc>
          <w:tcPr>
            <w:tcW w:w="652" w:type="pct"/>
            <w:tcBorders>
              <w:tl2br w:val="nil"/>
              <w:tr2bl w:val="nil"/>
            </w:tcBorders>
            <w:vAlign w:val="center"/>
          </w:tcPr>
          <w:p w14:paraId="554F1C7E">
            <w:pPr>
              <w:jc w:val="center"/>
            </w:pPr>
            <w:r>
              <w:t>0.00000</w:t>
            </w:r>
          </w:p>
        </w:tc>
        <w:tc>
          <w:tcPr>
            <w:tcW w:w="653" w:type="pct"/>
            <w:tcBorders>
              <w:tl2br w:val="nil"/>
              <w:tr2bl w:val="nil"/>
            </w:tcBorders>
            <w:vAlign w:val="center"/>
          </w:tcPr>
          <w:p w14:paraId="7100E978">
            <w:pPr>
              <w:jc w:val="center"/>
            </w:pPr>
            <w:r>
              <w:t>0.00005</w:t>
            </w:r>
          </w:p>
        </w:tc>
        <w:tc>
          <w:tcPr>
            <w:tcW w:w="653" w:type="pct"/>
            <w:tcBorders>
              <w:tl2br w:val="nil"/>
              <w:tr2bl w:val="nil"/>
            </w:tcBorders>
            <w:vAlign w:val="center"/>
          </w:tcPr>
          <w:p w14:paraId="77E8FC4F">
            <w:pPr>
              <w:jc w:val="center"/>
            </w:pPr>
            <w:r>
              <w:t>20.30000</w:t>
            </w:r>
          </w:p>
        </w:tc>
        <w:tc>
          <w:tcPr>
            <w:tcW w:w="653" w:type="pct"/>
            <w:tcBorders>
              <w:tl2br w:val="nil"/>
              <w:tr2bl w:val="nil"/>
            </w:tcBorders>
            <w:vAlign w:val="center"/>
          </w:tcPr>
          <w:p w14:paraId="50E4C33E">
            <w:pPr>
              <w:jc w:val="center"/>
            </w:pPr>
            <w:r>
              <w:t>256.00000</w:t>
            </w:r>
          </w:p>
        </w:tc>
        <w:tc>
          <w:tcPr>
            <w:tcW w:w="653" w:type="pct"/>
            <w:tcBorders>
              <w:tl2br w:val="nil"/>
              <w:tr2bl w:val="nil"/>
            </w:tcBorders>
            <w:vAlign w:val="center"/>
          </w:tcPr>
          <w:p w14:paraId="53B75AE9">
            <w:pPr>
              <w:jc w:val="center"/>
            </w:pPr>
            <w:r>
              <w:t>1400.00000</w:t>
            </w:r>
          </w:p>
        </w:tc>
        <w:tc>
          <w:tcPr>
            <w:tcW w:w="653" w:type="pct"/>
            <w:tcBorders>
              <w:tl2br w:val="nil"/>
              <w:tr2bl w:val="nil"/>
            </w:tcBorders>
            <w:vAlign w:val="center"/>
          </w:tcPr>
          <w:p w14:paraId="4830EB17">
            <w:pPr>
              <w:jc w:val="center"/>
            </w:pPr>
            <w:r>
              <w:t>2130.00000</w:t>
            </w:r>
          </w:p>
        </w:tc>
        <w:tc>
          <w:tcPr>
            <w:tcW w:w="658" w:type="pct"/>
            <w:tcBorders>
              <w:tl2br w:val="nil"/>
              <w:tr2bl w:val="nil"/>
            </w:tcBorders>
            <w:vAlign w:val="center"/>
          </w:tcPr>
          <w:p w14:paraId="414BBD52">
            <w:pPr>
              <w:jc w:val="center"/>
            </w:pPr>
            <w:r>
              <w:t>2440.00000</w:t>
            </w:r>
          </w:p>
        </w:tc>
      </w:tr>
      <w:tr w14:paraId="3187F64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0A27945F">
            <w:pPr>
              <w:jc w:val="center"/>
            </w:pPr>
            <w:r>
              <w:t>80</w:t>
            </w:r>
          </w:p>
        </w:tc>
        <w:tc>
          <w:tcPr>
            <w:tcW w:w="652" w:type="pct"/>
            <w:tcBorders>
              <w:tl2br w:val="nil"/>
              <w:tr2bl w:val="nil"/>
            </w:tcBorders>
            <w:vAlign w:val="center"/>
          </w:tcPr>
          <w:p w14:paraId="7B63B08B">
            <w:pPr>
              <w:jc w:val="center"/>
            </w:pPr>
            <w:r>
              <w:t>0.00000</w:t>
            </w:r>
          </w:p>
        </w:tc>
        <w:tc>
          <w:tcPr>
            <w:tcW w:w="653" w:type="pct"/>
            <w:tcBorders>
              <w:tl2br w:val="nil"/>
              <w:tr2bl w:val="nil"/>
            </w:tcBorders>
            <w:vAlign w:val="center"/>
          </w:tcPr>
          <w:p w14:paraId="7F88A802">
            <w:pPr>
              <w:jc w:val="center"/>
            </w:pPr>
            <w:r>
              <w:t>0.00000</w:t>
            </w:r>
          </w:p>
        </w:tc>
        <w:tc>
          <w:tcPr>
            <w:tcW w:w="653" w:type="pct"/>
            <w:tcBorders>
              <w:tl2br w:val="nil"/>
              <w:tr2bl w:val="nil"/>
            </w:tcBorders>
            <w:vAlign w:val="center"/>
          </w:tcPr>
          <w:p w14:paraId="2AD1BC13">
            <w:pPr>
              <w:jc w:val="center"/>
            </w:pPr>
            <w:r>
              <w:t>4.16000</w:t>
            </w:r>
          </w:p>
        </w:tc>
        <w:tc>
          <w:tcPr>
            <w:tcW w:w="653" w:type="pct"/>
            <w:tcBorders>
              <w:tl2br w:val="nil"/>
              <w:tr2bl w:val="nil"/>
            </w:tcBorders>
            <w:vAlign w:val="center"/>
          </w:tcPr>
          <w:p w14:paraId="40664007">
            <w:pPr>
              <w:jc w:val="center"/>
            </w:pPr>
            <w:r>
              <w:t>114.00000</w:t>
            </w:r>
          </w:p>
        </w:tc>
        <w:tc>
          <w:tcPr>
            <w:tcW w:w="653" w:type="pct"/>
            <w:tcBorders>
              <w:tl2br w:val="nil"/>
              <w:tr2bl w:val="nil"/>
            </w:tcBorders>
            <w:vAlign w:val="center"/>
          </w:tcPr>
          <w:p w14:paraId="048A452D">
            <w:pPr>
              <w:jc w:val="center"/>
            </w:pPr>
            <w:r>
              <w:t>1090.00000</w:t>
            </w:r>
          </w:p>
        </w:tc>
        <w:tc>
          <w:tcPr>
            <w:tcW w:w="653" w:type="pct"/>
            <w:tcBorders>
              <w:tl2br w:val="nil"/>
              <w:tr2bl w:val="nil"/>
            </w:tcBorders>
            <w:vAlign w:val="center"/>
          </w:tcPr>
          <w:p w14:paraId="7DD4BE0A">
            <w:pPr>
              <w:jc w:val="center"/>
            </w:pPr>
            <w:r>
              <w:t>1930.00000</w:t>
            </w:r>
          </w:p>
        </w:tc>
        <w:tc>
          <w:tcPr>
            <w:tcW w:w="658" w:type="pct"/>
            <w:tcBorders>
              <w:tl2br w:val="nil"/>
              <w:tr2bl w:val="nil"/>
            </w:tcBorders>
            <w:vAlign w:val="center"/>
          </w:tcPr>
          <w:p w14:paraId="015ED097">
            <w:pPr>
              <w:jc w:val="center"/>
            </w:pPr>
            <w:r>
              <w:t>2340.00000</w:t>
            </w:r>
          </w:p>
        </w:tc>
      </w:tr>
      <w:tr w14:paraId="71D8F52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0EBE7676">
            <w:pPr>
              <w:jc w:val="center"/>
            </w:pPr>
            <w:r>
              <w:t>90</w:t>
            </w:r>
          </w:p>
        </w:tc>
        <w:tc>
          <w:tcPr>
            <w:tcW w:w="652" w:type="pct"/>
            <w:tcBorders>
              <w:tl2br w:val="nil"/>
              <w:tr2bl w:val="nil"/>
            </w:tcBorders>
            <w:vAlign w:val="center"/>
          </w:tcPr>
          <w:p w14:paraId="4FDE3ED3">
            <w:pPr>
              <w:jc w:val="center"/>
            </w:pPr>
            <w:r>
              <w:t>0.00000</w:t>
            </w:r>
          </w:p>
        </w:tc>
        <w:tc>
          <w:tcPr>
            <w:tcW w:w="653" w:type="pct"/>
            <w:tcBorders>
              <w:tl2br w:val="nil"/>
              <w:tr2bl w:val="nil"/>
            </w:tcBorders>
            <w:vAlign w:val="center"/>
          </w:tcPr>
          <w:p w14:paraId="4701240E">
            <w:pPr>
              <w:jc w:val="center"/>
            </w:pPr>
            <w:r>
              <w:t>0.00000</w:t>
            </w:r>
          </w:p>
        </w:tc>
        <w:tc>
          <w:tcPr>
            <w:tcW w:w="653" w:type="pct"/>
            <w:tcBorders>
              <w:tl2br w:val="nil"/>
              <w:tr2bl w:val="nil"/>
            </w:tcBorders>
            <w:vAlign w:val="center"/>
          </w:tcPr>
          <w:p w14:paraId="51F60106">
            <w:pPr>
              <w:jc w:val="center"/>
            </w:pPr>
            <w:r>
              <w:t>0.66900</w:t>
            </w:r>
          </w:p>
        </w:tc>
        <w:tc>
          <w:tcPr>
            <w:tcW w:w="653" w:type="pct"/>
            <w:tcBorders>
              <w:tl2br w:val="nil"/>
              <w:tr2bl w:val="nil"/>
            </w:tcBorders>
            <w:vAlign w:val="center"/>
          </w:tcPr>
          <w:p w14:paraId="4614B649">
            <w:pPr>
              <w:jc w:val="center"/>
            </w:pPr>
            <w:r>
              <w:t>44.10000</w:t>
            </w:r>
          </w:p>
        </w:tc>
        <w:tc>
          <w:tcPr>
            <w:tcW w:w="653" w:type="pct"/>
            <w:tcBorders>
              <w:tl2br w:val="nil"/>
              <w:tr2bl w:val="nil"/>
            </w:tcBorders>
            <w:vAlign w:val="center"/>
          </w:tcPr>
          <w:p w14:paraId="63DA6262">
            <w:pPr>
              <w:jc w:val="center"/>
            </w:pPr>
            <w:r>
              <w:t>796.00000</w:t>
            </w:r>
          </w:p>
        </w:tc>
        <w:tc>
          <w:tcPr>
            <w:tcW w:w="653" w:type="pct"/>
            <w:tcBorders>
              <w:tl2br w:val="nil"/>
              <w:tr2bl w:val="nil"/>
            </w:tcBorders>
            <w:vAlign w:val="center"/>
          </w:tcPr>
          <w:p w14:paraId="23B44012">
            <w:pPr>
              <w:jc w:val="center"/>
            </w:pPr>
            <w:r>
              <w:t>1700.00000</w:t>
            </w:r>
          </w:p>
        </w:tc>
        <w:tc>
          <w:tcPr>
            <w:tcW w:w="658" w:type="pct"/>
            <w:tcBorders>
              <w:tl2br w:val="nil"/>
              <w:tr2bl w:val="nil"/>
            </w:tcBorders>
            <w:vAlign w:val="center"/>
          </w:tcPr>
          <w:p w14:paraId="256E9E1F">
            <w:pPr>
              <w:jc w:val="center"/>
            </w:pPr>
            <w:r>
              <w:t>2220.00000</w:t>
            </w:r>
          </w:p>
        </w:tc>
      </w:tr>
      <w:tr w14:paraId="482E90F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78554E10">
            <w:pPr>
              <w:jc w:val="center"/>
            </w:pPr>
            <w:r>
              <w:t>100</w:t>
            </w:r>
          </w:p>
        </w:tc>
        <w:tc>
          <w:tcPr>
            <w:tcW w:w="652" w:type="pct"/>
            <w:tcBorders>
              <w:tl2br w:val="nil"/>
              <w:tr2bl w:val="nil"/>
            </w:tcBorders>
            <w:vAlign w:val="center"/>
          </w:tcPr>
          <w:p w14:paraId="61740F0A">
            <w:pPr>
              <w:jc w:val="center"/>
            </w:pPr>
            <w:r>
              <w:t>0.00000</w:t>
            </w:r>
          </w:p>
        </w:tc>
        <w:tc>
          <w:tcPr>
            <w:tcW w:w="653" w:type="pct"/>
            <w:tcBorders>
              <w:tl2br w:val="nil"/>
              <w:tr2bl w:val="nil"/>
            </w:tcBorders>
            <w:vAlign w:val="center"/>
          </w:tcPr>
          <w:p w14:paraId="1C0B5AE7">
            <w:pPr>
              <w:jc w:val="center"/>
            </w:pPr>
            <w:r>
              <w:t>0.00000</w:t>
            </w:r>
          </w:p>
        </w:tc>
        <w:tc>
          <w:tcPr>
            <w:tcW w:w="653" w:type="pct"/>
            <w:tcBorders>
              <w:tl2br w:val="nil"/>
              <w:tr2bl w:val="nil"/>
            </w:tcBorders>
            <w:vAlign w:val="center"/>
          </w:tcPr>
          <w:p w14:paraId="61CB9BDB">
            <w:pPr>
              <w:jc w:val="center"/>
            </w:pPr>
            <w:r>
              <w:t>0.08380</w:t>
            </w:r>
          </w:p>
        </w:tc>
        <w:tc>
          <w:tcPr>
            <w:tcW w:w="653" w:type="pct"/>
            <w:tcBorders>
              <w:tl2br w:val="nil"/>
              <w:tr2bl w:val="nil"/>
            </w:tcBorders>
            <w:vAlign w:val="center"/>
          </w:tcPr>
          <w:p w14:paraId="2E84E8D5">
            <w:pPr>
              <w:jc w:val="center"/>
            </w:pPr>
            <w:r>
              <w:t>14.80000</w:t>
            </w:r>
          </w:p>
        </w:tc>
        <w:tc>
          <w:tcPr>
            <w:tcW w:w="653" w:type="pct"/>
            <w:tcBorders>
              <w:tl2br w:val="nil"/>
              <w:tr2bl w:val="nil"/>
            </w:tcBorders>
            <w:vAlign w:val="center"/>
          </w:tcPr>
          <w:p w14:paraId="239A69B2">
            <w:pPr>
              <w:jc w:val="center"/>
            </w:pPr>
            <w:r>
              <w:t>548.00000</w:t>
            </w:r>
          </w:p>
        </w:tc>
        <w:tc>
          <w:tcPr>
            <w:tcW w:w="653" w:type="pct"/>
            <w:tcBorders>
              <w:tl2br w:val="nil"/>
              <w:tr2bl w:val="nil"/>
            </w:tcBorders>
            <w:vAlign w:val="center"/>
          </w:tcPr>
          <w:p w14:paraId="239166BF">
            <w:pPr>
              <w:jc w:val="center"/>
            </w:pPr>
            <w:r>
              <w:t>1450.00000</w:t>
            </w:r>
          </w:p>
        </w:tc>
        <w:tc>
          <w:tcPr>
            <w:tcW w:w="658" w:type="pct"/>
            <w:tcBorders>
              <w:tl2br w:val="nil"/>
              <w:tr2bl w:val="nil"/>
            </w:tcBorders>
            <w:vAlign w:val="center"/>
          </w:tcPr>
          <w:p w14:paraId="25123939">
            <w:pPr>
              <w:jc w:val="center"/>
            </w:pPr>
            <w:r>
              <w:t>2070.00000</w:t>
            </w:r>
          </w:p>
        </w:tc>
      </w:tr>
      <w:tr w14:paraId="74D1473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210ACC7E">
            <w:pPr>
              <w:jc w:val="center"/>
            </w:pPr>
            <w:r>
              <w:t>110</w:t>
            </w:r>
          </w:p>
        </w:tc>
        <w:tc>
          <w:tcPr>
            <w:tcW w:w="652" w:type="pct"/>
            <w:tcBorders>
              <w:tl2br w:val="nil"/>
              <w:tr2bl w:val="nil"/>
            </w:tcBorders>
            <w:vAlign w:val="center"/>
          </w:tcPr>
          <w:p w14:paraId="1549F3B7">
            <w:pPr>
              <w:jc w:val="center"/>
            </w:pPr>
            <w:r>
              <w:t>0.00000</w:t>
            </w:r>
          </w:p>
        </w:tc>
        <w:tc>
          <w:tcPr>
            <w:tcW w:w="653" w:type="pct"/>
            <w:tcBorders>
              <w:tl2br w:val="nil"/>
              <w:tr2bl w:val="nil"/>
            </w:tcBorders>
            <w:vAlign w:val="center"/>
          </w:tcPr>
          <w:p w14:paraId="7DFF7AB0">
            <w:pPr>
              <w:jc w:val="center"/>
            </w:pPr>
            <w:r>
              <w:t>0.00000</w:t>
            </w:r>
          </w:p>
        </w:tc>
        <w:tc>
          <w:tcPr>
            <w:tcW w:w="653" w:type="pct"/>
            <w:tcBorders>
              <w:tl2br w:val="nil"/>
              <w:tr2bl w:val="nil"/>
            </w:tcBorders>
            <w:vAlign w:val="center"/>
          </w:tcPr>
          <w:p w14:paraId="4FB75D30">
            <w:pPr>
              <w:jc w:val="center"/>
            </w:pPr>
            <w:r>
              <w:t>0.00817</w:t>
            </w:r>
          </w:p>
        </w:tc>
        <w:tc>
          <w:tcPr>
            <w:tcW w:w="653" w:type="pct"/>
            <w:tcBorders>
              <w:tl2br w:val="nil"/>
              <w:tr2bl w:val="nil"/>
            </w:tcBorders>
            <w:vAlign w:val="center"/>
          </w:tcPr>
          <w:p w14:paraId="7AE81EE5">
            <w:pPr>
              <w:jc w:val="center"/>
            </w:pPr>
            <w:r>
              <w:t>4.28000</w:t>
            </w:r>
          </w:p>
        </w:tc>
        <w:tc>
          <w:tcPr>
            <w:tcW w:w="653" w:type="pct"/>
            <w:tcBorders>
              <w:tl2br w:val="nil"/>
              <w:tr2bl w:val="nil"/>
            </w:tcBorders>
            <w:vAlign w:val="center"/>
          </w:tcPr>
          <w:p w14:paraId="2D356786">
            <w:pPr>
              <w:jc w:val="center"/>
            </w:pPr>
            <w:r>
              <w:t>353.00000</w:t>
            </w:r>
          </w:p>
        </w:tc>
        <w:tc>
          <w:tcPr>
            <w:tcW w:w="653" w:type="pct"/>
            <w:tcBorders>
              <w:tl2br w:val="nil"/>
              <w:tr2bl w:val="nil"/>
            </w:tcBorders>
            <w:vAlign w:val="center"/>
          </w:tcPr>
          <w:p w14:paraId="0CCCCF6C">
            <w:pPr>
              <w:jc w:val="center"/>
            </w:pPr>
            <w:r>
              <w:t>1190.00000</w:t>
            </w:r>
          </w:p>
        </w:tc>
        <w:tc>
          <w:tcPr>
            <w:tcW w:w="658" w:type="pct"/>
            <w:tcBorders>
              <w:tl2br w:val="nil"/>
              <w:tr2bl w:val="nil"/>
            </w:tcBorders>
            <w:vAlign w:val="center"/>
          </w:tcPr>
          <w:p w14:paraId="5E8C17D3">
            <w:pPr>
              <w:jc w:val="center"/>
            </w:pPr>
            <w:r>
              <w:t>1890.00000</w:t>
            </w:r>
          </w:p>
        </w:tc>
      </w:tr>
      <w:tr w14:paraId="1D006E2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476E0673">
            <w:pPr>
              <w:jc w:val="center"/>
            </w:pPr>
            <w:r>
              <w:t>120</w:t>
            </w:r>
          </w:p>
        </w:tc>
        <w:tc>
          <w:tcPr>
            <w:tcW w:w="652" w:type="pct"/>
            <w:tcBorders>
              <w:tl2br w:val="nil"/>
              <w:tr2bl w:val="nil"/>
            </w:tcBorders>
            <w:vAlign w:val="center"/>
          </w:tcPr>
          <w:p w14:paraId="4617FEFC">
            <w:pPr>
              <w:jc w:val="center"/>
            </w:pPr>
            <w:r>
              <w:t>0.00000</w:t>
            </w:r>
          </w:p>
        </w:tc>
        <w:tc>
          <w:tcPr>
            <w:tcW w:w="653" w:type="pct"/>
            <w:tcBorders>
              <w:tl2br w:val="nil"/>
              <w:tr2bl w:val="nil"/>
            </w:tcBorders>
            <w:vAlign w:val="center"/>
          </w:tcPr>
          <w:p w14:paraId="31073419">
            <w:pPr>
              <w:jc w:val="center"/>
            </w:pPr>
            <w:r>
              <w:t>0.00000</w:t>
            </w:r>
          </w:p>
        </w:tc>
        <w:tc>
          <w:tcPr>
            <w:tcW w:w="653" w:type="pct"/>
            <w:tcBorders>
              <w:tl2br w:val="nil"/>
              <w:tr2bl w:val="nil"/>
            </w:tcBorders>
            <w:vAlign w:val="center"/>
          </w:tcPr>
          <w:p w14:paraId="56B6D322">
            <w:pPr>
              <w:jc w:val="center"/>
            </w:pPr>
            <w:r>
              <w:t>0.00064</w:t>
            </w:r>
          </w:p>
        </w:tc>
        <w:tc>
          <w:tcPr>
            <w:tcW w:w="653" w:type="pct"/>
            <w:tcBorders>
              <w:tl2br w:val="nil"/>
              <w:tr2bl w:val="nil"/>
            </w:tcBorders>
            <w:vAlign w:val="center"/>
          </w:tcPr>
          <w:p w14:paraId="4899AFD3">
            <w:pPr>
              <w:jc w:val="center"/>
            </w:pPr>
            <w:r>
              <w:t>1.07000</w:t>
            </w:r>
          </w:p>
        </w:tc>
        <w:tc>
          <w:tcPr>
            <w:tcW w:w="653" w:type="pct"/>
            <w:tcBorders>
              <w:tl2br w:val="nil"/>
              <w:tr2bl w:val="nil"/>
            </w:tcBorders>
            <w:vAlign w:val="center"/>
          </w:tcPr>
          <w:p w14:paraId="5E614A34">
            <w:pPr>
              <w:jc w:val="center"/>
            </w:pPr>
            <w:r>
              <w:t>213.00000</w:t>
            </w:r>
          </w:p>
        </w:tc>
        <w:tc>
          <w:tcPr>
            <w:tcW w:w="653" w:type="pct"/>
            <w:tcBorders>
              <w:tl2br w:val="nil"/>
              <w:tr2bl w:val="nil"/>
            </w:tcBorders>
            <w:vAlign w:val="center"/>
          </w:tcPr>
          <w:p w14:paraId="47686F66">
            <w:pPr>
              <w:jc w:val="center"/>
            </w:pPr>
            <w:r>
              <w:t>948.00000</w:t>
            </w:r>
          </w:p>
        </w:tc>
        <w:tc>
          <w:tcPr>
            <w:tcW w:w="658" w:type="pct"/>
            <w:tcBorders>
              <w:tl2br w:val="nil"/>
              <w:tr2bl w:val="nil"/>
            </w:tcBorders>
            <w:vAlign w:val="center"/>
          </w:tcPr>
          <w:p w14:paraId="341D3F3A">
            <w:pPr>
              <w:jc w:val="center"/>
            </w:pPr>
            <w:r>
              <w:t>1690.00000</w:t>
            </w:r>
          </w:p>
        </w:tc>
      </w:tr>
      <w:tr w14:paraId="20A0657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136AC4BB">
            <w:pPr>
              <w:jc w:val="center"/>
            </w:pPr>
            <w:r>
              <w:t>130</w:t>
            </w:r>
          </w:p>
        </w:tc>
        <w:tc>
          <w:tcPr>
            <w:tcW w:w="652" w:type="pct"/>
            <w:tcBorders>
              <w:tl2br w:val="nil"/>
              <w:tr2bl w:val="nil"/>
            </w:tcBorders>
            <w:vAlign w:val="center"/>
          </w:tcPr>
          <w:p w14:paraId="4FA5F085">
            <w:pPr>
              <w:jc w:val="center"/>
            </w:pPr>
            <w:r>
              <w:t>0.00000</w:t>
            </w:r>
          </w:p>
        </w:tc>
        <w:tc>
          <w:tcPr>
            <w:tcW w:w="653" w:type="pct"/>
            <w:tcBorders>
              <w:tl2br w:val="nil"/>
              <w:tr2bl w:val="nil"/>
            </w:tcBorders>
            <w:vAlign w:val="center"/>
          </w:tcPr>
          <w:p w14:paraId="6AE2B25C">
            <w:pPr>
              <w:jc w:val="center"/>
            </w:pPr>
            <w:r>
              <w:t>0.00000</w:t>
            </w:r>
          </w:p>
        </w:tc>
        <w:tc>
          <w:tcPr>
            <w:tcW w:w="653" w:type="pct"/>
            <w:tcBorders>
              <w:tl2br w:val="nil"/>
              <w:tr2bl w:val="nil"/>
            </w:tcBorders>
            <w:vAlign w:val="center"/>
          </w:tcPr>
          <w:p w14:paraId="6F6CDF9A">
            <w:pPr>
              <w:jc w:val="center"/>
            </w:pPr>
            <w:r>
              <w:t>0.00004</w:t>
            </w:r>
          </w:p>
        </w:tc>
        <w:tc>
          <w:tcPr>
            <w:tcW w:w="653" w:type="pct"/>
            <w:tcBorders>
              <w:tl2br w:val="nil"/>
              <w:tr2bl w:val="nil"/>
            </w:tcBorders>
            <w:vAlign w:val="center"/>
          </w:tcPr>
          <w:p w14:paraId="548E2AE4">
            <w:pPr>
              <w:jc w:val="center"/>
            </w:pPr>
            <w:r>
              <w:t>0.23100</w:t>
            </w:r>
          </w:p>
        </w:tc>
        <w:tc>
          <w:tcPr>
            <w:tcW w:w="653" w:type="pct"/>
            <w:tcBorders>
              <w:tl2br w:val="nil"/>
              <w:tr2bl w:val="nil"/>
            </w:tcBorders>
            <w:vAlign w:val="center"/>
          </w:tcPr>
          <w:p w14:paraId="6EA02DF4">
            <w:pPr>
              <w:jc w:val="center"/>
            </w:pPr>
            <w:r>
              <w:t>120.00000</w:t>
            </w:r>
          </w:p>
        </w:tc>
        <w:tc>
          <w:tcPr>
            <w:tcW w:w="653" w:type="pct"/>
            <w:tcBorders>
              <w:tl2br w:val="nil"/>
              <w:tr2bl w:val="nil"/>
            </w:tcBorders>
            <w:vAlign w:val="center"/>
          </w:tcPr>
          <w:p w14:paraId="50B2C14F">
            <w:pPr>
              <w:jc w:val="center"/>
            </w:pPr>
            <w:r>
              <w:t>724.00000</w:t>
            </w:r>
          </w:p>
        </w:tc>
        <w:tc>
          <w:tcPr>
            <w:tcW w:w="658" w:type="pct"/>
            <w:tcBorders>
              <w:tl2br w:val="nil"/>
              <w:tr2bl w:val="nil"/>
            </w:tcBorders>
            <w:vAlign w:val="center"/>
          </w:tcPr>
          <w:p w14:paraId="30E73AEF">
            <w:pPr>
              <w:jc w:val="center"/>
            </w:pPr>
            <w:r>
              <w:t>1480.00000</w:t>
            </w:r>
          </w:p>
        </w:tc>
      </w:tr>
      <w:tr w14:paraId="0EC6503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79BAA92A">
            <w:pPr>
              <w:jc w:val="center"/>
            </w:pPr>
            <w:r>
              <w:t>140</w:t>
            </w:r>
          </w:p>
        </w:tc>
        <w:tc>
          <w:tcPr>
            <w:tcW w:w="652" w:type="pct"/>
            <w:tcBorders>
              <w:tl2br w:val="nil"/>
              <w:tr2bl w:val="nil"/>
            </w:tcBorders>
            <w:vAlign w:val="center"/>
          </w:tcPr>
          <w:p w14:paraId="397403A0">
            <w:pPr>
              <w:jc w:val="center"/>
            </w:pPr>
            <w:r>
              <w:t>0.00000</w:t>
            </w:r>
          </w:p>
        </w:tc>
        <w:tc>
          <w:tcPr>
            <w:tcW w:w="653" w:type="pct"/>
            <w:tcBorders>
              <w:tl2br w:val="nil"/>
              <w:tr2bl w:val="nil"/>
            </w:tcBorders>
            <w:vAlign w:val="center"/>
          </w:tcPr>
          <w:p w14:paraId="30A5A3D8">
            <w:pPr>
              <w:jc w:val="center"/>
            </w:pPr>
            <w:r>
              <w:t>0.00000</w:t>
            </w:r>
          </w:p>
        </w:tc>
        <w:tc>
          <w:tcPr>
            <w:tcW w:w="653" w:type="pct"/>
            <w:tcBorders>
              <w:tl2br w:val="nil"/>
              <w:tr2bl w:val="nil"/>
            </w:tcBorders>
            <w:vAlign w:val="center"/>
          </w:tcPr>
          <w:p w14:paraId="30065FD9">
            <w:pPr>
              <w:jc w:val="center"/>
            </w:pPr>
            <w:r>
              <w:t>0.00000</w:t>
            </w:r>
          </w:p>
        </w:tc>
        <w:tc>
          <w:tcPr>
            <w:tcW w:w="653" w:type="pct"/>
            <w:tcBorders>
              <w:tl2br w:val="nil"/>
              <w:tr2bl w:val="nil"/>
            </w:tcBorders>
            <w:vAlign w:val="center"/>
          </w:tcPr>
          <w:p w14:paraId="3F62437D">
            <w:pPr>
              <w:jc w:val="center"/>
            </w:pPr>
            <w:r>
              <w:t>0.04280</w:t>
            </w:r>
          </w:p>
        </w:tc>
        <w:tc>
          <w:tcPr>
            <w:tcW w:w="653" w:type="pct"/>
            <w:tcBorders>
              <w:tl2br w:val="nil"/>
              <w:tr2bl w:val="nil"/>
            </w:tcBorders>
            <w:vAlign w:val="center"/>
          </w:tcPr>
          <w:p w14:paraId="7B016BE3">
            <w:pPr>
              <w:jc w:val="center"/>
            </w:pPr>
            <w:r>
              <w:t>63.30000</w:t>
            </w:r>
          </w:p>
        </w:tc>
        <w:tc>
          <w:tcPr>
            <w:tcW w:w="653" w:type="pct"/>
            <w:tcBorders>
              <w:tl2br w:val="nil"/>
              <w:tr2bl w:val="nil"/>
            </w:tcBorders>
            <w:vAlign w:val="center"/>
          </w:tcPr>
          <w:p w14:paraId="3906D9AC">
            <w:pPr>
              <w:jc w:val="center"/>
            </w:pPr>
            <w:r>
              <w:t>531.00000</w:t>
            </w:r>
          </w:p>
        </w:tc>
        <w:tc>
          <w:tcPr>
            <w:tcW w:w="658" w:type="pct"/>
            <w:tcBorders>
              <w:tl2br w:val="nil"/>
              <w:tr2bl w:val="nil"/>
            </w:tcBorders>
            <w:vAlign w:val="center"/>
          </w:tcPr>
          <w:p w14:paraId="6ED1A1A2">
            <w:pPr>
              <w:jc w:val="center"/>
            </w:pPr>
            <w:r>
              <w:t>1260.00000</w:t>
            </w:r>
          </w:p>
        </w:tc>
      </w:tr>
      <w:tr w14:paraId="7049D87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5063AFFA">
            <w:pPr>
              <w:jc w:val="center"/>
            </w:pPr>
            <w:r>
              <w:t>150</w:t>
            </w:r>
          </w:p>
        </w:tc>
        <w:tc>
          <w:tcPr>
            <w:tcW w:w="652" w:type="pct"/>
            <w:tcBorders>
              <w:tl2br w:val="nil"/>
              <w:tr2bl w:val="nil"/>
            </w:tcBorders>
            <w:vAlign w:val="center"/>
          </w:tcPr>
          <w:p w14:paraId="7870453F">
            <w:pPr>
              <w:jc w:val="center"/>
            </w:pPr>
            <w:r>
              <w:t>0.00000</w:t>
            </w:r>
          </w:p>
        </w:tc>
        <w:tc>
          <w:tcPr>
            <w:tcW w:w="653" w:type="pct"/>
            <w:tcBorders>
              <w:tl2br w:val="nil"/>
              <w:tr2bl w:val="nil"/>
            </w:tcBorders>
            <w:vAlign w:val="center"/>
          </w:tcPr>
          <w:p w14:paraId="2F4F784F">
            <w:pPr>
              <w:jc w:val="center"/>
            </w:pPr>
            <w:r>
              <w:t>0.00000</w:t>
            </w:r>
          </w:p>
        </w:tc>
        <w:tc>
          <w:tcPr>
            <w:tcW w:w="653" w:type="pct"/>
            <w:tcBorders>
              <w:tl2br w:val="nil"/>
              <w:tr2bl w:val="nil"/>
            </w:tcBorders>
            <w:vAlign w:val="center"/>
          </w:tcPr>
          <w:p w14:paraId="70736DD3">
            <w:pPr>
              <w:jc w:val="center"/>
            </w:pPr>
            <w:r>
              <w:t>0.00000</w:t>
            </w:r>
          </w:p>
        </w:tc>
        <w:tc>
          <w:tcPr>
            <w:tcW w:w="653" w:type="pct"/>
            <w:tcBorders>
              <w:tl2br w:val="nil"/>
              <w:tr2bl w:val="nil"/>
            </w:tcBorders>
            <w:vAlign w:val="center"/>
          </w:tcPr>
          <w:p w14:paraId="3C02A990">
            <w:pPr>
              <w:jc w:val="center"/>
            </w:pPr>
            <w:r>
              <w:t>0.00703</w:t>
            </w:r>
          </w:p>
        </w:tc>
        <w:tc>
          <w:tcPr>
            <w:tcW w:w="653" w:type="pct"/>
            <w:tcBorders>
              <w:tl2br w:val="nil"/>
              <w:tr2bl w:val="nil"/>
            </w:tcBorders>
            <w:vAlign w:val="center"/>
          </w:tcPr>
          <w:p w14:paraId="2AAB80FB">
            <w:pPr>
              <w:jc w:val="center"/>
            </w:pPr>
            <w:r>
              <w:t>31.00000</w:t>
            </w:r>
          </w:p>
        </w:tc>
        <w:tc>
          <w:tcPr>
            <w:tcW w:w="653" w:type="pct"/>
            <w:tcBorders>
              <w:tl2br w:val="nil"/>
              <w:tr2bl w:val="nil"/>
            </w:tcBorders>
            <w:vAlign w:val="center"/>
          </w:tcPr>
          <w:p w14:paraId="1076CA3E">
            <w:pPr>
              <w:jc w:val="center"/>
            </w:pPr>
            <w:r>
              <w:t>373.00000</w:t>
            </w:r>
          </w:p>
        </w:tc>
        <w:tc>
          <w:tcPr>
            <w:tcW w:w="658" w:type="pct"/>
            <w:tcBorders>
              <w:tl2br w:val="nil"/>
              <w:tr2bl w:val="nil"/>
            </w:tcBorders>
            <w:vAlign w:val="center"/>
          </w:tcPr>
          <w:p w14:paraId="76A56C99">
            <w:pPr>
              <w:jc w:val="center"/>
            </w:pPr>
            <w:r>
              <w:t>1050.00000</w:t>
            </w:r>
          </w:p>
        </w:tc>
      </w:tr>
      <w:tr w14:paraId="21C4E0C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42788216">
            <w:pPr>
              <w:jc w:val="center"/>
            </w:pPr>
            <w:r>
              <w:t>160</w:t>
            </w:r>
          </w:p>
        </w:tc>
        <w:tc>
          <w:tcPr>
            <w:tcW w:w="652" w:type="pct"/>
            <w:tcBorders>
              <w:tl2br w:val="nil"/>
              <w:tr2bl w:val="nil"/>
            </w:tcBorders>
            <w:vAlign w:val="center"/>
          </w:tcPr>
          <w:p w14:paraId="141C249A">
            <w:pPr>
              <w:jc w:val="center"/>
            </w:pPr>
            <w:r>
              <w:t>0.00000</w:t>
            </w:r>
          </w:p>
        </w:tc>
        <w:tc>
          <w:tcPr>
            <w:tcW w:w="653" w:type="pct"/>
            <w:tcBorders>
              <w:tl2br w:val="nil"/>
              <w:tr2bl w:val="nil"/>
            </w:tcBorders>
            <w:vAlign w:val="center"/>
          </w:tcPr>
          <w:p w14:paraId="35A45444">
            <w:pPr>
              <w:jc w:val="center"/>
            </w:pPr>
            <w:r>
              <w:t>0.00000</w:t>
            </w:r>
          </w:p>
        </w:tc>
        <w:tc>
          <w:tcPr>
            <w:tcW w:w="653" w:type="pct"/>
            <w:tcBorders>
              <w:tl2br w:val="nil"/>
              <w:tr2bl w:val="nil"/>
            </w:tcBorders>
            <w:vAlign w:val="center"/>
          </w:tcPr>
          <w:p w14:paraId="3E1A3DFE">
            <w:pPr>
              <w:jc w:val="center"/>
            </w:pPr>
            <w:r>
              <w:t>0.00000</w:t>
            </w:r>
          </w:p>
        </w:tc>
        <w:tc>
          <w:tcPr>
            <w:tcW w:w="653" w:type="pct"/>
            <w:tcBorders>
              <w:tl2br w:val="nil"/>
              <w:tr2bl w:val="nil"/>
            </w:tcBorders>
            <w:vAlign w:val="center"/>
          </w:tcPr>
          <w:p w14:paraId="1733276D">
            <w:pPr>
              <w:jc w:val="center"/>
            </w:pPr>
            <w:r>
              <w:t>0.00096</w:t>
            </w:r>
          </w:p>
        </w:tc>
        <w:tc>
          <w:tcPr>
            <w:tcW w:w="653" w:type="pct"/>
            <w:tcBorders>
              <w:tl2br w:val="nil"/>
              <w:tr2bl w:val="nil"/>
            </w:tcBorders>
            <w:vAlign w:val="center"/>
          </w:tcPr>
          <w:p w14:paraId="027E767A">
            <w:pPr>
              <w:jc w:val="center"/>
            </w:pPr>
            <w:r>
              <w:t>14.10000</w:t>
            </w:r>
          </w:p>
        </w:tc>
        <w:tc>
          <w:tcPr>
            <w:tcW w:w="653" w:type="pct"/>
            <w:tcBorders>
              <w:tl2br w:val="nil"/>
              <w:tr2bl w:val="nil"/>
            </w:tcBorders>
            <w:vAlign w:val="center"/>
          </w:tcPr>
          <w:p w14:paraId="703986A8">
            <w:pPr>
              <w:jc w:val="center"/>
            </w:pPr>
            <w:r>
              <w:t>251.00000</w:t>
            </w:r>
          </w:p>
        </w:tc>
        <w:tc>
          <w:tcPr>
            <w:tcW w:w="658" w:type="pct"/>
            <w:tcBorders>
              <w:tl2br w:val="nil"/>
              <w:tr2bl w:val="nil"/>
            </w:tcBorders>
            <w:vAlign w:val="center"/>
          </w:tcPr>
          <w:p w14:paraId="4FB1510C">
            <w:pPr>
              <w:jc w:val="center"/>
            </w:pPr>
            <w:r>
              <w:t>843.00000</w:t>
            </w:r>
          </w:p>
        </w:tc>
      </w:tr>
      <w:tr w14:paraId="0DD621C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5EEE8399">
            <w:pPr>
              <w:jc w:val="center"/>
            </w:pPr>
            <w:r>
              <w:t>170</w:t>
            </w:r>
          </w:p>
        </w:tc>
        <w:tc>
          <w:tcPr>
            <w:tcW w:w="652" w:type="pct"/>
            <w:tcBorders>
              <w:tl2br w:val="nil"/>
              <w:tr2bl w:val="nil"/>
            </w:tcBorders>
            <w:vAlign w:val="center"/>
          </w:tcPr>
          <w:p w14:paraId="1383266F">
            <w:pPr>
              <w:jc w:val="center"/>
            </w:pPr>
            <w:r>
              <w:t>0.00000</w:t>
            </w:r>
          </w:p>
        </w:tc>
        <w:tc>
          <w:tcPr>
            <w:tcW w:w="653" w:type="pct"/>
            <w:tcBorders>
              <w:tl2br w:val="nil"/>
              <w:tr2bl w:val="nil"/>
            </w:tcBorders>
            <w:vAlign w:val="center"/>
          </w:tcPr>
          <w:p w14:paraId="34E0CC03">
            <w:pPr>
              <w:jc w:val="center"/>
            </w:pPr>
            <w:r>
              <w:t>0.00000</w:t>
            </w:r>
          </w:p>
        </w:tc>
        <w:tc>
          <w:tcPr>
            <w:tcW w:w="653" w:type="pct"/>
            <w:tcBorders>
              <w:tl2br w:val="nil"/>
              <w:tr2bl w:val="nil"/>
            </w:tcBorders>
            <w:vAlign w:val="center"/>
          </w:tcPr>
          <w:p w14:paraId="5B66F224">
            <w:pPr>
              <w:jc w:val="center"/>
            </w:pPr>
            <w:r>
              <w:t>0.00000</w:t>
            </w:r>
          </w:p>
        </w:tc>
        <w:tc>
          <w:tcPr>
            <w:tcW w:w="653" w:type="pct"/>
            <w:tcBorders>
              <w:tl2br w:val="nil"/>
              <w:tr2bl w:val="nil"/>
            </w:tcBorders>
            <w:vAlign w:val="center"/>
          </w:tcPr>
          <w:p w14:paraId="6F5389C9">
            <w:pPr>
              <w:jc w:val="center"/>
            </w:pPr>
            <w:r>
              <w:t>0.00011</w:t>
            </w:r>
          </w:p>
        </w:tc>
        <w:tc>
          <w:tcPr>
            <w:tcW w:w="653" w:type="pct"/>
            <w:tcBorders>
              <w:tl2br w:val="nil"/>
              <w:tr2bl w:val="nil"/>
            </w:tcBorders>
            <w:vAlign w:val="center"/>
          </w:tcPr>
          <w:p w14:paraId="4F475C08">
            <w:pPr>
              <w:jc w:val="center"/>
            </w:pPr>
            <w:r>
              <w:t>5.99000</w:t>
            </w:r>
          </w:p>
        </w:tc>
        <w:tc>
          <w:tcPr>
            <w:tcW w:w="653" w:type="pct"/>
            <w:tcBorders>
              <w:tl2br w:val="nil"/>
              <w:tr2bl w:val="nil"/>
            </w:tcBorders>
            <w:vAlign w:val="center"/>
          </w:tcPr>
          <w:p w14:paraId="7CC14F6E">
            <w:pPr>
              <w:jc w:val="center"/>
            </w:pPr>
            <w:r>
              <w:t>161.00000</w:t>
            </w:r>
          </w:p>
        </w:tc>
        <w:tc>
          <w:tcPr>
            <w:tcW w:w="658" w:type="pct"/>
            <w:tcBorders>
              <w:tl2br w:val="nil"/>
              <w:tr2bl w:val="nil"/>
            </w:tcBorders>
            <w:vAlign w:val="center"/>
          </w:tcPr>
          <w:p w14:paraId="12CAE7A7">
            <w:pPr>
              <w:jc w:val="center"/>
            </w:pPr>
            <w:r>
              <w:t>660.00000</w:t>
            </w:r>
          </w:p>
        </w:tc>
      </w:tr>
      <w:tr w14:paraId="5848CF5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261F497C">
            <w:pPr>
              <w:jc w:val="center"/>
            </w:pPr>
            <w:r>
              <w:t>180</w:t>
            </w:r>
          </w:p>
        </w:tc>
        <w:tc>
          <w:tcPr>
            <w:tcW w:w="652" w:type="pct"/>
            <w:tcBorders>
              <w:tl2br w:val="nil"/>
              <w:tr2bl w:val="nil"/>
            </w:tcBorders>
            <w:vAlign w:val="center"/>
          </w:tcPr>
          <w:p w14:paraId="7637BAB8">
            <w:pPr>
              <w:jc w:val="center"/>
            </w:pPr>
            <w:r>
              <w:t>0.00000</w:t>
            </w:r>
          </w:p>
        </w:tc>
        <w:tc>
          <w:tcPr>
            <w:tcW w:w="653" w:type="pct"/>
            <w:tcBorders>
              <w:tl2br w:val="nil"/>
              <w:tr2bl w:val="nil"/>
            </w:tcBorders>
            <w:vAlign w:val="center"/>
          </w:tcPr>
          <w:p w14:paraId="2E8604D9">
            <w:pPr>
              <w:jc w:val="center"/>
            </w:pPr>
            <w:r>
              <w:t>0.00000</w:t>
            </w:r>
          </w:p>
        </w:tc>
        <w:tc>
          <w:tcPr>
            <w:tcW w:w="653" w:type="pct"/>
            <w:tcBorders>
              <w:tl2br w:val="nil"/>
              <w:tr2bl w:val="nil"/>
            </w:tcBorders>
            <w:vAlign w:val="center"/>
          </w:tcPr>
          <w:p w14:paraId="373C91D8">
            <w:pPr>
              <w:jc w:val="center"/>
            </w:pPr>
            <w:r>
              <w:t>0.00000</w:t>
            </w:r>
          </w:p>
        </w:tc>
        <w:tc>
          <w:tcPr>
            <w:tcW w:w="653" w:type="pct"/>
            <w:tcBorders>
              <w:tl2br w:val="nil"/>
              <w:tr2bl w:val="nil"/>
            </w:tcBorders>
            <w:vAlign w:val="center"/>
          </w:tcPr>
          <w:p w14:paraId="20FDFE49">
            <w:pPr>
              <w:jc w:val="center"/>
            </w:pPr>
            <w:r>
              <w:t>0.00002</w:t>
            </w:r>
          </w:p>
        </w:tc>
        <w:tc>
          <w:tcPr>
            <w:tcW w:w="653" w:type="pct"/>
            <w:tcBorders>
              <w:tl2br w:val="nil"/>
              <w:tr2bl w:val="nil"/>
            </w:tcBorders>
            <w:vAlign w:val="center"/>
          </w:tcPr>
          <w:p w14:paraId="0FEAA939">
            <w:pPr>
              <w:jc w:val="center"/>
            </w:pPr>
            <w:r>
              <w:t>2.36000</w:t>
            </w:r>
          </w:p>
        </w:tc>
        <w:tc>
          <w:tcPr>
            <w:tcW w:w="653" w:type="pct"/>
            <w:tcBorders>
              <w:tl2br w:val="nil"/>
              <w:tr2bl w:val="nil"/>
            </w:tcBorders>
            <w:vAlign w:val="center"/>
          </w:tcPr>
          <w:p w14:paraId="6657A51B">
            <w:pPr>
              <w:jc w:val="center"/>
            </w:pPr>
            <w:r>
              <w:t>99.00000</w:t>
            </w:r>
          </w:p>
        </w:tc>
        <w:tc>
          <w:tcPr>
            <w:tcW w:w="658" w:type="pct"/>
            <w:tcBorders>
              <w:tl2br w:val="nil"/>
              <w:tr2bl w:val="nil"/>
            </w:tcBorders>
            <w:vAlign w:val="center"/>
          </w:tcPr>
          <w:p w14:paraId="76F9D386">
            <w:pPr>
              <w:jc w:val="center"/>
            </w:pPr>
            <w:r>
              <w:t>501.00000</w:t>
            </w:r>
          </w:p>
        </w:tc>
      </w:tr>
      <w:tr w14:paraId="11261DC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63AEBECF">
            <w:pPr>
              <w:jc w:val="center"/>
            </w:pPr>
            <w:r>
              <w:t>190</w:t>
            </w:r>
          </w:p>
        </w:tc>
        <w:tc>
          <w:tcPr>
            <w:tcW w:w="652" w:type="pct"/>
            <w:tcBorders>
              <w:tl2br w:val="nil"/>
              <w:tr2bl w:val="nil"/>
            </w:tcBorders>
            <w:vAlign w:val="center"/>
          </w:tcPr>
          <w:p w14:paraId="64C32A2B">
            <w:pPr>
              <w:jc w:val="center"/>
            </w:pPr>
            <w:r>
              <w:t>0.00000</w:t>
            </w:r>
          </w:p>
        </w:tc>
        <w:tc>
          <w:tcPr>
            <w:tcW w:w="653" w:type="pct"/>
            <w:tcBorders>
              <w:tl2br w:val="nil"/>
              <w:tr2bl w:val="nil"/>
            </w:tcBorders>
            <w:vAlign w:val="center"/>
          </w:tcPr>
          <w:p w14:paraId="338CC190">
            <w:pPr>
              <w:jc w:val="center"/>
            </w:pPr>
            <w:r>
              <w:t>0.00000</w:t>
            </w:r>
          </w:p>
        </w:tc>
        <w:tc>
          <w:tcPr>
            <w:tcW w:w="653" w:type="pct"/>
            <w:tcBorders>
              <w:tl2br w:val="nil"/>
              <w:tr2bl w:val="nil"/>
            </w:tcBorders>
            <w:vAlign w:val="center"/>
          </w:tcPr>
          <w:p w14:paraId="6B669647">
            <w:pPr>
              <w:jc w:val="center"/>
            </w:pPr>
            <w:r>
              <w:t>0.00000</w:t>
            </w:r>
          </w:p>
        </w:tc>
        <w:tc>
          <w:tcPr>
            <w:tcW w:w="653" w:type="pct"/>
            <w:tcBorders>
              <w:tl2br w:val="nil"/>
              <w:tr2bl w:val="nil"/>
            </w:tcBorders>
            <w:vAlign w:val="center"/>
          </w:tcPr>
          <w:p w14:paraId="34362ACA">
            <w:pPr>
              <w:jc w:val="center"/>
            </w:pPr>
            <w:r>
              <w:t>0.00000</w:t>
            </w:r>
          </w:p>
        </w:tc>
        <w:tc>
          <w:tcPr>
            <w:tcW w:w="653" w:type="pct"/>
            <w:tcBorders>
              <w:tl2br w:val="nil"/>
              <w:tr2bl w:val="nil"/>
            </w:tcBorders>
            <w:vAlign w:val="center"/>
          </w:tcPr>
          <w:p w14:paraId="6BC7DACB">
            <w:pPr>
              <w:jc w:val="center"/>
            </w:pPr>
            <w:r>
              <w:t>0.88600</w:t>
            </w:r>
          </w:p>
        </w:tc>
        <w:tc>
          <w:tcPr>
            <w:tcW w:w="653" w:type="pct"/>
            <w:tcBorders>
              <w:tl2br w:val="nil"/>
              <w:tr2bl w:val="nil"/>
            </w:tcBorders>
            <w:vAlign w:val="center"/>
          </w:tcPr>
          <w:p w14:paraId="5118CB54">
            <w:pPr>
              <w:jc w:val="center"/>
            </w:pPr>
            <w:r>
              <w:t>58.00000</w:t>
            </w:r>
          </w:p>
        </w:tc>
        <w:tc>
          <w:tcPr>
            <w:tcW w:w="658" w:type="pct"/>
            <w:tcBorders>
              <w:tl2br w:val="nil"/>
              <w:tr2bl w:val="nil"/>
            </w:tcBorders>
            <w:vAlign w:val="center"/>
          </w:tcPr>
          <w:p w14:paraId="6F1DB0A6">
            <w:pPr>
              <w:jc w:val="center"/>
            </w:pPr>
            <w:r>
              <w:t>369.00000</w:t>
            </w:r>
          </w:p>
        </w:tc>
      </w:tr>
      <w:tr w14:paraId="344B9E7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53C962A2">
            <w:pPr>
              <w:jc w:val="center"/>
            </w:pPr>
            <w:r>
              <w:t>200</w:t>
            </w:r>
          </w:p>
        </w:tc>
        <w:tc>
          <w:tcPr>
            <w:tcW w:w="652" w:type="pct"/>
            <w:tcBorders>
              <w:tl2br w:val="nil"/>
              <w:tr2bl w:val="nil"/>
            </w:tcBorders>
            <w:vAlign w:val="center"/>
          </w:tcPr>
          <w:p w14:paraId="02EB24E8">
            <w:pPr>
              <w:jc w:val="center"/>
            </w:pPr>
            <w:r>
              <w:t>0.00000</w:t>
            </w:r>
          </w:p>
        </w:tc>
        <w:tc>
          <w:tcPr>
            <w:tcW w:w="653" w:type="pct"/>
            <w:tcBorders>
              <w:tl2br w:val="nil"/>
              <w:tr2bl w:val="nil"/>
            </w:tcBorders>
            <w:vAlign w:val="center"/>
          </w:tcPr>
          <w:p w14:paraId="68DD45F3">
            <w:pPr>
              <w:jc w:val="center"/>
            </w:pPr>
            <w:r>
              <w:t>0.00000</w:t>
            </w:r>
          </w:p>
        </w:tc>
        <w:tc>
          <w:tcPr>
            <w:tcW w:w="653" w:type="pct"/>
            <w:tcBorders>
              <w:tl2br w:val="nil"/>
              <w:tr2bl w:val="nil"/>
            </w:tcBorders>
            <w:vAlign w:val="center"/>
          </w:tcPr>
          <w:p w14:paraId="1E2228BC">
            <w:pPr>
              <w:jc w:val="center"/>
            </w:pPr>
            <w:r>
              <w:t>0.00000</w:t>
            </w:r>
          </w:p>
        </w:tc>
        <w:tc>
          <w:tcPr>
            <w:tcW w:w="653" w:type="pct"/>
            <w:tcBorders>
              <w:tl2br w:val="nil"/>
              <w:tr2bl w:val="nil"/>
            </w:tcBorders>
            <w:vAlign w:val="center"/>
          </w:tcPr>
          <w:p w14:paraId="17236D68">
            <w:pPr>
              <w:jc w:val="center"/>
            </w:pPr>
            <w:r>
              <w:t>0.00000</w:t>
            </w:r>
          </w:p>
        </w:tc>
        <w:tc>
          <w:tcPr>
            <w:tcW w:w="653" w:type="pct"/>
            <w:tcBorders>
              <w:tl2br w:val="nil"/>
              <w:tr2bl w:val="nil"/>
            </w:tcBorders>
            <w:vAlign w:val="center"/>
          </w:tcPr>
          <w:p w14:paraId="44AD99EA">
            <w:pPr>
              <w:jc w:val="center"/>
            </w:pPr>
            <w:r>
              <w:t>0.30000</w:t>
            </w:r>
          </w:p>
        </w:tc>
        <w:tc>
          <w:tcPr>
            <w:tcW w:w="653" w:type="pct"/>
            <w:tcBorders>
              <w:tl2br w:val="nil"/>
              <w:tr2bl w:val="nil"/>
            </w:tcBorders>
            <w:vAlign w:val="center"/>
          </w:tcPr>
          <w:p w14:paraId="79C2AB39">
            <w:pPr>
              <w:jc w:val="center"/>
            </w:pPr>
            <w:r>
              <w:t>32.40000</w:t>
            </w:r>
          </w:p>
        </w:tc>
        <w:tc>
          <w:tcPr>
            <w:tcW w:w="658" w:type="pct"/>
            <w:tcBorders>
              <w:tl2br w:val="nil"/>
              <w:tr2bl w:val="nil"/>
            </w:tcBorders>
            <w:vAlign w:val="center"/>
          </w:tcPr>
          <w:p w14:paraId="48774308">
            <w:pPr>
              <w:jc w:val="center"/>
            </w:pPr>
            <w:r>
              <w:t>262.00000</w:t>
            </w:r>
          </w:p>
        </w:tc>
      </w:tr>
      <w:tr w14:paraId="23ECF5E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5D2B5D90">
            <w:pPr>
              <w:jc w:val="center"/>
            </w:pPr>
            <w:r>
              <w:t>210</w:t>
            </w:r>
          </w:p>
        </w:tc>
        <w:tc>
          <w:tcPr>
            <w:tcW w:w="652" w:type="pct"/>
            <w:tcBorders>
              <w:tl2br w:val="nil"/>
              <w:tr2bl w:val="nil"/>
            </w:tcBorders>
            <w:vAlign w:val="center"/>
          </w:tcPr>
          <w:p w14:paraId="0EA8152A">
            <w:pPr>
              <w:jc w:val="center"/>
            </w:pPr>
            <w:r>
              <w:t>0.00000</w:t>
            </w:r>
          </w:p>
        </w:tc>
        <w:tc>
          <w:tcPr>
            <w:tcW w:w="653" w:type="pct"/>
            <w:tcBorders>
              <w:tl2br w:val="nil"/>
              <w:tr2bl w:val="nil"/>
            </w:tcBorders>
            <w:vAlign w:val="center"/>
          </w:tcPr>
          <w:p w14:paraId="5FB42783">
            <w:pPr>
              <w:jc w:val="center"/>
            </w:pPr>
            <w:r>
              <w:t>0.00000</w:t>
            </w:r>
          </w:p>
        </w:tc>
        <w:tc>
          <w:tcPr>
            <w:tcW w:w="653" w:type="pct"/>
            <w:tcBorders>
              <w:tl2br w:val="nil"/>
              <w:tr2bl w:val="nil"/>
            </w:tcBorders>
            <w:vAlign w:val="center"/>
          </w:tcPr>
          <w:p w14:paraId="1BDC93B0">
            <w:pPr>
              <w:jc w:val="center"/>
            </w:pPr>
            <w:r>
              <w:t>0.00000</w:t>
            </w:r>
          </w:p>
        </w:tc>
        <w:tc>
          <w:tcPr>
            <w:tcW w:w="653" w:type="pct"/>
            <w:tcBorders>
              <w:tl2br w:val="nil"/>
              <w:tr2bl w:val="nil"/>
            </w:tcBorders>
            <w:vAlign w:val="center"/>
          </w:tcPr>
          <w:p w14:paraId="1A4F31DD">
            <w:pPr>
              <w:jc w:val="center"/>
            </w:pPr>
            <w:r>
              <w:t>0.00000</w:t>
            </w:r>
          </w:p>
        </w:tc>
        <w:tc>
          <w:tcPr>
            <w:tcW w:w="653" w:type="pct"/>
            <w:tcBorders>
              <w:tl2br w:val="nil"/>
              <w:tr2bl w:val="nil"/>
            </w:tcBorders>
            <w:vAlign w:val="center"/>
          </w:tcPr>
          <w:p w14:paraId="68BBFCBE">
            <w:pPr>
              <w:jc w:val="center"/>
            </w:pPr>
            <w:r>
              <w:t>0.09440</w:t>
            </w:r>
          </w:p>
        </w:tc>
        <w:tc>
          <w:tcPr>
            <w:tcW w:w="653" w:type="pct"/>
            <w:tcBorders>
              <w:tl2br w:val="nil"/>
              <w:tr2bl w:val="nil"/>
            </w:tcBorders>
            <w:vAlign w:val="center"/>
          </w:tcPr>
          <w:p w14:paraId="41616B37">
            <w:pPr>
              <w:jc w:val="center"/>
            </w:pPr>
            <w:r>
              <w:t>17.30000</w:t>
            </w:r>
          </w:p>
        </w:tc>
        <w:tc>
          <w:tcPr>
            <w:tcW w:w="658" w:type="pct"/>
            <w:tcBorders>
              <w:tl2br w:val="nil"/>
              <w:tr2bl w:val="nil"/>
            </w:tcBorders>
            <w:vAlign w:val="center"/>
          </w:tcPr>
          <w:p w14:paraId="6FB4E2F3">
            <w:pPr>
              <w:jc w:val="center"/>
            </w:pPr>
            <w:r>
              <w:t>180.00000</w:t>
            </w:r>
          </w:p>
        </w:tc>
      </w:tr>
      <w:tr w14:paraId="52F2B97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12A85CF6">
            <w:pPr>
              <w:jc w:val="center"/>
            </w:pPr>
            <w:r>
              <w:t>220</w:t>
            </w:r>
          </w:p>
        </w:tc>
        <w:tc>
          <w:tcPr>
            <w:tcW w:w="652" w:type="pct"/>
            <w:tcBorders>
              <w:tl2br w:val="nil"/>
              <w:tr2bl w:val="nil"/>
            </w:tcBorders>
            <w:vAlign w:val="center"/>
          </w:tcPr>
          <w:p w14:paraId="7347DBFD">
            <w:pPr>
              <w:jc w:val="center"/>
            </w:pPr>
            <w:r>
              <w:t>0.00000</w:t>
            </w:r>
          </w:p>
        </w:tc>
        <w:tc>
          <w:tcPr>
            <w:tcW w:w="653" w:type="pct"/>
            <w:tcBorders>
              <w:tl2br w:val="nil"/>
              <w:tr2bl w:val="nil"/>
            </w:tcBorders>
            <w:vAlign w:val="center"/>
          </w:tcPr>
          <w:p w14:paraId="6B9D68A6">
            <w:pPr>
              <w:jc w:val="center"/>
            </w:pPr>
            <w:r>
              <w:t>0.00000</w:t>
            </w:r>
          </w:p>
        </w:tc>
        <w:tc>
          <w:tcPr>
            <w:tcW w:w="653" w:type="pct"/>
            <w:tcBorders>
              <w:tl2br w:val="nil"/>
              <w:tr2bl w:val="nil"/>
            </w:tcBorders>
            <w:vAlign w:val="center"/>
          </w:tcPr>
          <w:p w14:paraId="4B31B21D">
            <w:pPr>
              <w:jc w:val="center"/>
            </w:pPr>
            <w:r>
              <w:t>0.00000</w:t>
            </w:r>
          </w:p>
        </w:tc>
        <w:tc>
          <w:tcPr>
            <w:tcW w:w="653" w:type="pct"/>
            <w:tcBorders>
              <w:tl2br w:val="nil"/>
              <w:tr2bl w:val="nil"/>
            </w:tcBorders>
            <w:vAlign w:val="center"/>
          </w:tcPr>
          <w:p w14:paraId="2ECA5327">
            <w:pPr>
              <w:jc w:val="center"/>
            </w:pPr>
            <w:r>
              <w:t>0.00000</w:t>
            </w:r>
          </w:p>
        </w:tc>
        <w:tc>
          <w:tcPr>
            <w:tcW w:w="653" w:type="pct"/>
            <w:tcBorders>
              <w:tl2br w:val="nil"/>
              <w:tr2bl w:val="nil"/>
            </w:tcBorders>
            <w:vAlign w:val="center"/>
          </w:tcPr>
          <w:p w14:paraId="50246EF7">
            <w:pPr>
              <w:jc w:val="center"/>
            </w:pPr>
            <w:r>
              <w:t>0.02770</w:t>
            </w:r>
          </w:p>
        </w:tc>
        <w:tc>
          <w:tcPr>
            <w:tcW w:w="653" w:type="pct"/>
            <w:tcBorders>
              <w:tl2br w:val="nil"/>
              <w:tr2bl w:val="nil"/>
            </w:tcBorders>
            <w:vAlign w:val="center"/>
          </w:tcPr>
          <w:p w14:paraId="11576C10">
            <w:pPr>
              <w:jc w:val="center"/>
            </w:pPr>
            <w:r>
              <w:t>8.98000</w:t>
            </w:r>
          </w:p>
        </w:tc>
        <w:tc>
          <w:tcPr>
            <w:tcW w:w="658" w:type="pct"/>
            <w:tcBorders>
              <w:tl2br w:val="nil"/>
              <w:tr2bl w:val="nil"/>
            </w:tcBorders>
            <w:vAlign w:val="center"/>
          </w:tcPr>
          <w:p w14:paraId="2B622084">
            <w:pPr>
              <w:jc w:val="center"/>
            </w:pPr>
            <w:r>
              <w:t>120.00000</w:t>
            </w:r>
          </w:p>
        </w:tc>
      </w:tr>
      <w:tr w14:paraId="0F1CB4F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22" w:type="pct"/>
            <w:tcBorders>
              <w:tl2br w:val="nil"/>
              <w:tr2bl w:val="nil"/>
            </w:tcBorders>
            <w:vAlign w:val="center"/>
          </w:tcPr>
          <w:p w14:paraId="1EECAD72">
            <w:pPr>
              <w:jc w:val="center"/>
            </w:pPr>
            <w:r>
              <w:t>230</w:t>
            </w:r>
          </w:p>
        </w:tc>
        <w:tc>
          <w:tcPr>
            <w:tcW w:w="652" w:type="pct"/>
            <w:tcBorders>
              <w:tl2br w:val="nil"/>
              <w:tr2bl w:val="nil"/>
            </w:tcBorders>
            <w:vAlign w:val="center"/>
          </w:tcPr>
          <w:p w14:paraId="3B841413">
            <w:pPr>
              <w:jc w:val="center"/>
            </w:pPr>
            <w:r>
              <w:t>0.00000</w:t>
            </w:r>
          </w:p>
        </w:tc>
        <w:tc>
          <w:tcPr>
            <w:tcW w:w="653" w:type="pct"/>
            <w:tcBorders>
              <w:tl2br w:val="nil"/>
              <w:tr2bl w:val="nil"/>
            </w:tcBorders>
            <w:vAlign w:val="center"/>
          </w:tcPr>
          <w:p w14:paraId="445DF088">
            <w:pPr>
              <w:jc w:val="center"/>
            </w:pPr>
            <w:r>
              <w:t>0.00000</w:t>
            </w:r>
          </w:p>
        </w:tc>
        <w:tc>
          <w:tcPr>
            <w:tcW w:w="653" w:type="pct"/>
            <w:tcBorders>
              <w:tl2br w:val="nil"/>
              <w:tr2bl w:val="nil"/>
            </w:tcBorders>
            <w:vAlign w:val="center"/>
          </w:tcPr>
          <w:p w14:paraId="1144E680">
            <w:pPr>
              <w:jc w:val="center"/>
            </w:pPr>
            <w:r>
              <w:t>0.00000</w:t>
            </w:r>
          </w:p>
        </w:tc>
        <w:tc>
          <w:tcPr>
            <w:tcW w:w="653" w:type="pct"/>
            <w:tcBorders>
              <w:tl2br w:val="nil"/>
              <w:tr2bl w:val="nil"/>
            </w:tcBorders>
            <w:vAlign w:val="center"/>
          </w:tcPr>
          <w:p w14:paraId="68D87484">
            <w:pPr>
              <w:jc w:val="center"/>
            </w:pPr>
            <w:r>
              <w:t>0.00000</w:t>
            </w:r>
          </w:p>
        </w:tc>
        <w:tc>
          <w:tcPr>
            <w:tcW w:w="653" w:type="pct"/>
            <w:tcBorders>
              <w:tl2br w:val="nil"/>
              <w:tr2bl w:val="nil"/>
            </w:tcBorders>
            <w:vAlign w:val="center"/>
          </w:tcPr>
          <w:p w14:paraId="1523FC38">
            <w:pPr>
              <w:jc w:val="center"/>
            </w:pPr>
            <w:r>
              <w:t>0.00746</w:t>
            </w:r>
          </w:p>
        </w:tc>
        <w:tc>
          <w:tcPr>
            <w:tcW w:w="653" w:type="pct"/>
            <w:tcBorders>
              <w:tl2br w:val="nil"/>
              <w:tr2bl w:val="nil"/>
            </w:tcBorders>
            <w:vAlign w:val="center"/>
          </w:tcPr>
          <w:p w14:paraId="7F39426F">
            <w:pPr>
              <w:jc w:val="center"/>
            </w:pPr>
            <w:r>
              <w:t>4.34000</w:t>
            </w:r>
          </w:p>
        </w:tc>
        <w:tc>
          <w:tcPr>
            <w:tcW w:w="658" w:type="pct"/>
            <w:tcBorders>
              <w:tl2br w:val="nil"/>
              <w:tr2bl w:val="nil"/>
            </w:tcBorders>
            <w:vAlign w:val="center"/>
          </w:tcPr>
          <w:p w14:paraId="186930A8">
            <w:pPr>
              <w:jc w:val="center"/>
            </w:pPr>
            <w:r>
              <w:t>78.60000</w:t>
            </w:r>
          </w:p>
        </w:tc>
      </w:tr>
      <w:tr w14:paraId="276C6D1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465ED392">
            <w:pPr>
              <w:jc w:val="center"/>
            </w:pPr>
            <w:r>
              <w:t>240</w:t>
            </w:r>
          </w:p>
        </w:tc>
        <w:tc>
          <w:tcPr>
            <w:tcW w:w="652" w:type="pct"/>
            <w:tcBorders>
              <w:tl2br w:val="nil"/>
              <w:tr2bl w:val="nil"/>
            </w:tcBorders>
            <w:vAlign w:val="center"/>
          </w:tcPr>
          <w:p w14:paraId="28E7F39D">
            <w:pPr>
              <w:jc w:val="center"/>
            </w:pPr>
            <w:r>
              <w:t>0.00000</w:t>
            </w:r>
          </w:p>
        </w:tc>
        <w:tc>
          <w:tcPr>
            <w:tcW w:w="653" w:type="pct"/>
            <w:tcBorders>
              <w:tl2br w:val="nil"/>
              <w:tr2bl w:val="nil"/>
            </w:tcBorders>
            <w:vAlign w:val="center"/>
          </w:tcPr>
          <w:p w14:paraId="3C7FD87D">
            <w:pPr>
              <w:jc w:val="center"/>
            </w:pPr>
            <w:r>
              <w:t>0.00000</w:t>
            </w:r>
          </w:p>
        </w:tc>
        <w:tc>
          <w:tcPr>
            <w:tcW w:w="653" w:type="pct"/>
            <w:tcBorders>
              <w:tl2br w:val="nil"/>
              <w:tr2bl w:val="nil"/>
            </w:tcBorders>
            <w:vAlign w:val="center"/>
          </w:tcPr>
          <w:p w14:paraId="0036CDFD">
            <w:pPr>
              <w:jc w:val="center"/>
            </w:pPr>
            <w:r>
              <w:t>0.00000</w:t>
            </w:r>
          </w:p>
        </w:tc>
        <w:tc>
          <w:tcPr>
            <w:tcW w:w="653" w:type="pct"/>
            <w:tcBorders>
              <w:tl2br w:val="nil"/>
              <w:tr2bl w:val="nil"/>
            </w:tcBorders>
            <w:vAlign w:val="center"/>
          </w:tcPr>
          <w:p w14:paraId="67747DD7">
            <w:pPr>
              <w:jc w:val="center"/>
            </w:pPr>
            <w:r>
              <w:t>0.00000</w:t>
            </w:r>
          </w:p>
        </w:tc>
        <w:tc>
          <w:tcPr>
            <w:tcW w:w="653" w:type="pct"/>
            <w:tcBorders>
              <w:tl2br w:val="nil"/>
              <w:tr2bl w:val="nil"/>
            </w:tcBorders>
            <w:vAlign w:val="center"/>
          </w:tcPr>
          <w:p w14:paraId="4F36CF02">
            <w:pPr>
              <w:jc w:val="center"/>
            </w:pPr>
            <w:r>
              <w:t>0.00115</w:t>
            </w:r>
          </w:p>
        </w:tc>
        <w:tc>
          <w:tcPr>
            <w:tcW w:w="653" w:type="pct"/>
            <w:tcBorders>
              <w:tl2br w:val="nil"/>
              <w:tr2bl w:val="nil"/>
            </w:tcBorders>
            <w:vAlign w:val="center"/>
          </w:tcPr>
          <w:p w14:paraId="227DF4C7">
            <w:pPr>
              <w:jc w:val="center"/>
            </w:pPr>
            <w:r>
              <w:t>2.00000</w:t>
            </w:r>
          </w:p>
        </w:tc>
        <w:tc>
          <w:tcPr>
            <w:tcW w:w="658" w:type="pct"/>
            <w:tcBorders>
              <w:tl2br w:val="nil"/>
              <w:tr2bl w:val="nil"/>
            </w:tcBorders>
            <w:vAlign w:val="center"/>
          </w:tcPr>
          <w:p w14:paraId="3E7E7204">
            <w:pPr>
              <w:jc w:val="center"/>
            </w:pPr>
            <w:r>
              <w:t>48.70000</w:t>
            </w:r>
          </w:p>
        </w:tc>
      </w:tr>
      <w:tr w14:paraId="1A5BD74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6C7A38DE">
            <w:pPr>
              <w:jc w:val="center"/>
            </w:pPr>
            <w:r>
              <w:t>250</w:t>
            </w:r>
          </w:p>
        </w:tc>
        <w:tc>
          <w:tcPr>
            <w:tcW w:w="652" w:type="pct"/>
            <w:tcBorders>
              <w:tl2br w:val="nil"/>
              <w:tr2bl w:val="nil"/>
            </w:tcBorders>
            <w:vAlign w:val="center"/>
          </w:tcPr>
          <w:p w14:paraId="027FB509">
            <w:pPr>
              <w:jc w:val="center"/>
            </w:pPr>
            <w:r>
              <w:t>0.00000</w:t>
            </w:r>
          </w:p>
        </w:tc>
        <w:tc>
          <w:tcPr>
            <w:tcW w:w="653" w:type="pct"/>
            <w:tcBorders>
              <w:tl2br w:val="nil"/>
              <w:tr2bl w:val="nil"/>
            </w:tcBorders>
            <w:vAlign w:val="center"/>
          </w:tcPr>
          <w:p w14:paraId="14A220A6">
            <w:pPr>
              <w:jc w:val="center"/>
            </w:pPr>
            <w:r>
              <w:t>0.00000</w:t>
            </w:r>
          </w:p>
        </w:tc>
        <w:tc>
          <w:tcPr>
            <w:tcW w:w="653" w:type="pct"/>
            <w:tcBorders>
              <w:tl2br w:val="nil"/>
              <w:tr2bl w:val="nil"/>
            </w:tcBorders>
            <w:vAlign w:val="center"/>
          </w:tcPr>
          <w:p w14:paraId="4083C04F">
            <w:pPr>
              <w:jc w:val="center"/>
            </w:pPr>
            <w:r>
              <w:t>0.00000</w:t>
            </w:r>
          </w:p>
        </w:tc>
        <w:tc>
          <w:tcPr>
            <w:tcW w:w="653" w:type="pct"/>
            <w:tcBorders>
              <w:tl2br w:val="nil"/>
              <w:tr2bl w:val="nil"/>
            </w:tcBorders>
            <w:vAlign w:val="center"/>
          </w:tcPr>
          <w:p w14:paraId="28835E1D">
            <w:pPr>
              <w:jc w:val="center"/>
            </w:pPr>
            <w:r>
              <w:t>0.00000</w:t>
            </w:r>
          </w:p>
        </w:tc>
        <w:tc>
          <w:tcPr>
            <w:tcW w:w="653" w:type="pct"/>
            <w:tcBorders>
              <w:tl2br w:val="nil"/>
              <w:tr2bl w:val="nil"/>
            </w:tcBorders>
            <w:vAlign w:val="center"/>
          </w:tcPr>
          <w:p w14:paraId="6AAB5B9D">
            <w:pPr>
              <w:jc w:val="center"/>
            </w:pPr>
            <w:r>
              <w:t>0.00027</w:t>
            </w:r>
          </w:p>
        </w:tc>
        <w:tc>
          <w:tcPr>
            <w:tcW w:w="653" w:type="pct"/>
            <w:tcBorders>
              <w:tl2br w:val="nil"/>
              <w:tr2bl w:val="nil"/>
            </w:tcBorders>
            <w:vAlign w:val="center"/>
          </w:tcPr>
          <w:p w14:paraId="77CFAA64">
            <w:pPr>
              <w:jc w:val="center"/>
            </w:pPr>
            <w:r>
              <w:t>0.87700</w:t>
            </w:r>
          </w:p>
        </w:tc>
        <w:tc>
          <w:tcPr>
            <w:tcW w:w="658" w:type="pct"/>
            <w:tcBorders>
              <w:tl2br w:val="nil"/>
              <w:tr2bl w:val="nil"/>
            </w:tcBorders>
            <w:vAlign w:val="center"/>
          </w:tcPr>
          <w:p w14:paraId="651DBAE8">
            <w:pPr>
              <w:jc w:val="center"/>
            </w:pPr>
            <w:r>
              <w:t>29.10000</w:t>
            </w:r>
          </w:p>
        </w:tc>
      </w:tr>
      <w:tr w14:paraId="7D2B095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635C0975">
            <w:pPr>
              <w:jc w:val="center"/>
            </w:pPr>
            <w:r>
              <w:t>260</w:t>
            </w:r>
          </w:p>
        </w:tc>
        <w:tc>
          <w:tcPr>
            <w:tcW w:w="652" w:type="pct"/>
            <w:tcBorders>
              <w:tl2br w:val="nil"/>
              <w:tr2bl w:val="nil"/>
            </w:tcBorders>
            <w:vAlign w:val="center"/>
          </w:tcPr>
          <w:p w14:paraId="39C062DA">
            <w:pPr>
              <w:jc w:val="center"/>
            </w:pPr>
            <w:r>
              <w:t>0.00000</w:t>
            </w:r>
          </w:p>
        </w:tc>
        <w:tc>
          <w:tcPr>
            <w:tcW w:w="653" w:type="pct"/>
            <w:tcBorders>
              <w:tl2br w:val="nil"/>
              <w:tr2bl w:val="nil"/>
            </w:tcBorders>
            <w:vAlign w:val="center"/>
          </w:tcPr>
          <w:p w14:paraId="7CF68F0F">
            <w:pPr>
              <w:jc w:val="center"/>
            </w:pPr>
            <w:r>
              <w:t>0.00000</w:t>
            </w:r>
          </w:p>
        </w:tc>
        <w:tc>
          <w:tcPr>
            <w:tcW w:w="653" w:type="pct"/>
            <w:tcBorders>
              <w:tl2br w:val="nil"/>
              <w:tr2bl w:val="nil"/>
            </w:tcBorders>
            <w:vAlign w:val="center"/>
          </w:tcPr>
          <w:p w14:paraId="428EB729">
            <w:pPr>
              <w:jc w:val="center"/>
            </w:pPr>
            <w:r>
              <w:t>0.00000</w:t>
            </w:r>
          </w:p>
        </w:tc>
        <w:tc>
          <w:tcPr>
            <w:tcW w:w="653" w:type="pct"/>
            <w:tcBorders>
              <w:tl2br w:val="nil"/>
              <w:tr2bl w:val="nil"/>
            </w:tcBorders>
            <w:vAlign w:val="center"/>
          </w:tcPr>
          <w:p w14:paraId="76F0E1E8">
            <w:pPr>
              <w:jc w:val="center"/>
            </w:pPr>
            <w:r>
              <w:t>0.00000</w:t>
            </w:r>
          </w:p>
        </w:tc>
        <w:tc>
          <w:tcPr>
            <w:tcW w:w="653" w:type="pct"/>
            <w:tcBorders>
              <w:tl2br w:val="nil"/>
              <w:tr2bl w:val="nil"/>
            </w:tcBorders>
            <w:vAlign w:val="center"/>
          </w:tcPr>
          <w:p w14:paraId="4946D82C">
            <w:pPr>
              <w:jc w:val="center"/>
            </w:pPr>
            <w:r>
              <w:t>0.00006</w:t>
            </w:r>
          </w:p>
        </w:tc>
        <w:tc>
          <w:tcPr>
            <w:tcW w:w="653" w:type="pct"/>
            <w:tcBorders>
              <w:tl2br w:val="nil"/>
              <w:tr2bl w:val="nil"/>
            </w:tcBorders>
            <w:vAlign w:val="center"/>
          </w:tcPr>
          <w:p w14:paraId="2B5774B5">
            <w:pPr>
              <w:jc w:val="center"/>
            </w:pPr>
            <w:r>
              <w:t>0.35500</w:t>
            </w:r>
          </w:p>
        </w:tc>
        <w:tc>
          <w:tcPr>
            <w:tcW w:w="658" w:type="pct"/>
            <w:tcBorders>
              <w:tl2br w:val="nil"/>
              <w:tr2bl w:val="nil"/>
            </w:tcBorders>
            <w:vAlign w:val="center"/>
          </w:tcPr>
          <w:p w14:paraId="22155A67">
            <w:pPr>
              <w:jc w:val="center"/>
            </w:pPr>
            <w:r>
              <w:t>16.80000</w:t>
            </w:r>
          </w:p>
        </w:tc>
      </w:tr>
      <w:tr w14:paraId="533D6BC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41A894A6">
            <w:pPr>
              <w:jc w:val="center"/>
            </w:pPr>
            <w:r>
              <w:t>270</w:t>
            </w:r>
          </w:p>
        </w:tc>
        <w:tc>
          <w:tcPr>
            <w:tcW w:w="652" w:type="pct"/>
            <w:tcBorders>
              <w:tl2br w:val="nil"/>
              <w:tr2bl w:val="nil"/>
            </w:tcBorders>
            <w:vAlign w:val="center"/>
          </w:tcPr>
          <w:p w14:paraId="04304172">
            <w:pPr>
              <w:jc w:val="center"/>
            </w:pPr>
            <w:r>
              <w:t>0.00000</w:t>
            </w:r>
          </w:p>
        </w:tc>
        <w:tc>
          <w:tcPr>
            <w:tcW w:w="653" w:type="pct"/>
            <w:tcBorders>
              <w:tl2br w:val="nil"/>
              <w:tr2bl w:val="nil"/>
            </w:tcBorders>
            <w:vAlign w:val="center"/>
          </w:tcPr>
          <w:p w14:paraId="5BBDF415">
            <w:pPr>
              <w:jc w:val="center"/>
            </w:pPr>
            <w:r>
              <w:t>0.00000</w:t>
            </w:r>
          </w:p>
        </w:tc>
        <w:tc>
          <w:tcPr>
            <w:tcW w:w="653" w:type="pct"/>
            <w:tcBorders>
              <w:tl2br w:val="nil"/>
              <w:tr2bl w:val="nil"/>
            </w:tcBorders>
            <w:vAlign w:val="center"/>
          </w:tcPr>
          <w:p w14:paraId="66AD2E63">
            <w:pPr>
              <w:jc w:val="center"/>
            </w:pPr>
            <w:r>
              <w:t>0.00000</w:t>
            </w:r>
          </w:p>
        </w:tc>
        <w:tc>
          <w:tcPr>
            <w:tcW w:w="653" w:type="pct"/>
            <w:tcBorders>
              <w:tl2br w:val="nil"/>
              <w:tr2bl w:val="nil"/>
            </w:tcBorders>
            <w:vAlign w:val="center"/>
          </w:tcPr>
          <w:p w14:paraId="5EAFBE74">
            <w:pPr>
              <w:jc w:val="center"/>
            </w:pPr>
            <w:r>
              <w:t>0.00000</w:t>
            </w:r>
          </w:p>
        </w:tc>
        <w:tc>
          <w:tcPr>
            <w:tcW w:w="653" w:type="pct"/>
            <w:tcBorders>
              <w:tl2br w:val="nil"/>
              <w:tr2bl w:val="nil"/>
            </w:tcBorders>
            <w:vAlign w:val="center"/>
          </w:tcPr>
          <w:p w14:paraId="5E585B78">
            <w:pPr>
              <w:jc w:val="center"/>
            </w:pPr>
            <w:r>
              <w:t>0.00001</w:t>
            </w:r>
          </w:p>
        </w:tc>
        <w:tc>
          <w:tcPr>
            <w:tcW w:w="653" w:type="pct"/>
            <w:tcBorders>
              <w:tl2br w:val="nil"/>
              <w:tr2bl w:val="nil"/>
            </w:tcBorders>
            <w:vAlign w:val="center"/>
          </w:tcPr>
          <w:p w14:paraId="4CC0A02F">
            <w:pPr>
              <w:jc w:val="center"/>
            </w:pPr>
            <w:r>
              <w:t>0.17200</w:t>
            </w:r>
          </w:p>
        </w:tc>
        <w:tc>
          <w:tcPr>
            <w:tcW w:w="658" w:type="pct"/>
            <w:tcBorders>
              <w:tl2br w:val="nil"/>
              <w:tr2bl w:val="nil"/>
            </w:tcBorders>
            <w:vAlign w:val="center"/>
          </w:tcPr>
          <w:p w14:paraId="07E75799">
            <w:pPr>
              <w:jc w:val="center"/>
            </w:pPr>
            <w:r>
              <w:t>9.34000</w:t>
            </w:r>
          </w:p>
        </w:tc>
      </w:tr>
      <w:tr w14:paraId="043D4F6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41F68566">
            <w:pPr>
              <w:jc w:val="center"/>
            </w:pPr>
            <w:r>
              <w:t>280</w:t>
            </w:r>
          </w:p>
        </w:tc>
        <w:tc>
          <w:tcPr>
            <w:tcW w:w="652" w:type="pct"/>
            <w:tcBorders>
              <w:tl2br w:val="nil"/>
              <w:tr2bl w:val="nil"/>
            </w:tcBorders>
            <w:vAlign w:val="center"/>
          </w:tcPr>
          <w:p w14:paraId="5DF42501">
            <w:pPr>
              <w:jc w:val="center"/>
            </w:pPr>
            <w:r>
              <w:t>0.00000</w:t>
            </w:r>
          </w:p>
        </w:tc>
        <w:tc>
          <w:tcPr>
            <w:tcW w:w="653" w:type="pct"/>
            <w:tcBorders>
              <w:tl2br w:val="nil"/>
              <w:tr2bl w:val="nil"/>
            </w:tcBorders>
            <w:vAlign w:val="center"/>
          </w:tcPr>
          <w:p w14:paraId="3E8E9DB8">
            <w:pPr>
              <w:jc w:val="center"/>
            </w:pPr>
            <w:r>
              <w:t>0.00000</w:t>
            </w:r>
          </w:p>
        </w:tc>
        <w:tc>
          <w:tcPr>
            <w:tcW w:w="653" w:type="pct"/>
            <w:tcBorders>
              <w:tl2br w:val="nil"/>
              <w:tr2bl w:val="nil"/>
            </w:tcBorders>
            <w:vAlign w:val="center"/>
          </w:tcPr>
          <w:p w14:paraId="04055617">
            <w:pPr>
              <w:jc w:val="center"/>
            </w:pPr>
            <w:r>
              <w:t>0.00000</w:t>
            </w:r>
          </w:p>
        </w:tc>
        <w:tc>
          <w:tcPr>
            <w:tcW w:w="653" w:type="pct"/>
            <w:tcBorders>
              <w:tl2br w:val="nil"/>
              <w:tr2bl w:val="nil"/>
            </w:tcBorders>
            <w:vAlign w:val="center"/>
          </w:tcPr>
          <w:p w14:paraId="1BC65D51">
            <w:pPr>
              <w:jc w:val="center"/>
            </w:pPr>
            <w:r>
              <w:t>0.00000</w:t>
            </w:r>
          </w:p>
        </w:tc>
        <w:tc>
          <w:tcPr>
            <w:tcW w:w="653" w:type="pct"/>
            <w:tcBorders>
              <w:tl2br w:val="nil"/>
              <w:tr2bl w:val="nil"/>
            </w:tcBorders>
            <w:vAlign w:val="center"/>
          </w:tcPr>
          <w:p w14:paraId="3EECD55F">
            <w:pPr>
              <w:jc w:val="center"/>
            </w:pPr>
            <w:r>
              <w:t>0.00000</w:t>
            </w:r>
          </w:p>
        </w:tc>
        <w:tc>
          <w:tcPr>
            <w:tcW w:w="653" w:type="pct"/>
            <w:tcBorders>
              <w:tl2br w:val="nil"/>
              <w:tr2bl w:val="nil"/>
            </w:tcBorders>
            <w:vAlign w:val="center"/>
          </w:tcPr>
          <w:p w14:paraId="0E954E68">
            <w:pPr>
              <w:jc w:val="center"/>
            </w:pPr>
            <w:r>
              <w:t>0.03540</w:t>
            </w:r>
          </w:p>
        </w:tc>
        <w:tc>
          <w:tcPr>
            <w:tcW w:w="658" w:type="pct"/>
            <w:tcBorders>
              <w:tl2br w:val="nil"/>
              <w:tr2bl w:val="nil"/>
            </w:tcBorders>
            <w:vAlign w:val="center"/>
          </w:tcPr>
          <w:p w14:paraId="10224BBF">
            <w:pPr>
              <w:jc w:val="center"/>
            </w:pPr>
            <w:r>
              <w:t>5.00000</w:t>
            </w:r>
          </w:p>
        </w:tc>
      </w:tr>
      <w:tr w14:paraId="16166E3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18C0F4E5">
            <w:pPr>
              <w:jc w:val="center"/>
            </w:pPr>
            <w:r>
              <w:t>290</w:t>
            </w:r>
          </w:p>
        </w:tc>
        <w:tc>
          <w:tcPr>
            <w:tcW w:w="652" w:type="pct"/>
            <w:tcBorders>
              <w:tl2br w:val="nil"/>
              <w:tr2bl w:val="nil"/>
            </w:tcBorders>
            <w:vAlign w:val="center"/>
          </w:tcPr>
          <w:p w14:paraId="6AEF6D79">
            <w:pPr>
              <w:jc w:val="center"/>
            </w:pPr>
            <w:r>
              <w:t>0.00000</w:t>
            </w:r>
          </w:p>
        </w:tc>
        <w:tc>
          <w:tcPr>
            <w:tcW w:w="653" w:type="pct"/>
            <w:tcBorders>
              <w:tl2br w:val="nil"/>
              <w:tr2bl w:val="nil"/>
            </w:tcBorders>
            <w:vAlign w:val="center"/>
          </w:tcPr>
          <w:p w14:paraId="691724C2">
            <w:pPr>
              <w:jc w:val="center"/>
            </w:pPr>
            <w:r>
              <w:t>0.00000</w:t>
            </w:r>
          </w:p>
        </w:tc>
        <w:tc>
          <w:tcPr>
            <w:tcW w:w="653" w:type="pct"/>
            <w:tcBorders>
              <w:tl2br w:val="nil"/>
              <w:tr2bl w:val="nil"/>
            </w:tcBorders>
            <w:vAlign w:val="center"/>
          </w:tcPr>
          <w:p w14:paraId="288A5BFC">
            <w:pPr>
              <w:jc w:val="center"/>
            </w:pPr>
            <w:r>
              <w:t>0.00000</w:t>
            </w:r>
          </w:p>
        </w:tc>
        <w:tc>
          <w:tcPr>
            <w:tcW w:w="653" w:type="pct"/>
            <w:tcBorders>
              <w:tl2br w:val="nil"/>
              <w:tr2bl w:val="nil"/>
            </w:tcBorders>
            <w:vAlign w:val="center"/>
          </w:tcPr>
          <w:p w14:paraId="6EB4E72B">
            <w:pPr>
              <w:jc w:val="center"/>
            </w:pPr>
            <w:r>
              <w:t>0.00000</w:t>
            </w:r>
          </w:p>
        </w:tc>
        <w:tc>
          <w:tcPr>
            <w:tcW w:w="653" w:type="pct"/>
            <w:tcBorders>
              <w:tl2br w:val="nil"/>
              <w:tr2bl w:val="nil"/>
            </w:tcBorders>
            <w:vAlign w:val="center"/>
          </w:tcPr>
          <w:p w14:paraId="301F93B3">
            <w:pPr>
              <w:jc w:val="center"/>
            </w:pPr>
            <w:r>
              <w:t>0.00000</w:t>
            </w:r>
          </w:p>
        </w:tc>
        <w:tc>
          <w:tcPr>
            <w:tcW w:w="653" w:type="pct"/>
            <w:tcBorders>
              <w:tl2br w:val="nil"/>
              <w:tr2bl w:val="nil"/>
            </w:tcBorders>
            <w:vAlign w:val="center"/>
          </w:tcPr>
          <w:p w14:paraId="2A710A4C">
            <w:pPr>
              <w:jc w:val="center"/>
            </w:pPr>
            <w:r>
              <w:t>0.01260</w:t>
            </w:r>
          </w:p>
        </w:tc>
        <w:tc>
          <w:tcPr>
            <w:tcW w:w="658" w:type="pct"/>
            <w:tcBorders>
              <w:tl2br w:val="nil"/>
              <w:tr2bl w:val="nil"/>
            </w:tcBorders>
            <w:vAlign w:val="center"/>
          </w:tcPr>
          <w:p w14:paraId="227244A0">
            <w:pPr>
              <w:jc w:val="center"/>
            </w:pPr>
            <w:r>
              <w:t>2.38000</w:t>
            </w:r>
          </w:p>
        </w:tc>
      </w:tr>
      <w:tr w14:paraId="5C4BB90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59EB9821">
            <w:pPr>
              <w:jc w:val="center"/>
            </w:pPr>
            <w:r>
              <w:t>300</w:t>
            </w:r>
          </w:p>
        </w:tc>
        <w:tc>
          <w:tcPr>
            <w:tcW w:w="652" w:type="pct"/>
            <w:tcBorders>
              <w:tl2br w:val="nil"/>
              <w:tr2bl w:val="nil"/>
            </w:tcBorders>
            <w:vAlign w:val="center"/>
          </w:tcPr>
          <w:p w14:paraId="54E8D927">
            <w:pPr>
              <w:jc w:val="center"/>
            </w:pPr>
            <w:r>
              <w:t>0.00000</w:t>
            </w:r>
          </w:p>
        </w:tc>
        <w:tc>
          <w:tcPr>
            <w:tcW w:w="653" w:type="pct"/>
            <w:tcBorders>
              <w:tl2br w:val="nil"/>
              <w:tr2bl w:val="nil"/>
            </w:tcBorders>
            <w:vAlign w:val="center"/>
          </w:tcPr>
          <w:p w14:paraId="6C4B23ED">
            <w:pPr>
              <w:jc w:val="center"/>
            </w:pPr>
            <w:r>
              <w:t>0.00000</w:t>
            </w:r>
          </w:p>
        </w:tc>
        <w:tc>
          <w:tcPr>
            <w:tcW w:w="653" w:type="pct"/>
            <w:tcBorders>
              <w:tl2br w:val="nil"/>
              <w:tr2bl w:val="nil"/>
            </w:tcBorders>
            <w:vAlign w:val="center"/>
          </w:tcPr>
          <w:p w14:paraId="6A6B3337">
            <w:pPr>
              <w:jc w:val="center"/>
            </w:pPr>
            <w:r>
              <w:t>0.00000</w:t>
            </w:r>
          </w:p>
        </w:tc>
        <w:tc>
          <w:tcPr>
            <w:tcW w:w="653" w:type="pct"/>
            <w:tcBorders>
              <w:tl2br w:val="nil"/>
              <w:tr2bl w:val="nil"/>
            </w:tcBorders>
            <w:vAlign w:val="center"/>
          </w:tcPr>
          <w:p w14:paraId="72E4BF56">
            <w:pPr>
              <w:jc w:val="center"/>
            </w:pPr>
            <w:r>
              <w:t>0.00000</w:t>
            </w:r>
          </w:p>
        </w:tc>
        <w:tc>
          <w:tcPr>
            <w:tcW w:w="653" w:type="pct"/>
            <w:tcBorders>
              <w:tl2br w:val="nil"/>
              <w:tr2bl w:val="nil"/>
            </w:tcBorders>
            <w:vAlign w:val="center"/>
          </w:tcPr>
          <w:p w14:paraId="65221C47">
            <w:pPr>
              <w:jc w:val="center"/>
            </w:pPr>
            <w:r>
              <w:t>0.00000</w:t>
            </w:r>
          </w:p>
        </w:tc>
        <w:tc>
          <w:tcPr>
            <w:tcW w:w="653" w:type="pct"/>
            <w:tcBorders>
              <w:tl2br w:val="nil"/>
              <w:tr2bl w:val="nil"/>
            </w:tcBorders>
            <w:vAlign w:val="center"/>
          </w:tcPr>
          <w:p w14:paraId="79691922">
            <w:pPr>
              <w:jc w:val="center"/>
            </w:pPr>
            <w:r>
              <w:t>0.00427</w:t>
            </w:r>
          </w:p>
        </w:tc>
        <w:tc>
          <w:tcPr>
            <w:tcW w:w="658" w:type="pct"/>
            <w:tcBorders>
              <w:tl2br w:val="nil"/>
              <w:tr2bl w:val="nil"/>
            </w:tcBorders>
            <w:vAlign w:val="center"/>
          </w:tcPr>
          <w:p w14:paraId="00F10599">
            <w:pPr>
              <w:jc w:val="center"/>
            </w:pPr>
            <w:r>
              <w:t>0.89100</w:t>
            </w:r>
          </w:p>
        </w:tc>
      </w:tr>
      <w:tr w14:paraId="76DCF66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5D1DEA50">
            <w:pPr>
              <w:jc w:val="center"/>
            </w:pPr>
            <w:r>
              <w:t>310</w:t>
            </w:r>
          </w:p>
        </w:tc>
        <w:tc>
          <w:tcPr>
            <w:tcW w:w="652" w:type="pct"/>
            <w:tcBorders>
              <w:tl2br w:val="nil"/>
              <w:tr2bl w:val="nil"/>
            </w:tcBorders>
            <w:vAlign w:val="center"/>
          </w:tcPr>
          <w:p w14:paraId="3CE91F0D">
            <w:pPr>
              <w:jc w:val="center"/>
            </w:pPr>
            <w:r>
              <w:t>0.00000</w:t>
            </w:r>
          </w:p>
        </w:tc>
        <w:tc>
          <w:tcPr>
            <w:tcW w:w="653" w:type="pct"/>
            <w:tcBorders>
              <w:tl2br w:val="nil"/>
              <w:tr2bl w:val="nil"/>
            </w:tcBorders>
            <w:vAlign w:val="center"/>
          </w:tcPr>
          <w:p w14:paraId="4927F600">
            <w:pPr>
              <w:jc w:val="center"/>
            </w:pPr>
            <w:r>
              <w:t>0.00000</w:t>
            </w:r>
          </w:p>
        </w:tc>
        <w:tc>
          <w:tcPr>
            <w:tcW w:w="653" w:type="pct"/>
            <w:tcBorders>
              <w:tl2br w:val="nil"/>
              <w:tr2bl w:val="nil"/>
            </w:tcBorders>
            <w:vAlign w:val="center"/>
          </w:tcPr>
          <w:p w14:paraId="76C89FE5">
            <w:pPr>
              <w:jc w:val="center"/>
            </w:pPr>
            <w:r>
              <w:t>0.00000</w:t>
            </w:r>
          </w:p>
        </w:tc>
        <w:tc>
          <w:tcPr>
            <w:tcW w:w="653" w:type="pct"/>
            <w:tcBorders>
              <w:tl2br w:val="nil"/>
              <w:tr2bl w:val="nil"/>
            </w:tcBorders>
            <w:vAlign w:val="center"/>
          </w:tcPr>
          <w:p w14:paraId="422F512B">
            <w:pPr>
              <w:jc w:val="center"/>
            </w:pPr>
            <w:r>
              <w:t>0.00000</w:t>
            </w:r>
          </w:p>
        </w:tc>
        <w:tc>
          <w:tcPr>
            <w:tcW w:w="653" w:type="pct"/>
            <w:tcBorders>
              <w:tl2br w:val="nil"/>
              <w:tr2bl w:val="nil"/>
            </w:tcBorders>
            <w:vAlign w:val="center"/>
          </w:tcPr>
          <w:p w14:paraId="1767EF42">
            <w:pPr>
              <w:jc w:val="center"/>
            </w:pPr>
            <w:r>
              <w:t>0.00000</w:t>
            </w:r>
          </w:p>
        </w:tc>
        <w:tc>
          <w:tcPr>
            <w:tcW w:w="653" w:type="pct"/>
            <w:tcBorders>
              <w:tl2br w:val="nil"/>
              <w:tr2bl w:val="nil"/>
            </w:tcBorders>
            <w:vAlign w:val="center"/>
          </w:tcPr>
          <w:p w14:paraId="0F6C2191">
            <w:pPr>
              <w:jc w:val="center"/>
            </w:pPr>
            <w:r>
              <w:t>0.00138</w:t>
            </w:r>
          </w:p>
        </w:tc>
        <w:tc>
          <w:tcPr>
            <w:tcW w:w="658" w:type="pct"/>
            <w:tcBorders>
              <w:tl2br w:val="nil"/>
              <w:tr2bl w:val="nil"/>
            </w:tcBorders>
            <w:vAlign w:val="center"/>
          </w:tcPr>
          <w:p w14:paraId="504B778C">
            <w:pPr>
              <w:jc w:val="center"/>
            </w:pPr>
            <w:r>
              <w:t>0.42500</w:t>
            </w:r>
          </w:p>
        </w:tc>
      </w:tr>
      <w:tr w14:paraId="34BAF64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36F08E33">
            <w:pPr>
              <w:jc w:val="center"/>
            </w:pPr>
            <w:r>
              <w:t>320</w:t>
            </w:r>
          </w:p>
        </w:tc>
        <w:tc>
          <w:tcPr>
            <w:tcW w:w="652" w:type="pct"/>
            <w:tcBorders>
              <w:tl2br w:val="nil"/>
              <w:tr2bl w:val="nil"/>
            </w:tcBorders>
            <w:vAlign w:val="center"/>
          </w:tcPr>
          <w:p w14:paraId="4EF748A0">
            <w:pPr>
              <w:jc w:val="center"/>
            </w:pPr>
            <w:r>
              <w:t>0.00000</w:t>
            </w:r>
          </w:p>
        </w:tc>
        <w:tc>
          <w:tcPr>
            <w:tcW w:w="653" w:type="pct"/>
            <w:tcBorders>
              <w:tl2br w:val="nil"/>
              <w:tr2bl w:val="nil"/>
            </w:tcBorders>
            <w:vAlign w:val="center"/>
          </w:tcPr>
          <w:p w14:paraId="6F0C8509">
            <w:pPr>
              <w:jc w:val="center"/>
            </w:pPr>
            <w:r>
              <w:t>0.00000</w:t>
            </w:r>
          </w:p>
        </w:tc>
        <w:tc>
          <w:tcPr>
            <w:tcW w:w="653" w:type="pct"/>
            <w:tcBorders>
              <w:tl2br w:val="nil"/>
              <w:tr2bl w:val="nil"/>
            </w:tcBorders>
            <w:vAlign w:val="center"/>
          </w:tcPr>
          <w:p w14:paraId="656DB21C">
            <w:pPr>
              <w:jc w:val="center"/>
            </w:pPr>
            <w:r>
              <w:t>0.00000</w:t>
            </w:r>
          </w:p>
        </w:tc>
        <w:tc>
          <w:tcPr>
            <w:tcW w:w="653" w:type="pct"/>
            <w:tcBorders>
              <w:tl2br w:val="nil"/>
              <w:tr2bl w:val="nil"/>
            </w:tcBorders>
            <w:vAlign w:val="center"/>
          </w:tcPr>
          <w:p w14:paraId="0D5EC421">
            <w:pPr>
              <w:jc w:val="center"/>
            </w:pPr>
            <w:r>
              <w:t>0.00000</w:t>
            </w:r>
          </w:p>
        </w:tc>
        <w:tc>
          <w:tcPr>
            <w:tcW w:w="653" w:type="pct"/>
            <w:tcBorders>
              <w:tl2br w:val="nil"/>
              <w:tr2bl w:val="nil"/>
            </w:tcBorders>
            <w:vAlign w:val="center"/>
          </w:tcPr>
          <w:p w14:paraId="3A896A65">
            <w:pPr>
              <w:jc w:val="center"/>
            </w:pPr>
            <w:r>
              <w:t>0.00000</w:t>
            </w:r>
          </w:p>
        </w:tc>
        <w:tc>
          <w:tcPr>
            <w:tcW w:w="653" w:type="pct"/>
            <w:tcBorders>
              <w:tl2br w:val="nil"/>
              <w:tr2bl w:val="nil"/>
            </w:tcBorders>
            <w:vAlign w:val="center"/>
          </w:tcPr>
          <w:p w14:paraId="1F1D454F">
            <w:pPr>
              <w:jc w:val="center"/>
            </w:pPr>
            <w:r>
              <w:t>0.00042</w:t>
            </w:r>
          </w:p>
        </w:tc>
        <w:tc>
          <w:tcPr>
            <w:tcW w:w="658" w:type="pct"/>
            <w:tcBorders>
              <w:tl2br w:val="nil"/>
              <w:tr2bl w:val="nil"/>
            </w:tcBorders>
            <w:vAlign w:val="center"/>
          </w:tcPr>
          <w:p w14:paraId="7B73F4DB">
            <w:pPr>
              <w:jc w:val="center"/>
            </w:pPr>
            <w:r>
              <w:t>0.19500</w:t>
            </w:r>
          </w:p>
        </w:tc>
      </w:tr>
      <w:tr w14:paraId="133795D9">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071C88FC">
            <w:pPr>
              <w:jc w:val="center"/>
            </w:pPr>
            <w:r>
              <w:t>330</w:t>
            </w:r>
          </w:p>
        </w:tc>
        <w:tc>
          <w:tcPr>
            <w:tcW w:w="652" w:type="pct"/>
            <w:tcBorders>
              <w:tl2br w:val="nil"/>
              <w:tr2bl w:val="nil"/>
            </w:tcBorders>
            <w:vAlign w:val="center"/>
          </w:tcPr>
          <w:p w14:paraId="367685DA">
            <w:pPr>
              <w:jc w:val="center"/>
            </w:pPr>
            <w:r>
              <w:t>0.00000</w:t>
            </w:r>
          </w:p>
        </w:tc>
        <w:tc>
          <w:tcPr>
            <w:tcW w:w="653" w:type="pct"/>
            <w:tcBorders>
              <w:tl2br w:val="nil"/>
              <w:tr2bl w:val="nil"/>
            </w:tcBorders>
            <w:vAlign w:val="center"/>
          </w:tcPr>
          <w:p w14:paraId="779C2F8C">
            <w:pPr>
              <w:jc w:val="center"/>
            </w:pPr>
            <w:r>
              <w:t>0.00000</w:t>
            </w:r>
          </w:p>
        </w:tc>
        <w:tc>
          <w:tcPr>
            <w:tcW w:w="653" w:type="pct"/>
            <w:tcBorders>
              <w:tl2br w:val="nil"/>
              <w:tr2bl w:val="nil"/>
            </w:tcBorders>
            <w:vAlign w:val="center"/>
          </w:tcPr>
          <w:p w14:paraId="6A286212">
            <w:pPr>
              <w:jc w:val="center"/>
            </w:pPr>
            <w:r>
              <w:t>0.00000</w:t>
            </w:r>
          </w:p>
        </w:tc>
        <w:tc>
          <w:tcPr>
            <w:tcW w:w="653" w:type="pct"/>
            <w:tcBorders>
              <w:tl2br w:val="nil"/>
              <w:tr2bl w:val="nil"/>
            </w:tcBorders>
            <w:vAlign w:val="center"/>
          </w:tcPr>
          <w:p w14:paraId="3847325E">
            <w:pPr>
              <w:jc w:val="center"/>
            </w:pPr>
            <w:r>
              <w:t>0.00000</w:t>
            </w:r>
          </w:p>
        </w:tc>
        <w:tc>
          <w:tcPr>
            <w:tcW w:w="653" w:type="pct"/>
            <w:tcBorders>
              <w:tl2br w:val="nil"/>
              <w:tr2bl w:val="nil"/>
            </w:tcBorders>
            <w:vAlign w:val="center"/>
          </w:tcPr>
          <w:p w14:paraId="7173A6B5">
            <w:pPr>
              <w:jc w:val="center"/>
            </w:pPr>
            <w:r>
              <w:t>0.00000</w:t>
            </w:r>
          </w:p>
        </w:tc>
        <w:tc>
          <w:tcPr>
            <w:tcW w:w="653" w:type="pct"/>
            <w:tcBorders>
              <w:tl2br w:val="nil"/>
              <w:tr2bl w:val="nil"/>
            </w:tcBorders>
            <w:vAlign w:val="center"/>
          </w:tcPr>
          <w:p w14:paraId="58CAE6A2">
            <w:pPr>
              <w:jc w:val="center"/>
            </w:pPr>
            <w:r>
              <w:t>0.00012</w:t>
            </w:r>
          </w:p>
        </w:tc>
        <w:tc>
          <w:tcPr>
            <w:tcW w:w="658" w:type="pct"/>
            <w:tcBorders>
              <w:tl2br w:val="nil"/>
              <w:tr2bl w:val="nil"/>
            </w:tcBorders>
            <w:vAlign w:val="center"/>
          </w:tcPr>
          <w:p w14:paraId="39212114">
            <w:pPr>
              <w:jc w:val="center"/>
            </w:pPr>
            <w:r>
              <w:t>0.08640</w:t>
            </w:r>
          </w:p>
        </w:tc>
      </w:tr>
      <w:tr w14:paraId="31D3CA8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52B58B58">
            <w:pPr>
              <w:jc w:val="center"/>
            </w:pPr>
            <w:r>
              <w:t>340</w:t>
            </w:r>
          </w:p>
        </w:tc>
        <w:tc>
          <w:tcPr>
            <w:tcW w:w="652" w:type="pct"/>
            <w:tcBorders>
              <w:tl2br w:val="nil"/>
              <w:tr2bl w:val="nil"/>
            </w:tcBorders>
            <w:vAlign w:val="center"/>
          </w:tcPr>
          <w:p w14:paraId="190A38F8">
            <w:pPr>
              <w:jc w:val="center"/>
            </w:pPr>
            <w:r>
              <w:t>0.00000</w:t>
            </w:r>
          </w:p>
        </w:tc>
        <w:tc>
          <w:tcPr>
            <w:tcW w:w="653" w:type="pct"/>
            <w:tcBorders>
              <w:tl2br w:val="nil"/>
              <w:tr2bl w:val="nil"/>
            </w:tcBorders>
            <w:vAlign w:val="center"/>
          </w:tcPr>
          <w:p w14:paraId="6FE4B134">
            <w:pPr>
              <w:jc w:val="center"/>
            </w:pPr>
            <w:r>
              <w:t>0.00000</w:t>
            </w:r>
          </w:p>
        </w:tc>
        <w:tc>
          <w:tcPr>
            <w:tcW w:w="653" w:type="pct"/>
            <w:tcBorders>
              <w:tl2br w:val="nil"/>
              <w:tr2bl w:val="nil"/>
            </w:tcBorders>
            <w:vAlign w:val="center"/>
          </w:tcPr>
          <w:p w14:paraId="0CFBEA2F">
            <w:pPr>
              <w:jc w:val="center"/>
            </w:pPr>
            <w:r>
              <w:t>0.00000</w:t>
            </w:r>
          </w:p>
        </w:tc>
        <w:tc>
          <w:tcPr>
            <w:tcW w:w="653" w:type="pct"/>
            <w:tcBorders>
              <w:tl2br w:val="nil"/>
              <w:tr2bl w:val="nil"/>
            </w:tcBorders>
            <w:vAlign w:val="center"/>
          </w:tcPr>
          <w:p w14:paraId="7151980F">
            <w:pPr>
              <w:jc w:val="center"/>
            </w:pPr>
            <w:r>
              <w:t>0.00000</w:t>
            </w:r>
          </w:p>
        </w:tc>
        <w:tc>
          <w:tcPr>
            <w:tcW w:w="653" w:type="pct"/>
            <w:tcBorders>
              <w:tl2br w:val="nil"/>
              <w:tr2bl w:val="nil"/>
            </w:tcBorders>
            <w:vAlign w:val="center"/>
          </w:tcPr>
          <w:p w14:paraId="18BA147F">
            <w:pPr>
              <w:jc w:val="center"/>
            </w:pPr>
            <w:r>
              <w:t>0.00000</w:t>
            </w:r>
          </w:p>
        </w:tc>
        <w:tc>
          <w:tcPr>
            <w:tcW w:w="653" w:type="pct"/>
            <w:tcBorders>
              <w:tl2br w:val="nil"/>
              <w:tr2bl w:val="nil"/>
            </w:tcBorders>
            <w:vAlign w:val="center"/>
          </w:tcPr>
          <w:p w14:paraId="2F4E9CF2">
            <w:pPr>
              <w:jc w:val="center"/>
            </w:pPr>
            <w:r>
              <w:t>0.00003</w:t>
            </w:r>
          </w:p>
        </w:tc>
        <w:tc>
          <w:tcPr>
            <w:tcW w:w="658" w:type="pct"/>
            <w:tcBorders>
              <w:tl2br w:val="nil"/>
              <w:tr2bl w:val="nil"/>
            </w:tcBorders>
            <w:vAlign w:val="center"/>
          </w:tcPr>
          <w:p w14:paraId="092B9FF0">
            <w:pPr>
              <w:jc w:val="center"/>
            </w:pPr>
            <w:r>
              <w:t>0.03680</w:t>
            </w:r>
          </w:p>
        </w:tc>
      </w:tr>
      <w:tr w14:paraId="272985A9">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6D178477">
            <w:pPr>
              <w:jc w:val="center"/>
            </w:pPr>
            <w:r>
              <w:t>350</w:t>
            </w:r>
          </w:p>
        </w:tc>
        <w:tc>
          <w:tcPr>
            <w:tcW w:w="652" w:type="pct"/>
            <w:tcBorders>
              <w:tl2br w:val="nil"/>
              <w:tr2bl w:val="nil"/>
            </w:tcBorders>
            <w:vAlign w:val="center"/>
          </w:tcPr>
          <w:p w14:paraId="7D560811">
            <w:pPr>
              <w:jc w:val="center"/>
            </w:pPr>
            <w:r>
              <w:t>0.00000</w:t>
            </w:r>
          </w:p>
        </w:tc>
        <w:tc>
          <w:tcPr>
            <w:tcW w:w="653" w:type="pct"/>
            <w:tcBorders>
              <w:tl2br w:val="nil"/>
              <w:tr2bl w:val="nil"/>
            </w:tcBorders>
            <w:vAlign w:val="center"/>
          </w:tcPr>
          <w:p w14:paraId="46E9ADF9">
            <w:pPr>
              <w:jc w:val="center"/>
            </w:pPr>
            <w:r>
              <w:t>0.00000</w:t>
            </w:r>
          </w:p>
        </w:tc>
        <w:tc>
          <w:tcPr>
            <w:tcW w:w="653" w:type="pct"/>
            <w:tcBorders>
              <w:tl2br w:val="nil"/>
              <w:tr2bl w:val="nil"/>
            </w:tcBorders>
            <w:vAlign w:val="center"/>
          </w:tcPr>
          <w:p w14:paraId="1F327194">
            <w:pPr>
              <w:jc w:val="center"/>
            </w:pPr>
            <w:r>
              <w:t>0.00000</w:t>
            </w:r>
          </w:p>
        </w:tc>
        <w:tc>
          <w:tcPr>
            <w:tcW w:w="653" w:type="pct"/>
            <w:tcBorders>
              <w:tl2br w:val="nil"/>
              <w:tr2bl w:val="nil"/>
            </w:tcBorders>
            <w:vAlign w:val="center"/>
          </w:tcPr>
          <w:p w14:paraId="78E990D0">
            <w:pPr>
              <w:jc w:val="center"/>
            </w:pPr>
            <w:r>
              <w:t>0.00000</w:t>
            </w:r>
          </w:p>
        </w:tc>
        <w:tc>
          <w:tcPr>
            <w:tcW w:w="653" w:type="pct"/>
            <w:tcBorders>
              <w:tl2br w:val="nil"/>
              <w:tr2bl w:val="nil"/>
            </w:tcBorders>
            <w:vAlign w:val="center"/>
          </w:tcPr>
          <w:p w14:paraId="09518585">
            <w:pPr>
              <w:jc w:val="center"/>
            </w:pPr>
            <w:r>
              <w:t>0.00000</w:t>
            </w:r>
          </w:p>
        </w:tc>
        <w:tc>
          <w:tcPr>
            <w:tcW w:w="653" w:type="pct"/>
            <w:tcBorders>
              <w:tl2br w:val="nil"/>
              <w:tr2bl w:val="nil"/>
            </w:tcBorders>
            <w:vAlign w:val="center"/>
          </w:tcPr>
          <w:p w14:paraId="3D760880">
            <w:pPr>
              <w:jc w:val="center"/>
            </w:pPr>
            <w:r>
              <w:t>0.00001</w:t>
            </w:r>
          </w:p>
        </w:tc>
        <w:tc>
          <w:tcPr>
            <w:tcW w:w="658" w:type="pct"/>
            <w:tcBorders>
              <w:tl2br w:val="nil"/>
              <w:tr2bl w:val="nil"/>
            </w:tcBorders>
            <w:vAlign w:val="center"/>
          </w:tcPr>
          <w:p w14:paraId="0E71E06E">
            <w:pPr>
              <w:jc w:val="center"/>
            </w:pPr>
            <w:r>
              <w:t>0.01510</w:t>
            </w:r>
          </w:p>
        </w:tc>
      </w:tr>
      <w:tr w14:paraId="63E8FF6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78E4FB42">
            <w:pPr>
              <w:jc w:val="center"/>
            </w:pPr>
            <w:r>
              <w:t>360</w:t>
            </w:r>
          </w:p>
        </w:tc>
        <w:tc>
          <w:tcPr>
            <w:tcW w:w="652" w:type="pct"/>
            <w:tcBorders>
              <w:tl2br w:val="nil"/>
              <w:tr2bl w:val="nil"/>
            </w:tcBorders>
            <w:vAlign w:val="center"/>
          </w:tcPr>
          <w:p w14:paraId="3840FF41">
            <w:pPr>
              <w:jc w:val="center"/>
            </w:pPr>
            <w:r>
              <w:t>0.00000</w:t>
            </w:r>
          </w:p>
        </w:tc>
        <w:tc>
          <w:tcPr>
            <w:tcW w:w="653" w:type="pct"/>
            <w:tcBorders>
              <w:tl2br w:val="nil"/>
              <w:tr2bl w:val="nil"/>
            </w:tcBorders>
            <w:vAlign w:val="center"/>
          </w:tcPr>
          <w:p w14:paraId="22A7F9A5">
            <w:pPr>
              <w:jc w:val="center"/>
            </w:pPr>
            <w:r>
              <w:t>0.00000</w:t>
            </w:r>
          </w:p>
        </w:tc>
        <w:tc>
          <w:tcPr>
            <w:tcW w:w="653" w:type="pct"/>
            <w:tcBorders>
              <w:tl2br w:val="nil"/>
              <w:tr2bl w:val="nil"/>
            </w:tcBorders>
            <w:vAlign w:val="center"/>
          </w:tcPr>
          <w:p w14:paraId="131E8A26">
            <w:pPr>
              <w:jc w:val="center"/>
            </w:pPr>
            <w:r>
              <w:t>0.00000</w:t>
            </w:r>
          </w:p>
        </w:tc>
        <w:tc>
          <w:tcPr>
            <w:tcW w:w="653" w:type="pct"/>
            <w:tcBorders>
              <w:tl2br w:val="nil"/>
              <w:tr2bl w:val="nil"/>
            </w:tcBorders>
            <w:vAlign w:val="center"/>
          </w:tcPr>
          <w:p w14:paraId="1591C83B">
            <w:pPr>
              <w:jc w:val="center"/>
            </w:pPr>
            <w:r>
              <w:t>0.00000</w:t>
            </w:r>
          </w:p>
        </w:tc>
        <w:tc>
          <w:tcPr>
            <w:tcW w:w="653" w:type="pct"/>
            <w:tcBorders>
              <w:tl2br w:val="nil"/>
              <w:tr2bl w:val="nil"/>
            </w:tcBorders>
            <w:vAlign w:val="center"/>
          </w:tcPr>
          <w:p w14:paraId="170466D4">
            <w:pPr>
              <w:jc w:val="center"/>
            </w:pPr>
            <w:r>
              <w:t>0.00000</w:t>
            </w:r>
          </w:p>
        </w:tc>
        <w:tc>
          <w:tcPr>
            <w:tcW w:w="653" w:type="pct"/>
            <w:tcBorders>
              <w:tl2br w:val="nil"/>
              <w:tr2bl w:val="nil"/>
            </w:tcBorders>
            <w:vAlign w:val="center"/>
          </w:tcPr>
          <w:p w14:paraId="56D24888">
            <w:pPr>
              <w:jc w:val="center"/>
            </w:pPr>
            <w:r>
              <w:t>0.00000</w:t>
            </w:r>
          </w:p>
        </w:tc>
        <w:tc>
          <w:tcPr>
            <w:tcW w:w="658" w:type="pct"/>
            <w:tcBorders>
              <w:tl2br w:val="nil"/>
              <w:tr2bl w:val="nil"/>
            </w:tcBorders>
            <w:vAlign w:val="center"/>
          </w:tcPr>
          <w:p w14:paraId="7CFEB06F">
            <w:pPr>
              <w:jc w:val="center"/>
            </w:pPr>
            <w:r>
              <w:t>0.00599</w:t>
            </w:r>
          </w:p>
        </w:tc>
      </w:tr>
      <w:tr w14:paraId="12828654">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6776EA39">
            <w:pPr>
              <w:jc w:val="center"/>
            </w:pPr>
            <w:r>
              <w:t>370</w:t>
            </w:r>
          </w:p>
        </w:tc>
        <w:tc>
          <w:tcPr>
            <w:tcW w:w="652" w:type="pct"/>
            <w:tcBorders>
              <w:tl2br w:val="nil"/>
              <w:tr2bl w:val="nil"/>
            </w:tcBorders>
            <w:vAlign w:val="center"/>
          </w:tcPr>
          <w:p w14:paraId="7258F8F6">
            <w:pPr>
              <w:jc w:val="center"/>
            </w:pPr>
            <w:r>
              <w:t>0.00000</w:t>
            </w:r>
          </w:p>
        </w:tc>
        <w:tc>
          <w:tcPr>
            <w:tcW w:w="653" w:type="pct"/>
            <w:tcBorders>
              <w:tl2br w:val="nil"/>
              <w:tr2bl w:val="nil"/>
            </w:tcBorders>
            <w:vAlign w:val="center"/>
          </w:tcPr>
          <w:p w14:paraId="31D4AAFA">
            <w:pPr>
              <w:jc w:val="center"/>
            </w:pPr>
            <w:r>
              <w:t>0.00000</w:t>
            </w:r>
          </w:p>
        </w:tc>
        <w:tc>
          <w:tcPr>
            <w:tcW w:w="653" w:type="pct"/>
            <w:tcBorders>
              <w:tl2br w:val="nil"/>
              <w:tr2bl w:val="nil"/>
            </w:tcBorders>
            <w:vAlign w:val="center"/>
          </w:tcPr>
          <w:p w14:paraId="32CF1019">
            <w:pPr>
              <w:jc w:val="center"/>
            </w:pPr>
            <w:r>
              <w:t>0.00000</w:t>
            </w:r>
          </w:p>
        </w:tc>
        <w:tc>
          <w:tcPr>
            <w:tcW w:w="653" w:type="pct"/>
            <w:tcBorders>
              <w:tl2br w:val="nil"/>
              <w:tr2bl w:val="nil"/>
            </w:tcBorders>
            <w:vAlign w:val="center"/>
          </w:tcPr>
          <w:p w14:paraId="3331D5AF">
            <w:pPr>
              <w:jc w:val="center"/>
            </w:pPr>
            <w:r>
              <w:t>0.00000</w:t>
            </w:r>
          </w:p>
        </w:tc>
        <w:tc>
          <w:tcPr>
            <w:tcW w:w="653" w:type="pct"/>
            <w:tcBorders>
              <w:tl2br w:val="nil"/>
              <w:tr2bl w:val="nil"/>
            </w:tcBorders>
            <w:vAlign w:val="center"/>
          </w:tcPr>
          <w:p w14:paraId="43A8D1C0">
            <w:pPr>
              <w:jc w:val="center"/>
            </w:pPr>
            <w:r>
              <w:t>0.00000</w:t>
            </w:r>
          </w:p>
        </w:tc>
        <w:tc>
          <w:tcPr>
            <w:tcW w:w="653" w:type="pct"/>
            <w:tcBorders>
              <w:tl2br w:val="nil"/>
              <w:tr2bl w:val="nil"/>
            </w:tcBorders>
            <w:vAlign w:val="center"/>
          </w:tcPr>
          <w:p w14:paraId="4A4793E6">
            <w:pPr>
              <w:jc w:val="center"/>
            </w:pPr>
            <w:r>
              <w:t>0.00000</w:t>
            </w:r>
          </w:p>
        </w:tc>
        <w:tc>
          <w:tcPr>
            <w:tcW w:w="658" w:type="pct"/>
            <w:tcBorders>
              <w:tl2br w:val="nil"/>
              <w:tr2bl w:val="nil"/>
            </w:tcBorders>
            <w:vAlign w:val="center"/>
          </w:tcPr>
          <w:p w14:paraId="60BF0B16">
            <w:pPr>
              <w:jc w:val="center"/>
            </w:pPr>
            <w:r>
              <w:t>0.00228</w:t>
            </w:r>
          </w:p>
        </w:tc>
      </w:tr>
      <w:tr w14:paraId="3BEE3D5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193D1711">
            <w:pPr>
              <w:jc w:val="center"/>
            </w:pPr>
            <w:r>
              <w:t>380</w:t>
            </w:r>
          </w:p>
        </w:tc>
        <w:tc>
          <w:tcPr>
            <w:tcW w:w="652" w:type="pct"/>
            <w:tcBorders>
              <w:tl2br w:val="nil"/>
              <w:tr2bl w:val="nil"/>
            </w:tcBorders>
            <w:vAlign w:val="center"/>
          </w:tcPr>
          <w:p w14:paraId="5EE98655">
            <w:pPr>
              <w:jc w:val="center"/>
            </w:pPr>
            <w:r>
              <w:t>0.00000</w:t>
            </w:r>
          </w:p>
        </w:tc>
        <w:tc>
          <w:tcPr>
            <w:tcW w:w="653" w:type="pct"/>
            <w:tcBorders>
              <w:tl2br w:val="nil"/>
              <w:tr2bl w:val="nil"/>
            </w:tcBorders>
            <w:vAlign w:val="center"/>
          </w:tcPr>
          <w:p w14:paraId="47A38FFD">
            <w:pPr>
              <w:jc w:val="center"/>
            </w:pPr>
            <w:r>
              <w:t>0.00000</w:t>
            </w:r>
          </w:p>
        </w:tc>
        <w:tc>
          <w:tcPr>
            <w:tcW w:w="653" w:type="pct"/>
            <w:tcBorders>
              <w:tl2br w:val="nil"/>
              <w:tr2bl w:val="nil"/>
            </w:tcBorders>
            <w:vAlign w:val="center"/>
          </w:tcPr>
          <w:p w14:paraId="5C99C37A">
            <w:pPr>
              <w:jc w:val="center"/>
            </w:pPr>
            <w:r>
              <w:t>0.00000</w:t>
            </w:r>
          </w:p>
        </w:tc>
        <w:tc>
          <w:tcPr>
            <w:tcW w:w="653" w:type="pct"/>
            <w:tcBorders>
              <w:tl2br w:val="nil"/>
              <w:tr2bl w:val="nil"/>
            </w:tcBorders>
            <w:vAlign w:val="center"/>
          </w:tcPr>
          <w:p w14:paraId="439D1177">
            <w:pPr>
              <w:jc w:val="center"/>
            </w:pPr>
            <w:r>
              <w:t>0.00000</w:t>
            </w:r>
          </w:p>
        </w:tc>
        <w:tc>
          <w:tcPr>
            <w:tcW w:w="653" w:type="pct"/>
            <w:tcBorders>
              <w:tl2br w:val="nil"/>
              <w:tr2bl w:val="nil"/>
            </w:tcBorders>
            <w:vAlign w:val="center"/>
          </w:tcPr>
          <w:p w14:paraId="2287C5B8">
            <w:pPr>
              <w:jc w:val="center"/>
            </w:pPr>
            <w:r>
              <w:t>0.00000</w:t>
            </w:r>
          </w:p>
        </w:tc>
        <w:tc>
          <w:tcPr>
            <w:tcW w:w="653" w:type="pct"/>
            <w:tcBorders>
              <w:tl2br w:val="nil"/>
              <w:tr2bl w:val="nil"/>
            </w:tcBorders>
            <w:vAlign w:val="center"/>
          </w:tcPr>
          <w:p w14:paraId="5CEFF520">
            <w:pPr>
              <w:jc w:val="center"/>
            </w:pPr>
            <w:r>
              <w:t>0.00000</w:t>
            </w:r>
          </w:p>
        </w:tc>
        <w:tc>
          <w:tcPr>
            <w:tcW w:w="658" w:type="pct"/>
            <w:tcBorders>
              <w:tl2br w:val="nil"/>
              <w:tr2bl w:val="nil"/>
            </w:tcBorders>
            <w:vAlign w:val="center"/>
          </w:tcPr>
          <w:p w14:paraId="547A25B5">
            <w:pPr>
              <w:jc w:val="center"/>
            </w:pPr>
            <w:r>
              <w:t>0.00084</w:t>
            </w:r>
          </w:p>
        </w:tc>
      </w:tr>
      <w:tr w14:paraId="0BA5EAE9">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22" w:type="pct"/>
            <w:tcBorders>
              <w:tl2br w:val="nil"/>
              <w:tr2bl w:val="nil"/>
            </w:tcBorders>
            <w:vAlign w:val="center"/>
          </w:tcPr>
          <w:p w14:paraId="364668BE">
            <w:pPr>
              <w:jc w:val="center"/>
            </w:pPr>
            <w:r>
              <w:t>390</w:t>
            </w:r>
          </w:p>
        </w:tc>
        <w:tc>
          <w:tcPr>
            <w:tcW w:w="652" w:type="pct"/>
            <w:tcBorders>
              <w:tl2br w:val="nil"/>
              <w:tr2bl w:val="nil"/>
            </w:tcBorders>
            <w:vAlign w:val="center"/>
          </w:tcPr>
          <w:p w14:paraId="1E06E5BE">
            <w:pPr>
              <w:jc w:val="center"/>
            </w:pPr>
            <w:r>
              <w:t>0.00000</w:t>
            </w:r>
          </w:p>
        </w:tc>
        <w:tc>
          <w:tcPr>
            <w:tcW w:w="653" w:type="pct"/>
            <w:tcBorders>
              <w:tl2br w:val="nil"/>
              <w:tr2bl w:val="nil"/>
            </w:tcBorders>
            <w:vAlign w:val="center"/>
          </w:tcPr>
          <w:p w14:paraId="64A781D2">
            <w:pPr>
              <w:jc w:val="center"/>
            </w:pPr>
            <w:r>
              <w:t>0.00000</w:t>
            </w:r>
          </w:p>
        </w:tc>
        <w:tc>
          <w:tcPr>
            <w:tcW w:w="653" w:type="pct"/>
            <w:tcBorders>
              <w:tl2br w:val="nil"/>
              <w:tr2bl w:val="nil"/>
            </w:tcBorders>
            <w:vAlign w:val="center"/>
          </w:tcPr>
          <w:p w14:paraId="0335B1CD">
            <w:pPr>
              <w:jc w:val="center"/>
            </w:pPr>
            <w:r>
              <w:t>0.00000</w:t>
            </w:r>
          </w:p>
        </w:tc>
        <w:tc>
          <w:tcPr>
            <w:tcW w:w="653" w:type="pct"/>
            <w:tcBorders>
              <w:tl2br w:val="nil"/>
              <w:tr2bl w:val="nil"/>
            </w:tcBorders>
            <w:vAlign w:val="center"/>
          </w:tcPr>
          <w:p w14:paraId="54F64FEC">
            <w:pPr>
              <w:jc w:val="center"/>
            </w:pPr>
            <w:r>
              <w:t>0.00000</w:t>
            </w:r>
          </w:p>
        </w:tc>
        <w:tc>
          <w:tcPr>
            <w:tcW w:w="653" w:type="pct"/>
            <w:tcBorders>
              <w:tl2br w:val="nil"/>
              <w:tr2bl w:val="nil"/>
            </w:tcBorders>
            <w:vAlign w:val="center"/>
          </w:tcPr>
          <w:p w14:paraId="16A7EA15">
            <w:pPr>
              <w:jc w:val="center"/>
            </w:pPr>
            <w:r>
              <w:t>0.00000</w:t>
            </w:r>
          </w:p>
        </w:tc>
        <w:tc>
          <w:tcPr>
            <w:tcW w:w="653" w:type="pct"/>
            <w:tcBorders>
              <w:tl2br w:val="nil"/>
              <w:tr2bl w:val="nil"/>
            </w:tcBorders>
            <w:vAlign w:val="center"/>
          </w:tcPr>
          <w:p w14:paraId="43112376">
            <w:pPr>
              <w:jc w:val="center"/>
            </w:pPr>
            <w:r>
              <w:t>0.00000</w:t>
            </w:r>
          </w:p>
        </w:tc>
        <w:tc>
          <w:tcPr>
            <w:tcW w:w="658" w:type="pct"/>
            <w:tcBorders>
              <w:tl2br w:val="nil"/>
              <w:tr2bl w:val="nil"/>
            </w:tcBorders>
            <w:vAlign w:val="center"/>
          </w:tcPr>
          <w:p w14:paraId="5E3239E4">
            <w:pPr>
              <w:jc w:val="center"/>
            </w:pPr>
            <w:r>
              <w:t>0.00030</w:t>
            </w:r>
          </w:p>
        </w:tc>
      </w:tr>
      <w:tr w14:paraId="2304E4D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422" w:type="pct"/>
            <w:tcBorders>
              <w:tl2br w:val="nil"/>
              <w:tr2bl w:val="nil"/>
            </w:tcBorders>
            <w:vAlign w:val="center"/>
          </w:tcPr>
          <w:p w14:paraId="1B6B0E66">
            <w:pPr>
              <w:jc w:val="center"/>
            </w:pPr>
            <w:r>
              <w:t>400</w:t>
            </w:r>
          </w:p>
        </w:tc>
        <w:tc>
          <w:tcPr>
            <w:tcW w:w="652" w:type="pct"/>
            <w:tcBorders>
              <w:tl2br w:val="nil"/>
              <w:tr2bl w:val="nil"/>
            </w:tcBorders>
            <w:vAlign w:val="center"/>
          </w:tcPr>
          <w:p w14:paraId="52B04F35">
            <w:pPr>
              <w:jc w:val="center"/>
            </w:pPr>
            <w:r>
              <w:t>0.00000</w:t>
            </w:r>
          </w:p>
        </w:tc>
        <w:tc>
          <w:tcPr>
            <w:tcW w:w="653" w:type="pct"/>
            <w:tcBorders>
              <w:tl2br w:val="nil"/>
              <w:tr2bl w:val="nil"/>
            </w:tcBorders>
            <w:vAlign w:val="center"/>
          </w:tcPr>
          <w:p w14:paraId="28B19F96">
            <w:pPr>
              <w:jc w:val="center"/>
            </w:pPr>
            <w:r>
              <w:t>0.00000</w:t>
            </w:r>
          </w:p>
        </w:tc>
        <w:tc>
          <w:tcPr>
            <w:tcW w:w="653" w:type="pct"/>
            <w:tcBorders>
              <w:tl2br w:val="nil"/>
              <w:tr2bl w:val="nil"/>
            </w:tcBorders>
            <w:vAlign w:val="center"/>
          </w:tcPr>
          <w:p w14:paraId="43218933">
            <w:pPr>
              <w:jc w:val="center"/>
            </w:pPr>
            <w:r>
              <w:t>0.00000</w:t>
            </w:r>
          </w:p>
        </w:tc>
        <w:tc>
          <w:tcPr>
            <w:tcW w:w="653" w:type="pct"/>
            <w:tcBorders>
              <w:tl2br w:val="nil"/>
              <w:tr2bl w:val="nil"/>
            </w:tcBorders>
            <w:vAlign w:val="center"/>
          </w:tcPr>
          <w:p w14:paraId="323C71FF">
            <w:pPr>
              <w:jc w:val="center"/>
            </w:pPr>
            <w:r>
              <w:t>0.00000</w:t>
            </w:r>
          </w:p>
        </w:tc>
        <w:tc>
          <w:tcPr>
            <w:tcW w:w="653" w:type="pct"/>
            <w:tcBorders>
              <w:tl2br w:val="nil"/>
              <w:tr2bl w:val="nil"/>
            </w:tcBorders>
            <w:vAlign w:val="center"/>
          </w:tcPr>
          <w:p w14:paraId="21FE51F8">
            <w:pPr>
              <w:jc w:val="center"/>
            </w:pPr>
            <w:r>
              <w:t>0.00000</w:t>
            </w:r>
          </w:p>
        </w:tc>
        <w:tc>
          <w:tcPr>
            <w:tcW w:w="653" w:type="pct"/>
            <w:tcBorders>
              <w:tl2br w:val="nil"/>
              <w:tr2bl w:val="nil"/>
            </w:tcBorders>
            <w:vAlign w:val="center"/>
          </w:tcPr>
          <w:p w14:paraId="1109A296">
            <w:pPr>
              <w:jc w:val="center"/>
            </w:pPr>
            <w:r>
              <w:t>0.00000</w:t>
            </w:r>
          </w:p>
        </w:tc>
        <w:tc>
          <w:tcPr>
            <w:tcW w:w="658" w:type="pct"/>
            <w:tcBorders>
              <w:tl2br w:val="nil"/>
              <w:tr2bl w:val="nil"/>
            </w:tcBorders>
            <w:vAlign w:val="center"/>
          </w:tcPr>
          <w:p w14:paraId="0C16BB4D">
            <w:pPr>
              <w:jc w:val="center"/>
            </w:pPr>
            <w:r>
              <w:t>0.00010</w:t>
            </w:r>
          </w:p>
        </w:tc>
      </w:tr>
    </w:tbl>
    <w:p w14:paraId="7909B5E9">
      <w:pPr>
        <w:tabs>
          <w:tab w:val="left" w:pos="1661"/>
        </w:tabs>
        <w:autoSpaceDE w:val="0"/>
        <w:autoSpaceDN w:val="0"/>
        <w:spacing w:line="360" w:lineRule="auto"/>
        <w:jc w:val="left"/>
        <w:rPr>
          <w:rFonts w:hint="eastAsia" w:ascii="Times New Roman" w:hAnsi="Times New Roman" w:eastAsia="宋体" w:cs="Times New Roman"/>
          <w:color w:val="auto"/>
          <w:sz w:val="24"/>
          <w:szCs w:val="22"/>
          <w:lang w:val="en-US" w:eastAsia="zh-CN" w:bidi="zh-CN"/>
        </w:rPr>
      </w:pPr>
      <w:r>
        <w:drawing>
          <wp:inline distT="0" distB="0" distL="114300" distR="114300">
            <wp:extent cx="5276850" cy="2649855"/>
            <wp:effectExtent l="0" t="0" r="0" b="17145"/>
            <wp:docPr id="1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7"/>
                    <pic:cNvPicPr>
                      <a:picLocks noChangeAspect="1"/>
                    </pic:cNvPicPr>
                  </pic:nvPicPr>
                  <pic:blipFill>
                    <a:blip r:embed="rId51"/>
                    <a:stretch>
                      <a:fillRect/>
                    </a:stretch>
                  </pic:blipFill>
                  <pic:spPr>
                    <a:xfrm>
                      <a:off x="0" y="0"/>
                      <a:ext cx="5276850" cy="2649855"/>
                    </a:xfrm>
                    <a:prstGeom prst="rect">
                      <a:avLst/>
                    </a:prstGeom>
                    <a:noFill/>
                    <a:ln>
                      <a:noFill/>
                    </a:ln>
                  </pic:spPr>
                </pic:pic>
              </a:graphicData>
            </a:graphic>
          </wp:inline>
        </w:drawing>
      </w:r>
    </w:p>
    <w:p w14:paraId="2DA65660">
      <w:pPr>
        <w:spacing w:before="120" w:line="360" w:lineRule="auto"/>
        <w:jc w:val="center"/>
        <w:rPr>
          <w:rFonts w:ascii="宋体" w:hAnsi="宋体" w:eastAsia="宋体" w:cs="宋体"/>
          <w:sz w:val="20"/>
          <w:szCs w:val="20"/>
        </w:rPr>
      </w:pPr>
      <w:r>
        <w:rPr>
          <w:rFonts w:hint="default" w:ascii="Times New Roman" w:hAnsi="Times New Roman" w:eastAsia="宋体" w:cs="Times New Roman"/>
          <w:b/>
          <w:bCs/>
          <w:spacing w:val="7"/>
          <w:sz w:val="24"/>
          <w:szCs w:val="24"/>
        </w:rPr>
        <w:t>图</w:t>
      </w:r>
      <w:r>
        <w:rPr>
          <w:rFonts w:hint="default" w:ascii="Times New Roman" w:hAnsi="Times New Roman" w:eastAsia="宋体" w:cs="Times New Roman"/>
          <w:spacing w:val="-40"/>
          <w:sz w:val="24"/>
          <w:szCs w:val="24"/>
        </w:rPr>
        <w:t xml:space="preserve"> </w:t>
      </w:r>
      <w:r>
        <w:rPr>
          <w:rFonts w:hint="default" w:ascii="Times New Roman" w:hAnsi="Times New Roman" w:eastAsia="宋体" w:cs="Times New Roman"/>
          <w:b/>
          <w:bCs/>
          <w:spacing w:val="7"/>
          <w:sz w:val="24"/>
          <w:szCs w:val="24"/>
          <w:lang w:val="en-US" w:eastAsia="zh-CN"/>
        </w:rPr>
        <w:t>5.2-5</w:t>
      </w:r>
      <w:r>
        <w:rPr>
          <w:rFonts w:hint="default" w:ascii="Times New Roman" w:hAnsi="Times New Roman" w:eastAsia="宋体" w:cs="Times New Roman"/>
          <w:b/>
          <w:bCs/>
          <w:spacing w:val="7"/>
          <w:sz w:val="24"/>
          <w:szCs w:val="24"/>
        </w:rPr>
        <w:t xml:space="preserve">  本项目非正常状况下地下水</w:t>
      </w:r>
      <w:r>
        <w:rPr>
          <w:rFonts w:hint="default" w:ascii="Times New Roman" w:hAnsi="Times New Roman" w:eastAsia="宋体" w:cs="Times New Roman"/>
          <w:spacing w:val="-37"/>
          <w:sz w:val="24"/>
          <w:szCs w:val="24"/>
        </w:rPr>
        <w:t xml:space="preserve"> </w:t>
      </w:r>
      <w:r>
        <w:rPr>
          <w:rFonts w:hint="default" w:ascii="Times New Roman" w:hAnsi="Times New Roman" w:eastAsia="宋体" w:cs="Times New Roman"/>
          <w:b/>
          <w:bCs/>
          <w:sz w:val="24"/>
          <w:szCs w:val="24"/>
        </w:rPr>
        <w:t>CODcr</w:t>
      </w:r>
      <w:r>
        <w:rPr>
          <w:rFonts w:hint="default" w:ascii="Times New Roman" w:hAnsi="Times New Roman" w:eastAsia="宋体" w:cs="Times New Roman"/>
          <w:b/>
          <w:bCs/>
          <w:spacing w:val="6"/>
          <w:sz w:val="24"/>
          <w:szCs w:val="24"/>
        </w:rPr>
        <w:t>污染影响预测曲线图</w:t>
      </w:r>
    </w:p>
    <w:p w14:paraId="57A6E5B7">
      <w:pPr>
        <w:tabs>
          <w:tab w:val="left" w:pos="1661"/>
        </w:tabs>
        <w:autoSpaceDE w:val="0"/>
        <w:autoSpaceDN w:val="0"/>
        <w:spacing w:line="240" w:lineRule="auto"/>
        <w:ind w:firstLine="422" w:firstLineChars="200"/>
        <w:jc w:val="left"/>
        <w:rPr>
          <w:rFonts w:hint="eastAsia" w:ascii="Times New Roman" w:hAnsi="Times New Roman" w:eastAsia="宋体" w:cs="Times New Roman"/>
          <w:b/>
          <w:bCs/>
          <w:color w:val="auto"/>
          <w:sz w:val="21"/>
          <w:szCs w:val="21"/>
          <w:lang w:val="en-US" w:eastAsia="zh-CN" w:bidi="zh-CN"/>
        </w:rPr>
      </w:pPr>
    </w:p>
    <w:p w14:paraId="2D542BC0">
      <w:pPr>
        <w:tabs>
          <w:tab w:val="left" w:pos="1661"/>
        </w:tabs>
        <w:autoSpaceDE w:val="0"/>
        <w:autoSpaceDN w:val="0"/>
        <w:spacing w:line="240" w:lineRule="auto"/>
        <w:ind w:firstLine="422" w:firstLineChars="200"/>
        <w:jc w:val="left"/>
        <w:rPr>
          <w:rFonts w:hint="eastAsia" w:ascii="Times New Roman" w:hAnsi="Times New Roman" w:eastAsia="宋体" w:cs="Times New Roman"/>
          <w:b/>
          <w:bCs/>
          <w:color w:val="auto"/>
          <w:sz w:val="21"/>
          <w:szCs w:val="21"/>
          <w:lang w:val="en-US" w:eastAsia="zh-CN" w:bidi="zh-CN"/>
        </w:rPr>
      </w:pPr>
      <w:r>
        <w:rPr>
          <w:rFonts w:hint="eastAsia" w:ascii="Times New Roman" w:hAnsi="Times New Roman" w:eastAsia="宋体" w:cs="Times New Roman"/>
          <w:b/>
          <w:bCs/>
          <w:color w:val="auto"/>
          <w:sz w:val="21"/>
          <w:szCs w:val="21"/>
          <w:lang w:val="en-US" w:eastAsia="zh-CN" w:bidi="zh-CN"/>
        </w:rPr>
        <w:t>表5</w:t>
      </w:r>
      <w:r>
        <w:rPr>
          <w:rFonts w:hint="eastAsia" w:cs="Times New Roman"/>
          <w:b/>
          <w:bCs/>
          <w:color w:val="auto"/>
          <w:sz w:val="21"/>
          <w:szCs w:val="21"/>
          <w:lang w:val="en-US" w:eastAsia="zh-CN" w:bidi="zh-CN"/>
        </w:rPr>
        <w:t>.2-23</w:t>
      </w:r>
      <w:r>
        <w:rPr>
          <w:rFonts w:hint="eastAsia" w:ascii="Times New Roman" w:hAnsi="Times New Roman" w:eastAsia="宋体" w:cs="Times New Roman"/>
          <w:b/>
          <w:bCs/>
          <w:color w:val="auto"/>
          <w:sz w:val="21"/>
          <w:szCs w:val="21"/>
          <w:lang w:val="en-US" w:eastAsia="zh-CN" w:bidi="zh-CN"/>
        </w:rPr>
        <w:t xml:space="preserve">  本项目非正常状况下地下水NH</w:t>
      </w:r>
      <w:r>
        <w:rPr>
          <w:rFonts w:hint="eastAsia" w:ascii="Times New Roman" w:hAnsi="Times New Roman" w:eastAsia="宋体" w:cs="Times New Roman"/>
          <w:b/>
          <w:bCs/>
          <w:color w:val="auto"/>
          <w:sz w:val="21"/>
          <w:szCs w:val="21"/>
          <w:vertAlign w:val="subscript"/>
          <w:lang w:val="en-US" w:eastAsia="zh-CN" w:bidi="zh-CN"/>
        </w:rPr>
        <w:t>3</w:t>
      </w:r>
      <w:r>
        <w:rPr>
          <w:rFonts w:hint="eastAsia" w:ascii="Times New Roman" w:hAnsi="Times New Roman" w:eastAsia="宋体" w:cs="Times New Roman"/>
          <w:b/>
          <w:bCs/>
          <w:color w:val="auto"/>
          <w:sz w:val="21"/>
          <w:szCs w:val="21"/>
          <w:lang w:val="en-US" w:eastAsia="zh-CN" w:bidi="zh-CN"/>
        </w:rPr>
        <w:t>-N污染影响预测结果表（浓度单位：mg/L）</w:t>
      </w:r>
    </w:p>
    <w:tbl>
      <w:tblPr>
        <w:tblStyle w:val="551"/>
        <w:tblW w:w="4999" w:type="pct"/>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821"/>
        <w:gridCol w:w="1069"/>
        <w:gridCol w:w="1070"/>
        <w:gridCol w:w="1070"/>
        <w:gridCol w:w="1070"/>
        <w:gridCol w:w="1070"/>
        <w:gridCol w:w="1070"/>
        <w:gridCol w:w="1070"/>
      </w:tblGrid>
      <w:tr w14:paraId="5AE6182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6" w:hRule="atLeast"/>
        </w:trPr>
        <w:tc>
          <w:tcPr>
            <w:tcW w:w="494" w:type="pct"/>
            <w:tcBorders>
              <w:tl2br w:val="nil"/>
              <w:tr2bl w:val="nil"/>
            </w:tcBorders>
            <w:vAlign w:val="center"/>
          </w:tcPr>
          <w:p w14:paraId="7A5FEBFF">
            <w:pPr>
              <w:jc w:val="center"/>
            </w:pPr>
            <w:r>
              <w:t>时间d</w:t>
            </w:r>
          </w:p>
          <w:p w14:paraId="52587B81">
            <w:pPr>
              <w:jc w:val="center"/>
            </w:pPr>
            <w:r>
              <w:t>距离m</w:t>
            </w:r>
          </w:p>
        </w:tc>
        <w:tc>
          <w:tcPr>
            <w:tcW w:w="643" w:type="pct"/>
            <w:tcBorders>
              <w:tl2br w:val="nil"/>
              <w:tr2bl w:val="nil"/>
            </w:tcBorders>
            <w:vAlign w:val="center"/>
          </w:tcPr>
          <w:p w14:paraId="5377038E">
            <w:pPr>
              <w:jc w:val="center"/>
            </w:pPr>
            <w:r>
              <w:t>30</w:t>
            </w:r>
          </w:p>
        </w:tc>
        <w:tc>
          <w:tcPr>
            <w:tcW w:w="643" w:type="pct"/>
            <w:tcBorders>
              <w:tl2br w:val="nil"/>
              <w:tr2bl w:val="nil"/>
            </w:tcBorders>
            <w:vAlign w:val="center"/>
          </w:tcPr>
          <w:p w14:paraId="73706524">
            <w:pPr>
              <w:jc w:val="center"/>
            </w:pPr>
            <w:r>
              <w:t>100</w:t>
            </w:r>
          </w:p>
        </w:tc>
        <w:tc>
          <w:tcPr>
            <w:tcW w:w="643" w:type="pct"/>
            <w:tcBorders>
              <w:tl2br w:val="nil"/>
              <w:tr2bl w:val="nil"/>
            </w:tcBorders>
            <w:vAlign w:val="center"/>
          </w:tcPr>
          <w:p w14:paraId="14420B3B">
            <w:pPr>
              <w:jc w:val="center"/>
            </w:pPr>
            <w:r>
              <w:t>300</w:t>
            </w:r>
          </w:p>
        </w:tc>
        <w:tc>
          <w:tcPr>
            <w:tcW w:w="643" w:type="pct"/>
            <w:tcBorders>
              <w:tl2br w:val="nil"/>
              <w:tr2bl w:val="nil"/>
            </w:tcBorders>
            <w:vAlign w:val="center"/>
          </w:tcPr>
          <w:p w14:paraId="457096E5">
            <w:pPr>
              <w:jc w:val="center"/>
            </w:pPr>
            <w:r>
              <w:t>500</w:t>
            </w:r>
          </w:p>
        </w:tc>
        <w:tc>
          <w:tcPr>
            <w:tcW w:w="643" w:type="pct"/>
            <w:tcBorders>
              <w:tl2br w:val="nil"/>
              <w:tr2bl w:val="nil"/>
            </w:tcBorders>
            <w:vAlign w:val="center"/>
          </w:tcPr>
          <w:p w14:paraId="31117753">
            <w:pPr>
              <w:jc w:val="center"/>
            </w:pPr>
            <w:r>
              <w:t>1000</w:t>
            </w:r>
          </w:p>
        </w:tc>
        <w:tc>
          <w:tcPr>
            <w:tcW w:w="643" w:type="pct"/>
            <w:tcBorders>
              <w:tl2br w:val="nil"/>
              <w:tr2bl w:val="nil"/>
            </w:tcBorders>
            <w:vAlign w:val="center"/>
          </w:tcPr>
          <w:p w14:paraId="0F7F2B6E">
            <w:pPr>
              <w:jc w:val="center"/>
            </w:pPr>
            <w:r>
              <w:t>1500</w:t>
            </w:r>
          </w:p>
        </w:tc>
        <w:tc>
          <w:tcPr>
            <w:tcW w:w="643" w:type="pct"/>
            <w:tcBorders>
              <w:tl2br w:val="nil"/>
              <w:tr2bl w:val="nil"/>
            </w:tcBorders>
            <w:vAlign w:val="center"/>
          </w:tcPr>
          <w:p w14:paraId="0B307DF1">
            <w:pPr>
              <w:jc w:val="center"/>
            </w:pPr>
            <w:r>
              <w:t>2000</w:t>
            </w:r>
          </w:p>
        </w:tc>
      </w:tr>
      <w:tr w14:paraId="7FEE369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494" w:type="pct"/>
            <w:tcBorders>
              <w:tl2br w:val="nil"/>
              <w:tr2bl w:val="nil"/>
            </w:tcBorders>
            <w:vAlign w:val="center"/>
          </w:tcPr>
          <w:p w14:paraId="74230201">
            <w:pPr>
              <w:jc w:val="center"/>
            </w:pPr>
            <w:r>
              <w:t>0</w:t>
            </w:r>
          </w:p>
        </w:tc>
        <w:tc>
          <w:tcPr>
            <w:tcW w:w="643" w:type="pct"/>
            <w:tcBorders>
              <w:tl2br w:val="nil"/>
              <w:tr2bl w:val="nil"/>
            </w:tcBorders>
            <w:vAlign w:val="center"/>
          </w:tcPr>
          <w:p w14:paraId="590E77DD">
            <w:pPr>
              <w:jc w:val="center"/>
            </w:pPr>
            <w:r>
              <w:t>261.00000</w:t>
            </w:r>
          </w:p>
        </w:tc>
        <w:tc>
          <w:tcPr>
            <w:tcW w:w="643" w:type="pct"/>
            <w:tcBorders>
              <w:tl2br w:val="nil"/>
              <w:tr2bl w:val="nil"/>
            </w:tcBorders>
            <w:vAlign w:val="center"/>
          </w:tcPr>
          <w:p w14:paraId="238F354F">
            <w:pPr>
              <w:jc w:val="center"/>
            </w:pPr>
            <w:r>
              <w:t>261.00000</w:t>
            </w:r>
          </w:p>
        </w:tc>
        <w:tc>
          <w:tcPr>
            <w:tcW w:w="643" w:type="pct"/>
            <w:tcBorders>
              <w:tl2br w:val="nil"/>
              <w:tr2bl w:val="nil"/>
            </w:tcBorders>
            <w:vAlign w:val="center"/>
          </w:tcPr>
          <w:p w14:paraId="723F3B01">
            <w:pPr>
              <w:jc w:val="center"/>
            </w:pPr>
            <w:r>
              <w:t>261.00000</w:t>
            </w:r>
          </w:p>
        </w:tc>
        <w:tc>
          <w:tcPr>
            <w:tcW w:w="643" w:type="pct"/>
            <w:tcBorders>
              <w:tl2br w:val="nil"/>
              <w:tr2bl w:val="nil"/>
            </w:tcBorders>
            <w:vAlign w:val="center"/>
          </w:tcPr>
          <w:p w14:paraId="2A283DD7">
            <w:pPr>
              <w:jc w:val="center"/>
            </w:pPr>
            <w:r>
              <w:t>261.00000</w:t>
            </w:r>
          </w:p>
        </w:tc>
        <w:tc>
          <w:tcPr>
            <w:tcW w:w="643" w:type="pct"/>
            <w:tcBorders>
              <w:tl2br w:val="nil"/>
              <w:tr2bl w:val="nil"/>
            </w:tcBorders>
            <w:vAlign w:val="center"/>
          </w:tcPr>
          <w:p w14:paraId="14843E14">
            <w:pPr>
              <w:jc w:val="center"/>
            </w:pPr>
            <w:r>
              <w:t>261.00000</w:t>
            </w:r>
          </w:p>
        </w:tc>
        <w:tc>
          <w:tcPr>
            <w:tcW w:w="643" w:type="pct"/>
            <w:tcBorders>
              <w:tl2br w:val="nil"/>
              <w:tr2bl w:val="nil"/>
            </w:tcBorders>
            <w:vAlign w:val="center"/>
          </w:tcPr>
          <w:p w14:paraId="26E147AF">
            <w:pPr>
              <w:jc w:val="center"/>
            </w:pPr>
            <w:r>
              <w:t>261.00000</w:t>
            </w:r>
          </w:p>
        </w:tc>
        <w:tc>
          <w:tcPr>
            <w:tcW w:w="643" w:type="pct"/>
            <w:tcBorders>
              <w:tl2br w:val="nil"/>
              <w:tr2bl w:val="nil"/>
            </w:tcBorders>
            <w:vAlign w:val="center"/>
          </w:tcPr>
          <w:p w14:paraId="31B3594A">
            <w:pPr>
              <w:jc w:val="center"/>
            </w:pPr>
            <w:r>
              <w:t>261.00000</w:t>
            </w:r>
          </w:p>
        </w:tc>
      </w:tr>
      <w:tr w14:paraId="1C4C0AF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89" w:hRule="atLeast"/>
        </w:trPr>
        <w:tc>
          <w:tcPr>
            <w:tcW w:w="494" w:type="pct"/>
            <w:tcBorders>
              <w:tl2br w:val="nil"/>
              <w:tr2bl w:val="nil"/>
            </w:tcBorders>
            <w:vAlign w:val="center"/>
          </w:tcPr>
          <w:p w14:paraId="0FFE6A13">
            <w:pPr>
              <w:jc w:val="center"/>
            </w:pPr>
            <w:r>
              <w:t>10</w:t>
            </w:r>
          </w:p>
        </w:tc>
        <w:tc>
          <w:tcPr>
            <w:tcW w:w="643" w:type="pct"/>
            <w:tcBorders>
              <w:tl2br w:val="nil"/>
              <w:tr2bl w:val="nil"/>
            </w:tcBorders>
            <w:vAlign w:val="center"/>
          </w:tcPr>
          <w:p w14:paraId="5BC6BD9B">
            <w:pPr>
              <w:jc w:val="center"/>
            </w:pPr>
            <w:r>
              <w:t>44.40000</w:t>
            </w:r>
          </w:p>
        </w:tc>
        <w:tc>
          <w:tcPr>
            <w:tcW w:w="643" w:type="pct"/>
            <w:tcBorders>
              <w:tl2br w:val="nil"/>
              <w:tr2bl w:val="nil"/>
            </w:tcBorders>
            <w:vAlign w:val="center"/>
          </w:tcPr>
          <w:p w14:paraId="175F7171">
            <w:pPr>
              <w:jc w:val="center"/>
            </w:pPr>
            <w:r>
              <w:t>150.00000</w:t>
            </w:r>
          </w:p>
        </w:tc>
        <w:tc>
          <w:tcPr>
            <w:tcW w:w="643" w:type="pct"/>
            <w:tcBorders>
              <w:tl2br w:val="nil"/>
              <w:tr2bl w:val="nil"/>
            </w:tcBorders>
            <w:vAlign w:val="center"/>
          </w:tcPr>
          <w:p w14:paraId="3F55BB76">
            <w:pPr>
              <w:jc w:val="center"/>
            </w:pPr>
            <w:r>
              <w:t>226.00000</w:t>
            </w:r>
          </w:p>
        </w:tc>
        <w:tc>
          <w:tcPr>
            <w:tcW w:w="643" w:type="pct"/>
            <w:tcBorders>
              <w:tl2br w:val="nil"/>
              <w:tr2bl w:val="nil"/>
            </w:tcBorders>
            <w:vAlign w:val="center"/>
          </w:tcPr>
          <w:p w14:paraId="41E48DAB">
            <w:pPr>
              <w:jc w:val="center"/>
            </w:pPr>
            <w:r>
              <w:t>245.00000</w:t>
            </w:r>
          </w:p>
        </w:tc>
        <w:tc>
          <w:tcPr>
            <w:tcW w:w="643" w:type="pct"/>
            <w:tcBorders>
              <w:tl2br w:val="nil"/>
              <w:tr2bl w:val="nil"/>
            </w:tcBorders>
            <w:vAlign w:val="center"/>
          </w:tcPr>
          <w:p w14:paraId="128699A0">
            <w:pPr>
              <w:jc w:val="center"/>
            </w:pPr>
            <w:r>
              <w:t>258.00000</w:t>
            </w:r>
          </w:p>
        </w:tc>
        <w:tc>
          <w:tcPr>
            <w:tcW w:w="643" w:type="pct"/>
            <w:tcBorders>
              <w:tl2br w:val="nil"/>
              <w:tr2bl w:val="nil"/>
            </w:tcBorders>
            <w:vAlign w:val="center"/>
          </w:tcPr>
          <w:p w14:paraId="611C404B">
            <w:pPr>
              <w:jc w:val="center"/>
            </w:pPr>
            <w:r>
              <w:t>260.00000</w:t>
            </w:r>
          </w:p>
        </w:tc>
        <w:tc>
          <w:tcPr>
            <w:tcW w:w="643" w:type="pct"/>
            <w:tcBorders>
              <w:tl2br w:val="nil"/>
              <w:tr2bl w:val="nil"/>
            </w:tcBorders>
            <w:vAlign w:val="center"/>
          </w:tcPr>
          <w:p w14:paraId="7604D153">
            <w:pPr>
              <w:jc w:val="center"/>
            </w:pPr>
            <w:r>
              <w:t>261.00000</w:t>
            </w:r>
          </w:p>
        </w:tc>
      </w:tr>
      <w:tr w14:paraId="2CC8C26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89" w:hRule="atLeast"/>
        </w:trPr>
        <w:tc>
          <w:tcPr>
            <w:tcW w:w="494" w:type="pct"/>
            <w:tcBorders>
              <w:tl2br w:val="nil"/>
              <w:tr2bl w:val="nil"/>
            </w:tcBorders>
            <w:vAlign w:val="center"/>
          </w:tcPr>
          <w:p w14:paraId="0EB54279">
            <w:pPr>
              <w:jc w:val="center"/>
            </w:pPr>
            <w:r>
              <w:t>20</w:t>
            </w:r>
          </w:p>
        </w:tc>
        <w:tc>
          <w:tcPr>
            <w:tcW w:w="643" w:type="pct"/>
            <w:tcBorders>
              <w:tl2br w:val="nil"/>
              <w:tr2bl w:val="nil"/>
            </w:tcBorders>
            <w:vAlign w:val="center"/>
          </w:tcPr>
          <w:p w14:paraId="2B7CAA3B">
            <w:pPr>
              <w:jc w:val="center"/>
            </w:pPr>
            <w:r>
              <w:t>0.85000</w:t>
            </w:r>
          </w:p>
        </w:tc>
        <w:tc>
          <w:tcPr>
            <w:tcW w:w="643" w:type="pct"/>
            <w:tcBorders>
              <w:tl2br w:val="nil"/>
              <w:tr2bl w:val="nil"/>
            </w:tcBorders>
            <w:vAlign w:val="center"/>
          </w:tcPr>
          <w:p w14:paraId="23D6730A">
            <w:pPr>
              <w:jc w:val="center"/>
            </w:pPr>
            <w:r>
              <w:t>48.90000</w:t>
            </w:r>
          </w:p>
        </w:tc>
        <w:tc>
          <w:tcPr>
            <w:tcW w:w="643" w:type="pct"/>
            <w:tcBorders>
              <w:tl2br w:val="nil"/>
              <w:tr2bl w:val="nil"/>
            </w:tcBorders>
            <w:vAlign w:val="center"/>
          </w:tcPr>
          <w:p w14:paraId="6603D8C6">
            <w:pPr>
              <w:jc w:val="center"/>
            </w:pPr>
            <w:r>
              <w:t>170.00000</w:t>
            </w:r>
          </w:p>
        </w:tc>
        <w:tc>
          <w:tcPr>
            <w:tcW w:w="643" w:type="pct"/>
            <w:tcBorders>
              <w:tl2br w:val="nil"/>
              <w:tr2bl w:val="nil"/>
            </w:tcBorders>
            <w:vAlign w:val="center"/>
          </w:tcPr>
          <w:p w14:paraId="36CC3013">
            <w:pPr>
              <w:jc w:val="center"/>
            </w:pPr>
            <w:r>
              <w:t>217.00000</w:t>
            </w:r>
          </w:p>
        </w:tc>
        <w:tc>
          <w:tcPr>
            <w:tcW w:w="643" w:type="pct"/>
            <w:tcBorders>
              <w:tl2br w:val="nil"/>
              <w:tr2bl w:val="nil"/>
            </w:tcBorders>
            <w:vAlign w:val="center"/>
          </w:tcPr>
          <w:p w14:paraId="64F76ECC">
            <w:pPr>
              <w:jc w:val="center"/>
            </w:pPr>
            <w:r>
              <w:t>251.00000</w:t>
            </w:r>
          </w:p>
        </w:tc>
        <w:tc>
          <w:tcPr>
            <w:tcW w:w="643" w:type="pct"/>
            <w:tcBorders>
              <w:tl2br w:val="nil"/>
              <w:tr2bl w:val="nil"/>
            </w:tcBorders>
            <w:vAlign w:val="center"/>
          </w:tcPr>
          <w:p w14:paraId="6A7465D7">
            <w:pPr>
              <w:jc w:val="center"/>
            </w:pPr>
            <w:r>
              <w:t>258.00000</w:t>
            </w:r>
          </w:p>
        </w:tc>
        <w:tc>
          <w:tcPr>
            <w:tcW w:w="643" w:type="pct"/>
            <w:tcBorders>
              <w:tl2br w:val="nil"/>
              <w:tr2bl w:val="nil"/>
            </w:tcBorders>
            <w:vAlign w:val="center"/>
          </w:tcPr>
          <w:p w14:paraId="1E87C92F">
            <w:pPr>
              <w:jc w:val="center"/>
            </w:pPr>
            <w:r>
              <w:t>260.00000</w:t>
            </w:r>
          </w:p>
        </w:tc>
      </w:tr>
      <w:tr w14:paraId="3351010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89" w:hRule="atLeast"/>
        </w:trPr>
        <w:tc>
          <w:tcPr>
            <w:tcW w:w="494" w:type="pct"/>
            <w:tcBorders>
              <w:tl2br w:val="nil"/>
              <w:tr2bl w:val="nil"/>
            </w:tcBorders>
            <w:vAlign w:val="center"/>
          </w:tcPr>
          <w:p w14:paraId="6B5BC2D9">
            <w:pPr>
              <w:jc w:val="center"/>
            </w:pPr>
            <w:r>
              <w:t>30</w:t>
            </w:r>
          </w:p>
        </w:tc>
        <w:tc>
          <w:tcPr>
            <w:tcW w:w="643" w:type="pct"/>
            <w:tcBorders>
              <w:tl2br w:val="nil"/>
              <w:tr2bl w:val="nil"/>
            </w:tcBorders>
            <w:vAlign w:val="center"/>
          </w:tcPr>
          <w:p w14:paraId="6D486C78">
            <w:pPr>
              <w:jc w:val="center"/>
            </w:pPr>
            <w:r>
              <w:t>0.00145</w:t>
            </w:r>
          </w:p>
        </w:tc>
        <w:tc>
          <w:tcPr>
            <w:tcW w:w="643" w:type="pct"/>
            <w:tcBorders>
              <w:tl2br w:val="nil"/>
              <w:tr2bl w:val="nil"/>
            </w:tcBorders>
            <w:vAlign w:val="center"/>
          </w:tcPr>
          <w:p w14:paraId="288C433F">
            <w:pPr>
              <w:jc w:val="center"/>
            </w:pPr>
            <w:r>
              <w:t>8.22000</w:t>
            </w:r>
          </w:p>
        </w:tc>
        <w:tc>
          <w:tcPr>
            <w:tcW w:w="643" w:type="pct"/>
            <w:tcBorders>
              <w:tl2br w:val="nil"/>
              <w:tr2bl w:val="nil"/>
            </w:tcBorders>
            <w:vAlign w:val="center"/>
          </w:tcPr>
          <w:p w14:paraId="514EEF0D">
            <w:pPr>
              <w:jc w:val="center"/>
            </w:pPr>
            <w:r>
              <w:t>107.00000</w:t>
            </w:r>
          </w:p>
        </w:tc>
        <w:tc>
          <w:tcPr>
            <w:tcW w:w="643" w:type="pct"/>
            <w:tcBorders>
              <w:tl2br w:val="nil"/>
              <w:tr2bl w:val="nil"/>
            </w:tcBorders>
            <w:vAlign w:val="center"/>
          </w:tcPr>
          <w:p w14:paraId="1423F72D">
            <w:pPr>
              <w:jc w:val="center"/>
            </w:pPr>
            <w:r>
              <w:t>176.00000</w:t>
            </w:r>
          </w:p>
        </w:tc>
        <w:tc>
          <w:tcPr>
            <w:tcW w:w="643" w:type="pct"/>
            <w:tcBorders>
              <w:tl2br w:val="nil"/>
              <w:tr2bl w:val="nil"/>
            </w:tcBorders>
            <w:vAlign w:val="center"/>
          </w:tcPr>
          <w:p w14:paraId="258E5F82">
            <w:pPr>
              <w:jc w:val="center"/>
            </w:pPr>
            <w:r>
              <w:t>239.00000</w:t>
            </w:r>
          </w:p>
        </w:tc>
        <w:tc>
          <w:tcPr>
            <w:tcW w:w="643" w:type="pct"/>
            <w:tcBorders>
              <w:tl2br w:val="nil"/>
              <w:tr2bl w:val="nil"/>
            </w:tcBorders>
            <w:vAlign w:val="center"/>
          </w:tcPr>
          <w:p w14:paraId="7A8554D2">
            <w:pPr>
              <w:jc w:val="center"/>
            </w:pPr>
            <w:r>
              <w:t>254.00000</w:t>
            </w:r>
          </w:p>
        </w:tc>
        <w:tc>
          <w:tcPr>
            <w:tcW w:w="643" w:type="pct"/>
            <w:tcBorders>
              <w:tl2br w:val="nil"/>
              <w:tr2bl w:val="nil"/>
            </w:tcBorders>
            <w:vAlign w:val="center"/>
          </w:tcPr>
          <w:p w14:paraId="6E3CF7BC">
            <w:pPr>
              <w:jc w:val="center"/>
            </w:pPr>
            <w:r>
              <w:t>259.00000</w:t>
            </w:r>
          </w:p>
        </w:tc>
      </w:tr>
      <w:tr w14:paraId="2214CF8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89" w:hRule="atLeast"/>
        </w:trPr>
        <w:tc>
          <w:tcPr>
            <w:tcW w:w="494" w:type="pct"/>
            <w:tcBorders>
              <w:tl2br w:val="nil"/>
              <w:tr2bl w:val="nil"/>
            </w:tcBorders>
            <w:vAlign w:val="center"/>
          </w:tcPr>
          <w:p w14:paraId="71C7AD15">
            <w:pPr>
              <w:jc w:val="center"/>
            </w:pPr>
            <w:r>
              <w:t>40</w:t>
            </w:r>
          </w:p>
        </w:tc>
        <w:tc>
          <w:tcPr>
            <w:tcW w:w="643" w:type="pct"/>
            <w:tcBorders>
              <w:tl2br w:val="nil"/>
              <w:tr2bl w:val="nil"/>
            </w:tcBorders>
            <w:vAlign w:val="center"/>
          </w:tcPr>
          <w:p w14:paraId="56CC709B">
            <w:pPr>
              <w:jc w:val="center"/>
            </w:pPr>
            <w:r>
              <w:t>0.00000</w:t>
            </w:r>
          </w:p>
        </w:tc>
        <w:tc>
          <w:tcPr>
            <w:tcW w:w="643" w:type="pct"/>
            <w:tcBorders>
              <w:tl2br w:val="nil"/>
              <w:tr2bl w:val="nil"/>
            </w:tcBorders>
            <w:vAlign w:val="center"/>
          </w:tcPr>
          <w:p w14:paraId="14EBDF28">
            <w:pPr>
              <w:jc w:val="center"/>
            </w:pPr>
            <w:r>
              <w:t>0.68200</w:t>
            </w:r>
          </w:p>
        </w:tc>
        <w:tc>
          <w:tcPr>
            <w:tcW w:w="643" w:type="pct"/>
            <w:tcBorders>
              <w:tl2br w:val="nil"/>
              <w:tr2bl w:val="nil"/>
            </w:tcBorders>
            <w:vAlign w:val="center"/>
          </w:tcPr>
          <w:p w14:paraId="7F44DD94">
            <w:pPr>
              <w:jc w:val="center"/>
            </w:pPr>
            <w:r>
              <w:t>55.60000</w:t>
            </w:r>
          </w:p>
        </w:tc>
        <w:tc>
          <w:tcPr>
            <w:tcW w:w="643" w:type="pct"/>
            <w:tcBorders>
              <w:tl2br w:val="nil"/>
              <w:tr2bl w:val="nil"/>
            </w:tcBorders>
            <w:vAlign w:val="center"/>
          </w:tcPr>
          <w:p w14:paraId="3DAB632D">
            <w:pPr>
              <w:jc w:val="center"/>
            </w:pPr>
            <w:r>
              <w:t>130.00000</w:t>
            </w:r>
          </w:p>
        </w:tc>
        <w:tc>
          <w:tcPr>
            <w:tcW w:w="643" w:type="pct"/>
            <w:tcBorders>
              <w:tl2br w:val="nil"/>
              <w:tr2bl w:val="nil"/>
            </w:tcBorders>
            <w:vAlign w:val="center"/>
          </w:tcPr>
          <w:p w14:paraId="7D2D32AF">
            <w:pPr>
              <w:jc w:val="center"/>
            </w:pPr>
            <w:r>
              <w:t>221.00000</w:t>
            </w:r>
          </w:p>
        </w:tc>
        <w:tc>
          <w:tcPr>
            <w:tcW w:w="643" w:type="pct"/>
            <w:tcBorders>
              <w:tl2br w:val="nil"/>
              <w:tr2bl w:val="nil"/>
            </w:tcBorders>
            <w:vAlign w:val="center"/>
          </w:tcPr>
          <w:p w14:paraId="149752CA">
            <w:pPr>
              <w:jc w:val="center"/>
            </w:pPr>
            <w:r>
              <w:t>248.00000</w:t>
            </w:r>
          </w:p>
        </w:tc>
        <w:tc>
          <w:tcPr>
            <w:tcW w:w="643" w:type="pct"/>
            <w:tcBorders>
              <w:tl2br w:val="nil"/>
              <w:tr2bl w:val="nil"/>
            </w:tcBorders>
            <w:vAlign w:val="center"/>
          </w:tcPr>
          <w:p w14:paraId="6F630F8D">
            <w:pPr>
              <w:jc w:val="center"/>
            </w:pPr>
            <w:r>
              <w:t>257.00000</w:t>
            </w:r>
          </w:p>
        </w:tc>
      </w:tr>
      <w:tr w14:paraId="7608B12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89" w:hRule="atLeast"/>
        </w:trPr>
        <w:tc>
          <w:tcPr>
            <w:tcW w:w="494" w:type="pct"/>
            <w:tcBorders>
              <w:tl2br w:val="nil"/>
              <w:tr2bl w:val="nil"/>
            </w:tcBorders>
            <w:vAlign w:val="center"/>
          </w:tcPr>
          <w:p w14:paraId="0982C5BA">
            <w:pPr>
              <w:jc w:val="center"/>
            </w:pPr>
            <w:r>
              <w:t>50</w:t>
            </w:r>
          </w:p>
        </w:tc>
        <w:tc>
          <w:tcPr>
            <w:tcW w:w="643" w:type="pct"/>
            <w:tcBorders>
              <w:tl2br w:val="nil"/>
              <w:tr2bl w:val="nil"/>
            </w:tcBorders>
            <w:vAlign w:val="center"/>
          </w:tcPr>
          <w:p w14:paraId="140E5B41">
            <w:pPr>
              <w:jc w:val="center"/>
            </w:pPr>
            <w:r>
              <w:t>0.00000</w:t>
            </w:r>
          </w:p>
        </w:tc>
        <w:tc>
          <w:tcPr>
            <w:tcW w:w="643" w:type="pct"/>
            <w:tcBorders>
              <w:tl2br w:val="nil"/>
              <w:tr2bl w:val="nil"/>
            </w:tcBorders>
            <w:vAlign w:val="center"/>
          </w:tcPr>
          <w:p w14:paraId="7B962B58">
            <w:pPr>
              <w:jc w:val="center"/>
            </w:pPr>
            <w:r>
              <w:t>0.02720</w:t>
            </w:r>
          </w:p>
        </w:tc>
        <w:tc>
          <w:tcPr>
            <w:tcW w:w="643" w:type="pct"/>
            <w:tcBorders>
              <w:tl2br w:val="nil"/>
              <w:tr2bl w:val="nil"/>
            </w:tcBorders>
            <w:vAlign w:val="center"/>
          </w:tcPr>
          <w:p w14:paraId="5566DB27">
            <w:pPr>
              <w:jc w:val="center"/>
            </w:pPr>
            <w:r>
              <w:t>23.10000</w:t>
            </w:r>
          </w:p>
        </w:tc>
        <w:tc>
          <w:tcPr>
            <w:tcW w:w="643" w:type="pct"/>
            <w:tcBorders>
              <w:tl2br w:val="nil"/>
              <w:tr2bl w:val="nil"/>
            </w:tcBorders>
            <w:vAlign w:val="center"/>
          </w:tcPr>
          <w:p w14:paraId="4D3B775D">
            <w:pPr>
              <w:jc w:val="center"/>
            </w:pPr>
            <w:r>
              <w:t>85.30000</w:t>
            </w:r>
          </w:p>
        </w:tc>
        <w:tc>
          <w:tcPr>
            <w:tcW w:w="643" w:type="pct"/>
            <w:tcBorders>
              <w:tl2br w:val="nil"/>
              <w:tr2bl w:val="nil"/>
            </w:tcBorders>
            <w:vAlign w:val="center"/>
          </w:tcPr>
          <w:p w14:paraId="7472FC6B">
            <w:pPr>
              <w:jc w:val="center"/>
            </w:pPr>
            <w:r>
              <w:t>198.00000</w:t>
            </w:r>
          </w:p>
        </w:tc>
        <w:tc>
          <w:tcPr>
            <w:tcW w:w="643" w:type="pct"/>
            <w:tcBorders>
              <w:tl2br w:val="nil"/>
              <w:tr2bl w:val="nil"/>
            </w:tcBorders>
            <w:vAlign w:val="center"/>
          </w:tcPr>
          <w:p w14:paraId="23982E98">
            <w:pPr>
              <w:jc w:val="center"/>
            </w:pPr>
            <w:r>
              <w:t>239.00000</w:t>
            </w:r>
          </w:p>
        </w:tc>
        <w:tc>
          <w:tcPr>
            <w:tcW w:w="643" w:type="pct"/>
            <w:tcBorders>
              <w:tl2br w:val="nil"/>
              <w:tr2bl w:val="nil"/>
            </w:tcBorders>
            <w:vAlign w:val="center"/>
          </w:tcPr>
          <w:p w14:paraId="738FB280">
            <w:pPr>
              <w:jc w:val="center"/>
            </w:pPr>
            <w:r>
              <w:t>253.00000</w:t>
            </w:r>
          </w:p>
        </w:tc>
      </w:tr>
      <w:tr w14:paraId="70A76AC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89" w:hRule="atLeast"/>
        </w:trPr>
        <w:tc>
          <w:tcPr>
            <w:tcW w:w="494" w:type="pct"/>
            <w:tcBorders>
              <w:tl2br w:val="nil"/>
              <w:tr2bl w:val="nil"/>
            </w:tcBorders>
            <w:vAlign w:val="center"/>
          </w:tcPr>
          <w:p w14:paraId="42EEE070">
            <w:pPr>
              <w:jc w:val="center"/>
            </w:pPr>
            <w:r>
              <w:t>60</w:t>
            </w:r>
          </w:p>
        </w:tc>
        <w:tc>
          <w:tcPr>
            <w:tcW w:w="643" w:type="pct"/>
            <w:tcBorders>
              <w:tl2br w:val="nil"/>
              <w:tr2bl w:val="nil"/>
            </w:tcBorders>
            <w:vAlign w:val="center"/>
          </w:tcPr>
          <w:p w14:paraId="620FE1E1">
            <w:pPr>
              <w:jc w:val="center"/>
            </w:pPr>
            <w:r>
              <w:t>0.00000</w:t>
            </w:r>
          </w:p>
        </w:tc>
        <w:tc>
          <w:tcPr>
            <w:tcW w:w="643" w:type="pct"/>
            <w:tcBorders>
              <w:tl2br w:val="nil"/>
              <w:tr2bl w:val="nil"/>
            </w:tcBorders>
            <w:vAlign w:val="center"/>
          </w:tcPr>
          <w:p w14:paraId="396DBF31">
            <w:pPr>
              <w:jc w:val="center"/>
            </w:pPr>
            <w:r>
              <w:t>0.00051</w:t>
            </w:r>
          </w:p>
        </w:tc>
        <w:tc>
          <w:tcPr>
            <w:tcW w:w="643" w:type="pct"/>
            <w:tcBorders>
              <w:tl2br w:val="nil"/>
              <w:tr2bl w:val="nil"/>
            </w:tcBorders>
            <w:vAlign w:val="center"/>
          </w:tcPr>
          <w:p w14:paraId="2F691A34">
            <w:pPr>
              <w:jc w:val="center"/>
            </w:pPr>
            <w:r>
              <w:t>7.67000</w:t>
            </w:r>
          </w:p>
        </w:tc>
        <w:tc>
          <w:tcPr>
            <w:tcW w:w="643" w:type="pct"/>
            <w:tcBorders>
              <w:tl2br w:val="nil"/>
              <w:tr2bl w:val="nil"/>
            </w:tcBorders>
            <w:vAlign w:val="center"/>
          </w:tcPr>
          <w:p w14:paraId="4DBC3861">
            <w:pPr>
              <w:jc w:val="center"/>
            </w:pPr>
            <w:r>
              <w:t>49.60000</w:t>
            </w:r>
          </w:p>
        </w:tc>
        <w:tc>
          <w:tcPr>
            <w:tcW w:w="643" w:type="pct"/>
            <w:tcBorders>
              <w:tl2br w:val="nil"/>
              <w:tr2bl w:val="nil"/>
            </w:tcBorders>
            <w:vAlign w:val="center"/>
          </w:tcPr>
          <w:p w14:paraId="53211592">
            <w:pPr>
              <w:jc w:val="center"/>
            </w:pPr>
            <w:r>
              <w:t>170.00000</w:t>
            </w:r>
          </w:p>
        </w:tc>
        <w:tc>
          <w:tcPr>
            <w:tcW w:w="643" w:type="pct"/>
            <w:tcBorders>
              <w:tl2br w:val="nil"/>
              <w:tr2bl w:val="nil"/>
            </w:tcBorders>
            <w:vAlign w:val="center"/>
          </w:tcPr>
          <w:p w14:paraId="3DE7F238">
            <w:pPr>
              <w:jc w:val="center"/>
            </w:pPr>
            <w:r>
              <w:t>227.00000</w:t>
            </w:r>
          </w:p>
        </w:tc>
        <w:tc>
          <w:tcPr>
            <w:tcW w:w="643" w:type="pct"/>
            <w:tcBorders>
              <w:tl2br w:val="nil"/>
              <w:tr2bl w:val="nil"/>
            </w:tcBorders>
            <w:vAlign w:val="center"/>
          </w:tcPr>
          <w:p w14:paraId="73C6C67B">
            <w:pPr>
              <w:jc w:val="center"/>
            </w:pPr>
            <w:r>
              <w:t>248.00000</w:t>
            </w:r>
          </w:p>
        </w:tc>
      </w:tr>
      <w:tr w14:paraId="48F9B887">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89" w:hRule="atLeast"/>
        </w:trPr>
        <w:tc>
          <w:tcPr>
            <w:tcW w:w="494" w:type="pct"/>
            <w:tcBorders>
              <w:tl2br w:val="nil"/>
              <w:tr2bl w:val="nil"/>
            </w:tcBorders>
            <w:vAlign w:val="center"/>
          </w:tcPr>
          <w:p w14:paraId="748B6DC4">
            <w:pPr>
              <w:jc w:val="center"/>
            </w:pPr>
            <w:r>
              <w:t>70</w:t>
            </w:r>
          </w:p>
        </w:tc>
        <w:tc>
          <w:tcPr>
            <w:tcW w:w="643" w:type="pct"/>
            <w:tcBorders>
              <w:tl2br w:val="nil"/>
              <w:tr2bl w:val="nil"/>
            </w:tcBorders>
            <w:vAlign w:val="center"/>
          </w:tcPr>
          <w:p w14:paraId="5CE29FB1">
            <w:pPr>
              <w:jc w:val="center"/>
            </w:pPr>
            <w:r>
              <w:t>0.00000</w:t>
            </w:r>
          </w:p>
        </w:tc>
        <w:tc>
          <w:tcPr>
            <w:tcW w:w="643" w:type="pct"/>
            <w:tcBorders>
              <w:tl2br w:val="nil"/>
              <w:tr2bl w:val="nil"/>
            </w:tcBorders>
            <w:vAlign w:val="center"/>
          </w:tcPr>
          <w:p w14:paraId="017A7420">
            <w:pPr>
              <w:jc w:val="center"/>
            </w:pPr>
            <w:r>
              <w:t>0.00000</w:t>
            </w:r>
          </w:p>
        </w:tc>
        <w:tc>
          <w:tcPr>
            <w:tcW w:w="643" w:type="pct"/>
            <w:tcBorders>
              <w:tl2br w:val="nil"/>
              <w:tr2bl w:val="nil"/>
            </w:tcBorders>
            <w:vAlign w:val="center"/>
          </w:tcPr>
          <w:p w14:paraId="6B578E7B">
            <w:pPr>
              <w:jc w:val="center"/>
            </w:pPr>
            <w:r>
              <w:t>2.01000</w:t>
            </w:r>
          </w:p>
        </w:tc>
        <w:tc>
          <w:tcPr>
            <w:tcW w:w="643" w:type="pct"/>
            <w:tcBorders>
              <w:tl2br w:val="nil"/>
              <w:tr2bl w:val="nil"/>
            </w:tcBorders>
            <w:vAlign w:val="center"/>
          </w:tcPr>
          <w:p w14:paraId="600EAA1B">
            <w:pPr>
              <w:jc w:val="center"/>
            </w:pPr>
            <w:r>
              <w:t>25.30000</w:t>
            </w:r>
          </w:p>
        </w:tc>
        <w:tc>
          <w:tcPr>
            <w:tcW w:w="643" w:type="pct"/>
            <w:tcBorders>
              <w:tl2br w:val="nil"/>
              <w:tr2bl w:val="nil"/>
            </w:tcBorders>
            <w:vAlign w:val="center"/>
          </w:tcPr>
          <w:p w14:paraId="70F0C1C2">
            <w:pPr>
              <w:jc w:val="center"/>
            </w:pPr>
            <w:r>
              <w:t>139.00000</w:t>
            </w:r>
          </w:p>
        </w:tc>
        <w:tc>
          <w:tcPr>
            <w:tcW w:w="643" w:type="pct"/>
            <w:tcBorders>
              <w:tl2br w:val="nil"/>
              <w:tr2bl w:val="nil"/>
            </w:tcBorders>
            <w:vAlign w:val="center"/>
          </w:tcPr>
          <w:p w14:paraId="06439FBC">
            <w:pPr>
              <w:jc w:val="center"/>
            </w:pPr>
            <w:r>
              <w:t>211.00000</w:t>
            </w:r>
          </w:p>
        </w:tc>
        <w:tc>
          <w:tcPr>
            <w:tcW w:w="643" w:type="pct"/>
            <w:tcBorders>
              <w:tl2br w:val="nil"/>
              <w:tr2bl w:val="nil"/>
            </w:tcBorders>
            <w:vAlign w:val="center"/>
          </w:tcPr>
          <w:p w14:paraId="65A3BCA6">
            <w:pPr>
              <w:jc w:val="center"/>
            </w:pPr>
            <w:r>
              <w:t>241.00000</w:t>
            </w:r>
          </w:p>
        </w:tc>
      </w:tr>
      <w:tr w14:paraId="6BB0BB4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94" w:type="pct"/>
            <w:tcBorders>
              <w:tl2br w:val="nil"/>
              <w:tr2bl w:val="nil"/>
            </w:tcBorders>
            <w:vAlign w:val="center"/>
          </w:tcPr>
          <w:p w14:paraId="54B113D2">
            <w:pPr>
              <w:jc w:val="center"/>
            </w:pPr>
            <w:r>
              <w:t>80</w:t>
            </w:r>
          </w:p>
        </w:tc>
        <w:tc>
          <w:tcPr>
            <w:tcW w:w="643" w:type="pct"/>
            <w:tcBorders>
              <w:tl2br w:val="nil"/>
              <w:tr2bl w:val="nil"/>
            </w:tcBorders>
            <w:vAlign w:val="center"/>
          </w:tcPr>
          <w:p w14:paraId="7AC86EC9">
            <w:pPr>
              <w:jc w:val="center"/>
            </w:pPr>
            <w:r>
              <w:t>0.00000</w:t>
            </w:r>
          </w:p>
        </w:tc>
        <w:tc>
          <w:tcPr>
            <w:tcW w:w="643" w:type="pct"/>
            <w:tcBorders>
              <w:tl2br w:val="nil"/>
              <w:tr2bl w:val="nil"/>
            </w:tcBorders>
            <w:vAlign w:val="center"/>
          </w:tcPr>
          <w:p w14:paraId="64E8ABD7">
            <w:pPr>
              <w:jc w:val="center"/>
            </w:pPr>
            <w:r>
              <w:t>0.00000</w:t>
            </w:r>
          </w:p>
        </w:tc>
        <w:tc>
          <w:tcPr>
            <w:tcW w:w="643" w:type="pct"/>
            <w:tcBorders>
              <w:tl2br w:val="nil"/>
              <w:tr2bl w:val="nil"/>
            </w:tcBorders>
            <w:vAlign w:val="center"/>
          </w:tcPr>
          <w:p w14:paraId="34B6253B">
            <w:pPr>
              <w:jc w:val="center"/>
            </w:pPr>
            <w:r>
              <w:t>0.41200</w:t>
            </w:r>
          </w:p>
        </w:tc>
        <w:tc>
          <w:tcPr>
            <w:tcW w:w="643" w:type="pct"/>
            <w:tcBorders>
              <w:tl2br w:val="nil"/>
              <w:tr2bl w:val="nil"/>
            </w:tcBorders>
            <w:vAlign w:val="center"/>
          </w:tcPr>
          <w:p w14:paraId="48F70F93">
            <w:pPr>
              <w:jc w:val="center"/>
            </w:pPr>
            <w:r>
              <w:t>11.30000</w:t>
            </w:r>
          </w:p>
        </w:tc>
        <w:tc>
          <w:tcPr>
            <w:tcW w:w="643" w:type="pct"/>
            <w:tcBorders>
              <w:tl2br w:val="nil"/>
              <w:tr2bl w:val="nil"/>
            </w:tcBorders>
            <w:vAlign w:val="center"/>
          </w:tcPr>
          <w:p w14:paraId="11339572">
            <w:pPr>
              <w:jc w:val="center"/>
            </w:pPr>
            <w:r>
              <w:t>108.00000</w:t>
            </w:r>
          </w:p>
        </w:tc>
        <w:tc>
          <w:tcPr>
            <w:tcW w:w="643" w:type="pct"/>
            <w:tcBorders>
              <w:tl2br w:val="nil"/>
              <w:tr2bl w:val="nil"/>
            </w:tcBorders>
            <w:vAlign w:val="center"/>
          </w:tcPr>
          <w:p w14:paraId="1F428E16">
            <w:pPr>
              <w:jc w:val="center"/>
            </w:pPr>
            <w:r>
              <w:t>191.00000</w:t>
            </w:r>
          </w:p>
        </w:tc>
        <w:tc>
          <w:tcPr>
            <w:tcW w:w="643" w:type="pct"/>
            <w:tcBorders>
              <w:tl2br w:val="nil"/>
              <w:tr2bl w:val="nil"/>
            </w:tcBorders>
            <w:vAlign w:val="center"/>
          </w:tcPr>
          <w:p w14:paraId="039555F9">
            <w:pPr>
              <w:jc w:val="center"/>
            </w:pPr>
            <w:r>
              <w:t>232.00000</w:t>
            </w:r>
          </w:p>
        </w:tc>
      </w:tr>
      <w:tr w14:paraId="30D3615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89" w:hRule="atLeast"/>
        </w:trPr>
        <w:tc>
          <w:tcPr>
            <w:tcW w:w="494" w:type="pct"/>
            <w:tcBorders>
              <w:tl2br w:val="nil"/>
              <w:tr2bl w:val="nil"/>
            </w:tcBorders>
            <w:vAlign w:val="center"/>
          </w:tcPr>
          <w:p w14:paraId="70E87E20">
            <w:pPr>
              <w:jc w:val="center"/>
            </w:pPr>
            <w:r>
              <w:t>90</w:t>
            </w:r>
          </w:p>
        </w:tc>
        <w:tc>
          <w:tcPr>
            <w:tcW w:w="643" w:type="pct"/>
            <w:tcBorders>
              <w:tl2br w:val="nil"/>
              <w:tr2bl w:val="nil"/>
            </w:tcBorders>
            <w:vAlign w:val="center"/>
          </w:tcPr>
          <w:p w14:paraId="2B1F0B71">
            <w:pPr>
              <w:jc w:val="center"/>
            </w:pPr>
            <w:r>
              <w:t>0.00000</w:t>
            </w:r>
          </w:p>
        </w:tc>
        <w:tc>
          <w:tcPr>
            <w:tcW w:w="643" w:type="pct"/>
            <w:tcBorders>
              <w:tl2br w:val="nil"/>
              <w:tr2bl w:val="nil"/>
            </w:tcBorders>
            <w:vAlign w:val="center"/>
          </w:tcPr>
          <w:p w14:paraId="02A05AB3">
            <w:pPr>
              <w:jc w:val="center"/>
            </w:pPr>
            <w:r>
              <w:t>0.00000</w:t>
            </w:r>
          </w:p>
        </w:tc>
        <w:tc>
          <w:tcPr>
            <w:tcW w:w="643" w:type="pct"/>
            <w:tcBorders>
              <w:tl2br w:val="nil"/>
              <w:tr2bl w:val="nil"/>
            </w:tcBorders>
            <w:vAlign w:val="center"/>
          </w:tcPr>
          <w:p w14:paraId="3071E363">
            <w:pPr>
              <w:jc w:val="center"/>
            </w:pPr>
            <w:r>
              <w:t>0.06610</w:t>
            </w:r>
          </w:p>
        </w:tc>
        <w:tc>
          <w:tcPr>
            <w:tcW w:w="643" w:type="pct"/>
            <w:tcBorders>
              <w:tl2br w:val="nil"/>
              <w:tr2bl w:val="nil"/>
            </w:tcBorders>
            <w:vAlign w:val="center"/>
          </w:tcPr>
          <w:p w14:paraId="16F272AE">
            <w:pPr>
              <w:jc w:val="center"/>
            </w:pPr>
            <w:r>
              <w:t>4.36000</w:t>
            </w:r>
          </w:p>
        </w:tc>
        <w:tc>
          <w:tcPr>
            <w:tcW w:w="643" w:type="pct"/>
            <w:tcBorders>
              <w:tl2br w:val="nil"/>
              <w:tr2bl w:val="nil"/>
            </w:tcBorders>
            <w:vAlign w:val="center"/>
          </w:tcPr>
          <w:p w14:paraId="0DCB2283">
            <w:pPr>
              <w:jc w:val="center"/>
            </w:pPr>
            <w:r>
              <w:t>78.70000</w:t>
            </w:r>
          </w:p>
        </w:tc>
        <w:tc>
          <w:tcPr>
            <w:tcW w:w="643" w:type="pct"/>
            <w:tcBorders>
              <w:tl2br w:val="nil"/>
              <w:tr2bl w:val="nil"/>
            </w:tcBorders>
            <w:vAlign w:val="center"/>
          </w:tcPr>
          <w:p w14:paraId="7182D7C6">
            <w:pPr>
              <w:jc w:val="center"/>
            </w:pPr>
            <w:r>
              <w:t>168.00000</w:t>
            </w:r>
          </w:p>
        </w:tc>
        <w:tc>
          <w:tcPr>
            <w:tcW w:w="643" w:type="pct"/>
            <w:tcBorders>
              <w:tl2br w:val="nil"/>
              <w:tr2bl w:val="nil"/>
            </w:tcBorders>
            <w:vAlign w:val="center"/>
          </w:tcPr>
          <w:p w14:paraId="0EEF6519">
            <w:pPr>
              <w:jc w:val="center"/>
            </w:pPr>
            <w:r>
              <w:t>219.00000</w:t>
            </w:r>
          </w:p>
        </w:tc>
      </w:tr>
      <w:tr w14:paraId="60D89C3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94" w:type="pct"/>
            <w:tcBorders>
              <w:tl2br w:val="nil"/>
              <w:tr2bl w:val="nil"/>
            </w:tcBorders>
            <w:vAlign w:val="center"/>
          </w:tcPr>
          <w:p w14:paraId="37E9C9F3">
            <w:pPr>
              <w:jc w:val="center"/>
            </w:pPr>
            <w:r>
              <w:t>100</w:t>
            </w:r>
          </w:p>
        </w:tc>
        <w:tc>
          <w:tcPr>
            <w:tcW w:w="643" w:type="pct"/>
            <w:tcBorders>
              <w:tl2br w:val="nil"/>
              <w:tr2bl w:val="nil"/>
            </w:tcBorders>
            <w:vAlign w:val="center"/>
          </w:tcPr>
          <w:p w14:paraId="14AD1731">
            <w:pPr>
              <w:jc w:val="center"/>
            </w:pPr>
            <w:r>
              <w:t>0.00000</w:t>
            </w:r>
          </w:p>
        </w:tc>
        <w:tc>
          <w:tcPr>
            <w:tcW w:w="643" w:type="pct"/>
            <w:tcBorders>
              <w:tl2br w:val="nil"/>
              <w:tr2bl w:val="nil"/>
            </w:tcBorders>
            <w:vAlign w:val="center"/>
          </w:tcPr>
          <w:p w14:paraId="7A23067D">
            <w:pPr>
              <w:jc w:val="center"/>
            </w:pPr>
            <w:r>
              <w:t>0.00000</w:t>
            </w:r>
          </w:p>
        </w:tc>
        <w:tc>
          <w:tcPr>
            <w:tcW w:w="643" w:type="pct"/>
            <w:tcBorders>
              <w:tl2br w:val="nil"/>
              <w:tr2bl w:val="nil"/>
            </w:tcBorders>
            <w:vAlign w:val="center"/>
          </w:tcPr>
          <w:p w14:paraId="3E594FA4">
            <w:pPr>
              <w:jc w:val="center"/>
            </w:pPr>
            <w:r>
              <w:t>0.00828</w:t>
            </w:r>
          </w:p>
        </w:tc>
        <w:tc>
          <w:tcPr>
            <w:tcW w:w="643" w:type="pct"/>
            <w:tcBorders>
              <w:tl2br w:val="nil"/>
              <w:tr2bl w:val="nil"/>
            </w:tcBorders>
            <w:vAlign w:val="center"/>
          </w:tcPr>
          <w:p w14:paraId="41EB2C5C">
            <w:pPr>
              <w:jc w:val="center"/>
            </w:pPr>
            <w:r>
              <w:t>1.46000</w:t>
            </w:r>
          </w:p>
        </w:tc>
        <w:tc>
          <w:tcPr>
            <w:tcW w:w="643" w:type="pct"/>
            <w:tcBorders>
              <w:tl2br w:val="nil"/>
              <w:tr2bl w:val="nil"/>
            </w:tcBorders>
            <w:vAlign w:val="center"/>
          </w:tcPr>
          <w:p w14:paraId="2CC6395A">
            <w:pPr>
              <w:jc w:val="center"/>
            </w:pPr>
            <w:r>
              <w:t>54.10000</w:t>
            </w:r>
          </w:p>
        </w:tc>
        <w:tc>
          <w:tcPr>
            <w:tcW w:w="643" w:type="pct"/>
            <w:tcBorders>
              <w:tl2br w:val="nil"/>
              <w:tr2bl w:val="nil"/>
            </w:tcBorders>
            <w:vAlign w:val="center"/>
          </w:tcPr>
          <w:p w14:paraId="0A3A5FFD">
            <w:pPr>
              <w:jc w:val="center"/>
            </w:pPr>
            <w:r>
              <w:t>143.00000</w:t>
            </w:r>
          </w:p>
        </w:tc>
        <w:tc>
          <w:tcPr>
            <w:tcW w:w="643" w:type="pct"/>
            <w:tcBorders>
              <w:tl2br w:val="nil"/>
              <w:tr2bl w:val="nil"/>
            </w:tcBorders>
            <w:vAlign w:val="center"/>
          </w:tcPr>
          <w:p w14:paraId="2842F4CD">
            <w:pPr>
              <w:jc w:val="center"/>
            </w:pPr>
            <w:r>
              <w:t>204.00000</w:t>
            </w:r>
          </w:p>
        </w:tc>
      </w:tr>
      <w:tr w14:paraId="0A36191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94" w:type="pct"/>
            <w:tcBorders>
              <w:tl2br w:val="nil"/>
              <w:tr2bl w:val="nil"/>
            </w:tcBorders>
            <w:vAlign w:val="center"/>
          </w:tcPr>
          <w:p w14:paraId="65A9A14E">
            <w:pPr>
              <w:jc w:val="center"/>
            </w:pPr>
            <w:r>
              <w:t>110</w:t>
            </w:r>
          </w:p>
        </w:tc>
        <w:tc>
          <w:tcPr>
            <w:tcW w:w="643" w:type="pct"/>
            <w:tcBorders>
              <w:tl2br w:val="nil"/>
              <w:tr2bl w:val="nil"/>
            </w:tcBorders>
            <w:vAlign w:val="center"/>
          </w:tcPr>
          <w:p w14:paraId="1C93C6D4">
            <w:pPr>
              <w:jc w:val="center"/>
            </w:pPr>
            <w:r>
              <w:t>0.00000</w:t>
            </w:r>
          </w:p>
        </w:tc>
        <w:tc>
          <w:tcPr>
            <w:tcW w:w="643" w:type="pct"/>
            <w:tcBorders>
              <w:tl2br w:val="nil"/>
              <w:tr2bl w:val="nil"/>
            </w:tcBorders>
            <w:vAlign w:val="center"/>
          </w:tcPr>
          <w:p w14:paraId="5ABA9D45">
            <w:pPr>
              <w:jc w:val="center"/>
            </w:pPr>
            <w:r>
              <w:t>0.00000</w:t>
            </w:r>
          </w:p>
        </w:tc>
        <w:tc>
          <w:tcPr>
            <w:tcW w:w="643" w:type="pct"/>
            <w:tcBorders>
              <w:tl2br w:val="nil"/>
              <w:tr2bl w:val="nil"/>
            </w:tcBorders>
            <w:vAlign w:val="center"/>
          </w:tcPr>
          <w:p w14:paraId="5D3AF271">
            <w:pPr>
              <w:jc w:val="center"/>
            </w:pPr>
            <w:r>
              <w:t>0.00081</w:t>
            </w:r>
          </w:p>
        </w:tc>
        <w:tc>
          <w:tcPr>
            <w:tcW w:w="643" w:type="pct"/>
            <w:tcBorders>
              <w:tl2br w:val="nil"/>
              <w:tr2bl w:val="nil"/>
            </w:tcBorders>
            <w:vAlign w:val="center"/>
          </w:tcPr>
          <w:p w14:paraId="72710593">
            <w:pPr>
              <w:jc w:val="center"/>
            </w:pPr>
            <w:r>
              <w:t>0.42300</w:t>
            </w:r>
          </w:p>
        </w:tc>
        <w:tc>
          <w:tcPr>
            <w:tcW w:w="643" w:type="pct"/>
            <w:tcBorders>
              <w:tl2br w:val="nil"/>
              <w:tr2bl w:val="nil"/>
            </w:tcBorders>
            <w:vAlign w:val="center"/>
          </w:tcPr>
          <w:p w14:paraId="7FF10208">
            <w:pPr>
              <w:jc w:val="center"/>
            </w:pPr>
            <w:r>
              <w:t>34.90000</w:t>
            </w:r>
          </w:p>
        </w:tc>
        <w:tc>
          <w:tcPr>
            <w:tcW w:w="643" w:type="pct"/>
            <w:tcBorders>
              <w:tl2br w:val="nil"/>
              <w:tr2bl w:val="nil"/>
            </w:tcBorders>
            <w:vAlign w:val="center"/>
          </w:tcPr>
          <w:p w14:paraId="348C9681">
            <w:pPr>
              <w:jc w:val="center"/>
            </w:pPr>
            <w:r>
              <w:t>118.00000</w:t>
            </w:r>
          </w:p>
        </w:tc>
        <w:tc>
          <w:tcPr>
            <w:tcW w:w="643" w:type="pct"/>
            <w:tcBorders>
              <w:tl2br w:val="nil"/>
              <w:tr2bl w:val="nil"/>
            </w:tcBorders>
            <w:vAlign w:val="center"/>
          </w:tcPr>
          <w:p w14:paraId="544B6830">
            <w:pPr>
              <w:jc w:val="center"/>
            </w:pPr>
            <w:r>
              <w:t>187.00000</w:t>
            </w:r>
          </w:p>
        </w:tc>
      </w:tr>
      <w:tr w14:paraId="2AA295F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94" w:type="pct"/>
            <w:tcBorders>
              <w:tl2br w:val="nil"/>
              <w:tr2bl w:val="nil"/>
            </w:tcBorders>
            <w:vAlign w:val="center"/>
          </w:tcPr>
          <w:p w14:paraId="19C27DD1">
            <w:pPr>
              <w:jc w:val="center"/>
            </w:pPr>
            <w:r>
              <w:t>120</w:t>
            </w:r>
          </w:p>
        </w:tc>
        <w:tc>
          <w:tcPr>
            <w:tcW w:w="643" w:type="pct"/>
            <w:tcBorders>
              <w:tl2br w:val="nil"/>
              <w:tr2bl w:val="nil"/>
            </w:tcBorders>
            <w:vAlign w:val="center"/>
          </w:tcPr>
          <w:p w14:paraId="40DE4921">
            <w:pPr>
              <w:jc w:val="center"/>
            </w:pPr>
            <w:r>
              <w:t>0.00000</w:t>
            </w:r>
          </w:p>
        </w:tc>
        <w:tc>
          <w:tcPr>
            <w:tcW w:w="643" w:type="pct"/>
            <w:tcBorders>
              <w:tl2br w:val="nil"/>
              <w:tr2bl w:val="nil"/>
            </w:tcBorders>
            <w:vAlign w:val="center"/>
          </w:tcPr>
          <w:p w14:paraId="5893575E">
            <w:pPr>
              <w:jc w:val="center"/>
            </w:pPr>
            <w:r>
              <w:t>0.00000</w:t>
            </w:r>
          </w:p>
        </w:tc>
        <w:tc>
          <w:tcPr>
            <w:tcW w:w="643" w:type="pct"/>
            <w:tcBorders>
              <w:tl2br w:val="nil"/>
              <w:tr2bl w:val="nil"/>
            </w:tcBorders>
            <w:vAlign w:val="center"/>
          </w:tcPr>
          <w:p w14:paraId="1AACD43E">
            <w:pPr>
              <w:jc w:val="center"/>
            </w:pPr>
            <w:r>
              <w:t>0.00006</w:t>
            </w:r>
          </w:p>
        </w:tc>
        <w:tc>
          <w:tcPr>
            <w:tcW w:w="643" w:type="pct"/>
            <w:tcBorders>
              <w:tl2br w:val="nil"/>
              <w:tr2bl w:val="nil"/>
            </w:tcBorders>
            <w:vAlign w:val="center"/>
          </w:tcPr>
          <w:p w14:paraId="4F19E79C">
            <w:pPr>
              <w:jc w:val="center"/>
            </w:pPr>
            <w:r>
              <w:t>0.10600</w:t>
            </w:r>
          </w:p>
        </w:tc>
        <w:tc>
          <w:tcPr>
            <w:tcW w:w="643" w:type="pct"/>
            <w:tcBorders>
              <w:tl2br w:val="nil"/>
              <w:tr2bl w:val="nil"/>
            </w:tcBorders>
            <w:vAlign w:val="center"/>
          </w:tcPr>
          <w:p w14:paraId="45063732">
            <w:pPr>
              <w:jc w:val="center"/>
            </w:pPr>
            <w:r>
              <w:t>21.10000</w:t>
            </w:r>
          </w:p>
        </w:tc>
        <w:tc>
          <w:tcPr>
            <w:tcW w:w="643" w:type="pct"/>
            <w:tcBorders>
              <w:tl2br w:val="nil"/>
              <w:tr2bl w:val="nil"/>
            </w:tcBorders>
            <w:vAlign w:val="center"/>
          </w:tcPr>
          <w:p w14:paraId="41716F35">
            <w:pPr>
              <w:jc w:val="center"/>
            </w:pPr>
            <w:r>
              <w:t>93.70000</w:t>
            </w:r>
          </w:p>
        </w:tc>
        <w:tc>
          <w:tcPr>
            <w:tcW w:w="643" w:type="pct"/>
            <w:tcBorders>
              <w:tl2br w:val="nil"/>
              <w:tr2bl w:val="nil"/>
            </w:tcBorders>
            <w:vAlign w:val="center"/>
          </w:tcPr>
          <w:p w14:paraId="5A7C7633">
            <w:pPr>
              <w:jc w:val="center"/>
            </w:pPr>
            <w:r>
              <w:t>167.00000</w:t>
            </w:r>
          </w:p>
        </w:tc>
      </w:tr>
      <w:tr w14:paraId="16ED507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94" w:type="pct"/>
            <w:tcBorders>
              <w:tl2br w:val="nil"/>
              <w:tr2bl w:val="nil"/>
            </w:tcBorders>
            <w:vAlign w:val="center"/>
          </w:tcPr>
          <w:p w14:paraId="49FA94F2">
            <w:pPr>
              <w:jc w:val="center"/>
            </w:pPr>
            <w:r>
              <w:t>130</w:t>
            </w:r>
          </w:p>
        </w:tc>
        <w:tc>
          <w:tcPr>
            <w:tcW w:w="643" w:type="pct"/>
            <w:tcBorders>
              <w:tl2br w:val="nil"/>
              <w:tr2bl w:val="nil"/>
            </w:tcBorders>
            <w:vAlign w:val="center"/>
          </w:tcPr>
          <w:p w14:paraId="356D67B8">
            <w:pPr>
              <w:jc w:val="center"/>
            </w:pPr>
            <w:r>
              <w:t>0.00000</w:t>
            </w:r>
          </w:p>
        </w:tc>
        <w:tc>
          <w:tcPr>
            <w:tcW w:w="643" w:type="pct"/>
            <w:tcBorders>
              <w:tl2br w:val="nil"/>
              <w:tr2bl w:val="nil"/>
            </w:tcBorders>
            <w:vAlign w:val="center"/>
          </w:tcPr>
          <w:p w14:paraId="6FE20A96">
            <w:pPr>
              <w:jc w:val="center"/>
            </w:pPr>
            <w:r>
              <w:t>0.00000</w:t>
            </w:r>
          </w:p>
        </w:tc>
        <w:tc>
          <w:tcPr>
            <w:tcW w:w="643" w:type="pct"/>
            <w:tcBorders>
              <w:tl2br w:val="nil"/>
              <w:tr2bl w:val="nil"/>
            </w:tcBorders>
            <w:vAlign w:val="center"/>
          </w:tcPr>
          <w:p w14:paraId="72D52B71">
            <w:pPr>
              <w:jc w:val="center"/>
            </w:pPr>
            <w:r>
              <w:t>0.00000</w:t>
            </w:r>
          </w:p>
        </w:tc>
        <w:tc>
          <w:tcPr>
            <w:tcW w:w="643" w:type="pct"/>
            <w:tcBorders>
              <w:tl2br w:val="nil"/>
              <w:tr2bl w:val="nil"/>
            </w:tcBorders>
            <w:vAlign w:val="center"/>
          </w:tcPr>
          <w:p w14:paraId="758F9630">
            <w:pPr>
              <w:jc w:val="center"/>
            </w:pPr>
            <w:r>
              <w:t>0.02280</w:t>
            </w:r>
          </w:p>
        </w:tc>
        <w:tc>
          <w:tcPr>
            <w:tcW w:w="643" w:type="pct"/>
            <w:tcBorders>
              <w:tl2br w:val="nil"/>
              <w:tr2bl w:val="nil"/>
            </w:tcBorders>
            <w:vAlign w:val="center"/>
          </w:tcPr>
          <w:p w14:paraId="4DAFC2E5">
            <w:pPr>
              <w:jc w:val="center"/>
            </w:pPr>
            <w:r>
              <w:t>11.90000</w:t>
            </w:r>
          </w:p>
        </w:tc>
        <w:tc>
          <w:tcPr>
            <w:tcW w:w="643" w:type="pct"/>
            <w:tcBorders>
              <w:tl2br w:val="nil"/>
              <w:tr2bl w:val="nil"/>
            </w:tcBorders>
            <w:vAlign w:val="center"/>
          </w:tcPr>
          <w:p w14:paraId="525CCDEF">
            <w:pPr>
              <w:jc w:val="center"/>
            </w:pPr>
            <w:r>
              <w:t>71.60000</w:t>
            </w:r>
          </w:p>
        </w:tc>
        <w:tc>
          <w:tcPr>
            <w:tcW w:w="643" w:type="pct"/>
            <w:tcBorders>
              <w:tl2br w:val="nil"/>
              <w:tr2bl w:val="nil"/>
            </w:tcBorders>
            <w:vAlign w:val="center"/>
          </w:tcPr>
          <w:p w14:paraId="5F3D2F21">
            <w:pPr>
              <w:jc w:val="center"/>
            </w:pPr>
            <w:r>
              <w:t>146.00000</w:t>
            </w:r>
          </w:p>
        </w:tc>
      </w:tr>
      <w:tr w14:paraId="21BF643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94" w:type="pct"/>
            <w:tcBorders>
              <w:tl2br w:val="nil"/>
              <w:tr2bl w:val="nil"/>
            </w:tcBorders>
            <w:vAlign w:val="center"/>
          </w:tcPr>
          <w:p w14:paraId="071F60E2">
            <w:pPr>
              <w:jc w:val="center"/>
            </w:pPr>
            <w:r>
              <w:t>140</w:t>
            </w:r>
          </w:p>
        </w:tc>
        <w:tc>
          <w:tcPr>
            <w:tcW w:w="643" w:type="pct"/>
            <w:tcBorders>
              <w:tl2br w:val="nil"/>
              <w:tr2bl w:val="nil"/>
            </w:tcBorders>
            <w:vAlign w:val="center"/>
          </w:tcPr>
          <w:p w14:paraId="7FA6201F">
            <w:pPr>
              <w:jc w:val="center"/>
            </w:pPr>
            <w:r>
              <w:t>0.00000</w:t>
            </w:r>
          </w:p>
        </w:tc>
        <w:tc>
          <w:tcPr>
            <w:tcW w:w="643" w:type="pct"/>
            <w:tcBorders>
              <w:tl2br w:val="nil"/>
              <w:tr2bl w:val="nil"/>
            </w:tcBorders>
            <w:vAlign w:val="center"/>
          </w:tcPr>
          <w:p w14:paraId="7CF34A1A">
            <w:pPr>
              <w:jc w:val="center"/>
            </w:pPr>
            <w:r>
              <w:t>0.00000</w:t>
            </w:r>
          </w:p>
        </w:tc>
        <w:tc>
          <w:tcPr>
            <w:tcW w:w="643" w:type="pct"/>
            <w:tcBorders>
              <w:tl2br w:val="nil"/>
              <w:tr2bl w:val="nil"/>
            </w:tcBorders>
            <w:vAlign w:val="center"/>
          </w:tcPr>
          <w:p w14:paraId="41F8A758">
            <w:pPr>
              <w:jc w:val="center"/>
            </w:pPr>
            <w:r>
              <w:t>0.00000</w:t>
            </w:r>
          </w:p>
        </w:tc>
        <w:tc>
          <w:tcPr>
            <w:tcW w:w="643" w:type="pct"/>
            <w:tcBorders>
              <w:tl2br w:val="nil"/>
              <w:tr2bl w:val="nil"/>
            </w:tcBorders>
            <w:vAlign w:val="center"/>
          </w:tcPr>
          <w:p w14:paraId="11FCFC78">
            <w:pPr>
              <w:jc w:val="center"/>
            </w:pPr>
            <w:r>
              <w:t>0.00423</w:t>
            </w:r>
          </w:p>
        </w:tc>
        <w:tc>
          <w:tcPr>
            <w:tcW w:w="643" w:type="pct"/>
            <w:tcBorders>
              <w:tl2br w:val="nil"/>
              <w:tr2bl w:val="nil"/>
            </w:tcBorders>
            <w:vAlign w:val="center"/>
          </w:tcPr>
          <w:p w14:paraId="6A92CCDE">
            <w:pPr>
              <w:jc w:val="center"/>
            </w:pPr>
            <w:r>
              <w:t>6.26000</w:t>
            </w:r>
          </w:p>
        </w:tc>
        <w:tc>
          <w:tcPr>
            <w:tcW w:w="643" w:type="pct"/>
            <w:tcBorders>
              <w:tl2br w:val="nil"/>
              <w:tr2bl w:val="nil"/>
            </w:tcBorders>
            <w:vAlign w:val="center"/>
          </w:tcPr>
          <w:p w14:paraId="44173933">
            <w:pPr>
              <w:jc w:val="center"/>
            </w:pPr>
            <w:r>
              <w:t>52.50000</w:t>
            </w:r>
          </w:p>
        </w:tc>
        <w:tc>
          <w:tcPr>
            <w:tcW w:w="643" w:type="pct"/>
            <w:tcBorders>
              <w:tl2br w:val="nil"/>
              <w:tr2bl w:val="nil"/>
            </w:tcBorders>
            <w:vAlign w:val="center"/>
          </w:tcPr>
          <w:p w14:paraId="73053363">
            <w:pPr>
              <w:jc w:val="center"/>
            </w:pPr>
            <w:r>
              <w:t>125.00000</w:t>
            </w:r>
          </w:p>
        </w:tc>
      </w:tr>
      <w:tr w14:paraId="7935968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94" w:type="pct"/>
            <w:tcBorders>
              <w:tl2br w:val="nil"/>
              <w:tr2bl w:val="nil"/>
            </w:tcBorders>
            <w:vAlign w:val="center"/>
          </w:tcPr>
          <w:p w14:paraId="1FA91B24">
            <w:pPr>
              <w:jc w:val="center"/>
            </w:pPr>
            <w:r>
              <w:t>150</w:t>
            </w:r>
          </w:p>
        </w:tc>
        <w:tc>
          <w:tcPr>
            <w:tcW w:w="643" w:type="pct"/>
            <w:tcBorders>
              <w:tl2br w:val="nil"/>
              <w:tr2bl w:val="nil"/>
            </w:tcBorders>
            <w:vAlign w:val="center"/>
          </w:tcPr>
          <w:p w14:paraId="426C458A">
            <w:pPr>
              <w:jc w:val="center"/>
            </w:pPr>
            <w:r>
              <w:t>0.00000</w:t>
            </w:r>
          </w:p>
        </w:tc>
        <w:tc>
          <w:tcPr>
            <w:tcW w:w="643" w:type="pct"/>
            <w:tcBorders>
              <w:tl2br w:val="nil"/>
              <w:tr2bl w:val="nil"/>
            </w:tcBorders>
            <w:vAlign w:val="center"/>
          </w:tcPr>
          <w:p w14:paraId="2EF6349F">
            <w:pPr>
              <w:jc w:val="center"/>
            </w:pPr>
            <w:r>
              <w:t>0.00000</w:t>
            </w:r>
          </w:p>
        </w:tc>
        <w:tc>
          <w:tcPr>
            <w:tcW w:w="643" w:type="pct"/>
            <w:tcBorders>
              <w:tl2br w:val="nil"/>
              <w:tr2bl w:val="nil"/>
            </w:tcBorders>
            <w:vAlign w:val="center"/>
          </w:tcPr>
          <w:p w14:paraId="08854765">
            <w:pPr>
              <w:jc w:val="center"/>
            </w:pPr>
            <w:r>
              <w:t>0.00000</w:t>
            </w:r>
          </w:p>
        </w:tc>
        <w:tc>
          <w:tcPr>
            <w:tcW w:w="643" w:type="pct"/>
            <w:tcBorders>
              <w:tl2br w:val="nil"/>
              <w:tr2bl w:val="nil"/>
            </w:tcBorders>
            <w:vAlign w:val="center"/>
          </w:tcPr>
          <w:p w14:paraId="410377F2">
            <w:pPr>
              <w:jc w:val="center"/>
            </w:pPr>
            <w:r>
              <w:t>0.00070</w:t>
            </w:r>
          </w:p>
        </w:tc>
        <w:tc>
          <w:tcPr>
            <w:tcW w:w="643" w:type="pct"/>
            <w:tcBorders>
              <w:tl2br w:val="nil"/>
              <w:tr2bl w:val="nil"/>
            </w:tcBorders>
            <w:vAlign w:val="center"/>
          </w:tcPr>
          <w:p w14:paraId="2C826F3E">
            <w:pPr>
              <w:jc w:val="center"/>
            </w:pPr>
            <w:r>
              <w:t>3.06000</w:t>
            </w:r>
          </w:p>
        </w:tc>
        <w:tc>
          <w:tcPr>
            <w:tcW w:w="643" w:type="pct"/>
            <w:tcBorders>
              <w:tl2br w:val="nil"/>
              <w:tr2bl w:val="nil"/>
            </w:tcBorders>
            <w:vAlign w:val="center"/>
          </w:tcPr>
          <w:p w14:paraId="3E341F3D">
            <w:pPr>
              <w:jc w:val="center"/>
            </w:pPr>
            <w:r>
              <w:t>36.90000</w:t>
            </w:r>
          </w:p>
        </w:tc>
        <w:tc>
          <w:tcPr>
            <w:tcW w:w="643" w:type="pct"/>
            <w:tcBorders>
              <w:tl2br w:val="nil"/>
              <w:tr2bl w:val="nil"/>
            </w:tcBorders>
            <w:vAlign w:val="center"/>
          </w:tcPr>
          <w:p w14:paraId="0A1B58AC">
            <w:pPr>
              <w:jc w:val="center"/>
            </w:pPr>
            <w:r>
              <w:t>103.00000</w:t>
            </w:r>
          </w:p>
        </w:tc>
      </w:tr>
      <w:tr w14:paraId="5B8242A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PrEx>
        <w:trPr>
          <w:trHeight w:val="290" w:hRule="atLeast"/>
        </w:trPr>
        <w:tc>
          <w:tcPr>
            <w:tcW w:w="494" w:type="pct"/>
            <w:tcBorders>
              <w:tl2br w:val="nil"/>
              <w:tr2bl w:val="nil"/>
            </w:tcBorders>
            <w:vAlign w:val="center"/>
          </w:tcPr>
          <w:p w14:paraId="5484A8F2">
            <w:pPr>
              <w:jc w:val="center"/>
            </w:pPr>
            <w:r>
              <w:t>160</w:t>
            </w:r>
          </w:p>
        </w:tc>
        <w:tc>
          <w:tcPr>
            <w:tcW w:w="643" w:type="pct"/>
            <w:tcBorders>
              <w:tl2br w:val="nil"/>
              <w:tr2bl w:val="nil"/>
            </w:tcBorders>
            <w:vAlign w:val="center"/>
          </w:tcPr>
          <w:p w14:paraId="658C4614">
            <w:pPr>
              <w:jc w:val="center"/>
            </w:pPr>
            <w:r>
              <w:t>0.00000</w:t>
            </w:r>
          </w:p>
        </w:tc>
        <w:tc>
          <w:tcPr>
            <w:tcW w:w="643" w:type="pct"/>
            <w:tcBorders>
              <w:tl2br w:val="nil"/>
              <w:tr2bl w:val="nil"/>
            </w:tcBorders>
            <w:vAlign w:val="center"/>
          </w:tcPr>
          <w:p w14:paraId="41EACB02">
            <w:pPr>
              <w:jc w:val="center"/>
            </w:pPr>
            <w:r>
              <w:t>0.00000</w:t>
            </w:r>
          </w:p>
        </w:tc>
        <w:tc>
          <w:tcPr>
            <w:tcW w:w="643" w:type="pct"/>
            <w:tcBorders>
              <w:tl2br w:val="nil"/>
              <w:tr2bl w:val="nil"/>
            </w:tcBorders>
            <w:vAlign w:val="center"/>
          </w:tcPr>
          <w:p w14:paraId="4B414E53">
            <w:pPr>
              <w:jc w:val="center"/>
            </w:pPr>
            <w:r>
              <w:t>0.00000</w:t>
            </w:r>
          </w:p>
        </w:tc>
        <w:tc>
          <w:tcPr>
            <w:tcW w:w="643" w:type="pct"/>
            <w:tcBorders>
              <w:tl2br w:val="nil"/>
              <w:tr2bl w:val="nil"/>
            </w:tcBorders>
            <w:vAlign w:val="center"/>
          </w:tcPr>
          <w:p w14:paraId="59BFD38B">
            <w:pPr>
              <w:jc w:val="center"/>
            </w:pPr>
            <w:r>
              <w:t>0.00009</w:t>
            </w:r>
          </w:p>
        </w:tc>
        <w:tc>
          <w:tcPr>
            <w:tcW w:w="643" w:type="pct"/>
            <w:tcBorders>
              <w:tl2br w:val="nil"/>
              <w:tr2bl w:val="nil"/>
            </w:tcBorders>
            <w:vAlign w:val="center"/>
          </w:tcPr>
          <w:p w14:paraId="3AB58E92">
            <w:pPr>
              <w:jc w:val="center"/>
            </w:pPr>
            <w:r>
              <w:t>1.40000</w:t>
            </w:r>
          </w:p>
        </w:tc>
        <w:tc>
          <w:tcPr>
            <w:tcW w:w="643" w:type="pct"/>
            <w:tcBorders>
              <w:tl2br w:val="nil"/>
              <w:tr2bl w:val="nil"/>
            </w:tcBorders>
            <w:vAlign w:val="center"/>
          </w:tcPr>
          <w:p w14:paraId="5290A080">
            <w:pPr>
              <w:jc w:val="center"/>
            </w:pPr>
            <w:r>
              <w:t>24.80000</w:t>
            </w:r>
          </w:p>
        </w:tc>
        <w:tc>
          <w:tcPr>
            <w:tcW w:w="643" w:type="pct"/>
            <w:tcBorders>
              <w:tl2br w:val="nil"/>
              <w:tr2bl w:val="nil"/>
            </w:tcBorders>
            <w:vAlign w:val="center"/>
          </w:tcPr>
          <w:p w14:paraId="3A1B6D95">
            <w:pPr>
              <w:jc w:val="center"/>
            </w:pPr>
            <w:r>
              <w:t>83.40000</w:t>
            </w:r>
          </w:p>
        </w:tc>
      </w:tr>
      <w:tr w14:paraId="1925130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3A7504DD">
            <w:pPr>
              <w:jc w:val="center"/>
            </w:pPr>
            <w:r>
              <w:t>170</w:t>
            </w:r>
          </w:p>
        </w:tc>
        <w:tc>
          <w:tcPr>
            <w:tcW w:w="643" w:type="pct"/>
            <w:tcBorders>
              <w:tl2br w:val="nil"/>
              <w:tr2bl w:val="nil"/>
            </w:tcBorders>
            <w:vAlign w:val="center"/>
          </w:tcPr>
          <w:p w14:paraId="699D2479">
            <w:pPr>
              <w:jc w:val="center"/>
            </w:pPr>
            <w:r>
              <w:t>0.00000</w:t>
            </w:r>
          </w:p>
        </w:tc>
        <w:tc>
          <w:tcPr>
            <w:tcW w:w="643" w:type="pct"/>
            <w:tcBorders>
              <w:tl2br w:val="nil"/>
              <w:tr2bl w:val="nil"/>
            </w:tcBorders>
            <w:vAlign w:val="center"/>
          </w:tcPr>
          <w:p w14:paraId="666F0057">
            <w:pPr>
              <w:jc w:val="center"/>
            </w:pPr>
            <w:r>
              <w:t>0.00000</w:t>
            </w:r>
          </w:p>
        </w:tc>
        <w:tc>
          <w:tcPr>
            <w:tcW w:w="643" w:type="pct"/>
            <w:tcBorders>
              <w:tl2br w:val="nil"/>
              <w:tr2bl w:val="nil"/>
            </w:tcBorders>
            <w:vAlign w:val="center"/>
          </w:tcPr>
          <w:p w14:paraId="36B9ED70">
            <w:pPr>
              <w:jc w:val="center"/>
            </w:pPr>
            <w:r>
              <w:t>0.00000</w:t>
            </w:r>
          </w:p>
        </w:tc>
        <w:tc>
          <w:tcPr>
            <w:tcW w:w="643" w:type="pct"/>
            <w:tcBorders>
              <w:tl2br w:val="nil"/>
              <w:tr2bl w:val="nil"/>
            </w:tcBorders>
            <w:vAlign w:val="center"/>
          </w:tcPr>
          <w:p w14:paraId="4BDE708B">
            <w:pPr>
              <w:jc w:val="center"/>
            </w:pPr>
            <w:r>
              <w:t>0.00001</w:t>
            </w:r>
          </w:p>
        </w:tc>
        <w:tc>
          <w:tcPr>
            <w:tcW w:w="643" w:type="pct"/>
            <w:tcBorders>
              <w:tl2br w:val="nil"/>
              <w:tr2bl w:val="nil"/>
            </w:tcBorders>
            <w:vAlign w:val="center"/>
          </w:tcPr>
          <w:p w14:paraId="1479D309">
            <w:pPr>
              <w:jc w:val="center"/>
            </w:pPr>
            <w:r>
              <w:t>0.59200</w:t>
            </w:r>
          </w:p>
        </w:tc>
        <w:tc>
          <w:tcPr>
            <w:tcW w:w="643" w:type="pct"/>
            <w:tcBorders>
              <w:tl2br w:val="nil"/>
              <w:tr2bl w:val="nil"/>
            </w:tcBorders>
            <w:vAlign w:val="center"/>
          </w:tcPr>
          <w:p w14:paraId="37A5B987">
            <w:pPr>
              <w:jc w:val="center"/>
            </w:pPr>
            <w:r>
              <w:t>15.90000</w:t>
            </w:r>
          </w:p>
        </w:tc>
        <w:tc>
          <w:tcPr>
            <w:tcW w:w="643" w:type="pct"/>
            <w:tcBorders>
              <w:tl2br w:val="nil"/>
              <w:tr2bl w:val="nil"/>
            </w:tcBorders>
            <w:vAlign w:val="center"/>
          </w:tcPr>
          <w:p w14:paraId="6615CFA4">
            <w:pPr>
              <w:jc w:val="center"/>
            </w:pPr>
            <w:r>
              <w:t>65.30000</w:t>
            </w:r>
          </w:p>
        </w:tc>
      </w:tr>
      <w:tr w14:paraId="7509CF4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31BFB78B">
            <w:pPr>
              <w:jc w:val="center"/>
            </w:pPr>
            <w:r>
              <w:t>180</w:t>
            </w:r>
          </w:p>
        </w:tc>
        <w:tc>
          <w:tcPr>
            <w:tcW w:w="643" w:type="pct"/>
            <w:tcBorders>
              <w:tl2br w:val="nil"/>
              <w:tr2bl w:val="nil"/>
            </w:tcBorders>
            <w:vAlign w:val="center"/>
          </w:tcPr>
          <w:p w14:paraId="37C90DFB">
            <w:pPr>
              <w:jc w:val="center"/>
            </w:pPr>
            <w:r>
              <w:t>0.00000</w:t>
            </w:r>
          </w:p>
        </w:tc>
        <w:tc>
          <w:tcPr>
            <w:tcW w:w="643" w:type="pct"/>
            <w:tcBorders>
              <w:tl2br w:val="nil"/>
              <w:tr2bl w:val="nil"/>
            </w:tcBorders>
            <w:vAlign w:val="center"/>
          </w:tcPr>
          <w:p w14:paraId="5E71C5FB">
            <w:pPr>
              <w:jc w:val="center"/>
            </w:pPr>
            <w:r>
              <w:t>0.00000</w:t>
            </w:r>
          </w:p>
        </w:tc>
        <w:tc>
          <w:tcPr>
            <w:tcW w:w="643" w:type="pct"/>
            <w:tcBorders>
              <w:tl2br w:val="nil"/>
              <w:tr2bl w:val="nil"/>
            </w:tcBorders>
            <w:vAlign w:val="center"/>
          </w:tcPr>
          <w:p w14:paraId="74FF975B">
            <w:pPr>
              <w:jc w:val="center"/>
            </w:pPr>
            <w:r>
              <w:t>0.00000</w:t>
            </w:r>
          </w:p>
        </w:tc>
        <w:tc>
          <w:tcPr>
            <w:tcW w:w="643" w:type="pct"/>
            <w:tcBorders>
              <w:tl2br w:val="nil"/>
              <w:tr2bl w:val="nil"/>
            </w:tcBorders>
            <w:vAlign w:val="center"/>
          </w:tcPr>
          <w:p w14:paraId="0E5E8D77">
            <w:pPr>
              <w:jc w:val="center"/>
            </w:pPr>
            <w:r>
              <w:t>0.00000</w:t>
            </w:r>
          </w:p>
        </w:tc>
        <w:tc>
          <w:tcPr>
            <w:tcW w:w="643" w:type="pct"/>
            <w:tcBorders>
              <w:tl2br w:val="nil"/>
              <w:tr2bl w:val="nil"/>
            </w:tcBorders>
            <w:vAlign w:val="center"/>
          </w:tcPr>
          <w:p w14:paraId="382AB6DF">
            <w:pPr>
              <w:jc w:val="center"/>
            </w:pPr>
            <w:r>
              <w:t>0.23300</w:t>
            </w:r>
          </w:p>
        </w:tc>
        <w:tc>
          <w:tcPr>
            <w:tcW w:w="643" w:type="pct"/>
            <w:tcBorders>
              <w:tl2br w:val="nil"/>
              <w:tr2bl w:val="nil"/>
            </w:tcBorders>
            <w:vAlign w:val="center"/>
          </w:tcPr>
          <w:p w14:paraId="2BA28C81">
            <w:pPr>
              <w:jc w:val="center"/>
            </w:pPr>
            <w:r>
              <w:t>9.79000</w:t>
            </w:r>
          </w:p>
        </w:tc>
        <w:tc>
          <w:tcPr>
            <w:tcW w:w="643" w:type="pct"/>
            <w:tcBorders>
              <w:tl2br w:val="nil"/>
              <w:tr2bl w:val="nil"/>
            </w:tcBorders>
            <w:vAlign w:val="center"/>
          </w:tcPr>
          <w:p w14:paraId="6DC224B1">
            <w:pPr>
              <w:jc w:val="center"/>
            </w:pPr>
            <w:r>
              <w:t>49.60000</w:t>
            </w:r>
          </w:p>
        </w:tc>
      </w:tr>
      <w:tr w14:paraId="04AAA26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793CF440">
            <w:pPr>
              <w:jc w:val="center"/>
            </w:pPr>
            <w:r>
              <w:t>190</w:t>
            </w:r>
          </w:p>
        </w:tc>
        <w:tc>
          <w:tcPr>
            <w:tcW w:w="643" w:type="pct"/>
            <w:tcBorders>
              <w:tl2br w:val="nil"/>
              <w:tr2bl w:val="nil"/>
            </w:tcBorders>
            <w:vAlign w:val="center"/>
          </w:tcPr>
          <w:p w14:paraId="05B9B308">
            <w:pPr>
              <w:jc w:val="center"/>
            </w:pPr>
            <w:r>
              <w:t>0.00000</w:t>
            </w:r>
          </w:p>
        </w:tc>
        <w:tc>
          <w:tcPr>
            <w:tcW w:w="643" w:type="pct"/>
            <w:tcBorders>
              <w:tl2br w:val="nil"/>
              <w:tr2bl w:val="nil"/>
            </w:tcBorders>
            <w:vAlign w:val="center"/>
          </w:tcPr>
          <w:p w14:paraId="036CC86D">
            <w:pPr>
              <w:jc w:val="center"/>
            </w:pPr>
            <w:r>
              <w:t>0.00000</w:t>
            </w:r>
          </w:p>
        </w:tc>
        <w:tc>
          <w:tcPr>
            <w:tcW w:w="643" w:type="pct"/>
            <w:tcBorders>
              <w:tl2br w:val="nil"/>
              <w:tr2bl w:val="nil"/>
            </w:tcBorders>
            <w:vAlign w:val="center"/>
          </w:tcPr>
          <w:p w14:paraId="26B1D570">
            <w:pPr>
              <w:jc w:val="center"/>
            </w:pPr>
            <w:r>
              <w:t>0.00000</w:t>
            </w:r>
          </w:p>
        </w:tc>
        <w:tc>
          <w:tcPr>
            <w:tcW w:w="643" w:type="pct"/>
            <w:tcBorders>
              <w:tl2br w:val="nil"/>
              <w:tr2bl w:val="nil"/>
            </w:tcBorders>
            <w:vAlign w:val="center"/>
          </w:tcPr>
          <w:p w14:paraId="6C9E7B3D">
            <w:pPr>
              <w:jc w:val="center"/>
            </w:pPr>
            <w:r>
              <w:t>0.00000</w:t>
            </w:r>
          </w:p>
        </w:tc>
        <w:tc>
          <w:tcPr>
            <w:tcW w:w="643" w:type="pct"/>
            <w:tcBorders>
              <w:tl2br w:val="nil"/>
              <w:tr2bl w:val="nil"/>
            </w:tcBorders>
            <w:vAlign w:val="center"/>
          </w:tcPr>
          <w:p w14:paraId="39122717">
            <w:pPr>
              <w:jc w:val="center"/>
            </w:pPr>
            <w:r>
              <w:t>0.08760</w:t>
            </w:r>
          </w:p>
        </w:tc>
        <w:tc>
          <w:tcPr>
            <w:tcW w:w="643" w:type="pct"/>
            <w:tcBorders>
              <w:tl2br w:val="nil"/>
              <w:tr2bl w:val="nil"/>
            </w:tcBorders>
            <w:vAlign w:val="center"/>
          </w:tcPr>
          <w:p w14:paraId="7D531D9C">
            <w:pPr>
              <w:jc w:val="center"/>
            </w:pPr>
            <w:r>
              <w:t>5.74000</w:t>
            </w:r>
          </w:p>
        </w:tc>
        <w:tc>
          <w:tcPr>
            <w:tcW w:w="643" w:type="pct"/>
            <w:tcBorders>
              <w:tl2br w:val="nil"/>
              <w:tr2bl w:val="nil"/>
            </w:tcBorders>
            <w:vAlign w:val="center"/>
          </w:tcPr>
          <w:p w14:paraId="76347D51">
            <w:pPr>
              <w:jc w:val="center"/>
            </w:pPr>
            <w:r>
              <w:t>36.40000</w:t>
            </w:r>
          </w:p>
        </w:tc>
      </w:tr>
      <w:tr w14:paraId="3F075B6C">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521494AF">
            <w:pPr>
              <w:jc w:val="center"/>
            </w:pPr>
            <w:r>
              <w:t>200</w:t>
            </w:r>
          </w:p>
        </w:tc>
        <w:tc>
          <w:tcPr>
            <w:tcW w:w="643" w:type="pct"/>
            <w:tcBorders>
              <w:tl2br w:val="nil"/>
              <w:tr2bl w:val="nil"/>
            </w:tcBorders>
            <w:vAlign w:val="center"/>
          </w:tcPr>
          <w:p w14:paraId="208ECAAA">
            <w:pPr>
              <w:jc w:val="center"/>
            </w:pPr>
            <w:r>
              <w:t>0.00000</w:t>
            </w:r>
          </w:p>
        </w:tc>
        <w:tc>
          <w:tcPr>
            <w:tcW w:w="643" w:type="pct"/>
            <w:tcBorders>
              <w:tl2br w:val="nil"/>
              <w:tr2bl w:val="nil"/>
            </w:tcBorders>
            <w:vAlign w:val="center"/>
          </w:tcPr>
          <w:p w14:paraId="6D5B2470">
            <w:pPr>
              <w:jc w:val="center"/>
            </w:pPr>
            <w:r>
              <w:t>0.00000</w:t>
            </w:r>
          </w:p>
        </w:tc>
        <w:tc>
          <w:tcPr>
            <w:tcW w:w="643" w:type="pct"/>
            <w:tcBorders>
              <w:tl2br w:val="nil"/>
              <w:tr2bl w:val="nil"/>
            </w:tcBorders>
            <w:vAlign w:val="center"/>
          </w:tcPr>
          <w:p w14:paraId="2620A244">
            <w:pPr>
              <w:jc w:val="center"/>
            </w:pPr>
            <w:r>
              <w:t>0.00000</w:t>
            </w:r>
          </w:p>
        </w:tc>
        <w:tc>
          <w:tcPr>
            <w:tcW w:w="643" w:type="pct"/>
            <w:tcBorders>
              <w:tl2br w:val="nil"/>
              <w:tr2bl w:val="nil"/>
            </w:tcBorders>
            <w:vAlign w:val="center"/>
          </w:tcPr>
          <w:p w14:paraId="209B3037">
            <w:pPr>
              <w:jc w:val="center"/>
            </w:pPr>
            <w:r>
              <w:t>0.00000</w:t>
            </w:r>
          </w:p>
        </w:tc>
        <w:tc>
          <w:tcPr>
            <w:tcW w:w="643" w:type="pct"/>
            <w:tcBorders>
              <w:tl2br w:val="nil"/>
              <w:tr2bl w:val="nil"/>
            </w:tcBorders>
            <w:vAlign w:val="center"/>
          </w:tcPr>
          <w:p w14:paraId="67FA645A">
            <w:pPr>
              <w:jc w:val="center"/>
            </w:pPr>
            <w:r>
              <w:t>0.02970</w:t>
            </w:r>
          </w:p>
        </w:tc>
        <w:tc>
          <w:tcPr>
            <w:tcW w:w="643" w:type="pct"/>
            <w:tcBorders>
              <w:tl2br w:val="nil"/>
              <w:tr2bl w:val="nil"/>
            </w:tcBorders>
            <w:vAlign w:val="center"/>
          </w:tcPr>
          <w:p w14:paraId="01E8935F">
            <w:pPr>
              <w:jc w:val="center"/>
            </w:pPr>
            <w:r>
              <w:t>3.21000</w:t>
            </w:r>
          </w:p>
        </w:tc>
        <w:tc>
          <w:tcPr>
            <w:tcW w:w="643" w:type="pct"/>
            <w:tcBorders>
              <w:tl2br w:val="nil"/>
              <w:tr2bl w:val="nil"/>
            </w:tcBorders>
            <w:vAlign w:val="center"/>
          </w:tcPr>
          <w:p w14:paraId="48D0CC73">
            <w:pPr>
              <w:jc w:val="center"/>
            </w:pPr>
            <w:r>
              <w:t>25.90000</w:t>
            </w:r>
          </w:p>
        </w:tc>
      </w:tr>
      <w:tr w14:paraId="5BC5742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11060A77">
            <w:pPr>
              <w:jc w:val="center"/>
            </w:pPr>
            <w:r>
              <w:t>210</w:t>
            </w:r>
          </w:p>
        </w:tc>
        <w:tc>
          <w:tcPr>
            <w:tcW w:w="643" w:type="pct"/>
            <w:tcBorders>
              <w:tl2br w:val="nil"/>
              <w:tr2bl w:val="nil"/>
            </w:tcBorders>
            <w:vAlign w:val="center"/>
          </w:tcPr>
          <w:p w14:paraId="0ACE4E80">
            <w:pPr>
              <w:jc w:val="center"/>
            </w:pPr>
            <w:r>
              <w:t>0.00000</w:t>
            </w:r>
          </w:p>
        </w:tc>
        <w:tc>
          <w:tcPr>
            <w:tcW w:w="643" w:type="pct"/>
            <w:tcBorders>
              <w:tl2br w:val="nil"/>
              <w:tr2bl w:val="nil"/>
            </w:tcBorders>
            <w:vAlign w:val="center"/>
          </w:tcPr>
          <w:p w14:paraId="61374F8F">
            <w:pPr>
              <w:jc w:val="center"/>
            </w:pPr>
            <w:r>
              <w:t>0.00000</w:t>
            </w:r>
          </w:p>
        </w:tc>
        <w:tc>
          <w:tcPr>
            <w:tcW w:w="643" w:type="pct"/>
            <w:tcBorders>
              <w:tl2br w:val="nil"/>
              <w:tr2bl w:val="nil"/>
            </w:tcBorders>
            <w:vAlign w:val="center"/>
          </w:tcPr>
          <w:p w14:paraId="41615766">
            <w:pPr>
              <w:jc w:val="center"/>
            </w:pPr>
            <w:r>
              <w:t>0.00000</w:t>
            </w:r>
          </w:p>
        </w:tc>
        <w:tc>
          <w:tcPr>
            <w:tcW w:w="643" w:type="pct"/>
            <w:tcBorders>
              <w:tl2br w:val="nil"/>
              <w:tr2bl w:val="nil"/>
            </w:tcBorders>
            <w:vAlign w:val="center"/>
          </w:tcPr>
          <w:p w14:paraId="6777E3D1">
            <w:pPr>
              <w:jc w:val="center"/>
            </w:pPr>
            <w:r>
              <w:t>0.00000</w:t>
            </w:r>
          </w:p>
        </w:tc>
        <w:tc>
          <w:tcPr>
            <w:tcW w:w="643" w:type="pct"/>
            <w:tcBorders>
              <w:tl2br w:val="nil"/>
              <w:tr2bl w:val="nil"/>
            </w:tcBorders>
            <w:vAlign w:val="center"/>
          </w:tcPr>
          <w:p w14:paraId="56985159">
            <w:pPr>
              <w:jc w:val="center"/>
            </w:pPr>
            <w:r>
              <w:t>0.00934</w:t>
            </w:r>
          </w:p>
        </w:tc>
        <w:tc>
          <w:tcPr>
            <w:tcW w:w="643" w:type="pct"/>
            <w:tcBorders>
              <w:tl2br w:val="nil"/>
              <w:tr2bl w:val="nil"/>
            </w:tcBorders>
            <w:vAlign w:val="center"/>
          </w:tcPr>
          <w:p w14:paraId="29D38100">
            <w:pPr>
              <w:jc w:val="center"/>
            </w:pPr>
            <w:r>
              <w:t>1.71000</w:t>
            </w:r>
          </w:p>
        </w:tc>
        <w:tc>
          <w:tcPr>
            <w:tcW w:w="643" w:type="pct"/>
            <w:tcBorders>
              <w:tl2br w:val="nil"/>
              <w:tr2bl w:val="nil"/>
            </w:tcBorders>
            <w:vAlign w:val="center"/>
          </w:tcPr>
          <w:p w14:paraId="254531BB">
            <w:pPr>
              <w:jc w:val="center"/>
            </w:pPr>
            <w:r>
              <w:t>17.80000</w:t>
            </w:r>
          </w:p>
        </w:tc>
      </w:tr>
      <w:tr w14:paraId="0628CD9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269177AD">
            <w:pPr>
              <w:jc w:val="center"/>
            </w:pPr>
            <w:r>
              <w:t>220</w:t>
            </w:r>
          </w:p>
        </w:tc>
        <w:tc>
          <w:tcPr>
            <w:tcW w:w="643" w:type="pct"/>
            <w:tcBorders>
              <w:tl2br w:val="nil"/>
              <w:tr2bl w:val="nil"/>
            </w:tcBorders>
            <w:vAlign w:val="center"/>
          </w:tcPr>
          <w:p w14:paraId="480E6E44">
            <w:pPr>
              <w:jc w:val="center"/>
            </w:pPr>
            <w:r>
              <w:t>0.00000</w:t>
            </w:r>
          </w:p>
        </w:tc>
        <w:tc>
          <w:tcPr>
            <w:tcW w:w="643" w:type="pct"/>
            <w:tcBorders>
              <w:tl2br w:val="nil"/>
              <w:tr2bl w:val="nil"/>
            </w:tcBorders>
            <w:vAlign w:val="center"/>
          </w:tcPr>
          <w:p w14:paraId="1AFC659E">
            <w:pPr>
              <w:jc w:val="center"/>
            </w:pPr>
            <w:r>
              <w:t>0.00000</w:t>
            </w:r>
          </w:p>
        </w:tc>
        <w:tc>
          <w:tcPr>
            <w:tcW w:w="643" w:type="pct"/>
            <w:tcBorders>
              <w:tl2br w:val="nil"/>
              <w:tr2bl w:val="nil"/>
            </w:tcBorders>
            <w:vAlign w:val="center"/>
          </w:tcPr>
          <w:p w14:paraId="2CE4500C">
            <w:pPr>
              <w:jc w:val="center"/>
            </w:pPr>
            <w:r>
              <w:t>0.00000</w:t>
            </w:r>
          </w:p>
        </w:tc>
        <w:tc>
          <w:tcPr>
            <w:tcW w:w="643" w:type="pct"/>
            <w:tcBorders>
              <w:tl2br w:val="nil"/>
              <w:tr2bl w:val="nil"/>
            </w:tcBorders>
            <w:vAlign w:val="center"/>
          </w:tcPr>
          <w:p w14:paraId="072035E4">
            <w:pPr>
              <w:jc w:val="center"/>
            </w:pPr>
            <w:r>
              <w:t>0.00000</w:t>
            </w:r>
          </w:p>
        </w:tc>
        <w:tc>
          <w:tcPr>
            <w:tcW w:w="643" w:type="pct"/>
            <w:tcBorders>
              <w:tl2br w:val="nil"/>
              <w:tr2bl w:val="nil"/>
            </w:tcBorders>
            <w:vAlign w:val="center"/>
          </w:tcPr>
          <w:p w14:paraId="159E4AE5">
            <w:pPr>
              <w:jc w:val="center"/>
            </w:pPr>
            <w:r>
              <w:t>0.00273</w:t>
            </w:r>
          </w:p>
        </w:tc>
        <w:tc>
          <w:tcPr>
            <w:tcW w:w="643" w:type="pct"/>
            <w:tcBorders>
              <w:tl2br w:val="nil"/>
              <w:tr2bl w:val="nil"/>
            </w:tcBorders>
            <w:vAlign w:val="center"/>
          </w:tcPr>
          <w:p w14:paraId="069F9458">
            <w:pPr>
              <w:jc w:val="center"/>
            </w:pPr>
            <w:r>
              <w:t>0.88800</w:t>
            </w:r>
          </w:p>
        </w:tc>
        <w:tc>
          <w:tcPr>
            <w:tcW w:w="643" w:type="pct"/>
            <w:tcBorders>
              <w:tl2br w:val="nil"/>
              <w:tr2bl w:val="nil"/>
            </w:tcBorders>
            <w:vAlign w:val="center"/>
          </w:tcPr>
          <w:p w14:paraId="4F15FD16">
            <w:pPr>
              <w:jc w:val="center"/>
            </w:pPr>
            <w:r>
              <w:t>11.90000</w:t>
            </w:r>
          </w:p>
        </w:tc>
      </w:tr>
      <w:tr w14:paraId="03757D61">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21059A9E">
            <w:pPr>
              <w:jc w:val="center"/>
            </w:pPr>
            <w:r>
              <w:t>230</w:t>
            </w:r>
          </w:p>
        </w:tc>
        <w:tc>
          <w:tcPr>
            <w:tcW w:w="643" w:type="pct"/>
            <w:tcBorders>
              <w:tl2br w:val="nil"/>
              <w:tr2bl w:val="nil"/>
            </w:tcBorders>
            <w:vAlign w:val="center"/>
          </w:tcPr>
          <w:p w14:paraId="72D9D147">
            <w:pPr>
              <w:jc w:val="center"/>
            </w:pPr>
            <w:r>
              <w:t>0.00000</w:t>
            </w:r>
          </w:p>
        </w:tc>
        <w:tc>
          <w:tcPr>
            <w:tcW w:w="643" w:type="pct"/>
            <w:tcBorders>
              <w:tl2br w:val="nil"/>
              <w:tr2bl w:val="nil"/>
            </w:tcBorders>
            <w:vAlign w:val="center"/>
          </w:tcPr>
          <w:p w14:paraId="10722107">
            <w:pPr>
              <w:jc w:val="center"/>
            </w:pPr>
            <w:r>
              <w:t>0.00000</w:t>
            </w:r>
          </w:p>
        </w:tc>
        <w:tc>
          <w:tcPr>
            <w:tcW w:w="643" w:type="pct"/>
            <w:tcBorders>
              <w:tl2br w:val="nil"/>
              <w:tr2bl w:val="nil"/>
            </w:tcBorders>
            <w:vAlign w:val="center"/>
          </w:tcPr>
          <w:p w14:paraId="039E1780">
            <w:pPr>
              <w:jc w:val="center"/>
            </w:pPr>
            <w:r>
              <w:t>0.00000</w:t>
            </w:r>
          </w:p>
        </w:tc>
        <w:tc>
          <w:tcPr>
            <w:tcW w:w="643" w:type="pct"/>
            <w:tcBorders>
              <w:tl2br w:val="nil"/>
              <w:tr2bl w:val="nil"/>
            </w:tcBorders>
            <w:vAlign w:val="center"/>
          </w:tcPr>
          <w:p w14:paraId="1BB29102">
            <w:pPr>
              <w:jc w:val="center"/>
            </w:pPr>
            <w:r>
              <w:t>0.00000</w:t>
            </w:r>
          </w:p>
        </w:tc>
        <w:tc>
          <w:tcPr>
            <w:tcW w:w="643" w:type="pct"/>
            <w:tcBorders>
              <w:tl2br w:val="nil"/>
              <w:tr2bl w:val="nil"/>
            </w:tcBorders>
            <w:vAlign w:val="center"/>
          </w:tcPr>
          <w:p w14:paraId="5CF2CE07">
            <w:pPr>
              <w:jc w:val="center"/>
            </w:pPr>
            <w:r>
              <w:t>0.00074</w:t>
            </w:r>
          </w:p>
        </w:tc>
        <w:tc>
          <w:tcPr>
            <w:tcW w:w="643" w:type="pct"/>
            <w:tcBorders>
              <w:tl2br w:val="nil"/>
              <w:tr2bl w:val="nil"/>
            </w:tcBorders>
            <w:vAlign w:val="center"/>
          </w:tcPr>
          <w:p w14:paraId="4FACC06D">
            <w:pPr>
              <w:jc w:val="center"/>
            </w:pPr>
            <w:r>
              <w:t>0.42900</w:t>
            </w:r>
          </w:p>
        </w:tc>
        <w:tc>
          <w:tcPr>
            <w:tcW w:w="643" w:type="pct"/>
            <w:tcBorders>
              <w:tl2br w:val="nil"/>
              <w:tr2bl w:val="nil"/>
            </w:tcBorders>
            <w:vAlign w:val="center"/>
          </w:tcPr>
          <w:p w14:paraId="522C8CD5">
            <w:pPr>
              <w:jc w:val="center"/>
            </w:pPr>
            <w:r>
              <w:t>7.77000</w:t>
            </w:r>
          </w:p>
        </w:tc>
      </w:tr>
      <w:tr w14:paraId="2318660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439D9043">
            <w:pPr>
              <w:jc w:val="center"/>
            </w:pPr>
            <w:r>
              <w:t>240</w:t>
            </w:r>
          </w:p>
        </w:tc>
        <w:tc>
          <w:tcPr>
            <w:tcW w:w="643" w:type="pct"/>
            <w:tcBorders>
              <w:tl2br w:val="nil"/>
              <w:tr2bl w:val="nil"/>
            </w:tcBorders>
            <w:vAlign w:val="center"/>
          </w:tcPr>
          <w:p w14:paraId="5391CE11">
            <w:pPr>
              <w:jc w:val="center"/>
            </w:pPr>
            <w:r>
              <w:t>0.00000</w:t>
            </w:r>
          </w:p>
        </w:tc>
        <w:tc>
          <w:tcPr>
            <w:tcW w:w="643" w:type="pct"/>
            <w:tcBorders>
              <w:tl2br w:val="nil"/>
              <w:tr2bl w:val="nil"/>
            </w:tcBorders>
            <w:vAlign w:val="center"/>
          </w:tcPr>
          <w:p w14:paraId="158DC0BE">
            <w:pPr>
              <w:jc w:val="center"/>
            </w:pPr>
            <w:r>
              <w:t>0.00000</w:t>
            </w:r>
          </w:p>
        </w:tc>
        <w:tc>
          <w:tcPr>
            <w:tcW w:w="643" w:type="pct"/>
            <w:tcBorders>
              <w:tl2br w:val="nil"/>
              <w:tr2bl w:val="nil"/>
            </w:tcBorders>
            <w:vAlign w:val="center"/>
          </w:tcPr>
          <w:p w14:paraId="350A9A1B">
            <w:pPr>
              <w:jc w:val="center"/>
            </w:pPr>
            <w:r>
              <w:t>0.00000</w:t>
            </w:r>
          </w:p>
        </w:tc>
        <w:tc>
          <w:tcPr>
            <w:tcW w:w="643" w:type="pct"/>
            <w:tcBorders>
              <w:tl2br w:val="nil"/>
              <w:tr2bl w:val="nil"/>
            </w:tcBorders>
            <w:vAlign w:val="center"/>
          </w:tcPr>
          <w:p w14:paraId="0D664D13">
            <w:pPr>
              <w:jc w:val="center"/>
            </w:pPr>
            <w:r>
              <w:t>0.00000</w:t>
            </w:r>
          </w:p>
        </w:tc>
        <w:tc>
          <w:tcPr>
            <w:tcW w:w="643" w:type="pct"/>
            <w:tcBorders>
              <w:tl2br w:val="nil"/>
              <w:tr2bl w:val="nil"/>
            </w:tcBorders>
            <w:vAlign w:val="center"/>
          </w:tcPr>
          <w:p w14:paraId="5CB7FC5C">
            <w:pPr>
              <w:jc w:val="center"/>
            </w:pPr>
            <w:r>
              <w:t>0.00011</w:t>
            </w:r>
          </w:p>
        </w:tc>
        <w:tc>
          <w:tcPr>
            <w:tcW w:w="643" w:type="pct"/>
            <w:tcBorders>
              <w:tl2br w:val="nil"/>
              <w:tr2bl w:val="nil"/>
            </w:tcBorders>
            <w:vAlign w:val="center"/>
          </w:tcPr>
          <w:p w14:paraId="2D17B425">
            <w:pPr>
              <w:jc w:val="center"/>
            </w:pPr>
            <w:r>
              <w:t>0.19700</w:t>
            </w:r>
          </w:p>
        </w:tc>
        <w:tc>
          <w:tcPr>
            <w:tcW w:w="643" w:type="pct"/>
            <w:tcBorders>
              <w:tl2br w:val="nil"/>
              <w:tr2bl w:val="nil"/>
            </w:tcBorders>
            <w:vAlign w:val="center"/>
          </w:tcPr>
          <w:p w14:paraId="41933A0D">
            <w:pPr>
              <w:jc w:val="center"/>
            </w:pPr>
            <w:r>
              <w:t>4.82000</w:t>
            </w:r>
          </w:p>
        </w:tc>
      </w:tr>
      <w:tr w14:paraId="249C1FC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494" w:type="pct"/>
            <w:tcBorders>
              <w:tl2br w:val="nil"/>
              <w:tr2bl w:val="nil"/>
            </w:tcBorders>
            <w:vAlign w:val="center"/>
          </w:tcPr>
          <w:p w14:paraId="2486B72D">
            <w:pPr>
              <w:jc w:val="center"/>
            </w:pPr>
            <w:r>
              <w:t>250</w:t>
            </w:r>
          </w:p>
        </w:tc>
        <w:tc>
          <w:tcPr>
            <w:tcW w:w="643" w:type="pct"/>
            <w:tcBorders>
              <w:tl2br w:val="nil"/>
              <w:tr2bl w:val="nil"/>
            </w:tcBorders>
            <w:vAlign w:val="center"/>
          </w:tcPr>
          <w:p w14:paraId="42A4F333">
            <w:pPr>
              <w:jc w:val="center"/>
            </w:pPr>
            <w:r>
              <w:t>0.00000</w:t>
            </w:r>
          </w:p>
        </w:tc>
        <w:tc>
          <w:tcPr>
            <w:tcW w:w="643" w:type="pct"/>
            <w:tcBorders>
              <w:tl2br w:val="nil"/>
              <w:tr2bl w:val="nil"/>
            </w:tcBorders>
            <w:vAlign w:val="center"/>
          </w:tcPr>
          <w:p w14:paraId="5B1B6F3E">
            <w:pPr>
              <w:jc w:val="center"/>
            </w:pPr>
            <w:r>
              <w:t>0.00000</w:t>
            </w:r>
          </w:p>
        </w:tc>
        <w:tc>
          <w:tcPr>
            <w:tcW w:w="643" w:type="pct"/>
            <w:tcBorders>
              <w:tl2br w:val="nil"/>
              <w:tr2bl w:val="nil"/>
            </w:tcBorders>
            <w:vAlign w:val="center"/>
          </w:tcPr>
          <w:p w14:paraId="3B382867">
            <w:pPr>
              <w:jc w:val="center"/>
            </w:pPr>
            <w:r>
              <w:t>0.00000</w:t>
            </w:r>
          </w:p>
        </w:tc>
        <w:tc>
          <w:tcPr>
            <w:tcW w:w="643" w:type="pct"/>
            <w:tcBorders>
              <w:tl2br w:val="nil"/>
              <w:tr2bl w:val="nil"/>
            </w:tcBorders>
            <w:vAlign w:val="center"/>
          </w:tcPr>
          <w:p w14:paraId="3EA82606">
            <w:pPr>
              <w:jc w:val="center"/>
            </w:pPr>
            <w:r>
              <w:t>0.00000</w:t>
            </w:r>
          </w:p>
        </w:tc>
        <w:tc>
          <w:tcPr>
            <w:tcW w:w="643" w:type="pct"/>
            <w:tcBorders>
              <w:tl2br w:val="nil"/>
              <w:tr2bl w:val="nil"/>
            </w:tcBorders>
            <w:vAlign w:val="center"/>
          </w:tcPr>
          <w:p w14:paraId="34F37301">
            <w:pPr>
              <w:jc w:val="center"/>
            </w:pPr>
            <w:r>
              <w:t>0.00003</w:t>
            </w:r>
          </w:p>
        </w:tc>
        <w:tc>
          <w:tcPr>
            <w:tcW w:w="643" w:type="pct"/>
            <w:tcBorders>
              <w:tl2br w:val="nil"/>
              <w:tr2bl w:val="nil"/>
            </w:tcBorders>
            <w:vAlign w:val="center"/>
          </w:tcPr>
          <w:p w14:paraId="1DC4D7DA">
            <w:pPr>
              <w:jc w:val="center"/>
            </w:pPr>
            <w:r>
              <w:t>0.08670</w:t>
            </w:r>
          </w:p>
        </w:tc>
        <w:tc>
          <w:tcPr>
            <w:tcW w:w="643" w:type="pct"/>
            <w:tcBorders>
              <w:tl2br w:val="nil"/>
              <w:tr2bl w:val="nil"/>
            </w:tcBorders>
            <w:vAlign w:val="center"/>
          </w:tcPr>
          <w:p w14:paraId="6C570EC4">
            <w:pPr>
              <w:jc w:val="center"/>
            </w:pPr>
            <w:r>
              <w:t>2.88000</w:t>
            </w:r>
          </w:p>
        </w:tc>
      </w:tr>
      <w:tr w14:paraId="2A8A4D6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trPr>
        <w:tc>
          <w:tcPr>
            <w:tcW w:w="494" w:type="pct"/>
            <w:tcBorders>
              <w:tl2br w:val="nil"/>
              <w:tr2bl w:val="nil"/>
            </w:tcBorders>
            <w:vAlign w:val="center"/>
          </w:tcPr>
          <w:p w14:paraId="5EE21CE7">
            <w:pPr>
              <w:jc w:val="center"/>
            </w:pPr>
            <w:r>
              <w:t>260</w:t>
            </w:r>
          </w:p>
        </w:tc>
        <w:tc>
          <w:tcPr>
            <w:tcW w:w="643" w:type="pct"/>
            <w:tcBorders>
              <w:tl2br w:val="nil"/>
              <w:tr2bl w:val="nil"/>
            </w:tcBorders>
            <w:vAlign w:val="center"/>
          </w:tcPr>
          <w:p w14:paraId="1464C1D5">
            <w:pPr>
              <w:jc w:val="center"/>
            </w:pPr>
            <w:r>
              <w:t>0.00000</w:t>
            </w:r>
          </w:p>
        </w:tc>
        <w:tc>
          <w:tcPr>
            <w:tcW w:w="643" w:type="pct"/>
            <w:tcBorders>
              <w:tl2br w:val="nil"/>
              <w:tr2bl w:val="nil"/>
            </w:tcBorders>
            <w:vAlign w:val="center"/>
          </w:tcPr>
          <w:p w14:paraId="6861FAC5">
            <w:pPr>
              <w:jc w:val="center"/>
            </w:pPr>
            <w:r>
              <w:t>0.00000</w:t>
            </w:r>
          </w:p>
        </w:tc>
        <w:tc>
          <w:tcPr>
            <w:tcW w:w="643" w:type="pct"/>
            <w:tcBorders>
              <w:tl2br w:val="nil"/>
              <w:tr2bl w:val="nil"/>
            </w:tcBorders>
            <w:vAlign w:val="center"/>
          </w:tcPr>
          <w:p w14:paraId="07268F42">
            <w:pPr>
              <w:jc w:val="center"/>
            </w:pPr>
            <w:r>
              <w:t>0.00000</w:t>
            </w:r>
          </w:p>
        </w:tc>
        <w:tc>
          <w:tcPr>
            <w:tcW w:w="643" w:type="pct"/>
            <w:tcBorders>
              <w:tl2br w:val="nil"/>
              <w:tr2bl w:val="nil"/>
            </w:tcBorders>
            <w:vAlign w:val="center"/>
          </w:tcPr>
          <w:p w14:paraId="63187F77">
            <w:pPr>
              <w:jc w:val="center"/>
            </w:pPr>
            <w:r>
              <w:t>0.00000</w:t>
            </w:r>
          </w:p>
        </w:tc>
        <w:tc>
          <w:tcPr>
            <w:tcW w:w="643" w:type="pct"/>
            <w:tcBorders>
              <w:tl2br w:val="nil"/>
              <w:tr2bl w:val="nil"/>
            </w:tcBorders>
            <w:vAlign w:val="center"/>
          </w:tcPr>
          <w:p w14:paraId="34D3A794">
            <w:pPr>
              <w:jc w:val="center"/>
            </w:pPr>
            <w:r>
              <w:t>0.00001</w:t>
            </w:r>
          </w:p>
        </w:tc>
        <w:tc>
          <w:tcPr>
            <w:tcW w:w="643" w:type="pct"/>
            <w:tcBorders>
              <w:tl2br w:val="nil"/>
              <w:tr2bl w:val="nil"/>
            </w:tcBorders>
            <w:vAlign w:val="center"/>
          </w:tcPr>
          <w:p w14:paraId="374B50BB">
            <w:pPr>
              <w:jc w:val="center"/>
            </w:pPr>
            <w:r>
              <w:t>0.03510</w:t>
            </w:r>
          </w:p>
        </w:tc>
        <w:tc>
          <w:tcPr>
            <w:tcW w:w="643" w:type="pct"/>
            <w:tcBorders>
              <w:tl2br w:val="nil"/>
              <w:tr2bl w:val="nil"/>
            </w:tcBorders>
            <w:vAlign w:val="center"/>
          </w:tcPr>
          <w:p w14:paraId="7DF95FD4">
            <w:pPr>
              <w:jc w:val="center"/>
            </w:pPr>
            <w:r>
              <w:t>1.66000</w:t>
            </w:r>
          </w:p>
        </w:tc>
      </w:tr>
      <w:tr w14:paraId="5AEB3DA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494" w:type="pct"/>
            <w:tcBorders>
              <w:tl2br w:val="nil"/>
              <w:tr2bl w:val="nil"/>
            </w:tcBorders>
            <w:vAlign w:val="center"/>
          </w:tcPr>
          <w:p w14:paraId="33402808">
            <w:pPr>
              <w:jc w:val="center"/>
            </w:pPr>
            <w:r>
              <w:t>270</w:t>
            </w:r>
          </w:p>
        </w:tc>
        <w:tc>
          <w:tcPr>
            <w:tcW w:w="643" w:type="pct"/>
            <w:tcBorders>
              <w:tl2br w:val="nil"/>
              <w:tr2bl w:val="nil"/>
            </w:tcBorders>
            <w:vAlign w:val="center"/>
          </w:tcPr>
          <w:p w14:paraId="6B9C8262">
            <w:pPr>
              <w:jc w:val="center"/>
            </w:pPr>
            <w:r>
              <w:t>0.00000</w:t>
            </w:r>
          </w:p>
        </w:tc>
        <w:tc>
          <w:tcPr>
            <w:tcW w:w="643" w:type="pct"/>
            <w:tcBorders>
              <w:tl2br w:val="nil"/>
              <w:tr2bl w:val="nil"/>
            </w:tcBorders>
            <w:vAlign w:val="center"/>
          </w:tcPr>
          <w:p w14:paraId="3DDDBF53">
            <w:pPr>
              <w:jc w:val="center"/>
            </w:pPr>
            <w:r>
              <w:t>0.00000</w:t>
            </w:r>
          </w:p>
        </w:tc>
        <w:tc>
          <w:tcPr>
            <w:tcW w:w="643" w:type="pct"/>
            <w:tcBorders>
              <w:tl2br w:val="nil"/>
              <w:tr2bl w:val="nil"/>
            </w:tcBorders>
            <w:vAlign w:val="center"/>
          </w:tcPr>
          <w:p w14:paraId="602AD824">
            <w:pPr>
              <w:jc w:val="center"/>
            </w:pPr>
            <w:r>
              <w:t>0.00000</w:t>
            </w:r>
          </w:p>
        </w:tc>
        <w:tc>
          <w:tcPr>
            <w:tcW w:w="643" w:type="pct"/>
            <w:tcBorders>
              <w:tl2br w:val="nil"/>
              <w:tr2bl w:val="nil"/>
            </w:tcBorders>
            <w:vAlign w:val="center"/>
          </w:tcPr>
          <w:p w14:paraId="54114A4D">
            <w:pPr>
              <w:jc w:val="center"/>
            </w:pPr>
            <w:r>
              <w:t>0.00000</w:t>
            </w:r>
          </w:p>
        </w:tc>
        <w:tc>
          <w:tcPr>
            <w:tcW w:w="643" w:type="pct"/>
            <w:tcBorders>
              <w:tl2br w:val="nil"/>
              <w:tr2bl w:val="nil"/>
            </w:tcBorders>
            <w:vAlign w:val="center"/>
          </w:tcPr>
          <w:p w14:paraId="29414E98">
            <w:pPr>
              <w:jc w:val="center"/>
            </w:pPr>
            <w:r>
              <w:t>0.00000</w:t>
            </w:r>
          </w:p>
        </w:tc>
        <w:tc>
          <w:tcPr>
            <w:tcW w:w="643" w:type="pct"/>
            <w:tcBorders>
              <w:tl2br w:val="nil"/>
              <w:tr2bl w:val="nil"/>
            </w:tcBorders>
            <w:vAlign w:val="center"/>
          </w:tcPr>
          <w:p w14:paraId="75613FC2">
            <w:pPr>
              <w:jc w:val="center"/>
            </w:pPr>
            <w:r>
              <w:t>0.01710</w:t>
            </w:r>
          </w:p>
        </w:tc>
        <w:tc>
          <w:tcPr>
            <w:tcW w:w="643" w:type="pct"/>
            <w:tcBorders>
              <w:tl2br w:val="nil"/>
              <w:tr2bl w:val="nil"/>
            </w:tcBorders>
            <w:vAlign w:val="center"/>
          </w:tcPr>
          <w:p w14:paraId="464B21F8">
            <w:pPr>
              <w:jc w:val="center"/>
            </w:pPr>
            <w:r>
              <w:t>0.92300</w:t>
            </w:r>
          </w:p>
        </w:tc>
      </w:tr>
      <w:tr w14:paraId="6C7665B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494" w:type="pct"/>
            <w:tcBorders>
              <w:tl2br w:val="nil"/>
              <w:tr2bl w:val="nil"/>
            </w:tcBorders>
            <w:vAlign w:val="center"/>
          </w:tcPr>
          <w:p w14:paraId="729EE3E7">
            <w:pPr>
              <w:jc w:val="center"/>
            </w:pPr>
            <w:r>
              <w:t>280</w:t>
            </w:r>
          </w:p>
        </w:tc>
        <w:tc>
          <w:tcPr>
            <w:tcW w:w="643" w:type="pct"/>
            <w:tcBorders>
              <w:tl2br w:val="nil"/>
              <w:tr2bl w:val="nil"/>
            </w:tcBorders>
            <w:vAlign w:val="center"/>
          </w:tcPr>
          <w:p w14:paraId="481375FB">
            <w:pPr>
              <w:jc w:val="center"/>
            </w:pPr>
            <w:r>
              <w:t>0.00000</w:t>
            </w:r>
          </w:p>
        </w:tc>
        <w:tc>
          <w:tcPr>
            <w:tcW w:w="643" w:type="pct"/>
            <w:tcBorders>
              <w:tl2br w:val="nil"/>
              <w:tr2bl w:val="nil"/>
            </w:tcBorders>
            <w:vAlign w:val="center"/>
          </w:tcPr>
          <w:p w14:paraId="630F763E">
            <w:pPr>
              <w:jc w:val="center"/>
            </w:pPr>
            <w:r>
              <w:t>0.00000</w:t>
            </w:r>
          </w:p>
        </w:tc>
        <w:tc>
          <w:tcPr>
            <w:tcW w:w="643" w:type="pct"/>
            <w:tcBorders>
              <w:tl2br w:val="nil"/>
              <w:tr2bl w:val="nil"/>
            </w:tcBorders>
            <w:vAlign w:val="center"/>
          </w:tcPr>
          <w:p w14:paraId="151A7621">
            <w:pPr>
              <w:jc w:val="center"/>
            </w:pPr>
            <w:r>
              <w:t>0.00000</w:t>
            </w:r>
          </w:p>
        </w:tc>
        <w:tc>
          <w:tcPr>
            <w:tcW w:w="643" w:type="pct"/>
            <w:tcBorders>
              <w:tl2br w:val="nil"/>
              <w:tr2bl w:val="nil"/>
            </w:tcBorders>
            <w:vAlign w:val="center"/>
          </w:tcPr>
          <w:p w14:paraId="1C8D110B">
            <w:pPr>
              <w:jc w:val="center"/>
            </w:pPr>
            <w:r>
              <w:t>0.00000</w:t>
            </w:r>
          </w:p>
        </w:tc>
        <w:tc>
          <w:tcPr>
            <w:tcW w:w="643" w:type="pct"/>
            <w:tcBorders>
              <w:tl2br w:val="nil"/>
              <w:tr2bl w:val="nil"/>
            </w:tcBorders>
            <w:vAlign w:val="center"/>
          </w:tcPr>
          <w:p w14:paraId="6CC98DA3">
            <w:pPr>
              <w:jc w:val="center"/>
            </w:pPr>
            <w:r>
              <w:t>0.00000</w:t>
            </w:r>
          </w:p>
        </w:tc>
        <w:tc>
          <w:tcPr>
            <w:tcW w:w="643" w:type="pct"/>
            <w:tcBorders>
              <w:tl2br w:val="nil"/>
              <w:tr2bl w:val="nil"/>
            </w:tcBorders>
            <w:vAlign w:val="center"/>
          </w:tcPr>
          <w:p w14:paraId="6C0A2639">
            <w:pPr>
              <w:jc w:val="center"/>
            </w:pPr>
            <w:r>
              <w:t>0.00350</w:t>
            </w:r>
          </w:p>
        </w:tc>
        <w:tc>
          <w:tcPr>
            <w:tcW w:w="643" w:type="pct"/>
            <w:tcBorders>
              <w:tl2br w:val="nil"/>
              <w:tr2bl w:val="nil"/>
            </w:tcBorders>
            <w:vAlign w:val="center"/>
          </w:tcPr>
          <w:p w14:paraId="0D4D1B41">
            <w:pPr>
              <w:jc w:val="center"/>
            </w:pPr>
            <w:r>
              <w:t>0.49400</w:t>
            </w:r>
          </w:p>
        </w:tc>
      </w:tr>
      <w:tr w14:paraId="258B4A3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494" w:type="pct"/>
            <w:tcBorders>
              <w:tl2br w:val="nil"/>
              <w:tr2bl w:val="nil"/>
            </w:tcBorders>
            <w:vAlign w:val="center"/>
          </w:tcPr>
          <w:p w14:paraId="5E5407D0">
            <w:pPr>
              <w:jc w:val="center"/>
            </w:pPr>
            <w:r>
              <w:t>290</w:t>
            </w:r>
          </w:p>
        </w:tc>
        <w:tc>
          <w:tcPr>
            <w:tcW w:w="643" w:type="pct"/>
            <w:tcBorders>
              <w:tl2br w:val="nil"/>
              <w:tr2bl w:val="nil"/>
            </w:tcBorders>
            <w:vAlign w:val="center"/>
          </w:tcPr>
          <w:p w14:paraId="43321EB3">
            <w:pPr>
              <w:jc w:val="center"/>
            </w:pPr>
            <w:r>
              <w:t>0.00000</w:t>
            </w:r>
          </w:p>
        </w:tc>
        <w:tc>
          <w:tcPr>
            <w:tcW w:w="643" w:type="pct"/>
            <w:tcBorders>
              <w:tl2br w:val="nil"/>
              <w:tr2bl w:val="nil"/>
            </w:tcBorders>
            <w:vAlign w:val="center"/>
          </w:tcPr>
          <w:p w14:paraId="0E3D3CF3">
            <w:pPr>
              <w:jc w:val="center"/>
            </w:pPr>
            <w:r>
              <w:t>0.00000</w:t>
            </w:r>
          </w:p>
        </w:tc>
        <w:tc>
          <w:tcPr>
            <w:tcW w:w="643" w:type="pct"/>
            <w:tcBorders>
              <w:tl2br w:val="nil"/>
              <w:tr2bl w:val="nil"/>
            </w:tcBorders>
            <w:vAlign w:val="center"/>
          </w:tcPr>
          <w:p w14:paraId="38DBD653">
            <w:pPr>
              <w:jc w:val="center"/>
            </w:pPr>
            <w:r>
              <w:t>0.00000</w:t>
            </w:r>
          </w:p>
        </w:tc>
        <w:tc>
          <w:tcPr>
            <w:tcW w:w="643" w:type="pct"/>
            <w:tcBorders>
              <w:tl2br w:val="nil"/>
              <w:tr2bl w:val="nil"/>
            </w:tcBorders>
            <w:vAlign w:val="center"/>
          </w:tcPr>
          <w:p w14:paraId="748E80A6">
            <w:pPr>
              <w:jc w:val="center"/>
            </w:pPr>
            <w:r>
              <w:t>0.00000</w:t>
            </w:r>
          </w:p>
        </w:tc>
        <w:tc>
          <w:tcPr>
            <w:tcW w:w="643" w:type="pct"/>
            <w:tcBorders>
              <w:tl2br w:val="nil"/>
              <w:tr2bl w:val="nil"/>
            </w:tcBorders>
            <w:vAlign w:val="center"/>
          </w:tcPr>
          <w:p w14:paraId="0A2CB314">
            <w:pPr>
              <w:jc w:val="center"/>
            </w:pPr>
            <w:r>
              <w:t>0.00000</w:t>
            </w:r>
          </w:p>
        </w:tc>
        <w:tc>
          <w:tcPr>
            <w:tcW w:w="643" w:type="pct"/>
            <w:tcBorders>
              <w:tl2br w:val="nil"/>
              <w:tr2bl w:val="nil"/>
            </w:tcBorders>
            <w:vAlign w:val="center"/>
          </w:tcPr>
          <w:p w14:paraId="7C6738B9">
            <w:pPr>
              <w:jc w:val="center"/>
            </w:pPr>
            <w:r>
              <w:t>0.00125</w:t>
            </w:r>
          </w:p>
        </w:tc>
        <w:tc>
          <w:tcPr>
            <w:tcW w:w="643" w:type="pct"/>
            <w:tcBorders>
              <w:tl2br w:val="nil"/>
              <w:tr2bl w:val="nil"/>
            </w:tcBorders>
            <w:vAlign w:val="center"/>
          </w:tcPr>
          <w:p w14:paraId="72A47154">
            <w:pPr>
              <w:jc w:val="center"/>
            </w:pPr>
            <w:r>
              <w:t>0.23500</w:t>
            </w:r>
          </w:p>
        </w:tc>
      </w:tr>
      <w:tr w14:paraId="271089A7">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494" w:type="pct"/>
            <w:tcBorders>
              <w:tl2br w:val="nil"/>
              <w:tr2bl w:val="nil"/>
            </w:tcBorders>
            <w:vAlign w:val="center"/>
          </w:tcPr>
          <w:p w14:paraId="19EE48A0">
            <w:pPr>
              <w:jc w:val="center"/>
            </w:pPr>
            <w:r>
              <w:t>300</w:t>
            </w:r>
          </w:p>
        </w:tc>
        <w:tc>
          <w:tcPr>
            <w:tcW w:w="643" w:type="pct"/>
            <w:tcBorders>
              <w:tl2br w:val="nil"/>
              <w:tr2bl w:val="nil"/>
            </w:tcBorders>
            <w:vAlign w:val="center"/>
          </w:tcPr>
          <w:p w14:paraId="62D90E8C">
            <w:pPr>
              <w:jc w:val="center"/>
            </w:pPr>
            <w:r>
              <w:t>0.00000</w:t>
            </w:r>
          </w:p>
        </w:tc>
        <w:tc>
          <w:tcPr>
            <w:tcW w:w="643" w:type="pct"/>
            <w:tcBorders>
              <w:tl2br w:val="nil"/>
              <w:tr2bl w:val="nil"/>
            </w:tcBorders>
            <w:vAlign w:val="center"/>
          </w:tcPr>
          <w:p w14:paraId="7D3DA85A">
            <w:pPr>
              <w:jc w:val="center"/>
            </w:pPr>
            <w:r>
              <w:t>0.00000</w:t>
            </w:r>
          </w:p>
        </w:tc>
        <w:tc>
          <w:tcPr>
            <w:tcW w:w="643" w:type="pct"/>
            <w:tcBorders>
              <w:tl2br w:val="nil"/>
              <w:tr2bl w:val="nil"/>
            </w:tcBorders>
            <w:vAlign w:val="center"/>
          </w:tcPr>
          <w:p w14:paraId="48A145D4">
            <w:pPr>
              <w:jc w:val="center"/>
            </w:pPr>
            <w:r>
              <w:t>0.00000</w:t>
            </w:r>
          </w:p>
        </w:tc>
        <w:tc>
          <w:tcPr>
            <w:tcW w:w="643" w:type="pct"/>
            <w:tcBorders>
              <w:tl2br w:val="nil"/>
              <w:tr2bl w:val="nil"/>
            </w:tcBorders>
            <w:vAlign w:val="center"/>
          </w:tcPr>
          <w:p w14:paraId="0889E27A">
            <w:pPr>
              <w:jc w:val="center"/>
            </w:pPr>
            <w:r>
              <w:t>0.00000</w:t>
            </w:r>
          </w:p>
        </w:tc>
        <w:tc>
          <w:tcPr>
            <w:tcW w:w="643" w:type="pct"/>
            <w:tcBorders>
              <w:tl2br w:val="nil"/>
              <w:tr2bl w:val="nil"/>
            </w:tcBorders>
            <w:vAlign w:val="center"/>
          </w:tcPr>
          <w:p w14:paraId="0DA0C1AA">
            <w:pPr>
              <w:jc w:val="center"/>
            </w:pPr>
            <w:r>
              <w:t>0.00000</w:t>
            </w:r>
          </w:p>
        </w:tc>
        <w:tc>
          <w:tcPr>
            <w:tcW w:w="643" w:type="pct"/>
            <w:tcBorders>
              <w:tl2br w:val="nil"/>
              <w:tr2bl w:val="nil"/>
            </w:tcBorders>
            <w:vAlign w:val="center"/>
          </w:tcPr>
          <w:p w14:paraId="37B76C4A">
            <w:pPr>
              <w:jc w:val="center"/>
            </w:pPr>
            <w:r>
              <w:t>0.00042</w:t>
            </w:r>
          </w:p>
        </w:tc>
        <w:tc>
          <w:tcPr>
            <w:tcW w:w="643" w:type="pct"/>
            <w:tcBorders>
              <w:tl2br w:val="nil"/>
              <w:tr2bl w:val="nil"/>
            </w:tcBorders>
            <w:vAlign w:val="center"/>
          </w:tcPr>
          <w:p w14:paraId="4784FA8F">
            <w:pPr>
              <w:jc w:val="center"/>
            </w:pPr>
            <w:r>
              <w:t>0.08810</w:t>
            </w:r>
          </w:p>
        </w:tc>
      </w:tr>
      <w:tr w14:paraId="7A26D26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494" w:type="pct"/>
            <w:tcBorders>
              <w:tl2br w:val="nil"/>
              <w:tr2bl w:val="nil"/>
            </w:tcBorders>
            <w:vAlign w:val="center"/>
          </w:tcPr>
          <w:p w14:paraId="2BC3B8C2">
            <w:pPr>
              <w:jc w:val="center"/>
            </w:pPr>
            <w:r>
              <w:t>310</w:t>
            </w:r>
          </w:p>
        </w:tc>
        <w:tc>
          <w:tcPr>
            <w:tcW w:w="643" w:type="pct"/>
            <w:tcBorders>
              <w:tl2br w:val="nil"/>
              <w:tr2bl w:val="nil"/>
            </w:tcBorders>
            <w:vAlign w:val="center"/>
          </w:tcPr>
          <w:p w14:paraId="584E484E">
            <w:pPr>
              <w:jc w:val="center"/>
            </w:pPr>
            <w:r>
              <w:t>0.00000</w:t>
            </w:r>
          </w:p>
        </w:tc>
        <w:tc>
          <w:tcPr>
            <w:tcW w:w="643" w:type="pct"/>
            <w:tcBorders>
              <w:tl2br w:val="nil"/>
              <w:tr2bl w:val="nil"/>
            </w:tcBorders>
            <w:vAlign w:val="center"/>
          </w:tcPr>
          <w:p w14:paraId="431E3C8E">
            <w:pPr>
              <w:jc w:val="center"/>
            </w:pPr>
            <w:r>
              <w:t>0.00000</w:t>
            </w:r>
          </w:p>
        </w:tc>
        <w:tc>
          <w:tcPr>
            <w:tcW w:w="643" w:type="pct"/>
            <w:tcBorders>
              <w:tl2br w:val="nil"/>
              <w:tr2bl w:val="nil"/>
            </w:tcBorders>
            <w:vAlign w:val="center"/>
          </w:tcPr>
          <w:p w14:paraId="2D33E1CF">
            <w:pPr>
              <w:jc w:val="center"/>
            </w:pPr>
            <w:r>
              <w:t>0.00000</w:t>
            </w:r>
          </w:p>
        </w:tc>
        <w:tc>
          <w:tcPr>
            <w:tcW w:w="643" w:type="pct"/>
            <w:tcBorders>
              <w:tl2br w:val="nil"/>
              <w:tr2bl w:val="nil"/>
            </w:tcBorders>
            <w:vAlign w:val="center"/>
          </w:tcPr>
          <w:p w14:paraId="7C0311A3">
            <w:pPr>
              <w:jc w:val="center"/>
            </w:pPr>
            <w:r>
              <w:t>0.00000</w:t>
            </w:r>
          </w:p>
        </w:tc>
        <w:tc>
          <w:tcPr>
            <w:tcW w:w="643" w:type="pct"/>
            <w:tcBorders>
              <w:tl2br w:val="nil"/>
              <w:tr2bl w:val="nil"/>
            </w:tcBorders>
            <w:vAlign w:val="center"/>
          </w:tcPr>
          <w:p w14:paraId="5B211D9D">
            <w:pPr>
              <w:jc w:val="center"/>
            </w:pPr>
            <w:r>
              <w:t>0.00000</w:t>
            </w:r>
          </w:p>
        </w:tc>
        <w:tc>
          <w:tcPr>
            <w:tcW w:w="643" w:type="pct"/>
            <w:tcBorders>
              <w:tl2br w:val="nil"/>
              <w:tr2bl w:val="nil"/>
            </w:tcBorders>
            <w:vAlign w:val="center"/>
          </w:tcPr>
          <w:p w14:paraId="4FDFB271">
            <w:pPr>
              <w:jc w:val="center"/>
            </w:pPr>
            <w:r>
              <w:t>0.00014</w:t>
            </w:r>
          </w:p>
        </w:tc>
        <w:tc>
          <w:tcPr>
            <w:tcW w:w="643" w:type="pct"/>
            <w:tcBorders>
              <w:tl2br w:val="nil"/>
              <w:tr2bl w:val="nil"/>
            </w:tcBorders>
            <w:vAlign w:val="center"/>
          </w:tcPr>
          <w:p w14:paraId="1FE6EEEE">
            <w:pPr>
              <w:jc w:val="center"/>
            </w:pPr>
            <w:r>
              <w:t>0.04200</w:t>
            </w:r>
          </w:p>
        </w:tc>
      </w:tr>
      <w:tr w14:paraId="186B1AE5">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0A685130">
            <w:pPr>
              <w:jc w:val="center"/>
            </w:pPr>
            <w:r>
              <w:t>320</w:t>
            </w:r>
          </w:p>
        </w:tc>
        <w:tc>
          <w:tcPr>
            <w:tcW w:w="643" w:type="pct"/>
            <w:tcBorders>
              <w:tl2br w:val="nil"/>
              <w:tr2bl w:val="nil"/>
            </w:tcBorders>
            <w:vAlign w:val="center"/>
          </w:tcPr>
          <w:p w14:paraId="3F4FE4F3">
            <w:pPr>
              <w:jc w:val="center"/>
            </w:pPr>
            <w:r>
              <w:t>0.00000</w:t>
            </w:r>
          </w:p>
        </w:tc>
        <w:tc>
          <w:tcPr>
            <w:tcW w:w="643" w:type="pct"/>
            <w:tcBorders>
              <w:tl2br w:val="nil"/>
              <w:tr2bl w:val="nil"/>
            </w:tcBorders>
            <w:vAlign w:val="center"/>
          </w:tcPr>
          <w:p w14:paraId="36EEF900">
            <w:pPr>
              <w:jc w:val="center"/>
            </w:pPr>
            <w:r>
              <w:t>0.00000</w:t>
            </w:r>
          </w:p>
        </w:tc>
        <w:tc>
          <w:tcPr>
            <w:tcW w:w="643" w:type="pct"/>
            <w:tcBorders>
              <w:tl2br w:val="nil"/>
              <w:tr2bl w:val="nil"/>
            </w:tcBorders>
            <w:vAlign w:val="center"/>
          </w:tcPr>
          <w:p w14:paraId="6D88E3FF">
            <w:pPr>
              <w:jc w:val="center"/>
            </w:pPr>
            <w:r>
              <w:t>0.00000</w:t>
            </w:r>
          </w:p>
        </w:tc>
        <w:tc>
          <w:tcPr>
            <w:tcW w:w="643" w:type="pct"/>
            <w:tcBorders>
              <w:tl2br w:val="nil"/>
              <w:tr2bl w:val="nil"/>
            </w:tcBorders>
            <w:vAlign w:val="center"/>
          </w:tcPr>
          <w:p w14:paraId="79E6478E">
            <w:pPr>
              <w:jc w:val="center"/>
            </w:pPr>
            <w:r>
              <w:t>0.00000</w:t>
            </w:r>
          </w:p>
        </w:tc>
        <w:tc>
          <w:tcPr>
            <w:tcW w:w="643" w:type="pct"/>
            <w:tcBorders>
              <w:tl2br w:val="nil"/>
              <w:tr2bl w:val="nil"/>
            </w:tcBorders>
            <w:vAlign w:val="center"/>
          </w:tcPr>
          <w:p w14:paraId="6183B7CA">
            <w:pPr>
              <w:jc w:val="center"/>
            </w:pPr>
            <w:r>
              <w:t>0.00000</w:t>
            </w:r>
          </w:p>
        </w:tc>
        <w:tc>
          <w:tcPr>
            <w:tcW w:w="643" w:type="pct"/>
            <w:tcBorders>
              <w:tl2br w:val="nil"/>
              <w:tr2bl w:val="nil"/>
            </w:tcBorders>
            <w:vAlign w:val="center"/>
          </w:tcPr>
          <w:p w14:paraId="281C43D4">
            <w:pPr>
              <w:jc w:val="center"/>
            </w:pPr>
            <w:r>
              <w:t>0.00004</w:t>
            </w:r>
          </w:p>
        </w:tc>
        <w:tc>
          <w:tcPr>
            <w:tcW w:w="643" w:type="pct"/>
            <w:tcBorders>
              <w:tl2br w:val="nil"/>
              <w:tr2bl w:val="nil"/>
            </w:tcBorders>
            <w:vAlign w:val="center"/>
          </w:tcPr>
          <w:p w14:paraId="5B662E0A">
            <w:pPr>
              <w:jc w:val="center"/>
            </w:pPr>
            <w:r>
              <w:t>0.01930</w:t>
            </w:r>
          </w:p>
        </w:tc>
      </w:tr>
      <w:tr w14:paraId="78E5AF2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25DE78AD">
            <w:pPr>
              <w:jc w:val="center"/>
            </w:pPr>
            <w:r>
              <w:t>330</w:t>
            </w:r>
          </w:p>
        </w:tc>
        <w:tc>
          <w:tcPr>
            <w:tcW w:w="643" w:type="pct"/>
            <w:tcBorders>
              <w:tl2br w:val="nil"/>
              <w:tr2bl w:val="nil"/>
            </w:tcBorders>
            <w:vAlign w:val="center"/>
          </w:tcPr>
          <w:p w14:paraId="2BC99188">
            <w:pPr>
              <w:jc w:val="center"/>
            </w:pPr>
            <w:r>
              <w:t>0.00000</w:t>
            </w:r>
          </w:p>
        </w:tc>
        <w:tc>
          <w:tcPr>
            <w:tcW w:w="643" w:type="pct"/>
            <w:tcBorders>
              <w:tl2br w:val="nil"/>
              <w:tr2bl w:val="nil"/>
            </w:tcBorders>
            <w:vAlign w:val="center"/>
          </w:tcPr>
          <w:p w14:paraId="4005039F">
            <w:pPr>
              <w:jc w:val="center"/>
            </w:pPr>
            <w:r>
              <w:t>0.00000</w:t>
            </w:r>
          </w:p>
        </w:tc>
        <w:tc>
          <w:tcPr>
            <w:tcW w:w="643" w:type="pct"/>
            <w:tcBorders>
              <w:tl2br w:val="nil"/>
              <w:tr2bl w:val="nil"/>
            </w:tcBorders>
            <w:vAlign w:val="center"/>
          </w:tcPr>
          <w:p w14:paraId="7184513B">
            <w:pPr>
              <w:jc w:val="center"/>
            </w:pPr>
            <w:r>
              <w:t>0.00000</w:t>
            </w:r>
          </w:p>
        </w:tc>
        <w:tc>
          <w:tcPr>
            <w:tcW w:w="643" w:type="pct"/>
            <w:tcBorders>
              <w:tl2br w:val="nil"/>
              <w:tr2bl w:val="nil"/>
            </w:tcBorders>
            <w:vAlign w:val="center"/>
          </w:tcPr>
          <w:p w14:paraId="06CE6646">
            <w:pPr>
              <w:jc w:val="center"/>
            </w:pPr>
            <w:r>
              <w:t>0.00000</w:t>
            </w:r>
          </w:p>
        </w:tc>
        <w:tc>
          <w:tcPr>
            <w:tcW w:w="643" w:type="pct"/>
            <w:tcBorders>
              <w:tl2br w:val="nil"/>
              <w:tr2bl w:val="nil"/>
            </w:tcBorders>
            <w:vAlign w:val="center"/>
          </w:tcPr>
          <w:p w14:paraId="212FC900">
            <w:pPr>
              <w:jc w:val="center"/>
            </w:pPr>
            <w:r>
              <w:t>0.00000</w:t>
            </w:r>
          </w:p>
        </w:tc>
        <w:tc>
          <w:tcPr>
            <w:tcW w:w="643" w:type="pct"/>
            <w:tcBorders>
              <w:tl2br w:val="nil"/>
              <w:tr2bl w:val="nil"/>
            </w:tcBorders>
            <w:vAlign w:val="center"/>
          </w:tcPr>
          <w:p w14:paraId="3D154A21">
            <w:pPr>
              <w:jc w:val="center"/>
            </w:pPr>
            <w:r>
              <w:t>0.00001</w:t>
            </w:r>
          </w:p>
        </w:tc>
        <w:tc>
          <w:tcPr>
            <w:tcW w:w="643" w:type="pct"/>
            <w:tcBorders>
              <w:tl2br w:val="nil"/>
              <w:tr2bl w:val="nil"/>
            </w:tcBorders>
            <w:vAlign w:val="center"/>
          </w:tcPr>
          <w:p w14:paraId="0E3741EC">
            <w:pPr>
              <w:jc w:val="center"/>
            </w:pPr>
            <w:r>
              <w:t>0.00854</w:t>
            </w:r>
          </w:p>
        </w:tc>
      </w:tr>
      <w:tr w14:paraId="5B21BAD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59084AB7">
            <w:pPr>
              <w:jc w:val="center"/>
            </w:pPr>
            <w:r>
              <w:t>340</w:t>
            </w:r>
          </w:p>
        </w:tc>
        <w:tc>
          <w:tcPr>
            <w:tcW w:w="643" w:type="pct"/>
            <w:tcBorders>
              <w:tl2br w:val="nil"/>
              <w:tr2bl w:val="nil"/>
            </w:tcBorders>
            <w:vAlign w:val="center"/>
          </w:tcPr>
          <w:p w14:paraId="033B115B">
            <w:pPr>
              <w:jc w:val="center"/>
            </w:pPr>
            <w:r>
              <w:t>0.00000</w:t>
            </w:r>
          </w:p>
        </w:tc>
        <w:tc>
          <w:tcPr>
            <w:tcW w:w="643" w:type="pct"/>
            <w:tcBorders>
              <w:tl2br w:val="nil"/>
              <w:tr2bl w:val="nil"/>
            </w:tcBorders>
            <w:vAlign w:val="center"/>
          </w:tcPr>
          <w:p w14:paraId="0A0D165C">
            <w:pPr>
              <w:jc w:val="center"/>
            </w:pPr>
            <w:r>
              <w:t>0.00000</w:t>
            </w:r>
          </w:p>
        </w:tc>
        <w:tc>
          <w:tcPr>
            <w:tcW w:w="643" w:type="pct"/>
            <w:tcBorders>
              <w:tl2br w:val="nil"/>
              <w:tr2bl w:val="nil"/>
            </w:tcBorders>
            <w:vAlign w:val="center"/>
          </w:tcPr>
          <w:p w14:paraId="41A7FF05">
            <w:pPr>
              <w:jc w:val="center"/>
            </w:pPr>
            <w:r>
              <w:t>0.00000</w:t>
            </w:r>
          </w:p>
        </w:tc>
        <w:tc>
          <w:tcPr>
            <w:tcW w:w="643" w:type="pct"/>
            <w:tcBorders>
              <w:tl2br w:val="nil"/>
              <w:tr2bl w:val="nil"/>
            </w:tcBorders>
            <w:vAlign w:val="center"/>
          </w:tcPr>
          <w:p w14:paraId="04C14170">
            <w:pPr>
              <w:jc w:val="center"/>
            </w:pPr>
            <w:r>
              <w:t>0.00000</w:t>
            </w:r>
          </w:p>
        </w:tc>
        <w:tc>
          <w:tcPr>
            <w:tcW w:w="643" w:type="pct"/>
            <w:tcBorders>
              <w:tl2br w:val="nil"/>
              <w:tr2bl w:val="nil"/>
            </w:tcBorders>
            <w:vAlign w:val="center"/>
          </w:tcPr>
          <w:p w14:paraId="0A4EB54F">
            <w:pPr>
              <w:jc w:val="center"/>
            </w:pPr>
            <w:r>
              <w:t>0.00000</w:t>
            </w:r>
          </w:p>
        </w:tc>
        <w:tc>
          <w:tcPr>
            <w:tcW w:w="643" w:type="pct"/>
            <w:tcBorders>
              <w:tl2br w:val="nil"/>
              <w:tr2bl w:val="nil"/>
            </w:tcBorders>
            <w:vAlign w:val="center"/>
          </w:tcPr>
          <w:p w14:paraId="00D052D6">
            <w:pPr>
              <w:jc w:val="center"/>
            </w:pPr>
            <w:r>
              <w:t>0.00000</w:t>
            </w:r>
          </w:p>
        </w:tc>
        <w:tc>
          <w:tcPr>
            <w:tcW w:w="643" w:type="pct"/>
            <w:tcBorders>
              <w:tl2br w:val="nil"/>
              <w:tr2bl w:val="nil"/>
            </w:tcBorders>
            <w:vAlign w:val="center"/>
          </w:tcPr>
          <w:p w14:paraId="34702D92">
            <w:pPr>
              <w:jc w:val="center"/>
            </w:pPr>
            <w:r>
              <w:t>0.00364</w:t>
            </w:r>
          </w:p>
        </w:tc>
      </w:tr>
      <w:tr w14:paraId="1F546A2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0684F750">
            <w:pPr>
              <w:jc w:val="center"/>
            </w:pPr>
            <w:r>
              <w:t>350</w:t>
            </w:r>
          </w:p>
        </w:tc>
        <w:tc>
          <w:tcPr>
            <w:tcW w:w="643" w:type="pct"/>
            <w:tcBorders>
              <w:tl2br w:val="nil"/>
              <w:tr2bl w:val="nil"/>
            </w:tcBorders>
            <w:vAlign w:val="center"/>
          </w:tcPr>
          <w:p w14:paraId="0558C13B">
            <w:pPr>
              <w:jc w:val="center"/>
            </w:pPr>
            <w:r>
              <w:t>0.00000</w:t>
            </w:r>
          </w:p>
        </w:tc>
        <w:tc>
          <w:tcPr>
            <w:tcW w:w="643" w:type="pct"/>
            <w:tcBorders>
              <w:tl2br w:val="nil"/>
              <w:tr2bl w:val="nil"/>
            </w:tcBorders>
            <w:vAlign w:val="center"/>
          </w:tcPr>
          <w:p w14:paraId="3BB2F56A">
            <w:pPr>
              <w:jc w:val="center"/>
            </w:pPr>
            <w:r>
              <w:t>0.00000</w:t>
            </w:r>
          </w:p>
        </w:tc>
        <w:tc>
          <w:tcPr>
            <w:tcW w:w="643" w:type="pct"/>
            <w:tcBorders>
              <w:tl2br w:val="nil"/>
              <w:tr2bl w:val="nil"/>
            </w:tcBorders>
            <w:vAlign w:val="center"/>
          </w:tcPr>
          <w:p w14:paraId="28E5806A">
            <w:pPr>
              <w:jc w:val="center"/>
            </w:pPr>
            <w:r>
              <w:t>0.00000</w:t>
            </w:r>
          </w:p>
        </w:tc>
        <w:tc>
          <w:tcPr>
            <w:tcW w:w="643" w:type="pct"/>
            <w:tcBorders>
              <w:tl2br w:val="nil"/>
              <w:tr2bl w:val="nil"/>
            </w:tcBorders>
            <w:vAlign w:val="center"/>
          </w:tcPr>
          <w:p w14:paraId="5A10AC72">
            <w:pPr>
              <w:jc w:val="center"/>
            </w:pPr>
            <w:r>
              <w:t>0.00000</w:t>
            </w:r>
          </w:p>
        </w:tc>
        <w:tc>
          <w:tcPr>
            <w:tcW w:w="643" w:type="pct"/>
            <w:tcBorders>
              <w:tl2br w:val="nil"/>
              <w:tr2bl w:val="nil"/>
            </w:tcBorders>
            <w:vAlign w:val="center"/>
          </w:tcPr>
          <w:p w14:paraId="3BAEB6D5">
            <w:pPr>
              <w:jc w:val="center"/>
            </w:pPr>
            <w:r>
              <w:t>0.00000</w:t>
            </w:r>
          </w:p>
        </w:tc>
        <w:tc>
          <w:tcPr>
            <w:tcW w:w="643" w:type="pct"/>
            <w:tcBorders>
              <w:tl2br w:val="nil"/>
              <w:tr2bl w:val="nil"/>
            </w:tcBorders>
            <w:vAlign w:val="center"/>
          </w:tcPr>
          <w:p w14:paraId="28795E25">
            <w:pPr>
              <w:jc w:val="center"/>
            </w:pPr>
            <w:r>
              <w:t>0.00000</w:t>
            </w:r>
          </w:p>
        </w:tc>
        <w:tc>
          <w:tcPr>
            <w:tcW w:w="643" w:type="pct"/>
            <w:tcBorders>
              <w:tl2br w:val="nil"/>
              <w:tr2bl w:val="nil"/>
            </w:tcBorders>
            <w:vAlign w:val="center"/>
          </w:tcPr>
          <w:p w14:paraId="5AA2AB88">
            <w:pPr>
              <w:jc w:val="center"/>
            </w:pPr>
            <w:r>
              <w:t>0.00150</w:t>
            </w:r>
          </w:p>
        </w:tc>
      </w:tr>
      <w:tr w14:paraId="6E52797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0F0642FA">
            <w:pPr>
              <w:jc w:val="center"/>
            </w:pPr>
            <w:r>
              <w:t>360</w:t>
            </w:r>
          </w:p>
        </w:tc>
        <w:tc>
          <w:tcPr>
            <w:tcW w:w="643" w:type="pct"/>
            <w:tcBorders>
              <w:tl2br w:val="nil"/>
              <w:tr2bl w:val="nil"/>
            </w:tcBorders>
            <w:vAlign w:val="center"/>
          </w:tcPr>
          <w:p w14:paraId="4E94C6C3">
            <w:pPr>
              <w:jc w:val="center"/>
            </w:pPr>
            <w:r>
              <w:t>0.00000</w:t>
            </w:r>
          </w:p>
        </w:tc>
        <w:tc>
          <w:tcPr>
            <w:tcW w:w="643" w:type="pct"/>
            <w:tcBorders>
              <w:tl2br w:val="nil"/>
              <w:tr2bl w:val="nil"/>
            </w:tcBorders>
            <w:vAlign w:val="center"/>
          </w:tcPr>
          <w:p w14:paraId="7E5016AE">
            <w:pPr>
              <w:jc w:val="center"/>
            </w:pPr>
            <w:r>
              <w:t>0.00000</w:t>
            </w:r>
          </w:p>
        </w:tc>
        <w:tc>
          <w:tcPr>
            <w:tcW w:w="643" w:type="pct"/>
            <w:tcBorders>
              <w:tl2br w:val="nil"/>
              <w:tr2bl w:val="nil"/>
            </w:tcBorders>
            <w:vAlign w:val="center"/>
          </w:tcPr>
          <w:p w14:paraId="0C203A7D">
            <w:pPr>
              <w:jc w:val="center"/>
            </w:pPr>
            <w:r>
              <w:t>0.00000</w:t>
            </w:r>
          </w:p>
        </w:tc>
        <w:tc>
          <w:tcPr>
            <w:tcW w:w="643" w:type="pct"/>
            <w:tcBorders>
              <w:tl2br w:val="nil"/>
              <w:tr2bl w:val="nil"/>
            </w:tcBorders>
            <w:vAlign w:val="center"/>
          </w:tcPr>
          <w:p w14:paraId="0F8DE920">
            <w:pPr>
              <w:jc w:val="center"/>
            </w:pPr>
            <w:r>
              <w:t>0.00000</w:t>
            </w:r>
          </w:p>
        </w:tc>
        <w:tc>
          <w:tcPr>
            <w:tcW w:w="643" w:type="pct"/>
            <w:tcBorders>
              <w:tl2br w:val="nil"/>
              <w:tr2bl w:val="nil"/>
            </w:tcBorders>
            <w:vAlign w:val="center"/>
          </w:tcPr>
          <w:p w14:paraId="218D890B">
            <w:pPr>
              <w:jc w:val="center"/>
            </w:pPr>
            <w:r>
              <w:t>0.00000</w:t>
            </w:r>
          </w:p>
        </w:tc>
        <w:tc>
          <w:tcPr>
            <w:tcW w:w="643" w:type="pct"/>
            <w:tcBorders>
              <w:tl2br w:val="nil"/>
              <w:tr2bl w:val="nil"/>
            </w:tcBorders>
            <w:vAlign w:val="center"/>
          </w:tcPr>
          <w:p w14:paraId="376BFC92">
            <w:pPr>
              <w:jc w:val="center"/>
            </w:pPr>
            <w:r>
              <w:t>0.00000</w:t>
            </w:r>
          </w:p>
        </w:tc>
        <w:tc>
          <w:tcPr>
            <w:tcW w:w="643" w:type="pct"/>
            <w:tcBorders>
              <w:tl2br w:val="nil"/>
              <w:tr2bl w:val="nil"/>
            </w:tcBorders>
            <w:vAlign w:val="center"/>
          </w:tcPr>
          <w:p w14:paraId="7B63CF27">
            <w:pPr>
              <w:jc w:val="center"/>
            </w:pPr>
            <w:r>
              <w:t>0.00059</w:t>
            </w:r>
          </w:p>
        </w:tc>
      </w:tr>
      <w:tr w14:paraId="172FB3F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606414F1">
            <w:pPr>
              <w:jc w:val="center"/>
            </w:pPr>
            <w:r>
              <w:t>370</w:t>
            </w:r>
          </w:p>
        </w:tc>
        <w:tc>
          <w:tcPr>
            <w:tcW w:w="643" w:type="pct"/>
            <w:tcBorders>
              <w:tl2br w:val="nil"/>
              <w:tr2bl w:val="nil"/>
            </w:tcBorders>
            <w:vAlign w:val="center"/>
          </w:tcPr>
          <w:p w14:paraId="58708D0E">
            <w:pPr>
              <w:jc w:val="center"/>
            </w:pPr>
            <w:r>
              <w:t>0.00000</w:t>
            </w:r>
          </w:p>
        </w:tc>
        <w:tc>
          <w:tcPr>
            <w:tcW w:w="643" w:type="pct"/>
            <w:tcBorders>
              <w:tl2br w:val="nil"/>
              <w:tr2bl w:val="nil"/>
            </w:tcBorders>
            <w:vAlign w:val="center"/>
          </w:tcPr>
          <w:p w14:paraId="459B6354">
            <w:pPr>
              <w:jc w:val="center"/>
            </w:pPr>
            <w:r>
              <w:t>0.00000</w:t>
            </w:r>
          </w:p>
        </w:tc>
        <w:tc>
          <w:tcPr>
            <w:tcW w:w="643" w:type="pct"/>
            <w:tcBorders>
              <w:tl2br w:val="nil"/>
              <w:tr2bl w:val="nil"/>
            </w:tcBorders>
            <w:vAlign w:val="center"/>
          </w:tcPr>
          <w:p w14:paraId="0F2D4D7C">
            <w:pPr>
              <w:jc w:val="center"/>
            </w:pPr>
            <w:r>
              <w:t>0.00000</w:t>
            </w:r>
          </w:p>
        </w:tc>
        <w:tc>
          <w:tcPr>
            <w:tcW w:w="643" w:type="pct"/>
            <w:tcBorders>
              <w:tl2br w:val="nil"/>
              <w:tr2bl w:val="nil"/>
            </w:tcBorders>
            <w:vAlign w:val="center"/>
          </w:tcPr>
          <w:p w14:paraId="1F52DEC3">
            <w:pPr>
              <w:jc w:val="center"/>
            </w:pPr>
            <w:r>
              <w:t>0.00000</w:t>
            </w:r>
          </w:p>
        </w:tc>
        <w:tc>
          <w:tcPr>
            <w:tcW w:w="643" w:type="pct"/>
            <w:tcBorders>
              <w:tl2br w:val="nil"/>
              <w:tr2bl w:val="nil"/>
            </w:tcBorders>
            <w:vAlign w:val="center"/>
          </w:tcPr>
          <w:p w14:paraId="7B8EE0F0">
            <w:pPr>
              <w:jc w:val="center"/>
            </w:pPr>
            <w:r>
              <w:t>0.00000</w:t>
            </w:r>
          </w:p>
        </w:tc>
        <w:tc>
          <w:tcPr>
            <w:tcW w:w="643" w:type="pct"/>
            <w:tcBorders>
              <w:tl2br w:val="nil"/>
              <w:tr2bl w:val="nil"/>
            </w:tcBorders>
            <w:vAlign w:val="center"/>
          </w:tcPr>
          <w:p w14:paraId="74F75667">
            <w:pPr>
              <w:jc w:val="center"/>
            </w:pPr>
            <w:r>
              <w:t>0.00000</w:t>
            </w:r>
          </w:p>
        </w:tc>
        <w:tc>
          <w:tcPr>
            <w:tcW w:w="643" w:type="pct"/>
            <w:tcBorders>
              <w:tl2br w:val="nil"/>
              <w:tr2bl w:val="nil"/>
            </w:tcBorders>
            <w:vAlign w:val="center"/>
          </w:tcPr>
          <w:p w14:paraId="7375E7BA">
            <w:pPr>
              <w:jc w:val="center"/>
            </w:pPr>
            <w:r>
              <w:t>0.00023</w:t>
            </w:r>
          </w:p>
        </w:tc>
      </w:tr>
      <w:tr w14:paraId="5FAC49A2">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53E46793">
            <w:pPr>
              <w:jc w:val="center"/>
            </w:pPr>
            <w:r>
              <w:t>380</w:t>
            </w:r>
          </w:p>
        </w:tc>
        <w:tc>
          <w:tcPr>
            <w:tcW w:w="643" w:type="pct"/>
            <w:tcBorders>
              <w:tl2br w:val="nil"/>
              <w:tr2bl w:val="nil"/>
            </w:tcBorders>
            <w:vAlign w:val="center"/>
          </w:tcPr>
          <w:p w14:paraId="57DDB39D">
            <w:pPr>
              <w:jc w:val="center"/>
            </w:pPr>
            <w:r>
              <w:t>0.00000</w:t>
            </w:r>
          </w:p>
        </w:tc>
        <w:tc>
          <w:tcPr>
            <w:tcW w:w="643" w:type="pct"/>
            <w:tcBorders>
              <w:tl2br w:val="nil"/>
              <w:tr2bl w:val="nil"/>
            </w:tcBorders>
            <w:vAlign w:val="center"/>
          </w:tcPr>
          <w:p w14:paraId="3213770D">
            <w:pPr>
              <w:jc w:val="center"/>
            </w:pPr>
            <w:r>
              <w:t>0.00000</w:t>
            </w:r>
          </w:p>
        </w:tc>
        <w:tc>
          <w:tcPr>
            <w:tcW w:w="643" w:type="pct"/>
            <w:tcBorders>
              <w:tl2br w:val="nil"/>
              <w:tr2bl w:val="nil"/>
            </w:tcBorders>
            <w:vAlign w:val="center"/>
          </w:tcPr>
          <w:p w14:paraId="13CAA3CE">
            <w:pPr>
              <w:jc w:val="center"/>
            </w:pPr>
            <w:r>
              <w:t>0.00000</w:t>
            </w:r>
          </w:p>
        </w:tc>
        <w:tc>
          <w:tcPr>
            <w:tcW w:w="643" w:type="pct"/>
            <w:tcBorders>
              <w:tl2br w:val="nil"/>
              <w:tr2bl w:val="nil"/>
            </w:tcBorders>
            <w:vAlign w:val="center"/>
          </w:tcPr>
          <w:p w14:paraId="3C15CA24">
            <w:pPr>
              <w:jc w:val="center"/>
            </w:pPr>
            <w:r>
              <w:t>0.00000</w:t>
            </w:r>
          </w:p>
        </w:tc>
        <w:tc>
          <w:tcPr>
            <w:tcW w:w="643" w:type="pct"/>
            <w:tcBorders>
              <w:tl2br w:val="nil"/>
              <w:tr2bl w:val="nil"/>
            </w:tcBorders>
            <w:vAlign w:val="center"/>
          </w:tcPr>
          <w:p w14:paraId="04B30FFB">
            <w:pPr>
              <w:jc w:val="center"/>
            </w:pPr>
            <w:r>
              <w:t>0.00000</w:t>
            </w:r>
          </w:p>
        </w:tc>
        <w:tc>
          <w:tcPr>
            <w:tcW w:w="643" w:type="pct"/>
            <w:tcBorders>
              <w:tl2br w:val="nil"/>
              <w:tr2bl w:val="nil"/>
            </w:tcBorders>
            <w:vAlign w:val="center"/>
          </w:tcPr>
          <w:p w14:paraId="2D333E68">
            <w:pPr>
              <w:jc w:val="center"/>
            </w:pPr>
            <w:r>
              <w:t>0.00000</w:t>
            </w:r>
          </w:p>
        </w:tc>
        <w:tc>
          <w:tcPr>
            <w:tcW w:w="643" w:type="pct"/>
            <w:tcBorders>
              <w:tl2br w:val="nil"/>
              <w:tr2bl w:val="nil"/>
            </w:tcBorders>
            <w:vAlign w:val="center"/>
          </w:tcPr>
          <w:p w14:paraId="68420732">
            <w:pPr>
              <w:jc w:val="center"/>
            </w:pPr>
            <w:r>
              <w:t>0.00008</w:t>
            </w:r>
          </w:p>
        </w:tc>
      </w:tr>
      <w:tr w14:paraId="39C74F0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494" w:type="pct"/>
            <w:tcBorders>
              <w:tl2br w:val="nil"/>
              <w:tr2bl w:val="nil"/>
            </w:tcBorders>
            <w:vAlign w:val="center"/>
          </w:tcPr>
          <w:p w14:paraId="0A0AA3F2">
            <w:pPr>
              <w:jc w:val="center"/>
            </w:pPr>
            <w:r>
              <w:t>390</w:t>
            </w:r>
          </w:p>
        </w:tc>
        <w:tc>
          <w:tcPr>
            <w:tcW w:w="643" w:type="pct"/>
            <w:tcBorders>
              <w:tl2br w:val="nil"/>
              <w:tr2bl w:val="nil"/>
            </w:tcBorders>
            <w:vAlign w:val="center"/>
          </w:tcPr>
          <w:p w14:paraId="3E2311FB">
            <w:pPr>
              <w:jc w:val="center"/>
            </w:pPr>
            <w:r>
              <w:t>0.00000</w:t>
            </w:r>
          </w:p>
        </w:tc>
        <w:tc>
          <w:tcPr>
            <w:tcW w:w="643" w:type="pct"/>
            <w:tcBorders>
              <w:tl2br w:val="nil"/>
              <w:tr2bl w:val="nil"/>
            </w:tcBorders>
            <w:vAlign w:val="center"/>
          </w:tcPr>
          <w:p w14:paraId="3133F458">
            <w:pPr>
              <w:jc w:val="center"/>
            </w:pPr>
            <w:r>
              <w:t>0.00000</w:t>
            </w:r>
          </w:p>
        </w:tc>
        <w:tc>
          <w:tcPr>
            <w:tcW w:w="643" w:type="pct"/>
            <w:tcBorders>
              <w:tl2br w:val="nil"/>
              <w:tr2bl w:val="nil"/>
            </w:tcBorders>
            <w:vAlign w:val="center"/>
          </w:tcPr>
          <w:p w14:paraId="1ABEDC86">
            <w:pPr>
              <w:jc w:val="center"/>
            </w:pPr>
            <w:r>
              <w:t>0.00000</w:t>
            </w:r>
          </w:p>
        </w:tc>
        <w:tc>
          <w:tcPr>
            <w:tcW w:w="643" w:type="pct"/>
            <w:tcBorders>
              <w:tl2br w:val="nil"/>
              <w:tr2bl w:val="nil"/>
            </w:tcBorders>
            <w:vAlign w:val="center"/>
          </w:tcPr>
          <w:p w14:paraId="24639C84">
            <w:pPr>
              <w:jc w:val="center"/>
            </w:pPr>
            <w:r>
              <w:t>0.00000</w:t>
            </w:r>
          </w:p>
        </w:tc>
        <w:tc>
          <w:tcPr>
            <w:tcW w:w="643" w:type="pct"/>
            <w:tcBorders>
              <w:tl2br w:val="nil"/>
              <w:tr2bl w:val="nil"/>
            </w:tcBorders>
            <w:vAlign w:val="center"/>
          </w:tcPr>
          <w:p w14:paraId="48E0FA42">
            <w:pPr>
              <w:jc w:val="center"/>
            </w:pPr>
            <w:r>
              <w:t>0.00000</w:t>
            </w:r>
          </w:p>
        </w:tc>
        <w:tc>
          <w:tcPr>
            <w:tcW w:w="643" w:type="pct"/>
            <w:tcBorders>
              <w:tl2br w:val="nil"/>
              <w:tr2bl w:val="nil"/>
            </w:tcBorders>
            <w:vAlign w:val="center"/>
          </w:tcPr>
          <w:p w14:paraId="47C94E25">
            <w:pPr>
              <w:jc w:val="center"/>
            </w:pPr>
            <w:r>
              <w:t>0.00000</w:t>
            </w:r>
          </w:p>
        </w:tc>
        <w:tc>
          <w:tcPr>
            <w:tcW w:w="643" w:type="pct"/>
            <w:tcBorders>
              <w:tl2br w:val="nil"/>
              <w:tr2bl w:val="nil"/>
            </w:tcBorders>
            <w:vAlign w:val="center"/>
          </w:tcPr>
          <w:p w14:paraId="0DD8D737">
            <w:pPr>
              <w:jc w:val="center"/>
            </w:pPr>
            <w:r>
              <w:t>0.00003</w:t>
            </w:r>
          </w:p>
        </w:tc>
      </w:tr>
      <w:tr w14:paraId="46AD3EA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494" w:type="pct"/>
            <w:tcBorders>
              <w:tl2br w:val="nil"/>
              <w:tr2bl w:val="nil"/>
            </w:tcBorders>
            <w:vAlign w:val="center"/>
          </w:tcPr>
          <w:p w14:paraId="67D9DC0F">
            <w:pPr>
              <w:jc w:val="center"/>
            </w:pPr>
            <w:r>
              <w:t>400</w:t>
            </w:r>
          </w:p>
        </w:tc>
        <w:tc>
          <w:tcPr>
            <w:tcW w:w="643" w:type="pct"/>
            <w:tcBorders>
              <w:tl2br w:val="nil"/>
              <w:tr2bl w:val="nil"/>
            </w:tcBorders>
            <w:vAlign w:val="center"/>
          </w:tcPr>
          <w:p w14:paraId="1F58971C">
            <w:pPr>
              <w:jc w:val="center"/>
            </w:pPr>
            <w:r>
              <w:t>0.00000</w:t>
            </w:r>
          </w:p>
        </w:tc>
        <w:tc>
          <w:tcPr>
            <w:tcW w:w="643" w:type="pct"/>
            <w:tcBorders>
              <w:tl2br w:val="nil"/>
              <w:tr2bl w:val="nil"/>
            </w:tcBorders>
            <w:vAlign w:val="center"/>
          </w:tcPr>
          <w:p w14:paraId="61BEF399">
            <w:pPr>
              <w:jc w:val="center"/>
            </w:pPr>
            <w:r>
              <w:t>0.00000</w:t>
            </w:r>
          </w:p>
        </w:tc>
        <w:tc>
          <w:tcPr>
            <w:tcW w:w="643" w:type="pct"/>
            <w:tcBorders>
              <w:tl2br w:val="nil"/>
              <w:tr2bl w:val="nil"/>
            </w:tcBorders>
            <w:vAlign w:val="center"/>
          </w:tcPr>
          <w:p w14:paraId="40975F6E">
            <w:pPr>
              <w:jc w:val="center"/>
            </w:pPr>
            <w:r>
              <w:t>0.00000</w:t>
            </w:r>
          </w:p>
        </w:tc>
        <w:tc>
          <w:tcPr>
            <w:tcW w:w="643" w:type="pct"/>
            <w:tcBorders>
              <w:tl2br w:val="nil"/>
              <w:tr2bl w:val="nil"/>
            </w:tcBorders>
            <w:vAlign w:val="center"/>
          </w:tcPr>
          <w:p w14:paraId="18864E9C">
            <w:pPr>
              <w:jc w:val="center"/>
            </w:pPr>
            <w:r>
              <w:t>0.00000</w:t>
            </w:r>
          </w:p>
        </w:tc>
        <w:tc>
          <w:tcPr>
            <w:tcW w:w="643" w:type="pct"/>
            <w:tcBorders>
              <w:tl2br w:val="nil"/>
              <w:tr2bl w:val="nil"/>
            </w:tcBorders>
            <w:vAlign w:val="center"/>
          </w:tcPr>
          <w:p w14:paraId="66A5938A">
            <w:pPr>
              <w:jc w:val="center"/>
            </w:pPr>
            <w:r>
              <w:t>0.00000</w:t>
            </w:r>
          </w:p>
        </w:tc>
        <w:tc>
          <w:tcPr>
            <w:tcW w:w="643" w:type="pct"/>
            <w:tcBorders>
              <w:tl2br w:val="nil"/>
              <w:tr2bl w:val="nil"/>
            </w:tcBorders>
            <w:vAlign w:val="center"/>
          </w:tcPr>
          <w:p w14:paraId="76A82015">
            <w:pPr>
              <w:jc w:val="center"/>
            </w:pPr>
            <w:r>
              <w:t>0.00000</w:t>
            </w:r>
          </w:p>
        </w:tc>
        <w:tc>
          <w:tcPr>
            <w:tcW w:w="643" w:type="pct"/>
            <w:tcBorders>
              <w:tl2br w:val="nil"/>
              <w:tr2bl w:val="nil"/>
            </w:tcBorders>
            <w:vAlign w:val="center"/>
          </w:tcPr>
          <w:p w14:paraId="72AF83AF">
            <w:pPr>
              <w:jc w:val="center"/>
            </w:pPr>
            <w:r>
              <w:t>0.00001</w:t>
            </w:r>
          </w:p>
        </w:tc>
      </w:tr>
    </w:tbl>
    <w:p w14:paraId="00C5A134">
      <w:pPr>
        <w:tabs>
          <w:tab w:val="left" w:pos="1661"/>
        </w:tabs>
        <w:autoSpaceDE w:val="0"/>
        <w:autoSpaceDN w:val="0"/>
        <w:spacing w:line="360" w:lineRule="auto"/>
        <w:jc w:val="left"/>
        <w:rPr>
          <w:rFonts w:hint="eastAsia" w:ascii="Times New Roman" w:hAnsi="Times New Roman" w:eastAsia="宋体" w:cs="Times New Roman"/>
          <w:color w:val="auto"/>
          <w:sz w:val="24"/>
          <w:szCs w:val="22"/>
          <w:lang w:val="en-US" w:eastAsia="zh-CN" w:bidi="zh-CN"/>
        </w:rPr>
      </w:pPr>
      <w:r>
        <w:drawing>
          <wp:inline distT="0" distB="0" distL="114300" distR="114300">
            <wp:extent cx="5273040" cy="2834640"/>
            <wp:effectExtent l="0" t="0" r="3810" b="3810"/>
            <wp:docPr id="1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8"/>
                    <pic:cNvPicPr>
                      <a:picLocks noChangeAspect="1"/>
                    </pic:cNvPicPr>
                  </pic:nvPicPr>
                  <pic:blipFill>
                    <a:blip r:embed="rId52"/>
                    <a:stretch>
                      <a:fillRect/>
                    </a:stretch>
                  </pic:blipFill>
                  <pic:spPr>
                    <a:xfrm>
                      <a:off x="0" y="0"/>
                      <a:ext cx="5273040" cy="2834640"/>
                    </a:xfrm>
                    <a:prstGeom prst="rect">
                      <a:avLst/>
                    </a:prstGeom>
                    <a:noFill/>
                    <a:ln>
                      <a:noFill/>
                    </a:ln>
                  </pic:spPr>
                </pic:pic>
              </a:graphicData>
            </a:graphic>
          </wp:inline>
        </w:drawing>
      </w:r>
    </w:p>
    <w:p w14:paraId="2B144609">
      <w:pPr>
        <w:spacing w:before="120" w:line="360" w:lineRule="auto"/>
        <w:jc w:val="center"/>
        <w:rPr>
          <w:rFonts w:hint="eastAsia" w:ascii="Times New Roman" w:hAnsi="Times New Roman" w:eastAsia="宋体" w:cs="Times New Roman"/>
          <w:b/>
          <w:bCs/>
          <w:spacing w:val="7"/>
          <w:sz w:val="24"/>
          <w:szCs w:val="24"/>
          <w:lang w:val="en-US" w:eastAsia="zh-CN"/>
        </w:rPr>
      </w:pPr>
      <w:r>
        <w:rPr>
          <w:rFonts w:hint="eastAsia" w:ascii="Times New Roman" w:hAnsi="Times New Roman" w:eastAsia="宋体" w:cs="Times New Roman"/>
          <w:b/>
          <w:bCs/>
          <w:spacing w:val="7"/>
          <w:sz w:val="24"/>
          <w:szCs w:val="24"/>
          <w:lang w:val="en-US" w:eastAsia="zh-CN"/>
        </w:rPr>
        <w:t>图5</w:t>
      </w:r>
      <w:r>
        <w:rPr>
          <w:rFonts w:hint="eastAsia" w:cs="Times New Roman"/>
          <w:b/>
          <w:bCs/>
          <w:spacing w:val="7"/>
          <w:sz w:val="24"/>
          <w:szCs w:val="24"/>
          <w:lang w:val="en-US" w:eastAsia="zh-CN"/>
        </w:rPr>
        <w:t>.2-6</w:t>
      </w:r>
      <w:r>
        <w:rPr>
          <w:rFonts w:hint="eastAsia" w:ascii="Times New Roman" w:hAnsi="Times New Roman" w:eastAsia="宋体" w:cs="Times New Roman"/>
          <w:b/>
          <w:bCs/>
          <w:spacing w:val="7"/>
          <w:sz w:val="24"/>
          <w:szCs w:val="24"/>
          <w:lang w:val="en-US" w:eastAsia="zh-CN"/>
        </w:rPr>
        <w:t xml:space="preserve">  本项目非正常状况下地下水NH</w:t>
      </w:r>
      <w:r>
        <w:rPr>
          <w:rFonts w:hint="eastAsia" w:ascii="Times New Roman" w:hAnsi="Times New Roman" w:eastAsia="宋体" w:cs="Times New Roman"/>
          <w:b/>
          <w:bCs/>
          <w:spacing w:val="7"/>
          <w:sz w:val="24"/>
          <w:szCs w:val="24"/>
          <w:vertAlign w:val="subscript"/>
          <w:lang w:val="en-US" w:eastAsia="zh-CN"/>
        </w:rPr>
        <w:t>3</w:t>
      </w:r>
      <w:r>
        <w:rPr>
          <w:rFonts w:hint="eastAsia" w:ascii="Times New Roman" w:hAnsi="Times New Roman" w:eastAsia="宋体" w:cs="Times New Roman"/>
          <w:b/>
          <w:bCs/>
          <w:spacing w:val="7"/>
          <w:sz w:val="24"/>
          <w:szCs w:val="24"/>
          <w:lang w:val="en-US" w:eastAsia="zh-CN"/>
        </w:rPr>
        <w:t>-N污染影响预测曲线图</w:t>
      </w:r>
    </w:p>
    <w:p w14:paraId="1C6E15D8">
      <w:pPr>
        <w:pStyle w:val="276"/>
        <w:spacing w:line="360" w:lineRule="auto"/>
        <w:ind w:left="0" w:leftChars="0" w:firstLine="0" w:firstLineChars="0"/>
        <w:rPr>
          <w:rFonts w:hint="eastAsia"/>
          <w:b/>
          <w:color w:val="auto"/>
        </w:rPr>
      </w:pPr>
      <w:r>
        <w:rPr>
          <w:rFonts w:hint="eastAsia"/>
          <w:b/>
          <w:color w:val="auto"/>
        </w:rPr>
        <w:t>5.2.3.</w:t>
      </w:r>
      <w:r>
        <w:rPr>
          <w:rFonts w:hint="eastAsia"/>
          <w:b/>
          <w:color w:val="auto"/>
          <w:lang w:val="en-US" w:eastAsia="zh-CN"/>
        </w:rPr>
        <w:t>6</w:t>
      </w:r>
      <w:r>
        <w:rPr>
          <w:rFonts w:hint="eastAsia"/>
          <w:b/>
          <w:color w:val="auto"/>
        </w:rPr>
        <w:t>地下水环境影响预测结果</w:t>
      </w:r>
    </w:p>
    <w:p w14:paraId="1F6DB69A">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根据预测结果，地下水中CODcr和NH</w:t>
      </w:r>
      <w:r>
        <w:rPr>
          <w:rFonts w:hint="eastAsia" w:ascii="Times New Roman" w:hAnsi="Times New Roman" w:eastAsia="宋体" w:cs="Times New Roman"/>
          <w:color w:val="auto"/>
          <w:sz w:val="24"/>
          <w:szCs w:val="22"/>
          <w:vertAlign w:val="subscript"/>
          <w:lang w:val="en-US" w:eastAsia="zh-CN" w:bidi="zh-CN"/>
        </w:rPr>
        <w:t>3</w:t>
      </w:r>
      <w:r>
        <w:rPr>
          <w:rFonts w:hint="eastAsia" w:ascii="Times New Roman" w:hAnsi="Times New Roman" w:eastAsia="宋体" w:cs="Times New Roman"/>
          <w:color w:val="auto"/>
          <w:sz w:val="24"/>
          <w:szCs w:val="22"/>
          <w:lang w:val="en-US" w:eastAsia="zh-CN" w:bidi="zh-CN"/>
        </w:rPr>
        <w:t>-N的浓度随着时间的推移逐渐扩大，地下水污染是一个漫长的过程，虽然污染过程中土壤会截留大部分，且部分会在土壤中降解、稀释，最终进入到地下水含水层中的量较少，但可以看出，如果渗漏没有得到及时发现，则随着渗漏量增加，污染物的浓度也将增长。建设单位必须加强对鸡舍、临时储粪场、废水收集池及各可能发生地下水污染渗漏的部位的防渗设施加强监管，确保防渗设施正常运行，定期例行检查，从源头上杜绝污水渗漏。</w:t>
      </w:r>
    </w:p>
    <w:p w14:paraId="4A613134">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本项目在鸡舍、临时储粪场、废水收集池等所有可能发生污水或渗滤液渗漏的部位全部进行防渗处理。</w:t>
      </w:r>
    </w:p>
    <w:p w14:paraId="463ADDA1">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本项目在采取分区防渗等相关措施后可避免对评价区地下水的影响：</w:t>
      </w:r>
    </w:p>
    <w:p w14:paraId="062B5EF9">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（1）本项目废水产生后即产即清，外运至</w:t>
      </w:r>
      <w:r>
        <w:rPr>
          <w:rFonts w:hint="eastAsia" w:cs="Times New Roman"/>
          <w:color w:val="auto"/>
          <w:sz w:val="24"/>
          <w:szCs w:val="22"/>
          <w:lang w:val="en-US" w:eastAsia="zh-CN" w:bidi="zh-CN"/>
        </w:rPr>
        <w:t>辰泰（辽宁）生物科技有限公司</w:t>
      </w:r>
      <w:r>
        <w:rPr>
          <w:rFonts w:hint="eastAsia" w:ascii="Times New Roman" w:hAnsi="Times New Roman" w:eastAsia="宋体" w:cs="Times New Roman"/>
          <w:color w:val="auto"/>
          <w:sz w:val="24"/>
          <w:szCs w:val="22"/>
          <w:lang w:val="en-US" w:eastAsia="zh-CN" w:bidi="zh-CN"/>
        </w:rPr>
        <w:t>用于生产有机肥，不会对本区域地下水造成污染。</w:t>
      </w:r>
    </w:p>
    <w:p w14:paraId="68091E90">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（2）本项目对用水及排水环节均加强了防渗措施的处理，对场区内各除绿化以外的地面等均采取了硬化处理并进行了防渗，可在较大程度上避免由于废水下渗等引起的地下水污染影响；</w:t>
      </w:r>
    </w:p>
    <w:p w14:paraId="37DBFE2B">
      <w:pPr>
        <w:tabs>
          <w:tab w:val="left" w:pos="1661"/>
        </w:tabs>
        <w:autoSpaceDE w:val="0"/>
        <w:autoSpaceDN w:val="0"/>
        <w:spacing w:line="360" w:lineRule="auto"/>
        <w:ind w:firstLine="480" w:firstLineChars="200"/>
        <w:jc w:val="left"/>
        <w:rPr>
          <w:rFonts w:hint="eastAsia" w:ascii="Times New Roman" w:hAnsi="Times New Roman" w:eastAsia="宋体" w:cs="Times New Roman"/>
          <w:color w:val="auto"/>
          <w:sz w:val="24"/>
          <w:szCs w:val="22"/>
          <w:lang w:val="en-US" w:eastAsia="zh-CN" w:bidi="zh-CN"/>
        </w:rPr>
      </w:pPr>
      <w:r>
        <w:rPr>
          <w:rFonts w:hint="eastAsia" w:ascii="Times New Roman" w:hAnsi="Times New Roman" w:eastAsia="宋体" w:cs="Times New Roman"/>
          <w:color w:val="auto"/>
          <w:sz w:val="24"/>
          <w:szCs w:val="22"/>
          <w:lang w:val="en-US" w:eastAsia="zh-CN" w:bidi="zh-CN"/>
        </w:rPr>
        <w:t>（3）本项目建设区无不良地质现象，也无采矿等形成的采空区，因相关自然等原因导致的废水渗漏因素也较小。</w:t>
      </w:r>
    </w:p>
    <w:p w14:paraId="2DF9C5F6">
      <w:pPr>
        <w:pStyle w:val="4"/>
        <w:snapToGrid w:val="0"/>
        <w:spacing w:before="0"/>
        <w:rPr>
          <w:rFonts w:ascii="Times New Roman" w:hAnsi="Times New Roman" w:eastAsia="宋体"/>
          <w:bCs/>
          <w:color w:val="auto"/>
          <w:sz w:val="28"/>
          <w:szCs w:val="28"/>
        </w:rPr>
      </w:pPr>
      <w:bookmarkStart w:id="330" w:name="_Toc440874840"/>
      <w:bookmarkStart w:id="331" w:name="_Toc441053132"/>
      <w:bookmarkStart w:id="332" w:name="_Toc20430"/>
      <w:r>
        <w:rPr>
          <w:rFonts w:ascii="Times New Roman" w:hAnsi="Times New Roman" w:eastAsia="宋体"/>
          <w:bCs/>
          <w:color w:val="auto"/>
          <w:sz w:val="28"/>
          <w:szCs w:val="28"/>
        </w:rPr>
        <w:t>5.2.</w:t>
      </w:r>
      <w:bookmarkEnd w:id="330"/>
      <w:bookmarkEnd w:id="331"/>
      <w:r>
        <w:rPr>
          <w:rFonts w:hint="eastAsia" w:ascii="Times New Roman" w:hAnsi="Times New Roman" w:eastAsia="宋体"/>
          <w:bCs/>
          <w:color w:val="auto"/>
          <w:sz w:val="28"/>
          <w:szCs w:val="28"/>
        </w:rPr>
        <w:t>4</w:t>
      </w:r>
      <w:r>
        <w:rPr>
          <w:rFonts w:ascii="Times New Roman" w:hAnsi="Times New Roman" w:eastAsia="宋体"/>
          <w:bCs/>
          <w:color w:val="auto"/>
          <w:sz w:val="28"/>
          <w:szCs w:val="28"/>
        </w:rPr>
        <w:t>运营期噪声环境影响分析</w:t>
      </w:r>
      <w:bookmarkEnd w:id="332"/>
    </w:p>
    <w:p w14:paraId="175721AC">
      <w:pPr>
        <w:pStyle w:val="276"/>
        <w:ind w:left="0" w:leftChars="0" w:firstLine="0" w:firstLineChars="0"/>
        <w:rPr>
          <w:rFonts w:hint="eastAsia"/>
          <w:b/>
          <w:color w:val="auto"/>
        </w:rPr>
      </w:pPr>
      <w:r>
        <w:rPr>
          <w:rFonts w:hint="eastAsia"/>
          <w:b/>
          <w:color w:val="auto"/>
        </w:rPr>
        <w:t>5.2.4.1噪声源强</w:t>
      </w:r>
    </w:p>
    <w:p w14:paraId="3F33039D">
      <w:pPr>
        <w:spacing w:line="360" w:lineRule="auto"/>
        <w:ind w:firstLine="480" w:firstLineChars="200"/>
        <w:rPr>
          <w:color w:val="auto"/>
          <w:kern w:val="0"/>
          <w:sz w:val="24"/>
        </w:rPr>
      </w:pPr>
      <w:r>
        <w:rPr>
          <w:color w:val="auto"/>
          <w:kern w:val="0"/>
          <w:sz w:val="24"/>
        </w:rPr>
        <w:t>根据《环境影响评价技术导则声环境》（HJ2.4-2</w:t>
      </w:r>
      <w:r>
        <w:rPr>
          <w:rFonts w:hint="eastAsia"/>
          <w:color w:val="auto"/>
          <w:kern w:val="0"/>
          <w:sz w:val="24"/>
        </w:rPr>
        <w:t>021</w:t>
      </w:r>
      <w:r>
        <w:rPr>
          <w:color w:val="auto"/>
          <w:kern w:val="0"/>
          <w:sz w:val="24"/>
        </w:rPr>
        <w:t>）中噪声环境影响评价工作等级划分的基本原则，项目声环境评价工作等级为二级。评价范围为项目厂界向外200m。建设项目评价范围内声环境保护目标和建设项目厂界（场界、边界）应作为预测点和评价点。本项目无声环境保护目标，因此确定场界为预测点和评价点。</w:t>
      </w:r>
    </w:p>
    <w:p w14:paraId="530740BF">
      <w:pPr>
        <w:spacing w:line="360" w:lineRule="auto"/>
        <w:ind w:firstLine="480" w:firstLineChars="200"/>
        <w:rPr>
          <w:color w:val="auto"/>
          <w:sz w:val="24"/>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4"/>
        </w:rPr>
        <w:t>本项目噪声主要来源于鸡群叫声、鸡舍排气扇、水泵、养殖及厨房风机、各项处理设备等运行时产生的噪声，参考《环境噪声与振动控制工程技术导则》(HJ2034-2013)、《噪声控制工程》（高洪武）、《通风机噪声限值》（JB/T8690-2014）、《高压清洗机》（GB/T26135-2010）、《环境保护产品技术要求潜水排污泵》（HJ/T336-2006）、《动力用空气压缩机和隔膜压缩机噪声声功率极限值》（GB7786-1987）</w:t>
      </w:r>
      <w:r>
        <w:rPr>
          <w:rFonts w:hint="eastAsia"/>
          <w:color w:val="auto"/>
          <w:sz w:val="24"/>
          <w:lang w:eastAsia="zh-CN"/>
        </w:rPr>
        <w:t>，</w:t>
      </w:r>
      <w:r>
        <w:rPr>
          <w:color w:val="auto"/>
          <w:sz w:val="24"/>
        </w:rPr>
        <w:t>本项目主要产噪设备噪声源强，鸡舍排气扇的噪声值在75～80dB（A）之间，鸡群哼叫声在70～80dB（A）之间，风机的等效声级值在80～85dB（A），水泵的等效声级值在80～85dB（A），处理设备的等效声级值在80～85dB（A）。主要噪声源排放情况见下表5</w:t>
      </w:r>
      <w:r>
        <w:rPr>
          <w:rFonts w:hint="eastAsia"/>
          <w:color w:val="auto"/>
          <w:sz w:val="24"/>
          <w:lang w:val="en-US" w:eastAsia="zh-CN"/>
        </w:rPr>
        <w:t>.2</w:t>
      </w:r>
      <w:r>
        <w:rPr>
          <w:color w:val="auto"/>
          <w:sz w:val="24"/>
        </w:rPr>
        <w:t>-</w:t>
      </w:r>
      <w:r>
        <w:rPr>
          <w:rFonts w:hint="eastAsia"/>
          <w:color w:val="auto"/>
          <w:sz w:val="24"/>
        </w:rPr>
        <w:t>24</w:t>
      </w:r>
      <w:r>
        <w:rPr>
          <w:color w:val="auto"/>
          <w:sz w:val="24"/>
        </w:rPr>
        <w:t>。</w:t>
      </w:r>
    </w:p>
    <w:p w14:paraId="3B62F0C6">
      <w:pPr>
        <w:pStyle w:val="458"/>
        <w:rPr>
          <w:rFonts w:eastAsia="宋体"/>
          <w:b/>
          <w:color w:val="auto"/>
          <w:sz w:val="21"/>
          <w:szCs w:val="21"/>
        </w:rPr>
      </w:pPr>
      <w:r>
        <w:rPr>
          <w:rFonts w:eastAsia="宋体"/>
          <w:b/>
          <w:color w:val="auto"/>
          <w:sz w:val="21"/>
          <w:szCs w:val="21"/>
        </w:rPr>
        <w:t>表5</w:t>
      </w:r>
      <w:r>
        <w:rPr>
          <w:rFonts w:hint="eastAsia" w:eastAsia="宋体"/>
          <w:b/>
          <w:color w:val="auto"/>
          <w:sz w:val="21"/>
          <w:szCs w:val="21"/>
          <w:lang w:val="en-US" w:eastAsia="zh-CN"/>
        </w:rPr>
        <w:t xml:space="preserve">.2-24 </w:t>
      </w:r>
      <w:r>
        <w:rPr>
          <w:rFonts w:eastAsia="宋体"/>
          <w:b/>
          <w:color w:val="auto"/>
          <w:sz w:val="21"/>
          <w:szCs w:val="21"/>
        </w:rPr>
        <w:t xml:space="preserve">   项目主要噪声源强表</w:t>
      </w:r>
    </w:p>
    <w:tbl>
      <w:tblPr>
        <w:tblStyle w:val="53"/>
        <w:tblW w:w="4996"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27"/>
        <w:gridCol w:w="517"/>
        <w:gridCol w:w="490"/>
        <w:gridCol w:w="427"/>
        <w:gridCol w:w="605"/>
        <w:gridCol w:w="515"/>
        <w:gridCol w:w="576"/>
        <w:gridCol w:w="576"/>
        <w:gridCol w:w="587"/>
        <w:gridCol w:w="482"/>
        <w:gridCol w:w="476"/>
        <w:gridCol w:w="482"/>
        <w:gridCol w:w="511"/>
        <w:gridCol w:w="471"/>
        <w:gridCol w:w="471"/>
        <w:gridCol w:w="471"/>
        <w:gridCol w:w="476"/>
        <w:gridCol w:w="427"/>
        <w:gridCol w:w="456"/>
        <w:gridCol w:w="456"/>
        <w:gridCol w:w="456"/>
        <w:gridCol w:w="456"/>
        <w:gridCol w:w="485"/>
        <w:gridCol w:w="485"/>
        <w:gridCol w:w="485"/>
        <w:gridCol w:w="485"/>
        <w:gridCol w:w="698"/>
      </w:tblGrid>
      <w:tr w14:paraId="20FD5C3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50" w:type="pct"/>
            <w:vMerge w:val="restart"/>
            <w:shd w:val="clear" w:color="auto" w:fill="auto"/>
            <w:vAlign w:val="center"/>
          </w:tcPr>
          <w:p w14:paraId="66059713">
            <w:pPr>
              <w:jc w:val="center"/>
              <w:rPr>
                <w:rFonts w:eastAsiaTheme="minorEastAsia"/>
                <w:color w:val="auto"/>
                <w:szCs w:val="21"/>
              </w:rPr>
            </w:pPr>
            <w:r>
              <w:rPr>
                <w:rFonts w:eastAsiaTheme="minorEastAsia"/>
                <w:b/>
                <w:color w:val="auto"/>
                <w:szCs w:val="21"/>
              </w:rPr>
              <w:t>序号</w:t>
            </w:r>
          </w:p>
        </w:tc>
        <w:tc>
          <w:tcPr>
            <w:tcW w:w="193" w:type="pct"/>
            <w:vMerge w:val="restart"/>
            <w:shd w:val="clear" w:color="auto" w:fill="auto"/>
            <w:vAlign w:val="center"/>
          </w:tcPr>
          <w:p w14:paraId="5F245765">
            <w:pPr>
              <w:jc w:val="center"/>
              <w:rPr>
                <w:rFonts w:eastAsiaTheme="minorEastAsia"/>
                <w:color w:val="auto"/>
                <w:szCs w:val="21"/>
              </w:rPr>
            </w:pPr>
            <w:r>
              <w:rPr>
                <w:rFonts w:eastAsiaTheme="minorEastAsia"/>
                <w:b/>
                <w:color w:val="auto"/>
                <w:szCs w:val="21"/>
              </w:rPr>
              <w:t>建筑物名称</w:t>
            </w:r>
          </w:p>
        </w:tc>
        <w:tc>
          <w:tcPr>
            <w:tcW w:w="183" w:type="pct"/>
            <w:vMerge w:val="restart"/>
            <w:shd w:val="clear" w:color="auto" w:fill="auto"/>
            <w:vAlign w:val="center"/>
          </w:tcPr>
          <w:p w14:paraId="6B5AEA77">
            <w:pPr>
              <w:jc w:val="center"/>
              <w:rPr>
                <w:rFonts w:eastAsiaTheme="minorEastAsia"/>
                <w:color w:val="auto"/>
                <w:szCs w:val="21"/>
              </w:rPr>
            </w:pPr>
            <w:r>
              <w:rPr>
                <w:rFonts w:eastAsiaTheme="minorEastAsia"/>
                <w:b/>
                <w:color w:val="auto"/>
                <w:szCs w:val="21"/>
              </w:rPr>
              <w:t>声源名称</w:t>
            </w:r>
          </w:p>
        </w:tc>
        <w:tc>
          <w:tcPr>
            <w:tcW w:w="150" w:type="pct"/>
            <w:vMerge w:val="restart"/>
            <w:shd w:val="clear" w:color="auto" w:fill="auto"/>
            <w:vAlign w:val="center"/>
          </w:tcPr>
          <w:p w14:paraId="566D6CB7">
            <w:pPr>
              <w:jc w:val="center"/>
              <w:rPr>
                <w:rFonts w:eastAsiaTheme="minorEastAsia"/>
                <w:color w:val="auto"/>
                <w:szCs w:val="21"/>
              </w:rPr>
            </w:pPr>
            <w:r>
              <w:rPr>
                <w:rFonts w:eastAsiaTheme="minorEastAsia"/>
                <w:b/>
                <w:color w:val="auto"/>
                <w:szCs w:val="21"/>
              </w:rPr>
              <w:t>型号</w:t>
            </w:r>
          </w:p>
        </w:tc>
        <w:tc>
          <w:tcPr>
            <w:tcW w:w="225" w:type="pct"/>
            <w:shd w:val="clear" w:color="auto" w:fill="auto"/>
            <w:vAlign w:val="center"/>
          </w:tcPr>
          <w:p w14:paraId="79C8335A">
            <w:pPr>
              <w:jc w:val="center"/>
              <w:rPr>
                <w:rFonts w:eastAsiaTheme="minorEastAsia"/>
                <w:color w:val="auto"/>
                <w:szCs w:val="21"/>
              </w:rPr>
            </w:pPr>
            <w:r>
              <w:rPr>
                <w:rFonts w:eastAsiaTheme="minorEastAsia"/>
                <w:b/>
                <w:color w:val="auto"/>
                <w:szCs w:val="21"/>
              </w:rPr>
              <w:t>声源源强</w:t>
            </w:r>
          </w:p>
        </w:tc>
        <w:tc>
          <w:tcPr>
            <w:tcW w:w="193" w:type="pct"/>
            <w:vMerge w:val="restart"/>
            <w:shd w:val="clear" w:color="auto" w:fill="auto"/>
            <w:vAlign w:val="center"/>
          </w:tcPr>
          <w:p w14:paraId="2C79B31A">
            <w:pPr>
              <w:jc w:val="center"/>
              <w:rPr>
                <w:rFonts w:eastAsiaTheme="minorEastAsia"/>
                <w:color w:val="auto"/>
                <w:szCs w:val="21"/>
              </w:rPr>
            </w:pPr>
            <w:r>
              <w:rPr>
                <w:rFonts w:eastAsiaTheme="minorEastAsia"/>
                <w:b/>
                <w:color w:val="auto"/>
                <w:szCs w:val="21"/>
              </w:rPr>
              <w:t>声源控制措施</w:t>
            </w:r>
          </w:p>
        </w:tc>
        <w:tc>
          <w:tcPr>
            <w:tcW w:w="649" w:type="pct"/>
            <w:gridSpan w:val="3"/>
            <w:shd w:val="clear" w:color="auto" w:fill="auto"/>
            <w:vAlign w:val="center"/>
          </w:tcPr>
          <w:p w14:paraId="277BACDD">
            <w:pPr>
              <w:jc w:val="center"/>
              <w:rPr>
                <w:rFonts w:eastAsiaTheme="minorEastAsia"/>
                <w:color w:val="auto"/>
                <w:szCs w:val="21"/>
              </w:rPr>
            </w:pPr>
            <w:r>
              <w:rPr>
                <w:rFonts w:eastAsiaTheme="minorEastAsia"/>
                <w:b/>
                <w:color w:val="auto"/>
                <w:szCs w:val="21"/>
              </w:rPr>
              <w:t>空间相对位置/m</w:t>
            </w:r>
          </w:p>
        </w:tc>
        <w:tc>
          <w:tcPr>
            <w:tcW w:w="729" w:type="pct"/>
            <w:gridSpan w:val="4"/>
            <w:shd w:val="clear" w:color="auto" w:fill="auto"/>
            <w:vAlign w:val="center"/>
          </w:tcPr>
          <w:p w14:paraId="4D117947">
            <w:pPr>
              <w:jc w:val="center"/>
              <w:rPr>
                <w:rFonts w:eastAsiaTheme="minorEastAsia"/>
                <w:b/>
                <w:color w:val="auto"/>
                <w:szCs w:val="21"/>
              </w:rPr>
            </w:pPr>
            <w:r>
              <w:rPr>
                <w:rFonts w:eastAsiaTheme="minorEastAsia"/>
                <w:b/>
                <w:color w:val="auto"/>
                <w:szCs w:val="21"/>
              </w:rPr>
              <w:t>距室内边界距离/m</w:t>
            </w:r>
          </w:p>
        </w:tc>
        <w:tc>
          <w:tcPr>
            <w:tcW w:w="706" w:type="pct"/>
            <w:gridSpan w:val="4"/>
            <w:shd w:val="clear" w:color="auto" w:fill="auto"/>
            <w:vAlign w:val="center"/>
          </w:tcPr>
          <w:p w14:paraId="6B813C6A">
            <w:pPr>
              <w:jc w:val="center"/>
              <w:rPr>
                <w:rFonts w:eastAsiaTheme="minorEastAsia"/>
                <w:b/>
                <w:color w:val="auto"/>
                <w:szCs w:val="21"/>
              </w:rPr>
            </w:pPr>
            <w:r>
              <w:rPr>
                <w:rFonts w:eastAsiaTheme="minorEastAsia"/>
                <w:b/>
                <w:color w:val="auto"/>
                <w:szCs w:val="21"/>
              </w:rPr>
              <w:t>室内边界声级/dB(A)</w:t>
            </w:r>
          </w:p>
        </w:tc>
        <w:tc>
          <w:tcPr>
            <w:tcW w:w="152" w:type="pct"/>
            <w:vMerge w:val="restart"/>
            <w:shd w:val="clear" w:color="auto" w:fill="auto"/>
            <w:vAlign w:val="center"/>
          </w:tcPr>
          <w:p w14:paraId="645D2108">
            <w:pPr>
              <w:jc w:val="center"/>
              <w:rPr>
                <w:rFonts w:eastAsiaTheme="minorEastAsia"/>
                <w:color w:val="auto"/>
                <w:szCs w:val="21"/>
              </w:rPr>
            </w:pPr>
            <w:r>
              <w:rPr>
                <w:rFonts w:eastAsiaTheme="minorEastAsia"/>
                <w:b/>
                <w:color w:val="auto"/>
                <w:szCs w:val="21"/>
              </w:rPr>
              <w:t>运行时段</w:t>
            </w:r>
          </w:p>
        </w:tc>
        <w:tc>
          <w:tcPr>
            <w:tcW w:w="680" w:type="pct"/>
            <w:gridSpan w:val="4"/>
            <w:shd w:val="clear" w:color="auto" w:fill="auto"/>
            <w:vAlign w:val="center"/>
          </w:tcPr>
          <w:p w14:paraId="5EC064D0">
            <w:pPr>
              <w:jc w:val="center"/>
              <w:rPr>
                <w:rFonts w:eastAsiaTheme="minorEastAsia"/>
                <w:b/>
                <w:color w:val="auto"/>
                <w:szCs w:val="21"/>
              </w:rPr>
            </w:pPr>
            <w:r>
              <w:rPr>
                <w:rFonts w:eastAsiaTheme="minorEastAsia"/>
                <w:b/>
                <w:color w:val="auto"/>
                <w:szCs w:val="21"/>
              </w:rPr>
              <w:t>建筑物插入损失 / dB(A)</w:t>
            </w:r>
          </w:p>
        </w:tc>
        <w:tc>
          <w:tcPr>
            <w:tcW w:w="984" w:type="pct"/>
            <w:gridSpan w:val="5"/>
            <w:shd w:val="clear" w:color="auto" w:fill="auto"/>
            <w:vAlign w:val="center"/>
          </w:tcPr>
          <w:p w14:paraId="509C88B3">
            <w:pPr>
              <w:jc w:val="center"/>
              <w:rPr>
                <w:rFonts w:eastAsiaTheme="minorEastAsia"/>
                <w:b/>
                <w:color w:val="auto"/>
                <w:szCs w:val="21"/>
              </w:rPr>
            </w:pPr>
            <w:r>
              <w:rPr>
                <w:rFonts w:eastAsiaTheme="minorEastAsia"/>
                <w:b/>
                <w:color w:val="auto"/>
                <w:szCs w:val="21"/>
              </w:rPr>
              <w:t>建筑物外噪声声压级/dB(A)</w:t>
            </w:r>
          </w:p>
        </w:tc>
      </w:tr>
      <w:tr w14:paraId="1F9672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continue"/>
            <w:shd w:val="clear" w:color="auto" w:fill="auto"/>
            <w:tcMar>
              <w:top w:w="0" w:type="dxa"/>
              <w:left w:w="0" w:type="dxa"/>
              <w:bottom w:w="0" w:type="dxa"/>
              <w:right w:w="0" w:type="dxa"/>
            </w:tcMar>
            <w:vAlign w:val="center"/>
          </w:tcPr>
          <w:p w14:paraId="1D2D7A61">
            <w:pPr>
              <w:jc w:val="center"/>
              <w:rPr>
                <w:rFonts w:eastAsiaTheme="minorEastAsia"/>
                <w:color w:val="auto"/>
                <w:szCs w:val="21"/>
              </w:rPr>
            </w:pPr>
          </w:p>
        </w:tc>
        <w:tc>
          <w:tcPr>
            <w:tcW w:w="193" w:type="pct"/>
            <w:vMerge w:val="continue"/>
            <w:shd w:val="clear" w:color="auto" w:fill="auto"/>
            <w:tcMar>
              <w:top w:w="0" w:type="dxa"/>
              <w:left w:w="0" w:type="dxa"/>
              <w:bottom w:w="0" w:type="dxa"/>
              <w:right w:w="0" w:type="dxa"/>
            </w:tcMar>
            <w:vAlign w:val="center"/>
          </w:tcPr>
          <w:p w14:paraId="36614D06">
            <w:pPr>
              <w:jc w:val="center"/>
              <w:rPr>
                <w:rFonts w:eastAsiaTheme="minorEastAsia"/>
                <w:color w:val="auto"/>
                <w:szCs w:val="21"/>
              </w:rPr>
            </w:pPr>
          </w:p>
        </w:tc>
        <w:tc>
          <w:tcPr>
            <w:tcW w:w="183" w:type="pct"/>
            <w:vMerge w:val="continue"/>
            <w:shd w:val="clear" w:color="auto" w:fill="auto"/>
            <w:tcMar>
              <w:top w:w="0" w:type="dxa"/>
              <w:left w:w="0" w:type="dxa"/>
              <w:bottom w:w="0" w:type="dxa"/>
              <w:right w:w="0" w:type="dxa"/>
            </w:tcMar>
            <w:vAlign w:val="center"/>
          </w:tcPr>
          <w:p w14:paraId="44526367">
            <w:pPr>
              <w:jc w:val="center"/>
              <w:rPr>
                <w:rFonts w:eastAsiaTheme="minorEastAsia"/>
                <w:color w:val="auto"/>
                <w:szCs w:val="21"/>
              </w:rPr>
            </w:pPr>
          </w:p>
        </w:tc>
        <w:tc>
          <w:tcPr>
            <w:tcW w:w="150" w:type="pct"/>
            <w:vMerge w:val="continue"/>
            <w:shd w:val="clear" w:color="auto" w:fill="auto"/>
            <w:tcMar>
              <w:top w:w="0" w:type="dxa"/>
              <w:left w:w="0" w:type="dxa"/>
              <w:bottom w:w="0" w:type="dxa"/>
              <w:right w:w="0" w:type="dxa"/>
            </w:tcMar>
            <w:vAlign w:val="center"/>
          </w:tcPr>
          <w:p w14:paraId="7E928886">
            <w:pPr>
              <w:jc w:val="center"/>
              <w:rPr>
                <w:rFonts w:eastAsiaTheme="minorEastAsia"/>
                <w:color w:val="auto"/>
                <w:szCs w:val="21"/>
              </w:rPr>
            </w:pPr>
          </w:p>
        </w:tc>
        <w:tc>
          <w:tcPr>
            <w:tcW w:w="225" w:type="pct"/>
            <w:shd w:val="clear" w:color="auto" w:fill="auto"/>
            <w:tcMar>
              <w:top w:w="0" w:type="dxa"/>
              <w:left w:w="0" w:type="dxa"/>
              <w:bottom w:w="0" w:type="dxa"/>
              <w:right w:w="0" w:type="dxa"/>
            </w:tcMar>
            <w:vAlign w:val="center"/>
          </w:tcPr>
          <w:p w14:paraId="3443B6B0">
            <w:pPr>
              <w:jc w:val="center"/>
              <w:rPr>
                <w:rFonts w:eastAsiaTheme="minorEastAsia"/>
                <w:color w:val="auto"/>
                <w:szCs w:val="21"/>
              </w:rPr>
            </w:pPr>
            <w:r>
              <w:rPr>
                <w:rFonts w:eastAsiaTheme="minorEastAsia"/>
                <w:color w:val="auto"/>
                <w:szCs w:val="21"/>
              </w:rPr>
              <w:t>声功率级/dB(A)</w:t>
            </w:r>
          </w:p>
        </w:tc>
        <w:tc>
          <w:tcPr>
            <w:tcW w:w="193" w:type="pct"/>
            <w:vMerge w:val="continue"/>
            <w:shd w:val="clear" w:color="auto" w:fill="auto"/>
            <w:tcMar>
              <w:top w:w="0" w:type="dxa"/>
              <w:left w:w="0" w:type="dxa"/>
              <w:bottom w:w="0" w:type="dxa"/>
              <w:right w:w="0" w:type="dxa"/>
            </w:tcMar>
            <w:vAlign w:val="center"/>
          </w:tcPr>
          <w:p w14:paraId="5DA87D22">
            <w:pPr>
              <w:jc w:val="center"/>
              <w:rPr>
                <w:rFonts w:eastAsiaTheme="minorEastAsia"/>
                <w:color w:val="auto"/>
                <w:szCs w:val="21"/>
              </w:rPr>
            </w:pPr>
          </w:p>
        </w:tc>
        <w:tc>
          <w:tcPr>
            <w:tcW w:w="215" w:type="pct"/>
            <w:shd w:val="clear" w:color="auto" w:fill="auto"/>
            <w:tcMar>
              <w:top w:w="0" w:type="dxa"/>
              <w:left w:w="0" w:type="dxa"/>
              <w:bottom w:w="0" w:type="dxa"/>
              <w:right w:w="0" w:type="dxa"/>
            </w:tcMar>
            <w:vAlign w:val="center"/>
          </w:tcPr>
          <w:p w14:paraId="33294405">
            <w:pPr>
              <w:jc w:val="center"/>
              <w:rPr>
                <w:rFonts w:eastAsiaTheme="minorEastAsia"/>
                <w:color w:val="auto"/>
                <w:szCs w:val="21"/>
              </w:rPr>
            </w:pPr>
            <w:r>
              <w:rPr>
                <w:rFonts w:eastAsiaTheme="minorEastAsia"/>
                <w:color w:val="auto"/>
                <w:szCs w:val="21"/>
              </w:rPr>
              <w:t>X</w:t>
            </w:r>
          </w:p>
        </w:tc>
        <w:tc>
          <w:tcPr>
            <w:tcW w:w="215" w:type="pct"/>
            <w:shd w:val="clear" w:color="auto" w:fill="auto"/>
            <w:tcMar>
              <w:top w:w="0" w:type="dxa"/>
              <w:left w:w="0" w:type="dxa"/>
              <w:bottom w:w="0" w:type="dxa"/>
              <w:right w:w="0" w:type="dxa"/>
            </w:tcMar>
            <w:vAlign w:val="center"/>
          </w:tcPr>
          <w:p w14:paraId="1FA77D22">
            <w:pPr>
              <w:jc w:val="center"/>
              <w:rPr>
                <w:rFonts w:eastAsiaTheme="minorEastAsia"/>
                <w:color w:val="auto"/>
                <w:szCs w:val="21"/>
              </w:rPr>
            </w:pPr>
            <w:r>
              <w:rPr>
                <w:rFonts w:eastAsiaTheme="minorEastAsia"/>
                <w:color w:val="auto"/>
                <w:szCs w:val="21"/>
              </w:rPr>
              <w:t>Y</w:t>
            </w:r>
          </w:p>
        </w:tc>
        <w:tc>
          <w:tcPr>
            <w:tcW w:w="219" w:type="pct"/>
            <w:shd w:val="clear" w:color="auto" w:fill="auto"/>
            <w:tcMar>
              <w:top w:w="0" w:type="dxa"/>
              <w:left w:w="0" w:type="dxa"/>
              <w:bottom w:w="0" w:type="dxa"/>
              <w:right w:w="0" w:type="dxa"/>
            </w:tcMar>
            <w:vAlign w:val="center"/>
          </w:tcPr>
          <w:p w14:paraId="0425A27E">
            <w:pPr>
              <w:jc w:val="center"/>
              <w:rPr>
                <w:rFonts w:eastAsiaTheme="minorEastAsia"/>
                <w:color w:val="auto"/>
                <w:szCs w:val="21"/>
              </w:rPr>
            </w:pPr>
            <w:r>
              <w:rPr>
                <w:rFonts w:eastAsiaTheme="minorEastAsia"/>
                <w:color w:val="auto"/>
                <w:szCs w:val="21"/>
              </w:rPr>
              <w:t>Z</w:t>
            </w:r>
          </w:p>
        </w:tc>
        <w:tc>
          <w:tcPr>
            <w:tcW w:w="180" w:type="pct"/>
            <w:shd w:val="clear" w:color="auto" w:fill="auto"/>
            <w:tcMar>
              <w:top w:w="0" w:type="dxa"/>
              <w:left w:w="0" w:type="dxa"/>
              <w:bottom w:w="0" w:type="dxa"/>
              <w:right w:w="0" w:type="dxa"/>
            </w:tcMar>
            <w:vAlign w:val="center"/>
          </w:tcPr>
          <w:p w14:paraId="6801E140">
            <w:pPr>
              <w:jc w:val="center"/>
              <w:rPr>
                <w:rFonts w:eastAsiaTheme="minorEastAsia"/>
                <w:color w:val="auto"/>
                <w:szCs w:val="21"/>
              </w:rPr>
            </w:pPr>
            <w:r>
              <w:rPr>
                <w:rFonts w:eastAsiaTheme="minorEastAsia"/>
                <w:color w:val="auto"/>
                <w:szCs w:val="21"/>
              </w:rPr>
              <w:t>东</w:t>
            </w:r>
          </w:p>
        </w:tc>
        <w:tc>
          <w:tcPr>
            <w:tcW w:w="178" w:type="pct"/>
            <w:shd w:val="clear" w:color="auto" w:fill="auto"/>
            <w:tcMar>
              <w:top w:w="0" w:type="dxa"/>
              <w:left w:w="0" w:type="dxa"/>
              <w:bottom w:w="0" w:type="dxa"/>
              <w:right w:w="0" w:type="dxa"/>
            </w:tcMar>
            <w:vAlign w:val="center"/>
          </w:tcPr>
          <w:p w14:paraId="14A0E1D0">
            <w:pPr>
              <w:jc w:val="center"/>
              <w:rPr>
                <w:rFonts w:eastAsiaTheme="minorEastAsia"/>
                <w:color w:val="auto"/>
                <w:szCs w:val="21"/>
              </w:rPr>
            </w:pPr>
            <w:r>
              <w:rPr>
                <w:rFonts w:eastAsiaTheme="minorEastAsia"/>
                <w:color w:val="auto"/>
                <w:szCs w:val="21"/>
              </w:rPr>
              <w:t>南</w:t>
            </w:r>
          </w:p>
        </w:tc>
        <w:tc>
          <w:tcPr>
            <w:tcW w:w="180" w:type="pct"/>
            <w:shd w:val="clear" w:color="auto" w:fill="auto"/>
            <w:tcMar>
              <w:top w:w="0" w:type="dxa"/>
              <w:left w:w="0" w:type="dxa"/>
              <w:bottom w:w="0" w:type="dxa"/>
              <w:right w:w="0" w:type="dxa"/>
            </w:tcMar>
            <w:vAlign w:val="center"/>
          </w:tcPr>
          <w:p w14:paraId="3CA7572B">
            <w:pPr>
              <w:jc w:val="center"/>
              <w:rPr>
                <w:rFonts w:eastAsiaTheme="minorEastAsia"/>
                <w:color w:val="auto"/>
                <w:szCs w:val="21"/>
              </w:rPr>
            </w:pPr>
            <w:r>
              <w:rPr>
                <w:rFonts w:eastAsiaTheme="minorEastAsia"/>
                <w:color w:val="auto"/>
                <w:szCs w:val="21"/>
              </w:rPr>
              <w:t>西</w:t>
            </w:r>
          </w:p>
        </w:tc>
        <w:tc>
          <w:tcPr>
            <w:tcW w:w="191" w:type="pct"/>
            <w:shd w:val="clear" w:color="auto" w:fill="auto"/>
            <w:tcMar>
              <w:top w:w="0" w:type="dxa"/>
              <w:left w:w="0" w:type="dxa"/>
              <w:bottom w:w="0" w:type="dxa"/>
              <w:right w:w="0" w:type="dxa"/>
            </w:tcMar>
            <w:vAlign w:val="center"/>
          </w:tcPr>
          <w:p w14:paraId="1BBEF56D">
            <w:pPr>
              <w:jc w:val="center"/>
              <w:rPr>
                <w:rFonts w:eastAsiaTheme="minorEastAsia"/>
                <w:color w:val="auto"/>
                <w:szCs w:val="21"/>
              </w:rPr>
            </w:pPr>
            <w:r>
              <w:rPr>
                <w:rFonts w:eastAsiaTheme="minorEastAsia"/>
                <w:color w:val="auto"/>
                <w:szCs w:val="21"/>
              </w:rPr>
              <w:t>北</w:t>
            </w:r>
          </w:p>
        </w:tc>
        <w:tc>
          <w:tcPr>
            <w:tcW w:w="176" w:type="pct"/>
            <w:shd w:val="clear" w:color="auto" w:fill="auto"/>
            <w:tcMar>
              <w:top w:w="0" w:type="dxa"/>
              <w:left w:w="0" w:type="dxa"/>
              <w:bottom w:w="0" w:type="dxa"/>
              <w:right w:w="0" w:type="dxa"/>
            </w:tcMar>
            <w:vAlign w:val="center"/>
          </w:tcPr>
          <w:p w14:paraId="16A8B39A">
            <w:pPr>
              <w:jc w:val="center"/>
              <w:rPr>
                <w:rFonts w:eastAsiaTheme="minorEastAsia"/>
                <w:color w:val="auto"/>
                <w:szCs w:val="21"/>
              </w:rPr>
            </w:pPr>
            <w:r>
              <w:rPr>
                <w:rFonts w:eastAsiaTheme="minorEastAsia"/>
                <w:color w:val="auto"/>
                <w:szCs w:val="21"/>
              </w:rPr>
              <w:t>东</w:t>
            </w:r>
          </w:p>
        </w:tc>
        <w:tc>
          <w:tcPr>
            <w:tcW w:w="176" w:type="pct"/>
            <w:shd w:val="clear" w:color="auto" w:fill="auto"/>
            <w:tcMar>
              <w:top w:w="0" w:type="dxa"/>
              <w:left w:w="0" w:type="dxa"/>
              <w:bottom w:w="0" w:type="dxa"/>
              <w:right w:w="0" w:type="dxa"/>
            </w:tcMar>
            <w:vAlign w:val="center"/>
          </w:tcPr>
          <w:p w14:paraId="0C79FD7F">
            <w:pPr>
              <w:jc w:val="center"/>
              <w:rPr>
                <w:rFonts w:eastAsiaTheme="minorEastAsia"/>
                <w:color w:val="auto"/>
                <w:szCs w:val="21"/>
              </w:rPr>
            </w:pPr>
            <w:r>
              <w:rPr>
                <w:rFonts w:eastAsiaTheme="minorEastAsia"/>
                <w:color w:val="auto"/>
                <w:szCs w:val="21"/>
              </w:rPr>
              <w:t>南</w:t>
            </w:r>
          </w:p>
        </w:tc>
        <w:tc>
          <w:tcPr>
            <w:tcW w:w="176" w:type="pct"/>
            <w:shd w:val="clear" w:color="auto" w:fill="auto"/>
            <w:tcMar>
              <w:top w:w="0" w:type="dxa"/>
              <w:left w:w="0" w:type="dxa"/>
              <w:bottom w:w="0" w:type="dxa"/>
              <w:right w:w="0" w:type="dxa"/>
            </w:tcMar>
            <w:vAlign w:val="center"/>
          </w:tcPr>
          <w:p w14:paraId="6B966D49">
            <w:pPr>
              <w:jc w:val="center"/>
              <w:rPr>
                <w:rFonts w:eastAsiaTheme="minorEastAsia"/>
                <w:color w:val="auto"/>
                <w:szCs w:val="21"/>
              </w:rPr>
            </w:pPr>
            <w:r>
              <w:rPr>
                <w:rFonts w:eastAsiaTheme="minorEastAsia"/>
                <w:color w:val="auto"/>
                <w:szCs w:val="21"/>
              </w:rPr>
              <w:t>西</w:t>
            </w:r>
          </w:p>
        </w:tc>
        <w:tc>
          <w:tcPr>
            <w:tcW w:w="178" w:type="pct"/>
            <w:shd w:val="clear" w:color="auto" w:fill="auto"/>
            <w:tcMar>
              <w:top w:w="0" w:type="dxa"/>
              <w:left w:w="0" w:type="dxa"/>
              <w:bottom w:w="0" w:type="dxa"/>
              <w:right w:w="0" w:type="dxa"/>
            </w:tcMar>
            <w:vAlign w:val="center"/>
          </w:tcPr>
          <w:p w14:paraId="5A2BF00A">
            <w:pPr>
              <w:jc w:val="center"/>
              <w:rPr>
                <w:rFonts w:eastAsiaTheme="minorEastAsia"/>
                <w:color w:val="auto"/>
                <w:szCs w:val="21"/>
              </w:rPr>
            </w:pPr>
            <w:r>
              <w:rPr>
                <w:rFonts w:eastAsiaTheme="minorEastAsia"/>
                <w:color w:val="auto"/>
                <w:szCs w:val="21"/>
              </w:rPr>
              <w:t>北</w:t>
            </w:r>
          </w:p>
        </w:tc>
        <w:tc>
          <w:tcPr>
            <w:tcW w:w="152" w:type="pct"/>
            <w:vMerge w:val="continue"/>
            <w:shd w:val="clear" w:color="auto" w:fill="auto"/>
            <w:tcMar>
              <w:top w:w="0" w:type="dxa"/>
              <w:left w:w="0" w:type="dxa"/>
              <w:bottom w:w="0" w:type="dxa"/>
              <w:right w:w="0" w:type="dxa"/>
            </w:tcMar>
            <w:vAlign w:val="center"/>
          </w:tcPr>
          <w:p w14:paraId="785E5C13">
            <w:pPr>
              <w:jc w:val="center"/>
              <w:rPr>
                <w:rFonts w:eastAsiaTheme="minorEastAsia"/>
                <w:color w:val="auto"/>
                <w:szCs w:val="21"/>
              </w:rPr>
            </w:pPr>
          </w:p>
        </w:tc>
        <w:tc>
          <w:tcPr>
            <w:tcW w:w="170" w:type="pct"/>
            <w:shd w:val="clear" w:color="auto" w:fill="auto"/>
            <w:tcMar>
              <w:top w:w="0" w:type="dxa"/>
              <w:left w:w="0" w:type="dxa"/>
              <w:bottom w:w="0" w:type="dxa"/>
              <w:right w:w="0" w:type="dxa"/>
            </w:tcMar>
            <w:vAlign w:val="center"/>
          </w:tcPr>
          <w:p w14:paraId="34473442">
            <w:pPr>
              <w:jc w:val="center"/>
              <w:rPr>
                <w:rFonts w:eastAsiaTheme="minorEastAsia"/>
                <w:color w:val="auto"/>
                <w:szCs w:val="21"/>
              </w:rPr>
            </w:pPr>
            <w:r>
              <w:rPr>
                <w:rFonts w:eastAsiaTheme="minorEastAsia"/>
                <w:color w:val="auto"/>
                <w:szCs w:val="21"/>
              </w:rPr>
              <w:t>东</w:t>
            </w:r>
          </w:p>
        </w:tc>
        <w:tc>
          <w:tcPr>
            <w:tcW w:w="170" w:type="pct"/>
            <w:shd w:val="clear" w:color="auto" w:fill="auto"/>
            <w:tcMar>
              <w:top w:w="0" w:type="dxa"/>
              <w:left w:w="0" w:type="dxa"/>
              <w:bottom w:w="0" w:type="dxa"/>
              <w:right w:w="0" w:type="dxa"/>
            </w:tcMar>
            <w:vAlign w:val="center"/>
          </w:tcPr>
          <w:p w14:paraId="65D4C95F">
            <w:pPr>
              <w:jc w:val="center"/>
              <w:rPr>
                <w:rFonts w:eastAsiaTheme="minorEastAsia"/>
                <w:color w:val="auto"/>
                <w:szCs w:val="21"/>
              </w:rPr>
            </w:pPr>
            <w:r>
              <w:rPr>
                <w:rFonts w:eastAsiaTheme="minorEastAsia"/>
                <w:color w:val="auto"/>
                <w:szCs w:val="21"/>
              </w:rPr>
              <w:t>南</w:t>
            </w:r>
          </w:p>
        </w:tc>
        <w:tc>
          <w:tcPr>
            <w:tcW w:w="170" w:type="pct"/>
            <w:shd w:val="clear" w:color="auto" w:fill="auto"/>
            <w:tcMar>
              <w:top w:w="0" w:type="dxa"/>
              <w:left w:w="0" w:type="dxa"/>
              <w:bottom w:w="0" w:type="dxa"/>
              <w:right w:w="0" w:type="dxa"/>
            </w:tcMar>
            <w:vAlign w:val="center"/>
          </w:tcPr>
          <w:p w14:paraId="204EC203">
            <w:pPr>
              <w:jc w:val="center"/>
              <w:rPr>
                <w:rFonts w:eastAsiaTheme="minorEastAsia"/>
                <w:color w:val="auto"/>
                <w:szCs w:val="21"/>
              </w:rPr>
            </w:pPr>
            <w:r>
              <w:rPr>
                <w:rFonts w:eastAsiaTheme="minorEastAsia"/>
                <w:color w:val="auto"/>
                <w:szCs w:val="21"/>
              </w:rPr>
              <w:t>西</w:t>
            </w:r>
          </w:p>
        </w:tc>
        <w:tc>
          <w:tcPr>
            <w:tcW w:w="170" w:type="pct"/>
            <w:shd w:val="clear" w:color="auto" w:fill="auto"/>
            <w:tcMar>
              <w:top w:w="0" w:type="dxa"/>
              <w:left w:w="0" w:type="dxa"/>
              <w:bottom w:w="0" w:type="dxa"/>
              <w:right w:w="0" w:type="dxa"/>
            </w:tcMar>
            <w:vAlign w:val="center"/>
          </w:tcPr>
          <w:p w14:paraId="7540EF31">
            <w:pPr>
              <w:jc w:val="center"/>
              <w:rPr>
                <w:rFonts w:eastAsiaTheme="minorEastAsia"/>
                <w:color w:val="auto"/>
                <w:szCs w:val="21"/>
              </w:rPr>
            </w:pPr>
            <w:r>
              <w:rPr>
                <w:rFonts w:eastAsiaTheme="minorEastAsia"/>
                <w:color w:val="auto"/>
                <w:szCs w:val="21"/>
              </w:rPr>
              <w:t>北</w:t>
            </w:r>
          </w:p>
        </w:tc>
        <w:tc>
          <w:tcPr>
            <w:tcW w:w="181" w:type="pct"/>
            <w:shd w:val="clear" w:color="auto" w:fill="auto"/>
            <w:tcMar>
              <w:top w:w="0" w:type="dxa"/>
              <w:left w:w="0" w:type="dxa"/>
              <w:bottom w:w="0" w:type="dxa"/>
              <w:right w:w="0" w:type="dxa"/>
            </w:tcMar>
            <w:vAlign w:val="center"/>
          </w:tcPr>
          <w:p w14:paraId="74E5ABEC">
            <w:pPr>
              <w:jc w:val="center"/>
              <w:rPr>
                <w:rFonts w:eastAsiaTheme="minorEastAsia"/>
                <w:color w:val="auto"/>
                <w:szCs w:val="21"/>
              </w:rPr>
            </w:pPr>
            <w:r>
              <w:rPr>
                <w:rFonts w:eastAsiaTheme="minorEastAsia"/>
                <w:color w:val="auto"/>
                <w:szCs w:val="21"/>
              </w:rPr>
              <w:t>东</w:t>
            </w:r>
          </w:p>
        </w:tc>
        <w:tc>
          <w:tcPr>
            <w:tcW w:w="181" w:type="pct"/>
            <w:shd w:val="clear" w:color="auto" w:fill="auto"/>
            <w:tcMar>
              <w:top w:w="0" w:type="dxa"/>
              <w:left w:w="0" w:type="dxa"/>
              <w:bottom w:w="0" w:type="dxa"/>
              <w:right w:w="0" w:type="dxa"/>
            </w:tcMar>
            <w:vAlign w:val="center"/>
          </w:tcPr>
          <w:p w14:paraId="22386393">
            <w:pPr>
              <w:jc w:val="center"/>
              <w:rPr>
                <w:rFonts w:eastAsiaTheme="minorEastAsia"/>
                <w:color w:val="auto"/>
                <w:szCs w:val="21"/>
              </w:rPr>
            </w:pPr>
            <w:r>
              <w:rPr>
                <w:rFonts w:eastAsiaTheme="minorEastAsia"/>
                <w:color w:val="auto"/>
                <w:szCs w:val="21"/>
              </w:rPr>
              <w:t>南</w:t>
            </w:r>
          </w:p>
        </w:tc>
        <w:tc>
          <w:tcPr>
            <w:tcW w:w="181" w:type="pct"/>
            <w:shd w:val="clear" w:color="auto" w:fill="auto"/>
            <w:tcMar>
              <w:top w:w="0" w:type="dxa"/>
              <w:left w:w="0" w:type="dxa"/>
              <w:bottom w:w="0" w:type="dxa"/>
              <w:right w:w="0" w:type="dxa"/>
            </w:tcMar>
            <w:vAlign w:val="center"/>
          </w:tcPr>
          <w:p w14:paraId="6C2AD083">
            <w:pPr>
              <w:jc w:val="center"/>
              <w:rPr>
                <w:rFonts w:eastAsiaTheme="minorEastAsia"/>
                <w:color w:val="auto"/>
                <w:szCs w:val="21"/>
              </w:rPr>
            </w:pPr>
            <w:r>
              <w:rPr>
                <w:rFonts w:eastAsiaTheme="minorEastAsia"/>
                <w:color w:val="auto"/>
                <w:szCs w:val="21"/>
              </w:rPr>
              <w:t>西</w:t>
            </w:r>
          </w:p>
        </w:tc>
        <w:tc>
          <w:tcPr>
            <w:tcW w:w="181" w:type="pct"/>
            <w:shd w:val="clear" w:color="auto" w:fill="auto"/>
            <w:tcMar>
              <w:top w:w="0" w:type="dxa"/>
              <w:left w:w="0" w:type="dxa"/>
              <w:bottom w:w="0" w:type="dxa"/>
              <w:right w:w="0" w:type="dxa"/>
            </w:tcMar>
            <w:vAlign w:val="center"/>
          </w:tcPr>
          <w:p w14:paraId="7356B93F">
            <w:pPr>
              <w:jc w:val="center"/>
              <w:rPr>
                <w:rFonts w:eastAsiaTheme="minorEastAsia"/>
                <w:color w:val="auto"/>
                <w:szCs w:val="21"/>
              </w:rPr>
            </w:pPr>
            <w:r>
              <w:rPr>
                <w:rFonts w:eastAsiaTheme="minorEastAsia"/>
                <w:color w:val="auto"/>
                <w:szCs w:val="21"/>
              </w:rPr>
              <w:t>北</w:t>
            </w:r>
          </w:p>
        </w:tc>
        <w:tc>
          <w:tcPr>
            <w:tcW w:w="260" w:type="pct"/>
            <w:shd w:val="clear" w:color="auto" w:fill="auto"/>
            <w:tcMar>
              <w:top w:w="0" w:type="dxa"/>
              <w:left w:w="0" w:type="dxa"/>
              <w:bottom w:w="0" w:type="dxa"/>
              <w:right w:w="0" w:type="dxa"/>
            </w:tcMar>
            <w:vAlign w:val="center"/>
          </w:tcPr>
          <w:p w14:paraId="3A9D709A">
            <w:pPr>
              <w:jc w:val="center"/>
              <w:rPr>
                <w:rFonts w:eastAsiaTheme="minorEastAsia"/>
                <w:color w:val="auto"/>
                <w:szCs w:val="21"/>
              </w:rPr>
            </w:pPr>
            <w:r>
              <w:rPr>
                <w:rFonts w:eastAsiaTheme="minorEastAsia"/>
                <w:color w:val="auto"/>
                <w:szCs w:val="21"/>
              </w:rPr>
              <w:t>建筑物外距离</w:t>
            </w:r>
          </w:p>
        </w:tc>
      </w:tr>
      <w:tr w14:paraId="4DC5158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restart"/>
            <w:shd w:val="clear" w:color="auto" w:fill="auto"/>
            <w:tcMar>
              <w:top w:w="0" w:type="dxa"/>
              <w:left w:w="0" w:type="dxa"/>
              <w:bottom w:w="0" w:type="dxa"/>
              <w:right w:w="0" w:type="dxa"/>
            </w:tcMar>
            <w:vAlign w:val="center"/>
          </w:tcPr>
          <w:p w14:paraId="61E42372">
            <w:pPr>
              <w:jc w:val="center"/>
              <w:rPr>
                <w:rFonts w:hint="default" w:eastAsia="宋体"/>
                <w:color w:val="auto"/>
                <w:lang w:val="en-US" w:eastAsia="zh-CN"/>
              </w:rPr>
            </w:pPr>
            <w:r>
              <w:rPr>
                <w:rFonts w:hint="eastAsia"/>
                <w:color w:val="auto"/>
                <w:lang w:val="en-US" w:eastAsia="zh-CN"/>
              </w:rPr>
              <w:t>1</w:t>
            </w:r>
          </w:p>
        </w:tc>
        <w:tc>
          <w:tcPr>
            <w:tcW w:w="193" w:type="pct"/>
            <w:vMerge w:val="restart"/>
            <w:shd w:val="clear" w:color="auto" w:fill="auto"/>
            <w:tcMar>
              <w:top w:w="0" w:type="dxa"/>
              <w:left w:w="0" w:type="dxa"/>
              <w:bottom w:w="0" w:type="dxa"/>
              <w:right w:w="0" w:type="dxa"/>
            </w:tcMar>
            <w:vAlign w:val="center"/>
          </w:tcPr>
          <w:p w14:paraId="2BF590EB">
            <w:pPr>
              <w:jc w:val="center"/>
              <w:rPr>
                <w:color w:val="auto"/>
              </w:rPr>
            </w:pPr>
            <w:r>
              <w:rPr>
                <w:rFonts w:eastAsia="Arial"/>
                <w:color w:val="auto"/>
                <w:sz w:val="20"/>
              </w:rPr>
              <w:t>鸡舍</w:t>
            </w:r>
          </w:p>
        </w:tc>
        <w:tc>
          <w:tcPr>
            <w:tcW w:w="183" w:type="pct"/>
            <w:shd w:val="clear" w:color="auto" w:fill="auto"/>
            <w:tcMar>
              <w:top w:w="0" w:type="dxa"/>
              <w:left w:w="0" w:type="dxa"/>
              <w:bottom w:w="0" w:type="dxa"/>
              <w:right w:w="0" w:type="dxa"/>
            </w:tcMar>
            <w:vAlign w:val="center"/>
          </w:tcPr>
          <w:p w14:paraId="34AC1403">
            <w:pPr>
              <w:jc w:val="center"/>
              <w:rPr>
                <w:color w:val="auto"/>
              </w:rPr>
            </w:pPr>
            <w:r>
              <w:rPr>
                <w:rFonts w:eastAsia="Arial"/>
                <w:color w:val="auto"/>
                <w:sz w:val="20"/>
              </w:rPr>
              <w:t>鸡群叫声</w:t>
            </w:r>
          </w:p>
        </w:tc>
        <w:tc>
          <w:tcPr>
            <w:tcW w:w="150" w:type="pct"/>
            <w:shd w:val="clear" w:color="auto" w:fill="auto"/>
            <w:tcMar>
              <w:top w:w="0" w:type="dxa"/>
              <w:left w:w="0" w:type="dxa"/>
              <w:bottom w:w="0" w:type="dxa"/>
              <w:right w:w="0" w:type="dxa"/>
            </w:tcMar>
            <w:vAlign w:val="center"/>
          </w:tcPr>
          <w:p w14:paraId="17EFC20C">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6542CEA9">
            <w:pPr>
              <w:jc w:val="center"/>
              <w:rPr>
                <w:color w:val="auto"/>
              </w:rPr>
            </w:pPr>
            <w:r>
              <w:rPr>
                <w:rFonts w:eastAsia="Arial"/>
                <w:color w:val="auto"/>
                <w:sz w:val="20"/>
              </w:rPr>
              <w:t>65</w:t>
            </w:r>
          </w:p>
        </w:tc>
        <w:tc>
          <w:tcPr>
            <w:tcW w:w="193" w:type="pct"/>
            <w:shd w:val="clear" w:color="auto" w:fill="auto"/>
            <w:tcMar>
              <w:top w:w="0" w:type="dxa"/>
              <w:left w:w="0" w:type="dxa"/>
              <w:bottom w:w="0" w:type="dxa"/>
              <w:right w:w="0" w:type="dxa"/>
            </w:tcMar>
            <w:vAlign w:val="center"/>
          </w:tcPr>
          <w:p w14:paraId="405669AE">
            <w:pPr>
              <w:jc w:val="center"/>
              <w:rPr>
                <w:rFonts w:hint="eastAsia" w:eastAsia="宋体"/>
                <w:color w:val="auto"/>
                <w:lang w:val="en-US" w:eastAsia="zh-CN"/>
              </w:rPr>
            </w:pPr>
            <w:r>
              <w:rPr>
                <w:rFonts w:hint="eastAsia"/>
                <w:color w:val="auto"/>
                <w:lang w:val="en-US" w:eastAsia="zh-CN"/>
              </w:rPr>
              <w:t>/</w:t>
            </w:r>
          </w:p>
        </w:tc>
        <w:tc>
          <w:tcPr>
            <w:tcW w:w="215" w:type="pct"/>
            <w:shd w:val="clear" w:color="auto" w:fill="auto"/>
            <w:tcMar>
              <w:top w:w="0" w:type="dxa"/>
              <w:left w:w="0" w:type="dxa"/>
              <w:bottom w:w="0" w:type="dxa"/>
              <w:right w:w="0" w:type="dxa"/>
            </w:tcMar>
            <w:vAlign w:val="center"/>
          </w:tcPr>
          <w:p w14:paraId="2ECDB8AB">
            <w:pPr>
              <w:jc w:val="center"/>
              <w:rPr>
                <w:color w:val="auto"/>
              </w:rPr>
            </w:pPr>
            <w:r>
              <w:rPr>
                <w:rFonts w:eastAsia="Arial"/>
                <w:color w:val="auto"/>
                <w:sz w:val="20"/>
              </w:rPr>
              <w:t>94.4</w:t>
            </w:r>
          </w:p>
        </w:tc>
        <w:tc>
          <w:tcPr>
            <w:tcW w:w="215" w:type="pct"/>
            <w:shd w:val="clear" w:color="auto" w:fill="auto"/>
            <w:tcMar>
              <w:top w:w="0" w:type="dxa"/>
              <w:left w:w="0" w:type="dxa"/>
              <w:bottom w:w="0" w:type="dxa"/>
              <w:right w:w="0" w:type="dxa"/>
            </w:tcMar>
            <w:vAlign w:val="center"/>
          </w:tcPr>
          <w:p w14:paraId="373850F7">
            <w:pPr>
              <w:jc w:val="center"/>
              <w:rPr>
                <w:color w:val="auto"/>
              </w:rPr>
            </w:pPr>
            <w:r>
              <w:rPr>
                <w:rFonts w:eastAsia="Arial"/>
                <w:color w:val="auto"/>
                <w:sz w:val="20"/>
              </w:rPr>
              <w:t>56.3</w:t>
            </w:r>
          </w:p>
        </w:tc>
        <w:tc>
          <w:tcPr>
            <w:tcW w:w="219" w:type="pct"/>
            <w:shd w:val="clear" w:color="auto" w:fill="auto"/>
            <w:tcMar>
              <w:top w:w="0" w:type="dxa"/>
              <w:left w:w="0" w:type="dxa"/>
              <w:bottom w:w="0" w:type="dxa"/>
              <w:right w:w="0" w:type="dxa"/>
            </w:tcMar>
            <w:vAlign w:val="center"/>
          </w:tcPr>
          <w:p w14:paraId="5639C8F4">
            <w:pPr>
              <w:jc w:val="center"/>
              <w:rPr>
                <w:color w:val="auto"/>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6201F77E">
            <w:pPr>
              <w:jc w:val="center"/>
              <w:rPr>
                <w:color w:val="auto"/>
              </w:rPr>
            </w:pPr>
            <w:r>
              <w:rPr>
                <w:rFonts w:eastAsia="Arial"/>
                <w:color w:val="auto"/>
                <w:sz w:val="20"/>
              </w:rPr>
              <w:t>139.6</w:t>
            </w:r>
          </w:p>
        </w:tc>
        <w:tc>
          <w:tcPr>
            <w:tcW w:w="178" w:type="pct"/>
            <w:shd w:val="clear" w:color="auto" w:fill="auto"/>
            <w:tcMar>
              <w:top w:w="0" w:type="dxa"/>
              <w:left w:w="0" w:type="dxa"/>
              <w:bottom w:w="0" w:type="dxa"/>
              <w:right w:w="0" w:type="dxa"/>
            </w:tcMar>
            <w:vAlign w:val="center"/>
          </w:tcPr>
          <w:p w14:paraId="1EEA46B2">
            <w:pPr>
              <w:jc w:val="center"/>
              <w:rPr>
                <w:color w:val="auto"/>
              </w:rPr>
            </w:pPr>
            <w:r>
              <w:rPr>
                <w:rFonts w:eastAsia="Arial"/>
                <w:color w:val="auto"/>
                <w:sz w:val="20"/>
              </w:rPr>
              <w:t>53.9</w:t>
            </w:r>
          </w:p>
        </w:tc>
        <w:tc>
          <w:tcPr>
            <w:tcW w:w="180" w:type="pct"/>
            <w:shd w:val="clear" w:color="auto" w:fill="auto"/>
            <w:tcMar>
              <w:top w:w="0" w:type="dxa"/>
              <w:left w:w="0" w:type="dxa"/>
              <w:bottom w:w="0" w:type="dxa"/>
              <w:right w:w="0" w:type="dxa"/>
            </w:tcMar>
            <w:vAlign w:val="center"/>
          </w:tcPr>
          <w:p w14:paraId="1E32A130">
            <w:pPr>
              <w:jc w:val="center"/>
              <w:rPr>
                <w:color w:val="auto"/>
              </w:rPr>
            </w:pPr>
            <w:r>
              <w:rPr>
                <w:rFonts w:eastAsia="Arial"/>
                <w:color w:val="auto"/>
                <w:sz w:val="20"/>
              </w:rPr>
              <w:t>125.1</w:t>
            </w:r>
          </w:p>
        </w:tc>
        <w:tc>
          <w:tcPr>
            <w:tcW w:w="191" w:type="pct"/>
            <w:shd w:val="clear" w:color="auto" w:fill="auto"/>
            <w:tcMar>
              <w:top w:w="0" w:type="dxa"/>
              <w:left w:w="0" w:type="dxa"/>
              <w:bottom w:w="0" w:type="dxa"/>
              <w:right w:w="0" w:type="dxa"/>
            </w:tcMar>
            <w:vAlign w:val="center"/>
          </w:tcPr>
          <w:p w14:paraId="20EBE4AF">
            <w:pPr>
              <w:jc w:val="center"/>
              <w:rPr>
                <w:color w:val="auto"/>
              </w:rPr>
            </w:pPr>
            <w:r>
              <w:rPr>
                <w:rFonts w:eastAsia="Arial"/>
                <w:color w:val="auto"/>
                <w:sz w:val="20"/>
              </w:rPr>
              <w:t>39.6</w:t>
            </w:r>
          </w:p>
        </w:tc>
        <w:tc>
          <w:tcPr>
            <w:tcW w:w="176" w:type="pct"/>
            <w:shd w:val="clear" w:color="auto" w:fill="auto"/>
            <w:tcMar>
              <w:top w:w="0" w:type="dxa"/>
              <w:left w:w="0" w:type="dxa"/>
              <w:bottom w:w="0" w:type="dxa"/>
              <w:right w:w="0" w:type="dxa"/>
            </w:tcMar>
            <w:vAlign w:val="center"/>
          </w:tcPr>
          <w:p w14:paraId="54C9F059">
            <w:pPr>
              <w:jc w:val="center"/>
              <w:rPr>
                <w:color w:val="auto"/>
              </w:rPr>
            </w:pPr>
            <w:r>
              <w:rPr>
                <w:rFonts w:eastAsia="Arial"/>
                <w:color w:val="auto"/>
                <w:sz w:val="20"/>
              </w:rPr>
              <w:t>45.6</w:t>
            </w:r>
          </w:p>
        </w:tc>
        <w:tc>
          <w:tcPr>
            <w:tcW w:w="176" w:type="pct"/>
            <w:shd w:val="clear" w:color="auto" w:fill="auto"/>
            <w:tcMar>
              <w:top w:w="0" w:type="dxa"/>
              <w:left w:w="0" w:type="dxa"/>
              <w:bottom w:w="0" w:type="dxa"/>
              <w:right w:w="0" w:type="dxa"/>
            </w:tcMar>
            <w:vAlign w:val="center"/>
          </w:tcPr>
          <w:p w14:paraId="0227B87B">
            <w:pPr>
              <w:jc w:val="center"/>
              <w:rPr>
                <w:color w:val="auto"/>
              </w:rPr>
            </w:pPr>
            <w:r>
              <w:rPr>
                <w:rFonts w:eastAsia="Arial"/>
                <w:color w:val="auto"/>
                <w:sz w:val="20"/>
              </w:rPr>
              <w:t>45.6</w:t>
            </w:r>
          </w:p>
        </w:tc>
        <w:tc>
          <w:tcPr>
            <w:tcW w:w="176" w:type="pct"/>
            <w:shd w:val="clear" w:color="auto" w:fill="auto"/>
            <w:tcMar>
              <w:top w:w="0" w:type="dxa"/>
              <w:left w:w="0" w:type="dxa"/>
              <w:bottom w:w="0" w:type="dxa"/>
              <w:right w:w="0" w:type="dxa"/>
            </w:tcMar>
            <w:vAlign w:val="center"/>
          </w:tcPr>
          <w:p w14:paraId="6752E561">
            <w:pPr>
              <w:jc w:val="center"/>
              <w:rPr>
                <w:color w:val="auto"/>
              </w:rPr>
            </w:pPr>
            <w:r>
              <w:rPr>
                <w:rFonts w:eastAsia="Arial"/>
                <w:color w:val="auto"/>
                <w:sz w:val="20"/>
              </w:rPr>
              <w:t>45.6</w:t>
            </w:r>
          </w:p>
        </w:tc>
        <w:tc>
          <w:tcPr>
            <w:tcW w:w="178" w:type="pct"/>
            <w:shd w:val="clear" w:color="auto" w:fill="auto"/>
            <w:tcMar>
              <w:top w:w="0" w:type="dxa"/>
              <w:left w:w="0" w:type="dxa"/>
              <w:bottom w:w="0" w:type="dxa"/>
              <w:right w:w="0" w:type="dxa"/>
            </w:tcMar>
            <w:vAlign w:val="center"/>
          </w:tcPr>
          <w:p w14:paraId="7A9A5E47">
            <w:pPr>
              <w:jc w:val="center"/>
              <w:rPr>
                <w:color w:val="auto"/>
              </w:rPr>
            </w:pPr>
            <w:r>
              <w:rPr>
                <w:rFonts w:eastAsia="Arial"/>
                <w:color w:val="auto"/>
                <w:sz w:val="20"/>
              </w:rPr>
              <w:t>45.6</w:t>
            </w:r>
          </w:p>
        </w:tc>
        <w:tc>
          <w:tcPr>
            <w:tcW w:w="152" w:type="pct"/>
            <w:shd w:val="clear" w:color="auto" w:fill="auto"/>
            <w:tcMar>
              <w:top w:w="0" w:type="dxa"/>
              <w:left w:w="0" w:type="dxa"/>
              <w:bottom w:w="0" w:type="dxa"/>
              <w:right w:w="0" w:type="dxa"/>
            </w:tcMar>
            <w:vAlign w:val="center"/>
          </w:tcPr>
          <w:p w14:paraId="24B5754D">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0B02CBC6">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1297F244">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07D45163">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497BE752">
            <w:pPr>
              <w:jc w:val="center"/>
              <w:rPr>
                <w:color w:val="auto"/>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2BB366E4">
            <w:pPr>
              <w:jc w:val="center"/>
              <w:rPr>
                <w:color w:val="auto"/>
              </w:rPr>
            </w:pPr>
            <w:r>
              <w:rPr>
                <w:rFonts w:eastAsia="Arial"/>
                <w:color w:val="auto"/>
                <w:sz w:val="20"/>
              </w:rPr>
              <w:t>4.6</w:t>
            </w:r>
          </w:p>
        </w:tc>
        <w:tc>
          <w:tcPr>
            <w:tcW w:w="181" w:type="pct"/>
            <w:shd w:val="clear" w:color="auto" w:fill="auto"/>
            <w:tcMar>
              <w:top w:w="0" w:type="dxa"/>
              <w:left w:w="0" w:type="dxa"/>
              <w:bottom w:w="0" w:type="dxa"/>
              <w:right w:w="0" w:type="dxa"/>
            </w:tcMar>
            <w:vAlign w:val="center"/>
          </w:tcPr>
          <w:p w14:paraId="2FD1A578">
            <w:pPr>
              <w:jc w:val="center"/>
              <w:rPr>
                <w:color w:val="auto"/>
              </w:rPr>
            </w:pPr>
            <w:r>
              <w:rPr>
                <w:rFonts w:eastAsia="Arial"/>
                <w:color w:val="auto"/>
                <w:sz w:val="20"/>
              </w:rPr>
              <w:t>4.6</w:t>
            </w:r>
          </w:p>
        </w:tc>
        <w:tc>
          <w:tcPr>
            <w:tcW w:w="181" w:type="pct"/>
            <w:shd w:val="clear" w:color="auto" w:fill="auto"/>
            <w:tcMar>
              <w:top w:w="0" w:type="dxa"/>
              <w:left w:w="0" w:type="dxa"/>
              <w:bottom w:w="0" w:type="dxa"/>
              <w:right w:w="0" w:type="dxa"/>
            </w:tcMar>
            <w:vAlign w:val="center"/>
          </w:tcPr>
          <w:p w14:paraId="6C7B73BD">
            <w:pPr>
              <w:jc w:val="center"/>
              <w:rPr>
                <w:color w:val="auto"/>
              </w:rPr>
            </w:pPr>
            <w:r>
              <w:rPr>
                <w:rFonts w:eastAsia="Arial"/>
                <w:color w:val="auto"/>
                <w:sz w:val="20"/>
              </w:rPr>
              <w:t>4.6</w:t>
            </w:r>
          </w:p>
        </w:tc>
        <w:tc>
          <w:tcPr>
            <w:tcW w:w="181" w:type="pct"/>
            <w:shd w:val="clear" w:color="auto" w:fill="auto"/>
            <w:tcMar>
              <w:top w:w="0" w:type="dxa"/>
              <w:left w:w="0" w:type="dxa"/>
              <w:bottom w:w="0" w:type="dxa"/>
              <w:right w:w="0" w:type="dxa"/>
            </w:tcMar>
            <w:vAlign w:val="center"/>
          </w:tcPr>
          <w:p w14:paraId="56855D08">
            <w:pPr>
              <w:jc w:val="center"/>
              <w:rPr>
                <w:color w:val="auto"/>
              </w:rPr>
            </w:pPr>
            <w:r>
              <w:rPr>
                <w:rFonts w:eastAsia="Arial"/>
                <w:color w:val="auto"/>
                <w:sz w:val="20"/>
              </w:rPr>
              <w:t>4.6</w:t>
            </w:r>
          </w:p>
        </w:tc>
        <w:tc>
          <w:tcPr>
            <w:tcW w:w="260" w:type="pct"/>
            <w:shd w:val="clear" w:color="auto" w:fill="auto"/>
            <w:tcMar>
              <w:top w:w="0" w:type="dxa"/>
              <w:left w:w="0" w:type="dxa"/>
              <w:bottom w:w="0" w:type="dxa"/>
              <w:right w:w="0" w:type="dxa"/>
            </w:tcMar>
            <w:vAlign w:val="center"/>
          </w:tcPr>
          <w:p w14:paraId="4BA0F254">
            <w:pPr>
              <w:jc w:val="center"/>
              <w:rPr>
                <w:color w:val="auto"/>
              </w:rPr>
            </w:pPr>
            <w:r>
              <w:rPr>
                <w:rFonts w:eastAsia="Arial"/>
                <w:color w:val="auto"/>
                <w:sz w:val="20"/>
              </w:rPr>
              <w:t>1</w:t>
            </w:r>
          </w:p>
        </w:tc>
      </w:tr>
      <w:tr w14:paraId="0CF8F23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continue"/>
            <w:shd w:val="clear" w:color="auto" w:fill="auto"/>
            <w:tcMar>
              <w:top w:w="0" w:type="dxa"/>
              <w:left w:w="0" w:type="dxa"/>
              <w:bottom w:w="0" w:type="dxa"/>
              <w:right w:w="0" w:type="dxa"/>
            </w:tcMar>
            <w:vAlign w:val="center"/>
          </w:tcPr>
          <w:p w14:paraId="341D5241">
            <w:pPr>
              <w:jc w:val="center"/>
              <w:rPr>
                <w:rFonts w:eastAsia="Arial"/>
                <w:color w:val="auto"/>
                <w:sz w:val="20"/>
              </w:rPr>
            </w:pPr>
          </w:p>
        </w:tc>
        <w:tc>
          <w:tcPr>
            <w:tcW w:w="193" w:type="pct"/>
            <w:vMerge w:val="continue"/>
            <w:shd w:val="clear" w:color="auto" w:fill="auto"/>
            <w:tcMar>
              <w:top w:w="0" w:type="dxa"/>
              <w:left w:w="0" w:type="dxa"/>
              <w:bottom w:w="0" w:type="dxa"/>
              <w:right w:w="0" w:type="dxa"/>
            </w:tcMar>
            <w:vAlign w:val="center"/>
          </w:tcPr>
          <w:p w14:paraId="14A73513">
            <w:pPr>
              <w:jc w:val="center"/>
              <w:rPr>
                <w:rFonts w:eastAsia="Arial"/>
                <w:color w:val="auto"/>
                <w:sz w:val="20"/>
              </w:rPr>
            </w:pPr>
          </w:p>
        </w:tc>
        <w:tc>
          <w:tcPr>
            <w:tcW w:w="183" w:type="pct"/>
            <w:shd w:val="clear" w:color="auto" w:fill="auto"/>
            <w:tcMar>
              <w:top w:w="0" w:type="dxa"/>
              <w:left w:w="0" w:type="dxa"/>
              <w:bottom w:w="0" w:type="dxa"/>
              <w:right w:w="0" w:type="dxa"/>
            </w:tcMar>
            <w:vAlign w:val="center"/>
          </w:tcPr>
          <w:p w14:paraId="248DA762">
            <w:pPr>
              <w:jc w:val="center"/>
              <w:rPr>
                <w:rFonts w:eastAsia="Arial"/>
                <w:color w:val="auto"/>
                <w:sz w:val="20"/>
              </w:rPr>
            </w:pPr>
            <w:r>
              <w:rPr>
                <w:rFonts w:eastAsia="Arial"/>
                <w:color w:val="auto"/>
                <w:sz w:val="20"/>
              </w:rPr>
              <w:t>饲喂系统喂料驱动器</w:t>
            </w:r>
          </w:p>
        </w:tc>
        <w:tc>
          <w:tcPr>
            <w:tcW w:w="150" w:type="pct"/>
            <w:shd w:val="clear" w:color="auto" w:fill="auto"/>
            <w:tcMar>
              <w:top w:w="0" w:type="dxa"/>
              <w:left w:w="0" w:type="dxa"/>
              <w:bottom w:w="0" w:type="dxa"/>
              <w:right w:w="0" w:type="dxa"/>
            </w:tcMar>
            <w:vAlign w:val="center"/>
          </w:tcPr>
          <w:p w14:paraId="002E1F79">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4F1986BE">
            <w:pPr>
              <w:jc w:val="center"/>
              <w:rPr>
                <w:rFonts w:eastAsia="Arial"/>
                <w:color w:val="auto"/>
                <w:sz w:val="20"/>
              </w:rPr>
            </w:pPr>
            <w:r>
              <w:rPr>
                <w:rFonts w:eastAsia="Arial"/>
                <w:color w:val="auto"/>
                <w:sz w:val="20"/>
              </w:rPr>
              <w:t>75</w:t>
            </w:r>
          </w:p>
        </w:tc>
        <w:tc>
          <w:tcPr>
            <w:tcW w:w="193" w:type="pct"/>
            <w:shd w:val="clear" w:color="auto" w:fill="auto"/>
            <w:tcMar>
              <w:top w:w="0" w:type="dxa"/>
              <w:left w:w="0" w:type="dxa"/>
              <w:bottom w:w="0" w:type="dxa"/>
              <w:right w:w="0" w:type="dxa"/>
            </w:tcMar>
            <w:vAlign w:val="center"/>
          </w:tcPr>
          <w:p w14:paraId="7B1D4EAA">
            <w:pPr>
              <w:jc w:val="center"/>
              <w:rPr>
                <w:rFonts w:hint="eastAsia"/>
                <w:color w:val="auto"/>
                <w:lang w:val="en-US" w:eastAsia="zh-CN"/>
              </w:rPr>
            </w:pPr>
            <w:r>
              <w:rPr>
                <w:color w:val="auto"/>
                <w:szCs w:val="21"/>
                <w:shd w:val="clear" w:color="auto" w:fill="FFFFFF"/>
              </w:rPr>
              <w:t>选低噪声设备、隔声、消声</w:t>
            </w:r>
          </w:p>
        </w:tc>
        <w:tc>
          <w:tcPr>
            <w:tcW w:w="215" w:type="pct"/>
            <w:shd w:val="clear" w:color="auto" w:fill="auto"/>
            <w:tcMar>
              <w:top w:w="0" w:type="dxa"/>
              <w:left w:w="0" w:type="dxa"/>
              <w:bottom w:w="0" w:type="dxa"/>
              <w:right w:w="0" w:type="dxa"/>
            </w:tcMar>
            <w:vAlign w:val="center"/>
          </w:tcPr>
          <w:p w14:paraId="22A51747">
            <w:pPr>
              <w:jc w:val="center"/>
              <w:rPr>
                <w:rFonts w:eastAsia="Arial"/>
                <w:color w:val="auto"/>
                <w:sz w:val="20"/>
              </w:rPr>
            </w:pPr>
            <w:r>
              <w:rPr>
                <w:rFonts w:eastAsia="Arial"/>
                <w:color w:val="auto"/>
                <w:sz w:val="20"/>
              </w:rPr>
              <w:t>-41.6</w:t>
            </w:r>
          </w:p>
        </w:tc>
        <w:tc>
          <w:tcPr>
            <w:tcW w:w="215" w:type="pct"/>
            <w:shd w:val="clear" w:color="auto" w:fill="auto"/>
            <w:tcMar>
              <w:top w:w="0" w:type="dxa"/>
              <w:left w:w="0" w:type="dxa"/>
              <w:bottom w:w="0" w:type="dxa"/>
              <w:right w:w="0" w:type="dxa"/>
            </w:tcMar>
            <w:vAlign w:val="center"/>
          </w:tcPr>
          <w:p w14:paraId="46F89735">
            <w:pPr>
              <w:jc w:val="center"/>
              <w:rPr>
                <w:rFonts w:eastAsia="Arial"/>
                <w:color w:val="auto"/>
                <w:sz w:val="20"/>
              </w:rPr>
            </w:pPr>
            <w:r>
              <w:rPr>
                <w:rFonts w:eastAsia="Arial"/>
                <w:color w:val="auto"/>
                <w:sz w:val="20"/>
              </w:rPr>
              <w:t>0.3</w:t>
            </w:r>
          </w:p>
        </w:tc>
        <w:tc>
          <w:tcPr>
            <w:tcW w:w="219" w:type="pct"/>
            <w:shd w:val="clear" w:color="auto" w:fill="auto"/>
            <w:tcMar>
              <w:top w:w="0" w:type="dxa"/>
              <w:left w:w="0" w:type="dxa"/>
              <w:bottom w:w="0" w:type="dxa"/>
              <w:right w:w="0" w:type="dxa"/>
            </w:tcMar>
            <w:vAlign w:val="center"/>
          </w:tcPr>
          <w:p w14:paraId="66C41F8E">
            <w:pPr>
              <w:jc w:val="center"/>
              <w:rPr>
                <w:rFonts w:eastAsia="Arial"/>
                <w:color w:val="auto"/>
                <w:sz w:val="20"/>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680F1E7A">
            <w:pPr>
              <w:jc w:val="center"/>
              <w:rPr>
                <w:rFonts w:eastAsia="Arial"/>
                <w:color w:val="auto"/>
                <w:sz w:val="20"/>
              </w:rPr>
            </w:pPr>
            <w:r>
              <w:rPr>
                <w:rFonts w:eastAsia="Arial"/>
                <w:color w:val="auto"/>
                <w:sz w:val="20"/>
              </w:rPr>
              <w:t>94.0</w:t>
            </w:r>
          </w:p>
        </w:tc>
        <w:tc>
          <w:tcPr>
            <w:tcW w:w="178" w:type="pct"/>
            <w:shd w:val="clear" w:color="auto" w:fill="auto"/>
            <w:tcMar>
              <w:top w:w="0" w:type="dxa"/>
              <w:left w:w="0" w:type="dxa"/>
              <w:bottom w:w="0" w:type="dxa"/>
              <w:right w:w="0" w:type="dxa"/>
            </w:tcMar>
            <w:vAlign w:val="center"/>
          </w:tcPr>
          <w:p w14:paraId="5D20007A">
            <w:pPr>
              <w:jc w:val="center"/>
              <w:rPr>
                <w:rFonts w:eastAsia="Arial"/>
                <w:color w:val="auto"/>
                <w:sz w:val="20"/>
              </w:rPr>
            </w:pPr>
            <w:r>
              <w:rPr>
                <w:rFonts w:eastAsia="Arial"/>
                <w:color w:val="auto"/>
                <w:sz w:val="20"/>
              </w:rPr>
              <w:t>88.5</w:t>
            </w:r>
          </w:p>
        </w:tc>
        <w:tc>
          <w:tcPr>
            <w:tcW w:w="180" w:type="pct"/>
            <w:shd w:val="clear" w:color="auto" w:fill="auto"/>
            <w:tcMar>
              <w:top w:w="0" w:type="dxa"/>
              <w:left w:w="0" w:type="dxa"/>
              <w:bottom w:w="0" w:type="dxa"/>
              <w:right w:w="0" w:type="dxa"/>
            </w:tcMar>
            <w:vAlign w:val="center"/>
          </w:tcPr>
          <w:p w14:paraId="233861DD">
            <w:pPr>
              <w:jc w:val="center"/>
              <w:rPr>
                <w:rFonts w:eastAsia="Arial"/>
                <w:color w:val="auto"/>
                <w:sz w:val="20"/>
              </w:rPr>
            </w:pPr>
            <w:r>
              <w:rPr>
                <w:rFonts w:eastAsia="Arial"/>
                <w:color w:val="auto"/>
                <w:sz w:val="20"/>
              </w:rPr>
              <w:t>98.0</w:t>
            </w:r>
          </w:p>
        </w:tc>
        <w:tc>
          <w:tcPr>
            <w:tcW w:w="191" w:type="pct"/>
            <w:shd w:val="clear" w:color="auto" w:fill="auto"/>
            <w:tcMar>
              <w:top w:w="0" w:type="dxa"/>
              <w:left w:w="0" w:type="dxa"/>
              <w:bottom w:w="0" w:type="dxa"/>
              <w:right w:w="0" w:type="dxa"/>
            </w:tcMar>
            <w:vAlign w:val="center"/>
          </w:tcPr>
          <w:p w14:paraId="5D2E8DD9">
            <w:pPr>
              <w:jc w:val="center"/>
              <w:rPr>
                <w:rFonts w:eastAsia="Arial"/>
                <w:color w:val="auto"/>
                <w:sz w:val="20"/>
              </w:rPr>
            </w:pPr>
            <w:r>
              <w:rPr>
                <w:rFonts w:eastAsia="Arial"/>
                <w:color w:val="auto"/>
                <w:sz w:val="20"/>
              </w:rPr>
              <w:t>9.4</w:t>
            </w:r>
          </w:p>
        </w:tc>
        <w:tc>
          <w:tcPr>
            <w:tcW w:w="176" w:type="pct"/>
            <w:shd w:val="clear" w:color="auto" w:fill="auto"/>
            <w:tcMar>
              <w:top w:w="0" w:type="dxa"/>
              <w:left w:w="0" w:type="dxa"/>
              <w:bottom w:w="0" w:type="dxa"/>
              <w:right w:w="0" w:type="dxa"/>
            </w:tcMar>
            <w:vAlign w:val="center"/>
          </w:tcPr>
          <w:p w14:paraId="2A34553A">
            <w:pPr>
              <w:jc w:val="center"/>
              <w:rPr>
                <w:rFonts w:eastAsia="Arial"/>
                <w:color w:val="auto"/>
                <w:sz w:val="20"/>
              </w:rPr>
            </w:pPr>
            <w:r>
              <w:rPr>
                <w:rFonts w:eastAsia="Arial"/>
                <w:color w:val="auto"/>
                <w:sz w:val="20"/>
              </w:rPr>
              <w:t>56.5</w:t>
            </w:r>
          </w:p>
        </w:tc>
        <w:tc>
          <w:tcPr>
            <w:tcW w:w="176" w:type="pct"/>
            <w:shd w:val="clear" w:color="auto" w:fill="auto"/>
            <w:tcMar>
              <w:top w:w="0" w:type="dxa"/>
              <w:left w:w="0" w:type="dxa"/>
              <w:bottom w:w="0" w:type="dxa"/>
              <w:right w:w="0" w:type="dxa"/>
            </w:tcMar>
            <w:vAlign w:val="center"/>
          </w:tcPr>
          <w:p w14:paraId="3C38187C">
            <w:pPr>
              <w:jc w:val="center"/>
              <w:rPr>
                <w:rFonts w:eastAsia="Arial"/>
                <w:color w:val="auto"/>
                <w:sz w:val="20"/>
              </w:rPr>
            </w:pPr>
            <w:r>
              <w:rPr>
                <w:rFonts w:eastAsia="Arial"/>
                <w:color w:val="auto"/>
                <w:sz w:val="20"/>
              </w:rPr>
              <w:t>56.5</w:t>
            </w:r>
          </w:p>
        </w:tc>
        <w:tc>
          <w:tcPr>
            <w:tcW w:w="176" w:type="pct"/>
            <w:shd w:val="clear" w:color="auto" w:fill="auto"/>
            <w:tcMar>
              <w:top w:w="0" w:type="dxa"/>
              <w:left w:w="0" w:type="dxa"/>
              <w:bottom w:w="0" w:type="dxa"/>
              <w:right w:w="0" w:type="dxa"/>
            </w:tcMar>
            <w:vAlign w:val="center"/>
          </w:tcPr>
          <w:p w14:paraId="09FA078E">
            <w:pPr>
              <w:jc w:val="center"/>
              <w:rPr>
                <w:rFonts w:eastAsia="Arial"/>
                <w:color w:val="auto"/>
                <w:sz w:val="20"/>
              </w:rPr>
            </w:pPr>
            <w:r>
              <w:rPr>
                <w:rFonts w:eastAsia="Arial"/>
                <w:color w:val="auto"/>
                <w:sz w:val="20"/>
              </w:rPr>
              <w:t>56.5</w:t>
            </w:r>
          </w:p>
        </w:tc>
        <w:tc>
          <w:tcPr>
            <w:tcW w:w="178" w:type="pct"/>
            <w:shd w:val="clear" w:color="auto" w:fill="auto"/>
            <w:tcMar>
              <w:top w:w="0" w:type="dxa"/>
              <w:left w:w="0" w:type="dxa"/>
              <w:bottom w:w="0" w:type="dxa"/>
              <w:right w:w="0" w:type="dxa"/>
            </w:tcMar>
            <w:vAlign w:val="center"/>
          </w:tcPr>
          <w:p w14:paraId="6160DCAA">
            <w:pPr>
              <w:jc w:val="center"/>
              <w:rPr>
                <w:rFonts w:eastAsia="Arial"/>
                <w:color w:val="auto"/>
                <w:sz w:val="20"/>
              </w:rPr>
            </w:pPr>
            <w:r>
              <w:rPr>
                <w:rFonts w:eastAsia="Arial"/>
                <w:color w:val="auto"/>
                <w:sz w:val="20"/>
              </w:rPr>
              <w:t>56.8</w:t>
            </w:r>
          </w:p>
        </w:tc>
        <w:tc>
          <w:tcPr>
            <w:tcW w:w="152" w:type="pct"/>
            <w:shd w:val="clear" w:color="auto" w:fill="auto"/>
            <w:tcMar>
              <w:top w:w="0" w:type="dxa"/>
              <w:left w:w="0" w:type="dxa"/>
              <w:bottom w:w="0" w:type="dxa"/>
              <w:right w:w="0" w:type="dxa"/>
            </w:tcMar>
            <w:vAlign w:val="center"/>
          </w:tcPr>
          <w:p w14:paraId="73ED1400">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5A42B4A6">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199DCC6E">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1052A18B">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33B3D37B">
            <w:pPr>
              <w:jc w:val="center"/>
              <w:rPr>
                <w:rFonts w:eastAsia="Arial"/>
                <w:color w:val="auto"/>
                <w:sz w:val="20"/>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623A2496">
            <w:pPr>
              <w:jc w:val="center"/>
              <w:rPr>
                <w:rFonts w:eastAsia="Arial"/>
                <w:color w:val="auto"/>
                <w:sz w:val="20"/>
              </w:rPr>
            </w:pPr>
            <w:r>
              <w:rPr>
                <w:rFonts w:eastAsia="Arial"/>
                <w:color w:val="auto"/>
                <w:sz w:val="20"/>
              </w:rPr>
              <w:t>15.5</w:t>
            </w:r>
          </w:p>
        </w:tc>
        <w:tc>
          <w:tcPr>
            <w:tcW w:w="181" w:type="pct"/>
            <w:shd w:val="clear" w:color="auto" w:fill="auto"/>
            <w:tcMar>
              <w:top w:w="0" w:type="dxa"/>
              <w:left w:w="0" w:type="dxa"/>
              <w:bottom w:w="0" w:type="dxa"/>
              <w:right w:w="0" w:type="dxa"/>
            </w:tcMar>
            <w:vAlign w:val="center"/>
          </w:tcPr>
          <w:p w14:paraId="4066CFD6">
            <w:pPr>
              <w:jc w:val="center"/>
              <w:rPr>
                <w:rFonts w:eastAsia="Arial"/>
                <w:color w:val="auto"/>
                <w:sz w:val="20"/>
              </w:rPr>
            </w:pPr>
            <w:r>
              <w:rPr>
                <w:rFonts w:eastAsia="Arial"/>
                <w:color w:val="auto"/>
                <w:sz w:val="20"/>
              </w:rPr>
              <w:t>15.5</w:t>
            </w:r>
          </w:p>
        </w:tc>
        <w:tc>
          <w:tcPr>
            <w:tcW w:w="181" w:type="pct"/>
            <w:shd w:val="clear" w:color="auto" w:fill="auto"/>
            <w:tcMar>
              <w:top w:w="0" w:type="dxa"/>
              <w:left w:w="0" w:type="dxa"/>
              <w:bottom w:w="0" w:type="dxa"/>
              <w:right w:w="0" w:type="dxa"/>
            </w:tcMar>
            <w:vAlign w:val="center"/>
          </w:tcPr>
          <w:p w14:paraId="7B0C83F4">
            <w:pPr>
              <w:jc w:val="center"/>
              <w:rPr>
                <w:rFonts w:eastAsia="Arial"/>
                <w:color w:val="auto"/>
                <w:sz w:val="20"/>
              </w:rPr>
            </w:pPr>
            <w:r>
              <w:rPr>
                <w:rFonts w:eastAsia="Arial"/>
                <w:color w:val="auto"/>
                <w:sz w:val="20"/>
              </w:rPr>
              <w:t>15.5</w:t>
            </w:r>
          </w:p>
        </w:tc>
        <w:tc>
          <w:tcPr>
            <w:tcW w:w="181" w:type="pct"/>
            <w:shd w:val="clear" w:color="auto" w:fill="auto"/>
            <w:tcMar>
              <w:top w:w="0" w:type="dxa"/>
              <w:left w:w="0" w:type="dxa"/>
              <w:bottom w:w="0" w:type="dxa"/>
              <w:right w:w="0" w:type="dxa"/>
            </w:tcMar>
            <w:vAlign w:val="center"/>
          </w:tcPr>
          <w:p w14:paraId="745AF1B9">
            <w:pPr>
              <w:jc w:val="center"/>
              <w:rPr>
                <w:rFonts w:eastAsia="Arial"/>
                <w:color w:val="auto"/>
                <w:sz w:val="20"/>
              </w:rPr>
            </w:pPr>
            <w:r>
              <w:rPr>
                <w:rFonts w:eastAsia="Arial"/>
                <w:color w:val="auto"/>
                <w:sz w:val="20"/>
              </w:rPr>
              <w:t>15.8</w:t>
            </w:r>
          </w:p>
        </w:tc>
        <w:tc>
          <w:tcPr>
            <w:tcW w:w="260" w:type="pct"/>
            <w:shd w:val="clear" w:color="auto" w:fill="auto"/>
            <w:tcMar>
              <w:top w:w="0" w:type="dxa"/>
              <w:left w:w="0" w:type="dxa"/>
              <w:bottom w:w="0" w:type="dxa"/>
              <w:right w:w="0" w:type="dxa"/>
            </w:tcMar>
            <w:vAlign w:val="center"/>
          </w:tcPr>
          <w:p w14:paraId="64E8EC10">
            <w:pPr>
              <w:jc w:val="center"/>
              <w:rPr>
                <w:rFonts w:eastAsia="Arial"/>
                <w:color w:val="auto"/>
                <w:sz w:val="20"/>
              </w:rPr>
            </w:pPr>
            <w:r>
              <w:rPr>
                <w:rFonts w:eastAsia="Arial"/>
                <w:color w:val="auto"/>
                <w:sz w:val="20"/>
              </w:rPr>
              <w:t>1</w:t>
            </w:r>
          </w:p>
        </w:tc>
      </w:tr>
      <w:tr w14:paraId="34CD13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continue"/>
            <w:shd w:val="clear" w:color="auto" w:fill="auto"/>
            <w:tcMar>
              <w:top w:w="0" w:type="dxa"/>
              <w:left w:w="0" w:type="dxa"/>
              <w:bottom w:w="0" w:type="dxa"/>
              <w:right w:w="0" w:type="dxa"/>
            </w:tcMar>
            <w:vAlign w:val="center"/>
          </w:tcPr>
          <w:p w14:paraId="1210EA4E">
            <w:pPr>
              <w:jc w:val="center"/>
              <w:rPr>
                <w:color w:val="auto"/>
              </w:rPr>
            </w:pPr>
          </w:p>
        </w:tc>
        <w:tc>
          <w:tcPr>
            <w:tcW w:w="193" w:type="pct"/>
            <w:vMerge w:val="continue"/>
            <w:shd w:val="clear" w:color="auto" w:fill="auto"/>
            <w:tcMar>
              <w:top w:w="0" w:type="dxa"/>
              <w:left w:w="0" w:type="dxa"/>
              <w:bottom w:w="0" w:type="dxa"/>
              <w:right w:w="0" w:type="dxa"/>
            </w:tcMar>
            <w:vAlign w:val="center"/>
          </w:tcPr>
          <w:p w14:paraId="482AD9FC">
            <w:pPr>
              <w:jc w:val="center"/>
              <w:rPr>
                <w:color w:val="auto"/>
              </w:rPr>
            </w:pPr>
          </w:p>
        </w:tc>
        <w:tc>
          <w:tcPr>
            <w:tcW w:w="183" w:type="pct"/>
            <w:shd w:val="clear" w:color="auto" w:fill="auto"/>
            <w:tcMar>
              <w:top w:w="0" w:type="dxa"/>
              <w:left w:w="0" w:type="dxa"/>
              <w:bottom w:w="0" w:type="dxa"/>
              <w:right w:w="0" w:type="dxa"/>
            </w:tcMar>
            <w:vAlign w:val="center"/>
          </w:tcPr>
          <w:p w14:paraId="76921357">
            <w:pPr>
              <w:jc w:val="center"/>
              <w:rPr>
                <w:rFonts w:hint="eastAsia" w:eastAsia="宋体"/>
                <w:color w:val="auto"/>
                <w:lang w:val="en-US" w:eastAsia="zh-CN"/>
              </w:rPr>
            </w:pPr>
            <w:r>
              <w:rPr>
                <w:rFonts w:eastAsia="Arial"/>
                <w:color w:val="auto"/>
                <w:sz w:val="20"/>
              </w:rPr>
              <w:t>环控系统排风扇</w:t>
            </w:r>
          </w:p>
        </w:tc>
        <w:tc>
          <w:tcPr>
            <w:tcW w:w="150" w:type="pct"/>
            <w:shd w:val="clear" w:color="auto" w:fill="auto"/>
            <w:tcMar>
              <w:top w:w="0" w:type="dxa"/>
              <w:left w:w="0" w:type="dxa"/>
              <w:bottom w:w="0" w:type="dxa"/>
              <w:right w:w="0" w:type="dxa"/>
            </w:tcMar>
            <w:vAlign w:val="center"/>
          </w:tcPr>
          <w:p w14:paraId="44FADA83">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64F1A4D6">
            <w:pPr>
              <w:jc w:val="center"/>
              <w:rPr>
                <w:color w:val="auto"/>
              </w:rPr>
            </w:pPr>
            <w:r>
              <w:rPr>
                <w:rFonts w:eastAsia="Arial"/>
                <w:color w:val="auto"/>
                <w:sz w:val="20"/>
              </w:rPr>
              <w:t>80</w:t>
            </w:r>
          </w:p>
        </w:tc>
        <w:tc>
          <w:tcPr>
            <w:tcW w:w="193" w:type="pct"/>
            <w:shd w:val="clear" w:color="auto" w:fill="auto"/>
            <w:tcMar>
              <w:top w:w="0" w:type="dxa"/>
              <w:left w:w="0" w:type="dxa"/>
              <w:bottom w:w="0" w:type="dxa"/>
              <w:right w:w="0" w:type="dxa"/>
            </w:tcMar>
            <w:vAlign w:val="center"/>
          </w:tcPr>
          <w:p w14:paraId="54B56BBD">
            <w:pPr>
              <w:jc w:val="center"/>
              <w:rPr>
                <w:color w:val="auto"/>
              </w:rPr>
            </w:pPr>
          </w:p>
        </w:tc>
        <w:tc>
          <w:tcPr>
            <w:tcW w:w="215" w:type="pct"/>
            <w:shd w:val="clear" w:color="auto" w:fill="auto"/>
            <w:tcMar>
              <w:top w:w="0" w:type="dxa"/>
              <w:left w:w="0" w:type="dxa"/>
              <w:bottom w:w="0" w:type="dxa"/>
              <w:right w:w="0" w:type="dxa"/>
            </w:tcMar>
            <w:vAlign w:val="center"/>
          </w:tcPr>
          <w:p w14:paraId="785FD7EB">
            <w:pPr>
              <w:jc w:val="center"/>
              <w:rPr>
                <w:color w:val="auto"/>
              </w:rPr>
            </w:pPr>
            <w:r>
              <w:rPr>
                <w:rFonts w:eastAsia="Arial"/>
                <w:color w:val="auto"/>
                <w:sz w:val="20"/>
              </w:rPr>
              <w:t>84.9</w:t>
            </w:r>
          </w:p>
        </w:tc>
        <w:tc>
          <w:tcPr>
            <w:tcW w:w="215" w:type="pct"/>
            <w:shd w:val="clear" w:color="auto" w:fill="auto"/>
            <w:tcMar>
              <w:top w:w="0" w:type="dxa"/>
              <w:left w:w="0" w:type="dxa"/>
              <w:bottom w:w="0" w:type="dxa"/>
              <w:right w:w="0" w:type="dxa"/>
            </w:tcMar>
            <w:vAlign w:val="center"/>
          </w:tcPr>
          <w:p w14:paraId="1E0A1C47">
            <w:pPr>
              <w:jc w:val="center"/>
              <w:rPr>
                <w:color w:val="auto"/>
              </w:rPr>
            </w:pPr>
            <w:r>
              <w:rPr>
                <w:rFonts w:eastAsia="Arial"/>
                <w:color w:val="auto"/>
                <w:sz w:val="20"/>
              </w:rPr>
              <w:t>23</w:t>
            </w:r>
          </w:p>
        </w:tc>
        <w:tc>
          <w:tcPr>
            <w:tcW w:w="219" w:type="pct"/>
            <w:shd w:val="clear" w:color="auto" w:fill="auto"/>
            <w:tcMar>
              <w:top w:w="0" w:type="dxa"/>
              <w:left w:w="0" w:type="dxa"/>
              <w:bottom w:w="0" w:type="dxa"/>
              <w:right w:w="0" w:type="dxa"/>
            </w:tcMar>
            <w:vAlign w:val="center"/>
          </w:tcPr>
          <w:p w14:paraId="1C9A1D95">
            <w:pPr>
              <w:jc w:val="center"/>
              <w:rPr>
                <w:color w:val="auto"/>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72439A3A">
            <w:pPr>
              <w:jc w:val="center"/>
              <w:rPr>
                <w:color w:val="auto"/>
              </w:rPr>
            </w:pPr>
            <w:r>
              <w:rPr>
                <w:rFonts w:eastAsia="Arial"/>
                <w:color w:val="auto"/>
                <w:sz w:val="20"/>
              </w:rPr>
              <w:t>157.7</w:t>
            </w:r>
          </w:p>
        </w:tc>
        <w:tc>
          <w:tcPr>
            <w:tcW w:w="178" w:type="pct"/>
            <w:shd w:val="clear" w:color="auto" w:fill="auto"/>
            <w:tcMar>
              <w:top w:w="0" w:type="dxa"/>
              <w:left w:w="0" w:type="dxa"/>
              <w:bottom w:w="0" w:type="dxa"/>
              <w:right w:w="0" w:type="dxa"/>
            </w:tcMar>
            <w:vAlign w:val="center"/>
          </w:tcPr>
          <w:p w14:paraId="7FC077B9">
            <w:pPr>
              <w:jc w:val="center"/>
              <w:rPr>
                <w:color w:val="auto"/>
              </w:rPr>
            </w:pPr>
            <w:r>
              <w:rPr>
                <w:rFonts w:eastAsia="Arial"/>
                <w:color w:val="auto"/>
                <w:sz w:val="20"/>
              </w:rPr>
              <w:t>24.2</w:t>
            </w:r>
          </w:p>
        </w:tc>
        <w:tc>
          <w:tcPr>
            <w:tcW w:w="180" w:type="pct"/>
            <w:shd w:val="clear" w:color="auto" w:fill="auto"/>
            <w:tcMar>
              <w:top w:w="0" w:type="dxa"/>
              <w:left w:w="0" w:type="dxa"/>
              <w:bottom w:w="0" w:type="dxa"/>
              <w:right w:w="0" w:type="dxa"/>
            </w:tcMar>
            <w:vAlign w:val="center"/>
          </w:tcPr>
          <w:p w14:paraId="4BD0F0FD">
            <w:pPr>
              <w:jc w:val="center"/>
              <w:rPr>
                <w:color w:val="auto"/>
              </w:rPr>
            </w:pPr>
            <w:r>
              <w:rPr>
                <w:rFonts w:eastAsia="Arial"/>
                <w:color w:val="auto"/>
                <w:sz w:val="20"/>
              </w:rPr>
              <w:t>106.7</w:t>
            </w:r>
          </w:p>
        </w:tc>
        <w:tc>
          <w:tcPr>
            <w:tcW w:w="191" w:type="pct"/>
            <w:shd w:val="clear" w:color="auto" w:fill="auto"/>
            <w:tcMar>
              <w:top w:w="0" w:type="dxa"/>
              <w:left w:w="0" w:type="dxa"/>
              <w:bottom w:w="0" w:type="dxa"/>
              <w:right w:w="0" w:type="dxa"/>
            </w:tcMar>
            <w:vAlign w:val="center"/>
          </w:tcPr>
          <w:p w14:paraId="5B60BB5E">
            <w:pPr>
              <w:jc w:val="center"/>
              <w:rPr>
                <w:color w:val="auto"/>
              </w:rPr>
            </w:pPr>
            <w:r>
              <w:rPr>
                <w:rFonts w:eastAsia="Arial"/>
                <w:color w:val="auto"/>
                <w:sz w:val="20"/>
              </w:rPr>
              <w:t>69.5</w:t>
            </w:r>
          </w:p>
        </w:tc>
        <w:tc>
          <w:tcPr>
            <w:tcW w:w="176" w:type="pct"/>
            <w:shd w:val="clear" w:color="auto" w:fill="auto"/>
            <w:tcMar>
              <w:top w:w="0" w:type="dxa"/>
              <w:left w:w="0" w:type="dxa"/>
              <w:bottom w:w="0" w:type="dxa"/>
              <w:right w:w="0" w:type="dxa"/>
            </w:tcMar>
            <w:vAlign w:val="center"/>
          </w:tcPr>
          <w:p w14:paraId="328B8978">
            <w:pPr>
              <w:jc w:val="center"/>
              <w:rPr>
                <w:color w:val="auto"/>
              </w:rPr>
            </w:pPr>
            <w:r>
              <w:rPr>
                <w:rFonts w:eastAsia="Arial"/>
                <w:color w:val="auto"/>
                <w:sz w:val="20"/>
              </w:rPr>
              <w:t>60.6</w:t>
            </w:r>
          </w:p>
        </w:tc>
        <w:tc>
          <w:tcPr>
            <w:tcW w:w="176" w:type="pct"/>
            <w:shd w:val="clear" w:color="auto" w:fill="auto"/>
            <w:tcMar>
              <w:top w:w="0" w:type="dxa"/>
              <w:left w:w="0" w:type="dxa"/>
              <w:bottom w:w="0" w:type="dxa"/>
              <w:right w:w="0" w:type="dxa"/>
            </w:tcMar>
            <w:vAlign w:val="center"/>
          </w:tcPr>
          <w:p w14:paraId="60B22117">
            <w:pPr>
              <w:jc w:val="center"/>
              <w:rPr>
                <w:color w:val="auto"/>
              </w:rPr>
            </w:pPr>
            <w:r>
              <w:rPr>
                <w:rFonts w:eastAsia="Arial"/>
                <w:color w:val="auto"/>
                <w:sz w:val="20"/>
              </w:rPr>
              <w:t>60.7</w:t>
            </w:r>
          </w:p>
        </w:tc>
        <w:tc>
          <w:tcPr>
            <w:tcW w:w="176" w:type="pct"/>
            <w:shd w:val="clear" w:color="auto" w:fill="auto"/>
            <w:tcMar>
              <w:top w:w="0" w:type="dxa"/>
              <w:left w:w="0" w:type="dxa"/>
              <w:bottom w:w="0" w:type="dxa"/>
              <w:right w:w="0" w:type="dxa"/>
            </w:tcMar>
            <w:vAlign w:val="center"/>
          </w:tcPr>
          <w:p w14:paraId="1DF858B9">
            <w:pPr>
              <w:jc w:val="center"/>
              <w:rPr>
                <w:color w:val="auto"/>
              </w:rPr>
            </w:pPr>
            <w:r>
              <w:rPr>
                <w:rFonts w:eastAsia="Arial"/>
                <w:color w:val="auto"/>
                <w:sz w:val="20"/>
              </w:rPr>
              <w:t>60.6</w:t>
            </w:r>
          </w:p>
        </w:tc>
        <w:tc>
          <w:tcPr>
            <w:tcW w:w="178" w:type="pct"/>
            <w:shd w:val="clear" w:color="auto" w:fill="auto"/>
            <w:tcMar>
              <w:top w:w="0" w:type="dxa"/>
              <w:left w:w="0" w:type="dxa"/>
              <w:bottom w:w="0" w:type="dxa"/>
              <w:right w:w="0" w:type="dxa"/>
            </w:tcMar>
            <w:vAlign w:val="center"/>
          </w:tcPr>
          <w:p w14:paraId="0D938F3A">
            <w:pPr>
              <w:jc w:val="center"/>
              <w:rPr>
                <w:color w:val="auto"/>
              </w:rPr>
            </w:pPr>
            <w:r>
              <w:rPr>
                <w:rFonts w:eastAsia="Arial"/>
                <w:color w:val="auto"/>
                <w:sz w:val="20"/>
              </w:rPr>
              <w:t>60.6</w:t>
            </w:r>
          </w:p>
        </w:tc>
        <w:tc>
          <w:tcPr>
            <w:tcW w:w="152" w:type="pct"/>
            <w:shd w:val="clear" w:color="auto" w:fill="auto"/>
            <w:tcMar>
              <w:top w:w="0" w:type="dxa"/>
              <w:left w:w="0" w:type="dxa"/>
              <w:bottom w:w="0" w:type="dxa"/>
              <w:right w:w="0" w:type="dxa"/>
            </w:tcMar>
            <w:vAlign w:val="center"/>
          </w:tcPr>
          <w:p w14:paraId="152CC671">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71F85A5B">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01347B90">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33166B89">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6AA5B8CD">
            <w:pPr>
              <w:jc w:val="center"/>
              <w:rPr>
                <w:color w:val="auto"/>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6CCC770E">
            <w:pPr>
              <w:jc w:val="center"/>
              <w:rPr>
                <w:color w:val="auto"/>
              </w:rPr>
            </w:pPr>
            <w:r>
              <w:rPr>
                <w:rFonts w:eastAsia="Arial"/>
                <w:color w:val="auto"/>
                <w:sz w:val="20"/>
              </w:rPr>
              <w:t>19.6</w:t>
            </w:r>
          </w:p>
        </w:tc>
        <w:tc>
          <w:tcPr>
            <w:tcW w:w="181" w:type="pct"/>
            <w:shd w:val="clear" w:color="auto" w:fill="auto"/>
            <w:tcMar>
              <w:top w:w="0" w:type="dxa"/>
              <w:left w:w="0" w:type="dxa"/>
              <w:bottom w:w="0" w:type="dxa"/>
              <w:right w:w="0" w:type="dxa"/>
            </w:tcMar>
            <w:vAlign w:val="center"/>
          </w:tcPr>
          <w:p w14:paraId="64B49B83">
            <w:pPr>
              <w:jc w:val="center"/>
              <w:rPr>
                <w:color w:val="auto"/>
              </w:rPr>
            </w:pPr>
            <w:r>
              <w:rPr>
                <w:rFonts w:eastAsia="Arial"/>
                <w:color w:val="auto"/>
                <w:sz w:val="20"/>
              </w:rPr>
              <w:t>19.7</w:t>
            </w:r>
          </w:p>
        </w:tc>
        <w:tc>
          <w:tcPr>
            <w:tcW w:w="181" w:type="pct"/>
            <w:shd w:val="clear" w:color="auto" w:fill="auto"/>
            <w:tcMar>
              <w:top w:w="0" w:type="dxa"/>
              <w:left w:w="0" w:type="dxa"/>
              <w:bottom w:w="0" w:type="dxa"/>
              <w:right w:w="0" w:type="dxa"/>
            </w:tcMar>
            <w:vAlign w:val="center"/>
          </w:tcPr>
          <w:p w14:paraId="7563CE44">
            <w:pPr>
              <w:jc w:val="center"/>
              <w:rPr>
                <w:color w:val="auto"/>
              </w:rPr>
            </w:pPr>
            <w:r>
              <w:rPr>
                <w:rFonts w:eastAsia="Arial"/>
                <w:color w:val="auto"/>
                <w:sz w:val="20"/>
              </w:rPr>
              <w:t>19.6</w:t>
            </w:r>
          </w:p>
        </w:tc>
        <w:tc>
          <w:tcPr>
            <w:tcW w:w="181" w:type="pct"/>
            <w:shd w:val="clear" w:color="auto" w:fill="auto"/>
            <w:tcMar>
              <w:top w:w="0" w:type="dxa"/>
              <w:left w:w="0" w:type="dxa"/>
              <w:bottom w:w="0" w:type="dxa"/>
              <w:right w:w="0" w:type="dxa"/>
            </w:tcMar>
            <w:vAlign w:val="center"/>
          </w:tcPr>
          <w:p w14:paraId="6C565C62">
            <w:pPr>
              <w:jc w:val="center"/>
              <w:rPr>
                <w:color w:val="auto"/>
              </w:rPr>
            </w:pPr>
            <w:r>
              <w:rPr>
                <w:rFonts w:eastAsia="Arial"/>
                <w:color w:val="auto"/>
                <w:sz w:val="20"/>
              </w:rPr>
              <w:t>19.6</w:t>
            </w:r>
          </w:p>
        </w:tc>
        <w:tc>
          <w:tcPr>
            <w:tcW w:w="260" w:type="pct"/>
            <w:shd w:val="clear" w:color="auto" w:fill="auto"/>
            <w:tcMar>
              <w:top w:w="0" w:type="dxa"/>
              <w:left w:w="0" w:type="dxa"/>
              <w:bottom w:w="0" w:type="dxa"/>
              <w:right w:w="0" w:type="dxa"/>
            </w:tcMar>
            <w:vAlign w:val="center"/>
          </w:tcPr>
          <w:p w14:paraId="689620B5">
            <w:pPr>
              <w:jc w:val="center"/>
              <w:rPr>
                <w:color w:val="auto"/>
              </w:rPr>
            </w:pPr>
            <w:r>
              <w:rPr>
                <w:rFonts w:eastAsia="Arial"/>
                <w:color w:val="auto"/>
                <w:sz w:val="20"/>
              </w:rPr>
              <w:t>1</w:t>
            </w:r>
          </w:p>
        </w:tc>
      </w:tr>
      <w:tr w14:paraId="1D8AF8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continue"/>
            <w:shd w:val="clear" w:color="auto" w:fill="auto"/>
            <w:tcMar>
              <w:top w:w="0" w:type="dxa"/>
              <w:left w:w="0" w:type="dxa"/>
              <w:bottom w:w="0" w:type="dxa"/>
              <w:right w:w="0" w:type="dxa"/>
            </w:tcMar>
            <w:vAlign w:val="center"/>
          </w:tcPr>
          <w:p w14:paraId="048D8A63">
            <w:pPr>
              <w:jc w:val="center"/>
              <w:rPr>
                <w:rFonts w:eastAsia="Arial"/>
                <w:color w:val="auto"/>
                <w:sz w:val="20"/>
              </w:rPr>
            </w:pPr>
          </w:p>
        </w:tc>
        <w:tc>
          <w:tcPr>
            <w:tcW w:w="193" w:type="pct"/>
            <w:vMerge w:val="continue"/>
            <w:shd w:val="clear" w:color="auto" w:fill="auto"/>
            <w:tcMar>
              <w:top w:w="0" w:type="dxa"/>
              <w:left w:w="0" w:type="dxa"/>
              <w:bottom w:w="0" w:type="dxa"/>
              <w:right w:w="0" w:type="dxa"/>
            </w:tcMar>
            <w:vAlign w:val="center"/>
          </w:tcPr>
          <w:p w14:paraId="3302E12B">
            <w:pPr>
              <w:jc w:val="center"/>
              <w:rPr>
                <w:color w:val="auto"/>
              </w:rPr>
            </w:pPr>
          </w:p>
        </w:tc>
        <w:tc>
          <w:tcPr>
            <w:tcW w:w="183" w:type="pct"/>
            <w:shd w:val="clear" w:color="auto" w:fill="auto"/>
            <w:tcMar>
              <w:top w:w="0" w:type="dxa"/>
              <w:left w:w="0" w:type="dxa"/>
              <w:bottom w:w="0" w:type="dxa"/>
              <w:right w:w="0" w:type="dxa"/>
            </w:tcMar>
            <w:vAlign w:val="center"/>
          </w:tcPr>
          <w:p w14:paraId="29C056AB">
            <w:pPr>
              <w:jc w:val="center"/>
              <w:rPr>
                <w:rFonts w:eastAsia="Arial"/>
                <w:color w:val="auto"/>
                <w:sz w:val="20"/>
              </w:rPr>
            </w:pPr>
            <w:r>
              <w:rPr>
                <w:rFonts w:eastAsia="Arial"/>
                <w:color w:val="auto"/>
                <w:sz w:val="20"/>
              </w:rPr>
              <w:t>水帘离心泵</w:t>
            </w:r>
          </w:p>
        </w:tc>
        <w:tc>
          <w:tcPr>
            <w:tcW w:w="150" w:type="pct"/>
            <w:shd w:val="clear" w:color="auto" w:fill="auto"/>
            <w:tcMar>
              <w:top w:w="0" w:type="dxa"/>
              <w:left w:w="0" w:type="dxa"/>
              <w:bottom w:w="0" w:type="dxa"/>
              <w:right w:w="0" w:type="dxa"/>
            </w:tcMar>
            <w:vAlign w:val="center"/>
          </w:tcPr>
          <w:p w14:paraId="2FC58D7D">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4E761228">
            <w:pPr>
              <w:jc w:val="center"/>
              <w:rPr>
                <w:rFonts w:eastAsia="Arial"/>
                <w:color w:val="auto"/>
                <w:sz w:val="20"/>
              </w:rPr>
            </w:pPr>
            <w:r>
              <w:rPr>
                <w:rFonts w:eastAsia="Arial"/>
                <w:color w:val="auto"/>
                <w:sz w:val="20"/>
              </w:rPr>
              <w:t>85</w:t>
            </w:r>
          </w:p>
        </w:tc>
        <w:tc>
          <w:tcPr>
            <w:tcW w:w="193" w:type="pct"/>
            <w:shd w:val="clear" w:color="auto" w:fill="auto"/>
            <w:tcMar>
              <w:top w:w="0" w:type="dxa"/>
              <w:left w:w="0" w:type="dxa"/>
              <w:bottom w:w="0" w:type="dxa"/>
              <w:right w:w="0" w:type="dxa"/>
            </w:tcMar>
            <w:vAlign w:val="center"/>
          </w:tcPr>
          <w:p w14:paraId="657B4475">
            <w:pPr>
              <w:jc w:val="center"/>
              <w:rPr>
                <w:color w:val="auto"/>
              </w:rPr>
            </w:pPr>
            <w:r>
              <w:rPr>
                <w:color w:val="auto"/>
                <w:szCs w:val="21"/>
                <w:shd w:val="clear" w:color="auto" w:fill="FFFFFF"/>
              </w:rPr>
              <w:t>选低噪声设备、独立设备房，房间隔声</w:t>
            </w:r>
          </w:p>
        </w:tc>
        <w:tc>
          <w:tcPr>
            <w:tcW w:w="215" w:type="pct"/>
            <w:shd w:val="clear" w:color="auto" w:fill="auto"/>
            <w:tcMar>
              <w:top w:w="0" w:type="dxa"/>
              <w:left w:w="0" w:type="dxa"/>
              <w:bottom w:w="0" w:type="dxa"/>
              <w:right w:w="0" w:type="dxa"/>
            </w:tcMar>
            <w:vAlign w:val="center"/>
          </w:tcPr>
          <w:p w14:paraId="29049B73">
            <w:pPr>
              <w:jc w:val="center"/>
              <w:rPr>
                <w:rFonts w:eastAsia="Arial"/>
                <w:color w:val="auto"/>
                <w:sz w:val="20"/>
              </w:rPr>
            </w:pPr>
            <w:r>
              <w:rPr>
                <w:rFonts w:eastAsia="Arial"/>
                <w:color w:val="auto"/>
                <w:sz w:val="20"/>
              </w:rPr>
              <w:t>56.9</w:t>
            </w:r>
          </w:p>
        </w:tc>
        <w:tc>
          <w:tcPr>
            <w:tcW w:w="215" w:type="pct"/>
            <w:shd w:val="clear" w:color="auto" w:fill="auto"/>
            <w:tcMar>
              <w:top w:w="0" w:type="dxa"/>
              <w:left w:w="0" w:type="dxa"/>
              <w:bottom w:w="0" w:type="dxa"/>
              <w:right w:w="0" w:type="dxa"/>
            </w:tcMar>
            <w:vAlign w:val="center"/>
          </w:tcPr>
          <w:p w14:paraId="1D5A9912">
            <w:pPr>
              <w:jc w:val="center"/>
              <w:rPr>
                <w:rFonts w:eastAsia="Arial"/>
                <w:color w:val="auto"/>
                <w:sz w:val="20"/>
              </w:rPr>
            </w:pPr>
            <w:r>
              <w:rPr>
                <w:rFonts w:eastAsia="Arial"/>
                <w:color w:val="auto"/>
                <w:sz w:val="20"/>
              </w:rPr>
              <w:t>84.3</w:t>
            </w:r>
          </w:p>
        </w:tc>
        <w:tc>
          <w:tcPr>
            <w:tcW w:w="219" w:type="pct"/>
            <w:shd w:val="clear" w:color="auto" w:fill="auto"/>
            <w:tcMar>
              <w:top w:w="0" w:type="dxa"/>
              <w:left w:w="0" w:type="dxa"/>
              <w:bottom w:w="0" w:type="dxa"/>
              <w:right w:w="0" w:type="dxa"/>
            </w:tcMar>
            <w:vAlign w:val="center"/>
          </w:tcPr>
          <w:p w14:paraId="121E8B0D">
            <w:pPr>
              <w:jc w:val="center"/>
              <w:rPr>
                <w:rFonts w:eastAsia="Arial"/>
                <w:color w:val="auto"/>
                <w:sz w:val="20"/>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34C4F0FF">
            <w:pPr>
              <w:jc w:val="center"/>
              <w:rPr>
                <w:rFonts w:eastAsia="Arial"/>
                <w:color w:val="auto"/>
                <w:sz w:val="20"/>
              </w:rPr>
            </w:pPr>
            <w:r>
              <w:rPr>
                <w:rFonts w:eastAsia="Arial"/>
                <w:color w:val="auto"/>
                <w:sz w:val="20"/>
              </w:rPr>
              <w:t>93.6</w:t>
            </w:r>
          </w:p>
        </w:tc>
        <w:tc>
          <w:tcPr>
            <w:tcW w:w="178" w:type="pct"/>
            <w:shd w:val="clear" w:color="auto" w:fill="auto"/>
            <w:tcMar>
              <w:top w:w="0" w:type="dxa"/>
              <w:left w:w="0" w:type="dxa"/>
              <w:bottom w:w="0" w:type="dxa"/>
              <w:right w:w="0" w:type="dxa"/>
            </w:tcMar>
            <w:vAlign w:val="center"/>
          </w:tcPr>
          <w:p w14:paraId="6AC19398">
            <w:pPr>
              <w:jc w:val="center"/>
              <w:rPr>
                <w:rFonts w:eastAsia="Arial"/>
                <w:color w:val="auto"/>
                <w:sz w:val="20"/>
              </w:rPr>
            </w:pPr>
            <w:r>
              <w:rPr>
                <w:rFonts w:eastAsia="Arial"/>
                <w:color w:val="auto"/>
                <w:sz w:val="20"/>
              </w:rPr>
              <w:t>45.7</w:t>
            </w:r>
          </w:p>
        </w:tc>
        <w:tc>
          <w:tcPr>
            <w:tcW w:w="180" w:type="pct"/>
            <w:shd w:val="clear" w:color="auto" w:fill="auto"/>
            <w:tcMar>
              <w:top w:w="0" w:type="dxa"/>
              <w:left w:w="0" w:type="dxa"/>
              <w:bottom w:w="0" w:type="dxa"/>
              <w:right w:w="0" w:type="dxa"/>
            </w:tcMar>
            <w:vAlign w:val="center"/>
          </w:tcPr>
          <w:p w14:paraId="03AC0E75">
            <w:pPr>
              <w:jc w:val="center"/>
              <w:rPr>
                <w:rFonts w:eastAsia="Arial"/>
                <w:color w:val="auto"/>
                <w:sz w:val="20"/>
              </w:rPr>
            </w:pPr>
            <w:r>
              <w:rPr>
                <w:rFonts w:eastAsia="Arial"/>
                <w:color w:val="auto"/>
                <w:sz w:val="20"/>
              </w:rPr>
              <w:t>171.0</w:t>
            </w:r>
          </w:p>
        </w:tc>
        <w:tc>
          <w:tcPr>
            <w:tcW w:w="191" w:type="pct"/>
            <w:shd w:val="clear" w:color="auto" w:fill="auto"/>
            <w:tcMar>
              <w:top w:w="0" w:type="dxa"/>
              <w:left w:w="0" w:type="dxa"/>
              <w:bottom w:w="0" w:type="dxa"/>
              <w:right w:w="0" w:type="dxa"/>
            </w:tcMar>
            <w:vAlign w:val="center"/>
          </w:tcPr>
          <w:p w14:paraId="4D5747E7">
            <w:pPr>
              <w:jc w:val="center"/>
              <w:rPr>
                <w:rFonts w:eastAsia="Arial"/>
                <w:color w:val="auto"/>
                <w:sz w:val="20"/>
              </w:rPr>
            </w:pPr>
            <w:r>
              <w:rPr>
                <w:rFonts w:eastAsia="Arial"/>
                <w:color w:val="auto"/>
                <w:sz w:val="20"/>
              </w:rPr>
              <w:t>47.4</w:t>
            </w:r>
          </w:p>
        </w:tc>
        <w:tc>
          <w:tcPr>
            <w:tcW w:w="176" w:type="pct"/>
            <w:shd w:val="clear" w:color="auto" w:fill="auto"/>
            <w:tcMar>
              <w:top w:w="0" w:type="dxa"/>
              <w:left w:w="0" w:type="dxa"/>
              <w:bottom w:w="0" w:type="dxa"/>
              <w:right w:w="0" w:type="dxa"/>
            </w:tcMar>
            <w:vAlign w:val="center"/>
          </w:tcPr>
          <w:p w14:paraId="5794EE6F">
            <w:pPr>
              <w:jc w:val="center"/>
              <w:rPr>
                <w:rFonts w:eastAsia="Arial"/>
                <w:color w:val="auto"/>
                <w:sz w:val="20"/>
              </w:rPr>
            </w:pPr>
            <w:r>
              <w:rPr>
                <w:rFonts w:eastAsia="Arial"/>
                <w:color w:val="auto"/>
                <w:sz w:val="20"/>
              </w:rPr>
              <w:t>65.6</w:t>
            </w:r>
          </w:p>
        </w:tc>
        <w:tc>
          <w:tcPr>
            <w:tcW w:w="176" w:type="pct"/>
            <w:shd w:val="clear" w:color="auto" w:fill="auto"/>
            <w:tcMar>
              <w:top w:w="0" w:type="dxa"/>
              <w:left w:w="0" w:type="dxa"/>
              <w:bottom w:w="0" w:type="dxa"/>
              <w:right w:w="0" w:type="dxa"/>
            </w:tcMar>
            <w:vAlign w:val="center"/>
          </w:tcPr>
          <w:p w14:paraId="41EFD250">
            <w:pPr>
              <w:jc w:val="center"/>
              <w:rPr>
                <w:rFonts w:eastAsia="Arial"/>
                <w:color w:val="auto"/>
                <w:sz w:val="20"/>
              </w:rPr>
            </w:pPr>
            <w:r>
              <w:rPr>
                <w:rFonts w:eastAsia="Arial"/>
                <w:color w:val="auto"/>
                <w:sz w:val="20"/>
              </w:rPr>
              <w:t>65.6</w:t>
            </w:r>
          </w:p>
        </w:tc>
        <w:tc>
          <w:tcPr>
            <w:tcW w:w="176" w:type="pct"/>
            <w:shd w:val="clear" w:color="auto" w:fill="auto"/>
            <w:tcMar>
              <w:top w:w="0" w:type="dxa"/>
              <w:left w:w="0" w:type="dxa"/>
              <w:bottom w:w="0" w:type="dxa"/>
              <w:right w:w="0" w:type="dxa"/>
            </w:tcMar>
            <w:vAlign w:val="center"/>
          </w:tcPr>
          <w:p w14:paraId="27E44709">
            <w:pPr>
              <w:jc w:val="center"/>
              <w:rPr>
                <w:rFonts w:eastAsia="Arial"/>
                <w:color w:val="auto"/>
                <w:sz w:val="20"/>
              </w:rPr>
            </w:pPr>
            <w:r>
              <w:rPr>
                <w:rFonts w:eastAsia="Arial"/>
                <w:color w:val="auto"/>
                <w:sz w:val="20"/>
              </w:rPr>
              <w:t>65.6</w:t>
            </w:r>
          </w:p>
        </w:tc>
        <w:tc>
          <w:tcPr>
            <w:tcW w:w="178" w:type="pct"/>
            <w:shd w:val="clear" w:color="auto" w:fill="auto"/>
            <w:tcMar>
              <w:top w:w="0" w:type="dxa"/>
              <w:left w:w="0" w:type="dxa"/>
              <w:bottom w:w="0" w:type="dxa"/>
              <w:right w:w="0" w:type="dxa"/>
            </w:tcMar>
            <w:vAlign w:val="center"/>
          </w:tcPr>
          <w:p w14:paraId="124EB496">
            <w:pPr>
              <w:jc w:val="center"/>
              <w:rPr>
                <w:rFonts w:eastAsia="Arial"/>
                <w:color w:val="auto"/>
                <w:sz w:val="20"/>
              </w:rPr>
            </w:pPr>
            <w:r>
              <w:rPr>
                <w:rFonts w:eastAsia="Arial"/>
                <w:color w:val="auto"/>
                <w:sz w:val="20"/>
              </w:rPr>
              <w:t>65.6</w:t>
            </w:r>
          </w:p>
        </w:tc>
        <w:tc>
          <w:tcPr>
            <w:tcW w:w="152" w:type="pct"/>
            <w:shd w:val="clear" w:color="auto" w:fill="auto"/>
            <w:tcMar>
              <w:top w:w="0" w:type="dxa"/>
              <w:left w:w="0" w:type="dxa"/>
              <w:bottom w:w="0" w:type="dxa"/>
              <w:right w:w="0" w:type="dxa"/>
            </w:tcMar>
            <w:vAlign w:val="center"/>
          </w:tcPr>
          <w:p w14:paraId="6AA5A9B3">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420A5D65">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3181F04E">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61AD055D">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59522904">
            <w:pPr>
              <w:jc w:val="center"/>
              <w:rPr>
                <w:rFonts w:eastAsia="Arial"/>
                <w:color w:val="auto"/>
                <w:sz w:val="20"/>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6C113904">
            <w:pPr>
              <w:jc w:val="center"/>
              <w:rPr>
                <w:rFonts w:eastAsia="Arial"/>
                <w:color w:val="auto"/>
                <w:sz w:val="20"/>
              </w:rPr>
            </w:pPr>
            <w:r>
              <w:rPr>
                <w:rFonts w:eastAsia="Arial"/>
                <w:color w:val="auto"/>
                <w:sz w:val="20"/>
              </w:rPr>
              <w:t>24.6</w:t>
            </w:r>
          </w:p>
        </w:tc>
        <w:tc>
          <w:tcPr>
            <w:tcW w:w="181" w:type="pct"/>
            <w:shd w:val="clear" w:color="auto" w:fill="auto"/>
            <w:tcMar>
              <w:top w:w="0" w:type="dxa"/>
              <w:left w:w="0" w:type="dxa"/>
              <w:bottom w:w="0" w:type="dxa"/>
              <w:right w:w="0" w:type="dxa"/>
            </w:tcMar>
            <w:vAlign w:val="center"/>
          </w:tcPr>
          <w:p w14:paraId="34F7F537">
            <w:pPr>
              <w:jc w:val="center"/>
              <w:rPr>
                <w:rFonts w:eastAsia="Arial"/>
                <w:color w:val="auto"/>
                <w:sz w:val="20"/>
              </w:rPr>
            </w:pPr>
            <w:r>
              <w:rPr>
                <w:rFonts w:eastAsia="Arial"/>
                <w:color w:val="auto"/>
                <w:sz w:val="20"/>
              </w:rPr>
              <w:t>24.6</w:t>
            </w:r>
          </w:p>
        </w:tc>
        <w:tc>
          <w:tcPr>
            <w:tcW w:w="181" w:type="pct"/>
            <w:shd w:val="clear" w:color="auto" w:fill="auto"/>
            <w:tcMar>
              <w:top w:w="0" w:type="dxa"/>
              <w:left w:w="0" w:type="dxa"/>
              <w:bottom w:w="0" w:type="dxa"/>
              <w:right w:w="0" w:type="dxa"/>
            </w:tcMar>
            <w:vAlign w:val="center"/>
          </w:tcPr>
          <w:p w14:paraId="4D73910B">
            <w:pPr>
              <w:jc w:val="center"/>
              <w:rPr>
                <w:rFonts w:eastAsia="Arial"/>
                <w:color w:val="auto"/>
                <w:sz w:val="20"/>
              </w:rPr>
            </w:pPr>
            <w:r>
              <w:rPr>
                <w:rFonts w:eastAsia="Arial"/>
                <w:color w:val="auto"/>
                <w:sz w:val="20"/>
              </w:rPr>
              <w:t>24.6</w:t>
            </w:r>
          </w:p>
        </w:tc>
        <w:tc>
          <w:tcPr>
            <w:tcW w:w="181" w:type="pct"/>
            <w:shd w:val="clear" w:color="auto" w:fill="auto"/>
            <w:tcMar>
              <w:top w:w="0" w:type="dxa"/>
              <w:left w:w="0" w:type="dxa"/>
              <w:bottom w:w="0" w:type="dxa"/>
              <w:right w:w="0" w:type="dxa"/>
            </w:tcMar>
            <w:vAlign w:val="center"/>
          </w:tcPr>
          <w:p w14:paraId="332A6BA6">
            <w:pPr>
              <w:jc w:val="center"/>
              <w:rPr>
                <w:rFonts w:eastAsia="Arial"/>
                <w:color w:val="auto"/>
                <w:sz w:val="20"/>
              </w:rPr>
            </w:pPr>
            <w:r>
              <w:rPr>
                <w:rFonts w:eastAsia="Arial"/>
                <w:color w:val="auto"/>
                <w:sz w:val="20"/>
              </w:rPr>
              <w:t>24.6</w:t>
            </w:r>
          </w:p>
        </w:tc>
        <w:tc>
          <w:tcPr>
            <w:tcW w:w="260" w:type="pct"/>
            <w:shd w:val="clear" w:color="auto" w:fill="auto"/>
            <w:tcMar>
              <w:top w:w="0" w:type="dxa"/>
              <w:left w:w="0" w:type="dxa"/>
              <w:bottom w:w="0" w:type="dxa"/>
              <w:right w:w="0" w:type="dxa"/>
            </w:tcMar>
            <w:vAlign w:val="center"/>
          </w:tcPr>
          <w:p w14:paraId="423CD820">
            <w:pPr>
              <w:jc w:val="center"/>
              <w:rPr>
                <w:rFonts w:eastAsia="Arial"/>
                <w:color w:val="auto"/>
                <w:sz w:val="20"/>
              </w:rPr>
            </w:pPr>
            <w:r>
              <w:rPr>
                <w:rFonts w:eastAsia="Arial"/>
                <w:color w:val="auto"/>
                <w:sz w:val="20"/>
              </w:rPr>
              <w:t>1</w:t>
            </w:r>
          </w:p>
        </w:tc>
      </w:tr>
      <w:tr w14:paraId="76FF08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continue"/>
            <w:shd w:val="clear" w:color="auto" w:fill="auto"/>
            <w:tcMar>
              <w:top w:w="0" w:type="dxa"/>
              <w:left w:w="0" w:type="dxa"/>
              <w:bottom w:w="0" w:type="dxa"/>
              <w:right w:w="0" w:type="dxa"/>
            </w:tcMar>
            <w:vAlign w:val="center"/>
          </w:tcPr>
          <w:p w14:paraId="0E89823E">
            <w:pPr>
              <w:jc w:val="center"/>
              <w:rPr>
                <w:rFonts w:eastAsia="Arial"/>
                <w:color w:val="auto"/>
                <w:sz w:val="20"/>
              </w:rPr>
            </w:pPr>
          </w:p>
        </w:tc>
        <w:tc>
          <w:tcPr>
            <w:tcW w:w="193" w:type="pct"/>
            <w:vMerge w:val="continue"/>
            <w:shd w:val="clear" w:color="auto" w:fill="auto"/>
            <w:tcMar>
              <w:top w:w="0" w:type="dxa"/>
              <w:left w:w="0" w:type="dxa"/>
              <w:bottom w:w="0" w:type="dxa"/>
              <w:right w:w="0" w:type="dxa"/>
            </w:tcMar>
            <w:vAlign w:val="center"/>
          </w:tcPr>
          <w:p w14:paraId="3F27EDCF">
            <w:pPr>
              <w:jc w:val="center"/>
              <w:rPr>
                <w:color w:val="auto"/>
              </w:rPr>
            </w:pPr>
          </w:p>
        </w:tc>
        <w:tc>
          <w:tcPr>
            <w:tcW w:w="183" w:type="pct"/>
            <w:shd w:val="clear" w:color="auto" w:fill="auto"/>
            <w:tcMar>
              <w:top w:w="0" w:type="dxa"/>
              <w:left w:w="0" w:type="dxa"/>
              <w:bottom w:w="0" w:type="dxa"/>
              <w:right w:w="0" w:type="dxa"/>
            </w:tcMar>
            <w:vAlign w:val="center"/>
          </w:tcPr>
          <w:p w14:paraId="535E45B6">
            <w:pPr>
              <w:jc w:val="center"/>
              <w:rPr>
                <w:rFonts w:eastAsia="Arial"/>
                <w:color w:val="auto"/>
                <w:sz w:val="20"/>
              </w:rPr>
            </w:pPr>
            <w:r>
              <w:rPr>
                <w:rFonts w:eastAsia="Arial"/>
                <w:color w:val="auto"/>
                <w:sz w:val="20"/>
              </w:rPr>
              <w:t>除粪系统齿轮电机</w:t>
            </w:r>
          </w:p>
        </w:tc>
        <w:tc>
          <w:tcPr>
            <w:tcW w:w="150" w:type="pct"/>
            <w:shd w:val="clear" w:color="auto" w:fill="auto"/>
            <w:tcMar>
              <w:top w:w="0" w:type="dxa"/>
              <w:left w:w="0" w:type="dxa"/>
              <w:bottom w:w="0" w:type="dxa"/>
              <w:right w:w="0" w:type="dxa"/>
            </w:tcMar>
            <w:vAlign w:val="center"/>
          </w:tcPr>
          <w:p w14:paraId="61984678">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6EDB0EF1">
            <w:pPr>
              <w:jc w:val="center"/>
              <w:rPr>
                <w:rFonts w:eastAsia="Arial"/>
                <w:color w:val="auto"/>
                <w:sz w:val="20"/>
              </w:rPr>
            </w:pPr>
            <w:r>
              <w:rPr>
                <w:rFonts w:eastAsia="Arial"/>
                <w:color w:val="auto"/>
                <w:sz w:val="20"/>
              </w:rPr>
              <w:t>80</w:t>
            </w:r>
          </w:p>
        </w:tc>
        <w:tc>
          <w:tcPr>
            <w:tcW w:w="193" w:type="pct"/>
            <w:shd w:val="clear" w:color="auto" w:fill="auto"/>
            <w:tcMar>
              <w:top w:w="0" w:type="dxa"/>
              <w:left w:w="0" w:type="dxa"/>
              <w:bottom w:w="0" w:type="dxa"/>
              <w:right w:w="0" w:type="dxa"/>
            </w:tcMar>
            <w:vAlign w:val="center"/>
          </w:tcPr>
          <w:p w14:paraId="6CBC3F54">
            <w:pPr>
              <w:jc w:val="center"/>
              <w:rPr>
                <w:color w:val="auto"/>
                <w:szCs w:val="21"/>
                <w:shd w:val="clear" w:color="auto" w:fill="FFFFFF"/>
              </w:rPr>
            </w:pPr>
            <w:r>
              <w:rPr>
                <w:color w:val="auto"/>
                <w:szCs w:val="21"/>
                <w:shd w:val="clear" w:color="auto" w:fill="FFFFFF"/>
              </w:rPr>
              <w:t>选低噪声设备，设减震基座</w:t>
            </w:r>
          </w:p>
        </w:tc>
        <w:tc>
          <w:tcPr>
            <w:tcW w:w="215" w:type="pct"/>
            <w:shd w:val="clear" w:color="auto" w:fill="auto"/>
            <w:tcMar>
              <w:top w:w="0" w:type="dxa"/>
              <w:left w:w="0" w:type="dxa"/>
              <w:bottom w:w="0" w:type="dxa"/>
              <w:right w:w="0" w:type="dxa"/>
            </w:tcMar>
            <w:vAlign w:val="center"/>
          </w:tcPr>
          <w:p w14:paraId="280242BA">
            <w:pPr>
              <w:jc w:val="center"/>
              <w:rPr>
                <w:rFonts w:eastAsia="Arial"/>
                <w:color w:val="auto"/>
                <w:sz w:val="20"/>
              </w:rPr>
            </w:pPr>
            <w:r>
              <w:rPr>
                <w:rFonts w:eastAsia="Arial"/>
                <w:color w:val="auto"/>
                <w:sz w:val="20"/>
              </w:rPr>
              <w:t>105.1</w:t>
            </w:r>
          </w:p>
        </w:tc>
        <w:tc>
          <w:tcPr>
            <w:tcW w:w="215" w:type="pct"/>
            <w:shd w:val="clear" w:color="auto" w:fill="auto"/>
            <w:tcMar>
              <w:top w:w="0" w:type="dxa"/>
              <w:left w:w="0" w:type="dxa"/>
              <w:bottom w:w="0" w:type="dxa"/>
              <w:right w:w="0" w:type="dxa"/>
            </w:tcMar>
            <w:vAlign w:val="center"/>
          </w:tcPr>
          <w:p w14:paraId="5D033ACC">
            <w:pPr>
              <w:jc w:val="center"/>
              <w:rPr>
                <w:rFonts w:eastAsia="Arial"/>
                <w:color w:val="auto"/>
                <w:sz w:val="20"/>
              </w:rPr>
            </w:pPr>
            <w:r>
              <w:rPr>
                <w:rFonts w:eastAsia="Arial"/>
                <w:color w:val="auto"/>
                <w:sz w:val="20"/>
              </w:rPr>
              <w:t>88.9</w:t>
            </w:r>
          </w:p>
        </w:tc>
        <w:tc>
          <w:tcPr>
            <w:tcW w:w="219" w:type="pct"/>
            <w:shd w:val="clear" w:color="auto" w:fill="auto"/>
            <w:tcMar>
              <w:top w:w="0" w:type="dxa"/>
              <w:left w:w="0" w:type="dxa"/>
              <w:bottom w:w="0" w:type="dxa"/>
              <w:right w:w="0" w:type="dxa"/>
            </w:tcMar>
            <w:vAlign w:val="center"/>
          </w:tcPr>
          <w:p w14:paraId="2DAB3BCF">
            <w:pPr>
              <w:jc w:val="center"/>
              <w:rPr>
                <w:rFonts w:eastAsia="Arial"/>
                <w:color w:val="auto"/>
                <w:sz w:val="20"/>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6E448B1A">
            <w:pPr>
              <w:jc w:val="center"/>
              <w:rPr>
                <w:rFonts w:eastAsia="Arial"/>
                <w:color w:val="auto"/>
                <w:sz w:val="20"/>
              </w:rPr>
            </w:pPr>
            <w:r>
              <w:rPr>
                <w:rFonts w:eastAsia="Arial"/>
                <w:color w:val="auto"/>
                <w:sz w:val="20"/>
              </w:rPr>
              <w:t>122.8</w:t>
            </w:r>
          </w:p>
        </w:tc>
        <w:tc>
          <w:tcPr>
            <w:tcW w:w="178" w:type="pct"/>
            <w:shd w:val="clear" w:color="auto" w:fill="auto"/>
            <w:tcMar>
              <w:top w:w="0" w:type="dxa"/>
              <w:left w:w="0" w:type="dxa"/>
              <w:bottom w:w="0" w:type="dxa"/>
              <w:right w:w="0" w:type="dxa"/>
            </w:tcMar>
            <w:vAlign w:val="center"/>
          </w:tcPr>
          <w:p w14:paraId="4D3A6878">
            <w:pPr>
              <w:jc w:val="center"/>
              <w:rPr>
                <w:rFonts w:eastAsia="Arial"/>
                <w:color w:val="auto"/>
                <w:sz w:val="20"/>
              </w:rPr>
            </w:pPr>
            <w:r>
              <w:rPr>
                <w:rFonts w:eastAsia="Arial"/>
                <w:color w:val="auto"/>
                <w:sz w:val="20"/>
              </w:rPr>
              <w:t>84.0</w:t>
            </w:r>
          </w:p>
        </w:tc>
        <w:tc>
          <w:tcPr>
            <w:tcW w:w="180" w:type="pct"/>
            <w:shd w:val="clear" w:color="auto" w:fill="auto"/>
            <w:tcMar>
              <w:top w:w="0" w:type="dxa"/>
              <w:left w:w="0" w:type="dxa"/>
              <w:bottom w:w="0" w:type="dxa"/>
              <w:right w:w="0" w:type="dxa"/>
            </w:tcMar>
            <w:vAlign w:val="center"/>
          </w:tcPr>
          <w:p w14:paraId="297AA356">
            <w:pPr>
              <w:jc w:val="center"/>
              <w:rPr>
                <w:rFonts w:eastAsia="Arial"/>
                <w:color w:val="auto"/>
                <w:sz w:val="20"/>
              </w:rPr>
            </w:pPr>
            <w:r>
              <w:rPr>
                <w:rFonts w:eastAsia="Arial"/>
                <w:color w:val="auto"/>
                <w:sz w:val="20"/>
              </w:rPr>
              <w:t>142.3</w:t>
            </w:r>
          </w:p>
        </w:tc>
        <w:tc>
          <w:tcPr>
            <w:tcW w:w="191" w:type="pct"/>
            <w:shd w:val="clear" w:color="auto" w:fill="auto"/>
            <w:tcMar>
              <w:top w:w="0" w:type="dxa"/>
              <w:left w:w="0" w:type="dxa"/>
              <w:bottom w:w="0" w:type="dxa"/>
              <w:right w:w="0" w:type="dxa"/>
            </w:tcMar>
            <w:vAlign w:val="center"/>
          </w:tcPr>
          <w:p w14:paraId="053BB77F">
            <w:pPr>
              <w:jc w:val="center"/>
              <w:rPr>
                <w:rFonts w:eastAsia="Arial"/>
                <w:color w:val="auto"/>
                <w:sz w:val="20"/>
              </w:rPr>
            </w:pPr>
            <w:r>
              <w:rPr>
                <w:rFonts w:eastAsia="Arial"/>
                <w:color w:val="auto"/>
                <w:sz w:val="20"/>
              </w:rPr>
              <w:t>9.4</w:t>
            </w:r>
          </w:p>
        </w:tc>
        <w:tc>
          <w:tcPr>
            <w:tcW w:w="176" w:type="pct"/>
            <w:shd w:val="clear" w:color="auto" w:fill="auto"/>
            <w:tcMar>
              <w:top w:w="0" w:type="dxa"/>
              <w:left w:w="0" w:type="dxa"/>
              <w:bottom w:w="0" w:type="dxa"/>
              <w:right w:w="0" w:type="dxa"/>
            </w:tcMar>
            <w:vAlign w:val="center"/>
          </w:tcPr>
          <w:p w14:paraId="6BE6F433">
            <w:pPr>
              <w:jc w:val="center"/>
              <w:rPr>
                <w:rFonts w:eastAsia="Arial"/>
                <w:color w:val="auto"/>
                <w:sz w:val="20"/>
              </w:rPr>
            </w:pPr>
            <w:r>
              <w:rPr>
                <w:rFonts w:eastAsia="Arial"/>
                <w:color w:val="auto"/>
                <w:sz w:val="20"/>
              </w:rPr>
              <w:t>60.6</w:t>
            </w:r>
          </w:p>
        </w:tc>
        <w:tc>
          <w:tcPr>
            <w:tcW w:w="176" w:type="pct"/>
            <w:shd w:val="clear" w:color="auto" w:fill="auto"/>
            <w:tcMar>
              <w:top w:w="0" w:type="dxa"/>
              <w:left w:w="0" w:type="dxa"/>
              <w:bottom w:w="0" w:type="dxa"/>
              <w:right w:w="0" w:type="dxa"/>
            </w:tcMar>
            <w:vAlign w:val="center"/>
          </w:tcPr>
          <w:p w14:paraId="2926C01D">
            <w:pPr>
              <w:jc w:val="center"/>
              <w:rPr>
                <w:rFonts w:eastAsia="Arial"/>
                <w:color w:val="auto"/>
                <w:sz w:val="20"/>
              </w:rPr>
            </w:pPr>
            <w:r>
              <w:rPr>
                <w:rFonts w:eastAsia="Arial"/>
                <w:color w:val="auto"/>
                <w:sz w:val="20"/>
              </w:rPr>
              <w:t>60.6</w:t>
            </w:r>
          </w:p>
        </w:tc>
        <w:tc>
          <w:tcPr>
            <w:tcW w:w="176" w:type="pct"/>
            <w:shd w:val="clear" w:color="auto" w:fill="auto"/>
            <w:tcMar>
              <w:top w:w="0" w:type="dxa"/>
              <w:left w:w="0" w:type="dxa"/>
              <w:bottom w:w="0" w:type="dxa"/>
              <w:right w:w="0" w:type="dxa"/>
            </w:tcMar>
            <w:vAlign w:val="center"/>
          </w:tcPr>
          <w:p w14:paraId="054FF503">
            <w:pPr>
              <w:jc w:val="center"/>
              <w:rPr>
                <w:rFonts w:eastAsia="Arial"/>
                <w:color w:val="auto"/>
                <w:sz w:val="20"/>
              </w:rPr>
            </w:pPr>
            <w:r>
              <w:rPr>
                <w:rFonts w:eastAsia="Arial"/>
                <w:color w:val="auto"/>
                <w:sz w:val="20"/>
              </w:rPr>
              <w:t>60.6</w:t>
            </w:r>
          </w:p>
        </w:tc>
        <w:tc>
          <w:tcPr>
            <w:tcW w:w="178" w:type="pct"/>
            <w:shd w:val="clear" w:color="auto" w:fill="auto"/>
            <w:tcMar>
              <w:top w:w="0" w:type="dxa"/>
              <w:left w:w="0" w:type="dxa"/>
              <w:bottom w:w="0" w:type="dxa"/>
              <w:right w:w="0" w:type="dxa"/>
            </w:tcMar>
            <w:vAlign w:val="center"/>
          </w:tcPr>
          <w:p w14:paraId="5B8DF7B4">
            <w:pPr>
              <w:jc w:val="center"/>
              <w:rPr>
                <w:rFonts w:eastAsia="Arial"/>
                <w:color w:val="auto"/>
                <w:sz w:val="20"/>
              </w:rPr>
            </w:pPr>
            <w:r>
              <w:rPr>
                <w:rFonts w:eastAsia="Arial"/>
                <w:color w:val="auto"/>
                <w:sz w:val="20"/>
              </w:rPr>
              <w:t>60.9</w:t>
            </w:r>
          </w:p>
        </w:tc>
        <w:tc>
          <w:tcPr>
            <w:tcW w:w="152" w:type="pct"/>
            <w:shd w:val="clear" w:color="auto" w:fill="auto"/>
            <w:tcMar>
              <w:top w:w="0" w:type="dxa"/>
              <w:left w:w="0" w:type="dxa"/>
              <w:bottom w:w="0" w:type="dxa"/>
              <w:right w:w="0" w:type="dxa"/>
            </w:tcMar>
            <w:vAlign w:val="center"/>
          </w:tcPr>
          <w:p w14:paraId="2766851E">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3B247F68">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62D31174">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20CAEFC1">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0AB5468C">
            <w:pPr>
              <w:jc w:val="center"/>
              <w:rPr>
                <w:rFonts w:eastAsia="Arial"/>
                <w:color w:val="auto"/>
                <w:sz w:val="20"/>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7E45E34C">
            <w:pPr>
              <w:jc w:val="center"/>
              <w:rPr>
                <w:rFonts w:eastAsia="Arial"/>
                <w:color w:val="auto"/>
                <w:sz w:val="20"/>
              </w:rPr>
            </w:pPr>
            <w:r>
              <w:rPr>
                <w:rFonts w:eastAsia="Arial"/>
                <w:color w:val="auto"/>
                <w:sz w:val="20"/>
              </w:rPr>
              <w:t>19.6</w:t>
            </w:r>
          </w:p>
        </w:tc>
        <w:tc>
          <w:tcPr>
            <w:tcW w:w="181" w:type="pct"/>
            <w:shd w:val="clear" w:color="auto" w:fill="auto"/>
            <w:tcMar>
              <w:top w:w="0" w:type="dxa"/>
              <w:left w:w="0" w:type="dxa"/>
              <w:bottom w:w="0" w:type="dxa"/>
              <w:right w:w="0" w:type="dxa"/>
            </w:tcMar>
            <w:vAlign w:val="center"/>
          </w:tcPr>
          <w:p w14:paraId="0C1131BE">
            <w:pPr>
              <w:jc w:val="center"/>
              <w:rPr>
                <w:rFonts w:eastAsia="Arial"/>
                <w:color w:val="auto"/>
                <w:sz w:val="20"/>
              </w:rPr>
            </w:pPr>
            <w:r>
              <w:rPr>
                <w:rFonts w:eastAsia="Arial"/>
                <w:color w:val="auto"/>
                <w:sz w:val="20"/>
              </w:rPr>
              <w:t>19.6</w:t>
            </w:r>
          </w:p>
        </w:tc>
        <w:tc>
          <w:tcPr>
            <w:tcW w:w="181" w:type="pct"/>
            <w:shd w:val="clear" w:color="auto" w:fill="auto"/>
            <w:tcMar>
              <w:top w:w="0" w:type="dxa"/>
              <w:left w:w="0" w:type="dxa"/>
              <w:bottom w:w="0" w:type="dxa"/>
              <w:right w:w="0" w:type="dxa"/>
            </w:tcMar>
            <w:vAlign w:val="center"/>
          </w:tcPr>
          <w:p w14:paraId="4B77A561">
            <w:pPr>
              <w:jc w:val="center"/>
              <w:rPr>
                <w:rFonts w:eastAsia="Arial"/>
                <w:color w:val="auto"/>
                <w:sz w:val="20"/>
              </w:rPr>
            </w:pPr>
            <w:r>
              <w:rPr>
                <w:rFonts w:eastAsia="Arial"/>
                <w:color w:val="auto"/>
                <w:sz w:val="20"/>
              </w:rPr>
              <w:t>19.6</w:t>
            </w:r>
          </w:p>
        </w:tc>
        <w:tc>
          <w:tcPr>
            <w:tcW w:w="181" w:type="pct"/>
            <w:shd w:val="clear" w:color="auto" w:fill="auto"/>
            <w:tcMar>
              <w:top w:w="0" w:type="dxa"/>
              <w:left w:w="0" w:type="dxa"/>
              <w:bottom w:w="0" w:type="dxa"/>
              <w:right w:w="0" w:type="dxa"/>
            </w:tcMar>
            <w:vAlign w:val="center"/>
          </w:tcPr>
          <w:p w14:paraId="1EAADCC6">
            <w:pPr>
              <w:jc w:val="center"/>
              <w:rPr>
                <w:rFonts w:eastAsia="Arial"/>
                <w:color w:val="auto"/>
                <w:sz w:val="20"/>
              </w:rPr>
            </w:pPr>
            <w:r>
              <w:rPr>
                <w:rFonts w:eastAsia="Arial"/>
                <w:color w:val="auto"/>
                <w:sz w:val="20"/>
              </w:rPr>
              <w:t>19.9</w:t>
            </w:r>
          </w:p>
        </w:tc>
        <w:tc>
          <w:tcPr>
            <w:tcW w:w="260" w:type="pct"/>
            <w:shd w:val="clear" w:color="auto" w:fill="auto"/>
            <w:tcMar>
              <w:top w:w="0" w:type="dxa"/>
              <w:left w:w="0" w:type="dxa"/>
              <w:bottom w:w="0" w:type="dxa"/>
              <w:right w:w="0" w:type="dxa"/>
            </w:tcMar>
            <w:vAlign w:val="center"/>
          </w:tcPr>
          <w:p w14:paraId="5C3CB900">
            <w:pPr>
              <w:jc w:val="center"/>
              <w:rPr>
                <w:rFonts w:eastAsia="Arial"/>
                <w:color w:val="auto"/>
                <w:sz w:val="20"/>
              </w:rPr>
            </w:pPr>
            <w:r>
              <w:rPr>
                <w:rFonts w:eastAsia="Arial"/>
                <w:color w:val="auto"/>
                <w:sz w:val="20"/>
              </w:rPr>
              <w:t>1</w:t>
            </w:r>
          </w:p>
        </w:tc>
      </w:tr>
      <w:tr w14:paraId="7369633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vMerge w:val="continue"/>
            <w:shd w:val="clear" w:color="auto" w:fill="auto"/>
            <w:tcMar>
              <w:top w:w="0" w:type="dxa"/>
              <w:left w:w="0" w:type="dxa"/>
              <w:bottom w:w="0" w:type="dxa"/>
              <w:right w:w="0" w:type="dxa"/>
            </w:tcMar>
            <w:vAlign w:val="center"/>
          </w:tcPr>
          <w:p w14:paraId="01C3C169">
            <w:pPr>
              <w:jc w:val="center"/>
              <w:rPr>
                <w:rFonts w:eastAsia="Arial"/>
                <w:color w:val="auto"/>
                <w:sz w:val="20"/>
              </w:rPr>
            </w:pPr>
          </w:p>
        </w:tc>
        <w:tc>
          <w:tcPr>
            <w:tcW w:w="193" w:type="pct"/>
            <w:vMerge w:val="continue"/>
            <w:shd w:val="clear" w:color="auto" w:fill="auto"/>
            <w:tcMar>
              <w:top w:w="0" w:type="dxa"/>
              <w:left w:w="0" w:type="dxa"/>
              <w:bottom w:w="0" w:type="dxa"/>
              <w:right w:w="0" w:type="dxa"/>
            </w:tcMar>
            <w:vAlign w:val="center"/>
          </w:tcPr>
          <w:p w14:paraId="38ED7AF1">
            <w:pPr>
              <w:jc w:val="center"/>
              <w:rPr>
                <w:color w:val="auto"/>
              </w:rPr>
            </w:pPr>
          </w:p>
        </w:tc>
        <w:tc>
          <w:tcPr>
            <w:tcW w:w="183" w:type="pct"/>
            <w:shd w:val="clear" w:color="auto" w:fill="auto"/>
            <w:tcMar>
              <w:top w:w="0" w:type="dxa"/>
              <w:left w:w="0" w:type="dxa"/>
              <w:bottom w:w="0" w:type="dxa"/>
              <w:right w:w="0" w:type="dxa"/>
            </w:tcMar>
            <w:vAlign w:val="center"/>
          </w:tcPr>
          <w:p w14:paraId="762B049D">
            <w:pPr>
              <w:jc w:val="center"/>
              <w:rPr>
                <w:rFonts w:eastAsia="Arial"/>
                <w:color w:val="auto"/>
                <w:sz w:val="20"/>
              </w:rPr>
            </w:pPr>
            <w:r>
              <w:rPr>
                <w:rFonts w:eastAsia="Arial"/>
                <w:color w:val="auto"/>
                <w:sz w:val="20"/>
              </w:rPr>
              <w:t>除粪系统驱动器</w:t>
            </w:r>
          </w:p>
        </w:tc>
        <w:tc>
          <w:tcPr>
            <w:tcW w:w="150" w:type="pct"/>
            <w:shd w:val="clear" w:color="auto" w:fill="auto"/>
            <w:tcMar>
              <w:top w:w="0" w:type="dxa"/>
              <w:left w:w="0" w:type="dxa"/>
              <w:bottom w:w="0" w:type="dxa"/>
              <w:right w:w="0" w:type="dxa"/>
            </w:tcMar>
            <w:vAlign w:val="center"/>
          </w:tcPr>
          <w:p w14:paraId="31065006">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1206E636">
            <w:pPr>
              <w:jc w:val="center"/>
              <w:rPr>
                <w:rFonts w:eastAsia="Arial"/>
                <w:color w:val="auto"/>
                <w:sz w:val="20"/>
              </w:rPr>
            </w:pPr>
            <w:r>
              <w:rPr>
                <w:rFonts w:eastAsia="Arial"/>
                <w:color w:val="auto"/>
                <w:sz w:val="20"/>
              </w:rPr>
              <w:t>75</w:t>
            </w:r>
          </w:p>
        </w:tc>
        <w:tc>
          <w:tcPr>
            <w:tcW w:w="193" w:type="pct"/>
            <w:shd w:val="clear" w:color="auto" w:fill="auto"/>
            <w:tcMar>
              <w:top w:w="0" w:type="dxa"/>
              <w:left w:w="0" w:type="dxa"/>
              <w:bottom w:w="0" w:type="dxa"/>
              <w:right w:w="0" w:type="dxa"/>
            </w:tcMar>
            <w:vAlign w:val="center"/>
          </w:tcPr>
          <w:p w14:paraId="222BE887">
            <w:pPr>
              <w:jc w:val="center"/>
              <w:rPr>
                <w:color w:val="auto"/>
                <w:szCs w:val="21"/>
                <w:shd w:val="clear" w:color="auto" w:fill="FFFFFF"/>
              </w:rPr>
            </w:pPr>
            <w:r>
              <w:rPr>
                <w:color w:val="auto"/>
                <w:szCs w:val="21"/>
                <w:shd w:val="clear" w:color="auto" w:fill="FFFFFF"/>
              </w:rPr>
              <w:t>选低噪声设备、隔声、消声</w:t>
            </w:r>
          </w:p>
        </w:tc>
        <w:tc>
          <w:tcPr>
            <w:tcW w:w="215" w:type="pct"/>
            <w:shd w:val="clear" w:color="auto" w:fill="auto"/>
            <w:tcMar>
              <w:top w:w="0" w:type="dxa"/>
              <w:left w:w="0" w:type="dxa"/>
              <w:bottom w:w="0" w:type="dxa"/>
              <w:right w:w="0" w:type="dxa"/>
            </w:tcMar>
            <w:vAlign w:val="center"/>
          </w:tcPr>
          <w:p w14:paraId="6B013440">
            <w:pPr>
              <w:jc w:val="center"/>
              <w:rPr>
                <w:rFonts w:eastAsia="Arial"/>
                <w:color w:val="auto"/>
                <w:sz w:val="20"/>
              </w:rPr>
            </w:pPr>
            <w:r>
              <w:rPr>
                <w:rFonts w:eastAsia="Arial"/>
                <w:color w:val="auto"/>
                <w:sz w:val="20"/>
              </w:rPr>
              <w:t>113.7</w:t>
            </w:r>
          </w:p>
        </w:tc>
        <w:tc>
          <w:tcPr>
            <w:tcW w:w="215" w:type="pct"/>
            <w:shd w:val="clear" w:color="auto" w:fill="auto"/>
            <w:tcMar>
              <w:top w:w="0" w:type="dxa"/>
              <w:left w:w="0" w:type="dxa"/>
              <w:bottom w:w="0" w:type="dxa"/>
              <w:right w:w="0" w:type="dxa"/>
            </w:tcMar>
            <w:vAlign w:val="center"/>
          </w:tcPr>
          <w:p w14:paraId="06132FFC">
            <w:pPr>
              <w:jc w:val="center"/>
              <w:rPr>
                <w:rFonts w:eastAsia="Arial"/>
                <w:color w:val="auto"/>
                <w:sz w:val="20"/>
              </w:rPr>
            </w:pPr>
            <w:r>
              <w:rPr>
                <w:rFonts w:eastAsia="Arial"/>
                <w:color w:val="auto"/>
                <w:sz w:val="20"/>
              </w:rPr>
              <w:t>76.1</w:t>
            </w:r>
          </w:p>
        </w:tc>
        <w:tc>
          <w:tcPr>
            <w:tcW w:w="219" w:type="pct"/>
            <w:shd w:val="clear" w:color="auto" w:fill="auto"/>
            <w:tcMar>
              <w:top w:w="0" w:type="dxa"/>
              <w:left w:w="0" w:type="dxa"/>
              <w:bottom w:w="0" w:type="dxa"/>
              <w:right w:w="0" w:type="dxa"/>
            </w:tcMar>
            <w:vAlign w:val="center"/>
          </w:tcPr>
          <w:p w14:paraId="004EE8E3">
            <w:pPr>
              <w:jc w:val="center"/>
              <w:rPr>
                <w:rFonts w:eastAsia="Arial"/>
                <w:color w:val="auto"/>
                <w:sz w:val="20"/>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20408743">
            <w:pPr>
              <w:jc w:val="center"/>
              <w:rPr>
                <w:rFonts w:eastAsia="Arial"/>
                <w:color w:val="auto"/>
                <w:sz w:val="20"/>
              </w:rPr>
            </w:pPr>
            <w:r>
              <w:rPr>
                <w:rFonts w:eastAsia="Arial"/>
                <w:color w:val="auto"/>
                <w:sz w:val="20"/>
              </w:rPr>
              <w:t>138.0</w:t>
            </w:r>
          </w:p>
        </w:tc>
        <w:tc>
          <w:tcPr>
            <w:tcW w:w="178" w:type="pct"/>
            <w:shd w:val="clear" w:color="auto" w:fill="auto"/>
            <w:tcMar>
              <w:top w:w="0" w:type="dxa"/>
              <w:left w:w="0" w:type="dxa"/>
              <w:bottom w:w="0" w:type="dxa"/>
              <w:right w:w="0" w:type="dxa"/>
            </w:tcMar>
            <w:vAlign w:val="center"/>
          </w:tcPr>
          <w:p w14:paraId="2E27012F">
            <w:pPr>
              <w:jc w:val="center"/>
              <w:rPr>
                <w:rFonts w:eastAsia="Arial"/>
                <w:color w:val="auto"/>
                <w:sz w:val="20"/>
              </w:rPr>
            </w:pPr>
            <w:r>
              <w:rPr>
                <w:rFonts w:eastAsia="Arial"/>
                <w:color w:val="auto"/>
                <w:sz w:val="20"/>
              </w:rPr>
              <w:t>81.5</w:t>
            </w:r>
          </w:p>
        </w:tc>
        <w:tc>
          <w:tcPr>
            <w:tcW w:w="180" w:type="pct"/>
            <w:shd w:val="clear" w:color="auto" w:fill="auto"/>
            <w:tcMar>
              <w:top w:w="0" w:type="dxa"/>
              <w:left w:w="0" w:type="dxa"/>
              <w:bottom w:w="0" w:type="dxa"/>
              <w:right w:w="0" w:type="dxa"/>
            </w:tcMar>
            <w:vAlign w:val="center"/>
          </w:tcPr>
          <w:p w14:paraId="0CEDF6F5">
            <w:pPr>
              <w:jc w:val="center"/>
              <w:rPr>
                <w:rFonts w:eastAsia="Arial"/>
                <w:color w:val="auto"/>
                <w:sz w:val="20"/>
              </w:rPr>
            </w:pPr>
            <w:r>
              <w:rPr>
                <w:rFonts w:eastAsia="Arial"/>
                <w:color w:val="auto"/>
                <w:sz w:val="20"/>
              </w:rPr>
              <w:t>127.0</w:t>
            </w:r>
          </w:p>
        </w:tc>
        <w:tc>
          <w:tcPr>
            <w:tcW w:w="191" w:type="pct"/>
            <w:shd w:val="clear" w:color="auto" w:fill="auto"/>
            <w:tcMar>
              <w:top w:w="0" w:type="dxa"/>
              <w:left w:w="0" w:type="dxa"/>
              <w:bottom w:w="0" w:type="dxa"/>
              <w:right w:w="0" w:type="dxa"/>
            </w:tcMar>
            <w:vAlign w:val="center"/>
          </w:tcPr>
          <w:p w14:paraId="34E6DAE2">
            <w:pPr>
              <w:jc w:val="center"/>
              <w:rPr>
                <w:rFonts w:eastAsia="Arial"/>
                <w:color w:val="auto"/>
                <w:sz w:val="20"/>
              </w:rPr>
            </w:pPr>
            <w:r>
              <w:rPr>
                <w:rFonts w:eastAsia="Arial"/>
                <w:color w:val="auto"/>
                <w:sz w:val="20"/>
              </w:rPr>
              <w:t>12.0</w:t>
            </w:r>
          </w:p>
        </w:tc>
        <w:tc>
          <w:tcPr>
            <w:tcW w:w="176" w:type="pct"/>
            <w:shd w:val="clear" w:color="auto" w:fill="auto"/>
            <w:tcMar>
              <w:top w:w="0" w:type="dxa"/>
              <w:left w:w="0" w:type="dxa"/>
              <w:bottom w:w="0" w:type="dxa"/>
              <w:right w:w="0" w:type="dxa"/>
            </w:tcMar>
            <w:vAlign w:val="center"/>
          </w:tcPr>
          <w:p w14:paraId="0F6558B0">
            <w:pPr>
              <w:jc w:val="center"/>
              <w:rPr>
                <w:rFonts w:eastAsia="Arial"/>
                <w:color w:val="auto"/>
                <w:sz w:val="20"/>
              </w:rPr>
            </w:pPr>
            <w:r>
              <w:rPr>
                <w:rFonts w:eastAsia="Arial"/>
                <w:color w:val="auto"/>
                <w:sz w:val="20"/>
              </w:rPr>
              <w:t>55.6</w:t>
            </w:r>
          </w:p>
        </w:tc>
        <w:tc>
          <w:tcPr>
            <w:tcW w:w="176" w:type="pct"/>
            <w:shd w:val="clear" w:color="auto" w:fill="auto"/>
            <w:tcMar>
              <w:top w:w="0" w:type="dxa"/>
              <w:left w:w="0" w:type="dxa"/>
              <w:bottom w:w="0" w:type="dxa"/>
              <w:right w:w="0" w:type="dxa"/>
            </w:tcMar>
            <w:vAlign w:val="center"/>
          </w:tcPr>
          <w:p w14:paraId="59462410">
            <w:pPr>
              <w:jc w:val="center"/>
              <w:rPr>
                <w:rFonts w:eastAsia="Arial"/>
                <w:color w:val="auto"/>
                <w:sz w:val="20"/>
              </w:rPr>
            </w:pPr>
            <w:r>
              <w:rPr>
                <w:rFonts w:eastAsia="Arial"/>
                <w:color w:val="auto"/>
                <w:sz w:val="20"/>
              </w:rPr>
              <w:t>55.6</w:t>
            </w:r>
          </w:p>
        </w:tc>
        <w:tc>
          <w:tcPr>
            <w:tcW w:w="176" w:type="pct"/>
            <w:shd w:val="clear" w:color="auto" w:fill="auto"/>
            <w:tcMar>
              <w:top w:w="0" w:type="dxa"/>
              <w:left w:w="0" w:type="dxa"/>
              <w:bottom w:w="0" w:type="dxa"/>
              <w:right w:w="0" w:type="dxa"/>
            </w:tcMar>
            <w:vAlign w:val="center"/>
          </w:tcPr>
          <w:p w14:paraId="6850B52C">
            <w:pPr>
              <w:jc w:val="center"/>
              <w:rPr>
                <w:rFonts w:eastAsia="Arial"/>
                <w:color w:val="auto"/>
                <w:sz w:val="20"/>
              </w:rPr>
            </w:pPr>
            <w:r>
              <w:rPr>
                <w:rFonts w:eastAsia="Arial"/>
                <w:color w:val="auto"/>
                <w:sz w:val="20"/>
              </w:rPr>
              <w:t>55.6</w:t>
            </w:r>
          </w:p>
        </w:tc>
        <w:tc>
          <w:tcPr>
            <w:tcW w:w="178" w:type="pct"/>
            <w:shd w:val="clear" w:color="auto" w:fill="auto"/>
            <w:tcMar>
              <w:top w:w="0" w:type="dxa"/>
              <w:left w:w="0" w:type="dxa"/>
              <w:bottom w:w="0" w:type="dxa"/>
              <w:right w:w="0" w:type="dxa"/>
            </w:tcMar>
            <w:vAlign w:val="center"/>
          </w:tcPr>
          <w:p w14:paraId="2A30EB73">
            <w:pPr>
              <w:jc w:val="center"/>
              <w:rPr>
                <w:rFonts w:eastAsia="Arial"/>
                <w:color w:val="auto"/>
                <w:sz w:val="20"/>
              </w:rPr>
            </w:pPr>
            <w:r>
              <w:rPr>
                <w:rFonts w:eastAsia="Arial"/>
                <w:color w:val="auto"/>
                <w:sz w:val="20"/>
              </w:rPr>
              <w:t>55.8</w:t>
            </w:r>
          </w:p>
        </w:tc>
        <w:tc>
          <w:tcPr>
            <w:tcW w:w="152" w:type="pct"/>
            <w:shd w:val="clear" w:color="auto" w:fill="auto"/>
            <w:tcMar>
              <w:top w:w="0" w:type="dxa"/>
              <w:left w:w="0" w:type="dxa"/>
              <w:bottom w:w="0" w:type="dxa"/>
              <w:right w:w="0" w:type="dxa"/>
            </w:tcMar>
            <w:vAlign w:val="center"/>
          </w:tcPr>
          <w:p w14:paraId="2279897B">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7743B7DD">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3C0ADB0F">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192EF3BE">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2B973162">
            <w:pPr>
              <w:jc w:val="center"/>
              <w:rPr>
                <w:rFonts w:eastAsia="Arial"/>
                <w:color w:val="auto"/>
                <w:sz w:val="20"/>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7C0918C1">
            <w:pPr>
              <w:jc w:val="center"/>
              <w:rPr>
                <w:rFonts w:eastAsia="Arial"/>
                <w:color w:val="auto"/>
                <w:sz w:val="20"/>
              </w:rPr>
            </w:pPr>
            <w:r>
              <w:rPr>
                <w:rFonts w:eastAsia="Arial"/>
                <w:color w:val="auto"/>
                <w:sz w:val="20"/>
              </w:rPr>
              <w:t>14.6</w:t>
            </w:r>
          </w:p>
        </w:tc>
        <w:tc>
          <w:tcPr>
            <w:tcW w:w="181" w:type="pct"/>
            <w:shd w:val="clear" w:color="auto" w:fill="auto"/>
            <w:tcMar>
              <w:top w:w="0" w:type="dxa"/>
              <w:left w:w="0" w:type="dxa"/>
              <w:bottom w:w="0" w:type="dxa"/>
              <w:right w:w="0" w:type="dxa"/>
            </w:tcMar>
            <w:vAlign w:val="center"/>
          </w:tcPr>
          <w:p w14:paraId="61A5E4A0">
            <w:pPr>
              <w:jc w:val="center"/>
              <w:rPr>
                <w:rFonts w:eastAsia="Arial"/>
                <w:color w:val="auto"/>
                <w:sz w:val="20"/>
              </w:rPr>
            </w:pPr>
            <w:r>
              <w:rPr>
                <w:rFonts w:eastAsia="Arial"/>
                <w:color w:val="auto"/>
                <w:sz w:val="20"/>
              </w:rPr>
              <w:t>14.6</w:t>
            </w:r>
          </w:p>
        </w:tc>
        <w:tc>
          <w:tcPr>
            <w:tcW w:w="181" w:type="pct"/>
            <w:shd w:val="clear" w:color="auto" w:fill="auto"/>
            <w:tcMar>
              <w:top w:w="0" w:type="dxa"/>
              <w:left w:w="0" w:type="dxa"/>
              <w:bottom w:w="0" w:type="dxa"/>
              <w:right w:w="0" w:type="dxa"/>
            </w:tcMar>
            <w:vAlign w:val="center"/>
          </w:tcPr>
          <w:p w14:paraId="59CCD988">
            <w:pPr>
              <w:jc w:val="center"/>
              <w:rPr>
                <w:rFonts w:eastAsia="Arial"/>
                <w:color w:val="auto"/>
                <w:sz w:val="20"/>
              </w:rPr>
            </w:pPr>
            <w:r>
              <w:rPr>
                <w:rFonts w:eastAsia="Arial"/>
                <w:color w:val="auto"/>
                <w:sz w:val="20"/>
              </w:rPr>
              <w:t>14.6</w:t>
            </w:r>
          </w:p>
        </w:tc>
        <w:tc>
          <w:tcPr>
            <w:tcW w:w="181" w:type="pct"/>
            <w:shd w:val="clear" w:color="auto" w:fill="auto"/>
            <w:tcMar>
              <w:top w:w="0" w:type="dxa"/>
              <w:left w:w="0" w:type="dxa"/>
              <w:bottom w:w="0" w:type="dxa"/>
              <w:right w:w="0" w:type="dxa"/>
            </w:tcMar>
            <w:vAlign w:val="center"/>
          </w:tcPr>
          <w:p w14:paraId="0A6AB56F">
            <w:pPr>
              <w:jc w:val="center"/>
              <w:rPr>
                <w:rFonts w:eastAsia="Arial"/>
                <w:color w:val="auto"/>
                <w:sz w:val="20"/>
              </w:rPr>
            </w:pPr>
            <w:r>
              <w:rPr>
                <w:rFonts w:eastAsia="Arial"/>
                <w:color w:val="auto"/>
                <w:sz w:val="20"/>
              </w:rPr>
              <w:t>14.8</w:t>
            </w:r>
          </w:p>
        </w:tc>
        <w:tc>
          <w:tcPr>
            <w:tcW w:w="260" w:type="pct"/>
            <w:shd w:val="clear" w:color="auto" w:fill="auto"/>
            <w:tcMar>
              <w:top w:w="0" w:type="dxa"/>
              <w:left w:w="0" w:type="dxa"/>
              <w:bottom w:w="0" w:type="dxa"/>
              <w:right w:w="0" w:type="dxa"/>
            </w:tcMar>
            <w:vAlign w:val="center"/>
          </w:tcPr>
          <w:p w14:paraId="1D7E9E2E">
            <w:pPr>
              <w:jc w:val="center"/>
              <w:rPr>
                <w:rFonts w:eastAsia="Arial"/>
                <w:color w:val="auto"/>
                <w:sz w:val="20"/>
              </w:rPr>
            </w:pPr>
            <w:r>
              <w:rPr>
                <w:rFonts w:eastAsia="Arial"/>
                <w:color w:val="auto"/>
                <w:sz w:val="20"/>
              </w:rPr>
              <w:t>1</w:t>
            </w:r>
          </w:p>
        </w:tc>
      </w:tr>
      <w:tr w14:paraId="1D8FEA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shd w:val="clear" w:color="auto" w:fill="auto"/>
            <w:tcMar>
              <w:top w:w="0" w:type="dxa"/>
              <w:left w:w="0" w:type="dxa"/>
              <w:bottom w:w="0" w:type="dxa"/>
              <w:right w:w="0" w:type="dxa"/>
            </w:tcMar>
            <w:vAlign w:val="center"/>
          </w:tcPr>
          <w:p w14:paraId="72F2757E">
            <w:pPr>
              <w:jc w:val="center"/>
              <w:rPr>
                <w:rFonts w:hint="eastAsia" w:eastAsia="宋体"/>
                <w:color w:val="auto"/>
                <w:sz w:val="20"/>
                <w:lang w:val="en-US" w:eastAsia="zh-CN"/>
              </w:rPr>
            </w:pPr>
            <w:r>
              <w:rPr>
                <w:rFonts w:hint="eastAsia" w:eastAsia="宋体"/>
                <w:color w:val="auto"/>
                <w:sz w:val="20"/>
                <w:lang w:val="en-US" w:eastAsia="zh-CN"/>
              </w:rPr>
              <w:t>2</w:t>
            </w:r>
          </w:p>
        </w:tc>
        <w:tc>
          <w:tcPr>
            <w:tcW w:w="193" w:type="pct"/>
            <w:shd w:val="clear" w:color="auto" w:fill="auto"/>
            <w:tcMar>
              <w:top w:w="0" w:type="dxa"/>
              <w:left w:w="0" w:type="dxa"/>
              <w:bottom w:w="0" w:type="dxa"/>
              <w:right w:w="0" w:type="dxa"/>
            </w:tcMar>
            <w:vAlign w:val="center"/>
          </w:tcPr>
          <w:p w14:paraId="190E527C">
            <w:pPr>
              <w:jc w:val="center"/>
              <w:rPr>
                <w:rFonts w:hint="eastAsia" w:eastAsia="宋体"/>
                <w:color w:val="auto"/>
                <w:lang w:eastAsia="zh-CN"/>
              </w:rPr>
            </w:pPr>
            <w:r>
              <w:rPr>
                <w:rFonts w:hint="eastAsia"/>
                <w:color w:val="auto"/>
                <w:lang w:eastAsia="zh-CN"/>
              </w:rPr>
              <w:t>水塔</w:t>
            </w:r>
          </w:p>
        </w:tc>
        <w:tc>
          <w:tcPr>
            <w:tcW w:w="183" w:type="pct"/>
            <w:shd w:val="clear" w:color="auto" w:fill="auto"/>
            <w:tcMar>
              <w:top w:w="0" w:type="dxa"/>
              <w:left w:w="0" w:type="dxa"/>
              <w:bottom w:w="0" w:type="dxa"/>
              <w:right w:w="0" w:type="dxa"/>
            </w:tcMar>
            <w:vAlign w:val="center"/>
          </w:tcPr>
          <w:p w14:paraId="41CAAF76">
            <w:pPr>
              <w:jc w:val="center"/>
              <w:rPr>
                <w:rFonts w:eastAsia="Arial"/>
                <w:color w:val="auto"/>
                <w:sz w:val="20"/>
              </w:rPr>
            </w:pPr>
            <w:r>
              <w:rPr>
                <w:rFonts w:eastAsia="Arial"/>
                <w:color w:val="auto"/>
                <w:sz w:val="20"/>
              </w:rPr>
              <w:t>水泵</w:t>
            </w:r>
          </w:p>
        </w:tc>
        <w:tc>
          <w:tcPr>
            <w:tcW w:w="150" w:type="pct"/>
            <w:shd w:val="clear" w:color="auto" w:fill="auto"/>
            <w:tcMar>
              <w:top w:w="0" w:type="dxa"/>
              <w:left w:w="0" w:type="dxa"/>
              <w:bottom w:w="0" w:type="dxa"/>
              <w:right w:w="0" w:type="dxa"/>
            </w:tcMar>
            <w:vAlign w:val="center"/>
          </w:tcPr>
          <w:p w14:paraId="6BD03F32">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3466C294">
            <w:pPr>
              <w:jc w:val="center"/>
              <w:rPr>
                <w:rFonts w:eastAsia="Arial"/>
                <w:color w:val="auto"/>
                <w:sz w:val="20"/>
              </w:rPr>
            </w:pPr>
            <w:r>
              <w:rPr>
                <w:rFonts w:eastAsia="Arial"/>
                <w:color w:val="auto"/>
                <w:sz w:val="20"/>
              </w:rPr>
              <w:t>90</w:t>
            </w:r>
          </w:p>
        </w:tc>
        <w:tc>
          <w:tcPr>
            <w:tcW w:w="193" w:type="pct"/>
            <w:shd w:val="clear" w:color="auto" w:fill="auto"/>
            <w:tcMar>
              <w:top w:w="0" w:type="dxa"/>
              <w:left w:w="0" w:type="dxa"/>
              <w:bottom w:w="0" w:type="dxa"/>
              <w:right w:w="0" w:type="dxa"/>
            </w:tcMar>
            <w:vAlign w:val="center"/>
          </w:tcPr>
          <w:p w14:paraId="063CA575">
            <w:pPr>
              <w:pStyle w:val="25"/>
              <w:ind w:left="0" w:leftChars="0" w:firstLine="0" w:firstLineChars="0"/>
              <w:jc w:val="center"/>
              <w:rPr>
                <w:color w:val="auto"/>
                <w:szCs w:val="21"/>
                <w:shd w:val="clear" w:color="auto" w:fill="FFFFFF"/>
              </w:rPr>
            </w:pPr>
            <w:r>
              <w:rPr>
                <w:color w:val="auto"/>
                <w:szCs w:val="21"/>
                <w:shd w:val="clear" w:color="auto" w:fill="FFFFFF"/>
              </w:rPr>
              <w:t>选低噪声设备、独立设备房，房间隔声</w:t>
            </w:r>
          </w:p>
        </w:tc>
        <w:tc>
          <w:tcPr>
            <w:tcW w:w="215" w:type="pct"/>
            <w:shd w:val="clear" w:color="auto" w:fill="auto"/>
            <w:tcMar>
              <w:top w:w="0" w:type="dxa"/>
              <w:left w:w="0" w:type="dxa"/>
              <w:bottom w:w="0" w:type="dxa"/>
              <w:right w:w="0" w:type="dxa"/>
            </w:tcMar>
            <w:vAlign w:val="center"/>
          </w:tcPr>
          <w:p w14:paraId="3CA4DDAB">
            <w:pPr>
              <w:jc w:val="center"/>
              <w:rPr>
                <w:rFonts w:eastAsia="Arial"/>
                <w:color w:val="auto"/>
                <w:sz w:val="20"/>
              </w:rPr>
            </w:pPr>
            <w:r>
              <w:rPr>
                <w:rFonts w:eastAsia="Arial"/>
                <w:color w:val="auto"/>
                <w:sz w:val="20"/>
              </w:rPr>
              <w:t>-174.9</w:t>
            </w:r>
          </w:p>
        </w:tc>
        <w:tc>
          <w:tcPr>
            <w:tcW w:w="215" w:type="pct"/>
            <w:shd w:val="clear" w:color="auto" w:fill="auto"/>
            <w:tcMar>
              <w:top w:w="0" w:type="dxa"/>
              <w:left w:w="0" w:type="dxa"/>
              <w:bottom w:w="0" w:type="dxa"/>
              <w:right w:w="0" w:type="dxa"/>
            </w:tcMar>
            <w:vAlign w:val="center"/>
          </w:tcPr>
          <w:p w14:paraId="3762B432">
            <w:pPr>
              <w:jc w:val="center"/>
              <w:rPr>
                <w:rFonts w:eastAsia="Arial"/>
                <w:color w:val="auto"/>
                <w:sz w:val="20"/>
              </w:rPr>
            </w:pPr>
            <w:r>
              <w:rPr>
                <w:rFonts w:eastAsia="Arial"/>
                <w:color w:val="auto"/>
                <w:sz w:val="20"/>
              </w:rPr>
              <w:t>-47.9</w:t>
            </w:r>
          </w:p>
        </w:tc>
        <w:tc>
          <w:tcPr>
            <w:tcW w:w="219" w:type="pct"/>
            <w:shd w:val="clear" w:color="auto" w:fill="auto"/>
            <w:tcMar>
              <w:top w:w="0" w:type="dxa"/>
              <w:left w:w="0" w:type="dxa"/>
              <w:bottom w:w="0" w:type="dxa"/>
              <w:right w:w="0" w:type="dxa"/>
            </w:tcMar>
            <w:vAlign w:val="center"/>
          </w:tcPr>
          <w:p w14:paraId="546AD343">
            <w:pPr>
              <w:jc w:val="center"/>
              <w:rPr>
                <w:rFonts w:eastAsia="Arial"/>
                <w:color w:val="auto"/>
                <w:sz w:val="20"/>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3F659449">
            <w:pPr>
              <w:jc w:val="center"/>
              <w:rPr>
                <w:rFonts w:eastAsia="Arial"/>
                <w:color w:val="auto"/>
                <w:sz w:val="20"/>
              </w:rPr>
            </w:pPr>
            <w:r>
              <w:rPr>
                <w:rFonts w:eastAsia="Arial"/>
                <w:color w:val="auto"/>
                <w:sz w:val="20"/>
              </w:rPr>
              <w:t>17.7</w:t>
            </w:r>
          </w:p>
        </w:tc>
        <w:tc>
          <w:tcPr>
            <w:tcW w:w="178" w:type="pct"/>
            <w:shd w:val="clear" w:color="auto" w:fill="auto"/>
            <w:tcMar>
              <w:top w:w="0" w:type="dxa"/>
              <w:left w:w="0" w:type="dxa"/>
              <w:bottom w:w="0" w:type="dxa"/>
              <w:right w:w="0" w:type="dxa"/>
            </w:tcMar>
            <w:vAlign w:val="center"/>
          </w:tcPr>
          <w:p w14:paraId="1140CC62">
            <w:pPr>
              <w:jc w:val="center"/>
              <w:rPr>
                <w:rFonts w:eastAsia="Arial"/>
                <w:color w:val="auto"/>
                <w:sz w:val="20"/>
              </w:rPr>
            </w:pPr>
            <w:r>
              <w:rPr>
                <w:rFonts w:eastAsia="Arial"/>
                <w:color w:val="auto"/>
                <w:sz w:val="20"/>
              </w:rPr>
              <w:t>9.6</w:t>
            </w:r>
          </w:p>
        </w:tc>
        <w:tc>
          <w:tcPr>
            <w:tcW w:w="180" w:type="pct"/>
            <w:shd w:val="clear" w:color="auto" w:fill="auto"/>
            <w:tcMar>
              <w:top w:w="0" w:type="dxa"/>
              <w:left w:w="0" w:type="dxa"/>
              <w:bottom w:w="0" w:type="dxa"/>
              <w:right w:w="0" w:type="dxa"/>
            </w:tcMar>
            <w:vAlign w:val="center"/>
          </w:tcPr>
          <w:p w14:paraId="4276A332">
            <w:pPr>
              <w:jc w:val="center"/>
              <w:rPr>
                <w:rFonts w:eastAsia="Arial"/>
                <w:color w:val="auto"/>
                <w:sz w:val="20"/>
              </w:rPr>
            </w:pPr>
            <w:r>
              <w:rPr>
                <w:rFonts w:eastAsia="Arial"/>
                <w:color w:val="auto"/>
                <w:sz w:val="20"/>
              </w:rPr>
              <w:t>25.5</w:t>
            </w:r>
          </w:p>
        </w:tc>
        <w:tc>
          <w:tcPr>
            <w:tcW w:w="191" w:type="pct"/>
            <w:shd w:val="clear" w:color="auto" w:fill="auto"/>
            <w:tcMar>
              <w:top w:w="0" w:type="dxa"/>
              <w:left w:w="0" w:type="dxa"/>
              <w:bottom w:w="0" w:type="dxa"/>
              <w:right w:w="0" w:type="dxa"/>
            </w:tcMar>
            <w:vAlign w:val="center"/>
          </w:tcPr>
          <w:p w14:paraId="3A96A1F5">
            <w:pPr>
              <w:jc w:val="center"/>
              <w:rPr>
                <w:rFonts w:eastAsia="Arial"/>
                <w:color w:val="auto"/>
                <w:sz w:val="20"/>
              </w:rPr>
            </w:pPr>
            <w:r>
              <w:rPr>
                <w:rFonts w:eastAsia="Arial"/>
                <w:color w:val="auto"/>
                <w:sz w:val="20"/>
              </w:rPr>
              <w:t>57.5</w:t>
            </w:r>
          </w:p>
        </w:tc>
        <w:tc>
          <w:tcPr>
            <w:tcW w:w="176" w:type="pct"/>
            <w:shd w:val="clear" w:color="auto" w:fill="auto"/>
            <w:tcMar>
              <w:top w:w="0" w:type="dxa"/>
              <w:left w:w="0" w:type="dxa"/>
              <w:bottom w:w="0" w:type="dxa"/>
              <w:right w:w="0" w:type="dxa"/>
            </w:tcMar>
            <w:vAlign w:val="center"/>
          </w:tcPr>
          <w:p w14:paraId="447BED97">
            <w:pPr>
              <w:jc w:val="center"/>
              <w:rPr>
                <w:rFonts w:eastAsia="Arial"/>
                <w:color w:val="auto"/>
                <w:sz w:val="20"/>
              </w:rPr>
            </w:pPr>
            <w:r>
              <w:rPr>
                <w:rFonts w:eastAsia="Arial"/>
                <w:color w:val="auto"/>
                <w:sz w:val="20"/>
              </w:rPr>
              <w:t>75.6</w:t>
            </w:r>
          </w:p>
        </w:tc>
        <w:tc>
          <w:tcPr>
            <w:tcW w:w="176" w:type="pct"/>
            <w:shd w:val="clear" w:color="auto" w:fill="auto"/>
            <w:tcMar>
              <w:top w:w="0" w:type="dxa"/>
              <w:left w:w="0" w:type="dxa"/>
              <w:bottom w:w="0" w:type="dxa"/>
              <w:right w:w="0" w:type="dxa"/>
            </w:tcMar>
            <w:vAlign w:val="center"/>
          </w:tcPr>
          <w:p w14:paraId="79405032">
            <w:pPr>
              <w:jc w:val="center"/>
              <w:rPr>
                <w:rFonts w:eastAsia="Arial"/>
                <w:color w:val="auto"/>
                <w:sz w:val="20"/>
              </w:rPr>
            </w:pPr>
            <w:r>
              <w:rPr>
                <w:rFonts w:eastAsia="Arial"/>
                <w:color w:val="auto"/>
                <w:sz w:val="20"/>
              </w:rPr>
              <w:t>75.6</w:t>
            </w:r>
          </w:p>
        </w:tc>
        <w:tc>
          <w:tcPr>
            <w:tcW w:w="176" w:type="pct"/>
            <w:shd w:val="clear" w:color="auto" w:fill="auto"/>
            <w:tcMar>
              <w:top w:w="0" w:type="dxa"/>
              <w:left w:w="0" w:type="dxa"/>
              <w:bottom w:w="0" w:type="dxa"/>
              <w:right w:w="0" w:type="dxa"/>
            </w:tcMar>
            <w:vAlign w:val="center"/>
          </w:tcPr>
          <w:p w14:paraId="717A9F99">
            <w:pPr>
              <w:jc w:val="center"/>
              <w:rPr>
                <w:rFonts w:eastAsia="Arial"/>
                <w:color w:val="auto"/>
                <w:sz w:val="20"/>
              </w:rPr>
            </w:pPr>
            <w:r>
              <w:rPr>
                <w:rFonts w:eastAsia="Arial"/>
                <w:color w:val="auto"/>
                <w:sz w:val="20"/>
              </w:rPr>
              <w:t>75.6</w:t>
            </w:r>
          </w:p>
        </w:tc>
        <w:tc>
          <w:tcPr>
            <w:tcW w:w="178" w:type="pct"/>
            <w:shd w:val="clear" w:color="auto" w:fill="auto"/>
            <w:tcMar>
              <w:top w:w="0" w:type="dxa"/>
              <w:left w:w="0" w:type="dxa"/>
              <w:bottom w:w="0" w:type="dxa"/>
              <w:right w:w="0" w:type="dxa"/>
            </w:tcMar>
            <w:vAlign w:val="center"/>
          </w:tcPr>
          <w:p w14:paraId="6D3BE738">
            <w:pPr>
              <w:jc w:val="center"/>
              <w:rPr>
                <w:rFonts w:eastAsia="Arial"/>
                <w:color w:val="auto"/>
                <w:sz w:val="20"/>
              </w:rPr>
            </w:pPr>
            <w:r>
              <w:rPr>
                <w:rFonts w:eastAsia="Arial"/>
                <w:color w:val="auto"/>
                <w:sz w:val="20"/>
              </w:rPr>
              <w:t>75.5</w:t>
            </w:r>
          </w:p>
        </w:tc>
        <w:tc>
          <w:tcPr>
            <w:tcW w:w="152" w:type="pct"/>
            <w:shd w:val="clear" w:color="auto" w:fill="auto"/>
            <w:tcMar>
              <w:top w:w="0" w:type="dxa"/>
              <w:left w:w="0" w:type="dxa"/>
              <w:bottom w:w="0" w:type="dxa"/>
              <w:right w:w="0" w:type="dxa"/>
            </w:tcMar>
            <w:vAlign w:val="center"/>
          </w:tcPr>
          <w:p w14:paraId="2956AA5B">
            <w:pPr>
              <w:jc w:val="center"/>
              <w:rPr>
                <w:color w:val="auto"/>
              </w:rPr>
            </w:pPr>
            <w:r>
              <w:rPr>
                <w:color w:val="auto"/>
              </w:rPr>
              <w:t>昼夜</w:t>
            </w:r>
          </w:p>
        </w:tc>
        <w:tc>
          <w:tcPr>
            <w:tcW w:w="170" w:type="pct"/>
            <w:shd w:val="clear" w:color="auto" w:fill="auto"/>
            <w:tcMar>
              <w:top w:w="0" w:type="dxa"/>
              <w:left w:w="0" w:type="dxa"/>
              <w:bottom w:w="0" w:type="dxa"/>
              <w:right w:w="0" w:type="dxa"/>
            </w:tcMar>
            <w:vAlign w:val="center"/>
          </w:tcPr>
          <w:p w14:paraId="341490B2">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46621E97">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1F94EBFA">
            <w:pPr>
              <w:jc w:val="center"/>
              <w:rPr>
                <w:rFonts w:eastAsia="Arial"/>
                <w:color w:val="auto"/>
                <w:sz w:val="20"/>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226671C7">
            <w:pPr>
              <w:jc w:val="center"/>
              <w:rPr>
                <w:rFonts w:eastAsia="Arial"/>
                <w:color w:val="auto"/>
                <w:sz w:val="20"/>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2C801346">
            <w:pPr>
              <w:jc w:val="center"/>
              <w:rPr>
                <w:rFonts w:eastAsia="Arial"/>
                <w:color w:val="auto"/>
                <w:sz w:val="20"/>
              </w:rPr>
            </w:pPr>
            <w:r>
              <w:rPr>
                <w:rFonts w:eastAsia="Arial"/>
                <w:color w:val="auto"/>
                <w:sz w:val="20"/>
              </w:rPr>
              <w:t>34.6</w:t>
            </w:r>
          </w:p>
        </w:tc>
        <w:tc>
          <w:tcPr>
            <w:tcW w:w="181" w:type="pct"/>
            <w:shd w:val="clear" w:color="auto" w:fill="auto"/>
            <w:tcMar>
              <w:top w:w="0" w:type="dxa"/>
              <w:left w:w="0" w:type="dxa"/>
              <w:bottom w:w="0" w:type="dxa"/>
              <w:right w:w="0" w:type="dxa"/>
            </w:tcMar>
            <w:vAlign w:val="center"/>
          </w:tcPr>
          <w:p w14:paraId="46090229">
            <w:pPr>
              <w:jc w:val="center"/>
              <w:rPr>
                <w:rFonts w:eastAsia="Arial"/>
                <w:color w:val="auto"/>
                <w:sz w:val="20"/>
              </w:rPr>
            </w:pPr>
            <w:r>
              <w:rPr>
                <w:rFonts w:eastAsia="Arial"/>
                <w:color w:val="auto"/>
                <w:sz w:val="20"/>
              </w:rPr>
              <w:t>34.6</w:t>
            </w:r>
          </w:p>
        </w:tc>
        <w:tc>
          <w:tcPr>
            <w:tcW w:w="181" w:type="pct"/>
            <w:shd w:val="clear" w:color="auto" w:fill="auto"/>
            <w:tcMar>
              <w:top w:w="0" w:type="dxa"/>
              <w:left w:w="0" w:type="dxa"/>
              <w:bottom w:w="0" w:type="dxa"/>
              <w:right w:w="0" w:type="dxa"/>
            </w:tcMar>
            <w:vAlign w:val="center"/>
          </w:tcPr>
          <w:p w14:paraId="3FDBAD98">
            <w:pPr>
              <w:jc w:val="center"/>
              <w:rPr>
                <w:rFonts w:eastAsia="Arial"/>
                <w:color w:val="auto"/>
                <w:sz w:val="20"/>
              </w:rPr>
            </w:pPr>
            <w:r>
              <w:rPr>
                <w:rFonts w:eastAsia="Arial"/>
                <w:color w:val="auto"/>
                <w:sz w:val="20"/>
              </w:rPr>
              <w:t>34.6</w:t>
            </w:r>
          </w:p>
        </w:tc>
        <w:tc>
          <w:tcPr>
            <w:tcW w:w="181" w:type="pct"/>
            <w:shd w:val="clear" w:color="auto" w:fill="auto"/>
            <w:tcMar>
              <w:top w:w="0" w:type="dxa"/>
              <w:left w:w="0" w:type="dxa"/>
              <w:bottom w:w="0" w:type="dxa"/>
              <w:right w:w="0" w:type="dxa"/>
            </w:tcMar>
            <w:vAlign w:val="center"/>
          </w:tcPr>
          <w:p w14:paraId="49FA5FE5">
            <w:pPr>
              <w:jc w:val="center"/>
              <w:rPr>
                <w:rFonts w:eastAsia="Arial"/>
                <w:color w:val="auto"/>
                <w:sz w:val="20"/>
              </w:rPr>
            </w:pPr>
            <w:r>
              <w:rPr>
                <w:rFonts w:eastAsia="Arial"/>
                <w:color w:val="auto"/>
                <w:sz w:val="20"/>
              </w:rPr>
              <w:t>34.5</w:t>
            </w:r>
          </w:p>
        </w:tc>
        <w:tc>
          <w:tcPr>
            <w:tcW w:w="260" w:type="pct"/>
            <w:shd w:val="clear" w:color="auto" w:fill="auto"/>
            <w:tcMar>
              <w:top w:w="0" w:type="dxa"/>
              <w:left w:w="0" w:type="dxa"/>
              <w:bottom w:w="0" w:type="dxa"/>
              <w:right w:w="0" w:type="dxa"/>
            </w:tcMar>
            <w:vAlign w:val="center"/>
          </w:tcPr>
          <w:p w14:paraId="616F7013">
            <w:pPr>
              <w:jc w:val="center"/>
              <w:rPr>
                <w:rFonts w:eastAsia="Arial"/>
                <w:color w:val="auto"/>
                <w:sz w:val="20"/>
              </w:rPr>
            </w:pPr>
            <w:r>
              <w:rPr>
                <w:rFonts w:eastAsia="Arial"/>
                <w:color w:val="auto"/>
                <w:sz w:val="20"/>
              </w:rPr>
              <w:t>1</w:t>
            </w:r>
          </w:p>
        </w:tc>
      </w:tr>
      <w:tr w14:paraId="080238C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 w:type="pct"/>
            <w:shd w:val="clear" w:color="auto" w:fill="auto"/>
            <w:tcMar>
              <w:top w:w="0" w:type="dxa"/>
              <w:left w:w="0" w:type="dxa"/>
              <w:bottom w:w="0" w:type="dxa"/>
              <w:right w:w="0" w:type="dxa"/>
            </w:tcMar>
            <w:vAlign w:val="center"/>
          </w:tcPr>
          <w:p w14:paraId="67075481">
            <w:pPr>
              <w:jc w:val="center"/>
              <w:rPr>
                <w:rFonts w:hint="eastAsia" w:eastAsia="宋体"/>
                <w:color w:val="auto"/>
                <w:lang w:val="en-US" w:eastAsia="zh-CN"/>
              </w:rPr>
            </w:pPr>
            <w:r>
              <w:rPr>
                <w:rFonts w:hint="eastAsia"/>
                <w:color w:val="auto"/>
                <w:lang w:val="en-US" w:eastAsia="zh-CN"/>
              </w:rPr>
              <w:t>3</w:t>
            </w:r>
          </w:p>
        </w:tc>
        <w:tc>
          <w:tcPr>
            <w:tcW w:w="193" w:type="pct"/>
            <w:shd w:val="clear" w:color="auto" w:fill="auto"/>
            <w:tcMar>
              <w:top w:w="0" w:type="dxa"/>
              <w:left w:w="0" w:type="dxa"/>
              <w:bottom w:w="0" w:type="dxa"/>
              <w:right w:w="0" w:type="dxa"/>
            </w:tcMar>
            <w:vAlign w:val="center"/>
          </w:tcPr>
          <w:p w14:paraId="5409B6B9">
            <w:pPr>
              <w:jc w:val="center"/>
              <w:rPr>
                <w:color w:val="auto"/>
              </w:rPr>
            </w:pPr>
            <w:r>
              <w:rPr>
                <w:rFonts w:hint="eastAsia"/>
                <w:color w:val="auto"/>
                <w:sz w:val="20"/>
                <w:lang w:eastAsia="zh-CN"/>
              </w:rPr>
              <w:t>蛋库</w:t>
            </w:r>
            <w:r>
              <w:rPr>
                <w:rFonts w:eastAsia="Arial"/>
                <w:color w:val="auto"/>
                <w:sz w:val="20"/>
              </w:rPr>
              <w:t>-声屏障</w:t>
            </w:r>
          </w:p>
        </w:tc>
        <w:tc>
          <w:tcPr>
            <w:tcW w:w="183" w:type="pct"/>
            <w:shd w:val="clear" w:color="auto" w:fill="auto"/>
            <w:tcMar>
              <w:top w:w="0" w:type="dxa"/>
              <w:left w:w="0" w:type="dxa"/>
              <w:bottom w:w="0" w:type="dxa"/>
              <w:right w:w="0" w:type="dxa"/>
            </w:tcMar>
            <w:vAlign w:val="center"/>
          </w:tcPr>
          <w:p w14:paraId="40E9C10A">
            <w:pPr>
              <w:jc w:val="center"/>
              <w:rPr>
                <w:color w:val="auto"/>
              </w:rPr>
            </w:pPr>
            <w:r>
              <w:rPr>
                <w:rFonts w:eastAsia="Arial"/>
                <w:color w:val="auto"/>
                <w:sz w:val="20"/>
              </w:rPr>
              <w:t>包装机</w:t>
            </w:r>
          </w:p>
        </w:tc>
        <w:tc>
          <w:tcPr>
            <w:tcW w:w="150" w:type="pct"/>
            <w:shd w:val="clear" w:color="auto" w:fill="auto"/>
            <w:tcMar>
              <w:top w:w="0" w:type="dxa"/>
              <w:left w:w="0" w:type="dxa"/>
              <w:bottom w:w="0" w:type="dxa"/>
              <w:right w:w="0" w:type="dxa"/>
            </w:tcMar>
            <w:vAlign w:val="center"/>
          </w:tcPr>
          <w:p w14:paraId="650485B6">
            <w:pPr>
              <w:jc w:val="center"/>
              <w:rPr>
                <w:color w:val="auto"/>
              </w:rPr>
            </w:pPr>
            <w:r>
              <w:rPr>
                <w:color w:val="auto"/>
              </w:rPr>
              <w:t>/</w:t>
            </w:r>
          </w:p>
        </w:tc>
        <w:tc>
          <w:tcPr>
            <w:tcW w:w="225" w:type="pct"/>
            <w:shd w:val="clear" w:color="auto" w:fill="auto"/>
            <w:tcMar>
              <w:top w:w="0" w:type="dxa"/>
              <w:left w:w="0" w:type="dxa"/>
              <w:bottom w:w="0" w:type="dxa"/>
              <w:right w:w="0" w:type="dxa"/>
            </w:tcMar>
            <w:vAlign w:val="center"/>
          </w:tcPr>
          <w:p w14:paraId="2053381E">
            <w:pPr>
              <w:jc w:val="center"/>
              <w:rPr>
                <w:color w:val="auto"/>
              </w:rPr>
            </w:pPr>
            <w:r>
              <w:rPr>
                <w:rFonts w:eastAsia="Arial"/>
                <w:color w:val="auto"/>
                <w:sz w:val="20"/>
              </w:rPr>
              <w:t>85</w:t>
            </w:r>
          </w:p>
        </w:tc>
        <w:tc>
          <w:tcPr>
            <w:tcW w:w="193" w:type="pct"/>
            <w:shd w:val="clear" w:color="auto" w:fill="auto"/>
            <w:tcMar>
              <w:top w:w="0" w:type="dxa"/>
              <w:left w:w="0" w:type="dxa"/>
              <w:bottom w:w="0" w:type="dxa"/>
              <w:right w:w="0" w:type="dxa"/>
            </w:tcMar>
            <w:vAlign w:val="center"/>
          </w:tcPr>
          <w:p w14:paraId="328BA143">
            <w:pPr>
              <w:pStyle w:val="25"/>
              <w:ind w:left="0" w:leftChars="0" w:firstLine="0" w:firstLineChars="0"/>
              <w:jc w:val="center"/>
              <w:rPr>
                <w:color w:val="auto"/>
                <w:kern w:val="0"/>
                <w:szCs w:val="21"/>
                <w:shd w:val="clear" w:color="auto" w:fill="FFFFFF"/>
              </w:rPr>
            </w:pPr>
            <w:r>
              <w:rPr>
                <w:color w:val="auto"/>
                <w:szCs w:val="21"/>
                <w:shd w:val="clear" w:color="auto" w:fill="FFFFFF"/>
              </w:rPr>
              <w:t>选低噪声设备，隔声、减震</w:t>
            </w:r>
          </w:p>
        </w:tc>
        <w:tc>
          <w:tcPr>
            <w:tcW w:w="215" w:type="pct"/>
            <w:shd w:val="clear" w:color="auto" w:fill="auto"/>
            <w:tcMar>
              <w:top w:w="0" w:type="dxa"/>
              <w:left w:w="0" w:type="dxa"/>
              <w:bottom w:w="0" w:type="dxa"/>
              <w:right w:w="0" w:type="dxa"/>
            </w:tcMar>
            <w:vAlign w:val="center"/>
          </w:tcPr>
          <w:p w14:paraId="38D6131D">
            <w:pPr>
              <w:jc w:val="center"/>
              <w:rPr>
                <w:color w:val="auto"/>
              </w:rPr>
            </w:pPr>
            <w:r>
              <w:rPr>
                <w:rFonts w:eastAsia="Arial"/>
                <w:color w:val="auto"/>
                <w:sz w:val="20"/>
              </w:rPr>
              <w:t>-34.9</w:t>
            </w:r>
          </w:p>
        </w:tc>
        <w:tc>
          <w:tcPr>
            <w:tcW w:w="215" w:type="pct"/>
            <w:shd w:val="clear" w:color="auto" w:fill="auto"/>
            <w:tcMar>
              <w:top w:w="0" w:type="dxa"/>
              <w:left w:w="0" w:type="dxa"/>
              <w:bottom w:w="0" w:type="dxa"/>
              <w:right w:w="0" w:type="dxa"/>
            </w:tcMar>
            <w:vAlign w:val="center"/>
          </w:tcPr>
          <w:p w14:paraId="3C794335">
            <w:pPr>
              <w:jc w:val="center"/>
              <w:rPr>
                <w:color w:val="auto"/>
              </w:rPr>
            </w:pPr>
            <w:r>
              <w:rPr>
                <w:rFonts w:eastAsia="Arial"/>
                <w:color w:val="auto"/>
                <w:sz w:val="20"/>
              </w:rPr>
              <w:t>72.6</w:t>
            </w:r>
          </w:p>
        </w:tc>
        <w:tc>
          <w:tcPr>
            <w:tcW w:w="219" w:type="pct"/>
            <w:shd w:val="clear" w:color="auto" w:fill="auto"/>
            <w:tcMar>
              <w:top w:w="0" w:type="dxa"/>
              <w:left w:w="0" w:type="dxa"/>
              <w:bottom w:w="0" w:type="dxa"/>
              <w:right w:w="0" w:type="dxa"/>
            </w:tcMar>
            <w:vAlign w:val="center"/>
          </w:tcPr>
          <w:p w14:paraId="3FC93F9B">
            <w:pPr>
              <w:jc w:val="center"/>
              <w:rPr>
                <w:color w:val="auto"/>
              </w:rPr>
            </w:pPr>
            <w:r>
              <w:rPr>
                <w:rFonts w:eastAsia="Arial"/>
                <w:color w:val="auto"/>
                <w:sz w:val="20"/>
              </w:rPr>
              <w:t>1.2</w:t>
            </w:r>
          </w:p>
        </w:tc>
        <w:tc>
          <w:tcPr>
            <w:tcW w:w="180" w:type="pct"/>
            <w:shd w:val="clear" w:color="auto" w:fill="auto"/>
            <w:tcMar>
              <w:top w:w="0" w:type="dxa"/>
              <w:left w:w="0" w:type="dxa"/>
              <w:bottom w:w="0" w:type="dxa"/>
              <w:right w:w="0" w:type="dxa"/>
            </w:tcMar>
            <w:vAlign w:val="center"/>
          </w:tcPr>
          <w:p w14:paraId="466AE919">
            <w:pPr>
              <w:jc w:val="center"/>
              <w:rPr>
                <w:color w:val="auto"/>
              </w:rPr>
            </w:pPr>
            <w:r>
              <w:rPr>
                <w:rFonts w:eastAsia="Arial"/>
                <w:color w:val="auto"/>
                <w:sz w:val="20"/>
              </w:rPr>
              <w:t>50.4</w:t>
            </w:r>
          </w:p>
        </w:tc>
        <w:tc>
          <w:tcPr>
            <w:tcW w:w="178" w:type="pct"/>
            <w:shd w:val="clear" w:color="auto" w:fill="auto"/>
            <w:tcMar>
              <w:top w:w="0" w:type="dxa"/>
              <w:left w:w="0" w:type="dxa"/>
              <w:bottom w:w="0" w:type="dxa"/>
              <w:right w:w="0" w:type="dxa"/>
            </w:tcMar>
            <w:vAlign w:val="center"/>
          </w:tcPr>
          <w:p w14:paraId="27942475">
            <w:pPr>
              <w:jc w:val="center"/>
              <w:rPr>
                <w:color w:val="auto"/>
              </w:rPr>
            </w:pPr>
            <w:r>
              <w:rPr>
                <w:rFonts w:eastAsia="Arial"/>
                <w:color w:val="auto"/>
                <w:sz w:val="20"/>
              </w:rPr>
              <w:t>18.4</w:t>
            </w:r>
          </w:p>
        </w:tc>
        <w:tc>
          <w:tcPr>
            <w:tcW w:w="180" w:type="pct"/>
            <w:shd w:val="clear" w:color="auto" w:fill="auto"/>
            <w:tcMar>
              <w:top w:w="0" w:type="dxa"/>
              <w:left w:w="0" w:type="dxa"/>
              <w:bottom w:w="0" w:type="dxa"/>
              <w:right w:w="0" w:type="dxa"/>
            </w:tcMar>
            <w:vAlign w:val="center"/>
          </w:tcPr>
          <w:p w14:paraId="74B227BA">
            <w:pPr>
              <w:jc w:val="center"/>
              <w:rPr>
                <w:color w:val="auto"/>
              </w:rPr>
            </w:pPr>
            <w:r>
              <w:rPr>
                <w:rFonts w:eastAsia="Arial"/>
                <w:color w:val="auto"/>
                <w:sz w:val="20"/>
              </w:rPr>
              <w:t>59.6</w:t>
            </w:r>
          </w:p>
        </w:tc>
        <w:tc>
          <w:tcPr>
            <w:tcW w:w="191" w:type="pct"/>
            <w:shd w:val="clear" w:color="auto" w:fill="auto"/>
            <w:tcMar>
              <w:top w:w="0" w:type="dxa"/>
              <w:left w:w="0" w:type="dxa"/>
              <w:bottom w:w="0" w:type="dxa"/>
              <w:right w:w="0" w:type="dxa"/>
            </w:tcMar>
            <w:vAlign w:val="center"/>
          </w:tcPr>
          <w:p w14:paraId="514C16B3">
            <w:pPr>
              <w:jc w:val="center"/>
              <w:rPr>
                <w:color w:val="auto"/>
              </w:rPr>
            </w:pPr>
            <w:r>
              <w:rPr>
                <w:rFonts w:eastAsia="Arial"/>
                <w:color w:val="auto"/>
                <w:sz w:val="20"/>
              </w:rPr>
              <w:t>10.5</w:t>
            </w:r>
          </w:p>
        </w:tc>
        <w:tc>
          <w:tcPr>
            <w:tcW w:w="176" w:type="pct"/>
            <w:shd w:val="clear" w:color="auto" w:fill="auto"/>
            <w:tcMar>
              <w:top w:w="0" w:type="dxa"/>
              <w:left w:w="0" w:type="dxa"/>
              <w:bottom w:w="0" w:type="dxa"/>
              <w:right w:w="0" w:type="dxa"/>
            </w:tcMar>
            <w:vAlign w:val="center"/>
          </w:tcPr>
          <w:p w14:paraId="6121DAA7">
            <w:pPr>
              <w:jc w:val="center"/>
              <w:rPr>
                <w:color w:val="auto"/>
              </w:rPr>
            </w:pPr>
            <w:r>
              <w:rPr>
                <w:rFonts w:eastAsia="Arial"/>
                <w:color w:val="auto"/>
                <w:sz w:val="20"/>
              </w:rPr>
              <w:t>69.5</w:t>
            </w:r>
          </w:p>
        </w:tc>
        <w:tc>
          <w:tcPr>
            <w:tcW w:w="176" w:type="pct"/>
            <w:shd w:val="clear" w:color="auto" w:fill="auto"/>
            <w:tcMar>
              <w:top w:w="0" w:type="dxa"/>
              <w:left w:w="0" w:type="dxa"/>
              <w:bottom w:w="0" w:type="dxa"/>
              <w:right w:w="0" w:type="dxa"/>
            </w:tcMar>
            <w:vAlign w:val="center"/>
          </w:tcPr>
          <w:p w14:paraId="441C9BDC">
            <w:pPr>
              <w:jc w:val="center"/>
              <w:rPr>
                <w:color w:val="auto"/>
              </w:rPr>
            </w:pPr>
            <w:r>
              <w:rPr>
                <w:rFonts w:eastAsia="Arial"/>
                <w:color w:val="auto"/>
                <w:sz w:val="20"/>
              </w:rPr>
              <w:t>69.5</w:t>
            </w:r>
          </w:p>
        </w:tc>
        <w:tc>
          <w:tcPr>
            <w:tcW w:w="176" w:type="pct"/>
            <w:shd w:val="clear" w:color="auto" w:fill="auto"/>
            <w:tcMar>
              <w:top w:w="0" w:type="dxa"/>
              <w:left w:w="0" w:type="dxa"/>
              <w:bottom w:w="0" w:type="dxa"/>
              <w:right w:w="0" w:type="dxa"/>
            </w:tcMar>
            <w:vAlign w:val="center"/>
          </w:tcPr>
          <w:p w14:paraId="29967FB9">
            <w:pPr>
              <w:jc w:val="center"/>
              <w:rPr>
                <w:color w:val="auto"/>
              </w:rPr>
            </w:pPr>
            <w:r>
              <w:rPr>
                <w:rFonts w:eastAsia="Arial"/>
                <w:color w:val="auto"/>
                <w:sz w:val="20"/>
              </w:rPr>
              <w:t>69.5</w:t>
            </w:r>
          </w:p>
        </w:tc>
        <w:tc>
          <w:tcPr>
            <w:tcW w:w="178" w:type="pct"/>
            <w:shd w:val="clear" w:color="auto" w:fill="auto"/>
            <w:tcMar>
              <w:top w:w="0" w:type="dxa"/>
              <w:left w:w="0" w:type="dxa"/>
              <w:bottom w:w="0" w:type="dxa"/>
              <w:right w:w="0" w:type="dxa"/>
            </w:tcMar>
            <w:vAlign w:val="center"/>
          </w:tcPr>
          <w:p w14:paraId="5FD42075">
            <w:pPr>
              <w:jc w:val="center"/>
              <w:rPr>
                <w:color w:val="auto"/>
              </w:rPr>
            </w:pPr>
            <w:r>
              <w:rPr>
                <w:rFonts w:eastAsia="Arial"/>
                <w:color w:val="auto"/>
                <w:sz w:val="20"/>
              </w:rPr>
              <w:t>69.6</w:t>
            </w:r>
          </w:p>
        </w:tc>
        <w:tc>
          <w:tcPr>
            <w:tcW w:w="152" w:type="pct"/>
            <w:shd w:val="clear" w:color="auto" w:fill="auto"/>
            <w:tcMar>
              <w:top w:w="0" w:type="dxa"/>
              <w:left w:w="0" w:type="dxa"/>
              <w:bottom w:w="0" w:type="dxa"/>
              <w:right w:w="0" w:type="dxa"/>
            </w:tcMar>
            <w:vAlign w:val="center"/>
          </w:tcPr>
          <w:p w14:paraId="55FDC7E1">
            <w:pPr>
              <w:jc w:val="center"/>
              <w:rPr>
                <w:color w:val="auto"/>
              </w:rPr>
            </w:pPr>
            <w:r>
              <w:rPr>
                <w:color w:val="auto"/>
                <w:sz w:val="20"/>
              </w:rPr>
              <w:t>昼</w:t>
            </w:r>
          </w:p>
        </w:tc>
        <w:tc>
          <w:tcPr>
            <w:tcW w:w="170" w:type="pct"/>
            <w:shd w:val="clear" w:color="auto" w:fill="auto"/>
            <w:tcMar>
              <w:top w:w="0" w:type="dxa"/>
              <w:left w:w="0" w:type="dxa"/>
              <w:bottom w:w="0" w:type="dxa"/>
              <w:right w:w="0" w:type="dxa"/>
            </w:tcMar>
            <w:vAlign w:val="center"/>
          </w:tcPr>
          <w:p w14:paraId="433D3011">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408255F7">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5D1A4DFA">
            <w:pPr>
              <w:jc w:val="center"/>
              <w:rPr>
                <w:color w:val="auto"/>
              </w:rPr>
            </w:pPr>
            <w:r>
              <w:rPr>
                <w:rFonts w:eastAsia="Arial"/>
                <w:color w:val="auto"/>
                <w:sz w:val="20"/>
              </w:rPr>
              <w:t>41.0</w:t>
            </w:r>
          </w:p>
        </w:tc>
        <w:tc>
          <w:tcPr>
            <w:tcW w:w="170" w:type="pct"/>
            <w:shd w:val="clear" w:color="auto" w:fill="auto"/>
            <w:tcMar>
              <w:top w:w="0" w:type="dxa"/>
              <w:left w:w="0" w:type="dxa"/>
              <w:bottom w:w="0" w:type="dxa"/>
              <w:right w:w="0" w:type="dxa"/>
            </w:tcMar>
            <w:vAlign w:val="center"/>
          </w:tcPr>
          <w:p w14:paraId="4A6DB688">
            <w:pPr>
              <w:jc w:val="center"/>
              <w:rPr>
                <w:color w:val="auto"/>
              </w:rPr>
            </w:pPr>
            <w:r>
              <w:rPr>
                <w:rFonts w:eastAsia="Arial"/>
                <w:color w:val="auto"/>
                <w:sz w:val="20"/>
              </w:rPr>
              <w:t>41.0</w:t>
            </w:r>
          </w:p>
        </w:tc>
        <w:tc>
          <w:tcPr>
            <w:tcW w:w="181" w:type="pct"/>
            <w:shd w:val="clear" w:color="auto" w:fill="auto"/>
            <w:tcMar>
              <w:top w:w="0" w:type="dxa"/>
              <w:left w:w="0" w:type="dxa"/>
              <w:bottom w:w="0" w:type="dxa"/>
              <w:right w:w="0" w:type="dxa"/>
            </w:tcMar>
            <w:vAlign w:val="center"/>
          </w:tcPr>
          <w:p w14:paraId="3D609185">
            <w:pPr>
              <w:jc w:val="center"/>
              <w:rPr>
                <w:color w:val="auto"/>
              </w:rPr>
            </w:pPr>
            <w:r>
              <w:rPr>
                <w:rFonts w:eastAsia="Arial"/>
                <w:color w:val="auto"/>
                <w:sz w:val="20"/>
              </w:rPr>
              <w:t>28.5</w:t>
            </w:r>
          </w:p>
        </w:tc>
        <w:tc>
          <w:tcPr>
            <w:tcW w:w="181" w:type="pct"/>
            <w:shd w:val="clear" w:color="auto" w:fill="auto"/>
            <w:tcMar>
              <w:top w:w="0" w:type="dxa"/>
              <w:left w:w="0" w:type="dxa"/>
              <w:bottom w:w="0" w:type="dxa"/>
              <w:right w:w="0" w:type="dxa"/>
            </w:tcMar>
            <w:vAlign w:val="center"/>
          </w:tcPr>
          <w:p w14:paraId="278BA3C4">
            <w:pPr>
              <w:jc w:val="center"/>
              <w:rPr>
                <w:color w:val="auto"/>
              </w:rPr>
            </w:pPr>
            <w:r>
              <w:rPr>
                <w:rFonts w:eastAsia="Arial"/>
                <w:color w:val="auto"/>
                <w:sz w:val="20"/>
              </w:rPr>
              <w:t>28.5</w:t>
            </w:r>
          </w:p>
        </w:tc>
        <w:tc>
          <w:tcPr>
            <w:tcW w:w="181" w:type="pct"/>
            <w:shd w:val="clear" w:color="auto" w:fill="auto"/>
            <w:tcMar>
              <w:top w:w="0" w:type="dxa"/>
              <w:left w:w="0" w:type="dxa"/>
              <w:bottom w:w="0" w:type="dxa"/>
              <w:right w:w="0" w:type="dxa"/>
            </w:tcMar>
            <w:vAlign w:val="center"/>
          </w:tcPr>
          <w:p w14:paraId="099E06C4">
            <w:pPr>
              <w:jc w:val="center"/>
              <w:rPr>
                <w:color w:val="auto"/>
              </w:rPr>
            </w:pPr>
            <w:r>
              <w:rPr>
                <w:rFonts w:eastAsia="Arial"/>
                <w:color w:val="auto"/>
                <w:sz w:val="20"/>
              </w:rPr>
              <w:t>28.5</w:t>
            </w:r>
          </w:p>
        </w:tc>
        <w:tc>
          <w:tcPr>
            <w:tcW w:w="181" w:type="pct"/>
            <w:shd w:val="clear" w:color="auto" w:fill="auto"/>
            <w:tcMar>
              <w:top w:w="0" w:type="dxa"/>
              <w:left w:w="0" w:type="dxa"/>
              <w:bottom w:w="0" w:type="dxa"/>
              <w:right w:w="0" w:type="dxa"/>
            </w:tcMar>
            <w:vAlign w:val="center"/>
          </w:tcPr>
          <w:p w14:paraId="3B19A4D8">
            <w:pPr>
              <w:jc w:val="center"/>
              <w:rPr>
                <w:color w:val="auto"/>
              </w:rPr>
            </w:pPr>
            <w:r>
              <w:rPr>
                <w:rFonts w:eastAsia="Arial"/>
                <w:color w:val="auto"/>
                <w:sz w:val="20"/>
              </w:rPr>
              <w:t>28.6</w:t>
            </w:r>
          </w:p>
        </w:tc>
        <w:tc>
          <w:tcPr>
            <w:tcW w:w="260" w:type="pct"/>
            <w:shd w:val="clear" w:color="auto" w:fill="auto"/>
            <w:tcMar>
              <w:top w:w="0" w:type="dxa"/>
              <w:left w:w="0" w:type="dxa"/>
              <w:bottom w:w="0" w:type="dxa"/>
              <w:right w:w="0" w:type="dxa"/>
            </w:tcMar>
            <w:vAlign w:val="center"/>
          </w:tcPr>
          <w:p w14:paraId="680609D7">
            <w:pPr>
              <w:jc w:val="center"/>
              <w:rPr>
                <w:color w:val="auto"/>
              </w:rPr>
            </w:pPr>
            <w:r>
              <w:rPr>
                <w:rFonts w:eastAsia="Arial"/>
                <w:color w:val="auto"/>
                <w:sz w:val="20"/>
              </w:rPr>
              <w:t>1</w:t>
            </w:r>
          </w:p>
        </w:tc>
      </w:tr>
    </w:tbl>
    <w:p w14:paraId="50D1F3C3">
      <w:pPr>
        <w:pStyle w:val="5"/>
        <w:numPr>
          <w:ilvl w:val="3"/>
          <w:numId w:val="0"/>
        </w:numPr>
        <w:spacing w:before="0" w:after="0" w:line="360" w:lineRule="auto"/>
        <w:rPr>
          <w:rFonts w:ascii="Times New Roman" w:hAnsi="Times New Roman" w:eastAsia="宋体"/>
          <w:color w:val="auto"/>
        </w:rPr>
        <w:sectPr>
          <w:pgSz w:w="16838" w:h="11906" w:orient="landscape"/>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23CF479C">
      <w:pPr>
        <w:pStyle w:val="276"/>
        <w:ind w:left="0" w:leftChars="0" w:firstLine="0" w:firstLineChars="0"/>
        <w:rPr>
          <w:rFonts w:hint="eastAsia"/>
          <w:b/>
          <w:color w:val="auto"/>
        </w:rPr>
      </w:pPr>
      <w:r>
        <w:rPr>
          <w:rFonts w:hint="eastAsia"/>
          <w:b/>
          <w:color w:val="auto"/>
        </w:rPr>
        <w:t>5.2.4.2噪声预测模式</w:t>
      </w:r>
    </w:p>
    <w:p w14:paraId="2CD11636">
      <w:pPr>
        <w:spacing w:line="360" w:lineRule="auto"/>
        <w:ind w:left="-17" w:leftChars="-8" w:firstLine="403"/>
        <w:jc w:val="left"/>
        <w:rPr>
          <w:bCs/>
          <w:color w:val="auto"/>
          <w:sz w:val="24"/>
        </w:rPr>
      </w:pPr>
      <w:r>
        <w:rPr>
          <w:rFonts w:hint="eastAsia"/>
          <w:bCs/>
          <w:color w:val="auto"/>
          <w:sz w:val="24"/>
          <w:lang w:eastAsia="zh-CN"/>
        </w:rPr>
        <w:t>（</w:t>
      </w:r>
      <w:r>
        <w:rPr>
          <w:rFonts w:hint="eastAsia"/>
          <w:bCs/>
          <w:color w:val="auto"/>
          <w:sz w:val="24"/>
          <w:lang w:val="en-US" w:eastAsia="zh-CN"/>
        </w:rPr>
        <w:t>1</w:t>
      </w:r>
      <w:r>
        <w:rPr>
          <w:rFonts w:hint="eastAsia"/>
          <w:bCs/>
          <w:color w:val="auto"/>
          <w:sz w:val="24"/>
          <w:lang w:eastAsia="zh-CN"/>
        </w:rPr>
        <w:t>）</w:t>
      </w:r>
      <w:r>
        <w:rPr>
          <w:rFonts w:hint="eastAsia"/>
          <w:bCs/>
          <w:color w:val="auto"/>
          <w:sz w:val="24"/>
        </w:rPr>
        <w:t>降噪措施</w:t>
      </w:r>
    </w:p>
    <w:p w14:paraId="7E23B077">
      <w:pPr>
        <w:snapToGrid w:val="0"/>
        <w:spacing w:line="360" w:lineRule="auto"/>
        <w:ind w:firstLine="480" w:firstLineChars="200"/>
        <w:rPr>
          <w:color w:val="auto"/>
          <w:kern w:val="0"/>
          <w:sz w:val="24"/>
          <w:szCs w:val="20"/>
        </w:rPr>
      </w:pPr>
      <w:r>
        <w:rPr>
          <w:rFonts w:hint="eastAsia"/>
          <w:color w:val="auto"/>
          <w:kern w:val="0"/>
          <w:sz w:val="24"/>
          <w:szCs w:val="20"/>
        </w:rPr>
        <w:t>项目拟采取的噪声控制措施主要是对项目各噪声源采取厂房围护结构隔声，所有噪声设备均被置于生产车间厂房内，并对其中的较大型设备设置减振基础。鸡舍、</w:t>
      </w:r>
      <w:r>
        <w:rPr>
          <w:rFonts w:hint="eastAsia"/>
          <w:color w:val="auto"/>
          <w:kern w:val="0"/>
          <w:sz w:val="24"/>
          <w:szCs w:val="20"/>
          <w:lang w:eastAsia="zh-CN"/>
        </w:rPr>
        <w:t>蛋库、锅炉</w:t>
      </w:r>
      <w:r>
        <w:rPr>
          <w:rFonts w:hint="eastAsia"/>
          <w:color w:val="auto"/>
          <w:kern w:val="0"/>
          <w:sz w:val="24"/>
          <w:szCs w:val="20"/>
        </w:rPr>
        <w:t>均为砖混结构墙体，通常该种结构建筑物的墙体平均隔声量均在</w:t>
      </w:r>
      <w:r>
        <w:rPr>
          <w:rFonts w:hint="eastAsia"/>
          <w:color w:val="auto"/>
          <w:kern w:val="0"/>
          <w:sz w:val="24"/>
          <w:szCs w:val="20"/>
          <w:lang w:val="en-US" w:eastAsia="zh-CN"/>
        </w:rPr>
        <w:t>34</w:t>
      </w:r>
      <w:r>
        <w:rPr>
          <w:rFonts w:hint="eastAsia"/>
          <w:color w:val="auto"/>
          <w:kern w:val="0"/>
          <w:sz w:val="24"/>
          <w:szCs w:val="20"/>
        </w:rPr>
        <w:t>dB以上。</w:t>
      </w:r>
    </w:p>
    <w:p w14:paraId="419B7D6C">
      <w:pPr>
        <w:spacing w:line="360" w:lineRule="auto"/>
        <w:ind w:left="-17" w:leftChars="-8" w:firstLine="403"/>
        <w:jc w:val="left"/>
        <w:rPr>
          <w:bCs/>
          <w:color w:val="auto"/>
          <w:sz w:val="24"/>
        </w:rPr>
      </w:pPr>
      <w:r>
        <w:rPr>
          <w:rFonts w:hint="eastAsia"/>
          <w:bCs/>
          <w:color w:val="auto"/>
          <w:sz w:val="24"/>
        </w:rPr>
        <w:t>参考冶金工业出版社出版的《工业企业环境保护》，α取0.10；厂房透声系数取10</w:t>
      </w:r>
      <w:r>
        <w:rPr>
          <w:rFonts w:hint="eastAsia"/>
          <w:bCs/>
          <w:color w:val="auto"/>
          <w:sz w:val="24"/>
          <w:vertAlign w:val="superscript"/>
        </w:rPr>
        <w:t>-2</w:t>
      </w:r>
      <w:r>
        <w:rPr>
          <w:rFonts w:hint="eastAsia"/>
          <w:bCs/>
          <w:color w:val="auto"/>
          <w:sz w:val="24"/>
        </w:rPr>
        <w:t>；Q值取2。</w:t>
      </w:r>
    </w:p>
    <w:p w14:paraId="4CDF0F76">
      <w:pPr>
        <w:spacing w:line="360" w:lineRule="auto"/>
        <w:ind w:left="-17" w:leftChars="-8" w:firstLine="403"/>
        <w:jc w:val="left"/>
        <w:rPr>
          <w:bCs/>
          <w:color w:val="auto"/>
          <w:sz w:val="24"/>
        </w:rPr>
      </w:pPr>
      <w:r>
        <w:rPr>
          <w:rFonts w:hint="eastAsia"/>
          <w:bCs/>
          <w:color w:val="auto"/>
          <w:sz w:val="24"/>
          <w:lang w:eastAsia="zh-CN"/>
        </w:rPr>
        <w:t>（</w:t>
      </w:r>
      <w:r>
        <w:rPr>
          <w:rFonts w:hint="eastAsia"/>
          <w:bCs/>
          <w:color w:val="auto"/>
          <w:sz w:val="24"/>
          <w:lang w:val="en-US" w:eastAsia="zh-CN"/>
        </w:rPr>
        <w:t>2</w:t>
      </w:r>
      <w:r>
        <w:rPr>
          <w:rFonts w:hint="eastAsia"/>
          <w:bCs/>
          <w:color w:val="auto"/>
          <w:sz w:val="24"/>
          <w:lang w:eastAsia="zh-CN"/>
        </w:rPr>
        <w:t>）</w:t>
      </w:r>
      <w:r>
        <w:rPr>
          <w:rFonts w:hint="eastAsia"/>
          <w:bCs/>
          <w:color w:val="auto"/>
          <w:sz w:val="24"/>
        </w:rPr>
        <w:t>噪声影响预测与评价</w:t>
      </w:r>
    </w:p>
    <w:p w14:paraId="122B18CB">
      <w:pPr>
        <w:spacing w:line="360" w:lineRule="auto"/>
        <w:ind w:left="-17" w:leftChars="-8" w:firstLine="403"/>
        <w:jc w:val="left"/>
        <w:rPr>
          <w:bCs/>
          <w:color w:val="auto"/>
          <w:sz w:val="24"/>
        </w:rPr>
      </w:pPr>
      <w:r>
        <w:rPr>
          <w:rFonts w:hint="eastAsia"/>
          <w:bCs/>
          <w:color w:val="auto"/>
          <w:sz w:val="24"/>
        </w:rPr>
        <w:t>①预测工况</w:t>
      </w:r>
    </w:p>
    <w:p w14:paraId="22C40D5F">
      <w:pPr>
        <w:spacing w:line="360" w:lineRule="auto"/>
        <w:ind w:left="-17" w:leftChars="-8" w:firstLine="403"/>
        <w:jc w:val="left"/>
        <w:rPr>
          <w:rFonts w:hint="eastAsia" w:eastAsia="宋体"/>
          <w:bCs/>
          <w:color w:val="auto"/>
          <w:sz w:val="24"/>
          <w:lang w:eastAsia="zh-CN"/>
        </w:rPr>
      </w:pPr>
      <w:r>
        <w:rPr>
          <w:rFonts w:hint="eastAsia"/>
          <w:bCs/>
          <w:color w:val="auto"/>
          <w:sz w:val="24"/>
        </w:rPr>
        <w:t>处于生产状态，预测多台设备同时运行，平均辐射噪声工况</w:t>
      </w:r>
      <w:r>
        <w:rPr>
          <w:rFonts w:hint="eastAsia"/>
          <w:bCs/>
          <w:color w:val="auto"/>
          <w:sz w:val="24"/>
          <w:lang w:eastAsia="zh-CN"/>
        </w:rPr>
        <w:t>。</w:t>
      </w:r>
    </w:p>
    <w:p w14:paraId="5991D68C">
      <w:pPr>
        <w:spacing w:line="360" w:lineRule="auto"/>
        <w:ind w:left="-17" w:leftChars="-8" w:firstLine="403"/>
        <w:jc w:val="left"/>
        <w:rPr>
          <w:bCs/>
          <w:color w:val="auto"/>
          <w:sz w:val="24"/>
        </w:rPr>
      </w:pPr>
      <w:r>
        <w:rPr>
          <w:rFonts w:hint="eastAsia"/>
          <w:bCs/>
          <w:color w:val="auto"/>
          <w:sz w:val="24"/>
        </w:rPr>
        <w:t>②预测时段</w:t>
      </w:r>
    </w:p>
    <w:p w14:paraId="745F54D2">
      <w:pPr>
        <w:spacing w:line="360" w:lineRule="auto"/>
        <w:ind w:left="-17" w:leftChars="-8" w:firstLine="403"/>
        <w:jc w:val="left"/>
        <w:rPr>
          <w:bCs/>
          <w:color w:val="auto"/>
          <w:sz w:val="24"/>
        </w:rPr>
      </w:pPr>
      <w:r>
        <w:rPr>
          <w:rFonts w:hint="eastAsia"/>
          <w:bCs/>
          <w:color w:val="auto"/>
          <w:sz w:val="24"/>
        </w:rPr>
        <w:t>项目昼间和夜间均生产，因此，预测时段确定为昼间和夜间。</w:t>
      </w:r>
    </w:p>
    <w:p w14:paraId="073397F9">
      <w:pPr>
        <w:spacing w:line="360" w:lineRule="auto"/>
        <w:ind w:left="-17" w:leftChars="-8" w:firstLine="403"/>
        <w:jc w:val="left"/>
        <w:rPr>
          <w:bCs/>
          <w:color w:val="auto"/>
          <w:sz w:val="24"/>
        </w:rPr>
      </w:pPr>
      <w:r>
        <w:rPr>
          <w:rFonts w:hint="eastAsia"/>
          <w:bCs/>
          <w:color w:val="auto"/>
          <w:sz w:val="24"/>
        </w:rPr>
        <w:t>③预测点位</w:t>
      </w:r>
    </w:p>
    <w:p w14:paraId="1B9211F4">
      <w:pPr>
        <w:spacing w:line="360" w:lineRule="auto"/>
        <w:ind w:left="-17" w:leftChars="-8" w:firstLine="403"/>
        <w:jc w:val="left"/>
        <w:rPr>
          <w:bCs/>
          <w:color w:val="auto"/>
          <w:sz w:val="24"/>
        </w:rPr>
      </w:pPr>
      <w:r>
        <w:rPr>
          <w:rFonts w:hint="eastAsia"/>
          <w:bCs/>
          <w:color w:val="auto"/>
          <w:sz w:val="24"/>
        </w:rPr>
        <w:t>本项目场界距敏感目标较远，本项目噪声对其影响微乎其微，因此，本项预测点位确定为项目厂界四周外1m处。</w:t>
      </w:r>
    </w:p>
    <w:p w14:paraId="4392F82B">
      <w:pPr>
        <w:spacing w:line="360" w:lineRule="auto"/>
        <w:ind w:left="-17" w:leftChars="-8" w:firstLine="403"/>
        <w:jc w:val="left"/>
        <w:rPr>
          <w:bCs/>
          <w:color w:val="auto"/>
          <w:sz w:val="24"/>
        </w:rPr>
      </w:pPr>
      <w:r>
        <w:rPr>
          <w:rFonts w:hint="eastAsia"/>
          <w:bCs/>
          <w:color w:val="auto"/>
          <w:sz w:val="24"/>
        </w:rPr>
        <w:t>④预测方法</w:t>
      </w:r>
    </w:p>
    <w:p w14:paraId="054520FE">
      <w:pPr>
        <w:spacing w:line="360" w:lineRule="auto"/>
        <w:ind w:left="-17" w:leftChars="-8" w:firstLine="403"/>
        <w:jc w:val="left"/>
        <w:rPr>
          <w:bCs/>
          <w:color w:val="auto"/>
          <w:sz w:val="24"/>
        </w:rPr>
      </w:pPr>
      <w:r>
        <w:rPr>
          <w:rFonts w:hint="eastAsia"/>
          <w:bCs/>
          <w:color w:val="auto"/>
          <w:sz w:val="24"/>
        </w:rPr>
        <w:t>根据《环境影响评价技术导则 声环境》（HJ2.4-2021）中有关规定，本次环境影响预测评价采用导则推荐的具体模式进行预测分析。具体过程及相关公式如下：</w:t>
      </w:r>
    </w:p>
    <w:p w14:paraId="005A04C0">
      <w:pPr>
        <w:spacing w:line="360" w:lineRule="auto"/>
        <w:ind w:left="-17" w:leftChars="-8" w:firstLine="403"/>
        <w:jc w:val="left"/>
        <w:rPr>
          <w:bCs/>
          <w:color w:val="auto"/>
          <w:sz w:val="24"/>
        </w:rPr>
      </w:pPr>
      <w:r>
        <w:rPr>
          <w:rFonts w:hint="eastAsia"/>
          <w:bCs/>
          <w:color w:val="auto"/>
          <w:sz w:val="24"/>
          <w:lang w:val="en-US" w:eastAsia="zh-CN"/>
        </w:rPr>
        <w:t>1）</w:t>
      </w:r>
      <w:r>
        <w:rPr>
          <w:rFonts w:hint="eastAsia"/>
          <w:bCs/>
          <w:color w:val="auto"/>
          <w:sz w:val="24"/>
        </w:rPr>
        <w:t>室外声源在预测点产生的声级计算模型</w:t>
      </w:r>
    </w:p>
    <w:p w14:paraId="0BD06019">
      <w:pPr>
        <w:spacing w:line="360" w:lineRule="auto"/>
        <w:ind w:left="-17" w:leftChars="-8" w:firstLine="403"/>
        <w:jc w:val="left"/>
        <w:rPr>
          <w:bCs/>
          <w:color w:val="auto"/>
          <w:sz w:val="24"/>
        </w:rPr>
      </w:pPr>
      <w:r>
        <w:rPr>
          <w:rFonts w:hint="eastAsia"/>
          <w:bCs/>
          <w:color w:val="auto"/>
          <w:sz w:val="24"/>
        </w:rPr>
        <w:t xml:space="preserve">a)在环境影响评价中，应根据声源声功率级或参考位置处的声压级、户外声传播衰减，计算预测点的声级，分别按式（1）或式（2）计算。 </w:t>
      </w:r>
    </w:p>
    <w:p w14:paraId="45292CB6">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p</w:t>
      </w:r>
      <w:r>
        <w:rPr>
          <w:rFonts w:hint="eastAsia"/>
          <w:bCs/>
          <w:color w:val="auto"/>
          <w:sz w:val="24"/>
        </w:rPr>
        <w:t>(r)＝L</w:t>
      </w:r>
      <w:r>
        <w:rPr>
          <w:rFonts w:hint="eastAsia"/>
          <w:bCs/>
          <w:color w:val="auto"/>
          <w:sz w:val="24"/>
          <w:vertAlign w:val="subscript"/>
        </w:rPr>
        <w:t>W</w:t>
      </w:r>
      <w:r>
        <w:rPr>
          <w:rFonts w:hint="eastAsia"/>
          <w:bCs/>
          <w:color w:val="auto"/>
          <w:sz w:val="24"/>
        </w:rPr>
        <w:t>+D</w:t>
      </w:r>
      <w:r>
        <w:rPr>
          <w:rFonts w:hint="eastAsia"/>
          <w:bCs/>
          <w:color w:val="auto"/>
          <w:sz w:val="24"/>
          <w:vertAlign w:val="subscript"/>
        </w:rPr>
        <w:t>C</w:t>
      </w:r>
      <w:r>
        <w:rPr>
          <w:rFonts w:hint="eastAsia"/>
          <w:bCs/>
          <w:color w:val="auto"/>
          <w:sz w:val="24"/>
        </w:rPr>
        <w:t>－(A</w:t>
      </w:r>
      <w:r>
        <w:rPr>
          <w:rFonts w:hint="eastAsia"/>
          <w:bCs/>
          <w:color w:val="auto"/>
          <w:sz w:val="24"/>
          <w:vertAlign w:val="subscript"/>
        </w:rPr>
        <w:t>div</w:t>
      </w:r>
      <w:r>
        <w:rPr>
          <w:rFonts w:hint="eastAsia"/>
          <w:bCs/>
          <w:color w:val="auto"/>
          <w:sz w:val="24"/>
        </w:rPr>
        <w:t>+A</w:t>
      </w:r>
      <w:r>
        <w:rPr>
          <w:rFonts w:hint="eastAsia"/>
          <w:bCs/>
          <w:color w:val="auto"/>
          <w:sz w:val="24"/>
          <w:vertAlign w:val="subscript"/>
        </w:rPr>
        <w:t>atm</w:t>
      </w:r>
      <w:r>
        <w:rPr>
          <w:rFonts w:hint="eastAsia"/>
          <w:bCs/>
          <w:color w:val="auto"/>
          <w:sz w:val="24"/>
        </w:rPr>
        <w:t>+A</w:t>
      </w:r>
      <w:r>
        <w:rPr>
          <w:rFonts w:hint="eastAsia"/>
          <w:bCs/>
          <w:color w:val="auto"/>
          <w:sz w:val="24"/>
          <w:vertAlign w:val="subscript"/>
        </w:rPr>
        <w:t>gr</w:t>
      </w:r>
      <w:r>
        <w:rPr>
          <w:rFonts w:hint="eastAsia"/>
          <w:bCs/>
          <w:color w:val="auto"/>
          <w:sz w:val="24"/>
        </w:rPr>
        <w:t>+A</w:t>
      </w:r>
      <w:r>
        <w:rPr>
          <w:rFonts w:hint="eastAsia"/>
          <w:bCs/>
          <w:color w:val="auto"/>
          <w:sz w:val="24"/>
          <w:vertAlign w:val="subscript"/>
        </w:rPr>
        <w:t>bar</w:t>
      </w:r>
      <w:r>
        <w:rPr>
          <w:rFonts w:hint="eastAsia"/>
          <w:bCs/>
          <w:color w:val="auto"/>
          <w:sz w:val="24"/>
        </w:rPr>
        <w:t>+A</w:t>
      </w:r>
      <w:r>
        <w:rPr>
          <w:rFonts w:hint="eastAsia"/>
          <w:bCs/>
          <w:color w:val="auto"/>
          <w:sz w:val="24"/>
          <w:vertAlign w:val="subscript"/>
        </w:rPr>
        <w:t>misc</w:t>
      </w:r>
      <w:r>
        <w:rPr>
          <w:rFonts w:hint="eastAsia"/>
          <w:bCs/>
          <w:color w:val="auto"/>
          <w:sz w:val="24"/>
        </w:rPr>
        <w:t xml:space="preserve">)             （1） </w:t>
      </w:r>
    </w:p>
    <w:p w14:paraId="38FA450E">
      <w:pPr>
        <w:spacing w:line="360" w:lineRule="auto"/>
        <w:ind w:left="-17" w:leftChars="-8" w:firstLine="403"/>
        <w:jc w:val="left"/>
        <w:rPr>
          <w:bCs/>
          <w:color w:val="auto"/>
          <w:sz w:val="24"/>
        </w:rPr>
      </w:pPr>
      <w:r>
        <w:rPr>
          <w:rFonts w:hint="eastAsia"/>
          <w:bCs/>
          <w:color w:val="auto"/>
          <w:sz w:val="24"/>
        </w:rPr>
        <w:t>式中：L</w:t>
      </w:r>
      <w:r>
        <w:rPr>
          <w:rFonts w:hint="eastAsia"/>
          <w:bCs/>
          <w:color w:val="auto"/>
          <w:sz w:val="24"/>
          <w:vertAlign w:val="subscript"/>
        </w:rPr>
        <w:t>p</w:t>
      </w:r>
      <w:r>
        <w:rPr>
          <w:rFonts w:hint="eastAsia"/>
          <w:bCs/>
          <w:color w:val="auto"/>
          <w:sz w:val="24"/>
        </w:rPr>
        <w:t>(r)——预测点处声压级，dB；</w:t>
      </w:r>
    </w:p>
    <w:p w14:paraId="048AD1E7">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w</w:t>
      </w:r>
      <w:r>
        <w:rPr>
          <w:rFonts w:hint="eastAsia"/>
          <w:bCs/>
          <w:color w:val="auto"/>
          <w:sz w:val="24"/>
        </w:rPr>
        <w:t>——由点声源产生的声功率级（A计权或倍频带），dB；</w:t>
      </w:r>
    </w:p>
    <w:p w14:paraId="27F2F15E">
      <w:pPr>
        <w:spacing w:line="360" w:lineRule="auto"/>
        <w:ind w:left="-17" w:leftChars="-8" w:firstLine="403"/>
        <w:jc w:val="left"/>
        <w:rPr>
          <w:bCs/>
          <w:color w:val="auto"/>
          <w:sz w:val="24"/>
        </w:rPr>
      </w:pPr>
      <w:r>
        <w:rPr>
          <w:rFonts w:hint="eastAsia"/>
          <w:bCs/>
          <w:color w:val="auto"/>
          <w:sz w:val="24"/>
        </w:rPr>
        <w:t>D</w:t>
      </w:r>
      <w:r>
        <w:rPr>
          <w:rFonts w:hint="eastAsia"/>
          <w:bCs/>
          <w:color w:val="auto"/>
          <w:sz w:val="24"/>
          <w:vertAlign w:val="subscript"/>
        </w:rPr>
        <w:t>c</w:t>
      </w:r>
      <w:r>
        <w:rPr>
          <w:rFonts w:hint="eastAsia"/>
          <w:bCs/>
          <w:color w:val="auto"/>
          <w:sz w:val="24"/>
        </w:rPr>
        <w:t>——指向性校正，它描述点声源的等效连续声压级与产生声功率级L</w:t>
      </w:r>
      <w:r>
        <w:rPr>
          <w:rFonts w:hint="eastAsia"/>
          <w:bCs/>
          <w:color w:val="auto"/>
          <w:sz w:val="24"/>
          <w:vertAlign w:val="subscript"/>
        </w:rPr>
        <w:t>w</w:t>
      </w:r>
      <w:r>
        <w:rPr>
          <w:rFonts w:hint="eastAsia"/>
          <w:bCs/>
          <w:color w:val="auto"/>
          <w:sz w:val="24"/>
        </w:rPr>
        <w:t>的向点声源在规定方向的声级的偏差程度。</w:t>
      </w:r>
    </w:p>
    <w:p w14:paraId="33638AD3">
      <w:pPr>
        <w:spacing w:line="360" w:lineRule="auto"/>
        <w:ind w:left="-17" w:leftChars="-8" w:firstLine="403"/>
        <w:jc w:val="left"/>
        <w:rPr>
          <w:bCs/>
          <w:color w:val="auto"/>
          <w:sz w:val="24"/>
        </w:rPr>
      </w:pPr>
      <w:r>
        <w:rPr>
          <w:rFonts w:hint="eastAsia"/>
          <w:bCs/>
          <w:color w:val="auto"/>
          <w:sz w:val="24"/>
        </w:rPr>
        <w:t>A</w:t>
      </w:r>
      <w:r>
        <w:rPr>
          <w:rFonts w:hint="eastAsia"/>
          <w:bCs/>
          <w:color w:val="auto"/>
          <w:sz w:val="24"/>
          <w:vertAlign w:val="subscript"/>
        </w:rPr>
        <w:t>div</w:t>
      </w:r>
      <w:r>
        <w:rPr>
          <w:rFonts w:hint="eastAsia"/>
          <w:bCs/>
          <w:color w:val="auto"/>
          <w:sz w:val="24"/>
        </w:rPr>
        <w:t>——几何发散引起的衰减，dB；</w:t>
      </w:r>
    </w:p>
    <w:p w14:paraId="5B582169">
      <w:pPr>
        <w:spacing w:line="360" w:lineRule="auto"/>
        <w:ind w:left="-17" w:leftChars="-8" w:firstLine="403"/>
        <w:jc w:val="left"/>
        <w:rPr>
          <w:bCs/>
          <w:color w:val="auto"/>
          <w:sz w:val="24"/>
        </w:rPr>
      </w:pPr>
      <w:r>
        <w:rPr>
          <w:rFonts w:hint="eastAsia"/>
          <w:bCs/>
          <w:color w:val="auto"/>
          <w:sz w:val="24"/>
        </w:rPr>
        <w:t>A</w:t>
      </w:r>
      <w:r>
        <w:rPr>
          <w:rFonts w:hint="eastAsia"/>
          <w:bCs/>
          <w:color w:val="auto"/>
          <w:sz w:val="24"/>
          <w:vertAlign w:val="subscript"/>
        </w:rPr>
        <w:t>atm</w:t>
      </w:r>
      <w:r>
        <w:rPr>
          <w:rFonts w:hint="eastAsia"/>
          <w:bCs/>
          <w:color w:val="auto"/>
          <w:sz w:val="24"/>
        </w:rPr>
        <w:t>——大气吸收引起的衰减，dB；</w:t>
      </w:r>
    </w:p>
    <w:p w14:paraId="7743D3A1">
      <w:pPr>
        <w:spacing w:line="360" w:lineRule="auto"/>
        <w:ind w:left="-17" w:leftChars="-8" w:firstLine="403"/>
        <w:jc w:val="left"/>
        <w:rPr>
          <w:bCs/>
          <w:color w:val="auto"/>
          <w:sz w:val="24"/>
        </w:rPr>
      </w:pPr>
      <w:r>
        <w:rPr>
          <w:rFonts w:hint="eastAsia"/>
          <w:bCs/>
          <w:color w:val="auto"/>
          <w:sz w:val="24"/>
        </w:rPr>
        <w:t>A</w:t>
      </w:r>
      <w:r>
        <w:rPr>
          <w:rFonts w:hint="eastAsia"/>
          <w:bCs/>
          <w:color w:val="auto"/>
          <w:sz w:val="24"/>
          <w:vertAlign w:val="subscript"/>
        </w:rPr>
        <w:t>gr</w:t>
      </w:r>
      <w:r>
        <w:rPr>
          <w:rFonts w:hint="eastAsia"/>
          <w:bCs/>
          <w:color w:val="auto"/>
          <w:sz w:val="24"/>
        </w:rPr>
        <w:t>——地面效应引起的衰减，dB；</w:t>
      </w:r>
    </w:p>
    <w:p w14:paraId="3DAAEF10">
      <w:pPr>
        <w:spacing w:line="360" w:lineRule="auto"/>
        <w:ind w:left="-17" w:leftChars="-8" w:firstLine="403"/>
        <w:jc w:val="left"/>
        <w:rPr>
          <w:bCs/>
          <w:color w:val="auto"/>
          <w:sz w:val="24"/>
        </w:rPr>
      </w:pPr>
      <w:r>
        <w:rPr>
          <w:rFonts w:hint="eastAsia"/>
          <w:bCs/>
          <w:color w:val="auto"/>
          <w:sz w:val="24"/>
        </w:rPr>
        <w:t>A</w:t>
      </w:r>
      <w:r>
        <w:rPr>
          <w:rFonts w:hint="eastAsia"/>
          <w:bCs/>
          <w:color w:val="auto"/>
          <w:sz w:val="24"/>
          <w:vertAlign w:val="subscript"/>
        </w:rPr>
        <w:t>bar</w:t>
      </w:r>
      <w:r>
        <w:rPr>
          <w:rFonts w:hint="eastAsia"/>
          <w:bCs/>
          <w:color w:val="auto"/>
          <w:sz w:val="24"/>
        </w:rPr>
        <w:t>——障碍物屏蔽引起的衰减，dB；</w:t>
      </w:r>
    </w:p>
    <w:p w14:paraId="6453011A">
      <w:pPr>
        <w:spacing w:line="360" w:lineRule="auto"/>
        <w:ind w:left="-17" w:leftChars="-8" w:firstLine="403"/>
        <w:jc w:val="left"/>
        <w:rPr>
          <w:bCs/>
          <w:color w:val="auto"/>
          <w:sz w:val="24"/>
        </w:rPr>
      </w:pPr>
      <w:r>
        <w:rPr>
          <w:rFonts w:hint="eastAsia"/>
          <w:bCs/>
          <w:color w:val="auto"/>
          <w:sz w:val="24"/>
        </w:rPr>
        <w:t>A</w:t>
      </w:r>
      <w:r>
        <w:rPr>
          <w:rFonts w:hint="eastAsia"/>
          <w:bCs/>
          <w:color w:val="auto"/>
          <w:sz w:val="24"/>
          <w:vertAlign w:val="subscript"/>
        </w:rPr>
        <w:t>misc</w:t>
      </w:r>
      <w:r>
        <w:rPr>
          <w:rFonts w:hint="eastAsia"/>
          <w:bCs/>
          <w:color w:val="auto"/>
          <w:sz w:val="24"/>
        </w:rPr>
        <w:t>——其他多方面效应引起的衰减，dB。</w:t>
      </w:r>
    </w:p>
    <w:p w14:paraId="3CBA46BC">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p</w:t>
      </w:r>
      <w:r>
        <w:rPr>
          <w:rFonts w:hint="eastAsia"/>
          <w:bCs/>
          <w:color w:val="auto"/>
          <w:sz w:val="24"/>
        </w:rPr>
        <w:t>(r)＝L</w:t>
      </w:r>
      <w:r>
        <w:rPr>
          <w:rFonts w:hint="eastAsia"/>
          <w:bCs/>
          <w:color w:val="auto"/>
          <w:sz w:val="24"/>
          <w:vertAlign w:val="subscript"/>
        </w:rPr>
        <w:t>p</w:t>
      </w:r>
      <w:r>
        <w:rPr>
          <w:rFonts w:hint="eastAsia"/>
          <w:bCs/>
          <w:color w:val="auto"/>
          <w:sz w:val="24"/>
        </w:rPr>
        <w:t>(r</w:t>
      </w:r>
      <w:r>
        <w:rPr>
          <w:rFonts w:hint="eastAsia"/>
          <w:bCs/>
          <w:color w:val="auto"/>
          <w:sz w:val="24"/>
          <w:vertAlign w:val="subscript"/>
        </w:rPr>
        <w:t>0</w:t>
      </w:r>
      <w:r>
        <w:rPr>
          <w:rFonts w:hint="eastAsia"/>
          <w:bCs/>
          <w:color w:val="auto"/>
          <w:sz w:val="24"/>
        </w:rPr>
        <w:t>)+D</w:t>
      </w:r>
      <w:r>
        <w:rPr>
          <w:rFonts w:hint="eastAsia"/>
          <w:bCs/>
          <w:color w:val="auto"/>
          <w:sz w:val="24"/>
          <w:vertAlign w:val="subscript"/>
        </w:rPr>
        <w:t>C</w:t>
      </w:r>
      <w:r>
        <w:rPr>
          <w:rFonts w:hint="eastAsia"/>
          <w:bCs/>
          <w:color w:val="auto"/>
          <w:sz w:val="24"/>
        </w:rPr>
        <w:t>－(A</w:t>
      </w:r>
      <w:r>
        <w:rPr>
          <w:rFonts w:hint="eastAsia"/>
          <w:bCs/>
          <w:color w:val="auto"/>
          <w:sz w:val="24"/>
          <w:vertAlign w:val="subscript"/>
        </w:rPr>
        <w:t>div</w:t>
      </w:r>
      <w:r>
        <w:rPr>
          <w:rFonts w:hint="eastAsia"/>
          <w:bCs/>
          <w:color w:val="auto"/>
          <w:sz w:val="24"/>
        </w:rPr>
        <w:t>+A</w:t>
      </w:r>
      <w:r>
        <w:rPr>
          <w:rFonts w:hint="eastAsia"/>
          <w:bCs/>
          <w:color w:val="auto"/>
          <w:sz w:val="24"/>
          <w:vertAlign w:val="subscript"/>
        </w:rPr>
        <w:t>atm</w:t>
      </w:r>
      <w:r>
        <w:rPr>
          <w:rFonts w:hint="eastAsia"/>
          <w:bCs/>
          <w:color w:val="auto"/>
          <w:sz w:val="24"/>
        </w:rPr>
        <w:t>+A</w:t>
      </w:r>
      <w:r>
        <w:rPr>
          <w:rFonts w:hint="eastAsia"/>
          <w:bCs/>
          <w:color w:val="auto"/>
          <w:sz w:val="24"/>
          <w:vertAlign w:val="subscript"/>
        </w:rPr>
        <w:t>gr</w:t>
      </w:r>
      <w:r>
        <w:rPr>
          <w:rFonts w:hint="eastAsia"/>
          <w:bCs/>
          <w:color w:val="auto"/>
          <w:sz w:val="24"/>
        </w:rPr>
        <w:t>+A</w:t>
      </w:r>
      <w:r>
        <w:rPr>
          <w:rFonts w:hint="eastAsia"/>
          <w:bCs/>
          <w:color w:val="auto"/>
          <w:sz w:val="24"/>
          <w:vertAlign w:val="subscript"/>
        </w:rPr>
        <w:t>bar</w:t>
      </w:r>
      <w:r>
        <w:rPr>
          <w:rFonts w:hint="eastAsia"/>
          <w:bCs/>
          <w:color w:val="auto"/>
          <w:sz w:val="24"/>
        </w:rPr>
        <w:t>+A</w:t>
      </w:r>
      <w:r>
        <w:rPr>
          <w:rFonts w:hint="eastAsia"/>
          <w:bCs/>
          <w:color w:val="auto"/>
          <w:sz w:val="24"/>
          <w:vertAlign w:val="subscript"/>
        </w:rPr>
        <w:t>misc</w:t>
      </w:r>
      <w:r>
        <w:rPr>
          <w:rFonts w:hint="eastAsia"/>
          <w:bCs/>
          <w:color w:val="auto"/>
          <w:sz w:val="24"/>
        </w:rPr>
        <w:t>)                 （2）</w:t>
      </w:r>
    </w:p>
    <w:p w14:paraId="5172EE57">
      <w:pPr>
        <w:spacing w:line="360" w:lineRule="auto"/>
        <w:ind w:left="-17" w:leftChars="-8" w:firstLine="403"/>
        <w:jc w:val="left"/>
        <w:rPr>
          <w:bCs/>
          <w:color w:val="auto"/>
          <w:sz w:val="24"/>
        </w:rPr>
      </w:pPr>
      <w:r>
        <w:rPr>
          <w:rFonts w:hint="eastAsia"/>
          <w:bCs/>
          <w:color w:val="auto"/>
          <w:sz w:val="24"/>
        </w:rPr>
        <w:t>式中：L</w:t>
      </w:r>
      <w:r>
        <w:rPr>
          <w:rFonts w:hint="eastAsia"/>
          <w:bCs/>
          <w:color w:val="auto"/>
          <w:sz w:val="24"/>
          <w:vertAlign w:val="subscript"/>
        </w:rPr>
        <w:t>p</w:t>
      </w:r>
      <w:r>
        <w:rPr>
          <w:rFonts w:hint="eastAsia"/>
          <w:bCs/>
          <w:color w:val="auto"/>
          <w:sz w:val="24"/>
        </w:rPr>
        <w:t>(r)——预测点处声压级，dB；</w:t>
      </w:r>
    </w:p>
    <w:p w14:paraId="48D65A1A">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p</w:t>
      </w:r>
      <w:r>
        <w:rPr>
          <w:rFonts w:hint="eastAsia"/>
          <w:bCs/>
          <w:color w:val="auto"/>
          <w:sz w:val="24"/>
        </w:rPr>
        <w:t>(r</w:t>
      </w:r>
      <w:r>
        <w:rPr>
          <w:rFonts w:hint="eastAsia"/>
          <w:bCs/>
          <w:color w:val="auto"/>
          <w:sz w:val="24"/>
          <w:vertAlign w:val="subscript"/>
        </w:rPr>
        <w:t>0</w:t>
      </w:r>
      <w:r>
        <w:rPr>
          <w:rFonts w:hint="eastAsia"/>
          <w:bCs/>
          <w:color w:val="auto"/>
          <w:sz w:val="24"/>
        </w:rPr>
        <w:t>)——参考位置r</w:t>
      </w:r>
      <w:r>
        <w:rPr>
          <w:rFonts w:hint="eastAsia"/>
          <w:bCs/>
          <w:color w:val="auto"/>
          <w:sz w:val="24"/>
          <w:vertAlign w:val="subscript"/>
        </w:rPr>
        <w:t>0</w:t>
      </w:r>
      <w:r>
        <w:rPr>
          <w:rFonts w:hint="eastAsia"/>
          <w:bCs/>
          <w:color w:val="auto"/>
          <w:sz w:val="24"/>
        </w:rPr>
        <w:t>处的声压级，dB；</w:t>
      </w:r>
    </w:p>
    <w:p w14:paraId="7E1F10AF">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w</w:t>
      </w:r>
      <w:r>
        <w:rPr>
          <w:rFonts w:hint="eastAsia"/>
          <w:bCs/>
          <w:color w:val="auto"/>
          <w:sz w:val="24"/>
        </w:rPr>
        <w:t>——由点声源产生的声功率级（A计权或倍频带），dB；</w:t>
      </w:r>
    </w:p>
    <w:p w14:paraId="4607B34C">
      <w:pPr>
        <w:spacing w:line="360" w:lineRule="auto"/>
        <w:ind w:left="-17" w:leftChars="-8" w:firstLine="403"/>
        <w:jc w:val="left"/>
        <w:rPr>
          <w:bCs/>
          <w:color w:val="auto"/>
          <w:sz w:val="24"/>
        </w:rPr>
      </w:pPr>
      <w:r>
        <w:rPr>
          <w:rFonts w:hint="eastAsia"/>
          <w:bCs/>
          <w:color w:val="auto"/>
          <w:sz w:val="24"/>
        </w:rPr>
        <w:t>D</w:t>
      </w:r>
      <w:r>
        <w:rPr>
          <w:rFonts w:hint="eastAsia"/>
          <w:bCs/>
          <w:color w:val="auto"/>
          <w:sz w:val="24"/>
          <w:vertAlign w:val="subscript"/>
        </w:rPr>
        <w:t>c</w:t>
      </w:r>
      <w:r>
        <w:rPr>
          <w:rFonts w:hint="eastAsia"/>
          <w:bCs/>
          <w:color w:val="auto"/>
          <w:sz w:val="24"/>
        </w:rPr>
        <w:t>——指向性校正，它描述点声源的等效连续声压级与产生声功率级L</w:t>
      </w:r>
      <w:r>
        <w:rPr>
          <w:rFonts w:hint="eastAsia"/>
          <w:bCs/>
          <w:color w:val="auto"/>
          <w:sz w:val="24"/>
          <w:vertAlign w:val="subscript"/>
        </w:rPr>
        <w:t>w</w:t>
      </w:r>
      <w:r>
        <w:rPr>
          <w:rFonts w:hint="eastAsia"/>
          <w:bCs/>
          <w:color w:val="auto"/>
          <w:sz w:val="24"/>
        </w:rPr>
        <w:t>的全向点声源在规定方向的声级的偏差程度。</w:t>
      </w:r>
    </w:p>
    <w:p w14:paraId="285DF98F">
      <w:pPr>
        <w:spacing w:line="360" w:lineRule="auto"/>
        <w:ind w:left="-17" w:leftChars="-8" w:firstLine="403"/>
        <w:jc w:val="left"/>
        <w:rPr>
          <w:bCs/>
          <w:color w:val="auto"/>
          <w:sz w:val="24"/>
        </w:rPr>
      </w:pPr>
      <w:r>
        <w:rPr>
          <w:rFonts w:hint="eastAsia"/>
          <w:bCs/>
          <w:color w:val="auto"/>
          <w:sz w:val="24"/>
        </w:rPr>
        <w:t>A</w:t>
      </w:r>
      <w:r>
        <w:rPr>
          <w:rFonts w:hint="eastAsia"/>
          <w:bCs/>
          <w:color w:val="auto"/>
          <w:sz w:val="24"/>
          <w:vertAlign w:val="subscript"/>
        </w:rPr>
        <w:t>div</w:t>
      </w:r>
      <w:r>
        <w:rPr>
          <w:rFonts w:hint="eastAsia"/>
          <w:bCs/>
          <w:color w:val="auto"/>
          <w:sz w:val="24"/>
        </w:rPr>
        <w:t>——几何发散引起的衰减，dB；</w:t>
      </w:r>
    </w:p>
    <w:p w14:paraId="044F2D61">
      <w:pPr>
        <w:spacing w:line="360" w:lineRule="auto"/>
        <w:ind w:left="-17" w:leftChars="-8" w:firstLine="403"/>
        <w:jc w:val="left"/>
        <w:rPr>
          <w:bCs/>
          <w:color w:val="auto"/>
          <w:sz w:val="24"/>
        </w:rPr>
      </w:pPr>
      <w:r>
        <w:rPr>
          <w:rFonts w:hint="eastAsia"/>
          <w:bCs/>
          <w:color w:val="auto"/>
          <w:sz w:val="24"/>
        </w:rPr>
        <w:t>A</w:t>
      </w:r>
      <w:r>
        <w:rPr>
          <w:rFonts w:hint="eastAsia"/>
          <w:bCs/>
          <w:color w:val="auto"/>
          <w:sz w:val="24"/>
          <w:vertAlign w:val="subscript"/>
        </w:rPr>
        <w:t>atm</w:t>
      </w:r>
      <w:r>
        <w:rPr>
          <w:rFonts w:hint="eastAsia"/>
          <w:bCs/>
          <w:color w:val="auto"/>
          <w:sz w:val="24"/>
        </w:rPr>
        <w:t>——大气吸收引起的衰减，dB；</w:t>
      </w:r>
    </w:p>
    <w:p w14:paraId="09FC7452">
      <w:pPr>
        <w:spacing w:line="360" w:lineRule="auto"/>
        <w:ind w:left="-17" w:leftChars="-8" w:firstLine="403"/>
        <w:jc w:val="left"/>
        <w:rPr>
          <w:bCs/>
          <w:color w:val="auto"/>
          <w:sz w:val="24"/>
        </w:rPr>
      </w:pPr>
      <w:r>
        <w:rPr>
          <w:rFonts w:hint="eastAsia"/>
          <w:bCs/>
          <w:color w:val="auto"/>
          <w:sz w:val="24"/>
        </w:rPr>
        <w:t>A</w:t>
      </w:r>
      <w:r>
        <w:rPr>
          <w:rFonts w:hint="eastAsia"/>
          <w:bCs/>
          <w:color w:val="auto"/>
          <w:sz w:val="24"/>
          <w:vertAlign w:val="subscript"/>
        </w:rPr>
        <w:t>gr</w:t>
      </w:r>
      <w:r>
        <w:rPr>
          <w:rFonts w:hint="eastAsia"/>
          <w:bCs/>
          <w:color w:val="auto"/>
          <w:sz w:val="24"/>
        </w:rPr>
        <w:t>——地面效应引起的衰减，dB；</w:t>
      </w:r>
    </w:p>
    <w:p w14:paraId="3800A3AD">
      <w:pPr>
        <w:spacing w:line="360" w:lineRule="auto"/>
        <w:ind w:left="-17" w:leftChars="-8" w:firstLine="403"/>
        <w:jc w:val="left"/>
        <w:rPr>
          <w:bCs/>
          <w:color w:val="auto"/>
          <w:sz w:val="24"/>
        </w:rPr>
      </w:pPr>
      <w:r>
        <w:rPr>
          <w:rFonts w:hint="eastAsia"/>
          <w:bCs/>
          <w:color w:val="auto"/>
          <w:sz w:val="24"/>
        </w:rPr>
        <w:t>A</w:t>
      </w:r>
      <w:r>
        <w:rPr>
          <w:rFonts w:hint="eastAsia"/>
          <w:bCs/>
          <w:color w:val="auto"/>
          <w:sz w:val="24"/>
          <w:vertAlign w:val="subscript"/>
        </w:rPr>
        <w:t>ba</w:t>
      </w:r>
      <w:r>
        <w:rPr>
          <w:rFonts w:hint="eastAsia"/>
          <w:bCs/>
          <w:color w:val="auto"/>
          <w:sz w:val="24"/>
        </w:rPr>
        <w:t>r——障碍物屏蔽引起的衰减，dB；</w:t>
      </w:r>
    </w:p>
    <w:p w14:paraId="07D23171">
      <w:pPr>
        <w:spacing w:line="360" w:lineRule="auto"/>
        <w:ind w:left="-17" w:leftChars="-8" w:firstLine="403"/>
        <w:jc w:val="left"/>
        <w:rPr>
          <w:bCs/>
          <w:color w:val="auto"/>
          <w:sz w:val="24"/>
        </w:rPr>
      </w:pPr>
      <w:r>
        <w:rPr>
          <w:rFonts w:hint="eastAsia"/>
          <w:bCs/>
          <w:color w:val="auto"/>
          <w:sz w:val="24"/>
        </w:rPr>
        <w:t>A</w:t>
      </w:r>
      <w:r>
        <w:rPr>
          <w:rFonts w:hint="eastAsia"/>
          <w:bCs/>
          <w:color w:val="auto"/>
          <w:sz w:val="24"/>
          <w:vertAlign w:val="subscript"/>
        </w:rPr>
        <w:t>misc</w:t>
      </w:r>
      <w:r>
        <w:rPr>
          <w:rFonts w:hint="eastAsia"/>
          <w:bCs/>
          <w:color w:val="auto"/>
          <w:sz w:val="24"/>
        </w:rPr>
        <w:t>——其他多方面效应引起的衰减，dB。</w:t>
      </w:r>
    </w:p>
    <w:p w14:paraId="57BED381">
      <w:pPr>
        <w:spacing w:line="360" w:lineRule="auto"/>
        <w:ind w:left="-17" w:leftChars="-8" w:firstLine="403"/>
        <w:jc w:val="left"/>
        <w:rPr>
          <w:bCs/>
          <w:color w:val="auto"/>
          <w:sz w:val="24"/>
        </w:rPr>
      </w:pPr>
      <w:r>
        <w:rPr>
          <w:rFonts w:hint="eastAsia"/>
          <w:bCs/>
          <w:color w:val="auto"/>
          <w:sz w:val="24"/>
        </w:rPr>
        <w:t>b）预测点的A声级L</w:t>
      </w:r>
      <w:r>
        <w:rPr>
          <w:rFonts w:hint="eastAsia"/>
          <w:bCs/>
          <w:color w:val="auto"/>
          <w:sz w:val="24"/>
          <w:vertAlign w:val="subscript"/>
        </w:rPr>
        <w:t>A</w:t>
      </w:r>
      <w:r>
        <w:rPr>
          <w:rFonts w:hint="eastAsia"/>
          <w:bCs/>
          <w:color w:val="auto"/>
          <w:sz w:val="24"/>
        </w:rPr>
        <w:t>(r)可按式（3）计算，即将8个倍频带声压级合成，计算出预测点的A声级[L</w:t>
      </w:r>
      <w:r>
        <w:rPr>
          <w:rFonts w:hint="eastAsia"/>
          <w:bCs/>
          <w:color w:val="auto"/>
          <w:sz w:val="24"/>
          <w:vertAlign w:val="subscript"/>
        </w:rPr>
        <w:t>A</w:t>
      </w:r>
      <w:r>
        <w:rPr>
          <w:rFonts w:hint="eastAsia"/>
          <w:bCs/>
          <w:color w:val="auto"/>
          <w:sz w:val="24"/>
        </w:rPr>
        <w:t>(r)]。</w:t>
      </w:r>
    </w:p>
    <w:p w14:paraId="4AB59341">
      <w:pPr>
        <w:spacing w:line="360" w:lineRule="auto"/>
        <w:ind w:left="-17" w:leftChars="-8" w:firstLine="403"/>
        <w:jc w:val="left"/>
        <w:rPr>
          <w:bCs/>
          <w:color w:val="auto"/>
          <w:sz w:val="24"/>
        </w:rPr>
      </w:pPr>
      <m:oMath>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A</m:t>
            </m:r>
            <m:ctrlPr>
              <w:rPr>
                <w:rFonts w:ascii="Cambria Math" w:hAnsi="Cambria Math"/>
                <w:bCs/>
                <w:color w:val="auto"/>
                <w:sz w:val="24"/>
              </w:rPr>
            </m:ctrlPr>
          </m:sub>
        </m:sSub>
        <m:d>
          <m:dPr>
            <m:ctrlPr>
              <w:rPr>
                <w:rFonts w:ascii="Cambria Math" w:hAnsi="Cambria Math"/>
                <w:bCs/>
                <w:color w:val="auto"/>
                <w:sz w:val="24"/>
              </w:rPr>
            </m:ctrlPr>
          </m:dPr>
          <m:e>
            <m:r>
              <m:rPr>
                <m:sty m:val="p"/>
              </m:rPr>
              <w:rPr>
                <w:rFonts w:ascii="Cambria Math" w:hAnsi="Cambria Math"/>
                <w:color w:val="auto"/>
                <w:sz w:val="24"/>
              </w:rPr>
              <m:t>r</m:t>
            </m:r>
            <m:ctrlPr>
              <w:rPr>
                <w:rFonts w:ascii="Cambria Math" w:hAnsi="Cambria Math"/>
                <w:bCs/>
                <w:color w:val="auto"/>
                <w:sz w:val="24"/>
              </w:rPr>
            </m:ctrlPr>
          </m:e>
        </m:d>
        <m:r>
          <m:rPr>
            <m:sty m:val="p"/>
          </m:rPr>
          <w:rPr>
            <w:rFonts w:ascii="Cambria Math" w:hAnsi="Cambria Math"/>
            <w:color w:val="auto"/>
            <w:sz w:val="24"/>
          </w:rPr>
          <m:t>=10lg</m:t>
        </m:r>
        <m:d>
          <m:dPr>
            <m:begChr m:val="{"/>
            <m:endChr m:val="}"/>
            <m:ctrlPr>
              <w:rPr>
                <w:rFonts w:ascii="Cambria Math" w:hAnsi="Cambria Math"/>
                <w:bCs/>
                <w:color w:val="auto"/>
                <w:sz w:val="24"/>
              </w:rPr>
            </m:ctrlPr>
          </m:dPr>
          <m:e>
            <m:nary>
              <m:naryPr>
                <m:chr m:val="∑"/>
                <m:limLoc m:val="undOvr"/>
                <m:ctrlPr>
                  <w:rPr>
                    <w:rFonts w:ascii="Cambria Math" w:hAnsi="Cambria Math"/>
                    <w:bCs/>
                    <w:color w:val="auto"/>
                    <w:sz w:val="24"/>
                  </w:rPr>
                </m:ctrlPr>
              </m:naryPr>
              <m:sub>
                <m:r>
                  <m:rPr>
                    <m:sty m:val="p"/>
                  </m:rPr>
                  <w:rPr>
                    <w:rFonts w:ascii="Cambria Math" w:hAnsi="Cambria Math"/>
                    <w:color w:val="auto"/>
                    <w:sz w:val="24"/>
                  </w:rPr>
                  <m:t>i=1</m:t>
                </m:r>
                <m:ctrlPr>
                  <w:rPr>
                    <w:rFonts w:ascii="Cambria Math" w:hAnsi="Cambria Math"/>
                    <w:bCs/>
                    <w:color w:val="auto"/>
                    <w:sz w:val="24"/>
                  </w:rPr>
                </m:ctrlPr>
              </m:sub>
              <m:sup>
                <m:r>
                  <m:rPr>
                    <m:sty m:val="p"/>
                  </m:rPr>
                  <w:rPr>
                    <w:rFonts w:ascii="Cambria Math" w:hAnsi="Cambria Math"/>
                    <w:color w:val="auto"/>
                    <w:sz w:val="24"/>
                  </w:rPr>
                  <m:t>8</m:t>
                </m:r>
                <m:ctrlPr>
                  <w:rPr>
                    <w:rFonts w:ascii="Cambria Math" w:hAnsi="Cambria Math"/>
                    <w:bCs/>
                    <w:color w:val="auto"/>
                    <w:sz w:val="24"/>
                  </w:rPr>
                </m:ctrlPr>
              </m:sup>
              <m:e>
                <m:sSup>
                  <m:sSupPr>
                    <m:ctrlPr>
                      <w:rPr>
                        <w:rFonts w:ascii="Cambria Math" w:hAnsi="Cambria Math"/>
                        <w:bCs/>
                        <w:color w:val="auto"/>
                        <w:sz w:val="24"/>
                      </w:rPr>
                    </m:ctrlPr>
                  </m:sSupPr>
                  <m:e>
                    <m:r>
                      <m:rPr>
                        <m:sty m:val="p"/>
                      </m:rPr>
                      <w:rPr>
                        <w:rFonts w:ascii="Cambria Math" w:hAnsi="Cambria Math"/>
                        <w:color w:val="auto"/>
                        <w:sz w:val="24"/>
                      </w:rPr>
                      <m:t>10</m:t>
                    </m:r>
                    <m:ctrlPr>
                      <w:rPr>
                        <w:rFonts w:ascii="Cambria Math" w:hAnsi="Cambria Math"/>
                        <w:bCs/>
                        <w:color w:val="auto"/>
                        <w:sz w:val="24"/>
                      </w:rPr>
                    </m:ctrlPr>
                  </m:e>
                  <m:sup>
                    <m:r>
                      <m:rPr>
                        <m:sty m:val="p"/>
                      </m:rPr>
                      <w:rPr>
                        <w:rFonts w:ascii="Cambria Math" w:hAnsi="Cambria Math"/>
                        <w:color w:val="auto"/>
                        <w:sz w:val="24"/>
                      </w:rPr>
                      <m:t>0.1</m:t>
                    </m:r>
                    <m:d>
                      <m:dPr>
                        <m:begChr m:val="["/>
                        <m:endChr m:val="]"/>
                        <m:ctrlPr>
                          <w:rPr>
                            <w:rFonts w:ascii="Cambria Math" w:hAnsi="Cambria Math"/>
                            <w:bCs/>
                            <w:color w:val="auto"/>
                            <w:sz w:val="24"/>
                          </w:rPr>
                        </m:ctrlPr>
                      </m:dPr>
                      <m:e>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pi</m:t>
                            </m:r>
                            <m:ctrlPr>
                              <w:rPr>
                                <w:rFonts w:ascii="Cambria Math" w:hAnsi="Cambria Math"/>
                                <w:bCs/>
                                <w:color w:val="auto"/>
                                <w:sz w:val="24"/>
                              </w:rPr>
                            </m:ctrlPr>
                          </m:sub>
                        </m:sSub>
                        <m:d>
                          <m:dPr>
                            <m:ctrlPr>
                              <w:rPr>
                                <w:rFonts w:ascii="Cambria Math" w:hAnsi="Cambria Math"/>
                                <w:bCs/>
                                <w:color w:val="auto"/>
                                <w:sz w:val="24"/>
                              </w:rPr>
                            </m:ctrlPr>
                          </m:dPr>
                          <m:e>
                            <m:r>
                              <m:rPr>
                                <m:sty m:val="p"/>
                              </m:rPr>
                              <w:rPr>
                                <w:rFonts w:ascii="Cambria Math" w:hAnsi="Cambria Math"/>
                                <w:color w:val="auto"/>
                                <w:sz w:val="24"/>
                              </w:rPr>
                              <m:t>r</m:t>
                            </m:r>
                            <m:ctrlPr>
                              <w:rPr>
                                <w:rFonts w:ascii="Cambria Math" w:hAnsi="Cambria Math"/>
                                <w:bCs/>
                                <w:color w:val="auto"/>
                                <w:sz w:val="24"/>
                              </w:rPr>
                            </m:ctrlPr>
                          </m:e>
                        </m:d>
                        <m:r>
                          <m:rPr>
                            <m:sty m:val="p"/>
                          </m:rPr>
                          <w:rPr>
                            <w:rFonts w:ascii="Cambria Math" w:hAnsi="Cambria Math"/>
                            <w:color w:val="auto"/>
                            <w:sz w:val="24"/>
                          </w:rPr>
                          <m:t>−Δ</m:t>
                        </m:r>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i</m:t>
                            </m:r>
                            <m:ctrlPr>
                              <w:rPr>
                                <w:rFonts w:ascii="Cambria Math" w:hAnsi="Cambria Math"/>
                                <w:bCs/>
                                <w:color w:val="auto"/>
                                <w:sz w:val="24"/>
                              </w:rPr>
                            </m:ctrlPr>
                          </m:sub>
                        </m:sSub>
                        <m:ctrlPr>
                          <w:rPr>
                            <w:rFonts w:ascii="Cambria Math" w:hAnsi="Cambria Math"/>
                            <w:bCs/>
                            <w:color w:val="auto"/>
                            <w:sz w:val="24"/>
                          </w:rPr>
                        </m:ctrlPr>
                      </m:e>
                    </m:d>
                    <m:ctrlPr>
                      <w:rPr>
                        <w:rFonts w:ascii="Cambria Math" w:hAnsi="Cambria Math"/>
                        <w:bCs/>
                        <w:color w:val="auto"/>
                        <w:sz w:val="24"/>
                      </w:rPr>
                    </m:ctrlPr>
                  </m:sup>
                </m:sSup>
                <m:ctrlPr>
                  <w:rPr>
                    <w:rFonts w:ascii="Cambria Math" w:hAnsi="Cambria Math"/>
                    <w:bCs/>
                    <w:color w:val="auto"/>
                    <w:sz w:val="24"/>
                  </w:rPr>
                </m:ctrlPr>
              </m:e>
            </m:nary>
            <m:ctrlPr>
              <w:rPr>
                <w:rFonts w:ascii="Cambria Math" w:hAnsi="Cambria Math"/>
                <w:bCs/>
                <w:color w:val="auto"/>
                <w:sz w:val="24"/>
              </w:rPr>
            </m:ctrlPr>
          </m:e>
        </m:d>
      </m:oMath>
      <w:r>
        <w:rPr>
          <w:rFonts w:hint="eastAsia" w:hAnsi="Cambria Math"/>
          <w:bCs/>
          <w:color w:val="auto"/>
          <w:sz w:val="24"/>
        </w:rPr>
        <w:t xml:space="preserve">                         （3）</w:t>
      </w:r>
    </w:p>
    <w:p w14:paraId="43EDCE13">
      <w:pPr>
        <w:spacing w:line="360" w:lineRule="auto"/>
        <w:ind w:left="-17" w:leftChars="-8" w:firstLine="403"/>
        <w:jc w:val="left"/>
        <w:rPr>
          <w:bCs/>
          <w:color w:val="auto"/>
          <w:sz w:val="24"/>
        </w:rPr>
      </w:pPr>
      <w:r>
        <w:rPr>
          <w:rFonts w:hint="eastAsia"/>
          <w:bCs/>
          <w:color w:val="auto"/>
          <w:sz w:val="24"/>
        </w:rPr>
        <w:t>式中：L</w:t>
      </w:r>
      <w:r>
        <w:rPr>
          <w:rFonts w:hint="eastAsia"/>
          <w:bCs/>
          <w:color w:val="auto"/>
          <w:sz w:val="24"/>
          <w:vertAlign w:val="subscript"/>
        </w:rPr>
        <w:t>A</w:t>
      </w:r>
      <w:r>
        <w:rPr>
          <w:rFonts w:hint="eastAsia"/>
          <w:bCs/>
          <w:color w:val="auto"/>
          <w:sz w:val="24"/>
        </w:rPr>
        <w:t>(r)——距声源r处的A声级，dB（A）；</w:t>
      </w:r>
    </w:p>
    <w:p w14:paraId="153F9F26">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Pi</w:t>
      </w:r>
      <w:r>
        <w:rPr>
          <w:rFonts w:hint="eastAsia"/>
          <w:bCs/>
          <w:color w:val="auto"/>
          <w:sz w:val="24"/>
        </w:rPr>
        <w:t>(r)——预测点r处，第i倍频带声压级，dB；</w:t>
      </w:r>
    </w:p>
    <w:p w14:paraId="1C703D15">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i</w:t>
      </w:r>
      <w:r>
        <w:rPr>
          <w:rFonts w:hint="eastAsia"/>
          <w:bCs/>
          <w:color w:val="auto"/>
          <w:sz w:val="24"/>
        </w:rPr>
        <w:t>——第i倍频带的A计权网络修正值，dB</w:t>
      </w:r>
    </w:p>
    <w:p w14:paraId="174AAB41">
      <w:pPr>
        <w:spacing w:line="360" w:lineRule="auto"/>
        <w:ind w:left="-17" w:leftChars="-8" w:firstLine="403"/>
        <w:jc w:val="left"/>
        <w:rPr>
          <w:bCs/>
          <w:color w:val="auto"/>
          <w:sz w:val="24"/>
        </w:rPr>
      </w:pPr>
      <w:r>
        <w:rPr>
          <w:rFonts w:hint="eastAsia"/>
          <w:bCs/>
          <w:color w:val="auto"/>
          <w:sz w:val="24"/>
        </w:rPr>
        <w:t xml:space="preserve"> c）在只考虑几何发散衰减时，可按式（4）计算。</w:t>
      </w:r>
    </w:p>
    <w:p w14:paraId="4CF8AAD2">
      <w:pPr>
        <w:spacing w:line="360" w:lineRule="auto"/>
        <w:ind w:left="-17" w:leftChars="-8" w:firstLine="403"/>
        <w:jc w:val="left"/>
        <w:rPr>
          <w:bCs/>
          <w:color w:val="auto"/>
          <w:sz w:val="24"/>
        </w:rPr>
      </w:pPr>
      <m:oMath>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A</m:t>
            </m:r>
            <m:ctrlPr>
              <w:rPr>
                <w:rFonts w:ascii="Cambria Math" w:hAnsi="Cambria Math"/>
                <w:bCs/>
                <w:color w:val="auto"/>
                <w:sz w:val="24"/>
              </w:rPr>
            </m:ctrlPr>
          </m:sub>
        </m:sSub>
        <m:d>
          <m:dPr>
            <m:ctrlPr>
              <w:rPr>
                <w:rFonts w:ascii="Cambria Math" w:hAnsi="Cambria Math"/>
                <w:bCs/>
                <w:color w:val="auto"/>
                <w:sz w:val="24"/>
              </w:rPr>
            </m:ctrlPr>
          </m:dPr>
          <m:e>
            <m:r>
              <m:rPr>
                <m:sty m:val="p"/>
              </m:rPr>
              <w:rPr>
                <w:rFonts w:ascii="Cambria Math" w:hAnsi="Cambria Math"/>
                <w:color w:val="auto"/>
                <w:sz w:val="24"/>
              </w:rPr>
              <m:t>r</m:t>
            </m:r>
            <m:ctrlPr>
              <w:rPr>
                <w:rFonts w:ascii="Cambria Math" w:hAnsi="Cambria Math"/>
                <w:bCs/>
                <w:color w:val="auto"/>
                <w:sz w:val="24"/>
              </w:rPr>
            </m:ctrlPr>
          </m:e>
        </m:d>
        <m:r>
          <m:rPr>
            <m:sty m:val="p"/>
          </m:rPr>
          <w:rPr>
            <w:rFonts w:ascii="Cambria Math" w:hAnsi="Cambria Math"/>
            <w:color w:val="auto"/>
            <w:sz w:val="24"/>
          </w:rPr>
          <m:t>=</m:t>
        </m:r>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A</m:t>
            </m:r>
            <m:ctrlPr>
              <w:rPr>
                <w:rFonts w:ascii="Cambria Math" w:hAnsi="Cambria Math"/>
                <w:bCs/>
                <w:color w:val="auto"/>
                <w:sz w:val="24"/>
              </w:rPr>
            </m:ctrlPr>
          </m:sub>
        </m:sSub>
        <m:d>
          <m:dPr>
            <m:ctrlPr>
              <w:rPr>
                <w:rFonts w:ascii="Cambria Math" w:hAnsi="Cambria Math"/>
                <w:bCs/>
                <w:color w:val="auto"/>
                <w:sz w:val="24"/>
              </w:rPr>
            </m:ctrlPr>
          </m:dPr>
          <m:e>
            <m:sSub>
              <m:sSubPr>
                <m:ctrlPr>
                  <w:rPr>
                    <w:rFonts w:ascii="Cambria Math" w:hAnsi="Cambria Math"/>
                    <w:bCs/>
                    <w:color w:val="auto"/>
                    <w:sz w:val="24"/>
                  </w:rPr>
                </m:ctrlPr>
              </m:sSubPr>
              <m:e>
                <m:r>
                  <m:rPr>
                    <m:sty m:val="p"/>
                  </m:rPr>
                  <w:rPr>
                    <w:rFonts w:ascii="Cambria Math" w:hAnsi="Cambria Math"/>
                    <w:color w:val="auto"/>
                    <w:sz w:val="24"/>
                  </w:rPr>
                  <m:t>r</m:t>
                </m:r>
                <m:ctrlPr>
                  <w:rPr>
                    <w:rFonts w:ascii="Cambria Math" w:hAnsi="Cambria Math"/>
                    <w:bCs/>
                    <w:color w:val="auto"/>
                    <w:sz w:val="24"/>
                  </w:rPr>
                </m:ctrlPr>
              </m:e>
              <m:sub>
                <m:r>
                  <m:rPr>
                    <m:sty m:val="p"/>
                  </m:rPr>
                  <w:rPr>
                    <w:rFonts w:ascii="Cambria Math" w:hAnsi="Cambria Math"/>
                    <w:color w:val="auto"/>
                    <w:sz w:val="24"/>
                  </w:rPr>
                  <m:t>0</m:t>
                </m:r>
                <m:ctrlPr>
                  <w:rPr>
                    <w:rFonts w:ascii="Cambria Math" w:hAnsi="Cambria Math"/>
                    <w:bCs/>
                    <w:color w:val="auto"/>
                    <w:sz w:val="24"/>
                  </w:rPr>
                </m:ctrlPr>
              </m:sub>
            </m:sSub>
            <m:ctrlPr>
              <w:rPr>
                <w:rFonts w:ascii="Cambria Math" w:hAnsi="Cambria Math"/>
                <w:bCs/>
                <w:color w:val="auto"/>
                <w:sz w:val="24"/>
              </w:rPr>
            </m:ctrlPr>
          </m:e>
        </m:d>
        <m:r>
          <m:rPr>
            <m:sty m:val="p"/>
          </m:rPr>
          <w:rPr>
            <w:rFonts w:ascii="Cambria Math" w:hAnsi="Cambria Math"/>
            <w:color w:val="auto"/>
            <w:sz w:val="24"/>
          </w:rPr>
          <m:t>−</m:t>
        </m:r>
        <m:sSub>
          <m:sSubPr>
            <m:ctrlPr>
              <w:rPr>
                <w:rFonts w:ascii="Cambria Math" w:hAnsi="Cambria Math"/>
                <w:bCs/>
                <w:color w:val="auto"/>
                <w:sz w:val="24"/>
              </w:rPr>
            </m:ctrlPr>
          </m:sSubPr>
          <m:e>
            <m:r>
              <m:rPr>
                <m:sty m:val="p"/>
              </m:rPr>
              <w:rPr>
                <w:rFonts w:ascii="Cambria Math" w:hAnsi="Cambria Math"/>
                <w:color w:val="auto"/>
                <w:sz w:val="24"/>
              </w:rPr>
              <m:t>A</m:t>
            </m:r>
            <m:ctrlPr>
              <w:rPr>
                <w:rFonts w:ascii="Cambria Math" w:hAnsi="Cambria Math"/>
                <w:bCs/>
                <w:color w:val="auto"/>
                <w:sz w:val="24"/>
              </w:rPr>
            </m:ctrlPr>
          </m:e>
          <m:sub>
            <m:r>
              <m:rPr>
                <m:sty m:val="p"/>
              </m:rPr>
              <w:rPr>
                <w:rFonts w:ascii="Cambria Math" w:hAnsi="Cambria Math"/>
                <w:color w:val="auto"/>
                <w:sz w:val="24"/>
              </w:rPr>
              <m:t>div</m:t>
            </m:r>
            <m:ctrlPr>
              <w:rPr>
                <w:rFonts w:ascii="Cambria Math" w:hAnsi="Cambria Math"/>
                <w:bCs/>
                <w:color w:val="auto"/>
                <w:sz w:val="24"/>
              </w:rPr>
            </m:ctrlPr>
          </m:sub>
        </m:sSub>
      </m:oMath>
      <w:r>
        <w:rPr>
          <w:rFonts w:hint="eastAsia" w:hAnsi="Cambria Math"/>
          <w:bCs/>
          <w:color w:val="auto"/>
          <w:sz w:val="24"/>
        </w:rPr>
        <w:t xml:space="preserve">                                   （4）</w:t>
      </w:r>
    </w:p>
    <w:p w14:paraId="6E3C5F0A">
      <w:pPr>
        <w:spacing w:line="360" w:lineRule="auto"/>
        <w:ind w:left="-17" w:leftChars="-8" w:firstLine="403"/>
        <w:jc w:val="left"/>
        <w:rPr>
          <w:bCs/>
          <w:color w:val="auto"/>
          <w:sz w:val="24"/>
        </w:rPr>
      </w:pPr>
      <w:r>
        <w:rPr>
          <w:rFonts w:hint="eastAsia"/>
          <w:bCs/>
          <w:color w:val="auto"/>
          <w:sz w:val="24"/>
        </w:rPr>
        <w:t>式中：L</w:t>
      </w:r>
      <w:r>
        <w:rPr>
          <w:rFonts w:hint="eastAsia"/>
          <w:bCs/>
          <w:color w:val="auto"/>
          <w:sz w:val="24"/>
          <w:vertAlign w:val="subscript"/>
        </w:rPr>
        <w:t>A</w:t>
      </w:r>
      <w:r>
        <w:rPr>
          <w:rFonts w:hint="eastAsia"/>
          <w:bCs/>
          <w:color w:val="auto"/>
          <w:sz w:val="24"/>
        </w:rPr>
        <w:t>(r)——距声源r处胡A声级，dB（A）；</w:t>
      </w:r>
    </w:p>
    <w:p w14:paraId="419A3DAC">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A</w:t>
      </w:r>
      <w:r>
        <w:rPr>
          <w:rFonts w:hint="eastAsia"/>
          <w:bCs/>
          <w:color w:val="auto"/>
          <w:sz w:val="24"/>
        </w:rPr>
        <w:t>(r</w:t>
      </w:r>
      <w:r>
        <w:rPr>
          <w:rFonts w:hint="eastAsia"/>
          <w:bCs/>
          <w:color w:val="auto"/>
          <w:sz w:val="24"/>
          <w:vertAlign w:val="subscript"/>
        </w:rPr>
        <w:t>0</w:t>
      </w:r>
      <w:r>
        <w:rPr>
          <w:rFonts w:hint="eastAsia"/>
          <w:bCs/>
          <w:color w:val="auto"/>
          <w:sz w:val="24"/>
        </w:rPr>
        <w:t>)——参考位置r</w:t>
      </w:r>
      <w:r>
        <w:rPr>
          <w:rFonts w:hint="eastAsia"/>
          <w:bCs/>
          <w:color w:val="auto"/>
          <w:sz w:val="24"/>
          <w:vertAlign w:val="subscript"/>
        </w:rPr>
        <w:t>0</w:t>
      </w:r>
      <w:r>
        <w:rPr>
          <w:rFonts w:hint="eastAsia"/>
          <w:bCs/>
          <w:color w:val="auto"/>
          <w:sz w:val="24"/>
        </w:rPr>
        <w:t>处的A声级，dB（A）；</w:t>
      </w:r>
    </w:p>
    <w:p w14:paraId="3B96EC0E">
      <w:pPr>
        <w:spacing w:line="360" w:lineRule="auto"/>
        <w:ind w:left="-17" w:leftChars="-8" w:firstLine="403"/>
        <w:jc w:val="left"/>
        <w:rPr>
          <w:bCs/>
          <w:color w:val="auto"/>
          <w:sz w:val="24"/>
        </w:rPr>
      </w:pPr>
      <w:r>
        <w:rPr>
          <w:rFonts w:hint="eastAsia"/>
          <w:bCs/>
          <w:color w:val="auto"/>
          <w:sz w:val="24"/>
        </w:rPr>
        <w:t>A</w:t>
      </w:r>
      <w:r>
        <w:rPr>
          <w:rFonts w:hint="eastAsia"/>
          <w:bCs/>
          <w:color w:val="auto"/>
          <w:sz w:val="24"/>
          <w:vertAlign w:val="subscript"/>
        </w:rPr>
        <w:t>div</w:t>
      </w:r>
      <w:r>
        <w:rPr>
          <w:rFonts w:hint="eastAsia"/>
          <w:bCs/>
          <w:color w:val="auto"/>
          <w:sz w:val="24"/>
        </w:rPr>
        <w:t>——几何发散引起的衰减，dB（A）。</w:t>
      </w:r>
    </w:p>
    <w:p w14:paraId="71D40CA0">
      <w:pPr>
        <w:spacing w:line="360" w:lineRule="auto"/>
        <w:ind w:left="-17" w:leftChars="-8" w:firstLine="403"/>
        <w:jc w:val="left"/>
        <w:rPr>
          <w:bCs/>
          <w:color w:val="auto"/>
          <w:sz w:val="24"/>
        </w:rPr>
      </w:pPr>
      <w:r>
        <w:rPr>
          <w:rFonts w:hint="eastAsia"/>
          <w:bCs/>
          <w:color w:val="auto"/>
          <w:sz w:val="24"/>
          <w:lang w:val="en-US" w:eastAsia="zh-CN"/>
        </w:rPr>
        <w:t>2）</w:t>
      </w:r>
      <w:r>
        <w:rPr>
          <w:rFonts w:hint="eastAsia"/>
          <w:bCs/>
          <w:color w:val="auto"/>
          <w:sz w:val="24"/>
        </w:rPr>
        <w:t>室内声源等效室外声源声功率级计算方法</w:t>
      </w:r>
    </w:p>
    <w:p w14:paraId="37560B0C">
      <w:pPr>
        <w:spacing w:line="360" w:lineRule="auto"/>
        <w:ind w:left="-17" w:leftChars="-8" w:firstLine="403"/>
        <w:jc w:val="left"/>
        <w:rPr>
          <w:bCs/>
          <w:color w:val="auto"/>
          <w:sz w:val="24"/>
        </w:rPr>
      </w:pPr>
      <w:r>
        <w:rPr>
          <w:rFonts w:hint="eastAsia"/>
          <w:bCs/>
          <w:color w:val="auto"/>
          <w:sz w:val="24"/>
        </w:rPr>
        <w:t>声源位于室内，室内声源可采用等效室外声源声功率级法进行计算。设靠近开口处（或窗户）室内、室外某倍频带的声压级或A声级分别为L</w:t>
      </w:r>
      <w:r>
        <w:rPr>
          <w:rFonts w:hint="eastAsia"/>
          <w:bCs/>
          <w:color w:val="auto"/>
          <w:sz w:val="24"/>
          <w:vertAlign w:val="subscript"/>
        </w:rPr>
        <w:t>p1</w:t>
      </w:r>
      <w:r>
        <w:rPr>
          <w:rFonts w:hint="eastAsia"/>
          <w:bCs/>
          <w:color w:val="auto"/>
          <w:sz w:val="24"/>
        </w:rPr>
        <w:t>和L</w:t>
      </w:r>
      <w:r>
        <w:rPr>
          <w:rFonts w:hint="eastAsia"/>
          <w:bCs/>
          <w:color w:val="auto"/>
          <w:sz w:val="24"/>
          <w:vertAlign w:val="subscript"/>
        </w:rPr>
        <w:t>p2</w:t>
      </w:r>
      <w:r>
        <w:rPr>
          <w:rFonts w:hint="eastAsia"/>
          <w:bCs/>
          <w:color w:val="auto"/>
          <w:sz w:val="24"/>
        </w:rPr>
        <w:t>。若声源所在室内声场为近似扩散声场，则室外的倍频带声压级可按下式近似求出：</w:t>
      </w:r>
    </w:p>
    <w:p w14:paraId="3B974B66">
      <w:pPr>
        <w:spacing w:line="360" w:lineRule="auto"/>
        <w:ind w:left="-17" w:leftChars="-8" w:firstLine="403"/>
        <w:jc w:val="left"/>
        <w:rPr>
          <w:bCs/>
          <w:color w:val="auto"/>
          <w:sz w:val="24"/>
        </w:rPr>
      </w:pPr>
      <m:oMathPara>
        <m:oMath>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p2</m:t>
              </m:r>
              <m:ctrlPr>
                <w:rPr>
                  <w:rFonts w:ascii="Cambria Math" w:hAnsi="Cambria Math"/>
                  <w:bCs/>
                  <w:color w:val="auto"/>
                  <w:sz w:val="24"/>
                </w:rPr>
              </m:ctrlPr>
            </m:sub>
          </m:sSub>
          <m:r>
            <m:rPr>
              <m:sty m:val="p"/>
            </m:rPr>
            <w:rPr>
              <w:rFonts w:ascii="Cambria Math" w:hAnsi="Cambria Math"/>
              <w:color w:val="auto"/>
              <w:sz w:val="24"/>
            </w:rPr>
            <m:t>=</m:t>
          </m:r>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p1</m:t>
              </m:r>
              <m:ctrlPr>
                <w:rPr>
                  <w:rFonts w:ascii="Cambria Math" w:hAnsi="Cambria Math"/>
                  <w:bCs/>
                  <w:color w:val="auto"/>
                  <w:sz w:val="24"/>
                </w:rPr>
              </m:ctrlPr>
            </m:sub>
          </m:sSub>
          <m:r>
            <m:rPr>
              <m:sty m:val="p"/>
            </m:rPr>
            <w:rPr>
              <w:rFonts w:ascii="Cambria Math" w:hAnsi="Cambria Math"/>
              <w:color w:val="auto"/>
              <w:sz w:val="24"/>
            </w:rPr>
            <m:t>−</m:t>
          </m:r>
          <m:d>
            <m:dPr>
              <m:ctrlPr>
                <w:rPr>
                  <w:rFonts w:ascii="Cambria Math" w:hAnsi="Cambria Math"/>
                  <w:color w:val="auto"/>
                  <w:sz w:val="24"/>
                </w:rPr>
              </m:ctrlPr>
            </m:dPr>
            <m:e>
              <m:r>
                <m:rPr>
                  <m:sty m:val="p"/>
                </m:rPr>
                <w:rPr>
                  <w:rFonts w:ascii="Cambria Math" w:hAnsi="Cambria Math"/>
                  <w:color w:val="auto"/>
                  <w:sz w:val="24"/>
                </w:rPr>
                <m:t>TL+6</m:t>
              </m:r>
              <m:ctrlPr>
                <w:rPr>
                  <w:rFonts w:ascii="Cambria Math" w:hAnsi="Cambria Math"/>
                  <w:color w:val="auto"/>
                  <w:sz w:val="24"/>
                </w:rPr>
              </m:ctrlPr>
            </m:e>
          </m:d>
        </m:oMath>
      </m:oMathPara>
    </w:p>
    <w:p w14:paraId="61D739C8">
      <w:pPr>
        <w:spacing w:line="360" w:lineRule="auto"/>
        <w:ind w:left="-17" w:leftChars="-8" w:firstLine="403"/>
        <w:jc w:val="left"/>
        <w:rPr>
          <w:bCs/>
          <w:color w:val="auto"/>
          <w:sz w:val="24"/>
        </w:rPr>
      </w:pPr>
      <w:r>
        <w:rPr>
          <w:rFonts w:hint="eastAsia"/>
          <w:bCs/>
          <w:color w:val="auto"/>
          <w:sz w:val="24"/>
        </w:rPr>
        <w:t>式中：L</w:t>
      </w:r>
      <w:r>
        <w:rPr>
          <w:rFonts w:hint="eastAsia"/>
          <w:bCs/>
          <w:color w:val="auto"/>
          <w:sz w:val="24"/>
          <w:vertAlign w:val="subscript"/>
        </w:rPr>
        <w:t>p1</w:t>
      </w:r>
      <w:r>
        <w:rPr>
          <w:rFonts w:hint="eastAsia"/>
          <w:bCs/>
          <w:color w:val="auto"/>
          <w:sz w:val="24"/>
        </w:rPr>
        <w:t>——靠近开口处（或窗户）室内某倍频带的声压级或A声级，dB；</w:t>
      </w:r>
    </w:p>
    <w:p w14:paraId="0CBE9FE1">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p2</w:t>
      </w:r>
      <w:r>
        <w:rPr>
          <w:rFonts w:hint="eastAsia"/>
          <w:bCs/>
          <w:color w:val="auto"/>
          <w:sz w:val="24"/>
        </w:rPr>
        <w:t>——靠近开口处（或窗户）室外某倍频带的声压级或A声级，dB；</w:t>
      </w:r>
    </w:p>
    <w:p w14:paraId="04B08B3C">
      <w:pPr>
        <w:spacing w:line="360" w:lineRule="auto"/>
        <w:ind w:left="-17" w:leftChars="-8" w:firstLine="403"/>
        <w:jc w:val="left"/>
        <w:rPr>
          <w:bCs/>
          <w:color w:val="auto"/>
          <w:sz w:val="24"/>
        </w:rPr>
      </w:pPr>
      <w:r>
        <w:rPr>
          <w:rFonts w:hint="eastAsia"/>
          <w:bCs/>
          <w:color w:val="auto"/>
          <w:sz w:val="24"/>
        </w:rPr>
        <w:t>TL——隔墙（或窗户）倍频带或A声级的隔声量，dB。</w:t>
      </w:r>
    </w:p>
    <w:p w14:paraId="23ADFF1C">
      <w:pPr>
        <w:spacing w:line="360" w:lineRule="auto"/>
        <w:ind w:left="-17" w:leftChars="-8" w:firstLine="403"/>
        <w:jc w:val="left"/>
        <w:rPr>
          <w:bCs/>
          <w:color w:val="auto"/>
          <w:sz w:val="24"/>
        </w:rPr>
      </w:pPr>
      <w:r>
        <w:rPr>
          <w:rFonts w:hint="eastAsia"/>
          <w:bCs/>
          <w:color w:val="auto"/>
          <w:sz w:val="24"/>
        </w:rPr>
        <w:t>也可按下式计算某一室内声源靠近围护结构处产生的倍频带声压级或A声级：</w:t>
      </w:r>
    </w:p>
    <w:p w14:paraId="434568A3">
      <w:pPr>
        <w:spacing w:line="360" w:lineRule="auto"/>
        <w:ind w:left="-17" w:leftChars="-8" w:firstLine="403"/>
        <w:jc w:val="left"/>
        <w:rPr>
          <w:bCs/>
          <w:color w:val="auto"/>
          <w:sz w:val="24"/>
        </w:rPr>
      </w:pPr>
      <m:oMathPara>
        <m:oMath>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p1</m:t>
              </m:r>
              <m:ctrlPr>
                <w:rPr>
                  <w:rFonts w:ascii="Cambria Math" w:hAnsi="Cambria Math"/>
                  <w:bCs/>
                  <w:color w:val="auto"/>
                  <w:sz w:val="24"/>
                </w:rPr>
              </m:ctrlPr>
            </m:sub>
          </m:sSub>
          <m:r>
            <m:rPr>
              <m:sty m:val="p"/>
            </m:rPr>
            <w:rPr>
              <w:rFonts w:ascii="Cambria Math" w:hAnsi="Cambria Math"/>
              <w:color w:val="auto"/>
              <w:sz w:val="24"/>
            </w:rPr>
            <m:t>=</m:t>
          </m:r>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W</m:t>
              </m:r>
              <m:ctrlPr>
                <w:rPr>
                  <w:rFonts w:ascii="Cambria Math" w:hAnsi="Cambria Math"/>
                  <w:bCs/>
                  <w:color w:val="auto"/>
                  <w:sz w:val="24"/>
                </w:rPr>
              </m:ctrlPr>
            </m:sub>
          </m:sSub>
          <m:r>
            <m:rPr>
              <m:sty m:val="p"/>
            </m:rPr>
            <w:rPr>
              <w:rFonts w:ascii="Cambria Math" w:hAnsi="Cambria Math"/>
              <w:color w:val="auto"/>
              <w:sz w:val="24"/>
            </w:rPr>
            <m:t>+10lg</m:t>
          </m:r>
          <m:d>
            <m:dPr>
              <m:ctrlPr>
                <w:rPr>
                  <w:rFonts w:ascii="Cambria Math" w:hAnsi="Cambria Math"/>
                  <w:color w:val="auto"/>
                  <w:sz w:val="24"/>
                </w:rPr>
              </m:ctrlPr>
            </m:dPr>
            <m:e>
              <m:f>
                <m:fPr>
                  <m:ctrlPr>
                    <w:rPr>
                      <w:rFonts w:ascii="Cambria Math" w:hAnsi="Cambria Math"/>
                      <w:color w:val="auto"/>
                      <w:sz w:val="24"/>
                    </w:rPr>
                  </m:ctrlPr>
                </m:fPr>
                <m:num>
                  <m:r>
                    <m:rPr>
                      <m:sty m:val="p"/>
                    </m:rPr>
                    <w:rPr>
                      <w:rFonts w:ascii="Cambria Math" w:hAnsi="Cambria Math"/>
                      <w:color w:val="auto"/>
                      <w:sz w:val="24"/>
                    </w:rPr>
                    <m:t>Q</m:t>
                  </m:r>
                  <m:ctrlPr>
                    <w:rPr>
                      <w:rFonts w:ascii="Cambria Math" w:hAnsi="Cambria Math"/>
                      <w:color w:val="auto"/>
                      <w:sz w:val="24"/>
                    </w:rPr>
                  </m:ctrlPr>
                </m:num>
                <m:den>
                  <m:r>
                    <m:rPr>
                      <m:sty m:val="p"/>
                    </m:rPr>
                    <w:rPr>
                      <w:rFonts w:ascii="Cambria Math" w:hAnsi="Cambria Math"/>
                      <w:color w:val="auto"/>
                      <w:sz w:val="24"/>
                    </w:rPr>
                    <m:t>4π</m:t>
                  </m:r>
                  <m:sSup>
                    <m:sSupPr>
                      <m:ctrlPr>
                        <w:rPr>
                          <w:rFonts w:ascii="Cambria Math" w:hAnsi="Cambria Math"/>
                          <w:color w:val="auto"/>
                          <w:sz w:val="24"/>
                        </w:rPr>
                      </m:ctrlPr>
                    </m:sSupPr>
                    <m:e>
                      <m:r>
                        <m:rPr>
                          <m:sty m:val="p"/>
                        </m:rPr>
                        <w:rPr>
                          <w:rFonts w:ascii="Cambria Math" w:hAnsi="Cambria Math"/>
                          <w:color w:val="auto"/>
                          <w:sz w:val="24"/>
                        </w:rPr>
                        <m:t>r</m:t>
                      </m:r>
                      <m:ctrlPr>
                        <w:rPr>
                          <w:rFonts w:ascii="Cambria Math" w:hAnsi="Cambria Math"/>
                          <w:color w:val="auto"/>
                          <w:sz w:val="24"/>
                        </w:rPr>
                      </m:ctrlPr>
                    </m:e>
                    <m:sup>
                      <m:r>
                        <m:rPr>
                          <m:sty m:val="p"/>
                        </m:rPr>
                        <w:rPr>
                          <w:rFonts w:ascii="Cambria Math" w:hAnsi="Cambria Math"/>
                          <w:color w:val="auto"/>
                          <w:sz w:val="24"/>
                        </w:rPr>
                        <m:t>2</m:t>
                      </m:r>
                      <m:ctrlPr>
                        <w:rPr>
                          <w:rFonts w:ascii="Cambria Math" w:hAnsi="Cambria Math"/>
                          <w:color w:val="auto"/>
                          <w:sz w:val="24"/>
                        </w:rPr>
                      </m:ctrlPr>
                    </m:sup>
                  </m:sSup>
                  <m:ctrlPr>
                    <w:rPr>
                      <w:rFonts w:ascii="Cambria Math" w:hAnsi="Cambria Math"/>
                      <w:color w:val="auto"/>
                      <w:sz w:val="24"/>
                    </w:rPr>
                  </m:ctrlPr>
                </m:den>
              </m:f>
              <m:r>
                <m:rPr>
                  <m:sty m:val="p"/>
                </m:rPr>
                <w:rPr>
                  <w:rFonts w:ascii="Cambria Math" w:hAnsi="Cambria Math"/>
                  <w:color w:val="auto"/>
                  <w:sz w:val="24"/>
                </w:rPr>
                <m:t>+</m:t>
              </m:r>
              <m:f>
                <m:fPr>
                  <m:ctrlPr>
                    <w:rPr>
                      <w:rFonts w:ascii="Cambria Math" w:hAnsi="Cambria Math"/>
                      <w:color w:val="auto"/>
                      <w:sz w:val="24"/>
                    </w:rPr>
                  </m:ctrlPr>
                </m:fPr>
                <m:num>
                  <m:r>
                    <m:rPr>
                      <m:sty m:val="p"/>
                    </m:rPr>
                    <w:rPr>
                      <w:rFonts w:ascii="Cambria Math" w:hAnsi="Cambria Math"/>
                      <w:color w:val="auto"/>
                      <w:sz w:val="24"/>
                    </w:rPr>
                    <m:t>4</m:t>
                  </m:r>
                  <m:ctrlPr>
                    <w:rPr>
                      <w:rFonts w:ascii="Cambria Math" w:hAnsi="Cambria Math"/>
                      <w:color w:val="auto"/>
                      <w:sz w:val="24"/>
                    </w:rPr>
                  </m:ctrlPr>
                </m:num>
                <m:den>
                  <m:r>
                    <m:rPr>
                      <m:sty m:val="p"/>
                    </m:rPr>
                    <w:rPr>
                      <w:rFonts w:ascii="Cambria Math" w:hAnsi="Cambria Math"/>
                      <w:color w:val="auto"/>
                      <w:sz w:val="24"/>
                    </w:rPr>
                    <m:t>R</m:t>
                  </m:r>
                  <m:ctrlPr>
                    <w:rPr>
                      <w:rFonts w:ascii="Cambria Math" w:hAnsi="Cambria Math"/>
                      <w:color w:val="auto"/>
                      <w:sz w:val="24"/>
                    </w:rPr>
                  </m:ctrlPr>
                </m:den>
              </m:f>
              <m:ctrlPr>
                <w:rPr>
                  <w:rFonts w:ascii="Cambria Math" w:hAnsi="Cambria Math"/>
                  <w:color w:val="auto"/>
                  <w:sz w:val="24"/>
                </w:rPr>
              </m:ctrlPr>
            </m:e>
          </m:d>
        </m:oMath>
      </m:oMathPara>
    </w:p>
    <w:p w14:paraId="14340A57">
      <w:pPr>
        <w:spacing w:line="360" w:lineRule="auto"/>
        <w:ind w:left="-17" w:leftChars="-8" w:firstLine="403"/>
        <w:jc w:val="left"/>
        <w:rPr>
          <w:bCs/>
          <w:color w:val="auto"/>
          <w:sz w:val="24"/>
        </w:rPr>
      </w:pPr>
      <w:r>
        <w:rPr>
          <w:rFonts w:hint="eastAsia"/>
          <w:bCs/>
          <w:color w:val="auto"/>
          <w:sz w:val="24"/>
        </w:rPr>
        <w:t>式中：L</w:t>
      </w:r>
      <w:r>
        <w:rPr>
          <w:rFonts w:hint="eastAsia"/>
          <w:bCs/>
          <w:color w:val="auto"/>
          <w:sz w:val="24"/>
          <w:vertAlign w:val="subscript"/>
        </w:rPr>
        <w:t>p1</w:t>
      </w:r>
      <w:r>
        <w:rPr>
          <w:rFonts w:hint="eastAsia"/>
          <w:bCs/>
          <w:color w:val="auto"/>
          <w:sz w:val="24"/>
        </w:rPr>
        <w:t>——靠近开口处（或窗户）室内某倍频带的声压级或A声级，dB；</w:t>
      </w:r>
    </w:p>
    <w:p w14:paraId="48DF1630">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w</w:t>
      </w:r>
      <w:r>
        <w:rPr>
          <w:rFonts w:hint="eastAsia"/>
          <w:bCs/>
          <w:color w:val="auto"/>
          <w:sz w:val="24"/>
        </w:rPr>
        <w:t>——点声源声功率级（A 计权或倍频带），dB；</w:t>
      </w:r>
    </w:p>
    <w:p w14:paraId="0FA18A56">
      <w:pPr>
        <w:spacing w:line="360" w:lineRule="auto"/>
        <w:ind w:left="-17" w:leftChars="-8" w:firstLine="403"/>
        <w:jc w:val="left"/>
        <w:rPr>
          <w:bCs/>
          <w:color w:val="auto"/>
          <w:sz w:val="24"/>
        </w:rPr>
      </w:pPr>
      <w:r>
        <w:rPr>
          <w:rFonts w:hint="eastAsia"/>
          <w:bCs/>
          <w:color w:val="auto"/>
          <w:sz w:val="24"/>
        </w:rPr>
        <w:t>Q——指向性因数；通常对无指向性声源，当声源放在房间中心时，Q=1；当放在一面墙的中心时，Q=2；当放在两面墙夹角处时，Q=4；当放在三面墙夹角处时，Q=8；</w:t>
      </w:r>
    </w:p>
    <w:p w14:paraId="70BC1BFD">
      <w:pPr>
        <w:spacing w:line="360" w:lineRule="auto"/>
        <w:ind w:left="-17" w:leftChars="-8" w:firstLine="403"/>
        <w:jc w:val="left"/>
        <w:rPr>
          <w:bCs/>
          <w:color w:val="auto"/>
          <w:sz w:val="24"/>
        </w:rPr>
      </w:pPr>
      <w:r>
        <w:rPr>
          <w:rFonts w:hint="eastAsia"/>
          <w:bCs/>
          <w:color w:val="auto"/>
          <w:sz w:val="24"/>
        </w:rPr>
        <w:t>R——房间常数；</w:t>
      </w:r>
      <m:oMath>
        <m:r>
          <m:rPr>
            <m:sty m:val="p"/>
          </m:rPr>
          <w:rPr>
            <w:rFonts w:ascii="Cambria Math" w:hAnsi="Cambria Math"/>
            <w:color w:val="auto"/>
            <w:sz w:val="24"/>
          </w:rPr>
          <m:t>R=Sa/</m:t>
        </m:r>
        <m:d>
          <m:dPr>
            <m:ctrlPr>
              <w:rPr>
                <w:rFonts w:ascii="Cambria Math" w:hAnsi="Cambria Math"/>
                <w:color w:val="auto"/>
                <w:sz w:val="24"/>
              </w:rPr>
            </m:ctrlPr>
          </m:dPr>
          <m:e>
            <m:r>
              <m:rPr>
                <m:sty m:val="p"/>
              </m:rPr>
              <w:rPr>
                <w:rFonts w:ascii="Cambria Math" w:hAnsi="Cambria Math"/>
                <w:color w:val="auto"/>
                <w:sz w:val="24"/>
              </w:rPr>
              <m:t>1−α</m:t>
            </m:r>
            <m:ctrlPr>
              <w:rPr>
                <w:rFonts w:ascii="Cambria Math" w:hAnsi="Cambria Math"/>
                <w:color w:val="auto"/>
                <w:sz w:val="24"/>
              </w:rPr>
            </m:ctrlPr>
          </m:e>
        </m:d>
      </m:oMath>
      <w:r>
        <w:rPr>
          <w:rFonts w:hint="eastAsia" w:hAnsi="Cambria Math"/>
          <w:color w:val="auto"/>
          <w:sz w:val="24"/>
        </w:rPr>
        <w:t>，</w:t>
      </w:r>
      <w:r>
        <w:rPr>
          <w:rFonts w:hint="eastAsia"/>
          <w:bCs/>
          <w:color w:val="auto"/>
          <w:sz w:val="24"/>
        </w:rPr>
        <w:t>S为房间内表面面积，m</w:t>
      </w:r>
      <w:r>
        <w:rPr>
          <w:rFonts w:hint="eastAsia"/>
          <w:bCs/>
          <w:color w:val="auto"/>
          <w:sz w:val="24"/>
          <w:vertAlign w:val="superscript"/>
        </w:rPr>
        <w:t>2</w:t>
      </w:r>
      <w:r>
        <w:rPr>
          <w:rFonts w:hint="eastAsia"/>
          <w:bCs/>
          <w:color w:val="auto"/>
          <w:sz w:val="24"/>
        </w:rPr>
        <w:t>；</w:t>
      </w:r>
      <w:r>
        <w:rPr>
          <w:bCs/>
          <w:color w:val="auto"/>
          <w:sz w:val="24"/>
        </w:rPr>
        <w:t>α</w:t>
      </w:r>
      <w:r>
        <w:rPr>
          <w:rFonts w:hint="eastAsia"/>
          <w:bCs/>
          <w:color w:val="auto"/>
          <w:sz w:val="24"/>
        </w:rPr>
        <w:t>为平均吸声系数；</w:t>
      </w:r>
    </w:p>
    <w:p w14:paraId="51BF594B">
      <w:pPr>
        <w:spacing w:line="360" w:lineRule="auto"/>
        <w:ind w:left="-17" w:leftChars="-8" w:firstLine="403"/>
        <w:jc w:val="left"/>
        <w:rPr>
          <w:bCs/>
          <w:color w:val="auto"/>
          <w:sz w:val="24"/>
        </w:rPr>
      </w:pPr>
      <w:r>
        <w:rPr>
          <w:rFonts w:hint="eastAsia"/>
          <w:bCs/>
          <w:color w:val="auto"/>
          <w:sz w:val="24"/>
        </w:rPr>
        <w:t>r——声源到靠近围护结构某点处的距离，m。</w:t>
      </w:r>
    </w:p>
    <w:p w14:paraId="4B85F908">
      <w:pPr>
        <w:spacing w:line="360" w:lineRule="auto"/>
        <w:ind w:left="-17" w:leftChars="-8" w:firstLine="403"/>
        <w:jc w:val="left"/>
        <w:rPr>
          <w:bCs/>
          <w:color w:val="auto"/>
          <w:sz w:val="24"/>
        </w:rPr>
      </w:pPr>
      <w:r>
        <w:rPr>
          <w:rFonts w:hint="eastAsia"/>
          <w:bCs/>
          <w:color w:val="auto"/>
          <w:sz w:val="24"/>
        </w:rPr>
        <w:t>然后按下式计算出所有室内声源在围护结构处产生的i倍频带叠加声压级：</w:t>
      </w:r>
    </w:p>
    <w:p w14:paraId="41AB199B">
      <w:pPr>
        <w:spacing w:line="360" w:lineRule="auto"/>
        <w:ind w:left="-17" w:leftChars="-8" w:firstLine="403"/>
        <w:jc w:val="left"/>
        <w:rPr>
          <w:bCs/>
          <w:color w:val="auto"/>
          <w:sz w:val="24"/>
        </w:rPr>
      </w:pPr>
      <m:oMathPara>
        <m:oMath>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pli</m:t>
              </m:r>
              <m:ctrlPr>
                <w:rPr>
                  <w:rFonts w:ascii="Cambria Math" w:hAnsi="Cambria Math"/>
                  <w:bCs/>
                  <w:color w:val="auto"/>
                  <w:sz w:val="24"/>
                </w:rPr>
              </m:ctrlPr>
            </m:sub>
          </m:sSub>
          <m:d>
            <m:dPr>
              <m:ctrlPr>
                <w:rPr>
                  <w:rFonts w:ascii="Cambria Math" w:hAnsi="Cambria Math"/>
                  <w:bCs/>
                  <w:color w:val="auto"/>
                  <w:sz w:val="24"/>
                </w:rPr>
              </m:ctrlPr>
            </m:dPr>
            <m:e>
              <m:r>
                <m:rPr>
                  <m:sty m:val="p"/>
                </m:rPr>
                <w:rPr>
                  <w:rFonts w:ascii="Cambria Math" w:hAnsi="Cambria Math"/>
                  <w:color w:val="auto"/>
                  <w:sz w:val="24"/>
                </w:rPr>
                <m:t>T</m:t>
              </m:r>
              <m:ctrlPr>
                <w:rPr>
                  <w:rFonts w:ascii="Cambria Math" w:hAnsi="Cambria Math"/>
                  <w:bCs/>
                  <w:color w:val="auto"/>
                  <w:sz w:val="24"/>
                </w:rPr>
              </m:ctrlPr>
            </m:e>
          </m:d>
          <m:r>
            <m:rPr>
              <m:sty m:val="p"/>
            </m:rPr>
            <w:rPr>
              <w:rFonts w:ascii="Cambria Math" w:hAnsi="Cambria Math"/>
              <w:color w:val="auto"/>
              <w:sz w:val="24"/>
            </w:rPr>
            <m:t>=10lg</m:t>
          </m:r>
          <m:d>
            <m:dPr>
              <m:ctrlPr>
                <w:rPr>
                  <w:rFonts w:ascii="Cambria Math" w:hAnsi="Cambria Math"/>
                  <w:color w:val="auto"/>
                  <w:sz w:val="24"/>
                </w:rPr>
              </m:ctrlPr>
            </m:dPr>
            <m:e>
              <m:nary>
                <m:naryPr>
                  <m:chr m:val="∑"/>
                  <m:limLoc m:val="undOvr"/>
                  <m:ctrlPr>
                    <w:rPr>
                      <w:rFonts w:ascii="Cambria Math" w:hAnsi="Cambria Math"/>
                      <w:color w:val="auto"/>
                      <w:sz w:val="24"/>
                    </w:rPr>
                  </m:ctrlPr>
                </m:naryPr>
                <m:sub>
                  <m:r>
                    <m:rPr>
                      <m:sty m:val="p"/>
                    </m:rPr>
                    <w:rPr>
                      <w:rFonts w:ascii="Cambria Math" w:hAnsi="Cambria Math"/>
                      <w:color w:val="auto"/>
                      <w:sz w:val="24"/>
                    </w:rPr>
                    <m:t>j=1</m:t>
                  </m:r>
                  <m:ctrlPr>
                    <w:rPr>
                      <w:rFonts w:ascii="Cambria Math" w:hAnsi="Cambria Math"/>
                      <w:color w:val="auto"/>
                      <w:sz w:val="24"/>
                    </w:rPr>
                  </m:ctrlPr>
                </m:sub>
                <m:sup>
                  <m:r>
                    <m:rPr>
                      <m:sty m:val="p"/>
                    </m:rPr>
                    <w:rPr>
                      <w:rFonts w:ascii="Cambria Math" w:hAnsi="Cambria Math"/>
                      <w:color w:val="auto"/>
                      <w:sz w:val="24"/>
                    </w:rPr>
                    <m:t>N</m:t>
                  </m:r>
                  <m:ctrlPr>
                    <w:rPr>
                      <w:rFonts w:ascii="Cambria Math" w:hAnsi="Cambria Math"/>
                      <w:color w:val="auto"/>
                      <w:sz w:val="24"/>
                    </w:rPr>
                  </m:ctrlPr>
                </m:sup>
                <m:e>
                  <m:sSup>
                    <m:sSupPr>
                      <m:ctrlPr>
                        <w:rPr>
                          <w:rFonts w:ascii="Cambria Math" w:hAnsi="Cambria Math"/>
                          <w:color w:val="auto"/>
                          <w:sz w:val="24"/>
                        </w:rPr>
                      </m:ctrlPr>
                    </m:sSupPr>
                    <m:e>
                      <m:r>
                        <m:rPr>
                          <m:sty m:val="p"/>
                        </m:rPr>
                        <w:rPr>
                          <w:rFonts w:ascii="Cambria Math" w:hAnsi="Cambria Math"/>
                          <w:color w:val="auto"/>
                          <w:sz w:val="24"/>
                        </w:rPr>
                        <m:t>10</m:t>
                      </m:r>
                      <m:ctrlPr>
                        <w:rPr>
                          <w:rFonts w:ascii="Cambria Math" w:hAnsi="Cambria Math"/>
                          <w:color w:val="auto"/>
                          <w:sz w:val="24"/>
                        </w:rPr>
                      </m:ctrlPr>
                    </m:e>
                    <m:sup>
                      <m:r>
                        <m:rPr>
                          <m:sty m:val="p"/>
                        </m:rPr>
                        <w:rPr>
                          <w:rFonts w:ascii="Cambria Math" w:hAnsi="Cambria Math"/>
                          <w:color w:val="auto"/>
                          <w:sz w:val="24"/>
                        </w:rPr>
                        <m:t>0.1</m:t>
                      </m:r>
                      <m:sSub>
                        <m:sSubPr>
                          <m:ctrlPr>
                            <w:rPr>
                              <w:rFonts w:ascii="Cambria Math" w:hAnsi="Cambria Math"/>
                              <w:color w:val="auto"/>
                              <w:sz w:val="24"/>
                            </w:rPr>
                          </m:ctrlPr>
                        </m:sSubPr>
                        <m:e>
                          <m:r>
                            <m:rPr>
                              <m:sty m:val="p"/>
                            </m:rPr>
                            <w:rPr>
                              <w:rFonts w:ascii="Cambria Math" w:hAnsi="Cambria Math"/>
                              <w:color w:val="auto"/>
                              <w:sz w:val="24"/>
                            </w:rPr>
                            <m:t>L</m:t>
                          </m:r>
                          <m:ctrlPr>
                            <w:rPr>
                              <w:rFonts w:ascii="Cambria Math" w:hAnsi="Cambria Math"/>
                              <w:color w:val="auto"/>
                              <w:sz w:val="24"/>
                            </w:rPr>
                          </m:ctrlPr>
                        </m:e>
                        <m:sub>
                          <m:r>
                            <m:rPr>
                              <m:sty m:val="p"/>
                            </m:rPr>
                            <w:rPr>
                              <w:rFonts w:ascii="Cambria Math" w:hAnsi="Cambria Math"/>
                              <w:color w:val="auto"/>
                              <w:sz w:val="24"/>
                            </w:rPr>
                            <m:t>p1ij</m:t>
                          </m:r>
                          <m:ctrlPr>
                            <w:rPr>
                              <w:rFonts w:ascii="Cambria Math" w:hAnsi="Cambria Math"/>
                              <w:color w:val="auto"/>
                              <w:sz w:val="24"/>
                            </w:rPr>
                          </m:ctrlPr>
                        </m:sub>
                      </m:sSub>
                      <m:ctrlPr>
                        <w:rPr>
                          <w:rFonts w:ascii="Cambria Math" w:hAnsi="Cambria Math"/>
                          <w:color w:val="auto"/>
                          <w:sz w:val="24"/>
                        </w:rPr>
                      </m:ctrlPr>
                    </m:sup>
                  </m:sSup>
                  <m:ctrlPr>
                    <w:rPr>
                      <w:rFonts w:ascii="Cambria Math" w:hAnsi="Cambria Math"/>
                      <w:color w:val="auto"/>
                      <w:sz w:val="24"/>
                    </w:rPr>
                  </m:ctrlPr>
                </m:e>
              </m:nary>
              <m:ctrlPr>
                <w:rPr>
                  <w:rFonts w:ascii="Cambria Math" w:hAnsi="Cambria Math"/>
                  <w:color w:val="auto"/>
                  <w:sz w:val="24"/>
                </w:rPr>
              </m:ctrlPr>
            </m:e>
          </m:d>
        </m:oMath>
      </m:oMathPara>
    </w:p>
    <w:p w14:paraId="393FB3EE">
      <w:pPr>
        <w:spacing w:line="360" w:lineRule="auto"/>
        <w:ind w:left="-17" w:leftChars="-8" w:firstLine="403"/>
        <w:jc w:val="left"/>
        <w:rPr>
          <w:bCs/>
          <w:color w:val="auto"/>
          <w:sz w:val="24"/>
        </w:rPr>
      </w:pPr>
      <w:r>
        <w:rPr>
          <w:rFonts w:hint="eastAsia"/>
          <w:bCs/>
          <w:color w:val="auto"/>
          <w:sz w:val="24"/>
        </w:rPr>
        <w:t>式中：L</w:t>
      </w:r>
      <w:r>
        <w:rPr>
          <w:rFonts w:hint="eastAsia"/>
          <w:bCs/>
          <w:color w:val="auto"/>
          <w:sz w:val="24"/>
          <w:vertAlign w:val="subscript"/>
        </w:rPr>
        <w:t>p1i</w:t>
      </w:r>
      <w:r>
        <w:rPr>
          <w:rFonts w:hint="eastAsia"/>
          <w:bCs/>
          <w:color w:val="auto"/>
          <w:sz w:val="24"/>
        </w:rPr>
        <w:t>（T）——靠近围护结构处室内N个声源i倍频带的叠加声压级，dB；</w:t>
      </w:r>
    </w:p>
    <w:p w14:paraId="55ABC577">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p1ij</w:t>
      </w:r>
      <w:r>
        <w:rPr>
          <w:rFonts w:hint="eastAsia"/>
          <w:bCs/>
          <w:color w:val="auto"/>
          <w:sz w:val="24"/>
        </w:rPr>
        <w:t>——室内j声源i倍频带的声压级，dB；</w:t>
      </w:r>
    </w:p>
    <w:p w14:paraId="736D2C3C">
      <w:pPr>
        <w:spacing w:line="360" w:lineRule="auto"/>
        <w:ind w:left="-17" w:leftChars="-8" w:firstLine="403"/>
        <w:jc w:val="left"/>
        <w:rPr>
          <w:bCs/>
          <w:color w:val="auto"/>
          <w:sz w:val="24"/>
        </w:rPr>
      </w:pPr>
      <w:r>
        <w:rPr>
          <w:rFonts w:hint="eastAsia"/>
          <w:bCs/>
          <w:color w:val="auto"/>
          <w:sz w:val="24"/>
        </w:rPr>
        <w:t>N—室内声源总数。</w:t>
      </w:r>
    </w:p>
    <w:p w14:paraId="14AC4635">
      <w:pPr>
        <w:spacing w:line="360" w:lineRule="auto"/>
        <w:ind w:left="-17" w:leftChars="-8" w:firstLine="403"/>
        <w:jc w:val="left"/>
        <w:rPr>
          <w:bCs/>
          <w:color w:val="auto"/>
          <w:sz w:val="24"/>
        </w:rPr>
      </w:pPr>
      <w:r>
        <w:rPr>
          <w:rFonts w:hint="eastAsia"/>
          <w:bCs/>
          <w:color w:val="auto"/>
          <w:sz w:val="24"/>
        </w:rPr>
        <w:t>在室内近似为扩散声场时，按下式计算出靠近室外围护结构处的声压级：</w:t>
      </w:r>
    </w:p>
    <w:p w14:paraId="329D1FC7">
      <w:pPr>
        <w:spacing w:line="360" w:lineRule="auto"/>
        <w:ind w:left="-17" w:leftChars="-8" w:firstLine="403"/>
        <w:jc w:val="left"/>
        <w:rPr>
          <w:bCs/>
          <w:color w:val="auto"/>
          <w:sz w:val="24"/>
        </w:rPr>
      </w:pPr>
      <m:oMathPara>
        <m:oMath>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p2i</m:t>
              </m:r>
              <m:ctrlPr>
                <w:rPr>
                  <w:rFonts w:ascii="Cambria Math" w:hAnsi="Cambria Math"/>
                  <w:bCs/>
                  <w:color w:val="auto"/>
                  <w:sz w:val="24"/>
                </w:rPr>
              </m:ctrlPr>
            </m:sub>
          </m:sSub>
          <m:d>
            <m:dPr>
              <m:ctrlPr>
                <w:rPr>
                  <w:rFonts w:ascii="Cambria Math" w:hAnsi="Cambria Math"/>
                  <w:bCs/>
                  <w:color w:val="auto"/>
                  <w:sz w:val="24"/>
                </w:rPr>
              </m:ctrlPr>
            </m:dPr>
            <m:e>
              <m:r>
                <m:rPr>
                  <m:sty m:val="p"/>
                </m:rPr>
                <w:rPr>
                  <w:rFonts w:ascii="Cambria Math" w:hAnsi="Cambria Math"/>
                  <w:color w:val="auto"/>
                  <w:sz w:val="24"/>
                </w:rPr>
                <m:t>T</m:t>
              </m:r>
              <m:ctrlPr>
                <w:rPr>
                  <w:rFonts w:ascii="Cambria Math" w:hAnsi="Cambria Math"/>
                  <w:bCs/>
                  <w:color w:val="auto"/>
                  <w:sz w:val="24"/>
                </w:rPr>
              </m:ctrlPr>
            </m:e>
          </m:d>
          <m:r>
            <m:rPr>
              <m:sty m:val="p"/>
            </m:rPr>
            <w:rPr>
              <w:rFonts w:ascii="Cambria Math" w:hAnsi="Cambria Math"/>
              <w:color w:val="auto"/>
              <w:sz w:val="24"/>
            </w:rPr>
            <m:t>=</m:t>
          </m:r>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pl1</m:t>
              </m:r>
              <m:ctrlPr>
                <w:rPr>
                  <w:rFonts w:ascii="Cambria Math" w:hAnsi="Cambria Math"/>
                  <w:bCs/>
                  <w:color w:val="auto"/>
                  <w:sz w:val="24"/>
                </w:rPr>
              </m:ctrlPr>
            </m:sub>
          </m:sSub>
          <m:d>
            <m:dPr>
              <m:ctrlPr>
                <w:rPr>
                  <w:rFonts w:ascii="Cambria Math" w:hAnsi="Cambria Math"/>
                  <w:bCs/>
                  <w:color w:val="auto"/>
                  <w:sz w:val="24"/>
                </w:rPr>
              </m:ctrlPr>
            </m:dPr>
            <m:e>
              <m:r>
                <m:rPr>
                  <m:sty m:val="p"/>
                </m:rPr>
                <w:rPr>
                  <w:rFonts w:ascii="Cambria Math" w:hAnsi="Cambria Math"/>
                  <w:color w:val="auto"/>
                  <w:sz w:val="24"/>
                </w:rPr>
                <m:t>T</m:t>
              </m:r>
              <m:ctrlPr>
                <w:rPr>
                  <w:rFonts w:ascii="Cambria Math" w:hAnsi="Cambria Math"/>
                  <w:bCs/>
                  <w:color w:val="auto"/>
                  <w:sz w:val="24"/>
                </w:rPr>
              </m:ctrlPr>
            </m:e>
          </m:d>
          <m:r>
            <m:rPr>
              <m:sty m:val="p"/>
            </m:rPr>
            <w:rPr>
              <w:rFonts w:ascii="Cambria Math" w:hAnsi="Cambria Math"/>
              <w:color w:val="auto"/>
              <w:sz w:val="24"/>
            </w:rPr>
            <m:t>−</m:t>
          </m:r>
          <m:d>
            <m:dPr>
              <m:ctrlPr>
                <w:rPr>
                  <w:rFonts w:ascii="Cambria Math" w:hAnsi="Cambria Math"/>
                  <w:color w:val="auto"/>
                  <w:sz w:val="24"/>
                </w:rPr>
              </m:ctrlPr>
            </m:dPr>
            <m:e>
              <m:r>
                <m:rPr>
                  <m:sty m:val="p"/>
                </m:rPr>
                <w:rPr>
                  <w:rFonts w:ascii="Cambria Math" w:hAnsi="Cambria Math"/>
                  <w:color w:val="auto"/>
                  <w:sz w:val="24"/>
                </w:rPr>
                <m:t>T</m:t>
              </m:r>
              <m:sSub>
                <m:sSubPr>
                  <m:ctrlPr>
                    <w:rPr>
                      <w:rFonts w:ascii="Cambria Math" w:hAnsi="Cambria Math"/>
                      <w:color w:val="auto"/>
                      <w:sz w:val="24"/>
                    </w:rPr>
                  </m:ctrlPr>
                </m:sSubPr>
                <m:e>
                  <m:r>
                    <m:rPr>
                      <m:sty m:val="p"/>
                    </m:rPr>
                    <w:rPr>
                      <w:rFonts w:ascii="Cambria Math" w:hAnsi="Cambria Math"/>
                      <w:color w:val="auto"/>
                      <w:sz w:val="24"/>
                    </w:rPr>
                    <m:t>L</m:t>
                  </m:r>
                  <m:ctrlPr>
                    <w:rPr>
                      <w:rFonts w:ascii="Cambria Math" w:hAnsi="Cambria Math"/>
                      <w:color w:val="auto"/>
                      <w:sz w:val="24"/>
                    </w:rPr>
                  </m:ctrlPr>
                </m:e>
                <m:sub>
                  <m:r>
                    <m:rPr>
                      <m:sty m:val="p"/>
                    </m:rPr>
                    <w:rPr>
                      <w:rFonts w:ascii="Cambria Math" w:hAnsi="Cambria Math"/>
                      <w:color w:val="auto"/>
                      <w:sz w:val="24"/>
                    </w:rPr>
                    <m:t>i</m:t>
                  </m:r>
                  <m:ctrlPr>
                    <w:rPr>
                      <w:rFonts w:ascii="Cambria Math" w:hAnsi="Cambria Math"/>
                      <w:color w:val="auto"/>
                      <w:sz w:val="24"/>
                    </w:rPr>
                  </m:ctrlPr>
                </m:sub>
              </m:sSub>
              <m:r>
                <m:rPr>
                  <m:sty m:val="p"/>
                </m:rPr>
                <w:rPr>
                  <w:rFonts w:ascii="Cambria Math" w:hAnsi="Cambria Math"/>
                  <w:color w:val="auto"/>
                  <w:sz w:val="24"/>
                </w:rPr>
                <m:t>+6</m:t>
              </m:r>
              <m:ctrlPr>
                <w:rPr>
                  <w:rFonts w:ascii="Cambria Math" w:hAnsi="Cambria Math"/>
                  <w:color w:val="auto"/>
                  <w:sz w:val="24"/>
                </w:rPr>
              </m:ctrlPr>
            </m:e>
          </m:d>
        </m:oMath>
      </m:oMathPara>
    </w:p>
    <w:p w14:paraId="1BCEA57A">
      <w:pPr>
        <w:spacing w:line="360" w:lineRule="auto"/>
        <w:ind w:left="-17" w:leftChars="-8" w:firstLine="403"/>
        <w:jc w:val="left"/>
        <w:rPr>
          <w:bCs/>
          <w:color w:val="auto"/>
          <w:sz w:val="24"/>
        </w:rPr>
      </w:pPr>
      <w:r>
        <w:rPr>
          <w:rFonts w:hint="eastAsia"/>
          <w:bCs/>
          <w:color w:val="auto"/>
          <w:sz w:val="24"/>
        </w:rPr>
        <w:t>式中：L</w:t>
      </w:r>
      <w:r>
        <w:rPr>
          <w:rFonts w:hint="eastAsia"/>
          <w:bCs/>
          <w:color w:val="auto"/>
          <w:sz w:val="24"/>
          <w:vertAlign w:val="subscript"/>
        </w:rPr>
        <w:t>p2i</w:t>
      </w:r>
      <w:r>
        <w:rPr>
          <w:rFonts w:hint="eastAsia"/>
          <w:bCs/>
          <w:color w:val="auto"/>
          <w:sz w:val="24"/>
        </w:rPr>
        <w:t>(T)——靠近围护结构处室外N个声源i倍频带的叠加声压级，dB；</w:t>
      </w:r>
    </w:p>
    <w:p w14:paraId="60FE87B4">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p1i</w:t>
      </w:r>
      <w:r>
        <w:rPr>
          <w:rFonts w:hint="eastAsia"/>
          <w:bCs/>
          <w:color w:val="auto"/>
          <w:sz w:val="24"/>
        </w:rPr>
        <w:t>(T)——靠近围护结构处室内N个声源i倍频带的叠加声压级，dB；</w:t>
      </w:r>
    </w:p>
    <w:p w14:paraId="48412330">
      <w:pPr>
        <w:spacing w:line="360" w:lineRule="auto"/>
        <w:ind w:left="-17" w:leftChars="-8" w:firstLine="403"/>
        <w:jc w:val="left"/>
        <w:rPr>
          <w:bCs/>
          <w:color w:val="auto"/>
          <w:sz w:val="24"/>
        </w:rPr>
      </w:pPr>
      <w:r>
        <w:rPr>
          <w:rFonts w:hint="eastAsia"/>
          <w:bCs/>
          <w:color w:val="auto"/>
          <w:sz w:val="24"/>
        </w:rPr>
        <w:t>TL</w:t>
      </w:r>
      <w:r>
        <w:rPr>
          <w:rFonts w:hint="eastAsia"/>
          <w:bCs/>
          <w:color w:val="auto"/>
          <w:sz w:val="24"/>
          <w:vertAlign w:val="subscript"/>
        </w:rPr>
        <w:t>i</w:t>
      </w:r>
      <w:r>
        <w:rPr>
          <w:rFonts w:hint="eastAsia"/>
          <w:bCs/>
          <w:color w:val="auto"/>
          <w:sz w:val="24"/>
        </w:rPr>
        <w:t>——围护结构i倍频带的隔声量，dB。</w:t>
      </w:r>
    </w:p>
    <w:p w14:paraId="72D88023">
      <w:pPr>
        <w:spacing w:line="360" w:lineRule="auto"/>
        <w:ind w:left="-17" w:leftChars="-8" w:firstLine="403"/>
        <w:jc w:val="left"/>
        <w:rPr>
          <w:bCs/>
          <w:color w:val="auto"/>
          <w:sz w:val="24"/>
        </w:rPr>
      </w:pPr>
      <w:r>
        <w:rPr>
          <w:rFonts w:hint="eastAsia"/>
          <w:bCs/>
          <w:color w:val="auto"/>
          <w:sz w:val="24"/>
        </w:rPr>
        <w:t>然后按下式将室外声源的声压级和透过面积换算成等效的室外声源，计算出中心位置位于透声面积（S）处的等效声源的倍频带声功率级。</w:t>
      </w:r>
    </w:p>
    <w:p w14:paraId="67F99301">
      <w:pPr>
        <w:spacing w:line="360" w:lineRule="auto"/>
        <w:ind w:left="-17" w:leftChars="-8" w:firstLine="403"/>
        <w:jc w:val="left"/>
        <w:rPr>
          <w:bCs/>
          <w:color w:val="auto"/>
          <w:sz w:val="24"/>
        </w:rPr>
      </w:pPr>
      <m:oMathPara>
        <m:oMath>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W</m:t>
              </m:r>
              <m:ctrlPr>
                <w:rPr>
                  <w:rFonts w:ascii="Cambria Math" w:hAnsi="Cambria Math"/>
                  <w:bCs/>
                  <w:color w:val="auto"/>
                  <w:sz w:val="24"/>
                </w:rPr>
              </m:ctrlPr>
            </m:sub>
          </m:sSub>
          <m:r>
            <m:rPr>
              <m:sty m:val="p"/>
            </m:rPr>
            <w:rPr>
              <w:rFonts w:ascii="Cambria Math" w:hAnsi="Cambria Math"/>
              <w:color w:val="auto"/>
              <w:sz w:val="24"/>
            </w:rPr>
            <m:t>=</m:t>
          </m:r>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p2</m:t>
              </m:r>
              <m:ctrlPr>
                <w:rPr>
                  <w:rFonts w:ascii="Cambria Math" w:hAnsi="Cambria Math"/>
                  <w:bCs/>
                  <w:color w:val="auto"/>
                  <w:sz w:val="24"/>
                </w:rPr>
              </m:ctrlPr>
            </m:sub>
          </m:sSub>
          <m:d>
            <m:dPr>
              <m:ctrlPr>
                <w:rPr>
                  <w:rFonts w:ascii="Cambria Math" w:hAnsi="Cambria Math"/>
                  <w:bCs/>
                  <w:color w:val="auto"/>
                  <w:sz w:val="24"/>
                </w:rPr>
              </m:ctrlPr>
            </m:dPr>
            <m:e>
              <m:r>
                <m:rPr>
                  <m:sty m:val="p"/>
                </m:rPr>
                <w:rPr>
                  <w:rFonts w:ascii="Cambria Math" w:hAnsi="Cambria Math"/>
                  <w:color w:val="auto"/>
                  <w:sz w:val="24"/>
                </w:rPr>
                <m:t>T</m:t>
              </m:r>
              <m:ctrlPr>
                <w:rPr>
                  <w:rFonts w:ascii="Cambria Math" w:hAnsi="Cambria Math"/>
                  <w:bCs/>
                  <w:color w:val="auto"/>
                  <w:sz w:val="24"/>
                </w:rPr>
              </m:ctrlPr>
            </m:e>
          </m:d>
          <m:r>
            <m:rPr>
              <m:sty m:val="p"/>
            </m:rPr>
            <w:rPr>
              <w:rFonts w:ascii="Cambria Math" w:hAnsi="Cambria Math"/>
              <w:color w:val="auto"/>
              <w:sz w:val="24"/>
            </w:rPr>
            <m:t>+10lgS</m:t>
          </m:r>
        </m:oMath>
      </m:oMathPara>
    </w:p>
    <w:p w14:paraId="4E0D0883">
      <w:pPr>
        <w:spacing w:line="360" w:lineRule="auto"/>
        <w:ind w:left="-17" w:leftChars="-8" w:firstLine="403"/>
        <w:jc w:val="left"/>
        <w:rPr>
          <w:bCs/>
          <w:color w:val="auto"/>
          <w:sz w:val="24"/>
        </w:rPr>
      </w:pPr>
      <w:r>
        <w:rPr>
          <w:rFonts w:hint="eastAsia"/>
          <w:bCs/>
          <w:color w:val="auto"/>
          <w:sz w:val="24"/>
        </w:rPr>
        <w:t>式中：L</w:t>
      </w:r>
      <w:r>
        <w:rPr>
          <w:rFonts w:hint="eastAsia"/>
          <w:bCs/>
          <w:color w:val="auto"/>
          <w:sz w:val="24"/>
          <w:vertAlign w:val="subscript"/>
        </w:rPr>
        <w:t>w</w:t>
      </w:r>
      <w:r>
        <w:rPr>
          <w:rFonts w:hint="eastAsia"/>
          <w:bCs/>
          <w:color w:val="auto"/>
          <w:sz w:val="24"/>
        </w:rPr>
        <w:t>——中心位置位于透声面积（S）处的等效声源的倍频带声功率级，dB；</w:t>
      </w:r>
    </w:p>
    <w:p w14:paraId="4241A41E">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p2</w:t>
      </w:r>
      <w:r>
        <w:rPr>
          <w:rFonts w:hint="eastAsia"/>
          <w:bCs/>
          <w:color w:val="auto"/>
          <w:sz w:val="24"/>
        </w:rPr>
        <w:t>(T)——靠近围护结构处室外声源的声压级，dB；</w:t>
      </w:r>
    </w:p>
    <w:p w14:paraId="609707CC">
      <w:pPr>
        <w:spacing w:line="360" w:lineRule="auto"/>
        <w:ind w:left="-17" w:leftChars="-8" w:firstLine="403"/>
        <w:jc w:val="left"/>
        <w:rPr>
          <w:bCs/>
          <w:color w:val="auto"/>
          <w:sz w:val="24"/>
        </w:rPr>
      </w:pPr>
      <w:r>
        <w:rPr>
          <w:rFonts w:hint="eastAsia"/>
          <w:bCs/>
          <w:color w:val="auto"/>
          <w:sz w:val="24"/>
        </w:rPr>
        <w:t>S——透声面积，m</w:t>
      </w:r>
      <w:r>
        <w:rPr>
          <w:rFonts w:hint="eastAsia"/>
          <w:bCs/>
          <w:color w:val="auto"/>
          <w:sz w:val="24"/>
          <w:vertAlign w:val="superscript"/>
        </w:rPr>
        <w:t>2</w:t>
      </w:r>
      <w:r>
        <w:rPr>
          <w:rFonts w:hint="eastAsia"/>
          <w:bCs/>
          <w:color w:val="auto"/>
          <w:sz w:val="24"/>
        </w:rPr>
        <w:t>。</w:t>
      </w:r>
    </w:p>
    <w:p w14:paraId="1EDDAD2E">
      <w:pPr>
        <w:spacing w:line="360" w:lineRule="auto"/>
        <w:ind w:left="-17" w:leftChars="-8" w:firstLine="403"/>
        <w:jc w:val="left"/>
        <w:rPr>
          <w:bCs/>
          <w:color w:val="auto"/>
          <w:sz w:val="24"/>
        </w:rPr>
      </w:pPr>
      <w:r>
        <w:rPr>
          <w:rFonts w:hint="eastAsia"/>
          <w:bCs/>
          <w:color w:val="auto"/>
          <w:sz w:val="24"/>
        </w:rPr>
        <w:t>然后按室外声源预测方法计算预测点处的A声级。</w:t>
      </w:r>
    </w:p>
    <w:p w14:paraId="29BE004D">
      <w:pPr>
        <w:spacing w:line="360" w:lineRule="auto"/>
        <w:ind w:left="-17" w:leftChars="-8" w:firstLine="403"/>
        <w:jc w:val="left"/>
        <w:rPr>
          <w:bCs/>
          <w:color w:val="auto"/>
          <w:sz w:val="24"/>
        </w:rPr>
      </w:pPr>
      <w:r>
        <w:rPr>
          <w:rFonts w:hint="eastAsia"/>
          <w:bCs/>
          <w:color w:val="auto"/>
          <w:sz w:val="24"/>
          <w:lang w:eastAsia="zh-CN"/>
        </w:rPr>
        <w:t>（</w:t>
      </w:r>
      <w:r>
        <w:rPr>
          <w:rFonts w:hint="eastAsia"/>
          <w:bCs/>
          <w:color w:val="auto"/>
          <w:sz w:val="24"/>
          <w:lang w:val="en-US" w:eastAsia="zh-CN"/>
        </w:rPr>
        <w:t>3</w:t>
      </w:r>
      <w:r>
        <w:rPr>
          <w:rFonts w:hint="eastAsia"/>
          <w:bCs/>
          <w:color w:val="auto"/>
          <w:sz w:val="24"/>
          <w:lang w:eastAsia="zh-CN"/>
        </w:rPr>
        <w:t>）</w:t>
      </w:r>
      <w:r>
        <w:rPr>
          <w:rFonts w:hint="eastAsia"/>
          <w:bCs/>
          <w:color w:val="auto"/>
          <w:sz w:val="24"/>
        </w:rPr>
        <w:t>工业企业噪声计算</w:t>
      </w:r>
    </w:p>
    <w:p w14:paraId="06706902">
      <w:pPr>
        <w:spacing w:line="360" w:lineRule="auto"/>
        <w:ind w:left="-17" w:leftChars="-8" w:firstLine="403"/>
        <w:jc w:val="left"/>
        <w:rPr>
          <w:bCs/>
          <w:color w:val="auto"/>
          <w:sz w:val="24"/>
        </w:rPr>
      </w:pPr>
      <w:r>
        <w:rPr>
          <w:rFonts w:hint="eastAsia"/>
          <w:bCs/>
          <w:color w:val="auto"/>
          <w:sz w:val="24"/>
        </w:rPr>
        <w:t>设第i个室外声源在预测点产生的A声级为L</w:t>
      </w:r>
      <w:r>
        <w:rPr>
          <w:rFonts w:hint="eastAsia"/>
          <w:bCs/>
          <w:color w:val="auto"/>
          <w:sz w:val="24"/>
          <w:vertAlign w:val="subscript"/>
        </w:rPr>
        <w:t>Ai</w:t>
      </w:r>
      <w:r>
        <w:rPr>
          <w:rFonts w:hint="eastAsia"/>
          <w:bCs/>
          <w:color w:val="auto"/>
          <w:sz w:val="24"/>
        </w:rPr>
        <w:t>，在T时间内该声源工作时间为t</w:t>
      </w:r>
      <w:r>
        <w:rPr>
          <w:rFonts w:hint="eastAsia"/>
          <w:bCs/>
          <w:color w:val="auto"/>
          <w:sz w:val="24"/>
          <w:vertAlign w:val="subscript"/>
        </w:rPr>
        <w:t>i</w:t>
      </w:r>
      <w:r>
        <w:rPr>
          <w:rFonts w:hint="eastAsia"/>
          <w:bCs/>
          <w:color w:val="auto"/>
          <w:sz w:val="24"/>
        </w:rPr>
        <w:t>；第j个等效室外声源在预测点产生的A声级为L</w:t>
      </w:r>
      <w:r>
        <w:rPr>
          <w:rFonts w:hint="eastAsia"/>
          <w:bCs/>
          <w:color w:val="auto"/>
          <w:sz w:val="24"/>
          <w:vertAlign w:val="subscript"/>
        </w:rPr>
        <w:t>Aj</w:t>
      </w:r>
      <w:r>
        <w:rPr>
          <w:rFonts w:hint="eastAsia"/>
          <w:bCs/>
          <w:color w:val="auto"/>
          <w:sz w:val="24"/>
        </w:rPr>
        <w:t>，在T时间内该声源工作时间为t</w:t>
      </w:r>
      <w:r>
        <w:rPr>
          <w:rFonts w:hint="eastAsia"/>
          <w:bCs/>
          <w:color w:val="auto"/>
          <w:sz w:val="24"/>
          <w:vertAlign w:val="subscript"/>
        </w:rPr>
        <w:t>j</w:t>
      </w:r>
      <w:r>
        <w:rPr>
          <w:rFonts w:hint="eastAsia"/>
          <w:bCs/>
          <w:color w:val="auto"/>
          <w:sz w:val="24"/>
        </w:rPr>
        <w:t>，则拟建工程声源对预测点产生的贡献值（L</w:t>
      </w:r>
      <w:r>
        <w:rPr>
          <w:rFonts w:hint="eastAsia"/>
          <w:bCs/>
          <w:color w:val="auto"/>
          <w:sz w:val="24"/>
          <w:vertAlign w:val="subscript"/>
        </w:rPr>
        <w:t>eqg</w:t>
      </w:r>
      <w:r>
        <w:rPr>
          <w:rFonts w:hint="eastAsia"/>
          <w:bCs/>
          <w:color w:val="auto"/>
          <w:sz w:val="24"/>
        </w:rPr>
        <w:t>）为：</w:t>
      </w:r>
    </w:p>
    <w:p w14:paraId="40204453">
      <w:pPr>
        <w:spacing w:line="360" w:lineRule="auto"/>
        <w:ind w:left="-17" w:leftChars="-8" w:firstLine="403"/>
        <w:jc w:val="left"/>
        <w:rPr>
          <w:bCs/>
          <w:color w:val="auto"/>
          <w:sz w:val="24"/>
        </w:rPr>
      </w:pPr>
      <m:oMathPara>
        <m:oMath>
          <m:sSub>
            <m:sSubPr>
              <m:ctrlPr>
                <w:rPr>
                  <w:rFonts w:ascii="Cambria Math" w:hAnsi="Cambria Math"/>
                  <w:bCs/>
                  <w:color w:val="auto"/>
                  <w:sz w:val="24"/>
                </w:rPr>
              </m:ctrlPr>
            </m:sSubPr>
            <m:e>
              <m:r>
                <m:rPr>
                  <m:sty m:val="p"/>
                </m:rPr>
                <w:rPr>
                  <w:rFonts w:ascii="Cambria Math" w:hAnsi="Cambria Math"/>
                  <w:color w:val="auto"/>
                  <w:sz w:val="24"/>
                </w:rPr>
                <m:t>L</m:t>
              </m:r>
              <m:ctrlPr>
                <w:rPr>
                  <w:rFonts w:ascii="Cambria Math" w:hAnsi="Cambria Math"/>
                  <w:bCs/>
                  <w:color w:val="auto"/>
                  <w:sz w:val="24"/>
                </w:rPr>
              </m:ctrlPr>
            </m:e>
            <m:sub>
              <m:r>
                <m:rPr>
                  <m:sty m:val="p"/>
                </m:rPr>
                <w:rPr>
                  <w:rFonts w:ascii="Cambria Math" w:hAnsi="Cambria Math"/>
                  <w:color w:val="auto"/>
                  <w:sz w:val="24"/>
                </w:rPr>
                <m:t>eqg</m:t>
              </m:r>
              <m:ctrlPr>
                <w:rPr>
                  <w:rFonts w:ascii="Cambria Math" w:hAnsi="Cambria Math"/>
                  <w:bCs/>
                  <w:color w:val="auto"/>
                  <w:sz w:val="24"/>
                </w:rPr>
              </m:ctrlPr>
            </m:sub>
          </m:sSub>
          <m:r>
            <m:rPr>
              <m:sty m:val="p"/>
            </m:rPr>
            <w:rPr>
              <w:rFonts w:ascii="Cambria Math" w:hAnsi="Cambria Math"/>
              <w:color w:val="auto"/>
              <w:sz w:val="24"/>
            </w:rPr>
            <m:t>=10lg</m:t>
          </m:r>
          <m:d>
            <m:dPr>
              <m:begChr m:val="["/>
              <m:endChr m:val="]"/>
              <m:ctrlPr>
                <w:rPr>
                  <w:rFonts w:ascii="Cambria Math" w:hAnsi="Cambria Math"/>
                  <w:color w:val="auto"/>
                  <w:sz w:val="24"/>
                </w:rPr>
              </m:ctrlPr>
            </m:dPr>
            <m:e>
              <m:f>
                <m:fPr>
                  <m:ctrlPr>
                    <w:rPr>
                      <w:rFonts w:ascii="Cambria Math" w:hAnsi="Cambria Math"/>
                      <w:color w:val="auto"/>
                      <w:sz w:val="24"/>
                    </w:rPr>
                  </m:ctrlPr>
                </m:fPr>
                <m:num>
                  <m:r>
                    <m:rPr>
                      <m:sty m:val="p"/>
                    </m:rPr>
                    <w:rPr>
                      <w:rFonts w:ascii="Cambria Math" w:hAnsi="Cambria Math"/>
                      <w:color w:val="auto"/>
                      <w:sz w:val="24"/>
                    </w:rPr>
                    <m:t>1</m:t>
                  </m:r>
                  <m:ctrlPr>
                    <w:rPr>
                      <w:rFonts w:ascii="Cambria Math" w:hAnsi="Cambria Math"/>
                      <w:color w:val="auto"/>
                      <w:sz w:val="24"/>
                    </w:rPr>
                  </m:ctrlPr>
                </m:num>
                <m:den>
                  <m:r>
                    <m:rPr>
                      <m:sty m:val="p"/>
                    </m:rPr>
                    <w:rPr>
                      <w:rFonts w:ascii="Cambria Math" w:hAnsi="Cambria Math"/>
                      <w:color w:val="auto"/>
                      <w:sz w:val="24"/>
                    </w:rPr>
                    <m:t>T</m:t>
                  </m:r>
                  <m:ctrlPr>
                    <w:rPr>
                      <w:rFonts w:ascii="Cambria Math" w:hAnsi="Cambria Math"/>
                      <w:color w:val="auto"/>
                      <w:sz w:val="24"/>
                    </w:rPr>
                  </m:ctrlPr>
                </m:den>
              </m:f>
              <m:d>
                <m:dPr>
                  <m:ctrlPr>
                    <w:rPr>
                      <w:rFonts w:ascii="Cambria Math" w:hAnsi="Cambria Math"/>
                      <w:color w:val="auto"/>
                      <w:sz w:val="24"/>
                    </w:rPr>
                  </m:ctrlPr>
                </m:dPr>
                <m:e>
                  <m:nary>
                    <m:naryPr>
                      <m:chr m:val="∑"/>
                      <m:limLoc m:val="undOvr"/>
                      <m:ctrlPr>
                        <w:rPr>
                          <w:rFonts w:ascii="Cambria Math" w:hAnsi="Cambria Math"/>
                          <w:color w:val="auto"/>
                          <w:sz w:val="24"/>
                        </w:rPr>
                      </m:ctrlPr>
                    </m:naryPr>
                    <m:sub>
                      <m:r>
                        <m:rPr>
                          <m:sty m:val="p"/>
                        </m:rPr>
                        <w:rPr>
                          <w:rFonts w:ascii="Cambria Math" w:hAnsi="Cambria Math"/>
                          <w:color w:val="auto"/>
                          <w:sz w:val="24"/>
                        </w:rPr>
                        <m:t>i=1</m:t>
                      </m:r>
                      <m:ctrlPr>
                        <w:rPr>
                          <w:rFonts w:ascii="Cambria Math" w:hAnsi="Cambria Math"/>
                          <w:color w:val="auto"/>
                          <w:sz w:val="24"/>
                        </w:rPr>
                      </m:ctrlPr>
                    </m:sub>
                    <m:sup>
                      <m:r>
                        <m:rPr>
                          <m:sty m:val="p"/>
                        </m:rPr>
                        <w:rPr>
                          <w:rFonts w:ascii="Cambria Math" w:hAnsi="Cambria Math"/>
                          <w:color w:val="auto"/>
                          <w:sz w:val="24"/>
                        </w:rPr>
                        <m:t>N</m:t>
                      </m:r>
                      <m:ctrlPr>
                        <w:rPr>
                          <w:rFonts w:ascii="Cambria Math" w:hAnsi="Cambria Math"/>
                          <w:color w:val="auto"/>
                          <w:sz w:val="24"/>
                        </w:rPr>
                      </m:ctrlPr>
                    </m:sup>
                    <m:e>
                      <m:sSup>
                        <m:sSupPr>
                          <m:ctrlPr>
                            <w:rPr>
                              <w:rFonts w:ascii="Cambria Math" w:hAnsi="Cambria Math"/>
                              <w:color w:val="auto"/>
                              <w:sz w:val="24"/>
                            </w:rPr>
                          </m:ctrlPr>
                        </m:sSupPr>
                        <m:e>
                          <m:sSub>
                            <m:sSubPr>
                              <m:ctrlPr>
                                <w:rPr>
                                  <w:rFonts w:ascii="Cambria Math" w:hAnsi="Cambria Math"/>
                                  <w:color w:val="auto"/>
                                  <w:sz w:val="24"/>
                                </w:rPr>
                              </m:ctrlPr>
                            </m:sSubPr>
                            <m:e>
                              <m:r>
                                <m:rPr>
                                  <m:sty m:val="p"/>
                                </m:rPr>
                                <w:rPr>
                                  <w:rFonts w:ascii="Cambria Math" w:hAnsi="Cambria Math"/>
                                  <w:color w:val="auto"/>
                                  <w:sz w:val="24"/>
                                </w:rPr>
                                <m:t>t</m:t>
                              </m:r>
                              <m:ctrlPr>
                                <w:rPr>
                                  <w:rFonts w:ascii="Cambria Math" w:hAnsi="Cambria Math"/>
                                  <w:color w:val="auto"/>
                                  <w:sz w:val="24"/>
                                </w:rPr>
                              </m:ctrlPr>
                            </m:e>
                            <m:sub>
                              <m:r>
                                <m:rPr>
                                  <m:sty m:val="p"/>
                                </m:rPr>
                                <w:rPr>
                                  <w:rFonts w:ascii="Cambria Math" w:hAnsi="Cambria Math"/>
                                  <w:color w:val="auto"/>
                                  <w:sz w:val="24"/>
                                </w:rPr>
                                <m:t>i</m:t>
                              </m:r>
                              <m:ctrlPr>
                                <w:rPr>
                                  <w:rFonts w:ascii="Cambria Math" w:hAnsi="Cambria Math"/>
                                  <w:color w:val="auto"/>
                                  <w:sz w:val="24"/>
                                </w:rPr>
                              </m:ctrlPr>
                            </m:sub>
                          </m:sSub>
                          <m:r>
                            <m:rPr>
                              <m:sty m:val="p"/>
                            </m:rPr>
                            <w:rPr>
                              <w:rFonts w:ascii="Cambria Math" w:hAnsi="Cambria Math"/>
                              <w:color w:val="auto"/>
                              <w:sz w:val="24"/>
                            </w:rPr>
                            <m:t>10</m:t>
                          </m:r>
                          <m:ctrlPr>
                            <w:rPr>
                              <w:rFonts w:ascii="Cambria Math" w:hAnsi="Cambria Math"/>
                              <w:color w:val="auto"/>
                              <w:sz w:val="24"/>
                            </w:rPr>
                          </m:ctrlPr>
                        </m:e>
                        <m:sup>
                          <m:r>
                            <m:rPr>
                              <m:sty m:val="p"/>
                            </m:rPr>
                            <w:rPr>
                              <w:rFonts w:ascii="Cambria Math" w:hAnsi="Cambria Math"/>
                              <w:color w:val="auto"/>
                              <w:sz w:val="24"/>
                            </w:rPr>
                            <m:t>0.1</m:t>
                          </m:r>
                          <m:sSub>
                            <m:sSubPr>
                              <m:ctrlPr>
                                <w:rPr>
                                  <w:rFonts w:ascii="Cambria Math" w:hAnsi="Cambria Math"/>
                                  <w:color w:val="auto"/>
                                  <w:sz w:val="24"/>
                                </w:rPr>
                              </m:ctrlPr>
                            </m:sSubPr>
                            <m:e>
                              <m:r>
                                <m:rPr>
                                  <m:sty m:val="p"/>
                                </m:rPr>
                                <w:rPr>
                                  <w:rFonts w:ascii="Cambria Math" w:hAnsi="Cambria Math"/>
                                  <w:color w:val="auto"/>
                                  <w:sz w:val="24"/>
                                </w:rPr>
                                <m:t>L</m:t>
                              </m:r>
                              <m:ctrlPr>
                                <w:rPr>
                                  <w:rFonts w:ascii="Cambria Math" w:hAnsi="Cambria Math"/>
                                  <w:color w:val="auto"/>
                                  <w:sz w:val="24"/>
                                </w:rPr>
                              </m:ctrlPr>
                            </m:e>
                            <m:sub>
                              <m:r>
                                <m:rPr>
                                  <m:sty m:val="p"/>
                                </m:rPr>
                                <w:rPr>
                                  <w:rFonts w:ascii="Cambria Math" w:hAnsi="Cambria Math"/>
                                  <w:color w:val="auto"/>
                                  <w:sz w:val="24"/>
                                </w:rPr>
                                <m:t>Ai</m:t>
                              </m:r>
                              <m:ctrlPr>
                                <w:rPr>
                                  <w:rFonts w:ascii="Cambria Math" w:hAnsi="Cambria Math"/>
                                  <w:color w:val="auto"/>
                                  <w:sz w:val="24"/>
                                </w:rPr>
                              </m:ctrlPr>
                            </m:sub>
                          </m:sSub>
                          <m:ctrlPr>
                            <w:rPr>
                              <w:rFonts w:ascii="Cambria Math" w:hAnsi="Cambria Math"/>
                              <w:color w:val="auto"/>
                              <w:sz w:val="24"/>
                            </w:rPr>
                          </m:ctrlPr>
                        </m:sup>
                      </m:sSup>
                      <m:r>
                        <m:rPr>
                          <m:sty m:val="p"/>
                        </m:rPr>
                        <w:rPr>
                          <w:rFonts w:ascii="Cambria Math" w:hAnsi="Cambria Math"/>
                          <w:color w:val="auto"/>
                          <w:sz w:val="24"/>
                        </w:rPr>
                        <m:t>+</m:t>
                      </m:r>
                      <m:ctrlPr>
                        <w:rPr>
                          <w:rFonts w:ascii="Cambria Math" w:hAnsi="Cambria Math"/>
                          <w:color w:val="auto"/>
                          <w:sz w:val="24"/>
                        </w:rPr>
                      </m:ctrlPr>
                    </m:e>
                  </m:nary>
                  <m:nary>
                    <m:naryPr>
                      <m:chr m:val="∑"/>
                      <m:limLoc m:val="undOvr"/>
                      <m:ctrlPr>
                        <w:rPr>
                          <w:rFonts w:ascii="Cambria Math" w:hAnsi="Cambria Math"/>
                          <w:color w:val="auto"/>
                          <w:sz w:val="24"/>
                        </w:rPr>
                      </m:ctrlPr>
                    </m:naryPr>
                    <m:sub>
                      <m:r>
                        <m:rPr>
                          <m:sty m:val="p"/>
                        </m:rPr>
                        <w:rPr>
                          <w:rFonts w:ascii="Cambria Math" w:hAnsi="Cambria Math"/>
                          <w:color w:val="auto"/>
                          <w:sz w:val="24"/>
                        </w:rPr>
                        <m:t>j=1</m:t>
                      </m:r>
                      <m:ctrlPr>
                        <w:rPr>
                          <w:rFonts w:ascii="Cambria Math" w:hAnsi="Cambria Math"/>
                          <w:color w:val="auto"/>
                          <w:sz w:val="24"/>
                        </w:rPr>
                      </m:ctrlPr>
                    </m:sub>
                    <m:sup>
                      <m:r>
                        <m:rPr>
                          <m:sty m:val="p"/>
                        </m:rPr>
                        <w:rPr>
                          <w:rFonts w:ascii="Cambria Math" w:hAnsi="Cambria Math"/>
                          <w:color w:val="auto"/>
                          <w:sz w:val="24"/>
                        </w:rPr>
                        <m:t>N</m:t>
                      </m:r>
                      <m:ctrlPr>
                        <w:rPr>
                          <w:rFonts w:ascii="Cambria Math" w:hAnsi="Cambria Math"/>
                          <w:color w:val="auto"/>
                          <w:sz w:val="24"/>
                        </w:rPr>
                      </m:ctrlPr>
                    </m:sup>
                    <m:e>
                      <m:sSup>
                        <m:sSupPr>
                          <m:ctrlPr>
                            <w:rPr>
                              <w:rFonts w:ascii="Cambria Math" w:hAnsi="Cambria Math"/>
                              <w:color w:val="auto"/>
                              <w:sz w:val="24"/>
                            </w:rPr>
                          </m:ctrlPr>
                        </m:sSupPr>
                        <m:e>
                          <m:sSub>
                            <m:sSubPr>
                              <m:ctrlPr>
                                <w:rPr>
                                  <w:rFonts w:ascii="Cambria Math" w:hAnsi="Cambria Math"/>
                                  <w:color w:val="auto"/>
                                  <w:sz w:val="24"/>
                                </w:rPr>
                              </m:ctrlPr>
                            </m:sSubPr>
                            <m:e>
                              <m:r>
                                <m:rPr>
                                  <m:sty m:val="p"/>
                                </m:rPr>
                                <w:rPr>
                                  <w:rFonts w:ascii="Cambria Math" w:hAnsi="Cambria Math"/>
                                  <w:color w:val="auto"/>
                                  <w:sz w:val="24"/>
                                </w:rPr>
                                <m:t>t</m:t>
                              </m:r>
                              <m:ctrlPr>
                                <w:rPr>
                                  <w:rFonts w:ascii="Cambria Math" w:hAnsi="Cambria Math"/>
                                  <w:color w:val="auto"/>
                                  <w:sz w:val="24"/>
                                </w:rPr>
                              </m:ctrlPr>
                            </m:e>
                            <m:sub>
                              <m:r>
                                <m:rPr>
                                  <m:sty m:val="p"/>
                                </m:rPr>
                                <w:rPr>
                                  <w:rFonts w:ascii="Cambria Math" w:hAnsi="Cambria Math"/>
                                  <w:color w:val="auto"/>
                                  <w:sz w:val="24"/>
                                </w:rPr>
                                <m:t>j</m:t>
                              </m:r>
                              <m:ctrlPr>
                                <w:rPr>
                                  <w:rFonts w:ascii="Cambria Math" w:hAnsi="Cambria Math"/>
                                  <w:color w:val="auto"/>
                                  <w:sz w:val="24"/>
                                </w:rPr>
                              </m:ctrlPr>
                            </m:sub>
                          </m:sSub>
                          <m:r>
                            <m:rPr>
                              <m:sty m:val="p"/>
                            </m:rPr>
                            <w:rPr>
                              <w:rFonts w:ascii="Cambria Math" w:hAnsi="Cambria Math"/>
                              <w:color w:val="auto"/>
                              <w:sz w:val="24"/>
                            </w:rPr>
                            <m:t>10</m:t>
                          </m:r>
                          <m:ctrlPr>
                            <w:rPr>
                              <w:rFonts w:ascii="Cambria Math" w:hAnsi="Cambria Math"/>
                              <w:color w:val="auto"/>
                              <w:sz w:val="24"/>
                            </w:rPr>
                          </m:ctrlPr>
                        </m:e>
                        <m:sup>
                          <m:r>
                            <m:rPr>
                              <m:sty m:val="p"/>
                            </m:rPr>
                            <w:rPr>
                              <w:rFonts w:ascii="Cambria Math" w:hAnsi="Cambria Math"/>
                              <w:color w:val="auto"/>
                              <w:sz w:val="24"/>
                            </w:rPr>
                            <m:t>0.1</m:t>
                          </m:r>
                          <m:sSub>
                            <m:sSubPr>
                              <m:ctrlPr>
                                <w:rPr>
                                  <w:rFonts w:ascii="Cambria Math" w:hAnsi="Cambria Math"/>
                                  <w:color w:val="auto"/>
                                  <w:sz w:val="24"/>
                                </w:rPr>
                              </m:ctrlPr>
                            </m:sSubPr>
                            <m:e>
                              <m:r>
                                <m:rPr>
                                  <m:sty m:val="p"/>
                                </m:rPr>
                                <w:rPr>
                                  <w:rFonts w:ascii="Cambria Math" w:hAnsi="Cambria Math"/>
                                  <w:color w:val="auto"/>
                                  <w:sz w:val="24"/>
                                </w:rPr>
                                <m:t>L</m:t>
                              </m:r>
                              <m:ctrlPr>
                                <w:rPr>
                                  <w:rFonts w:ascii="Cambria Math" w:hAnsi="Cambria Math"/>
                                  <w:color w:val="auto"/>
                                  <w:sz w:val="24"/>
                                </w:rPr>
                              </m:ctrlPr>
                            </m:e>
                            <m:sub>
                              <m:r>
                                <m:rPr>
                                  <m:sty m:val="p"/>
                                </m:rPr>
                                <w:rPr>
                                  <w:rFonts w:ascii="Cambria Math" w:hAnsi="Cambria Math"/>
                                  <w:color w:val="auto"/>
                                  <w:sz w:val="24"/>
                                </w:rPr>
                                <m:t>Aj</m:t>
                              </m:r>
                              <m:ctrlPr>
                                <w:rPr>
                                  <w:rFonts w:ascii="Cambria Math" w:hAnsi="Cambria Math"/>
                                  <w:color w:val="auto"/>
                                  <w:sz w:val="24"/>
                                </w:rPr>
                              </m:ctrlPr>
                            </m:sub>
                          </m:sSub>
                          <m:ctrlPr>
                            <w:rPr>
                              <w:rFonts w:ascii="Cambria Math" w:hAnsi="Cambria Math"/>
                              <w:color w:val="auto"/>
                              <w:sz w:val="24"/>
                            </w:rPr>
                          </m:ctrlPr>
                        </m:sup>
                      </m:sSup>
                      <m:ctrlPr>
                        <w:rPr>
                          <w:rFonts w:ascii="Cambria Math" w:hAnsi="Cambria Math"/>
                          <w:color w:val="auto"/>
                          <w:sz w:val="24"/>
                        </w:rPr>
                      </m:ctrlPr>
                    </m:e>
                  </m:nary>
                  <m:ctrlPr>
                    <w:rPr>
                      <w:rFonts w:ascii="Cambria Math" w:hAnsi="Cambria Math"/>
                      <w:color w:val="auto"/>
                      <w:sz w:val="24"/>
                    </w:rPr>
                  </m:ctrlPr>
                </m:e>
              </m:d>
              <m:ctrlPr>
                <w:rPr>
                  <w:rFonts w:ascii="Cambria Math" w:hAnsi="Cambria Math"/>
                  <w:color w:val="auto"/>
                  <w:sz w:val="24"/>
                </w:rPr>
              </m:ctrlPr>
            </m:e>
          </m:d>
        </m:oMath>
      </m:oMathPara>
    </w:p>
    <w:p w14:paraId="02C88A22">
      <w:pPr>
        <w:spacing w:line="360" w:lineRule="auto"/>
        <w:ind w:left="-17" w:leftChars="-8" w:firstLine="403"/>
        <w:jc w:val="left"/>
        <w:rPr>
          <w:bCs/>
          <w:color w:val="auto"/>
          <w:sz w:val="24"/>
        </w:rPr>
      </w:pPr>
      <w:r>
        <w:rPr>
          <w:rFonts w:hint="eastAsia"/>
          <w:bCs/>
          <w:color w:val="auto"/>
          <w:sz w:val="24"/>
        </w:rPr>
        <w:t>式中：L</w:t>
      </w:r>
      <w:r>
        <w:rPr>
          <w:rFonts w:hint="eastAsia"/>
          <w:bCs/>
          <w:color w:val="auto"/>
          <w:sz w:val="24"/>
          <w:vertAlign w:val="subscript"/>
        </w:rPr>
        <w:t>eqg</w:t>
      </w:r>
      <w:r>
        <w:rPr>
          <w:rFonts w:hint="eastAsia"/>
          <w:bCs/>
          <w:color w:val="auto"/>
          <w:sz w:val="24"/>
        </w:rPr>
        <w:t>——建设项目声源在预测点产生的噪声贡献值，dB；</w:t>
      </w:r>
    </w:p>
    <w:p w14:paraId="6B786615">
      <w:pPr>
        <w:spacing w:line="360" w:lineRule="auto"/>
        <w:ind w:left="-17" w:leftChars="-8" w:firstLine="403"/>
        <w:jc w:val="left"/>
        <w:rPr>
          <w:bCs/>
          <w:color w:val="auto"/>
          <w:sz w:val="24"/>
        </w:rPr>
      </w:pPr>
      <w:r>
        <w:rPr>
          <w:rFonts w:hint="eastAsia"/>
          <w:bCs/>
          <w:color w:val="auto"/>
          <w:sz w:val="24"/>
        </w:rPr>
        <w:t>T——用于计算等效声级的时间，s；</w:t>
      </w:r>
    </w:p>
    <w:p w14:paraId="5578B1F3">
      <w:pPr>
        <w:spacing w:line="360" w:lineRule="auto"/>
        <w:ind w:left="-17" w:leftChars="-8" w:firstLine="403"/>
        <w:jc w:val="left"/>
        <w:rPr>
          <w:bCs/>
          <w:color w:val="auto"/>
          <w:sz w:val="24"/>
        </w:rPr>
      </w:pPr>
      <w:r>
        <w:rPr>
          <w:rFonts w:hint="eastAsia"/>
          <w:bCs/>
          <w:color w:val="auto"/>
          <w:sz w:val="24"/>
        </w:rPr>
        <w:t>N——室外声源个数；</w:t>
      </w:r>
    </w:p>
    <w:p w14:paraId="20BCCBD5">
      <w:pPr>
        <w:spacing w:line="360" w:lineRule="auto"/>
        <w:ind w:left="-17" w:leftChars="-8" w:firstLine="403"/>
        <w:jc w:val="left"/>
        <w:rPr>
          <w:bCs/>
          <w:color w:val="auto"/>
          <w:sz w:val="24"/>
        </w:rPr>
      </w:pPr>
      <w:r>
        <w:rPr>
          <w:rFonts w:hint="eastAsia"/>
          <w:bCs/>
          <w:color w:val="auto"/>
          <w:sz w:val="24"/>
        </w:rPr>
        <w:t>t</w:t>
      </w:r>
      <w:r>
        <w:rPr>
          <w:rFonts w:hint="eastAsia"/>
          <w:bCs/>
          <w:color w:val="auto"/>
          <w:sz w:val="24"/>
          <w:vertAlign w:val="subscript"/>
        </w:rPr>
        <w:t>i</w:t>
      </w:r>
      <w:r>
        <w:rPr>
          <w:rFonts w:hint="eastAsia"/>
          <w:bCs/>
          <w:color w:val="auto"/>
          <w:sz w:val="24"/>
        </w:rPr>
        <w:t>——在T时间内i声源工作时间，s；</w:t>
      </w:r>
    </w:p>
    <w:p w14:paraId="5A9433AD">
      <w:pPr>
        <w:spacing w:line="360" w:lineRule="auto"/>
        <w:ind w:left="-17" w:leftChars="-8" w:firstLine="403"/>
        <w:jc w:val="left"/>
        <w:rPr>
          <w:bCs/>
          <w:color w:val="auto"/>
          <w:sz w:val="24"/>
        </w:rPr>
      </w:pPr>
      <w:r>
        <w:rPr>
          <w:rFonts w:hint="eastAsia"/>
          <w:bCs/>
          <w:color w:val="auto"/>
          <w:sz w:val="24"/>
        </w:rPr>
        <w:t>M——等效室外声源个数。</w:t>
      </w:r>
    </w:p>
    <w:p w14:paraId="03E95AFA">
      <w:pPr>
        <w:spacing w:line="360" w:lineRule="auto"/>
        <w:ind w:left="-17" w:leftChars="-8" w:firstLine="403"/>
        <w:jc w:val="left"/>
        <w:rPr>
          <w:bCs/>
          <w:color w:val="auto"/>
          <w:sz w:val="24"/>
        </w:rPr>
      </w:pPr>
      <w:r>
        <w:rPr>
          <w:rFonts w:hint="eastAsia"/>
          <w:bCs/>
          <w:color w:val="auto"/>
          <w:sz w:val="24"/>
        </w:rPr>
        <w:t>t</w:t>
      </w:r>
      <w:r>
        <w:rPr>
          <w:rFonts w:hint="eastAsia"/>
          <w:bCs/>
          <w:color w:val="auto"/>
          <w:sz w:val="24"/>
          <w:vertAlign w:val="subscript"/>
        </w:rPr>
        <w:t>j</w:t>
      </w:r>
      <w:r>
        <w:rPr>
          <w:rFonts w:hint="eastAsia"/>
          <w:bCs/>
          <w:color w:val="auto"/>
          <w:sz w:val="24"/>
        </w:rPr>
        <w:t>——在T时间内j声源工作时间，s；</w:t>
      </w:r>
    </w:p>
    <w:p w14:paraId="5C538D2A">
      <w:pPr>
        <w:spacing w:line="360" w:lineRule="auto"/>
        <w:ind w:left="-17" w:leftChars="-8" w:firstLine="403"/>
        <w:jc w:val="left"/>
        <w:rPr>
          <w:bCs/>
          <w:color w:val="auto"/>
          <w:sz w:val="24"/>
        </w:rPr>
      </w:pPr>
      <w:r>
        <w:rPr>
          <w:rFonts w:hint="eastAsia"/>
          <w:bCs/>
          <w:color w:val="auto"/>
          <w:sz w:val="24"/>
          <w:lang w:eastAsia="zh-CN"/>
        </w:rPr>
        <w:t>（</w:t>
      </w:r>
      <w:r>
        <w:rPr>
          <w:rFonts w:hint="eastAsia"/>
          <w:bCs/>
          <w:color w:val="auto"/>
          <w:sz w:val="24"/>
          <w:lang w:val="en-US" w:eastAsia="zh-CN"/>
        </w:rPr>
        <w:t>4</w:t>
      </w:r>
      <w:r>
        <w:rPr>
          <w:rFonts w:hint="eastAsia"/>
          <w:bCs/>
          <w:color w:val="auto"/>
          <w:sz w:val="24"/>
          <w:lang w:eastAsia="zh-CN"/>
        </w:rPr>
        <w:t>）</w:t>
      </w:r>
      <w:r>
        <w:rPr>
          <w:rFonts w:hint="eastAsia"/>
          <w:bCs/>
          <w:color w:val="auto"/>
          <w:sz w:val="24"/>
        </w:rPr>
        <w:t>预测值计算</w:t>
      </w:r>
    </w:p>
    <w:p w14:paraId="6A0FD3A2">
      <w:pPr>
        <w:spacing w:line="360" w:lineRule="auto"/>
        <w:ind w:left="-17" w:leftChars="-8" w:firstLine="403"/>
        <w:jc w:val="left"/>
        <w:rPr>
          <w:bCs/>
          <w:color w:val="auto"/>
          <w:sz w:val="24"/>
        </w:rPr>
      </w:pPr>
      <w:r>
        <w:rPr>
          <w:rFonts w:hint="eastAsia"/>
          <w:bCs/>
          <w:color w:val="auto"/>
          <w:sz w:val="24"/>
        </w:rPr>
        <w:t>预测点的贡献值和背景值按能量叠加方法计算得到的声级。</w:t>
      </w:r>
    </w:p>
    <w:p w14:paraId="4057DBF0">
      <w:pPr>
        <w:spacing w:line="360" w:lineRule="auto"/>
        <w:ind w:left="-17" w:leftChars="-8" w:firstLine="403"/>
        <w:jc w:val="left"/>
        <w:rPr>
          <w:bCs/>
          <w:color w:val="auto"/>
          <w:sz w:val="24"/>
        </w:rPr>
      </w:pPr>
      <w:r>
        <w:rPr>
          <w:rFonts w:hint="eastAsia"/>
          <w:bCs/>
          <w:color w:val="auto"/>
          <w:sz w:val="24"/>
        </w:rPr>
        <w:t>噪声预测值（L</w:t>
      </w:r>
      <w:r>
        <w:rPr>
          <w:rFonts w:hint="eastAsia"/>
          <w:bCs/>
          <w:color w:val="auto"/>
          <w:sz w:val="24"/>
          <w:vertAlign w:val="subscript"/>
        </w:rPr>
        <w:t>eq</w:t>
      </w:r>
      <w:r>
        <w:rPr>
          <w:rFonts w:hint="eastAsia"/>
          <w:bCs/>
          <w:color w:val="auto"/>
          <w:sz w:val="24"/>
        </w:rPr>
        <w:t>）计算公式为：</w:t>
      </w:r>
    </w:p>
    <w:p w14:paraId="29D21FEA">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eq</w:t>
      </w:r>
      <w:r>
        <w:rPr>
          <w:rFonts w:hint="eastAsia"/>
          <w:bCs/>
          <w:color w:val="auto"/>
          <w:sz w:val="24"/>
        </w:rPr>
        <w:t>=10lg（10</w:t>
      </w:r>
      <w:r>
        <w:rPr>
          <w:rFonts w:hint="eastAsia"/>
          <w:bCs/>
          <w:color w:val="auto"/>
          <w:sz w:val="24"/>
          <w:vertAlign w:val="superscript"/>
        </w:rPr>
        <w:t>0.1Leqg</w:t>
      </w:r>
      <w:r>
        <w:rPr>
          <w:rFonts w:hint="eastAsia"/>
          <w:bCs/>
          <w:color w:val="auto"/>
          <w:sz w:val="24"/>
        </w:rPr>
        <w:t>+10</w:t>
      </w:r>
      <w:r>
        <w:rPr>
          <w:rFonts w:hint="eastAsia"/>
          <w:bCs/>
          <w:color w:val="auto"/>
          <w:sz w:val="24"/>
          <w:vertAlign w:val="superscript"/>
        </w:rPr>
        <w:t>0.1Leqb</w:t>
      </w:r>
      <w:r>
        <w:rPr>
          <w:rFonts w:hint="eastAsia"/>
          <w:bCs/>
          <w:color w:val="auto"/>
          <w:sz w:val="24"/>
        </w:rPr>
        <w:t>）</w:t>
      </w:r>
    </w:p>
    <w:p w14:paraId="5087C938">
      <w:pPr>
        <w:spacing w:line="360" w:lineRule="auto"/>
        <w:ind w:left="-17" w:leftChars="-8" w:firstLine="403"/>
        <w:jc w:val="left"/>
        <w:rPr>
          <w:bCs/>
          <w:color w:val="auto"/>
          <w:sz w:val="24"/>
        </w:rPr>
      </w:pPr>
      <w:r>
        <w:rPr>
          <w:rFonts w:hint="eastAsia"/>
          <w:bCs/>
          <w:color w:val="auto"/>
          <w:sz w:val="24"/>
        </w:rPr>
        <w:t>式中：L</w:t>
      </w:r>
      <w:r>
        <w:rPr>
          <w:rFonts w:hint="eastAsia"/>
          <w:bCs/>
          <w:color w:val="auto"/>
          <w:sz w:val="24"/>
          <w:vertAlign w:val="subscript"/>
        </w:rPr>
        <w:t>eq</w:t>
      </w:r>
      <w:r>
        <w:rPr>
          <w:rFonts w:hint="eastAsia"/>
          <w:bCs/>
          <w:color w:val="auto"/>
          <w:sz w:val="24"/>
        </w:rPr>
        <w:t>——预测点的噪声预测值，dB；</w:t>
      </w:r>
    </w:p>
    <w:p w14:paraId="72EE74A6">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eqg</w:t>
      </w:r>
      <w:r>
        <w:rPr>
          <w:rFonts w:hint="eastAsia"/>
          <w:bCs/>
          <w:color w:val="auto"/>
          <w:sz w:val="24"/>
        </w:rPr>
        <w:t>——建设项目声源在预测点产生的噪声贡献值，dB；</w:t>
      </w:r>
    </w:p>
    <w:p w14:paraId="4F4D241B">
      <w:pPr>
        <w:spacing w:line="360" w:lineRule="auto"/>
        <w:ind w:left="-17" w:leftChars="-8" w:firstLine="403"/>
        <w:jc w:val="left"/>
        <w:rPr>
          <w:bCs/>
          <w:color w:val="auto"/>
          <w:sz w:val="24"/>
        </w:rPr>
      </w:pPr>
      <w:r>
        <w:rPr>
          <w:rFonts w:hint="eastAsia"/>
          <w:bCs/>
          <w:color w:val="auto"/>
          <w:sz w:val="24"/>
        </w:rPr>
        <w:t>L</w:t>
      </w:r>
      <w:r>
        <w:rPr>
          <w:rFonts w:hint="eastAsia"/>
          <w:bCs/>
          <w:color w:val="auto"/>
          <w:sz w:val="24"/>
          <w:vertAlign w:val="subscript"/>
        </w:rPr>
        <w:t>eqb</w:t>
      </w:r>
      <w:r>
        <w:rPr>
          <w:rFonts w:hint="eastAsia"/>
          <w:bCs/>
          <w:color w:val="auto"/>
          <w:sz w:val="24"/>
        </w:rPr>
        <w:t>——预测点的背景噪声值，dB。</w:t>
      </w:r>
    </w:p>
    <w:p w14:paraId="75E09434">
      <w:pPr>
        <w:pStyle w:val="276"/>
        <w:ind w:left="0" w:leftChars="0" w:firstLine="0" w:firstLineChars="0"/>
        <w:rPr>
          <w:rFonts w:hint="eastAsia"/>
          <w:b/>
          <w:color w:val="auto"/>
        </w:rPr>
      </w:pPr>
      <w:r>
        <w:rPr>
          <w:rFonts w:hint="eastAsia"/>
          <w:b/>
          <w:color w:val="auto"/>
        </w:rPr>
        <w:t>5.2.4.3预测和评价内容</w:t>
      </w:r>
    </w:p>
    <w:p w14:paraId="59CC05A0">
      <w:pPr>
        <w:spacing w:line="360" w:lineRule="auto"/>
        <w:ind w:left="-17" w:leftChars="-8" w:firstLine="403"/>
        <w:jc w:val="left"/>
        <w:rPr>
          <w:bCs/>
          <w:color w:val="auto"/>
          <w:sz w:val="24"/>
        </w:rPr>
      </w:pPr>
      <w:r>
        <w:rPr>
          <w:rFonts w:hint="eastAsia"/>
          <w:bCs/>
          <w:color w:val="auto"/>
          <w:sz w:val="24"/>
        </w:rPr>
        <w:t>根据《环境影响评价技术导则 声环境》(HJ2.4-2021)，按不同评价工作等级的基本要求，选择以下工作内容分别进行预测，给出相应的预测结果。</w:t>
      </w:r>
    </w:p>
    <w:p w14:paraId="6B99368D">
      <w:pPr>
        <w:spacing w:line="360" w:lineRule="auto"/>
        <w:ind w:left="-17" w:leftChars="-8" w:firstLine="403"/>
        <w:jc w:val="left"/>
        <w:rPr>
          <w:bCs/>
          <w:color w:val="auto"/>
          <w:sz w:val="24"/>
        </w:rPr>
      </w:pPr>
      <w:r>
        <w:rPr>
          <w:rFonts w:hint="eastAsia"/>
          <w:bCs/>
          <w:color w:val="auto"/>
          <w:sz w:val="24"/>
        </w:rPr>
        <w:t>a)厂界（场界、边界）噪声预测</w:t>
      </w:r>
    </w:p>
    <w:p w14:paraId="2708AF73">
      <w:pPr>
        <w:spacing w:line="360" w:lineRule="auto"/>
        <w:ind w:left="-17" w:leftChars="-8" w:firstLine="403"/>
        <w:jc w:val="left"/>
        <w:rPr>
          <w:bCs/>
          <w:color w:val="auto"/>
          <w:sz w:val="24"/>
        </w:rPr>
      </w:pPr>
      <w:r>
        <w:rPr>
          <w:rFonts w:hint="eastAsia"/>
          <w:bCs/>
          <w:color w:val="auto"/>
          <w:sz w:val="24"/>
        </w:rPr>
        <w:t>预测厂界（场界、边界）噪声，给出厂界（场界、边界）噪声的最大值及位置。</w:t>
      </w:r>
    </w:p>
    <w:p w14:paraId="4D8654DC">
      <w:pPr>
        <w:spacing w:line="360" w:lineRule="auto"/>
        <w:ind w:left="-17" w:leftChars="-8" w:firstLine="403"/>
        <w:jc w:val="left"/>
        <w:rPr>
          <w:bCs/>
          <w:color w:val="auto"/>
          <w:sz w:val="24"/>
        </w:rPr>
      </w:pPr>
      <w:r>
        <w:rPr>
          <w:rFonts w:hint="eastAsia"/>
          <w:bCs/>
          <w:color w:val="auto"/>
          <w:sz w:val="24"/>
        </w:rPr>
        <w:t>b)声环境保护目标噪声预测</w:t>
      </w:r>
    </w:p>
    <w:p w14:paraId="078E6549">
      <w:pPr>
        <w:spacing w:line="360" w:lineRule="auto"/>
        <w:ind w:left="-17" w:leftChars="-8" w:firstLine="403"/>
        <w:jc w:val="left"/>
        <w:rPr>
          <w:bCs/>
          <w:color w:val="auto"/>
          <w:sz w:val="24"/>
        </w:rPr>
      </w:pPr>
      <w:r>
        <w:rPr>
          <w:rFonts w:hint="eastAsia"/>
          <w:bCs/>
          <w:color w:val="auto"/>
          <w:sz w:val="24"/>
        </w:rPr>
        <w:t>预测声环境保护目标处的贡献值、预测值以及预测值与现状噪声值的差值，声环境保护目标所处声环境功能区的声环境质量变化，声环境保护目标所受噪声影响的程度，确定噪声影响的范围，并说明受影响人口分布情况。</w:t>
      </w:r>
    </w:p>
    <w:p w14:paraId="7A4EA5A4">
      <w:pPr>
        <w:spacing w:line="360" w:lineRule="auto"/>
        <w:ind w:left="-17" w:leftChars="-8" w:firstLine="403"/>
        <w:jc w:val="left"/>
        <w:rPr>
          <w:bCs/>
          <w:color w:val="auto"/>
          <w:sz w:val="24"/>
        </w:rPr>
      </w:pPr>
      <w:r>
        <w:rPr>
          <w:rFonts w:hint="eastAsia"/>
          <w:bCs/>
          <w:color w:val="auto"/>
          <w:sz w:val="24"/>
        </w:rPr>
        <w:t>当声环境保护目标高于（含）三层建筑时，还应预测有代表性的不同楼层噪声。</w:t>
      </w:r>
    </w:p>
    <w:p w14:paraId="45A1DC3C">
      <w:pPr>
        <w:spacing w:line="360" w:lineRule="auto"/>
        <w:ind w:left="-17" w:leftChars="-8" w:firstLine="403"/>
        <w:jc w:val="left"/>
        <w:rPr>
          <w:bCs/>
          <w:color w:val="auto"/>
          <w:sz w:val="24"/>
        </w:rPr>
      </w:pPr>
      <w:r>
        <w:rPr>
          <w:rFonts w:hint="eastAsia"/>
          <w:bCs/>
          <w:color w:val="auto"/>
          <w:sz w:val="24"/>
        </w:rPr>
        <w:t>c)绘制等声级线图</w:t>
      </w:r>
    </w:p>
    <w:p w14:paraId="4F85BFDE">
      <w:pPr>
        <w:spacing w:line="360" w:lineRule="auto"/>
        <w:ind w:left="-17" w:leftChars="-8" w:firstLine="403"/>
        <w:jc w:val="left"/>
        <w:rPr>
          <w:bCs/>
          <w:color w:val="auto"/>
          <w:sz w:val="24"/>
        </w:rPr>
      </w:pPr>
      <w:r>
        <w:rPr>
          <w:rFonts w:hint="eastAsia"/>
          <w:bCs/>
          <w:color w:val="auto"/>
          <w:sz w:val="24"/>
        </w:rPr>
        <w:t>绘制等声级线图，说明噪声超标的范围和程度。</w:t>
      </w:r>
    </w:p>
    <w:p w14:paraId="14CB0F41">
      <w:pPr>
        <w:spacing w:line="360" w:lineRule="auto"/>
        <w:ind w:left="-17" w:leftChars="-8" w:firstLine="403"/>
        <w:jc w:val="left"/>
        <w:rPr>
          <w:bCs/>
          <w:color w:val="auto"/>
          <w:sz w:val="24"/>
        </w:rPr>
      </w:pPr>
      <w:r>
        <w:rPr>
          <w:rFonts w:hint="eastAsia"/>
          <w:bCs/>
          <w:color w:val="auto"/>
          <w:sz w:val="24"/>
        </w:rPr>
        <w:t>d)分析超标原因</w:t>
      </w:r>
    </w:p>
    <w:p w14:paraId="457614D6">
      <w:pPr>
        <w:spacing w:line="360" w:lineRule="auto"/>
        <w:ind w:left="-17" w:leftChars="-8" w:firstLine="403"/>
        <w:jc w:val="left"/>
        <w:rPr>
          <w:bCs/>
          <w:color w:val="auto"/>
          <w:sz w:val="24"/>
        </w:rPr>
      </w:pPr>
      <w:r>
        <w:rPr>
          <w:rFonts w:hint="eastAsia"/>
          <w:bCs/>
          <w:color w:val="auto"/>
          <w:sz w:val="24"/>
        </w:rPr>
        <w:t>根据厂界（场界、边界）和声环境保护目标受影响的情况，明确影响厂界（场界、边界）和周围声环境功能区声环境质量的主要声源，分析厂界（场界、边界）和声环境保护目标的超标原因。</w:t>
      </w:r>
    </w:p>
    <w:p w14:paraId="5D3D62E8">
      <w:pPr>
        <w:spacing w:line="360" w:lineRule="auto"/>
        <w:ind w:left="-17" w:leftChars="-8" w:firstLine="403"/>
        <w:jc w:val="left"/>
        <w:rPr>
          <w:bCs/>
          <w:color w:val="auto"/>
          <w:sz w:val="24"/>
        </w:rPr>
      </w:pPr>
      <w:r>
        <w:rPr>
          <w:rFonts w:hint="eastAsia"/>
          <w:bCs/>
          <w:color w:val="auto"/>
          <w:sz w:val="24"/>
        </w:rPr>
        <w:t>本项目无声环境保护目标，因此仅预测场界噪声，给出场界噪声的最大值及位置并绘制等声级线图。</w:t>
      </w:r>
    </w:p>
    <w:p w14:paraId="6E723B59">
      <w:pPr>
        <w:pStyle w:val="276"/>
        <w:ind w:left="0" w:leftChars="0" w:firstLine="0" w:firstLineChars="0"/>
        <w:rPr>
          <w:rFonts w:hint="eastAsia"/>
          <w:b/>
          <w:color w:val="auto"/>
        </w:rPr>
      </w:pPr>
      <w:r>
        <w:rPr>
          <w:rFonts w:hint="eastAsia"/>
          <w:b/>
          <w:color w:val="auto"/>
        </w:rPr>
        <w:t>5.2.4.4噪声预测结果与影响分析</w:t>
      </w:r>
    </w:p>
    <w:p w14:paraId="509F7B6B">
      <w:pPr>
        <w:spacing w:line="360" w:lineRule="auto"/>
        <w:ind w:firstLine="480" w:firstLineChars="200"/>
        <w:rPr>
          <w:color w:val="auto"/>
          <w:sz w:val="24"/>
        </w:rPr>
      </w:pPr>
      <w:r>
        <w:rPr>
          <w:color w:val="auto"/>
          <w:sz w:val="24"/>
        </w:rPr>
        <w:t>噪声在室外空间的传播，由于受到遮挡物的隔断，各种介质的吸收与反射，以及空气介质的吸收等物理作用而逐渐减弱。为了简化计算条件并能考虑到最不利因素，计算时只考虑噪声随距离的衰减。</w:t>
      </w:r>
    </w:p>
    <w:p w14:paraId="7045D324">
      <w:pPr>
        <w:jc w:val="center"/>
        <w:rPr>
          <w:b/>
          <w:color w:val="auto"/>
        </w:rPr>
      </w:pPr>
      <w:r>
        <w:rPr>
          <w:b/>
          <w:color w:val="auto"/>
          <w:szCs w:val="21"/>
        </w:rPr>
        <w:t>表</w:t>
      </w:r>
      <w:r>
        <w:rPr>
          <w:rFonts w:hint="eastAsia"/>
          <w:b/>
          <w:color w:val="auto"/>
          <w:szCs w:val="21"/>
        </w:rPr>
        <w:t>5</w:t>
      </w:r>
      <w:r>
        <w:rPr>
          <w:rFonts w:hint="eastAsia"/>
          <w:b/>
          <w:color w:val="auto"/>
          <w:szCs w:val="21"/>
          <w:lang w:val="en-US" w:eastAsia="zh-CN"/>
        </w:rPr>
        <w:t xml:space="preserve">.2-25  </w:t>
      </w:r>
      <w:r>
        <w:rPr>
          <w:b/>
          <w:color w:val="auto"/>
          <w:szCs w:val="21"/>
        </w:rPr>
        <w:t xml:space="preserve">  厂界噪声预测结果与达标分析表</w:t>
      </w:r>
      <w:bookmarkStart w:id="333" w:name="PT_7"/>
    </w:p>
    <w:tbl>
      <w:tblPr>
        <w:tblStyle w:val="5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00"/>
        <w:gridCol w:w="802"/>
        <w:gridCol w:w="802"/>
        <w:gridCol w:w="805"/>
        <w:gridCol w:w="993"/>
        <w:gridCol w:w="1418"/>
        <w:gridCol w:w="1418"/>
        <w:gridCol w:w="1187"/>
      </w:tblGrid>
      <w:tr w14:paraId="5BBA51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90" w:hRule="exact"/>
          <w:jc w:val="center"/>
        </w:trPr>
        <w:tc>
          <w:tcPr>
            <w:tcW w:w="645" w:type="pct"/>
            <w:vMerge w:val="restart"/>
            <w:shd w:val="clear" w:color="auto" w:fill="auto"/>
            <w:vAlign w:val="center"/>
          </w:tcPr>
          <w:p w14:paraId="1D9667F2">
            <w:pPr>
              <w:jc w:val="center"/>
              <w:rPr>
                <w:rFonts w:eastAsiaTheme="minorEastAsia"/>
                <w:color w:val="auto"/>
                <w:sz w:val="21"/>
                <w:szCs w:val="21"/>
              </w:rPr>
            </w:pPr>
            <w:r>
              <w:rPr>
                <w:rFonts w:eastAsiaTheme="minorEastAsia"/>
                <w:b/>
                <w:color w:val="auto"/>
                <w:sz w:val="21"/>
                <w:szCs w:val="21"/>
              </w:rPr>
              <w:t>预测方位</w:t>
            </w:r>
          </w:p>
        </w:tc>
        <w:tc>
          <w:tcPr>
            <w:tcW w:w="1412" w:type="pct"/>
            <w:gridSpan w:val="3"/>
            <w:shd w:val="clear" w:color="auto" w:fill="auto"/>
            <w:vAlign w:val="center"/>
          </w:tcPr>
          <w:p w14:paraId="353B110A">
            <w:pPr>
              <w:jc w:val="center"/>
              <w:rPr>
                <w:rFonts w:eastAsiaTheme="minorEastAsia"/>
                <w:color w:val="auto"/>
                <w:sz w:val="21"/>
                <w:szCs w:val="21"/>
              </w:rPr>
            </w:pPr>
            <w:r>
              <w:rPr>
                <w:rFonts w:hint="eastAsia" w:eastAsiaTheme="minorEastAsia"/>
                <w:b/>
                <w:color w:val="auto"/>
                <w:sz w:val="21"/>
                <w:szCs w:val="21"/>
              </w:rPr>
              <w:t>最大值点</w:t>
            </w:r>
            <w:r>
              <w:rPr>
                <w:rFonts w:eastAsiaTheme="minorEastAsia"/>
                <w:b/>
                <w:color w:val="auto"/>
                <w:sz w:val="21"/>
                <w:szCs w:val="21"/>
              </w:rPr>
              <w:t>空间相对位置/m</w:t>
            </w:r>
          </w:p>
        </w:tc>
        <w:tc>
          <w:tcPr>
            <w:tcW w:w="582" w:type="pct"/>
            <w:vMerge w:val="restart"/>
            <w:shd w:val="clear" w:color="auto" w:fill="auto"/>
            <w:vAlign w:val="center"/>
          </w:tcPr>
          <w:p w14:paraId="02CAC8A5">
            <w:pPr>
              <w:jc w:val="center"/>
              <w:rPr>
                <w:rFonts w:eastAsiaTheme="minorEastAsia"/>
                <w:color w:val="auto"/>
                <w:sz w:val="21"/>
                <w:szCs w:val="21"/>
              </w:rPr>
            </w:pPr>
            <w:r>
              <w:rPr>
                <w:rFonts w:eastAsiaTheme="minorEastAsia"/>
                <w:b/>
                <w:color w:val="auto"/>
                <w:sz w:val="21"/>
                <w:szCs w:val="21"/>
              </w:rPr>
              <w:t>时段</w:t>
            </w:r>
          </w:p>
        </w:tc>
        <w:tc>
          <w:tcPr>
            <w:tcW w:w="831" w:type="pct"/>
            <w:vMerge w:val="restart"/>
            <w:shd w:val="clear" w:color="auto" w:fill="auto"/>
            <w:vAlign w:val="center"/>
          </w:tcPr>
          <w:p w14:paraId="3C04B54B">
            <w:pPr>
              <w:jc w:val="center"/>
              <w:rPr>
                <w:rFonts w:eastAsiaTheme="minorEastAsia"/>
                <w:color w:val="auto"/>
                <w:sz w:val="21"/>
                <w:szCs w:val="21"/>
              </w:rPr>
            </w:pPr>
            <w:r>
              <w:rPr>
                <w:rFonts w:hint="eastAsia" w:eastAsiaTheme="minorEastAsia"/>
                <w:b/>
                <w:color w:val="auto"/>
                <w:sz w:val="21"/>
                <w:szCs w:val="21"/>
              </w:rPr>
              <w:t>贡献值</w:t>
            </w:r>
            <w:r>
              <w:rPr>
                <w:rFonts w:eastAsiaTheme="minorEastAsia"/>
                <w:b/>
                <w:color w:val="auto"/>
                <w:sz w:val="21"/>
                <w:szCs w:val="21"/>
              </w:rPr>
              <w:t>（dB(A)）</w:t>
            </w:r>
          </w:p>
        </w:tc>
        <w:tc>
          <w:tcPr>
            <w:tcW w:w="831" w:type="pct"/>
            <w:vMerge w:val="restart"/>
            <w:shd w:val="clear" w:color="auto" w:fill="auto"/>
            <w:vAlign w:val="center"/>
          </w:tcPr>
          <w:p w14:paraId="1C81DB6B">
            <w:pPr>
              <w:jc w:val="center"/>
              <w:rPr>
                <w:rFonts w:eastAsiaTheme="minorEastAsia"/>
                <w:color w:val="auto"/>
                <w:sz w:val="21"/>
                <w:szCs w:val="21"/>
              </w:rPr>
            </w:pPr>
            <w:r>
              <w:rPr>
                <w:rFonts w:eastAsiaTheme="minorEastAsia"/>
                <w:b/>
                <w:color w:val="auto"/>
                <w:sz w:val="21"/>
                <w:szCs w:val="21"/>
              </w:rPr>
              <w:t>标准限值（dB(A)）</w:t>
            </w:r>
          </w:p>
        </w:tc>
        <w:tc>
          <w:tcPr>
            <w:tcW w:w="696" w:type="pct"/>
            <w:vMerge w:val="restart"/>
            <w:shd w:val="clear" w:color="auto" w:fill="auto"/>
            <w:vAlign w:val="center"/>
          </w:tcPr>
          <w:p w14:paraId="67FE632C">
            <w:pPr>
              <w:jc w:val="center"/>
              <w:rPr>
                <w:rFonts w:eastAsiaTheme="minorEastAsia"/>
                <w:color w:val="auto"/>
                <w:sz w:val="21"/>
                <w:szCs w:val="21"/>
              </w:rPr>
            </w:pPr>
            <w:r>
              <w:rPr>
                <w:rFonts w:eastAsiaTheme="minorEastAsia"/>
                <w:b/>
                <w:color w:val="auto"/>
                <w:sz w:val="21"/>
                <w:szCs w:val="21"/>
              </w:rPr>
              <w:t>达标情况</w:t>
            </w:r>
          </w:p>
        </w:tc>
      </w:tr>
      <w:tr w14:paraId="53A0FA1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45" w:type="pct"/>
            <w:vMerge w:val="continue"/>
            <w:shd w:val="clear" w:color="auto" w:fill="auto"/>
            <w:vAlign w:val="center"/>
          </w:tcPr>
          <w:p w14:paraId="46CA45E0">
            <w:pPr>
              <w:jc w:val="center"/>
              <w:rPr>
                <w:rFonts w:eastAsiaTheme="minorEastAsia"/>
                <w:color w:val="auto"/>
                <w:sz w:val="21"/>
                <w:szCs w:val="21"/>
              </w:rPr>
            </w:pPr>
          </w:p>
        </w:tc>
        <w:tc>
          <w:tcPr>
            <w:tcW w:w="470" w:type="pct"/>
            <w:shd w:val="clear" w:color="auto" w:fill="auto"/>
            <w:vAlign w:val="center"/>
          </w:tcPr>
          <w:p w14:paraId="36776808">
            <w:pPr>
              <w:jc w:val="center"/>
              <w:rPr>
                <w:rFonts w:eastAsiaTheme="minorEastAsia"/>
                <w:color w:val="auto"/>
                <w:sz w:val="21"/>
                <w:szCs w:val="21"/>
              </w:rPr>
            </w:pPr>
            <w:r>
              <w:rPr>
                <w:rFonts w:eastAsiaTheme="minorEastAsia"/>
                <w:color w:val="auto"/>
                <w:sz w:val="21"/>
                <w:szCs w:val="21"/>
              </w:rPr>
              <w:t>X</w:t>
            </w:r>
          </w:p>
        </w:tc>
        <w:tc>
          <w:tcPr>
            <w:tcW w:w="470" w:type="pct"/>
            <w:shd w:val="clear" w:color="auto" w:fill="auto"/>
            <w:vAlign w:val="center"/>
          </w:tcPr>
          <w:p w14:paraId="4F11490E">
            <w:pPr>
              <w:jc w:val="center"/>
              <w:rPr>
                <w:rFonts w:eastAsiaTheme="minorEastAsia"/>
                <w:color w:val="auto"/>
                <w:sz w:val="21"/>
                <w:szCs w:val="21"/>
              </w:rPr>
            </w:pPr>
            <w:r>
              <w:rPr>
                <w:rFonts w:eastAsiaTheme="minorEastAsia"/>
                <w:color w:val="auto"/>
                <w:sz w:val="21"/>
                <w:szCs w:val="21"/>
              </w:rPr>
              <w:t>Y</w:t>
            </w:r>
          </w:p>
        </w:tc>
        <w:tc>
          <w:tcPr>
            <w:tcW w:w="470" w:type="pct"/>
            <w:shd w:val="clear" w:color="auto" w:fill="auto"/>
            <w:vAlign w:val="center"/>
          </w:tcPr>
          <w:p w14:paraId="5027049D">
            <w:pPr>
              <w:jc w:val="center"/>
              <w:rPr>
                <w:rFonts w:eastAsiaTheme="minorEastAsia"/>
                <w:color w:val="auto"/>
                <w:sz w:val="21"/>
                <w:szCs w:val="21"/>
              </w:rPr>
            </w:pPr>
            <w:r>
              <w:rPr>
                <w:rFonts w:eastAsiaTheme="minorEastAsia"/>
                <w:color w:val="auto"/>
                <w:sz w:val="21"/>
                <w:szCs w:val="21"/>
              </w:rPr>
              <w:t>Z</w:t>
            </w:r>
          </w:p>
        </w:tc>
        <w:tc>
          <w:tcPr>
            <w:tcW w:w="582" w:type="pct"/>
            <w:vMerge w:val="continue"/>
            <w:shd w:val="clear" w:color="auto" w:fill="auto"/>
            <w:vAlign w:val="center"/>
          </w:tcPr>
          <w:p w14:paraId="4A239C35">
            <w:pPr>
              <w:jc w:val="center"/>
              <w:rPr>
                <w:rFonts w:eastAsiaTheme="minorEastAsia"/>
                <w:color w:val="auto"/>
                <w:sz w:val="21"/>
                <w:szCs w:val="21"/>
              </w:rPr>
            </w:pPr>
          </w:p>
        </w:tc>
        <w:tc>
          <w:tcPr>
            <w:tcW w:w="831" w:type="pct"/>
            <w:vMerge w:val="continue"/>
            <w:shd w:val="clear" w:color="auto" w:fill="auto"/>
            <w:vAlign w:val="center"/>
          </w:tcPr>
          <w:p w14:paraId="35C94EA1">
            <w:pPr>
              <w:jc w:val="center"/>
              <w:rPr>
                <w:rFonts w:eastAsiaTheme="minorEastAsia"/>
                <w:color w:val="auto"/>
                <w:sz w:val="21"/>
                <w:szCs w:val="21"/>
              </w:rPr>
            </w:pPr>
          </w:p>
        </w:tc>
        <w:tc>
          <w:tcPr>
            <w:tcW w:w="831" w:type="pct"/>
            <w:vMerge w:val="continue"/>
            <w:shd w:val="clear" w:color="auto" w:fill="auto"/>
            <w:vAlign w:val="center"/>
          </w:tcPr>
          <w:p w14:paraId="4FDE18F1">
            <w:pPr>
              <w:jc w:val="center"/>
              <w:rPr>
                <w:rFonts w:eastAsiaTheme="minorEastAsia"/>
                <w:color w:val="auto"/>
                <w:sz w:val="21"/>
                <w:szCs w:val="21"/>
              </w:rPr>
            </w:pPr>
          </w:p>
          <w:bookmarkEnd w:id="333"/>
        </w:tc>
        <w:tc>
          <w:tcPr>
            <w:tcW w:w="696" w:type="pct"/>
            <w:vMerge w:val="continue"/>
            <w:shd w:val="clear" w:color="auto" w:fill="auto"/>
            <w:vAlign w:val="center"/>
          </w:tcPr>
          <w:p w14:paraId="5BD86B25">
            <w:pPr>
              <w:jc w:val="center"/>
              <w:rPr>
                <w:rFonts w:eastAsiaTheme="minorEastAsia"/>
                <w:color w:val="auto"/>
                <w:sz w:val="21"/>
                <w:szCs w:val="21"/>
              </w:rPr>
            </w:pPr>
          </w:p>
        </w:tc>
      </w:tr>
      <w:tr w14:paraId="14DE80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645" w:type="pct"/>
            <w:vMerge w:val="restart"/>
            <w:shd w:val="clear" w:color="auto" w:fill="auto"/>
            <w:vAlign w:val="center"/>
          </w:tcPr>
          <w:p w14:paraId="7429CBE3">
            <w:pPr>
              <w:jc w:val="center"/>
              <w:rPr>
                <w:color w:val="auto"/>
                <w:sz w:val="21"/>
                <w:szCs w:val="21"/>
              </w:rPr>
            </w:pPr>
            <w:r>
              <w:rPr>
                <w:rFonts w:ascii="Arial" w:hAnsi="Arial" w:eastAsia="Arial" w:cs="Arial"/>
                <w:color w:val="auto"/>
                <w:sz w:val="21"/>
                <w:szCs w:val="21"/>
              </w:rPr>
              <w:t>东侧</w:t>
            </w:r>
          </w:p>
        </w:tc>
        <w:tc>
          <w:tcPr>
            <w:tcW w:w="470" w:type="pct"/>
            <w:shd w:val="clear" w:color="auto" w:fill="auto"/>
            <w:vAlign w:val="center"/>
          </w:tcPr>
          <w:p w14:paraId="02471728">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125.1</w:t>
            </w:r>
          </w:p>
        </w:tc>
        <w:tc>
          <w:tcPr>
            <w:tcW w:w="470" w:type="pct"/>
            <w:shd w:val="clear" w:color="auto" w:fill="auto"/>
            <w:vAlign w:val="center"/>
          </w:tcPr>
          <w:p w14:paraId="730DAAB1">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103.4</w:t>
            </w:r>
          </w:p>
        </w:tc>
        <w:tc>
          <w:tcPr>
            <w:tcW w:w="470" w:type="pct"/>
            <w:shd w:val="clear" w:color="auto" w:fill="auto"/>
            <w:vAlign w:val="center"/>
          </w:tcPr>
          <w:p w14:paraId="266C2BFB">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1.2</w:t>
            </w:r>
          </w:p>
        </w:tc>
        <w:tc>
          <w:tcPr>
            <w:tcW w:w="582" w:type="pct"/>
            <w:shd w:val="clear" w:color="auto" w:fill="auto"/>
            <w:vAlign w:val="center"/>
          </w:tcPr>
          <w:p w14:paraId="0E30DEE4">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昼间</w:t>
            </w:r>
          </w:p>
        </w:tc>
        <w:tc>
          <w:tcPr>
            <w:tcW w:w="831" w:type="pct"/>
            <w:shd w:val="clear" w:color="auto" w:fill="auto"/>
            <w:vAlign w:val="center"/>
          </w:tcPr>
          <w:p w14:paraId="3B2B8BEA">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32.3</w:t>
            </w:r>
          </w:p>
        </w:tc>
        <w:tc>
          <w:tcPr>
            <w:tcW w:w="831" w:type="pct"/>
            <w:shd w:val="clear" w:color="auto" w:fill="auto"/>
            <w:vAlign w:val="center"/>
          </w:tcPr>
          <w:p w14:paraId="373B95C8">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55</w:t>
            </w:r>
          </w:p>
        </w:tc>
        <w:tc>
          <w:tcPr>
            <w:tcW w:w="696" w:type="pct"/>
            <w:shd w:val="clear" w:color="auto" w:fill="auto"/>
            <w:vAlign w:val="center"/>
          </w:tcPr>
          <w:p w14:paraId="45AA464B">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达标</w:t>
            </w:r>
          </w:p>
        </w:tc>
      </w:tr>
      <w:tr w14:paraId="7CBF87D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645" w:type="pct"/>
            <w:vMerge w:val="continue"/>
            <w:shd w:val="clear" w:color="auto" w:fill="auto"/>
            <w:vAlign w:val="center"/>
          </w:tcPr>
          <w:p w14:paraId="1937CECB">
            <w:pPr>
              <w:jc w:val="center"/>
              <w:rPr>
                <w:color w:val="auto"/>
                <w:sz w:val="21"/>
                <w:szCs w:val="21"/>
              </w:rPr>
            </w:pPr>
            <w:r>
              <w:rPr>
                <w:rFonts w:ascii="Arial" w:hAnsi="Arial" w:eastAsia="Arial" w:cs="Arial"/>
                <w:color w:val="auto"/>
                <w:sz w:val="21"/>
                <w:szCs w:val="21"/>
              </w:rPr>
              <w:t>东侧</w:t>
            </w:r>
          </w:p>
        </w:tc>
        <w:tc>
          <w:tcPr>
            <w:tcW w:w="470" w:type="pct"/>
            <w:shd w:val="clear" w:color="auto" w:fill="auto"/>
            <w:vAlign w:val="center"/>
          </w:tcPr>
          <w:p w14:paraId="647281FA">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125.1</w:t>
            </w:r>
          </w:p>
        </w:tc>
        <w:tc>
          <w:tcPr>
            <w:tcW w:w="470" w:type="pct"/>
            <w:shd w:val="clear" w:color="auto" w:fill="auto"/>
            <w:vAlign w:val="center"/>
          </w:tcPr>
          <w:p w14:paraId="0BC930BE">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103.4</w:t>
            </w:r>
          </w:p>
        </w:tc>
        <w:tc>
          <w:tcPr>
            <w:tcW w:w="470" w:type="pct"/>
            <w:shd w:val="clear" w:color="auto" w:fill="auto"/>
            <w:vAlign w:val="center"/>
          </w:tcPr>
          <w:p w14:paraId="48E77B5C">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1.2</w:t>
            </w:r>
          </w:p>
        </w:tc>
        <w:tc>
          <w:tcPr>
            <w:tcW w:w="582" w:type="pct"/>
            <w:shd w:val="clear" w:color="auto" w:fill="auto"/>
            <w:vAlign w:val="center"/>
          </w:tcPr>
          <w:p w14:paraId="53DA9E8B">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夜间</w:t>
            </w:r>
          </w:p>
        </w:tc>
        <w:tc>
          <w:tcPr>
            <w:tcW w:w="831" w:type="pct"/>
            <w:shd w:val="clear" w:color="auto" w:fill="auto"/>
            <w:vAlign w:val="center"/>
          </w:tcPr>
          <w:p w14:paraId="68F4A8F1">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32.3</w:t>
            </w:r>
          </w:p>
        </w:tc>
        <w:tc>
          <w:tcPr>
            <w:tcW w:w="831" w:type="pct"/>
            <w:shd w:val="clear" w:color="auto" w:fill="auto"/>
            <w:vAlign w:val="center"/>
          </w:tcPr>
          <w:p w14:paraId="538192E6">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45</w:t>
            </w:r>
          </w:p>
        </w:tc>
        <w:tc>
          <w:tcPr>
            <w:tcW w:w="696" w:type="pct"/>
            <w:shd w:val="clear" w:color="auto" w:fill="auto"/>
            <w:vAlign w:val="center"/>
          </w:tcPr>
          <w:p w14:paraId="070228A5">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达标</w:t>
            </w:r>
          </w:p>
        </w:tc>
      </w:tr>
      <w:tr w14:paraId="33398E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645" w:type="pct"/>
            <w:vMerge w:val="restart"/>
            <w:shd w:val="clear" w:color="auto" w:fill="auto"/>
            <w:vAlign w:val="center"/>
          </w:tcPr>
          <w:p w14:paraId="2F65BEFC">
            <w:pPr>
              <w:jc w:val="center"/>
              <w:rPr>
                <w:color w:val="auto"/>
                <w:sz w:val="21"/>
                <w:szCs w:val="21"/>
              </w:rPr>
            </w:pPr>
            <w:r>
              <w:rPr>
                <w:rFonts w:ascii="Arial" w:hAnsi="Arial" w:eastAsia="Arial" w:cs="Arial"/>
                <w:color w:val="auto"/>
                <w:sz w:val="21"/>
                <w:szCs w:val="21"/>
              </w:rPr>
              <w:t>南侧</w:t>
            </w:r>
          </w:p>
        </w:tc>
        <w:tc>
          <w:tcPr>
            <w:tcW w:w="470" w:type="pct"/>
            <w:shd w:val="clear" w:color="auto" w:fill="auto"/>
            <w:vAlign w:val="center"/>
          </w:tcPr>
          <w:p w14:paraId="387EFD15">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-131.6</w:t>
            </w:r>
          </w:p>
        </w:tc>
        <w:tc>
          <w:tcPr>
            <w:tcW w:w="470" w:type="pct"/>
            <w:shd w:val="clear" w:color="auto" w:fill="auto"/>
            <w:vAlign w:val="center"/>
          </w:tcPr>
          <w:p w14:paraId="296EB23C">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-133.6</w:t>
            </w:r>
          </w:p>
        </w:tc>
        <w:tc>
          <w:tcPr>
            <w:tcW w:w="470" w:type="pct"/>
            <w:shd w:val="clear" w:color="auto" w:fill="auto"/>
            <w:vAlign w:val="center"/>
          </w:tcPr>
          <w:p w14:paraId="03C973DB">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1.2</w:t>
            </w:r>
          </w:p>
        </w:tc>
        <w:tc>
          <w:tcPr>
            <w:tcW w:w="582" w:type="pct"/>
            <w:shd w:val="clear" w:color="auto" w:fill="auto"/>
            <w:vAlign w:val="center"/>
          </w:tcPr>
          <w:p w14:paraId="5C8DA354">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昼间</w:t>
            </w:r>
          </w:p>
        </w:tc>
        <w:tc>
          <w:tcPr>
            <w:tcW w:w="831" w:type="pct"/>
            <w:shd w:val="clear" w:color="auto" w:fill="auto"/>
            <w:vAlign w:val="center"/>
          </w:tcPr>
          <w:p w14:paraId="003B9D3C">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24.4</w:t>
            </w:r>
          </w:p>
        </w:tc>
        <w:tc>
          <w:tcPr>
            <w:tcW w:w="831" w:type="pct"/>
            <w:shd w:val="clear" w:color="auto" w:fill="auto"/>
            <w:vAlign w:val="center"/>
          </w:tcPr>
          <w:p w14:paraId="162650D6">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55</w:t>
            </w:r>
          </w:p>
        </w:tc>
        <w:tc>
          <w:tcPr>
            <w:tcW w:w="696" w:type="pct"/>
            <w:shd w:val="clear" w:color="auto" w:fill="auto"/>
            <w:vAlign w:val="center"/>
          </w:tcPr>
          <w:p w14:paraId="49B93EF6">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达标</w:t>
            </w:r>
          </w:p>
        </w:tc>
      </w:tr>
      <w:tr w14:paraId="7E0C2C3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645" w:type="pct"/>
            <w:vMerge w:val="continue"/>
            <w:shd w:val="clear" w:color="auto" w:fill="auto"/>
            <w:vAlign w:val="center"/>
          </w:tcPr>
          <w:p w14:paraId="5C0FD9B1">
            <w:pPr>
              <w:jc w:val="center"/>
              <w:rPr>
                <w:color w:val="auto"/>
                <w:sz w:val="21"/>
                <w:szCs w:val="21"/>
              </w:rPr>
            </w:pPr>
            <w:r>
              <w:rPr>
                <w:rFonts w:ascii="Arial" w:hAnsi="Arial" w:eastAsia="Arial" w:cs="Arial"/>
                <w:color w:val="auto"/>
                <w:sz w:val="21"/>
                <w:szCs w:val="21"/>
              </w:rPr>
              <w:t>南侧</w:t>
            </w:r>
          </w:p>
        </w:tc>
        <w:tc>
          <w:tcPr>
            <w:tcW w:w="470" w:type="pct"/>
            <w:shd w:val="clear" w:color="auto" w:fill="auto"/>
            <w:vAlign w:val="center"/>
          </w:tcPr>
          <w:p w14:paraId="6E6B2703">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-131.6</w:t>
            </w:r>
          </w:p>
        </w:tc>
        <w:tc>
          <w:tcPr>
            <w:tcW w:w="470" w:type="pct"/>
            <w:shd w:val="clear" w:color="auto" w:fill="auto"/>
            <w:vAlign w:val="center"/>
          </w:tcPr>
          <w:p w14:paraId="0DE50F38">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-133.6</w:t>
            </w:r>
          </w:p>
        </w:tc>
        <w:tc>
          <w:tcPr>
            <w:tcW w:w="470" w:type="pct"/>
            <w:shd w:val="clear" w:color="auto" w:fill="auto"/>
            <w:vAlign w:val="center"/>
          </w:tcPr>
          <w:p w14:paraId="5206AE3A">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1.2</w:t>
            </w:r>
          </w:p>
        </w:tc>
        <w:tc>
          <w:tcPr>
            <w:tcW w:w="582" w:type="pct"/>
            <w:shd w:val="clear" w:color="auto" w:fill="auto"/>
            <w:vAlign w:val="center"/>
          </w:tcPr>
          <w:p w14:paraId="3E810A16">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夜间</w:t>
            </w:r>
          </w:p>
        </w:tc>
        <w:tc>
          <w:tcPr>
            <w:tcW w:w="831" w:type="pct"/>
            <w:shd w:val="clear" w:color="auto" w:fill="auto"/>
            <w:vAlign w:val="center"/>
          </w:tcPr>
          <w:p w14:paraId="2D6E1AD4">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24.4</w:t>
            </w:r>
          </w:p>
        </w:tc>
        <w:tc>
          <w:tcPr>
            <w:tcW w:w="831" w:type="pct"/>
            <w:shd w:val="clear" w:color="auto" w:fill="auto"/>
            <w:vAlign w:val="center"/>
          </w:tcPr>
          <w:p w14:paraId="4D250473">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45</w:t>
            </w:r>
          </w:p>
        </w:tc>
        <w:tc>
          <w:tcPr>
            <w:tcW w:w="696" w:type="pct"/>
            <w:shd w:val="clear" w:color="auto" w:fill="auto"/>
            <w:vAlign w:val="center"/>
          </w:tcPr>
          <w:p w14:paraId="6285DCC9">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达标</w:t>
            </w:r>
          </w:p>
        </w:tc>
      </w:tr>
      <w:tr w14:paraId="791AA66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645" w:type="pct"/>
            <w:vMerge w:val="restart"/>
            <w:shd w:val="clear" w:color="auto" w:fill="auto"/>
            <w:vAlign w:val="center"/>
          </w:tcPr>
          <w:p w14:paraId="784D5453">
            <w:pPr>
              <w:jc w:val="center"/>
              <w:rPr>
                <w:color w:val="auto"/>
                <w:sz w:val="21"/>
                <w:szCs w:val="21"/>
              </w:rPr>
            </w:pPr>
            <w:r>
              <w:rPr>
                <w:rFonts w:ascii="Arial" w:hAnsi="Arial" w:eastAsia="Arial" w:cs="Arial"/>
                <w:color w:val="auto"/>
                <w:sz w:val="21"/>
                <w:szCs w:val="21"/>
              </w:rPr>
              <w:t>西侧</w:t>
            </w:r>
          </w:p>
        </w:tc>
        <w:tc>
          <w:tcPr>
            <w:tcW w:w="470" w:type="pct"/>
            <w:shd w:val="clear" w:color="auto" w:fill="auto"/>
            <w:vAlign w:val="center"/>
          </w:tcPr>
          <w:p w14:paraId="75E33451">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-195.1</w:t>
            </w:r>
          </w:p>
        </w:tc>
        <w:tc>
          <w:tcPr>
            <w:tcW w:w="470" w:type="pct"/>
            <w:shd w:val="clear" w:color="auto" w:fill="auto"/>
            <w:vAlign w:val="center"/>
          </w:tcPr>
          <w:p w14:paraId="34E94616">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-78.6</w:t>
            </w:r>
          </w:p>
        </w:tc>
        <w:tc>
          <w:tcPr>
            <w:tcW w:w="470" w:type="pct"/>
            <w:shd w:val="clear" w:color="auto" w:fill="auto"/>
            <w:vAlign w:val="center"/>
          </w:tcPr>
          <w:p w14:paraId="7A2BEBB4">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1.2</w:t>
            </w:r>
          </w:p>
        </w:tc>
        <w:tc>
          <w:tcPr>
            <w:tcW w:w="582" w:type="pct"/>
            <w:shd w:val="clear" w:color="auto" w:fill="auto"/>
            <w:vAlign w:val="center"/>
          </w:tcPr>
          <w:p w14:paraId="55A3569E">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昼间</w:t>
            </w:r>
          </w:p>
        </w:tc>
        <w:tc>
          <w:tcPr>
            <w:tcW w:w="831" w:type="pct"/>
            <w:shd w:val="clear" w:color="auto" w:fill="auto"/>
            <w:vAlign w:val="center"/>
          </w:tcPr>
          <w:p w14:paraId="1013E76A">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31.5</w:t>
            </w:r>
          </w:p>
        </w:tc>
        <w:tc>
          <w:tcPr>
            <w:tcW w:w="831" w:type="pct"/>
            <w:shd w:val="clear" w:color="auto" w:fill="auto"/>
            <w:vAlign w:val="center"/>
          </w:tcPr>
          <w:p w14:paraId="221D0D91">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55</w:t>
            </w:r>
          </w:p>
        </w:tc>
        <w:tc>
          <w:tcPr>
            <w:tcW w:w="696" w:type="pct"/>
            <w:shd w:val="clear" w:color="auto" w:fill="auto"/>
            <w:vAlign w:val="center"/>
          </w:tcPr>
          <w:p w14:paraId="74C3CDE5">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达标</w:t>
            </w:r>
          </w:p>
        </w:tc>
      </w:tr>
      <w:tr w14:paraId="259214A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645" w:type="pct"/>
            <w:vMerge w:val="continue"/>
            <w:shd w:val="clear" w:color="auto" w:fill="auto"/>
            <w:vAlign w:val="center"/>
          </w:tcPr>
          <w:p w14:paraId="2736A817">
            <w:pPr>
              <w:jc w:val="center"/>
              <w:rPr>
                <w:color w:val="auto"/>
                <w:sz w:val="21"/>
                <w:szCs w:val="21"/>
              </w:rPr>
            </w:pPr>
            <w:r>
              <w:rPr>
                <w:rFonts w:ascii="Arial" w:hAnsi="Arial" w:eastAsia="Arial" w:cs="Arial"/>
                <w:color w:val="auto"/>
                <w:sz w:val="21"/>
                <w:szCs w:val="21"/>
              </w:rPr>
              <w:t>西侧</w:t>
            </w:r>
          </w:p>
        </w:tc>
        <w:tc>
          <w:tcPr>
            <w:tcW w:w="470" w:type="pct"/>
            <w:shd w:val="clear" w:color="auto" w:fill="auto"/>
            <w:vAlign w:val="center"/>
          </w:tcPr>
          <w:p w14:paraId="7E6C952D">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-195.1</w:t>
            </w:r>
          </w:p>
        </w:tc>
        <w:tc>
          <w:tcPr>
            <w:tcW w:w="470" w:type="pct"/>
            <w:shd w:val="clear" w:color="auto" w:fill="auto"/>
            <w:vAlign w:val="center"/>
          </w:tcPr>
          <w:p w14:paraId="0D05825D">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-78.6</w:t>
            </w:r>
          </w:p>
        </w:tc>
        <w:tc>
          <w:tcPr>
            <w:tcW w:w="470" w:type="pct"/>
            <w:shd w:val="clear" w:color="auto" w:fill="auto"/>
            <w:vAlign w:val="center"/>
          </w:tcPr>
          <w:p w14:paraId="1E0C4A87">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1.2</w:t>
            </w:r>
          </w:p>
        </w:tc>
        <w:tc>
          <w:tcPr>
            <w:tcW w:w="582" w:type="pct"/>
            <w:shd w:val="clear" w:color="auto" w:fill="auto"/>
            <w:vAlign w:val="center"/>
          </w:tcPr>
          <w:p w14:paraId="72F92F6B">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夜间</w:t>
            </w:r>
          </w:p>
        </w:tc>
        <w:tc>
          <w:tcPr>
            <w:tcW w:w="831" w:type="pct"/>
            <w:shd w:val="clear" w:color="auto" w:fill="auto"/>
            <w:vAlign w:val="center"/>
          </w:tcPr>
          <w:p w14:paraId="1CE9E3D3">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31.5</w:t>
            </w:r>
          </w:p>
        </w:tc>
        <w:tc>
          <w:tcPr>
            <w:tcW w:w="831" w:type="pct"/>
            <w:shd w:val="clear" w:color="auto" w:fill="auto"/>
            <w:vAlign w:val="center"/>
          </w:tcPr>
          <w:p w14:paraId="2D7587CB">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45</w:t>
            </w:r>
          </w:p>
        </w:tc>
        <w:tc>
          <w:tcPr>
            <w:tcW w:w="696" w:type="pct"/>
            <w:shd w:val="clear" w:color="auto" w:fill="auto"/>
            <w:vAlign w:val="center"/>
          </w:tcPr>
          <w:p w14:paraId="739A6B2C">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达标</w:t>
            </w:r>
          </w:p>
        </w:tc>
      </w:tr>
      <w:tr w14:paraId="09BB36C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645" w:type="pct"/>
            <w:vMerge w:val="restart"/>
            <w:shd w:val="clear" w:color="auto" w:fill="auto"/>
            <w:vAlign w:val="center"/>
          </w:tcPr>
          <w:p w14:paraId="18C270E0">
            <w:pPr>
              <w:jc w:val="center"/>
              <w:rPr>
                <w:color w:val="auto"/>
                <w:sz w:val="21"/>
                <w:szCs w:val="21"/>
              </w:rPr>
            </w:pPr>
            <w:r>
              <w:rPr>
                <w:rFonts w:ascii="Arial" w:hAnsi="Arial" w:eastAsia="Arial" w:cs="Arial"/>
                <w:color w:val="auto"/>
                <w:sz w:val="21"/>
                <w:szCs w:val="21"/>
              </w:rPr>
              <w:t>北侧</w:t>
            </w:r>
          </w:p>
        </w:tc>
        <w:tc>
          <w:tcPr>
            <w:tcW w:w="470" w:type="pct"/>
            <w:shd w:val="clear" w:color="auto" w:fill="auto"/>
            <w:vAlign w:val="center"/>
          </w:tcPr>
          <w:p w14:paraId="35089BB3">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112.6</w:t>
            </w:r>
          </w:p>
        </w:tc>
        <w:tc>
          <w:tcPr>
            <w:tcW w:w="470" w:type="pct"/>
            <w:shd w:val="clear" w:color="auto" w:fill="auto"/>
            <w:vAlign w:val="center"/>
          </w:tcPr>
          <w:p w14:paraId="26DC3752">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116.4</w:t>
            </w:r>
          </w:p>
        </w:tc>
        <w:tc>
          <w:tcPr>
            <w:tcW w:w="470" w:type="pct"/>
            <w:shd w:val="clear" w:color="auto" w:fill="auto"/>
            <w:vAlign w:val="center"/>
          </w:tcPr>
          <w:p w14:paraId="459CFD38">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1.2</w:t>
            </w:r>
          </w:p>
        </w:tc>
        <w:tc>
          <w:tcPr>
            <w:tcW w:w="582" w:type="pct"/>
            <w:shd w:val="clear" w:color="auto" w:fill="auto"/>
            <w:vAlign w:val="center"/>
          </w:tcPr>
          <w:p w14:paraId="06BAD27A">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昼间</w:t>
            </w:r>
          </w:p>
        </w:tc>
        <w:tc>
          <w:tcPr>
            <w:tcW w:w="831" w:type="pct"/>
            <w:shd w:val="clear" w:color="auto" w:fill="auto"/>
            <w:vAlign w:val="center"/>
          </w:tcPr>
          <w:p w14:paraId="7BBE393A">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31.8</w:t>
            </w:r>
          </w:p>
        </w:tc>
        <w:tc>
          <w:tcPr>
            <w:tcW w:w="831" w:type="pct"/>
            <w:shd w:val="clear" w:color="auto" w:fill="auto"/>
            <w:vAlign w:val="center"/>
          </w:tcPr>
          <w:p w14:paraId="5A617A64">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55</w:t>
            </w:r>
          </w:p>
        </w:tc>
        <w:tc>
          <w:tcPr>
            <w:tcW w:w="696" w:type="pct"/>
            <w:shd w:val="clear" w:color="auto" w:fill="auto"/>
            <w:vAlign w:val="center"/>
          </w:tcPr>
          <w:p w14:paraId="26534D4C">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达标</w:t>
            </w:r>
          </w:p>
        </w:tc>
      </w:tr>
      <w:tr w14:paraId="48FBAE2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645" w:type="pct"/>
            <w:vMerge w:val="continue"/>
            <w:shd w:val="clear" w:color="auto" w:fill="auto"/>
            <w:vAlign w:val="center"/>
          </w:tcPr>
          <w:p w14:paraId="2ACDE5D5">
            <w:pPr>
              <w:jc w:val="center"/>
              <w:rPr>
                <w:color w:val="auto"/>
                <w:sz w:val="21"/>
                <w:szCs w:val="21"/>
              </w:rPr>
            </w:pPr>
            <w:r>
              <w:rPr>
                <w:rFonts w:ascii="Arial" w:hAnsi="Arial" w:eastAsia="Arial" w:cs="Arial"/>
                <w:color w:val="auto"/>
                <w:sz w:val="21"/>
                <w:szCs w:val="21"/>
              </w:rPr>
              <w:t>北侧</w:t>
            </w:r>
          </w:p>
        </w:tc>
        <w:tc>
          <w:tcPr>
            <w:tcW w:w="470" w:type="pct"/>
            <w:shd w:val="clear" w:color="auto" w:fill="auto"/>
            <w:vAlign w:val="center"/>
          </w:tcPr>
          <w:p w14:paraId="42DD08BB">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112.6</w:t>
            </w:r>
          </w:p>
        </w:tc>
        <w:tc>
          <w:tcPr>
            <w:tcW w:w="470" w:type="pct"/>
            <w:shd w:val="clear" w:color="auto" w:fill="auto"/>
            <w:vAlign w:val="center"/>
          </w:tcPr>
          <w:p w14:paraId="21A2EDCB">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116.4</w:t>
            </w:r>
          </w:p>
        </w:tc>
        <w:tc>
          <w:tcPr>
            <w:tcW w:w="470" w:type="pct"/>
            <w:shd w:val="clear" w:color="auto" w:fill="auto"/>
            <w:vAlign w:val="center"/>
          </w:tcPr>
          <w:p w14:paraId="7F445ED0">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1.2</w:t>
            </w:r>
          </w:p>
        </w:tc>
        <w:tc>
          <w:tcPr>
            <w:tcW w:w="582" w:type="pct"/>
            <w:shd w:val="clear" w:color="auto" w:fill="auto"/>
            <w:vAlign w:val="center"/>
          </w:tcPr>
          <w:p w14:paraId="49840F9B">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夜间</w:t>
            </w:r>
          </w:p>
        </w:tc>
        <w:tc>
          <w:tcPr>
            <w:tcW w:w="831" w:type="pct"/>
            <w:shd w:val="clear" w:color="auto" w:fill="auto"/>
            <w:vAlign w:val="center"/>
          </w:tcPr>
          <w:p w14:paraId="32EABF43">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31.8</w:t>
            </w:r>
          </w:p>
        </w:tc>
        <w:tc>
          <w:tcPr>
            <w:tcW w:w="831" w:type="pct"/>
            <w:shd w:val="clear" w:color="auto" w:fill="auto"/>
            <w:vAlign w:val="center"/>
          </w:tcPr>
          <w:p w14:paraId="353F76ED">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45</w:t>
            </w:r>
          </w:p>
        </w:tc>
        <w:tc>
          <w:tcPr>
            <w:tcW w:w="696" w:type="pct"/>
            <w:shd w:val="clear" w:color="auto" w:fill="auto"/>
            <w:vAlign w:val="center"/>
          </w:tcPr>
          <w:p w14:paraId="309FF897">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达标</w:t>
            </w:r>
          </w:p>
        </w:tc>
      </w:tr>
    </w:tbl>
    <w:p w14:paraId="592FB81C">
      <w:pPr>
        <w:spacing w:line="360" w:lineRule="auto"/>
        <w:ind w:firstLine="480" w:firstLineChars="200"/>
        <w:rPr>
          <w:color w:val="auto"/>
          <w:sz w:val="24"/>
        </w:rPr>
      </w:pPr>
      <w:r>
        <w:rPr>
          <w:color w:val="auto"/>
          <w:sz w:val="24"/>
        </w:rPr>
        <w:t>根据项目厂址所处的地理位置及厂区平面布置情况，评价范围内无声环境敏感目标。经衰减计算后，预测项目实施后各厂界的贡献值即为判断厂界是否达标的依据，从表中预测结果可以看出，本项目运营期产生的噪声经采取隔声降噪措施后对东、南、西、北各厂界的噪声贡献值值均可以满足《工业企业厂界环境噪声排放标准》（GB12348-2008）中1类标准限值的要求，表明本项目运营期对外环境产生的声环境影响较小。</w:t>
      </w:r>
    </w:p>
    <w:p w14:paraId="71CE94B0">
      <w:pPr>
        <w:pStyle w:val="276"/>
        <w:ind w:left="0" w:leftChars="0" w:firstLine="0" w:firstLineChars="0"/>
        <w:rPr>
          <w:rFonts w:hint="eastAsia"/>
          <w:b/>
          <w:color w:val="auto"/>
        </w:rPr>
      </w:pPr>
      <w:bookmarkStart w:id="334" w:name="_Toc441053133"/>
      <w:bookmarkStart w:id="335" w:name="_Toc440874841"/>
      <w:r>
        <w:rPr>
          <w:rFonts w:hint="eastAsia"/>
          <w:b/>
          <w:color w:val="auto"/>
        </w:rPr>
        <w:t>5.2.4.5运输噪声影响分析</w:t>
      </w:r>
    </w:p>
    <w:p w14:paraId="2DA4DA81">
      <w:pPr>
        <w:spacing w:line="360" w:lineRule="auto"/>
        <w:ind w:firstLine="480" w:firstLineChars="200"/>
        <w:rPr>
          <w:color w:val="auto"/>
          <w:sz w:val="24"/>
        </w:rPr>
      </w:pPr>
      <w:r>
        <w:rPr>
          <w:rFonts w:hint="eastAsia"/>
          <w:color w:val="auto"/>
          <w:sz w:val="24"/>
        </w:rPr>
        <w:t>对饲料和蛋鸡的大量运输，首选尽量避开居民密集区的道</w:t>
      </w:r>
      <w:r>
        <w:rPr>
          <w:color w:val="auto"/>
          <w:sz w:val="24"/>
        </w:rPr>
        <w:t>路，尽量避开当地上下班高峰时间。在运输过程中若途经居住区等噪声敏感点应减速慢行、禁止鸣笛。运输应避开人员高峰期，且要求运输车辆不得在夜间和中午休息时间运输，企业应根据生产实际情况，合理调度汽车运输，减少夜间运输量，以防止车辆运输等引起噪声和周围交通堵塞。采取以上措施后可最大限度地减轻运输过程对沿线的噪声干扰，对周围的声环境影响较小。</w:t>
      </w:r>
    </w:p>
    <w:p w14:paraId="59CF06E5">
      <w:pPr>
        <w:jc w:val="center"/>
        <w:rPr>
          <w:b/>
          <w:color w:val="auto"/>
          <w:szCs w:val="21"/>
        </w:rPr>
      </w:pPr>
      <w:r>
        <w:rPr>
          <w:b/>
          <w:color w:val="auto"/>
          <w:szCs w:val="21"/>
        </w:rPr>
        <w:t>表5</w:t>
      </w:r>
      <w:r>
        <w:rPr>
          <w:rFonts w:hint="eastAsia"/>
          <w:b/>
          <w:color w:val="auto"/>
          <w:szCs w:val="21"/>
          <w:lang w:val="en-US" w:eastAsia="zh-CN"/>
        </w:rPr>
        <w:t xml:space="preserve">.2-26  </w:t>
      </w:r>
      <w:r>
        <w:rPr>
          <w:rFonts w:hint="eastAsia"/>
          <w:b/>
          <w:color w:val="auto"/>
          <w:szCs w:val="21"/>
        </w:rPr>
        <w:t xml:space="preserve"> </w:t>
      </w:r>
      <w:r>
        <w:rPr>
          <w:b/>
          <w:color w:val="auto"/>
          <w:szCs w:val="21"/>
        </w:rPr>
        <w:t xml:space="preserve"> 声环境影响评价自查表</w:t>
      </w:r>
    </w:p>
    <w:tbl>
      <w:tblPr>
        <w:tblStyle w:val="551"/>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32"/>
        <w:gridCol w:w="1306"/>
        <w:gridCol w:w="1007"/>
        <w:gridCol w:w="505"/>
        <w:gridCol w:w="289"/>
        <w:gridCol w:w="216"/>
        <w:gridCol w:w="961"/>
        <w:gridCol w:w="52"/>
        <w:gridCol w:w="1010"/>
        <w:gridCol w:w="505"/>
        <w:gridCol w:w="434"/>
        <w:gridCol w:w="70"/>
        <w:gridCol w:w="1023"/>
      </w:tblGrid>
      <w:tr w14:paraId="0AD513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347" w:type="pct"/>
            <w:gridSpan w:val="2"/>
            <w:tcBorders>
              <w:top w:val="double" w:color="auto" w:sz="4" w:space="0"/>
              <w:left w:val="nil"/>
            </w:tcBorders>
            <w:vAlign w:val="center"/>
          </w:tcPr>
          <w:p w14:paraId="01E8DF61">
            <w:pPr>
              <w:jc w:val="center"/>
              <w:rPr>
                <w:rFonts w:ascii="宋体" w:hAnsi="宋体" w:cs="宋体"/>
                <w:color w:val="auto"/>
                <w:szCs w:val="21"/>
                <w:lang w:eastAsia="en-US"/>
              </w:rPr>
            </w:pPr>
            <w:r>
              <w:rPr>
                <w:rFonts w:ascii="宋体" w:hAnsi="宋体" w:cs="宋体"/>
                <w:color w:val="auto"/>
                <w:spacing w:val="-2"/>
                <w:szCs w:val="21"/>
                <w:lang w:eastAsia="en-US"/>
              </w:rPr>
              <w:t>工作内</w:t>
            </w:r>
            <w:r>
              <w:rPr>
                <w:rFonts w:ascii="宋体" w:hAnsi="宋体" w:cs="宋体"/>
                <w:color w:val="auto"/>
                <w:spacing w:val="-1"/>
                <w:szCs w:val="21"/>
                <w:lang w:eastAsia="en-US"/>
              </w:rPr>
              <w:t>容</w:t>
            </w:r>
          </w:p>
        </w:tc>
        <w:tc>
          <w:tcPr>
            <w:tcW w:w="3652" w:type="pct"/>
            <w:gridSpan w:val="11"/>
            <w:tcBorders>
              <w:top w:val="double" w:color="auto" w:sz="4" w:space="0"/>
              <w:right w:val="nil"/>
            </w:tcBorders>
            <w:vAlign w:val="center"/>
          </w:tcPr>
          <w:p w14:paraId="78742C06">
            <w:pPr>
              <w:rPr>
                <w:rFonts w:ascii="宋体" w:hAnsi="宋体" w:cs="宋体"/>
                <w:color w:val="auto"/>
                <w:szCs w:val="21"/>
                <w:lang w:eastAsia="en-US"/>
              </w:rPr>
            </w:pPr>
            <w:r>
              <w:rPr>
                <w:rFonts w:ascii="宋体" w:hAnsi="宋体" w:cs="宋体"/>
                <w:color w:val="auto"/>
                <w:spacing w:val="-7"/>
                <w:szCs w:val="21"/>
                <w:lang w:eastAsia="en-US"/>
              </w:rPr>
              <w:t>自查项目</w:t>
            </w:r>
          </w:p>
        </w:tc>
      </w:tr>
      <w:tr w14:paraId="4CC6A4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vMerge w:val="restart"/>
            <w:tcBorders>
              <w:left w:val="nil"/>
              <w:bottom w:val="nil"/>
            </w:tcBorders>
            <w:vAlign w:val="center"/>
          </w:tcPr>
          <w:p w14:paraId="1D70A19A">
            <w:pPr>
              <w:adjustRightInd w:val="0"/>
              <w:snapToGrid w:val="0"/>
              <w:ind w:hanging="95"/>
              <w:jc w:val="center"/>
              <w:rPr>
                <w:rFonts w:ascii="宋体" w:hAnsi="宋体" w:cs="宋体"/>
                <w:color w:val="auto"/>
                <w:spacing w:val="-1"/>
                <w:szCs w:val="21"/>
                <w:lang w:eastAsia="en-US"/>
              </w:rPr>
            </w:pPr>
            <w:r>
              <w:rPr>
                <w:rFonts w:ascii="宋体" w:hAnsi="宋体" w:cs="宋体"/>
                <w:color w:val="auto"/>
                <w:spacing w:val="-2"/>
                <w:szCs w:val="21"/>
                <w:lang w:eastAsia="en-US"/>
              </w:rPr>
              <w:t>评价等</w:t>
            </w:r>
            <w:r>
              <w:rPr>
                <w:rFonts w:ascii="宋体" w:hAnsi="宋体" w:cs="宋体"/>
                <w:color w:val="auto"/>
                <w:spacing w:val="-1"/>
                <w:szCs w:val="21"/>
                <w:lang w:eastAsia="en-US"/>
              </w:rPr>
              <w:t>级</w:t>
            </w:r>
          </w:p>
          <w:p w14:paraId="45FA348D">
            <w:pPr>
              <w:adjustRightInd w:val="0"/>
              <w:snapToGrid w:val="0"/>
              <w:ind w:hanging="95"/>
              <w:jc w:val="center"/>
              <w:rPr>
                <w:rFonts w:ascii="宋体" w:hAnsi="宋体" w:cs="宋体"/>
                <w:color w:val="auto"/>
                <w:szCs w:val="21"/>
                <w:lang w:eastAsia="en-US"/>
              </w:rPr>
            </w:pPr>
            <w:r>
              <w:rPr>
                <w:rFonts w:ascii="宋体" w:hAnsi="宋体" w:cs="宋体"/>
                <w:color w:val="auto"/>
                <w:spacing w:val="-4"/>
                <w:szCs w:val="21"/>
                <w:lang w:eastAsia="en-US"/>
              </w:rPr>
              <w:t>与</w:t>
            </w:r>
            <w:r>
              <w:rPr>
                <w:rFonts w:ascii="宋体" w:hAnsi="宋体" w:cs="宋体"/>
                <w:color w:val="auto"/>
                <w:spacing w:val="-2"/>
                <w:szCs w:val="21"/>
                <w:lang w:eastAsia="en-US"/>
              </w:rPr>
              <w:t>范围</w:t>
            </w:r>
          </w:p>
        </w:tc>
        <w:tc>
          <w:tcPr>
            <w:tcW w:w="786" w:type="pct"/>
            <w:vAlign w:val="center"/>
          </w:tcPr>
          <w:p w14:paraId="04A04D85">
            <w:pPr>
              <w:adjustRightInd w:val="0"/>
              <w:snapToGrid w:val="0"/>
              <w:jc w:val="cente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价等级</w:t>
            </w:r>
          </w:p>
        </w:tc>
        <w:tc>
          <w:tcPr>
            <w:tcW w:w="1084" w:type="pct"/>
            <w:gridSpan w:val="3"/>
            <w:tcBorders>
              <w:right w:val="nil"/>
            </w:tcBorders>
            <w:vAlign w:val="center"/>
          </w:tcPr>
          <w:p w14:paraId="703BA7B7">
            <w:pPr>
              <w:adjustRightInd w:val="0"/>
              <w:snapToGrid w:val="0"/>
              <w:rPr>
                <w:rFonts w:ascii="宋体" w:hAnsi="宋体" w:cs="宋体"/>
                <w:color w:val="auto"/>
                <w:szCs w:val="21"/>
                <w:lang w:eastAsia="en-US"/>
              </w:rPr>
            </w:pPr>
            <w:r>
              <w:rPr>
                <w:rFonts w:ascii="宋体" w:hAnsi="宋体" w:cs="宋体"/>
                <w:color w:val="auto"/>
                <w:spacing w:val="-3"/>
                <w:szCs w:val="21"/>
                <w:lang w:eastAsia="en-US"/>
              </w:rPr>
              <w:t>一</w:t>
            </w:r>
            <w:r>
              <w:rPr>
                <w:rFonts w:ascii="宋体" w:hAnsi="宋体" w:cs="宋体"/>
                <w:color w:val="auto"/>
                <w:spacing w:val="-2"/>
                <w:szCs w:val="21"/>
                <w:lang w:eastAsia="en-US"/>
              </w:rPr>
              <w:t>级□</w:t>
            </w:r>
          </w:p>
        </w:tc>
        <w:tc>
          <w:tcPr>
            <w:tcW w:w="1346" w:type="pct"/>
            <w:gridSpan w:val="4"/>
            <w:tcBorders>
              <w:left w:val="nil"/>
              <w:right w:val="nil"/>
            </w:tcBorders>
            <w:vAlign w:val="center"/>
          </w:tcPr>
          <w:p w14:paraId="3945AD7E">
            <w:pPr>
              <w:adjustRightInd w:val="0"/>
              <w:snapToGrid w:val="0"/>
              <w:rPr>
                <w:rFonts w:ascii="宋体" w:hAnsi="宋体" w:cs="宋体"/>
                <w:color w:val="auto"/>
                <w:szCs w:val="21"/>
                <w:lang w:eastAsia="en-US"/>
              </w:rPr>
            </w:pPr>
            <w:r>
              <w:rPr>
                <w:rFonts w:ascii="宋体" w:hAnsi="宋体" w:cs="宋体"/>
                <w:color w:val="auto"/>
                <w:spacing w:val="-4"/>
                <w:szCs w:val="21"/>
                <w:lang w:eastAsia="en-US"/>
              </w:rPr>
              <w:t>二</w:t>
            </w:r>
            <w:r>
              <w:rPr>
                <w:rFonts w:ascii="宋体" w:hAnsi="宋体" w:cs="宋体"/>
                <w:color w:val="auto"/>
                <w:spacing w:val="-3"/>
                <w:szCs w:val="21"/>
                <w:lang w:eastAsia="en-US"/>
              </w:rPr>
              <w:t>级</w:t>
            </w:r>
            <w:r>
              <w:rPr>
                <w:rFonts w:ascii="宋体" w:hAnsi="宋体" w:cs="宋体"/>
                <w:color w:val="auto"/>
                <w:spacing w:val="-3"/>
                <w:szCs w:val="21"/>
                <w:lang w:eastAsia="en-US"/>
              </w:rPr>
              <w:sym w:font="Wingdings 2" w:char="0052"/>
            </w:r>
          </w:p>
        </w:tc>
        <w:tc>
          <w:tcPr>
            <w:tcW w:w="1220" w:type="pct"/>
            <w:gridSpan w:val="4"/>
            <w:tcBorders>
              <w:left w:val="nil"/>
              <w:right w:val="nil"/>
            </w:tcBorders>
            <w:vAlign w:val="center"/>
          </w:tcPr>
          <w:p w14:paraId="30EA89E3">
            <w:pPr>
              <w:adjustRightInd w:val="0"/>
              <w:snapToGrid w:val="0"/>
              <w:rPr>
                <w:rFonts w:ascii="宋体" w:hAnsi="宋体" w:cs="宋体"/>
                <w:color w:val="auto"/>
                <w:szCs w:val="21"/>
                <w:lang w:eastAsia="en-US"/>
              </w:rPr>
            </w:pPr>
            <w:r>
              <w:rPr>
                <w:rFonts w:ascii="宋体" w:hAnsi="宋体" w:cs="宋体"/>
                <w:color w:val="auto"/>
                <w:spacing w:val="-2"/>
                <w:szCs w:val="21"/>
                <w:lang w:eastAsia="en-US"/>
              </w:rPr>
              <w:t>三级</w:t>
            </w:r>
            <w:r>
              <w:rPr>
                <w:rFonts w:ascii="宋体" w:hAnsi="宋体" w:cs="宋体"/>
                <w:color w:val="auto"/>
                <w:spacing w:val="-1"/>
                <w:szCs w:val="21"/>
                <w:lang w:eastAsia="en-US"/>
              </w:rPr>
              <w:t>□</w:t>
            </w:r>
          </w:p>
        </w:tc>
      </w:tr>
      <w:tr w14:paraId="69C2AE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vMerge w:val="continue"/>
            <w:tcBorders>
              <w:top w:val="nil"/>
              <w:left w:val="nil"/>
            </w:tcBorders>
            <w:vAlign w:val="center"/>
          </w:tcPr>
          <w:p w14:paraId="09A80638">
            <w:pPr>
              <w:jc w:val="center"/>
              <w:rPr>
                <w:rFonts w:ascii="Arial" w:hAnsi="Calibri"/>
                <w:color w:val="auto"/>
                <w:szCs w:val="21"/>
                <w:lang w:eastAsia="en-US"/>
              </w:rPr>
            </w:pPr>
          </w:p>
        </w:tc>
        <w:tc>
          <w:tcPr>
            <w:tcW w:w="786" w:type="pct"/>
            <w:vAlign w:val="center"/>
          </w:tcPr>
          <w:p w14:paraId="62C0EFF0">
            <w:pPr>
              <w:jc w:val="cente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价范围</w:t>
            </w:r>
          </w:p>
        </w:tc>
        <w:tc>
          <w:tcPr>
            <w:tcW w:w="606" w:type="pct"/>
            <w:tcBorders>
              <w:right w:val="nil"/>
            </w:tcBorders>
            <w:vAlign w:val="center"/>
          </w:tcPr>
          <w:p w14:paraId="73663845">
            <w:pPr>
              <w:rPr>
                <w:rFonts w:ascii="宋体" w:hAnsi="宋体" w:cs="宋体"/>
                <w:color w:val="auto"/>
                <w:szCs w:val="21"/>
                <w:lang w:eastAsia="en-US"/>
              </w:rPr>
            </w:pPr>
            <w:r>
              <w:rPr>
                <w:rFonts w:ascii="Calibri" w:hAnsi="Calibri" w:eastAsia="Times New Roman"/>
                <w:color w:val="auto"/>
                <w:spacing w:val="-1"/>
                <w:position w:val="1"/>
                <w:szCs w:val="21"/>
                <w:lang w:eastAsia="en-US"/>
              </w:rPr>
              <w:t>20</w:t>
            </w:r>
            <w:r>
              <w:rPr>
                <w:rFonts w:ascii="Calibri" w:hAnsi="Calibri" w:eastAsia="Times New Roman"/>
                <w:color w:val="auto"/>
                <w:position w:val="1"/>
                <w:szCs w:val="21"/>
                <w:lang w:eastAsia="en-US"/>
              </w:rPr>
              <w:t>0m</w:t>
            </w:r>
            <w:r>
              <w:rPr>
                <w:rFonts w:ascii="宋体" w:hAnsi="宋体" w:cs="宋体"/>
                <w:color w:val="auto"/>
                <w:position w:val="1"/>
                <w:szCs w:val="21"/>
                <w:lang w:eastAsia="en-US"/>
              </w:rPr>
              <w:sym w:font="Wingdings 2" w:char="0052"/>
            </w:r>
          </w:p>
        </w:tc>
        <w:tc>
          <w:tcPr>
            <w:tcW w:w="1825" w:type="pct"/>
            <w:gridSpan w:val="6"/>
            <w:tcBorders>
              <w:left w:val="nil"/>
              <w:right w:val="nil"/>
            </w:tcBorders>
            <w:vAlign w:val="center"/>
          </w:tcPr>
          <w:p w14:paraId="16C41A18">
            <w:pPr>
              <w:rPr>
                <w:rFonts w:ascii="宋体" w:hAnsi="宋体" w:cs="宋体"/>
                <w:color w:val="auto"/>
                <w:szCs w:val="21"/>
                <w:lang w:eastAsia="en-US"/>
              </w:rPr>
            </w:pPr>
            <w:r>
              <w:rPr>
                <w:rFonts w:ascii="宋体" w:hAnsi="宋体" w:cs="宋体"/>
                <w:color w:val="auto"/>
                <w:spacing w:val="-7"/>
                <w:szCs w:val="21"/>
                <w:lang w:eastAsia="en-US"/>
              </w:rPr>
              <w:t>大</w:t>
            </w:r>
            <w:r>
              <w:rPr>
                <w:rFonts w:ascii="宋体" w:hAnsi="宋体" w:cs="宋体"/>
                <w:color w:val="auto"/>
                <w:spacing w:val="-6"/>
                <w:szCs w:val="21"/>
                <w:lang w:eastAsia="en-US"/>
              </w:rPr>
              <w:t>于</w:t>
            </w:r>
            <w:r>
              <w:rPr>
                <w:rFonts w:ascii="Calibri" w:hAnsi="Calibri" w:eastAsia="Times New Roman"/>
                <w:color w:val="auto"/>
                <w:spacing w:val="-6"/>
                <w:szCs w:val="21"/>
                <w:lang w:eastAsia="en-US"/>
              </w:rPr>
              <w:t>200 m</w:t>
            </w:r>
            <w:r>
              <w:rPr>
                <w:rFonts w:ascii="宋体" w:hAnsi="宋体" w:cs="宋体"/>
                <w:color w:val="auto"/>
                <w:spacing w:val="-6"/>
                <w:szCs w:val="21"/>
                <w:lang w:eastAsia="en-US"/>
              </w:rPr>
              <w:t>□</w:t>
            </w:r>
          </w:p>
        </w:tc>
        <w:tc>
          <w:tcPr>
            <w:tcW w:w="1220" w:type="pct"/>
            <w:gridSpan w:val="4"/>
            <w:tcBorders>
              <w:left w:val="nil"/>
              <w:right w:val="nil"/>
            </w:tcBorders>
            <w:vAlign w:val="center"/>
          </w:tcPr>
          <w:p w14:paraId="314EBC7A">
            <w:pPr>
              <w:rPr>
                <w:rFonts w:ascii="宋体" w:hAnsi="宋体" w:cs="宋体"/>
                <w:color w:val="auto"/>
                <w:szCs w:val="21"/>
                <w:lang w:eastAsia="en-US"/>
              </w:rPr>
            </w:pPr>
            <w:r>
              <w:rPr>
                <w:rFonts w:ascii="宋体" w:hAnsi="宋体" w:cs="宋体"/>
                <w:color w:val="auto"/>
                <w:spacing w:val="-9"/>
                <w:szCs w:val="21"/>
                <w:lang w:eastAsia="en-US"/>
              </w:rPr>
              <w:t>小</w:t>
            </w:r>
            <w:r>
              <w:rPr>
                <w:rFonts w:ascii="宋体" w:hAnsi="宋体" w:cs="宋体"/>
                <w:color w:val="auto"/>
                <w:spacing w:val="-6"/>
                <w:szCs w:val="21"/>
                <w:lang w:eastAsia="en-US"/>
              </w:rPr>
              <w:t>于</w:t>
            </w:r>
            <w:r>
              <w:rPr>
                <w:rFonts w:ascii="Calibri" w:hAnsi="Calibri" w:eastAsia="Times New Roman"/>
                <w:color w:val="auto"/>
                <w:spacing w:val="-6"/>
                <w:szCs w:val="21"/>
                <w:lang w:eastAsia="en-US"/>
              </w:rPr>
              <w:t>200 m</w:t>
            </w:r>
            <w:r>
              <w:rPr>
                <w:rFonts w:ascii="宋体" w:hAnsi="宋体" w:cs="宋体"/>
                <w:color w:val="auto"/>
                <w:spacing w:val="-6"/>
                <w:szCs w:val="21"/>
                <w:lang w:eastAsia="en-US"/>
              </w:rPr>
              <w:t>□</w:t>
            </w:r>
          </w:p>
        </w:tc>
      </w:tr>
      <w:tr w14:paraId="48BC7C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tcBorders>
              <w:left w:val="nil"/>
            </w:tcBorders>
            <w:vAlign w:val="center"/>
          </w:tcPr>
          <w:p w14:paraId="18191B07">
            <w:pPr>
              <w:jc w:val="cente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价因子</w:t>
            </w:r>
          </w:p>
        </w:tc>
        <w:tc>
          <w:tcPr>
            <w:tcW w:w="786" w:type="pct"/>
            <w:vAlign w:val="center"/>
          </w:tcPr>
          <w:p w14:paraId="2F91B284">
            <w:pPr>
              <w:jc w:val="cente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价因子</w:t>
            </w:r>
          </w:p>
        </w:tc>
        <w:tc>
          <w:tcPr>
            <w:tcW w:w="3652" w:type="pct"/>
            <w:gridSpan w:val="11"/>
            <w:tcBorders>
              <w:right w:val="nil"/>
            </w:tcBorders>
            <w:vAlign w:val="center"/>
          </w:tcPr>
          <w:p w14:paraId="373866FD">
            <w:pPr>
              <w:rPr>
                <w:rFonts w:ascii="宋体" w:hAnsi="宋体" w:cs="宋体"/>
                <w:color w:val="auto"/>
                <w:szCs w:val="21"/>
                <w:lang w:eastAsia="zh-CN"/>
              </w:rPr>
            </w:pPr>
            <w:r>
              <w:rPr>
                <w:rFonts w:ascii="宋体" w:hAnsi="宋体" w:cs="宋体"/>
                <w:color w:val="auto"/>
                <w:spacing w:val="1"/>
                <w:szCs w:val="21"/>
                <w:lang w:eastAsia="zh-CN"/>
              </w:rPr>
              <w:t>等效</w:t>
            </w:r>
            <w:r>
              <w:rPr>
                <w:rFonts w:ascii="宋体" w:hAnsi="宋体" w:cs="宋体"/>
                <w:color w:val="auto"/>
                <w:szCs w:val="21"/>
                <w:lang w:eastAsia="zh-CN"/>
              </w:rPr>
              <w:t>连续</w:t>
            </w:r>
            <w:r>
              <w:rPr>
                <w:rFonts w:ascii="Calibri" w:hAnsi="Calibri" w:eastAsia="Times New Roman"/>
                <w:color w:val="auto"/>
                <w:szCs w:val="21"/>
                <w:lang w:eastAsia="zh-CN"/>
              </w:rPr>
              <w:t>A</w:t>
            </w:r>
            <w:r>
              <w:rPr>
                <w:rFonts w:ascii="宋体" w:hAnsi="宋体" w:cs="宋体"/>
                <w:color w:val="auto"/>
                <w:szCs w:val="21"/>
                <w:lang w:eastAsia="zh-CN"/>
              </w:rPr>
              <w:t>声级</w:t>
            </w:r>
            <w:r>
              <w:rPr>
                <w:rFonts w:ascii="宋体" w:hAnsi="宋体" w:cs="宋体"/>
                <w:color w:val="auto"/>
                <w:szCs w:val="21"/>
                <w:lang w:eastAsia="en-US"/>
              </w:rPr>
              <w:sym w:font="Wingdings 2" w:char="0052"/>
            </w:r>
            <w:r>
              <w:rPr>
                <w:rFonts w:ascii="宋体" w:hAnsi="宋体" w:cs="宋体"/>
                <w:color w:val="auto"/>
                <w:szCs w:val="21"/>
                <w:lang w:eastAsia="zh-CN"/>
              </w:rPr>
              <w:t xml:space="preserve">       最大</w:t>
            </w:r>
            <w:r>
              <w:rPr>
                <w:rFonts w:ascii="Calibri" w:hAnsi="Calibri" w:eastAsia="Times New Roman"/>
                <w:color w:val="auto"/>
                <w:szCs w:val="21"/>
                <w:lang w:eastAsia="zh-CN"/>
              </w:rPr>
              <w:t>A</w:t>
            </w:r>
            <w:r>
              <w:rPr>
                <w:rFonts w:ascii="宋体" w:hAnsi="宋体" w:cs="宋体"/>
                <w:color w:val="auto"/>
                <w:szCs w:val="21"/>
                <w:lang w:eastAsia="zh-CN"/>
              </w:rPr>
              <w:t>声级□   计权等效连续感觉噪声级□</w:t>
            </w:r>
          </w:p>
        </w:tc>
      </w:tr>
      <w:tr w14:paraId="3103B9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tcBorders>
              <w:left w:val="nil"/>
            </w:tcBorders>
            <w:vAlign w:val="center"/>
          </w:tcPr>
          <w:p w14:paraId="75B2D1EE">
            <w:pPr>
              <w:jc w:val="cente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价标准</w:t>
            </w:r>
          </w:p>
        </w:tc>
        <w:tc>
          <w:tcPr>
            <w:tcW w:w="786" w:type="pct"/>
            <w:vAlign w:val="center"/>
          </w:tcPr>
          <w:p w14:paraId="5563E5A9">
            <w:pPr>
              <w:jc w:val="cente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价标准</w:t>
            </w:r>
          </w:p>
        </w:tc>
        <w:tc>
          <w:tcPr>
            <w:tcW w:w="910" w:type="pct"/>
            <w:gridSpan w:val="2"/>
            <w:tcBorders>
              <w:right w:val="nil"/>
            </w:tcBorders>
            <w:vAlign w:val="center"/>
          </w:tcPr>
          <w:p w14:paraId="2168591D">
            <w:pPr>
              <w:rPr>
                <w:rFonts w:ascii="宋体" w:hAnsi="宋体" w:cs="宋体"/>
                <w:color w:val="auto"/>
                <w:szCs w:val="21"/>
                <w:lang w:eastAsia="en-US"/>
              </w:rPr>
            </w:pPr>
            <w:r>
              <w:rPr>
                <w:rFonts w:ascii="宋体" w:hAnsi="宋体" w:cs="宋体"/>
                <w:color w:val="auto"/>
                <w:spacing w:val="-4"/>
                <w:szCs w:val="21"/>
                <w:lang w:eastAsia="en-US"/>
              </w:rPr>
              <w:t>国家标准</w:t>
            </w:r>
            <w:r>
              <w:rPr>
                <w:rFonts w:ascii="宋体" w:hAnsi="宋体" w:cs="宋体"/>
                <w:color w:val="auto"/>
                <w:spacing w:val="-4"/>
                <w:szCs w:val="21"/>
                <w:lang w:eastAsia="en-US"/>
              </w:rPr>
              <w:sym w:font="Wingdings 2" w:char="0052"/>
            </w:r>
          </w:p>
        </w:tc>
        <w:tc>
          <w:tcPr>
            <w:tcW w:w="1520" w:type="pct"/>
            <w:gridSpan w:val="5"/>
            <w:tcBorders>
              <w:left w:val="nil"/>
              <w:right w:val="nil"/>
            </w:tcBorders>
            <w:vAlign w:val="center"/>
          </w:tcPr>
          <w:p w14:paraId="038ECA81">
            <w:pPr>
              <w:rPr>
                <w:rFonts w:ascii="宋体" w:hAnsi="宋体" w:cs="宋体"/>
                <w:color w:val="auto"/>
                <w:szCs w:val="21"/>
                <w:lang w:eastAsia="en-US"/>
              </w:rPr>
            </w:pPr>
            <w:r>
              <w:rPr>
                <w:rFonts w:ascii="宋体" w:hAnsi="宋体" w:cs="宋体"/>
                <w:color w:val="auto"/>
                <w:spacing w:val="-2"/>
                <w:szCs w:val="21"/>
                <w:lang w:eastAsia="en-US"/>
              </w:rPr>
              <w:t>地</w:t>
            </w:r>
            <w:r>
              <w:rPr>
                <w:rFonts w:ascii="宋体" w:hAnsi="宋体" w:cs="宋体"/>
                <w:color w:val="auto"/>
                <w:spacing w:val="-1"/>
                <w:szCs w:val="21"/>
                <w:lang w:eastAsia="en-US"/>
              </w:rPr>
              <w:t>方标准□</w:t>
            </w:r>
          </w:p>
        </w:tc>
        <w:tc>
          <w:tcPr>
            <w:tcW w:w="1220" w:type="pct"/>
            <w:gridSpan w:val="4"/>
            <w:tcBorders>
              <w:left w:val="nil"/>
              <w:right w:val="nil"/>
            </w:tcBorders>
            <w:vAlign w:val="center"/>
          </w:tcPr>
          <w:p w14:paraId="3D1B4593">
            <w:pPr>
              <w:rPr>
                <w:rFonts w:ascii="宋体" w:hAnsi="宋体" w:cs="宋体"/>
                <w:color w:val="auto"/>
                <w:szCs w:val="21"/>
                <w:lang w:eastAsia="en-US"/>
              </w:rPr>
            </w:pPr>
            <w:r>
              <w:rPr>
                <w:rFonts w:ascii="宋体" w:hAnsi="宋体" w:cs="宋体"/>
                <w:color w:val="auto"/>
                <w:spacing w:val="-4"/>
                <w:szCs w:val="21"/>
                <w:lang w:eastAsia="en-US"/>
              </w:rPr>
              <w:t>国外标准□</w:t>
            </w:r>
          </w:p>
        </w:tc>
      </w:tr>
      <w:tr w14:paraId="6EA018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vMerge w:val="restart"/>
            <w:tcBorders>
              <w:left w:val="nil"/>
              <w:bottom w:val="nil"/>
            </w:tcBorders>
            <w:vAlign w:val="center"/>
          </w:tcPr>
          <w:p w14:paraId="5A2D53EF">
            <w:pPr>
              <w:jc w:val="center"/>
              <w:rPr>
                <w:rFonts w:ascii="宋体" w:hAnsi="宋体" w:cs="宋体"/>
                <w:color w:val="auto"/>
                <w:szCs w:val="21"/>
                <w:lang w:eastAsia="en-US"/>
              </w:rPr>
            </w:pPr>
            <w:r>
              <w:rPr>
                <w:rFonts w:ascii="宋体" w:hAnsi="宋体" w:cs="宋体"/>
                <w:color w:val="auto"/>
                <w:spacing w:val="-2"/>
                <w:szCs w:val="21"/>
                <w:lang w:eastAsia="en-US"/>
              </w:rPr>
              <w:t>现状评</w:t>
            </w:r>
            <w:r>
              <w:rPr>
                <w:rFonts w:ascii="宋体" w:hAnsi="宋体" w:cs="宋体"/>
                <w:color w:val="auto"/>
                <w:spacing w:val="-1"/>
                <w:szCs w:val="21"/>
                <w:lang w:eastAsia="en-US"/>
              </w:rPr>
              <w:t>价</w:t>
            </w:r>
          </w:p>
        </w:tc>
        <w:tc>
          <w:tcPr>
            <w:tcW w:w="786" w:type="pct"/>
            <w:vAlign w:val="center"/>
          </w:tcPr>
          <w:p w14:paraId="65CC7050">
            <w:pPr>
              <w:jc w:val="center"/>
              <w:rPr>
                <w:rFonts w:ascii="宋体" w:hAnsi="宋体" w:cs="宋体"/>
                <w:color w:val="auto"/>
                <w:szCs w:val="21"/>
                <w:lang w:eastAsia="en-US"/>
              </w:rPr>
            </w:pPr>
            <w:r>
              <w:rPr>
                <w:rFonts w:ascii="宋体" w:hAnsi="宋体" w:cs="宋体"/>
                <w:color w:val="auto"/>
                <w:spacing w:val="-2"/>
                <w:szCs w:val="21"/>
                <w:lang w:eastAsia="en-US"/>
              </w:rPr>
              <w:t>环</w:t>
            </w:r>
            <w:r>
              <w:rPr>
                <w:rFonts w:ascii="宋体" w:hAnsi="宋体" w:cs="宋体"/>
                <w:color w:val="auto"/>
                <w:spacing w:val="-1"/>
                <w:szCs w:val="21"/>
                <w:lang w:eastAsia="en-US"/>
              </w:rPr>
              <w:t>境功能区</w:t>
            </w:r>
          </w:p>
        </w:tc>
        <w:tc>
          <w:tcPr>
            <w:tcW w:w="606" w:type="pct"/>
            <w:vAlign w:val="center"/>
          </w:tcPr>
          <w:p w14:paraId="6E699881">
            <w:pPr>
              <w:rPr>
                <w:rFonts w:ascii="宋体" w:hAnsi="宋体" w:cs="宋体"/>
                <w:color w:val="auto"/>
                <w:szCs w:val="21"/>
                <w:lang w:eastAsia="en-US"/>
              </w:rPr>
            </w:pPr>
            <w:r>
              <w:rPr>
                <w:rFonts w:ascii="Calibri" w:hAnsi="Calibri" w:eastAsia="Times New Roman"/>
                <w:color w:val="auto"/>
                <w:spacing w:val="-1"/>
                <w:szCs w:val="21"/>
                <w:lang w:eastAsia="en-US"/>
              </w:rPr>
              <w:t>0</w:t>
            </w:r>
            <w:r>
              <w:rPr>
                <w:rFonts w:ascii="宋体" w:hAnsi="宋体" w:cs="宋体"/>
                <w:color w:val="auto"/>
                <w:spacing w:val="-1"/>
                <w:szCs w:val="21"/>
                <w:lang w:eastAsia="en-US"/>
              </w:rPr>
              <w:t>类</w:t>
            </w:r>
            <w:r>
              <w:rPr>
                <w:rFonts w:ascii="宋体" w:hAnsi="宋体" w:cs="宋体"/>
                <w:color w:val="auto"/>
                <w:szCs w:val="21"/>
                <w:lang w:eastAsia="en-US"/>
              </w:rPr>
              <w:t>区□</w:t>
            </w:r>
          </w:p>
        </w:tc>
        <w:tc>
          <w:tcPr>
            <w:tcW w:w="608" w:type="pct"/>
            <w:gridSpan w:val="3"/>
            <w:vAlign w:val="center"/>
          </w:tcPr>
          <w:p w14:paraId="5077652C">
            <w:pPr>
              <w:rPr>
                <w:rFonts w:ascii="宋体" w:hAnsi="宋体" w:cs="宋体"/>
                <w:color w:val="auto"/>
                <w:szCs w:val="21"/>
                <w:lang w:eastAsia="en-US"/>
              </w:rPr>
            </w:pPr>
            <w:r>
              <w:rPr>
                <w:rFonts w:ascii="Calibri" w:hAnsi="Calibri" w:eastAsia="Times New Roman"/>
                <w:color w:val="auto"/>
                <w:spacing w:val="-5"/>
                <w:szCs w:val="21"/>
                <w:lang w:eastAsia="en-US"/>
              </w:rPr>
              <w:t>1</w:t>
            </w:r>
            <w:r>
              <w:rPr>
                <w:rFonts w:ascii="宋体" w:hAnsi="宋体" w:cs="宋体"/>
                <w:color w:val="auto"/>
                <w:spacing w:val="-3"/>
                <w:szCs w:val="21"/>
                <w:lang w:eastAsia="en-US"/>
              </w:rPr>
              <w:t>类区</w:t>
            </w:r>
            <w:r>
              <w:rPr>
                <w:rFonts w:ascii="宋体" w:hAnsi="宋体" w:cs="宋体"/>
                <w:color w:val="auto"/>
                <w:spacing w:val="-3"/>
                <w:szCs w:val="21"/>
                <w:lang w:eastAsia="en-US"/>
              </w:rPr>
              <w:sym w:font="Wingdings 2" w:char="0052"/>
            </w:r>
          </w:p>
        </w:tc>
        <w:tc>
          <w:tcPr>
            <w:tcW w:w="609" w:type="pct"/>
            <w:gridSpan w:val="2"/>
            <w:vAlign w:val="center"/>
          </w:tcPr>
          <w:p w14:paraId="05552F89">
            <w:pPr>
              <w:rPr>
                <w:rFonts w:ascii="宋体" w:hAnsi="宋体" w:cs="宋体"/>
                <w:color w:val="auto"/>
                <w:szCs w:val="21"/>
                <w:lang w:eastAsia="en-US"/>
              </w:rPr>
            </w:pPr>
            <w:r>
              <w:rPr>
                <w:rFonts w:ascii="Calibri" w:hAnsi="Calibri" w:eastAsia="Times New Roman"/>
                <w:color w:val="auto"/>
                <w:szCs w:val="21"/>
                <w:lang w:eastAsia="en-US"/>
              </w:rPr>
              <w:t>2</w:t>
            </w:r>
            <w:r>
              <w:rPr>
                <w:rFonts w:ascii="宋体" w:hAnsi="宋体" w:cs="宋体"/>
                <w:color w:val="auto"/>
                <w:szCs w:val="21"/>
                <w:lang w:eastAsia="en-US"/>
              </w:rPr>
              <w:t>类区□</w:t>
            </w:r>
          </w:p>
        </w:tc>
        <w:tc>
          <w:tcPr>
            <w:tcW w:w="607" w:type="pct"/>
            <w:vAlign w:val="center"/>
          </w:tcPr>
          <w:p w14:paraId="7B46519A">
            <w:pPr>
              <w:rPr>
                <w:rFonts w:ascii="宋体" w:hAnsi="宋体" w:cs="宋体"/>
                <w:color w:val="auto"/>
                <w:szCs w:val="21"/>
                <w:lang w:eastAsia="en-US"/>
              </w:rPr>
            </w:pPr>
            <w:r>
              <w:rPr>
                <w:rFonts w:ascii="Calibri" w:hAnsi="Calibri" w:eastAsia="Times New Roman"/>
                <w:color w:val="auto"/>
                <w:spacing w:val="-1"/>
                <w:szCs w:val="21"/>
                <w:lang w:eastAsia="en-US"/>
              </w:rPr>
              <w:t>3</w:t>
            </w:r>
            <w:r>
              <w:rPr>
                <w:rFonts w:ascii="宋体" w:hAnsi="宋体" w:cs="宋体"/>
                <w:color w:val="auto"/>
                <w:spacing w:val="-1"/>
                <w:szCs w:val="21"/>
                <w:lang w:eastAsia="en-US"/>
              </w:rPr>
              <w:t>类区</w:t>
            </w:r>
            <w:r>
              <w:rPr>
                <w:rFonts w:ascii="宋体" w:hAnsi="宋体" w:cs="宋体"/>
                <w:color w:val="auto"/>
                <w:szCs w:val="21"/>
                <w:lang w:eastAsia="en-US"/>
              </w:rPr>
              <w:t>□</w:t>
            </w:r>
          </w:p>
        </w:tc>
        <w:tc>
          <w:tcPr>
            <w:tcW w:w="607" w:type="pct"/>
            <w:gridSpan w:val="3"/>
            <w:vAlign w:val="center"/>
          </w:tcPr>
          <w:p w14:paraId="62CEEAAA">
            <w:pPr>
              <w:rPr>
                <w:rFonts w:ascii="宋体" w:hAnsi="宋体" w:cs="宋体"/>
                <w:color w:val="auto"/>
                <w:szCs w:val="21"/>
                <w:lang w:eastAsia="en-US"/>
              </w:rPr>
            </w:pPr>
            <w:r>
              <w:rPr>
                <w:rFonts w:ascii="Calibri" w:hAnsi="Calibri" w:eastAsia="Times New Roman"/>
                <w:color w:val="auto"/>
                <w:spacing w:val="1"/>
                <w:szCs w:val="21"/>
                <w:lang w:eastAsia="en-US"/>
              </w:rPr>
              <w:t>4</w:t>
            </w:r>
            <w:r>
              <w:rPr>
                <w:rFonts w:ascii="Calibri" w:hAnsi="Calibri" w:eastAsia="Times New Roman"/>
                <w:color w:val="auto"/>
                <w:szCs w:val="21"/>
                <w:lang w:eastAsia="en-US"/>
              </w:rPr>
              <w:t>a</w:t>
            </w:r>
            <w:r>
              <w:rPr>
                <w:rFonts w:ascii="宋体" w:hAnsi="宋体" w:cs="宋体"/>
                <w:color w:val="auto"/>
                <w:szCs w:val="21"/>
                <w:lang w:eastAsia="en-US"/>
              </w:rPr>
              <w:t>类区□</w:t>
            </w:r>
          </w:p>
        </w:tc>
        <w:tc>
          <w:tcPr>
            <w:tcW w:w="613" w:type="pct"/>
            <w:tcBorders>
              <w:right w:val="nil"/>
            </w:tcBorders>
            <w:vAlign w:val="center"/>
          </w:tcPr>
          <w:p w14:paraId="4EE1A35D">
            <w:pPr>
              <w:rPr>
                <w:rFonts w:ascii="宋体" w:hAnsi="宋体" w:cs="宋体"/>
                <w:color w:val="auto"/>
                <w:szCs w:val="21"/>
                <w:lang w:eastAsia="en-US"/>
              </w:rPr>
            </w:pPr>
            <w:r>
              <w:rPr>
                <w:rFonts w:ascii="Calibri" w:hAnsi="Calibri" w:eastAsia="Times New Roman"/>
                <w:color w:val="auto"/>
                <w:spacing w:val="1"/>
                <w:szCs w:val="21"/>
                <w:lang w:eastAsia="en-US"/>
              </w:rPr>
              <w:t>4</w:t>
            </w:r>
            <w:r>
              <w:rPr>
                <w:rFonts w:ascii="Calibri" w:hAnsi="Calibri" w:eastAsia="Times New Roman"/>
                <w:color w:val="auto"/>
                <w:szCs w:val="21"/>
                <w:lang w:eastAsia="en-US"/>
              </w:rPr>
              <w:t>b</w:t>
            </w:r>
            <w:r>
              <w:rPr>
                <w:rFonts w:ascii="宋体" w:hAnsi="宋体" w:cs="宋体"/>
                <w:color w:val="auto"/>
                <w:szCs w:val="21"/>
                <w:lang w:eastAsia="en-US"/>
              </w:rPr>
              <w:t>类区□</w:t>
            </w:r>
          </w:p>
        </w:tc>
      </w:tr>
      <w:tr w14:paraId="0846E3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vMerge w:val="continue"/>
            <w:tcBorders>
              <w:top w:val="nil"/>
              <w:left w:val="nil"/>
              <w:bottom w:val="nil"/>
            </w:tcBorders>
            <w:vAlign w:val="center"/>
          </w:tcPr>
          <w:p w14:paraId="2FBEB4BE">
            <w:pPr>
              <w:jc w:val="center"/>
              <w:rPr>
                <w:rFonts w:ascii="Arial" w:hAnsi="Calibri"/>
                <w:color w:val="auto"/>
                <w:szCs w:val="21"/>
                <w:lang w:eastAsia="en-US"/>
              </w:rPr>
            </w:pPr>
          </w:p>
        </w:tc>
        <w:tc>
          <w:tcPr>
            <w:tcW w:w="786" w:type="pct"/>
            <w:vAlign w:val="center"/>
          </w:tcPr>
          <w:p w14:paraId="6ECEB88E">
            <w:pPr>
              <w:jc w:val="cente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价年度</w:t>
            </w:r>
          </w:p>
        </w:tc>
        <w:tc>
          <w:tcPr>
            <w:tcW w:w="910" w:type="pct"/>
            <w:gridSpan w:val="2"/>
            <w:vAlign w:val="center"/>
          </w:tcPr>
          <w:p w14:paraId="77F4AAEB">
            <w:pPr>
              <w:rPr>
                <w:rFonts w:ascii="宋体" w:hAnsi="宋体" w:cs="宋体"/>
                <w:color w:val="auto"/>
                <w:szCs w:val="21"/>
                <w:lang w:eastAsia="en-US"/>
              </w:rPr>
            </w:pPr>
            <w:r>
              <w:rPr>
                <w:rFonts w:ascii="宋体" w:hAnsi="宋体" w:cs="宋体"/>
                <w:color w:val="auto"/>
                <w:spacing w:val="-2"/>
                <w:szCs w:val="21"/>
                <w:lang w:eastAsia="en-US"/>
              </w:rPr>
              <w:t>初期</w:t>
            </w:r>
            <w:r>
              <w:rPr>
                <w:rFonts w:ascii="宋体" w:hAnsi="宋体" w:cs="宋体"/>
                <w:color w:val="auto"/>
                <w:spacing w:val="-1"/>
                <w:szCs w:val="21"/>
                <w:lang w:eastAsia="en-US"/>
              </w:rPr>
              <w:sym w:font="Wingdings 2" w:char="0052"/>
            </w:r>
          </w:p>
        </w:tc>
        <w:tc>
          <w:tcPr>
            <w:tcW w:w="913" w:type="pct"/>
            <w:gridSpan w:val="4"/>
            <w:vAlign w:val="center"/>
          </w:tcPr>
          <w:p w14:paraId="44DA21DA">
            <w:pPr>
              <w:rPr>
                <w:rFonts w:ascii="宋体" w:hAnsi="宋体" w:cs="宋体"/>
                <w:color w:val="auto"/>
                <w:szCs w:val="21"/>
                <w:lang w:eastAsia="en-US"/>
              </w:rPr>
            </w:pPr>
            <w:r>
              <w:rPr>
                <w:rFonts w:ascii="宋体" w:hAnsi="宋体" w:cs="宋体"/>
                <w:color w:val="auto"/>
                <w:spacing w:val="-2"/>
                <w:szCs w:val="21"/>
                <w:lang w:eastAsia="en-US"/>
              </w:rPr>
              <w:t>近期</w:t>
            </w:r>
            <w:r>
              <w:rPr>
                <w:rFonts w:ascii="宋体" w:hAnsi="宋体" w:cs="宋体"/>
                <w:color w:val="auto"/>
                <w:spacing w:val="-1"/>
                <w:szCs w:val="21"/>
                <w:lang w:eastAsia="en-US"/>
              </w:rPr>
              <w:t>□</w:t>
            </w:r>
          </w:p>
        </w:tc>
        <w:tc>
          <w:tcPr>
            <w:tcW w:w="911" w:type="pct"/>
            <w:gridSpan w:val="2"/>
            <w:vAlign w:val="center"/>
          </w:tcPr>
          <w:p w14:paraId="06107E03">
            <w:pPr>
              <w:rPr>
                <w:rFonts w:ascii="宋体" w:hAnsi="宋体" w:cs="宋体"/>
                <w:color w:val="auto"/>
                <w:szCs w:val="21"/>
                <w:lang w:eastAsia="en-US"/>
              </w:rPr>
            </w:pPr>
            <w:r>
              <w:rPr>
                <w:rFonts w:ascii="宋体" w:hAnsi="宋体" w:cs="宋体"/>
                <w:color w:val="auto"/>
                <w:spacing w:val="-6"/>
                <w:szCs w:val="21"/>
                <w:lang w:eastAsia="en-US"/>
              </w:rPr>
              <w:t>中</w:t>
            </w:r>
            <w:r>
              <w:rPr>
                <w:rFonts w:ascii="宋体" w:hAnsi="宋体" w:cs="宋体"/>
                <w:color w:val="auto"/>
                <w:spacing w:val="-5"/>
                <w:szCs w:val="21"/>
                <w:lang w:eastAsia="en-US"/>
              </w:rPr>
              <w:t>期□</w:t>
            </w:r>
          </w:p>
        </w:tc>
        <w:tc>
          <w:tcPr>
            <w:tcW w:w="916" w:type="pct"/>
            <w:gridSpan w:val="3"/>
            <w:tcBorders>
              <w:right w:val="nil"/>
            </w:tcBorders>
            <w:vAlign w:val="center"/>
          </w:tcPr>
          <w:p w14:paraId="3EB3800A">
            <w:pPr>
              <w:rPr>
                <w:rFonts w:ascii="宋体" w:hAnsi="宋体" w:cs="宋体"/>
                <w:color w:val="auto"/>
                <w:szCs w:val="21"/>
                <w:lang w:eastAsia="en-US"/>
              </w:rPr>
            </w:pPr>
            <w:r>
              <w:rPr>
                <w:rFonts w:ascii="宋体" w:hAnsi="宋体" w:cs="宋体"/>
                <w:color w:val="auto"/>
                <w:spacing w:val="-2"/>
                <w:szCs w:val="21"/>
                <w:lang w:eastAsia="en-US"/>
              </w:rPr>
              <w:t>远期</w:t>
            </w:r>
            <w:r>
              <w:rPr>
                <w:rFonts w:ascii="宋体" w:hAnsi="宋体" w:cs="宋体"/>
                <w:color w:val="auto"/>
                <w:spacing w:val="-1"/>
                <w:szCs w:val="21"/>
                <w:lang w:eastAsia="en-US"/>
              </w:rPr>
              <w:t>□</w:t>
            </w:r>
          </w:p>
        </w:tc>
      </w:tr>
      <w:tr w14:paraId="193252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vMerge w:val="continue"/>
            <w:tcBorders>
              <w:top w:val="nil"/>
              <w:left w:val="nil"/>
              <w:bottom w:val="nil"/>
            </w:tcBorders>
            <w:vAlign w:val="center"/>
          </w:tcPr>
          <w:p w14:paraId="4B834613">
            <w:pPr>
              <w:jc w:val="center"/>
              <w:rPr>
                <w:rFonts w:ascii="Arial" w:hAnsi="Calibri"/>
                <w:color w:val="auto"/>
                <w:szCs w:val="21"/>
                <w:lang w:eastAsia="en-US"/>
              </w:rPr>
            </w:pPr>
          </w:p>
        </w:tc>
        <w:tc>
          <w:tcPr>
            <w:tcW w:w="786" w:type="pct"/>
            <w:vAlign w:val="center"/>
          </w:tcPr>
          <w:p w14:paraId="11DB4669">
            <w:pPr>
              <w:jc w:val="center"/>
              <w:rPr>
                <w:rFonts w:ascii="宋体" w:hAnsi="宋体" w:cs="宋体"/>
                <w:color w:val="auto"/>
                <w:szCs w:val="21"/>
                <w:lang w:eastAsia="en-US"/>
              </w:rPr>
            </w:pPr>
            <w:r>
              <w:rPr>
                <w:rFonts w:ascii="宋体" w:hAnsi="宋体" w:cs="宋体"/>
                <w:color w:val="auto"/>
                <w:spacing w:val="-2"/>
                <w:szCs w:val="21"/>
                <w:lang w:eastAsia="en-US"/>
              </w:rPr>
              <w:t>现状</w:t>
            </w:r>
            <w:r>
              <w:rPr>
                <w:rFonts w:ascii="宋体" w:hAnsi="宋体" w:cs="宋体"/>
                <w:color w:val="auto"/>
                <w:spacing w:val="-1"/>
                <w:szCs w:val="21"/>
                <w:lang w:eastAsia="en-US"/>
              </w:rPr>
              <w:t>调查方法</w:t>
            </w:r>
          </w:p>
        </w:tc>
        <w:tc>
          <w:tcPr>
            <w:tcW w:w="3652" w:type="pct"/>
            <w:gridSpan w:val="11"/>
            <w:tcBorders>
              <w:right w:val="nil"/>
            </w:tcBorders>
            <w:vAlign w:val="center"/>
          </w:tcPr>
          <w:p w14:paraId="7864672B">
            <w:pPr>
              <w:rPr>
                <w:rFonts w:ascii="宋体" w:hAnsi="宋体" w:cs="宋体"/>
                <w:color w:val="auto"/>
                <w:szCs w:val="21"/>
                <w:lang w:eastAsia="zh-CN"/>
              </w:rPr>
            </w:pPr>
            <w:r>
              <w:rPr>
                <w:rFonts w:ascii="宋体" w:hAnsi="宋体" w:cs="宋体"/>
                <w:color w:val="auto"/>
                <w:spacing w:val="2"/>
                <w:szCs w:val="21"/>
                <w:lang w:eastAsia="zh-CN"/>
              </w:rPr>
              <w:t>现场实测法</w:t>
            </w:r>
            <w:r>
              <w:rPr>
                <w:rFonts w:ascii="宋体" w:hAnsi="宋体" w:cs="宋体"/>
                <w:color w:val="auto"/>
                <w:spacing w:val="2"/>
                <w:szCs w:val="21"/>
                <w:lang w:eastAsia="en-US"/>
              </w:rPr>
              <w:sym w:font="Wingdings 2" w:char="0052"/>
            </w:r>
            <w:r>
              <w:rPr>
                <w:rFonts w:ascii="宋体" w:hAnsi="宋体" w:cs="宋体"/>
                <w:color w:val="auto"/>
                <w:spacing w:val="2"/>
                <w:szCs w:val="21"/>
                <w:lang w:eastAsia="zh-CN"/>
              </w:rPr>
              <w:t xml:space="preserve">     </w:t>
            </w:r>
            <w:r>
              <w:rPr>
                <w:rFonts w:ascii="宋体" w:hAnsi="宋体" w:cs="宋体"/>
                <w:color w:val="auto"/>
                <w:spacing w:val="1"/>
                <w:szCs w:val="21"/>
                <w:lang w:eastAsia="zh-CN"/>
              </w:rPr>
              <w:t xml:space="preserve">     现场实测加模型计算法□     收集资料□</w:t>
            </w:r>
          </w:p>
        </w:tc>
      </w:tr>
      <w:tr w14:paraId="339727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vMerge w:val="continue"/>
            <w:tcBorders>
              <w:top w:val="nil"/>
              <w:left w:val="nil"/>
            </w:tcBorders>
            <w:vAlign w:val="center"/>
          </w:tcPr>
          <w:p w14:paraId="11E7AD02">
            <w:pPr>
              <w:jc w:val="center"/>
              <w:rPr>
                <w:rFonts w:ascii="Arial" w:hAnsi="Calibri"/>
                <w:color w:val="auto"/>
                <w:szCs w:val="21"/>
                <w:lang w:eastAsia="zh-CN"/>
              </w:rPr>
            </w:pPr>
          </w:p>
        </w:tc>
        <w:tc>
          <w:tcPr>
            <w:tcW w:w="786" w:type="pct"/>
            <w:vAlign w:val="center"/>
          </w:tcPr>
          <w:p w14:paraId="6D0DAD16">
            <w:pPr>
              <w:jc w:val="center"/>
              <w:rPr>
                <w:rFonts w:ascii="宋体" w:hAnsi="宋体" w:cs="宋体"/>
                <w:color w:val="auto"/>
                <w:szCs w:val="21"/>
                <w:lang w:eastAsia="en-US"/>
              </w:rPr>
            </w:pPr>
            <w:r>
              <w:rPr>
                <w:rFonts w:ascii="宋体" w:hAnsi="宋体" w:cs="宋体"/>
                <w:color w:val="auto"/>
                <w:spacing w:val="-2"/>
                <w:szCs w:val="21"/>
                <w:lang w:eastAsia="en-US"/>
              </w:rPr>
              <w:t>现状评</w:t>
            </w:r>
            <w:r>
              <w:rPr>
                <w:rFonts w:ascii="宋体" w:hAnsi="宋体" w:cs="宋体"/>
                <w:color w:val="auto"/>
                <w:spacing w:val="-1"/>
                <w:szCs w:val="21"/>
                <w:lang w:eastAsia="en-US"/>
              </w:rPr>
              <w:t>价</w:t>
            </w:r>
          </w:p>
        </w:tc>
        <w:tc>
          <w:tcPr>
            <w:tcW w:w="1084" w:type="pct"/>
            <w:gridSpan w:val="3"/>
            <w:vAlign w:val="center"/>
          </w:tcPr>
          <w:p w14:paraId="3FF15F2F">
            <w:pPr>
              <w:rPr>
                <w:rFonts w:ascii="宋体" w:hAnsi="宋体" w:cs="宋体"/>
                <w:color w:val="auto"/>
                <w:spacing w:val="-2"/>
                <w:szCs w:val="21"/>
                <w:lang w:eastAsia="en-US"/>
              </w:rPr>
            </w:pPr>
            <w:r>
              <w:rPr>
                <w:rFonts w:ascii="宋体" w:hAnsi="宋体" w:cs="宋体"/>
                <w:color w:val="auto"/>
                <w:spacing w:val="-2"/>
                <w:szCs w:val="21"/>
                <w:lang w:eastAsia="en-US"/>
              </w:rPr>
              <w:t>达标百分比</w:t>
            </w:r>
          </w:p>
        </w:tc>
        <w:tc>
          <w:tcPr>
            <w:tcW w:w="2567" w:type="pct"/>
            <w:gridSpan w:val="8"/>
            <w:tcBorders>
              <w:right w:val="nil"/>
            </w:tcBorders>
            <w:vAlign w:val="center"/>
          </w:tcPr>
          <w:p w14:paraId="33E65CB2">
            <w:pPr>
              <w:rPr>
                <w:rFonts w:ascii="宋体" w:hAnsi="宋体" w:cs="宋体"/>
                <w:color w:val="auto"/>
                <w:spacing w:val="-2"/>
                <w:szCs w:val="21"/>
                <w:lang w:eastAsia="en-US"/>
              </w:rPr>
            </w:pPr>
            <w:r>
              <w:rPr>
                <w:rFonts w:hint="eastAsia" w:ascii="宋体" w:hAnsi="宋体" w:cs="宋体"/>
                <w:color w:val="auto"/>
                <w:spacing w:val="-2"/>
                <w:szCs w:val="21"/>
                <w:lang w:eastAsia="en-US"/>
              </w:rPr>
              <w:t>100%</w:t>
            </w:r>
          </w:p>
        </w:tc>
      </w:tr>
      <w:tr w14:paraId="757476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tcBorders>
              <w:left w:val="nil"/>
            </w:tcBorders>
            <w:vAlign w:val="center"/>
          </w:tcPr>
          <w:p w14:paraId="09BC2FB7">
            <w:pPr>
              <w:jc w:val="center"/>
              <w:rPr>
                <w:rFonts w:ascii="宋体" w:hAnsi="宋体" w:cs="宋体"/>
                <w:color w:val="auto"/>
                <w:szCs w:val="21"/>
                <w:lang w:eastAsia="en-US"/>
              </w:rPr>
            </w:pPr>
            <w:r>
              <w:rPr>
                <w:rFonts w:ascii="宋体" w:hAnsi="宋体" w:cs="宋体"/>
                <w:color w:val="auto"/>
                <w:spacing w:val="-5"/>
                <w:position w:val="6"/>
                <w:szCs w:val="21"/>
                <w:lang w:eastAsia="en-US"/>
              </w:rPr>
              <w:t>噪</w:t>
            </w:r>
            <w:r>
              <w:rPr>
                <w:rFonts w:ascii="宋体" w:hAnsi="宋体" w:cs="宋体"/>
                <w:color w:val="auto"/>
                <w:spacing w:val="-3"/>
                <w:position w:val="6"/>
                <w:szCs w:val="21"/>
                <w:lang w:eastAsia="en-US"/>
              </w:rPr>
              <w:t>声源</w:t>
            </w:r>
          </w:p>
          <w:p w14:paraId="1A4D3B0A">
            <w:pPr>
              <w:jc w:val="center"/>
              <w:rPr>
                <w:rFonts w:ascii="宋体" w:hAnsi="宋体" w:cs="宋体"/>
                <w:color w:val="auto"/>
                <w:szCs w:val="21"/>
                <w:lang w:eastAsia="en-US"/>
              </w:rPr>
            </w:pPr>
            <w:r>
              <w:rPr>
                <w:rFonts w:ascii="宋体" w:hAnsi="宋体" w:cs="宋体"/>
                <w:color w:val="auto"/>
                <w:spacing w:val="-3"/>
                <w:szCs w:val="21"/>
                <w:lang w:eastAsia="en-US"/>
              </w:rPr>
              <w:t>调</w:t>
            </w:r>
            <w:r>
              <w:rPr>
                <w:rFonts w:ascii="宋体" w:hAnsi="宋体" w:cs="宋体"/>
                <w:color w:val="auto"/>
                <w:spacing w:val="-2"/>
                <w:szCs w:val="21"/>
                <w:lang w:eastAsia="en-US"/>
              </w:rPr>
              <w:t>查</w:t>
            </w:r>
          </w:p>
        </w:tc>
        <w:tc>
          <w:tcPr>
            <w:tcW w:w="786" w:type="pct"/>
            <w:vAlign w:val="center"/>
          </w:tcPr>
          <w:p w14:paraId="5FBB3DD3">
            <w:pPr>
              <w:ind w:hanging="443"/>
              <w:jc w:val="center"/>
              <w:rPr>
                <w:rFonts w:ascii="宋体" w:hAnsi="宋体" w:cs="宋体"/>
                <w:color w:val="auto"/>
                <w:szCs w:val="21"/>
                <w:lang w:eastAsia="en-US"/>
              </w:rPr>
            </w:pPr>
            <w:r>
              <w:rPr>
                <w:rFonts w:hint="eastAsia" w:ascii="宋体" w:hAnsi="宋体" w:cs="宋体"/>
                <w:color w:val="auto"/>
                <w:spacing w:val="-4"/>
                <w:szCs w:val="21"/>
                <w:lang w:eastAsia="en-US"/>
              </w:rPr>
              <w:t xml:space="preserve">    </w:t>
            </w:r>
            <w:r>
              <w:rPr>
                <w:rFonts w:ascii="宋体" w:hAnsi="宋体" w:cs="宋体"/>
                <w:color w:val="auto"/>
                <w:spacing w:val="-4"/>
                <w:szCs w:val="21"/>
                <w:lang w:eastAsia="en-US"/>
              </w:rPr>
              <w:t>噪声</w:t>
            </w:r>
            <w:r>
              <w:rPr>
                <w:rFonts w:ascii="宋体" w:hAnsi="宋体" w:cs="宋体"/>
                <w:color w:val="auto"/>
                <w:spacing w:val="-2"/>
                <w:szCs w:val="21"/>
                <w:lang w:eastAsia="en-US"/>
              </w:rPr>
              <w:t>源调查方</w:t>
            </w:r>
            <w:r>
              <w:rPr>
                <w:rFonts w:ascii="宋体" w:hAnsi="宋体" w:cs="宋体"/>
                <w:color w:val="auto"/>
                <w:szCs w:val="21"/>
                <w:lang w:eastAsia="en-US"/>
              </w:rPr>
              <w:t>法</w:t>
            </w:r>
          </w:p>
        </w:tc>
        <w:tc>
          <w:tcPr>
            <w:tcW w:w="910" w:type="pct"/>
            <w:gridSpan w:val="2"/>
            <w:tcBorders>
              <w:right w:val="nil"/>
            </w:tcBorders>
            <w:vAlign w:val="center"/>
          </w:tcPr>
          <w:p w14:paraId="509F8BBF">
            <w:pPr>
              <w:rPr>
                <w:rFonts w:ascii="宋体" w:hAnsi="宋体" w:cs="宋体"/>
                <w:color w:val="auto"/>
                <w:szCs w:val="21"/>
                <w:lang w:eastAsia="en-US"/>
              </w:rPr>
            </w:pPr>
            <w:r>
              <w:rPr>
                <w:rFonts w:ascii="宋体" w:hAnsi="宋体" w:cs="宋体"/>
                <w:color w:val="auto"/>
                <w:spacing w:val="-2"/>
                <w:szCs w:val="21"/>
                <w:lang w:eastAsia="en-US"/>
              </w:rPr>
              <w:t>现场</w:t>
            </w:r>
            <w:r>
              <w:rPr>
                <w:rFonts w:ascii="宋体" w:hAnsi="宋体" w:cs="宋体"/>
                <w:color w:val="auto"/>
                <w:spacing w:val="-1"/>
                <w:szCs w:val="21"/>
                <w:lang w:eastAsia="en-US"/>
              </w:rPr>
              <w:t>实测□</w:t>
            </w:r>
          </w:p>
        </w:tc>
        <w:tc>
          <w:tcPr>
            <w:tcW w:w="2741" w:type="pct"/>
            <w:gridSpan w:val="9"/>
            <w:tcBorders>
              <w:left w:val="nil"/>
              <w:right w:val="nil"/>
            </w:tcBorders>
            <w:vAlign w:val="center"/>
          </w:tcPr>
          <w:p w14:paraId="0C85C4DD">
            <w:pPr>
              <w:rPr>
                <w:rFonts w:ascii="宋体" w:hAnsi="宋体" w:cs="宋体"/>
                <w:color w:val="auto"/>
                <w:szCs w:val="21"/>
                <w:lang w:eastAsia="en-US"/>
              </w:rPr>
            </w:pPr>
            <w:r>
              <w:rPr>
                <w:rFonts w:ascii="宋体" w:hAnsi="宋体" w:cs="宋体"/>
                <w:color w:val="auto"/>
                <w:spacing w:val="1"/>
                <w:szCs w:val="21"/>
                <w:lang w:eastAsia="en-US"/>
              </w:rPr>
              <w:t>已有资料</w:t>
            </w:r>
            <w:r>
              <w:rPr>
                <w:rFonts w:ascii="宋体" w:hAnsi="宋体" w:cs="宋体"/>
                <w:color w:val="auto"/>
                <w:spacing w:val="1"/>
                <w:szCs w:val="21"/>
                <w:lang w:eastAsia="en-US"/>
              </w:rPr>
              <w:sym w:font="Wingdings 2" w:char="0052"/>
            </w:r>
            <w:r>
              <w:rPr>
                <w:rFonts w:ascii="宋体" w:hAnsi="宋体" w:cs="宋体"/>
                <w:color w:val="auto"/>
                <w:spacing w:val="1"/>
                <w:szCs w:val="21"/>
                <w:lang w:eastAsia="en-US"/>
              </w:rPr>
              <w:t xml:space="preserve">               研究成果</w:t>
            </w:r>
            <w:r>
              <w:rPr>
                <w:rFonts w:ascii="宋体" w:hAnsi="宋体" w:cs="宋体"/>
                <w:color w:val="auto"/>
                <w:szCs w:val="21"/>
                <w:lang w:eastAsia="en-US"/>
              </w:rPr>
              <w:t>□</w:t>
            </w:r>
          </w:p>
        </w:tc>
      </w:tr>
      <w:tr w14:paraId="4B33D9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vMerge w:val="restart"/>
            <w:tcBorders>
              <w:left w:val="nil"/>
              <w:bottom w:val="nil"/>
            </w:tcBorders>
            <w:vAlign w:val="center"/>
          </w:tcPr>
          <w:p w14:paraId="37FFE5E0">
            <w:pPr>
              <w:jc w:val="center"/>
              <w:rPr>
                <w:rFonts w:ascii="宋体" w:hAnsi="宋体" w:cs="宋体"/>
                <w:color w:val="auto"/>
                <w:szCs w:val="21"/>
                <w:lang w:eastAsia="zh-CN"/>
              </w:rPr>
            </w:pPr>
            <w:r>
              <w:rPr>
                <w:rFonts w:ascii="宋体" w:hAnsi="宋体" w:cs="宋体"/>
                <w:color w:val="auto"/>
                <w:spacing w:val="-2"/>
                <w:szCs w:val="21"/>
                <w:lang w:eastAsia="zh-CN"/>
              </w:rPr>
              <w:t>声环境影</w:t>
            </w:r>
          </w:p>
          <w:p w14:paraId="4B7CD93E">
            <w:pPr>
              <w:jc w:val="center"/>
              <w:rPr>
                <w:rFonts w:ascii="宋体" w:hAnsi="宋体" w:cs="宋体"/>
                <w:color w:val="auto"/>
                <w:szCs w:val="21"/>
                <w:lang w:eastAsia="zh-CN"/>
              </w:rPr>
            </w:pPr>
            <w:r>
              <w:rPr>
                <w:rFonts w:ascii="宋体" w:hAnsi="宋体" w:cs="宋体"/>
                <w:color w:val="auto"/>
                <w:spacing w:val="-4"/>
                <w:szCs w:val="21"/>
                <w:lang w:eastAsia="zh-CN"/>
              </w:rPr>
              <w:t>响</w:t>
            </w:r>
            <w:r>
              <w:rPr>
                <w:rFonts w:ascii="宋体" w:hAnsi="宋体" w:cs="宋体"/>
                <w:color w:val="auto"/>
                <w:spacing w:val="-3"/>
                <w:szCs w:val="21"/>
                <w:lang w:eastAsia="zh-CN"/>
              </w:rPr>
              <w:t>预测与</w:t>
            </w:r>
          </w:p>
          <w:p w14:paraId="184BA5C4">
            <w:pPr>
              <w:jc w:val="center"/>
              <w:rPr>
                <w:rFonts w:ascii="宋体" w:hAnsi="宋体" w:cs="宋体"/>
                <w:color w:val="auto"/>
                <w:szCs w:val="21"/>
                <w:lang w:eastAsia="zh-CN"/>
              </w:rPr>
            </w:pPr>
            <w:r>
              <w:rPr>
                <w:rFonts w:ascii="宋体" w:hAnsi="宋体" w:cs="宋体"/>
                <w:color w:val="auto"/>
                <w:spacing w:val="-2"/>
                <w:szCs w:val="21"/>
                <w:lang w:eastAsia="zh-CN"/>
              </w:rPr>
              <w:t>评价</w:t>
            </w:r>
          </w:p>
        </w:tc>
        <w:tc>
          <w:tcPr>
            <w:tcW w:w="786" w:type="pct"/>
            <w:vAlign w:val="center"/>
          </w:tcPr>
          <w:p w14:paraId="38483B7F">
            <w:pPr>
              <w:jc w:val="center"/>
              <w:rPr>
                <w:rFonts w:ascii="宋体" w:hAnsi="宋体" w:cs="宋体"/>
                <w:color w:val="auto"/>
                <w:szCs w:val="21"/>
                <w:lang w:eastAsia="en-US"/>
              </w:rPr>
            </w:pPr>
            <w:r>
              <w:rPr>
                <w:rFonts w:ascii="宋体" w:hAnsi="宋体" w:cs="宋体"/>
                <w:color w:val="auto"/>
                <w:spacing w:val="-2"/>
                <w:szCs w:val="21"/>
                <w:lang w:eastAsia="en-US"/>
              </w:rPr>
              <w:t>预测模</w:t>
            </w:r>
            <w:r>
              <w:rPr>
                <w:rFonts w:ascii="宋体" w:hAnsi="宋体" w:cs="宋体"/>
                <w:color w:val="auto"/>
                <w:spacing w:val="-1"/>
                <w:szCs w:val="21"/>
                <w:lang w:eastAsia="en-US"/>
              </w:rPr>
              <w:t>型</w:t>
            </w:r>
          </w:p>
        </w:tc>
        <w:tc>
          <w:tcPr>
            <w:tcW w:w="910" w:type="pct"/>
            <w:gridSpan w:val="2"/>
            <w:tcBorders>
              <w:right w:val="nil"/>
            </w:tcBorders>
            <w:vAlign w:val="center"/>
          </w:tcPr>
          <w:p w14:paraId="4826FD5F">
            <w:pPr>
              <w:rPr>
                <w:rFonts w:ascii="宋体" w:hAnsi="宋体" w:cs="宋体"/>
                <w:color w:val="auto"/>
                <w:szCs w:val="21"/>
                <w:lang w:eastAsia="en-US"/>
              </w:rPr>
            </w:pPr>
            <w:r>
              <w:rPr>
                <w:rFonts w:ascii="宋体" w:hAnsi="宋体" w:cs="宋体"/>
                <w:color w:val="auto"/>
                <w:spacing w:val="-2"/>
                <w:szCs w:val="21"/>
                <w:lang w:eastAsia="en-US"/>
              </w:rPr>
              <w:t>导则推荐模</w:t>
            </w:r>
            <w:r>
              <w:rPr>
                <w:rFonts w:ascii="宋体" w:hAnsi="宋体" w:cs="宋体"/>
                <w:color w:val="auto"/>
                <w:spacing w:val="-1"/>
                <w:szCs w:val="21"/>
                <w:lang w:eastAsia="en-US"/>
              </w:rPr>
              <w:t>型</w:t>
            </w:r>
            <w:r>
              <w:rPr>
                <w:rFonts w:ascii="宋体" w:hAnsi="宋体" w:cs="宋体"/>
                <w:color w:val="auto"/>
                <w:spacing w:val="-1"/>
                <w:szCs w:val="21"/>
                <w:lang w:eastAsia="en-US"/>
              </w:rPr>
              <w:sym w:font="Wingdings 2" w:char="0052"/>
            </w:r>
          </w:p>
        </w:tc>
        <w:tc>
          <w:tcPr>
            <w:tcW w:w="2741" w:type="pct"/>
            <w:gridSpan w:val="9"/>
            <w:tcBorders>
              <w:left w:val="nil"/>
              <w:right w:val="nil"/>
            </w:tcBorders>
            <w:vAlign w:val="center"/>
          </w:tcPr>
          <w:p w14:paraId="6475F0DF">
            <w:pPr>
              <w:rPr>
                <w:rFonts w:ascii="宋体" w:hAnsi="宋体" w:cs="宋体"/>
                <w:color w:val="auto"/>
                <w:szCs w:val="21"/>
                <w:lang w:eastAsia="en-US"/>
              </w:rPr>
            </w:pPr>
            <w:r>
              <w:rPr>
                <w:rFonts w:ascii="宋体" w:hAnsi="宋体" w:cs="宋体"/>
                <w:color w:val="auto"/>
                <w:spacing w:val="-4"/>
                <w:szCs w:val="21"/>
                <w:lang w:eastAsia="en-US"/>
              </w:rPr>
              <w:t>其</w:t>
            </w:r>
            <w:r>
              <w:rPr>
                <w:rFonts w:ascii="宋体" w:hAnsi="宋体" w:cs="宋体"/>
                <w:color w:val="auto"/>
                <w:spacing w:val="-2"/>
                <w:szCs w:val="21"/>
                <w:lang w:eastAsia="en-US"/>
              </w:rPr>
              <w:t>他□</w:t>
            </w:r>
            <w:r>
              <w:rPr>
                <w:rFonts w:ascii="宋体" w:hAnsi="宋体" w:cs="宋体"/>
                <w:color w:val="auto"/>
                <w:szCs w:val="21"/>
                <w:u w:val="single"/>
                <w:lang w:eastAsia="en-US"/>
              </w:rPr>
              <w:t xml:space="preserve">           </w:t>
            </w:r>
          </w:p>
        </w:tc>
      </w:tr>
      <w:tr w14:paraId="18C8B5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vMerge w:val="continue"/>
            <w:tcBorders>
              <w:top w:val="nil"/>
              <w:left w:val="nil"/>
              <w:bottom w:val="nil"/>
            </w:tcBorders>
            <w:vAlign w:val="center"/>
          </w:tcPr>
          <w:p w14:paraId="2F8735E8">
            <w:pPr>
              <w:jc w:val="center"/>
              <w:rPr>
                <w:rFonts w:ascii="Arial" w:hAnsi="Calibri"/>
                <w:color w:val="auto"/>
                <w:szCs w:val="21"/>
                <w:lang w:eastAsia="en-US"/>
              </w:rPr>
            </w:pPr>
          </w:p>
        </w:tc>
        <w:tc>
          <w:tcPr>
            <w:tcW w:w="786" w:type="pct"/>
            <w:vAlign w:val="center"/>
          </w:tcPr>
          <w:p w14:paraId="37EBF430">
            <w:pPr>
              <w:jc w:val="center"/>
              <w:rPr>
                <w:rFonts w:ascii="宋体" w:hAnsi="宋体" w:cs="宋体"/>
                <w:color w:val="auto"/>
                <w:szCs w:val="21"/>
                <w:lang w:eastAsia="en-US"/>
              </w:rPr>
            </w:pPr>
            <w:r>
              <w:rPr>
                <w:rFonts w:ascii="宋体" w:hAnsi="宋体" w:cs="宋体"/>
                <w:color w:val="auto"/>
                <w:spacing w:val="-2"/>
                <w:szCs w:val="21"/>
                <w:lang w:eastAsia="en-US"/>
              </w:rPr>
              <w:t>预测范</w:t>
            </w:r>
            <w:r>
              <w:rPr>
                <w:rFonts w:ascii="宋体" w:hAnsi="宋体" w:cs="宋体"/>
                <w:color w:val="auto"/>
                <w:spacing w:val="-1"/>
                <w:szCs w:val="21"/>
                <w:lang w:eastAsia="en-US"/>
              </w:rPr>
              <w:t>围</w:t>
            </w:r>
          </w:p>
        </w:tc>
        <w:tc>
          <w:tcPr>
            <w:tcW w:w="3652" w:type="pct"/>
            <w:gridSpan w:val="11"/>
            <w:tcBorders>
              <w:right w:val="nil"/>
            </w:tcBorders>
            <w:vAlign w:val="center"/>
          </w:tcPr>
          <w:p w14:paraId="4FA2B058">
            <w:pPr>
              <w:rPr>
                <w:rFonts w:ascii="宋体" w:hAnsi="宋体" w:cs="宋体"/>
                <w:color w:val="auto"/>
                <w:szCs w:val="21"/>
                <w:lang w:eastAsia="en-US"/>
              </w:rPr>
            </w:pPr>
            <w:r>
              <w:rPr>
                <w:rFonts w:ascii="Calibri" w:hAnsi="Calibri" w:eastAsia="Times New Roman"/>
                <w:color w:val="auto"/>
                <w:spacing w:val="1"/>
                <w:szCs w:val="21"/>
                <w:lang w:eastAsia="en-US"/>
              </w:rPr>
              <w:t>200</w:t>
            </w:r>
            <w:r>
              <w:rPr>
                <w:rFonts w:ascii="Calibri" w:hAnsi="Calibri" w:eastAsia="Times New Roman"/>
                <w:color w:val="auto"/>
                <w:szCs w:val="21"/>
                <w:lang w:eastAsia="en-US"/>
              </w:rPr>
              <w:t>m</w:t>
            </w:r>
            <w:r>
              <w:rPr>
                <w:rFonts w:ascii="宋体" w:hAnsi="宋体" w:cs="宋体"/>
                <w:color w:val="auto"/>
                <w:spacing w:val="1"/>
                <w:szCs w:val="21"/>
                <w:lang w:eastAsia="en-US"/>
              </w:rPr>
              <w:sym w:font="Wingdings 2" w:char="0052"/>
            </w:r>
            <w:r>
              <w:rPr>
                <w:rFonts w:ascii="宋体" w:hAnsi="宋体" w:cs="宋体"/>
                <w:color w:val="auto"/>
                <w:spacing w:val="1"/>
                <w:szCs w:val="21"/>
                <w:lang w:eastAsia="en-US"/>
              </w:rPr>
              <w:t xml:space="preserve">            大于</w:t>
            </w:r>
            <w:r>
              <w:rPr>
                <w:rFonts w:ascii="Calibri" w:hAnsi="Calibri" w:eastAsia="Times New Roman"/>
                <w:color w:val="auto"/>
                <w:spacing w:val="1"/>
                <w:szCs w:val="21"/>
                <w:lang w:eastAsia="en-US"/>
              </w:rPr>
              <w:t>200</w:t>
            </w:r>
            <w:r>
              <w:rPr>
                <w:rFonts w:ascii="Calibri" w:hAnsi="Calibri" w:eastAsia="Times New Roman"/>
                <w:color w:val="auto"/>
                <w:szCs w:val="21"/>
                <w:lang w:eastAsia="en-US"/>
              </w:rPr>
              <w:t>m</w:t>
            </w:r>
            <w:r>
              <w:rPr>
                <w:rFonts w:ascii="宋体" w:hAnsi="宋体" w:cs="宋体"/>
                <w:color w:val="auto"/>
                <w:spacing w:val="1"/>
                <w:szCs w:val="21"/>
                <w:lang w:eastAsia="en-US"/>
              </w:rPr>
              <w:sym w:font="Wingdings 2" w:char="00A3"/>
            </w:r>
            <w:r>
              <w:rPr>
                <w:rFonts w:ascii="宋体" w:hAnsi="宋体" w:cs="宋体"/>
                <w:color w:val="auto"/>
                <w:szCs w:val="21"/>
                <w:lang w:eastAsia="en-US"/>
              </w:rPr>
              <w:t xml:space="preserve">            小于</w:t>
            </w:r>
            <w:r>
              <w:rPr>
                <w:rFonts w:ascii="Calibri" w:hAnsi="Calibri" w:eastAsia="Times New Roman"/>
                <w:color w:val="auto"/>
                <w:szCs w:val="21"/>
                <w:lang w:eastAsia="en-US"/>
              </w:rPr>
              <w:t>200m</w:t>
            </w:r>
            <w:r>
              <w:rPr>
                <w:rFonts w:ascii="宋体" w:hAnsi="宋体" w:cs="宋体"/>
                <w:color w:val="auto"/>
                <w:szCs w:val="21"/>
                <w:lang w:eastAsia="en-US"/>
              </w:rPr>
              <w:t>□</w:t>
            </w:r>
          </w:p>
        </w:tc>
      </w:tr>
      <w:tr w14:paraId="237D87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vMerge w:val="continue"/>
            <w:tcBorders>
              <w:top w:val="nil"/>
              <w:left w:val="nil"/>
              <w:bottom w:val="nil"/>
            </w:tcBorders>
            <w:vAlign w:val="center"/>
          </w:tcPr>
          <w:p w14:paraId="207200C5">
            <w:pPr>
              <w:jc w:val="center"/>
              <w:rPr>
                <w:rFonts w:ascii="Arial" w:hAnsi="Calibri"/>
                <w:color w:val="auto"/>
                <w:szCs w:val="21"/>
                <w:lang w:eastAsia="en-US"/>
              </w:rPr>
            </w:pPr>
          </w:p>
        </w:tc>
        <w:tc>
          <w:tcPr>
            <w:tcW w:w="786" w:type="pct"/>
            <w:vAlign w:val="center"/>
          </w:tcPr>
          <w:p w14:paraId="35C7E003">
            <w:pPr>
              <w:jc w:val="center"/>
              <w:rPr>
                <w:rFonts w:ascii="宋体" w:hAnsi="宋体" w:cs="宋体"/>
                <w:color w:val="auto"/>
                <w:szCs w:val="21"/>
                <w:lang w:eastAsia="en-US"/>
              </w:rPr>
            </w:pPr>
            <w:r>
              <w:rPr>
                <w:rFonts w:ascii="宋体" w:hAnsi="宋体" w:cs="宋体"/>
                <w:color w:val="auto"/>
                <w:spacing w:val="-2"/>
                <w:szCs w:val="21"/>
                <w:lang w:eastAsia="en-US"/>
              </w:rPr>
              <w:t>预测因</w:t>
            </w:r>
            <w:r>
              <w:rPr>
                <w:rFonts w:ascii="宋体" w:hAnsi="宋体" w:cs="宋体"/>
                <w:color w:val="auto"/>
                <w:spacing w:val="-1"/>
                <w:szCs w:val="21"/>
                <w:lang w:eastAsia="en-US"/>
              </w:rPr>
              <w:t>子</w:t>
            </w:r>
          </w:p>
        </w:tc>
        <w:tc>
          <w:tcPr>
            <w:tcW w:w="3652" w:type="pct"/>
            <w:gridSpan w:val="11"/>
            <w:tcBorders>
              <w:right w:val="nil"/>
            </w:tcBorders>
            <w:vAlign w:val="center"/>
          </w:tcPr>
          <w:p w14:paraId="2BB11A49">
            <w:pPr>
              <w:rPr>
                <w:rFonts w:ascii="宋体" w:hAnsi="宋体" w:cs="宋体"/>
                <w:color w:val="auto"/>
                <w:szCs w:val="21"/>
                <w:lang w:eastAsia="zh-CN"/>
              </w:rPr>
            </w:pPr>
            <w:r>
              <w:rPr>
                <w:rFonts w:ascii="宋体" w:hAnsi="宋体" w:cs="宋体"/>
                <w:color w:val="auto"/>
                <w:spacing w:val="-1"/>
                <w:szCs w:val="21"/>
                <w:lang w:eastAsia="zh-CN"/>
              </w:rPr>
              <w:t>等效连续</w:t>
            </w:r>
            <w:r>
              <w:rPr>
                <w:rFonts w:ascii="Calibri" w:hAnsi="Calibri" w:eastAsia="Times New Roman"/>
                <w:color w:val="auto"/>
                <w:szCs w:val="21"/>
                <w:lang w:eastAsia="zh-CN"/>
              </w:rPr>
              <w:t>A</w:t>
            </w:r>
            <w:r>
              <w:rPr>
                <w:rFonts w:ascii="宋体" w:hAnsi="宋体" w:cs="宋体"/>
                <w:color w:val="auto"/>
                <w:spacing w:val="-1"/>
                <w:szCs w:val="21"/>
                <w:lang w:eastAsia="zh-CN"/>
              </w:rPr>
              <w:t>声级</w:t>
            </w:r>
            <w:r>
              <w:rPr>
                <w:rFonts w:ascii="宋体" w:hAnsi="宋体" w:cs="宋体"/>
                <w:color w:val="auto"/>
                <w:spacing w:val="-1"/>
                <w:szCs w:val="21"/>
                <w:lang w:eastAsia="en-US"/>
              </w:rPr>
              <w:sym w:font="Wingdings 2" w:char="0052"/>
            </w:r>
            <w:r>
              <w:rPr>
                <w:rFonts w:ascii="宋体" w:hAnsi="宋体" w:cs="宋体"/>
                <w:color w:val="auto"/>
                <w:spacing w:val="-1"/>
                <w:szCs w:val="21"/>
                <w:lang w:eastAsia="zh-CN"/>
              </w:rPr>
              <w:t xml:space="preserve">       最大</w:t>
            </w:r>
            <w:r>
              <w:rPr>
                <w:rFonts w:ascii="Calibri" w:hAnsi="Calibri" w:eastAsia="Times New Roman"/>
                <w:color w:val="auto"/>
                <w:szCs w:val="21"/>
                <w:lang w:eastAsia="zh-CN"/>
              </w:rPr>
              <w:t>A</w:t>
            </w:r>
            <w:r>
              <w:rPr>
                <w:rFonts w:ascii="宋体" w:hAnsi="宋体" w:cs="宋体"/>
                <w:color w:val="auto"/>
                <w:spacing w:val="-1"/>
                <w:szCs w:val="21"/>
                <w:lang w:eastAsia="zh-CN"/>
              </w:rPr>
              <w:t xml:space="preserve">声级□ </w:t>
            </w:r>
            <w:r>
              <w:rPr>
                <w:rFonts w:ascii="宋体" w:hAnsi="宋体" w:cs="宋体"/>
                <w:color w:val="auto"/>
                <w:szCs w:val="21"/>
                <w:lang w:eastAsia="zh-CN"/>
              </w:rPr>
              <w:t xml:space="preserve">  计权等效连续感觉噪声级□</w:t>
            </w:r>
          </w:p>
        </w:tc>
      </w:tr>
      <w:tr w14:paraId="138A47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vMerge w:val="continue"/>
            <w:tcBorders>
              <w:top w:val="nil"/>
              <w:left w:val="nil"/>
              <w:bottom w:val="nil"/>
            </w:tcBorders>
            <w:vAlign w:val="center"/>
          </w:tcPr>
          <w:p w14:paraId="52767453">
            <w:pPr>
              <w:jc w:val="center"/>
              <w:rPr>
                <w:rFonts w:ascii="Arial" w:hAnsi="Calibri"/>
                <w:color w:val="auto"/>
                <w:szCs w:val="21"/>
                <w:lang w:eastAsia="zh-CN"/>
              </w:rPr>
            </w:pPr>
          </w:p>
        </w:tc>
        <w:tc>
          <w:tcPr>
            <w:tcW w:w="786" w:type="pct"/>
            <w:vAlign w:val="center"/>
          </w:tcPr>
          <w:p w14:paraId="37B86BFE">
            <w:pPr>
              <w:ind w:hanging="449"/>
              <w:jc w:val="center"/>
              <w:rPr>
                <w:rFonts w:ascii="宋体" w:hAnsi="宋体" w:cs="宋体"/>
                <w:color w:val="auto"/>
                <w:szCs w:val="21"/>
                <w:lang w:eastAsia="en-US"/>
              </w:rPr>
            </w:pPr>
            <w:r>
              <w:rPr>
                <w:rFonts w:hint="eastAsia" w:ascii="宋体" w:hAnsi="宋体" w:cs="宋体"/>
                <w:color w:val="auto"/>
                <w:spacing w:val="-2"/>
                <w:szCs w:val="21"/>
                <w:lang w:eastAsia="zh-CN"/>
              </w:rPr>
              <w:t xml:space="preserve">    </w:t>
            </w:r>
            <w:r>
              <w:rPr>
                <w:rFonts w:ascii="宋体" w:hAnsi="宋体" w:cs="宋体"/>
                <w:color w:val="auto"/>
                <w:spacing w:val="-2"/>
                <w:szCs w:val="21"/>
                <w:lang w:eastAsia="en-US"/>
              </w:rPr>
              <w:t>厂界噪声</w:t>
            </w:r>
            <w:r>
              <w:rPr>
                <w:rFonts w:ascii="宋体" w:hAnsi="宋体" w:cs="宋体"/>
                <w:color w:val="auto"/>
                <w:spacing w:val="-1"/>
                <w:szCs w:val="21"/>
                <w:lang w:eastAsia="en-US"/>
              </w:rPr>
              <w:t>贡献</w:t>
            </w:r>
            <w:r>
              <w:rPr>
                <w:rFonts w:ascii="宋体" w:hAnsi="宋体" w:cs="宋体"/>
                <w:color w:val="auto"/>
                <w:szCs w:val="21"/>
                <w:lang w:eastAsia="en-US"/>
              </w:rPr>
              <w:t>值</w:t>
            </w:r>
          </w:p>
        </w:tc>
        <w:tc>
          <w:tcPr>
            <w:tcW w:w="1084" w:type="pct"/>
            <w:gridSpan w:val="3"/>
            <w:tcBorders>
              <w:right w:val="nil"/>
            </w:tcBorders>
            <w:vAlign w:val="center"/>
          </w:tcPr>
          <w:p w14:paraId="71211AFA">
            <w:pPr>
              <w:jc w:val="right"/>
              <w:rPr>
                <w:rFonts w:ascii="宋体" w:hAnsi="宋体" w:cs="宋体"/>
                <w:color w:val="auto"/>
                <w:szCs w:val="21"/>
                <w:lang w:eastAsia="en-US"/>
              </w:rPr>
            </w:pPr>
            <w:r>
              <w:rPr>
                <w:rFonts w:ascii="宋体" w:hAnsi="宋体" w:cs="宋体"/>
                <w:color w:val="auto"/>
                <w:spacing w:val="-2"/>
                <w:szCs w:val="21"/>
                <w:lang w:eastAsia="en-US"/>
              </w:rPr>
              <w:t>达标</w:t>
            </w:r>
            <w:r>
              <w:rPr>
                <w:rFonts w:ascii="宋体" w:hAnsi="宋体" w:cs="宋体"/>
                <w:color w:val="auto"/>
                <w:spacing w:val="-1"/>
                <w:szCs w:val="21"/>
                <w:lang w:eastAsia="en-US"/>
              </w:rPr>
              <w:t xml:space="preserve"> </w:t>
            </w:r>
            <w:r>
              <w:rPr>
                <w:rFonts w:ascii="宋体" w:hAnsi="宋体" w:cs="宋体"/>
                <w:color w:val="auto"/>
                <w:spacing w:val="-1"/>
                <w:szCs w:val="21"/>
                <w:lang w:eastAsia="en-US"/>
              </w:rPr>
              <w:sym w:font="Wingdings 2" w:char="0052"/>
            </w:r>
          </w:p>
        </w:tc>
        <w:tc>
          <w:tcPr>
            <w:tcW w:w="2567" w:type="pct"/>
            <w:gridSpan w:val="8"/>
            <w:tcBorders>
              <w:left w:val="nil"/>
              <w:right w:val="nil"/>
            </w:tcBorders>
            <w:vAlign w:val="center"/>
          </w:tcPr>
          <w:p w14:paraId="52F95A85">
            <w:pPr>
              <w:rPr>
                <w:rFonts w:ascii="宋体" w:hAnsi="宋体" w:cs="宋体"/>
                <w:color w:val="auto"/>
                <w:szCs w:val="21"/>
                <w:lang w:eastAsia="en-US"/>
              </w:rPr>
            </w:pPr>
            <w:r>
              <w:rPr>
                <w:rFonts w:ascii="宋体" w:hAnsi="宋体" w:cs="宋体"/>
                <w:color w:val="auto"/>
                <w:spacing w:val="-2"/>
                <w:szCs w:val="21"/>
                <w:lang w:eastAsia="en-US"/>
              </w:rPr>
              <w:t>不达标□</w:t>
            </w:r>
          </w:p>
        </w:tc>
      </w:tr>
      <w:tr w14:paraId="13DDF3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vMerge w:val="continue"/>
            <w:tcBorders>
              <w:top w:val="nil"/>
              <w:left w:val="nil"/>
            </w:tcBorders>
            <w:vAlign w:val="center"/>
          </w:tcPr>
          <w:p w14:paraId="437D8B54">
            <w:pPr>
              <w:jc w:val="center"/>
              <w:rPr>
                <w:rFonts w:ascii="Arial" w:hAnsi="Calibri"/>
                <w:color w:val="auto"/>
                <w:szCs w:val="21"/>
                <w:lang w:eastAsia="en-US"/>
              </w:rPr>
            </w:pPr>
          </w:p>
        </w:tc>
        <w:tc>
          <w:tcPr>
            <w:tcW w:w="786" w:type="pct"/>
            <w:vAlign w:val="center"/>
          </w:tcPr>
          <w:p w14:paraId="2529DF83">
            <w:pPr>
              <w:ind w:hanging="88"/>
              <w:jc w:val="center"/>
              <w:rPr>
                <w:rFonts w:ascii="宋体" w:hAnsi="宋体" w:cs="宋体"/>
                <w:color w:val="auto"/>
                <w:szCs w:val="21"/>
                <w:lang w:eastAsia="zh-CN"/>
              </w:rPr>
            </w:pPr>
            <w:r>
              <w:rPr>
                <w:rFonts w:ascii="宋体" w:hAnsi="宋体" w:cs="宋体"/>
                <w:color w:val="auto"/>
                <w:spacing w:val="-2"/>
                <w:szCs w:val="21"/>
                <w:lang w:eastAsia="zh-CN"/>
              </w:rPr>
              <w:t>声环境保护</w:t>
            </w:r>
            <w:r>
              <w:rPr>
                <w:rFonts w:ascii="宋体" w:hAnsi="宋体" w:cs="宋体"/>
                <w:color w:val="auto"/>
                <w:spacing w:val="-1"/>
                <w:szCs w:val="21"/>
                <w:lang w:eastAsia="zh-CN"/>
              </w:rPr>
              <w:t>目</w:t>
            </w:r>
            <w:r>
              <w:rPr>
                <w:rFonts w:ascii="宋体" w:hAnsi="宋体" w:cs="宋体"/>
                <w:color w:val="auto"/>
                <w:spacing w:val="-2"/>
                <w:szCs w:val="21"/>
                <w:lang w:eastAsia="zh-CN"/>
              </w:rPr>
              <w:t>标处</w:t>
            </w:r>
            <w:r>
              <w:rPr>
                <w:rFonts w:ascii="宋体" w:hAnsi="宋体" w:cs="宋体"/>
                <w:color w:val="auto"/>
                <w:spacing w:val="-1"/>
                <w:szCs w:val="21"/>
                <w:lang w:eastAsia="zh-CN"/>
              </w:rPr>
              <w:t>噪声值</w:t>
            </w:r>
          </w:p>
        </w:tc>
        <w:tc>
          <w:tcPr>
            <w:tcW w:w="1084" w:type="pct"/>
            <w:gridSpan w:val="3"/>
            <w:tcBorders>
              <w:right w:val="nil"/>
            </w:tcBorders>
            <w:vAlign w:val="center"/>
          </w:tcPr>
          <w:p w14:paraId="7C371E7A">
            <w:pPr>
              <w:jc w:val="right"/>
              <w:rPr>
                <w:rFonts w:ascii="宋体" w:hAnsi="宋体" w:cs="宋体"/>
                <w:color w:val="auto"/>
                <w:szCs w:val="21"/>
                <w:lang w:eastAsia="en-US"/>
              </w:rPr>
            </w:pPr>
            <w:r>
              <w:rPr>
                <w:rFonts w:ascii="宋体" w:hAnsi="宋体" w:cs="宋体"/>
                <w:color w:val="auto"/>
                <w:spacing w:val="-2"/>
                <w:szCs w:val="21"/>
                <w:lang w:eastAsia="en-US"/>
              </w:rPr>
              <w:t>达标</w:t>
            </w:r>
            <w:r>
              <w:rPr>
                <w:rFonts w:ascii="宋体" w:hAnsi="宋体" w:cs="宋体"/>
                <w:color w:val="auto"/>
                <w:spacing w:val="-1"/>
                <w:szCs w:val="21"/>
                <w:lang w:eastAsia="en-US"/>
              </w:rPr>
              <w:t>□</w:t>
            </w:r>
          </w:p>
        </w:tc>
        <w:tc>
          <w:tcPr>
            <w:tcW w:w="2567" w:type="pct"/>
            <w:gridSpan w:val="8"/>
            <w:tcBorders>
              <w:left w:val="nil"/>
              <w:right w:val="nil"/>
            </w:tcBorders>
            <w:vAlign w:val="center"/>
          </w:tcPr>
          <w:p w14:paraId="74EF0EEA">
            <w:pPr>
              <w:rPr>
                <w:rFonts w:ascii="宋体" w:hAnsi="宋体" w:cs="宋体"/>
                <w:color w:val="auto"/>
                <w:szCs w:val="21"/>
                <w:lang w:eastAsia="en-US"/>
              </w:rPr>
            </w:pPr>
            <w:r>
              <w:rPr>
                <w:rFonts w:ascii="宋体" w:hAnsi="宋体" w:cs="宋体"/>
                <w:color w:val="auto"/>
                <w:spacing w:val="-2"/>
                <w:szCs w:val="21"/>
                <w:lang w:eastAsia="en-US"/>
              </w:rPr>
              <w:t>不达标□</w:t>
            </w:r>
          </w:p>
        </w:tc>
      </w:tr>
      <w:tr w14:paraId="441E06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vMerge w:val="restart"/>
            <w:tcBorders>
              <w:left w:val="nil"/>
              <w:bottom w:val="nil"/>
            </w:tcBorders>
            <w:vAlign w:val="center"/>
          </w:tcPr>
          <w:p w14:paraId="5C33A283">
            <w:pPr>
              <w:ind w:hanging="180"/>
              <w:jc w:val="center"/>
              <w:rPr>
                <w:rFonts w:ascii="宋体" w:hAnsi="宋体" w:cs="宋体"/>
                <w:color w:val="auto"/>
                <w:szCs w:val="21"/>
                <w:lang w:eastAsia="en-US"/>
              </w:rPr>
            </w:pPr>
            <w:r>
              <w:rPr>
                <w:rFonts w:hint="eastAsia" w:ascii="宋体" w:hAnsi="宋体" w:cs="宋体"/>
                <w:color w:val="auto"/>
                <w:spacing w:val="-2"/>
                <w:szCs w:val="21"/>
                <w:lang w:eastAsia="en-US"/>
              </w:rPr>
              <w:t xml:space="preserve"> </w:t>
            </w:r>
            <w:r>
              <w:rPr>
                <w:rFonts w:ascii="宋体" w:hAnsi="宋体" w:cs="宋体"/>
                <w:color w:val="auto"/>
                <w:spacing w:val="-2"/>
                <w:szCs w:val="21"/>
                <w:lang w:eastAsia="en-US"/>
              </w:rPr>
              <w:t>环境监测计划</w:t>
            </w:r>
          </w:p>
        </w:tc>
        <w:tc>
          <w:tcPr>
            <w:tcW w:w="786" w:type="pct"/>
            <w:vAlign w:val="center"/>
          </w:tcPr>
          <w:p w14:paraId="11F797EF">
            <w:pPr>
              <w:jc w:val="center"/>
              <w:rPr>
                <w:rFonts w:ascii="宋体" w:hAnsi="宋体" w:cs="宋体"/>
                <w:color w:val="auto"/>
                <w:szCs w:val="21"/>
                <w:lang w:eastAsia="en-US"/>
              </w:rPr>
            </w:pPr>
            <w:r>
              <w:rPr>
                <w:rFonts w:ascii="宋体" w:hAnsi="宋体" w:cs="宋体"/>
                <w:color w:val="auto"/>
                <w:spacing w:val="-2"/>
                <w:szCs w:val="21"/>
                <w:lang w:eastAsia="en-US"/>
              </w:rPr>
              <w:t>排放</w:t>
            </w:r>
            <w:r>
              <w:rPr>
                <w:rFonts w:ascii="宋体" w:hAnsi="宋体" w:cs="宋体"/>
                <w:color w:val="auto"/>
                <w:spacing w:val="-1"/>
                <w:szCs w:val="21"/>
                <w:lang w:eastAsia="en-US"/>
              </w:rPr>
              <w:t>监测</w:t>
            </w:r>
          </w:p>
        </w:tc>
        <w:tc>
          <w:tcPr>
            <w:tcW w:w="3652" w:type="pct"/>
            <w:gridSpan w:val="11"/>
            <w:tcBorders>
              <w:right w:val="nil"/>
            </w:tcBorders>
            <w:vAlign w:val="center"/>
          </w:tcPr>
          <w:p w14:paraId="30DC3DAC">
            <w:pPr>
              <w:rPr>
                <w:rFonts w:ascii="宋体" w:hAnsi="宋体" w:cs="宋体"/>
                <w:color w:val="auto"/>
                <w:szCs w:val="21"/>
                <w:lang w:eastAsia="zh-CN"/>
              </w:rPr>
            </w:pPr>
            <w:r>
              <w:rPr>
                <w:rFonts w:ascii="宋体" w:hAnsi="宋体" w:cs="宋体"/>
                <w:color w:val="auto"/>
                <w:spacing w:val="1"/>
                <w:szCs w:val="21"/>
                <w:lang w:eastAsia="zh-CN"/>
              </w:rPr>
              <w:t>厂界监测</w:t>
            </w:r>
            <w:r>
              <w:rPr>
                <w:rFonts w:ascii="宋体" w:hAnsi="宋体" w:cs="宋体"/>
                <w:color w:val="auto"/>
                <w:spacing w:val="1"/>
                <w:szCs w:val="21"/>
                <w:lang w:eastAsia="en-US"/>
              </w:rPr>
              <w:sym w:font="Wingdings 2" w:char="0052"/>
            </w:r>
            <w:r>
              <w:rPr>
                <w:rFonts w:ascii="宋体" w:hAnsi="宋体" w:cs="宋体"/>
                <w:color w:val="auto"/>
                <w:spacing w:val="1"/>
                <w:szCs w:val="21"/>
                <w:lang w:eastAsia="zh-CN"/>
              </w:rPr>
              <w:t xml:space="preserve">   固定位置监测□  自动监测□ 手动</w:t>
            </w:r>
            <w:r>
              <w:rPr>
                <w:rFonts w:ascii="宋体" w:hAnsi="宋体" w:cs="宋体"/>
                <w:color w:val="auto"/>
                <w:szCs w:val="21"/>
                <w:lang w:eastAsia="zh-CN"/>
              </w:rPr>
              <w:t>监测</w:t>
            </w:r>
            <w:r>
              <w:rPr>
                <w:rFonts w:ascii="宋体" w:hAnsi="宋体" w:cs="宋体"/>
                <w:color w:val="auto"/>
                <w:szCs w:val="21"/>
                <w:lang w:eastAsia="en-US"/>
              </w:rPr>
              <w:sym w:font="Wingdings 2" w:char="0052"/>
            </w:r>
            <w:r>
              <w:rPr>
                <w:rFonts w:ascii="宋体" w:hAnsi="宋体" w:cs="宋体"/>
                <w:color w:val="auto"/>
                <w:szCs w:val="21"/>
                <w:lang w:eastAsia="zh-CN"/>
              </w:rPr>
              <w:t xml:space="preserve">    无监测□</w:t>
            </w:r>
          </w:p>
        </w:tc>
      </w:tr>
      <w:tr w14:paraId="58FB77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vMerge w:val="continue"/>
            <w:tcBorders>
              <w:top w:val="nil"/>
              <w:left w:val="nil"/>
            </w:tcBorders>
            <w:vAlign w:val="center"/>
          </w:tcPr>
          <w:p w14:paraId="769A5F97">
            <w:pPr>
              <w:jc w:val="center"/>
              <w:rPr>
                <w:rFonts w:ascii="Arial" w:hAnsi="Calibri"/>
                <w:color w:val="auto"/>
                <w:szCs w:val="21"/>
                <w:lang w:eastAsia="zh-CN"/>
              </w:rPr>
            </w:pPr>
          </w:p>
        </w:tc>
        <w:tc>
          <w:tcPr>
            <w:tcW w:w="786" w:type="pct"/>
            <w:vAlign w:val="center"/>
          </w:tcPr>
          <w:p w14:paraId="6D3778F5">
            <w:pPr>
              <w:ind w:firstLine="2"/>
              <w:jc w:val="center"/>
              <w:rPr>
                <w:rFonts w:ascii="宋体" w:hAnsi="宋体" w:cs="宋体"/>
                <w:color w:val="auto"/>
                <w:szCs w:val="21"/>
                <w:lang w:eastAsia="zh-CN"/>
              </w:rPr>
            </w:pPr>
            <w:r>
              <w:rPr>
                <w:rFonts w:ascii="宋体" w:hAnsi="宋体" w:cs="宋体"/>
                <w:color w:val="auto"/>
                <w:spacing w:val="-2"/>
                <w:szCs w:val="21"/>
                <w:lang w:eastAsia="zh-CN"/>
              </w:rPr>
              <w:t>声环境保护</w:t>
            </w:r>
            <w:r>
              <w:rPr>
                <w:rFonts w:ascii="宋体" w:hAnsi="宋体" w:cs="宋体"/>
                <w:color w:val="auto"/>
                <w:spacing w:val="-1"/>
                <w:szCs w:val="21"/>
                <w:lang w:eastAsia="zh-CN"/>
              </w:rPr>
              <w:t>目</w:t>
            </w:r>
            <w:r>
              <w:rPr>
                <w:rFonts w:ascii="宋体" w:hAnsi="宋体" w:cs="宋体"/>
                <w:color w:val="auto"/>
                <w:szCs w:val="21"/>
                <w:lang w:eastAsia="zh-CN"/>
              </w:rPr>
              <w:t xml:space="preserve"> </w:t>
            </w:r>
            <w:r>
              <w:rPr>
                <w:rFonts w:ascii="宋体" w:hAnsi="宋体" w:cs="宋体"/>
                <w:color w:val="auto"/>
                <w:spacing w:val="-2"/>
                <w:szCs w:val="21"/>
                <w:lang w:eastAsia="zh-CN"/>
              </w:rPr>
              <w:t>标处</w:t>
            </w:r>
            <w:r>
              <w:rPr>
                <w:rFonts w:ascii="宋体" w:hAnsi="宋体" w:cs="宋体"/>
                <w:color w:val="auto"/>
                <w:spacing w:val="-1"/>
                <w:szCs w:val="21"/>
                <w:lang w:eastAsia="zh-CN"/>
              </w:rPr>
              <w:t>噪声监测</w:t>
            </w:r>
          </w:p>
        </w:tc>
        <w:tc>
          <w:tcPr>
            <w:tcW w:w="1792" w:type="pct"/>
            <w:gridSpan w:val="5"/>
            <w:vAlign w:val="center"/>
          </w:tcPr>
          <w:p w14:paraId="64F98535">
            <w:pPr>
              <w:rPr>
                <w:rFonts w:ascii="宋体" w:hAnsi="宋体" w:cs="宋体"/>
                <w:color w:val="auto"/>
                <w:szCs w:val="21"/>
                <w:lang w:eastAsia="en-US"/>
              </w:rPr>
            </w:pPr>
            <w:r>
              <w:rPr>
                <w:rFonts w:ascii="宋体" w:hAnsi="宋体" w:cs="宋体"/>
                <w:color w:val="auto"/>
                <w:spacing w:val="2"/>
                <w:szCs w:val="21"/>
                <w:lang w:eastAsia="en-US"/>
              </w:rPr>
              <w:t xml:space="preserve">监测因子：(   </w:t>
            </w:r>
            <w:r>
              <w:rPr>
                <w:rFonts w:ascii="宋体" w:hAnsi="宋体" w:cs="宋体"/>
                <w:color w:val="auto"/>
                <w:spacing w:val="1"/>
                <w:szCs w:val="21"/>
                <w:lang w:eastAsia="en-US"/>
              </w:rPr>
              <w:t xml:space="preserve">  )</w:t>
            </w:r>
          </w:p>
        </w:tc>
        <w:tc>
          <w:tcPr>
            <w:tcW w:w="1203" w:type="pct"/>
            <w:gridSpan w:val="4"/>
            <w:vAlign w:val="center"/>
          </w:tcPr>
          <w:p w14:paraId="173D5AB1">
            <w:pPr>
              <w:rPr>
                <w:rFonts w:ascii="宋体" w:hAnsi="宋体" w:cs="宋体"/>
                <w:color w:val="auto"/>
                <w:szCs w:val="21"/>
                <w:lang w:eastAsia="en-US"/>
              </w:rPr>
            </w:pPr>
            <w:r>
              <w:rPr>
                <w:rFonts w:ascii="宋体" w:hAnsi="宋体" w:cs="宋体"/>
                <w:color w:val="auto"/>
                <w:spacing w:val="13"/>
                <w:szCs w:val="21"/>
                <w:lang w:eastAsia="en-US"/>
              </w:rPr>
              <w:t>监</w:t>
            </w:r>
            <w:r>
              <w:rPr>
                <w:rFonts w:ascii="宋体" w:hAnsi="宋体" w:cs="宋体"/>
                <w:color w:val="auto"/>
                <w:spacing w:val="9"/>
                <w:szCs w:val="21"/>
                <w:lang w:eastAsia="en-US"/>
              </w:rPr>
              <w:t>测点位数(     )</w:t>
            </w:r>
          </w:p>
        </w:tc>
        <w:tc>
          <w:tcPr>
            <w:tcW w:w="656" w:type="pct"/>
            <w:gridSpan w:val="2"/>
            <w:tcBorders>
              <w:right w:val="nil"/>
            </w:tcBorders>
            <w:vAlign w:val="center"/>
          </w:tcPr>
          <w:p w14:paraId="59FA9E2B">
            <w:pPr>
              <w:rPr>
                <w:rFonts w:ascii="宋体" w:hAnsi="宋体" w:cs="宋体"/>
                <w:color w:val="auto"/>
                <w:szCs w:val="21"/>
                <w:lang w:eastAsia="en-US"/>
              </w:rPr>
            </w:pPr>
            <w:r>
              <w:rPr>
                <w:rFonts w:ascii="宋体" w:hAnsi="宋体" w:cs="宋体"/>
                <w:color w:val="auto"/>
                <w:spacing w:val="-2"/>
                <w:szCs w:val="21"/>
                <w:lang w:eastAsia="en-US"/>
              </w:rPr>
              <w:t>无监测</w:t>
            </w:r>
            <w:r>
              <w:rPr>
                <w:rFonts w:ascii="宋体" w:hAnsi="宋体" w:cs="宋体"/>
                <w:color w:val="auto"/>
                <w:spacing w:val="-1"/>
                <w:szCs w:val="21"/>
                <w:lang w:eastAsia="en-US"/>
              </w:rPr>
              <w:sym w:font="Wingdings 2" w:char="0052"/>
            </w:r>
          </w:p>
        </w:tc>
      </w:tr>
      <w:tr w14:paraId="2590F3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61" w:type="pct"/>
            <w:tcBorders>
              <w:left w:val="nil"/>
            </w:tcBorders>
            <w:vAlign w:val="center"/>
          </w:tcPr>
          <w:p w14:paraId="26BEB5E3">
            <w:pPr>
              <w:jc w:val="cente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价结论</w:t>
            </w:r>
          </w:p>
        </w:tc>
        <w:tc>
          <w:tcPr>
            <w:tcW w:w="786" w:type="pct"/>
            <w:vAlign w:val="center"/>
          </w:tcPr>
          <w:p w14:paraId="244D0207">
            <w:pPr>
              <w:jc w:val="center"/>
              <w:rPr>
                <w:rFonts w:ascii="宋体" w:hAnsi="宋体" w:cs="宋体"/>
                <w:color w:val="auto"/>
                <w:szCs w:val="21"/>
                <w:lang w:eastAsia="en-US"/>
              </w:rPr>
            </w:pPr>
            <w:r>
              <w:rPr>
                <w:rFonts w:ascii="宋体" w:hAnsi="宋体" w:cs="宋体"/>
                <w:color w:val="auto"/>
                <w:spacing w:val="-2"/>
                <w:szCs w:val="21"/>
                <w:lang w:eastAsia="en-US"/>
              </w:rPr>
              <w:t>环境</w:t>
            </w:r>
            <w:r>
              <w:rPr>
                <w:rFonts w:ascii="宋体" w:hAnsi="宋体" w:cs="宋体"/>
                <w:color w:val="auto"/>
                <w:spacing w:val="-1"/>
                <w:szCs w:val="21"/>
                <w:lang w:eastAsia="en-US"/>
              </w:rPr>
              <w:t>影响</w:t>
            </w:r>
          </w:p>
        </w:tc>
        <w:tc>
          <w:tcPr>
            <w:tcW w:w="3652" w:type="pct"/>
            <w:gridSpan w:val="11"/>
            <w:tcBorders>
              <w:right w:val="nil"/>
            </w:tcBorders>
            <w:vAlign w:val="center"/>
          </w:tcPr>
          <w:p w14:paraId="25B5F661">
            <w:pPr>
              <w:rPr>
                <w:rFonts w:ascii="宋体" w:hAnsi="宋体" w:cs="宋体"/>
                <w:color w:val="auto"/>
                <w:szCs w:val="21"/>
                <w:lang w:eastAsia="en-US"/>
              </w:rPr>
            </w:pPr>
            <w:r>
              <w:rPr>
                <w:rFonts w:ascii="宋体" w:hAnsi="宋体" w:cs="宋体"/>
                <w:color w:val="auto"/>
                <w:spacing w:val="-1"/>
                <w:szCs w:val="21"/>
                <w:lang w:eastAsia="en-US"/>
              </w:rPr>
              <w:t>可行</w:t>
            </w:r>
            <w:r>
              <w:rPr>
                <w:rFonts w:ascii="宋体" w:hAnsi="宋体" w:cs="宋体"/>
                <w:color w:val="auto"/>
                <w:spacing w:val="-1"/>
                <w:szCs w:val="21"/>
                <w:lang w:eastAsia="en-US"/>
              </w:rPr>
              <w:sym w:font="Wingdings 2" w:char="0052"/>
            </w:r>
            <w:r>
              <w:rPr>
                <w:rFonts w:ascii="宋体" w:hAnsi="宋体" w:cs="宋体"/>
                <w:color w:val="auto"/>
                <w:szCs w:val="21"/>
                <w:lang w:eastAsia="en-US"/>
              </w:rPr>
              <w:t xml:space="preserve">       不可行□</w:t>
            </w:r>
          </w:p>
        </w:tc>
      </w:tr>
      <w:tr w14:paraId="36865E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00" w:type="pct"/>
            <w:gridSpan w:val="13"/>
            <w:tcBorders>
              <w:left w:val="nil"/>
              <w:bottom w:val="double" w:color="auto" w:sz="4" w:space="0"/>
              <w:right w:val="nil"/>
            </w:tcBorders>
            <w:vAlign w:val="center"/>
          </w:tcPr>
          <w:p w14:paraId="1CC940A2">
            <w:pPr>
              <w:rPr>
                <w:rFonts w:ascii="宋体" w:hAnsi="宋体" w:cs="宋体"/>
                <w:color w:val="auto"/>
                <w:szCs w:val="21"/>
                <w:lang w:eastAsia="zh-CN"/>
              </w:rPr>
            </w:pPr>
            <w:r>
              <w:rPr>
                <w:rFonts w:ascii="宋体" w:hAnsi="宋体" w:cs="宋体"/>
                <w:color w:val="auto"/>
                <w:spacing w:val="-22"/>
                <w:szCs w:val="21"/>
                <w:lang w:eastAsia="zh-CN"/>
              </w:rPr>
              <w:t>注</w:t>
            </w:r>
            <w:r>
              <w:rPr>
                <w:rFonts w:ascii="宋体" w:hAnsi="宋体" w:cs="宋体"/>
                <w:color w:val="auto"/>
                <w:spacing w:val="-21"/>
                <w:szCs w:val="21"/>
                <w:lang w:eastAsia="zh-CN"/>
              </w:rPr>
              <w:t>：</w:t>
            </w:r>
            <w:r>
              <w:rPr>
                <w:rFonts w:ascii="宋体" w:hAnsi="宋体" w:cs="宋体"/>
                <w:color w:val="auto"/>
                <w:spacing w:val="-11"/>
                <w:szCs w:val="21"/>
                <w:lang w:eastAsia="zh-CN"/>
              </w:rPr>
              <w:t>“□” 为勾选项 ，可 √ ；“(   )”  为内容填写项。</w:t>
            </w:r>
          </w:p>
        </w:tc>
      </w:tr>
    </w:tbl>
    <w:p w14:paraId="596343E4">
      <w:pPr>
        <w:pStyle w:val="4"/>
        <w:snapToGrid w:val="0"/>
        <w:spacing w:before="0"/>
        <w:rPr>
          <w:rFonts w:ascii="Times New Roman" w:hAnsi="Times New Roman" w:eastAsia="宋体"/>
          <w:bCs/>
          <w:color w:val="auto"/>
          <w:sz w:val="28"/>
          <w:szCs w:val="28"/>
        </w:rPr>
      </w:pPr>
      <w:bookmarkStart w:id="336" w:name="_Toc15113"/>
      <w:r>
        <w:rPr>
          <w:rFonts w:ascii="Times New Roman" w:hAnsi="Times New Roman" w:eastAsia="宋体"/>
          <w:bCs/>
          <w:color w:val="auto"/>
          <w:sz w:val="28"/>
          <w:szCs w:val="28"/>
        </w:rPr>
        <w:t>5.2.</w:t>
      </w:r>
      <w:bookmarkEnd w:id="334"/>
      <w:bookmarkEnd w:id="335"/>
      <w:r>
        <w:rPr>
          <w:rFonts w:hint="eastAsia" w:ascii="Times New Roman" w:hAnsi="Times New Roman" w:eastAsia="宋体"/>
          <w:bCs/>
          <w:color w:val="auto"/>
          <w:sz w:val="28"/>
          <w:szCs w:val="28"/>
        </w:rPr>
        <w:t>5</w:t>
      </w:r>
      <w:r>
        <w:rPr>
          <w:rFonts w:ascii="Times New Roman" w:hAnsi="Times New Roman" w:eastAsia="宋体"/>
          <w:bCs/>
          <w:color w:val="auto"/>
          <w:sz w:val="28"/>
          <w:szCs w:val="28"/>
        </w:rPr>
        <w:t>运营期固体废物环境影响分析</w:t>
      </w:r>
      <w:bookmarkEnd w:id="336"/>
    </w:p>
    <w:p w14:paraId="45D3145F">
      <w:pPr>
        <w:spacing w:line="360" w:lineRule="auto"/>
        <w:rPr>
          <w:b/>
          <w:bCs/>
          <w:color w:val="auto"/>
          <w:sz w:val="24"/>
        </w:rPr>
      </w:pPr>
      <w:r>
        <w:rPr>
          <w:rFonts w:hint="eastAsia"/>
          <w:b/>
          <w:bCs/>
          <w:color w:val="auto"/>
          <w:sz w:val="24"/>
          <w:lang w:val="en-US" w:eastAsia="zh-CN"/>
        </w:rPr>
        <w:t>5.2.5.1</w:t>
      </w:r>
      <w:r>
        <w:rPr>
          <w:rFonts w:hint="eastAsia"/>
          <w:b/>
          <w:bCs/>
          <w:color w:val="auto"/>
          <w:sz w:val="24"/>
        </w:rPr>
        <w:t>固废处理方式</w:t>
      </w:r>
    </w:p>
    <w:p w14:paraId="0EB9B730">
      <w:pPr>
        <w:spacing w:line="360" w:lineRule="auto"/>
        <w:ind w:firstLine="480" w:firstLineChars="200"/>
        <w:rPr>
          <w:color w:val="auto"/>
          <w:sz w:val="24"/>
        </w:rPr>
      </w:pPr>
      <w:r>
        <w:rPr>
          <w:color w:val="auto"/>
          <w:sz w:val="24"/>
        </w:rPr>
        <w:t>本项目运营期产生的固体废物主要为鸡粪、</w:t>
      </w:r>
      <w:r>
        <w:rPr>
          <w:rFonts w:hint="eastAsia"/>
          <w:color w:val="auto"/>
          <w:sz w:val="24"/>
        </w:rPr>
        <w:t>鸡羽毛、</w:t>
      </w:r>
      <w:r>
        <w:rPr>
          <w:color w:val="auto"/>
          <w:sz w:val="24"/>
        </w:rPr>
        <w:t>饲料残渣、病死鸡、</w:t>
      </w:r>
      <w:r>
        <w:rPr>
          <w:rFonts w:hint="eastAsia"/>
          <w:color w:val="auto"/>
          <w:sz w:val="24"/>
          <w:lang w:eastAsia="zh-CN"/>
        </w:rPr>
        <w:t>锅炉灰渣和除尘灰、</w:t>
      </w:r>
      <w:r>
        <w:rPr>
          <w:color w:val="auto"/>
          <w:sz w:val="24"/>
        </w:rPr>
        <w:t>医疗废物、员工产生的生活垃圾（含餐厨垃圾）</w:t>
      </w:r>
      <w:r>
        <w:rPr>
          <w:rFonts w:hint="eastAsia"/>
          <w:color w:val="auto"/>
          <w:sz w:val="24"/>
        </w:rPr>
        <w:t>、废离子交换树脂</w:t>
      </w:r>
      <w:r>
        <w:rPr>
          <w:color w:val="auto"/>
          <w:sz w:val="24"/>
        </w:rPr>
        <w:t>，这些固体废物如果不进行妥善处理或处置就会对周围环境造成污染和传播疾病。</w:t>
      </w:r>
    </w:p>
    <w:p w14:paraId="42791E6C">
      <w:pPr>
        <w:spacing w:line="360" w:lineRule="auto"/>
        <w:ind w:firstLine="480" w:firstLineChars="200"/>
        <w:rPr>
          <w:color w:val="auto"/>
          <w:sz w:val="24"/>
        </w:rPr>
      </w:pPr>
      <w:r>
        <w:rPr>
          <w:color w:val="auto"/>
          <w:sz w:val="24"/>
        </w:rPr>
        <w:t>养殖过程中产生的鸡粪、</w:t>
      </w:r>
      <w:r>
        <w:rPr>
          <w:rFonts w:hint="eastAsia"/>
          <w:color w:val="auto"/>
          <w:sz w:val="24"/>
        </w:rPr>
        <w:t>鸡羽毛、</w:t>
      </w:r>
      <w:r>
        <w:rPr>
          <w:color w:val="auto"/>
          <w:sz w:val="24"/>
        </w:rPr>
        <w:t>病死鸡、饲料残渣等均属于可降解有机物质，其在自然腐烂过程中会放出大量热，产生令人恶心的臭味，并携带有病毒、病菌的传播，随雨水的淋溶作用渗入地下或污染附近水体。</w:t>
      </w:r>
    </w:p>
    <w:p w14:paraId="337E2068">
      <w:pPr>
        <w:spacing w:line="360" w:lineRule="auto"/>
        <w:ind w:firstLine="480" w:firstLineChars="200"/>
        <w:rPr>
          <w:rFonts w:hint="eastAsia" w:eastAsia="宋体"/>
          <w:color w:val="auto"/>
          <w:sz w:val="24"/>
          <w:lang w:eastAsia="zh-CN"/>
        </w:rPr>
      </w:pPr>
      <w:r>
        <w:rPr>
          <w:color w:val="auto"/>
          <w:sz w:val="24"/>
        </w:rPr>
        <w:t>本项目鸡粪</w:t>
      </w:r>
      <w:r>
        <w:rPr>
          <w:rFonts w:hint="eastAsia"/>
          <w:color w:val="auto"/>
          <w:sz w:val="24"/>
        </w:rPr>
        <w:t>、鸡羽毛</w:t>
      </w:r>
      <w:r>
        <w:rPr>
          <w:color w:val="auto"/>
          <w:sz w:val="24"/>
        </w:rPr>
        <w:t>和饲料残渣除</w:t>
      </w:r>
      <w:r>
        <w:rPr>
          <w:rFonts w:hint="eastAsia"/>
          <w:color w:val="auto"/>
          <w:sz w:val="24"/>
        </w:rPr>
        <w:t>极端天气</w:t>
      </w:r>
      <w:r>
        <w:rPr>
          <w:color w:val="auto"/>
          <w:sz w:val="24"/>
        </w:rPr>
        <w:t>（约50天/年）需暂存</w:t>
      </w:r>
      <w:r>
        <w:rPr>
          <w:rFonts w:hint="eastAsia"/>
          <w:color w:val="auto"/>
          <w:sz w:val="24"/>
          <w:lang w:eastAsia="zh-CN"/>
        </w:rPr>
        <w:t>临时储粪场</w:t>
      </w:r>
      <w:r>
        <w:rPr>
          <w:color w:val="auto"/>
          <w:sz w:val="24"/>
        </w:rPr>
        <w:t>外，均日产日清由清粪车直接拉走外售</w:t>
      </w:r>
      <w:r>
        <w:rPr>
          <w:rFonts w:hint="eastAsia"/>
          <w:color w:val="auto"/>
          <w:sz w:val="24"/>
        </w:rPr>
        <w:t>进行有机肥制造</w:t>
      </w:r>
      <w:r>
        <w:rPr>
          <w:color w:val="auto"/>
          <w:sz w:val="24"/>
        </w:rPr>
        <w:t>；</w:t>
      </w:r>
      <w:r>
        <w:rPr>
          <w:rFonts w:hint="eastAsia"/>
          <w:color w:val="auto"/>
          <w:sz w:val="24"/>
        </w:rPr>
        <w:t>软化水制备会有废离子交换树脂</w:t>
      </w:r>
      <w:r>
        <w:rPr>
          <w:rFonts w:hint="eastAsia"/>
          <w:bCs/>
          <w:color w:val="auto"/>
          <w:sz w:val="24"/>
        </w:rPr>
        <w:t>产生，由厂家进行更换处理</w:t>
      </w:r>
      <w:r>
        <w:rPr>
          <w:rFonts w:hint="eastAsia"/>
          <w:bCs/>
          <w:color w:val="auto"/>
          <w:sz w:val="24"/>
          <w:lang w:eastAsia="zh-CN"/>
        </w:rPr>
        <w:t>。</w:t>
      </w:r>
    </w:p>
    <w:p w14:paraId="5213155E">
      <w:pPr>
        <w:spacing w:line="360" w:lineRule="auto"/>
        <w:ind w:firstLine="480" w:firstLineChars="200"/>
        <w:rPr>
          <w:rFonts w:hint="eastAsia" w:eastAsia="宋体"/>
          <w:color w:val="auto"/>
          <w:sz w:val="24"/>
          <w:lang w:eastAsia="zh-CN" w:bidi="en-US"/>
        </w:rPr>
      </w:pPr>
      <w:r>
        <w:rPr>
          <w:rFonts w:hint="eastAsia"/>
          <w:color w:val="auto"/>
          <w:sz w:val="24"/>
          <w:lang w:eastAsia="zh-CN" w:bidi="en-US"/>
        </w:rPr>
        <w:t>锅炉灰渣和除尘灰</w:t>
      </w:r>
      <w:r>
        <w:rPr>
          <w:rFonts w:hint="eastAsia"/>
          <w:color w:val="auto"/>
          <w:sz w:val="24"/>
          <w:lang w:val="en-US" w:eastAsia="zh-CN" w:bidi="en-US"/>
        </w:rPr>
        <w:t>密封袋暂存于渣库，</w:t>
      </w:r>
      <w:r>
        <w:rPr>
          <w:rFonts w:hint="eastAsia"/>
          <w:color w:val="auto"/>
          <w:sz w:val="24"/>
          <w:lang w:eastAsia="zh-CN"/>
        </w:rPr>
        <w:t>作为有机肥原料</w:t>
      </w:r>
      <w:r>
        <w:rPr>
          <w:color w:val="auto"/>
          <w:sz w:val="24"/>
        </w:rPr>
        <w:t>外</w:t>
      </w:r>
      <w:r>
        <w:rPr>
          <w:rFonts w:hint="eastAsia"/>
          <w:color w:val="auto"/>
          <w:sz w:val="24"/>
        </w:rPr>
        <w:t>售</w:t>
      </w:r>
      <w:r>
        <w:rPr>
          <w:rFonts w:hint="eastAsia"/>
          <w:color w:val="auto"/>
          <w:sz w:val="24"/>
          <w:lang w:eastAsia="zh-CN"/>
        </w:rPr>
        <w:t>至辰泰（辽宁）生物科技有限公司做有机肥</w:t>
      </w:r>
      <w:r>
        <w:rPr>
          <w:rFonts w:hint="eastAsia"/>
          <w:color w:val="auto"/>
          <w:sz w:val="24"/>
          <w:lang w:val="en-US" w:eastAsia="zh-CN" w:bidi="en-US"/>
        </w:rPr>
        <w:t>。</w:t>
      </w:r>
    </w:p>
    <w:p w14:paraId="03EFBE95">
      <w:pPr>
        <w:spacing w:line="360" w:lineRule="auto"/>
        <w:ind w:firstLine="480" w:firstLineChars="200"/>
        <w:rPr>
          <w:color w:val="auto"/>
          <w:sz w:val="24"/>
        </w:rPr>
      </w:pPr>
      <w:r>
        <w:rPr>
          <w:color w:val="auto"/>
          <w:sz w:val="24"/>
          <w:lang w:bidi="en-US"/>
        </w:rPr>
        <w:t>根据《病害动物和病害动物产品生物安全处理规程》（GB16548-2006）规定，对病死鸡尸体宜采用生物安全处理。生物安全处理是通过用焚毁、化制、掩埋或其它物理、化学、生物学方法将病害动物尸体或者病害动物产品或附属物进行处理，以彻底消除其所携带的病原体，以达到消除病害因素，保障人畜健康安全的目的。本项目</w:t>
      </w:r>
      <w:r>
        <w:rPr>
          <w:color w:val="auto"/>
          <w:sz w:val="24"/>
        </w:rPr>
        <w:t>病死鸡</w:t>
      </w:r>
      <w:r>
        <w:rPr>
          <w:rFonts w:hint="eastAsia"/>
          <w:color w:val="auto"/>
          <w:sz w:val="24"/>
          <w:lang w:eastAsia="zh-CN"/>
        </w:rPr>
        <w:t>委托北票市汇宏动物无害化处理有限公司定期处理</w:t>
      </w:r>
      <w:r>
        <w:rPr>
          <w:color w:val="auto"/>
          <w:sz w:val="24"/>
        </w:rPr>
        <w:t>，满足《畜禽养殖业污染治理工程技术规范》（HJ497-2009）、《畜禽养殖业污染防治技术规范》（HJ/T81-2001）相关规定。</w:t>
      </w:r>
    </w:p>
    <w:p w14:paraId="78A1CB9F">
      <w:pPr>
        <w:spacing w:line="360" w:lineRule="auto"/>
        <w:ind w:firstLine="480" w:firstLineChars="200"/>
        <w:rPr>
          <w:rFonts w:hint="eastAsia"/>
          <w:color w:val="auto"/>
          <w:sz w:val="24"/>
          <w:lang w:eastAsia="zh-CN"/>
        </w:rPr>
      </w:pPr>
      <w:r>
        <w:rPr>
          <w:rFonts w:hint="eastAsia"/>
          <w:color w:val="auto"/>
          <w:sz w:val="24"/>
        </w:rPr>
        <w:t>根据《国家危险废物名录（2021年版）》，</w:t>
      </w:r>
      <w:r>
        <w:rPr>
          <w:color w:val="auto"/>
          <w:sz w:val="24"/>
        </w:rPr>
        <w:t>项目医疗废物包括为防治动物传染病而需要收集和处置的医疗废物（危险废物类别HW01，代码</w:t>
      </w:r>
      <w:r>
        <w:rPr>
          <w:rFonts w:hint="eastAsia"/>
          <w:color w:val="auto"/>
          <w:sz w:val="24"/>
        </w:rPr>
        <w:t>841-002-01、841-005-01</w:t>
      </w:r>
      <w:r>
        <w:rPr>
          <w:color w:val="auto"/>
          <w:sz w:val="24"/>
        </w:rPr>
        <w:t>）。</w:t>
      </w:r>
      <w:r>
        <w:rPr>
          <w:rFonts w:hint="eastAsia"/>
          <w:color w:val="auto"/>
          <w:sz w:val="24"/>
          <w:lang w:val="en-US" w:eastAsia="zh-CN"/>
        </w:rPr>
        <w:t>在厂区内医疗废物暂存间</w:t>
      </w:r>
      <w:r>
        <w:rPr>
          <w:rFonts w:hint="eastAsia"/>
          <w:color w:val="auto"/>
          <w:sz w:val="24"/>
        </w:rPr>
        <w:t>暂存</w:t>
      </w:r>
      <w:r>
        <w:rPr>
          <w:rFonts w:hint="eastAsia"/>
          <w:color w:val="auto"/>
          <w:sz w:val="24"/>
          <w:lang w:eastAsia="zh-CN"/>
        </w:rPr>
        <w:t>，委托有资质单位定期收集处理。</w:t>
      </w:r>
    </w:p>
    <w:p w14:paraId="791CD8A9">
      <w:pPr>
        <w:spacing w:line="360" w:lineRule="auto"/>
        <w:ind w:firstLine="480" w:firstLineChars="200"/>
        <w:rPr>
          <w:snapToGrid w:val="0"/>
          <w:color w:val="auto"/>
          <w:kern w:val="0"/>
          <w:sz w:val="24"/>
        </w:rPr>
      </w:pPr>
      <w:r>
        <w:rPr>
          <w:snapToGrid w:val="0"/>
          <w:color w:val="auto"/>
          <w:kern w:val="0"/>
          <w:sz w:val="24"/>
        </w:rPr>
        <w:t>生活垃圾（含餐饮垃圾）</w:t>
      </w:r>
      <w:r>
        <w:rPr>
          <w:color w:val="auto"/>
          <w:sz w:val="24"/>
        </w:rPr>
        <w:t>收集到厂内</w:t>
      </w:r>
      <w:r>
        <w:rPr>
          <w:rFonts w:hint="eastAsia"/>
          <w:color w:val="auto"/>
          <w:sz w:val="24"/>
        </w:rPr>
        <w:t>5</w:t>
      </w:r>
      <w:r>
        <w:rPr>
          <w:color w:val="auto"/>
          <w:sz w:val="24"/>
        </w:rPr>
        <w:t>个垃圾箱内，定期送至附近垃圾点</w:t>
      </w:r>
      <w:r>
        <w:rPr>
          <w:snapToGrid w:val="0"/>
          <w:color w:val="auto"/>
          <w:kern w:val="0"/>
          <w:sz w:val="24"/>
        </w:rPr>
        <w:t>。</w:t>
      </w:r>
    </w:p>
    <w:p w14:paraId="6DB3D35B">
      <w:pPr>
        <w:spacing w:line="360" w:lineRule="auto"/>
        <w:ind w:firstLine="480" w:firstLineChars="200"/>
        <w:rPr>
          <w:color w:val="auto"/>
          <w:sz w:val="24"/>
        </w:rPr>
      </w:pPr>
      <w:r>
        <w:rPr>
          <w:color w:val="auto"/>
          <w:sz w:val="24"/>
        </w:rPr>
        <w:t>本项目固体废物处理处置遵循了环境健康风险预防、安全无害以及固体废物“减量化、资源化及无害化”的原则，将固体废物全部综合利用或安全处置，减少了对周边环境的污染危害，还可以使企业增收节支，实现经济与环境的双赢。本项目固体废物在采取上述措施进行处置后对环境影响不大。</w:t>
      </w:r>
    </w:p>
    <w:p w14:paraId="34C8116D">
      <w:pPr>
        <w:pStyle w:val="276"/>
        <w:ind w:left="0" w:leftChars="0" w:firstLine="0" w:firstLineChars="0"/>
        <w:outlineLvl w:val="9"/>
        <w:rPr>
          <w:b/>
          <w:color w:val="auto"/>
        </w:rPr>
      </w:pPr>
      <w:r>
        <w:rPr>
          <w:rFonts w:hint="eastAsia"/>
          <w:b/>
          <w:color w:val="auto"/>
          <w:lang w:val="en-US" w:eastAsia="zh-CN"/>
        </w:rPr>
        <w:t>5.2.5.2</w:t>
      </w:r>
      <w:r>
        <w:rPr>
          <w:rFonts w:hint="eastAsia"/>
          <w:b/>
          <w:color w:val="auto"/>
          <w:lang w:eastAsia="zh-CN"/>
        </w:rPr>
        <w:t>临时储粪场</w:t>
      </w:r>
      <w:r>
        <w:rPr>
          <w:rFonts w:hint="eastAsia" w:hAnsi="宋体"/>
          <w:b/>
          <w:color w:val="auto"/>
        </w:rPr>
        <w:t>贮存能力分析</w:t>
      </w:r>
    </w:p>
    <w:p w14:paraId="63BBA8C9">
      <w:pPr>
        <w:spacing w:line="360" w:lineRule="auto"/>
        <w:ind w:firstLine="480" w:firstLineChars="200"/>
        <w:jc w:val="left"/>
        <w:rPr>
          <w:rFonts w:hAnsi="宋体"/>
          <w:color w:val="auto"/>
          <w:sz w:val="24"/>
        </w:rPr>
      </w:pPr>
      <w:r>
        <w:rPr>
          <w:rFonts w:hint="eastAsia" w:hAnsi="宋体"/>
          <w:color w:val="auto"/>
          <w:sz w:val="24"/>
        </w:rPr>
        <w:t>根据《排污许可证申请与核发技术规范</w:t>
      </w:r>
      <w:r>
        <w:rPr>
          <w:rFonts w:hint="eastAsia" w:hAnsi="宋体"/>
          <w:color w:val="auto"/>
          <w:sz w:val="24"/>
          <w:lang w:val="en-US" w:eastAsia="zh-CN"/>
        </w:rPr>
        <w:t xml:space="preserve">  </w:t>
      </w:r>
      <w:r>
        <w:rPr>
          <w:rFonts w:hint="eastAsia" w:hAnsi="宋体"/>
          <w:color w:val="auto"/>
          <w:sz w:val="24"/>
        </w:rPr>
        <w:t>畜禽养殖行业》“表9 各类畜禽污染物产生量”中蛋鸡的粪便产生量0.13kg/d·只，本项目年存栏蛋鸡100万只，则本项目鸡粪（含鸡羽毛）产生量为47450t/a</w:t>
      </w:r>
      <w:r>
        <w:rPr>
          <w:rFonts w:hint="eastAsia" w:hAnsi="宋体"/>
          <w:color w:val="auto"/>
          <w:sz w:val="24"/>
          <w:lang w:eastAsia="zh-CN"/>
        </w:rPr>
        <w:t>（湿鸡粪，包含水分在内）</w:t>
      </w:r>
      <w:r>
        <w:rPr>
          <w:rFonts w:hint="eastAsia" w:hAnsi="宋体"/>
          <w:color w:val="auto"/>
          <w:sz w:val="24"/>
        </w:rPr>
        <w:t>。根据《畜禽粪便贮存技术指南》可知，1t粪便约折合0.9m</w:t>
      </w:r>
      <w:r>
        <w:rPr>
          <w:rFonts w:hint="eastAsia" w:hAnsi="宋体"/>
          <w:color w:val="auto"/>
          <w:sz w:val="24"/>
          <w:vertAlign w:val="superscript"/>
        </w:rPr>
        <w:t>3</w:t>
      </w:r>
      <w:r>
        <w:rPr>
          <w:rFonts w:hint="eastAsia" w:hAnsi="宋体"/>
          <w:color w:val="auto"/>
          <w:sz w:val="24"/>
        </w:rPr>
        <w:t>，则本项目粪便折合为42705m</w:t>
      </w:r>
      <w:r>
        <w:rPr>
          <w:rFonts w:hint="eastAsia" w:hAnsi="宋体"/>
          <w:color w:val="auto"/>
          <w:sz w:val="24"/>
          <w:vertAlign w:val="superscript"/>
        </w:rPr>
        <w:t>3</w:t>
      </w:r>
      <w:r>
        <w:rPr>
          <w:rFonts w:hint="eastAsia" w:hAnsi="宋体"/>
          <w:color w:val="auto"/>
          <w:sz w:val="24"/>
        </w:rPr>
        <w:t>/a（117m</w:t>
      </w:r>
      <w:r>
        <w:rPr>
          <w:rFonts w:hint="eastAsia" w:hAnsi="宋体"/>
          <w:color w:val="auto"/>
          <w:sz w:val="24"/>
          <w:vertAlign w:val="superscript"/>
        </w:rPr>
        <w:t>3</w:t>
      </w:r>
      <w:r>
        <w:rPr>
          <w:rFonts w:hint="eastAsia" w:hAnsi="宋体"/>
          <w:color w:val="auto"/>
          <w:sz w:val="24"/>
        </w:rPr>
        <w:t>/d）。</w:t>
      </w:r>
      <w:r>
        <w:rPr>
          <w:rFonts w:hint="eastAsia" w:hAnsi="宋体"/>
          <w:color w:val="auto"/>
          <w:sz w:val="24"/>
          <w:highlight w:val="none"/>
        </w:rPr>
        <w:t>本项目</w:t>
      </w:r>
      <w:r>
        <w:rPr>
          <w:rFonts w:hint="eastAsia" w:hAnsi="宋体"/>
          <w:color w:val="auto"/>
          <w:sz w:val="24"/>
          <w:highlight w:val="none"/>
          <w:lang w:eastAsia="zh-CN"/>
        </w:rPr>
        <w:t>临时储粪场</w:t>
      </w:r>
      <w:r>
        <w:rPr>
          <w:rFonts w:hint="eastAsia" w:hAnsi="宋体"/>
          <w:color w:val="auto"/>
          <w:sz w:val="24"/>
          <w:highlight w:val="none"/>
        </w:rPr>
        <w:t>占地面积</w:t>
      </w:r>
      <w:r>
        <w:rPr>
          <w:rFonts w:hint="eastAsia" w:hAnsi="宋体"/>
          <w:color w:val="auto"/>
          <w:sz w:val="24"/>
          <w:highlight w:val="none"/>
          <w:lang w:val="en-US" w:eastAsia="zh-CN"/>
        </w:rPr>
        <w:t>20</w:t>
      </w:r>
      <w:r>
        <w:rPr>
          <w:rFonts w:hint="eastAsia" w:hAnsi="宋体"/>
          <w:color w:val="auto"/>
          <w:sz w:val="24"/>
          <w:highlight w:val="none"/>
        </w:rPr>
        <w:t>00m</w:t>
      </w:r>
      <w:r>
        <w:rPr>
          <w:rFonts w:hint="eastAsia" w:hAnsi="宋体"/>
          <w:color w:val="auto"/>
          <w:sz w:val="24"/>
          <w:highlight w:val="none"/>
          <w:vertAlign w:val="superscript"/>
        </w:rPr>
        <w:t>2</w:t>
      </w:r>
      <w:r>
        <w:rPr>
          <w:rFonts w:hint="eastAsia" w:hAnsi="宋体"/>
          <w:color w:val="auto"/>
          <w:sz w:val="24"/>
          <w:highlight w:val="none"/>
        </w:rPr>
        <w:t>，</w:t>
      </w:r>
      <w:r>
        <w:rPr>
          <w:rFonts w:hint="eastAsia" w:hAnsi="宋体"/>
          <w:color w:val="auto"/>
          <w:sz w:val="24"/>
          <w:lang w:eastAsia="zh-CN"/>
        </w:rPr>
        <w:t>最大</w:t>
      </w:r>
      <w:r>
        <w:rPr>
          <w:rFonts w:hint="eastAsia" w:hAnsi="宋体"/>
          <w:color w:val="auto"/>
          <w:sz w:val="24"/>
        </w:rPr>
        <w:t>堆存高度按3m计算，则粪便贮存池容积为</w:t>
      </w:r>
      <w:r>
        <w:rPr>
          <w:rFonts w:hint="eastAsia" w:hAnsi="宋体"/>
          <w:color w:val="auto"/>
          <w:sz w:val="24"/>
          <w:lang w:val="en-US" w:eastAsia="zh-CN"/>
        </w:rPr>
        <w:t>6</w:t>
      </w:r>
      <w:r>
        <w:rPr>
          <w:rFonts w:hint="eastAsia" w:hAnsi="宋体"/>
          <w:color w:val="auto"/>
          <w:sz w:val="24"/>
        </w:rPr>
        <w:t>000m</w:t>
      </w:r>
      <w:r>
        <w:rPr>
          <w:rFonts w:hint="eastAsia" w:hAnsi="宋体"/>
          <w:color w:val="auto"/>
          <w:sz w:val="24"/>
          <w:vertAlign w:val="superscript"/>
        </w:rPr>
        <w:t>3</w:t>
      </w:r>
      <w:r>
        <w:rPr>
          <w:rFonts w:hint="eastAsia" w:hAnsi="宋体"/>
          <w:color w:val="auto"/>
          <w:sz w:val="24"/>
        </w:rPr>
        <w:t>，考虑极端气候条件下不能及时清运时，能够暂存约51天的粪便（饲料残渣）产生量，满足极端气候条件下粪便暂存50d的要求，因此粪便贮存池容量满足本项目粪便暂存容量的要求。</w:t>
      </w:r>
    </w:p>
    <w:p w14:paraId="0B6DD423">
      <w:pPr>
        <w:pStyle w:val="276"/>
        <w:ind w:left="0" w:leftChars="0" w:firstLine="0" w:firstLineChars="0"/>
        <w:outlineLvl w:val="9"/>
        <w:rPr>
          <w:b/>
          <w:color w:val="auto"/>
          <w:highlight w:val="none"/>
        </w:rPr>
      </w:pPr>
      <w:r>
        <w:rPr>
          <w:rFonts w:hint="eastAsia"/>
          <w:b/>
          <w:color w:val="auto"/>
          <w:highlight w:val="none"/>
          <w:lang w:val="en-US" w:eastAsia="zh-CN"/>
        </w:rPr>
        <w:t>5.2.5.3</w:t>
      </w:r>
      <w:r>
        <w:rPr>
          <w:rFonts w:hint="eastAsia"/>
          <w:b/>
          <w:color w:val="auto"/>
          <w:highlight w:val="none"/>
        </w:rPr>
        <w:t>固体废物影响分析</w:t>
      </w:r>
    </w:p>
    <w:p w14:paraId="7AC24838">
      <w:pPr>
        <w:pStyle w:val="23"/>
        <w:ind w:firstLine="482" w:firstLineChars="200"/>
        <w:rPr>
          <w:rFonts w:hAnsi="宋体"/>
          <w:b/>
          <w:bCs/>
          <w:color w:val="auto"/>
          <w:sz w:val="24"/>
          <w:highlight w:val="none"/>
        </w:rPr>
      </w:pPr>
      <w:r>
        <w:rPr>
          <w:rFonts w:hint="eastAsia" w:hAnsi="宋体"/>
          <w:b/>
          <w:bCs/>
          <w:color w:val="auto"/>
          <w:sz w:val="24"/>
          <w:highlight w:val="none"/>
          <w:lang w:eastAsia="zh-CN"/>
        </w:rPr>
        <w:t>（</w:t>
      </w:r>
      <w:r>
        <w:rPr>
          <w:rFonts w:hint="eastAsia" w:hAnsi="宋体"/>
          <w:b/>
          <w:bCs/>
          <w:color w:val="auto"/>
          <w:sz w:val="24"/>
          <w:highlight w:val="none"/>
          <w:lang w:val="en-US" w:eastAsia="zh-CN"/>
        </w:rPr>
        <w:t>1</w:t>
      </w:r>
      <w:r>
        <w:rPr>
          <w:rFonts w:hint="eastAsia" w:hAnsi="宋体"/>
          <w:b/>
          <w:bCs/>
          <w:color w:val="auto"/>
          <w:sz w:val="24"/>
          <w:highlight w:val="none"/>
          <w:lang w:eastAsia="zh-CN"/>
        </w:rPr>
        <w:t>）</w:t>
      </w:r>
      <w:r>
        <w:rPr>
          <w:rFonts w:hint="eastAsia" w:hAnsi="宋体"/>
          <w:b/>
          <w:bCs/>
          <w:color w:val="auto"/>
          <w:sz w:val="24"/>
          <w:highlight w:val="none"/>
        </w:rPr>
        <w:t>污染性影响</w:t>
      </w:r>
    </w:p>
    <w:p w14:paraId="78E1CCF2">
      <w:pPr>
        <w:spacing w:line="360" w:lineRule="auto"/>
        <w:ind w:firstLine="480" w:firstLineChars="200"/>
        <w:jc w:val="left"/>
        <w:rPr>
          <w:rFonts w:hAnsi="宋体"/>
          <w:color w:val="auto"/>
          <w:sz w:val="24"/>
          <w:highlight w:val="none"/>
        </w:rPr>
      </w:pPr>
      <w:r>
        <w:rPr>
          <w:rFonts w:hint="eastAsia" w:hAnsi="宋体"/>
          <w:color w:val="auto"/>
          <w:sz w:val="24"/>
          <w:highlight w:val="none"/>
        </w:rPr>
        <w:t>本工程主要是鸡粪便对周围环境的影响分析，具体影响途径如下：</w:t>
      </w:r>
    </w:p>
    <w:p w14:paraId="4E26E7CA">
      <w:pPr>
        <w:spacing w:line="360" w:lineRule="auto"/>
        <w:ind w:firstLine="480" w:firstLineChars="200"/>
        <w:jc w:val="left"/>
        <w:rPr>
          <w:rFonts w:hAnsi="宋体"/>
          <w:color w:val="auto"/>
          <w:sz w:val="24"/>
        </w:rPr>
      </w:pPr>
      <w:r>
        <w:rPr>
          <w:rFonts w:hint="eastAsia" w:hAnsi="宋体"/>
          <w:color w:val="auto"/>
          <w:sz w:val="24"/>
        </w:rPr>
        <w:fldChar w:fldCharType="begin"/>
      </w:r>
      <w:r>
        <w:rPr>
          <w:rFonts w:hint="eastAsia" w:hAnsi="宋体"/>
          <w:color w:val="auto"/>
          <w:sz w:val="24"/>
        </w:rPr>
        <w:instrText xml:space="preserve"> = 1 \* GB3 \* MERGEFORMAT </w:instrText>
      </w:r>
      <w:r>
        <w:rPr>
          <w:rFonts w:hint="eastAsia" w:hAnsi="宋体"/>
          <w:color w:val="auto"/>
          <w:sz w:val="24"/>
        </w:rPr>
        <w:fldChar w:fldCharType="separate"/>
      </w:r>
      <w:r>
        <w:rPr>
          <w:color w:val="auto"/>
        </w:rPr>
        <w:t>①</w:t>
      </w:r>
      <w:r>
        <w:rPr>
          <w:rFonts w:hint="eastAsia" w:hAnsi="宋体"/>
          <w:color w:val="auto"/>
          <w:sz w:val="24"/>
        </w:rPr>
        <w:fldChar w:fldCharType="end"/>
      </w:r>
      <w:r>
        <w:rPr>
          <w:rFonts w:hint="eastAsia" w:hAnsi="宋体"/>
          <w:color w:val="auto"/>
          <w:sz w:val="24"/>
        </w:rPr>
        <w:t>氮磷的污染</w:t>
      </w:r>
    </w:p>
    <w:p w14:paraId="539FE798">
      <w:pPr>
        <w:spacing w:line="360" w:lineRule="auto"/>
        <w:ind w:firstLine="480" w:firstLineChars="200"/>
        <w:jc w:val="left"/>
        <w:rPr>
          <w:rFonts w:hAnsi="宋体"/>
          <w:color w:val="auto"/>
          <w:sz w:val="24"/>
        </w:rPr>
      </w:pPr>
      <w:r>
        <w:rPr>
          <w:rFonts w:hint="eastAsia" w:hAnsi="宋体"/>
          <w:color w:val="auto"/>
          <w:sz w:val="24"/>
        </w:rPr>
        <w:t>鸡粪中含有大量的氮磷化合物，尤其在饲料氨基酸不平衡、可利用养分低的情况下含量会更高。未经处理的粪便中的一部分氮以氨的形式挥发到大气中，增加了大气中氨的含量，氨可转化为氮氧化物，使空气质量下降，严重时导致酸雨，危害环境。</w:t>
      </w:r>
    </w:p>
    <w:p w14:paraId="3B573D84">
      <w:pPr>
        <w:spacing w:line="360" w:lineRule="auto"/>
        <w:ind w:firstLine="480" w:firstLineChars="200"/>
        <w:jc w:val="left"/>
        <w:rPr>
          <w:rFonts w:hAnsi="宋体"/>
          <w:color w:val="auto"/>
          <w:sz w:val="24"/>
        </w:rPr>
      </w:pPr>
      <w:r>
        <w:rPr>
          <w:rFonts w:hint="eastAsia" w:hAnsi="宋体"/>
          <w:color w:val="auto"/>
          <w:sz w:val="24"/>
        </w:rPr>
        <w:t>畜禽粪便中的氮磷流失量大于化肥氮磷流失量是造成农村污染的主要原因之一。若不及时清理，就会通过地表径流，汇入河流、湖泊中，大量的氮、磷流入会导致水体富营养化。</w:t>
      </w:r>
    </w:p>
    <w:p w14:paraId="40F07042">
      <w:pPr>
        <w:spacing w:line="360" w:lineRule="auto"/>
        <w:ind w:firstLine="480" w:firstLineChars="200"/>
        <w:jc w:val="left"/>
        <w:rPr>
          <w:rFonts w:hAnsi="宋体"/>
          <w:color w:val="auto"/>
          <w:sz w:val="24"/>
        </w:rPr>
      </w:pPr>
      <w:r>
        <w:rPr>
          <w:rFonts w:hint="eastAsia" w:hAnsi="宋体"/>
          <w:color w:val="auto"/>
          <w:sz w:val="24"/>
        </w:rPr>
        <w:t>畜禽粪便长期堆放，粪便中所含大量含氮化合物在土壤微生物的作用下，通过氨化、硝化等生物化学反应过程，导致土壤中硝酸盐含量增高，间接影响人体健康。</w:t>
      </w:r>
    </w:p>
    <w:p w14:paraId="5FB4F5B9">
      <w:pPr>
        <w:spacing w:line="360" w:lineRule="auto"/>
        <w:ind w:firstLine="480" w:firstLineChars="200"/>
        <w:jc w:val="left"/>
        <w:rPr>
          <w:rFonts w:hAnsi="宋体"/>
          <w:color w:val="auto"/>
          <w:sz w:val="24"/>
        </w:rPr>
      </w:pPr>
      <w:r>
        <w:rPr>
          <w:rFonts w:hint="eastAsia" w:hAnsi="宋体"/>
          <w:color w:val="auto"/>
          <w:sz w:val="24"/>
        </w:rPr>
        <w:fldChar w:fldCharType="begin"/>
      </w:r>
      <w:r>
        <w:rPr>
          <w:rFonts w:hint="eastAsia" w:hAnsi="宋体"/>
          <w:color w:val="auto"/>
          <w:sz w:val="24"/>
        </w:rPr>
        <w:instrText xml:space="preserve"> = 2 \* GB3 \* MERGEFORMAT </w:instrText>
      </w:r>
      <w:r>
        <w:rPr>
          <w:rFonts w:hint="eastAsia" w:hAnsi="宋体"/>
          <w:color w:val="auto"/>
          <w:sz w:val="24"/>
        </w:rPr>
        <w:fldChar w:fldCharType="separate"/>
      </w:r>
      <w:r>
        <w:rPr>
          <w:color w:val="auto"/>
        </w:rPr>
        <w:t>②</w:t>
      </w:r>
      <w:r>
        <w:rPr>
          <w:rFonts w:hint="eastAsia" w:hAnsi="宋体"/>
          <w:color w:val="auto"/>
          <w:sz w:val="24"/>
        </w:rPr>
        <w:fldChar w:fldCharType="end"/>
      </w:r>
      <w:r>
        <w:rPr>
          <w:rFonts w:hint="eastAsia" w:hAnsi="宋体"/>
          <w:color w:val="auto"/>
          <w:sz w:val="24"/>
        </w:rPr>
        <w:t>有害病原微生物的污染</w:t>
      </w:r>
    </w:p>
    <w:p w14:paraId="2F090472">
      <w:pPr>
        <w:spacing w:line="360" w:lineRule="auto"/>
        <w:ind w:firstLine="480" w:firstLineChars="200"/>
        <w:jc w:val="left"/>
        <w:rPr>
          <w:rFonts w:hAnsi="宋体"/>
          <w:color w:val="auto"/>
          <w:sz w:val="24"/>
        </w:rPr>
      </w:pPr>
      <w:r>
        <w:rPr>
          <w:rFonts w:hint="eastAsia" w:hAnsi="宋体"/>
          <w:color w:val="auto"/>
          <w:sz w:val="24"/>
        </w:rPr>
        <w:t>鸡体内的微生物主要是通过消化道排出体外的，粪便是微生物的主要载体。大量实践表明，由于畜禽粪便的随意堆放，最终会导致畜禽传染病和寄生虫病的蔓延。粪便中的病原微生物在较长时间内可以维持其传染性。据对环境污染严重的规模化养鸡场调查结果表明，场内鸡传染性胃肠炎、支原体的发病率高达50%以上。这不仅对畜禽的生产力水平及生存的条件产生严重影响，还会危害人类健康。</w:t>
      </w:r>
    </w:p>
    <w:p w14:paraId="202F5B36">
      <w:pPr>
        <w:spacing w:line="360" w:lineRule="auto"/>
        <w:ind w:firstLine="480" w:firstLineChars="200"/>
        <w:jc w:val="left"/>
        <w:rPr>
          <w:rFonts w:hAnsi="宋体"/>
          <w:color w:val="auto"/>
          <w:sz w:val="24"/>
        </w:rPr>
      </w:pPr>
      <w:r>
        <w:rPr>
          <w:rFonts w:hint="eastAsia" w:hAnsi="宋体"/>
          <w:color w:val="auto"/>
          <w:sz w:val="24"/>
        </w:rPr>
        <w:t>综上所述，本项目固体废物全部可妥善处置，对环境影响较小。</w:t>
      </w:r>
    </w:p>
    <w:p w14:paraId="411A2391">
      <w:pPr>
        <w:pStyle w:val="23"/>
        <w:ind w:firstLine="482" w:firstLineChars="200"/>
        <w:rPr>
          <w:rFonts w:hAnsi="宋体"/>
          <w:b/>
          <w:bCs/>
          <w:color w:val="auto"/>
          <w:sz w:val="24"/>
        </w:rPr>
      </w:pPr>
      <w:r>
        <w:rPr>
          <w:rFonts w:hint="eastAsia" w:hAnsi="宋体"/>
          <w:b/>
          <w:bCs/>
          <w:color w:val="auto"/>
          <w:sz w:val="24"/>
          <w:lang w:eastAsia="zh-CN"/>
        </w:rPr>
        <w:t>（</w:t>
      </w:r>
      <w:r>
        <w:rPr>
          <w:rFonts w:hint="eastAsia" w:hAnsi="宋体"/>
          <w:b/>
          <w:bCs/>
          <w:color w:val="auto"/>
          <w:sz w:val="24"/>
          <w:lang w:val="en-US" w:eastAsia="zh-CN"/>
        </w:rPr>
        <w:t>2</w:t>
      </w:r>
      <w:r>
        <w:rPr>
          <w:rFonts w:hint="eastAsia" w:hAnsi="宋体"/>
          <w:b/>
          <w:bCs/>
          <w:color w:val="auto"/>
          <w:sz w:val="24"/>
          <w:lang w:eastAsia="zh-CN"/>
        </w:rPr>
        <w:t>）</w:t>
      </w:r>
      <w:r>
        <w:rPr>
          <w:rFonts w:hint="eastAsia" w:hAnsi="宋体"/>
          <w:b/>
          <w:bCs/>
          <w:color w:val="auto"/>
          <w:sz w:val="24"/>
        </w:rPr>
        <w:t>视觉性影响</w:t>
      </w:r>
    </w:p>
    <w:p w14:paraId="1DFFB709">
      <w:pPr>
        <w:spacing w:line="360" w:lineRule="auto"/>
        <w:ind w:firstLine="480" w:firstLineChars="200"/>
        <w:jc w:val="left"/>
        <w:rPr>
          <w:rFonts w:hAnsi="宋体"/>
          <w:color w:val="auto"/>
          <w:sz w:val="24"/>
        </w:rPr>
      </w:pPr>
      <w:r>
        <w:rPr>
          <w:rFonts w:hint="eastAsia" w:hAnsi="宋体"/>
          <w:color w:val="auto"/>
          <w:sz w:val="24"/>
        </w:rPr>
        <w:t>固体废物存放时对人们视觉的影响较大，因表面松散，在存放时让人们产生不快感，这时固体废物对环境会产生特殊的影响。为此，应及时清运妥善处置。</w:t>
      </w:r>
    </w:p>
    <w:p w14:paraId="042392A8">
      <w:pPr>
        <w:pStyle w:val="23"/>
        <w:ind w:firstLine="482" w:firstLineChars="200"/>
        <w:rPr>
          <w:rFonts w:hAnsi="宋体"/>
          <w:b/>
          <w:bCs/>
          <w:color w:val="auto"/>
          <w:sz w:val="24"/>
        </w:rPr>
      </w:pPr>
      <w:r>
        <w:rPr>
          <w:rFonts w:hint="eastAsia" w:hAnsi="宋体"/>
          <w:b/>
          <w:bCs/>
          <w:color w:val="auto"/>
          <w:sz w:val="24"/>
          <w:lang w:eastAsia="zh-CN"/>
        </w:rPr>
        <w:t>（</w:t>
      </w:r>
      <w:r>
        <w:rPr>
          <w:rFonts w:hint="eastAsia" w:hAnsi="宋体"/>
          <w:b/>
          <w:bCs/>
          <w:color w:val="auto"/>
          <w:sz w:val="24"/>
        </w:rPr>
        <w:t>3）对地表水环境影响分析</w:t>
      </w:r>
    </w:p>
    <w:p w14:paraId="744A9005">
      <w:pPr>
        <w:spacing w:line="360" w:lineRule="auto"/>
        <w:ind w:firstLine="480" w:firstLineChars="200"/>
        <w:jc w:val="left"/>
        <w:rPr>
          <w:rFonts w:hAnsi="宋体"/>
          <w:color w:val="auto"/>
          <w:sz w:val="24"/>
        </w:rPr>
      </w:pPr>
      <w:r>
        <w:rPr>
          <w:rFonts w:hint="eastAsia" w:hAnsi="宋体"/>
          <w:color w:val="auto"/>
          <w:sz w:val="24"/>
        </w:rPr>
        <w:t>本项目固体废物全部进行妥善处置，固体废物无外排，因此，本项目固体废物对周围地表水体影响较小。另外，固体废物在贮存过程中也采取了防渗漏措施，对于危险固体废物，按照《危险废物贮存污染控制标准》（GB18597-20</w:t>
      </w:r>
      <w:r>
        <w:rPr>
          <w:rFonts w:hint="eastAsia" w:hAnsi="宋体"/>
          <w:color w:val="auto"/>
          <w:sz w:val="24"/>
          <w:lang w:val="en-US" w:eastAsia="zh-CN"/>
        </w:rPr>
        <w:t>23</w:t>
      </w:r>
      <w:r>
        <w:rPr>
          <w:rFonts w:hint="eastAsia" w:hAnsi="宋体"/>
          <w:color w:val="auto"/>
          <w:sz w:val="24"/>
        </w:rPr>
        <w:t>）的要求采用专门的容器进行收集贮存，对于生活垃圾及时外运，减少在厂内的堆放时间，因此，本项目固体废物也不会有渗滤液外排，不会影响厂区环境。</w:t>
      </w:r>
    </w:p>
    <w:p w14:paraId="0583C83A">
      <w:pPr>
        <w:pStyle w:val="23"/>
        <w:ind w:firstLine="482" w:firstLineChars="200"/>
        <w:rPr>
          <w:rFonts w:hAnsi="宋体"/>
          <w:b/>
          <w:bCs/>
          <w:color w:val="auto"/>
          <w:sz w:val="24"/>
        </w:rPr>
      </w:pPr>
      <w:r>
        <w:rPr>
          <w:rFonts w:hint="eastAsia" w:hAnsi="宋体"/>
          <w:b/>
          <w:bCs/>
          <w:color w:val="auto"/>
          <w:sz w:val="24"/>
          <w:lang w:eastAsia="zh-CN"/>
        </w:rPr>
        <w:t>（</w:t>
      </w:r>
      <w:r>
        <w:rPr>
          <w:rFonts w:hint="eastAsia" w:hAnsi="宋体"/>
          <w:b/>
          <w:bCs/>
          <w:color w:val="auto"/>
          <w:sz w:val="24"/>
        </w:rPr>
        <w:t>4）对环境空气的影响分析</w:t>
      </w:r>
    </w:p>
    <w:p w14:paraId="19F49BBD">
      <w:pPr>
        <w:spacing w:line="360" w:lineRule="auto"/>
        <w:ind w:firstLine="480" w:firstLineChars="200"/>
        <w:jc w:val="left"/>
        <w:rPr>
          <w:rFonts w:hAnsi="宋体"/>
          <w:color w:val="auto"/>
          <w:sz w:val="24"/>
        </w:rPr>
      </w:pPr>
      <w:r>
        <w:rPr>
          <w:rFonts w:hint="eastAsia" w:hAnsi="宋体"/>
          <w:color w:val="auto"/>
          <w:sz w:val="24"/>
        </w:rPr>
        <w:t>本项目固体废物全部安全处置，对空气的影响较小；另外，本项目在储存和运输固体废物过程中要使用专用容器、密闭罐车等，这样就不会产生大风扬尘，而且，尽量减少固体废物在厂内的堆存时间。因此，本项目固体废物对环境空气质量影响较小。</w:t>
      </w:r>
    </w:p>
    <w:p w14:paraId="49BA265D">
      <w:pPr>
        <w:pStyle w:val="23"/>
        <w:ind w:firstLine="482" w:firstLineChars="200"/>
        <w:rPr>
          <w:rFonts w:hAnsi="宋体"/>
          <w:b/>
          <w:bCs/>
          <w:color w:val="auto"/>
          <w:sz w:val="24"/>
        </w:rPr>
      </w:pPr>
      <w:r>
        <w:rPr>
          <w:rFonts w:hint="eastAsia" w:hAnsi="宋体"/>
          <w:b/>
          <w:bCs/>
          <w:color w:val="auto"/>
          <w:sz w:val="24"/>
          <w:lang w:eastAsia="zh-CN"/>
        </w:rPr>
        <w:t>（</w:t>
      </w:r>
      <w:r>
        <w:rPr>
          <w:rFonts w:hint="eastAsia" w:hAnsi="宋体"/>
          <w:b/>
          <w:bCs/>
          <w:color w:val="auto"/>
          <w:sz w:val="24"/>
        </w:rPr>
        <w:t>5）对地下水环境的影响分析</w:t>
      </w:r>
    </w:p>
    <w:p w14:paraId="4902B6D7">
      <w:pPr>
        <w:spacing w:line="360" w:lineRule="auto"/>
        <w:ind w:firstLine="480" w:firstLineChars="200"/>
        <w:jc w:val="left"/>
        <w:rPr>
          <w:rFonts w:hAnsi="宋体"/>
          <w:color w:val="auto"/>
          <w:sz w:val="24"/>
        </w:rPr>
      </w:pPr>
      <w:r>
        <w:rPr>
          <w:rFonts w:hint="eastAsia" w:hAnsi="宋体"/>
          <w:color w:val="auto"/>
          <w:sz w:val="24"/>
        </w:rPr>
        <w:t>本项目固体废物堆放场所尤其是</w:t>
      </w:r>
      <w:r>
        <w:rPr>
          <w:rFonts w:hint="eastAsia" w:hAnsi="宋体"/>
          <w:color w:val="auto"/>
          <w:sz w:val="24"/>
          <w:lang w:eastAsia="zh-CN"/>
        </w:rPr>
        <w:t>临时储粪场、废水收集池、污水收集管道</w:t>
      </w:r>
      <w:r>
        <w:rPr>
          <w:rFonts w:hint="eastAsia" w:hAnsi="宋体"/>
          <w:color w:val="auto"/>
          <w:sz w:val="24"/>
        </w:rPr>
        <w:t>，按照不同分区要求采取不同等级的防渗措施，并确保其可靠性和有效性。其中，一般</w:t>
      </w:r>
      <w:r>
        <w:rPr>
          <w:rFonts w:hint="eastAsia" w:hAnsi="宋体"/>
          <w:color w:val="auto"/>
          <w:sz w:val="24"/>
          <w:lang w:eastAsia="zh-CN"/>
        </w:rPr>
        <w:t>防渗区</w:t>
      </w:r>
      <w:r>
        <w:rPr>
          <w:rFonts w:hint="eastAsia" w:hAnsi="宋体"/>
          <w:color w:val="auto"/>
          <w:sz w:val="24"/>
        </w:rPr>
        <w:t>的防渗设计满足《</w:t>
      </w:r>
      <w:r>
        <w:rPr>
          <w:rFonts w:hint="eastAsia" w:hAnsi="宋体"/>
          <w:color w:val="auto"/>
          <w:sz w:val="24"/>
          <w:lang w:eastAsia="zh-CN"/>
        </w:rPr>
        <w:t>环境影响评价技术导则</w:t>
      </w:r>
      <w:r>
        <w:rPr>
          <w:rFonts w:hint="eastAsia" w:hAnsi="宋体"/>
          <w:color w:val="auto"/>
          <w:sz w:val="24"/>
          <w:lang w:val="en-US" w:eastAsia="zh-CN"/>
        </w:rPr>
        <w:t xml:space="preserve">  地下水环境</w:t>
      </w:r>
      <w:r>
        <w:rPr>
          <w:rFonts w:hint="eastAsia" w:hAnsi="宋体"/>
          <w:color w:val="auto"/>
          <w:sz w:val="24"/>
        </w:rPr>
        <w:t>》（</w:t>
      </w:r>
      <w:r>
        <w:rPr>
          <w:rFonts w:hint="eastAsia" w:hAnsi="宋体"/>
          <w:color w:val="auto"/>
          <w:sz w:val="24"/>
          <w:lang w:val="en-US" w:eastAsia="zh-CN"/>
        </w:rPr>
        <w:t>HJ610-2016</w:t>
      </w:r>
      <w:r>
        <w:rPr>
          <w:rFonts w:hint="eastAsia" w:hAnsi="宋体"/>
          <w:color w:val="auto"/>
          <w:sz w:val="24"/>
        </w:rPr>
        <w:t>）</w:t>
      </w:r>
      <w:r>
        <w:rPr>
          <w:rFonts w:hint="eastAsia" w:hAnsi="宋体"/>
          <w:color w:val="auto"/>
          <w:sz w:val="24"/>
          <w:lang w:eastAsia="zh-CN"/>
        </w:rPr>
        <w:t>中“表</w:t>
      </w:r>
      <w:r>
        <w:rPr>
          <w:rFonts w:hint="eastAsia" w:hAnsi="宋体"/>
          <w:color w:val="auto"/>
          <w:sz w:val="24"/>
          <w:lang w:val="en-US" w:eastAsia="zh-CN"/>
        </w:rPr>
        <w:t>7 地下水污染防渗分区参照表</w:t>
      </w:r>
      <w:r>
        <w:rPr>
          <w:rFonts w:hint="eastAsia" w:hAnsi="宋体"/>
          <w:color w:val="auto"/>
          <w:sz w:val="24"/>
          <w:lang w:eastAsia="zh-CN"/>
        </w:rPr>
        <w:t>”</w:t>
      </w:r>
      <w:r>
        <w:rPr>
          <w:rFonts w:hint="eastAsia" w:hAnsi="宋体"/>
          <w:color w:val="auto"/>
          <w:sz w:val="24"/>
        </w:rPr>
        <w:t>要求。</w:t>
      </w:r>
    </w:p>
    <w:p w14:paraId="268DA5C8">
      <w:pPr>
        <w:pStyle w:val="23"/>
        <w:ind w:firstLine="482" w:firstLineChars="200"/>
        <w:rPr>
          <w:rFonts w:hAnsi="宋体"/>
          <w:b/>
          <w:bCs/>
          <w:color w:val="auto"/>
          <w:sz w:val="24"/>
        </w:rPr>
      </w:pPr>
      <w:r>
        <w:rPr>
          <w:rFonts w:hint="eastAsia" w:hAnsi="宋体"/>
          <w:b/>
          <w:bCs/>
          <w:color w:val="auto"/>
          <w:sz w:val="24"/>
          <w:lang w:eastAsia="zh-CN"/>
        </w:rPr>
        <w:t>（</w:t>
      </w:r>
      <w:r>
        <w:rPr>
          <w:rFonts w:hint="eastAsia" w:hAnsi="宋体"/>
          <w:b/>
          <w:bCs/>
          <w:color w:val="auto"/>
          <w:sz w:val="24"/>
        </w:rPr>
        <w:t>6）固体废物运输过程的环境影响分析</w:t>
      </w:r>
    </w:p>
    <w:p w14:paraId="11463A0A">
      <w:pPr>
        <w:spacing w:line="360" w:lineRule="auto"/>
        <w:ind w:firstLine="480" w:firstLineChars="200"/>
        <w:jc w:val="left"/>
        <w:rPr>
          <w:rFonts w:hAnsi="宋体"/>
          <w:color w:val="auto"/>
          <w:sz w:val="24"/>
        </w:rPr>
      </w:pPr>
      <w:r>
        <w:rPr>
          <w:rFonts w:hint="eastAsia" w:hAnsi="宋体"/>
          <w:color w:val="auto"/>
          <w:sz w:val="24"/>
        </w:rPr>
        <w:t>按照中华人民共和国国务院令第344号《危险化学品安全管理条例》的有关规定，在危险废弃物外运至处置单位时做到以下要求：</w:t>
      </w:r>
    </w:p>
    <w:p w14:paraId="5D6CF82B">
      <w:pPr>
        <w:spacing w:line="360" w:lineRule="auto"/>
        <w:ind w:firstLine="480" w:firstLineChars="200"/>
        <w:jc w:val="left"/>
        <w:rPr>
          <w:rFonts w:hAnsi="宋体"/>
          <w:color w:val="auto"/>
          <w:sz w:val="24"/>
          <w:szCs w:val="24"/>
        </w:rPr>
      </w:pPr>
      <w:r>
        <w:rPr>
          <w:rFonts w:hint="eastAsia" w:hAnsi="宋体"/>
          <w:color w:val="auto"/>
          <w:sz w:val="24"/>
          <w:szCs w:val="24"/>
        </w:rPr>
        <w:fldChar w:fldCharType="begin"/>
      </w:r>
      <w:r>
        <w:rPr>
          <w:rFonts w:hint="eastAsia" w:hAnsi="宋体"/>
          <w:color w:val="auto"/>
          <w:sz w:val="24"/>
          <w:szCs w:val="24"/>
        </w:rPr>
        <w:instrText xml:space="preserve"> = 1 \* GB3 \* MERGEFORMAT </w:instrText>
      </w:r>
      <w:r>
        <w:rPr>
          <w:rFonts w:hint="eastAsia" w:hAnsi="宋体"/>
          <w:color w:val="auto"/>
          <w:sz w:val="24"/>
          <w:szCs w:val="24"/>
        </w:rPr>
        <w:fldChar w:fldCharType="separate"/>
      </w:r>
      <w:r>
        <w:rPr>
          <w:color w:val="auto"/>
          <w:sz w:val="24"/>
          <w:szCs w:val="24"/>
        </w:rPr>
        <w:t>①</w:t>
      </w:r>
      <w:r>
        <w:rPr>
          <w:rFonts w:hint="eastAsia" w:hAnsi="宋体"/>
          <w:color w:val="auto"/>
          <w:sz w:val="24"/>
          <w:szCs w:val="24"/>
        </w:rPr>
        <w:fldChar w:fldCharType="end"/>
      </w:r>
      <w:r>
        <w:rPr>
          <w:rFonts w:hint="eastAsia" w:hAnsi="宋体"/>
          <w:color w:val="auto"/>
          <w:sz w:val="24"/>
          <w:szCs w:val="24"/>
        </w:rPr>
        <w:t>建立运输登记制。每次外运处置废弃物进行运输登记，认真填写</w:t>
      </w:r>
      <w:r>
        <w:rPr>
          <w:rFonts w:hint="eastAsia" w:hAnsi="宋体"/>
          <w:color w:val="auto"/>
          <w:sz w:val="24"/>
          <w:szCs w:val="24"/>
          <w:lang w:val="en-US" w:eastAsia="zh-CN"/>
        </w:rPr>
        <w:t>医疗废物</w:t>
      </w:r>
      <w:r>
        <w:rPr>
          <w:rFonts w:hint="eastAsia" w:hAnsi="宋体"/>
          <w:color w:val="auto"/>
          <w:sz w:val="24"/>
          <w:szCs w:val="24"/>
        </w:rPr>
        <w:t>转移联单（每种废物填写一份联单），并加盖公司公章，经运输单位核实验收签字后，将联单第一联副联自留存档，将联单第二联交移当地环境保护行政主管部门，第三联及其余各联交付运输单位，随</w:t>
      </w:r>
      <w:r>
        <w:rPr>
          <w:rFonts w:hint="eastAsia" w:hAnsi="宋体"/>
          <w:color w:val="auto"/>
          <w:sz w:val="24"/>
          <w:szCs w:val="24"/>
          <w:lang w:val="en-US" w:eastAsia="zh-CN"/>
        </w:rPr>
        <w:t>医疗废物</w:t>
      </w:r>
      <w:r>
        <w:rPr>
          <w:rFonts w:hint="eastAsia" w:hAnsi="宋体"/>
          <w:color w:val="auto"/>
          <w:sz w:val="24"/>
          <w:szCs w:val="24"/>
        </w:rPr>
        <w:t>转移运行。</w:t>
      </w:r>
    </w:p>
    <w:p w14:paraId="0C0BE431">
      <w:pPr>
        <w:spacing w:line="360" w:lineRule="auto"/>
        <w:ind w:firstLine="480" w:firstLineChars="200"/>
        <w:jc w:val="left"/>
        <w:rPr>
          <w:rFonts w:hAnsi="宋体"/>
          <w:color w:val="auto"/>
          <w:sz w:val="24"/>
          <w:szCs w:val="24"/>
        </w:rPr>
      </w:pPr>
      <w:r>
        <w:rPr>
          <w:rFonts w:hint="eastAsia" w:hAnsi="宋体"/>
          <w:color w:val="auto"/>
          <w:sz w:val="24"/>
          <w:szCs w:val="24"/>
        </w:rPr>
        <w:fldChar w:fldCharType="begin"/>
      </w:r>
      <w:r>
        <w:rPr>
          <w:rFonts w:hint="eastAsia" w:hAnsi="宋体"/>
          <w:color w:val="auto"/>
          <w:sz w:val="24"/>
          <w:szCs w:val="24"/>
        </w:rPr>
        <w:instrText xml:space="preserve"> = 2 \* GB3 \* MERGEFORMAT </w:instrText>
      </w:r>
      <w:r>
        <w:rPr>
          <w:rFonts w:hint="eastAsia" w:hAnsi="宋体"/>
          <w:color w:val="auto"/>
          <w:sz w:val="24"/>
          <w:szCs w:val="24"/>
        </w:rPr>
        <w:fldChar w:fldCharType="separate"/>
      </w:r>
      <w:r>
        <w:rPr>
          <w:color w:val="auto"/>
          <w:sz w:val="24"/>
          <w:szCs w:val="24"/>
        </w:rPr>
        <w:t>②</w:t>
      </w:r>
      <w:r>
        <w:rPr>
          <w:rFonts w:hint="eastAsia" w:hAnsi="宋体"/>
          <w:color w:val="auto"/>
          <w:sz w:val="24"/>
          <w:szCs w:val="24"/>
        </w:rPr>
        <w:fldChar w:fldCharType="end"/>
      </w:r>
      <w:r>
        <w:rPr>
          <w:rFonts w:hint="eastAsia" w:hAnsi="宋体"/>
          <w:color w:val="auto"/>
          <w:sz w:val="24"/>
          <w:szCs w:val="24"/>
        </w:rPr>
        <w:t>使用专业人员。废弃物处置单位的运输人员具备了危险化学品运输的安全知识，了解所运载的危险化学品的性质、危害特性、包装容器的使用特性和发生意外时的应急措施。运输车辆具有危险货物运输许可证。驾驶人员取得驾驶执照。</w:t>
      </w:r>
    </w:p>
    <w:p w14:paraId="40891F43">
      <w:pPr>
        <w:spacing w:line="360" w:lineRule="auto"/>
        <w:ind w:firstLine="480" w:firstLineChars="200"/>
        <w:jc w:val="left"/>
        <w:rPr>
          <w:rFonts w:hAnsi="宋体"/>
          <w:color w:val="auto"/>
          <w:sz w:val="24"/>
          <w:szCs w:val="24"/>
        </w:rPr>
      </w:pPr>
      <w:r>
        <w:rPr>
          <w:rFonts w:hint="eastAsia" w:hAnsi="宋体"/>
          <w:color w:val="auto"/>
          <w:sz w:val="24"/>
          <w:szCs w:val="24"/>
        </w:rPr>
        <w:fldChar w:fldCharType="begin"/>
      </w:r>
      <w:r>
        <w:rPr>
          <w:rFonts w:hint="eastAsia" w:hAnsi="宋体"/>
          <w:color w:val="auto"/>
          <w:sz w:val="24"/>
          <w:szCs w:val="24"/>
        </w:rPr>
        <w:instrText xml:space="preserve"> = 3 \* GB3 \* MERGEFORMAT </w:instrText>
      </w:r>
      <w:r>
        <w:rPr>
          <w:rFonts w:hint="eastAsia" w:hAnsi="宋体"/>
          <w:color w:val="auto"/>
          <w:sz w:val="24"/>
          <w:szCs w:val="24"/>
        </w:rPr>
        <w:fldChar w:fldCharType="separate"/>
      </w:r>
      <w:r>
        <w:rPr>
          <w:color w:val="auto"/>
          <w:sz w:val="24"/>
          <w:szCs w:val="24"/>
        </w:rPr>
        <w:t>③</w:t>
      </w:r>
      <w:r>
        <w:rPr>
          <w:rFonts w:hint="eastAsia" w:hAnsi="宋体"/>
          <w:color w:val="auto"/>
          <w:sz w:val="24"/>
          <w:szCs w:val="24"/>
        </w:rPr>
        <w:fldChar w:fldCharType="end"/>
      </w:r>
      <w:r>
        <w:rPr>
          <w:rFonts w:hint="eastAsia" w:hAnsi="宋体"/>
          <w:color w:val="auto"/>
          <w:sz w:val="24"/>
          <w:szCs w:val="24"/>
        </w:rPr>
        <w:t>配备押运人员。处置单位在运输危险废弃物时配备押运人员，并随时处于押运人员的监管之下，不超装、超载，严格按照所在城市规定的行车时间和行车路线行驶，不进入危险化学品运输车辆禁止通行的区域，严禁在雨天进行危废的运输和转运工作。</w:t>
      </w:r>
    </w:p>
    <w:p w14:paraId="60B37537">
      <w:pPr>
        <w:spacing w:line="360" w:lineRule="auto"/>
        <w:ind w:firstLine="480" w:firstLineChars="200"/>
        <w:jc w:val="left"/>
        <w:rPr>
          <w:rFonts w:hAnsi="宋体"/>
          <w:color w:val="auto"/>
          <w:sz w:val="24"/>
          <w:szCs w:val="24"/>
        </w:rPr>
      </w:pPr>
      <w:r>
        <w:rPr>
          <w:rFonts w:hint="eastAsia" w:hAnsi="宋体"/>
          <w:color w:val="auto"/>
          <w:sz w:val="24"/>
          <w:szCs w:val="24"/>
        </w:rPr>
        <w:fldChar w:fldCharType="begin"/>
      </w:r>
      <w:r>
        <w:rPr>
          <w:rFonts w:hint="eastAsia" w:hAnsi="宋体"/>
          <w:color w:val="auto"/>
          <w:sz w:val="24"/>
          <w:szCs w:val="24"/>
        </w:rPr>
        <w:instrText xml:space="preserve"> = 4 \* GB3 \* MERGEFORMAT </w:instrText>
      </w:r>
      <w:r>
        <w:rPr>
          <w:rFonts w:hint="eastAsia" w:hAnsi="宋体"/>
          <w:color w:val="auto"/>
          <w:sz w:val="24"/>
          <w:szCs w:val="24"/>
        </w:rPr>
        <w:fldChar w:fldCharType="separate"/>
      </w:r>
      <w:r>
        <w:rPr>
          <w:color w:val="auto"/>
          <w:sz w:val="24"/>
          <w:szCs w:val="24"/>
        </w:rPr>
        <w:t>④</w:t>
      </w:r>
      <w:r>
        <w:rPr>
          <w:rFonts w:hint="eastAsia" w:hAnsi="宋体"/>
          <w:color w:val="auto"/>
          <w:sz w:val="24"/>
          <w:szCs w:val="24"/>
        </w:rPr>
        <w:fldChar w:fldCharType="end"/>
      </w:r>
      <w:r>
        <w:rPr>
          <w:rFonts w:hint="eastAsia" w:hAnsi="宋体"/>
          <w:color w:val="auto"/>
          <w:sz w:val="24"/>
          <w:szCs w:val="24"/>
        </w:rPr>
        <w:t>对装</w:t>
      </w:r>
      <w:r>
        <w:rPr>
          <w:rFonts w:hint="eastAsia" w:hAnsi="宋体"/>
          <w:color w:val="auto"/>
          <w:sz w:val="24"/>
          <w:szCs w:val="24"/>
          <w:lang w:val="en-US" w:eastAsia="zh-CN"/>
        </w:rPr>
        <w:t>医疗</w:t>
      </w:r>
      <w:r>
        <w:rPr>
          <w:rFonts w:hint="eastAsia" w:hAnsi="宋体"/>
          <w:color w:val="auto"/>
          <w:sz w:val="24"/>
          <w:szCs w:val="24"/>
        </w:rPr>
        <w:t>废物的容器和包装物以及收集、储存、运输、处置</w:t>
      </w:r>
      <w:r>
        <w:rPr>
          <w:rFonts w:hint="eastAsia" w:hAnsi="宋体"/>
          <w:color w:val="auto"/>
          <w:sz w:val="24"/>
          <w:szCs w:val="24"/>
          <w:lang w:val="en-US" w:eastAsia="zh-CN"/>
        </w:rPr>
        <w:t>医疗</w:t>
      </w:r>
      <w:r>
        <w:rPr>
          <w:rFonts w:hint="eastAsia" w:hAnsi="宋体"/>
          <w:color w:val="auto"/>
          <w:sz w:val="24"/>
          <w:szCs w:val="24"/>
        </w:rPr>
        <w:t>废物的设施、场所必须设置</w:t>
      </w:r>
      <w:r>
        <w:rPr>
          <w:rFonts w:hint="eastAsia" w:hAnsi="宋体"/>
          <w:color w:val="auto"/>
          <w:sz w:val="24"/>
          <w:szCs w:val="24"/>
          <w:lang w:val="en-US" w:eastAsia="zh-CN"/>
        </w:rPr>
        <w:t>医疗</w:t>
      </w:r>
      <w:r>
        <w:rPr>
          <w:rFonts w:hint="eastAsia" w:hAnsi="宋体"/>
          <w:color w:val="auto"/>
          <w:sz w:val="24"/>
          <w:szCs w:val="24"/>
        </w:rPr>
        <w:t>废物识别标志，并且</w:t>
      </w:r>
      <w:r>
        <w:rPr>
          <w:rFonts w:hint="eastAsia" w:hAnsi="宋体"/>
          <w:color w:val="auto"/>
          <w:sz w:val="24"/>
          <w:szCs w:val="24"/>
          <w:lang w:val="en-US" w:eastAsia="zh-CN"/>
        </w:rPr>
        <w:t>医疗</w:t>
      </w:r>
      <w:r>
        <w:rPr>
          <w:rFonts w:hint="eastAsia" w:hAnsi="宋体"/>
          <w:color w:val="auto"/>
          <w:sz w:val="24"/>
          <w:szCs w:val="24"/>
        </w:rPr>
        <w:t>废物的储存地应远离生产区，注意通风、防火以免引起火灾，运输过程中必须采取密闭运输等防止污染环境的措施，遵守国家有关危险货物运输管理的规定。</w:t>
      </w:r>
    </w:p>
    <w:p w14:paraId="26246B47">
      <w:pPr>
        <w:spacing w:line="360" w:lineRule="auto"/>
        <w:ind w:firstLine="480" w:firstLineChars="200"/>
        <w:jc w:val="left"/>
        <w:rPr>
          <w:rFonts w:hAnsi="宋体"/>
          <w:color w:val="auto"/>
          <w:sz w:val="24"/>
        </w:rPr>
      </w:pPr>
      <w:r>
        <w:rPr>
          <w:rFonts w:hint="eastAsia" w:hAnsi="宋体"/>
          <w:color w:val="auto"/>
          <w:sz w:val="24"/>
          <w:szCs w:val="24"/>
        </w:rPr>
        <w:fldChar w:fldCharType="begin"/>
      </w:r>
      <w:r>
        <w:rPr>
          <w:rFonts w:hint="eastAsia" w:hAnsi="宋体"/>
          <w:color w:val="auto"/>
          <w:sz w:val="24"/>
          <w:szCs w:val="24"/>
        </w:rPr>
        <w:instrText xml:space="preserve"> = 5 \* GB3 \* MERGEFORMAT </w:instrText>
      </w:r>
      <w:r>
        <w:rPr>
          <w:rFonts w:hint="eastAsia" w:hAnsi="宋体"/>
          <w:color w:val="auto"/>
          <w:sz w:val="24"/>
          <w:szCs w:val="24"/>
        </w:rPr>
        <w:fldChar w:fldCharType="separate"/>
      </w:r>
      <w:r>
        <w:rPr>
          <w:color w:val="auto"/>
          <w:sz w:val="24"/>
          <w:szCs w:val="24"/>
        </w:rPr>
        <w:t>⑤</w:t>
      </w:r>
      <w:r>
        <w:rPr>
          <w:rFonts w:hint="eastAsia" w:hAnsi="宋体"/>
          <w:color w:val="auto"/>
          <w:sz w:val="24"/>
          <w:szCs w:val="24"/>
        </w:rPr>
        <w:fldChar w:fldCharType="end"/>
      </w:r>
      <w:r>
        <w:rPr>
          <w:rFonts w:hint="eastAsia" w:hAnsi="宋体"/>
          <w:color w:val="auto"/>
          <w:sz w:val="24"/>
          <w:szCs w:val="24"/>
        </w:rPr>
        <w:t>建立应急机制。危险废弃物在运输途中若发生被盗、丢失、流散、泄漏等情况时，由公司及押运</w:t>
      </w:r>
      <w:r>
        <w:rPr>
          <w:rFonts w:hint="eastAsia" w:hAnsi="宋体"/>
          <w:color w:val="auto"/>
          <w:sz w:val="24"/>
        </w:rPr>
        <w:t>人员立即向当地公安部门报告，并采取一切可能的警示措施；一旦发生废弃物泄漏事故，公司和废弃物处置单位积极协助有关部门采取必要的安全措施，减少事故损失，防止事故蔓延、扩大；针对事故对人体、动植物、土壤、水源、空气造成的现实危害和潜在危害，迅速采取封闭、隔离等措施，并对事故造成的危害进行监测、处置，直至符合国家环境保护标准。</w:t>
      </w:r>
    </w:p>
    <w:p w14:paraId="3101F80B">
      <w:pPr>
        <w:spacing w:line="360" w:lineRule="auto"/>
        <w:ind w:firstLine="480" w:firstLineChars="200"/>
        <w:jc w:val="left"/>
        <w:rPr>
          <w:rFonts w:hAnsi="宋体"/>
          <w:color w:val="auto"/>
          <w:sz w:val="24"/>
        </w:rPr>
      </w:pPr>
      <w:r>
        <w:rPr>
          <w:rFonts w:hint="eastAsia" w:hAnsi="宋体"/>
          <w:color w:val="auto"/>
          <w:sz w:val="24"/>
        </w:rPr>
        <w:t>本项目一般固体废物在运输过程中为减轻对运输路途中的环境影响以及避免运输过程中造成二次污染，应做到以下几点：</w:t>
      </w:r>
    </w:p>
    <w:p w14:paraId="47C5BCCD">
      <w:pPr>
        <w:spacing w:line="360" w:lineRule="auto"/>
        <w:ind w:firstLine="480" w:firstLineChars="200"/>
        <w:jc w:val="left"/>
        <w:rPr>
          <w:rFonts w:hAnsi="宋体"/>
          <w:color w:val="auto"/>
          <w:sz w:val="24"/>
        </w:rPr>
      </w:pPr>
      <w:r>
        <w:rPr>
          <w:rFonts w:hint="eastAsia" w:hAnsi="宋体"/>
          <w:color w:val="auto"/>
          <w:sz w:val="24"/>
          <w:lang w:val="en-US" w:eastAsia="zh-CN"/>
        </w:rPr>
        <w:t>A.</w:t>
      </w:r>
      <w:r>
        <w:rPr>
          <w:rFonts w:hint="eastAsia" w:hAnsi="宋体"/>
          <w:color w:val="auto"/>
          <w:sz w:val="24"/>
        </w:rPr>
        <w:t>在固体运输车辆底部加装防漏衬垫，避免渗滤水渗出造成二次污染。鸡粪运输均采用密闭车辆，即可避免影响城市景观，又可避免遗洒。</w:t>
      </w:r>
    </w:p>
    <w:p w14:paraId="03359F3A">
      <w:pPr>
        <w:spacing w:line="360" w:lineRule="auto"/>
        <w:ind w:firstLine="480" w:firstLineChars="200"/>
        <w:jc w:val="left"/>
        <w:rPr>
          <w:rFonts w:hAnsi="宋体"/>
          <w:color w:val="auto"/>
          <w:sz w:val="24"/>
        </w:rPr>
      </w:pPr>
      <w:r>
        <w:rPr>
          <w:rFonts w:hint="eastAsia" w:hAnsi="宋体"/>
          <w:color w:val="auto"/>
          <w:sz w:val="24"/>
          <w:lang w:val="en-US" w:eastAsia="zh-CN"/>
        </w:rPr>
        <w:t>B.</w:t>
      </w:r>
      <w:r>
        <w:rPr>
          <w:rFonts w:hint="eastAsia" w:hAnsi="宋体"/>
          <w:color w:val="auto"/>
          <w:sz w:val="24"/>
        </w:rPr>
        <w:t>生活垃圾、鸡粪选择合理的运输路线。</w:t>
      </w:r>
    </w:p>
    <w:p w14:paraId="737D7A23">
      <w:pPr>
        <w:pStyle w:val="23"/>
        <w:ind w:firstLine="482" w:firstLineChars="200"/>
        <w:rPr>
          <w:rFonts w:hAnsi="宋体"/>
          <w:b/>
          <w:bCs/>
          <w:color w:val="auto"/>
          <w:sz w:val="24"/>
        </w:rPr>
      </w:pPr>
      <w:r>
        <w:rPr>
          <w:rFonts w:hint="eastAsia" w:hAnsi="宋体"/>
          <w:b/>
          <w:bCs/>
          <w:color w:val="auto"/>
          <w:sz w:val="24"/>
          <w:lang w:eastAsia="zh-CN"/>
        </w:rPr>
        <w:t>（</w:t>
      </w:r>
      <w:r>
        <w:rPr>
          <w:rFonts w:hint="eastAsia" w:hAnsi="宋体"/>
          <w:b/>
          <w:bCs/>
          <w:color w:val="auto"/>
          <w:sz w:val="24"/>
        </w:rPr>
        <w:t>7）小结</w:t>
      </w:r>
    </w:p>
    <w:p w14:paraId="0E2C4BDA">
      <w:pPr>
        <w:spacing w:line="360" w:lineRule="auto"/>
        <w:ind w:firstLine="480" w:firstLineChars="200"/>
        <w:jc w:val="left"/>
        <w:rPr>
          <w:rFonts w:hAnsi="宋体"/>
          <w:color w:val="auto"/>
          <w:sz w:val="24"/>
          <w:szCs w:val="24"/>
        </w:rPr>
      </w:pPr>
      <w:r>
        <w:rPr>
          <w:rFonts w:hint="eastAsia" w:hAnsi="宋体"/>
          <w:color w:val="auto"/>
          <w:sz w:val="24"/>
          <w:szCs w:val="24"/>
        </w:rPr>
        <w:fldChar w:fldCharType="begin"/>
      </w:r>
      <w:r>
        <w:rPr>
          <w:rFonts w:hint="eastAsia" w:hAnsi="宋体"/>
          <w:color w:val="auto"/>
          <w:sz w:val="24"/>
          <w:szCs w:val="24"/>
        </w:rPr>
        <w:instrText xml:space="preserve"> = 1 \* GB3 \* MERGEFORMAT </w:instrText>
      </w:r>
      <w:r>
        <w:rPr>
          <w:rFonts w:hint="eastAsia" w:hAnsi="宋体"/>
          <w:color w:val="auto"/>
          <w:sz w:val="24"/>
          <w:szCs w:val="24"/>
        </w:rPr>
        <w:fldChar w:fldCharType="separate"/>
      </w:r>
      <w:r>
        <w:rPr>
          <w:color w:val="auto"/>
          <w:sz w:val="24"/>
          <w:szCs w:val="24"/>
        </w:rPr>
        <w:t>①</w:t>
      </w:r>
      <w:r>
        <w:rPr>
          <w:rFonts w:hint="eastAsia" w:hAnsi="宋体"/>
          <w:color w:val="auto"/>
          <w:sz w:val="24"/>
          <w:szCs w:val="24"/>
        </w:rPr>
        <w:fldChar w:fldCharType="end"/>
      </w:r>
      <w:r>
        <w:rPr>
          <w:rFonts w:hint="eastAsia" w:hAnsi="宋体"/>
          <w:color w:val="auto"/>
          <w:sz w:val="24"/>
          <w:szCs w:val="24"/>
        </w:rPr>
        <w:t>本项目</w:t>
      </w:r>
      <w:r>
        <w:rPr>
          <w:rFonts w:hint="eastAsia" w:hAnsi="宋体"/>
          <w:color w:val="auto"/>
          <w:sz w:val="24"/>
          <w:szCs w:val="24"/>
          <w:lang w:val="en-US" w:eastAsia="zh-CN"/>
        </w:rPr>
        <w:t>医疗</w:t>
      </w:r>
      <w:r>
        <w:rPr>
          <w:rFonts w:hint="eastAsia" w:hAnsi="宋体"/>
          <w:color w:val="auto"/>
          <w:sz w:val="24"/>
          <w:szCs w:val="24"/>
        </w:rPr>
        <w:t>废物</w:t>
      </w:r>
      <w:r>
        <w:rPr>
          <w:rFonts w:hint="eastAsia" w:hAnsi="宋体"/>
          <w:color w:val="auto"/>
          <w:sz w:val="24"/>
          <w:szCs w:val="24"/>
          <w:lang w:val="en-US" w:eastAsia="zh-CN"/>
        </w:rPr>
        <w:t>在厂区内医疗废物暂存间</w:t>
      </w:r>
      <w:r>
        <w:rPr>
          <w:rFonts w:hint="eastAsia" w:hAnsi="宋体"/>
          <w:color w:val="auto"/>
          <w:sz w:val="24"/>
          <w:szCs w:val="24"/>
        </w:rPr>
        <w:t>暂存</w:t>
      </w:r>
      <w:r>
        <w:rPr>
          <w:rFonts w:hint="eastAsia"/>
          <w:color w:val="auto"/>
          <w:sz w:val="24"/>
          <w:szCs w:val="24"/>
          <w:lang w:eastAsia="zh-CN"/>
        </w:rPr>
        <w:t>，委托有资质单位定期收集处理。</w:t>
      </w:r>
    </w:p>
    <w:p w14:paraId="5FC625CA">
      <w:pPr>
        <w:spacing w:line="360" w:lineRule="auto"/>
        <w:ind w:firstLine="480" w:firstLineChars="200"/>
        <w:jc w:val="left"/>
        <w:rPr>
          <w:rFonts w:hAnsi="宋体"/>
          <w:color w:val="auto"/>
          <w:sz w:val="24"/>
        </w:rPr>
      </w:pPr>
      <w:r>
        <w:rPr>
          <w:rFonts w:hint="eastAsia" w:hAnsi="宋体"/>
          <w:color w:val="auto"/>
          <w:sz w:val="24"/>
          <w:szCs w:val="24"/>
        </w:rPr>
        <w:fldChar w:fldCharType="begin"/>
      </w:r>
      <w:r>
        <w:rPr>
          <w:rFonts w:hint="eastAsia" w:hAnsi="宋体"/>
          <w:color w:val="auto"/>
          <w:sz w:val="24"/>
          <w:szCs w:val="24"/>
        </w:rPr>
        <w:instrText xml:space="preserve"> = 2 \* GB3 \* MERGEFORMAT </w:instrText>
      </w:r>
      <w:r>
        <w:rPr>
          <w:rFonts w:hint="eastAsia" w:hAnsi="宋体"/>
          <w:color w:val="auto"/>
          <w:sz w:val="24"/>
          <w:szCs w:val="24"/>
        </w:rPr>
        <w:fldChar w:fldCharType="separate"/>
      </w:r>
      <w:r>
        <w:rPr>
          <w:color w:val="auto"/>
          <w:sz w:val="24"/>
          <w:szCs w:val="24"/>
        </w:rPr>
        <w:t>②</w:t>
      </w:r>
      <w:r>
        <w:rPr>
          <w:rFonts w:hint="eastAsia" w:hAnsi="宋体"/>
          <w:color w:val="auto"/>
          <w:sz w:val="24"/>
          <w:szCs w:val="24"/>
        </w:rPr>
        <w:fldChar w:fldCharType="end"/>
      </w:r>
      <w:r>
        <w:rPr>
          <w:rFonts w:hint="eastAsia" w:hAnsi="宋体"/>
          <w:color w:val="auto"/>
          <w:sz w:val="24"/>
          <w:szCs w:val="24"/>
        </w:rPr>
        <w:t>本项</w:t>
      </w:r>
      <w:r>
        <w:rPr>
          <w:rFonts w:hint="eastAsia" w:hAnsi="宋体"/>
          <w:color w:val="auto"/>
          <w:sz w:val="24"/>
        </w:rPr>
        <w:t>目除极端天气（约50天/年）需暂存</w:t>
      </w:r>
      <w:r>
        <w:rPr>
          <w:rFonts w:hint="eastAsia" w:hAnsi="宋体"/>
          <w:color w:val="auto"/>
          <w:sz w:val="24"/>
          <w:lang w:eastAsia="zh-CN"/>
        </w:rPr>
        <w:t>临时储粪场</w:t>
      </w:r>
      <w:r>
        <w:rPr>
          <w:rFonts w:hint="eastAsia" w:hAnsi="宋体"/>
          <w:color w:val="auto"/>
          <w:sz w:val="24"/>
        </w:rPr>
        <w:t>外，鸡粪、鸡羽毛及饲料残渣均日产日清由清粪车直接拉走外售进行有机肥制造；病死鸡由</w:t>
      </w:r>
      <w:r>
        <w:rPr>
          <w:rFonts w:hint="eastAsia" w:hAnsi="宋体"/>
          <w:color w:val="auto"/>
          <w:sz w:val="24"/>
          <w:lang w:eastAsia="zh-CN"/>
        </w:rPr>
        <w:t>委托北票市汇宏动物无害化处理有限公司定期收集处理</w:t>
      </w:r>
      <w:r>
        <w:rPr>
          <w:rFonts w:hint="eastAsia" w:hAnsi="宋体"/>
          <w:color w:val="auto"/>
          <w:sz w:val="24"/>
        </w:rPr>
        <w:t>；</w:t>
      </w:r>
      <w:r>
        <w:rPr>
          <w:rFonts w:hint="eastAsia"/>
          <w:color w:val="auto"/>
          <w:sz w:val="24"/>
        </w:rPr>
        <w:t>软化水制备会有废离子交换树脂</w:t>
      </w:r>
      <w:r>
        <w:rPr>
          <w:rFonts w:hint="eastAsia"/>
          <w:bCs/>
          <w:color w:val="auto"/>
          <w:sz w:val="24"/>
        </w:rPr>
        <w:t>产生，由厂家进行更换处理；</w:t>
      </w:r>
      <w:r>
        <w:rPr>
          <w:rFonts w:hint="eastAsia"/>
          <w:color w:val="auto"/>
          <w:sz w:val="24"/>
          <w:lang w:bidi="en-US"/>
        </w:rPr>
        <w:t>医疗废物</w:t>
      </w:r>
      <w:r>
        <w:rPr>
          <w:rFonts w:hint="eastAsia"/>
          <w:color w:val="auto"/>
          <w:sz w:val="24"/>
          <w:lang w:val="en-US" w:eastAsia="zh-CN" w:bidi="en-US"/>
        </w:rPr>
        <w:t>在厂区内医疗废物暂存间</w:t>
      </w:r>
      <w:r>
        <w:rPr>
          <w:rFonts w:hint="eastAsia"/>
          <w:color w:val="auto"/>
          <w:sz w:val="24"/>
          <w:lang w:bidi="en-US"/>
        </w:rPr>
        <w:t>暂存</w:t>
      </w:r>
      <w:r>
        <w:rPr>
          <w:rFonts w:hint="eastAsia"/>
          <w:color w:val="auto"/>
          <w:sz w:val="24"/>
          <w:szCs w:val="24"/>
          <w:lang w:eastAsia="zh-CN"/>
        </w:rPr>
        <w:t>，委托有资质单位定期收集处理。</w:t>
      </w:r>
      <w:r>
        <w:rPr>
          <w:rFonts w:hint="eastAsia" w:hAnsi="宋体"/>
          <w:color w:val="auto"/>
          <w:sz w:val="24"/>
        </w:rPr>
        <w:t>总之，在加强对固体废物贮运过程的现场管理，并落实各项污染防治措施和固体废物综合利用、安全处置等措施的前提下，本项目产生的固体废物对环境空气、水、生态等环境的影响较小。</w:t>
      </w:r>
    </w:p>
    <w:p w14:paraId="5359AA6C">
      <w:pPr>
        <w:pStyle w:val="4"/>
        <w:snapToGrid w:val="0"/>
        <w:spacing w:before="0"/>
        <w:rPr>
          <w:rFonts w:ascii="Times New Roman" w:hAnsi="Times New Roman" w:eastAsia="宋体"/>
          <w:bCs/>
          <w:color w:val="auto"/>
          <w:sz w:val="28"/>
          <w:szCs w:val="28"/>
        </w:rPr>
      </w:pPr>
      <w:bookmarkStart w:id="337" w:name="_Toc5862"/>
      <w:r>
        <w:rPr>
          <w:rFonts w:ascii="Times New Roman" w:hAnsi="Times New Roman" w:eastAsia="宋体"/>
          <w:bCs/>
          <w:color w:val="auto"/>
          <w:sz w:val="28"/>
          <w:szCs w:val="28"/>
        </w:rPr>
        <w:t>5.2.</w:t>
      </w:r>
      <w:r>
        <w:rPr>
          <w:rFonts w:hint="eastAsia" w:ascii="Times New Roman" w:hAnsi="Times New Roman" w:eastAsia="宋体"/>
          <w:bCs/>
          <w:color w:val="auto"/>
          <w:sz w:val="28"/>
          <w:szCs w:val="28"/>
        </w:rPr>
        <w:t>6</w:t>
      </w:r>
      <w:r>
        <w:rPr>
          <w:rFonts w:ascii="Times New Roman" w:hAnsi="Times New Roman" w:eastAsia="宋体"/>
          <w:bCs/>
          <w:color w:val="auto"/>
          <w:sz w:val="28"/>
          <w:szCs w:val="28"/>
        </w:rPr>
        <w:t>土壤环境影响评价</w:t>
      </w:r>
      <w:bookmarkEnd w:id="337"/>
    </w:p>
    <w:p w14:paraId="01F3048B">
      <w:pPr>
        <w:spacing w:line="360" w:lineRule="auto"/>
        <w:outlineLvl w:val="3"/>
        <w:rPr>
          <w:b/>
          <w:bCs/>
          <w:color w:val="auto"/>
          <w:sz w:val="24"/>
        </w:rPr>
      </w:pPr>
      <w:r>
        <w:rPr>
          <w:b/>
          <w:bCs/>
          <w:color w:val="auto"/>
          <w:sz w:val="24"/>
        </w:rPr>
        <w:t>5.2.</w:t>
      </w:r>
      <w:r>
        <w:rPr>
          <w:rFonts w:hint="eastAsia"/>
          <w:b/>
          <w:bCs/>
          <w:color w:val="auto"/>
          <w:sz w:val="24"/>
        </w:rPr>
        <w:t>6</w:t>
      </w:r>
      <w:r>
        <w:rPr>
          <w:b/>
          <w:bCs/>
          <w:color w:val="auto"/>
          <w:sz w:val="24"/>
        </w:rPr>
        <w:t>.1土壤环境评价等级及评价范围</w:t>
      </w:r>
    </w:p>
    <w:p w14:paraId="1D67F5C9">
      <w:pPr>
        <w:spacing w:line="360" w:lineRule="auto"/>
        <w:ind w:firstLine="480" w:firstLineChars="200"/>
        <w:rPr>
          <w:color w:val="auto"/>
          <w:sz w:val="24"/>
        </w:rPr>
      </w:pPr>
      <w:r>
        <w:rPr>
          <w:color w:val="auto"/>
          <w:sz w:val="24"/>
        </w:rPr>
        <w:t>根据《</w:t>
      </w:r>
      <w:r>
        <w:rPr>
          <w:rFonts w:hint="eastAsia"/>
          <w:color w:val="auto"/>
          <w:sz w:val="24"/>
          <w:lang w:eastAsia="zh-CN"/>
        </w:rPr>
        <w:t>环境影响评价技术导则</w:t>
      </w:r>
      <w:r>
        <w:rPr>
          <w:rFonts w:hint="eastAsia"/>
          <w:color w:val="auto"/>
          <w:sz w:val="24"/>
          <w:lang w:val="en-US" w:eastAsia="zh-CN"/>
        </w:rPr>
        <w:t xml:space="preserve"> 土壤环境（试行）</w:t>
      </w:r>
      <w:r>
        <w:rPr>
          <w:color w:val="auto"/>
          <w:sz w:val="24"/>
        </w:rPr>
        <w:t>》</w:t>
      </w:r>
      <w:r>
        <w:rPr>
          <w:rFonts w:hint="eastAsia"/>
          <w:color w:val="auto"/>
          <w:sz w:val="24"/>
          <w:lang w:eastAsia="zh-CN"/>
        </w:rPr>
        <w:t>（</w:t>
      </w:r>
      <w:r>
        <w:rPr>
          <w:rFonts w:hint="eastAsia"/>
          <w:color w:val="auto"/>
          <w:sz w:val="24"/>
          <w:lang w:val="en-US" w:eastAsia="zh-CN"/>
        </w:rPr>
        <w:t>HJ964-2018</w:t>
      </w:r>
      <w:r>
        <w:rPr>
          <w:rFonts w:hint="eastAsia"/>
          <w:color w:val="auto"/>
          <w:sz w:val="24"/>
          <w:lang w:eastAsia="zh-CN"/>
        </w:rPr>
        <w:t>）</w:t>
      </w:r>
      <w:r>
        <w:rPr>
          <w:color w:val="auto"/>
          <w:sz w:val="24"/>
        </w:rPr>
        <w:t>中</w:t>
      </w:r>
      <w:r>
        <w:rPr>
          <w:rFonts w:hint="eastAsia"/>
          <w:color w:val="auto"/>
          <w:sz w:val="24"/>
          <w:lang w:eastAsia="zh-CN"/>
        </w:rPr>
        <w:t>判定</w:t>
      </w:r>
      <w:r>
        <w:rPr>
          <w:color w:val="auto"/>
          <w:sz w:val="24"/>
        </w:rPr>
        <w:t>本项目为“三级”评价项目。</w:t>
      </w:r>
    </w:p>
    <w:p w14:paraId="57F84A87">
      <w:pPr>
        <w:pStyle w:val="16"/>
        <w:spacing w:line="360" w:lineRule="auto"/>
        <w:ind w:firstLine="480"/>
        <w:rPr>
          <w:bCs/>
          <w:color w:val="auto"/>
          <w:sz w:val="24"/>
        </w:rPr>
      </w:pPr>
      <w:r>
        <w:rPr>
          <w:color w:val="auto"/>
          <w:sz w:val="24"/>
        </w:rPr>
        <w:t>根据</w:t>
      </w:r>
      <w:r>
        <w:rPr>
          <w:rFonts w:hint="eastAsia"/>
          <w:color w:val="auto"/>
          <w:sz w:val="24"/>
          <w:lang w:eastAsia="zh-CN"/>
        </w:rPr>
        <w:t>下表</w:t>
      </w:r>
      <w:r>
        <w:rPr>
          <w:color w:val="auto"/>
          <w:sz w:val="24"/>
        </w:rPr>
        <w:t>“现状调查范围”，由于本项目为污染影响型三级评价项目，确定本项目评价范围为项目全部占地和厂区外0.05km范围内。</w:t>
      </w:r>
    </w:p>
    <w:p w14:paraId="76D7342F">
      <w:pPr>
        <w:jc w:val="center"/>
        <w:rPr>
          <w:b/>
          <w:color w:val="auto"/>
          <w:szCs w:val="21"/>
        </w:rPr>
      </w:pPr>
      <w:r>
        <w:rPr>
          <w:b/>
          <w:color w:val="auto"/>
          <w:szCs w:val="21"/>
        </w:rPr>
        <w:t>表5</w:t>
      </w:r>
      <w:r>
        <w:rPr>
          <w:rFonts w:hint="eastAsia"/>
          <w:b/>
          <w:color w:val="auto"/>
          <w:szCs w:val="21"/>
          <w:lang w:val="en-US" w:eastAsia="zh-CN"/>
        </w:rPr>
        <w:t xml:space="preserve">.2-27 </w:t>
      </w:r>
      <w:r>
        <w:rPr>
          <w:rFonts w:hint="eastAsia"/>
          <w:b/>
          <w:color w:val="auto"/>
          <w:szCs w:val="21"/>
        </w:rPr>
        <w:t xml:space="preserve"> </w:t>
      </w:r>
      <w:r>
        <w:rPr>
          <w:b/>
          <w:color w:val="auto"/>
          <w:szCs w:val="21"/>
        </w:rPr>
        <w:t xml:space="preserve">  现状调查范围</w:t>
      </w:r>
    </w:p>
    <w:tbl>
      <w:tblPr>
        <w:tblStyle w:val="53"/>
        <w:tblW w:w="4999"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6"/>
        <w:gridCol w:w="1559"/>
        <w:gridCol w:w="2410"/>
        <w:gridCol w:w="2891"/>
      </w:tblGrid>
      <w:tr w14:paraId="77F5C8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7" w:type="pct"/>
            <w:vMerge w:val="restart"/>
            <w:vAlign w:val="center"/>
          </w:tcPr>
          <w:p w14:paraId="6933A955">
            <w:pPr>
              <w:jc w:val="center"/>
              <w:rPr>
                <w:color w:val="auto"/>
                <w:szCs w:val="21"/>
              </w:rPr>
            </w:pPr>
            <w:r>
              <w:rPr>
                <w:color w:val="auto"/>
                <w:szCs w:val="21"/>
              </w:rPr>
              <w:t>评价工作等级</w:t>
            </w:r>
          </w:p>
        </w:tc>
        <w:tc>
          <w:tcPr>
            <w:tcW w:w="914" w:type="pct"/>
            <w:vMerge w:val="restart"/>
            <w:vAlign w:val="center"/>
          </w:tcPr>
          <w:p w14:paraId="107C19FC">
            <w:pPr>
              <w:jc w:val="center"/>
              <w:rPr>
                <w:color w:val="auto"/>
                <w:szCs w:val="21"/>
              </w:rPr>
            </w:pPr>
            <w:r>
              <w:rPr>
                <w:color w:val="auto"/>
                <w:szCs w:val="21"/>
              </w:rPr>
              <w:t>影响类型</w:t>
            </w:r>
          </w:p>
        </w:tc>
        <w:tc>
          <w:tcPr>
            <w:tcW w:w="3108" w:type="pct"/>
            <w:gridSpan w:val="2"/>
            <w:vAlign w:val="center"/>
          </w:tcPr>
          <w:p w14:paraId="7E2ABFCF">
            <w:pPr>
              <w:jc w:val="center"/>
              <w:rPr>
                <w:color w:val="auto"/>
                <w:szCs w:val="21"/>
              </w:rPr>
            </w:pPr>
            <w:r>
              <w:rPr>
                <w:color w:val="auto"/>
                <w:szCs w:val="21"/>
              </w:rPr>
              <w:t>调查范围</w:t>
            </w:r>
          </w:p>
        </w:tc>
      </w:tr>
      <w:tr w14:paraId="5A149F7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7" w:type="pct"/>
            <w:vMerge w:val="continue"/>
            <w:vAlign w:val="center"/>
          </w:tcPr>
          <w:p w14:paraId="66F9EDE8">
            <w:pPr>
              <w:jc w:val="center"/>
              <w:rPr>
                <w:color w:val="auto"/>
                <w:szCs w:val="21"/>
              </w:rPr>
            </w:pPr>
          </w:p>
        </w:tc>
        <w:tc>
          <w:tcPr>
            <w:tcW w:w="914" w:type="pct"/>
            <w:vMerge w:val="continue"/>
            <w:vAlign w:val="center"/>
          </w:tcPr>
          <w:p w14:paraId="6527CF0F">
            <w:pPr>
              <w:jc w:val="center"/>
              <w:rPr>
                <w:color w:val="auto"/>
                <w:szCs w:val="21"/>
              </w:rPr>
            </w:pPr>
          </w:p>
        </w:tc>
        <w:tc>
          <w:tcPr>
            <w:tcW w:w="1413" w:type="pct"/>
            <w:vAlign w:val="center"/>
          </w:tcPr>
          <w:p w14:paraId="11F7096F">
            <w:pPr>
              <w:jc w:val="center"/>
              <w:rPr>
                <w:color w:val="auto"/>
                <w:szCs w:val="21"/>
              </w:rPr>
            </w:pPr>
            <w:r>
              <w:rPr>
                <w:color w:val="auto"/>
                <w:szCs w:val="21"/>
              </w:rPr>
              <w:t>占地范围内</w:t>
            </w:r>
          </w:p>
        </w:tc>
        <w:tc>
          <w:tcPr>
            <w:tcW w:w="1695" w:type="pct"/>
            <w:vAlign w:val="center"/>
          </w:tcPr>
          <w:p w14:paraId="43BB06AE">
            <w:pPr>
              <w:jc w:val="center"/>
              <w:rPr>
                <w:color w:val="auto"/>
                <w:szCs w:val="21"/>
              </w:rPr>
            </w:pPr>
            <w:r>
              <w:rPr>
                <w:color w:val="auto"/>
                <w:szCs w:val="21"/>
              </w:rPr>
              <w:t>占地范围外</w:t>
            </w:r>
          </w:p>
        </w:tc>
      </w:tr>
      <w:tr w14:paraId="527749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7" w:type="pct"/>
            <w:vMerge w:val="restart"/>
            <w:vAlign w:val="center"/>
          </w:tcPr>
          <w:p w14:paraId="68FB587C">
            <w:pPr>
              <w:jc w:val="center"/>
              <w:rPr>
                <w:color w:val="auto"/>
                <w:szCs w:val="21"/>
              </w:rPr>
            </w:pPr>
            <w:r>
              <w:rPr>
                <w:color w:val="auto"/>
                <w:szCs w:val="21"/>
              </w:rPr>
              <w:t>一级</w:t>
            </w:r>
          </w:p>
        </w:tc>
        <w:tc>
          <w:tcPr>
            <w:tcW w:w="914" w:type="pct"/>
            <w:vAlign w:val="center"/>
          </w:tcPr>
          <w:p w14:paraId="4EBCB058">
            <w:pPr>
              <w:jc w:val="center"/>
              <w:rPr>
                <w:color w:val="auto"/>
                <w:szCs w:val="21"/>
              </w:rPr>
            </w:pPr>
            <w:r>
              <w:rPr>
                <w:color w:val="auto"/>
                <w:szCs w:val="21"/>
              </w:rPr>
              <w:t>生态影响型</w:t>
            </w:r>
          </w:p>
        </w:tc>
        <w:tc>
          <w:tcPr>
            <w:tcW w:w="1413" w:type="pct"/>
            <w:vMerge w:val="restart"/>
            <w:vAlign w:val="center"/>
          </w:tcPr>
          <w:p w14:paraId="0AAF6E11">
            <w:pPr>
              <w:jc w:val="center"/>
              <w:rPr>
                <w:color w:val="auto"/>
                <w:szCs w:val="21"/>
              </w:rPr>
            </w:pPr>
            <w:r>
              <w:rPr>
                <w:color w:val="auto"/>
                <w:szCs w:val="21"/>
              </w:rPr>
              <w:t>全部</w:t>
            </w:r>
          </w:p>
        </w:tc>
        <w:tc>
          <w:tcPr>
            <w:tcW w:w="1695" w:type="pct"/>
            <w:vAlign w:val="center"/>
          </w:tcPr>
          <w:p w14:paraId="32356844">
            <w:pPr>
              <w:jc w:val="center"/>
              <w:rPr>
                <w:color w:val="auto"/>
                <w:szCs w:val="21"/>
              </w:rPr>
            </w:pPr>
            <w:r>
              <w:rPr>
                <w:color w:val="auto"/>
                <w:szCs w:val="21"/>
              </w:rPr>
              <w:t>5km范围内</w:t>
            </w:r>
          </w:p>
        </w:tc>
      </w:tr>
      <w:tr w14:paraId="23697B2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7" w:type="pct"/>
            <w:vMerge w:val="continue"/>
            <w:vAlign w:val="center"/>
          </w:tcPr>
          <w:p w14:paraId="3D23A8C2">
            <w:pPr>
              <w:jc w:val="center"/>
              <w:rPr>
                <w:color w:val="auto"/>
                <w:szCs w:val="21"/>
              </w:rPr>
            </w:pPr>
          </w:p>
        </w:tc>
        <w:tc>
          <w:tcPr>
            <w:tcW w:w="914" w:type="pct"/>
            <w:vAlign w:val="center"/>
          </w:tcPr>
          <w:p w14:paraId="1C9C4058">
            <w:pPr>
              <w:jc w:val="center"/>
              <w:rPr>
                <w:color w:val="auto"/>
                <w:szCs w:val="21"/>
              </w:rPr>
            </w:pPr>
            <w:r>
              <w:rPr>
                <w:color w:val="auto"/>
                <w:szCs w:val="21"/>
              </w:rPr>
              <w:t>污染影响型</w:t>
            </w:r>
          </w:p>
        </w:tc>
        <w:tc>
          <w:tcPr>
            <w:tcW w:w="1413" w:type="pct"/>
            <w:vMerge w:val="continue"/>
            <w:vAlign w:val="center"/>
          </w:tcPr>
          <w:p w14:paraId="7B6CB8CD">
            <w:pPr>
              <w:jc w:val="center"/>
              <w:rPr>
                <w:color w:val="auto"/>
                <w:szCs w:val="21"/>
              </w:rPr>
            </w:pPr>
          </w:p>
        </w:tc>
        <w:tc>
          <w:tcPr>
            <w:tcW w:w="1695" w:type="pct"/>
            <w:vAlign w:val="center"/>
          </w:tcPr>
          <w:p w14:paraId="0308C283">
            <w:pPr>
              <w:jc w:val="center"/>
              <w:rPr>
                <w:color w:val="auto"/>
                <w:szCs w:val="21"/>
              </w:rPr>
            </w:pPr>
            <w:r>
              <w:rPr>
                <w:color w:val="auto"/>
                <w:szCs w:val="21"/>
              </w:rPr>
              <w:t>1km范围内</w:t>
            </w:r>
          </w:p>
        </w:tc>
      </w:tr>
      <w:tr w14:paraId="6E665F8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7" w:type="pct"/>
            <w:vMerge w:val="restart"/>
            <w:vAlign w:val="center"/>
          </w:tcPr>
          <w:p w14:paraId="433D5C18">
            <w:pPr>
              <w:jc w:val="center"/>
              <w:rPr>
                <w:color w:val="auto"/>
                <w:szCs w:val="21"/>
              </w:rPr>
            </w:pPr>
            <w:r>
              <w:rPr>
                <w:color w:val="auto"/>
                <w:szCs w:val="21"/>
              </w:rPr>
              <w:t>二级</w:t>
            </w:r>
          </w:p>
        </w:tc>
        <w:tc>
          <w:tcPr>
            <w:tcW w:w="914" w:type="pct"/>
            <w:vAlign w:val="center"/>
          </w:tcPr>
          <w:p w14:paraId="30E95EC5">
            <w:pPr>
              <w:jc w:val="center"/>
              <w:rPr>
                <w:color w:val="auto"/>
                <w:szCs w:val="21"/>
              </w:rPr>
            </w:pPr>
            <w:r>
              <w:rPr>
                <w:color w:val="auto"/>
                <w:szCs w:val="21"/>
              </w:rPr>
              <w:t>生态影响型</w:t>
            </w:r>
          </w:p>
        </w:tc>
        <w:tc>
          <w:tcPr>
            <w:tcW w:w="1413" w:type="pct"/>
            <w:vMerge w:val="continue"/>
            <w:vAlign w:val="center"/>
          </w:tcPr>
          <w:p w14:paraId="653FAA16">
            <w:pPr>
              <w:jc w:val="center"/>
              <w:rPr>
                <w:color w:val="auto"/>
                <w:szCs w:val="21"/>
              </w:rPr>
            </w:pPr>
          </w:p>
        </w:tc>
        <w:tc>
          <w:tcPr>
            <w:tcW w:w="1695" w:type="pct"/>
            <w:vAlign w:val="center"/>
          </w:tcPr>
          <w:p w14:paraId="19708880">
            <w:pPr>
              <w:jc w:val="center"/>
              <w:rPr>
                <w:color w:val="auto"/>
                <w:szCs w:val="21"/>
              </w:rPr>
            </w:pPr>
            <w:r>
              <w:rPr>
                <w:color w:val="auto"/>
                <w:szCs w:val="21"/>
              </w:rPr>
              <w:t>2km范围内</w:t>
            </w:r>
          </w:p>
        </w:tc>
      </w:tr>
      <w:tr w14:paraId="63712D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7" w:type="pct"/>
            <w:vMerge w:val="continue"/>
            <w:vAlign w:val="center"/>
          </w:tcPr>
          <w:p w14:paraId="434A019A">
            <w:pPr>
              <w:jc w:val="center"/>
              <w:rPr>
                <w:color w:val="auto"/>
                <w:szCs w:val="21"/>
              </w:rPr>
            </w:pPr>
          </w:p>
        </w:tc>
        <w:tc>
          <w:tcPr>
            <w:tcW w:w="914" w:type="pct"/>
            <w:vAlign w:val="center"/>
          </w:tcPr>
          <w:p w14:paraId="60A90A5F">
            <w:pPr>
              <w:jc w:val="center"/>
              <w:rPr>
                <w:color w:val="auto"/>
                <w:szCs w:val="21"/>
              </w:rPr>
            </w:pPr>
            <w:r>
              <w:rPr>
                <w:color w:val="auto"/>
                <w:szCs w:val="21"/>
              </w:rPr>
              <w:t>污染影响型</w:t>
            </w:r>
          </w:p>
        </w:tc>
        <w:tc>
          <w:tcPr>
            <w:tcW w:w="1413" w:type="pct"/>
            <w:vMerge w:val="continue"/>
            <w:vAlign w:val="center"/>
          </w:tcPr>
          <w:p w14:paraId="5E3149D7">
            <w:pPr>
              <w:jc w:val="center"/>
              <w:rPr>
                <w:color w:val="auto"/>
                <w:szCs w:val="21"/>
              </w:rPr>
            </w:pPr>
          </w:p>
        </w:tc>
        <w:tc>
          <w:tcPr>
            <w:tcW w:w="1695" w:type="pct"/>
            <w:vAlign w:val="center"/>
          </w:tcPr>
          <w:p w14:paraId="69967A25">
            <w:pPr>
              <w:jc w:val="center"/>
              <w:rPr>
                <w:color w:val="auto"/>
                <w:szCs w:val="21"/>
              </w:rPr>
            </w:pPr>
            <w:r>
              <w:rPr>
                <w:color w:val="auto"/>
                <w:szCs w:val="21"/>
              </w:rPr>
              <w:t>0.2km范围内</w:t>
            </w:r>
          </w:p>
        </w:tc>
      </w:tr>
      <w:tr w14:paraId="6B2E5B8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7" w:type="pct"/>
            <w:vMerge w:val="restart"/>
            <w:vAlign w:val="center"/>
          </w:tcPr>
          <w:p w14:paraId="773C0E09">
            <w:pPr>
              <w:jc w:val="center"/>
              <w:rPr>
                <w:color w:val="auto"/>
                <w:szCs w:val="21"/>
              </w:rPr>
            </w:pPr>
            <w:r>
              <w:rPr>
                <w:color w:val="auto"/>
                <w:szCs w:val="21"/>
              </w:rPr>
              <w:t>三级</w:t>
            </w:r>
          </w:p>
        </w:tc>
        <w:tc>
          <w:tcPr>
            <w:tcW w:w="914" w:type="pct"/>
            <w:vAlign w:val="center"/>
          </w:tcPr>
          <w:p w14:paraId="6F2B720A">
            <w:pPr>
              <w:jc w:val="center"/>
              <w:rPr>
                <w:color w:val="auto"/>
                <w:szCs w:val="21"/>
              </w:rPr>
            </w:pPr>
            <w:r>
              <w:rPr>
                <w:color w:val="auto"/>
                <w:szCs w:val="21"/>
              </w:rPr>
              <w:t>生态影响型</w:t>
            </w:r>
          </w:p>
        </w:tc>
        <w:tc>
          <w:tcPr>
            <w:tcW w:w="1413" w:type="pct"/>
            <w:vMerge w:val="continue"/>
            <w:vAlign w:val="center"/>
          </w:tcPr>
          <w:p w14:paraId="5B1E2ED7">
            <w:pPr>
              <w:jc w:val="center"/>
              <w:rPr>
                <w:color w:val="auto"/>
                <w:szCs w:val="21"/>
              </w:rPr>
            </w:pPr>
          </w:p>
        </w:tc>
        <w:tc>
          <w:tcPr>
            <w:tcW w:w="1695" w:type="pct"/>
            <w:vAlign w:val="center"/>
          </w:tcPr>
          <w:p w14:paraId="5FFBAA4D">
            <w:pPr>
              <w:jc w:val="center"/>
              <w:rPr>
                <w:color w:val="auto"/>
                <w:szCs w:val="21"/>
              </w:rPr>
            </w:pPr>
            <w:r>
              <w:rPr>
                <w:color w:val="auto"/>
                <w:szCs w:val="21"/>
              </w:rPr>
              <w:t>1km范围内</w:t>
            </w:r>
          </w:p>
        </w:tc>
      </w:tr>
      <w:tr w14:paraId="21D2F1E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7" w:type="pct"/>
            <w:vMerge w:val="continue"/>
            <w:vAlign w:val="center"/>
          </w:tcPr>
          <w:p w14:paraId="12944459">
            <w:pPr>
              <w:jc w:val="center"/>
              <w:rPr>
                <w:color w:val="auto"/>
                <w:szCs w:val="21"/>
              </w:rPr>
            </w:pPr>
          </w:p>
        </w:tc>
        <w:tc>
          <w:tcPr>
            <w:tcW w:w="914" w:type="pct"/>
            <w:vAlign w:val="center"/>
          </w:tcPr>
          <w:p w14:paraId="09B9E71F">
            <w:pPr>
              <w:jc w:val="center"/>
              <w:rPr>
                <w:color w:val="auto"/>
                <w:szCs w:val="21"/>
              </w:rPr>
            </w:pPr>
            <w:r>
              <w:rPr>
                <w:color w:val="auto"/>
                <w:szCs w:val="21"/>
              </w:rPr>
              <w:t>污染影响型</w:t>
            </w:r>
          </w:p>
        </w:tc>
        <w:tc>
          <w:tcPr>
            <w:tcW w:w="1413" w:type="pct"/>
            <w:vMerge w:val="continue"/>
            <w:vAlign w:val="center"/>
          </w:tcPr>
          <w:p w14:paraId="1D17E357">
            <w:pPr>
              <w:jc w:val="center"/>
              <w:rPr>
                <w:color w:val="auto"/>
                <w:szCs w:val="21"/>
              </w:rPr>
            </w:pPr>
          </w:p>
        </w:tc>
        <w:tc>
          <w:tcPr>
            <w:tcW w:w="1695" w:type="pct"/>
            <w:vAlign w:val="center"/>
          </w:tcPr>
          <w:p w14:paraId="50EAEBA8">
            <w:pPr>
              <w:jc w:val="center"/>
              <w:rPr>
                <w:color w:val="auto"/>
                <w:szCs w:val="21"/>
              </w:rPr>
            </w:pPr>
            <w:r>
              <w:rPr>
                <w:color w:val="auto"/>
                <w:szCs w:val="21"/>
              </w:rPr>
              <w:t>0.05km范围内</w:t>
            </w:r>
          </w:p>
        </w:tc>
      </w:tr>
    </w:tbl>
    <w:p w14:paraId="12D1B4C1">
      <w:pPr>
        <w:spacing w:line="360" w:lineRule="auto"/>
        <w:outlineLvl w:val="3"/>
        <w:rPr>
          <w:b/>
          <w:color w:val="auto"/>
          <w:sz w:val="24"/>
        </w:rPr>
      </w:pPr>
      <w:r>
        <w:rPr>
          <w:b/>
          <w:color w:val="auto"/>
          <w:sz w:val="24"/>
        </w:rPr>
        <w:t>5.2.</w:t>
      </w:r>
      <w:r>
        <w:rPr>
          <w:rFonts w:hint="eastAsia"/>
          <w:b/>
          <w:color w:val="auto"/>
          <w:sz w:val="24"/>
        </w:rPr>
        <w:t>6</w:t>
      </w:r>
      <w:r>
        <w:rPr>
          <w:b/>
          <w:color w:val="auto"/>
          <w:sz w:val="24"/>
        </w:rPr>
        <w:t>.2土壤环境影响评价</w:t>
      </w:r>
    </w:p>
    <w:p w14:paraId="14C96B9E">
      <w:pPr>
        <w:pStyle w:val="23"/>
        <w:ind w:firstLine="482" w:firstLineChars="200"/>
        <w:rPr>
          <w:rFonts w:hAnsi="宋体"/>
          <w:b/>
          <w:bCs/>
          <w:color w:val="auto"/>
          <w:sz w:val="24"/>
        </w:rPr>
      </w:pPr>
      <w:r>
        <w:rPr>
          <w:rFonts w:hint="eastAsia" w:hAnsi="宋体"/>
          <w:b/>
          <w:bCs/>
          <w:color w:val="auto"/>
          <w:sz w:val="24"/>
          <w:lang w:eastAsia="zh-CN"/>
        </w:rPr>
        <w:t>（</w:t>
      </w:r>
      <w:r>
        <w:rPr>
          <w:rFonts w:hint="eastAsia" w:hAnsi="宋体"/>
          <w:b/>
          <w:bCs/>
          <w:color w:val="auto"/>
          <w:sz w:val="24"/>
          <w:lang w:val="en-US" w:eastAsia="zh-CN"/>
        </w:rPr>
        <w:t>1</w:t>
      </w:r>
      <w:r>
        <w:rPr>
          <w:rFonts w:hint="eastAsia" w:hAnsi="宋体"/>
          <w:b/>
          <w:bCs/>
          <w:color w:val="auto"/>
          <w:sz w:val="24"/>
          <w:lang w:eastAsia="zh-CN"/>
        </w:rPr>
        <w:t>）</w:t>
      </w:r>
      <w:r>
        <w:rPr>
          <w:rFonts w:hint="eastAsia" w:hAnsi="宋体"/>
          <w:b/>
          <w:bCs/>
          <w:color w:val="auto"/>
          <w:sz w:val="24"/>
        </w:rPr>
        <w:t>土壤环境现状评价</w:t>
      </w:r>
    </w:p>
    <w:p w14:paraId="25282C83">
      <w:pPr>
        <w:spacing w:line="360" w:lineRule="auto"/>
        <w:ind w:firstLine="480" w:firstLineChars="200"/>
        <w:rPr>
          <w:color w:val="auto"/>
          <w:sz w:val="24"/>
        </w:rPr>
      </w:pPr>
      <w:r>
        <w:rPr>
          <w:color w:val="auto"/>
          <w:sz w:val="24"/>
        </w:rPr>
        <w:t>项目主要进行蛋鸡养殖，对土壤环境可能造成影响的污染源主要为</w:t>
      </w:r>
      <w:r>
        <w:rPr>
          <w:rFonts w:hint="eastAsia"/>
          <w:color w:val="auto"/>
          <w:sz w:val="24"/>
          <w:lang w:eastAsia="zh-CN"/>
        </w:rPr>
        <w:t>废气、</w:t>
      </w:r>
      <w:r>
        <w:rPr>
          <w:color w:val="auto"/>
          <w:sz w:val="24"/>
        </w:rPr>
        <w:t>废水和固体废物。</w:t>
      </w:r>
      <w:r>
        <w:rPr>
          <w:rFonts w:hint="eastAsia"/>
          <w:color w:val="auto"/>
          <w:sz w:val="24"/>
          <w:lang w:eastAsia="zh-CN"/>
        </w:rPr>
        <w:t>锅炉粉尘经大气沉降，落至厂区外耕地，对土壤环境造成影响；</w:t>
      </w:r>
      <w:r>
        <w:rPr>
          <w:color w:val="auto"/>
          <w:sz w:val="24"/>
        </w:rPr>
        <w:t>废水在收集、暂存过程中若发生跑冒滴漏，导致地面漫流或直接渗入土壤产生影响。固体废物经雨水冲刷、地面漫流，渗入土壤产生影响。</w:t>
      </w:r>
    </w:p>
    <w:p w14:paraId="284B80A5">
      <w:pPr>
        <w:spacing w:line="360" w:lineRule="auto"/>
        <w:ind w:firstLine="480" w:firstLineChars="200"/>
        <w:jc w:val="left"/>
        <w:rPr>
          <w:color w:val="auto"/>
          <w:sz w:val="24"/>
        </w:rPr>
      </w:pPr>
      <w:r>
        <w:rPr>
          <w:color w:val="auto"/>
          <w:sz w:val="24"/>
          <w:szCs w:val="24"/>
        </w:rPr>
        <w:fldChar w:fldCharType="begin"/>
      </w:r>
      <w:r>
        <w:rPr>
          <w:color w:val="auto"/>
          <w:sz w:val="24"/>
          <w:szCs w:val="24"/>
        </w:rPr>
        <w:instrText xml:space="preserve"> = 1 \* GB3 \* MERGEFORMAT </w:instrText>
      </w:r>
      <w:r>
        <w:rPr>
          <w:color w:val="auto"/>
          <w:sz w:val="24"/>
          <w:szCs w:val="24"/>
        </w:rPr>
        <w:fldChar w:fldCharType="separate"/>
      </w:r>
      <w:r>
        <w:rPr>
          <w:color w:val="auto"/>
          <w:sz w:val="24"/>
          <w:szCs w:val="24"/>
        </w:rPr>
        <w:t>①</w:t>
      </w:r>
      <w:r>
        <w:rPr>
          <w:color w:val="auto"/>
          <w:sz w:val="24"/>
          <w:szCs w:val="24"/>
        </w:rPr>
        <w:fldChar w:fldCharType="end"/>
      </w:r>
      <w:r>
        <w:rPr>
          <w:color w:val="auto"/>
          <w:sz w:val="24"/>
        </w:rPr>
        <w:t>土壤环境影响途径识别</w:t>
      </w:r>
    </w:p>
    <w:p w14:paraId="30391170">
      <w:pPr>
        <w:spacing w:line="360" w:lineRule="auto"/>
        <w:ind w:firstLine="560"/>
        <w:rPr>
          <w:color w:val="auto"/>
          <w:sz w:val="24"/>
        </w:rPr>
      </w:pPr>
      <w:r>
        <w:rPr>
          <w:color w:val="auto"/>
          <w:sz w:val="24"/>
        </w:rPr>
        <w:t>根据本项目污染物排放情况和《环境影响评价技术导则土壤环境（试行）》（HJ 964-2018）要求，土壤环境影响识别如下表所示。</w:t>
      </w:r>
    </w:p>
    <w:p w14:paraId="14873E59">
      <w:pPr>
        <w:jc w:val="center"/>
        <w:rPr>
          <w:b/>
          <w:bCs/>
          <w:color w:val="auto"/>
          <w:szCs w:val="21"/>
        </w:rPr>
      </w:pPr>
      <w:r>
        <w:rPr>
          <w:b/>
          <w:bCs/>
          <w:color w:val="auto"/>
          <w:szCs w:val="21"/>
        </w:rPr>
        <w:t>表5</w:t>
      </w:r>
      <w:r>
        <w:rPr>
          <w:rFonts w:hint="eastAsia"/>
          <w:b/>
          <w:bCs/>
          <w:color w:val="auto"/>
          <w:szCs w:val="21"/>
          <w:lang w:val="en-US" w:eastAsia="zh-CN"/>
        </w:rPr>
        <w:t xml:space="preserve">.2-28 </w:t>
      </w:r>
      <w:r>
        <w:rPr>
          <w:b/>
          <w:bCs/>
          <w:color w:val="auto"/>
          <w:szCs w:val="21"/>
        </w:rPr>
        <w:t xml:space="preserve">   土壤环境影响类别与影响途径识别表</w:t>
      </w:r>
    </w:p>
    <w:tbl>
      <w:tblPr>
        <w:tblStyle w:val="53"/>
        <w:tblW w:w="4999" w:type="pct"/>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660"/>
        <w:gridCol w:w="1661"/>
        <w:gridCol w:w="1661"/>
        <w:gridCol w:w="1661"/>
        <w:gridCol w:w="1667"/>
      </w:tblGrid>
      <w:tr w14:paraId="6D2ED88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99" w:type="pct"/>
            <w:vMerge w:val="restart"/>
            <w:tcBorders>
              <w:top w:val="double" w:color="000000" w:sz="4" w:space="0"/>
              <w:left w:val="nil"/>
              <w:bottom w:val="single" w:color="000000" w:sz="4" w:space="0"/>
              <w:right w:val="single" w:color="000000" w:sz="4" w:space="0"/>
            </w:tcBorders>
            <w:vAlign w:val="center"/>
          </w:tcPr>
          <w:p w14:paraId="7BBF90C5">
            <w:pPr>
              <w:pStyle w:val="434"/>
              <w:spacing w:before="1"/>
              <w:ind w:left="431"/>
              <w:jc w:val="both"/>
              <w:rPr>
                <w:color w:val="auto"/>
                <w:sz w:val="21"/>
              </w:rPr>
            </w:pPr>
            <w:r>
              <w:rPr>
                <w:color w:val="auto"/>
                <w:sz w:val="21"/>
              </w:rPr>
              <w:t>不同时段</w:t>
            </w:r>
          </w:p>
        </w:tc>
        <w:tc>
          <w:tcPr>
            <w:tcW w:w="4000" w:type="pct"/>
            <w:gridSpan w:val="4"/>
            <w:tcBorders>
              <w:top w:val="double" w:color="000000" w:sz="4" w:space="0"/>
              <w:left w:val="single" w:color="000000" w:sz="4" w:space="0"/>
              <w:bottom w:val="single" w:color="000000" w:sz="4" w:space="0"/>
              <w:right w:val="nil"/>
            </w:tcBorders>
            <w:vAlign w:val="center"/>
          </w:tcPr>
          <w:p w14:paraId="2905F85A">
            <w:pPr>
              <w:pStyle w:val="434"/>
              <w:spacing w:before="34"/>
              <w:ind w:right="2856"/>
              <w:jc w:val="center"/>
              <w:rPr>
                <w:color w:val="auto"/>
                <w:sz w:val="21"/>
              </w:rPr>
            </w:pPr>
            <w:r>
              <w:rPr>
                <w:color w:val="auto"/>
                <w:sz w:val="21"/>
              </w:rPr>
              <w:t>污染影响型</w:t>
            </w:r>
          </w:p>
        </w:tc>
      </w:tr>
      <w:tr w14:paraId="107017E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99" w:type="pct"/>
            <w:vMerge w:val="continue"/>
            <w:tcBorders>
              <w:top w:val="double" w:color="000000" w:sz="4" w:space="0"/>
              <w:left w:val="nil"/>
              <w:bottom w:val="single" w:color="000000" w:sz="4" w:space="0"/>
              <w:right w:val="single" w:color="000000" w:sz="4" w:space="0"/>
            </w:tcBorders>
            <w:vAlign w:val="center"/>
          </w:tcPr>
          <w:p w14:paraId="180DBBAF">
            <w:pPr>
              <w:widowControl/>
              <w:jc w:val="left"/>
              <w:rPr>
                <w:color w:val="auto"/>
                <w:kern w:val="0"/>
              </w:rPr>
            </w:pPr>
          </w:p>
        </w:tc>
        <w:tc>
          <w:tcPr>
            <w:tcW w:w="999" w:type="pct"/>
            <w:tcBorders>
              <w:top w:val="single" w:color="000000" w:sz="4" w:space="0"/>
              <w:left w:val="single" w:color="000000" w:sz="4" w:space="0"/>
              <w:bottom w:val="single" w:color="000000" w:sz="4" w:space="0"/>
              <w:right w:val="single" w:color="000000" w:sz="4" w:space="0"/>
            </w:tcBorders>
            <w:vAlign w:val="center"/>
          </w:tcPr>
          <w:p w14:paraId="46ACA882">
            <w:pPr>
              <w:jc w:val="center"/>
              <w:rPr>
                <w:color w:val="auto"/>
              </w:rPr>
            </w:pPr>
            <w:r>
              <w:rPr>
                <w:color w:val="auto"/>
              </w:rPr>
              <w:t>大气沉降</w:t>
            </w:r>
          </w:p>
        </w:tc>
        <w:tc>
          <w:tcPr>
            <w:tcW w:w="999" w:type="pct"/>
            <w:tcBorders>
              <w:top w:val="single" w:color="000000" w:sz="4" w:space="0"/>
              <w:left w:val="single" w:color="000000" w:sz="4" w:space="0"/>
              <w:bottom w:val="single" w:color="000000" w:sz="4" w:space="0"/>
              <w:right w:val="single" w:color="000000" w:sz="4" w:space="0"/>
            </w:tcBorders>
            <w:vAlign w:val="center"/>
          </w:tcPr>
          <w:p w14:paraId="06B61D08">
            <w:pPr>
              <w:jc w:val="center"/>
              <w:rPr>
                <w:color w:val="auto"/>
              </w:rPr>
            </w:pPr>
            <w:r>
              <w:rPr>
                <w:color w:val="auto"/>
              </w:rPr>
              <w:t>地面漫流</w:t>
            </w:r>
          </w:p>
        </w:tc>
        <w:tc>
          <w:tcPr>
            <w:tcW w:w="999" w:type="pct"/>
            <w:tcBorders>
              <w:top w:val="single" w:color="000000" w:sz="4" w:space="0"/>
              <w:left w:val="single" w:color="000000" w:sz="4" w:space="0"/>
              <w:bottom w:val="single" w:color="000000" w:sz="4" w:space="0"/>
              <w:right w:val="single" w:color="000000" w:sz="4" w:space="0"/>
            </w:tcBorders>
            <w:vAlign w:val="center"/>
          </w:tcPr>
          <w:p w14:paraId="58522A59">
            <w:pPr>
              <w:jc w:val="center"/>
              <w:rPr>
                <w:color w:val="auto"/>
              </w:rPr>
            </w:pPr>
            <w:r>
              <w:rPr>
                <w:color w:val="auto"/>
              </w:rPr>
              <w:t>垂直渗入</w:t>
            </w:r>
          </w:p>
        </w:tc>
        <w:tc>
          <w:tcPr>
            <w:tcW w:w="1001" w:type="pct"/>
            <w:tcBorders>
              <w:top w:val="single" w:color="000000" w:sz="4" w:space="0"/>
              <w:left w:val="single" w:color="000000" w:sz="4" w:space="0"/>
              <w:bottom w:val="single" w:color="000000" w:sz="4" w:space="0"/>
              <w:right w:val="nil"/>
            </w:tcBorders>
            <w:vAlign w:val="center"/>
          </w:tcPr>
          <w:p w14:paraId="4C233939">
            <w:pPr>
              <w:pStyle w:val="434"/>
              <w:spacing w:before="34"/>
              <w:ind w:left="307" w:right="296"/>
              <w:jc w:val="center"/>
              <w:rPr>
                <w:color w:val="auto"/>
                <w:sz w:val="21"/>
              </w:rPr>
            </w:pPr>
            <w:r>
              <w:rPr>
                <w:color w:val="auto"/>
                <w:sz w:val="21"/>
              </w:rPr>
              <w:t>其他</w:t>
            </w:r>
          </w:p>
        </w:tc>
      </w:tr>
      <w:tr w14:paraId="0898EDE7">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99" w:type="pct"/>
            <w:tcBorders>
              <w:top w:val="single" w:color="000000" w:sz="4" w:space="0"/>
              <w:left w:val="nil"/>
              <w:bottom w:val="single" w:color="000000" w:sz="4" w:space="0"/>
              <w:right w:val="single" w:color="000000" w:sz="4" w:space="0"/>
            </w:tcBorders>
            <w:vAlign w:val="center"/>
          </w:tcPr>
          <w:p w14:paraId="46B5F904">
            <w:pPr>
              <w:pStyle w:val="434"/>
              <w:spacing w:before="34"/>
              <w:ind w:left="305" w:right="296"/>
              <w:jc w:val="center"/>
              <w:rPr>
                <w:color w:val="auto"/>
                <w:sz w:val="21"/>
              </w:rPr>
            </w:pPr>
            <w:r>
              <w:rPr>
                <w:color w:val="auto"/>
                <w:sz w:val="21"/>
              </w:rPr>
              <w:t>建设期</w:t>
            </w:r>
          </w:p>
        </w:tc>
        <w:tc>
          <w:tcPr>
            <w:tcW w:w="999" w:type="pct"/>
            <w:tcBorders>
              <w:top w:val="single" w:color="000000" w:sz="4" w:space="0"/>
              <w:left w:val="single" w:color="000000" w:sz="4" w:space="0"/>
              <w:bottom w:val="single" w:color="000000" w:sz="4" w:space="0"/>
              <w:right w:val="single" w:color="000000" w:sz="4" w:space="0"/>
            </w:tcBorders>
            <w:vAlign w:val="center"/>
          </w:tcPr>
          <w:p w14:paraId="4FC2C99D">
            <w:pPr>
              <w:pStyle w:val="434"/>
              <w:spacing w:before="41"/>
              <w:ind w:left="6"/>
              <w:jc w:val="center"/>
              <w:rPr>
                <w:color w:val="auto"/>
                <w:sz w:val="21"/>
              </w:rPr>
            </w:pPr>
            <w:r>
              <w:rPr>
                <w:color w:val="auto"/>
                <w:sz w:val="21"/>
              </w:rPr>
              <w:t>-</w:t>
            </w:r>
          </w:p>
        </w:tc>
        <w:tc>
          <w:tcPr>
            <w:tcW w:w="999" w:type="pct"/>
            <w:tcBorders>
              <w:top w:val="single" w:color="000000" w:sz="4" w:space="0"/>
              <w:left w:val="single" w:color="000000" w:sz="4" w:space="0"/>
              <w:bottom w:val="single" w:color="000000" w:sz="4" w:space="0"/>
              <w:right w:val="single" w:color="000000" w:sz="4" w:space="0"/>
            </w:tcBorders>
            <w:vAlign w:val="center"/>
          </w:tcPr>
          <w:p w14:paraId="14BFD785">
            <w:pPr>
              <w:pStyle w:val="434"/>
              <w:spacing w:before="41"/>
              <w:ind w:left="11"/>
              <w:jc w:val="center"/>
              <w:rPr>
                <w:color w:val="auto"/>
                <w:sz w:val="21"/>
              </w:rPr>
            </w:pPr>
            <w:r>
              <w:rPr>
                <w:color w:val="auto"/>
                <w:sz w:val="21"/>
              </w:rPr>
              <w:t>-</w:t>
            </w:r>
          </w:p>
        </w:tc>
        <w:tc>
          <w:tcPr>
            <w:tcW w:w="999" w:type="pct"/>
            <w:tcBorders>
              <w:top w:val="single" w:color="000000" w:sz="4" w:space="0"/>
              <w:left w:val="single" w:color="000000" w:sz="4" w:space="0"/>
              <w:bottom w:val="single" w:color="000000" w:sz="4" w:space="0"/>
              <w:right w:val="single" w:color="000000" w:sz="4" w:space="0"/>
            </w:tcBorders>
            <w:vAlign w:val="center"/>
          </w:tcPr>
          <w:p w14:paraId="39885650">
            <w:pPr>
              <w:pStyle w:val="434"/>
              <w:spacing w:before="41"/>
              <w:ind w:left="8"/>
              <w:jc w:val="center"/>
              <w:rPr>
                <w:color w:val="auto"/>
                <w:sz w:val="21"/>
              </w:rPr>
            </w:pPr>
            <w:r>
              <w:rPr>
                <w:color w:val="auto"/>
                <w:sz w:val="21"/>
              </w:rPr>
              <w:t>-</w:t>
            </w:r>
          </w:p>
        </w:tc>
        <w:tc>
          <w:tcPr>
            <w:tcW w:w="1001" w:type="pct"/>
            <w:tcBorders>
              <w:top w:val="single" w:color="000000" w:sz="4" w:space="0"/>
              <w:left w:val="single" w:color="000000" w:sz="4" w:space="0"/>
              <w:bottom w:val="single" w:color="000000" w:sz="4" w:space="0"/>
              <w:right w:val="nil"/>
            </w:tcBorders>
            <w:vAlign w:val="center"/>
          </w:tcPr>
          <w:p w14:paraId="559A2C21">
            <w:pPr>
              <w:pStyle w:val="434"/>
              <w:spacing w:before="41"/>
              <w:ind w:left="11"/>
              <w:jc w:val="center"/>
              <w:rPr>
                <w:color w:val="auto"/>
                <w:sz w:val="21"/>
              </w:rPr>
            </w:pPr>
            <w:r>
              <w:rPr>
                <w:color w:val="auto"/>
                <w:sz w:val="21"/>
              </w:rPr>
              <w:t>-</w:t>
            </w:r>
          </w:p>
        </w:tc>
      </w:tr>
      <w:tr w14:paraId="60DD7D80">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99" w:type="pct"/>
            <w:tcBorders>
              <w:top w:val="single" w:color="000000" w:sz="4" w:space="0"/>
              <w:left w:val="nil"/>
              <w:bottom w:val="single" w:color="000000" w:sz="4" w:space="0"/>
              <w:right w:val="single" w:color="000000" w:sz="4" w:space="0"/>
            </w:tcBorders>
            <w:vAlign w:val="center"/>
          </w:tcPr>
          <w:p w14:paraId="177F2C73">
            <w:pPr>
              <w:pStyle w:val="434"/>
              <w:spacing w:before="34"/>
              <w:ind w:left="305" w:right="296"/>
              <w:jc w:val="center"/>
              <w:rPr>
                <w:color w:val="auto"/>
                <w:sz w:val="21"/>
              </w:rPr>
            </w:pPr>
            <w:r>
              <w:rPr>
                <w:color w:val="auto"/>
                <w:sz w:val="21"/>
              </w:rPr>
              <w:t>服务期</w:t>
            </w:r>
          </w:p>
        </w:tc>
        <w:tc>
          <w:tcPr>
            <w:tcW w:w="999" w:type="pct"/>
            <w:tcBorders>
              <w:top w:val="single" w:color="000000" w:sz="4" w:space="0"/>
              <w:left w:val="single" w:color="000000" w:sz="4" w:space="0"/>
              <w:bottom w:val="single" w:color="000000" w:sz="4" w:space="0"/>
              <w:right w:val="single" w:color="000000" w:sz="4" w:space="0"/>
            </w:tcBorders>
            <w:vAlign w:val="center"/>
          </w:tcPr>
          <w:p w14:paraId="773FCB0D">
            <w:pPr>
              <w:pStyle w:val="434"/>
              <w:spacing w:before="41"/>
              <w:ind w:left="6"/>
              <w:jc w:val="center"/>
              <w:rPr>
                <w:color w:val="auto"/>
                <w:sz w:val="21"/>
              </w:rPr>
            </w:pPr>
            <w:r>
              <w:rPr>
                <w:color w:val="auto"/>
                <w:sz w:val="21"/>
              </w:rPr>
              <w:t>√</w:t>
            </w:r>
          </w:p>
        </w:tc>
        <w:tc>
          <w:tcPr>
            <w:tcW w:w="999" w:type="pct"/>
            <w:tcBorders>
              <w:top w:val="single" w:color="000000" w:sz="4" w:space="0"/>
              <w:left w:val="single" w:color="000000" w:sz="4" w:space="0"/>
              <w:bottom w:val="single" w:color="000000" w:sz="4" w:space="0"/>
              <w:right w:val="single" w:color="000000" w:sz="4" w:space="0"/>
            </w:tcBorders>
            <w:vAlign w:val="center"/>
          </w:tcPr>
          <w:p w14:paraId="78E37E9A">
            <w:pPr>
              <w:pStyle w:val="434"/>
              <w:spacing w:before="41"/>
              <w:ind w:left="9"/>
              <w:jc w:val="center"/>
              <w:rPr>
                <w:color w:val="auto"/>
                <w:sz w:val="21"/>
              </w:rPr>
            </w:pPr>
            <w:r>
              <w:rPr>
                <w:color w:val="auto"/>
                <w:sz w:val="21"/>
              </w:rPr>
              <w:t>√</w:t>
            </w:r>
          </w:p>
        </w:tc>
        <w:tc>
          <w:tcPr>
            <w:tcW w:w="999" w:type="pct"/>
            <w:tcBorders>
              <w:top w:val="single" w:color="000000" w:sz="4" w:space="0"/>
              <w:left w:val="single" w:color="000000" w:sz="4" w:space="0"/>
              <w:bottom w:val="single" w:color="000000" w:sz="4" w:space="0"/>
              <w:right w:val="single" w:color="000000" w:sz="4" w:space="0"/>
            </w:tcBorders>
            <w:vAlign w:val="center"/>
          </w:tcPr>
          <w:p w14:paraId="2901C8F0">
            <w:pPr>
              <w:pStyle w:val="434"/>
              <w:spacing w:before="41"/>
              <w:ind w:left="5"/>
              <w:jc w:val="center"/>
              <w:rPr>
                <w:color w:val="auto"/>
                <w:sz w:val="21"/>
              </w:rPr>
            </w:pPr>
            <w:r>
              <w:rPr>
                <w:color w:val="auto"/>
                <w:sz w:val="21"/>
              </w:rPr>
              <w:t>√</w:t>
            </w:r>
          </w:p>
        </w:tc>
        <w:tc>
          <w:tcPr>
            <w:tcW w:w="1001" w:type="pct"/>
            <w:tcBorders>
              <w:top w:val="single" w:color="000000" w:sz="4" w:space="0"/>
              <w:left w:val="single" w:color="000000" w:sz="4" w:space="0"/>
              <w:bottom w:val="single" w:color="000000" w:sz="4" w:space="0"/>
              <w:right w:val="nil"/>
            </w:tcBorders>
            <w:vAlign w:val="center"/>
          </w:tcPr>
          <w:p w14:paraId="7902FEB4">
            <w:pPr>
              <w:pStyle w:val="434"/>
              <w:spacing w:before="41"/>
              <w:ind w:left="10"/>
              <w:jc w:val="center"/>
              <w:rPr>
                <w:color w:val="auto"/>
                <w:sz w:val="21"/>
              </w:rPr>
            </w:pPr>
            <w:r>
              <w:rPr>
                <w:color w:val="auto"/>
                <w:sz w:val="21"/>
              </w:rPr>
              <w:t>-</w:t>
            </w:r>
          </w:p>
        </w:tc>
      </w:tr>
      <w:tr w14:paraId="73F3DE93">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99" w:type="pct"/>
            <w:tcBorders>
              <w:top w:val="single" w:color="000000" w:sz="4" w:space="0"/>
              <w:left w:val="nil"/>
              <w:bottom w:val="double" w:color="000000" w:sz="4" w:space="0"/>
              <w:right w:val="single" w:color="000000" w:sz="4" w:space="0"/>
            </w:tcBorders>
            <w:vAlign w:val="center"/>
          </w:tcPr>
          <w:p w14:paraId="2C168DDE">
            <w:pPr>
              <w:pStyle w:val="434"/>
              <w:spacing w:before="37"/>
              <w:ind w:left="307" w:right="296"/>
              <w:jc w:val="center"/>
              <w:rPr>
                <w:color w:val="auto"/>
                <w:sz w:val="21"/>
              </w:rPr>
            </w:pPr>
            <w:r>
              <w:rPr>
                <w:color w:val="auto"/>
                <w:sz w:val="21"/>
              </w:rPr>
              <w:t>服务期满后</w:t>
            </w:r>
          </w:p>
        </w:tc>
        <w:tc>
          <w:tcPr>
            <w:tcW w:w="999" w:type="pct"/>
            <w:tcBorders>
              <w:top w:val="single" w:color="000000" w:sz="4" w:space="0"/>
              <w:left w:val="single" w:color="000000" w:sz="4" w:space="0"/>
              <w:bottom w:val="double" w:color="000000" w:sz="4" w:space="0"/>
              <w:right w:val="single" w:color="000000" w:sz="4" w:space="0"/>
            </w:tcBorders>
            <w:vAlign w:val="center"/>
          </w:tcPr>
          <w:p w14:paraId="35EBC25F">
            <w:pPr>
              <w:pStyle w:val="434"/>
              <w:spacing w:before="43"/>
              <w:ind w:left="5"/>
              <w:jc w:val="center"/>
              <w:rPr>
                <w:color w:val="auto"/>
                <w:sz w:val="21"/>
              </w:rPr>
            </w:pPr>
            <w:r>
              <w:rPr>
                <w:color w:val="auto"/>
                <w:sz w:val="21"/>
              </w:rPr>
              <w:t>-</w:t>
            </w:r>
          </w:p>
        </w:tc>
        <w:tc>
          <w:tcPr>
            <w:tcW w:w="999" w:type="pct"/>
            <w:tcBorders>
              <w:top w:val="single" w:color="000000" w:sz="4" w:space="0"/>
              <w:left w:val="single" w:color="000000" w:sz="4" w:space="0"/>
              <w:bottom w:val="double" w:color="000000" w:sz="4" w:space="0"/>
              <w:right w:val="single" w:color="000000" w:sz="4" w:space="0"/>
            </w:tcBorders>
            <w:vAlign w:val="center"/>
          </w:tcPr>
          <w:p w14:paraId="51823E48">
            <w:pPr>
              <w:pStyle w:val="434"/>
              <w:spacing w:before="43"/>
              <w:ind w:left="11"/>
              <w:jc w:val="center"/>
              <w:rPr>
                <w:color w:val="auto"/>
                <w:sz w:val="21"/>
              </w:rPr>
            </w:pPr>
            <w:r>
              <w:rPr>
                <w:color w:val="auto"/>
                <w:sz w:val="21"/>
              </w:rPr>
              <w:t>-</w:t>
            </w:r>
          </w:p>
        </w:tc>
        <w:tc>
          <w:tcPr>
            <w:tcW w:w="999" w:type="pct"/>
            <w:tcBorders>
              <w:top w:val="single" w:color="000000" w:sz="4" w:space="0"/>
              <w:left w:val="single" w:color="000000" w:sz="4" w:space="0"/>
              <w:bottom w:val="double" w:color="000000" w:sz="4" w:space="0"/>
              <w:right w:val="single" w:color="000000" w:sz="4" w:space="0"/>
            </w:tcBorders>
            <w:vAlign w:val="center"/>
          </w:tcPr>
          <w:p w14:paraId="685F89AE">
            <w:pPr>
              <w:pStyle w:val="434"/>
              <w:spacing w:before="43"/>
              <w:ind w:left="7"/>
              <w:jc w:val="center"/>
              <w:rPr>
                <w:color w:val="auto"/>
                <w:sz w:val="21"/>
              </w:rPr>
            </w:pPr>
            <w:r>
              <w:rPr>
                <w:color w:val="auto"/>
                <w:sz w:val="21"/>
              </w:rPr>
              <w:t>-</w:t>
            </w:r>
          </w:p>
        </w:tc>
        <w:tc>
          <w:tcPr>
            <w:tcW w:w="1001" w:type="pct"/>
            <w:tcBorders>
              <w:top w:val="single" w:color="000000" w:sz="4" w:space="0"/>
              <w:left w:val="single" w:color="000000" w:sz="4" w:space="0"/>
              <w:bottom w:val="double" w:color="000000" w:sz="4" w:space="0"/>
              <w:right w:val="nil"/>
            </w:tcBorders>
            <w:vAlign w:val="center"/>
          </w:tcPr>
          <w:p w14:paraId="077A88B1">
            <w:pPr>
              <w:pStyle w:val="434"/>
              <w:spacing w:before="43"/>
              <w:ind w:left="10"/>
              <w:jc w:val="center"/>
              <w:rPr>
                <w:color w:val="auto"/>
                <w:sz w:val="21"/>
              </w:rPr>
            </w:pPr>
            <w:r>
              <w:rPr>
                <w:color w:val="auto"/>
                <w:sz w:val="21"/>
              </w:rPr>
              <w:t>-</w:t>
            </w:r>
          </w:p>
        </w:tc>
      </w:tr>
    </w:tbl>
    <w:p w14:paraId="4382A6C3">
      <w:pPr>
        <w:spacing w:line="360" w:lineRule="auto"/>
        <w:ind w:firstLine="560"/>
        <w:rPr>
          <w:b/>
          <w:bCs/>
          <w:color w:val="auto"/>
          <w:sz w:val="24"/>
        </w:rPr>
      </w:pPr>
      <w:r>
        <w:rPr>
          <w:color w:val="auto"/>
          <w:sz w:val="24"/>
        </w:rPr>
        <w:t>从工程分析可知，本项目对土壤环境的影响主要是服务期，主要污染影响型属于：</w:t>
      </w:r>
      <w:r>
        <w:rPr>
          <w:rFonts w:hint="eastAsia"/>
          <w:color w:val="auto"/>
          <w:sz w:val="24"/>
          <w:lang w:eastAsia="zh-CN"/>
        </w:rPr>
        <w:t>大气沉降、</w:t>
      </w:r>
      <w:r>
        <w:rPr>
          <w:color w:val="auto"/>
          <w:sz w:val="24"/>
        </w:rPr>
        <w:t>地面漫流、垂直渗入等。</w:t>
      </w:r>
    </w:p>
    <w:p w14:paraId="0637EC8D">
      <w:pPr>
        <w:spacing w:line="360" w:lineRule="auto"/>
        <w:ind w:firstLine="560"/>
        <w:rPr>
          <w:rFonts w:ascii="Times New Roman" w:hAnsi="Times New Roman" w:eastAsia="宋体" w:cs="Times New Roman"/>
          <w:color w:val="auto"/>
          <w:sz w:val="24"/>
        </w:rPr>
      </w:pPr>
      <w:bookmarkStart w:id="338" w:name="_Toc28269261"/>
      <w:r>
        <w:rPr>
          <w:rFonts w:ascii="Times New Roman" w:hAnsi="Times New Roman" w:eastAsia="宋体" w:cs="Times New Roman"/>
          <w:color w:val="auto"/>
          <w:sz w:val="24"/>
        </w:rPr>
        <w:fldChar w:fldCharType="begin"/>
      </w:r>
      <w:r>
        <w:rPr>
          <w:rFonts w:ascii="Times New Roman" w:hAnsi="Times New Roman" w:eastAsia="宋体" w:cs="Times New Roman"/>
          <w:color w:val="auto"/>
          <w:sz w:val="24"/>
        </w:rPr>
        <w:instrText xml:space="preserve"> = 2 \* GB3 \* MERGEFORMAT </w:instrText>
      </w:r>
      <w:r>
        <w:rPr>
          <w:rFonts w:ascii="Times New Roman" w:hAnsi="Times New Roman" w:eastAsia="宋体" w:cs="Times New Roman"/>
          <w:color w:val="auto"/>
          <w:sz w:val="24"/>
        </w:rPr>
        <w:fldChar w:fldCharType="separate"/>
      </w:r>
      <w:r>
        <w:rPr>
          <w:rFonts w:ascii="Times New Roman" w:hAnsi="Times New Roman" w:eastAsia="宋体" w:cs="Times New Roman"/>
          <w:color w:val="auto"/>
          <w:sz w:val="24"/>
        </w:rPr>
        <w:t>②</w:t>
      </w:r>
      <w:r>
        <w:rPr>
          <w:rFonts w:ascii="Times New Roman" w:hAnsi="Times New Roman" w:eastAsia="宋体" w:cs="Times New Roman"/>
          <w:color w:val="auto"/>
          <w:sz w:val="24"/>
        </w:rPr>
        <w:fldChar w:fldCharType="end"/>
      </w:r>
      <w:r>
        <w:rPr>
          <w:rFonts w:hint="eastAsia" w:ascii="Times New Roman" w:hAnsi="Times New Roman" w:eastAsia="宋体" w:cs="Times New Roman"/>
          <w:color w:val="auto"/>
          <w:sz w:val="24"/>
        </w:rPr>
        <w:t>土壤类型</w:t>
      </w:r>
      <w:bookmarkEnd w:id="338"/>
    </w:p>
    <w:p w14:paraId="468A4946">
      <w:pPr>
        <w:spacing w:line="360" w:lineRule="auto"/>
        <w:ind w:firstLine="480" w:firstLineChars="200"/>
        <w:rPr>
          <w:rFonts w:hint="default" w:eastAsia="宋体"/>
          <w:bCs/>
          <w:color w:val="auto"/>
          <w:sz w:val="24"/>
          <w:lang w:val="en-US" w:eastAsia="zh-CN"/>
        </w:rPr>
      </w:pPr>
      <w:r>
        <w:rPr>
          <w:rFonts w:hint="eastAsia"/>
          <w:bCs/>
          <w:color w:val="auto"/>
          <w:sz w:val="24"/>
        </w:rPr>
        <w:t>项目场地各岩土层的岩性特征自上而下依次为：</w:t>
      </w:r>
      <w:r>
        <w:rPr>
          <w:rFonts w:hint="eastAsia"/>
          <w:color w:val="auto"/>
          <w:sz w:val="24"/>
        </w:rPr>
        <w:t>杂填土</w:t>
      </w:r>
      <w:r>
        <w:rPr>
          <w:color w:val="auto"/>
          <w:sz w:val="24"/>
        </w:rPr>
        <w:fldChar w:fldCharType="begin"/>
      </w:r>
      <w:r>
        <w:rPr>
          <w:color w:val="auto"/>
          <w:sz w:val="24"/>
        </w:rPr>
        <w:instrText xml:space="preserve"> = 1 \* GB3 </w:instrText>
      </w:r>
      <w:r>
        <w:rPr>
          <w:color w:val="auto"/>
          <w:sz w:val="24"/>
        </w:rPr>
        <w:fldChar w:fldCharType="separate"/>
      </w:r>
      <w:r>
        <w:rPr>
          <w:rFonts w:hint="eastAsia" w:hAnsi="宋体"/>
          <w:color w:val="auto"/>
          <w:sz w:val="24"/>
        </w:rPr>
        <w:t>①</w:t>
      </w:r>
      <w:r>
        <w:rPr>
          <w:color w:val="auto"/>
          <w:sz w:val="24"/>
        </w:rPr>
        <w:fldChar w:fldCharType="end"/>
      </w:r>
      <w:r>
        <w:rPr>
          <w:rFonts w:hint="eastAsia"/>
          <w:color w:val="auto"/>
          <w:sz w:val="24"/>
        </w:rPr>
        <w:t>为软弱土；粉质黏土</w:t>
      </w:r>
      <w:r>
        <w:rPr>
          <w:rFonts w:hint="eastAsia" w:hAnsi="宋体"/>
          <w:color w:val="auto"/>
          <w:sz w:val="24"/>
        </w:rPr>
        <w:t>②</w:t>
      </w:r>
      <w:r>
        <w:rPr>
          <w:rFonts w:hint="eastAsia"/>
          <w:color w:val="auto"/>
          <w:sz w:val="24"/>
        </w:rPr>
        <w:t>、粉砂</w:t>
      </w:r>
      <w:r>
        <w:rPr>
          <w:rFonts w:hint="eastAsia" w:hAnsi="宋体"/>
          <w:color w:val="auto"/>
          <w:sz w:val="24"/>
        </w:rPr>
        <w:t>③</w:t>
      </w:r>
      <w:r>
        <w:rPr>
          <w:rFonts w:hint="eastAsia"/>
          <w:color w:val="auto"/>
          <w:sz w:val="24"/>
        </w:rPr>
        <w:t>、细砂</w:t>
      </w:r>
      <w:r>
        <w:rPr>
          <w:rFonts w:hint="eastAsia" w:hAnsi="宋体"/>
          <w:color w:val="auto"/>
          <w:sz w:val="24"/>
        </w:rPr>
        <w:t>④</w:t>
      </w:r>
      <w:r>
        <w:rPr>
          <w:rFonts w:hint="eastAsia"/>
          <w:color w:val="auto"/>
          <w:sz w:val="24"/>
        </w:rPr>
        <w:t>和细砂</w:t>
      </w:r>
      <w:r>
        <w:rPr>
          <w:rFonts w:hint="eastAsia" w:hAnsi="宋体"/>
          <w:color w:val="auto"/>
          <w:sz w:val="24"/>
        </w:rPr>
        <w:t>⑤</w:t>
      </w:r>
      <w:r>
        <w:rPr>
          <w:rFonts w:hint="eastAsia"/>
          <w:color w:val="auto"/>
          <w:sz w:val="24"/>
        </w:rPr>
        <w:t>为中软土</w:t>
      </w:r>
      <w:r>
        <w:rPr>
          <w:rFonts w:hint="eastAsia"/>
          <w:color w:val="auto"/>
          <w:sz w:val="24"/>
          <w:lang w:eastAsia="zh-CN"/>
        </w:rPr>
        <w:t>，土壤层厚度为</w:t>
      </w:r>
      <w:r>
        <w:rPr>
          <w:rFonts w:hint="eastAsia"/>
          <w:color w:val="auto"/>
          <w:sz w:val="24"/>
          <w:lang w:val="en-US" w:eastAsia="zh-CN"/>
        </w:rPr>
        <w:t>4.4m左右。</w:t>
      </w:r>
    </w:p>
    <w:p w14:paraId="09CD62E2">
      <w:pPr>
        <w:spacing w:line="360" w:lineRule="auto"/>
        <w:ind w:firstLine="480" w:firstLineChars="200"/>
        <w:rPr>
          <w:bCs/>
          <w:color w:val="auto"/>
          <w:sz w:val="24"/>
          <w:szCs w:val="24"/>
        </w:rPr>
      </w:pPr>
      <w:r>
        <w:rPr>
          <w:rFonts w:hint="eastAsia"/>
          <w:bCs/>
          <w:color w:val="auto"/>
          <w:sz w:val="24"/>
          <w:szCs w:val="24"/>
        </w:rPr>
        <w:fldChar w:fldCharType="begin"/>
      </w:r>
      <w:r>
        <w:rPr>
          <w:rFonts w:hint="eastAsia"/>
          <w:bCs/>
          <w:color w:val="auto"/>
          <w:sz w:val="24"/>
          <w:szCs w:val="24"/>
        </w:rPr>
        <w:instrText xml:space="preserve"> = 1 \* GB4 \* MERGEFORMAT </w:instrText>
      </w:r>
      <w:r>
        <w:rPr>
          <w:rFonts w:hint="eastAsia"/>
          <w:bCs/>
          <w:color w:val="auto"/>
          <w:sz w:val="24"/>
          <w:szCs w:val="24"/>
        </w:rPr>
        <w:fldChar w:fldCharType="separate"/>
      </w:r>
      <w:r>
        <w:rPr>
          <w:color w:val="auto"/>
          <w:sz w:val="24"/>
          <w:szCs w:val="24"/>
        </w:rPr>
        <w:t>㈠</w:t>
      </w:r>
      <w:r>
        <w:rPr>
          <w:rFonts w:hint="eastAsia"/>
          <w:bCs/>
          <w:color w:val="auto"/>
          <w:sz w:val="24"/>
          <w:szCs w:val="24"/>
        </w:rPr>
        <w:fldChar w:fldCharType="end"/>
      </w:r>
      <w:r>
        <w:rPr>
          <w:rFonts w:hint="eastAsia"/>
          <w:bCs/>
          <w:color w:val="auto"/>
          <w:sz w:val="24"/>
          <w:szCs w:val="24"/>
        </w:rPr>
        <w:t>杂填土</w:t>
      </w:r>
      <w:r>
        <w:rPr>
          <w:rFonts w:hint="eastAsia" w:ascii="宋体" w:hAnsi="宋体" w:cs="宋体"/>
          <w:bCs/>
          <w:color w:val="auto"/>
          <w:sz w:val="24"/>
          <w:szCs w:val="24"/>
        </w:rPr>
        <w:t>①</w:t>
      </w:r>
      <w:r>
        <w:rPr>
          <w:rFonts w:hint="eastAsia"/>
          <w:bCs/>
          <w:color w:val="auto"/>
          <w:sz w:val="24"/>
          <w:szCs w:val="24"/>
        </w:rPr>
        <w:t>：</w:t>
      </w:r>
    </w:p>
    <w:p w14:paraId="7D565644">
      <w:pPr>
        <w:spacing w:line="360" w:lineRule="auto"/>
        <w:ind w:firstLine="480" w:firstLineChars="200"/>
        <w:rPr>
          <w:bCs/>
          <w:color w:val="auto"/>
          <w:sz w:val="24"/>
          <w:szCs w:val="24"/>
        </w:rPr>
      </w:pPr>
      <w:r>
        <w:rPr>
          <w:rFonts w:hint="eastAsia"/>
          <w:bCs/>
          <w:color w:val="auto"/>
          <w:sz w:val="24"/>
          <w:szCs w:val="24"/>
        </w:rPr>
        <w:t>杂色，湿，松散状态，由砖头、碎石及粘性土组成，局部含植物根系，均匀性较差。该层在本场地普遍存在，层厚</w:t>
      </w:r>
      <w:r>
        <w:rPr>
          <w:bCs/>
          <w:color w:val="auto"/>
          <w:sz w:val="24"/>
          <w:szCs w:val="24"/>
        </w:rPr>
        <w:t>0.80</w:t>
      </w:r>
      <w:r>
        <w:rPr>
          <w:rFonts w:hint="eastAsia"/>
          <w:bCs/>
          <w:color w:val="auto"/>
          <w:sz w:val="24"/>
          <w:szCs w:val="24"/>
        </w:rPr>
        <w:t>～</w:t>
      </w:r>
      <w:r>
        <w:rPr>
          <w:bCs/>
          <w:color w:val="auto"/>
          <w:sz w:val="24"/>
          <w:szCs w:val="24"/>
        </w:rPr>
        <w:t>5.00m</w:t>
      </w:r>
      <w:r>
        <w:rPr>
          <w:rFonts w:hint="eastAsia"/>
          <w:bCs/>
          <w:color w:val="auto"/>
          <w:sz w:val="24"/>
          <w:szCs w:val="24"/>
        </w:rPr>
        <w:t>，层底标高</w:t>
      </w:r>
      <w:r>
        <w:rPr>
          <w:bCs/>
          <w:color w:val="auto"/>
          <w:sz w:val="24"/>
          <w:szCs w:val="24"/>
        </w:rPr>
        <w:t>2.35</w:t>
      </w:r>
      <w:r>
        <w:rPr>
          <w:rFonts w:hint="eastAsia"/>
          <w:bCs/>
          <w:color w:val="auto"/>
          <w:sz w:val="24"/>
          <w:szCs w:val="24"/>
        </w:rPr>
        <w:t>～</w:t>
      </w:r>
      <w:r>
        <w:rPr>
          <w:bCs/>
          <w:color w:val="auto"/>
          <w:sz w:val="24"/>
          <w:szCs w:val="24"/>
        </w:rPr>
        <w:t>6.75m</w:t>
      </w:r>
      <w:r>
        <w:rPr>
          <w:rFonts w:hint="eastAsia"/>
          <w:bCs/>
          <w:color w:val="auto"/>
          <w:sz w:val="24"/>
          <w:szCs w:val="24"/>
        </w:rPr>
        <w:t>。</w:t>
      </w:r>
    </w:p>
    <w:p w14:paraId="1493D5CD">
      <w:pPr>
        <w:spacing w:line="360" w:lineRule="auto"/>
        <w:ind w:firstLine="480" w:firstLineChars="200"/>
        <w:rPr>
          <w:bCs/>
          <w:color w:val="auto"/>
          <w:sz w:val="24"/>
          <w:szCs w:val="24"/>
        </w:rPr>
      </w:pPr>
      <w:r>
        <w:rPr>
          <w:rFonts w:hint="eastAsia"/>
          <w:bCs/>
          <w:color w:val="auto"/>
          <w:sz w:val="24"/>
          <w:szCs w:val="24"/>
        </w:rPr>
        <w:fldChar w:fldCharType="begin"/>
      </w:r>
      <w:r>
        <w:rPr>
          <w:rFonts w:hint="eastAsia"/>
          <w:bCs/>
          <w:color w:val="auto"/>
          <w:sz w:val="24"/>
          <w:szCs w:val="24"/>
        </w:rPr>
        <w:instrText xml:space="preserve"> = 2 \* GB4 \* MERGEFORMAT </w:instrText>
      </w:r>
      <w:r>
        <w:rPr>
          <w:rFonts w:hint="eastAsia"/>
          <w:bCs/>
          <w:color w:val="auto"/>
          <w:sz w:val="24"/>
          <w:szCs w:val="24"/>
        </w:rPr>
        <w:fldChar w:fldCharType="separate"/>
      </w:r>
      <w:r>
        <w:rPr>
          <w:color w:val="auto"/>
          <w:sz w:val="24"/>
          <w:szCs w:val="24"/>
        </w:rPr>
        <w:t>㈡</w:t>
      </w:r>
      <w:r>
        <w:rPr>
          <w:rFonts w:hint="eastAsia"/>
          <w:bCs/>
          <w:color w:val="auto"/>
          <w:sz w:val="24"/>
          <w:szCs w:val="24"/>
        </w:rPr>
        <w:fldChar w:fldCharType="end"/>
      </w:r>
      <w:r>
        <w:rPr>
          <w:rFonts w:hint="eastAsia"/>
          <w:bCs/>
          <w:color w:val="auto"/>
          <w:sz w:val="24"/>
          <w:szCs w:val="24"/>
        </w:rPr>
        <w:t>粉质黏土</w:t>
      </w:r>
      <w:r>
        <w:rPr>
          <w:bCs/>
          <w:color w:val="auto"/>
          <w:sz w:val="24"/>
          <w:szCs w:val="24"/>
        </w:rPr>
        <w:fldChar w:fldCharType="begin"/>
      </w:r>
      <w:r>
        <w:rPr>
          <w:bCs/>
          <w:color w:val="auto"/>
          <w:sz w:val="24"/>
          <w:szCs w:val="24"/>
        </w:rPr>
        <w:instrText xml:space="preserve"> = 2 \* GB3 </w:instrText>
      </w:r>
      <w:r>
        <w:rPr>
          <w:bCs/>
          <w:color w:val="auto"/>
          <w:sz w:val="24"/>
          <w:szCs w:val="24"/>
        </w:rPr>
        <w:fldChar w:fldCharType="separate"/>
      </w:r>
      <w:r>
        <w:rPr>
          <w:rFonts w:hint="eastAsia" w:ascii="宋体" w:hAnsi="宋体" w:cs="宋体"/>
          <w:bCs/>
          <w:color w:val="auto"/>
          <w:sz w:val="24"/>
          <w:szCs w:val="24"/>
        </w:rPr>
        <w:t>②</w:t>
      </w:r>
      <w:r>
        <w:rPr>
          <w:bCs/>
          <w:color w:val="auto"/>
          <w:sz w:val="24"/>
          <w:szCs w:val="24"/>
        </w:rPr>
        <w:fldChar w:fldCharType="end"/>
      </w:r>
      <w:r>
        <w:rPr>
          <w:rFonts w:hint="eastAsia"/>
          <w:bCs/>
          <w:color w:val="auto"/>
          <w:sz w:val="24"/>
          <w:szCs w:val="24"/>
        </w:rPr>
        <w:t>：</w:t>
      </w:r>
    </w:p>
    <w:p w14:paraId="73E04807">
      <w:pPr>
        <w:spacing w:line="360" w:lineRule="auto"/>
        <w:ind w:firstLine="480" w:firstLineChars="200"/>
        <w:rPr>
          <w:bCs/>
          <w:color w:val="auto"/>
          <w:sz w:val="24"/>
          <w:szCs w:val="24"/>
        </w:rPr>
      </w:pPr>
      <w:r>
        <w:rPr>
          <w:rFonts w:hint="eastAsia"/>
          <w:bCs/>
          <w:color w:val="auto"/>
          <w:sz w:val="24"/>
          <w:szCs w:val="24"/>
        </w:rPr>
        <w:t>黄褐色，饱和，软可塑状态，无摇震反应，韧性和干强度中等，稍有光泽，含粉土及粉砂，该层局部分布，层厚</w:t>
      </w:r>
      <w:r>
        <w:rPr>
          <w:bCs/>
          <w:color w:val="auto"/>
          <w:sz w:val="24"/>
          <w:szCs w:val="24"/>
        </w:rPr>
        <w:t>0.50</w:t>
      </w:r>
      <w:r>
        <w:rPr>
          <w:rFonts w:hint="eastAsia"/>
          <w:bCs/>
          <w:color w:val="auto"/>
          <w:sz w:val="24"/>
          <w:szCs w:val="24"/>
        </w:rPr>
        <w:t>～</w:t>
      </w:r>
      <w:r>
        <w:rPr>
          <w:bCs/>
          <w:color w:val="auto"/>
          <w:sz w:val="24"/>
          <w:szCs w:val="24"/>
        </w:rPr>
        <w:t>3.20m</w:t>
      </w:r>
      <w:r>
        <w:rPr>
          <w:rFonts w:hint="eastAsia"/>
          <w:bCs/>
          <w:color w:val="auto"/>
          <w:sz w:val="24"/>
          <w:szCs w:val="24"/>
        </w:rPr>
        <w:t>，层顶标高</w:t>
      </w:r>
      <w:r>
        <w:rPr>
          <w:bCs/>
          <w:color w:val="auto"/>
          <w:sz w:val="24"/>
          <w:szCs w:val="24"/>
        </w:rPr>
        <w:t>6.05</w:t>
      </w:r>
      <w:r>
        <w:rPr>
          <w:rFonts w:hint="eastAsia"/>
          <w:bCs/>
          <w:color w:val="auto"/>
          <w:sz w:val="24"/>
          <w:szCs w:val="24"/>
        </w:rPr>
        <w:t>～</w:t>
      </w:r>
      <w:r>
        <w:rPr>
          <w:bCs/>
          <w:color w:val="auto"/>
          <w:sz w:val="24"/>
          <w:szCs w:val="24"/>
        </w:rPr>
        <w:t>6.75m</w:t>
      </w:r>
      <w:r>
        <w:rPr>
          <w:rFonts w:hint="eastAsia"/>
          <w:bCs/>
          <w:color w:val="auto"/>
          <w:sz w:val="24"/>
          <w:szCs w:val="24"/>
        </w:rPr>
        <w:t>。</w:t>
      </w:r>
    </w:p>
    <w:p w14:paraId="59644FF3">
      <w:pPr>
        <w:spacing w:line="360" w:lineRule="auto"/>
        <w:ind w:firstLine="480" w:firstLineChars="200"/>
        <w:rPr>
          <w:bCs/>
          <w:color w:val="auto"/>
          <w:sz w:val="24"/>
          <w:szCs w:val="24"/>
        </w:rPr>
      </w:pPr>
      <w:r>
        <w:rPr>
          <w:rFonts w:hint="eastAsia"/>
          <w:bCs/>
          <w:color w:val="auto"/>
          <w:sz w:val="24"/>
          <w:szCs w:val="24"/>
        </w:rPr>
        <w:fldChar w:fldCharType="begin"/>
      </w:r>
      <w:r>
        <w:rPr>
          <w:rFonts w:hint="eastAsia"/>
          <w:bCs/>
          <w:color w:val="auto"/>
          <w:sz w:val="24"/>
          <w:szCs w:val="24"/>
        </w:rPr>
        <w:instrText xml:space="preserve"> = 3 \* GB4 \* MERGEFORMAT </w:instrText>
      </w:r>
      <w:r>
        <w:rPr>
          <w:rFonts w:hint="eastAsia"/>
          <w:bCs/>
          <w:color w:val="auto"/>
          <w:sz w:val="24"/>
          <w:szCs w:val="24"/>
        </w:rPr>
        <w:fldChar w:fldCharType="separate"/>
      </w:r>
      <w:r>
        <w:rPr>
          <w:color w:val="auto"/>
          <w:sz w:val="24"/>
          <w:szCs w:val="24"/>
        </w:rPr>
        <w:t>㈢</w:t>
      </w:r>
      <w:r>
        <w:rPr>
          <w:rFonts w:hint="eastAsia"/>
          <w:bCs/>
          <w:color w:val="auto"/>
          <w:sz w:val="24"/>
          <w:szCs w:val="24"/>
        </w:rPr>
        <w:fldChar w:fldCharType="end"/>
      </w:r>
      <w:r>
        <w:rPr>
          <w:rFonts w:hint="eastAsia"/>
          <w:bCs/>
          <w:color w:val="auto"/>
          <w:sz w:val="24"/>
          <w:szCs w:val="24"/>
        </w:rPr>
        <w:t>粉砂</w:t>
      </w:r>
      <w:r>
        <w:rPr>
          <w:rFonts w:hint="eastAsia" w:ascii="宋体" w:hAnsi="宋体" w:cs="宋体"/>
          <w:bCs/>
          <w:color w:val="auto"/>
          <w:sz w:val="24"/>
          <w:szCs w:val="24"/>
        </w:rPr>
        <w:t>③</w:t>
      </w:r>
      <w:r>
        <w:rPr>
          <w:rFonts w:hint="eastAsia"/>
          <w:bCs/>
          <w:color w:val="auto"/>
          <w:sz w:val="24"/>
          <w:szCs w:val="24"/>
        </w:rPr>
        <w:t>：</w:t>
      </w:r>
    </w:p>
    <w:p w14:paraId="3F055AD5">
      <w:pPr>
        <w:spacing w:line="360" w:lineRule="auto"/>
        <w:ind w:firstLine="480" w:firstLineChars="200"/>
        <w:rPr>
          <w:bCs/>
          <w:color w:val="auto"/>
          <w:sz w:val="24"/>
          <w:szCs w:val="24"/>
        </w:rPr>
      </w:pPr>
      <w:r>
        <w:rPr>
          <w:rFonts w:hint="eastAsia"/>
          <w:bCs/>
          <w:color w:val="auto"/>
          <w:sz w:val="24"/>
          <w:szCs w:val="24"/>
        </w:rPr>
        <w:t>黄色，局部灰色，饱和，稍密状态，矿物成分以长石、石英为主，一般粒径</w:t>
      </w:r>
      <w:r>
        <w:rPr>
          <w:bCs/>
          <w:color w:val="auto"/>
          <w:sz w:val="24"/>
          <w:szCs w:val="24"/>
        </w:rPr>
        <w:t>0.25-0.075mm</w:t>
      </w:r>
      <w:r>
        <w:rPr>
          <w:rFonts w:hint="eastAsia"/>
          <w:bCs/>
          <w:color w:val="auto"/>
          <w:sz w:val="24"/>
          <w:szCs w:val="24"/>
        </w:rPr>
        <w:t>，最大</w:t>
      </w:r>
      <w:r>
        <w:rPr>
          <w:bCs/>
          <w:color w:val="auto"/>
          <w:sz w:val="24"/>
          <w:szCs w:val="24"/>
        </w:rPr>
        <w:t>1.0mm</w:t>
      </w:r>
      <w:r>
        <w:rPr>
          <w:rFonts w:hint="eastAsia"/>
          <w:bCs/>
          <w:color w:val="auto"/>
          <w:sz w:val="24"/>
          <w:szCs w:val="24"/>
        </w:rPr>
        <w:t>，含粉土，层厚</w:t>
      </w:r>
      <w:r>
        <w:rPr>
          <w:bCs/>
          <w:color w:val="auto"/>
          <w:sz w:val="24"/>
          <w:szCs w:val="24"/>
        </w:rPr>
        <w:t>2.20</w:t>
      </w:r>
      <w:r>
        <w:rPr>
          <w:rFonts w:hint="eastAsia"/>
          <w:bCs/>
          <w:color w:val="auto"/>
          <w:sz w:val="24"/>
          <w:szCs w:val="24"/>
        </w:rPr>
        <w:t>～</w:t>
      </w:r>
      <w:r>
        <w:rPr>
          <w:bCs/>
          <w:color w:val="auto"/>
          <w:sz w:val="24"/>
          <w:szCs w:val="24"/>
        </w:rPr>
        <w:t>6.60m</w:t>
      </w:r>
      <w:r>
        <w:rPr>
          <w:rFonts w:hint="eastAsia"/>
          <w:bCs/>
          <w:color w:val="auto"/>
          <w:sz w:val="24"/>
          <w:szCs w:val="24"/>
        </w:rPr>
        <w:t>，层顶标高</w:t>
      </w:r>
      <w:r>
        <w:rPr>
          <w:bCs/>
          <w:color w:val="auto"/>
          <w:sz w:val="24"/>
          <w:szCs w:val="24"/>
        </w:rPr>
        <w:t>2.35</w:t>
      </w:r>
      <w:r>
        <w:rPr>
          <w:rFonts w:hint="eastAsia"/>
          <w:bCs/>
          <w:color w:val="auto"/>
          <w:sz w:val="24"/>
          <w:szCs w:val="24"/>
        </w:rPr>
        <w:t>～</w:t>
      </w:r>
      <w:r>
        <w:rPr>
          <w:bCs/>
          <w:color w:val="auto"/>
          <w:sz w:val="24"/>
          <w:szCs w:val="24"/>
        </w:rPr>
        <w:t>6.75m</w:t>
      </w:r>
      <w:r>
        <w:rPr>
          <w:rFonts w:hint="eastAsia"/>
          <w:bCs/>
          <w:color w:val="auto"/>
          <w:sz w:val="24"/>
          <w:szCs w:val="24"/>
        </w:rPr>
        <w:t>。</w:t>
      </w:r>
    </w:p>
    <w:p w14:paraId="3969E3B4">
      <w:pPr>
        <w:spacing w:line="360" w:lineRule="auto"/>
        <w:ind w:firstLine="480" w:firstLineChars="200"/>
        <w:rPr>
          <w:bCs/>
          <w:color w:val="auto"/>
          <w:sz w:val="24"/>
          <w:szCs w:val="24"/>
        </w:rPr>
      </w:pPr>
      <w:r>
        <w:rPr>
          <w:rFonts w:hint="eastAsia"/>
          <w:bCs/>
          <w:color w:val="auto"/>
          <w:sz w:val="24"/>
          <w:szCs w:val="24"/>
        </w:rPr>
        <w:fldChar w:fldCharType="begin"/>
      </w:r>
      <w:r>
        <w:rPr>
          <w:rFonts w:hint="eastAsia"/>
          <w:bCs/>
          <w:color w:val="auto"/>
          <w:sz w:val="24"/>
          <w:szCs w:val="24"/>
        </w:rPr>
        <w:instrText xml:space="preserve"> = 4 \* GB4 \* MERGEFORMAT </w:instrText>
      </w:r>
      <w:r>
        <w:rPr>
          <w:rFonts w:hint="eastAsia"/>
          <w:bCs/>
          <w:color w:val="auto"/>
          <w:sz w:val="24"/>
          <w:szCs w:val="24"/>
        </w:rPr>
        <w:fldChar w:fldCharType="separate"/>
      </w:r>
      <w:r>
        <w:rPr>
          <w:color w:val="auto"/>
          <w:sz w:val="24"/>
          <w:szCs w:val="24"/>
        </w:rPr>
        <w:t>㈣</w:t>
      </w:r>
      <w:r>
        <w:rPr>
          <w:rFonts w:hint="eastAsia"/>
          <w:bCs/>
          <w:color w:val="auto"/>
          <w:sz w:val="24"/>
          <w:szCs w:val="24"/>
        </w:rPr>
        <w:fldChar w:fldCharType="end"/>
      </w:r>
      <w:r>
        <w:rPr>
          <w:rFonts w:hint="eastAsia"/>
          <w:bCs/>
          <w:color w:val="auto"/>
          <w:sz w:val="24"/>
          <w:szCs w:val="24"/>
        </w:rPr>
        <w:t>细砂</w:t>
      </w:r>
      <w:r>
        <w:rPr>
          <w:rFonts w:hint="eastAsia" w:ascii="宋体" w:hAnsi="宋体" w:cs="宋体"/>
          <w:bCs/>
          <w:color w:val="auto"/>
          <w:sz w:val="24"/>
          <w:szCs w:val="24"/>
        </w:rPr>
        <w:t>④</w:t>
      </w:r>
      <w:r>
        <w:rPr>
          <w:rFonts w:hint="eastAsia"/>
          <w:bCs/>
          <w:color w:val="auto"/>
          <w:sz w:val="24"/>
          <w:szCs w:val="24"/>
        </w:rPr>
        <w:t>：</w:t>
      </w:r>
    </w:p>
    <w:p w14:paraId="7FF4DFAB">
      <w:pPr>
        <w:spacing w:line="360" w:lineRule="auto"/>
        <w:ind w:firstLine="480" w:firstLineChars="200"/>
        <w:rPr>
          <w:bCs/>
          <w:color w:val="auto"/>
          <w:sz w:val="24"/>
          <w:szCs w:val="24"/>
        </w:rPr>
      </w:pPr>
      <w:r>
        <w:rPr>
          <w:rFonts w:hint="eastAsia"/>
          <w:bCs/>
          <w:color w:val="auto"/>
          <w:sz w:val="24"/>
          <w:szCs w:val="24"/>
        </w:rPr>
        <w:t>黄色，饱和，稍密状态，矿物成分以长石、石英为主，一般粒径</w:t>
      </w:r>
      <w:r>
        <w:rPr>
          <w:bCs/>
          <w:color w:val="auto"/>
          <w:sz w:val="24"/>
          <w:szCs w:val="24"/>
        </w:rPr>
        <w:t>0.25-0.075mm</w:t>
      </w:r>
      <w:r>
        <w:rPr>
          <w:rFonts w:hint="eastAsia"/>
          <w:bCs/>
          <w:color w:val="auto"/>
          <w:sz w:val="24"/>
          <w:szCs w:val="24"/>
        </w:rPr>
        <w:t>，最大</w:t>
      </w:r>
      <w:r>
        <w:rPr>
          <w:bCs/>
          <w:color w:val="auto"/>
          <w:sz w:val="24"/>
          <w:szCs w:val="24"/>
        </w:rPr>
        <w:t>2.0mm</w:t>
      </w:r>
      <w:r>
        <w:rPr>
          <w:rFonts w:hint="eastAsia"/>
          <w:bCs/>
          <w:color w:val="auto"/>
          <w:sz w:val="24"/>
          <w:szCs w:val="24"/>
        </w:rPr>
        <w:t>，夹薄层粉质粘土，层厚</w:t>
      </w:r>
      <w:r>
        <w:rPr>
          <w:bCs/>
          <w:color w:val="auto"/>
          <w:sz w:val="24"/>
          <w:szCs w:val="24"/>
        </w:rPr>
        <w:t>4.40</w:t>
      </w:r>
      <w:r>
        <w:rPr>
          <w:rFonts w:hint="eastAsia"/>
          <w:bCs/>
          <w:color w:val="auto"/>
          <w:sz w:val="24"/>
          <w:szCs w:val="24"/>
        </w:rPr>
        <w:t>～</w:t>
      </w:r>
      <w:r>
        <w:rPr>
          <w:bCs/>
          <w:color w:val="auto"/>
          <w:sz w:val="24"/>
          <w:szCs w:val="24"/>
        </w:rPr>
        <w:t>5.90m</w:t>
      </w:r>
      <w:r>
        <w:rPr>
          <w:rFonts w:hint="eastAsia"/>
          <w:bCs/>
          <w:color w:val="auto"/>
          <w:sz w:val="24"/>
          <w:szCs w:val="24"/>
        </w:rPr>
        <w:t>，层顶标高</w:t>
      </w:r>
      <w:r>
        <w:rPr>
          <w:bCs/>
          <w:color w:val="auto"/>
          <w:sz w:val="24"/>
          <w:szCs w:val="24"/>
        </w:rPr>
        <w:t>-0.55</w:t>
      </w:r>
      <w:r>
        <w:rPr>
          <w:rFonts w:hint="eastAsia"/>
          <w:bCs/>
          <w:color w:val="auto"/>
          <w:sz w:val="24"/>
          <w:szCs w:val="24"/>
        </w:rPr>
        <w:t>～</w:t>
      </w:r>
      <w:r>
        <w:rPr>
          <w:bCs/>
          <w:color w:val="auto"/>
          <w:sz w:val="24"/>
          <w:szCs w:val="24"/>
        </w:rPr>
        <w:t>1.19m</w:t>
      </w:r>
      <w:r>
        <w:rPr>
          <w:rFonts w:hint="eastAsia"/>
          <w:bCs/>
          <w:color w:val="auto"/>
          <w:sz w:val="24"/>
          <w:szCs w:val="24"/>
        </w:rPr>
        <w:t>。</w:t>
      </w:r>
    </w:p>
    <w:p w14:paraId="253AA572">
      <w:pPr>
        <w:spacing w:line="360" w:lineRule="auto"/>
        <w:ind w:firstLine="480" w:firstLineChars="200"/>
        <w:rPr>
          <w:bCs/>
          <w:color w:val="auto"/>
          <w:sz w:val="24"/>
        </w:rPr>
      </w:pPr>
      <w:r>
        <w:rPr>
          <w:rFonts w:hint="eastAsia"/>
          <w:bCs/>
          <w:color w:val="auto"/>
          <w:sz w:val="24"/>
          <w:szCs w:val="24"/>
        </w:rPr>
        <w:fldChar w:fldCharType="begin"/>
      </w:r>
      <w:r>
        <w:rPr>
          <w:rFonts w:hint="eastAsia"/>
          <w:bCs/>
          <w:color w:val="auto"/>
          <w:sz w:val="24"/>
          <w:szCs w:val="24"/>
        </w:rPr>
        <w:instrText xml:space="preserve"> = 5 \* GB4 \* MERGEFORMAT </w:instrText>
      </w:r>
      <w:r>
        <w:rPr>
          <w:rFonts w:hint="eastAsia"/>
          <w:bCs/>
          <w:color w:val="auto"/>
          <w:sz w:val="24"/>
          <w:szCs w:val="24"/>
        </w:rPr>
        <w:fldChar w:fldCharType="separate"/>
      </w:r>
      <w:r>
        <w:rPr>
          <w:color w:val="auto"/>
          <w:sz w:val="24"/>
          <w:szCs w:val="24"/>
        </w:rPr>
        <w:t>㈤</w:t>
      </w:r>
      <w:r>
        <w:rPr>
          <w:rFonts w:hint="eastAsia"/>
          <w:bCs/>
          <w:color w:val="auto"/>
          <w:sz w:val="24"/>
          <w:szCs w:val="24"/>
        </w:rPr>
        <w:fldChar w:fldCharType="end"/>
      </w:r>
      <w:r>
        <w:rPr>
          <w:rFonts w:hint="eastAsia"/>
          <w:bCs/>
          <w:color w:val="auto"/>
          <w:sz w:val="24"/>
          <w:szCs w:val="24"/>
        </w:rPr>
        <w:t>细</w:t>
      </w:r>
      <w:r>
        <w:rPr>
          <w:rFonts w:hint="eastAsia"/>
          <w:bCs/>
          <w:color w:val="auto"/>
          <w:sz w:val="24"/>
        </w:rPr>
        <w:t>砂</w:t>
      </w:r>
      <w:r>
        <w:rPr>
          <w:rFonts w:hint="eastAsia" w:ascii="宋体" w:hAnsi="宋体" w:cs="宋体"/>
          <w:bCs/>
          <w:color w:val="auto"/>
          <w:sz w:val="24"/>
        </w:rPr>
        <w:t>⑤</w:t>
      </w:r>
      <w:r>
        <w:rPr>
          <w:rFonts w:hint="eastAsia"/>
          <w:bCs/>
          <w:color w:val="auto"/>
          <w:sz w:val="24"/>
        </w:rPr>
        <w:t>：</w:t>
      </w:r>
    </w:p>
    <w:p w14:paraId="02A1EFDE">
      <w:pPr>
        <w:spacing w:line="360" w:lineRule="auto"/>
        <w:ind w:firstLine="480" w:firstLineChars="200"/>
        <w:rPr>
          <w:bCs/>
          <w:color w:val="auto"/>
          <w:sz w:val="24"/>
        </w:rPr>
      </w:pPr>
      <w:r>
        <w:rPr>
          <w:rFonts w:hint="eastAsia"/>
          <w:bCs/>
          <w:color w:val="auto"/>
          <w:sz w:val="24"/>
        </w:rPr>
        <w:t>黄色，饱和，中密状态，矿物成分以长石、石英为主，一般粒径</w:t>
      </w:r>
      <w:r>
        <w:rPr>
          <w:bCs/>
          <w:color w:val="auto"/>
          <w:sz w:val="24"/>
        </w:rPr>
        <w:t>0.25-0.075mm</w:t>
      </w:r>
      <w:r>
        <w:rPr>
          <w:rFonts w:hint="eastAsia"/>
          <w:bCs/>
          <w:color w:val="auto"/>
          <w:sz w:val="24"/>
        </w:rPr>
        <w:t>，最大</w:t>
      </w:r>
      <w:r>
        <w:rPr>
          <w:bCs/>
          <w:color w:val="auto"/>
          <w:sz w:val="24"/>
        </w:rPr>
        <w:t>2.0mm</w:t>
      </w:r>
      <w:r>
        <w:rPr>
          <w:rFonts w:hint="eastAsia"/>
          <w:bCs/>
          <w:color w:val="auto"/>
          <w:sz w:val="24"/>
        </w:rPr>
        <w:t>，夹薄层粉质粘土，层厚</w:t>
      </w:r>
      <w:r>
        <w:rPr>
          <w:bCs/>
          <w:color w:val="auto"/>
          <w:sz w:val="24"/>
        </w:rPr>
        <w:t>2.00</w:t>
      </w:r>
      <w:r>
        <w:rPr>
          <w:rFonts w:hint="eastAsia"/>
          <w:bCs/>
          <w:color w:val="auto"/>
          <w:sz w:val="24"/>
        </w:rPr>
        <w:t>～</w:t>
      </w:r>
      <w:r>
        <w:rPr>
          <w:bCs/>
          <w:color w:val="auto"/>
          <w:sz w:val="24"/>
        </w:rPr>
        <w:t>13.00m</w:t>
      </w:r>
      <w:r>
        <w:rPr>
          <w:rFonts w:hint="eastAsia"/>
          <w:bCs/>
          <w:color w:val="auto"/>
          <w:sz w:val="24"/>
        </w:rPr>
        <w:t>，层顶标高</w:t>
      </w:r>
      <w:r>
        <w:rPr>
          <w:bCs/>
          <w:color w:val="auto"/>
          <w:sz w:val="24"/>
        </w:rPr>
        <w:t>-5.55</w:t>
      </w:r>
      <w:r>
        <w:rPr>
          <w:rFonts w:hint="eastAsia"/>
          <w:bCs/>
          <w:color w:val="auto"/>
          <w:sz w:val="24"/>
        </w:rPr>
        <w:t>～</w:t>
      </w:r>
      <w:r>
        <w:rPr>
          <w:bCs/>
          <w:color w:val="auto"/>
          <w:sz w:val="24"/>
        </w:rPr>
        <w:t>-4.28m</w:t>
      </w:r>
      <w:r>
        <w:rPr>
          <w:rFonts w:hint="eastAsia"/>
          <w:bCs/>
          <w:color w:val="auto"/>
          <w:sz w:val="24"/>
        </w:rPr>
        <w:t>。本次勘察为未揭穿该层。</w:t>
      </w:r>
    </w:p>
    <w:p w14:paraId="30C43EFC">
      <w:pPr>
        <w:spacing w:line="360" w:lineRule="auto"/>
        <w:ind w:firstLine="480" w:firstLineChars="200"/>
        <w:jc w:val="left"/>
        <w:rPr>
          <w:color w:val="auto"/>
          <w:sz w:val="24"/>
        </w:rPr>
      </w:pPr>
      <w:r>
        <w:rPr>
          <w:color w:val="auto"/>
          <w:sz w:val="24"/>
          <w:szCs w:val="24"/>
        </w:rPr>
        <w:fldChar w:fldCharType="begin"/>
      </w:r>
      <w:r>
        <w:rPr>
          <w:color w:val="auto"/>
          <w:sz w:val="24"/>
          <w:szCs w:val="24"/>
        </w:rPr>
        <w:instrText xml:space="preserve"> = 3 \* GB3 \* MERGEFORMAT </w:instrText>
      </w:r>
      <w:r>
        <w:rPr>
          <w:color w:val="auto"/>
          <w:sz w:val="24"/>
          <w:szCs w:val="24"/>
        </w:rPr>
        <w:fldChar w:fldCharType="separate"/>
      </w:r>
      <w:r>
        <w:rPr>
          <w:color w:val="auto"/>
        </w:rPr>
        <w:t>③</w:t>
      </w:r>
      <w:r>
        <w:rPr>
          <w:color w:val="auto"/>
          <w:sz w:val="24"/>
          <w:szCs w:val="24"/>
        </w:rPr>
        <w:fldChar w:fldCharType="end"/>
      </w:r>
      <w:r>
        <w:rPr>
          <w:color w:val="auto"/>
          <w:sz w:val="24"/>
        </w:rPr>
        <w:t>土壤环境影响预测与评价</w:t>
      </w:r>
    </w:p>
    <w:p w14:paraId="3F74BAB4">
      <w:pPr>
        <w:spacing w:line="360" w:lineRule="auto"/>
        <w:ind w:firstLine="560"/>
        <w:rPr>
          <w:color w:val="auto"/>
          <w:sz w:val="24"/>
        </w:rPr>
      </w:pPr>
      <w:r>
        <w:rPr>
          <w:color w:val="auto"/>
          <w:sz w:val="24"/>
        </w:rPr>
        <w:t>1）预测评价范围</w:t>
      </w:r>
    </w:p>
    <w:p w14:paraId="124C582C">
      <w:pPr>
        <w:spacing w:line="360" w:lineRule="auto"/>
        <w:ind w:firstLine="560"/>
        <w:rPr>
          <w:color w:val="auto"/>
          <w:sz w:val="24"/>
        </w:rPr>
      </w:pPr>
      <w:r>
        <w:rPr>
          <w:color w:val="auto"/>
          <w:sz w:val="24"/>
        </w:rPr>
        <w:t>项目</w:t>
      </w:r>
      <w:r>
        <w:rPr>
          <w:rFonts w:hint="eastAsia"/>
          <w:color w:val="auto"/>
          <w:sz w:val="24"/>
          <w:lang w:eastAsia="zh-CN"/>
        </w:rPr>
        <w:t>区域及</w:t>
      </w:r>
      <w:r>
        <w:rPr>
          <w:color w:val="auto"/>
          <w:sz w:val="24"/>
        </w:rPr>
        <w:t>厂界外延0.05km范围内。</w:t>
      </w:r>
    </w:p>
    <w:p w14:paraId="443DC204">
      <w:pPr>
        <w:spacing w:line="360" w:lineRule="auto"/>
        <w:ind w:firstLine="560"/>
        <w:rPr>
          <w:color w:val="auto"/>
          <w:sz w:val="24"/>
        </w:rPr>
      </w:pPr>
      <w:r>
        <w:rPr>
          <w:color w:val="auto"/>
          <w:sz w:val="24"/>
        </w:rPr>
        <w:t>2）预测评价时段</w:t>
      </w:r>
    </w:p>
    <w:p w14:paraId="76B2C166">
      <w:pPr>
        <w:spacing w:line="360" w:lineRule="auto"/>
        <w:ind w:firstLine="560"/>
        <w:rPr>
          <w:color w:val="auto"/>
          <w:sz w:val="24"/>
        </w:rPr>
      </w:pPr>
      <w:r>
        <w:rPr>
          <w:color w:val="auto"/>
          <w:sz w:val="24"/>
        </w:rPr>
        <w:t>根据土壤环境影响识别的结构，确定项目运营期为预测时段。</w:t>
      </w:r>
    </w:p>
    <w:p w14:paraId="644C4115">
      <w:pPr>
        <w:spacing w:line="360" w:lineRule="auto"/>
        <w:ind w:firstLine="560"/>
        <w:rPr>
          <w:color w:val="auto"/>
          <w:sz w:val="24"/>
        </w:rPr>
      </w:pPr>
      <w:r>
        <w:rPr>
          <w:color w:val="auto"/>
          <w:sz w:val="24"/>
        </w:rPr>
        <w:t>3）情景设置</w:t>
      </w:r>
    </w:p>
    <w:p w14:paraId="6956783E">
      <w:pPr>
        <w:spacing w:line="360" w:lineRule="auto"/>
        <w:ind w:firstLine="560"/>
        <w:rPr>
          <w:color w:val="auto"/>
          <w:sz w:val="24"/>
        </w:rPr>
      </w:pPr>
      <w:r>
        <w:rPr>
          <w:color w:val="auto"/>
          <w:sz w:val="24"/>
        </w:rPr>
        <w:t>项目运营后，</w:t>
      </w:r>
      <w:r>
        <w:rPr>
          <w:rFonts w:hint="eastAsia"/>
          <w:color w:val="auto"/>
          <w:sz w:val="24"/>
          <w:lang w:eastAsia="zh-CN"/>
        </w:rPr>
        <w:t>锅炉废气中粉尘经沉降后，落至厂界外耕地，对土壤环境噪声污染；</w:t>
      </w:r>
      <w:r>
        <w:rPr>
          <w:rFonts w:hint="eastAsia"/>
          <w:color w:val="auto"/>
          <w:sz w:val="24"/>
        </w:rPr>
        <w:t>粪污等</w:t>
      </w:r>
      <w:r>
        <w:rPr>
          <w:color w:val="auto"/>
          <w:sz w:val="24"/>
        </w:rPr>
        <w:t>在收集、暂存过程中若发生跑冒滴漏，导致地面漫流或直接渗入土壤产生影响。固体废物经雨水冲刷、地面漫流，渗入土壤产生影响。</w:t>
      </w:r>
    </w:p>
    <w:p w14:paraId="794110C6">
      <w:pPr>
        <w:spacing w:line="360" w:lineRule="auto"/>
        <w:ind w:firstLine="560"/>
        <w:rPr>
          <w:color w:val="auto"/>
          <w:sz w:val="24"/>
        </w:rPr>
      </w:pPr>
      <w:r>
        <w:rPr>
          <w:color w:val="auto"/>
          <w:sz w:val="24"/>
        </w:rPr>
        <w:t>4）预测评价因子</w:t>
      </w:r>
    </w:p>
    <w:p w14:paraId="5C3E3374">
      <w:pPr>
        <w:spacing w:line="360" w:lineRule="auto"/>
        <w:ind w:firstLine="560"/>
        <w:rPr>
          <w:color w:val="auto"/>
          <w:sz w:val="24"/>
        </w:rPr>
      </w:pPr>
      <w:r>
        <w:rPr>
          <w:color w:val="auto"/>
          <w:sz w:val="24"/>
        </w:rPr>
        <w:t>项目运营后废水中的污染物及固体废物主要为有机物，则</w:t>
      </w:r>
      <w:r>
        <w:rPr>
          <w:rFonts w:hint="eastAsia"/>
          <w:color w:val="auto"/>
          <w:sz w:val="24"/>
          <w:lang w:eastAsia="zh-CN"/>
        </w:rPr>
        <w:t>无废水污染因子；废气污染因子选取颗粒态污染物作为预测因子：颗粒物</w:t>
      </w:r>
      <w:r>
        <w:rPr>
          <w:color w:val="auto"/>
          <w:sz w:val="24"/>
        </w:rPr>
        <w:t>。</w:t>
      </w:r>
    </w:p>
    <w:p w14:paraId="2BA3F0A8">
      <w:pPr>
        <w:spacing w:line="360" w:lineRule="auto"/>
        <w:ind w:firstLine="560"/>
        <w:rPr>
          <w:color w:val="auto"/>
          <w:sz w:val="24"/>
        </w:rPr>
      </w:pPr>
      <w:r>
        <w:rPr>
          <w:color w:val="auto"/>
          <w:sz w:val="24"/>
        </w:rPr>
        <w:t>5）预测评价方法</w:t>
      </w:r>
    </w:p>
    <w:p w14:paraId="5A30C0AE">
      <w:pPr>
        <w:spacing w:line="360" w:lineRule="auto"/>
        <w:ind w:firstLine="560"/>
        <w:rPr>
          <w:color w:val="auto"/>
          <w:sz w:val="24"/>
        </w:rPr>
      </w:pPr>
      <w:r>
        <w:rPr>
          <w:color w:val="auto"/>
          <w:sz w:val="24"/>
        </w:rPr>
        <w:t>本项目土壤评价等级为三级，根据《环境影响评价技术导则 土壤环境》（HJ964-2018），评价工作等级为三级的建设项目，可采用定性描述或类比分析法进行预测。</w:t>
      </w:r>
    </w:p>
    <w:p w14:paraId="1756D0A1">
      <w:pPr>
        <w:spacing w:line="360" w:lineRule="auto"/>
        <w:ind w:firstLine="480" w:firstLineChars="200"/>
        <w:rPr>
          <w:color w:val="auto"/>
          <w:sz w:val="24"/>
          <w:szCs w:val="24"/>
        </w:rPr>
      </w:pPr>
      <w:r>
        <w:rPr>
          <w:color w:val="auto"/>
          <w:sz w:val="24"/>
          <w:szCs w:val="24"/>
        </w:rPr>
        <w:fldChar w:fldCharType="begin"/>
      </w:r>
      <w:r>
        <w:rPr>
          <w:color w:val="auto"/>
          <w:sz w:val="24"/>
          <w:szCs w:val="24"/>
        </w:rPr>
        <w:instrText xml:space="preserve"> = 1 \* GB4 \* MERGEFORMAT </w:instrText>
      </w:r>
      <w:r>
        <w:rPr>
          <w:color w:val="auto"/>
          <w:sz w:val="24"/>
          <w:szCs w:val="24"/>
        </w:rPr>
        <w:fldChar w:fldCharType="separate"/>
      </w:r>
      <w:r>
        <w:rPr>
          <w:color w:val="auto"/>
          <w:sz w:val="24"/>
          <w:szCs w:val="24"/>
        </w:rPr>
        <w:t>㈠</w:t>
      </w:r>
      <w:r>
        <w:rPr>
          <w:color w:val="auto"/>
          <w:sz w:val="24"/>
          <w:szCs w:val="24"/>
        </w:rPr>
        <w:fldChar w:fldCharType="end"/>
      </w:r>
      <w:r>
        <w:rPr>
          <w:rFonts w:hint="eastAsia"/>
          <w:color w:val="auto"/>
          <w:sz w:val="24"/>
          <w:szCs w:val="24"/>
          <w:lang w:eastAsia="zh-CN"/>
        </w:rPr>
        <w:t>废水：</w:t>
      </w:r>
      <w:r>
        <w:rPr>
          <w:color w:val="auto"/>
          <w:sz w:val="24"/>
          <w:szCs w:val="24"/>
        </w:rPr>
        <w:t>本项目产生的食堂废水经隔油池处理后同生活污水一起排入旱厕定期清掏</w:t>
      </w:r>
      <w:r>
        <w:rPr>
          <w:rFonts w:hint="eastAsia"/>
          <w:color w:val="auto"/>
          <w:sz w:val="24"/>
          <w:szCs w:val="24"/>
        </w:rPr>
        <w:t>，</w:t>
      </w:r>
      <w:r>
        <w:rPr>
          <w:rFonts w:hint="eastAsia"/>
          <w:color w:val="auto"/>
          <w:sz w:val="24"/>
          <w:szCs w:val="24"/>
          <w:lang w:eastAsia="zh-CN"/>
        </w:rPr>
        <w:t>用作农肥</w:t>
      </w:r>
      <w:r>
        <w:rPr>
          <w:color w:val="auto"/>
          <w:sz w:val="24"/>
          <w:szCs w:val="24"/>
        </w:rPr>
        <w:t>；养殖废水</w:t>
      </w:r>
      <w:r>
        <w:rPr>
          <w:rFonts w:hint="eastAsia" w:hAnsi="宋体"/>
          <w:color w:val="auto"/>
          <w:sz w:val="24"/>
          <w:szCs w:val="24"/>
          <w:lang w:eastAsia="zh-CN"/>
        </w:rPr>
        <w:t>全部进入废水收集池，日产日清，</w:t>
      </w:r>
      <w:r>
        <w:rPr>
          <w:rFonts w:hint="eastAsia"/>
          <w:color w:val="auto"/>
          <w:sz w:val="24"/>
          <w:szCs w:val="24"/>
          <w:lang w:val="en-US" w:eastAsia="zh-CN"/>
        </w:rPr>
        <w:t>由罐车运至辰泰（辽宁）生物科技有限公司制造有机肥。</w:t>
      </w:r>
      <w:r>
        <w:rPr>
          <w:color w:val="auto"/>
          <w:sz w:val="24"/>
          <w:szCs w:val="24"/>
        </w:rPr>
        <w:t>项目废水的收集、处理、暂存设施必须采取“三防”措施，避免发生废水下渗和地面漫流的情况，则废水中有毒有害污染物不会渗入土壤中，对土壤环境的影响较小。</w:t>
      </w:r>
    </w:p>
    <w:p w14:paraId="6472BAC2">
      <w:pPr>
        <w:spacing w:line="360" w:lineRule="auto"/>
        <w:ind w:firstLine="480" w:firstLineChars="200"/>
        <w:rPr>
          <w:color w:val="auto"/>
          <w:sz w:val="24"/>
        </w:rPr>
      </w:pPr>
      <w:r>
        <w:rPr>
          <w:color w:val="auto"/>
          <w:sz w:val="24"/>
          <w:szCs w:val="24"/>
        </w:rPr>
        <w:fldChar w:fldCharType="begin"/>
      </w:r>
      <w:r>
        <w:rPr>
          <w:color w:val="auto"/>
          <w:sz w:val="24"/>
          <w:szCs w:val="24"/>
        </w:rPr>
        <w:instrText xml:space="preserve"> = 2 \* GB4 \* MERGEFORMAT </w:instrText>
      </w:r>
      <w:r>
        <w:rPr>
          <w:color w:val="auto"/>
          <w:sz w:val="24"/>
          <w:szCs w:val="24"/>
        </w:rPr>
        <w:fldChar w:fldCharType="separate"/>
      </w:r>
      <w:r>
        <w:rPr>
          <w:color w:val="auto"/>
          <w:sz w:val="24"/>
          <w:szCs w:val="24"/>
        </w:rPr>
        <w:t>㈡</w:t>
      </w:r>
      <w:r>
        <w:rPr>
          <w:color w:val="auto"/>
          <w:sz w:val="24"/>
          <w:szCs w:val="24"/>
        </w:rPr>
        <w:fldChar w:fldCharType="end"/>
      </w:r>
      <w:r>
        <w:rPr>
          <w:rFonts w:hint="eastAsia"/>
          <w:color w:val="auto"/>
          <w:sz w:val="24"/>
          <w:szCs w:val="24"/>
          <w:lang w:eastAsia="zh-CN"/>
        </w:rPr>
        <w:t>固废：</w:t>
      </w:r>
      <w:r>
        <w:rPr>
          <w:color w:val="auto"/>
          <w:sz w:val="24"/>
          <w:szCs w:val="24"/>
        </w:rPr>
        <w:t>项</w:t>
      </w:r>
      <w:r>
        <w:rPr>
          <w:color w:val="auto"/>
          <w:sz w:val="24"/>
        </w:rPr>
        <w:t>目固体废物分别收集，分类处置，及时清运，固废堆放场所必须做好“三防”工作，严禁随意丢弃和露天堆放，则其发生雨水冲刷的可能性极小，发生地面漫流的几率也极小，则对土壤环境的影响较小。</w:t>
      </w:r>
    </w:p>
    <w:p w14:paraId="6C2C6AB3">
      <w:pPr>
        <w:spacing w:line="360" w:lineRule="auto"/>
        <w:ind w:firstLine="480" w:firstLineChars="200"/>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fldChar w:fldCharType="begin"/>
      </w:r>
      <w:r>
        <w:rPr>
          <w:rFonts w:hint="eastAsia" w:ascii="Times New Roman" w:hAnsi="Times New Roman" w:eastAsia="宋体" w:cs="Times New Roman"/>
          <w:color w:val="auto"/>
          <w:sz w:val="24"/>
          <w:lang w:eastAsia="zh-CN"/>
        </w:rPr>
        <w:instrText xml:space="preserve"> = 3 \* GB4 \* MERGEFORMAT </w:instrText>
      </w:r>
      <w:r>
        <w:rPr>
          <w:rFonts w:hint="eastAsia" w:ascii="Times New Roman" w:hAnsi="Times New Roman" w:eastAsia="宋体" w:cs="Times New Roman"/>
          <w:color w:val="auto"/>
          <w:sz w:val="24"/>
          <w:lang w:eastAsia="zh-CN"/>
        </w:rPr>
        <w:fldChar w:fldCharType="separate"/>
      </w:r>
      <w:r>
        <w:rPr>
          <w:rFonts w:ascii="Times New Roman" w:hAnsi="Times New Roman" w:eastAsia="宋体" w:cs="Times New Roman"/>
          <w:color w:val="auto"/>
          <w:sz w:val="24"/>
        </w:rPr>
        <w:t>㈢</w:t>
      </w:r>
      <w:r>
        <w:rPr>
          <w:rFonts w:hint="eastAsia" w:ascii="Times New Roman" w:hAnsi="Times New Roman" w:eastAsia="宋体" w:cs="Times New Roman"/>
          <w:color w:val="auto"/>
          <w:sz w:val="24"/>
          <w:lang w:eastAsia="zh-CN"/>
        </w:rPr>
        <w:fldChar w:fldCharType="end"/>
      </w:r>
      <w:r>
        <w:rPr>
          <w:rFonts w:hint="eastAsia" w:ascii="Times New Roman" w:hAnsi="Times New Roman" w:eastAsia="宋体" w:cs="Times New Roman"/>
          <w:color w:val="auto"/>
          <w:sz w:val="24"/>
          <w:lang w:eastAsia="zh-CN"/>
        </w:rPr>
        <w:t>废气</w:t>
      </w:r>
    </w:p>
    <w:p w14:paraId="538FA307">
      <w:pPr>
        <w:spacing w:line="360" w:lineRule="auto"/>
        <w:ind w:firstLine="480" w:firstLineChars="200"/>
        <w:rPr>
          <w:bCs/>
          <w:color w:val="auto"/>
          <w:sz w:val="24"/>
        </w:rPr>
      </w:pPr>
      <w:r>
        <w:rPr>
          <w:rFonts w:hint="eastAsia"/>
          <w:bCs/>
          <w:color w:val="auto"/>
          <w:sz w:val="24"/>
        </w:rPr>
        <w:t>根据《环境影响评价技术导则</w:t>
      </w:r>
      <w:r>
        <w:rPr>
          <w:bCs/>
          <w:color w:val="auto"/>
          <w:sz w:val="24"/>
        </w:rPr>
        <w:t xml:space="preserve"> </w:t>
      </w:r>
      <w:r>
        <w:rPr>
          <w:rFonts w:hint="eastAsia"/>
          <w:bCs/>
          <w:color w:val="auto"/>
          <w:sz w:val="24"/>
        </w:rPr>
        <w:t>土壤环境》（</w:t>
      </w:r>
      <w:r>
        <w:rPr>
          <w:bCs/>
          <w:color w:val="auto"/>
          <w:sz w:val="24"/>
        </w:rPr>
        <w:t>HJ 964-2018</w:t>
      </w:r>
      <w:r>
        <w:rPr>
          <w:rFonts w:hint="eastAsia"/>
          <w:bCs/>
          <w:color w:val="auto"/>
          <w:sz w:val="24"/>
        </w:rPr>
        <w:t>），大气沉降影响按下列模式进行预测计算。</w:t>
      </w:r>
    </w:p>
    <w:p w14:paraId="6073C0BF">
      <w:pPr>
        <w:spacing w:line="360" w:lineRule="auto"/>
        <w:ind w:firstLine="480" w:firstLineChars="200"/>
        <w:rPr>
          <w:bCs/>
          <w:color w:val="auto"/>
          <w:sz w:val="24"/>
        </w:rPr>
      </w:pPr>
      <w:r>
        <w:rPr>
          <w:bCs/>
          <w:color w:val="auto"/>
          <w:sz w:val="24"/>
        </w:rPr>
        <w:t>a)</w:t>
      </w:r>
      <w:r>
        <w:rPr>
          <w:rFonts w:hint="eastAsia"/>
          <w:bCs/>
          <w:color w:val="auto"/>
          <w:sz w:val="24"/>
        </w:rPr>
        <w:t>单位质量土壤中某种物质的增量可用下式计算：</w:t>
      </w:r>
    </w:p>
    <w:p w14:paraId="2094298C">
      <w:pPr>
        <w:spacing w:line="360" w:lineRule="auto"/>
        <w:ind w:firstLine="480" w:firstLineChars="200"/>
        <w:rPr>
          <w:bCs/>
          <w:color w:val="auto"/>
          <w:sz w:val="24"/>
        </w:rPr>
      </w:pPr>
      <w:r>
        <w:rPr>
          <w:bCs/>
          <w:color w:val="auto"/>
          <w:sz w:val="24"/>
        </w:rPr>
        <w:t xml:space="preserve">          </w:t>
      </w:r>
      <w:r>
        <w:rPr>
          <w:bCs/>
          <w:i/>
          <w:color w:val="auto"/>
          <w:sz w:val="24"/>
        </w:rPr>
        <w:t>ΔS</w:t>
      </w:r>
      <w:r>
        <w:rPr>
          <w:bCs/>
          <w:color w:val="auto"/>
          <w:sz w:val="24"/>
        </w:rPr>
        <w:t xml:space="preserve"> = n(</w:t>
      </w:r>
      <w:r>
        <w:rPr>
          <w:bCs/>
          <w:i/>
          <w:color w:val="auto"/>
          <w:sz w:val="24"/>
        </w:rPr>
        <w:t>I</w:t>
      </w:r>
      <w:r>
        <w:rPr>
          <w:bCs/>
          <w:i/>
          <w:color w:val="auto"/>
          <w:sz w:val="24"/>
          <w:vertAlign w:val="subscript"/>
        </w:rPr>
        <w:t>s</w:t>
      </w:r>
      <w:r>
        <w:rPr>
          <w:bCs/>
          <w:i/>
          <w:color w:val="auto"/>
          <w:sz w:val="24"/>
        </w:rPr>
        <w:t xml:space="preserve"> – L</w:t>
      </w:r>
      <w:r>
        <w:rPr>
          <w:bCs/>
          <w:i/>
          <w:color w:val="auto"/>
          <w:sz w:val="24"/>
          <w:vertAlign w:val="subscript"/>
        </w:rPr>
        <w:t>s</w:t>
      </w:r>
      <w:r>
        <w:rPr>
          <w:bCs/>
          <w:i/>
          <w:color w:val="auto"/>
          <w:sz w:val="24"/>
        </w:rPr>
        <w:t xml:space="preserve"> - R</w:t>
      </w:r>
      <w:r>
        <w:rPr>
          <w:bCs/>
          <w:i/>
          <w:color w:val="auto"/>
          <w:sz w:val="24"/>
          <w:vertAlign w:val="subscript"/>
        </w:rPr>
        <w:t>s</w:t>
      </w:r>
      <w:r>
        <w:rPr>
          <w:bCs/>
          <w:color w:val="auto"/>
          <w:sz w:val="24"/>
        </w:rPr>
        <w:t>)/(</w:t>
      </w:r>
      <w:r>
        <w:rPr>
          <w:bCs/>
          <w:i/>
          <w:color w:val="auto"/>
          <w:sz w:val="24"/>
        </w:rPr>
        <w:t>ρ</w:t>
      </w:r>
      <w:r>
        <w:rPr>
          <w:bCs/>
          <w:i/>
          <w:color w:val="auto"/>
          <w:sz w:val="24"/>
          <w:vertAlign w:val="subscript"/>
        </w:rPr>
        <w:t>b</w:t>
      </w:r>
      <w:r>
        <w:rPr>
          <w:bCs/>
          <w:i/>
          <w:color w:val="auto"/>
          <w:sz w:val="24"/>
        </w:rPr>
        <w:t>×A×D</w:t>
      </w:r>
      <w:r>
        <w:rPr>
          <w:bCs/>
          <w:color w:val="auto"/>
          <w:sz w:val="24"/>
        </w:rPr>
        <w:t>)</w:t>
      </w:r>
    </w:p>
    <w:p w14:paraId="1BDB33BE">
      <w:pPr>
        <w:spacing w:line="360" w:lineRule="auto"/>
        <w:ind w:firstLine="480" w:firstLineChars="200"/>
        <w:rPr>
          <w:bCs/>
          <w:color w:val="auto"/>
          <w:sz w:val="24"/>
        </w:rPr>
      </w:pPr>
      <w:r>
        <w:rPr>
          <w:rFonts w:hint="eastAsia"/>
          <w:bCs/>
          <w:color w:val="auto"/>
          <w:sz w:val="24"/>
        </w:rPr>
        <w:t>式中：</w:t>
      </w:r>
    </w:p>
    <w:p w14:paraId="7FF5084D">
      <w:pPr>
        <w:spacing w:line="360" w:lineRule="auto"/>
        <w:ind w:firstLine="480" w:firstLineChars="200"/>
        <w:rPr>
          <w:bCs/>
          <w:color w:val="auto"/>
          <w:sz w:val="24"/>
        </w:rPr>
      </w:pPr>
      <w:r>
        <w:rPr>
          <w:bCs/>
          <w:i/>
          <w:color w:val="auto"/>
          <w:sz w:val="24"/>
        </w:rPr>
        <w:t>ΔS—</w:t>
      </w:r>
      <w:r>
        <w:rPr>
          <w:rFonts w:hint="eastAsia"/>
          <w:bCs/>
          <w:color w:val="auto"/>
          <w:sz w:val="24"/>
        </w:rPr>
        <w:t>单位质量表层土壤中某种物质的增量，</w:t>
      </w:r>
      <w:r>
        <w:rPr>
          <w:bCs/>
          <w:color w:val="auto"/>
          <w:sz w:val="24"/>
        </w:rPr>
        <w:t>g/kg</w:t>
      </w:r>
      <w:r>
        <w:rPr>
          <w:rFonts w:hint="eastAsia"/>
          <w:bCs/>
          <w:color w:val="auto"/>
          <w:sz w:val="24"/>
        </w:rPr>
        <w:t>；</w:t>
      </w:r>
    </w:p>
    <w:p w14:paraId="0542C41D">
      <w:pPr>
        <w:spacing w:line="360" w:lineRule="auto"/>
        <w:ind w:firstLine="480" w:firstLineChars="200"/>
        <w:rPr>
          <w:bCs/>
          <w:color w:val="auto"/>
          <w:sz w:val="24"/>
        </w:rPr>
      </w:pPr>
      <w:r>
        <w:rPr>
          <w:bCs/>
          <w:color w:val="auto"/>
          <w:sz w:val="24"/>
        </w:rPr>
        <w:t xml:space="preserve">  </w:t>
      </w:r>
      <w:r>
        <w:rPr>
          <w:bCs/>
          <w:i/>
          <w:color w:val="auto"/>
          <w:sz w:val="24"/>
        </w:rPr>
        <w:t>I</w:t>
      </w:r>
      <w:r>
        <w:rPr>
          <w:bCs/>
          <w:i/>
          <w:color w:val="auto"/>
          <w:sz w:val="24"/>
          <w:vertAlign w:val="subscript"/>
        </w:rPr>
        <w:t>s</w:t>
      </w:r>
      <w:r>
        <w:rPr>
          <w:bCs/>
          <w:i/>
          <w:color w:val="auto"/>
          <w:sz w:val="24"/>
        </w:rPr>
        <w:t>—</w:t>
      </w:r>
      <w:r>
        <w:rPr>
          <w:rFonts w:hint="eastAsia"/>
          <w:bCs/>
          <w:color w:val="auto"/>
          <w:sz w:val="24"/>
        </w:rPr>
        <w:t>预测评价范围内单位年份表层土壤中某种物质的输入量，</w:t>
      </w:r>
      <w:r>
        <w:rPr>
          <w:bCs/>
          <w:color w:val="auto"/>
          <w:sz w:val="24"/>
        </w:rPr>
        <w:t>g</w:t>
      </w:r>
      <w:r>
        <w:rPr>
          <w:rFonts w:hint="eastAsia"/>
          <w:bCs/>
          <w:color w:val="auto"/>
          <w:sz w:val="24"/>
        </w:rPr>
        <w:t>，考虑最不利情况，按项目大气中颗粒物排放量全部位于土壤环境评价范围内，本项目颗粒物排放量为</w:t>
      </w:r>
      <w:r>
        <w:rPr>
          <w:rFonts w:hint="eastAsia"/>
          <w:bCs/>
          <w:color w:val="auto"/>
          <w:sz w:val="24"/>
          <w:lang w:val="en-US" w:eastAsia="zh-CN"/>
        </w:rPr>
        <w:t>0.012</w:t>
      </w:r>
      <w:r>
        <w:rPr>
          <w:bCs/>
          <w:color w:val="auto"/>
          <w:sz w:val="24"/>
        </w:rPr>
        <w:t>t/a</w:t>
      </w:r>
      <w:r>
        <w:rPr>
          <w:rFonts w:hint="eastAsia"/>
          <w:bCs/>
          <w:color w:val="auto"/>
          <w:sz w:val="24"/>
        </w:rPr>
        <w:t>；</w:t>
      </w:r>
    </w:p>
    <w:p w14:paraId="07F95A7E">
      <w:pPr>
        <w:spacing w:line="360" w:lineRule="auto"/>
        <w:ind w:firstLine="480" w:firstLineChars="200"/>
        <w:rPr>
          <w:bCs/>
          <w:color w:val="auto"/>
          <w:sz w:val="24"/>
        </w:rPr>
      </w:pPr>
      <w:r>
        <w:rPr>
          <w:bCs/>
          <w:color w:val="auto"/>
          <w:sz w:val="24"/>
        </w:rPr>
        <w:t xml:space="preserve">  </w:t>
      </w:r>
      <w:r>
        <w:rPr>
          <w:bCs/>
          <w:i/>
          <w:color w:val="auto"/>
          <w:sz w:val="24"/>
        </w:rPr>
        <w:t>L</w:t>
      </w:r>
      <w:r>
        <w:rPr>
          <w:bCs/>
          <w:i/>
          <w:color w:val="auto"/>
          <w:sz w:val="24"/>
          <w:vertAlign w:val="subscript"/>
        </w:rPr>
        <w:t>s</w:t>
      </w:r>
      <w:r>
        <w:rPr>
          <w:bCs/>
          <w:i/>
          <w:color w:val="auto"/>
          <w:sz w:val="24"/>
        </w:rPr>
        <w:t>—</w:t>
      </w:r>
      <w:r>
        <w:rPr>
          <w:rFonts w:hint="eastAsia"/>
          <w:bCs/>
          <w:color w:val="auto"/>
          <w:sz w:val="24"/>
        </w:rPr>
        <w:t>预测评价范围内单位年份表层土壤中某种物质经溶淋排出的量，</w:t>
      </w:r>
      <w:r>
        <w:rPr>
          <w:bCs/>
          <w:color w:val="auto"/>
          <w:sz w:val="24"/>
        </w:rPr>
        <w:t>g</w:t>
      </w:r>
      <w:r>
        <w:rPr>
          <w:rFonts w:hint="eastAsia"/>
          <w:bCs/>
          <w:color w:val="auto"/>
          <w:sz w:val="24"/>
        </w:rPr>
        <w:t>；</w:t>
      </w:r>
    </w:p>
    <w:p w14:paraId="19F0383F">
      <w:pPr>
        <w:spacing w:line="360" w:lineRule="auto"/>
        <w:ind w:firstLine="480" w:firstLineChars="200"/>
        <w:rPr>
          <w:bCs/>
          <w:color w:val="auto"/>
          <w:sz w:val="24"/>
        </w:rPr>
      </w:pPr>
      <w:r>
        <w:rPr>
          <w:bCs/>
          <w:color w:val="auto"/>
          <w:sz w:val="24"/>
        </w:rPr>
        <w:t xml:space="preserve">  </w:t>
      </w:r>
      <w:r>
        <w:rPr>
          <w:bCs/>
          <w:i/>
          <w:color w:val="auto"/>
          <w:sz w:val="24"/>
        </w:rPr>
        <w:t>R</w:t>
      </w:r>
      <w:r>
        <w:rPr>
          <w:bCs/>
          <w:i/>
          <w:color w:val="auto"/>
          <w:sz w:val="24"/>
          <w:vertAlign w:val="subscript"/>
        </w:rPr>
        <w:t>s</w:t>
      </w:r>
      <w:r>
        <w:rPr>
          <w:bCs/>
          <w:i/>
          <w:color w:val="auto"/>
          <w:sz w:val="24"/>
        </w:rPr>
        <w:t>—</w:t>
      </w:r>
      <w:r>
        <w:rPr>
          <w:rFonts w:hint="eastAsia"/>
          <w:bCs/>
          <w:color w:val="auto"/>
          <w:sz w:val="24"/>
        </w:rPr>
        <w:t>预测评价范围内单位年份表层土壤中某种物质经径流排出的量，</w:t>
      </w:r>
      <w:r>
        <w:rPr>
          <w:bCs/>
          <w:color w:val="auto"/>
          <w:sz w:val="24"/>
        </w:rPr>
        <w:t>g</w:t>
      </w:r>
      <w:r>
        <w:rPr>
          <w:rFonts w:hint="eastAsia"/>
          <w:bCs/>
          <w:color w:val="auto"/>
          <w:sz w:val="24"/>
        </w:rPr>
        <w:t>，涉及大气沉降影响的，可不考虑输出量，因此</w:t>
      </w:r>
      <w:r>
        <w:rPr>
          <w:color w:val="auto"/>
          <w:sz w:val="24"/>
        </w:rPr>
        <w:t>Ls</w:t>
      </w:r>
      <w:r>
        <w:rPr>
          <w:rFonts w:hint="eastAsia"/>
          <w:color w:val="auto"/>
          <w:sz w:val="24"/>
        </w:rPr>
        <w:t>、</w:t>
      </w:r>
      <w:r>
        <w:rPr>
          <w:color w:val="auto"/>
          <w:sz w:val="24"/>
        </w:rPr>
        <w:t>Rs</w:t>
      </w:r>
      <w:r>
        <w:rPr>
          <w:rFonts w:hint="eastAsia"/>
          <w:color w:val="auto"/>
          <w:sz w:val="24"/>
        </w:rPr>
        <w:t>均为</w:t>
      </w:r>
      <w:r>
        <w:rPr>
          <w:color w:val="auto"/>
          <w:sz w:val="24"/>
        </w:rPr>
        <w:t>0</w:t>
      </w:r>
      <w:r>
        <w:rPr>
          <w:rFonts w:hint="eastAsia"/>
          <w:bCs/>
          <w:color w:val="auto"/>
          <w:sz w:val="24"/>
        </w:rPr>
        <w:t>。</w:t>
      </w:r>
    </w:p>
    <w:p w14:paraId="33D11F68">
      <w:pPr>
        <w:spacing w:line="360" w:lineRule="auto"/>
        <w:ind w:firstLine="480" w:firstLineChars="200"/>
        <w:rPr>
          <w:bCs/>
          <w:color w:val="auto"/>
          <w:sz w:val="24"/>
        </w:rPr>
      </w:pPr>
      <w:r>
        <w:rPr>
          <w:bCs/>
          <w:color w:val="auto"/>
          <w:sz w:val="24"/>
        </w:rPr>
        <w:t xml:space="preserve">  </w:t>
      </w:r>
      <w:r>
        <w:rPr>
          <w:bCs/>
          <w:i/>
          <w:color w:val="auto"/>
          <w:sz w:val="24"/>
        </w:rPr>
        <w:t>ρ</w:t>
      </w:r>
      <w:r>
        <w:rPr>
          <w:bCs/>
          <w:i/>
          <w:color w:val="auto"/>
          <w:sz w:val="24"/>
          <w:vertAlign w:val="subscript"/>
        </w:rPr>
        <w:t>b</w:t>
      </w:r>
      <w:r>
        <w:rPr>
          <w:bCs/>
          <w:i/>
          <w:color w:val="auto"/>
          <w:sz w:val="24"/>
        </w:rPr>
        <w:t>—</w:t>
      </w:r>
      <w:r>
        <w:rPr>
          <w:rFonts w:hint="eastAsia"/>
          <w:bCs/>
          <w:color w:val="auto"/>
          <w:sz w:val="24"/>
        </w:rPr>
        <w:t>表层土壤容重，</w:t>
      </w:r>
      <w:r>
        <w:rPr>
          <w:bCs/>
          <w:color w:val="auto"/>
          <w:sz w:val="24"/>
        </w:rPr>
        <w:t>kg/m</w:t>
      </w:r>
      <w:r>
        <w:rPr>
          <w:bCs/>
          <w:color w:val="auto"/>
          <w:sz w:val="24"/>
          <w:vertAlign w:val="superscript"/>
        </w:rPr>
        <w:t>3</w:t>
      </w:r>
      <w:r>
        <w:rPr>
          <w:rFonts w:hint="eastAsia"/>
          <w:bCs/>
          <w:color w:val="auto"/>
          <w:sz w:val="24"/>
        </w:rPr>
        <w:t>，根据监测数据可知，本项目取值</w:t>
      </w:r>
      <w:r>
        <w:rPr>
          <w:rFonts w:hint="eastAsia"/>
          <w:bCs/>
          <w:color w:val="auto"/>
          <w:sz w:val="24"/>
          <w:lang w:val="en-US" w:eastAsia="zh-CN"/>
        </w:rPr>
        <w:t>1.53</w:t>
      </w:r>
      <w:r>
        <w:rPr>
          <w:bCs/>
          <w:color w:val="auto"/>
          <w:sz w:val="24"/>
        </w:rPr>
        <w:t>g/cm</w:t>
      </w:r>
      <w:r>
        <w:rPr>
          <w:bCs/>
          <w:color w:val="auto"/>
          <w:sz w:val="24"/>
          <w:vertAlign w:val="superscript"/>
        </w:rPr>
        <w:t>3</w:t>
      </w:r>
      <w:r>
        <w:rPr>
          <w:rFonts w:hint="eastAsia"/>
          <w:bCs/>
          <w:color w:val="auto"/>
          <w:sz w:val="24"/>
        </w:rPr>
        <w:t>；</w:t>
      </w:r>
    </w:p>
    <w:p w14:paraId="2495650E">
      <w:pPr>
        <w:spacing w:line="360" w:lineRule="auto"/>
        <w:ind w:firstLine="480" w:firstLineChars="200"/>
        <w:rPr>
          <w:bCs/>
          <w:color w:val="auto"/>
          <w:sz w:val="24"/>
        </w:rPr>
      </w:pPr>
      <w:r>
        <w:rPr>
          <w:bCs/>
          <w:color w:val="auto"/>
          <w:sz w:val="24"/>
        </w:rPr>
        <w:t xml:space="preserve">   </w:t>
      </w:r>
      <w:r>
        <w:rPr>
          <w:bCs/>
          <w:i/>
          <w:color w:val="auto"/>
          <w:sz w:val="24"/>
        </w:rPr>
        <w:t>A—</w:t>
      </w:r>
      <w:r>
        <w:rPr>
          <w:rFonts w:hint="eastAsia"/>
          <w:bCs/>
          <w:color w:val="auto"/>
          <w:sz w:val="24"/>
        </w:rPr>
        <w:t>预测评价范围，</w:t>
      </w:r>
      <w:r>
        <w:rPr>
          <w:bCs/>
          <w:color w:val="auto"/>
          <w:sz w:val="24"/>
        </w:rPr>
        <w:t>m</w:t>
      </w:r>
      <w:r>
        <w:rPr>
          <w:bCs/>
          <w:color w:val="auto"/>
          <w:sz w:val="24"/>
          <w:vertAlign w:val="superscript"/>
        </w:rPr>
        <w:t>2</w:t>
      </w:r>
      <w:r>
        <w:rPr>
          <w:rFonts w:hint="eastAsia"/>
          <w:bCs/>
          <w:color w:val="auto"/>
          <w:sz w:val="24"/>
        </w:rPr>
        <w:t>，</w:t>
      </w:r>
      <w:r>
        <w:rPr>
          <w:rFonts w:hint="eastAsia"/>
          <w:color w:val="auto"/>
          <w:sz w:val="24"/>
        </w:rPr>
        <w:t>以排气筒为圆心，最大落地浓度出现距离为半径，本项目为</w:t>
      </w:r>
      <w:r>
        <w:rPr>
          <w:rFonts w:hint="eastAsia"/>
          <w:color w:val="auto"/>
          <w:sz w:val="24"/>
          <w:lang w:eastAsia="zh-CN"/>
        </w:rPr>
        <w:t>颗粒物</w:t>
      </w:r>
      <w:r>
        <w:rPr>
          <w:rFonts w:hint="eastAsia"/>
          <w:color w:val="auto"/>
          <w:sz w:val="24"/>
        </w:rPr>
        <w:t>最大落地浓度距离</w:t>
      </w:r>
      <w:r>
        <w:rPr>
          <w:rFonts w:hint="eastAsia"/>
          <w:color w:val="auto"/>
          <w:sz w:val="24"/>
          <w:highlight w:val="none"/>
        </w:rPr>
        <w:t>为</w:t>
      </w:r>
      <w:r>
        <w:rPr>
          <w:rFonts w:hint="eastAsia"/>
          <w:color w:val="auto"/>
          <w:sz w:val="24"/>
          <w:highlight w:val="none"/>
          <w:lang w:val="en-US" w:eastAsia="zh-CN"/>
        </w:rPr>
        <w:t>57</w:t>
      </w:r>
      <w:r>
        <w:rPr>
          <w:color w:val="auto"/>
          <w:sz w:val="24"/>
          <w:highlight w:val="none"/>
        </w:rPr>
        <w:t>m</w:t>
      </w:r>
      <w:r>
        <w:rPr>
          <w:rFonts w:hint="eastAsia"/>
          <w:bCs/>
          <w:color w:val="auto"/>
          <w:sz w:val="24"/>
          <w:highlight w:val="none"/>
        </w:rPr>
        <w:t>；</w:t>
      </w:r>
    </w:p>
    <w:p w14:paraId="5616603C">
      <w:pPr>
        <w:spacing w:line="360" w:lineRule="auto"/>
        <w:ind w:firstLine="480" w:firstLineChars="200"/>
        <w:rPr>
          <w:bCs/>
          <w:color w:val="auto"/>
          <w:sz w:val="24"/>
        </w:rPr>
      </w:pPr>
      <w:r>
        <w:rPr>
          <w:bCs/>
          <w:color w:val="auto"/>
          <w:sz w:val="24"/>
        </w:rPr>
        <w:t xml:space="preserve">  </w:t>
      </w:r>
      <w:r>
        <w:rPr>
          <w:bCs/>
          <w:i/>
          <w:color w:val="auto"/>
          <w:sz w:val="24"/>
        </w:rPr>
        <w:t xml:space="preserve"> D—</w:t>
      </w:r>
      <w:r>
        <w:rPr>
          <w:rFonts w:hint="eastAsia"/>
          <w:bCs/>
          <w:color w:val="auto"/>
          <w:sz w:val="24"/>
        </w:rPr>
        <w:t>表层土壤深度，一般取</w:t>
      </w:r>
      <w:r>
        <w:rPr>
          <w:bCs/>
          <w:color w:val="auto"/>
          <w:sz w:val="24"/>
        </w:rPr>
        <w:t>0.2m</w:t>
      </w:r>
      <w:r>
        <w:rPr>
          <w:rFonts w:hint="eastAsia"/>
          <w:bCs/>
          <w:color w:val="auto"/>
          <w:sz w:val="24"/>
        </w:rPr>
        <w:t>；</w:t>
      </w:r>
    </w:p>
    <w:p w14:paraId="215156F0">
      <w:pPr>
        <w:spacing w:line="360" w:lineRule="auto"/>
        <w:ind w:firstLine="480" w:firstLineChars="200"/>
        <w:rPr>
          <w:bCs/>
          <w:color w:val="auto"/>
          <w:sz w:val="24"/>
        </w:rPr>
      </w:pPr>
      <w:r>
        <w:rPr>
          <w:bCs/>
          <w:color w:val="auto"/>
          <w:sz w:val="24"/>
        </w:rPr>
        <w:t xml:space="preserve">   n—</w:t>
      </w:r>
      <w:r>
        <w:rPr>
          <w:rFonts w:hint="eastAsia"/>
          <w:bCs/>
          <w:color w:val="auto"/>
          <w:sz w:val="24"/>
        </w:rPr>
        <w:t>持续年份，</w:t>
      </w:r>
      <w:r>
        <w:rPr>
          <w:bCs/>
          <w:color w:val="auto"/>
          <w:sz w:val="24"/>
        </w:rPr>
        <w:t>a</w:t>
      </w:r>
      <w:r>
        <w:rPr>
          <w:rFonts w:hint="eastAsia"/>
          <w:bCs/>
          <w:color w:val="auto"/>
          <w:sz w:val="24"/>
        </w:rPr>
        <w:t>，本项目分别选取</w:t>
      </w:r>
      <w:r>
        <w:rPr>
          <w:bCs/>
          <w:color w:val="auto"/>
          <w:sz w:val="24"/>
        </w:rPr>
        <w:t>1</w:t>
      </w:r>
      <w:r>
        <w:rPr>
          <w:rFonts w:hint="eastAsia"/>
          <w:bCs/>
          <w:color w:val="auto"/>
          <w:sz w:val="24"/>
        </w:rPr>
        <w:t>年、</w:t>
      </w:r>
      <w:r>
        <w:rPr>
          <w:bCs/>
          <w:color w:val="auto"/>
          <w:sz w:val="24"/>
        </w:rPr>
        <w:t>5</w:t>
      </w:r>
      <w:r>
        <w:rPr>
          <w:rFonts w:hint="eastAsia"/>
          <w:bCs/>
          <w:color w:val="auto"/>
          <w:sz w:val="24"/>
        </w:rPr>
        <w:t>年、</w:t>
      </w:r>
      <w:r>
        <w:rPr>
          <w:bCs/>
          <w:color w:val="auto"/>
          <w:sz w:val="24"/>
        </w:rPr>
        <w:t>10</w:t>
      </w:r>
      <w:r>
        <w:rPr>
          <w:rFonts w:hint="eastAsia"/>
          <w:bCs/>
          <w:color w:val="auto"/>
          <w:sz w:val="24"/>
        </w:rPr>
        <w:t>年、</w:t>
      </w:r>
      <w:r>
        <w:rPr>
          <w:bCs/>
          <w:color w:val="auto"/>
          <w:sz w:val="24"/>
        </w:rPr>
        <w:t>20</w:t>
      </w:r>
      <w:r>
        <w:rPr>
          <w:rFonts w:hint="eastAsia"/>
          <w:bCs/>
          <w:color w:val="auto"/>
          <w:sz w:val="24"/>
        </w:rPr>
        <w:t>年、</w:t>
      </w:r>
      <w:r>
        <w:rPr>
          <w:bCs/>
          <w:color w:val="auto"/>
          <w:sz w:val="24"/>
        </w:rPr>
        <w:t>30</w:t>
      </w:r>
      <w:r>
        <w:rPr>
          <w:rFonts w:hint="eastAsia"/>
          <w:bCs/>
          <w:color w:val="auto"/>
          <w:sz w:val="24"/>
        </w:rPr>
        <w:t>年进行对比分析。</w:t>
      </w:r>
    </w:p>
    <w:p w14:paraId="4CF4E82A">
      <w:pPr>
        <w:pStyle w:val="149"/>
        <w:spacing w:line="360" w:lineRule="auto"/>
        <w:ind w:firstLine="480" w:firstLineChars="200"/>
        <w:rPr>
          <w:rFonts w:ascii="Times New Roman" w:hAnsi="Times New Roman" w:eastAsia="宋体"/>
          <w:color w:val="auto"/>
          <w:kern w:val="2"/>
        </w:rPr>
      </w:pPr>
      <w:r>
        <w:rPr>
          <w:rFonts w:ascii="Times New Roman" w:hAnsi="Times New Roman" w:eastAsia="宋体"/>
          <w:color w:val="auto"/>
          <w:kern w:val="2"/>
        </w:rPr>
        <w:t>计算参数和计算结果如表1所示。</w:t>
      </w:r>
    </w:p>
    <w:p w14:paraId="3E9E96AB">
      <w:pPr>
        <w:pStyle w:val="149"/>
        <w:ind w:firstLine="413" w:firstLineChars="196"/>
        <w:jc w:val="center"/>
        <w:rPr>
          <w:rFonts w:ascii="Times New Roman" w:hAnsi="Times New Roman" w:eastAsia="宋体"/>
          <w:b/>
          <w:bCs/>
          <w:color w:val="auto"/>
          <w:sz w:val="21"/>
          <w:szCs w:val="21"/>
        </w:rPr>
      </w:pPr>
      <w:r>
        <w:rPr>
          <w:rFonts w:ascii="Times New Roman" w:hAnsi="Times New Roman" w:eastAsia="宋体"/>
          <w:b/>
          <w:bCs/>
          <w:color w:val="auto"/>
          <w:sz w:val="21"/>
          <w:szCs w:val="21"/>
        </w:rPr>
        <w:t>表</w:t>
      </w:r>
      <w:r>
        <w:rPr>
          <w:rFonts w:hint="eastAsia" w:ascii="Times New Roman" w:hAnsi="Times New Roman"/>
          <w:b/>
          <w:bCs/>
          <w:color w:val="auto"/>
          <w:sz w:val="21"/>
          <w:szCs w:val="21"/>
          <w:lang w:val="en-US" w:eastAsia="zh-CN"/>
        </w:rPr>
        <w:t>5.2-29</w:t>
      </w:r>
      <w:r>
        <w:rPr>
          <w:rFonts w:ascii="Times New Roman" w:hAnsi="Times New Roman" w:eastAsia="宋体"/>
          <w:b/>
          <w:bCs/>
          <w:color w:val="auto"/>
          <w:sz w:val="21"/>
          <w:szCs w:val="21"/>
        </w:rPr>
        <w:t xml:space="preserve">   单位质量土壤中污染物增量计算表</w:t>
      </w:r>
    </w:p>
    <w:tbl>
      <w:tblPr>
        <w:tblStyle w:val="53"/>
        <w:tblW w:w="5000" w:type="pct"/>
        <w:tblInd w:w="0" w:type="dxa"/>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621"/>
        <w:gridCol w:w="3260"/>
        <w:gridCol w:w="3647"/>
      </w:tblGrid>
      <w:tr w14:paraId="7194CABF">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trPr>
        <w:tc>
          <w:tcPr>
            <w:tcW w:w="950" w:type="pct"/>
            <w:tcBorders>
              <w:top w:val="double" w:color="auto" w:sz="4" w:space="0"/>
              <w:left w:val="nil"/>
              <w:bottom w:val="single" w:color="000000" w:sz="4" w:space="0"/>
              <w:right w:val="single" w:color="000000" w:sz="4" w:space="0"/>
            </w:tcBorders>
            <w:noWrap w:val="0"/>
            <w:vAlign w:val="center"/>
          </w:tcPr>
          <w:p w14:paraId="0F3BA04D">
            <w:pPr>
              <w:jc w:val="center"/>
              <w:rPr>
                <w:b/>
                <w:bCs/>
                <w:color w:val="auto"/>
                <w:szCs w:val="21"/>
              </w:rPr>
            </w:pPr>
            <w:r>
              <w:rPr>
                <w:rFonts w:hint="eastAsia"/>
                <w:b/>
                <w:bCs/>
                <w:color w:val="auto"/>
              </w:rPr>
              <w:t>序号</w:t>
            </w:r>
          </w:p>
        </w:tc>
        <w:tc>
          <w:tcPr>
            <w:tcW w:w="1911" w:type="pct"/>
            <w:tcBorders>
              <w:top w:val="double" w:color="auto" w:sz="4" w:space="0"/>
              <w:left w:val="single" w:color="000000" w:sz="4" w:space="0"/>
              <w:bottom w:val="single" w:color="000000" w:sz="4" w:space="0"/>
              <w:right w:val="single" w:color="000000" w:sz="4" w:space="0"/>
            </w:tcBorders>
            <w:noWrap w:val="0"/>
            <w:vAlign w:val="center"/>
          </w:tcPr>
          <w:p w14:paraId="60F7EE81">
            <w:pPr>
              <w:jc w:val="center"/>
              <w:rPr>
                <w:b/>
                <w:bCs/>
                <w:color w:val="auto"/>
                <w:szCs w:val="21"/>
              </w:rPr>
            </w:pPr>
            <w:r>
              <w:rPr>
                <w:rFonts w:hint="eastAsia"/>
                <w:b/>
                <w:bCs/>
                <w:color w:val="auto"/>
              </w:rPr>
              <w:t>项目</w:t>
            </w:r>
          </w:p>
        </w:tc>
        <w:tc>
          <w:tcPr>
            <w:tcW w:w="2138" w:type="pct"/>
            <w:tcBorders>
              <w:top w:val="double" w:color="auto" w:sz="4" w:space="0"/>
              <w:left w:val="single" w:color="000000" w:sz="4" w:space="0"/>
              <w:bottom w:val="single" w:color="000000" w:sz="4" w:space="0"/>
              <w:right w:val="nil"/>
            </w:tcBorders>
            <w:noWrap w:val="0"/>
            <w:vAlign w:val="center"/>
          </w:tcPr>
          <w:p w14:paraId="5E507D3D">
            <w:pPr>
              <w:jc w:val="center"/>
              <w:rPr>
                <w:b/>
                <w:bCs/>
                <w:color w:val="auto"/>
                <w:szCs w:val="21"/>
              </w:rPr>
            </w:pPr>
            <w:r>
              <w:rPr>
                <w:rFonts w:hint="eastAsia"/>
                <w:b/>
                <w:bCs/>
                <w:color w:val="auto"/>
                <w:szCs w:val="21"/>
              </w:rPr>
              <w:t>颗粒物</w:t>
            </w:r>
          </w:p>
        </w:tc>
      </w:tr>
      <w:tr w14:paraId="6C9B3F68">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8" w:hRule="atLeast"/>
        </w:trPr>
        <w:tc>
          <w:tcPr>
            <w:tcW w:w="950" w:type="pct"/>
            <w:tcBorders>
              <w:top w:val="single" w:color="000000" w:sz="4" w:space="0"/>
              <w:left w:val="nil"/>
              <w:bottom w:val="single" w:color="000000" w:sz="4" w:space="0"/>
              <w:right w:val="single" w:color="000000" w:sz="4" w:space="0"/>
            </w:tcBorders>
            <w:noWrap w:val="0"/>
            <w:vAlign w:val="center"/>
          </w:tcPr>
          <w:p w14:paraId="36816792">
            <w:pPr>
              <w:jc w:val="center"/>
              <w:rPr>
                <w:color w:val="auto"/>
                <w:szCs w:val="21"/>
              </w:rPr>
            </w:pPr>
            <w:r>
              <w:rPr>
                <w:color w:val="auto"/>
              </w:rPr>
              <w:t>1</w:t>
            </w:r>
          </w:p>
        </w:tc>
        <w:tc>
          <w:tcPr>
            <w:tcW w:w="1911" w:type="pct"/>
            <w:tcBorders>
              <w:top w:val="single" w:color="000000" w:sz="4" w:space="0"/>
              <w:left w:val="single" w:color="000000" w:sz="4" w:space="0"/>
              <w:bottom w:val="single" w:color="000000" w:sz="4" w:space="0"/>
              <w:right w:val="single" w:color="000000" w:sz="4" w:space="0"/>
            </w:tcBorders>
            <w:noWrap w:val="0"/>
            <w:vAlign w:val="center"/>
          </w:tcPr>
          <w:p w14:paraId="1DB783B2">
            <w:pPr>
              <w:jc w:val="center"/>
              <w:rPr>
                <w:color w:val="auto"/>
                <w:szCs w:val="21"/>
              </w:rPr>
            </w:pPr>
            <w:r>
              <w:rPr>
                <w:color w:val="auto"/>
              </w:rPr>
              <w:t>Is</w:t>
            </w:r>
            <w:r>
              <w:rPr>
                <w:rFonts w:hint="eastAsia"/>
                <w:color w:val="auto"/>
              </w:rPr>
              <w:t>（</w:t>
            </w:r>
            <w:r>
              <w:rPr>
                <w:color w:val="auto"/>
              </w:rPr>
              <w:t>g</w:t>
            </w:r>
            <w:r>
              <w:rPr>
                <w:rFonts w:hint="eastAsia"/>
                <w:color w:val="auto"/>
              </w:rPr>
              <w:t>）</w:t>
            </w:r>
          </w:p>
        </w:tc>
        <w:tc>
          <w:tcPr>
            <w:tcW w:w="2138" w:type="pct"/>
            <w:tcBorders>
              <w:top w:val="single" w:color="000000" w:sz="4" w:space="0"/>
              <w:left w:val="single" w:color="000000" w:sz="4" w:space="0"/>
              <w:bottom w:val="single" w:color="000000" w:sz="4" w:space="0"/>
              <w:right w:val="nil"/>
            </w:tcBorders>
            <w:noWrap w:val="0"/>
            <w:vAlign w:val="center"/>
          </w:tcPr>
          <w:p w14:paraId="5F68C7BD">
            <w:pPr>
              <w:jc w:val="center"/>
              <w:rPr>
                <w:rFonts w:hint="default" w:eastAsia="宋体"/>
                <w:color w:val="auto"/>
                <w:szCs w:val="21"/>
                <w:lang w:val="en-US" w:eastAsia="zh-CN"/>
              </w:rPr>
            </w:pPr>
            <w:r>
              <w:rPr>
                <w:rFonts w:hint="eastAsia"/>
                <w:color w:val="auto"/>
                <w:szCs w:val="21"/>
                <w:lang w:val="en-US" w:eastAsia="zh-CN"/>
              </w:rPr>
              <w:t>12000</w:t>
            </w:r>
          </w:p>
        </w:tc>
      </w:tr>
      <w:tr w14:paraId="4167D20B">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950" w:type="pct"/>
            <w:tcBorders>
              <w:top w:val="single" w:color="000000" w:sz="4" w:space="0"/>
              <w:left w:val="nil"/>
              <w:bottom w:val="single" w:color="000000" w:sz="4" w:space="0"/>
              <w:right w:val="single" w:color="000000" w:sz="4" w:space="0"/>
            </w:tcBorders>
            <w:noWrap w:val="0"/>
            <w:vAlign w:val="center"/>
          </w:tcPr>
          <w:p w14:paraId="42553087">
            <w:pPr>
              <w:jc w:val="center"/>
              <w:rPr>
                <w:color w:val="auto"/>
                <w:szCs w:val="21"/>
              </w:rPr>
            </w:pPr>
            <w:r>
              <w:rPr>
                <w:color w:val="auto"/>
              </w:rPr>
              <w:t>2</w:t>
            </w:r>
          </w:p>
        </w:tc>
        <w:tc>
          <w:tcPr>
            <w:tcW w:w="1911" w:type="pct"/>
            <w:tcBorders>
              <w:top w:val="single" w:color="000000" w:sz="4" w:space="0"/>
              <w:left w:val="single" w:color="000000" w:sz="4" w:space="0"/>
              <w:bottom w:val="single" w:color="000000" w:sz="4" w:space="0"/>
              <w:right w:val="single" w:color="000000" w:sz="4" w:space="0"/>
            </w:tcBorders>
            <w:noWrap w:val="0"/>
            <w:vAlign w:val="center"/>
          </w:tcPr>
          <w:p w14:paraId="291DB155">
            <w:pPr>
              <w:jc w:val="center"/>
              <w:rPr>
                <w:color w:val="auto"/>
                <w:szCs w:val="21"/>
              </w:rPr>
            </w:pPr>
            <w:r>
              <w:rPr>
                <w:color w:val="auto"/>
              </w:rPr>
              <w:t>Ls</w:t>
            </w:r>
            <w:r>
              <w:rPr>
                <w:rFonts w:hint="eastAsia"/>
                <w:color w:val="auto"/>
              </w:rPr>
              <w:t>（</w:t>
            </w:r>
            <w:r>
              <w:rPr>
                <w:color w:val="auto"/>
              </w:rPr>
              <w:t>g</w:t>
            </w:r>
            <w:r>
              <w:rPr>
                <w:rFonts w:hint="eastAsia"/>
                <w:color w:val="auto"/>
              </w:rPr>
              <w:t>）</w:t>
            </w:r>
          </w:p>
        </w:tc>
        <w:tc>
          <w:tcPr>
            <w:tcW w:w="2138" w:type="pct"/>
            <w:vMerge w:val="restart"/>
            <w:tcBorders>
              <w:top w:val="single" w:color="000000" w:sz="4" w:space="0"/>
              <w:left w:val="single" w:color="000000" w:sz="4" w:space="0"/>
              <w:bottom w:val="single" w:color="000000" w:sz="4" w:space="0"/>
              <w:right w:val="nil"/>
            </w:tcBorders>
            <w:noWrap w:val="0"/>
            <w:vAlign w:val="center"/>
          </w:tcPr>
          <w:p w14:paraId="17D8303E">
            <w:pPr>
              <w:jc w:val="center"/>
              <w:rPr>
                <w:color w:val="auto"/>
                <w:szCs w:val="21"/>
              </w:rPr>
            </w:pPr>
            <w:r>
              <w:rPr>
                <w:color w:val="auto"/>
              </w:rPr>
              <w:t>/</w:t>
            </w:r>
          </w:p>
        </w:tc>
      </w:tr>
      <w:tr w14:paraId="676B6A17">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950" w:type="pct"/>
            <w:tcBorders>
              <w:top w:val="single" w:color="000000" w:sz="4" w:space="0"/>
              <w:left w:val="nil"/>
              <w:bottom w:val="single" w:color="000000" w:sz="4" w:space="0"/>
              <w:right w:val="single" w:color="000000" w:sz="4" w:space="0"/>
            </w:tcBorders>
            <w:noWrap w:val="0"/>
            <w:vAlign w:val="center"/>
          </w:tcPr>
          <w:p w14:paraId="546AAEAB">
            <w:pPr>
              <w:jc w:val="center"/>
              <w:rPr>
                <w:color w:val="auto"/>
                <w:szCs w:val="21"/>
              </w:rPr>
            </w:pPr>
            <w:r>
              <w:rPr>
                <w:color w:val="auto"/>
              </w:rPr>
              <w:t>3</w:t>
            </w:r>
          </w:p>
        </w:tc>
        <w:tc>
          <w:tcPr>
            <w:tcW w:w="1911" w:type="pct"/>
            <w:tcBorders>
              <w:top w:val="single" w:color="000000" w:sz="4" w:space="0"/>
              <w:left w:val="single" w:color="000000" w:sz="4" w:space="0"/>
              <w:bottom w:val="single" w:color="000000" w:sz="4" w:space="0"/>
              <w:right w:val="single" w:color="000000" w:sz="4" w:space="0"/>
            </w:tcBorders>
            <w:noWrap w:val="0"/>
            <w:vAlign w:val="center"/>
          </w:tcPr>
          <w:p w14:paraId="4D5E4966">
            <w:pPr>
              <w:jc w:val="center"/>
              <w:rPr>
                <w:color w:val="auto"/>
                <w:szCs w:val="21"/>
              </w:rPr>
            </w:pPr>
            <w:r>
              <w:rPr>
                <w:color w:val="auto"/>
              </w:rPr>
              <w:t>Rs</w:t>
            </w:r>
            <w:r>
              <w:rPr>
                <w:rFonts w:hint="eastAsia"/>
                <w:color w:val="auto"/>
              </w:rPr>
              <w:t>（</w:t>
            </w:r>
            <w:r>
              <w:rPr>
                <w:color w:val="auto"/>
              </w:rPr>
              <w:t>g</w:t>
            </w:r>
            <w:r>
              <w:rPr>
                <w:rFonts w:hint="eastAsia"/>
                <w:color w:val="auto"/>
              </w:rPr>
              <w:t>）</w:t>
            </w:r>
          </w:p>
        </w:tc>
        <w:tc>
          <w:tcPr>
            <w:tcW w:w="0" w:type="auto"/>
            <w:vMerge w:val="continue"/>
            <w:tcBorders>
              <w:top w:val="single" w:color="000000" w:sz="4" w:space="0"/>
              <w:left w:val="single" w:color="000000" w:sz="4" w:space="0"/>
              <w:bottom w:val="single" w:color="000000" w:sz="4" w:space="0"/>
              <w:right w:val="nil"/>
            </w:tcBorders>
            <w:noWrap w:val="0"/>
            <w:vAlign w:val="center"/>
          </w:tcPr>
          <w:p w14:paraId="68268F4C">
            <w:pPr>
              <w:widowControl/>
              <w:jc w:val="left"/>
              <w:rPr>
                <w:color w:val="auto"/>
                <w:szCs w:val="21"/>
              </w:rPr>
            </w:pPr>
          </w:p>
        </w:tc>
      </w:tr>
      <w:tr w14:paraId="68B0EA7A">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950" w:type="pct"/>
            <w:tcBorders>
              <w:top w:val="single" w:color="000000" w:sz="4" w:space="0"/>
              <w:left w:val="nil"/>
              <w:bottom w:val="single" w:color="000000" w:sz="4" w:space="0"/>
              <w:right w:val="single" w:color="000000" w:sz="4" w:space="0"/>
            </w:tcBorders>
            <w:noWrap w:val="0"/>
            <w:vAlign w:val="center"/>
          </w:tcPr>
          <w:p w14:paraId="4721CD7C">
            <w:pPr>
              <w:jc w:val="center"/>
              <w:rPr>
                <w:color w:val="auto"/>
                <w:szCs w:val="21"/>
              </w:rPr>
            </w:pPr>
            <w:r>
              <w:rPr>
                <w:color w:val="auto"/>
              </w:rPr>
              <w:t>4</w:t>
            </w:r>
          </w:p>
        </w:tc>
        <w:tc>
          <w:tcPr>
            <w:tcW w:w="1911" w:type="pct"/>
            <w:tcBorders>
              <w:top w:val="single" w:color="000000" w:sz="4" w:space="0"/>
              <w:left w:val="single" w:color="000000" w:sz="4" w:space="0"/>
              <w:bottom w:val="single" w:color="000000" w:sz="4" w:space="0"/>
              <w:right w:val="single" w:color="000000" w:sz="4" w:space="0"/>
            </w:tcBorders>
            <w:noWrap w:val="0"/>
            <w:vAlign w:val="center"/>
          </w:tcPr>
          <w:p w14:paraId="5447E9FF">
            <w:pPr>
              <w:jc w:val="center"/>
              <w:rPr>
                <w:color w:val="auto"/>
                <w:szCs w:val="21"/>
              </w:rPr>
            </w:pPr>
            <w:r>
              <w:rPr>
                <w:rFonts w:hint="eastAsia"/>
                <w:color w:val="auto"/>
              </w:rPr>
              <w:t>表层土壤容重（</w:t>
            </w:r>
            <w:r>
              <w:rPr>
                <w:color w:val="auto"/>
              </w:rPr>
              <w:t>g/cm</w:t>
            </w:r>
            <w:r>
              <w:rPr>
                <w:color w:val="auto"/>
                <w:vertAlign w:val="superscript"/>
              </w:rPr>
              <w:t>3</w:t>
            </w:r>
            <w:r>
              <w:rPr>
                <w:rFonts w:hint="eastAsia"/>
                <w:color w:val="auto"/>
              </w:rPr>
              <w:t>）</w:t>
            </w:r>
          </w:p>
        </w:tc>
        <w:tc>
          <w:tcPr>
            <w:tcW w:w="2138" w:type="pct"/>
            <w:tcBorders>
              <w:top w:val="single" w:color="000000" w:sz="4" w:space="0"/>
              <w:left w:val="single" w:color="000000" w:sz="4" w:space="0"/>
              <w:bottom w:val="single" w:color="000000" w:sz="4" w:space="0"/>
              <w:right w:val="nil"/>
            </w:tcBorders>
            <w:noWrap w:val="0"/>
            <w:vAlign w:val="center"/>
          </w:tcPr>
          <w:p w14:paraId="76885617">
            <w:pPr>
              <w:jc w:val="center"/>
              <w:rPr>
                <w:rFonts w:hint="default" w:eastAsia="宋体"/>
                <w:color w:val="auto"/>
                <w:szCs w:val="21"/>
                <w:lang w:val="en-US" w:eastAsia="zh-CN"/>
              </w:rPr>
            </w:pPr>
            <w:r>
              <w:rPr>
                <w:rFonts w:hint="eastAsia"/>
                <w:color w:val="auto"/>
                <w:szCs w:val="21"/>
                <w:lang w:val="en-US" w:eastAsia="zh-CN"/>
              </w:rPr>
              <w:t>1.53</w:t>
            </w:r>
          </w:p>
        </w:tc>
      </w:tr>
      <w:tr w14:paraId="28CE2A44">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950" w:type="pct"/>
            <w:tcBorders>
              <w:top w:val="single" w:color="000000" w:sz="4" w:space="0"/>
              <w:left w:val="nil"/>
              <w:bottom w:val="single" w:color="000000" w:sz="4" w:space="0"/>
              <w:right w:val="single" w:color="000000" w:sz="4" w:space="0"/>
            </w:tcBorders>
            <w:noWrap w:val="0"/>
            <w:vAlign w:val="center"/>
          </w:tcPr>
          <w:p w14:paraId="625FE983">
            <w:pPr>
              <w:jc w:val="center"/>
              <w:rPr>
                <w:color w:val="auto"/>
                <w:szCs w:val="21"/>
              </w:rPr>
            </w:pPr>
            <w:r>
              <w:rPr>
                <w:color w:val="auto"/>
              </w:rPr>
              <w:t>5</w:t>
            </w:r>
          </w:p>
        </w:tc>
        <w:tc>
          <w:tcPr>
            <w:tcW w:w="1911" w:type="pct"/>
            <w:tcBorders>
              <w:top w:val="single" w:color="000000" w:sz="4" w:space="0"/>
              <w:left w:val="single" w:color="000000" w:sz="4" w:space="0"/>
              <w:bottom w:val="single" w:color="000000" w:sz="4" w:space="0"/>
              <w:right w:val="single" w:color="000000" w:sz="4" w:space="0"/>
            </w:tcBorders>
            <w:noWrap w:val="0"/>
            <w:vAlign w:val="center"/>
          </w:tcPr>
          <w:p w14:paraId="7AF6A929">
            <w:pPr>
              <w:jc w:val="center"/>
              <w:rPr>
                <w:color w:val="auto"/>
                <w:szCs w:val="21"/>
              </w:rPr>
            </w:pPr>
            <w:r>
              <w:rPr>
                <w:color w:val="auto"/>
              </w:rPr>
              <w:t>A</w:t>
            </w:r>
            <w:r>
              <w:rPr>
                <w:rFonts w:hint="eastAsia"/>
                <w:color w:val="auto"/>
              </w:rPr>
              <w:t>（</w:t>
            </w:r>
            <w:r>
              <w:rPr>
                <w:color w:val="auto"/>
              </w:rPr>
              <w:t>m</w:t>
            </w:r>
            <w:r>
              <w:rPr>
                <w:color w:val="auto"/>
                <w:vertAlign w:val="superscript"/>
              </w:rPr>
              <w:t>2</w:t>
            </w:r>
            <w:r>
              <w:rPr>
                <w:rFonts w:hint="eastAsia"/>
                <w:color w:val="auto"/>
              </w:rPr>
              <w:t>）</w:t>
            </w:r>
          </w:p>
        </w:tc>
        <w:tc>
          <w:tcPr>
            <w:tcW w:w="2138" w:type="pct"/>
            <w:tcBorders>
              <w:top w:val="single" w:color="000000" w:sz="4" w:space="0"/>
              <w:left w:val="single" w:color="000000" w:sz="4" w:space="0"/>
              <w:bottom w:val="single" w:color="000000" w:sz="4" w:space="0"/>
              <w:right w:val="nil"/>
            </w:tcBorders>
            <w:noWrap w:val="0"/>
            <w:vAlign w:val="center"/>
          </w:tcPr>
          <w:p w14:paraId="17680C77">
            <w:pPr>
              <w:jc w:val="center"/>
              <w:rPr>
                <w:rFonts w:hint="default" w:eastAsia="宋体"/>
                <w:color w:val="auto"/>
                <w:szCs w:val="21"/>
                <w:highlight w:val="none"/>
                <w:lang w:val="en-US" w:eastAsia="zh-CN"/>
              </w:rPr>
            </w:pPr>
            <w:r>
              <w:rPr>
                <w:rFonts w:hint="eastAsia"/>
                <w:color w:val="auto"/>
                <w:szCs w:val="21"/>
                <w:highlight w:val="none"/>
                <w:lang w:val="en-US" w:eastAsia="zh-CN"/>
              </w:rPr>
              <w:t>2640</w:t>
            </w:r>
          </w:p>
        </w:tc>
      </w:tr>
      <w:tr w14:paraId="44E800AB">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950" w:type="pct"/>
            <w:tcBorders>
              <w:top w:val="single" w:color="000000" w:sz="4" w:space="0"/>
              <w:left w:val="nil"/>
              <w:bottom w:val="single" w:color="000000" w:sz="4" w:space="0"/>
              <w:right w:val="single" w:color="000000" w:sz="4" w:space="0"/>
            </w:tcBorders>
            <w:noWrap w:val="0"/>
            <w:vAlign w:val="center"/>
          </w:tcPr>
          <w:p w14:paraId="22A69327">
            <w:pPr>
              <w:jc w:val="center"/>
              <w:rPr>
                <w:color w:val="auto"/>
                <w:szCs w:val="21"/>
              </w:rPr>
            </w:pPr>
            <w:r>
              <w:rPr>
                <w:color w:val="auto"/>
              </w:rPr>
              <w:t>6</w:t>
            </w:r>
          </w:p>
        </w:tc>
        <w:tc>
          <w:tcPr>
            <w:tcW w:w="1911" w:type="pct"/>
            <w:tcBorders>
              <w:top w:val="single" w:color="000000" w:sz="4" w:space="0"/>
              <w:left w:val="single" w:color="000000" w:sz="4" w:space="0"/>
              <w:bottom w:val="single" w:color="000000" w:sz="4" w:space="0"/>
              <w:right w:val="single" w:color="000000" w:sz="4" w:space="0"/>
            </w:tcBorders>
            <w:noWrap w:val="0"/>
            <w:vAlign w:val="center"/>
          </w:tcPr>
          <w:p w14:paraId="4F89FA51">
            <w:pPr>
              <w:jc w:val="center"/>
              <w:rPr>
                <w:color w:val="auto"/>
                <w:szCs w:val="21"/>
              </w:rPr>
            </w:pPr>
            <w:r>
              <w:rPr>
                <w:color w:val="auto"/>
              </w:rPr>
              <w:t>D</w:t>
            </w:r>
            <w:r>
              <w:rPr>
                <w:rFonts w:hint="eastAsia"/>
                <w:color w:val="auto"/>
              </w:rPr>
              <w:t>（</w:t>
            </w:r>
            <w:r>
              <w:rPr>
                <w:color w:val="auto"/>
              </w:rPr>
              <w:t>m</w:t>
            </w:r>
            <w:r>
              <w:rPr>
                <w:rFonts w:hint="eastAsia"/>
                <w:color w:val="auto"/>
              </w:rPr>
              <w:t>）</w:t>
            </w:r>
          </w:p>
        </w:tc>
        <w:tc>
          <w:tcPr>
            <w:tcW w:w="2138" w:type="pct"/>
            <w:tcBorders>
              <w:top w:val="single" w:color="000000" w:sz="4" w:space="0"/>
              <w:left w:val="single" w:color="000000" w:sz="4" w:space="0"/>
              <w:bottom w:val="single" w:color="000000" w:sz="4" w:space="0"/>
              <w:right w:val="nil"/>
            </w:tcBorders>
            <w:noWrap w:val="0"/>
            <w:vAlign w:val="center"/>
          </w:tcPr>
          <w:p w14:paraId="766D5863">
            <w:pPr>
              <w:jc w:val="center"/>
              <w:rPr>
                <w:color w:val="auto"/>
                <w:szCs w:val="21"/>
              </w:rPr>
            </w:pPr>
            <w:r>
              <w:rPr>
                <w:color w:val="auto"/>
              </w:rPr>
              <w:t>0.2</w:t>
            </w:r>
          </w:p>
        </w:tc>
      </w:tr>
      <w:tr w14:paraId="7C3E5CA9">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950" w:type="pct"/>
            <w:tcBorders>
              <w:top w:val="single" w:color="000000" w:sz="4" w:space="0"/>
              <w:left w:val="nil"/>
              <w:bottom w:val="single" w:color="000000" w:sz="4" w:space="0"/>
              <w:right w:val="single" w:color="000000" w:sz="4" w:space="0"/>
            </w:tcBorders>
            <w:noWrap w:val="0"/>
            <w:vAlign w:val="center"/>
          </w:tcPr>
          <w:p w14:paraId="27B943B8">
            <w:pPr>
              <w:jc w:val="center"/>
              <w:rPr>
                <w:color w:val="auto"/>
                <w:szCs w:val="21"/>
              </w:rPr>
            </w:pPr>
            <w:r>
              <w:rPr>
                <w:color w:val="auto"/>
              </w:rPr>
              <w:t>7</w:t>
            </w:r>
          </w:p>
        </w:tc>
        <w:tc>
          <w:tcPr>
            <w:tcW w:w="1911" w:type="pct"/>
            <w:tcBorders>
              <w:top w:val="single" w:color="000000" w:sz="4" w:space="0"/>
              <w:left w:val="single" w:color="000000" w:sz="4" w:space="0"/>
              <w:bottom w:val="single" w:color="000000" w:sz="4" w:space="0"/>
              <w:right w:val="single" w:color="000000" w:sz="4" w:space="0"/>
            </w:tcBorders>
            <w:noWrap w:val="0"/>
            <w:vAlign w:val="center"/>
          </w:tcPr>
          <w:p w14:paraId="05286D0E">
            <w:pPr>
              <w:jc w:val="center"/>
              <w:rPr>
                <w:color w:val="auto"/>
                <w:szCs w:val="21"/>
              </w:rPr>
            </w:pPr>
            <w:r>
              <w:rPr>
                <w:color w:val="auto"/>
              </w:rPr>
              <w:t>1</w:t>
            </w:r>
            <w:r>
              <w:rPr>
                <w:rFonts w:hint="eastAsia"/>
                <w:color w:val="auto"/>
              </w:rPr>
              <w:t>年沉降增量（</w:t>
            </w:r>
            <w:r>
              <w:rPr>
                <w:color w:val="auto"/>
              </w:rPr>
              <w:t>mg/kg</w:t>
            </w:r>
            <w:r>
              <w:rPr>
                <w:rFonts w:hint="eastAsia"/>
                <w:color w:val="auto"/>
              </w:rPr>
              <w:t>）</w:t>
            </w:r>
          </w:p>
        </w:tc>
        <w:tc>
          <w:tcPr>
            <w:tcW w:w="2138" w:type="pct"/>
            <w:tcBorders>
              <w:top w:val="single" w:color="000000" w:sz="4" w:space="0"/>
              <w:left w:val="single" w:color="000000" w:sz="4" w:space="0"/>
              <w:bottom w:val="single" w:color="000000" w:sz="4" w:space="0"/>
              <w:right w:val="nil"/>
            </w:tcBorders>
            <w:noWrap w:val="0"/>
            <w:vAlign w:val="center"/>
          </w:tcPr>
          <w:p w14:paraId="3197FC5B">
            <w:pPr>
              <w:jc w:val="center"/>
              <w:rPr>
                <w:rFonts w:hint="default" w:eastAsia="宋体"/>
                <w:color w:val="auto"/>
                <w:szCs w:val="21"/>
                <w:highlight w:val="none"/>
                <w:lang w:val="en-US" w:eastAsia="zh-CN"/>
              </w:rPr>
            </w:pPr>
            <w:r>
              <w:rPr>
                <w:rFonts w:hint="eastAsia"/>
                <w:color w:val="auto"/>
                <w:szCs w:val="21"/>
                <w:highlight w:val="none"/>
                <w:lang w:val="en-US" w:eastAsia="zh-CN"/>
              </w:rPr>
              <w:t>14.85</w:t>
            </w:r>
          </w:p>
        </w:tc>
      </w:tr>
      <w:tr w14:paraId="3CAE6A71">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950" w:type="pct"/>
            <w:tcBorders>
              <w:top w:val="single" w:color="000000" w:sz="4" w:space="0"/>
              <w:left w:val="nil"/>
              <w:bottom w:val="single" w:color="000000" w:sz="4" w:space="0"/>
              <w:right w:val="single" w:color="000000" w:sz="4" w:space="0"/>
            </w:tcBorders>
            <w:noWrap w:val="0"/>
            <w:vAlign w:val="center"/>
          </w:tcPr>
          <w:p w14:paraId="697BA9B0">
            <w:pPr>
              <w:jc w:val="center"/>
              <w:rPr>
                <w:color w:val="auto"/>
                <w:szCs w:val="21"/>
              </w:rPr>
            </w:pPr>
            <w:r>
              <w:rPr>
                <w:color w:val="auto"/>
              </w:rPr>
              <w:t>8</w:t>
            </w:r>
          </w:p>
        </w:tc>
        <w:tc>
          <w:tcPr>
            <w:tcW w:w="1911" w:type="pct"/>
            <w:tcBorders>
              <w:top w:val="single" w:color="000000" w:sz="4" w:space="0"/>
              <w:left w:val="single" w:color="000000" w:sz="4" w:space="0"/>
              <w:bottom w:val="single" w:color="000000" w:sz="4" w:space="0"/>
              <w:right w:val="single" w:color="000000" w:sz="4" w:space="0"/>
            </w:tcBorders>
            <w:noWrap w:val="0"/>
            <w:vAlign w:val="center"/>
          </w:tcPr>
          <w:p w14:paraId="702C6ED0">
            <w:pPr>
              <w:jc w:val="center"/>
              <w:rPr>
                <w:color w:val="auto"/>
                <w:szCs w:val="21"/>
              </w:rPr>
            </w:pPr>
            <w:r>
              <w:rPr>
                <w:color w:val="auto"/>
              </w:rPr>
              <w:t>5</w:t>
            </w:r>
            <w:r>
              <w:rPr>
                <w:rFonts w:hint="eastAsia"/>
                <w:color w:val="auto"/>
              </w:rPr>
              <w:t>年沉降增量（</w:t>
            </w:r>
            <w:r>
              <w:rPr>
                <w:color w:val="auto"/>
              </w:rPr>
              <w:t>mg/kg</w:t>
            </w:r>
            <w:r>
              <w:rPr>
                <w:rFonts w:hint="eastAsia"/>
                <w:color w:val="auto"/>
              </w:rPr>
              <w:t>）</w:t>
            </w:r>
          </w:p>
        </w:tc>
        <w:tc>
          <w:tcPr>
            <w:tcW w:w="2138" w:type="pct"/>
            <w:tcBorders>
              <w:top w:val="single" w:color="000000" w:sz="4" w:space="0"/>
              <w:left w:val="single" w:color="000000" w:sz="4" w:space="0"/>
              <w:bottom w:val="single" w:color="000000" w:sz="4" w:space="0"/>
              <w:right w:val="nil"/>
            </w:tcBorders>
            <w:noWrap w:val="0"/>
            <w:vAlign w:val="center"/>
          </w:tcPr>
          <w:p w14:paraId="79B5A809">
            <w:pPr>
              <w:jc w:val="center"/>
              <w:rPr>
                <w:rFonts w:hint="default" w:eastAsia="宋体"/>
                <w:color w:val="auto"/>
                <w:szCs w:val="21"/>
                <w:highlight w:val="none"/>
                <w:lang w:val="en-US" w:eastAsia="zh-CN"/>
              </w:rPr>
            </w:pPr>
            <w:r>
              <w:rPr>
                <w:rFonts w:hint="eastAsia"/>
                <w:color w:val="auto"/>
                <w:szCs w:val="21"/>
                <w:highlight w:val="none"/>
                <w:lang w:val="en-US" w:eastAsia="zh-CN"/>
              </w:rPr>
              <w:t>74.25</w:t>
            </w:r>
          </w:p>
        </w:tc>
      </w:tr>
      <w:tr w14:paraId="736547A3">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950" w:type="pct"/>
            <w:tcBorders>
              <w:top w:val="single" w:color="000000" w:sz="4" w:space="0"/>
              <w:left w:val="nil"/>
              <w:bottom w:val="single" w:color="000000" w:sz="4" w:space="0"/>
              <w:right w:val="single" w:color="000000" w:sz="4" w:space="0"/>
            </w:tcBorders>
            <w:noWrap w:val="0"/>
            <w:vAlign w:val="center"/>
          </w:tcPr>
          <w:p w14:paraId="66EB4FD2">
            <w:pPr>
              <w:jc w:val="center"/>
              <w:rPr>
                <w:color w:val="auto"/>
                <w:szCs w:val="21"/>
              </w:rPr>
            </w:pPr>
            <w:r>
              <w:rPr>
                <w:color w:val="auto"/>
              </w:rPr>
              <w:t>9</w:t>
            </w:r>
          </w:p>
        </w:tc>
        <w:tc>
          <w:tcPr>
            <w:tcW w:w="1911" w:type="pct"/>
            <w:tcBorders>
              <w:top w:val="single" w:color="000000" w:sz="4" w:space="0"/>
              <w:left w:val="single" w:color="000000" w:sz="4" w:space="0"/>
              <w:bottom w:val="single" w:color="000000" w:sz="4" w:space="0"/>
              <w:right w:val="single" w:color="000000" w:sz="4" w:space="0"/>
            </w:tcBorders>
            <w:noWrap w:val="0"/>
            <w:vAlign w:val="center"/>
          </w:tcPr>
          <w:p w14:paraId="67E12AF7">
            <w:pPr>
              <w:jc w:val="center"/>
              <w:rPr>
                <w:color w:val="auto"/>
                <w:szCs w:val="21"/>
              </w:rPr>
            </w:pPr>
            <w:r>
              <w:rPr>
                <w:color w:val="auto"/>
              </w:rPr>
              <w:t>10</w:t>
            </w:r>
            <w:r>
              <w:rPr>
                <w:rFonts w:hint="eastAsia"/>
                <w:color w:val="auto"/>
              </w:rPr>
              <w:t>年沉降增量（</w:t>
            </w:r>
            <w:r>
              <w:rPr>
                <w:color w:val="auto"/>
              </w:rPr>
              <w:t>mg/kg</w:t>
            </w:r>
            <w:r>
              <w:rPr>
                <w:rFonts w:hint="eastAsia"/>
                <w:color w:val="auto"/>
              </w:rPr>
              <w:t>）</w:t>
            </w:r>
          </w:p>
        </w:tc>
        <w:tc>
          <w:tcPr>
            <w:tcW w:w="2138" w:type="pct"/>
            <w:tcBorders>
              <w:top w:val="single" w:color="000000" w:sz="4" w:space="0"/>
              <w:left w:val="single" w:color="000000" w:sz="4" w:space="0"/>
              <w:bottom w:val="single" w:color="000000" w:sz="4" w:space="0"/>
              <w:right w:val="nil"/>
            </w:tcBorders>
            <w:noWrap w:val="0"/>
            <w:vAlign w:val="center"/>
          </w:tcPr>
          <w:p w14:paraId="6D199FC2">
            <w:pPr>
              <w:jc w:val="center"/>
              <w:rPr>
                <w:rFonts w:hint="default" w:eastAsia="宋体"/>
                <w:color w:val="auto"/>
                <w:szCs w:val="21"/>
                <w:highlight w:val="none"/>
                <w:lang w:val="en-US" w:eastAsia="zh-CN"/>
              </w:rPr>
            </w:pPr>
            <w:r>
              <w:rPr>
                <w:rFonts w:hint="eastAsia"/>
                <w:color w:val="auto"/>
                <w:szCs w:val="21"/>
                <w:highlight w:val="none"/>
                <w:lang w:val="en-US" w:eastAsia="zh-CN"/>
              </w:rPr>
              <w:t>148.5</w:t>
            </w:r>
          </w:p>
        </w:tc>
      </w:tr>
      <w:tr w14:paraId="532B5783">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950" w:type="pct"/>
            <w:tcBorders>
              <w:top w:val="single" w:color="000000" w:sz="4" w:space="0"/>
              <w:left w:val="nil"/>
              <w:bottom w:val="single" w:color="000000" w:sz="4" w:space="0"/>
              <w:right w:val="single" w:color="000000" w:sz="4" w:space="0"/>
            </w:tcBorders>
            <w:noWrap w:val="0"/>
            <w:vAlign w:val="center"/>
          </w:tcPr>
          <w:p w14:paraId="11CF7B72">
            <w:pPr>
              <w:jc w:val="center"/>
              <w:rPr>
                <w:color w:val="auto"/>
                <w:szCs w:val="21"/>
              </w:rPr>
            </w:pPr>
            <w:r>
              <w:rPr>
                <w:color w:val="auto"/>
              </w:rPr>
              <w:t>10</w:t>
            </w:r>
          </w:p>
        </w:tc>
        <w:tc>
          <w:tcPr>
            <w:tcW w:w="1911" w:type="pct"/>
            <w:tcBorders>
              <w:top w:val="single" w:color="000000" w:sz="4" w:space="0"/>
              <w:left w:val="single" w:color="000000" w:sz="4" w:space="0"/>
              <w:bottom w:val="single" w:color="000000" w:sz="4" w:space="0"/>
              <w:right w:val="single" w:color="000000" w:sz="4" w:space="0"/>
            </w:tcBorders>
            <w:noWrap w:val="0"/>
            <w:vAlign w:val="center"/>
          </w:tcPr>
          <w:p w14:paraId="73B6E8FD">
            <w:pPr>
              <w:jc w:val="center"/>
              <w:rPr>
                <w:color w:val="auto"/>
                <w:szCs w:val="21"/>
              </w:rPr>
            </w:pPr>
            <w:r>
              <w:rPr>
                <w:color w:val="auto"/>
              </w:rPr>
              <w:t>20</w:t>
            </w:r>
            <w:r>
              <w:rPr>
                <w:rFonts w:hint="eastAsia"/>
                <w:color w:val="auto"/>
              </w:rPr>
              <w:t>年沉降增量（</w:t>
            </w:r>
            <w:r>
              <w:rPr>
                <w:color w:val="auto"/>
              </w:rPr>
              <w:t>mg/kg</w:t>
            </w:r>
            <w:r>
              <w:rPr>
                <w:rFonts w:hint="eastAsia"/>
                <w:color w:val="auto"/>
              </w:rPr>
              <w:t>）</w:t>
            </w:r>
          </w:p>
        </w:tc>
        <w:tc>
          <w:tcPr>
            <w:tcW w:w="2138" w:type="pct"/>
            <w:tcBorders>
              <w:top w:val="single" w:color="000000" w:sz="4" w:space="0"/>
              <w:left w:val="single" w:color="000000" w:sz="4" w:space="0"/>
              <w:bottom w:val="single" w:color="000000" w:sz="4" w:space="0"/>
              <w:right w:val="nil"/>
            </w:tcBorders>
            <w:noWrap w:val="0"/>
            <w:vAlign w:val="center"/>
          </w:tcPr>
          <w:p w14:paraId="3F5B1FA1">
            <w:pPr>
              <w:jc w:val="center"/>
              <w:rPr>
                <w:rFonts w:hint="default" w:eastAsia="宋体"/>
                <w:color w:val="auto"/>
                <w:szCs w:val="21"/>
                <w:highlight w:val="none"/>
                <w:lang w:val="en-US" w:eastAsia="zh-CN"/>
              </w:rPr>
            </w:pPr>
            <w:r>
              <w:rPr>
                <w:rFonts w:hint="eastAsia"/>
                <w:color w:val="auto"/>
                <w:szCs w:val="21"/>
                <w:highlight w:val="none"/>
                <w:lang w:val="en-US" w:eastAsia="zh-CN"/>
              </w:rPr>
              <w:t>297.0</w:t>
            </w:r>
          </w:p>
        </w:tc>
      </w:tr>
      <w:tr w14:paraId="6C70BAA3">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950" w:type="pct"/>
            <w:tcBorders>
              <w:top w:val="single" w:color="000000" w:sz="4" w:space="0"/>
              <w:left w:val="nil"/>
              <w:bottom w:val="double" w:color="auto" w:sz="4" w:space="0"/>
              <w:right w:val="single" w:color="000000" w:sz="4" w:space="0"/>
            </w:tcBorders>
            <w:noWrap w:val="0"/>
            <w:vAlign w:val="center"/>
          </w:tcPr>
          <w:p w14:paraId="084E8C6B">
            <w:pPr>
              <w:jc w:val="center"/>
              <w:rPr>
                <w:color w:val="auto"/>
                <w:szCs w:val="21"/>
              </w:rPr>
            </w:pPr>
            <w:r>
              <w:rPr>
                <w:color w:val="auto"/>
              </w:rPr>
              <w:t>11</w:t>
            </w:r>
          </w:p>
        </w:tc>
        <w:tc>
          <w:tcPr>
            <w:tcW w:w="1911" w:type="pct"/>
            <w:tcBorders>
              <w:top w:val="single" w:color="000000" w:sz="4" w:space="0"/>
              <w:left w:val="single" w:color="000000" w:sz="4" w:space="0"/>
              <w:bottom w:val="double" w:color="auto" w:sz="4" w:space="0"/>
              <w:right w:val="single" w:color="000000" w:sz="4" w:space="0"/>
            </w:tcBorders>
            <w:noWrap w:val="0"/>
            <w:vAlign w:val="center"/>
          </w:tcPr>
          <w:p w14:paraId="7C0019EB">
            <w:pPr>
              <w:jc w:val="center"/>
              <w:rPr>
                <w:color w:val="auto"/>
                <w:szCs w:val="21"/>
              </w:rPr>
            </w:pPr>
            <w:r>
              <w:rPr>
                <w:color w:val="auto"/>
              </w:rPr>
              <w:t>30</w:t>
            </w:r>
            <w:r>
              <w:rPr>
                <w:rFonts w:hint="eastAsia"/>
                <w:color w:val="auto"/>
              </w:rPr>
              <w:t>年沉降增量（</w:t>
            </w:r>
            <w:r>
              <w:rPr>
                <w:color w:val="auto"/>
              </w:rPr>
              <w:t>mg/kg</w:t>
            </w:r>
            <w:r>
              <w:rPr>
                <w:rFonts w:hint="eastAsia"/>
                <w:color w:val="auto"/>
              </w:rPr>
              <w:t>）</w:t>
            </w:r>
          </w:p>
        </w:tc>
        <w:tc>
          <w:tcPr>
            <w:tcW w:w="2138" w:type="pct"/>
            <w:tcBorders>
              <w:top w:val="single" w:color="000000" w:sz="4" w:space="0"/>
              <w:left w:val="single" w:color="000000" w:sz="4" w:space="0"/>
              <w:bottom w:val="double" w:color="auto" w:sz="4" w:space="0"/>
              <w:right w:val="nil"/>
            </w:tcBorders>
            <w:noWrap w:val="0"/>
            <w:vAlign w:val="center"/>
          </w:tcPr>
          <w:p w14:paraId="657FD554">
            <w:pPr>
              <w:jc w:val="center"/>
              <w:rPr>
                <w:rFonts w:hint="default" w:eastAsia="宋体"/>
                <w:color w:val="auto"/>
                <w:szCs w:val="21"/>
                <w:highlight w:val="none"/>
                <w:lang w:val="en-US" w:eastAsia="zh-CN"/>
              </w:rPr>
            </w:pPr>
            <w:r>
              <w:rPr>
                <w:rFonts w:hint="eastAsia"/>
                <w:color w:val="auto"/>
                <w:szCs w:val="21"/>
                <w:highlight w:val="none"/>
                <w:lang w:val="en-US" w:eastAsia="zh-CN"/>
              </w:rPr>
              <w:t>445.5</w:t>
            </w:r>
          </w:p>
        </w:tc>
      </w:tr>
    </w:tbl>
    <w:p w14:paraId="0B79B2BB">
      <w:pPr>
        <w:spacing w:line="360" w:lineRule="auto"/>
        <w:ind w:firstLine="480" w:firstLineChars="200"/>
        <w:rPr>
          <w:bCs/>
          <w:color w:val="auto"/>
          <w:sz w:val="24"/>
        </w:rPr>
      </w:pPr>
      <w:r>
        <w:rPr>
          <w:bCs/>
          <w:color w:val="auto"/>
          <w:sz w:val="24"/>
        </w:rPr>
        <w:t xml:space="preserve">b) </w:t>
      </w:r>
      <w:r>
        <w:rPr>
          <w:rFonts w:hint="eastAsia"/>
          <w:bCs/>
          <w:color w:val="auto"/>
          <w:sz w:val="24"/>
        </w:rPr>
        <w:t>单位质量土壤中某种物质的预测值可根据其增量叠加现状值进行计算，如下式：</w:t>
      </w:r>
    </w:p>
    <w:p w14:paraId="2926E55A">
      <w:pPr>
        <w:spacing w:line="360" w:lineRule="auto"/>
        <w:ind w:firstLine="480" w:firstLineChars="200"/>
        <w:rPr>
          <w:bCs/>
          <w:i/>
          <w:color w:val="auto"/>
          <w:sz w:val="24"/>
        </w:rPr>
      </w:pPr>
      <w:r>
        <w:rPr>
          <w:bCs/>
          <w:color w:val="auto"/>
          <w:sz w:val="24"/>
        </w:rPr>
        <w:t xml:space="preserve">        </w:t>
      </w:r>
      <w:r>
        <w:rPr>
          <w:bCs/>
          <w:i/>
          <w:color w:val="auto"/>
          <w:sz w:val="24"/>
        </w:rPr>
        <w:t xml:space="preserve"> S = S</w:t>
      </w:r>
      <w:r>
        <w:rPr>
          <w:bCs/>
          <w:i/>
          <w:color w:val="auto"/>
          <w:sz w:val="24"/>
          <w:vertAlign w:val="subscript"/>
        </w:rPr>
        <w:t>b</w:t>
      </w:r>
      <w:r>
        <w:rPr>
          <w:bCs/>
          <w:i/>
          <w:color w:val="auto"/>
          <w:sz w:val="24"/>
        </w:rPr>
        <w:t xml:space="preserve"> +ΔS</w:t>
      </w:r>
    </w:p>
    <w:p w14:paraId="4FF9DF2D">
      <w:pPr>
        <w:spacing w:line="360" w:lineRule="auto"/>
        <w:ind w:firstLine="480" w:firstLineChars="200"/>
        <w:rPr>
          <w:bCs/>
          <w:color w:val="auto"/>
          <w:sz w:val="24"/>
        </w:rPr>
      </w:pPr>
      <w:r>
        <w:rPr>
          <w:rFonts w:hint="eastAsia"/>
          <w:bCs/>
          <w:color w:val="auto"/>
          <w:sz w:val="24"/>
        </w:rPr>
        <w:t>式中：</w:t>
      </w:r>
    </w:p>
    <w:p w14:paraId="38D19449">
      <w:pPr>
        <w:spacing w:line="360" w:lineRule="auto"/>
        <w:ind w:firstLine="480" w:firstLineChars="200"/>
        <w:rPr>
          <w:bCs/>
          <w:color w:val="auto"/>
          <w:sz w:val="24"/>
        </w:rPr>
      </w:pPr>
      <w:r>
        <w:rPr>
          <w:bCs/>
          <w:i/>
          <w:color w:val="auto"/>
          <w:sz w:val="24"/>
        </w:rPr>
        <w:t>S—</w:t>
      </w:r>
      <w:r>
        <w:rPr>
          <w:rFonts w:hint="eastAsia"/>
          <w:bCs/>
          <w:color w:val="auto"/>
          <w:sz w:val="24"/>
        </w:rPr>
        <w:t>单位质量土壤中某种物质的预测值，</w:t>
      </w:r>
      <w:r>
        <w:rPr>
          <w:bCs/>
          <w:color w:val="auto"/>
          <w:sz w:val="24"/>
        </w:rPr>
        <w:t>g/kg</w:t>
      </w:r>
      <w:r>
        <w:rPr>
          <w:rFonts w:hint="eastAsia"/>
          <w:bCs/>
          <w:color w:val="auto"/>
          <w:sz w:val="24"/>
        </w:rPr>
        <w:t>；</w:t>
      </w:r>
    </w:p>
    <w:p w14:paraId="3030B3A2">
      <w:pPr>
        <w:spacing w:line="360" w:lineRule="auto"/>
        <w:ind w:firstLine="480" w:firstLineChars="200"/>
        <w:rPr>
          <w:bCs/>
          <w:color w:val="auto"/>
          <w:sz w:val="24"/>
        </w:rPr>
      </w:pPr>
      <w:r>
        <w:rPr>
          <w:bCs/>
          <w:i/>
          <w:color w:val="auto"/>
          <w:sz w:val="24"/>
        </w:rPr>
        <w:t>S</w:t>
      </w:r>
      <w:r>
        <w:rPr>
          <w:bCs/>
          <w:i/>
          <w:color w:val="auto"/>
          <w:sz w:val="24"/>
          <w:vertAlign w:val="subscript"/>
        </w:rPr>
        <w:t>b</w:t>
      </w:r>
      <w:r>
        <w:rPr>
          <w:bCs/>
          <w:i/>
          <w:color w:val="auto"/>
          <w:sz w:val="24"/>
        </w:rPr>
        <w:t>—</w:t>
      </w:r>
      <w:r>
        <w:rPr>
          <w:rFonts w:hint="eastAsia"/>
          <w:bCs/>
          <w:color w:val="auto"/>
          <w:sz w:val="24"/>
        </w:rPr>
        <w:t>单位质量土壤中某种物质的现状值，</w:t>
      </w:r>
      <w:r>
        <w:rPr>
          <w:bCs/>
          <w:color w:val="auto"/>
          <w:sz w:val="24"/>
        </w:rPr>
        <w:t>g/kg</w:t>
      </w:r>
      <w:r>
        <w:rPr>
          <w:rFonts w:hint="eastAsia"/>
          <w:bCs/>
          <w:color w:val="auto"/>
          <w:sz w:val="24"/>
        </w:rPr>
        <w:t>。</w:t>
      </w:r>
    </w:p>
    <w:p w14:paraId="1FF420BE">
      <w:pPr>
        <w:pStyle w:val="149"/>
        <w:jc w:val="center"/>
        <w:rPr>
          <w:rFonts w:ascii="Times New Roman" w:hAnsi="Times New Roman" w:eastAsia="宋体"/>
          <w:b/>
          <w:bCs/>
          <w:color w:val="auto"/>
          <w:sz w:val="21"/>
          <w:szCs w:val="21"/>
        </w:rPr>
      </w:pPr>
      <w:r>
        <w:rPr>
          <w:rFonts w:ascii="Times New Roman" w:hAnsi="Times New Roman" w:eastAsia="宋体"/>
          <w:b/>
          <w:bCs/>
          <w:color w:val="auto"/>
          <w:sz w:val="21"/>
          <w:szCs w:val="21"/>
        </w:rPr>
        <w:t>表</w:t>
      </w:r>
      <w:r>
        <w:rPr>
          <w:rFonts w:hint="eastAsia" w:ascii="Times New Roman" w:hAnsi="Times New Roman"/>
          <w:b/>
          <w:bCs/>
          <w:color w:val="auto"/>
          <w:sz w:val="21"/>
          <w:szCs w:val="21"/>
          <w:lang w:val="en-US" w:eastAsia="zh-CN"/>
        </w:rPr>
        <w:t>5.2-30</w:t>
      </w:r>
      <w:r>
        <w:rPr>
          <w:rFonts w:ascii="Times New Roman" w:hAnsi="Times New Roman" w:eastAsia="宋体"/>
          <w:b/>
          <w:bCs/>
          <w:color w:val="auto"/>
          <w:sz w:val="21"/>
          <w:szCs w:val="21"/>
        </w:rPr>
        <w:t xml:space="preserve">    单位质量土壤中污染物的预测值达标分析</w:t>
      </w:r>
    </w:p>
    <w:tbl>
      <w:tblPr>
        <w:tblStyle w:val="53"/>
        <w:tblW w:w="5000" w:type="pct"/>
        <w:tblInd w:w="0" w:type="dxa"/>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44"/>
        <w:gridCol w:w="935"/>
        <w:gridCol w:w="1007"/>
        <w:gridCol w:w="1199"/>
        <w:gridCol w:w="1199"/>
        <w:gridCol w:w="1199"/>
        <w:gridCol w:w="1199"/>
        <w:gridCol w:w="1146"/>
      </w:tblGrid>
      <w:tr w14:paraId="37E4B6CD">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trPr>
        <w:tc>
          <w:tcPr>
            <w:tcW w:w="378" w:type="pct"/>
            <w:noWrap w:val="0"/>
            <w:vAlign w:val="center"/>
          </w:tcPr>
          <w:p w14:paraId="3494D31E">
            <w:pPr>
              <w:jc w:val="center"/>
              <w:rPr>
                <w:b/>
                <w:bCs/>
                <w:color w:val="auto"/>
                <w:szCs w:val="21"/>
              </w:rPr>
            </w:pPr>
            <w:r>
              <w:rPr>
                <w:rFonts w:hint="eastAsia"/>
                <w:b/>
                <w:bCs/>
                <w:color w:val="auto"/>
              </w:rPr>
              <w:t>序号</w:t>
            </w:r>
          </w:p>
        </w:tc>
        <w:tc>
          <w:tcPr>
            <w:tcW w:w="548" w:type="pct"/>
            <w:noWrap w:val="0"/>
            <w:vAlign w:val="center"/>
          </w:tcPr>
          <w:p w14:paraId="277551B0">
            <w:pPr>
              <w:jc w:val="center"/>
              <w:rPr>
                <w:b/>
                <w:bCs/>
                <w:color w:val="auto"/>
                <w:szCs w:val="21"/>
              </w:rPr>
            </w:pPr>
            <w:r>
              <w:rPr>
                <w:rFonts w:hint="eastAsia"/>
                <w:b/>
                <w:bCs/>
                <w:color w:val="auto"/>
              </w:rPr>
              <w:t>预测时间</w:t>
            </w:r>
          </w:p>
        </w:tc>
        <w:tc>
          <w:tcPr>
            <w:tcW w:w="590" w:type="pct"/>
            <w:noWrap w:val="0"/>
            <w:vAlign w:val="center"/>
          </w:tcPr>
          <w:p w14:paraId="553607D2">
            <w:pPr>
              <w:jc w:val="center"/>
              <w:rPr>
                <w:b/>
                <w:bCs/>
                <w:color w:val="auto"/>
                <w:szCs w:val="21"/>
              </w:rPr>
            </w:pPr>
            <w:r>
              <w:rPr>
                <w:rFonts w:hint="eastAsia"/>
                <w:b/>
                <w:bCs/>
                <w:color w:val="auto"/>
                <w:szCs w:val="21"/>
              </w:rPr>
              <w:t>污染物</w:t>
            </w:r>
          </w:p>
        </w:tc>
        <w:tc>
          <w:tcPr>
            <w:tcW w:w="702" w:type="pct"/>
            <w:noWrap w:val="0"/>
            <w:vAlign w:val="center"/>
          </w:tcPr>
          <w:p w14:paraId="52E46C07">
            <w:pPr>
              <w:jc w:val="center"/>
              <w:rPr>
                <w:b/>
                <w:bCs/>
                <w:color w:val="auto"/>
                <w:szCs w:val="21"/>
              </w:rPr>
            </w:pPr>
            <w:r>
              <w:rPr>
                <w:rFonts w:hint="eastAsia"/>
                <w:b/>
                <w:bCs/>
                <w:color w:val="auto"/>
              </w:rPr>
              <w:t>增量</w:t>
            </w:r>
          </w:p>
          <w:p w14:paraId="3DF92DD7">
            <w:pPr>
              <w:jc w:val="center"/>
              <w:rPr>
                <w:b/>
                <w:bCs/>
                <w:color w:val="auto"/>
                <w:szCs w:val="21"/>
              </w:rPr>
            </w:pPr>
            <w:r>
              <w:rPr>
                <w:rFonts w:hint="eastAsia"/>
                <w:b/>
                <w:bCs/>
                <w:color w:val="auto"/>
              </w:rPr>
              <w:t>（</w:t>
            </w:r>
            <w:r>
              <w:rPr>
                <w:b/>
                <w:bCs/>
                <w:color w:val="auto"/>
              </w:rPr>
              <w:t>mg/kg</w:t>
            </w:r>
            <w:r>
              <w:rPr>
                <w:rFonts w:hint="eastAsia"/>
                <w:b/>
                <w:bCs/>
                <w:color w:val="auto"/>
              </w:rPr>
              <w:t>）</w:t>
            </w:r>
          </w:p>
        </w:tc>
        <w:tc>
          <w:tcPr>
            <w:tcW w:w="702" w:type="pct"/>
            <w:noWrap w:val="0"/>
            <w:vAlign w:val="center"/>
          </w:tcPr>
          <w:p w14:paraId="42AB2BBB">
            <w:pPr>
              <w:jc w:val="center"/>
              <w:rPr>
                <w:b/>
                <w:bCs/>
                <w:color w:val="auto"/>
                <w:szCs w:val="21"/>
              </w:rPr>
            </w:pPr>
            <w:r>
              <w:rPr>
                <w:rFonts w:hint="eastAsia"/>
                <w:b/>
                <w:bCs/>
                <w:color w:val="auto"/>
              </w:rPr>
              <w:t>本底值（</w:t>
            </w:r>
            <w:r>
              <w:rPr>
                <w:b/>
                <w:bCs/>
                <w:color w:val="auto"/>
              </w:rPr>
              <w:t>mg/kg</w:t>
            </w:r>
            <w:r>
              <w:rPr>
                <w:rFonts w:hint="eastAsia"/>
                <w:b/>
                <w:bCs/>
                <w:color w:val="auto"/>
              </w:rPr>
              <w:t>）</w:t>
            </w:r>
          </w:p>
        </w:tc>
        <w:tc>
          <w:tcPr>
            <w:tcW w:w="702" w:type="pct"/>
            <w:noWrap w:val="0"/>
            <w:vAlign w:val="center"/>
          </w:tcPr>
          <w:p w14:paraId="071CF867">
            <w:pPr>
              <w:jc w:val="center"/>
              <w:rPr>
                <w:b/>
                <w:bCs/>
                <w:color w:val="auto"/>
                <w:szCs w:val="21"/>
              </w:rPr>
            </w:pPr>
            <w:r>
              <w:rPr>
                <w:rFonts w:hint="eastAsia"/>
                <w:b/>
                <w:bCs/>
                <w:color w:val="auto"/>
              </w:rPr>
              <w:t>预测值（</w:t>
            </w:r>
            <w:r>
              <w:rPr>
                <w:b/>
                <w:bCs/>
                <w:color w:val="auto"/>
              </w:rPr>
              <w:t>mg/kg</w:t>
            </w:r>
            <w:r>
              <w:rPr>
                <w:rFonts w:hint="eastAsia"/>
                <w:b/>
                <w:bCs/>
                <w:color w:val="auto"/>
              </w:rPr>
              <w:t>）</w:t>
            </w:r>
          </w:p>
        </w:tc>
        <w:tc>
          <w:tcPr>
            <w:tcW w:w="702" w:type="pct"/>
            <w:noWrap w:val="0"/>
            <w:vAlign w:val="center"/>
          </w:tcPr>
          <w:p w14:paraId="5153B44A">
            <w:pPr>
              <w:jc w:val="center"/>
              <w:rPr>
                <w:b/>
                <w:bCs/>
                <w:color w:val="auto"/>
                <w:szCs w:val="21"/>
              </w:rPr>
            </w:pPr>
            <w:r>
              <w:rPr>
                <w:rFonts w:hint="eastAsia"/>
                <w:b/>
                <w:bCs/>
                <w:color w:val="auto"/>
              </w:rPr>
              <w:t>标准值（</w:t>
            </w:r>
            <w:r>
              <w:rPr>
                <w:b/>
                <w:bCs/>
                <w:color w:val="auto"/>
              </w:rPr>
              <w:t>mg/kg</w:t>
            </w:r>
            <w:r>
              <w:rPr>
                <w:rFonts w:hint="eastAsia"/>
                <w:b/>
                <w:bCs/>
                <w:color w:val="auto"/>
              </w:rPr>
              <w:t>）</w:t>
            </w:r>
          </w:p>
        </w:tc>
        <w:tc>
          <w:tcPr>
            <w:tcW w:w="671" w:type="pct"/>
            <w:noWrap w:val="0"/>
            <w:vAlign w:val="center"/>
          </w:tcPr>
          <w:p w14:paraId="40BC8FF1">
            <w:pPr>
              <w:jc w:val="center"/>
              <w:rPr>
                <w:b/>
                <w:bCs/>
                <w:color w:val="auto"/>
                <w:szCs w:val="21"/>
              </w:rPr>
            </w:pPr>
            <w:r>
              <w:rPr>
                <w:rFonts w:hint="eastAsia"/>
                <w:b/>
                <w:bCs/>
                <w:color w:val="auto"/>
              </w:rPr>
              <w:t>是否达标</w:t>
            </w:r>
          </w:p>
        </w:tc>
      </w:tr>
      <w:tr w14:paraId="531B0E68">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78" w:type="pct"/>
            <w:noWrap w:val="0"/>
            <w:vAlign w:val="center"/>
          </w:tcPr>
          <w:p w14:paraId="111FBA42">
            <w:pPr>
              <w:jc w:val="center"/>
              <w:rPr>
                <w:color w:val="auto"/>
                <w:szCs w:val="21"/>
              </w:rPr>
            </w:pPr>
            <w:r>
              <w:rPr>
                <w:color w:val="auto"/>
              </w:rPr>
              <w:t>1</w:t>
            </w:r>
          </w:p>
        </w:tc>
        <w:tc>
          <w:tcPr>
            <w:tcW w:w="548" w:type="pct"/>
            <w:noWrap w:val="0"/>
            <w:vAlign w:val="center"/>
          </w:tcPr>
          <w:p w14:paraId="1682AB64">
            <w:pPr>
              <w:jc w:val="center"/>
              <w:rPr>
                <w:color w:val="auto"/>
                <w:szCs w:val="21"/>
              </w:rPr>
            </w:pPr>
            <w:r>
              <w:rPr>
                <w:color w:val="auto"/>
              </w:rPr>
              <w:t>1</w:t>
            </w:r>
            <w:r>
              <w:rPr>
                <w:rFonts w:hint="eastAsia"/>
                <w:color w:val="auto"/>
              </w:rPr>
              <w:t>年</w:t>
            </w:r>
          </w:p>
        </w:tc>
        <w:tc>
          <w:tcPr>
            <w:tcW w:w="590" w:type="pct"/>
            <w:noWrap w:val="0"/>
            <w:vAlign w:val="center"/>
          </w:tcPr>
          <w:p w14:paraId="4B42FCA9">
            <w:pPr>
              <w:jc w:val="center"/>
              <w:rPr>
                <w:rFonts w:hint="eastAsia"/>
                <w:color w:val="auto"/>
                <w:szCs w:val="21"/>
              </w:rPr>
            </w:pPr>
            <w:r>
              <w:rPr>
                <w:rFonts w:hint="eastAsia"/>
                <w:color w:val="auto"/>
                <w:szCs w:val="21"/>
              </w:rPr>
              <w:t>颗粒物</w:t>
            </w:r>
          </w:p>
        </w:tc>
        <w:tc>
          <w:tcPr>
            <w:tcW w:w="1199" w:type="dxa"/>
            <w:noWrap w:val="0"/>
            <w:vAlign w:val="center"/>
          </w:tcPr>
          <w:p w14:paraId="5D0B66A1">
            <w:pPr>
              <w:jc w:val="center"/>
              <w:rPr>
                <w:rFonts w:hint="eastAsia"/>
                <w:color w:val="auto"/>
                <w:szCs w:val="21"/>
                <w:highlight w:val="green"/>
              </w:rPr>
            </w:pPr>
            <w:r>
              <w:rPr>
                <w:rFonts w:hint="eastAsia"/>
                <w:color w:val="auto"/>
                <w:szCs w:val="21"/>
                <w:highlight w:val="none"/>
                <w:lang w:val="en-US" w:eastAsia="zh-CN"/>
              </w:rPr>
              <w:t>14.85</w:t>
            </w:r>
          </w:p>
        </w:tc>
        <w:tc>
          <w:tcPr>
            <w:tcW w:w="702" w:type="pct"/>
            <w:noWrap w:val="0"/>
            <w:vAlign w:val="center"/>
          </w:tcPr>
          <w:p w14:paraId="6517D467">
            <w:pPr>
              <w:jc w:val="center"/>
              <w:rPr>
                <w:color w:val="auto"/>
                <w:szCs w:val="21"/>
              </w:rPr>
            </w:pPr>
            <w:r>
              <w:rPr>
                <w:color w:val="auto"/>
              </w:rPr>
              <w:t>ND</w:t>
            </w:r>
          </w:p>
        </w:tc>
        <w:tc>
          <w:tcPr>
            <w:tcW w:w="1199" w:type="dxa"/>
            <w:noWrap w:val="0"/>
            <w:vAlign w:val="center"/>
          </w:tcPr>
          <w:p w14:paraId="60FDF419">
            <w:pPr>
              <w:jc w:val="center"/>
              <w:rPr>
                <w:rFonts w:hint="eastAsia"/>
                <w:color w:val="auto"/>
                <w:szCs w:val="21"/>
                <w:highlight w:val="green"/>
              </w:rPr>
            </w:pPr>
            <w:r>
              <w:rPr>
                <w:rFonts w:hint="eastAsia"/>
                <w:color w:val="auto"/>
                <w:szCs w:val="21"/>
                <w:highlight w:val="none"/>
                <w:lang w:val="en-US" w:eastAsia="zh-CN"/>
              </w:rPr>
              <w:t>14.85</w:t>
            </w:r>
          </w:p>
        </w:tc>
        <w:tc>
          <w:tcPr>
            <w:tcW w:w="702" w:type="pct"/>
            <w:noWrap w:val="0"/>
            <w:vAlign w:val="center"/>
          </w:tcPr>
          <w:p w14:paraId="6EE32C8D">
            <w:pPr>
              <w:jc w:val="center"/>
              <w:rPr>
                <w:color w:val="auto"/>
                <w:szCs w:val="21"/>
              </w:rPr>
            </w:pPr>
            <w:r>
              <w:rPr>
                <w:rFonts w:hint="eastAsia"/>
                <w:color w:val="auto"/>
                <w:szCs w:val="21"/>
              </w:rPr>
              <w:t>—</w:t>
            </w:r>
          </w:p>
        </w:tc>
        <w:tc>
          <w:tcPr>
            <w:tcW w:w="671" w:type="pct"/>
            <w:noWrap w:val="0"/>
            <w:vAlign w:val="center"/>
          </w:tcPr>
          <w:p w14:paraId="742C6CC4">
            <w:pPr>
              <w:jc w:val="center"/>
              <w:rPr>
                <w:color w:val="auto"/>
                <w:szCs w:val="21"/>
              </w:rPr>
            </w:pPr>
            <w:r>
              <w:rPr>
                <w:rFonts w:hint="eastAsia"/>
                <w:color w:val="auto"/>
                <w:szCs w:val="21"/>
              </w:rPr>
              <w:t>—</w:t>
            </w:r>
          </w:p>
        </w:tc>
      </w:tr>
      <w:tr w14:paraId="305CCCFD">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78" w:type="pct"/>
            <w:noWrap w:val="0"/>
            <w:vAlign w:val="center"/>
          </w:tcPr>
          <w:p w14:paraId="71610917">
            <w:pPr>
              <w:jc w:val="center"/>
              <w:rPr>
                <w:color w:val="auto"/>
                <w:szCs w:val="21"/>
              </w:rPr>
            </w:pPr>
            <w:r>
              <w:rPr>
                <w:color w:val="auto"/>
              </w:rPr>
              <w:t>2</w:t>
            </w:r>
          </w:p>
        </w:tc>
        <w:tc>
          <w:tcPr>
            <w:tcW w:w="548" w:type="pct"/>
            <w:noWrap w:val="0"/>
            <w:vAlign w:val="center"/>
          </w:tcPr>
          <w:p w14:paraId="509E059F">
            <w:pPr>
              <w:jc w:val="center"/>
              <w:rPr>
                <w:color w:val="auto"/>
                <w:szCs w:val="21"/>
              </w:rPr>
            </w:pPr>
            <w:r>
              <w:rPr>
                <w:color w:val="auto"/>
              </w:rPr>
              <w:t>5</w:t>
            </w:r>
            <w:r>
              <w:rPr>
                <w:rFonts w:hint="eastAsia"/>
                <w:color w:val="auto"/>
              </w:rPr>
              <w:t>年</w:t>
            </w:r>
          </w:p>
        </w:tc>
        <w:tc>
          <w:tcPr>
            <w:tcW w:w="590" w:type="pct"/>
            <w:noWrap w:val="0"/>
            <w:vAlign w:val="center"/>
          </w:tcPr>
          <w:p w14:paraId="7AA00E2C">
            <w:pPr>
              <w:jc w:val="center"/>
              <w:rPr>
                <w:color w:val="auto"/>
                <w:szCs w:val="21"/>
              </w:rPr>
            </w:pPr>
            <w:r>
              <w:rPr>
                <w:rFonts w:hint="eastAsia"/>
                <w:color w:val="auto"/>
                <w:szCs w:val="21"/>
              </w:rPr>
              <w:t>颗粒物</w:t>
            </w:r>
          </w:p>
        </w:tc>
        <w:tc>
          <w:tcPr>
            <w:tcW w:w="1199" w:type="dxa"/>
            <w:noWrap w:val="0"/>
            <w:vAlign w:val="center"/>
          </w:tcPr>
          <w:p w14:paraId="709D4A96">
            <w:pPr>
              <w:jc w:val="center"/>
              <w:rPr>
                <w:rFonts w:hint="eastAsia"/>
                <w:color w:val="auto"/>
                <w:szCs w:val="21"/>
                <w:highlight w:val="green"/>
              </w:rPr>
            </w:pPr>
            <w:r>
              <w:rPr>
                <w:rFonts w:hint="eastAsia"/>
                <w:color w:val="auto"/>
                <w:szCs w:val="21"/>
                <w:highlight w:val="none"/>
                <w:lang w:val="en-US" w:eastAsia="zh-CN"/>
              </w:rPr>
              <w:t>74.25</w:t>
            </w:r>
          </w:p>
        </w:tc>
        <w:tc>
          <w:tcPr>
            <w:tcW w:w="702" w:type="pct"/>
            <w:noWrap w:val="0"/>
            <w:vAlign w:val="center"/>
          </w:tcPr>
          <w:p w14:paraId="1D9104D6">
            <w:pPr>
              <w:jc w:val="center"/>
              <w:rPr>
                <w:color w:val="auto"/>
                <w:szCs w:val="21"/>
              </w:rPr>
            </w:pPr>
            <w:r>
              <w:rPr>
                <w:color w:val="auto"/>
              </w:rPr>
              <w:t>ND</w:t>
            </w:r>
          </w:p>
        </w:tc>
        <w:tc>
          <w:tcPr>
            <w:tcW w:w="1199" w:type="dxa"/>
            <w:noWrap w:val="0"/>
            <w:vAlign w:val="center"/>
          </w:tcPr>
          <w:p w14:paraId="093BE052">
            <w:pPr>
              <w:jc w:val="center"/>
              <w:rPr>
                <w:rFonts w:hint="eastAsia"/>
                <w:color w:val="auto"/>
                <w:szCs w:val="21"/>
                <w:highlight w:val="green"/>
              </w:rPr>
            </w:pPr>
            <w:r>
              <w:rPr>
                <w:rFonts w:hint="eastAsia"/>
                <w:color w:val="auto"/>
                <w:szCs w:val="21"/>
                <w:highlight w:val="none"/>
                <w:lang w:val="en-US" w:eastAsia="zh-CN"/>
              </w:rPr>
              <w:t>74.25</w:t>
            </w:r>
          </w:p>
        </w:tc>
        <w:tc>
          <w:tcPr>
            <w:tcW w:w="702" w:type="pct"/>
            <w:noWrap w:val="0"/>
            <w:vAlign w:val="center"/>
          </w:tcPr>
          <w:p w14:paraId="5891D12E">
            <w:pPr>
              <w:jc w:val="center"/>
              <w:rPr>
                <w:color w:val="auto"/>
                <w:szCs w:val="21"/>
              </w:rPr>
            </w:pPr>
            <w:r>
              <w:rPr>
                <w:rFonts w:hint="eastAsia"/>
                <w:color w:val="auto"/>
                <w:szCs w:val="21"/>
              </w:rPr>
              <w:t>—</w:t>
            </w:r>
          </w:p>
        </w:tc>
        <w:tc>
          <w:tcPr>
            <w:tcW w:w="671" w:type="pct"/>
            <w:noWrap w:val="0"/>
            <w:vAlign w:val="center"/>
          </w:tcPr>
          <w:p w14:paraId="230E6477">
            <w:pPr>
              <w:jc w:val="center"/>
              <w:rPr>
                <w:color w:val="auto"/>
                <w:szCs w:val="21"/>
              </w:rPr>
            </w:pPr>
            <w:r>
              <w:rPr>
                <w:rFonts w:hint="eastAsia"/>
                <w:color w:val="auto"/>
                <w:szCs w:val="21"/>
              </w:rPr>
              <w:t>—</w:t>
            </w:r>
          </w:p>
        </w:tc>
      </w:tr>
      <w:tr w14:paraId="00E85E07">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78" w:type="pct"/>
            <w:noWrap w:val="0"/>
            <w:vAlign w:val="center"/>
          </w:tcPr>
          <w:p w14:paraId="564A8557">
            <w:pPr>
              <w:jc w:val="center"/>
              <w:rPr>
                <w:color w:val="auto"/>
                <w:szCs w:val="21"/>
              </w:rPr>
            </w:pPr>
            <w:r>
              <w:rPr>
                <w:color w:val="auto"/>
              </w:rPr>
              <w:t>3</w:t>
            </w:r>
          </w:p>
        </w:tc>
        <w:tc>
          <w:tcPr>
            <w:tcW w:w="548" w:type="pct"/>
            <w:noWrap w:val="0"/>
            <w:vAlign w:val="center"/>
          </w:tcPr>
          <w:p w14:paraId="1539C810">
            <w:pPr>
              <w:jc w:val="center"/>
              <w:rPr>
                <w:color w:val="auto"/>
                <w:szCs w:val="21"/>
              </w:rPr>
            </w:pPr>
            <w:r>
              <w:rPr>
                <w:color w:val="auto"/>
              </w:rPr>
              <w:t>10</w:t>
            </w:r>
            <w:r>
              <w:rPr>
                <w:rFonts w:hint="eastAsia"/>
                <w:color w:val="auto"/>
              </w:rPr>
              <w:t>年</w:t>
            </w:r>
          </w:p>
        </w:tc>
        <w:tc>
          <w:tcPr>
            <w:tcW w:w="590" w:type="pct"/>
            <w:noWrap w:val="0"/>
            <w:vAlign w:val="center"/>
          </w:tcPr>
          <w:p w14:paraId="2C323130">
            <w:pPr>
              <w:jc w:val="center"/>
              <w:rPr>
                <w:color w:val="auto"/>
                <w:szCs w:val="21"/>
              </w:rPr>
            </w:pPr>
            <w:r>
              <w:rPr>
                <w:rFonts w:hint="eastAsia"/>
                <w:color w:val="auto"/>
                <w:szCs w:val="21"/>
              </w:rPr>
              <w:t>颗粒物</w:t>
            </w:r>
          </w:p>
        </w:tc>
        <w:tc>
          <w:tcPr>
            <w:tcW w:w="1199" w:type="dxa"/>
            <w:noWrap w:val="0"/>
            <w:vAlign w:val="center"/>
          </w:tcPr>
          <w:p w14:paraId="65E6A0F2">
            <w:pPr>
              <w:jc w:val="center"/>
              <w:rPr>
                <w:rFonts w:hint="eastAsia"/>
                <w:color w:val="auto"/>
                <w:szCs w:val="21"/>
                <w:highlight w:val="green"/>
              </w:rPr>
            </w:pPr>
            <w:r>
              <w:rPr>
                <w:rFonts w:hint="eastAsia"/>
                <w:color w:val="auto"/>
                <w:szCs w:val="21"/>
                <w:highlight w:val="none"/>
                <w:lang w:val="en-US" w:eastAsia="zh-CN"/>
              </w:rPr>
              <w:t>148.5</w:t>
            </w:r>
          </w:p>
        </w:tc>
        <w:tc>
          <w:tcPr>
            <w:tcW w:w="702" w:type="pct"/>
            <w:noWrap w:val="0"/>
            <w:vAlign w:val="center"/>
          </w:tcPr>
          <w:p w14:paraId="08069E0E">
            <w:pPr>
              <w:jc w:val="center"/>
              <w:rPr>
                <w:color w:val="auto"/>
                <w:szCs w:val="21"/>
              </w:rPr>
            </w:pPr>
            <w:r>
              <w:rPr>
                <w:color w:val="auto"/>
              </w:rPr>
              <w:t>ND</w:t>
            </w:r>
          </w:p>
        </w:tc>
        <w:tc>
          <w:tcPr>
            <w:tcW w:w="1199" w:type="dxa"/>
            <w:noWrap w:val="0"/>
            <w:vAlign w:val="center"/>
          </w:tcPr>
          <w:p w14:paraId="65302632">
            <w:pPr>
              <w:jc w:val="center"/>
              <w:rPr>
                <w:rFonts w:hint="eastAsia"/>
                <w:color w:val="auto"/>
                <w:szCs w:val="21"/>
                <w:highlight w:val="green"/>
              </w:rPr>
            </w:pPr>
            <w:r>
              <w:rPr>
                <w:rFonts w:hint="eastAsia"/>
                <w:color w:val="auto"/>
                <w:szCs w:val="21"/>
                <w:highlight w:val="none"/>
                <w:lang w:val="en-US" w:eastAsia="zh-CN"/>
              </w:rPr>
              <w:t>148.5</w:t>
            </w:r>
          </w:p>
        </w:tc>
        <w:tc>
          <w:tcPr>
            <w:tcW w:w="702" w:type="pct"/>
            <w:noWrap w:val="0"/>
            <w:vAlign w:val="center"/>
          </w:tcPr>
          <w:p w14:paraId="590509AF">
            <w:pPr>
              <w:jc w:val="center"/>
              <w:rPr>
                <w:color w:val="auto"/>
                <w:szCs w:val="21"/>
              </w:rPr>
            </w:pPr>
            <w:r>
              <w:rPr>
                <w:rFonts w:hint="eastAsia"/>
                <w:color w:val="auto"/>
                <w:szCs w:val="21"/>
              </w:rPr>
              <w:t>—</w:t>
            </w:r>
          </w:p>
        </w:tc>
        <w:tc>
          <w:tcPr>
            <w:tcW w:w="671" w:type="pct"/>
            <w:noWrap w:val="0"/>
            <w:vAlign w:val="center"/>
          </w:tcPr>
          <w:p w14:paraId="179495C5">
            <w:pPr>
              <w:jc w:val="center"/>
              <w:rPr>
                <w:color w:val="auto"/>
                <w:szCs w:val="21"/>
              </w:rPr>
            </w:pPr>
            <w:r>
              <w:rPr>
                <w:rFonts w:hint="eastAsia"/>
                <w:color w:val="auto"/>
                <w:szCs w:val="21"/>
              </w:rPr>
              <w:t>—</w:t>
            </w:r>
          </w:p>
        </w:tc>
      </w:tr>
      <w:tr w14:paraId="6580264C">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78" w:type="pct"/>
            <w:noWrap w:val="0"/>
            <w:vAlign w:val="center"/>
          </w:tcPr>
          <w:p w14:paraId="0BE2BC5F">
            <w:pPr>
              <w:jc w:val="center"/>
              <w:rPr>
                <w:color w:val="auto"/>
                <w:szCs w:val="21"/>
              </w:rPr>
            </w:pPr>
            <w:r>
              <w:rPr>
                <w:color w:val="auto"/>
              </w:rPr>
              <w:t>4</w:t>
            </w:r>
          </w:p>
        </w:tc>
        <w:tc>
          <w:tcPr>
            <w:tcW w:w="548" w:type="pct"/>
            <w:noWrap w:val="0"/>
            <w:vAlign w:val="center"/>
          </w:tcPr>
          <w:p w14:paraId="486B9936">
            <w:pPr>
              <w:jc w:val="center"/>
              <w:rPr>
                <w:color w:val="auto"/>
                <w:szCs w:val="21"/>
              </w:rPr>
            </w:pPr>
            <w:r>
              <w:rPr>
                <w:color w:val="auto"/>
              </w:rPr>
              <w:t>20</w:t>
            </w:r>
            <w:r>
              <w:rPr>
                <w:rFonts w:hint="eastAsia"/>
                <w:color w:val="auto"/>
              </w:rPr>
              <w:t>年</w:t>
            </w:r>
          </w:p>
        </w:tc>
        <w:tc>
          <w:tcPr>
            <w:tcW w:w="590" w:type="pct"/>
            <w:noWrap w:val="0"/>
            <w:vAlign w:val="center"/>
          </w:tcPr>
          <w:p w14:paraId="7C82CC5C">
            <w:pPr>
              <w:jc w:val="center"/>
              <w:rPr>
                <w:color w:val="auto"/>
                <w:szCs w:val="21"/>
              </w:rPr>
            </w:pPr>
            <w:r>
              <w:rPr>
                <w:rFonts w:hint="eastAsia"/>
                <w:color w:val="auto"/>
                <w:szCs w:val="21"/>
              </w:rPr>
              <w:t>颗粒物</w:t>
            </w:r>
          </w:p>
        </w:tc>
        <w:tc>
          <w:tcPr>
            <w:tcW w:w="1199" w:type="dxa"/>
            <w:noWrap w:val="0"/>
            <w:vAlign w:val="center"/>
          </w:tcPr>
          <w:p w14:paraId="5BC0C3B5">
            <w:pPr>
              <w:jc w:val="center"/>
              <w:rPr>
                <w:rFonts w:hint="eastAsia"/>
                <w:color w:val="auto"/>
                <w:szCs w:val="21"/>
                <w:highlight w:val="green"/>
              </w:rPr>
            </w:pPr>
            <w:r>
              <w:rPr>
                <w:rFonts w:hint="eastAsia"/>
                <w:color w:val="auto"/>
                <w:szCs w:val="21"/>
                <w:highlight w:val="none"/>
                <w:lang w:val="en-US" w:eastAsia="zh-CN"/>
              </w:rPr>
              <w:t>297.0</w:t>
            </w:r>
          </w:p>
        </w:tc>
        <w:tc>
          <w:tcPr>
            <w:tcW w:w="702" w:type="pct"/>
            <w:noWrap w:val="0"/>
            <w:vAlign w:val="center"/>
          </w:tcPr>
          <w:p w14:paraId="1C55474B">
            <w:pPr>
              <w:jc w:val="center"/>
              <w:rPr>
                <w:color w:val="auto"/>
                <w:szCs w:val="21"/>
              </w:rPr>
            </w:pPr>
            <w:r>
              <w:rPr>
                <w:color w:val="auto"/>
              </w:rPr>
              <w:t>ND</w:t>
            </w:r>
          </w:p>
        </w:tc>
        <w:tc>
          <w:tcPr>
            <w:tcW w:w="1199" w:type="dxa"/>
            <w:noWrap w:val="0"/>
            <w:vAlign w:val="center"/>
          </w:tcPr>
          <w:p w14:paraId="1E9AE120">
            <w:pPr>
              <w:jc w:val="center"/>
              <w:rPr>
                <w:rFonts w:hint="eastAsia"/>
                <w:color w:val="auto"/>
                <w:szCs w:val="21"/>
                <w:highlight w:val="green"/>
              </w:rPr>
            </w:pPr>
            <w:r>
              <w:rPr>
                <w:rFonts w:hint="eastAsia"/>
                <w:color w:val="auto"/>
                <w:szCs w:val="21"/>
                <w:highlight w:val="none"/>
                <w:lang w:val="en-US" w:eastAsia="zh-CN"/>
              </w:rPr>
              <w:t>297.0</w:t>
            </w:r>
          </w:p>
        </w:tc>
        <w:tc>
          <w:tcPr>
            <w:tcW w:w="702" w:type="pct"/>
            <w:noWrap w:val="0"/>
            <w:vAlign w:val="center"/>
          </w:tcPr>
          <w:p w14:paraId="2D23692B">
            <w:pPr>
              <w:jc w:val="center"/>
              <w:rPr>
                <w:color w:val="auto"/>
                <w:szCs w:val="21"/>
              </w:rPr>
            </w:pPr>
            <w:r>
              <w:rPr>
                <w:rFonts w:hint="eastAsia"/>
                <w:color w:val="auto"/>
                <w:szCs w:val="21"/>
              </w:rPr>
              <w:t>—</w:t>
            </w:r>
          </w:p>
        </w:tc>
        <w:tc>
          <w:tcPr>
            <w:tcW w:w="671" w:type="pct"/>
            <w:noWrap w:val="0"/>
            <w:vAlign w:val="center"/>
          </w:tcPr>
          <w:p w14:paraId="6A68161C">
            <w:pPr>
              <w:jc w:val="center"/>
              <w:rPr>
                <w:color w:val="auto"/>
                <w:szCs w:val="21"/>
              </w:rPr>
            </w:pPr>
            <w:r>
              <w:rPr>
                <w:rFonts w:hint="eastAsia"/>
                <w:color w:val="auto"/>
                <w:szCs w:val="21"/>
              </w:rPr>
              <w:t>—</w:t>
            </w:r>
          </w:p>
        </w:tc>
      </w:tr>
      <w:tr w14:paraId="3A3856CD">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78" w:type="pct"/>
            <w:noWrap w:val="0"/>
            <w:vAlign w:val="center"/>
          </w:tcPr>
          <w:p w14:paraId="0395953D">
            <w:pPr>
              <w:jc w:val="center"/>
              <w:rPr>
                <w:color w:val="auto"/>
                <w:szCs w:val="21"/>
              </w:rPr>
            </w:pPr>
            <w:r>
              <w:rPr>
                <w:color w:val="auto"/>
              </w:rPr>
              <w:t>5</w:t>
            </w:r>
          </w:p>
        </w:tc>
        <w:tc>
          <w:tcPr>
            <w:tcW w:w="548" w:type="pct"/>
            <w:noWrap w:val="0"/>
            <w:vAlign w:val="center"/>
          </w:tcPr>
          <w:p w14:paraId="4D80761C">
            <w:pPr>
              <w:jc w:val="center"/>
              <w:rPr>
                <w:color w:val="auto"/>
                <w:szCs w:val="21"/>
              </w:rPr>
            </w:pPr>
            <w:r>
              <w:rPr>
                <w:color w:val="auto"/>
              </w:rPr>
              <w:t>30</w:t>
            </w:r>
            <w:r>
              <w:rPr>
                <w:rFonts w:hint="eastAsia"/>
                <w:color w:val="auto"/>
              </w:rPr>
              <w:t>年</w:t>
            </w:r>
          </w:p>
        </w:tc>
        <w:tc>
          <w:tcPr>
            <w:tcW w:w="590" w:type="pct"/>
            <w:noWrap w:val="0"/>
            <w:vAlign w:val="center"/>
          </w:tcPr>
          <w:p w14:paraId="28601BF0">
            <w:pPr>
              <w:jc w:val="center"/>
              <w:rPr>
                <w:color w:val="auto"/>
                <w:szCs w:val="21"/>
              </w:rPr>
            </w:pPr>
            <w:r>
              <w:rPr>
                <w:rFonts w:hint="eastAsia"/>
                <w:color w:val="auto"/>
                <w:szCs w:val="21"/>
              </w:rPr>
              <w:t>颗粒物</w:t>
            </w:r>
          </w:p>
        </w:tc>
        <w:tc>
          <w:tcPr>
            <w:tcW w:w="1199" w:type="dxa"/>
            <w:noWrap w:val="0"/>
            <w:vAlign w:val="center"/>
          </w:tcPr>
          <w:p w14:paraId="124FB241">
            <w:pPr>
              <w:jc w:val="center"/>
              <w:rPr>
                <w:rFonts w:hint="eastAsia"/>
                <w:color w:val="auto"/>
                <w:szCs w:val="21"/>
                <w:highlight w:val="green"/>
              </w:rPr>
            </w:pPr>
            <w:r>
              <w:rPr>
                <w:rFonts w:hint="eastAsia"/>
                <w:color w:val="auto"/>
                <w:szCs w:val="21"/>
                <w:highlight w:val="none"/>
                <w:lang w:val="en-US" w:eastAsia="zh-CN"/>
              </w:rPr>
              <w:t>445.5</w:t>
            </w:r>
          </w:p>
        </w:tc>
        <w:tc>
          <w:tcPr>
            <w:tcW w:w="702" w:type="pct"/>
            <w:noWrap w:val="0"/>
            <w:vAlign w:val="center"/>
          </w:tcPr>
          <w:p w14:paraId="2C92AD6F">
            <w:pPr>
              <w:jc w:val="center"/>
              <w:rPr>
                <w:color w:val="auto"/>
                <w:szCs w:val="21"/>
              </w:rPr>
            </w:pPr>
            <w:r>
              <w:rPr>
                <w:color w:val="auto"/>
              </w:rPr>
              <w:t>ND</w:t>
            </w:r>
          </w:p>
        </w:tc>
        <w:tc>
          <w:tcPr>
            <w:tcW w:w="1199" w:type="dxa"/>
            <w:noWrap w:val="0"/>
            <w:vAlign w:val="center"/>
          </w:tcPr>
          <w:p w14:paraId="3288D542">
            <w:pPr>
              <w:jc w:val="center"/>
              <w:rPr>
                <w:rFonts w:hint="eastAsia"/>
                <w:color w:val="auto"/>
                <w:szCs w:val="21"/>
                <w:highlight w:val="green"/>
              </w:rPr>
            </w:pPr>
            <w:r>
              <w:rPr>
                <w:rFonts w:hint="eastAsia"/>
                <w:color w:val="auto"/>
                <w:szCs w:val="21"/>
                <w:highlight w:val="none"/>
                <w:lang w:val="en-US" w:eastAsia="zh-CN"/>
              </w:rPr>
              <w:t>445.5</w:t>
            </w:r>
          </w:p>
        </w:tc>
        <w:tc>
          <w:tcPr>
            <w:tcW w:w="702" w:type="pct"/>
            <w:noWrap w:val="0"/>
            <w:vAlign w:val="center"/>
          </w:tcPr>
          <w:p w14:paraId="729795E2">
            <w:pPr>
              <w:jc w:val="center"/>
              <w:rPr>
                <w:color w:val="auto"/>
                <w:szCs w:val="21"/>
              </w:rPr>
            </w:pPr>
            <w:r>
              <w:rPr>
                <w:rFonts w:hint="eastAsia"/>
                <w:color w:val="auto"/>
                <w:szCs w:val="21"/>
              </w:rPr>
              <w:t>—</w:t>
            </w:r>
          </w:p>
        </w:tc>
        <w:tc>
          <w:tcPr>
            <w:tcW w:w="671" w:type="pct"/>
            <w:noWrap w:val="0"/>
            <w:vAlign w:val="center"/>
          </w:tcPr>
          <w:p w14:paraId="617E6161">
            <w:pPr>
              <w:jc w:val="center"/>
              <w:rPr>
                <w:color w:val="auto"/>
                <w:szCs w:val="21"/>
              </w:rPr>
            </w:pPr>
            <w:r>
              <w:rPr>
                <w:rFonts w:hint="eastAsia"/>
                <w:color w:val="auto"/>
                <w:szCs w:val="21"/>
              </w:rPr>
              <w:t>—</w:t>
            </w:r>
          </w:p>
        </w:tc>
      </w:tr>
    </w:tbl>
    <w:p w14:paraId="1B570E5E">
      <w:pPr>
        <w:pStyle w:val="149"/>
        <w:spacing w:line="360" w:lineRule="auto"/>
        <w:ind w:firstLine="480" w:firstLineChars="200"/>
        <w:rPr>
          <w:rFonts w:ascii="Times New Roman" w:hAnsi="Times New Roman" w:eastAsia="宋体"/>
          <w:color w:val="auto"/>
          <w:kern w:val="2"/>
        </w:rPr>
      </w:pPr>
      <w:r>
        <w:rPr>
          <w:rFonts w:ascii="Times New Roman" w:hAnsi="Times New Roman" w:eastAsia="宋体"/>
          <w:color w:val="auto"/>
          <w:kern w:val="2"/>
        </w:rPr>
        <w:t>根据以上预测结果，颗粒物30年大气沉降最大累计量</w:t>
      </w:r>
      <w:r>
        <w:rPr>
          <w:rFonts w:ascii="Times New Roman" w:hAnsi="Times New Roman" w:eastAsia="宋体"/>
          <w:color w:val="auto"/>
          <w:kern w:val="2"/>
          <w:highlight w:val="none"/>
        </w:rPr>
        <w:t>为</w:t>
      </w:r>
      <w:r>
        <w:rPr>
          <w:rFonts w:hint="eastAsia" w:ascii="Times New Roman" w:hAnsi="Times New Roman"/>
          <w:color w:val="auto"/>
          <w:kern w:val="2"/>
          <w:highlight w:val="none"/>
          <w:lang w:val="en-US" w:eastAsia="zh-CN"/>
        </w:rPr>
        <w:t>445.5</w:t>
      </w:r>
      <w:r>
        <w:rPr>
          <w:rFonts w:ascii="Times New Roman" w:hAnsi="Times New Roman" w:eastAsia="宋体"/>
          <w:color w:val="auto"/>
          <w:kern w:val="2"/>
          <w:highlight w:val="none"/>
        </w:rPr>
        <w:t>mg/kg</w:t>
      </w:r>
      <w:r>
        <w:rPr>
          <w:rFonts w:ascii="Times New Roman" w:hAnsi="Times New Roman" w:eastAsia="宋体"/>
          <w:color w:val="auto"/>
          <w:kern w:val="2"/>
        </w:rPr>
        <w:t>，</w:t>
      </w:r>
      <w:r>
        <w:rPr>
          <w:rFonts w:hint="eastAsia" w:ascii="Times New Roman" w:hAnsi="Times New Roman"/>
          <w:color w:val="auto"/>
          <w:kern w:val="2"/>
          <w:lang w:eastAsia="zh-CN"/>
        </w:rPr>
        <w:t>《土壤环境质量 农用地土壤污染风险管控标准（试行）》（GB15618-2018）</w:t>
      </w:r>
      <w:r>
        <w:rPr>
          <w:rFonts w:ascii="Times New Roman" w:hAnsi="Times New Roman" w:eastAsia="宋体"/>
          <w:color w:val="auto"/>
          <w:kern w:val="2"/>
        </w:rPr>
        <w:t>中无标准限值，本项目土壤环境大气沉降影响可接受。</w:t>
      </w:r>
    </w:p>
    <w:p w14:paraId="330DE05F">
      <w:pPr>
        <w:spacing w:line="360" w:lineRule="auto"/>
        <w:outlineLvl w:val="3"/>
        <w:rPr>
          <w:rFonts w:hint="eastAsia" w:eastAsia="宋体"/>
          <w:b/>
          <w:color w:val="auto"/>
          <w:sz w:val="24"/>
          <w:lang w:eastAsia="zh-CN"/>
        </w:rPr>
      </w:pPr>
      <w:r>
        <w:rPr>
          <w:b/>
          <w:color w:val="auto"/>
          <w:sz w:val="24"/>
        </w:rPr>
        <w:t>5.2.</w:t>
      </w:r>
      <w:r>
        <w:rPr>
          <w:rFonts w:hint="eastAsia"/>
          <w:b/>
          <w:color w:val="auto"/>
          <w:sz w:val="24"/>
        </w:rPr>
        <w:t>6</w:t>
      </w:r>
      <w:r>
        <w:rPr>
          <w:b/>
          <w:color w:val="auto"/>
          <w:sz w:val="24"/>
        </w:rPr>
        <w:t>.3</w:t>
      </w:r>
      <w:r>
        <w:rPr>
          <w:rFonts w:hint="eastAsia"/>
          <w:b/>
          <w:color w:val="auto"/>
          <w:sz w:val="24"/>
          <w:lang w:eastAsia="zh-CN"/>
        </w:rPr>
        <w:t>结论</w:t>
      </w:r>
    </w:p>
    <w:p w14:paraId="4CD25129">
      <w:pPr>
        <w:spacing w:line="360" w:lineRule="auto"/>
        <w:ind w:firstLine="480" w:firstLineChars="200"/>
        <w:rPr>
          <w:color w:val="auto"/>
          <w:sz w:val="24"/>
        </w:rPr>
      </w:pPr>
      <w:r>
        <w:rPr>
          <w:rFonts w:hint="eastAsia"/>
          <w:color w:val="auto"/>
          <w:sz w:val="24"/>
        </w:rPr>
        <w:t>（</w:t>
      </w:r>
      <w:r>
        <w:rPr>
          <w:color w:val="auto"/>
          <w:sz w:val="24"/>
        </w:rPr>
        <w:t>1</w:t>
      </w:r>
      <w:r>
        <w:rPr>
          <w:rFonts w:hint="eastAsia"/>
          <w:color w:val="auto"/>
          <w:sz w:val="24"/>
        </w:rPr>
        <w:t>）现状监测结果表明，各监测点各项指标均能达到</w:t>
      </w:r>
      <w:r>
        <w:rPr>
          <w:rFonts w:hint="eastAsia"/>
          <w:color w:val="auto"/>
          <w:sz w:val="24"/>
          <w:lang w:eastAsia="zh-CN"/>
        </w:rPr>
        <w:t>《土壤环境质量 农用地土壤污染风险管控标准（试行）》（GB15618-2018）</w:t>
      </w:r>
      <w:r>
        <w:rPr>
          <w:rFonts w:hint="eastAsia"/>
          <w:color w:val="auto"/>
          <w:sz w:val="24"/>
        </w:rPr>
        <w:t>标准，区域土壤环境质量状况良好。</w:t>
      </w:r>
    </w:p>
    <w:p w14:paraId="69B442CB">
      <w:pPr>
        <w:spacing w:line="360" w:lineRule="auto"/>
        <w:ind w:firstLine="480" w:firstLineChars="200"/>
        <w:rPr>
          <w:color w:val="auto"/>
          <w:sz w:val="24"/>
        </w:rPr>
      </w:pPr>
      <w:r>
        <w:rPr>
          <w:rFonts w:hint="eastAsia"/>
          <w:color w:val="auto"/>
          <w:sz w:val="24"/>
        </w:rPr>
        <w:t>（</w:t>
      </w:r>
      <w:r>
        <w:rPr>
          <w:color w:val="auto"/>
          <w:sz w:val="24"/>
        </w:rPr>
        <w:t>2</w:t>
      </w:r>
      <w:r>
        <w:rPr>
          <w:rFonts w:hint="eastAsia"/>
          <w:color w:val="auto"/>
          <w:sz w:val="24"/>
        </w:rPr>
        <w:t>）根据预测结果，污染物对评价范围内土壤环境影响较小。</w:t>
      </w:r>
    </w:p>
    <w:p w14:paraId="15FDC65F">
      <w:pPr>
        <w:ind w:firstLine="413" w:firstLineChars="196"/>
        <w:jc w:val="center"/>
        <w:rPr>
          <w:b/>
          <w:bCs/>
          <w:color w:val="auto"/>
          <w:szCs w:val="21"/>
        </w:rPr>
      </w:pPr>
      <w:r>
        <w:rPr>
          <w:b/>
          <w:bCs/>
          <w:color w:val="auto"/>
          <w:szCs w:val="21"/>
        </w:rPr>
        <w:t>表5</w:t>
      </w:r>
      <w:r>
        <w:rPr>
          <w:rFonts w:hint="eastAsia"/>
          <w:b/>
          <w:bCs/>
          <w:color w:val="auto"/>
          <w:szCs w:val="21"/>
          <w:lang w:val="en-US" w:eastAsia="zh-CN"/>
        </w:rPr>
        <w:t xml:space="preserve">.2-31 </w:t>
      </w:r>
      <w:r>
        <w:rPr>
          <w:b/>
          <w:bCs/>
          <w:color w:val="auto"/>
          <w:szCs w:val="21"/>
        </w:rPr>
        <w:t xml:space="preserve">  </w:t>
      </w:r>
      <w:r>
        <w:rPr>
          <w:rFonts w:hint="eastAsia"/>
          <w:b/>
          <w:bCs/>
          <w:color w:val="auto"/>
          <w:szCs w:val="21"/>
          <w:lang w:val="en-US" w:eastAsia="zh-CN"/>
        </w:rPr>
        <w:t xml:space="preserve"> </w:t>
      </w:r>
      <w:r>
        <w:rPr>
          <w:b/>
          <w:bCs/>
          <w:color w:val="auto"/>
          <w:szCs w:val="21"/>
        </w:rPr>
        <w:t>土壤环境影响评价自查表</w:t>
      </w:r>
    </w:p>
    <w:tbl>
      <w:tblPr>
        <w:tblStyle w:val="53"/>
        <w:tblW w:w="4998" w:type="pct"/>
        <w:jc w:val="center"/>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81"/>
        <w:gridCol w:w="1501"/>
        <w:gridCol w:w="1348"/>
        <w:gridCol w:w="452"/>
        <w:gridCol w:w="896"/>
        <w:gridCol w:w="904"/>
        <w:gridCol w:w="444"/>
        <w:gridCol w:w="1356"/>
        <w:gridCol w:w="1027"/>
      </w:tblGrid>
      <w:tr w14:paraId="7E50B3AE">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33" w:type="pct"/>
            <w:gridSpan w:val="2"/>
            <w:tcBorders>
              <w:top w:val="double" w:color="auto" w:sz="4" w:space="0"/>
              <w:left w:val="nil"/>
              <w:bottom w:val="single" w:color="000000" w:sz="4" w:space="0"/>
              <w:right w:val="single" w:color="000000" w:sz="4" w:space="0"/>
            </w:tcBorders>
            <w:vAlign w:val="center"/>
          </w:tcPr>
          <w:p w14:paraId="395826D8">
            <w:pPr>
              <w:adjustRightInd w:val="0"/>
              <w:jc w:val="center"/>
              <w:rPr>
                <w:color w:val="auto"/>
                <w:szCs w:val="21"/>
              </w:rPr>
            </w:pPr>
            <w:r>
              <w:rPr>
                <w:color w:val="auto"/>
              </w:rPr>
              <w:t>工作内容</w:t>
            </w:r>
          </w:p>
        </w:tc>
        <w:tc>
          <w:tcPr>
            <w:tcW w:w="3249" w:type="pct"/>
            <w:gridSpan w:val="6"/>
            <w:tcBorders>
              <w:top w:val="double" w:color="auto" w:sz="4" w:space="0"/>
              <w:left w:val="single" w:color="000000" w:sz="4" w:space="0"/>
              <w:bottom w:val="single" w:color="000000" w:sz="4" w:space="0"/>
              <w:right w:val="single" w:color="000000" w:sz="4" w:space="0"/>
            </w:tcBorders>
            <w:vAlign w:val="center"/>
          </w:tcPr>
          <w:p w14:paraId="287CD725">
            <w:pPr>
              <w:adjustRightInd w:val="0"/>
              <w:jc w:val="center"/>
              <w:rPr>
                <w:color w:val="auto"/>
                <w:szCs w:val="21"/>
              </w:rPr>
            </w:pPr>
            <w:r>
              <w:rPr>
                <w:color w:val="auto"/>
              </w:rPr>
              <w:t>完成情况</w:t>
            </w:r>
          </w:p>
        </w:tc>
        <w:tc>
          <w:tcPr>
            <w:tcW w:w="616" w:type="pct"/>
            <w:tcBorders>
              <w:top w:val="double" w:color="auto" w:sz="4" w:space="0"/>
              <w:left w:val="single" w:color="000000" w:sz="4" w:space="0"/>
              <w:bottom w:val="single" w:color="000000" w:sz="4" w:space="0"/>
              <w:right w:val="nil"/>
            </w:tcBorders>
            <w:vAlign w:val="center"/>
          </w:tcPr>
          <w:p w14:paraId="44C04A33">
            <w:pPr>
              <w:adjustRightInd w:val="0"/>
              <w:jc w:val="center"/>
              <w:rPr>
                <w:color w:val="auto"/>
                <w:szCs w:val="21"/>
              </w:rPr>
            </w:pPr>
            <w:r>
              <w:rPr>
                <w:color w:val="auto"/>
              </w:rPr>
              <w:t>备注</w:t>
            </w:r>
          </w:p>
        </w:tc>
      </w:tr>
      <w:tr w14:paraId="044E1788">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restart"/>
            <w:tcBorders>
              <w:top w:val="single" w:color="000000" w:sz="4" w:space="0"/>
              <w:left w:val="nil"/>
              <w:bottom w:val="single" w:color="000000" w:sz="4" w:space="0"/>
              <w:right w:val="single" w:color="000000" w:sz="4" w:space="0"/>
            </w:tcBorders>
            <w:vAlign w:val="center"/>
          </w:tcPr>
          <w:p w14:paraId="0E1CE6A3">
            <w:pPr>
              <w:adjustRightInd w:val="0"/>
              <w:jc w:val="center"/>
              <w:rPr>
                <w:color w:val="auto"/>
                <w:szCs w:val="21"/>
              </w:rPr>
            </w:pPr>
            <w:r>
              <w:rPr>
                <w:color w:val="auto"/>
              </w:rPr>
              <w:t>影响识别</w:t>
            </w:r>
          </w:p>
        </w:tc>
        <w:tc>
          <w:tcPr>
            <w:tcW w:w="903" w:type="pct"/>
            <w:tcBorders>
              <w:top w:val="single" w:color="000000" w:sz="4" w:space="0"/>
              <w:left w:val="single" w:color="000000" w:sz="4" w:space="0"/>
              <w:bottom w:val="single" w:color="000000" w:sz="4" w:space="0"/>
              <w:right w:val="single" w:color="000000" w:sz="4" w:space="0"/>
            </w:tcBorders>
            <w:vAlign w:val="center"/>
          </w:tcPr>
          <w:p w14:paraId="71F9F612">
            <w:pPr>
              <w:adjustRightInd w:val="0"/>
              <w:jc w:val="center"/>
              <w:rPr>
                <w:color w:val="auto"/>
                <w:szCs w:val="21"/>
              </w:rPr>
            </w:pPr>
            <w:r>
              <w:rPr>
                <w:color w:val="auto"/>
              </w:rPr>
              <w:t>影响类型</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4510845D">
            <w:pPr>
              <w:adjustRightInd w:val="0"/>
              <w:ind w:left="105" w:leftChars="50"/>
              <w:jc w:val="center"/>
              <w:rPr>
                <w:color w:val="auto"/>
                <w:szCs w:val="21"/>
              </w:rPr>
            </w:pPr>
            <w:r>
              <w:rPr>
                <w:color w:val="auto"/>
              </w:rPr>
              <w:t>污染影响型</w:t>
            </w:r>
            <w:r>
              <w:rPr>
                <w:color w:val="auto"/>
              </w:rPr>
              <w:sym w:font="Wingdings 2" w:char="0052"/>
            </w:r>
            <w:r>
              <w:rPr>
                <w:color w:val="auto"/>
              </w:rPr>
              <w:t>；生态影响型□；两种兼有□</w:t>
            </w:r>
          </w:p>
        </w:tc>
        <w:tc>
          <w:tcPr>
            <w:tcW w:w="616" w:type="pct"/>
            <w:tcBorders>
              <w:top w:val="single" w:color="000000" w:sz="4" w:space="0"/>
              <w:left w:val="single" w:color="000000" w:sz="4" w:space="0"/>
              <w:bottom w:val="single" w:color="000000" w:sz="4" w:space="0"/>
              <w:right w:val="nil"/>
            </w:tcBorders>
            <w:vAlign w:val="center"/>
          </w:tcPr>
          <w:p w14:paraId="3D37BBA3">
            <w:pPr>
              <w:adjustRightInd w:val="0"/>
              <w:jc w:val="center"/>
              <w:rPr>
                <w:color w:val="auto"/>
                <w:szCs w:val="21"/>
              </w:rPr>
            </w:pPr>
          </w:p>
        </w:tc>
      </w:tr>
      <w:tr w14:paraId="40D71F5E">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7B02623D">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777C4A72">
            <w:pPr>
              <w:adjustRightInd w:val="0"/>
              <w:jc w:val="center"/>
              <w:rPr>
                <w:color w:val="auto"/>
                <w:szCs w:val="21"/>
              </w:rPr>
            </w:pPr>
            <w:r>
              <w:rPr>
                <w:color w:val="auto"/>
              </w:rPr>
              <w:t>土地利用类型</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7546858A">
            <w:pPr>
              <w:adjustRightInd w:val="0"/>
              <w:ind w:left="105" w:leftChars="50"/>
              <w:jc w:val="center"/>
              <w:rPr>
                <w:color w:val="auto"/>
                <w:szCs w:val="21"/>
              </w:rPr>
            </w:pPr>
            <w:r>
              <w:rPr>
                <w:color w:val="auto"/>
              </w:rPr>
              <w:t>建设用地</w:t>
            </w:r>
            <w:r>
              <w:rPr>
                <w:rFonts w:hint="eastAsia"/>
                <w:color w:val="auto"/>
                <w:lang w:eastAsia="zh-CN"/>
              </w:rPr>
              <w:t>□</w:t>
            </w:r>
            <w:r>
              <w:rPr>
                <w:color w:val="auto"/>
              </w:rPr>
              <w:t>；农用地</w:t>
            </w:r>
            <w:r>
              <w:rPr>
                <w:rFonts w:hint="eastAsia"/>
                <w:color w:val="auto"/>
              </w:rPr>
              <w:sym w:font="Wingdings 2" w:char="0052"/>
            </w:r>
            <w:r>
              <w:rPr>
                <w:color w:val="auto"/>
              </w:rPr>
              <w:t>；未利用地□</w:t>
            </w:r>
          </w:p>
        </w:tc>
        <w:tc>
          <w:tcPr>
            <w:tcW w:w="616" w:type="pct"/>
            <w:tcBorders>
              <w:top w:val="single" w:color="000000" w:sz="4" w:space="0"/>
              <w:left w:val="single" w:color="000000" w:sz="4" w:space="0"/>
              <w:bottom w:val="single" w:color="000000" w:sz="4" w:space="0"/>
              <w:right w:val="nil"/>
            </w:tcBorders>
            <w:vAlign w:val="center"/>
          </w:tcPr>
          <w:p w14:paraId="236BBF57">
            <w:pPr>
              <w:adjustRightInd w:val="0"/>
              <w:jc w:val="center"/>
              <w:rPr>
                <w:color w:val="auto"/>
                <w:szCs w:val="21"/>
              </w:rPr>
            </w:pPr>
            <w:r>
              <w:rPr>
                <w:color w:val="auto"/>
              </w:rPr>
              <w:t>土地利用</w:t>
            </w:r>
            <w:r>
              <w:rPr>
                <w:rFonts w:hint="eastAsia"/>
                <w:color w:val="auto"/>
              </w:rPr>
              <w:t>规划图</w:t>
            </w:r>
          </w:p>
        </w:tc>
      </w:tr>
      <w:tr w14:paraId="3CE26B6C">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4D76A334">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388F477C">
            <w:pPr>
              <w:adjustRightInd w:val="0"/>
              <w:jc w:val="center"/>
              <w:rPr>
                <w:color w:val="auto"/>
                <w:szCs w:val="21"/>
              </w:rPr>
            </w:pPr>
            <w:r>
              <w:rPr>
                <w:color w:val="auto"/>
              </w:rPr>
              <w:t>占地规模</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718B9BC9">
            <w:pPr>
              <w:adjustRightInd w:val="0"/>
              <w:ind w:left="105" w:leftChars="50"/>
              <w:jc w:val="center"/>
              <w:rPr>
                <w:color w:val="auto"/>
                <w:szCs w:val="21"/>
              </w:rPr>
            </w:pPr>
            <w:r>
              <w:rPr>
                <w:color w:val="auto"/>
              </w:rPr>
              <w:t>（</w:t>
            </w:r>
            <w:r>
              <w:rPr>
                <w:rFonts w:hint="eastAsia"/>
                <w:color w:val="auto"/>
                <w:lang w:val="en-US" w:eastAsia="zh-CN"/>
              </w:rPr>
              <w:t>7.823455</w:t>
            </w:r>
            <w:r>
              <w:rPr>
                <w:color w:val="auto"/>
              </w:rPr>
              <w:t>）hm</w:t>
            </w:r>
            <w:r>
              <w:rPr>
                <w:color w:val="auto"/>
                <w:vertAlign w:val="superscript"/>
              </w:rPr>
              <w:t>2</w:t>
            </w:r>
          </w:p>
        </w:tc>
        <w:tc>
          <w:tcPr>
            <w:tcW w:w="616" w:type="pct"/>
            <w:tcBorders>
              <w:top w:val="single" w:color="000000" w:sz="4" w:space="0"/>
              <w:left w:val="single" w:color="000000" w:sz="4" w:space="0"/>
              <w:bottom w:val="single" w:color="000000" w:sz="4" w:space="0"/>
              <w:right w:val="nil"/>
            </w:tcBorders>
            <w:vAlign w:val="center"/>
          </w:tcPr>
          <w:p w14:paraId="411A8C0D">
            <w:pPr>
              <w:adjustRightInd w:val="0"/>
              <w:jc w:val="center"/>
              <w:rPr>
                <w:color w:val="auto"/>
                <w:szCs w:val="21"/>
              </w:rPr>
            </w:pPr>
          </w:p>
        </w:tc>
      </w:tr>
      <w:tr w14:paraId="7B63BC91">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0D622ECB">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2797F8A6">
            <w:pPr>
              <w:adjustRightInd w:val="0"/>
              <w:jc w:val="center"/>
              <w:rPr>
                <w:color w:val="auto"/>
                <w:szCs w:val="21"/>
              </w:rPr>
            </w:pPr>
            <w:r>
              <w:rPr>
                <w:color w:val="auto"/>
              </w:rPr>
              <w:t>敏感目标信息</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5CCDF637">
            <w:pPr>
              <w:adjustRightInd w:val="0"/>
              <w:ind w:left="105" w:leftChars="50"/>
              <w:jc w:val="center"/>
              <w:rPr>
                <w:color w:val="auto"/>
                <w:szCs w:val="21"/>
              </w:rPr>
            </w:pPr>
            <w:r>
              <w:rPr>
                <w:color w:val="auto"/>
              </w:rPr>
              <w:t>敏感目标（耕地</w:t>
            </w:r>
            <w:r>
              <w:rPr>
                <w:rFonts w:hint="eastAsia"/>
                <w:color w:val="auto"/>
                <w:lang w:eastAsia="zh-CN"/>
              </w:rPr>
              <w:t>、大棚</w:t>
            </w:r>
            <w:r>
              <w:rPr>
                <w:color w:val="auto"/>
              </w:rPr>
              <w:t>）、方位（厂界四周）、距离（相邻）</w:t>
            </w:r>
          </w:p>
        </w:tc>
        <w:tc>
          <w:tcPr>
            <w:tcW w:w="616" w:type="pct"/>
            <w:tcBorders>
              <w:top w:val="single" w:color="000000" w:sz="4" w:space="0"/>
              <w:left w:val="single" w:color="000000" w:sz="4" w:space="0"/>
              <w:bottom w:val="single" w:color="000000" w:sz="4" w:space="0"/>
              <w:right w:val="nil"/>
            </w:tcBorders>
            <w:vAlign w:val="center"/>
          </w:tcPr>
          <w:p w14:paraId="6DAC0F2D">
            <w:pPr>
              <w:adjustRightInd w:val="0"/>
              <w:jc w:val="center"/>
              <w:rPr>
                <w:color w:val="auto"/>
                <w:szCs w:val="21"/>
              </w:rPr>
            </w:pPr>
          </w:p>
        </w:tc>
      </w:tr>
      <w:tr w14:paraId="2680C18C">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44D849A5">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5EC5BBA6">
            <w:pPr>
              <w:adjustRightInd w:val="0"/>
              <w:jc w:val="center"/>
              <w:rPr>
                <w:color w:val="auto"/>
                <w:szCs w:val="21"/>
              </w:rPr>
            </w:pPr>
            <w:r>
              <w:rPr>
                <w:color w:val="auto"/>
              </w:rPr>
              <w:t>影响途径</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627BD317">
            <w:pPr>
              <w:adjustRightInd w:val="0"/>
              <w:ind w:left="105" w:leftChars="50"/>
              <w:jc w:val="center"/>
              <w:rPr>
                <w:color w:val="auto"/>
                <w:szCs w:val="21"/>
              </w:rPr>
            </w:pPr>
            <w:r>
              <w:rPr>
                <w:color w:val="auto"/>
              </w:rPr>
              <w:t>大气沉降</w:t>
            </w:r>
            <w:r>
              <w:rPr>
                <w:rFonts w:hint="eastAsia"/>
                <w:color w:val="auto"/>
                <w:lang w:eastAsia="zh-CN"/>
              </w:rPr>
              <w:t>☑</w:t>
            </w:r>
            <w:r>
              <w:rPr>
                <w:color w:val="auto"/>
              </w:rPr>
              <w:t>；地面漫流</w:t>
            </w:r>
            <w:r>
              <w:rPr>
                <w:color w:val="auto"/>
              </w:rPr>
              <w:sym w:font="Wingdings 2" w:char="0052"/>
            </w:r>
            <w:r>
              <w:rPr>
                <w:color w:val="auto"/>
              </w:rPr>
              <w:t>；垂直入渗</w:t>
            </w:r>
            <w:r>
              <w:rPr>
                <w:color w:val="auto"/>
              </w:rPr>
              <w:sym w:font="Wingdings 2" w:char="0052"/>
            </w:r>
            <w:r>
              <w:rPr>
                <w:color w:val="auto"/>
              </w:rPr>
              <w:t>；地下水位□；</w:t>
            </w:r>
          </w:p>
          <w:p w14:paraId="24608EFE">
            <w:pPr>
              <w:adjustRightInd w:val="0"/>
              <w:ind w:left="105" w:leftChars="50"/>
              <w:jc w:val="center"/>
              <w:rPr>
                <w:color w:val="auto"/>
                <w:szCs w:val="21"/>
              </w:rPr>
            </w:pPr>
            <w:r>
              <w:rPr>
                <w:color w:val="auto"/>
              </w:rPr>
              <w:t>其他（  ）</w:t>
            </w:r>
          </w:p>
        </w:tc>
        <w:tc>
          <w:tcPr>
            <w:tcW w:w="616" w:type="pct"/>
            <w:tcBorders>
              <w:top w:val="single" w:color="000000" w:sz="4" w:space="0"/>
              <w:left w:val="single" w:color="000000" w:sz="4" w:space="0"/>
              <w:bottom w:val="single" w:color="000000" w:sz="4" w:space="0"/>
              <w:right w:val="nil"/>
            </w:tcBorders>
            <w:vAlign w:val="center"/>
          </w:tcPr>
          <w:p w14:paraId="77676FB8">
            <w:pPr>
              <w:adjustRightInd w:val="0"/>
              <w:jc w:val="center"/>
              <w:rPr>
                <w:color w:val="auto"/>
                <w:szCs w:val="21"/>
              </w:rPr>
            </w:pPr>
          </w:p>
        </w:tc>
      </w:tr>
      <w:tr w14:paraId="2C69FC58">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0A50C313">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5DFD30E4">
            <w:pPr>
              <w:adjustRightInd w:val="0"/>
              <w:jc w:val="center"/>
              <w:rPr>
                <w:color w:val="auto"/>
                <w:szCs w:val="21"/>
              </w:rPr>
            </w:pPr>
            <w:r>
              <w:rPr>
                <w:color w:val="auto"/>
              </w:rPr>
              <w:t>全部污染物</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40561544">
            <w:pPr>
              <w:adjustRightInd w:val="0"/>
              <w:ind w:left="105" w:leftChars="50"/>
              <w:jc w:val="center"/>
              <w:rPr>
                <w:color w:val="auto"/>
                <w:szCs w:val="21"/>
              </w:rPr>
            </w:pPr>
            <w:r>
              <w:rPr>
                <w:color w:val="auto"/>
                <w:szCs w:val="21"/>
              </w:rPr>
              <w:t>GB15618-2018表1中8项基本因子</w:t>
            </w:r>
          </w:p>
        </w:tc>
        <w:tc>
          <w:tcPr>
            <w:tcW w:w="616" w:type="pct"/>
            <w:tcBorders>
              <w:top w:val="single" w:color="000000" w:sz="4" w:space="0"/>
              <w:left w:val="single" w:color="000000" w:sz="4" w:space="0"/>
              <w:bottom w:val="single" w:color="000000" w:sz="4" w:space="0"/>
              <w:right w:val="nil"/>
            </w:tcBorders>
            <w:vAlign w:val="center"/>
          </w:tcPr>
          <w:p w14:paraId="315F8BC5">
            <w:pPr>
              <w:adjustRightInd w:val="0"/>
              <w:jc w:val="center"/>
              <w:rPr>
                <w:color w:val="auto"/>
                <w:szCs w:val="21"/>
              </w:rPr>
            </w:pPr>
          </w:p>
        </w:tc>
      </w:tr>
      <w:tr w14:paraId="7539B4D4">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2648DC03">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727043D8">
            <w:pPr>
              <w:adjustRightInd w:val="0"/>
              <w:jc w:val="center"/>
              <w:rPr>
                <w:color w:val="auto"/>
                <w:szCs w:val="21"/>
              </w:rPr>
            </w:pPr>
            <w:r>
              <w:rPr>
                <w:color w:val="auto"/>
              </w:rPr>
              <w:t>特征因子</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22F871A2">
            <w:pPr>
              <w:adjustRightInd w:val="0"/>
              <w:ind w:left="105" w:leftChars="50"/>
              <w:jc w:val="center"/>
              <w:rPr>
                <w:color w:val="auto"/>
                <w:szCs w:val="21"/>
              </w:rPr>
            </w:pPr>
            <w:r>
              <w:rPr>
                <w:color w:val="auto"/>
                <w:szCs w:val="21"/>
              </w:rPr>
              <w:t>无</w:t>
            </w:r>
          </w:p>
        </w:tc>
        <w:tc>
          <w:tcPr>
            <w:tcW w:w="616" w:type="pct"/>
            <w:tcBorders>
              <w:top w:val="single" w:color="000000" w:sz="4" w:space="0"/>
              <w:left w:val="single" w:color="000000" w:sz="4" w:space="0"/>
              <w:bottom w:val="single" w:color="000000" w:sz="4" w:space="0"/>
              <w:right w:val="nil"/>
            </w:tcBorders>
            <w:vAlign w:val="center"/>
          </w:tcPr>
          <w:p w14:paraId="77EB19E5">
            <w:pPr>
              <w:adjustRightInd w:val="0"/>
              <w:jc w:val="center"/>
              <w:rPr>
                <w:color w:val="auto"/>
                <w:szCs w:val="21"/>
              </w:rPr>
            </w:pPr>
          </w:p>
        </w:tc>
      </w:tr>
      <w:tr w14:paraId="5065A8CD">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7D927954">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3F4E96A5">
            <w:pPr>
              <w:adjustRightInd w:val="0"/>
              <w:jc w:val="center"/>
              <w:rPr>
                <w:color w:val="auto"/>
                <w:szCs w:val="21"/>
              </w:rPr>
            </w:pPr>
            <w:r>
              <w:rPr>
                <w:color w:val="auto"/>
              </w:rPr>
              <w:t>所属土壤环境影响评价项目类别</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331636EB">
            <w:pPr>
              <w:adjustRightInd w:val="0"/>
              <w:ind w:left="105" w:leftChars="50"/>
              <w:jc w:val="center"/>
              <w:rPr>
                <w:color w:val="auto"/>
                <w:szCs w:val="21"/>
              </w:rPr>
            </w:pPr>
            <w:r>
              <w:rPr>
                <w:color w:val="auto"/>
              </w:rPr>
              <w:t>Ⅰ类□；Ⅱ类□；Ⅲ类</w:t>
            </w:r>
            <w:r>
              <w:rPr>
                <w:color w:val="auto"/>
              </w:rPr>
              <w:sym w:font="Wingdings 2" w:char="0052"/>
            </w:r>
            <w:r>
              <w:rPr>
                <w:color w:val="auto"/>
              </w:rPr>
              <w:t>；Ⅳ类□</w:t>
            </w:r>
          </w:p>
        </w:tc>
        <w:tc>
          <w:tcPr>
            <w:tcW w:w="616" w:type="pct"/>
            <w:tcBorders>
              <w:top w:val="single" w:color="000000" w:sz="4" w:space="0"/>
              <w:left w:val="single" w:color="000000" w:sz="4" w:space="0"/>
              <w:bottom w:val="single" w:color="000000" w:sz="4" w:space="0"/>
              <w:right w:val="nil"/>
            </w:tcBorders>
            <w:vAlign w:val="center"/>
          </w:tcPr>
          <w:p w14:paraId="1F375D50">
            <w:pPr>
              <w:adjustRightInd w:val="0"/>
              <w:jc w:val="center"/>
              <w:rPr>
                <w:color w:val="auto"/>
                <w:szCs w:val="21"/>
              </w:rPr>
            </w:pPr>
          </w:p>
        </w:tc>
      </w:tr>
      <w:tr w14:paraId="58D4EF14">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6BB851FB">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6DE1D029">
            <w:pPr>
              <w:adjustRightInd w:val="0"/>
              <w:jc w:val="center"/>
              <w:rPr>
                <w:color w:val="auto"/>
                <w:szCs w:val="21"/>
              </w:rPr>
            </w:pPr>
            <w:r>
              <w:rPr>
                <w:color w:val="auto"/>
              </w:rPr>
              <w:t>敏感程度</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1FE16E20">
            <w:pPr>
              <w:adjustRightInd w:val="0"/>
              <w:ind w:left="105" w:leftChars="50"/>
              <w:jc w:val="center"/>
              <w:rPr>
                <w:color w:val="auto"/>
                <w:szCs w:val="21"/>
              </w:rPr>
            </w:pPr>
            <w:r>
              <w:rPr>
                <w:color w:val="auto"/>
              </w:rPr>
              <w:t>敏感</w:t>
            </w:r>
            <w:r>
              <w:rPr>
                <w:color w:val="auto"/>
              </w:rPr>
              <w:sym w:font="Wingdings 2" w:char="0052"/>
            </w:r>
            <w:r>
              <w:rPr>
                <w:color w:val="auto"/>
              </w:rPr>
              <w:t>；较敏感□；不敏感□</w:t>
            </w:r>
          </w:p>
        </w:tc>
        <w:tc>
          <w:tcPr>
            <w:tcW w:w="616" w:type="pct"/>
            <w:tcBorders>
              <w:top w:val="single" w:color="000000" w:sz="4" w:space="0"/>
              <w:left w:val="single" w:color="000000" w:sz="4" w:space="0"/>
              <w:bottom w:val="single" w:color="000000" w:sz="4" w:space="0"/>
              <w:right w:val="nil"/>
            </w:tcBorders>
            <w:vAlign w:val="center"/>
          </w:tcPr>
          <w:p w14:paraId="03FEAA55">
            <w:pPr>
              <w:adjustRightInd w:val="0"/>
              <w:jc w:val="center"/>
              <w:rPr>
                <w:color w:val="auto"/>
                <w:szCs w:val="21"/>
              </w:rPr>
            </w:pPr>
          </w:p>
        </w:tc>
      </w:tr>
      <w:tr w14:paraId="6B157AD3">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33" w:type="pct"/>
            <w:gridSpan w:val="2"/>
            <w:tcBorders>
              <w:top w:val="single" w:color="000000" w:sz="4" w:space="0"/>
              <w:left w:val="nil"/>
              <w:bottom w:val="single" w:color="000000" w:sz="4" w:space="0"/>
              <w:right w:val="single" w:color="000000" w:sz="4" w:space="0"/>
            </w:tcBorders>
            <w:vAlign w:val="center"/>
          </w:tcPr>
          <w:p w14:paraId="4854DB01">
            <w:pPr>
              <w:adjustRightInd w:val="0"/>
              <w:jc w:val="center"/>
              <w:rPr>
                <w:color w:val="auto"/>
                <w:szCs w:val="21"/>
              </w:rPr>
            </w:pPr>
            <w:r>
              <w:rPr>
                <w:color w:val="auto"/>
              </w:rPr>
              <w:t>评价工作等级</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5E8A0B81">
            <w:pPr>
              <w:adjustRightInd w:val="0"/>
              <w:ind w:left="105" w:leftChars="50"/>
              <w:jc w:val="center"/>
              <w:rPr>
                <w:color w:val="auto"/>
                <w:szCs w:val="21"/>
              </w:rPr>
            </w:pPr>
            <w:r>
              <w:rPr>
                <w:color w:val="auto"/>
              </w:rPr>
              <w:t>□一级□；二级□；三级</w:t>
            </w:r>
            <w:r>
              <w:rPr>
                <w:color w:val="auto"/>
              </w:rPr>
              <w:sym w:font="Wingdings 2" w:char="0052"/>
            </w:r>
          </w:p>
        </w:tc>
        <w:tc>
          <w:tcPr>
            <w:tcW w:w="616" w:type="pct"/>
            <w:tcBorders>
              <w:top w:val="single" w:color="000000" w:sz="4" w:space="0"/>
              <w:left w:val="single" w:color="000000" w:sz="4" w:space="0"/>
              <w:bottom w:val="single" w:color="000000" w:sz="4" w:space="0"/>
              <w:right w:val="nil"/>
            </w:tcBorders>
            <w:vAlign w:val="center"/>
          </w:tcPr>
          <w:p w14:paraId="42112928">
            <w:pPr>
              <w:adjustRightInd w:val="0"/>
              <w:jc w:val="center"/>
              <w:rPr>
                <w:color w:val="auto"/>
                <w:szCs w:val="21"/>
              </w:rPr>
            </w:pPr>
          </w:p>
        </w:tc>
      </w:tr>
      <w:tr w14:paraId="425A6398">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restart"/>
            <w:tcBorders>
              <w:top w:val="single" w:color="000000" w:sz="4" w:space="0"/>
              <w:left w:val="nil"/>
              <w:bottom w:val="single" w:color="000000" w:sz="4" w:space="0"/>
              <w:right w:val="single" w:color="000000" w:sz="4" w:space="0"/>
            </w:tcBorders>
            <w:vAlign w:val="center"/>
          </w:tcPr>
          <w:p w14:paraId="056656AD">
            <w:pPr>
              <w:adjustRightInd w:val="0"/>
              <w:jc w:val="center"/>
              <w:rPr>
                <w:color w:val="auto"/>
                <w:szCs w:val="21"/>
              </w:rPr>
            </w:pPr>
            <w:r>
              <w:rPr>
                <w:color w:val="auto"/>
              </w:rPr>
              <w:t>现状调查内容</w:t>
            </w:r>
          </w:p>
        </w:tc>
        <w:tc>
          <w:tcPr>
            <w:tcW w:w="903" w:type="pct"/>
            <w:tcBorders>
              <w:top w:val="single" w:color="000000" w:sz="4" w:space="0"/>
              <w:left w:val="single" w:color="000000" w:sz="4" w:space="0"/>
              <w:bottom w:val="single" w:color="000000" w:sz="4" w:space="0"/>
              <w:right w:val="single" w:color="000000" w:sz="4" w:space="0"/>
            </w:tcBorders>
            <w:vAlign w:val="center"/>
          </w:tcPr>
          <w:p w14:paraId="3A44FDB3">
            <w:pPr>
              <w:adjustRightInd w:val="0"/>
              <w:jc w:val="center"/>
              <w:rPr>
                <w:color w:val="auto"/>
                <w:szCs w:val="21"/>
              </w:rPr>
            </w:pPr>
            <w:r>
              <w:rPr>
                <w:color w:val="auto"/>
              </w:rPr>
              <w:t>资料收集</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0CDB3C30">
            <w:pPr>
              <w:adjustRightInd w:val="0"/>
              <w:ind w:left="105" w:leftChars="50"/>
              <w:jc w:val="center"/>
              <w:rPr>
                <w:color w:val="auto"/>
                <w:szCs w:val="21"/>
              </w:rPr>
            </w:pPr>
            <w:r>
              <w:rPr>
                <w:color w:val="auto"/>
              </w:rPr>
              <w:t>a）</w:t>
            </w:r>
            <w:r>
              <w:rPr>
                <w:color w:val="auto"/>
              </w:rPr>
              <w:sym w:font="Wingdings 2" w:char="0052"/>
            </w:r>
            <w:r>
              <w:rPr>
                <w:color w:val="auto"/>
              </w:rPr>
              <w:t>；b）</w:t>
            </w:r>
            <w:r>
              <w:rPr>
                <w:color w:val="auto"/>
              </w:rPr>
              <w:sym w:font="Wingdings 2" w:char="0052"/>
            </w:r>
            <w:r>
              <w:rPr>
                <w:color w:val="auto"/>
              </w:rPr>
              <w:t>；c）</w:t>
            </w:r>
            <w:r>
              <w:rPr>
                <w:color w:val="auto"/>
              </w:rPr>
              <w:sym w:font="Wingdings 2" w:char="0052"/>
            </w:r>
            <w:r>
              <w:rPr>
                <w:color w:val="auto"/>
              </w:rPr>
              <w:t>；d）</w:t>
            </w:r>
            <w:r>
              <w:rPr>
                <w:color w:val="auto"/>
              </w:rPr>
              <w:sym w:font="Wingdings 2" w:char="0052"/>
            </w:r>
          </w:p>
        </w:tc>
        <w:tc>
          <w:tcPr>
            <w:tcW w:w="616" w:type="pct"/>
            <w:tcBorders>
              <w:top w:val="single" w:color="000000" w:sz="4" w:space="0"/>
              <w:left w:val="single" w:color="000000" w:sz="4" w:space="0"/>
              <w:bottom w:val="single" w:color="000000" w:sz="4" w:space="0"/>
              <w:right w:val="nil"/>
            </w:tcBorders>
            <w:vAlign w:val="center"/>
          </w:tcPr>
          <w:p w14:paraId="5597D341">
            <w:pPr>
              <w:adjustRightInd w:val="0"/>
              <w:jc w:val="center"/>
              <w:rPr>
                <w:color w:val="auto"/>
                <w:szCs w:val="21"/>
              </w:rPr>
            </w:pPr>
          </w:p>
        </w:tc>
      </w:tr>
      <w:tr w14:paraId="470B027B">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166AEE18">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4E166A29">
            <w:pPr>
              <w:adjustRightInd w:val="0"/>
              <w:jc w:val="center"/>
              <w:rPr>
                <w:color w:val="auto"/>
                <w:szCs w:val="21"/>
              </w:rPr>
            </w:pPr>
            <w:r>
              <w:rPr>
                <w:color w:val="auto"/>
              </w:rPr>
              <w:t>理化特性</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46DCC510">
            <w:pPr>
              <w:adjustRightInd w:val="0"/>
              <w:jc w:val="center"/>
              <w:rPr>
                <w:color w:val="auto"/>
                <w:szCs w:val="21"/>
              </w:rPr>
            </w:pPr>
          </w:p>
        </w:tc>
        <w:tc>
          <w:tcPr>
            <w:tcW w:w="616" w:type="pct"/>
            <w:tcBorders>
              <w:top w:val="single" w:color="000000" w:sz="4" w:space="0"/>
              <w:left w:val="single" w:color="000000" w:sz="4" w:space="0"/>
              <w:bottom w:val="single" w:color="000000" w:sz="4" w:space="0"/>
              <w:right w:val="nil"/>
            </w:tcBorders>
            <w:vAlign w:val="center"/>
          </w:tcPr>
          <w:p w14:paraId="024AB819">
            <w:pPr>
              <w:adjustRightInd w:val="0"/>
              <w:jc w:val="center"/>
              <w:rPr>
                <w:color w:val="auto"/>
                <w:szCs w:val="21"/>
              </w:rPr>
            </w:pPr>
            <w:r>
              <w:rPr>
                <w:color w:val="auto"/>
              </w:rPr>
              <w:t>同附录C</w:t>
            </w:r>
          </w:p>
        </w:tc>
      </w:tr>
      <w:tr w14:paraId="6FC42358">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6E9778A8">
            <w:pPr>
              <w:widowControl/>
              <w:jc w:val="left"/>
              <w:rPr>
                <w:color w:val="auto"/>
                <w:szCs w:val="21"/>
              </w:rPr>
            </w:pPr>
          </w:p>
        </w:tc>
        <w:tc>
          <w:tcPr>
            <w:tcW w:w="903" w:type="pct"/>
            <w:vMerge w:val="restart"/>
            <w:tcBorders>
              <w:top w:val="single" w:color="000000" w:sz="4" w:space="0"/>
              <w:left w:val="single" w:color="000000" w:sz="4" w:space="0"/>
              <w:bottom w:val="single" w:color="000000" w:sz="4" w:space="0"/>
              <w:right w:val="single" w:color="000000" w:sz="4" w:space="0"/>
            </w:tcBorders>
            <w:vAlign w:val="center"/>
          </w:tcPr>
          <w:p w14:paraId="533ADED6">
            <w:pPr>
              <w:adjustRightInd w:val="0"/>
              <w:jc w:val="center"/>
              <w:rPr>
                <w:color w:val="auto"/>
                <w:szCs w:val="21"/>
              </w:rPr>
            </w:pPr>
            <w:r>
              <w:rPr>
                <w:color w:val="auto"/>
              </w:rPr>
              <w:t>现状监测点位</w:t>
            </w:r>
          </w:p>
        </w:tc>
        <w:tc>
          <w:tcPr>
            <w:tcW w:w="811" w:type="pct"/>
            <w:tcBorders>
              <w:top w:val="single" w:color="000000" w:sz="4" w:space="0"/>
              <w:left w:val="single" w:color="000000" w:sz="4" w:space="0"/>
              <w:bottom w:val="single" w:color="000000" w:sz="4" w:space="0"/>
              <w:right w:val="single" w:color="000000" w:sz="4" w:space="0"/>
            </w:tcBorders>
            <w:vAlign w:val="center"/>
          </w:tcPr>
          <w:p w14:paraId="599BEDC6">
            <w:pPr>
              <w:adjustRightInd w:val="0"/>
              <w:jc w:val="center"/>
              <w:rPr>
                <w:color w:val="auto"/>
                <w:szCs w:val="21"/>
              </w:rPr>
            </w:pPr>
            <w:r>
              <w:rPr>
                <w:color w:val="auto"/>
                <w:szCs w:val="21"/>
              </w:rPr>
              <w:t>3</w:t>
            </w:r>
          </w:p>
        </w:tc>
        <w:tc>
          <w:tcPr>
            <w:tcW w:w="811" w:type="pct"/>
            <w:gridSpan w:val="2"/>
            <w:tcBorders>
              <w:top w:val="single" w:color="000000" w:sz="4" w:space="0"/>
              <w:left w:val="single" w:color="000000" w:sz="4" w:space="0"/>
              <w:bottom w:val="single" w:color="000000" w:sz="4" w:space="0"/>
              <w:right w:val="single" w:color="000000" w:sz="4" w:space="0"/>
            </w:tcBorders>
            <w:vAlign w:val="center"/>
          </w:tcPr>
          <w:p w14:paraId="63B69A63">
            <w:pPr>
              <w:adjustRightInd w:val="0"/>
              <w:jc w:val="center"/>
              <w:rPr>
                <w:color w:val="auto"/>
                <w:szCs w:val="21"/>
              </w:rPr>
            </w:pPr>
            <w:r>
              <w:rPr>
                <w:color w:val="auto"/>
              </w:rPr>
              <w:t>占地范围内</w:t>
            </w:r>
          </w:p>
        </w:tc>
        <w:tc>
          <w:tcPr>
            <w:tcW w:w="811" w:type="pct"/>
            <w:gridSpan w:val="2"/>
            <w:tcBorders>
              <w:top w:val="single" w:color="000000" w:sz="4" w:space="0"/>
              <w:left w:val="single" w:color="000000" w:sz="4" w:space="0"/>
              <w:bottom w:val="single" w:color="000000" w:sz="4" w:space="0"/>
              <w:right w:val="single" w:color="000000" w:sz="4" w:space="0"/>
            </w:tcBorders>
            <w:vAlign w:val="center"/>
          </w:tcPr>
          <w:p w14:paraId="6C9700A8">
            <w:pPr>
              <w:adjustRightInd w:val="0"/>
              <w:jc w:val="center"/>
              <w:rPr>
                <w:color w:val="auto"/>
                <w:szCs w:val="21"/>
              </w:rPr>
            </w:pPr>
            <w:r>
              <w:rPr>
                <w:color w:val="auto"/>
              </w:rPr>
              <w:t>占地范围外</w:t>
            </w:r>
          </w:p>
        </w:tc>
        <w:tc>
          <w:tcPr>
            <w:tcW w:w="814" w:type="pct"/>
            <w:tcBorders>
              <w:top w:val="single" w:color="000000" w:sz="4" w:space="0"/>
              <w:left w:val="single" w:color="000000" w:sz="4" w:space="0"/>
              <w:bottom w:val="single" w:color="000000" w:sz="4" w:space="0"/>
              <w:right w:val="single" w:color="000000" w:sz="4" w:space="0"/>
            </w:tcBorders>
            <w:vAlign w:val="center"/>
          </w:tcPr>
          <w:p w14:paraId="2AC7B872">
            <w:pPr>
              <w:adjustRightInd w:val="0"/>
              <w:jc w:val="center"/>
              <w:rPr>
                <w:color w:val="auto"/>
                <w:szCs w:val="21"/>
              </w:rPr>
            </w:pPr>
            <w:r>
              <w:rPr>
                <w:color w:val="auto"/>
              </w:rPr>
              <w:t>深度</w:t>
            </w:r>
          </w:p>
        </w:tc>
        <w:tc>
          <w:tcPr>
            <w:tcW w:w="616" w:type="pct"/>
            <w:vMerge w:val="restart"/>
            <w:tcBorders>
              <w:top w:val="single" w:color="000000" w:sz="4" w:space="0"/>
              <w:left w:val="single" w:color="000000" w:sz="4" w:space="0"/>
              <w:bottom w:val="single" w:color="000000" w:sz="4" w:space="0"/>
              <w:right w:val="nil"/>
            </w:tcBorders>
            <w:vAlign w:val="center"/>
          </w:tcPr>
          <w:p w14:paraId="6E15DB13">
            <w:pPr>
              <w:adjustRightInd w:val="0"/>
              <w:jc w:val="center"/>
              <w:rPr>
                <w:color w:val="auto"/>
                <w:szCs w:val="21"/>
              </w:rPr>
            </w:pPr>
            <w:r>
              <w:rPr>
                <w:rFonts w:hint="eastAsia"/>
                <w:color w:val="auto"/>
                <w:szCs w:val="21"/>
              </w:rPr>
              <w:t>监测点位图</w:t>
            </w:r>
          </w:p>
        </w:tc>
      </w:tr>
      <w:tr w14:paraId="62E1B822">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452DB063">
            <w:pPr>
              <w:widowControl/>
              <w:jc w:val="left"/>
              <w:rPr>
                <w:color w:val="auto"/>
                <w:szCs w:val="21"/>
              </w:rPr>
            </w:pPr>
          </w:p>
        </w:tc>
        <w:tc>
          <w:tcPr>
            <w:tcW w:w="903" w:type="pct"/>
            <w:vMerge w:val="continue"/>
            <w:tcBorders>
              <w:top w:val="single" w:color="000000" w:sz="4" w:space="0"/>
              <w:left w:val="single" w:color="000000" w:sz="4" w:space="0"/>
              <w:bottom w:val="single" w:color="000000" w:sz="4" w:space="0"/>
              <w:right w:val="single" w:color="000000" w:sz="4" w:space="0"/>
            </w:tcBorders>
            <w:vAlign w:val="center"/>
          </w:tcPr>
          <w:p w14:paraId="058F3190">
            <w:pPr>
              <w:widowControl/>
              <w:jc w:val="left"/>
              <w:rPr>
                <w:color w:val="auto"/>
                <w:szCs w:val="21"/>
              </w:rPr>
            </w:pPr>
          </w:p>
        </w:tc>
        <w:tc>
          <w:tcPr>
            <w:tcW w:w="811" w:type="pct"/>
            <w:tcBorders>
              <w:top w:val="single" w:color="000000" w:sz="4" w:space="0"/>
              <w:left w:val="single" w:color="000000" w:sz="4" w:space="0"/>
              <w:bottom w:val="single" w:color="000000" w:sz="4" w:space="0"/>
              <w:right w:val="single" w:color="000000" w:sz="4" w:space="0"/>
            </w:tcBorders>
            <w:vAlign w:val="center"/>
          </w:tcPr>
          <w:p w14:paraId="0B92F5E2">
            <w:pPr>
              <w:adjustRightInd w:val="0"/>
              <w:jc w:val="center"/>
              <w:rPr>
                <w:color w:val="auto"/>
                <w:szCs w:val="21"/>
              </w:rPr>
            </w:pPr>
            <w:r>
              <w:rPr>
                <w:color w:val="auto"/>
              </w:rPr>
              <w:t>表层样点数</w:t>
            </w:r>
          </w:p>
        </w:tc>
        <w:tc>
          <w:tcPr>
            <w:tcW w:w="811" w:type="pct"/>
            <w:gridSpan w:val="2"/>
            <w:tcBorders>
              <w:top w:val="single" w:color="000000" w:sz="4" w:space="0"/>
              <w:left w:val="single" w:color="000000" w:sz="4" w:space="0"/>
              <w:bottom w:val="single" w:color="000000" w:sz="4" w:space="0"/>
              <w:right w:val="single" w:color="000000" w:sz="4" w:space="0"/>
            </w:tcBorders>
            <w:vAlign w:val="center"/>
          </w:tcPr>
          <w:p w14:paraId="7C06B3B4">
            <w:pPr>
              <w:adjustRightInd w:val="0"/>
              <w:jc w:val="center"/>
              <w:rPr>
                <w:color w:val="auto"/>
                <w:szCs w:val="21"/>
              </w:rPr>
            </w:pPr>
            <w:r>
              <w:rPr>
                <w:color w:val="auto"/>
              </w:rPr>
              <w:t>3</w:t>
            </w:r>
          </w:p>
        </w:tc>
        <w:tc>
          <w:tcPr>
            <w:tcW w:w="811" w:type="pct"/>
            <w:gridSpan w:val="2"/>
            <w:tcBorders>
              <w:top w:val="single" w:color="000000" w:sz="4" w:space="0"/>
              <w:left w:val="single" w:color="000000" w:sz="4" w:space="0"/>
              <w:bottom w:val="single" w:color="000000" w:sz="4" w:space="0"/>
              <w:right w:val="single" w:color="000000" w:sz="4" w:space="0"/>
            </w:tcBorders>
            <w:vAlign w:val="center"/>
          </w:tcPr>
          <w:p w14:paraId="6E7F0EAF">
            <w:pPr>
              <w:adjustRightInd w:val="0"/>
              <w:jc w:val="center"/>
              <w:rPr>
                <w:color w:val="auto"/>
                <w:szCs w:val="21"/>
              </w:rPr>
            </w:pPr>
            <w:r>
              <w:rPr>
                <w:color w:val="auto"/>
              </w:rPr>
              <w:t>0</w:t>
            </w:r>
          </w:p>
        </w:tc>
        <w:tc>
          <w:tcPr>
            <w:tcW w:w="814" w:type="pct"/>
            <w:tcBorders>
              <w:top w:val="single" w:color="000000" w:sz="4" w:space="0"/>
              <w:left w:val="single" w:color="000000" w:sz="4" w:space="0"/>
              <w:bottom w:val="single" w:color="000000" w:sz="4" w:space="0"/>
              <w:right w:val="single" w:color="000000" w:sz="4" w:space="0"/>
            </w:tcBorders>
            <w:vAlign w:val="center"/>
          </w:tcPr>
          <w:p w14:paraId="283EBEC3">
            <w:pPr>
              <w:adjustRightInd w:val="0"/>
              <w:jc w:val="center"/>
              <w:rPr>
                <w:color w:val="auto"/>
                <w:szCs w:val="21"/>
              </w:rPr>
            </w:pPr>
            <w:r>
              <w:rPr>
                <w:color w:val="auto"/>
              </w:rPr>
              <w:t>0~0.2m</w:t>
            </w:r>
          </w:p>
        </w:tc>
        <w:tc>
          <w:tcPr>
            <w:tcW w:w="616" w:type="pct"/>
            <w:vMerge w:val="continue"/>
            <w:tcBorders>
              <w:top w:val="single" w:color="000000" w:sz="4" w:space="0"/>
              <w:left w:val="single" w:color="000000" w:sz="4" w:space="0"/>
              <w:bottom w:val="single" w:color="000000" w:sz="4" w:space="0"/>
              <w:right w:val="nil"/>
            </w:tcBorders>
            <w:vAlign w:val="center"/>
          </w:tcPr>
          <w:p w14:paraId="589F2E62">
            <w:pPr>
              <w:widowControl/>
              <w:jc w:val="left"/>
              <w:rPr>
                <w:color w:val="auto"/>
                <w:szCs w:val="21"/>
              </w:rPr>
            </w:pPr>
          </w:p>
        </w:tc>
      </w:tr>
      <w:tr w14:paraId="62893DC5">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140B0DE3">
            <w:pPr>
              <w:widowControl/>
              <w:jc w:val="left"/>
              <w:rPr>
                <w:color w:val="auto"/>
                <w:szCs w:val="21"/>
              </w:rPr>
            </w:pPr>
          </w:p>
        </w:tc>
        <w:tc>
          <w:tcPr>
            <w:tcW w:w="903" w:type="pct"/>
            <w:vMerge w:val="continue"/>
            <w:tcBorders>
              <w:top w:val="single" w:color="000000" w:sz="4" w:space="0"/>
              <w:left w:val="single" w:color="000000" w:sz="4" w:space="0"/>
              <w:bottom w:val="single" w:color="000000" w:sz="4" w:space="0"/>
              <w:right w:val="single" w:color="000000" w:sz="4" w:space="0"/>
            </w:tcBorders>
            <w:vAlign w:val="center"/>
          </w:tcPr>
          <w:p w14:paraId="207596E1">
            <w:pPr>
              <w:widowControl/>
              <w:jc w:val="left"/>
              <w:rPr>
                <w:color w:val="auto"/>
                <w:szCs w:val="21"/>
              </w:rPr>
            </w:pPr>
          </w:p>
        </w:tc>
        <w:tc>
          <w:tcPr>
            <w:tcW w:w="811" w:type="pct"/>
            <w:tcBorders>
              <w:top w:val="single" w:color="000000" w:sz="4" w:space="0"/>
              <w:left w:val="single" w:color="000000" w:sz="4" w:space="0"/>
              <w:bottom w:val="single" w:color="000000" w:sz="4" w:space="0"/>
              <w:right w:val="single" w:color="000000" w:sz="4" w:space="0"/>
            </w:tcBorders>
            <w:vAlign w:val="center"/>
          </w:tcPr>
          <w:p w14:paraId="0815910C">
            <w:pPr>
              <w:adjustRightInd w:val="0"/>
              <w:jc w:val="center"/>
              <w:rPr>
                <w:color w:val="auto"/>
              </w:rPr>
            </w:pPr>
            <w:r>
              <w:rPr>
                <w:color w:val="auto"/>
              </w:rPr>
              <w:t>柱状样点数</w:t>
            </w:r>
          </w:p>
        </w:tc>
        <w:tc>
          <w:tcPr>
            <w:tcW w:w="811" w:type="pct"/>
            <w:gridSpan w:val="2"/>
            <w:tcBorders>
              <w:top w:val="single" w:color="000000" w:sz="4" w:space="0"/>
              <w:left w:val="single" w:color="000000" w:sz="4" w:space="0"/>
              <w:bottom w:val="single" w:color="000000" w:sz="4" w:space="0"/>
              <w:right w:val="single" w:color="000000" w:sz="4" w:space="0"/>
            </w:tcBorders>
            <w:vAlign w:val="center"/>
          </w:tcPr>
          <w:p w14:paraId="17EAD994">
            <w:pPr>
              <w:adjustRightInd w:val="0"/>
              <w:jc w:val="center"/>
              <w:rPr>
                <w:color w:val="auto"/>
              </w:rPr>
            </w:pPr>
            <w:r>
              <w:rPr>
                <w:color w:val="auto"/>
              </w:rPr>
              <w:t>0</w:t>
            </w:r>
          </w:p>
        </w:tc>
        <w:tc>
          <w:tcPr>
            <w:tcW w:w="811" w:type="pct"/>
            <w:gridSpan w:val="2"/>
            <w:tcBorders>
              <w:top w:val="single" w:color="000000" w:sz="4" w:space="0"/>
              <w:left w:val="single" w:color="000000" w:sz="4" w:space="0"/>
              <w:bottom w:val="single" w:color="000000" w:sz="4" w:space="0"/>
              <w:right w:val="single" w:color="000000" w:sz="4" w:space="0"/>
            </w:tcBorders>
            <w:vAlign w:val="center"/>
          </w:tcPr>
          <w:p w14:paraId="05733FB6">
            <w:pPr>
              <w:adjustRightInd w:val="0"/>
              <w:jc w:val="center"/>
              <w:rPr>
                <w:color w:val="auto"/>
              </w:rPr>
            </w:pPr>
            <w:r>
              <w:rPr>
                <w:color w:val="auto"/>
              </w:rPr>
              <w:t>0</w:t>
            </w:r>
          </w:p>
        </w:tc>
        <w:tc>
          <w:tcPr>
            <w:tcW w:w="814" w:type="pct"/>
            <w:tcBorders>
              <w:top w:val="single" w:color="000000" w:sz="4" w:space="0"/>
              <w:left w:val="single" w:color="000000" w:sz="4" w:space="0"/>
              <w:bottom w:val="single" w:color="000000" w:sz="4" w:space="0"/>
              <w:right w:val="single" w:color="000000" w:sz="4" w:space="0"/>
            </w:tcBorders>
            <w:vAlign w:val="center"/>
          </w:tcPr>
          <w:p w14:paraId="6E2D59D4">
            <w:pPr>
              <w:adjustRightInd w:val="0"/>
              <w:jc w:val="center"/>
              <w:rPr>
                <w:color w:val="auto"/>
              </w:rPr>
            </w:pPr>
            <w:r>
              <w:rPr>
                <w:color w:val="auto"/>
              </w:rPr>
              <w:t>/</w:t>
            </w:r>
          </w:p>
        </w:tc>
        <w:tc>
          <w:tcPr>
            <w:tcW w:w="616" w:type="pct"/>
            <w:tcBorders>
              <w:top w:val="single" w:color="000000" w:sz="4" w:space="0"/>
              <w:left w:val="single" w:color="000000" w:sz="4" w:space="0"/>
              <w:bottom w:val="single" w:color="000000" w:sz="4" w:space="0"/>
              <w:right w:val="nil"/>
            </w:tcBorders>
            <w:vAlign w:val="center"/>
          </w:tcPr>
          <w:p w14:paraId="7F1CABC4">
            <w:pPr>
              <w:widowControl/>
              <w:jc w:val="left"/>
              <w:rPr>
                <w:color w:val="auto"/>
                <w:szCs w:val="21"/>
              </w:rPr>
            </w:pPr>
          </w:p>
        </w:tc>
      </w:tr>
      <w:tr w14:paraId="4857E641">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26E11C84">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049F8A5F">
            <w:pPr>
              <w:adjustRightInd w:val="0"/>
              <w:jc w:val="center"/>
              <w:rPr>
                <w:color w:val="auto"/>
                <w:szCs w:val="21"/>
              </w:rPr>
            </w:pPr>
            <w:r>
              <w:rPr>
                <w:color w:val="auto"/>
              </w:rPr>
              <w:t>现状监测因子</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00763A26">
            <w:pPr>
              <w:adjustRightInd w:val="0"/>
              <w:jc w:val="center"/>
              <w:rPr>
                <w:color w:val="auto"/>
                <w:szCs w:val="21"/>
                <w:highlight w:val="green"/>
              </w:rPr>
            </w:pPr>
            <w:r>
              <w:rPr>
                <w:rFonts w:hint="eastAsia"/>
                <w:color w:val="auto"/>
                <w:lang w:eastAsia="zh-CN"/>
              </w:rPr>
              <w:t>GB15618-2018</w:t>
            </w:r>
            <w:r>
              <w:rPr>
                <w:color w:val="auto"/>
              </w:rPr>
              <w:t>中的基本项目+pH、阳离子交换量、氧化还原点位、饱和导水率、土壤容重、孔隙度</w:t>
            </w:r>
          </w:p>
        </w:tc>
        <w:tc>
          <w:tcPr>
            <w:tcW w:w="616" w:type="pct"/>
            <w:tcBorders>
              <w:top w:val="single" w:color="000000" w:sz="4" w:space="0"/>
              <w:left w:val="single" w:color="000000" w:sz="4" w:space="0"/>
              <w:bottom w:val="single" w:color="000000" w:sz="4" w:space="0"/>
              <w:right w:val="nil"/>
            </w:tcBorders>
            <w:vAlign w:val="center"/>
          </w:tcPr>
          <w:p w14:paraId="43BFAA54">
            <w:pPr>
              <w:adjustRightInd w:val="0"/>
              <w:jc w:val="center"/>
              <w:rPr>
                <w:color w:val="auto"/>
                <w:szCs w:val="21"/>
              </w:rPr>
            </w:pPr>
          </w:p>
        </w:tc>
      </w:tr>
      <w:tr w14:paraId="5D59777E">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restart"/>
            <w:tcBorders>
              <w:top w:val="single" w:color="000000" w:sz="4" w:space="0"/>
              <w:left w:val="nil"/>
              <w:bottom w:val="single" w:color="000000" w:sz="4" w:space="0"/>
              <w:right w:val="single" w:color="000000" w:sz="4" w:space="0"/>
            </w:tcBorders>
            <w:vAlign w:val="center"/>
          </w:tcPr>
          <w:p w14:paraId="64566319">
            <w:pPr>
              <w:adjustRightInd w:val="0"/>
              <w:jc w:val="center"/>
              <w:rPr>
                <w:color w:val="auto"/>
                <w:szCs w:val="21"/>
              </w:rPr>
            </w:pPr>
            <w:r>
              <w:rPr>
                <w:color w:val="auto"/>
              </w:rPr>
              <w:t>现状评</w:t>
            </w:r>
          </w:p>
          <w:p w14:paraId="66FD60F0">
            <w:pPr>
              <w:adjustRightInd w:val="0"/>
              <w:jc w:val="center"/>
              <w:rPr>
                <w:color w:val="auto"/>
                <w:szCs w:val="21"/>
              </w:rPr>
            </w:pPr>
            <w:r>
              <w:rPr>
                <w:color w:val="auto"/>
              </w:rPr>
              <w:t>价</w:t>
            </w:r>
          </w:p>
        </w:tc>
        <w:tc>
          <w:tcPr>
            <w:tcW w:w="903" w:type="pct"/>
            <w:tcBorders>
              <w:top w:val="single" w:color="000000" w:sz="4" w:space="0"/>
              <w:left w:val="single" w:color="000000" w:sz="4" w:space="0"/>
              <w:bottom w:val="single" w:color="000000" w:sz="4" w:space="0"/>
              <w:right w:val="single" w:color="000000" w:sz="4" w:space="0"/>
            </w:tcBorders>
            <w:vAlign w:val="center"/>
          </w:tcPr>
          <w:p w14:paraId="0713988C">
            <w:pPr>
              <w:adjustRightInd w:val="0"/>
              <w:jc w:val="center"/>
              <w:rPr>
                <w:color w:val="auto"/>
                <w:szCs w:val="21"/>
              </w:rPr>
            </w:pPr>
            <w:r>
              <w:rPr>
                <w:color w:val="auto"/>
              </w:rPr>
              <w:t>评价因子</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37BB2F92">
            <w:pPr>
              <w:adjustRightInd w:val="0"/>
              <w:jc w:val="center"/>
              <w:rPr>
                <w:color w:val="auto"/>
                <w:szCs w:val="21"/>
                <w:highlight w:val="green"/>
              </w:rPr>
            </w:pPr>
            <w:r>
              <w:rPr>
                <w:rFonts w:hint="eastAsia"/>
                <w:color w:val="auto"/>
                <w:lang w:eastAsia="zh-CN"/>
              </w:rPr>
              <w:t>GB15618-2018</w:t>
            </w:r>
            <w:r>
              <w:rPr>
                <w:color w:val="auto"/>
              </w:rPr>
              <w:t>中的基本项目+pH、阳离子交换量、氧化还原点位、饱和导水率、土壤容重、孔隙度</w:t>
            </w:r>
          </w:p>
        </w:tc>
        <w:tc>
          <w:tcPr>
            <w:tcW w:w="616" w:type="pct"/>
            <w:tcBorders>
              <w:top w:val="single" w:color="000000" w:sz="4" w:space="0"/>
              <w:left w:val="single" w:color="000000" w:sz="4" w:space="0"/>
              <w:bottom w:val="single" w:color="000000" w:sz="4" w:space="0"/>
              <w:right w:val="nil"/>
            </w:tcBorders>
            <w:vAlign w:val="center"/>
          </w:tcPr>
          <w:p w14:paraId="113D28AA">
            <w:pPr>
              <w:adjustRightInd w:val="0"/>
              <w:jc w:val="center"/>
              <w:rPr>
                <w:color w:val="auto"/>
                <w:szCs w:val="21"/>
              </w:rPr>
            </w:pPr>
          </w:p>
        </w:tc>
      </w:tr>
      <w:tr w14:paraId="02FA2002">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0F34A26B">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364BBEB1">
            <w:pPr>
              <w:adjustRightInd w:val="0"/>
              <w:jc w:val="center"/>
              <w:rPr>
                <w:color w:val="auto"/>
                <w:szCs w:val="21"/>
              </w:rPr>
            </w:pPr>
            <w:r>
              <w:rPr>
                <w:color w:val="auto"/>
              </w:rPr>
              <w:t>评价标准</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26945CB7">
            <w:pPr>
              <w:adjustRightInd w:val="0"/>
              <w:ind w:left="105" w:leftChars="50"/>
              <w:jc w:val="center"/>
              <w:rPr>
                <w:color w:val="auto"/>
                <w:szCs w:val="21"/>
              </w:rPr>
            </w:pPr>
            <w:r>
              <w:rPr>
                <w:color w:val="auto"/>
              </w:rPr>
              <w:t>GB 15618</w:t>
            </w:r>
            <w:r>
              <w:rPr>
                <w:rFonts w:hint="eastAsia"/>
                <w:color w:val="auto"/>
              </w:rPr>
              <w:sym w:font="Wingdings 2" w:char="0052"/>
            </w:r>
            <w:r>
              <w:rPr>
                <w:color w:val="auto"/>
              </w:rPr>
              <w:t>；GB 36600</w:t>
            </w:r>
            <w:r>
              <w:rPr>
                <w:rFonts w:hint="eastAsia"/>
                <w:color w:val="auto"/>
                <w:lang w:eastAsia="zh-CN"/>
              </w:rPr>
              <w:t>□</w:t>
            </w:r>
            <w:r>
              <w:rPr>
                <w:color w:val="auto"/>
              </w:rPr>
              <w:t>；表D.1□；表 D.2□；其他（）</w:t>
            </w:r>
          </w:p>
        </w:tc>
        <w:tc>
          <w:tcPr>
            <w:tcW w:w="616" w:type="pct"/>
            <w:tcBorders>
              <w:top w:val="single" w:color="000000" w:sz="4" w:space="0"/>
              <w:left w:val="single" w:color="000000" w:sz="4" w:space="0"/>
              <w:bottom w:val="single" w:color="000000" w:sz="4" w:space="0"/>
              <w:right w:val="nil"/>
            </w:tcBorders>
            <w:vAlign w:val="center"/>
          </w:tcPr>
          <w:p w14:paraId="064115E9">
            <w:pPr>
              <w:adjustRightInd w:val="0"/>
              <w:jc w:val="center"/>
              <w:rPr>
                <w:color w:val="auto"/>
                <w:szCs w:val="21"/>
              </w:rPr>
            </w:pPr>
          </w:p>
        </w:tc>
      </w:tr>
      <w:tr w14:paraId="6C485ED0">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6BE35B40">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1DF4655E">
            <w:pPr>
              <w:adjustRightInd w:val="0"/>
              <w:jc w:val="center"/>
              <w:rPr>
                <w:color w:val="auto"/>
                <w:szCs w:val="21"/>
              </w:rPr>
            </w:pPr>
            <w:r>
              <w:rPr>
                <w:color w:val="auto"/>
              </w:rPr>
              <w:t>现状评价结论</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2153689B">
            <w:pPr>
              <w:adjustRightInd w:val="0"/>
              <w:ind w:left="105" w:leftChars="50"/>
              <w:jc w:val="center"/>
              <w:rPr>
                <w:color w:val="auto"/>
                <w:szCs w:val="21"/>
                <w:highlight w:val="green"/>
              </w:rPr>
            </w:pPr>
            <w:r>
              <w:rPr>
                <w:color w:val="auto"/>
              </w:rPr>
              <w:t>达标</w:t>
            </w:r>
          </w:p>
        </w:tc>
        <w:tc>
          <w:tcPr>
            <w:tcW w:w="616" w:type="pct"/>
            <w:tcBorders>
              <w:top w:val="single" w:color="000000" w:sz="4" w:space="0"/>
              <w:left w:val="single" w:color="000000" w:sz="4" w:space="0"/>
              <w:bottom w:val="single" w:color="000000" w:sz="4" w:space="0"/>
              <w:right w:val="nil"/>
            </w:tcBorders>
            <w:vAlign w:val="center"/>
          </w:tcPr>
          <w:p w14:paraId="2F3C2F28">
            <w:pPr>
              <w:adjustRightInd w:val="0"/>
              <w:jc w:val="center"/>
              <w:rPr>
                <w:color w:val="auto"/>
                <w:szCs w:val="21"/>
              </w:rPr>
            </w:pPr>
          </w:p>
        </w:tc>
      </w:tr>
      <w:tr w14:paraId="75CF1135">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restart"/>
            <w:tcBorders>
              <w:top w:val="single" w:color="000000" w:sz="4" w:space="0"/>
              <w:left w:val="nil"/>
              <w:bottom w:val="single" w:color="000000" w:sz="4" w:space="0"/>
              <w:right w:val="single" w:color="000000" w:sz="4" w:space="0"/>
            </w:tcBorders>
            <w:vAlign w:val="center"/>
          </w:tcPr>
          <w:p w14:paraId="05EA3681">
            <w:pPr>
              <w:adjustRightInd w:val="0"/>
              <w:jc w:val="center"/>
              <w:rPr>
                <w:color w:val="auto"/>
                <w:szCs w:val="21"/>
              </w:rPr>
            </w:pPr>
            <w:r>
              <w:rPr>
                <w:color w:val="auto"/>
              </w:rPr>
              <w:t>影响预测</w:t>
            </w:r>
          </w:p>
        </w:tc>
        <w:tc>
          <w:tcPr>
            <w:tcW w:w="903" w:type="pct"/>
            <w:tcBorders>
              <w:top w:val="single" w:color="000000" w:sz="4" w:space="0"/>
              <w:left w:val="single" w:color="000000" w:sz="4" w:space="0"/>
              <w:bottom w:val="single" w:color="000000" w:sz="4" w:space="0"/>
              <w:right w:val="single" w:color="000000" w:sz="4" w:space="0"/>
            </w:tcBorders>
            <w:vAlign w:val="center"/>
          </w:tcPr>
          <w:p w14:paraId="1B599C0E">
            <w:pPr>
              <w:adjustRightInd w:val="0"/>
              <w:jc w:val="center"/>
              <w:rPr>
                <w:color w:val="auto"/>
                <w:szCs w:val="21"/>
              </w:rPr>
            </w:pPr>
            <w:r>
              <w:rPr>
                <w:color w:val="auto"/>
              </w:rPr>
              <w:t>预测因子</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0193238D">
            <w:pPr>
              <w:adjustRightInd w:val="0"/>
              <w:ind w:left="105" w:leftChars="50"/>
              <w:jc w:val="center"/>
              <w:rPr>
                <w:rFonts w:hint="eastAsia" w:eastAsia="宋体"/>
                <w:color w:val="auto"/>
                <w:szCs w:val="21"/>
                <w:highlight w:val="green"/>
                <w:lang w:eastAsia="zh-CN"/>
              </w:rPr>
            </w:pPr>
            <w:r>
              <w:rPr>
                <w:rFonts w:hint="eastAsia"/>
                <w:color w:val="auto"/>
                <w:lang w:eastAsia="zh-CN"/>
              </w:rPr>
              <w:t>颗粒物</w:t>
            </w:r>
          </w:p>
        </w:tc>
        <w:tc>
          <w:tcPr>
            <w:tcW w:w="616" w:type="pct"/>
            <w:tcBorders>
              <w:top w:val="single" w:color="000000" w:sz="4" w:space="0"/>
              <w:left w:val="single" w:color="000000" w:sz="4" w:space="0"/>
              <w:bottom w:val="single" w:color="000000" w:sz="4" w:space="0"/>
              <w:right w:val="nil"/>
            </w:tcBorders>
            <w:vAlign w:val="center"/>
          </w:tcPr>
          <w:p w14:paraId="7952A1F0">
            <w:pPr>
              <w:adjustRightInd w:val="0"/>
              <w:jc w:val="center"/>
              <w:rPr>
                <w:color w:val="auto"/>
                <w:szCs w:val="21"/>
              </w:rPr>
            </w:pPr>
          </w:p>
        </w:tc>
      </w:tr>
      <w:tr w14:paraId="174E0E66">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66E88B63">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2276BE8C">
            <w:pPr>
              <w:adjustRightInd w:val="0"/>
              <w:jc w:val="center"/>
              <w:rPr>
                <w:color w:val="auto"/>
                <w:szCs w:val="21"/>
              </w:rPr>
            </w:pPr>
            <w:r>
              <w:rPr>
                <w:color w:val="auto"/>
              </w:rPr>
              <w:t>预测方法</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7DB3EA9E">
            <w:pPr>
              <w:adjustRightInd w:val="0"/>
              <w:ind w:left="105" w:leftChars="50"/>
              <w:jc w:val="center"/>
              <w:rPr>
                <w:color w:val="auto"/>
                <w:szCs w:val="21"/>
              </w:rPr>
            </w:pPr>
            <w:r>
              <w:rPr>
                <w:color w:val="auto"/>
              </w:rPr>
              <w:t>附录E</w:t>
            </w:r>
            <w:r>
              <w:rPr>
                <w:rFonts w:hint="eastAsia"/>
                <w:color w:val="auto"/>
                <w:lang w:eastAsia="zh-CN"/>
              </w:rPr>
              <w:t>☑</w:t>
            </w:r>
            <w:r>
              <w:rPr>
                <w:color w:val="auto"/>
              </w:rPr>
              <w:t>；附录F□；其他（类别分析）</w:t>
            </w:r>
            <w:r>
              <w:rPr>
                <w:color w:val="auto"/>
              </w:rPr>
              <w:sym w:font="Wingdings 2" w:char="00A3"/>
            </w:r>
          </w:p>
        </w:tc>
        <w:tc>
          <w:tcPr>
            <w:tcW w:w="616" w:type="pct"/>
            <w:tcBorders>
              <w:top w:val="single" w:color="000000" w:sz="4" w:space="0"/>
              <w:left w:val="single" w:color="000000" w:sz="4" w:space="0"/>
              <w:bottom w:val="single" w:color="000000" w:sz="4" w:space="0"/>
              <w:right w:val="nil"/>
            </w:tcBorders>
            <w:vAlign w:val="center"/>
          </w:tcPr>
          <w:p w14:paraId="6EABD18B">
            <w:pPr>
              <w:adjustRightInd w:val="0"/>
              <w:jc w:val="center"/>
              <w:rPr>
                <w:color w:val="auto"/>
                <w:szCs w:val="21"/>
              </w:rPr>
            </w:pPr>
          </w:p>
        </w:tc>
      </w:tr>
      <w:tr w14:paraId="4660C5FE">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65A4980C">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42407141">
            <w:pPr>
              <w:adjustRightInd w:val="0"/>
              <w:jc w:val="center"/>
              <w:rPr>
                <w:color w:val="auto"/>
                <w:szCs w:val="21"/>
              </w:rPr>
            </w:pPr>
            <w:r>
              <w:rPr>
                <w:color w:val="auto"/>
              </w:rPr>
              <w:t>预测分析内容</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5CCE95C0">
            <w:pPr>
              <w:adjustRightInd w:val="0"/>
              <w:ind w:left="105" w:leftChars="50"/>
              <w:jc w:val="center"/>
              <w:rPr>
                <w:color w:val="auto"/>
                <w:szCs w:val="21"/>
              </w:rPr>
            </w:pPr>
            <w:r>
              <w:rPr>
                <w:color w:val="auto"/>
              </w:rPr>
              <w:t>影响范围（占地范围内及厂界外0.05km范围内）</w:t>
            </w:r>
          </w:p>
          <w:p w14:paraId="427B44F3">
            <w:pPr>
              <w:adjustRightInd w:val="0"/>
              <w:ind w:left="105" w:leftChars="50"/>
              <w:jc w:val="center"/>
              <w:rPr>
                <w:color w:val="auto"/>
                <w:szCs w:val="21"/>
              </w:rPr>
            </w:pPr>
            <w:r>
              <w:rPr>
                <w:color w:val="auto"/>
              </w:rPr>
              <w:t>影响程度（</w:t>
            </w:r>
            <w:r>
              <w:rPr>
                <w:rFonts w:hint="eastAsia"/>
                <w:color w:val="auto"/>
                <w:lang w:eastAsia="zh-CN"/>
              </w:rPr>
              <w:t>较小</w:t>
            </w:r>
            <w:r>
              <w:rPr>
                <w:color w:val="auto"/>
              </w:rPr>
              <w:t>）</w:t>
            </w:r>
          </w:p>
        </w:tc>
        <w:tc>
          <w:tcPr>
            <w:tcW w:w="616" w:type="pct"/>
            <w:tcBorders>
              <w:top w:val="single" w:color="000000" w:sz="4" w:space="0"/>
              <w:left w:val="single" w:color="000000" w:sz="4" w:space="0"/>
              <w:bottom w:val="single" w:color="000000" w:sz="4" w:space="0"/>
              <w:right w:val="nil"/>
            </w:tcBorders>
            <w:vAlign w:val="center"/>
          </w:tcPr>
          <w:p w14:paraId="137E84DD">
            <w:pPr>
              <w:adjustRightInd w:val="0"/>
              <w:jc w:val="center"/>
              <w:rPr>
                <w:color w:val="auto"/>
                <w:szCs w:val="21"/>
              </w:rPr>
            </w:pPr>
          </w:p>
        </w:tc>
      </w:tr>
      <w:tr w14:paraId="747BB505">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6B358620">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15BA4514">
            <w:pPr>
              <w:adjustRightInd w:val="0"/>
              <w:jc w:val="center"/>
              <w:rPr>
                <w:color w:val="auto"/>
                <w:szCs w:val="21"/>
              </w:rPr>
            </w:pPr>
            <w:r>
              <w:rPr>
                <w:color w:val="auto"/>
              </w:rPr>
              <w:t>预测结论</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74688C7B">
            <w:pPr>
              <w:adjustRightInd w:val="0"/>
              <w:ind w:left="105" w:leftChars="50"/>
              <w:jc w:val="center"/>
              <w:rPr>
                <w:color w:val="auto"/>
                <w:szCs w:val="21"/>
              </w:rPr>
            </w:pPr>
            <w:r>
              <w:rPr>
                <w:color w:val="auto"/>
              </w:rPr>
              <w:t>达标结论：a）</w:t>
            </w:r>
            <w:r>
              <w:rPr>
                <w:color w:val="auto"/>
              </w:rPr>
              <w:sym w:font="Wingdings 2" w:char="0052"/>
            </w:r>
            <w:r>
              <w:rPr>
                <w:color w:val="auto"/>
              </w:rPr>
              <w:t>；b）□；c）□</w:t>
            </w:r>
          </w:p>
          <w:p w14:paraId="144507C2">
            <w:pPr>
              <w:adjustRightInd w:val="0"/>
              <w:ind w:left="105" w:leftChars="50"/>
              <w:jc w:val="center"/>
              <w:rPr>
                <w:color w:val="auto"/>
                <w:szCs w:val="21"/>
              </w:rPr>
            </w:pPr>
            <w:r>
              <w:rPr>
                <w:color w:val="auto"/>
              </w:rPr>
              <w:t>不达标结论：a）□；b）□</w:t>
            </w:r>
          </w:p>
        </w:tc>
        <w:tc>
          <w:tcPr>
            <w:tcW w:w="616" w:type="pct"/>
            <w:tcBorders>
              <w:top w:val="single" w:color="000000" w:sz="4" w:space="0"/>
              <w:left w:val="single" w:color="000000" w:sz="4" w:space="0"/>
              <w:bottom w:val="single" w:color="000000" w:sz="4" w:space="0"/>
              <w:right w:val="nil"/>
            </w:tcBorders>
            <w:vAlign w:val="center"/>
          </w:tcPr>
          <w:p w14:paraId="6EA8FE03">
            <w:pPr>
              <w:adjustRightInd w:val="0"/>
              <w:jc w:val="center"/>
              <w:rPr>
                <w:color w:val="auto"/>
                <w:szCs w:val="21"/>
              </w:rPr>
            </w:pPr>
          </w:p>
        </w:tc>
      </w:tr>
      <w:tr w14:paraId="3323499B">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restart"/>
            <w:tcBorders>
              <w:top w:val="single" w:color="000000" w:sz="4" w:space="0"/>
              <w:left w:val="nil"/>
              <w:bottom w:val="single" w:color="000000" w:sz="4" w:space="0"/>
              <w:right w:val="single" w:color="000000" w:sz="4" w:space="0"/>
            </w:tcBorders>
            <w:vAlign w:val="center"/>
          </w:tcPr>
          <w:p w14:paraId="314F24EB">
            <w:pPr>
              <w:adjustRightInd w:val="0"/>
              <w:jc w:val="center"/>
              <w:rPr>
                <w:color w:val="auto"/>
                <w:szCs w:val="21"/>
              </w:rPr>
            </w:pPr>
            <w:r>
              <w:rPr>
                <w:color w:val="auto"/>
              </w:rPr>
              <w:t>防治措</w:t>
            </w:r>
          </w:p>
          <w:p w14:paraId="1B8A0050">
            <w:pPr>
              <w:adjustRightInd w:val="0"/>
              <w:jc w:val="center"/>
              <w:rPr>
                <w:color w:val="auto"/>
                <w:szCs w:val="21"/>
              </w:rPr>
            </w:pPr>
            <w:r>
              <w:rPr>
                <w:color w:val="auto"/>
              </w:rPr>
              <w:t>施</w:t>
            </w:r>
          </w:p>
        </w:tc>
        <w:tc>
          <w:tcPr>
            <w:tcW w:w="903" w:type="pct"/>
            <w:tcBorders>
              <w:top w:val="single" w:color="000000" w:sz="4" w:space="0"/>
              <w:left w:val="single" w:color="000000" w:sz="4" w:space="0"/>
              <w:bottom w:val="single" w:color="000000" w:sz="4" w:space="0"/>
              <w:right w:val="single" w:color="000000" w:sz="4" w:space="0"/>
            </w:tcBorders>
            <w:vAlign w:val="center"/>
          </w:tcPr>
          <w:p w14:paraId="15843A12">
            <w:pPr>
              <w:adjustRightInd w:val="0"/>
              <w:jc w:val="center"/>
              <w:rPr>
                <w:color w:val="auto"/>
                <w:szCs w:val="21"/>
              </w:rPr>
            </w:pPr>
            <w:r>
              <w:rPr>
                <w:color w:val="auto"/>
              </w:rPr>
              <w:t>防控措施</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5605C887">
            <w:pPr>
              <w:adjustRightInd w:val="0"/>
              <w:ind w:left="105" w:leftChars="50"/>
              <w:jc w:val="center"/>
              <w:rPr>
                <w:color w:val="auto"/>
                <w:szCs w:val="21"/>
              </w:rPr>
            </w:pPr>
            <w:r>
              <w:rPr>
                <w:color w:val="auto"/>
              </w:rPr>
              <w:t>土壤环境质量现状保障</w:t>
            </w:r>
            <w:r>
              <w:rPr>
                <w:color w:val="auto"/>
              </w:rPr>
              <w:sym w:font="Wingdings 2" w:char="0052"/>
            </w:r>
            <w:r>
              <w:rPr>
                <w:color w:val="auto"/>
              </w:rPr>
              <w:t>；源头控制</w:t>
            </w:r>
            <w:r>
              <w:rPr>
                <w:color w:val="auto"/>
              </w:rPr>
              <w:sym w:font="Wingdings 2" w:char="0052"/>
            </w:r>
            <w:r>
              <w:rPr>
                <w:color w:val="auto"/>
              </w:rPr>
              <w:t>；过程防控</w:t>
            </w:r>
            <w:r>
              <w:rPr>
                <w:color w:val="auto"/>
              </w:rPr>
              <w:sym w:font="Wingdings 2" w:char="0052"/>
            </w:r>
            <w:r>
              <w:rPr>
                <w:color w:val="auto"/>
              </w:rPr>
              <w:t>；</w:t>
            </w:r>
          </w:p>
          <w:p w14:paraId="68969F7E">
            <w:pPr>
              <w:adjustRightInd w:val="0"/>
              <w:ind w:left="105" w:leftChars="50"/>
              <w:jc w:val="center"/>
              <w:rPr>
                <w:color w:val="auto"/>
                <w:szCs w:val="21"/>
              </w:rPr>
            </w:pPr>
            <w:r>
              <w:rPr>
                <w:color w:val="auto"/>
              </w:rPr>
              <w:t>其他（）</w:t>
            </w:r>
          </w:p>
        </w:tc>
        <w:tc>
          <w:tcPr>
            <w:tcW w:w="616" w:type="pct"/>
            <w:tcBorders>
              <w:top w:val="single" w:color="000000" w:sz="4" w:space="0"/>
              <w:left w:val="single" w:color="000000" w:sz="4" w:space="0"/>
              <w:bottom w:val="single" w:color="000000" w:sz="4" w:space="0"/>
              <w:right w:val="nil"/>
            </w:tcBorders>
            <w:vAlign w:val="center"/>
          </w:tcPr>
          <w:p w14:paraId="63A920EB">
            <w:pPr>
              <w:adjustRightInd w:val="0"/>
              <w:jc w:val="center"/>
              <w:rPr>
                <w:color w:val="auto"/>
                <w:szCs w:val="21"/>
              </w:rPr>
            </w:pPr>
          </w:p>
        </w:tc>
      </w:tr>
      <w:tr w14:paraId="1D670A4E">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4EA89A5E">
            <w:pPr>
              <w:widowControl/>
              <w:jc w:val="left"/>
              <w:rPr>
                <w:color w:val="auto"/>
                <w:szCs w:val="21"/>
              </w:rPr>
            </w:pPr>
          </w:p>
        </w:tc>
        <w:tc>
          <w:tcPr>
            <w:tcW w:w="903" w:type="pct"/>
            <w:vMerge w:val="restart"/>
            <w:tcBorders>
              <w:top w:val="single" w:color="000000" w:sz="4" w:space="0"/>
              <w:left w:val="single" w:color="000000" w:sz="4" w:space="0"/>
              <w:bottom w:val="single" w:color="000000" w:sz="4" w:space="0"/>
              <w:right w:val="single" w:color="000000" w:sz="4" w:space="0"/>
            </w:tcBorders>
            <w:vAlign w:val="center"/>
          </w:tcPr>
          <w:p w14:paraId="35FCFADD">
            <w:pPr>
              <w:adjustRightInd w:val="0"/>
              <w:jc w:val="center"/>
              <w:rPr>
                <w:color w:val="auto"/>
                <w:szCs w:val="21"/>
              </w:rPr>
            </w:pPr>
            <w:r>
              <w:rPr>
                <w:color w:val="auto"/>
              </w:rPr>
              <w:t>跟踪监测</w:t>
            </w:r>
          </w:p>
        </w:tc>
        <w:tc>
          <w:tcPr>
            <w:tcW w:w="1083" w:type="pct"/>
            <w:gridSpan w:val="2"/>
            <w:tcBorders>
              <w:top w:val="single" w:color="000000" w:sz="4" w:space="0"/>
              <w:left w:val="single" w:color="000000" w:sz="4" w:space="0"/>
              <w:bottom w:val="single" w:color="000000" w:sz="4" w:space="0"/>
              <w:right w:val="single" w:color="000000" w:sz="4" w:space="0"/>
            </w:tcBorders>
            <w:vAlign w:val="center"/>
          </w:tcPr>
          <w:p w14:paraId="5EBE6886">
            <w:pPr>
              <w:adjustRightInd w:val="0"/>
              <w:jc w:val="center"/>
              <w:rPr>
                <w:color w:val="auto"/>
                <w:szCs w:val="21"/>
              </w:rPr>
            </w:pPr>
            <w:r>
              <w:rPr>
                <w:color w:val="auto"/>
              </w:rPr>
              <w:t>监测点数</w:t>
            </w:r>
          </w:p>
        </w:tc>
        <w:tc>
          <w:tcPr>
            <w:tcW w:w="1083" w:type="pct"/>
            <w:gridSpan w:val="2"/>
            <w:tcBorders>
              <w:top w:val="single" w:color="000000" w:sz="4" w:space="0"/>
              <w:left w:val="single" w:color="000000" w:sz="4" w:space="0"/>
              <w:bottom w:val="single" w:color="000000" w:sz="4" w:space="0"/>
              <w:right w:val="single" w:color="000000" w:sz="4" w:space="0"/>
            </w:tcBorders>
            <w:vAlign w:val="center"/>
          </w:tcPr>
          <w:p w14:paraId="0EBC3BDC">
            <w:pPr>
              <w:adjustRightInd w:val="0"/>
              <w:jc w:val="center"/>
              <w:rPr>
                <w:color w:val="auto"/>
                <w:szCs w:val="21"/>
              </w:rPr>
            </w:pPr>
            <w:r>
              <w:rPr>
                <w:color w:val="auto"/>
              </w:rPr>
              <w:t>监测指标</w:t>
            </w:r>
          </w:p>
        </w:tc>
        <w:tc>
          <w:tcPr>
            <w:tcW w:w="1083" w:type="pct"/>
            <w:gridSpan w:val="2"/>
            <w:tcBorders>
              <w:top w:val="single" w:color="000000" w:sz="4" w:space="0"/>
              <w:left w:val="single" w:color="000000" w:sz="4" w:space="0"/>
              <w:bottom w:val="single" w:color="000000" w:sz="4" w:space="0"/>
              <w:right w:val="single" w:color="000000" w:sz="4" w:space="0"/>
            </w:tcBorders>
            <w:vAlign w:val="center"/>
          </w:tcPr>
          <w:p w14:paraId="4028B6EC">
            <w:pPr>
              <w:adjustRightInd w:val="0"/>
              <w:jc w:val="center"/>
              <w:rPr>
                <w:color w:val="auto"/>
                <w:szCs w:val="21"/>
              </w:rPr>
            </w:pPr>
            <w:r>
              <w:rPr>
                <w:color w:val="auto"/>
              </w:rPr>
              <w:t>监测频次</w:t>
            </w:r>
          </w:p>
        </w:tc>
        <w:tc>
          <w:tcPr>
            <w:tcW w:w="616" w:type="pct"/>
            <w:vMerge w:val="restart"/>
            <w:tcBorders>
              <w:top w:val="single" w:color="000000" w:sz="4" w:space="0"/>
              <w:left w:val="single" w:color="000000" w:sz="4" w:space="0"/>
              <w:bottom w:val="single" w:color="000000" w:sz="4" w:space="0"/>
              <w:right w:val="nil"/>
            </w:tcBorders>
            <w:vAlign w:val="center"/>
          </w:tcPr>
          <w:p w14:paraId="05E10C76">
            <w:pPr>
              <w:adjustRightInd w:val="0"/>
              <w:jc w:val="center"/>
              <w:rPr>
                <w:color w:val="auto"/>
                <w:szCs w:val="21"/>
              </w:rPr>
            </w:pPr>
          </w:p>
        </w:tc>
      </w:tr>
      <w:tr w14:paraId="13BD227E">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4B22712B">
            <w:pPr>
              <w:widowControl/>
              <w:jc w:val="left"/>
              <w:rPr>
                <w:color w:val="auto"/>
                <w:szCs w:val="21"/>
              </w:rPr>
            </w:pPr>
          </w:p>
        </w:tc>
        <w:tc>
          <w:tcPr>
            <w:tcW w:w="903" w:type="pct"/>
            <w:vMerge w:val="continue"/>
            <w:tcBorders>
              <w:top w:val="single" w:color="000000" w:sz="4" w:space="0"/>
              <w:left w:val="single" w:color="000000" w:sz="4" w:space="0"/>
              <w:bottom w:val="single" w:color="000000" w:sz="4" w:space="0"/>
              <w:right w:val="single" w:color="000000" w:sz="4" w:space="0"/>
            </w:tcBorders>
            <w:vAlign w:val="center"/>
          </w:tcPr>
          <w:p w14:paraId="6AED597D">
            <w:pPr>
              <w:widowControl/>
              <w:jc w:val="left"/>
              <w:rPr>
                <w:color w:val="auto"/>
                <w:szCs w:val="21"/>
              </w:rPr>
            </w:pPr>
          </w:p>
        </w:tc>
        <w:tc>
          <w:tcPr>
            <w:tcW w:w="1083" w:type="pct"/>
            <w:gridSpan w:val="2"/>
            <w:tcBorders>
              <w:top w:val="single" w:color="000000" w:sz="4" w:space="0"/>
              <w:left w:val="single" w:color="000000" w:sz="4" w:space="0"/>
              <w:bottom w:val="single" w:color="000000" w:sz="4" w:space="0"/>
              <w:right w:val="single" w:color="000000" w:sz="4" w:space="0"/>
            </w:tcBorders>
            <w:vAlign w:val="center"/>
          </w:tcPr>
          <w:p w14:paraId="289D32E4">
            <w:pPr>
              <w:adjustRightInd w:val="0"/>
              <w:jc w:val="center"/>
              <w:rPr>
                <w:rFonts w:hint="eastAsia" w:eastAsia="宋体"/>
                <w:color w:val="auto"/>
                <w:szCs w:val="21"/>
                <w:lang w:eastAsia="zh-CN"/>
              </w:rPr>
            </w:pPr>
            <w:r>
              <w:rPr>
                <w:rFonts w:hint="eastAsia"/>
                <w:color w:val="auto"/>
                <w:szCs w:val="21"/>
                <w:lang w:val="en-US" w:eastAsia="zh-CN"/>
              </w:rPr>
              <w:t>1</w:t>
            </w:r>
          </w:p>
        </w:tc>
        <w:tc>
          <w:tcPr>
            <w:tcW w:w="1083" w:type="pct"/>
            <w:gridSpan w:val="2"/>
            <w:tcBorders>
              <w:top w:val="single" w:color="000000" w:sz="4" w:space="0"/>
              <w:left w:val="single" w:color="000000" w:sz="4" w:space="0"/>
              <w:bottom w:val="single" w:color="000000" w:sz="4" w:space="0"/>
              <w:right w:val="single" w:color="000000" w:sz="4" w:space="0"/>
            </w:tcBorders>
            <w:vAlign w:val="center"/>
          </w:tcPr>
          <w:p w14:paraId="3E8DCFC6">
            <w:pPr>
              <w:adjustRightInd w:val="0"/>
              <w:jc w:val="center"/>
              <w:rPr>
                <w:color w:val="auto"/>
                <w:szCs w:val="21"/>
              </w:rPr>
            </w:pPr>
            <w:r>
              <w:rPr>
                <w:color w:val="auto"/>
                <w:szCs w:val="21"/>
              </w:rPr>
              <w:t>同现状监测因子</w:t>
            </w:r>
          </w:p>
        </w:tc>
        <w:tc>
          <w:tcPr>
            <w:tcW w:w="1083" w:type="pct"/>
            <w:gridSpan w:val="2"/>
            <w:tcBorders>
              <w:top w:val="single" w:color="000000" w:sz="4" w:space="0"/>
              <w:left w:val="single" w:color="000000" w:sz="4" w:space="0"/>
              <w:bottom w:val="single" w:color="000000" w:sz="4" w:space="0"/>
              <w:right w:val="single" w:color="000000" w:sz="4" w:space="0"/>
            </w:tcBorders>
            <w:vAlign w:val="center"/>
          </w:tcPr>
          <w:p w14:paraId="1A8794F1">
            <w:pPr>
              <w:adjustRightInd w:val="0"/>
              <w:jc w:val="center"/>
              <w:rPr>
                <w:rFonts w:hint="eastAsia" w:eastAsia="宋体"/>
                <w:color w:val="auto"/>
                <w:szCs w:val="21"/>
                <w:lang w:eastAsia="zh-CN"/>
              </w:rPr>
            </w:pPr>
            <w:r>
              <w:rPr>
                <w:rFonts w:hint="eastAsia"/>
                <w:color w:val="auto"/>
                <w:szCs w:val="21"/>
                <w:lang w:eastAsia="zh-CN"/>
              </w:rPr>
              <w:t>必要时监测</w:t>
            </w:r>
            <w:r>
              <w:rPr>
                <w:rFonts w:hint="eastAsia"/>
                <w:color w:val="auto"/>
                <w:szCs w:val="21"/>
                <w:lang w:val="en-US" w:eastAsia="zh-CN"/>
              </w:rPr>
              <w:t>1</w:t>
            </w:r>
            <w:r>
              <w:rPr>
                <w:rFonts w:hint="eastAsia"/>
                <w:color w:val="auto"/>
                <w:szCs w:val="21"/>
                <w:lang w:eastAsia="zh-CN"/>
              </w:rPr>
              <w:t>次</w:t>
            </w:r>
          </w:p>
        </w:tc>
        <w:tc>
          <w:tcPr>
            <w:tcW w:w="616" w:type="pct"/>
            <w:vMerge w:val="continue"/>
            <w:tcBorders>
              <w:top w:val="single" w:color="000000" w:sz="4" w:space="0"/>
              <w:left w:val="single" w:color="000000" w:sz="4" w:space="0"/>
              <w:bottom w:val="single" w:color="000000" w:sz="4" w:space="0"/>
              <w:right w:val="nil"/>
            </w:tcBorders>
            <w:vAlign w:val="center"/>
          </w:tcPr>
          <w:p w14:paraId="3AE95540">
            <w:pPr>
              <w:widowControl/>
              <w:jc w:val="left"/>
              <w:rPr>
                <w:color w:val="auto"/>
                <w:szCs w:val="21"/>
              </w:rPr>
            </w:pPr>
          </w:p>
        </w:tc>
      </w:tr>
      <w:tr w14:paraId="0CFF351B">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30" w:type="pct"/>
            <w:vMerge w:val="continue"/>
            <w:tcBorders>
              <w:top w:val="single" w:color="000000" w:sz="4" w:space="0"/>
              <w:left w:val="nil"/>
              <w:bottom w:val="single" w:color="000000" w:sz="4" w:space="0"/>
              <w:right w:val="single" w:color="000000" w:sz="4" w:space="0"/>
            </w:tcBorders>
            <w:vAlign w:val="center"/>
          </w:tcPr>
          <w:p w14:paraId="5137F60D">
            <w:pPr>
              <w:widowControl/>
              <w:jc w:val="left"/>
              <w:rPr>
                <w:color w:val="auto"/>
                <w:szCs w:val="21"/>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1EBAF8C0">
            <w:pPr>
              <w:adjustRightInd w:val="0"/>
              <w:jc w:val="center"/>
              <w:rPr>
                <w:color w:val="auto"/>
                <w:szCs w:val="21"/>
              </w:rPr>
            </w:pPr>
            <w:r>
              <w:rPr>
                <w:color w:val="auto"/>
              </w:rPr>
              <w:t>信息公开指标</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18AD527C">
            <w:pPr>
              <w:adjustRightInd w:val="0"/>
              <w:jc w:val="center"/>
              <w:rPr>
                <w:color w:val="auto"/>
                <w:szCs w:val="21"/>
              </w:rPr>
            </w:pPr>
          </w:p>
        </w:tc>
        <w:tc>
          <w:tcPr>
            <w:tcW w:w="616" w:type="pct"/>
            <w:vMerge w:val="continue"/>
            <w:tcBorders>
              <w:top w:val="single" w:color="000000" w:sz="4" w:space="0"/>
              <w:left w:val="single" w:color="000000" w:sz="4" w:space="0"/>
              <w:bottom w:val="single" w:color="000000" w:sz="4" w:space="0"/>
              <w:right w:val="nil"/>
            </w:tcBorders>
            <w:vAlign w:val="center"/>
          </w:tcPr>
          <w:p w14:paraId="1BFBB122">
            <w:pPr>
              <w:widowControl/>
              <w:jc w:val="left"/>
              <w:rPr>
                <w:color w:val="auto"/>
                <w:szCs w:val="21"/>
              </w:rPr>
            </w:pPr>
          </w:p>
        </w:tc>
      </w:tr>
      <w:tr w14:paraId="7B9FBEF5">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33" w:type="pct"/>
            <w:gridSpan w:val="2"/>
            <w:tcBorders>
              <w:top w:val="single" w:color="000000" w:sz="4" w:space="0"/>
              <w:left w:val="nil"/>
              <w:bottom w:val="single" w:color="000000" w:sz="4" w:space="0"/>
              <w:right w:val="single" w:color="000000" w:sz="4" w:space="0"/>
            </w:tcBorders>
            <w:vAlign w:val="center"/>
          </w:tcPr>
          <w:p w14:paraId="33CA1FA9">
            <w:pPr>
              <w:adjustRightInd w:val="0"/>
              <w:jc w:val="center"/>
              <w:rPr>
                <w:color w:val="auto"/>
                <w:szCs w:val="21"/>
              </w:rPr>
            </w:pPr>
            <w:r>
              <w:rPr>
                <w:color w:val="auto"/>
              </w:rPr>
              <w:t>评价结论</w:t>
            </w:r>
          </w:p>
        </w:tc>
        <w:tc>
          <w:tcPr>
            <w:tcW w:w="3249" w:type="pct"/>
            <w:gridSpan w:val="6"/>
            <w:tcBorders>
              <w:top w:val="single" w:color="000000" w:sz="4" w:space="0"/>
              <w:left w:val="single" w:color="000000" w:sz="4" w:space="0"/>
              <w:bottom w:val="single" w:color="000000" w:sz="4" w:space="0"/>
              <w:right w:val="single" w:color="000000" w:sz="4" w:space="0"/>
            </w:tcBorders>
            <w:vAlign w:val="center"/>
          </w:tcPr>
          <w:p w14:paraId="321A6B71">
            <w:pPr>
              <w:adjustRightInd w:val="0"/>
              <w:jc w:val="center"/>
              <w:rPr>
                <w:color w:val="auto"/>
                <w:szCs w:val="21"/>
              </w:rPr>
            </w:pPr>
            <w:r>
              <w:rPr>
                <w:color w:val="auto"/>
              </w:rPr>
              <w:t>可行</w:t>
            </w:r>
          </w:p>
        </w:tc>
        <w:tc>
          <w:tcPr>
            <w:tcW w:w="616" w:type="pct"/>
            <w:tcBorders>
              <w:top w:val="single" w:color="000000" w:sz="4" w:space="0"/>
              <w:left w:val="single" w:color="000000" w:sz="4" w:space="0"/>
              <w:bottom w:val="single" w:color="000000" w:sz="4" w:space="0"/>
              <w:right w:val="nil"/>
            </w:tcBorders>
            <w:vAlign w:val="center"/>
          </w:tcPr>
          <w:p w14:paraId="0C83648B">
            <w:pPr>
              <w:adjustRightInd w:val="0"/>
              <w:jc w:val="center"/>
              <w:rPr>
                <w:color w:val="auto"/>
                <w:szCs w:val="21"/>
              </w:rPr>
            </w:pPr>
          </w:p>
        </w:tc>
      </w:tr>
      <w:tr w14:paraId="2951546A">
        <w:tblPrEx>
          <w:tblBorders>
            <w:top w:val="double" w:color="auto" w:sz="4" w:space="0"/>
            <w:left w:val="none" w:color="auto" w:sz="0" w:space="0"/>
            <w:bottom w:val="doub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9"/>
            <w:tcBorders>
              <w:top w:val="single" w:color="000000" w:sz="4" w:space="0"/>
              <w:left w:val="nil"/>
              <w:bottom w:val="double" w:color="auto" w:sz="4" w:space="0"/>
              <w:right w:val="nil"/>
            </w:tcBorders>
            <w:vAlign w:val="center"/>
          </w:tcPr>
          <w:p w14:paraId="4C052900">
            <w:pPr>
              <w:adjustRightInd w:val="0"/>
              <w:rPr>
                <w:color w:val="auto"/>
                <w:szCs w:val="21"/>
              </w:rPr>
            </w:pPr>
            <w:r>
              <w:rPr>
                <w:color w:val="auto"/>
              </w:rPr>
              <w:t>注 1：“□”为勾选项，可√；“（ ）”为内容填写项；“备注”为其他补充内容。</w:t>
            </w:r>
          </w:p>
          <w:p w14:paraId="391554F8">
            <w:pPr>
              <w:adjustRightInd w:val="0"/>
              <w:rPr>
                <w:color w:val="auto"/>
                <w:szCs w:val="21"/>
              </w:rPr>
            </w:pPr>
            <w:r>
              <w:rPr>
                <w:color w:val="auto"/>
              </w:rPr>
              <w:t>注 2：需要分别开展土壤环境影响评级工作的，分别填写自查表。</w:t>
            </w:r>
          </w:p>
        </w:tc>
      </w:tr>
    </w:tbl>
    <w:p w14:paraId="105110EA">
      <w:pPr>
        <w:pStyle w:val="4"/>
        <w:snapToGrid w:val="0"/>
        <w:spacing w:before="0"/>
        <w:rPr>
          <w:rFonts w:ascii="Times New Roman" w:hAnsi="Times New Roman" w:eastAsia="宋体"/>
          <w:bCs/>
          <w:color w:val="auto"/>
          <w:sz w:val="28"/>
          <w:szCs w:val="28"/>
        </w:rPr>
      </w:pPr>
      <w:bookmarkStart w:id="339" w:name="_Toc13205"/>
      <w:r>
        <w:rPr>
          <w:rFonts w:ascii="Times New Roman" w:hAnsi="Times New Roman" w:eastAsia="宋体"/>
          <w:bCs/>
          <w:color w:val="auto"/>
          <w:sz w:val="28"/>
          <w:szCs w:val="28"/>
        </w:rPr>
        <w:t>5.2.</w:t>
      </w:r>
      <w:r>
        <w:rPr>
          <w:rFonts w:hint="eastAsia" w:ascii="Times New Roman" w:hAnsi="Times New Roman" w:eastAsia="宋体"/>
          <w:bCs/>
          <w:color w:val="auto"/>
          <w:sz w:val="28"/>
          <w:szCs w:val="28"/>
        </w:rPr>
        <w:t>7</w:t>
      </w:r>
      <w:r>
        <w:rPr>
          <w:rFonts w:ascii="Times New Roman" w:hAnsi="Times New Roman" w:eastAsia="宋体"/>
          <w:bCs/>
          <w:color w:val="auto"/>
          <w:sz w:val="28"/>
          <w:szCs w:val="28"/>
        </w:rPr>
        <w:t>生态环境影响分析</w:t>
      </w:r>
      <w:bookmarkEnd w:id="339"/>
    </w:p>
    <w:p w14:paraId="3650BA42">
      <w:pPr>
        <w:pStyle w:val="276"/>
        <w:ind w:left="0" w:leftChars="0" w:firstLine="0" w:firstLineChars="0"/>
        <w:rPr>
          <w:b/>
          <w:color w:val="auto"/>
        </w:rPr>
      </w:pPr>
      <w:r>
        <w:rPr>
          <w:b/>
          <w:color w:val="auto"/>
        </w:rPr>
        <w:t>5.2.</w:t>
      </w:r>
      <w:r>
        <w:rPr>
          <w:rFonts w:hint="eastAsia"/>
          <w:b/>
          <w:color w:val="auto"/>
        </w:rPr>
        <w:t>7</w:t>
      </w:r>
      <w:r>
        <w:rPr>
          <w:b/>
          <w:color w:val="auto"/>
        </w:rPr>
        <w:t>.</w:t>
      </w:r>
      <w:r>
        <w:rPr>
          <w:rFonts w:hint="eastAsia"/>
          <w:b/>
          <w:color w:val="auto"/>
        </w:rPr>
        <w:t>1</w:t>
      </w:r>
      <w:r>
        <w:rPr>
          <w:b/>
          <w:color w:val="auto"/>
        </w:rPr>
        <w:t>生态环境影响分析</w:t>
      </w:r>
    </w:p>
    <w:p w14:paraId="72F2D59D">
      <w:pPr>
        <w:autoSpaceDE w:val="0"/>
        <w:autoSpaceDN w:val="0"/>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对动、植物的影响分析</w:t>
      </w:r>
    </w:p>
    <w:p w14:paraId="35C39BE8">
      <w:pPr>
        <w:autoSpaceDE w:val="0"/>
        <w:autoSpaceDN w:val="0"/>
        <w:spacing w:line="360" w:lineRule="auto"/>
        <w:ind w:firstLine="480" w:firstLineChars="200"/>
        <w:rPr>
          <w:color w:val="auto"/>
          <w:sz w:val="24"/>
        </w:rPr>
      </w:pPr>
      <w:r>
        <w:rPr>
          <w:color w:val="auto"/>
          <w:sz w:val="24"/>
        </w:rPr>
        <w:t>项目所在地周围以农业生态环境为主，建成后对植被、植物种类和群落分布以及动物区系的基本组成和性质不会发生变化。</w:t>
      </w:r>
    </w:p>
    <w:p w14:paraId="2FA700C7">
      <w:pPr>
        <w:autoSpaceDE w:val="0"/>
        <w:autoSpaceDN w:val="0"/>
        <w:spacing w:line="360" w:lineRule="auto"/>
        <w:ind w:firstLine="480" w:firstLineChars="200"/>
        <w:rPr>
          <w:color w:val="auto"/>
          <w:sz w:val="24"/>
        </w:rPr>
      </w:pPr>
      <w:r>
        <w:rPr>
          <w:rFonts w:hint="eastAsia"/>
          <w:color w:val="auto"/>
          <w:sz w:val="24"/>
        </w:rPr>
        <w:t>a、</w:t>
      </w:r>
      <w:r>
        <w:rPr>
          <w:color w:val="auto"/>
          <w:sz w:val="24"/>
        </w:rPr>
        <w:t>评价区内主要生态过程以人为控制为主。自然植被、村庄、乡镇企业、农田、经济林和保护林等景观格局不会明显改变。</w:t>
      </w:r>
    </w:p>
    <w:p w14:paraId="5B26330E">
      <w:pPr>
        <w:autoSpaceDE w:val="0"/>
        <w:autoSpaceDN w:val="0"/>
        <w:spacing w:line="360" w:lineRule="auto"/>
        <w:ind w:firstLine="480" w:firstLineChars="200"/>
        <w:rPr>
          <w:color w:val="auto"/>
          <w:sz w:val="24"/>
        </w:rPr>
      </w:pPr>
      <w:r>
        <w:rPr>
          <w:rFonts w:hint="eastAsia"/>
          <w:color w:val="auto"/>
          <w:sz w:val="24"/>
        </w:rPr>
        <w:t>b、</w:t>
      </w:r>
      <w:r>
        <w:rPr>
          <w:color w:val="auto"/>
          <w:sz w:val="24"/>
        </w:rPr>
        <w:t>运营期外排废气等各项污染物的排放在严格的控制措施下，外排数量不大，排放浓度达到了相应标准限值的要求。</w:t>
      </w:r>
    </w:p>
    <w:p w14:paraId="1BA2EAA7">
      <w:pPr>
        <w:spacing w:line="360" w:lineRule="auto"/>
        <w:ind w:firstLine="480" w:firstLineChars="200"/>
        <w:rPr>
          <w:color w:val="auto"/>
          <w:sz w:val="24"/>
          <w:highlight w:val="none"/>
        </w:rPr>
      </w:pPr>
      <w:r>
        <w:rPr>
          <w:rFonts w:hint="eastAsia"/>
          <w:color w:val="auto"/>
          <w:sz w:val="24"/>
        </w:rPr>
        <w:t>c、</w:t>
      </w:r>
      <w:r>
        <w:rPr>
          <w:color w:val="auto"/>
          <w:sz w:val="24"/>
        </w:rPr>
        <w:t>运营期间</w:t>
      </w:r>
      <w:r>
        <w:rPr>
          <w:rFonts w:hint="eastAsia"/>
          <w:color w:val="auto"/>
          <w:sz w:val="24"/>
          <w:lang w:val="en-US" w:eastAsia="zh-CN"/>
        </w:rPr>
        <w:t>鸡舍冲洗废水全部进入废水收集池，日产日清，由罐车运至辰泰（辽宁）生物科技有限公司制造有机肥，</w:t>
      </w:r>
      <w:r>
        <w:rPr>
          <w:color w:val="auto"/>
          <w:sz w:val="24"/>
          <w:highlight w:val="none"/>
        </w:rPr>
        <w:t>在企业严格按照操作规程进行的情况下，不会对区域的生态环境造成严重影响。</w:t>
      </w:r>
    </w:p>
    <w:p w14:paraId="14D78DB4">
      <w:pPr>
        <w:autoSpaceDE w:val="0"/>
        <w:autoSpaceDN w:val="0"/>
        <w:spacing w:line="360" w:lineRule="auto"/>
        <w:ind w:firstLine="480" w:firstLineChars="200"/>
        <w:rPr>
          <w:color w:val="auto"/>
          <w:sz w:val="24"/>
        </w:rPr>
      </w:pPr>
      <w:r>
        <w:rPr>
          <w:rFonts w:hint="eastAsia"/>
          <w:color w:val="auto"/>
          <w:sz w:val="24"/>
        </w:rPr>
        <w:t>d、</w:t>
      </w:r>
      <w:r>
        <w:rPr>
          <w:color w:val="auto"/>
          <w:sz w:val="24"/>
        </w:rPr>
        <w:t>根据本评价各环境要素的污染预测结果，各项污染物排放均达到了环境保护相应规定的要求，对区域污染的贡献量较小。</w:t>
      </w:r>
    </w:p>
    <w:p w14:paraId="380C4F9D">
      <w:pPr>
        <w:autoSpaceDE w:val="0"/>
        <w:autoSpaceDN w:val="0"/>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对景观环境的影响</w:t>
      </w:r>
    </w:p>
    <w:p w14:paraId="709938A8">
      <w:pPr>
        <w:autoSpaceDE w:val="0"/>
        <w:autoSpaceDN w:val="0"/>
        <w:spacing w:line="360" w:lineRule="auto"/>
        <w:ind w:firstLine="480" w:firstLineChars="200"/>
        <w:rPr>
          <w:color w:val="auto"/>
          <w:sz w:val="24"/>
        </w:rPr>
      </w:pPr>
      <w:r>
        <w:rPr>
          <w:color w:val="auto"/>
          <w:sz w:val="24"/>
        </w:rPr>
        <w:t>地质地貌景观是地壳长期演化遗留下来的不可再生的地址遗产，是一种宝贵的自然资源。本项目建设势必造成对周围的地质地貌、地面植被、地质构造和其他自然环境的影响和破坏，使项目区自然景观进一步减少，人工建立的景观扩大，造成在空间上的不连续，增加景观的异质性，引起了局部景观格局的破碎化与“岛屿化扩大”的现象。项目区无重要风景区，景观价值较低，通过生态补偿、恢复等措施，可以进行弥补对当地景观影响，因此项目的运营对自然景观的视觉效果影响较小。</w:t>
      </w:r>
    </w:p>
    <w:p w14:paraId="10319EC6">
      <w:pPr>
        <w:pStyle w:val="276"/>
        <w:ind w:left="0" w:leftChars="0" w:firstLine="0" w:firstLineChars="0"/>
        <w:rPr>
          <w:b/>
          <w:color w:val="auto"/>
        </w:rPr>
      </w:pPr>
      <w:r>
        <w:rPr>
          <w:b/>
          <w:color w:val="auto"/>
        </w:rPr>
        <w:t>5.2.</w:t>
      </w:r>
      <w:r>
        <w:rPr>
          <w:rFonts w:hint="eastAsia"/>
          <w:b/>
          <w:color w:val="auto"/>
        </w:rPr>
        <w:t>7</w:t>
      </w:r>
      <w:r>
        <w:rPr>
          <w:b/>
          <w:color w:val="auto"/>
        </w:rPr>
        <w:t>.</w:t>
      </w:r>
      <w:r>
        <w:rPr>
          <w:rFonts w:hint="eastAsia"/>
          <w:b/>
          <w:color w:val="auto"/>
        </w:rPr>
        <w:t>2生态影响的防护措施</w:t>
      </w:r>
    </w:p>
    <w:p w14:paraId="09510F3D">
      <w:pPr>
        <w:autoSpaceDE w:val="0"/>
        <w:autoSpaceDN w:val="0"/>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加强污染物治理</w:t>
      </w:r>
    </w:p>
    <w:p w14:paraId="55340FB3">
      <w:pPr>
        <w:autoSpaceDE w:val="0"/>
        <w:autoSpaceDN w:val="0"/>
        <w:spacing w:line="360" w:lineRule="auto"/>
        <w:ind w:firstLine="480" w:firstLineChars="200"/>
        <w:rPr>
          <w:color w:val="auto"/>
          <w:sz w:val="24"/>
        </w:rPr>
      </w:pPr>
      <w:r>
        <w:rPr>
          <w:color w:val="auto"/>
          <w:sz w:val="24"/>
        </w:rPr>
        <w:t>加强建设项目自身的污染治理，采用先进、高效的防治措施减少全场“三废”排放对当地生态环境影响。本项目投产运营后各项污染物做到了达标排放，但</w:t>
      </w:r>
      <w:r>
        <w:rPr>
          <w:rFonts w:hint="eastAsia"/>
          <w:color w:val="auto"/>
          <w:sz w:val="24"/>
          <w:lang w:eastAsia="zh-CN"/>
        </w:rPr>
        <w:t>废气</w:t>
      </w:r>
      <w:r>
        <w:rPr>
          <w:color w:val="auto"/>
          <w:sz w:val="24"/>
        </w:rPr>
        <w:t>排放仍然会对当地环境造成一定影响。因此应从全场范围进行严格管理，使全场污染物排放总量进一步削减，减轻对区域环境污染。</w:t>
      </w:r>
    </w:p>
    <w:p w14:paraId="45DD4EFA">
      <w:pPr>
        <w:autoSpaceDE w:val="0"/>
        <w:autoSpaceDN w:val="0"/>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场区硬化及绿化</w:t>
      </w:r>
    </w:p>
    <w:p w14:paraId="19D7EFDD">
      <w:pPr>
        <w:autoSpaceDE w:val="0"/>
        <w:autoSpaceDN w:val="0"/>
        <w:spacing w:line="360" w:lineRule="auto"/>
        <w:ind w:firstLine="480" w:firstLineChars="200"/>
        <w:rPr>
          <w:color w:val="auto"/>
          <w:sz w:val="24"/>
        </w:rPr>
      </w:pPr>
      <w:r>
        <w:rPr>
          <w:color w:val="auto"/>
          <w:sz w:val="24"/>
        </w:rPr>
        <w:t>为进一步改善区域生态环境，建设单位在加强厂内“三废”治理同时，还应加强场内绿化和硬化工作，保证项目建成后，除建筑物占地及绿化面积外，全场地面硬化。</w:t>
      </w:r>
    </w:p>
    <w:p w14:paraId="578D61F6">
      <w:pPr>
        <w:autoSpaceDE w:val="0"/>
        <w:autoSpaceDN w:val="0"/>
        <w:spacing w:line="360" w:lineRule="auto"/>
        <w:ind w:firstLine="480" w:firstLineChars="200"/>
        <w:rPr>
          <w:color w:val="auto"/>
          <w:sz w:val="24"/>
        </w:rPr>
      </w:pPr>
      <w:r>
        <w:rPr>
          <w:color w:val="auto"/>
          <w:sz w:val="24"/>
        </w:rPr>
        <w:t>场区应制定绿化规划，实施全面绿化。利用植物作为治理污染的一种经济手段，发挥它们在吸收有害气体、净化空气、降低噪声、改善环境、保持生态平衡方面作用。重点为：养殖区、生活管理区和道路两侧，应以乔木绿化为主，乔、灌、草合理配置；在场界四周根据实际条件营造防护林，用以防止污染物对周边生态环境的影响。绿色植物具有多种环境生态效应，如调节空气、温度、湿度，阻挡风沙、滞留空气中的灰尘、吸收SO</w:t>
      </w:r>
      <w:r>
        <w:rPr>
          <w:color w:val="auto"/>
          <w:sz w:val="24"/>
          <w:vertAlign w:val="subscript"/>
        </w:rPr>
        <w:t>2</w:t>
      </w:r>
      <w:r>
        <w:rPr>
          <w:color w:val="auto"/>
          <w:sz w:val="24"/>
        </w:rPr>
        <w:t>等有害气体等，有些植物还有一定的杀菌能力，此外，树本身还有降噪隔声的功能。</w:t>
      </w:r>
    </w:p>
    <w:p w14:paraId="79E5B754">
      <w:pPr>
        <w:autoSpaceDE w:val="0"/>
        <w:autoSpaceDN w:val="0"/>
        <w:spacing w:line="360" w:lineRule="auto"/>
        <w:ind w:firstLine="480" w:firstLineChars="200"/>
        <w:rPr>
          <w:color w:val="auto"/>
          <w:sz w:val="24"/>
        </w:rPr>
      </w:pPr>
      <w:r>
        <w:rPr>
          <w:color w:val="auto"/>
          <w:sz w:val="24"/>
        </w:rPr>
        <w:t>结合项目的特点，种植高低相结合的乔灌木，形成隔离林带，防止污染扩散。场区应以美化环境为主，种植绿篱、布置花坛、草坪等。道路的绿化以种植道路树为主，选择适宜的树种，进行多种树种混栽，形成沿道路的绿化带。</w:t>
      </w:r>
    </w:p>
    <w:p w14:paraId="3D7ADCE7">
      <w:pPr>
        <w:autoSpaceDE w:val="0"/>
        <w:autoSpaceDN w:val="0"/>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color w:val="auto"/>
          <w:sz w:val="24"/>
        </w:rPr>
        <w:t>加强职工生态环保意识</w:t>
      </w:r>
    </w:p>
    <w:p w14:paraId="7DE94A2C">
      <w:pPr>
        <w:autoSpaceDE w:val="0"/>
        <w:autoSpaceDN w:val="0"/>
        <w:spacing w:line="360" w:lineRule="auto"/>
        <w:ind w:firstLine="480" w:firstLineChars="200"/>
        <w:rPr>
          <w:color w:val="auto"/>
          <w:sz w:val="24"/>
        </w:rPr>
      </w:pPr>
      <w:r>
        <w:rPr>
          <w:color w:val="auto"/>
          <w:sz w:val="24"/>
        </w:rPr>
        <w:t>随着项目建设，场内应健全管理体制，加强生态意识教育，以利于生态环境资源保护。评价区生态系统受本项目影响相对较小，在严格采取环评规定的生态保护措施情况下，其生态特征不会从根本上发生改变，体系仍然维持原有的稳定性和生态承载能力。</w:t>
      </w:r>
    </w:p>
    <w:p w14:paraId="41C2DC7B">
      <w:pPr>
        <w:ind w:firstLine="413" w:firstLineChars="196"/>
        <w:jc w:val="center"/>
        <w:rPr>
          <w:b/>
          <w:bCs/>
          <w:color w:val="auto"/>
          <w:szCs w:val="21"/>
        </w:rPr>
      </w:pPr>
      <w:r>
        <w:rPr>
          <w:b/>
          <w:bCs/>
          <w:color w:val="auto"/>
          <w:szCs w:val="21"/>
        </w:rPr>
        <w:t>表5</w:t>
      </w:r>
      <w:r>
        <w:rPr>
          <w:rFonts w:hint="eastAsia"/>
          <w:b/>
          <w:bCs/>
          <w:color w:val="auto"/>
          <w:szCs w:val="21"/>
          <w:lang w:val="en-US" w:eastAsia="zh-CN"/>
        </w:rPr>
        <w:t>.2-32</w:t>
      </w:r>
      <w:r>
        <w:rPr>
          <w:b/>
          <w:bCs/>
          <w:color w:val="auto"/>
          <w:szCs w:val="21"/>
        </w:rPr>
        <w:t xml:space="preserve">   </w:t>
      </w:r>
      <w:r>
        <w:rPr>
          <w:rFonts w:hint="eastAsia"/>
          <w:b/>
          <w:bCs/>
          <w:color w:val="auto"/>
          <w:szCs w:val="21"/>
          <w:lang w:val="en-US" w:eastAsia="zh-CN"/>
        </w:rPr>
        <w:t xml:space="preserve"> </w:t>
      </w:r>
      <w:r>
        <w:rPr>
          <w:b/>
          <w:bCs/>
          <w:color w:val="auto"/>
          <w:szCs w:val="21"/>
        </w:rPr>
        <w:t>生态影响评价自查表</w:t>
      </w:r>
    </w:p>
    <w:tbl>
      <w:tblPr>
        <w:tblStyle w:val="551"/>
        <w:tblW w:w="4999" w:type="pct"/>
        <w:tblInd w:w="0" w:type="dxa"/>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894"/>
        <w:gridCol w:w="1248"/>
        <w:gridCol w:w="6168"/>
      </w:tblGrid>
      <w:tr w14:paraId="69D72337">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289" w:type="pct"/>
            <w:gridSpan w:val="2"/>
            <w:vAlign w:val="center"/>
          </w:tcPr>
          <w:p w14:paraId="3C07A4C4">
            <w:pPr>
              <w:jc w:val="center"/>
              <w:rPr>
                <w:rFonts w:ascii="宋体" w:hAnsi="宋体" w:cs="宋体"/>
                <w:color w:val="auto"/>
                <w:szCs w:val="21"/>
                <w:lang w:eastAsia="en-US"/>
              </w:rPr>
            </w:pPr>
            <w:r>
              <w:rPr>
                <w:rFonts w:ascii="宋体" w:hAnsi="宋体" w:cs="宋体"/>
                <w:color w:val="auto"/>
                <w:spacing w:val="-2"/>
                <w:szCs w:val="21"/>
                <w:lang w:eastAsia="en-US"/>
              </w:rPr>
              <w:t>工作内</w:t>
            </w:r>
            <w:r>
              <w:rPr>
                <w:rFonts w:ascii="宋体" w:hAnsi="宋体" w:cs="宋体"/>
                <w:color w:val="auto"/>
                <w:spacing w:val="-1"/>
                <w:szCs w:val="21"/>
                <w:lang w:eastAsia="en-US"/>
              </w:rPr>
              <w:t>容</w:t>
            </w:r>
          </w:p>
        </w:tc>
        <w:tc>
          <w:tcPr>
            <w:tcW w:w="3710" w:type="pct"/>
            <w:vAlign w:val="center"/>
          </w:tcPr>
          <w:p w14:paraId="38593654">
            <w:pPr>
              <w:jc w:val="center"/>
              <w:rPr>
                <w:rFonts w:ascii="宋体" w:hAnsi="宋体" w:cs="宋体"/>
                <w:color w:val="auto"/>
                <w:szCs w:val="21"/>
                <w:lang w:eastAsia="en-US"/>
              </w:rPr>
            </w:pPr>
            <w:r>
              <w:rPr>
                <w:rFonts w:ascii="宋体" w:hAnsi="宋体" w:cs="宋体"/>
                <w:color w:val="auto"/>
                <w:spacing w:val="-10"/>
                <w:szCs w:val="21"/>
                <w:lang w:eastAsia="en-US"/>
              </w:rPr>
              <w:t>自</w:t>
            </w:r>
            <w:r>
              <w:rPr>
                <w:rFonts w:ascii="宋体" w:hAnsi="宋体" w:cs="宋体"/>
                <w:color w:val="auto"/>
                <w:spacing w:val="-9"/>
                <w:szCs w:val="21"/>
                <w:lang w:eastAsia="en-US"/>
              </w:rPr>
              <w:t>查项目</w:t>
            </w:r>
          </w:p>
        </w:tc>
      </w:tr>
      <w:tr w14:paraId="2EF95947">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8" w:type="pct"/>
            <w:vMerge w:val="restart"/>
            <w:tcBorders>
              <w:bottom w:val="nil"/>
            </w:tcBorders>
            <w:vAlign w:val="center"/>
          </w:tcPr>
          <w:p w14:paraId="0A1A8417">
            <w:pPr>
              <w:ind w:hanging="180"/>
              <w:jc w:val="center"/>
              <w:rPr>
                <w:rFonts w:ascii="宋体" w:hAnsi="宋体" w:cs="宋体"/>
                <w:color w:val="auto"/>
                <w:spacing w:val="-2"/>
                <w:szCs w:val="21"/>
                <w:lang w:eastAsia="en-US"/>
              </w:rPr>
            </w:pPr>
            <w:r>
              <w:rPr>
                <w:rFonts w:ascii="宋体" w:hAnsi="宋体" w:cs="宋体"/>
                <w:color w:val="auto"/>
                <w:spacing w:val="-3"/>
                <w:szCs w:val="21"/>
                <w:lang w:eastAsia="en-US"/>
              </w:rPr>
              <w:t>生</w:t>
            </w:r>
            <w:r>
              <w:rPr>
                <w:rFonts w:ascii="宋体" w:hAnsi="宋体" w:cs="宋体"/>
                <w:color w:val="auto"/>
                <w:spacing w:val="-2"/>
                <w:szCs w:val="21"/>
                <w:lang w:eastAsia="en-US"/>
              </w:rPr>
              <w:t>态影</w:t>
            </w:r>
          </w:p>
          <w:p w14:paraId="0F967F89">
            <w:pPr>
              <w:ind w:hanging="180"/>
              <w:jc w:val="center"/>
              <w:rPr>
                <w:rFonts w:ascii="宋体" w:hAnsi="宋体" w:cs="宋体"/>
                <w:color w:val="auto"/>
                <w:szCs w:val="21"/>
                <w:lang w:eastAsia="en-US"/>
              </w:rPr>
            </w:pPr>
            <w:r>
              <w:rPr>
                <w:rFonts w:ascii="宋体" w:hAnsi="宋体" w:cs="宋体"/>
                <w:color w:val="auto"/>
                <w:spacing w:val="-2"/>
                <w:szCs w:val="21"/>
                <w:lang w:eastAsia="en-US"/>
              </w:rPr>
              <w:t>响</w:t>
            </w:r>
            <w:r>
              <w:rPr>
                <w:rFonts w:ascii="宋体" w:hAnsi="宋体" w:cs="宋体"/>
                <w:color w:val="auto"/>
                <w:spacing w:val="-3"/>
                <w:szCs w:val="21"/>
                <w:lang w:eastAsia="en-US"/>
              </w:rPr>
              <w:t>识</w:t>
            </w:r>
            <w:r>
              <w:rPr>
                <w:rFonts w:ascii="宋体" w:hAnsi="宋体" w:cs="宋体"/>
                <w:color w:val="auto"/>
                <w:spacing w:val="-2"/>
                <w:szCs w:val="21"/>
                <w:lang w:eastAsia="en-US"/>
              </w:rPr>
              <w:t>别</w:t>
            </w:r>
          </w:p>
        </w:tc>
        <w:tc>
          <w:tcPr>
            <w:tcW w:w="751" w:type="pct"/>
            <w:vAlign w:val="center"/>
          </w:tcPr>
          <w:p w14:paraId="2B88E6EF">
            <w:pPr>
              <w:jc w:val="center"/>
              <w:rPr>
                <w:rFonts w:ascii="宋体" w:hAnsi="宋体" w:cs="宋体"/>
                <w:color w:val="auto"/>
                <w:szCs w:val="21"/>
                <w:lang w:eastAsia="en-US"/>
              </w:rPr>
            </w:pPr>
            <w:r>
              <w:rPr>
                <w:rFonts w:ascii="宋体" w:hAnsi="宋体" w:cs="宋体"/>
                <w:color w:val="auto"/>
                <w:spacing w:val="-2"/>
                <w:szCs w:val="21"/>
                <w:lang w:eastAsia="en-US"/>
              </w:rPr>
              <w:t>生态</w:t>
            </w:r>
            <w:r>
              <w:rPr>
                <w:rFonts w:ascii="宋体" w:hAnsi="宋体" w:cs="宋体"/>
                <w:color w:val="auto"/>
                <w:spacing w:val="-1"/>
                <w:szCs w:val="21"/>
                <w:lang w:eastAsia="en-US"/>
              </w:rPr>
              <w:t>保护目标</w:t>
            </w:r>
          </w:p>
        </w:tc>
        <w:tc>
          <w:tcPr>
            <w:tcW w:w="3710" w:type="pct"/>
            <w:vAlign w:val="center"/>
          </w:tcPr>
          <w:p w14:paraId="0E151378">
            <w:pPr>
              <w:rPr>
                <w:rFonts w:ascii="宋体" w:hAnsi="宋体" w:cs="宋体"/>
                <w:color w:val="auto"/>
                <w:szCs w:val="21"/>
                <w:lang w:eastAsia="zh-CN"/>
              </w:rPr>
            </w:pPr>
            <w:r>
              <w:rPr>
                <w:rFonts w:ascii="宋体" w:hAnsi="宋体" w:cs="宋体"/>
                <w:color w:val="auto"/>
                <w:spacing w:val="-6"/>
                <w:szCs w:val="21"/>
                <w:lang w:eastAsia="zh-CN"/>
              </w:rPr>
              <w:t>重</w:t>
            </w:r>
            <w:r>
              <w:rPr>
                <w:rFonts w:ascii="宋体" w:hAnsi="宋体" w:cs="宋体"/>
                <w:color w:val="auto"/>
                <w:spacing w:val="-3"/>
                <w:szCs w:val="21"/>
                <w:lang w:eastAsia="zh-CN"/>
              </w:rPr>
              <w:t>要物种□；国家公园□； 自然保护区□； 自然公园□；世界自然遗产□；生态保护</w:t>
            </w:r>
            <w:r>
              <w:rPr>
                <w:rFonts w:ascii="宋体" w:hAnsi="宋体" w:cs="宋体"/>
                <w:color w:val="auto"/>
                <w:szCs w:val="21"/>
                <w:lang w:eastAsia="zh-CN"/>
              </w:rPr>
              <w:t xml:space="preserve"> </w:t>
            </w:r>
            <w:r>
              <w:rPr>
                <w:rFonts w:ascii="宋体" w:hAnsi="宋体" w:cs="宋体"/>
                <w:color w:val="auto"/>
                <w:spacing w:val="2"/>
                <w:szCs w:val="21"/>
                <w:lang w:eastAsia="zh-CN"/>
              </w:rPr>
              <w:t>红线□；重要生境□；其他具有重要生态</w:t>
            </w:r>
            <w:r>
              <w:rPr>
                <w:rFonts w:ascii="宋体" w:hAnsi="宋体" w:cs="宋体"/>
                <w:color w:val="auto"/>
                <w:spacing w:val="1"/>
                <w:szCs w:val="21"/>
                <w:lang w:eastAsia="zh-CN"/>
              </w:rPr>
              <w:t>功能、对保护生物多样性具有重要意义的区</w:t>
            </w:r>
            <w:r>
              <w:rPr>
                <w:rFonts w:ascii="宋体" w:hAnsi="宋体" w:cs="宋体"/>
                <w:color w:val="auto"/>
                <w:szCs w:val="21"/>
                <w:lang w:eastAsia="zh-CN"/>
              </w:rPr>
              <w:t xml:space="preserve"> </w:t>
            </w:r>
            <w:r>
              <w:rPr>
                <w:rFonts w:ascii="宋体" w:hAnsi="宋体" w:cs="宋体"/>
                <w:color w:val="auto"/>
                <w:spacing w:val="-2"/>
                <w:szCs w:val="21"/>
                <w:lang w:eastAsia="zh-CN"/>
              </w:rPr>
              <w:t>域□</w:t>
            </w:r>
            <w:r>
              <w:rPr>
                <w:rFonts w:ascii="宋体" w:hAnsi="宋体" w:cs="宋体"/>
                <w:color w:val="auto"/>
                <w:spacing w:val="-1"/>
                <w:szCs w:val="21"/>
                <w:lang w:eastAsia="zh-CN"/>
              </w:rPr>
              <w:t>；其他□</w:t>
            </w:r>
          </w:p>
        </w:tc>
      </w:tr>
      <w:tr w14:paraId="48120CCC">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8" w:type="pct"/>
            <w:vMerge w:val="continue"/>
            <w:tcBorders>
              <w:top w:val="nil"/>
              <w:bottom w:val="nil"/>
            </w:tcBorders>
            <w:vAlign w:val="center"/>
          </w:tcPr>
          <w:p w14:paraId="23E0678E">
            <w:pPr>
              <w:jc w:val="center"/>
              <w:rPr>
                <w:rFonts w:ascii="Arial" w:hAnsi="Calibri"/>
                <w:color w:val="auto"/>
                <w:szCs w:val="21"/>
                <w:lang w:eastAsia="zh-CN"/>
              </w:rPr>
            </w:pPr>
          </w:p>
        </w:tc>
        <w:tc>
          <w:tcPr>
            <w:tcW w:w="751" w:type="pct"/>
            <w:vAlign w:val="center"/>
          </w:tcPr>
          <w:p w14:paraId="610E98B2">
            <w:pPr>
              <w:jc w:val="center"/>
              <w:rPr>
                <w:rFonts w:ascii="宋体" w:hAnsi="宋体" w:cs="宋体"/>
                <w:color w:val="auto"/>
                <w:szCs w:val="21"/>
                <w:lang w:eastAsia="en-US"/>
              </w:rPr>
            </w:pPr>
            <w:r>
              <w:rPr>
                <w:rFonts w:ascii="宋体" w:hAnsi="宋体" w:cs="宋体"/>
                <w:color w:val="auto"/>
                <w:spacing w:val="-2"/>
                <w:szCs w:val="21"/>
                <w:lang w:eastAsia="en-US"/>
              </w:rPr>
              <w:t>影响</w:t>
            </w:r>
            <w:r>
              <w:rPr>
                <w:rFonts w:ascii="宋体" w:hAnsi="宋体" w:cs="宋体"/>
                <w:color w:val="auto"/>
                <w:spacing w:val="-1"/>
                <w:szCs w:val="21"/>
                <w:lang w:eastAsia="en-US"/>
              </w:rPr>
              <w:t>方式</w:t>
            </w:r>
          </w:p>
        </w:tc>
        <w:tc>
          <w:tcPr>
            <w:tcW w:w="3710" w:type="pct"/>
            <w:vAlign w:val="center"/>
          </w:tcPr>
          <w:p w14:paraId="55C056F1">
            <w:pPr>
              <w:rPr>
                <w:rFonts w:ascii="宋体" w:hAnsi="宋体" w:cs="宋体"/>
                <w:color w:val="auto"/>
                <w:szCs w:val="21"/>
                <w:lang w:eastAsia="zh-CN"/>
              </w:rPr>
            </w:pPr>
            <w:r>
              <w:rPr>
                <w:rFonts w:ascii="宋体" w:hAnsi="宋体" w:cs="宋体"/>
                <w:color w:val="auto"/>
                <w:spacing w:val="-1"/>
                <w:szCs w:val="21"/>
                <w:lang w:eastAsia="zh-CN"/>
              </w:rPr>
              <w:t>工程占用□；施工活</w:t>
            </w:r>
            <w:r>
              <w:rPr>
                <w:rFonts w:ascii="宋体" w:hAnsi="宋体" w:cs="宋体"/>
                <w:color w:val="auto"/>
                <w:szCs w:val="21"/>
                <w:lang w:eastAsia="zh-CN"/>
              </w:rPr>
              <w:t>动干扰□；改变环境条件□；其他□</w:t>
            </w:r>
          </w:p>
        </w:tc>
      </w:tr>
      <w:tr w14:paraId="07BF3F1B">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8" w:type="pct"/>
            <w:vMerge w:val="continue"/>
            <w:tcBorders>
              <w:top w:val="nil"/>
            </w:tcBorders>
            <w:vAlign w:val="center"/>
          </w:tcPr>
          <w:p w14:paraId="2DA23BCA">
            <w:pPr>
              <w:jc w:val="center"/>
              <w:rPr>
                <w:rFonts w:ascii="Arial" w:hAnsi="Calibri"/>
                <w:color w:val="auto"/>
                <w:szCs w:val="21"/>
                <w:lang w:eastAsia="zh-CN"/>
              </w:rPr>
            </w:pPr>
          </w:p>
        </w:tc>
        <w:tc>
          <w:tcPr>
            <w:tcW w:w="751" w:type="pct"/>
            <w:vAlign w:val="center"/>
          </w:tcPr>
          <w:p w14:paraId="59EF76AC">
            <w:pPr>
              <w:jc w:val="cente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价因子</w:t>
            </w:r>
          </w:p>
        </w:tc>
        <w:tc>
          <w:tcPr>
            <w:tcW w:w="3710" w:type="pct"/>
            <w:vAlign w:val="center"/>
          </w:tcPr>
          <w:p w14:paraId="14DA48D6">
            <w:pPr>
              <w:rPr>
                <w:rFonts w:ascii="宋体" w:hAnsi="宋体" w:cs="宋体"/>
                <w:color w:val="auto"/>
                <w:szCs w:val="21"/>
                <w:lang w:eastAsia="zh-CN"/>
              </w:rPr>
            </w:pPr>
            <w:r>
              <w:rPr>
                <w:rFonts w:ascii="宋体" w:hAnsi="宋体" w:cs="宋体"/>
                <w:color w:val="auto"/>
                <w:spacing w:val="1"/>
                <w:szCs w:val="21"/>
                <w:lang w:eastAsia="zh-CN"/>
              </w:rPr>
              <w:t>物种</w:t>
            </w:r>
            <w:r>
              <w:rPr>
                <w:rFonts w:ascii="宋体" w:hAnsi="宋体" w:cs="宋体"/>
                <w:color w:val="auto"/>
                <w:spacing w:val="1"/>
                <w:szCs w:val="21"/>
                <w:lang w:eastAsia="en-US"/>
              </w:rPr>
              <w:sym w:font="Wingdings 2" w:char="0052"/>
            </w:r>
            <w:r>
              <w:rPr>
                <w:rFonts w:ascii="宋体" w:hAnsi="宋体" w:cs="宋体"/>
                <w:color w:val="auto"/>
                <w:spacing w:val="1"/>
                <w:szCs w:val="21"/>
                <w:lang w:eastAsia="zh-CN"/>
              </w:rPr>
              <w:t xml:space="preserve"> (  </w:t>
            </w:r>
            <w:r>
              <w:rPr>
                <w:rFonts w:ascii="宋体" w:hAnsi="宋体" w:cs="宋体"/>
                <w:color w:val="auto"/>
                <w:szCs w:val="21"/>
                <w:lang w:eastAsia="zh-CN"/>
              </w:rPr>
              <w:t xml:space="preserve"> )</w:t>
            </w:r>
            <w:r>
              <w:rPr>
                <w:rFonts w:ascii="宋体" w:hAnsi="宋体" w:cs="宋体"/>
                <w:color w:val="auto"/>
                <w:spacing w:val="1"/>
                <w:szCs w:val="21"/>
                <w:lang w:eastAsia="zh-CN"/>
              </w:rPr>
              <w:t xml:space="preserve">生境□ (  </w:t>
            </w:r>
            <w:r>
              <w:rPr>
                <w:rFonts w:ascii="宋体" w:hAnsi="宋体" w:cs="宋体"/>
                <w:color w:val="auto"/>
                <w:szCs w:val="21"/>
                <w:lang w:eastAsia="zh-CN"/>
              </w:rPr>
              <w:t xml:space="preserve"> )</w:t>
            </w:r>
            <w:r>
              <w:rPr>
                <w:rFonts w:ascii="宋体" w:hAnsi="宋体" w:cs="宋体"/>
                <w:color w:val="auto"/>
                <w:spacing w:val="1"/>
                <w:szCs w:val="21"/>
                <w:lang w:eastAsia="zh-CN"/>
              </w:rPr>
              <w:t>生物群落□ (</w:t>
            </w:r>
            <w:r>
              <w:rPr>
                <w:rFonts w:ascii="宋体" w:hAnsi="宋体" w:cs="宋体"/>
                <w:color w:val="auto"/>
                <w:szCs w:val="21"/>
                <w:lang w:eastAsia="zh-CN"/>
              </w:rPr>
              <w:t xml:space="preserve">    )</w:t>
            </w:r>
            <w:r>
              <w:rPr>
                <w:rFonts w:ascii="宋体" w:hAnsi="宋体" w:cs="宋体"/>
                <w:color w:val="auto"/>
                <w:spacing w:val="1"/>
                <w:szCs w:val="21"/>
                <w:lang w:eastAsia="zh-CN"/>
              </w:rPr>
              <w:t xml:space="preserve">生态系统□ ( </w:t>
            </w:r>
            <w:r>
              <w:rPr>
                <w:rFonts w:hint="eastAsia" w:ascii="宋体" w:hAnsi="宋体" w:cs="宋体"/>
                <w:color w:val="auto"/>
                <w:spacing w:val="1"/>
                <w:szCs w:val="21"/>
                <w:lang w:eastAsia="zh-CN"/>
              </w:rPr>
              <w:t xml:space="preserve">   </w:t>
            </w:r>
            <w:r>
              <w:rPr>
                <w:rFonts w:ascii="宋体" w:hAnsi="宋体" w:cs="宋体"/>
                <w:color w:val="auto"/>
                <w:szCs w:val="21"/>
                <w:lang w:eastAsia="zh-CN"/>
              </w:rPr>
              <w:t xml:space="preserve">  )</w:t>
            </w:r>
          </w:p>
          <w:p w14:paraId="720FE976">
            <w:pPr>
              <w:rPr>
                <w:rFonts w:ascii="宋体" w:hAnsi="宋体" w:cs="宋体"/>
                <w:color w:val="auto"/>
                <w:szCs w:val="21"/>
                <w:lang w:eastAsia="zh-CN"/>
              </w:rPr>
            </w:pPr>
            <w:r>
              <w:rPr>
                <w:rFonts w:ascii="宋体" w:hAnsi="宋体" w:cs="宋体"/>
                <w:color w:val="auto"/>
                <w:spacing w:val="1"/>
                <w:szCs w:val="21"/>
                <w:lang w:eastAsia="zh-CN"/>
              </w:rPr>
              <w:t>生物多样性</w:t>
            </w:r>
            <w:r>
              <w:rPr>
                <w:rFonts w:ascii="宋体" w:hAnsi="宋体" w:cs="宋体"/>
                <w:color w:val="auto"/>
                <w:spacing w:val="1"/>
                <w:szCs w:val="21"/>
                <w:lang w:eastAsia="en-US"/>
              </w:rPr>
              <w:sym w:font="Wingdings 2" w:char="0052"/>
            </w:r>
            <w:r>
              <w:rPr>
                <w:rFonts w:ascii="宋体" w:hAnsi="宋体" w:cs="宋体"/>
                <w:color w:val="auto"/>
                <w:spacing w:val="1"/>
                <w:szCs w:val="21"/>
                <w:lang w:eastAsia="zh-CN"/>
              </w:rPr>
              <w:t xml:space="preserve"> (  </w:t>
            </w:r>
            <w:r>
              <w:rPr>
                <w:rFonts w:ascii="宋体" w:hAnsi="宋体" w:cs="宋体"/>
                <w:color w:val="auto"/>
                <w:szCs w:val="21"/>
                <w:lang w:eastAsia="zh-CN"/>
              </w:rPr>
              <w:t xml:space="preserve">   )</w:t>
            </w:r>
            <w:r>
              <w:rPr>
                <w:rFonts w:ascii="宋体" w:hAnsi="宋体" w:cs="宋体"/>
                <w:color w:val="auto"/>
                <w:spacing w:val="1"/>
                <w:szCs w:val="21"/>
                <w:lang w:eastAsia="zh-CN"/>
              </w:rPr>
              <w:t xml:space="preserve">生态敏感区□ ( </w:t>
            </w:r>
            <w:r>
              <w:rPr>
                <w:rFonts w:ascii="宋体" w:hAnsi="宋体" w:cs="宋体"/>
                <w:color w:val="auto"/>
                <w:szCs w:val="21"/>
                <w:lang w:eastAsia="zh-CN"/>
              </w:rPr>
              <w:t xml:space="preserve">     )</w:t>
            </w:r>
            <w:r>
              <w:rPr>
                <w:rFonts w:ascii="宋体" w:hAnsi="宋体" w:cs="宋体"/>
                <w:color w:val="auto"/>
                <w:spacing w:val="-1"/>
                <w:szCs w:val="21"/>
                <w:lang w:eastAsia="zh-CN"/>
              </w:rPr>
              <w:t xml:space="preserve">自然景观□ </w:t>
            </w:r>
            <w:r>
              <w:rPr>
                <w:rFonts w:ascii="宋体" w:hAnsi="宋体" w:cs="宋体"/>
                <w:color w:val="auto"/>
                <w:szCs w:val="21"/>
                <w:lang w:eastAsia="zh-CN"/>
              </w:rPr>
              <w:t>(      )</w:t>
            </w:r>
          </w:p>
          <w:p w14:paraId="5A61C288">
            <w:pPr>
              <w:rPr>
                <w:rFonts w:ascii="宋体" w:hAnsi="宋体" w:cs="宋体"/>
                <w:color w:val="auto"/>
                <w:szCs w:val="21"/>
                <w:lang w:eastAsia="en-US"/>
              </w:rPr>
            </w:pPr>
            <w:r>
              <w:rPr>
                <w:rFonts w:ascii="宋体" w:hAnsi="宋体" w:cs="宋体"/>
                <w:color w:val="auto"/>
                <w:spacing w:val="-1"/>
                <w:szCs w:val="21"/>
                <w:lang w:eastAsia="en-US"/>
              </w:rPr>
              <w:t xml:space="preserve">自然遗迹□ </w:t>
            </w:r>
            <w:r>
              <w:rPr>
                <w:rFonts w:ascii="宋体" w:hAnsi="宋体" w:cs="宋体"/>
                <w:color w:val="auto"/>
                <w:szCs w:val="21"/>
                <w:lang w:eastAsia="en-US"/>
              </w:rPr>
              <w:t>(      )</w:t>
            </w:r>
            <w:r>
              <w:rPr>
                <w:rFonts w:ascii="宋体" w:hAnsi="宋体" w:cs="宋体"/>
                <w:color w:val="auto"/>
                <w:spacing w:val="1"/>
                <w:szCs w:val="21"/>
                <w:lang w:eastAsia="en-US"/>
              </w:rPr>
              <w:t>其他</w:t>
            </w:r>
            <w:r>
              <w:rPr>
                <w:rFonts w:ascii="宋体" w:hAnsi="宋体" w:cs="宋体"/>
                <w:color w:val="auto"/>
                <w:spacing w:val="1"/>
                <w:szCs w:val="21"/>
                <w:lang w:eastAsia="en-US"/>
              </w:rPr>
              <w:sym w:font="Wingdings 2" w:char="0052"/>
            </w:r>
            <w:r>
              <w:rPr>
                <w:rFonts w:ascii="宋体" w:hAnsi="宋体" w:cs="宋体"/>
                <w:color w:val="auto"/>
                <w:spacing w:val="1"/>
                <w:szCs w:val="21"/>
                <w:lang w:eastAsia="en-US"/>
              </w:rPr>
              <w:t xml:space="preserve"> (  </w:t>
            </w:r>
            <w:r>
              <w:rPr>
                <w:rFonts w:ascii="宋体" w:hAnsi="宋体" w:cs="宋体"/>
                <w:color w:val="auto"/>
                <w:szCs w:val="21"/>
                <w:lang w:eastAsia="en-US"/>
              </w:rPr>
              <w:t xml:space="preserve">        )</w:t>
            </w:r>
          </w:p>
        </w:tc>
      </w:tr>
      <w:tr w14:paraId="38E8E77A">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289" w:type="pct"/>
            <w:gridSpan w:val="2"/>
            <w:vAlign w:val="center"/>
          </w:tcPr>
          <w:p w14:paraId="731D2E2C">
            <w:pPr>
              <w:jc w:val="cente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价等级</w:t>
            </w:r>
          </w:p>
        </w:tc>
        <w:tc>
          <w:tcPr>
            <w:tcW w:w="3710" w:type="pct"/>
            <w:vAlign w:val="center"/>
          </w:tcPr>
          <w:p w14:paraId="35089B49">
            <w:pPr>
              <w:rPr>
                <w:rFonts w:ascii="宋体" w:hAnsi="宋体" w:cs="宋体"/>
                <w:color w:val="auto"/>
                <w:szCs w:val="21"/>
                <w:lang w:eastAsia="zh-CN"/>
              </w:rPr>
            </w:pPr>
            <w:r>
              <w:rPr>
                <w:rFonts w:ascii="宋体" w:hAnsi="宋体" w:cs="宋体"/>
                <w:color w:val="auto"/>
                <w:spacing w:val="-1"/>
                <w:szCs w:val="21"/>
                <w:lang w:eastAsia="zh-CN"/>
              </w:rPr>
              <w:t xml:space="preserve">一级□     </w:t>
            </w:r>
            <w:r>
              <w:rPr>
                <w:rFonts w:ascii="宋体" w:hAnsi="宋体" w:cs="宋体"/>
                <w:color w:val="auto"/>
                <w:szCs w:val="21"/>
                <w:lang w:eastAsia="zh-CN"/>
              </w:rPr>
              <w:t xml:space="preserve">    二级□         三级</w:t>
            </w:r>
            <w:r>
              <w:rPr>
                <w:rFonts w:hint="eastAsia" w:ascii="宋体" w:hAnsi="宋体" w:cs="宋体"/>
                <w:color w:val="auto"/>
                <w:szCs w:val="21"/>
                <w:lang w:eastAsia="zh-CN"/>
              </w:rPr>
              <w:t>☑</w:t>
            </w:r>
            <w:r>
              <w:rPr>
                <w:rFonts w:ascii="宋体" w:hAnsi="宋体" w:cs="宋体"/>
                <w:color w:val="auto"/>
                <w:szCs w:val="21"/>
                <w:lang w:eastAsia="zh-CN"/>
              </w:rPr>
              <w:t xml:space="preserve">         生态影响简单分析</w:t>
            </w:r>
            <w:r>
              <w:rPr>
                <w:rFonts w:ascii="宋体" w:hAnsi="宋体" w:cs="宋体"/>
                <w:color w:val="auto"/>
                <w:szCs w:val="21"/>
                <w:lang w:eastAsia="en-US"/>
              </w:rPr>
              <w:sym w:font="Wingdings 2" w:char="00A3"/>
            </w:r>
          </w:p>
        </w:tc>
      </w:tr>
      <w:tr w14:paraId="357C4180">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289" w:type="pct"/>
            <w:gridSpan w:val="2"/>
            <w:vAlign w:val="center"/>
          </w:tcPr>
          <w:p w14:paraId="4F8A004D">
            <w:pPr>
              <w:jc w:val="cente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价范围</w:t>
            </w:r>
          </w:p>
        </w:tc>
        <w:tc>
          <w:tcPr>
            <w:tcW w:w="3710" w:type="pct"/>
            <w:vAlign w:val="center"/>
          </w:tcPr>
          <w:p w14:paraId="65E74F36">
            <w:pPr>
              <w:rPr>
                <w:rFonts w:ascii="Calibri" w:hAnsi="Calibri"/>
                <w:color w:val="auto"/>
                <w:szCs w:val="21"/>
                <w:lang w:eastAsia="zh-CN"/>
              </w:rPr>
            </w:pPr>
            <w:r>
              <w:rPr>
                <w:rFonts w:ascii="宋体" w:hAnsi="宋体" w:cs="宋体"/>
                <w:color w:val="auto"/>
                <w:spacing w:val="-2"/>
                <w:szCs w:val="21"/>
                <w:lang w:eastAsia="zh-CN"/>
              </w:rPr>
              <w:t>陆域面积：(</w:t>
            </w:r>
            <w:r>
              <w:rPr>
                <w:rFonts w:hint="eastAsia" w:ascii="宋体" w:hAnsi="宋体" w:cs="宋体"/>
                <w:color w:val="auto"/>
                <w:spacing w:val="-2"/>
                <w:szCs w:val="21"/>
                <w:lang w:val="en-US" w:eastAsia="zh-CN"/>
              </w:rPr>
              <w:t>7.823455</w:t>
            </w:r>
            <w:r>
              <w:rPr>
                <w:rFonts w:ascii="宋体" w:hAnsi="宋体" w:cs="宋体"/>
                <w:color w:val="auto"/>
                <w:spacing w:val="-1"/>
                <w:szCs w:val="21"/>
                <w:lang w:eastAsia="zh-CN"/>
              </w:rPr>
              <w:t xml:space="preserve">) </w:t>
            </w:r>
            <w:r>
              <w:rPr>
                <w:rFonts w:ascii="Calibri" w:hAnsi="Calibri" w:eastAsia="Times New Roman"/>
                <w:color w:val="auto"/>
                <w:spacing w:val="-1"/>
                <w:szCs w:val="21"/>
                <w:lang w:eastAsia="zh-CN"/>
              </w:rPr>
              <w:t>km</w:t>
            </w:r>
            <w:r>
              <w:rPr>
                <w:rFonts w:hint="eastAsia" w:ascii="Calibri" w:hAnsi="Calibri"/>
                <w:color w:val="auto"/>
                <w:spacing w:val="-1"/>
                <w:position w:val="7"/>
                <w:szCs w:val="21"/>
                <w:vertAlign w:val="superscript"/>
                <w:lang w:eastAsia="zh-CN"/>
              </w:rPr>
              <w:t>2</w:t>
            </w:r>
            <w:r>
              <w:rPr>
                <w:rFonts w:ascii="宋体" w:hAnsi="宋体" w:cs="宋体"/>
                <w:color w:val="auto"/>
                <w:spacing w:val="-1"/>
                <w:szCs w:val="21"/>
                <w:lang w:eastAsia="zh-CN"/>
              </w:rPr>
              <w:t xml:space="preserve">；水域面积：(     ) </w:t>
            </w:r>
            <w:r>
              <w:rPr>
                <w:rFonts w:ascii="Calibri" w:hAnsi="Calibri" w:eastAsia="Times New Roman"/>
                <w:color w:val="auto"/>
                <w:spacing w:val="-1"/>
                <w:szCs w:val="21"/>
                <w:lang w:eastAsia="zh-CN"/>
              </w:rPr>
              <w:t>km</w:t>
            </w:r>
            <w:r>
              <w:rPr>
                <w:rFonts w:hint="eastAsia" w:ascii="Calibri" w:hAnsi="Calibri"/>
                <w:color w:val="auto"/>
                <w:spacing w:val="-1"/>
                <w:position w:val="7"/>
                <w:szCs w:val="21"/>
                <w:vertAlign w:val="superscript"/>
                <w:lang w:eastAsia="zh-CN"/>
              </w:rPr>
              <w:t>2</w:t>
            </w:r>
          </w:p>
        </w:tc>
      </w:tr>
      <w:tr w14:paraId="2B087C6B">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8" w:type="pct"/>
            <w:vMerge w:val="restart"/>
            <w:tcBorders>
              <w:bottom w:val="nil"/>
            </w:tcBorders>
            <w:vAlign w:val="center"/>
          </w:tcPr>
          <w:p w14:paraId="48CD2FD2">
            <w:pPr>
              <w:jc w:val="center"/>
              <w:rPr>
                <w:rFonts w:ascii="宋体" w:hAnsi="宋体" w:cs="宋体"/>
                <w:color w:val="auto"/>
                <w:szCs w:val="21"/>
                <w:lang w:eastAsia="en-US"/>
              </w:rPr>
            </w:pPr>
            <w:r>
              <w:rPr>
                <w:rFonts w:ascii="宋体" w:hAnsi="宋体" w:cs="宋体"/>
                <w:color w:val="auto"/>
                <w:spacing w:val="-3"/>
                <w:szCs w:val="21"/>
                <w:lang w:eastAsia="en-US"/>
              </w:rPr>
              <w:t>生</w:t>
            </w:r>
            <w:r>
              <w:rPr>
                <w:rFonts w:ascii="宋体" w:hAnsi="宋体" w:cs="宋体"/>
                <w:color w:val="auto"/>
                <w:spacing w:val="-2"/>
                <w:szCs w:val="21"/>
                <w:lang w:eastAsia="en-US"/>
              </w:rPr>
              <w:t>态现状调查与评价</w:t>
            </w:r>
          </w:p>
        </w:tc>
        <w:tc>
          <w:tcPr>
            <w:tcW w:w="751" w:type="pct"/>
            <w:vAlign w:val="center"/>
          </w:tcPr>
          <w:p w14:paraId="3E1E1D66">
            <w:pPr>
              <w:rPr>
                <w:rFonts w:ascii="宋体" w:hAnsi="宋体" w:cs="宋体"/>
                <w:color w:val="auto"/>
                <w:szCs w:val="21"/>
                <w:lang w:eastAsia="en-US"/>
              </w:rPr>
            </w:pPr>
            <w:r>
              <w:rPr>
                <w:rFonts w:ascii="宋体" w:hAnsi="宋体" w:cs="宋体"/>
                <w:color w:val="auto"/>
                <w:spacing w:val="-2"/>
                <w:szCs w:val="21"/>
                <w:lang w:eastAsia="en-US"/>
              </w:rPr>
              <w:t>调查方</w:t>
            </w:r>
            <w:r>
              <w:rPr>
                <w:rFonts w:ascii="宋体" w:hAnsi="宋体" w:cs="宋体"/>
                <w:color w:val="auto"/>
                <w:spacing w:val="-1"/>
                <w:szCs w:val="21"/>
                <w:lang w:eastAsia="en-US"/>
              </w:rPr>
              <w:t>法</w:t>
            </w:r>
          </w:p>
        </w:tc>
        <w:tc>
          <w:tcPr>
            <w:tcW w:w="3710" w:type="pct"/>
            <w:vAlign w:val="center"/>
          </w:tcPr>
          <w:p w14:paraId="3365885A">
            <w:pPr>
              <w:ind w:firstLine="7"/>
              <w:rPr>
                <w:rFonts w:ascii="宋体" w:hAnsi="宋体" w:cs="宋体"/>
                <w:color w:val="auto"/>
                <w:szCs w:val="21"/>
                <w:lang w:eastAsia="zh-CN"/>
              </w:rPr>
            </w:pPr>
            <w:r>
              <w:rPr>
                <w:rFonts w:ascii="宋体" w:hAnsi="宋体" w:cs="宋体"/>
                <w:color w:val="auto"/>
                <w:spacing w:val="2"/>
                <w:szCs w:val="21"/>
                <w:lang w:eastAsia="zh-CN"/>
              </w:rPr>
              <w:t>资料收集</w:t>
            </w:r>
            <w:r>
              <w:rPr>
                <w:rFonts w:ascii="宋体" w:hAnsi="宋体" w:cs="宋体"/>
                <w:color w:val="auto"/>
                <w:spacing w:val="2"/>
                <w:szCs w:val="21"/>
                <w:lang w:eastAsia="en-US"/>
              </w:rPr>
              <w:sym w:font="Wingdings 2" w:char="0052"/>
            </w:r>
            <w:r>
              <w:rPr>
                <w:rFonts w:ascii="宋体" w:hAnsi="宋体" w:cs="宋体"/>
                <w:color w:val="auto"/>
                <w:spacing w:val="2"/>
                <w:szCs w:val="21"/>
                <w:lang w:eastAsia="zh-CN"/>
              </w:rPr>
              <w:t>；遥感调查□；调查样方</w:t>
            </w:r>
            <w:r>
              <w:rPr>
                <w:rFonts w:ascii="宋体" w:hAnsi="宋体" w:cs="宋体"/>
                <w:color w:val="auto"/>
                <w:spacing w:val="1"/>
                <w:szCs w:val="21"/>
                <w:lang w:eastAsia="zh-CN"/>
              </w:rPr>
              <w:t>、样线□；调查点位、断面□；专家和公众咨询</w:t>
            </w:r>
            <w:r>
              <w:rPr>
                <w:rFonts w:ascii="宋体" w:hAnsi="宋体" w:cs="宋体"/>
                <w:color w:val="auto"/>
                <w:spacing w:val="-2"/>
                <w:szCs w:val="21"/>
                <w:lang w:eastAsia="zh-CN"/>
              </w:rPr>
              <w:t>法</w:t>
            </w:r>
            <w:r>
              <w:rPr>
                <w:rFonts w:ascii="宋体" w:hAnsi="宋体" w:cs="宋体"/>
                <w:color w:val="auto"/>
                <w:spacing w:val="-2"/>
                <w:szCs w:val="21"/>
                <w:lang w:eastAsia="en-US"/>
              </w:rPr>
              <w:sym w:font="Wingdings 2" w:char="0052"/>
            </w:r>
            <w:r>
              <w:rPr>
                <w:rFonts w:ascii="宋体" w:hAnsi="宋体" w:cs="宋体"/>
                <w:color w:val="auto"/>
                <w:spacing w:val="-1"/>
                <w:szCs w:val="21"/>
                <w:lang w:eastAsia="zh-CN"/>
              </w:rPr>
              <w:t>；其他</w:t>
            </w:r>
            <w:r>
              <w:rPr>
                <w:rFonts w:ascii="宋体" w:hAnsi="宋体" w:cs="宋体"/>
                <w:color w:val="auto"/>
                <w:spacing w:val="-1"/>
                <w:szCs w:val="21"/>
                <w:lang w:eastAsia="en-US"/>
              </w:rPr>
              <w:sym w:font="Wingdings 2" w:char="0052"/>
            </w:r>
          </w:p>
        </w:tc>
      </w:tr>
      <w:tr w14:paraId="7F57CA2B">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8" w:type="pct"/>
            <w:vMerge w:val="continue"/>
            <w:tcBorders>
              <w:top w:val="nil"/>
              <w:bottom w:val="nil"/>
            </w:tcBorders>
            <w:vAlign w:val="center"/>
          </w:tcPr>
          <w:p w14:paraId="38868195">
            <w:pPr>
              <w:rPr>
                <w:rFonts w:ascii="Arial" w:hAnsi="Calibri"/>
                <w:color w:val="auto"/>
                <w:szCs w:val="21"/>
                <w:lang w:eastAsia="zh-CN"/>
              </w:rPr>
            </w:pPr>
          </w:p>
        </w:tc>
        <w:tc>
          <w:tcPr>
            <w:tcW w:w="751" w:type="pct"/>
            <w:vAlign w:val="center"/>
          </w:tcPr>
          <w:p w14:paraId="564490CF">
            <w:pPr>
              <w:rPr>
                <w:rFonts w:ascii="宋体" w:hAnsi="宋体" w:cs="宋体"/>
                <w:color w:val="auto"/>
                <w:szCs w:val="21"/>
                <w:lang w:eastAsia="en-US"/>
              </w:rPr>
            </w:pPr>
            <w:r>
              <w:rPr>
                <w:rFonts w:ascii="宋体" w:hAnsi="宋体" w:cs="宋体"/>
                <w:color w:val="auto"/>
                <w:spacing w:val="-2"/>
                <w:szCs w:val="21"/>
                <w:lang w:eastAsia="en-US"/>
              </w:rPr>
              <w:t>调查时</w:t>
            </w:r>
            <w:r>
              <w:rPr>
                <w:rFonts w:ascii="宋体" w:hAnsi="宋体" w:cs="宋体"/>
                <w:color w:val="auto"/>
                <w:spacing w:val="-1"/>
                <w:szCs w:val="21"/>
                <w:lang w:eastAsia="en-US"/>
              </w:rPr>
              <w:t>间</w:t>
            </w:r>
          </w:p>
        </w:tc>
        <w:tc>
          <w:tcPr>
            <w:tcW w:w="3710" w:type="pct"/>
            <w:vAlign w:val="center"/>
          </w:tcPr>
          <w:p w14:paraId="7ACC4042">
            <w:pPr>
              <w:rPr>
                <w:rFonts w:hint="eastAsia" w:ascii="宋体" w:hAnsi="宋体" w:eastAsia="宋体" w:cs="宋体"/>
                <w:color w:val="auto"/>
                <w:szCs w:val="21"/>
                <w:lang w:eastAsia="zh-CN"/>
              </w:rPr>
            </w:pPr>
            <w:r>
              <w:rPr>
                <w:rFonts w:ascii="宋体" w:hAnsi="宋体" w:cs="宋体"/>
                <w:color w:val="auto"/>
                <w:spacing w:val="-1"/>
                <w:position w:val="6"/>
                <w:szCs w:val="21"/>
                <w:lang w:eastAsia="en-US"/>
              </w:rPr>
              <w:t>春季</w:t>
            </w:r>
            <w:r>
              <w:rPr>
                <w:rFonts w:ascii="宋体" w:hAnsi="宋体" w:cs="宋体"/>
                <w:color w:val="auto"/>
                <w:spacing w:val="-1"/>
                <w:position w:val="6"/>
                <w:szCs w:val="21"/>
                <w:lang w:eastAsia="en-US"/>
              </w:rPr>
              <w:sym w:font="Wingdings 2" w:char="00A3"/>
            </w:r>
            <w:r>
              <w:rPr>
                <w:rFonts w:ascii="宋体" w:hAnsi="宋体" w:cs="宋体"/>
                <w:color w:val="auto"/>
                <w:spacing w:val="-1"/>
                <w:position w:val="6"/>
                <w:szCs w:val="21"/>
                <w:lang w:eastAsia="en-US"/>
              </w:rPr>
              <w:t>；夏季</w:t>
            </w:r>
            <w:r>
              <w:rPr>
                <w:rFonts w:ascii="宋体" w:hAnsi="宋体" w:cs="宋体"/>
                <w:color w:val="auto"/>
                <w:position w:val="6"/>
                <w:szCs w:val="21"/>
                <w:lang w:eastAsia="en-US"/>
              </w:rPr>
              <w:sym w:font="Wingdings 2" w:char="00A3"/>
            </w:r>
            <w:r>
              <w:rPr>
                <w:rFonts w:ascii="宋体" w:hAnsi="宋体" w:cs="宋体"/>
                <w:color w:val="auto"/>
                <w:position w:val="6"/>
                <w:szCs w:val="21"/>
                <w:lang w:eastAsia="en-US"/>
              </w:rPr>
              <w:t>；秋季□；冬季</w:t>
            </w:r>
            <w:r>
              <w:rPr>
                <w:rFonts w:hint="eastAsia" w:ascii="宋体" w:hAnsi="宋体" w:cs="宋体"/>
                <w:color w:val="auto"/>
                <w:position w:val="6"/>
                <w:szCs w:val="21"/>
                <w:lang w:eastAsia="zh-CN"/>
              </w:rPr>
              <w:t>☑</w:t>
            </w:r>
          </w:p>
          <w:p w14:paraId="13D3CD17">
            <w:pPr>
              <w:rPr>
                <w:rFonts w:ascii="宋体" w:hAnsi="宋体" w:cs="宋体"/>
                <w:color w:val="auto"/>
                <w:szCs w:val="21"/>
                <w:lang w:eastAsia="en-US"/>
              </w:rPr>
            </w:pPr>
            <w:r>
              <w:rPr>
                <w:rFonts w:ascii="宋体" w:hAnsi="宋体" w:cs="宋体"/>
                <w:color w:val="auto"/>
                <w:spacing w:val="-1"/>
                <w:szCs w:val="21"/>
                <w:lang w:eastAsia="en-US"/>
              </w:rPr>
              <w:t>丰水期□；枯水期</w:t>
            </w:r>
            <w:r>
              <w:rPr>
                <w:rFonts w:ascii="宋体" w:hAnsi="宋体" w:cs="宋体"/>
                <w:color w:val="auto"/>
                <w:szCs w:val="21"/>
                <w:lang w:eastAsia="en-US"/>
              </w:rPr>
              <w:t>□；平水期□</w:t>
            </w:r>
          </w:p>
        </w:tc>
      </w:tr>
      <w:tr w14:paraId="7D863528">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8" w:type="pct"/>
            <w:vMerge w:val="continue"/>
            <w:tcBorders>
              <w:top w:val="nil"/>
              <w:bottom w:val="nil"/>
            </w:tcBorders>
            <w:vAlign w:val="center"/>
          </w:tcPr>
          <w:p w14:paraId="7D05C083">
            <w:pPr>
              <w:rPr>
                <w:rFonts w:ascii="Arial" w:hAnsi="Calibri"/>
                <w:color w:val="auto"/>
                <w:szCs w:val="21"/>
                <w:lang w:eastAsia="en-US"/>
              </w:rPr>
            </w:pPr>
          </w:p>
        </w:tc>
        <w:tc>
          <w:tcPr>
            <w:tcW w:w="751" w:type="pct"/>
            <w:vAlign w:val="center"/>
          </w:tcPr>
          <w:p w14:paraId="0A889A05">
            <w:pPr>
              <w:jc w:val="both"/>
              <w:rPr>
                <w:rFonts w:ascii="宋体" w:hAnsi="宋体" w:cs="宋体"/>
                <w:color w:val="auto"/>
                <w:szCs w:val="21"/>
                <w:lang w:eastAsia="en-US"/>
              </w:rPr>
            </w:pPr>
            <w:r>
              <w:rPr>
                <w:rFonts w:ascii="宋体" w:hAnsi="宋体" w:cs="宋体"/>
                <w:color w:val="auto"/>
                <w:spacing w:val="-2"/>
                <w:szCs w:val="21"/>
                <w:lang w:eastAsia="en-US"/>
              </w:rPr>
              <w:t>所在区</w:t>
            </w:r>
            <w:r>
              <w:rPr>
                <w:rFonts w:ascii="宋体" w:hAnsi="宋体" w:cs="宋体"/>
                <w:color w:val="auto"/>
                <w:spacing w:val="-1"/>
                <w:szCs w:val="21"/>
                <w:lang w:eastAsia="en-US"/>
              </w:rPr>
              <w:t>域的</w:t>
            </w:r>
            <w:r>
              <w:rPr>
                <w:rFonts w:ascii="宋体" w:hAnsi="宋体" w:cs="宋体"/>
                <w:color w:val="auto"/>
                <w:spacing w:val="-2"/>
                <w:szCs w:val="21"/>
                <w:lang w:eastAsia="en-US"/>
              </w:rPr>
              <w:t>生态问</w:t>
            </w:r>
            <w:r>
              <w:rPr>
                <w:rFonts w:ascii="宋体" w:hAnsi="宋体" w:cs="宋体"/>
                <w:color w:val="auto"/>
                <w:spacing w:val="-1"/>
                <w:szCs w:val="21"/>
                <w:lang w:eastAsia="en-US"/>
              </w:rPr>
              <w:t>题</w:t>
            </w:r>
          </w:p>
        </w:tc>
        <w:tc>
          <w:tcPr>
            <w:tcW w:w="3710" w:type="pct"/>
            <w:vAlign w:val="center"/>
          </w:tcPr>
          <w:p w14:paraId="681F0CDA">
            <w:pPr>
              <w:rPr>
                <w:rFonts w:ascii="宋体" w:hAnsi="宋体" w:cs="宋体"/>
                <w:color w:val="auto"/>
                <w:szCs w:val="21"/>
                <w:lang w:eastAsia="zh-CN"/>
              </w:rPr>
            </w:pPr>
            <w:r>
              <w:rPr>
                <w:rFonts w:ascii="宋体" w:hAnsi="宋体" w:cs="宋体"/>
                <w:color w:val="auto"/>
                <w:spacing w:val="-1"/>
                <w:szCs w:val="21"/>
                <w:lang w:eastAsia="zh-CN"/>
              </w:rPr>
              <w:t>水土流失</w:t>
            </w:r>
            <w:r>
              <w:rPr>
                <w:rFonts w:ascii="宋体" w:hAnsi="宋体" w:cs="宋体"/>
                <w:color w:val="auto"/>
                <w:spacing w:val="-1"/>
                <w:szCs w:val="21"/>
                <w:lang w:eastAsia="en-US"/>
              </w:rPr>
              <w:sym w:font="Wingdings 2" w:char="0052"/>
            </w:r>
            <w:r>
              <w:rPr>
                <w:rFonts w:ascii="宋体" w:hAnsi="宋体" w:cs="宋体"/>
                <w:color w:val="auto"/>
                <w:spacing w:val="-1"/>
                <w:szCs w:val="21"/>
                <w:lang w:eastAsia="zh-CN"/>
              </w:rPr>
              <w:t>；沙漠</w:t>
            </w:r>
            <w:r>
              <w:rPr>
                <w:rFonts w:ascii="宋体" w:hAnsi="宋体" w:cs="宋体"/>
                <w:color w:val="auto"/>
                <w:szCs w:val="21"/>
                <w:lang w:eastAsia="zh-CN"/>
              </w:rPr>
              <w:t>化□；石漠化□；盐渍化□；生物入侵□；污染危害□；其他</w:t>
            </w:r>
            <w:r>
              <w:rPr>
                <w:rFonts w:ascii="宋体" w:hAnsi="宋体" w:cs="宋体"/>
                <w:color w:val="auto"/>
                <w:szCs w:val="21"/>
                <w:lang w:eastAsia="en-US"/>
              </w:rPr>
              <w:sym w:font="Wingdings 2" w:char="0052"/>
            </w:r>
          </w:p>
        </w:tc>
      </w:tr>
      <w:tr w14:paraId="765B921C">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8" w:type="pct"/>
            <w:vMerge w:val="continue"/>
            <w:tcBorders>
              <w:top w:val="nil"/>
            </w:tcBorders>
            <w:vAlign w:val="center"/>
          </w:tcPr>
          <w:p w14:paraId="6D83911A">
            <w:pPr>
              <w:rPr>
                <w:rFonts w:ascii="Arial" w:hAnsi="Calibri"/>
                <w:color w:val="auto"/>
                <w:szCs w:val="21"/>
                <w:lang w:eastAsia="zh-CN"/>
              </w:rPr>
            </w:pPr>
          </w:p>
        </w:tc>
        <w:tc>
          <w:tcPr>
            <w:tcW w:w="751" w:type="pct"/>
            <w:vAlign w:val="center"/>
          </w:tcPr>
          <w:p w14:paraId="20399F6B">
            <w:pP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价内容</w:t>
            </w:r>
          </w:p>
        </w:tc>
        <w:tc>
          <w:tcPr>
            <w:tcW w:w="3710" w:type="pct"/>
            <w:vAlign w:val="center"/>
          </w:tcPr>
          <w:p w14:paraId="4D5BAC13">
            <w:pPr>
              <w:ind w:hanging="12"/>
              <w:rPr>
                <w:rFonts w:ascii="宋体" w:hAnsi="宋体" w:cs="宋体"/>
                <w:color w:val="auto"/>
                <w:szCs w:val="21"/>
                <w:lang w:eastAsia="zh-CN"/>
              </w:rPr>
            </w:pPr>
            <w:r>
              <w:rPr>
                <w:rFonts w:ascii="宋体" w:hAnsi="宋体" w:cs="宋体"/>
                <w:color w:val="auto"/>
                <w:spacing w:val="1"/>
                <w:szCs w:val="21"/>
                <w:lang w:eastAsia="zh-CN"/>
              </w:rPr>
              <w:t>植被</w:t>
            </w:r>
            <w:r>
              <w:rPr>
                <w:rFonts w:ascii="Calibri" w:hAnsi="Calibri" w:eastAsia="Times New Roman"/>
                <w:color w:val="auto"/>
                <w:spacing w:val="1"/>
                <w:szCs w:val="21"/>
                <w:lang w:eastAsia="zh-CN"/>
              </w:rPr>
              <w:t>/</w:t>
            </w:r>
            <w:r>
              <w:rPr>
                <w:rFonts w:ascii="宋体" w:hAnsi="宋体" w:cs="宋体"/>
                <w:color w:val="auto"/>
                <w:spacing w:val="1"/>
                <w:szCs w:val="21"/>
                <w:lang w:eastAsia="zh-CN"/>
              </w:rPr>
              <w:t>植物群</w:t>
            </w:r>
            <w:r>
              <w:rPr>
                <w:rFonts w:ascii="宋体" w:hAnsi="宋体" w:cs="宋体"/>
                <w:color w:val="auto"/>
                <w:szCs w:val="21"/>
                <w:lang w:eastAsia="zh-CN"/>
              </w:rPr>
              <w:t>落□；土地利用</w:t>
            </w:r>
            <w:r>
              <w:rPr>
                <w:rFonts w:ascii="宋体" w:hAnsi="宋体" w:cs="宋体"/>
                <w:color w:val="auto"/>
                <w:szCs w:val="21"/>
                <w:lang w:eastAsia="en-US"/>
              </w:rPr>
              <w:sym w:font="Wingdings 2" w:char="0052"/>
            </w:r>
            <w:r>
              <w:rPr>
                <w:rFonts w:ascii="宋体" w:hAnsi="宋体" w:cs="宋体"/>
                <w:color w:val="auto"/>
                <w:szCs w:val="21"/>
                <w:lang w:eastAsia="zh-CN"/>
              </w:rPr>
              <w:t>；生态系统□；生物多样性</w:t>
            </w:r>
            <w:r>
              <w:rPr>
                <w:rFonts w:ascii="宋体" w:hAnsi="宋体" w:cs="宋体"/>
                <w:color w:val="auto"/>
                <w:szCs w:val="21"/>
                <w:lang w:eastAsia="en-US"/>
              </w:rPr>
              <w:sym w:font="Wingdings 2" w:char="0052"/>
            </w:r>
            <w:r>
              <w:rPr>
                <w:rFonts w:ascii="宋体" w:hAnsi="宋体" w:cs="宋体"/>
                <w:color w:val="auto"/>
                <w:szCs w:val="21"/>
                <w:lang w:eastAsia="zh-CN"/>
              </w:rPr>
              <w:t>；重要物种□；生态敏感</w:t>
            </w:r>
            <w:r>
              <w:rPr>
                <w:rFonts w:ascii="宋体" w:hAnsi="宋体" w:cs="宋体"/>
                <w:color w:val="auto"/>
                <w:spacing w:val="-5"/>
                <w:szCs w:val="21"/>
                <w:lang w:eastAsia="zh-CN"/>
              </w:rPr>
              <w:t>区</w:t>
            </w:r>
            <w:r>
              <w:rPr>
                <w:rFonts w:ascii="宋体" w:hAnsi="宋体" w:cs="宋体"/>
                <w:color w:val="auto"/>
                <w:spacing w:val="-3"/>
                <w:szCs w:val="21"/>
                <w:lang w:eastAsia="zh-CN"/>
              </w:rPr>
              <w:t>□；其他</w:t>
            </w:r>
            <w:r>
              <w:rPr>
                <w:rFonts w:ascii="宋体" w:hAnsi="宋体" w:cs="宋体"/>
                <w:color w:val="auto"/>
                <w:spacing w:val="-3"/>
                <w:szCs w:val="21"/>
                <w:lang w:eastAsia="en-US"/>
              </w:rPr>
              <w:sym w:font="Wingdings 2" w:char="0052"/>
            </w:r>
          </w:p>
        </w:tc>
      </w:tr>
      <w:tr w14:paraId="70C390C8">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8" w:type="pct"/>
            <w:vMerge w:val="restart"/>
            <w:tcBorders>
              <w:bottom w:val="nil"/>
            </w:tcBorders>
            <w:vAlign w:val="center"/>
          </w:tcPr>
          <w:p w14:paraId="4F77F8E7">
            <w:pPr>
              <w:jc w:val="center"/>
              <w:rPr>
                <w:rFonts w:ascii="宋体" w:hAnsi="宋体" w:cs="宋体"/>
                <w:color w:val="auto"/>
                <w:szCs w:val="21"/>
                <w:lang w:eastAsia="en-US"/>
              </w:rPr>
            </w:pPr>
            <w:r>
              <w:rPr>
                <w:rFonts w:ascii="宋体" w:hAnsi="宋体" w:cs="宋体"/>
                <w:color w:val="auto"/>
                <w:spacing w:val="-2"/>
                <w:szCs w:val="21"/>
                <w:lang w:eastAsia="en-US"/>
              </w:rPr>
              <w:t>生态影</w:t>
            </w:r>
            <w:r>
              <w:rPr>
                <w:rFonts w:ascii="宋体" w:hAnsi="宋体" w:cs="宋体"/>
                <w:color w:val="auto"/>
                <w:spacing w:val="-1"/>
                <w:szCs w:val="21"/>
                <w:lang w:eastAsia="en-US"/>
              </w:rPr>
              <w:t>响</w:t>
            </w:r>
            <w:r>
              <w:rPr>
                <w:rFonts w:ascii="宋体" w:hAnsi="宋体" w:cs="宋体"/>
                <w:color w:val="auto"/>
                <w:spacing w:val="-2"/>
                <w:szCs w:val="21"/>
                <w:lang w:eastAsia="en-US"/>
              </w:rPr>
              <w:t>预测与评价</w:t>
            </w:r>
          </w:p>
        </w:tc>
        <w:tc>
          <w:tcPr>
            <w:tcW w:w="751" w:type="pct"/>
            <w:vAlign w:val="center"/>
          </w:tcPr>
          <w:p w14:paraId="59E00FD2">
            <w:pP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价方法</w:t>
            </w:r>
          </w:p>
        </w:tc>
        <w:tc>
          <w:tcPr>
            <w:tcW w:w="3710" w:type="pct"/>
            <w:vAlign w:val="center"/>
          </w:tcPr>
          <w:p w14:paraId="51282115">
            <w:pPr>
              <w:rPr>
                <w:rFonts w:ascii="宋体" w:hAnsi="宋体" w:cs="宋体"/>
                <w:color w:val="auto"/>
                <w:szCs w:val="21"/>
                <w:lang w:eastAsia="en-US"/>
              </w:rPr>
            </w:pPr>
            <w:r>
              <w:rPr>
                <w:rFonts w:ascii="宋体" w:hAnsi="宋体" w:cs="宋体"/>
                <w:color w:val="auto"/>
                <w:spacing w:val="-2"/>
                <w:szCs w:val="21"/>
                <w:lang w:eastAsia="en-US"/>
              </w:rPr>
              <w:t>定</w:t>
            </w:r>
            <w:r>
              <w:rPr>
                <w:rFonts w:ascii="宋体" w:hAnsi="宋体" w:cs="宋体"/>
                <w:color w:val="auto"/>
                <w:spacing w:val="-1"/>
                <w:szCs w:val="21"/>
                <w:lang w:eastAsia="en-US"/>
              </w:rPr>
              <w:t>性□；定性和定量</w:t>
            </w:r>
            <w:r>
              <w:rPr>
                <w:rFonts w:ascii="宋体" w:hAnsi="宋体" w:cs="宋体"/>
                <w:color w:val="auto"/>
                <w:spacing w:val="-1"/>
                <w:szCs w:val="21"/>
                <w:lang w:eastAsia="en-US"/>
              </w:rPr>
              <w:sym w:font="Wingdings 2" w:char="0052"/>
            </w:r>
          </w:p>
        </w:tc>
      </w:tr>
      <w:tr w14:paraId="674C299E">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8" w:type="pct"/>
            <w:vMerge w:val="continue"/>
            <w:tcBorders>
              <w:top w:val="nil"/>
            </w:tcBorders>
            <w:vAlign w:val="center"/>
          </w:tcPr>
          <w:p w14:paraId="6A929D2F">
            <w:pPr>
              <w:rPr>
                <w:rFonts w:ascii="Arial" w:hAnsi="Calibri"/>
                <w:color w:val="auto"/>
                <w:szCs w:val="21"/>
                <w:lang w:eastAsia="en-US"/>
              </w:rPr>
            </w:pPr>
          </w:p>
        </w:tc>
        <w:tc>
          <w:tcPr>
            <w:tcW w:w="751" w:type="pct"/>
            <w:vAlign w:val="center"/>
          </w:tcPr>
          <w:p w14:paraId="6A0E108F">
            <w:pP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价内容</w:t>
            </w:r>
          </w:p>
        </w:tc>
        <w:tc>
          <w:tcPr>
            <w:tcW w:w="3710" w:type="pct"/>
            <w:vAlign w:val="center"/>
          </w:tcPr>
          <w:p w14:paraId="4CBAB4B9">
            <w:pPr>
              <w:ind w:hanging="12"/>
              <w:rPr>
                <w:rFonts w:ascii="宋体" w:hAnsi="宋体" w:cs="宋体"/>
                <w:color w:val="auto"/>
                <w:szCs w:val="21"/>
                <w:lang w:eastAsia="zh-CN"/>
              </w:rPr>
            </w:pPr>
            <w:r>
              <w:rPr>
                <w:rFonts w:ascii="宋体" w:hAnsi="宋体" w:cs="宋体"/>
                <w:color w:val="auto"/>
                <w:spacing w:val="-1"/>
                <w:szCs w:val="21"/>
                <w:lang w:eastAsia="zh-CN"/>
              </w:rPr>
              <w:t>植被</w:t>
            </w:r>
            <w:r>
              <w:rPr>
                <w:rFonts w:ascii="Calibri" w:hAnsi="Calibri" w:eastAsia="Times New Roman"/>
                <w:color w:val="auto"/>
                <w:spacing w:val="-1"/>
                <w:szCs w:val="21"/>
                <w:lang w:eastAsia="zh-CN"/>
              </w:rPr>
              <w:t>/</w:t>
            </w:r>
            <w:r>
              <w:rPr>
                <w:rFonts w:ascii="宋体" w:hAnsi="宋体" w:cs="宋体"/>
                <w:color w:val="auto"/>
                <w:spacing w:val="-1"/>
                <w:szCs w:val="21"/>
                <w:lang w:eastAsia="zh-CN"/>
              </w:rPr>
              <w:t>植物群落□；土地利用□；</w:t>
            </w:r>
            <w:r>
              <w:rPr>
                <w:rFonts w:ascii="宋体" w:hAnsi="宋体" w:cs="宋体"/>
                <w:color w:val="auto"/>
                <w:szCs w:val="21"/>
                <w:lang w:eastAsia="zh-CN"/>
              </w:rPr>
              <w:t xml:space="preserve">生态系统□；生物多样性□；重要物种□；生态敏感 </w:t>
            </w:r>
            <w:r>
              <w:rPr>
                <w:rFonts w:ascii="宋体" w:hAnsi="宋体" w:cs="宋体"/>
                <w:color w:val="auto"/>
                <w:spacing w:val="-12"/>
                <w:szCs w:val="21"/>
                <w:lang w:eastAsia="zh-CN"/>
              </w:rPr>
              <w:t>区</w:t>
            </w:r>
            <w:r>
              <w:rPr>
                <w:rFonts w:ascii="宋体" w:hAnsi="宋体" w:cs="宋体"/>
                <w:color w:val="auto"/>
                <w:spacing w:val="-7"/>
                <w:szCs w:val="21"/>
                <w:lang w:eastAsia="zh-CN"/>
              </w:rPr>
              <w:t>□；生物入侵风险□； 其他</w:t>
            </w:r>
            <w:r>
              <w:rPr>
                <w:rFonts w:ascii="宋体" w:hAnsi="宋体" w:cs="宋体"/>
                <w:color w:val="auto"/>
                <w:spacing w:val="-7"/>
                <w:szCs w:val="21"/>
                <w:lang w:eastAsia="en-US"/>
              </w:rPr>
              <w:sym w:font="Wingdings 2" w:char="0052"/>
            </w:r>
          </w:p>
        </w:tc>
      </w:tr>
      <w:tr w14:paraId="4704551C">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8" w:type="pct"/>
            <w:vMerge w:val="restart"/>
            <w:tcBorders>
              <w:bottom w:val="nil"/>
            </w:tcBorders>
            <w:vAlign w:val="center"/>
          </w:tcPr>
          <w:p w14:paraId="54C85CCF">
            <w:pPr>
              <w:ind w:firstLine="2"/>
              <w:jc w:val="center"/>
              <w:rPr>
                <w:rFonts w:ascii="宋体" w:hAnsi="宋体" w:cs="宋体"/>
                <w:color w:val="auto"/>
                <w:szCs w:val="21"/>
                <w:lang w:eastAsia="en-US"/>
              </w:rPr>
            </w:pPr>
            <w:r>
              <w:rPr>
                <w:rFonts w:ascii="宋体" w:hAnsi="宋体" w:cs="宋体"/>
                <w:color w:val="auto"/>
                <w:spacing w:val="-3"/>
                <w:szCs w:val="21"/>
                <w:lang w:eastAsia="en-US"/>
              </w:rPr>
              <w:t>生</w:t>
            </w:r>
            <w:r>
              <w:rPr>
                <w:rFonts w:ascii="宋体" w:hAnsi="宋体" w:cs="宋体"/>
                <w:color w:val="auto"/>
                <w:spacing w:val="-2"/>
                <w:szCs w:val="21"/>
                <w:lang w:eastAsia="en-US"/>
              </w:rPr>
              <w:t>态保护对策措</w:t>
            </w:r>
            <w:r>
              <w:rPr>
                <w:rFonts w:ascii="宋体" w:hAnsi="宋体" w:cs="宋体"/>
                <w:color w:val="auto"/>
                <w:spacing w:val="-1"/>
                <w:szCs w:val="21"/>
                <w:lang w:eastAsia="en-US"/>
              </w:rPr>
              <w:t>施</w:t>
            </w:r>
          </w:p>
        </w:tc>
        <w:tc>
          <w:tcPr>
            <w:tcW w:w="751" w:type="pct"/>
            <w:vAlign w:val="center"/>
          </w:tcPr>
          <w:p w14:paraId="15BD9F2B">
            <w:pPr>
              <w:rPr>
                <w:rFonts w:ascii="宋体" w:hAnsi="宋体" w:cs="宋体"/>
                <w:color w:val="auto"/>
                <w:szCs w:val="21"/>
                <w:lang w:eastAsia="en-US"/>
              </w:rPr>
            </w:pPr>
            <w:r>
              <w:rPr>
                <w:rFonts w:ascii="宋体" w:hAnsi="宋体" w:cs="宋体"/>
                <w:color w:val="auto"/>
                <w:spacing w:val="-2"/>
                <w:szCs w:val="21"/>
                <w:lang w:eastAsia="en-US"/>
              </w:rPr>
              <w:t>对</w:t>
            </w:r>
            <w:r>
              <w:rPr>
                <w:rFonts w:ascii="宋体" w:hAnsi="宋体" w:cs="宋体"/>
                <w:color w:val="auto"/>
                <w:spacing w:val="-1"/>
                <w:szCs w:val="21"/>
                <w:lang w:eastAsia="en-US"/>
              </w:rPr>
              <w:t>策措施</w:t>
            </w:r>
          </w:p>
        </w:tc>
        <w:tc>
          <w:tcPr>
            <w:tcW w:w="3710" w:type="pct"/>
            <w:vAlign w:val="center"/>
          </w:tcPr>
          <w:p w14:paraId="6F3175C1">
            <w:pPr>
              <w:rPr>
                <w:rFonts w:ascii="宋体" w:hAnsi="宋体" w:cs="宋体"/>
                <w:color w:val="auto"/>
                <w:szCs w:val="21"/>
                <w:lang w:eastAsia="zh-CN"/>
              </w:rPr>
            </w:pPr>
            <w:r>
              <w:rPr>
                <w:rFonts w:ascii="宋体" w:hAnsi="宋体" w:cs="宋体"/>
                <w:color w:val="auto"/>
                <w:spacing w:val="-1"/>
                <w:szCs w:val="21"/>
                <w:lang w:eastAsia="zh-CN"/>
              </w:rPr>
              <w:t>避让□；减</w:t>
            </w:r>
            <w:r>
              <w:rPr>
                <w:rFonts w:ascii="宋体" w:hAnsi="宋体" w:cs="宋体"/>
                <w:color w:val="auto"/>
                <w:szCs w:val="21"/>
                <w:lang w:eastAsia="zh-CN"/>
              </w:rPr>
              <w:t>缓</w:t>
            </w:r>
            <w:r>
              <w:rPr>
                <w:rFonts w:ascii="宋体" w:hAnsi="宋体" w:cs="宋体"/>
                <w:color w:val="auto"/>
                <w:szCs w:val="21"/>
                <w:lang w:eastAsia="en-US"/>
              </w:rPr>
              <w:sym w:font="Wingdings 2" w:char="0052"/>
            </w:r>
            <w:r>
              <w:rPr>
                <w:rFonts w:ascii="宋体" w:hAnsi="宋体" w:cs="宋体"/>
                <w:color w:val="auto"/>
                <w:szCs w:val="21"/>
                <w:lang w:eastAsia="zh-CN"/>
              </w:rPr>
              <w:t>；生态修复□；生态补偿□；科研□；其他</w:t>
            </w:r>
            <w:r>
              <w:rPr>
                <w:rFonts w:ascii="宋体" w:hAnsi="宋体" w:cs="宋体"/>
                <w:color w:val="auto"/>
                <w:szCs w:val="21"/>
                <w:lang w:eastAsia="en-US"/>
              </w:rPr>
              <w:sym w:font="Wingdings 2" w:char="0052"/>
            </w:r>
          </w:p>
        </w:tc>
      </w:tr>
      <w:tr w14:paraId="7D8F4A1B">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8" w:type="pct"/>
            <w:vMerge w:val="continue"/>
            <w:tcBorders>
              <w:top w:val="nil"/>
              <w:bottom w:val="nil"/>
            </w:tcBorders>
            <w:vAlign w:val="center"/>
          </w:tcPr>
          <w:p w14:paraId="536E78A7">
            <w:pPr>
              <w:rPr>
                <w:rFonts w:ascii="Arial" w:hAnsi="Calibri"/>
                <w:color w:val="auto"/>
                <w:szCs w:val="21"/>
                <w:lang w:eastAsia="zh-CN"/>
              </w:rPr>
            </w:pPr>
          </w:p>
        </w:tc>
        <w:tc>
          <w:tcPr>
            <w:tcW w:w="751" w:type="pct"/>
            <w:vAlign w:val="center"/>
          </w:tcPr>
          <w:p w14:paraId="513C2828">
            <w:pPr>
              <w:rPr>
                <w:rFonts w:ascii="宋体" w:hAnsi="宋体" w:cs="宋体"/>
                <w:color w:val="auto"/>
                <w:szCs w:val="21"/>
                <w:lang w:eastAsia="en-US"/>
              </w:rPr>
            </w:pPr>
            <w:r>
              <w:rPr>
                <w:rFonts w:ascii="宋体" w:hAnsi="宋体" w:cs="宋体"/>
                <w:color w:val="auto"/>
                <w:spacing w:val="-2"/>
                <w:szCs w:val="21"/>
                <w:lang w:eastAsia="en-US"/>
              </w:rPr>
              <w:t>生态</w:t>
            </w:r>
            <w:r>
              <w:rPr>
                <w:rFonts w:ascii="宋体" w:hAnsi="宋体" w:cs="宋体"/>
                <w:color w:val="auto"/>
                <w:spacing w:val="-1"/>
                <w:szCs w:val="21"/>
                <w:lang w:eastAsia="en-US"/>
              </w:rPr>
              <w:t>监测计划</w:t>
            </w:r>
          </w:p>
        </w:tc>
        <w:tc>
          <w:tcPr>
            <w:tcW w:w="3710" w:type="pct"/>
            <w:vAlign w:val="center"/>
          </w:tcPr>
          <w:p w14:paraId="0394D53C">
            <w:pPr>
              <w:rPr>
                <w:rFonts w:ascii="宋体" w:hAnsi="宋体" w:cs="宋体"/>
                <w:color w:val="auto"/>
                <w:szCs w:val="21"/>
                <w:lang w:eastAsia="zh-CN"/>
              </w:rPr>
            </w:pPr>
            <w:r>
              <w:rPr>
                <w:rFonts w:ascii="宋体" w:hAnsi="宋体" w:cs="宋体"/>
                <w:color w:val="auto"/>
                <w:spacing w:val="-1"/>
                <w:szCs w:val="21"/>
                <w:lang w:eastAsia="zh-CN"/>
              </w:rPr>
              <w:t>全生命周期□；</w:t>
            </w:r>
            <w:r>
              <w:rPr>
                <w:rFonts w:ascii="宋体" w:hAnsi="宋体" w:cs="宋体"/>
                <w:color w:val="auto"/>
                <w:szCs w:val="21"/>
                <w:lang w:eastAsia="zh-CN"/>
              </w:rPr>
              <w:t>长期跟踪□；常规□；无</w:t>
            </w:r>
            <w:r>
              <w:rPr>
                <w:rFonts w:ascii="宋体" w:hAnsi="宋体" w:cs="宋体"/>
                <w:color w:val="auto"/>
                <w:szCs w:val="21"/>
                <w:lang w:eastAsia="en-US"/>
              </w:rPr>
              <w:sym w:font="Wingdings 2" w:char="0052"/>
            </w:r>
          </w:p>
        </w:tc>
      </w:tr>
      <w:tr w14:paraId="05268F1D">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8" w:type="pct"/>
            <w:vMerge w:val="continue"/>
            <w:tcBorders>
              <w:top w:val="nil"/>
            </w:tcBorders>
            <w:vAlign w:val="center"/>
          </w:tcPr>
          <w:p w14:paraId="6B43775D">
            <w:pPr>
              <w:rPr>
                <w:rFonts w:ascii="Arial" w:hAnsi="Calibri"/>
                <w:color w:val="auto"/>
                <w:szCs w:val="21"/>
                <w:lang w:eastAsia="zh-CN"/>
              </w:rPr>
            </w:pPr>
          </w:p>
        </w:tc>
        <w:tc>
          <w:tcPr>
            <w:tcW w:w="751" w:type="pct"/>
            <w:vAlign w:val="center"/>
          </w:tcPr>
          <w:p w14:paraId="623655CD">
            <w:pPr>
              <w:rPr>
                <w:rFonts w:ascii="宋体" w:hAnsi="宋体" w:cs="宋体"/>
                <w:color w:val="auto"/>
                <w:szCs w:val="21"/>
                <w:lang w:eastAsia="en-US"/>
              </w:rPr>
            </w:pPr>
            <w:r>
              <w:rPr>
                <w:rFonts w:ascii="宋体" w:hAnsi="宋体" w:cs="宋体"/>
                <w:color w:val="auto"/>
                <w:spacing w:val="-2"/>
                <w:szCs w:val="21"/>
                <w:lang w:eastAsia="en-US"/>
              </w:rPr>
              <w:t>环境</w:t>
            </w:r>
            <w:r>
              <w:rPr>
                <w:rFonts w:ascii="宋体" w:hAnsi="宋体" w:cs="宋体"/>
                <w:color w:val="auto"/>
                <w:spacing w:val="-1"/>
                <w:szCs w:val="21"/>
                <w:lang w:eastAsia="en-US"/>
              </w:rPr>
              <w:t>管理</w:t>
            </w:r>
          </w:p>
        </w:tc>
        <w:tc>
          <w:tcPr>
            <w:tcW w:w="3710" w:type="pct"/>
            <w:vAlign w:val="center"/>
          </w:tcPr>
          <w:p w14:paraId="3CDE133E">
            <w:pPr>
              <w:rPr>
                <w:rFonts w:ascii="宋体" w:hAnsi="宋体" w:cs="宋体"/>
                <w:color w:val="auto"/>
                <w:szCs w:val="21"/>
                <w:lang w:eastAsia="zh-CN"/>
              </w:rPr>
            </w:pPr>
            <w:r>
              <w:rPr>
                <w:rFonts w:ascii="宋体" w:hAnsi="宋体" w:cs="宋体"/>
                <w:color w:val="auto"/>
                <w:spacing w:val="-1"/>
                <w:szCs w:val="21"/>
                <w:lang w:eastAsia="zh-CN"/>
              </w:rPr>
              <w:t>环境监理□；环</w:t>
            </w:r>
            <w:r>
              <w:rPr>
                <w:rFonts w:ascii="宋体" w:hAnsi="宋体" w:cs="宋体"/>
                <w:color w:val="auto"/>
                <w:szCs w:val="21"/>
                <w:lang w:eastAsia="zh-CN"/>
              </w:rPr>
              <w:t>境影响后评价□；其他</w:t>
            </w:r>
            <w:r>
              <w:rPr>
                <w:rFonts w:hint="eastAsia" w:ascii="宋体" w:hAnsi="宋体" w:cs="宋体"/>
                <w:color w:val="auto"/>
                <w:szCs w:val="21"/>
                <w:lang w:eastAsia="zh-CN"/>
              </w:rPr>
              <w:t>☑</w:t>
            </w:r>
          </w:p>
        </w:tc>
      </w:tr>
      <w:tr w14:paraId="7D9CDC22">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38" w:type="pct"/>
            <w:vAlign w:val="center"/>
          </w:tcPr>
          <w:p w14:paraId="6CDE20D3">
            <w:pPr>
              <w:rPr>
                <w:rFonts w:ascii="宋体" w:hAnsi="宋体" w:cs="宋体"/>
                <w:color w:val="auto"/>
                <w:szCs w:val="21"/>
                <w:lang w:eastAsia="en-US"/>
              </w:rPr>
            </w:pPr>
            <w:r>
              <w:rPr>
                <w:rFonts w:ascii="宋体" w:hAnsi="宋体" w:cs="宋体"/>
                <w:color w:val="auto"/>
                <w:spacing w:val="-2"/>
                <w:szCs w:val="21"/>
                <w:lang w:eastAsia="en-US"/>
              </w:rPr>
              <w:t>评</w:t>
            </w:r>
            <w:r>
              <w:rPr>
                <w:rFonts w:ascii="宋体" w:hAnsi="宋体" w:cs="宋体"/>
                <w:color w:val="auto"/>
                <w:spacing w:val="-1"/>
                <w:szCs w:val="21"/>
                <w:lang w:eastAsia="en-US"/>
              </w:rPr>
              <w:t>价结论</w:t>
            </w:r>
          </w:p>
        </w:tc>
        <w:tc>
          <w:tcPr>
            <w:tcW w:w="751" w:type="pct"/>
            <w:vAlign w:val="center"/>
          </w:tcPr>
          <w:p w14:paraId="028FFEDA">
            <w:pPr>
              <w:rPr>
                <w:rFonts w:ascii="宋体" w:hAnsi="宋体" w:cs="宋体"/>
                <w:color w:val="auto"/>
                <w:szCs w:val="21"/>
                <w:lang w:eastAsia="en-US"/>
              </w:rPr>
            </w:pPr>
            <w:r>
              <w:rPr>
                <w:rFonts w:ascii="宋体" w:hAnsi="宋体" w:cs="宋体"/>
                <w:color w:val="auto"/>
                <w:spacing w:val="-3"/>
                <w:szCs w:val="21"/>
                <w:lang w:eastAsia="en-US"/>
              </w:rPr>
              <w:t>生</w:t>
            </w:r>
            <w:r>
              <w:rPr>
                <w:rFonts w:ascii="宋体" w:hAnsi="宋体" w:cs="宋体"/>
                <w:color w:val="auto"/>
                <w:spacing w:val="-2"/>
                <w:szCs w:val="21"/>
                <w:lang w:eastAsia="en-US"/>
              </w:rPr>
              <w:t>态影响</w:t>
            </w:r>
          </w:p>
        </w:tc>
        <w:tc>
          <w:tcPr>
            <w:tcW w:w="3710" w:type="pct"/>
            <w:vAlign w:val="center"/>
          </w:tcPr>
          <w:p w14:paraId="304920EC">
            <w:pPr>
              <w:rPr>
                <w:rFonts w:ascii="宋体" w:hAnsi="宋体" w:cs="宋体"/>
                <w:color w:val="auto"/>
                <w:szCs w:val="21"/>
                <w:lang w:eastAsia="en-US"/>
              </w:rPr>
            </w:pPr>
            <w:r>
              <w:rPr>
                <w:rFonts w:ascii="宋体" w:hAnsi="宋体" w:cs="宋体"/>
                <w:color w:val="auto"/>
                <w:spacing w:val="-1"/>
                <w:szCs w:val="21"/>
                <w:lang w:eastAsia="en-US"/>
              </w:rPr>
              <w:t>可行</w:t>
            </w:r>
            <w:r>
              <w:rPr>
                <w:rFonts w:ascii="宋体" w:hAnsi="宋体" w:cs="宋体"/>
                <w:color w:val="auto"/>
                <w:spacing w:val="-1"/>
                <w:szCs w:val="21"/>
                <w:lang w:eastAsia="en-US"/>
              </w:rPr>
              <w:sym w:font="Wingdings 2" w:char="0052"/>
            </w:r>
            <w:r>
              <w:rPr>
                <w:rFonts w:ascii="宋体" w:hAnsi="宋体" w:cs="宋体"/>
                <w:color w:val="auto"/>
                <w:spacing w:val="-1"/>
                <w:szCs w:val="21"/>
                <w:lang w:eastAsia="en-US"/>
              </w:rPr>
              <w:t>；不可行□</w:t>
            </w:r>
          </w:p>
        </w:tc>
      </w:tr>
      <w:tr w14:paraId="6AB28898">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00" w:type="pct"/>
            <w:gridSpan w:val="3"/>
            <w:vAlign w:val="center"/>
          </w:tcPr>
          <w:p w14:paraId="0DD8BF4D">
            <w:pPr>
              <w:rPr>
                <w:rFonts w:ascii="宋体" w:hAnsi="宋体" w:cs="宋体"/>
                <w:color w:val="auto"/>
                <w:szCs w:val="21"/>
                <w:lang w:eastAsia="zh-CN"/>
              </w:rPr>
            </w:pPr>
            <w:r>
              <w:rPr>
                <w:rFonts w:ascii="宋体" w:hAnsi="宋体" w:cs="宋体"/>
                <w:color w:val="auto"/>
                <w:spacing w:val="-24"/>
                <w:szCs w:val="21"/>
                <w:lang w:eastAsia="zh-CN"/>
              </w:rPr>
              <w:t>注</w:t>
            </w:r>
            <w:r>
              <w:rPr>
                <w:rFonts w:ascii="宋体" w:hAnsi="宋体" w:cs="宋体"/>
                <w:color w:val="auto"/>
                <w:spacing w:val="-21"/>
                <w:szCs w:val="21"/>
                <w:lang w:eastAsia="zh-CN"/>
              </w:rPr>
              <w:t>：</w:t>
            </w:r>
            <w:r>
              <w:rPr>
                <w:rFonts w:ascii="宋体" w:hAnsi="宋体" w:cs="宋体"/>
                <w:color w:val="auto"/>
                <w:spacing w:val="-12"/>
                <w:szCs w:val="21"/>
                <w:lang w:eastAsia="zh-CN"/>
              </w:rPr>
              <w:t xml:space="preserve">   “□” 为勾选项 ，可 √ ；“(   )”  为内容填写项。</w:t>
            </w:r>
          </w:p>
        </w:tc>
      </w:tr>
    </w:tbl>
    <w:p w14:paraId="40BDE3AC">
      <w:pPr>
        <w:pStyle w:val="4"/>
        <w:snapToGrid w:val="0"/>
        <w:spacing w:before="0"/>
        <w:rPr>
          <w:rFonts w:ascii="Times New Roman" w:hAnsi="Times New Roman" w:eastAsia="宋体"/>
          <w:bCs/>
          <w:color w:val="auto"/>
          <w:sz w:val="28"/>
          <w:szCs w:val="28"/>
        </w:rPr>
      </w:pPr>
      <w:bookmarkStart w:id="340" w:name="_Toc29153"/>
      <w:r>
        <w:rPr>
          <w:rFonts w:hint="eastAsia" w:ascii="Times New Roman" w:hAnsi="Times New Roman" w:eastAsia="宋体"/>
          <w:bCs/>
          <w:color w:val="auto"/>
          <w:sz w:val="28"/>
          <w:szCs w:val="28"/>
          <w:lang w:val="en-US" w:eastAsia="zh-CN"/>
        </w:rPr>
        <w:t>5.2.8</w:t>
      </w:r>
      <w:r>
        <w:rPr>
          <w:rFonts w:ascii="Times New Roman" w:hAnsi="Times New Roman" w:eastAsia="宋体"/>
          <w:bCs/>
          <w:color w:val="auto"/>
          <w:sz w:val="28"/>
          <w:szCs w:val="28"/>
          <w:lang w:val="en-US" w:eastAsia="zh-CN"/>
        </w:rPr>
        <w:t>运输过程影响分析</w:t>
      </w:r>
      <w:bookmarkEnd w:id="340"/>
    </w:p>
    <w:p w14:paraId="50EA59B6">
      <w:pPr>
        <w:autoSpaceDE w:val="0"/>
        <w:autoSpaceDN w:val="0"/>
        <w:spacing w:line="360" w:lineRule="auto"/>
        <w:ind w:firstLine="480" w:firstLineChars="200"/>
        <w:rPr>
          <w:color w:val="auto"/>
          <w:sz w:val="24"/>
        </w:rPr>
      </w:pPr>
      <w:r>
        <w:rPr>
          <w:color w:val="auto"/>
          <w:sz w:val="24"/>
        </w:rPr>
        <w:t>本项目</w:t>
      </w:r>
      <w:r>
        <w:rPr>
          <w:rFonts w:hint="eastAsia"/>
          <w:color w:val="auto"/>
          <w:sz w:val="24"/>
        </w:rPr>
        <w:t>鸡</w:t>
      </w:r>
      <w:r>
        <w:rPr>
          <w:color w:val="auto"/>
          <w:sz w:val="24"/>
        </w:rPr>
        <w:t>只在运输过程中叫声，</w:t>
      </w:r>
      <w:r>
        <w:rPr>
          <w:rFonts w:hint="eastAsia"/>
          <w:color w:val="auto"/>
          <w:sz w:val="24"/>
        </w:rPr>
        <w:t>粪便</w:t>
      </w:r>
      <w:r>
        <w:rPr>
          <w:rFonts w:hint="eastAsia"/>
          <w:color w:val="auto"/>
          <w:sz w:val="24"/>
          <w:lang w:eastAsia="zh-CN"/>
        </w:rPr>
        <w:t>运输过程的</w:t>
      </w:r>
      <w:r>
        <w:rPr>
          <w:color w:val="auto"/>
          <w:sz w:val="24"/>
        </w:rPr>
        <w:t>恶臭将会对运输路线周边环境造成一定的影响，本环评要求在运输过程中应做到以下几点：</w:t>
      </w:r>
    </w:p>
    <w:p w14:paraId="1CA55451">
      <w:pPr>
        <w:autoSpaceDE w:val="0"/>
        <w:autoSpaceDN w:val="0"/>
        <w:spacing w:line="360" w:lineRule="auto"/>
        <w:ind w:firstLine="480" w:firstLineChars="200"/>
        <w:rPr>
          <w:color w:val="auto"/>
          <w:sz w:val="24"/>
        </w:rPr>
      </w:pPr>
      <w:r>
        <w:rPr>
          <w:rFonts w:hint="eastAsia"/>
          <w:color w:val="auto"/>
          <w:sz w:val="24"/>
        </w:rPr>
        <w:t>（1）</w:t>
      </w:r>
      <w:r>
        <w:rPr>
          <w:color w:val="auto"/>
          <w:sz w:val="24"/>
        </w:rPr>
        <w:t>在出售前，应当向当地动物防疫监督机构提前报检，进行产地检疫。在取得有效的检疫证明后方可出售，禁止出售未经检疫或检疫不合格的</w:t>
      </w:r>
      <w:r>
        <w:rPr>
          <w:rFonts w:hint="eastAsia"/>
          <w:color w:val="auto"/>
          <w:sz w:val="24"/>
        </w:rPr>
        <w:t>鸡</w:t>
      </w:r>
      <w:r>
        <w:rPr>
          <w:color w:val="auto"/>
          <w:sz w:val="24"/>
        </w:rPr>
        <w:t>。</w:t>
      </w:r>
    </w:p>
    <w:p w14:paraId="4F11A6D0">
      <w:pPr>
        <w:autoSpaceDE w:val="0"/>
        <w:autoSpaceDN w:val="0"/>
        <w:spacing w:line="360" w:lineRule="auto"/>
        <w:ind w:firstLine="480" w:firstLineChars="200"/>
        <w:rPr>
          <w:color w:val="auto"/>
          <w:sz w:val="24"/>
        </w:rPr>
      </w:pPr>
      <w:r>
        <w:rPr>
          <w:color w:val="auto"/>
          <w:sz w:val="24"/>
        </w:rPr>
        <w:t>（2）运输的车辆，应当在装货前和卸货后进行清扫、洗刷，实施消毒后出具消毒证明。</w:t>
      </w:r>
    </w:p>
    <w:p w14:paraId="73CFD020">
      <w:pPr>
        <w:autoSpaceDE w:val="0"/>
        <w:autoSpaceDN w:val="0"/>
        <w:spacing w:line="360" w:lineRule="auto"/>
        <w:ind w:firstLine="480" w:firstLineChars="200"/>
        <w:rPr>
          <w:color w:val="auto"/>
          <w:sz w:val="24"/>
        </w:rPr>
      </w:pPr>
      <w:r>
        <w:rPr>
          <w:color w:val="auto"/>
          <w:sz w:val="24"/>
        </w:rPr>
        <w:t>（3）在运输组织中，要教育运输经营者积极配合有关部门，做好卫生防疫，以防止通过运输途径传播疫情。</w:t>
      </w:r>
    </w:p>
    <w:p w14:paraId="7C2B4F44">
      <w:pPr>
        <w:autoSpaceDE w:val="0"/>
        <w:autoSpaceDN w:val="0"/>
        <w:spacing w:line="360" w:lineRule="auto"/>
        <w:ind w:firstLine="480" w:firstLineChars="200"/>
        <w:rPr>
          <w:color w:val="auto"/>
          <w:sz w:val="24"/>
        </w:rPr>
      </w:pPr>
      <w:r>
        <w:rPr>
          <w:color w:val="auto"/>
          <w:sz w:val="24"/>
        </w:rPr>
        <w:t>（4）运送的每批</w:t>
      </w:r>
      <w:r>
        <w:rPr>
          <w:rFonts w:hint="eastAsia"/>
          <w:color w:val="auto"/>
          <w:sz w:val="24"/>
        </w:rPr>
        <w:t>鸡</w:t>
      </w:r>
      <w:r>
        <w:rPr>
          <w:color w:val="auto"/>
          <w:sz w:val="24"/>
        </w:rPr>
        <w:t xml:space="preserve">，必须随车附表，标明饲养地名称和地址、定点屠宰厂名称、运输目的地(或企业)、品种、数量、车号及业务员(经手人)姓名，必须持有产品检疫合格证明、出厂检验合格证明、运输工具消毒证明和非疫区证明。 </w:t>
      </w:r>
    </w:p>
    <w:p w14:paraId="2D15B80D">
      <w:pPr>
        <w:autoSpaceDE w:val="0"/>
        <w:autoSpaceDN w:val="0"/>
        <w:spacing w:line="360" w:lineRule="auto"/>
        <w:ind w:firstLine="480" w:firstLineChars="200"/>
        <w:rPr>
          <w:rFonts w:hint="eastAsia"/>
          <w:color w:val="auto"/>
          <w:sz w:val="24"/>
          <w:lang w:eastAsia="zh-CN"/>
        </w:rPr>
      </w:pPr>
      <w:r>
        <w:rPr>
          <w:rFonts w:hint="eastAsia"/>
          <w:color w:val="auto"/>
          <w:sz w:val="24"/>
          <w:lang w:eastAsia="zh-CN"/>
        </w:rPr>
        <w:t>（</w:t>
      </w:r>
      <w:r>
        <w:rPr>
          <w:rFonts w:hint="eastAsia"/>
          <w:color w:val="auto"/>
          <w:sz w:val="24"/>
          <w:lang w:val="en-US" w:eastAsia="zh-CN"/>
        </w:rPr>
        <w:t>5</w:t>
      </w:r>
      <w:r>
        <w:rPr>
          <w:rFonts w:hint="eastAsia"/>
          <w:color w:val="auto"/>
          <w:sz w:val="24"/>
          <w:lang w:eastAsia="zh-CN"/>
        </w:rPr>
        <w:t>）粪污运输时，</w:t>
      </w:r>
      <w:r>
        <w:rPr>
          <w:rFonts w:hint="eastAsia"/>
          <w:color w:val="auto"/>
          <w:sz w:val="24"/>
          <w:lang w:val="en-US" w:eastAsia="zh-CN"/>
        </w:rPr>
        <w:t>尽量避开中午高温时间运输，利用晚上、早晨或傍晚气温较低的时间运输，减少高温时段产生的恶臭对道路两侧居民的影响；运输鸡群时，运输途中应采取适当的防暑降温措施，随时注意鸡群状况，发现异常及进处理。调运到场后，必须及时卸车疏散，环境要求通风凉爽。</w:t>
      </w:r>
    </w:p>
    <w:p w14:paraId="6BB262E9">
      <w:pPr>
        <w:autoSpaceDE w:val="0"/>
        <w:autoSpaceDN w:val="0"/>
        <w:spacing w:line="360" w:lineRule="auto"/>
        <w:ind w:firstLine="480" w:firstLineChars="200"/>
        <w:rPr>
          <w:color w:val="auto"/>
          <w:sz w:val="24"/>
        </w:rPr>
      </w:pPr>
      <w:r>
        <w:rPr>
          <w:color w:val="auto"/>
          <w:sz w:val="24"/>
        </w:rPr>
        <w:t>（</w:t>
      </w:r>
      <w:r>
        <w:rPr>
          <w:rFonts w:hint="eastAsia"/>
          <w:color w:val="auto"/>
          <w:sz w:val="24"/>
          <w:lang w:val="en-US" w:eastAsia="zh-CN"/>
        </w:rPr>
        <w:t>6</w:t>
      </w:r>
      <w:r>
        <w:rPr>
          <w:color w:val="auto"/>
          <w:sz w:val="24"/>
        </w:rPr>
        <w:t>）保证运输车辆车况良好，防止在运输途中抛锚滞留，造成</w:t>
      </w:r>
      <w:r>
        <w:rPr>
          <w:rFonts w:hint="eastAsia"/>
          <w:color w:val="auto"/>
          <w:sz w:val="24"/>
        </w:rPr>
        <w:t>鸡</w:t>
      </w:r>
      <w:r>
        <w:rPr>
          <w:color w:val="auto"/>
          <w:sz w:val="24"/>
        </w:rPr>
        <w:t>挤压时间过长，发生中暑等疾病而死亡，同时做好车辆的装前、卸后消毒。运输时间较长的，还应备好途中饲料和水源。</w:t>
      </w:r>
    </w:p>
    <w:p w14:paraId="0E93C994">
      <w:pPr>
        <w:autoSpaceDE w:val="0"/>
        <w:autoSpaceDN w:val="0"/>
        <w:spacing w:line="360" w:lineRule="auto"/>
        <w:ind w:firstLine="480" w:firstLineChars="200"/>
        <w:rPr>
          <w:color w:val="auto"/>
          <w:sz w:val="24"/>
        </w:rPr>
      </w:pPr>
      <w:r>
        <w:rPr>
          <w:color w:val="auto"/>
          <w:sz w:val="24"/>
        </w:rPr>
        <w:t>通过以上措施处理后，运输过程对运输路线环境影响较小。</w:t>
      </w:r>
    </w:p>
    <w:p w14:paraId="7F7AE9CF">
      <w:pPr>
        <w:rPr>
          <w:color w:val="auto"/>
        </w:rPr>
      </w:pPr>
      <w:r>
        <w:rPr>
          <w:rFonts w:hint="default" w:ascii="Times New Roman" w:hAnsi="Times New Roman" w:eastAsia="宋体" w:cs="Times New Roman"/>
          <w:color w:val="auto"/>
          <w:sz w:val="24"/>
        </w:rPr>
        <mc:AlternateContent>
          <mc:Choice Requires="wpg">
            <w:drawing>
              <wp:anchor distT="0" distB="0" distL="114300" distR="114300" simplePos="0" relativeHeight="251750400" behindDoc="0" locked="0" layoutInCell="1" allowOverlap="1">
                <wp:simplePos x="0" y="0"/>
                <wp:positionH relativeFrom="column">
                  <wp:posOffset>2631440</wp:posOffset>
                </wp:positionH>
                <wp:positionV relativeFrom="paragraph">
                  <wp:posOffset>5508625</wp:posOffset>
                </wp:positionV>
                <wp:extent cx="2085340" cy="1095375"/>
                <wp:effectExtent l="4445" t="4445" r="5715" b="5080"/>
                <wp:wrapNone/>
                <wp:docPr id="404" name="组合 404"/>
                <wp:cNvGraphicFramePr/>
                <a:graphic xmlns:a="http://schemas.openxmlformats.org/drawingml/2006/main">
                  <a:graphicData uri="http://schemas.microsoft.com/office/word/2010/wordprocessingGroup">
                    <wpg:wgp>
                      <wpg:cNvGrpSpPr/>
                      <wpg:grpSpPr>
                        <a:xfrm>
                          <a:off x="0" y="0"/>
                          <a:ext cx="2085340" cy="1095375"/>
                          <a:chOff x="15285" y="1777349"/>
                          <a:chExt cx="3284" cy="1725"/>
                        </a:xfrm>
                      </wpg:grpSpPr>
                      <wps:wsp>
                        <wps:cNvPr id="390" name="文本框 390"/>
                        <wps:cNvSpPr txBox="1"/>
                        <wps:spPr>
                          <a:xfrm>
                            <a:off x="15285" y="1777349"/>
                            <a:ext cx="3284" cy="17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C3EE6F7">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图例</w:t>
                              </w:r>
                            </w:p>
                            <w:p w14:paraId="6C0497FC">
                              <w:pPr>
                                <w:pStyle w:val="69"/>
                                <w:spacing w:line="360" w:lineRule="auto"/>
                                <w:ind w:firstLine="630" w:firstLineChars="300"/>
                                <w:rPr>
                                  <w:rFonts w:hint="eastAsia" w:ascii="宋体" w:hAnsi="宋体" w:eastAsia="宋体" w:cs="宋体"/>
                                  <w:sz w:val="21"/>
                                  <w:szCs w:val="21"/>
                                  <w:lang w:eastAsia="zh-CN"/>
                                </w:rPr>
                              </w:pPr>
                              <w:r>
                                <w:rPr>
                                  <w:rFonts w:hint="eastAsia" w:ascii="宋体" w:hAnsi="宋体" w:eastAsia="宋体" w:cs="宋体"/>
                                  <w:sz w:val="21"/>
                                  <w:szCs w:val="21"/>
                                  <w:lang w:eastAsia="zh-CN"/>
                                </w:rPr>
                                <w:t>项目地</w:t>
                              </w:r>
                            </w:p>
                            <w:p w14:paraId="65B4DFDA">
                              <w:pPr>
                                <w:spacing w:line="360" w:lineRule="auto"/>
                                <w:ind w:firstLine="630" w:firstLineChars="300"/>
                                <w:rPr>
                                  <w:rFonts w:hint="eastAsia" w:ascii="宋体" w:hAnsi="宋体" w:eastAsia="宋体" w:cs="宋体"/>
                                  <w:sz w:val="21"/>
                                  <w:szCs w:val="21"/>
                                  <w:lang w:eastAsia="zh-CN"/>
                                </w:rPr>
                              </w:pPr>
                              <w:r>
                                <w:rPr>
                                  <w:rFonts w:hint="eastAsia" w:ascii="宋体" w:hAnsi="宋体" w:eastAsia="宋体" w:cs="宋体"/>
                                  <w:sz w:val="21"/>
                                  <w:szCs w:val="21"/>
                                  <w:lang w:eastAsia="zh-CN"/>
                                </w:rPr>
                                <w:t>与主干道之间的运输路线</w:t>
                              </w:r>
                            </w:p>
                            <w:p w14:paraId="461DCBFC">
                              <w:pPr>
                                <w:pStyle w:val="69"/>
                                <w:spacing w:line="360" w:lineRule="auto"/>
                                <w:ind w:firstLine="630" w:firstLineChars="300"/>
                                <w:rPr>
                                  <w:rFonts w:hint="eastAsia" w:ascii="宋体" w:hAnsi="宋体" w:eastAsia="宋体" w:cs="宋体"/>
                                  <w:sz w:val="21"/>
                                  <w:szCs w:val="21"/>
                                  <w:lang w:eastAsia="zh-CN"/>
                                </w:rPr>
                              </w:pPr>
                              <w:r>
                                <w:rPr>
                                  <w:rFonts w:hint="eastAsia" w:ascii="宋体" w:hAnsi="宋体" w:eastAsia="宋体" w:cs="宋体"/>
                                  <w:sz w:val="21"/>
                                  <w:szCs w:val="21"/>
                                  <w:lang w:eastAsia="zh-CN"/>
                                </w:rPr>
                                <w:t>环境敏感点</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91" name="矩形 391"/>
                        <wps:cNvSpPr/>
                        <wps:spPr>
                          <a:xfrm>
                            <a:off x="15525" y="1777814"/>
                            <a:ext cx="375" cy="25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92" name="直接连接符 392"/>
                        <wps:cNvCnPr/>
                        <wps:spPr>
                          <a:xfrm flipV="1">
                            <a:off x="15510" y="1778339"/>
                            <a:ext cx="435" cy="15"/>
                          </a:xfrm>
                          <a:prstGeom prst="line">
                            <a:avLst/>
                          </a:prstGeom>
                          <a:ln>
                            <a:solidFill>
                              <a:srgbClr val="0B06F8"/>
                            </a:solidFill>
                          </a:ln>
                        </wps:spPr>
                        <wps:style>
                          <a:lnRef idx="2">
                            <a:schemeClr val="accent1"/>
                          </a:lnRef>
                          <a:fillRef idx="0">
                            <a:srgbClr val="FFFFFF"/>
                          </a:fillRef>
                          <a:effectRef idx="0">
                            <a:srgbClr val="FFFFFF"/>
                          </a:effectRef>
                          <a:fontRef idx="minor">
                            <a:schemeClr val="tx1"/>
                          </a:fontRef>
                        </wps:style>
                        <wps:bodyPr/>
                      </wps:wsp>
                      <wps:wsp>
                        <wps:cNvPr id="394" name="矩形 394"/>
                        <wps:cNvSpPr/>
                        <wps:spPr>
                          <a:xfrm>
                            <a:off x="15525" y="1778624"/>
                            <a:ext cx="375" cy="255"/>
                          </a:xfrm>
                          <a:prstGeom prst="rect">
                            <a:avLst/>
                          </a:prstGeom>
                          <a:solidFill>
                            <a:srgbClr val="1625F6">
                              <a:alpha val="25000"/>
                            </a:srgbClr>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002BA0B">
                              <w:pPr>
                                <w:jc w:val="center"/>
                                <w:rPr>
                                  <w:rFonts w:hint="eastAsia" w:eastAsia="宋体"/>
                                  <w:lang w:val="en-US" w:eastAsia="zh-CN"/>
                                </w:rPr>
                              </w:pPr>
                              <w:r>
                                <w:rPr>
                                  <w:rFonts w:hint="eastAsia"/>
                                  <w:lang w:val="en-US" w:eastAsia="zh-CN"/>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07.2pt;margin-top:433.75pt;height:86.25pt;width:164.2pt;z-index:251750400;mso-width-relative:page;mso-height-relative:page;" coordorigin="15285,1777349" coordsize="3284,1725" o:gfxdata="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">
                <o:lock v:ext="edit" aspectratio="f"/>
                <v:shape id="_x0000_s1026" o:spid="_x0000_s1026" o:spt="202" type="#_x0000_t202" style="position:absolute;left:15285;top:1777349;height:1725;width:3284;" fillcolor="#C7EDCC [3201]" filled="t" stroked="t" coordsize="21600,21600" o:gfxdata="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SNzfrsAAADc&#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w:txbxContent>
                      <w:p w14:paraId="4C3EE6F7">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图例</w:t>
                        </w:r>
                      </w:p>
                      <w:p w14:paraId="6C0497FC">
                        <w:pPr>
                          <w:pStyle w:val="69"/>
                          <w:spacing w:line="360" w:lineRule="auto"/>
                          <w:ind w:firstLine="630" w:firstLineChars="300"/>
                          <w:rPr>
                            <w:rFonts w:hint="eastAsia" w:ascii="宋体" w:hAnsi="宋体" w:eastAsia="宋体" w:cs="宋体"/>
                            <w:sz w:val="21"/>
                            <w:szCs w:val="21"/>
                            <w:lang w:eastAsia="zh-CN"/>
                          </w:rPr>
                        </w:pPr>
                        <w:r>
                          <w:rPr>
                            <w:rFonts w:hint="eastAsia" w:ascii="宋体" w:hAnsi="宋体" w:eastAsia="宋体" w:cs="宋体"/>
                            <w:sz w:val="21"/>
                            <w:szCs w:val="21"/>
                            <w:lang w:eastAsia="zh-CN"/>
                          </w:rPr>
                          <w:t>项目地</w:t>
                        </w:r>
                      </w:p>
                      <w:p w14:paraId="65B4DFDA">
                        <w:pPr>
                          <w:spacing w:line="360" w:lineRule="auto"/>
                          <w:ind w:firstLine="630" w:firstLineChars="300"/>
                          <w:rPr>
                            <w:rFonts w:hint="eastAsia" w:ascii="宋体" w:hAnsi="宋体" w:eastAsia="宋体" w:cs="宋体"/>
                            <w:sz w:val="21"/>
                            <w:szCs w:val="21"/>
                            <w:lang w:eastAsia="zh-CN"/>
                          </w:rPr>
                        </w:pPr>
                        <w:r>
                          <w:rPr>
                            <w:rFonts w:hint="eastAsia" w:ascii="宋体" w:hAnsi="宋体" w:eastAsia="宋体" w:cs="宋体"/>
                            <w:sz w:val="21"/>
                            <w:szCs w:val="21"/>
                            <w:lang w:eastAsia="zh-CN"/>
                          </w:rPr>
                          <w:t>与主干道之间的运输路线</w:t>
                        </w:r>
                      </w:p>
                      <w:p w14:paraId="461DCBFC">
                        <w:pPr>
                          <w:pStyle w:val="69"/>
                          <w:spacing w:line="360" w:lineRule="auto"/>
                          <w:ind w:firstLine="630" w:firstLineChars="300"/>
                          <w:rPr>
                            <w:rFonts w:hint="eastAsia" w:ascii="宋体" w:hAnsi="宋体" w:eastAsia="宋体" w:cs="宋体"/>
                            <w:sz w:val="21"/>
                            <w:szCs w:val="21"/>
                            <w:lang w:eastAsia="zh-CN"/>
                          </w:rPr>
                        </w:pPr>
                        <w:r>
                          <w:rPr>
                            <w:rFonts w:hint="eastAsia" w:ascii="宋体" w:hAnsi="宋体" w:eastAsia="宋体" w:cs="宋体"/>
                            <w:sz w:val="21"/>
                            <w:szCs w:val="21"/>
                            <w:lang w:eastAsia="zh-CN"/>
                          </w:rPr>
                          <w:t>环境敏感点</w:t>
                        </w:r>
                      </w:p>
                    </w:txbxContent>
                  </v:textbox>
                </v:shape>
                <v:rect id="_x0000_s1026" o:spid="_x0000_s1026" o:spt="1" style="position:absolute;left:15525;top:1777814;height:255;width:375;v-text-anchor:middle;" filled="f" stroked="t" coordsize="21600,21600" o:gfxdata="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AsJ++/&#10;AAAA3AAAAA8AAAAAAAAAAQAgAAAAIgAAAGRycy9kb3ducmV2LnhtbFBLAQIUABQAAAAIAIdO4kAz&#10;LwWeOwAAADkAAAAQAAAAAAAAAAEAIAAAAA4BAABkcnMvc2hhcGV4bWwueG1sUEsFBgAAAAAGAAYA&#10;WwEAALgDAAAAAA==&#10;">
                  <v:fill on="f" focussize="0,0"/>
                  <v:stroke weight="2pt" color="#FF0000 [2404]" joinstyle="round"/>
                  <v:imagedata o:title=""/>
                  <o:lock v:ext="edit" aspectratio="f"/>
                </v:rect>
                <v:line id="_x0000_s1026" o:spid="_x0000_s1026" o:spt="20" style="position:absolute;left:15510;top:1778339;flip:y;height:15;width:435;" filled="f" stroked="t" coordsize="21600,21600" o:gfxdata="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DUETr4A&#10;AADcAAAADwAAAAAAAAABACAAAAAiAAAAZHJzL2Rvd25yZXYueG1sUEsBAhQAFAAAAAgAh07iQDMv&#10;BZ47AAAAOQAAABAAAAAAAAAAAQAgAAAADQEAAGRycy9zaGFwZXhtbC54bWxQSwUGAAAAAAYABgBb&#10;AQAAtwMAAAAA&#10;">
                  <v:fill on="f" focussize="0,0"/>
                  <v:stroke weight="2pt" color="#0B06F8 [3204]" joinstyle="round"/>
                  <v:imagedata o:title=""/>
                  <o:lock v:ext="edit" aspectratio="f"/>
                </v:line>
                <v:rect id="_x0000_s1026" o:spid="_x0000_s1026" o:spt="1" style="position:absolute;left:15525;top:1778624;height:255;width:375;v-text-anchor:middle;" fillcolor="#1625F6" filled="t" stroked="t" coordsize="21600,21600" o:gfxdata="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rIMpr4A&#10;AADcAAAADwAAAAAAAAABACAAAAAiAAAAZHJzL2Rvd25yZXYueG1sUEsBAhQAFAAAAAgAh07iQDMv&#10;BZ47AAAAOQAAABAAAAAAAAAAAQAgAAAADQEAAGRycy9zaGFwZXhtbC54bWxQSwUGAAAAAAYABgBb&#10;AQAAtwMAAAAA&#10;">
                  <v:fill on="t" opacity="16384f" focussize="0,0"/>
                  <v:stroke weight="1pt" color="#FF0000 [2404]" joinstyle="round"/>
                  <v:imagedata o:title=""/>
                  <o:lock v:ext="edit" aspectratio="f"/>
                  <v:textbox>
                    <w:txbxContent>
                      <w:p w14:paraId="3002BA0B">
                        <w:pPr>
                          <w:jc w:val="center"/>
                          <w:rPr>
                            <w:rFonts w:hint="eastAsia" w:eastAsia="宋体"/>
                            <w:lang w:val="en-US" w:eastAsia="zh-CN"/>
                          </w:rPr>
                        </w:pPr>
                        <w:r>
                          <w:rPr>
                            <w:rFonts w:hint="eastAsia"/>
                            <w:lang w:val="en-US" w:eastAsia="zh-CN"/>
                          </w:rPr>
                          <w:t>.</w:t>
                        </w:r>
                      </w:p>
                    </w:txbxContent>
                  </v:textbox>
                </v:rect>
              </v:group>
            </w:pict>
          </mc:Fallback>
        </mc:AlternateContent>
      </w:r>
      <w:r>
        <w:rPr>
          <w:color w:val="auto"/>
        </w:rPr>
        <w:drawing>
          <wp:anchor distT="0" distB="0" distL="114300" distR="114300" simplePos="0" relativeHeight="251754496" behindDoc="0" locked="0" layoutInCell="1" allowOverlap="1">
            <wp:simplePos x="0" y="0"/>
            <wp:positionH relativeFrom="column">
              <wp:posOffset>4662805</wp:posOffset>
            </wp:positionH>
            <wp:positionV relativeFrom="paragraph">
              <wp:posOffset>5715</wp:posOffset>
            </wp:positionV>
            <wp:extent cx="617855" cy="584835"/>
            <wp:effectExtent l="0" t="0" r="10795" b="5715"/>
            <wp:wrapNone/>
            <wp:docPr id="4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3"/>
                    <pic:cNvPicPr>
                      <a:picLocks noChangeAspect="1"/>
                    </pic:cNvPicPr>
                  </pic:nvPicPr>
                  <pic:blipFill>
                    <a:blip r:embed="rId21"/>
                    <a:stretch>
                      <a:fillRect/>
                    </a:stretch>
                  </pic:blipFill>
                  <pic:spPr>
                    <a:xfrm>
                      <a:off x="0" y="0"/>
                      <a:ext cx="617855" cy="584835"/>
                    </a:xfrm>
                    <a:prstGeom prst="rect">
                      <a:avLst/>
                    </a:prstGeom>
                    <a:noFill/>
                    <a:ln>
                      <a:noFill/>
                    </a:ln>
                  </pic:spPr>
                </pic:pic>
              </a:graphicData>
            </a:graphic>
          </wp:anchor>
        </w:drawing>
      </w:r>
      <w:r>
        <w:drawing>
          <wp:inline distT="0" distB="0" distL="114300" distR="114300">
            <wp:extent cx="5276215" cy="6588125"/>
            <wp:effectExtent l="9525" t="9525" r="10160" b="12700"/>
            <wp:docPr id="46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24"/>
                    <pic:cNvPicPr>
                      <a:picLocks noChangeAspect="1"/>
                    </pic:cNvPicPr>
                  </pic:nvPicPr>
                  <pic:blipFill>
                    <a:blip r:embed="rId53"/>
                    <a:stretch>
                      <a:fillRect/>
                    </a:stretch>
                  </pic:blipFill>
                  <pic:spPr>
                    <a:xfrm>
                      <a:off x="0" y="0"/>
                      <a:ext cx="5276215" cy="6588125"/>
                    </a:xfrm>
                    <a:prstGeom prst="rect">
                      <a:avLst/>
                    </a:prstGeom>
                    <a:noFill/>
                    <a:ln>
                      <a:solidFill>
                        <a:schemeClr val="tx1"/>
                      </a:solidFill>
                    </a:ln>
                  </pic:spPr>
                </pic:pic>
              </a:graphicData>
            </a:graphic>
          </wp:inline>
        </w:drawing>
      </w:r>
    </w:p>
    <w:p w14:paraId="1D5CE89A">
      <w:pPr>
        <w:pStyle w:val="69"/>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eastAsia="zh-CN"/>
        </w:rPr>
        <w:t>图</w:t>
      </w:r>
      <w:r>
        <w:rPr>
          <w:rFonts w:hint="default" w:ascii="Times New Roman" w:hAnsi="Times New Roman" w:eastAsia="宋体" w:cs="Times New Roman"/>
          <w:b/>
          <w:bCs/>
          <w:color w:val="auto"/>
          <w:sz w:val="24"/>
          <w:highlight w:val="none"/>
          <w:lang w:val="en-US" w:eastAsia="zh-CN"/>
        </w:rPr>
        <w:t>5.2-</w:t>
      </w:r>
      <w:r>
        <w:rPr>
          <w:rFonts w:hint="eastAsia" w:ascii="Times New Roman" w:hAnsi="Times New Roman" w:eastAsia="宋体" w:cs="Times New Roman"/>
          <w:b/>
          <w:bCs/>
          <w:color w:val="auto"/>
          <w:sz w:val="24"/>
          <w:highlight w:val="none"/>
          <w:lang w:val="en-US" w:eastAsia="zh-CN"/>
        </w:rPr>
        <w:t>7</w:t>
      </w:r>
      <w:r>
        <w:rPr>
          <w:rFonts w:hint="default" w:ascii="Times New Roman" w:hAnsi="Times New Roman" w:eastAsia="宋体" w:cs="Times New Roman"/>
          <w:b/>
          <w:bCs/>
          <w:color w:val="auto"/>
          <w:sz w:val="24"/>
          <w:highlight w:val="none"/>
          <w:lang w:val="en-US" w:eastAsia="zh-CN"/>
        </w:rPr>
        <w:t xml:space="preserve">  项目运输路线图</w:t>
      </w:r>
    </w:p>
    <w:p w14:paraId="3515181D">
      <w:pPr>
        <w:pStyle w:val="4"/>
        <w:rPr>
          <w:rFonts w:ascii="Times New Roman" w:hAnsi="Times New Roman" w:eastAsia="宋体"/>
          <w:color w:val="auto"/>
          <w:sz w:val="28"/>
          <w:szCs w:val="28"/>
        </w:rPr>
      </w:pPr>
      <w:bookmarkStart w:id="341" w:name="_Toc19042"/>
      <w:r>
        <w:rPr>
          <w:rFonts w:ascii="Times New Roman" w:hAnsi="Times New Roman" w:eastAsia="宋体"/>
          <w:color w:val="auto"/>
          <w:sz w:val="28"/>
          <w:szCs w:val="28"/>
        </w:rPr>
        <w:t>5.2.</w:t>
      </w:r>
      <w:r>
        <w:rPr>
          <w:rFonts w:hint="eastAsia" w:ascii="Times New Roman" w:hAnsi="Times New Roman" w:eastAsia="宋体"/>
          <w:color w:val="auto"/>
          <w:sz w:val="28"/>
          <w:szCs w:val="28"/>
          <w:lang w:val="en-US" w:eastAsia="zh-CN"/>
        </w:rPr>
        <w:t>9</w:t>
      </w:r>
      <w:r>
        <w:rPr>
          <w:rFonts w:ascii="Times New Roman" w:hAnsi="Times New Roman" w:eastAsia="宋体"/>
          <w:color w:val="auto"/>
          <w:sz w:val="28"/>
          <w:szCs w:val="28"/>
        </w:rPr>
        <w:t>外环境对本工程影响分析</w:t>
      </w:r>
      <w:bookmarkEnd w:id="341"/>
    </w:p>
    <w:p w14:paraId="1B2CDF49">
      <w:pPr>
        <w:adjustRightInd w:val="0"/>
        <w:snapToGrid w:val="0"/>
        <w:spacing w:line="360" w:lineRule="auto"/>
        <w:ind w:firstLine="480" w:firstLineChars="200"/>
        <w:rPr>
          <w:color w:val="auto"/>
          <w:sz w:val="24"/>
          <w:szCs w:val="36"/>
        </w:rPr>
      </w:pPr>
      <w:r>
        <w:rPr>
          <w:color w:val="auto"/>
          <w:sz w:val="24"/>
          <w:szCs w:val="36"/>
        </w:rPr>
        <w:t>项目所在地为农村地区，未受工业企业“三废”污染，区域环境质量较好，本工程选址远离交通主干道，远离农村村庄，场地周围没有大型噪声源。总体而言外环境对养殖场内鸡群的生活基本没有影响。</w:t>
      </w:r>
    </w:p>
    <w:p w14:paraId="3D97749A">
      <w:pPr>
        <w:pStyle w:val="69"/>
        <w:rPr>
          <w:color w:val="auto"/>
          <w:sz w:val="24"/>
          <w:szCs w:val="36"/>
        </w:rPr>
      </w:pPr>
    </w:p>
    <w:p w14:paraId="2534F024">
      <w:pPr>
        <w:rPr>
          <w:color w:val="auto"/>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7BFCF9E2">
      <w:pPr>
        <w:pStyle w:val="2"/>
        <w:tabs>
          <w:tab w:val="left" w:pos="360"/>
        </w:tabs>
        <w:spacing w:line="360" w:lineRule="auto"/>
        <w:ind w:left="0"/>
        <w:jc w:val="both"/>
        <w:rPr>
          <w:rFonts w:hint="eastAsia" w:ascii="Times New Roman" w:eastAsia="宋体"/>
          <w:bCs/>
          <w:color w:val="auto"/>
          <w:sz w:val="32"/>
          <w:szCs w:val="32"/>
        </w:rPr>
      </w:pPr>
      <w:bookmarkStart w:id="342" w:name="_Toc21860"/>
      <w:bookmarkStart w:id="343" w:name="_Toc23659"/>
      <w:bookmarkStart w:id="344" w:name="_Toc1943"/>
      <w:r>
        <w:rPr>
          <w:rFonts w:hint="eastAsia" w:ascii="Times New Roman" w:eastAsia="宋体"/>
          <w:bCs/>
          <w:color w:val="auto"/>
          <w:sz w:val="32"/>
          <w:szCs w:val="32"/>
        </w:rPr>
        <w:t>6、环境风险评价</w:t>
      </w:r>
      <w:bookmarkEnd w:id="342"/>
      <w:bookmarkEnd w:id="343"/>
    </w:p>
    <w:p w14:paraId="344A52BC">
      <w:pPr>
        <w:pStyle w:val="3"/>
        <w:adjustRightInd w:val="0"/>
        <w:jc w:val="both"/>
        <w:rPr>
          <w:rFonts w:eastAsia="宋体"/>
          <w:color w:val="auto"/>
          <w:szCs w:val="28"/>
        </w:rPr>
      </w:pPr>
      <w:bookmarkStart w:id="345" w:name="_Toc23506"/>
      <w:bookmarkStart w:id="346" w:name="_Toc19135"/>
      <w:r>
        <w:rPr>
          <w:rFonts w:eastAsia="宋体"/>
          <w:color w:val="auto"/>
          <w:szCs w:val="28"/>
        </w:rPr>
        <w:t>6.1评价目的与重点</w:t>
      </w:r>
      <w:bookmarkEnd w:id="345"/>
      <w:bookmarkEnd w:id="346"/>
    </w:p>
    <w:p w14:paraId="1F3EBE02">
      <w:pPr>
        <w:spacing w:line="360" w:lineRule="auto"/>
        <w:ind w:firstLine="480" w:firstLineChars="200"/>
        <w:rPr>
          <w:color w:val="auto"/>
          <w:sz w:val="24"/>
        </w:rPr>
      </w:pPr>
      <w:r>
        <w:rPr>
          <w:color w:val="auto"/>
          <w:sz w:val="24"/>
        </w:rPr>
        <w:t>环境风险评价目的是分析和预测建设项目存在的潜在危险、有害因素，项目建设和运行期间可能发生的突发性事件和事故（一般不包括人为破坏及自然灾害），引起有毒有害和易燃易爆等物质的泄漏所造成的人身安全与环境影响和损害程度。提出合理可行的防范、应急与减缓措施，以使建设项目的事故率、损失和环境影响达到可接受的水平。</w:t>
      </w:r>
    </w:p>
    <w:p w14:paraId="3E2B3D7C">
      <w:pPr>
        <w:spacing w:line="360" w:lineRule="auto"/>
        <w:ind w:firstLine="480" w:firstLineChars="200"/>
        <w:rPr>
          <w:color w:val="auto"/>
          <w:sz w:val="24"/>
        </w:rPr>
      </w:pPr>
      <w:r>
        <w:rPr>
          <w:color w:val="auto"/>
          <w:sz w:val="24"/>
        </w:rPr>
        <w:t>为全面落实《关于加强环境影响评价管理防范环境风险的通知》[环发（2005）152号]的要求，查找建设项目存在的环境风险隐患，使得企业在生产正常运转的基础上，确保厂界外的环境质量，确保职工及周边影响区内人群、生物的健康和生命安全。本次环境风险评价针对</w:t>
      </w:r>
      <w:r>
        <w:rPr>
          <w:rFonts w:hint="eastAsia"/>
          <w:color w:val="auto"/>
          <w:sz w:val="24"/>
          <w:lang w:eastAsia="zh-CN"/>
        </w:rPr>
        <w:t>养殖场内</w:t>
      </w:r>
      <w:r>
        <w:rPr>
          <w:color w:val="auto"/>
          <w:sz w:val="24"/>
        </w:rPr>
        <w:t>存在的环境风险进行评价。并提出防治、应急和减缓的措施，使得项目事故率达到可接受水平，损失和环境影响达到最小。</w:t>
      </w:r>
    </w:p>
    <w:p w14:paraId="7220E090">
      <w:pPr>
        <w:spacing w:line="360" w:lineRule="auto"/>
        <w:ind w:firstLine="480" w:firstLineChars="200"/>
        <w:rPr>
          <w:color w:val="auto"/>
          <w:sz w:val="24"/>
        </w:rPr>
      </w:pPr>
      <w:r>
        <w:rPr>
          <w:color w:val="auto"/>
          <w:sz w:val="24"/>
        </w:rPr>
        <w:t>本项目根据《建设项目环境风险评价技术导则》（HJ169-2018）进行环境风险分析与评价。</w:t>
      </w:r>
    </w:p>
    <w:p w14:paraId="351B6561">
      <w:pPr>
        <w:pStyle w:val="3"/>
        <w:adjustRightInd w:val="0"/>
        <w:jc w:val="both"/>
        <w:rPr>
          <w:rFonts w:eastAsia="宋体"/>
          <w:color w:val="auto"/>
          <w:szCs w:val="28"/>
        </w:rPr>
      </w:pPr>
      <w:bookmarkStart w:id="347" w:name="_Toc15412"/>
      <w:bookmarkStart w:id="348" w:name="_Toc27573"/>
      <w:r>
        <w:rPr>
          <w:rFonts w:eastAsia="宋体"/>
          <w:color w:val="auto"/>
          <w:szCs w:val="28"/>
        </w:rPr>
        <w:t>6.2环境风险评价</w:t>
      </w:r>
      <w:bookmarkEnd w:id="347"/>
      <w:bookmarkEnd w:id="348"/>
    </w:p>
    <w:p w14:paraId="11DF2477">
      <w:pPr>
        <w:pStyle w:val="4"/>
        <w:snapToGrid w:val="0"/>
        <w:spacing w:before="0"/>
        <w:rPr>
          <w:rFonts w:ascii="Times New Roman" w:hAnsi="Times New Roman" w:eastAsia="宋体"/>
          <w:bCs/>
          <w:color w:val="auto"/>
          <w:sz w:val="28"/>
          <w:szCs w:val="28"/>
        </w:rPr>
      </w:pPr>
      <w:bookmarkStart w:id="349" w:name="_Toc31026"/>
      <w:r>
        <w:rPr>
          <w:rFonts w:ascii="Times New Roman" w:hAnsi="Times New Roman" w:eastAsia="宋体"/>
          <w:bCs/>
          <w:color w:val="auto"/>
          <w:sz w:val="28"/>
          <w:szCs w:val="28"/>
        </w:rPr>
        <w:t>6.2.1评价依据</w:t>
      </w:r>
      <w:bookmarkEnd w:id="344"/>
      <w:bookmarkEnd w:id="349"/>
    </w:p>
    <w:p w14:paraId="7E742377">
      <w:pPr>
        <w:spacing w:line="360" w:lineRule="auto"/>
        <w:outlineLvl w:val="3"/>
        <w:rPr>
          <w:b/>
          <w:bCs/>
          <w:color w:val="auto"/>
          <w:sz w:val="24"/>
          <w:highlight w:val="none"/>
        </w:rPr>
      </w:pPr>
      <w:r>
        <w:rPr>
          <w:b/>
          <w:bCs/>
          <w:color w:val="auto"/>
          <w:sz w:val="24"/>
          <w:highlight w:val="none"/>
        </w:rPr>
        <w:t>6.2.1.1风险调查</w:t>
      </w:r>
    </w:p>
    <w:p w14:paraId="62775994">
      <w:pPr>
        <w:spacing w:line="360" w:lineRule="auto"/>
        <w:ind w:firstLine="480" w:firstLineChars="200"/>
        <w:rPr>
          <w:color w:val="auto"/>
          <w:sz w:val="24"/>
        </w:rPr>
      </w:pPr>
      <w:r>
        <w:rPr>
          <w:color w:val="auto"/>
          <w:sz w:val="24"/>
        </w:rPr>
        <w:t>本项目为蛋鸡养殖建设项目，查阅《建设项目环境风险评价技术导则》（HJ169-2018）附录 B 可知，本项目使用的柴油属于B.1突发环境事件风险物质及临界量中的相关物质——</w:t>
      </w:r>
      <w:r>
        <w:rPr>
          <w:rFonts w:hint="eastAsia"/>
          <w:color w:val="auto"/>
          <w:sz w:val="24"/>
          <w:lang w:eastAsia="zh-CN"/>
        </w:rPr>
        <w:t>“</w:t>
      </w:r>
      <w:r>
        <w:rPr>
          <w:color w:val="auto"/>
          <w:sz w:val="24"/>
        </w:rPr>
        <w:t>381 油类物质（矿物油类，如石油、汽油、柴油等；生物质柴油等）</w:t>
      </w:r>
      <w:r>
        <w:rPr>
          <w:rFonts w:hint="eastAsia"/>
          <w:color w:val="auto"/>
          <w:sz w:val="24"/>
          <w:lang w:eastAsia="zh-CN"/>
        </w:rPr>
        <w:t>”</w:t>
      </w:r>
      <w:r>
        <w:rPr>
          <w:rFonts w:hint="eastAsia"/>
          <w:color w:val="auto"/>
          <w:sz w:val="24"/>
        </w:rPr>
        <w:t>。</w:t>
      </w:r>
    </w:p>
    <w:p w14:paraId="27858C92">
      <w:pPr>
        <w:spacing w:line="360" w:lineRule="auto"/>
        <w:ind w:firstLine="480" w:firstLineChars="200"/>
        <w:rPr>
          <w:color w:val="auto"/>
          <w:sz w:val="24"/>
        </w:rPr>
      </w:pPr>
      <w:r>
        <w:rPr>
          <w:color w:val="auto"/>
          <w:sz w:val="24"/>
        </w:rPr>
        <w:t>复方酚溶液涉及的邻苯基苯酚、对氯间甲酚不属于B.1 突发环境事件风险物质及临界量中的相关物质，根据B.2其他危险物质的临界计算方法，查看邻苯基苯酚、对氯间甲酚的MSDS数据，根据《化学品分类和标签规范 第28部分：对水生环境的危害》（GB30000.28-2013），邻苯基苯酚、对氯间甲酚不属于危害水环境物质；根据《化学品分类和标签规范 第18部分：急性毒性》（GB30000.18）判定逻辑，邻苯基苯酚LD50=2700mg/kg（大鼠经口）属于“类别5经口2000＜LD50≤5000mg/kg”，对氯间甲酚LD50=1830mg/kg（大鼠经口），属于“类别4经口300＜LD50≤2000mg/kg”，邻苯基苯酚、对氯间甲酚不属于健康危险急性毒性物质</w:t>
      </w:r>
      <w:r>
        <w:rPr>
          <w:rFonts w:hint="eastAsia"/>
          <w:color w:val="auto"/>
          <w:sz w:val="24"/>
        </w:rPr>
        <w:t>。</w:t>
      </w:r>
    </w:p>
    <w:p w14:paraId="31F1BAE5">
      <w:pPr>
        <w:spacing w:line="360" w:lineRule="auto"/>
        <w:ind w:firstLine="480" w:firstLineChars="200"/>
        <w:rPr>
          <w:color w:val="auto"/>
          <w:sz w:val="24"/>
        </w:rPr>
      </w:pPr>
      <w:r>
        <w:rPr>
          <w:rFonts w:hint="eastAsia"/>
          <w:color w:val="auto"/>
          <w:sz w:val="24"/>
        </w:rPr>
        <w:t>本项目废水主要为养殖废水，</w:t>
      </w:r>
      <w:r>
        <w:rPr>
          <w:rFonts w:hint="eastAsia"/>
          <w:color w:val="auto"/>
          <w:sz w:val="24"/>
          <w:lang w:eastAsia="zh-CN"/>
        </w:rPr>
        <w:t>废水中</w:t>
      </w:r>
      <w:r>
        <w:rPr>
          <w:rFonts w:hint="eastAsia"/>
          <w:color w:val="auto"/>
          <w:sz w:val="24"/>
          <w:lang w:val="en-US" w:eastAsia="zh-CN"/>
        </w:rPr>
        <w:t>COD</w:t>
      </w:r>
      <w:r>
        <w:rPr>
          <w:rFonts w:hint="eastAsia"/>
          <w:color w:val="auto"/>
          <w:sz w:val="24"/>
          <w:lang w:eastAsia="zh-CN"/>
        </w:rPr>
        <w:t>浓度低于</w:t>
      </w:r>
      <w:r>
        <w:rPr>
          <w:rFonts w:hint="eastAsia"/>
          <w:color w:val="auto"/>
          <w:sz w:val="24"/>
          <w:lang w:val="en-US" w:eastAsia="zh-CN"/>
        </w:rPr>
        <w:t>10000mg/L，</w:t>
      </w:r>
      <w:r>
        <w:rPr>
          <w:rFonts w:hint="eastAsia"/>
          <w:color w:val="auto"/>
          <w:sz w:val="24"/>
        </w:rPr>
        <w:t>不</w:t>
      </w:r>
      <w:r>
        <w:rPr>
          <w:rFonts w:hint="eastAsia"/>
          <w:color w:val="auto"/>
          <w:sz w:val="24"/>
          <w:lang w:eastAsia="zh-CN"/>
        </w:rPr>
        <w:t>属于</w:t>
      </w:r>
      <w:r>
        <w:rPr>
          <w:rFonts w:hint="eastAsia"/>
          <w:color w:val="auto"/>
          <w:sz w:val="24"/>
        </w:rPr>
        <w:t>环境风险物质。</w:t>
      </w:r>
      <w:r>
        <w:rPr>
          <w:color w:val="auto"/>
          <w:sz w:val="24"/>
        </w:rPr>
        <w:t>故本项目涉及的突发环境事件风险物质为柴油。</w:t>
      </w:r>
    </w:p>
    <w:p w14:paraId="48C48D2F">
      <w:pPr>
        <w:pStyle w:val="5"/>
        <w:numPr>
          <w:ilvl w:val="0"/>
          <w:numId w:val="0"/>
        </w:numPr>
        <w:adjustRightInd/>
        <w:spacing w:before="0" w:after="0" w:line="360" w:lineRule="auto"/>
        <w:textAlignment w:val="auto"/>
        <w:rPr>
          <w:rFonts w:ascii="Times New Roman" w:hAnsi="Times New Roman" w:eastAsia="宋体"/>
          <w:color w:val="auto"/>
          <w:sz w:val="24"/>
          <w:szCs w:val="24"/>
        </w:rPr>
      </w:pPr>
      <w:r>
        <w:rPr>
          <w:rFonts w:ascii="Times New Roman" w:hAnsi="Times New Roman" w:eastAsia="宋体"/>
          <w:color w:val="auto"/>
          <w:sz w:val="24"/>
          <w:szCs w:val="24"/>
        </w:rPr>
        <w:t>6.2.1.2评价等级</w:t>
      </w:r>
    </w:p>
    <w:p w14:paraId="1256119C">
      <w:pPr>
        <w:snapToGrid w:val="0"/>
        <w:spacing w:line="360" w:lineRule="auto"/>
        <w:ind w:firstLine="480" w:firstLineChars="200"/>
        <w:rPr>
          <w:color w:val="auto"/>
          <w:kern w:val="0"/>
          <w:sz w:val="24"/>
        </w:rPr>
      </w:pPr>
      <w:r>
        <w:rPr>
          <w:color w:val="auto"/>
          <w:kern w:val="0"/>
          <w:sz w:val="24"/>
        </w:rPr>
        <w:t>根据《建设项目环境风险评价技术导则》（HJ169-2018），环境风险评价等级根据表</w:t>
      </w:r>
      <w:r>
        <w:rPr>
          <w:rFonts w:hint="eastAsia"/>
          <w:color w:val="auto"/>
          <w:kern w:val="0"/>
          <w:sz w:val="24"/>
        </w:rPr>
        <w:t>6</w:t>
      </w:r>
      <w:r>
        <w:rPr>
          <w:rFonts w:hint="eastAsia"/>
          <w:color w:val="auto"/>
          <w:kern w:val="0"/>
          <w:sz w:val="24"/>
          <w:lang w:val="en-US" w:eastAsia="zh-CN"/>
        </w:rPr>
        <w:t>.2</w:t>
      </w:r>
      <w:r>
        <w:rPr>
          <w:rFonts w:hint="eastAsia"/>
          <w:color w:val="auto"/>
          <w:kern w:val="0"/>
          <w:sz w:val="24"/>
        </w:rPr>
        <w:t>-1</w:t>
      </w:r>
      <w:r>
        <w:rPr>
          <w:color w:val="auto"/>
          <w:kern w:val="0"/>
          <w:sz w:val="24"/>
        </w:rPr>
        <w:t>进行划分。</w:t>
      </w:r>
    </w:p>
    <w:p w14:paraId="437EE356">
      <w:pPr>
        <w:jc w:val="center"/>
        <w:rPr>
          <w:b/>
          <w:color w:val="auto"/>
          <w:szCs w:val="22"/>
        </w:rPr>
      </w:pPr>
      <w:r>
        <w:rPr>
          <w:b/>
          <w:color w:val="auto"/>
          <w:szCs w:val="22"/>
        </w:rPr>
        <w:t>表</w:t>
      </w:r>
      <w:r>
        <w:rPr>
          <w:rFonts w:hint="eastAsia"/>
          <w:b/>
          <w:color w:val="auto"/>
          <w:szCs w:val="22"/>
        </w:rPr>
        <w:t>6</w:t>
      </w:r>
      <w:r>
        <w:rPr>
          <w:rFonts w:hint="eastAsia"/>
          <w:b/>
          <w:color w:val="auto"/>
          <w:szCs w:val="22"/>
          <w:lang w:val="en-US" w:eastAsia="zh-CN"/>
        </w:rPr>
        <w:t>.2</w:t>
      </w:r>
      <w:r>
        <w:rPr>
          <w:rFonts w:hint="eastAsia"/>
          <w:b/>
          <w:color w:val="auto"/>
          <w:szCs w:val="22"/>
        </w:rPr>
        <w:t>-1</w:t>
      </w:r>
      <w:r>
        <w:rPr>
          <w:rFonts w:hint="eastAsia"/>
          <w:b/>
          <w:color w:val="auto"/>
          <w:szCs w:val="22"/>
          <w:lang w:val="en-US" w:eastAsia="zh-CN"/>
        </w:rPr>
        <w:t xml:space="preserve">  </w:t>
      </w:r>
      <w:r>
        <w:rPr>
          <w:b/>
          <w:color w:val="auto"/>
          <w:szCs w:val="22"/>
        </w:rPr>
        <w:t xml:space="preserve">  环境评价等级划分表</w:t>
      </w:r>
    </w:p>
    <w:tbl>
      <w:tblPr>
        <w:tblStyle w:val="53"/>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1701"/>
        <w:gridCol w:w="1701"/>
        <w:gridCol w:w="1701"/>
        <w:gridCol w:w="1719"/>
      </w:tblGrid>
      <w:tr w14:paraId="734FAF3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tcBorders>
              <w:top w:val="double" w:color="auto" w:sz="4" w:space="0"/>
              <w:left w:val="nil"/>
              <w:bottom w:val="single" w:color="auto" w:sz="4" w:space="0"/>
              <w:right w:val="single" w:color="auto" w:sz="4" w:space="0"/>
            </w:tcBorders>
            <w:vAlign w:val="center"/>
          </w:tcPr>
          <w:p w14:paraId="22A0C9EB">
            <w:pPr>
              <w:jc w:val="center"/>
              <w:rPr>
                <w:color w:val="auto"/>
                <w:szCs w:val="21"/>
              </w:rPr>
            </w:pPr>
            <w:r>
              <w:rPr>
                <w:color w:val="auto"/>
                <w:szCs w:val="21"/>
              </w:rPr>
              <w:t>环境风险潜势</w:t>
            </w:r>
          </w:p>
        </w:tc>
        <w:tc>
          <w:tcPr>
            <w:tcW w:w="998" w:type="pct"/>
            <w:tcBorders>
              <w:top w:val="double" w:color="auto" w:sz="4" w:space="0"/>
              <w:left w:val="single" w:color="auto" w:sz="4" w:space="0"/>
              <w:bottom w:val="single" w:color="auto" w:sz="4" w:space="0"/>
              <w:right w:val="single" w:color="auto" w:sz="4" w:space="0"/>
            </w:tcBorders>
            <w:vAlign w:val="center"/>
          </w:tcPr>
          <w:p w14:paraId="02F4556D">
            <w:pPr>
              <w:jc w:val="center"/>
              <w:rPr>
                <w:color w:val="auto"/>
                <w:szCs w:val="21"/>
              </w:rPr>
            </w:pPr>
            <w:r>
              <w:rPr>
                <w:color w:val="auto"/>
                <w:szCs w:val="21"/>
              </w:rPr>
              <w:t>Ⅳ、Ⅳ</w:t>
            </w:r>
            <w:r>
              <w:rPr>
                <w:color w:val="auto"/>
                <w:szCs w:val="21"/>
                <w:vertAlign w:val="superscript"/>
              </w:rPr>
              <w:t>+</w:t>
            </w:r>
          </w:p>
        </w:tc>
        <w:tc>
          <w:tcPr>
            <w:tcW w:w="998" w:type="pct"/>
            <w:tcBorders>
              <w:top w:val="double" w:color="auto" w:sz="4" w:space="0"/>
              <w:left w:val="single" w:color="auto" w:sz="4" w:space="0"/>
              <w:bottom w:val="single" w:color="auto" w:sz="4" w:space="0"/>
              <w:right w:val="single" w:color="auto" w:sz="4" w:space="0"/>
            </w:tcBorders>
            <w:vAlign w:val="center"/>
          </w:tcPr>
          <w:p w14:paraId="1FFCB24C">
            <w:pPr>
              <w:jc w:val="center"/>
              <w:rPr>
                <w:color w:val="auto"/>
                <w:szCs w:val="21"/>
              </w:rPr>
            </w:pPr>
            <w:r>
              <w:rPr>
                <w:color w:val="auto"/>
                <w:szCs w:val="21"/>
              </w:rPr>
              <w:t>Ⅲ</w:t>
            </w:r>
          </w:p>
        </w:tc>
        <w:tc>
          <w:tcPr>
            <w:tcW w:w="998" w:type="pct"/>
            <w:tcBorders>
              <w:top w:val="double" w:color="auto" w:sz="4" w:space="0"/>
              <w:left w:val="single" w:color="auto" w:sz="4" w:space="0"/>
              <w:bottom w:val="single" w:color="auto" w:sz="4" w:space="0"/>
              <w:right w:val="single" w:color="auto" w:sz="4" w:space="0"/>
            </w:tcBorders>
            <w:vAlign w:val="center"/>
          </w:tcPr>
          <w:p w14:paraId="6F1AA2FB">
            <w:pPr>
              <w:jc w:val="center"/>
              <w:rPr>
                <w:color w:val="auto"/>
                <w:szCs w:val="21"/>
              </w:rPr>
            </w:pPr>
            <w:r>
              <w:rPr>
                <w:color w:val="auto"/>
                <w:szCs w:val="21"/>
              </w:rPr>
              <w:t>Ⅱ</w:t>
            </w:r>
          </w:p>
        </w:tc>
        <w:tc>
          <w:tcPr>
            <w:tcW w:w="1004" w:type="pct"/>
            <w:tcBorders>
              <w:top w:val="double" w:color="auto" w:sz="4" w:space="0"/>
              <w:left w:val="single" w:color="auto" w:sz="4" w:space="0"/>
              <w:bottom w:val="single" w:color="auto" w:sz="4" w:space="0"/>
              <w:right w:val="nil"/>
            </w:tcBorders>
            <w:vAlign w:val="center"/>
          </w:tcPr>
          <w:p w14:paraId="2EB61D1F">
            <w:pPr>
              <w:jc w:val="center"/>
              <w:rPr>
                <w:color w:val="auto"/>
                <w:szCs w:val="21"/>
              </w:rPr>
            </w:pPr>
            <w:r>
              <w:rPr>
                <w:color w:val="auto"/>
                <w:szCs w:val="21"/>
              </w:rPr>
              <w:t>Ⅰ</w:t>
            </w:r>
          </w:p>
        </w:tc>
      </w:tr>
      <w:tr w14:paraId="2CA59ED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pct"/>
            <w:tcBorders>
              <w:top w:val="single" w:color="auto" w:sz="4" w:space="0"/>
              <w:left w:val="nil"/>
              <w:bottom w:val="single" w:color="auto" w:sz="4" w:space="0"/>
              <w:right w:val="single" w:color="auto" w:sz="4" w:space="0"/>
            </w:tcBorders>
            <w:vAlign w:val="center"/>
          </w:tcPr>
          <w:p w14:paraId="5C574A09">
            <w:pPr>
              <w:jc w:val="center"/>
              <w:rPr>
                <w:color w:val="auto"/>
                <w:szCs w:val="21"/>
              </w:rPr>
            </w:pPr>
            <w:r>
              <w:rPr>
                <w:color w:val="auto"/>
                <w:szCs w:val="21"/>
              </w:rPr>
              <w:t>评价工作等级</w:t>
            </w:r>
          </w:p>
        </w:tc>
        <w:tc>
          <w:tcPr>
            <w:tcW w:w="998" w:type="pct"/>
            <w:tcBorders>
              <w:top w:val="single" w:color="auto" w:sz="4" w:space="0"/>
              <w:left w:val="single" w:color="auto" w:sz="4" w:space="0"/>
              <w:bottom w:val="single" w:color="auto" w:sz="4" w:space="0"/>
              <w:right w:val="single" w:color="auto" w:sz="4" w:space="0"/>
            </w:tcBorders>
            <w:vAlign w:val="center"/>
          </w:tcPr>
          <w:p w14:paraId="0F8ADA51">
            <w:pPr>
              <w:jc w:val="center"/>
              <w:rPr>
                <w:color w:val="auto"/>
                <w:szCs w:val="21"/>
              </w:rPr>
            </w:pPr>
            <w:r>
              <w:rPr>
                <w:color w:val="auto"/>
                <w:szCs w:val="21"/>
              </w:rPr>
              <w:t>一</w:t>
            </w:r>
          </w:p>
        </w:tc>
        <w:tc>
          <w:tcPr>
            <w:tcW w:w="998" w:type="pct"/>
            <w:tcBorders>
              <w:top w:val="single" w:color="auto" w:sz="4" w:space="0"/>
              <w:left w:val="single" w:color="auto" w:sz="4" w:space="0"/>
              <w:bottom w:val="single" w:color="auto" w:sz="4" w:space="0"/>
              <w:right w:val="single" w:color="auto" w:sz="4" w:space="0"/>
            </w:tcBorders>
            <w:vAlign w:val="center"/>
          </w:tcPr>
          <w:p w14:paraId="2487A9A2">
            <w:pPr>
              <w:jc w:val="center"/>
              <w:rPr>
                <w:color w:val="auto"/>
                <w:szCs w:val="21"/>
              </w:rPr>
            </w:pPr>
            <w:r>
              <w:rPr>
                <w:color w:val="auto"/>
                <w:szCs w:val="21"/>
              </w:rPr>
              <w:t>二</w:t>
            </w:r>
          </w:p>
        </w:tc>
        <w:tc>
          <w:tcPr>
            <w:tcW w:w="998" w:type="pct"/>
            <w:tcBorders>
              <w:top w:val="single" w:color="auto" w:sz="4" w:space="0"/>
              <w:left w:val="single" w:color="auto" w:sz="4" w:space="0"/>
              <w:bottom w:val="single" w:color="auto" w:sz="4" w:space="0"/>
              <w:right w:val="single" w:color="auto" w:sz="4" w:space="0"/>
            </w:tcBorders>
            <w:vAlign w:val="center"/>
          </w:tcPr>
          <w:p w14:paraId="4751A045">
            <w:pPr>
              <w:jc w:val="center"/>
              <w:rPr>
                <w:color w:val="auto"/>
                <w:szCs w:val="21"/>
              </w:rPr>
            </w:pPr>
            <w:r>
              <w:rPr>
                <w:color w:val="auto"/>
                <w:szCs w:val="21"/>
              </w:rPr>
              <w:t>三</w:t>
            </w:r>
          </w:p>
        </w:tc>
        <w:tc>
          <w:tcPr>
            <w:tcW w:w="1004" w:type="pct"/>
            <w:tcBorders>
              <w:top w:val="single" w:color="auto" w:sz="4" w:space="0"/>
              <w:left w:val="single" w:color="auto" w:sz="4" w:space="0"/>
              <w:bottom w:val="single" w:color="auto" w:sz="4" w:space="0"/>
              <w:right w:val="nil"/>
            </w:tcBorders>
            <w:vAlign w:val="center"/>
          </w:tcPr>
          <w:p w14:paraId="671CB719">
            <w:pPr>
              <w:jc w:val="center"/>
              <w:rPr>
                <w:color w:val="auto"/>
                <w:szCs w:val="21"/>
              </w:rPr>
            </w:pPr>
            <w:r>
              <w:rPr>
                <w:color w:val="auto"/>
                <w:szCs w:val="21"/>
              </w:rPr>
              <w:t>简单分析</w:t>
            </w:r>
            <w:r>
              <w:rPr>
                <w:color w:val="auto"/>
                <w:szCs w:val="21"/>
                <w:vertAlign w:val="superscript"/>
              </w:rPr>
              <w:t>a</w:t>
            </w:r>
          </w:p>
        </w:tc>
      </w:tr>
      <w:tr w14:paraId="1F70DF8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tcBorders>
              <w:top w:val="single" w:color="auto" w:sz="4" w:space="0"/>
              <w:left w:val="nil"/>
              <w:bottom w:val="double" w:color="auto" w:sz="4" w:space="0"/>
              <w:right w:val="nil"/>
            </w:tcBorders>
            <w:vAlign w:val="center"/>
          </w:tcPr>
          <w:p w14:paraId="1094B855">
            <w:pPr>
              <w:rPr>
                <w:color w:val="auto"/>
                <w:szCs w:val="21"/>
              </w:rPr>
            </w:pPr>
            <w:r>
              <w:rPr>
                <w:color w:val="auto"/>
                <w:szCs w:val="21"/>
              </w:rPr>
              <w:t>a是相对于详细评价工作内容而言，在描述危险物质、环境影响途径、环境危害后果、风险防范措施等方面给出定性的说明。见附录A。</w:t>
            </w:r>
          </w:p>
        </w:tc>
      </w:tr>
    </w:tbl>
    <w:p w14:paraId="2BCA2372">
      <w:pPr>
        <w:spacing w:line="360" w:lineRule="auto"/>
        <w:ind w:left="105" w:leftChars="50" w:firstLine="360" w:firstLineChars="150"/>
        <w:rPr>
          <w:color w:val="auto"/>
          <w:sz w:val="24"/>
        </w:rPr>
      </w:pPr>
      <w:r>
        <w:rPr>
          <w:color w:val="auto"/>
          <w:sz w:val="24"/>
        </w:rPr>
        <w:t>建设项目环境风险潜势划分为Ⅰ、Ⅱ、Ⅲ、Ⅳ/Ⅳ</w:t>
      </w:r>
      <w:r>
        <w:rPr>
          <w:color w:val="auto"/>
          <w:sz w:val="24"/>
          <w:vertAlign w:val="superscript"/>
        </w:rPr>
        <w:t>+</w:t>
      </w:r>
      <w:r>
        <w:rPr>
          <w:color w:val="auto"/>
          <w:sz w:val="24"/>
        </w:rPr>
        <w:t>级。环境风险潜势根据表</w:t>
      </w:r>
      <w:r>
        <w:rPr>
          <w:rFonts w:hint="eastAsia"/>
          <w:color w:val="auto"/>
          <w:sz w:val="24"/>
        </w:rPr>
        <w:t>6</w:t>
      </w:r>
      <w:r>
        <w:rPr>
          <w:rFonts w:hint="eastAsia"/>
          <w:color w:val="auto"/>
          <w:sz w:val="24"/>
          <w:lang w:val="en-US" w:eastAsia="zh-CN"/>
        </w:rPr>
        <w:t>.2</w:t>
      </w:r>
      <w:r>
        <w:rPr>
          <w:rFonts w:hint="eastAsia"/>
          <w:color w:val="auto"/>
          <w:sz w:val="24"/>
        </w:rPr>
        <w:t>-2</w:t>
      </w:r>
      <w:r>
        <w:rPr>
          <w:color w:val="auto"/>
          <w:sz w:val="24"/>
        </w:rPr>
        <w:t>确定。</w:t>
      </w:r>
    </w:p>
    <w:p w14:paraId="3518C03E">
      <w:pPr>
        <w:jc w:val="center"/>
        <w:rPr>
          <w:color w:val="auto"/>
          <w:szCs w:val="20"/>
        </w:rPr>
      </w:pPr>
      <w:r>
        <w:rPr>
          <w:b/>
          <w:color w:val="auto"/>
          <w:szCs w:val="22"/>
        </w:rPr>
        <w:t>表</w:t>
      </w:r>
      <w:r>
        <w:rPr>
          <w:rFonts w:hint="eastAsia"/>
          <w:b/>
          <w:color w:val="auto"/>
          <w:szCs w:val="22"/>
        </w:rPr>
        <w:t>6</w:t>
      </w:r>
      <w:r>
        <w:rPr>
          <w:rFonts w:hint="eastAsia"/>
          <w:b/>
          <w:color w:val="auto"/>
          <w:szCs w:val="22"/>
          <w:lang w:val="en-US" w:eastAsia="zh-CN"/>
        </w:rPr>
        <w:t>.2</w:t>
      </w:r>
      <w:r>
        <w:rPr>
          <w:rFonts w:hint="eastAsia"/>
          <w:b/>
          <w:color w:val="auto"/>
          <w:szCs w:val="22"/>
        </w:rPr>
        <w:t>-2</w:t>
      </w:r>
      <w:r>
        <w:rPr>
          <w:b/>
          <w:color w:val="auto"/>
          <w:szCs w:val="22"/>
        </w:rPr>
        <w:t xml:space="preserve"> </w:t>
      </w:r>
      <w:r>
        <w:rPr>
          <w:rFonts w:hint="eastAsia"/>
          <w:b/>
          <w:color w:val="auto"/>
          <w:szCs w:val="22"/>
          <w:lang w:val="en-US" w:eastAsia="zh-CN"/>
        </w:rPr>
        <w:t xml:space="preserve"> </w:t>
      </w:r>
      <w:r>
        <w:rPr>
          <w:b/>
          <w:color w:val="auto"/>
          <w:szCs w:val="22"/>
        </w:rPr>
        <w:t xml:space="preserve">  建设项目环境风险潜势划分表</w:t>
      </w:r>
    </w:p>
    <w:tbl>
      <w:tblPr>
        <w:tblStyle w:val="53"/>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94"/>
        <w:gridCol w:w="1600"/>
        <w:gridCol w:w="1601"/>
        <w:gridCol w:w="1601"/>
        <w:gridCol w:w="1614"/>
      </w:tblGrid>
      <w:tr w14:paraId="602E83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40" w:type="pct"/>
            <w:vMerge w:val="restart"/>
            <w:tcBorders>
              <w:top w:val="double" w:color="auto" w:sz="4" w:space="0"/>
              <w:left w:val="nil"/>
              <w:bottom w:val="single" w:color="000000" w:sz="4" w:space="0"/>
              <w:right w:val="single" w:color="000000" w:sz="4" w:space="0"/>
            </w:tcBorders>
            <w:vAlign w:val="center"/>
          </w:tcPr>
          <w:p w14:paraId="22630C9A">
            <w:pPr>
              <w:pStyle w:val="434"/>
              <w:jc w:val="center"/>
              <w:rPr>
                <w:color w:val="auto"/>
                <w:sz w:val="21"/>
                <w:szCs w:val="21"/>
              </w:rPr>
            </w:pPr>
            <w:r>
              <w:rPr>
                <w:color w:val="auto"/>
                <w:sz w:val="21"/>
                <w:szCs w:val="21"/>
              </w:rPr>
              <w:t>环境敏感程度</w:t>
            </w:r>
          </w:p>
          <w:p w14:paraId="03C4898A">
            <w:pPr>
              <w:pStyle w:val="434"/>
              <w:jc w:val="center"/>
              <w:rPr>
                <w:color w:val="auto"/>
                <w:sz w:val="21"/>
                <w:szCs w:val="21"/>
              </w:rPr>
            </w:pPr>
            <w:r>
              <w:rPr>
                <w:color w:val="auto"/>
                <w:sz w:val="21"/>
                <w:szCs w:val="21"/>
              </w:rPr>
              <w:t>（E）</w:t>
            </w:r>
          </w:p>
        </w:tc>
        <w:tc>
          <w:tcPr>
            <w:tcW w:w="3859" w:type="pct"/>
            <w:gridSpan w:val="4"/>
            <w:tcBorders>
              <w:top w:val="double" w:color="auto" w:sz="4" w:space="0"/>
              <w:left w:val="single" w:color="000000" w:sz="4" w:space="0"/>
              <w:bottom w:val="single" w:color="000000" w:sz="4" w:space="0"/>
              <w:right w:val="nil"/>
            </w:tcBorders>
            <w:vAlign w:val="center"/>
          </w:tcPr>
          <w:p w14:paraId="526E84B3">
            <w:pPr>
              <w:pStyle w:val="434"/>
              <w:jc w:val="center"/>
              <w:rPr>
                <w:color w:val="auto"/>
                <w:sz w:val="21"/>
                <w:szCs w:val="21"/>
              </w:rPr>
            </w:pPr>
            <w:r>
              <w:rPr>
                <w:color w:val="auto"/>
                <w:sz w:val="21"/>
                <w:szCs w:val="21"/>
              </w:rPr>
              <w:t>危险物质及工艺系统危险（P）</w:t>
            </w:r>
          </w:p>
        </w:tc>
      </w:tr>
      <w:tr w14:paraId="119AD2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40" w:type="pct"/>
            <w:vMerge w:val="continue"/>
            <w:tcBorders>
              <w:top w:val="double" w:color="auto" w:sz="4" w:space="0"/>
              <w:left w:val="nil"/>
              <w:bottom w:val="single" w:color="000000" w:sz="4" w:space="0"/>
              <w:right w:val="single" w:color="000000" w:sz="4" w:space="0"/>
            </w:tcBorders>
            <w:vAlign w:val="center"/>
          </w:tcPr>
          <w:p w14:paraId="793B8AF6">
            <w:pPr>
              <w:widowControl/>
              <w:jc w:val="left"/>
              <w:rPr>
                <w:color w:val="auto"/>
                <w:kern w:val="0"/>
                <w:szCs w:val="21"/>
              </w:rPr>
            </w:pPr>
          </w:p>
        </w:tc>
        <w:tc>
          <w:tcPr>
            <w:tcW w:w="963" w:type="pct"/>
            <w:tcBorders>
              <w:top w:val="single" w:color="000000" w:sz="4" w:space="0"/>
              <w:left w:val="single" w:color="000000" w:sz="4" w:space="0"/>
              <w:bottom w:val="single" w:color="000000" w:sz="4" w:space="0"/>
              <w:right w:val="single" w:color="000000" w:sz="4" w:space="0"/>
            </w:tcBorders>
            <w:vAlign w:val="center"/>
          </w:tcPr>
          <w:p w14:paraId="6FD0E1DA">
            <w:pPr>
              <w:pStyle w:val="434"/>
              <w:jc w:val="center"/>
              <w:rPr>
                <w:color w:val="auto"/>
                <w:sz w:val="21"/>
                <w:szCs w:val="21"/>
              </w:rPr>
            </w:pPr>
            <w:r>
              <w:rPr>
                <w:color w:val="auto"/>
                <w:sz w:val="21"/>
                <w:szCs w:val="21"/>
              </w:rPr>
              <w:t>极高危害（P1）</w:t>
            </w:r>
          </w:p>
        </w:tc>
        <w:tc>
          <w:tcPr>
            <w:tcW w:w="963" w:type="pct"/>
            <w:tcBorders>
              <w:top w:val="single" w:color="000000" w:sz="4" w:space="0"/>
              <w:left w:val="single" w:color="000000" w:sz="4" w:space="0"/>
              <w:bottom w:val="single" w:color="000000" w:sz="4" w:space="0"/>
              <w:right w:val="single" w:color="000000" w:sz="4" w:space="0"/>
            </w:tcBorders>
            <w:vAlign w:val="center"/>
          </w:tcPr>
          <w:p w14:paraId="789CDE15">
            <w:pPr>
              <w:pStyle w:val="434"/>
              <w:jc w:val="center"/>
              <w:rPr>
                <w:color w:val="auto"/>
                <w:sz w:val="21"/>
                <w:szCs w:val="21"/>
              </w:rPr>
            </w:pPr>
            <w:r>
              <w:rPr>
                <w:color w:val="auto"/>
                <w:sz w:val="21"/>
                <w:szCs w:val="21"/>
              </w:rPr>
              <w:t>高度危害（P2）</w:t>
            </w:r>
          </w:p>
        </w:tc>
        <w:tc>
          <w:tcPr>
            <w:tcW w:w="963" w:type="pct"/>
            <w:tcBorders>
              <w:top w:val="single" w:color="000000" w:sz="4" w:space="0"/>
              <w:left w:val="single" w:color="000000" w:sz="4" w:space="0"/>
              <w:bottom w:val="single" w:color="000000" w:sz="4" w:space="0"/>
              <w:right w:val="single" w:color="000000" w:sz="4" w:space="0"/>
            </w:tcBorders>
            <w:vAlign w:val="center"/>
          </w:tcPr>
          <w:p w14:paraId="1B7057F2">
            <w:pPr>
              <w:pStyle w:val="434"/>
              <w:jc w:val="center"/>
              <w:rPr>
                <w:color w:val="auto"/>
                <w:sz w:val="21"/>
                <w:szCs w:val="21"/>
              </w:rPr>
            </w:pPr>
            <w:r>
              <w:rPr>
                <w:color w:val="auto"/>
                <w:sz w:val="21"/>
                <w:szCs w:val="21"/>
              </w:rPr>
              <w:t>中度危害（P3）</w:t>
            </w:r>
          </w:p>
        </w:tc>
        <w:tc>
          <w:tcPr>
            <w:tcW w:w="968" w:type="pct"/>
            <w:tcBorders>
              <w:top w:val="single" w:color="000000" w:sz="4" w:space="0"/>
              <w:left w:val="single" w:color="000000" w:sz="4" w:space="0"/>
              <w:bottom w:val="single" w:color="000000" w:sz="4" w:space="0"/>
              <w:right w:val="nil"/>
            </w:tcBorders>
            <w:vAlign w:val="center"/>
          </w:tcPr>
          <w:p w14:paraId="0BFBEA4C">
            <w:pPr>
              <w:pStyle w:val="434"/>
              <w:jc w:val="center"/>
              <w:rPr>
                <w:color w:val="auto"/>
                <w:sz w:val="21"/>
                <w:szCs w:val="21"/>
              </w:rPr>
            </w:pPr>
            <w:r>
              <w:rPr>
                <w:color w:val="auto"/>
                <w:sz w:val="21"/>
                <w:szCs w:val="21"/>
              </w:rPr>
              <w:t>轻度危害（P4）</w:t>
            </w:r>
          </w:p>
        </w:tc>
      </w:tr>
      <w:tr w14:paraId="73BACB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40" w:type="pct"/>
            <w:tcBorders>
              <w:top w:val="single" w:color="000000" w:sz="4" w:space="0"/>
              <w:left w:val="nil"/>
              <w:bottom w:val="single" w:color="000000" w:sz="4" w:space="0"/>
              <w:right w:val="single" w:color="000000" w:sz="4" w:space="0"/>
            </w:tcBorders>
            <w:vAlign w:val="center"/>
          </w:tcPr>
          <w:p w14:paraId="6EFE66E8">
            <w:pPr>
              <w:pStyle w:val="434"/>
              <w:jc w:val="center"/>
              <w:rPr>
                <w:color w:val="auto"/>
                <w:sz w:val="21"/>
                <w:szCs w:val="21"/>
              </w:rPr>
            </w:pPr>
            <w:r>
              <w:rPr>
                <w:color w:val="auto"/>
                <w:sz w:val="21"/>
                <w:szCs w:val="21"/>
              </w:rPr>
              <w:t>环境高度敏感区</w:t>
            </w:r>
            <w:r>
              <w:rPr>
                <w:color w:val="auto"/>
                <w:sz w:val="18"/>
                <w:szCs w:val="18"/>
              </w:rPr>
              <w:t>（E1）</w:t>
            </w:r>
          </w:p>
        </w:tc>
        <w:tc>
          <w:tcPr>
            <w:tcW w:w="963" w:type="pct"/>
            <w:tcBorders>
              <w:top w:val="single" w:color="000000" w:sz="4" w:space="0"/>
              <w:left w:val="single" w:color="000000" w:sz="4" w:space="0"/>
              <w:bottom w:val="single" w:color="000000" w:sz="4" w:space="0"/>
              <w:right w:val="single" w:color="000000" w:sz="4" w:space="0"/>
            </w:tcBorders>
            <w:vAlign w:val="center"/>
          </w:tcPr>
          <w:p w14:paraId="5AD125DB">
            <w:pPr>
              <w:pStyle w:val="434"/>
              <w:jc w:val="center"/>
              <w:rPr>
                <w:color w:val="auto"/>
                <w:sz w:val="21"/>
                <w:szCs w:val="21"/>
              </w:rPr>
            </w:pPr>
            <w:r>
              <w:rPr>
                <w:color w:val="auto"/>
                <w:sz w:val="21"/>
                <w:szCs w:val="21"/>
              </w:rPr>
              <w:t>Ⅳ</w:t>
            </w:r>
            <w:r>
              <w:rPr>
                <w:color w:val="auto"/>
                <w:sz w:val="21"/>
                <w:szCs w:val="21"/>
                <w:vertAlign w:val="superscript"/>
              </w:rPr>
              <w:t>+</w:t>
            </w:r>
          </w:p>
        </w:tc>
        <w:tc>
          <w:tcPr>
            <w:tcW w:w="963" w:type="pct"/>
            <w:tcBorders>
              <w:top w:val="single" w:color="000000" w:sz="4" w:space="0"/>
              <w:left w:val="single" w:color="000000" w:sz="4" w:space="0"/>
              <w:bottom w:val="single" w:color="000000" w:sz="4" w:space="0"/>
              <w:right w:val="single" w:color="000000" w:sz="4" w:space="0"/>
            </w:tcBorders>
            <w:vAlign w:val="center"/>
          </w:tcPr>
          <w:p w14:paraId="4F86FAF0">
            <w:pPr>
              <w:pStyle w:val="434"/>
              <w:jc w:val="center"/>
              <w:rPr>
                <w:color w:val="auto"/>
                <w:sz w:val="21"/>
                <w:szCs w:val="21"/>
              </w:rPr>
            </w:pPr>
            <w:r>
              <w:rPr>
                <w:color w:val="auto"/>
                <w:sz w:val="21"/>
                <w:szCs w:val="21"/>
              </w:rPr>
              <w:t>Ⅳ</w:t>
            </w:r>
          </w:p>
        </w:tc>
        <w:tc>
          <w:tcPr>
            <w:tcW w:w="963" w:type="pct"/>
            <w:tcBorders>
              <w:top w:val="single" w:color="000000" w:sz="4" w:space="0"/>
              <w:left w:val="single" w:color="000000" w:sz="4" w:space="0"/>
              <w:bottom w:val="single" w:color="000000" w:sz="4" w:space="0"/>
              <w:right w:val="single" w:color="000000" w:sz="4" w:space="0"/>
            </w:tcBorders>
            <w:vAlign w:val="center"/>
          </w:tcPr>
          <w:p w14:paraId="517C106A">
            <w:pPr>
              <w:pStyle w:val="434"/>
              <w:jc w:val="center"/>
              <w:rPr>
                <w:color w:val="auto"/>
                <w:sz w:val="21"/>
                <w:szCs w:val="21"/>
              </w:rPr>
            </w:pPr>
            <w:r>
              <w:rPr>
                <w:color w:val="auto"/>
                <w:sz w:val="21"/>
                <w:szCs w:val="21"/>
              </w:rPr>
              <w:t>Ⅲ</w:t>
            </w:r>
          </w:p>
        </w:tc>
        <w:tc>
          <w:tcPr>
            <w:tcW w:w="968" w:type="pct"/>
            <w:tcBorders>
              <w:top w:val="single" w:color="000000" w:sz="4" w:space="0"/>
              <w:left w:val="single" w:color="000000" w:sz="4" w:space="0"/>
              <w:bottom w:val="single" w:color="000000" w:sz="4" w:space="0"/>
              <w:right w:val="nil"/>
            </w:tcBorders>
            <w:vAlign w:val="center"/>
          </w:tcPr>
          <w:p w14:paraId="52C8196C">
            <w:pPr>
              <w:pStyle w:val="434"/>
              <w:jc w:val="center"/>
              <w:rPr>
                <w:color w:val="auto"/>
                <w:sz w:val="21"/>
                <w:szCs w:val="21"/>
              </w:rPr>
            </w:pPr>
            <w:r>
              <w:rPr>
                <w:color w:val="auto"/>
                <w:sz w:val="21"/>
                <w:szCs w:val="21"/>
              </w:rPr>
              <w:t>Ⅲ</w:t>
            </w:r>
          </w:p>
        </w:tc>
      </w:tr>
      <w:tr w14:paraId="559ABA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40" w:type="pct"/>
            <w:tcBorders>
              <w:top w:val="single" w:color="000000" w:sz="4" w:space="0"/>
              <w:left w:val="nil"/>
              <w:bottom w:val="single" w:color="000000" w:sz="4" w:space="0"/>
              <w:right w:val="single" w:color="000000" w:sz="4" w:space="0"/>
            </w:tcBorders>
            <w:vAlign w:val="center"/>
          </w:tcPr>
          <w:p w14:paraId="435DB182">
            <w:pPr>
              <w:pStyle w:val="434"/>
              <w:jc w:val="center"/>
              <w:rPr>
                <w:color w:val="auto"/>
                <w:sz w:val="21"/>
                <w:szCs w:val="21"/>
              </w:rPr>
            </w:pPr>
            <w:r>
              <w:rPr>
                <w:color w:val="auto"/>
                <w:sz w:val="21"/>
                <w:szCs w:val="21"/>
              </w:rPr>
              <w:t>环境中度敏感区</w:t>
            </w:r>
            <w:r>
              <w:rPr>
                <w:color w:val="auto"/>
                <w:sz w:val="18"/>
                <w:szCs w:val="18"/>
              </w:rPr>
              <w:t>（E2）</w:t>
            </w:r>
          </w:p>
        </w:tc>
        <w:tc>
          <w:tcPr>
            <w:tcW w:w="963" w:type="pct"/>
            <w:tcBorders>
              <w:top w:val="single" w:color="000000" w:sz="4" w:space="0"/>
              <w:left w:val="single" w:color="000000" w:sz="4" w:space="0"/>
              <w:bottom w:val="single" w:color="000000" w:sz="4" w:space="0"/>
              <w:right w:val="single" w:color="000000" w:sz="4" w:space="0"/>
            </w:tcBorders>
            <w:vAlign w:val="center"/>
          </w:tcPr>
          <w:p w14:paraId="75D0272F">
            <w:pPr>
              <w:pStyle w:val="434"/>
              <w:jc w:val="center"/>
              <w:rPr>
                <w:color w:val="auto"/>
                <w:sz w:val="21"/>
                <w:szCs w:val="21"/>
              </w:rPr>
            </w:pPr>
            <w:r>
              <w:rPr>
                <w:color w:val="auto"/>
                <w:sz w:val="21"/>
                <w:szCs w:val="21"/>
              </w:rPr>
              <w:t>Ⅳ</w:t>
            </w:r>
          </w:p>
        </w:tc>
        <w:tc>
          <w:tcPr>
            <w:tcW w:w="963" w:type="pct"/>
            <w:tcBorders>
              <w:top w:val="single" w:color="000000" w:sz="4" w:space="0"/>
              <w:left w:val="single" w:color="000000" w:sz="4" w:space="0"/>
              <w:bottom w:val="single" w:color="000000" w:sz="4" w:space="0"/>
              <w:right w:val="single" w:color="000000" w:sz="4" w:space="0"/>
            </w:tcBorders>
            <w:vAlign w:val="center"/>
          </w:tcPr>
          <w:p w14:paraId="00F63B4C">
            <w:pPr>
              <w:pStyle w:val="434"/>
              <w:jc w:val="center"/>
              <w:rPr>
                <w:color w:val="auto"/>
                <w:sz w:val="21"/>
                <w:szCs w:val="21"/>
              </w:rPr>
            </w:pPr>
            <w:r>
              <w:rPr>
                <w:color w:val="auto"/>
                <w:sz w:val="21"/>
                <w:szCs w:val="21"/>
              </w:rPr>
              <w:t>Ⅲ</w:t>
            </w:r>
          </w:p>
        </w:tc>
        <w:tc>
          <w:tcPr>
            <w:tcW w:w="963" w:type="pct"/>
            <w:tcBorders>
              <w:top w:val="single" w:color="000000" w:sz="4" w:space="0"/>
              <w:left w:val="single" w:color="000000" w:sz="4" w:space="0"/>
              <w:bottom w:val="single" w:color="000000" w:sz="4" w:space="0"/>
              <w:right w:val="single" w:color="000000" w:sz="4" w:space="0"/>
            </w:tcBorders>
            <w:vAlign w:val="center"/>
          </w:tcPr>
          <w:p w14:paraId="7E595B67">
            <w:pPr>
              <w:pStyle w:val="434"/>
              <w:jc w:val="center"/>
              <w:rPr>
                <w:color w:val="auto"/>
                <w:sz w:val="21"/>
                <w:szCs w:val="21"/>
              </w:rPr>
            </w:pPr>
            <w:r>
              <w:rPr>
                <w:color w:val="auto"/>
                <w:sz w:val="21"/>
                <w:szCs w:val="21"/>
              </w:rPr>
              <w:t>Ⅲ</w:t>
            </w:r>
          </w:p>
        </w:tc>
        <w:tc>
          <w:tcPr>
            <w:tcW w:w="968" w:type="pct"/>
            <w:tcBorders>
              <w:top w:val="single" w:color="000000" w:sz="4" w:space="0"/>
              <w:left w:val="single" w:color="000000" w:sz="4" w:space="0"/>
              <w:bottom w:val="single" w:color="000000" w:sz="4" w:space="0"/>
              <w:right w:val="nil"/>
            </w:tcBorders>
            <w:vAlign w:val="center"/>
          </w:tcPr>
          <w:p w14:paraId="758917D5">
            <w:pPr>
              <w:pStyle w:val="434"/>
              <w:jc w:val="center"/>
              <w:rPr>
                <w:color w:val="auto"/>
                <w:sz w:val="21"/>
                <w:szCs w:val="21"/>
              </w:rPr>
            </w:pPr>
            <w:r>
              <w:rPr>
                <w:color w:val="auto"/>
                <w:sz w:val="21"/>
                <w:szCs w:val="21"/>
              </w:rPr>
              <w:t>Ⅱ</w:t>
            </w:r>
          </w:p>
        </w:tc>
      </w:tr>
      <w:tr w14:paraId="1AAEDA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140" w:type="pct"/>
            <w:tcBorders>
              <w:top w:val="single" w:color="000000" w:sz="4" w:space="0"/>
              <w:left w:val="nil"/>
              <w:bottom w:val="single" w:color="000000" w:sz="4" w:space="0"/>
              <w:right w:val="single" w:color="000000" w:sz="4" w:space="0"/>
            </w:tcBorders>
            <w:vAlign w:val="center"/>
          </w:tcPr>
          <w:p w14:paraId="6A6C48AE">
            <w:pPr>
              <w:pStyle w:val="434"/>
              <w:jc w:val="center"/>
              <w:rPr>
                <w:color w:val="auto"/>
                <w:sz w:val="21"/>
                <w:szCs w:val="21"/>
              </w:rPr>
            </w:pPr>
            <w:r>
              <w:rPr>
                <w:color w:val="auto"/>
                <w:sz w:val="21"/>
                <w:szCs w:val="21"/>
              </w:rPr>
              <w:t>环境低度敏感区</w:t>
            </w:r>
            <w:r>
              <w:rPr>
                <w:color w:val="auto"/>
                <w:sz w:val="18"/>
                <w:szCs w:val="18"/>
              </w:rPr>
              <w:t>（E3）</w:t>
            </w:r>
          </w:p>
        </w:tc>
        <w:tc>
          <w:tcPr>
            <w:tcW w:w="963" w:type="pct"/>
            <w:tcBorders>
              <w:top w:val="single" w:color="000000" w:sz="4" w:space="0"/>
              <w:left w:val="single" w:color="000000" w:sz="4" w:space="0"/>
              <w:bottom w:val="single" w:color="000000" w:sz="4" w:space="0"/>
              <w:right w:val="single" w:color="000000" w:sz="4" w:space="0"/>
            </w:tcBorders>
            <w:vAlign w:val="center"/>
          </w:tcPr>
          <w:p w14:paraId="212948F0">
            <w:pPr>
              <w:pStyle w:val="434"/>
              <w:jc w:val="center"/>
              <w:rPr>
                <w:color w:val="auto"/>
                <w:sz w:val="21"/>
                <w:szCs w:val="21"/>
              </w:rPr>
            </w:pPr>
            <w:r>
              <w:rPr>
                <w:color w:val="auto"/>
                <w:sz w:val="21"/>
                <w:szCs w:val="21"/>
              </w:rPr>
              <w:t>Ⅲ</w:t>
            </w:r>
          </w:p>
        </w:tc>
        <w:tc>
          <w:tcPr>
            <w:tcW w:w="963" w:type="pct"/>
            <w:tcBorders>
              <w:top w:val="single" w:color="000000" w:sz="4" w:space="0"/>
              <w:left w:val="single" w:color="000000" w:sz="4" w:space="0"/>
              <w:bottom w:val="single" w:color="000000" w:sz="4" w:space="0"/>
              <w:right w:val="single" w:color="000000" w:sz="4" w:space="0"/>
            </w:tcBorders>
            <w:vAlign w:val="center"/>
          </w:tcPr>
          <w:p w14:paraId="557B0829">
            <w:pPr>
              <w:pStyle w:val="434"/>
              <w:jc w:val="center"/>
              <w:rPr>
                <w:color w:val="auto"/>
                <w:sz w:val="21"/>
                <w:szCs w:val="21"/>
              </w:rPr>
            </w:pPr>
            <w:r>
              <w:rPr>
                <w:color w:val="auto"/>
                <w:sz w:val="21"/>
                <w:szCs w:val="21"/>
              </w:rPr>
              <w:t>Ⅲ</w:t>
            </w:r>
          </w:p>
        </w:tc>
        <w:tc>
          <w:tcPr>
            <w:tcW w:w="963" w:type="pct"/>
            <w:tcBorders>
              <w:top w:val="single" w:color="000000" w:sz="4" w:space="0"/>
              <w:left w:val="single" w:color="000000" w:sz="4" w:space="0"/>
              <w:bottom w:val="single" w:color="000000" w:sz="4" w:space="0"/>
              <w:right w:val="single" w:color="000000" w:sz="4" w:space="0"/>
            </w:tcBorders>
            <w:vAlign w:val="center"/>
          </w:tcPr>
          <w:p w14:paraId="782361A7">
            <w:pPr>
              <w:pStyle w:val="434"/>
              <w:jc w:val="center"/>
              <w:rPr>
                <w:color w:val="auto"/>
                <w:sz w:val="21"/>
                <w:szCs w:val="21"/>
              </w:rPr>
            </w:pPr>
            <w:r>
              <w:rPr>
                <w:color w:val="auto"/>
                <w:sz w:val="21"/>
                <w:szCs w:val="21"/>
              </w:rPr>
              <w:t>Ⅱ</w:t>
            </w:r>
          </w:p>
        </w:tc>
        <w:tc>
          <w:tcPr>
            <w:tcW w:w="968" w:type="pct"/>
            <w:tcBorders>
              <w:top w:val="single" w:color="000000" w:sz="4" w:space="0"/>
              <w:left w:val="single" w:color="000000" w:sz="4" w:space="0"/>
              <w:bottom w:val="single" w:color="000000" w:sz="4" w:space="0"/>
              <w:right w:val="nil"/>
            </w:tcBorders>
            <w:vAlign w:val="center"/>
          </w:tcPr>
          <w:p w14:paraId="49C6E4EB">
            <w:pPr>
              <w:pStyle w:val="434"/>
              <w:jc w:val="center"/>
              <w:rPr>
                <w:color w:val="auto"/>
                <w:sz w:val="21"/>
                <w:szCs w:val="21"/>
              </w:rPr>
            </w:pPr>
            <w:r>
              <w:rPr>
                <w:color w:val="auto"/>
                <w:sz w:val="21"/>
                <w:szCs w:val="21"/>
              </w:rPr>
              <w:t>Ⅰ</w:t>
            </w:r>
          </w:p>
        </w:tc>
      </w:tr>
      <w:tr w14:paraId="7D4CE8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5"/>
            <w:tcBorders>
              <w:top w:val="single" w:color="000000" w:sz="4" w:space="0"/>
              <w:left w:val="nil"/>
              <w:bottom w:val="double" w:color="auto" w:sz="4" w:space="0"/>
              <w:right w:val="nil"/>
            </w:tcBorders>
            <w:vAlign w:val="center"/>
          </w:tcPr>
          <w:p w14:paraId="057A76D9">
            <w:pPr>
              <w:pStyle w:val="434"/>
              <w:jc w:val="center"/>
              <w:rPr>
                <w:color w:val="auto"/>
                <w:sz w:val="21"/>
                <w:szCs w:val="21"/>
              </w:rPr>
            </w:pPr>
            <w:r>
              <w:rPr>
                <w:color w:val="auto"/>
                <w:sz w:val="21"/>
                <w:szCs w:val="21"/>
              </w:rPr>
              <w:t>注：Ⅳ</w:t>
            </w:r>
            <w:r>
              <w:rPr>
                <w:color w:val="auto"/>
                <w:sz w:val="21"/>
                <w:szCs w:val="21"/>
                <w:vertAlign w:val="superscript"/>
              </w:rPr>
              <w:t>+</w:t>
            </w:r>
            <w:r>
              <w:rPr>
                <w:color w:val="auto"/>
                <w:sz w:val="21"/>
                <w:szCs w:val="21"/>
              </w:rPr>
              <w:t>为极高环境风险。</w:t>
            </w:r>
          </w:p>
        </w:tc>
      </w:tr>
    </w:tbl>
    <w:p w14:paraId="043BEFC3">
      <w:pPr>
        <w:pStyle w:val="23"/>
        <w:spacing w:after="0" w:line="360" w:lineRule="auto"/>
        <w:ind w:firstLine="480" w:firstLineChars="200"/>
        <w:rPr>
          <w:color w:val="auto"/>
          <w:sz w:val="24"/>
        </w:rPr>
      </w:pPr>
      <w:r>
        <w:rPr>
          <w:color w:val="auto"/>
          <w:sz w:val="24"/>
        </w:rPr>
        <w:t>（P）值判定</w:t>
      </w:r>
    </w:p>
    <w:p w14:paraId="5096BE31">
      <w:pPr>
        <w:pStyle w:val="23"/>
        <w:spacing w:after="0" w:line="360" w:lineRule="auto"/>
        <w:ind w:firstLine="480" w:firstLineChars="200"/>
        <w:rPr>
          <w:color w:val="auto"/>
          <w:sz w:val="24"/>
        </w:rPr>
      </w:pPr>
      <w:r>
        <w:rPr>
          <w:color w:val="auto"/>
          <w:sz w:val="24"/>
        </w:rPr>
        <w:t>根据危险物质数量与临界量比值（Q）和行业及生产工艺（M），按照表</w:t>
      </w:r>
      <w:r>
        <w:rPr>
          <w:rFonts w:hint="eastAsia"/>
          <w:color w:val="auto"/>
          <w:sz w:val="24"/>
        </w:rPr>
        <w:t>6-3</w:t>
      </w:r>
      <w:r>
        <w:rPr>
          <w:color w:val="auto"/>
          <w:sz w:val="24"/>
        </w:rPr>
        <w:t>确定危险物质及工艺系统危险性等级（P），分别以 P1、P2、P3、P4表示。</w:t>
      </w:r>
    </w:p>
    <w:p w14:paraId="6C73C0DE">
      <w:pPr>
        <w:jc w:val="center"/>
        <w:rPr>
          <w:b/>
          <w:color w:val="auto"/>
          <w:sz w:val="24"/>
          <w:szCs w:val="22"/>
        </w:rPr>
      </w:pPr>
      <w:r>
        <w:rPr>
          <w:b/>
          <w:color w:val="auto"/>
          <w:szCs w:val="22"/>
        </w:rPr>
        <w:t>表</w:t>
      </w:r>
      <w:r>
        <w:rPr>
          <w:rFonts w:hint="eastAsia"/>
          <w:b/>
          <w:color w:val="auto"/>
          <w:szCs w:val="22"/>
        </w:rPr>
        <w:t>6</w:t>
      </w:r>
      <w:r>
        <w:rPr>
          <w:rFonts w:hint="eastAsia"/>
          <w:b/>
          <w:color w:val="auto"/>
          <w:szCs w:val="22"/>
          <w:lang w:val="en-US" w:eastAsia="zh-CN"/>
        </w:rPr>
        <w:t>.2</w:t>
      </w:r>
      <w:r>
        <w:rPr>
          <w:rFonts w:hint="eastAsia"/>
          <w:b/>
          <w:color w:val="auto"/>
          <w:szCs w:val="22"/>
        </w:rPr>
        <w:t xml:space="preserve">-3 </w:t>
      </w:r>
      <w:r>
        <w:rPr>
          <w:rFonts w:hint="eastAsia"/>
          <w:b/>
          <w:color w:val="auto"/>
          <w:szCs w:val="22"/>
          <w:lang w:val="en-US" w:eastAsia="zh-CN"/>
        </w:rPr>
        <w:t xml:space="preserve"> </w:t>
      </w:r>
      <w:r>
        <w:rPr>
          <w:b/>
          <w:color w:val="auto"/>
          <w:szCs w:val="22"/>
        </w:rPr>
        <w:t xml:space="preserve">  危险物质及工艺系统危险性等级判断（P）</w:t>
      </w:r>
    </w:p>
    <w:tbl>
      <w:tblPr>
        <w:tblStyle w:val="53"/>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023"/>
        <w:gridCol w:w="1571"/>
        <w:gridCol w:w="1571"/>
        <w:gridCol w:w="1571"/>
        <w:gridCol w:w="1574"/>
      </w:tblGrid>
      <w:tr w14:paraId="472E13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7" w:type="pct"/>
            <w:vMerge w:val="restart"/>
            <w:tcBorders>
              <w:top w:val="double" w:color="auto" w:sz="4" w:space="0"/>
              <w:left w:val="nil"/>
              <w:bottom w:val="single" w:color="000000" w:sz="4" w:space="0"/>
              <w:right w:val="single" w:color="000000" w:sz="4" w:space="0"/>
            </w:tcBorders>
            <w:vAlign w:val="center"/>
          </w:tcPr>
          <w:p w14:paraId="7F307A58">
            <w:pPr>
              <w:pStyle w:val="434"/>
              <w:jc w:val="center"/>
              <w:rPr>
                <w:color w:val="auto"/>
                <w:sz w:val="21"/>
                <w:szCs w:val="21"/>
              </w:rPr>
            </w:pPr>
            <w:r>
              <w:rPr>
                <w:color w:val="auto"/>
                <w:spacing w:val="7"/>
                <w:sz w:val="21"/>
                <w:szCs w:val="21"/>
              </w:rPr>
              <w:t>危险物质数量 与临界量比值</w:t>
            </w:r>
            <w:r>
              <w:rPr>
                <w:color w:val="auto"/>
                <w:sz w:val="21"/>
                <w:szCs w:val="21"/>
              </w:rPr>
              <w:t>（</w:t>
            </w:r>
            <w:r>
              <w:rPr>
                <w:i/>
                <w:color w:val="auto"/>
                <w:sz w:val="21"/>
                <w:szCs w:val="21"/>
              </w:rPr>
              <w:t>Q</w:t>
            </w:r>
            <w:r>
              <w:rPr>
                <w:color w:val="auto"/>
                <w:sz w:val="21"/>
                <w:szCs w:val="21"/>
              </w:rPr>
              <w:t>）</w:t>
            </w:r>
          </w:p>
        </w:tc>
        <w:tc>
          <w:tcPr>
            <w:tcW w:w="3782" w:type="pct"/>
            <w:gridSpan w:val="4"/>
            <w:tcBorders>
              <w:top w:val="double" w:color="auto" w:sz="4" w:space="0"/>
              <w:left w:val="single" w:color="000000" w:sz="4" w:space="0"/>
              <w:bottom w:val="single" w:color="000000" w:sz="4" w:space="0"/>
              <w:right w:val="nil"/>
            </w:tcBorders>
            <w:vAlign w:val="center"/>
          </w:tcPr>
          <w:p w14:paraId="74EC145D">
            <w:pPr>
              <w:pStyle w:val="434"/>
              <w:jc w:val="center"/>
              <w:rPr>
                <w:color w:val="auto"/>
                <w:sz w:val="21"/>
                <w:szCs w:val="21"/>
              </w:rPr>
            </w:pPr>
            <w:r>
              <w:rPr>
                <w:color w:val="auto"/>
                <w:sz w:val="21"/>
                <w:szCs w:val="21"/>
              </w:rPr>
              <w:t>行业及生产工艺（M）</w:t>
            </w:r>
          </w:p>
        </w:tc>
      </w:tr>
      <w:tr w14:paraId="4D7ED5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7" w:type="pct"/>
            <w:vMerge w:val="continue"/>
            <w:tcBorders>
              <w:top w:val="double" w:color="auto" w:sz="4" w:space="0"/>
              <w:left w:val="nil"/>
              <w:bottom w:val="single" w:color="000000" w:sz="4" w:space="0"/>
              <w:right w:val="single" w:color="000000" w:sz="4" w:space="0"/>
            </w:tcBorders>
            <w:vAlign w:val="center"/>
          </w:tcPr>
          <w:p w14:paraId="637AFE06">
            <w:pPr>
              <w:widowControl/>
              <w:jc w:val="left"/>
              <w:rPr>
                <w:color w:val="auto"/>
                <w:kern w:val="0"/>
                <w:szCs w:val="21"/>
              </w:rPr>
            </w:pPr>
          </w:p>
        </w:tc>
        <w:tc>
          <w:tcPr>
            <w:tcW w:w="945" w:type="pct"/>
            <w:tcBorders>
              <w:top w:val="single" w:color="000000" w:sz="4" w:space="0"/>
              <w:left w:val="single" w:color="000000" w:sz="4" w:space="0"/>
              <w:bottom w:val="single" w:color="000000" w:sz="4" w:space="0"/>
              <w:right w:val="single" w:color="000000" w:sz="4" w:space="0"/>
            </w:tcBorders>
            <w:vAlign w:val="center"/>
          </w:tcPr>
          <w:p w14:paraId="1DB83435">
            <w:pPr>
              <w:pStyle w:val="434"/>
              <w:jc w:val="center"/>
              <w:rPr>
                <w:color w:val="auto"/>
                <w:sz w:val="21"/>
                <w:szCs w:val="21"/>
              </w:rPr>
            </w:pPr>
            <w:r>
              <w:rPr>
                <w:color w:val="auto"/>
                <w:sz w:val="21"/>
                <w:szCs w:val="21"/>
              </w:rPr>
              <w:t>M1</w:t>
            </w:r>
          </w:p>
        </w:tc>
        <w:tc>
          <w:tcPr>
            <w:tcW w:w="945" w:type="pct"/>
            <w:tcBorders>
              <w:top w:val="single" w:color="000000" w:sz="4" w:space="0"/>
              <w:left w:val="single" w:color="000000" w:sz="4" w:space="0"/>
              <w:bottom w:val="single" w:color="000000" w:sz="4" w:space="0"/>
              <w:right w:val="single" w:color="000000" w:sz="4" w:space="0"/>
            </w:tcBorders>
            <w:vAlign w:val="center"/>
          </w:tcPr>
          <w:p w14:paraId="3429E56A">
            <w:pPr>
              <w:pStyle w:val="434"/>
              <w:jc w:val="center"/>
              <w:rPr>
                <w:color w:val="auto"/>
                <w:sz w:val="21"/>
                <w:szCs w:val="21"/>
              </w:rPr>
            </w:pPr>
            <w:r>
              <w:rPr>
                <w:color w:val="auto"/>
                <w:sz w:val="21"/>
                <w:szCs w:val="21"/>
              </w:rPr>
              <w:t>M2</w:t>
            </w:r>
          </w:p>
        </w:tc>
        <w:tc>
          <w:tcPr>
            <w:tcW w:w="945" w:type="pct"/>
            <w:tcBorders>
              <w:top w:val="single" w:color="000000" w:sz="4" w:space="0"/>
              <w:left w:val="single" w:color="000000" w:sz="4" w:space="0"/>
              <w:bottom w:val="single" w:color="000000" w:sz="4" w:space="0"/>
              <w:right w:val="single" w:color="000000" w:sz="4" w:space="0"/>
            </w:tcBorders>
            <w:vAlign w:val="center"/>
          </w:tcPr>
          <w:p w14:paraId="2B31184D">
            <w:pPr>
              <w:pStyle w:val="434"/>
              <w:jc w:val="center"/>
              <w:rPr>
                <w:color w:val="auto"/>
                <w:sz w:val="21"/>
                <w:szCs w:val="21"/>
              </w:rPr>
            </w:pPr>
            <w:r>
              <w:rPr>
                <w:color w:val="auto"/>
                <w:sz w:val="21"/>
                <w:szCs w:val="21"/>
              </w:rPr>
              <w:t>M3</w:t>
            </w:r>
          </w:p>
        </w:tc>
        <w:tc>
          <w:tcPr>
            <w:tcW w:w="945" w:type="pct"/>
            <w:tcBorders>
              <w:top w:val="single" w:color="000000" w:sz="4" w:space="0"/>
              <w:left w:val="single" w:color="000000" w:sz="4" w:space="0"/>
              <w:bottom w:val="single" w:color="000000" w:sz="4" w:space="0"/>
              <w:right w:val="nil"/>
            </w:tcBorders>
            <w:vAlign w:val="center"/>
          </w:tcPr>
          <w:p w14:paraId="67AB8A86">
            <w:pPr>
              <w:pStyle w:val="434"/>
              <w:jc w:val="center"/>
              <w:rPr>
                <w:color w:val="auto"/>
                <w:sz w:val="21"/>
                <w:szCs w:val="21"/>
              </w:rPr>
            </w:pPr>
            <w:r>
              <w:rPr>
                <w:color w:val="auto"/>
                <w:sz w:val="21"/>
                <w:szCs w:val="21"/>
              </w:rPr>
              <w:t>M4</w:t>
            </w:r>
          </w:p>
        </w:tc>
      </w:tr>
      <w:tr w14:paraId="65C7B0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7" w:type="pct"/>
            <w:tcBorders>
              <w:top w:val="single" w:color="000000" w:sz="4" w:space="0"/>
              <w:left w:val="nil"/>
              <w:bottom w:val="single" w:color="000000" w:sz="4" w:space="0"/>
              <w:right w:val="single" w:color="000000" w:sz="4" w:space="0"/>
            </w:tcBorders>
            <w:vAlign w:val="center"/>
          </w:tcPr>
          <w:p w14:paraId="7AAC5355">
            <w:pPr>
              <w:pStyle w:val="434"/>
              <w:jc w:val="center"/>
              <w:rPr>
                <w:color w:val="auto"/>
                <w:sz w:val="21"/>
                <w:szCs w:val="21"/>
              </w:rPr>
            </w:pPr>
            <w:r>
              <w:rPr>
                <w:i/>
                <w:color w:val="auto"/>
                <w:sz w:val="21"/>
                <w:szCs w:val="21"/>
              </w:rPr>
              <w:t>Q</w:t>
            </w:r>
            <w:r>
              <w:rPr>
                <w:color w:val="auto"/>
                <w:sz w:val="21"/>
                <w:szCs w:val="21"/>
              </w:rPr>
              <w:t>≥100</w:t>
            </w:r>
          </w:p>
        </w:tc>
        <w:tc>
          <w:tcPr>
            <w:tcW w:w="945" w:type="pct"/>
            <w:tcBorders>
              <w:top w:val="single" w:color="000000" w:sz="4" w:space="0"/>
              <w:left w:val="single" w:color="000000" w:sz="4" w:space="0"/>
              <w:bottom w:val="single" w:color="000000" w:sz="4" w:space="0"/>
              <w:right w:val="single" w:color="000000" w:sz="4" w:space="0"/>
            </w:tcBorders>
            <w:vAlign w:val="center"/>
          </w:tcPr>
          <w:p w14:paraId="6A5ADCD2">
            <w:pPr>
              <w:pStyle w:val="434"/>
              <w:jc w:val="center"/>
              <w:rPr>
                <w:color w:val="auto"/>
                <w:sz w:val="21"/>
                <w:szCs w:val="21"/>
              </w:rPr>
            </w:pPr>
            <w:r>
              <w:rPr>
                <w:color w:val="auto"/>
                <w:sz w:val="21"/>
                <w:szCs w:val="21"/>
              </w:rPr>
              <w:t>P1</w:t>
            </w:r>
          </w:p>
        </w:tc>
        <w:tc>
          <w:tcPr>
            <w:tcW w:w="945" w:type="pct"/>
            <w:tcBorders>
              <w:top w:val="single" w:color="000000" w:sz="4" w:space="0"/>
              <w:left w:val="single" w:color="000000" w:sz="4" w:space="0"/>
              <w:bottom w:val="single" w:color="000000" w:sz="4" w:space="0"/>
              <w:right w:val="single" w:color="000000" w:sz="4" w:space="0"/>
            </w:tcBorders>
            <w:vAlign w:val="center"/>
          </w:tcPr>
          <w:p w14:paraId="4031CA31">
            <w:pPr>
              <w:pStyle w:val="434"/>
              <w:jc w:val="center"/>
              <w:rPr>
                <w:color w:val="auto"/>
                <w:sz w:val="21"/>
                <w:szCs w:val="21"/>
              </w:rPr>
            </w:pPr>
            <w:r>
              <w:rPr>
                <w:color w:val="auto"/>
                <w:sz w:val="21"/>
                <w:szCs w:val="21"/>
              </w:rPr>
              <w:t>P1</w:t>
            </w:r>
          </w:p>
        </w:tc>
        <w:tc>
          <w:tcPr>
            <w:tcW w:w="945" w:type="pct"/>
            <w:tcBorders>
              <w:top w:val="single" w:color="000000" w:sz="4" w:space="0"/>
              <w:left w:val="single" w:color="000000" w:sz="4" w:space="0"/>
              <w:bottom w:val="single" w:color="000000" w:sz="4" w:space="0"/>
              <w:right w:val="single" w:color="000000" w:sz="4" w:space="0"/>
            </w:tcBorders>
            <w:vAlign w:val="center"/>
          </w:tcPr>
          <w:p w14:paraId="29120C20">
            <w:pPr>
              <w:pStyle w:val="434"/>
              <w:jc w:val="center"/>
              <w:rPr>
                <w:color w:val="auto"/>
                <w:sz w:val="21"/>
                <w:szCs w:val="21"/>
              </w:rPr>
            </w:pPr>
            <w:r>
              <w:rPr>
                <w:color w:val="auto"/>
                <w:sz w:val="21"/>
                <w:szCs w:val="21"/>
              </w:rPr>
              <w:t>P2</w:t>
            </w:r>
          </w:p>
        </w:tc>
        <w:tc>
          <w:tcPr>
            <w:tcW w:w="945" w:type="pct"/>
            <w:tcBorders>
              <w:top w:val="single" w:color="000000" w:sz="4" w:space="0"/>
              <w:left w:val="single" w:color="000000" w:sz="4" w:space="0"/>
              <w:bottom w:val="single" w:color="000000" w:sz="4" w:space="0"/>
              <w:right w:val="nil"/>
            </w:tcBorders>
            <w:vAlign w:val="center"/>
          </w:tcPr>
          <w:p w14:paraId="1D4630A1">
            <w:pPr>
              <w:pStyle w:val="434"/>
              <w:jc w:val="center"/>
              <w:rPr>
                <w:color w:val="auto"/>
                <w:sz w:val="21"/>
                <w:szCs w:val="21"/>
              </w:rPr>
            </w:pPr>
            <w:r>
              <w:rPr>
                <w:color w:val="auto"/>
                <w:sz w:val="21"/>
                <w:szCs w:val="21"/>
              </w:rPr>
              <w:t>P3</w:t>
            </w:r>
          </w:p>
        </w:tc>
      </w:tr>
      <w:tr w14:paraId="4FE04F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7" w:type="pct"/>
            <w:tcBorders>
              <w:top w:val="single" w:color="000000" w:sz="4" w:space="0"/>
              <w:left w:val="nil"/>
              <w:bottom w:val="single" w:color="000000" w:sz="4" w:space="0"/>
              <w:right w:val="single" w:color="000000" w:sz="4" w:space="0"/>
            </w:tcBorders>
            <w:vAlign w:val="center"/>
          </w:tcPr>
          <w:p w14:paraId="518C2D47">
            <w:pPr>
              <w:pStyle w:val="434"/>
              <w:jc w:val="center"/>
              <w:rPr>
                <w:color w:val="auto"/>
                <w:sz w:val="21"/>
                <w:szCs w:val="21"/>
              </w:rPr>
            </w:pPr>
            <w:r>
              <w:rPr>
                <w:color w:val="auto"/>
                <w:sz w:val="21"/>
                <w:szCs w:val="21"/>
              </w:rPr>
              <w:t>10≤</w:t>
            </w:r>
            <w:r>
              <w:rPr>
                <w:i/>
                <w:color w:val="auto"/>
                <w:sz w:val="21"/>
                <w:szCs w:val="21"/>
              </w:rPr>
              <w:t>Q</w:t>
            </w:r>
            <w:r>
              <w:rPr>
                <w:color w:val="auto"/>
                <w:sz w:val="21"/>
                <w:szCs w:val="21"/>
              </w:rPr>
              <w:t>＜100</w:t>
            </w:r>
          </w:p>
        </w:tc>
        <w:tc>
          <w:tcPr>
            <w:tcW w:w="945" w:type="pct"/>
            <w:tcBorders>
              <w:top w:val="single" w:color="000000" w:sz="4" w:space="0"/>
              <w:left w:val="single" w:color="000000" w:sz="4" w:space="0"/>
              <w:bottom w:val="single" w:color="000000" w:sz="4" w:space="0"/>
              <w:right w:val="single" w:color="000000" w:sz="4" w:space="0"/>
            </w:tcBorders>
            <w:vAlign w:val="center"/>
          </w:tcPr>
          <w:p w14:paraId="360A154A">
            <w:pPr>
              <w:pStyle w:val="434"/>
              <w:jc w:val="center"/>
              <w:rPr>
                <w:color w:val="auto"/>
                <w:sz w:val="21"/>
                <w:szCs w:val="21"/>
              </w:rPr>
            </w:pPr>
            <w:r>
              <w:rPr>
                <w:color w:val="auto"/>
                <w:sz w:val="21"/>
                <w:szCs w:val="21"/>
              </w:rPr>
              <w:t>P1</w:t>
            </w:r>
          </w:p>
        </w:tc>
        <w:tc>
          <w:tcPr>
            <w:tcW w:w="945" w:type="pct"/>
            <w:tcBorders>
              <w:top w:val="single" w:color="000000" w:sz="4" w:space="0"/>
              <w:left w:val="single" w:color="000000" w:sz="4" w:space="0"/>
              <w:bottom w:val="single" w:color="000000" w:sz="4" w:space="0"/>
              <w:right w:val="single" w:color="000000" w:sz="4" w:space="0"/>
            </w:tcBorders>
            <w:vAlign w:val="center"/>
          </w:tcPr>
          <w:p w14:paraId="6AA20431">
            <w:pPr>
              <w:pStyle w:val="434"/>
              <w:jc w:val="center"/>
              <w:rPr>
                <w:color w:val="auto"/>
                <w:sz w:val="21"/>
                <w:szCs w:val="21"/>
              </w:rPr>
            </w:pPr>
            <w:r>
              <w:rPr>
                <w:color w:val="auto"/>
                <w:sz w:val="21"/>
                <w:szCs w:val="21"/>
              </w:rPr>
              <w:t>P2</w:t>
            </w:r>
          </w:p>
        </w:tc>
        <w:tc>
          <w:tcPr>
            <w:tcW w:w="945" w:type="pct"/>
            <w:tcBorders>
              <w:top w:val="single" w:color="000000" w:sz="4" w:space="0"/>
              <w:left w:val="single" w:color="000000" w:sz="4" w:space="0"/>
              <w:bottom w:val="single" w:color="000000" w:sz="4" w:space="0"/>
              <w:right w:val="single" w:color="000000" w:sz="4" w:space="0"/>
            </w:tcBorders>
            <w:vAlign w:val="center"/>
          </w:tcPr>
          <w:p w14:paraId="6AB5098C">
            <w:pPr>
              <w:pStyle w:val="434"/>
              <w:jc w:val="center"/>
              <w:rPr>
                <w:color w:val="auto"/>
                <w:sz w:val="21"/>
                <w:szCs w:val="21"/>
              </w:rPr>
            </w:pPr>
            <w:r>
              <w:rPr>
                <w:color w:val="auto"/>
                <w:sz w:val="21"/>
                <w:szCs w:val="21"/>
              </w:rPr>
              <w:t>P3</w:t>
            </w:r>
          </w:p>
        </w:tc>
        <w:tc>
          <w:tcPr>
            <w:tcW w:w="945" w:type="pct"/>
            <w:tcBorders>
              <w:top w:val="single" w:color="000000" w:sz="4" w:space="0"/>
              <w:left w:val="single" w:color="000000" w:sz="4" w:space="0"/>
              <w:bottom w:val="single" w:color="000000" w:sz="4" w:space="0"/>
              <w:right w:val="nil"/>
            </w:tcBorders>
            <w:vAlign w:val="center"/>
          </w:tcPr>
          <w:p w14:paraId="0898FBA7">
            <w:pPr>
              <w:pStyle w:val="434"/>
              <w:jc w:val="center"/>
              <w:rPr>
                <w:color w:val="auto"/>
                <w:sz w:val="21"/>
                <w:szCs w:val="21"/>
              </w:rPr>
            </w:pPr>
            <w:r>
              <w:rPr>
                <w:color w:val="auto"/>
                <w:sz w:val="21"/>
                <w:szCs w:val="21"/>
              </w:rPr>
              <w:t>P4</w:t>
            </w:r>
          </w:p>
        </w:tc>
      </w:tr>
      <w:tr w14:paraId="4DF438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7" w:type="pct"/>
            <w:tcBorders>
              <w:top w:val="single" w:color="000000" w:sz="4" w:space="0"/>
              <w:left w:val="nil"/>
              <w:bottom w:val="double" w:color="auto" w:sz="4" w:space="0"/>
              <w:right w:val="single" w:color="000000" w:sz="4" w:space="0"/>
            </w:tcBorders>
            <w:vAlign w:val="center"/>
          </w:tcPr>
          <w:p w14:paraId="43B447CE">
            <w:pPr>
              <w:pStyle w:val="434"/>
              <w:jc w:val="center"/>
              <w:rPr>
                <w:color w:val="auto"/>
                <w:sz w:val="21"/>
                <w:szCs w:val="21"/>
              </w:rPr>
            </w:pPr>
            <w:r>
              <w:rPr>
                <w:color w:val="auto"/>
                <w:sz w:val="21"/>
                <w:szCs w:val="21"/>
              </w:rPr>
              <w:t>1≤</w:t>
            </w:r>
            <w:r>
              <w:rPr>
                <w:i/>
                <w:color w:val="auto"/>
                <w:sz w:val="21"/>
                <w:szCs w:val="21"/>
              </w:rPr>
              <w:t>Q</w:t>
            </w:r>
            <w:r>
              <w:rPr>
                <w:color w:val="auto"/>
                <w:sz w:val="21"/>
                <w:szCs w:val="21"/>
              </w:rPr>
              <w:t>＜10</w:t>
            </w:r>
          </w:p>
        </w:tc>
        <w:tc>
          <w:tcPr>
            <w:tcW w:w="945" w:type="pct"/>
            <w:tcBorders>
              <w:top w:val="single" w:color="000000" w:sz="4" w:space="0"/>
              <w:left w:val="single" w:color="000000" w:sz="4" w:space="0"/>
              <w:bottom w:val="double" w:color="auto" w:sz="4" w:space="0"/>
              <w:right w:val="single" w:color="000000" w:sz="4" w:space="0"/>
            </w:tcBorders>
            <w:vAlign w:val="center"/>
          </w:tcPr>
          <w:p w14:paraId="6365830F">
            <w:pPr>
              <w:pStyle w:val="434"/>
              <w:jc w:val="center"/>
              <w:rPr>
                <w:color w:val="auto"/>
                <w:sz w:val="21"/>
                <w:szCs w:val="21"/>
              </w:rPr>
            </w:pPr>
            <w:r>
              <w:rPr>
                <w:color w:val="auto"/>
                <w:sz w:val="21"/>
                <w:szCs w:val="21"/>
              </w:rPr>
              <w:t>P2</w:t>
            </w:r>
          </w:p>
        </w:tc>
        <w:tc>
          <w:tcPr>
            <w:tcW w:w="945" w:type="pct"/>
            <w:tcBorders>
              <w:top w:val="single" w:color="000000" w:sz="4" w:space="0"/>
              <w:left w:val="single" w:color="000000" w:sz="4" w:space="0"/>
              <w:bottom w:val="double" w:color="auto" w:sz="4" w:space="0"/>
              <w:right w:val="single" w:color="000000" w:sz="4" w:space="0"/>
            </w:tcBorders>
            <w:vAlign w:val="center"/>
          </w:tcPr>
          <w:p w14:paraId="4E475935">
            <w:pPr>
              <w:pStyle w:val="434"/>
              <w:jc w:val="center"/>
              <w:rPr>
                <w:color w:val="auto"/>
                <w:sz w:val="21"/>
                <w:szCs w:val="21"/>
              </w:rPr>
            </w:pPr>
            <w:r>
              <w:rPr>
                <w:color w:val="auto"/>
                <w:sz w:val="21"/>
                <w:szCs w:val="21"/>
              </w:rPr>
              <w:t>P3</w:t>
            </w:r>
          </w:p>
        </w:tc>
        <w:tc>
          <w:tcPr>
            <w:tcW w:w="945" w:type="pct"/>
            <w:tcBorders>
              <w:top w:val="single" w:color="000000" w:sz="4" w:space="0"/>
              <w:left w:val="single" w:color="000000" w:sz="4" w:space="0"/>
              <w:bottom w:val="double" w:color="auto" w:sz="4" w:space="0"/>
              <w:right w:val="single" w:color="000000" w:sz="4" w:space="0"/>
            </w:tcBorders>
            <w:vAlign w:val="center"/>
          </w:tcPr>
          <w:p w14:paraId="58A9161A">
            <w:pPr>
              <w:pStyle w:val="434"/>
              <w:jc w:val="center"/>
              <w:rPr>
                <w:color w:val="auto"/>
                <w:sz w:val="21"/>
                <w:szCs w:val="21"/>
              </w:rPr>
            </w:pPr>
            <w:r>
              <w:rPr>
                <w:color w:val="auto"/>
                <w:sz w:val="21"/>
                <w:szCs w:val="21"/>
              </w:rPr>
              <w:t>P4</w:t>
            </w:r>
          </w:p>
        </w:tc>
        <w:tc>
          <w:tcPr>
            <w:tcW w:w="945" w:type="pct"/>
            <w:tcBorders>
              <w:top w:val="single" w:color="000000" w:sz="4" w:space="0"/>
              <w:left w:val="single" w:color="000000" w:sz="4" w:space="0"/>
              <w:bottom w:val="double" w:color="auto" w:sz="4" w:space="0"/>
              <w:right w:val="nil"/>
            </w:tcBorders>
            <w:vAlign w:val="center"/>
          </w:tcPr>
          <w:p w14:paraId="2DBC969F">
            <w:pPr>
              <w:pStyle w:val="434"/>
              <w:jc w:val="center"/>
              <w:rPr>
                <w:color w:val="auto"/>
                <w:sz w:val="21"/>
                <w:szCs w:val="21"/>
              </w:rPr>
            </w:pPr>
            <w:r>
              <w:rPr>
                <w:color w:val="auto"/>
                <w:sz w:val="21"/>
                <w:szCs w:val="21"/>
              </w:rPr>
              <w:t>P4</w:t>
            </w:r>
          </w:p>
        </w:tc>
      </w:tr>
    </w:tbl>
    <w:p w14:paraId="76A30A13">
      <w:pPr>
        <w:pStyle w:val="23"/>
        <w:widowControl/>
        <w:numPr>
          <w:ilvl w:val="0"/>
          <w:numId w:val="5"/>
        </w:numPr>
        <w:spacing w:after="0" w:line="360" w:lineRule="auto"/>
        <w:rPr>
          <w:color w:val="auto"/>
          <w:sz w:val="24"/>
        </w:rPr>
      </w:pPr>
      <w:r>
        <w:rPr>
          <w:i/>
          <w:color w:val="auto"/>
          <w:sz w:val="24"/>
        </w:rPr>
        <w:t>Q</w:t>
      </w:r>
      <w:r>
        <w:rPr>
          <w:color w:val="auto"/>
          <w:sz w:val="24"/>
        </w:rPr>
        <w:t>值确定</w:t>
      </w:r>
    </w:p>
    <w:p w14:paraId="1FC2461B">
      <w:pPr>
        <w:pStyle w:val="23"/>
        <w:spacing w:after="0" w:line="360" w:lineRule="auto"/>
        <w:ind w:firstLine="480" w:firstLineChars="200"/>
        <w:rPr>
          <w:color w:val="auto"/>
          <w:sz w:val="24"/>
        </w:rPr>
      </w:pPr>
      <w:r>
        <w:rPr>
          <w:color w:val="auto"/>
          <w:sz w:val="24"/>
        </w:rPr>
        <w:t xml:space="preserve">当只涉及一种危险物质时，计算该物质的总量与其临界量比值，即为 </w:t>
      </w:r>
      <w:r>
        <w:rPr>
          <w:i/>
          <w:color w:val="auto"/>
          <w:sz w:val="24"/>
        </w:rPr>
        <w:t>Q</w:t>
      </w:r>
      <w:r>
        <w:rPr>
          <w:color w:val="auto"/>
          <w:sz w:val="24"/>
        </w:rPr>
        <w:t>；</w:t>
      </w:r>
    </w:p>
    <w:p w14:paraId="158DEB1E">
      <w:pPr>
        <w:pStyle w:val="23"/>
        <w:spacing w:after="0" w:line="360" w:lineRule="auto"/>
        <w:ind w:firstLine="508" w:firstLineChars="200"/>
        <w:rPr>
          <w:color w:val="auto"/>
          <w:spacing w:val="7"/>
          <w:sz w:val="24"/>
        </w:rPr>
      </w:pPr>
      <w:r>
        <w:rPr>
          <w:color w:val="auto"/>
          <w:spacing w:val="7"/>
          <w:sz w:val="24"/>
        </w:rPr>
        <w:t>当存在多种危险物质时，则按下式计算物质总量与其临界量比值（</w:t>
      </w:r>
      <w:r>
        <w:rPr>
          <w:i/>
          <w:color w:val="auto"/>
          <w:sz w:val="24"/>
        </w:rPr>
        <w:t>Q</w:t>
      </w:r>
      <w:r>
        <w:rPr>
          <w:color w:val="auto"/>
          <w:spacing w:val="7"/>
          <w:sz w:val="24"/>
        </w:rPr>
        <w:t>）：</w:t>
      </w:r>
    </w:p>
    <w:p w14:paraId="7FA510F3">
      <w:pPr>
        <w:pStyle w:val="23"/>
        <w:spacing w:after="0" w:line="360" w:lineRule="auto"/>
        <w:ind w:firstLine="508" w:firstLineChars="200"/>
        <w:jc w:val="center"/>
        <w:rPr>
          <w:color w:val="auto"/>
          <w:spacing w:val="7"/>
          <w:sz w:val="24"/>
        </w:rPr>
      </w:pPr>
      <w:r>
        <w:rPr>
          <w:color w:val="auto"/>
          <w:spacing w:val="7"/>
          <w:sz w:val="24"/>
        </w:rPr>
        <w:drawing>
          <wp:inline distT="0" distB="0" distL="114300" distR="114300">
            <wp:extent cx="1563370" cy="380365"/>
            <wp:effectExtent l="0" t="0" r="0" b="0"/>
            <wp:docPr id="308"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31"/>
                    <pic:cNvPicPr>
                      <a:picLocks noChangeAspect="1"/>
                    </pic:cNvPicPr>
                  </pic:nvPicPr>
                  <pic:blipFill>
                    <a:blip r:embed="rId24">
                      <a:clrChange>
                        <a:clrFrom>
                          <a:srgbClr val="FFFFFF"/>
                        </a:clrFrom>
                        <a:clrTo>
                          <a:srgbClr val="FFFFFF">
                            <a:alpha val="0"/>
                          </a:srgbClr>
                        </a:clrTo>
                      </a:clrChange>
                    </a:blip>
                    <a:stretch>
                      <a:fillRect/>
                    </a:stretch>
                  </pic:blipFill>
                  <pic:spPr>
                    <a:xfrm>
                      <a:off x="0" y="0"/>
                      <a:ext cx="1563370" cy="380365"/>
                    </a:xfrm>
                    <a:prstGeom prst="rect">
                      <a:avLst/>
                    </a:prstGeom>
                    <a:noFill/>
                    <a:ln>
                      <a:noFill/>
                    </a:ln>
                  </pic:spPr>
                </pic:pic>
              </a:graphicData>
            </a:graphic>
          </wp:inline>
        </w:drawing>
      </w:r>
    </w:p>
    <w:p w14:paraId="205F6A34">
      <w:pPr>
        <w:pStyle w:val="23"/>
        <w:spacing w:after="0" w:line="360" w:lineRule="auto"/>
        <w:ind w:firstLine="480" w:firstLineChars="200"/>
        <w:rPr>
          <w:color w:val="auto"/>
          <w:sz w:val="24"/>
        </w:rPr>
      </w:pPr>
      <w:r>
        <w:rPr>
          <w:color w:val="auto"/>
          <w:sz w:val="24"/>
        </w:rPr>
        <w:t>式中：</w:t>
      </w:r>
      <w:r>
        <w:rPr>
          <w:i/>
          <w:color w:val="auto"/>
          <w:sz w:val="24"/>
        </w:rPr>
        <w:t>q</w:t>
      </w:r>
      <w:r>
        <w:rPr>
          <w:color w:val="auto"/>
          <w:sz w:val="24"/>
          <w:vertAlign w:val="subscript"/>
        </w:rPr>
        <w:t>1</w:t>
      </w:r>
      <w:r>
        <w:rPr>
          <w:color w:val="auto"/>
          <w:sz w:val="24"/>
        </w:rPr>
        <w:t>，</w:t>
      </w:r>
      <w:r>
        <w:rPr>
          <w:i/>
          <w:color w:val="auto"/>
          <w:sz w:val="24"/>
        </w:rPr>
        <w:t>q</w:t>
      </w:r>
      <w:r>
        <w:rPr>
          <w:color w:val="auto"/>
          <w:sz w:val="24"/>
          <w:vertAlign w:val="subscript"/>
        </w:rPr>
        <w:t>2</w:t>
      </w:r>
      <w:r>
        <w:rPr>
          <w:color w:val="auto"/>
          <w:sz w:val="24"/>
        </w:rPr>
        <w:t>，...，</w:t>
      </w:r>
      <w:r>
        <w:rPr>
          <w:i/>
          <w:color w:val="auto"/>
          <w:sz w:val="24"/>
        </w:rPr>
        <w:t>q</w:t>
      </w:r>
      <w:r>
        <w:rPr>
          <w:i/>
          <w:color w:val="auto"/>
          <w:sz w:val="24"/>
          <w:vertAlign w:val="subscript"/>
        </w:rPr>
        <w:t>n</w:t>
      </w:r>
      <w:r>
        <w:rPr>
          <w:color w:val="auto"/>
          <w:sz w:val="24"/>
        </w:rPr>
        <w:t>——每种危险物质的最大存在总量，t；</w:t>
      </w:r>
    </w:p>
    <w:p w14:paraId="048F34AC">
      <w:pPr>
        <w:pStyle w:val="23"/>
        <w:spacing w:after="0" w:line="360" w:lineRule="auto"/>
        <w:ind w:firstLine="480" w:firstLineChars="200"/>
        <w:rPr>
          <w:color w:val="auto"/>
          <w:sz w:val="24"/>
        </w:rPr>
      </w:pPr>
      <w:r>
        <w:rPr>
          <w:i/>
          <w:color w:val="auto"/>
          <w:sz w:val="24"/>
        </w:rPr>
        <w:t>Q</w:t>
      </w:r>
      <w:r>
        <w:rPr>
          <w:color w:val="auto"/>
          <w:sz w:val="24"/>
          <w:vertAlign w:val="subscript"/>
        </w:rPr>
        <w:t>1</w:t>
      </w:r>
      <w:r>
        <w:rPr>
          <w:color w:val="auto"/>
          <w:sz w:val="24"/>
        </w:rPr>
        <w:t xml:space="preserve">, </w:t>
      </w:r>
      <w:r>
        <w:rPr>
          <w:i/>
          <w:color w:val="auto"/>
          <w:sz w:val="24"/>
        </w:rPr>
        <w:t>Q</w:t>
      </w:r>
      <w:r>
        <w:rPr>
          <w:color w:val="auto"/>
          <w:sz w:val="24"/>
          <w:vertAlign w:val="subscript"/>
        </w:rPr>
        <w:t>2</w:t>
      </w:r>
      <w:r>
        <w:rPr>
          <w:color w:val="auto"/>
          <w:sz w:val="24"/>
        </w:rPr>
        <w:t xml:space="preserve">, ..., </w:t>
      </w:r>
      <w:r>
        <w:rPr>
          <w:i/>
          <w:color w:val="auto"/>
          <w:sz w:val="24"/>
        </w:rPr>
        <w:t>Q</w:t>
      </w:r>
      <w:r>
        <w:rPr>
          <w:i/>
          <w:color w:val="auto"/>
          <w:sz w:val="24"/>
          <w:vertAlign w:val="subscript"/>
        </w:rPr>
        <w:t>n</w:t>
      </w:r>
      <w:r>
        <w:rPr>
          <w:color w:val="auto"/>
          <w:sz w:val="24"/>
        </w:rPr>
        <w:t>——每种危险物的临界量，t。</w:t>
      </w:r>
    </w:p>
    <w:p w14:paraId="558BDC9C">
      <w:pPr>
        <w:pStyle w:val="23"/>
        <w:spacing w:after="0" w:line="360" w:lineRule="auto"/>
        <w:ind w:firstLine="480" w:firstLineChars="200"/>
        <w:rPr>
          <w:color w:val="auto"/>
          <w:sz w:val="24"/>
        </w:rPr>
      </w:pPr>
      <w:r>
        <w:rPr>
          <w:color w:val="auto"/>
          <w:sz w:val="24"/>
        </w:rPr>
        <w:t>当</w:t>
      </w:r>
      <w:r>
        <w:rPr>
          <w:i/>
          <w:color w:val="auto"/>
          <w:sz w:val="24"/>
        </w:rPr>
        <w:t>Q</w:t>
      </w:r>
      <w:r>
        <w:rPr>
          <w:color w:val="auto"/>
          <w:sz w:val="24"/>
        </w:rPr>
        <w:t>＜1 时，该项目环境风险潜势为Ⅰ。</w:t>
      </w:r>
    </w:p>
    <w:p w14:paraId="18EF5DDA">
      <w:pPr>
        <w:snapToGrid w:val="0"/>
        <w:spacing w:line="360" w:lineRule="auto"/>
        <w:ind w:firstLine="372" w:firstLineChars="200"/>
        <w:rPr>
          <w:b/>
          <w:color w:val="auto"/>
          <w:kern w:val="0"/>
          <w:sz w:val="24"/>
        </w:rPr>
      </w:pPr>
      <w:r>
        <w:rPr>
          <w:color w:val="auto"/>
          <w:spacing w:val="-27"/>
          <w:sz w:val="24"/>
        </w:rPr>
        <w:t xml:space="preserve">  当 </w:t>
      </w:r>
      <w:r>
        <w:rPr>
          <w:i/>
          <w:color w:val="auto"/>
          <w:spacing w:val="-1"/>
          <w:sz w:val="24"/>
        </w:rPr>
        <w:t>Q</w:t>
      </w:r>
      <w:r>
        <w:rPr>
          <w:color w:val="auto"/>
          <w:sz w:val="24"/>
        </w:rPr>
        <w:t xml:space="preserve">≥1 </w:t>
      </w:r>
      <w:r>
        <w:rPr>
          <w:color w:val="auto"/>
          <w:spacing w:val="-14"/>
          <w:sz w:val="24"/>
        </w:rPr>
        <w:t xml:space="preserve">时，将 </w:t>
      </w:r>
      <w:r>
        <w:rPr>
          <w:i/>
          <w:color w:val="auto"/>
          <w:sz w:val="24"/>
        </w:rPr>
        <w:t>Q</w:t>
      </w:r>
      <w:r>
        <w:rPr>
          <w:color w:val="auto"/>
          <w:spacing w:val="-21"/>
          <w:sz w:val="24"/>
        </w:rPr>
        <w:t>值划分为：</w:t>
      </w:r>
      <w:r>
        <w:rPr>
          <w:color w:val="auto"/>
          <w:sz w:val="24"/>
        </w:rPr>
        <w:t>（1</w:t>
      </w:r>
      <w:r>
        <w:rPr>
          <w:color w:val="auto"/>
          <w:spacing w:val="-2"/>
          <w:sz w:val="24"/>
        </w:rPr>
        <w:t>）</w:t>
      </w:r>
      <w:r>
        <w:rPr>
          <w:color w:val="auto"/>
          <w:sz w:val="24"/>
        </w:rPr>
        <w:t>1</w:t>
      </w:r>
      <w:r>
        <w:rPr>
          <w:color w:val="auto"/>
          <w:spacing w:val="-2"/>
          <w:sz w:val="24"/>
        </w:rPr>
        <w:t>≤</w:t>
      </w:r>
      <w:r>
        <w:rPr>
          <w:i/>
          <w:color w:val="auto"/>
          <w:spacing w:val="-1"/>
          <w:sz w:val="24"/>
        </w:rPr>
        <w:t>Q</w:t>
      </w:r>
      <w:r>
        <w:rPr>
          <w:color w:val="auto"/>
          <w:sz w:val="24"/>
        </w:rPr>
        <w:t>＜10</w:t>
      </w:r>
      <w:r>
        <w:rPr>
          <w:color w:val="auto"/>
          <w:spacing w:val="-105"/>
          <w:sz w:val="24"/>
        </w:rPr>
        <w:t>；</w:t>
      </w:r>
      <w:r>
        <w:rPr>
          <w:color w:val="auto"/>
          <w:spacing w:val="-2"/>
          <w:sz w:val="24"/>
        </w:rPr>
        <w:t>（</w:t>
      </w:r>
      <w:r>
        <w:rPr>
          <w:color w:val="auto"/>
          <w:sz w:val="24"/>
        </w:rPr>
        <w:t>2</w:t>
      </w:r>
      <w:r>
        <w:rPr>
          <w:color w:val="auto"/>
          <w:spacing w:val="-2"/>
          <w:sz w:val="24"/>
        </w:rPr>
        <w:t>）</w:t>
      </w:r>
      <w:r>
        <w:rPr>
          <w:color w:val="auto"/>
          <w:sz w:val="24"/>
        </w:rPr>
        <w:t>10≤</w:t>
      </w:r>
      <w:r>
        <w:rPr>
          <w:i/>
          <w:color w:val="auto"/>
          <w:spacing w:val="-1"/>
          <w:sz w:val="24"/>
        </w:rPr>
        <w:t>Q</w:t>
      </w:r>
      <w:r>
        <w:rPr>
          <w:color w:val="auto"/>
          <w:sz w:val="24"/>
        </w:rPr>
        <w:t>＜</w:t>
      </w:r>
      <w:r>
        <w:rPr>
          <w:color w:val="auto"/>
          <w:spacing w:val="-1"/>
          <w:sz w:val="24"/>
        </w:rPr>
        <w:t>1</w:t>
      </w:r>
      <w:r>
        <w:rPr>
          <w:color w:val="auto"/>
          <w:sz w:val="24"/>
        </w:rPr>
        <w:t>0</w:t>
      </w:r>
      <w:r>
        <w:rPr>
          <w:color w:val="auto"/>
          <w:spacing w:val="-1"/>
          <w:sz w:val="24"/>
        </w:rPr>
        <w:t>0</w:t>
      </w:r>
      <w:r>
        <w:rPr>
          <w:color w:val="auto"/>
          <w:spacing w:val="-106"/>
          <w:sz w:val="24"/>
        </w:rPr>
        <w:t>；</w:t>
      </w:r>
      <w:r>
        <w:rPr>
          <w:color w:val="auto"/>
          <w:sz w:val="24"/>
        </w:rPr>
        <w:t>（3）</w:t>
      </w:r>
      <w:r>
        <w:rPr>
          <w:i/>
          <w:color w:val="auto"/>
          <w:spacing w:val="-1"/>
          <w:sz w:val="24"/>
        </w:rPr>
        <w:t>Q</w:t>
      </w:r>
      <w:r>
        <w:rPr>
          <w:color w:val="auto"/>
          <w:sz w:val="24"/>
        </w:rPr>
        <w:t>≥1</w:t>
      </w:r>
      <w:r>
        <w:rPr>
          <w:color w:val="auto"/>
          <w:spacing w:val="-1"/>
          <w:sz w:val="24"/>
        </w:rPr>
        <w:t>00</w:t>
      </w:r>
      <w:r>
        <w:rPr>
          <w:color w:val="auto"/>
          <w:sz w:val="24"/>
        </w:rPr>
        <w:t>。</w:t>
      </w:r>
    </w:p>
    <w:p w14:paraId="4B5AA2F4">
      <w:pPr>
        <w:spacing w:line="360" w:lineRule="auto"/>
        <w:ind w:firstLine="480" w:firstLineChars="200"/>
        <w:rPr>
          <w:color w:val="auto"/>
          <w:sz w:val="24"/>
          <w:highlight w:val="yellow"/>
        </w:rPr>
      </w:pPr>
      <w:r>
        <w:rPr>
          <w:color w:val="auto"/>
          <w:kern w:val="0"/>
          <w:sz w:val="24"/>
        </w:rPr>
        <w:t>本项目危险物质为柴油，</w:t>
      </w:r>
      <w:r>
        <w:rPr>
          <w:color w:val="auto"/>
          <w:sz w:val="24"/>
        </w:rPr>
        <w:t>厂内</w:t>
      </w:r>
      <w:r>
        <w:rPr>
          <w:color w:val="auto"/>
          <w:kern w:val="0"/>
          <w:sz w:val="24"/>
        </w:rPr>
        <w:t>柴油</w:t>
      </w:r>
      <w:r>
        <w:rPr>
          <w:color w:val="auto"/>
          <w:sz w:val="24"/>
        </w:rPr>
        <w:t>最大储存量为0.51t，</w:t>
      </w:r>
      <w:r>
        <w:rPr>
          <w:rFonts w:hint="eastAsia"/>
          <w:color w:val="auto"/>
          <w:sz w:val="24"/>
          <w:lang w:eastAsia="zh-CN"/>
        </w:rPr>
        <w:t>临界量为</w:t>
      </w:r>
      <w:r>
        <w:rPr>
          <w:rFonts w:hint="eastAsia"/>
          <w:color w:val="auto"/>
          <w:sz w:val="24"/>
          <w:lang w:val="en-US" w:eastAsia="zh-CN"/>
        </w:rPr>
        <w:t>2500t，</w:t>
      </w:r>
      <w:r>
        <w:rPr>
          <w:color w:val="auto"/>
          <w:kern w:val="0"/>
          <w:sz w:val="24"/>
        </w:rPr>
        <w:t>经计算</w:t>
      </w:r>
      <w:r>
        <w:rPr>
          <w:color w:val="auto"/>
          <w:sz w:val="24"/>
        </w:rPr>
        <w:t>Q</w:t>
      </w:r>
      <w:r>
        <w:rPr>
          <w:rFonts w:hint="eastAsia"/>
          <w:color w:val="auto"/>
          <w:sz w:val="24"/>
        </w:rPr>
        <w:t>=</w:t>
      </w:r>
      <w:r>
        <w:rPr>
          <w:rFonts w:hint="eastAsia"/>
          <w:color w:val="auto"/>
          <w:sz w:val="24"/>
          <w:lang w:val="en-US" w:eastAsia="zh-CN"/>
        </w:rPr>
        <w:t>0.0002</w:t>
      </w:r>
      <w:r>
        <w:rPr>
          <w:rFonts w:hint="eastAsia"/>
          <w:color w:val="auto"/>
          <w:sz w:val="24"/>
        </w:rPr>
        <w:t>，属于Q＜1</w:t>
      </w:r>
      <w:r>
        <w:rPr>
          <w:color w:val="auto"/>
          <w:sz w:val="24"/>
        </w:rPr>
        <w:t>。</w:t>
      </w:r>
    </w:p>
    <w:p w14:paraId="1CDCFDE3">
      <w:pPr>
        <w:spacing w:line="360" w:lineRule="auto"/>
        <w:ind w:firstLine="480" w:firstLineChars="200"/>
        <w:rPr>
          <w:color w:val="auto"/>
          <w:sz w:val="24"/>
        </w:rPr>
      </w:pPr>
      <w:r>
        <w:rPr>
          <w:rFonts w:hint="eastAsia"/>
          <w:color w:val="auto"/>
          <w:sz w:val="24"/>
        </w:rPr>
        <w:t>因此，本项目环境风险</w:t>
      </w:r>
      <w:r>
        <w:rPr>
          <w:color w:val="auto"/>
          <w:sz w:val="24"/>
        </w:rPr>
        <w:t>潜势为Ⅰ，评价工作等级为简单分析。</w:t>
      </w:r>
    </w:p>
    <w:p w14:paraId="73D3AF72">
      <w:pPr>
        <w:tabs>
          <w:tab w:val="right" w:leader="dot" w:pos="8505"/>
        </w:tabs>
        <w:spacing w:line="360" w:lineRule="auto"/>
        <w:ind w:firstLine="480" w:firstLineChars="200"/>
        <w:rPr>
          <w:color w:val="auto"/>
          <w:sz w:val="24"/>
        </w:rPr>
      </w:pPr>
      <w:r>
        <w:rPr>
          <w:rFonts w:hint="eastAsia"/>
          <w:color w:val="auto"/>
          <w:sz w:val="24"/>
        </w:rPr>
        <w:t>本项目只</w:t>
      </w:r>
      <w:r>
        <w:rPr>
          <w:color w:val="auto"/>
          <w:sz w:val="24"/>
        </w:rPr>
        <w:t>需对涉及的风险物质可能引发的环境风险进行简单分析，在描述危险物质、环境影响途径、环境危害后果、风险防范措施等方面给出定性的说明。</w:t>
      </w:r>
    </w:p>
    <w:p w14:paraId="5E57E097">
      <w:pPr>
        <w:pStyle w:val="4"/>
        <w:snapToGrid w:val="0"/>
        <w:spacing w:before="0"/>
        <w:rPr>
          <w:rFonts w:ascii="Times New Roman" w:hAnsi="Times New Roman" w:eastAsia="宋体"/>
          <w:bCs/>
          <w:color w:val="auto"/>
          <w:sz w:val="28"/>
          <w:szCs w:val="28"/>
        </w:rPr>
      </w:pPr>
      <w:bookmarkStart w:id="350" w:name="_Toc24641"/>
      <w:bookmarkStart w:id="351" w:name="_Toc25936"/>
      <w:r>
        <w:rPr>
          <w:rFonts w:ascii="Times New Roman" w:hAnsi="Times New Roman" w:eastAsia="宋体"/>
          <w:bCs/>
          <w:color w:val="auto"/>
          <w:sz w:val="28"/>
          <w:szCs w:val="28"/>
        </w:rPr>
        <w:t>6.2.2环境敏感目标</w:t>
      </w:r>
      <w:bookmarkEnd w:id="350"/>
      <w:bookmarkEnd w:id="351"/>
    </w:p>
    <w:p w14:paraId="742CE1B6">
      <w:pPr>
        <w:adjustRightInd w:val="0"/>
        <w:spacing w:line="360" w:lineRule="auto"/>
        <w:ind w:firstLine="480" w:firstLineChars="200"/>
        <w:rPr>
          <w:color w:val="auto"/>
          <w:sz w:val="24"/>
          <w:u w:val="wave"/>
        </w:rPr>
      </w:pPr>
      <w:r>
        <w:rPr>
          <w:color w:val="auto"/>
          <w:sz w:val="24"/>
        </w:rPr>
        <w:t>经实地调查，项目周围主要环境敏感目标见表6</w:t>
      </w:r>
      <w:r>
        <w:rPr>
          <w:rFonts w:hint="eastAsia"/>
          <w:color w:val="auto"/>
          <w:sz w:val="24"/>
          <w:lang w:val="en-US" w:eastAsia="zh-CN"/>
        </w:rPr>
        <w:t>.2-4</w:t>
      </w:r>
      <w:r>
        <w:rPr>
          <w:color w:val="auto"/>
          <w:sz w:val="24"/>
        </w:rPr>
        <w:t>。</w:t>
      </w:r>
    </w:p>
    <w:p w14:paraId="6537AB01">
      <w:pPr>
        <w:ind w:firstLine="420"/>
        <w:jc w:val="center"/>
        <w:rPr>
          <w:b/>
          <w:bCs/>
          <w:color w:val="auto"/>
          <w:szCs w:val="21"/>
        </w:rPr>
      </w:pPr>
      <w:bookmarkStart w:id="352" w:name="_Toc7797"/>
      <w:r>
        <w:rPr>
          <w:b/>
          <w:bCs/>
          <w:color w:val="auto"/>
          <w:szCs w:val="21"/>
        </w:rPr>
        <w:t>表</w:t>
      </w:r>
      <w:r>
        <w:rPr>
          <w:b/>
          <w:color w:val="auto"/>
          <w:szCs w:val="21"/>
        </w:rPr>
        <w:t>6</w:t>
      </w:r>
      <w:r>
        <w:rPr>
          <w:rFonts w:hint="eastAsia"/>
          <w:b/>
          <w:color w:val="auto"/>
          <w:szCs w:val="21"/>
          <w:lang w:val="en-US" w:eastAsia="zh-CN"/>
        </w:rPr>
        <w:t xml:space="preserve">.2-4 </w:t>
      </w:r>
      <w:r>
        <w:rPr>
          <w:rFonts w:hint="eastAsia"/>
          <w:b/>
          <w:color w:val="auto"/>
          <w:szCs w:val="21"/>
        </w:rPr>
        <w:t xml:space="preserve"> </w:t>
      </w:r>
      <w:r>
        <w:rPr>
          <w:b/>
          <w:color w:val="auto"/>
          <w:szCs w:val="21"/>
        </w:rPr>
        <w:t xml:space="preserve">  </w:t>
      </w:r>
      <w:r>
        <w:rPr>
          <w:b/>
          <w:bCs/>
          <w:color w:val="auto"/>
          <w:szCs w:val="21"/>
        </w:rPr>
        <w:t>主要环境保护目标一览表</w:t>
      </w:r>
    </w:p>
    <w:tbl>
      <w:tblPr>
        <w:tblStyle w:val="53"/>
        <w:tblW w:w="4994"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932"/>
        <w:gridCol w:w="639"/>
        <w:gridCol w:w="660"/>
        <w:gridCol w:w="1373"/>
        <w:gridCol w:w="1261"/>
        <w:gridCol w:w="741"/>
        <w:gridCol w:w="720"/>
        <w:gridCol w:w="1766"/>
      </w:tblGrid>
      <w:tr w14:paraId="0335A7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restart"/>
            <w:vAlign w:val="center"/>
          </w:tcPr>
          <w:p w14:paraId="4296AE1A">
            <w:pPr>
              <w:pStyle w:val="168"/>
              <w:rPr>
                <w:color w:val="auto"/>
                <w:szCs w:val="21"/>
              </w:rPr>
            </w:pPr>
            <w:r>
              <w:rPr>
                <w:color w:val="auto"/>
                <w:szCs w:val="21"/>
              </w:rPr>
              <w:t>序号</w:t>
            </w:r>
          </w:p>
        </w:tc>
        <w:tc>
          <w:tcPr>
            <w:tcW w:w="547" w:type="pct"/>
            <w:vMerge w:val="restart"/>
            <w:vAlign w:val="center"/>
          </w:tcPr>
          <w:p w14:paraId="2A608F71">
            <w:pPr>
              <w:pStyle w:val="168"/>
              <w:rPr>
                <w:color w:val="auto"/>
                <w:szCs w:val="21"/>
              </w:rPr>
            </w:pPr>
            <w:r>
              <w:rPr>
                <w:color w:val="auto"/>
                <w:szCs w:val="21"/>
              </w:rPr>
              <w:t>环境保护</w:t>
            </w:r>
          </w:p>
          <w:p w14:paraId="27C8FD38">
            <w:pPr>
              <w:pStyle w:val="168"/>
              <w:rPr>
                <w:color w:val="auto"/>
                <w:szCs w:val="21"/>
              </w:rPr>
            </w:pPr>
            <w:r>
              <w:rPr>
                <w:color w:val="auto"/>
                <w:szCs w:val="21"/>
              </w:rPr>
              <w:t>目标</w:t>
            </w:r>
          </w:p>
        </w:tc>
        <w:tc>
          <w:tcPr>
            <w:tcW w:w="375" w:type="pct"/>
            <w:vMerge w:val="restart"/>
            <w:vAlign w:val="center"/>
          </w:tcPr>
          <w:p w14:paraId="04600ED7">
            <w:pPr>
              <w:pStyle w:val="168"/>
              <w:rPr>
                <w:color w:val="auto"/>
                <w:szCs w:val="21"/>
              </w:rPr>
            </w:pPr>
            <w:r>
              <w:rPr>
                <w:color w:val="auto"/>
                <w:szCs w:val="21"/>
              </w:rPr>
              <w:t>相对厂址方位</w:t>
            </w:r>
          </w:p>
        </w:tc>
        <w:tc>
          <w:tcPr>
            <w:tcW w:w="387" w:type="pct"/>
            <w:vMerge w:val="restart"/>
            <w:vAlign w:val="center"/>
          </w:tcPr>
          <w:p w14:paraId="0B73839F">
            <w:pPr>
              <w:pStyle w:val="168"/>
              <w:rPr>
                <w:color w:val="auto"/>
                <w:szCs w:val="21"/>
              </w:rPr>
            </w:pPr>
            <w:r>
              <w:rPr>
                <w:color w:val="auto"/>
                <w:szCs w:val="21"/>
              </w:rPr>
              <w:t>相对厂界距离/m</w:t>
            </w:r>
          </w:p>
        </w:tc>
        <w:tc>
          <w:tcPr>
            <w:tcW w:w="1546" w:type="pct"/>
            <w:gridSpan w:val="2"/>
            <w:vAlign w:val="center"/>
          </w:tcPr>
          <w:p w14:paraId="4ED9A657">
            <w:pPr>
              <w:pStyle w:val="168"/>
              <w:tabs>
                <w:tab w:val="center" w:pos="1149"/>
                <w:tab w:val="right" w:pos="2179"/>
              </w:tabs>
              <w:rPr>
                <w:color w:val="auto"/>
                <w:szCs w:val="21"/>
              </w:rPr>
            </w:pPr>
            <w:r>
              <w:rPr>
                <w:color w:val="auto"/>
                <w:szCs w:val="21"/>
              </w:rPr>
              <w:t>坐标</w:t>
            </w:r>
            <w:r>
              <w:rPr>
                <w:rFonts w:hint="eastAsia"/>
                <w:color w:val="auto"/>
                <w:szCs w:val="21"/>
              </w:rPr>
              <w:t>/经纬度</w:t>
            </w:r>
          </w:p>
        </w:tc>
        <w:tc>
          <w:tcPr>
            <w:tcW w:w="434" w:type="pct"/>
            <w:vMerge w:val="restart"/>
            <w:vAlign w:val="center"/>
          </w:tcPr>
          <w:p w14:paraId="04331DA9">
            <w:pPr>
              <w:pStyle w:val="168"/>
              <w:rPr>
                <w:color w:val="auto"/>
                <w:szCs w:val="21"/>
              </w:rPr>
            </w:pPr>
            <w:r>
              <w:rPr>
                <w:color w:val="auto"/>
                <w:szCs w:val="21"/>
              </w:rPr>
              <w:t>保护</w:t>
            </w:r>
          </w:p>
          <w:p w14:paraId="0B81674F">
            <w:pPr>
              <w:pStyle w:val="168"/>
              <w:rPr>
                <w:color w:val="auto"/>
                <w:szCs w:val="21"/>
              </w:rPr>
            </w:pPr>
            <w:r>
              <w:rPr>
                <w:color w:val="auto"/>
                <w:szCs w:val="21"/>
              </w:rPr>
              <w:t>对象</w:t>
            </w:r>
          </w:p>
        </w:tc>
        <w:tc>
          <w:tcPr>
            <w:tcW w:w="422" w:type="pct"/>
            <w:vMerge w:val="restart"/>
            <w:vAlign w:val="center"/>
          </w:tcPr>
          <w:p w14:paraId="56CABDCB">
            <w:pPr>
              <w:pStyle w:val="168"/>
              <w:rPr>
                <w:color w:val="auto"/>
                <w:szCs w:val="21"/>
              </w:rPr>
            </w:pPr>
            <w:r>
              <w:rPr>
                <w:color w:val="auto"/>
                <w:szCs w:val="21"/>
              </w:rPr>
              <w:t>保护内容</w:t>
            </w:r>
          </w:p>
        </w:tc>
        <w:tc>
          <w:tcPr>
            <w:tcW w:w="1036" w:type="pct"/>
            <w:vMerge w:val="restart"/>
            <w:vAlign w:val="center"/>
          </w:tcPr>
          <w:p w14:paraId="26A5A1E2">
            <w:pPr>
              <w:pStyle w:val="168"/>
              <w:rPr>
                <w:color w:val="auto"/>
                <w:szCs w:val="21"/>
              </w:rPr>
            </w:pPr>
            <w:r>
              <w:rPr>
                <w:color w:val="auto"/>
                <w:szCs w:val="21"/>
              </w:rPr>
              <w:t>环境功能</w:t>
            </w:r>
          </w:p>
          <w:p w14:paraId="6F9437F8">
            <w:pPr>
              <w:pStyle w:val="168"/>
              <w:rPr>
                <w:color w:val="auto"/>
                <w:szCs w:val="21"/>
              </w:rPr>
            </w:pPr>
            <w:r>
              <w:rPr>
                <w:color w:val="auto"/>
                <w:szCs w:val="21"/>
              </w:rPr>
              <w:t>目标</w:t>
            </w:r>
          </w:p>
        </w:tc>
      </w:tr>
      <w:tr w14:paraId="3A9A26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7E374136">
            <w:pPr>
              <w:pStyle w:val="168"/>
              <w:rPr>
                <w:color w:val="auto"/>
                <w:szCs w:val="21"/>
              </w:rPr>
            </w:pPr>
          </w:p>
        </w:tc>
        <w:tc>
          <w:tcPr>
            <w:tcW w:w="547" w:type="pct"/>
            <w:vMerge w:val="continue"/>
            <w:vAlign w:val="center"/>
          </w:tcPr>
          <w:p w14:paraId="24E812FA">
            <w:pPr>
              <w:pStyle w:val="168"/>
              <w:rPr>
                <w:color w:val="auto"/>
                <w:szCs w:val="21"/>
              </w:rPr>
            </w:pPr>
          </w:p>
        </w:tc>
        <w:tc>
          <w:tcPr>
            <w:tcW w:w="375" w:type="pct"/>
            <w:vMerge w:val="continue"/>
            <w:vAlign w:val="center"/>
          </w:tcPr>
          <w:p w14:paraId="66836295">
            <w:pPr>
              <w:pStyle w:val="168"/>
              <w:rPr>
                <w:color w:val="auto"/>
                <w:szCs w:val="21"/>
              </w:rPr>
            </w:pPr>
          </w:p>
        </w:tc>
        <w:tc>
          <w:tcPr>
            <w:tcW w:w="387" w:type="pct"/>
            <w:vMerge w:val="continue"/>
            <w:vAlign w:val="center"/>
          </w:tcPr>
          <w:p w14:paraId="5847E10A">
            <w:pPr>
              <w:pStyle w:val="168"/>
              <w:rPr>
                <w:color w:val="auto"/>
                <w:szCs w:val="21"/>
              </w:rPr>
            </w:pPr>
          </w:p>
        </w:tc>
        <w:tc>
          <w:tcPr>
            <w:tcW w:w="805" w:type="pct"/>
            <w:vAlign w:val="center"/>
          </w:tcPr>
          <w:p w14:paraId="0FD61777">
            <w:pPr>
              <w:pStyle w:val="168"/>
              <w:rPr>
                <w:color w:val="auto"/>
                <w:szCs w:val="21"/>
              </w:rPr>
            </w:pPr>
            <w:r>
              <w:rPr>
                <w:color w:val="auto"/>
                <w:szCs w:val="21"/>
              </w:rPr>
              <w:t>经度</w:t>
            </w:r>
          </w:p>
        </w:tc>
        <w:tc>
          <w:tcPr>
            <w:tcW w:w="740" w:type="pct"/>
            <w:vAlign w:val="center"/>
          </w:tcPr>
          <w:p w14:paraId="7EF7F151">
            <w:pPr>
              <w:pStyle w:val="168"/>
              <w:rPr>
                <w:color w:val="auto"/>
                <w:szCs w:val="21"/>
              </w:rPr>
            </w:pPr>
            <w:r>
              <w:rPr>
                <w:color w:val="auto"/>
                <w:szCs w:val="21"/>
              </w:rPr>
              <w:t>纬度</w:t>
            </w:r>
          </w:p>
        </w:tc>
        <w:tc>
          <w:tcPr>
            <w:tcW w:w="434" w:type="pct"/>
            <w:vMerge w:val="continue"/>
            <w:vAlign w:val="center"/>
          </w:tcPr>
          <w:p w14:paraId="5A3CD8DE">
            <w:pPr>
              <w:pStyle w:val="168"/>
              <w:rPr>
                <w:color w:val="auto"/>
                <w:szCs w:val="21"/>
              </w:rPr>
            </w:pPr>
          </w:p>
        </w:tc>
        <w:tc>
          <w:tcPr>
            <w:tcW w:w="422" w:type="pct"/>
            <w:vMerge w:val="continue"/>
            <w:vAlign w:val="center"/>
          </w:tcPr>
          <w:p w14:paraId="799C26DD">
            <w:pPr>
              <w:pStyle w:val="168"/>
              <w:rPr>
                <w:color w:val="auto"/>
                <w:szCs w:val="21"/>
              </w:rPr>
            </w:pPr>
          </w:p>
        </w:tc>
        <w:tc>
          <w:tcPr>
            <w:tcW w:w="1036" w:type="pct"/>
            <w:vMerge w:val="continue"/>
            <w:vAlign w:val="center"/>
          </w:tcPr>
          <w:p w14:paraId="6D6714AB">
            <w:pPr>
              <w:pStyle w:val="168"/>
              <w:rPr>
                <w:color w:val="auto"/>
                <w:szCs w:val="21"/>
              </w:rPr>
            </w:pPr>
          </w:p>
        </w:tc>
      </w:tr>
      <w:tr w14:paraId="29E2F6E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restart"/>
            <w:vAlign w:val="center"/>
          </w:tcPr>
          <w:p w14:paraId="6154D8CD">
            <w:pPr>
              <w:widowControl/>
              <w:jc w:val="center"/>
              <w:textAlignment w:val="center"/>
              <w:rPr>
                <w:rFonts w:hint="eastAsia" w:eastAsia="宋体"/>
                <w:color w:val="auto"/>
                <w:kern w:val="0"/>
                <w:szCs w:val="21"/>
                <w:lang w:val="en-US" w:eastAsia="zh-CN" w:bidi="ar"/>
              </w:rPr>
            </w:pPr>
            <w:r>
              <w:rPr>
                <w:rFonts w:hint="eastAsia"/>
                <w:color w:val="auto"/>
                <w:szCs w:val="21"/>
                <w:lang w:val="en-US" w:eastAsia="zh-CN"/>
              </w:rPr>
              <w:t>1</w:t>
            </w:r>
          </w:p>
        </w:tc>
        <w:tc>
          <w:tcPr>
            <w:tcW w:w="547" w:type="pct"/>
            <w:vAlign w:val="center"/>
          </w:tcPr>
          <w:p w14:paraId="38FF0645">
            <w:pPr>
              <w:jc w:val="center"/>
              <w:rPr>
                <w:color w:val="auto"/>
                <w:szCs w:val="21"/>
              </w:rPr>
            </w:pPr>
            <w:r>
              <w:rPr>
                <w:rFonts w:hint="eastAsia"/>
                <w:color w:val="auto"/>
                <w:szCs w:val="21"/>
                <w:highlight w:val="none"/>
                <w:lang w:eastAsia="zh-CN"/>
              </w:rPr>
              <w:t>西高楼村</w:t>
            </w:r>
          </w:p>
        </w:tc>
        <w:tc>
          <w:tcPr>
            <w:tcW w:w="375" w:type="pct"/>
            <w:vAlign w:val="center"/>
          </w:tcPr>
          <w:p w14:paraId="7642E3EF">
            <w:pPr>
              <w:jc w:val="center"/>
              <w:rPr>
                <w:color w:val="auto"/>
                <w:szCs w:val="21"/>
              </w:rPr>
            </w:pPr>
            <w:r>
              <w:rPr>
                <w:rFonts w:hint="eastAsia"/>
                <w:color w:val="auto"/>
                <w:szCs w:val="21"/>
                <w:highlight w:val="none"/>
                <w:lang w:eastAsia="zh-CN"/>
              </w:rPr>
              <w:t>东</w:t>
            </w:r>
          </w:p>
        </w:tc>
        <w:tc>
          <w:tcPr>
            <w:tcW w:w="387" w:type="pct"/>
            <w:vAlign w:val="center"/>
          </w:tcPr>
          <w:p w14:paraId="1B32569A">
            <w:pPr>
              <w:jc w:val="center"/>
              <w:rPr>
                <w:color w:val="auto"/>
                <w:szCs w:val="21"/>
              </w:rPr>
            </w:pPr>
            <w:r>
              <w:rPr>
                <w:rFonts w:hint="eastAsia"/>
                <w:color w:val="auto"/>
                <w:szCs w:val="21"/>
                <w:highlight w:val="none"/>
                <w:lang w:val="en-US" w:eastAsia="zh-CN"/>
              </w:rPr>
              <w:t>2192</w:t>
            </w:r>
          </w:p>
        </w:tc>
        <w:tc>
          <w:tcPr>
            <w:tcW w:w="805" w:type="pct"/>
            <w:vAlign w:val="center"/>
          </w:tcPr>
          <w:p w14:paraId="4CC2DF1D">
            <w:pPr>
              <w:jc w:val="center"/>
              <w:rPr>
                <w:color w:val="auto"/>
                <w:szCs w:val="21"/>
              </w:rPr>
            </w:pPr>
            <w:r>
              <w:rPr>
                <w:rFonts w:hint="default" w:ascii="Times New Roman" w:hAnsi="Times New Roman" w:cs="Times New Roman"/>
                <w:color w:val="auto"/>
                <w:sz w:val="18"/>
                <w:szCs w:val="18"/>
                <w:highlight w:val="none"/>
              </w:rPr>
              <w:t>120°39′34.096″</w:t>
            </w:r>
          </w:p>
        </w:tc>
        <w:tc>
          <w:tcPr>
            <w:tcW w:w="740" w:type="pct"/>
            <w:vAlign w:val="center"/>
          </w:tcPr>
          <w:p w14:paraId="3CBFE5B7">
            <w:pPr>
              <w:jc w:val="center"/>
              <w:rPr>
                <w:color w:val="auto"/>
                <w:szCs w:val="21"/>
              </w:rPr>
            </w:pPr>
            <w:r>
              <w:rPr>
                <w:rFonts w:hint="default" w:ascii="Times New Roman" w:hAnsi="Times New Roman" w:cs="Times New Roman"/>
                <w:color w:val="auto"/>
                <w:sz w:val="18"/>
                <w:szCs w:val="18"/>
                <w:highlight w:val="none"/>
              </w:rPr>
              <w:t>41°51′54.257″</w:t>
            </w:r>
          </w:p>
        </w:tc>
        <w:tc>
          <w:tcPr>
            <w:tcW w:w="434" w:type="pct"/>
            <w:vMerge w:val="restart"/>
            <w:vAlign w:val="center"/>
          </w:tcPr>
          <w:p w14:paraId="02FE6C55">
            <w:pPr>
              <w:widowControl/>
              <w:jc w:val="center"/>
              <w:rPr>
                <w:rFonts w:hint="eastAsia" w:eastAsia="宋体"/>
                <w:color w:val="auto"/>
                <w:szCs w:val="21"/>
                <w:lang w:eastAsia="zh-CN"/>
              </w:rPr>
            </w:pPr>
            <w:r>
              <w:rPr>
                <w:rFonts w:hint="eastAsia"/>
                <w:color w:val="auto"/>
                <w:kern w:val="0"/>
                <w:szCs w:val="21"/>
                <w:lang w:eastAsia="zh-CN"/>
              </w:rPr>
              <w:t>居民</w:t>
            </w:r>
          </w:p>
        </w:tc>
        <w:tc>
          <w:tcPr>
            <w:tcW w:w="422" w:type="pct"/>
            <w:vMerge w:val="restart"/>
            <w:vAlign w:val="center"/>
          </w:tcPr>
          <w:p w14:paraId="24518570">
            <w:pPr>
              <w:pStyle w:val="168"/>
              <w:rPr>
                <w:color w:val="auto"/>
                <w:szCs w:val="21"/>
              </w:rPr>
            </w:pPr>
            <w:r>
              <w:rPr>
                <w:color w:val="auto"/>
                <w:szCs w:val="21"/>
              </w:rPr>
              <w:t>环境空气</w:t>
            </w:r>
          </w:p>
        </w:tc>
        <w:tc>
          <w:tcPr>
            <w:tcW w:w="1036" w:type="pct"/>
            <w:vMerge w:val="restart"/>
            <w:vAlign w:val="center"/>
          </w:tcPr>
          <w:p w14:paraId="5A54E1C0">
            <w:pPr>
              <w:pStyle w:val="168"/>
              <w:rPr>
                <w:color w:val="auto"/>
                <w:szCs w:val="21"/>
              </w:rPr>
            </w:pPr>
            <w:r>
              <w:rPr>
                <w:color w:val="auto"/>
                <w:szCs w:val="21"/>
              </w:rPr>
              <w:t>《环境空气质量标准》GB3095-2012</w:t>
            </w:r>
          </w:p>
          <w:p w14:paraId="186F78D8">
            <w:pPr>
              <w:pStyle w:val="168"/>
              <w:rPr>
                <w:color w:val="auto"/>
                <w:szCs w:val="21"/>
              </w:rPr>
            </w:pPr>
            <w:r>
              <w:rPr>
                <w:color w:val="auto"/>
                <w:szCs w:val="21"/>
              </w:rPr>
              <w:t>二级标准</w:t>
            </w:r>
          </w:p>
        </w:tc>
      </w:tr>
      <w:tr w14:paraId="21D1349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5B228CDD">
            <w:pPr>
              <w:widowControl/>
              <w:jc w:val="center"/>
              <w:textAlignment w:val="center"/>
              <w:rPr>
                <w:color w:val="auto"/>
                <w:szCs w:val="21"/>
              </w:rPr>
            </w:pPr>
          </w:p>
        </w:tc>
        <w:tc>
          <w:tcPr>
            <w:tcW w:w="547" w:type="pct"/>
            <w:vAlign w:val="center"/>
          </w:tcPr>
          <w:p w14:paraId="5D42721F">
            <w:pPr>
              <w:jc w:val="center"/>
              <w:rPr>
                <w:color w:val="auto"/>
                <w:szCs w:val="21"/>
              </w:rPr>
            </w:pPr>
            <w:r>
              <w:rPr>
                <w:rFonts w:hint="eastAsia"/>
                <w:color w:val="auto"/>
                <w:szCs w:val="21"/>
                <w:highlight w:val="none"/>
                <w:lang w:eastAsia="zh-CN"/>
              </w:rPr>
              <w:t>兴隆洼北沟</w:t>
            </w:r>
          </w:p>
        </w:tc>
        <w:tc>
          <w:tcPr>
            <w:tcW w:w="375" w:type="pct"/>
            <w:vAlign w:val="center"/>
          </w:tcPr>
          <w:p w14:paraId="4542E9AF">
            <w:pPr>
              <w:jc w:val="center"/>
              <w:rPr>
                <w:color w:val="auto"/>
                <w:szCs w:val="21"/>
              </w:rPr>
            </w:pPr>
            <w:r>
              <w:rPr>
                <w:rFonts w:hint="eastAsia"/>
                <w:color w:val="auto"/>
                <w:szCs w:val="21"/>
                <w:highlight w:val="none"/>
                <w:lang w:val="en-US" w:eastAsia="zh-CN"/>
              </w:rPr>
              <w:t>东南</w:t>
            </w:r>
          </w:p>
        </w:tc>
        <w:tc>
          <w:tcPr>
            <w:tcW w:w="387" w:type="pct"/>
            <w:vAlign w:val="center"/>
          </w:tcPr>
          <w:p w14:paraId="7D9AB4E5">
            <w:pPr>
              <w:jc w:val="center"/>
              <w:rPr>
                <w:color w:val="auto"/>
                <w:szCs w:val="21"/>
              </w:rPr>
            </w:pPr>
            <w:r>
              <w:rPr>
                <w:rFonts w:hint="eastAsia"/>
                <w:color w:val="auto"/>
                <w:szCs w:val="21"/>
                <w:highlight w:val="none"/>
                <w:lang w:val="en-US" w:eastAsia="zh-CN"/>
              </w:rPr>
              <w:t>1144</w:t>
            </w:r>
          </w:p>
        </w:tc>
        <w:tc>
          <w:tcPr>
            <w:tcW w:w="805" w:type="pct"/>
            <w:vAlign w:val="center"/>
          </w:tcPr>
          <w:p w14:paraId="272B8A77">
            <w:pPr>
              <w:jc w:val="center"/>
              <w:rPr>
                <w:color w:val="auto"/>
                <w:szCs w:val="21"/>
              </w:rPr>
            </w:pPr>
            <w:r>
              <w:rPr>
                <w:rFonts w:hint="default" w:ascii="Times New Roman" w:hAnsi="Times New Roman" w:cs="Times New Roman"/>
                <w:color w:val="auto"/>
                <w:sz w:val="18"/>
                <w:szCs w:val="18"/>
                <w:highlight w:val="none"/>
              </w:rPr>
              <w:t>120°38′35.233″</w:t>
            </w:r>
          </w:p>
        </w:tc>
        <w:tc>
          <w:tcPr>
            <w:tcW w:w="740" w:type="pct"/>
            <w:vAlign w:val="center"/>
          </w:tcPr>
          <w:p w14:paraId="1EE02686">
            <w:pPr>
              <w:jc w:val="center"/>
              <w:rPr>
                <w:color w:val="auto"/>
                <w:szCs w:val="21"/>
              </w:rPr>
            </w:pPr>
            <w:r>
              <w:rPr>
                <w:rFonts w:hint="default" w:ascii="Times New Roman" w:hAnsi="Times New Roman" w:cs="Times New Roman"/>
                <w:color w:val="auto"/>
                <w:sz w:val="18"/>
                <w:szCs w:val="18"/>
                <w:highlight w:val="none"/>
              </w:rPr>
              <w:t>41°51′12.852″</w:t>
            </w:r>
          </w:p>
        </w:tc>
        <w:tc>
          <w:tcPr>
            <w:tcW w:w="434" w:type="pct"/>
            <w:vMerge w:val="continue"/>
            <w:vAlign w:val="center"/>
          </w:tcPr>
          <w:p w14:paraId="3030F94A">
            <w:pPr>
              <w:jc w:val="center"/>
              <w:rPr>
                <w:color w:val="auto"/>
                <w:szCs w:val="21"/>
              </w:rPr>
            </w:pPr>
          </w:p>
        </w:tc>
        <w:tc>
          <w:tcPr>
            <w:tcW w:w="422" w:type="pct"/>
            <w:vMerge w:val="continue"/>
            <w:vAlign w:val="center"/>
          </w:tcPr>
          <w:p w14:paraId="1F4D11BE">
            <w:pPr>
              <w:pStyle w:val="168"/>
              <w:rPr>
                <w:color w:val="auto"/>
                <w:szCs w:val="21"/>
              </w:rPr>
            </w:pPr>
          </w:p>
        </w:tc>
        <w:tc>
          <w:tcPr>
            <w:tcW w:w="1036" w:type="pct"/>
            <w:vMerge w:val="continue"/>
            <w:vAlign w:val="center"/>
          </w:tcPr>
          <w:p w14:paraId="2A267843">
            <w:pPr>
              <w:pStyle w:val="168"/>
              <w:rPr>
                <w:color w:val="auto"/>
                <w:szCs w:val="21"/>
              </w:rPr>
            </w:pPr>
          </w:p>
        </w:tc>
      </w:tr>
      <w:tr w14:paraId="061D43A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0EDD351A">
            <w:pPr>
              <w:widowControl/>
              <w:jc w:val="center"/>
              <w:textAlignment w:val="center"/>
              <w:rPr>
                <w:color w:val="auto"/>
                <w:szCs w:val="21"/>
              </w:rPr>
            </w:pPr>
          </w:p>
        </w:tc>
        <w:tc>
          <w:tcPr>
            <w:tcW w:w="547" w:type="pct"/>
            <w:vAlign w:val="center"/>
          </w:tcPr>
          <w:p w14:paraId="1F1186DD">
            <w:pPr>
              <w:jc w:val="center"/>
              <w:rPr>
                <w:color w:val="auto"/>
                <w:szCs w:val="21"/>
              </w:rPr>
            </w:pPr>
            <w:r>
              <w:rPr>
                <w:rFonts w:hint="eastAsia"/>
                <w:color w:val="auto"/>
                <w:szCs w:val="21"/>
                <w:highlight w:val="none"/>
                <w:lang w:eastAsia="zh-CN"/>
              </w:rPr>
              <w:t>马架子</w:t>
            </w:r>
          </w:p>
        </w:tc>
        <w:tc>
          <w:tcPr>
            <w:tcW w:w="375" w:type="pct"/>
            <w:vAlign w:val="center"/>
          </w:tcPr>
          <w:p w14:paraId="2AE9B76E">
            <w:pPr>
              <w:jc w:val="center"/>
              <w:rPr>
                <w:color w:val="auto"/>
                <w:szCs w:val="21"/>
              </w:rPr>
            </w:pPr>
            <w:r>
              <w:rPr>
                <w:rFonts w:hint="eastAsia"/>
                <w:color w:val="auto"/>
                <w:szCs w:val="21"/>
                <w:highlight w:val="none"/>
                <w:lang w:eastAsia="zh-CN"/>
              </w:rPr>
              <w:t>东南</w:t>
            </w:r>
          </w:p>
        </w:tc>
        <w:tc>
          <w:tcPr>
            <w:tcW w:w="387" w:type="pct"/>
            <w:vAlign w:val="center"/>
          </w:tcPr>
          <w:p w14:paraId="709C21AF">
            <w:pPr>
              <w:jc w:val="center"/>
              <w:rPr>
                <w:color w:val="auto"/>
                <w:szCs w:val="21"/>
              </w:rPr>
            </w:pPr>
            <w:r>
              <w:rPr>
                <w:rFonts w:hint="eastAsia"/>
                <w:color w:val="auto"/>
                <w:szCs w:val="21"/>
                <w:highlight w:val="none"/>
                <w:lang w:val="en-US" w:eastAsia="zh-CN"/>
              </w:rPr>
              <w:t>1243</w:t>
            </w:r>
          </w:p>
        </w:tc>
        <w:tc>
          <w:tcPr>
            <w:tcW w:w="805" w:type="pct"/>
            <w:vAlign w:val="center"/>
          </w:tcPr>
          <w:p w14:paraId="23DE3BA9">
            <w:pPr>
              <w:jc w:val="center"/>
              <w:rPr>
                <w:color w:val="auto"/>
                <w:szCs w:val="21"/>
              </w:rPr>
            </w:pPr>
            <w:r>
              <w:rPr>
                <w:rFonts w:hint="default" w:ascii="Times New Roman" w:hAnsi="Times New Roman" w:cs="Times New Roman"/>
                <w:color w:val="auto"/>
                <w:sz w:val="18"/>
                <w:szCs w:val="18"/>
                <w:highlight w:val="none"/>
              </w:rPr>
              <w:t>120°38′26.118″</w:t>
            </w:r>
          </w:p>
        </w:tc>
        <w:tc>
          <w:tcPr>
            <w:tcW w:w="740" w:type="pct"/>
            <w:vAlign w:val="center"/>
          </w:tcPr>
          <w:p w14:paraId="4A90C8D6">
            <w:pPr>
              <w:jc w:val="center"/>
              <w:rPr>
                <w:color w:val="auto"/>
                <w:szCs w:val="21"/>
              </w:rPr>
            </w:pPr>
            <w:r>
              <w:rPr>
                <w:rFonts w:hint="default" w:ascii="Times New Roman" w:hAnsi="Times New Roman" w:cs="Times New Roman"/>
                <w:color w:val="auto"/>
                <w:sz w:val="18"/>
                <w:szCs w:val="18"/>
                <w:highlight w:val="none"/>
              </w:rPr>
              <w:t>41°50′53.695″</w:t>
            </w:r>
          </w:p>
        </w:tc>
        <w:tc>
          <w:tcPr>
            <w:tcW w:w="434" w:type="pct"/>
            <w:vMerge w:val="continue"/>
            <w:vAlign w:val="center"/>
          </w:tcPr>
          <w:p w14:paraId="7C9E8516">
            <w:pPr>
              <w:jc w:val="center"/>
              <w:rPr>
                <w:color w:val="auto"/>
                <w:szCs w:val="21"/>
              </w:rPr>
            </w:pPr>
          </w:p>
        </w:tc>
        <w:tc>
          <w:tcPr>
            <w:tcW w:w="422" w:type="pct"/>
            <w:vMerge w:val="continue"/>
            <w:vAlign w:val="center"/>
          </w:tcPr>
          <w:p w14:paraId="6AC57494">
            <w:pPr>
              <w:pStyle w:val="168"/>
              <w:rPr>
                <w:color w:val="auto"/>
                <w:szCs w:val="21"/>
              </w:rPr>
            </w:pPr>
          </w:p>
        </w:tc>
        <w:tc>
          <w:tcPr>
            <w:tcW w:w="1036" w:type="pct"/>
            <w:vMerge w:val="continue"/>
            <w:vAlign w:val="center"/>
          </w:tcPr>
          <w:p w14:paraId="5EB6BCDA">
            <w:pPr>
              <w:pStyle w:val="168"/>
              <w:rPr>
                <w:color w:val="auto"/>
                <w:szCs w:val="21"/>
              </w:rPr>
            </w:pPr>
          </w:p>
        </w:tc>
      </w:tr>
      <w:tr w14:paraId="24F1A62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147F64B8">
            <w:pPr>
              <w:widowControl/>
              <w:jc w:val="center"/>
              <w:textAlignment w:val="center"/>
              <w:rPr>
                <w:color w:val="auto"/>
                <w:kern w:val="0"/>
                <w:szCs w:val="21"/>
                <w:lang w:bidi="ar"/>
              </w:rPr>
            </w:pPr>
          </w:p>
        </w:tc>
        <w:tc>
          <w:tcPr>
            <w:tcW w:w="547" w:type="pct"/>
            <w:vAlign w:val="center"/>
          </w:tcPr>
          <w:p w14:paraId="5D040A9C">
            <w:pPr>
              <w:widowControl/>
              <w:jc w:val="center"/>
              <w:rPr>
                <w:color w:val="auto"/>
                <w:szCs w:val="21"/>
              </w:rPr>
            </w:pPr>
            <w:r>
              <w:rPr>
                <w:rFonts w:hint="eastAsia"/>
                <w:color w:val="auto"/>
                <w:szCs w:val="21"/>
                <w:highlight w:val="none"/>
                <w:lang w:eastAsia="zh-CN"/>
              </w:rPr>
              <w:t>兴隆洼</w:t>
            </w:r>
          </w:p>
        </w:tc>
        <w:tc>
          <w:tcPr>
            <w:tcW w:w="375" w:type="pct"/>
            <w:vAlign w:val="center"/>
          </w:tcPr>
          <w:p w14:paraId="136EA725">
            <w:pPr>
              <w:jc w:val="center"/>
              <w:rPr>
                <w:color w:val="auto"/>
                <w:szCs w:val="21"/>
              </w:rPr>
            </w:pPr>
            <w:r>
              <w:rPr>
                <w:rFonts w:hint="eastAsia"/>
                <w:color w:val="auto"/>
                <w:szCs w:val="21"/>
                <w:highlight w:val="none"/>
                <w:lang w:eastAsia="zh-CN"/>
              </w:rPr>
              <w:t>东南</w:t>
            </w:r>
          </w:p>
        </w:tc>
        <w:tc>
          <w:tcPr>
            <w:tcW w:w="387" w:type="pct"/>
            <w:vAlign w:val="center"/>
          </w:tcPr>
          <w:p w14:paraId="405CDDD7">
            <w:pPr>
              <w:jc w:val="center"/>
              <w:rPr>
                <w:rFonts w:hint="default"/>
                <w:color w:val="auto"/>
                <w:szCs w:val="21"/>
                <w:lang w:val="en-US"/>
              </w:rPr>
            </w:pPr>
            <w:r>
              <w:rPr>
                <w:rFonts w:hint="eastAsia"/>
                <w:color w:val="auto"/>
                <w:szCs w:val="21"/>
                <w:highlight w:val="none"/>
                <w:lang w:val="en-US" w:eastAsia="zh-CN"/>
              </w:rPr>
              <w:t>1953</w:t>
            </w:r>
          </w:p>
        </w:tc>
        <w:tc>
          <w:tcPr>
            <w:tcW w:w="805" w:type="pct"/>
            <w:vAlign w:val="center"/>
          </w:tcPr>
          <w:p w14:paraId="3EA4090C">
            <w:pPr>
              <w:jc w:val="center"/>
              <w:rPr>
                <w:color w:val="auto"/>
                <w:szCs w:val="21"/>
              </w:rPr>
            </w:pPr>
            <w:r>
              <w:rPr>
                <w:rFonts w:hint="default" w:ascii="Times New Roman" w:hAnsi="Times New Roman" w:cs="Times New Roman"/>
                <w:color w:val="auto"/>
                <w:sz w:val="18"/>
                <w:szCs w:val="18"/>
                <w:highlight w:val="none"/>
              </w:rPr>
              <w:t>120°39′13.394″</w:t>
            </w:r>
          </w:p>
        </w:tc>
        <w:tc>
          <w:tcPr>
            <w:tcW w:w="740" w:type="pct"/>
            <w:vAlign w:val="center"/>
          </w:tcPr>
          <w:p w14:paraId="44BCDF2D">
            <w:pPr>
              <w:jc w:val="center"/>
              <w:rPr>
                <w:color w:val="auto"/>
                <w:szCs w:val="21"/>
              </w:rPr>
            </w:pPr>
            <w:r>
              <w:rPr>
                <w:rFonts w:hint="default" w:ascii="Times New Roman" w:hAnsi="Times New Roman" w:cs="Times New Roman"/>
                <w:color w:val="auto"/>
                <w:sz w:val="18"/>
                <w:szCs w:val="18"/>
                <w:highlight w:val="none"/>
              </w:rPr>
              <w:t>41°50′57.094″</w:t>
            </w:r>
          </w:p>
        </w:tc>
        <w:tc>
          <w:tcPr>
            <w:tcW w:w="434" w:type="pct"/>
            <w:vMerge w:val="continue"/>
            <w:vAlign w:val="center"/>
          </w:tcPr>
          <w:p w14:paraId="34D8B2F0">
            <w:pPr>
              <w:widowControl/>
              <w:jc w:val="center"/>
              <w:rPr>
                <w:color w:val="auto"/>
                <w:szCs w:val="21"/>
              </w:rPr>
            </w:pPr>
          </w:p>
        </w:tc>
        <w:tc>
          <w:tcPr>
            <w:tcW w:w="422" w:type="pct"/>
            <w:vMerge w:val="continue"/>
            <w:vAlign w:val="center"/>
          </w:tcPr>
          <w:p w14:paraId="68BE9414">
            <w:pPr>
              <w:pStyle w:val="168"/>
              <w:rPr>
                <w:color w:val="auto"/>
                <w:szCs w:val="21"/>
              </w:rPr>
            </w:pPr>
          </w:p>
        </w:tc>
        <w:tc>
          <w:tcPr>
            <w:tcW w:w="1036" w:type="pct"/>
            <w:vMerge w:val="continue"/>
            <w:vAlign w:val="center"/>
          </w:tcPr>
          <w:p w14:paraId="60B0248E">
            <w:pPr>
              <w:pStyle w:val="168"/>
              <w:rPr>
                <w:color w:val="auto"/>
                <w:szCs w:val="21"/>
              </w:rPr>
            </w:pPr>
          </w:p>
        </w:tc>
      </w:tr>
      <w:tr w14:paraId="6225D5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6E247D2A">
            <w:pPr>
              <w:widowControl/>
              <w:jc w:val="center"/>
              <w:textAlignment w:val="center"/>
              <w:rPr>
                <w:color w:val="auto"/>
                <w:kern w:val="0"/>
                <w:szCs w:val="21"/>
                <w:lang w:bidi="ar"/>
              </w:rPr>
            </w:pPr>
          </w:p>
        </w:tc>
        <w:tc>
          <w:tcPr>
            <w:tcW w:w="547" w:type="pct"/>
            <w:vAlign w:val="center"/>
          </w:tcPr>
          <w:p w14:paraId="63AF3BFE">
            <w:pPr>
              <w:widowControl/>
              <w:jc w:val="center"/>
              <w:rPr>
                <w:rFonts w:hint="eastAsia"/>
                <w:color w:val="auto"/>
                <w:szCs w:val="21"/>
              </w:rPr>
            </w:pPr>
            <w:r>
              <w:rPr>
                <w:rFonts w:hint="eastAsia"/>
                <w:color w:val="auto"/>
                <w:szCs w:val="21"/>
                <w:highlight w:val="none"/>
                <w:lang w:eastAsia="zh-CN"/>
              </w:rPr>
              <w:t>姜家沟</w:t>
            </w:r>
          </w:p>
        </w:tc>
        <w:tc>
          <w:tcPr>
            <w:tcW w:w="375" w:type="pct"/>
            <w:vAlign w:val="center"/>
          </w:tcPr>
          <w:p w14:paraId="34F011BA">
            <w:pPr>
              <w:jc w:val="center"/>
              <w:rPr>
                <w:color w:val="auto"/>
                <w:szCs w:val="21"/>
              </w:rPr>
            </w:pPr>
            <w:r>
              <w:rPr>
                <w:rFonts w:hint="eastAsia"/>
                <w:color w:val="auto"/>
                <w:szCs w:val="21"/>
                <w:highlight w:val="none"/>
                <w:lang w:eastAsia="zh-CN"/>
              </w:rPr>
              <w:t>南</w:t>
            </w:r>
          </w:p>
        </w:tc>
        <w:tc>
          <w:tcPr>
            <w:tcW w:w="387" w:type="pct"/>
            <w:vAlign w:val="center"/>
          </w:tcPr>
          <w:p w14:paraId="361DBCCA">
            <w:pPr>
              <w:jc w:val="center"/>
              <w:rPr>
                <w:rFonts w:hint="eastAsia"/>
                <w:color w:val="auto"/>
                <w:szCs w:val="21"/>
              </w:rPr>
            </w:pPr>
            <w:r>
              <w:rPr>
                <w:rFonts w:hint="eastAsia"/>
                <w:color w:val="auto"/>
                <w:szCs w:val="21"/>
                <w:highlight w:val="none"/>
                <w:lang w:val="en-US" w:eastAsia="zh-CN"/>
              </w:rPr>
              <w:t>490</w:t>
            </w:r>
          </w:p>
        </w:tc>
        <w:tc>
          <w:tcPr>
            <w:tcW w:w="805" w:type="pct"/>
            <w:vAlign w:val="center"/>
          </w:tcPr>
          <w:p w14:paraId="0D4D30C1">
            <w:pPr>
              <w:jc w:val="center"/>
              <w:rPr>
                <w:color w:val="auto"/>
                <w:szCs w:val="21"/>
              </w:rPr>
            </w:pPr>
            <w:r>
              <w:rPr>
                <w:rFonts w:hint="default" w:ascii="Times New Roman" w:hAnsi="Times New Roman" w:cs="Times New Roman"/>
                <w:color w:val="auto"/>
                <w:sz w:val="18"/>
                <w:szCs w:val="18"/>
                <w:highlight w:val="none"/>
              </w:rPr>
              <w:t>120°37′31.890″</w:t>
            </w:r>
          </w:p>
        </w:tc>
        <w:tc>
          <w:tcPr>
            <w:tcW w:w="740" w:type="pct"/>
            <w:vAlign w:val="center"/>
          </w:tcPr>
          <w:p w14:paraId="3584F791">
            <w:pPr>
              <w:jc w:val="center"/>
              <w:rPr>
                <w:rFonts w:hint="eastAsia"/>
                <w:color w:val="auto"/>
                <w:szCs w:val="21"/>
              </w:rPr>
            </w:pPr>
            <w:r>
              <w:rPr>
                <w:rFonts w:hint="default" w:ascii="Times New Roman" w:hAnsi="Times New Roman" w:cs="Times New Roman"/>
                <w:color w:val="auto"/>
                <w:sz w:val="18"/>
                <w:szCs w:val="18"/>
                <w:highlight w:val="none"/>
              </w:rPr>
              <w:t>41°51′7.754″</w:t>
            </w:r>
          </w:p>
        </w:tc>
        <w:tc>
          <w:tcPr>
            <w:tcW w:w="434" w:type="pct"/>
            <w:vMerge w:val="continue"/>
            <w:vAlign w:val="center"/>
          </w:tcPr>
          <w:p w14:paraId="40209F43">
            <w:pPr>
              <w:widowControl/>
              <w:jc w:val="center"/>
              <w:rPr>
                <w:color w:val="auto"/>
                <w:kern w:val="0"/>
                <w:szCs w:val="21"/>
              </w:rPr>
            </w:pPr>
          </w:p>
        </w:tc>
        <w:tc>
          <w:tcPr>
            <w:tcW w:w="422" w:type="pct"/>
            <w:vMerge w:val="continue"/>
            <w:vAlign w:val="center"/>
          </w:tcPr>
          <w:p w14:paraId="24C62A2B">
            <w:pPr>
              <w:pStyle w:val="168"/>
              <w:rPr>
                <w:color w:val="auto"/>
                <w:szCs w:val="21"/>
              </w:rPr>
            </w:pPr>
          </w:p>
        </w:tc>
        <w:tc>
          <w:tcPr>
            <w:tcW w:w="1036" w:type="pct"/>
            <w:vMerge w:val="continue"/>
            <w:vAlign w:val="center"/>
          </w:tcPr>
          <w:p w14:paraId="2090E01C">
            <w:pPr>
              <w:pStyle w:val="168"/>
              <w:rPr>
                <w:color w:val="auto"/>
                <w:szCs w:val="21"/>
              </w:rPr>
            </w:pPr>
          </w:p>
        </w:tc>
      </w:tr>
      <w:tr w14:paraId="5E8A8CD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5E83933F">
            <w:pPr>
              <w:widowControl/>
              <w:jc w:val="center"/>
              <w:textAlignment w:val="center"/>
              <w:rPr>
                <w:color w:val="auto"/>
                <w:kern w:val="0"/>
                <w:szCs w:val="21"/>
                <w:lang w:bidi="ar"/>
              </w:rPr>
            </w:pPr>
          </w:p>
        </w:tc>
        <w:tc>
          <w:tcPr>
            <w:tcW w:w="547" w:type="pct"/>
            <w:vAlign w:val="center"/>
          </w:tcPr>
          <w:p w14:paraId="2242673F">
            <w:pPr>
              <w:widowControl/>
              <w:jc w:val="center"/>
              <w:rPr>
                <w:rFonts w:hint="eastAsia"/>
                <w:color w:val="auto"/>
                <w:szCs w:val="21"/>
              </w:rPr>
            </w:pPr>
            <w:r>
              <w:rPr>
                <w:rFonts w:hint="eastAsia"/>
                <w:color w:val="auto"/>
                <w:szCs w:val="21"/>
                <w:highlight w:val="none"/>
                <w:lang w:eastAsia="zh-CN"/>
              </w:rPr>
              <w:t>大巴里村</w:t>
            </w:r>
          </w:p>
        </w:tc>
        <w:tc>
          <w:tcPr>
            <w:tcW w:w="375" w:type="pct"/>
            <w:vAlign w:val="center"/>
          </w:tcPr>
          <w:p w14:paraId="791681CF">
            <w:pPr>
              <w:jc w:val="center"/>
              <w:rPr>
                <w:color w:val="auto"/>
                <w:szCs w:val="21"/>
              </w:rPr>
            </w:pPr>
            <w:r>
              <w:rPr>
                <w:rFonts w:hint="eastAsia"/>
                <w:color w:val="auto"/>
                <w:szCs w:val="21"/>
                <w:highlight w:val="none"/>
                <w:lang w:eastAsia="zh-CN"/>
              </w:rPr>
              <w:t>南</w:t>
            </w:r>
          </w:p>
        </w:tc>
        <w:tc>
          <w:tcPr>
            <w:tcW w:w="387" w:type="pct"/>
            <w:vAlign w:val="center"/>
          </w:tcPr>
          <w:p w14:paraId="792E0744">
            <w:pPr>
              <w:jc w:val="center"/>
              <w:rPr>
                <w:rFonts w:hint="eastAsia"/>
                <w:color w:val="auto"/>
                <w:szCs w:val="21"/>
              </w:rPr>
            </w:pPr>
            <w:r>
              <w:rPr>
                <w:rFonts w:hint="eastAsia"/>
                <w:color w:val="auto"/>
                <w:szCs w:val="21"/>
                <w:highlight w:val="none"/>
                <w:lang w:val="en-US" w:eastAsia="zh-CN"/>
              </w:rPr>
              <w:t>1780</w:t>
            </w:r>
          </w:p>
        </w:tc>
        <w:tc>
          <w:tcPr>
            <w:tcW w:w="805" w:type="pct"/>
            <w:vAlign w:val="center"/>
          </w:tcPr>
          <w:p w14:paraId="2C1EAD94">
            <w:pPr>
              <w:jc w:val="center"/>
              <w:rPr>
                <w:color w:val="auto"/>
                <w:szCs w:val="21"/>
              </w:rPr>
            </w:pPr>
            <w:r>
              <w:rPr>
                <w:rFonts w:hint="default" w:ascii="Times New Roman" w:hAnsi="Times New Roman" w:eastAsia="宋体" w:cs="Times New Roman"/>
                <w:color w:val="auto"/>
                <w:sz w:val="18"/>
                <w:szCs w:val="18"/>
                <w:highlight w:val="none"/>
                <w:lang w:val="en-US" w:eastAsia="zh-CN"/>
              </w:rPr>
              <w:t>120°37′6.939″</w:t>
            </w:r>
          </w:p>
        </w:tc>
        <w:tc>
          <w:tcPr>
            <w:tcW w:w="740" w:type="pct"/>
            <w:vAlign w:val="center"/>
          </w:tcPr>
          <w:p w14:paraId="7578CB5E">
            <w:pPr>
              <w:jc w:val="center"/>
              <w:rPr>
                <w:rFonts w:hint="eastAsia"/>
                <w:color w:val="auto"/>
                <w:szCs w:val="21"/>
              </w:rPr>
            </w:pPr>
            <w:r>
              <w:rPr>
                <w:rFonts w:hint="default" w:ascii="Times New Roman" w:hAnsi="Times New Roman" w:eastAsia="宋体" w:cs="Times New Roman"/>
                <w:color w:val="auto"/>
                <w:sz w:val="18"/>
                <w:szCs w:val="18"/>
                <w:highlight w:val="none"/>
                <w:lang w:val="en-US" w:eastAsia="zh-CN"/>
              </w:rPr>
              <w:t>41°50′35.619″</w:t>
            </w:r>
          </w:p>
        </w:tc>
        <w:tc>
          <w:tcPr>
            <w:tcW w:w="434" w:type="pct"/>
            <w:vMerge w:val="continue"/>
            <w:vAlign w:val="center"/>
          </w:tcPr>
          <w:p w14:paraId="220C4BAB">
            <w:pPr>
              <w:widowControl/>
              <w:jc w:val="center"/>
              <w:rPr>
                <w:color w:val="auto"/>
                <w:kern w:val="0"/>
                <w:szCs w:val="21"/>
              </w:rPr>
            </w:pPr>
          </w:p>
        </w:tc>
        <w:tc>
          <w:tcPr>
            <w:tcW w:w="422" w:type="pct"/>
            <w:vMerge w:val="continue"/>
            <w:vAlign w:val="center"/>
          </w:tcPr>
          <w:p w14:paraId="7DAD99A4">
            <w:pPr>
              <w:pStyle w:val="168"/>
              <w:rPr>
                <w:color w:val="auto"/>
                <w:szCs w:val="21"/>
              </w:rPr>
            </w:pPr>
          </w:p>
        </w:tc>
        <w:tc>
          <w:tcPr>
            <w:tcW w:w="1036" w:type="pct"/>
            <w:vMerge w:val="continue"/>
            <w:vAlign w:val="center"/>
          </w:tcPr>
          <w:p w14:paraId="174F4DBD">
            <w:pPr>
              <w:pStyle w:val="168"/>
              <w:rPr>
                <w:color w:val="auto"/>
                <w:szCs w:val="21"/>
              </w:rPr>
            </w:pPr>
          </w:p>
        </w:tc>
      </w:tr>
      <w:tr w14:paraId="7E59236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3CDF7F47">
            <w:pPr>
              <w:widowControl/>
              <w:jc w:val="center"/>
              <w:textAlignment w:val="center"/>
              <w:rPr>
                <w:color w:val="auto"/>
                <w:kern w:val="0"/>
                <w:szCs w:val="21"/>
                <w:lang w:bidi="ar"/>
              </w:rPr>
            </w:pPr>
          </w:p>
        </w:tc>
        <w:tc>
          <w:tcPr>
            <w:tcW w:w="547" w:type="pct"/>
            <w:vAlign w:val="center"/>
          </w:tcPr>
          <w:p w14:paraId="39783441">
            <w:pPr>
              <w:widowControl/>
              <w:jc w:val="center"/>
              <w:rPr>
                <w:rFonts w:hint="eastAsia"/>
                <w:color w:val="auto"/>
                <w:szCs w:val="21"/>
              </w:rPr>
            </w:pPr>
            <w:r>
              <w:rPr>
                <w:rFonts w:hint="eastAsia"/>
                <w:color w:val="auto"/>
                <w:szCs w:val="21"/>
                <w:highlight w:val="none"/>
                <w:lang w:eastAsia="zh-CN"/>
              </w:rPr>
              <w:t>下扣卜营子</w:t>
            </w:r>
          </w:p>
        </w:tc>
        <w:tc>
          <w:tcPr>
            <w:tcW w:w="375" w:type="pct"/>
            <w:vAlign w:val="center"/>
          </w:tcPr>
          <w:p w14:paraId="25D7AF3F">
            <w:pPr>
              <w:jc w:val="center"/>
              <w:rPr>
                <w:color w:val="auto"/>
                <w:szCs w:val="21"/>
              </w:rPr>
            </w:pPr>
            <w:r>
              <w:rPr>
                <w:rFonts w:hint="eastAsia"/>
                <w:color w:val="auto"/>
                <w:szCs w:val="21"/>
                <w:highlight w:val="none"/>
                <w:lang w:eastAsia="zh-CN"/>
              </w:rPr>
              <w:t>西南</w:t>
            </w:r>
          </w:p>
        </w:tc>
        <w:tc>
          <w:tcPr>
            <w:tcW w:w="387" w:type="pct"/>
            <w:vAlign w:val="center"/>
          </w:tcPr>
          <w:p w14:paraId="00B3D429">
            <w:pPr>
              <w:jc w:val="center"/>
              <w:rPr>
                <w:rFonts w:hint="eastAsia"/>
                <w:color w:val="auto"/>
                <w:szCs w:val="21"/>
              </w:rPr>
            </w:pPr>
            <w:r>
              <w:rPr>
                <w:rFonts w:hint="eastAsia"/>
                <w:color w:val="auto"/>
                <w:szCs w:val="21"/>
                <w:highlight w:val="none"/>
                <w:lang w:val="en-US" w:eastAsia="zh-CN"/>
              </w:rPr>
              <w:t>2021</w:t>
            </w:r>
          </w:p>
        </w:tc>
        <w:tc>
          <w:tcPr>
            <w:tcW w:w="805" w:type="pct"/>
            <w:vAlign w:val="center"/>
          </w:tcPr>
          <w:p w14:paraId="37E2867B">
            <w:pPr>
              <w:jc w:val="center"/>
              <w:rPr>
                <w:color w:val="auto"/>
                <w:szCs w:val="21"/>
              </w:rPr>
            </w:pPr>
            <w:r>
              <w:rPr>
                <w:rFonts w:hint="default" w:ascii="Times New Roman" w:hAnsi="Times New Roman" w:cs="Times New Roman"/>
                <w:color w:val="auto"/>
                <w:sz w:val="18"/>
                <w:szCs w:val="18"/>
                <w:highlight w:val="none"/>
              </w:rPr>
              <w:t>120°36′23.681″</w:t>
            </w:r>
          </w:p>
        </w:tc>
        <w:tc>
          <w:tcPr>
            <w:tcW w:w="740" w:type="pct"/>
            <w:vAlign w:val="center"/>
          </w:tcPr>
          <w:p w14:paraId="69A6D6FA">
            <w:pPr>
              <w:jc w:val="center"/>
              <w:rPr>
                <w:rFonts w:hint="eastAsia"/>
                <w:color w:val="auto"/>
                <w:szCs w:val="21"/>
              </w:rPr>
            </w:pPr>
            <w:r>
              <w:rPr>
                <w:rFonts w:hint="default" w:ascii="Times New Roman" w:hAnsi="Times New Roman" w:cs="Times New Roman"/>
                <w:color w:val="auto"/>
                <w:sz w:val="18"/>
                <w:szCs w:val="18"/>
                <w:highlight w:val="none"/>
              </w:rPr>
              <w:t>41°50′54.776″</w:t>
            </w:r>
          </w:p>
        </w:tc>
        <w:tc>
          <w:tcPr>
            <w:tcW w:w="434" w:type="pct"/>
            <w:vMerge w:val="continue"/>
            <w:vAlign w:val="center"/>
          </w:tcPr>
          <w:p w14:paraId="2A79033A">
            <w:pPr>
              <w:widowControl/>
              <w:jc w:val="center"/>
              <w:rPr>
                <w:color w:val="auto"/>
                <w:kern w:val="0"/>
                <w:szCs w:val="21"/>
              </w:rPr>
            </w:pPr>
          </w:p>
        </w:tc>
        <w:tc>
          <w:tcPr>
            <w:tcW w:w="422" w:type="pct"/>
            <w:vMerge w:val="continue"/>
            <w:vAlign w:val="center"/>
          </w:tcPr>
          <w:p w14:paraId="210AD1CF">
            <w:pPr>
              <w:pStyle w:val="168"/>
              <w:rPr>
                <w:color w:val="auto"/>
                <w:szCs w:val="21"/>
              </w:rPr>
            </w:pPr>
          </w:p>
        </w:tc>
        <w:tc>
          <w:tcPr>
            <w:tcW w:w="1036" w:type="pct"/>
            <w:vMerge w:val="continue"/>
            <w:vAlign w:val="center"/>
          </w:tcPr>
          <w:p w14:paraId="330D8A5D">
            <w:pPr>
              <w:pStyle w:val="168"/>
              <w:rPr>
                <w:color w:val="auto"/>
                <w:szCs w:val="21"/>
              </w:rPr>
            </w:pPr>
          </w:p>
        </w:tc>
      </w:tr>
      <w:tr w14:paraId="258257B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33DBDA33">
            <w:pPr>
              <w:widowControl/>
              <w:jc w:val="center"/>
              <w:textAlignment w:val="center"/>
              <w:rPr>
                <w:color w:val="auto"/>
                <w:kern w:val="0"/>
                <w:szCs w:val="21"/>
                <w:lang w:bidi="ar"/>
              </w:rPr>
            </w:pPr>
          </w:p>
        </w:tc>
        <w:tc>
          <w:tcPr>
            <w:tcW w:w="547" w:type="pct"/>
            <w:vAlign w:val="center"/>
          </w:tcPr>
          <w:p w14:paraId="5442D1F2">
            <w:pPr>
              <w:widowControl/>
              <w:jc w:val="center"/>
              <w:rPr>
                <w:rFonts w:hint="eastAsia"/>
                <w:color w:val="auto"/>
                <w:szCs w:val="21"/>
              </w:rPr>
            </w:pPr>
            <w:r>
              <w:rPr>
                <w:rFonts w:hint="eastAsia"/>
                <w:color w:val="auto"/>
                <w:szCs w:val="21"/>
                <w:highlight w:val="none"/>
                <w:lang w:eastAsia="zh-CN"/>
              </w:rPr>
              <w:t>上扣卜营子</w:t>
            </w:r>
          </w:p>
        </w:tc>
        <w:tc>
          <w:tcPr>
            <w:tcW w:w="375" w:type="pct"/>
            <w:vAlign w:val="center"/>
          </w:tcPr>
          <w:p w14:paraId="60F042FF">
            <w:pPr>
              <w:jc w:val="center"/>
              <w:rPr>
                <w:color w:val="auto"/>
                <w:szCs w:val="21"/>
              </w:rPr>
            </w:pPr>
            <w:r>
              <w:rPr>
                <w:rFonts w:hint="eastAsia"/>
                <w:color w:val="auto"/>
                <w:szCs w:val="21"/>
                <w:highlight w:val="none"/>
                <w:lang w:eastAsia="zh-CN"/>
              </w:rPr>
              <w:t>西南</w:t>
            </w:r>
          </w:p>
        </w:tc>
        <w:tc>
          <w:tcPr>
            <w:tcW w:w="387" w:type="pct"/>
            <w:vAlign w:val="center"/>
          </w:tcPr>
          <w:p w14:paraId="09BEE1E1">
            <w:pPr>
              <w:jc w:val="center"/>
              <w:rPr>
                <w:rFonts w:hint="eastAsia"/>
                <w:color w:val="auto"/>
                <w:szCs w:val="21"/>
              </w:rPr>
            </w:pPr>
            <w:r>
              <w:rPr>
                <w:rFonts w:hint="eastAsia"/>
                <w:color w:val="auto"/>
                <w:szCs w:val="21"/>
                <w:highlight w:val="none"/>
                <w:lang w:val="en-US" w:eastAsia="zh-CN"/>
              </w:rPr>
              <w:t>2220</w:t>
            </w:r>
          </w:p>
        </w:tc>
        <w:tc>
          <w:tcPr>
            <w:tcW w:w="805" w:type="pct"/>
            <w:vAlign w:val="center"/>
          </w:tcPr>
          <w:p w14:paraId="489EF804">
            <w:pPr>
              <w:jc w:val="center"/>
              <w:rPr>
                <w:color w:val="auto"/>
                <w:szCs w:val="21"/>
              </w:rPr>
            </w:pPr>
            <w:r>
              <w:rPr>
                <w:rFonts w:hint="default" w:ascii="Times New Roman" w:hAnsi="Times New Roman" w:cs="Times New Roman"/>
                <w:color w:val="auto"/>
                <w:sz w:val="18"/>
                <w:szCs w:val="18"/>
                <w:highlight w:val="none"/>
              </w:rPr>
              <w:t>120°35′56.799″</w:t>
            </w:r>
          </w:p>
        </w:tc>
        <w:tc>
          <w:tcPr>
            <w:tcW w:w="740" w:type="pct"/>
            <w:vAlign w:val="center"/>
          </w:tcPr>
          <w:p w14:paraId="7175903D">
            <w:pPr>
              <w:jc w:val="center"/>
              <w:rPr>
                <w:rFonts w:hint="eastAsia"/>
                <w:color w:val="auto"/>
                <w:szCs w:val="21"/>
              </w:rPr>
            </w:pPr>
            <w:r>
              <w:rPr>
                <w:rFonts w:hint="default" w:ascii="Times New Roman" w:hAnsi="Times New Roman" w:cs="Times New Roman"/>
                <w:color w:val="auto"/>
                <w:sz w:val="18"/>
                <w:szCs w:val="18"/>
                <w:highlight w:val="none"/>
              </w:rPr>
              <w:t>41°51′13.470″</w:t>
            </w:r>
          </w:p>
        </w:tc>
        <w:tc>
          <w:tcPr>
            <w:tcW w:w="434" w:type="pct"/>
            <w:vMerge w:val="continue"/>
            <w:vAlign w:val="center"/>
          </w:tcPr>
          <w:p w14:paraId="338A94C9">
            <w:pPr>
              <w:widowControl/>
              <w:jc w:val="center"/>
              <w:rPr>
                <w:color w:val="auto"/>
                <w:kern w:val="0"/>
                <w:szCs w:val="21"/>
              </w:rPr>
            </w:pPr>
          </w:p>
        </w:tc>
        <w:tc>
          <w:tcPr>
            <w:tcW w:w="422" w:type="pct"/>
            <w:vMerge w:val="continue"/>
            <w:vAlign w:val="center"/>
          </w:tcPr>
          <w:p w14:paraId="535BFFE2">
            <w:pPr>
              <w:pStyle w:val="168"/>
              <w:rPr>
                <w:color w:val="auto"/>
                <w:szCs w:val="21"/>
              </w:rPr>
            </w:pPr>
          </w:p>
        </w:tc>
        <w:tc>
          <w:tcPr>
            <w:tcW w:w="1036" w:type="pct"/>
            <w:vMerge w:val="continue"/>
            <w:vAlign w:val="center"/>
          </w:tcPr>
          <w:p w14:paraId="06A7A880">
            <w:pPr>
              <w:pStyle w:val="168"/>
              <w:rPr>
                <w:color w:val="auto"/>
                <w:szCs w:val="21"/>
              </w:rPr>
            </w:pPr>
          </w:p>
        </w:tc>
      </w:tr>
      <w:tr w14:paraId="464B419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07A4F603">
            <w:pPr>
              <w:widowControl/>
              <w:jc w:val="center"/>
              <w:textAlignment w:val="center"/>
              <w:rPr>
                <w:color w:val="auto"/>
                <w:kern w:val="0"/>
                <w:szCs w:val="21"/>
                <w:lang w:bidi="ar"/>
              </w:rPr>
            </w:pPr>
          </w:p>
        </w:tc>
        <w:tc>
          <w:tcPr>
            <w:tcW w:w="547" w:type="pct"/>
            <w:vAlign w:val="center"/>
          </w:tcPr>
          <w:p w14:paraId="69B31441">
            <w:pPr>
              <w:widowControl/>
              <w:jc w:val="center"/>
              <w:rPr>
                <w:rFonts w:hint="eastAsia"/>
                <w:color w:val="auto"/>
                <w:szCs w:val="21"/>
              </w:rPr>
            </w:pPr>
            <w:r>
              <w:rPr>
                <w:rFonts w:hint="eastAsia"/>
                <w:color w:val="auto"/>
                <w:szCs w:val="21"/>
                <w:highlight w:val="none"/>
                <w:lang w:eastAsia="zh-CN"/>
              </w:rPr>
              <w:t>文登营子</w:t>
            </w:r>
          </w:p>
        </w:tc>
        <w:tc>
          <w:tcPr>
            <w:tcW w:w="375" w:type="pct"/>
            <w:vAlign w:val="center"/>
          </w:tcPr>
          <w:p w14:paraId="7EB70A24">
            <w:pPr>
              <w:jc w:val="center"/>
              <w:rPr>
                <w:color w:val="auto"/>
                <w:szCs w:val="21"/>
              </w:rPr>
            </w:pPr>
            <w:r>
              <w:rPr>
                <w:rFonts w:hint="eastAsia"/>
                <w:color w:val="auto"/>
                <w:szCs w:val="21"/>
                <w:highlight w:val="none"/>
                <w:lang w:eastAsia="zh-CN"/>
              </w:rPr>
              <w:t>西北</w:t>
            </w:r>
          </w:p>
        </w:tc>
        <w:tc>
          <w:tcPr>
            <w:tcW w:w="387" w:type="pct"/>
            <w:vAlign w:val="center"/>
          </w:tcPr>
          <w:p w14:paraId="5C919822">
            <w:pPr>
              <w:jc w:val="center"/>
              <w:rPr>
                <w:rFonts w:hint="eastAsia"/>
                <w:color w:val="auto"/>
                <w:szCs w:val="21"/>
              </w:rPr>
            </w:pPr>
            <w:r>
              <w:rPr>
                <w:rFonts w:hint="eastAsia"/>
                <w:color w:val="auto"/>
                <w:szCs w:val="21"/>
                <w:highlight w:val="none"/>
                <w:lang w:val="en-US" w:eastAsia="zh-CN"/>
              </w:rPr>
              <w:t>768</w:t>
            </w:r>
          </w:p>
        </w:tc>
        <w:tc>
          <w:tcPr>
            <w:tcW w:w="805" w:type="pct"/>
            <w:vAlign w:val="center"/>
          </w:tcPr>
          <w:p w14:paraId="2F41A83C">
            <w:pPr>
              <w:jc w:val="center"/>
              <w:rPr>
                <w:color w:val="auto"/>
                <w:szCs w:val="21"/>
              </w:rPr>
            </w:pPr>
            <w:r>
              <w:rPr>
                <w:rFonts w:hint="default" w:ascii="Times New Roman" w:hAnsi="Times New Roman" w:cs="Times New Roman"/>
                <w:color w:val="auto"/>
                <w:sz w:val="18"/>
                <w:szCs w:val="18"/>
                <w:highlight w:val="none"/>
              </w:rPr>
              <w:t>120°37′3.541″</w:t>
            </w:r>
          </w:p>
        </w:tc>
        <w:tc>
          <w:tcPr>
            <w:tcW w:w="740" w:type="pct"/>
            <w:vAlign w:val="center"/>
          </w:tcPr>
          <w:p w14:paraId="6276ADC1">
            <w:pPr>
              <w:jc w:val="center"/>
              <w:rPr>
                <w:rFonts w:hint="eastAsia"/>
                <w:color w:val="auto"/>
                <w:szCs w:val="21"/>
              </w:rPr>
            </w:pPr>
            <w:r>
              <w:rPr>
                <w:rFonts w:hint="default" w:ascii="Times New Roman" w:hAnsi="Times New Roman" w:cs="Times New Roman"/>
                <w:color w:val="auto"/>
                <w:sz w:val="18"/>
                <w:szCs w:val="18"/>
                <w:highlight w:val="none"/>
              </w:rPr>
              <w:t>41°52′1.518″</w:t>
            </w:r>
          </w:p>
        </w:tc>
        <w:tc>
          <w:tcPr>
            <w:tcW w:w="434" w:type="pct"/>
            <w:vMerge w:val="continue"/>
            <w:vAlign w:val="center"/>
          </w:tcPr>
          <w:p w14:paraId="340D8102">
            <w:pPr>
              <w:widowControl/>
              <w:jc w:val="center"/>
              <w:rPr>
                <w:color w:val="auto"/>
                <w:kern w:val="0"/>
                <w:szCs w:val="21"/>
              </w:rPr>
            </w:pPr>
          </w:p>
        </w:tc>
        <w:tc>
          <w:tcPr>
            <w:tcW w:w="422" w:type="pct"/>
            <w:vMerge w:val="continue"/>
            <w:vAlign w:val="center"/>
          </w:tcPr>
          <w:p w14:paraId="2D3D6342">
            <w:pPr>
              <w:pStyle w:val="168"/>
              <w:rPr>
                <w:color w:val="auto"/>
                <w:szCs w:val="21"/>
              </w:rPr>
            </w:pPr>
          </w:p>
        </w:tc>
        <w:tc>
          <w:tcPr>
            <w:tcW w:w="1036" w:type="pct"/>
            <w:vMerge w:val="continue"/>
            <w:vAlign w:val="center"/>
          </w:tcPr>
          <w:p w14:paraId="1ED471CF">
            <w:pPr>
              <w:pStyle w:val="168"/>
              <w:rPr>
                <w:color w:val="auto"/>
                <w:szCs w:val="21"/>
              </w:rPr>
            </w:pPr>
          </w:p>
        </w:tc>
      </w:tr>
      <w:tr w14:paraId="149A345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704198FB">
            <w:pPr>
              <w:widowControl/>
              <w:jc w:val="center"/>
              <w:textAlignment w:val="center"/>
              <w:rPr>
                <w:color w:val="auto"/>
                <w:kern w:val="0"/>
                <w:szCs w:val="21"/>
                <w:lang w:bidi="ar"/>
              </w:rPr>
            </w:pPr>
          </w:p>
        </w:tc>
        <w:tc>
          <w:tcPr>
            <w:tcW w:w="547" w:type="pct"/>
            <w:vAlign w:val="center"/>
          </w:tcPr>
          <w:p w14:paraId="70C764CB">
            <w:pPr>
              <w:widowControl/>
              <w:jc w:val="center"/>
              <w:rPr>
                <w:rFonts w:hint="eastAsia"/>
                <w:color w:val="auto"/>
                <w:szCs w:val="21"/>
              </w:rPr>
            </w:pPr>
            <w:r>
              <w:rPr>
                <w:rFonts w:hint="eastAsia"/>
                <w:color w:val="auto"/>
                <w:szCs w:val="21"/>
                <w:highlight w:val="none"/>
                <w:lang w:eastAsia="zh-CN"/>
              </w:rPr>
              <w:t>矫麻子沟</w:t>
            </w:r>
          </w:p>
        </w:tc>
        <w:tc>
          <w:tcPr>
            <w:tcW w:w="375" w:type="pct"/>
            <w:vAlign w:val="center"/>
          </w:tcPr>
          <w:p w14:paraId="20FE074D">
            <w:pPr>
              <w:jc w:val="center"/>
              <w:rPr>
                <w:color w:val="auto"/>
                <w:szCs w:val="21"/>
              </w:rPr>
            </w:pPr>
            <w:r>
              <w:rPr>
                <w:rFonts w:hint="eastAsia"/>
                <w:color w:val="auto"/>
                <w:szCs w:val="21"/>
                <w:highlight w:val="none"/>
                <w:lang w:eastAsia="zh-CN"/>
              </w:rPr>
              <w:t>西北</w:t>
            </w:r>
          </w:p>
        </w:tc>
        <w:tc>
          <w:tcPr>
            <w:tcW w:w="387" w:type="pct"/>
            <w:vAlign w:val="center"/>
          </w:tcPr>
          <w:p w14:paraId="74D8E7C2">
            <w:pPr>
              <w:jc w:val="center"/>
              <w:rPr>
                <w:rFonts w:hint="eastAsia"/>
                <w:color w:val="auto"/>
                <w:szCs w:val="21"/>
              </w:rPr>
            </w:pPr>
            <w:r>
              <w:rPr>
                <w:rFonts w:hint="eastAsia"/>
                <w:color w:val="auto"/>
                <w:szCs w:val="21"/>
                <w:highlight w:val="none"/>
                <w:lang w:val="en-US" w:eastAsia="zh-CN"/>
              </w:rPr>
              <w:t>2036</w:t>
            </w:r>
          </w:p>
        </w:tc>
        <w:tc>
          <w:tcPr>
            <w:tcW w:w="805" w:type="pct"/>
            <w:vAlign w:val="center"/>
          </w:tcPr>
          <w:p w14:paraId="5E81863C">
            <w:pPr>
              <w:jc w:val="center"/>
              <w:rPr>
                <w:color w:val="auto"/>
                <w:szCs w:val="21"/>
              </w:rPr>
            </w:pPr>
            <w:r>
              <w:rPr>
                <w:rFonts w:hint="default" w:ascii="Times New Roman" w:hAnsi="Times New Roman" w:cs="Times New Roman"/>
                <w:color w:val="auto"/>
                <w:sz w:val="18"/>
                <w:szCs w:val="18"/>
                <w:highlight w:val="none"/>
              </w:rPr>
              <w:t>120°36′7.459″</w:t>
            </w:r>
          </w:p>
        </w:tc>
        <w:tc>
          <w:tcPr>
            <w:tcW w:w="740" w:type="pct"/>
            <w:vAlign w:val="center"/>
          </w:tcPr>
          <w:p w14:paraId="3B46CB96">
            <w:pPr>
              <w:jc w:val="center"/>
              <w:rPr>
                <w:rFonts w:hint="eastAsia"/>
                <w:color w:val="auto"/>
                <w:szCs w:val="21"/>
              </w:rPr>
            </w:pPr>
            <w:r>
              <w:rPr>
                <w:rFonts w:hint="default" w:ascii="Times New Roman" w:hAnsi="Times New Roman" w:cs="Times New Roman"/>
                <w:color w:val="auto"/>
                <w:sz w:val="18"/>
                <w:szCs w:val="18"/>
                <w:highlight w:val="none"/>
              </w:rPr>
              <w:t>41°52′20.367″</w:t>
            </w:r>
          </w:p>
        </w:tc>
        <w:tc>
          <w:tcPr>
            <w:tcW w:w="434" w:type="pct"/>
            <w:vMerge w:val="continue"/>
            <w:vAlign w:val="center"/>
          </w:tcPr>
          <w:p w14:paraId="78468F59">
            <w:pPr>
              <w:widowControl/>
              <w:jc w:val="center"/>
              <w:rPr>
                <w:color w:val="auto"/>
                <w:kern w:val="0"/>
                <w:szCs w:val="21"/>
              </w:rPr>
            </w:pPr>
          </w:p>
        </w:tc>
        <w:tc>
          <w:tcPr>
            <w:tcW w:w="422" w:type="pct"/>
            <w:vMerge w:val="continue"/>
            <w:vAlign w:val="center"/>
          </w:tcPr>
          <w:p w14:paraId="4813791A">
            <w:pPr>
              <w:pStyle w:val="168"/>
              <w:rPr>
                <w:color w:val="auto"/>
                <w:szCs w:val="21"/>
              </w:rPr>
            </w:pPr>
          </w:p>
        </w:tc>
        <w:tc>
          <w:tcPr>
            <w:tcW w:w="1036" w:type="pct"/>
            <w:vMerge w:val="continue"/>
            <w:vAlign w:val="center"/>
          </w:tcPr>
          <w:p w14:paraId="76019E8B">
            <w:pPr>
              <w:pStyle w:val="168"/>
              <w:rPr>
                <w:color w:val="auto"/>
                <w:szCs w:val="21"/>
              </w:rPr>
            </w:pPr>
          </w:p>
        </w:tc>
      </w:tr>
      <w:tr w14:paraId="4B20A4A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73DC468A">
            <w:pPr>
              <w:widowControl/>
              <w:jc w:val="center"/>
              <w:textAlignment w:val="center"/>
              <w:rPr>
                <w:color w:val="auto"/>
                <w:kern w:val="0"/>
                <w:szCs w:val="21"/>
                <w:lang w:bidi="ar"/>
              </w:rPr>
            </w:pPr>
          </w:p>
        </w:tc>
        <w:tc>
          <w:tcPr>
            <w:tcW w:w="547" w:type="pct"/>
            <w:vAlign w:val="center"/>
          </w:tcPr>
          <w:p w14:paraId="542E4C85">
            <w:pPr>
              <w:widowControl/>
              <w:jc w:val="center"/>
              <w:rPr>
                <w:rFonts w:hint="eastAsia"/>
                <w:color w:val="auto"/>
                <w:szCs w:val="21"/>
              </w:rPr>
            </w:pPr>
            <w:r>
              <w:rPr>
                <w:rFonts w:hint="eastAsia"/>
                <w:color w:val="auto"/>
                <w:szCs w:val="21"/>
                <w:highlight w:val="none"/>
                <w:lang w:eastAsia="zh-CN"/>
              </w:rPr>
              <w:t>前柳条沟</w:t>
            </w:r>
          </w:p>
        </w:tc>
        <w:tc>
          <w:tcPr>
            <w:tcW w:w="375" w:type="pct"/>
            <w:vAlign w:val="center"/>
          </w:tcPr>
          <w:p w14:paraId="1ABF3D8E">
            <w:pPr>
              <w:jc w:val="center"/>
              <w:rPr>
                <w:color w:val="auto"/>
                <w:szCs w:val="21"/>
              </w:rPr>
            </w:pPr>
            <w:r>
              <w:rPr>
                <w:rFonts w:hint="eastAsia"/>
                <w:color w:val="auto"/>
                <w:szCs w:val="21"/>
                <w:highlight w:val="none"/>
                <w:lang w:eastAsia="zh-CN"/>
              </w:rPr>
              <w:t>北</w:t>
            </w:r>
          </w:p>
        </w:tc>
        <w:tc>
          <w:tcPr>
            <w:tcW w:w="387" w:type="pct"/>
            <w:vAlign w:val="center"/>
          </w:tcPr>
          <w:p w14:paraId="5C92D85B">
            <w:pPr>
              <w:jc w:val="center"/>
              <w:rPr>
                <w:rFonts w:hint="eastAsia"/>
                <w:color w:val="auto"/>
                <w:szCs w:val="21"/>
              </w:rPr>
            </w:pPr>
            <w:r>
              <w:rPr>
                <w:rFonts w:hint="eastAsia"/>
                <w:color w:val="auto"/>
                <w:szCs w:val="21"/>
                <w:highlight w:val="none"/>
                <w:lang w:val="en-US" w:eastAsia="zh-CN"/>
              </w:rPr>
              <w:t>1559</w:t>
            </w:r>
          </w:p>
        </w:tc>
        <w:tc>
          <w:tcPr>
            <w:tcW w:w="805" w:type="pct"/>
            <w:vAlign w:val="center"/>
          </w:tcPr>
          <w:p w14:paraId="05E547DD">
            <w:pPr>
              <w:jc w:val="center"/>
              <w:rPr>
                <w:color w:val="auto"/>
                <w:szCs w:val="21"/>
              </w:rPr>
            </w:pPr>
            <w:r>
              <w:rPr>
                <w:rFonts w:hint="default" w:ascii="Times New Roman" w:hAnsi="Times New Roman" w:cs="Times New Roman"/>
                <w:color w:val="auto"/>
                <w:sz w:val="18"/>
                <w:szCs w:val="18"/>
                <w:highlight w:val="none"/>
              </w:rPr>
              <w:t>120°37′55.914″</w:t>
            </w:r>
          </w:p>
        </w:tc>
        <w:tc>
          <w:tcPr>
            <w:tcW w:w="740" w:type="pct"/>
            <w:vAlign w:val="center"/>
          </w:tcPr>
          <w:p w14:paraId="2BF6B0D3">
            <w:pPr>
              <w:jc w:val="center"/>
              <w:rPr>
                <w:rFonts w:hint="eastAsia"/>
                <w:color w:val="auto"/>
                <w:szCs w:val="21"/>
              </w:rPr>
            </w:pPr>
            <w:r>
              <w:rPr>
                <w:rFonts w:hint="default" w:ascii="Times New Roman" w:hAnsi="Times New Roman" w:cs="Times New Roman"/>
                <w:color w:val="auto"/>
                <w:sz w:val="18"/>
                <w:szCs w:val="18"/>
                <w:highlight w:val="none"/>
              </w:rPr>
              <w:t>41°52′37.825″</w:t>
            </w:r>
          </w:p>
        </w:tc>
        <w:tc>
          <w:tcPr>
            <w:tcW w:w="434" w:type="pct"/>
            <w:vMerge w:val="continue"/>
            <w:vAlign w:val="center"/>
          </w:tcPr>
          <w:p w14:paraId="3CF9E92C">
            <w:pPr>
              <w:widowControl/>
              <w:jc w:val="center"/>
              <w:rPr>
                <w:color w:val="auto"/>
                <w:kern w:val="0"/>
                <w:szCs w:val="21"/>
              </w:rPr>
            </w:pPr>
          </w:p>
        </w:tc>
        <w:tc>
          <w:tcPr>
            <w:tcW w:w="422" w:type="pct"/>
            <w:vMerge w:val="continue"/>
            <w:vAlign w:val="center"/>
          </w:tcPr>
          <w:p w14:paraId="180D4E1D">
            <w:pPr>
              <w:pStyle w:val="168"/>
              <w:rPr>
                <w:color w:val="auto"/>
                <w:szCs w:val="21"/>
              </w:rPr>
            </w:pPr>
          </w:p>
        </w:tc>
        <w:tc>
          <w:tcPr>
            <w:tcW w:w="1036" w:type="pct"/>
            <w:vMerge w:val="continue"/>
            <w:vAlign w:val="center"/>
          </w:tcPr>
          <w:p w14:paraId="56DBA62E">
            <w:pPr>
              <w:pStyle w:val="168"/>
              <w:rPr>
                <w:color w:val="auto"/>
                <w:szCs w:val="21"/>
              </w:rPr>
            </w:pPr>
          </w:p>
        </w:tc>
      </w:tr>
      <w:tr w14:paraId="650F1E2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3ACD41B3">
            <w:pPr>
              <w:widowControl/>
              <w:jc w:val="center"/>
              <w:textAlignment w:val="center"/>
              <w:rPr>
                <w:color w:val="auto"/>
                <w:kern w:val="0"/>
                <w:szCs w:val="21"/>
                <w:lang w:bidi="ar"/>
              </w:rPr>
            </w:pPr>
          </w:p>
        </w:tc>
        <w:tc>
          <w:tcPr>
            <w:tcW w:w="547" w:type="pct"/>
            <w:vAlign w:val="center"/>
          </w:tcPr>
          <w:p w14:paraId="3C1CA03C">
            <w:pPr>
              <w:widowControl/>
              <w:jc w:val="center"/>
              <w:rPr>
                <w:rFonts w:hint="eastAsia"/>
                <w:color w:val="auto"/>
                <w:szCs w:val="21"/>
              </w:rPr>
            </w:pPr>
            <w:r>
              <w:rPr>
                <w:rFonts w:hint="eastAsia"/>
                <w:color w:val="auto"/>
                <w:szCs w:val="21"/>
                <w:highlight w:val="none"/>
                <w:lang w:eastAsia="zh-CN"/>
              </w:rPr>
              <w:t>后柳条沟</w:t>
            </w:r>
          </w:p>
        </w:tc>
        <w:tc>
          <w:tcPr>
            <w:tcW w:w="375" w:type="pct"/>
            <w:vAlign w:val="center"/>
          </w:tcPr>
          <w:p w14:paraId="31A2D1E0">
            <w:pPr>
              <w:jc w:val="center"/>
              <w:rPr>
                <w:color w:val="auto"/>
                <w:szCs w:val="21"/>
              </w:rPr>
            </w:pPr>
            <w:r>
              <w:rPr>
                <w:rFonts w:hint="eastAsia"/>
                <w:color w:val="auto"/>
                <w:szCs w:val="21"/>
                <w:highlight w:val="none"/>
                <w:lang w:eastAsia="zh-CN"/>
              </w:rPr>
              <w:t>北</w:t>
            </w:r>
          </w:p>
        </w:tc>
        <w:tc>
          <w:tcPr>
            <w:tcW w:w="387" w:type="pct"/>
            <w:vAlign w:val="center"/>
          </w:tcPr>
          <w:p w14:paraId="6FBF2B0D">
            <w:pPr>
              <w:jc w:val="center"/>
              <w:rPr>
                <w:rFonts w:hint="eastAsia"/>
                <w:color w:val="auto"/>
                <w:szCs w:val="21"/>
              </w:rPr>
            </w:pPr>
            <w:r>
              <w:rPr>
                <w:rFonts w:hint="eastAsia"/>
                <w:color w:val="auto"/>
                <w:szCs w:val="21"/>
                <w:highlight w:val="none"/>
                <w:lang w:val="en-US" w:eastAsia="zh-CN"/>
              </w:rPr>
              <w:t>2012</w:t>
            </w:r>
          </w:p>
        </w:tc>
        <w:tc>
          <w:tcPr>
            <w:tcW w:w="805" w:type="pct"/>
            <w:vAlign w:val="center"/>
          </w:tcPr>
          <w:p w14:paraId="31092164">
            <w:pPr>
              <w:jc w:val="center"/>
              <w:rPr>
                <w:color w:val="auto"/>
                <w:szCs w:val="21"/>
              </w:rPr>
            </w:pPr>
            <w:r>
              <w:rPr>
                <w:rFonts w:hint="default" w:ascii="Times New Roman" w:hAnsi="Times New Roman" w:cs="Times New Roman"/>
                <w:color w:val="auto"/>
                <w:sz w:val="18"/>
                <w:szCs w:val="18"/>
                <w:highlight w:val="none"/>
              </w:rPr>
              <w:t>120°37′45.872″</w:t>
            </w:r>
          </w:p>
        </w:tc>
        <w:tc>
          <w:tcPr>
            <w:tcW w:w="740" w:type="pct"/>
            <w:vAlign w:val="center"/>
          </w:tcPr>
          <w:p w14:paraId="6A2D66DA">
            <w:pPr>
              <w:jc w:val="center"/>
              <w:rPr>
                <w:rFonts w:hint="eastAsia"/>
                <w:color w:val="auto"/>
                <w:szCs w:val="21"/>
              </w:rPr>
            </w:pPr>
            <w:r>
              <w:rPr>
                <w:rFonts w:hint="default" w:ascii="Times New Roman" w:hAnsi="Times New Roman" w:cs="Times New Roman"/>
                <w:color w:val="auto"/>
                <w:sz w:val="18"/>
                <w:szCs w:val="18"/>
                <w:highlight w:val="none"/>
              </w:rPr>
              <w:t>41°52′51.575″</w:t>
            </w:r>
          </w:p>
        </w:tc>
        <w:tc>
          <w:tcPr>
            <w:tcW w:w="434" w:type="pct"/>
            <w:vMerge w:val="continue"/>
            <w:vAlign w:val="center"/>
          </w:tcPr>
          <w:p w14:paraId="06299B49">
            <w:pPr>
              <w:widowControl/>
              <w:jc w:val="center"/>
              <w:rPr>
                <w:color w:val="auto"/>
                <w:kern w:val="0"/>
                <w:szCs w:val="21"/>
              </w:rPr>
            </w:pPr>
          </w:p>
        </w:tc>
        <w:tc>
          <w:tcPr>
            <w:tcW w:w="422" w:type="pct"/>
            <w:vMerge w:val="continue"/>
            <w:vAlign w:val="center"/>
          </w:tcPr>
          <w:p w14:paraId="07E4C457">
            <w:pPr>
              <w:pStyle w:val="168"/>
              <w:rPr>
                <w:color w:val="auto"/>
                <w:szCs w:val="21"/>
              </w:rPr>
            </w:pPr>
          </w:p>
        </w:tc>
        <w:tc>
          <w:tcPr>
            <w:tcW w:w="1036" w:type="pct"/>
            <w:vMerge w:val="continue"/>
            <w:vAlign w:val="center"/>
          </w:tcPr>
          <w:p w14:paraId="46B5409F">
            <w:pPr>
              <w:pStyle w:val="168"/>
              <w:rPr>
                <w:color w:val="auto"/>
                <w:szCs w:val="21"/>
              </w:rPr>
            </w:pPr>
          </w:p>
        </w:tc>
      </w:tr>
      <w:tr w14:paraId="0852E1F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571B028A">
            <w:pPr>
              <w:widowControl/>
              <w:jc w:val="center"/>
              <w:textAlignment w:val="center"/>
              <w:rPr>
                <w:color w:val="auto"/>
                <w:kern w:val="0"/>
                <w:szCs w:val="21"/>
                <w:lang w:bidi="ar"/>
              </w:rPr>
            </w:pPr>
          </w:p>
        </w:tc>
        <w:tc>
          <w:tcPr>
            <w:tcW w:w="547" w:type="pct"/>
            <w:vAlign w:val="center"/>
          </w:tcPr>
          <w:p w14:paraId="18CC92AB">
            <w:pPr>
              <w:widowControl/>
              <w:jc w:val="center"/>
              <w:rPr>
                <w:rFonts w:hint="eastAsia"/>
                <w:color w:val="auto"/>
                <w:szCs w:val="21"/>
                <w:lang w:eastAsia="zh-CN"/>
              </w:rPr>
            </w:pPr>
            <w:r>
              <w:rPr>
                <w:rFonts w:hint="eastAsia"/>
                <w:color w:val="auto"/>
                <w:szCs w:val="21"/>
                <w:highlight w:val="none"/>
                <w:lang w:eastAsia="zh-CN"/>
              </w:rPr>
              <w:t>花子楼</w:t>
            </w:r>
          </w:p>
        </w:tc>
        <w:tc>
          <w:tcPr>
            <w:tcW w:w="375" w:type="pct"/>
            <w:vAlign w:val="center"/>
          </w:tcPr>
          <w:p w14:paraId="435E02AC">
            <w:pPr>
              <w:jc w:val="center"/>
              <w:rPr>
                <w:rFonts w:hint="eastAsia"/>
                <w:color w:val="auto"/>
                <w:szCs w:val="21"/>
                <w:lang w:eastAsia="zh-CN"/>
              </w:rPr>
            </w:pPr>
            <w:r>
              <w:rPr>
                <w:rFonts w:hint="eastAsia"/>
                <w:color w:val="auto"/>
                <w:szCs w:val="21"/>
                <w:highlight w:val="none"/>
                <w:lang w:eastAsia="zh-CN"/>
              </w:rPr>
              <w:t>北</w:t>
            </w:r>
          </w:p>
        </w:tc>
        <w:tc>
          <w:tcPr>
            <w:tcW w:w="387" w:type="pct"/>
            <w:vAlign w:val="center"/>
          </w:tcPr>
          <w:p w14:paraId="388153D1">
            <w:pPr>
              <w:jc w:val="center"/>
              <w:rPr>
                <w:rFonts w:hint="eastAsia"/>
                <w:color w:val="auto"/>
                <w:szCs w:val="21"/>
                <w:lang w:val="en-US" w:eastAsia="zh-CN"/>
              </w:rPr>
            </w:pPr>
            <w:r>
              <w:rPr>
                <w:rFonts w:hint="eastAsia"/>
                <w:color w:val="auto"/>
                <w:szCs w:val="21"/>
                <w:highlight w:val="none"/>
                <w:lang w:val="en-US" w:eastAsia="zh-CN"/>
              </w:rPr>
              <w:t>2741</w:t>
            </w:r>
          </w:p>
        </w:tc>
        <w:tc>
          <w:tcPr>
            <w:tcW w:w="805" w:type="pct"/>
            <w:vAlign w:val="center"/>
          </w:tcPr>
          <w:p w14:paraId="1B8DF349">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highlight w:val="none"/>
              </w:rPr>
              <w:t>120°37′28.878″</w:t>
            </w:r>
          </w:p>
        </w:tc>
        <w:tc>
          <w:tcPr>
            <w:tcW w:w="740" w:type="pct"/>
            <w:vAlign w:val="center"/>
          </w:tcPr>
          <w:p w14:paraId="5F4B5BEA">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highlight w:val="none"/>
              </w:rPr>
              <w:t>41°53′11.350″</w:t>
            </w:r>
          </w:p>
        </w:tc>
        <w:tc>
          <w:tcPr>
            <w:tcW w:w="434" w:type="pct"/>
            <w:vMerge w:val="continue"/>
            <w:vAlign w:val="center"/>
          </w:tcPr>
          <w:p w14:paraId="4120A92B">
            <w:pPr>
              <w:widowControl/>
              <w:jc w:val="center"/>
              <w:rPr>
                <w:color w:val="auto"/>
                <w:kern w:val="0"/>
                <w:szCs w:val="21"/>
              </w:rPr>
            </w:pPr>
          </w:p>
        </w:tc>
        <w:tc>
          <w:tcPr>
            <w:tcW w:w="422" w:type="pct"/>
            <w:vMerge w:val="continue"/>
            <w:vAlign w:val="center"/>
          </w:tcPr>
          <w:p w14:paraId="354959B8">
            <w:pPr>
              <w:pStyle w:val="168"/>
              <w:rPr>
                <w:color w:val="auto"/>
                <w:szCs w:val="21"/>
              </w:rPr>
            </w:pPr>
          </w:p>
        </w:tc>
        <w:tc>
          <w:tcPr>
            <w:tcW w:w="1036" w:type="pct"/>
            <w:vMerge w:val="continue"/>
            <w:vAlign w:val="center"/>
          </w:tcPr>
          <w:p w14:paraId="43807C51">
            <w:pPr>
              <w:pStyle w:val="168"/>
              <w:rPr>
                <w:color w:val="auto"/>
                <w:szCs w:val="21"/>
              </w:rPr>
            </w:pPr>
          </w:p>
        </w:tc>
      </w:tr>
      <w:tr w14:paraId="6914E4F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71729C35">
            <w:pPr>
              <w:widowControl/>
              <w:jc w:val="center"/>
              <w:textAlignment w:val="center"/>
              <w:rPr>
                <w:color w:val="auto"/>
                <w:kern w:val="0"/>
                <w:szCs w:val="21"/>
                <w:lang w:bidi="ar"/>
              </w:rPr>
            </w:pPr>
          </w:p>
        </w:tc>
        <w:tc>
          <w:tcPr>
            <w:tcW w:w="547" w:type="pct"/>
            <w:vAlign w:val="center"/>
          </w:tcPr>
          <w:p w14:paraId="01CFF882">
            <w:pPr>
              <w:widowControl/>
              <w:jc w:val="center"/>
              <w:rPr>
                <w:rFonts w:hint="eastAsia"/>
                <w:color w:val="auto"/>
                <w:szCs w:val="21"/>
                <w:lang w:eastAsia="zh-CN"/>
              </w:rPr>
            </w:pPr>
            <w:r>
              <w:rPr>
                <w:rFonts w:hint="eastAsia"/>
                <w:color w:val="auto"/>
                <w:szCs w:val="21"/>
                <w:highlight w:val="none"/>
                <w:lang w:eastAsia="zh-CN"/>
              </w:rPr>
              <w:t>沟门子</w:t>
            </w:r>
          </w:p>
        </w:tc>
        <w:tc>
          <w:tcPr>
            <w:tcW w:w="375" w:type="pct"/>
            <w:vAlign w:val="center"/>
          </w:tcPr>
          <w:p w14:paraId="33EAD675">
            <w:pPr>
              <w:jc w:val="center"/>
              <w:rPr>
                <w:rFonts w:hint="eastAsia"/>
                <w:color w:val="auto"/>
                <w:szCs w:val="21"/>
                <w:lang w:eastAsia="zh-CN"/>
              </w:rPr>
            </w:pPr>
            <w:r>
              <w:rPr>
                <w:rFonts w:hint="eastAsia"/>
                <w:color w:val="auto"/>
                <w:szCs w:val="21"/>
                <w:highlight w:val="none"/>
                <w:lang w:eastAsia="zh-CN"/>
              </w:rPr>
              <w:t>东北</w:t>
            </w:r>
          </w:p>
        </w:tc>
        <w:tc>
          <w:tcPr>
            <w:tcW w:w="387" w:type="pct"/>
            <w:vAlign w:val="center"/>
          </w:tcPr>
          <w:p w14:paraId="5FBF2D57">
            <w:pPr>
              <w:jc w:val="center"/>
              <w:rPr>
                <w:rFonts w:hint="eastAsia"/>
                <w:color w:val="auto"/>
                <w:szCs w:val="21"/>
                <w:lang w:val="en-US" w:eastAsia="zh-CN"/>
              </w:rPr>
            </w:pPr>
            <w:r>
              <w:rPr>
                <w:rFonts w:hint="eastAsia"/>
                <w:color w:val="auto"/>
                <w:szCs w:val="21"/>
                <w:highlight w:val="none"/>
                <w:lang w:val="en-US" w:eastAsia="zh-CN"/>
              </w:rPr>
              <w:t>2102</w:t>
            </w:r>
          </w:p>
        </w:tc>
        <w:tc>
          <w:tcPr>
            <w:tcW w:w="805" w:type="pct"/>
            <w:vAlign w:val="center"/>
          </w:tcPr>
          <w:p w14:paraId="558DBD4D">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highlight w:val="none"/>
              </w:rPr>
              <w:t>120°38′37.937″</w:t>
            </w:r>
          </w:p>
        </w:tc>
        <w:tc>
          <w:tcPr>
            <w:tcW w:w="740" w:type="pct"/>
            <w:vAlign w:val="center"/>
          </w:tcPr>
          <w:p w14:paraId="5B46D750">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highlight w:val="none"/>
              </w:rPr>
              <w:t>41°52′41.069″</w:t>
            </w:r>
          </w:p>
        </w:tc>
        <w:tc>
          <w:tcPr>
            <w:tcW w:w="434" w:type="pct"/>
            <w:vMerge w:val="continue"/>
            <w:vAlign w:val="center"/>
          </w:tcPr>
          <w:p w14:paraId="39E300FD">
            <w:pPr>
              <w:widowControl/>
              <w:jc w:val="center"/>
              <w:rPr>
                <w:color w:val="auto"/>
                <w:kern w:val="0"/>
                <w:szCs w:val="21"/>
              </w:rPr>
            </w:pPr>
          </w:p>
        </w:tc>
        <w:tc>
          <w:tcPr>
            <w:tcW w:w="422" w:type="pct"/>
            <w:vMerge w:val="continue"/>
            <w:vAlign w:val="center"/>
          </w:tcPr>
          <w:p w14:paraId="151C30E4">
            <w:pPr>
              <w:pStyle w:val="168"/>
              <w:rPr>
                <w:color w:val="auto"/>
                <w:szCs w:val="21"/>
              </w:rPr>
            </w:pPr>
          </w:p>
        </w:tc>
        <w:tc>
          <w:tcPr>
            <w:tcW w:w="1036" w:type="pct"/>
            <w:vMerge w:val="continue"/>
            <w:vAlign w:val="center"/>
          </w:tcPr>
          <w:p w14:paraId="06CD6CEB">
            <w:pPr>
              <w:pStyle w:val="168"/>
              <w:rPr>
                <w:color w:val="auto"/>
                <w:szCs w:val="21"/>
              </w:rPr>
            </w:pPr>
          </w:p>
        </w:tc>
      </w:tr>
      <w:tr w14:paraId="4EBA9D4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3B12480C">
            <w:pPr>
              <w:widowControl/>
              <w:jc w:val="center"/>
              <w:textAlignment w:val="center"/>
              <w:rPr>
                <w:color w:val="auto"/>
                <w:kern w:val="0"/>
                <w:szCs w:val="21"/>
                <w:lang w:bidi="ar"/>
              </w:rPr>
            </w:pPr>
          </w:p>
        </w:tc>
        <w:tc>
          <w:tcPr>
            <w:tcW w:w="547" w:type="pct"/>
            <w:vAlign w:val="center"/>
          </w:tcPr>
          <w:p w14:paraId="7AAAE637">
            <w:pPr>
              <w:widowControl/>
              <w:jc w:val="center"/>
              <w:rPr>
                <w:rFonts w:hint="eastAsia"/>
                <w:color w:val="auto"/>
                <w:szCs w:val="21"/>
                <w:lang w:eastAsia="zh-CN"/>
              </w:rPr>
            </w:pPr>
            <w:r>
              <w:rPr>
                <w:rFonts w:hint="eastAsia"/>
                <w:color w:val="auto"/>
                <w:szCs w:val="21"/>
                <w:highlight w:val="none"/>
                <w:lang w:eastAsia="zh-CN"/>
              </w:rPr>
              <w:t>海丰村</w:t>
            </w:r>
          </w:p>
        </w:tc>
        <w:tc>
          <w:tcPr>
            <w:tcW w:w="375" w:type="pct"/>
            <w:vAlign w:val="center"/>
          </w:tcPr>
          <w:p w14:paraId="2C5E3EFB">
            <w:pPr>
              <w:jc w:val="center"/>
              <w:rPr>
                <w:rFonts w:hint="eastAsia"/>
                <w:color w:val="auto"/>
                <w:szCs w:val="21"/>
                <w:lang w:eastAsia="zh-CN"/>
              </w:rPr>
            </w:pPr>
            <w:r>
              <w:rPr>
                <w:rFonts w:hint="eastAsia"/>
                <w:color w:val="auto"/>
                <w:szCs w:val="21"/>
                <w:highlight w:val="none"/>
                <w:lang w:eastAsia="zh-CN"/>
              </w:rPr>
              <w:t>东北</w:t>
            </w:r>
          </w:p>
        </w:tc>
        <w:tc>
          <w:tcPr>
            <w:tcW w:w="387" w:type="pct"/>
            <w:vAlign w:val="center"/>
          </w:tcPr>
          <w:p w14:paraId="29C2E29F">
            <w:pPr>
              <w:jc w:val="center"/>
              <w:rPr>
                <w:rFonts w:hint="eastAsia"/>
                <w:color w:val="auto"/>
                <w:szCs w:val="21"/>
                <w:lang w:val="en-US" w:eastAsia="zh-CN"/>
              </w:rPr>
            </w:pPr>
            <w:r>
              <w:rPr>
                <w:rFonts w:hint="eastAsia"/>
                <w:color w:val="auto"/>
                <w:szCs w:val="21"/>
                <w:highlight w:val="none"/>
                <w:lang w:val="en-US" w:eastAsia="zh-CN"/>
              </w:rPr>
              <w:t>2592</w:t>
            </w:r>
          </w:p>
        </w:tc>
        <w:tc>
          <w:tcPr>
            <w:tcW w:w="805" w:type="pct"/>
            <w:vAlign w:val="center"/>
          </w:tcPr>
          <w:p w14:paraId="61D6270A">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highlight w:val="none"/>
              </w:rPr>
              <w:t>120°38′34.384″</w:t>
            </w:r>
          </w:p>
        </w:tc>
        <w:tc>
          <w:tcPr>
            <w:tcW w:w="740" w:type="pct"/>
            <w:vAlign w:val="center"/>
          </w:tcPr>
          <w:p w14:paraId="7B567FBB">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highlight w:val="none"/>
              </w:rPr>
              <w:t>41°53′7.333″</w:t>
            </w:r>
          </w:p>
        </w:tc>
        <w:tc>
          <w:tcPr>
            <w:tcW w:w="434" w:type="pct"/>
            <w:vMerge w:val="continue"/>
            <w:vAlign w:val="center"/>
          </w:tcPr>
          <w:p w14:paraId="54807075">
            <w:pPr>
              <w:widowControl/>
              <w:jc w:val="center"/>
              <w:rPr>
                <w:color w:val="auto"/>
                <w:kern w:val="0"/>
                <w:szCs w:val="21"/>
              </w:rPr>
            </w:pPr>
          </w:p>
        </w:tc>
        <w:tc>
          <w:tcPr>
            <w:tcW w:w="422" w:type="pct"/>
            <w:vMerge w:val="continue"/>
            <w:vAlign w:val="center"/>
          </w:tcPr>
          <w:p w14:paraId="76666720">
            <w:pPr>
              <w:pStyle w:val="168"/>
              <w:rPr>
                <w:color w:val="auto"/>
                <w:szCs w:val="21"/>
              </w:rPr>
            </w:pPr>
          </w:p>
        </w:tc>
        <w:tc>
          <w:tcPr>
            <w:tcW w:w="1036" w:type="pct"/>
            <w:vMerge w:val="continue"/>
            <w:vAlign w:val="center"/>
          </w:tcPr>
          <w:p w14:paraId="221CBD03">
            <w:pPr>
              <w:pStyle w:val="168"/>
              <w:rPr>
                <w:color w:val="auto"/>
                <w:szCs w:val="21"/>
              </w:rPr>
            </w:pPr>
          </w:p>
        </w:tc>
      </w:tr>
      <w:tr w14:paraId="6650451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Align w:val="center"/>
          </w:tcPr>
          <w:p w14:paraId="6122CBA3">
            <w:pPr>
              <w:pStyle w:val="168"/>
              <w:rPr>
                <w:rFonts w:hint="eastAsia" w:eastAsia="宋体"/>
                <w:color w:val="auto"/>
                <w:szCs w:val="21"/>
                <w:lang w:val="en-US" w:eastAsia="zh-CN"/>
              </w:rPr>
            </w:pPr>
            <w:r>
              <w:rPr>
                <w:rFonts w:hint="eastAsia"/>
                <w:color w:val="auto"/>
                <w:szCs w:val="21"/>
                <w:lang w:val="en-US" w:eastAsia="zh-CN"/>
              </w:rPr>
              <w:t>2</w:t>
            </w:r>
          </w:p>
        </w:tc>
        <w:tc>
          <w:tcPr>
            <w:tcW w:w="547" w:type="pct"/>
            <w:vAlign w:val="center"/>
          </w:tcPr>
          <w:p w14:paraId="05039BE2">
            <w:pPr>
              <w:autoSpaceDE w:val="0"/>
              <w:autoSpaceDN w:val="0"/>
              <w:ind w:left="-105" w:leftChars="-50" w:right="-105" w:rightChars="-50"/>
              <w:jc w:val="center"/>
              <w:rPr>
                <w:rFonts w:hint="eastAsia" w:eastAsia="宋体"/>
                <w:color w:val="auto"/>
                <w:szCs w:val="21"/>
                <w:lang w:eastAsia="zh-CN"/>
              </w:rPr>
            </w:pPr>
            <w:r>
              <w:rPr>
                <w:rFonts w:hint="eastAsia"/>
                <w:color w:val="auto"/>
                <w:szCs w:val="21"/>
                <w:lang w:eastAsia="zh-CN"/>
              </w:rPr>
              <w:t>东官营河</w:t>
            </w:r>
          </w:p>
        </w:tc>
        <w:tc>
          <w:tcPr>
            <w:tcW w:w="375" w:type="pct"/>
            <w:vAlign w:val="center"/>
          </w:tcPr>
          <w:p w14:paraId="168F8D91">
            <w:pPr>
              <w:jc w:val="center"/>
              <w:rPr>
                <w:rFonts w:hint="eastAsia" w:eastAsia="宋体"/>
                <w:color w:val="auto"/>
                <w:szCs w:val="21"/>
                <w:lang w:eastAsia="zh-CN"/>
              </w:rPr>
            </w:pPr>
            <w:r>
              <w:rPr>
                <w:rFonts w:hint="eastAsia"/>
                <w:color w:val="auto"/>
                <w:szCs w:val="21"/>
                <w:highlight w:val="none"/>
                <w:lang w:eastAsia="zh-CN"/>
              </w:rPr>
              <w:t>东</w:t>
            </w:r>
          </w:p>
        </w:tc>
        <w:tc>
          <w:tcPr>
            <w:tcW w:w="387" w:type="pct"/>
            <w:vAlign w:val="center"/>
          </w:tcPr>
          <w:p w14:paraId="56917AE7">
            <w:pPr>
              <w:jc w:val="center"/>
              <w:rPr>
                <w:rFonts w:hint="default" w:eastAsia="宋体"/>
                <w:color w:val="auto"/>
                <w:szCs w:val="21"/>
                <w:lang w:val="en-US" w:eastAsia="zh-CN"/>
              </w:rPr>
            </w:pPr>
            <w:r>
              <w:rPr>
                <w:rFonts w:hint="eastAsia"/>
                <w:color w:val="auto"/>
                <w:szCs w:val="21"/>
                <w:highlight w:val="none"/>
                <w:lang w:val="en-US" w:eastAsia="zh-CN"/>
              </w:rPr>
              <w:t>2931</w:t>
            </w:r>
          </w:p>
        </w:tc>
        <w:tc>
          <w:tcPr>
            <w:tcW w:w="805" w:type="pct"/>
            <w:vAlign w:val="center"/>
          </w:tcPr>
          <w:p w14:paraId="2E27E9AB">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highlight w:val="none"/>
              </w:rPr>
              <w:t>120°40′2.755″</w:t>
            </w:r>
          </w:p>
        </w:tc>
        <w:tc>
          <w:tcPr>
            <w:tcW w:w="740" w:type="pct"/>
            <w:vAlign w:val="center"/>
          </w:tcPr>
          <w:p w14:paraId="737A15EB">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highlight w:val="none"/>
              </w:rPr>
              <w:t>41°52′6.153″</w:t>
            </w:r>
          </w:p>
        </w:tc>
        <w:tc>
          <w:tcPr>
            <w:tcW w:w="434" w:type="pct"/>
            <w:vAlign w:val="center"/>
          </w:tcPr>
          <w:p w14:paraId="27F64F87">
            <w:pPr>
              <w:pStyle w:val="168"/>
              <w:rPr>
                <w:rFonts w:hint="eastAsia" w:eastAsia="宋体"/>
                <w:color w:val="auto"/>
                <w:szCs w:val="21"/>
                <w:lang w:eastAsia="zh-CN"/>
              </w:rPr>
            </w:pPr>
            <w:r>
              <w:rPr>
                <w:rFonts w:hint="eastAsia"/>
                <w:color w:val="auto"/>
                <w:szCs w:val="21"/>
                <w:lang w:eastAsia="zh-CN"/>
              </w:rPr>
              <w:t>季节性河流</w:t>
            </w:r>
          </w:p>
        </w:tc>
        <w:tc>
          <w:tcPr>
            <w:tcW w:w="422" w:type="pct"/>
            <w:vAlign w:val="center"/>
          </w:tcPr>
          <w:p w14:paraId="5B2EF5CB">
            <w:pPr>
              <w:pStyle w:val="168"/>
              <w:rPr>
                <w:rFonts w:hint="eastAsia" w:eastAsia="宋体"/>
                <w:color w:val="auto"/>
                <w:szCs w:val="21"/>
                <w:lang w:eastAsia="zh-CN"/>
              </w:rPr>
            </w:pPr>
            <w:r>
              <w:rPr>
                <w:rFonts w:hint="eastAsia"/>
                <w:color w:val="auto"/>
                <w:szCs w:val="21"/>
                <w:lang w:eastAsia="zh-CN"/>
              </w:rPr>
              <w:t>地表水</w:t>
            </w:r>
          </w:p>
        </w:tc>
        <w:tc>
          <w:tcPr>
            <w:tcW w:w="1036" w:type="pct"/>
            <w:vAlign w:val="center"/>
          </w:tcPr>
          <w:p w14:paraId="4EAE7D0C">
            <w:pPr>
              <w:pStyle w:val="168"/>
              <w:rPr>
                <w:color w:val="auto"/>
                <w:szCs w:val="21"/>
              </w:rPr>
            </w:pPr>
            <w:r>
              <w:rPr>
                <w:bCs/>
                <w:color w:val="auto"/>
                <w:szCs w:val="21"/>
              </w:rPr>
              <w:t>《地表水环境质量标准》（GB3838-2002）中Ⅲ类标准</w:t>
            </w:r>
          </w:p>
        </w:tc>
      </w:tr>
      <w:tr w14:paraId="1973456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restart"/>
            <w:vAlign w:val="center"/>
          </w:tcPr>
          <w:p w14:paraId="035997E1">
            <w:pPr>
              <w:pStyle w:val="168"/>
              <w:rPr>
                <w:rFonts w:hint="eastAsia" w:eastAsia="宋体"/>
                <w:color w:val="auto"/>
                <w:szCs w:val="21"/>
                <w:lang w:val="en-US" w:eastAsia="zh-CN"/>
              </w:rPr>
            </w:pPr>
            <w:r>
              <w:rPr>
                <w:rFonts w:hint="eastAsia"/>
                <w:color w:val="auto"/>
                <w:szCs w:val="21"/>
                <w:lang w:val="en-US" w:eastAsia="zh-CN"/>
              </w:rPr>
              <w:t>3</w:t>
            </w:r>
          </w:p>
        </w:tc>
        <w:tc>
          <w:tcPr>
            <w:tcW w:w="547" w:type="pct"/>
            <w:vAlign w:val="center"/>
          </w:tcPr>
          <w:p w14:paraId="208250DB">
            <w:pPr>
              <w:jc w:val="center"/>
              <w:rPr>
                <w:rFonts w:hint="eastAsia" w:eastAsia="宋体"/>
                <w:color w:val="auto"/>
                <w:szCs w:val="21"/>
                <w:lang w:eastAsia="zh-CN"/>
              </w:rPr>
            </w:pPr>
            <w:r>
              <w:rPr>
                <w:rFonts w:hint="eastAsia"/>
                <w:color w:val="auto"/>
                <w:szCs w:val="21"/>
                <w:highlight w:val="none"/>
                <w:lang w:eastAsia="zh-CN"/>
              </w:rPr>
              <w:t>兴隆洼北沟</w:t>
            </w:r>
          </w:p>
        </w:tc>
        <w:tc>
          <w:tcPr>
            <w:tcW w:w="375" w:type="pct"/>
            <w:vAlign w:val="center"/>
          </w:tcPr>
          <w:p w14:paraId="3744D5C6">
            <w:pPr>
              <w:jc w:val="center"/>
              <w:rPr>
                <w:rFonts w:hint="default" w:eastAsia="宋体"/>
                <w:color w:val="auto"/>
                <w:szCs w:val="21"/>
                <w:lang w:val="en-US" w:eastAsia="zh-CN"/>
              </w:rPr>
            </w:pPr>
            <w:r>
              <w:rPr>
                <w:rFonts w:hint="eastAsia"/>
                <w:color w:val="auto"/>
                <w:szCs w:val="21"/>
                <w:highlight w:val="none"/>
                <w:lang w:val="en-US" w:eastAsia="zh-CN"/>
              </w:rPr>
              <w:t>东南</w:t>
            </w:r>
          </w:p>
        </w:tc>
        <w:tc>
          <w:tcPr>
            <w:tcW w:w="387" w:type="pct"/>
            <w:vAlign w:val="center"/>
          </w:tcPr>
          <w:p w14:paraId="57AFAA78">
            <w:pPr>
              <w:jc w:val="center"/>
              <w:rPr>
                <w:rFonts w:hint="default"/>
                <w:color w:val="auto"/>
                <w:szCs w:val="21"/>
                <w:lang w:val="en-US" w:eastAsia="zh-CN"/>
              </w:rPr>
            </w:pPr>
            <w:r>
              <w:rPr>
                <w:rFonts w:hint="eastAsia"/>
                <w:color w:val="auto"/>
                <w:szCs w:val="21"/>
                <w:highlight w:val="none"/>
                <w:lang w:val="en-US" w:eastAsia="zh-CN"/>
              </w:rPr>
              <w:t>1144</w:t>
            </w:r>
          </w:p>
        </w:tc>
        <w:tc>
          <w:tcPr>
            <w:tcW w:w="805" w:type="pct"/>
            <w:vAlign w:val="center"/>
          </w:tcPr>
          <w:p w14:paraId="20073C69">
            <w:pPr>
              <w:jc w:val="center"/>
              <w:rPr>
                <w:rFonts w:hint="default"/>
                <w:color w:val="auto"/>
                <w:szCs w:val="21"/>
                <w:lang w:val="en-US" w:eastAsia="zh-CN"/>
              </w:rPr>
            </w:pPr>
            <w:r>
              <w:rPr>
                <w:rFonts w:hint="default" w:ascii="Times New Roman" w:hAnsi="Times New Roman" w:cs="Times New Roman"/>
                <w:color w:val="auto"/>
                <w:sz w:val="18"/>
                <w:szCs w:val="18"/>
                <w:highlight w:val="none"/>
              </w:rPr>
              <w:t>120°38′35.233″</w:t>
            </w:r>
          </w:p>
        </w:tc>
        <w:tc>
          <w:tcPr>
            <w:tcW w:w="740" w:type="pct"/>
            <w:vAlign w:val="center"/>
          </w:tcPr>
          <w:p w14:paraId="31C3CD2F">
            <w:pPr>
              <w:jc w:val="center"/>
              <w:rPr>
                <w:rFonts w:hint="default"/>
                <w:color w:val="auto"/>
                <w:szCs w:val="21"/>
                <w:lang w:val="en-US" w:eastAsia="zh-CN"/>
              </w:rPr>
            </w:pPr>
            <w:r>
              <w:rPr>
                <w:rFonts w:hint="default" w:ascii="Times New Roman" w:hAnsi="Times New Roman" w:cs="Times New Roman"/>
                <w:color w:val="auto"/>
                <w:sz w:val="18"/>
                <w:szCs w:val="18"/>
                <w:highlight w:val="none"/>
              </w:rPr>
              <w:t>41°51′12.852″</w:t>
            </w:r>
          </w:p>
        </w:tc>
        <w:tc>
          <w:tcPr>
            <w:tcW w:w="857" w:type="pct"/>
            <w:gridSpan w:val="2"/>
            <w:vMerge w:val="restart"/>
            <w:vAlign w:val="center"/>
          </w:tcPr>
          <w:p w14:paraId="2CA75775">
            <w:pPr>
              <w:pStyle w:val="168"/>
              <w:rPr>
                <w:rFonts w:hint="eastAsia" w:eastAsia="宋体"/>
                <w:color w:val="auto"/>
                <w:szCs w:val="21"/>
                <w:lang w:eastAsia="zh-CN"/>
              </w:rPr>
            </w:pPr>
            <w:r>
              <w:rPr>
                <w:rFonts w:hint="eastAsia"/>
                <w:color w:val="auto"/>
                <w:szCs w:val="21"/>
                <w:lang w:eastAsia="zh-CN"/>
              </w:rPr>
              <w:t>分散式</w:t>
            </w:r>
            <w:r>
              <w:rPr>
                <w:color w:val="auto"/>
                <w:szCs w:val="21"/>
              </w:rPr>
              <w:t>地下水</w:t>
            </w:r>
            <w:r>
              <w:rPr>
                <w:rFonts w:hint="eastAsia"/>
                <w:color w:val="auto"/>
                <w:szCs w:val="21"/>
                <w:lang w:eastAsia="zh-CN"/>
              </w:rPr>
              <w:t>水井</w:t>
            </w:r>
          </w:p>
        </w:tc>
        <w:tc>
          <w:tcPr>
            <w:tcW w:w="1036" w:type="pct"/>
            <w:vMerge w:val="restart"/>
            <w:vAlign w:val="center"/>
          </w:tcPr>
          <w:p w14:paraId="0B049209">
            <w:pPr>
              <w:tabs>
                <w:tab w:val="left" w:pos="4425"/>
              </w:tabs>
              <w:jc w:val="center"/>
              <w:rPr>
                <w:color w:val="auto"/>
                <w:szCs w:val="21"/>
              </w:rPr>
            </w:pPr>
            <w:r>
              <w:rPr>
                <w:rFonts w:hint="eastAsia"/>
                <w:color w:val="auto"/>
                <w:szCs w:val="21"/>
                <w:lang w:eastAsia="zh-CN"/>
              </w:rPr>
              <w:t>《地下水环境质量标准》</w:t>
            </w:r>
            <w:r>
              <w:rPr>
                <w:color w:val="auto"/>
                <w:szCs w:val="21"/>
              </w:rPr>
              <w:t>（GB/T14848-2017）Ⅲ类标准</w:t>
            </w:r>
          </w:p>
        </w:tc>
      </w:tr>
      <w:tr w14:paraId="6B1A64A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58E250F5">
            <w:pPr>
              <w:pStyle w:val="168"/>
              <w:rPr>
                <w:rFonts w:hint="eastAsia"/>
                <w:color w:val="auto"/>
                <w:szCs w:val="21"/>
                <w:lang w:val="en-US" w:eastAsia="zh-CN"/>
              </w:rPr>
            </w:pPr>
          </w:p>
        </w:tc>
        <w:tc>
          <w:tcPr>
            <w:tcW w:w="547" w:type="pct"/>
            <w:vAlign w:val="center"/>
          </w:tcPr>
          <w:p w14:paraId="10302E97">
            <w:pPr>
              <w:widowControl/>
              <w:jc w:val="center"/>
              <w:rPr>
                <w:rFonts w:hint="eastAsia"/>
                <w:color w:val="auto"/>
                <w:szCs w:val="21"/>
                <w:lang w:eastAsia="zh-CN"/>
              </w:rPr>
            </w:pPr>
            <w:r>
              <w:rPr>
                <w:rFonts w:hint="eastAsia"/>
                <w:color w:val="auto"/>
                <w:szCs w:val="21"/>
                <w:highlight w:val="none"/>
                <w:lang w:eastAsia="zh-CN"/>
              </w:rPr>
              <w:t>兴隆洼</w:t>
            </w:r>
          </w:p>
        </w:tc>
        <w:tc>
          <w:tcPr>
            <w:tcW w:w="375" w:type="pct"/>
            <w:vAlign w:val="center"/>
          </w:tcPr>
          <w:p w14:paraId="08619065">
            <w:pPr>
              <w:jc w:val="center"/>
              <w:rPr>
                <w:rFonts w:hint="eastAsia"/>
                <w:color w:val="auto"/>
                <w:szCs w:val="21"/>
                <w:lang w:val="en-US" w:eastAsia="zh-CN"/>
              </w:rPr>
            </w:pPr>
            <w:r>
              <w:rPr>
                <w:rFonts w:hint="eastAsia"/>
                <w:color w:val="auto"/>
                <w:szCs w:val="21"/>
                <w:highlight w:val="none"/>
                <w:lang w:eastAsia="zh-CN"/>
              </w:rPr>
              <w:t>东南</w:t>
            </w:r>
          </w:p>
        </w:tc>
        <w:tc>
          <w:tcPr>
            <w:tcW w:w="387" w:type="pct"/>
            <w:vAlign w:val="center"/>
          </w:tcPr>
          <w:p w14:paraId="38CCE0A6">
            <w:pPr>
              <w:jc w:val="center"/>
              <w:rPr>
                <w:rFonts w:hint="eastAsia"/>
                <w:color w:val="auto"/>
                <w:szCs w:val="21"/>
                <w:lang w:val="en-US" w:eastAsia="zh-CN"/>
              </w:rPr>
            </w:pPr>
            <w:r>
              <w:rPr>
                <w:rFonts w:hint="eastAsia"/>
                <w:color w:val="auto"/>
                <w:szCs w:val="21"/>
                <w:highlight w:val="none"/>
                <w:lang w:val="en-US" w:eastAsia="zh-CN"/>
              </w:rPr>
              <w:t>1953</w:t>
            </w:r>
          </w:p>
        </w:tc>
        <w:tc>
          <w:tcPr>
            <w:tcW w:w="805" w:type="pct"/>
            <w:vAlign w:val="center"/>
          </w:tcPr>
          <w:p w14:paraId="2D1D2982">
            <w:pPr>
              <w:jc w:val="center"/>
              <w:rPr>
                <w:rFonts w:hint="eastAsia"/>
                <w:color w:val="auto"/>
                <w:szCs w:val="21"/>
                <w:lang w:val="en-US" w:eastAsia="zh-CN"/>
              </w:rPr>
            </w:pPr>
            <w:r>
              <w:rPr>
                <w:rFonts w:hint="default" w:ascii="Times New Roman" w:hAnsi="Times New Roman" w:cs="Times New Roman"/>
                <w:color w:val="auto"/>
                <w:sz w:val="18"/>
                <w:szCs w:val="18"/>
                <w:highlight w:val="none"/>
              </w:rPr>
              <w:t>120°39′13.394″</w:t>
            </w:r>
          </w:p>
        </w:tc>
        <w:tc>
          <w:tcPr>
            <w:tcW w:w="740" w:type="pct"/>
            <w:vAlign w:val="center"/>
          </w:tcPr>
          <w:p w14:paraId="3E8765E0">
            <w:pPr>
              <w:jc w:val="center"/>
              <w:rPr>
                <w:rFonts w:hint="eastAsia"/>
                <w:color w:val="auto"/>
                <w:szCs w:val="21"/>
                <w:lang w:val="en-US" w:eastAsia="zh-CN"/>
              </w:rPr>
            </w:pPr>
            <w:r>
              <w:rPr>
                <w:rFonts w:hint="default" w:ascii="Times New Roman" w:hAnsi="Times New Roman" w:cs="Times New Roman"/>
                <w:color w:val="auto"/>
                <w:sz w:val="18"/>
                <w:szCs w:val="18"/>
                <w:highlight w:val="none"/>
              </w:rPr>
              <w:t>41°50′57.094″</w:t>
            </w:r>
          </w:p>
        </w:tc>
        <w:tc>
          <w:tcPr>
            <w:tcW w:w="857" w:type="pct"/>
            <w:gridSpan w:val="2"/>
            <w:vMerge w:val="continue"/>
            <w:vAlign w:val="center"/>
          </w:tcPr>
          <w:p w14:paraId="3A658EA9">
            <w:pPr>
              <w:pStyle w:val="168"/>
              <w:rPr>
                <w:color w:val="auto"/>
                <w:szCs w:val="21"/>
              </w:rPr>
            </w:pPr>
          </w:p>
        </w:tc>
        <w:tc>
          <w:tcPr>
            <w:tcW w:w="1036" w:type="pct"/>
            <w:vMerge w:val="continue"/>
            <w:vAlign w:val="center"/>
          </w:tcPr>
          <w:p w14:paraId="31559694">
            <w:pPr>
              <w:pStyle w:val="168"/>
              <w:rPr>
                <w:color w:val="auto"/>
                <w:szCs w:val="21"/>
              </w:rPr>
            </w:pPr>
          </w:p>
        </w:tc>
      </w:tr>
      <w:tr w14:paraId="52C7E6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5C2C1B92">
            <w:pPr>
              <w:pStyle w:val="168"/>
              <w:rPr>
                <w:rFonts w:hint="eastAsia"/>
                <w:color w:val="auto"/>
                <w:szCs w:val="21"/>
                <w:lang w:val="en-US" w:eastAsia="zh-CN"/>
              </w:rPr>
            </w:pPr>
          </w:p>
        </w:tc>
        <w:tc>
          <w:tcPr>
            <w:tcW w:w="547" w:type="pct"/>
            <w:vAlign w:val="center"/>
          </w:tcPr>
          <w:p w14:paraId="39382407">
            <w:pPr>
              <w:widowControl/>
              <w:jc w:val="center"/>
              <w:rPr>
                <w:rFonts w:hint="eastAsia"/>
                <w:color w:val="auto"/>
                <w:szCs w:val="21"/>
                <w:lang w:eastAsia="zh-CN"/>
              </w:rPr>
            </w:pPr>
            <w:r>
              <w:rPr>
                <w:rFonts w:hint="eastAsia"/>
                <w:color w:val="auto"/>
                <w:szCs w:val="21"/>
                <w:highlight w:val="none"/>
                <w:lang w:eastAsia="zh-CN"/>
              </w:rPr>
              <w:t>文登营子</w:t>
            </w:r>
          </w:p>
        </w:tc>
        <w:tc>
          <w:tcPr>
            <w:tcW w:w="375" w:type="pct"/>
            <w:vAlign w:val="center"/>
          </w:tcPr>
          <w:p w14:paraId="05B440F9">
            <w:pPr>
              <w:jc w:val="center"/>
              <w:rPr>
                <w:rFonts w:hint="eastAsia"/>
                <w:color w:val="auto"/>
                <w:szCs w:val="21"/>
                <w:lang w:val="en-US" w:eastAsia="zh-CN"/>
              </w:rPr>
            </w:pPr>
            <w:r>
              <w:rPr>
                <w:rFonts w:hint="eastAsia"/>
                <w:color w:val="auto"/>
                <w:szCs w:val="21"/>
                <w:highlight w:val="none"/>
                <w:lang w:eastAsia="zh-CN"/>
              </w:rPr>
              <w:t>西北</w:t>
            </w:r>
          </w:p>
        </w:tc>
        <w:tc>
          <w:tcPr>
            <w:tcW w:w="387" w:type="pct"/>
            <w:vAlign w:val="center"/>
          </w:tcPr>
          <w:p w14:paraId="545047B1">
            <w:pPr>
              <w:jc w:val="center"/>
              <w:rPr>
                <w:rFonts w:hint="eastAsia"/>
                <w:color w:val="auto"/>
                <w:szCs w:val="21"/>
                <w:lang w:val="en-US" w:eastAsia="zh-CN"/>
              </w:rPr>
            </w:pPr>
            <w:r>
              <w:rPr>
                <w:rFonts w:hint="eastAsia"/>
                <w:color w:val="auto"/>
                <w:szCs w:val="21"/>
                <w:highlight w:val="none"/>
                <w:lang w:val="en-US" w:eastAsia="zh-CN"/>
              </w:rPr>
              <w:t>768</w:t>
            </w:r>
          </w:p>
        </w:tc>
        <w:tc>
          <w:tcPr>
            <w:tcW w:w="805" w:type="pct"/>
            <w:vAlign w:val="center"/>
          </w:tcPr>
          <w:p w14:paraId="0D3C335D">
            <w:pPr>
              <w:jc w:val="center"/>
              <w:rPr>
                <w:rFonts w:hint="eastAsia"/>
                <w:color w:val="auto"/>
                <w:szCs w:val="21"/>
                <w:lang w:val="en-US" w:eastAsia="zh-CN"/>
              </w:rPr>
            </w:pPr>
            <w:r>
              <w:rPr>
                <w:rFonts w:hint="default" w:ascii="Times New Roman" w:hAnsi="Times New Roman" w:cs="Times New Roman"/>
                <w:color w:val="auto"/>
                <w:sz w:val="18"/>
                <w:szCs w:val="18"/>
                <w:highlight w:val="none"/>
              </w:rPr>
              <w:t>120°37′3.541″</w:t>
            </w:r>
          </w:p>
        </w:tc>
        <w:tc>
          <w:tcPr>
            <w:tcW w:w="740" w:type="pct"/>
            <w:vAlign w:val="center"/>
          </w:tcPr>
          <w:p w14:paraId="52FA1692">
            <w:pPr>
              <w:jc w:val="center"/>
              <w:rPr>
                <w:rFonts w:hint="eastAsia"/>
                <w:color w:val="auto"/>
                <w:szCs w:val="21"/>
                <w:lang w:val="en-US" w:eastAsia="zh-CN"/>
              </w:rPr>
            </w:pPr>
            <w:r>
              <w:rPr>
                <w:rFonts w:hint="default" w:ascii="Times New Roman" w:hAnsi="Times New Roman" w:cs="Times New Roman"/>
                <w:color w:val="auto"/>
                <w:sz w:val="18"/>
                <w:szCs w:val="18"/>
                <w:highlight w:val="none"/>
              </w:rPr>
              <w:t>41°52′1.518″</w:t>
            </w:r>
          </w:p>
        </w:tc>
        <w:tc>
          <w:tcPr>
            <w:tcW w:w="857" w:type="pct"/>
            <w:gridSpan w:val="2"/>
            <w:vMerge w:val="continue"/>
            <w:vAlign w:val="center"/>
          </w:tcPr>
          <w:p w14:paraId="1A751BC5">
            <w:pPr>
              <w:pStyle w:val="168"/>
              <w:rPr>
                <w:color w:val="auto"/>
                <w:szCs w:val="21"/>
              </w:rPr>
            </w:pPr>
          </w:p>
        </w:tc>
        <w:tc>
          <w:tcPr>
            <w:tcW w:w="1036" w:type="pct"/>
            <w:vMerge w:val="continue"/>
            <w:vAlign w:val="center"/>
          </w:tcPr>
          <w:p w14:paraId="146A7772">
            <w:pPr>
              <w:pStyle w:val="168"/>
              <w:rPr>
                <w:color w:val="auto"/>
                <w:szCs w:val="21"/>
              </w:rPr>
            </w:pPr>
          </w:p>
        </w:tc>
      </w:tr>
      <w:tr w14:paraId="5B670E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52134416">
            <w:pPr>
              <w:pStyle w:val="168"/>
              <w:rPr>
                <w:rFonts w:hint="eastAsia"/>
                <w:color w:val="auto"/>
                <w:szCs w:val="21"/>
                <w:lang w:val="en-US" w:eastAsia="zh-CN"/>
              </w:rPr>
            </w:pPr>
          </w:p>
        </w:tc>
        <w:tc>
          <w:tcPr>
            <w:tcW w:w="547" w:type="pct"/>
            <w:vAlign w:val="center"/>
          </w:tcPr>
          <w:p w14:paraId="514308A7">
            <w:pPr>
              <w:jc w:val="center"/>
              <w:rPr>
                <w:rFonts w:hint="eastAsia"/>
                <w:color w:val="auto"/>
                <w:szCs w:val="21"/>
                <w:lang w:eastAsia="zh-CN"/>
              </w:rPr>
            </w:pPr>
            <w:r>
              <w:rPr>
                <w:rFonts w:hint="eastAsia"/>
                <w:color w:val="auto"/>
                <w:szCs w:val="21"/>
                <w:highlight w:val="none"/>
                <w:lang w:eastAsia="zh-CN"/>
              </w:rPr>
              <w:t>马架子</w:t>
            </w:r>
          </w:p>
        </w:tc>
        <w:tc>
          <w:tcPr>
            <w:tcW w:w="375" w:type="pct"/>
            <w:vAlign w:val="center"/>
          </w:tcPr>
          <w:p w14:paraId="3FAF6215">
            <w:pPr>
              <w:jc w:val="center"/>
              <w:rPr>
                <w:rFonts w:hint="eastAsia"/>
                <w:color w:val="auto"/>
                <w:szCs w:val="21"/>
                <w:lang w:val="en-US" w:eastAsia="zh-CN"/>
              </w:rPr>
            </w:pPr>
            <w:r>
              <w:rPr>
                <w:rFonts w:hint="eastAsia"/>
                <w:color w:val="auto"/>
                <w:szCs w:val="21"/>
                <w:highlight w:val="none"/>
                <w:lang w:eastAsia="zh-CN"/>
              </w:rPr>
              <w:t>东南</w:t>
            </w:r>
          </w:p>
        </w:tc>
        <w:tc>
          <w:tcPr>
            <w:tcW w:w="387" w:type="pct"/>
            <w:vAlign w:val="center"/>
          </w:tcPr>
          <w:p w14:paraId="2A7F1F1E">
            <w:pPr>
              <w:jc w:val="center"/>
              <w:rPr>
                <w:rFonts w:hint="eastAsia"/>
                <w:color w:val="auto"/>
                <w:szCs w:val="21"/>
                <w:lang w:val="en-US" w:eastAsia="zh-CN"/>
              </w:rPr>
            </w:pPr>
            <w:r>
              <w:rPr>
                <w:rFonts w:hint="eastAsia"/>
                <w:color w:val="auto"/>
                <w:szCs w:val="21"/>
                <w:highlight w:val="none"/>
                <w:lang w:val="en-US" w:eastAsia="zh-CN"/>
              </w:rPr>
              <w:t>1243</w:t>
            </w:r>
          </w:p>
        </w:tc>
        <w:tc>
          <w:tcPr>
            <w:tcW w:w="805" w:type="pct"/>
            <w:vAlign w:val="center"/>
          </w:tcPr>
          <w:p w14:paraId="6B85ECBA">
            <w:pPr>
              <w:jc w:val="center"/>
              <w:rPr>
                <w:rFonts w:hint="eastAsia"/>
                <w:color w:val="auto"/>
                <w:szCs w:val="21"/>
                <w:lang w:val="en-US" w:eastAsia="zh-CN"/>
              </w:rPr>
            </w:pPr>
            <w:r>
              <w:rPr>
                <w:rFonts w:hint="default" w:ascii="Times New Roman" w:hAnsi="Times New Roman" w:cs="Times New Roman"/>
                <w:color w:val="auto"/>
                <w:sz w:val="18"/>
                <w:szCs w:val="18"/>
                <w:highlight w:val="none"/>
              </w:rPr>
              <w:t>120°38′26.118″</w:t>
            </w:r>
          </w:p>
        </w:tc>
        <w:tc>
          <w:tcPr>
            <w:tcW w:w="740" w:type="pct"/>
            <w:vAlign w:val="center"/>
          </w:tcPr>
          <w:p w14:paraId="3259B4D9">
            <w:pPr>
              <w:jc w:val="center"/>
              <w:rPr>
                <w:rFonts w:hint="eastAsia"/>
                <w:color w:val="auto"/>
                <w:szCs w:val="21"/>
                <w:lang w:val="en-US" w:eastAsia="zh-CN"/>
              </w:rPr>
            </w:pPr>
            <w:r>
              <w:rPr>
                <w:rFonts w:hint="default" w:ascii="Times New Roman" w:hAnsi="Times New Roman" w:cs="Times New Roman"/>
                <w:color w:val="auto"/>
                <w:sz w:val="18"/>
                <w:szCs w:val="18"/>
                <w:highlight w:val="none"/>
              </w:rPr>
              <w:t>41°50′53.695″</w:t>
            </w:r>
          </w:p>
        </w:tc>
        <w:tc>
          <w:tcPr>
            <w:tcW w:w="857" w:type="pct"/>
            <w:gridSpan w:val="2"/>
            <w:vMerge w:val="continue"/>
            <w:vAlign w:val="center"/>
          </w:tcPr>
          <w:p w14:paraId="5E1C952E">
            <w:pPr>
              <w:pStyle w:val="168"/>
              <w:rPr>
                <w:color w:val="auto"/>
                <w:szCs w:val="21"/>
              </w:rPr>
            </w:pPr>
          </w:p>
        </w:tc>
        <w:tc>
          <w:tcPr>
            <w:tcW w:w="1036" w:type="pct"/>
            <w:vMerge w:val="continue"/>
            <w:vAlign w:val="center"/>
          </w:tcPr>
          <w:p w14:paraId="08B5F454">
            <w:pPr>
              <w:pStyle w:val="168"/>
              <w:rPr>
                <w:color w:val="auto"/>
                <w:szCs w:val="21"/>
              </w:rPr>
            </w:pPr>
          </w:p>
        </w:tc>
      </w:tr>
      <w:tr w14:paraId="10D4F51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Merge w:val="continue"/>
            <w:vAlign w:val="center"/>
          </w:tcPr>
          <w:p w14:paraId="2B209806">
            <w:pPr>
              <w:pStyle w:val="168"/>
              <w:rPr>
                <w:rFonts w:hint="eastAsia"/>
                <w:color w:val="auto"/>
                <w:szCs w:val="21"/>
                <w:lang w:val="en-US" w:eastAsia="zh-CN"/>
              </w:rPr>
            </w:pPr>
          </w:p>
        </w:tc>
        <w:tc>
          <w:tcPr>
            <w:tcW w:w="547" w:type="pct"/>
            <w:vAlign w:val="center"/>
          </w:tcPr>
          <w:p w14:paraId="60F75F07">
            <w:pPr>
              <w:widowControl/>
              <w:jc w:val="center"/>
              <w:rPr>
                <w:rFonts w:hint="eastAsia"/>
                <w:color w:val="auto"/>
                <w:szCs w:val="21"/>
                <w:lang w:eastAsia="zh-CN"/>
              </w:rPr>
            </w:pPr>
            <w:r>
              <w:rPr>
                <w:rFonts w:hint="eastAsia"/>
                <w:color w:val="auto"/>
                <w:szCs w:val="21"/>
                <w:highlight w:val="none"/>
                <w:lang w:eastAsia="zh-CN"/>
              </w:rPr>
              <w:t>前柳条沟</w:t>
            </w:r>
          </w:p>
        </w:tc>
        <w:tc>
          <w:tcPr>
            <w:tcW w:w="375" w:type="pct"/>
            <w:vAlign w:val="center"/>
          </w:tcPr>
          <w:p w14:paraId="0DC7DE9B">
            <w:pPr>
              <w:jc w:val="center"/>
              <w:rPr>
                <w:rFonts w:hint="eastAsia"/>
                <w:color w:val="auto"/>
                <w:szCs w:val="21"/>
                <w:lang w:val="en-US" w:eastAsia="zh-CN"/>
              </w:rPr>
            </w:pPr>
            <w:r>
              <w:rPr>
                <w:rFonts w:hint="eastAsia"/>
                <w:color w:val="auto"/>
                <w:szCs w:val="21"/>
                <w:highlight w:val="none"/>
                <w:lang w:eastAsia="zh-CN"/>
              </w:rPr>
              <w:t>北</w:t>
            </w:r>
          </w:p>
        </w:tc>
        <w:tc>
          <w:tcPr>
            <w:tcW w:w="387" w:type="pct"/>
            <w:vAlign w:val="center"/>
          </w:tcPr>
          <w:p w14:paraId="09A821BB">
            <w:pPr>
              <w:jc w:val="center"/>
              <w:rPr>
                <w:rFonts w:hint="eastAsia"/>
                <w:color w:val="auto"/>
                <w:szCs w:val="21"/>
                <w:lang w:val="en-US" w:eastAsia="zh-CN"/>
              </w:rPr>
            </w:pPr>
            <w:r>
              <w:rPr>
                <w:rFonts w:hint="eastAsia"/>
                <w:color w:val="auto"/>
                <w:szCs w:val="21"/>
                <w:highlight w:val="none"/>
                <w:lang w:val="en-US" w:eastAsia="zh-CN"/>
              </w:rPr>
              <w:t>1559</w:t>
            </w:r>
          </w:p>
        </w:tc>
        <w:tc>
          <w:tcPr>
            <w:tcW w:w="805" w:type="pct"/>
            <w:vAlign w:val="center"/>
          </w:tcPr>
          <w:p w14:paraId="0694D309">
            <w:pPr>
              <w:jc w:val="center"/>
              <w:rPr>
                <w:rFonts w:hint="eastAsia"/>
                <w:color w:val="auto"/>
                <w:szCs w:val="21"/>
                <w:lang w:val="en-US" w:eastAsia="zh-CN"/>
              </w:rPr>
            </w:pPr>
            <w:r>
              <w:rPr>
                <w:rFonts w:hint="default" w:ascii="Times New Roman" w:hAnsi="Times New Roman" w:cs="Times New Roman"/>
                <w:color w:val="auto"/>
                <w:sz w:val="18"/>
                <w:szCs w:val="18"/>
                <w:highlight w:val="none"/>
              </w:rPr>
              <w:t>120°37′55.914″</w:t>
            </w:r>
          </w:p>
        </w:tc>
        <w:tc>
          <w:tcPr>
            <w:tcW w:w="740" w:type="pct"/>
            <w:vAlign w:val="center"/>
          </w:tcPr>
          <w:p w14:paraId="766F19BF">
            <w:pPr>
              <w:jc w:val="center"/>
              <w:rPr>
                <w:rFonts w:hint="eastAsia"/>
                <w:color w:val="auto"/>
                <w:szCs w:val="21"/>
                <w:lang w:val="en-US" w:eastAsia="zh-CN"/>
              </w:rPr>
            </w:pPr>
            <w:r>
              <w:rPr>
                <w:rFonts w:hint="default" w:ascii="Times New Roman" w:hAnsi="Times New Roman" w:cs="Times New Roman"/>
                <w:color w:val="auto"/>
                <w:sz w:val="18"/>
                <w:szCs w:val="18"/>
                <w:highlight w:val="none"/>
              </w:rPr>
              <w:t>41°52′37.825″</w:t>
            </w:r>
          </w:p>
        </w:tc>
        <w:tc>
          <w:tcPr>
            <w:tcW w:w="857" w:type="pct"/>
            <w:gridSpan w:val="2"/>
            <w:vMerge w:val="continue"/>
            <w:vAlign w:val="center"/>
          </w:tcPr>
          <w:p w14:paraId="319E1B90">
            <w:pPr>
              <w:pStyle w:val="168"/>
              <w:rPr>
                <w:color w:val="auto"/>
                <w:szCs w:val="21"/>
              </w:rPr>
            </w:pPr>
          </w:p>
        </w:tc>
        <w:tc>
          <w:tcPr>
            <w:tcW w:w="1036" w:type="pct"/>
            <w:vMerge w:val="continue"/>
            <w:vAlign w:val="center"/>
          </w:tcPr>
          <w:p w14:paraId="29BECA6C">
            <w:pPr>
              <w:pStyle w:val="168"/>
              <w:rPr>
                <w:color w:val="auto"/>
                <w:szCs w:val="21"/>
              </w:rPr>
            </w:pPr>
          </w:p>
        </w:tc>
      </w:tr>
      <w:tr w14:paraId="6CB786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vAlign w:val="center"/>
          </w:tcPr>
          <w:p w14:paraId="128879EA">
            <w:pPr>
              <w:pStyle w:val="168"/>
              <w:rPr>
                <w:rFonts w:hint="eastAsia" w:eastAsia="宋体"/>
                <w:color w:val="auto"/>
                <w:szCs w:val="21"/>
                <w:lang w:val="en-US" w:eastAsia="zh-CN"/>
              </w:rPr>
            </w:pPr>
            <w:r>
              <w:rPr>
                <w:rFonts w:hint="eastAsia"/>
                <w:color w:val="auto"/>
                <w:szCs w:val="21"/>
                <w:lang w:val="en-US" w:eastAsia="zh-CN"/>
              </w:rPr>
              <w:t>4</w:t>
            </w:r>
          </w:p>
        </w:tc>
        <w:tc>
          <w:tcPr>
            <w:tcW w:w="547" w:type="pct"/>
            <w:vAlign w:val="center"/>
          </w:tcPr>
          <w:p w14:paraId="3CFCCBC2">
            <w:pPr>
              <w:pStyle w:val="168"/>
              <w:rPr>
                <w:rFonts w:hint="eastAsia" w:eastAsia="宋体"/>
                <w:color w:val="auto"/>
                <w:szCs w:val="21"/>
                <w:lang w:eastAsia="zh-CN"/>
              </w:rPr>
            </w:pPr>
            <w:r>
              <w:rPr>
                <w:color w:val="auto"/>
                <w:szCs w:val="21"/>
              </w:rPr>
              <w:t>耕地</w:t>
            </w:r>
            <w:r>
              <w:rPr>
                <w:rFonts w:hint="eastAsia"/>
                <w:color w:val="auto"/>
                <w:szCs w:val="21"/>
                <w:lang w:eastAsia="zh-CN"/>
              </w:rPr>
              <w:t>、大棚</w:t>
            </w:r>
          </w:p>
        </w:tc>
        <w:tc>
          <w:tcPr>
            <w:tcW w:w="2308" w:type="pct"/>
            <w:gridSpan w:val="4"/>
            <w:vAlign w:val="center"/>
          </w:tcPr>
          <w:p w14:paraId="5244F2D6">
            <w:pPr>
              <w:pStyle w:val="168"/>
              <w:rPr>
                <w:color w:val="auto"/>
                <w:szCs w:val="21"/>
              </w:rPr>
            </w:pPr>
            <w:r>
              <w:rPr>
                <w:color w:val="auto"/>
                <w:szCs w:val="21"/>
              </w:rPr>
              <w:t>场界外扩50m范围内</w:t>
            </w:r>
          </w:p>
        </w:tc>
        <w:tc>
          <w:tcPr>
            <w:tcW w:w="857" w:type="pct"/>
            <w:gridSpan w:val="2"/>
            <w:vAlign w:val="center"/>
          </w:tcPr>
          <w:p w14:paraId="7B5B46FF">
            <w:pPr>
              <w:pStyle w:val="168"/>
              <w:rPr>
                <w:color w:val="auto"/>
                <w:szCs w:val="21"/>
              </w:rPr>
            </w:pPr>
            <w:r>
              <w:rPr>
                <w:color w:val="auto"/>
                <w:szCs w:val="21"/>
              </w:rPr>
              <w:t>土壤环境</w:t>
            </w:r>
          </w:p>
        </w:tc>
        <w:tc>
          <w:tcPr>
            <w:tcW w:w="1036" w:type="pct"/>
            <w:vAlign w:val="center"/>
          </w:tcPr>
          <w:p w14:paraId="4E443906">
            <w:pPr>
              <w:pStyle w:val="168"/>
              <w:rPr>
                <w:color w:val="auto"/>
                <w:szCs w:val="21"/>
              </w:rPr>
            </w:pPr>
            <w:r>
              <w:rPr>
                <w:color w:val="auto"/>
                <w:szCs w:val="21"/>
              </w:rPr>
              <w:t>--</w:t>
            </w:r>
          </w:p>
        </w:tc>
      </w:tr>
    </w:tbl>
    <w:p w14:paraId="4D8E8ACF">
      <w:pPr>
        <w:pStyle w:val="4"/>
        <w:snapToGrid w:val="0"/>
        <w:spacing w:before="0"/>
        <w:rPr>
          <w:rFonts w:ascii="Times New Roman" w:hAnsi="Times New Roman" w:eastAsia="宋体"/>
          <w:bCs/>
          <w:color w:val="auto"/>
          <w:sz w:val="28"/>
          <w:szCs w:val="28"/>
        </w:rPr>
      </w:pPr>
      <w:bookmarkStart w:id="353" w:name="_Toc29219"/>
      <w:r>
        <w:rPr>
          <w:rFonts w:ascii="Times New Roman" w:hAnsi="Times New Roman" w:eastAsia="宋体"/>
          <w:bCs/>
          <w:color w:val="auto"/>
          <w:sz w:val="28"/>
          <w:szCs w:val="28"/>
        </w:rPr>
        <w:t>6.2.3环境风险识别</w:t>
      </w:r>
      <w:bookmarkEnd w:id="352"/>
      <w:bookmarkEnd w:id="353"/>
    </w:p>
    <w:p w14:paraId="3629C0F9">
      <w:pPr>
        <w:tabs>
          <w:tab w:val="right" w:leader="dot" w:pos="8505"/>
        </w:tabs>
        <w:spacing w:line="360" w:lineRule="auto"/>
        <w:rPr>
          <w:b/>
          <w:bCs/>
          <w:color w:val="auto"/>
          <w:sz w:val="24"/>
          <w:szCs w:val="22"/>
        </w:rPr>
      </w:pPr>
      <w:r>
        <w:rPr>
          <w:b/>
          <w:bCs/>
          <w:color w:val="auto"/>
          <w:sz w:val="24"/>
          <w:szCs w:val="22"/>
        </w:rPr>
        <w:t>6.2.3.1物质风险识别</w:t>
      </w:r>
    </w:p>
    <w:p w14:paraId="21B631D8">
      <w:pPr>
        <w:adjustRightInd w:val="0"/>
        <w:snapToGrid w:val="0"/>
        <w:spacing w:line="360" w:lineRule="auto"/>
        <w:ind w:firstLine="480" w:firstLineChars="200"/>
        <w:rPr>
          <w:color w:val="auto"/>
          <w:sz w:val="24"/>
        </w:rPr>
      </w:pPr>
      <w:r>
        <w:rPr>
          <w:color w:val="auto"/>
          <w:sz w:val="24"/>
        </w:rPr>
        <w:t>有毒有害、易燃易爆物质危险性判定见下表。</w:t>
      </w:r>
    </w:p>
    <w:p w14:paraId="32AA2462">
      <w:pPr>
        <w:adjustRightInd w:val="0"/>
        <w:snapToGrid w:val="0"/>
        <w:ind w:firstLine="413" w:firstLineChars="196"/>
        <w:jc w:val="center"/>
        <w:rPr>
          <w:b/>
          <w:color w:val="auto"/>
          <w:szCs w:val="21"/>
        </w:rPr>
      </w:pPr>
      <w:r>
        <w:rPr>
          <w:b/>
          <w:color w:val="auto"/>
          <w:szCs w:val="21"/>
        </w:rPr>
        <w:t>表6</w:t>
      </w:r>
      <w:r>
        <w:rPr>
          <w:rFonts w:hint="eastAsia"/>
          <w:b/>
          <w:color w:val="auto"/>
          <w:szCs w:val="21"/>
          <w:lang w:val="en-US" w:eastAsia="zh-CN"/>
        </w:rPr>
        <w:t xml:space="preserve">.2-5 </w:t>
      </w:r>
      <w:r>
        <w:rPr>
          <w:b/>
          <w:color w:val="auto"/>
          <w:szCs w:val="21"/>
        </w:rPr>
        <w:t xml:space="preserve">   物质危险性判定</w:t>
      </w:r>
    </w:p>
    <w:tbl>
      <w:tblPr>
        <w:tblStyle w:val="53"/>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993"/>
        <w:gridCol w:w="600"/>
        <w:gridCol w:w="2377"/>
        <w:gridCol w:w="2424"/>
        <w:gridCol w:w="2433"/>
      </w:tblGrid>
      <w:tr w14:paraId="6717E31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93" w:type="dxa"/>
            <w:vMerge w:val="restart"/>
            <w:tcBorders>
              <w:top w:val="double" w:color="auto" w:sz="4" w:space="0"/>
              <w:bottom w:val="single" w:color="auto" w:sz="2" w:space="0"/>
            </w:tcBorders>
            <w:vAlign w:val="center"/>
          </w:tcPr>
          <w:p w14:paraId="1C1C66DF">
            <w:pPr>
              <w:adjustRightInd w:val="0"/>
              <w:snapToGrid w:val="0"/>
              <w:jc w:val="center"/>
              <w:rPr>
                <w:color w:val="auto"/>
                <w:szCs w:val="21"/>
              </w:rPr>
            </w:pPr>
            <w:r>
              <w:rPr>
                <w:color w:val="auto"/>
                <w:szCs w:val="21"/>
              </w:rPr>
              <w:t>有毒</w:t>
            </w:r>
          </w:p>
          <w:p w14:paraId="7D0A8BA3">
            <w:pPr>
              <w:adjustRightInd w:val="0"/>
              <w:snapToGrid w:val="0"/>
              <w:jc w:val="center"/>
              <w:rPr>
                <w:color w:val="auto"/>
                <w:szCs w:val="21"/>
              </w:rPr>
            </w:pPr>
            <w:r>
              <w:rPr>
                <w:color w:val="auto"/>
                <w:szCs w:val="21"/>
              </w:rPr>
              <w:t>物质</w:t>
            </w:r>
          </w:p>
        </w:tc>
        <w:tc>
          <w:tcPr>
            <w:tcW w:w="600" w:type="dxa"/>
            <w:tcBorders>
              <w:top w:val="double" w:color="auto" w:sz="4" w:space="0"/>
              <w:bottom w:val="single" w:color="auto" w:sz="2" w:space="0"/>
            </w:tcBorders>
            <w:vAlign w:val="center"/>
          </w:tcPr>
          <w:p w14:paraId="2C5265D6">
            <w:pPr>
              <w:adjustRightInd w:val="0"/>
              <w:snapToGrid w:val="0"/>
              <w:jc w:val="center"/>
              <w:rPr>
                <w:color w:val="auto"/>
                <w:szCs w:val="21"/>
              </w:rPr>
            </w:pPr>
          </w:p>
        </w:tc>
        <w:tc>
          <w:tcPr>
            <w:tcW w:w="2377" w:type="dxa"/>
            <w:tcBorders>
              <w:top w:val="double" w:color="auto" w:sz="4" w:space="0"/>
              <w:bottom w:val="single" w:color="auto" w:sz="2" w:space="0"/>
            </w:tcBorders>
            <w:vAlign w:val="center"/>
          </w:tcPr>
          <w:p w14:paraId="652AA1FF">
            <w:pPr>
              <w:adjustRightInd w:val="0"/>
              <w:snapToGrid w:val="0"/>
              <w:jc w:val="center"/>
              <w:rPr>
                <w:color w:val="auto"/>
                <w:szCs w:val="21"/>
              </w:rPr>
            </w:pPr>
            <w:r>
              <w:rPr>
                <w:color w:val="auto"/>
                <w:szCs w:val="21"/>
              </w:rPr>
              <w:t>LD</w:t>
            </w:r>
            <w:r>
              <w:rPr>
                <w:color w:val="auto"/>
                <w:szCs w:val="21"/>
                <w:vertAlign w:val="subscript"/>
              </w:rPr>
              <w:t>50</w:t>
            </w:r>
            <w:r>
              <w:rPr>
                <w:color w:val="auto"/>
                <w:szCs w:val="21"/>
              </w:rPr>
              <w:t>（大鼠经口）/（mg/kg）</w:t>
            </w:r>
          </w:p>
        </w:tc>
        <w:tc>
          <w:tcPr>
            <w:tcW w:w="2424" w:type="dxa"/>
            <w:tcBorders>
              <w:top w:val="double" w:color="auto" w:sz="4" w:space="0"/>
              <w:bottom w:val="single" w:color="auto" w:sz="2" w:space="0"/>
            </w:tcBorders>
            <w:vAlign w:val="center"/>
          </w:tcPr>
          <w:p w14:paraId="4E9958A4">
            <w:pPr>
              <w:adjustRightInd w:val="0"/>
              <w:snapToGrid w:val="0"/>
              <w:jc w:val="center"/>
              <w:rPr>
                <w:color w:val="auto"/>
                <w:szCs w:val="21"/>
              </w:rPr>
            </w:pPr>
            <w:r>
              <w:rPr>
                <w:color w:val="auto"/>
                <w:szCs w:val="21"/>
              </w:rPr>
              <w:t>LD</w:t>
            </w:r>
            <w:r>
              <w:rPr>
                <w:color w:val="auto"/>
                <w:szCs w:val="21"/>
                <w:vertAlign w:val="subscript"/>
              </w:rPr>
              <w:t>50</w:t>
            </w:r>
            <w:r>
              <w:rPr>
                <w:color w:val="auto"/>
                <w:szCs w:val="21"/>
              </w:rPr>
              <w:t>（大鼠经皮）/（mg/kg）</w:t>
            </w:r>
          </w:p>
        </w:tc>
        <w:tc>
          <w:tcPr>
            <w:tcW w:w="2433" w:type="dxa"/>
            <w:tcBorders>
              <w:top w:val="double" w:color="auto" w:sz="4" w:space="0"/>
              <w:bottom w:val="single" w:color="auto" w:sz="2" w:space="0"/>
            </w:tcBorders>
            <w:vAlign w:val="center"/>
          </w:tcPr>
          <w:p w14:paraId="3951B731">
            <w:pPr>
              <w:adjustRightInd w:val="0"/>
              <w:snapToGrid w:val="0"/>
              <w:jc w:val="center"/>
              <w:rPr>
                <w:color w:val="auto"/>
                <w:szCs w:val="21"/>
              </w:rPr>
            </w:pPr>
            <w:r>
              <w:rPr>
                <w:color w:val="auto"/>
                <w:szCs w:val="21"/>
              </w:rPr>
              <w:t>LC</w:t>
            </w:r>
            <w:r>
              <w:rPr>
                <w:color w:val="auto"/>
                <w:szCs w:val="21"/>
                <w:vertAlign w:val="subscript"/>
              </w:rPr>
              <w:t>50</w:t>
            </w:r>
            <w:r>
              <w:rPr>
                <w:color w:val="auto"/>
                <w:szCs w:val="21"/>
              </w:rPr>
              <w:t>（小鼠吸入,4h）/（mg/L）</w:t>
            </w:r>
          </w:p>
        </w:tc>
      </w:tr>
      <w:tr w14:paraId="37CCAE4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2" w:space="0"/>
              <w:bottom w:val="single" w:color="auto" w:sz="2" w:space="0"/>
            </w:tcBorders>
            <w:vAlign w:val="center"/>
          </w:tcPr>
          <w:p w14:paraId="12493ED4">
            <w:pPr>
              <w:adjustRightInd w:val="0"/>
              <w:snapToGrid w:val="0"/>
              <w:jc w:val="center"/>
              <w:rPr>
                <w:color w:val="auto"/>
                <w:szCs w:val="21"/>
              </w:rPr>
            </w:pPr>
          </w:p>
        </w:tc>
        <w:tc>
          <w:tcPr>
            <w:tcW w:w="600" w:type="dxa"/>
            <w:tcBorders>
              <w:top w:val="single" w:color="auto" w:sz="2" w:space="0"/>
              <w:bottom w:val="single" w:color="auto" w:sz="2" w:space="0"/>
            </w:tcBorders>
            <w:vAlign w:val="center"/>
          </w:tcPr>
          <w:p w14:paraId="2D8E839F">
            <w:pPr>
              <w:adjustRightInd w:val="0"/>
              <w:snapToGrid w:val="0"/>
              <w:jc w:val="center"/>
              <w:rPr>
                <w:color w:val="auto"/>
                <w:szCs w:val="21"/>
              </w:rPr>
            </w:pPr>
            <w:r>
              <w:rPr>
                <w:color w:val="auto"/>
                <w:szCs w:val="21"/>
              </w:rPr>
              <w:t>①</w:t>
            </w:r>
          </w:p>
        </w:tc>
        <w:tc>
          <w:tcPr>
            <w:tcW w:w="2377" w:type="dxa"/>
            <w:tcBorders>
              <w:top w:val="single" w:color="auto" w:sz="2" w:space="0"/>
              <w:bottom w:val="single" w:color="auto" w:sz="2" w:space="0"/>
            </w:tcBorders>
            <w:vAlign w:val="center"/>
          </w:tcPr>
          <w:p w14:paraId="5D742035">
            <w:pPr>
              <w:adjustRightInd w:val="0"/>
              <w:snapToGrid w:val="0"/>
              <w:jc w:val="center"/>
              <w:rPr>
                <w:color w:val="auto"/>
                <w:szCs w:val="21"/>
              </w:rPr>
            </w:pPr>
            <w:r>
              <w:rPr>
                <w:color w:val="auto"/>
                <w:szCs w:val="21"/>
              </w:rPr>
              <w:t>&lt;5</w:t>
            </w:r>
          </w:p>
        </w:tc>
        <w:tc>
          <w:tcPr>
            <w:tcW w:w="2424" w:type="dxa"/>
            <w:tcBorders>
              <w:top w:val="single" w:color="auto" w:sz="2" w:space="0"/>
              <w:bottom w:val="single" w:color="auto" w:sz="2" w:space="0"/>
            </w:tcBorders>
            <w:vAlign w:val="center"/>
          </w:tcPr>
          <w:p w14:paraId="65C1AE4A">
            <w:pPr>
              <w:adjustRightInd w:val="0"/>
              <w:snapToGrid w:val="0"/>
              <w:jc w:val="center"/>
              <w:rPr>
                <w:color w:val="auto"/>
                <w:szCs w:val="21"/>
              </w:rPr>
            </w:pPr>
            <w:r>
              <w:rPr>
                <w:color w:val="auto"/>
                <w:szCs w:val="21"/>
              </w:rPr>
              <w:t>&lt;1</w:t>
            </w:r>
          </w:p>
        </w:tc>
        <w:tc>
          <w:tcPr>
            <w:tcW w:w="2433" w:type="dxa"/>
            <w:tcBorders>
              <w:top w:val="single" w:color="auto" w:sz="2" w:space="0"/>
              <w:bottom w:val="single" w:color="auto" w:sz="2" w:space="0"/>
            </w:tcBorders>
            <w:vAlign w:val="center"/>
          </w:tcPr>
          <w:p w14:paraId="1C300FB9">
            <w:pPr>
              <w:adjustRightInd w:val="0"/>
              <w:snapToGrid w:val="0"/>
              <w:jc w:val="center"/>
              <w:rPr>
                <w:color w:val="auto"/>
                <w:szCs w:val="21"/>
              </w:rPr>
            </w:pPr>
            <w:r>
              <w:rPr>
                <w:color w:val="auto"/>
                <w:szCs w:val="21"/>
              </w:rPr>
              <w:t>&lt;0.01</w:t>
            </w:r>
          </w:p>
        </w:tc>
      </w:tr>
      <w:tr w14:paraId="2A68F66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2" w:space="0"/>
              <w:bottom w:val="single" w:color="auto" w:sz="2" w:space="0"/>
            </w:tcBorders>
            <w:vAlign w:val="center"/>
          </w:tcPr>
          <w:p w14:paraId="73CB5BC0">
            <w:pPr>
              <w:adjustRightInd w:val="0"/>
              <w:snapToGrid w:val="0"/>
              <w:jc w:val="center"/>
              <w:rPr>
                <w:color w:val="auto"/>
                <w:szCs w:val="21"/>
              </w:rPr>
            </w:pPr>
          </w:p>
        </w:tc>
        <w:tc>
          <w:tcPr>
            <w:tcW w:w="600" w:type="dxa"/>
            <w:tcBorders>
              <w:top w:val="single" w:color="auto" w:sz="2" w:space="0"/>
              <w:bottom w:val="single" w:color="auto" w:sz="2" w:space="0"/>
            </w:tcBorders>
            <w:vAlign w:val="center"/>
          </w:tcPr>
          <w:p w14:paraId="75A283C1">
            <w:pPr>
              <w:adjustRightInd w:val="0"/>
              <w:snapToGrid w:val="0"/>
              <w:jc w:val="center"/>
              <w:rPr>
                <w:color w:val="auto"/>
                <w:szCs w:val="21"/>
              </w:rPr>
            </w:pPr>
            <w:r>
              <w:rPr>
                <w:color w:val="auto"/>
                <w:szCs w:val="21"/>
              </w:rPr>
              <w:t>②</w:t>
            </w:r>
          </w:p>
        </w:tc>
        <w:tc>
          <w:tcPr>
            <w:tcW w:w="2377" w:type="dxa"/>
            <w:tcBorders>
              <w:top w:val="single" w:color="auto" w:sz="2" w:space="0"/>
              <w:bottom w:val="single" w:color="auto" w:sz="2" w:space="0"/>
            </w:tcBorders>
            <w:vAlign w:val="center"/>
          </w:tcPr>
          <w:p w14:paraId="572ECC24">
            <w:pPr>
              <w:adjustRightInd w:val="0"/>
              <w:snapToGrid w:val="0"/>
              <w:jc w:val="center"/>
              <w:rPr>
                <w:color w:val="auto"/>
                <w:szCs w:val="21"/>
              </w:rPr>
            </w:pPr>
            <w:r>
              <w:rPr>
                <w:color w:val="auto"/>
                <w:szCs w:val="21"/>
              </w:rPr>
              <w:t>5&lt;LD</w:t>
            </w:r>
            <w:r>
              <w:rPr>
                <w:color w:val="auto"/>
                <w:szCs w:val="21"/>
                <w:vertAlign w:val="subscript"/>
              </w:rPr>
              <w:t>50</w:t>
            </w:r>
            <w:r>
              <w:rPr>
                <w:color w:val="auto"/>
                <w:szCs w:val="21"/>
              </w:rPr>
              <w:t>&lt;25</w:t>
            </w:r>
          </w:p>
        </w:tc>
        <w:tc>
          <w:tcPr>
            <w:tcW w:w="2424" w:type="dxa"/>
            <w:tcBorders>
              <w:top w:val="single" w:color="auto" w:sz="2" w:space="0"/>
              <w:bottom w:val="single" w:color="auto" w:sz="2" w:space="0"/>
            </w:tcBorders>
            <w:vAlign w:val="center"/>
          </w:tcPr>
          <w:p w14:paraId="6DC4D1E6">
            <w:pPr>
              <w:adjustRightInd w:val="0"/>
              <w:snapToGrid w:val="0"/>
              <w:jc w:val="center"/>
              <w:rPr>
                <w:color w:val="auto"/>
                <w:szCs w:val="21"/>
              </w:rPr>
            </w:pPr>
            <w:r>
              <w:rPr>
                <w:color w:val="auto"/>
                <w:szCs w:val="21"/>
              </w:rPr>
              <w:t>10&lt;LD</w:t>
            </w:r>
            <w:r>
              <w:rPr>
                <w:color w:val="auto"/>
                <w:szCs w:val="21"/>
                <w:vertAlign w:val="subscript"/>
              </w:rPr>
              <w:t>50</w:t>
            </w:r>
            <w:r>
              <w:rPr>
                <w:color w:val="auto"/>
                <w:szCs w:val="21"/>
              </w:rPr>
              <w:t>&lt;50</w:t>
            </w:r>
          </w:p>
        </w:tc>
        <w:tc>
          <w:tcPr>
            <w:tcW w:w="2433" w:type="dxa"/>
            <w:tcBorders>
              <w:top w:val="single" w:color="auto" w:sz="2" w:space="0"/>
              <w:bottom w:val="single" w:color="auto" w:sz="2" w:space="0"/>
            </w:tcBorders>
            <w:vAlign w:val="center"/>
          </w:tcPr>
          <w:p w14:paraId="45F1FD79">
            <w:pPr>
              <w:adjustRightInd w:val="0"/>
              <w:snapToGrid w:val="0"/>
              <w:jc w:val="center"/>
              <w:rPr>
                <w:color w:val="auto"/>
                <w:szCs w:val="21"/>
              </w:rPr>
            </w:pPr>
            <w:r>
              <w:rPr>
                <w:color w:val="auto"/>
                <w:szCs w:val="21"/>
              </w:rPr>
              <w:t>0.1&lt;LC</w:t>
            </w:r>
            <w:r>
              <w:rPr>
                <w:color w:val="auto"/>
                <w:szCs w:val="21"/>
                <w:vertAlign w:val="subscript"/>
              </w:rPr>
              <w:t>50</w:t>
            </w:r>
            <w:r>
              <w:rPr>
                <w:color w:val="auto"/>
                <w:szCs w:val="21"/>
              </w:rPr>
              <w:t>&lt;0.5</w:t>
            </w:r>
          </w:p>
        </w:tc>
      </w:tr>
      <w:tr w14:paraId="44AD6A9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2" w:space="0"/>
              <w:bottom w:val="single" w:color="auto" w:sz="2" w:space="0"/>
            </w:tcBorders>
            <w:vAlign w:val="center"/>
          </w:tcPr>
          <w:p w14:paraId="61646AB2">
            <w:pPr>
              <w:adjustRightInd w:val="0"/>
              <w:snapToGrid w:val="0"/>
              <w:jc w:val="center"/>
              <w:rPr>
                <w:color w:val="auto"/>
                <w:szCs w:val="21"/>
              </w:rPr>
            </w:pPr>
          </w:p>
        </w:tc>
        <w:tc>
          <w:tcPr>
            <w:tcW w:w="600" w:type="dxa"/>
            <w:tcBorders>
              <w:top w:val="single" w:color="auto" w:sz="2" w:space="0"/>
              <w:bottom w:val="single" w:color="auto" w:sz="2" w:space="0"/>
            </w:tcBorders>
            <w:vAlign w:val="center"/>
          </w:tcPr>
          <w:p w14:paraId="37B87D03">
            <w:pPr>
              <w:adjustRightInd w:val="0"/>
              <w:snapToGrid w:val="0"/>
              <w:jc w:val="center"/>
              <w:rPr>
                <w:color w:val="auto"/>
                <w:szCs w:val="21"/>
              </w:rPr>
            </w:pPr>
            <w:r>
              <w:rPr>
                <w:color w:val="auto"/>
                <w:szCs w:val="21"/>
              </w:rPr>
              <w:t>③</w:t>
            </w:r>
          </w:p>
        </w:tc>
        <w:tc>
          <w:tcPr>
            <w:tcW w:w="2377" w:type="dxa"/>
            <w:tcBorders>
              <w:top w:val="single" w:color="auto" w:sz="2" w:space="0"/>
              <w:bottom w:val="single" w:color="auto" w:sz="2" w:space="0"/>
            </w:tcBorders>
            <w:vAlign w:val="center"/>
          </w:tcPr>
          <w:p w14:paraId="0EB8DF7E">
            <w:pPr>
              <w:adjustRightInd w:val="0"/>
              <w:snapToGrid w:val="0"/>
              <w:jc w:val="center"/>
              <w:rPr>
                <w:color w:val="auto"/>
                <w:szCs w:val="21"/>
              </w:rPr>
            </w:pPr>
            <w:r>
              <w:rPr>
                <w:color w:val="auto"/>
                <w:szCs w:val="21"/>
              </w:rPr>
              <w:t>25&lt;LD</w:t>
            </w:r>
            <w:r>
              <w:rPr>
                <w:color w:val="auto"/>
                <w:szCs w:val="21"/>
                <w:vertAlign w:val="subscript"/>
              </w:rPr>
              <w:t>50</w:t>
            </w:r>
            <w:r>
              <w:rPr>
                <w:color w:val="auto"/>
                <w:szCs w:val="21"/>
              </w:rPr>
              <w:t>&lt;200</w:t>
            </w:r>
          </w:p>
        </w:tc>
        <w:tc>
          <w:tcPr>
            <w:tcW w:w="2424" w:type="dxa"/>
            <w:tcBorders>
              <w:top w:val="single" w:color="auto" w:sz="2" w:space="0"/>
              <w:bottom w:val="single" w:color="auto" w:sz="2" w:space="0"/>
            </w:tcBorders>
            <w:vAlign w:val="center"/>
          </w:tcPr>
          <w:p w14:paraId="026EA599">
            <w:pPr>
              <w:adjustRightInd w:val="0"/>
              <w:snapToGrid w:val="0"/>
              <w:jc w:val="center"/>
              <w:rPr>
                <w:color w:val="auto"/>
                <w:szCs w:val="21"/>
              </w:rPr>
            </w:pPr>
            <w:r>
              <w:rPr>
                <w:color w:val="auto"/>
                <w:szCs w:val="21"/>
              </w:rPr>
              <w:t>50&lt;LD</w:t>
            </w:r>
            <w:r>
              <w:rPr>
                <w:color w:val="auto"/>
                <w:szCs w:val="21"/>
                <w:vertAlign w:val="subscript"/>
              </w:rPr>
              <w:t>50</w:t>
            </w:r>
            <w:r>
              <w:rPr>
                <w:color w:val="auto"/>
                <w:szCs w:val="21"/>
              </w:rPr>
              <w:t>&lt;400</w:t>
            </w:r>
          </w:p>
        </w:tc>
        <w:tc>
          <w:tcPr>
            <w:tcW w:w="2433" w:type="dxa"/>
            <w:tcBorders>
              <w:top w:val="single" w:color="auto" w:sz="2" w:space="0"/>
              <w:bottom w:val="single" w:color="auto" w:sz="2" w:space="0"/>
            </w:tcBorders>
            <w:vAlign w:val="center"/>
          </w:tcPr>
          <w:p w14:paraId="21CDCEDA">
            <w:pPr>
              <w:adjustRightInd w:val="0"/>
              <w:snapToGrid w:val="0"/>
              <w:jc w:val="center"/>
              <w:rPr>
                <w:color w:val="auto"/>
                <w:szCs w:val="21"/>
              </w:rPr>
            </w:pPr>
            <w:r>
              <w:rPr>
                <w:color w:val="auto"/>
                <w:szCs w:val="21"/>
              </w:rPr>
              <w:t>0.55&lt;LC</w:t>
            </w:r>
            <w:r>
              <w:rPr>
                <w:color w:val="auto"/>
                <w:szCs w:val="21"/>
                <w:vertAlign w:val="subscript"/>
              </w:rPr>
              <w:t>50</w:t>
            </w:r>
            <w:r>
              <w:rPr>
                <w:color w:val="auto"/>
                <w:szCs w:val="21"/>
              </w:rPr>
              <w:t>&lt;2</w:t>
            </w:r>
          </w:p>
        </w:tc>
      </w:tr>
      <w:tr w14:paraId="45B20A8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93" w:type="dxa"/>
            <w:vMerge w:val="restart"/>
            <w:tcBorders>
              <w:top w:val="single" w:color="auto" w:sz="2" w:space="0"/>
              <w:bottom w:val="single" w:color="auto" w:sz="2" w:space="0"/>
            </w:tcBorders>
            <w:vAlign w:val="center"/>
          </w:tcPr>
          <w:p w14:paraId="6E319BA9">
            <w:pPr>
              <w:adjustRightInd w:val="0"/>
              <w:snapToGrid w:val="0"/>
              <w:jc w:val="center"/>
              <w:rPr>
                <w:color w:val="auto"/>
                <w:szCs w:val="21"/>
              </w:rPr>
            </w:pPr>
            <w:r>
              <w:rPr>
                <w:color w:val="auto"/>
                <w:szCs w:val="21"/>
              </w:rPr>
              <w:t>易燃</w:t>
            </w:r>
          </w:p>
          <w:p w14:paraId="2962EC46">
            <w:pPr>
              <w:adjustRightInd w:val="0"/>
              <w:snapToGrid w:val="0"/>
              <w:jc w:val="center"/>
              <w:rPr>
                <w:color w:val="auto"/>
                <w:szCs w:val="21"/>
              </w:rPr>
            </w:pPr>
            <w:r>
              <w:rPr>
                <w:color w:val="auto"/>
                <w:szCs w:val="21"/>
              </w:rPr>
              <w:t>物质</w:t>
            </w:r>
          </w:p>
        </w:tc>
        <w:tc>
          <w:tcPr>
            <w:tcW w:w="600" w:type="dxa"/>
            <w:tcBorders>
              <w:top w:val="single" w:color="auto" w:sz="2" w:space="0"/>
              <w:bottom w:val="single" w:color="auto" w:sz="2" w:space="0"/>
            </w:tcBorders>
            <w:vAlign w:val="center"/>
          </w:tcPr>
          <w:p w14:paraId="07C6019C">
            <w:pPr>
              <w:adjustRightInd w:val="0"/>
              <w:snapToGrid w:val="0"/>
              <w:jc w:val="center"/>
              <w:rPr>
                <w:color w:val="auto"/>
                <w:szCs w:val="21"/>
              </w:rPr>
            </w:pPr>
            <w:r>
              <w:rPr>
                <w:color w:val="auto"/>
                <w:szCs w:val="21"/>
              </w:rPr>
              <w:t>①</w:t>
            </w:r>
          </w:p>
        </w:tc>
        <w:tc>
          <w:tcPr>
            <w:tcW w:w="7234" w:type="dxa"/>
            <w:gridSpan w:val="3"/>
            <w:tcBorders>
              <w:top w:val="single" w:color="auto" w:sz="2" w:space="0"/>
              <w:bottom w:val="single" w:color="auto" w:sz="2" w:space="0"/>
            </w:tcBorders>
            <w:vAlign w:val="center"/>
          </w:tcPr>
          <w:p w14:paraId="5322E7D4">
            <w:pPr>
              <w:adjustRightInd w:val="0"/>
              <w:snapToGrid w:val="0"/>
              <w:jc w:val="center"/>
              <w:rPr>
                <w:color w:val="auto"/>
                <w:szCs w:val="21"/>
              </w:rPr>
            </w:pPr>
            <w:r>
              <w:rPr>
                <w:color w:val="auto"/>
                <w:szCs w:val="21"/>
              </w:rPr>
              <w:t>可燃气体：在常压下以气态存在并于空气混合形成可燃混合物；其沸点（常压下）是20℃或20℃以下物质</w:t>
            </w:r>
          </w:p>
        </w:tc>
      </w:tr>
      <w:tr w14:paraId="5C853EA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2" w:space="0"/>
              <w:bottom w:val="single" w:color="auto" w:sz="2" w:space="0"/>
            </w:tcBorders>
            <w:vAlign w:val="center"/>
          </w:tcPr>
          <w:p w14:paraId="1DD0A3BF">
            <w:pPr>
              <w:adjustRightInd w:val="0"/>
              <w:snapToGrid w:val="0"/>
              <w:jc w:val="center"/>
              <w:rPr>
                <w:color w:val="auto"/>
                <w:szCs w:val="21"/>
              </w:rPr>
            </w:pPr>
          </w:p>
        </w:tc>
        <w:tc>
          <w:tcPr>
            <w:tcW w:w="600" w:type="dxa"/>
            <w:tcBorders>
              <w:top w:val="single" w:color="auto" w:sz="2" w:space="0"/>
              <w:bottom w:val="single" w:color="auto" w:sz="2" w:space="0"/>
            </w:tcBorders>
            <w:vAlign w:val="center"/>
          </w:tcPr>
          <w:p w14:paraId="5E527666">
            <w:pPr>
              <w:adjustRightInd w:val="0"/>
              <w:snapToGrid w:val="0"/>
              <w:jc w:val="center"/>
              <w:rPr>
                <w:color w:val="auto"/>
                <w:szCs w:val="21"/>
              </w:rPr>
            </w:pPr>
            <w:r>
              <w:rPr>
                <w:color w:val="auto"/>
                <w:szCs w:val="21"/>
              </w:rPr>
              <w:t>②</w:t>
            </w:r>
          </w:p>
        </w:tc>
        <w:tc>
          <w:tcPr>
            <w:tcW w:w="7234" w:type="dxa"/>
            <w:gridSpan w:val="3"/>
            <w:tcBorders>
              <w:top w:val="single" w:color="auto" w:sz="2" w:space="0"/>
              <w:bottom w:val="single" w:color="auto" w:sz="2" w:space="0"/>
            </w:tcBorders>
            <w:vAlign w:val="center"/>
          </w:tcPr>
          <w:p w14:paraId="64710AE8">
            <w:pPr>
              <w:adjustRightInd w:val="0"/>
              <w:snapToGrid w:val="0"/>
              <w:jc w:val="center"/>
              <w:rPr>
                <w:color w:val="auto"/>
                <w:szCs w:val="21"/>
              </w:rPr>
            </w:pPr>
            <w:r>
              <w:rPr>
                <w:color w:val="auto"/>
                <w:szCs w:val="21"/>
              </w:rPr>
              <w:t>易燃液体：闪点低于21℃，沸点高于20℃的物质</w:t>
            </w:r>
          </w:p>
        </w:tc>
      </w:tr>
      <w:tr w14:paraId="06B594C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2" w:space="0"/>
              <w:bottom w:val="single" w:color="auto" w:sz="2" w:space="0"/>
            </w:tcBorders>
            <w:vAlign w:val="center"/>
          </w:tcPr>
          <w:p w14:paraId="13BC6C44">
            <w:pPr>
              <w:adjustRightInd w:val="0"/>
              <w:snapToGrid w:val="0"/>
              <w:jc w:val="center"/>
              <w:rPr>
                <w:color w:val="auto"/>
                <w:szCs w:val="21"/>
              </w:rPr>
            </w:pPr>
          </w:p>
        </w:tc>
        <w:tc>
          <w:tcPr>
            <w:tcW w:w="600" w:type="dxa"/>
            <w:tcBorders>
              <w:top w:val="single" w:color="auto" w:sz="2" w:space="0"/>
              <w:bottom w:val="single" w:color="auto" w:sz="2" w:space="0"/>
            </w:tcBorders>
            <w:vAlign w:val="center"/>
          </w:tcPr>
          <w:p w14:paraId="12B4B4C2">
            <w:pPr>
              <w:adjustRightInd w:val="0"/>
              <w:snapToGrid w:val="0"/>
              <w:jc w:val="center"/>
              <w:rPr>
                <w:color w:val="auto"/>
                <w:szCs w:val="21"/>
              </w:rPr>
            </w:pPr>
            <w:r>
              <w:rPr>
                <w:color w:val="auto"/>
                <w:szCs w:val="21"/>
              </w:rPr>
              <w:t>③</w:t>
            </w:r>
          </w:p>
        </w:tc>
        <w:tc>
          <w:tcPr>
            <w:tcW w:w="7234" w:type="dxa"/>
            <w:gridSpan w:val="3"/>
            <w:tcBorders>
              <w:top w:val="single" w:color="auto" w:sz="2" w:space="0"/>
              <w:bottom w:val="single" w:color="auto" w:sz="2" w:space="0"/>
            </w:tcBorders>
            <w:vAlign w:val="center"/>
          </w:tcPr>
          <w:p w14:paraId="68F9630F">
            <w:pPr>
              <w:adjustRightInd w:val="0"/>
              <w:snapToGrid w:val="0"/>
              <w:jc w:val="center"/>
              <w:rPr>
                <w:color w:val="auto"/>
                <w:szCs w:val="21"/>
              </w:rPr>
            </w:pPr>
            <w:r>
              <w:rPr>
                <w:color w:val="auto"/>
                <w:szCs w:val="21"/>
              </w:rPr>
              <w:t>可燃液体：闪点低于55℃，常压下保持液态，在实际操作条件下（如高温高压）可以引起重大事故的物质</w:t>
            </w:r>
          </w:p>
        </w:tc>
      </w:tr>
      <w:tr w14:paraId="442964A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593" w:type="dxa"/>
            <w:gridSpan w:val="2"/>
            <w:tcBorders>
              <w:top w:val="single" w:color="auto" w:sz="2" w:space="0"/>
              <w:bottom w:val="double" w:color="auto" w:sz="4" w:space="0"/>
            </w:tcBorders>
            <w:vAlign w:val="center"/>
          </w:tcPr>
          <w:p w14:paraId="355D4D91">
            <w:pPr>
              <w:adjustRightInd w:val="0"/>
              <w:snapToGrid w:val="0"/>
              <w:jc w:val="center"/>
              <w:rPr>
                <w:color w:val="auto"/>
                <w:szCs w:val="21"/>
              </w:rPr>
            </w:pPr>
            <w:r>
              <w:rPr>
                <w:color w:val="auto"/>
                <w:szCs w:val="21"/>
              </w:rPr>
              <w:t>爆炸性物质</w:t>
            </w:r>
          </w:p>
        </w:tc>
        <w:tc>
          <w:tcPr>
            <w:tcW w:w="7234" w:type="dxa"/>
            <w:gridSpan w:val="3"/>
            <w:tcBorders>
              <w:top w:val="single" w:color="auto" w:sz="2" w:space="0"/>
              <w:bottom w:val="double" w:color="auto" w:sz="4" w:space="0"/>
            </w:tcBorders>
            <w:vAlign w:val="center"/>
          </w:tcPr>
          <w:p w14:paraId="196FDE3F">
            <w:pPr>
              <w:adjustRightInd w:val="0"/>
              <w:snapToGrid w:val="0"/>
              <w:jc w:val="center"/>
              <w:rPr>
                <w:color w:val="auto"/>
                <w:szCs w:val="21"/>
              </w:rPr>
            </w:pPr>
            <w:r>
              <w:rPr>
                <w:color w:val="auto"/>
                <w:szCs w:val="21"/>
              </w:rPr>
              <w:t>在火焰影响下可以爆炸，或者对冲击、摩擦比硝基苯更为敏感的物质</w:t>
            </w:r>
          </w:p>
        </w:tc>
      </w:tr>
    </w:tbl>
    <w:p w14:paraId="5767B8D9">
      <w:pPr>
        <w:spacing w:line="360" w:lineRule="auto"/>
        <w:ind w:firstLine="480" w:firstLineChars="200"/>
        <w:rPr>
          <w:color w:val="auto"/>
          <w:sz w:val="24"/>
          <w:highlight w:val="none"/>
        </w:rPr>
      </w:pPr>
      <w:r>
        <w:rPr>
          <w:color w:val="auto"/>
          <w:sz w:val="24"/>
          <w:highlight w:val="none"/>
        </w:rPr>
        <w:t>本项目使用的柴油不在厂内大量储存，随时进行购买</w:t>
      </w:r>
      <w:r>
        <w:rPr>
          <w:rFonts w:hint="eastAsia"/>
          <w:color w:val="auto"/>
          <w:sz w:val="24"/>
          <w:highlight w:val="none"/>
        </w:rPr>
        <w:t>。</w:t>
      </w:r>
    </w:p>
    <w:p w14:paraId="3B95FC0D">
      <w:pPr>
        <w:adjustRightInd w:val="0"/>
        <w:snapToGrid w:val="0"/>
        <w:spacing w:line="360" w:lineRule="auto"/>
        <w:ind w:firstLine="480" w:firstLineChars="200"/>
        <w:rPr>
          <w:color w:val="auto"/>
          <w:sz w:val="24"/>
        </w:rPr>
      </w:pPr>
      <w:r>
        <w:rPr>
          <w:color w:val="auto"/>
          <w:sz w:val="24"/>
        </w:rPr>
        <w:t>以下为风险物质的相关物理化学性质介绍，柴油的理化性质见表6</w:t>
      </w:r>
      <w:r>
        <w:rPr>
          <w:rFonts w:hint="eastAsia"/>
          <w:color w:val="auto"/>
          <w:sz w:val="24"/>
          <w:lang w:val="en-US" w:eastAsia="zh-CN"/>
        </w:rPr>
        <w:t>.2-6</w:t>
      </w:r>
      <w:r>
        <w:rPr>
          <w:color w:val="auto"/>
          <w:sz w:val="24"/>
        </w:rPr>
        <w:t>。</w:t>
      </w:r>
    </w:p>
    <w:p w14:paraId="2327A109">
      <w:pPr>
        <w:adjustRightInd w:val="0"/>
        <w:snapToGrid w:val="0"/>
        <w:ind w:firstLine="420"/>
        <w:jc w:val="center"/>
        <w:rPr>
          <w:b/>
          <w:bCs/>
          <w:color w:val="auto"/>
          <w:szCs w:val="21"/>
        </w:rPr>
      </w:pPr>
      <w:r>
        <w:rPr>
          <w:b/>
          <w:bCs/>
          <w:color w:val="auto"/>
          <w:szCs w:val="21"/>
        </w:rPr>
        <w:t>表6</w:t>
      </w:r>
      <w:r>
        <w:rPr>
          <w:rFonts w:hint="eastAsia"/>
          <w:b/>
          <w:bCs/>
          <w:color w:val="auto"/>
          <w:szCs w:val="21"/>
          <w:lang w:val="en-US" w:eastAsia="zh-CN"/>
        </w:rPr>
        <w:t xml:space="preserve">.2-6 </w:t>
      </w:r>
      <w:r>
        <w:rPr>
          <w:rFonts w:hint="eastAsia"/>
          <w:b/>
          <w:bCs/>
          <w:color w:val="auto"/>
          <w:szCs w:val="21"/>
        </w:rPr>
        <w:t xml:space="preserve">  </w:t>
      </w:r>
      <w:r>
        <w:rPr>
          <w:b/>
          <w:bCs/>
          <w:color w:val="auto"/>
          <w:szCs w:val="21"/>
        </w:rPr>
        <w:t xml:space="preserve"> 柴油理化性质</w:t>
      </w:r>
    </w:p>
    <w:tbl>
      <w:tblPr>
        <w:tblStyle w:val="53"/>
        <w:tblW w:w="4999"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28" w:type="dxa"/>
          <w:left w:w="28" w:type="dxa"/>
          <w:bottom w:w="28" w:type="dxa"/>
          <w:right w:w="28" w:type="dxa"/>
        </w:tblCellMar>
      </w:tblPr>
      <w:tblGrid>
        <w:gridCol w:w="1664"/>
        <w:gridCol w:w="6721"/>
      </w:tblGrid>
      <w:tr w14:paraId="56AACAA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1EB52F51">
            <w:pPr>
              <w:widowControl/>
              <w:jc w:val="center"/>
              <w:textAlignment w:val="top"/>
              <w:rPr>
                <w:color w:val="auto"/>
                <w:szCs w:val="21"/>
              </w:rPr>
            </w:pPr>
            <w:r>
              <w:rPr>
                <w:color w:val="auto"/>
                <w:kern w:val="0"/>
                <w:szCs w:val="21"/>
              </w:rPr>
              <w:t>名称</w:t>
            </w:r>
          </w:p>
        </w:tc>
        <w:tc>
          <w:tcPr>
            <w:tcW w:w="4007" w:type="pct"/>
            <w:tcMar>
              <w:top w:w="75" w:type="dxa"/>
              <w:left w:w="150" w:type="dxa"/>
              <w:bottom w:w="75" w:type="dxa"/>
              <w:right w:w="75" w:type="dxa"/>
            </w:tcMar>
            <w:vAlign w:val="center"/>
          </w:tcPr>
          <w:p w14:paraId="7FE14417">
            <w:pPr>
              <w:widowControl/>
              <w:jc w:val="center"/>
              <w:rPr>
                <w:color w:val="auto"/>
                <w:szCs w:val="21"/>
              </w:rPr>
            </w:pPr>
            <w:r>
              <w:rPr>
                <w:color w:val="auto"/>
                <w:kern w:val="0"/>
                <w:szCs w:val="21"/>
              </w:rPr>
              <w:t>柴油</w:t>
            </w:r>
          </w:p>
        </w:tc>
      </w:tr>
      <w:tr w14:paraId="54740F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40FF4C2C">
            <w:pPr>
              <w:widowControl/>
              <w:jc w:val="center"/>
              <w:textAlignment w:val="top"/>
              <w:rPr>
                <w:color w:val="auto"/>
                <w:szCs w:val="21"/>
              </w:rPr>
            </w:pPr>
            <w:r>
              <w:rPr>
                <w:color w:val="auto"/>
                <w:kern w:val="0"/>
                <w:szCs w:val="21"/>
              </w:rPr>
              <w:t>健康危害</w:t>
            </w:r>
          </w:p>
        </w:tc>
        <w:tc>
          <w:tcPr>
            <w:tcW w:w="4007" w:type="pct"/>
            <w:tcMar>
              <w:top w:w="75" w:type="dxa"/>
              <w:left w:w="150" w:type="dxa"/>
              <w:bottom w:w="75" w:type="dxa"/>
              <w:right w:w="75" w:type="dxa"/>
            </w:tcMar>
            <w:vAlign w:val="center"/>
          </w:tcPr>
          <w:p w14:paraId="4E8E7A5C">
            <w:pPr>
              <w:widowControl/>
              <w:jc w:val="center"/>
              <w:rPr>
                <w:color w:val="auto"/>
                <w:szCs w:val="21"/>
              </w:rPr>
            </w:pPr>
            <w:r>
              <w:rPr>
                <w:color w:val="auto"/>
                <w:kern w:val="0"/>
                <w:szCs w:val="21"/>
              </w:rPr>
              <w:t>皮肤接触可为主要吸收途径，可致急性肾脏损害。柴油可引起接触性皮炎、油性痤疮。吸入其雾滴或液体呛入可引起吸入性肺炎。能经胎盘进入胎儿血中。柴油废气可引起眼、鼻刺激症状，头晕及头痛。</w:t>
            </w:r>
          </w:p>
        </w:tc>
      </w:tr>
      <w:tr w14:paraId="166107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199733A2">
            <w:pPr>
              <w:widowControl/>
              <w:jc w:val="center"/>
              <w:textAlignment w:val="top"/>
              <w:rPr>
                <w:color w:val="auto"/>
                <w:szCs w:val="21"/>
              </w:rPr>
            </w:pPr>
            <w:r>
              <w:rPr>
                <w:color w:val="auto"/>
                <w:kern w:val="0"/>
                <w:szCs w:val="21"/>
              </w:rPr>
              <w:t>环境危害</w:t>
            </w:r>
          </w:p>
        </w:tc>
        <w:tc>
          <w:tcPr>
            <w:tcW w:w="4007" w:type="pct"/>
            <w:tcMar>
              <w:top w:w="75" w:type="dxa"/>
              <w:left w:w="150" w:type="dxa"/>
              <w:bottom w:w="75" w:type="dxa"/>
              <w:right w:w="75" w:type="dxa"/>
            </w:tcMar>
            <w:vAlign w:val="center"/>
          </w:tcPr>
          <w:p w14:paraId="0461E351">
            <w:pPr>
              <w:widowControl/>
              <w:jc w:val="center"/>
              <w:rPr>
                <w:color w:val="auto"/>
                <w:szCs w:val="21"/>
              </w:rPr>
            </w:pPr>
            <w:r>
              <w:rPr>
                <w:color w:val="auto"/>
                <w:kern w:val="0"/>
                <w:szCs w:val="21"/>
              </w:rPr>
              <w:t>对环境有危害，对水体和大气可造成污染。</w:t>
            </w:r>
          </w:p>
        </w:tc>
      </w:tr>
      <w:tr w14:paraId="7C7A91B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4B9E03F9">
            <w:pPr>
              <w:widowControl/>
              <w:jc w:val="center"/>
              <w:textAlignment w:val="top"/>
              <w:rPr>
                <w:color w:val="auto"/>
                <w:szCs w:val="21"/>
              </w:rPr>
            </w:pPr>
            <w:r>
              <w:rPr>
                <w:color w:val="auto"/>
                <w:kern w:val="0"/>
                <w:szCs w:val="21"/>
              </w:rPr>
              <w:t>燃爆危险</w:t>
            </w:r>
          </w:p>
        </w:tc>
        <w:tc>
          <w:tcPr>
            <w:tcW w:w="4007" w:type="pct"/>
            <w:tcMar>
              <w:top w:w="75" w:type="dxa"/>
              <w:left w:w="150" w:type="dxa"/>
              <w:bottom w:w="75" w:type="dxa"/>
              <w:right w:w="75" w:type="dxa"/>
            </w:tcMar>
            <w:vAlign w:val="center"/>
          </w:tcPr>
          <w:p w14:paraId="56E56406">
            <w:pPr>
              <w:widowControl/>
              <w:jc w:val="center"/>
              <w:rPr>
                <w:color w:val="auto"/>
                <w:szCs w:val="21"/>
              </w:rPr>
            </w:pPr>
            <w:r>
              <w:rPr>
                <w:color w:val="auto"/>
                <w:kern w:val="0"/>
                <w:szCs w:val="21"/>
              </w:rPr>
              <w:t>本品易燃，具刺激性。</w:t>
            </w:r>
          </w:p>
        </w:tc>
      </w:tr>
      <w:tr w14:paraId="33F2317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348BAA3D">
            <w:pPr>
              <w:widowControl/>
              <w:jc w:val="center"/>
              <w:textAlignment w:val="top"/>
              <w:rPr>
                <w:color w:val="auto"/>
                <w:szCs w:val="21"/>
              </w:rPr>
            </w:pPr>
            <w:r>
              <w:rPr>
                <w:color w:val="auto"/>
                <w:kern w:val="0"/>
                <w:szCs w:val="21"/>
              </w:rPr>
              <w:t>皮肤接触</w:t>
            </w:r>
          </w:p>
        </w:tc>
        <w:tc>
          <w:tcPr>
            <w:tcW w:w="4007" w:type="pct"/>
            <w:tcMar>
              <w:top w:w="75" w:type="dxa"/>
              <w:left w:w="150" w:type="dxa"/>
              <w:bottom w:w="75" w:type="dxa"/>
              <w:right w:w="75" w:type="dxa"/>
            </w:tcMar>
            <w:vAlign w:val="center"/>
          </w:tcPr>
          <w:p w14:paraId="743A5179">
            <w:pPr>
              <w:widowControl/>
              <w:jc w:val="center"/>
              <w:rPr>
                <w:color w:val="auto"/>
                <w:szCs w:val="21"/>
              </w:rPr>
            </w:pPr>
            <w:r>
              <w:rPr>
                <w:color w:val="auto"/>
                <w:kern w:val="0"/>
                <w:szCs w:val="21"/>
              </w:rPr>
              <w:t>立即脱去污染的衣着，用肥皂水和清水彻底冲洗皮肤。就医。</w:t>
            </w:r>
          </w:p>
        </w:tc>
      </w:tr>
      <w:tr w14:paraId="34EC511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1D72DAC8">
            <w:pPr>
              <w:widowControl/>
              <w:jc w:val="center"/>
              <w:textAlignment w:val="top"/>
              <w:rPr>
                <w:color w:val="auto"/>
                <w:szCs w:val="21"/>
              </w:rPr>
            </w:pPr>
            <w:r>
              <w:rPr>
                <w:color w:val="auto"/>
                <w:kern w:val="0"/>
                <w:szCs w:val="21"/>
              </w:rPr>
              <w:t>眼睛接触</w:t>
            </w:r>
          </w:p>
        </w:tc>
        <w:tc>
          <w:tcPr>
            <w:tcW w:w="4007" w:type="pct"/>
            <w:tcMar>
              <w:top w:w="75" w:type="dxa"/>
              <w:left w:w="150" w:type="dxa"/>
              <w:bottom w:w="75" w:type="dxa"/>
              <w:right w:w="75" w:type="dxa"/>
            </w:tcMar>
            <w:vAlign w:val="center"/>
          </w:tcPr>
          <w:p w14:paraId="165820A6">
            <w:pPr>
              <w:widowControl/>
              <w:jc w:val="center"/>
              <w:rPr>
                <w:color w:val="auto"/>
                <w:szCs w:val="21"/>
              </w:rPr>
            </w:pPr>
            <w:r>
              <w:rPr>
                <w:color w:val="auto"/>
                <w:kern w:val="0"/>
                <w:szCs w:val="21"/>
              </w:rPr>
              <w:t>提起眼睑，用流动清水或生理盐水冲洗。就医。</w:t>
            </w:r>
          </w:p>
        </w:tc>
      </w:tr>
      <w:tr w14:paraId="11B6E1B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3961C8EA">
            <w:pPr>
              <w:widowControl/>
              <w:jc w:val="center"/>
              <w:textAlignment w:val="top"/>
              <w:rPr>
                <w:color w:val="auto"/>
                <w:szCs w:val="21"/>
              </w:rPr>
            </w:pPr>
            <w:r>
              <w:rPr>
                <w:color w:val="auto"/>
                <w:kern w:val="0"/>
                <w:szCs w:val="21"/>
              </w:rPr>
              <w:t>吸入</w:t>
            </w:r>
          </w:p>
        </w:tc>
        <w:tc>
          <w:tcPr>
            <w:tcW w:w="4007" w:type="pct"/>
            <w:tcMar>
              <w:top w:w="75" w:type="dxa"/>
              <w:left w:w="150" w:type="dxa"/>
              <w:bottom w:w="75" w:type="dxa"/>
              <w:right w:w="75" w:type="dxa"/>
            </w:tcMar>
            <w:vAlign w:val="center"/>
          </w:tcPr>
          <w:p w14:paraId="34AB99CB">
            <w:pPr>
              <w:widowControl/>
              <w:jc w:val="center"/>
              <w:rPr>
                <w:color w:val="auto"/>
                <w:szCs w:val="21"/>
              </w:rPr>
            </w:pPr>
            <w:r>
              <w:rPr>
                <w:color w:val="auto"/>
                <w:kern w:val="0"/>
                <w:szCs w:val="21"/>
              </w:rPr>
              <w:t>迅速脱离现场至空气新鲜处。保持呼吸道通畅。如呼吸困难，给输氧。如呼吸停止，立即进行人工呼吸。就医。</w:t>
            </w:r>
          </w:p>
        </w:tc>
      </w:tr>
      <w:tr w14:paraId="5684F1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46818CAF">
            <w:pPr>
              <w:widowControl/>
              <w:jc w:val="center"/>
              <w:textAlignment w:val="top"/>
              <w:rPr>
                <w:color w:val="auto"/>
                <w:szCs w:val="21"/>
              </w:rPr>
            </w:pPr>
            <w:r>
              <w:rPr>
                <w:color w:val="auto"/>
                <w:kern w:val="0"/>
                <w:szCs w:val="21"/>
              </w:rPr>
              <w:t>食入</w:t>
            </w:r>
          </w:p>
        </w:tc>
        <w:tc>
          <w:tcPr>
            <w:tcW w:w="4007" w:type="pct"/>
            <w:tcMar>
              <w:top w:w="75" w:type="dxa"/>
              <w:left w:w="150" w:type="dxa"/>
              <w:bottom w:w="75" w:type="dxa"/>
              <w:right w:w="75" w:type="dxa"/>
            </w:tcMar>
            <w:vAlign w:val="center"/>
          </w:tcPr>
          <w:p w14:paraId="265CA369">
            <w:pPr>
              <w:widowControl/>
              <w:jc w:val="center"/>
              <w:rPr>
                <w:color w:val="auto"/>
                <w:szCs w:val="21"/>
              </w:rPr>
            </w:pPr>
            <w:r>
              <w:rPr>
                <w:color w:val="auto"/>
                <w:kern w:val="0"/>
                <w:szCs w:val="21"/>
              </w:rPr>
              <w:t>尽快彻底洗胃。就医。</w:t>
            </w:r>
          </w:p>
        </w:tc>
      </w:tr>
      <w:tr w14:paraId="7E74D85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34070D86">
            <w:pPr>
              <w:widowControl/>
              <w:jc w:val="center"/>
              <w:textAlignment w:val="top"/>
              <w:rPr>
                <w:color w:val="auto"/>
                <w:szCs w:val="21"/>
              </w:rPr>
            </w:pPr>
            <w:r>
              <w:rPr>
                <w:color w:val="auto"/>
                <w:kern w:val="0"/>
                <w:szCs w:val="21"/>
              </w:rPr>
              <w:t>危险特性</w:t>
            </w:r>
          </w:p>
        </w:tc>
        <w:tc>
          <w:tcPr>
            <w:tcW w:w="4007" w:type="pct"/>
            <w:tcMar>
              <w:top w:w="75" w:type="dxa"/>
              <w:left w:w="150" w:type="dxa"/>
              <w:bottom w:w="75" w:type="dxa"/>
              <w:right w:w="75" w:type="dxa"/>
            </w:tcMar>
            <w:vAlign w:val="center"/>
          </w:tcPr>
          <w:p w14:paraId="6DDC6B5C">
            <w:pPr>
              <w:widowControl/>
              <w:jc w:val="center"/>
              <w:rPr>
                <w:color w:val="auto"/>
                <w:szCs w:val="21"/>
              </w:rPr>
            </w:pPr>
            <w:r>
              <w:rPr>
                <w:color w:val="auto"/>
                <w:kern w:val="0"/>
                <w:szCs w:val="21"/>
              </w:rPr>
              <w:t>遇明火、高热或与氧化剂接触，有引起燃烧爆炸的危险。若遇高热，容器内压增大，有开裂和爆炸的危险。</w:t>
            </w:r>
          </w:p>
        </w:tc>
      </w:tr>
      <w:tr w14:paraId="4B9B777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50F5775D">
            <w:pPr>
              <w:widowControl/>
              <w:jc w:val="center"/>
              <w:textAlignment w:val="top"/>
              <w:rPr>
                <w:color w:val="auto"/>
                <w:szCs w:val="21"/>
              </w:rPr>
            </w:pPr>
            <w:r>
              <w:rPr>
                <w:color w:val="auto"/>
                <w:kern w:val="0"/>
                <w:szCs w:val="21"/>
              </w:rPr>
              <w:t>有害燃烧产物</w:t>
            </w:r>
          </w:p>
        </w:tc>
        <w:tc>
          <w:tcPr>
            <w:tcW w:w="4007" w:type="pct"/>
            <w:tcMar>
              <w:top w:w="75" w:type="dxa"/>
              <w:left w:w="150" w:type="dxa"/>
              <w:bottom w:w="75" w:type="dxa"/>
              <w:right w:w="75" w:type="dxa"/>
            </w:tcMar>
            <w:vAlign w:val="center"/>
          </w:tcPr>
          <w:p w14:paraId="6542B107">
            <w:pPr>
              <w:widowControl/>
              <w:jc w:val="center"/>
              <w:rPr>
                <w:color w:val="auto"/>
                <w:szCs w:val="21"/>
              </w:rPr>
            </w:pPr>
            <w:r>
              <w:rPr>
                <w:color w:val="auto"/>
                <w:kern w:val="0"/>
                <w:szCs w:val="21"/>
              </w:rPr>
              <w:t>一氧化碳、二氧化碳。</w:t>
            </w:r>
          </w:p>
        </w:tc>
      </w:tr>
      <w:tr w14:paraId="582203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4A43DB45">
            <w:pPr>
              <w:widowControl/>
              <w:jc w:val="center"/>
              <w:textAlignment w:val="top"/>
              <w:rPr>
                <w:color w:val="auto"/>
                <w:szCs w:val="21"/>
              </w:rPr>
            </w:pPr>
            <w:r>
              <w:rPr>
                <w:color w:val="auto"/>
                <w:kern w:val="0"/>
                <w:szCs w:val="21"/>
              </w:rPr>
              <w:t>灭火方法</w:t>
            </w:r>
          </w:p>
        </w:tc>
        <w:tc>
          <w:tcPr>
            <w:tcW w:w="4007" w:type="pct"/>
            <w:tcMar>
              <w:top w:w="75" w:type="dxa"/>
              <w:left w:w="150" w:type="dxa"/>
              <w:bottom w:w="75" w:type="dxa"/>
              <w:right w:w="75" w:type="dxa"/>
            </w:tcMar>
            <w:vAlign w:val="center"/>
          </w:tcPr>
          <w:p w14:paraId="7127DE50">
            <w:pPr>
              <w:widowControl/>
              <w:jc w:val="center"/>
              <w:rPr>
                <w:color w:val="auto"/>
                <w:szCs w:val="21"/>
              </w:rPr>
            </w:pPr>
            <w:r>
              <w:rPr>
                <w:color w:val="auto"/>
                <w:kern w:val="0"/>
                <w:szCs w:val="21"/>
              </w:rPr>
              <w:t>消防人员须佩戴防毒面具、穿全身消防服，在上风向灭火。可能的话将容器从火场移至空旷处。喷水保持火场容器冷却，直至灭火结束。处在火场中的容器若已变色或从安全泄压装置中产生声音，必须马上撤离。灭火剂：雾状水、泡沫、干粉、砂土。</w:t>
            </w:r>
          </w:p>
        </w:tc>
      </w:tr>
      <w:tr w14:paraId="6755F9A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2D62E0C1">
            <w:pPr>
              <w:widowControl/>
              <w:jc w:val="center"/>
              <w:textAlignment w:val="top"/>
              <w:rPr>
                <w:color w:val="auto"/>
                <w:szCs w:val="21"/>
              </w:rPr>
            </w:pPr>
            <w:r>
              <w:rPr>
                <w:color w:val="auto"/>
                <w:kern w:val="0"/>
                <w:szCs w:val="21"/>
              </w:rPr>
              <w:t>应急处理</w:t>
            </w:r>
          </w:p>
        </w:tc>
        <w:tc>
          <w:tcPr>
            <w:tcW w:w="4007" w:type="pct"/>
            <w:tcMar>
              <w:top w:w="75" w:type="dxa"/>
              <w:left w:w="150" w:type="dxa"/>
              <w:bottom w:w="75" w:type="dxa"/>
              <w:right w:w="75" w:type="dxa"/>
            </w:tcMar>
            <w:vAlign w:val="center"/>
          </w:tcPr>
          <w:p w14:paraId="3C5EC807">
            <w:pPr>
              <w:widowControl/>
              <w:jc w:val="center"/>
              <w:rPr>
                <w:color w:val="auto"/>
                <w:szCs w:val="21"/>
              </w:rPr>
            </w:pPr>
            <w:r>
              <w:rPr>
                <w:color w:val="auto"/>
                <w:kern w:val="0"/>
                <w:szCs w:val="21"/>
              </w:rPr>
              <w:t>迅速撤离泄漏污染区人员至安全区，并进行隔离，严格限制出入。切断火源。建议应急处理人员戴自给正压式呼吸器，穿一般作业工作服。尽可能切断泄漏源。防止流入下水道、排洪沟等限制性空间。小量泄漏：用活性炭或其它惰性材料吸收。大量泄漏：构筑围堤或挖坑收容。用泵转移至槽车或专用收集器内，回收或运至废物处理场所处置。</w:t>
            </w:r>
          </w:p>
        </w:tc>
      </w:tr>
      <w:tr w14:paraId="11AB336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13A51B5D">
            <w:pPr>
              <w:widowControl/>
              <w:jc w:val="center"/>
              <w:textAlignment w:val="top"/>
              <w:rPr>
                <w:color w:val="auto"/>
                <w:szCs w:val="21"/>
              </w:rPr>
            </w:pPr>
            <w:r>
              <w:rPr>
                <w:color w:val="auto"/>
                <w:kern w:val="0"/>
                <w:szCs w:val="21"/>
              </w:rPr>
              <w:t>操作注意事项</w:t>
            </w:r>
          </w:p>
        </w:tc>
        <w:tc>
          <w:tcPr>
            <w:tcW w:w="4007" w:type="pct"/>
            <w:tcMar>
              <w:top w:w="75" w:type="dxa"/>
              <w:left w:w="150" w:type="dxa"/>
              <w:bottom w:w="75" w:type="dxa"/>
              <w:right w:w="75" w:type="dxa"/>
            </w:tcMar>
            <w:vAlign w:val="center"/>
          </w:tcPr>
          <w:p w14:paraId="3C6ACB90">
            <w:pPr>
              <w:widowControl/>
              <w:jc w:val="center"/>
              <w:rPr>
                <w:color w:val="auto"/>
                <w:szCs w:val="21"/>
              </w:rPr>
            </w:pPr>
            <w:r>
              <w:rPr>
                <w:color w:val="auto"/>
                <w:kern w:val="0"/>
                <w:szCs w:val="21"/>
              </w:rPr>
              <w:t>密闭操作，注意通风。操作人员必须经过专门培训，严格遵守操作规程。建议操作人员佩戴自吸过滤式防毒面具（半面罩），戴化学安全防护眼镜，戴橡胶耐油手套。远离火种、热源，工作场所严禁吸烟。使用防爆型的通风系统和设备。防止蒸气泄漏到工作场所空气中。避免与氧化剂、卤素接触。充装要控制流速，防止静电积聚。搬运时要轻装轻卸，防止包装及容器损坏。配备相应品种和数量的消防器材及泄漏应急处理设备。倒空的容器可能残留有害物。</w:t>
            </w:r>
          </w:p>
        </w:tc>
      </w:tr>
      <w:tr w14:paraId="20DB367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011A66F5">
            <w:pPr>
              <w:widowControl/>
              <w:jc w:val="center"/>
              <w:textAlignment w:val="top"/>
              <w:rPr>
                <w:color w:val="auto"/>
                <w:szCs w:val="21"/>
              </w:rPr>
            </w:pPr>
            <w:r>
              <w:rPr>
                <w:color w:val="auto"/>
                <w:kern w:val="0"/>
                <w:szCs w:val="21"/>
              </w:rPr>
              <w:t>储存注意事项</w:t>
            </w:r>
          </w:p>
        </w:tc>
        <w:tc>
          <w:tcPr>
            <w:tcW w:w="4007" w:type="pct"/>
            <w:tcMar>
              <w:top w:w="75" w:type="dxa"/>
              <w:left w:w="150" w:type="dxa"/>
              <w:bottom w:w="75" w:type="dxa"/>
              <w:right w:w="75" w:type="dxa"/>
            </w:tcMar>
            <w:vAlign w:val="center"/>
          </w:tcPr>
          <w:p w14:paraId="31B37DBE">
            <w:pPr>
              <w:widowControl/>
              <w:jc w:val="center"/>
              <w:rPr>
                <w:color w:val="auto"/>
                <w:szCs w:val="21"/>
              </w:rPr>
            </w:pPr>
            <w:r>
              <w:rPr>
                <w:color w:val="auto"/>
                <w:kern w:val="0"/>
                <w:szCs w:val="21"/>
              </w:rPr>
              <w:t>储存于阴凉、通风的库房。远离火种、热源。应与氧化剂、卤素分开存放，切忌混储。采用防爆型照明、通风设施。禁止使用易产生火花的机械设备和工具。储区应备有泄漏应急处理设备和合适的收容材料。</w:t>
            </w:r>
          </w:p>
        </w:tc>
      </w:tr>
      <w:tr w14:paraId="2926438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0B6F676D">
            <w:pPr>
              <w:widowControl/>
              <w:jc w:val="center"/>
              <w:textAlignment w:val="top"/>
              <w:rPr>
                <w:color w:val="auto"/>
                <w:szCs w:val="21"/>
              </w:rPr>
            </w:pPr>
            <w:r>
              <w:rPr>
                <w:color w:val="auto"/>
                <w:kern w:val="0"/>
                <w:szCs w:val="21"/>
              </w:rPr>
              <w:t>TLVTN</w:t>
            </w:r>
          </w:p>
        </w:tc>
        <w:tc>
          <w:tcPr>
            <w:tcW w:w="4007" w:type="pct"/>
            <w:tcMar>
              <w:top w:w="75" w:type="dxa"/>
              <w:left w:w="150" w:type="dxa"/>
              <w:bottom w:w="75" w:type="dxa"/>
              <w:right w:w="75" w:type="dxa"/>
            </w:tcMar>
            <w:vAlign w:val="center"/>
          </w:tcPr>
          <w:p w14:paraId="2A9F4934">
            <w:pPr>
              <w:widowControl/>
              <w:jc w:val="center"/>
              <w:rPr>
                <w:color w:val="auto"/>
                <w:szCs w:val="21"/>
              </w:rPr>
            </w:pPr>
            <w:r>
              <w:rPr>
                <w:color w:val="auto"/>
                <w:kern w:val="0"/>
                <w:szCs w:val="21"/>
              </w:rPr>
              <w:t>未制订标准</w:t>
            </w:r>
          </w:p>
        </w:tc>
      </w:tr>
      <w:tr w14:paraId="4611FE7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3F0BFA52">
            <w:pPr>
              <w:widowControl/>
              <w:jc w:val="center"/>
              <w:textAlignment w:val="top"/>
              <w:rPr>
                <w:color w:val="auto"/>
                <w:szCs w:val="21"/>
              </w:rPr>
            </w:pPr>
            <w:r>
              <w:rPr>
                <w:color w:val="auto"/>
                <w:kern w:val="0"/>
                <w:szCs w:val="21"/>
              </w:rPr>
              <w:t>TLVWN</w:t>
            </w:r>
          </w:p>
        </w:tc>
        <w:tc>
          <w:tcPr>
            <w:tcW w:w="4007" w:type="pct"/>
            <w:tcMar>
              <w:top w:w="75" w:type="dxa"/>
              <w:left w:w="150" w:type="dxa"/>
              <w:bottom w:w="75" w:type="dxa"/>
              <w:right w:w="75" w:type="dxa"/>
            </w:tcMar>
            <w:vAlign w:val="center"/>
          </w:tcPr>
          <w:p w14:paraId="36C6E0C9">
            <w:pPr>
              <w:widowControl/>
              <w:jc w:val="center"/>
              <w:rPr>
                <w:color w:val="auto"/>
                <w:szCs w:val="21"/>
              </w:rPr>
            </w:pPr>
            <w:r>
              <w:rPr>
                <w:color w:val="auto"/>
                <w:kern w:val="0"/>
                <w:szCs w:val="21"/>
              </w:rPr>
              <w:t>未制订标准</w:t>
            </w:r>
          </w:p>
        </w:tc>
      </w:tr>
      <w:tr w14:paraId="4FC3CA1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7FF4DEA5">
            <w:pPr>
              <w:widowControl/>
              <w:jc w:val="center"/>
              <w:textAlignment w:val="top"/>
              <w:rPr>
                <w:color w:val="auto"/>
                <w:szCs w:val="21"/>
              </w:rPr>
            </w:pPr>
            <w:r>
              <w:rPr>
                <w:color w:val="auto"/>
                <w:kern w:val="0"/>
                <w:szCs w:val="21"/>
              </w:rPr>
              <w:t>工程控制</w:t>
            </w:r>
          </w:p>
        </w:tc>
        <w:tc>
          <w:tcPr>
            <w:tcW w:w="4007" w:type="pct"/>
            <w:tcMar>
              <w:top w:w="75" w:type="dxa"/>
              <w:left w:w="150" w:type="dxa"/>
              <w:bottom w:w="75" w:type="dxa"/>
              <w:right w:w="75" w:type="dxa"/>
            </w:tcMar>
            <w:vAlign w:val="center"/>
          </w:tcPr>
          <w:p w14:paraId="1FD0AED0">
            <w:pPr>
              <w:widowControl/>
              <w:jc w:val="center"/>
              <w:rPr>
                <w:color w:val="auto"/>
                <w:szCs w:val="21"/>
              </w:rPr>
            </w:pPr>
            <w:r>
              <w:rPr>
                <w:color w:val="auto"/>
                <w:kern w:val="0"/>
                <w:szCs w:val="21"/>
              </w:rPr>
              <w:t>密闭操作，注意通风。</w:t>
            </w:r>
          </w:p>
        </w:tc>
      </w:tr>
      <w:tr w14:paraId="1AD867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595F7FE0">
            <w:pPr>
              <w:widowControl/>
              <w:jc w:val="center"/>
              <w:textAlignment w:val="top"/>
              <w:rPr>
                <w:color w:val="auto"/>
                <w:szCs w:val="21"/>
              </w:rPr>
            </w:pPr>
            <w:r>
              <w:rPr>
                <w:color w:val="auto"/>
                <w:kern w:val="0"/>
                <w:szCs w:val="21"/>
              </w:rPr>
              <w:t>呼吸系统防护</w:t>
            </w:r>
          </w:p>
        </w:tc>
        <w:tc>
          <w:tcPr>
            <w:tcW w:w="4007" w:type="pct"/>
            <w:tcMar>
              <w:top w:w="75" w:type="dxa"/>
              <w:left w:w="150" w:type="dxa"/>
              <w:bottom w:w="75" w:type="dxa"/>
              <w:right w:w="75" w:type="dxa"/>
            </w:tcMar>
            <w:vAlign w:val="center"/>
          </w:tcPr>
          <w:p w14:paraId="460EB848">
            <w:pPr>
              <w:widowControl/>
              <w:jc w:val="center"/>
              <w:rPr>
                <w:color w:val="auto"/>
                <w:szCs w:val="21"/>
              </w:rPr>
            </w:pPr>
            <w:r>
              <w:rPr>
                <w:color w:val="auto"/>
                <w:kern w:val="0"/>
                <w:szCs w:val="21"/>
              </w:rPr>
              <w:t>空气中浓度超标时，建议佩戴自吸过滤式防毒面具（半面罩）。紧急事态抢救或撤离时，应该佩戴空气呼吸器。</w:t>
            </w:r>
          </w:p>
        </w:tc>
      </w:tr>
      <w:tr w14:paraId="2E3B86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48E97630">
            <w:pPr>
              <w:widowControl/>
              <w:jc w:val="center"/>
              <w:textAlignment w:val="top"/>
              <w:rPr>
                <w:color w:val="auto"/>
                <w:szCs w:val="21"/>
              </w:rPr>
            </w:pPr>
            <w:r>
              <w:rPr>
                <w:color w:val="auto"/>
                <w:kern w:val="0"/>
                <w:szCs w:val="21"/>
              </w:rPr>
              <w:t>眼睛防护</w:t>
            </w:r>
          </w:p>
        </w:tc>
        <w:tc>
          <w:tcPr>
            <w:tcW w:w="4007" w:type="pct"/>
            <w:tcMar>
              <w:top w:w="75" w:type="dxa"/>
              <w:left w:w="150" w:type="dxa"/>
              <w:bottom w:w="75" w:type="dxa"/>
              <w:right w:w="75" w:type="dxa"/>
            </w:tcMar>
            <w:vAlign w:val="center"/>
          </w:tcPr>
          <w:p w14:paraId="66D3C715">
            <w:pPr>
              <w:widowControl/>
              <w:jc w:val="center"/>
              <w:rPr>
                <w:color w:val="auto"/>
                <w:szCs w:val="21"/>
              </w:rPr>
            </w:pPr>
            <w:r>
              <w:rPr>
                <w:color w:val="auto"/>
                <w:kern w:val="0"/>
                <w:szCs w:val="21"/>
              </w:rPr>
              <w:t>戴化学安全防护眼镜。</w:t>
            </w:r>
          </w:p>
        </w:tc>
      </w:tr>
      <w:tr w14:paraId="677C7C9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4F266FD7">
            <w:pPr>
              <w:widowControl/>
              <w:jc w:val="center"/>
              <w:textAlignment w:val="top"/>
              <w:rPr>
                <w:color w:val="auto"/>
                <w:szCs w:val="21"/>
              </w:rPr>
            </w:pPr>
            <w:r>
              <w:rPr>
                <w:color w:val="auto"/>
                <w:kern w:val="0"/>
                <w:szCs w:val="21"/>
              </w:rPr>
              <w:t>身体防护</w:t>
            </w:r>
          </w:p>
        </w:tc>
        <w:tc>
          <w:tcPr>
            <w:tcW w:w="4007" w:type="pct"/>
            <w:tcMar>
              <w:top w:w="75" w:type="dxa"/>
              <w:left w:w="150" w:type="dxa"/>
              <w:bottom w:w="75" w:type="dxa"/>
              <w:right w:w="75" w:type="dxa"/>
            </w:tcMar>
            <w:vAlign w:val="center"/>
          </w:tcPr>
          <w:p w14:paraId="63CB5369">
            <w:pPr>
              <w:widowControl/>
              <w:jc w:val="center"/>
              <w:rPr>
                <w:color w:val="auto"/>
                <w:szCs w:val="21"/>
              </w:rPr>
            </w:pPr>
            <w:r>
              <w:rPr>
                <w:color w:val="auto"/>
                <w:kern w:val="0"/>
                <w:szCs w:val="21"/>
              </w:rPr>
              <w:t>穿一般作业防护服。</w:t>
            </w:r>
          </w:p>
        </w:tc>
      </w:tr>
      <w:tr w14:paraId="593A9A6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4AF02D4C">
            <w:pPr>
              <w:widowControl/>
              <w:jc w:val="center"/>
              <w:textAlignment w:val="top"/>
              <w:rPr>
                <w:color w:val="auto"/>
                <w:szCs w:val="21"/>
              </w:rPr>
            </w:pPr>
            <w:r>
              <w:rPr>
                <w:color w:val="auto"/>
                <w:kern w:val="0"/>
                <w:szCs w:val="21"/>
              </w:rPr>
              <w:t>手防护</w:t>
            </w:r>
          </w:p>
        </w:tc>
        <w:tc>
          <w:tcPr>
            <w:tcW w:w="4007" w:type="pct"/>
            <w:tcMar>
              <w:top w:w="75" w:type="dxa"/>
              <w:left w:w="150" w:type="dxa"/>
              <w:bottom w:w="75" w:type="dxa"/>
              <w:right w:w="75" w:type="dxa"/>
            </w:tcMar>
            <w:vAlign w:val="center"/>
          </w:tcPr>
          <w:p w14:paraId="7001930B">
            <w:pPr>
              <w:widowControl/>
              <w:jc w:val="center"/>
              <w:rPr>
                <w:color w:val="auto"/>
                <w:szCs w:val="21"/>
              </w:rPr>
            </w:pPr>
            <w:r>
              <w:rPr>
                <w:color w:val="auto"/>
                <w:kern w:val="0"/>
                <w:szCs w:val="21"/>
              </w:rPr>
              <w:t>戴橡胶耐油手套。</w:t>
            </w:r>
          </w:p>
        </w:tc>
      </w:tr>
      <w:tr w14:paraId="625D594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3A682017">
            <w:pPr>
              <w:widowControl/>
              <w:jc w:val="center"/>
              <w:textAlignment w:val="top"/>
              <w:rPr>
                <w:color w:val="auto"/>
                <w:szCs w:val="21"/>
              </w:rPr>
            </w:pPr>
            <w:r>
              <w:rPr>
                <w:color w:val="auto"/>
                <w:kern w:val="0"/>
                <w:szCs w:val="21"/>
              </w:rPr>
              <w:t>其他防护</w:t>
            </w:r>
          </w:p>
        </w:tc>
        <w:tc>
          <w:tcPr>
            <w:tcW w:w="4007" w:type="pct"/>
            <w:tcMar>
              <w:top w:w="75" w:type="dxa"/>
              <w:left w:w="150" w:type="dxa"/>
              <w:bottom w:w="75" w:type="dxa"/>
              <w:right w:w="75" w:type="dxa"/>
            </w:tcMar>
            <w:vAlign w:val="center"/>
          </w:tcPr>
          <w:p w14:paraId="443CD9E8">
            <w:pPr>
              <w:widowControl/>
              <w:jc w:val="center"/>
              <w:rPr>
                <w:color w:val="auto"/>
                <w:szCs w:val="21"/>
              </w:rPr>
            </w:pPr>
            <w:r>
              <w:rPr>
                <w:color w:val="auto"/>
                <w:kern w:val="0"/>
                <w:szCs w:val="21"/>
              </w:rPr>
              <w:t>工作现场严禁吸烟。避免长期反复接触。</w:t>
            </w:r>
          </w:p>
        </w:tc>
      </w:tr>
      <w:tr w14:paraId="479FE7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2BBF706F">
            <w:pPr>
              <w:widowControl/>
              <w:jc w:val="center"/>
              <w:textAlignment w:val="top"/>
              <w:rPr>
                <w:color w:val="auto"/>
                <w:szCs w:val="21"/>
              </w:rPr>
            </w:pPr>
            <w:r>
              <w:rPr>
                <w:color w:val="auto"/>
                <w:kern w:val="0"/>
                <w:szCs w:val="21"/>
              </w:rPr>
              <w:t>外观与性状</w:t>
            </w:r>
          </w:p>
        </w:tc>
        <w:tc>
          <w:tcPr>
            <w:tcW w:w="4007" w:type="pct"/>
            <w:tcMar>
              <w:top w:w="75" w:type="dxa"/>
              <w:left w:w="150" w:type="dxa"/>
              <w:bottom w:w="75" w:type="dxa"/>
              <w:right w:w="75" w:type="dxa"/>
            </w:tcMar>
            <w:vAlign w:val="center"/>
          </w:tcPr>
          <w:p w14:paraId="7AE1F72C">
            <w:pPr>
              <w:widowControl/>
              <w:jc w:val="center"/>
              <w:rPr>
                <w:color w:val="auto"/>
                <w:szCs w:val="21"/>
              </w:rPr>
            </w:pPr>
            <w:r>
              <w:rPr>
                <w:color w:val="auto"/>
                <w:kern w:val="0"/>
                <w:szCs w:val="21"/>
              </w:rPr>
              <w:t>稍有粘性的棕色液体。</w:t>
            </w:r>
          </w:p>
        </w:tc>
      </w:tr>
      <w:tr w14:paraId="73301E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38346577">
            <w:pPr>
              <w:widowControl/>
              <w:jc w:val="center"/>
              <w:textAlignment w:val="top"/>
              <w:rPr>
                <w:color w:val="auto"/>
                <w:szCs w:val="21"/>
              </w:rPr>
            </w:pPr>
            <w:r>
              <w:rPr>
                <w:color w:val="auto"/>
                <w:kern w:val="0"/>
                <w:szCs w:val="21"/>
              </w:rPr>
              <w:t>熔点(℃)</w:t>
            </w:r>
          </w:p>
        </w:tc>
        <w:tc>
          <w:tcPr>
            <w:tcW w:w="4007" w:type="pct"/>
            <w:tcMar>
              <w:top w:w="75" w:type="dxa"/>
              <w:left w:w="150" w:type="dxa"/>
              <w:bottom w:w="75" w:type="dxa"/>
              <w:right w:w="75" w:type="dxa"/>
            </w:tcMar>
            <w:vAlign w:val="center"/>
          </w:tcPr>
          <w:p w14:paraId="4A79E85F">
            <w:pPr>
              <w:widowControl/>
              <w:jc w:val="center"/>
              <w:rPr>
                <w:color w:val="auto"/>
                <w:szCs w:val="21"/>
              </w:rPr>
            </w:pPr>
            <w:r>
              <w:rPr>
                <w:color w:val="auto"/>
                <w:kern w:val="0"/>
                <w:szCs w:val="21"/>
              </w:rPr>
              <w:t>-18</w:t>
            </w:r>
          </w:p>
        </w:tc>
      </w:tr>
      <w:tr w14:paraId="70AFA0D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7016CAC4">
            <w:pPr>
              <w:widowControl/>
              <w:jc w:val="center"/>
              <w:textAlignment w:val="top"/>
              <w:rPr>
                <w:color w:val="auto"/>
                <w:szCs w:val="21"/>
              </w:rPr>
            </w:pPr>
            <w:r>
              <w:rPr>
                <w:color w:val="auto"/>
                <w:kern w:val="0"/>
                <w:szCs w:val="21"/>
              </w:rPr>
              <w:t>沸点(℃)</w:t>
            </w:r>
          </w:p>
        </w:tc>
        <w:tc>
          <w:tcPr>
            <w:tcW w:w="4007" w:type="pct"/>
            <w:tcMar>
              <w:top w:w="75" w:type="dxa"/>
              <w:left w:w="150" w:type="dxa"/>
              <w:bottom w:w="75" w:type="dxa"/>
              <w:right w:w="75" w:type="dxa"/>
            </w:tcMar>
            <w:vAlign w:val="center"/>
          </w:tcPr>
          <w:p w14:paraId="79F0F965">
            <w:pPr>
              <w:widowControl/>
              <w:jc w:val="center"/>
              <w:rPr>
                <w:color w:val="auto"/>
                <w:szCs w:val="21"/>
              </w:rPr>
            </w:pPr>
            <w:r>
              <w:rPr>
                <w:color w:val="auto"/>
                <w:kern w:val="0"/>
                <w:szCs w:val="21"/>
              </w:rPr>
              <w:t>282-338</w:t>
            </w:r>
          </w:p>
        </w:tc>
      </w:tr>
      <w:tr w14:paraId="1429742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18AA941E">
            <w:pPr>
              <w:widowControl/>
              <w:jc w:val="center"/>
              <w:textAlignment w:val="top"/>
              <w:rPr>
                <w:color w:val="auto"/>
                <w:szCs w:val="21"/>
              </w:rPr>
            </w:pPr>
            <w:r>
              <w:rPr>
                <w:color w:val="auto"/>
                <w:kern w:val="0"/>
                <w:szCs w:val="21"/>
              </w:rPr>
              <w:t>相对密度(水=1)</w:t>
            </w:r>
          </w:p>
        </w:tc>
        <w:tc>
          <w:tcPr>
            <w:tcW w:w="4007" w:type="pct"/>
            <w:tcMar>
              <w:top w:w="75" w:type="dxa"/>
              <w:left w:w="150" w:type="dxa"/>
              <w:bottom w:w="75" w:type="dxa"/>
              <w:right w:w="75" w:type="dxa"/>
            </w:tcMar>
            <w:vAlign w:val="center"/>
          </w:tcPr>
          <w:p w14:paraId="47C5A56C">
            <w:pPr>
              <w:widowControl/>
              <w:jc w:val="center"/>
              <w:rPr>
                <w:color w:val="auto"/>
                <w:szCs w:val="21"/>
              </w:rPr>
            </w:pPr>
            <w:r>
              <w:rPr>
                <w:color w:val="auto"/>
                <w:kern w:val="0"/>
                <w:szCs w:val="21"/>
              </w:rPr>
              <w:t>0.87-0.9</w:t>
            </w:r>
          </w:p>
        </w:tc>
      </w:tr>
      <w:tr w14:paraId="3A3B2C3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1C09181E">
            <w:pPr>
              <w:widowControl/>
              <w:jc w:val="center"/>
              <w:textAlignment w:val="top"/>
              <w:rPr>
                <w:color w:val="auto"/>
                <w:szCs w:val="21"/>
              </w:rPr>
            </w:pPr>
            <w:r>
              <w:rPr>
                <w:color w:val="auto"/>
                <w:kern w:val="0"/>
                <w:szCs w:val="21"/>
              </w:rPr>
              <w:t>闪点(℃)</w:t>
            </w:r>
          </w:p>
        </w:tc>
        <w:tc>
          <w:tcPr>
            <w:tcW w:w="4007" w:type="pct"/>
            <w:tcMar>
              <w:top w:w="75" w:type="dxa"/>
              <w:left w:w="150" w:type="dxa"/>
              <w:bottom w:w="75" w:type="dxa"/>
              <w:right w:w="75" w:type="dxa"/>
            </w:tcMar>
            <w:vAlign w:val="center"/>
          </w:tcPr>
          <w:p w14:paraId="51363AAB">
            <w:pPr>
              <w:widowControl/>
              <w:jc w:val="center"/>
              <w:rPr>
                <w:color w:val="auto"/>
                <w:szCs w:val="21"/>
              </w:rPr>
            </w:pPr>
            <w:r>
              <w:rPr>
                <w:color w:val="auto"/>
                <w:kern w:val="0"/>
                <w:szCs w:val="21"/>
              </w:rPr>
              <w:t>38</w:t>
            </w:r>
          </w:p>
        </w:tc>
      </w:tr>
      <w:tr w14:paraId="3535A40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32AF8776">
            <w:pPr>
              <w:widowControl/>
              <w:jc w:val="center"/>
              <w:textAlignment w:val="top"/>
              <w:rPr>
                <w:color w:val="auto"/>
                <w:szCs w:val="21"/>
              </w:rPr>
            </w:pPr>
            <w:r>
              <w:rPr>
                <w:color w:val="auto"/>
                <w:kern w:val="0"/>
                <w:szCs w:val="21"/>
              </w:rPr>
              <w:t>引燃温度(℃)</w:t>
            </w:r>
          </w:p>
        </w:tc>
        <w:tc>
          <w:tcPr>
            <w:tcW w:w="4007" w:type="pct"/>
            <w:tcMar>
              <w:top w:w="75" w:type="dxa"/>
              <w:left w:w="150" w:type="dxa"/>
              <w:bottom w:w="75" w:type="dxa"/>
              <w:right w:w="75" w:type="dxa"/>
            </w:tcMar>
            <w:vAlign w:val="center"/>
          </w:tcPr>
          <w:p w14:paraId="3200F37A">
            <w:pPr>
              <w:widowControl/>
              <w:jc w:val="center"/>
              <w:rPr>
                <w:color w:val="auto"/>
                <w:szCs w:val="21"/>
              </w:rPr>
            </w:pPr>
            <w:r>
              <w:rPr>
                <w:color w:val="auto"/>
                <w:kern w:val="0"/>
                <w:szCs w:val="21"/>
              </w:rPr>
              <w:t>257</w:t>
            </w:r>
          </w:p>
        </w:tc>
      </w:tr>
      <w:tr w14:paraId="0E7674D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109CFA7B">
            <w:pPr>
              <w:widowControl/>
              <w:jc w:val="center"/>
              <w:textAlignment w:val="top"/>
              <w:rPr>
                <w:color w:val="auto"/>
                <w:szCs w:val="21"/>
              </w:rPr>
            </w:pPr>
            <w:r>
              <w:rPr>
                <w:color w:val="auto"/>
                <w:kern w:val="0"/>
                <w:szCs w:val="21"/>
              </w:rPr>
              <w:t>主要用途</w:t>
            </w:r>
          </w:p>
        </w:tc>
        <w:tc>
          <w:tcPr>
            <w:tcW w:w="4007" w:type="pct"/>
            <w:tcMar>
              <w:top w:w="75" w:type="dxa"/>
              <w:left w:w="150" w:type="dxa"/>
              <w:bottom w:w="75" w:type="dxa"/>
              <w:right w:w="75" w:type="dxa"/>
            </w:tcMar>
            <w:vAlign w:val="center"/>
          </w:tcPr>
          <w:p w14:paraId="140B7D4D">
            <w:pPr>
              <w:widowControl/>
              <w:jc w:val="center"/>
              <w:rPr>
                <w:color w:val="auto"/>
                <w:szCs w:val="21"/>
              </w:rPr>
            </w:pPr>
            <w:r>
              <w:rPr>
                <w:color w:val="auto"/>
                <w:kern w:val="0"/>
                <w:szCs w:val="21"/>
              </w:rPr>
              <w:t>用作柴油机的燃料。</w:t>
            </w:r>
          </w:p>
        </w:tc>
      </w:tr>
      <w:tr w14:paraId="0F94AEA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791580D5">
            <w:pPr>
              <w:widowControl/>
              <w:jc w:val="center"/>
              <w:textAlignment w:val="top"/>
              <w:rPr>
                <w:color w:val="auto"/>
                <w:szCs w:val="21"/>
              </w:rPr>
            </w:pPr>
            <w:r>
              <w:rPr>
                <w:color w:val="auto"/>
                <w:kern w:val="0"/>
                <w:szCs w:val="21"/>
              </w:rPr>
              <w:t>禁配物</w:t>
            </w:r>
          </w:p>
        </w:tc>
        <w:tc>
          <w:tcPr>
            <w:tcW w:w="4007" w:type="pct"/>
            <w:tcMar>
              <w:top w:w="75" w:type="dxa"/>
              <w:left w:w="150" w:type="dxa"/>
              <w:bottom w:w="75" w:type="dxa"/>
              <w:right w:w="75" w:type="dxa"/>
            </w:tcMar>
            <w:vAlign w:val="center"/>
          </w:tcPr>
          <w:p w14:paraId="29B07933">
            <w:pPr>
              <w:widowControl/>
              <w:jc w:val="center"/>
              <w:rPr>
                <w:color w:val="auto"/>
                <w:szCs w:val="21"/>
              </w:rPr>
            </w:pPr>
            <w:r>
              <w:rPr>
                <w:color w:val="auto"/>
                <w:kern w:val="0"/>
                <w:szCs w:val="21"/>
              </w:rPr>
              <w:t>强氧化剂、卤素。</w:t>
            </w:r>
          </w:p>
        </w:tc>
      </w:tr>
      <w:tr w14:paraId="695AC56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6D88E034">
            <w:pPr>
              <w:widowControl/>
              <w:jc w:val="center"/>
              <w:textAlignment w:val="top"/>
              <w:rPr>
                <w:color w:val="auto"/>
                <w:szCs w:val="21"/>
              </w:rPr>
            </w:pPr>
            <w:r>
              <w:rPr>
                <w:color w:val="auto"/>
                <w:kern w:val="0"/>
                <w:szCs w:val="21"/>
              </w:rPr>
              <w:t>急性毒性</w:t>
            </w:r>
          </w:p>
        </w:tc>
        <w:tc>
          <w:tcPr>
            <w:tcW w:w="4007" w:type="pct"/>
            <w:tcMar>
              <w:top w:w="75" w:type="dxa"/>
              <w:left w:w="150" w:type="dxa"/>
              <w:bottom w:w="75" w:type="dxa"/>
              <w:right w:w="75" w:type="dxa"/>
            </w:tcMar>
            <w:vAlign w:val="center"/>
          </w:tcPr>
          <w:p w14:paraId="3A7BA8F6">
            <w:pPr>
              <w:widowControl/>
              <w:jc w:val="center"/>
              <w:rPr>
                <w:color w:val="auto"/>
                <w:szCs w:val="21"/>
              </w:rPr>
            </w:pPr>
            <w:r>
              <w:rPr>
                <w:color w:val="auto"/>
                <w:kern w:val="0"/>
                <w:szCs w:val="21"/>
              </w:rPr>
              <w:t>LD50：无资料 LC50：无资料</w:t>
            </w:r>
          </w:p>
        </w:tc>
      </w:tr>
      <w:tr w14:paraId="12261FC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31C1C556">
            <w:pPr>
              <w:widowControl/>
              <w:jc w:val="center"/>
              <w:textAlignment w:val="top"/>
              <w:rPr>
                <w:color w:val="auto"/>
                <w:szCs w:val="21"/>
              </w:rPr>
            </w:pPr>
            <w:r>
              <w:rPr>
                <w:color w:val="auto"/>
                <w:kern w:val="0"/>
                <w:szCs w:val="21"/>
              </w:rPr>
              <w:t>其它有害作用</w:t>
            </w:r>
          </w:p>
        </w:tc>
        <w:tc>
          <w:tcPr>
            <w:tcW w:w="4007" w:type="pct"/>
            <w:tcMar>
              <w:top w:w="75" w:type="dxa"/>
              <w:left w:w="150" w:type="dxa"/>
              <w:bottom w:w="75" w:type="dxa"/>
              <w:right w:w="75" w:type="dxa"/>
            </w:tcMar>
            <w:vAlign w:val="center"/>
          </w:tcPr>
          <w:p w14:paraId="5600D6C4">
            <w:pPr>
              <w:widowControl/>
              <w:jc w:val="center"/>
              <w:rPr>
                <w:color w:val="auto"/>
                <w:szCs w:val="21"/>
              </w:rPr>
            </w:pPr>
            <w:r>
              <w:rPr>
                <w:color w:val="auto"/>
                <w:kern w:val="0"/>
                <w:szCs w:val="21"/>
              </w:rPr>
              <w:t>该物质对环境有危害，建议不要让其进入环境。对水体和大气可造成污染，破坏水生生物呼吸系统。对海藻应给予特别注意。</w:t>
            </w:r>
          </w:p>
        </w:tc>
      </w:tr>
      <w:tr w14:paraId="75E2E3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3D591014">
            <w:pPr>
              <w:widowControl/>
              <w:jc w:val="center"/>
              <w:textAlignment w:val="top"/>
              <w:rPr>
                <w:color w:val="auto"/>
                <w:szCs w:val="21"/>
              </w:rPr>
            </w:pPr>
            <w:r>
              <w:rPr>
                <w:color w:val="auto"/>
                <w:kern w:val="0"/>
                <w:szCs w:val="21"/>
              </w:rPr>
              <w:t>废弃处置方法</w:t>
            </w:r>
          </w:p>
        </w:tc>
        <w:tc>
          <w:tcPr>
            <w:tcW w:w="4007" w:type="pct"/>
            <w:tcMar>
              <w:top w:w="75" w:type="dxa"/>
              <w:left w:w="150" w:type="dxa"/>
              <w:bottom w:w="75" w:type="dxa"/>
              <w:right w:w="75" w:type="dxa"/>
            </w:tcMar>
            <w:vAlign w:val="center"/>
          </w:tcPr>
          <w:p w14:paraId="1CD02AD1">
            <w:pPr>
              <w:widowControl/>
              <w:jc w:val="center"/>
              <w:rPr>
                <w:color w:val="auto"/>
                <w:szCs w:val="21"/>
              </w:rPr>
            </w:pPr>
            <w:r>
              <w:rPr>
                <w:color w:val="auto"/>
                <w:kern w:val="0"/>
                <w:szCs w:val="21"/>
              </w:rPr>
              <w:t>处置前应参阅国家和地方有关法规。建议用焚烧法处置。</w:t>
            </w:r>
          </w:p>
        </w:tc>
      </w:tr>
      <w:tr w14:paraId="2DFEFD2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2CE093CC">
            <w:pPr>
              <w:widowControl/>
              <w:jc w:val="center"/>
              <w:textAlignment w:val="top"/>
              <w:rPr>
                <w:color w:val="auto"/>
                <w:szCs w:val="21"/>
              </w:rPr>
            </w:pPr>
            <w:r>
              <w:rPr>
                <w:color w:val="auto"/>
                <w:kern w:val="0"/>
                <w:szCs w:val="21"/>
              </w:rPr>
              <w:t>包装类别</w:t>
            </w:r>
          </w:p>
        </w:tc>
        <w:tc>
          <w:tcPr>
            <w:tcW w:w="4007" w:type="pct"/>
            <w:tcMar>
              <w:top w:w="75" w:type="dxa"/>
              <w:left w:w="150" w:type="dxa"/>
              <w:bottom w:w="75" w:type="dxa"/>
              <w:right w:w="75" w:type="dxa"/>
            </w:tcMar>
            <w:vAlign w:val="center"/>
          </w:tcPr>
          <w:p w14:paraId="0A12462E">
            <w:pPr>
              <w:widowControl/>
              <w:jc w:val="center"/>
              <w:rPr>
                <w:color w:val="auto"/>
                <w:szCs w:val="21"/>
              </w:rPr>
            </w:pPr>
            <w:r>
              <w:rPr>
                <w:color w:val="auto"/>
                <w:kern w:val="0"/>
                <w:szCs w:val="21"/>
              </w:rPr>
              <w:t>Z01</w:t>
            </w:r>
          </w:p>
        </w:tc>
      </w:tr>
      <w:tr w14:paraId="26C27E7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321CD05C">
            <w:pPr>
              <w:widowControl/>
              <w:jc w:val="center"/>
              <w:textAlignment w:val="top"/>
              <w:rPr>
                <w:color w:val="auto"/>
                <w:szCs w:val="21"/>
              </w:rPr>
            </w:pPr>
            <w:r>
              <w:rPr>
                <w:color w:val="auto"/>
                <w:kern w:val="0"/>
                <w:szCs w:val="21"/>
              </w:rPr>
              <w:t>包装方法</w:t>
            </w:r>
          </w:p>
        </w:tc>
        <w:tc>
          <w:tcPr>
            <w:tcW w:w="4007" w:type="pct"/>
            <w:tcMar>
              <w:top w:w="75" w:type="dxa"/>
              <w:left w:w="150" w:type="dxa"/>
              <w:bottom w:w="75" w:type="dxa"/>
              <w:right w:w="75" w:type="dxa"/>
            </w:tcMar>
            <w:vAlign w:val="center"/>
          </w:tcPr>
          <w:p w14:paraId="74674C89">
            <w:pPr>
              <w:widowControl/>
              <w:jc w:val="center"/>
              <w:rPr>
                <w:color w:val="auto"/>
                <w:szCs w:val="21"/>
              </w:rPr>
            </w:pPr>
            <w:r>
              <w:rPr>
                <w:color w:val="auto"/>
                <w:kern w:val="0"/>
                <w:szCs w:val="21"/>
              </w:rPr>
              <w:t>无资料。</w:t>
            </w:r>
          </w:p>
        </w:tc>
      </w:tr>
      <w:tr w14:paraId="7430D36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992" w:type="pct"/>
            <w:tcMar>
              <w:top w:w="75" w:type="dxa"/>
              <w:left w:w="0" w:type="dxa"/>
              <w:bottom w:w="75" w:type="dxa"/>
              <w:right w:w="0" w:type="dxa"/>
            </w:tcMar>
            <w:vAlign w:val="center"/>
          </w:tcPr>
          <w:p w14:paraId="0AC7AC14">
            <w:pPr>
              <w:widowControl/>
              <w:jc w:val="center"/>
              <w:textAlignment w:val="top"/>
              <w:rPr>
                <w:color w:val="auto"/>
                <w:szCs w:val="21"/>
              </w:rPr>
            </w:pPr>
            <w:r>
              <w:rPr>
                <w:color w:val="auto"/>
                <w:kern w:val="0"/>
                <w:szCs w:val="21"/>
              </w:rPr>
              <w:t>运输注意事项</w:t>
            </w:r>
          </w:p>
        </w:tc>
        <w:tc>
          <w:tcPr>
            <w:tcW w:w="4007" w:type="pct"/>
            <w:tcMar>
              <w:top w:w="75" w:type="dxa"/>
              <w:left w:w="150" w:type="dxa"/>
              <w:bottom w:w="75" w:type="dxa"/>
              <w:right w:w="75" w:type="dxa"/>
            </w:tcMar>
            <w:vAlign w:val="center"/>
          </w:tcPr>
          <w:p w14:paraId="6D19A36F">
            <w:pPr>
              <w:widowControl/>
              <w:jc w:val="center"/>
              <w:rPr>
                <w:color w:val="auto"/>
                <w:szCs w:val="21"/>
              </w:rPr>
            </w:pPr>
            <w:r>
              <w:rPr>
                <w:color w:val="auto"/>
                <w:kern w:val="0"/>
                <w:szCs w:val="21"/>
              </w:rPr>
              <w:t>运输前应先检查包装容器是否完整、密封，运输过程中要确保容器不泄漏、不倒塌、不坠落、不损坏。运输时运输车辆应配备相应品种和数量的消防器材及泄漏应急处理设备。夏季最好早晚运输。运输时所用的槽（罐）车应有接地链，槽内可设孔隔板以减少震荡产生静电。严禁与氧化剂、卤素、食用化学品等混装混运。运输途中应防曝晒、雨淋，防高温。中途停留时应远离火种、热源、高温区。装运该物品的车辆排气管必须配备阻火装置，禁止使用易产生火花的机械设备和工具装卸。运输车船必须彻底清洗、消毒，否则不得装运其它物品。船运时，配装位置应远离卧室、厨房，并与机舱、电源、火源等部位隔离。公路运输时要按规定路线行驶。</w:t>
            </w:r>
          </w:p>
        </w:tc>
      </w:tr>
    </w:tbl>
    <w:p w14:paraId="412ECCD4">
      <w:pPr>
        <w:tabs>
          <w:tab w:val="right" w:leader="dot" w:pos="8505"/>
        </w:tabs>
        <w:spacing w:line="360" w:lineRule="auto"/>
        <w:rPr>
          <w:b/>
          <w:bCs/>
          <w:color w:val="auto"/>
          <w:sz w:val="24"/>
          <w:szCs w:val="22"/>
        </w:rPr>
      </w:pPr>
      <w:r>
        <w:rPr>
          <w:b/>
          <w:bCs/>
          <w:color w:val="auto"/>
          <w:sz w:val="24"/>
          <w:szCs w:val="22"/>
        </w:rPr>
        <w:t>6.2.3.2项目生产风险识别</w:t>
      </w:r>
    </w:p>
    <w:p w14:paraId="4A454C6F">
      <w:pPr>
        <w:tabs>
          <w:tab w:val="right" w:leader="dot" w:pos="8505"/>
        </w:tabs>
        <w:adjustRightInd w:val="0"/>
        <w:snapToGrid w:val="0"/>
        <w:spacing w:line="360" w:lineRule="auto"/>
        <w:ind w:firstLine="480" w:firstLineChars="200"/>
        <w:rPr>
          <w:color w:val="auto"/>
          <w:sz w:val="24"/>
        </w:rPr>
      </w:pPr>
      <w:r>
        <w:rPr>
          <w:color w:val="auto"/>
          <w:sz w:val="24"/>
        </w:rPr>
        <w:t>本项目属于蛋鸡养殖建设项目，采用自动化鸡粪清理系统，基于养殖业项目自身的特点，项目在建设和生产过程中对周边环境及人体健康具有潜在的危害，同时也具有潜在的事故隐患和环境风险。</w:t>
      </w:r>
    </w:p>
    <w:p w14:paraId="6B35DB92">
      <w:pPr>
        <w:tabs>
          <w:tab w:val="right" w:leader="dot" w:pos="8505"/>
        </w:tabs>
        <w:spacing w:line="360" w:lineRule="auto"/>
        <w:ind w:firstLine="480" w:firstLineChars="200"/>
        <w:rPr>
          <w:color w:val="auto"/>
          <w:sz w:val="24"/>
        </w:rPr>
      </w:pPr>
      <w:r>
        <w:rPr>
          <w:color w:val="auto"/>
          <w:sz w:val="24"/>
        </w:rPr>
        <w:t>根据项目建设规划与环保配套措施情况等，本项目的建设过程和运行期间不存在重大危险源。本项目可能出现的环境风险事故主要是环保措施故障风险、卫生防疫事故风险以及火灾爆炸引起次生污染物的风险。</w:t>
      </w:r>
    </w:p>
    <w:p w14:paraId="20966934">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环境污染风险</w:t>
      </w:r>
    </w:p>
    <w:p w14:paraId="55D7AC90">
      <w:pPr>
        <w:spacing w:line="360" w:lineRule="auto"/>
        <w:ind w:firstLine="480" w:firstLineChars="200"/>
        <w:rPr>
          <w:color w:val="auto"/>
          <w:sz w:val="24"/>
        </w:rPr>
      </w:pPr>
      <w:r>
        <w:rPr>
          <w:color w:val="auto"/>
          <w:sz w:val="24"/>
        </w:rPr>
        <w:t>本项目</w:t>
      </w:r>
      <w:r>
        <w:rPr>
          <w:rFonts w:hint="eastAsia"/>
          <w:color w:val="auto"/>
          <w:sz w:val="24"/>
          <w:lang w:eastAsia="zh-CN"/>
        </w:rPr>
        <w:t>废水收集池</w:t>
      </w:r>
      <w:r>
        <w:rPr>
          <w:color w:val="auto"/>
          <w:sz w:val="24"/>
        </w:rPr>
        <w:t>泄漏导致污水直接排入地表及自然水体，对地表水、地下水、土壤等环境造成影响。</w:t>
      </w:r>
    </w:p>
    <w:p w14:paraId="254378C6">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卫生防疫事故风险</w:t>
      </w:r>
    </w:p>
    <w:p w14:paraId="4E45AB91">
      <w:pPr>
        <w:spacing w:line="360" w:lineRule="auto"/>
        <w:ind w:firstLine="480" w:firstLineChars="200"/>
        <w:rPr>
          <w:color w:val="auto"/>
          <w:sz w:val="24"/>
        </w:rPr>
      </w:pPr>
      <w:r>
        <w:rPr>
          <w:rFonts w:hint="eastAsia"/>
          <w:color w:val="auto"/>
          <w:sz w:val="24"/>
          <w:lang w:val="en-US" w:eastAsia="zh-CN"/>
        </w:rPr>
        <w:t>1）</w:t>
      </w:r>
      <w:r>
        <w:rPr>
          <w:color w:val="auto"/>
          <w:sz w:val="24"/>
        </w:rPr>
        <w:t>动物疫病的分类</w:t>
      </w:r>
    </w:p>
    <w:p w14:paraId="29CAD62C">
      <w:pPr>
        <w:spacing w:line="360" w:lineRule="auto"/>
        <w:ind w:firstLine="480" w:firstLineChars="200"/>
        <w:rPr>
          <w:color w:val="auto"/>
          <w:sz w:val="24"/>
        </w:rPr>
      </w:pPr>
      <w:r>
        <w:rPr>
          <w:color w:val="auto"/>
          <w:sz w:val="24"/>
        </w:rPr>
        <w:t>根据《中华人民共和国动物防疫法》中的定义，动物疫病是指动物传染病、寄生虫病。根据动物疫病对养殖业生产和人体健康的危害程度，将动物疫病分为以下三类，详见下表</w:t>
      </w:r>
    </w:p>
    <w:p w14:paraId="3053E9BE">
      <w:pPr>
        <w:pStyle w:val="16"/>
        <w:ind w:firstLine="0"/>
        <w:jc w:val="center"/>
        <w:rPr>
          <w:b/>
          <w:color w:val="auto"/>
          <w:szCs w:val="21"/>
        </w:rPr>
      </w:pPr>
      <w:r>
        <w:rPr>
          <w:b/>
          <w:color w:val="auto"/>
          <w:szCs w:val="21"/>
        </w:rPr>
        <w:t>6</w:t>
      </w:r>
      <w:r>
        <w:rPr>
          <w:rFonts w:hint="eastAsia"/>
          <w:b/>
          <w:color w:val="auto"/>
          <w:szCs w:val="21"/>
          <w:lang w:val="en-US" w:eastAsia="zh-CN"/>
        </w:rPr>
        <w:t xml:space="preserve">.2-7 </w:t>
      </w:r>
      <w:r>
        <w:rPr>
          <w:rFonts w:hint="eastAsia"/>
          <w:b/>
          <w:color w:val="auto"/>
          <w:szCs w:val="21"/>
        </w:rPr>
        <w:t xml:space="preserve">  </w:t>
      </w:r>
      <w:r>
        <w:rPr>
          <w:b/>
          <w:color w:val="auto"/>
          <w:szCs w:val="21"/>
        </w:rPr>
        <w:t xml:space="preserve"> 动物疫病分类表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80"/>
        <w:gridCol w:w="3036"/>
        <w:gridCol w:w="4512"/>
      </w:tblGrid>
      <w:tr w14:paraId="712D2CD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Align w:val="center"/>
          </w:tcPr>
          <w:p w14:paraId="4B8E0645">
            <w:pPr>
              <w:jc w:val="center"/>
              <w:rPr>
                <w:color w:val="auto"/>
                <w:szCs w:val="21"/>
              </w:rPr>
            </w:pPr>
            <w:r>
              <w:rPr>
                <w:color w:val="auto"/>
                <w:szCs w:val="21"/>
              </w:rPr>
              <w:t>疫病类型</w:t>
            </w:r>
          </w:p>
        </w:tc>
        <w:tc>
          <w:tcPr>
            <w:tcW w:w="0" w:type="auto"/>
            <w:vAlign w:val="center"/>
          </w:tcPr>
          <w:p w14:paraId="0FCF2F8A">
            <w:pPr>
              <w:autoSpaceDE w:val="0"/>
              <w:autoSpaceDN w:val="0"/>
              <w:adjustRightInd w:val="0"/>
              <w:snapToGrid w:val="0"/>
              <w:jc w:val="center"/>
              <w:rPr>
                <w:color w:val="auto"/>
                <w:szCs w:val="21"/>
              </w:rPr>
            </w:pPr>
            <w:r>
              <w:rPr>
                <w:color w:val="auto"/>
                <w:szCs w:val="21"/>
              </w:rPr>
              <w:t>危害程度</w:t>
            </w:r>
          </w:p>
        </w:tc>
        <w:tc>
          <w:tcPr>
            <w:tcW w:w="0" w:type="auto"/>
            <w:vAlign w:val="center"/>
          </w:tcPr>
          <w:p w14:paraId="0F608294">
            <w:pPr>
              <w:autoSpaceDE w:val="0"/>
              <w:autoSpaceDN w:val="0"/>
              <w:adjustRightInd w:val="0"/>
              <w:snapToGrid w:val="0"/>
              <w:jc w:val="center"/>
              <w:rPr>
                <w:color w:val="auto"/>
                <w:szCs w:val="21"/>
              </w:rPr>
            </w:pPr>
            <w:r>
              <w:rPr>
                <w:color w:val="auto"/>
                <w:szCs w:val="21"/>
              </w:rPr>
              <w:t>需采取措施</w:t>
            </w:r>
          </w:p>
        </w:tc>
      </w:tr>
      <w:tr w14:paraId="5AFBF24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Align w:val="center"/>
          </w:tcPr>
          <w:p w14:paraId="3AB7BFA9">
            <w:pPr>
              <w:jc w:val="center"/>
              <w:rPr>
                <w:color w:val="auto"/>
                <w:szCs w:val="21"/>
              </w:rPr>
            </w:pPr>
            <w:r>
              <w:rPr>
                <w:color w:val="auto"/>
                <w:szCs w:val="21"/>
              </w:rPr>
              <w:t>一类疫病</w:t>
            </w:r>
          </w:p>
        </w:tc>
        <w:tc>
          <w:tcPr>
            <w:tcW w:w="0" w:type="auto"/>
            <w:vAlign w:val="center"/>
          </w:tcPr>
          <w:p w14:paraId="2AC43E44">
            <w:pPr>
              <w:jc w:val="center"/>
              <w:rPr>
                <w:color w:val="auto"/>
                <w:szCs w:val="21"/>
              </w:rPr>
            </w:pPr>
            <w:r>
              <w:rPr>
                <w:color w:val="auto"/>
                <w:szCs w:val="21"/>
              </w:rPr>
              <w:t>对人与动物危害严重</w:t>
            </w:r>
          </w:p>
        </w:tc>
        <w:tc>
          <w:tcPr>
            <w:tcW w:w="0" w:type="auto"/>
            <w:vAlign w:val="center"/>
          </w:tcPr>
          <w:p w14:paraId="7E072D74">
            <w:pPr>
              <w:pStyle w:val="381"/>
              <w:widowControl w:val="0"/>
              <w:spacing w:line="240" w:lineRule="auto"/>
              <w:rPr>
                <w:rFonts w:ascii="Times New Roman" w:hAnsi="Times New Roman"/>
                <w:color w:val="auto"/>
                <w:szCs w:val="21"/>
              </w:rPr>
            </w:pPr>
            <w:r>
              <w:rPr>
                <w:rFonts w:ascii="Times New Roman" w:hAnsi="Times New Roman"/>
                <w:color w:val="auto"/>
                <w:szCs w:val="21"/>
              </w:rPr>
              <w:t>需要采取紧急、严厉的强制预防、控制、扑灭等措施</w:t>
            </w:r>
          </w:p>
        </w:tc>
      </w:tr>
      <w:tr w14:paraId="0795697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Align w:val="center"/>
          </w:tcPr>
          <w:p w14:paraId="2D0B0946">
            <w:pPr>
              <w:jc w:val="center"/>
              <w:rPr>
                <w:color w:val="auto"/>
                <w:szCs w:val="21"/>
              </w:rPr>
            </w:pPr>
            <w:r>
              <w:rPr>
                <w:color w:val="auto"/>
                <w:szCs w:val="21"/>
              </w:rPr>
              <w:t>二类疫病</w:t>
            </w:r>
          </w:p>
        </w:tc>
        <w:tc>
          <w:tcPr>
            <w:tcW w:w="0" w:type="auto"/>
            <w:vAlign w:val="center"/>
          </w:tcPr>
          <w:p w14:paraId="1C68FF99">
            <w:pPr>
              <w:jc w:val="center"/>
              <w:rPr>
                <w:color w:val="auto"/>
                <w:szCs w:val="21"/>
              </w:rPr>
            </w:pPr>
            <w:r>
              <w:rPr>
                <w:color w:val="auto"/>
                <w:szCs w:val="21"/>
              </w:rPr>
              <w:t>可能造成重大经济损失</w:t>
            </w:r>
          </w:p>
        </w:tc>
        <w:tc>
          <w:tcPr>
            <w:tcW w:w="0" w:type="auto"/>
            <w:vAlign w:val="center"/>
          </w:tcPr>
          <w:p w14:paraId="7A415421">
            <w:pPr>
              <w:pStyle w:val="381"/>
              <w:widowControl w:val="0"/>
              <w:spacing w:line="240" w:lineRule="auto"/>
              <w:rPr>
                <w:rFonts w:ascii="Times New Roman" w:hAnsi="Times New Roman"/>
                <w:color w:val="auto"/>
                <w:szCs w:val="21"/>
              </w:rPr>
            </w:pPr>
            <w:r>
              <w:rPr>
                <w:rFonts w:ascii="Times New Roman" w:hAnsi="Times New Roman"/>
                <w:color w:val="auto"/>
                <w:szCs w:val="21"/>
              </w:rPr>
              <w:t>需要采取严格控制、扑灭等措施，防止扩散</w:t>
            </w:r>
          </w:p>
        </w:tc>
      </w:tr>
      <w:tr w14:paraId="14742E1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0" w:type="auto"/>
            <w:vAlign w:val="center"/>
          </w:tcPr>
          <w:p w14:paraId="673FA450">
            <w:pPr>
              <w:jc w:val="center"/>
              <w:rPr>
                <w:color w:val="auto"/>
                <w:szCs w:val="21"/>
              </w:rPr>
            </w:pPr>
            <w:r>
              <w:rPr>
                <w:color w:val="auto"/>
                <w:szCs w:val="21"/>
              </w:rPr>
              <w:t>三类疫病</w:t>
            </w:r>
          </w:p>
        </w:tc>
        <w:tc>
          <w:tcPr>
            <w:tcW w:w="0" w:type="auto"/>
            <w:vAlign w:val="center"/>
          </w:tcPr>
          <w:p w14:paraId="2BA4DB66">
            <w:pPr>
              <w:jc w:val="center"/>
              <w:rPr>
                <w:color w:val="auto"/>
                <w:szCs w:val="21"/>
              </w:rPr>
            </w:pPr>
            <w:r>
              <w:rPr>
                <w:color w:val="auto"/>
                <w:szCs w:val="21"/>
              </w:rPr>
              <w:t>常见多发、可能造成重大经济损失</w:t>
            </w:r>
          </w:p>
        </w:tc>
        <w:tc>
          <w:tcPr>
            <w:tcW w:w="0" w:type="auto"/>
            <w:vAlign w:val="center"/>
          </w:tcPr>
          <w:p w14:paraId="72834562">
            <w:pPr>
              <w:pStyle w:val="381"/>
              <w:widowControl w:val="0"/>
              <w:spacing w:line="240" w:lineRule="auto"/>
              <w:rPr>
                <w:rFonts w:ascii="Times New Roman" w:hAnsi="Times New Roman"/>
                <w:color w:val="auto"/>
                <w:szCs w:val="21"/>
              </w:rPr>
            </w:pPr>
            <w:r>
              <w:rPr>
                <w:rFonts w:ascii="Times New Roman" w:hAnsi="Times New Roman"/>
                <w:color w:val="auto"/>
                <w:szCs w:val="21"/>
              </w:rPr>
              <w:t>需要控制和净化</w:t>
            </w:r>
          </w:p>
        </w:tc>
      </w:tr>
    </w:tbl>
    <w:p w14:paraId="0E0CA0AE">
      <w:pPr>
        <w:spacing w:line="360" w:lineRule="auto"/>
        <w:ind w:firstLine="480" w:firstLineChars="200"/>
        <w:rPr>
          <w:color w:val="auto"/>
          <w:sz w:val="24"/>
        </w:rPr>
      </w:pPr>
      <w:bookmarkStart w:id="354" w:name="_Toc25907"/>
      <w:r>
        <w:rPr>
          <w:color w:val="auto"/>
          <w:sz w:val="24"/>
        </w:rPr>
        <w:t>2）家禽疫病病种</w:t>
      </w:r>
    </w:p>
    <w:p w14:paraId="6C76F80C">
      <w:pPr>
        <w:spacing w:line="360" w:lineRule="auto"/>
        <w:ind w:firstLine="480" w:firstLineChars="200"/>
        <w:rPr>
          <w:color w:val="auto"/>
          <w:sz w:val="24"/>
        </w:rPr>
      </w:pPr>
      <w:r>
        <w:rPr>
          <w:color w:val="auto"/>
          <w:sz w:val="24"/>
        </w:rPr>
        <w:t>根据农业部2008年12月发布的第1125号公告《一、二、三类动物疫病病种名录》，其中各类疫病病种中，涉及家禽疫病的病种如下：</w:t>
      </w:r>
    </w:p>
    <w:p w14:paraId="1EE2783D">
      <w:pPr>
        <w:spacing w:line="360" w:lineRule="auto"/>
        <w:ind w:firstLine="480" w:firstLineChars="200"/>
        <w:rPr>
          <w:color w:val="auto"/>
          <w:sz w:val="24"/>
        </w:rPr>
      </w:pPr>
      <w:r>
        <w:rPr>
          <w:color w:val="auto"/>
          <w:sz w:val="24"/>
        </w:rPr>
        <w:t>①一类疫病：高致病性禽流感、新城疫等；</w:t>
      </w:r>
    </w:p>
    <w:p w14:paraId="17A930A9">
      <w:pPr>
        <w:spacing w:line="360" w:lineRule="auto"/>
        <w:ind w:firstLine="480" w:firstLineChars="200"/>
        <w:rPr>
          <w:color w:val="auto"/>
          <w:sz w:val="24"/>
        </w:rPr>
      </w:pPr>
      <w:r>
        <w:rPr>
          <w:color w:val="auto"/>
          <w:sz w:val="24"/>
        </w:rPr>
        <w:t>②二类疫病：鸡传染性喉气管炎、鸡传染性支气管炎、传染性法氏囊病、马立克氏病、产蛋下降综合症、禽白血病、禽痘、鸭瘟、鸭病毒性肝炎、鸭浆膜炎、小鹅瘟、禽霍乱、鸡白痢、禽伤寒、鸡败血支原体感染、鸡球虫病、低致病性禽流感、禽网状内皮组织增殖症；</w:t>
      </w:r>
    </w:p>
    <w:p w14:paraId="31F42ABF">
      <w:pPr>
        <w:spacing w:line="360" w:lineRule="auto"/>
        <w:ind w:firstLine="480" w:firstLineChars="200"/>
        <w:rPr>
          <w:color w:val="auto"/>
          <w:sz w:val="24"/>
        </w:rPr>
      </w:pPr>
      <w:r>
        <w:rPr>
          <w:color w:val="auto"/>
          <w:sz w:val="24"/>
        </w:rPr>
        <w:t>③三类疫病：鸡病毒性关节炎、禽传染性脑脊髓炎、传染性鼻炎、禽结核病。</w:t>
      </w:r>
    </w:p>
    <w:p w14:paraId="32B4C846">
      <w:pPr>
        <w:spacing w:line="360" w:lineRule="auto"/>
        <w:ind w:firstLine="480" w:firstLineChars="200"/>
        <w:rPr>
          <w:color w:val="auto"/>
          <w:sz w:val="24"/>
        </w:rPr>
      </w:pPr>
      <w:r>
        <w:rPr>
          <w:color w:val="auto"/>
          <w:sz w:val="24"/>
        </w:rPr>
        <w:t>对于患有以上动物疫病，以及其他危害到鸡只健康的传染性疫病，应视为动物疫病的发生，应及时按照国家相关法规启动应对措施。</w:t>
      </w:r>
    </w:p>
    <w:p w14:paraId="52E449D6">
      <w:pPr>
        <w:spacing w:line="360" w:lineRule="auto"/>
        <w:ind w:firstLine="480" w:firstLineChars="200"/>
        <w:rPr>
          <w:color w:val="auto"/>
          <w:sz w:val="24"/>
        </w:rPr>
      </w:pPr>
      <w:r>
        <w:rPr>
          <w:color w:val="auto"/>
          <w:sz w:val="24"/>
        </w:rPr>
        <w:t>本项目涉及产生的危险废物为医疗废物，固态，一旦因收集、暂存存在不当，危废间“三防”措施不妥善等，引发危险废物进入外环境会最环境造成较大的污染影响，对人体造成危害。</w:t>
      </w:r>
    </w:p>
    <w:p w14:paraId="399F3D30">
      <w:pPr>
        <w:pStyle w:val="4"/>
        <w:snapToGrid w:val="0"/>
        <w:spacing w:before="0"/>
        <w:rPr>
          <w:rFonts w:ascii="Times New Roman" w:hAnsi="Times New Roman" w:eastAsia="宋体"/>
          <w:bCs/>
          <w:color w:val="auto"/>
          <w:sz w:val="28"/>
          <w:szCs w:val="28"/>
        </w:rPr>
      </w:pPr>
      <w:bookmarkStart w:id="355" w:name="_Toc27481"/>
      <w:r>
        <w:rPr>
          <w:rFonts w:ascii="Times New Roman" w:hAnsi="Times New Roman" w:eastAsia="宋体"/>
          <w:bCs/>
          <w:color w:val="auto"/>
          <w:sz w:val="28"/>
          <w:szCs w:val="28"/>
        </w:rPr>
        <w:t>6.2.4环境风险分析</w:t>
      </w:r>
      <w:bookmarkEnd w:id="354"/>
      <w:r>
        <w:rPr>
          <w:rFonts w:ascii="Times New Roman" w:hAnsi="Times New Roman" w:eastAsia="宋体"/>
          <w:bCs/>
          <w:color w:val="auto"/>
          <w:sz w:val="28"/>
          <w:szCs w:val="28"/>
        </w:rPr>
        <w:t>与防范措施</w:t>
      </w:r>
      <w:bookmarkEnd w:id="355"/>
    </w:p>
    <w:p w14:paraId="2963C43E">
      <w:pPr>
        <w:pStyle w:val="52"/>
        <w:ind w:left="0" w:leftChars="0" w:firstLine="480" w:firstLineChars="200"/>
        <w:rPr>
          <w:color w:val="auto"/>
          <w:sz w:val="24"/>
        </w:rPr>
      </w:pPr>
      <w:r>
        <w:rPr>
          <w:color w:val="auto"/>
          <w:sz w:val="24"/>
        </w:rPr>
        <w:t>本项目运营期涉及的风险物质存在的环境风险分析如下</w:t>
      </w:r>
      <w:bookmarkStart w:id="356" w:name="_Toc30086"/>
      <w:r>
        <w:rPr>
          <w:color w:val="auto"/>
          <w:sz w:val="24"/>
        </w:rPr>
        <w:t>。</w:t>
      </w:r>
    </w:p>
    <w:p w14:paraId="64A27B10">
      <w:pPr>
        <w:pStyle w:val="52"/>
        <w:ind w:left="0" w:leftChars="0" w:firstLine="0" w:firstLineChars="0"/>
        <w:outlineLvl w:val="3"/>
        <w:rPr>
          <w:b/>
          <w:bCs/>
          <w:color w:val="auto"/>
          <w:sz w:val="24"/>
          <w:szCs w:val="22"/>
        </w:rPr>
      </w:pPr>
      <w:r>
        <w:rPr>
          <w:b/>
          <w:bCs/>
          <w:color w:val="auto"/>
          <w:sz w:val="24"/>
          <w:szCs w:val="22"/>
        </w:rPr>
        <w:t>6.2.4.1风险物质环境影响分析与防范措施</w:t>
      </w:r>
    </w:p>
    <w:p w14:paraId="4D4BE641">
      <w:pPr>
        <w:adjustRightInd w:val="0"/>
        <w:snapToGrid w:val="0"/>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对环境及人体的危害分析</w:t>
      </w:r>
    </w:p>
    <w:p w14:paraId="48528A86">
      <w:pPr>
        <w:adjustRightInd w:val="0"/>
        <w:snapToGrid w:val="0"/>
        <w:spacing w:line="360" w:lineRule="auto"/>
        <w:ind w:firstLine="480" w:firstLineChars="200"/>
        <w:rPr>
          <w:color w:val="auto"/>
          <w:sz w:val="24"/>
        </w:rPr>
      </w:pPr>
      <w:r>
        <w:rPr>
          <w:color w:val="auto"/>
          <w:sz w:val="24"/>
          <w:highlight w:val="none"/>
        </w:rPr>
        <w:t>本项目使用柴油</w:t>
      </w:r>
      <w:r>
        <w:rPr>
          <w:rFonts w:hint="eastAsia"/>
          <w:color w:val="auto"/>
          <w:sz w:val="24"/>
          <w:highlight w:val="none"/>
          <w:lang w:eastAsia="zh-CN"/>
        </w:rPr>
        <w:t>，</w:t>
      </w:r>
      <w:r>
        <w:rPr>
          <w:color w:val="auto"/>
          <w:sz w:val="24"/>
        </w:rPr>
        <w:t>在储存过程中一旦发生泄漏事故，</w:t>
      </w:r>
      <w:r>
        <w:rPr>
          <w:color w:val="auto"/>
          <w:kern w:val="0"/>
          <w:sz w:val="24"/>
        </w:rPr>
        <w:t>对水体和大气可造成污染，破坏水生生物呼吸系统，尤其是海藻</w:t>
      </w:r>
      <w:r>
        <w:rPr>
          <w:color w:val="auto"/>
          <w:sz w:val="24"/>
        </w:rPr>
        <w:t>，如果被人体</w:t>
      </w:r>
      <w:r>
        <w:rPr>
          <w:color w:val="auto"/>
          <w:kern w:val="0"/>
          <w:sz w:val="24"/>
        </w:rPr>
        <w:t>皮肤接触可致急性肾脏损害。引起接触性皮炎、油性痤疮；人体吸入其雾滴或液体呛入可引起吸入性肺炎；能经胎盘进入胎儿血中；废气可引起</w:t>
      </w:r>
      <w:r>
        <w:rPr>
          <w:color w:val="auto"/>
          <w:sz w:val="24"/>
        </w:rPr>
        <w:t>会出现</w:t>
      </w:r>
      <w:r>
        <w:rPr>
          <w:color w:val="auto"/>
          <w:kern w:val="0"/>
          <w:sz w:val="24"/>
        </w:rPr>
        <w:t>眼、鼻刺激、头晕及头痛症状</w:t>
      </w:r>
      <w:r>
        <w:rPr>
          <w:color w:val="auto"/>
          <w:sz w:val="24"/>
        </w:rPr>
        <w:t>。</w:t>
      </w:r>
    </w:p>
    <w:p w14:paraId="2B13D163">
      <w:pPr>
        <w:adjustRightInd w:val="0"/>
        <w:snapToGrid w:val="0"/>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风险物质泄漏防范措施</w:t>
      </w:r>
    </w:p>
    <w:p w14:paraId="78B895AA">
      <w:pPr>
        <w:adjustRightInd w:val="0"/>
        <w:snapToGrid w:val="0"/>
        <w:spacing w:line="360" w:lineRule="auto"/>
        <w:ind w:firstLine="480" w:firstLineChars="200"/>
        <w:rPr>
          <w:color w:val="auto"/>
          <w:sz w:val="24"/>
        </w:rPr>
      </w:pPr>
      <w:r>
        <w:rPr>
          <w:color w:val="auto"/>
          <w:sz w:val="24"/>
        </w:rPr>
        <w:t>1）物料运输风险防范措施</w:t>
      </w:r>
    </w:p>
    <w:p w14:paraId="754E9590">
      <w:pPr>
        <w:spacing w:line="360" w:lineRule="auto"/>
        <w:ind w:firstLine="480" w:firstLineChars="200"/>
        <w:rPr>
          <w:color w:val="auto"/>
          <w:sz w:val="24"/>
        </w:rPr>
      </w:pPr>
      <w:r>
        <w:rPr>
          <w:color w:val="auto"/>
          <w:sz w:val="24"/>
        </w:rPr>
        <w:t>所用的风险物质，在运输过程中具有一定的风险，因此在运输过程中应小心谨慎，必须委托有运输资质和经验丰富的运输单位承担，以确保运输安全。主要运输管理措施如下：</w:t>
      </w:r>
    </w:p>
    <w:p w14:paraId="035E8332">
      <w:pPr>
        <w:spacing w:line="360" w:lineRule="auto"/>
        <w:ind w:firstLine="480" w:firstLineChars="200"/>
        <w:rPr>
          <w:color w:val="auto"/>
          <w:sz w:val="24"/>
        </w:rPr>
      </w:pPr>
      <w:r>
        <w:rPr>
          <w:color w:val="auto"/>
          <w:sz w:val="24"/>
        </w:rPr>
        <w:fldChar w:fldCharType="begin"/>
      </w:r>
      <w:r>
        <w:rPr>
          <w:color w:val="auto"/>
          <w:sz w:val="24"/>
        </w:rPr>
        <w:instrText xml:space="preserve"> = 1 \* GB3 \* MERGEFORMAT </w:instrText>
      </w:r>
      <w:r>
        <w:rPr>
          <w:color w:val="auto"/>
          <w:sz w:val="24"/>
        </w:rPr>
        <w:fldChar w:fldCharType="separate"/>
      </w:r>
      <w:r>
        <w:rPr>
          <w:color w:val="auto"/>
        </w:rPr>
        <w:t>①</w:t>
      </w:r>
      <w:r>
        <w:rPr>
          <w:color w:val="auto"/>
          <w:sz w:val="24"/>
        </w:rPr>
        <w:fldChar w:fldCharType="end"/>
      </w:r>
      <w:r>
        <w:rPr>
          <w:color w:val="auto"/>
          <w:sz w:val="24"/>
        </w:rPr>
        <w:t>由专业有资质的运输单位使用专用设备进行运输。</w:t>
      </w:r>
    </w:p>
    <w:p w14:paraId="59BF48CF">
      <w:pPr>
        <w:spacing w:line="360" w:lineRule="auto"/>
        <w:ind w:firstLine="480" w:firstLineChars="200"/>
        <w:rPr>
          <w:color w:val="auto"/>
          <w:sz w:val="24"/>
        </w:rPr>
      </w:pPr>
      <w:r>
        <w:rPr>
          <w:color w:val="auto"/>
          <w:sz w:val="24"/>
        </w:rPr>
        <w:t>②合理规划运输路线，避免在车流和人流高峰时间运输。</w:t>
      </w:r>
    </w:p>
    <w:p w14:paraId="18F48869">
      <w:pPr>
        <w:spacing w:line="360" w:lineRule="auto"/>
        <w:ind w:firstLine="480" w:firstLineChars="200"/>
        <w:rPr>
          <w:color w:val="auto"/>
          <w:sz w:val="24"/>
        </w:rPr>
      </w:pPr>
      <w:r>
        <w:rPr>
          <w:color w:val="auto"/>
          <w:sz w:val="24"/>
        </w:rPr>
        <w:t>③运输前应先检查包装容器是否完整、密封，运输过程中要确保容器不泄漏、不倒塌、不坠落、不损坏。运输车辆应在明显位置使用规定的危险物品标志，并配备相应品种和数量的消防器材及泄漏应急处理设备，装运该物品的车辆排气管必须配备阻火装置，禁止使用易产生火花的机械设备和工具装卸。</w:t>
      </w:r>
    </w:p>
    <w:p w14:paraId="54FC1A3F">
      <w:pPr>
        <w:spacing w:line="360" w:lineRule="auto"/>
        <w:ind w:firstLine="480" w:firstLineChars="200"/>
        <w:rPr>
          <w:color w:val="auto"/>
          <w:sz w:val="24"/>
        </w:rPr>
      </w:pPr>
      <w:r>
        <w:rPr>
          <w:color w:val="auto"/>
          <w:sz w:val="24"/>
        </w:rPr>
        <w:t>④严禁与氧化剂、卤素、食用化学品等混装混运。</w:t>
      </w:r>
    </w:p>
    <w:p w14:paraId="1290E3C0">
      <w:pPr>
        <w:spacing w:line="360" w:lineRule="auto"/>
        <w:ind w:firstLine="480" w:firstLineChars="200"/>
        <w:rPr>
          <w:color w:val="auto"/>
          <w:sz w:val="24"/>
        </w:rPr>
      </w:pPr>
      <w:r>
        <w:rPr>
          <w:color w:val="auto"/>
          <w:sz w:val="24"/>
        </w:rPr>
        <w:fldChar w:fldCharType="begin"/>
      </w:r>
      <w:r>
        <w:rPr>
          <w:color w:val="auto"/>
          <w:sz w:val="24"/>
        </w:rPr>
        <w:instrText xml:space="preserve"> = 5 \* GB3 \* MERGEFORMAT </w:instrText>
      </w:r>
      <w:r>
        <w:rPr>
          <w:color w:val="auto"/>
          <w:sz w:val="24"/>
        </w:rPr>
        <w:fldChar w:fldCharType="separate"/>
      </w:r>
      <w:r>
        <w:rPr>
          <w:color w:val="auto"/>
        </w:rPr>
        <w:t>⑤</w:t>
      </w:r>
      <w:r>
        <w:rPr>
          <w:color w:val="auto"/>
          <w:sz w:val="24"/>
        </w:rPr>
        <w:fldChar w:fldCharType="end"/>
      </w:r>
      <w:r>
        <w:rPr>
          <w:color w:val="auto"/>
          <w:sz w:val="24"/>
        </w:rPr>
        <w:t>运输途中应防曝晒、雨淋，防高温，中途停留时应远离火种、热源、高温区。</w:t>
      </w:r>
    </w:p>
    <w:p w14:paraId="7906DE60">
      <w:pPr>
        <w:spacing w:line="360" w:lineRule="auto"/>
        <w:ind w:firstLine="480" w:firstLineChars="200"/>
        <w:rPr>
          <w:color w:val="auto"/>
          <w:sz w:val="24"/>
        </w:rPr>
      </w:pPr>
      <w:r>
        <w:rPr>
          <w:color w:val="auto"/>
          <w:sz w:val="24"/>
        </w:rPr>
        <w:t>⑥公路运输时要按规定路线行驶。</w:t>
      </w:r>
    </w:p>
    <w:p w14:paraId="1C4E04BB">
      <w:pPr>
        <w:spacing w:line="360" w:lineRule="auto"/>
        <w:ind w:firstLine="480" w:firstLineChars="200"/>
        <w:rPr>
          <w:color w:val="auto"/>
          <w:sz w:val="24"/>
        </w:rPr>
      </w:pPr>
      <w:r>
        <w:rPr>
          <w:color w:val="auto"/>
          <w:sz w:val="24"/>
        </w:rPr>
        <w:t>⑦运输过程中发生意外，在采取紧急处理方案的同时，必须迅速报告公安、环保等有关部门，必要时疏散群众，防止事态进一步扩大，并积极协助公安和消防人员抢救伤者和物资，使损失降低到最小程度。</w:t>
      </w:r>
    </w:p>
    <w:p w14:paraId="7EB62914">
      <w:pPr>
        <w:adjustRightInd w:val="0"/>
        <w:snapToGrid w:val="0"/>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2）</w:t>
      </w:r>
      <w:r>
        <w:rPr>
          <w:rFonts w:hint="eastAsia" w:ascii="Times New Roman" w:hAnsi="Times New Roman" w:eastAsia="宋体" w:cs="Times New Roman"/>
          <w:color w:val="auto"/>
          <w:sz w:val="24"/>
          <w:lang w:eastAsia="zh-CN"/>
        </w:rPr>
        <w:t>风险物质</w:t>
      </w:r>
      <w:r>
        <w:rPr>
          <w:rFonts w:ascii="Times New Roman" w:hAnsi="Times New Roman" w:eastAsia="宋体" w:cs="Times New Roman"/>
          <w:color w:val="auto"/>
          <w:sz w:val="24"/>
        </w:rPr>
        <w:t>贮存风险防范措施</w:t>
      </w:r>
    </w:p>
    <w:p w14:paraId="7851011A">
      <w:pPr>
        <w:pStyle w:val="68"/>
        <w:ind w:firstLine="480"/>
        <w:rPr>
          <w:color w:val="auto"/>
          <w:szCs w:val="24"/>
        </w:rPr>
      </w:pPr>
      <w:r>
        <w:rPr>
          <w:color w:val="auto"/>
          <w:szCs w:val="24"/>
        </w:rPr>
        <w:t>本项目对涉及到存储的风险物质</w:t>
      </w:r>
      <w:r>
        <w:rPr>
          <w:rFonts w:hint="eastAsia"/>
          <w:color w:val="auto"/>
          <w:szCs w:val="24"/>
          <w:lang w:eastAsia="zh-CN"/>
        </w:rPr>
        <w:t>为柴油，储存在配电室内，为桶装，</w:t>
      </w:r>
      <w:r>
        <w:rPr>
          <w:color w:val="auto"/>
          <w:szCs w:val="24"/>
        </w:rPr>
        <w:t>在存储位置四周设置围堰，围堰的容积满足</w:t>
      </w:r>
      <w:r>
        <w:rPr>
          <w:rFonts w:hint="eastAsia"/>
          <w:color w:val="auto"/>
          <w:szCs w:val="24"/>
          <w:lang w:eastAsia="zh-CN"/>
        </w:rPr>
        <w:t>柴油</w:t>
      </w:r>
      <w:r>
        <w:rPr>
          <w:color w:val="auto"/>
          <w:szCs w:val="24"/>
        </w:rPr>
        <w:t>最大储存容量，发生泄漏后直接渗入地下污染地下水和土壤的概率很低，如果发生泄漏，泄漏物质流入围堰内，可降低其扩散范围，降低危险性。</w:t>
      </w:r>
    </w:p>
    <w:p w14:paraId="4DCC82AC">
      <w:pPr>
        <w:pStyle w:val="68"/>
        <w:ind w:firstLine="480"/>
        <w:rPr>
          <w:color w:val="auto"/>
          <w:szCs w:val="24"/>
        </w:rPr>
      </w:pPr>
      <w:r>
        <w:rPr>
          <w:color w:val="auto"/>
          <w:szCs w:val="24"/>
        </w:rPr>
        <w:t>风险物质</w:t>
      </w:r>
      <w:r>
        <w:rPr>
          <w:color w:val="auto"/>
          <w:kern w:val="0"/>
          <w:szCs w:val="21"/>
        </w:rPr>
        <w:t>远离火种、热源；应与氧化剂、卤素分开存放，切忌混储；用防爆型照明、通风设施；禁止使用易产生火花的机械设备和工具；储区应备有泄漏应急处理设备和合适的收容材料</w:t>
      </w:r>
      <w:r>
        <w:rPr>
          <w:color w:val="auto"/>
          <w:szCs w:val="24"/>
        </w:rPr>
        <w:t>，并储备消防器材及应急救援物资。</w:t>
      </w:r>
    </w:p>
    <w:p w14:paraId="6F13E276">
      <w:pPr>
        <w:pStyle w:val="276"/>
        <w:ind w:left="0" w:leftChars="0" w:firstLine="0" w:firstLineChars="0"/>
        <w:rPr>
          <w:b/>
          <w:color w:val="auto"/>
        </w:rPr>
      </w:pPr>
      <w:r>
        <w:rPr>
          <w:b/>
          <w:color w:val="auto"/>
        </w:rPr>
        <w:t>6.2.4.2项目生产环境风险分析与防范措施</w:t>
      </w:r>
    </w:p>
    <w:p w14:paraId="24B03BE3">
      <w:pPr>
        <w:spacing w:line="360" w:lineRule="auto"/>
        <w:ind w:firstLine="480" w:firstLineChars="200"/>
        <w:rPr>
          <w:color w:val="auto"/>
          <w:sz w:val="24"/>
        </w:rPr>
      </w:pPr>
      <w:r>
        <w:rPr>
          <w:color w:val="auto"/>
          <w:sz w:val="24"/>
        </w:rPr>
        <w:t>废水事故排放对环境的影响分析与防范措施：</w:t>
      </w:r>
    </w:p>
    <w:p w14:paraId="28B3B3DC">
      <w:pPr>
        <w:spacing w:line="360" w:lineRule="auto"/>
        <w:ind w:firstLine="480" w:firstLineChars="200"/>
        <w:rPr>
          <w:color w:val="auto"/>
          <w:sz w:val="24"/>
        </w:rPr>
      </w:pPr>
      <w:r>
        <w:rPr>
          <w:color w:val="auto"/>
          <w:sz w:val="24"/>
        </w:rPr>
        <w:t>本项目废水事故排放对环境的影响主要包括对地表水、地下水、土壤、大气产生污染性影响，废水收集设施出现下渗对地下水环境的影响。</w:t>
      </w:r>
    </w:p>
    <w:p w14:paraId="72AB155E">
      <w:pPr>
        <w:spacing w:line="360" w:lineRule="auto"/>
        <w:ind w:firstLine="480" w:firstLineChars="200"/>
        <w:rPr>
          <w:color w:val="auto"/>
          <w:sz w:val="24"/>
        </w:rPr>
      </w:pPr>
      <w:r>
        <w:rPr>
          <w:color w:val="auto"/>
          <w:sz w:val="24"/>
        </w:rPr>
        <w:t>①地表水环境污染影响分析</w:t>
      </w:r>
    </w:p>
    <w:p w14:paraId="53C11FCA">
      <w:pPr>
        <w:spacing w:line="360" w:lineRule="auto"/>
        <w:ind w:firstLine="480" w:firstLineChars="200"/>
        <w:rPr>
          <w:color w:val="auto"/>
          <w:sz w:val="24"/>
        </w:rPr>
      </w:pPr>
      <w:r>
        <w:rPr>
          <w:color w:val="auto"/>
          <w:sz w:val="24"/>
        </w:rPr>
        <w:t>畜禽养殖场中高浓度、未经处理的污水进入自然水体后，使水中固体悬浮物（SS）</w:t>
      </w:r>
      <w:r>
        <w:rPr>
          <w:rFonts w:hint="eastAsia"/>
          <w:color w:val="auto"/>
          <w:sz w:val="24"/>
          <w:lang w:eastAsia="zh-CN"/>
        </w:rPr>
        <w:t>、</w:t>
      </w:r>
      <w:r>
        <w:rPr>
          <w:color w:val="auto"/>
          <w:sz w:val="24"/>
        </w:rPr>
        <w:t>有机物和微生物含量升高，改变水体的物理、化学和生物群落组成，使水质变坏。粪污中含有大量的病原微生物将通过水体或通过水生动植物进行扩散传播，危害人畜健康。</w:t>
      </w:r>
    </w:p>
    <w:p w14:paraId="1123EB82">
      <w:pPr>
        <w:spacing w:line="360" w:lineRule="auto"/>
        <w:ind w:firstLine="480" w:firstLineChars="200"/>
        <w:rPr>
          <w:color w:val="auto"/>
          <w:sz w:val="24"/>
        </w:rPr>
      </w:pPr>
      <w:r>
        <w:rPr>
          <w:color w:val="auto"/>
          <w:sz w:val="24"/>
        </w:rPr>
        <w:t>此外，粪污中有机物生物降解和水生生物的繁殖大量消耗水体溶解氧（DO），使水体变黑发臭，水生生物死亡，发生水体“富营养化”，这种水体将不可能再得到恢复。</w:t>
      </w:r>
    </w:p>
    <w:p w14:paraId="5897D07E">
      <w:pPr>
        <w:spacing w:line="360" w:lineRule="auto"/>
        <w:ind w:firstLine="480" w:firstLineChars="200"/>
        <w:rPr>
          <w:color w:val="auto"/>
          <w:sz w:val="24"/>
        </w:rPr>
      </w:pPr>
      <w:r>
        <w:rPr>
          <w:color w:val="auto"/>
          <w:sz w:val="24"/>
        </w:rPr>
        <w:t>建设单位应采取切实有效的废水收集系统风险防范措施，以杜绝废水事故排放对地表的影响。</w:t>
      </w:r>
    </w:p>
    <w:p w14:paraId="04834D0D">
      <w:pPr>
        <w:spacing w:line="360" w:lineRule="auto"/>
        <w:ind w:firstLine="480" w:firstLineChars="200"/>
        <w:rPr>
          <w:color w:val="auto"/>
          <w:sz w:val="24"/>
        </w:rPr>
      </w:pPr>
      <w:r>
        <w:rPr>
          <w:color w:val="auto"/>
          <w:sz w:val="24"/>
        </w:rPr>
        <w:t>②地下水环境污染影响分析</w:t>
      </w:r>
    </w:p>
    <w:p w14:paraId="26597004">
      <w:pPr>
        <w:spacing w:line="360" w:lineRule="auto"/>
        <w:ind w:firstLine="480" w:firstLineChars="200"/>
        <w:rPr>
          <w:color w:val="auto"/>
          <w:sz w:val="24"/>
        </w:rPr>
      </w:pPr>
      <w:r>
        <w:rPr>
          <w:color w:val="auto"/>
          <w:sz w:val="24"/>
          <w:highlight w:val="none"/>
        </w:rPr>
        <w:t>未经处理的废水直排或作为粪肥直接灌溉土壤，</w:t>
      </w:r>
      <w:r>
        <w:rPr>
          <w:color w:val="auto"/>
          <w:sz w:val="24"/>
        </w:rPr>
        <w:t>部分氮、磷不仅随地表水或水体流失流入江河污染地表水，且会渗入地下污染地下水。</w:t>
      </w:r>
      <w:r>
        <w:rPr>
          <w:rFonts w:hint="eastAsia"/>
          <w:color w:val="auto"/>
          <w:sz w:val="24"/>
          <w:lang w:eastAsia="zh-CN"/>
        </w:rPr>
        <w:t>废水收集池、临时储粪场</w:t>
      </w:r>
      <w:r>
        <w:rPr>
          <w:color w:val="auto"/>
          <w:sz w:val="24"/>
        </w:rPr>
        <w:t>出现下渗时，渗滤液将会渗入地下污染地下水，废水及渗滤液的有毒、有害成分进入地下水中，会使地下水溶解氧含量减少，水质中有毒成分增多，严重时使水体发黑、变臭、失去使用价值。一旦污染了地下水，将极难治理恢复，造成较持久性的污染。</w:t>
      </w:r>
    </w:p>
    <w:p w14:paraId="640F9907">
      <w:pPr>
        <w:pStyle w:val="23"/>
        <w:autoSpaceDE w:val="0"/>
        <w:autoSpaceDN w:val="0"/>
        <w:spacing w:after="0" w:line="360" w:lineRule="auto"/>
        <w:ind w:firstLine="480" w:firstLineChars="200"/>
        <w:rPr>
          <w:color w:val="auto"/>
        </w:rPr>
      </w:pPr>
      <w:r>
        <w:rPr>
          <w:color w:val="auto"/>
          <w:sz w:val="24"/>
        </w:rPr>
        <w:t>可见事故排污对环境的危害极大，应坚决杜绝本项目废水事故排放及设施渗透事故的发生。一旦出现</w:t>
      </w:r>
      <w:r>
        <w:rPr>
          <w:rFonts w:hint="eastAsia"/>
          <w:color w:val="auto"/>
          <w:sz w:val="24"/>
          <w:lang w:eastAsia="zh-CN"/>
        </w:rPr>
        <w:t>废水泄漏</w:t>
      </w:r>
      <w:r>
        <w:rPr>
          <w:color w:val="auto"/>
          <w:sz w:val="24"/>
        </w:rPr>
        <w:t>事故，应该立即停止</w:t>
      </w:r>
      <w:r>
        <w:rPr>
          <w:rFonts w:hint="eastAsia"/>
          <w:color w:val="auto"/>
          <w:sz w:val="24"/>
          <w:lang w:eastAsia="zh-CN"/>
        </w:rPr>
        <w:t>鸡舍冲洗</w:t>
      </w:r>
      <w:r>
        <w:rPr>
          <w:color w:val="auto"/>
          <w:sz w:val="24"/>
        </w:rPr>
        <w:t>，将</w:t>
      </w:r>
      <w:r>
        <w:rPr>
          <w:rFonts w:hint="eastAsia"/>
          <w:color w:val="auto"/>
          <w:sz w:val="24"/>
        </w:rPr>
        <w:t>养殖废水</w:t>
      </w:r>
      <w:r>
        <w:rPr>
          <w:rFonts w:hint="eastAsia"/>
          <w:color w:val="auto"/>
          <w:sz w:val="24"/>
          <w:lang w:eastAsia="zh-CN"/>
        </w:rPr>
        <w:t>收集到</w:t>
      </w:r>
      <w:r>
        <w:rPr>
          <w:color w:val="auto"/>
          <w:sz w:val="24"/>
        </w:rPr>
        <w:t>有防渗措施的</w:t>
      </w:r>
      <w:r>
        <w:rPr>
          <w:rFonts w:hint="eastAsia"/>
          <w:color w:val="auto"/>
          <w:sz w:val="24"/>
          <w:lang w:eastAsia="zh-CN"/>
        </w:rPr>
        <w:t>废水收集池内</w:t>
      </w:r>
      <w:r>
        <w:rPr>
          <w:color w:val="auto"/>
          <w:sz w:val="24"/>
        </w:rPr>
        <w:t>，</w:t>
      </w:r>
      <w:r>
        <w:rPr>
          <w:rFonts w:hint="eastAsia"/>
          <w:color w:val="auto"/>
          <w:sz w:val="24"/>
          <w:lang w:eastAsia="zh-CN"/>
        </w:rPr>
        <w:t>立即转移到罐车外运至辰泰（辽宁）生物科技有限公司制作有机肥</w:t>
      </w:r>
      <w:r>
        <w:rPr>
          <w:color w:val="auto"/>
          <w:sz w:val="24"/>
        </w:rPr>
        <w:t>，不外排。根据</w:t>
      </w:r>
      <w:r>
        <w:rPr>
          <w:rFonts w:hint="eastAsia"/>
          <w:color w:val="auto"/>
          <w:sz w:val="24"/>
        </w:rPr>
        <w:t>前文</w:t>
      </w:r>
      <w:r>
        <w:rPr>
          <w:color w:val="auto"/>
          <w:sz w:val="24"/>
        </w:rPr>
        <w:t>非正常状况下对地下水的预测结果，污染物最大影响距离可至447m（1000d），</w:t>
      </w:r>
      <w:r>
        <w:rPr>
          <w:rFonts w:hint="eastAsia"/>
          <w:color w:val="auto"/>
          <w:sz w:val="24"/>
        </w:rPr>
        <w:t>447m范围内无</w:t>
      </w:r>
      <w:r>
        <w:rPr>
          <w:color w:val="auto"/>
          <w:sz w:val="24"/>
        </w:rPr>
        <w:t>分散式水井。因此，在非正常状况发生后，需及时采取应急措施，截断污染源，并对污染源防渗进行修复，将废水对周边地下水的影响降至最小。建设单位需应加强废水管理，减少跑、冒、滴、漏，并设置有效的地下水监测措施，杜绝非正常状况发生。</w:t>
      </w:r>
    </w:p>
    <w:p w14:paraId="63EE0AD4">
      <w:pPr>
        <w:spacing w:line="360" w:lineRule="auto"/>
        <w:ind w:firstLine="480" w:firstLineChars="200"/>
        <w:rPr>
          <w:color w:val="auto"/>
          <w:sz w:val="24"/>
        </w:rPr>
      </w:pPr>
      <w:r>
        <w:rPr>
          <w:color w:val="auto"/>
          <w:sz w:val="24"/>
        </w:rPr>
        <w:t>③土壤环境污染影响分析</w:t>
      </w:r>
    </w:p>
    <w:p w14:paraId="1CBA9892">
      <w:pPr>
        <w:spacing w:line="360" w:lineRule="auto"/>
        <w:ind w:firstLine="480" w:firstLineChars="200"/>
        <w:rPr>
          <w:rFonts w:hint="eastAsia" w:eastAsia="宋体"/>
          <w:color w:val="auto"/>
          <w:sz w:val="24"/>
          <w:lang w:eastAsia="zh-CN"/>
        </w:rPr>
      </w:pPr>
      <w:r>
        <w:rPr>
          <w:color w:val="auto"/>
          <w:sz w:val="24"/>
        </w:rPr>
        <w:t>未经处理的</w:t>
      </w:r>
      <w:r>
        <w:rPr>
          <w:rFonts w:hint="eastAsia"/>
          <w:color w:val="auto"/>
          <w:sz w:val="24"/>
        </w:rPr>
        <w:t>养殖</w:t>
      </w:r>
      <w:r>
        <w:rPr>
          <w:color w:val="auto"/>
          <w:sz w:val="24"/>
        </w:rPr>
        <w:t>废水中高浓度的有机物和氨氮会使土壤环境质量严重恶化。当废水排放超过了土壤的自净能力，便会出现降解不完全和厌氧腐解，产生恶臭物质和亚硝酸盐等有害物质，引起土壤的组成和性状发生改变，破坏其原有的基本功能；作物徒长、倒伏、晚熟或不熟，造成减产、甚至毒害作物使之出现大面积腐烂。此外，土壤对病原微生物的自净能力下降，不仅增加了净化难度，而且易造成生物污染和疫病传播。</w:t>
      </w:r>
      <w:r>
        <w:rPr>
          <w:rFonts w:hint="eastAsia"/>
          <w:color w:val="auto"/>
          <w:sz w:val="24"/>
          <w:lang w:eastAsia="zh-CN"/>
        </w:rPr>
        <w:t>本项目养殖废水由罐车运至辰泰（辽宁）生物科技有限公司制作有机肥，无直接或间接接触土壤的途径，因此对土壤环境影响较小。</w:t>
      </w:r>
    </w:p>
    <w:p w14:paraId="207A056C">
      <w:pPr>
        <w:spacing w:line="360" w:lineRule="auto"/>
        <w:ind w:firstLine="480" w:firstLineChars="200"/>
        <w:rPr>
          <w:color w:val="auto"/>
          <w:sz w:val="24"/>
        </w:rPr>
      </w:pPr>
      <w:r>
        <w:rPr>
          <w:color w:val="auto"/>
          <w:sz w:val="24"/>
        </w:rPr>
        <w:t>④大气环境污染影响分析</w:t>
      </w:r>
    </w:p>
    <w:p w14:paraId="3C283F0B">
      <w:pPr>
        <w:spacing w:line="360" w:lineRule="auto"/>
        <w:ind w:firstLine="480" w:firstLineChars="200"/>
        <w:rPr>
          <w:color w:val="auto"/>
          <w:sz w:val="24"/>
        </w:rPr>
      </w:pPr>
      <w:r>
        <w:rPr>
          <w:color w:val="auto"/>
          <w:sz w:val="24"/>
        </w:rPr>
        <w:t>未经处理的</w:t>
      </w:r>
      <w:r>
        <w:rPr>
          <w:rFonts w:hint="eastAsia"/>
          <w:color w:val="auto"/>
          <w:sz w:val="24"/>
        </w:rPr>
        <w:t>养殖</w:t>
      </w:r>
      <w:r>
        <w:rPr>
          <w:color w:val="auto"/>
          <w:sz w:val="24"/>
        </w:rPr>
        <w:t>废水会散发出高浓度的恶臭气体，造成空气中含氧量相对下降，污浊度升高，轻则降低空气质量、产生异味妨碍人畜健康生存；重则引起呼吸系统的疾病。未经任何处理的鸡场废水中含有大量的微生物，在风的作用下极易扩散到空气中，可引起口蹄疫和大肠埃希菌、炭疽、布氏杆菌、真菌胞子等引起的疫病传播，危害人和动物健康。</w:t>
      </w:r>
    </w:p>
    <w:p w14:paraId="0B21C9FF">
      <w:pPr>
        <w:pStyle w:val="366"/>
        <w:spacing w:line="360" w:lineRule="auto"/>
        <w:ind w:firstLine="480" w:firstLineChars="200"/>
        <w:rPr>
          <w:color w:val="auto"/>
          <w:sz w:val="24"/>
        </w:rPr>
      </w:pPr>
      <w:r>
        <w:rPr>
          <w:rFonts w:hint="eastAsia"/>
          <w:color w:val="auto"/>
          <w:sz w:val="24"/>
          <w:highlight w:val="none"/>
        </w:rPr>
        <w:fldChar w:fldCharType="begin"/>
      </w:r>
      <w:r>
        <w:rPr>
          <w:rFonts w:hint="eastAsia"/>
          <w:color w:val="auto"/>
          <w:sz w:val="24"/>
          <w:highlight w:val="none"/>
        </w:rPr>
        <w:instrText xml:space="preserve"> = 5 \* GB3 \* MERGEFORMAT </w:instrText>
      </w:r>
      <w:r>
        <w:rPr>
          <w:rFonts w:hint="eastAsia"/>
          <w:color w:val="auto"/>
          <w:sz w:val="24"/>
          <w:highlight w:val="none"/>
        </w:rPr>
        <w:fldChar w:fldCharType="separate"/>
      </w:r>
      <w:r>
        <w:rPr>
          <w:color w:val="auto"/>
        </w:rPr>
        <w:t>⑤</w:t>
      </w:r>
      <w:r>
        <w:rPr>
          <w:rFonts w:hint="eastAsia"/>
          <w:color w:val="auto"/>
          <w:sz w:val="24"/>
          <w:highlight w:val="none"/>
        </w:rPr>
        <w:fldChar w:fldCharType="end"/>
      </w:r>
      <w:r>
        <w:rPr>
          <w:rFonts w:hint="eastAsia"/>
          <w:color w:val="auto"/>
          <w:sz w:val="24"/>
        </w:rPr>
        <w:t>三级防控</w:t>
      </w:r>
    </w:p>
    <w:p w14:paraId="4615E675">
      <w:pPr>
        <w:spacing w:line="360" w:lineRule="auto"/>
        <w:ind w:firstLine="480" w:firstLineChars="200"/>
        <w:rPr>
          <w:color w:val="auto"/>
          <w:sz w:val="24"/>
        </w:rPr>
      </w:pPr>
      <w:r>
        <w:rPr>
          <w:rFonts w:hint="eastAsia"/>
          <w:color w:val="auto"/>
          <w:sz w:val="24"/>
        </w:rPr>
        <w:t>（1）一级预防与控制体系</w:t>
      </w:r>
    </w:p>
    <w:p w14:paraId="02002801">
      <w:pPr>
        <w:spacing w:line="360" w:lineRule="auto"/>
        <w:ind w:firstLine="480" w:firstLineChars="200"/>
        <w:rPr>
          <w:color w:val="auto"/>
          <w:sz w:val="24"/>
          <w:highlight w:val="yellow"/>
        </w:rPr>
      </w:pPr>
      <w:r>
        <w:rPr>
          <w:rFonts w:hint="eastAsia"/>
          <w:color w:val="auto"/>
          <w:sz w:val="24"/>
        </w:rPr>
        <w:t>项目</w:t>
      </w:r>
      <w:r>
        <w:rPr>
          <w:rFonts w:hint="eastAsia"/>
          <w:color w:val="auto"/>
          <w:sz w:val="24"/>
          <w:lang w:eastAsia="zh-CN"/>
        </w:rPr>
        <w:t>柴油储存在配电室，储存位置设置围堰，</w:t>
      </w:r>
      <w:r>
        <w:rPr>
          <w:rFonts w:hint="eastAsia"/>
          <w:color w:val="auto"/>
          <w:sz w:val="24"/>
        </w:rPr>
        <w:t>地面采用混凝土防渗，可满足防渗要求。</w:t>
      </w:r>
    </w:p>
    <w:p w14:paraId="520F21D4">
      <w:pPr>
        <w:spacing w:line="360" w:lineRule="auto"/>
        <w:ind w:firstLine="480" w:firstLineChars="200"/>
        <w:rPr>
          <w:color w:val="auto"/>
          <w:sz w:val="24"/>
        </w:rPr>
      </w:pPr>
      <w:r>
        <w:rPr>
          <w:rFonts w:hint="eastAsia"/>
          <w:color w:val="auto"/>
          <w:sz w:val="24"/>
        </w:rPr>
        <w:t>（2）二级预防与防控体系</w:t>
      </w:r>
    </w:p>
    <w:p w14:paraId="25CB69F9">
      <w:pPr>
        <w:spacing w:line="360" w:lineRule="auto"/>
        <w:ind w:firstLine="480" w:firstLineChars="200"/>
        <w:rPr>
          <w:color w:val="auto"/>
          <w:sz w:val="24"/>
        </w:rPr>
      </w:pPr>
      <w:r>
        <w:rPr>
          <w:rFonts w:hint="eastAsia"/>
          <w:color w:val="auto"/>
          <w:sz w:val="24"/>
        </w:rPr>
        <w:t>项目</w:t>
      </w:r>
      <w:r>
        <w:rPr>
          <w:rFonts w:hint="eastAsia"/>
          <w:color w:val="auto"/>
          <w:sz w:val="24"/>
          <w:lang w:eastAsia="zh-CN"/>
        </w:rPr>
        <w:t>养殖废水配套设置废水收集池，容积满足鸡舍冲洗废水量的要求，池底及池体采用混凝土防渗，可满足防渗要求</w:t>
      </w:r>
      <w:r>
        <w:rPr>
          <w:rFonts w:hint="eastAsia"/>
          <w:color w:val="auto"/>
          <w:sz w:val="24"/>
        </w:rPr>
        <w:t>。</w:t>
      </w:r>
    </w:p>
    <w:p w14:paraId="30A6C8A2">
      <w:pPr>
        <w:spacing w:line="360" w:lineRule="auto"/>
        <w:ind w:firstLine="480" w:firstLineChars="200"/>
        <w:rPr>
          <w:color w:val="auto"/>
          <w:sz w:val="24"/>
        </w:rPr>
      </w:pPr>
      <w:r>
        <w:rPr>
          <w:rFonts w:hint="eastAsia"/>
          <w:color w:val="auto"/>
          <w:sz w:val="24"/>
        </w:rPr>
        <w:t>（3）三级预防与防控体系</w:t>
      </w:r>
    </w:p>
    <w:p w14:paraId="7CB413E5">
      <w:pPr>
        <w:pStyle w:val="366"/>
        <w:spacing w:line="360" w:lineRule="auto"/>
        <w:ind w:firstLine="480" w:firstLineChars="200"/>
        <w:rPr>
          <w:rFonts w:ascii="Times New Roman" w:cs="Times New Roman"/>
          <w:color w:val="auto"/>
        </w:rPr>
      </w:pPr>
      <w:r>
        <w:rPr>
          <w:rFonts w:hint="eastAsia" w:ascii="Times New Roman" w:cs="Times New Roman"/>
          <w:color w:val="auto"/>
          <w:lang w:eastAsia="zh-CN"/>
        </w:rPr>
        <w:t>在厂区内地势最低处</w:t>
      </w:r>
      <w:r>
        <w:rPr>
          <w:rFonts w:hint="eastAsia" w:ascii="Times New Roman" w:cs="Times New Roman"/>
          <w:color w:val="auto"/>
        </w:rPr>
        <w:t>设置</w:t>
      </w:r>
      <w:r>
        <w:rPr>
          <w:rFonts w:hint="eastAsia" w:ascii="Times New Roman" w:cs="Times New Roman"/>
          <w:color w:val="auto"/>
          <w:lang w:val="en-US" w:eastAsia="zh-CN"/>
        </w:rPr>
        <w:t>1座</w:t>
      </w:r>
      <w:r>
        <w:rPr>
          <w:rFonts w:hint="eastAsia" w:ascii="Times New Roman" w:cs="Times New Roman"/>
          <w:color w:val="auto"/>
        </w:rPr>
        <w:t>事故池（</w:t>
      </w:r>
      <w:r>
        <w:rPr>
          <w:rFonts w:hint="eastAsia" w:ascii="Times New Roman" w:cs="Times New Roman"/>
          <w:color w:val="auto"/>
          <w:lang w:val="en-US" w:eastAsia="zh-CN"/>
        </w:rPr>
        <w:t>1</w:t>
      </w:r>
      <w:r>
        <w:rPr>
          <w:rFonts w:hint="eastAsia" w:ascii="Times New Roman" w:cs="Times New Roman"/>
          <w:color w:val="auto"/>
        </w:rPr>
        <w:t>50m</w:t>
      </w:r>
      <w:r>
        <w:rPr>
          <w:rFonts w:hint="eastAsia" w:ascii="Times New Roman" w:cs="Times New Roman"/>
          <w:color w:val="auto"/>
          <w:vertAlign w:val="superscript"/>
        </w:rPr>
        <w:t>3</w:t>
      </w:r>
      <w:r>
        <w:rPr>
          <w:rFonts w:hint="eastAsia" w:ascii="Times New Roman" w:cs="Times New Roman"/>
          <w:color w:val="auto"/>
        </w:rPr>
        <w:t>），将发生事故时消防废水阻挡在厂区内。</w:t>
      </w:r>
    </w:p>
    <w:p w14:paraId="7D18B6CF">
      <w:pPr>
        <w:pStyle w:val="366"/>
        <w:spacing w:line="360" w:lineRule="auto"/>
        <w:ind w:firstLine="480" w:firstLineChars="200"/>
        <w:rPr>
          <w:rFonts w:ascii="Times New Roman" w:cs="Times New Roman"/>
          <w:color w:val="auto"/>
        </w:rPr>
      </w:pPr>
      <w:r>
        <w:rPr>
          <w:rFonts w:hint="eastAsia"/>
          <w:color w:val="auto"/>
          <w:sz w:val="24"/>
        </w:rPr>
        <w:fldChar w:fldCharType="begin"/>
      </w:r>
      <w:r>
        <w:rPr>
          <w:rFonts w:hint="eastAsia"/>
          <w:color w:val="auto"/>
          <w:sz w:val="24"/>
        </w:rPr>
        <w:instrText xml:space="preserve"> = 6 \* GB3 \* MERGEFORMAT </w:instrText>
      </w:r>
      <w:r>
        <w:rPr>
          <w:rFonts w:hint="eastAsia"/>
          <w:color w:val="auto"/>
          <w:sz w:val="24"/>
        </w:rPr>
        <w:fldChar w:fldCharType="separate"/>
      </w:r>
      <w:r>
        <w:rPr>
          <w:color w:val="auto"/>
        </w:rPr>
        <w:t>⑥</w:t>
      </w:r>
      <w:r>
        <w:rPr>
          <w:rFonts w:hint="eastAsia"/>
          <w:color w:val="auto"/>
          <w:sz w:val="24"/>
        </w:rPr>
        <w:fldChar w:fldCharType="end"/>
      </w:r>
      <w:r>
        <w:rPr>
          <w:rFonts w:ascii="Times New Roman" w:cs="Times New Roman"/>
          <w:color w:val="auto"/>
        </w:rPr>
        <w:t>事故废水环境风险防范措施</w:t>
      </w:r>
    </w:p>
    <w:p w14:paraId="7802635F">
      <w:pPr>
        <w:pStyle w:val="366"/>
        <w:spacing w:line="360" w:lineRule="auto"/>
        <w:ind w:firstLine="480" w:firstLineChars="200"/>
        <w:rPr>
          <w:rFonts w:ascii="Times New Roman" w:cs="Times New Roman"/>
          <w:color w:val="auto"/>
        </w:rPr>
      </w:pPr>
      <w:r>
        <w:rPr>
          <w:rFonts w:hint="eastAsia" w:ascii="Times New Roman" w:cs="Times New Roman"/>
          <w:color w:val="auto"/>
        </w:rPr>
        <w:t>根据《建设项目环境风险评价技术导则》（HJ69-2018）要求，建设项目应设置事故废水收集（尽可能以非动力自流方式）和应急储存设施，以满足事故状态下收集泄漏物料、污染消防水和污染雨水的需要。</w:t>
      </w:r>
    </w:p>
    <w:p w14:paraId="066BD926">
      <w:pPr>
        <w:pStyle w:val="366"/>
        <w:spacing w:line="360" w:lineRule="auto"/>
        <w:ind w:firstLine="480" w:firstLineChars="200"/>
        <w:rPr>
          <w:rFonts w:ascii="Times New Roman" w:cs="Times New Roman"/>
          <w:color w:val="auto"/>
        </w:rPr>
      </w:pPr>
      <w:r>
        <w:rPr>
          <w:rFonts w:hint="eastAsia" w:ascii="Times New Roman" w:cs="Times New Roman"/>
          <w:color w:val="auto"/>
        </w:rPr>
        <w:t>本项目事故废水的环境风险主要为</w:t>
      </w:r>
      <w:r>
        <w:rPr>
          <w:rFonts w:hint="eastAsia" w:ascii="Times New Roman" w:cs="Times New Roman"/>
          <w:color w:val="auto"/>
          <w:lang w:eastAsia="zh-CN"/>
        </w:rPr>
        <w:t>养殖废水</w:t>
      </w:r>
      <w:r>
        <w:rPr>
          <w:rFonts w:hint="eastAsia" w:ascii="Times New Roman" w:cs="Times New Roman"/>
          <w:color w:val="auto"/>
        </w:rPr>
        <w:t>、</w:t>
      </w:r>
      <w:r>
        <w:rPr>
          <w:rFonts w:hint="eastAsia" w:ascii="Times New Roman" w:cs="Times New Roman"/>
          <w:color w:val="auto"/>
          <w:lang w:val="en-US" w:eastAsia="zh-CN"/>
        </w:rPr>
        <w:t>医疗废物</w:t>
      </w:r>
      <w:r>
        <w:rPr>
          <w:rFonts w:hint="eastAsia" w:ascii="Times New Roman" w:cs="Times New Roman"/>
          <w:color w:val="auto"/>
        </w:rPr>
        <w:t>泄露。厂房均为标准化</w:t>
      </w:r>
      <w:r>
        <w:rPr>
          <w:rFonts w:hint="eastAsia" w:ascii="Times New Roman" w:cs="Times New Roman"/>
          <w:color w:val="auto"/>
          <w:lang w:eastAsia="zh-CN"/>
        </w:rPr>
        <w:t>鸡舍</w:t>
      </w:r>
      <w:r>
        <w:rPr>
          <w:rFonts w:hint="eastAsia" w:ascii="Times New Roman" w:cs="Times New Roman"/>
          <w:color w:val="auto"/>
        </w:rPr>
        <w:t>，</w:t>
      </w:r>
      <w:r>
        <w:rPr>
          <w:rFonts w:hint="eastAsia" w:ascii="Times New Roman" w:cs="Times New Roman"/>
          <w:color w:val="auto"/>
          <w:lang w:eastAsia="zh-CN"/>
        </w:rPr>
        <w:t>鸡舍</w:t>
      </w:r>
      <w:r>
        <w:rPr>
          <w:rFonts w:hint="eastAsia" w:ascii="Times New Roman" w:cs="Times New Roman"/>
          <w:color w:val="auto"/>
        </w:rPr>
        <w:t>顶部设有雨水收集管道，顶部的雨水经管道收集后统一外排（房顶不涉及水性墨等污染物质，雨水中不含污染物质，故可直接排放），柴油</w:t>
      </w:r>
      <w:r>
        <w:rPr>
          <w:rFonts w:hint="eastAsia" w:ascii="Times New Roman" w:cs="Times New Roman"/>
          <w:color w:val="auto"/>
          <w:lang w:eastAsia="zh-CN"/>
        </w:rPr>
        <w:t>桶储存区</w:t>
      </w:r>
      <w:r>
        <w:rPr>
          <w:rFonts w:hint="eastAsia" w:ascii="Times New Roman" w:cs="Times New Roman"/>
          <w:color w:val="auto"/>
        </w:rPr>
        <w:t>设置围堰，围堰的容积符合国家有关要求，并且能够满足收集泄露物料的需求。</w:t>
      </w:r>
    </w:p>
    <w:p w14:paraId="10674417">
      <w:pPr>
        <w:pStyle w:val="366"/>
        <w:spacing w:line="360" w:lineRule="auto"/>
        <w:ind w:firstLine="480" w:firstLineChars="200"/>
        <w:rPr>
          <w:rFonts w:ascii="Times New Roman" w:cs="Times New Roman"/>
          <w:color w:val="auto"/>
          <w:highlight w:val="none"/>
        </w:rPr>
      </w:pPr>
      <w:r>
        <w:rPr>
          <w:rFonts w:hint="eastAsia" w:ascii="Times New Roman" w:cs="Times New Roman"/>
          <w:color w:val="auto"/>
          <w:highlight w:val="none"/>
        </w:rPr>
        <w:t>a.围堰规模设计</w:t>
      </w:r>
    </w:p>
    <w:p w14:paraId="65F134F2">
      <w:pPr>
        <w:keepNext w:val="0"/>
        <w:keepLines w:val="0"/>
        <w:pageBreakBefore w:val="0"/>
        <w:widowControl w:val="0"/>
        <w:tabs>
          <w:tab w:val="left" w:pos="480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根据</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危险废物贮存污染控制标准</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GB18597</w:t>
      </w:r>
      <w:r>
        <w:rPr>
          <w:rFonts w:hint="default" w:ascii="Times New Roman" w:hAnsi="Times New Roman" w:eastAsia="宋体" w:cs="Times New Roman"/>
          <w:color w:val="auto"/>
          <w:sz w:val="24"/>
          <w:szCs w:val="24"/>
          <w:highlight w:val="none"/>
          <w:lang w:val="en-US" w:eastAsia="zh-CN"/>
        </w:rPr>
        <w:t>-20</w:t>
      </w:r>
      <w:r>
        <w:rPr>
          <w:rFonts w:hint="eastAsia" w:cs="Times New Roman"/>
          <w:color w:val="auto"/>
          <w:sz w:val="24"/>
          <w:szCs w:val="24"/>
          <w:highlight w:val="none"/>
          <w:lang w:val="en-US" w:eastAsia="zh-CN"/>
        </w:rPr>
        <w:t>23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要求</w:t>
      </w:r>
      <w:r>
        <w:rPr>
          <w:rFonts w:hint="default"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p>
    <w:p w14:paraId="6245F174">
      <w:pPr>
        <w:pStyle w:val="366"/>
        <w:spacing w:line="360" w:lineRule="auto"/>
        <w:ind w:firstLine="480" w:firstLineChars="200"/>
        <w:rPr>
          <w:rFonts w:ascii="Times New Roman" w:cs="Times New Roman"/>
          <w:color w:val="auto"/>
          <w:highlight w:val="none"/>
        </w:rPr>
      </w:pPr>
      <w:r>
        <w:rPr>
          <w:rFonts w:hint="eastAsia" w:ascii="Times New Roman" w:cs="Times New Roman"/>
          <w:color w:val="auto"/>
          <w:highlight w:val="none"/>
        </w:rPr>
        <w:t>本项目</w:t>
      </w:r>
      <w:r>
        <w:rPr>
          <w:rFonts w:hint="eastAsia" w:ascii="Times New Roman" w:cs="Times New Roman"/>
          <w:color w:val="auto"/>
          <w:highlight w:val="none"/>
          <w:lang w:eastAsia="zh-CN"/>
        </w:rPr>
        <w:t>柴油最大储存量为</w:t>
      </w:r>
      <w:r>
        <w:rPr>
          <w:rFonts w:hint="eastAsia" w:ascii="Times New Roman" w:cs="Times New Roman"/>
          <w:color w:val="auto"/>
          <w:highlight w:val="none"/>
          <w:lang w:val="en-US" w:eastAsia="zh-CN"/>
        </w:rPr>
        <w:t>0.51t，折合为0.62</w:t>
      </w:r>
      <w:r>
        <w:rPr>
          <w:rFonts w:hint="eastAsia" w:ascii="Times New Roman" w:cs="Times New Roman"/>
          <w:color w:val="auto"/>
          <w:highlight w:val="none"/>
        </w:rPr>
        <w:t>m</w:t>
      </w:r>
      <w:r>
        <w:rPr>
          <w:rFonts w:hint="eastAsia" w:ascii="Times New Roman" w:cs="Times New Roman"/>
          <w:color w:val="auto"/>
          <w:highlight w:val="none"/>
          <w:vertAlign w:val="superscript"/>
        </w:rPr>
        <w:t>3</w:t>
      </w:r>
      <w:r>
        <w:rPr>
          <w:rFonts w:hint="eastAsia" w:ascii="Times New Roman" w:cs="Times New Roman"/>
          <w:color w:val="auto"/>
          <w:highlight w:val="none"/>
        </w:rPr>
        <w:t>，</w:t>
      </w:r>
      <w:r>
        <w:rPr>
          <w:rFonts w:hint="eastAsia" w:ascii="Times New Roman" w:cs="Times New Roman"/>
          <w:bCs/>
          <w:color w:val="auto"/>
          <w:highlight w:val="none"/>
          <w:lang w:eastAsia="zh-CN"/>
        </w:rPr>
        <w:t>储存区</w:t>
      </w:r>
      <w:r>
        <w:rPr>
          <w:rFonts w:hint="eastAsia" w:ascii="Times New Roman" w:cs="Times New Roman"/>
          <w:color w:val="auto"/>
          <w:highlight w:val="none"/>
        </w:rPr>
        <w:t>需要设置</w:t>
      </w:r>
      <w:r>
        <w:rPr>
          <w:rFonts w:hint="eastAsia" w:ascii="Times New Roman" w:cs="Times New Roman"/>
          <w:color w:val="auto"/>
          <w:highlight w:val="none"/>
          <w:lang w:val="en-US" w:eastAsia="zh-CN"/>
        </w:rPr>
        <w:t>1</w:t>
      </w:r>
      <w:r>
        <w:rPr>
          <w:rFonts w:hint="eastAsia" w:ascii="Times New Roman" w:cs="Times New Roman"/>
          <w:color w:val="auto"/>
          <w:highlight w:val="none"/>
        </w:rPr>
        <w:t>m</w:t>
      </w:r>
      <w:r>
        <w:rPr>
          <w:rFonts w:hint="eastAsia" w:ascii="Times New Roman" w:cs="Times New Roman"/>
          <w:color w:val="auto"/>
          <w:highlight w:val="none"/>
          <w:vertAlign w:val="superscript"/>
        </w:rPr>
        <w:t>3</w:t>
      </w:r>
      <w:r>
        <w:rPr>
          <w:rFonts w:hint="eastAsia" w:ascii="Times New Roman" w:cs="Times New Roman"/>
          <w:color w:val="auto"/>
          <w:highlight w:val="none"/>
        </w:rPr>
        <w:t>围堰。</w:t>
      </w:r>
      <w:r>
        <w:rPr>
          <w:rFonts w:hint="eastAsia" w:ascii="Times New Roman" w:cs="Times New Roman"/>
          <w:color w:val="auto"/>
          <w:highlight w:val="none"/>
          <w:lang w:eastAsia="zh-CN"/>
        </w:rPr>
        <w:t>临时储粪场</w:t>
      </w:r>
      <w:r>
        <w:rPr>
          <w:rFonts w:hint="eastAsia" w:ascii="Times New Roman" w:cs="Times New Roman"/>
          <w:color w:val="auto"/>
          <w:highlight w:val="none"/>
        </w:rPr>
        <w:t>容积6000m</w:t>
      </w:r>
      <w:r>
        <w:rPr>
          <w:rFonts w:hint="eastAsia" w:ascii="Times New Roman" w:cs="Times New Roman"/>
          <w:color w:val="auto"/>
          <w:highlight w:val="none"/>
          <w:vertAlign w:val="superscript"/>
        </w:rPr>
        <w:t>3</w:t>
      </w:r>
      <w:r>
        <w:rPr>
          <w:rFonts w:hint="eastAsia" w:ascii="Times New Roman" w:cs="Times New Roman"/>
          <w:color w:val="auto"/>
          <w:highlight w:val="none"/>
        </w:rPr>
        <w:t>，</w:t>
      </w:r>
      <w:r>
        <w:rPr>
          <w:rFonts w:hint="eastAsia" w:ascii="Times New Roman" w:cs="Times New Roman"/>
          <w:color w:val="auto"/>
          <w:highlight w:val="none"/>
          <w:lang w:eastAsia="zh-CN"/>
        </w:rPr>
        <w:t>临时储粪场</w:t>
      </w:r>
      <w:r>
        <w:rPr>
          <w:rFonts w:hint="eastAsia" w:ascii="Times New Roman" w:cs="Times New Roman"/>
          <w:color w:val="auto"/>
          <w:highlight w:val="none"/>
        </w:rPr>
        <w:t>需要设置</w:t>
      </w:r>
      <w:r>
        <w:rPr>
          <w:rFonts w:hint="eastAsia" w:ascii="Times New Roman" w:cs="Times New Roman"/>
          <w:color w:val="auto"/>
          <w:highlight w:val="none"/>
          <w:lang w:val="en-US" w:eastAsia="zh-CN"/>
        </w:rPr>
        <w:t>60</w:t>
      </w:r>
      <w:r>
        <w:rPr>
          <w:rFonts w:hint="eastAsia" w:ascii="Times New Roman" w:cs="Times New Roman"/>
          <w:color w:val="auto"/>
          <w:highlight w:val="none"/>
        </w:rPr>
        <w:t>00m</w:t>
      </w:r>
      <w:r>
        <w:rPr>
          <w:rFonts w:hint="eastAsia" w:ascii="Times New Roman" w:cs="Times New Roman"/>
          <w:color w:val="auto"/>
          <w:highlight w:val="none"/>
          <w:vertAlign w:val="superscript"/>
        </w:rPr>
        <w:t>3</w:t>
      </w:r>
      <w:r>
        <w:rPr>
          <w:rFonts w:hint="eastAsia" w:ascii="Times New Roman" w:cs="Times New Roman"/>
          <w:color w:val="auto"/>
          <w:highlight w:val="none"/>
        </w:rPr>
        <w:t>围堰。</w:t>
      </w:r>
    </w:p>
    <w:p w14:paraId="215351C0">
      <w:pPr>
        <w:pStyle w:val="366"/>
        <w:spacing w:line="360" w:lineRule="auto"/>
        <w:ind w:firstLine="480" w:firstLineChars="200"/>
        <w:rPr>
          <w:rFonts w:ascii="Times New Roman" w:cs="Times New Roman"/>
          <w:color w:val="auto"/>
        </w:rPr>
      </w:pPr>
      <w:r>
        <w:rPr>
          <w:rFonts w:hint="eastAsia" w:ascii="Times New Roman" w:cs="Times New Roman"/>
          <w:color w:val="auto"/>
        </w:rPr>
        <w:t>b、事故水池设置</w:t>
      </w:r>
    </w:p>
    <w:p w14:paraId="359EF523">
      <w:pPr>
        <w:pStyle w:val="366"/>
        <w:spacing w:line="360" w:lineRule="auto"/>
        <w:ind w:firstLine="480" w:firstLineChars="200"/>
        <w:rPr>
          <w:rFonts w:ascii="Times New Roman" w:cs="Times New Roman"/>
          <w:color w:val="auto"/>
        </w:rPr>
      </w:pPr>
      <w:r>
        <w:rPr>
          <w:rFonts w:hint="eastAsia" w:ascii="Times New Roman" w:cs="Times New Roman"/>
          <w:color w:val="auto"/>
        </w:rPr>
        <w:t>1）消防水对水环境的影响分析</w:t>
      </w:r>
    </w:p>
    <w:p w14:paraId="286C8A8D">
      <w:pPr>
        <w:pStyle w:val="366"/>
        <w:spacing w:line="360" w:lineRule="auto"/>
        <w:ind w:firstLine="480" w:firstLineChars="200"/>
        <w:rPr>
          <w:rFonts w:ascii="Times New Roman" w:cs="Times New Roman"/>
          <w:color w:val="auto"/>
        </w:rPr>
      </w:pPr>
      <w:r>
        <w:rPr>
          <w:rFonts w:hint="eastAsia" w:ascii="Times New Roman" w:cs="Times New Roman"/>
          <w:color w:val="auto"/>
        </w:rPr>
        <w:t>企业发生风险事故，特别是发生火灾事故时，火灾扑救将用大量消防水，产生大量的消防废水。根据本工程特点分析，这些消防废水中主要污染物是COD，消防水量约为36m</w:t>
      </w:r>
      <w:r>
        <w:rPr>
          <w:rFonts w:hint="eastAsia" w:ascii="Times New Roman" w:cs="Times New Roman"/>
          <w:color w:val="auto"/>
          <w:vertAlign w:val="superscript"/>
        </w:rPr>
        <w:t>3</w:t>
      </w:r>
      <w:r>
        <w:rPr>
          <w:rFonts w:hint="eastAsia" w:ascii="Times New Roman" w:cs="Times New Roman"/>
          <w:color w:val="auto"/>
        </w:rPr>
        <w:t>/次（消防用水按20L/s，火灾持续时间30min计）。本工程厂区建有</w:t>
      </w:r>
      <w:r>
        <w:rPr>
          <w:rFonts w:hint="eastAsia" w:ascii="Times New Roman" w:cs="Times New Roman"/>
          <w:color w:val="auto"/>
          <w:lang w:val="en-US" w:eastAsia="zh-CN"/>
        </w:rPr>
        <w:t>1</w:t>
      </w:r>
      <w:r>
        <w:rPr>
          <w:rFonts w:hint="eastAsia" w:ascii="Times New Roman" w:cs="Times New Roman"/>
          <w:color w:val="auto"/>
        </w:rPr>
        <w:t>50m</w:t>
      </w:r>
      <w:r>
        <w:rPr>
          <w:rFonts w:hint="eastAsia" w:ascii="Times New Roman" w:cs="Times New Roman"/>
          <w:color w:val="auto"/>
          <w:vertAlign w:val="superscript"/>
        </w:rPr>
        <w:t>3</w:t>
      </w:r>
      <w:r>
        <w:rPr>
          <w:rFonts w:hint="eastAsia" w:ascii="Times New Roman" w:cs="Times New Roman"/>
          <w:color w:val="auto"/>
        </w:rPr>
        <w:t>事故水池一座，足够容纳事故状态下产生的废水。</w:t>
      </w:r>
    </w:p>
    <w:p w14:paraId="15A51AA3">
      <w:pPr>
        <w:pStyle w:val="366"/>
        <w:spacing w:line="360" w:lineRule="auto"/>
        <w:ind w:firstLine="480" w:firstLineChars="200"/>
        <w:rPr>
          <w:rFonts w:ascii="Times New Roman" w:cs="Times New Roman"/>
          <w:color w:val="auto"/>
        </w:rPr>
      </w:pPr>
      <w:r>
        <w:rPr>
          <w:rFonts w:hint="eastAsia" w:ascii="Times New Roman" w:cs="Times New Roman"/>
          <w:color w:val="auto"/>
        </w:rPr>
        <w:t>事故池用以容纳消防废水，事故水池的设计和建设参照《建筑防火设计规范》（GB50160—2006）执行，并满足下列要求：</w:t>
      </w:r>
    </w:p>
    <w:p w14:paraId="4E7D8A3A">
      <w:pPr>
        <w:pStyle w:val="366"/>
        <w:spacing w:line="360" w:lineRule="auto"/>
        <w:ind w:firstLine="480" w:firstLineChars="200"/>
        <w:rPr>
          <w:rFonts w:ascii="Times New Roman" w:cs="Times New Roman"/>
          <w:color w:val="auto"/>
        </w:rPr>
      </w:pPr>
      <w:r>
        <w:rPr>
          <w:rFonts w:hint="eastAsia" w:ascii="Times New Roman" w:cs="Times New Roman"/>
          <w:color w:val="auto"/>
        </w:rPr>
        <w:t>A.事故水池火灾危险类别确定为丙类；事故状态下按甲类管理。</w:t>
      </w:r>
    </w:p>
    <w:p w14:paraId="09CF0E87">
      <w:pPr>
        <w:pStyle w:val="366"/>
        <w:spacing w:line="360" w:lineRule="auto"/>
        <w:ind w:firstLine="480" w:firstLineChars="200"/>
        <w:rPr>
          <w:rFonts w:ascii="Times New Roman" w:cs="Times New Roman"/>
          <w:color w:val="auto"/>
        </w:rPr>
      </w:pPr>
      <w:r>
        <w:rPr>
          <w:rFonts w:hint="eastAsia" w:ascii="Times New Roman" w:cs="Times New Roman"/>
          <w:color w:val="auto"/>
        </w:rPr>
        <w:t>B.事故水池应当采取防渗、防腐、防冻、防洪、抗浮、抗震等措施。</w:t>
      </w:r>
    </w:p>
    <w:p w14:paraId="629015D6">
      <w:pPr>
        <w:pStyle w:val="366"/>
        <w:spacing w:line="360" w:lineRule="auto"/>
        <w:ind w:firstLine="480" w:firstLineChars="200"/>
        <w:rPr>
          <w:rFonts w:ascii="Times New Roman" w:cs="Times New Roman"/>
          <w:color w:val="auto"/>
        </w:rPr>
      </w:pPr>
      <w:r>
        <w:rPr>
          <w:rFonts w:hint="eastAsia" w:ascii="Times New Roman" w:cs="Times New Roman"/>
          <w:color w:val="auto"/>
        </w:rPr>
        <w:t>C.水池底按水流方向设一定坡度，并应有汇水区、集水坑。事故发生后，废水进入事故水池，事故水池收集的废水需经合理处置，不得直接排入外环境。</w:t>
      </w:r>
    </w:p>
    <w:p w14:paraId="1EC8737F">
      <w:pPr>
        <w:pStyle w:val="366"/>
        <w:spacing w:line="360" w:lineRule="auto"/>
        <w:ind w:firstLine="480" w:firstLineChars="200"/>
        <w:rPr>
          <w:rFonts w:ascii="Times New Roman" w:cs="Times New Roman"/>
          <w:color w:val="auto"/>
        </w:rPr>
      </w:pPr>
      <w:r>
        <w:rPr>
          <w:rFonts w:hint="eastAsia" w:ascii="Times New Roman" w:cs="Times New Roman"/>
          <w:color w:val="auto"/>
        </w:rPr>
        <w:t>2）污水事故排放及事故消防水环境影响分析</w:t>
      </w:r>
    </w:p>
    <w:p w14:paraId="74C6B37C">
      <w:pPr>
        <w:pStyle w:val="366"/>
        <w:spacing w:line="360" w:lineRule="auto"/>
        <w:ind w:firstLine="480" w:firstLineChars="200"/>
        <w:rPr>
          <w:rFonts w:ascii="Times New Roman" w:cs="Times New Roman"/>
          <w:color w:val="auto"/>
        </w:rPr>
      </w:pPr>
      <w:r>
        <w:rPr>
          <w:rFonts w:hint="eastAsia" w:ascii="Times New Roman" w:cs="Times New Roman"/>
          <w:color w:val="auto"/>
          <w:lang w:val="en-US" w:eastAsia="zh-CN"/>
        </w:rPr>
        <w:t>a.</w:t>
      </w:r>
      <w:r>
        <w:rPr>
          <w:rFonts w:hint="eastAsia" w:ascii="Times New Roman" w:cs="Times New Roman"/>
          <w:color w:val="auto"/>
        </w:rPr>
        <w:t>事故池的作用</w:t>
      </w:r>
    </w:p>
    <w:p w14:paraId="33241516">
      <w:pPr>
        <w:pStyle w:val="366"/>
        <w:spacing w:line="360" w:lineRule="auto"/>
        <w:ind w:firstLine="480" w:firstLineChars="200"/>
        <w:rPr>
          <w:rFonts w:ascii="Times New Roman" w:cs="Times New Roman"/>
          <w:color w:val="auto"/>
        </w:rPr>
      </w:pPr>
      <w:r>
        <w:rPr>
          <w:rFonts w:hint="eastAsia" w:ascii="Times New Roman" w:cs="Times New Roman"/>
          <w:color w:val="auto"/>
        </w:rPr>
        <w:t>消防废水的转移：当某一物料发生泄漏或火灾的情况下，通过高压泵将泡沫喷淋到泄漏区域，这时产生的消防废水主要为消防泡沫和冷却喷淋废水。消防废水首先贮存在事</w:t>
      </w:r>
      <w:r>
        <w:rPr>
          <w:rFonts w:hint="eastAsia" w:ascii="Times New Roman" w:cs="Times New Roman"/>
          <w:color w:val="auto"/>
          <w:lang w:eastAsia="zh-CN"/>
        </w:rPr>
        <w:t>（设置</w:t>
      </w:r>
      <w:r>
        <w:rPr>
          <w:rFonts w:hint="eastAsia" w:ascii="Times New Roman" w:cs="Times New Roman"/>
          <w:color w:val="auto"/>
          <w:lang w:val="en-US" w:eastAsia="zh-CN"/>
        </w:rPr>
        <w:t>1座150m</w:t>
      </w:r>
      <w:r>
        <w:rPr>
          <w:rFonts w:hint="eastAsia" w:ascii="Times New Roman" w:cs="Times New Roman"/>
          <w:color w:val="auto"/>
          <w:vertAlign w:val="superscript"/>
          <w:lang w:val="en-US" w:eastAsia="zh-CN"/>
        </w:rPr>
        <w:t>3</w:t>
      </w:r>
      <w:r>
        <w:rPr>
          <w:rFonts w:hint="eastAsia" w:ascii="Times New Roman" w:cs="Times New Roman"/>
          <w:color w:val="auto"/>
          <w:lang w:val="en-US" w:eastAsia="zh-CN"/>
        </w:rPr>
        <w:t>的事故池</w:t>
      </w:r>
      <w:r>
        <w:rPr>
          <w:rFonts w:hint="eastAsia" w:ascii="Times New Roman" w:cs="Times New Roman"/>
          <w:color w:val="auto"/>
          <w:lang w:eastAsia="zh-CN"/>
        </w:rPr>
        <w:t>）</w:t>
      </w:r>
      <w:r>
        <w:rPr>
          <w:rFonts w:hint="eastAsia" w:ascii="Times New Roman" w:cs="Times New Roman"/>
          <w:color w:val="auto"/>
        </w:rPr>
        <w:t>故池，事故结束后，消防废水应委托有处理资质的单位处理处置。</w:t>
      </w:r>
    </w:p>
    <w:p w14:paraId="24A1E724">
      <w:pPr>
        <w:pStyle w:val="366"/>
        <w:spacing w:line="360" w:lineRule="auto"/>
        <w:ind w:firstLine="480" w:firstLineChars="200"/>
        <w:rPr>
          <w:rFonts w:ascii="Times New Roman" w:cs="Times New Roman"/>
          <w:color w:val="auto"/>
        </w:rPr>
      </w:pPr>
      <w:r>
        <w:rPr>
          <w:rFonts w:hint="eastAsia" w:ascii="Times New Roman" w:cs="Times New Roman"/>
          <w:color w:val="auto"/>
          <w:lang w:val="en-US" w:eastAsia="zh-CN"/>
        </w:rPr>
        <w:t>b.</w:t>
      </w:r>
      <w:r>
        <w:rPr>
          <w:rFonts w:hint="eastAsia" w:ascii="Times New Roman" w:cs="Times New Roman"/>
          <w:color w:val="auto"/>
        </w:rPr>
        <w:t>事故水池容量的确定</w:t>
      </w:r>
    </w:p>
    <w:p w14:paraId="1353A258">
      <w:pPr>
        <w:pStyle w:val="366"/>
        <w:spacing w:line="360" w:lineRule="auto"/>
        <w:ind w:firstLine="480" w:firstLineChars="200"/>
        <w:rPr>
          <w:rFonts w:ascii="Times New Roman" w:cs="Times New Roman"/>
          <w:color w:val="auto"/>
        </w:rPr>
      </w:pPr>
      <w:r>
        <w:rPr>
          <w:rFonts w:hint="eastAsia" w:ascii="Times New Roman" w:cs="Times New Roman"/>
          <w:color w:val="auto"/>
        </w:rPr>
        <w:t>根据《事故状态下水体污染的预防与控制技术要求》（Q/SY1190-2013），本项目事故缓冲设施总有效容积的计算过程如下：</w:t>
      </w:r>
    </w:p>
    <w:p w14:paraId="404F2948">
      <w:pPr>
        <w:pStyle w:val="366"/>
        <w:spacing w:line="360" w:lineRule="auto"/>
        <w:ind w:firstLine="480" w:firstLineChars="200"/>
        <w:rPr>
          <w:rFonts w:ascii="Times New Roman" w:cs="Times New Roman"/>
          <w:color w:val="auto"/>
        </w:rPr>
      </w:pPr>
      <w:r>
        <w:rPr>
          <w:rFonts w:hint="eastAsia" w:ascii="Times New Roman" w:cs="Times New Roman"/>
          <w:color w:val="auto"/>
        </w:rPr>
        <w:t>V总=（V1+V2-V3）+V4+V5</w:t>
      </w:r>
    </w:p>
    <w:p w14:paraId="0964FF3E">
      <w:pPr>
        <w:pStyle w:val="366"/>
        <w:spacing w:line="360" w:lineRule="auto"/>
        <w:ind w:firstLine="480" w:firstLineChars="200"/>
        <w:rPr>
          <w:rFonts w:ascii="Times New Roman" w:cs="Times New Roman"/>
          <w:color w:val="auto"/>
        </w:rPr>
      </w:pPr>
      <w:r>
        <w:rPr>
          <w:rFonts w:hint="eastAsia" w:ascii="Times New Roman" w:cs="Times New Roman"/>
          <w:color w:val="auto"/>
        </w:rPr>
        <w:t>V1：收集系统范围内发生事故的物料量；取本项目厂区液体物料最大泄漏量：V1=</w:t>
      </w:r>
      <w:r>
        <w:rPr>
          <w:rFonts w:hint="eastAsia" w:ascii="Times New Roman" w:cs="Times New Roman"/>
          <w:color w:val="auto"/>
          <w:lang w:val="en-US" w:eastAsia="zh-CN"/>
        </w:rPr>
        <w:t>88</w:t>
      </w:r>
      <w:r>
        <w:rPr>
          <w:rFonts w:hint="eastAsia" w:ascii="Times New Roman" w:cs="Times New Roman"/>
          <w:color w:val="auto"/>
        </w:rPr>
        <w:t>m</w:t>
      </w:r>
      <w:r>
        <w:rPr>
          <w:rFonts w:hint="eastAsia" w:ascii="Times New Roman" w:cs="Times New Roman"/>
          <w:color w:val="auto"/>
          <w:vertAlign w:val="superscript"/>
        </w:rPr>
        <w:t>3</w:t>
      </w:r>
      <w:r>
        <w:rPr>
          <w:rFonts w:hint="eastAsia" w:ascii="Times New Roman" w:cs="Times New Roman"/>
          <w:color w:val="auto"/>
        </w:rPr>
        <w:t>；</w:t>
      </w:r>
    </w:p>
    <w:p w14:paraId="63747255">
      <w:pPr>
        <w:pStyle w:val="366"/>
        <w:spacing w:line="360" w:lineRule="auto"/>
        <w:ind w:firstLine="480" w:firstLineChars="200"/>
        <w:rPr>
          <w:rFonts w:ascii="Times New Roman" w:cs="Times New Roman"/>
          <w:color w:val="auto"/>
        </w:rPr>
      </w:pPr>
      <w:r>
        <w:rPr>
          <w:rFonts w:hint="eastAsia" w:ascii="Times New Roman" w:cs="Times New Roman"/>
          <w:color w:val="auto"/>
        </w:rPr>
        <w:t>V2：发生事故的同时使用的消防设施给水量（按0.5小时持续灭火时间计，洒水量按20L/s 计）；火灾持续时间按照0.5h计算，消防设施给水量：V2=36m</w:t>
      </w:r>
      <w:r>
        <w:rPr>
          <w:rFonts w:hint="eastAsia" w:ascii="Times New Roman" w:cs="Times New Roman"/>
          <w:color w:val="auto"/>
          <w:vertAlign w:val="superscript"/>
        </w:rPr>
        <w:t>3</w:t>
      </w:r>
      <w:r>
        <w:rPr>
          <w:rFonts w:hint="eastAsia" w:ascii="Times New Roman" w:cs="Times New Roman"/>
          <w:color w:val="auto"/>
        </w:rPr>
        <w:t>；</w:t>
      </w:r>
    </w:p>
    <w:p w14:paraId="79F35B1F">
      <w:pPr>
        <w:pStyle w:val="366"/>
        <w:spacing w:line="360" w:lineRule="auto"/>
        <w:ind w:firstLine="480" w:firstLineChars="200"/>
        <w:rPr>
          <w:rFonts w:ascii="Times New Roman" w:cs="Times New Roman"/>
          <w:color w:val="auto"/>
        </w:rPr>
      </w:pPr>
      <w:r>
        <w:rPr>
          <w:rFonts w:hint="eastAsia" w:ascii="Times New Roman" w:cs="Times New Roman"/>
          <w:color w:val="auto"/>
        </w:rPr>
        <w:t>V3：发生事故时可以转输到其他设施的物料量；V3=0m</w:t>
      </w:r>
      <w:r>
        <w:rPr>
          <w:rFonts w:hint="eastAsia" w:ascii="Times New Roman" w:cs="Times New Roman"/>
          <w:color w:val="auto"/>
          <w:vertAlign w:val="superscript"/>
        </w:rPr>
        <w:t>3</w:t>
      </w:r>
      <w:r>
        <w:rPr>
          <w:rFonts w:hint="eastAsia" w:ascii="Times New Roman" w:cs="Times New Roman"/>
          <w:color w:val="auto"/>
        </w:rPr>
        <w:t>（该项忽略）</w:t>
      </w:r>
    </w:p>
    <w:p w14:paraId="5C8EF1C0">
      <w:pPr>
        <w:pStyle w:val="366"/>
        <w:spacing w:line="360" w:lineRule="auto"/>
        <w:ind w:firstLine="480" w:firstLineChars="200"/>
        <w:rPr>
          <w:rFonts w:ascii="Times New Roman" w:cs="Times New Roman"/>
          <w:color w:val="auto"/>
        </w:rPr>
      </w:pPr>
      <w:r>
        <w:rPr>
          <w:rFonts w:hint="eastAsia" w:ascii="Times New Roman" w:cs="Times New Roman"/>
          <w:color w:val="auto"/>
        </w:rPr>
        <w:t>V4：发生事故时必须进入该收集系统的生产废水量；V4=0m</w:t>
      </w:r>
      <w:r>
        <w:rPr>
          <w:rFonts w:hint="eastAsia" w:ascii="Times New Roman" w:cs="Times New Roman"/>
          <w:color w:val="auto"/>
          <w:vertAlign w:val="superscript"/>
        </w:rPr>
        <w:t>3</w:t>
      </w:r>
    </w:p>
    <w:p w14:paraId="1173DCF3">
      <w:pPr>
        <w:pStyle w:val="366"/>
        <w:spacing w:line="360" w:lineRule="auto"/>
        <w:ind w:firstLine="480" w:firstLineChars="200"/>
        <w:rPr>
          <w:rFonts w:ascii="Times New Roman" w:cs="Times New Roman"/>
          <w:color w:val="auto"/>
        </w:rPr>
      </w:pPr>
      <w:r>
        <w:rPr>
          <w:rFonts w:hint="eastAsia" w:ascii="Times New Roman" w:cs="Times New Roman"/>
          <w:color w:val="auto"/>
        </w:rPr>
        <w:t>V5：降水。本项目</w:t>
      </w:r>
      <w:r>
        <w:rPr>
          <w:rFonts w:hint="eastAsia" w:ascii="Times New Roman" w:cs="Times New Roman"/>
          <w:color w:val="auto"/>
          <w:lang w:eastAsia="zh-CN"/>
        </w:rPr>
        <w:t>为鸡舍，全部为封闭结构</w:t>
      </w:r>
      <w:r>
        <w:rPr>
          <w:rFonts w:hint="eastAsia" w:ascii="Times New Roman" w:cs="Times New Roman"/>
          <w:color w:val="auto"/>
        </w:rPr>
        <w:t>，不考虑其收集处理。</w:t>
      </w:r>
    </w:p>
    <w:p w14:paraId="36D7291D">
      <w:pPr>
        <w:pStyle w:val="366"/>
        <w:spacing w:line="360" w:lineRule="auto"/>
        <w:ind w:firstLine="480" w:firstLineChars="200"/>
        <w:rPr>
          <w:rFonts w:ascii="Times New Roman" w:cs="Times New Roman"/>
          <w:color w:val="auto"/>
        </w:rPr>
      </w:pPr>
      <w:r>
        <w:rPr>
          <w:rFonts w:hint="eastAsia" w:ascii="Times New Roman" w:cs="Times New Roman"/>
          <w:color w:val="auto"/>
        </w:rPr>
        <w:t>按照上述公式进行计算，厂区所需事故缓冲设施的总容积为</w:t>
      </w:r>
      <w:r>
        <w:rPr>
          <w:rFonts w:hint="eastAsia" w:ascii="Times New Roman" w:cs="Times New Roman"/>
          <w:color w:val="auto"/>
          <w:lang w:val="en-US" w:eastAsia="zh-CN"/>
        </w:rPr>
        <w:t>124</w:t>
      </w:r>
      <w:r>
        <w:rPr>
          <w:rFonts w:hint="eastAsia" w:ascii="Times New Roman" w:cs="Times New Roman"/>
          <w:color w:val="auto"/>
        </w:rPr>
        <w:t>m</w:t>
      </w:r>
      <w:r>
        <w:rPr>
          <w:rFonts w:hint="eastAsia" w:ascii="Times New Roman" w:cs="Times New Roman"/>
          <w:color w:val="auto"/>
          <w:vertAlign w:val="superscript"/>
        </w:rPr>
        <w:t>3</w:t>
      </w:r>
      <w:r>
        <w:rPr>
          <w:rFonts w:hint="eastAsia" w:ascii="Times New Roman" w:cs="Times New Roman"/>
          <w:color w:val="auto"/>
        </w:rPr>
        <w:t>。项目厂区设置的事故水池容积为</w:t>
      </w:r>
      <w:r>
        <w:rPr>
          <w:rFonts w:hint="eastAsia" w:ascii="Times New Roman" w:cs="Times New Roman"/>
          <w:color w:val="auto"/>
          <w:lang w:val="en-US" w:eastAsia="zh-CN"/>
        </w:rPr>
        <w:t>150</w:t>
      </w:r>
      <w:r>
        <w:rPr>
          <w:rFonts w:hint="eastAsia" w:ascii="Times New Roman" w:cs="Times New Roman"/>
          <w:color w:val="auto"/>
        </w:rPr>
        <w:t>m</w:t>
      </w:r>
      <w:r>
        <w:rPr>
          <w:rFonts w:hint="eastAsia" w:ascii="Times New Roman" w:cs="Times New Roman"/>
          <w:color w:val="auto"/>
          <w:vertAlign w:val="superscript"/>
        </w:rPr>
        <w:t>3</w:t>
      </w:r>
      <w:r>
        <w:rPr>
          <w:rFonts w:hint="eastAsia" w:ascii="Times New Roman" w:cs="Times New Roman"/>
          <w:color w:val="auto"/>
        </w:rPr>
        <w:t>，可满足事故状态下的要求。</w:t>
      </w:r>
    </w:p>
    <w:p w14:paraId="7B792F3A">
      <w:pPr>
        <w:pStyle w:val="366"/>
        <w:spacing w:line="360" w:lineRule="auto"/>
        <w:ind w:firstLine="480" w:firstLineChars="200"/>
        <w:rPr>
          <w:rFonts w:ascii="Times New Roman" w:cs="Times New Roman"/>
          <w:color w:val="auto"/>
        </w:rPr>
      </w:pPr>
      <w:r>
        <w:rPr>
          <w:rFonts w:hint="eastAsia" w:ascii="Times New Roman" w:cs="Times New Roman"/>
          <w:color w:val="auto"/>
        </w:rPr>
        <w:t>⑨大气风险防范措施</w:t>
      </w:r>
    </w:p>
    <w:p w14:paraId="1F61F521">
      <w:pPr>
        <w:pStyle w:val="366"/>
        <w:spacing w:line="360" w:lineRule="auto"/>
        <w:ind w:firstLine="480" w:firstLineChars="200"/>
        <w:rPr>
          <w:rFonts w:ascii="Times New Roman" w:cs="Times New Roman"/>
          <w:color w:val="auto"/>
        </w:rPr>
      </w:pPr>
      <w:r>
        <w:rPr>
          <w:rFonts w:hint="eastAsia" w:ascii="Times New Roman" w:cs="Times New Roman"/>
          <w:color w:val="auto"/>
        </w:rPr>
        <w:t>泄漏事故的防治是生产和储运过程中最重要的环节，经验表明：设备失灵和人为的操作失误是引发泄漏的主要原因。因此选用较好的设备、精心设计、认真的管理和操作人员的责任心是减少泄漏事故的关键。对</w:t>
      </w:r>
      <w:r>
        <w:rPr>
          <w:rFonts w:hint="eastAsia" w:ascii="Times New Roman" w:cs="Times New Roman"/>
          <w:color w:val="auto"/>
          <w:lang w:eastAsia="zh-CN"/>
        </w:rPr>
        <w:t>临时储粪场</w:t>
      </w:r>
      <w:r>
        <w:rPr>
          <w:rFonts w:hint="eastAsia" w:ascii="Times New Roman" w:cs="Times New Roman"/>
          <w:color w:val="auto"/>
        </w:rPr>
        <w:t>、</w:t>
      </w:r>
      <w:r>
        <w:rPr>
          <w:rFonts w:hint="eastAsia" w:ascii="Times New Roman" w:cs="Times New Roman"/>
          <w:color w:val="auto"/>
          <w:lang w:eastAsia="zh-CN"/>
        </w:rPr>
        <w:t>废水收集池</w:t>
      </w:r>
      <w:r>
        <w:rPr>
          <w:rFonts w:hint="eastAsia" w:ascii="Times New Roman" w:cs="Times New Roman"/>
          <w:color w:val="auto"/>
        </w:rPr>
        <w:t>、管线进行适当的整体试验、外观检查或非破坏性的测厚检查、射线探伤，检查记录应存档备查，及时发现破损和漏处。</w:t>
      </w:r>
    </w:p>
    <w:p w14:paraId="60AE8FA8">
      <w:pPr>
        <w:pStyle w:val="366"/>
        <w:spacing w:line="360" w:lineRule="auto"/>
        <w:ind w:firstLine="480" w:firstLineChars="200"/>
        <w:rPr>
          <w:rFonts w:ascii="Times New Roman" w:cs="Times New Roman"/>
          <w:color w:val="auto"/>
        </w:rPr>
      </w:pPr>
      <w:r>
        <w:rPr>
          <w:rFonts w:hint="eastAsia" w:ascii="Times New Roman" w:cs="Times New Roman"/>
          <w:color w:val="auto"/>
        </w:rPr>
        <w:t>本项目通过设备选型、工艺设计及布局设计加强其安全性能，同时，通过加强管理与培训工作，避免运行阶段的安全事故。</w:t>
      </w:r>
    </w:p>
    <w:p w14:paraId="6FF6590C">
      <w:pPr>
        <w:pStyle w:val="366"/>
        <w:spacing w:line="360" w:lineRule="auto"/>
        <w:ind w:firstLine="480" w:firstLineChars="200"/>
        <w:rPr>
          <w:rFonts w:ascii="Times New Roman" w:cs="Times New Roman"/>
          <w:color w:val="auto"/>
        </w:rPr>
      </w:pPr>
      <w:r>
        <w:rPr>
          <w:rFonts w:hint="eastAsia" w:ascii="Times New Roman" w:cs="Times New Roman"/>
          <w:color w:val="auto"/>
        </w:rPr>
        <w:t>（</w:t>
      </w:r>
      <w:r>
        <w:rPr>
          <w:rFonts w:ascii="Times New Roman" w:cs="Times New Roman"/>
          <w:color w:val="auto"/>
        </w:rPr>
        <w:t>1</w:t>
      </w:r>
      <w:r>
        <w:rPr>
          <w:rFonts w:hint="eastAsia" w:ascii="Times New Roman" w:cs="Times New Roman"/>
          <w:color w:val="auto"/>
        </w:rPr>
        <w:t>）合理布局</w:t>
      </w:r>
    </w:p>
    <w:p w14:paraId="4AF58B38">
      <w:pPr>
        <w:pStyle w:val="366"/>
        <w:spacing w:line="360" w:lineRule="auto"/>
        <w:ind w:firstLine="480" w:firstLineChars="200"/>
        <w:rPr>
          <w:rFonts w:ascii="Times New Roman" w:cs="Times New Roman"/>
          <w:color w:val="auto"/>
        </w:rPr>
      </w:pPr>
      <w:r>
        <w:rPr>
          <w:rFonts w:hint="eastAsia" w:ascii="Times New Roman" w:cs="Times New Roman"/>
          <w:color w:val="auto"/>
        </w:rPr>
        <w:t>根据项目建设地点地形地貌、常年主导风向、生产工艺流程和卫生等要求，本项目做了合理的布局，场区内的工作人员、原料、产品通过道路均进行分流，减少道路运输过程产生的危害风险。主要建筑物之间保持合理的消防及生产安全距离，尤其是</w:t>
      </w:r>
      <w:r>
        <w:rPr>
          <w:rFonts w:hint="eastAsia" w:ascii="Times New Roman" w:cs="Times New Roman"/>
          <w:color w:val="auto"/>
          <w:lang w:eastAsia="zh-CN"/>
        </w:rPr>
        <w:t>临时储粪场</w:t>
      </w:r>
      <w:r>
        <w:rPr>
          <w:rFonts w:hint="eastAsia" w:ascii="Times New Roman" w:cs="Times New Roman"/>
          <w:color w:val="auto"/>
        </w:rPr>
        <w:t>、</w:t>
      </w:r>
      <w:r>
        <w:rPr>
          <w:rFonts w:hint="eastAsia" w:ascii="Times New Roman" w:cs="Times New Roman"/>
          <w:color w:val="auto"/>
          <w:lang w:eastAsia="zh-CN"/>
        </w:rPr>
        <w:t>废水收集池</w:t>
      </w:r>
      <w:r>
        <w:rPr>
          <w:rFonts w:hint="eastAsia" w:ascii="Times New Roman" w:cs="Times New Roman"/>
          <w:color w:val="auto"/>
        </w:rPr>
        <w:t xml:space="preserve">与生活场区之间保持适当距离。 </w:t>
      </w:r>
    </w:p>
    <w:p w14:paraId="3EBE7B28">
      <w:pPr>
        <w:pStyle w:val="366"/>
        <w:spacing w:line="360" w:lineRule="auto"/>
        <w:ind w:firstLine="480" w:firstLineChars="200"/>
        <w:rPr>
          <w:rFonts w:ascii="Times New Roman" w:cs="Times New Roman"/>
          <w:color w:val="auto"/>
        </w:rPr>
      </w:pPr>
      <w:r>
        <w:rPr>
          <w:rFonts w:hint="eastAsia" w:ascii="Times New Roman" w:cs="Times New Roman"/>
          <w:color w:val="auto"/>
        </w:rPr>
        <w:t>（</w:t>
      </w:r>
      <w:r>
        <w:rPr>
          <w:rFonts w:ascii="Times New Roman" w:cs="Times New Roman"/>
          <w:color w:val="auto"/>
        </w:rPr>
        <w:t>2</w:t>
      </w:r>
      <w:r>
        <w:rPr>
          <w:rFonts w:hint="eastAsia" w:ascii="Times New Roman" w:cs="Times New Roman"/>
          <w:color w:val="auto"/>
        </w:rPr>
        <w:t>）本项目选定的电气与机械传动设备，均设置防护罩和接零保护装置和设备故障报警装置。</w:t>
      </w:r>
    </w:p>
    <w:p w14:paraId="0A5D611F">
      <w:pPr>
        <w:pStyle w:val="366"/>
        <w:spacing w:line="360" w:lineRule="auto"/>
        <w:ind w:firstLine="480" w:firstLineChars="200"/>
        <w:rPr>
          <w:rFonts w:ascii="Times New Roman" w:cs="Times New Roman"/>
          <w:color w:val="auto"/>
        </w:rPr>
      </w:pPr>
      <w:r>
        <w:rPr>
          <w:rFonts w:hint="eastAsia" w:ascii="Times New Roman" w:cs="Times New Roman"/>
          <w:color w:val="auto"/>
        </w:rPr>
        <w:t>（</w:t>
      </w:r>
      <w:r>
        <w:rPr>
          <w:rFonts w:ascii="Times New Roman" w:cs="Times New Roman"/>
          <w:color w:val="auto"/>
        </w:rPr>
        <w:t>3</w:t>
      </w:r>
      <w:r>
        <w:rPr>
          <w:rFonts w:hint="eastAsia" w:ascii="Times New Roman" w:cs="Times New Roman"/>
          <w:color w:val="auto"/>
        </w:rPr>
        <w:t xml:space="preserve">）废气处理设施专人定时巡查，确保废气稳定达标排放。 </w:t>
      </w:r>
    </w:p>
    <w:p w14:paraId="65D2E4FE">
      <w:pPr>
        <w:pStyle w:val="366"/>
        <w:spacing w:line="360" w:lineRule="auto"/>
        <w:ind w:firstLine="480" w:firstLineChars="200"/>
        <w:rPr>
          <w:rFonts w:ascii="Times New Roman" w:cs="Times New Roman"/>
          <w:color w:val="auto"/>
        </w:rPr>
      </w:pPr>
      <w:r>
        <w:rPr>
          <w:rFonts w:hint="eastAsia" w:ascii="Times New Roman" w:cs="Times New Roman"/>
          <w:color w:val="auto"/>
        </w:rPr>
        <w:t>（</w:t>
      </w:r>
      <w:r>
        <w:rPr>
          <w:rFonts w:ascii="Times New Roman" w:cs="Times New Roman"/>
          <w:color w:val="auto"/>
        </w:rPr>
        <w:t>4</w:t>
      </w:r>
      <w:r>
        <w:rPr>
          <w:rFonts w:hint="eastAsia" w:ascii="Times New Roman" w:cs="Times New Roman"/>
          <w:color w:val="auto"/>
        </w:rPr>
        <w:t>）加强对废气处理设备的管理，定期检查设备是否有腐蚀或泄漏，定期进行维护，保证设备的正常运行。</w:t>
      </w:r>
    </w:p>
    <w:p w14:paraId="4FE78EC6">
      <w:pPr>
        <w:pStyle w:val="4"/>
        <w:snapToGrid w:val="0"/>
        <w:spacing w:before="0"/>
        <w:rPr>
          <w:rFonts w:ascii="Times New Roman" w:hAnsi="Times New Roman" w:eastAsia="宋体"/>
          <w:bCs/>
          <w:color w:val="auto"/>
          <w:sz w:val="28"/>
          <w:szCs w:val="28"/>
        </w:rPr>
      </w:pPr>
      <w:bookmarkStart w:id="357" w:name="_Toc10011"/>
      <w:r>
        <w:rPr>
          <w:rFonts w:ascii="Times New Roman" w:hAnsi="Times New Roman" w:eastAsia="宋体"/>
          <w:bCs/>
          <w:color w:val="auto"/>
          <w:sz w:val="28"/>
          <w:szCs w:val="28"/>
        </w:rPr>
        <w:t>6.2.5</w:t>
      </w:r>
      <w:bookmarkEnd w:id="356"/>
      <w:r>
        <w:rPr>
          <w:rFonts w:ascii="Times New Roman" w:hAnsi="Times New Roman" w:eastAsia="宋体"/>
          <w:bCs/>
          <w:color w:val="auto"/>
          <w:sz w:val="28"/>
          <w:szCs w:val="28"/>
        </w:rPr>
        <w:t>卫生防疫事故风险分析与防范措施</w:t>
      </w:r>
      <w:bookmarkEnd w:id="357"/>
    </w:p>
    <w:p w14:paraId="73D04ECC">
      <w:pPr>
        <w:spacing w:line="360" w:lineRule="auto"/>
        <w:ind w:firstLine="480" w:firstLineChars="200"/>
        <w:rPr>
          <w:color w:val="auto"/>
          <w:sz w:val="24"/>
        </w:rPr>
      </w:pPr>
      <w:bookmarkStart w:id="358" w:name="_Toc11419"/>
      <w:r>
        <w:rPr>
          <w:color w:val="auto"/>
          <w:sz w:val="24"/>
        </w:rPr>
        <w:t>动物疫病是由某种特定病原体引起的，包括有致病性细菌、病毒、真菌、螺旋体、霉形体、衣原体、立克次氏体、放线菌等微生物感染动物而引起的传染病和有病原性蠕虫、原虫、节肢动物感染或侵袭动物而引起的寄生虫病。动物疫病严重危害养殖业生产，导致养殖动物死亡率升高，直接造成严重的经济损失，特别是流行性、群发性疫病，更是会给养殖企业造成严重的经济损失。动物疫病还会造成动物生产性能和畜产品品质的下降，并增加动物饲料消耗、人工费用、防治费用等养殖成本，使养殖企业利润受损。</w:t>
      </w:r>
    </w:p>
    <w:p w14:paraId="654AAC64">
      <w:pPr>
        <w:spacing w:line="360" w:lineRule="auto"/>
        <w:ind w:firstLine="480" w:firstLineChars="200"/>
        <w:rPr>
          <w:color w:val="auto"/>
          <w:sz w:val="24"/>
        </w:rPr>
      </w:pPr>
      <w:r>
        <w:rPr>
          <w:color w:val="auto"/>
          <w:sz w:val="24"/>
        </w:rPr>
        <w:t>同时，随着病毒的发展演化，产生了许多人畜共患病，给人类健康带来严重威胁。本项目在养殖过程中，若遇到流行性疫病，病毒、致病菌等通过污水、病死鸡等进入周边环境，对周边养殖户或居民造成不良影响，可能导致疾病蔓延。</w:t>
      </w:r>
    </w:p>
    <w:p w14:paraId="5BFBDDAF">
      <w:pPr>
        <w:spacing w:line="360" w:lineRule="auto"/>
        <w:ind w:firstLine="480" w:firstLineChars="200"/>
        <w:rPr>
          <w:color w:val="auto"/>
          <w:sz w:val="24"/>
        </w:rPr>
      </w:pPr>
      <w:r>
        <w:rPr>
          <w:color w:val="auto"/>
          <w:sz w:val="24"/>
        </w:rPr>
        <w:t>鸡场主要病有以下几种：热应激综合、鸡大肠杆菌病、坏死性肠炎、鸡球虫病、肉鸡腹水综合病、鸡住白细胞原虫病、鸡新城疫、传染性法氏囊病、鸡传染性支气管炎等。传染病的流行发生往往会造成鸡大量死亡，威胁到广大市民的身体健康。因此，传染病的防治工作也就成为养鸡业发展的关键环节。</w:t>
      </w:r>
    </w:p>
    <w:p w14:paraId="511667CD">
      <w:pPr>
        <w:spacing w:line="360" w:lineRule="auto"/>
        <w:ind w:firstLine="480" w:firstLineChars="200"/>
        <w:rPr>
          <w:color w:val="auto"/>
          <w:sz w:val="24"/>
        </w:rPr>
      </w:pPr>
      <w:r>
        <w:rPr>
          <w:color w:val="auto"/>
          <w:sz w:val="24"/>
        </w:rPr>
        <w:t>根据本项目的特点，提出以下措施：</w:t>
      </w:r>
    </w:p>
    <w:p w14:paraId="30D844C3">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加强饲养管理</w:t>
      </w:r>
    </w:p>
    <w:p w14:paraId="20AA8590">
      <w:pPr>
        <w:spacing w:line="360" w:lineRule="auto"/>
        <w:ind w:firstLine="480" w:firstLineChars="200"/>
        <w:rPr>
          <w:color w:val="auto"/>
          <w:sz w:val="24"/>
        </w:rPr>
      </w:pPr>
      <w:r>
        <w:rPr>
          <w:color w:val="auto"/>
          <w:sz w:val="24"/>
        </w:rPr>
        <w:t>项目严格按照国家法律规定及标准，采用标准化养殖技术标准与健康养殖规范化操作规程，从雏鸡培育到饲养管理、疫病防治等各个环节进行有效严格的管理。</w:t>
      </w:r>
    </w:p>
    <w:p w14:paraId="5EE4CBAB">
      <w:pPr>
        <w:spacing w:line="360" w:lineRule="auto"/>
        <w:ind w:firstLine="480" w:firstLineChars="200"/>
        <w:rPr>
          <w:color w:val="auto"/>
          <w:sz w:val="24"/>
        </w:rPr>
      </w:pPr>
      <w:r>
        <w:rPr>
          <w:color w:val="auto"/>
          <w:sz w:val="24"/>
        </w:rPr>
        <w:t>1）加强员工防疫知识和兽医法规的教育；</w:t>
      </w:r>
    </w:p>
    <w:p w14:paraId="318FC11B">
      <w:pPr>
        <w:spacing w:line="360" w:lineRule="auto"/>
        <w:ind w:firstLine="480" w:firstLineChars="200"/>
        <w:rPr>
          <w:color w:val="auto"/>
          <w:sz w:val="24"/>
        </w:rPr>
      </w:pPr>
      <w:r>
        <w:rPr>
          <w:color w:val="auto"/>
          <w:sz w:val="24"/>
        </w:rPr>
        <w:t>2）完善隔离制度，粪污和动物运输通道分离，人畜分离，加强生产区人员及其他动物的出入管理，养殖区入口设置消毒设施并严格执行消毒制度。</w:t>
      </w:r>
    </w:p>
    <w:p w14:paraId="6428478C">
      <w:pPr>
        <w:spacing w:line="360" w:lineRule="auto"/>
        <w:ind w:firstLine="480" w:firstLineChars="200"/>
        <w:rPr>
          <w:color w:val="auto"/>
          <w:sz w:val="24"/>
        </w:rPr>
      </w:pPr>
      <w:r>
        <w:rPr>
          <w:color w:val="auto"/>
          <w:sz w:val="24"/>
        </w:rPr>
        <w:t>3）加强影响疾病发生和流行的饲养管理因素，主要包括饲料营养、饮水质量、饲养密度等内容，防治病原微生物在不同批次群体中形成连续感染或交叉感染。</w:t>
      </w:r>
    </w:p>
    <w:p w14:paraId="05557813">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免疫接种</w:t>
      </w:r>
    </w:p>
    <w:p w14:paraId="3D4B0673">
      <w:pPr>
        <w:spacing w:line="360" w:lineRule="auto"/>
        <w:ind w:firstLine="480" w:firstLineChars="200"/>
        <w:rPr>
          <w:color w:val="auto"/>
          <w:sz w:val="24"/>
        </w:rPr>
      </w:pPr>
      <w:r>
        <w:rPr>
          <w:color w:val="auto"/>
          <w:sz w:val="24"/>
        </w:rPr>
        <w:t>项目根据《中华人民共和国动物防疫法》及其配套法规的要求，结合当地实际情况，有选择的进行疫病防治工作，通过规范的免疫接种预防疫病的发生。对高致病性禽流感实行强制免疫制度，免疫密度必须达到100%，抗体合格率达到70%以上，突发疫情时的紧急免疫，按照《高致病性禽流感防治技术规范》的要求进行。</w:t>
      </w:r>
    </w:p>
    <w:p w14:paraId="5E067D42">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color w:val="auto"/>
          <w:sz w:val="24"/>
        </w:rPr>
        <w:t>疫病预防</w:t>
      </w:r>
    </w:p>
    <w:p w14:paraId="1835FBBB">
      <w:pPr>
        <w:spacing w:line="360" w:lineRule="auto"/>
        <w:ind w:firstLine="480" w:firstLineChars="200"/>
        <w:rPr>
          <w:color w:val="auto"/>
          <w:sz w:val="24"/>
        </w:rPr>
      </w:pPr>
      <w:r>
        <w:rPr>
          <w:color w:val="auto"/>
          <w:sz w:val="24"/>
        </w:rPr>
        <w:t>项目疫病监测依照《中华人民共和国动物防疫法》及配套法规要求执行。发生疫病或疑似疫病时应采用以下措施：</w:t>
      </w:r>
    </w:p>
    <w:p w14:paraId="1838CB9D">
      <w:pPr>
        <w:spacing w:line="360" w:lineRule="auto"/>
        <w:ind w:firstLine="480" w:firstLineChars="200"/>
        <w:rPr>
          <w:color w:val="auto"/>
          <w:sz w:val="24"/>
        </w:rPr>
      </w:pPr>
      <w:r>
        <w:rPr>
          <w:color w:val="auto"/>
          <w:sz w:val="24"/>
        </w:rPr>
        <w:t>1）驻场兽医应及时进行诊断，并尽快向当地畜牧兽医管理部门报告疫情。</w:t>
      </w:r>
    </w:p>
    <w:p w14:paraId="7F60CB9F">
      <w:pPr>
        <w:spacing w:line="360" w:lineRule="auto"/>
        <w:ind w:firstLine="480" w:firstLineChars="200"/>
        <w:rPr>
          <w:color w:val="auto"/>
          <w:sz w:val="24"/>
        </w:rPr>
      </w:pPr>
      <w:r>
        <w:rPr>
          <w:color w:val="auto"/>
          <w:sz w:val="24"/>
        </w:rPr>
        <w:t>2）确诊发生一类疫病时，鸡场应配合当地畜牧兽医管理部门，对鸡群实施严格的隔离、捕杀措施。</w:t>
      </w:r>
    </w:p>
    <w:p w14:paraId="008B53EB">
      <w:pPr>
        <w:spacing w:line="360" w:lineRule="auto"/>
        <w:ind w:firstLine="480" w:firstLineChars="200"/>
        <w:rPr>
          <w:color w:val="auto"/>
          <w:sz w:val="24"/>
        </w:rPr>
      </w:pPr>
      <w:r>
        <w:rPr>
          <w:color w:val="auto"/>
          <w:sz w:val="24"/>
        </w:rPr>
        <w:t>3）发生二类疫病时，应对畜群实施清群和净化措施，全场进行彻底的清洗消毒。</w:t>
      </w:r>
    </w:p>
    <w:p w14:paraId="533F7FD7">
      <w:pPr>
        <w:spacing w:line="360" w:lineRule="auto"/>
        <w:ind w:firstLine="480" w:firstLineChars="200"/>
        <w:rPr>
          <w:color w:val="auto"/>
          <w:sz w:val="24"/>
        </w:rPr>
      </w:pPr>
      <w:r>
        <w:rPr>
          <w:color w:val="auto"/>
          <w:sz w:val="24"/>
        </w:rPr>
        <w:t>4）病死或淘汰尸体按照《病死及死因不明动物处置办法（试行）》（农医发[2005]25号）、《病害动物和病害动物产品生物安全处理规程》（GB 16548-2006）、《畜禽养殖业污染防治技术政策》（环发[2010]151 号）等规定进行无害化处理。本项目</w:t>
      </w:r>
      <w:r>
        <w:rPr>
          <w:rFonts w:hint="eastAsia"/>
          <w:color w:val="auto"/>
          <w:sz w:val="24"/>
          <w:lang w:eastAsia="zh-CN"/>
        </w:rPr>
        <w:t>设置</w:t>
      </w:r>
      <w:r>
        <w:rPr>
          <w:rFonts w:hint="eastAsia"/>
          <w:color w:val="auto"/>
          <w:sz w:val="24"/>
          <w:lang w:val="en-US" w:eastAsia="zh-CN"/>
        </w:rPr>
        <w:t>1台冷柜临时储存病死鸡，委托北票市汇宏动物无害化处理有限公司定期收集处理</w:t>
      </w:r>
      <w:r>
        <w:rPr>
          <w:color w:val="auto"/>
          <w:sz w:val="24"/>
        </w:rPr>
        <w:t>。</w:t>
      </w:r>
    </w:p>
    <w:p w14:paraId="5EA07E1B">
      <w:pPr>
        <w:spacing w:line="360" w:lineRule="auto"/>
        <w:ind w:firstLine="480" w:firstLineChars="200"/>
        <w:rPr>
          <w:rFonts w:hint="eastAsia"/>
          <w:color w:val="auto"/>
          <w:sz w:val="24"/>
          <w:lang w:eastAsia="zh-CN"/>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color w:val="auto"/>
          <w:sz w:val="24"/>
        </w:rPr>
        <w:t>医疗废物医疗废物</w:t>
      </w:r>
      <w:r>
        <w:rPr>
          <w:rFonts w:hint="eastAsia"/>
          <w:color w:val="auto"/>
          <w:sz w:val="24"/>
          <w:lang w:val="en-US" w:eastAsia="zh-CN"/>
        </w:rPr>
        <w:t>在厂区内医疗废物暂存间</w:t>
      </w:r>
      <w:r>
        <w:rPr>
          <w:rFonts w:hint="eastAsia"/>
          <w:color w:val="auto"/>
          <w:sz w:val="24"/>
        </w:rPr>
        <w:t>暂存</w:t>
      </w:r>
      <w:r>
        <w:rPr>
          <w:rFonts w:hint="eastAsia"/>
          <w:color w:val="auto"/>
          <w:sz w:val="24"/>
          <w:szCs w:val="24"/>
          <w:lang w:eastAsia="zh-CN"/>
        </w:rPr>
        <w:t>，委托有资质单位定期收集处理。</w:t>
      </w:r>
    </w:p>
    <w:p w14:paraId="364FDB93">
      <w:pPr>
        <w:spacing w:line="360" w:lineRule="auto"/>
        <w:ind w:firstLine="482" w:firstLineChars="200"/>
        <w:rPr>
          <w:color w:val="auto"/>
          <w:sz w:val="24"/>
        </w:rPr>
      </w:pPr>
      <w:bookmarkStart w:id="359" w:name="_Toc26024"/>
      <w:bookmarkStart w:id="360" w:name="_Toc14518"/>
      <w:bookmarkStart w:id="361" w:name="_Toc2919"/>
      <w:bookmarkStart w:id="362" w:name="_Toc22529"/>
      <w:bookmarkStart w:id="363" w:name="_Toc23034"/>
      <w:bookmarkStart w:id="364" w:name="_Toc2816"/>
      <w:bookmarkStart w:id="365" w:name="_Toc11136"/>
      <w:r>
        <w:rPr>
          <w:b/>
          <w:bCs/>
          <w:color w:val="auto"/>
          <w:sz w:val="24"/>
        </w:rPr>
        <w:t>应采用以下措施：</w:t>
      </w:r>
      <w:r>
        <w:rPr>
          <w:rFonts w:hint="eastAsia"/>
          <w:color w:val="auto"/>
          <w:sz w:val="24"/>
          <w:lang w:val="en-US" w:eastAsia="zh-CN"/>
        </w:rPr>
        <w:t>医疗废物</w:t>
      </w:r>
      <w:r>
        <w:rPr>
          <w:color w:val="auto"/>
          <w:sz w:val="24"/>
        </w:rPr>
        <w:t>的转移、运输严格执行《中华人民共和国固体废物污染环境防治法》和国家环保总局《危险废物转移联单管理办法》的规定，执行</w:t>
      </w:r>
      <w:r>
        <w:rPr>
          <w:rFonts w:hint="eastAsia"/>
          <w:color w:val="auto"/>
          <w:sz w:val="24"/>
          <w:lang w:val="en-US" w:eastAsia="zh-CN"/>
        </w:rPr>
        <w:t>医疗废物</w:t>
      </w:r>
      <w:r>
        <w:rPr>
          <w:color w:val="auto"/>
          <w:sz w:val="24"/>
        </w:rPr>
        <w:t>转移联单制度。处理</w:t>
      </w:r>
      <w:r>
        <w:rPr>
          <w:rFonts w:hint="eastAsia"/>
          <w:color w:val="auto"/>
          <w:sz w:val="24"/>
          <w:lang w:val="en-US" w:eastAsia="zh-CN"/>
        </w:rPr>
        <w:t>医疗废物</w:t>
      </w:r>
      <w:r>
        <w:rPr>
          <w:color w:val="auto"/>
          <w:sz w:val="24"/>
        </w:rPr>
        <w:t>的单位需具有专业的处置处理能力和《危险废物经营许可证》，确保不造成新的环境污染。并且在日常管理过程中要建立危废管理台账制度。</w:t>
      </w:r>
      <w:bookmarkEnd w:id="359"/>
      <w:bookmarkEnd w:id="360"/>
      <w:bookmarkEnd w:id="361"/>
      <w:bookmarkEnd w:id="362"/>
      <w:bookmarkEnd w:id="363"/>
      <w:bookmarkEnd w:id="364"/>
      <w:bookmarkEnd w:id="365"/>
    </w:p>
    <w:p w14:paraId="4DAC0FDE">
      <w:pPr>
        <w:pStyle w:val="4"/>
        <w:snapToGrid w:val="0"/>
        <w:spacing w:before="0"/>
        <w:rPr>
          <w:rFonts w:ascii="Times New Roman" w:hAnsi="Times New Roman" w:eastAsia="宋体"/>
          <w:bCs/>
          <w:color w:val="auto"/>
          <w:sz w:val="28"/>
          <w:szCs w:val="28"/>
        </w:rPr>
      </w:pPr>
      <w:bookmarkStart w:id="366" w:name="_Toc10842"/>
      <w:r>
        <w:rPr>
          <w:rFonts w:ascii="Times New Roman" w:hAnsi="Times New Roman" w:eastAsia="宋体"/>
          <w:bCs/>
          <w:color w:val="auto"/>
          <w:sz w:val="28"/>
          <w:szCs w:val="28"/>
        </w:rPr>
        <w:t>6.2.6火灾引起次生污染风险与防范措施</w:t>
      </w:r>
      <w:bookmarkEnd w:id="366"/>
    </w:p>
    <w:p w14:paraId="5D622217">
      <w:pPr>
        <w:spacing w:line="360" w:lineRule="auto"/>
        <w:ind w:firstLine="480" w:firstLineChars="200"/>
        <w:rPr>
          <w:color w:val="auto"/>
          <w:sz w:val="24"/>
        </w:rPr>
      </w:pPr>
      <w:r>
        <w:rPr>
          <w:color w:val="auto"/>
          <w:sz w:val="24"/>
        </w:rPr>
        <w:t>项目运营期若安全管理措施不当，风险物质柴油泄漏遇上明火会发生火灾，火灾产生的热辐射对其评价区域人民群众的生命、财产都将构成威胁，发生安全事故还将伴随次生大气污染、水污染、土壤污染。</w:t>
      </w:r>
    </w:p>
    <w:p w14:paraId="257A58E8">
      <w:pPr>
        <w:spacing w:line="360" w:lineRule="auto"/>
        <w:ind w:firstLine="480" w:firstLineChars="200"/>
        <w:rPr>
          <w:color w:val="auto"/>
          <w:sz w:val="24"/>
        </w:rPr>
      </w:pPr>
      <w:r>
        <w:rPr>
          <w:color w:val="auto"/>
          <w:sz w:val="24"/>
        </w:rPr>
        <w:t>根据本项目的特点，提出以下措施：</w:t>
      </w:r>
    </w:p>
    <w:p w14:paraId="33ED41AB">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落实消防责任，加强消防管理</w:t>
      </w:r>
    </w:p>
    <w:p w14:paraId="27F0BC82">
      <w:pPr>
        <w:spacing w:line="360" w:lineRule="auto"/>
        <w:ind w:firstLine="480" w:firstLineChars="200"/>
        <w:rPr>
          <w:color w:val="auto"/>
          <w:sz w:val="24"/>
        </w:rPr>
      </w:pPr>
      <w:r>
        <w:rPr>
          <w:color w:val="auto"/>
          <w:sz w:val="24"/>
        </w:rPr>
        <w:t>1）完善消防安全管理组织，确定各级责任人，制订完善消防安全规章制度，加大消防投入，加强日常消防管理，消除消防违法行为，整改火灾隐患。</w:t>
      </w:r>
    </w:p>
    <w:p w14:paraId="4D327DE6">
      <w:pPr>
        <w:spacing w:line="360" w:lineRule="auto"/>
        <w:ind w:firstLine="480" w:firstLineChars="200"/>
        <w:rPr>
          <w:color w:val="auto"/>
          <w:sz w:val="24"/>
        </w:rPr>
      </w:pPr>
      <w:r>
        <w:rPr>
          <w:color w:val="auto"/>
          <w:sz w:val="24"/>
        </w:rPr>
        <w:t>2）制订消防工作计划，开展每月一次的防火安全检查，加强日常的防火巡查，确定重点防火部位，明确检查内容，发现问题及时责成有关车间班组改正。</w:t>
      </w:r>
    </w:p>
    <w:p w14:paraId="75199E8E">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加强消防宣传教育培训和演习</w:t>
      </w:r>
    </w:p>
    <w:p w14:paraId="4172B993">
      <w:pPr>
        <w:spacing w:line="360" w:lineRule="auto"/>
        <w:ind w:firstLine="480" w:firstLineChars="200"/>
        <w:rPr>
          <w:color w:val="auto"/>
          <w:sz w:val="24"/>
        </w:rPr>
      </w:pPr>
      <w:r>
        <w:rPr>
          <w:color w:val="auto"/>
          <w:sz w:val="24"/>
        </w:rPr>
        <w:t>1）对全体员工开展一次消防知识培训，重点培训岗位防火技术，操作规程，灭火器和消防栓使用办法，疏散逃生知识，消防基本法律法规和规章制度。</w:t>
      </w:r>
    </w:p>
    <w:p w14:paraId="0F63C8AF">
      <w:pPr>
        <w:spacing w:line="360" w:lineRule="auto"/>
        <w:ind w:firstLine="480" w:firstLineChars="200"/>
        <w:rPr>
          <w:color w:val="auto"/>
          <w:sz w:val="24"/>
        </w:rPr>
      </w:pPr>
      <w:r>
        <w:rPr>
          <w:color w:val="auto"/>
          <w:sz w:val="24"/>
        </w:rPr>
        <w:t>2）在全体员工中组织开展一次消防演习，练习灭火技能和组织疏散逃生的技能。</w:t>
      </w:r>
    </w:p>
    <w:p w14:paraId="79BF57AC">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color w:val="auto"/>
          <w:sz w:val="24"/>
        </w:rPr>
        <w:t>完善技术防范措施</w:t>
      </w:r>
    </w:p>
    <w:p w14:paraId="06EBCEDC">
      <w:pPr>
        <w:spacing w:line="360" w:lineRule="auto"/>
        <w:ind w:firstLine="480" w:firstLineChars="200"/>
        <w:rPr>
          <w:color w:val="auto"/>
          <w:sz w:val="24"/>
        </w:rPr>
      </w:pPr>
      <w:r>
        <w:rPr>
          <w:color w:val="auto"/>
          <w:sz w:val="24"/>
        </w:rPr>
        <w:t>1）对厂区各部位、岗位的火灾危险性进行一次分析，找出薄弱环节，制订有针对性的预防措施。</w:t>
      </w:r>
    </w:p>
    <w:p w14:paraId="31C65C45">
      <w:pPr>
        <w:spacing w:line="360" w:lineRule="auto"/>
        <w:ind w:firstLine="480" w:firstLineChars="200"/>
        <w:rPr>
          <w:color w:val="auto"/>
          <w:sz w:val="24"/>
        </w:rPr>
      </w:pPr>
      <w:r>
        <w:rPr>
          <w:color w:val="auto"/>
          <w:sz w:val="24"/>
        </w:rPr>
        <w:t>2）检查和完善消防报警系统、消防自动灭火系统、消防标志和消防应急照明、消防疏散和防火分区、防烟分区、消防车通道、防火卷帘、防排烟系统、应急消防广播以及灭火器等，保证完好。</w:t>
      </w:r>
    </w:p>
    <w:p w14:paraId="340A0844">
      <w:pPr>
        <w:spacing w:line="360" w:lineRule="auto"/>
        <w:ind w:firstLine="480" w:firstLineChars="200"/>
        <w:rPr>
          <w:color w:val="auto"/>
          <w:sz w:val="24"/>
        </w:rPr>
      </w:pPr>
      <w:r>
        <w:rPr>
          <w:color w:val="auto"/>
          <w:sz w:val="24"/>
        </w:rPr>
        <w:t>3）安装监控装备，与消防设施联动，及早发现和排除火灾隐患。</w:t>
      </w:r>
    </w:p>
    <w:p w14:paraId="796AFE2A">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color w:val="auto"/>
          <w:sz w:val="24"/>
        </w:rPr>
        <w:t>加强火源监管</w:t>
      </w:r>
    </w:p>
    <w:p w14:paraId="5DFADCB0">
      <w:pPr>
        <w:spacing w:line="360" w:lineRule="auto"/>
        <w:ind w:firstLine="480" w:firstLineChars="200"/>
        <w:rPr>
          <w:color w:val="auto"/>
          <w:sz w:val="24"/>
        </w:rPr>
      </w:pPr>
      <w:r>
        <w:rPr>
          <w:color w:val="auto"/>
          <w:sz w:val="24"/>
        </w:rPr>
        <w:t>1）认真分析厂区内能产生火源的部位，逐一采取措施加以预防。</w:t>
      </w:r>
    </w:p>
    <w:p w14:paraId="4B824F38">
      <w:pPr>
        <w:spacing w:line="360" w:lineRule="auto"/>
        <w:ind w:firstLine="480" w:firstLineChars="200"/>
        <w:rPr>
          <w:color w:val="auto"/>
          <w:sz w:val="24"/>
        </w:rPr>
      </w:pPr>
      <w:r>
        <w:rPr>
          <w:color w:val="auto"/>
          <w:sz w:val="24"/>
        </w:rPr>
        <w:t>2）对电线、电气用品的选用、质量、日常管理要格外重视。</w:t>
      </w:r>
    </w:p>
    <w:p w14:paraId="3AF45CCE">
      <w:pPr>
        <w:spacing w:line="360" w:lineRule="auto"/>
        <w:ind w:firstLine="480" w:firstLineChars="200"/>
        <w:rPr>
          <w:color w:val="auto"/>
          <w:sz w:val="24"/>
        </w:rPr>
      </w:pPr>
      <w:r>
        <w:rPr>
          <w:color w:val="auto"/>
          <w:sz w:val="24"/>
        </w:rPr>
        <w:t>3）对使用明火要进行审批，尤其是电气焊和设备检修，建筑装修等。</w:t>
      </w:r>
    </w:p>
    <w:p w14:paraId="14685650">
      <w:pPr>
        <w:spacing w:line="360" w:lineRule="auto"/>
        <w:ind w:firstLine="480" w:firstLineChars="200"/>
        <w:rPr>
          <w:color w:val="auto"/>
          <w:sz w:val="24"/>
        </w:rPr>
      </w:pPr>
      <w:r>
        <w:rPr>
          <w:color w:val="auto"/>
          <w:sz w:val="24"/>
        </w:rPr>
        <w:t>4）检查防雷电和防静电设施，保证完好。</w:t>
      </w:r>
    </w:p>
    <w:p w14:paraId="0741B5AA">
      <w:pPr>
        <w:spacing w:line="360" w:lineRule="auto"/>
        <w:ind w:firstLine="480" w:firstLineChars="200"/>
        <w:rPr>
          <w:color w:val="auto"/>
          <w:sz w:val="24"/>
        </w:rPr>
      </w:pPr>
      <w:r>
        <w:rPr>
          <w:color w:val="auto"/>
          <w:sz w:val="24"/>
        </w:rPr>
        <w:t>5）检查生产中容易产生火花和有可燃易爆气体的场所，是否有防火防爆措施。</w:t>
      </w:r>
    </w:p>
    <w:p w14:paraId="2FE3FEB7">
      <w:pPr>
        <w:pStyle w:val="4"/>
        <w:snapToGrid w:val="0"/>
        <w:spacing w:before="0"/>
        <w:rPr>
          <w:rFonts w:ascii="Times New Roman" w:hAnsi="Times New Roman" w:eastAsia="宋体"/>
          <w:bCs/>
          <w:color w:val="auto"/>
          <w:sz w:val="28"/>
          <w:szCs w:val="28"/>
        </w:rPr>
      </w:pPr>
      <w:bookmarkStart w:id="367" w:name="_Toc14074"/>
      <w:r>
        <w:rPr>
          <w:rFonts w:ascii="Times New Roman" w:hAnsi="Times New Roman" w:eastAsia="宋体"/>
          <w:bCs/>
          <w:color w:val="auto"/>
          <w:sz w:val="28"/>
          <w:szCs w:val="28"/>
        </w:rPr>
        <w:t>6.2.7分析结论</w:t>
      </w:r>
      <w:bookmarkEnd w:id="358"/>
      <w:bookmarkEnd w:id="367"/>
    </w:p>
    <w:p w14:paraId="135E1B35">
      <w:pPr>
        <w:spacing w:line="360" w:lineRule="auto"/>
        <w:ind w:firstLine="480" w:firstLineChars="200"/>
        <w:rPr>
          <w:color w:val="auto"/>
          <w:sz w:val="24"/>
        </w:rPr>
      </w:pPr>
      <w:r>
        <w:rPr>
          <w:bCs/>
          <w:color w:val="auto"/>
          <w:sz w:val="24"/>
        </w:rPr>
        <w:t>综上所述，本项目运营期间认真落实风险防范措施，可以将所存在的风险隐患降到最低程度，</w:t>
      </w:r>
      <w:r>
        <w:rPr>
          <w:color w:val="auto"/>
          <w:sz w:val="24"/>
        </w:rPr>
        <w:t>只要建设单位认真落实以上所提出的各项环境风险防范措施，有针对性地加强相关设施的安全管理，消除事故隐患，其环境风险事故概率完全可控制在最大可信事故概率以下，项目存在的环境风险可被接受。</w:t>
      </w:r>
    </w:p>
    <w:p w14:paraId="587B6E1E">
      <w:pPr>
        <w:pStyle w:val="3"/>
        <w:adjustRightInd w:val="0"/>
        <w:jc w:val="both"/>
        <w:rPr>
          <w:rFonts w:eastAsia="宋体"/>
          <w:color w:val="auto"/>
          <w:szCs w:val="28"/>
        </w:rPr>
      </w:pPr>
      <w:bookmarkStart w:id="368" w:name="_Toc29655"/>
      <w:bookmarkStart w:id="369" w:name="_Toc24622"/>
      <w:r>
        <w:rPr>
          <w:rFonts w:eastAsia="宋体"/>
          <w:color w:val="auto"/>
          <w:szCs w:val="28"/>
        </w:rPr>
        <w:t>6.3风险管理</w:t>
      </w:r>
      <w:bookmarkEnd w:id="368"/>
      <w:bookmarkEnd w:id="369"/>
    </w:p>
    <w:p w14:paraId="3F1736B2">
      <w:pPr>
        <w:spacing w:line="360" w:lineRule="auto"/>
        <w:ind w:firstLine="480" w:firstLineChars="200"/>
        <w:rPr>
          <w:color w:val="auto"/>
          <w:sz w:val="24"/>
          <w:szCs w:val="20"/>
        </w:rPr>
      </w:pPr>
      <w:r>
        <w:rPr>
          <w:color w:val="auto"/>
          <w:sz w:val="24"/>
          <w:szCs w:val="20"/>
        </w:rPr>
        <w:t>建设单位应根据自身的生产特点，有针对性的进行环境风险管理：</w:t>
      </w:r>
    </w:p>
    <w:p w14:paraId="2F3BBF92">
      <w:pPr>
        <w:spacing w:line="360" w:lineRule="auto"/>
        <w:ind w:firstLine="480" w:firstLineChars="200"/>
        <w:rPr>
          <w:color w:val="auto"/>
          <w:sz w:val="24"/>
          <w:szCs w:val="20"/>
        </w:rPr>
      </w:pPr>
      <w:r>
        <w:rPr>
          <w:rFonts w:hint="eastAsia"/>
          <w:color w:val="auto"/>
          <w:sz w:val="24"/>
          <w:szCs w:val="20"/>
          <w:lang w:eastAsia="zh-CN"/>
        </w:rPr>
        <w:t>（</w:t>
      </w:r>
      <w:r>
        <w:rPr>
          <w:rFonts w:hint="eastAsia"/>
          <w:color w:val="auto"/>
          <w:sz w:val="24"/>
          <w:szCs w:val="20"/>
          <w:lang w:val="en-US" w:eastAsia="zh-CN"/>
        </w:rPr>
        <w:t>1</w:t>
      </w:r>
      <w:r>
        <w:rPr>
          <w:rFonts w:hint="eastAsia"/>
          <w:color w:val="auto"/>
          <w:sz w:val="24"/>
          <w:szCs w:val="20"/>
          <w:lang w:eastAsia="zh-CN"/>
        </w:rPr>
        <w:t>）</w:t>
      </w:r>
      <w:r>
        <w:rPr>
          <w:color w:val="auto"/>
          <w:sz w:val="24"/>
          <w:szCs w:val="20"/>
        </w:rPr>
        <w:t>明确风险管理应急组织机构组成及其职责，包括协调指挥机构及事故现场应急指挥部。协调指挥机构的总指挥应为企业负责人，组员为各部门的负责人，协调配合做好事故处理的各项工作。事故现场应急指挥部按照事故灾难等级和分级响应原则，由相应的地方人民政府组成现场应急救援指挥部，总指挥由地方政府负责人担任，全面负责应急救援指挥工作；</w:t>
      </w:r>
    </w:p>
    <w:p w14:paraId="37363AFA">
      <w:pPr>
        <w:spacing w:line="360" w:lineRule="auto"/>
        <w:ind w:firstLine="480" w:firstLineChars="200"/>
        <w:rPr>
          <w:color w:val="auto"/>
          <w:sz w:val="24"/>
          <w:szCs w:val="20"/>
        </w:rPr>
      </w:pPr>
      <w:r>
        <w:rPr>
          <w:rFonts w:hint="eastAsia"/>
          <w:color w:val="auto"/>
          <w:sz w:val="24"/>
          <w:szCs w:val="20"/>
          <w:lang w:eastAsia="zh-CN"/>
        </w:rPr>
        <w:t>（</w:t>
      </w:r>
      <w:r>
        <w:rPr>
          <w:rFonts w:hint="eastAsia"/>
          <w:color w:val="auto"/>
          <w:sz w:val="24"/>
          <w:szCs w:val="20"/>
          <w:lang w:val="en-US" w:eastAsia="zh-CN"/>
        </w:rPr>
        <w:t>2</w:t>
      </w:r>
      <w:r>
        <w:rPr>
          <w:rFonts w:hint="eastAsia"/>
          <w:color w:val="auto"/>
          <w:sz w:val="24"/>
          <w:szCs w:val="20"/>
          <w:lang w:eastAsia="zh-CN"/>
        </w:rPr>
        <w:t>）</w:t>
      </w:r>
      <w:r>
        <w:rPr>
          <w:color w:val="auto"/>
          <w:sz w:val="24"/>
          <w:szCs w:val="20"/>
        </w:rPr>
        <w:t>建立预警及预防机制，制定动物疫病、环境污染、火灾相应的应急预案，定期对相关设施及流程进行检查，发现隐患及时进行整改。对于可能引起重大事故的异常状况，应及时向企业安全管理部门汇报，严重的应按照要求逐级向地方人民政府主管部门汇报；</w:t>
      </w:r>
    </w:p>
    <w:p w14:paraId="5843046D">
      <w:pPr>
        <w:spacing w:line="360" w:lineRule="auto"/>
        <w:ind w:firstLine="480" w:firstLineChars="200"/>
        <w:rPr>
          <w:color w:val="auto"/>
          <w:sz w:val="24"/>
          <w:szCs w:val="20"/>
        </w:rPr>
      </w:pPr>
      <w:r>
        <w:rPr>
          <w:rFonts w:hint="eastAsia"/>
          <w:color w:val="auto"/>
          <w:sz w:val="24"/>
          <w:szCs w:val="20"/>
          <w:lang w:eastAsia="zh-CN"/>
        </w:rPr>
        <w:t>（</w:t>
      </w:r>
      <w:r>
        <w:rPr>
          <w:rFonts w:hint="eastAsia"/>
          <w:color w:val="auto"/>
          <w:sz w:val="24"/>
          <w:szCs w:val="20"/>
          <w:lang w:val="en-US" w:eastAsia="zh-CN"/>
        </w:rPr>
        <w:t>3</w:t>
      </w:r>
      <w:r>
        <w:rPr>
          <w:rFonts w:hint="eastAsia"/>
          <w:color w:val="auto"/>
          <w:sz w:val="24"/>
          <w:szCs w:val="20"/>
          <w:lang w:eastAsia="zh-CN"/>
        </w:rPr>
        <w:t>）</w:t>
      </w:r>
      <w:r>
        <w:rPr>
          <w:color w:val="auto"/>
          <w:sz w:val="24"/>
          <w:szCs w:val="20"/>
        </w:rPr>
        <w:t>针对动物疫病、环境污染事故的影响特点，建立完善的后期处理机制，妥善安排，降低事故的影响范围，防止次生事故发生；</w:t>
      </w:r>
    </w:p>
    <w:p w14:paraId="291E1133">
      <w:pPr>
        <w:spacing w:line="360" w:lineRule="auto"/>
        <w:ind w:firstLine="480" w:firstLineChars="200"/>
        <w:rPr>
          <w:color w:val="auto"/>
          <w:sz w:val="24"/>
          <w:szCs w:val="20"/>
        </w:rPr>
      </w:pPr>
      <w:r>
        <w:rPr>
          <w:rFonts w:hint="eastAsia"/>
          <w:color w:val="auto"/>
          <w:sz w:val="24"/>
          <w:szCs w:val="20"/>
          <w:lang w:eastAsia="zh-CN"/>
        </w:rPr>
        <w:t>（</w:t>
      </w:r>
      <w:r>
        <w:rPr>
          <w:rFonts w:hint="eastAsia"/>
          <w:color w:val="auto"/>
          <w:sz w:val="24"/>
          <w:szCs w:val="20"/>
          <w:lang w:val="en-US" w:eastAsia="zh-CN"/>
        </w:rPr>
        <w:t>4</w:t>
      </w:r>
      <w:r>
        <w:rPr>
          <w:rFonts w:hint="eastAsia"/>
          <w:color w:val="auto"/>
          <w:sz w:val="24"/>
          <w:szCs w:val="20"/>
          <w:lang w:eastAsia="zh-CN"/>
        </w:rPr>
        <w:t>）</w:t>
      </w:r>
      <w:r>
        <w:rPr>
          <w:color w:val="auto"/>
          <w:sz w:val="24"/>
          <w:szCs w:val="20"/>
        </w:rPr>
        <w:t>应做好事故的应急支援与保障工作；</w:t>
      </w:r>
    </w:p>
    <w:p w14:paraId="5BCD2AB0">
      <w:pPr>
        <w:spacing w:line="360" w:lineRule="auto"/>
        <w:ind w:firstLine="480" w:firstLineChars="200"/>
        <w:rPr>
          <w:color w:val="auto"/>
          <w:sz w:val="24"/>
          <w:szCs w:val="20"/>
        </w:rPr>
      </w:pPr>
      <w:r>
        <w:rPr>
          <w:rFonts w:hint="eastAsia"/>
          <w:color w:val="auto"/>
          <w:sz w:val="24"/>
          <w:szCs w:val="20"/>
          <w:lang w:eastAsia="zh-CN"/>
        </w:rPr>
        <w:t>（</w:t>
      </w:r>
      <w:r>
        <w:rPr>
          <w:rFonts w:hint="eastAsia"/>
          <w:color w:val="auto"/>
          <w:sz w:val="24"/>
          <w:szCs w:val="20"/>
          <w:lang w:val="en-US" w:eastAsia="zh-CN"/>
        </w:rPr>
        <w:t>5</w:t>
      </w:r>
      <w:r>
        <w:rPr>
          <w:rFonts w:hint="eastAsia"/>
          <w:color w:val="auto"/>
          <w:sz w:val="24"/>
          <w:szCs w:val="20"/>
          <w:lang w:eastAsia="zh-CN"/>
        </w:rPr>
        <w:t>）</w:t>
      </w:r>
      <w:r>
        <w:rPr>
          <w:color w:val="auto"/>
          <w:sz w:val="24"/>
          <w:szCs w:val="20"/>
        </w:rPr>
        <w:t>针对不同环境风险事故的特点，按照应急预案的要求，进行员工日常的安全培训，并定期进行应急预案演练，对于应急预案演练中发现的不完善之处，应及时进行改进。</w:t>
      </w:r>
    </w:p>
    <w:p w14:paraId="016629B4">
      <w:pPr>
        <w:pStyle w:val="3"/>
        <w:adjustRightInd w:val="0"/>
        <w:jc w:val="both"/>
        <w:rPr>
          <w:rFonts w:eastAsia="宋体"/>
          <w:color w:val="auto"/>
          <w:szCs w:val="28"/>
        </w:rPr>
      </w:pPr>
      <w:bookmarkStart w:id="370" w:name="_Toc31971"/>
      <w:bookmarkStart w:id="371" w:name="_Toc201"/>
      <w:r>
        <w:rPr>
          <w:rFonts w:eastAsia="宋体"/>
          <w:color w:val="auto"/>
          <w:szCs w:val="28"/>
        </w:rPr>
        <w:t>6.4突发事故应急预案</w:t>
      </w:r>
      <w:bookmarkEnd w:id="370"/>
      <w:bookmarkEnd w:id="371"/>
    </w:p>
    <w:p w14:paraId="1699E308">
      <w:pPr>
        <w:spacing w:line="360" w:lineRule="auto"/>
        <w:ind w:firstLine="480" w:firstLineChars="200"/>
        <w:rPr>
          <w:color w:val="auto"/>
          <w:sz w:val="24"/>
          <w:szCs w:val="20"/>
        </w:rPr>
      </w:pPr>
      <w:r>
        <w:rPr>
          <w:color w:val="auto"/>
          <w:sz w:val="24"/>
          <w:szCs w:val="20"/>
        </w:rPr>
        <w:t>应急预案是在贯彻预防为主的前提下，对项目可能出现的事故，为及时控制危害源，抢救受害人员，指导居民防护和组织撤离，消除危害后果而组织的求援活动的预想方案。它需要建设单位和社会救援相结合。环境风险事故特别是污水泄漏事故发生后，能否迅速而有效地作出应急反应，对于控制污染、减少污染损失以及消除污染等都起着关键性的作用。</w:t>
      </w:r>
    </w:p>
    <w:p w14:paraId="0E983D0C">
      <w:pPr>
        <w:spacing w:line="360" w:lineRule="auto"/>
        <w:ind w:firstLine="480" w:firstLineChars="200"/>
        <w:rPr>
          <w:color w:val="auto"/>
          <w:sz w:val="24"/>
          <w:szCs w:val="20"/>
        </w:rPr>
      </w:pPr>
      <w:r>
        <w:rPr>
          <w:color w:val="auto"/>
          <w:sz w:val="24"/>
          <w:szCs w:val="20"/>
        </w:rPr>
        <w:t>为了在发生事故时，能及时作出反应，对事故作出最快速、最有效的处理，要求编制环境风险应急预案。应急预案主要包括应急响应通知程序、应急机构建立和应急措施程序。</w:t>
      </w:r>
    </w:p>
    <w:p w14:paraId="5940BF17">
      <w:pPr>
        <w:spacing w:line="360" w:lineRule="auto"/>
        <w:ind w:firstLine="480" w:firstLineChars="200"/>
        <w:rPr>
          <w:color w:val="auto"/>
          <w:sz w:val="24"/>
          <w:szCs w:val="20"/>
        </w:rPr>
      </w:pPr>
      <w:r>
        <w:rPr>
          <w:rFonts w:hint="eastAsia"/>
          <w:color w:val="auto"/>
          <w:sz w:val="24"/>
          <w:szCs w:val="20"/>
          <w:lang w:eastAsia="zh-CN"/>
        </w:rPr>
        <w:t>（</w:t>
      </w:r>
      <w:r>
        <w:rPr>
          <w:rFonts w:hint="eastAsia"/>
          <w:color w:val="auto"/>
          <w:sz w:val="24"/>
          <w:szCs w:val="20"/>
          <w:lang w:val="en-US" w:eastAsia="zh-CN"/>
        </w:rPr>
        <w:t>1</w:t>
      </w:r>
      <w:r>
        <w:rPr>
          <w:rFonts w:hint="eastAsia"/>
          <w:color w:val="auto"/>
          <w:sz w:val="24"/>
          <w:szCs w:val="20"/>
          <w:lang w:eastAsia="zh-CN"/>
        </w:rPr>
        <w:t>）</w:t>
      </w:r>
      <w:r>
        <w:rPr>
          <w:color w:val="auto"/>
          <w:sz w:val="24"/>
          <w:szCs w:val="20"/>
        </w:rPr>
        <w:t>应急响应通知程序</w:t>
      </w:r>
    </w:p>
    <w:p w14:paraId="575A5C70">
      <w:pPr>
        <w:spacing w:line="360" w:lineRule="auto"/>
        <w:ind w:firstLine="480" w:firstLineChars="200"/>
        <w:rPr>
          <w:color w:val="auto"/>
          <w:sz w:val="24"/>
          <w:szCs w:val="20"/>
        </w:rPr>
      </w:pPr>
      <w:r>
        <w:rPr>
          <w:color w:val="auto"/>
          <w:sz w:val="24"/>
          <w:szCs w:val="20"/>
        </w:rPr>
        <w:t>为了确保有关人员能在发生事故时能及时得到警报并针对发生的紧急情况作出相应的反应，采取应对措施而设定应急响应通知程序，一旦通知在应急小组指挥责任范内，应急措施程序就立即生效。事故的通知取决于事故的种类和事故大小级别，并针对不同的种类、级别作出适应的响应。</w:t>
      </w:r>
    </w:p>
    <w:p w14:paraId="45275591">
      <w:pPr>
        <w:spacing w:line="360" w:lineRule="auto"/>
        <w:ind w:firstLine="480" w:firstLineChars="200"/>
        <w:rPr>
          <w:color w:val="auto"/>
          <w:sz w:val="24"/>
          <w:szCs w:val="20"/>
        </w:rPr>
      </w:pPr>
      <w:r>
        <w:rPr>
          <w:rFonts w:hint="eastAsia"/>
          <w:color w:val="auto"/>
          <w:sz w:val="24"/>
          <w:szCs w:val="20"/>
          <w:lang w:eastAsia="zh-CN"/>
        </w:rPr>
        <w:t>（</w:t>
      </w:r>
      <w:r>
        <w:rPr>
          <w:rFonts w:hint="eastAsia"/>
          <w:color w:val="auto"/>
          <w:sz w:val="24"/>
          <w:szCs w:val="20"/>
          <w:lang w:val="en-US" w:eastAsia="zh-CN"/>
        </w:rPr>
        <w:t>2</w:t>
      </w:r>
      <w:r>
        <w:rPr>
          <w:rFonts w:hint="eastAsia"/>
          <w:color w:val="auto"/>
          <w:sz w:val="24"/>
          <w:szCs w:val="20"/>
          <w:lang w:eastAsia="zh-CN"/>
        </w:rPr>
        <w:t>）</w:t>
      </w:r>
      <w:r>
        <w:rPr>
          <w:color w:val="auto"/>
          <w:sz w:val="24"/>
          <w:szCs w:val="20"/>
        </w:rPr>
        <w:t>应急机构建立</w:t>
      </w:r>
    </w:p>
    <w:p w14:paraId="17CC8653">
      <w:pPr>
        <w:spacing w:line="360" w:lineRule="auto"/>
        <w:ind w:firstLine="480" w:firstLineChars="200"/>
        <w:rPr>
          <w:color w:val="auto"/>
          <w:sz w:val="24"/>
          <w:szCs w:val="20"/>
        </w:rPr>
      </w:pPr>
      <w:r>
        <w:rPr>
          <w:color w:val="auto"/>
          <w:sz w:val="24"/>
          <w:szCs w:val="20"/>
        </w:rPr>
        <w:t>为了对突发的紧急事故于第一时间作出反应并采取相应的措施，使突发事故得到消除或控制在尽可能小的范围内，有必要建立一个高效率、强有力的应急小组来对紧急情况作出反应、进行处理。应急小组的组建原则是：所有的应急事故都属于现场管理的责任范围，并根据事故的组别和区域有应急小组响应进行处理。应急机构成员包括应急指挥、对外联络人、法律顾问、人力调配主管、作业主管等多方面的责任主管人员。</w:t>
      </w:r>
    </w:p>
    <w:p w14:paraId="486E4F04">
      <w:pPr>
        <w:spacing w:line="360" w:lineRule="auto"/>
        <w:ind w:firstLine="480" w:firstLineChars="200"/>
        <w:rPr>
          <w:color w:val="auto"/>
          <w:sz w:val="24"/>
          <w:szCs w:val="20"/>
        </w:rPr>
      </w:pPr>
      <w:r>
        <w:rPr>
          <w:rFonts w:hint="eastAsia"/>
          <w:color w:val="auto"/>
          <w:sz w:val="24"/>
          <w:szCs w:val="20"/>
          <w:lang w:eastAsia="zh-CN"/>
        </w:rPr>
        <w:t>（</w:t>
      </w:r>
      <w:r>
        <w:rPr>
          <w:rFonts w:hint="eastAsia"/>
          <w:color w:val="auto"/>
          <w:sz w:val="24"/>
          <w:szCs w:val="20"/>
          <w:lang w:val="en-US" w:eastAsia="zh-CN"/>
        </w:rPr>
        <w:t>3</w:t>
      </w:r>
      <w:r>
        <w:rPr>
          <w:rFonts w:hint="eastAsia"/>
          <w:color w:val="auto"/>
          <w:sz w:val="24"/>
          <w:szCs w:val="20"/>
          <w:lang w:eastAsia="zh-CN"/>
        </w:rPr>
        <w:t>）</w:t>
      </w:r>
      <w:r>
        <w:rPr>
          <w:color w:val="auto"/>
          <w:sz w:val="24"/>
          <w:szCs w:val="20"/>
        </w:rPr>
        <w:t>应急措施程序</w:t>
      </w:r>
    </w:p>
    <w:p w14:paraId="07AAE8A4">
      <w:pPr>
        <w:spacing w:line="360" w:lineRule="auto"/>
        <w:ind w:firstLine="480" w:firstLineChars="200"/>
        <w:rPr>
          <w:color w:val="auto"/>
          <w:sz w:val="24"/>
          <w:szCs w:val="20"/>
        </w:rPr>
      </w:pPr>
      <w:r>
        <w:rPr>
          <w:color w:val="auto"/>
          <w:sz w:val="24"/>
          <w:szCs w:val="20"/>
        </w:rPr>
        <w:t>1）迅速调用应急设施、设备器材与材料；</w:t>
      </w:r>
    </w:p>
    <w:p w14:paraId="346A0946">
      <w:pPr>
        <w:spacing w:line="360" w:lineRule="auto"/>
        <w:ind w:firstLine="480" w:firstLineChars="200"/>
        <w:rPr>
          <w:color w:val="auto"/>
          <w:sz w:val="24"/>
          <w:szCs w:val="20"/>
        </w:rPr>
      </w:pPr>
      <w:r>
        <w:rPr>
          <w:color w:val="auto"/>
          <w:sz w:val="24"/>
          <w:szCs w:val="20"/>
        </w:rPr>
        <w:t>2）现场管理应急措施：现场管理应急措施包括事故现场的组织、制度、分工、自救等方案制定。组织制定项目预防灾难事故的管理制度和技术措施，并加以落实，明确应急处理要求。明确项目应急处理的现场指挥机构及其相关系统，明确责任，并确保指挥到位和畅通。保证通讯，及时上报和联系。物资部门确保自救需要；</w:t>
      </w:r>
    </w:p>
    <w:p w14:paraId="68315951">
      <w:pPr>
        <w:spacing w:line="360" w:lineRule="auto"/>
        <w:ind w:firstLine="480" w:firstLineChars="200"/>
        <w:rPr>
          <w:color w:val="auto"/>
          <w:sz w:val="24"/>
          <w:szCs w:val="20"/>
        </w:rPr>
      </w:pPr>
      <w:r>
        <w:rPr>
          <w:color w:val="auto"/>
          <w:sz w:val="24"/>
          <w:szCs w:val="20"/>
        </w:rPr>
        <w:t>3）现场监测措施：为确保有效遏制灾害，有效救灾，需配备现场事故监测系统和设施，一及时准确发现灾情，了解灾难，并预测发展趋势。监测措施包括配备正常运行的事故监测报警系统、事故现场移动式或便携式监测装置及分析室分析检测装置。监测人员的培训、管理，业务素质的提高；</w:t>
      </w:r>
    </w:p>
    <w:p w14:paraId="582C0FD7">
      <w:pPr>
        <w:spacing w:line="360" w:lineRule="auto"/>
        <w:ind w:firstLine="480" w:firstLineChars="200"/>
        <w:rPr>
          <w:color w:val="auto"/>
          <w:sz w:val="24"/>
          <w:szCs w:val="20"/>
        </w:rPr>
      </w:pPr>
      <w:r>
        <w:rPr>
          <w:color w:val="auto"/>
          <w:sz w:val="24"/>
          <w:szCs w:val="20"/>
        </w:rPr>
        <w:t>4）现场善后计划措施：对事故现场善后处理，需制定计划，这是应急计划的重要部分。善后计划关系到防止污染的扩大和防止事故的进一步引发，应予重视。善后计划包括对事故处理后的现场进行清理、去污、恢复生产；对处理事故人员的污染检查、医学处理和受伤人员的及时治疗等。善后计划同时包括对事故现场作进一步的安全检查，尤其是由于事故或抢救过程中留下的隐患，是否可能进一步引起新的事故。善后计划包括对事故原因分析、教训的吸取，改进措施及总结，写出事故报告，报有关部门等。应急措施通常需要建设单位与社会救援相结合；</w:t>
      </w:r>
    </w:p>
    <w:p w14:paraId="408BF677">
      <w:pPr>
        <w:spacing w:line="360" w:lineRule="auto"/>
        <w:ind w:firstLine="480" w:firstLineChars="200"/>
        <w:rPr>
          <w:color w:val="auto"/>
          <w:sz w:val="24"/>
          <w:szCs w:val="20"/>
        </w:rPr>
      </w:pPr>
      <w:r>
        <w:rPr>
          <w:rFonts w:hint="eastAsia"/>
          <w:color w:val="auto"/>
          <w:sz w:val="24"/>
          <w:szCs w:val="20"/>
          <w:lang w:eastAsia="zh-CN"/>
        </w:rPr>
        <w:t>（</w:t>
      </w:r>
      <w:r>
        <w:rPr>
          <w:rFonts w:hint="eastAsia"/>
          <w:color w:val="auto"/>
          <w:sz w:val="24"/>
          <w:szCs w:val="20"/>
          <w:lang w:val="en-US" w:eastAsia="zh-CN"/>
        </w:rPr>
        <w:t>4</w:t>
      </w:r>
      <w:r>
        <w:rPr>
          <w:rFonts w:hint="eastAsia"/>
          <w:color w:val="auto"/>
          <w:sz w:val="24"/>
          <w:szCs w:val="20"/>
          <w:lang w:eastAsia="zh-CN"/>
        </w:rPr>
        <w:t>）</w:t>
      </w:r>
      <w:r>
        <w:rPr>
          <w:color w:val="auto"/>
          <w:sz w:val="24"/>
          <w:szCs w:val="20"/>
        </w:rPr>
        <w:t>企业、部门应急措施企业灾害事故应急救援应贯彻在预防为主的前提下，实施统一指挥，条块结合，以块为主，单位自救与社会救援相结合的原则。</w:t>
      </w:r>
    </w:p>
    <w:p w14:paraId="2BF6F432">
      <w:pPr>
        <w:spacing w:line="360" w:lineRule="auto"/>
        <w:ind w:firstLine="480" w:firstLineChars="200"/>
        <w:rPr>
          <w:color w:val="auto"/>
          <w:sz w:val="24"/>
          <w:szCs w:val="20"/>
        </w:rPr>
      </w:pPr>
      <w:r>
        <w:rPr>
          <w:color w:val="auto"/>
          <w:sz w:val="24"/>
          <w:szCs w:val="20"/>
        </w:rPr>
        <w:t>1）应急机构及其职责</w:t>
      </w:r>
    </w:p>
    <w:p w14:paraId="20645143">
      <w:pPr>
        <w:spacing w:line="360" w:lineRule="auto"/>
        <w:ind w:firstLine="480" w:firstLineChars="200"/>
        <w:rPr>
          <w:color w:val="auto"/>
          <w:sz w:val="24"/>
          <w:szCs w:val="20"/>
        </w:rPr>
      </w:pPr>
      <w:r>
        <w:rPr>
          <w:color w:val="auto"/>
          <w:sz w:val="24"/>
          <w:szCs w:val="20"/>
        </w:rPr>
        <w:t>企业应成立应急中心，其职责主要是：</w:t>
      </w:r>
    </w:p>
    <w:p w14:paraId="728D07B1">
      <w:pPr>
        <w:spacing w:line="360" w:lineRule="auto"/>
        <w:ind w:firstLine="480" w:firstLineChars="200"/>
        <w:rPr>
          <w:color w:val="auto"/>
          <w:sz w:val="24"/>
          <w:szCs w:val="20"/>
        </w:rPr>
      </w:pPr>
      <w:r>
        <w:rPr>
          <w:color w:val="auto"/>
          <w:sz w:val="24"/>
          <w:szCs w:val="20"/>
        </w:rPr>
        <w:t>①织制定本企业预防灾害事故的管理制度和技术措施，制定灾害事故应急救援预案；</w:t>
      </w:r>
    </w:p>
    <w:p w14:paraId="794B8174">
      <w:pPr>
        <w:spacing w:line="360" w:lineRule="auto"/>
        <w:ind w:firstLine="480" w:firstLineChars="200"/>
        <w:rPr>
          <w:color w:val="auto"/>
          <w:sz w:val="24"/>
          <w:szCs w:val="20"/>
        </w:rPr>
      </w:pPr>
      <w:r>
        <w:rPr>
          <w:color w:val="auto"/>
          <w:sz w:val="24"/>
          <w:szCs w:val="20"/>
        </w:rPr>
        <w:t>②组织本企业开展灾害事故预防和应急救援的培训和训练；</w:t>
      </w:r>
    </w:p>
    <w:p w14:paraId="6524B9AA">
      <w:pPr>
        <w:spacing w:line="360" w:lineRule="auto"/>
        <w:ind w:firstLine="480" w:firstLineChars="200"/>
        <w:rPr>
          <w:color w:val="auto"/>
          <w:sz w:val="24"/>
          <w:szCs w:val="20"/>
        </w:rPr>
      </w:pPr>
      <w:r>
        <w:rPr>
          <w:color w:val="auto"/>
          <w:sz w:val="24"/>
          <w:szCs w:val="20"/>
        </w:rPr>
        <w:t>③组织和指导本企业各单位的灾害事故自救和社会救援工作。</w:t>
      </w:r>
    </w:p>
    <w:p w14:paraId="0D1F3774">
      <w:pPr>
        <w:spacing w:line="360" w:lineRule="auto"/>
        <w:ind w:firstLine="480" w:firstLineChars="200"/>
        <w:rPr>
          <w:color w:val="auto"/>
          <w:sz w:val="24"/>
          <w:szCs w:val="20"/>
        </w:rPr>
      </w:pPr>
      <w:r>
        <w:rPr>
          <w:color w:val="auto"/>
          <w:sz w:val="24"/>
          <w:szCs w:val="20"/>
        </w:rPr>
        <w:t>企业成立事故应急组织，由生产、安全、环保、卫生、消防、工程等方面有一定应急理论和实践的人员组成，为事故应急决策提供技术咨询和技术方案及建议。</w:t>
      </w:r>
    </w:p>
    <w:p w14:paraId="540C9D3D">
      <w:pPr>
        <w:spacing w:line="360" w:lineRule="auto"/>
        <w:ind w:firstLine="480" w:firstLineChars="200"/>
        <w:rPr>
          <w:color w:val="auto"/>
          <w:sz w:val="24"/>
          <w:szCs w:val="20"/>
        </w:rPr>
      </w:pPr>
      <w:r>
        <w:rPr>
          <w:color w:val="auto"/>
          <w:sz w:val="24"/>
          <w:szCs w:val="20"/>
        </w:rPr>
        <w:t>2）应急救援</w:t>
      </w:r>
    </w:p>
    <w:p w14:paraId="622C4315">
      <w:pPr>
        <w:spacing w:line="360" w:lineRule="auto"/>
        <w:ind w:firstLine="480" w:firstLineChars="200"/>
        <w:rPr>
          <w:color w:val="auto"/>
          <w:sz w:val="24"/>
          <w:szCs w:val="20"/>
        </w:rPr>
      </w:pPr>
      <w:r>
        <w:rPr>
          <w:color w:val="auto"/>
          <w:sz w:val="24"/>
          <w:szCs w:val="20"/>
        </w:rPr>
        <w:t>在发生灾害事故时，应迅速准确地报警，同时组织消防队伍开展自救，采取措施控制危害源，防止次生灾害的发生。</w:t>
      </w:r>
    </w:p>
    <w:p w14:paraId="7089A05F">
      <w:pPr>
        <w:spacing w:line="360" w:lineRule="auto"/>
        <w:ind w:firstLine="480" w:firstLineChars="200"/>
        <w:rPr>
          <w:color w:val="auto"/>
          <w:sz w:val="24"/>
          <w:szCs w:val="20"/>
        </w:rPr>
      </w:pPr>
      <w:r>
        <w:rPr>
          <w:color w:val="auto"/>
          <w:sz w:val="24"/>
          <w:szCs w:val="20"/>
        </w:rPr>
        <w:t>在事故现场的救援中，由现场指挥部集中统一指挥，灾情和救援活动情况由指挥部向企业应急救援中心报告。由企业救援中心向社会救援中心报告。如需社会救援，则由社会救援中心派遣专业队伍参战。</w:t>
      </w:r>
    </w:p>
    <w:p w14:paraId="41B9E2C2">
      <w:pPr>
        <w:spacing w:line="360" w:lineRule="auto"/>
        <w:ind w:firstLine="480" w:firstLineChars="200"/>
        <w:rPr>
          <w:color w:val="auto"/>
          <w:sz w:val="24"/>
          <w:szCs w:val="20"/>
        </w:rPr>
      </w:pPr>
      <w:r>
        <w:rPr>
          <w:color w:val="auto"/>
          <w:sz w:val="24"/>
          <w:szCs w:val="20"/>
        </w:rPr>
        <w:t>企业在运输过程中发生的灾害事故，按就近救援的原则，先由运输人员自救，同时请求事故所在地社会救援中心或人防办组织救援，并同时报告单位，单位接到报告后，迅速组织防化队伍赴现场组织救援。</w:t>
      </w:r>
    </w:p>
    <w:p w14:paraId="4131EC6B">
      <w:pPr>
        <w:spacing w:line="360" w:lineRule="auto"/>
        <w:ind w:firstLine="480" w:firstLineChars="200"/>
        <w:rPr>
          <w:color w:val="auto"/>
          <w:sz w:val="24"/>
          <w:szCs w:val="20"/>
        </w:rPr>
      </w:pPr>
      <w:r>
        <w:rPr>
          <w:color w:val="auto"/>
          <w:sz w:val="24"/>
          <w:szCs w:val="20"/>
        </w:rPr>
        <w:t>3）应急状态的终止和善后计划措施</w:t>
      </w:r>
    </w:p>
    <w:p w14:paraId="74E6998E">
      <w:pPr>
        <w:spacing w:line="360" w:lineRule="auto"/>
        <w:ind w:firstLine="480" w:firstLineChars="200"/>
        <w:rPr>
          <w:color w:val="auto"/>
          <w:sz w:val="24"/>
          <w:szCs w:val="20"/>
        </w:rPr>
      </w:pPr>
      <w:r>
        <w:rPr>
          <w:color w:val="auto"/>
          <w:sz w:val="24"/>
          <w:szCs w:val="20"/>
        </w:rPr>
        <w:t>企业应急状态的终止由企业应急中心根据现场指挥部和事故应急组织意见决定，并发布。事故现场及受其影响区域，根据实际情况采取有效善后措施。企业善后计划措施包括确认事故状态彻底解除、清理现场、清除污染、恢复生产等现场工作；对事故中受伤人员的医治；事故损失的估算；事故原因分析和防止事故再发生的防范措施等，总结教训，写出事故报告，报有关主管部门等。</w:t>
      </w:r>
    </w:p>
    <w:p w14:paraId="53252D40">
      <w:pPr>
        <w:spacing w:line="360" w:lineRule="auto"/>
        <w:ind w:firstLine="480" w:firstLineChars="200"/>
        <w:rPr>
          <w:color w:val="auto"/>
          <w:sz w:val="24"/>
          <w:szCs w:val="20"/>
        </w:rPr>
      </w:pPr>
      <w:r>
        <w:rPr>
          <w:rFonts w:hint="eastAsia"/>
          <w:color w:val="auto"/>
          <w:sz w:val="24"/>
          <w:szCs w:val="20"/>
          <w:lang w:eastAsia="zh-CN"/>
        </w:rPr>
        <w:t>（</w:t>
      </w:r>
      <w:r>
        <w:rPr>
          <w:rFonts w:hint="eastAsia"/>
          <w:color w:val="auto"/>
          <w:sz w:val="24"/>
          <w:szCs w:val="20"/>
          <w:lang w:val="en-US" w:eastAsia="zh-CN"/>
        </w:rPr>
        <w:t>5</w:t>
      </w:r>
      <w:r>
        <w:rPr>
          <w:rFonts w:hint="eastAsia"/>
          <w:color w:val="auto"/>
          <w:sz w:val="24"/>
          <w:szCs w:val="20"/>
          <w:lang w:eastAsia="zh-CN"/>
        </w:rPr>
        <w:t>）</w:t>
      </w:r>
      <w:r>
        <w:rPr>
          <w:color w:val="auto"/>
          <w:sz w:val="24"/>
          <w:szCs w:val="20"/>
        </w:rPr>
        <w:t>社会救援应急预案</w:t>
      </w:r>
    </w:p>
    <w:p w14:paraId="7F844FF6">
      <w:pPr>
        <w:spacing w:line="360" w:lineRule="auto"/>
        <w:ind w:firstLine="480" w:firstLineChars="200"/>
        <w:rPr>
          <w:color w:val="auto"/>
          <w:sz w:val="24"/>
          <w:szCs w:val="20"/>
        </w:rPr>
      </w:pPr>
      <w:r>
        <w:rPr>
          <w:rFonts w:hint="eastAsia"/>
          <w:color w:val="auto"/>
          <w:sz w:val="24"/>
          <w:szCs w:val="20"/>
          <w:highlight w:val="none"/>
          <w:lang w:eastAsia="zh-CN"/>
        </w:rPr>
        <w:t>废水收集池</w:t>
      </w:r>
      <w:r>
        <w:rPr>
          <w:rFonts w:hint="eastAsia"/>
          <w:color w:val="auto"/>
          <w:sz w:val="24"/>
          <w:szCs w:val="20"/>
          <w:highlight w:val="none"/>
        </w:rPr>
        <w:t>、</w:t>
      </w:r>
      <w:r>
        <w:rPr>
          <w:rFonts w:hint="eastAsia"/>
          <w:color w:val="auto"/>
          <w:sz w:val="24"/>
          <w:highlight w:val="none"/>
          <w:lang w:eastAsia="zh-CN"/>
        </w:rPr>
        <w:t>临时储粪场</w:t>
      </w:r>
      <w:r>
        <w:rPr>
          <w:color w:val="auto"/>
          <w:sz w:val="24"/>
          <w:szCs w:val="20"/>
          <w:highlight w:val="none"/>
        </w:rPr>
        <w:t>泄漏，风</w:t>
      </w:r>
      <w:r>
        <w:rPr>
          <w:color w:val="auto"/>
          <w:sz w:val="24"/>
          <w:szCs w:val="20"/>
        </w:rPr>
        <w:t>险物质泄漏、火灾、爆炸等的事故具有发生突然、扩散迅速、影响范围大、危害途径多、救援专业性强等特点。因此，事故应急必须统一指挥、分级负责，条块结合、区域为主，防救结合、防护为主，点面结合、确保重点、专群结合、科学有效的原则。社会救援的基本任务是：维护社会秩序、控制污染、减轻危害、指导居民防护、救治受害人员。</w:t>
      </w:r>
    </w:p>
    <w:p w14:paraId="7229705C">
      <w:pPr>
        <w:pStyle w:val="4"/>
        <w:snapToGrid w:val="0"/>
        <w:spacing w:before="0"/>
        <w:rPr>
          <w:rFonts w:ascii="Times New Roman" w:hAnsi="Times New Roman" w:eastAsia="宋体"/>
          <w:bCs/>
          <w:color w:val="auto"/>
          <w:sz w:val="28"/>
          <w:szCs w:val="28"/>
        </w:rPr>
      </w:pPr>
      <w:bookmarkStart w:id="372" w:name="_Toc28168"/>
      <w:r>
        <w:rPr>
          <w:rFonts w:ascii="Times New Roman" w:hAnsi="Times New Roman" w:eastAsia="宋体"/>
          <w:bCs/>
          <w:color w:val="auto"/>
          <w:sz w:val="28"/>
          <w:szCs w:val="28"/>
        </w:rPr>
        <w:t>6.4.1环境风险评价结论</w:t>
      </w:r>
      <w:bookmarkEnd w:id="372"/>
    </w:p>
    <w:p w14:paraId="2E4FC6FE">
      <w:pPr>
        <w:pStyle w:val="52"/>
        <w:spacing w:after="0" w:line="360" w:lineRule="auto"/>
        <w:ind w:left="0" w:leftChars="0" w:firstLine="480"/>
        <w:rPr>
          <w:color w:val="auto"/>
          <w:sz w:val="24"/>
        </w:rPr>
      </w:pPr>
      <w:r>
        <w:rPr>
          <w:color w:val="auto"/>
          <w:sz w:val="24"/>
        </w:rPr>
        <w:t>经分析，项目运营过程中存在的风险物质尚未构成重大危险源。建设单位应采用严格的国际通用的安全防范体系，有一套完整的管理规程、作业规章和应急计划，可最大限度地降低环境风险，一旦意外事件发生，也能最大限度地减少环境污染危害和人们生命财产的损失，因此本项目的环境风险是可防控的。</w:t>
      </w:r>
    </w:p>
    <w:p w14:paraId="5E044A31">
      <w:pPr>
        <w:pStyle w:val="52"/>
        <w:spacing w:after="0" w:line="360" w:lineRule="auto"/>
        <w:ind w:left="0" w:leftChars="0" w:firstLine="480"/>
        <w:rPr>
          <w:color w:val="auto"/>
          <w:sz w:val="24"/>
        </w:rPr>
      </w:pPr>
      <w:r>
        <w:rPr>
          <w:color w:val="auto"/>
          <w:sz w:val="24"/>
        </w:rPr>
        <w:t>本项目存在的环境风险分析见下表</w:t>
      </w:r>
      <w:r>
        <w:rPr>
          <w:rFonts w:hint="eastAsia"/>
          <w:color w:val="auto"/>
          <w:sz w:val="24"/>
          <w:lang w:val="en-US" w:eastAsia="zh-CN"/>
        </w:rPr>
        <w:t>6.4-1</w:t>
      </w:r>
      <w:r>
        <w:rPr>
          <w:color w:val="auto"/>
          <w:sz w:val="24"/>
        </w:rPr>
        <w:t>。</w:t>
      </w:r>
    </w:p>
    <w:p w14:paraId="61991650">
      <w:pPr>
        <w:pStyle w:val="52"/>
        <w:autoSpaceDE w:val="0"/>
        <w:autoSpaceDN w:val="0"/>
        <w:spacing w:after="0"/>
        <w:ind w:left="0" w:leftChars="0" w:firstLine="422"/>
        <w:jc w:val="center"/>
        <w:rPr>
          <w:b/>
          <w:bCs/>
          <w:color w:val="auto"/>
          <w:szCs w:val="21"/>
        </w:rPr>
      </w:pPr>
    </w:p>
    <w:p w14:paraId="138441D7">
      <w:pPr>
        <w:pStyle w:val="52"/>
        <w:autoSpaceDE w:val="0"/>
        <w:autoSpaceDN w:val="0"/>
        <w:spacing w:after="0"/>
        <w:ind w:left="0" w:leftChars="0" w:firstLine="422"/>
        <w:jc w:val="center"/>
        <w:rPr>
          <w:b/>
          <w:bCs/>
          <w:color w:val="auto"/>
          <w:szCs w:val="21"/>
        </w:rPr>
      </w:pPr>
      <w:r>
        <w:rPr>
          <w:b/>
          <w:bCs/>
          <w:color w:val="auto"/>
          <w:szCs w:val="21"/>
        </w:rPr>
        <w:t>表</w:t>
      </w:r>
      <w:r>
        <w:rPr>
          <w:rFonts w:hint="eastAsia"/>
          <w:b/>
          <w:bCs/>
          <w:color w:val="auto"/>
          <w:szCs w:val="21"/>
          <w:lang w:val="en-US" w:eastAsia="zh-CN"/>
        </w:rPr>
        <w:t xml:space="preserve">6.4-1  </w:t>
      </w:r>
      <w:r>
        <w:rPr>
          <w:rFonts w:hint="eastAsia"/>
          <w:b/>
          <w:bCs/>
          <w:color w:val="auto"/>
          <w:szCs w:val="21"/>
        </w:rPr>
        <w:t xml:space="preserve"> </w:t>
      </w:r>
      <w:r>
        <w:rPr>
          <w:b/>
          <w:bCs/>
          <w:color w:val="auto"/>
          <w:szCs w:val="21"/>
        </w:rPr>
        <w:t xml:space="preserve"> 项目环境风险简单分析内容表</w:t>
      </w:r>
    </w:p>
    <w:tbl>
      <w:tblPr>
        <w:tblStyle w:val="53"/>
        <w:tblW w:w="0" w:type="auto"/>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973"/>
        <w:gridCol w:w="2777"/>
        <w:gridCol w:w="973"/>
        <w:gridCol w:w="2643"/>
      </w:tblGrid>
      <w:tr w14:paraId="15E4A8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14EE10C7">
            <w:pPr>
              <w:pStyle w:val="52"/>
              <w:spacing w:after="0"/>
              <w:ind w:left="0" w:leftChars="0" w:firstLine="0" w:firstLineChars="0"/>
              <w:jc w:val="center"/>
              <w:rPr>
                <w:color w:val="auto"/>
                <w:szCs w:val="21"/>
              </w:rPr>
            </w:pPr>
            <w:r>
              <w:rPr>
                <w:color w:val="auto"/>
                <w:szCs w:val="21"/>
              </w:rPr>
              <w:t>建设项目名称</w:t>
            </w:r>
          </w:p>
        </w:tc>
        <w:tc>
          <w:tcPr>
            <w:tcW w:w="0" w:type="auto"/>
            <w:gridSpan w:val="4"/>
            <w:vAlign w:val="center"/>
          </w:tcPr>
          <w:p w14:paraId="6829F346">
            <w:pPr>
              <w:pStyle w:val="52"/>
              <w:spacing w:after="0"/>
              <w:ind w:left="0" w:leftChars="0" w:firstLine="0" w:firstLineChars="0"/>
              <w:jc w:val="center"/>
              <w:rPr>
                <w:rFonts w:hint="eastAsia" w:eastAsia="宋体"/>
                <w:color w:val="auto"/>
                <w:szCs w:val="21"/>
                <w:lang w:eastAsia="zh-CN"/>
              </w:rPr>
            </w:pPr>
            <w:r>
              <w:rPr>
                <w:rFonts w:hint="eastAsia"/>
                <w:color w:val="auto"/>
                <w:szCs w:val="21"/>
                <w:lang w:eastAsia="zh-CN"/>
              </w:rPr>
              <w:t>北票天勤农牧科技有限公司100万只蛋鸡养殖基地建设项目</w:t>
            </w:r>
          </w:p>
        </w:tc>
      </w:tr>
      <w:tr w14:paraId="461C5BD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3F6522E8">
            <w:pPr>
              <w:pStyle w:val="52"/>
              <w:spacing w:after="0"/>
              <w:ind w:left="0" w:leftChars="0" w:firstLine="0" w:firstLineChars="0"/>
              <w:jc w:val="center"/>
              <w:rPr>
                <w:color w:val="auto"/>
                <w:szCs w:val="21"/>
              </w:rPr>
            </w:pPr>
            <w:r>
              <w:rPr>
                <w:color w:val="auto"/>
                <w:szCs w:val="21"/>
              </w:rPr>
              <w:t>建设地点</w:t>
            </w:r>
          </w:p>
        </w:tc>
        <w:tc>
          <w:tcPr>
            <w:tcW w:w="0" w:type="auto"/>
            <w:vAlign w:val="center"/>
          </w:tcPr>
          <w:p w14:paraId="16EBB22F">
            <w:pPr>
              <w:pStyle w:val="52"/>
              <w:spacing w:after="0"/>
              <w:ind w:left="0" w:leftChars="0" w:firstLine="0" w:firstLineChars="0"/>
              <w:jc w:val="center"/>
              <w:rPr>
                <w:rFonts w:hint="eastAsia" w:eastAsia="宋体"/>
                <w:color w:val="auto"/>
                <w:szCs w:val="21"/>
                <w:highlight w:val="none"/>
                <w:lang w:eastAsia="zh-CN"/>
              </w:rPr>
            </w:pPr>
            <w:r>
              <w:rPr>
                <w:rFonts w:hint="eastAsia"/>
                <w:color w:val="auto"/>
                <w:szCs w:val="21"/>
                <w:highlight w:val="none"/>
                <w:lang w:eastAsia="zh-CN"/>
              </w:rPr>
              <w:t>辽宁省</w:t>
            </w:r>
          </w:p>
        </w:tc>
        <w:tc>
          <w:tcPr>
            <w:tcW w:w="0" w:type="auto"/>
            <w:vAlign w:val="center"/>
          </w:tcPr>
          <w:p w14:paraId="6E83F917">
            <w:pPr>
              <w:pStyle w:val="52"/>
              <w:spacing w:after="0"/>
              <w:ind w:left="0" w:leftChars="0" w:firstLine="0" w:firstLineChars="0"/>
              <w:jc w:val="center"/>
              <w:rPr>
                <w:rFonts w:hint="eastAsia" w:eastAsia="宋体"/>
                <w:color w:val="auto"/>
                <w:szCs w:val="21"/>
                <w:highlight w:val="none"/>
                <w:lang w:eastAsia="zh-CN"/>
              </w:rPr>
            </w:pPr>
            <w:r>
              <w:rPr>
                <w:rFonts w:hint="eastAsia"/>
                <w:color w:val="auto"/>
                <w:szCs w:val="21"/>
                <w:highlight w:val="none"/>
                <w:lang w:eastAsia="zh-CN"/>
              </w:rPr>
              <w:t>朝阳市</w:t>
            </w:r>
          </w:p>
        </w:tc>
        <w:tc>
          <w:tcPr>
            <w:tcW w:w="0" w:type="auto"/>
            <w:vAlign w:val="center"/>
          </w:tcPr>
          <w:p w14:paraId="333F31A4">
            <w:pPr>
              <w:pStyle w:val="52"/>
              <w:spacing w:after="0"/>
              <w:ind w:left="0" w:leftChars="0" w:firstLine="0" w:firstLineChars="0"/>
              <w:jc w:val="center"/>
              <w:rPr>
                <w:color w:val="auto"/>
                <w:szCs w:val="21"/>
                <w:highlight w:val="none"/>
              </w:rPr>
            </w:pPr>
            <w:r>
              <w:rPr>
                <w:rFonts w:hint="eastAsia"/>
                <w:color w:val="auto"/>
                <w:szCs w:val="21"/>
                <w:highlight w:val="none"/>
                <w:lang w:eastAsia="zh-CN"/>
              </w:rPr>
              <w:t>北票市</w:t>
            </w:r>
          </w:p>
        </w:tc>
        <w:tc>
          <w:tcPr>
            <w:tcW w:w="0" w:type="auto"/>
            <w:vAlign w:val="center"/>
          </w:tcPr>
          <w:p w14:paraId="0239FC95">
            <w:pPr>
              <w:pStyle w:val="52"/>
              <w:spacing w:after="0"/>
              <w:ind w:left="0" w:leftChars="0" w:firstLine="0" w:firstLineChars="0"/>
              <w:jc w:val="center"/>
              <w:rPr>
                <w:color w:val="auto"/>
                <w:szCs w:val="21"/>
                <w:highlight w:val="none"/>
              </w:rPr>
            </w:pPr>
            <w:r>
              <w:rPr>
                <w:rFonts w:hint="eastAsia" w:ascii="宋体" w:hAnsi="宋体" w:eastAsia="宋体"/>
                <w:szCs w:val="21"/>
                <w:highlight w:val="none"/>
                <w:lang w:val="en-US" w:eastAsia="zh-CN"/>
              </w:rPr>
              <w:t>西官镇大巴里村</w:t>
            </w:r>
          </w:p>
        </w:tc>
      </w:tr>
      <w:tr w14:paraId="2E81027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1A3E7149">
            <w:pPr>
              <w:pStyle w:val="52"/>
              <w:spacing w:after="0"/>
              <w:ind w:left="0" w:leftChars="0" w:firstLine="0" w:firstLineChars="0"/>
              <w:jc w:val="center"/>
              <w:rPr>
                <w:color w:val="auto"/>
                <w:szCs w:val="21"/>
              </w:rPr>
            </w:pPr>
            <w:r>
              <w:rPr>
                <w:color w:val="auto"/>
                <w:szCs w:val="21"/>
              </w:rPr>
              <w:t>地理坐标</w:t>
            </w:r>
          </w:p>
        </w:tc>
        <w:tc>
          <w:tcPr>
            <w:tcW w:w="0" w:type="auto"/>
            <w:vAlign w:val="center"/>
          </w:tcPr>
          <w:p w14:paraId="5C14D17A">
            <w:pPr>
              <w:pStyle w:val="52"/>
              <w:spacing w:after="0"/>
              <w:ind w:left="0" w:leftChars="0" w:firstLine="0" w:firstLineChars="0"/>
              <w:jc w:val="center"/>
              <w:rPr>
                <w:color w:val="auto"/>
                <w:szCs w:val="21"/>
                <w:highlight w:val="none"/>
              </w:rPr>
            </w:pPr>
            <w:r>
              <w:rPr>
                <w:color w:val="auto"/>
                <w:szCs w:val="21"/>
                <w:highlight w:val="none"/>
              </w:rPr>
              <w:t>经度</w:t>
            </w:r>
          </w:p>
        </w:tc>
        <w:tc>
          <w:tcPr>
            <w:tcW w:w="0" w:type="auto"/>
            <w:vAlign w:val="center"/>
          </w:tcPr>
          <w:p w14:paraId="16EF42E0">
            <w:pPr>
              <w:pStyle w:val="52"/>
              <w:spacing w:after="0"/>
              <w:ind w:left="0" w:lef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120°37′42.72969″</w:t>
            </w:r>
          </w:p>
        </w:tc>
        <w:tc>
          <w:tcPr>
            <w:tcW w:w="0" w:type="auto"/>
            <w:vAlign w:val="center"/>
          </w:tcPr>
          <w:p w14:paraId="64DA779F">
            <w:pPr>
              <w:pStyle w:val="52"/>
              <w:spacing w:after="0"/>
              <w:ind w:left="0" w:lef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纬度</w:t>
            </w:r>
          </w:p>
        </w:tc>
        <w:tc>
          <w:tcPr>
            <w:tcW w:w="0" w:type="auto"/>
            <w:vAlign w:val="center"/>
          </w:tcPr>
          <w:p w14:paraId="2680B531">
            <w:pPr>
              <w:pStyle w:val="52"/>
              <w:spacing w:after="0"/>
              <w:ind w:left="0" w:lef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41°51′38.02589″</w:t>
            </w:r>
          </w:p>
        </w:tc>
      </w:tr>
      <w:tr w14:paraId="1F6D0C9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0E1F0B18">
            <w:pPr>
              <w:pStyle w:val="52"/>
              <w:spacing w:after="0"/>
              <w:ind w:left="0" w:leftChars="0" w:firstLine="0" w:firstLineChars="0"/>
              <w:jc w:val="center"/>
              <w:rPr>
                <w:color w:val="auto"/>
                <w:szCs w:val="21"/>
              </w:rPr>
            </w:pPr>
            <w:r>
              <w:rPr>
                <w:color w:val="auto"/>
                <w:szCs w:val="21"/>
              </w:rPr>
              <w:t>主要危险物质及分布</w:t>
            </w:r>
          </w:p>
        </w:tc>
        <w:tc>
          <w:tcPr>
            <w:tcW w:w="0" w:type="auto"/>
            <w:gridSpan w:val="4"/>
            <w:vAlign w:val="center"/>
          </w:tcPr>
          <w:p w14:paraId="2A682CA5">
            <w:pPr>
              <w:pStyle w:val="52"/>
              <w:spacing w:after="0"/>
              <w:ind w:left="0" w:leftChars="0" w:firstLine="0" w:firstLineChars="0"/>
              <w:jc w:val="center"/>
              <w:rPr>
                <w:color w:val="auto"/>
                <w:szCs w:val="21"/>
                <w:highlight w:val="none"/>
              </w:rPr>
            </w:pPr>
            <w:r>
              <w:rPr>
                <w:color w:val="auto"/>
                <w:szCs w:val="21"/>
                <w:highlight w:val="none"/>
              </w:rPr>
              <w:t>本项目使用的柴油不在厂内大量储存，随时进行购买，厂内</w:t>
            </w:r>
            <w:r>
              <w:rPr>
                <w:rFonts w:hint="eastAsia"/>
                <w:color w:val="auto"/>
                <w:szCs w:val="21"/>
                <w:highlight w:val="none"/>
              </w:rPr>
              <w:t>柴油</w:t>
            </w:r>
            <w:r>
              <w:rPr>
                <w:color w:val="auto"/>
                <w:szCs w:val="21"/>
                <w:highlight w:val="none"/>
              </w:rPr>
              <w:t>最大储存量为0.51t，桶装暂存于</w:t>
            </w:r>
            <w:r>
              <w:rPr>
                <w:rFonts w:hint="eastAsia"/>
                <w:color w:val="auto"/>
                <w:szCs w:val="21"/>
                <w:highlight w:val="none"/>
                <w:lang w:eastAsia="zh-CN"/>
              </w:rPr>
              <w:t>配电室</w:t>
            </w:r>
            <w:r>
              <w:rPr>
                <w:color w:val="auto"/>
                <w:szCs w:val="21"/>
                <w:highlight w:val="none"/>
              </w:rPr>
              <w:t>内。</w:t>
            </w:r>
          </w:p>
        </w:tc>
      </w:tr>
      <w:tr w14:paraId="6FB6C9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044757F3">
            <w:pPr>
              <w:pStyle w:val="52"/>
              <w:spacing w:after="0"/>
              <w:ind w:left="0" w:leftChars="0" w:firstLine="0" w:firstLineChars="0"/>
              <w:jc w:val="center"/>
              <w:rPr>
                <w:color w:val="auto"/>
                <w:szCs w:val="21"/>
              </w:rPr>
            </w:pPr>
            <w:r>
              <w:rPr>
                <w:color w:val="auto"/>
                <w:szCs w:val="21"/>
              </w:rPr>
              <w:t>环境影响途径及危害后果（大气、地表水、地下水等）</w:t>
            </w:r>
          </w:p>
        </w:tc>
        <w:tc>
          <w:tcPr>
            <w:tcW w:w="0" w:type="auto"/>
            <w:gridSpan w:val="4"/>
            <w:vAlign w:val="center"/>
          </w:tcPr>
          <w:p w14:paraId="4C43FFBF">
            <w:pPr>
              <w:ind w:firstLine="420" w:firstLineChars="200"/>
              <w:jc w:val="left"/>
              <w:rPr>
                <w:color w:val="auto"/>
                <w:szCs w:val="21"/>
                <w:highlight w:val="none"/>
              </w:rPr>
            </w:pPr>
            <w:r>
              <w:rPr>
                <w:color w:val="auto"/>
                <w:szCs w:val="21"/>
                <w:highlight w:val="none"/>
              </w:rPr>
              <w:t>1、</w:t>
            </w:r>
            <w:r>
              <w:rPr>
                <w:rFonts w:hint="eastAsia"/>
                <w:color w:val="auto"/>
                <w:szCs w:val="21"/>
                <w:highlight w:val="none"/>
                <w:lang w:eastAsia="zh-CN"/>
              </w:rPr>
              <w:t>废水收集池</w:t>
            </w:r>
            <w:r>
              <w:rPr>
                <w:color w:val="auto"/>
                <w:szCs w:val="21"/>
                <w:highlight w:val="none"/>
              </w:rPr>
              <w:t>泄漏导致污水未经处理直接排入地表及自然水体，对地表水、地下水、土壤等环境造成影响；</w:t>
            </w:r>
          </w:p>
          <w:p w14:paraId="311FD527">
            <w:pPr>
              <w:ind w:firstLine="420" w:firstLineChars="200"/>
              <w:jc w:val="left"/>
              <w:rPr>
                <w:color w:val="auto"/>
                <w:szCs w:val="21"/>
                <w:highlight w:val="none"/>
              </w:rPr>
            </w:pPr>
            <w:r>
              <w:rPr>
                <w:color w:val="auto"/>
                <w:szCs w:val="21"/>
                <w:highlight w:val="none"/>
              </w:rPr>
              <w:t>2、项目在养殖过程中，若遇到流行性疫病，病毒、致病菌等通过污水、病死鸡等进入周边环境，对周边养殖户或居民造成不良影响，可能导致疾病蔓延；</w:t>
            </w:r>
          </w:p>
          <w:p w14:paraId="41E30749">
            <w:pPr>
              <w:ind w:firstLine="420" w:firstLineChars="200"/>
              <w:jc w:val="left"/>
              <w:rPr>
                <w:color w:val="auto"/>
                <w:szCs w:val="21"/>
                <w:highlight w:val="none"/>
              </w:rPr>
            </w:pPr>
            <w:r>
              <w:rPr>
                <w:color w:val="auto"/>
                <w:szCs w:val="21"/>
                <w:highlight w:val="none"/>
              </w:rPr>
              <w:t>3、风险物质柴油一但泄漏，泄漏的液体有进入土壤和地下水的风险，污染环境。若遇上明火有可能发生火灾或爆炸事故，且伴生有害气体的风险；若泄漏的柴油达不到火灾或爆炸极限，有可能发生中毒事故，从而对人体、自然环境等造成伤害和损坏；泄漏物质处置过程中使用的砂土、石灰、苏打灰等惰性材料以及消防用水、灭火干粉等后期处置都会造成一定程度的环境影响。</w:t>
            </w:r>
          </w:p>
        </w:tc>
      </w:tr>
      <w:tr w14:paraId="7BFB56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2AF80E65">
            <w:pPr>
              <w:pStyle w:val="52"/>
              <w:spacing w:after="0"/>
              <w:ind w:left="0" w:leftChars="0" w:firstLine="0" w:firstLineChars="0"/>
              <w:jc w:val="center"/>
              <w:rPr>
                <w:color w:val="auto"/>
                <w:szCs w:val="21"/>
              </w:rPr>
            </w:pPr>
            <w:r>
              <w:rPr>
                <w:color w:val="auto"/>
                <w:szCs w:val="21"/>
              </w:rPr>
              <w:t>风险防范措施要求</w:t>
            </w:r>
          </w:p>
        </w:tc>
        <w:tc>
          <w:tcPr>
            <w:tcW w:w="0" w:type="auto"/>
            <w:gridSpan w:val="4"/>
            <w:vAlign w:val="center"/>
          </w:tcPr>
          <w:p w14:paraId="0EC6ACAB">
            <w:pPr>
              <w:pStyle w:val="51"/>
              <w:spacing w:after="0" w:line="240" w:lineRule="auto"/>
              <w:ind w:firstLineChars="200"/>
              <w:jc w:val="left"/>
              <w:rPr>
                <w:rFonts w:ascii="Times New Roman"/>
                <w:color w:val="auto"/>
                <w:sz w:val="21"/>
                <w:szCs w:val="21"/>
              </w:rPr>
            </w:pPr>
            <w:r>
              <w:rPr>
                <w:rFonts w:ascii="Times New Roman"/>
                <w:color w:val="auto"/>
                <w:sz w:val="21"/>
                <w:szCs w:val="21"/>
              </w:rPr>
              <w:t>1、物料运输风险防范措施：①合理规划运输路线，避免在车流和人流高峰时间运输。②运输车辆应在明显位置使用规定的危险物品标志。③由专业有资质的运输单位使用专用设备进行运输。④运输过程中发生意外，在采取紧急处理方案的同时，必须迅速报告公安、环保等有关部门，必要时疏散群众，防止事态进一步扩大，并积极协助公安和消防人员抢救伤者和物资，使损失降低到最小程度。</w:t>
            </w:r>
          </w:p>
          <w:p w14:paraId="10ACB223">
            <w:pPr>
              <w:pStyle w:val="51"/>
              <w:spacing w:after="0" w:line="240" w:lineRule="auto"/>
              <w:ind w:firstLineChars="200"/>
              <w:jc w:val="left"/>
              <w:rPr>
                <w:rFonts w:ascii="Times New Roman"/>
                <w:color w:val="auto"/>
                <w:sz w:val="21"/>
                <w:szCs w:val="21"/>
              </w:rPr>
            </w:pPr>
            <w:r>
              <w:rPr>
                <w:rFonts w:ascii="Times New Roman"/>
                <w:color w:val="auto"/>
                <w:sz w:val="21"/>
                <w:szCs w:val="21"/>
              </w:rPr>
              <w:t>2、物料贮存风险防范措施：对涉及到存储的风险物质在存储位置四周设置围堰，围堰的容积满足储存容器内物质最大储存容量，同时设置消防栓，发生泄漏及时进行使用冷水稀释。在贮存时要远离火种、热源，应与易（可）燃物、还原剂等分开存放，切忌混储，储区应备有合适的材料收容泄漏物，并储备消防器材及应急救援物资。</w:t>
            </w:r>
          </w:p>
          <w:p w14:paraId="71EE1289">
            <w:pPr>
              <w:pStyle w:val="52"/>
              <w:spacing w:after="0"/>
              <w:ind w:left="0" w:leftChars="0"/>
              <w:jc w:val="left"/>
              <w:rPr>
                <w:color w:val="auto"/>
                <w:szCs w:val="21"/>
              </w:rPr>
            </w:pPr>
            <w:r>
              <w:rPr>
                <w:color w:val="auto"/>
                <w:szCs w:val="21"/>
              </w:rPr>
              <w:t>3、</w:t>
            </w:r>
            <w:r>
              <w:rPr>
                <w:rFonts w:hint="eastAsia"/>
                <w:color w:val="auto"/>
                <w:szCs w:val="21"/>
                <w:lang w:eastAsia="zh-CN"/>
              </w:rPr>
              <w:t>废水收集池</w:t>
            </w:r>
            <w:r>
              <w:rPr>
                <w:rFonts w:hint="eastAsia"/>
                <w:color w:val="auto"/>
                <w:szCs w:val="21"/>
              </w:rPr>
              <w:t>、</w:t>
            </w:r>
            <w:r>
              <w:rPr>
                <w:rFonts w:hint="eastAsia"/>
                <w:color w:val="auto"/>
                <w:szCs w:val="21"/>
                <w:lang w:eastAsia="zh-CN"/>
              </w:rPr>
              <w:t>临时储粪场</w:t>
            </w:r>
            <w:r>
              <w:rPr>
                <w:color w:val="auto"/>
                <w:szCs w:val="21"/>
              </w:rPr>
              <w:t>等重点场所均设专人负责，定期对各设备、容器等进行检查维修。</w:t>
            </w:r>
          </w:p>
          <w:p w14:paraId="3CB5B177">
            <w:pPr>
              <w:pStyle w:val="52"/>
              <w:spacing w:after="0"/>
              <w:ind w:left="0" w:leftChars="0"/>
              <w:jc w:val="left"/>
              <w:rPr>
                <w:color w:val="auto"/>
                <w:szCs w:val="21"/>
              </w:rPr>
            </w:pPr>
            <w:r>
              <w:rPr>
                <w:color w:val="auto"/>
                <w:szCs w:val="21"/>
              </w:rPr>
              <w:t>4、对生产过程中产生的</w:t>
            </w:r>
            <w:r>
              <w:rPr>
                <w:rFonts w:hint="eastAsia" w:ascii="Times New Roman" w:hAnsi="Times New Roman" w:eastAsia="宋体"/>
                <w:b w:val="0"/>
                <w:bCs/>
                <w:color w:val="auto"/>
                <w:szCs w:val="24"/>
                <w:lang w:val="en-US" w:eastAsia="zh-CN"/>
              </w:rPr>
              <w:t>医疗废物</w:t>
            </w:r>
            <w:r>
              <w:rPr>
                <w:color w:val="auto"/>
                <w:szCs w:val="21"/>
              </w:rPr>
              <w:t>，分类收集，分别包装临时储存，定期交有相应类别处理资质的单位处理。</w:t>
            </w:r>
          </w:p>
          <w:p w14:paraId="038C7AFC">
            <w:pPr>
              <w:pStyle w:val="52"/>
              <w:spacing w:after="0"/>
              <w:ind w:left="0" w:leftChars="0"/>
              <w:jc w:val="left"/>
              <w:rPr>
                <w:color w:val="auto"/>
                <w:szCs w:val="21"/>
              </w:rPr>
            </w:pPr>
            <w:r>
              <w:rPr>
                <w:color w:val="auto"/>
                <w:szCs w:val="21"/>
              </w:rPr>
              <w:t>5、定期对</w:t>
            </w:r>
            <w:r>
              <w:rPr>
                <w:rFonts w:hint="eastAsia"/>
                <w:color w:val="auto"/>
                <w:szCs w:val="21"/>
                <w:lang w:eastAsia="zh-CN"/>
              </w:rPr>
              <w:t>废水收集池</w:t>
            </w:r>
            <w:r>
              <w:rPr>
                <w:rFonts w:hint="eastAsia"/>
                <w:color w:val="auto"/>
                <w:szCs w:val="21"/>
              </w:rPr>
              <w:t>、</w:t>
            </w:r>
            <w:r>
              <w:rPr>
                <w:rFonts w:hint="eastAsia"/>
                <w:color w:val="auto"/>
                <w:szCs w:val="21"/>
                <w:lang w:eastAsia="zh-CN"/>
              </w:rPr>
              <w:t>临时储粪场</w:t>
            </w:r>
            <w:r>
              <w:rPr>
                <w:color w:val="auto"/>
                <w:szCs w:val="21"/>
              </w:rPr>
              <w:t>进行检查，出现裂缝或者渗漏情况，要立刻将废水、粪污进行转移储存，并对期进行维修。</w:t>
            </w:r>
          </w:p>
          <w:p w14:paraId="4D594CB4">
            <w:pPr>
              <w:pStyle w:val="52"/>
              <w:spacing w:after="0"/>
              <w:ind w:left="0" w:leftChars="0"/>
              <w:jc w:val="left"/>
              <w:rPr>
                <w:color w:val="auto"/>
                <w:szCs w:val="21"/>
              </w:rPr>
            </w:pPr>
            <w:r>
              <w:rPr>
                <w:color w:val="auto"/>
                <w:szCs w:val="21"/>
              </w:rPr>
              <w:t>8、加强饲养管理、免疫接种，严格按照要求对病死鸡进行无害化处理；</w:t>
            </w:r>
          </w:p>
          <w:p w14:paraId="3D6967F0">
            <w:pPr>
              <w:ind w:firstLine="420" w:firstLineChars="200"/>
              <w:jc w:val="left"/>
              <w:rPr>
                <w:color w:val="auto"/>
                <w:szCs w:val="21"/>
              </w:rPr>
            </w:pPr>
            <w:r>
              <w:rPr>
                <w:color w:val="auto"/>
                <w:szCs w:val="21"/>
              </w:rPr>
              <w:t>9、加强工艺管理，严格控制工艺指标，加强安全生产教育，加强管理，避免火灾的发生。</w:t>
            </w:r>
          </w:p>
        </w:tc>
      </w:tr>
      <w:tr w14:paraId="2829DB4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gridSpan w:val="5"/>
            <w:vAlign w:val="center"/>
          </w:tcPr>
          <w:p w14:paraId="64C1E57B">
            <w:pPr>
              <w:pStyle w:val="52"/>
              <w:spacing w:after="0"/>
              <w:ind w:left="0" w:leftChars="0" w:firstLine="0" w:firstLineChars="0"/>
              <w:jc w:val="left"/>
              <w:rPr>
                <w:color w:val="auto"/>
                <w:szCs w:val="21"/>
              </w:rPr>
            </w:pPr>
            <w:r>
              <w:rPr>
                <w:color w:val="auto"/>
                <w:szCs w:val="21"/>
              </w:rPr>
              <w:t>填表说明（列出项目相关信息及评价说明）：</w:t>
            </w:r>
          </w:p>
          <w:p w14:paraId="7C59EF64">
            <w:pPr>
              <w:pStyle w:val="52"/>
              <w:spacing w:after="0"/>
              <w:ind w:left="0" w:leftChars="0"/>
              <w:jc w:val="left"/>
              <w:rPr>
                <w:color w:val="auto"/>
                <w:szCs w:val="21"/>
              </w:rPr>
            </w:pPr>
            <w:r>
              <w:rPr>
                <w:color w:val="auto"/>
                <w:szCs w:val="21"/>
              </w:rPr>
              <w:t>拟建项目运营期涉及的风险物质根据在厂界范围内日常最大使用及存储数量与临界量的比值（Q）计算，判定出项目的环境风险潜势为I，按照评价等级要求在描述危险物质、环境影响途径、环境危害后果、风险防范措施等方面仅给出定性的说明。经风险分析及风险防范措施的提出，拟建项目严格执行风险防范措施，所存在的环境风险可以接受。</w:t>
            </w:r>
          </w:p>
        </w:tc>
      </w:tr>
    </w:tbl>
    <w:p w14:paraId="7400E8B4">
      <w:pPr>
        <w:spacing w:line="360" w:lineRule="auto"/>
        <w:ind w:firstLine="480" w:firstLineChars="200"/>
        <w:rPr>
          <w:color w:val="auto"/>
          <w:sz w:val="24"/>
        </w:rPr>
      </w:pPr>
      <w:r>
        <w:rPr>
          <w:color w:val="auto"/>
          <w:sz w:val="24"/>
          <w:szCs w:val="20"/>
        </w:rPr>
        <w:t>综上所述，项目运营期间通过采取风险防范措施，可以将项目所存在的风险隐患降到最低程度，</w:t>
      </w:r>
      <w:r>
        <w:rPr>
          <w:color w:val="auto"/>
          <w:sz w:val="24"/>
        </w:rPr>
        <w:t>只要项目建设方认真落实各项环境风险防范措施，有针对性地加强相关设施的安全管理，消除事故隐患，其环境风险事故概率完全可控制在最大可信事故概率以下，项目存在的环境风险可被环境接受。</w:t>
      </w:r>
    </w:p>
    <w:p w14:paraId="71BDC6E4">
      <w:pPr>
        <w:snapToGrid w:val="0"/>
        <w:spacing w:line="360" w:lineRule="auto"/>
        <w:ind w:firstLine="480" w:firstLineChars="200"/>
        <w:rPr>
          <w:color w:val="auto"/>
          <w:sz w:val="24"/>
        </w:rPr>
      </w:pPr>
    </w:p>
    <w:p w14:paraId="1237ED3F">
      <w:pPr>
        <w:spacing w:line="360" w:lineRule="auto"/>
        <w:ind w:firstLine="412" w:firstLineChars="172"/>
        <w:rPr>
          <w:color w:val="auto"/>
          <w:sz w:val="24"/>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32B5E6DD">
      <w:pPr>
        <w:keepNext/>
        <w:adjustRightInd w:val="0"/>
        <w:spacing w:line="360" w:lineRule="auto"/>
        <w:jc w:val="left"/>
        <w:outlineLvl w:val="0"/>
        <w:rPr>
          <w:b/>
          <w:color w:val="auto"/>
          <w:sz w:val="32"/>
        </w:rPr>
      </w:pPr>
      <w:bookmarkStart w:id="373" w:name="_Toc3393"/>
      <w:bookmarkStart w:id="374" w:name="_Toc3594"/>
      <w:bookmarkStart w:id="375" w:name="_Toc448771416"/>
      <w:bookmarkStart w:id="376" w:name="_Toc446938408"/>
      <w:bookmarkStart w:id="377" w:name="_Toc448693451"/>
      <w:bookmarkStart w:id="378" w:name="_Toc17131"/>
      <w:bookmarkStart w:id="379" w:name="_Toc448765681"/>
      <w:bookmarkStart w:id="380" w:name="_Toc448693373"/>
      <w:r>
        <w:rPr>
          <w:b/>
          <w:color w:val="auto"/>
          <w:sz w:val="32"/>
        </w:rPr>
        <w:t>7环境保护措施及其可行性分析</w:t>
      </w:r>
      <w:bookmarkEnd w:id="373"/>
      <w:bookmarkEnd w:id="374"/>
    </w:p>
    <w:p w14:paraId="15C33F38">
      <w:pPr>
        <w:keepNext/>
        <w:keepLines/>
        <w:spacing w:line="360" w:lineRule="auto"/>
        <w:outlineLvl w:val="1"/>
        <w:rPr>
          <w:b/>
          <w:color w:val="auto"/>
          <w:sz w:val="30"/>
        </w:rPr>
      </w:pPr>
      <w:bookmarkStart w:id="381" w:name="_Toc12682"/>
      <w:bookmarkStart w:id="382" w:name="_Toc2902"/>
      <w:bookmarkStart w:id="383" w:name="_Toc14328"/>
      <w:r>
        <w:rPr>
          <w:b/>
          <w:color w:val="auto"/>
          <w:sz w:val="30"/>
        </w:rPr>
        <w:t>7.1施工期污染防治对策与措施</w:t>
      </w:r>
      <w:bookmarkEnd w:id="381"/>
      <w:bookmarkEnd w:id="382"/>
      <w:bookmarkEnd w:id="383"/>
    </w:p>
    <w:p w14:paraId="4930051F">
      <w:pPr>
        <w:spacing w:line="360" w:lineRule="auto"/>
        <w:ind w:firstLine="480" w:firstLineChars="200"/>
        <w:rPr>
          <w:color w:val="auto"/>
          <w:sz w:val="24"/>
        </w:rPr>
      </w:pPr>
      <w:r>
        <w:rPr>
          <w:color w:val="auto"/>
          <w:sz w:val="24"/>
        </w:rPr>
        <w:t>为减轻本项目施工期间对环境产生的不利影响，建设单位和施工单位必须采取如下防治措施。</w:t>
      </w:r>
    </w:p>
    <w:p w14:paraId="31E487F1">
      <w:pPr>
        <w:keepNext/>
        <w:keepLines/>
        <w:spacing w:line="360" w:lineRule="auto"/>
        <w:outlineLvl w:val="2"/>
        <w:rPr>
          <w:b/>
          <w:bCs/>
          <w:color w:val="auto"/>
          <w:sz w:val="28"/>
          <w:szCs w:val="32"/>
        </w:rPr>
      </w:pPr>
      <w:bookmarkStart w:id="384" w:name="_Toc6335"/>
      <w:r>
        <w:rPr>
          <w:b/>
          <w:bCs/>
          <w:color w:val="auto"/>
          <w:sz w:val="28"/>
          <w:szCs w:val="32"/>
        </w:rPr>
        <w:t>7.1.1施工期大气污染防治措施</w:t>
      </w:r>
      <w:bookmarkEnd w:id="384"/>
    </w:p>
    <w:p w14:paraId="1F24EE61">
      <w:pPr>
        <w:spacing w:line="360" w:lineRule="auto"/>
        <w:ind w:firstLine="480" w:firstLineChars="200"/>
        <w:rPr>
          <w:color w:val="auto"/>
          <w:sz w:val="24"/>
        </w:rPr>
      </w:pPr>
      <w:r>
        <w:rPr>
          <w:color w:val="auto"/>
          <w:sz w:val="24"/>
        </w:rPr>
        <w:t>（1）施工扬尘</w:t>
      </w:r>
    </w:p>
    <w:p w14:paraId="12B6DA15">
      <w:pPr>
        <w:adjustRightInd w:val="0"/>
        <w:spacing w:line="360" w:lineRule="auto"/>
        <w:ind w:firstLine="480" w:firstLineChars="200"/>
        <w:rPr>
          <w:color w:val="auto"/>
          <w:sz w:val="24"/>
        </w:rPr>
      </w:pPr>
      <w:r>
        <w:rPr>
          <w:color w:val="auto"/>
          <w:sz w:val="24"/>
        </w:rPr>
        <w:t>本项目施工期大气污染物主要是扬尘，为控制扬尘污染，施工单位应严格</w:t>
      </w:r>
      <w:r>
        <w:rPr>
          <w:rFonts w:hint="eastAsia"/>
          <w:color w:val="auto"/>
          <w:sz w:val="24"/>
        </w:rPr>
        <w:t>按要求</w:t>
      </w:r>
      <w:r>
        <w:rPr>
          <w:color w:val="auto"/>
          <w:sz w:val="24"/>
        </w:rPr>
        <w:t>，对施工期扬尘提出如下的控制及防治措施：</w:t>
      </w:r>
    </w:p>
    <w:p w14:paraId="2B98B51C">
      <w:pPr>
        <w:adjustRightInd w:val="0"/>
        <w:spacing w:line="360" w:lineRule="auto"/>
        <w:ind w:firstLine="480" w:firstLineChars="200"/>
        <w:rPr>
          <w:color w:val="auto"/>
          <w:sz w:val="24"/>
        </w:rPr>
      </w:pPr>
      <w:r>
        <w:rPr>
          <w:color w:val="auto"/>
          <w:sz w:val="24"/>
        </w:rPr>
        <w:t>①建筑施工场地设置硬质围挡，不高空抛撒建筑垃圾，防止施工过程中易产生扬尘物料、渣土的外逸。对工地裸露地面采取软硬覆盖及洒水抑尘等措施。</w:t>
      </w:r>
    </w:p>
    <w:p w14:paraId="37CB6B96">
      <w:pPr>
        <w:adjustRightInd w:val="0"/>
        <w:spacing w:line="360" w:lineRule="auto"/>
        <w:ind w:firstLine="480" w:firstLineChars="200"/>
        <w:rPr>
          <w:color w:val="auto"/>
          <w:sz w:val="24"/>
        </w:rPr>
      </w:pPr>
      <w:r>
        <w:rPr>
          <w:color w:val="auto"/>
          <w:sz w:val="24"/>
        </w:rPr>
        <w:t>②施工场地主要干道采取硬化措施，避免施工道路产生扬尘。施工车辆出入现场采取冲洗车轮等措施，防止车辆带泥沙驶出工地。</w:t>
      </w:r>
    </w:p>
    <w:p w14:paraId="4BDD4070">
      <w:pPr>
        <w:adjustRightInd w:val="0"/>
        <w:spacing w:line="360" w:lineRule="auto"/>
        <w:ind w:firstLine="480" w:firstLineChars="200"/>
        <w:rPr>
          <w:color w:val="auto"/>
          <w:sz w:val="24"/>
        </w:rPr>
      </w:pPr>
      <w:r>
        <w:rPr>
          <w:color w:val="auto"/>
          <w:sz w:val="24"/>
        </w:rPr>
        <w:t>③施工现场残土、沙料等易产生扬尘物料采取覆盖防尘网（布）等有效措施，并要经常进行洒水保湿，避免扬尘污染。</w:t>
      </w:r>
    </w:p>
    <w:p w14:paraId="705179F7">
      <w:pPr>
        <w:adjustRightInd w:val="0"/>
        <w:spacing w:line="360" w:lineRule="auto"/>
        <w:ind w:firstLine="480" w:firstLineChars="200"/>
        <w:rPr>
          <w:color w:val="auto"/>
          <w:sz w:val="24"/>
        </w:rPr>
      </w:pPr>
      <w:r>
        <w:rPr>
          <w:color w:val="auto"/>
          <w:sz w:val="24"/>
        </w:rPr>
        <w:t>④在施工场地使用混凝土应设置在封闭房间内，水泥、白灰放在库内储存或严密遮盖。</w:t>
      </w:r>
    </w:p>
    <w:p w14:paraId="1E75C21E">
      <w:pPr>
        <w:adjustRightInd w:val="0"/>
        <w:spacing w:line="360" w:lineRule="auto"/>
        <w:ind w:firstLine="480" w:firstLineChars="200"/>
        <w:rPr>
          <w:color w:val="auto"/>
          <w:sz w:val="24"/>
        </w:rPr>
      </w:pPr>
      <w:r>
        <w:rPr>
          <w:color w:val="auto"/>
          <w:sz w:val="24"/>
        </w:rPr>
        <w:t>⑤在施工工地不使用原煤、木柴散烧炉灶，施工现场暂设炉灶使用液化石油气、电等清洁燃料。</w:t>
      </w:r>
    </w:p>
    <w:p w14:paraId="327B73DB">
      <w:pPr>
        <w:adjustRightInd w:val="0"/>
        <w:spacing w:line="360" w:lineRule="auto"/>
        <w:ind w:firstLine="480" w:firstLineChars="200"/>
        <w:rPr>
          <w:color w:val="auto"/>
          <w:sz w:val="24"/>
        </w:rPr>
      </w:pPr>
      <w:r>
        <w:rPr>
          <w:color w:val="auto"/>
          <w:sz w:val="24"/>
        </w:rPr>
        <w:t>⑥清运残土、沙土及垃圾等的装载高度不得超过车辆护栏，并采取全覆盖措施，以防止遗撒。</w:t>
      </w:r>
    </w:p>
    <w:p w14:paraId="74CB3BA0">
      <w:pPr>
        <w:adjustRightInd w:val="0"/>
        <w:spacing w:line="360" w:lineRule="auto"/>
        <w:ind w:firstLine="480" w:firstLineChars="200"/>
        <w:rPr>
          <w:color w:val="auto"/>
          <w:sz w:val="24"/>
        </w:rPr>
      </w:pPr>
      <w:r>
        <w:rPr>
          <w:color w:val="auto"/>
          <w:sz w:val="24"/>
        </w:rPr>
        <w:t>⑦施工结束后及时清理和平整现场、清运残土和垃圾，并进行软硬覆盖。</w:t>
      </w:r>
    </w:p>
    <w:p w14:paraId="426A4E41">
      <w:pPr>
        <w:spacing w:line="360" w:lineRule="auto"/>
        <w:ind w:firstLine="480" w:firstLineChars="200"/>
        <w:rPr>
          <w:color w:val="auto"/>
          <w:sz w:val="24"/>
        </w:rPr>
      </w:pPr>
      <w:r>
        <w:rPr>
          <w:color w:val="auto"/>
          <w:sz w:val="24"/>
        </w:rPr>
        <w:t>（2）施工设备废气</w:t>
      </w:r>
    </w:p>
    <w:p w14:paraId="6DBC3C09">
      <w:pPr>
        <w:spacing w:line="360" w:lineRule="auto"/>
        <w:ind w:firstLine="480" w:firstLineChars="200"/>
        <w:rPr>
          <w:color w:val="auto"/>
          <w:sz w:val="24"/>
        </w:rPr>
      </w:pPr>
      <w:r>
        <w:rPr>
          <w:color w:val="auto"/>
          <w:sz w:val="24"/>
        </w:rPr>
        <w:fldChar w:fldCharType="begin"/>
      </w:r>
      <w:r>
        <w:rPr>
          <w:color w:val="auto"/>
          <w:sz w:val="24"/>
        </w:rPr>
        <w:instrText xml:space="preserve"> = 1 \* GB3 </w:instrText>
      </w:r>
      <w:r>
        <w:rPr>
          <w:color w:val="auto"/>
          <w:sz w:val="24"/>
        </w:rPr>
        <w:fldChar w:fldCharType="separate"/>
      </w:r>
      <w:r>
        <w:rPr>
          <w:color w:val="auto"/>
          <w:sz w:val="24"/>
        </w:rPr>
        <w:t>①</w:t>
      </w:r>
      <w:r>
        <w:rPr>
          <w:color w:val="auto"/>
          <w:sz w:val="24"/>
        </w:rPr>
        <w:fldChar w:fldCharType="end"/>
      </w:r>
      <w:r>
        <w:rPr>
          <w:color w:val="auto"/>
          <w:sz w:val="24"/>
        </w:rPr>
        <w:t xml:space="preserve"> 加强对施工车辆的检修和维护，严禁使用超期服役和尾气超标的车辆。</w:t>
      </w:r>
    </w:p>
    <w:p w14:paraId="5FC950EF">
      <w:pPr>
        <w:spacing w:line="360" w:lineRule="auto"/>
        <w:ind w:firstLine="480" w:firstLineChars="200"/>
        <w:rPr>
          <w:color w:val="auto"/>
          <w:sz w:val="24"/>
        </w:rPr>
      </w:pPr>
      <w:r>
        <w:rPr>
          <w:color w:val="auto"/>
          <w:sz w:val="24"/>
        </w:rPr>
        <w:fldChar w:fldCharType="begin"/>
      </w:r>
      <w:r>
        <w:rPr>
          <w:color w:val="auto"/>
          <w:sz w:val="24"/>
        </w:rPr>
        <w:instrText xml:space="preserve"> = 2 \* GB3 </w:instrText>
      </w:r>
      <w:r>
        <w:rPr>
          <w:color w:val="auto"/>
          <w:sz w:val="24"/>
        </w:rPr>
        <w:fldChar w:fldCharType="separate"/>
      </w:r>
      <w:r>
        <w:rPr>
          <w:color w:val="auto"/>
          <w:sz w:val="24"/>
        </w:rPr>
        <w:t>②</w:t>
      </w:r>
      <w:r>
        <w:rPr>
          <w:color w:val="auto"/>
          <w:sz w:val="24"/>
        </w:rPr>
        <w:fldChar w:fldCharType="end"/>
      </w:r>
      <w:r>
        <w:rPr>
          <w:color w:val="auto"/>
          <w:sz w:val="24"/>
        </w:rPr>
        <w:t xml:space="preserve"> 尽可能使用气动和电动设备和机械，或使用优质燃油，以减少机械和车辆有害气体排放。</w:t>
      </w:r>
    </w:p>
    <w:p w14:paraId="0190FB15">
      <w:pPr>
        <w:keepNext/>
        <w:keepLines/>
        <w:spacing w:line="360" w:lineRule="auto"/>
        <w:outlineLvl w:val="2"/>
        <w:rPr>
          <w:b/>
          <w:bCs/>
          <w:color w:val="auto"/>
          <w:sz w:val="28"/>
          <w:szCs w:val="32"/>
        </w:rPr>
      </w:pPr>
      <w:bookmarkStart w:id="385" w:name="_Toc9571"/>
      <w:r>
        <w:rPr>
          <w:b/>
          <w:bCs/>
          <w:color w:val="auto"/>
          <w:sz w:val="28"/>
          <w:szCs w:val="32"/>
        </w:rPr>
        <w:t>7.1.2施工期水污染防治措施</w:t>
      </w:r>
      <w:bookmarkEnd w:id="385"/>
    </w:p>
    <w:p w14:paraId="2C4D3279">
      <w:pPr>
        <w:adjustRightInd w:val="0"/>
        <w:spacing w:line="360" w:lineRule="auto"/>
        <w:ind w:firstLine="480" w:firstLineChars="200"/>
        <w:rPr>
          <w:color w:val="auto"/>
          <w:sz w:val="24"/>
        </w:rPr>
      </w:pPr>
      <w:r>
        <w:rPr>
          <w:color w:val="auto"/>
          <w:sz w:val="24"/>
        </w:rPr>
        <w:t>施工废水主要来自于车辆冲洗以及施工人员的生活污水。针对以上废水的特点，提出以下防治措施：</w:t>
      </w:r>
    </w:p>
    <w:p w14:paraId="7603929C">
      <w:pPr>
        <w:adjustRightInd w:val="0"/>
        <w:spacing w:line="360" w:lineRule="auto"/>
        <w:ind w:firstLine="480" w:firstLineChars="200"/>
        <w:rPr>
          <w:color w:val="auto"/>
          <w:sz w:val="24"/>
        </w:rPr>
      </w:pPr>
      <w:r>
        <w:rPr>
          <w:color w:val="auto"/>
          <w:sz w:val="24"/>
        </w:rPr>
        <w:t>（1）清洗物料、机械设备等产生的污水经沉淀后进行场地洒水抑尘，以减少新鲜水的用量。</w:t>
      </w:r>
    </w:p>
    <w:p w14:paraId="0019C54E">
      <w:pPr>
        <w:adjustRightInd w:val="0"/>
        <w:spacing w:line="360" w:lineRule="auto"/>
        <w:ind w:firstLine="480" w:firstLineChars="200"/>
        <w:rPr>
          <w:color w:val="auto"/>
          <w:sz w:val="24"/>
        </w:rPr>
      </w:pPr>
      <w:r>
        <w:rPr>
          <w:color w:val="auto"/>
          <w:sz w:val="24"/>
        </w:rPr>
        <w:t>（2）含大量泥浆等悬浮物的污水，应将其经过沉淀池澄清后回用。</w:t>
      </w:r>
    </w:p>
    <w:p w14:paraId="08454054">
      <w:pPr>
        <w:adjustRightInd w:val="0"/>
        <w:spacing w:line="360" w:lineRule="auto"/>
        <w:ind w:firstLine="480" w:firstLineChars="200"/>
        <w:rPr>
          <w:color w:val="auto"/>
          <w:sz w:val="24"/>
        </w:rPr>
      </w:pPr>
      <w:r>
        <w:rPr>
          <w:color w:val="auto"/>
          <w:sz w:val="24"/>
        </w:rPr>
        <w:t>（3）工地生活污水</w:t>
      </w:r>
      <w:r>
        <w:rPr>
          <w:rFonts w:hint="eastAsia"/>
          <w:color w:val="auto"/>
          <w:sz w:val="24"/>
          <w:lang w:eastAsia="zh-CN"/>
        </w:rPr>
        <w:t>排入旱厕定期清掏，用作农肥</w:t>
      </w:r>
      <w:r>
        <w:rPr>
          <w:color w:val="auto"/>
          <w:sz w:val="24"/>
        </w:rPr>
        <w:t>。</w:t>
      </w:r>
    </w:p>
    <w:p w14:paraId="5BB0C36B">
      <w:pPr>
        <w:keepNext/>
        <w:keepLines/>
        <w:spacing w:line="360" w:lineRule="auto"/>
        <w:outlineLvl w:val="2"/>
        <w:rPr>
          <w:b/>
          <w:bCs/>
          <w:color w:val="auto"/>
          <w:sz w:val="28"/>
          <w:szCs w:val="32"/>
        </w:rPr>
      </w:pPr>
      <w:bookmarkStart w:id="386" w:name="_Toc21122"/>
      <w:r>
        <w:rPr>
          <w:b/>
          <w:bCs/>
          <w:color w:val="auto"/>
          <w:sz w:val="28"/>
          <w:szCs w:val="32"/>
        </w:rPr>
        <w:t>7.1.3施工期噪声污染防治措施</w:t>
      </w:r>
      <w:bookmarkEnd w:id="386"/>
    </w:p>
    <w:p w14:paraId="49FA1D8C">
      <w:pPr>
        <w:adjustRightInd w:val="0"/>
        <w:spacing w:line="360" w:lineRule="auto"/>
        <w:ind w:firstLine="480" w:firstLineChars="200"/>
        <w:rPr>
          <w:color w:val="auto"/>
          <w:sz w:val="24"/>
        </w:rPr>
      </w:pPr>
      <w:r>
        <w:rPr>
          <w:color w:val="auto"/>
          <w:sz w:val="24"/>
        </w:rPr>
        <w:t>建设项目各阶段噪声对环境都会造成不同程度的影响，以基础施工阶段噪声最大，危害最为严重。应严格执行《中华人民共和国环境噪声污染防治法》中的有关规定，在施工中严格控制使用高噪声机械设备，并采取以下措施，以减少噪声的污染。</w:t>
      </w:r>
    </w:p>
    <w:p w14:paraId="32CBA5BF">
      <w:pPr>
        <w:adjustRightInd w:val="0"/>
        <w:spacing w:line="360" w:lineRule="auto"/>
        <w:ind w:firstLine="480" w:firstLineChars="200"/>
        <w:rPr>
          <w:color w:val="auto"/>
          <w:sz w:val="24"/>
        </w:rPr>
      </w:pPr>
      <w:r>
        <w:rPr>
          <w:color w:val="auto"/>
          <w:sz w:val="24"/>
        </w:rPr>
        <w:t>（1）选用低噪声施工设备施工作业。</w:t>
      </w:r>
    </w:p>
    <w:p w14:paraId="3F545FC2">
      <w:pPr>
        <w:adjustRightInd w:val="0"/>
        <w:spacing w:line="360" w:lineRule="auto"/>
        <w:ind w:firstLine="480" w:firstLineChars="200"/>
        <w:rPr>
          <w:color w:val="auto"/>
          <w:sz w:val="24"/>
        </w:rPr>
      </w:pPr>
      <w:r>
        <w:rPr>
          <w:color w:val="auto"/>
          <w:sz w:val="24"/>
        </w:rPr>
        <w:t>（2）将产生高噪声影响的施工阶段安排在日间进行。</w:t>
      </w:r>
    </w:p>
    <w:p w14:paraId="5D2DEF59">
      <w:pPr>
        <w:adjustRightInd w:val="0"/>
        <w:spacing w:line="360" w:lineRule="auto"/>
        <w:ind w:firstLine="480" w:firstLineChars="200"/>
        <w:rPr>
          <w:color w:val="auto"/>
          <w:sz w:val="24"/>
        </w:rPr>
      </w:pPr>
      <w:r>
        <w:rPr>
          <w:color w:val="auto"/>
          <w:sz w:val="24"/>
        </w:rPr>
        <w:t>（3）不在22：00～6：00期间施工。</w:t>
      </w:r>
    </w:p>
    <w:p w14:paraId="0F47DD23">
      <w:pPr>
        <w:adjustRightInd w:val="0"/>
        <w:spacing w:line="360" w:lineRule="auto"/>
        <w:ind w:firstLine="480" w:firstLineChars="200"/>
        <w:rPr>
          <w:color w:val="auto"/>
          <w:sz w:val="24"/>
        </w:rPr>
      </w:pPr>
      <w:r>
        <w:rPr>
          <w:color w:val="auto"/>
          <w:sz w:val="24"/>
        </w:rPr>
        <w:t>（4）合理布局施工场地，尽可能使噪声较大的设备远离厂界。</w:t>
      </w:r>
    </w:p>
    <w:p w14:paraId="4662B533">
      <w:pPr>
        <w:adjustRightInd w:val="0"/>
        <w:spacing w:line="360" w:lineRule="auto"/>
        <w:ind w:firstLine="480" w:firstLineChars="200"/>
        <w:rPr>
          <w:color w:val="auto"/>
          <w:sz w:val="24"/>
        </w:rPr>
      </w:pPr>
      <w:r>
        <w:rPr>
          <w:color w:val="auto"/>
          <w:sz w:val="24"/>
        </w:rPr>
        <w:t>（5）在施工机械设备与基础或连接部位之间采用弹簧减振、橡胶减振、管道减振、阻尼减振技术，可减少振动，降低噪声。</w:t>
      </w:r>
    </w:p>
    <w:p w14:paraId="7B992307">
      <w:pPr>
        <w:adjustRightInd w:val="0"/>
        <w:spacing w:line="360" w:lineRule="auto"/>
        <w:ind w:firstLine="480" w:firstLineChars="200"/>
        <w:rPr>
          <w:color w:val="auto"/>
          <w:sz w:val="24"/>
        </w:rPr>
      </w:pPr>
      <w:r>
        <w:rPr>
          <w:color w:val="auto"/>
          <w:sz w:val="24"/>
        </w:rPr>
        <w:t>（6）浇混凝土用的振捣棒，采用低频低噪型。由专业人员操作，不得在振捣作业中撬动钢筋或模板，以防止噪声污染环境。</w:t>
      </w:r>
    </w:p>
    <w:p w14:paraId="161E43BB">
      <w:pPr>
        <w:adjustRightInd w:val="0"/>
        <w:spacing w:line="360" w:lineRule="auto"/>
        <w:ind w:firstLine="480" w:firstLineChars="200"/>
        <w:rPr>
          <w:color w:val="auto"/>
          <w:sz w:val="24"/>
        </w:rPr>
      </w:pPr>
      <w:r>
        <w:rPr>
          <w:color w:val="auto"/>
          <w:sz w:val="24"/>
        </w:rPr>
        <w:t>（7）施工单位应设专人对施工机械定期进行保养和维护，并制定切实可行的规章制度，定期对现场施工人员进行培训，每个工人都要严格按照规范使用机械，避免因故障产生突发噪声。</w:t>
      </w:r>
    </w:p>
    <w:p w14:paraId="53FA8F4B">
      <w:pPr>
        <w:adjustRightInd w:val="0"/>
        <w:spacing w:line="360" w:lineRule="auto"/>
        <w:ind w:firstLine="480" w:firstLineChars="200"/>
        <w:rPr>
          <w:color w:val="auto"/>
          <w:sz w:val="24"/>
        </w:rPr>
      </w:pPr>
      <w:r>
        <w:rPr>
          <w:color w:val="auto"/>
          <w:sz w:val="24"/>
        </w:rPr>
        <w:t>（8）运载建筑材料、建筑垃圾的车辆要选择合适的时间、路线进行运输，运输路线应尽量避开居民点和环境敏感点。</w:t>
      </w:r>
    </w:p>
    <w:p w14:paraId="6C50FA51">
      <w:pPr>
        <w:adjustRightInd w:val="0"/>
        <w:spacing w:line="360" w:lineRule="auto"/>
        <w:ind w:firstLine="480" w:firstLineChars="200"/>
        <w:rPr>
          <w:color w:val="auto"/>
          <w:sz w:val="24"/>
        </w:rPr>
      </w:pPr>
      <w:r>
        <w:rPr>
          <w:color w:val="auto"/>
          <w:sz w:val="24"/>
        </w:rPr>
        <w:t>以上措施均在建筑施工单位的工程实际中广泛采用，实践表明，以上措施切实可行，采用后能较好地减轻建筑施工噪声对周围环境的影响。</w:t>
      </w:r>
    </w:p>
    <w:p w14:paraId="10608FA8">
      <w:pPr>
        <w:keepNext/>
        <w:keepLines/>
        <w:spacing w:line="360" w:lineRule="auto"/>
        <w:outlineLvl w:val="2"/>
        <w:rPr>
          <w:b/>
          <w:bCs/>
          <w:color w:val="auto"/>
          <w:sz w:val="28"/>
          <w:szCs w:val="32"/>
        </w:rPr>
      </w:pPr>
      <w:bookmarkStart w:id="387" w:name="_Toc29238"/>
      <w:r>
        <w:rPr>
          <w:b/>
          <w:bCs/>
          <w:color w:val="auto"/>
          <w:sz w:val="28"/>
          <w:szCs w:val="32"/>
        </w:rPr>
        <w:t>7.1.4施工期固体废物污染防治措施</w:t>
      </w:r>
      <w:bookmarkEnd w:id="387"/>
    </w:p>
    <w:p w14:paraId="6434952D">
      <w:pPr>
        <w:adjustRightInd w:val="0"/>
        <w:spacing w:line="360" w:lineRule="auto"/>
        <w:ind w:firstLine="480" w:firstLineChars="200"/>
        <w:rPr>
          <w:color w:val="auto"/>
          <w:sz w:val="24"/>
        </w:rPr>
      </w:pPr>
      <w:r>
        <w:rPr>
          <w:color w:val="auto"/>
          <w:sz w:val="24"/>
        </w:rPr>
        <w:t>（1）建设单位应完善施工管理，做到文明施工，加强对建筑垃圾的管理，装运土石方要适量，确保沿途不洒漏、不扬尘，不得野蛮装运和乱倒乱卸｡</w:t>
      </w:r>
    </w:p>
    <w:p w14:paraId="03CCFDD3">
      <w:pPr>
        <w:adjustRightInd w:val="0"/>
        <w:spacing w:line="360" w:lineRule="auto"/>
        <w:ind w:firstLine="480" w:firstLineChars="200"/>
        <w:rPr>
          <w:color w:val="auto"/>
          <w:sz w:val="24"/>
        </w:rPr>
      </w:pPr>
      <w:r>
        <w:rPr>
          <w:color w:val="auto"/>
          <w:sz w:val="24"/>
        </w:rPr>
        <w:t>（2）对可再利用的废料应进行回收利用，以节省资源。</w:t>
      </w:r>
    </w:p>
    <w:p w14:paraId="665896BF">
      <w:pPr>
        <w:adjustRightInd w:val="0"/>
        <w:spacing w:line="360" w:lineRule="auto"/>
        <w:ind w:firstLine="480" w:firstLineChars="200"/>
        <w:rPr>
          <w:color w:val="auto"/>
          <w:sz w:val="24"/>
        </w:rPr>
      </w:pPr>
      <w:r>
        <w:rPr>
          <w:color w:val="auto"/>
          <w:sz w:val="24"/>
        </w:rPr>
        <w:t>（3）对于施工期施工人员产生的生活垃圾，由于其含有较多的易腐烂成分，应集中收集，送至乡镇集中堆放点由环卫部门处理，以防止在雨天被雨水浸泡而产生对环境危害严重的渗滤液。</w:t>
      </w:r>
    </w:p>
    <w:p w14:paraId="24CA35CE">
      <w:pPr>
        <w:keepNext/>
        <w:keepLines/>
        <w:spacing w:line="360" w:lineRule="auto"/>
        <w:outlineLvl w:val="2"/>
        <w:rPr>
          <w:b/>
          <w:bCs/>
          <w:color w:val="auto"/>
          <w:sz w:val="28"/>
          <w:szCs w:val="32"/>
        </w:rPr>
      </w:pPr>
      <w:bookmarkStart w:id="388" w:name="_Toc32086"/>
      <w:r>
        <w:rPr>
          <w:b/>
          <w:bCs/>
          <w:color w:val="auto"/>
          <w:sz w:val="28"/>
          <w:szCs w:val="32"/>
        </w:rPr>
        <w:t>7.1.5施工期生态环境防治措施</w:t>
      </w:r>
      <w:bookmarkEnd w:id="388"/>
    </w:p>
    <w:p w14:paraId="250A71CA">
      <w:pPr>
        <w:adjustRightInd w:val="0"/>
        <w:snapToGrid w:val="0"/>
        <w:spacing w:line="360" w:lineRule="auto"/>
        <w:ind w:firstLine="480" w:firstLineChars="200"/>
        <w:rPr>
          <w:color w:val="auto"/>
          <w:kern w:val="0"/>
          <w:sz w:val="24"/>
        </w:rPr>
      </w:pPr>
      <w:r>
        <w:rPr>
          <w:color w:val="auto"/>
          <w:kern w:val="0"/>
          <w:sz w:val="24"/>
        </w:rPr>
        <w:t>本项目施工期永久占地面积</w:t>
      </w:r>
      <w:r>
        <w:rPr>
          <w:rFonts w:hint="eastAsia"/>
          <w:color w:val="auto"/>
          <w:sz w:val="24"/>
          <w:lang w:val="en-US" w:eastAsia="zh-CN"/>
        </w:rPr>
        <w:t>78234.55</w:t>
      </w:r>
      <w:r>
        <w:rPr>
          <w:color w:val="auto"/>
          <w:sz w:val="24"/>
        </w:rPr>
        <w:t>m</w:t>
      </w:r>
      <w:r>
        <w:rPr>
          <w:color w:val="auto"/>
          <w:sz w:val="24"/>
          <w:vertAlign w:val="superscript"/>
        </w:rPr>
        <w:t>2</w:t>
      </w:r>
      <w:r>
        <w:rPr>
          <w:rFonts w:hint="eastAsia"/>
          <w:color w:val="auto"/>
          <w:sz w:val="24"/>
          <w:lang w:eastAsia="zh-CN"/>
        </w:rPr>
        <w:t>，</w:t>
      </w:r>
      <w:r>
        <w:rPr>
          <w:rFonts w:hint="eastAsia"/>
          <w:color w:val="auto"/>
          <w:sz w:val="24"/>
        </w:rPr>
        <w:t>无</w:t>
      </w:r>
      <w:r>
        <w:rPr>
          <w:color w:val="auto"/>
          <w:sz w:val="24"/>
        </w:rPr>
        <w:t>临时占地</w:t>
      </w:r>
      <w:r>
        <w:rPr>
          <w:color w:val="auto"/>
          <w:kern w:val="0"/>
          <w:sz w:val="24"/>
        </w:rPr>
        <w:t>，施工期对当地生态环境的破坏主要表现在地面建构筑物建设时对土地扰动作用，造成地貌的改变、植被的破坏、短期内使水土流失加剧，对局部生态环境有不利影响。环评提出的防治措施</w:t>
      </w:r>
      <w:r>
        <w:rPr>
          <w:rFonts w:hint="eastAsia"/>
          <w:color w:val="auto"/>
          <w:kern w:val="0"/>
          <w:sz w:val="24"/>
        </w:rPr>
        <w:t>：</w:t>
      </w:r>
    </w:p>
    <w:p w14:paraId="2EB1FFB6">
      <w:pPr>
        <w:adjustRightInd w:val="0"/>
        <w:snapToGrid w:val="0"/>
        <w:spacing w:line="360" w:lineRule="auto"/>
        <w:ind w:firstLine="480" w:firstLineChars="200"/>
        <w:rPr>
          <w:color w:val="auto"/>
          <w:kern w:val="0"/>
          <w:sz w:val="24"/>
        </w:rPr>
      </w:pPr>
      <w:r>
        <w:rPr>
          <w:color w:val="auto"/>
          <w:kern w:val="0"/>
          <w:sz w:val="24"/>
        </w:rPr>
        <w:t>①施工期应加强施工人员的环境保护教育和宣传工作，禁止施工人员扩大破坏占地面积，尽量减小对生态系统的不利影响。不允许在征地范围以外的区域取土、堆材料和建施工场地，尤其是不准在征地界外的基本农田取土。</w:t>
      </w:r>
    </w:p>
    <w:p w14:paraId="1F4DBF39">
      <w:pPr>
        <w:adjustRightInd w:val="0"/>
        <w:snapToGrid w:val="0"/>
        <w:spacing w:line="360" w:lineRule="auto"/>
        <w:ind w:firstLine="480" w:firstLineChars="200"/>
        <w:rPr>
          <w:color w:val="auto"/>
          <w:kern w:val="0"/>
          <w:sz w:val="24"/>
        </w:rPr>
      </w:pPr>
      <w:r>
        <w:rPr>
          <w:color w:val="auto"/>
          <w:kern w:val="0"/>
          <w:sz w:val="24"/>
        </w:rPr>
        <w:t>②优化施工组织和制定严格的施工作业制度。缩短土石方的堆置时间，开挖的土石方必须严格限制在征地范围内堆置，严禁占用农田，并采取草包填土维护、开挖截排水沟等 临时性防护措施。</w:t>
      </w:r>
    </w:p>
    <w:p w14:paraId="6DB52D78">
      <w:pPr>
        <w:adjustRightInd w:val="0"/>
        <w:snapToGrid w:val="0"/>
        <w:spacing w:line="360" w:lineRule="auto"/>
        <w:ind w:firstLine="480" w:firstLineChars="200"/>
        <w:rPr>
          <w:color w:val="auto"/>
          <w:kern w:val="0"/>
          <w:sz w:val="24"/>
        </w:rPr>
      </w:pPr>
      <w:r>
        <w:rPr>
          <w:color w:val="auto"/>
          <w:kern w:val="0"/>
          <w:sz w:val="24"/>
        </w:rPr>
        <w:t>③在填方的施工过程，要求施工人员文明施工，严格按施工规范要求作业，禁止乱取土和筑路材料的乱堆乱放。</w:t>
      </w:r>
    </w:p>
    <w:p w14:paraId="389665CE">
      <w:pPr>
        <w:adjustRightInd w:val="0"/>
        <w:snapToGrid w:val="0"/>
        <w:spacing w:line="360" w:lineRule="auto"/>
        <w:ind w:firstLine="480" w:firstLineChars="200"/>
        <w:rPr>
          <w:color w:val="auto"/>
          <w:kern w:val="0"/>
          <w:sz w:val="24"/>
        </w:rPr>
      </w:pPr>
      <w:r>
        <w:rPr>
          <w:color w:val="auto"/>
          <w:kern w:val="0"/>
          <w:sz w:val="24"/>
        </w:rPr>
        <w:t>④合理安排施工排序，分段施工，先期施工完结后，随即做好护坡、路基边坡、植被种植，排水沟等防护工程，再开下一段工序；同时在工程设计中尽量压缩土石方量，并做好施工组织，及时调度，以减少水土流失；大规模填挖路基工程要尽可能避开雨季施工，对已经完成的路段做好水土流失防护工程，植树种草，恢复植被。</w:t>
      </w:r>
    </w:p>
    <w:p w14:paraId="762E250F">
      <w:pPr>
        <w:adjustRightInd w:val="0"/>
        <w:snapToGrid w:val="0"/>
        <w:spacing w:line="360" w:lineRule="auto"/>
        <w:ind w:firstLine="480" w:firstLineChars="200"/>
        <w:rPr>
          <w:color w:val="auto"/>
          <w:kern w:val="0"/>
          <w:sz w:val="24"/>
        </w:rPr>
      </w:pPr>
      <w:r>
        <w:rPr>
          <w:color w:val="auto"/>
          <w:kern w:val="0"/>
          <w:sz w:val="24"/>
        </w:rPr>
        <w:t>⑤采取强化管理，防止施工现场水土流失。土料场各个地块开挖结束后，及时采取植被恢复措施对坡面进行绿化防护，植被恢复采取植草形式。</w:t>
      </w:r>
    </w:p>
    <w:p w14:paraId="5BB45E5A">
      <w:pPr>
        <w:adjustRightInd w:val="0"/>
        <w:snapToGrid w:val="0"/>
        <w:spacing w:line="360" w:lineRule="auto"/>
        <w:ind w:firstLine="480" w:firstLineChars="200"/>
        <w:rPr>
          <w:color w:val="auto"/>
          <w:kern w:val="0"/>
          <w:sz w:val="24"/>
        </w:rPr>
      </w:pPr>
      <w:r>
        <w:rPr>
          <w:color w:val="auto"/>
          <w:kern w:val="0"/>
          <w:sz w:val="24"/>
        </w:rPr>
        <w:t>⑥施工结束后，项目区内所有施工场地拆除临时建筑物，清除建筑垃圾，尽可能的恢复原有土地的功能。</w:t>
      </w:r>
    </w:p>
    <w:p w14:paraId="13A12306">
      <w:pPr>
        <w:adjustRightInd w:val="0"/>
        <w:snapToGrid w:val="0"/>
        <w:spacing w:line="360" w:lineRule="auto"/>
        <w:ind w:firstLine="480" w:firstLineChars="200"/>
        <w:rPr>
          <w:color w:val="auto"/>
          <w:kern w:val="0"/>
          <w:sz w:val="24"/>
        </w:rPr>
      </w:pPr>
      <w:r>
        <w:rPr>
          <w:color w:val="auto"/>
          <w:kern w:val="0"/>
          <w:sz w:val="24"/>
        </w:rPr>
        <w:t>⑦厂区应按相关标准进行绿化，建筑物四周、进出口两侧、道路两侧及其它预留地块作全面规划，采用草坪、绿篱、花灌木及观赏小乔木等进行绿化组合配置。绿化应尽量选择对恶臭气体吸附性较强的植物。</w:t>
      </w:r>
    </w:p>
    <w:p w14:paraId="43A04813">
      <w:pPr>
        <w:adjustRightInd w:val="0"/>
        <w:snapToGrid w:val="0"/>
        <w:spacing w:line="360" w:lineRule="auto"/>
        <w:ind w:firstLine="480" w:firstLineChars="200"/>
        <w:rPr>
          <w:color w:val="auto"/>
          <w:kern w:val="0"/>
          <w:sz w:val="24"/>
        </w:rPr>
      </w:pPr>
      <w:r>
        <w:rPr>
          <w:color w:val="auto"/>
          <w:kern w:val="0"/>
          <w:sz w:val="24"/>
        </w:rPr>
        <w:t>采取上述措施后可显著减轻施工期对生态环境的影响，措施可行。</w:t>
      </w:r>
    </w:p>
    <w:p w14:paraId="02ED825B">
      <w:pPr>
        <w:keepNext/>
        <w:keepLines/>
        <w:spacing w:line="360" w:lineRule="auto"/>
        <w:outlineLvl w:val="1"/>
        <w:rPr>
          <w:b/>
          <w:color w:val="auto"/>
          <w:sz w:val="30"/>
        </w:rPr>
      </w:pPr>
      <w:bookmarkStart w:id="389" w:name="_Toc12442"/>
      <w:bookmarkStart w:id="390" w:name="_Toc11901"/>
      <w:bookmarkStart w:id="391" w:name="_Toc16112"/>
      <w:r>
        <w:rPr>
          <w:b/>
          <w:color w:val="auto"/>
          <w:sz w:val="30"/>
        </w:rPr>
        <w:t>7.2运营期环境影响对策与措施</w:t>
      </w:r>
      <w:bookmarkEnd w:id="389"/>
      <w:bookmarkEnd w:id="390"/>
      <w:bookmarkEnd w:id="391"/>
    </w:p>
    <w:p w14:paraId="0D42D8E8">
      <w:pPr>
        <w:keepNext/>
        <w:keepLines/>
        <w:spacing w:line="360" w:lineRule="auto"/>
        <w:outlineLvl w:val="2"/>
        <w:rPr>
          <w:b/>
          <w:bCs/>
          <w:color w:val="auto"/>
          <w:sz w:val="28"/>
          <w:szCs w:val="32"/>
        </w:rPr>
      </w:pPr>
      <w:bookmarkStart w:id="392" w:name="_Toc11301"/>
      <w:r>
        <w:rPr>
          <w:b/>
          <w:bCs/>
          <w:color w:val="auto"/>
          <w:sz w:val="28"/>
          <w:szCs w:val="32"/>
        </w:rPr>
        <w:t>7.2.1大气污染物污染防治对策与措施</w:t>
      </w:r>
      <w:bookmarkEnd w:id="392"/>
    </w:p>
    <w:p w14:paraId="5C49D6F1">
      <w:pPr>
        <w:spacing w:line="360" w:lineRule="auto"/>
        <w:ind w:firstLine="480" w:firstLineChars="200"/>
        <w:rPr>
          <w:color w:val="auto"/>
          <w:sz w:val="24"/>
        </w:rPr>
      </w:pPr>
      <w:r>
        <w:rPr>
          <w:rFonts w:hint="eastAsia"/>
          <w:color w:val="auto"/>
          <w:sz w:val="24"/>
        </w:rPr>
        <w:t>根据《排污许可证申请与核发技术规范 畜禽养殖业》（HJ1029-2019）“表7畜禽养殖业排污单位恶臭无组织排放控制要求”、</w:t>
      </w:r>
      <w:r>
        <w:rPr>
          <w:color w:val="auto"/>
          <w:kern w:val="0"/>
          <w:sz w:val="24"/>
          <w:szCs w:val="22"/>
        </w:rPr>
        <w:t>《饮食业油烟排放标准》（GB18483-2001）要求</w:t>
      </w:r>
      <w:r>
        <w:rPr>
          <w:rFonts w:hint="eastAsia"/>
          <w:color w:val="auto"/>
          <w:kern w:val="0"/>
          <w:sz w:val="24"/>
          <w:szCs w:val="22"/>
        </w:rPr>
        <w:t>、</w:t>
      </w:r>
      <w:r>
        <w:rPr>
          <w:rFonts w:hint="eastAsia"/>
          <w:color w:val="auto"/>
          <w:sz w:val="24"/>
        </w:rPr>
        <w:t>《排污许可证申请与核发技术规范 锅炉》（HJ953-2018）要求、《大气污染物综合排放标准》（GB16297-1996）要求，本项目大气污染物防治措施如下：</w:t>
      </w:r>
    </w:p>
    <w:p w14:paraId="7A24D16E">
      <w:pPr>
        <w:pStyle w:val="458"/>
        <w:rPr>
          <w:rFonts w:eastAsia="宋体"/>
          <w:b/>
          <w:bCs/>
          <w:color w:val="auto"/>
          <w:sz w:val="21"/>
          <w:szCs w:val="21"/>
        </w:rPr>
      </w:pPr>
      <w:r>
        <w:rPr>
          <w:rFonts w:eastAsia="宋体"/>
          <w:b/>
          <w:bCs/>
          <w:color w:val="auto"/>
          <w:sz w:val="21"/>
          <w:szCs w:val="21"/>
        </w:rPr>
        <w:t>表</w:t>
      </w:r>
      <w:r>
        <w:rPr>
          <w:rFonts w:hint="eastAsia" w:eastAsia="宋体"/>
          <w:b/>
          <w:bCs/>
          <w:color w:val="auto"/>
          <w:sz w:val="21"/>
          <w:szCs w:val="21"/>
        </w:rPr>
        <w:t>7</w:t>
      </w:r>
      <w:r>
        <w:rPr>
          <w:rFonts w:hint="eastAsia" w:eastAsia="宋体"/>
          <w:b/>
          <w:bCs/>
          <w:color w:val="auto"/>
          <w:sz w:val="21"/>
          <w:szCs w:val="21"/>
          <w:lang w:val="en-US" w:eastAsia="zh-CN"/>
        </w:rPr>
        <w:t>.2</w:t>
      </w:r>
      <w:r>
        <w:rPr>
          <w:rFonts w:hint="eastAsia" w:eastAsia="宋体"/>
          <w:b/>
          <w:bCs/>
          <w:color w:val="auto"/>
          <w:sz w:val="21"/>
          <w:szCs w:val="21"/>
        </w:rPr>
        <w:t>-1</w:t>
      </w:r>
      <w:r>
        <w:rPr>
          <w:rFonts w:eastAsia="宋体"/>
          <w:b/>
          <w:bCs/>
          <w:color w:val="auto"/>
          <w:sz w:val="21"/>
          <w:szCs w:val="21"/>
        </w:rPr>
        <w:t xml:space="preserve">    </w:t>
      </w:r>
      <w:r>
        <w:rPr>
          <w:rFonts w:hint="eastAsia" w:eastAsia="宋体"/>
          <w:b/>
          <w:bCs/>
          <w:color w:val="auto"/>
          <w:sz w:val="21"/>
          <w:szCs w:val="21"/>
        </w:rPr>
        <w:t>本项目大气污染防治措施</w:t>
      </w:r>
    </w:p>
    <w:tbl>
      <w:tblPr>
        <w:tblStyle w:val="53"/>
        <w:tblW w:w="4996" w:type="pct"/>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738"/>
        <w:gridCol w:w="2251"/>
        <w:gridCol w:w="4316"/>
      </w:tblGrid>
      <w:tr w14:paraId="32102A96">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46" w:type="pct"/>
            <w:tcBorders>
              <w:tl2br w:val="nil"/>
              <w:tr2bl w:val="nil"/>
            </w:tcBorders>
            <w:vAlign w:val="center"/>
          </w:tcPr>
          <w:p w14:paraId="0D2E4E54">
            <w:pPr>
              <w:pStyle w:val="458"/>
              <w:rPr>
                <w:rFonts w:eastAsia="宋体"/>
                <w:color w:val="auto"/>
                <w:sz w:val="21"/>
                <w:szCs w:val="21"/>
              </w:rPr>
            </w:pPr>
            <w:r>
              <w:rPr>
                <w:rFonts w:eastAsia="宋体"/>
                <w:color w:val="auto"/>
                <w:sz w:val="21"/>
                <w:szCs w:val="21"/>
              </w:rPr>
              <w:t>污染源</w:t>
            </w:r>
          </w:p>
        </w:tc>
        <w:tc>
          <w:tcPr>
            <w:tcW w:w="1355" w:type="pct"/>
            <w:tcBorders>
              <w:tl2br w:val="nil"/>
              <w:tr2bl w:val="nil"/>
            </w:tcBorders>
            <w:vAlign w:val="center"/>
          </w:tcPr>
          <w:p w14:paraId="418A0171">
            <w:pPr>
              <w:pStyle w:val="458"/>
              <w:rPr>
                <w:rFonts w:eastAsia="宋体"/>
                <w:color w:val="auto"/>
                <w:sz w:val="21"/>
                <w:szCs w:val="21"/>
              </w:rPr>
            </w:pPr>
            <w:r>
              <w:rPr>
                <w:rFonts w:eastAsia="宋体"/>
                <w:color w:val="auto"/>
                <w:sz w:val="21"/>
                <w:szCs w:val="21"/>
              </w:rPr>
              <w:t>污染物名称</w:t>
            </w:r>
          </w:p>
        </w:tc>
        <w:tc>
          <w:tcPr>
            <w:tcW w:w="2598" w:type="pct"/>
            <w:tcBorders>
              <w:tl2br w:val="nil"/>
              <w:tr2bl w:val="nil"/>
            </w:tcBorders>
            <w:vAlign w:val="center"/>
          </w:tcPr>
          <w:p w14:paraId="42E0BBB4">
            <w:pPr>
              <w:pStyle w:val="458"/>
              <w:rPr>
                <w:rFonts w:eastAsia="宋体"/>
                <w:color w:val="auto"/>
                <w:sz w:val="21"/>
                <w:szCs w:val="21"/>
              </w:rPr>
            </w:pPr>
            <w:r>
              <w:rPr>
                <w:rFonts w:eastAsia="宋体"/>
                <w:color w:val="auto"/>
                <w:sz w:val="21"/>
                <w:szCs w:val="21"/>
              </w:rPr>
              <w:t>措施</w:t>
            </w:r>
          </w:p>
        </w:tc>
      </w:tr>
      <w:tr w14:paraId="009501A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46" w:type="pct"/>
            <w:tcBorders>
              <w:tl2br w:val="nil"/>
              <w:tr2bl w:val="nil"/>
            </w:tcBorders>
            <w:vAlign w:val="center"/>
          </w:tcPr>
          <w:p w14:paraId="72F27984">
            <w:pPr>
              <w:pStyle w:val="458"/>
              <w:rPr>
                <w:rFonts w:eastAsia="宋体"/>
                <w:color w:val="auto"/>
                <w:sz w:val="21"/>
                <w:szCs w:val="21"/>
              </w:rPr>
            </w:pPr>
            <w:r>
              <w:rPr>
                <w:rFonts w:eastAsia="宋体"/>
                <w:color w:val="auto"/>
                <w:sz w:val="21"/>
                <w:szCs w:val="21"/>
              </w:rPr>
              <w:t>鸡舍</w:t>
            </w:r>
          </w:p>
        </w:tc>
        <w:tc>
          <w:tcPr>
            <w:tcW w:w="1355" w:type="pct"/>
            <w:tcBorders>
              <w:tl2br w:val="nil"/>
              <w:tr2bl w:val="nil"/>
            </w:tcBorders>
            <w:vAlign w:val="center"/>
          </w:tcPr>
          <w:p w14:paraId="56D11235">
            <w:pPr>
              <w:pStyle w:val="458"/>
              <w:rPr>
                <w:rFonts w:eastAsia="宋体"/>
                <w:color w:val="auto"/>
                <w:sz w:val="21"/>
                <w:szCs w:val="21"/>
              </w:rPr>
            </w:pPr>
            <w:r>
              <w:rPr>
                <w:rFonts w:eastAsia="宋体"/>
                <w:color w:val="auto"/>
                <w:sz w:val="21"/>
                <w:szCs w:val="21"/>
              </w:rPr>
              <w:t>NH</w:t>
            </w:r>
            <w:r>
              <w:rPr>
                <w:rFonts w:eastAsia="宋体"/>
                <w:color w:val="auto"/>
                <w:sz w:val="21"/>
                <w:szCs w:val="21"/>
                <w:vertAlign w:val="subscript"/>
              </w:rPr>
              <w:t>3</w:t>
            </w:r>
            <w:r>
              <w:rPr>
                <w:rFonts w:eastAsia="宋体"/>
                <w:color w:val="auto"/>
                <w:sz w:val="21"/>
                <w:szCs w:val="21"/>
              </w:rPr>
              <w:t>、H</w:t>
            </w:r>
            <w:r>
              <w:rPr>
                <w:rFonts w:eastAsia="宋体"/>
                <w:color w:val="auto"/>
                <w:sz w:val="21"/>
                <w:szCs w:val="21"/>
                <w:vertAlign w:val="subscript"/>
              </w:rPr>
              <w:t>2</w:t>
            </w:r>
            <w:r>
              <w:rPr>
                <w:rFonts w:eastAsia="宋体"/>
                <w:color w:val="auto"/>
                <w:sz w:val="21"/>
                <w:szCs w:val="21"/>
              </w:rPr>
              <w:t>S、臭气浓度</w:t>
            </w:r>
          </w:p>
        </w:tc>
        <w:tc>
          <w:tcPr>
            <w:tcW w:w="2598" w:type="pct"/>
            <w:tcBorders>
              <w:tl2br w:val="nil"/>
              <w:tr2bl w:val="nil"/>
            </w:tcBorders>
            <w:vAlign w:val="center"/>
          </w:tcPr>
          <w:p w14:paraId="6E1FE306">
            <w:pPr>
              <w:pStyle w:val="458"/>
              <w:rPr>
                <w:rFonts w:eastAsia="宋体"/>
                <w:color w:val="auto"/>
                <w:sz w:val="21"/>
                <w:szCs w:val="21"/>
              </w:rPr>
            </w:pPr>
            <w:r>
              <w:rPr>
                <w:rFonts w:eastAsia="宋体"/>
                <w:color w:val="auto"/>
                <w:sz w:val="21"/>
                <w:szCs w:val="21"/>
              </w:rPr>
              <w:t>①选用益生菌配方饲料；</w:t>
            </w:r>
          </w:p>
          <w:p w14:paraId="500BBB55">
            <w:pPr>
              <w:pStyle w:val="458"/>
              <w:rPr>
                <w:rFonts w:eastAsia="宋体"/>
                <w:color w:val="auto"/>
                <w:sz w:val="21"/>
                <w:szCs w:val="21"/>
              </w:rPr>
            </w:pPr>
            <w:r>
              <w:rPr>
                <w:rFonts w:eastAsia="宋体"/>
                <w:color w:val="auto"/>
                <w:sz w:val="21"/>
                <w:szCs w:val="21"/>
              </w:rPr>
              <w:t>②及时清运粪污；</w:t>
            </w:r>
          </w:p>
          <w:p w14:paraId="406CDD00">
            <w:pPr>
              <w:pStyle w:val="458"/>
              <w:rPr>
                <w:rFonts w:eastAsia="宋体"/>
                <w:color w:val="auto"/>
                <w:sz w:val="21"/>
                <w:szCs w:val="21"/>
              </w:rPr>
            </w:pPr>
            <w:r>
              <w:rPr>
                <w:rFonts w:eastAsia="宋体"/>
                <w:color w:val="auto"/>
                <w:sz w:val="21"/>
                <w:szCs w:val="21"/>
              </w:rPr>
              <w:t>③向舍内定期投入除臭剂；</w:t>
            </w:r>
          </w:p>
          <w:p w14:paraId="27AA0D2C">
            <w:pPr>
              <w:pStyle w:val="458"/>
              <w:rPr>
                <w:rFonts w:hint="eastAsia" w:eastAsia="宋体"/>
                <w:color w:val="auto"/>
                <w:sz w:val="21"/>
                <w:szCs w:val="21"/>
                <w:lang w:eastAsia="zh-CN"/>
              </w:rPr>
            </w:pPr>
            <w:r>
              <w:rPr>
                <w:rFonts w:eastAsia="宋体"/>
                <w:color w:val="auto"/>
                <w:sz w:val="21"/>
                <w:szCs w:val="21"/>
              </w:rPr>
              <w:t>④周边加强绿化</w:t>
            </w:r>
            <w:r>
              <w:rPr>
                <w:rFonts w:hint="eastAsia" w:eastAsia="宋体"/>
                <w:color w:val="auto"/>
                <w:sz w:val="21"/>
                <w:szCs w:val="21"/>
                <w:lang w:eastAsia="zh-CN"/>
              </w:rPr>
              <w:t>；</w:t>
            </w:r>
          </w:p>
          <w:p w14:paraId="5AF0807D">
            <w:pPr>
              <w:pStyle w:val="458"/>
              <w:rPr>
                <w:rFonts w:hint="eastAsia" w:eastAsia="宋体"/>
                <w:color w:val="auto"/>
                <w:sz w:val="21"/>
                <w:szCs w:val="21"/>
                <w:lang w:eastAsia="zh-CN"/>
              </w:rPr>
            </w:pPr>
            <w:r>
              <w:rPr>
                <w:rFonts w:hint="default" w:ascii="Times New Roman" w:hAnsi="Times New Roman" w:eastAsia="宋体" w:cs="Times New Roman"/>
                <w:color w:val="auto"/>
                <w:sz w:val="21"/>
                <w:szCs w:val="21"/>
                <w:highlight w:val="none"/>
                <w:lang w:eastAsia="zh-CN"/>
              </w:rPr>
              <w:fldChar w:fldCharType="begin"/>
            </w:r>
            <w:r>
              <w:rPr>
                <w:rFonts w:hint="default" w:ascii="Times New Roman" w:hAnsi="Times New Roman" w:eastAsia="宋体" w:cs="Times New Roman"/>
                <w:color w:val="auto"/>
                <w:sz w:val="21"/>
                <w:szCs w:val="21"/>
                <w:highlight w:val="none"/>
                <w:lang w:eastAsia="zh-CN"/>
              </w:rPr>
              <w:instrText xml:space="preserve"> = 5 \* GB3 \* MERGEFORMAT </w:instrText>
            </w:r>
            <w:r>
              <w:rPr>
                <w:rFonts w:hint="default" w:ascii="Times New Roman" w:hAnsi="Times New Roman" w:eastAsia="宋体" w:cs="Times New Roman"/>
                <w:color w:val="auto"/>
                <w:sz w:val="21"/>
                <w:szCs w:val="21"/>
                <w:highlight w:val="none"/>
                <w:lang w:eastAsia="zh-CN"/>
              </w:rPr>
              <w:fldChar w:fldCharType="separate"/>
            </w:r>
            <w:r>
              <w:rPr>
                <w:rFonts w:hint="default" w:ascii="Times New Roman" w:hAnsi="Times New Roman" w:eastAsia="宋体" w:cs="Times New Roman"/>
                <w:color w:val="auto"/>
                <w:sz w:val="21"/>
                <w:szCs w:val="21"/>
              </w:rPr>
              <w:t>⑤</w:t>
            </w:r>
            <w:r>
              <w:rPr>
                <w:rFonts w:hint="default" w:ascii="Times New Roman" w:hAnsi="Times New Roman" w:eastAsia="宋体" w:cs="Times New Roman"/>
                <w:color w:val="auto"/>
                <w:sz w:val="21"/>
                <w:szCs w:val="21"/>
                <w:highlight w:val="none"/>
                <w:lang w:eastAsia="zh-CN"/>
              </w:rPr>
              <w:fldChar w:fldCharType="end"/>
            </w:r>
            <w:r>
              <w:rPr>
                <w:rFonts w:hint="eastAsia" w:eastAsia="宋体"/>
                <w:color w:val="auto"/>
                <w:sz w:val="21"/>
                <w:szCs w:val="21"/>
                <w:highlight w:val="none"/>
                <w:lang w:eastAsia="zh-CN"/>
              </w:rPr>
              <w:t>鸡舍废气集中收集经喷淋水帘后排放。</w:t>
            </w:r>
          </w:p>
        </w:tc>
      </w:tr>
      <w:tr w14:paraId="3D47F6F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46" w:type="pct"/>
            <w:tcBorders>
              <w:tl2br w:val="nil"/>
              <w:tr2bl w:val="nil"/>
            </w:tcBorders>
            <w:vAlign w:val="center"/>
          </w:tcPr>
          <w:p w14:paraId="69B6B028">
            <w:pPr>
              <w:pStyle w:val="458"/>
              <w:rPr>
                <w:rFonts w:hint="eastAsia" w:eastAsia="宋体"/>
                <w:color w:val="auto"/>
                <w:sz w:val="21"/>
                <w:szCs w:val="21"/>
                <w:lang w:eastAsia="zh-CN"/>
              </w:rPr>
            </w:pPr>
            <w:r>
              <w:rPr>
                <w:rFonts w:hint="eastAsia" w:eastAsia="宋体"/>
                <w:color w:val="auto"/>
                <w:sz w:val="21"/>
                <w:szCs w:val="21"/>
                <w:lang w:eastAsia="zh-CN"/>
              </w:rPr>
              <w:t>临时储粪场、废水收集池</w:t>
            </w:r>
          </w:p>
        </w:tc>
        <w:tc>
          <w:tcPr>
            <w:tcW w:w="1355" w:type="pct"/>
            <w:tcBorders>
              <w:tl2br w:val="nil"/>
              <w:tr2bl w:val="nil"/>
            </w:tcBorders>
            <w:vAlign w:val="center"/>
          </w:tcPr>
          <w:p w14:paraId="51C9E0C6">
            <w:pPr>
              <w:pStyle w:val="458"/>
              <w:rPr>
                <w:rFonts w:eastAsia="宋体"/>
                <w:color w:val="auto"/>
                <w:sz w:val="21"/>
                <w:szCs w:val="21"/>
              </w:rPr>
            </w:pPr>
            <w:r>
              <w:rPr>
                <w:rFonts w:eastAsia="宋体"/>
                <w:color w:val="auto"/>
                <w:sz w:val="21"/>
                <w:szCs w:val="21"/>
              </w:rPr>
              <w:t>NH</w:t>
            </w:r>
            <w:r>
              <w:rPr>
                <w:rFonts w:eastAsia="宋体"/>
                <w:color w:val="auto"/>
                <w:sz w:val="21"/>
                <w:szCs w:val="21"/>
                <w:vertAlign w:val="subscript"/>
              </w:rPr>
              <w:t>3</w:t>
            </w:r>
            <w:r>
              <w:rPr>
                <w:rFonts w:eastAsia="宋体"/>
                <w:color w:val="auto"/>
                <w:sz w:val="21"/>
                <w:szCs w:val="21"/>
              </w:rPr>
              <w:t>、H</w:t>
            </w:r>
            <w:r>
              <w:rPr>
                <w:rFonts w:eastAsia="宋体"/>
                <w:color w:val="auto"/>
                <w:sz w:val="21"/>
                <w:szCs w:val="21"/>
                <w:vertAlign w:val="subscript"/>
              </w:rPr>
              <w:t>2</w:t>
            </w:r>
            <w:r>
              <w:rPr>
                <w:rFonts w:eastAsia="宋体"/>
                <w:color w:val="auto"/>
                <w:sz w:val="21"/>
                <w:szCs w:val="21"/>
              </w:rPr>
              <w:t>S、臭气浓度</w:t>
            </w:r>
          </w:p>
        </w:tc>
        <w:tc>
          <w:tcPr>
            <w:tcW w:w="2598" w:type="pct"/>
            <w:tcBorders>
              <w:tl2br w:val="nil"/>
              <w:tr2bl w:val="nil"/>
            </w:tcBorders>
            <w:vAlign w:val="center"/>
          </w:tcPr>
          <w:p w14:paraId="12551DBE">
            <w:pPr>
              <w:pStyle w:val="458"/>
              <w:rPr>
                <w:rFonts w:eastAsia="宋体"/>
                <w:color w:val="auto"/>
                <w:sz w:val="21"/>
                <w:szCs w:val="21"/>
              </w:rPr>
            </w:pPr>
            <w:r>
              <w:rPr>
                <w:rFonts w:eastAsia="宋体"/>
                <w:color w:val="auto"/>
                <w:sz w:val="21"/>
                <w:szCs w:val="21"/>
              </w:rPr>
              <w:t>①定期喷洒除臭剂；</w:t>
            </w:r>
          </w:p>
          <w:p w14:paraId="1BA74C82">
            <w:pPr>
              <w:pStyle w:val="458"/>
              <w:rPr>
                <w:rFonts w:eastAsia="宋体"/>
                <w:color w:val="auto"/>
                <w:sz w:val="21"/>
                <w:szCs w:val="21"/>
              </w:rPr>
            </w:pPr>
            <w:r>
              <w:rPr>
                <w:rFonts w:eastAsia="宋体"/>
                <w:color w:val="auto"/>
                <w:sz w:val="21"/>
                <w:szCs w:val="21"/>
              </w:rPr>
              <w:t>②及时清运固体粪污；</w:t>
            </w:r>
          </w:p>
          <w:p w14:paraId="6CBEDC8A">
            <w:pPr>
              <w:pStyle w:val="458"/>
              <w:rPr>
                <w:rFonts w:eastAsia="宋体"/>
                <w:color w:val="auto"/>
                <w:sz w:val="21"/>
                <w:szCs w:val="21"/>
              </w:rPr>
            </w:pPr>
            <w:r>
              <w:rPr>
                <w:rFonts w:eastAsia="宋体"/>
                <w:color w:val="auto"/>
                <w:sz w:val="21"/>
                <w:szCs w:val="21"/>
              </w:rPr>
              <w:t>③</w:t>
            </w:r>
            <w:r>
              <w:rPr>
                <w:rFonts w:hint="eastAsia" w:eastAsia="宋体"/>
                <w:color w:val="auto"/>
                <w:sz w:val="21"/>
                <w:szCs w:val="21"/>
                <w:lang w:eastAsia="zh-CN"/>
              </w:rPr>
              <w:t>废水收集池</w:t>
            </w:r>
            <w:r>
              <w:rPr>
                <w:rFonts w:eastAsia="宋体"/>
                <w:color w:val="auto"/>
                <w:sz w:val="21"/>
                <w:szCs w:val="21"/>
              </w:rPr>
              <w:t>加盖</w:t>
            </w:r>
            <w:r>
              <w:rPr>
                <w:rFonts w:hint="eastAsia" w:eastAsia="宋体"/>
                <w:color w:val="auto"/>
                <w:sz w:val="21"/>
                <w:szCs w:val="21"/>
                <w:lang w:eastAsia="zh-CN"/>
              </w:rPr>
              <w:t>，临时储粪场设置为封闭结构</w:t>
            </w:r>
            <w:r>
              <w:rPr>
                <w:rFonts w:eastAsia="宋体"/>
                <w:color w:val="auto"/>
                <w:sz w:val="21"/>
                <w:szCs w:val="21"/>
              </w:rPr>
              <w:t>；</w:t>
            </w:r>
          </w:p>
        </w:tc>
      </w:tr>
      <w:tr w14:paraId="2D6DC1CF">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46" w:type="pct"/>
            <w:tcBorders>
              <w:tl2br w:val="nil"/>
              <w:tr2bl w:val="nil"/>
            </w:tcBorders>
            <w:vAlign w:val="center"/>
          </w:tcPr>
          <w:p w14:paraId="3AD0E129">
            <w:pPr>
              <w:pStyle w:val="458"/>
              <w:rPr>
                <w:rFonts w:eastAsia="宋体"/>
                <w:color w:val="auto"/>
                <w:sz w:val="21"/>
                <w:szCs w:val="21"/>
              </w:rPr>
            </w:pPr>
            <w:r>
              <w:rPr>
                <w:rFonts w:eastAsia="宋体"/>
                <w:color w:val="auto"/>
                <w:sz w:val="21"/>
                <w:szCs w:val="21"/>
              </w:rPr>
              <w:t>食堂</w:t>
            </w:r>
          </w:p>
        </w:tc>
        <w:tc>
          <w:tcPr>
            <w:tcW w:w="1355" w:type="pct"/>
            <w:tcBorders>
              <w:tl2br w:val="nil"/>
              <w:tr2bl w:val="nil"/>
            </w:tcBorders>
            <w:vAlign w:val="center"/>
          </w:tcPr>
          <w:p w14:paraId="01349199">
            <w:pPr>
              <w:pStyle w:val="458"/>
              <w:rPr>
                <w:rFonts w:eastAsia="宋体"/>
                <w:color w:val="auto"/>
                <w:sz w:val="21"/>
                <w:szCs w:val="21"/>
              </w:rPr>
            </w:pPr>
            <w:r>
              <w:rPr>
                <w:rFonts w:eastAsia="宋体"/>
                <w:color w:val="auto"/>
                <w:sz w:val="21"/>
                <w:szCs w:val="21"/>
              </w:rPr>
              <w:t>油烟</w:t>
            </w:r>
          </w:p>
        </w:tc>
        <w:tc>
          <w:tcPr>
            <w:tcW w:w="2598" w:type="pct"/>
            <w:tcBorders>
              <w:tl2br w:val="nil"/>
              <w:tr2bl w:val="nil"/>
            </w:tcBorders>
            <w:vAlign w:val="center"/>
          </w:tcPr>
          <w:p w14:paraId="5E26417C">
            <w:pPr>
              <w:pStyle w:val="458"/>
              <w:rPr>
                <w:rFonts w:eastAsia="宋体"/>
                <w:color w:val="auto"/>
                <w:sz w:val="21"/>
                <w:szCs w:val="21"/>
              </w:rPr>
            </w:pPr>
            <w:r>
              <w:rPr>
                <w:rFonts w:eastAsia="宋体"/>
                <w:color w:val="auto"/>
                <w:sz w:val="21"/>
                <w:szCs w:val="21"/>
              </w:rPr>
              <w:t>设1套油烟净化器，由专用排气道</w:t>
            </w:r>
            <w:r>
              <w:rPr>
                <w:rFonts w:hint="eastAsia" w:eastAsia="宋体"/>
                <w:color w:val="auto"/>
                <w:sz w:val="21"/>
                <w:szCs w:val="21"/>
                <w:lang w:val="en-US" w:eastAsia="zh-CN"/>
              </w:rPr>
              <w:t>DA002</w:t>
            </w:r>
            <w:r>
              <w:rPr>
                <w:rFonts w:eastAsia="宋体"/>
                <w:color w:val="auto"/>
                <w:sz w:val="21"/>
                <w:szCs w:val="21"/>
              </w:rPr>
              <w:t>排出</w:t>
            </w:r>
          </w:p>
        </w:tc>
      </w:tr>
      <w:tr w14:paraId="1B0D8738">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46" w:type="pct"/>
            <w:tcBorders>
              <w:tl2br w:val="nil"/>
              <w:tr2bl w:val="nil"/>
            </w:tcBorders>
            <w:vAlign w:val="center"/>
          </w:tcPr>
          <w:p w14:paraId="0DDDD8EE">
            <w:pPr>
              <w:pStyle w:val="458"/>
              <w:rPr>
                <w:rFonts w:hint="eastAsia" w:eastAsia="宋体"/>
                <w:color w:val="auto"/>
                <w:sz w:val="21"/>
                <w:szCs w:val="21"/>
                <w:lang w:val="en-US" w:eastAsia="zh-CN"/>
              </w:rPr>
            </w:pPr>
            <w:r>
              <w:rPr>
                <w:rFonts w:hint="eastAsia" w:eastAsia="宋体"/>
                <w:color w:val="auto"/>
                <w:sz w:val="21"/>
                <w:szCs w:val="21"/>
                <w:lang w:eastAsia="zh-CN"/>
              </w:rPr>
              <w:t>生物质</w:t>
            </w:r>
            <w:r>
              <w:rPr>
                <w:rFonts w:hint="eastAsia" w:eastAsia="宋体"/>
                <w:color w:val="auto"/>
                <w:sz w:val="21"/>
                <w:szCs w:val="21"/>
              </w:rPr>
              <w:t>锅炉</w:t>
            </w:r>
          </w:p>
        </w:tc>
        <w:tc>
          <w:tcPr>
            <w:tcW w:w="1355" w:type="pct"/>
            <w:tcBorders>
              <w:tl2br w:val="nil"/>
              <w:tr2bl w:val="nil"/>
            </w:tcBorders>
            <w:vAlign w:val="center"/>
          </w:tcPr>
          <w:p w14:paraId="07126937">
            <w:pPr>
              <w:pStyle w:val="458"/>
              <w:rPr>
                <w:rFonts w:eastAsia="宋体"/>
                <w:color w:val="auto"/>
                <w:sz w:val="21"/>
                <w:szCs w:val="21"/>
              </w:rPr>
            </w:pPr>
            <w:r>
              <w:rPr>
                <w:rFonts w:hint="eastAsia" w:eastAsia="宋体"/>
                <w:color w:val="auto"/>
                <w:sz w:val="21"/>
                <w:szCs w:val="21"/>
              </w:rPr>
              <w:t>SO</w:t>
            </w:r>
            <w:r>
              <w:rPr>
                <w:rFonts w:hint="eastAsia" w:eastAsia="宋体"/>
                <w:color w:val="auto"/>
                <w:sz w:val="21"/>
                <w:szCs w:val="21"/>
                <w:vertAlign w:val="subscript"/>
              </w:rPr>
              <w:t>2</w:t>
            </w:r>
            <w:r>
              <w:rPr>
                <w:rFonts w:hint="eastAsia" w:eastAsia="宋体"/>
                <w:color w:val="auto"/>
                <w:sz w:val="21"/>
                <w:szCs w:val="21"/>
              </w:rPr>
              <w:t>、NOx、颗粒物</w:t>
            </w:r>
          </w:p>
        </w:tc>
        <w:tc>
          <w:tcPr>
            <w:tcW w:w="2598" w:type="pct"/>
            <w:tcBorders>
              <w:tl2br w:val="nil"/>
              <w:tr2bl w:val="nil"/>
            </w:tcBorders>
            <w:vAlign w:val="center"/>
          </w:tcPr>
          <w:p w14:paraId="05A1B32A">
            <w:pPr>
              <w:pStyle w:val="458"/>
              <w:rPr>
                <w:rFonts w:hint="eastAsia" w:eastAsia="宋体"/>
                <w:color w:val="auto"/>
                <w:sz w:val="21"/>
                <w:szCs w:val="21"/>
                <w:lang w:eastAsia="zh-CN"/>
              </w:rPr>
            </w:pPr>
            <w:r>
              <w:rPr>
                <w:rFonts w:hint="eastAsia" w:eastAsia="宋体"/>
                <w:color w:val="auto"/>
                <w:sz w:val="21"/>
                <w:szCs w:val="21"/>
                <w:lang w:val="en-US" w:eastAsia="zh-CN"/>
              </w:rPr>
              <w:t>采用低氮燃烧法，旋风除尘器+布袋除尘器+30</w:t>
            </w:r>
            <w:r>
              <w:rPr>
                <w:rFonts w:hint="eastAsia" w:eastAsia="宋体"/>
                <w:color w:val="auto"/>
                <w:sz w:val="21"/>
                <w:szCs w:val="21"/>
              </w:rPr>
              <w:t>m高</w:t>
            </w:r>
            <w:r>
              <w:rPr>
                <w:rFonts w:hint="eastAsia" w:eastAsia="宋体"/>
                <w:color w:val="auto"/>
                <w:sz w:val="21"/>
                <w:szCs w:val="21"/>
                <w:lang w:eastAsia="zh-CN"/>
              </w:rPr>
              <w:t>烟囱</w:t>
            </w:r>
            <w:r>
              <w:rPr>
                <w:rFonts w:hint="eastAsia" w:eastAsia="宋体"/>
                <w:color w:val="auto"/>
                <w:sz w:val="21"/>
                <w:szCs w:val="21"/>
              </w:rPr>
              <w:t>（</w:t>
            </w:r>
            <w:r>
              <w:rPr>
                <w:rFonts w:hint="eastAsia" w:eastAsia="宋体"/>
                <w:color w:val="auto"/>
                <w:sz w:val="21"/>
                <w:szCs w:val="21"/>
                <w:lang w:val="en-US" w:eastAsia="zh-CN"/>
              </w:rPr>
              <w:t>DA001</w:t>
            </w:r>
            <w:r>
              <w:rPr>
                <w:rFonts w:hint="eastAsia" w:eastAsia="宋体"/>
                <w:color w:val="auto"/>
                <w:sz w:val="21"/>
                <w:szCs w:val="21"/>
              </w:rPr>
              <w:t>）排</w:t>
            </w:r>
            <w:r>
              <w:rPr>
                <w:rFonts w:hint="eastAsia" w:eastAsia="宋体"/>
                <w:color w:val="auto"/>
                <w:sz w:val="21"/>
                <w:szCs w:val="21"/>
                <w:lang w:eastAsia="zh-CN"/>
              </w:rPr>
              <w:t>放</w:t>
            </w:r>
          </w:p>
        </w:tc>
      </w:tr>
    </w:tbl>
    <w:p w14:paraId="132CA733">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鸡舍恶臭</w:t>
      </w:r>
    </w:p>
    <w:p w14:paraId="790D11B1">
      <w:pPr>
        <w:spacing w:line="360" w:lineRule="auto"/>
        <w:ind w:firstLine="480" w:firstLineChars="200"/>
        <w:rPr>
          <w:color w:val="auto"/>
          <w:sz w:val="24"/>
        </w:rPr>
      </w:pPr>
      <w:r>
        <w:rPr>
          <w:color w:val="auto"/>
          <w:sz w:val="24"/>
        </w:rPr>
        <w:t>本项目采用自动化鸡粪清理系统，是一种传送带式清粪工艺，通过鸡笼下方漏缝网板使鸡粪产生即依靠重力落到鸡笼下方的传粪带上，传粪带为电力驱动，各栋鸡舍产生的鸡粪先经纵向传粪带运至鸡舍一端，被端部设置的刮粪板刮移到横向传粪带上，再由横向传粪带输送到鸡舍外运输车中，完成鸡舍内日常清粪（即日产日清），饲养期间鸡笼无需再用水清洗。每淘汰一批鸡（500天）进行一次空栏清洗、消毒。本项目采用带通风粪便干燥功能的层架式鸡笼（使用电作为能源），通过专门的空气管道快速高效地干燥粪便，在较为寒冷的气候条件下，用热交换器对空气预热，然后再导向粪便上方，为全年四季保证稳定理想的粪便干燥条件。</w:t>
      </w:r>
    </w:p>
    <w:p w14:paraId="25C2A514">
      <w:pPr>
        <w:spacing w:line="360" w:lineRule="auto"/>
        <w:ind w:firstLine="480" w:firstLineChars="200"/>
        <w:rPr>
          <w:color w:val="auto"/>
          <w:sz w:val="24"/>
        </w:rPr>
      </w:pPr>
      <w:r>
        <w:rPr>
          <w:color w:val="auto"/>
          <w:sz w:val="24"/>
        </w:rPr>
        <w:t>为了进一步减轻臭气的产生及对周围环境的影响，建设单位拟通过以下措施减少鸡舍废气的产生：</w:t>
      </w:r>
    </w:p>
    <w:p w14:paraId="0799AA21">
      <w:pPr>
        <w:spacing w:line="360" w:lineRule="auto"/>
        <w:ind w:firstLine="480" w:firstLineChars="200"/>
        <w:rPr>
          <w:color w:val="auto"/>
          <w:sz w:val="24"/>
        </w:rPr>
      </w:pPr>
      <w:r>
        <w:rPr>
          <w:color w:val="auto"/>
          <w:sz w:val="24"/>
        </w:rPr>
        <w:t>1）提高饲料利用率：鸡未消化和吸收的营养物质是鸡场恶臭味的主要来源。鸡粪中不仅含有大量的有机物，而且还含有未被吸收利用的矿物质，这些物质的排出，既浪费，又造成污染。因此，提高饲料利用率，尤其是提高饲料中氮、磷利用率，降低粪便中氮、磷含量，是减少恶臭和有害气体的最佳途径。保证饲料氨基酸平衡，也可利用氨基酸作为氨基酸利用情况指标来配制氨基酸平衡日粮，通过添加合成氨基酸，在满足有效氨基酸需要基础上适当降低饲料中粗蛋白质含量，既可节省蛋白质饲料资源，又可使氨的排出量减少。利用酶制剂，饲料中添加酶制剂可以清除相应的抗营养因子，补充动物的内源性酶提高饲料利用率，减少排泄量。植物中植酸与磷可以生成难以吸收的植酸磷，必须另外补充无机磷，造成粪便中排出过多磷，在饲料中添加植酸酶后，可以消除植酸盐抗营养作用，提高磷、矿物质元素利用率，减少无机磷添加量和磷的排出量；添加蛋白酶，可以提高蛋白质消化率，减少氮的排出量；添加水溶性非淀粉多糖（NSP）酶，可以降低食糜粘度和食糜在肠道的滞留时间；增加食糜消化酶和底物养分作用时间，促进脂肪、淀粉和蛋白质利用率。合理加工饲粮日粮配方除配制科学外，饲料应搅拌均匀，保证鸡采食的饲料所含的养分均衡，满足最佳需要，减少营养浪费；饲料粒度适宜，保证较好的消化吸收率。科学饲养管理根据不同饲养阶段和生产水平给以不同营养水平的日粮，提高饲料报酬，减少营养排泄；充分利用限制饲养技术，在不影响生产和生长的前提下减少饲料消耗量和排泄物排泄量；定期饲喂砂砾，增强消化机能，提高饲料利用率；提供适宜环境，加强疫病防治，充分发挥鸡群生产性能，减少单位畜产品的粪便排泄量；</w:t>
      </w:r>
    </w:p>
    <w:p w14:paraId="20A0061A">
      <w:pPr>
        <w:spacing w:line="360" w:lineRule="auto"/>
        <w:ind w:firstLine="480" w:firstLineChars="200"/>
        <w:rPr>
          <w:color w:val="auto"/>
          <w:sz w:val="24"/>
        </w:rPr>
      </w:pPr>
      <w:r>
        <w:rPr>
          <w:color w:val="auto"/>
          <w:sz w:val="24"/>
        </w:rPr>
        <w:t>2）加强鸡舍的管理：首先要保证自动清理设备能及时将鸡粪清出鸡舍，同时应加强通风，加速粪便干燥，可减少臭气的产生。鸡舍使用复方酚、碘伏交替喷雾消毒，不仅可杀灭各种病原体，净化鸡群的内、外环境，而且可使鸡舍的臭味变小；另外可将沸石将其装入盒中，悬在鸡舍内，沸石具有强力吸附作用，可有效吸附恶臭；还在鸡舍与鸡粪处理间内设有超声波除臭设备与EM（有效微生物群）原液稀释液，通过超声除臭设备定期将EM（有效微生物群）原液稀释液雾化喷至鸡舍内除臭，具有关实际应用可知，EM原液可有效消除臭味，改善舍内环境，减少畜禽呼吸道等疾病的发生，增进畜禽健康。尤其是冬季时，通风和保温容易造成顾此失彼，使用沸石和EM原液除臭可以取得良好的效果，也可避免通风和保温的兼顾问题；</w:t>
      </w:r>
    </w:p>
    <w:p w14:paraId="4467F6E9">
      <w:pPr>
        <w:spacing w:line="360" w:lineRule="auto"/>
        <w:ind w:firstLine="480" w:firstLineChars="200"/>
        <w:rPr>
          <w:color w:val="auto"/>
          <w:sz w:val="24"/>
        </w:rPr>
      </w:pPr>
      <w:r>
        <w:rPr>
          <w:color w:val="auto"/>
          <w:sz w:val="24"/>
        </w:rPr>
        <w:t>3）确保清粪频率：每天至少自动清粪一次，减少粪便在空气中的暴露时间，若周边大气扩散条件恶劣应采取进一步增加清粪次数、在集粪带上撒秸杆末等措施；</w:t>
      </w:r>
    </w:p>
    <w:p w14:paraId="489E8F44">
      <w:pPr>
        <w:spacing w:line="360" w:lineRule="auto"/>
        <w:ind w:firstLine="480" w:firstLineChars="200"/>
        <w:rPr>
          <w:color w:val="auto"/>
          <w:sz w:val="24"/>
        </w:rPr>
      </w:pPr>
      <w:r>
        <w:rPr>
          <w:color w:val="auto"/>
          <w:sz w:val="24"/>
        </w:rPr>
        <w:t>4）加强鸡舍通风：本项目每栋鸡舍配置风机用于鸡舍通风，保证鸡舍内臭气不会累积；</w:t>
      </w:r>
    </w:p>
    <w:p w14:paraId="3CE6A8FA">
      <w:pPr>
        <w:spacing w:line="360" w:lineRule="auto"/>
        <w:ind w:firstLine="480" w:firstLineChars="200"/>
        <w:rPr>
          <w:color w:val="auto"/>
          <w:sz w:val="24"/>
        </w:rPr>
      </w:pPr>
      <w:r>
        <w:rPr>
          <w:color w:val="auto"/>
          <w:sz w:val="24"/>
        </w:rPr>
        <w:t>5）绿化吸收：在厂区及鸡舍周围种植绿色植物是为了防止气味扩散，降低场区温度和噪音、提高环境质量最有效的手段。种植绿色植物首先可以降低风速，防止气味传播到更远的距离，减少气味的污染范围。同时绿色植物还可通过控制温度改善局部环境。树叶还可以直接吸收、过滤含有气味的气体和尘粒，从而减少空气中的气味，有害气体经过绿化带后，至少有25%被吸收，恶臭可减少。树木通过光合作用吸收空气中的二氧化碳、释放氧气，可使动物呼出的二氧化碳减少60%，改善空气质量。在场区及其周围种植高大树木，还能净化。澄清大气中的粉尘，据测定可减少35～67%；与此同时，减少了空气中的微生物，细菌总数可减少22～79%，甚至某些树木的额花、叶能分泌杀菌物质，可杀死细菌、真菌等。</w:t>
      </w:r>
    </w:p>
    <w:p w14:paraId="6868009D">
      <w:pPr>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）临时储粪场、废水收集池</w:t>
      </w:r>
    </w:p>
    <w:p w14:paraId="27AB7629">
      <w:pPr>
        <w:spacing w:line="360" w:lineRule="auto"/>
        <w:ind w:firstLine="480" w:firstLineChars="200"/>
        <w:rPr>
          <w:rFonts w:hint="eastAsia" w:eastAsia="宋体"/>
          <w:color w:val="auto"/>
          <w:sz w:val="24"/>
          <w:highlight w:val="none"/>
          <w:shd w:val="clear" w:color="auto" w:fill="FFFFFF"/>
          <w:lang w:eastAsia="zh-CN"/>
        </w:rPr>
      </w:pPr>
      <w:r>
        <w:rPr>
          <w:rFonts w:hint="eastAsia"/>
          <w:color w:val="auto"/>
          <w:sz w:val="24"/>
          <w:highlight w:val="none"/>
          <w:shd w:val="clear" w:color="auto" w:fill="FFFFFF"/>
          <w:lang w:val="en-US" w:eastAsia="zh-CN"/>
        </w:rPr>
        <w:t>1</w:t>
      </w:r>
      <w:r>
        <w:rPr>
          <w:rFonts w:hint="eastAsia"/>
          <w:color w:val="auto"/>
          <w:sz w:val="24"/>
          <w:highlight w:val="none"/>
          <w:shd w:val="clear" w:color="auto" w:fill="FFFFFF"/>
          <w:lang w:eastAsia="zh-CN"/>
        </w:rPr>
        <w:t>）定期喷洒除臭剂</w:t>
      </w:r>
    </w:p>
    <w:p w14:paraId="4CB41833">
      <w:pPr>
        <w:spacing w:line="360" w:lineRule="auto"/>
        <w:ind w:firstLine="480" w:firstLineChars="200"/>
        <w:jc w:val="left"/>
        <w:rPr>
          <w:rFonts w:hint="eastAsia"/>
          <w:color w:val="auto"/>
          <w:sz w:val="24"/>
        </w:rPr>
      </w:pPr>
      <w:r>
        <w:rPr>
          <w:rFonts w:hint="eastAsia"/>
          <w:color w:val="auto"/>
          <w:sz w:val="24"/>
        </w:rPr>
        <w:t>本项目使用养殖场专用的植物型除臭剂，该种除臭剂主要成分为活性醛类芳香香料、樟树、桉树、柏树，香茅等天然植物提取物，无毒、无刺激、无腐蚀性杀菌功能强。植物型除臭剂通过4种物理化学作用力将臭气分子捕捉：范德华力、耦合力、化学反应力、吸附力，植物型除臭剂可以效去除硫化氢、氨气、二氧化硫、甲硫醇、胺等多种常见的恶臭气体，也可以用于去除工业领域产生的特种恶臭气体。除臭剂中的活性基(CHO)具有很高的活性，利用它的活性同挥发性含S(如硫化氢、硫醇、硫基化合物)、含N(如氨、有机胺)等易挥发物质反应，产生新的低气味且无毒的新物质，不能与活性基(CHO)反应的一些挥发性物质则采用气味补偿办法解决，这种补偿也不是简单的气味掩盖作用，而是利用植物提取液中的活性成分与不能和活性基(CHO)反应的成分进行再次作用，使其失去原来的气味，以此来实现对发挥性恶臭物质的有效削减和消除。</w:t>
      </w:r>
    </w:p>
    <w:p w14:paraId="2401193B">
      <w:pPr>
        <w:spacing w:line="360" w:lineRule="auto"/>
        <w:ind w:firstLine="480" w:firstLineChars="200"/>
        <w:rPr>
          <w:rFonts w:hint="eastAsia" w:eastAsia="宋体"/>
          <w:color w:val="auto"/>
          <w:sz w:val="24"/>
          <w:highlight w:val="none"/>
          <w:shd w:val="clear" w:color="auto" w:fill="FFFFFF"/>
          <w:lang w:eastAsia="zh-CN"/>
        </w:rPr>
      </w:pPr>
      <w:r>
        <w:rPr>
          <w:rFonts w:hint="eastAsia"/>
          <w:color w:val="auto"/>
          <w:sz w:val="24"/>
          <w:highlight w:val="none"/>
          <w:shd w:val="clear" w:color="auto" w:fill="FFFFFF"/>
          <w:lang w:val="en-US" w:eastAsia="zh-CN"/>
        </w:rPr>
        <w:t>2</w:t>
      </w:r>
      <w:r>
        <w:rPr>
          <w:rFonts w:hint="eastAsia"/>
          <w:color w:val="auto"/>
          <w:sz w:val="24"/>
          <w:highlight w:val="none"/>
          <w:shd w:val="clear" w:color="auto" w:fill="FFFFFF"/>
          <w:lang w:eastAsia="zh-CN"/>
        </w:rPr>
        <w:t>）粪污的处置去向</w:t>
      </w:r>
    </w:p>
    <w:p w14:paraId="36159098">
      <w:pPr>
        <w:spacing w:line="360" w:lineRule="auto"/>
        <w:ind w:firstLine="480" w:firstLineChars="200"/>
        <w:rPr>
          <w:rFonts w:hint="eastAsia" w:eastAsia="宋体"/>
          <w:color w:val="auto"/>
          <w:sz w:val="24"/>
          <w:highlight w:val="none"/>
          <w:shd w:val="clear" w:color="auto" w:fill="FFFFFF"/>
          <w:lang w:eastAsia="zh-CN"/>
        </w:rPr>
      </w:pPr>
      <w:r>
        <w:rPr>
          <w:rFonts w:hint="eastAsia"/>
          <w:color w:val="auto"/>
          <w:sz w:val="24"/>
          <w:highlight w:val="none"/>
          <w:shd w:val="clear" w:color="auto" w:fill="FFFFFF"/>
          <w:lang w:eastAsia="zh-CN"/>
        </w:rPr>
        <w:t>本项目产生的粪污日产日清，除极端天气需在厂区内进行储存外，当日均由专用的运输车辆运至辰泰（辽宁）生物科技有限公司制作有机肥。</w:t>
      </w:r>
    </w:p>
    <w:p w14:paraId="4B5FB976">
      <w:pPr>
        <w:pStyle w:val="69"/>
        <w:spacing w:line="360" w:lineRule="auto"/>
        <w:ind w:firstLine="480" w:firstLineChars="200"/>
        <w:rPr>
          <w:rFonts w:hint="eastAsia" w:ascii="Times New Roman" w:hAnsi="Times New Roman" w:eastAsia="宋体"/>
          <w:color w:val="auto"/>
        </w:rPr>
      </w:pPr>
      <w:r>
        <w:rPr>
          <w:rFonts w:hint="eastAsia" w:ascii="Times New Roman" w:hAnsi="Times New Roman" w:eastAsia="宋体"/>
          <w:color w:val="auto"/>
          <w:lang w:eastAsia="zh-CN"/>
        </w:rPr>
        <w:t>（</w:t>
      </w:r>
      <w:r>
        <w:rPr>
          <w:rFonts w:hint="eastAsia" w:ascii="Times New Roman" w:hAnsi="Times New Roman" w:eastAsia="宋体"/>
          <w:color w:val="auto"/>
          <w:lang w:val="en-US" w:eastAsia="zh-CN"/>
        </w:rPr>
        <w:t>3</w:t>
      </w:r>
      <w:r>
        <w:rPr>
          <w:rFonts w:hint="eastAsia" w:ascii="Times New Roman" w:hAnsi="Times New Roman" w:eastAsia="宋体"/>
          <w:color w:val="auto"/>
          <w:lang w:eastAsia="zh-CN"/>
        </w:rPr>
        <w:t>）</w:t>
      </w:r>
      <w:r>
        <w:rPr>
          <w:rFonts w:hint="eastAsia" w:ascii="Times New Roman" w:hAnsi="Times New Roman" w:eastAsia="宋体"/>
          <w:color w:val="auto"/>
        </w:rPr>
        <w:t>治理措施可行性结论</w:t>
      </w:r>
    </w:p>
    <w:p w14:paraId="145853AF">
      <w:pPr>
        <w:pStyle w:val="69"/>
        <w:spacing w:line="360" w:lineRule="auto"/>
        <w:ind w:firstLine="480" w:firstLineChars="20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根据《排污许可证申请与核发技术规范</w:t>
      </w:r>
      <w:r>
        <w:rPr>
          <w:rFonts w:hint="eastAsia" w:ascii="Times New Roman" w:hAnsi="Times New Roman" w:eastAsia="宋体" w:cs="Times New Roman"/>
          <w:color w:val="auto"/>
          <w:lang w:val="en-US" w:eastAsia="zh-CN"/>
        </w:rPr>
        <w:t xml:space="preserve"> 畜禽养殖行业</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HJ1029-2019</w:t>
      </w:r>
      <w:r>
        <w:rPr>
          <w:rFonts w:hint="eastAsia" w:ascii="Times New Roman" w:hAnsi="Times New Roman" w:eastAsia="宋体" w:cs="Times New Roman"/>
          <w:color w:val="auto"/>
          <w:lang w:eastAsia="zh-CN"/>
        </w:rPr>
        <w:t>）“表</w:t>
      </w:r>
      <w:r>
        <w:rPr>
          <w:rFonts w:hint="eastAsia" w:ascii="Times New Roman" w:hAnsi="Times New Roman" w:eastAsia="宋体" w:cs="Times New Roman"/>
          <w:color w:val="auto"/>
          <w:lang w:val="en-US" w:eastAsia="zh-CN"/>
        </w:rPr>
        <w:t>7畜禽养殖行业排污单位无组织排放控制要求</w:t>
      </w:r>
      <w:r>
        <w:rPr>
          <w:rFonts w:hint="eastAsia" w:ascii="Times New Roman" w:hAnsi="Times New Roman" w:eastAsia="宋体" w:cs="Times New Roman"/>
          <w:color w:val="auto"/>
          <w:lang w:eastAsia="zh-CN"/>
        </w:rPr>
        <w:t>”，本项目大气污染控制措施可行性对照，见下表。</w:t>
      </w:r>
    </w:p>
    <w:p w14:paraId="372ED5BD">
      <w:pPr>
        <w:pStyle w:val="458"/>
        <w:rPr>
          <w:rFonts w:hint="default" w:eastAsia="宋体"/>
          <w:b/>
          <w:bCs/>
          <w:color w:val="auto"/>
          <w:sz w:val="21"/>
          <w:szCs w:val="21"/>
          <w:lang w:val="en-US" w:eastAsia="zh-CN"/>
        </w:rPr>
      </w:pPr>
      <w:r>
        <w:rPr>
          <w:rFonts w:eastAsia="宋体"/>
          <w:b/>
          <w:bCs/>
          <w:color w:val="auto"/>
          <w:sz w:val="21"/>
          <w:szCs w:val="21"/>
        </w:rPr>
        <w:t>表</w:t>
      </w:r>
      <w:r>
        <w:rPr>
          <w:rFonts w:hint="eastAsia" w:eastAsia="宋体"/>
          <w:b/>
          <w:bCs/>
          <w:color w:val="auto"/>
          <w:sz w:val="21"/>
          <w:szCs w:val="21"/>
        </w:rPr>
        <w:t>7</w:t>
      </w:r>
      <w:r>
        <w:rPr>
          <w:rFonts w:hint="eastAsia" w:eastAsia="宋体"/>
          <w:b/>
          <w:bCs/>
          <w:color w:val="auto"/>
          <w:sz w:val="21"/>
          <w:szCs w:val="21"/>
          <w:lang w:val="en-US" w:eastAsia="zh-CN"/>
        </w:rPr>
        <w:t>.2</w:t>
      </w:r>
      <w:r>
        <w:rPr>
          <w:rFonts w:hint="eastAsia" w:eastAsia="宋体"/>
          <w:b/>
          <w:bCs/>
          <w:color w:val="auto"/>
          <w:sz w:val="21"/>
          <w:szCs w:val="21"/>
        </w:rPr>
        <w:t>-</w:t>
      </w:r>
      <w:r>
        <w:rPr>
          <w:rFonts w:hint="eastAsia" w:eastAsia="宋体"/>
          <w:b/>
          <w:bCs/>
          <w:color w:val="auto"/>
          <w:sz w:val="21"/>
          <w:szCs w:val="21"/>
          <w:lang w:val="en-US" w:eastAsia="zh-CN"/>
        </w:rPr>
        <w:t>2</w:t>
      </w:r>
      <w:r>
        <w:rPr>
          <w:rFonts w:eastAsia="宋体"/>
          <w:b/>
          <w:bCs/>
          <w:color w:val="auto"/>
          <w:sz w:val="21"/>
          <w:szCs w:val="21"/>
        </w:rPr>
        <w:t xml:space="preserve">    </w:t>
      </w:r>
      <w:r>
        <w:rPr>
          <w:rFonts w:hint="eastAsia" w:eastAsia="宋体"/>
          <w:b/>
          <w:bCs/>
          <w:color w:val="auto"/>
          <w:sz w:val="21"/>
          <w:szCs w:val="21"/>
        </w:rPr>
        <w:t>本项目大气污染</w:t>
      </w:r>
      <w:r>
        <w:rPr>
          <w:rFonts w:hint="eastAsia" w:eastAsia="宋体"/>
          <w:b/>
          <w:bCs/>
          <w:color w:val="auto"/>
          <w:sz w:val="21"/>
          <w:szCs w:val="21"/>
          <w:lang w:val="en-US" w:eastAsia="zh-CN"/>
        </w:rPr>
        <w:t>控制可行技术一览表</w:t>
      </w:r>
    </w:p>
    <w:tbl>
      <w:tblPr>
        <w:tblStyle w:val="53"/>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29"/>
        <w:gridCol w:w="1236"/>
        <w:gridCol w:w="3073"/>
        <w:gridCol w:w="2468"/>
        <w:gridCol w:w="700"/>
      </w:tblGrid>
      <w:tr w14:paraId="600ADC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9" w:type="pct"/>
            <w:tcBorders>
              <w:top w:val="double" w:color="000000" w:sz="4" w:space="0"/>
              <w:left w:val="nil"/>
              <w:bottom w:val="single" w:color="000000" w:sz="4" w:space="0"/>
            </w:tcBorders>
            <w:vAlign w:val="center"/>
          </w:tcPr>
          <w:p w14:paraId="0CBB7C7D">
            <w:pPr>
              <w:pStyle w:val="458"/>
              <w:rPr>
                <w:rFonts w:eastAsia="宋体"/>
                <w:color w:val="auto"/>
                <w:sz w:val="21"/>
                <w:szCs w:val="21"/>
                <w:highlight w:val="none"/>
              </w:rPr>
            </w:pPr>
            <w:r>
              <w:rPr>
                <w:rFonts w:eastAsia="宋体"/>
                <w:color w:val="auto"/>
                <w:sz w:val="21"/>
                <w:szCs w:val="21"/>
                <w:highlight w:val="none"/>
              </w:rPr>
              <w:t>污染源</w:t>
            </w:r>
          </w:p>
        </w:tc>
        <w:tc>
          <w:tcPr>
            <w:tcW w:w="744" w:type="pct"/>
            <w:tcBorders>
              <w:top w:val="double" w:color="000000" w:sz="4" w:space="0"/>
              <w:bottom w:val="single" w:color="000000" w:sz="4" w:space="0"/>
            </w:tcBorders>
            <w:vAlign w:val="center"/>
          </w:tcPr>
          <w:p w14:paraId="3F49CB81">
            <w:pPr>
              <w:pStyle w:val="458"/>
              <w:rPr>
                <w:rFonts w:hint="eastAsia" w:eastAsia="宋体"/>
                <w:color w:val="auto"/>
                <w:sz w:val="21"/>
                <w:szCs w:val="21"/>
                <w:highlight w:val="none"/>
                <w:lang w:eastAsia="zh-CN"/>
              </w:rPr>
            </w:pPr>
            <w:r>
              <w:rPr>
                <w:rFonts w:hint="eastAsia" w:eastAsia="宋体"/>
                <w:color w:val="auto"/>
                <w:sz w:val="21"/>
                <w:szCs w:val="21"/>
                <w:highlight w:val="none"/>
                <w:lang w:val="en-US" w:eastAsia="zh-CN"/>
              </w:rPr>
              <w:t>文件</w:t>
            </w:r>
          </w:p>
        </w:tc>
        <w:tc>
          <w:tcPr>
            <w:tcW w:w="1850" w:type="pct"/>
            <w:tcBorders>
              <w:top w:val="double" w:color="000000" w:sz="4" w:space="0"/>
              <w:bottom w:val="single" w:color="000000" w:sz="4" w:space="0"/>
              <w:right w:val="nil"/>
            </w:tcBorders>
            <w:vAlign w:val="center"/>
          </w:tcPr>
          <w:p w14:paraId="2BF72828">
            <w:pPr>
              <w:pStyle w:val="458"/>
              <w:rPr>
                <w:rFonts w:hint="eastAsia" w:eastAsia="宋体"/>
                <w:color w:val="auto"/>
                <w:sz w:val="21"/>
                <w:szCs w:val="21"/>
                <w:highlight w:val="none"/>
                <w:lang w:eastAsia="zh-CN"/>
              </w:rPr>
            </w:pPr>
            <w:r>
              <w:rPr>
                <w:rFonts w:hint="eastAsia" w:eastAsia="宋体"/>
                <w:color w:val="auto"/>
                <w:sz w:val="21"/>
                <w:szCs w:val="21"/>
                <w:highlight w:val="none"/>
                <w:lang w:val="en-US" w:eastAsia="zh-CN"/>
              </w:rPr>
              <w:t>可行技术</w:t>
            </w:r>
          </w:p>
        </w:tc>
        <w:tc>
          <w:tcPr>
            <w:tcW w:w="1485" w:type="pct"/>
            <w:tcBorders>
              <w:top w:val="double" w:color="000000" w:sz="4" w:space="0"/>
              <w:bottom w:val="single" w:color="000000" w:sz="4" w:space="0"/>
              <w:right w:val="nil"/>
            </w:tcBorders>
            <w:vAlign w:val="center"/>
          </w:tcPr>
          <w:p w14:paraId="6DBA1B7F">
            <w:pPr>
              <w:pStyle w:val="458"/>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本项目</w:t>
            </w:r>
          </w:p>
        </w:tc>
        <w:tc>
          <w:tcPr>
            <w:tcW w:w="421" w:type="pct"/>
            <w:tcBorders>
              <w:top w:val="double" w:color="000000" w:sz="4" w:space="0"/>
              <w:bottom w:val="single" w:color="000000" w:sz="4" w:space="0"/>
              <w:right w:val="nil"/>
            </w:tcBorders>
            <w:vAlign w:val="center"/>
          </w:tcPr>
          <w:p w14:paraId="201208C0">
            <w:pPr>
              <w:pStyle w:val="458"/>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是否可行</w:t>
            </w:r>
          </w:p>
        </w:tc>
      </w:tr>
      <w:tr w14:paraId="5346B8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99" w:type="pct"/>
            <w:tcBorders>
              <w:top w:val="single" w:color="000000" w:sz="4" w:space="0"/>
              <w:left w:val="nil"/>
              <w:bottom w:val="single" w:color="000000" w:sz="4" w:space="0"/>
            </w:tcBorders>
            <w:vAlign w:val="center"/>
          </w:tcPr>
          <w:p w14:paraId="3B0C01DA">
            <w:pPr>
              <w:pStyle w:val="458"/>
              <w:rPr>
                <w:rFonts w:eastAsia="宋体"/>
                <w:color w:val="auto"/>
                <w:sz w:val="21"/>
                <w:szCs w:val="21"/>
                <w:highlight w:val="none"/>
              </w:rPr>
            </w:pPr>
            <w:r>
              <w:rPr>
                <w:rFonts w:hint="eastAsia" w:eastAsia="宋体"/>
                <w:color w:val="auto"/>
                <w:sz w:val="21"/>
                <w:szCs w:val="21"/>
                <w:highlight w:val="none"/>
                <w:lang w:val="en-US" w:eastAsia="zh-CN"/>
              </w:rPr>
              <w:t>鸡舍</w:t>
            </w:r>
          </w:p>
        </w:tc>
        <w:tc>
          <w:tcPr>
            <w:tcW w:w="744" w:type="pct"/>
            <w:vMerge w:val="restart"/>
            <w:tcBorders>
              <w:top w:val="single" w:color="000000" w:sz="4" w:space="0"/>
            </w:tcBorders>
            <w:vAlign w:val="center"/>
          </w:tcPr>
          <w:p w14:paraId="32A350FE">
            <w:pPr>
              <w:pStyle w:val="458"/>
              <w:rPr>
                <w:rFonts w:eastAsia="宋体"/>
                <w:color w:val="auto"/>
                <w:sz w:val="21"/>
                <w:szCs w:val="21"/>
                <w:highlight w:val="none"/>
              </w:rPr>
            </w:pPr>
            <w:r>
              <w:rPr>
                <w:rFonts w:eastAsia="宋体"/>
                <w:color w:val="auto"/>
                <w:sz w:val="21"/>
                <w:szCs w:val="21"/>
                <w:highlight w:val="none"/>
              </w:rPr>
              <w:t>《排污许可证申请与核发技术规范 畜禽养殖行业》（HJ1029-2019）</w:t>
            </w:r>
          </w:p>
        </w:tc>
        <w:tc>
          <w:tcPr>
            <w:tcW w:w="1850" w:type="pct"/>
            <w:tcBorders>
              <w:top w:val="single" w:color="000000" w:sz="4" w:space="0"/>
              <w:bottom w:val="single" w:color="000000" w:sz="4" w:space="0"/>
              <w:right w:val="nil"/>
            </w:tcBorders>
            <w:vAlign w:val="center"/>
          </w:tcPr>
          <w:p w14:paraId="2A64EFB8">
            <w:pPr>
              <w:pStyle w:val="458"/>
              <w:numPr>
                <w:ilvl w:val="0"/>
                <w:numId w:val="0"/>
              </w:numPr>
              <w:jc w:val="both"/>
              <w:rPr>
                <w:rFonts w:eastAsia="宋体"/>
                <w:color w:val="auto"/>
                <w:sz w:val="21"/>
                <w:szCs w:val="21"/>
                <w:highlight w:val="none"/>
              </w:rPr>
            </w:pPr>
            <w:r>
              <w:rPr>
                <w:rFonts w:ascii="Times New Roman" w:hAnsi="Times New Roman" w:eastAsia="宋体" w:cs="Times New Roman"/>
                <w:color w:val="auto"/>
                <w:kern w:val="18"/>
                <w:sz w:val="21"/>
                <w:szCs w:val="21"/>
                <w:lang w:val="en-US" w:eastAsia="zh-CN" w:bidi="ar-SA"/>
              </w:rPr>
              <w:t>（1）</w:t>
            </w:r>
            <w:r>
              <w:rPr>
                <w:rFonts w:eastAsia="宋体"/>
                <w:color w:val="auto"/>
                <w:sz w:val="21"/>
                <w:szCs w:val="21"/>
                <w:highlight w:val="none"/>
              </w:rPr>
              <w:t>选用益生菌配方饲料；</w:t>
            </w:r>
          </w:p>
          <w:p w14:paraId="36CAF9D5">
            <w:pPr>
              <w:pStyle w:val="458"/>
              <w:numPr>
                <w:ilvl w:val="0"/>
                <w:numId w:val="0"/>
              </w:numPr>
              <w:jc w:val="both"/>
              <w:rPr>
                <w:rFonts w:eastAsia="宋体"/>
                <w:color w:val="auto"/>
                <w:sz w:val="21"/>
                <w:szCs w:val="21"/>
                <w:highlight w:val="none"/>
              </w:rPr>
            </w:pPr>
            <w:r>
              <w:rPr>
                <w:rFonts w:eastAsia="宋体"/>
                <w:color w:val="auto"/>
                <w:sz w:val="21"/>
                <w:szCs w:val="21"/>
                <w:highlight w:val="none"/>
              </w:rPr>
              <w:t>（2）及时清运粪污；</w:t>
            </w:r>
          </w:p>
          <w:p w14:paraId="3849C218">
            <w:pPr>
              <w:pStyle w:val="458"/>
              <w:jc w:val="both"/>
              <w:rPr>
                <w:rFonts w:eastAsia="宋体"/>
                <w:color w:val="auto"/>
                <w:sz w:val="21"/>
                <w:szCs w:val="21"/>
                <w:highlight w:val="none"/>
              </w:rPr>
            </w:pPr>
            <w:r>
              <w:rPr>
                <w:rFonts w:eastAsia="宋体"/>
                <w:color w:val="auto"/>
                <w:sz w:val="21"/>
                <w:szCs w:val="21"/>
                <w:highlight w:val="none"/>
              </w:rPr>
              <w:t>（3）向粪便或舍内投（铺）放吸附剂减少臭气的散发；</w:t>
            </w:r>
          </w:p>
          <w:p w14:paraId="457CF35F">
            <w:pPr>
              <w:pStyle w:val="458"/>
              <w:jc w:val="both"/>
              <w:rPr>
                <w:rFonts w:eastAsia="宋体"/>
                <w:color w:val="auto"/>
                <w:sz w:val="21"/>
                <w:szCs w:val="21"/>
                <w:highlight w:val="none"/>
              </w:rPr>
            </w:pPr>
            <w:r>
              <w:rPr>
                <w:rFonts w:eastAsia="宋体"/>
                <w:color w:val="auto"/>
                <w:sz w:val="21"/>
                <w:szCs w:val="21"/>
                <w:highlight w:val="none"/>
              </w:rPr>
              <w:t>（4）投加或喷洒除臭剂；</w:t>
            </w:r>
          </w:p>
          <w:p w14:paraId="3CA040CD">
            <w:pPr>
              <w:pStyle w:val="458"/>
              <w:jc w:val="both"/>
              <w:rPr>
                <w:rFonts w:hint="eastAsia" w:eastAsia="宋体"/>
                <w:color w:val="auto"/>
                <w:sz w:val="21"/>
                <w:szCs w:val="21"/>
                <w:highlight w:val="none"/>
                <w:lang w:eastAsia="zh-CN"/>
              </w:rPr>
            </w:pPr>
            <w:r>
              <w:rPr>
                <w:rFonts w:eastAsia="宋体"/>
                <w:color w:val="auto"/>
                <w:sz w:val="21"/>
                <w:szCs w:val="21"/>
                <w:highlight w:val="none"/>
              </w:rPr>
              <w:t>（5）集中通风排气经处理（喷淋法、生物洗涤法、吸收法等）后排放；</w:t>
            </w:r>
          </w:p>
        </w:tc>
        <w:tc>
          <w:tcPr>
            <w:tcW w:w="1485" w:type="pct"/>
            <w:tcBorders>
              <w:top w:val="single" w:color="000000" w:sz="4" w:space="0"/>
              <w:bottom w:val="single" w:color="000000" w:sz="4" w:space="0"/>
              <w:right w:val="nil"/>
            </w:tcBorders>
            <w:vAlign w:val="center"/>
          </w:tcPr>
          <w:p w14:paraId="06CD8AEE">
            <w:pPr>
              <w:pStyle w:val="458"/>
              <w:jc w:val="both"/>
              <w:rPr>
                <w:rFonts w:eastAsia="宋体"/>
                <w:color w:val="auto"/>
                <w:sz w:val="21"/>
                <w:szCs w:val="21"/>
                <w:highlight w:val="none"/>
              </w:rPr>
            </w:pPr>
            <w:r>
              <w:rPr>
                <w:rFonts w:eastAsia="宋体"/>
                <w:color w:val="auto"/>
                <w:sz w:val="21"/>
                <w:szCs w:val="21"/>
                <w:highlight w:val="none"/>
              </w:rPr>
              <w:t>①选用益生菌配方饲料；</w:t>
            </w:r>
          </w:p>
          <w:p w14:paraId="6B1C0132">
            <w:pPr>
              <w:pStyle w:val="458"/>
              <w:jc w:val="both"/>
              <w:rPr>
                <w:rFonts w:eastAsia="宋体"/>
                <w:color w:val="auto"/>
                <w:sz w:val="21"/>
                <w:szCs w:val="21"/>
                <w:highlight w:val="none"/>
              </w:rPr>
            </w:pPr>
            <w:r>
              <w:rPr>
                <w:rFonts w:eastAsia="宋体"/>
                <w:color w:val="auto"/>
                <w:sz w:val="21"/>
                <w:szCs w:val="21"/>
                <w:highlight w:val="none"/>
              </w:rPr>
              <w:t>②及时清运粪污；</w:t>
            </w:r>
          </w:p>
          <w:p w14:paraId="7315B687">
            <w:pPr>
              <w:pStyle w:val="458"/>
              <w:rPr>
                <w:rFonts w:eastAsia="宋体"/>
                <w:color w:val="auto"/>
                <w:sz w:val="21"/>
                <w:szCs w:val="21"/>
                <w:highlight w:val="none"/>
              </w:rPr>
            </w:pPr>
            <w:r>
              <w:rPr>
                <w:rFonts w:eastAsia="宋体"/>
                <w:color w:val="auto"/>
                <w:sz w:val="21"/>
                <w:szCs w:val="21"/>
                <w:highlight w:val="none"/>
              </w:rPr>
              <w:t>③向舍内定期投入除臭剂；</w:t>
            </w:r>
          </w:p>
          <w:p w14:paraId="5D8B647A">
            <w:pPr>
              <w:pStyle w:val="458"/>
              <w:jc w:val="both"/>
              <w:rPr>
                <w:rFonts w:hint="eastAsia" w:eastAsia="宋体"/>
                <w:color w:val="auto"/>
                <w:sz w:val="21"/>
                <w:szCs w:val="21"/>
                <w:highlight w:val="none"/>
                <w:lang w:eastAsia="zh-CN"/>
              </w:rPr>
            </w:pPr>
            <w:r>
              <w:rPr>
                <w:rFonts w:eastAsia="宋体"/>
                <w:color w:val="auto"/>
                <w:sz w:val="21"/>
                <w:szCs w:val="21"/>
                <w:highlight w:val="none"/>
              </w:rPr>
              <w:t>④周边加强绿化</w:t>
            </w:r>
            <w:r>
              <w:rPr>
                <w:rFonts w:hint="eastAsia" w:eastAsia="宋体"/>
                <w:color w:val="auto"/>
                <w:sz w:val="21"/>
                <w:szCs w:val="21"/>
                <w:highlight w:val="none"/>
                <w:lang w:eastAsia="zh-CN"/>
              </w:rPr>
              <w:t>；</w:t>
            </w:r>
          </w:p>
          <w:p w14:paraId="3752A93E">
            <w:pPr>
              <w:pStyle w:val="458"/>
              <w:jc w:val="both"/>
              <w:rPr>
                <w:rFonts w:hint="eastAsia" w:ascii="Times New Roman" w:hAnsi="Times New Roman" w:eastAsia="宋体" w:cs="Times New Roman"/>
                <w:color w:val="auto"/>
                <w:kern w:val="18"/>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fldChar w:fldCharType="begin"/>
            </w:r>
            <w:r>
              <w:rPr>
                <w:rFonts w:hint="default" w:ascii="Times New Roman" w:hAnsi="Times New Roman" w:eastAsia="宋体" w:cs="Times New Roman"/>
                <w:color w:val="auto"/>
                <w:sz w:val="21"/>
                <w:szCs w:val="21"/>
                <w:highlight w:val="none"/>
                <w:lang w:eastAsia="zh-CN"/>
              </w:rPr>
              <w:instrText xml:space="preserve"> = 5 \* GB3 \* MERGEFORMAT </w:instrText>
            </w:r>
            <w:r>
              <w:rPr>
                <w:rFonts w:hint="default" w:ascii="Times New Roman" w:hAnsi="Times New Roman" w:eastAsia="宋体" w:cs="Times New Roman"/>
                <w:color w:val="auto"/>
                <w:sz w:val="21"/>
                <w:szCs w:val="21"/>
                <w:highlight w:val="none"/>
                <w:lang w:eastAsia="zh-CN"/>
              </w:rPr>
              <w:fldChar w:fldCharType="separate"/>
            </w:r>
            <w:r>
              <w:rPr>
                <w:rFonts w:hint="default" w:ascii="Times New Roman" w:hAnsi="Times New Roman" w:eastAsia="宋体" w:cs="Times New Roman"/>
                <w:color w:val="auto"/>
                <w:sz w:val="21"/>
                <w:szCs w:val="21"/>
              </w:rPr>
              <w:t>⑤</w:t>
            </w:r>
            <w:r>
              <w:rPr>
                <w:rFonts w:hint="default" w:ascii="Times New Roman" w:hAnsi="Times New Roman" w:eastAsia="宋体" w:cs="Times New Roman"/>
                <w:color w:val="auto"/>
                <w:sz w:val="21"/>
                <w:szCs w:val="21"/>
                <w:highlight w:val="none"/>
                <w:lang w:eastAsia="zh-CN"/>
              </w:rPr>
              <w:fldChar w:fldCharType="end"/>
            </w:r>
            <w:r>
              <w:rPr>
                <w:rFonts w:hint="eastAsia" w:eastAsia="宋体"/>
                <w:color w:val="auto"/>
                <w:sz w:val="21"/>
                <w:szCs w:val="21"/>
                <w:highlight w:val="none"/>
                <w:lang w:eastAsia="zh-CN"/>
              </w:rPr>
              <w:t>鸡舍废气集中收集经喷淋水帘后排放。</w:t>
            </w:r>
          </w:p>
        </w:tc>
        <w:tc>
          <w:tcPr>
            <w:tcW w:w="421" w:type="pct"/>
            <w:tcBorders>
              <w:top w:val="single" w:color="000000" w:sz="4" w:space="0"/>
              <w:bottom w:val="single" w:color="000000" w:sz="4" w:space="0"/>
              <w:right w:val="nil"/>
            </w:tcBorders>
            <w:vAlign w:val="center"/>
          </w:tcPr>
          <w:p w14:paraId="50E23E89">
            <w:pPr>
              <w:pStyle w:val="458"/>
              <w:rPr>
                <w:rFonts w:hint="eastAsia" w:eastAsia="宋体"/>
                <w:color w:val="auto"/>
                <w:sz w:val="21"/>
                <w:szCs w:val="21"/>
                <w:highlight w:val="none"/>
                <w:lang w:eastAsia="zh-CN"/>
              </w:rPr>
            </w:pPr>
            <w:r>
              <w:rPr>
                <w:rFonts w:hint="eastAsia" w:eastAsia="宋体"/>
                <w:color w:val="auto"/>
                <w:sz w:val="21"/>
                <w:szCs w:val="21"/>
                <w:highlight w:val="none"/>
                <w:lang w:eastAsia="zh-CN"/>
              </w:rPr>
              <w:t>是</w:t>
            </w:r>
          </w:p>
        </w:tc>
      </w:tr>
      <w:tr w14:paraId="5F08AD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48" w:hRule="atLeast"/>
        </w:trPr>
        <w:tc>
          <w:tcPr>
            <w:tcW w:w="499" w:type="pct"/>
            <w:tcBorders>
              <w:top w:val="single" w:color="000000" w:sz="4" w:space="0"/>
              <w:left w:val="nil"/>
              <w:bottom w:val="single" w:color="auto" w:sz="4" w:space="0"/>
            </w:tcBorders>
            <w:vAlign w:val="center"/>
          </w:tcPr>
          <w:p w14:paraId="1366CDDA">
            <w:pPr>
              <w:pStyle w:val="458"/>
              <w:rPr>
                <w:rFonts w:eastAsia="宋体"/>
                <w:color w:val="auto"/>
                <w:sz w:val="21"/>
                <w:szCs w:val="21"/>
                <w:highlight w:val="none"/>
              </w:rPr>
            </w:pPr>
            <w:r>
              <w:rPr>
                <w:rFonts w:hint="eastAsia" w:eastAsia="宋体"/>
                <w:color w:val="auto"/>
                <w:sz w:val="21"/>
                <w:szCs w:val="21"/>
                <w:highlight w:val="none"/>
                <w:lang w:val="en-US" w:eastAsia="zh-CN"/>
              </w:rPr>
              <w:t>临时储粪场、废水收集池</w:t>
            </w:r>
          </w:p>
        </w:tc>
        <w:tc>
          <w:tcPr>
            <w:tcW w:w="744" w:type="pct"/>
            <w:vMerge w:val="continue"/>
            <w:vAlign w:val="center"/>
          </w:tcPr>
          <w:p w14:paraId="39E22416">
            <w:pPr>
              <w:pStyle w:val="458"/>
              <w:rPr>
                <w:rFonts w:eastAsia="宋体"/>
                <w:color w:val="auto"/>
                <w:sz w:val="21"/>
                <w:szCs w:val="21"/>
                <w:highlight w:val="none"/>
              </w:rPr>
            </w:pPr>
          </w:p>
        </w:tc>
        <w:tc>
          <w:tcPr>
            <w:tcW w:w="1850" w:type="pct"/>
            <w:tcBorders>
              <w:top w:val="single" w:color="000000" w:sz="4" w:space="0"/>
              <w:bottom w:val="single" w:color="auto" w:sz="4" w:space="0"/>
              <w:right w:val="nil"/>
            </w:tcBorders>
            <w:vAlign w:val="center"/>
          </w:tcPr>
          <w:p w14:paraId="0CC5A8A3">
            <w:pPr>
              <w:pStyle w:val="458"/>
              <w:jc w:val="both"/>
              <w:rPr>
                <w:rFonts w:hint="eastAsia" w:eastAsia="宋体"/>
                <w:color w:val="auto"/>
                <w:sz w:val="21"/>
                <w:szCs w:val="21"/>
                <w:highlight w:val="none"/>
                <w:lang w:eastAsia="zh-CN"/>
              </w:rPr>
            </w:pPr>
            <w:r>
              <w:rPr>
                <w:rFonts w:eastAsia="宋体"/>
                <w:color w:val="auto"/>
                <w:sz w:val="21"/>
                <w:szCs w:val="21"/>
                <w:highlight w:val="none"/>
              </w:rPr>
              <w:t>（1）定期喷洒除臭剂</w:t>
            </w:r>
            <w:r>
              <w:rPr>
                <w:rFonts w:hint="eastAsia" w:eastAsia="宋体"/>
                <w:color w:val="auto"/>
                <w:sz w:val="21"/>
                <w:szCs w:val="21"/>
                <w:highlight w:val="none"/>
                <w:lang w:eastAsia="zh-CN"/>
              </w:rPr>
              <w:t>；</w:t>
            </w:r>
          </w:p>
          <w:p w14:paraId="3B70C933">
            <w:pPr>
              <w:pStyle w:val="458"/>
              <w:jc w:val="both"/>
              <w:rPr>
                <w:rFonts w:hint="eastAsia" w:eastAsia="宋体"/>
                <w:color w:val="auto"/>
                <w:sz w:val="21"/>
                <w:szCs w:val="21"/>
                <w:highlight w:val="none"/>
                <w:lang w:eastAsia="zh-CN"/>
              </w:rPr>
            </w:pPr>
            <w:r>
              <w:rPr>
                <w:rFonts w:eastAsia="宋体"/>
                <w:color w:val="auto"/>
                <w:sz w:val="21"/>
                <w:szCs w:val="21"/>
                <w:highlight w:val="none"/>
              </w:rPr>
              <w:t>（2）及时清运固体粪污</w:t>
            </w:r>
            <w:r>
              <w:rPr>
                <w:rFonts w:hint="eastAsia" w:eastAsia="宋体"/>
                <w:color w:val="auto"/>
                <w:sz w:val="21"/>
                <w:szCs w:val="21"/>
                <w:highlight w:val="none"/>
                <w:lang w:eastAsia="zh-CN"/>
              </w:rPr>
              <w:t>；</w:t>
            </w:r>
          </w:p>
          <w:p w14:paraId="5505CCFA">
            <w:pPr>
              <w:pStyle w:val="458"/>
              <w:jc w:val="both"/>
              <w:rPr>
                <w:rFonts w:hint="eastAsia" w:eastAsia="宋体"/>
                <w:color w:val="auto"/>
                <w:sz w:val="21"/>
                <w:szCs w:val="21"/>
                <w:highlight w:val="none"/>
                <w:lang w:eastAsia="zh-CN"/>
              </w:rPr>
            </w:pPr>
            <w:r>
              <w:rPr>
                <w:rFonts w:eastAsia="宋体"/>
                <w:color w:val="auto"/>
                <w:sz w:val="21"/>
                <w:szCs w:val="21"/>
                <w:highlight w:val="none"/>
              </w:rPr>
              <w:t>（3）采用厌氧或好氧堆肥方式</w:t>
            </w:r>
            <w:r>
              <w:rPr>
                <w:rFonts w:hint="eastAsia" w:eastAsia="宋体"/>
                <w:color w:val="auto"/>
                <w:sz w:val="21"/>
                <w:szCs w:val="21"/>
                <w:highlight w:val="none"/>
                <w:lang w:eastAsia="zh-CN"/>
              </w:rPr>
              <w:t>；</w:t>
            </w:r>
          </w:p>
        </w:tc>
        <w:tc>
          <w:tcPr>
            <w:tcW w:w="1485" w:type="pct"/>
            <w:tcBorders>
              <w:top w:val="single" w:color="000000" w:sz="4" w:space="0"/>
              <w:right w:val="nil"/>
            </w:tcBorders>
            <w:vAlign w:val="center"/>
          </w:tcPr>
          <w:p w14:paraId="79343919">
            <w:pPr>
              <w:pStyle w:val="458"/>
              <w:jc w:val="both"/>
              <w:rPr>
                <w:rFonts w:eastAsia="宋体"/>
                <w:color w:val="auto"/>
                <w:sz w:val="21"/>
                <w:szCs w:val="21"/>
                <w:highlight w:val="none"/>
              </w:rPr>
            </w:pPr>
            <w:r>
              <w:rPr>
                <w:rFonts w:eastAsia="宋体"/>
                <w:color w:val="auto"/>
                <w:sz w:val="21"/>
                <w:szCs w:val="21"/>
                <w:highlight w:val="none"/>
              </w:rPr>
              <w:t>①定期喷洒除臭剂；</w:t>
            </w:r>
          </w:p>
          <w:p w14:paraId="3DFAC308">
            <w:pPr>
              <w:pStyle w:val="458"/>
              <w:jc w:val="both"/>
              <w:rPr>
                <w:rFonts w:eastAsia="宋体"/>
                <w:color w:val="auto"/>
                <w:sz w:val="21"/>
                <w:szCs w:val="21"/>
                <w:highlight w:val="none"/>
              </w:rPr>
            </w:pPr>
            <w:r>
              <w:rPr>
                <w:rFonts w:eastAsia="宋体"/>
                <w:color w:val="auto"/>
                <w:sz w:val="21"/>
                <w:szCs w:val="21"/>
                <w:highlight w:val="none"/>
              </w:rPr>
              <w:t>②及时清运固体粪污；</w:t>
            </w:r>
          </w:p>
          <w:p w14:paraId="1DB89A3E">
            <w:pPr>
              <w:pStyle w:val="458"/>
              <w:jc w:val="both"/>
              <w:rPr>
                <w:rFonts w:hint="eastAsia" w:ascii="Times New Roman" w:hAnsi="Times New Roman" w:eastAsia="宋体" w:cs="Times New Roman"/>
                <w:color w:val="auto"/>
                <w:kern w:val="18"/>
                <w:sz w:val="21"/>
                <w:szCs w:val="21"/>
                <w:highlight w:val="none"/>
                <w:lang w:val="en-US" w:eastAsia="zh-CN" w:bidi="ar-SA"/>
              </w:rPr>
            </w:pPr>
            <w:r>
              <w:rPr>
                <w:rFonts w:eastAsia="宋体"/>
                <w:color w:val="auto"/>
                <w:sz w:val="21"/>
                <w:szCs w:val="21"/>
                <w:highlight w:val="none"/>
              </w:rPr>
              <w:t>③</w:t>
            </w:r>
            <w:r>
              <w:rPr>
                <w:rFonts w:hint="eastAsia" w:eastAsia="宋体"/>
                <w:color w:val="auto"/>
                <w:sz w:val="21"/>
                <w:szCs w:val="21"/>
                <w:highlight w:val="none"/>
                <w:lang w:eastAsia="zh-CN"/>
              </w:rPr>
              <w:t>废水收集池</w:t>
            </w:r>
            <w:r>
              <w:rPr>
                <w:rFonts w:eastAsia="宋体"/>
                <w:color w:val="auto"/>
                <w:sz w:val="21"/>
                <w:szCs w:val="21"/>
                <w:highlight w:val="none"/>
              </w:rPr>
              <w:t>加盖</w:t>
            </w:r>
            <w:r>
              <w:rPr>
                <w:rFonts w:hint="eastAsia" w:eastAsia="宋体"/>
                <w:color w:val="auto"/>
                <w:sz w:val="21"/>
                <w:szCs w:val="21"/>
                <w:highlight w:val="none"/>
                <w:lang w:eastAsia="zh-CN"/>
              </w:rPr>
              <w:t>，临时储粪场设置为封闭结构</w:t>
            </w:r>
            <w:r>
              <w:rPr>
                <w:rFonts w:eastAsia="宋体"/>
                <w:color w:val="auto"/>
                <w:sz w:val="21"/>
                <w:szCs w:val="21"/>
                <w:highlight w:val="none"/>
              </w:rPr>
              <w:t>；</w:t>
            </w:r>
          </w:p>
        </w:tc>
        <w:tc>
          <w:tcPr>
            <w:tcW w:w="421" w:type="pct"/>
            <w:tcBorders>
              <w:top w:val="single" w:color="000000" w:sz="4" w:space="0"/>
              <w:right w:val="nil"/>
            </w:tcBorders>
            <w:vAlign w:val="center"/>
          </w:tcPr>
          <w:p w14:paraId="348A15B5">
            <w:pPr>
              <w:pStyle w:val="458"/>
              <w:rPr>
                <w:rFonts w:hint="eastAsia" w:eastAsia="宋体"/>
                <w:color w:val="auto"/>
                <w:sz w:val="21"/>
                <w:szCs w:val="21"/>
                <w:highlight w:val="none"/>
              </w:rPr>
            </w:pPr>
            <w:r>
              <w:rPr>
                <w:rFonts w:hint="eastAsia" w:eastAsia="宋体"/>
                <w:color w:val="auto"/>
                <w:sz w:val="21"/>
                <w:szCs w:val="21"/>
                <w:highlight w:val="none"/>
                <w:lang w:eastAsia="zh-CN"/>
              </w:rPr>
              <w:t>是</w:t>
            </w:r>
          </w:p>
        </w:tc>
      </w:tr>
      <w:tr w14:paraId="2B9BE1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5" w:hRule="atLeast"/>
        </w:trPr>
        <w:tc>
          <w:tcPr>
            <w:tcW w:w="499" w:type="pct"/>
            <w:tcBorders>
              <w:top w:val="single" w:color="auto" w:sz="4" w:space="0"/>
              <w:left w:val="nil"/>
              <w:bottom w:val="double" w:color="auto" w:sz="4" w:space="0"/>
            </w:tcBorders>
            <w:vAlign w:val="center"/>
          </w:tcPr>
          <w:p w14:paraId="7658D8DE">
            <w:pPr>
              <w:pStyle w:val="458"/>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全场</w:t>
            </w:r>
          </w:p>
        </w:tc>
        <w:tc>
          <w:tcPr>
            <w:tcW w:w="744" w:type="pct"/>
            <w:vMerge w:val="continue"/>
            <w:tcBorders>
              <w:bottom w:val="double" w:color="auto" w:sz="4" w:space="0"/>
            </w:tcBorders>
            <w:vAlign w:val="center"/>
          </w:tcPr>
          <w:p w14:paraId="76742710">
            <w:pPr>
              <w:pStyle w:val="458"/>
              <w:rPr>
                <w:rFonts w:eastAsia="宋体"/>
                <w:color w:val="auto"/>
                <w:sz w:val="21"/>
                <w:szCs w:val="21"/>
                <w:highlight w:val="none"/>
              </w:rPr>
            </w:pPr>
          </w:p>
        </w:tc>
        <w:tc>
          <w:tcPr>
            <w:tcW w:w="1850" w:type="pct"/>
            <w:tcBorders>
              <w:top w:val="single" w:color="auto" w:sz="4" w:space="0"/>
              <w:bottom w:val="double" w:color="auto" w:sz="4" w:space="0"/>
              <w:right w:val="nil"/>
            </w:tcBorders>
            <w:vAlign w:val="center"/>
          </w:tcPr>
          <w:p w14:paraId="1F35B950">
            <w:pPr>
              <w:pStyle w:val="458"/>
              <w:jc w:val="both"/>
              <w:rPr>
                <w:rFonts w:hint="eastAsia" w:eastAsia="宋体"/>
                <w:color w:val="auto"/>
                <w:sz w:val="21"/>
                <w:szCs w:val="21"/>
                <w:highlight w:val="none"/>
                <w:lang w:eastAsia="zh-CN"/>
              </w:rPr>
            </w:pPr>
            <w:r>
              <w:rPr>
                <w:rFonts w:hint="eastAsia" w:eastAsia="宋体"/>
                <w:color w:val="auto"/>
                <w:sz w:val="21"/>
                <w:szCs w:val="21"/>
                <w:highlight w:val="none"/>
                <w:lang w:eastAsia="zh-CN"/>
              </w:rPr>
              <w:t>（</w:t>
            </w:r>
            <w:r>
              <w:rPr>
                <w:rFonts w:hint="eastAsia" w:eastAsia="宋体"/>
                <w:color w:val="auto"/>
                <w:sz w:val="21"/>
                <w:szCs w:val="21"/>
                <w:highlight w:val="none"/>
                <w:lang w:val="en-US" w:eastAsia="zh-CN"/>
              </w:rPr>
              <w:t>1</w:t>
            </w:r>
            <w:r>
              <w:rPr>
                <w:rFonts w:hint="eastAsia" w:eastAsia="宋体"/>
                <w:color w:val="auto"/>
                <w:sz w:val="21"/>
                <w:szCs w:val="21"/>
                <w:highlight w:val="none"/>
                <w:lang w:eastAsia="zh-CN"/>
              </w:rPr>
              <w:t>）</w:t>
            </w:r>
            <w:r>
              <w:rPr>
                <w:rFonts w:hint="eastAsia" w:eastAsia="宋体"/>
                <w:color w:val="auto"/>
                <w:sz w:val="21"/>
                <w:szCs w:val="21"/>
                <w:highlight w:val="none"/>
                <w:lang w:val="en-US" w:eastAsia="zh-CN"/>
              </w:rPr>
              <w:t>固体粪污规范还田利用；</w:t>
            </w:r>
          </w:p>
          <w:p w14:paraId="3F4A8F10">
            <w:pPr>
              <w:pStyle w:val="458"/>
              <w:jc w:val="both"/>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（2）厂区运输道路全硬化、及时清扫、无积灰扬尘、定期洒水抑尘；</w:t>
            </w:r>
          </w:p>
          <w:p w14:paraId="7A759114">
            <w:pPr>
              <w:pStyle w:val="458"/>
              <w:jc w:val="both"/>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（3）加强厂区绿化。</w:t>
            </w:r>
          </w:p>
        </w:tc>
        <w:tc>
          <w:tcPr>
            <w:tcW w:w="1485" w:type="pct"/>
            <w:tcBorders>
              <w:bottom w:val="double" w:color="auto" w:sz="4" w:space="0"/>
              <w:right w:val="nil"/>
            </w:tcBorders>
            <w:vAlign w:val="center"/>
          </w:tcPr>
          <w:p w14:paraId="2FCDF939">
            <w:pPr>
              <w:pStyle w:val="458"/>
              <w:jc w:val="both"/>
              <w:rPr>
                <w:rFonts w:eastAsia="宋体"/>
                <w:color w:val="auto"/>
                <w:sz w:val="21"/>
                <w:szCs w:val="21"/>
                <w:highlight w:val="none"/>
              </w:rPr>
            </w:pPr>
            <w:r>
              <w:rPr>
                <w:rFonts w:eastAsia="宋体"/>
                <w:color w:val="auto"/>
                <w:sz w:val="21"/>
                <w:szCs w:val="21"/>
                <w:highlight w:val="none"/>
              </w:rPr>
              <w:t>①及时清运固体粪污</w:t>
            </w:r>
            <w:r>
              <w:rPr>
                <w:rFonts w:hint="eastAsia" w:eastAsia="宋体"/>
                <w:color w:val="auto"/>
                <w:sz w:val="21"/>
                <w:szCs w:val="21"/>
                <w:highlight w:val="none"/>
                <w:lang w:eastAsia="zh-CN"/>
              </w:rPr>
              <w:t>，外运至辰泰（辽宁）生物科技有限公司制作有机肥</w:t>
            </w:r>
            <w:r>
              <w:rPr>
                <w:rFonts w:eastAsia="宋体"/>
                <w:color w:val="auto"/>
                <w:sz w:val="21"/>
                <w:szCs w:val="21"/>
                <w:highlight w:val="none"/>
              </w:rPr>
              <w:t>；</w:t>
            </w:r>
          </w:p>
          <w:p w14:paraId="63FC00C8">
            <w:pPr>
              <w:pStyle w:val="458"/>
              <w:jc w:val="both"/>
              <w:rPr>
                <w:rFonts w:hint="eastAsia" w:eastAsia="宋体"/>
                <w:color w:val="auto"/>
                <w:sz w:val="21"/>
                <w:szCs w:val="21"/>
                <w:highlight w:val="none"/>
                <w:lang w:val="en-US" w:eastAsia="zh-CN"/>
              </w:rPr>
            </w:pPr>
            <w:r>
              <w:rPr>
                <w:rFonts w:eastAsia="宋体"/>
                <w:color w:val="auto"/>
                <w:sz w:val="21"/>
                <w:szCs w:val="21"/>
                <w:highlight w:val="none"/>
              </w:rPr>
              <w:t>②</w:t>
            </w:r>
            <w:r>
              <w:rPr>
                <w:rFonts w:hint="eastAsia" w:eastAsia="宋体"/>
                <w:color w:val="auto"/>
                <w:sz w:val="21"/>
                <w:szCs w:val="21"/>
                <w:highlight w:val="none"/>
                <w:lang w:val="en-US" w:eastAsia="zh-CN"/>
              </w:rPr>
              <w:t>厂区道路硬化；</w:t>
            </w:r>
          </w:p>
          <w:p w14:paraId="44AEE399">
            <w:pPr>
              <w:pStyle w:val="458"/>
              <w:jc w:val="both"/>
              <w:rPr>
                <w:rFonts w:hint="eastAsia" w:eastAsia="宋体"/>
                <w:color w:val="auto"/>
                <w:sz w:val="21"/>
                <w:szCs w:val="21"/>
                <w:highlight w:val="none"/>
              </w:rPr>
            </w:pPr>
            <w:r>
              <w:rPr>
                <w:rFonts w:eastAsia="宋体"/>
                <w:color w:val="auto"/>
                <w:sz w:val="21"/>
                <w:szCs w:val="21"/>
                <w:highlight w:val="none"/>
              </w:rPr>
              <w:t>③周边加强绿化</w:t>
            </w:r>
          </w:p>
        </w:tc>
        <w:tc>
          <w:tcPr>
            <w:tcW w:w="421" w:type="pct"/>
            <w:tcBorders>
              <w:bottom w:val="double" w:color="auto" w:sz="4" w:space="0"/>
              <w:right w:val="nil"/>
            </w:tcBorders>
            <w:vAlign w:val="center"/>
          </w:tcPr>
          <w:p w14:paraId="7A4F7E87">
            <w:pPr>
              <w:pStyle w:val="458"/>
              <w:rPr>
                <w:rFonts w:hint="eastAsia" w:eastAsia="宋体"/>
                <w:color w:val="auto"/>
                <w:sz w:val="21"/>
                <w:szCs w:val="21"/>
                <w:highlight w:val="none"/>
              </w:rPr>
            </w:pPr>
            <w:r>
              <w:rPr>
                <w:rFonts w:hint="eastAsia" w:eastAsia="宋体"/>
                <w:color w:val="auto"/>
                <w:sz w:val="21"/>
                <w:szCs w:val="21"/>
                <w:highlight w:val="none"/>
                <w:lang w:eastAsia="zh-CN"/>
              </w:rPr>
              <w:t>是</w:t>
            </w:r>
          </w:p>
        </w:tc>
      </w:tr>
    </w:tbl>
    <w:p w14:paraId="75CB7206">
      <w:pPr>
        <w:keepNext/>
        <w:keepLines/>
        <w:spacing w:line="360" w:lineRule="auto"/>
        <w:outlineLvl w:val="2"/>
        <w:rPr>
          <w:b/>
          <w:bCs/>
          <w:color w:val="auto"/>
          <w:sz w:val="28"/>
          <w:szCs w:val="32"/>
          <w:highlight w:val="yellow"/>
        </w:rPr>
      </w:pPr>
      <w:bookmarkStart w:id="393" w:name="_Toc32175"/>
      <w:r>
        <w:rPr>
          <w:b/>
          <w:bCs/>
          <w:color w:val="auto"/>
          <w:sz w:val="28"/>
          <w:szCs w:val="32"/>
        </w:rPr>
        <w:t>7.2.2水污染防治措施</w:t>
      </w:r>
      <w:bookmarkEnd w:id="393"/>
    </w:p>
    <w:p w14:paraId="07AF6AB1">
      <w:pPr>
        <w:spacing w:line="360" w:lineRule="auto"/>
        <w:ind w:firstLine="480" w:firstLineChars="200"/>
        <w:rPr>
          <w:rFonts w:hint="eastAsia" w:eastAsia="宋体"/>
          <w:color w:val="auto"/>
          <w:sz w:val="24"/>
          <w:lang w:eastAsia="zh-CN"/>
        </w:rPr>
      </w:pPr>
      <w:r>
        <w:rPr>
          <w:rFonts w:hint="eastAsia"/>
          <w:color w:val="auto"/>
          <w:sz w:val="24"/>
        </w:rPr>
        <w:t>本项目</w:t>
      </w:r>
      <w:r>
        <w:rPr>
          <w:rFonts w:hint="eastAsia"/>
          <w:color w:val="auto"/>
          <w:sz w:val="24"/>
          <w:lang w:eastAsia="zh-CN"/>
        </w:rPr>
        <w:t>采取雨污分流的措施，</w:t>
      </w:r>
      <w:r>
        <w:rPr>
          <w:rFonts w:hint="eastAsia"/>
          <w:color w:val="auto"/>
          <w:sz w:val="24"/>
        </w:rPr>
        <w:t>养殖废水</w:t>
      </w:r>
      <w:r>
        <w:rPr>
          <w:rFonts w:hint="eastAsia" w:hAnsi="宋体"/>
          <w:color w:val="auto"/>
          <w:sz w:val="24"/>
          <w:lang w:eastAsia="zh-CN"/>
        </w:rPr>
        <w:t>日产日清，除极端天气需在厂区内储存外，均由罐车运至</w:t>
      </w:r>
      <w:r>
        <w:rPr>
          <w:rFonts w:hint="eastAsia"/>
          <w:color w:val="auto"/>
          <w:sz w:val="24"/>
          <w:highlight w:val="none"/>
          <w:shd w:val="clear" w:color="auto" w:fill="FFFFFF"/>
          <w:lang w:eastAsia="zh-CN"/>
        </w:rPr>
        <w:t>辰泰（辽宁）生物科技有限公司制作有机肥；雨水通过专用雨水管道排出厂外。</w:t>
      </w:r>
    </w:p>
    <w:p w14:paraId="7373030A">
      <w:pPr>
        <w:pStyle w:val="276"/>
        <w:ind w:left="0" w:firstLine="482"/>
        <w:rPr>
          <w:b/>
          <w:color w:val="auto"/>
        </w:rPr>
      </w:pPr>
      <w:r>
        <w:rPr>
          <w:rFonts w:hint="eastAsia"/>
          <w:b/>
          <w:color w:val="auto"/>
          <w:lang w:eastAsia="zh-CN"/>
        </w:rPr>
        <w:t>（</w:t>
      </w:r>
      <w:r>
        <w:rPr>
          <w:rFonts w:hint="eastAsia"/>
          <w:b/>
          <w:color w:val="auto"/>
          <w:lang w:val="en-US" w:eastAsia="zh-CN"/>
        </w:rPr>
        <w:t>1</w:t>
      </w:r>
      <w:r>
        <w:rPr>
          <w:rFonts w:hint="eastAsia"/>
          <w:b/>
          <w:color w:val="auto"/>
          <w:lang w:eastAsia="zh-CN"/>
        </w:rPr>
        <w:t>）废水收集池储存</w:t>
      </w:r>
      <w:r>
        <w:rPr>
          <w:rFonts w:hint="eastAsia" w:hAnsi="宋体"/>
          <w:b/>
          <w:color w:val="auto"/>
        </w:rPr>
        <w:t>能力分析</w:t>
      </w:r>
    </w:p>
    <w:p w14:paraId="141DC09B">
      <w:pPr>
        <w:spacing w:line="360" w:lineRule="auto"/>
        <w:ind w:firstLine="480" w:firstLineChars="200"/>
        <w:rPr>
          <w:color w:val="auto"/>
          <w:sz w:val="24"/>
        </w:rPr>
      </w:pPr>
      <w:r>
        <w:rPr>
          <w:color w:val="auto"/>
          <w:sz w:val="24"/>
        </w:rPr>
        <w:t>项目设蛋鸡设</w:t>
      </w:r>
      <w:r>
        <w:rPr>
          <w:rFonts w:hint="eastAsia"/>
          <w:color w:val="auto"/>
          <w:sz w:val="24"/>
          <w:lang w:val="en-US" w:eastAsia="zh-CN"/>
        </w:rPr>
        <w:t>8</w:t>
      </w:r>
      <w:r>
        <w:rPr>
          <w:color w:val="auto"/>
          <w:sz w:val="24"/>
        </w:rPr>
        <w:t>栋，鸡舍采用干清粪工艺，</w:t>
      </w:r>
      <w:r>
        <w:rPr>
          <w:rFonts w:hint="eastAsia"/>
          <w:color w:val="auto"/>
          <w:sz w:val="24"/>
        </w:rPr>
        <w:t>约500天淘汰1批鸡，并对相应鸡舍进行冲洗，蛋鸡在蛋鸡舍生活410天。每三栋/四栋蛋鸡舍为一批，即410天冲洗4次。</w:t>
      </w:r>
    </w:p>
    <w:p w14:paraId="65140B29">
      <w:pPr>
        <w:spacing w:line="360" w:lineRule="auto"/>
        <w:ind w:firstLine="480" w:firstLineChars="200"/>
        <w:rPr>
          <w:color w:val="auto"/>
          <w:sz w:val="24"/>
        </w:rPr>
      </w:pPr>
      <w:r>
        <w:rPr>
          <w:rFonts w:hint="eastAsia"/>
          <w:color w:val="auto"/>
          <w:sz w:val="24"/>
        </w:rPr>
        <w:t>根据企业提供的资料，鸡舍采用专用的高压冲洗设备进行冲洗，该高压冲洗设备的最大流量为14L/min，每个鸡舍用2台高压冲洗设备进行冲洗，每次冲洗2台高压冲洗设备总用时约为1h/栋。</w:t>
      </w:r>
    </w:p>
    <w:p w14:paraId="253F1A4C">
      <w:pPr>
        <w:spacing w:line="360" w:lineRule="auto"/>
        <w:ind w:firstLine="480" w:firstLineChars="200"/>
        <w:rPr>
          <w:rFonts w:hint="eastAsia"/>
          <w:color w:val="auto"/>
          <w:sz w:val="24"/>
          <w:lang w:val="en-US" w:eastAsia="zh-CN"/>
        </w:rPr>
      </w:pPr>
      <w:r>
        <w:rPr>
          <w:rFonts w:hint="eastAsia"/>
          <w:color w:val="auto"/>
          <w:sz w:val="24"/>
        </w:rPr>
        <w:t>经计算，本项目鸡舍冲洗用水量为</w:t>
      </w:r>
      <w:r>
        <w:rPr>
          <w:rFonts w:hint="eastAsia"/>
          <w:color w:val="auto"/>
          <w:sz w:val="24"/>
          <w:lang w:val="en-US" w:eastAsia="zh-CN"/>
        </w:rPr>
        <w:t>6.72</w:t>
      </w:r>
      <w:r>
        <w:rPr>
          <w:rFonts w:hint="eastAsia"/>
          <w:color w:val="auto"/>
          <w:sz w:val="24"/>
        </w:rPr>
        <w:t>t/410天（</w:t>
      </w:r>
      <w:r>
        <w:rPr>
          <w:rFonts w:hint="eastAsia"/>
          <w:color w:val="auto"/>
          <w:sz w:val="24"/>
          <w:lang w:val="en-US" w:eastAsia="zh-CN"/>
        </w:rPr>
        <w:t>5.98</w:t>
      </w:r>
      <w:r>
        <w:rPr>
          <w:rFonts w:hint="eastAsia"/>
          <w:color w:val="auto"/>
          <w:sz w:val="24"/>
        </w:rPr>
        <w:t>t/a），</w:t>
      </w:r>
      <w:r>
        <w:rPr>
          <w:color w:val="auto"/>
          <w:sz w:val="24"/>
        </w:rPr>
        <w:t>排水量按照用水量的8</w:t>
      </w:r>
      <w:r>
        <w:rPr>
          <w:rFonts w:hint="eastAsia"/>
          <w:color w:val="auto"/>
          <w:sz w:val="24"/>
        </w:rPr>
        <w:t>5</w:t>
      </w:r>
      <w:r>
        <w:rPr>
          <w:color w:val="auto"/>
          <w:sz w:val="24"/>
        </w:rPr>
        <w:t>%计</w:t>
      </w:r>
      <w:r>
        <w:rPr>
          <w:rFonts w:hint="eastAsia"/>
          <w:color w:val="auto"/>
          <w:sz w:val="24"/>
        </w:rPr>
        <w:t>，鸡舍冲洗废水总量为</w:t>
      </w:r>
      <w:r>
        <w:rPr>
          <w:rFonts w:hint="eastAsia"/>
          <w:color w:val="auto"/>
          <w:sz w:val="24"/>
          <w:lang w:val="en-US" w:eastAsia="zh-CN"/>
        </w:rPr>
        <w:t>5.08</w:t>
      </w:r>
      <w:r>
        <w:rPr>
          <w:rFonts w:hint="eastAsia"/>
          <w:color w:val="auto"/>
          <w:sz w:val="24"/>
        </w:rPr>
        <w:t>m</w:t>
      </w:r>
      <w:r>
        <w:rPr>
          <w:rFonts w:hint="eastAsia"/>
          <w:color w:val="auto"/>
          <w:sz w:val="24"/>
          <w:vertAlign w:val="superscript"/>
        </w:rPr>
        <w:t>3</w:t>
      </w:r>
      <w:r>
        <w:rPr>
          <w:rFonts w:hint="eastAsia"/>
          <w:color w:val="auto"/>
          <w:sz w:val="24"/>
        </w:rPr>
        <w:t>/a</w:t>
      </w:r>
      <w:r>
        <w:rPr>
          <w:rFonts w:hint="eastAsia"/>
          <w:color w:val="auto"/>
          <w:sz w:val="24"/>
          <w:lang w:eastAsia="zh-CN"/>
        </w:rPr>
        <w:t>，每栋鸡舍一次冲洗废水最大产生量为</w:t>
      </w:r>
      <w:r>
        <w:rPr>
          <w:rFonts w:hint="eastAsia"/>
          <w:color w:val="auto"/>
          <w:sz w:val="24"/>
          <w:lang w:val="en-US" w:eastAsia="zh-CN"/>
        </w:rPr>
        <w:t>1.69m</w:t>
      </w:r>
      <w:r>
        <w:rPr>
          <w:rFonts w:hint="eastAsia"/>
          <w:color w:val="auto"/>
          <w:sz w:val="24"/>
          <w:vertAlign w:val="superscript"/>
          <w:lang w:val="en-US" w:eastAsia="zh-CN"/>
        </w:rPr>
        <w:t>3</w:t>
      </w:r>
      <w:r>
        <w:rPr>
          <w:rFonts w:hint="eastAsia"/>
          <w:color w:val="auto"/>
          <w:sz w:val="24"/>
          <w:lang w:val="en-US" w:eastAsia="zh-CN"/>
        </w:rPr>
        <w:t>，每栋鸡舍东侧端头各设置1座10m</w:t>
      </w:r>
      <w:r>
        <w:rPr>
          <w:rFonts w:hint="eastAsia"/>
          <w:color w:val="auto"/>
          <w:sz w:val="24"/>
          <w:vertAlign w:val="superscript"/>
          <w:lang w:val="en-US" w:eastAsia="zh-CN"/>
        </w:rPr>
        <w:t>3</w:t>
      </w:r>
      <w:r>
        <w:rPr>
          <w:rFonts w:hint="eastAsia"/>
          <w:color w:val="auto"/>
          <w:sz w:val="24"/>
          <w:lang w:val="en-US" w:eastAsia="zh-CN"/>
        </w:rPr>
        <w:t>的废水收集池，鸡舍冲洗废水全部进入废水收集池，日产日清，由罐车运至辰泰（辽宁）生物科技有限公司制造有机肥。</w:t>
      </w:r>
      <w:r>
        <w:rPr>
          <w:rFonts w:hint="eastAsia" w:hAnsi="宋体"/>
          <w:color w:val="auto"/>
          <w:sz w:val="24"/>
        </w:rPr>
        <w:t>因此</w:t>
      </w:r>
      <w:r>
        <w:rPr>
          <w:rFonts w:hint="eastAsia" w:hAnsi="宋体"/>
          <w:color w:val="auto"/>
          <w:sz w:val="24"/>
          <w:lang w:eastAsia="zh-CN"/>
        </w:rPr>
        <w:t>废水收集池的</w:t>
      </w:r>
      <w:r>
        <w:rPr>
          <w:rFonts w:hint="eastAsia" w:hAnsi="宋体"/>
          <w:color w:val="auto"/>
          <w:sz w:val="24"/>
        </w:rPr>
        <w:t>容量符合本项目需求，</w:t>
      </w:r>
      <w:r>
        <w:rPr>
          <w:rFonts w:hint="eastAsia" w:hAnsi="宋体"/>
          <w:color w:val="auto"/>
          <w:sz w:val="24"/>
          <w:lang w:eastAsia="zh-CN"/>
        </w:rPr>
        <w:t>能够</w:t>
      </w:r>
      <w:r>
        <w:rPr>
          <w:rFonts w:hint="eastAsia" w:hAnsi="宋体"/>
          <w:color w:val="auto"/>
          <w:sz w:val="24"/>
        </w:rPr>
        <w:t>实现废水零排放。</w:t>
      </w:r>
      <w:r>
        <w:rPr>
          <w:rFonts w:hint="eastAsia" w:hAnsi="宋体"/>
          <w:color w:val="auto"/>
          <w:sz w:val="24"/>
          <w:lang w:eastAsia="zh-CN"/>
        </w:rPr>
        <w:t>鸡舍冲洗废水</w:t>
      </w:r>
      <w:r>
        <w:rPr>
          <w:rFonts w:hint="eastAsia"/>
          <w:color w:val="auto"/>
          <w:sz w:val="24"/>
          <w:lang w:val="en-US" w:eastAsia="zh-CN"/>
        </w:rPr>
        <w:t>为每410天产生一次，考虑极端天气情况下临时储存50天，废水收集池的容积完全能够满足临时储存需求。</w:t>
      </w:r>
    </w:p>
    <w:p w14:paraId="5E37EFA8">
      <w:pPr>
        <w:spacing w:line="360" w:lineRule="auto"/>
        <w:ind w:firstLine="480" w:firstLineChars="200"/>
        <w:rPr>
          <w:rFonts w:hint="eastAsia"/>
          <w:color w:val="auto"/>
          <w:sz w:val="24"/>
          <w:lang w:val="en-US" w:eastAsia="zh-CN"/>
        </w:rPr>
      </w:pPr>
      <w:r>
        <w:rPr>
          <w:rFonts w:hint="eastAsia"/>
          <w:color w:val="auto"/>
          <w:sz w:val="24"/>
          <w:lang w:val="en-US" w:eastAsia="zh-CN"/>
        </w:rPr>
        <w:t>（2）粪污接受单位运行时段分析</w:t>
      </w:r>
    </w:p>
    <w:p w14:paraId="5B69BB35">
      <w:pPr>
        <w:spacing w:line="360" w:lineRule="auto"/>
        <w:ind w:firstLine="480" w:firstLineChars="200"/>
        <w:rPr>
          <w:rFonts w:hint="default"/>
          <w:color w:val="auto"/>
          <w:sz w:val="24"/>
          <w:highlight w:val="none"/>
          <w:lang w:val="en-US" w:eastAsia="zh-CN"/>
        </w:rPr>
      </w:pPr>
      <w:r>
        <w:rPr>
          <w:rFonts w:hint="eastAsia"/>
          <w:color w:val="auto"/>
          <w:sz w:val="24"/>
          <w:highlight w:val="none"/>
          <w:lang w:val="en-US" w:eastAsia="zh-CN"/>
        </w:rPr>
        <w:t>本项目养殖废水委托辰泰（辽宁）生物科技有限公司进行处理，根据现场调查及参考其环保手续，辰泰（辽宁）生物科技有限公司工作时间为350d，每天16h生产，停产时间为15d；考虑在接收单位停产时间内，本项目每座废水收集池最大储存能力为10m</w:t>
      </w:r>
      <w:r>
        <w:rPr>
          <w:rFonts w:hint="eastAsia"/>
          <w:color w:val="auto"/>
          <w:sz w:val="24"/>
          <w:highlight w:val="none"/>
          <w:vertAlign w:val="superscript"/>
          <w:lang w:val="en-US" w:eastAsia="zh-CN"/>
        </w:rPr>
        <w:t>3</w:t>
      </w:r>
      <w:r>
        <w:rPr>
          <w:rFonts w:hint="eastAsia"/>
          <w:color w:val="auto"/>
          <w:sz w:val="24"/>
          <w:highlight w:val="none"/>
          <w:lang w:val="en-US" w:eastAsia="zh-CN"/>
        </w:rPr>
        <w:t>，每座鸡舍冲洗废水最多为1.69m</w:t>
      </w:r>
      <w:r>
        <w:rPr>
          <w:rFonts w:hint="eastAsia"/>
          <w:color w:val="auto"/>
          <w:sz w:val="24"/>
          <w:highlight w:val="none"/>
          <w:vertAlign w:val="superscript"/>
          <w:lang w:val="en-US" w:eastAsia="zh-CN"/>
        </w:rPr>
        <w:t>3</w:t>
      </w:r>
      <w:r>
        <w:rPr>
          <w:rFonts w:hint="eastAsia"/>
          <w:color w:val="auto"/>
          <w:sz w:val="24"/>
          <w:highlight w:val="none"/>
          <w:lang w:val="en-US" w:eastAsia="zh-CN"/>
        </w:rPr>
        <w:t>，每410d产生一次，不考虑蒸发损失情况下，废水收集池最多能够储存6年的废水产生量，因此，接收单位停产期间本项目的废水收集池能够满足临时储存需求。</w:t>
      </w:r>
    </w:p>
    <w:p w14:paraId="743DB146">
      <w:pPr>
        <w:keepNext/>
        <w:keepLines/>
        <w:spacing w:line="360" w:lineRule="auto"/>
        <w:outlineLvl w:val="2"/>
        <w:rPr>
          <w:b/>
          <w:bCs/>
          <w:color w:val="auto"/>
          <w:sz w:val="28"/>
          <w:szCs w:val="32"/>
        </w:rPr>
      </w:pPr>
      <w:bookmarkStart w:id="394" w:name="_Toc28674"/>
      <w:r>
        <w:rPr>
          <w:b/>
          <w:bCs/>
          <w:color w:val="auto"/>
          <w:sz w:val="28"/>
          <w:szCs w:val="32"/>
        </w:rPr>
        <w:t>7.2.3噪声污染防治措施</w:t>
      </w:r>
      <w:bookmarkEnd w:id="394"/>
    </w:p>
    <w:p w14:paraId="586078AD">
      <w:pPr>
        <w:spacing w:line="360" w:lineRule="auto"/>
        <w:ind w:firstLine="480" w:firstLineChars="200"/>
        <w:rPr>
          <w:color w:val="auto"/>
          <w:sz w:val="24"/>
        </w:rPr>
      </w:pPr>
      <w:bookmarkStart w:id="395" w:name="_Toc66077621"/>
      <w:r>
        <w:rPr>
          <w:color w:val="auto"/>
          <w:sz w:val="24"/>
        </w:rPr>
        <w:t>本项目噪声主要来源于鸡叫声、鸡舍排气扇、水泵、风机、各项处理系统</w:t>
      </w:r>
      <w:r>
        <w:rPr>
          <w:rFonts w:hint="eastAsia"/>
          <w:color w:val="auto"/>
          <w:sz w:val="24"/>
        </w:rPr>
        <w:t>、饲料生产设备</w:t>
      </w:r>
      <w:r>
        <w:rPr>
          <w:color w:val="auto"/>
          <w:sz w:val="24"/>
        </w:rPr>
        <w:t>等运行时产生的噪声，项目采取的噪声防治措施如下：</w:t>
      </w:r>
    </w:p>
    <w:p w14:paraId="6C7DEC6F">
      <w:pPr>
        <w:spacing w:line="360" w:lineRule="auto"/>
        <w:ind w:firstLine="600" w:firstLineChars="25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总图布置尽量将噪声大的噪声源远离厂界和敏感点，通过距离衰减降噪；</w:t>
      </w:r>
    </w:p>
    <w:p w14:paraId="2CDC2BB8">
      <w:pPr>
        <w:spacing w:line="360" w:lineRule="auto"/>
        <w:ind w:firstLine="559" w:firstLineChars="233"/>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各点源设备设在建筑物内，通过建筑的隔声达到降噪；</w:t>
      </w:r>
    </w:p>
    <w:p w14:paraId="6055FB63">
      <w:pPr>
        <w:spacing w:line="360" w:lineRule="auto"/>
        <w:ind w:firstLine="559" w:firstLineChars="233"/>
        <w:rPr>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color w:val="auto"/>
          <w:sz w:val="24"/>
        </w:rPr>
        <w:t>应加强设备的维修保养，使设备处于最佳工作状态；</w:t>
      </w:r>
    </w:p>
    <w:p w14:paraId="6C968004">
      <w:pPr>
        <w:spacing w:line="360" w:lineRule="auto"/>
        <w:ind w:firstLine="559" w:firstLineChars="233"/>
        <w:rPr>
          <w:color w:val="auto"/>
          <w:sz w:val="24"/>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color w:val="auto"/>
          <w:sz w:val="24"/>
        </w:rPr>
        <w:t>采购低噪声型设备，对各设备进行减震、消声处理；</w:t>
      </w:r>
    </w:p>
    <w:p w14:paraId="0D7DFCA8">
      <w:pPr>
        <w:spacing w:line="360" w:lineRule="auto"/>
        <w:ind w:firstLine="559" w:firstLineChars="233"/>
        <w:rPr>
          <w:color w:val="auto"/>
          <w:sz w:val="24"/>
        </w:rPr>
      </w:pPr>
      <w:r>
        <w:rPr>
          <w:rFonts w:hint="eastAsia"/>
          <w:color w:val="auto"/>
          <w:sz w:val="24"/>
          <w:lang w:eastAsia="zh-CN"/>
        </w:rPr>
        <w:t>（</w:t>
      </w:r>
      <w:r>
        <w:rPr>
          <w:rFonts w:hint="eastAsia"/>
          <w:color w:val="auto"/>
          <w:sz w:val="24"/>
          <w:lang w:val="en-US" w:eastAsia="zh-CN"/>
        </w:rPr>
        <w:t>5</w:t>
      </w:r>
      <w:r>
        <w:rPr>
          <w:rFonts w:hint="eastAsia"/>
          <w:color w:val="auto"/>
          <w:sz w:val="24"/>
          <w:lang w:eastAsia="zh-CN"/>
        </w:rPr>
        <w:t>）</w:t>
      </w:r>
      <w:r>
        <w:rPr>
          <w:color w:val="auto"/>
          <w:sz w:val="24"/>
        </w:rPr>
        <w:t>加强项目及车间四周绿化，种植树木；</w:t>
      </w:r>
    </w:p>
    <w:p w14:paraId="6D06FF19">
      <w:pPr>
        <w:spacing w:line="360" w:lineRule="auto"/>
        <w:ind w:firstLine="560"/>
        <w:rPr>
          <w:color w:val="auto"/>
          <w:sz w:val="24"/>
        </w:rPr>
      </w:pPr>
      <w:r>
        <w:rPr>
          <w:rFonts w:hint="eastAsia"/>
          <w:color w:val="auto"/>
          <w:sz w:val="24"/>
          <w:lang w:eastAsia="zh-CN"/>
        </w:rPr>
        <w:t>（</w:t>
      </w:r>
      <w:r>
        <w:rPr>
          <w:rFonts w:hint="eastAsia"/>
          <w:color w:val="auto"/>
          <w:sz w:val="24"/>
          <w:lang w:val="en-US" w:eastAsia="zh-CN"/>
        </w:rPr>
        <w:t>6</w:t>
      </w:r>
      <w:r>
        <w:rPr>
          <w:rFonts w:hint="eastAsia"/>
          <w:color w:val="auto"/>
          <w:sz w:val="24"/>
          <w:lang w:eastAsia="zh-CN"/>
        </w:rPr>
        <w:t>）</w:t>
      </w:r>
      <w:r>
        <w:rPr>
          <w:color w:val="auto"/>
          <w:sz w:val="24"/>
        </w:rPr>
        <w:t>尽可能满足鸡饮食需要，避免因饥饿或口渴而发出叫声；同时应减少外界噪声等对鸡舍的干扰，避免因惊吓而产生不安，使鸡保持安定平和的气氛。</w:t>
      </w:r>
    </w:p>
    <w:p w14:paraId="0B8366EC">
      <w:pPr>
        <w:spacing w:line="360" w:lineRule="auto"/>
        <w:ind w:firstLine="560"/>
        <w:rPr>
          <w:color w:val="auto"/>
          <w:sz w:val="24"/>
        </w:rPr>
      </w:pPr>
      <w:r>
        <w:rPr>
          <w:color w:val="auto"/>
          <w:sz w:val="24"/>
        </w:rPr>
        <w:t>采用以上措施治理后，本项目各类噪声均能得到有效防治，对周围环境影响不大。以上措施投资少，处理效果好，技术可行。</w:t>
      </w:r>
    </w:p>
    <w:p w14:paraId="6345B00D">
      <w:pPr>
        <w:keepNext/>
        <w:keepLines/>
        <w:spacing w:line="360" w:lineRule="auto"/>
        <w:outlineLvl w:val="2"/>
        <w:rPr>
          <w:b/>
          <w:bCs/>
          <w:color w:val="auto"/>
          <w:sz w:val="28"/>
          <w:szCs w:val="32"/>
        </w:rPr>
      </w:pPr>
      <w:bookmarkStart w:id="396" w:name="_Toc3297"/>
      <w:r>
        <w:rPr>
          <w:b/>
          <w:bCs/>
          <w:color w:val="auto"/>
          <w:sz w:val="28"/>
          <w:szCs w:val="32"/>
        </w:rPr>
        <w:t>7.2.4固体废物</w:t>
      </w:r>
      <w:bookmarkEnd w:id="395"/>
      <w:r>
        <w:rPr>
          <w:b/>
          <w:bCs/>
          <w:color w:val="auto"/>
          <w:sz w:val="28"/>
          <w:szCs w:val="32"/>
        </w:rPr>
        <w:t>的防治措施</w:t>
      </w:r>
      <w:bookmarkEnd w:id="396"/>
    </w:p>
    <w:p w14:paraId="799B5861">
      <w:pPr>
        <w:adjustRightInd w:val="0"/>
        <w:spacing w:line="360" w:lineRule="auto"/>
        <w:ind w:firstLine="480" w:firstLineChars="200"/>
        <w:rPr>
          <w:color w:val="auto"/>
          <w:sz w:val="24"/>
        </w:rPr>
      </w:pPr>
      <w:r>
        <w:rPr>
          <w:color w:val="auto"/>
          <w:sz w:val="24"/>
        </w:rPr>
        <w:t>本项目运营期产生的固体废物主要为鸡粪、</w:t>
      </w:r>
      <w:r>
        <w:rPr>
          <w:rFonts w:hint="eastAsia"/>
          <w:color w:val="auto"/>
          <w:sz w:val="24"/>
        </w:rPr>
        <w:t>鸡羽毛、</w:t>
      </w:r>
      <w:r>
        <w:rPr>
          <w:color w:val="auto"/>
          <w:sz w:val="24"/>
        </w:rPr>
        <w:t>饲料残渣、病死鸡、医疗废物</w:t>
      </w:r>
      <w:r>
        <w:rPr>
          <w:rFonts w:hint="eastAsia"/>
          <w:color w:val="auto"/>
          <w:sz w:val="24"/>
        </w:rPr>
        <w:t>、</w:t>
      </w:r>
      <w:r>
        <w:rPr>
          <w:color w:val="auto"/>
          <w:sz w:val="24"/>
        </w:rPr>
        <w:t>废离子交换树脂及员工产生的生活垃圾。针对不同固废的性质，采取相应的处置和综合利用措施。</w:t>
      </w:r>
    </w:p>
    <w:p w14:paraId="5FB1F76B">
      <w:pPr>
        <w:adjustRightInd w:val="0"/>
        <w:snapToGrid w:val="0"/>
        <w:spacing w:line="360" w:lineRule="auto"/>
        <w:ind w:firstLine="482" w:firstLineChars="200"/>
        <w:rPr>
          <w:b/>
          <w:bCs/>
          <w:color w:val="auto"/>
          <w:sz w:val="24"/>
        </w:rPr>
      </w:pPr>
      <w:r>
        <w:rPr>
          <w:rFonts w:hint="eastAsia"/>
          <w:b/>
          <w:bCs/>
          <w:color w:val="auto"/>
          <w:sz w:val="24"/>
          <w:lang w:eastAsia="zh-CN"/>
        </w:rPr>
        <w:t>（</w:t>
      </w:r>
      <w:r>
        <w:rPr>
          <w:rFonts w:hint="eastAsia"/>
          <w:b/>
          <w:bCs/>
          <w:color w:val="auto"/>
          <w:sz w:val="24"/>
          <w:lang w:val="en-US" w:eastAsia="zh-CN"/>
        </w:rPr>
        <w:t>1</w:t>
      </w:r>
      <w:r>
        <w:rPr>
          <w:rFonts w:hint="eastAsia"/>
          <w:b/>
          <w:bCs/>
          <w:color w:val="auto"/>
          <w:sz w:val="24"/>
          <w:lang w:eastAsia="zh-CN"/>
        </w:rPr>
        <w:t>）</w:t>
      </w:r>
      <w:r>
        <w:rPr>
          <w:b/>
          <w:bCs/>
          <w:color w:val="auto"/>
          <w:sz w:val="24"/>
        </w:rPr>
        <w:t>鸡粪、</w:t>
      </w:r>
      <w:r>
        <w:rPr>
          <w:rFonts w:hint="eastAsia"/>
          <w:b/>
          <w:bCs/>
          <w:color w:val="auto"/>
          <w:sz w:val="24"/>
        </w:rPr>
        <w:t>鸡羽毛、</w:t>
      </w:r>
      <w:r>
        <w:rPr>
          <w:b/>
          <w:bCs/>
          <w:color w:val="auto"/>
          <w:sz w:val="24"/>
        </w:rPr>
        <w:t>饲料残渣</w:t>
      </w:r>
    </w:p>
    <w:p w14:paraId="1544E06D">
      <w:pPr>
        <w:spacing w:line="360" w:lineRule="auto"/>
        <w:ind w:firstLine="480" w:firstLineChars="200"/>
        <w:rPr>
          <w:rFonts w:hint="eastAsia" w:eastAsia="宋体"/>
          <w:color w:val="auto"/>
          <w:sz w:val="24"/>
          <w:lang w:eastAsia="zh-CN"/>
        </w:rPr>
      </w:pPr>
      <w:r>
        <w:rPr>
          <w:rFonts w:hint="eastAsia"/>
          <w:color w:val="auto"/>
          <w:sz w:val="24"/>
          <w:lang w:val="en-US" w:eastAsia="zh-CN"/>
        </w:rPr>
        <w:t>1</w:t>
      </w:r>
      <w:r>
        <w:rPr>
          <w:rFonts w:hint="eastAsia"/>
          <w:color w:val="auto"/>
          <w:sz w:val="24"/>
          <w:lang w:eastAsia="zh-CN"/>
        </w:rPr>
        <w:t>）处置措施</w:t>
      </w:r>
    </w:p>
    <w:p w14:paraId="56785021">
      <w:pPr>
        <w:spacing w:line="360" w:lineRule="auto"/>
        <w:ind w:firstLine="480" w:firstLineChars="200"/>
        <w:rPr>
          <w:color w:val="auto"/>
          <w:sz w:val="24"/>
        </w:rPr>
      </w:pPr>
      <w:r>
        <w:rPr>
          <w:color w:val="auto"/>
          <w:sz w:val="24"/>
        </w:rPr>
        <w:t>根据《畜禽养殖业污染防治技术规范》中的要求，“新建、改建、扩建的畜禽养殖场应采取干法清粪工艺”，因此要求企业也采用干法清粪，不得水冲。这样就从源头上减少了本项目废水的产生量和污染物浓度。</w:t>
      </w:r>
    </w:p>
    <w:p w14:paraId="534FAFB7">
      <w:pPr>
        <w:spacing w:line="360" w:lineRule="auto"/>
        <w:ind w:firstLine="480" w:firstLineChars="200"/>
        <w:rPr>
          <w:color w:val="auto"/>
          <w:sz w:val="24"/>
        </w:rPr>
      </w:pPr>
      <w:r>
        <w:rPr>
          <w:color w:val="auto"/>
          <w:sz w:val="24"/>
        </w:rPr>
        <w:t>根据《排污许可证申请与核发技术规范 畜禽养殖行业》“表9各类畜禽污染物产生量”中蛋鸡的粪便产生量0.13kg/d·只，本项目年存栏蛋鸡100万只，则本项目鸡粪</w:t>
      </w:r>
      <w:r>
        <w:rPr>
          <w:rFonts w:hint="eastAsia"/>
          <w:color w:val="auto"/>
          <w:sz w:val="24"/>
        </w:rPr>
        <w:t>（含鸡羽毛）</w:t>
      </w:r>
      <w:r>
        <w:rPr>
          <w:color w:val="auto"/>
          <w:sz w:val="24"/>
        </w:rPr>
        <w:t>产生量为47450t/a</w:t>
      </w:r>
      <w:r>
        <w:rPr>
          <w:rFonts w:hint="eastAsia" w:hAnsi="宋体"/>
          <w:color w:val="auto"/>
          <w:sz w:val="24"/>
          <w:lang w:eastAsia="zh-CN"/>
        </w:rPr>
        <w:t>（湿鸡粪，包含水分在内）</w:t>
      </w:r>
      <w:r>
        <w:rPr>
          <w:color w:val="auto"/>
          <w:sz w:val="24"/>
        </w:rPr>
        <w:t>。根据企业提供，项目在日常饲养蛋鸡时，会产生饲料残渣，产生量约为45t/a。</w:t>
      </w:r>
    </w:p>
    <w:p w14:paraId="5EC8C14F">
      <w:pPr>
        <w:adjustRightInd w:val="0"/>
        <w:snapToGrid w:val="0"/>
        <w:spacing w:line="360" w:lineRule="auto"/>
        <w:ind w:firstLine="480" w:firstLineChars="200"/>
        <w:rPr>
          <w:color w:val="auto"/>
          <w:sz w:val="24"/>
        </w:rPr>
      </w:pPr>
      <w:r>
        <w:rPr>
          <w:color w:val="auto"/>
          <w:sz w:val="24"/>
        </w:rPr>
        <w:t>本项目鸡粪主要采用干法除粪，采用机械刮粪板清粪工艺，时刻保证舍内环境的清洁，做到每天清粪、清洁。产生的鸡粪、饲料残渣除</w:t>
      </w:r>
      <w:r>
        <w:rPr>
          <w:rFonts w:hint="eastAsia"/>
          <w:color w:val="auto"/>
          <w:sz w:val="24"/>
        </w:rPr>
        <w:t>极端天气</w:t>
      </w:r>
      <w:r>
        <w:rPr>
          <w:color w:val="auto"/>
          <w:sz w:val="24"/>
        </w:rPr>
        <w:t>（约50天/年）需暂存</w:t>
      </w:r>
      <w:r>
        <w:rPr>
          <w:rFonts w:hint="eastAsia"/>
          <w:color w:val="auto"/>
          <w:sz w:val="24"/>
          <w:lang w:eastAsia="zh-CN"/>
        </w:rPr>
        <w:t>临时储粪场</w:t>
      </w:r>
      <w:r>
        <w:rPr>
          <w:rStyle w:val="67"/>
          <w:rFonts w:hint="eastAsia"/>
          <w:color w:val="auto"/>
          <w:sz w:val="24"/>
          <w:szCs w:val="24"/>
        </w:rPr>
        <w:t>（</w:t>
      </w:r>
      <w:r>
        <w:rPr>
          <w:rFonts w:hint="eastAsia"/>
          <w:color w:val="auto"/>
          <w:kern w:val="0"/>
          <w:sz w:val="24"/>
        </w:rPr>
        <w:t>容积6000m</w:t>
      </w:r>
      <w:r>
        <w:rPr>
          <w:rFonts w:hint="eastAsia"/>
          <w:color w:val="auto"/>
          <w:kern w:val="0"/>
          <w:sz w:val="24"/>
          <w:vertAlign w:val="superscript"/>
        </w:rPr>
        <w:t>3</w:t>
      </w:r>
      <w:r>
        <w:rPr>
          <w:rFonts w:hint="eastAsia"/>
          <w:color w:val="auto"/>
          <w:kern w:val="0"/>
          <w:sz w:val="24"/>
        </w:rPr>
        <w:t>（</w:t>
      </w:r>
      <w:r>
        <w:rPr>
          <w:rFonts w:hint="eastAsia"/>
          <w:color w:val="auto"/>
          <w:kern w:val="0"/>
          <w:sz w:val="24"/>
          <w:lang w:val="en-US" w:eastAsia="zh-CN"/>
        </w:rPr>
        <w:t>100</w:t>
      </w:r>
      <w:r>
        <w:rPr>
          <w:rFonts w:hint="eastAsia"/>
          <w:color w:val="auto"/>
          <w:kern w:val="0"/>
          <w:sz w:val="24"/>
        </w:rPr>
        <w:t>m×</w:t>
      </w:r>
      <w:r>
        <w:rPr>
          <w:rFonts w:hint="eastAsia"/>
          <w:color w:val="auto"/>
          <w:kern w:val="0"/>
          <w:sz w:val="24"/>
          <w:lang w:val="en-US" w:eastAsia="zh-CN"/>
        </w:rPr>
        <w:t>20</w:t>
      </w:r>
      <w:r>
        <w:rPr>
          <w:rFonts w:hint="eastAsia"/>
          <w:color w:val="auto"/>
          <w:kern w:val="0"/>
          <w:sz w:val="24"/>
        </w:rPr>
        <w:t>m×3m））</w:t>
      </w:r>
      <w:r>
        <w:rPr>
          <w:color w:val="auto"/>
          <w:sz w:val="24"/>
        </w:rPr>
        <w:t>外，均日产日清由清粪车直接拉走外售</w:t>
      </w:r>
      <w:r>
        <w:rPr>
          <w:rFonts w:hint="eastAsia"/>
          <w:color w:val="auto"/>
          <w:sz w:val="24"/>
        </w:rPr>
        <w:t>进行有机肥制造</w:t>
      </w:r>
      <w:r>
        <w:rPr>
          <w:color w:val="auto"/>
          <w:sz w:val="24"/>
        </w:rPr>
        <w:t>。清运及运输过程中做到鸡粪、饲料残渣不落地，不洒落。</w:t>
      </w:r>
    </w:p>
    <w:p w14:paraId="01A721B7">
      <w:pPr>
        <w:pStyle w:val="276"/>
        <w:ind w:left="0" w:firstLine="482"/>
        <w:outlineLvl w:val="9"/>
        <w:rPr>
          <w:b w:val="0"/>
          <w:bCs/>
          <w:color w:val="auto"/>
        </w:rPr>
      </w:pPr>
      <w:r>
        <w:rPr>
          <w:rFonts w:hint="eastAsia"/>
          <w:b w:val="0"/>
          <w:bCs/>
          <w:color w:val="auto"/>
          <w:lang w:val="en-US" w:eastAsia="zh-CN"/>
        </w:rPr>
        <w:t>2</w:t>
      </w:r>
      <w:r>
        <w:rPr>
          <w:rFonts w:hint="eastAsia"/>
          <w:b w:val="0"/>
          <w:bCs/>
          <w:color w:val="auto"/>
          <w:lang w:eastAsia="zh-CN"/>
        </w:rPr>
        <w:t>）临时储粪场</w:t>
      </w:r>
      <w:r>
        <w:rPr>
          <w:rFonts w:hint="eastAsia" w:hAnsi="宋体"/>
          <w:b w:val="0"/>
          <w:bCs/>
          <w:color w:val="auto"/>
        </w:rPr>
        <w:t>贮存能力分析</w:t>
      </w:r>
    </w:p>
    <w:p w14:paraId="7C55D68A">
      <w:pPr>
        <w:autoSpaceDE w:val="0"/>
        <w:autoSpaceDN w:val="0"/>
        <w:spacing w:line="360" w:lineRule="auto"/>
        <w:ind w:firstLine="480" w:firstLineChars="200"/>
        <w:rPr>
          <w:rFonts w:hAnsi="宋体"/>
          <w:color w:val="auto"/>
          <w:sz w:val="24"/>
        </w:rPr>
      </w:pPr>
      <w:r>
        <w:rPr>
          <w:rFonts w:hint="eastAsia" w:hAnsi="宋体"/>
          <w:color w:val="auto"/>
          <w:sz w:val="24"/>
        </w:rPr>
        <w:t>根据《排污许可证申请与核发技术规范</w:t>
      </w:r>
      <w:r>
        <w:rPr>
          <w:rFonts w:hint="eastAsia" w:hAnsi="宋体"/>
          <w:color w:val="auto"/>
          <w:sz w:val="24"/>
          <w:lang w:val="en-US" w:eastAsia="zh-CN"/>
        </w:rPr>
        <w:t xml:space="preserve">  </w:t>
      </w:r>
      <w:r>
        <w:rPr>
          <w:rFonts w:hint="eastAsia" w:hAnsi="宋体"/>
          <w:color w:val="auto"/>
          <w:sz w:val="24"/>
        </w:rPr>
        <w:t>畜禽养殖行业》</w:t>
      </w:r>
      <w:r>
        <w:rPr>
          <w:rFonts w:hint="eastAsia" w:hAnsi="宋体"/>
          <w:color w:val="auto"/>
          <w:sz w:val="24"/>
          <w:lang w:eastAsia="zh-CN"/>
        </w:rPr>
        <w:t>（</w:t>
      </w:r>
      <w:r>
        <w:rPr>
          <w:rFonts w:hint="eastAsia" w:hAnsi="宋体"/>
          <w:color w:val="auto"/>
          <w:sz w:val="24"/>
          <w:lang w:val="en-US" w:eastAsia="zh-CN"/>
        </w:rPr>
        <w:t>HJ1029-2019</w:t>
      </w:r>
      <w:r>
        <w:rPr>
          <w:rFonts w:hint="eastAsia" w:hAnsi="宋体"/>
          <w:color w:val="auto"/>
          <w:sz w:val="24"/>
          <w:lang w:eastAsia="zh-CN"/>
        </w:rPr>
        <w:t>）</w:t>
      </w:r>
      <w:r>
        <w:rPr>
          <w:rFonts w:hint="eastAsia" w:hAnsi="宋体"/>
          <w:color w:val="auto"/>
          <w:sz w:val="24"/>
        </w:rPr>
        <w:t>“表9各类畜禽污染物产生量”中蛋鸡的粪便产生量0.13kg/d·只，本项目年存栏蛋鸡100万只，则本项目鸡粪产生量为47450t/a</w:t>
      </w:r>
      <w:r>
        <w:rPr>
          <w:rFonts w:hint="eastAsia" w:hAnsi="宋体"/>
          <w:color w:val="auto"/>
          <w:sz w:val="24"/>
          <w:lang w:eastAsia="zh-CN"/>
        </w:rPr>
        <w:t>（湿鸡粪，包含水分在内）</w:t>
      </w:r>
      <w:r>
        <w:rPr>
          <w:rFonts w:hint="eastAsia" w:hAnsi="宋体"/>
          <w:color w:val="auto"/>
          <w:sz w:val="24"/>
        </w:rPr>
        <w:t>。根据《畜禽粪便贮存技术指南》可知，1t粪便约折合0.9m</w:t>
      </w:r>
      <w:r>
        <w:rPr>
          <w:rFonts w:hint="eastAsia" w:hAnsi="宋体"/>
          <w:color w:val="auto"/>
          <w:sz w:val="24"/>
          <w:vertAlign w:val="superscript"/>
        </w:rPr>
        <w:t>3</w:t>
      </w:r>
      <w:r>
        <w:rPr>
          <w:rFonts w:hint="eastAsia" w:hAnsi="宋体"/>
          <w:color w:val="auto"/>
          <w:sz w:val="24"/>
        </w:rPr>
        <w:t>，则本项目粪便折合为42705m</w:t>
      </w:r>
      <w:r>
        <w:rPr>
          <w:rFonts w:hint="eastAsia" w:hAnsi="宋体"/>
          <w:color w:val="auto"/>
          <w:sz w:val="24"/>
          <w:vertAlign w:val="superscript"/>
        </w:rPr>
        <w:t>3</w:t>
      </w:r>
      <w:r>
        <w:rPr>
          <w:rFonts w:hint="eastAsia" w:hAnsi="宋体"/>
          <w:color w:val="auto"/>
          <w:sz w:val="24"/>
        </w:rPr>
        <w:t>/a（117m</w:t>
      </w:r>
      <w:r>
        <w:rPr>
          <w:rFonts w:hint="eastAsia" w:hAnsi="宋体"/>
          <w:color w:val="auto"/>
          <w:sz w:val="24"/>
          <w:vertAlign w:val="superscript"/>
        </w:rPr>
        <w:t>3</w:t>
      </w:r>
      <w:r>
        <w:rPr>
          <w:rFonts w:hint="eastAsia" w:hAnsi="宋体"/>
          <w:color w:val="auto"/>
          <w:sz w:val="24"/>
        </w:rPr>
        <w:t>/d）。本项目</w:t>
      </w:r>
      <w:r>
        <w:rPr>
          <w:rFonts w:hint="eastAsia" w:hAnsi="宋体"/>
          <w:color w:val="auto"/>
          <w:sz w:val="24"/>
          <w:lang w:eastAsia="zh-CN"/>
        </w:rPr>
        <w:t>临时储粪场</w:t>
      </w:r>
      <w:r>
        <w:rPr>
          <w:rFonts w:hint="eastAsia" w:hAnsi="宋体"/>
          <w:color w:val="auto"/>
          <w:sz w:val="24"/>
        </w:rPr>
        <w:t>占地面积</w:t>
      </w:r>
      <w:r>
        <w:rPr>
          <w:rFonts w:hint="eastAsia" w:hAnsi="宋体"/>
          <w:color w:val="auto"/>
          <w:sz w:val="24"/>
          <w:lang w:val="en-US" w:eastAsia="zh-CN"/>
        </w:rPr>
        <w:t>2</w:t>
      </w:r>
      <w:r>
        <w:rPr>
          <w:rFonts w:hint="eastAsia" w:hAnsi="宋体"/>
          <w:color w:val="auto"/>
          <w:sz w:val="24"/>
        </w:rPr>
        <w:t>000m</w:t>
      </w:r>
      <w:r>
        <w:rPr>
          <w:rFonts w:hint="eastAsia" w:hAnsi="宋体"/>
          <w:color w:val="auto"/>
          <w:sz w:val="24"/>
          <w:vertAlign w:val="superscript"/>
        </w:rPr>
        <w:t>2</w:t>
      </w:r>
      <w:r>
        <w:rPr>
          <w:rFonts w:hint="eastAsia" w:hAnsi="宋体"/>
          <w:color w:val="auto"/>
          <w:sz w:val="24"/>
        </w:rPr>
        <w:t>，堆存高度按3m计算，则粪便贮存池容积为6000m</w:t>
      </w:r>
      <w:r>
        <w:rPr>
          <w:rFonts w:hint="eastAsia" w:hAnsi="宋体"/>
          <w:color w:val="auto"/>
          <w:sz w:val="24"/>
          <w:vertAlign w:val="superscript"/>
        </w:rPr>
        <w:t>3</w:t>
      </w:r>
      <w:r>
        <w:rPr>
          <w:rFonts w:hint="eastAsia"/>
          <w:color w:val="auto"/>
          <w:kern w:val="0"/>
          <w:sz w:val="24"/>
        </w:rPr>
        <w:t>（</w:t>
      </w:r>
      <w:r>
        <w:rPr>
          <w:rFonts w:hint="eastAsia" w:hAnsi="宋体"/>
          <w:color w:val="auto"/>
          <w:sz w:val="24"/>
          <w:lang w:val="en-US" w:eastAsia="zh-CN"/>
        </w:rPr>
        <w:t>50</w:t>
      </w:r>
      <w:r>
        <w:rPr>
          <w:rFonts w:hint="eastAsia" w:hAnsi="宋体"/>
          <w:color w:val="auto"/>
          <w:sz w:val="24"/>
        </w:rPr>
        <w:t>m×</w:t>
      </w:r>
      <w:r>
        <w:rPr>
          <w:rFonts w:hint="eastAsia" w:hAnsi="宋体"/>
          <w:color w:val="auto"/>
          <w:sz w:val="24"/>
          <w:lang w:val="en-US" w:eastAsia="zh-CN"/>
        </w:rPr>
        <w:t>40</w:t>
      </w:r>
      <w:r>
        <w:rPr>
          <w:rFonts w:hint="eastAsia" w:hAnsi="宋体"/>
          <w:color w:val="auto"/>
          <w:sz w:val="24"/>
        </w:rPr>
        <w:t>m×3m</w:t>
      </w:r>
      <w:r>
        <w:rPr>
          <w:rFonts w:hint="eastAsia"/>
          <w:color w:val="auto"/>
          <w:kern w:val="0"/>
          <w:sz w:val="24"/>
        </w:rPr>
        <w:t>）</w:t>
      </w:r>
      <w:r>
        <w:rPr>
          <w:rFonts w:hint="eastAsia" w:hAnsi="宋体"/>
          <w:color w:val="auto"/>
          <w:sz w:val="24"/>
        </w:rPr>
        <w:t>，考虑极端气候条件下不能及时清运时，能够暂存约51天的粪便（饲料残渣）产生量，满足极端气候条件下粪便暂存50d的要求，因此</w:t>
      </w:r>
      <w:r>
        <w:rPr>
          <w:rFonts w:hint="eastAsia" w:hAnsi="宋体"/>
          <w:color w:val="auto"/>
          <w:sz w:val="24"/>
          <w:lang w:eastAsia="zh-CN"/>
        </w:rPr>
        <w:t>临时储粪场</w:t>
      </w:r>
      <w:r>
        <w:rPr>
          <w:rFonts w:hint="eastAsia" w:hAnsi="宋体"/>
          <w:color w:val="auto"/>
          <w:sz w:val="24"/>
        </w:rPr>
        <w:t>容量满足本项目粪便暂存容量的要求。</w:t>
      </w:r>
    </w:p>
    <w:p w14:paraId="19D71A55">
      <w:pPr>
        <w:pStyle w:val="276"/>
        <w:ind w:left="0" w:firstLine="482"/>
        <w:outlineLvl w:val="9"/>
        <w:rPr>
          <w:rFonts w:hint="eastAsia" w:eastAsia="宋体"/>
          <w:b w:val="0"/>
          <w:bCs/>
          <w:color w:val="auto"/>
          <w:lang w:eastAsia="zh-CN"/>
        </w:rPr>
      </w:pPr>
      <w:r>
        <w:rPr>
          <w:rFonts w:hint="eastAsia"/>
          <w:b w:val="0"/>
          <w:bCs/>
          <w:color w:val="auto"/>
          <w:lang w:val="en-US" w:eastAsia="zh-CN"/>
        </w:rPr>
        <w:t>3</w:t>
      </w:r>
      <w:r>
        <w:rPr>
          <w:rFonts w:hint="eastAsia"/>
          <w:b w:val="0"/>
          <w:bCs/>
          <w:color w:val="auto"/>
          <w:lang w:eastAsia="zh-CN"/>
        </w:rPr>
        <w:t>）</w:t>
      </w:r>
      <w:r>
        <w:rPr>
          <w:rFonts w:hint="eastAsia"/>
          <w:b w:val="0"/>
          <w:bCs/>
          <w:color w:val="auto"/>
        </w:rPr>
        <w:t>有机肥制造公司及处理能力分析</w:t>
      </w:r>
    </w:p>
    <w:p w14:paraId="0DEF40F9">
      <w:pPr>
        <w:spacing w:line="360" w:lineRule="auto"/>
        <w:ind w:firstLine="480" w:firstLineChars="200"/>
        <w:jc w:val="left"/>
        <w:rPr>
          <w:rFonts w:hint="eastAsia"/>
          <w:color w:val="auto"/>
          <w:sz w:val="24"/>
          <w:highlight w:val="none"/>
          <w:lang w:eastAsia="zh-CN"/>
        </w:rPr>
      </w:pPr>
      <w:r>
        <w:rPr>
          <w:rFonts w:hint="eastAsia"/>
          <w:color w:val="auto"/>
          <w:sz w:val="24"/>
          <w:highlight w:val="none"/>
          <w:lang w:eastAsia="zh-CN"/>
        </w:rPr>
        <w:t>辰泰（辽宁）生物科技有限公司：</w:t>
      </w:r>
    </w:p>
    <w:p w14:paraId="676546F7">
      <w:pPr>
        <w:spacing w:line="360" w:lineRule="auto"/>
        <w:ind w:firstLine="480" w:firstLineChars="200"/>
        <w:jc w:val="left"/>
        <w:rPr>
          <w:color w:val="auto"/>
          <w:sz w:val="24"/>
          <w:highlight w:val="none"/>
        </w:rPr>
      </w:pPr>
      <w:r>
        <w:rPr>
          <w:rFonts w:hint="eastAsia"/>
          <w:color w:val="auto"/>
          <w:sz w:val="24"/>
          <w:highlight w:val="none"/>
          <w:lang w:eastAsia="zh-CN"/>
        </w:rPr>
        <w:t>辰泰（辽宁）生物科技有限公司</w:t>
      </w:r>
      <w:r>
        <w:rPr>
          <w:color w:val="auto"/>
          <w:sz w:val="24"/>
          <w:highlight w:val="none"/>
        </w:rPr>
        <w:t>位于</w:t>
      </w:r>
      <w:r>
        <w:rPr>
          <w:rFonts w:hint="eastAsia"/>
          <w:color w:val="auto"/>
          <w:sz w:val="24"/>
          <w:highlight w:val="none"/>
          <w:lang w:eastAsia="zh-CN"/>
        </w:rPr>
        <w:t>辽宁省朝阳市北票市三宝街（三宝管理区</w:t>
      </w:r>
      <w:r>
        <w:rPr>
          <w:rFonts w:hint="eastAsia"/>
          <w:color w:val="auto"/>
          <w:sz w:val="24"/>
          <w:highlight w:val="none"/>
          <w:lang w:val="en-US" w:eastAsia="zh-CN"/>
        </w:rPr>
        <w:t>2-1号</w:t>
      </w:r>
      <w:r>
        <w:rPr>
          <w:rFonts w:hint="eastAsia"/>
          <w:color w:val="auto"/>
          <w:sz w:val="24"/>
          <w:highlight w:val="none"/>
          <w:lang w:eastAsia="zh-CN"/>
        </w:rPr>
        <w:t>）</w:t>
      </w:r>
      <w:r>
        <w:rPr>
          <w:color w:val="auto"/>
          <w:sz w:val="24"/>
          <w:highlight w:val="none"/>
        </w:rPr>
        <w:t>，企业主要经营</w:t>
      </w:r>
      <w:r>
        <w:rPr>
          <w:rFonts w:hint="eastAsia"/>
          <w:color w:val="auto"/>
          <w:sz w:val="24"/>
          <w:highlight w:val="none"/>
          <w:lang w:eastAsia="zh-CN"/>
        </w:rPr>
        <w:t>微生物肥、有机肥、复混肥、掺混肥、微生物杀虫剂生产、销售、研制开发等</w:t>
      </w:r>
      <w:r>
        <w:rPr>
          <w:color w:val="auto"/>
          <w:sz w:val="24"/>
          <w:highlight w:val="none"/>
        </w:rPr>
        <w:t>。</w:t>
      </w:r>
    </w:p>
    <w:p w14:paraId="0E0051E8">
      <w:pPr>
        <w:spacing w:line="360" w:lineRule="auto"/>
        <w:ind w:firstLine="480" w:firstLineChars="200"/>
        <w:jc w:val="left"/>
        <w:rPr>
          <w:color w:val="auto"/>
          <w:sz w:val="24"/>
          <w:highlight w:val="none"/>
        </w:rPr>
      </w:pPr>
      <w:r>
        <w:rPr>
          <w:color w:val="auto"/>
          <w:sz w:val="24"/>
          <w:highlight w:val="none"/>
        </w:rPr>
        <w:t>企业于</w:t>
      </w:r>
      <w:r>
        <w:rPr>
          <w:rFonts w:hint="eastAsia"/>
          <w:color w:val="auto"/>
          <w:sz w:val="24"/>
          <w:highlight w:val="none"/>
          <w:lang w:val="en-US" w:eastAsia="zh-CN"/>
        </w:rPr>
        <w:t>2017</w:t>
      </w:r>
      <w:r>
        <w:rPr>
          <w:color w:val="auto"/>
          <w:sz w:val="24"/>
          <w:highlight w:val="none"/>
        </w:rPr>
        <w:t>年</w:t>
      </w:r>
      <w:r>
        <w:rPr>
          <w:rFonts w:hint="eastAsia"/>
          <w:color w:val="auto"/>
          <w:sz w:val="24"/>
          <w:highlight w:val="none"/>
          <w:lang w:eastAsia="zh-CN"/>
        </w:rPr>
        <w:t>备案了《</w:t>
      </w:r>
      <w:r>
        <w:rPr>
          <w:rFonts w:hint="eastAsia"/>
          <w:color w:val="auto"/>
          <w:sz w:val="24"/>
          <w:highlight w:val="none"/>
          <w:lang w:val="en-US" w:eastAsia="zh-CN"/>
        </w:rPr>
        <w:t>北票市辰泰生物科技有限公司</w:t>
      </w:r>
      <w:r>
        <w:rPr>
          <w:rFonts w:hint="eastAsia"/>
          <w:color w:val="auto"/>
          <w:sz w:val="24"/>
          <w:highlight w:val="none"/>
          <w:lang w:eastAsia="zh-CN"/>
        </w:rPr>
        <w:t>畜禽粪便年产百万吨生物有机肥项目》（北行审备</w:t>
      </w:r>
      <w:r>
        <w:rPr>
          <w:rFonts w:hint="eastAsia"/>
          <w:color w:val="auto"/>
          <w:sz w:val="24"/>
          <w:highlight w:val="none"/>
          <w:lang w:val="en-US" w:eastAsia="zh-CN"/>
        </w:rPr>
        <w:t>[2017]58号</w:t>
      </w:r>
      <w:r>
        <w:rPr>
          <w:rFonts w:hint="eastAsia"/>
          <w:color w:val="auto"/>
          <w:sz w:val="24"/>
          <w:highlight w:val="none"/>
          <w:lang w:eastAsia="zh-CN"/>
        </w:rPr>
        <w:t>）；同年</w:t>
      </w:r>
      <w:r>
        <w:rPr>
          <w:rFonts w:hint="eastAsia"/>
          <w:color w:val="auto"/>
          <w:sz w:val="24"/>
          <w:highlight w:val="none"/>
          <w:lang w:val="en-US" w:eastAsia="zh-CN"/>
        </w:rPr>
        <w:t>10</w:t>
      </w:r>
      <w:r>
        <w:rPr>
          <w:color w:val="auto"/>
          <w:sz w:val="24"/>
          <w:highlight w:val="none"/>
        </w:rPr>
        <w:t>月编制完成《</w:t>
      </w:r>
      <w:r>
        <w:rPr>
          <w:rFonts w:hint="eastAsia"/>
          <w:color w:val="auto"/>
          <w:sz w:val="24"/>
          <w:highlight w:val="none"/>
          <w:lang w:val="en-US" w:eastAsia="zh-CN"/>
        </w:rPr>
        <w:t>北票市辰泰生物科技有限公司</w:t>
      </w:r>
      <w:r>
        <w:rPr>
          <w:rFonts w:hint="eastAsia"/>
          <w:color w:val="auto"/>
          <w:sz w:val="24"/>
          <w:highlight w:val="none"/>
          <w:lang w:eastAsia="zh-CN"/>
        </w:rPr>
        <w:t>畜禽粪便年产百万吨生物有机肥项目</w:t>
      </w:r>
      <w:r>
        <w:rPr>
          <w:color w:val="auto"/>
          <w:sz w:val="24"/>
          <w:highlight w:val="none"/>
        </w:rPr>
        <w:t>》</w:t>
      </w:r>
      <w:r>
        <w:rPr>
          <w:rFonts w:hint="eastAsia"/>
          <w:color w:val="auto"/>
          <w:sz w:val="24"/>
          <w:highlight w:val="none"/>
          <w:lang w:eastAsia="zh-CN"/>
        </w:rPr>
        <w:t>，</w:t>
      </w:r>
      <w:r>
        <w:rPr>
          <w:rFonts w:hint="eastAsia"/>
          <w:color w:val="auto"/>
          <w:sz w:val="24"/>
          <w:highlight w:val="none"/>
          <w:lang w:val="en-US" w:eastAsia="zh-CN"/>
        </w:rPr>
        <w:t>2017年12月22日取得了该项目环评批复</w:t>
      </w:r>
      <w:r>
        <w:rPr>
          <w:color w:val="auto"/>
          <w:sz w:val="24"/>
          <w:highlight w:val="none"/>
        </w:rPr>
        <w:t>（</w:t>
      </w:r>
      <w:r>
        <w:rPr>
          <w:rFonts w:hint="eastAsia"/>
          <w:color w:val="auto"/>
          <w:sz w:val="24"/>
          <w:highlight w:val="none"/>
          <w:lang w:eastAsia="zh-CN"/>
        </w:rPr>
        <w:t>北行审发</w:t>
      </w:r>
      <w:r>
        <w:rPr>
          <w:rFonts w:hint="eastAsia"/>
          <w:color w:val="auto"/>
          <w:sz w:val="24"/>
          <w:highlight w:val="none"/>
          <w:lang w:val="en-US" w:eastAsia="zh-CN"/>
        </w:rPr>
        <w:t>[2017]127号</w:t>
      </w:r>
      <w:r>
        <w:rPr>
          <w:color w:val="auto"/>
          <w:sz w:val="24"/>
          <w:highlight w:val="none"/>
        </w:rPr>
        <w:t>）</w:t>
      </w:r>
      <w:r>
        <w:rPr>
          <w:rFonts w:hint="eastAsia"/>
          <w:color w:val="auto"/>
          <w:sz w:val="24"/>
          <w:highlight w:val="none"/>
        </w:rPr>
        <w:t>；20</w:t>
      </w:r>
      <w:r>
        <w:rPr>
          <w:rFonts w:hint="eastAsia"/>
          <w:color w:val="auto"/>
          <w:sz w:val="24"/>
          <w:highlight w:val="none"/>
          <w:lang w:val="en-US" w:eastAsia="zh-CN"/>
        </w:rPr>
        <w:t>20</w:t>
      </w:r>
      <w:r>
        <w:rPr>
          <w:rFonts w:hint="eastAsia"/>
          <w:color w:val="auto"/>
          <w:sz w:val="24"/>
          <w:highlight w:val="none"/>
        </w:rPr>
        <w:t>年</w:t>
      </w:r>
      <w:r>
        <w:rPr>
          <w:rFonts w:hint="eastAsia"/>
          <w:color w:val="auto"/>
          <w:sz w:val="24"/>
          <w:highlight w:val="none"/>
          <w:lang w:val="en-US" w:eastAsia="zh-CN"/>
        </w:rPr>
        <w:t>1</w:t>
      </w:r>
      <w:r>
        <w:rPr>
          <w:rFonts w:hint="eastAsia"/>
          <w:color w:val="auto"/>
          <w:sz w:val="24"/>
          <w:highlight w:val="none"/>
        </w:rPr>
        <w:t>月项目开工建设；20</w:t>
      </w:r>
      <w:r>
        <w:rPr>
          <w:rFonts w:hint="eastAsia"/>
          <w:color w:val="auto"/>
          <w:sz w:val="24"/>
          <w:highlight w:val="none"/>
          <w:lang w:val="en-US" w:eastAsia="zh-CN"/>
        </w:rPr>
        <w:t>23</w:t>
      </w:r>
      <w:r>
        <w:rPr>
          <w:rFonts w:hint="eastAsia"/>
          <w:color w:val="auto"/>
          <w:sz w:val="24"/>
          <w:highlight w:val="none"/>
        </w:rPr>
        <w:t>年</w:t>
      </w:r>
      <w:r>
        <w:rPr>
          <w:rFonts w:hint="eastAsia"/>
          <w:color w:val="auto"/>
          <w:sz w:val="24"/>
          <w:highlight w:val="none"/>
          <w:lang w:val="en-US" w:eastAsia="zh-CN"/>
        </w:rPr>
        <w:t>2</w:t>
      </w:r>
      <w:r>
        <w:rPr>
          <w:rFonts w:hint="eastAsia"/>
          <w:color w:val="auto"/>
          <w:sz w:val="24"/>
          <w:highlight w:val="none"/>
        </w:rPr>
        <w:t>月项目开始</w:t>
      </w:r>
      <w:r>
        <w:rPr>
          <w:rFonts w:hint="eastAsia"/>
          <w:color w:val="auto"/>
          <w:sz w:val="24"/>
          <w:highlight w:val="none"/>
          <w:lang w:eastAsia="zh-CN"/>
        </w:rPr>
        <w:t>投入</w:t>
      </w:r>
      <w:r>
        <w:rPr>
          <w:rFonts w:hint="eastAsia"/>
          <w:color w:val="auto"/>
          <w:sz w:val="24"/>
          <w:highlight w:val="none"/>
        </w:rPr>
        <w:t>运行。</w:t>
      </w:r>
    </w:p>
    <w:p w14:paraId="0983423F">
      <w:pPr>
        <w:spacing w:line="360" w:lineRule="auto"/>
        <w:ind w:firstLine="480" w:firstLineChars="200"/>
        <w:jc w:val="left"/>
        <w:rPr>
          <w:rFonts w:hAnsi="宋体"/>
          <w:color w:val="auto"/>
          <w:sz w:val="24"/>
          <w:highlight w:val="none"/>
        </w:rPr>
      </w:pPr>
      <w:r>
        <w:rPr>
          <w:rFonts w:hint="eastAsia" w:hAnsi="宋体"/>
          <w:color w:val="auto"/>
          <w:sz w:val="24"/>
          <w:highlight w:val="none"/>
        </w:rPr>
        <w:t>根据</w:t>
      </w:r>
      <w:r>
        <w:rPr>
          <w:rFonts w:hint="eastAsia"/>
          <w:color w:val="auto"/>
          <w:sz w:val="24"/>
          <w:highlight w:val="none"/>
          <w:lang w:eastAsia="zh-CN"/>
        </w:rPr>
        <w:t>辰泰（辽宁）生物科技有限公司</w:t>
      </w:r>
      <w:r>
        <w:rPr>
          <w:rFonts w:hint="eastAsia"/>
          <w:color w:val="auto"/>
          <w:sz w:val="24"/>
          <w:highlight w:val="none"/>
        </w:rPr>
        <w:t>提供资料可知，</w:t>
      </w:r>
      <w:r>
        <w:rPr>
          <w:rFonts w:hint="eastAsia" w:hAnsi="宋体"/>
          <w:color w:val="auto"/>
          <w:sz w:val="24"/>
          <w:highlight w:val="none"/>
        </w:rPr>
        <w:t>该项目实际投资</w:t>
      </w:r>
      <w:r>
        <w:rPr>
          <w:rFonts w:hint="eastAsia" w:hAnsi="宋体"/>
          <w:color w:val="auto"/>
          <w:sz w:val="24"/>
          <w:highlight w:val="none"/>
          <w:lang w:val="en-US" w:eastAsia="zh-CN"/>
        </w:rPr>
        <w:t>4300</w:t>
      </w:r>
      <w:r>
        <w:rPr>
          <w:rFonts w:hint="eastAsia" w:hAnsi="宋体"/>
          <w:color w:val="auto"/>
          <w:sz w:val="24"/>
          <w:highlight w:val="none"/>
        </w:rPr>
        <w:t>万元，环保投资</w:t>
      </w:r>
      <w:r>
        <w:rPr>
          <w:rFonts w:hint="eastAsia" w:hAnsi="宋体"/>
          <w:color w:val="auto"/>
          <w:sz w:val="24"/>
          <w:highlight w:val="none"/>
          <w:lang w:val="en-US" w:eastAsia="zh-CN"/>
        </w:rPr>
        <w:t>111.31</w:t>
      </w:r>
      <w:r>
        <w:rPr>
          <w:rFonts w:hint="eastAsia" w:hAnsi="宋体"/>
          <w:color w:val="auto"/>
          <w:sz w:val="24"/>
          <w:highlight w:val="none"/>
        </w:rPr>
        <w:t>万元，建设地点位于</w:t>
      </w:r>
      <w:r>
        <w:rPr>
          <w:rFonts w:hint="eastAsia" w:hAnsi="宋体"/>
          <w:color w:val="auto"/>
          <w:sz w:val="24"/>
          <w:highlight w:val="none"/>
          <w:lang w:eastAsia="zh-CN"/>
        </w:rPr>
        <w:t>北票市三宝管理区</w:t>
      </w:r>
      <w:r>
        <w:rPr>
          <w:rFonts w:hint="eastAsia" w:hAnsi="宋体"/>
          <w:color w:val="auto"/>
          <w:sz w:val="24"/>
          <w:highlight w:val="none"/>
          <w:lang w:val="en-US" w:eastAsia="zh-CN"/>
        </w:rPr>
        <w:t>2-1号</w:t>
      </w:r>
      <w:r>
        <w:rPr>
          <w:rFonts w:hint="eastAsia" w:hAnsi="宋体"/>
          <w:color w:val="auto"/>
          <w:sz w:val="24"/>
          <w:highlight w:val="none"/>
        </w:rPr>
        <w:t>，总用地面积</w:t>
      </w:r>
      <w:r>
        <w:rPr>
          <w:rFonts w:hint="eastAsia" w:hAnsi="宋体"/>
          <w:color w:val="auto"/>
          <w:sz w:val="24"/>
          <w:highlight w:val="none"/>
          <w:lang w:val="en-US" w:eastAsia="zh-CN"/>
        </w:rPr>
        <w:t>11431.37</w:t>
      </w:r>
      <w:r>
        <w:rPr>
          <w:rFonts w:hint="eastAsia" w:hAnsi="宋体"/>
          <w:color w:val="auto"/>
          <w:sz w:val="24"/>
          <w:highlight w:val="none"/>
        </w:rPr>
        <w:t>m</w:t>
      </w:r>
      <w:r>
        <w:rPr>
          <w:rFonts w:hint="eastAsia" w:hAnsi="宋体"/>
          <w:color w:val="auto"/>
          <w:sz w:val="24"/>
          <w:highlight w:val="none"/>
          <w:vertAlign w:val="superscript"/>
        </w:rPr>
        <w:t>2</w:t>
      </w:r>
      <w:r>
        <w:rPr>
          <w:rFonts w:hint="eastAsia" w:hAnsi="宋体"/>
          <w:color w:val="auto"/>
          <w:sz w:val="24"/>
          <w:highlight w:val="none"/>
        </w:rPr>
        <w:t>，总建筑面积</w:t>
      </w:r>
      <w:r>
        <w:rPr>
          <w:rFonts w:hint="eastAsia" w:hAnsi="宋体"/>
          <w:color w:val="auto"/>
          <w:sz w:val="24"/>
          <w:highlight w:val="none"/>
          <w:lang w:val="en-US" w:eastAsia="zh-CN"/>
        </w:rPr>
        <w:t>10000</w:t>
      </w:r>
      <w:r>
        <w:rPr>
          <w:rFonts w:hint="eastAsia" w:hAnsi="宋体"/>
          <w:color w:val="auto"/>
          <w:sz w:val="24"/>
          <w:highlight w:val="none"/>
        </w:rPr>
        <w:t>m</w:t>
      </w:r>
      <w:r>
        <w:rPr>
          <w:rFonts w:hint="eastAsia" w:hAnsi="宋体"/>
          <w:color w:val="auto"/>
          <w:sz w:val="24"/>
          <w:highlight w:val="none"/>
          <w:vertAlign w:val="superscript"/>
        </w:rPr>
        <w:t>2</w:t>
      </w:r>
      <w:r>
        <w:rPr>
          <w:rFonts w:hint="eastAsia" w:hAnsi="宋体"/>
          <w:color w:val="auto"/>
          <w:sz w:val="24"/>
          <w:highlight w:val="none"/>
        </w:rPr>
        <w:t>。</w:t>
      </w:r>
      <w:r>
        <w:rPr>
          <w:rFonts w:hint="eastAsia" w:hAnsi="宋体"/>
          <w:color w:val="auto"/>
          <w:sz w:val="24"/>
          <w:highlight w:val="none"/>
          <w:lang w:val="en-US" w:eastAsia="zh-CN"/>
        </w:rPr>
        <w:t>项目共建设2条生物有机肥生产线，</w:t>
      </w:r>
      <w:r>
        <w:rPr>
          <w:rFonts w:hint="eastAsia" w:hAnsi="宋体"/>
          <w:color w:val="auto"/>
          <w:sz w:val="24"/>
          <w:highlight w:val="none"/>
        </w:rPr>
        <w:t>该项目以畜禽粪便、秸秆为原料，建设</w:t>
      </w:r>
      <w:r>
        <w:rPr>
          <w:rFonts w:hint="eastAsia" w:hAnsi="宋体"/>
          <w:color w:val="auto"/>
          <w:sz w:val="24"/>
          <w:highlight w:val="none"/>
          <w:lang w:val="en-US" w:eastAsia="zh-CN"/>
        </w:rPr>
        <w:t>10</w:t>
      </w:r>
      <w:r>
        <w:rPr>
          <w:rFonts w:hint="eastAsia" w:hAnsi="宋体"/>
          <w:color w:val="auto"/>
          <w:sz w:val="24"/>
          <w:highlight w:val="none"/>
        </w:rPr>
        <w:t>万吨/年固体生物有机肥生产线，年处理粪污</w:t>
      </w:r>
      <w:r>
        <w:rPr>
          <w:rFonts w:hint="eastAsia" w:hAnsi="宋体"/>
          <w:color w:val="auto"/>
          <w:sz w:val="24"/>
          <w:highlight w:val="none"/>
          <w:lang w:val="en-US" w:eastAsia="zh-CN"/>
        </w:rPr>
        <w:t>12</w:t>
      </w:r>
      <w:r>
        <w:rPr>
          <w:rFonts w:hint="eastAsia" w:hAnsi="宋体"/>
          <w:color w:val="auto"/>
          <w:sz w:val="24"/>
          <w:highlight w:val="none"/>
        </w:rPr>
        <w:t>万吨，建成投产后</w:t>
      </w:r>
      <w:r>
        <w:rPr>
          <w:rFonts w:hint="eastAsia" w:hAnsi="宋体"/>
          <w:color w:val="auto"/>
          <w:sz w:val="24"/>
          <w:highlight w:val="none"/>
          <w:lang w:eastAsia="zh-CN"/>
        </w:rPr>
        <w:t>年产生物有机肥</w:t>
      </w:r>
      <w:r>
        <w:rPr>
          <w:rFonts w:hint="eastAsia" w:hAnsi="宋体"/>
          <w:color w:val="auto"/>
          <w:sz w:val="24"/>
          <w:highlight w:val="none"/>
          <w:lang w:val="en-US" w:eastAsia="zh-CN"/>
        </w:rPr>
        <w:t>10万吨</w:t>
      </w:r>
      <w:r>
        <w:rPr>
          <w:rFonts w:hint="eastAsia" w:hAnsi="宋体"/>
          <w:color w:val="auto"/>
          <w:sz w:val="24"/>
          <w:highlight w:val="none"/>
        </w:rPr>
        <w:t>。</w:t>
      </w:r>
    </w:p>
    <w:p w14:paraId="703B1B0F">
      <w:pPr>
        <w:autoSpaceDE w:val="0"/>
        <w:autoSpaceDN w:val="0"/>
        <w:spacing w:line="360" w:lineRule="auto"/>
        <w:ind w:firstLine="480" w:firstLineChars="200"/>
        <w:rPr>
          <w:rFonts w:hint="default" w:hAnsi="宋体" w:eastAsia="宋体"/>
          <w:color w:val="auto"/>
          <w:sz w:val="24"/>
          <w:highlight w:val="none"/>
          <w:lang w:val="en-US" w:eastAsia="zh-CN"/>
        </w:rPr>
      </w:pPr>
      <w:r>
        <w:rPr>
          <w:rFonts w:hint="eastAsia"/>
          <w:color w:val="auto"/>
          <w:sz w:val="24"/>
          <w:highlight w:val="none"/>
          <w:lang w:eastAsia="zh-CN"/>
        </w:rPr>
        <w:t>辰泰（辽宁）生物科技有限公司生产现状：根据现场调查，公司用于生产有机肥的原料大部分来自于周边养殖散户，目前粪污处理能力达到</w:t>
      </w:r>
      <w:r>
        <w:rPr>
          <w:rFonts w:hint="eastAsia"/>
          <w:color w:val="auto"/>
          <w:sz w:val="24"/>
          <w:highlight w:val="none"/>
          <w:lang w:val="en-US" w:eastAsia="zh-CN"/>
        </w:rPr>
        <w:t>4.8万t/a，现有生产能力可达到3万t/a，剩余粪污处理能力为7.2万t/a。</w:t>
      </w:r>
    </w:p>
    <w:p w14:paraId="283BB8A3">
      <w:pPr>
        <w:autoSpaceDE w:val="0"/>
        <w:autoSpaceDN w:val="0"/>
        <w:spacing w:line="360" w:lineRule="auto"/>
        <w:ind w:firstLine="480" w:firstLineChars="200"/>
        <w:rPr>
          <w:b/>
          <w:bCs/>
          <w:color w:val="auto"/>
          <w:sz w:val="24"/>
          <w:szCs w:val="22"/>
          <w:highlight w:val="none"/>
        </w:rPr>
      </w:pPr>
      <w:r>
        <w:rPr>
          <w:rFonts w:hint="eastAsia" w:hAnsi="宋体"/>
          <w:color w:val="auto"/>
          <w:sz w:val="24"/>
          <w:highlight w:val="none"/>
        </w:rPr>
        <w:t>本项目</w:t>
      </w:r>
      <w:r>
        <w:rPr>
          <w:rFonts w:hint="eastAsia" w:hAnsi="宋体"/>
          <w:color w:val="auto"/>
          <w:sz w:val="24"/>
          <w:highlight w:val="none"/>
          <w:lang w:eastAsia="zh-CN"/>
        </w:rPr>
        <w:t>粪污产生情况：</w:t>
      </w:r>
      <w:r>
        <w:rPr>
          <w:rFonts w:hint="eastAsia" w:hAnsi="宋体"/>
          <w:color w:val="auto"/>
          <w:sz w:val="24"/>
          <w:highlight w:val="none"/>
        </w:rPr>
        <w:t>鸡粪</w:t>
      </w:r>
      <w:r>
        <w:rPr>
          <w:rFonts w:hint="eastAsia" w:hAnsi="宋体"/>
          <w:color w:val="auto"/>
          <w:sz w:val="24"/>
          <w:highlight w:val="none"/>
          <w:lang w:eastAsia="zh-CN"/>
        </w:rPr>
        <w:t>、鸡羽毛</w:t>
      </w:r>
      <w:r>
        <w:rPr>
          <w:rFonts w:hint="eastAsia" w:hAnsi="宋体"/>
          <w:color w:val="auto"/>
          <w:sz w:val="24"/>
          <w:highlight w:val="none"/>
        </w:rPr>
        <w:t>、饲料残渣总产生量为47497.0935t/a，</w:t>
      </w:r>
      <w:r>
        <w:rPr>
          <w:rFonts w:hint="eastAsia" w:hAnsi="宋体"/>
          <w:color w:val="auto"/>
          <w:sz w:val="24"/>
          <w:highlight w:val="none"/>
          <w:lang w:eastAsia="zh-CN"/>
        </w:rPr>
        <w:t>鸡舍冲洗废水产生量为</w:t>
      </w:r>
      <w:r>
        <w:rPr>
          <w:rFonts w:hint="eastAsia" w:hAnsi="宋体"/>
          <w:color w:val="auto"/>
          <w:sz w:val="24"/>
          <w:highlight w:val="none"/>
          <w:lang w:val="en-US" w:eastAsia="zh-CN"/>
        </w:rPr>
        <w:t>5.98t/a，粪污总产生量为47503.0735t/a，</w:t>
      </w:r>
      <w:r>
        <w:rPr>
          <w:rFonts w:hint="eastAsia" w:hAnsi="宋体"/>
          <w:color w:val="auto"/>
          <w:sz w:val="24"/>
          <w:highlight w:val="none"/>
        </w:rPr>
        <w:t>全部提供给</w:t>
      </w:r>
      <w:r>
        <w:rPr>
          <w:rFonts w:hint="eastAsia"/>
          <w:color w:val="auto"/>
          <w:sz w:val="24"/>
          <w:highlight w:val="none"/>
          <w:lang w:eastAsia="zh-CN"/>
        </w:rPr>
        <w:t>辰泰（辽宁）生物科技有限公司</w:t>
      </w:r>
      <w:r>
        <w:rPr>
          <w:rFonts w:hint="eastAsia" w:hAnsi="宋体"/>
          <w:color w:val="auto"/>
          <w:sz w:val="24"/>
          <w:highlight w:val="none"/>
        </w:rPr>
        <w:t>，即可为该企业提供47497.0935t/a的粪污原料，该厂的粪便接受能力能够满足本项目需求，因此本项目鸡粪送至</w:t>
      </w:r>
      <w:r>
        <w:rPr>
          <w:rFonts w:hint="eastAsia"/>
          <w:color w:val="auto"/>
          <w:sz w:val="24"/>
          <w:highlight w:val="none"/>
          <w:lang w:eastAsia="zh-CN"/>
        </w:rPr>
        <w:t>辰泰（辽宁）生物科技有限公司</w:t>
      </w:r>
      <w:r>
        <w:rPr>
          <w:rFonts w:hint="eastAsia" w:hAnsi="宋体"/>
          <w:color w:val="auto"/>
          <w:sz w:val="24"/>
          <w:highlight w:val="none"/>
        </w:rPr>
        <w:t>可行。</w:t>
      </w:r>
    </w:p>
    <w:p w14:paraId="58D2B667">
      <w:pPr>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4）粪污接受单位运行时段分析</w:t>
      </w:r>
    </w:p>
    <w:p w14:paraId="597B44BD">
      <w:pPr>
        <w:spacing w:line="360" w:lineRule="auto"/>
        <w:ind w:firstLine="480" w:firstLineChars="200"/>
        <w:rPr>
          <w:rFonts w:hint="default"/>
          <w:color w:val="auto"/>
          <w:sz w:val="24"/>
          <w:highlight w:val="green"/>
          <w:lang w:val="en-US" w:eastAsia="zh-CN"/>
        </w:rPr>
      </w:pPr>
      <w:r>
        <w:rPr>
          <w:rFonts w:hint="eastAsia"/>
          <w:color w:val="auto"/>
          <w:sz w:val="24"/>
          <w:highlight w:val="none"/>
          <w:lang w:val="en-US" w:eastAsia="zh-CN"/>
        </w:rPr>
        <w:t>本项目养殖废水委托辰泰（辽宁）生物科技有限公司进行处理，根据现场调查及参考其环保手续，辰泰（辽宁）生物科技有限公司工作时间为350d，每天16h生产，停产时间为15d；考虑在接收单位停产时间内，本项目临时储粪场的最大储存能力为6000m</w:t>
      </w:r>
      <w:r>
        <w:rPr>
          <w:rFonts w:hint="eastAsia"/>
          <w:color w:val="auto"/>
          <w:sz w:val="24"/>
          <w:highlight w:val="none"/>
          <w:vertAlign w:val="superscript"/>
          <w:lang w:val="en-US" w:eastAsia="zh-CN"/>
        </w:rPr>
        <w:t>3</w:t>
      </w:r>
      <w:r>
        <w:rPr>
          <w:rFonts w:hint="eastAsia"/>
          <w:color w:val="auto"/>
          <w:sz w:val="24"/>
          <w:highlight w:val="none"/>
          <w:lang w:val="en-US" w:eastAsia="zh-CN"/>
        </w:rPr>
        <w:t>，按照满负荷养殖考虑，</w:t>
      </w:r>
      <w:r>
        <w:rPr>
          <w:rFonts w:hint="eastAsia" w:hAnsi="宋体"/>
          <w:color w:val="auto"/>
          <w:sz w:val="24"/>
          <w:highlight w:val="none"/>
        </w:rPr>
        <w:t>粪便</w:t>
      </w:r>
      <w:r>
        <w:rPr>
          <w:rFonts w:hint="eastAsia" w:hAnsi="宋体"/>
          <w:color w:val="auto"/>
          <w:sz w:val="24"/>
          <w:highlight w:val="none"/>
          <w:lang w:eastAsia="zh-CN"/>
        </w:rPr>
        <w:t>最多产生量为</w:t>
      </w:r>
      <w:r>
        <w:rPr>
          <w:rFonts w:hint="eastAsia" w:hAnsi="宋体"/>
          <w:color w:val="auto"/>
          <w:sz w:val="24"/>
          <w:highlight w:val="none"/>
        </w:rPr>
        <w:t>117m</w:t>
      </w:r>
      <w:r>
        <w:rPr>
          <w:rFonts w:hint="eastAsia" w:hAnsi="宋体"/>
          <w:color w:val="auto"/>
          <w:sz w:val="24"/>
          <w:highlight w:val="none"/>
          <w:vertAlign w:val="superscript"/>
        </w:rPr>
        <w:t>3</w:t>
      </w:r>
      <w:r>
        <w:rPr>
          <w:rFonts w:hint="eastAsia" w:hAnsi="宋体"/>
          <w:color w:val="auto"/>
          <w:sz w:val="24"/>
          <w:highlight w:val="none"/>
        </w:rPr>
        <w:t>/d</w:t>
      </w:r>
      <w:r>
        <w:rPr>
          <w:rFonts w:hint="eastAsia" w:hAnsi="宋体"/>
          <w:color w:val="auto"/>
          <w:sz w:val="24"/>
          <w:highlight w:val="none"/>
          <w:lang w:eastAsia="zh-CN"/>
        </w:rPr>
        <w:t>，临时储粪场</w:t>
      </w:r>
      <w:r>
        <w:rPr>
          <w:rFonts w:hint="eastAsia"/>
          <w:color w:val="auto"/>
          <w:sz w:val="24"/>
          <w:highlight w:val="none"/>
          <w:lang w:val="en-US" w:eastAsia="zh-CN"/>
        </w:rPr>
        <w:t>最多能够储存51d的粪便量，因此，接收单位停产期间本项目的临时储粪场能够满足临时储存需求。</w:t>
      </w:r>
    </w:p>
    <w:p w14:paraId="512312E5">
      <w:pPr>
        <w:spacing w:line="360" w:lineRule="auto"/>
        <w:ind w:firstLine="482" w:firstLineChars="200"/>
        <w:jc w:val="left"/>
        <w:rPr>
          <w:b/>
          <w:bCs/>
          <w:color w:val="auto"/>
          <w:sz w:val="24"/>
        </w:rPr>
      </w:pPr>
      <w:r>
        <w:rPr>
          <w:rFonts w:hint="eastAsia"/>
          <w:b/>
          <w:bCs/>
          <w:color w:val="auto"/>
          <w:sz w:val="24"/>
          <w:szCs w:val="22"/>
          <w:lang w:eastAsia="zh-CN"/>
        </w:rPr>
        <w:t>（</w:t>
      </w:r>
      <w:r>
        <w:rPr>
          <w:rFonts w:hint="eastAsia"/>
          <w:b/>
          <w:bCs/>
          <w:color w:val="auto"/>
          <w:sz w:val="24"/>
          <w:szCs w:val="22"/>
          <w:lang w:val="en-US" w:eastAsia="zh-CN"/>
        </w:rPr>
        <w:t>2</w:t>
      </w:r>
      <w:r>
        <w:rPr>
          <w:rFonts w:hint="eastAsia"/>
          <w:b/>
          <w:bCs/>
          <w:color w:val="auto"/>
          <w:sz w:val="24"/>
          <w:szCs w:val="22"/>
          <w:lang w:eastAsia="zh-CN"/>
        </w:rPr>
        <w:t>）</w:t>
      </w:r>
      <w:r>
        <w:rPr>
          <w:b/>
          <w:bCs/>
          <w:color w:val="auto"/>
          <w:sz w:val="24"/>
        </w:rPr>
        <w:t>病死鸡</w:t>
      </w:r>
    </w:p>
    <w:p w14:paraId="190DDECD">
      <w:pPr>
        <w:spacing w:line="360" w:lineRule="auto"/>
        <w:ind w:firstLine="480" w:firstLineChars="200"/>
        <w:rPr>
          <w:color w:val="auto"/>
          <w:sz w:val="24"/>
        </w:rPr>
      </w:pPr>
      <w:r>
        <w:rPr>
          <w:rFonts w:hint="eastAsia"/>
          <w:color w:val="auto"/>
          <w:sz w:val="24"/>
        </w:rPr>
        <w:t>畜禽养殖场通过采取科学化管理与养殖方法，鸡苗的死亡率较低。根据《规模化畜禽养殖场环境影响评价与实例研究》（农业环境科学学报，2007(26）：313-318)文献中，病死鸡控制在0.2％左右，则年病死鸡为2000只，根据《畜禽养殖业产污系数与排污系数手册》中东北区饲养蛋鸡参考体重为1.5kg只计算，约为3.0t。</w:t>
      </w:r>
    </w:p>
    <w:p w14:paraId="7CDE6325">
      <w:pPr>
        <w:spacing w:line="360" w:lineRule="auto"/>
        <w:ind w:firstLine="480" w:firstLineChars="200"/>
        <w:rPr>
          <w:color w:val="auto"/>
          <w:sz w:val="24"/>
        </w:rPr>
      </w:pPr>
      <w:r>
        <w:rPr>
          <w:rFonts w:hint="eastAsia"/>
          <w:color w:val="auto"/>
          <w:sz w:val="24"/>
        </w:rPr>
        <w:t>本项目</w:t>
      </w:r>
      <w:r>
        <w:rPr>
          <w:rFonts w:hint="eastAsia"/>
          <w:color w:val="auto"/>
          <w:sz w:val="24"/>
          <w:lang w:eastAsia="zh-CN"/>
        </w:rPr>
        <w:t>设置</w:t>
      </w:r>
      <w:r>
        <w:rPr>
          <w:rFonts w:hint="eastAsia"/>
          <w:color w:val="auto"/>
          <w:sz w:val="24"/>
          <w:lang w:val="en-US" w:eastAsia="zh-CN"/>
        </w:rPr>
        <w:t>1台850L的冷柜，用于暂存</w:t>
      </w:r>
      <w:r>
        <w:rPr>
          <w:rFonts w:hint="eastAsia"/>
          <w:color w:val="auto"/>
          <w:sz w:val="24"/>
        </w:rPr>
        <w:t>病死鸡尸体</w:t>
      </w:r>
      <w:r>
        <w:rPr>
          <w:rFonts w:hint="eastAsia"/>
          <w:color w:val="auto"/>
          <w:sz w:val="24"/>
          <w:lang w:eastAsia="zh-CN"/>
        </w:rPr>
        <w:t>，委托北票市汇宏动物无害化处理有限公司收集处理</w:t>
      </w:r>
      <w:r>
        <w:rPr>
          <w:rFonts w:hint="eastAsia"/>
          <w:color w:val="auto"/>
          <w:sz w:val="24"/>
        </w:rPr>
        <w:t>。</w:t>
      </w:r>
    </w:p>
    <w:p w14:paraId="44A970FF">
      <w:pPr>
        <w:spacing w:line="360" w:lineRule="auto"/>
        <w:ind w:firstLine="482" w:firstLineChars="200"/>
        <w:rPr>
          <w:color w:val="auto"/>
          <w:sz w:val="24"/>
        </w:rPr>
      </w:pPr>
      <w:r>
        <w:rPr>
          <w:rFonts w:hint="eastAsia"/>
          <w:b/>
          <w:bCs/>
          <w:color w:val="auto"/>
          <w:sz w:val="24"/>
          <w:lang w:eastAsia="zh-CN"/>
        </w:rPr>
        <w:t>（</w:t>
      </w:r>
      <w:r>
        <w:rPr>
          <w:rFonts w:hint="eastAsia"/>
          <w:b/>
          <w:bCs/>
          <w:color w:val="auto"/>
          <w:sz w:val="24"/>
          <w:lang w:val="en-US" w:eastAsia="zh-CN"/>
        </w:rPr>
        <w:t>3</w:t>
      </w:r>
      <w:r>
        <w:rPr>
          <w:rFonts w:hint="eastAsia"/>
          <w:b/>
          <w:bCs/>
          <w:color w:val="auto"/>
          <w:sz w:val="24"/>
          <w:lang w:eastAsia="zh-CN"/>
        </w:rPr>
        <w:t>）</w:t>
      </w:r>
      <w:r>
        <w:rPr>
          <w:b/>
          <w:bCs/>
          <w:color w:val="auto"/>
          <w:sz w:val="24"/>
        </w:rPr>
        <w:t>废离子交换树脂</w:t>
      </w:r>
    </w:p>
    <w:p w14:paraId="6AB2A1E8">
      <w:pPr>
        <w:spacing w:line="360" w:lineRule="auto"/>
        <w:ind w:firstLine="480" w:firstLineChars="200"/>
        <w:rPr>
          <w:color w:val="auto"/>
          <w:sz w:val="24"/>
        </w:rPr>
      </w:pPr>
      <w:r>
        <w:rPr>
          <w:color w:val="auto"/>
          <w:sz w:val="24"/>
        </w:rPr>
        <w:t>废离子交换树脂产生总量为</w:t>
      </w:r>
      <w:r>
        <w:rPr>
          <w:rFonts w:hint="eastAsia"/>
          <w:color w:val="auto"/>
          <w:sz w:val="24"/>
        </w:rPr>
        <w:t>0.</w:t>
      </w:r>
      <w:r>
        <w:rPr>
          <w:rFonts w:hint="eastAsia"/>
          <w:color w:val="auto"/>
          <w:sz w:val="24"/>
          <w:lang w:val="en-US" w:eastAsia="zh-CN"/>
        </w:rPr>
        <w:t>05</w:t>
      </w:r>
      <w:r>
        <w:rPr>
          <w:color w:val="auto"/>
          <w:sz w:val="24"/>
        </w:rPr>
        <w:t>t/5a</w:t>
      </w:r>
      <w:r>
        <w:rPr>
          <w:rFonts w:hint="eastAsia"/>
          <w:color w:val="auto"/>
          <w:sz w:val="24"/>
        </w:rPr>
        <w:t>，由厂家进行更换处理。</w:t>
      </w:r>
    </w:p>
    <w:p w14:paraId="19A5B774">
      <w:pPr>
        <w:spacing w:line="360" w:lineRule="auto"/>
        <w:ind w:firstLine="482" w:firstLineChars="200"/>
        <w:rPr>
          <w:rFonts w:hint="eastAsia"/>
          <w:b/>
          <w:bCs/>
          <w:color w:val="auto"/>
          <w:sz w:val="24"/>
          <w:lang w:eastAsia="zh-CN"/>
        </w:rPr>
      </w:pPr>
      <w:r>
        <w:rPr>
          <w:rFonts w:hint="eastAsia"/>
          <w:b/>
          <w:bCs/>
          <w:color w:val="auto"/>
          <w:sz w:val="24"/>
          <w:lang w:eastAsia="zh-CN"/>
        </w:rPr>
        <w:t>（</w:t>
      </w:r>
      <w:r>
        <w:rPr>
          <w:rFonts w:hint="eastAsia"/>
          <w:b/>
          <w:bCs/>
          <w:color w:val="auto"/>
          <w:sz w:val="24"/>
          <w:lang w:val="en-US" w:eastAsia="zh-CN"/>
        </w:rPr>
        <w:t>4</w:t>
      </w:r>
      <w:r>
        <w:rPr>
          <w:rFonts w:hint="eastAsia"/>
          <w:b/>
          <w:bCs/>
          <w:color w:val="auto"/>
          <w:sz w:val="24"/>
          <w:lang w:eastAsia="zh-CN"/>
        </w:rPr>
        <w:t>）锅炉灰渣和除尘灰</w:t>
      </w:r>
    </w:p>
    <w:p w14:paraId="226B6DE8">
      <w:pPr>
        <w:spacing w:line="360" w:lineRule="auto"/>
        <w:ind w:firstLine="480" w:firstLineChars="200"/>
        <w:rPr>
          <w:rFonts w:hint="default"/>
          <w:b w:val="0"/>
          <w:bCs w:val="0"/>
          <w:color w:val="auto"/>
          <w:sz w:val="24"/>
          <w:lang w:val="en-US" w:eastAsia="zh-CN"/>
        </w:rPr>
      </w:pPr>
      <w:r>
        <w:rPr>
          <w:rFonts w:hint="eastAsia"/>
          <w:b w:val="0"/>
          <w:bCs w:val="0"/>
          <w:color w:val="auto"/>
          <w:sz w:val="24"/>
          <w:highlight w:val="none"/>
          <w:lang w:eastAsia="zh-CN"/>
        </w:rPr>
        <w:t>锅炉灰渣产生量为</w:t>
      </w:r>
      <w:r>
        <w:rPr>
          <w:rFonts w:hint="eastAsia"/>
          <w:b w:val="0"/>
          <w:bCs w:val="0"/>
          <w:color w:val="auto"/>
          <w:sz w:val="24"/>
          <w:highlight w:val="none"/>
          <w:lang w:val="en-US" w:eastAsia="zh-CN"/>
        </w:rPr>
        <w:t>126t/a，除尘灰产生量为0.465t/a，</w:t>
      </w:r>
      <w:r>
        <w:rPr>
          <w:rFonts w:hint="eastAsia"/>
          <w:b w:val="0"/>
          <w:bCs w:val="0"/>
          <w:color w:val="auto"/>
          <w:sz w:val="24"/>
          <w:lang w:val="en-US" w:eastAsia="zh-CN"/>
        </w:rPr>
        <w:t>密封袋暂存于渣库，</w:t>
      </w:r>
      <w:r>
        <w:rPr>
          <w:rFonts w:hint="eastAsia"/>
          <w:color w:val="auto"/>
          <w:sz w:val="24"/>
          <w:lang w:eastAsia="zh-CN"/>
        </w:rPr>
        <w:t>作为有机肥原料</w:t>
      </w:r>
      <w:r>
        <w:rPr>
          <w:color w:val="auto"/>
          <w:sz w:val="24"/>
        </w:rPr>
        <w:t>外</w:t>
      </w:r>
      <w:r>
        <w:rPr>
          <w:rFonts w:hint="eastAsia"/>
          <w:color w:val="auto"/>
          <w:sz w:val="24"/>
        </w:rPr>
        <w:t>售</w:t>
      </w:r>
      <w:r>
        <w:rPr>
          <w:rFonts w:hint="eastAsia"/>
          <w:color w:val="auto"/>
          <w:sz w:val="24"/>
          <w:lang w:eastAsia="zh-CN"/>
        </w:rPr>
        <w:t>至辰泰（辽宁）生物科技有限公司做有机肥</w:t>
      </w:r>
      <w:r>
        <w:rPr>
          <w:rFonts w:hint="eastAsia"/>
          <w:b w:val="0"/>
          <w:bCs w:val="0"/>
          <w:color w:val="auto"/>
          <w:sz w:val="24"/>
          <w:lang w:val="en-US" w:eastAsia="zh-CN"/>
        </w:rPr>
        <w:t>。</w:t>
      </w:r>
    </w:p>
    <w:p w14:paraId="2744A334">
      <w:pPr>
        <w:spacing w:line="360" w:lineRule="auto"/>
        <w:ind w:firstLine="482" w:firstLineChars="200"/>
        <w:rPr>
          <w:b/>
          <w:bCs/>
          <w:color w:val="auto"/>
          <w:sz w:val="24"/>
        </w:rPr>
      </w:pPr>
      <w:r>
        <w:rPr>
          <w:rFonts w:hint="eastAsia"/>
          <w:b/>
          <w:bCs/>
          <w:color w:val="auto"/>
          <w:sz w:val="24"/>
          <w:lang w:eastAsia="zh-CN"/>
        </w:rPr>
        <w:t>（</w:t>
      </w:r>
      <w:r>
        <w:rPr>
          <w:rFonts w:hint="eastAsia"/>
          <w:b/>
          <w:bCs/>
          <w:color w:val="auto"/>
          <w:sz w:val="24"/>
          <w:lang w:val="en-US" w:eastAsia="zh-CN"/>
        </w:rPr>
        <w:t>5</w:t>
      </w:r>
      <w:r>
        <w:rPr>
          <w:rFonts w:hint="eastAsia"/>
          <w:b/>
          <w:bCs/>
          <w:color w:val="auto"/>
          <w:sz w:val="24"/>
          <w:lang w:eastAsia="zh-CN"/>
        </w:rPr>
        <w:t>）</w:t>
      </w:r>
      <w:r>
        <w:rPr>
          <w:b/>
          <w:bCs/>
          <w:color w:val="auto"/>
          <w:sz w:val="24"/>
        </w:rPr>
        <w:t>医疗废物</w:t>
      </w:r>
    </w:p>
    <w:p w14:paraId="2F3A571C">
      <w:pPr>
        <w:adjustRightInd w:val="0"/>
        <w:snapToGrid w:val="0"/>
        <w:spacing w:line="360" w:lineRule="auto"/>
        <w:ind w:firstLine="480" w:firstLineChars="200"/>
        <w:rPr>
          <w:color w:val="auto"/>
          <w:sz w:val="24"/>
        </w:rPr>
      </w:pPr>
      <w:r>
        <w:rPr>
          <w:color w:val="auto"/>
          <w:sz w:val="24"/>
        </w:rPr>
        <w:t>项目所产生的医疗废物主要有防疫、治疗产生的各种疫（菌）苗空瓶和抗生药物的瓶（袋）、动物药物废弃瓶（袋）及废弃针头等。医疗废物产生量为0.04t/a，所产生的医疗废物</w:t>
      </w:r>
      <w:r>
        <w:rPr>
          <w:rFonts w:hint="eastAsia"/>
          <w:color w:val="auto"/>
          <w:sz w:val="24"/>
          <w:lang w:val="en-US" w:eastAsia="zh-CN"/>
        </w:rPr>
        <w:t>在厂区内医疗废物暂存间</w:t>
      </w:r>
      <w:r>
        <w:rPr>
          <w:rFonts w:hint="eastAsia"/>
          <w:color w:val="auto"/>
          <w:sz w:val="24"/>
        </w:rPr>
        <w:t>暂存</w:t>
      </w:r>
      <w:r>
        <w:rPr>
          <w:rFonts w:hint="eastAsia"/>
          <w:color w:val="auto"/>
          <w:sz w:val="24"/>
          <w:szCs w:val="24"/>
          <w:lang w:eastAsia="zh-CN"/>
        </w:rPr>
        <w:t>，委托有资质单位定期收集处理。</w:t>
      </w:r>
    </w:p>
    <w:p w14:paraId="2A17ADA5">
      <w:pPr>
        <w:tabs>
          <w:tab w:val="left" w:pos="3914"/>
        </w:tabs>
        <w:spacing w:line="360" w:lineRule="auto"/>
        <w:ind w:firstLine="482" w:firstLineChars="200"/>
        <w:rPr>
          <w:b/>
          <w:bCs/>
          <w:color w:val="auto"/>
        </w:rPr>
      </w:pPr>
      <w:r>
        <w:rPr>
          <w:rFonts w:hint="eastAsia"/>
          <w:b/>
          <w:bCs/>
          <w:color w:val="auto"/>
          <w:sz w:val="24"/>
          <w:lang w:eastAsia="zh-CN"/>
        </w:rPr>
        <w:t>（</w:t>
      </w:r>
      <w:r>
        <w:rPr>
          <w:rFonts w:hint="eastAsia"/>
          <w:b/>
          <w:bCs/>
          <w:color w:val="auto"/>
          <w:sz w:val="24"/>
          <w:lang w:val="en-US" w:eastAsia="zh-CN"/>
        </w:rPr>
        <w:t>6</w:t>
      </w:r>
      <w:r>
        <w:rPr>
          <w:rFonts w:hint="eastAsia"/>
          <w:b/>
          <w:bCs/>
          <w:color w:val="auto"/>
          <w:sz w:val="24"/>
          <w:lang w:eastAsia="zh-CN"/>
        </w:rPr>
        <w:t>）</w:t>
      </w:r>
      <w:r>
        <w:rPr>
          <w:b/>
          <w:bCs/>
          <w:color w:val="auto"/>
          <w:sz w:val="24"/>
        </w:rPr>
        <w:t>生活垃圾（含餐厨垃圾）</w:t>
      </w:r>
    </w:p>
    <w:p w14:paraId="054A4EAD">
      <w:pPr>
        <w:adjustRightInd w:val="0"/>
        <w:spacing w:line="360" w:lineRule="auto"/>
        <w:ind w:firstLine="480" w:firstLineChars="200"/>
        <w:rPr>
          <w:snapToGrid w:val="0"/>
          <w:color w:val="auto"/>
          <w:kern w:val="0"/>
          <w:sz w:val="24"/>
          <w:szCs w:val="21"/>
        </w:rPr>
      </w:pPr>
      <w:r>
        <w:rPr>
          <w:color w:val="auto"/>
          <w:sz w:val="24"/>
        </w:rPr>
        <w:t>项目区设置垃圾统一垃圾箱，用于收集员工生活产生的垃圾，集中收集后</w:t>
      </w:r>
      <w:r>
        <w:rPr>
          <w:snapToGrid w:val="0"/>
          <w:color w:val="auto"/>
          <w:kern w:val="0"/>
          <w:sz w:val="24"/>
          <w:szCs w:val="21"/>
        </w:rPr>
        <w:t>统一清运至环卫部门指定的排放场所。</w:t>
      </w:r>
    </w:p>
    <w:p w14:paraId="7178C40D">
      <w:pPr>
        <w:adjustRightInd w:val="0"/>
        <w:snapToGrid w:val="0"/>
        <w:spacing w:line="360" w:lineRule="auto"/>
        <w:ind w:firstLine="480" w:firstLineChars="200"/>
        <w:rPr>
          <w:color w:val="auto"/>
          <w:sz w:val="24"/>
        </w:rPr>
      </w:pPr>
      <w:r>
        <w:rPr>
          <w:color w:val="auto"/>
          <w:sz w:val="24"/>
        </w:rPr>
        <w:t>综上所述，项目产生的固体废物均得到妥善处置，处置措施可行。</w:t>
      </w:r>
    </w:p>
    <w:p w14:paraId="63847A40">
      <w:pPr>
        <w:keepNext/>
        <w:keepLines/>
        <w:spacing w:line="360" w:lineRule="auto"/>
        <w:outlineLvl w:val="2"/>
        <w:rPr>
          <w:b/>
          <w:bCs/>
          <w:color w:val="auto"/>
          <w:sz w:val="28"/>
          <w:szCs w:val="32"/>
        </w:rPr>
      </w:pPr>
      <w:bookmarkStart w:id="397" w:name="_Toc8362"/>
      <w:r>
        <w:rPr>
          <w:b/>
          <w:bCs/>
          <w:color w:val="auto"/>
          <w:sz w:val="28"/>
          <w:szCs w:val="32"/>
        </w:rPr>
        <w:t>7.2.5地下水污染防治措施</w:t>
      </w:r>
      <w:bookmarkEnd w:id="397"/>
    </w:p>
    <w:p w14:paraId="517BF59C">
      <w:pPr>
        <w:tabs>
          <w:tab w:val="left" w:pos="3914"/>
        </w:tabs>
        <w:spacing w:line="360" w:lineRule="auto"/>
        <w:rPr>
          <w:rFonts w:hint="eastAsia"/>
          <w:b/>
          <w:bCs/>
          <w:color w:val="auto"/>
          <w:sz w:val="24"/>
          <w:lang w:eastAsia="zh-CN"/>
        </w:rPr>
      </w:pPr>
      <w:r>
        <w:rPr>
          <w:rFonts w:hint="eastAsia"/>
          <w:b/>
          <w:bCs/>
          <w:color w:val="auto"/>
          <w:sz w:val="24"/>
          <w:lang w:eastAsia="zh-CN"/>
        </w:rPr>
        <w:t>7.2.5.1防控措施</w:t>
      </w:r>
    </w:p>
    <w:p w14:paraId="012C1B66">
      <w:pPr>
        <w:snapToGrid w:val="0"/>
        <w:spacing w:line="360" w:lineRule="auto"/>
        <w:ind w:firstLine="480" w:firstLineChars="200"/>
        <w:rPr>
          <w:color w:val="auto"/>
          <w:sz w:val="24"/>
          <w:lang w:val="en-GB"/>
        </w:rPr>
      </w:pPr>
      <w:r>
        <w:rPr>
          <w:color w:val="auto"/>
          <w:sz w:val="24"/>
          <w:lang w:val="en-GB"/>
        </w:rPr>
        <w:t>根据建设项目场地天然包气带防污性能、污染控制难易程度和污染物特性，参照表</w:t>
      </w:r>
      <w:r>
        <w:rPr>
          <w:color w:val="auto"/>
          <w:sz w:val="24"/>
        </w:rPr>
        <w:t>7</w:t>
      </w:r>
      <w:r>
        <w:rPr>
          <w:rFonts w:hint="eastAsia"/>
          <w:color w:val="auto"/>
          <w:sz w:val="24"/>
          <w:lang w:val="en-US" w:eastAsia="zh-CN"/>
        </w:rPr>
        <w:t>.2</w:t>
      </w:r>
      <w:r>
        <w:rPr>
          <w:color w:val="auto"/>
          <w:sz w:val="24"/>
          <w:lang w:val="en-GB"/>
        </w:rPr>
        <w:t>-</w:t>
      </w:r>
      <w:r>
        <w:rPr>
          <w:rFonts w:hint="eastAsia"/>
          <w:color w:val="auto"/>
          <w:sz w:val="24"/>
          <w:lang w:val="en-US" w:eastAsia="zh-CN"/>
        </w:rPr>
        <w:t>5</w:t>
      </w:r>
      <w:r>
        <w:rPr>
          <w:color w:val="auto"/>
          <w:sz w:val="24"/>
          <w:lang w:val="en-GB"/>
        </w:rPr>
        <w:t>提出防渗技术要求。其中污染控制难易程度分级和天然包气带防污性能分级分别参照表</w:t>
      </w:r>
      <w:r>
        <w:rPr>
          <w:color w:val="auto"/>
          <w:sz w:val="24"/>
        </w:rPr>
        <w:t>7</w:t>
      </w:r>
      <w:r>
        <w:rPr>
          <w:rFonts w:hint="eastAsia"/>
          <w:color w:val="auto"/>
          <w:sz w:val="24"/>
          <w:lang w:val="en-US" w:eastAsia="zh-CN"/>
        </w:rPr>
        <w:t>.2-3</w:t>
      </w:r>
      <w:r>
        <w:rPr>
          <w:color w:val="auto"/>
          <w:sz w:val="24"/>
          <w:lang w:val="en-GB"/>
        </w:rPr>
        <w:t>和表</w:t>
      </w:r>
      <w:r>
        <w:rPr>
          <w:color w:val="auto"/>
          <w:sz w:val="24"/>
        </w:rPr>
        <w:t>7</w:t>
      </w:r>
      <w:r>
        <w:rPr>
          <w:rFonts w:hint="eastAsia"/>
          <w:color w:val="auto"/>
          <w:sz w:val="24"/>
          <w:lang w:val="en-US" w:eastAsia="zh-CN"/>
        </w:rPr>
        <w:t>.2-4</w:t>
      </w:r>
      <w:r>
        <w:rPr>
          <w:color w:val="auto"/>
          <w:sz w:val="24"/>
          <w:lang w:val="en-GB"/>
        </w:rPr>
        <w:t>进行相关等级的确定。</w:t>
      </w:r>
    </w:p>
    <w:p w14:paraId="2783A4EF">
      <w:pPr>
        <w:jc w:val="center"/>
        <w:rPr>
          <w:b/>
          <w:bCs/>
          <w:color w:val="auto"/>
          <w:spacing w:val="-12"/>
          <w:szCs w:val="21"/>
        </w:rPr>
      </w:pPr>
      <w:r>
        <w:rPr>
          <w:b/>
          <w:bCs/>
          <w:color w:val="auto"/>
          <w:spacing w:val="-12"/>
          <w:szCs w:val="21"/>
        </w:rPr>
        <w:t>表7</w:t>
      </w:r>
      <w:r>
        <w:rPr>
          <w:rFonts w:hint="eastAsia"/>
          <w:b/>
          <w:bCs/>
          <w:color w:val="auto"/>
          <w:spacing w:val="-12"/>
          <w:szCs w:val="21"/>
          <w:lang w:val="en-US" w:eastAsia="zh-CN"/>
        </w:rPr>
        <w:t xml:space="preserve">.2-3  </w:t>
      </w:r>
      <w:r>
        <w:rPr>
          <w:b/>
          <w:bCs/>
          <w:color w:val="auto"/>
          <w:spacing w:val="-12"/>
          <w:szCs w:val="21"/>
        </w:rPr>
        <w:t xml:space="preserve">  污染控制难易程度分级参照表</w:t>
      </w:r>
    </w:p>
    <w:tbl>
      <w:tblPr>
        <w:tblStyle w:val="53"/>
        <w:tblW w:w="4999" w:type="pct"/>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92"/>
        <w:gridCol w:w="3456"/>
        <w:gridCol w:w="3178"/>
      </w:tblGrid>
      <w:tr w14:paraId="4495DD8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10" w:type="pct"/>
            <w:vAlign w:val="center"/>
          </w:tcPr>
          <w:p w14:paraId="619260A9">
            <w:pPr>
              <w:adjustRightInd w:val="0"/>
              <w:snapToGrid w:val="0"/>
              <w:ind w:firstLine="125"/>
              <w:jc w:val="center"/>
              <w:rPr>
                <w:b/>
                <w:color w:val="auto"/>
                <w:szCs w:val="21"/>
              </w:rPr>
            </w:pPr>
            <w:r>
              <w:rPr>
                <w:b/>
                <w:color w:val="auto"/>
                <w:szCs w:val="21"/>
              </w:rPr>
              <w:t>污染控制难易程度</w:t>
            </w:r>
          </w:p>
        </w:tc>
        <w:tc>
          <w:tcPr>
            <w:tcW w:w="2026" w:type="pct"/>
            <w:vAlign w:val="center"/>
          </w:tcPr>
          <w:p w14:paraId="331CB128">
            <w:pPr>
              <w:adjustRightInd w:val="0"/>
              <w:snapToGrid w:val="0"/>
              <w:ind w:firstLine="125"/>
              <w:jc w:val="center"/>
              <w:rPr>
                <w:b/>
                <w:color w:val="auto"/>
                <w:szCs w:val="21"/>
              </w:rPr>
            </w:pPr>
            <w:r>
              <w:rPr>
                <w:b/>
                <w:color w:val="auto"/>
                <w:szCs w:val="21"/>
              </w:rPr>
              <w:t>主要特征</w:t>
            </w:r>
          </w:p>
        </w:tc>
        <w:tc>
          <w:tcPr>
            <w:tcW w:w="1863" w:type="pct"/>
            <w:vAlign w:val="center"/>
          </w:tcPr>
          <w:p w14:paraId="1D23A9FE">
            <w:pPr>
              <w:adjustRightInd w:val="0"/>
              <w:snapToGrid w:val="0"/>
              <w:ind w:firstLine="125"/>
              <w:jc w:val="center"/>
              <w:rPr>
                <w:b/>
                <w:color w:val="auto"/>
                <w:szCs w:val="21"/>
              </w:rPr>
            </w:pPr>
            <w:r>
              <w:rPr>
                <w:b/>
                <w:color w:val="auto"/>
                <w:szCs w:val="21"/>
              </w:rPr>
              <w:t>本项目情况</w:t>
            </w:r>
          </w:p>
        </w:tc>
      </w:tr>
      <w:tr w14:paraId="28F1E49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10" w:type="pct"/>
            <w:vAlign w:val="center"/>
          </w:tcPr>
          <w:p w14:paraId="24CC9A22">
            <w:pPr>
              <w:adjustRightInd w:val="0"/>
              <w:snapToGrid w:val="0"/>
              <w:ind w:firstLine="125"/>
              <w:jc w:val="center"/>
              <w:rPr>
                <w:color w:val="auto"/>
                <w:szCs w:val="21"/>
              </w:rPr>
            </w:pPr>
            <w:r>
              <w:rPr>
                <w:color w:val="auto"/>
                <w:szCs w:val="21"/>
              </w:rPr>
              <w:t>难</w:t>
            </w:r>
          </w:p>
        </w:tc>
        <w:tc>
          <w:tcPr>
            <w:tcW w:w="2026" w:type="pct"/>
            <w:vAlign w:val="center"/>
          </w:tcPr>
          <w:p w14:paraId="22D62050">
            <w:pPr>
              <w:adjustRightInd w:val="0"/>
              <w:snapToGrid w:val="0"/>
              <w:ind w:firstLine="125"/>
              <w:jc w:val="center"/>
              <w:rPr>
                <w:color w:val="auto"/>
                <w:szCs w:val="21"/>
              </w:rPr>
            </w:pPr>
            <w:r>
              <w:rPr>
                <w:color w:val="auto"/>
                <w:szCs w:val="21"/>
              </w:rPr>
              <w:t>对地下水环境有污染的物料或污染物泄漏后，不能及时发现和处理</w:t>
            </w:r>
          </w:p>
        </w:tc>
        <w:tc>
          <w:tcPr>
            <w:tcW w:w="1863" w:type="pct"/>
            <w:vAlign w:val="center"/>
          </w:tcPr>
          <w:p w14:paraId="0BD6978D">
            <w:pPr>
              <w:adjustRightInd w:val="0"/>
              <w:snapToGrid w:val="0"/>
              <w:ind w:firstLine="125"/>
              <w:jc w:val="center"/>
              <w:rPr>
                <w:rFonts w:hint="default" w:eastAsia="宋体"/>
                <w:color w:val="auto"/>
                <w:szCs w:val="21"/>
                <w:lang w:val="en-US" w:eastAsia="zh-CN"/>
              </w:rPr>
            </w:pPr>
            <w:r>
              <w:rPr>
                <w:rFonts w:hint="eastAsia"/>
                <w:color w:val="auto"/>
                <w:szCs w:val="21"/>
                <w:lang w:eastAsia="zh-CN"/>
              </w:rPr>
              <w:t>废水收集池</w:t>
            </w:r>
            <w:r>
              <w:rPr>
                <w:rFonts w:hint="eastAsia"/>
                <w:color w:val="auto"/>
                <w:szCs w:val="21"/>
              </w:rPr>
              <w:t>污水收集</w:t>
            </w:r>
            <w:r>
              <w:rPr>
                <w:color w:val="auto"/>
                <w:szCs w:val="21"/>
              </w:rPr>
              <w:t>管道、鸡舍、</w:t>
            </w:r>
            <w:r>
              <w:rPr>
                <w:rFonts w:hint="eastAsia"/>
                <w:color w:val="auto"/>
                <w:szCs w:val="21"/>
                <w:lang w:eastAsia="zh-CN"/>
              </w:rPr>
              <w:t>临时储粪场</w:t>
            </w:r>
            <w:r>
              <w:rPr>
                <w:rFonts w:hint="eastAsia"/>
                <w:color w:val="auto"/>
                <w:szCs w:val="21"/>
              </w:rPr>
              <w:t>、</w:t>
            </w:r>
            <w:r>
              <w:rPr>
                <w:rFonts w:hint="eastAsia"/>
                <w:color w:val="auto"/>
                <w:szCs w:val="21"/>
                <w:lang w:eastAsia="zh-CN"/>
              </w:rPr>
              <w:t>旱厕、</w:t>
            </w:r>
            <w:r>
              <w:rPr>
                <w:rFonts w:hint="eastAsia"/>
                <w:color w:val="auto"/>
                <w:szCs w:val="21"/>
                <w:lang w:val="en-US" w:eastAsia="zh-CN"/>
              </w:rPr>
              <w:t>医疗废物暂存间，不易发现和处理</w:t>
            </w:r>
          </w:p>
        </w:tc>
      </w:tr>
      <w:tr w14:paraId="61F0DF9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10" w:type="pct"/>
            <w:vAlign w:val="center"/>
          </w:tcPr>
          <w:p w14:paraId="54F98343">
            <w:pPr>
              <w:adjustRightInd w:val="0"/>
              <w:snapToGrid w:val="0"/>
              <w:ind w:firstLine="125"/>
              <w:jc w:val="center"/>
              <w:rPr>
                <w:color w:val="auto"/>
                <w:szCs w:val="21"/>
              </w:rPr>
            </w:pPr>
            <w:r>
              <w:rPr>
                <w:color w:val="auto"/>
                <w:szCs w:val="21"/>
              </w:rPr>
              <w:t>易</w:t>
            </w:r>
          </w:p>
        </w:tc>
        <w:tc>
          <w:tcPr>
            <w:tcW w:w="2026" w:type="pct"/>
            <w:vAlign w:val="center"/>
          </w:tcPr>
          <w:p w14:paraId="2DA1FFD2">
            <w:pPr>
              <w:adjustRightInd w:val="0"/>
              <w:snapToGrid w:val="0"/>
              <w:ind w:firstLine="125"/>
              <w:jc w:val="center"/>
              <w:rPr>
                <w:color w:val="auto"/>
                <w:szCs w:val="21"/>
              </w:rPr>
            </w:pPr>
            <w:r>
              <w:rPr>
                <w:color w:val="auto"/>
                <w:szCs w:val="21"/>
              </w:rPr>
              <w:t>对地下水环境有污染的物料或污染物泄漏后，可及时发现和处理</w:t>
            </w:r>
          </w:p>
        </w:tc>
        <w:tc>
          <w:tcPr>
            <w:tcW w:w="1863" w:type="pct"/>
            <w:vAlign w:val="center"/>
          </w:tcPr>
          <w:p w14:paraId="126771FE">
            <w:pPr>
              <w:adjustRightInd w:val="0"/>
              <w:snapToGrid w:val="0"/>
              <w:ind w:firstLine="125"/>
              <w:jc w:val="center"/>
              <w:rPr>
                <w:rFonts w:hint="eastAsia" w:eastAsia="宋体"/>
                <w:color w:val="auto"/>
                <w:szCs w:val="21"/>
                <w:lang w:eastAsia="zh-CN"/>
              </w:rPr>
            </w:pPr>
            <w:r>
              <w:rPr>
                <w:rFonts w:hint="eastAsia"/>
                <w:color w:val="auto"/>
                <w:szCs w:val="21"/>
                <w:lang w:eastAsia="zh-CN"/>
              </w:rPr>
              <w:t>蛋库</w:t>
            </w:r>
            <w:r>
              <w:rPr>
                <w:rFonts w:hint="eastAsia"/>
                <w:color w:val="auto"/>
                <w:szCs w:val="21"/>
                <w:lang w:val="en-US" w:eastAsia="zh-CN"/>
              </w:rPr>
              <w:t>，较容易发现和处理</w:t>
            </w:r>
          </w:p>
        </w:tc>
      </w:tr>
    </w:tbl>
    <w:p w14:paraId="00801ACD">
      <w:pPr>
        <w:jc w:val="center"/>
        <w:rPr>
          <w:b/>
          <w:bCs/>
          <w:color w:val="auto"/>
          <w:spacing w:val="-12"/>
          <w:szCs w:val="21"/>
        </w:rPr>
      </w:pPr>
      <w:r>
        <w:rPr>
          <w:b/>
          <w:bCs/>
          <w:color w:val="auto"/>
          <w:spacing w:val="-12"/>
          <w:szCs w:val="21"/>
        </w:rPr>
        <w:t>表7</w:t>
      </w:r>
      <w:r>
        <w:rPr>
          <w:rFonts w:hint="eastAsia"/>
          <w:b/>
          <w:bCs/>
          <w:color w:val="auto"/>
          <w:spacing w:val="-12"/>
          <w:szCs w:val="21"/>
          <w:lang w:val="en-US" w:eastAsia="zh-CN"/>
        </w:rPr>
        <w:t xml:space="preserve">.2-4   </w:t>
      </w:r>
      <w:r>
        <w:rPr>
          <w:b/>
          <w:bCs/>
          <w:color w:val="auto"/>
          <w:spacing w:val="-12"/>
          <w:szCs w:val="21"/>
        </w:rPr>
        <w:t xml:space="preserve"> 天然包气带防污性能分级参照表</w:t>
      </w:r>
    </w:p>
    <w:tbl>
      <w:tblPr>
        <w:tblStyle w:val="53"/>
        <w:tblW w:w="4998" w:type="pct"/>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88"/>
        <w:gridCol w:w="3557"/>
        <w:gridCol w:w="3680"/>
      </w:tblGrid>
      <w:tr w14:paraId="5436EBF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5" w:type="pct"/>
            <w:vAlign w:val="center"/>
          </w:tcPr>
          <w:p w14:paraId="46BAAB13">
            <w:pPr>
              <w:adjustRightInd w:val="0"/>
              <w:snapToGrid w:val="0"/>
              <w:ind w:firstLine="125"/>
              <w:jc w:val="center"/>
              <w:rPr>
                <w:b/>
                <w:color w:val="auto"/>
                <w:szCs w:val="21"/>
              </w:rPr>
            </w:pPr>
            <w:r>
              <w:rPr>
                <w:b/>
                <w:color w:val="auto"/>
                <w:szCs w:val="21"/>
              </w:rPr>
              <w:t>分级</w:t>
            </w:r>
          </w:p>
        </w:tc>
        <w:tc>
          <w:tcPr>
            <w:tcW w:w="2086" w:type="pct"/>
            <w:vAlign w:val="center"/>
          </w:tcPr>
          <w:p w14:paraId="2E506DE7">
            <w:pPr>
              <w:adjustRightInd w:val="0"/>
              <w:snapToGrid w:val="0"/>
              <w:ind w:firstLine="125"/>
              <w:jc w:val="center"/>
              <w:rPr>
                <w:b/>
                <w:color w:val="auto"/>
                <w:szCs w:val="21"/>
              </w:rPr>
            </w:pPr>
            <w:r>
              <w:rPr>
                <w:b/>
                <w:color w:val="auto"/>
                <w:szCs w:val="21"/>
              </w:rPr>
              <w:t>包气带岩土的渗透性能</w:t>
            </w:r>
          </w:p>
        </w:tc>
        <w:tc>
          <w:tcPr>
            <w:tcW w:w="2158" w:type="pct"/>
            <w:vAlign w:val="center"/>
          </w:tcPr>
          <w:p w14:paraId="0B6C778C">
            <w:pPr>
              <w:adjustRightInd w:val="0"/>
              <w:snapToGrid w:val="0"/>
              <w:ind w:firstLine="125"/>
              <w:jc w:val="center"/>
              <w:rPr>
                <w:b/>
                <w:color w:val="auto"/>
                <w:szCs w:val="21"/>
              </w:rPr>
            </w:pPr>
            <w:r>
              <w:rPr>
                <w:b/>
                <w:color w:val="auto"/>
                <w:szCs w:val="21"/>
              </w:rPr>
              <w:t>本项目情况</w:t>
            </w:r>
          </w:p>
        </w:tc>
      </w:tr>
      <w:tr w14:paraId="0724F27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5" w:type="pct"/>
            <w:vAlign w:val="center"/>
          </w:tcPr>
          <w:p w14:paraId="2551A720">
            <w:pPr>
              <w:adjustRightInd w:val="0"/>
              <w:snapToGrid w:val="0"/>
              <w:ind w:firstLine="125"/>
              <w:jc w:val="center"/>
              <w:rPr>
                <w:color w:val="auto"/>
                <w:szCs w:val="21"/>
              </w:rPr>
            </w:pPr>
            <w:r>
              <w:rPr>
                <w:color w:val="auto"/>
                <w:szCs w:val="21"/>
              </w:rPr>
              <w:t>强</w:t>
            </w:r>
          </w:p>
        </w:tc>
        <w:tc>
          <w:tcPr>
            <w:tcW w:w="2086" w:type="pct"/>
            <w:vAlign w:val="center"/>
          </w:tcPr>
          <w:p w14:paraId="1E6C1207">
            <w:pPr>
              <w:adjustRightInd w:val="0"/>
              <w:snapToGrid w:val="0"/>
              <w:ind w:firstLine="125"/>
              <w:jc w:val="center"/>
              <w:rPr>
                <w:color w:val="auto"/>
                <w:szCs w:val="21"/>
              </w:rPr>
            </w:pPr>
            <w:r>
              <w:rPr>
                <w:color w:val="auto"/>
                <w:szCs w:val="21"/>
              </w:rPr>
              <w:t>岩（土）层单层厚度 Mb≥1.0m，渗透系数 K≤1×10</w:t>
            </w:r>
            <w:r>
              <w:rPr>
                <w:color w:val="auto"/>
                <w:szCs w:val="21"/>
                <w:vertAlign w:val="superscript"/>
              </w:rPr>
              <w:t>-6</w:t>
            </w:r>
            <w:r>
              <w:rPr>
                <w:color w:val="auto"/>
                <w:szCs w:val="21"/>
              </w:rPr>
              <w:t xml:space="preserve"> cm/s，且分布连续、稳定</w:t>
            </w:r>
          </w:p>
        </w:tc>
        <w:tc>
          <w:tcPr>
            <w:tcW w:w="2158" w:type="pct"/>
            <w:vAlign w:val="center"/>
          </w:tcPr>
          <w:p w14:paraId="4DDF5E79">
            <w:pPr>
              <w:adjustRightInd w:val="0"/>
              <w:snapToGrid w:val="0"/>
              <w:ind w:firstLine="125"/>
              <w:jc w:val="center"/>
              <w:rPr>
                <w:rFonts w:hint="eastAsia" w:eastAsia="宋体"/>
                <w:color w:val="auto"/>
                <w:szCs w:val="21"/>
                <w:lang w:val="en-US" w:eastAsia="zh-CN"/>
              </w:rPr>
            </w:pPr>
            <w:r>
              <w:rPr>
                <w:rFonts w:hint="eastAsia"/>
                <w:color w:val="auto"/>
                <w:szCs w:val="21"/>
                <w:lang w:eastAsia="zh-CN"/>
              </w:rPr>
              <w:t>根据前文土壤现状调查，项目区域土壤单层厚度约为</w:t>
            </w:r>
            <w:r>
              <w:rPr>
                <w:rFonts w:hint="eastAsia"/>
                <w:color w:val="auto"/>
                <w:szCs w:val="21"/>
                <w:lang w:val="en-US" w:eastAsia="zh-CN"/>
              </w:rPr>
              <w:t>4.4m，土壤类型以粉质黏土层为主，渗透系数</w:t>
            </w:r>
            <w:r>
              <w:rPr>
                <w:color w:val="auto"/>
                <w:szCs w:val="21"/>
              </w:rPr>
              <w:t>K≤1×10</w:t>
            </w:r>
            <w:r>
              <w:rPr>
                <w:color w:val="auto"/>
                <w:szCs w:val="21"/>
                <w:vertAlign w:val="superscript"/>
              </w:rPr>
              <w:t>-6</w:t>
            </w:r>
            <w:r>
              <w:rPr>
                <w:color w:val="auto"/>
                <w:szCs w:val="21"/>
              </w:rPr>
              <w:t xml:space="preserve"> cm/s，且分布连续、稳定</w:t>
            </w:r>
            <w:r>
              <w:rPr>
                <w:rFonts w:hint="eastAsia"/>
                <w:color w:val="auto"/>
                <w:szCs w:val="21"/>
                <w:lang w:eastAsia="zh-CN"/>
              </w:rPr>
              <w:t>。</w:t>
            </w:r>
          </w:p>
        </w:tc>
      </w:tr>
      <w:tr w14:paraId="46A3F36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5" w:type="pct"/>
            <w:vAlign w:val="center"/>
          </w:tcPr>
          <w:p w14:paraId="5E53D08F">
            <w:pPr>
              <w:adjustRightInd w:val="0"/>
              <w:snapToGrid w:val="0"/>
              <w:ind w:firstLine="125"/>
              <w:jc w:val="center"/>
              <w:rPr>
                <w:color w:val="auto"/>
                <w:szCs w:val="21"/>
              </w:rPr>
            </w:pPr>
            <w:r>
              <w:rPr>
                <w:color w:val="auto"/>
                <w:szCs w:val="21"/>
              </w:rPr>
              <w:t>中</w:t>
            </w:r>
          </w:p>
        </w:tc>
        <w:tc>
          <w:tcPr>
            <w:tcW w:w="2086" w:type="pct"/>
            <w:vAlign w:val="center"/>
          </w:tcPr>
          <w:p w14:paraId="02D348C5">
            <w:pPr>
              <w:adjustRightInd w:val="0"/>
              <w:snapToGrid w:val="0"/>
              <w:ind w:firstLine="125"/>
              <w:jc w:val="center"/>
              <w:rPr>
                <w:color w:val="auto"/>
                <w:szCs w:val="21"/>
              </w:rPr>
            </w:pPr>
            <w:r>
              <w:rPr>
                <w:color w:val="auto"/>
                <w:szCs w:val="21"/>
              </w:rPr>
              <w:t>岩（土）层单层厚度 0.5m≤Mb&lt;1.0m，渗透系数K≤1×10</w:t>
            </w:r>
            <w:r>
              <w:rPr>
                <w:color w:val="auto"/>
                <w:szCs w:val="21"/>
                <w:vertAlign w:val="superscript"/>
              </w:rPr>
              <w:t>-6</w:t>
            </w:r>
            <w:r>
              <w:rPr>
                <w:color w:val="auto"/>
                <w:szCs w:val="21"/>
              </w:rPr>
              <w:t>cm/s，且分布连续、稳定。</w:t>
            </w:r>
          </w:p>
          <w:p w14:paraId="1055C0A0">
            <w:pPr>
              <w:adjustRightInd w:val="0"/>
              <w:snapToGrid w:val="0"/>
              <w:ind w:firstLine="125"/>
              <w:jc w:val="center"/>
              <w:rPr>
                <w:color w:val="auto"/>
                <w:szCs w:val="21"/>
              </w:rPr>
            </w:pPr>
            <w:r>
              <w:rPr>
                <w:color w:val="auto"/>
                <w:szCs w:val="21"/>
              </w:rPr>
              <w:t>岩（土）层单层厚度 Mb≥1.0m，渗透系数1×10</w:t>
            </w:r>
            <w:r>
              <w:rPr>
                <w:color w:val="auto"/>
                <w:szCs w:val="21"/>
                <w:vertAlign w:val="superscript"/>
              </w:rPr>
              <w:t>-6</w:t>
            </w:r>
            <w:r>
              <w:rPr>
                <w:color w:val="auto"/>
                <w:szCs w:val="21"/>
              </w:rPr>
              <w:t>cm/s&lt;K≤1×10</w:t>
            </w:r>
            <w:r>
              <w:rPr>
                <w:color w:val="auto"/>
                <w:szCs w:val="21"/>
                <w:vertAlign w:val="superscript"/>
              </w:rPr>
              <w:t xml:space="preserve"> -4</w:t>
            </w:r>
            <w:r>
              <w:rPr>
                <w:color w:val="auto"/>
                <w:szCs w:val="21"/>
              </w:rPr>
              <w:t>cm/s，且分布连续、稳定</w:t>
            </w:r>
          </w:p>
        </w:tc>
        <w:tc>
          <w:tcPr>
            <w:tcW w:w="2158" w:type="pct"/>
            <w:vAlign w:val="center"/>
          </w:tcPr>
          <w:p w14:paraId="39237112">
            <w:pPr>
              <w:adjustRightInd w:val="0"/>
              <w:snapToGrid w:val="0"/>
              <w:ind w:firstLine="125"/>
              <w:jc w:val="center"/>
              <w:rPr>
                <w:color w:val="auto"/>
                <w:szCs w:val="21"/>
              </w:rPr>
            </w:pPr>
            <w:r>
              <w:rPr>
                <w:color w:val="auto"/>
                <w:szCs w:val="21"/>
              </w:rPr>
              <w:t>——</w:t>
            </w:r>
          </w:p>
        </w:tc>
      </w:tr>
      <w:tr w14:paraId="7370BC9C">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5" w:type="pct"/>
            <w:vAlign w:val="center"/>
          </w:tcPr>
          <w:p w14:paraId="1D5F8E44">
            <w:pPr>
              <w:adjustRightInd w:val="0"/>
              <w:snapToGrid w:val="0"/>
              <w:ind w:firstLine="125"/>
              <w:jc w:val="center"/>
              <w:rPr>
                <w:color w:val="auto"/>
                <w:szCs w:val="21"/>
              </w:rPr>
            </w:pPr>
            <w:r>
              <w:rPr>
                <w:color w:val="auto"/>
                <w:szCs w:val="21"/>
              </w:rPr>
              <w:t>弱</w:t>
            </w:r>
          </w:p>
        </w:tc>
        <w:tc>
          <w:tcPr>
            <w:tcW w:w="2086" w:type="pct"/>
            <w:vAlign w:val="center"/>
          </w:tcPr>
          <w:p w14:paraId="3A2B4207">
            <w:pPr>
              <w:adjustRightInd w:val="0"/>
              <w:snapToGrid w:val="0"/>
              <w:ind w:firstLine="125"/>
              <w:jc w:val="center"/>
              <w:rPr>
                <w:color w:val="auto"/>
                <w:szCs w:val="21"/>
              </w:rPr>
            </w:pPr>
            <w:r>
              <w:rPr>
                <w:color w:val="auto"/>
                <w:szCs w:val="21"/>
              </w:rPr>
              <w:t>岩（土）层不满足上述“强”和“中”条件</w:t>
            </w:r>
          </w:p>
        </w:tc>
        <w:tc>
          <w:tcPr>
            <w:tcW w:w="2158" w:type="pct"/>
            <w:vAlign w:val="center"/>
          </w:tcPr>
          <w:p w14:paraId="53AB061A">
            <w:pPr>
              <w:adjustRightInd w:val="0"/>
              <w:snapToGrid w:val="0"/>
              <w:ind w:firstLine="125"/>
              <w:jc w:val="center"/>
              <w:rPr>
                <w:color w:val="auto"/>
                <w:szCs w:val="21"/>
              </w:rPr>
            </w:pPr>
            <w:r>
              <w:rPr>
                <w:color w:val="auto"/>
                <w:szCs w:val="21"/>
              </w:rPr>
              <w:t>——</w:t>
            </w:r>
          </w:p>
        </w:tc>
      </w:tr>
    </w:tbl>
    <w:p w14:paraId="0ADFDFCB">
      <w:pPr>
        <w:jc w:val="center"/>
        <w:rPr>
          <w:b/>
          <w:bCs/>
          <w:color w:val="auto"/>
          <w:spacing w:val="-12"/>
          <w:szCs w:val="21"/>
        </w:rPr>
      </w:pPr>
      <w:r>
        <w:rPr>
          <w:b/>
          <w:bCs/>
          <w:color w:val="auto"/>
          <w:spacing w:val="-12"/>
          <w:szCs w:val="21"/>
        </w:rPr>
        <w:t>表7</w:t>
      </w:r>
      <w:r>
        <w:rPr>
          <w:rFonts w:hint="eastAsia"/>
          <w:b/>
          <w:bCs/>
          <w:color w:val="auto"/>
          <w:spacing w:val="-12"/>
          <w:szCs w:val="21"/>
          <w:lang w:val="en-US" w:eastAsia="zh-CN"/>
        </w:rPr>
        <w:t xml:space="preserve">.2-5  </w:t>
      </w:r>
      <w:r>
        <w:rPr>
          <w:rFonts w:hint="eastAsia"/>
          <w:b/>
          <w:bCs/>
          <w:color w:val="auto"/>
          <w:spacing w:val="-12"/>
          <w:szCs w:val="21"/>
        </w:rPr>
        <w:t xml:space="preserve"> </w:t>
      </w:r>
      <w:r>
        <w:rPr>
          <w:b/>
          <w:bCs/>
          <w:color w:val="auto"/>
          <w:spacing w:val="-12"/>
          <w:szCs w:val="21"/>
        </w:rPr>
        <w:t xml:space="preserve">  地下水污染防渗分区参照表</w:t>
      </w:r>
    </w:p>
    <w:tbl>
      <w:tblPr>
        <w:tblStyle w:val="53"/>
        <w:tblW w:w="4998" w:type="pct"/>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73"/>
        <w:gridCol w:w="1218"/>
        <w:gridCol w:w="1293"/>
        <w:gridCol w:w="1790"/>
        <w:gridCol w:w="1952"/>
        <w:gridCol w:w="1499"/>
      </w:tblGrid>
      <w:tr w14:paraId="230EE4B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3" w:type="pct"/>
            <w:vAlign w:val="center"/>
          </w:tcPr>
          <w:p w14:paraId="7996EDFA">
            <w:pPr>
              <w:adjustRightInd w:val="0"/>
              <w:snapToGrid w:val="0"/>
              <w:ind w:firstLine="122"/>
              <w:jc w:val="center"/>
              <w:rPr>
                <w:b/>
                <w:color w:val="auto"/>
                <w:szCs w:val="21"/>
              </w:rPr>
            </w:pPr>
            <w:r>
              <w:rPr>
                <w:b/>
                <w:color w:val="auto"/>
                <w:szCs w:val="21"/>
              </w:rPr>
              <w:t>防渗分区</w:t>
            </w:r>
          </w:p>
        </w:tc>
        <w:tc>
          <w:tcPr>
            <w:tcW w:w="714" w:type="pct"/>
            <w:vAlign w:val="center"/>
          </w:tcPr>
          <w:p w14:paraId="681AC01E">
            <w:pPr>
              <w:adjustRightInd w:val="0"/>
              <w:snapToGrid w:val="0"/>
              <w:ind w:firstLine="122"/>
              <w:jc w:val="center"/>
              <w:rPr>
                <w:b/>
                <w:color w:val="auto"/>
                <w:szCs w:val="21"/>
              </w:rPr>
            </w:pPr>
            <w:r>
              <w:rPr>
                <w:b/>
                <w:color w:val="auto"/>
                <w:szCs w:val="21"/>
              </w:rPr>
              <w:t>天然包气带防污性能</w:t>
            </w:r>
          </w:p>
        </w:tc>
        <w:tc>
          <w:tcPr>
            <w:tcW w:w="758" w:type="pct"/>
            <w:vAlign w:val="center"/>
          </w:tcPr>
          <w:p w14:paraId="1B0DB5C5">
            <w:pPr>
              <w:adjustRightInd w:val="0"/>
              <w:snapToGrid w:val="0"/>
              <w:ind w:firstLine="122"/>
              <w:jc w:val="center"/>
              <w:rPr>
                <w:b/>
                <w:color w:val="auto"/>
                <w:szCs w:val="21"/>
              </w:rPr>
            </w:pPr>
            <w:r>
              <w:rPr>
                <w:b/>
                <w:color w:val="auto"/>
                <w:szCs w:val="21"/>
              </w:rPr>
              <w:t>污染控制难易程度</w:t>
            </w:r>
          </w:p>
        </w:tc>
        <w:tc>
          <w:tcPr>
            <w:tcW w:w="1049" w:type="pct"/>
            <w:vAlign w:val="center"/>
          </w:tcPr>
          <w:p w14:paraId="64D3CF3E">
            <w:pPr>
              <w:adjustRightInd w:val="0"/>
              <w:snapToGrid w:val="0"/>
              <w:ind w:firstLine="122"/>
              <w:jc w:val="center"/>
              <w:rPr>
                <w:b/>
                <w:color w:val="auto"/>
                <w:szCs w:val="21"/>
              </w:rPr>
            </w:pPr>
            <w:r>
              <w:rPr>
                <w:b/>
                <w:color w:val="auto"/>
                <w:szCs w:val="21"/>
              </w:rPr>
              <w:t>污染物类型</w:t>
            </w:r>
          </w:p>
        </w:tc>
        <w:tc>
          <w:tcPr>
            <w:tcW w:w="1144" w:type="pct"/>
            <w:vAlign w:val="center"/>
          </w:tcPr>
          <w:p w14:paraId="494FFC5C">
            <w:pPr>
              <w:adjustRightInd w:val="0"/>
              <w:snapToGrid w:val="0"/>
              <w:ind w:firstLine="122"/>
              <w:jc w:val="center"/>
              <w:rPr>
                <w:b/>
                <w:color w:val="auto"/>
                <w:szCs w:val="21"/>
              </w:rPr>
            </w:pPr>
            <w:r>
              <w:rPr>
                <w:b/>
                <w:color w:val="auto"/>
                <w:szCs w:val="21"/>
              </w:rPr>
              <w:t>防渗技术要求</w:t>
            </w:r>
          </w:p>
        </w:tc>
        <w:tc>
          <w:tcPr>
            <w:tcW w:w="878" w:type="pct"/>
            <w:vAlign w:val="center"/>
          </w:tcPr>
          <w:p w14:paraId="5C8D630B">
            <w:pPr>
              <w:adjustRightInd w:val="0"/>
              <w:snapToGrid w:val="0"/>
              <w:ind w:firstLine="122"/>
              <w:jc w:val="center"/>
              <w:rPr>
                <w:b/>
                <w:color w:val="auto"/>
                <w:szCs w:val="21"/>
              </w:rPr>
            </w:pPr>
            <w:r>
              <w:rPr>
                <w:b/>
                <w:color w:val="auto"/>
                <w:szCs w:val="21"/>
              </w:rPr>
              <w:t>本项目情况</w:t>
            </w:r>
          </w:p>
        </w:tc>
      </w:tr>
      <w:tr w14:paraId="57D0233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3" w:type="pct"/>
            <w:vMerge w:val="restart"/>
            <w:vAlign w:val="center"/>
          </w:tcPr>
          <w:p w14:paraId="111EDDD6">
            <w:pPr>
              <w:adjustRightInd w:val="0"/>
              <w:snapToGrid w:val="0"/>
              <w:ind w:firstLine="122"/>
              <w:jc w:val="center"/>
              <w:rPr>
                <w:color w:val="auto"/>
                <w:szCs w:val="21"/>
              </w:rPr>
            </w:pPr>
            <w:r>
              <w:rPr>
                <w:color w:val="auto"/>
                <w:szCs w:val="21"/>
              </w:rPr>
              <w:t>重点防渗区</w:t>
            </w:r>
          </w:p>
        </w:tc>
        <w:tc>
          <w:tcPr>
            <w:tcW w:w="714" w:type="pct"/>
            <w:vAlign w:val="center"/>
          </w:tcPr>
          <w:p w14:paraId="60ABF5ED">
            <w:pPr>
              <w:jc w:val="center"/>
              <w:rPr>
                <w:color w:val="auto"/>
                <w:szCs w:val="21"/>
              </w:rPr>
            </w:pPr>
            <w:r>
              <w:rPr>
                <w:color w:val="auto"/>
                <w:szCs w:val="21"/>
              </w:rPr>
              <w:t>弱</w:t>
            </w:r>
          </w:p>
        </w:tc>
        <w:tc>
          <w:tcPr>
            <w:tcW w:w="758" w:type="pct"/>
            <w:vAlign w:val="center"/>
          </w:tcPr>
          <w:p w14:paraId="4DA1847B">
            <w:pPr>
              <w:jc w:val="center"/>
              <w:rPr>
                <w:color w:val="auto"/>
                <w:szCs w:val="21"/>
              </w:rPr>
            </w:pPr>
            <w:r>
              <w:rPr>
                <w:color w:val="auto"/>
                <w:szCs w:val="21"/>
              </w:rPr>
              <w:t>难</w:t>
            </w:r>
          </w:p>
        </w:tc>
        <w:tc>
          <w:tcPr>
            <w:tcW w:w="1049" w:type="pct"/>
            <w:vMerge w:val="restart"/>
            <w:vAlign w:val="center"/>
          </w:tcPr>
          <w:p w14:paraId="39A049DD">
            <w:pPr>
              <w:adjustRightInd w:val="0"/>
              <w:snapToGrid w:val="0"/>
              <w:ind w:firstLine="122"/>
              <w:jc w:val="center"/>
              <w:rPr>
                <w:color w:val="auto"/>
                <w:szCs w:val="21"/>
              </w:rPr>
            </w:pPr>
            <w:r>
              <w:rPr>
                <w:color w:val="auto"/>
                <w:szCs w:val="21"/>
              </w:rPr>
              <w:t>重金属、持久性有机物污染物</w:t>
            </w:r>
          </w:p>
        </w:tc>
        <w:tc>
          <w:tcPr>
            <w:tcW w:w="1144" w:type="pct"/>
            <w:vMerge w:val="restart"/>
            <w:vAlign w:val="center"/>
          </w:tcPr>
          <w:p w14:paraId="17F566B0">
            <w:pPr>
              <w:adjustRightInd w:val="0"/>
              <w:snapToGrid w:val="0"/>
              <w:ind w:firstLine="122"/>
              <w:jc w:val="center"/>
              <w:rPr>
                <w:color w:val="auto"/>
                <w:szCs w:val="21"/>
              </w:rPr>
            </w:pPr>
            <w:r>
              <w:rPr>
                <w:color w:val="auto"/>
                <w:szCs w:val="21"/>
              </w:rPr>
              <w:t>等效黏土防渗层Mb≥7.0m，K≤1×10</w:t>
            </w:r>
            <w:r>
              <w:rPr>
                <w:color w:val="auto"/>
                <w:szCs w:val="21"/>
                <w:vertAlign w:val="superscript"/>
              </w:rPr>
              <w:t>-7</w:t>
            </w:r>
            <w:r>
              <w:rPr>
                <w:color w:val="auto"/>
                <w:szCs w:val="21"/>
              </w:rPr>
              <w:t xml:space="preserve"> cm/s；或参照GB18598执行</w:t>
            </w:r>
          </w:p>
        </w:tc>
        <w:tc>
          <w:tcPr>
            <w:tcW w:w="878" w:type="pct"/>
            <w:vMerge w:val="restart"/>
            <w:vAlign w:val="center"/>
          </w:tcPr>
          <w:p w14:paraId="718D1E81">
            <w:pPr>
              <w:adjustRightInd w:val="0"/>
              <w:snapToGrid w:val="0"/>
              <w:ind w:firstLine="122"/>
              <w:jc w:val="center"/>
              <w:rPr>
                <w:rFonts w:hint="eastAsia" w:eastAsia="宋体"/>
                <w:color w:val="auto"/>
                <w:szCs w:val="21"/>
                <w:lang w:eastAsia="zh-CN"/>
              </w:rPr>
            </w:pPr>
            <w:r>
              <w:rPr>
                <w:rFonts w:hint="eastAsia"/>
                <w:color w:val="auto"/>
                <w:szCs w:val="21"/>
                <w:lang w:val="en-US" w:eastAsia="zh-CN"/>
              </w:rPr>
              <w:t>医疗废物暂存间</w:t>
            </w:r>
          </w:p>
        </w:tc>
      </w:tr>
      <w:tr w14:paraId="3F31C63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3" w:type="pct"/>
            <w:vMerge w:val="continue"/>
            <w:vAlign w:val="center"/>
          </w:tcPr>
          <w:p w14:paraId="03846425">
            <w:pPr>
              <w:adjustRightInd w:val="0"/>
              <w:snapToGrid w:val="0"/>
              <w:ind w:firstLine="122"/>
              <w:jc w:val="center"/>
              <w:rPr>
                <w:color w:val="auto"/>
                <w:szCs w:val="21"/>
              </w:rPr>
            </w:pPr>
          </w:p>
        </w:tc>
        <w:tc>
          <w:tcPr>
            <w:tcW w:w="714" w:type="pct"/>
            <w:vAlign w:val="center"/>
          </w:tcPr>
          <w:p w14:paraId="6632ED81">
            <w:pPr>
              <w:jc w:val="center"/>
              <w:rPr>
                <w:color w:val="auto"/>
                <w:szCs w:val="21"/>
              </w:rPr>
            </w:pPr>
            <w:r>
              <w:rPr>
                <w:color w:val="auto"/>
                <w:szCs w:val="21"/>
              </w:rPr>
              <w:t>中-强</w:t>
            </w:r>
          </w:p>
        </w:tc>
        <w:tc>
          <w:tcPr>
            <w:tcW w:w="758" w:type="pct"/>
            <w:vAlign w:val="center"/>
          </w:tcPr>
          <w:p w14:paraId="1C0AB00E">
            <w:pPr>
              <w:jc w:val="center"/>
              <w:rPr>
                <w:color w:val="auto"/>
                <w:szCs w:val="21"/>
              </w:rPr>
            </w:pPr>
            <w:r>
              <w:rPr>
                <w:color w:val="auto"/>
                <w:szCs w:val="21"/>
              </w:rPr>
              <w:t>难</w:t>
            </w:r>
          </w:p>
        </w:tc>
        <w:tc>
          <w:tcPr>
            <w:tcW w:w="1049" w:type="pct"/>
            <w:vMerge w:val="continue"/>
            <w:vAlign w:val="center"/>
          </w:tcPr>
          <w:p w14:paraId="6C88BA30">
            <w:pPr>
              <w:adjustRightInd w:val="0"/>
              <w:snapToGrid w:val="0"/>
              <w:ind w:firstLine="122"/>
              <w:jc w:val="center"/>
              <w:rPr>
                <w:color w:val="auto"/>
                <w:szCs w:val="21"/>
              </w:rPr>
            </w:pPr>
          </w:p>
        </w:tc>
        <w:tc>
          <w:tcPr>
            <w:tcW w:w="1144" w:type="pct"/>
            <w:vMerge w:val="continue"/>
            <w:vAlign w:val="center"/>
          </w:tcPr>
          <w:p w14:paraId="5CCECD73">
            <w:pPr>
              <w:adjustRightInd w:val="0"/>
              <w:snapToGrid w:val="0"/>
              <w:ind w:firstLine="122"/>
              <w:jc w:val="center"/>
              <w:rPr>
                <w:color w:val="auto"/>
                <w:szCs w:val="21"/>
              </w:rPr>
            </w:pPr>
          </w:p>
        </w:tc>
        <w:tc>
          <w:tcPr>
            <w:tcW w:w="878" w:type="pct"/>
            <w:vMerge w:val="continue"/>
            <w:vAlign w:val="center"/>
          </w:tcPr>
          <w:p w14:paraId="5E9253C0">
            <w:pPr>
              <w:adjustRightInd w:val="0"/>
              <w:snapToGrid w:val="0"/>
              <w:ind w:firstLine="122"/>
              <w:jc w:val="center"/>
              <w:rPr>
                <w:color w:val="auto"/>
                <w:szCs w:val="21"/>
              </w:rPr>
            </w:pPr>
          </w:p>
        </w:tc>
      </w:tr>
      <w:tr w14:paraId="427AFC3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3" w:type="pct"/>
            <w:vMerge w:val="continue"/>
            <w:vAlign w:val="center"/>
          </w:tcPr>
          <w:p w14:paraId="59B95BC0">
            <w:pPr>
              <w:adjustRightInd w:val="0"/>
              <w:snapToGrid w:val="0"/>
              <w:ind w:firstLine="122"/>
              <w:jc w:val="center"/>
              <w:rPr>
                <w:color w:val="auto"/>
                <w:szCs w:val="21"/>
              </w:rPr>
            </w:pPr>
          </w:p>
        </w:tc>
        <w:tc>
          <w:tcPr>
            <w:tcW w:w="714" w:type="pct"/>
            <w:vAlign w:val="center"/>
          </w:tcPr>
          <w:p w14:paraId="79241A53">
            <w:pPr>
              <w:jc w:val="center"/>
              <w:rPr>
                <w:color w:val="auto"/>
                <w:szCs w:val="21"/>
              </w:rPr>
            </w:pPr>
            <w:r>
              <w:rPr>
                <w:color w:val="auto"/>
                <w:szCs w:val="21"/>
              </w:rPr>
              <w:t>弱</w:t>
            </w:r>
          </w:p>
        </w:tc>
        <w:tc>
          <w:tcPr>
            <w:tcW w:w="758" w:type="pct"/>
            <w:vAlign w:val="center"/>
          </w:tcPr>
          <w:p w14:paraId="523316BD">
            <w:pPr>
              <w:jc w:val="center"/>
              <w:rPr>
                <w:color w:val="auto"/>
                <w:szCs w:val="21"/>
              </w:rPr>
            </w:pPr>
            <w:r>
              <w:rPr>
                <w:color w:val="auto"/>
                <w:szCs w:val="21"/>
              </w:rPr>
              <w:t>易</w:t>
            </w:r>
          </w:p>
        </w:tc>
        <w:tc>
          <w:tcPr>
            <w:tcW w:w="1049" w:type="pct"/>
            <w:vMerge w:val="continue"/>
            <w:vAlign w:val="center"/>
          </w:tcPr>
          <w:p w14:paraId="2FD0D53D">
            <w:pPr>
              <w:adjustRightInd w:val="0"/>
              <w:snapToGrid w:val="0"/>
              <w:ind w:firstLine="122"/>
              <w:jc w:val="center"/>
              <w:rPr>
                <w:color w:val="auto"/>
                <w:szCs w:val="21"/>
              </w:rPr>
            </w:pPr>
          </w:p>
        </w:tc>
        <w:tc>
          <w:tcPr>
            <w:tcW w:w="1144" w:type="pct"/>
            <w:vMerge w:val="continue"/>
            <w:vAlign w:val="center"/>
          </w:tcPr>
          <w:p w14:paraId="5978CBA5">
            <w:pPr>
              <w:adjustRightInd w:val="0"/>
              <w:snapToGrid w:val="0"/>
              <w:ind w:firstLine="122"/>
              <w:jc w:val="center"/>
              <w:rPr>
                <w:color w:val="auto"/>
                <w:szCs w:val="21"/>
              </w:rPr>
            </w:pPr>
          </w:p>
        </w:tc>
        <w:tc>
          <w:tcPr>
            <w:tcW w:w="878" w:type="pct"/>
            <w:vMerge w:val="continue"/>
            <w:vAlign w:val="center"/>
          </w:tcPr>
          <w:p w14:paraId="6833A435">
            <w:pPr>
              <w:adjustRightInd w:val="0"/>
              <w:snapToGrid w:val="0"/>
              <w:ind w:firstLine="122"/>
              <w:jc w:val="center"/>
              <w:rPr>
                <w:color w:val="auto"/>
                <w:szCs w:val="21"/>
              </w:rPr>
            </w:pPr>
          </w:p>
        </w:tc>
      </w:tr>
      <w:tr w14:paraId="18BA44CE">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3" w:type="pct"/>
            <w:vMerge w:val="restart"/>
            <w:shd w:val="clear" w:color="auto" w:fill="auto"/>
            <w:vAlign w:val="center"/>
          </w:tcPr>
          <w:p w14:paraId="5900DEF2">
            <w:pPr>
              <w:adjustRightInd w:val="0"/>
              <w:snapToGrid w:val="0"/>
              <w:ind w:firstLine="122"/>
              <w:jc w:val="center"/>
              <w:rPr>
                <w:color w:val="auto"/>
                <w:szCs w:val="21"/>
              </w:rPr>
            </w:pPr>
            <w:r>
              <w:rPr>
                <w:color w:val="auto"/>
                <w:szCs w:val="21"/>
              </w:rPr>
              <w:t>一般防渗区</w:t>
            </w:r>
          </w:p>
        </w:tc>
        <w:tc>
          <w:tcPr>
            <w:tcW w:w="714" w:type="pct"/>
            <w:shd w:val="clear" w:color="auto" w:fill="auto"/>
            <w:vAlign w:val="center"/>
          </w:tcPr>
          <w:p w14:paraId="348284DC">
            <w:pPr>
              <w:jc w:val="center"/>
              <w:rPr>
                <w:color w:val="auto"/>
                <w:szCs w:val="21"/>
              </w:rPr>
            </w:pPr>
            <w:r>
              <w:rPr>
                <w:color w:val="auto"/>
                <w:szCs w:val="21"/>
              </w:rPr>
              <w:t>弱</w:t>
            </w:r>
          </w:p>
        </w:tc>
        <w:tc>
          <w:tcPr>
            <w:tcW w:w="758" w:type="pct"/>
            <w:shd w:val="clear" w:color="auto" w:fill="auto"/>
            <w:vAlign w:val="center"/>
          </w:tcPr>
          <w:p w14:paraId="1F33F66A">
            <w:pPr>
              <w:jc w:val="center"/>
              <w:rPr>
                <w:color w:val="auto"/>
                <w:szCs w:val="21"/>
              </w:rPr>
            </w:pPr>
            <w:r>
              <w:rPr>
                <w:color w:val="auto"/>
                <w:szCs w:val="21"/>
              </w:rPr>
              <w:t>易-难</w:t>
            </w:r>
          </w:p>
        </w:tc>
        <w:tc>
          <w:tcPr>
            <w:tcW w:w="1049" w:type="pct"/>
            <w:vMerge w:val="restart"/>
            <w:shd w:val="clear" w:color="auto" w:fill="B3B3B3"/>
            <w:vAlign w:val="center"/>
          </w:tcPr>
          <w:p w14:paraId="65EA1577">
            <w:pPr>
              <w:adjustRightInd w:val="0"/>
              <w:snapToGrid w:val="0"/>
              <w:ind w:firstLine="122"/>
              <w:jc w:val="center"/>
              <w:rPr>
                <w:color w:val="auto"/>
                <w:szCs w:val="21"/>
              </w:rPr>
            </w:pPr>
            <w:r>
              <w:rPr>
                <w:color w:val="auto"/>
                <w:szCs w:val="21"/>
              </w:rPr>
              <w:t>其他类型</w:t>
            </w:r>
          </w:p>
        </w:tc>
        <w:tc>
          <w:tcPr>
            <w:tcW w:w="1144" w:type="pct"/>
            <w:vMerge w:val="restart"/>
            <w:vAlign w:val="center"/>
          </w:tcPr>
          <w:p w14:paraId="341A0A36">
            <w:pPr>
              <w:adjustRightInd w:val="0"/>
              <w:snapToGrid w:val="0"/>
              <w:ind w:firstLine="122"/>
              <w:jc w:val="center"/>
              <w:rPr>
                <w:color w:val="auto"/>
                <w:szCs w:val="21"/>
              </w:rPr>
            </w:pPr>
            <w:r>
              <w:rPr>
                <w:color w:val="auto"/>
                <w:szCs w:val="21"/>
              </w:rPr>
              <w:t>等效黏土防渗层Mb≥1.5m，K≤1×10</w:t>
            </w:r>
            <w:r>
              <w:rPr>
                <w:color w:val="auto"/>
                <w:szCs w:val="21"/>
                <w:vertAlign w:val="superscript"/>
              </w:rPr>
              <w:t>-7</w:t>
            </w:r>
            <w:r>
              <w:rPr>
                <w:color w:val="auto"/>
                <w:szCs w:val="21"/>
              </w:rPr>
              <w:t>cm/s</w:t>
            </w:r>
          </w:p>
        </w:tc>
        <w:tc>
          <w:tcPr>
            <w:tcW w:w="878" w:type="pct"/>
            <w:vMerge w:val="restart"/>
            <w:vAlign w:val="center"/>
          </w:tcPr>
          <w:p w14:paraId="513E959F">
            <w:pPr>
              <w:adjustRightInd w:val="0"/>
              <w:snapToGrid w:val="0"/>
              <w:ind w:firstLine="122"/>
              <w:jc w:val="center"/>
              <w:rPr>
                <w:color w:val="auto"/>
                <w:szCs w:val="21"/>
              </w:rPr>
            </w:pPr>
            <w:r>
              <w:rPr>
                <w:rFonts w:hint="eastAsia"/>
                <w:color w:val="auto"/>
                <w:szCs w:val="21"/>
                <w:lang w:eastAsia="zh-CN"/>
              </w:rPr>
              <w:t>临时储粪场</w:t>
            </w:r>
            <w:r>
              <w:rPr>
                <w:rFonts w:hint="eastAsia"/>
                <w:color w:val="auto"/>
                <w:szCs w:val="21"/>
              </w:rPr>
              <w:t>、污水收集</w:t>
            </w:r>
            <w:r>
              <w:rPr>
                <w:color w:val="auto"/>
                <w:szCs w:val="21"/>
              </w:rPr>
              <w:t>管道、鸡舍、</w:t>
            </w:r>
            <w:r>
              <w:rPr>
                <w:rFonts w:hint="eastAsia"/>
                <w:color w:val="auto"/>
                <w:szCs w:val="21"/>
                <w:lang w:eastAsia="zh-CN"/>
              </w:rPr>
              <w:t>旱厕、</w:t>
            </w:r>
            <w:r>
              <w:rPr>
                <w:rFonts w:hint="eastAsia"/>
                <w:color w:val="auto"/>
                <w:szCs w:val="21"/>
              </w:rPr>
              <w:t>锅炉房</w:t>
            </w:r>
          </w:p>
        </w:tc>
      </w:tr>
      <w:tr w14:paraId="5058F10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3" w:type="pct"/>
            <w:vMerge w:val="continue"/>
            <w:shd w:val="clear" w:color="auto" w:fill="auto"/>
            <w:vAlign w:val="center"/>
          </w:tcPr>
          <w:p w14:paraId="260AA652">
            <w:pPr>
              <w:adjustRightInd w:val="0"/>
              <w:snapToGrid w:val="0"/>
              <w:ind w:firstLine="122"/>
              <w:jc w:val="center"/>
              <w:rPr>
                <w:color w:val="auto"/>
                <w:szCs w:val="21"/>
              </w:rPr>
            </w:pPr>
          </w:p>
        </w:tc>
        <w:tc>
          <w:tcPr>
            <w:tcW w:w="714" w:type="pct"/>
            <w:shd w:val="clear" w:color="auto" w:fill="B3B3B3"/>
            <w:vAlign w:val="center"/>
          </w:tcPr>
          <w:p w14:paraId="2904D29C">
            <w:pPr>
              <w:jc w:val="center"/>
              <w:rPr>
                <w:color w:val="auto"/>
                <w:szCs w:val="21"/>
              </w:rPr>
            </w:pPr>
            <w:r>
              <w:rPr>
                <w:color w:val="auto"/>
                <w:szCs w:val="21"/>
              </w:rPr>
              <w:t>中-强</w:t>
            </w:r>
          </w:p>
        </w:tc>
        <w:tc>
          <w:tcPr>
            <w:tcW w:w="758" w:type="pct"/>
            <w:shd w:val="clear" w:color="auto" w:fill="B3B3B3"/>
            <w:vAlign w:val="center"/>
          </w:tcPr>
          <w:p w14:paraId="3B4C9174">
            <w:pPr>
              <w:jc w:val="center"/>
              <w:rPr>
                <w:color w:val="auto"/>
                <w:szCs w:val="21"/>
              </w:rPr>
            </w:pPr>
            <w:r>
              <w:rPr>
                <w:color w:val="auto"/>
                <w:szCs w:val="21"/>
              </w:rPr>
              <w:t>难</w:t>
            </w:r>
          </w:p>
        </w:tc>
        <w:tc>
          <w:tcPr>
            <w:tcW w:w="1049" w:type="pct"/>
            <w:vMerge w:val="continue"/>
            <w:shd w:val="clear" w:color="auto" w:fill="B3B3B3"/>
            <w:vAlign w:val="center"/>
          </w:tcPr>
          <w:p w14:paraId="6488DC8B">
            <w:pPr>
              <w:adjustRightInd w:val="0"/>
              <w:snapToGrid w:val="0"/>
              <w:ind w:firstLine="122"/>
              <w:jc w:val="center"/>
              <w:rPr>
                <w:color w:val="auto"/>
                <w:szCs w:val="21"/>
              </w:rPr>
            </w:pPr>
          </w:p>
        </w:tc>
        <w:tc>
          <w:tcPr>
            <w:tcW w:w="1144" w:type="pct"/>
            <w:vMerge w:val="continue"/>
            <w:vAlign w:val="center"/>
          </w:tcPr>
          <w:p w14:paraId="49B8545B">
            <w:pPr>
              <w:adjustRightInd w:val="0"/>
              <w:snapToGrid w:val="0"/>
              <w:ind w:firstLine="122"/>
              <w:jc w:val="center"/>
              <w:rPr>
                <w:color w:val="auto"/>
                <w:szCs w:val="21"/>
              </w:rPr>
            </w:pPr>
          </w:p>
        </w:tc>
        <w:tc>
          <w:tcPr>
            <w:tcW w:w="878" w:type="pct"/>
            <w:vMerge w:val="continue"/>
            <w:vAlign w:val="center"/>
          </w:tcPr>
          <w:p w14:paraId="70C2138D">
            <w:pPr>
              <w:adjustRightInd w:val="0"/>
              <w:snapToGrid w:val="0"/>
              <w:ind w:firstLine="122"/>
              <w:jc w:val="center"/>
              <w:rPr>
                <w:color w:val="auto"/>
                <w:szCs w:val="21"/>
              </w:rPr>
            </w:pPr>
          </w:p>
        </w:tc>
      </w:tr>
      <w:tr w14:paraId="7210143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3" w:type="pct"/>
            <w:vMerge w:val="continue"/>
            <w:vAlign w:val="center"/>
          </w:tcPr>
          <w:p w14:paraId="1D1B1891">
            <w:pPr>
              <w:adjustRightInd w:val="0"/>
              <w:snapToGrid w:val="0"/>
              <w:ind w:firstLine="122"/>
              <w:jc w:val="center"/>
              <w:rPr>
                <w:color w:val="auto"/>
                <w:szCs w:val="21"/>
              </w:rPr>
            </w:pPr>
          </w:p>
        </w:tc>
        <w:tc>
          <w:tcPr>
            <w:tcW w:w="714" w:type="pct"/>
            <w:vAlign w:val="center"/>
          </w:tcPr>
          <w:p w14:paraId="7DAE513D">
            <w:pPr>
              <w:jc w:val="center"/>
              <w:rPr>
                <w:color w:val="auto"/>
                <w:szCs w:val="21"/>
              </w:rPr>
            </w:pPr>
            <w:r>
              <w:rPr>
                <w:color w:val="auto"/>
                <w:szCs w:val="21"/>
              </w:rPr>
              <w:t>中</w:t>
            </w:r>
          </w:p>
        </w:tc>
        <w:tc>
          <w:tcPr>
            <w:tcW w:w="758" w:type="pct"/>
            <w:vAlign w:val="center"/>
          </w:tcPr>
          <w:p w14:paraId="09B3A803">
            <w:pPr>
              <w:jc w:val="center"/>
              <w:rPr>
                <w:color w:val="auto"/>
                <w:szCs w:val="21"/>
              </w:rPr>
            </w:pPr>
            <w:r>
              <w:rPr>
                <w:color w:val="auto"/>
                <w:szCs w:val="21"/>
              </w:rPr>
              <w:t>易</w:t>
            </w:r>
          </w:p>
        </w:tc>
        <w:tc>
          <w:tcPr>
            <w:tcW w:w="1049" w:type="pct"/>
            <w:vMerge w:val="restart"/>
            <w:vAlign w:val="center"/>
          </w:tcPr>
          <w:p w14:paraId="51A7BD27">
            <w:pPr>
              <w:adjustRightInd w:val="0"/>
              <w:snapToGrid w:val="0"/>
              <w:ind w:firstLine="122"/>
              <w:jc w:val="center"/>
              <w:rPr>
                <w:color w:val="auto"/>
                <w:szCs w:val="21"/>
              </w:rPr>
            </w:pPr>
            <w:r>
              <w:rPr>
                <w:color w:val="auto"/>
                <w:szCs w:val="21"/>
              </w:rPr>
              <w:t>重金属、持久性有机物污染物</w:t>
            </w:r>
          </w:p>
        </w:tc>
        <w:tc>
          <w:tcPr>
            <w:tcW w:w="1144" w:type="pct"/>
            <w:vMerge w:val="continue"/>
            <w:vAlign w:val="center"/>
          </w:tcPr>
          <w:p w14:paraId="0954036D">
            <w:pPr>
              <w:adjustRightInd w:val="0"/>
              <w:snapToGrid w:val="0"/>
              <w:ind w:firstLine="122"/>
              <w:jc w:val="center"/>
              <w:rPr>
                <w:color w:val="auto"/>
                <w:szCs w:val="21"/>
              </w:rPr>
            </w:pPr>
          </w:p>
        </w:tc>
        <w:tc>
          <w:tcPr>
            <w:tcW w:w="878" w:type="pct"/>
            <w:vMerge w:val="continue"/>
            <w:vAlign w:val="center"/>
          </w:tcPr>
          <w:p w14:paraId="280B5668">
            <w:pPr>
              <w:adjustRightInd w:val="0"/>
              <w:snapToGrid w:val="0"/>
              <w:ind w:firstLine="122"/>
              <w:jc w:val="center"/>
              <w:rPr>
                <w:color w:val="auto"/>
                <w:szCs w:val="21"/>
              </w:rPr>
            </w:pPr>
          </w:p>
        </w:tc>
      </w:tr>
      <w:tr w14:paraId="58EE9D20">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3" w:type="pct"/>
            <w:vMerge w:val="continue"/>
            <w:vAlign w:val="center"/>
          </w:tcPr>
          <w:p w14:paraId="4F50F6D7">
            <w:pPr>
              <w:adjustRightInd w:val="0"/>
              <w:snapToGrid w:val="0"/>
              <w:ind w:firstLine="122"/>
              <w:jc w:val="center"/>
              <w:rPr>
                <w:color w:val="auto"/>
                <w:szCs w:val="21"/>
              </w:rPr>
            </w:pPr>
          </w:p>
        </w:tc>
        <w:tc>
          <w:tcPr>
            <w:tcW w:w="714" w:type="pct"/>
            <w:vAlign w:val="center"/>
          </w:tcPr>
          <w:p w14:paraId="1F0EF45E">
            <w:pPr>
              <w:jc w:val="center"/>
              <w:rPr>
                <w:color w:val="auto"/>
                <w:szCs w:val="21"/>
              </w:rPr>
            </w:pPr>
            <w:r>
              <w:rPr>
                <w:color w:val="auto"/>
                <w:szCs w:val="21"/>
              </w:rPr>
              <w:t>强</w:t>
            </w:r>
          </w:p>
        </w:tc>
        <w:tc>
          <w:tcPr>
            <w:tcW w:w="758" w:type="pct"/>
            <w:vAlign w:val="center"/>
          </w:tcPr>
          <w:p w14:paraId="2DCCF228">
            <w:pPr>
              <w:jc w:val="center"/>
              <w:rPr>
                <w:color w:val="auto"/>
                <w:szCs w:val="21"/>
              </w:rPr>
            </w:pPr>
            <w:r>
              <w:rPr>
                <w:color w:val="auto"/>
                <w:szCs w:val="21"/>
              </w:rPr>
              <w:t>易</w:t>
            </w:r>
          </w:p>
        </w:tc>
        <w:tc>
          <w:tcPr>
            <w:tcW w:w="1049" w:type="pct"/>
            <w:vMerge w:val="continue"/>
            <w:vAlign w:val="center"/>
          </w:tcPr>
          <w:p w14:paraId="3BB65686">
            <w:pPr>
              <w:adjustRightInd w:val="0"/>
              <w:snapToGrid w:val="0"/>
              <w:ind w:firstLine="122"/>
              <w:jc w:val="center"/>
              <w:rPr>
                <w:color w:val="auto"/>
                <w:szCs w:val="21"/>
              </w:rPr>
            </w:pPr>
          </w:p>
        </w:tc>
        <w:tc>
          <w:tcPr>
            <w:tcW w:w="1144" w:type="pct"/>
            <w:vMerge w:val="continue"/>
            <w:vAlign w:val="center"/>
          </w:tcPr>
          <w:p w14:paraId="2AE4376F">
            <w:pPr>
              <w:adjustRightInd w:val="0"/>
              <w:snapToGrid w:val="0"/>
              <w:ind w:firstLine="122"/>
              <w:jc w:val="center"/>
              <w:rPr>
                <w:color w:val="auto"/>
                <w:szCs w:val="21"/>
              </w:rPr>
            </w:pPr>
          </w:p>
        </w:tc>
        <w:tc>
          <w:tcPr>
            <w:tcW w:w="878" w:type="pct"/>
            <w:vMerge w:val="continue"/>
            <w:vAlign w:val="center"/>
          </w:tcPr>
          <w:p w14:paraId="76F6F471">
            <w:pPr>
              <w:adjustRightInd w:val="0"/>
              <w:snapToGrid w:val="0"/>
              <w:ind w:firstLine="122"/>
              <w:jc w:val="center"/>
              <w:rPr>
                <w:color w:val="auto"/>
                <w:szCs w:val="21"/>
              </w:rPr>
            </w:pPr>
          </w:p>
        </w:tc>
      </w:tr>
      <w:tr w14:paraId="1903410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3" w:type="pct"/>
            <w:vAlign w:val="center"/>
          </w:tcPr>
          <w:p w14:paraId="2AB5088D">
            <w:pPr>
              <w:adjustRightInd w:val="0"/>
              <w:snapToGrid w:val="0"/>
              <w:ind w:firstLine="122"/>
              <w:jc w:val="center"/>
              <w:rPr>
                <w:color w:val="auto"/>
                <w:szCs w:val="21"/>
              </w:rPr>
            </w:pPr>
            <w:r>
              <w:rPr>
                <w:color w:val="auto"/>
                <w:szCs w:val="21"/>
              </w:rPr>
              <w:t>简单防渗区</w:t>
            </w:r>
          </w:p>
        </w:tc>
        <w:tc>
          <w:tcPr>
            <w:tcW w:w="714" w:type="pct"/>
            <w:vAlign w:val="center"/>
          </w:tcPr>
          <w:p w14:paraId="78B09967">
            <w:pPr>
              <w:jc w:val="center"/>
              <w:rPr>
                <w:color w:val="auto"/>
                <w:szCs w:val="21"/>
              </w:rPr>
            </w:pPr>
            <w:r>
              <w:rPr>
                <w:color w:val="auto"/>
                <w:szCs w:val="21"/>
              </w:rPr>
              <w:t>中-强</w:t>
            </w:r>
          </w:p>
        </w:tc>
        <w:tc>
          <w:tcPr>
            <w:tcW w:w="758" w:type="pct"/>
            <w:vAlign w:val="center"/>
          </w:tcPr>
          <w:p w14:paraId="483BA51F">
            <w:pPr>
              <w:jc w:val="center"/>
              <w:rPr>
                <w:color w:val="auto"/>
                <w:szCs w:val="21"/>
              </w:rPr>
            </w:pPr>
            <w:r>
              <w:rPr>
                <w:color w:val="auto"/>
                <w:szCs w:val="21"/>
              </w:rPr>
              <w:t>易</w:t>
            </w:r>
          </w:p>
        </w:tc>
        <w:tc>
          <w:tcPr>
            <w:tcW w:w="1049" w:type="pct"/>
            <w:vAlign w:val="center"/>
          </w:tcPr>
          <w:p w14:paraId="02D8A260">
            <w:pPr>
              <w:adjustRightInd w:val="0"/>
              <w:snapToGrid w:val="0"/>
              <w:ind w:firstLine="122"/>
              <w:jc w:val="center"/>
              <w:rPr>
                <w:color w:val="auto"/>
                <w:szCs w:val="21"/>
              </w:rPr>
            </w:pPr>
            <w:r>
              <w:rPr>
                <w:color w:val="auto"/>
                <w:szCs w:val="21"/>
              </w:rPr>
              <w:t>其他类型</w:t>
            </w:r>
          </w:p>
        </w:tc>
        <w:tc>
          <w:tcPr>
            <w:tcW w:w="1144" w:type="pct"/>
            <w:vAlign w:val="center"/>
          </w:tcPr>
          <w:p w14:paraId="19BC5B03">
            <w:pPr>
              <w:adjustRightInd w:val="0"/>
              <w:snapToGrid w:val="0"/>
              <w:ind w:firstLine="122"/>
              <w:jc w:val="center"/>
              <w:rPr>
                <w:color w:val="auto"/>
                <w:szCs w:val="21"/>
              </w:rPr>
            </w:pPr>
            <w:r>
              <w:rPr>
                <w:color w:val="auto"/>
                <w:szCs w:val="21"/>
              </w:rPr>
              <w:t>一般地面硬化</w:t>
            </w:r>
          </w:p>
        </w:tc>
        <w:tc>
          <w:tcPr>
            <w:tcW w:w="878" w:type="pct"/>
            <w:vAlign w:val="center"/>
          </w:tcPr>
          <w:p w14:paraId="44F65282">
            <w:pPr>
              <w:adjustRightInd w:val="0"/>
              <w:snapToGrid w:val="0"/>
              <w:ind w:firstLine="122"/>
              <w:jc w:val="center"/>
              <w:rPr>
                <w:color w:val="auto"/>
                <w:szCs w:val="21"/>
              </w:rPr>
            </w:pPr>
            <w:r>
              <w:rPr>
                <w:rFonts w:hint="eastAsia"/>
                <w:color w:val="auto"/>
                <w:szCs w:val="21"/>
                <w:lang w:eastAsia="zh-CN"/>
              </w:rPr>
              <w:t>蛋库</w:t>
            </w:r>
            <w:r>
              <w:rPr>
                <w:rFonts w:hint="eastAsia"/>
                <w:color w:val="auto"/>
                <w:szCs w:val="21"/>
              </w:rPr>
              <w:t>、</w:t>
            </w:r>
            <w:r>
              <w:rPr>
                <w:color w:val="auto"/>
                <w:szCs w:val="21"/>
              </w:rPr>
              <w:t>厂区内运输路面</w:t>
            </w:r>
          </w:p>
        </w:tc>
      </w:tr>
    </w:tbl>
    <w:p w14:paraId="32B7D81B">
      <w:pPr>
        <w:snapToGrid w:val="0"/>
        <w:spacing w:line="360" w:lineRule="auto"/>
        <w:ind w:firstLine="480" w:firstLineChars="200"/>
        <w:rPr>
          <w:color w:val="auto"/>
          <w:sz w:val="24"/>
          <w:lang w:val="en-GB"/>
        </w:rPr>
      </w:pPr>
      <w:r>
        <w:rPr>
          <w:color w:val="auto"/>
          <w:sz w:val="24"/>
          <w:lang w:val="en-GB"/>
        </w:rPr>
        <w:t>通过表</w:t>
      </w:r>
      <w:r>
        <w:rPr>
          <w:color w:val="auto"/>
          <w:sz w:val="24"/>
        </w:rPr>
        <w:t>7</w:t>
      </w:r>
      <w:r>
        <w:rPr>
          <w:rFonts w:hint="eastAsia"/>
          <w:color w:val="auto"/>
          <w:sz w:val="24"/>
          <w:lang w:val="en-US" w:eastAsia="zh-CN"/>
        </w:rPr>
        <w:t>.2-3</w:t>
      </w:r>
      <w:r>
        <w:rPr>
          <w:color w:val="auto"/>
          <w:sz w:val="24"/>
          <w:lang w:val="en-GB"/>
        </w:rPr>
        <w:t>至表</w:t>
      </w:r>
      <w:r>
        <w:rPr>
          <w:color w:val="auto"/>
          <w:sz w:val="24"/>
        </w:rPr>
        <w:t>7</w:t>
      </w:r>
      <w:r>
        <w:rPr>
          <w:rFonts w:hint="eastAsia"/>
          <w:color w:val="auto"/>
          <w:sz w:val="24"/>
          <w:lang w:val="en-US" w:eastAsia="zh-CN"/>
        </w:rPr>
        <w:t>.2-4</w:t>
      </w:r>
      <w:r>
        <w:rPr>
          <w:color w:val="auto"/>
          <w:sz w:val="24"/>
          <w:lang w:val="en-GB"/>
        </w:rPr>
        <w:t>的辨识，</w:t>
      </w:r>
      <w:r>
        <w:rPr>
          <w:rFonts w:hint="eastAsia"/>
          <w:color w:val="auto"/>
          <w:sz w:val="24"/>
          <w:lang w:val="en-GB"/>
        </w:rPr>
        <w:t>本项目不含重金属、持久性有机物污染物、因此</w:t>
      </w:r>
      <w:r>
        <w:rPr>
          <w:color w:val="auto"/>
          <w:sz w:val="24"/>
          <w:lang w:val="en-GB"/>
        </w:rPr>
        <w:t>环评提出以下几方面防止地下水污染的防治措施：</w:t>
      </w:r>
    </w:p>
    <w:p w14:paraId="1CFB5C34">
      <w:pPr>
        <w:snapToGrid w:val="0"/>
        <w:spacing w:line="360" w:lineRule="auto"/>
        <w:ind w:firstLine="480" w:firstLineChars="200"/>
        <w:rPr>
          <w:color w:val="auto"/>
          <w:sz w:val="24"/>
          <w:lang w:val="en-GB"/>
        </w:rPr>
      </w:pPr>
      <w:r>
        <w:rPr>
          <w:color w:val="auto"/>
          <w:sz w:val="24"/>
          <w:lang w:val="en-GB"/>
        </w:rPr>
        <w:t>（1）简单</w:t>
      </w:r>
      <w:r>
        <w:rPr>
          <w:rFonts w:hint="eastAsia"/>
          <w:color w:val="auto"/>
          <w:sz w:val="24"/>
          <w:lang w:val="en-GB" w:eastAsia="zh-CN"/>
        </w:rPr>
        <w:t>防渗</w:t>
      </w:r>
      <w:r>
        <w:rPr>
          <w:color w:val="auto"/>
          <w:sz w:val="24"/>
          <w:lang w:val="en-GB"/>
        </w:rPr>
        <w:t>区：</w:t>
      </w:r>
    </w:p>
    <w:p w14:paraId="075ED56E">
      <w:pPr>
        <w:spacing w:line="360" w:lineRule="auto"/>
        <w:ind w:firstLine="480" w:firstLineChars="200"/>
        <w:rPr>
          <w:color w:val="auto"/>
          <w:sz w:val="24"/>
          <w:lang w:val="en-GB"/>
        </w:rPr>
      </w:pPr>
      <w:r>
        <w:rPr>
          <w:color w:val="auto"/>
          <w:sz w:val="24"/>
          <w:lang w:val="en-GB"/>
        </w:rPr>
        <w:t>本项目</w:t>
      </w:r>
      <w:r>
        <w:rPr>
          <w:rFonts w:hint="eastAsia"/>
          <w:color w:val="auto"/>
          <w:sz w:val="24"/>
          <w:lang w:eastAsia="zh-CN"/>
        </w:rPr>
        <w:t>蛋库</w:t>
      </w:r>
      <w:r>
        <w:rPr>
          <w:rFonts w:hint="eastAsia"/>
          <w:color w:val="auto"/>
          <w:sz w:val="24"/>
        </w:rPr>
        <w:t>、</w:t>
      </w:r>
      <w:r>
        <w:rPr>
          <w:rFonts w:hint="eastAsia"/>
          <w:color w:val="auto"/>
          <w:sz w:val="24"/>
          <w:lang w:eastAsia="zh-CN"/>
        </w:rPr>
        <w:t>办公室、门卫、水塔、配电室、</w:t>
      </w:r>
      <w:r>
        <w:rPr>
          <w:color w:val="auto"/>
          <w:sz w:val="24"/>
          <w:lang w:val="en-GB"/>
        </w:rPr>
        <w:t>厂区内运输路面为简单污染防治区；主要防渗措施为地面硬化。</w:t>
      </w:r>
    </w:p>
    <w:p w14:paraId="5D604FF8">
      <w:pPr>
        <w:snapToGrid w:val="0"/>
        <w:spacing w:line="360" w:lineRule="auto"/>
        <w:ind w:firstLine="480" w:firstLineChars="200"/>
        <w:rPr>
          <w:color w:val="auto"/>
          <w:sz w:val="24"/>
          <w:lang w:val="en-GB"/>
        </w:rPr>
      </w:pPr>
      <w:r>
        <w:rPr>
          <w:color w:val="auto"/>
          <w:sz w:val="24"/>
          <w:lang w:val="en-GB"/>
        </w:rPr>
        <w:t>（2）一般</w:t>
      </w:r>
      <w:r>
        <w:rPr>
          <w:rFonts w:hint="eastAsia"/>
          <w:color w:val="auto"/>
          <w:sz w:val="24"/>
          <w:lang w:val="en-GB" w:eastAsia="zh-CN"/>
        </w:rPr>
        <w:t>防渗</w:t>
      </w:r>
      <w:r>
        <w:rPr>
          <w:color w:val="auto"/>
          <w:sz w:val="24"/>
          <w:lang w:val="en-GB"/>
        </w:rPr>
        <w:t>区：</w:t>
      </w:r>
    </w:p>
    <w:p w14:paraId="213863AF">
      <w:pPr>
        <w:spacing w:line="360" w:lineRule="auto"/>
        <w:ind w:firstLine="480" w:firstLineChars="200"/>
        <w:rPr>
          <w:color w:val="auto"/>
          <w:sz w:val="24"/>
        </w:rPr>
      </w:pPr>
      <w:r>
        <w:rPr>
          <w:color w:val="auto"/>
          <w:sz w:val="24"/>
        </w:rPr>
        <w:t>①一般污染防治区为</w:t>
      </w:r>
      <w:r>
        <w:rPr>
          <w:rFonts w:hint="eastAsia"/>
          <w:color w:val="auto"/>
          <w:sz w:val="24"/>
          <w:lang w:eastAsia="zh-CN"/>
        </w:rPr>
        <w:t>临时储粪场</w:t>
      </w:r>
      <w:r>
        <w:rPr>
          <w:rFonts w:hint="eastAsia"/>
          <w:color w:val="auto"/>
          <w:sz w:val="24"/>
        </w:rPr>
        <w:t>、</w:t>
      </w:r>
      <w:r>
        <w:rPr>
          <w:color w:val="auto"/>
          <w:sz w:val="24"/>
        </w:rPr>
        <w:t>污水收集管道、鸡舍、</w:t>
      </w:r>
      <w:r>
        <w:rPr>
          <w:rFonts w:hint="eastAsia"/>
          <w:color w:val="auto"/>
          <w:sz w:val="24"/>
          <w:lang w:eastAsia="zh-CN"/>
        </w:rPr>
        <w:t>废水收集池</w:t>
      </w:r>
      <w:r>
        <w:rPr>
          <w:rFonts w:hint="eastAsia"/>
          <w:color w:val="auto"/>
          <w:sz w:val="24"/>
        </w:rPr>
        <w:t>、锅炉房</w:t>
      </w:r>
      <w:r>
        <w:rPr>
          <w:rFonts w:hint="eastAsia"/>
          <w:color w:val="auto"/>
          <w:sz w:val="24"/>
          <w:lang w:eastAsia="zh-CN"/>
        </w:rPr>
        <w:t>、车辆消毒池、洗消间</w:t>
      </w:r>
      <w:r>
        <w:rPr>
          <w:color w:val="auto"/>
          <w:sz w:val="24"/>
          <w:lang w:val="en-GB"/>
        </w:rPr>
        <w:t>，要求</w:t>
      </w:r>
      <w:r>
        <w:rPr>
          <w:color w:val="auto"/>
          <w:sz w:val="24"/>
        </w:rPr>
        <w:t>底部压实粘土层厚度≥1m，满足渗透系数K≤1.0×10</w:t>
      </w:r>
      <w:r>
        <w:rPr>
          <w:color w:val="auto"/>
          <w:sz w:val="24"/>
          <w:vertAlign w:val="superscript"/>
        </w:rPr>
        <w:t>-7</w:t>
      </w:r>
      <w:r>
        <w:rPr>
          <w:color w:val="auto"/>
          <w:sz w:val="24"/>
        </w:rPr>
        <w:t>cm/s，在做好基层防渗的基础上进行水泥硬化。</w:t>
      </w:r>
    </w:p>
    <w:p w14:paraId="41D978C7">
      <w:pPr>
        <w:spacing w:line="360" w:lineRule="auto"/>
        <w:ind w:firstLine="480" w:firstLineChars="200"/>
        <w:rPr>
          <w:color w:val="auto"/>
          <w:sz w:val="24"/>
        </w:rPr>
      </w:pPr>
      <w:r>
        <w:rPr>
          <w:color w:val="auto"/>
          <w:sz w:val="24"/>
        </w:rPr>
        <w:t>②</w:t>
      </w:r>
      <w:r>
        <w:rPr>
          <w:rFonts w:hint="eastAsia"/>
          <w:color w:val="auto"/>
          <w:sz w:val="24"/>
          <w:lang w:eastAsia="zh-CN"/>
        </w:rPr>
        <w:t>临时储粪场</w:t>
      </w:r>
      <w:r>
        <w:rPr>
          <w:color w:val="auto"/>
          <w:sz w:val="24"/>
          <w:lang w:val="en-GB"/>
        </w:rPr>
        <w:t>的池体</w:t>
      </w:r>
      <w:r>
        <w:rPr>
          <w:color w:val="auto"/>
          <w:sz w:val="24"/>
        </w:rPr>
        <w:t>四周分别设置</w:t>
      </w:r>
      <w:r>
        <w:rPr>
          <w:rFonts w:hint="eastAsia"/>
          <w:color w:val="auto"/>
          <w:sz w:val="24"/>
          <w:lang w:val="en-US" w:eastAsia="zh-CN"/>
        </w:rPr>
        <w:t>1.0</w:t>
      </w:r>
      <w:r>
        <w:rPr>
          <w:color w:val="auto"/>
          <w:sz w:val="24"/>
        </w:rPr>
        <w:t>m高围堰，防止夏季雨水汇入，导致污水溢流。</w:t>
      </w:r>
    </w:p>
    <w:p w14:paraId="57E8FF4B">
      <w:pPr>
        <w:spacing w:line="360" w:lineRule="auto"/>
        <w:ind w:firstLine="480" w:firstLineChars="200"/>
        <w:rPr>
          <w:color w:val="auto"/>
          <w:sz w:val="24"/>
          <w:lang w:val="en-GB"/>
        </w:rPr>
      </w:pPr>
      <w:r>
        <w:rPr>
          <w:color w:val="auto"/>
          <w:sz w:val="24"/>
        </w:rPr>
        <w:t>③粪污各输送管道做好防渗防腐措施，防止跑冒滴漏。</w:t>
      </w:r>
    </w:p>
    <w:p w14:paraId="5EABBDDA">
      <w:pPr>
        <w:spacing w:line="360" w:lineRule="auto"/>
        <w:ind w:firstLine="480" w:firstLineChars="200"/>
        <w:rPr>
          <w:rFonts w:hint="default" w:eastAsia="宋体"/>
          <w:color w:val="auto"/>
          <w:sz w:val="24"/>
          <w:lang w:val="en-US" w:eastAsia="zh-CN"/>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rFonts w:hint="eastAsia"/>
          <w:color w:val="auto"/>
          <w:sz w:val="24"/>
          <w:lang w:val="en-US" w:eastAsia="zh-CN"/>
        </w:rPr>
        <w:t>重点防渗区</w:t>
      </w:r>
    </w:p>
    <w:p w14:paraId="1CA489BD">
      <w:pPr>
        <w:spacing w:line="360" w:lineRule="auto"/>
        <w:ind w:firstLine="480" w:firstLineChars="200"/>
        <w:rPr>
          <w:color w:val="auto"/>
          <w:sz w:val="24"/>
          <w:highlight w:val="none"/>
        </w:rPr>
      </w:pPr>
      <w:r>
        <w:rPr>
          <w:rFonts w:hint="eastAsia"/>
          <w:color w:val="auto"/>
          <w:sz w:val="24"/>
          <w:highlight w:val="none"/>
          <w:lang w:val="en-US" w:eastAsia="zh-CN"/>
        </w:rPr>
        <w:t>医疗废物暂存间</w:t>
      </w:r>
      <w:r>
        <w:rPr>
          <w:color w:val="auto"/>
          <w:sz w:val="24"/>
          <w:highlight w:val="none"/>
        </w:rPr>
        <w:t>需满足《环境影响评价技术导则地下水环境》（HJ610-2016）中重点防渗区的要求，等效粘土防渗层Mb≥6.0m，K≤10</w:t>
      </w:r>
      <w:r>
        <w:rPr>
          <w:color w:val="auto"/>
          <w:sz w:val="24"/>
          <w:highlight w:val="none"/>
          <w:vertAlign w:val="superscript"/>
        </w:rPr>
        <w:t>-7</w:t>
      </w:r>
      <w:r>
        <w:rPr>
          <w:color w:val="auto"/>
          <w:sz w:val="24"/>
          <w:highlight w:val="none"/>
        </w:rPr>
        <w:t>cm/s；或参照（GB18598</w:t>
      </w:r>
      <w:r>
        <w:rPr>
          <w:rFonts w:hint="eastAsia"/>
          <w:color w:val="auto"/>
          <w:sz w:val="24"/>
          <w:highlight w:val="none"/>
          <w:lang w:val="en-US" w:eastAsia="zh-CN"/>
        </w:rPr>
        <w:t>-</w:t>
      </w:r>
      <w:r>
        <w:rPr>
          <w:color w:val="auto"/>
          <w:sz w:val="24"/>
          <w:highlight w:val="none"/>
        </w:rPr>
        <w:t>20</w:t>
      </w:r>
      <w:r>
        <w:rPr>
          <w:rFonts w:hint="eastAsia"/>
          <w:color w:val="auto"/>
          <w:sz w:val="24"/>
          <w:highlight w:val="none"/>
          <w:lang w:val="en-US" w:eastAsia="zh-CN"/>
        </w:rPr>
        <w:t>23</w:t>
      </w:r>
      <w:r>
        <w:rPr>
          <w:color w:val="auto"/>
          <w:sz w:val="24"/>
          <w:highlight w:val="none"/>
        </w:rPr>
        <w:t>）执行；医疗废物暂存间按照防渗系数K≤10</w:t>
      </w:r>
      <w:r>
        <w:rPr>
          <w:color w:val="auto"/>
          <w:sz w:val="24"/>
          <w:highlight w:val="none"/>
          <w:vertAlign w:val="superscript"/>
        </w:rPr>
        <w:t>-10</w:t>
      </w:r>
      <w:r>
        <w:rPr>
          <w:color w:val="auto"/>
          <w:sz w:val="24"/>
          <w:highlight w:val="none"/>
        </w:rPr>
        <w:t>cm/s执行。医疗废物等危险废物应采用专用容器盛装，并有明显标示标明具体物质名称，分类储存，防止泄露。</w:t>
      </w:r>
    </w:p>
    <w:p w14:paraId="633DF7F3">
      <w:pPr>
        <w:spacing w:line="360" w:lineRule="auto"/>
        <w:ind w:firstLine="480" w:firstLineChars="200"/>
        <w:rPr>
          <w:color w:val="auto"/>
          <w:sz w:val="24"/>
        </w:rPr>
      </w:pPr>
      <w:r>
        <w:rPr>
          <w:color w:val="auto"/>
          <w:sz w:val="24"/>
        </w:rPr>
        <w:t>本项目对地下水的主要污染途径为废水渗漏，在认真采取以上措施的基础上，一旦发生水泥硬化层断裂，由于防渗层的保护作用，废水积聚在各处理单元，不会对地下水造成污染。分区防渗图见</w:t>
      </w:r>
      <w:r>
        <w:rPr>
          <w:rFonts w:hint="eastAsia"/>
          <w:color w:val="auto"/>
          <w:sz w:val="24"/>
          <w:lang w:eastAsia="zh-CN"/>
        </w:rPr>
        <w:t>下</w:t>
      </w:r>
      <w:r>
        <w:rPr>
          <w:color w:val="auto"/>
          <w:sz w:val="24"/>
        </w:rPr>
        <w:t>图。</w:t>
      </w:r>
    </w:p>
    <w:p w14:paraId="7261B9EC">
      <w:pPr>
        <w:bidi w:val="0"/>
        <w:rPr>
          <w:color w:val="auto"/>
        </w:rPr>
      </w:pPr>
    </w:p>
    <w:p w14:paraId="44FCC915">
      <w:pPr>
        <w:bidi w:val="0"/>
        <w:rPr>
          <w:color w:val="auto"/>
        </w:rPr>
      </w:pPr>
      <w:r>
        <w:rPr>
          <w:color w:val="auto"/>
          <w:sz w:val="21"/>
        </w:rPr>
        <mc:AlternateContent>
          <mc:Choice Requires="wpg">
            <w:drawing>
              <wp:anchor distT="0" distB="0" distL="114300" distR="114300" simplePos="0" relativeHeight="251751424" behindDoc="0" locked="0" layoutInCell="1" allowOverlap="1">
                <wp:simplePos x="0" y="0"/>
                <wp:positionH relativeFrom="column">
                  <wp:posOffset>12065</wp:posOffset>
                </wp:positionH>
                <wp:positionV relativeFrom="paragraph">
                  <wp:posOffset>2336800</wp:posOffset>
                </wp:positionV>
                <wp:extent cx="1685925" cy="1085215"/>
                <wp:effectExtent l="4445" t="4445" r="5080" b="15240"/>
                <wp:wrapNone/>
                <wp:docPr id="434" name="组合 434"/>
                <wp:cNvGraphicFramePr/>
                <a:graphic xmlns:a="http://schemas.openxmlformats.org/drawingml/2006/main">
                  <a:graphicData uri="http://schemas.microsoft.com/office/word/2010/wordprocessingGroup">
                    <wpg:wgp>
                      <wpg:cNvGrpSpPr/>
                      <wpg:grpSpPr>
                        <a:xfrm>
                          <a:off x="0" y="0"/>
                          <a:ext cx="1685925" cy="1085215"/>
                          <a:chOff x="15435" y="2032769"/>
                          <a:chExt cx="2655" cy="1709"/>
                        </a:xfrm>
                      </wpg:grpSpPr>
                      <wps:wsp>
                        <wps:cNvPr id="430" name="文本框 430"/>
                        <wps:cNvSpPr txBox="1"/>
                        <wps:spPr>
                          <a:xfrm>
                            <a:off x="15435" y="2032769"/>
                            <a:ext cx="2655" cy="170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2422737">
                              <w:pPr>
                                <w:spacing w:line="360" w:lineRule="auto"/>
                                <w:rPr>
                                  <w:rFonts w:hint="eastAsia"/>
                                  <w:lang w:eastAsia="zh-CN"/>
                                </w:rPr>
                              </w:pPr>
                              <w:r>
                                <w:rPr>
                                  <w:rFonts w:hint="eastAsia"/>
                                  <w:lang w:eastAsia="zh-CN"/>
                                </w:rPr>
                                <w:t>图例</w:t>
                              </w:r>
                            </w:p>
                            <w:p w14:paraId="181D108F">
                              <w:pPr>
                                <w:pStyle w:val="69"/>
                                <w:spacing w:line="360" w:lineRule="auto"/>
                                <w:ind w:firstLine="720" w:firstLineChars="300"/>
                                <w:rPr>
                                  <w:rFonts w:hint="eastAsia" w:ascii="宋体" w:hAnsi="宋体" w:eastAsia="宋体" w:cs="宋体"/>
                                  <w:lang w:eastAsia="zh-CN"/>
                                </w:rPr>
                              </w:pPr>
                              <w:r>
                                <w:rPr>
                                  <w:rFonts w:hint="eastAsia" w:ascii="宋体" w:hAnsi="宋体" w:eastAsia="宋体" w:cs="宋体"/>
                                  <w:lang w:eastAsia="zh-CN"/>
                                </w:rPr>
                                <w:t>重点防渗区</w:t>
                              </w:r>
                            </w:p>
                            <w:p w14:paraId="2FD8C030">
                              <w:pPr>
                                <w:spacing w:line="360" w:lineRule="auto"/>
                                <w:ind w:firstLine="630" w:firstLineChars="300"/>
                                <w:rPr>
                                  <w:rFonts w:hint="eastAsia" w:ascii="宋体" w:hAnsi="宋体" w:eastAsia="宋体" w:cs="宋体"/>
                                  <w:lang w:eastAsia="zh-CN"/>
                                </w:rPr>
                              </w:pPr>
                              <w:r>
                                <w:rPr>
                                  <w:rFonts w:hint="eastAsia" w:ascii="宋体" w:hAnsi="宋体" w:eastAsia="宋体" w:cs="宋体"/>
                                  <w:lang w:eastAsia="zh-CN"/>
                                </w:rPr>
                                <w:t>一般防渗区</w:t>
                              </w:r>
                            </w:p>
                            <w:p w14:paraId="43D0FB5B">
                              <w:pPr>
                                <w:pStyle w:val="69"/>
                                <w:spacing w:line="360" w:lineRule="auto"/>
                                <w:ind w:firstLine="720" w:firstLineChars="300"/>
                                <w:rPr>
                                  <w:rFonts w:hint="eastAsia" w:ascii="宋体" w:hAnsi="宋体" w:eastAsia="宋体" w:cs="宋体"/>
                                  <w:lang w:eastAsia="zh-CN"/>
                                </w:rPr>
                              </w:pPr>
                              <w:r>
                                <w:rPr>
                                  <w:rFonts w:hint="eastAsia" w:ascii="宋体" w:hAnsi="宋体" w:eastAsia="宋体" w:cs="宋体"/>
                                  <w:lang w:eastAsia="zh-CN"/>
                                </w:rPr>
                                <w:t>简单防渗区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1" name="矩形 431"/>
                        <wps:cNvSpPr/>
                        <wps:spPr>
                          <a:xfrm>
                            <a:off x="15690" y="2033278"/>
                            <a:ext cx="360" cy="255"/>
                          </a:xfrm>
                          <a:prstGeom prst="rect">
                            <a:avLst/>
                          </a:prstGeom>
                          <a:solidFill>
                            <a:srgbClr val="FF0000">
                              <a:alpha val="50000"/>
                            </a:srgbClr>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32" name="矩形 432"/>
                        <wps:cNvSpPr/>
                        <wps:spPr>
                          <a:xfrm>
                            <a:off x="15690" y="2033698"/>
                            <a:ext cx="360" cy="255"/>
                          </a:xfrm>
                          <a:prstGeom prst="rect">
                            <a:avLst/>
                          </a:prstGeom>
                          <a:solidFill>
                            <a:srgbClr val="0B06F8">
                              <a:alpha val="50000"/>
                            </a:srgbClr>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33" name="矩形 433"/>
                        <wps:cNvSpPr/>
                        <wps:spPr>
                          <a:xfrm>
                            <a:off x="15690" y="2034103"/>
                            <a:ext cx="360" cy="255"/>
                          </a:xfrm>
                          <a:prstGeom prst="rect">
                            <a:avLst/>
                          </a:prstGeom>
                          <a:solidFill>
                            <a:srgbClr val="FFFF00">
                              <a:alpha val="80000"/>
                            </a:srgbClr>
                          </a:solid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95pt;margin-top:184pt;height:85.45pt;width:132.75pt;z-index:251751424;mso-width-relative:page;mso-height-relative:page;" coordorigin="15435,2032769" coordsize="2655,1709" o:gfxdata="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">
                <o:lock v:ext="edit" aspectratio="f"/>
                <v:shape id="_x0000_s1026" o:spid="_x0000_s1026" o:spt="202" type="#_x0000_t202" style="position:absolute;left:15435;top:2032769;height:1709;width:2655;" fillcolor="#C7EDCC [3201]" filled="t" stroked="t" coordsize="21600,21600" o:gfxdata="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IbsAAADc&#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w:txbxContent>
                      <w:p w14:paraId="72422737">
                        <w:pPr>
                          <w:spacing w:line="360" w:lineRule="auto"/>
                          <w:rPr>
                            <w:rFonts w:hint="eastAsia"/>
                            <w:lang w:eastAsia="zh-CN"/>
                          </w:rPr>
                        </w:pPr>
                        <w:r>
                          <w:rPr>
                            <w:rFonts w:hint="eastAsia"/>
                            <w:lang w:eastAsia="zh-CN"/>
                          </w:rPr>
                          <w:t>图例</w:t>
                        </w:r>
                      </w:p>
                      <w:p w14:paraId="181D108F">
                        <w:pPr>
                          <w:pStyle w:val="69"/>
                          <w:spacing w:line="360" w:lineRule="auto"/>
                          <w:ind w:firstLine="720" w:firstLineChars="300"/>
                          <w:rPr>
                            <w:rFonts w:hint="eastAsia" w:ascii="宋体" w:hAnsi="宋体" w:eastAsia="宋体" w:cs="宋体"/>
                            <w:lang w:eastAsia="zh-CN"/>
                          </w:rPr>
                        </w:pPr>
                        <w:r>
                          <w:rPr>
                            <w:rFonts w:hint="eastAsia" w:ascii="宋体" w:hAnsi="宋体" w:eastAsia="宋体" w:cs="宋体"/>
                            <w:lang w:eastAsia="zh-CN"/>
                          </w:rPr>
                          <w:t>重点防渗区</w:t>
                        </w:r>
                      </w:p>
                      <w:p w14:paraId="2FD8C030">
                        <w:pPr>
                          <w:spacing w:line="360" w:lineRule="auto"/>
                          <w:ind w:firstLine="630" w:firstLineChars="300"/>
                          <w:rPr>
                            <w:rFonts w:hint="eastAsia" w:ascii="宋体" w:hAnsi="宋体" w:eastAsia="宋体" w:cs="宋体"/>
                            <w:lang w:eastAsia="zh-CN"/>
                          </w:rPr>
                        </w:pPr>
                        <w:r>
                          <w:rPr>
                            <w:rFonts w:hint="eastAsia" w:ascii="宋体" w:hAnsi="宋体" w:eastAsia="宋体" w:cs="宋体"/>
                            <w:lang w:eastAsia="zh-CN"/>
                          </w:rPr>
                          <w:t>一般防渗区</w:t>
                        </w:r>
                      </w:p>
                      <w:p w14:paraId="43D0FB5B">
                        <w:pPr>
                          <w:pStyle w:val="69"/>
                          <w:spacing w:line="360" w:lineRule="auto"/>
                          <w:ind w:firstLine="720" w:firstLineChars="300"/>
                          <w:rPr>
                            <w:rFonts w:hint="eastAsia" w:ascii="宋体" w:hAnsi="宋体" w:eastAsia="宋体" w:cs="宋体"/>
                            <w:lang w:eastAsia="zh-CN"/>
                          </w:rPr>
                        </w:pPr>
                        <w:r>
                          <w:rPr>
                            <w:rFonts w:hint="eastAsia" w:ascii="宋体" w:hAnsi="宋体" w:eastAsia="宋体" w:cs="宋体"/>
                            <w:lang w:eastAsia="zh-CN"/>
                          </w:rPr>
                          <w:t>简单防渗区</w:t>
                        </w:r>
                      </w:p>
                    </w:txbxContent>
                  </v:textbox>
                </v:shape>
                <v:rect id="_x0000_s1026" o:spid="_x0000_s1026" o:spt="1" style="position:absolute;left:15690;top:2033278;height:255;width:360;v-text-anchor:middle;" fillcolor="#FF0000" filled="t" stroked="t" coordsize="21600,21600" o:gfxdata="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fvErsAAADc&#10;AAAADwAAAAAAAAABACAAAAAiAAAAZHJzL2Rvd25yZXYueG1sUEsBAhQAFAAAAAgAh07iQDMvBZ47&#10;AAAAOQAAABAAAAAAAAAAAQAgAAAACgEAAGRycy9zaGFwZXhtbC54bWxQSwUGAAAAAAYABgBbAQAA&#10;tAMAAAAA&#10;">
                  <v:fill on="t" opacity="32768f" focussize="0,0"/>
                  <v:stroke weight="1pt" color="#000000 [3213]" joinstyle="round"/>
                  <v:imagedata o:title=""/>
                  <o:lock v:ext="edit" aspectratio="f"/>
                </v:rect>
                <v:rect id="_x0000_s1026" o:spid="_x0000_s1026" o:spt="1" style="position:absolute;left:15690;top:2033698;height:255;width:360;v-text-anchor:middle;" fillcolor="#0B06F8" filled="t" stroked="t" coordsize="21600,21600" o:gfxdata="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7T3W/&#10;AAAA3AAAAA8AAAAAAAAAAQAgAAAAIgAAAGRycy9kb3ducmV2LnhtbFBLAQIUABQAAAAIAIdO4kAz&#10;LwWeOwAAADkAAAAQAAAAAAAAAAEAIAAAAA4BAABkcnMvc2hhcGV4bWwueG1sUEsFBgAAAAAGAAYA&#10;WwEAALgDAAAAAA==&#10;">
                  <v:fill on="t" opacity="32768f" focussize="0,0"/>
                  <v:stroke weight="1pt" color="#FF0000 [2404]" joinstyle="round"/>
                  <v:imagedata o:title=""/>
                  <o:lock v:ext="edit" aspectratio="f"/>
                </v:rect>
                <v:rect id="_x0000_s1026" o:spid="_x0000_s1026" o:spt="1" style="position:absolute;left:15690;top:2034103;height:255;width:360;v-text-anchor:middle;" fillcolor="#FFFF00" filled="t" stroked="t" coordsize="21600,21600" o:gfxdata="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WYTRW/&#10;AAAA3AAAAA8AAAAAAAAAAQAgAAAAIgAAAGRycy9kb3ducmV2LnhtbFBLAQIUABQAAAAIAIdO4kAz&#10;LwWeOwAAADkAAAAQAAAAAAAAAAEAIAAAAA4BAABkcnMvc2hhcGV4bWwueG1sUEsFBgAAAAAGAAYA&#10;WwEAALgDAAAAAA==&#10;">
                  <v:fill on="t" opacity="52428f" focussize="0,0"/>
                  <v:stroke weight="1pt" color="#FF0000 [2404]" joinstyle="round"/>
                  <v:imagedata o:title=""/>
                  <o:lock v:ext="edit" aspectratio="f"/>
                </v:rect>
              </v:group>
            </w:pict>
          </mc:Fallback>
        </mc:AlternateContent>
      </w:r>
      <w:r>
        <w:rPr>
          <w:color w:val="auto"/>
        </w:rPr>
        <w:drawing>
          <wp:anchor distT="0" distB="0" distL="114300" distR="114300" simplePos="0" relativeHeight="251755520" behindDoc="0" locked="0" layoutInCell="1" allowOverlap="1">
            <wp:simplePos x="0" y="0"/>
            <wp:positionH relativeFrom="column">
              <wp:posOffset>4672330</wp:posOffset>
            </wp:positionH>
            <wp:positionV relativeFrom="paragraph">
              <wp:posOffset>15240</wp:posOffset>
            </wp:positionV>
            <wp:extent cx="617855" cy="584835"/>
            <wp:effectExtent l="0" t="0" r="10795" b="5715"/>
            <wp:wrapNone/>
            <wp:docPr id="4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3"/>
                    <pic:cNvPicPr>
                      <a:picLocks noChangeAspect="1"/>
                    </pic:cNvPicPr>
                  </pic:nvPicPr>
                  <pic:blipFill>
                    <a:blip r:embed="rId21"/>
                    <a:stretch>
                      <a:fillRect/>
                    </a:stretch>
                  </pic:blipFill>
                  <pic:spPr>
                    <a:xfrm>
                      <a:off x="0" y="0"/>
                      <a:ext cx="617855" cy="584835"/>
                    </a:xfrm>
                    <a:prstGeom prst="rect">
                      <a:avLst/>
                    </a:prstGeom>
                    <a:noFill/>
                    <a:ln>
                      <a:noFill/>
                    </a:ln>
                  </pic:spPr>
                </pic:pic>
              </a:graphicData>
            </a:graphic>
          </wp:anchor>
        </w:drawing>
      </w:r>
      <w:r>
        <w:drawing>
          <wp:inline distT="0" distB="0" distL="114300" distR="114300">
            <wp:extent cx="5270500" cy="3427730"/>
            <wp:effectExtent l="9525" t="9525" r="15875" b="10795"/>
            <wp:docPr id="46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25"/>
                    <pic:cNvPicPr>
                      <a:picLocks noChangeAspect="1"/>
                    </pic:cNvPicPr>
                  </pic:nvPicPr>
                  <pic:blipFill>
                    <a:blip r:embed="rId54"/>
                    <a:stretch>
                      <a:fillRect/>
                    </a:stretch>
                  </pic:blipFill>
                  <pic:spPr>
                    <a:xfrm>
                      <a:off x="0" y="0"/>
                      <a:ext cx="5270500" cy="3427730"/>
                    </a:xfrm>
                    <a:prstGeom prst="rect">
                      <a:avLst/>
                    </a:prstGeom>
                    <a:noFill/>
                    <a:ln>
                      <a:solidFill>
                        <a:schemeClr val="tx1"/>
                      </a:solidFill>
                    </a:ln>
                  </pic:spPr>
                </pic:pic>
              </a:graphicData>
            </a:graphic>
          </wp:inline>
        </w:drawing>
      </w:r>
    </w:p>
    <w:p w14:paraId="39E6C1BA">
      <w:pPr>
        <w:bidi w:val="0"/>
        <w:rPr>
          <w:color w:val="auto"/>
          <w:highlight w:val="none"/>
        </w:rPr>
      </w:pPr>
    </w:p>
    <w:p w14:paraId="40FC06C0">
      <w:pPr>
        <w:pStyle w:val="16"/>
        <w:spacing w:line="360" w:lineRule="auto"/>
        <w:jc w:val="center"/>
        <w:rPr>
          <w:rFonts w:hint="eastAsia" w:eastAsia="宋体"/>
          <w:color w:val="auto"/>
          <w:sz w:val="24"/>
          <w:szCs w:val="24"/>
          <w:highlight w:val="none"/>
          <w:lang w:eastAsia="zh-CN"/>
        </w:rPr>
      </w:pPr>
      <w:r>
        <w:rPr>
          <w:rFonts w:hint="eastAsia"/>
          <w:b/>
          <w:bCs/>
          <w:color w:val="auto"/>
          <w:sz w:val="24"/>
          <w:szCs w:val="24"/>
          <w:highlight w:val="none"/>
        </w:rPr>
        <w:t>附图7</w:t>
      </w:r>
      <w:r>
        <w:rPr>
          <w:rFonts w:hint="eastAsia"/>
          <w:b/>
          <w:bCs/>
          <w:color w:val="auto"/>
          <w:sz w:val="24"/>
          <w:szCs w:val="24"/>
          <w:highlight w:val="none"/>
          <w:lang w:val="en-US" w:eastAsia="zh-CN"/>
        </w:rPr>
        <w:t>.2-1</w:t>
      </w:r>
      <w:r>
        <w:rPr>
          <w:rFonts w:hint="eastAsia"/>
          <w:b/>
          <w:bCs/>
          <w:color w:val="auto"/>
          <w:sz w:val="24"/>
          <w:szCs w:val="24"/>
          <w:highlight w:val="none"/>
        </w:rPr>
        <w:t xml:space="preserve">  项目地下水分区防渗</w:t>
      </w:r>
      <w:r>
        <w:rPr>
          <w:rFonts w:hint="eastAsia"/>
          <w:b/>
          <w:bCs/>
          <w:color w:val="auto"/>
          <w:sz w:val="24"/>
          <w:szCs w:val="24"/>
          <w:highlight w:val="none"/>
          <w:lang w:eastAsia="zh-CN"/>
        </w:rPr>
        <w:t>图</w:t>
      </w:r>
    </w:p>
    <w:p w14:paraId="7ACE3BBF">
      <w:pPr>
        <w:tabs>
          <w:tab w:val="left" w:pos="3914"/>
        </w:tabs>
        <w:spacing w:line="360" w:lineRule="auto"/>
        <w:rPr>
          <w:rFonts w:hint="eastAsia"/>
          <w:b/>
          <w:bCs/>
          <w:color w:val="auto"/>
          <w:sz w:val="24"/>
          <w:lang w:eastAsia="zh-CN"/>
        </w:rPr>
      </w:pPr>
      <w:r>
        <w:rPr>
          <w:rFonts w:hint="eastAsia"/>
          <w:b/>
          <w:bCs/>
          <w:color w:val="auto"/>
          <w:sz w:val="24"/>
          <w:lang w:eastAsia="zh-CN"/>
        </w:rPr>
        <w:t>7.2.5.2跟踪监测</w:t>
      </w:r>
    </w:p>
    <w:p w14:paraId="59E8229C">
      <w:pPr>
        <w:spacing w:line="360" w:lineRule="auto"/>
        <w:ind w:firstLine="480" w:firstLineChars="200"/>
        <w:rPr>
          <w:color w:val="auto"/>
          <w:sz w:val="24"/>
        </w:rPr>
      </w:pPr>
      <w:r>
        <w:rPr>
          <w:color w:val="auto"/>
          <w:sz w:val="24"/>
        </w:rPr>
        <w:t>定期对地下水环境进行监测，委托具有资质的单位进行，监测报告应包括建设项目所在地及其影响区地下水环境跟踪监测数据，各生产设施及污染防控措施等设施的运行状况、维护记录，同时对监测结果进行信息公开，每年公开一次。</w:t>
      </w:r>
    </w:p>
    <w:p w14:paraId="2F275DEA">
      <w:pPr>
        <w:spacing w:line="360" w:lineRule="auto"/>
        <w:ind w:firstLine="480" w:firstLineChars="200"/>
        <w:rPr>
          <w:color w:val="auto"/>
          <w:sz w:val="24"/>
        </w:rPr>
      </w:pPr>
      <w:r>
        <w:rPr>
          <w:color w:val="auto"/>
          <w:sz w:val="24"/>
        </w:rPr>
        <w:t>本项目以地下水下游方位的</w:t>
      </w:r>
      <w:r>
        <w:rPr>
          <w:rFonts w:hint="eastAsia"/>
          <w:color w:val="auto"/>
          <w:sz w:val="24"/>
          <w:lang w:eastAsia="zh-CN"/>
        </w:rPr>
        <w:t>设置</w:t>
      </w:r>
      <w:r>
        <w:rPr>
          <w:rFonts w:hint="eastAsia"/>
          <w:color w:val="auto"/>
          <w:sz w:val="24"/>
          <w:lang w:val="en-US" w:eastAsia="zh-CN"/>
        </w:rPr>
        <w:t>1验监测井</w:t>
      </w:r>
      <w:r>
        <w:rPr>
          <w:color w:val="auto"/>
          <w:sz w:val="24"/>
        </w:rPr>
        <w:t>作为项目运营期间的地下水跟踪监测井，</w:t>
      </w:r>
      <w:r>
        <w:rPr>
          <w:color w:val="auto"/>
          <w:sz w:val="24"/>
          <w:szCs w:val="32"/>
        </w:rPr>
        <w:t>具体监测项目为：</w:t>
      </w:r>
      <w:r>
        <w:rPr>
          <w:color w:val="auto"/>
          <w:sz w:val="24"/>
          <w:szCs w:val="32"/>
          <w:lang w:val="zh-CN"/>
        </w:rPr>
        <w:t>pH、耗氧量、总硬度、溶解性总固体、氨氮、氯化物、氟化物、挥发酚、硝酸盐、亚硝酸盐、硫酸盐、</w:t>
      </w:r>
      <w:r>
        <w:rPr>
          <w:color w:val="auto"/>
          <w:sz w:val="24"/>
        </w:rPr>
        <w:t>总大肠菌群、细菌总数</w:t>
      </w:r>
      <w:r>
        <w:rPr>
          <w:color w:val="auto"/>
          <w:sz w:val="24"/>
          <w:szCs w:val="32"/>
          <w:lang w:val="zh-CN"/>
        </w:rPr>
        <w:t>。</w:t>
      </w:r>
      <w:r>
        <w:rPr>
          <w:color w:val="auto"/>
          <w:sz w:val="24"/>
          <w:szCs w:val="32"/>
        </w:rPr>
        <w:t>监测频率：每</w:t>
      </w:r>
      <w:r>
        <w:rPr>
          <w:rFonts w:hint="eastAsia"/>
          <w:color w:val="auto"/>
          <w:sz w:val="24"/>
          <w:szCs w:val="32"/>
        </w:rPr>
        <w:t>半年</w:t>
      </w:r>
      <w:r>
        <w:rPr>
          <w:color w:val="auto"/>
          <w:sz w:val="24"/>
          <w:szCs w:val="32"/>
        </w:rPr>
        <w:t>进行1次</w:t>
      </w:r>
      <w:r>
        <w:rPr>
          <w:color w:val="auto"/>
          <w:sz w:val="24"/>
        </w:rPr>
        <w:t>。在运营过程中应认真落实跟踪监测的工作，应编写地下水环境跟踪监测报告，报告中的内容应包括：地下水跟踪监测的数据（污染物种类、数量、浓度），生产设备、管线、贮存和运输装置的运行情况，跑冒滴漏记录和维护记录。</w:t>
      </w:r>
    </w:p>
    <w:p w14:paraId="291AACBA">
      <w:pPr>
        <w:tabs>
          <w:tab w:val="left" w:pos="3914"/>
        </w:tabs>
        <w:spacing w:line="360" w:lineRule="auto"/>
        <w:rPr>
          <w:rFonts w:hint="eastAsia"/>
          <w:b/>
          <w:bCs/>
          <w:color w:val="auto"/>
          <w:sz w:val="24"/>
          <w:lang w:eastAsia="zh-CN"/>
        </w:rPr>
      </w:pPr>
      <w:r>
        <w:rPr>
          <w:rFonts w:hint="eastAsia"/>
          <w:b/>
          <w:bCs/>
          <w:color w:val="auto"/>
          <w:sz w:val="24"/>
          <w:lang w:eastAsia="zh-CN"/>
        </w:rPr>
        <w:t>7.2.5.3信息公开</w:t>
      </w:r>
    </w:p>
    <w:p w14:paraId="519C46BF">
      <w:pPr>
        <w:spacing w:line="360" w:lineRule="auto"/>
        <w:ind w:firstLine="523" w:firstLineChars="218"/>
        <w:rPr>
          <w:color w:val="auto"/>
          <w:sz w:val="24"/>
        </w:rPr>
      </w:pPr>
      <w:r>
        <w:rPr>
          <w:color w:val="auto"/>
          <w:sz w:val="24"/>
        </w:rPr>
        <w:t>建设单位在开展地下水跟踪监测的同时要进行地下水跟踪监测信息公开工作，每一期的地下水跟踪监测的数据结果要以公告的形式在场区内张贴出来，公告版应展示近3期的地下水跟踪监测结果，包括污染物的名称、监测数值和监测日期等信息。信息公开的主体是本项目的建设单位，需要对公示的监测数据负责。</w:t>
      </w:r>
      <w:bookmarkStart w:id="398" w:name="_Toc448224263"/>
    </w:p>
    <w:p w14:paraId="178E71A1">
      <w:pPr>
        <w:tabs>
          <w:tab w:val="left" w:pos="3914"/>
        </w:tabs>
        <w:spacing w:line="360" w:lineRule="auto"/>
        <w:rPr>
          <w:rFonts w:hint="eastAsia"/>
          <w:b/>
          <w:bCs/>
          <w:color w:val="auto"/>
          <w:sz w:val="24"/>
          <w:lang w:eastAsia="zh-CN"/>
        </w:rPr>
      </w:pPr>
      <w:r>
        <w:rPr>
          <w:rFonts w:hint="eastAsia"/>
          <w:b/>
          <w:bCs/>
          <w:color w:val="auto"/>
          <w:sz w:val="24"/>
          <w:lang w:eastAsia="zh-CN"/>
        </w:rPr>
        <w:t>7.2.5.4应急响应措施</w:t>
      </w:r>
    </w:p>
    <w:bookmarkEnd w:id="398"/>
    <w:p w14:paraId="3CEC7657">
      <w:pPr>
        <w:spacing w:line="360" w:lineRule="auto"/>
        <w:ind w:firstLine="523" w:firstLineChars="218"/>
        <w:rPr>
          <w:color w:val="auto"/>
          <w:sz w:val="24"/>
        </w:rPr>
      </w:pPr>
      <w:r>
        <w:rPr>
          <w:color w:val="auto"/>
          <w:sz w:val="24"/>
        </w:rPr>
        <w:t>由于</w:t>
      </w:r>
      <w:r>
        <w:rPr>
          <w:rFonts w:hint="eastAsia"/>
          <w:color w:val="auto"/>
          <w:sz w:val="24"/>
        </w:rPr>
        <w:t>粪污、</w:t>
      </w:r>
      <w:r>
        <w:rPr>
          <w:color w:val="auto"/>
          <w:sz w:val="24"/>
        </w:rPr>
        <w:t>污水泄漏事故发生具有隐蔽性，建设单位应认真落实按照全年丰平枯三期进行监测的地下水跟踪监测职责，运营期如果在跟踪监测的过程中污染物检出浓度大于现状背景值，则有可能说明污水发生渗漏。建设单位应组织开展检查工作，确定是否发生</w:t>
      </w:r>
      <w:r>
        <w:rPr>
          <w:rFonts w:hint="eastAsia"/>
          <w:color w:val="auto"/>
          <w:sz w:val="24"/>
        </w:rPr>
        <w:t>粪污、污水</w:t>
      </w:r>
      <w:r>
        <w:rPr>
          <w:color w:val="auto"/>
          <w:sz w:val="24"/>
        </w:rPr>
        <w:t>渗漏事故。当明确发生渗漏事故时，应根据渗漏位置将渗漏单元的污水排入</w:t>
      </w:r>
      <w:r>
        <w:rPr>
          <w:rFonts w:hint="eastAsia"/>
          <w:color w:val="auto"/>
          <w:sz w:val="24"/>
        </w:rPr>
        <w:t>事故池</w:t>
      </w:r>
      <w:r>
        <w:rPr>
          <w:color w:val="auto"/>
          <w:sz w:val="24"/>
        </w:rPr>
        <w:t>，若</w:t>
      </w:r>
      <w:r>
        <w:rPr>
          <w:rFonts w:hint="eastAsia"/>
          <w:color w:val="auto"/>
          <w:sz w:val="24"/>
        </w:rPr>
        <w:t>收集</w:t>
      </w:r>
      <w:r>
        <w:rPr>
          <w:color w:val="auto"/>
          <w:sz w:val="24"/>
        </w:rPr>
        <w:t>池渗漏应立即将污水暂排其他池体，同时应委托具有专业资质的环境监测单位进行更全面的地下水污染跟踪监测，以便明确渗漏事故的范围和程度。建设单位应将渗漏事故上报给环境保护主管部门，同时委托有专业技术能力的机构进行地下水影响的修复工作。</w:t>
      </w:r>
    </w:p>
    <w:p w14:paraId="34C7BA44">
      <w:pPr>
        <w:keepNext/>
        <w:keepLines/>
        <w:spacing w:line="360" w:lineRule="auto"/>
        <w:outlineLvl w:val="2"/>
        <w:rPr>
          <w:b/>
          <w:bCs/>
          <w:color w:val="auto"/>
          <w:sz w:val="28"/>
          <w:szCs w:val="32"/>
        </w:rPr>
      </w:pPr>
      <w:bookmarkStart w:id="399" w:name="_Toc5198"/>
      <w:r>
        <w:rPr>
          <w:b/>
          <w:bCs/>
          <w:color w:val="auto"/>
          <w:sz w:val="28"/>
          <w:szCs w:val="32"/>
        </w:rPr>
        <w:t>7.2.</w:t>
      </w:r>
      <w:r>
        <w:rPr>
          <w:rFonts w:hint="eastAsia"/>
          <w:b/>
          <w:bCs/>
          <w:color w:val="auto"/>
          <w:sz w:val="28"/>
          <w:szCs w:val="32"/>
          <w:lang w:val="en-US" w:eastAsia="zh-CN"/>
        </w:rPr>
        <w:t>6</w:t>
      </w:r>
      <w:r>
        <w:rPr>
          <w:rFonts w:hint="eastAsia"/>
          <w:b/>
          <w:bCs/>
          <w:color w:val="auto"/>
          <w:sz w:val="28"/>
          <w:szCs w:val="32"/>
          <w:lang w:eastAsia="zh-CN"/>
        </w:rPr>
        <w:t>土壤</w:t>
      </w:r>
      <w:r>
        <w:rPr>
          <w:b/>
          <w:bCs/>
          <w:color w:val="auto"/>
          <w:sz w:val="28"/>
          <w:szCs w:val="32"/>
        </w:rPr>
        <w:t>污染防治措施</w:t>
      </w:r>
      <w:bookmarkEnd w:id="399"/>
    </w:p>
    <w:p w14:paraId="7704ACA1">
      <w:pPr>
        <w:spacing w:line="360" w:lineRule="auto"/>
        <w:rPr>
          <w:b/>
          <w:bCs/>
          <w:color w:val="auto"/>
          <w:sz w:val="24"/>
        </w:rPr>
      </w:pPr>
      <w:r>
        <w:rPr>
          <w:rFonts w:hint="eastAsia"/>
          <w:b/>
          <w:bCs/>
          <w:color w:val="auto"/>
          <w:sz w:val="24"/>
          <w:szCs w:val="24"/>
          <w:lang w:val="en-US" w:eastAsia="zh-CN"/>
        </w:rPr>
        <w:t>7.2.6.1</w:t>
      </w:r>
      <w:r>
        <w:rPr>
          <w:rFonts w:hint="eastAsia"/>
          <w:b/>
          <w:bCs/>
          <w:color w:val="auto"/>
          <w:sz w:val="24"/>
        </w:rPr>
        <w:t>保护措施</w:t>
      </w:r>
    </w:p>
    <w:p w14:paraId="4DEDC585">
      <w:pPr>
        <w:spacing w:line="360" w:lineRule="auto"/>
        <w:ind w:firstLine="480" w:firstLineChars="200"/>
        <w:rPr>
          <w:color w:val="auto"/>
          <w:sz w:val="24"/>
        </w:rPr>
      </w:pPr>
      <w:r>
        <w:rPr>
          <w:rFonts w:hint="eastAsia"/>
          <w:color w:val="auto"/>
          <w:sz w:val="24"/>
        </w:rPr>
        <w:t>土壤的保护即地下水环境中包气带的保护，按照按照</w:t>
      </w:r>
      <w:r>
        <w:rPr>
          <w:color w:val="auto"/>
          <w:sz w:val="24"/>
        </w:rPr>
        <w:t>“</w:t>
      </w:r>
      <w:r>
        <w:rPr>
          <w:rFonts w:hint="eastAsia"/>
          <w:color w:val="auto"/>
          <w:sz w:val="24"/>
        </w:rPr>
        <w:t>源头控制、分区防控、污染监控、应急响应</w:t>
      </w:r>
      <w:r>
        <w:rPr>
          <w:color w:val="auto"/>
          <w:sz w:val="24"/>
        </w:rPr>
        <w:t>”</w:t>
      </w:r>
      <w:r>
        <w:rPr>
          <w:rFonts w:hint="eastAsia"/>
          <w:color w:val="auto"/>
          <w:sz w:val="24"/>
        </w:rPr>
        <w:t>的要求进行保护。项目详细防渗详见地下水章节。</w:t>
      </w:r>
    </w:p>
    <w:p w14:paraId="3F91B005">
      <w:pPr>
        <w:spacing w:line="360" w:lineRule="auto"/>
        <w:ind w:firstLine="480" w:firstLineChars="200"/>
        <w:rPr>
          <w:color w:val="auto"/>
          <w:sz w:val="24"/>
        </w:rPr>
      </w:pPr>
      <w:r>
        <w:rPr>
          <w:rFonts w:hint="eastAsia"/>
          <w:color w:val="auto"/>
          <w:sz w:val="24"/>
        </w:rPr>
        <w:t>参考《农用地土壤环境管理办法（试行）》中规定，项目在进行过程中还应做到如下污染防控措施：</w:t>
      </w:r>
    </w:p>
    <w:p w14:paraId="57C6C930">
      <w:pPr>
        <w:spacing w:line="360" w:lineRule="auto"/>
        <w:ind w:firstLine="480" w:firstLineChars="200"/>
        <w:rPr>
          <w:color w:val="auto"/>
          <w:sz w:val="24"/>
        </w:rPr>
      </w:pPr>
      <w:r>
        <w:rPr>
          <w:rFonts w:hint="eastAsia"/>
          <w:color w:val="auto"/>
          <w:sz w:val="24"/>
          <w:lang w:eastAsia="zh-CN"/>
        </w:rPr>
        <w:t>（</w:t>
      </w:r>
      <w:r>
        <w:rPr>
          <w:rFonts w:hint="eastAsia"/>
          <w:color w:val="auto"/>
          <w:sz w:val="24"/>
        </w:rPr>
        <w:t>1）</w:t>
      </w:r>
      <w:r>
        <w:rPr>
          <w:color w:val="auto"/>
          <w:sz w:val="24"/>
        </w:rPr>
        <w:t>排放污染物的企业事业单位和其他生产经营者应当采取有效措施，确保废水、废气排放和固体废物处理、处置符合国家有关规定要求，防止对周边农用地土壤造成污染。从事固体废物和化学品储存、运输、处置的企业，应当采取措施防止固体废物和化学品的泄露、渗漏、遗撒、扬散污染农用地。</w:t>
      </w:r>
    </w:p>
    <w:p w14:paraId="1FC56998">
      <w:pPr>
        <w:spacing w:line="360" w:lineRule="auto"/>
        <w:ind w:firstLine="480" w:firstLineChars="200"/>
        <w:rPr>
          <w:color w:val="auto"/>
          <w:sz w:val="24"/>
        </w:rPr>
      </w:pPr>
      <w:r>
        <w:rPr>
          <w:rFonts w:hint="eastAsia"/>
          <w:bCs/>
          <w:color w:val="auto"/>
          <w:sz w:val="24"/>
          <w:lang w:eastAsia="zh-CN"/>
        </w:rPr>
        <w:t>（</w:t>
      </w:r>
      <w:r>
        <w:rPr>
          <w:rFonts w:hint="eastAsia"/>
          <w:bCs/>
          <w:color w:val="auto"/>
          <w:sz w:val="24"/>
        </w:rPr>
        <w:t>2）</w:t>
      </w:r>
      <w:r>
        <w:rPr>
          <w:color w:val="auto"/>
          <w:sz w:val="24"/>
        </w:rPr>
        <w:t>从事规模化畜禽养殖和农产品加工的单位和个人，应当按照相关规范要求，确定废物无害化处理方式和消纳场地。</w:t>
      </w:r>
    </w:p>
    <w:p w14:paraId="33FB81CD">
      <w:pPr>
        <w:spacing w:line="360" w:lineRule="auto"/>
        <w:ind w:firstLine="480" w:firstLineChars="200"/>
        <w:rPr>
          <w:color w:val="auto"/>
          <w:sz w:val="24"/>
        </w:rPr>
      </w:pPr>
      <w:r>
        <w:rPr>
          <w:rFonts w:hint="eastAsia"/>
          <w:bCs/>
          <w:color w:val="auto"/>
          <w:sz w:val="24"/>
          <w:lang w:eastAsia="zh-CN"/>
        </w:rPr>
        <w:t>（</w:t>
      </w:r>
      <w:r>
        <w:rPr>
          <w:rFonts w:hint="eastAsia"/>
          <w:bCs/>
          <w:color w:val="auto"/>
          <w:sz w:val="24"/>
        </w:rPr>
        <w:t>3）</w:t>
      </w:r>
      <w:r>
        <w:rPr>
          <w:color w:val="auto"/>
          <w:sz w:val="24"/>
        </w:rPr>
        <w:t>禁止在农用地排放、倾倒、使用污泥、清淤底泥、尾矿（渣）等可能对土壤造成污染的固体废物</w:t>
      </w:r>
      <w:r>
        <w:rPr>
          <w:color w:val="auto"/>
          <w:sz w:val="24"/>
          <w:highlight w:val="none"/>
        </w:rPr>
        <w:t>。</w:t>
      </w:r>
      <w:r>
        <w:rPr>
          <w:rFonts w:hint="eastAsia"/>
          <w:color w:val="auto"/>
          <w:sz w:val="24"/>
          <w:highlight w:val="none"/>
          <w:lang w:val="en-US" w:eastAsia="zh-CN"/>
        </w:rPr>
        <w:t>沼液进行</w:t>
      </w:r>
      <w:r>
        <w:rPr>
          <w:color w:val="auto"/>
          <w:sz w:val="24"/>
          <w:highlight w:val="none"/>
        </w:rPr>
        <w:t>农田</w:t>
      </w:r>
      <w:r>
        <w:rPr>
          <w:rFonts w:hint="eastAsia"/>
          <w:color w:val="auto"/>
          <w:sz w:val="24"/>
          <w:highlight w:val="none"/>
          <w:lang w:val="en-US" w:eastAsia="zh-CN"/>
        </w:rPr>
        <w:t>施肥</w:t>
      </w:r>
      <w:r>
        <w:rPr>
          <w:color w:val="auto"/>
          <w:sz w:val="24"/>
          <w:highlight w:val="none"/>
        </w:rPr>
        <w:t>应当符合相应的标准，防止污染土壤、地下水和农产品。</w:t>
      </w:r>
    </w:p>
    <w:p w14:paraId="7A1F54E9">
      <w:pPr>
        <w:spacing w:line="360" w:lineRule="auto"/>
        <w:rPr>
          <w:b/>
          <w:bCs/>
          <w:color w:val="auto"/>
          <w:sz w:val="24"/>
        </w:rPr>
      </w:pPr>
      <w:r>
        <w:rPr>
          <w:rFonts w:hint="eastAsia"/>
          <w:b/>
          <w:bCs/>
          <w:color w:val="auto"/>
          <w:sz w:val="24"/>
          <w:szCs w:val="24"/>
          <w:lang w:val="en-US" w:eastAsia="zh-CN"/>
        </w:rPr>
        <w:t>7.2.6.2</w:t>
      </w:r>
      <w:r>
        <w:rPr>
          <w:rFonts w:hint="eastAsia"/>
          <w:b/>
          <w:bCs/>
          <w:color w:val="auto"/>
          <w:sz w:val="24"/>
        </w:rPr>
        <w:t>过程防控措施</w:t>
      </w:r>
    </w:p>
    <w:p w14:paraId="00F1B9DB">
      <w:pPr>
        <w:spacing w:line="360" w:lineRule="auto"/>
        <w:ind w:firstLine="480" w:firstLineChars="200"/>
        <w:rPr>
          <w:bCs/>
          <w:color w:val="auto"/>
          <w:sz w:val="24"/>
        </w:rPr>
      </w:pPr>
      <w:r>
        <w:rPr>
          <w:rFonts w:hint="eastAsia"/>
          <w:bCs/>
          <w:color w:val="auto"/>
          <w:sz w:val="24"/>
        </w:rPr>
        <w:t>从大气沉降、地面漫流、垂直入渗三个途径分别进行控制。</w:t>
      </w:r>
    </w:p>
    <w:p w14:paraId="4A6D1A10">
      <w:pPr>
        <w:spacing w:line="360" w:lineRule="auto"/>
        <w:ind w:firstLine="480" w:firstLineChars="200"/>
        <w:rPr>
          <w:bCs/>
          <w:color w:val="auto"/>
          <w:sz w:val="24"/>
        </w:rPr>
      </w:pPr>
      <w:r>
        <w:rPr>
          <w:rFonts w:hint="eastAsia"/>
          <w:bCs/>
          <w:color w:val="auto"/>
          <w:sz w:val="24"/>
          <w:lang w:eastAsia="zh-CN"/>
        </w:rPr>
        <w:t>（</w:t>
      </w:r>
      <w:r>
        <w:rPr>
          <w:rFonts w:hint="eastAsia"/>
          <w:bCs/>
          <w:color w:val="auto"/>
          <w:sz w:val="24"/>
        </w:rPr>
        <w:t>1）大气沉降污染途径治理措施及效果</w:t>
      </w:r>
    </w:p>
    <w:p w14:paraId="159362BE">
      <w:pPr>
        <w:spacing w:line="360" w:lineRule="auto"/>
        <w:ind w:firstLine="480" w:firstLineChars="200"/>
        <w:rPr>
          <w:bCs/>
          <w:color w:val="auto"/>
          <w:sz w:val="24"/>
        </w:rPr>
      </w:pPr>
      <w:r>
        <w:rPr>
          <w:rFonts w:hint="eastAsia"/>
          <w:bCs/>
          <w:color w:val="auto"/>
          <w:sz w:val="24"/>
        </w:rPr>
        <w:t>本项目恶臭气体处理后的废气满足《恶臭污染物排放标准》（GB14554-93）限值要求。</w:t>
      </w:r>
    </w:p>
    <w:p w14:paraId="1351DE4A">
      <w:pPr>
        <w:spacing w:line="360" w:lineRule="auto"/>
        <w:ind w:firstLine="480" w:firstLineChars="200"/>
        <w:rPr>
          <w:bCs/>
          <w:color w:val="auto"/>
          <w:sz w:val="24"/>
        </w:rPr>
      </w:pPr>
      <w:r>
        <w:rPr>
          <w:rFonts w:hint="eastAsia"/>
          <w:bCs/>
          <w:color w:val="auto"/>
          <w:sz w:val="24"/>
          <w:lang w:eastAsia="zh-CN"/>
        </w:rPr>
        <w:t>（</w:t>
      </w:r>
      <w:r>
        <w:rPr>
          <w:rFonts w:hint="eastAsia"/>
          <w:bCs/>
          <w:color w:val="auto"/>
          <w:sz w:val="24"/>
          <w:lang w:val="en-US" w:eastAsia="zh-CN"/>
        </w:rPr>
        <w:t>2</w:t>
      </w:r>
      <w:r>
        <w:rPr>
          <w:rFonts w:hint="eastAsia"/>
          <w:bCs/>
          <w:color w:val="auto"/>
          <w:sz w:val="24"/>
        </w:rPr>
        <w:t>）地面漫流污染途径治理措施及效果</w:t>
      </w:r>
    </w:p>
    <w:p w14:paraId="373626FA">
      <w:pPr>
        <w:spacing w:line="360" w:lineRule="auto"/>
        <w:ind w:firstLine="480" w:firstLineChars="200"/>
        <w:rPr>
          <w:bCs/>
          <w:color w:val="auto"/>
          <w:sz w:val="24"/>
        </w:rPr>
      </w:pPr>
      <w:r>
        <w:rPr>
          <w:rFonts w:hint="eastAsia"/>
          <w:bCs/>
          <w:color w:val="auto"/>
          <w:sz w:val="24"/>
        </w:rPr>
        <w:t>鸡粪的成分由C、N、P、K、Ca、Mg等组成，本项目可能发生漫流现象主要在暴雨时，场区的粪污处置区受到雨水冲刷形成地面漫流现象。当粪污受到暴雨冲刷形成漫流时，将导致粪污中的有机和无机污染物随雨水进入土壤，进入量与漫流时间及污染物浓度有直接关系，随着漫流时间增长及漫流中污染物的浓度增加，都会导致下渗量增加。</w:t>
      </w:r>
    </w:p>
    <w:p w14:paraId="0766B842">
      <w:pPr>
        <w:spacing w:line="360" w:lineRule="auto"/>
        <w:ind w:firstLine="480" w:firstLineChars="200"/>
        <w:rPr>
          <w:rFonts w:hint="eastAsia" w:eastAsia="宋体"/>
          <w:bCs/>
          <w:color w:val="auto"/>
          <w:sz w:val="24"/>
          <w:lang w:eastAsia="zh-CN"/>
        </w:rPr>
      </w:pPr>
      <w:r>
        <w:rPr>
          <w:rFonts w:hint="eastAsia"/>
          <w:bCs/>
          <w:color w:val="auto"/>
          <w:sz w:val="24"/>
        </w:rPr>
        <w:t>建设单位通过对项目场区建设环场截排水沟，场外雨水可经截排水沟入区域地表水系统，不会对项目场地形成冲刷；场内各建筑物均设置墙体、屋顶密闭，并采取雨污分流，</w:t>
      </w:r>
      <w:r>
        <w:rPr>
          <w:rFonts w:hint="eastAsia" w:hAnsi="宋体"/>
          <w:color w:val="auto"/>
          <w:sz w:val="24"/>
          <w:lang w:eastAsia="zh-CN"/>
        </w:rPr>
        <w:t>临时储粪场周围设置</w:t>
      </w:r>
      <w:r>
        <w:rPr>
          <w:rFonts w:hint="eastAsia" w:hAnsi="宋体"/>
          <w:color w:val="auto"/>
          <w:sz w:val="24"/>
          <w:lang w:val="en-US" w:eastAsia="zh-CN"/>
        </w:rPr>
        <w:t>1m高围堰，上方设置防雨顶棚</w:t>
      </w:r>
      <w:r>
        <w:rPr>
          <w:rFonts w:hint="eastAsia"/>
          <w:bCs/>
          <w:color w:val="auto"/>
          <w:sz w:val="24"/>
        </w:rPr>
        <w:t>，基本不会发生雨水</w:t>
      </w:r>
      <w:r>
        <w:rPr>
          <w:rFonts w:hint="eastAsia" w:hAnsi="宋体"/>
          <w:color w:val="auto"/>
          <w:sz w:val="24"/>
          <w:lang w:eastAsia="zh-CN"/>
        </w:rPr>
        <w:t>冲刷粪污情形</w:t>
      </w:r>
      <w:r>
        <w:rPr>
          <w:rFonts w:hint="eastAsia"/>
          <w:bCs/>
          <w:color w:val="auto"/>
          <w:sz w:val="24"/>
        </w:rPr>
        <w:t>，因此本项目地面漫</w:t>
      </w:r>
      <w:r>
        <w:rPr>
          <w:rFonts w:hint="eastAsia"/>
          <w:bCs/>
          <w:color w:val="auto"/>
          <w:sz w:val="24"/>
          <w:lang w:eastAsia="zh-CN"/>
        </w:rPr>
        <w:t>流</w:t>
      </w:r>
      <w:r>
        <w:rPr>
          <w:rFonts w:hint="eastAsia"/>
          <w:bCs/>
          <w:color w:val="auto"/>
          <w:sz w:val="24"/>
        </w:rPr>
        <w:t>基本不会对区域土壤产生明显影响</w:t>
      </w:r>
      <w:r>
        <w:rPr>
          <w:rFonts w:hint="eastAsia"/>
          <w:bCs/>
          <w:color w:val="auto"/>
          <w:sz w:val="24"/>
          <w:lang w:eastAsia="zh-CN"/>
        </w:rPr>
        <w:t>。</w:t>
      </w:r>
    </w:p>
    <w:p w14:paraId="0A67675C">
      <w:pPr>
        <w:spacing w:line="360" w:lineRule="auto"/>
        <w:ind w:firstLine="480" w:firstLineChars="200"/>
        <w:rPr>
          <w:bCs/>
          <w:color w:val="auto"/>
          <w:sz w:val="24"/>
        </w:rPr>
      </w:pPr>
      <w:r>
        <w:rPr>
          <w:rFonts w:hint="eastAsia"/>
          <w:bCs/>
          <w:color w:val="auto"/>
          <w:sz w:val="24"/>
          <w:lang w:eastAsia="zh-CN"/>
        </w:rPr>
        <w:t>（</w:t>
      </w:r>
      <w:r>
        <w:rPr>
          <w:rFonts w:hint="eastAsia"/>
          <w:bCs/>
          <w:color w:val="auto"/>
          <w:sz w:val="24"/>
        </w:rPr>
        <w:t>3）垂直入渗污染途径治理措施及效果</w:t>
      </w:r>
    </w:p>
    <w:p w14:paraId="78F84C74">
      <w:pPr>
        <w:spacing w:line="360" w:lineRule="auto"/>
        <w:ind w:firstLine="480" w:firstLineChars="200"/>
        <w:rPr>
          <w:bCs/>
          <w:color w:val="auto"/>
          <w:sz w:val="24"/>
        </w:rPr>
      </w:pPr>
      <w:r>
        <w:rPr>
          <w:rFonts w:hint="eastAsia"/>
          <w:bCs/>
          <w:color w:val="auto"/>
          <w:sz w:val="24"/>
        </w:rPr>
        <w:t>如果鸡舍、</w:t>
      </w:r>
      <w:r>
        <w:rPr>
          <w:rFonts w:hint="eastAsia"/>
          <w:color w:val="auto"/>
          <w:sz w:val="24"/>
          <w:lang w:eastAsia="zh-CN"/>
        </w:rPr>
        <w:t>临时储粪场、废水收集池</w:t>
      </w:r>
      <w:r>
        <w:rPr>
          <w:rFonts w:hint="eastAsia"/>
          <w:bCs/>
          <w:color w:val="auto"/>
          <w:sz w:val="24"/>
        </w:rPr>
        <w:t>等未采取有效的防渗措施将会导致养殖废水、鸡粪渗滤液等渗入地下污染土壤。建设单位对鸡舍、</w:t>
      </w:r>
      <w:r>
        <w:rPr>
          <w:rFonts w:hint="eastAsia"/>
          <w:color w:val="auto"/>
          <w:sz w:val="24"/>
          <w:lang w:eastAsia="zh-CN"/>
        </w:rPr>
        <w:t>临时储粪场、废水收集池</w:t>
      </w:r>
      <w:r>
        <w:rPr>
          <w:rFonts w:hint="eastAsia"/>
          <w:bCs/>
          <w:color w:val="auto"/>
          <w:sz w:val="24"/>
        </w:rPr>
        <w:t>均采取</w:t>
      </w:r>
      <w:r>
        <w:rPr>
          <w:rFonts w:hint="eastAsia"/>
          <w:bCs/>
          <w:color w:val="auto"/>
          <w:sz w:val="24"/>
          <w:lang w:eastAsia="zh-CN"/>
        </w:rPr>
        <w:t>一般</w:t>
      </w:r>
      <w:r>
        <w:rPr>
          <w:rFonts w:hint="eastAsia"/>
          <w:bCs/>
          <w:color w:val="auto"/>
          <w:sz w:val="24"/>
        </w:rPr>
        <w:t>防渗措施。通过采取有效防渗措施来防止本项目各功能区废水、固体废物等对土壤的影响。</w:t>
      </w:r>
    </w:p>
    <w:p w14:paraId="0248A4C0">
      <w:pPr>
        <w:spacing w:line="360" w:lineRule="auto"/>
        <w:ind w:firstLine="480" w:firstLineChars="200"/>
        <w:rPr>
          <w:bCs/>
          <w:color w:val="auto"/>
          <w:sz w:val="24"/>
        </w:rPr>
      </w:pPr>
      <w:r>
        <w:rPr>
          <w:rFonts w:hint="eastAsia"/>
          <w:bCs/>
          <w:color w:val="auto"/>
          <w:sz w:val="24"/>
        </w:rPr>
        <w:t>本项目按一般污染防治区、简单防渗区分别采取不同等级的防渗措施，同时定期对防渗层进行检查，避免防渗层破损导致废水进入土壤，对土壤产生影响。</w:t>
      </w:r>
    </w:p>
    <w:p w14:paraId="6D8A6BBE">
      <w:pPr>
        <w:spacing w:line="360" w:lineRule="auto"/>
        <w:rPr>
          <w:b/>
          <w:bCs/>
          <w:color w:val="auto"/>
          <w:sz w:val="24"/>
        </w:rPr>
      </w:pPr>
      <w:bookmarkStart w:id="400" w:name="_Toc62244837"/>
      <w:bookmarkStart w:id="401" w:name="_Toc62245156"/>
      <w:bookmarkStart w:id="402" w:name="_Toc67246599"/>
      <w:r>
        <w:rPr>
          <w:rFonts w:hint="eastAsia"/>
          <w:b/>
          <w:bCs/>
          <w:color w:val="auto"/>
          <w:sz w:val="24"/>
          <w:szCs w:val="24"/>
          <w:lang w:val="en-US" w:eastAsia="zh-CN"/>
        </w:rPr>
        <w:t>7.2.6.3</w:t>
      </w:r>
      <w:r>
        <w:rPr>
          <w:rFonts w:hint="eastAsia"/>
          <w:b/>
          <w:bCs/>
          <w:color w:val="auto"/>
          <w:sz w:val="24"/>
        </w:rPr>
        <w:t>跟踪监测</w:t>
      </w:r>
      <w:bookmarkEnd w:id="400"/>
      <w:bookmarkEnd w:id="401"/>
      <w:bookmarkEnd w:id="402"/>
    </w:p>
    <w:p w14:paraId="494153D5">
      <w:pPr>
        <w:spacing w:line="360" w:lineRule="auto"/>
        <w:ind w:firstLine="480" w:firstLineChars="200"/>
        <w:rPr>
          <w:color w:val="auto"/>
          <w:sz w:val="24"/>
        </w:rPr>
      </w:pPr>
      <w:r>
        <w:rPr>
          <w:rFonts w:hint="eastAsia"/>
          <w:color w:val="auto"/>
          <w:sz w:val="24"/>
        </w:rPr>
        <w:t>根据项目特点及评价等级确定，本次对厂区土壤进行跟踪监测，具体设置如下：</w:t>
      </w:r>
    </w:p>
    <w:p w14:paraId="4D4CD8E5">
      <w:pPr>
        <w:spacing w:line="360" w:lineRule="auto"/>
        <w:ind w:firstLine="480" w:firstLineChars="200"/>
        <w:rPr>
          <w:color w:val="auto"/>
          <w:sz w:val="24"/>
        </w:rPr>
      </w:pPr>
      <w:r>
        <w:rPr>
          <w:rFonts w:hint="eastAsia"/>
          <w:color w:val="auto"/>
          <w:sz w:val="24"/>
          <w:lang w:eastAsia="zh-CN"/>
        </w:rPr>
        <w:t>（</w:t>
      </w:r>
      <w:r>
        <w:rPr>
          <w:color w:val="auto"/>
          <w:sz w:val="24"/>
        </w:rPr>
        <w:t>1</w:t>
      </w:r>
      <w:r>
        <w:rPr>
          <w:rFonts w:hint="eastAsia"/>
          <w:color w:val="auto"/>
          <w:sz w:val="24"/>
        </w:rPr>
        <w:t>）监测点位设置</w:t>
      </w:r>
    </w:p>
    <w:p w14:paraId="3627B220">
      <w:pPr>
        <w:spacing w:line="360" w:lineRule="auto"/>
        <w:ind w:firstLine="480" w:firstLineChars="200"/>
        <w:rPr>
          <w:color w:val="auto"/>
          <w:sz w:val="24"/>
        </w:rPr>
      </w:pPr>
      <w:r>
        <w:rPr>
          <w:rFonts w:hint="eastAsia"/>
          <w:color w:val="auto"/>
          <w:sz w:val="24"/>
        </w:rPr>
        <w:t>监测点位应布设在重点影响区和土壤敏感目标附近，重点影响区主要在项目地，敏感目标主要在周边耕地中设置。</w:t>
      </w:r>
    </w:p>
    <w:p w14:paraId="61DBD659">
      <w:pPr>
        <w:spacing w:line="360" w:lineRule="auto"/>
        <w:ind w:firstLine="480" w:firstLineChars="200"/>
        <w:rPr>
          <w:color w:val="auto"/>
          <w:sz w:val="24"/>
        </w:rPr>
      </w:pPr>
      <w:r>
        <w:rPr>
          <w:rFonts w:hint="eastAsia"/>
          <w:color w:val="auto"/>
          <w:sz w:val="24"/>
          <w:lang w:eastAsia="zh-CN"/>
        </w:rPr>
        <w:t>（</w:t>
      </w:r>
      <w:r>
        <w:rPr>
          <w:color w:val="auto"/>
          <w:sz w:val="24"/>
        </w:rPr>
        <w:t>2</w:t>
      </w:r>
      <w:r>
        <w:rPr>
          <w:rFonts w:hint="eastAsia"/>
          <w:color w:val="auto"/>
          <w:sz w:val="24"/>
        </w:rPr>
        <w:t>）监测指标</w:t>
      </w:r>
    </w:p>
    <w:p w14:paraId="17A3D42A">
      <w:pPr>
        <w:spacing w:line="360" w:lineRule="auto"/>
        <w:ind w:firstLine="480" w:firstLineChars="200"/>
        <w:rPr>
          <w:rFonts w:hint="eastAsia"/>
          <w:color w:val="auto"/>
          <w:sz w:val="24"/>
          <w:lang w:eastAsia="zh-CN"/>
        </w:rPr>
      </w:pPr>
      <w:r>
        <w:rPr>
          <w:rFonts w:hint="eastAsia"/>
          <w:color w:val="auto"/>
          <w:sz w:val="24"/>
          <w:lang w:eastAsia="zh-CN"/>
        </w:rPr>
        <w:t>周围耕地</w:t>
      </w:r>
      <w:r>
        <w:rPr>
          <w:rFonts w:hint="eastAsia"/>
          <w:color w:val="auto"/>
          <w:sz w:val="24"/>
        </w:rPr>
        <w:t>监测因子选取《土壤环境质量</w:t>
      </w:r>
      <w:r>
        <w:rPr>
          <w:color w:val="auto"/>
          <w:sz w:val="24"/>
        </w:rPr>
        <w:t xml:space="preserve">  </w:t>
      </w:r>
      <w:r>
        <w:rPr>
          <w:rFonts w:hint="eastAsia"/>
          <w:color w:val="auto"/>
          <w:sz w:val="24"/>
        </w:rPr>
        <w:t>农用地土壤污染风险管控标准》（试行）（</w:t>
      </w:r>
      <w:r>
        <w:rPr>
          <w:color w:val="auto"/>
          <w:sz w:val="24"/>
        </w:rPr>
        <w:t>GB15618-2018</w:t>
      </w:r>
      <w:r>
        <w:rPr>
          <w:rFonts w:hint="eastAsia"/>
          <w:color w:val="auto"/>
          <w:sz w:val="24"/>
        </w:rPr>
        <w:t>）中基本因子及本项目特征污染因子，同时监测</w:t>
      </w:r>
      <w:r>
        <w:rPr>
          <w:color w:val="auto"/>
          <w:sz w:val="24"/>
        </w:rPr>
        <w:t>pH</w:t>
      </w:r>
      <w:r>
        <w:rPr>
          <w:rFonts w:hint="eastAsia"/>
          <w:color w:val="auto"/>
          <w:sz w:val="24"/>
        </w:rPr>
        <w:t>值</w:t>
      </w:r>
      <w:r>
        <w:rPr>
          <w:rFonts w:hint="eastAsia"/>
          <w:color w:val="auto"/>
          <w:sz w:val="24"/>
          <w:lang w:eastAsia="zh-CN"/>
        </w:rPr>
        <w:t>；</w:t>
      </w:r>
    </w:p>
    <w:p w14:paraId="54DCDFFB">
      <w:pPr>
        <w:spacing w:line="360" w:lineRule="auto"/>
        <w:ind w:firstLine="480" w:firstLineChars="200"/>
        <w:rPr>
          <w:rFonts w:hint="eastAsia" w:eastAsia="宋体"/>
          <w:color w:val="auto"/>
          <w:sz w:val="24"/>
          <w:lang w:eastAsia="zh-CN"/>
        </w:rPr>
      </w:pPr>
      <w:r>
        <w:rPr>
          <w:rFonts w:hint="eastAsia"/>
          <w:color w:val="auto"/>
          <w:sz w:val="24"/>
          <w:lang w:eastAsia="zh-CN"/>
        </w:rPr>
        <w:t>项目地监测因子选取</w:t>
      </w:r>
      <w:r>
        <w:rPr>
          <w:rFonts w:hint="eastAsia"/>
          <w:color w:val="auto"/>
          <w:sz w:val="24"/>
        </w:rPr>
        <w:t>《土壤环境质量</w:t>
      </w:r>
      <w:r>
        <w:rPr>
          <w:color w:val="auto"/>
          <w:sz w:val="24"/>
        </w:rPr>
        <w:t xml:space="preserve">  </w:t>
      </w:r>
      <w:r>
        <w:rPr>
          <w:rFonts w:hint="eastAsia"/>
          <w:color w:val="auto"/>
          <w:sz w:val="24"/>
          <w:lang w:eastAsia="zh-CN"/>
        </w:rPr>
        <w:t>农用地</w:t>
      </w:r>
      <w:r>
        <w:rPr>
          <w:rFonts w:hint="eastAsia"/>
          <w:color w:val="auto"/>
          <w:sz w:val="24"/>
        </w:rPr>
        <w:t>土壤污染风险管控标准》（试行）（</w:t>
      </w:r>
      <w:r>
        <w:rPr>
          <w:rFonts w:hint="eastAsia"/>
          <w:color w:val="auto"/>
          <w:sz w:val="24"/>
          <w:lang w:eastAsia="zh-CN"/>
        </w:rPr>
        <w:t>GB15618-2018</w:t>
      </w:r>
      <w:r>
        <w:rPr>
          <w:rFonts w:hint="eastAsia"/>
          <w:color w:val="auto"/>
          <w:sz w:val="24"/>
        </w:rPr>
        <w:t>）中基本因子及本项目特征污染因子，同时监测</w:t>
      </w:r>
      <w:r>
        <w:rPr>
          <w:color w:val="auto"/>
          <w:sz w:val="24"/>
        </w:rPr>
        <w:t>pH</w:t>
      </w:r>
      <w:r>
        <w:rPr>
          <w:rFonts w:hint="eastAsia"/>
          <w:color w:val="auto"/>
          <w:sz w:val="24"/>
        </w:rPr>
        <w:t>值。</w:t>
      </w:r>
    </w:p>
    <w:p w14:paraId="4AD1518F">
      <w:pPr>
        <w:spacing w:line="360" w:lineRule="auto"/>
        <w:ind w:firstLine="480" w:firstLineChars="200"/>
        <w:rPr>
          <w:color w:val="auto"/>
          <w:sz w:val="24"/>
        </w:rPr>
      </w:pPr>
      <w:bookmarkStart w:id="403" w:name="_Toc62245157"/>
      <w:bookmarkStart w:id="404" w:name="_Toc62244838"/>
      <w:bookmarkStart w:id="405" w:name="_Toc67246600"/>
      <w:r>
        <w:rPr>
          <w:rFonts w:hint="eastAsia"/>
          <w:color w:val="auto"/>
          <w:sz w:val="24"/>
          <w:lang w:eastAsia="zh-CN"/>
        </w:rPr>
        <w:t>（</w:t>
      </w:r>
      <w:r>
        <w:rPr>
          <w:color w:val="auto"/>
          <w:sz w:val="24"/>
        </w:rPr>
        <w:t>3</w:t>
      </w:r>
      <w:r>
        <w:rPr>
          <w:rFonts w:hint="eastAsia"/>
          <w:color w:val="auto"/>
          <w:sz w:val="24"/>
        </w:rPr>
        <w:t>）监测要求</w:t>
      </w:r>
      <w:bookmarkEnd w:id="403"/>
      <w:bookmarkEnd w:id="404"/>
      <w:bookmarkEnd w:id="405"/>
    </w:p>
    <w:p w14:paraId="6E08260B">
      <w:pPr>
        <w:spacing w:line="360" w:lineRule="auto"/>
        <w:ind w:firstLine="480" w:firstLineChars="200"/>
        <w:rPr>
          <w:rFonts w:hint="eastAsia"/>
          <w:color w:val="auto"/>
          <w:sz w:val="24"/>
        </w:rPr>
      </w:pPr>
      <w:r>
        <w:rPr>
          <w:rFonts w:hint="eastAsia"/>
          <w:color w:val="auto"/>
          <w:sz w:val="24"/>
        </w:rPr>
        <w:t>本项目为三级评价，必要时开展</w:t>
      </w:r>
      <w:r>
        <w:rPr>
          <w:color w:val="auto"/>
          <w:sz w:val="24"/>
        </w:rPr>
        <w:t>1</w:t>
      </w:r>
      <w:r>
        <w:rPr>
          <w:rFonts w:hint="eastAsia"/>
          <w:color w:val="auto"/>
          <w:sz w:val="24"/>
        </w:rPr>
        <w:t>次。跟踪监测应尽量在农作物收割后开展，取得监测数据要想社会公开，接受公众监督。</w:t>
      </w:r>
    </w:p>
    <w:p w14:paraId="24FA94B3">
      <w:pPr>
        <w:rPr>
          <w:rFonts w:ascii="Times New Roman" w:eastAsia="宋体"/>
          <w:bCs/>
          <w:color w:val="auto"/>
          <w:sz w:val="32"/>
          <w:szCs w:val="32"/>
          <w:highlight w:val="yellow"/>
        </w:rPr>
      </w:pPr>
    </w:p>
    <w:p w14:paraId="4505FE26">
      <w:pPr>
        <w:rPr>
          <w:rFonts w:ascii="Times New Roman" w:eastAsia="宋体"/>
          <w:bCs/>
          <w:color w:val="auto"/>
          <w:sz w:val="32"/>
          <w:szCs w:val="32"/>
          <w:highlight w:val="yellow"/>
        </w:rPr>
      </w:pPr>
    </w:p>
    <w:p w14:paraId="69A2949D">
      <w:pPr>
        <w:rPr>
          <w:rFonts w:ascii="Times New Roman" w:eastAsia="宋体"/>
          <w:bCs/>
          <w:color w:val="auto"/>
          <w:sz w:val="32"/>
          <w:szCs w:val="32"/>
          <w:highlight w:val="yellow"/>
        </w:rPr>
      </w:pPr>
    </w:p>
    <w:p w14:paraId="649FB520">
      <w:pPr>
        <w:rPr>
          <w:rFonts w:ascii="Times New Roman" w:eastAsia="宋体"/>
          <w:bCs/>
          <w:color w:val="auto"/>
          <w:sz w:val="32"/>
          <w:szCs w:val="32"/>
          <w:highlight w:val="yellow"/>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bookmarkEnd w:id="375"/>
    <w:bookmarkEnd w:id="376"/>
    <w:bookmarkEnd w:id="377"/>
    <w:bookmarkEnd w:id="378"/>
    <w:bookmarkEnd w:id="379"/>
    <w:bookmarkEnd w:id="380"/>
    <w:p w14:paraId="44BC850D">
      <w:pPr>
        <w:pStyle w:val="2"/>
        <w:snapToGrid w:val="0"/>
        <w:spacing w:line="360" w:lineRule="auto"/>
        <w:ind w:left="0"/>
        <w:jc w:val="both"/>
        <w:rPr>
          <w:rFonts w:ascii="Times New Roman" w:eastAsia="宋体"/>
          <w:bCs/>
          <w:color w:val="auto"/>
          <w:sz w:val="32"/>
          <w:szCs w:val="32"/>
        </w:rPr>
      </w:pPr>
      <w:bookmarkStart w:id="406" w:name="_Toc8664"/>
      <w:bookmarkStart w:id="407" w:name="_Toc4105"/>
      <w:bookmarkStart w:id="408" w:name="_Toc11271"/>
      <w:r>
        <w:rPr>
          <w:rFonts w:ascii="Times New Roman" w:eastAsia="宋体"/>
          <w:bCs/>
          <w:color w:val="auto"/>
          <w:sz w:val="32"/>
          <w:szCs w:val="32"/>
        </w:rPr>
        <w:t>8、环境影响经济损益分析</w:t>
      </w:r>
      <w:bookmarkEnd w:id="406"/>
      <w:bookmarkEnd w:id="407"/>
      <w:bookmarkEnd w:id="408"/>
    </w:p>
    <w:p w14:paraId="1851E978">
      <w:pPr>
        <w:spacing w:line="360" w:lineRule="auto"/>
        <w:ind w:firstLine="480" w:firstLineChars="200"/>
        <w:rPr>
          <w:color w:val="auto"/>
          <w:sz w:val="24"/>
        </w:rPr>
      </w:pPr>
      <w:r>
        <w:rPr>
          <w:color w:val="auto"/>
          <w:sz w:val="24"/>
        </w:rPr>
        <w:t>社会影响、经济影响、环境影响是一个项目对人类社会生态系统产生影响的三要素，三者之间既互相促进，由相互制约，必须通过全面规划、综合平衡、正确的把全局利益和局部利益、长远利益和近期利益结合起来，对环境保护和经济发展进行协调，实现社会效益、经济效益、环境效益的三统一。</w:t>
      </w:r>
    </w:p>
    <w:p w14:paraId="61C240AD">
      <w:pPr>
        <w:pStyle w:val="3"/>
        <w:adjustRightInd w:val="0"/>
        <w:jc w:val="both"/>
        <w:rPr>
          <w:rFonts w:eastAsia="宋体"/>
          <w:color w:val="auto"/>
          <w:sz w:val="30"/>
          <w:szCs w:val="30"/>
        </w:rPr>
      </w:pPr>
      <w:bookmarkStart w:id="409" w:name="_Toc223"/>
      <w:bookmarkStart w:id="410" w:name="_Toc14269"/>
      <w:bookmarkStart w:id="411" w:name="_Toc8077"/>
      <w:r>
        <w:rPr>
          <w:rFonts w:eastAsia="宋体"/>
          <w:color w:val="auto"/>
          <w:sz w:val="30"/>
          <w:szCs w:val="30"/>
        </w:rPr>
        <w:t>8.1经济效益分析</w:t>
      </w:r>
      <w:bookmarkEnd w:id="409"/>
      <w:bookmarkEnd w:id="410"/>
      <w:bookmarkEnd w:id="411"/>
    </w:p>
    <w:p w14:paraId="150ED342">
      <w:pPr>
        <w:spacing w:line="360" w:lineRule="auto"/>
        <w:ind w:firstLine="480" w:firstLineChars="200"/>
        <w:rPr>
          <w:color w:val="auto"/>
          <w:sz w:val="24"/>
        </w:rPr>
      </w:pPr>
      <w:r>
        <w:rPr>
          <w:rFonts w:hint="eastAsia"/>
          <w:color w:val="auto"/>
          <w:sz w:val="24"/>
          <w:lang w:eastAsia="zh-CN"/>
        </w:rPr>
        <w:t>辽宁省朝阳市北票市西官镇大巴里村</w:t>
      </w:r>
      <w:r>
        <w:rPr>
          <w:color w:val="auto"/>
          <w:sz w:val="24"/>
        </w:rPr>
        <w:t>在注重社会效益的同时也注意经济核算，项目资本金可获得较好的收益水平。本项目具有较强的抗风险能力，对市场的变化有较强的承受能力。综上所述，本项目具有良好的经济效益，在经济上是可行的。</w:t>
      </w:r>
    </w:p>
    <w:p w14:paraId="036A2B66">
      <w:pPr>
        <w:pStyle w:val="3"/>
        <w:adjustRightInd w:val="0"/>
        <w:jc w:val="both"/>
        <w:rPr>
          <w:rFonts w:eastAsia="宋体"/>
          <w:color w:val="auto"/>
          <w:sz w:val="30"/>
          <w:szCs w:val="30"/>
        </w:rPr>
      </w:pPr>
      <w:bookmarkStart w:id="412" w:name="_Toc11513"/>
      <w:bookmarkStart w:id="413" w:name="_Toc21156"/>
      <w:bookmarkStart w:id="414" w:name="_Toc21603"/>
      <w:r>
        <w:rPr>
          <w:rFonts w:eastAsia="宋体"/>
          <w:color w:val="auto"/>
          <w:sz w:val="30"/>
          <w:szCs w:val="30"/>
        </w:rPr>
        <w:t>8.2社会效益分析</w:t>
      </w:r>
      <w:bookmarkEnd w:id="412"/>
      <w:bookmarkEnd w:id="413"/>
      <w:bookmarkEnd w:id="414"/>
    </w:p>
    <w:p w14:paraId="1C3D51C8">
      <w:pPr>
        <w:pStyle w:val="93"/>
        <w:ind w:firstLine="482"/>
        <w:rPr>
          <w:color w:val="auto"/>
        </w:rPr>
      </w:pPr>
      <w:r>
        <w:rPr>
          <w:color w:val="auto"/>
        </w:rPr>
        <w:t>⑴本项目为</w:t>
      </w:r>
      <w:r>
        <w:rPr>
          <w:rFonts w:hint="eastAsia"/>
          <w:color w:val="auto"/>
        </w:rPr>
        <w:t>蛋鸡</w:t>
      </w:r>
      <w:r>
        <w:rPr>
          <w:color w:val="auto"/>
        </w:rPr>
        <w:t>养殖建设项目，具有广阔的市场前景和发展空间，具有很好的经济社会效益，市场需求量大。项目的建设不仅缓和市场缺口，同时可为企业带来显著的经济效益。</w:t>
      </w:r>
    </w:p>
    <w:p w14:paraId="142D1D04">
      <w:pPr>
        <w:pStyle w:val="93"/>
        <w:ind w:firstLine="482"/>
        <w:rPr>
          <w:color w:val="auto"/>
        </w:rPr>
      </w:pPr>
      <w:r>
        <w:rPr>
          <w:color w:val="auto"/>
        </w:rPr>
        <w:t>⑵本项目的建设，将增加当地政府的财政和税收收入，推动当地经济的快速增长。</w:t>
      </w:r>
    </w:p>
    <w:p w14:paraId="7D66FED8">
      <w:pPr>
        <w:pStyle w:val="93"/>
        <w:ind w:firstLine="480" w:firstLineChars="200"/>
        <w:rPr>
          <w:color w:val="auto"/>
        </w:rPr>
      </w:pPr>
      <w:r>
        <w:rPr>
          <w:color w:val="auto"/>
        </w:rPr>
        <w:t>⑶项目建成后可解决部份人员的就业问题。</w:t>
      </w:r>
    </w:p>
    <w:p w14:paraId="22F594B3">
      <w:pPr>
        <w:pStyle w:val="3"/>
        <w:adjustRightInd w:val="0"/>
        <w:jc w:val="both"/>
        <w:rPr>
          <w:rFonts w:eastAsia="宋体"/>
          <w:color w:val="auto"/>
          <w:sz w:val="30"/>
          <w:szCs w:val="30"/>
        </w:rPr>
      </w:pPr>
      <w:bookmarkStart w:id="415" w:name="_Toc32687"/>
      <w:bookmarkStart w:id="416" w:name="_Toc606"/>
      <w:bookmarkStart w:id="417" w:name="_Toc2351"/>
      <w:r>
        <w:rPr>
          <w:rFonts w:eastAsia="宋体"/>
          <w:color w:val="auto"/>
          <w:sz w:val="30"/>
          <w:szCs w:val="30"/>
        </w:rPr>
        <w:t>8.3环境效益分析</w:t>
      </w:r>
      <w:bookmarkEnd w:id="415"/>
      <w:bookmarkEnd w:id="416"/>
      <w:bookmarkEnd w:id="417"/>
    </w:p>
    <w:p w14:paraId="381562BE">
      <w:pPr>
        <w:pStyle w:val="4"/>
        <w:snapToGrid w:val="0"/>
        <w:spacing w:before="0"/>
        <w:rPr>
          <w:rFonts w:ascii="Times New Roman" w:hAnsi="Times New Roman" w:eastAsia="宋体"/>
          <w:bCs/>
          <w:color w:val="auto"/>
          <w:sz w:val="28"/>
          <w:szCs w:val="28"/>
        </w:rPr>
      </w:pPr>
      <w:bookmarkStart w:id="418" w:name="_Toc6477"/>
      <w:r>
        <w:rPr>
          <w:rFonts w:ascii="Times New Roman" w:hAnsi="Times New Roman" w:eastAsia="宋体"/>
          <w:bCs/>
          <w:color w:val="auto"/>
          <w:sz w:val="28"/>
          <w:szCs w:val="28"/>
        </w:rPr>
        <w:t>8.3.1环保投资估算</w:t>
      </w:r>
      <w:bookmarkEnd w:id="418"/>
    </w:p>
    <w:p w14:paraId="7331D033">
      <w:pPr>
        <w:tabs>
          <w:tab w:val="center" w:pos="4753"/>
        </w:tabs>
        <w:spacing w:line="360" w:lineRule="auto"/>
        <w:ind w:firstLine="480" w:firstLineChars="200"/>
        <w:rPr>
          <w:color w:val="auto"/>
          <w:kern w:val="21"/>
          <w:sz w:val="24"/>
        </w:rPr>
      </w:pPr>
      <w:r>
        <w:rPr>
          <w:color w:val="auto"/>
          <w:kern w:val="21"/>
          <w:sz w:val="24"/>
        </w:rPr>
        <w:t>环境经济损益主要体现在项目所采取的环保措施投资。为了加强项目的环境管理，防止环境污染，减轻或防止环境质量下降，根据“建设项目环境保护设计规定”的要求，建设项目的环保设施必须与主体工程同时设计、同时施工、同时投入运行。环保建设投资主要包括环保工程建设、安装、调试、运转等费用。</w:t>
      </w:r>
    </w:p>
    <w:p w14:paraId="09E46AFB">
      <w:pPr>
        <w:tabs>
          <w:tab w:val="center" w:pos="4753"/>
        </w:tabs>
        <w:spacing w:line="360" w:lineRule="auto"/>
        <w:ind w:firstLine="480" w:firstLineChars="200"/>
        <w:rPr>
          <w:color w:val="auto"/>
          <w:sz w:val="24"/>
          <w:highlight w:val="yellow"/>
        </w:rPr>
      </w:pPr>
      <w:r>
        <w:rPr>
          <w:color w:val="auto"/>
          <w:sz w:val="24"/>
        </w:rPr>
        <w:t>本项目总投资为</w:t>
      </w:r>
      <w:r>
        <w:rPr>
          <w:rFonts w:hint="eastAsia"/>
          <w:color w:val="auto"/>
          <w:sz w:val="24"/>
          <w:lang w:val="en-US" w:eastAsia="zh-CN"/>
        </w:rPr>
        <w:t>1.2亿元</w:t>
      </w:r>
      <w:r>
        <w:rPr>
          <w:color w:val="auto"/>
          <w:sz w:val="24"/>
        </w:rPr>
        <w:t>，项目环保投资</w:t>
      </w:r>
      <w:r>
        <w:rPr>
          <w:rFonts w:hint="eastAsia"/>
          <w:color w:val="auto"/>
          <w:sz w:val="24"/>
          <w:lang w:val="en-US" w:eastAsia="zh-CN"/>
        </w:rPr>
        <w:t>150.8</w:t>
      </w:r>
      <w:r>
        <w:rPr>
          <w:color w:val="auto"/>
          <w:sz w:val="24"/>
        </w:rPr>
        <w:t>万元，占总投资的</w:t>
      </w:r>
      <w:r>
        <w:rPr>
          <w:rFonts w:hint="eastAsia"/>
          <w:color w:val="auto"/>
          <w:sz w:val="24"/>
          <w:lang w:val="en-US" w:eastAsia="zh-CN"/>
        </w:rPr>
        <w:t>1.37</w:t>
      </w:r>
      <w:r>
        <w:rPr>
          <w:rFonts w:hint="eastAsia"/>
          <w:color w:val="auto"/>
          <w:sz w:val="24"/>
        </w:rPr>
        <w:t>%</w:t>
      </w:r>
      <w:r>
        <w:rPr>
          <w:color w:val="auto"/>
          <w:sz w:val="24"/>
        </w:rPr>
        <w:t>。本项目环保投资估算见表8</w:t>
      </w:r>
      <w:r>
        <w:rPr>
          <w:rFonts w:hint="eastAsia"/>
          <w:color w:val="auto"/>
          <w:sz w:val="24"/>
          <w:lang w:val="en-US" w:eastAsia="zh-CN"/>
        </w:rPr>
        <w:t>.3</w:t>
      </w:r>
      <w:r>
        <w:rPr>
          <w:color w:val="auto"/>
          <w:sz w:val="24"/>
        </w:rPr>
        <w:t>-1。</w:t>
      </w:r>
    </w:p>
    <w:p w14:paraId="21FD7D58">
      <w:pPr>
        <w:tabs>
          <w:tab w:val="center" w:pos="4753"/>
        </w:tabs>
        <w:ind w:firstLine="422" w:firstLineChars="200"/>
        <w:jc w:val="center"/>
        <w:rPr>
          <w:b/>
          <w:color w:val="auto"/>
          <w:szCs w:val="21"/>
        </w:rPr>
      </w:pPr>
      <w:r>
        <w:rPr>
          <w:b/>
          <w:color w:val="auto"/>
          <w:szCs w:val="21"/>
        </w:rPr>
        <w:t>表8</w:t>
      </w:r>
      <w:r>
        <w:rPr>
          <w:rFonts w:hint="eastAsia"/>
          <w:b/>
          <w:color w:val="auto"/>
          <w:szCs w:val="21"/>
          <w:lang w:val="en-US" w:eastAsia="zh-CN"/>
        </w:rPr>
        <w:t>.3</w:t>
      </w:r>
      <w:r>
        <w:rPr>
          <w:b/>
          <w:color w:val="auto"/>
          <w:szCs w:val="21"/>
        </w:rPr>
        <w:t>-1     环保投资估算一览表</w:t>
      </w:r>
    </w:p>
    <w:tbl>
      <w:tblPr>
        <w:tblStyle w:val="53"/>
        <w:tblW w:w="4999"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8"/>
        <w:gridCol w:w="3982"/>
        <w:gridCol w:w="1983"/>
        <w:gridCol w:w="1463"/>
      </w:tblGrid>
      <w:tr w14:paraId="2391AB7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op w:val="double" w:color="auto" w:sz="4" w:space="0"/>
              <w:left w:val="nil"/>
              <w:bottom w:val="single" w:color="auto" w:sz="4" w:space="0"/>
              <w:right w:val="single" w:color="auto" w:sz="4" w:space="0"/>
            </w:tcBorders>
            <w:vAlign w:val="center"/>
          </w:tcPr>
          <w:p w14:paraId="740257A8">
            <w:pPr>
              <w:adjustRightInd w:val="0"/>
              <w:snapToGrid w:val="0"/>
              <w:jc w:val="center"/>
              <w:rPr>
                <w:color w:val="auto"/>
                <w:szCs w:val="21"/>
                <w:highlight w:val="none"/>
              </w:rPr>
            </w:pPr>
            <w:r>
              <w:rPr>
                <w:color w:val="auto"/>
                <w:szCs w:val="21"/>
                <w:highlight w:val="none"/>
              </w:rPr>
              <w:t>投资项目</w:t>
            </w:r>
          </w:p>
        </w:tc>
        <w:tc>
          <w:tcPr>
            <w:tcW w:w="2335" w:type="pct"/>
            <w:tcBorders>
              <w:top w:val="double" w:color="auto" w:sz="4" w:space="0"/>
              <w:left w:val="single" w:color="auto" w:sz="4" w:space="0"/>
              <w:bottom w:val="single" w:color="auto" w:sz="4" w:space="0"/>
              <w:right w:val="single" w:color="auto" w:sz="4" w:space="0"/>
            </w:tcBorders>
            <w:vAlign w:val="center"/>
          </w:tcPr>
          <w:p w14:paraId="282E886B">
            <w:pPr>
              <w:adjustRightInd w:val="0"/>
              <w:snapToGrid w:val="0"/>
              <w:jc w:val="center"/>
              <w:rPr>
                <w:color w:val="auto"/>
                <w:szCs w:val="21"/>
                <w:highlight w:val="none"/>
              </w:rPr>
            </w:pPr>
            <w:r>
              <w:rPr>
                <w:color w:val="auto"/>
                <w:szCs w:val="21"/>
                <w:highlight w:val="none"/>
              </w:rPr>
              <w:t>治理设施内容</w:t>
            </w:r>
          </w:p>
        </w:tc>
        <w:tc>
          <w:tcPr>
            <w:tcW w:w="1163" w:type="pct"/>
            <w:tcBorders>
              <w:top w:val="double" w:color="auto" w:sz="4" w:space="0"/>
              <w:left w:val="single" w:color="auto" w:sz="4" w:space="0"/>
              <w:bottom w:val="single" w:color="auto" w:sz="4" w:space="0"/>
              <w:right w:val="single" w:color="auto" w:sz="4" w:space="0"/>
            </w:tcBorders>
            <w:vAlign w:val="center"/>
          </w:tcPr>
          <w:p w14:paraId="12054617">
            <w:pPr>
              <w:adjustRightInd w:val="0"/>
              <w:snapToGrid w:val="0"/>
              <w:jc w:val="center"/>
              <w:rPr>
                <w:color w:val="auto"/>
                <w:szCs w:val="21"/>
                <w:highlight w:val="none"/>
              </w:rPr>
            </w:pPr>
            <w:r>
              <w:rPr>
                <w:color w:val="auto"/>
                <w:szCs w:val="21"/>
                <w:highlight w:val="none"/>
              </w:rPr>
              <w:t>数量</w:t>
            </w:r>
          </w:p>
        </w:tc>
        <w:tc>
          <w:tcPr>
            <w:tcW w:w="856" w:type="pct"/>
            <w:tcBorders>
              <w:top w:val="double" w:color="auto" w:sz="4" w:space="0"/>
              <w:left w:val="single" w:color="auto" w:sz="4" w:space="0"/>
              <w:bottom w:val="single" w:color="auto" w:sz="4" w:space="0"/>
              <w:right w:val="nil"/>
            </w:tcBorders>
            <w:vAlign w:val="center"/>
          </w:tcPr>
          <w:p w14:paraId="365E0D25">
            <w:pPr>
              <w:adjustRightInd w:val="0"/>
              <w:snapToGrid w:val="0"/>
              <w:jc w:val="center"/>
              <w:rPr>
                <w:color w:val="auto"/>
                <w:szCs w:val="21"/>
                <w:highlight w:val="none"/>
              </w:rPr>
            </w:pPr>
            <w:r>
              <w:rPr>
                <w:color w:val="auto"/>
                <w:szCs w:val="21"/>
                <w:highlight w:val="none"/>
              </w:rPr>
              <w:t>金额（万元）</w:t>
            </w:r>
          </w:p>
        </w:tc>
      </w:tr>
      <w:tr w14:paraId="0CBD53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tcBorders>
              <w:top w:val="single" w:color="auto" w:sz="4" w:space="0"/>
              <w:left w:val="nil"/>
              <w:bottom w:val="single" w:color="auto" w:sz="4" w:space="0"/>
              <w:right w:val="nil"/>
            </w:tcBorders>
            <w:vAlign w:val="center"/>
          </w:tcPr>
          <w:p w14:paraId="51C0D1E9">
            <w:pPr>
              <w:adjustRightInd w:val="0"/>
              <w:snapToGrid w:val="0"/>
              <w:jc w:val="center"/>
              <w:rPr>
                <w:color w:val="auto"/>
                <w:szCs w:val="21"/>
                <w:highlight w:val="none"/>
              </w:rPr>
            </w:pPr>
            <w:r>
              <w:rPr>
                <w:color w:val="auto"/>
                <w:szCs w:val="21"/>
                <w:highlight w:val="none"/>
              </w:rPr>
              <w:t>施工期</w:t>
            </w:r>
          </w:p>
        </w:tc>
      </w:tr>
      <w:tr w14:paraId="29AFC6D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op w:val="single" w:color="auto" w:sz="4" w:space="0"/>
              <w:left w:val="nil"/>
              <w:bottom w:val="single" w:color="auto" w:sz="4" w:space="0"/>
              <w:right w:val="single" w:color="auto" w:sz="4" w:space="0"/>
            </w:tcBorders>
            <w:vAlign w:val="center"/>
          </w:tcPr>
          <w:p w14:paraId="54F36075">
            <w:pPr>
              <w:adjustRightInd w:val="0"/>
              <w:snapToGrid w:val="0"/>
              <w:jc w:val="center"/>
              <w:rPr>
                <w:color w:val="auto"/>
                <w:szCs w:val="21"/>
                <w:highlight w:val="none"/>
              </w:rPr>
            </w:pPr>
            <w:r>
              <w:rPr>
                <w:color w:val="auto"/>
                <w:szCs w:val="21"/>
                <w:highlight w:val="none"/>
              </w:rPr>
              <w:t>废气</w:t>
            </w:r>
          </w:p>
        </w:tc>
        <w:tc>
          <w:tcPr>
            <w:tcW w:w="2335" w:type="pct"/>
            <w:tcBorders>
              <w:top w:val="single" w:color="auto" w:sz="4" w:space="0"/>
              <w:left w:val="single" w:color="auto" w:sz="4" w:space="0"/>
              <w:bottom w:val="single" w:color="auto" w:sz="4" w:space="0"/>
              <w:right w:val="single" w:color="auto" w:sz="4" w:space="0"/>
            </w:tcBorders>
            <w:vAlign w:val="center"/>
          </w:tcPr>
          <w:p w14:paraId="2B2C91B7">
            <w:pPr>
              <w:adjustRightInd w:val="0"/>
              <w:snapToGrid w:val="0"/>
              <w:jc w:val="center"/>
              <w:rPr>
                <w:color w:val="auto"/>
                <w:szCs w:val="21"/>
                <w:highlight w:val="none"/>
              </w:rPr>
            </w:pPr>
            <w:r>
              <w:rPr>
                <w:color w:val="auto"/>
                <w:szCs w:val="21"/>
                <w:highlight w:val="none"/>
              </w:rPr>
              <w:t>施工期围挡</w:t>
            </w:r>
          </w:p>
        </w:tc>
        <w:tc>
          <w:tcPr>
            <w:tcW w:w="1163" w:type="pct"/>
            <w:tcBorders>
              <w:top w:val="single" w:color="auto" w:sz="4" w:space="0"/>
              <w:left w:val="single" w:color="auto" w:sz="4" w:space="0"/>
              <w:bottom w:val="single" w:color="auto" w:sz="4" w:space="0"/>
              <w:right w:val="single" w:color="auto" w:sz="4" w:space="0"/>
            </w:tcBorders>
            <w:vAlign w:val="center"/>
          </w:tcPr>
          <w:p w14:paraId="11227AF4">
            <w:pPr>
              <w:adjustRightInd w:val="0"/>
              <w:snapToGrid w:val="0"/>
              <w:jc w:val="center"/>
              <w:rPr>
                <w:color w:val="auto"/>
                <w:szCs w:val="21"/>
                <w:highlight w:val="none"/>
              </w:rPr>
            </w:pPr>
            <w:r>
              <w:rPr>
                <w:color w:val="auto"/>
                <w:szCs w:val="21"/>
                <w:highlight w:val="none"/>
              </w:rPr>
              <w:t>1套</w:t>
            </w:r>
          </w:p>
        </w:tc>
        <w:tc>
          <w:tcPr>
            <w:tcW w:w="856" w:type="pct"/>
            <w:tcBorders>
              <w:top w:val="single" w:color="auto" w:sz="4" w:space="0"/>
              <w:left w:val="single" w:color="auto" w:sz="4" w:space="0"/>
              <w:bottom w:val="single" w:color="auto" w:sz="4" w:space="0"/>
              <w:right w:val="nil"/>
            </w:tcBorders>
            <w:vAlign w:val="center"/>
          </w:tcPr>
          <w:p w14:paraId="0CDA9553">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1.9</w:t>
            </w:r>
          </w:p>
        </w:tc>
      </w:tr>
      <w:tr w14:paraId="7245806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op w:val="single" w:color="auto" w:sz="4" w:space="0"/>
              <w:left w:val="nil"/>
              <w:bottom w:val="single" w:color="auto" w:sz="4" w:space="0"/>
              <w:right w:val="single" w:color="auto" w:sz="4" w:space="0"/>
            </w:tcBorders>
            <w:vAlign w:val="center"/>
          </w:tcPr>
          <w:p w14:paraId="78BEC12B">
            <w:pPr>
              <w:adjustRightInd w:val="0"/>
              <w:snapToGrid w:val="0"/>
              <w:jc w:val="center"/>
              <w:rPr>
                <w:color w:val="auto"/>
                <w:szCs w:val="21"/>
                <w:highlight w:val="none"/>
              </w:rPr>
            </w:pPr>
            <w:r>
              <w:rPr>
                <w:color w:val="auto"/>
                <w:szCs w:val="21"/>
                <w:highlight w:val="none"/>
              </w:rPr>
              <w:t>废水</w:t>
            </w:r>
          </w:p>
        </w:tc>
        <w:tc>
          <w:tcPr>
            <w:tcW w:w="2335" w:type="pct"/>
            <w:tcBorders>
              <w:top w:val="single" w:color="auto" w:sz="4" w:space="0"/>
              <w:left w:val="single" w:color="auto" w:sz="4" w:space="0"/>
              <w:bottom w:val="single" w:color="auto" w:sz="4" w:space="0"/>
              <w:right w:val="single" w:color="auto" w:sz="4" w:space="0"/>
            </w:tcBorders>
            <w:vAlign w:val="center"/>
          </w:tcPr>
          <w:p w14:paraId="263B4A06">
            <w:pPr>
              <w:adjustRightInd w:val="0"/>
              <w:snapToGrid w:val="0"/>
              <w:jc w:val="center"/>
              <w:rPr>
                <w:color w:val="auto"/>
                <w:szCs w:val="21"/>
                <w:highlight w:val="none"/>
              </w:rPr>
            </w:pPr>
            <w:r>
              <w:rPr>
                <w:color w:val="auto"/>
                <w:szCs w:val="21"/>
                <w:highlight w:val="none"/>
              </w:rPr>
              <w:t>旱厕</w:t>
            </w:r>
          </w:p>
        </w:tc>
        <w:tc>
          <w:tcPr>
            <w:tcW w:w="1163" w:type="pct"/>
            <w:tcBorders>
              <w:top w:val="single" w:color="auto" w:sz="4" w:space="0"/>
              <w:left w:val="single" w:color="auto" w:sz="4" w:space="0"/>
              <w:bottom w:val="single" w:color="auto" w:sz="4" w:space="0"/>
              <w:right w:val="single" w:color="auto" w:sz="4" w:space="0"/>
            </w:tcBorders>
            <w:vAlign w:val="center"/>
          </w:tcPr>
          <w:p w14:paraId="2DCC4536">
            <w:pPr>
              <w:adjustRightInd w:val="0"/>
              <w:snapToGrid w:val="0"/>
              <w:jc w:val="center"/>
              <w:rPr>
                <w:color w:val="auto"/>
                <w:szCs w:val="21"/>
                <w:highlight w:val="none"/>
              </w:rPr>
            </w:pPr>
            <w:r>
              <w:rPr>
                <w:color w:val="auto"/>
                <w:szCs w:val="21"/>
                <w:highlight w:val="none"/>
              </w:rPr>
              <w:t>1个</w:t>
            </w:r>
          </w:p>
        </w:tc>
        <w:tc>
          <w:tcPr>
            <w:tcW w:w="856" w:type="pct"/>
            <w:tcBorders>
              <w:top w:val="single" w:color="auto" w:sz="4" w:space="0"/>
              <w:left w:val="single" w:color="auto" w:sz="4" w:space="0"/>
              <w:bottom w:val="single" w:color="auto" w:sz="4" w:space="0"/>
              <w:right w:val="nil"/>
            </w:tcBorders>
            <w:vAlign w:val="center"/>
          </w:tcPr>
          <w:p w14:paraId="76F21F03">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0.1</w:t>
            </w:r>
          </w:p>
        </w:tc>
      </w:tr>
      <w:tr w14:paraId="0F7C414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op w:val="single" w:color="auto" w:sz="4" w:space="0"/>
              <w:left w:val="nil"/>
              <w:bottom w:val="single" w:color="auto" w:sz="4" w:space="0"/>
              <w:right w:val="single" w:color="auto" w:sz="4" w:space="0"/>
            </w:tcBorders>
            <w:vAlign w:val="center"/>
          </w:tcPr>
          <w:p w14:paraId="72456CF8">
            <w:pPr>
              <w:adjustRightInd w:val="0"/>
              <w:snapToGrid w:val="0"/>
              <w:jc w:val="center"/>
              <w:rPr>
                <w:color w:val="auto"/>
                <w:szCs w:val="21"/>
                <w:highlight w:val="none"/>
              </w:rPr>
            </w:pPr>
            <w:r>
              <w:rPr>
                <w:color w:val="auto"/>
                <w:szCs w:val="21"/>
                <w:highlight w:val="none"/>
              </w:rPr>
              <w:t>噪声</w:t>
            </w:r>
          </w:p>
        </w:tc>
        <w:tc>
          <w:tcPr>
            <w:tcW w:w="2335" w:type="pct"/>
            <w:tcBorders>
              <w:top w:val="single" w:color="auto" w:sz="4" w:space="0"/>
              <w:left w:val="single" w:color="auto" w:sz="4" w:space="0"/>
              <w:bottom w:val="single" w:color="auto" w:sz="4" w:space="0"/>
              <w:right w:val="single" w:color="auto" w:sz="4" w:space="0"/>
            </w:tcBorders>
            <w:vAlign w:val="center"/>
          </w:tcPr>
          <w:p w14:paraId="5C9E9E6F">
            <w:pPr>
              <w:adjustRightInd w:val="0"/>
              <w:snapToGrid w:val="0"/>
              <w:jc w:val="center"/>
              <w:rPr>
                <w:color w:val="auto"/>
                <w:szCs w:val="21"/>
                <w:highlight w:val="none"/>
              </w:rPr>
            </w:pPr>
            <w:r>
              <w:rPr>
                <w:color w:val="auto"/>
                <w:szCs w:val="21"/>
                <w:highlight w:val="none"/>
              </w:rPr>
              <w:t>施工期减震、降噪措施</w:t>
            </w:r>
          </w:p>
        </w:tc>
        <w:tc>
          <w:tcPr>
            <w:tcW w:w="1163" w:type="pct"/>
            <w:tcBorders>
              <w:top w:val="single" w:color="auto" w:sz="4" w:space="0"/>
              <w:left w:val="single" w:color="auto" w:sz="4" w:space="0"/>
              <w:bottom w:val="single" w:color="auto" w:sz="4" w:space="0"/>
              <w:right w:val="single" w:color="auto" w:sz="4" w:space="0"/>
            </w:tcBorders>
            <w:vAlign w:val="center"/>
          </w:tcPr>
          <w:p w14:paraId="7EA27E09">
            <w:pPr>
              <w:adjustRightInd w:val="0"/>
              <w:snapToGrid w:val="0"/>
              <w:jc w:val="center"/>
              <w:rPr>
                <w:color w:val="auto"/>
                <w:szCs w:val="21"/>
                <w:highlight w:val="none"/>
              </w:rPr>
            </w:pPr>
            <w:r>
              <w:rPr>
                <w:color w:val="auto"/>
                <w:szCs w:val="21"/>
                <w:highlight w:val="none"/>
              </w:rPr>
              <w:t>/</w:t>
            </w:r>
          </w:p>
        </w:tc>
        <w:tc>
          <w:tcPr>
            <w:tcW w:w="856" w:type="pct"/>
            <w:tcBorders>
              <w:top w:val="single" w:color="auto" w:sz="4" w:space="0"/>
              <w:left w:val="single" w:color="auto" w:sz="4" w:space="0"/>
              <w:bottom w:val="single" w:color="auto" w:sz="4" w:space="0"/>
              <w:right w:val="nil"/>
            </w:tcBorders>
            <w:vAlign w:val="center"/>
          </w:tcPr>
          <w:p w14:paraId="7C8D10C2">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1.0</w:t>
            </w:r>
          </w:p>
        </w:tc>
      </w:tr>
      <w:tr w14:paraId="290DBA3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op w:val="single" w:color="auto" w:sz="4" w:space="0"/>
              <w:left w:val="nil"/>
              <w:bottom w:val="single" w:color="auto" w:sz="4" w:space="0"/>
              <w:right w:val="single" w:color="auto" w:sz="4" w:space="0"/>
            </w:tcBorders>
            <w:vAlign w:val="center"/>
          </w:tcPr>
          <w:p w14:paraId="012C2469">
            <w:pPr>
              <w:adjustRightInd w:val="0"/>
              <w:snapToGrid w:val="0"/>
              <w:jc w:val="center"/>
              <w:rPr>
                <w:color w:val="auto"/>
                <w:szCs w:val="21"/>
                <w:highlight w:val="none"/>
              </w:rPr>
            </w:pPr>
            <w:r>
              <w:rPr>
                <w:color w:val="auto"/>
                <w:szCs w:val="21"/>
                <w:highlight w:val="none"/>
              </w:rPr>
              <w:t>固废</w:t>
            </w:r>
          </w:p>
        </w:tc>
        <w:tc>
          <w:tcPr>
            <w:tcW w:w="2335" w:type="pct"/>
            <w:tcBorders>
              <w:top w:val="single" w:color="auto" w:sz="4" w:space="0"/>
              <w:left w:val="single" w:color="auto" w:sz="4" w:space="0"/>
              <w:bottom w:val="single" w:color="auto" w:sz="4" w:space="0"/>
              <w:right w:val="single" w:color="auto" w:sz="4" w:space="0"/>
            </w:tcBorders>
            <w:vAlign w:val="center"/>
          </w:tcPr>
          <w:p w14:paraId="5250486C">
            <w:pPr>
              <w:adjustRightInd w:val="0"/>
              <w:snapToGrid w:val="0"/>
              <w:jc w:val="center"/>
              <w:rPr>
                <w:color w:val="auto"/>
                <w:szCs w:val="21"/>
                <w:highlight w:val="none"/>
              </w:rPr>
            </w:pPr>
            <w:r>
              <w:rPr>
                <w:color w:val="auto"/>
                <w:szCs w:val="21"/>
                <w:highlight w:val="none"/>
              </w:rPr>
              <w:t>土石方及生活垃圾等</w:t>
            </w:r>
          </w:p>
        </w:tc>
        <w:tc>
          <w:tcPr>
            <w:tcW w:w="1163" w:type="pct"/>
            <w:tcBorders>
              <w:top w:val="single" w:color="auto" w:sz="4" w:space="0"/>
              <w:left w:val="single" w:color="auto" w:sz="4" w:space="0"/>
              <w:bottom w:val="single" w:color="auto" w:sz="4" w:space="0"/>
              <w:right w:val="single" w:color="auto" w:sz="4" w:space="0"/>
            </w:tcBorders>
            <w:vAlign w:val="center"/>
          </w:tcPr>
          <w:p w14:paraId="28B8E35F">
            <w:pPr>
              <w:adjustRightInd w:val="0"/>
              <w:snapToGrid w:val="0"/>
              <w:jc w:val="center"/>
              <w:rPr>
                <w:color w:val="auto"/>
                <w:szCs w:val="21"/>
                <w:highlight w:val="none"/>
              </w:rPr>
            </w:pPr>
            <w:r>
              <w:rPr>
                <w:color w:val="auto"/>
                <w:szCs w:val="21"/>
                <w:highlight w:val="none"/>
              </w:rPr>
              <w:t>/</w:t>
            </w:r>
          </w:p>
        </w:tc>
        <w:tc>
          <w:tcPr>
            <w:tcW w:w="856" w:type="pct"/>
            <w:tcBorders>
              <w:top w:val="single" w:color="auto" w:sz="4" w:space="0"/>
              <w:left w:val="single" w:color="auto" w:sz="4" w:space="0"/>
              <w:bottom w:val="single" w:color="auto" w:sz="4" w:space="0"/>
              <w:right w:val="nil"/>
            </w:tcBorders>
            <w:vAlign w:val="center"/>
          </w:tcPr>
          <w:p w14:paraId="68144D6B">
            <w:pPr>
              <w:adjustRightInd w:val="0"/>
              <w:snapToGrid w:val="0"/>
              <w:jc w:val="center"/>
              <w:rPr>
                <w:color w:val="auto"/>
                <w:szCs w:val="21"/>
                <w:highlight w:val="none"/>
              </w:rPr>
            </w:pPr>
            <w:r>
              <w:rPr>
                <w:color w:val="auto"/>
                <w:szCs w:val="21"/>
                <w:highlight w:val="none"/>
              </w:rPr>
              <w:t>2.0</w:t>
            </w:r>
          </w:p>
        </w:tc>
      </w:tr>
      <w:tr w14:paraId="14D103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tcBorders>
              <w:top w:val="single" w:color="auto" w:sz="4" w:space="0"/>
              <w:left w:val="nil"/>
              <w:bottom w:val="single" w:color="auto" w:sz="4" w:space="0"/>
              <w:right w:val="nil"/>
            </w:tcBorders>
            <w:vAlign w:val="center"/>
          </w:tcPr>
          <w:p w14:paraId="542BFB65">
            <w:pPr>
              <w:adjustRightInd w:val="0"/>
              <w:snapToGrid w:val="0"/>
              <w:jc w:val="center"/>
              <w:rPr>
                <w:color w:val="auto"/>
                <w:szCs w:val="21"/>
                <w:highlight w:val="none"/>
              </w:rPr>
            </w:pPr>
            <w:r>
              <w:rPr>
                <w:color w:val="auto"/>
                <w:szCs w:val="21"/>
                <w:highlight w:val="none"/>
              </w:rPr>
              <w:t>营运期</w:t>
            </w:r>
          </w:p>
        </w:tc>
      </w:tr>
      <w:tr w14:paraId="3FAEEB5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restart"/>
            <w:tcBorders>
              <w:top w:val="single" w:color="auto" w:sz="4" w:space="0"/>
              <w:left w:val="nil"/>
              <w:right w:val="single" w:color="auto" w:sz="4" w:space="0"/>
            </w:tcBorders>
            <w:vAlign w:val="center"/>
          </w:tcPr>
          <w:p w14:paraId="14D13FBB">
            <w:pPr>
              <w:adjustRightInd w:val="0"/>
              <w:snapToGrid w:val="0"/>
              <w:jc w:val="center"/>
              <w:rPr>
                <w:color w:val="auto"/>
                <w:szCs w:val="21"/>
                <w:highlight w:val="none"/>
              </w:rPr>
            </w:pPr>
            <w:r>
              <w:rPr>
                <w:color w:val="auto"/>
                <w:szCs w:val="21"/>
                <w:highlight w:val="none"/>
              </w:rPr>
              <w:t>废气</w:t>
            </w:r>
          </w:p>
        </w:tc>
        <w:tc>
          <w:tcPr>
            <w:tcW w:w="2335" w:type="pct"/>
            <w:tcBorders>
              <w:top w:val="single" w:color="auto" w:sz="4" w:space="0"/>
              <w:left w:val="single" w:color="auto" w:sz="4" w:space="0"/>
              <w:bottom w:val="single" w:color="auto" w:sz="4" w:space="0"/>
              <w:right w:val="single" w:color="auto" w:sz="4" w:space="0"/>
            </w:tcBorders>
            <w:vAlign w:val="center"/>
          </w:tcPr>
          <w:p w14:paraId="7E27A121">
            <w:pPr>
              <w:adjustRightInd w:val="0"/>
              <w:snapToGrid w:val="0"/>
              <w:jc w:val="center"/>
              <w:rPr>
                <w:color w:val="auto"/>
                <w:szCs w:val="21"/>
                <w:highlight w:val="none"/>
              </w:rPr>
            </w:pPr>
            <w:r>
              <w:rPr>
                <w:color w:val="auto"/>
                <w:szCs w:val="21"/>
                <w:highlight w:val="none"/>
              </w:rPr>
              <w:t>鸡舍通风系统</w:t>
            </w:r>
          </w:p>
        </w:tc>
        <w:tc>
          <w:tcPr>
            <w:tcW w:w="1163" w:type="pct"/>
            <w:tcBorders>
              <w:top w:val="single" w:color="auto" w:sz="4" w:space="0"/>
              <w:left w:val="single" w:color="auto" w:sz="4" w:space="0"/>
              <w:bottom w:val="single" w:color="auto" w:sz="4" w:space="0"/>
              <w:right w:val="single" w:color="auto" w:sz="4" w:space="0"/>
            </w:tcBorders>
            <w:vAlign w:val="center"/>
          </w:tcPr>
          <w:p w14:paraId="0EF2E81A">
            <w:pPr>
              <w:adjustRightInd w:val="0"/>
              <w:snapToGrid w:val="0"/>
              <w:jc w:val="center"/>
              <w:rPr>
                <w:color w:val="auto"/>
                <w:szCs w:val="21"/>
                <w:highlight w:val="none"/>
              </w:rPr>
            </w:pPr>
            <w:r>
              <w:rPr>
                <w:rFonts w:hint="eastAsia"/>
                <w:color w:val="auto"/>
                <w:szCs w:val="21"/>
                <w:highlight w:val="none"/>
                <w:lang w:val="en-US" w:eastAsia="zh-CN"/>
              </w:rPr>
              <w:t>8</w:t>
            </w:r>
            <w:r>
              <w:rPr>
                <w:color w:val="auto"/>
                <w:szCs w:val="21"/>
                <w:highlight w:val="none"/>
              </w:rPr>
              <w:t>套</w:t>
            </w:r>
          </w:p>
        </w:tc>
        <w:tc>
          <w:tcPr>
            <w:tcW w:w="856" w:type="pct"/>
            <w:tcBorders>
              <w:top w:val="single" w:color="auto" w:sz="4" w:space="0"/>
              <w:left w:val="single" w:color="auto" w:sz="4" w:space="0"/>
              <w:bottom w:val="single" w:color="auto" w:sz="4" w:space="0"/>
              <w:right w:val="nil"/>
            </w:tcBorders>
            <w:vAlign w:val="center"/>
          </w:tcPr>
          <w:p w14:paraId="1359FE38">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16.0</w:t>
            </w:r>
          </w:p>
        </w:tc>
      </w:tr>
      <w:tr w14:paraId="5C47E09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5755E68E">
            <w:pPr>
              <w:adjustRightInd w:val="0"/>
              <w:snapToGrid w:val="0"/>
              <w:jc w:val="center"/>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3CD4144B">
            <w:pPr>
              <w:adjustRightInd w:val="0"/>
              <w:snapToGrid w:val="0"/>
              <w:jc w:val="center"/>
              <w:rPr>
                <w:color w:val="auto"/>
                <w:szCs w:val="21"/>
                <w:highlight w:val="none"/>
              </w:rPr>
            </w:pPr>
            <w:r>
              <w:rPr>
                <w:color w:val="auto"/>
                <w:highlight w:val="none"/>
              </w:rPr>
              <w:t>微生物除臭剂</w:t>
            </w:r>
          </w:p>
        </w:tc>
        <w:tc>
          <w:tcPr>
            <w:tcW w:w="1163" w:type="pct"/>
            <w:tcBorders>
              <w:top w:val="single" w:color="auto" w:sz="4" w:space="0"/>
              <w:left w:val="single" w:color="auto" w:sz="4" w:space="0"/>
              <w:bottom w:val="single" w:color="auto" w:sz="4" w:space="0"/>
              <w:right w:val="single" w:color="auto" w:sz="4" w:space="0"/>
            </w:tcBorders>
            <w:vAlign w:val="center"/>
          </w:tcPr>
          <w:p w14:paraId="0CBA2849">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w:t>
            </w:r>
          </w:p>
        </w:tc>
        <w:tc>
          <w:tcPr>
            <w:tcW w:w="856" w:type="pct"/>
            <w:tcBorders>
              <w:top w:val="single" w:color="auto" w:sz="4" w:space="0"/>
              <w:left w:val="single" w:color="auto" w:sz="4" w:space="0"/>
              <w:bottom w:val="single" w:color="auto" w:sz="4" w:space="0"/>
              <w:right w:val="nil"/>
            </w:tcBorders>
            <w:vAlign w:val="center"/>
          </w:tcPr>
          <w:p w14:paraId="66463783">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10.0</w:t>
            </w:r>
          </w:p>
        </w:tc>
      </w:tr>
      <w:tr w14:paraId="3B68127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6FDF5F20">
            <w:pPr>
              <w:widowControl/>
              <w:jc w:val="left"/>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6C8DBB67">
            <w:pPr>
              <w:adjustRightInd w:val="0"/>
              <w:snapToGrid w:val="0"/>
              <w:jc w:val="center"/>
              <w:rPr>
                <w:rFonts w:hint="eastAsia" w:eastAsia="宋体"/>
                <w:color w:val="auto"/>
                <w:szCs w:val="21"/>
                <w:highlight w:val="none"/>
                <w:lang w:eastAsia="zh-CN"/>
              </w:rPr>
            </w:pPr>
            <w:r>
              <w:rPr>
                <w:rFonts w:hint="eastAsia"/>
                <w:color w:val="auto"/>
                <w:sz w:val="21"/>
                <w:szCs w:val="21"/>
                <w:highlight w:val="none"/>
                <w:lang w:eastAsia="zh-CN"/>
              </w:rPr>
              <w:t>生物质锅炉：旋风除尘器</w:t>
            </w:r>
            <w:r>
              <w:rPr>
                <w:rFonts w:hint="eastAsia"/>
                <w:color w:val="auto"/>
                <w:sz w:val="21"/>
                <w:szCs w:val="21"/>
                <w:highlight w:val="none"/>
                <w:lang w:val="en-US" w:eastAsia="zh-CN"/>
              </w:rPr>
              <w:t>+</w:t>
            </w:r>
            <w:r>
              <w:rPr>
                <w:rFonts w:hint="eastAsia"/>
                <w:color w:val="auto"/>
                <w:sz w:val="21"/>
                <w:szCs w:val="21"/>
                <w:highlight w:val="none"/>
                <w:lang w:eastAsia="zh-CN"/>
              </w:rPr>
              <w:t>布袋除尘器</w:t>
            </w:r>
            <w:r>
              <w:rPr>
                <w:rFonts w:hint="eastAsia"/>
                <w:color w:val="auto"/>
                <w:sz w:val="21"/>
                <w:szCs w:val="21"/>
                <w:highlight w:val="none"/>
              </w:rPr>
              <w:t>+</w:t>
            </w:r>
            <w:r>
              <w:rPr>
                <w:rFonts w:hint="eastAsia"/>
                <w:color w:val="auto"/>
                <w:sz w:val="21"/>
                <w:szCs w:val="21"/>
                <w:highlight w:val="none"/>
                <w:lang w:val="en-US" w:eastAsia="zh-CN"/>
              </w:rPr>
              <w:t>30</w:t>
            </w:r>
            <w:r>
              <w:rPr>
                <w:rFonts w:hint="eastAsia"/>
                <w:color w:val="auto"/>
                <w:sz w:val="21"/>
                <w:szCs w:val="21"/>
                <w:highlight w:val="none"/>
              </w:rPr>
              <w:t>m高</w:t>
            </w:r>
            <w:r>
              <w:rPr>
                <w:rFonts w:hint="eastAsia"/>
                <w:color w:val="auto"/>
                <w:sz w:val="21"/>
                <w:szCs w:val="21"/>
                <w:highlight w:val="none"/>
                <w:lang w:eastAsia="zh-CN"/>
              </w:rPr>
              <w:t>烟囱</w:t>
            </w:r>
          </w:p>
        </w:tc>
        <w:tc>
          <w:tcPr>
            <w:tcW w:w="1163" w:type="pct"/>
            <w:tcBorders>
              <w:top w:val="single" w:color="auto" w:sz="4" w:space="0"/>
              <w:left w:val="single" w:color="auto" w:sz="4" w:space="0"/>
              <w:bottom w:val="single" w:color="auto" w:sz="4" w:space="0"/>
              <w:right w:val="single" w:color="auto" w:sz="4" w:space="0"/>
            </w:tcBorders>
            <w:vAlign w:val="center"/>
          </w:tcPr>
          <w:p w14:paraId="436611ED">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1套</w:t>
            </w:r>
          </w:p>
        </w:tc>
        <w:tc>
          <w:tcPr>
            <w:tcW w:w="856" w:type="pct"/>
            <w:tcBorders>
              <w:top w:val="single" w:color="auto" w:sz="4" w:space="0"/>
              <w:left w:val="single" w:color="auto" w:sz="4" w:space="0"/>
              <w:bottom w:val="single" w:color="auto" w:sz="4" w:space="0"/>
              <w:right w:val="nil"/>
            </w:tcBorders>
            <w:vAlign w:val="center"/>
          </w:tcPr>
          <w:p w14:paraId="4AC1B6F5">
            <w:pPr>
              <w:adjustRightInd w:val="0"/>
              <w:snapToGrid w:val="0"/>
              <w:jc w:val="center"/>
              <w:rPr>
                <w:color w:val="auto"/>
                <w:szCs w:val="21"/>
                <w:highlight w:val="none"/>
              </w:rPr>
            </w:pPr>
            <w:r>
              <w:rPr>
                <w:rFonts w:hint="eastAsia"/>
                <w:color w:val="auto"/>
                <w:szCs w:val="21"/>
                <w:highlight w:val="none"/>
              </w:rPr>
              <w:t>10.0</w:t>
            </w:r>
          </w:p>
        </w:tc>
      </w:tr>
      <w:tr w14:paraId="4787772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67610109">
            <w:pPr>
              <w:widowControl/>
              <w:jc w:val="left"/>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39E52EC5">
            <w:pPr>
              <w:adjustRightInd w:val="0"/>
              <w:snapToGrid w:val="0"/>
              <w:jc w:val="center"/>
              <w:rPr>
                <w:color w:val="auto"/>
                <w:highlight w:val="none"/>
              </w:rPr>
            </w:pPr>
            <w:r>
              <w:rPr>
                <w:rFonts w:hint="eastAsia"/>
                <w:color w:val="auto"/>
                <w:highlight w:val="none"/>
              </w:rPr>
              <w:t>食堂：油烟净化设备</w:t>
            </w:r>
          </w:p>
        </w:tc>
        <w:tc>
          <w:tcPr>
            <w:tcW w:w="1163" w:type="pct"/>
            <w:tcBorders>
              <w:top w:val="single" w:color="auto" w:sz="4" w:space="0"/>
              <w:left w:val="single" w:color="auto" w:sz="4" w:space="0"/>
              <w:bottom w:val="single" w:color="auto" w:sz="4" w:space="0"/>
              <w:right w:val="single" w:color="auto" w:sz="4" w:space="0"/>
            </w:tcBorders>
            <w:vAlign w:val="center"/>
          </w:tcPr>
          <w:p w14:paraId="15EE960D">
            <w:pPr>
              <w:adjustRightInd w:val="0"/>
              <w:snapToGrid w:val="0"/>
              <w:jc w:val="center"/>
              <w:rPr>
                <w:color w:val="auto"/>
                <w:szCs w:val="21"/>
                <w:highlight w:val="none"/>
              </w:rPr>
            </w:pPr>
            <w:r>
              <w:rPr>
                <w:rFonts w:hint="eastAsia"/>
                <w:color w:val="auto"/>
                <w:szCs w:val="21"/>
                <w:highlight w:val="none"/>
              </w:rPr>
              <w:t>1套</w:t>
            </w:r>
          </w:p>
        </w:tc>
        <w:tc>
          <w:tcPr>
            <w:tcW w:w="856" w:type="pct"/>
            <w:tcBorders>
              <w:top w:val="single" w:color="auto" w:sz="4" w:space="0"/>
              <w:left w:val="single" w:color="auto" w:sz="4" w:space="0"/>
              <w:bottom w:val="single" w:color="auto" w:sz="4" w:space="0"/>
              <w:right w:val="nil"/>
            </w:tcBorders>
            <w:vAlign w:val="center"/>
          </w:tcPr>
          <w:p w14:paraId="40713494">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2.0</w:t>
            </w:r>
          </w:p>
        </w:tc>
      </w:tr>
      <w:tr w14:paraId="13D3F75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33A20836">
            <w:pPr>
              <w:widowControl/>
              <w:jc w:val="left"/>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581D28B6">
            <w:pPr>
              <w:adjustRightInd w:val="0"/>
              <w:snapToGrid w:val="0"/>
              <w:jc w:val="center"/>
              <w:rPr>
                <w:rFonts w:hint="eastAsia"/>
                <w:color w:val="auto"/>
                <w:highlight w:val="none"/>
              </w:rPr>
            </w:pPr>
            <w:r>
              <w:rPr>
                <w:rFonts w:hint="eastAsia"/>
                <w:color w:val="auto"/>
                <w:szCs w:val="21"/>
                <w:highlight w:val="none"/>
                <w:lang w:eastAsia="zh-CN"/>
              </w:rPr>
              <w:t>废水收集池</w:t>
            </w:r>
            <w:r>
              <w:rPr>
                <w:rFonts w:hint="eastAsia"/>
                <w:color w:val="auto"/>
                <w:szCs w:val="21"/>
                <w:highlight w:val="none"/>
              </w:rPr>
              <w:t>：加</w:t>
            </w:r>
            <w:r>
              <w:rPr>
                <w:color w:val="auto"/>
                <w:szCs w:val="21"/>
                <w:highlight w:val="none"/>
              </w:rPr>
              <w:t>盖板密闭</w:t>
            </w:r>
          </w:p>
        </w:tc>
        <w:tc>
          <w:tcPr>
            <w:tcW w:w="1163" w:type="pct"/>
            <w:tcBorders>
              <w:top w:val="single" w:color="auto" w:sz="4" w:space="0"/>
              <w:left w:val="single" w:color="auto" w:sz="4" w:space="0"/>
              <w:bottom w:val="single" w:color="auto" w:sz="4" w:space="0"/>
              <w:right w:val="single" w:color="auto" w:sz="4" w:space="0"/>
            </w:tcBorders>
            <w:vAlign w:val="center"/>
          </w:tcPr>
          <w:p w14:paraId="47AA6A5A">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8套</w:t>
            </w:r>
          </w:p>
        </w:tc>
        <w:tc>
          <w:tcPr>
            <w:tcW w:w="856" w:type="pct"/>
            <w:tcBorders>
              <w:top w:val="single" w:color="auto" w:sz="4" w:space="0"/>
              <w:left w:val="single" w:color="auto" w:sz="4" w:space="0"/>
              <w:bottom w:val="single" w:color="auto" w:sz="4" w:space="0"/>
              <w:right w:val="nil"/>
            </w:tcBorders>
            <w:vAlign w:val="center"/>
          </w:tcPr>
          <w:p w14:paraId="7A7CDDC6">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4.0</w:t>
            </w:r>
          </w:p>
        </w:tc>
      </w:tr>
      <w:tr w14:paraId="6033836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restart"/>
            <w:tcBorders>
              <w:left w:val="nil"/>
              <w:right w:val="single" w:color="auto" w:sz="4" w:space="0"/>
            </w:tcBorders>
            <w:vAlign w:val="center"/>
          </w:tcPr>
          <w:p w14:paraId="29764850">
            <w:pPr>
              <w:adjustRightInd w:val="0"/>
              <w:snapToGrid w:val="0"/>
              <w:jc w:val="center"/>
              <w:rPr>
                <w:color w:val="auto"/>
                <w:szCs w:val="21"/>
                <w:highlight w:val="none"/>
              </w:rPr>
            </w:pPr>
            <w:r>
              <w:rPr>
                <w:color w:val="auto"/>
                <w:szCs w:val="21"/>
                <w:highlight w:val="none"/>
              </w:rPr>
              <w:t>废水治理</w:t>
            </w:r>
          </w:p>
        </w:tc>
        <w:tc>
          <w:tcPr>
            <w:tcW w:w="2335" w:type="pct"/>
            <w:tcBorders>
              <w:top w:val="single" w:color="auto" w:sz="4" w:space="0"/>
              <w:left w:val="single" w:color="auto" w:sz="4" w:space="0"/>
              <w:bottom w:val="single" w:color="auto" w:sz="4" w:space="0"/>
              <w:right w:val="single" w:color="auto" w:sz="4" w:space="0"/>
            </w:tcBorders>
            <w:vAlign w:val="center"/>
          </w:tcPr>
          <w:p w14:paraId="45682460">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封闭废水收集池（加盖）</w:t>
            </w:r>
          </w:p>
        </w:tc>
        <w:tc>
          <w:tcPr>
            <w:tcW w:w="1163" w:type="pct"/>
            <w:tcBorders>
              <w:top w:val="single" w:color="auto" w:sz="4" w:space="0"/>
              <w:left w:val="single" w:color="auto" w:sz="4" w:space="0"/>
              <w:bottom w:val="single" w:color="auto" w:sz="4" w:space="0"/>
              <w:right w:val="single" w:color="auto" w:sz="4" w:space="0"/>
            </w:tcBorders>
            <w:vAlign w:val="center"/>
          </w:tcPr>
          <w:p w14:paraId="43D58BD1">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8座，10m</w:t>
            </w:r>
            <w:r>
              <w:rPr>
                <w:rFonts w:hint="eastAsia"/>
                <w:color w:val="auto"/>
                <w:szCs w:val="21"/>
                <w:highlight w:val="none"/>
                <w:vertAlign w:val="superscript"/>
                <w:lang w:val="en-US" w:eastAsia="zh-CN"/>
              </w:rPr>
              <w:t>3</w:t>
            </w:r>
            <w:r>
              <w:rPr>
                <w:rFonts w:hint="eastAsia"/>
                <w:color w:val="auto"/>
                <w:szCs w:val="21"/>
                <w:highlight w:val="none"/>
                <w:lang w:val="en-US" w:eastAsia="zh-CN"/>
              </w:rPr>
              <w:t>/座</w:t>
            </w:r>
          </w:p>
        </w:tc>
        <w:tc>
          <w:tcPr>
            <w:tcW w:w="856" w:type="pct"/>
            <w:tcBorders>
              <w:top w:val="single" w:color="auto" w:sz="4" w:space="0"/>
              <w:left w:val="single" w:color="auto" w:sz="4" w:space="0"/>
              <w:bottom w:val="single" w:color="auto" w:sz="4" w:space="0"/>
              <w:right w:val="nil"/>
            </w:tcBorders>
            <w:vAlign w:val="center"/>
          </w:tcPr>
          <w:p w14:paraId="0DE6F629">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16.0</w:t>
            </w:r>
          </w:p>
        </w:tc>
      </w:tr>
      <w:tr w14:paraId="0D01AD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6D5C6E99">
            <w:pPr>
              <w:adjustRightInd w:val="0"/>
              <w:snapToGrid w:val="0"/>
              <w:jc w:val="center"/>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6C1EF8A8">
            <w:pPr>
              <w:adjustRightInd w:val="0"/>
              <w:snapToGrid w:val="0"/>
              <w:jc w:val="center"/>
              <w:rPr>
                <w:color w:val="auto"/>
                <w:highlight w:val="none"/>
              </w:rPr>
            </w:pPr>
            <w:r>
              <w:rPr>
                <w:rFonts w:hint="eastAsia"/>
                <w:color w:val="auto"/>
                <w:highlight w:val="none"/>
              </w:rPr>
              <w:t>生活污水：防渗旱厕</w:t>
            </w:r>
          </w:p>
        </w:tc>
        <w:tc>
          <w:tcPr>
            <w:tcW w:w="1163" w:type="pct"/>
            <w:tcBorders>
              <w:top w:val="single" w:color="auto" w:sz="4" w:space="0"/>
              <w:left w:val="single" w:color="auto" w:sz="4" w:space="0"/>
              <w:bottom w:val="single" w:color="auto" w:sz="4" w:space="0"/>
              <w:right w:val="single" w:color="auto" w:sz="4" w:space="0"/>
            </w:tcBorders>
            <w:vAlign w:val="center"/>
          </w:tcPr>
          <w:p w14:paraId="24A7805A">
            <w:pPr>
              <w:adjustRightInd w:val="0"/>
              <w:snapToGrid w:val="0"/>
              <w:jc w:val="center"/>
              <w:rPr>
                <w:color w:val="auto"/>
                <w:szCs w:val="21"/>
                <w:highlight w:val="none"/>
              </w:rPr>
            </w:pPr>
            <w:r>
              <w:rPr>
                <w:rFonts w:hint="eastAsia"/>
                <w:color w:val="auto"/>
                <w:szCs w:val="21"/>
                <w:highlight w:val="none"/>
              </w:rPr>
              <w:t>1座</w:t>
            </w:r>
          </w:p>
        </w:tc>
        <w:tc>
          <w:tcPr>
            <w:tcW w:w="856" w:type="pct"/>
            <w:tcBorders>
              <w:top w:val="single" w:color="auto" w:sz="4" w:space="0"/>
              <w:left w:val="single" w:color="auto" w:sz="4" w:space="0"/>
              <w:bottom w:val="single" w:color="auto" w:sz="4" w:space="0"/>
              <w:right w:val="nil"/>
            </w:tcBorders>
            <w:vAlign w:val="center"/>
          </w:tcPr>
          <w:p w14:paraId="4AEEC547">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1.0</w:t>
            </w:r>
          </w:p>
        </w:tc>
      </w:tr>
      <w:tr w14:paraId="5678D2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42B1D6AD">
            <w:pPr>
              <w:adjustRightInd w:val="0"/>
              <w:snapToGrid w:val="0"/>
              <w:jc w:val="center"/>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45A94F5A">
            <w:pPr>
              <w:adjustRightInd w:val="0"/>
              <w:snapToGrid w:val="0"/>
              <w:jc w:val="center"/>
              <w:rPr>
                <w:color w:val="auto"/>
                <w:highlight w:val="none"/>
              </w:rPr>
            </w:pPr>
            <w:r>
              <w:rPr>
                <w:rFonts w:hint="eastAsia"/>
                <w:color w:val="auto"/>
                <w:highlight w:val="none"/>
              </w:rPr>
              <w:t>食堂废水：防渗隔油池</w:t>
            </w:r>
          </w:p>
        </w:tc>
        <w:tc>
          <w:tcPr>
            <w:tcW w:w="1163" w:type="pct"/>
            <w:tcBorders>
              <w:top w:val="single" w:color="auto" w:sz="4" w:space="0"/>
              <w:left w:val="single" w:color="auto" w:sz="4" w:space="0"/>
              <w:bottom w:val="single" w:color="auto" w:sz="4" w:space="0"/>
              <w:right w:val="single" w:color="auto" w:sz="4" w:space="0"/>
            </w:tcBorders>
            <w:vAlign w:val="center"/>
          </w:tcPr>
          <w:p w14:paraId="682D3622">
            <w:pPr>
              <w:adjustRightInd w:val="0"/>
              <w:snapToGrid w:val="0"/>
              <w:jc w:val="center"/>
              <w:rPr>
                <w:color w:val="auto"/>
                <w:szCs w:val="21"/>
                <w:highlight w:val="none"/>
              </w:rPr>
            </w:pPr>
            <w:r>
              <w:rPr>
                <w:rFonts w:hint="eastAsia"/>
                <w:color w:val="auto"/>
                <w:szCs w:val="21"/>
                <w:highlight w:val="none"/>
              </w:rPr>
              <w:t>1座</w:t>
            </w:r>
          </w:p>
        </w:tc>
        <w:tc>
          <w:tcPr>
            <w:tcW w:w="856" w:type="pct"/>
            <w:tcBorders>
              <w:top w:val="single" w:color="auto" w:sz="4" w:space="0"/>
              <w:left w:val="single" w:color="auto" w:sz="4" w:space="0"/>
              <w:bottom w:val="single" w:color="auto" w:sz="4" w:space="0"/>
              <w:right w:val="nil"/>
            </w:tcBorders>
            <w:vAlign w:val="center"/>
          </w:tcPr>
          <w:p w14:paraId="4C688E1C">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2.0</w:t>
            </w:r>
          </w:p>
        </w:tc>
      </w:tr>
      <w:tr w14:paraId="4FBEAC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797F2F5D">
            <w:pPr>
              <w:widowControl/>
              <w:jc w:val="left"/>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4C83E9C4">
            <w:pPr>
              <w:jc w:val="center"/>
              <w:rPr>
                <w:color w:val="auto"/>
                <w:kern w:val="0"/>
                <w:szCs w:val="21"/>
                <w:highlight w:val="none"/>
              </w:rPr>
            </w:pPr>
            <w:r>
              <w:rPr>
                <w:color w:val="auto"/>
                <w:szCs w:val="21"/>
                <w:highlight w:val="none"/>
              </w:rPr>
              <w:t>污水专用运输罐车</w:t>
            </w:r>
          </w:p>
        </w:tc>
        <w:tc>
          <w:tcPr>
            <w:tcW w:w="1163" w:type="pct"/>
            <w:tcBorders>
              <w:top w:val="single" w:color="auto" w:sz="4" w:space="0"/>
              <w:left w:val="single" w:color="auto" w:sz="4" w:space="0"/>
              <w:bottom w:val="single" w:color="auto" w:sz="4" w:space="0"/>
              <w:right w:val="single" w:color="auto" w:sz="4" w:space="0"/>
            </w:tcBorders>
            <w:vAlign w:val="center"/>
          </w:tcPr>
          <w:p w14:paraId="055983E6">
            <w:pPr>
              <w:adjustRightInd w:val="0"/>
              <w:snapToGrid w:val="0"/>
              <w:jc w:val="center"/>
              <w:rPr>
                <w:color w:val="auto"/>
                <w:kern w:val="0"/>
                <w:szCs w:val="21"/>
                <w:highlight w:val="none"/>
              </w:rPr>
            </w:pPr>
            <w:r>
              <w:rPr>
                <w:color w:val="auto"/>
                <w:kern w:val="0"/>
                <w:szCs w:val="21"/>
                <w:highlight w:val="none"/>
              </w:rPr>
              <w:t>1辆</w:t>
            </w:r>
          </w:p>
        </w:tc>
        <w:tc>
          <w:tcPr>
            <w:tcW w:w="856" w:type="pct"/>
            <w:tcBorders>
              <w:top w:val="single" w:color="auto" w:sz="4" w:space="0"/>
              <w:left w:val="single" w:color="auto" w:sz="4" w:space="0"/>
              <w:bottom w:val="single" w:color="auto" w:sz="4" w:space="0"/>
              <w:right w:val="nil"/>
            </w:tcBorders>
            <w:vAlign w:val="center"/>
          </w:tcPr>
          <w:p w14:paraId="3DA1EB85">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20.0</w:t>
            </w:r>
          </w:p>
        </w:tc>
      </w:tr>
      <w:tr w14:paraId="470C9D4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3A98B509">
            <w:pPr>
              <w:widowControl/>
              <w:jc w:val="left"/>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5D5617ED">
            <w:pPr>
              <w:jc w:val="center"/>
              <w:rPr>
                <w:color w:val="auto"/>
                <w:highlight w:val="none"/>
              </w:rPr>
            </w:pPr>
            <w:r>
              <w:rPr>
                <w:rFonts w:hint="eastAsia"/>
                <w:color w:val="auto"/>
                <w:kern w:val="0"/>
                <w:szCs w:val="21"/>
                <w:highlight w:val="none"/>
                <w:lang w:eastAsia="zh-CN"/>
              </w:rPr>
              <w:t>污水</w:t>
            </w:r>
            <w:r>
              <w:rPr>
                <w:color w:val="auto"/>
                <w:kern w:val="0"/>
                <w:szCs w:val="21"/>
                <w:highlight w:val="none"/>
              </w:rPr>
              <w:t>泵</w:t>
            </w:r>
          </w:p>
        </w:tc>
        <w:tc>
          <w:tcPr>
            <w:tcW w:w="1163" w:type="pct"/>
            <w:tcBorders>
              <w:top w:val="single" w:color="auto" w:sz="4" w:space="0"/>
              <w:left w:val="single" w:color="auto" w:sz="4" w:space="0"/>
              <w:bottom w:val="single" w:color="auto" w:sz="4" w:space="0"/>
              <w:right w:val="single" w:color="auto" w:sz="4" w:space="0"/>
            </w:tcBorders>
            <w:vAlign w:val="center"/>
          </w:tcPr>
          <w:p w14:paraId="2E728DE9">
            <w:pPr>
              <w:adjustRightInd w:val="0"/>
              <w:snapToGrid w:val="0"/>
              <w:jc w:val="center"/>
              <w:rPr>
                <w:color w:val="auto"/>
                <w:szCs w:val="21"/>
                <w:highlight w:val="none"/>
              </w:rPr>
            </w:pPr>
            <w:r>
              <w:rPr>
                <w:color w:val="auto"/>
                <w:kern w:val="0"/>
                <w:szCs w:val="21"/>
                <w:highlight w:val="none"/>
              </w:rPr>
              <w:t>2台</w:t>
            </w:r>
          </w:p>
        </w:tc>
        <w:tc>
          <w:tcPr>
            <w:tcW w:w="856" w:type="pct"/>
            <w:tcBorders>
              <w:top w:val="single" w:color="auto" w:sz="4" w:space="0"/>
              <w:left w:val="single" w:color="auto" w:sz="4" w:space="0"/>
              <w:bottom w:val="single" w:color="auto" w:sz="4" w:space="0"/>
              <w:right w:val="nil"/>
            </w:tcBorders>
            <w:vAlign w:val="center"/>
          </w:tcPr>
          <w:p w14:paraId="7EE741A5">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2.5</w:t>
            </w:r>
          </w:p>
        </w:tc>
      </w:tr>
      <w:tr w14:paraId="3EA072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bottom w:val="single" w:color="auto" w:sz="4" w:space="0"/>
              <w:right w:val="single" w:color="auto" w:sz="4" w:space="0"/>
            </w:tcBorders>
            <w:vAlign w:val="center"/>
          </w:tcPr>
          <w:p w14:paraId="7ABA1E84">
            <w:pPr>
              <w:widowControl/>
              <w:jc w:val="left"/>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3A33819E">
            <w:pPr>
              <w:jc w:val="center"/>
              <w:rPr>
                <w:color w:val="auto"/>
                <w:highlight w:val="none"/>
              </w:rPr>
            </w:pPr>
            <w:r>
              <w:rPr>
                <w:color w:val="auto"/>
                <w:kern w:val="0"/>
                <w:szCs w:val="21"/>
                <w:highlight w:val="none"/>
              </w:rPr>
              <w:t>雨污分流，厂区内设置专用污水管道和雨水管道</w:t>
            </w:r>
          </w:p>
        </w:tc>
        <w:tc>
          <w:tcPr>
            <w:tcW w:w="1163" w:type="pct"/>
            <w:tcBorders>
              <w:top w:val="single" w:color="auto" w:sz="4" w:space="0"/>
              <w:left w:val="single" w:color="auto" w:sz="4" w:space="0"/>
              <w:bottom w:val="single" w:color="auto" w:sz="4" w:space="0"/>
              <w:right w:val="single" w:color="auto" w:sz="4" w:space="0"/>
            </w:tcBorders>
            <w:vAlign w:val="center"/>
          </w:tcPr>
          <w:p w14:paraId="0111764C">
            <w:pPr>
              <w:adjustRightInd w:val="0"/>
              <w:snapToGrid w:val="0"/>
              <w:jc w:val="center"/>
              <w:rPr>
                <w:color w:val="auto"/>
                <w:szCs w:val="21"/>
                <w:highlight w:val="none"/>
              </w:rPr>
            </w:pPr>
            <w:r>
              <w:rPr>
                <w:color w:val="auto"/>
                <w:szCs w:val="21"/>
                <w:highlight w:val="none"/>
              </w:rPr>
              <w:t>-</w:t>
            </w:r>
          </w:p>
        </w:tc>
        <w:tc>
          <w:tcPr>
            <w:tcW w:w="856" w:type="pct"/>
            <w:tcBorders>
              <w:top w:val="single" w:color="auto" w:sz="4" w:space="0"/>
              <w:left w:val="single" w:color="auto" w:sz="4" w:space="0"/>
              <w:bottom w:val="single" w:color="auto" w:sz="4" w:space="0"/>
              <w:right w:val="nil"/>
            </w:tcBorders>
            <w:vAlign w:val="center"/>
          </w:tcPr>
          <w:p w14:paraId="6511E0FA">
            <w:pPr>
              <w:adjustRightInd w:val="0"/>
              <w:snapToGrid w:val="0"/>
              <w:jc w:val="center"/>
              <w:rPr>
                <w:color w:val="auto"/>
                <w:szCs w:val="21"/>
                <w:highlight w:val="none"/>
              </w:rPr>
            </w:pPr>
            <w:r>
              <w:rPr>
                <w:rFonts w:hint="eastAsia"/>
                <w:color w:val="auto"/>
                <w:szCs w:val="21"/>
                <w:highlight w:val="none"/>
              </w:rPr>
              <w:t>2</w:t>
            </w:r>
          </w:p>
        </w:tc>
      </w:tr>
      <w:tr w14:paraId="0CEB7D9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restart"/>
            <w:tcBorders>
              <w:top w:val="single" w:color="auto" w:sz="4" w:space="0"/>
              <w:left w:val="nil"/>
              <w:right w:val="single" w:color="auto" w:sz="4" w:space="0"/>
            </w:tcBorders>
            <w:vAlign w:val="center"/>
          </w:tcPr>
          <w:p w14:paraId="79796E79">
            <w:pPr>
              <w:adjustRightInd w:val="0"/>
              <w:snapToGrid w:val="0"/>
              <w:jc w:val="center"/>
              <w:rPr>
                <w:color w:val="auto"/>
                <w:szCs w:val="21"/>
                <w:highlight w:val="none"/>
              </w:rPr>
            </w:pPr>
            <w:r>
              <w:rPr>
                <w:color w:val="auto"/>
                <w:szCs w:val="21"/>
                <w:highlight w:val="none"/>
              </w:rPr>
              <w:t>噪声治理</w:t>
            </w:r>
          </w:p>
        </w:tc>
        <w:tc>
          <w:tcPr>
            <w:tcW w:w="2335" w:type="pct"/>
            <w:tcBorders>
              <w:top w:val="single" w:color="auto" w:sz="4" w:space="0"/>
              <w:left w:val="single" w:color="auto" w:sz="4" w:space="0"/>
              <w:bottom w:val="single" w:color="auto" w:sz="4" w:space="0"/>
              <w:right w:val="single" w:color="auto" w:sz="4" w:space="0"/>
            </w:tcBorders>
            <w:vAlign w:val="center"/>
          </w:tcPr>
          <w:p w14:paraId="7F9F62EB">
            <w:pPr>
              <w:adjustRightInd w:val="0"/>
              <w:snapToGrid w:val="0"/>
              <w:jc w:val="center"/>
              <w:rPr>
                <w:color w:val="auto"/>
                <w:szCs w:val="21"/>
                <w:highlight w:val="none"/>
              </w:rPr>
            </w:pPr>
            <w:r>
              <w:rPr>
                <w:bCs/>
                <w:color w:val="auto"/>
                <w:szCs w:val="21"/>
                <w:highlight w:val="none"/>
              </w:rPr>
              <w:t>减振基础等措施</w:t>
            </w:r>
          </w:p>
        </w:tc>
        <w:tc>
          <w:tcPr>
            <w:tcW w:w="1163" w:type="pct"/>
            <w:tcBorders>
              <w:top w:val="single" w:color="auto" w:sz="4" w:space="0"/>
              <w:left w:val="single" w:color="auto" w:sz="4" w:space="0"/>
              <w:bottom w:val="single" w:color="auto" w:sz="4" w:space="0"/>
              <w:right w:val="single" w:color="auto" w:sz="4" w:space="0"/>
            </w:tcBorders>
            <w:vAlign w:val="center"/>
          </w:tcPr>
          <w:p w14:paraId="29B337E7">
            <w:pPr>
              <w:adjustRightInd w:val="0"/>
              <w:snapToGrid w:val="0"/>
              <w:jc w:val="center"/>
              <w:rPr>
                <w:color w:val="auto"/>
                <w:szCs w:val="21"/>
                <w:highlight w:val="none"/>
              </w:rPr>
            </w:pPr>
            <w:r>
              <w:rPr>
                <w:color w:val="auto"/>
                <w:szCs w:val="21"/>
                <w:highlight w:val="none"/>
              </w:rPr>
              <w:t>-</w:t>
            </w:r>
          </w:p>
        </w:tc>
        <w:tc>
          <w:tcPr>
            <w:tcW w:w="856" w:type="pct"/>
            <w:tcBorders>
              <w:top w:val="single" w:color="auto" w:sz="4" w:space="0"/>
              <w:left w:val="single" w:color="auto" w:sz="4" w:space="0"/>
              <w:bottom w:val="single" w:color="auto" w:sz="4" w:space="0"/>
              <w:right w:val="nil"/>
            </w:tcBorders>
            <w:vAlign w:val="center"/>
          </w:tcPr>
          <w:p w14:paraId="1FD4E288">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2.5</w:t>
            </w:r>
          </w:p>
        </w:tc>
      </w:tr>
      <w:tr w14:paraId="17BBB40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bottom w:val="single" w:color="auto" w:sz="4" w:space="0"/>
              <w:right w:val="single" w:color="auto" w:sz="4" w:space="0"/>
            </w:tcBorders>
            <w:vAlign w:val="center"/>
          </w:tcPr>
          <w:p w14:paraId="74BBF629">
            <w:pPr>
              <w:adjustRightInd w:val="0"/>
              <w:snapToGrid w:val="0"/>
              <w:jc w:val="center"/>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1D0B31B9">
            <w:pPr>
              <w:adjustRightInd w:val="0"/>
              <w:snapToGrid w:val="0"/>
              <w:jc w:val="center"/>
              <w:rPr>
                <w:color w:val="auto"/>
                <w:szCs w:val="21"/>
                <w:highlight w:val="none"/>
              </w:rPr>
            </w:pPr>
            <w:r>
              <w:rPr>
                <w:rFonts w:hint="eastAsia"/>
                <w:color w:val="auto"/>
                <w:szCs w:val="21"/>
                <w:highlight w:val="none"/>
              </w:rPr>
              <w:t>限速、禁鸣标志</w:t>
            </w:r>
          </w:p>
        </w:tc>
        <w:tc>
          <w:tcPr>
            <w:tcW w:w="1163" w:type="pct"/>
            <w:tcBorders>
              <w:top w:val="single" w:color="auto" w:sz="4" w:space="0"/>
              <w:left w:val="single" w:color="auto" w:sz="4" w:space="0"/>
              <w:bottom w:val="single" w:color="auto" w:sz="4" w:space="0"/>
              <w:right w:val="single" w:color="auto" w:sz="4" w:space="0"/>
            </w:tcBorders>
            <w:vAlign w:val="center"/>
          </w:tcPr>
          <w:p w14:paraId="2BE5F240">
            <w:pPr>
              <w:adjustRightInd w:val="0"/>
              <w:snapToGrid w:val="0"/>
              <w:jc w:val="center"/>
              <w:rPr>
                <w:color w:val="auto"/>
                <w:szCs w:val="21"/>
                <w:highlight w:val="none"/>
              </w:rPr>
            </w:pPr>
            <w:r>
              <w:rPr>
                <w:color w:val="auto"/>
                <w:szCs w:val="21"/>
                <w:highlight w:val="none"/>
              </w:rPr>
              <w:t>-</w:t>
            </w:r>
          </w:p>
        </w:tc>
        <w:tc>
          <w:tcPr>
            <w:tcW w:w="856" w:type="pct"/>
            <w:tcBorders>
              <w:top w:val="single" w:color="auto" w:sz="4" w:space="0"/>
              <w:left w:val="single" w:color="auto" w:sz="4" w:space="0"/>
              <w:bottom w:val="single" w:color="auto" w:sz="4" w:space="0"/>
              <w:right w:val="nil"/>
            </w:tcBorders>
            <w:vAlign w:val="center"/>
          </w:tcPr>
          <w:p w14:paraId="142617F5">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0.4</w:t>
            </w:r>
          </w:p>
        </w:tc>
      </w:tr>
      <w:tr w14:paraId="3B8F05B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restart"/>
            <w:tcBorders>
              <w:top w:val="single" w:color="auto" w:sz="4" w:space="0"/>
              <w:left w:val="nil"/>
              <w:right w:val="single" w:color="auto" w:sz="4" w:space="0"/>
            </w:tcBorders>
            <w:vAlign w:val="center"/>
          </w:tcPr>
          <w:p w14:paraId="01E45FD8">
            <w:pPr>
              <w:adjustRightInd w:val="0"/>
              <w:snapToGrid w:val="0"/>
              <w:jc w:val="center"/>
              <w:rPr>
                <w:color w:val="auto"/>
                <w:szCs w:val="21"/>
                <w:highlight w:val="none"/>
              </w:rPr>
            </w:pPr>
            <w:r>
              <w:rPr>
                <w:rFonts w:hint="eastAsia"/>
                <w:color w:val="auto"/>
                <w:szCs w:val="21"/>
                <w:highlight w:val="none"/>
              </w:rPr>
              <w:t>固废治理</w:t>
            </w:r>
          </w:p>
        </w:tc>
        <w:tc>
          <w:tcPr>
            <w:tcW w:w="2335" w:type="pct"/>
            <w:tcBorders>
              <w:top w:val="single" w:color="auto" w:sz="4" w:space="0"/>
              <w:left w:val="single" w:color="auto" w:sz="4" w:space="0"/>
              <w:bottom w:val="single" w:color="auto" w:sz="4" w:space="0"/>
              <w:right w:val="single" w:color="auto" w:sz="4" w:space="0"/>
            </w:tcBorders>
            <w:vAlign w:val="center"/>
          </w:tcPr>
          <w:p w14:paraId="3963F9F2">
            <w:pPr>
              <w:jc w:val="center"/>
              <w:rPr>
                <w:color w:val="auto"/>
                <w:szCs w:val="21"/>
                <w:highlight w:val="none"/>
              </w:rPr>
            </w:pPr>
            <w:r>
              <w:rPr>
                <w:color w:val="auto"/>
                <w:highlight w:val="none"/>
              </w:rPr>
              <w:t>鸡粪专用</w:t>
            </w:r>
            <w:r>
              <w:rPr>
                <w:color w:val="auto"/>
                <w:szCs w:val="21"/>
                <w:highlight w:val="none"/>
              </w:rPr>
              <w:t>槽式运输车</w:t>
            </w:r>
            <w:r>
              <w:rPr>
                <w:rFonts w:hint="eastAsia"/>
                <w:color w:val="auto"/>
                <w:szCs w:val="21"/>
                <w:highlight w:val="none"/>
              </w:rPr>
              <w:t>，</w:t>
            </w:r>
            <w:r>
              <w:rPr>
                <w:color w:val="auto"/>
                <w:szCs w:val="21"/>
                <w:highlight w:val="none"/>
              </w:rPr>
              <w:t>车辆密闭、防渗漏</w:t>
            </w:r>
          </w:p>
        </w:tc>
        <w:tc>
          <w:tcPr>
            <w:tcW w:w="1163" w:type="pct"/>
            <w:tcBorders>
              <w:top w:val="single" w:color="auto" w:sz="4" w:space="0"/>
              <w:left w:val="single" w:color="auto" w:sz="4" w:space="0"/>
              <w:bottom w:val="single" w:color="auto" w:sz="4" w:space="0"/>
              <w:right w:val="single" w:color="auto" w:sz="4" w:space="0"/>
            </w:tcBorders>
            <w:vAlign w:val="center"/>
          </w:tcPr>
          <w:p w14:paraId="404C91B4">
            <w:pPr>
              <w:adjustRightInd w:val="0"/>
              <w:snapToGrid w:val="0"/>
              <w:jc w:val="center"/>
              <w:rPr>
                <w:color w:val="auto"/>
                <w:szCs w:val="21"/>
                <w:highlight w:val="none"/>
              </w:rPr>
            </w:pPr>
            <w:r>
              <w:rPr>
                <w:color w:val="auto"/>
                <w:kern w:val="0"/>
                <w:szCs w:val="21"/>
                <w:highlight w:val="none"/>
              </w:rPr>
              <w:t>1辆</w:t>
            </w:r>
          </w:p>
        </w:tc>
        <w:tc>
          <w:tcPr>
            <w:tcW w:w="856" w:type="pct"/>
            <w:tcBorders>
              <w:top w:val="single" w:color="auto" w:sz="4" w:space="0"/>
              <w:left w:val="single" w:color="auto" w:sz="4" w:space="0"/>
              <w:bottom w:val="single" w:color="auto" w:sz="4" w:space="0"/>
              <w:right w:val="nil"/>
            </w:tcBorders>
            <w:vAlign w:val="center"/>
          </w:tcPr>
          <w:p w14:paraId="23103635">
            <w:pPr>
              <w:adjustRightInd w:val="0"/>
              <w:snapToGrid w:val="0"/>
              <w:jc w:val="center"/>
              <w:rPr>
                <w:color w:val="auto"/>
                <w:szCs w:val="21"/>
                <w:highlight w:val="none"/>
              </w:rPr>
            </w:pPr>
            <w:r>
              <w:rPr>
                <w:rFonts w:hint="eastAsia"/>
                <w:color w:val="auto"/>
                <w:szCs w:val="21"/>
                <w:highlight w:val="none"/>
              </w:rPr>
              <w:t>15.0</w:t>
            </w:r>
          </w:p>
        </w:tc>
      </w:tr>
      <w:tr w14:paraId="3FF0E9C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410FFDF9">
            <w:pPr>
              <w:adjustRightInd w:val="0"/>
              <w:snapToGrid w:val="0"/>
              <w:jc w:val="center"/>
              <w:rPr>
                <w:rFonts w:hint="eastAsia"/>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16159ED1">
            <w:pPr>
              <w:adjustRightInd w:val="0"/>
              <w:snapToGrid w:val="0"/>
              <w:jc w:val="center"/>
              <w:rPr>
                <w:color w:val="auto"/>
                <w:highlight w:val="none"/>
              </w:rPr>
            </w:pPr>
            <w:r>
              <w:rPr>
                <w:rFonts w:hint="eastAsia"/>
                <w:color w:val="auto"/>
                <w:szCs w:val="21"/>
                <w:highlight w:val="none"/>
                <w:lang w:eastAsia="zh-CN"/>
              </w:rPr>
              <w:t>临时储粪场</w:t>
            </w:r>
          </w:p>
        </w:tc>
        <w:tc>
          <w:tcPr>
            <w:tcW w:w="1163" w:type="pct"/>
            <w:tcBorders>
              <w:top w:val="single" w:color="auto" w:sz="4" w:space="0"/>
              <w:left w:val="single" w:color="auto" w:sz="4" w:space="0"/>
              <w:bottom w:val="single" w:color="auto" w:sz="4" w:space="0"/>
              <w:right w:val="single" w:color="auto" w:sz="4" w:space="0"/>
            </w:tcBorders>
            <w:vAlign w:val="center"/>
          </w:tcPr>
          <w:p w14:paraId="5F9F81F6">
            <w:pPr>
              <w:adjustRightInd w:val="0"/>
              <w:snapToGrid w:val="0"/>
              <w:jc w:val="center"/>
              <w:rPr>
                <w:rFonts w:hint="eastAsia" w:eastAsia="宋体"/>
                <w:color w:val="auto"/>
                <w:kern w:val="0"/>
                <w:szCs w:val="21"/>
                <w:highlight w:val="none"/>
                <w:lang w:val="en-US" w:eastAsia="zh-CN"/>
              </w:rPr>
            </w:pPr>
            <w:r>
              <w:rPr>
                <w:rFonts w:hint="eastAsia"/>
                <w:color w:val="auto"/>
                <w:kern w:val="0"/>
                <w:szCs w:val="21"/>
                <w:highlight w:val="none"/>
              </w:rPr>
              <w:t>1座</w:t>
            </w:r>
            <w:r>
              <w:rPr>
                <w:rFonts w:hint="eastAsia"/>
                <w:color w:val="auto"/>
                <w:kern w:val="0"/>
                <w:szCs w:val="21"/>
                <w:highlight w:val="none"/>
                <w:lang w:eastAsia="zh-CN"/>
              </w:rPr>
              <w:t>，建筑面积</w:t>
            </w:r>
            <w:r>
              <w:rPr>
                <w:rFonts w:hint="eastAsia"/>
                <w:color w:val="auto"/>
                <w:kern w:val="0"/>
                <w:szCs w:val="21"/>
                <w:highlight w:val="none"/>
                <w:lang w:val="en-US" w:eastAsia="zh-CN"/>
              </w:rPr>
              <w:t>2</w:t>
            </w:r>
            <w:r>
              <w:rPr>
                <w:rFonts w:hint="eastAsia"/>
                <w:color w:val="auto"/>
                <w:kern w:val="0"/>
                <w:szCs w:val="21"/>
                <w:highlight w:val="none"/>
              </w:rPr>
              <w:t>000m</w:t>
            </w:r>
            <w:r>
              <w:rPr>
                <w:rFonts w:hint="eastAsia"/>
                <w:color w:val="auto"/>
                <w:kern w:val="0"/>
                <w:szCs w:val="21"/>
                <w:highlight w:val="none"/>
                <w:vertAlign w:val="superscript"/>
                <w:lang w:val="en-US" w:eastAsia="zh-CN"/>
              </w:rPr>
              <w:t>2</w:t>
            </w:r>
          </w:p>
        </w:tc>
        <w:tc>
          <w:tcPr>
            <w:tcW w:w="856" w:type="pct"/>
            <w:tcBorders>
              <w:top w:val="single" w:color="auto" w:sz="4" w:space="0"/>
              <w:left w:val="single" w:color="auto" w:sz="4" w:space="0"/>
              <w:bottom w:val="single" w:color="auto" w:sz="4" w:space="0"/>
              <w:right w:val="nil"/>
            </w:tcBorders>
            <w:vAlign w:val="center"/>
          </w:tcPr>
          <w:p w14:paraId="15B4413A">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20.0</w:t>
            </w:r>
          </w:p>
        </w:tc>
      </w:tr>
      <w:tr w14:paraId="0F729E5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5910836D">
            <w:pPr>
              <w:adjustRightInd w:val="0"/>
              <w:snapToGrid w:val="0"/>
              <w:jc w:val="center"/>
              <w:rPr>
                <w:rFonts w:hint="eastAsia"/>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449EB25C">
            <w:pPr>
              <w:adjustRightInd w:val="0"/>
              <w:snapToGrid w:val="0"/>
              <w:jc w:val="center"/>
              <w:rPr>
                <w:rFonts w:hint="eastAsia"/>
                <w:color w:val="auto"/>
                <w:szCs w:val="21"/>
                <w:highlight w:val="none"/>
                <w:lang w:eastAsia="zh-CN"/>
              </w:rPr>
            </w:pPr>
            <w:r>
              <w:rPr>
                <w:rFonts w:hint="eastAsia"/>
                <w:color w:val="auto"/>
                <w:szCs w:val="21"/>
                <w:highlight w:val="none"/>
                <w:lang w:eastAsia="zh-CN"/>
              </w:rPr>
              <w:t>渣库</w:t>
            </w:r>
          </w:p>
        </w:tc>
        <w:tc>
          <w:tcPr>
            <w:tcW w:w="1163" w:type="pct"/>
            <w:tcBorders>
              <w:top w:val="single" w:color="auto" w:sz="4" w:space="0"/>
              <w:left w:val="single" w:color="auto" w:sz="4" w:space="0"/>
              <w:bottom w:val="single" w:color="auto" w:sz="4" w:space="0"/>
              <w:right w:val="single" w:color="auto" w:sz="4" w:space="0"/>
            </w:tcBorders>
            <w:vAlign w:val="center"/>
          </w:tcPr>
          <w:p w14:paraId="2A465687">
            <w:pPr>
              <w:adjustRightInd w:val="0"/>
              <w:snapToGrid w:val="0"/>
              <w:jc w:val="center"/>
              <w:rPr>
                <w:rFonts w:hint="default" w:eastAsia="宋体"/>
                <w:color w:val="auto"/>
                <w:kern w:val="0"/>
                <w:szCs w:val="21"/>
                <w:highlight w:val="none"/>
                <w:vertAlign w:val="baseline"/>
                <w:lang w:val="en-US" w:eastAsia="zh-CN"/>
              </w:rPr>
            </w:pPr>
            <w:r>
              <w:rPr>
                <w:rFonts w:hint="eastAsia"/>
                <w:color w:val="auto"/>
                <w:kern w:val="0"/>
                <w:szCs w:val="21"/>
                <w:highlight w:val="none"/>
                <w:lang w:val="en-US" w:eastAsia="zh-CN"/>
              </w:rPr>
              <w:t>1座，5m</w:t>
            </w:r>
            <w:r>
              <w:rPr>
                <w:rFonts w:hint="eastAsia"/>
                <w:color w:val="auto"/>
                <w:kern w:val="0"/>
                <w:szCs w:val="21"/>
                <w:highlight w:val="none"/>
                <w:vertAlign w:val="superscript"/>
                <w:lang w:val="en-US" w:eastAsia="zh-CN"/>
              </w:rPr>
              <w:t>2</w:t>
            </w:r>
          </w:p>
        </w:tc>
        <w:tc>
          <w:tcPr>
            <w:tcW w:w="856" w:type="pct"/>
            <w:tcBorders>
              <w:top w:val="single" w:color="auto" w:sz="4" w:space="0"/>
              <w:left w:val="single" w:color="auto" w:sz="4" w:space="0"/>
              <w:bottom w:val="single" w:color="auto" w:sz="4" w:space="0"/>
              <w:right w:val="nil"/>
            </w:tcBorders>
            <w:vAlign w:val="center"/>
          </w:tcPr>
          <w:p w14:paraId="17314013">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0.1</w:t>
            </w:r>
          </w:p>
        </w:tc>
      </w:tr>
      <w:tr w14:paraId="40798CB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6CEE0E97">
            <w:pPr>
              <w:adjustRightInd w:val="0"/>
              <w:snapToGrid w:val="0"/>
              <w:jc w:val="center"/>
              <w:rPr>
                <w:rFonts w:hint="eastAsia"/>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35972385">
            <w:pPr>
              <w:jc w:val="center"/>
              <w:rPr>
                <w:rFonts w:hint="eastAsia" w:eastAsia="宋体"/>
                <w:color w:val="auto"/>
                <w:highlight w:val="none"/>
                <w:lang w:val="en-US" w:eastAsia="zh-CN"/>
              </w:rPr>
            </w:pPr>
            <w:r>
              <w:rPr>
                <w:rFonts w:hint="eastAsia"/>
                <w:color w:val="auto"/>
                <w:highlight w:val="none"/>
                <w:lang w:val="en-US" w:eastAsia="zh-CN"/>
              </w:rPr>
              <w:t>医疗废物暂存间</w:t>
            </w:r>
          </w:p>
        </w:tc>
        <w:tc>
          <w:tcPr>
            <w:tcW w:w="1163" w:type="pct"/>
            <w:tcBorders>
              <w:top w:val="single" w:color="auto" w:sz="4" w:space="0"/>
              <w:left w:val="single" w:color="auto" w:sz="4" w:space="0"/>
              <w:bottom w:val="single" w:color="auto" w:sz="4" w:space="0"/>
              <w:right w:val="single" w:color="auto" w:sz="4" w:space="0"/>
            </w:tcBorders>
            <w:vAlign w:val="center"/>
          </w:tcPr>
          <w:p w14:paraId="0FDA636E">
            <w:pPr>
              <w:adjustRightInd w:val="0"/>
              <w:snapToGrid w:val="0"/>
              <w:jc w:val="center"/>
              <w:rPr>
                <w:rFonts w:hint="default" w:eastAsia="宋体"/>
                <w:color w:val="auto"/>
                <w:kern w:val="0"/>
                <w:szCs w:val="21"/>
                <w:highlight w:val="none"/>
                <w:lang w:val="en-US" w:eastAsia="zh-CN"/>
              </w:rPr>
            </w:pPr>
            <w:r>
              <w:rPr>
                <w:rFonts w:hint="eastAsia"/>
                <w:color w:val="auto"/>
                <w:szCs w:val="21"/>
                <w:highlight w:val="none"/>
              </w:rPr>
              <w:t>1座</w:t>
            </w:r>
            <w:r>
              <w:rPr>
                <w:rFonts w:hint="eastAsia"/>
                <w:color w:val="auto"/>
                <w:szCs w:val="21"/>
                <w:highlight w:val="none"/>
                <w:lang w:eastAsia="zh-CN"/>
              </w:rPr>
              <w:t>，</w:t>
            </w:r>
            <w:r>
              <w:rPr>
                <w:rFonts w:hint="eastAsia"/>
                <w:color w:val="auto"/>
                <w:szCs w:val="21"/>
                <w:highlight w:val="none"/>
                <w:lang w:val="en-US" w:eastAsia="zh-CN"/>
              </w:rPr>
              <w:t>10m</w:t>
            </w:r>
            <w:r>
              <w:rPr>
                <w:rFonts w:hint="eastAsia"/>
                <w:color w:val="auto"/>
                <w:szCs w:val="21"/>
                <w:highlight w:val="none"/>
                <w:vertAlign w:val="superscript"/>
                <w:lang w:val="en-US" w:eastAsia="zh-CN"/>
              </w:rPr>
              <w:t>2</w:t>
            </w:r>
          </w:p>
        </w:tc>
        <w:tc>
          <w:tcPr>
            <w:tcW w:w="856" w:type="pct"/>
            <w:tcBorders>
              <w:top w:val="single" w:color="auto" w:sz="4" w:space="0"/>
              <w:left w:val="single" w:color="auto" w:sz="4" w:space="0"/>
              <w:bottom w:val="single" w:color="auto" w:sz="4" w:space="0"/>
              <w:right w:val="nil"/>
            </w:tcBorders>
            <w:vAlign w:val="center"/>
          </w:tcPr>
          <w:p w14:paraId="090D5A9D">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3.0</w:t>
            </w:r>
          </w:p>
        </w:tc>
      </w:tr>
      <w:tr w14:paraId="1694646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top w:val="single" w:color="auto" w:sz="4" w:space="0"/>
              <w:left w:val="nil"/>
              <w:bottom w:val="single" w:color="auto" w:sz="4" w:space="0"/>
              <w:right w:val="single" w:color="auto" w:sz="4" w:space="0"/>
            </w:tcBorders>
            <w:vAlign w:val="center"/>
          </w:tcPr>
          <w:p w14:paraId="54E1FD88">
            <w:pPr>
              <w:adjustRightInd w:val="0"/>
              <w:snapToGrid w:val="0"/>
              <w:jc w:val="center"/>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5EC71651">
            <w:pPr>
              <w:jc w:val="center"/>
              <w:rPr>
                <w:color w:val="auto"/>
                <w:kern w:val="0"/>
                <w:szCs w:val="21"/>
                <w:highlight w:val="none"/>
              </w:rPr>
            </w:pPr>
            <w:r>
              <w:rPr>
                <w:color w:val="auto"/>
                <w:szCs w:val="21"/>
                <w:highlight w:val="none"/>
              </w:rPr>
              <w:t>生活垃圾桶</w:t>
            </w:r>
          </w:p>
        </w:tc>
        <w:tc>
          <w:tcPr>
            <w:tcW w:w="1163" w:type="pct"/>
            <w:tcBorders>
              <w:top w:val="single" w:color="auto" w:sz="4" w:space="0"/>
              <w:left w:val="single" w:color="auto" w:sz="4" w:space="0"/>
              <w:bottom w:val="single" w:color="auto" w:sz="4" w:space="0"/>
              <w:right w:val="single" w:color="auto" w:sz="4" w:space="0"/>
            </w:tcBorders>
            <w:vAlign w:val="center"/>
          </w:tcPr>
          <w:p w14:paraId="0310F1FE">
            <w:pPr>
              <w:adjustRightInd w:val="0"/>
              <w:snapToGrid w:val="0"/>
              <w:jc w:val="center"/>
              <w:rPr>
                <w:color w:val="auto"/>
                <w:szCs w:val="21"/>
                <w:highlight w:val="none"/>
              </w:rPr>
            </w:pPr>
            <w:r>
              <w:rPr>
                <w:rFonts w:hint="eastAsia"/>
                <w:color w:val="auto"/>
                <w:szCs w:val="21"/>
                <w:highlight w:val="none"/>
              </w:rPr>
              <w:t>5</w:t>
            </w:r>
            <w:r>
              <w:rPr>
                <w:color w:val="auto"/>
                <w:szCs w:val="21"/>
                <w:highlight w:val="none"/>
              </w:rPr>
              <w:t>个</w:t>
            </w:r>
          </w:p>
        </w:tc>
        <w:tc>
          <w:tcPr>
            <w:tcW w:w="856" w:type="pct"/>
            <w:tcBorders>
              <w:top w:val="single" w:color="auto" w:sz="4" w:space="0"/>
              <w:left w:val="single" w:color="auto" w:sz="4" w:space="0"/>
              <w:bottom w:val="single" w:color="auto" w:sz="4" w:space="0"/>
              <w:right w:val="nil"/>
            </w:tcBorders>
            <w:vAlign w:val="center"/>
          </w:tcPr>
          <w:p w14:paraId="3A5364BC">
            <w:pPr>
              <w:adjustRightInd w:val="0"/>
              <w:snapToGrid w:val="0"/>
              <w:jc w:val="center"/>
              <w:rPr>
                <w:color w:val="auto"/>
                <w:szCs w:val="21"/>
                <w:highlight w:val="none"/>
              </w:rPr>
            </w:pPr>
            <w:r>
              <w:rPr>
                <w:rFonts w:hint="eastAsia"/>
                <w:color w:val="auto"/>
                <w:szCs w:val="21"/>
                <w:highlight w:val="none"/>
              </w:rPr>
              <w:t>0.2</w:t>
            </w:r>
          </w:p>
        </w:tc>
      </w:tr>
      <w:tr w14:paraId="7D31CE7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restart"/>
            <w:tcBorders>
              <w:top w:val="single" w:color="auto" w:sz="4" w:space="0"/>
              <w:left w:val="nil"/>
              <w:right w:val="single" w:color="auto" w:sz="4" w:space="0"/>
            </w:tcBorders>
            <w:vAlign w:val="center"/>
          </w:tcPr>
          <w:p w14:paraId="59B5D7BE">
            <w:pPr>
              <w:adjustRightInd w:val="0"/>
              <w:snapToGrid w:val="0"/>
              <w:jc w:val="center"/>
              <w:rPr>
                <w:color w:val="auto"/>
                <w:szCs w:val="21"/>
                <w:highlight w:val="none"/>
              </w:rPr>
            </w:pPr>
            <w:r>
              <w:rPr>
                <w:color w:val="auto"/>
                <w:szCs w:val="21"/>
                <w:highlight w:val="none"/>
              </w:rPr>
              <w:t>地下水</w:t>
            </w:r>
          </w:p>
        </w:tc>
        <w:tc>
          <w:tcPr>
            <w:tcW w:w="2335" w:type="pct"/>
            <w:tcBorders>
              <w:top w:val="single" w:color="auto" w:sz="4" w:space="0"/>
              <w:left w:val="single" w:color="auto" w:sz="4" w:space="0"/>
              <w:bottom w:val="single" w:color="auto" w:sz="4" w:space="0"/>
              <w:right w:val="single" w:color="auto" w:sz="4" w:space="0"/>
            </w:tcBorders>
            <w:vAlign w:val="center"/>
          </w:tcPr>
          <w:p w14:paraId="763BC02E">
            <w:pPr>
              <w:jc w:val="center"/>
              <w:rPr>
                <w:color w:val="auto"/>
                <w:szCs w:val="21"/>
                <w:highlight w:val="none"/>
              </w:rPr>
            </w:pPr>
            <w:r>
              <w:rPr>
                <w:color w:val="auto"/>
                <w:szCs w:val="21"/>
                <w:highlight w:val="none"/>
              </w:rPr>
              <w:t>医疗废物暂存间按照防渗系数K≤10</w:t>
            </w:r>
            <w:r>
              <w:rPr>
                <w:color w:val="auto"/>
                <w:szCs w:val="21"/>
                <w:highlight w:val="none"/>
                <w:vertAlign w:val="superscript"/>
              </w:rPr>
              <w:t>-10</w:t>
            </w:r>
            <w:r>
              <w:rPr>
                <w:color w:val="auto"/>
                <w:szCs w:val="21"/>
                <w:highlight w:val="none"/>
              </w:rPr>
              <w:t>cm/s执行</w:t>
            </w:r>
          </w:p>
        </w:tc>
        <w:tc>
          <w:tcPr>
            <w:tcW w:w="1163" w:type="pct"/>
            <w:tcBorders>
              <w:top w:val="single" w:color="auto" w:sz="4" w:space="0"/>
              <w:left w:val="single" w:color="auto" w:sz="4" w:space="0"/>
              <w:bottom w:val="single" w:color="auto" w:sz="4" w:space="0"/>
              <w:right w:val="single" w:color="auto" w:sz="4" w:space="0"/>
            </w:tcBorders>
            <w:vAlign w:val="center"/>
          </w:tcPr>
          <w:p w14:paraId="6811565A">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856" w:type="pct"/>
            <w:tcBorders>
              <w:top w:val="single" w:color="auto" w:sz="4" w:space="0"/>
              <w:left w:val="single" w:color="auto" w:sz="4" w:space="0"/>
              <w:bottom w:val="single" w:color="auto" w:sz="4" w:space="0"/>
              <w:right w:val="nil"/>
            </w:tcBorders>
            <w:vAlign w:val="center"/>
          </w:tcPr>
          <w:p w14:paraId="674420A6">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0.5</w:t>
            </w:r>
          </w:p>
        </w:tc>
      </w:tr>
      <w:tr w14:paraId="7F0DA94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6C4276B5">
            <w:pPr>
              <w:adjustRightInd w:val="0"/>
              <w:snapToGrid w:val="0"/>
              <w:jc w:val="center"/>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2B75A331">
            <w:pPr>
              <w:adjustRightInd w:val="0"/>
              <w:snapToGrid w:val="0"/>
              <w:jc w:val="center"/>
              <w:rPr>
                <w:color w:val="auto"/>
                <w:szCs w:val="21"/>
                <w:highlight w:val="none"/>
              </w:rPr>
            </w:pPr>
            <w:r>
              <w:rPr>
                <w:rFonts w:hint="eastAsia"/>
                <w:color w:val="auto"/>
                <w:szCs w:val="21"/>
                <w:highlight w:val="none"/>
                <w:lang w:eastAsia="zh-CN"/>
              </w:rPr>
              <w:t>临时储粪场</w:t>
            </w:r>
            <w:r>
              <w:rPr>
                <w:rFonts w:hint="eastAsia"/>
                <w:color w:val="auto"/>
                <w:szCs w:val="21"/>
                <w:highlight w:val="none"/>
              </w:rPr>
              <w:t>、污水收集</w:t>
            </w:r>
            <w:r>
              <w:rPr>
                <w:color w:val="auto"/>
                <w:szCs w:val="21"/>
                <w:highlight w:val="none"/>
              </w:rPr>
              <w:t>管道、鸡舍、</w:t>
            </w:r>
            <w:r>
              <w:rPr>
                <w:rFonts w:hint="eastAsia"/>
                <w:color w:val="auto"/>
                <w:szCs w:val="21"/>
                <w:highlight w:val="none"/>
                <w:lang w:eastAsia="zh-CN"/>
              </w:rPr>
              <w:t>废水收集池</w:t>
            </w:r>
            <w:r>
              <w:rPr>
                <w:rFonts w:hint="eastAsia"/>
                <w:color w:val="auto"/>
                <w:szCs w:val="21"/>
                <w:highlight w:val="none"/>
              </w:rPr>
              <w:t>、锅炉房：</w:t>
            </w:r>
            <w:r>
              <w:rPr>
                <w:color w:val="auto"/>
                <w:szCs w:val="21"/>
                <w:highlight w:val="none"/>
              </w:rPr>
              <w:t>等效黏土防渗层Mb≥1.5m，K≤1×10</w:t>
            </w:r>
            <w:r>
              <w:rPr>
                <w:color w:val="auto"/>
                <w:szCs w:val="21"/>
                <w:highlight w:val="none"/>
                <w:vertAlign w:val="superscript"/>
              </w:rPr>
              <w:t>-7</w:t>
            </w:r>
            <w:r>
              <w:rPr>
                <w:color w:val="auto"/>
                <w:szCs w:val="21"/>
                <w:highlight w:val="none"/>
              </w:rPr>
              <w:t>cm/s</w:t>
            </w:r>
          </w:p>
        </w:tc>
        <w:tc>
          <w:tcPr>
            <w:tcW w:w="1163" w:type="pct"/>
            <w:tcBorders>
              <w:top w:val="single" w:color="auto" w:sz="4" w:space="0"/>
              <w:left w:val="single" w:color="auto" w:sz="4" w:space="0"/>
              <w:bottom w:val="single" w:color="auto" w:sz="4" w:space="0"/>
              <w:right w:val="single" w:color="auto" w:sz="4" w:space="0"/>
            </w:tcBorders>
            <w:vAlign w:val="center"/>
          </w:tcPr>
          <w:p w14:paraId="43F2AC20">
            <w:pPr>
              <w:adjustRightInd w:val="0"/>
              <w:snapToGrid w:val="0"/>
              <w:jc w:val="center"/>
              <w:rPr>
                <w:color w:val="auto"/>
                <w:szCs w:val="21"/>
                <w:highlight w:val="none"/>
              </w:rPr>
            </w:pPr>
            <w:r>
              <w:rPr>
                <w:color w:val="auto"/>
                <w:szCs w:val="21"/>
                <w:highlight w:val="none"/>
              </w:rPr>
              <w:t>-</w:t>
            </w:r>
          </w:p>
        </w:tc>
        <w:tc>
          <w:tcPr>
            <w:tcW w:w="856" w:type="pct"/>
            <w:tcBorders>
              <w:top w:val="single" w:color="auto" w:sz="4" w:space="0"/>
              <w:left w:val="single" w:color="auto" w:sz="4" w:space="0"/>
              <w:bottom w:val="single" w:color="auto" w:sz="4" w:space="0"/>
              <w:right w:val="nil"/>
            </w:tcBorders>
            <w:vAlign w:val="center"/>
          </w:tcPr>
          <w:p w14:paraId="48202EEA">
            <w:pPr>
              <w:adjustRightInd w:val="0"/>
              <w:snapToGrid w:val="0"/>
              <w:jc w:val="center"/>
              <w:rPr>
                <w:color w:val="auto"/>
                <w:szCs w:val="21"/>
                <w:highlight w:val="none"/>
              </w:rPr>
            </w:pPr>
            <w:r>
              <w:rPr>
                <w:rFonts w:hint="eastAsia"/>
                <w:color w:val="auto"/>
                <w:szCs w:val="21"/>
                <w:highlight w:val="none"/>
              </w:rPr>
              <w:t>10</w:t>
            </w:r>
          </w:p>
        </w:tc>
      </w:tr>
      <w:tr w14:paraId="3F0B32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0AD3D26A">
            <w:pPr>
              <w:adjustRightInd w:val="0"/>
              <w:snapToGrid w:val="0"/>
              <w:jc w:val="center"/>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2700BC33">
            <w:pPr>
              <w:adjustRightInd w:val="0"/>
              <w:snapToGrid w:val="0"/>
              <w:jc w:val="center"/>
              <w:rPr>
                <w:color w:val="auto"/>
                <w:szCs w:val="21"/>
                <w:highlight w:val="none"/>
              </w:rPr>
            </w:pPr>
            <w:r>
              <w:rPr>
                <w:rFonts w:hint="eastAsia"/>
                <w:color w:val="auto"/>
                <w:szCs w:val="21"/>
                <w:highlight w:val="none"/>
                <w:lang w:eastAsia="zh-CN"/>
              </w:rPr>
              <w:t>蛋库</w:t>
            </w:r>
            <w:r>
              <w:rPr>
                <w:rFonts w:hint="eastAsia"/>
                <w:color w:val="auto"/>
                <w:szCs w:val="21"/>
                <w:highlight w:val="none"/>
              </w:rPr>
              <w:t>、</w:t>
            </w:r>
            <w:r>
              <w:rPr>
                <w:color w:val="auto"/>
                <w:szCs w:val="21"/>
                <w:highlight w:val="none"/>
              </w:rPr>
              <w:t>厂区内运输路面</w:t>
            </w:r>
            <w:r>
              <w:rPr>
                <w:rFonts w:hint="eastAsia"/>
                <w:color w:val="auto"/>
                <w:szCs w:val="21"/>
                <w:highlight w:val="none"/>
              </w:rPr>
              <w:t>：</w:t>
            </w:r>
            <w:r>
              <w:rPr>
                <w:color w:val="auto"/>
                <w:szCs w:val="21"/>
                <w:highlight w:val="none"/>
              </w:rPr>
              <w:t>一般地面硬化</w:t>
            </w:r>
          </w:p>
        </w:tc>
        <w:tc>
          <w:tcPr>
            <w:tcW w:w="1163" w:type="pct"/>
            <w:tcBorders>
              <w:top w:val="single" w:color="auto" w:sz="4" w:space="0"/>
              <w:left w:val="single" w:color="auto" w:sz="4" w:space="0"/>
              <w:bottom w:val="single" w:color="auto" w:sz="4" w:space="0"/>
              <w:right w:val="single" w:color="auto" w:sz="4" w:space="0"/>
            </w:tcBorders>
            <w:vAlign w:val="center"/>
          </w:tcPr>
          <w:p w14:paraId="3E484F84">
            <w:pPr>
              <w:adjustRightInd w:val="0"/>
              <w:snapToGrid w:val="0"/>
              <w:jc w:val="center"/>
              <w:rPr>
                <w:color w:val="auto"/>
                <w:szCs w:val="21"/>
                <w:highlight w:val="none"/>
              </w:rPr>
            </w:pPr>
            <w:r>
              <w:rPr>
                <w:color w:val="auto"/>
                <w:szCs w:val="21"/>
                <w:highlight w:val="none"/>
              </w:rPr>
              <w:t>-</w:t>
            </w:r>
          </w:p>
        </w:tc>
        <w:tc>
          <w:tcPr>
            <w:tcW w:w="856" w:type="pct"/>
            <w:tcBorders>
              <w:top w:val="single" w:color="auto" w:sz="4" w:space="0"/>
              <w:left w:val="single" w:color="auto" w:sz="4" w:space="0"/>
              <w:bottom w:val="single" w:color="auto" w:sz="4" w:space="0"/>
              <w:right w:val="nil"/>
            </w:tcBorders>
            <w:vAlign w:val="center"/>
          </w:tcPr>
          <w:p w14:paraId="2DBD5D0D">
            <w:pPr>
              <w:adjustRightInd w:val="0"/>
              <w:snapToGrid w:val="0"/>
              <w:jc w:val="center"/>
              <w:rPr>
                <w:color w:val="auto"/>
                <w:szCs w:val="21"/>
                <w:highlight w:val="none"/>
              </w:rPr>
            </w:pPr>
            <w:r>
              <w:rPr>
                <w:rFonts w:hint="eastAsia"/>
                <w:color w:val="auto"/>
                <w:szCs w:val="21"/>
                <w:highlight w:val="none"/>
              </w:rPr>
              <w:t>1.5</w:t>
            </w:r>
          </w:p>
        </w:tc>
      </w:tr>
      <w:tr w14:paraId="09F82BF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restart"/>
            <w:tcBorders>
              <w:top w:val="single" w:color="auto" w:sz="4" w:space="0"/>
              <w:left w:val="nil"/>
              <w:right w:val="single" w:color="auto" w:sz="4" w:space="0"/>
            </w:tcBorders>
            <w:vAlign w:val="center"/>
          </w:tcPr>
          <w:p w14:paraId="3BB97B2D">
            <w:pPr>
              <w:adjustRightInd w:val="0"/>
              <w:snapToGrid w:val="0"/>
              <w:jc w:val="center"/>
              <w:rPr>
                <w:color w:val="auto"/>
                <w:szCs w:val="21"/>
                <w:highlight w:val="none"/>
              </w:rPr>
            </w:pPr>
            <w:r>
              <w:rPr>
                <w:color w:val="auto"/>
                <w:szCs w:val="21"/>
                <w:highlight w:val="none"/>
              </w:rPr>
              <w:t>环境风险</w:t>
            </w:r>
          </w:p>
        </w:tc>
        <w:tc>
          <w:tcPr>
            <w:tcW w:w="2335" w:type="pct"/>
            <w:tcBorders>
              <w:top w:val="single" w:color="auto" w:sz="4" w:space="0"/>
              <w:left w:val="single" w:color="auto" w:sz="4" w:space="0"/>
              <w:bottom w:val="single" w:color="auto" w:sz="4" w:space="0"/>
              <w:right w:val="single" w:color="auto" w:sz="4" w:space="0"/>
            </w:tcBorders>
            <w:vAlign w:val="center"/>
          </w:tcPr>
          <w:p w14:paraId="6CF5F9C1">
            <w:pPr>
              <w:jc w:val="center"/>
              <w:rPr>
                <w:color w:val="auto"/>
                <w:highlight w:val="none"/>
              </w:rPr>
            </w:pPr>
            <w:r>
              <w:rPr>
                <w:color w:val="auto"/>
                <w:highlight w:val="none"/>
              </w:rPr>
              <w:t>事故池</w:t>
            </w:r>
          </w:p>
        </w:tc>
        <w:tc>
          <w:tcPr>
            <w:tcW w:w="1163" w:type="pct"/>
            <w:tcBorders>
              <w:top w:val="single" w:color="auto" w:sz="4" w:space="0"/>
              <w:left w:val="single" w:color="auto" w:sz="4" w:space="0"/>
              <w:bottom w:val="single" w:color="auto" w:sz="4" w:space="0"/>
              <w:right w:val="single" w:color="auto" w:sz="4" w:space="0"/>
            </w:tcBorders>
            <w:vAlign w:val="center"/>
          </w:tcPr>
          <w:p w14:paraId="44469691">
            <w:pPr>
              <w:adjustRightInd w:val="0"/>
              <w:snapToGrid w:val="0"/>
              <w:jc w:val="center"/>
              <w:rPr>
                <w:color w:val="auto"/>
                <w:szCs w:val="21"/>
                <w:highlight w:val="none"/>
              </w:rPr>
            </w:pPr>
            <w:r>
              <w:rPr>
                <w:color w:val="auto"/>
                <w:highlight w:val="none"/>
              </w:rPr>
              <w:t>1座，容积</w:t>
            </w:r>
            <w:r>
              <w:rPr>
                <w:rFonts w:hint="eastAsia"/>
                <w:color w:val="auto"/>
                <w:highlight w:val="none"/>
                <w:lang w:val="en-US" w:eastAsia="zh-CN"/>
              </w:rPr>
              <w:t>1</w:t>
            </w:r>
            <w:r>
              <w:rPr>
                <w:rFonts w:hint="eastAsia"/>
                <w:color w:val="auto"/>
                <w:highlight w:val="none"/>
              </w:rPr>
              <w:t>50</w:t>
            </w:r>
            <w:r>
              <w:rPr>
                <w:color w:val="auto"/>
                <w:highlight w:val="none"/>
              </w:rPr>
              <w:t>m</w:t>
            </w:r>
            <w:r>
              <w:rPr>
                <w:color w:val="auto"/>
                <w:highlight w:val="none"/>
                <w:vertAlign w:val="superscript"/>
              </w:rPr>
              <w:t>3</w:t>
            </w:r>
          </w:p>
        </w:tc>
        <w:tc>
          <w:tcPr>
            <w:tcW w:w="856" w:type="pct"/>
            <w:tcBorders>
              <w:top w:val="single" w:color="auto" w:sz="4" w:space="0"/>
              <w:left w:val="single" w:color="auto" w:sz="4" w:space="0"/>
              <w:bottom w:val="single" w:color="auto" w:sz="4" w:space="0"/>
              <w:right w:val="nil"/>
            </w:tcBorders>
            <w:vAlign w:val="center"/>
          </w:tcPr>
          <w:p w14:paraId="1778AD9B">
            <w:pPr>
              <w:adjustRightInd w:val="0"/>
              <w:snapToGrid w:val="0"/>
              <w:jc w:val="center"/>
              <w:rPr>
                <w:color w:val="auto"/>
                <w:szCs w:val="21"/>
                <w:highlight w:val="none"/>
              </w:rPr>
            </w:pPr>
            <w:r>
              <w:rPr>
                <w:rFonts w:hint="eastAsia"/>
                <w:color w:val="auto"/>
                <w:szCs w:val="21"/>
                <w:highlight w:val="none"/>
              </w:rPr>
              <w:t>2.0</w:t>
            </w:r>
          </w:p>
        </w:tc>
      </w:tr>
      <w:tr w14:paraId="38F5A43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vMerge w:val="continue"/>
            <w:tcBorders>
              <w:left w:val="nil"/>
              <w:right w:val="single" w:color="auto" w:sz="4" w:space="0"/>
            </w:tcBorders>
            <w:vAlign w:val="center"/>
          </w:tcPr>
          <w:p w14:paraId="6593C509">
            <w:pPr>
              <w:adjustRightInd w:val="0"/>
              <w:snapToGrid w:val="0"/>
              <w:jc w:val="center"/>
              <w:rPr>
                <w:color w:val="auto"/>
                <w:szCs w:val="21"/>
                <w:highlight w:val="none"/>
              </w:rPr>
            </w:pPr>
          </w:p>
        </w:tc>
        <w:tc>
          <w:tcPr>
            <w:tcW w:w="2335" w:type="pct"/>
            <w:tcBorders>
              <w:top w:val="single" w:color="auto" w:sz="4" w:space="0"/>
              <w:left w:val="single" w:color="auto" w:sz="4" w:space="0"/>
              <w:bottom w:val="single" w:color="auto" w:sz="4" w:space="0"/>
              <w:right w:val="single" w:color="auto" w:sz="4" w:space="0"/>
            </w:tcBorders>
            <w:vAlign w:val="center"/>
          </w:tcPr>
          <w:p w14:paraId="002C7A1D">
            <w:pPr>
              <w:jc w:val="center"/>
              <w:rPr>
                <w:color w:val="auto"/>
                <w:highlight w:val="none"/>
              </w:rPr>
            </w:pPr>
            <w:r>
              <w:rPr>
                <w:color w:val="auto"/>
                <w:highlight w:val="none"/>
              </w:rPr>
              <w:t>风险防范物资</w:t>
            </w:r>
          </w:p>
        </w:tc>
        <w:tc>
          <w:tcPr>
            <w:tcW w:w="1163" w:type="pct"/>
            <w:tcBorders>
              <w:top w:val="single" w:color="auto" w:sz="4" w:space="0"/>
              <w:left w:val="single" w:color="auto" w:sz="4" w:space="0"/>
              <w:bottom w:val="single" w:color="auto" w:sz="4" w:space="0"/>
              <w:right w:val="single" w:color="auto" w:sz="4" w:space="0"/>
            </w:tcBorders>
            <w:vAlign w:val="center"/>
          </w:tcPr>
          <w:p w14:paraId="5879E26F">
            <w:pPr>
              <w:adjustRightInd w:val="0"/>
              <w:snapToGrid w:val="0"/>
              <w:jc w:val="center"/>
              <w:rPr>
                <w:color w:val="auto"/>
                <w:highlight w:val="none"/>
              </w:rPr>
            </w:pPr>
            <w:r>
              <w:rPr>
                <w:color w:val="auto"/>
                <w:szCs w:val="21"/>
                <w:highlight w:val="none"/>
              </w:rPr>
              <w:t>-</w:t>
            </w:r>
          </w:p>
        </w:tc>
        <w:tc>
          <w:tcPr>
            <w:tcW w:w="856" w:type="pct"/>
            <w:tcBorders>
              <w:top w:val="single" w:color="auto" w:sz="4" w:space="0"/>
              <w:left w:val="single" w:color="auto" w:sz="4" w:space="0"/>
              <w:bottom w:val="single" w:color="auto" w:sz="4" w:space="0"/>
              <w:right w:val="nil"/>
            </w:tcBorders>
            <w:vAlign w:val="center"/>
          </w:tcPr>
          <w:p w14:paraId="21CE80BE">
            <w:pPr>
              <w:adjustRightInd w:val="0"/>
              <w:snapToGrid w:val="0"/>
              <w:jc w:val="center"/>
              <w:rPr>
                <w:color w:val="auto"/>
                <w:szCs w:val="21"/>
                <w:highlight w:val="none"/>
              </w:rPr>
            </w:pPr>
            <w:r>
              <w:rPr>
                <w:rFonts w:hint="eastAsia"/>
                <w:color w:val="auto"/>
                <w:szCs w:val="21"/>
                <w:highlight w:val="none"/>
              </w:rPr>
              <w:t>0.1</w:t>
            </w:r>
          </w:p>
        </w:tc>
      </w:tr>
      <w:tr w14:paraId="1BAB0E6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op w:val="single" w:color="auto" w:sz="4" w:space="0"/>
              <w:left w:val="nil"/>
              <w:bottom w:val="single" w:color="auto" w:sz="4" w:space="0"/>
              <w:right w:val="single" w:color="auto" w:sz="4" w:space="0"/>
            </w:tcBorders>
            <w:vAlign w:val="center"/>
          </w:tcPr>
          <w:p w14:paraId="3871E783">
            <w:pPr>
              <w:adjustRightInd w:val="0"/>
              <w:snapToGrid w:val="0"/>
              <w:jc w:val="center"/>
              <w:rPr>
                <w:color w:val="auto"/>
                <w:szCs w:val="21"/>
                <w:highlight w:val="none"/>
              </w:rPr>
            </w:pPr>
            <w:r>
              <w:rPr>
                <w:color w:val="auto"/>
                <w:szCs w:val="21"/>
                <w:highlight w:val="none"/>
              </w:rPr>
              <w:t>绿化工程</w:t>
            </w:r>
          </w:p>
        </w:tc>
        <w:tc>
          <w:tcPr>
            <w:tcW w:w="2335" w:type="pct"/>
            <w:tcBorders>
              <w:top w:val="single" w:color="auto" w:sz="4" w:space="0"/>
              <w:left w:val="single" w:color="auto" w:sz="4" w:space="0"/>
              <w:bottom w:val="single" w:color="auto" w:sz="4" w:space="0"/>
              <w:right w:val="single" w:color="auto" w:sz="4" w:space="0"/>
            </w:tcBorders>
            <w:vAlign w:val="center"/>
          </w:tcPr>
          <w:p w14:paraId="6071DF14">
            <w:pPr>
              <w:adjustRightInd w:val="0"/>
              <w:snapToGrid w:val="0"/>
              <w:jc w:val="center"/>
              <w:rPr>
                <w:rFonts w:hint="eastAsia" w:eastAsia="宋体"/>
                <w:color w:val="auto"/>
                <w:szCs w:val="21"/>
                <w:highlight w:val="none"/>
                <w:lang w:eastAsia="zh-CN"/>
              </w:rPr>
            </w:pPr>
            <w:r>
              <w:rPr>
                <w:rFonts w:hint="eastAsia"/>
                <w:color w:val="auto"/>
                <w:szCs w:val="21"/>
                <w:highlight w:val="none"/>
              </w:rPr>
              <w:t>栽种各类树木花草</w:t>
            </w:r>
          </w:p>
        </w:tc>
        <w:tc>
          <w:tcPr>
            <w:tcW w:w="1163" w:type="pct"/>
            <w:tcBorders>
              <w:top w:val="single" w:color="auto" w:sz="4" w:space="0"/>
              <w:left w:val="single" w:color="auto" w:sz="4" w:space="0"/>
              <w:bottom w:val="single" w:color="auto" w:sz="4" w:space="0"/>
              <w:right w:val="single" w:color="auto" w:sz="4" w:space="0"/>
            </w:tcBorders>
            <w:vAlign w:val="center"/>
          </w:tcPr>
          <w:p w14:paraId="4ABFCDA9">
            <w:pPr>
              <w:adjustRightInd w:val="0"/>
              <w:snapToGrid w:val="0"/>
              <w:jc w:val="center"/>
              <w:rPr>
                <w:color w:val="auto"/>
                <w:szCs w:val="21"/>
                <w:highlight w:val="none"/>
              </w:rPr>
            </w:pPr>
            <w:r>
              <w:rPr>
                <w:color w:val="auto"/>
                <w:szCs w:val="21"/>
                <w:highlight w:val="none"/>
              </w:rPr>
              <w:t>绿化面积</w:t>
            </w:r>
            <w:r>
              <w:rPr>
                <w:rFonts w:hint="eastAsia"/>
                <w:color w:val="auto"/>
                <w:szCs w:val="21"/>
                <w:highlight w:val="none"/>
              </w:rPr>
              <w:t>5050</w:t>
            </w:r>
            <w:r>
              <w:rPr>
                <w:color w:val="auto"/>
                <w:szCs w:val="21"/>
                <w:highlight w:val="none"/>
              </w:rPr>
              <w:t>m</w:t>
            </w:r>
            <w:r>
              <w:rPr>
                <w:color w:val="auto"/>
                <w:szCs w:val="21"/>
                <w:highlight w:val="none"/>
                <w:vertAlign w:val="superscript"/>
              </w:rPr>
              <w:t>2</w:t>
            </w:r>
          </w:p>
        </w:tc>
        <w:tc>
          <w:tcPr>
            <w:tcW w:w="856" w:type="pct"/>
            <w:tcBorders>
              <w:top w:val="single" w:color="auto" w:sz="4" w:space="0"/>
              <w:left w:val="single" w:color="auto" w:sz="4" w:space="0"/>
              <w:bottom w:val="single" w:color="auto" w:sz="4" w:space="0"/>
              <w:right w:val="nil"/>
            </w:tcBorders>
            <w:vAlign w:val="center"/>
          </w:tcPr>
          <w:p w14:paraId="29E4470C">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5.0</w:t>
            </w:r>
          </w:p>
        </w:tc>
      </w:tr>
      <w:tr w14:paraId="759B183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4" w:type="pct"/>
            <w:tcBorders>
              <w:top w:val="single" w:color="auto" w:sz="4" w:space="0"/>
              <w:left w:val="nil"/>
              <w:bottom w:val="double" w:color="auto" w:sz="4" w:space="0"/>
              <w:right w:val="single" w:color="auto" w:sz="4" w:space="0"/>
            </w:tcBorders>
            <w:vAlign w:val="center"/>
          </w:tcPr>
          <w:p w14:paraId="5F665B4C">
            <w:pPr>
              <w:adjustRightInd w:val="0"/>
              <w:snapToGrid w:val="0"/>
              <w:jc w:val="center"/>
              <w:rPr>
                <w:color w:val="auto"/>
                <w:szCs w:val="21"/>
                <w:highlight w:val="none"/>
              </w:rPr>
            </w:pPr>
            <w:r>
              <w:rPr>
                <w:color w:val="auto"/>
                <w:szCs w:val="21"/>
                <w:highlight w:val="none"/>
              </w:rPr>
              <w:t>合计</w:t>
            </w:r>
          </w:p>
        </w:tc>
        <w:tc>
          <w:tcPr>
            <w:tcW w:w="2335" w:type="pct"/>
            <w:tcBorders>
              <w:top w:val="single" w:color="auto" w:sz="4" w:space="0"/>
              <w:left w:val="single" w:color="auto" w:sz="4" w:space="0"/>
              <w:bottom w:val="double" w:color="auto" w:sz="4" w:space="0"/>
              <w:right w:val="single" w:color="auto" w:sz="4" w:space="0"/>
            </w:tcBorders>
            <w:vAlign w:val="center"/>
          </w:tcPr>
          <w:p w14:paraId="452E5879">
            <w:pPr>
              <w:adjustRightInd w:val="0"/>
              <w:snapToGrid w:val="0"/>
              <w:jc w:val="center"/>
              <w:rPr>
                <w:color w:val="auto"/>
                <w:szCs w:val="21"/>
                <w:highlight w:val="none"/>
              </w:rPr>
            </w:pPr>
            <w:r>
              <w:rPr>
                <w:color w:val="auto"/>
                <w:szCs w:val="21"/>
                <w:highlight w:val="none"/>
              </w:rPr>
              <w:t>-</w:t>
            </w:r>
          </w:p>
        </w:tc>
        <w:tc>
          <w:tcPr>
            <w:tcW w:w="1163" w:type="pct"/>
            <w:tcBorders>
              <w:top w:val="single" w:color="auto" w:sz="4" w:space="0"/>
              <w:left w:val="single" w:color="auto" w:sz="4" w:space="0"/>
              <w:bottom w:val="double" w:color="auto" w:sz="4" w:space="0"/>
              <w:right w:val="single" w:color="auto" w:sz="4" w:space="0"/>
            </w:tcBorders>
            <w:vAlign w:val="center"/>
          </w:tcPr>
          <w:p w14:paraId="16B160F9">
            <w:pPr>
              <w:adjustRightInd w:val="0"/>
              <w:snapToGrid w:val="0"/>
              <w:jc w:val="center"/>
              <w:rPr>
                <w:color w:val="auto"/>
                <w:szCs w:val="21"/>
                <w:highlight w:val="none"/>
              </w:rPr>
            </w:pPr>
            <w:r>
              <w:rPr>
                <w:color w:val="auto"/>
                <w:szCs w:val="21"/>
                <w:highlight w:val="none"/>
              </w:rPr>
              <w:t>-</w:t>
            </w:r>
          </w:p>
        </w:tc>
        <w:tc>
          <w:tcPr>
            <w:tcW w:w="856" w:type="pct"/>
            <w:tcBorders>
              <w:top w:val="single" w:color="auto" w:sz="4" w:space="0"/>
              <w:left w:val="single" w:color="auto" w:sz="4" w:space="0"/>
              <w:bottom w:val="double" w:color="auto" w:sz="4" w:space="0"/>
              <w:right w:val="nil"/>
            </w:tcBorders>
            <w:vAlign w:val="center"/>
          </w:tcPr>
          <w:p w14:paraId="24055508">
            <w:pPr>
              <w:adjustRightInd w:val="0"/>
              <w:snapToGrid w:val="0"/>
              <w:jc w:val="center"/>
              <w:rPr>
                <w:color w:val="auto"/>
                <w:szCs w:val="21"/>
                <w:highlight w:val="none"/>
              </w:rPr>
            </w:pPr>
            <w:r>
              <w:rPr>
                <w:color w:val="auto"/>
                <w:szCs w:val="21"/>
                <w:highlight w:val="none"/>
              </w:rPr>
              <w:fldChar w:fldCharType="begin"/>
            </w:r>
            <w:r>
              <w:rPr>
                <w:color w:val="auto"/>
                <w:szCs w:val="21"/>
                <w:highlight w:val="none"/>
              </w:rPr>
              <w:instrText xml:space="preserve"> = sum(D8:D30) \* MERGEFORMAT </w:instrText>
            </w:r>
            <w:r>
              <w:rPr>
                <w:color w:val="auto"/>
                <w:szCs w:val="21"/>
                <w:highlight w:val="none"/>
              </w:rPr>
              <w:fldChar w:fldCharType="separate"/>
            </w:r>
            <w:r>
              <w:rPr>
                <w:color w:val="auto"/>
                <w:szCs w:val="21"/>
                <w:highlight w:val="none"/>
              </w:rPr>
              <w:t>1</w:t>
            </w:r>
            <w:r>
              <w:rPr>
                <w:rFonts w:hint="eastAsia"/>
                <w:color w:val="auto"/>
                <w:szCs w:val="21"/>
                <w:highlight w:val="none"/>
                <w:lang w:val="en-US" w:eastAsia="zh-CN"/>
              </w:rPr>
              <w:t>50</w:t>
            </w:r>
            <w:r>
              <w:rPr>
                <w:color w:val="auto"/>
                <w:szCs w:val="21"/>
                <w:highlight w:val="none"/>
              </w:rPr>
              <w:t>.8</w:t>
            </w:r>
            <w:r>
              <w:rPr>
                <w:color w:val="auto"/>
                <w:szCs w:val="21"/>
                <w:highlight w:val="none"/>
              </w:rPr>
              <w:fldChar w:fldCharType="end"/>
            </w:r>
          </w:p>
        </w:tc>
      </w:tr>
    </w:tbl>
    <w:p w14:paraId="52DA93C0">
      <w:pPr>
        <w:pStyle w:val="4"/>
        <w:snapToGrid w:val="0"/>
        <w:spacing w:before="0"/>
        <w:rPr>
          <w:rFonts w:ascii="Times New Roman" w:hAnsi="Times New Roman" w:eastAsia="宋体"/>
          <w:bCs/>
          <w:color w:val="auto"/>
          <w:sz w:val="28"/>
          <w:szCs w:val="28"/>
        </w:rPr>
      </w:pPr>
      <w:bookmarkStart w:id="419" w:name="_Toc9246"/>
      <w:r>
        <w:rPr>
          <w:rFonts w:ascii="Times New Roman" w:hAnsi="Times New Roman" w:eastAsia="宋体"/>
          <w:bCs/>
          <w:color w:val="auto"/>
          <w:sz w:val="28"/>
          <w:szCs w:val="28"/>
        </w:rPr>
        <w:t>8.3.2环保损益分析</w:t>
      </w:r>
      <w:bookmarkEnd w:id="419"/>
    </w:p>
    <w:p w14:paraId="45D97B19">
      <w:pPr>
        <w:tabs>
          <w:tab w:val="left" w:pos="992"/>
        </w:tabs>
        <w:adjustRightInd w:val="0"/>
        <w:snapToGrid w:val="0"/>
        <w:spacing w:line="360" w:lineRule="auto"/>
        <w:ind w:firstLine="567"/>
        <w:rPr>
          <w:smallCaps/>
          <w:color w:val="auto"/>
          <w:sz w:val="24"/>
        </w:rPr>
      </w:pPr>
      <w:r>
        <w:rPr>
          <w:smallCaps/>
          <w:color w:val="auto"/>
          <w:sz w:val="24"/>
        </w:rPr>
        <w:t>建设期噪声、扬尘、废水、固体废物会对环境产生一定的暂时影响；运营期废水、废气、固体废物也对环境会产生一定的影响。但只要加强科学管理，落实各项环保措施，确保运营中所产生的污水、废气、固体废物等污染源及时得到处理处置后达标排放，可以有效控制各污染源对环境的影响。</w:t>
      </w:r>
    </w:p>
    <w:p w14:paraId="305113BD">
      <w:pPr>
        <w:tabs>
          <w:tab w:val="left" w:pos="992"/>
        </w:tabs>
        <w:adjustRightInd w:val="0"/>
        <w:snapToGrid w:val="0"/>
        <w:spacing w:line="360" w:lineRule="auto"/>
        <w:ind w:firstLine="567"/>
        <w:rPr>
          <w:smallCaps/>
          <w:color w:val="auto"/>
          <w:sz w:val="24"/>
        </w:rPr>
      </w:pPr>
      <w:r>
        <w:rPr>
          <w:smallCaps/>
          <w:color w:val="auto"/>
          <w:sz w:val="24"/>
        </w:rPr>
        <w:t>由以上分析可见，拟建项目所采取的环保工程措施在取得较好的环境效益的同时，社会效益和综合效益也是显著的。</w:t>
      </w:r>
      <w:r>
        <w:rPr>
          <w:smallCaps/>
          <w:color w:val="auto"/>
          <w:sz w:val="24"/>
        </w:rPr>
        <w:br w:type="page"/>
      </w:r>
    </w:p>
    <w:p w14:paraId="2D4864EA">
      <w:pPr>
        <w:keepNext/>
        <w:adjustRightInd w:val="0"/>
        <w:spacing w:line="360" w:lineRule="auto"/>
        <w:jc w:val="left"/>
        <w:outlineLvl w:val="0"/>
        <w:rPr>
          <w:b/>
          <w:color w:val="auto"/>
          <w:sz w:val="32"/>
        </w:rPr>
      </w:pPr>
      <w:bookmarkStart w:id="420" w:name="_Toc15902"/>
      <w:bookmarkStart w:id="421" w:name="_Toc578"/>
      <w:bookmarkStart w:id="422" w:name="_Toc18942"/>
      <w:r>
        <w:rPr>
          <w:b/>
          <w:color w:val="auto"/>
          <w:sz w:val="32"/>
        </w:rPr>
        <w:t>9环境管理及监测计划</w:t>
      </w:r>
      <w:bookmarkEnd w:id="420"/>
      <w:bookmarkEnd w:id="421"/>
    </w:p>
    <w:p w14:paraId="3F3CA47E">
      <w:pPr>
        <w:keepNext/>
        <w:keepLines/>
        <w:spacing w:line="360" w:lineRule="auto"/>
        <w:outlineLvl w:val="1"/>
        <w:rPr>
          <w:b/>
          <w:color w:val="auto"/>
          <w:sz w:val="30"/>
        </w:rPr>
      </w:pPr>
      <w:bookmarkStart w:id="423" w:name="_Toc6861"/>
      <w:bookmarkStart w:id="424" w:name="_Toc24756"/>
      <w:bookmarkStart w:id="425" w:name="_Toc15610"/>
      <w:r>
        <w:rPr>
          <w:b/>
          <w:color w:val="auto"/>
          <w:sz w:val="30"/>
        </w:rPr>
        <w:t>9.1环境管理</w:t>
      </w:r>
      <w:bookmarkEnd w:id="423"/>
      <w:bookmarkEnd w:id="424"/>
      <w:bookmarkEnd w:id="425"/>
    </w:p>
    <w:p w14:paraId="7FF68BFD">
      <w:pPr>
        <w:adjustRightInd w:val="0"/>
        <w:spacing w:line="360" w:lineRule="auto"/>
        <w:ind w:firstLine="480" w:firstLineChars="200"/>
        <w:rPr>
          <w:color w:val="auto"/>
          <w:sz w:val="24"/>
        </w:rPr>
      </w:pPr>
      <w:r>
        <w:rPr>
          <w:color w:val="auto"/>
          <w:sz w:val="24"/>
        </w:rPr>
        <w:t>加强环境管理，加大企业环境监测力度，有效保护区域环境是建设项目环境管理的根本目的。因此根据本项目污染物排放特征，污染物治理情况，有针对性地制定项目的环境保护管理与监测计划是非常必要的。</w:t>
      </w:r>
    </w:p>
    <w:p w14:paraId="1D4434F8">
      <w:pPr>
        <w:keepNext/>
        <w:keepLines/>
        <w:spacing w:line="360" w:lineRule="auto"/>
        <w:outlineLvl w:val="2"/>
        <w:rPr>
          <w:b/>
          <w:bCs/>
          <w:color w:val="auto"/>
          <w:sz w:val="28"/>
          <w:szCs w:val="32"/>
        </w:rPr>
      </w:pPr>
      <w:bookmarkStart w:id="426" w:name="_Toc9537"/>
      <w:r>
        <w:rPr>
          <w:b/>
          <w:bCs/>
          <w:color w:val="auto"/>
          <w:sz w:val="28"/>
          <w:szCs w:val="32"/>
        </w:rPr>
        <w:t>9.1.1管理机构的组成及职责</w:t>
      </w:r>
      <w:bookmarkEnd w:id="426"/>
    </w:p>
    <w:p w14:paraId="45CB5775">
      <w:pPr>
        <w:adjustRightInd w:val="0"/>
        <w:spacing w:line="360" w:lineRule="auto"/>
        <w:ind w:firstLine="480" w:firstLineChars="200"/>
        <w:rPr>
          <w:color w:val="auto"/>
          <w:sz w:val="24"/>
        </w:rPr>
      </w:pPr>
      <w:r>
        <w:rPr>
          <w:color w:val="auto"/>
          <w:sz w:val="24"/>
        </w:rPr>
        <w:t>环境管理工作由环境监督小组负责，环境监督小组由建设单位会同</w:t>
      </w:r>
      <w:r>
        <w:rPr>
          <w:rFonts w:hint="eastAsia"/>
          <w:color w:val="auto"/>
          <w:sz w:val="24"/>
          <w:lang w:eastAsia="zh-CN"/>
        </w:rPr>
        <w:t>北票市</w:t>
      </w:r>
      <w:r>
        <w:rPr>
          <w:color w:val="auto"/>
          <w:sz w:val="24"/>
        </w:rPr>
        <w:t>环境保护部门有关人员组成，设立负责人员和技术人员各1名。主要任务包括：</w:t>
      </w:r>
    </w:p>
    <w:p w14:paraId="78C0498B">
      <w:pPr>
        <w:adjustRightInd w:val="0"/>
        <w:spacing w:line="360" w:lineRule="auto"/>
        <w:ind w:firstLine="480" w:firstLineChars="200"/>
        <w:rPr>
          <w:color w:val="auto"/>
          <w:sz w:val="24"/>
        </w:rPr>
      </w:pPr>
      <w:r>
        <w:rPr>
          <w:color w:val="auto"/>
          <w:sz w:val="24"/>
        </w:rPr>
        <w:t>①贯彻执行国家和地方的环保法律法规和有关标准；</w:t>
      </w:r>
    </w:p>
    <w:p w14:paraId="36154DC5">
      <w:pPr>
        <w:adjustRightInd w:val="0"/>
        <w:spacing w:line="360" w:lineRule="auto"/>
        <w:ind w:firstLine="480" w:firstLineChars="200"/>
        <w:rPr>
          <w:color w:val="auto"/>
          <w:sz w:val="24"/>
        </w:rPr>
      </w:pPr>
      <w:r>
        <w:rPr>
          <w:color w:val="auto"/>
          <w:sz w:val="24"/>
        </w:rPr>
        <w:t>②编制项目施工期和运营期环保计划，并组织实施；</w:t>
      </w:r>
    </w:p>
    <w:p w14:paraId="61F3B3DA">
      <w:pPr>
        <w:adjustRightInd w:val="0"/>
        <w:spacing w:line="360" w:lineRule="auto"/>
        <w:ind w:firstLine="480" w:firstLineChars="200"/>
        <w:rPr>
          <w:color w:val="auto"/>
          <w:sz w:val="24"/>
        </w:rPr>
      </w:pPr>
      <w:r>
        <w:rPr>
          <w:color w:val="auto"/>
          <w:sz w:val="24"/>
        </w:rPr>
        <w:t>③严格执行“三同时”原则，确保环保投资落实到位；</w:t>
      </w:r>
    </w:p>
    <w:p w14:paraId="4521554C">
      <w:pPr>
        <w:adjustRightInd w:val="0"/>
        <w:spacing w:line="360" w:lineRule="auto"/>
        <w:ind w:firstLine="480" w:firstLineChars="200"/>
        <w:rPr>
          <w:color w:val="auto"/>
          <w:sz w:val="24"/>
        </w:rPr>
      </w:pPr>
      <w:r>
        <w:rPr>
          <w:color w:val="auto"/>
          <w:sz w:val="24"/>
        </w:rPr>
        <w:t>④搞好施工期环保监理工作，检查落实施工期各项环保措施的执行情况，发现问题及时处理解决；</w:t>
      </w:r>
    </w:p>
    <w:p w14:paraId="05A2547B">
      <w:pPr>
        <w:adjustRightInd w:val="0"/>
        <w:spacing w:line="360" w:lineRule="auto"/>
        <w:ind w:firstLine="480" w:firstLineChars="200"/>
        <w:rPr>
          <w:color w:val="auto"/>
          <w:sz w:val="24"/>
        </w:rPr>
      </w:pPr>
      <w:r>
        <w:rPr>
          <w:color w:val="auto"/>
          <w:sz w:val="24"/>
        </w:rPr>
        <w:t>⑤搞好营运期各项污染治理设施的管理工作，确保正常运行；</w:t>
      </w:r>
    </w:p>
    <w:p w14:paraId="41B9CDA2">
      <w:pPr>
        <w:adjustRightInd w:val="0"/>
        <w:spacing w:line="360" w:lineRule="auto"/>
        <w:ind w:firstLine="480" w:firstLineChars="200"/>
        <w:rPr>
          <w:color w:val="auto"/>
          <w:sz w:val="24"/>
        </w:rPr>
      </w:pPr>
      <w:r>
        <w:rPr>
          <w:color w:val="auto"/>
          <w:sz w:val="24"/>
        </w:rPr>
        <w:t>⑥根据环境影响报告书提出的环境监测计划，编制项目年度环境监测计划，并组织实施；</w:t>
      </w:r>
    </w:p>
    <w:p w14:paraId="348D4AAC">
      <w:pPr>
        <w:adjustRightInd w:val="0"/>
        <w:spacing w:line="360" w:lineRule="auto"/>
        <w:ind w:firstLine="480" w:firstLineChars="200"/>
        <w:rPr>
          <w:color w:val="auto"/>
          <w:sz w:val="24"/>
        </w:rPr>
      </w:pPr>
      <w:r>
        <w:rPr>
          <w:color w:val="auto"/>
          <w:sz w:val="24"/>
        </w:rPr>
        <w:t>⑦建立各种管理制度并经常检查督促；</w:t>
      </w:r>
    </w:p>
    <w:p w14:paraId="002E23B9">
      <w:pPr>
        <w:adjustRightInd w:val="0"/>
        <w:spacing w:line="360" w:lineRule="auto"/>
        <w:ind w:firstLine="480" w:firstLineChars="200"/>
        <w:rPr>
          <w:color w:val="auto"/>
          <w:sz w:val="24"/>
        </w:rPr>
      </w:pPr>
      <w:r>
        <w:rPr>
          <w:color w:val="auto"/>
          <w:sz w:val="24"/>
        </w:rPr>
        <w:t>⑧搞好环保教育，提高项目区内人员环境保护意识；</w:t>
      </w:r>
    </w:p>
    <w:p w14:paraId="79CE8970">
      <w:pPr>
        <w:adjustRightInd w:val="0"/>
        <w:spacing w:line="360" w:lineRule="auto"/>
        <w:ind w:firstLine="480" w:firstLineChars="200"/>
        <w:rPr>
          <w:color w:val="auto"/>
          <w:sz w:val="24"/>
        </w:rPr>
      </w:pPr>
      <w:r>
        <w:rPr>
          <w:color w:val="auto"/>
          <w:sz w:val="24"/>
        </w:rPr>
        <w:t>⑨掌握项目区及其周围地区环境质量变化情况，提出进一步进行污染治理的改进措施；</w:t>
      </w:r>
    </w:p>
    <w:p w14:paraId="7560A75D">
      <w:pPr>
        <w:adjustRightInd w:val="0"/>
        <w:spacing w:line="360" w:lineRule="auto"/>
        <w:ind w:firstLine="480" w:firstLineChars="200"/>
        <w:rPr>
          <w:color w:val="auto"/>
          <w:sz w:val="24"/>
        </w:rPr>
      </w:pPr>
      <w:r>
        <w:rPr>
          <w:color w:val="auto"/>
          <w:sz w:val="24"/>
        </w:rPr>
        <w:t>⑩及时向主管环保部门汇报请示。</w:t>
      </w:r>
    </w:p>
    <w:p w14:paraId="4EC2C37E">
      <w:pPr>
        <w:keepNext/>
        <w:keepLines/>
        <w:spacing w:line="360" w:lineRule="auto"/>
        <w:outlineLvl w:val="2"/>
        <w:rPr>
          <w:b/>
          <w:bCs/>
          <w:color w:val="auto"/>
          <w:sz w:val="28"/>
          <w:szCs w:val="32"/>
        </w:rPr>
      </w:pPr>
      <w:bookmarkStart w:id="427" w:name="_Toc302050951"/>
      <w:bookmarkStart w:id="428" w:name="_Toc7049"/>
      <w:r>
        <w:rPr>
          <w:b/>
          <w:bCs/>
          <w:color w:val="auto"/>
          <w:sz w:val="28"/>
          <w:szCs w:val="32"/>
        </w:rPr>
        <w:t>9.1.2环境管理计划</w:t>
      </w:r>
      <w:bookmarkEnd w:id="427"/>
      <w:bookmarkEnd w:id="428"/>
    </w:p>
    <w:p w14:paraId="7188213E">
      <w:pPr>
        <w:spacing w:line="360" w:lineRule="auto"/>
        <w:ind w:firstLine="480" w:firstLineChars="200"/>
        <w:rPr>
          <w:color w:val="auto"/>
          <w:sz w:val="24"/>
        </w:rPr>
      </w:pPr>
      <w:r>
        <w:rPr>
          <w:color w:val="auto"/>
          <w:sz w:val="24"/>
        </w:rPr>
        <w:t>环境管理贯穿于本项目筹划到运行的整个过程，并对不同阶段制定相应的环保条例，规定不同阶段的环保内容，明确不同部门的工作职责。详见表9</w:t>
      </w:r>
      <w:r>
        <w:rPr>
          <w:rFonts w:hint="eastAsia"/>
          <w:color w:val="auto"/>
          <w:sz w:val="24"/>
          <w:lang w:val="en-US" w:eastAsia="zh-CN"/>
        </w:rPr>
        <w:t>.1</w:t>
      </w:r>
      <w:r>
        <w:rPr>
          <w:color w:val="auto"/>
          <w:sz w:val="24"/>
        </w:rPr>
        <w:t>-1。</w:t>
      </w:r>
    </w:p>
    <w:p w14:paraId="3FC646F4">
      <w:pPr>
        <w:jc w:val="center"/>
        <w:rPr>
          <w:b/>
          <w:color w:val="auto"/>
        </w:rPr>
      </w:pPr>
      <w:r>
        <w:rPr>
          <w:b/>
          <w:color w:val="auto"/>
        </w:rPr>
        <w:t>表9</w:t>
      </w:r>
      <w:r>
        <w:rPr>
          <w:rFonts w:hint="eastAsia"/>
          <w:b/>
          <w:color w:val="auto"/>
          <w:lang w:val="en-US" w:eastAsia="zh-CN"/>
        </w:rPr>
        <w:t>.1</w:t>
      </w:r>
      <w:r>
        <w:rPr>
          <w:b/>
          <w:color w:val="auto"/>
        </w:rPr>
        <w:t>-1   建设项目各阶段环境管理内容表</w:t>
      </w:r>
    </w:p>
    <w:tbl>
      <w:tblPr>
        <w:tblStyle w:val="53"/>
        <w:tblW w:w="0" w:type="auto"/>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1521"/>
        <w:gridCol w:w="7664"/>
      </w:tblGrid>
      <w:tr w14:paraId="63BEBA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521" w:type="dxa"/>
            <w:vAlign w:val="center"/>
          </w:tcPr>
          <w:p w14:paraId="106448A6">
            <w:pPr>
              <w:jc w:val="center"/>
              <w:rPr>
                <w:b/>
                <w:color w:val="auto"/>
                <w:szCs w:val="21"/>
              </w:rPr>
            </w:pPr>
            <w:r>
              <w:rPr>
                <w:b/>
                <w:color w:val="auto"/>
                <w:szCs w:val="21"/>
              </w:rPr>
              <w:t>各阶段</w:t>
            </w:r>
          </w:p>
        </w:tc>
        <w:tc>
          <w:tcPr>
            <w:tcW w:w="7664" w:type="dxa"/>
            <w:vAlign w:val="center"/>
          </w:tcPr>
          <w:p w14:paraId="22B0949B">
            <w:pPr>
              <w:jc w:val="center"/>
              <w:rPr>
                <w:b/>
                <w:color w:val="auto"/>
                <w:szCs w:val="21"/>
              </w:rPr>
            </w:pPr>
            <w:r>
              <w:rPr>
                <w:b/>
                <w:color w:val="auto"/>
                <w:szCs w:val="21"/>
              </w:rPr>
              <w:t>环境管理工作计划的具体内容</w:t>
            </w:r>
          </w:p>
        </w:tc>
      </w:tr>
      <w:tr w14:paraId="24454DC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521" w:type="dxa"/>
            <w:vAlign w:val="center"/>
          </w:tcPr>
          <w:p w14:paraId="21954D2E">
            <w:pPr>
              <w:widowControl/>
              <w:jc w:val="center"/>
              <w:rPr>
                <w:color w:val="auto"/>
                <w:szCs w:val="21"/>
              </w:rPr>
            </w:pPr>
            <w:r>
              <w:rPr>
                <w:color w:val="auto"/>
                <w:szCs w:val="21"/>
              </w:rPr>
              <w:t>筹备阶段</w:t>
            </w:r>
          </w:p>
        </w:tc>
        <w:tc>
          <w:tcPr>
            <w:tcW w:w="7664" w:type="dxa"/>
            <w:vAlign w:val="center"/>
          </w:tcPr>
          <w:p w14:paraId="3D8D1EB3">
            <w:pPr>
              <w:rPr>
                <w:color w:val="auto"/>
                <w:szCs w:val="21"/>
              </w:rPr>
            </w:pPr>
            <w:r>
              <w:rPr>
                <w:color w:val="auto"/>
                <w:szCs w:val="21"/>
              </w:rPr>
              <w:t>根据</w:t>
            </w:r>
            <w:r>
              <w:rPr>
                <w:rFonts w:hint="eastAsia"/>
                <w:color w:val="auto"/>
                <w:szCs w:val="21"/>
                <w:lang w:eastAsia="zh-CN"/>
              </w:rPr>
              <w:t>本</w:t>
            </w:r>
            <w:r>
              <w:rPr>
                <w:color w:val="auto"/>
                <w:szCs w:val="21"/>
              </w:rPr>
              <w:t>项目所选址的实际情况论证可行性，在实地踏勘并经了解附近敏感点基础上完成项目环境影响报告书的编制和审批工作。</w:t>
            </w:r>
          </w:p>
        </w:tc>
      </w:tr>
      <w:tr w14:paraId="0FF1A1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521" w:type="dxa"/>
            <w:vAlign w:val="center"/>
          </w:tcPr>
          <w:p w14:paraId="602544ED">
            <w:pPr>
              <w:jc w:val="center"/>
              <w:rPr>
                <w:color w:val="auto"/>
                <w:szCs w:val="21"/>
              </w:rPr>
            </w:pPr>
            <w:r>
              <w:rPr>
                <w:color w:val="auto"/>
                <w:szCs w:val="21"/>
              </w:rPr>
              <w:t>建设阶段</w:t>
            </w:r>
          </w:p>
        </w:tc>
        <w:tc>
          <w:tcPr>
            <w:tcW w:w="7664" w:type="dxa"/>
            <w:vAlign w:val="center"/>
          </w:tcPr>
          <w:p w14:paraId="64898781">
            <w:pPr>
              <w:rPr>
                <w:color w:val="auto"/>
                <w:szCs w:val="21"/>
              </w:rPr>
            </w:pPr>
            <w:r>
              <w:rPr>
                <w:color w:val="auto"/>
                <w:szCs w:val="21"/>
              </w:rPr>
              <w:t>①总图布置，在满足主体工程需要的前提下，将污染较大的设施布置在远离非污染设施的地段，避免互相影响和污染，具体按照环评的要求实施；</w:t>
            </w:r>
          </w:p>
          <w:p w14:paraId="2DE3698A">
            <w:pPr>
              <w:rPr>
                <w:color w:val="auto"/>
                <w:szCs w:val="21"/>
              </w:rPr>
            </w:pPr>
            <w:r>
              <w:rPr>
                <w:color w:val="auto"/>
                <w:szCs w:val="21"/>
              </w:rPr>
              <w:t>②加强对场内外的绿化防护措施；</w:t>
            </w:r>
          </w:p>
          <w:p w14:paraId="18A03066">
            <w:pPr>
              <w:rPr>
                <w:color w:val="auto"/>
                <w:szCs w:val="21"/>
              </w:rPr>
            </w:pPr>
            <w:r>
              <w:rPr>
                <w:color w:val="auto"/>
                <w:szCs w:val="21"/>
              </w:rPr>
              <w:t>③应采用节约资源、能源的生产工艺和设备，选用低噪声设备，使生产过程中污染物的产生减少到最低限度。</w:t>
            </w:r>
          </w:p>
        </w:tc>
      </w:tr>
      <w:tr w14:paraId="37679DD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3" w:type="dxa"/>
            <w:bottom w:w="0" w:type="dxa"/>
            <w:right w:w="23" w:type="dxa"/>
          </w:tblCellMar>
        </w:tblPrEx>
        <w:trPr>
          <w:cantSplit/>
          <w:trHeight w:val="340" w:hRule="atLeast"/>
          <w:jc w:val="center"/>
        </w:trPr>
        <w:tc>
          <w:tcPr>
            <w:tcW w:w="1521" w:type="dxa"/>
            <w:vAlign w:val="center"/>
          </w:tcPr>
          <w:p w14:paraId="3446BA10">
            <w:pPr>
              <w:jc w:val="center"/>
              <w:rPr>
                <w:color w:val="auto"/>
                <w:szCs w:val="21"/>
              </w:rPr>
            </w:pPr>
            <w:r>
              <w:rPr>
                <w:color w:val="auto"/>
                <w:szCs w:val="21"/>
              </w:rPr>
              <w:t>竣工验收阶段</w:t>
            </w:r>
          </w:p>
        </w:tc>
        <w:tc>
          <w:tcPr>
            <w:tcW w:w="7664" w:type="dxa"/>
            <w:vAlign w:val="center"/>
          </w:tcPr>
          <w:p w14:paraId="0DBE8C10">
            <w:pPr>
              <w:rPr>
                <w:color w:val="auto"/>
                <w:szCs w:val="21"/>
              </w:rPr>
            </w:pPr>
            <w:r>
              <w:rPr>
                <w:color w:val="auto"/>
                <w:szCs w:val="21"/>
              </w:rPr>
              <w:t>①检查施工项目是否按设计规定全部完工；</w:t>
            </w:r>
          </w:p>
          <w:p w14:paraId="0FAF2749">
            <w:pPr>
              <w:rPr>
                <w:color w:val="auto"/>
                <w:szCs w:val="21"/>
              </w:rPr>
            </w:pPr>
            <w:r>
              <w:rPr>
                <w:color w:val="auto"/>
                <w:szCs w:val="21"/>
              </w:rPr>
              <w:t>②检查操作技术文件和管理制度是否健全；</w:t>
            </w:r>
          </w:p>
          <w:p w14:paraId="547AB069">
            <w:pPr>
              <w:rPr>
                <w:color w:val="auto"/>
                <w:szCs w:val="21"/>
              </w:rPr>
            </w:pPr>
            <w:r>
              <w:rPr>
                <w:color w:val="auto"/>
                <w:szCs w:val="21"/>
              </w:rPr>
              <w:t>③整理技术文件资料档案；</w:t>
            </w:r>
          </w:p>
          <w:p w14:paraId="1A24F50D">
            <w:pPr>
              <w:rPr>
                <w:color w:val="auto"/>
                <w:szCs w:val="21"/>
              </w:rPr>
            </w:pPr>
            <w:r>
              <w:rPr>
                <w:color w:val="auto"/>
                <w:szCs w:val="21"/>
              </w:rPr>
              <w:t>④建立环保档案；</w:t>
            </w:r>
          </w:p>
          <w:p w14:paraId="02880F8E">
            <w:pPr>
              <w:rPr>
                <w:color w:val="auto"/>
                <w:szCs w:val="21"/>
              </w:rPr>
            </w:pPr>
            <w:r>
              <w:rPr>
                <w:color w:val="auto"/>
                <w:szCs w:val="21"/>
              </w:rPr>
              <w:t>⑤检查污染治理效果和各污染源污染物排放情况；</w:t>
            </w:r>
          </w:p>
          <w:p w14:paraId="2D8919EF">
            <w:pPr>
              <w:rPr>
                <w:color w:val="auto"/>
                <w:szCs w:val="21"/>
              </w:rPr>
            </w:pPr>
            <w:r>
              <w:rPr>
                <w:color w:val="auto"/>
                <w:szCs w:val="21"/>
              </w:rPr>
              <w:t>⑥对检查出来的问题，要提出解决或补救措施，落实投资，确保完成期限；</w:t>
            </w:r>
          </w:p>
          <w:p w14:paraId="7E374065">
            <w:pPr>
              <w:rPr>
                <w:color w:val="auto"/>
                <w:szCs w:val="21"/>
              </w:rPr>
            </w:pPr>
            <w:r>
              <w:rPr>
                <w:color w:val="auto"/>
                <w:szCs w:val="21"/>
              </w:rPr>
              <w:t>⑦委托环境监测机构按环评选定的监测点或断面，有重点地考核生产设施、环保设施运行情况，污染物产生、治理和排污情况以及环境污染水平，并提交《建设项目竣工环境保护验收监测报告》</w:t>
            </w:r>
          </w:p>
          <w:p w14:paraId="6C7A50C6">
            <w:pPr>
              <w:rPr>
                <w:color w:val="auto"/>
                <w:szCs w:val="21"/>
              </w:rPr>
            </w:pPr>
            <w:r>
              <w:rPr>
                <w:color w:val="auto"/>
                <w:szCs w:val="21"/>
              </w:rPr>
              <w:t>⑧建设单位向环保局申请办理《排污许可证》，转入日常环境保护监督管理。</w:t>
            </w:r>
          </w:p>
        </w:tc>
      </w:tr>
      <w:tr w14:paraId="0E0D6BE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521" w:type="dxa"/>
            <w:vAlign w:val="center"/>
          </w:tcPr>
          <w:p w14:paraId="7119E70C">
            <w:pPr>
              <w:jc w:val="center"/>
              <w:rPr>
                <w:color w:val="auto"/>
                <w:szCs w:val="21"/>
              </w:rPr>
            </w:pPr>
            <w:r>
              <w:rPr>
                <w:color w:val="auto"/>
                <w:szCs w:val="21"/>
              </w:rPr>
              <w:t>运营阶段</w:t>
            </w:r>
          </w:p>
        </w:tc>
        <w:tc>
          <w:tcPr>
            <w:tcW w:w="7664" w:type="dxa"/>
            <w:vAlign w:val="center"/>
          </w:tcPr>
          <w:p w14:paraId="1581900B">
            <w:pPr>
              <w:rPr>
                <w:color w:val="auto"/>
                <w:szCs w:val="21"/>
              </w:rPr>
            </w:pPr>
            <w:r>
              <w:rPr>
                <w:color w:val="auto"/>
                <w:szCs w:val="21"/>
              </w:rPr>
              <w:t>①把污染防治和环境管理纳入企业日常经营管理活动，从计划管理、生产管理、技术管理、设备管理到经济成本核算都要有控制污染的内容和指标，并要落实到岗位；</w:t>
            </w:r>
          </w:p>
          <w:p w14:paraId="79FFA66B">
            <w:pPr>
              <w:rPr>
                <w:color w:val="auto"/>
                <w:szCs w:val="21"/>
              </w:rPr>
            </w:pPr>
            <w:r>
              <w:rPr>
                <w:color w:val="auto"/>
                <w:szCs w:val="21"/>
              </w:rPr>
              <w:t>②企业主要领导负责实行环保责任制，指标逐级分解，做到奖罚分明；</w:t>
            </w:r>
          </w:p>
          <w:p w14:paraId="55A8DC3D">
            <w:pPr>
              <w:rPr>
                <w:color w:val="auto"/>
                <w:szCs w:val="21"/>
              </w:rPr>
            </w:pPr>
            <w:r>
              <w:rPr>
                <w:color w:val="auto"/>
                <w:szCs w:val="21"/>
              </w:rPr>
              <w:t>③建立健全企业的污染监测系统，为企业环境管理提供依据；</w:t>
            </w:r>
          </w:p>
          <w:p w14:paraId="4C5A1AB0">
            <w:pPr>
              <w:rPr>
                <w:color w:val="auto"/>
                <w:szCs w:val="21"/>
              </w:rPr>
            </w:pPr>
            <w:r>
              <w:rPr>
                <w:color w:val="auto"/>
                <w:szCs w:val="21"/>
              </w:rPr>
              <w:t>④建立环境保护信息反馈和群众监督制度，监察企业生产和管理活动违背环保法规和制度的行为；</w:t>
            </w:r>
          </w:p>
          <w:p w14:paraId="1600E21C">
            <w:pPr>
              <w:rPr>
                <w:color w:val="auto"/>
                <w:szCs w:val="21"/>
              </w:rPr>
            </w:pPr>
            <w:r>
              <w:rPr>
                <w:color w:val="auto"/>
                <w:szCs w:val="21"/>
              </w:rPr>
              <w:t>⑤建立健全各项环保设施的运行操作规则，并有效监督实施，严防跑、冒、滴、漏；</w:t>
            </w:r>
          </w:p>
          <w:p w14:paraId="6DDF9E05">
            <w:pPr>
              <w:rPr>
                <w:color w:val="auto"/>
                <w:szCs w:val="21"/>
              </w:rPr>
            </w:pPr>
            <w:r>
              <w:rPr>
                <w:color w:val="auto"/>
                <w:szCs w:val="21"/>
              </w:rPr>
              <w:t>⑥定期向环保部门汇报情况配合环保部门的监督、检查；</w:t>
            </w:r>
          </w:p>
          <w:p w14:paraId="47D79515">
            <w:pPr>
              <w:autoSpaceDE w:val="0"/>
              <w:autoSpaceDN w:val="0"/>
              <w:adjustRightInd w:val="0"/>
              <w:jc w:val="left"/>
              <w:rPr>
                <w:color w:val="auto"/>
                <w:szCs w:val="21"/>
              </w:rPr>
            </w:pPr>
            <w:r>
              <w:rPr>
                <w:color w:val="auto"/>
                <w:szCs w:val="21"/>
              </w:rPr>
              <w:t>⑦特别重视环境污染事故的调查处理和应急响应工作。</w:t>
            </w:r>
          </w:p>
        </w:tc>
      </w:tr>
    </w:tbl>
    <w:p w14:paraId="43095103">
      <w:pPr>
        <w:keepNext/>
        <w:keepLines/>
        <w:spacing w:line="360" w:lineRule="auto"/>
        <w:outlineLvl w:val="2"/>
        <w:rPr>
          <w:b/>
          <w:bCs/>
          <w:color w:val="auto"/>
          <w:sz w:val="28"/>
          <w:szCs w:val="32"/>
        </w:rPr>
      </w:pPr>
      <w:bookmarkStart w:id="429" w:name="_Toc21065"/>
      <w:r>
        <w:rPr>
          <w:b/>
          <w:bCs/>
          <w:color w:val="auto"/>
          <w:sz w:val="28"/>
          <w:szCs w:val="32"/>
        </w:rPr>
        <w:t>9.1.3环境管理指标体系</w:t>
      </w:r>
      <w:bookmarkEnd w:id="429"/>
    </w:p>
    <w:p w14:paraId="0C1D1C8A">
      <w:pPr>
        <w:spacing w:line="360" w:lineRule="auto"/>
        <w:ind w:firstLine="480" w:firstLineChars="200"/>
        <w:rPr>
          <w:color w:val="auto"/>
          <w:sz w:val="24"/>
        </w:rPr>
      </w:pPr>
      <w:r>
        <w:rPr>
          <w:color w:val="auto"/>
          <w:sz w:val="24"/>
        </w:rPr>
        <w:t>为了提高企业环保管理水平，优化环境治理方案，建议建立企业环境管理指标体系。通过指标体系的完成情况，调整环保工作重点。做到全面落实，逐步提高。本工程的指标体系见图9-1。</w:t>
      </w:r>
    </w:p>
    <w:p w14:paraId="304B95CA">
      <w:pPr>
        <w:rPr>
          <w:color w:val="auto"/>
          <w:sz w:val="20"/>
        </w:rPr>
      </w:pPr>
      <w:r>
        <w:rPr>
          <w:color w:val="auto"/>
          <w:sz w:val="20"/>
        </w:rPr>
        <w:object>
          <v:shape id="_x0000_i1028" o:spt="75" type="#_x0000_t75" style="height:134.45pt;width:450.1pt;" o:ole="t" filled="f" o:preferrelative="t" stroked="f" coordsize="21600,21600">
            <v:path/>
            <v:fill on="f" focussize="0,0"/>
            <v:stroke on="f"/>
            <v:imagedata r:id="rId56" o:title=""/>
            <o:lock v:ext="edit" aspectratio="f"/>
            <w10:wrap type="none"/>
            <w10:anchorlock/>
          </v:shape>
          <o:OLEObject Type="Embed" ProgID="Visio.Drawing.11" ShapeID="_x0000_i1028" DrawAspect="Content" ObjectID="_1468075729" r:id="rId55">
            <o:LockedField>false</o:LockedField>
          </o:OLEObject>
        </w:object>
      </w:r>
    </w:p>
    <w:p w14:paraId="311742BC">
      <w:pPr>
        <w:spacing w:line="360" w:lineRule="auto"/>
        <w:jc w:val="center"/>
        <w:rPr>
          <w:b/>
          <w:color w:val="auto"/>
          <w:sz w:val="24"/>
          <w:szCs w:val="24"/>
        </w:rPr>
      </w:pPr>
      <w:r>
        <w:rPr>
          <w:b/>
          <w:color w:val="auto"/>
          <w:sz w:val="24"/>
          <w:szCs w:val="24"/>
        </w:rPr>
        <w:t>图9</w:t>
      </w:r>
      <w:r>
        <w:rPr>
          <w:rFonts w:hint="eastAsia"/>
          <w:b/>
          <w:color w:val="auto"/>
          <w:sz w:val="24"/>
          <w:szCs w:val="24"/>
          <w:lang w:val="en-US" w:eastAsia="zh-CN"/>
        </w:rPr>
        <w:t>.1</w:t>
      </w:r>
      <w:r>
        <w:rPr>
          <w:b/>
          <w:color w:val="auto"/>
          <w:sz w:val="24"/>
          <w:szCs w:val="24"/>
        </w:rPr>
        <w:t>-1   指标体系图</w:t>
      </w:r>
    </w:p>
    <w:p w14:paraId="4FBE2E4D">
      <w:pPr>
        <w:keepNext/>
        <w:keepLines/>
        <w:spacing w:line="360" w:lineRule="auto"/>
        <w:outlineLvl w:val="2"/>
        <w:rPr>
          <w:b/>
          <w:bCs/>
          <w:color w:val="auto"/>
          <w:sz w:val="28"/>
          <w:szCs w:val="32"/>
        </w:rPr>
      </w:pPr>
      <w:bookmarkStart w:id="430" w:name="_Toc11376"/>
      <w:r>
        <w:rPr>
          <w:b/>
          <w:bCs/>
          <w:color w:val="auto"/>
          <w:sz w:val="28"/>
          <w:szCs w:val="32"/>
        </w:rPr>
        <w:t>9.1.4环境管理制度</w:t>
      </w:r>
      <w:bookmarkEnd w:id="430"/>
    </w:p>
    <w:p w14:paraId="02D46252">
      <w:pPr>
        <w:spacing w:line="360" w:lineRule="auto"/>
        <w:ind w:firstLine="480" w:firstLineChars="200"/>
        <w:rPr>
          <w:color w:val="auto"/>
          <w:kern w:val="0"/>
          <w:sz w:val="24"/>
        </w:rPr>
      </w:pPr>
      <w:r>
        <w:rPr>
          <w:color w:val="auto"/>
          <w:kern w:val="0"/>
          <w:sz w:val="24"/>
        </w:rPr>
        <w:t>建立健全各项环境管理的规章制度，并把它作为企业领导和全体职工必须严格遵守的一种规范和准则。“有规可循，执规必严”是环境管理计划得以顺利实施的重要保证。各项规章制度要体现环境管理的任务、内容和准则，使环境管理的特点和要求渗透到企业的各项管理工作中。环境管理制度包括企业环保工作的总要求、环境管理机构的工作任务、环保设施的运行管理、污染物监测、排放考核、奖惩、环保员责任及环保资料归档等方面的内容。</w:t>
      </w:r>
      <w:r>
        <w:rPr>
          <w:color w:val="auto"/>
          <w:sz w:val="24"/>
        </w:rPr>
        <w:t>本公司</w:t>
      </w:r>
      <w:r>
        <w:rPr>
          <w:color w:val="auto"/>
          <w:kern w:val="0"/>
          <w:sz w:val="24"/>
        </w:rPr>
        <w:t>需要制订的环保制度如下：</w:t>
      </w:r>
    </w:p>
    <w:p w14:paraId="6520FFF0">
      <w:pPr>
        <w:spacing w:line="360" w:lineRule="auto"/>
        <w:ind w:firstLine="480" w:firstLineChars="200"/>
        <w:rPr>
          <w:color w:val="auto"/>
          <w:kern w:val="0"/>
          <w:sz w:val="24"/>
        </w:rPr>
      </w:pPr>
      <w:r>
        <w:rPr>
          <w:color w:val="auto"/>
          <w:kern w:val="0"/>
          <w:sz w:val="24"/>
        </w:rPr>
        <w:t>（1）环保总制度：《企业环境管理机构设立及工作任务》、《企业环境保护管理规定》。</w:t>
      </w:r>
    </w:p>
    <w:p w14:paraId="1F77601D">
      <w:pPr>
        <w:spacing w:line="360" w:lineRule="auto"/>
        <w:ind w:firstLine="480" w:firstLineChars="200"/>
        <w:rPr>
          <w:color w:val="auto"/>
          <w:kern w:val="0"/>
          <w:sz w:val="24"/>
        </w:rPr>
      </w:pPr>
      <w:r>
        <w:rPr>
          <w:color w:val="auto"/>
          <w:kern w:val="0"/>
          <w:sz w:val="24"/>
        </w:rPr>
        <w:t>（2）环保设施运行管理制度：《企业环保设施运行和管理规定》、《企业环保台帐管理制度》、《企业环保设施故障停运制度》、《企业环保工作考核标准》。</w:t>
      </w:r>
    </w:p>
    <w:p w14:paraId="366613B4">
      <w:pPr>
        <w:spacing w:line="360" w:lineRule="auto"/>
        <w:ind w:firstLine="480" w:firstLineChars="200"/>
        <w:rPr>
          <w:color w:val="auto"/>
          <w:kern w:val="0"/>
          <w:sz w:val="24"/>
        </w:rPr>
      </w:pPr>
      <w:r>
        <w:rPr>
          <w:color w:val="auto"/>
          <w:kern w:val="0"/>
          <w:sz w:val="24"/>
        </w:rPr>
        <w:t>（3）环境监测及奖惩制度：《厂内排污管理和监测规定》、《环保工作奖惩方案》。</w:t>
      </w:r>
    </w:p>
    <w:p w14:paraId="2DC546DE">
      <w:pPr>
        <w:spacing w:line="360" w:lineRule="auto"/>
        <w:ind w:firstLine="480" w:firstLineChars="200"/>
        <w:rPr>
          <w:color w:val="auto"/>
          <w:kern w:val="0"/>
          <w:sz w:val="24"/>
        </w:rPr>
      </w:pPr>
      <w:r>
        <w:rPr>
          <w:color w:val="auto"/>
          <w:kern w:val="0"/>
          <w:sz w:val="24"/>
        </w:rPr>
        <w:t>（4）档案管理制度：《环保资料归档制度》。</w:t>
      </w:r>
    </w:p>
    <w:p w14:paraId="413B563F">
      <w:pPr>
        <w:spacing w:line="360" w:lineRule="auto"/>
        <w:ind w:firstLine="480" w:firstLineChars="200"/>
        <w:rPr>
          <w:color w:val="auto"/>
          <w:kern w:val="0"/>
          <w:sz w:val="24"/>
        </w:rPr>
      </w:pPr>
      <w:r>
        <w:rPr>
          <w:color w:val="auto"/>
          <w:kern w:val="0"/>
          <w:sz w:val="24"/>
        </w:rPr>
        <w:t>（5）环保员管理制度：《环保员考核办法》。</w:t>
      </w:r>
    </w:p>
    <w:p w14:paraId="60E1C8A7">
      <w:pPr>
        <w:spacing w:line="360" w:lineRule="auto"/>
        <w:ind w:firstLine="480" w:firstLineChars="200"/>
        <w:rPr>
          <w:b/>
          <w:color w:val="auto"/>
          <w:sz w:val="24"/>
        </w:rPr>
      </w:pPr>
      <w:r>
        <w:rPr>
          <w:color w:val="auto"/>
          <w:kern w:val="0"/>
          <w:sz w:val="24"/>
        </w:rPr>
        <w:t>除上述较完善的环境管理和监督考核制度外，养殖场还应向全体职工大力宣传环保知识，提高全员的环保意识，自觉维护环保设施的正常运行，为达标排放奠定基础，树立企业良好的社会形象。</w:t>
      </w:r>
    </w:p>
    <w:p w14:paraId="0926B7EC">
      <w:pPr>
        <w:keepNext/>
        <w:keepLines/>
        <w:spacing w:line="360" w:lineRule="auto"/>
        <w:outlineLvl w:val="2"/>
        <w:rPr>
          <w:b/>
          <w:bCs/>
          <w:color w:val="auto"/>
          <w:sz w:val="28"/>
          <w:szCs w:val="32"/>
        </w:rPr>
      </w:pPr>
      <w:bookmarkStart w:id="431" w:name="_Toc316"/>
      <w:r>
        <w:rPr>
          <w:b/>
          <w:bCs/>
          <w:color w:val="auto"/>
          <w:sz w:val="28"/>
          <w:szCs w:val="32"/>
        </w:rPr>
        <w:t>9.1.5培训教育</w:t>
      </w:r>
      <w:bookmarkEnd w:id="431"/>
    </w:p>
    <w:p w14:paraId="55247509">
      <w:pPr>
        <w:spacing w:line="360" w:lineRule="auto"/>
        <w:ind w:firstLine="480" w:firstLineChars="200"/>
        <w:rPr>
          <w:color w:val="auto"/>
          <w:kern w:val="0"/>
          <w:sz w:val="24"/>
        </w:rPr>
      </w:pPr>
      <w:r>
        <w:rPr>
          <w:color w:val="auto"/>
          <w:kern w:val="0"/>
          <w:sz w:val="24"/>
        </w:rPr>
        <w:t>培训教育的目的是为了提高全体员工的环境保护意识，使全体员工主动参与到养殖场的环境工作中来。</w:t>
      </w:r>
    </w:p>
    <w:p w14:paraId="71B9794D">
      <w:pPr>
        <w:spacing w:line="360" w:lineRule="auto"/>
        <w:ind w:firstLine="480" w:firstLineChars="200"/>
        <w:rPr>
          <w:color w:val="auto"/>
          <w:kern w:val="0"/>
          <w:sz w:val="24"/>
        </w:rPr>
      </w:pPr>
      <w:r>
        <w:rPr>
          <w:color w:val="auto"/>
          <w:kern w:val="0"/>
          <w:sz w:val="24"/>
        </w:rPr>
        <w:t>企业的环境管理工作，促进企业环境管理工作正常而有效的进行。培训的对象是企业的全体员工，包括各级领导。对于不同部门的人员，由于工作性质、职责的不同，要根据不同需要制定不同的培训内容。</w:t>
      </w:r>
    </w:p>
    <w:p w14:paraId="2FF92A69">
      <w:pPr>
        <w:keepNext/>
        <w:keepLines/>
        <w:spacing w:line="360" w:lineRule="auto"/>
        <w:outlineLvl w:val="2"/>
        <w:rPr>
          <w:b/>
          <w:bCs/>
          <w:color w:val="auto"/>
          <w:sz w:val="28"/>
          <w:szCs w:val="32"/>
        </w:rPr>
      </w:pPr>
      <w:bookmarkStart w:id="432" w:name="_Toc32196"/>
      <w:r>
        <w:rPr>
          <w:b/>
          <w:bCs/>
          <w:color w:val="auto"/>
          <w:sz w:val="28"/>
          <w:szCs w:val="32"/>
        </w:rPr>
        <w:t>9.1.6环境记录与信息交流</w:t>
      </w:r>
      <w:bookmarkEnd w:id="432"/>
    </w:p>
    <w:p w14:paraId="601D4BBB">
      <w:pPr>
        <w:spacing w:line="360" w:lineRule="auto"/>
        <w:ind w:firstLine="480" w:firstLineChars="200"/>
        <w:rPr>
          <w:color w:val="auto"/>
          <w:kern w:val="0"/>
          <w:sz w:val="24"/>
        </w:rPr>
      </w:pPr>
      <w:r>
        <w:rPr>
          <w:color w:val="auto"/>
          <w:kern w:val="0"/>
          <w:sz w:val="24"/>
        </w:rPr>
        <w:t>环境记录包括环境污染监测记录、设备检修校准记录、污染事故的调查与处理记录、培训与培训结果记录等。环境记录是环境管理工作中不可缺少的部分，是环境管理的重要信息资源。</w:t>
      </w:r>
    </w:p>
    <w:p w14:paraId="27DACC6F">
      <w:pPr>
        <w:spacing w:line="360" w:lineRule="auto"/>
        <w:ind w:firstLine="480" w:firstLineChars="200"/>
        <w:rPr>
          <w:color w:val="auto"/>
          <w:kern w:val="0"/>
          <w:sz w:val="24"/>
        </w:rPr>
      </w:pPr>
      <w:r>
        <w:rPr>
          <w:color w:val="auto"/>
          <w:kern w:val="0"/>
          <w:sz w:val="24"/>
        </w:rPr>
        <w:t>养殖场必须有如实详细的日常运营期监测记录，环保设施维修及操作记录、紧急情况发生所采取的应急措施及最后结果的记录等，并且要及时向养殖场管理人员汇报。同时要建立健全环境记录的管理规定，做到日有记录，月有报表和检查，年有总结和评比。</w:t>
      </w:r>
    </w:p>
    <w:p w14:paraId="0E62B17C">
      <w:pPr>
        <w:spacing w:line="360" w:lineRule="auto"/>
        <w:ind w:firstLine="480" w:firstLineChars="200"/>
        <w:rPr>
          <w:color w:val="auto"/>
          <w:kern w:val="0"/>
          <w:sz w:val="24"/>
        </w:rPr>
      </w:pPr>
      <w:r>
        <w:rPr>
          <w:color w:val="auto"/>
          <w:kern w:val="0"/>
          <w:sz w:val="24"/>
        </w:rPr>
        <w:t>环境保护与环境管理信息交流包括两个方面的内容：一是养殖场内部的信息交流，二是养殖场与外部的信息交流。</w:t>
      </w:r>
    </w:p>
    <w:p w14:paraId="3B6B51AE">
      <w:pPr>
        <w:spacing w:line="360" w:lineRule="auto"/>
        <w:ind w:firstLine="480" w:firstLineChars="200"/>
        <w:rPr>
          <w:color w:val="auto"/>
          <w:kern w:val="0"/>
          <w:sz w:val="24"/>
        </w:rPr>
      </w:pPr>
      <w:r>
        <w:rPr>
          <w:color w:val="auto"/>
          <w:kern w:val="0"/>
          <w:sz w:val="24"/>
        </w:rPr>
        <w:t>（1）养殖场内部信息交流的主要内容：</w:t>
      </w:r>
    </w:p>
    <w:p w14:paraId="3D56C109">
      <w:pPr>
        <w:spacing w:line="360" w:lineRule="auto"/>
        <w:ind w:firstLine="480" w:firstLineChars="200"/>
        <w:rPr>
          <w:color w:val="auto"/>
          <w:kern w:val="0"/>
          <w:sz w:val="24"/>
        </w:rPr>
      </w:pPr>
      <w:r>
        <w:rPr>
          <w:color w:val="auto"/>
          <w:kern w:val="0"/>
          <w:sz w:val="24"/>
        </w:rPr>
        <w:t>①该场的环境管理制度要传达到全体员工；</w:t>
      </w:r>
    </w:p>
    <w:p w14:paraId="49996D70">
      <w:pPr>
        <w:spacing w:line="360" w:lineRule="auto"/>
        <w:ind w:firstLine="480" w:firstLineChars="200"/>
        <w:rPr>
          <w:color w:val="auto"/>
          <w:kern w:val="0"/>
          <w:sz w:val="24"/>
        </w:rPr>
      </w:pPr>
      <w:r>
        <w:rPr>
          <w:color w:val="auto"/>
          <w:kern w:val="0"/>
          <w:sz w:val="24"/>
        </w:rPr>
        <w:t>②环境保护任务、职责、权利、义务的信息；</w:t>
      </w:r>
    </w:p>
    <w:p w14:paraId="57321F97">
      <w:pPr>
        <w:spacing w:line="360" w:lineRule="auto"/>
        <w:ind w:firstLine="480" w:firstLineChars="200"/>
        <w:rPr>
          <w:color w:val="auto"/>
          <w:kern w:val="0"/>
          <w:sz w:val="24"/>
        </w:rPr>
      </w:pPr>
      <w:r>
        <w:rPr>
          <w:color w:val="auto"/>
          <w:kern w:val="0"/>
          <w:sz w:val="24"/>
        </w:rPr>
        <w:t>③监测计划执行与监测结果的传达和反馈信息；</w:t>
      </w:r>
    </w:p>
    <w:p w14:paraId="49BCAE29">
      <w:pPr>
        <w:spacing w:line="360" w:lineRule="auto"/>
        <w:ind w:firstLine="480" w:firstLineChars="200"/>
        <w:rPr>
          <w:color w:val="auto"/>
          <w:kern w:val="0"/>
          <w:sz w:val="24"/>
        </w:rPr>
      </w:pPr>
      <w:r>
        <w:rPr>
          <w:color w:val="auto"/>
          <w:kern w:val="0"/>
          <w:sz w:val="24"/>
        </w:rPr>
        <w:t>④培训与教育的信息。</w:t>
      </w:r>
    </w:p>
    <w:p w14:paraId="440A8380">
      <w:pPr>
        <w:spacing w:line="360" w:lineRule="auto"/>
        <w:ind w:firstLine="480" w:firstLineChars="200"/>
        <w:rPr>
          <w:color w:val="auto"/>
          <w:kern w:val="0"/>
          <w:sz w:val="24"/>
        </w:rPr>
      </w:pPr>
      <w:r>
        <w:rPr>
          <w:color w:val="auto"/>
          <w:kern w:val="0"/>
          <w:sz w:val="24"/>
        </w:rPr>
        <w:t>（2）养殖场与外部信息交流的主要内容是：</w:t>
      </w:r>
    </w:p>
    <w:p w14:paraId="100B7640">
      <w:pPr>
        <w:spacing w:line="360" w:lineRule="auto"/>
        <w:ind w:firstLine="480" w:firstLineChars="200"/>
        <w:rPr>
          <w:color w:val="auto"/>
          <w:kern w:val="0"/>
          <w:sz w:val="24"/>
        </w:rPr>
      </w:pPr>
      <w:r>
        <w:rPr>
          <w:color w:val="auto"/>
          <w:kern w:val="0"/>
          <w:sz w:val="24"/>
        </w:rPr>
        <w:t>①国家与地区环保法律法规的获取；</w:t>
      </w:r>
    </w:p>
    <w:p w14:paraId="251E14E3">
      <w:pPr>
        <w:spacing w:line="360" w:lineRule="auto"/>
        <w:ind w:firstLine="480" w:firstLineChars="200"/>
        <w:rPr>
          <w:color w:val="auto"/>
          <w:kern w:val="0"/>
          <w:sz w:val="24"/>
        </w:rPr>
      </w:pPr>
      <w:r>
        <w:rPr>
          <w:color w:val="auto"/>
          <w:kern w:val="0"/>
          <w:sz w:val="24"/>
        </w:rPr>
        <w:t>②向地方环保部门和环境保护组织的信息交流；</w:t>
      </w:r>
    </w:p>
    <w:p w14:paraId="6D7157D6">
      <w:pPr>
        <w:spacing w:line="360" w:lineRule="auto"/>
        <w:ind w:firstLine="480" w:firstLineChars="200"/>
        <w:rPr>
          <w:color w:val="auto"/>
          <w:sz w:val="24"/>
        </w:rPr>
      </w:pPr>
      <w:r>
        <w:rPr>
          <w:color w:val="auto"/>
          <w:kern w:val="0"/>
          <w:sz w:val="24"/>
        </w:rPr>
        <w:t>③定期向附近企业与公众发布和收集环境保护信息。</w:t>
      </w:r>
    </w:p>
    <w:p w14:paraId="65359006">
      <w:pPr>
        <w:keepNext/>
        <w:keepLines/>
        <w:spacing w:line="360" w:lineRule="auto"/>
        <w:outlineLvl w:val="2"/>
        <w:rPr>
          <w:b/>
          <w:bCs/>
          <w:color w:val="auto"/>
          <w:sz w:val="28"/>
          <w:szCs w:val="32"/>
        </w:rPr>
      </w:pPr>
      <w:bookmarkStart w:id="433" w:name="_Toc26969"/>
      <w:r>
        <w:rPr>
          <w:b/>
          <w:bCs/>
          <w:color w:val="auto"/>
          <w:sz w:val="28"/>
          <w:szCs w:val="32"/>
        </w:rPr>
        <w:t>9.1.7技术文件管理</w:t>
      </w:r>
      <w:bookmarkEnd w:id="433"/>
    </w:p>
    <w:p w14:paraId="55FE78D4">
      <w:pPr>
        <w:spacing w:line="360" w:lineRule="auto"/>
        <w:ind w:firstLine="480" w:firstLineChars="200"/>
        <w:rPr>
          <w:color w:val="auto"/>
          <w:kern w:val="0"/>
          <w:sz w:val="24"/>
        </w:rPr>
      </w:pPr>
      <w:r>
        <w:rPr>
          <w:color w:val="auto"/>
          <w:kern w:val="0"/>
          <w:sz w:val="24"/>
        </w:rPr>
        <w:t>在环境监测和管理中，应建立如下文件档案：</w:t>
      </w:r>
    </w:p>
    <w:p w14:paraId="412AEFF9">
      <w:pPr>
        <w:spacing w:line="360" w:lineRule="auto"/>
        <w:ind w:firstLine="480" w:firstLineChars="200"/>
        <w:rPr>
          <w:color w:val="auto"/>
          <w:kern w:val="0"/>
          <w:sz w:val="24"/>
        </w:rPr>
      </w:pPr>
      <w:r>
        <w:rPr>
          <w:color w:val="auto"/>
          <w:kern w:val="0"/>
          <w:sz w:val="24"/>
        </w:rPr>
        <w:t>（1）污染源的监测记录技术文件；</w:t>
      </w:r>
    </w:p>
    <w:p w14:paraId="2424C9D7">
      <w:pPr>
        <w:spacing w:line="360" w:lineRule="auto"/>
        <w:ind w:firstLine="480" w:firstLineChars="200"/>
        <w:rPr>
          <w:color w:val="auto"/>
          <w:kern w:val="0"/>
          <w:sz w:val="24"/>
        </w:rPr>
      </w:pPr>
      <w:r>
        <w:rPr>
          <w:color w:val="auto"/>
          <w:kern w:val="0"/>
          <w:sz w:val="24"/>
        </w:rPr>
        <w:t>（2）污染控制、环境保护治理设施的设计和运行管理文件；</w:t>
      </w:r>
    </w:p>
    <w:p w14:paraId="27799579">
      <w:pPr>
        <w:spacing w:line="360" w:lineRule="auto"/>
        <w:ind w:firstLine="480" w:firstLineChars="200"/>
        <w:rPr>
          <w:color w:val="auto"/>
          <w:kern w:val="0"/>
          <w:sz w:val="24"/>
        </w:rPr>
      </w:pPr>
      <w:r>
        <w:rPr>
          <w:color w:val="auto"/>
          <w:kern w:val="0"/>
          <w:sz w:val="24"/>
        </w:rPr>
        <w:t>（3）所有导致污染事件的分析报告和监测数据资料；</w:t>
      </w:r>
    </w:p>
    <w:p w14:paraId="6F426C67">
      <w:pPr>
        <w:spacing w:line="360" w:lineRule="auto"/>
        <w:ind w:firstLine="480" w:firstLineChars="200"/>
        <w:rPr>
          <w:color w:val="auto"/>
          <w:kern w:val="0"/>
          <w:sz w:val="24"/>
        </w:rPr>
      </w:pPr>
      <w:r>
        <w:rPr>
          <w:color w:val="auto"/>
          <w:kern w:val="0"/>
          <w:sz w:val="24"/>
        </w:rPr>
        <w:t>（4）按规定建立健全下列技术资料档案及系统图表：当地气象资料；污染防治设施及技术改进资料；污染源调查等技术档案、环境监测及评价资料、污染指标考核资料；监测仪器使用说明书及校验证书；企业内部污染事故的记实材料；“三废”排放系统图；“三废”排放采样监测点及噪声监测点布置图；企业内部污染物排放动态图表。</w:t>
      </w:r>
    </w:p>
    <w:p w14:paraId="6CBE9C88">
      <w:pPr>
        <w:keepNext/>
        <w:keepLines/>
        <w:spacing w:line="360" w:lineRule="auto"/>
        <w:outlineLvl w:val="2"/>
        <w:rPr>
          <w:b/>
          <w:bCs/>
          <w:color w:val="auto"/>
          <w:sz w:val="28"/>
          <w:szCs w:val="32"/>
        </w:rPr>
      </w:pPr>
      <w:bookmarkStart w:id="434" w:name="_Toc19779"/>
      <w:bookmarkStart w:id="435" w:name="_Toc302050957"/>
      <w:r>
        <w:rPr>
          <w:b/>
          <w:bCs/>
          <w:color w:val="auto"/>
          <w:sz w:val="28"/>
          <w:szCs w:val="32"/>
        </w:rPr>
        <w:t>9.1.</w:t>
      </w:r>
      <w:r>
        <w:rPr>
          <w:rFonts w:hint="eastAsia"/>
          <w:b/>
          <w:bCs/>
          <w:color w:val="auto"/>
          <w:sz w:val="28"/>
          <w:szCs w:val="32"/>
        </w:rPr>
        <w:t>8排污许可制度要求</w:t>
      </w:r>
      <w:bookmarkEnd w:id="434"/>
    </w:p>
    <w:p w14:paraId="437C9CE9">
      <w:pPr>
        <w:spacing w:line="360" w:lineRule="auto"/>
        <w:ind w:firstLine="480" w:firstLineChars="200"/>
        <w:rPr>
          <w:color w:val="auto"/>
          <w:sz w:val="24"/>
        </w:rPr>
      </w:pPr>
      <w:r>
        <w:rPr>
          <w:color w:val="auto"/>
          <w:sz w:val="24"/>
        </w:rPr>
        <w:t>根据国务院办公厅关于印发《控制污染物排放许可制实施方案》的通知(国办发[2016]81号)、《排污许可证申请与核发技术规范总则》(HJ942-2018)中相关要求，环境影响评价制度是建设项目的环境准入门槛，排污许可证是企事业单位生产运营期排污的法律依据，必须做好充分衔接，实现从污染预防到污染治理和排放控制的全过程监管。对照《固定污染源排污许可分类管理名录(2019年版)》，本项目属于“</w:t>
      </w:r>
      <w:r>
        <w:rPr>
          <w:rFonts w:hint="eastAsia"/>
          <w:color w:val="auto"/>
          <w:sz w:val="24"/>
        </w:rPr>
        <w:t>一</w:t>
      </w:r>
      <w:r>
        <w:rPr>
          <w:color w:val="auto"/>
          <w:sz w:val="24"/>
        </w:rPr>
        <w:t>、</w:t>
      </w:r>
      <w:r>
        <w:rPr>
          <w:rFonts w:hint="eastAsia"/>
          <w:color w:val="auto"/>
          <w:sz w:val="24"/>
        </w:rPr>
        <w:t>畜牧业03</w:t>
      </w:r>
      <w:r>
        <w:rPr>
          <w:color w:val="auto"/>
          <w:sz w:val="24"/>
        </w:rPr>
        <w:t xml:space="preserve"> </w:t>
      </w:r>
      <w:r>
        <w:rPr>
          <w:rFonts w:hint="eastAsia"/>
          <w:color w:val="auto"/>
          <w:sz w:val="24"/>
        </w:rPr>
        <w:t>1.家禽饲养032 无污水排放口的规模化畜禽养殖场、养殖小区、设有污水排放口的规模以下畜禽养殖场、养殖小区</w:t>
      </w:r>
      <w:r>
        <w:rPr>
          <w:color w:val="auto"/>
          <w:sz w:val="24"/>
        </w:rPr>
        <w:t>”，为实施</w:t>
      </w:r>
      <w:r>
        <w:rPr>
          <w:rFonts w:hint="eastAsia"/>
          <w:color w:val="auto"/>
          <w:sz w:val="24"/>
        </w:rPr>
        <w:t>登记</w:t>
      </w:r>
      <w:r>
        <w:rPr>
          <w:color w:val="auto"/>
          <w:sz w:val="24"/>
        </w:rPr>
        <w:t>管理的行业，待项目投产前进行排污许可证申领。</w:t>
      </w:r>
    </w:p>
    <w:p w14:paraId="7155AD85">
      <w:pPr>
        <w:keepNext/>
        <w:keepLines/>
        <w:spacing w:line="360" w:lineRule="auto"/>
        <w:outlineLvl w:val="2"/>
        <w:rPr>
          <w:b/>
          <w:bCs/>
          <w:color w:val="auto"/>
          <w:sz w:val="28"/>
          <w:szCs w:val="32"/>
        </w:rPr>
      </w:pPr>
      <w:bookmarkStart w:id="436" w:name="_Toc3831"/>
      <w:r>
        <w:rPr>
          <w:b/>
          <w:bCs/>
          <w:color w:val="auto"/>
          <w:sz w:val="28"/>
          <w:szCs w:val="32"/>
        </w:rPr>
        <w:t>9.1.</w:t>
      </w:r>
      <w:r>
        <w:rPr>
          <w:rFonts w:hint="eastAsia"/>
          <w:b/>
          <w:bCs/>
          <w:color w:val="auto"/>
          <w:sz w:val="28"/>
          <w:szCs w:val="32"/>
        </w:rPr>
        <w:t>9</w:t>
      </w:r>
      <w:r>
        <w:rPr>
          <w:b/>
          <w:bCs/>
          <w:color w:val="auto"/>
          <w:sz w:val="28"/>
          <w:szCs w:val="32"/>
        </w:rPr>
        <w:t>规范排污口</w:t>
      </w:r>
      <w:bookmarkEnd w:id="435"/>
      <w:bookmarkEnd w:id="436"/>
    </w:p>
    <w:p w14:paraId="7AA0AFD0">
      <w:pPr>
        <w:pStyle w:val="16"/>
        <w:spacing w:line="360" w:lineRule="auto"/>
        <w:ind w:firstLine="480" w:firstLineChars="200"/>
        <w:rPr>
          <w:color w:val="auto"/>
          <w:sz w:val="24"/>
        </w:rPr>
      </w:pPr>
      <w:r>
        <w:rPr>
          <w:color w:val="auto"/>
          <w:sz w:val="24"/>
        </w:rPr>
        <w:t>企业在严格进行环境管理的同时还应遵照国家对排污口规范的要求，“三废”及噪声排放点设置明显标志，标志的设置应执行《环境保护图形标志排放口》（GB15562.1－1995）、《环境保护图形标志固体废物贮存（处置）场》（GB15562.2－1995）中有关规定，</w:t>
      </w:r>
      <w:r>
        <w:rPr>
          <w:rFonts w:hint="eastAsia"/>
          <w:color w:val="auto"/>
          <w:sz w:val="24"/>
          <w:lang w:eastAsia="zh-CN"/>
        </w:rPr>
        <w:t>相关规定进行设置，</w:t>
      </w:r>
      <w:r>
        <w:rPr>
          <w:color w:val="auto"/>
          <w:sz w:val="24"/>
        </w:rPr>
        <w:t>见图9</w:t>
      </w:r>
      <w:r>
        <w:rPr>
          <w:rFonts w:hint="eastAsia"/>
          <w:color w:val="auto"/>
          <w:sz w:val="24"/>
          <w:lang w:val="en-US" w:eastAsia="zh-CN"/>
        </w:rPr>
        <w:t>.1</w:t>
      </w:r>
      <w:r>
        <w:rPr>
          <w:color w:val="auto"/>
          <w:sz w:val="24"/>
        </w:rPr>
        <w:t>-2。</w:t>
      </w:r>
    </w:p>
    <w:p w14:paraId="4DE3C445">
      <w:pPr>
        <w:rPr>
          <w:color w:val="auto"/>
          <w:sz w:val="24"/>
        </w:rPr>
      </w:pPr>
      <w:r>
        <w:rPr>
          <w:b/>
          <w:color w:val="auto"/>
        </w:rPr>
        <w:drawing>
          <wp:anchor distT="0" distB="0" distL="114300" distR="114300" simplePos="0" relativeHeight="251666432" behindDoc="0" locked="0" layoutInCell="1" allowOverlap="1">
            <wp:simplePos x="0" y="0"/>
            <wp:positionH relativeFrom="column">
              <wp:posOffset>802005</wp:posOffset>
            </wp:positionH>
            <wp:positionV relativeFrom="paragraph">
              <wp:posOffset>66675</wp:posOffset>
            </wp:positionV>
            <wp:extent cx="695325" cy="714375"/>
            <wp:effectExtent l="0" t="0" r="5715" b="1905"/>
            <wp:wrapNone/>
            <wp:docPr id="168" name="图片 1006" descr="http://www.anquan.com.cn/tubiao/image/huanj/HP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006" descr="http://www.anquan.com.cn/tubiao/image/huanj/HP001.jpg"/>
                    <pic:cNvPicPr>
                      <a:picLocks noChangeAspect="1"/>
                    </pic:cNvPicPr>
                  </pic:nvPicPr>
                  <pic:blipFill>
                    <a:blip r:embed="rId57"/>
                    <a:stretch>
                      <a:fillRect/>
                    </a:stretch>
                  </pic:blipFill>
                  <pic:spPr>
                    <a:xfrm>
                      <a:off x="0" y="0"/>
                      <a:ext cx="695325" cy="714375"/>
                    </a:xfrm>
                    <a:prstGeom prst="rect">
                      <a:avLst/>
                    </a:prstGeom>
                    <a:noFill/>
                    <a:ln>
                      <a:noFill/>
                    </a:ln>
                  </pic:spPr>
                </pic:pic>
              </a:graphicData>
            </a:graphic>
          </wp:anchor>
        </w:drawing>
      </w:r>
      <w:r>
        <w:rPr>
          <w:b/>
          <w:color w:val="auto"/>
        </w:rPr>
        <w:drawing>
          <wp:anchor distT="0" distB="0" distL="114300" distR="114300" simplePos="0" relativeHeight="251668480" behindDoc="0" locked="0" layoutInCell="1" allowOverlap="1">
            <wp:simplePos x="0" y="0"/>
            <wp:positionH relativeFrom="column">
              <wp:posOffset>2715260</wp:posOffset>
            </wp:positionH>
            <wp:positionV relativeFrom="paragraph">
              <wp:posOffset>54610</wp:posOffset>
            </wp:positionV>
            <wp:extent cx="714375" cy="714375"/>
            <wp:effectExtent l="0" t="0" r="9525" b="9525"/>
            <wp:wrapNone/>
            <wp:docPr id="170" name="图片 1008" descr="http://www.anquan.com.cn/tubiao/image/huanj/HP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008" descr="http://www.anquan.com.cn/tubiao/image/huanj/HP007.jpg"/>
                    <pic:cNvPicPr>
                      <a:picLocks noChangeAspect="1"/>
                    </pic:cNvPicPr>
                  </pic:nvPicPr>
                  <pic:blipFill>
                    <a:blip r:embed="rId58"/>
                    <a:stretch>
                      <a:fillRect/>
                    </a:stretch>
                  </pic:blipFill>
                  <pic:spPr>
                    <a:xfrm>
                      <a:off x="0" y="0"/>
                      <a:ext cx="714375" cy="714375"/>
                    </a:xfrm>
                    <a:prstGeom prst="rect">
                      <a:avLst/>
                    </a:prstGeom>
                    <a:noFill/>
                    <a:ln>
                      <a:noFill/>
                    </a:ln>
                  </pic:spPr>
                </pic:pic>
              </a:graphicData>
            </a:graphic>
          </wp:anchor>
        </w:drawing>
      </w:r>
      <w:r>
        <w:rPr>
          <w:b/>
          <w:color w:val="auto"/>
        </w:rPr>
        <w:drawing>
          <wp:anchor distT="0" distB="0" distL="114300" distR="114300" simplePos="0" relativeHeight="251667456" behindDoc="0" locked="0" layoutInCell="1" allowOverlap="1">
            <wp:simplePos x="0" y="0"/>
            <wp:positionH relativeFrom="column">
              <wp:posOffset>1775460</wp:posOffset>
            </wp:positionH>
            <wp:positionV relativeFrom="paragraph">
              <wp:posOffset>77470</wp:posOffset>
            </wp:positionV>
            <wp:extent cx="714375" cy="714375"/>
            <wp:effectExtent l="0" t="0" r="9525" b="9525"/>
            <wp:wrapNone/>
            <wp:docPr id="169" name="图片 1007" descr="http://www.anquan.com.cn/tubiao/image/huanj/H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007" descr="http://www.anquan.com.cn/tubiao/image/huanj/HP005.jpg"/>
                    <pic:cNvPicPr>
                      <a:picLocks noChangeAspect="1"/>
                    </pic:cNvPicPr>
                  </pic:nvPicPr>
                  <pic:blipFill>
                    <a:blip r:embed="rId59"/>
                    <a:stretch>
                      <a:fillRect/>
                    </a:stretch>
                  </pic:blipFill>
                  <pic:spPr>
                    <a:xfrm>
                      <a:off x="0" y="0"/>
                      <a:ext cx="714375" cy="714375"/>
                    </a:xfrm>
                    <a:prstGeom prst="rect">
                      <a:avLst/>
                    </a:prstGeom>
                    <a:noFill/>
                    <a:ln>
                      <a:noFill/>
                    </a:ln>
                  </pic:spPr>
                </pic:pic>
              </a:graphicData>
            </a:graphic>
          </wp:anchor>
        </w:drawing>
      </w:r>
      <w:r>
        <w:rPr>
          <w:color w:val="auto"/>
        </w:rPr>
        <w:drawing>
          <wp:anchor distT="0" distB="0" distL="114300" distR="114300" simplePos="0" relativeHeight="251670528" behindDoc="0" locked="0" layoutInCell="1" allowOverlap="1">
            <wp:simplePos x="0" y="0"/>
            <wp:positionH relativeFrom="column">
              <wp:posOffset>3649345</wp:posOffset>
            </wp:positionH>
            <wp:positionV relativeFrom="paragraph">
              <wp:posOffset>85090</wp:posOffset>
            </wp:positionV>
            <wp:extent cx="748665" cy="697230"/>
            <wp:effectExtent l="0" t="0" r="13335" b="3810"/>
            <wp:wrapNone/>
            <wp:docPr id="173" name="图片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095"/>
                    <pic:cNvPicPr>
                      <a:picLocks noChangeAspect="1"/>
                    </pic:cNvPicPr>
                  </pic:nvPicPr>
                  <pic:blipFill>
                    <a:blip r:embed="rId60"/>
                    <a:stretch>
                      <a:fillRect/>
                    </a:stretch>
                  </pic:blipFill>
                  <pic:spPr>
                    <a:xfrm>
                      <a:off x="0" y="0"/>
                      <a:ext cx="748665" cy="697230"/>
                    </a:xfrm>
                    <a:prstGeom prst="rect">
                      <a:avLst/>
                    </a:prstGeom>
                    <a:noFill/>
                    <a:ln>
                      <a:noFill/>
                    </a:ln>
                  </pic:spPr>
                </pic:pic>
              </a:graphicData>
            </a:graphic>
          </wp:anchor>
        </w:drawing>
      </w:r>
    </w:p>
    <w:p w14:paraId="06E15889">
      <w:pPr>
        <w:pStyle w:val="69"/>
        <w:rPr>
          <w:color w:val="auto"/>
        </w:rPr>
      </w:pPr>
    </w:p>
    <w:p w14:paraId="521C4F11">
      <w:pPr>
        <w:rPr>
          <w:color w:val="auto"/>
        </w:rPr>
      </w:pPr>
    </w:p>
    <w:p w14:paraId="17E2B5E8">
      <w:pPr>
        <w:tabs>
          <w:tab w:val="left" w:pos="1366"/>
          <w:tab w:val="left" w:pos="2732"/>
          <w:tab w:val="left" w:pos="4098"/>
          <w:tab w:val="left" w:pos="5464"/>
          <w:tab w:val="left" w:pos="6915"/>
          <w:tab w:val="left" w:pos="8282"/>
        </w:tabs>
        <w:spacing w:line="500" w:lineRule="exact"/>
        <w:jc w:val="center"/>
        <w:rPr>
          <w:b/>
          <w:color w:val="auto"/>
        </w:rPr>
      </w:pPr>
    </w:p>
    <w:p w14:paraId="7A2CE293">
      <w:pPr>
        <w:tabs>
          <w:tab w:val="left" w:pos="1366"/>
          <w:tab w:val="left" w:pos="2732"/>
          <w:tab w:val="left" w:pos="4098"/>
          <w:tab w:val="left" w:pos="5464"/>
          <w:tab w:val="left" w:pos="6915"/>
          <w:tab w:val="left" w:pos="8282"/>
        </w:tabs>
        <w:spacing w:line="500" w:lineRule="exact"/>
        <w:jc w:val="center"/>
        <w:rPr>
          <w:b/>
          <w:color w:val="auto"/>
        </w:rPr>
      </w:pPr>
      <w:r>
        <w:rPr>
          <w:b/>
          <w:color w:val="auto"/>
        </w:rPr>
        <mc:AlternateContent>
          <mc:Choice Requires="wps">
            <w:drawing>
              <wp:anchor distT="0" distB="0" distL="114300" distR="114300" simplePos="0" relativeHeight="251669504" behindDoc="0" locked="0" layoutInCell="1" allowOverlap="1">
                <wp:simplePos x="0" y="0"/>
                <wp:positionH relativeFrom="column">
                  <wp:posOffset>453390</wp:posOffset>
                </wp:positionH>
                <wp:positionV relativeFrom="paragraph">
                  <wp:posOffset>27305</wp:posOffset>
                </wp:positionV>
                <wp:extent cx="4939665" cy="388620"/>
                <wp:effectExtent l="0" t="0" r="0" b="0"/>
                <wp:wrapNone/>
                <wp:docPr id="171" name="文本框 57"/>
                <wp:cNvGraphicFramePr/>
                <a:graphic xmlns:a="http://schemas.openxmlformats.org/drawingml/2006/main">
                  <a:graphicData uri="http://schemas.microsoft.com/office/word/2010/wordprocessingShape">
                    <wps:wsp>
                      <wps:cNvSpPr txBox="1"/>
                      <wps:spPr>
                        <a:xfrm>
                          <a:off x="0" y="0"/>
                          <a:ext cx="4939665" cy="388620"/>
                        </a:xfrm>
                        <a:prstGeom prst="rect">
                          <a:avLst/>
                        </a:prstGeom>
                        <a:noFill/>
                        <a:ln>
                          <a:noFill/>
                        </a:ln>
                        <a:effectLst/>
                      </wps:spPr>
                      <wps:txbx>
                        <w:txbxContent>
                          <w:p w14:paraId="24BBAC7B">
                            <w:pPr>
                              <w:tabs>
                                <w:tab w:val="left" w:pos="3435"/>
                                <w:tab w:val="left" w:pos="4098"/>
                                <w:tab w:val="left" w:pos="5100"/>
                                <w:tab w:val="left" w:pos="6915"/>
                                <w:tab w:val="left" w:pos="8282"/>
                              </w:tabs>
                              <w:spacing w:line="360" w:lineRule="auto"/>
                              <w:ind w:firstLine="540" w:firstLineChars="300"/>
                              <w:rPr>
                                <w:rFonts w:ascii="Calibri" w:hAnsi="Calibri"/>
                                <w:sz w:val="18"/>
                              </w:rPr>
                            </w:pPr>
                            <w:r>
                              <w:rPr>
                                <w:rFonts w:hint="eastAsia" w:ascii="Calibri" w:hAnsi="Calibri"/>
                                <w:sz w:val="18"/>
                              </w:rPr>
                              <w:t>污水排放口</w:t>
                            </w:r>
                            <w:r>
                              <w:rPr>
                                <w:rFonts w:ascii="Calibri" w:hAnsi="Calibri"/>
                                <w:sz w:val="18"/>
                              </w:rPr>
                              <w:t xml:space="preserve">     </w:t>
                            </w:r>
                            <w:r>
                              <w:rPr>
                                <w:rFonts w:hint="eastAsia" w:ascii="Calibri" w:hAnsi="Calibri"/>
                                <w:sz w:val="18"/>
                              </w:rPr>
                              <w:t xml:space="preserve">  噪声排放源</w:t>
                            </w:r>
                            <w:r>
                              <w:rPr>
                                <w:rFonts w:ascii="Calibri" w:hAnsi="Calibri"/>
                                <w:sz w:val="18"/>
                              </w:rPr>
                              <w:t xml:space="preserve">     </w:t>
                            </w:r>
                            <w:r>
                              <w:rPr>
                                <w:rFonts w:hint="eastAsia" w:ascii="Calibri" w:hAnsi="Calibri"/>
                                <w:sz w:val="18"/>
                              </w:rPr>
                              <w:t xml:space="preserve">一般固体废物     废气排放口         </w:t>
                            </w:r>
                          </w:p>
                        </w:txbxContent>
                      </wps:txbx>
                      <wps:bodyPr wrap="square" upright="1"/>
                    </wps:wsp>
                  </a:graphicData>
                </a:graphic>
              </wp:anchor>
            </w:drawing>
          </mc:Choice>
          <mc:Fallback>
            <w:pict>
              <v:shape id="文本框 57" o:spid="_x0000_s1026" o:spt="202" type="#_x0000_t202" style="position:absolute;left:0pt;margin-left:35.7pt;margin-top:2.15pt;height:30.6pt;width:388.95pt;z-index:251669504;mso-width-relative:page;mso-height-relative:page;" filled="f" stroked="f" coordsize="21600,21600" o:gfxdata="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8iPmotQAAAAHAQAADwAAAAAAAAABACAAAAAiAAAAZHJzL2Rvd25yZXYueG1sUEsB&#10;AhQAFAAAAAgAh07iQAE6aXXAAQAAbQMAAA4AAAAAAAAAAQAgAAAAIwEAAGRycy9lMm9Eb2MueG1s&#10;UEsFBgAAAAAGAAYAWQEAAFUFAAAAAA==&#10;">
                <v:fill on="f" focussize="0,0"/>
                <v:stroke on="f"/>
                <v:imagedata o:title=""/>
                <o:lock v:ext="edit" aspectratio="f"/>
                <v:textbox>
                  <w:txbxContent>
                    <w:p w14:paraId="24BBAC7B">
                      <w:pPr>
                        <w:tabs>
                          <w:tab w:val="left" w:pos="3435"/>
                          <w:tab w:val="left" w:pos="4098"/>
                          <w:tab w:val="left" w:pos="5100"/>
                          <w:tab w:val="left" w:pos="6915"/>
                          <w:tab w:val="left" w:pos="8282"/>
                        </w:tabs>
                        <w:spacing w:line="360" w:lineRule="auto"/>
                        <w:ind w:firstLine="540" w:firstLineChars="300"/>
                        <w:rPr>
                          <w:rFonts w:ascii="Calibri" w:hAnsi="Calibri"/>
                          <w:sz w:val="18"/>
                        </w:rPr>
                      </w:pPr>
                      <w:r>
                        <w:rPr>
                          <w:rFonts w:hint="eastAsia" w:ascii="Calibri" w:hAnsi="Calibri"/>
                          <w:sz w:val="18"/>
                        </w:rPr>
                        <w:t>污水排放口</w:t>
                      </w:r>
                      <w:r>
                        <w:rPr>
                          <w:rFonts w:ascii="Calibri" w:hAnsi="Calibri"/>
                          <w:sz w:val="18"/>
                        </w:rPr>
                        <w:t xml:space="preserve">     </w:t>
                      </w:r>
                      <w:r>
                        <w:rPr>
                          <w:rFonts w:hint="eastAsia" w:ascii="Calibri" w:hAnsi="Calibri"/>
                          <w:sz w:val="18"/>
                        </w:rPr>
                        <w:t xml:space="preserve">  噪声排放源</w:t>
                      </w:r>
                      <w:r>
                        <w:rPr>
                          <w:rFonts w:ascii="Calibri" w:hAnsi="Calibri"/>
                          <w:sz w:val="18"/>
                        </w:rPr>
                        <w:t xml:space="preserve">     </w:t>
                      </w:r>
                      <w:r>
                        <w:rPr>
                          <w:rFonts w:hint="eastAsia" w:ascii="Calibri" w:hAnsi="Calibri"/>
                          <w:sz w:val="18"/>
                        </w:rPr>
                        <w:t xml:space="preserve">一般固体废物     废气排放口         </w:t>
                      </w:r>
                    </w:p>
                  </w:txbxContent>
                </v:textbox>
              </v:shape>
            </w:pict>
          </mc:Fallback>
        </mc:AlternateContent>
      </w:r>
      <w:r>
        <w:rPr>
          <w:b/>
          <w:color w:val="auto"/>
        </w:rPr>
        <w:t xml:space="preserve"> </w:t>
      </w:r>
    </w:p>
    <w:p w14:paraId="6ECA83DE">
      <w:pPr>
        <w:spacing w:line="360" w:lineRule="auto"/>
        <w:jc w:val="center"/>
        <w:rPr>
          <w:color w:val="auto"/>
          <w:kern w:val="0"/>
          <w:sz w:val="24"/>
          <w:szCs w:val="24"/>
        </w:rPr>
      </w:pPr>
      <w:r>
        <w:rPr>
          <w:b/>
          <w:color w:val="auto"/>
          <w:sz w:val="24"/>
          <w:szCs w:val="24"/>
        </w:rPr>
        <w:t>图9</w:t>
      </w:r>
      <w:r>
        <w:rPr>
          <w:rFonts w:hint="eastAsia"/>
          <w:b/>
          <w:color w:val="auto"/>
          <w:sz w:val="24"/>
          <w:szCs w:val="24"/>
          <w:lang w:val="en-US" w:eastAsia="zh-CN"/>
        </w:rPr>
        <w:t>.1</w:t>
      </w:r>
      <w:r>
        <w:rPr>
          <w:b/>
          <w:color w:val="auto"/>
          <w:sz w:val="24"/>
          <w:szCs w:val="24"/>
        </w:rPr>
        <w:t>-2    排放口的图形标志</w:t>
      </w:r>
    </w:p>
    <w:p w14:paraId="72A584D9">
      <w:pPr>
        <w:numPr>
          <w:ilvl w:val="0"/>
          <w:numId w:val="7"/>
        </w:numPr>
        <w:spacing w:line="360" w:lineRule="auto"/>
        <w:rPr>
          <w:color w:val="auto"/>
          <w:kern w:val="0"/>
          <w:sz w:val="24"/>
        </w:rPr>
      </w:pPr>
      <w:r>
        <w:rPr>
          <w:color w:val="auto"/>
          <w:kern w:val="0"/>
          <w:sz w:val="24"/>
        </w:rPr>
        <w:t>排污口管理</w:t>
      </w:r>
    </w:p>
    <w:p w14:paraId="7F7F904C">
      <w:pPr>
        <w:spacing w:line="360" w:lineRule="auto"/>
        <w:ind w:firstLine="482"/>
        <w:rPr>
          <w:color w:val="auto"/>
          <w:sz w:val="24"/>
        </w:rPr>
      </w:pPr>
      <w:r>
        <w:rPr>
          <w:color w:val="auto"/>
          <w:sz w:val="24"/>
        </w:rPr>
        <w:t>排污口是养殖场污染物进入环境，污染环境的信道，强化排污口的管理是实施污染物总量控制的基础工作之一，也是区域环境管理逐步实现污染物排放科学化、定量化的重要手段。</w:t>
      </w:r>
    </w:p>
    <w:p w14:paraId="585F18F5">
      <w:pPr>
        <w:spacing w:line="360" w:lineRule="auto"/>
        <w:ind w:firstLine="482"/>
        <w:rPr>
          <w:color w:val="auto"/>
          <w:sz w:val="24"/>
        </w:rPr>
      </w:pPr>
      <w:r>
        <w:rPr>
          <w:color w:val="auto"/>
          <w:sz w:val="24"/>
        </w:rPr>
        <w:t>具体管理原则如下：</w:t>
      </w:r>
    </w:p>
    <w:p w14:paraId="2A8FEE99">
      <w:pPr>
        <w:spacing w:line="360" w:lineRule="auto"/>
        <w:ind w:firstLine="482"/>
        <w:rPr>
          <w:color w:val="auto"/>
          <w:sz w:val="24"/>
        </w:rPr>
      </w:pPr>
      <w:r>
        <w:rPr>
          <w:color w:val="auto"/>
          <w:sz w:val="24"/>
        </w:rPr>
        <w:t>（1）向环境排放的污染物的排放口必须规范化。</w:t>
      </w:r>
    </w:p>
    <w:p w14:paraId="759D195A">
      <w:pPr>
        <w:spacing w:line="360" w:lineRule="auto"/>
        <w:ind w:firstLine="482"/>
        <w:rPr>
          <w:color w:val="auto"/>
          <w:sz w:val="24"/>
        </w:rPr>
      </w:pPr>
      <w:r>
        <w:rPr>
          <w:color w:val="auto"/>
          <w:sz w:val="24"/>
        </w:rPr>
        <w:t>（2）列入总量控制的污染物、排污口列为管理的重点。</w:t>
      </w:r>
    </w:p>
    <w:p w14:paraId="6763969E">
      <w:pPr>
        <w:spacing w:line="360" w:lineRule="auto"/>
        <w:ind w:firstLine="482"/>
        <w:rPr>
          <w:color w:val="auto"/>
          <w:sz w:val="24"/>
        </w:rPr>
      </w:pPr>
      <w:r>
        <w:rPr>
          <w:color w:val="auto"/>
          <w:sz w:val="24"/>
        </w:rPr>
        <w:t>（3）排污口应便于采样与计量监测，便于日常现场监督检查。</w:t>
      </w:r>
    </w:p>
    <w:p w14:paraId="70A641E0">
      <w:pPr>
        <w:spacing w:line="360" w:lineRule="auto"/>
        <w:ind w:firstLine="482"/>
        <w:rPr>
          <w:color w:val="auto"/>
          <w:sz w:val="24"/>
        </w:rPr>
      </w:pPr>
      <w:r>
        <w:rPr>
          <w:color w:val="auto"/>
          <w:sz w:val="24"/>
        </w:rPr>
        <w:t>（4）如实向环保管理部门申报排污口数量、位置及所排放的主要污染物种类、数量、浓度、排放去向等情况。</w:t>
      </w:r>
    </w:p>
    <w:p w14:paraId="1E5A81C4">
      <w:pPr>
        <w:spacing w:line="360" w:lineRule="auto"/>
        <w:ind w:firstLine="482"/>
        <w:rPr>
          <w:color w:val="auto"/>
          <w:sz w:val="24"/>
        </w:rPr>
      </w:pPr>
      <w:r>
        <w:rPr>
          <w:color w:val="auto"/>
          <w:sz w:val="24"/>
        </w:rPr>
        <w:t>（5）废气排气装置应设置便于采样、监测的采样孔和采样平台，设置应符合《污染源监测技术规范》。</w:t>
      </w:r>
    </w:p>
    <w:p w14:paraId="2D0ABCFE">
      <w:pPr>
        <w:spacing w:line="360" w:lineRule="auto"/>
        <w:ind w:firstLine="482"/>
        <w:rPr>
          <w:color w:val="auto"/>
          <w:sz w:val="24"/>
        </w:rPr>
      </w:pPr>
      <w:r>
        <w:rPr>
          <w:color w:val="auto"/>
          <w:sz w:val="24"/>
        </w:rPr>
        <w:t>（6）工程固废堆存时，专用堆放场应设有防扬散、防流失、防渗漏措施。</w:t>
      </w:r>
    </w:p>
    <w:p w14:paraId="43F09815">
      <w:pPr>
        <w:numPr>
          <w:ilvl w:val="0"/>
          <w:numId w:val="8"/>
        </w:numPr>
        <w:spacing w:line="360" w:lineRule="auto"/>
        <w:ind w:left="0" w:firstLine="480" w:firstLineChars="200"/>
        <w:rPr>
          <w:color w:val="auto"/>
          <w:kern w:val="0"/>
          <w:sz w:val="24"/>
        </w:rPr>
      </w:pPr>
      <w:r>
        <w:rPr>
          <w:color w:val="auto"/>
          <w:kern w:val="0"/>
          <w:sz w:val="24"/>
        </w:rPr>
        <w:t>排污口立标管理</w:t>
      </w:r>
    </w:p>
    <w:p w14:paraId="5043B97F">
      <w:pPr>
        <w:spacing w:line="360" w:lineRule="auto"/>
        <w:ind w:firstLine="480" w:firstLineChars="200"/>
        <w:rPr>
          <w:color w:val="auto"/>
          <w:sz w:val="24"/>
        </w:rPr>
      </w:pPr>
      <w:r>
        <w:rPr>
          <w:color w:val="auto"/>
          <w:sz w:val="24"/>
        </w:rPr>
        <w:t>对上述污染物排放口和固体废物堆场，应按照国家《环境保护图形标志》（GB15562.1-1995）与《环境保护图形标志固体废物贮存（处置）场》（GB1556.2-1995）规定，设置国家环保局统一制作的环境保护图形标志牌：</w:t>
      </w:r>
    </w:p>
    <w:p w14:paraId="0D222B1E">
      <w:pPr>
        <w:spacing w:line="360" w:lineRule="auto"/>
        <w:ind w:firstLine="480" w:firstLineChars="200"/>
        <w:rPr>
          <w:color w:val="auto"/>
          <w:sz w:val="24"/>
        </w:rPr>
      </w:pPr>
      <w:r>
        <w:rPr>
          <w:color w:val="auto"/>
          <w:sz w:val="24"/>
        </w:rPr>
        <w:t>（1）污染物排放口的环保图形标志牌应设置在靠近采样点且醒目处，标志牌设置高度为其上边缘距离地面约2m；</w:t>
      </w:r>
    </w:p>
    <w:p w14:paraId="2D5B0E66">
      <w:pPr>
        <w:spacing w:line="360" w:lineRule="auto"/>
        <w:ind w:firstLine="480" w:firstLineChars="200"/>
        <w:rPr>
          <w:color w:val="auto"/>
          <w:sz w:val="24"/>
        </w:rPr>
      </w:pPr>
      <w:r>
        <w:rPr>
          <w:color w:val="auto"/>
          <w:sz w:val="24"/>
        </w:rPr>
        <w:t>（2）重点排污单位的污染物排放口以设置立式标志牌为主，一般排污单位的污染物排放口，可根据情况设置立式或平面固定式标志牌。</w:t>
      </w:r>
    </w:p>
    <w:p w14:paraId="2E3AEDB1">
      <w:pPr>
        <w:numPr>
          <w:ilvl w:val="0"/>
          <w:numId w:val="8"/>
        </w:numPr>
        <w:spacing w:line="360" w:lineRule="auto"/>
        <w:ind w:left="0" w:firstLine="480" w:firstLineChars="200"/>
        <w:rPr>
          <w:color w:val="auto"/>
          <w:kern w:val="0"/>
          <w:sz w:val="24"/>
        </w:rPr>
      </w:pPr>
      <w:r>
        <w:rPr>
          <w:color w:val="auto"/>
          <w:kern w:val="0"/>
          <w:sz w:val="24"/>
        </w:rPr>
        <w:t>排污口建档管理</w:t>
      </w:r>
    </w:p>
    <w:p w14:paraId="3DF082BA">
      <w:pPr>
        <w:spacing w:line="360" w:lineRule="auto"/>
        <w:ind w:firstLine="480" w:firstLineChars="200"/>
        <w:rPr>
          <w:color w:val="auto"/>
          <w:sz w:val="24"/>
        </w:rPr>
      </w:pPr>
      <w:r>
        <w:rPr>
          <w:color w:val="auto"/>
          <w:sz w:val="24"/>
        </w:rPr>
        <w:t>（1）本项目应使用国家环保局统一印制的《中华人民共和国规范化排污口标志登记证》，并按要求填写有关内容；</w:t>
      </w:r>
    </w:p>
    <w:p w14:paraId="3A4686D0">
      <w:pPr>
        <w:spacing w:line="360" w:lineRule="auto"/>
        <w:ind w:firstLine="480" w:firstLineChars="200"/>
        <w:rPr>
          <w:color w:val="auto"/>
          <w:sz w:val="24"/>
        </w:rPr>
      </w:pPr>
      <w:r>
        <w:rPr>
          <w:color w:val="auto"/>
          <w:sz w:val="24"/>
        </w:rPr>
        <w:t>（2）根据排污口管理内容要求，项目建成投产后，应将主要污染物种类、数量、浓度、排放去向，立标情况及设施运行情况记录于档案。</w:t>
      </w:r>
    </w:p>
    <w:p w14:paraId="147BBBB7">
      <w:pPr>
        <w:keepNext/>
        <w:keepLines/>
        <w:spacing w:line="360" w:lineRule="auto"/>
        <w:outlineLvl w:val="1"/>
        <w:rPr>
          <w:b/>
          <w:color w:val="auto"/>
          <w:sz w:val="30"/>
        </w:rPr>
      </w:pPr>
      <w:bookmarkStart w:id="437" w:name="_Toc4595"/>
      <w:bookmarkStart w:id="438" w:name="_Toc30772"/>
      <w:bookmarkStart w:id="439" w:name="_Toc7475"/>
      <w:r>
        <w:rPr>
          <w:b/>
          <w:color w:val="auto"/>
          <w:sz w:val="30"/>
        </w:rPr>
        <w:t>9.2环境监测计划</w:t>
      </w:r>
      <w:bookmarkEnd w:id="437"/>
      <w:bookmarkEnd w:id="438"/>
      <w:bookmarkEnd w:id="439"/>
    </w:p>
    <w:p w14:paraId="38CB8E9F">
      <w:pPr>
        <w:spacing w:line="360" w:lineRule="auto"/>
        <w:ind w:firstLine="480" w:firstLineChars="200"/>
        <w:rPr>
          <w:color w:val="auto"/>
          <w:sz w:val="24"/>
        </w:rPr>
      </w:pPr>
      <w:r>
        <w:rPr>
          <w:color w:val="auto"/>
          <w:sz w:val="24"/>
        </w:rPr>
        <w:t>环境监测是项目环境保护的“眼睛”，是基本的手段和信息基础，环境监测的特点是以样品的监测结果来推断总体环境质量。因此，必须把握好各个技术环节，包括确定环境监测的项目的范围，采样的位置和数量，采样的时间和方法，样品的分析和数据处理等及其质量保证工作。保证监测数据具有完整的质量特征，准确性、精密性、完整性、代表性和可比性。</w:t>
      </w:r>
    </w:p>
    <w:p w14:paraId="23AF5C64">
      <w:pPr>
        <w:keepNext/>
        <w:keepLines/>
        <w:spacing w:line="360" w:lineRule="auto"/>
        <w:outlineLvl w:val="2"/>
        <w:rPr>
          <w:b/>
          <w:bCs/>
          <w:color w:val="auto"/>
          <w:sz w:val="28"/>
          <w:szCs w:val="32"/>
        </w:rPr>
      </w:pPr>
      <w:bookmarkStart w:id="440" w:name="_Toc25964"/>
      <w:r>
        <w:rPr>
          <w:b/>
          <w:bCs/>
          <w:color w:val="auto"/>
          <w:sz w:val="28"/>
          <w:szCs w:val="32"/>
        </w:rPr>
        <w:t>9.2.1环境监测的必要性</w:t>
      </w:r>
      <w:bookmarkEnd w:id="440"/>
    </w:p>
    <w:p w14:paraId="43DA26F9">
      <w:pPr>
        <w:spacing w:line="360" w:lineRule="auto"/>
        <w:ind w:firstLine="480" w:firstLineChars="200"/>
        <w:rPr>
          <w:color w:val="auto"/>
          <w:sz w:val="24"/>
        </w:rPr>
      </w:pPr>
      <w:r>
        <w:rPr>
          <w:color w:val="auto"/>
          <w:sz w:val="24"/>
        </w:rPr>
        <w:t>环境监测既是项目执行管理的需要，也是环保部门了解项目执行情况、研究对策，实行宏观指导的依据。通过现厂监测，能及时发现问题和了解运行数据是否理想，达到总结经验、解决问题、改善管理的目的，以确保项目顺利实现预期目的。</w:t>
      </w:r>
    </w:p>
    <w:p w14:paraId="12ED16FF">
      <w:pPr>
        <w:keepNext/>
        <w:keepLines/>
        <w:spacing w:line="360" w:lineRule="auto"/>
        <w:outlineLvl w:val="2"/>
        <w:rPr>
          <w:b/>
          <w:bCs/>
          <w:color w:val="auto"/>
          <w:sz w:val="28"/>
          <w:szCs w:val="32"/>
        </w:rPr>
      </w:pPr>
      <w:bookmarkStart w:id="441" w:name="_Toc11563"/>
      <w:r>
        <w:rPr>
          <w:b/>
          <w:bCs/>
          <w:color w:val="auto"/>
          <w:sz w:val="28"/>
          <w:szCs w:val="32"/>
        </w:rPr>
        <w:t>9.2.2环境监测机构设置</w:t>
      </w:r>
      <w:bookmarkEnd w:id="441"/>
    </w:p>
    <w:p w14:paraId="2D008A30">
      <w:pPr>
        <w:spacing w:line="360" w:lineRule="auto"/>
        <w:ind w:firstLine="480" w:firstLineChars="200"/>
        <w:rPr>
          <w:color w:val="auto"/>
          <w:sz w:val="24"/>
        </w:rPr>
      </w:pPr>
      <w:r>
        <w:rPr>
          <w:color w:val="auto"/>
          <w:sz w:val="24"/>
        </w:rPr>
        <w:t>为了及时准确地了解项目的污染物排放情况和污染物治理设施的运行状况，企业应委托有资质的监测机构进行常规监测。</w:t>
      </w:r>
    </w:p>
    <w:p w14:paraId="389F65DB">
      <w:pPr>
        <w:keepNext/>
        <w:keepLines/>
        <w:spacing w:line="360" w:lineRule="auto"/>
        <w:outlineLvl w:val="2"/>
        <w:rPr>
          <w:b/>
          <w:bCs/>
          <w:color w:val="auto"/>
          <w:sz w:val="28"/>
          <w:szCs w:val="32"/>
        </w:rPr>
      </w:pPr>
      <w:bookmarkStart w:id="442" w:name="_Toc18718"/>
      <w:r>
        <w:rPr>
          <w:b/>
          <w:bCs/>
          <w:color w:val="auto"/>
          <w:sz w:val="28"/>
          <w:szCs w:val="32"/>
        </w:rPr>
        <w:t>9.2.3环境监测职责</w:t>
      </w:r>
      <w:bookmarkEnd w:id="442"/>
    </w:p>
    <w:p w14:paraId="16CAF80F">
      <w:pPr>
        <w:spacing w:line="360" w:lineRule="auto"/>
        <w:ind w:firstLine="480" w:firstLineChars="200"/>
        <w:rPr>
          <w:color w:val="auto"/>
          <w:sz w:val="24"/>
        </w:rPr>
      </w:pPr>
      <w:r>
        <w:rPr>
          <w:color w:val="auto"/>
          <w:sz w:val="24"/>
        </w:rPr>
        <w:t>根据国家和主管部门颁布的环保法规、污染物排放标准以及企业内部的要求，制订监测站的工作计划和实施方案。</w:t>
      </w:r>
    </w:p>
    <w:p w14:paraId="5CDAA215">
      <w:pPr>
        <w:spacing w:line="360" w:lineRule="auto"/>
        <w:ind w:firstLine="480" w:firstLineChars="200"/>
        <w:rPr>
          <w:color w:val="auto"/>
          <w:sz w:val="24"/>
        </w:rPr>
      </w:pPr>
      <w:r>
        <w:rPr>
          <w:color w:val="auto"/>
          <w:sz w:val="24"/>
        </w:rPr>
        <w:t>对生产过程中污染物的排放状况和污染治理设施的处理效果进行定期监测，为设施的运行控制提供依据。</w:t>
      </w:r>
    </w:p>
    <w:p w14:paraId="48437926">
      <w:pPr>
        <w:spacing w:line="360" w:lineRule="auto"/>
        <w:ind w:firstLine="480" w:firstLineChars="200"/>
        <w:rPr>
          <w:color w:val="auto"/>
          <w:sz w:val="24"/>
        </w:rPr>
      </w:pPr>
      <w:r>
        <w:rPr>
          <w:color w:val="auto"/>
          <w:sz w:val="24"/>
        </w:rPr>
        <w:t>监督排污口污染物排放的达标情况。</w:t>
      </w:r>
    </w:p>
    <w:p w14:paraId="1262BDAC">
      <w:pPr>
        <w:spacing w:line="360" w:lineRule="auto"/>
        <w:ind w:firstLine="480" w:firstLineChars="200"/>
        <w:rPr>
          <w:color w:val="auto"/>
          <w:sz w:val="24"/>
        </w:rPr>
      </w:pPr>
      <w:r>
        <w:rPr>
          <w:color w:val="auto"/>
          <w:sz w:val="24"/>
        </w:rPr>
        <w:t>对监测仪器设备进行维护和校验，确保监测数据的准确性、可靠性。</w:t>
      </w:r>
    </w:p>
    <w:p w14:paraId="769D225B">
      <w:pPr>
        <w:spacing w:line="360" w:lineRule="auto"/>
        <w:ind w:firstLine="480" w:firstLineChars="200"/>
        <w:rPr>
          <w:color w:val="auto"/>
          <w:sz w:val="24"/>
        </w:rPr>
      </w:pPr>
      <w:r>
        <w:rPr>
          <w:color w:val="auto"/>
          <w:sz w:val="24"/>
        </w:rPr>
        <w:t>作好监测数据的整理记录工作，作好企业污染物排放情况动态变化的档案记载工作。</w:t>
      </w:r>
    </w:p>
    <w:p w14:paraId="5EB2AB96">
      <w:pPr>
        <w:spacing w:line="360" w:lineRule="auto"/>
        <w:ind w:firstLine="480" w:firstLineChars="200"/>
        <w:rPr>
          <w:color w:val="auto"/>
          <w:sz w:val="24"/>
        </w:rPr>
      </w:pPr>
      <w:r>
        <w:rPr>
          <w:color w:val="auto"/>
          <w:sz w:val="24"/>
        </w:rPr>
        <w:t>努力学习，不断提高场内工作人员的业务素质和工作能力。</w:t>
      </w:r>
    </w:p>
    <w:p w14:paraId="36B6C809">
      <w:pPr>
        <w:keepNext/>
        <w:keepLines/>
        <w:spacing w:line="360" w:lineRule="auto"/>
        <w:outlineLvl w:val="2"/>
        <w:rPr>
          <w:b/>
          <w:bCs/>
          <w:color w:val="auto"/>
          <w:sz w:val="28"/>
          <w:szCs w:val="32"/>
        </w:rPr>
      </w:pPr>
      <w:bookmarkStart w:id="443" w:name="_Toc24163"/>
      <w:r>
        <w:rPr>
          <w:b/>
          <w:bCs/>
          <w:color w:val="auto"/>
          <w:sz w:val="28"/>
          <w:szCs w:val="32"/>
        </w:rPr>
        <w:t>9.2.4环境监测计划</w:t>
      </w:r>
      <w:bookmarkEnd w:id="443"/>
    </w:p>
    <w:p w14:paraId="7FBAFEF7">
      <w:pPr>
        <w:spacing w:line="360" w:lineRule="auto"/>
        <w:ind w:firstLine="480" w:firstLineChars="200"/>
        <w:textAlignment w:val="baseline"/>
        <w:rPr>
          <w:color w:val="auto"/>
          <w:kern w:val="0"/>
          <w:sz w:val="24"/>
        </w:rPr>
      </w:pPr>
      <w:r>
        <w:rPr>
          <w:color w:val="auto"/>
          <w:kern w:val="0"/>
          <w:sz w:val="24"/>
        </w:rPr>
        <w:t>工程建成后，建设单位应委托有资质的环境监测部门承担本项目污染源及相关环境方面的监测工作，监测结果向当地环境保护局汇报。</w:t>
      </w:r>
    </w:p>
    <w:p w14:paraId="1B60DC77">
      <w:pPr>
        <w:spacing w:line="360" w:lineRule="auto"/>
        <w:ind w:firstLine="480" w:firstLineChars="200"/>
        <w:textAlignment w:val="baseline"/>
        <w:rPr>
          <w:color w:val="auto"/>
          <w:kern w:val="0"/>
          <w:sz w:val="24"/>
        </w:rPr>
      </w:pPr>
      <w:r>
        <w:rPr>
          <w:color w:val="auto"/>
          <w:kern w:val="0"/>
          <w:sz w:val="24"/>
        </w:rPr>
        <w:t>根据本项目的污染特征，以及项目评价范围内环境保护敏感目标的分布情况，</w:t>
      </w:r>
      <w:r>
        <w:rPr>
          <w:rFonts w:hint="eastAsia"/>
          <w:color w:val="auto"/>
          <w:kern w:val="0"/>
          <w:sz w:val="24"/>
          <w:lang w:eastAsia="zh-CN"/>
        </w:rPr>
        <w:t>按照《排污许可证申请与核发技术规范</w:t>
      </w:r>
      <w:r>
        <w:rPr>
          <w:rFonts w:hint="eastAsia"/>
          <w:color w:val="auto"/>
          <w:kern w:val="0"/>
          <w:sz w:val="24"/>
          <w:lang w:val="en-US" w:eastAsia="zh-CN"/>
        </w:rPr>
        <w:t xml:space="preserve"> 畜禽养殖行业</w:t>
      </w:r>
      <w:r>
        <w:rPr>
          <w:rFonts w:hint="eastAsia"/>
          <w:color w:val="auto"/>
          <w:kern w:val="0"/>
          <w:sz w:val="24"/>
          <w:lang w:eastAsia="zh-CN"/>
        </w:rPr>
        <w:t>》（</w:t>
      </w:r>
      <w:r>
        <w:rPr>
          <w:rFonts w:hint="eastAsia"/>
          <w:color w:val="auto"/>
          <w:kern w:val="0"/>
          <w:sz w:val="24"/>
          <w:lang w:val="en-US" w:eastAsia="zh-CN"/>
        </w:rPr>
        <w:t>HJ1029-2019</w:t>
      </w:r>
      <w:r>
        <w:rPr>
          <w:rFonts w:hint="eastAsia"/>
          <w:color w:val="auto"/>
          <w:kern w:val="0"/>
          <w:sz w:val="24"/>
          <w:lang w:eastAsia="zh-CN"/>
        </w:rPr>
        <w:t>）、《排污单位自行监测技术指南</w:t>
      </w:r>
      <w:r>
        <w:rPr>
          <w:rFonts w:hint="eastAsia"/>
          <w:color w:val="auto"/>
          <w:kern w:val="0"/>
          <w:sz w:val="24"/>
          <w:lang w:val="en-US" w:eastAsia="zh-CN"/>
        </w:rPr>
        <w:t xml:space="preserve"> 畜禽养殖行业</w:t>
      </w:r>
      <w:r>
        <w:rPr>
          <w:rFonts w:hint="eastAsia"/>
          <w:color w:val="auto"/>
          <w:kern w:val="0"/>
          <w:sz w:val="24"/>
          <w:lang w:eastAsia="zh-CN"/>
        </w:rPr>
        <w:t>》（</w:t>
      </w:r>
      <w:r>
        <w:rPr>
          <w:rFonts w:hint="eastAsia"/>
          <w:color w:val="auto"/>
          <w:kern w:val="0"/>
          <w:sz w:val="24"/>
          <w:lang w:val="en-US" w:eastAsia="zh-CN"/>
        </w:rPr>
        <w:t>HJ1252-2022</w:t>
      </w:r>
      <w:r>
        <w:rPr>
          <w:rFonts w:hint="eastAsia"/>
          <w:color w:val="auto"/>
          <w:kern w:val="0"/>
          <w:sz w:val="24"/>
          <w:lang w:eastAsia="zh-CN"/>
        </w:rPr>
        <w:t>）、《排污单位自行监测技术指南</w:t>
      </w:r>
      <w:r>
        <w:rPr>
          <w:rFonts w:hint="eastAsia"/>
          <w:color w:val="auto"/>
          <w:kern w:val="0"/>
          <w:sz w:val="24"/>
          <w:lang w:val="en-US" w:eastAsia="zh-CN"/>
        </w:rPr>
        <w:t xml:space="preserve"> 火力发电和锅炉</w:t>
      </w:r>
      <w:r>
        <w:rPr>
          <w:rFonts w:hint="eastAsia"/>
          <w:color w:val="auto"/>
          <w:kern w:val="0"/>
          <w:sz w:val="24"/>
          <w:lang w:eastAsia="zh-CN"/>
        </w:rPr>
        <w:t>》（</w:t>
      </w:r>
      <w:r>
        <w:rPr>
          <w:rFonts w:hint="eastAsia"/>
          <w:color w:val="auto"/>
          <w:kern w:val="0"/>
          <w:sz w:val="24"/>
          <w:lang w:val="en-US" w:eastAsia="zh-CN"/>
        </w:rPr>
        <w:t>HJ820-2017</w:t>
      </w:r>
      <w:r>
        <w:rPr>
          <w:rFonts w:hint="eastAsia"/>
          <w:color w:val="auto"/>
          <w:kern w:val="0"/>
          <w:sz w:val="24"/>
          <w:lang w:eastAsia="zh-CN"/>
        </w:rPr>
        <w:t>）中要求，</w:t>
      </w:r>
      <w:r>
        <w:rPr>
          <w:color w:val="auto"/>
          <w:kern w:val="0"/>
          <w:sz w:val="24"/>
        </w:rPr>
        <w:t>对建设项目的环境监测计划如下：</w:t>
      </w:r>
    </w:p>
    <w:p w14:paraId="11C8E237">
      <w:pPr>
        <w:pStyle w:val="16"/>
        <w:ind w:firstLine="422" w:firstLineChars="200"/>
        <w:jc w:val="center"/>
        <w:rPr>
          <w:b/>
          <w:color w:val="auto"/>
          <w:szCs w:val="21"/>
          <w:highlight w:val="none"/>
        </w:rPr>
      </w:pPr>
      <w:r>
        <w:rPr>
          <w:b/>
          <w:color w:val="auto"/>
          <w:szCs w:val="21"/>
          <w:highlight w:val="none"/>
        </w:rPr>
        <w:t>表9</w:t>
      </w:r>
      <w:r>
        <w:rPr>
          <w:rFonts w:hint="eastAsia"/>
          <w:b/>
          <w:color w:val="auto"/>
          <w:szCs w:val="21"/>
          <w:highlight w:val="none"/>
          <w:lang w:val="en-US" w:eastAsia="zh-CN"/>
        </w:rPr>
        <w:t>.2-1</w:t>
      </w:r>
      <w:r>
        <w:rPr>
          <w:b/>
          <w:color w:val="auto"/>
          <w:szCs w:val="21"/>
          <w:highlight w:val="none"/>
        </w:rPr>
        <w:t xml:space="preserve">   项目环境监测计划</w:t>
      </w:r>
    </w:p>
    <w:tbl>
      <w:tblPr>
        <w:tblStyle w:val="53"/>
        <w:tblW w:w="4998" w:type="pct"/>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87"/>
        <w:gridCol w:w="2073"/>
        <w:gridCol w:w="2258"/>
        <w:gridCol w:w="1326"/>
        <w:gridCol w:w="807"/>
        <w:gridCol w:w="1374"/>
      </w:tblGrid>
      <w:tr w14:paraId="5920404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03" w:type="pct"/>
            <w:vAlign w:val="center"/>
          </w:tcPr>
          <w:p w14:paraId="3DC54B1C">
            <w:pPr>
              <w:jc w:val="center"/>
              <w:rPr>
                <w:color w:val="auto"/>
                <w:kern w:val="0"/>
                <w:szCs w:val="21"/>
                <w:highlight w:val="none"/>
              </w:rPr>
            </w:pPr>
            <w:r>
              <w:rPr>
                <w:color w:val="auto"/>
                <w:kern w:val="0"/>
                <w:szCs w:val="21"/>
                <w:highlight w:val="none"/>
              </w:rPr>
              <w:t>监测内容</w:t>
            </w:r>
          </w:p>
        </w:tc>
        <w:tc>
          <w:tcPr>
            <w:tcW w:w="1215" w:type="pct"/>
            <w:vAlign w:val="center"/>
          </w:tcPr>
          <w:p w14:paraId="457BD846">
            <w:pPr>
              <w:jc w:val="center"/>
              <w:rPr>
                <w:color w:val="auto"/>
                <w:kern w:val="0"/>
                <w:szCs w:val="21"/>
                <w:highlight w:val="none"/>
              </w:rPr>
            </w:pPr>
            <w:r>
              <w:rPr>
                <w:color w:val="auto"/>
                <w:kern w:val="0"/>
                <w:szCs w:val="21"/>
                <w:highlight w:val="none"/>
              </w:rPr>
              <w:t>监测指标</w:t>
            </w:r>
          </w:p>
        </w:tc>
        <w:tc>
          <w:tcPr>
            <w:tcW w:w="1323" w:type="pct"/>
            <w:vAlign w:val="center"/>
          </w:tcPr>
          <w:p w14:paraId="168A6F41">
            <w:pPr>
              <w:jc w:val="center"/>
              <w:rPr>
                <w:color w:val="auto"/>
                <w:kern w:val="0"/>
                <w:szCs w:val="21"/>
                <w:highlight w:val="none"/>
              </w:rPr>
            </w:pPr>
            <w:r>
              <w:rPr>
                <w:color w:val="auto"/>
                <w:kern w:val="0"/>
                <w:szCs w:val="21"/>
                <w:highlight w:val="none"/>
              </w:rPr>
              <w:t>监测位置</w:t>
            </w:r>
          </w:p>
        </w:tc>
        <w:tc>
          <w:tcPr>
            <w:tcW w:w="777" w:type="pct"/>
            <w:vAlign w:val="center"/>
          </w:tcPr>
          <w:p w14:paraId="32BD55A1">
            <w:pPr>
              <w:jc w:val="center"/>
              <w:rPr>
                <w:color w:val="auto"/>
                <w:kern w:val="0"/>
                <w:szCs w:val="21"/>
                <w:highlight w:val="none"/>
              </w:rPr>
            </w:pPr>
            <w:r>
              <w:rPr>
                <w:color w:val="auto"/>
                <w:kern w:val="0"/>
                <w:szCs w:val="21"/>
                <w:highlight w:val="none"/>
              </w:rPr>
              <w:t>监测频率</w:t>
            </w:r>
          </w:p>
        </w:tc>
        <w:tc>
          <w:tcPr>
            <w:tcW w:w="473" w:type="pct"/>
            <w:vAlign w:val="center"/>
          </w:tcPr>
          <w:p w14:paraId="508F1B86">
            <w:pPr>
              <w:jc w:val="center"/>
              <w:rPr>
                <w:color w:val="auto"/>
                <w:kern w:val="0"/>
                <w:szCs w:val="21"/>
                <w:highlight w:val="none"/>
              </w:rPr>
            </w:pPr>
            <w:r>
              <w:rPr>
                <w:color w:val="auto"/>
                <w:kern w:val="0"/>
                <w:szCs w:val="21"/>
                <w:highlight w:val="none"/>
              </w:rPr>
              <w:t>监测单位</w:t>
            </w:r>
          </w:p>
        </w:tc>
        <w:tc>
          <w:tcPr>
            <w:tcW w:w="805" w:type="pct"/>
            <w:vAlign w:val="center"/>
          </w:tcPr>
          <w:p w14:paraId="6D03C9AD">
            <w:pPr>
              <w:jc w:val="center"/>
              <w:rPr>
                <w:color w:val="auto"/>
                <w:kern w:val="0"/>
                <w:szCs w:val="21"/>
                <w:highlight w:val="none"/>
              </w:rPr>
            </w:pPr>
            <w:r>
              <w:rPr>
                <w:color w:val="auto"/>
                <w:kern w:val="0"/>
                <w:szCs w:val="21"/>
                <w:highlight w:val="none"/>
              </w:rPr>
              <w:t>要求</w:t>
            </w:r>
          </w:p>
        </w:tc>
      </w:tr>
      <w:tr w14:paraId="43332C1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03" w:type="pct"/>
            <w:vMerge w:val="restart"/>
            <w:vAlign w:val="center"/>
          </w:tcPr>
          <w:p w14:paraId="287D3C78">
            <w:pPr>
              <w:jc w:val="center"/>
              <w:rPr>
                <w:color w:val="auto"/>
                <w:kern w:val="0"/>
                <w:szCs w:val="21"/>
                <w:highlight w:val="none"/>
              </w:rPr>
            </w:pPr>
            <w:r>
              <w:rPr>
                <w:color w:val="auto"/>
                <w:kern w:val="0"/>
                <w:szCs w:val="21"/>
                <w:highlight w:val="none"/>
              </w:rPr>
              <w:t>废气</w:t>
            </w:r>
          </w:p>
        </w:tc>
        <w:tc>
          <w:tcPr>
            <w:tcW w:w="1215" w:type="pct"/>
            <w:vAlign w:val="center"/>
          </w:tcPr>
          <w:p w14:paraId="73C93E52">
            <w:pPr>
              <w:jc w:val="center"/>
              <w:rPr>
                <w:rFonts w:hint="eastAsia" w:eastAsia="宋体"/>
                <w:color w:val="auto"/>
                <w:kern w:val="0"/>
                <w:szCs w:val="21"/>
                <w:highlight w:val="none"/>
                <w:lang w:eastAsia="zh-CN"/>
              </w:rPr>
            </w:pPr>
            <w:r>
              <w:rPr>
                <w:rFonts w:hint="eastAsia"/>
                <w:color w:val="auto"/>
                <w:kern w:val="0"/>
                <w:szCs w:val="21"/>
                <w:highlight w:val="none"/>
                <w:lang w:eastAsia="zh-CN"/>
              </w:rPr>
              <w:t>臭气浓度</w:t>
            </w:r>
          </w:p>
        </w:tc>
        <w:tc>
          <w:tcPr>
            <w:tcW w:w="1323" w:type="pct"/>
            <w:vAlign w:val="center"/>
          </w:tcPr>
          <w:p w14:paraId="76C85987">
            <w:pPr>
              <w:jc w:val="center"/>
              <w:rPr>
                <w:color w:val="auto"/>
                <w:kern w:val="0"/>
                <w:szCs w:val="21"/>
                <w:highlight w:val="none"/>
              </w:rPr>
            </w:pPr>
            <w:r>
              <w:rPr>
                <w:color w:val="auto"/>
                <w:kern w:val="0"/>
                <w:szCs w:val="21"/>
                <w:highlight w:val="none"/>
              </w:rPr>
              <w:t>厂界</w:t>
            </w:r>
            <w:r>
              <w:rPr>
                <w:rFonts w:hint="eastAsia"/>
                <w:color w:val="auto"/>
                <w:kern w:val="0"/>
                <w:szCs w:val="21"/>
                <w:highlight w:val="none"/>
              </w:rPr>
              <w:t>（上风向1个监测点、下风向3个监测点）</w:t>
            </w:r>
          </w:p>
        </w:tc>
        <w:tc>
          <w:tcPr>
            <w:tcW w:w="777" w:type="pct"/>
            <w:vAlign w:val="center"/>
          </w:tcPr>
          <w:p w14:paraId="71BF6121">
            <w:pPr>
              <w:jc w:val="center"/>
              <w:rPr>
                <w:color w:val="auto"/>
                <w:highlight w:val="none"/>
              </w:rPr>
            </w:pPr>
            <w:r>
              <w:rPr>
                <w:color w:val="auto"/>
                <w:kern w:val="0"/>
                <w:szCs w:val="21"/>
                <w:highlight w:val="none"/>
              </w:rPr>
              <w:t>每</w:t>
            </w:r>
            <w:r>
              <w:rPr>
                <w:rFonts w:hint="eastAsia"/>
                <w:color w:val="auto"/>
                <w:kern w:val="0"/>
                <w:szCs w:val="21"/>
                <w:highlight w:val="none"/>
                <w:lang w:val="en-US" w:eastAsia="zh-CN"/>
              </w:rPr>
              <w:t>半</w:t>
            </w:r>
            <w:r>
              <w:rPr>
                <w:color w:val="auto"/>
                <w:kern w:val="0"/>
                <w:szCs w:val="21"/>
                <w:highlight w:val="none"/>
              </w:rPr>
              <w:t>年1次</w:t>
            </w:r>
          </w:p>
        </w:tc>
        <w:tc>
          <w:tcPr>
            <w:tcW w:w="473" w:type="pct"/>
            <w:vMerge w:val="restart"/>
            <w:vAlign w:val="center"/>
          </w:tcPr>
          <w:p w14:paraId="1F1CCAE2">
            <w:pPr>
              <w:rPr>
                <w:color w:val="auto"/>
                <w:kern w:val="0"/>
                <w:szCs w:val="21"/>
                <w:highlight w:val="none"/>
              </w:rPr>
            </w:pPr>
            <w:r>
              <w:rPr>
                <w:color w:val="auto"/>
                <w:szCs w:val="21"/>
                <w:highlight w:val="none"/>
              </w:rPr>
              <w:t>可根据自身条件和能力，利用自有人员、场所和设备进行检测，也可委托资质其他有资质的监测机构</w:t>
            </w:r>
          </w:p>
        </w:tc>
        <w:tc>
          <w:tcPr>
            <w:tcW w:w="805" w:type="pct"/>
            <w:vMerge w:val="restart"/>
            <w:vAlign w:val="center"/>
          </w:tcPr>
          <w:p w14:paraId="0385585F">
            <w:pPr>
              <w:rPr>
                <w:color w:val="auto"/>
                <w:szCs w:val="21"/>
                <w:highlight w:val="none"/>
              </w:rPr>
            </w:pPr>
            <w:r>
              <w:rPr>
                <w:color w:val="auto"/>
                <w:szCs w:val="21"/>
                <w:highlight w:val="none"/>
              </w:rPr>
              <w:t>1、做好质量保证与质量控制</w:t>
            </w:r>
          </w:p>
          <w:p w14:paraId="11515672">
            <w:pPr>
              <w:jc w:val="center"/>
              <w:rPr>
                <w:color w:val="auto"/>
                <w:szCs w:val="21"/>
                <w:highlight w:val="none"/>
              </w:rPr>
            </w:pPr>
            <w:r>
              <w:rPr>
                <w:color w:val="auto"/>
                <w:szCs w:val="21"/>
                <w:highlight w:val="none"/>
              </w:rPr>
              <w:t>2、记录和保存监测数据</w:t>
            </w:r>
          </w:p>
          <w:p w14:paraId="49C1CD4C">
            <w:pPr>
              <w:jc w:val="center"/>
              <w:rPr>
                <w:color w:val="auto"/>
                <w:kern w:val="0"/>
                <w:szCs w:val="21"/>
                <w:highlight w:val="none"/>
              </w:rPr>
            </w:pPr>
            <w:r>
              <w:rPr>
                <w:color w:val="auto"/>
                <w:szCs w:val="21"/>
                <w:highlight w:val="none"/>
              </w:rPr>
              <w:t>3、利用自有人员、场所和设备进行检测的应建立质量体系：应包括检测机构、人员，出具监测数据所需仪器设备，监测辅助设施和实验室环境，检测方法技术能力验证，监测活动质量控制和质量保证</w:t>
            </w:r>
          </w:p>
        </w:tc>
      </w:tr>
      <w:tr w14:paraId="412A783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03" w:type="pct"/>
            <w:vMerge w:val="continue"/>
            <w:vAlign w:val="center"/>
          </w:tcPr>
          <w:p w14:paraId="34544705">
            <w:pPr>
              <w:jc w:val="center"/>
              <w:rPr>
                <w:color w:val="auto"/>
                <w:kern w:val="0"/>
                <w:szCs w:val="21"/>
                <w:highlight w:val="none"/>
              </w:rPr>
            </w:pPr>
          </w:p>
        </w:tc>
        <w:tc>
          <w:tcPr>
            <w:tcW w:w="1215" w:type="pct"/>
            <w:tcBorders>
              <w:top w:val="single" w:color="auto" w:sz="4" w:space="0"/>
              <w:bottom w:val="single" w:color="auto" w:sz="4" w:space="0"/>
            </w:tcBorders>
            <w:vAlign w:val="center"/>
          </w:tcPr>
          <w:p w14:paraId="4D5DBB8F">
            <w:pPr>
              <w:jc w:val="center"/>
              <w:rPr>
                <w:color w:val="auto"/>
                <w:kern w:val="0"/>
                <w:szCs w:val="21"/>
                <w:highlight w:val="none"/>
              </w:rPr>
            </w:pPr>
            <w:r>
              <w:rPr>
                <w:rFonts w:hint="eastAsia"/>
                <w:color w:val="auto"/>
                <w:kern w:val="0"/>
                <w:szCs w:val="21"/>
                <w:highlight w:val="none"/>
              </w:rPr>
              <w:t>SO</w:t>
            </w:r>
            <w:r>
              <w:rPr>
                <w:rFonts w:hint="eastAsia"/>
                <w:color w:val="auto"/>
                <w:kern w:val="0"/>
                <w:szCs w:val="21"/>
                <w:highlight w:val="none"/>
                <w:vertAlign w:val="subscript"/>
              </w:rPr>
              <w:t>2</w:t>
            </w:r>
            <w:r>
              <w:rPr>
                <w:rFonts w:hint="eastAsia"/>
                <w:color w:val="auto"/>
                <w:kern w:val="0"/>
                <w:szCs w:val="21"/>
                <w:highlight w:val="none"/>
              </w:rPr>
              <w:t>、NOx、颗粒物</w:t>
            </w:r>
          </w:p>
        </w:tc>
        <w:tc>
          <w:tcPr>
            <w:tcW w:w="1323" w:type="pct"/>
            <w:tcBorders>
              <w:top w:val="single" w:color="auto" w:sz="4" w:space="0"/>
              <w:bottom w:val="single" w:color="auto" w:sz="4" w:space="0"/>
            </w:tcBorders>
            <w:vAlign w:val="center"/>
          </w:tcPr>
          <w:p w14:paraId="0D1E5BC1">
            <w:pPr>
              <w:jc w:val="center"/>
              <w:rPr>
                <w:rFonts w:hint="eastAsia" w:eastAsia="宋体"/>
                <w:color w:val="auto"/>
                <w:kern w:val="0"/>
                <w:szCs w:val="21"/>
                <w:highlight w:val="none"/>
                <w:lang w:eastAsia="zh-CN"/>
              </w:rPr>
            </w:pPr>
            <w:r>
              <w:rPr>
                <w:rFonts w:hint="eastAsia"/>
                <w:color w:val="auto"/>
                <w:kern w:val="0"/>
                <w:szCs w:val="21"/>
                <w:highlight w:val="none"/>
                <w:lang w:eastAsia="zh-CN"/>
              </w:rPr>
              <w:t>烟囱</w:t>
            </w:r>
            <w:r>
              <w:rPr>
                <w:rFonts w:hint="eastAsia" w:eastAsia="宋体"/>
                <w:color w:val="auto"/>
                <w:sz w:val="21"/>
                <w:szCs w:val="21"/>
                <w:highlight w:val="none"/>
                <w:lang w:val="en-US" w:eastAsia="zh-CN"/>
              </w:rPr>
              <w:t>DA00</w:t>
            </w:r>
            <w:r>
              <w:rPr>
                <w:rFonts w:hint="eastAsia"/>
                <w:color w:val="auto"/>
                <w:kern w:val="0"/>
                <w:szCs w:val="21"/>
                <w:highlight w:val="none"/>
                <w:lang w:val="en-US" w:eastAsia="zh-CN"/>
              </w:rPr>
              <w:t>1</w:t>
            </w:r>
            <w:r>
              <w:rPr>
                <w:rFonts w:hint="eastAsia"/>
                <w:color w:val="auto"/>
                <w:kern w:val="0"/>
                <w:szCs w:val="21"/>
                <w:highlight w:val="none"/>
              </w:rPr>
              <w:t>出口</w:t>
            </w:r>
            <w:r>
              <w:rPr>
                <w:rFonts w:hint="eastAsia"/>
                <w:color w:val="auto"/>
                <w:kern w:val="0"/>
                <w:szCs w:val="21"/>
                <w:highlight w:val="none"/>
                <w:lang w:eastAsia="zh-CN"/>
              </w:rPr>
              <w:t>（</w:t>
            </w:r>
            <w:r>
              <w:rPr>
                <w:rFonts w:hint="eastAsia"/>
                <w:color w:val="auto"/>
                <w:kern w:val="0"/>
                <w:szCs w:val="21"/>
                <w:highlight w:val="none"/>
                <w:lang w:val="en-US" w:eastAsia="zh-CN"/>
              </w:rPr>
              <w:t>锅炉运行期内</w:t>
            </w:r>
            <w:r>
              <w:rPr>
                <w:rFonts w:hint="eastAsia"/>
                <w:color w:val="auto"/>
                <w:kern w:val="0"/>
                <w:szCs w:val="21"/>
                <w:highlight w:val="none"/>
                <w:lang w:eastAsia="zh-CN"/>
              </w:rPr>
              <w:t>）</w:t>
            </w:r>
          </w:p>
        </w:tc>
        <w:tc>
          <w:tcPr>
            <w:tcW w:w="777" w:type="pct"/>
            <w:tcBorders>
              <w:top w:val="single" w:color="auto" w:sz="4" w:space="0"/>
              <w:bottom w:val="single" w:color="auto" w:sz="4" w:space="0"/>
            </w:tcBorders>
            <w:vAlign w:val="center"/>
          </w:tcPr>
          <w:p w14:paraId="1B70BB41">
            <w:pPr>
              <w:jc w:val="center"/>
              <w:rPr>
                <w:color w:val="auto"/>
                <w:kern w:val="0"/>
                <w:szCs w:val="21"/>
                <w:highlight w:val="none"/>
              </w:rPr>
            </w:pPr>
            <w:r>
              <w:rPr>
                <w:rFonts w:hint="eastAsia"/>
                <w:color w:val="auto"/>
                <w:kern w:val="0"/>
                <w:szCs w:val="21"/>
                <w:highlight w:val="none"/>
              </w:rPr>
              <w:t>每月1次</w:t>
            </w:r>
          </w:p>
        </w:tc>
        <w:tc>
          <w:tcPr>
            <w:tcW w:w="473" w:type="pct"/>
            <w:vMerge w:val="continue"/>
            <w:vAlign w:val="center"/>
          </w:tcPr>
          <w:p w14:paraId="7EDAF085">
            <w:pPr>
              <w:rPr>
                <w:color w:val="auto"/>
                <w:szCs w:val="21"/>
                <w:highlight w:val="none"/>
              </w:rPr>
            </w:pPr>
          </w:p>
        </w:tc>
        <w:tc>
          <w:tcPr>
            <w:tcW w:w="805" w:type="pct"/>
            <w:vMerge w:val="continue"/>
            <w:vAlign w:val="center"/>
          </w:tcPr>
          <w:p w14:paraId="4C35CB92">
            <w:pPr>
              <w:jc w:val="center"/>
              <w:rPr>
                <w:color w:val="auto"/>
                <w:szCs w:val="21"/>
                <w:highlight w:val="none"/>
              </w:rPr>
            </w:pPr>
          </w:p>
        </w:tc>
      </w:tr>
      <w:tr w14:paraId="3A24D69C">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03" w:type="pct"/>
            <w:vAlign w:val="center"/>
          </w:tcPr>
          <w:p w14:paraId="13F4231C">
            <w:pPr>
              <w:jc w:val="center"/>
              <w:rPr>
                <w:color w:val="auto"/>
                <w:kern w:val="0"/>
                <w:szCs w:val="21"/>
                <w:highlight w:val="none"/>
              </w:rPr>
            </w:pPr>
            <w:r>
              <w:rPr>
                <w:color w:val="auto"/>
                <w:kern w:val="0"/>
                <w:szCs w:val="21"/>
                <w:highlight w:val="none"/>
              </w:rPr>
              <w:t>厂界噪声</w:t>
            </w:r>
          </w:p>
        </w:tc>
        <w:tc>
          <w:tcPr>
            <w:tcW w:w="1215" w:type="pct"/>
            <w:vAlign w:val="center"/>
          </w:tcPr>
          <w:p w14:paraId="511E1DCE">
            <w:pPr>
              <w:jc w:val="center"/>
              <w:rPr>
                <w:color w:val="auto"/>
                <w:kern w:val="0"/>
                <w:szCs w:val="21"/>
                <w:highlight w:val="none"/>
              </w:rPr>
            </w:pPr>
            <w:r>
              <w:rPr>
                <w:color w:val="auto"/>
                <w:kern w:val="0"/>
                <w:szCs w:val="21"/>
                <w:highlight w:val="none"/>
              </w:rPr>
              <w:t>Leq（A）</w:t>
            </w:r>
          </w:p>
        </w:tc>
        <w:tc>
          <w:tcPr>
            <w:tcW w:w="1323" w:type="pct"/>
            <w:vAlign w:val="center"/>
          </w:tcPr>
          <w:p w14:paraId="422B57CD">
            <w:pPr>
              <w:jc w:val="center"/>
              <w:rPr>
                <w:rFonts w:hint="default" w:eastAsia="宋体"/>
                <w:color w:val="auto"/>
                <w:kern w:val="0"/>
                <w:szCs w:val="21"/>
                <w:highlight w:val="none"/>
                <w:lang w:val="en-US" w:eastAsia="zh-CN"/>
              </w:rPr>
            </w:pPr>
            <w:r>
              <w:rPr>
                <w:color w:val="auto"/>
                <w:kern w:val="0"/>
                <w:szCs w:val="21"/>
                <w:highlight w:val="none"/>
              </w:rPr>
              <w:t>项目厂界</w:t>
            </w:r>
            <w:r>
              <w:rPr>
                <w:rFonts w:hint="eastAsia"/>
                <w:color w:val="auto"/>
                <w:kern w:val="0"/>
                <w:szCs w:val="21"/>
                <w:highlight w:val="none"/>
                <w:lang w:eastAsia="zh-CN"/>
              </w:rPr>
              <w:t>四周各</w:t>
            </w:r>
            <w:r>
              <w:rPr>
                <w:rFonts w:hint="eastAsia"/>
                <w:color w:val="auto"/>
                <w:kern w:val="0"/>
                <w:szCs w:val="21"/>
                <w:highlight w:val="none"/>
                <w:lang w:val="en-US" w:eastAsia="zh-CN"/>
              </w:rPr>
              <w:t>1个</w:t>
            </w:r>
          </w:p>
        </w:tc>
        <w:tc>
          <w:tcPr>
            <w:tcW w:w="777" w:type="pct"/>
            <w:vAlign w:val="center"/>
          </w:tcPr>
          <w:p w14:paraId="1770D32D">
            <w:pPr>
              <w:jc w:val="center"/>
              <w:rPr>
                <w:color w:val="auto"/>
                <w:kern w:val="0"/>
                <w:szCs w:val="21"/>
                <w:highlight w:val="none"/>
              </w:rPr>
            </w:pPr>
            <w:r>
              <w:rPr>
                <w:color w:val="auto"/>
                <w:kern w:val="0"/>
                <w:szCs w:val="21"/>
                <w:highlight w:val="none"/>
              </w:rPr>
              <w:t>每季度1次</w:t>
            </w:r>
          </w:p>
        </w:tc>
        <w:tc>
          <w:tcPr>
            <w:tcW w:w="473" w:type="pct"/>
            <w:vMerge w:val="continue"/>
            <w:vAlign w:val="center"/>
          </w:tcPr>
          <w:p w14:paraId="0CE4FB95">
            <w:pPr>
              <w:jc w:val="center"/>
              <w:rPr>
                <w:color w:val="auto"/>
                <w:kern w:val="0"/>
                <w:szCs w:val="21"/>
                <w:highlight w:val="none"/>
              </w:rPr>
            </w:pPr>
          </w:p>
        </w:tc>
        <w:tc>
          <w:tcPr>
            <w:tcW w:w="805" w:type="pct"/>
            <w:vMerge w:val="continue"/>
            <w:vAlign w:val="center"/>
          </w:tcPr>
          <w:p w14:paraId="4D7722E0">
            <w:pPr>
              <w:jc w:val="center"/>
              <w:rPr>
                <w:color w:val="auto"/>
                <w:kern w:val="0"/>
                <w:szCs w:val="21"/>
                <w:highlight w:val="none"/>
              </w:rPr>
            </w:pPr>
          </w:p>
        </w:tc>
      </w:tr>
      <w:tr w14:paraId="664FC64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03" w:type="pct"/>
            <w:vAlign w:val="center"/>
          </w:tcPr>
          <w:p w14:paraId="16830D22">
            <w:pPr>
              <w:ind w:right="-304" w:rightChars="-145" w:firstLine="105" w:firstLineChars="50"/>
              <w:rPr>
                <w:color w:val="auto"/>
                <w:kern w:val="0"/>
                <w:szCs w:val="21"/>
                <w:highlight w:val="none"/>
              </w:rPr>
            </w:pPr>
            <w:r>
              <w:rPr>
                <w:color w:val="auto"/>
                <w:kern w:val="0"/>
                <w:szCs w:val="21"/>
                <w:highlight w:val="none"/>
              </w:rPr>
              <w:t>土壤</w:t>
            </w:r>
          </w:p>
        </w:tc>
        <w:tc>
          <w:tcPr>
            <w:tcW w:w="1215" w:type="pct"/>
            <w:vAlign w:val="center"/>
          </w:tcPr>
          <w:p w14:paraId="740A0C6A">
            <w:pPr>
              <w:jc w:val="center"/>
              <w:rPr>
                <w:rFonts w:hint="default" w:eastAsia="宋体"/>
                <w:color w:val="auto"/>
                <w:kern w:val="0"/>
                <w:szCs w:val="21"/>
                <w:highlight w:val="none"/>
                <w:lang w:val="en-US" w:eastAsia="zh-CN"/>
              </w:rPr>
            </w:pPr>
            <w:r>
              <w:rPr>
                <w:color w:val="auto"/>
                <w:kern w:val="0"/>
                <w:szCs w:val="21"/>
                <w:highlight w:val="none"/>
              </w:rPr>
              <w:t>pH</w:t>
            </w:r>
            <w:r>
              <w:rPr>
                <w:rFonts w:hint="eastAsia"/>
                <w:color w:val="auto"/>
                <w:kern w:val="0"/>
                <w:szCs w:val="21"/>
                <w:highlight w:val="none"/>
                <w:lang w:val="en-US" w:eastAsia="zh-CN"/>
              </w:rPr>
              <w:t>、</w:t>
            </w:r>
            <w:r>
              <w:rPr>
                <w:rFonts w:hint="eastAsia"/>
                <w:color w:val="auto"/>
                <w:szCs w:val="21"/>
              </w:rPr>
              <w:t>砷</w:t>
            </w:r>
            <w:r>
              <w:rPr>
                <w:rFonts w:hint="eastAsia"/>
                <w:color w:val="auto"/>
                <w:szCs w:val="21"/>
                <w:lang w:eastAsia="zh-CN"/>
              </w:rPr>
              <w:t>、</w:t>
            </w:r>
            <w:r>
              <w:rPr>
                <w:rFonts w:hint="eastAsia"/>
                <w:color w:val="auto"/>
                <w:szCs w:val="21"/>
              </w:rPr>
              <w:t>镉</w:t>
            </w:r>
            <w:r>
              <w:rPr>
                <w:rFonts w:hint="eastAsia"/>
                <w:color w:val="auto"/>
                <w:szCs w:val="21"/>
                <w:lang w:eastAsia="zh-CN"/>
              </w:rPr>
              <w:t>、</w:t>
            </w:r>
            <w:r>
              <w:rPr>
                <w:rFonts w:hint="eastAsia"/>
                <w:color w:val="auto"/>
                <w:szCs w:val="21"/>
              </w:rPr>
              <w:t>六价铬</w:t>
            </w:r>
            <w:r>
              <w:rPr>
                <w:rFonts w:hint="eastAsia"/>
                <w:color w:val="auto"/>
                <w:szCs w:val="21"/>
                <w:lang w:eastAsia="zh-CN"/>
              </w:rPr>
              <w:t>、</w:t>
            </w:r>
            <w:r>
              <w:rPr>
                <w:rFonts w:hint="eastAsia"/>
                <w:color w:val="auto"/>
                <w:szCs w:val="21"/>
              </w:rPr>
              <w:t>铜</w:t>
            </w:r>
            <w:r>
              <w:rPr>
                <w:rFonts w:hint="eastAsia"/>
                <w:color w:val="auto"/>
                <w:szCs w:val="21"/>
                <w:lang w:eastAsia="zh-CN"/>
              </w:rPr>
              <w:t>、</w:t>
            </w:r>
            <w:r>
              <w:rPr>
                <w:rFonts w:hint="eastAsia"/>
                <w:color w:val="auto"/>
                <w:szCs w:val="21"/>
              </w:rPr>
              <w:t>铅</w:t>
            </w:r>
            <w:r>
              <w:rPr>
                <w:rFonts w:hint="eastAsia"/>
                <w:color w:val="auto"/>
                <w:szCs w:val="21"/>
                <w:lang w:eastAsia="zh-CN"/>
              </w:rPr>
              <w:t>、</w:t>
            </w:r>
            <w:r>
              <w:rPr>
                <w:rFonts w:hint="eastAsia"/>
                <w:color w:val="auto"/>
                <w:szCs w:val="21"/>
              </w:rPr>
              <w:t>汞</w:t>
            </w:r>
            <w:r>
              <w:rPr>
                <w:rFonts w:hint="eastAsia"/>
                <w:color w:val="auto"/>
                <w:szCs w:val="21"/>
                <w:lang w:eastAsia="zh-CN"/>
              </w:rPr>
              <w:t>、</w:t>
            </w:r>
            <w:r>
              <w:rPr>
                <w:rFonts w:hint="eastAsia"/>
                <w:color w:val="auto"/>
                <w:szCs w:val="21"/>
              </w:rPr>
              <w:t>镍</w:t>
            </w:r>
            <w:r>
              <w:rPr>
                <w:rFonts w:hint="eastAsia"/>
                <w:color w:val="auto"/>
                <w:szCs w:val="21"/>
                <w:lang w:eastAsia="zh-CN"/>
              </w:rPr>
              <w:t>、</w:t>
            </w:r>
            <w:r>
              <w:rPr>
                <w:rFonts w:hint="eastAsia"/>
                <w:color w:val="auto"/>
                <w:szCs w:val="21"/>
              </w:rPr>
              <w:t>四氯化碳</w:t>
            </w:r>
            <w:r>
              <w:rPr>
                <w:rFonts w:hint="eastAsia"/>
                <w:color w:val="auto"/>
                <w:szCs w:val="21"/>
                <w:lang w:eastAsia="zh-CN"/>
              </w:rPr>
              <w:t>、</w:t>
            </w:r>
            <w:r>
              <w:rPr>
                <w:rFonts w:hint="eastAsia"/>
                <w:color w:val="auto"/>
                <w:szCs w:val="21"/>
              </w:rPr>
              <w:t>氯仿</w:t>
            </w:r>
            <w:r>
              <w:rPr>
                <w:rFonts w:hint="eastAsia"/>
                <w:color w:val="auto"/>
                <w:szCs w:val="21"/>
                <w:lang w:eastAsia="zh-CN"/>
              </w:rPr>
              <w:t>、</w:t>
            </w:r>
            <w:r>
              <w:rPr>
                <w:rFonts w:hint="eastAsia"/>
                <w:color w:val="auto"/>
                <w:szCs w:val="21"/>
              </w:rPr>
              <w:t>氯甲烷</w:t>
            </w:r>
            <w:r>
              <w:rPr>
                <w:rFonts w:hint="eastAsia"/>
                <w:color w:val="auto"/>
                <w:szCs w:val="21"/>
                <w:lang w:eastAsia="zh-CN"/>
              </w:rPr>
              <w:t>、</w:t>
            </w:r>
            <w:r>
              <w:rPr>
                <w:color w:val="auto"/>
                <w:szCs w:val="21"/>
              </w:rPr>
              <w:t>1,1-</w:t>
            </w:r>
            <w:r>
              <w:rPr>
                <w:rFonts w:hint="eastAsia"/>
                <w:color w:val="auto"/>
                <w:szCs w:val="21"/>
              </w:rPr>
              <w:t>二氯乙烷</w:t>
            </w:r>
            <w:r>
              <w:rPr>
                <w:rFonts w:hint="eastAsia"/>
                <w:color w:val="auto"/>
                <w:szCs w:val="21"/>
                <w:lang w:eastAsia="zh-CN"/>
              </w:rPr>
              <w:t>、</w:t>
            </w:r>
            <w:r>
              <w:rPr>
                <w:color w:val="auto"/>
                <w:szCs w:val="21"/>
              </w:rPr>
              <w:t>1,2-</w:t>
            </w:r>
            <w:r>
              <w:rPr>
                <w:rFonts w:hint="eastAsia"/>
                <w:color w:val="auto"/>
                <w:szCs w:val="21"/>
              </w:rPr>
              <w:t>二氯乙烷</w:t>
            </w:r>
            <w:r>
              <w:rPr>
                <w:rFonts w:hint="eastAsia"/>
                <w:color w:val="auto"/>
                <w:szCs w:val="21"/>
                <w:lang w:eastAsia="zh-CN"/>
              </w:rPr>
              <w:t>、</w:t>
            </w:r>
            <w:r>
              <w:rPr>
                <w:color w:val="auto"/>
                <w:szCs w:val="21"/>
              </w:rPr>
              <w:t>1,1-</w:t>
            </w:r>
            <w:r>
              <w:rPr>
                <w:rFonts w:hint="eastAsia"/>
                <w:color w:val="auto"/>
                <w:szCs w:val="21"/>
              </w:rPr>
              <w:t>二氯乙烯</w:t>
            </w:r>
            <w:r>
              <w:rPr>
                <w:rFonts w:hint="eastAsia"/>
                <w:color w:val="auto"/>
                <w:szCs w:val="21"/>
                <w:lang w:eastAsia="zh-CN"/>
              </w:rPr>
              <w:t>、</w:t>
            </w:r>
            <w:r>
              <w:rPr>
                <w:rFonts w:hint="eastAsia"/>
                <w:color w:val="auto"/>
                <w:szCs w:val="21"/>
              </w:rPr>
              <w:t>顺</w:t>
            </w:r>
            <w:r>
              <w:rPr>
                <w:color w:val="auto"/>
                <w:szCs w:val="21"/>
              </w:rPr>
              <w:t>-1,2-</w:t>
            </w:r>
            <w:r>
              <w:rPr>
                <w:rFonts w:hint="eastAsia"/>
                <w:color w:val="auto"/>
                <w:szCs w:val="21"/>
              </w:rPr>
              <w:t>二氯乙烯</w:t>
            </w:r>
            <w:r>
              <w:rPr>
                <w:rFonts w:hint="eastAsia"/>
                <w:color w:val="auto"/>
                <w:szCs w:val="21"/>
                <w:lang w:eastAsia="zh-CN"/>
              </w:rPr>
              <w:t>、</w:t>
            </w:r>
            <w:r>
              <w:rPr>
                <w:rFonts w:hint="eastAsia"/>
                <w:color w:val="auto"/>
                <w:szCs w:val="21"/>
              </w:rPr>
              <w:t>反</w:t>
            </w:r>
            <w:r>
              <w:rPr>
                <w:color w:val="auto"/>
                <w:szCs w:val="21"/>
              </w:rPr>
              <w:t>-1,2-</w:t>
            </w:r>
            <w:r>
              <w:rPr>
                <w:rFonts w:hint="eastAsia"/>
                <w:color w:val="auto"/>
                <w:szCs w:val="21"/>
              </w:rPr>
              <w:t>二氯乙烯</w:t>
            </w:r>
            <w:r>
              <w:rPr>
                <w:rFonts w:hint="eastAsia"/>
                <w:color w:val="auto"/>
                <w:szCs w:val="21"/>
                <w:lang w:eastAsia="zh-CN"/>
              </w:rPr>
              <w:t>、</w:t>
            </w:r>
            <w:r>
              <w:rPr>
                <w:rFonts w:hint="eastAsia"/>
                <w:color w:val="auto"/>
                <w:szCs w:val="21"/>
              </w:rPr>
              <w:t>二氯甲烷</w:t>
            </w:r>
            <w:r>
              <w:rPr>
                <w:rFonts w:hint="eastAsia"/>
                <w:color w:val="auto"/>
                <w:szCs w:val="21"/>
                <w:lang w:eastAsia="zh-CN"/>
              </w:rPr>
              <w:t>、</w:t>
            </w:r>
            <w:r>
              <w:rPr>
                <w:color w:val="auto"/>
                <w:szCs w:val="21"/>
              </w:rPr>
              <w:t>1,2-</w:t>
            </w:r>
            <w:r>
              <w:rPr>
                <w:rFonts w:hint="eastAsia"/>
                <w:color w:val="auto"/>
                <w:szCs w:val="21"/>
              </w:rPr>
              <w:t>二氯丙烷</w:t>
            </w:r>
            <w:r>
              <w:rPr>
                <w:rFonts w:hint="eastAsia"/>
                <w:color w:val="auto"/>
                <w:szCs w:val="21"/>
                <w:lang w:eastAsia="zh-CN"/>
              </w:rPr>
              <w:t>、</w:t>
            </w:r>
            <w:r>
              <w:rPr>
                <w:color w:val="auto"/>
                <w:szCs w:val="21"/>
              </w:rPr>
              <w:t>1,1,1,2-</w:t>
            </w:r>
            <w:r>
              <w:rPr>
                <w:rFonts w:hint="eastAsia"/>
                <w:color w:val="auto"/>
                <w:szCs w:val="21"/>
              </w:rPr>
              <w:t>四氯乙烷</w:t>
            </w:r>
            <w:r>
              <w:rPr>
                <w:rFonts w:hint="eastAsia"/>
                <w:color w:val="auto"/>
                <w:szCs w:val="21"/>
                <w:lang w:eastAsia="zh-CN"/>
              </w:rPr>
              <w:t>、</w:t>
            </w:r>
            <w:r>
              <w:rPr>
                <w:color w:val="auto"/>
                <w:szCs w:val="21"/>
              </w:rPr>
              <w:t>1,1,2,2-</w:t>
            </w:r>
            <w:r>
              <w:rPr>
                <w:rFonts w:hint="eastAsia"/>
                <w:color w:val="auto"/>
                <w:szCs w:val="21"/>
              </w:rPr>
              <w:t>四氯乙烷</w:t>
            </w:r>
            <w:r>
              <w:rPr>
                <w:rFonts w:hint="eastAsia"/>
                <w:color w:val="auto"/>
                <w:szCs w:val="21"/>
                <w:lang w:eastAsia="zh-CN"/>
              </w:rPr>
              <w:t>、</w:t>
            </w:r>
            <w:r>
              <w:rPr>
                <w:rFonts w:hint="eastAsia"/>
                <w:color w:val="auto"/>
                <w:szCs w:val="21"/>
              </w:rPr>
              <w:t>四氯乙烯</w:t>
            </w:r>
            <w:r>
              <w:rPr>
                <w:rFonts w:hint="eastAsia"/>
                <w:color w:val="auto"/>
                <w:szCs w:val="21"/>
                <w:lang w:eastAsia="zh-CN"/>
              </w:rPr>
              <w:t>、</w:t>
            </w:r>
            <w:r>
              <w:rPr>
                <w:color w:val="auto"/>
                <w:szCs w:val="21"/>
              </w:rPr>
              <w:t>1,1,1-</w:t>
            </w:r>
            <w:r>
              <w:rPr>
                <w:rFonts w:hint="eastAsia"/>
                <w:color w:val="auto"/>
                <w:szCs w:val="21"/>
              </w:rPr>
              <w:t>三氯乙烷</w:t>
            </w:r>
            <w:r>
              <w:rPr>
                <w:rFonts w:hint="eastAsia"/>
                <w:color w:val="auto"/>
                <w:szCs w:val="21"/>
                <w:lang w:eastAsia="zh-CN"/>
              </w:rPr>
              <w:t>、</w:t>
            </w:r>
            <w:r>
              <w:rPr>
                <w:color w:val="auto"/>
                <w:szCs w:val="21"/>
              </w:rPr>
              <w:t>1,1,2-</w:t>
            </w:r>
            <w:r>
              <w:rPr>
                <w:rFonts w:hint="eastAsia"/>
                <w:color w:val="auto"/>
                <w:szCs w:val="21"/>
              </w:rPr>
              <w:t>三氯乙烯烷</w:t>
            </w:r>
            <w:r>
              <w:rPr>
                <w:rFonts w:hint="eastAsia"/>
                <w:color w:val="auto"/>
                <w:szCs w:val="21"/>
                <w:lang w:eastAsia="zh-CN"/>
              </w:rPr>
              <w:t>、</w:t>
            </w:r>
            <w:r>
              <w:rPr>
                <w:rFonts w:hint="eastAsia"/>
                <w:color w:val="auto"/>
                <w:szCs w:val="21"/>
              </w:rPr>
              <w:t>三氯乙烯</w:t>
            </w:r>
            <w:r>
              <w:rPr>
                <w:rFonts w:hint="eastAsia"/>
                <w:color w:val="auto"/>
                <w:szCs w:val="21"/>
                <w:lang w:eastAsia="zh-CN"/>
              </w:rPr>
              <w:t>、</w:t>
            </w:r>
            <w:r>
              <w:rPr>
                <w:color w:val="auto"/>
                <w:szCs w:val="21"/>
              </w:rPr>
              <w:t>1,2,3</w:t>
            </w:r>
            <w:r>
              <w:rPr>
                <w:rFonts w:hint="eastAsia"/>
                <w:color w:val="auto"/>
                <w:szCs w:val="21"/>
              </w:rPr>
              <w:t>，</w:t>
            </w:r>
            <w:r>
              <w:rPr>
                <w:color w:val="auto"/>
                <w:szCs w:val="21"/>
              </w:rPr>
              <w:t>-</w:t>
            </w:r>
            <w:r>
              <w:rPr>
                <w:rFonts w:hint="eastAsia"/>
                <w:color w:val="auto"/>
                <w:szCs w:val="21"/>
              </w:rPr>
              <w:t>三氯丙烷</w:t>
            </w:r>
            <w:r>
              <w:rPr>
                <w:rFonts w:hint="eastAsia"/>
                <w:color w:val="auto"/>
                <w:szCs w:val="21"/>
                <w:lang w:eastAsia="zh-CN"/>
              </w:rPr>
              <w:t>、</w:t>
            </w:r>
            <w:r>
              <w:rPr>
                <w:rFonts w:hint="eastAsia"/>
                <w:color w:val="auto"/>
                <w:szCs w:val="21"/>
              </w:rPr>
              <w:t>氯乙烯</w:t>
            </w:r>
            <w:r>
              <w:rPr>
                <w:rFonts w:hint="eastAsia"/>
                <w:color w:val="auto"/>
                <w:szCs w:val="21"/>
                <w:lang w:eastAsia="zh-CN"/>
              </w:rPr>
              <w:t>、</w:t>
            </w:r>
            <w:r>
              <w:rPr>
                <w:rFonts w:hint="eastAsia"/>
                <w:color w:val="auto"/>
                <w:szCs w:val="21"/>
              </w:rPr>
              <w:t>苯</w:t>
            </w:r>
            <w:r>
              <w:rPr>
                <w:rFonts w:hint="eastAsia"/>
                <w:color w:val="auto"/>
                <w:szCs w:val="21"/>
                <w:lang w:eastAsia="zh-CN"/>
              </w:rPr>
              <w:t>、</w:t>
            </w:r>
            <w:r>
              <w:rPr>
                <w:rFonts w:hint="eastAsia"/>
                <w:color w:val="auto"/>
                <w:szCs w:val="21"/>
              </w:rPr>
              <w:t>氯苯</w:t>
            </w:r>
            <w:r>
              <w:rPr>
                <w:rFonts w:hint="eastAsia"/>
                <w:color w:val="auto"/>
                <w:szCs w:val="21"/>
                <w:lang w:eastAsia="zh-CN"/>
              </w:rPr>
              <w:t>、</w:t>
            </w:r>
            <w:r>
              <w:rPr>
                <w:color w:val="auto"/>
                <w:szCs w:val="21"/>
              </w:rPr>
              <w:t>1,2-</w:t>
            </w:r>
            <w:r>
              <w:rPr>
                <w:rFonts w:hint="eastAsia"/>
                <w:color w:val="auto"/>
                <w:szCs w:val="21"/>
              </w:rPr>
              <w:t>二氯苯</w:t>
            </w:r>
            <w:r>
              <w:rPr>
                <w:rFonts w:hint="eastAsia"/>
                <w:color w:val="auto"/>
                <w:szCs w:val="21"/>
                <w:lang w:eastAsia="zh-CN"/>
              </w:rPr>
              <w:t>、</w:t>
            </w:r>
            <w:r>
              <w:rPr>
                <w:color w:val="auto"/>
                <w:szCs w:val="21"/>
              </w:rPr>
              <w:t>1,4-</w:t>
            </w:r>
            <w:r>
              <w:rPr>
                <w:rFonts w:hint="eastAsia"/>
                <w:color w:val="auto"/>
                <w:szCs w:val="21"/>
              </w:rPr>
              <w:t>二氯苯</w:t>
            </w:r>
            <w:r>
              <w:rPr>
                <w:rFonts w:hint="eastAsia"/>
                <w:color w:val="auto"/>
                <w:szCs w:val="21"/>
                <w:lang w:eastAsia="zh-CN"/>
              </w:rPr>
              <w:t>、</w:t>
            </w:r>
            <w:r>
              <w:rPr>
                <w:rFonts w:hint="eastAsia"/>
                <w:color w:val="auto"/>
                <w:szCs w:val="21"/>
              </w:rPr>
              <w:t>乙苯</w:t>
            </w:r>
            <w:r>
              <w:rPr>
                <w:rFonts w:hint="eastAsia"/>
                <w:color w:val="auto"/>
                <w:szCs w:val="21"/>
                <w:lang w:eastAsia="zh-CN"/>
              </w:rPr>
              <w:t>、</w:t>
            </w:r>
            <w:r>
              <w:rPr>
                <w:rFonts w:hint="eastAsia"/>
                <w:color w:val="auto"/>
                <w:szCs w:val="21"/>
              </w:rPr>
              <w:t>苯乙烯</w:t>
            </w:r>
            <w:r>
              <w:rPr>
                <w:rFonts w:hint="eastAsia"/>
                <w:color w:val="auto"/>
                <w:szCs w:val="21"/>
                <w:lang w:eastAsia="zh-CN"/>
              </w:rPr>
              <w:t>、</w:t>
            </w:r>
            <w:r>
              <w:rPr>
                <w:rFonts w:hint="eastAsia"/>
                <w:color w:val="auto"/>
                <w:szCs w:val="21"/>
              </w:rPr>
              <w:t>甲苯</w:t>
            </w:r>
            <w:r>
              <w:rPr>
                <w:rFonts w:hint="eastAsia"/>
                <w:color w:val="auto"/>
                <w:szCs w:val="21"/>
                <w:lang w:eastAsia="zh-CN"/>
              </w:rPr>
              <w:t>、</w:t>
            </w:r>
            <w:r>
              <w:rPr>
                <w:rFonts w:hint="eastAsia"/>
                <w:color w:val="auto"/>
                <w:szCs w:val="21"/>
              </w:rPr>
              <w:t>间二甲苯</w:t>
            </w:r>
            <w:r>
              <w:rPr>
                <w:color w:val="auto"/>
                <w:szCs w:val="21"/>
              </w:rPr>
              <w:t>+</w:t>
            </w:r>
            <w:r>
              <w:rPr>
                <w:rFonts w:hint="eastAsia"/>
                <w:color w:val="auto"/>
                <w:szCs w:val="21"/>
              </w:rPr>
              <w:t>对二甲苯</w:t>
            </w:r>
            <w:r>
              <w:rPr>
                <w:rFonts w:hint="eastAsia"/>
                <w:color w:val="auto"/>
                <w:szCs w:val="21"/>
                <w:lang w:eastAsia="zh-CN"/>
              </w:rPr>
              <w:t>、</w:t>
            </w:r>
            <w:r>
              <w:rPr>
                <w:rFonts w:hint="eastAsia"/>
                <w:color w:val="auto"/>
                <w:szCs w:val="21"/>
              </w:rPr>
              <w:t>邻二甲苯</w:t>
            </w:r>
            <w:r>
              <w:rPr>
                <w:rFonts w:hint="eastAsia"/>
                <w:color w:val="auto"/>
                <w:szCs w:val="21"/>
                <w:lang w:eastAsia="zh-CN"/>
              </w:rPr>
              <w:t>、</w:t>
            </w:r>
            <w:r>
              <w:rPr>
                <w:rFonts w:hint="eastAsia"/>
                <w:color w:val="auto"/>
                <w:szCs w:val="21"/>
              </w:rPr>
              <w:t>硝基苯</w:t>
            </w:r>
            <w:r>
              <w:rPr>
                <w:rFonts w:hint="eastAsia"/>
                <w:color w:val="auto"/>
                <w:szCs w:val="21"/>
                <w:lang w:eastAsia="zh-CN"/>
              </w:rPr>
              <w:t>、</w:t>
            </w:r>
            <w:r>
              <w:rPr>
                <w:rFonts w:hint="eastAsia"/>
                <w:color w:val="auto"/>
                <w:szCs w:val="21"/>
              </w:rPr>
              <w:t>苯胺</w:t>
            </w:r>
            <w:r>
              <w:rPr>
                <w:rFonts w:hint="eastAsia"/>
                <w:color w:val="auto"/>
                <w:szCs w:val="21"/>
                <w:lang w:eastAsia="zh-CN"/>
              </w:rPr>
              <w:t>、</w:t>
            </w:r>
            <w:r>
              <w:rPr>
                <w:color w:val="auto"/>
                <w:szCs w:val="21"/>
              </w:rPr>
              <w:t>2-</w:t>
            </w:r>
            <w:r>
              <w:rPr>
                <w:rFonts w:hint="eastAsia"/>
                <w:color w:val="auto"/>
                <w:szCs w:val="21"/>
              </w:rPr>
              <w:t>氯酚</w:t>
            </w:r>
            <w:r>
              <w:rPr>
                <w:rFonts w:hint="eastAsia"/>
                <w:color w:val="auto"/>
                <w:szCs w:val="21"/>
                <w:lang w:eastAsia="zh-CN"/>
              </w:rPr>
              <w:t>、</w:t>
            </w:r>
            <w:r>
              <w:rPr>
                <w:rFonts w:hint="eastAsia"/>
                <w:color w:val="auto"/>
                <w:szCs w:val="21"/>
              </w:rPr>
              <w:t>苯并</w:t>
            </w:r>
            <w:r>
              <w:rPr>
                <w:color w:val="auto"/>
                <w:szCs w:val="21"/>
              </w:rPr>
              <w:t>[a]</w:t>
            </w:r>
            <w:r>
              <w:rPr>
                <w:rFonts w:hint="eastAsia"/>
                <w:color w:val="auto"/>
                <w:szCs w:val="21"/>
              </w:rPr>
              <w:t>蒽</w:t>
            </w:r>
            <w:r>
              <w:rPr>
                <w:rFonts w:hint="eastAsia"/>
                <w:color w:val="auto"/>
                <w:szCs w:val="21"/>
                <w:lang w:eastAsia="zh-CN"/>
              </w:rPr>
              <w:t>、</w:t>
            </w:r>
            <w:r>
              <w:rPr>
                <w:rFonts w:hint="eastAsia"/>
                <w:color w:val="auto"/>
                <w:szCs w:val="21"/>
              </w:rPr>
              <w:t>苯并</w:t>
            </w:r>
            <w:r>
              <w:rPr>
                <w:color w:val="auto"/>
                <w:szCs w:val="21"/>
              </w:rPr>
              <w:t>[a]</w:t>
            </w:r>
            <w:r>
              <w:rPr>
                <w:rFonts w:hint="eastAsia"/>
                <w:color w:val="auto"/>
                <w:szCs w:val="21"/>
              </w:rPr>
              <w:t>芘</w:t>
            </w:r>
            <w:r>
              <w:rPr>
                <w:rFonts w:hint="eastAsia"/>
                <w:color w:val="auto"/>
                <w:szCs w:val="21"/>
                <w:lang w:eastAsia="zh-CN"/>
              </w:rPr>
              <w:t>、</w:t>
            </w:r>
            <w:r>
              <w:rPr>
                <w:rFonts w:hint="eastAsia"/>
                <w:color w:val="auto"/>
                <w:szCs w:val="21"/>
              </w:rPr>
              <w:t>苯并荧</w:t>
            </w:r>
            <w:r>
              <w:rPr>
                <w:color w:val="auto"/>
                <w:szCs w:val="21"/>
              </w:rPr>
              <w:t>[b]</w:t>
            </w:r>
            <w:r>
              <w:rPr>
                <w:rFonts w:hint="eastAsia"/>
                <w:color w:val="auto"/>
                <w:szCs w:val="21"/>
              </w:rPr>
              <w:t>蒽</w:t>
            </w:r>
            <w:r>
              <w:rPr>
                <w:rFonts w:hint="eastAsia"/>
                <w:color w:val="auto"/>
                <w:szCs w:val="21"/>
                <w:lang w:eastAsia="zh-CN"/>
              </w:rPr>
              <w:t>、</w:t>
            </w:r>
            <w:r>
              <w:rPr>
                <w:rFonts w:hint="eastAsia"/>
                <w:color w:val="auto"/>
                <w:szCs w:val="21"/>
              </w:rPr>
              <w:t>苯并荧</w:t>
            </w:r>
            <w:r>
              <w:rPr>
                <w:color w:val="auto"/>
                <w:szCs w:val="21"/>
              </w:rPr>
              <w:t>[k]</w:t>
            </w:r>
            <w:r>
              <w:rPr>
                <w:rFonts w:hint="eastAsia"/>
                <w:color w:val="auto"/>
                <w:szCs w:val="21"/>
              </w:rPr>
              <w:t>蒽</w:t>
            </w:r>
            <w:r>
              <w:rPr>
                <w:rFonts w:hint="eastAsia"/>
                <w:color w:val="auto"/>
                <w:szCs w:val="21"/>
                <w:lang w:eastAsia="zh-CN"/>
              </w:rPr>
              <w:t>、</w:t>
            </w:r>
            <w:r>
              <w:rPr>
                <w:rFonts w:hint="eastAsia"/>
                <w:color w:val="auto"/>
                <w:szCs w:val="21"/>
              </w:rPr>
              <w:t>䓛</w:t>
            </w:r>
            <w:r>
              <w:rPr>
                <w:rFonts w:hint="eastAsia"/>
                <w:color w:val="auto"/>
                <w:szCs w:val="21"/>
                <w:lang w:eastAsia="zh-CN"/>
              </w:rPr>
              <w:t>、</w:t>
            </w:r>
            <w:r>
              <w:rPr>
                <w:rFonts w:hint="eastAsia"/>
                <w:color w:val="auto"/>
                <w:szCs w:val="21"/>
              </w:rPr>
              <w:t>二苯并</w:t>
            </w:r>
            <w:r>
              <w:rPr>
                <w:color w:val="auto"/>
                <w:szCs w:val="21"/>
              </w:rPr>
              <w:t>[a,h]</w:t>
            </w:r>
            <w:r>
              <w:rPr>
                <w:rFonts w:hint="eastAsia"/>
                <w:color w:val="auto"/>
                <w:szCs w:val="21"/>
              </w:rPr>
              <w:t>蒽</w:t>
            </w:r>
            <w:r>
              <w:rPr>
                <w:rFonts w:hint="eastAsia"/>
                <w:color w:val="auto"/>
                <w:szCs w:val="21"/>
                <w:lang w:eastAsia="zh-CN"/>
              </w:rPr>
              <w:t>、</w:t>
            </w:r>
            <w:r>
              <w:rPr>
                <w:rFonts w:hint="eastAsia"/>
                <w:color w:val="auto"/>
                <w:szCs w:val="21"/>
              </w:rPr>
              <w:t>茚并</w:t>
            </w:r>
            <w:r>
              <w:rPr>
                <w:color w:val="auto"/>
                <w:szCs w:val="21"/>
              </w:rPr>
              <w:t>[1,2,3-cd]</w:t>
            </w:r>
            <w:r>
              <w:rPr>
                <w:rFonts w:hint="eastAsia"/>
                <w:color w:val="auto"/>
                <w:szCs w:val="21"/>
              </w:rPr>
              <w:t>芘</w:t>
            </w:r>
            <w:r>
              <w:rPr>
                <w:rFonts w:hint="eastAsia"/>
                <w:color w:val="auto"/>
                <w:szCs w:val="21"/>
                <w:lang w:eastAsia="zh-CN"/>
              </w:rPr>
              <w:t>、</w:t>
            </w:r>
            <w:r>
              <w:rPr>
                <w:rFonts w:hint="eastAsia"/>
                <w:color w:val="auto"/>
                <w:szCs w:val="21"/>
              </w:rPr>
              <w:t>萘</w:t>
            </w:r>
          </w:p>
        </w:tc>
        <w:tc>
          <w:tcPr>
            <w:tcW w:w="1323" w:type="pct"/>
            <w:vAlign w:val="center"/>
          </w:tcPr>
          <w:p w14:paraId="61E379F6">
            <w:pPr>
              <w:jc w:val="center"/>
              <w:rPr>
                <w:color w:val="auto"/>
                <w:kern w:val="0"/>
                <w:szCs w:val="21"/>
                <w:highlight w:val="none"/>
              </w:rPr>
            </w:pPr>
            <w:r>
              <w:rPr>
                <w:color w:val="auto"/>
                <w:kern w:val="0"/>
                <w:szCs w:val="21"/>
                <w:highlight w:val="none"/>
              </w:rPr>
              <w:t>项目厂区内</w:t>
            </w:r>
          </w:p>
        </w:tc>
        <w:tc>
          <w:tcPr>
            <w:tcW w:w="777" w:type="pct"/>
            <w:vAlign w:val="center"/>
          </w:tcPr>
          <w:p w14:paraId="0AB3C8D0">
            <w:pPr>
              <w:jc w:val="center"/>
              <w:rPr>
                <w:rFonts w:hint="default"/>
                <w:color w:val="auto"/>
                <w:kern w:val="0"/>
                <w:szCs w:val="21"/>
                <w:highlight w:val="none"/>
                <w:lang w:val="en-US"/>
              </w:rPr>
            </w:pPr>
            <w:r>
              <w:rPr>
                <w:rFonts w:hint="eastAsia"/>
                <w:color w:val="auto"/>
                <w:kern w:val="0"/>
                <w:szCs w:val="21"/>
                <w:highlight w:val="none"/>
                <w:lang w:val="en-US" w:eastAsia="zh-CN"/>
              </w:rPr>
              <w:t>必要时监测1次</w:t>
            </w:r>
          </w:p>
        </w:tc>
        <w:tc>
          <w:tcPr>
            <w:tcW w:w="473" w:type="pct"/>
            <w:vMerge w:val="continue"/>
            <w:vAlign w:val="center"/>
          </w:tcPr>
          <w:p w14:paraId="733BCF88">
            <w:pPr>
              <w:jc w:val="center"/>
              <w:rPr>
                <w:color w:val="auto"/>
                <w:kern w:val="0"/>
                <w:szCs w:val="21"/>
                <w:highlight w:val="none"/>
              </w:rPr>
            </w:pPr>
          </w:p>
        </w:tc>
        <w:tc>
          <w:tcPr>
            <w:tcW w:w="805" w:type="pct"/>
            <w:vMerge w:val="continue"/>
            <w:vAlign w:val="center"/>
          </w:tcPr>
          <w:p w14:paraId="3D7D1304">
            <w:pPr>
              <w:jc w:val="center"/>
              <w:rPr>
                <w:color w:val="auto"/>
                <w:kern w:val="0"/>
                <w:szCs w:val="21"/>
                <w:highlight w:val="none"/>
              </w:rPr>
            </w:pPr>
          </w:p>
        </w:tc>
      </w:tr>
    </w:tbl>
    <w:p w14:paraId="31FB3CE9">
      <w:pPr>
        <w:keepNext/>
        <w:keepLines/>
        <w:spacing w:line="360" w:lineRule="auto"/>
        <w:outlineLvl w:val="1"/>
        <w:rPr>
          <w:b/>
          <w:color w:val="auto"/>
          <w:sz w:val="30"/>
        </w:rPr>
      </w:pPr>
      <w:bookmarkStart w:id="444" w:name="_Toc23512"/>
      <w:bookmarkStart w:id="445" w:name="_Toc248725894"/>
      <w:bookmarkStart w:id="446" w:name="_Toc7890"/>
      <w:bookmarkStart w:id="447" w:name="_Toc219516682"/>
      <w:bookmarkStart w:id="448" w:name="_Toc23340"/>
      <w:r>
        <w:rPr>
          <w:b/>
          <w:color w:val="auto"/>
          <w:sz w:val="30"/>
        </w:rPr>
        <w:t>9.3“三同时”验收一览表</w:t>
      </w:r>
      <w:bookmarkEnd w:id="444"/>
      <w:bookmarkEnd w:id="445"/>
      <w:bookmarkEnd w:id="446"/>
      <w:bookmarkEnd w:id="447"/>
      <w:bookmarkEnd w:id="448"/>
    </w:p>
    <w:p w14:paraId="2A281CC8">
      <w:pPr>
        <w:adjustRightInd w:val="0"/>
        <w:snapToGrid w:val="0"/>
        <w:spacing w:line="360" w:lineRule="auto"/>
        <w:ind w:firstLine="480" w:firstLineChars="200"/>
        <w:rPr>
          <w:color w:val="auto"/>
          <w:sz w:val="24"/>
        </w:rPr>
      </w:pPr>
      <w:r>
        <w:rPr>
          <w:color w:val="auto"/>
          <w:sz w:val="24"/>
        </w:rPr>
        <w:t>本项目完成竣工投入试运行至工况正常后，应组织进行自主验收，对所建设的各环保设施及所采取的各项环保措施进行竣工验收。本项目“三同时”验收内容见表9</w:t>
      </w:r>
      <w:r>
        <w:rPr>
          <w:rFonts w:hint="eastAsia"/>
          <w:color w:val="auto"/>
          <w:sz w:val="24"/>
          <w:lang w:val="en-US" w:eastAsia="zh-CN"/>
        </w:rPr>
        <w:t>.3-1</w:t>
      </w:r>
      <w:r>
        <w:rPr>
          <w:color w:val="auto"/>
          <w:sz w:val="24"/>
        </w:rPr>
        <w:t>。</w:t>
      </w:r>
    </w:p>
    <w:p w14:paraId="4B5B21B2">
      <w:pPr>
        <w:adjustRightInd w:val="0"/>
        <w:snapToGrid w:val="0"/>
        <w:jc w:val="center"/>
        <w:rPr>
          <w:b/>
          <w:color w:val="auto"/>
          <w:szCs w:val="21"/>
        </w:rPr>
      </w:pPr>
      <w:r>
        <w:rPr>
          <w:b/>
          <w:color w:val="auto"/>
          <w:szCs w:val="21"/>
        </w:rPr>
        <w:t>表9</w:t>
      </w:r>
      <w:r>
        <w:rPr>
          <w:rFonts w:hint="eastAsia"/>
          <w:b/>
          <w:color w:val="auto"/>
          <w:szCs w:val="21"/>
          <w:lang w:val="en-US" w:eastAsia="zh-CN"/>
        </w:rPr>
        <w:t xml:space="preserve">.3-1 </w:t>
      </w:r>
      <w:r>
        <w:rPr>
          <w:b/>
          <w:color w:val="auto"/>
          <w:szCs w:val="21"/>
        </w:rPr>
        <w:t xml:space="preserve">   工程环保设施及“三同时”验收一览表</w:t>
      </w:r>
    </w:p>
    <w:tbl>
      <w:tblPr>
        <w:tblStyle w:val="53"/>
        <w:tblW w:w="4995" w:type="pct"/>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37"/>
        <w:gridCol w:w="2031"/>
        <w:gridCol w:w="1547"/>
        <w:gridCol w:w="3563"/>
        <w:gridCol w:w="741"/>
      </w:tblGrid>
      <w:tr w14:paraId="4F22645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9" w:hRule="atLeast"/>
          <w:jc w:val="center"/>
        </w:trPr>
        <w:tc>
          <w:tcPr>
            <w:tcW w:w="374" w:type="pct"/>
            <w:tcBorders>
              <w:top w:val="double" w:color="auto" w:sz="4" w:space="0"/>
              <w:left w:val="nil"/>
              <w:bottom w:val="single" w:color="auto" w:sz="6" w:space="0"/>
              <w:right w:val="single" w:color="auto" w:sz="6" w:space="0"/>
            </w:tcBorders>
            <w:noWrap w:val="0"/>
            <w:vAlign w:val="center"/>
          </w:tcPr>
          <w:p w14:paraId="10F35D3F">
            <w:pPr>
              <w:jc w:val="center"/>
              <w:rPr>
                <w:color w:val="auto"/>
                <w:szCs w:val="21"/>
              </w:rPr>
            </w:pPr>
            <w:r>
              <w:rPr>
                <w:rFonts w:hint="eastAsia"/>
                <w:color w:val="auto"/>
                <w:szCs w:val="21"/>
              </w:rPr>
              <w:t>名称</w:t>
            </w:r>
          </w:p>
        </w:tc>
        <w:tc>
          <w:tcPr>
            <w:tcW w:w="1192" w:type="pct"/>
            <w:tcBorders>
              <w:top w:val="double" w:color="auto" w:sz="4" w:space="0"/>
              <w:left w:val="single" w:color="auto" w:sz="6" w:space="0"/>
              <w:bottom w:val="single" w:color="auto" w:sz="6" w:space="0"/>
              <w:right w:val="single" w:color="auto" w:sz="6" w:space="0"/>
            </w:tcBorders>
            <w:noWrap w:val="0"/>
            <w:vAlign w:val="center"/>
          </w:tcPr>
          <w:p w14:paraId="3026378B">
            <w:pPr>
              <w:jc w:val="center"/>
              <w:rPr>
                <w:color w:val="auto"/>
                <w:szCs w:val="21"/>
              </w:rPr>
            </w:pPr>
            <w:r>
              <w:rPr>
                <w:rFonts w:hint="eastAsia"/>
                <w:color w:val="auto"/>
                <w:szCs w:val="21"/>
              </w:rPr>
              <w:t>环保设施名称</w:t>
            </w:r>
          </w:p>
        </w:tc>
        <w:tc>
          <w:tcPr>
            <w:tcW w:w="908" w:type="pct"/>
            <w:tcBorders>
              <w:top w:val="double" w:color="auto" w:sz="4" w:space="0"/>
              <w:left w:val="single" w:color="auto" w:sz="6" w:space="0"/>
              <w:bottom w:val="single" w:color="auto" w:sz="6" w:space="0"/>
              <w:right w:val="single" w:color="auto" w:sz="6" w:space="0"/>
            </w:tcBorders>
            <w:noWrap w:val="0"/>
            <w:vAlign w:val="center"/>
          </w:tcPr>
          <w:p w14:paraId="5FD9E2E3">
            <w:pPr>
              <w:jc w:val="center"/>
              <w:rPr>
                <w:color w:val="auto"/>
                <w:szCs w:val="21"/>
              </w:rPr>
            </w:pPr>
            <w:r>
              <w:rPr>
                <w:rFonts w:hint="eastAsia"/>
                <w:color w:val="auto"/>
                <w:szCs w:val="21"/>
              </w:rPr>
              <w:t>规格</w:t>
            </w:r>
          </w:p>
        </w:tc>
        <w:tc>
          <w:tcPr>
            <w:tcW w:w="2091" w:type="pct"/>
            <w:tcBorders>
              <w:top w:val="double" w:color="auto" w:sz="4" w:space="0"/>
              <w:left w:val="single" w:color="auto" w:sz="6" w:space="0"/>
              <w:bottom w:val="single" w:color="auto" w:sz="6" w:space="0"/>
              <w:right w:val="single" w:color="auto" w:sz="6" w:space="0"/>
            </w:tcBorders>
            <w:noWrap w:val="0"/>
            <w:vAlign w:val="center"/>
          </w:tcPr>
          <w:p w14:paraId="23273FE6">
            <w:pPr>
              <w:jc w:val="center"/>
              <w:rPr>
                <w:color w:val="auto"/>
                <w:szCs w:val="21"/>
              </w:rPr>
            </w:pPr>
            <w:r>
              <w:rPr>
                <w:rFonts w:hint="eastAsia"/>
                <w:color w:val="auto"/>
                <w:szCs w:val="21"/>
              </w:rPr>
              <w:t>效果</w:t>
            </w:r>
          </w:p>
        </w:tc>
        <w:tc>
          <w:tcPr>
            <w:tcW w:w="434" w:type="pct"/>
            <w:tcBorders>
              <w:top w:val="double" w:color="auto" w:sz="4" w:space="0"/>
              <w:left w:val="single" w:color="auto" w:sz="6" w:space="0"/>
              <w:bottom w:val="single" w:color="auto" w:sz="6" w:space="0"/>
              <w:right w:val="nil"/>
            </w:tcBorders>
            <w:noWrap w:val="0"/>
            <w:vAlign w:val="center"/>
          </w:tcPr>
          <w:p w14:paraId="5CB7721A">
            <w:pPr>
              <w:jc w:val="center"/>
              <w:rPr>
                <w:color w:val="auto"/>
                <w:szCs w:val="21"/>
              </w:rPr>
            </w:pPr>
            <w:r>
              <w:rPr>
                <w:rFonts w:hint="eastAsia"/>
                <w:color w:val="auto"/>
                <w:szCs w:val="21"/>
              </w:rPr>
              <w:t>进度</w:t>
            </w:r>
          </w:p>
        </w:tc>
      </w:tr>
      <w:tr w14:paraId="0705BDB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8" w:hRule="atLeast"/>
          <w:jc w:val="center"/>
        </w:trPr>
        <w:tc>
          <w:tcPr>
            <w:tcW w:w="374" w:type="pct"/>
            <w:vMerge w:val="restart"/>
            <w:tcBorders>
              <w:top w:val="single" w:color="auto" w:sz="6" w:space="0"/>
              <w:left w:val="nil"/>
              <w:bottom w:val="single" w:color="auto" w:sz="6" w:space="0"/>
              <w:right w:val="single" w:color="auto" w:sz="6" w:space="0"/>
            </w:tcBorders>
            <w:noWrap w:val="0"/>
            <w:vAlign w:val="center"/>
          </w:tcPr>
          <w:p w14:paraId="1007C472">
            <w:pPr>
              <w:jc w:val="center"/>
              <w:rPr>
                <w:color w:val="auto"/>
                <w:szCs w:val="21"/>
              </w:rPr>
            </w:pPr>
            <w:r>
              <w:rPr>
                <w:rFonts w:hint="eastAsia"/>
                <w:color w:val="auto"/>
                <w:szCs w:val="21"/>
              </w:rPr>
              <w:t>废气</w:t>
            </w:r>
          </w:p>
        </w:tc>
        <w:tc>
          <w:tcPr>
            <w:tcW w:w="1192" w:type="pct"/>
            <w:tcBorders>
              <w:top w:val="single" w:color="auto" w:sz="6" w:space="0"/>
              <w:left w:val="single" w:color="auto" w:sz="6" w:space="0"/>
              <w:bottom w:val="single" w:color="auto" w:sz="6" w:space="0"/>
              <w:right w:val="single" w:color="auto" w:sz="6" w:space="0"/>
            </w:tcBorders>
            <w:noWrap w:val="0"/>
            <w:vAlign w:val="center"/>
          </w:tcPr>
          <w:p w14:paraId="2D1CA32A">
            <w:pPr>
              <w:adjustRightInd w:val="0"/>
              <w:snapToGrid w:val="0"/>
              <w:jc w:val="center"/>
              <w:rPr>
                <w:color w:val="auto"/>
                <w:szCs w:val="21"/>
              </w:rPr>
            </w:pPr>
            <w:r>
              <w:rPr>
                <w:color w:val="auto"/>
                <w:szCs w:val="21"/>
                <w:highlight w:val="none"/>
              </w:rPr>
              <w:t>鸡舍通风系统</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13C68E3B">
            <w:pPr>
              <w:adjustRightInd w:val="0"/>
              <w:snapToGrid w:val="0"/>
              <w:jc w:val="center"/>
              <w:rPr>
                <w:color w:val="auto"/>
                <w:szCs w:val="21"/>
              </w:rPr>
            </w:pPr>
            <w:r>
              <w:rPr>
                <w:rFonts w:hint="eastAsia"/>
                <w:color w:val="auto"/>
                <w:szCs w:val="21"/>
                <w:highlight w:val="none"/>
                <w:lang w:val="en-US" w:eastAsia="zh-CN"/>
              </w:rPr>
              <w:t>8</w:t>
            </w:r>
            <w:r>
              <w:rPr>
                <w:color w:val="auto"/>
                <w:szCs w:val="21"/>
                <w:highlight w:val="none"/>
              </w:rPr>
              <w:t>套</w:t>
            </w:r>
          </w:p>
        </w:tc>
        <w:tc>
          <w:tcPr>
            <w:tcW w:w="2091" w:type="pct"/>
            <w:vMerge w:val="restart"/>
            <w:tcBorders>
              <w:top w:val="single" w:color="auto" w:sz="6" w:space="0"/>
              <w:left w:val="single" w:color="auto" w:sz="6" w:space="0"/>
              <w:right w:val="single" w:color="auto" w:sz="6" w:space="0"/>
            </w:tcBorders>
            <w:noWrap w:val="0"/>
            <w:vAlign w:val="center"/>
          </w:tcPr>
          <w:p w14:paraId="46E48840">
            <w:pPr>
              <w:jc w:val="center"/>
              <w:rPr>
                <w:color w:val="auto"/>
                <w:szCs w:val="21"/>
              </w:rPr>
            </w:pPr>
            <w:r>
              <w:rPr>
                <w:rFonts w:hint="eastAsia"/>
                <w:color w:val="auto"/>
                <w:szCs w:val="21"/>
              </w:rPr>
              <w:t>满足《恶臭污染物排放标准》（</w:t>
            </w:r>
            <w:r>
              <w:rPr>
                <w:color w:val="auto"/>
                <w:szCs w:val="21"/>
              </w:rPr>
              <w:t>GB14554-93</w:t>
            </w:r>
            <w:r>
              <w:rPr>
                <w:rFonts w:hint="eastAsia"/>
                <w:color w:val="auto"/>
                <w:szCs w:val="21"/>
              </w:rPr>
              <w:t>）中厂界标准值</w:t>
            </w:r>
          </w:p>
        </w:tc>
        <w:tc>
          <w:tcPr>
            <w:tcW w:w="434" w:type="pct"/>
            <w:vMerge w:val="restart"/>
            <w:tcBorders>
              <w:top w:val="single" w:color="auto" w:sz="6" w:space="0"/>
              <w:left w:val="single" w:color="auto" w:sz="6" w:space="0"/>
              <w:right w:val="nil"/>
            </w:tcBorders>
            <w:noWrap w:val="0"/>
            <w:vAlign w:val="center"/>
          </w:tcPr>
          <w:p w14:paraId="7AD80E1E">
            <w:pPr>
              <w:jc w:val="center"/>
              <w:rPr>
                <w:color w:val="auto"/>
                <w:szCs w:val="21"/>
              </w:rPr>
            </w:pPr>
            <w:r>
              <w:rPr>
                <w:rFonts w:hint="eastAsia"/>
                <w:color w:val="auto"/>
                <w:szCs w:val="21"/>
              </w:rPr>
              <w:t>与</w:t>
            </w:r>
          </w:p>
          <w:p w14:paraId="73AA0B61">
            <w:pPr>
              <w:jc w:val="center"/>
              <w:rPr>
                <w:color w:val="auto"/>
                <w:szCs w:val="21"/>
              </w:rPr>
            </w:pPr>
            <w:r>
              <w:rPr>
                <w:rFonts w:hint="eastAsia"/>
                <w:color w:val="auto"/>
                <w:szCs w:val="21"/>
              </w:rPr>
              <w:t>建设</w:t>
            </w:r>
          </w:p>
          <w:p w14:paraId="47572B8A">
            <w:pPr>
              <w:jc w:val="center"/>
              <w:rPr>
                <w:color w:val="auto"/>
                <w:szCs w:val="21"/>
              </w:rPr>
            </w:pPr>
            <w:r>
              <w:rPr>
                <w:rFonts w:hint="eastAsia"/>
                <w:color w:val="auto"/>
                <w:szCs w:val="21"/>
              </w:rPr>
              <w:t>项目</w:t>
            </w:r>
          </w:p>
          <w:p w14:paraId="66E4A809">
            <w:pPr>
              <w:jc w:val="center"/>
              <w:rPr>
                <w:color w:val="auto"/>
                <w:szCs w:val="21"/>
              </w:rPr>
            </w:pPr>
            <w:r>
              <w:rPr>
                <w:rFonts w:hint="eastAsia"/>
                <w:color w:val="auto"/>
                <w:szCs w:val="21"/>
              </w:rPr>
              <w:t>同时</w:t>
            </w:r>
          </w:p>
          <w:p w14:paraId="0183D171">
            <w:pPr>
              <w:jc w:val="center"/>
              <w:rPr>
                <w:color w:val="auto"/>
                <w:szCs w:val="21"/>
              </w:rPr>
            </w:pPr>
            <w:r>
              <w:rPr>
                <w:rFonts w:hint="eastAsia"/>
                <w:color w:val="auto"/>
                <w:szCs w:val="21"/>
              </w:rPr>
              <w:t>设计</w:t>
            </w:r>
          </w:p>
          <w:p w14:paraId="2846F3E2">
            <w:pPr>
              <w:jc w:val="center"/>
              <w:rPr>
                <w:color w:val="auto"/>
                <w:szCs w:val="21"/>
              </w:rPr>
            </w:pPr>
            <w:r>
              <w:rPr>
                <w:rFonts w:hint="eastAsia"/>
                <w:color w:val="auto"/>
                <w:szCs w:val="21"/>
              </w:rPr>
              <w:t>同时</w:t>
            </w:r>
          </w:p>
          <w:p w14:paraId="2EF742B2">
            <w:pPr>
              <w:jc w:val="center"/>
              <w:rPr>
                <w:color w:val="auto"/>
                <w:szCs w:val="21"/>
              </w:rPr>
            </w:pPr>
            <w:r>
              <w:rPr>
                <w:rFonts w:hint="eastAsia"/>
                <w:color w:val="auto"/>
                <w:szCs w:val="21"/>
              </w:rPr>
              <w:t>施工</w:t>
            </w:r>
          </w:p>
          <w:p w14:paraId="73EDD172">
            <w:pPr>
              <w:jc w:val="center"/>
              <w:rPr>
                <w:color w:val="auto"/>
                <w:szCs w:val="21"/>
              </w:rPr>
            </w:pPr>
            <w:r>
              <w:rPr>
                <w:rFonts w:hint="eastAsia"/>
                <w:color w:val="auto"/>
                <w:szCs w:val="21"/>
              </w:rPr>
              <w:t>同时</w:t>
            </w:r>
          </w:p>
          <w:p w14:paraId="3AF141B7">
            <w:pPr>
              <w:jc w:val="center"/>
              <w:rPr>
                <w:color w:val="auto"/>
                <w:szCs w:val="21"/>
              </w:rPr>
            </w:pPr>
            <w:r>
              <w:rPr>
                <w:rFonts w:hint="eastAsia"/>
                <w:color w:val="auto"/>
                <w:szCs w:val="21"/>
              </w:rPr>
              <w:t>使用</w:t>
            </w:r>
          </w:p>
        </w:tc>
      </w:tr>
      <w:tr w14:paraId="0A333C3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8" w:hRule="atLeast"/>
          <w:jc w:val="center"/>
        </w:trPr>
        <w:tc>
          <w:tcPr>
            <w:tcW w:w="0" w:type="auto"/>
            <w:vMerge w:val="continue"/>
            <w:tcBorders>
              <w:top w:val="single" w:color="auto" w:sz="6" w:space="0"/>
              <w:left w:val="nil"/>
              <w:bottom w:val="single" w:color="auto" w:sz="6" w:space="0"/>
              <w:right w:val="single" w:color="auto" w:sz="6" w:space="0"/>
            </w:tcBorders>
            <w:noWrap w:val="0"/>
            <w:vAlign w:val="center"/>
          </w:tcPr>
          <w:p w14:paraId="56C09120">
            <w:pPr>
              <w:widowControl/>
              <w:jc w:val="left"/>
              <w:rPr>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663CBDC2">
            <w:pPr>
              <w:adjustRightInd w:val="0"/>
              <w:snapToGrid w:val="0"/>
              <w:jc w:val="center"/>
              <w:rPr>
                <w:color w:val="auto"/>
                <w:szCs w:val="21"/>
              </w:rPr>
            </w:pPr>
            <w:r>
              <w:rPr>
                <w:color w:val="auto"/>
                <w:highlight w:val="none"/>
              </w:rPr>
              <w:t>微生物除臭剂</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398D19CC">
            <w:pPr>
              <w:adjustRightInd w:val="0"/>
              <w:snapToGrid w:val="0"/>
              <w:jc w:val="center"/>
              <w:rPr>
                <w:color w:val="auto"/>
                <w:szCs w:val="21"/>
              </w:rPr>
            </w:pPr>
            <w:r>
              <w:rPr>
                <w:rFonts w:hint="eastAsia"/>
                <w:color w:val="auto"/>
                <w:szCs w:val="21"/>
                <w:highlight w:val="none"/>
                <w:lang w:val="en-US" w:eastAsia="zh-CN"/>
              </w:rPr>
              <w:t>-</w:t>
            </w:r>
          </w:p>
        </w:tc>
        <w:tc>
          <w:tcPr>
            <w:tcW w:w="2091" w:type="pct"/>
            <w:vMerge w:val="continue"/>
            <w:tcBorders>
              <w:left w:val="single" w:color="auto" w:sz="6" w:space="0"/>
              <w:right w:val="single" w:color="auto" w:sz="6" w:space="0"/>
            </w:tcBorders>
            <w:noWrap w:val="0"/>
            <w:vAlign w:val="center"/>
          </w:tcPr>
          <w:p w14:paraId="6E03E635">
            <w:pPr>
              <w:widowControl/>
              <w:jc w:val="left"/>
              <w:rPr>
                <w:color w:val="auto"/>
                <w:szCs w:val="21"/>
              </w:rPr>
            </w:pPr>
          </w:p>
        </w:tc>
        <w:tc>
          <w:tcPr>
            <w:tcW w:w="0" w:type="auto"/>
            <w:vMerge w:val="continue"/>
            <w:tcBorders>
              <w:left w:val="single" w:color="auto" w:sz="6" w:space="0"/>
              <w:right w:val="nil"/>
            </w:tcBorders>
            <w:noWrap w:val="0"/>
            <w:vAlign w:val="center"/>
          </w:tcPr>
          <w:p w14:paraId="2DBC82A3">
            <w:pPr>
              <w:widowControl/>
              <w:jc w:val="left"/>
              <w:rPr>
                <w:color w:val="auto"/>
                <w:szCs w:val="21"/>
              </w:rPr>
            </w:pPr>
          </w:p>
        </w:tc>
      </w:tr>
      <w:tr w14:paraId="3C7C0DE1">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8" w:hRule="atLeast"/>
          <w:jc w:val="center"/>
        </w:trPr>
        <w:tc>
          <w:tcPr>
            <w:tcW w:w="0" w:type="auto"/>
            <w:vMerge w:val="continue"/>
            <w:tcBorders>
              <w:top w:val="single" w:color="auto" w:sz="6" w:space="0"/>
              <w:left w:val="nil"/>
              <w:bottom w:val="single" w:color="auto" w:sz="6" w:space="0"/>
              <w:right w:val="single" w:color="auto" w:sz="6" w:space="0"/>
            </w:tcBorders>
            <w:noWrap w:val="0"/>
            <w:vAlign w:val="center"/>
          </w:tcPr>
          <w:p w14:paraId="5DA94D0E">
            <w:pPr>
              <w:widowControl/>
              <w:jc w:val="left"/>
              <w:rPr>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5B6EB57D">
            <w:pPr>
              <w:adjustRightInd w:val="0"/>
              <w:snapToGrid w:val="0"/>
              <w:jc w:val="center"/>
              <w:rPr>
                <w:color w:val="auto"/>
                <w:highlight w:val="none"/>
              </w:rPr>
            </w:pPr>
            <w:r>
              <w:rPr>
                <w:rFonts w:hint="eastAsia"/>
                <w:color w:val="auto"/>
                <w:szCs w:val="21"/>
                <w:highlight w:val="none"/>
                <w:lang w:eastAsia="zh-CN"/>
              </w:rPr>
              <w:t>密闭废水收集池封闭废水收集池（加盖）</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4B5C0AB8">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8套</w:t>
            </w:r>
          </w:p>
        </w:tc>
        <w:tc>
          <w:tcPr>
            <w:tcW w:w="2091" w:type="pct"/>
            <w:vMerge w:val="continue"/>
            <w:tcBorders>
              <w:left w:val="single" w:color="auto" w:sz="6" w:space="0"/>
              <w:bottom w:val="single" w:color="auto" w:sz="6" w:space="0"/>
              <w:right w:val="single" w:color="auto" w:sz="6" w:space="0"/>
            </w:tcBorders>
            <w:noWrap w:val="0"/>
            <w:vAlign w:val="center"/>
          </w:tcPr>
          <w:p w14:paraId="15D7B66F">
            <w:pPr>
              <w:widowControl/>
              <w:jc w:val="left"/>
              <w:rPr>
                <w:color w:val="auto"/>
                <w:szCs w:val="21"/>
              </w:rPr>
            </w:pPr>
          </w:p>
        </w:tc>
        <w:tc>
          <w:tcPr>
            <w:tcW w:w="0" w:type="auto"/>
            <w:vMerge w:val="continue"/>
            <w:tcBorders>
              <w:left w:val="single" w:color="auto" w:sz="6" w:space="0"/>
              <w:right w:val="nil"/>
            </w:tcBorders>
            <w:noWrap w:val="0"/>
            <w:vAlign w:val="center"/>
          </w:tcPr>
          <w:p w14:paraId="243DCE36">
            <w:pPr>
              <w:widowControl/>
              <w:jc w:val="left"/>
              <w:rPr>
                <w:color w:val="auto"/>
                <w:szCs w:val="21"/>
              </w:rPr>
            </w:pPr>
          </w:p>
        </w:tc>
      </w:tr>
      <w:tr w14:paraId="6FB01E8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3" w:hRule="atLeast"/>
          <w:jc w:val="center"/>
        </w:trPr>
        <w:tc>
          <w:tcPr>
            <w:tcW w:w="0" w:type="auto"/>
            <w:vMerge w:val="continue"/>
            <w:tcBorders>
              <w:top w:val="single" w:color="auto" w:sz="6" w:space="0"/>
              <w:left w:val="nil"/>
              <w:bottom w:val="single" w:color="auto" w:sz="6" w:space="0"/>
              <w:right w:val="single" w:color="auto" w:sz="6" w:space="0"/>
            </w:tcBorders>
            <w:noWrap w:val="0"/>
            <w:vAlign w:val="center"/>
          </w:tcPr>
          <w:p w14:paraId="3C159B70">
            <w:pPr>
              <w:widowControl/>
              <w:jc w:val="left"/>
              <w:rPr>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14448B52">
            <w:pPr>
              <w:adjustRightInd w:val="0"/>
              <w:snapToGrid w:val="0"/>
              <w:jc w:val="center"/>
              <w:rPr>
                <w:rFonts w:hint="eastAsia"/>
                <w:color w:val="auto"/>
              </w:rPr>
            </w:pPr>
            <w:r>
              <w:rPr>
                <w:rFonts w:hint="eastAsia"/>
                <w:color w:val="auto"/>
                <w:sz w:val="21"/>
                <w:szCs w:val="21"/>
                <w:highlight w:val="none"/>
                <w:lang w:eastAsia="zh-CN"/>
              </w:rPr>
              <w:t>生物质锅炉：旋风除尘器</w:t>
            </w:r>
            <w:r>
              <w:rPr>
                <w:rFonts w:hint="eastAsia"/>
                <w:color w:val="auto"/>
                <w:sz w:val="21"/>
                <w:szCs w:val="21"/>
                <w:highlight w:val="none"/>
                <w:lang w:val="en-US" w:eastAsia="zh-CN"/>
              </w:rPr>
              <w:t>+</w:t>
            </w:r>
            <w:r>
              <w:rPr>
                <w:rFonts w:hint="eastAsia"/>
                <w:color w:val="auto"/>
                <w:sz w:val="21"/>
                <w:szCs w:val="21"/>
                <w:highlight w:val="none"/>
                <w:lang w:eastAsia="zh-CN"/>
              </w:rPr>
              <w:t>布袋除尘器</w:t>
            </w:r>
            <w:r>
              <w:rPr>
                <w:rFonts w:hint="eastAsia"/>
                <w:color w:val="auto"/>
                <w:sz w:val="21"/>
                <w:szCs w:val="21"/>
                <w:highlight w:val="none"/>
              </w:rPr>
              <w:t>+</w:t>
            </w:r>
            <w:r>
              <w:rPr>
                <w:rFonts w:hint="eastAsia"/>
                <w:color w:val="auto"/>
                <w:sz w:val="21"/>
                <w:szCs w:val="21"/>
                <w:highlight w:val="none"/>
                <w:lang w:val="en-US" w:eastAsia="zh-CN"/>
              </w:rPr>
              <w:t>30</w:t>
            </w:r>
            <w:r>
              <w:rPr>
                <w:rFonts w:hint="eastAsia"/>
                <w:color w:val="auto"/>
                <w:sz w:val="21"/>
                <w:szCs w:val="21"/>
                <w:highlight w:val="none"/>
              </w:rPr>
              <w:t>m高</w:t>
            </w:r>
            <w:r>
              <w:rPr>
                <w:rFonts w:hint="eastAsia"/>
                <w:color w:val="auto"/>
                <w:sz w:val="21"/>
                <w:szCs w:val="21"/>
                <w:highlight w:val="none"/>
                <w:lang w:eastAsia="zh-CN"/>
              </w:rPr>
              <w:t>烟囱</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31B653CC">
            <w:pPr>
              <w:adjustRightInd w:val="0"/>
              <w:snapToGrid w:val="0"/>
              <w:jc w:val="center"/>
              <w:rPr>
                <w:rFonts w:hint="eastAsia" w:eastAsia="宋体"/>
                <w:color w:val="auto"/>
                <w:szCs w:val="21"/>
                <w:lang w:eastAsia="zh-CN"/>
              </w:rPr>
            </w:pPr>
            <w:r>
              <w:rPr>
                <w:rFonts w:hint="eastAsia"/>
                <w:color w:val="auto"/>
                <w:szCs w:val="21"/>
                <w:highlight w:val="none"/>
                <w:lang w:val="en-US" w:eastAsia="zh-CN"/>
              </w:rPr>
              <w:t>1套</w:t>
            </w:r>
          </w:p>
        </w:tc>
        <w:tc>
          <w:tcPr>
            <w:tcW w:w="2091" w:type="pct"/>
            <w:tcBorders>
              <w:top w:val="single" w:color="auto" w:sz="6" w:space="0"/>
              <w:left w:val="single" w:color="auto" w:sz="6" w:space="0"/>
              <w:bottom w:val="double" w:color="000000" w:sz="4" w:space="0"/>
              <w:right w:val="single" w:color="auto" w:sz="6" w:space="0"/>
            </w:tcBorders>
            <w:noWrap w:val="0"/>
            <w:vAlign w:val="center"/>
          </w:tcPr>
          <w:p w14:paraId="31A47BC8">
            <w:pPr>
              <w:jc w:val="center"/>
              <w:rPr>
                <w:color w:val="auto"/>
                <w:szCs w:val="21"/>
              </w:rPr>
            </w:pPr>
            <w:r>
              <w:rPr>
                <w:rFonts w:hint="eastAsia"/>
                <w:color w:val="auto"/>
                <w:szCs w:val="21"/>
              </w:rPr>
              <w:t>生物质锅炉大气污染物排放符合《锅炉大气污染物排放标准》（GB13271-2014）中表</w:t>
            </w:r>
            <w:r>
              <w:rPr>
                <w:rFonts w:hint="eastAsia"/>
                <w:color w:val="auto"/>
                <w:szCs w:val="21"/>
                <w:lang w:val="en-US" w:eastAsia="zh-CN"/>
              </w:rPr>
              <w:t>3</w:t>
            </w:r>
            <w:r>
              <w:rPr>
                <w:rFonts w:hint="eastAsia"/>
                <w:color w:val="auto"/>
                <w:szCs w:val="21"/>
              </w:rPr>
              <w:t>大气污染物</w:t>
            </w:r>
            <w:r>
              <w:rPr>
                <w:rFonts w:hint="eastAsia"/>
                <w:color w:val="auto"/>
                <w:szCs w:val="21"/>
                <w:lang w:eastAsia="zh-CN"/>
              </w:rPr>
              <w:t>特别</w:t>
            </w:r>
            <w:r>
              <w:rPr>
                <w:rFonts w:hint="eastAsia"/>
                <w:color w:val="auto"/>
                <w:szCs w:val="21"/>
              </w:rPr>
              <w:t>排放限值</w:t>
            </w:r>
            <w:r>
              <w:rPr>
                <w:rFonts w:hint="eastAsia"/>
                <w:color w:val="auto"/>
                <w:szCs w:val="21"/>
                <w:lang w:eastAsia="zh-CN"/>
              </w:rPr>
              <w:t>中燃煤锅炉标准</w:t>
            </w:r>
          </w:p>
        </w:tc>
        <w:tc>
          <w:tcPr>
            <w:tcW w:w="0" w:type="auto"/>
            <w:vMerge w:val="continue"/>
            <w:tcBorders>
              <w:left w:val="single" w:color="auto" w:sz="6" w:space="0"/>
              <w:right w:val="nil"/>
            </w:tcBorders>
            <w:noWrap w:val="0"/>
            <w:vAlign w:val="center"/>
          </w:tcPr>
          <w:p w14:paraId="59D18E1A">
            <w:pPr>
              <w:widowControl/>
              <w:jc w:val="left"/>
              <w:rPr>
                <w:color w:val="auto"/>
                <w:szCs w:val="21"/>
              </w:rPr>
            </w:pPr>
          </w:p>
        </w:tc>
      </w:tr>
      <w:tr w14:paraId="55890780">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3" w:hRule="atLeast"/>
          <w:jc w:val="center"/>
        </w:trPr>
        <w:tc>
          <w:tcPr>
            <w:tcW w:w="0" w:type="auto"/>
            <w:vMerge w:val="continue"/>
            <w:tcBorders>
              <w:top w:val="single" w:color="auto" w:sz="6" w:space="0"/>
              <w:left w:val="nil"/>
              <w:bottom w:val="single" w:color="auto" w:sz="6" w:space="0"/>
              <w:right w:val="single" w:color="auto" w:sz="6" w:space="0"/>
            </w:tcBorders>
            <w:noWrap w:val="0"/>
            <w:vAlign w:val="center"/>
          </w:tcPr>
          <w:p w14:paraId="164BD9FB">
            <w:pPr>
              <w:widowControl/>
              <w:jc w:val="left"/>
              <w:rPr>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0A22B85D">
            <w:pPr>
              <w:adjustRightInd w:val="0"/>
              <w:snapToGrid w:val="0"/>
              <w:jc w:val="center"/>
              <w:rPr>
                <w:bCs/>
                <w:color w:val="auto"/>
                <w:szCs w:val="21"/>
              </w:rPr>
            </w:pPr>
            <w:r>
              <w:rPr>
                <w:rFonts w:hint="eastAsia"/>
                <w:color w:val="auto"/>
                <w:highlight w:val="none"/>
              </w:rPr>
              <w:t>食堂：油烟净化设备</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7B7EE1D4">
            <w:pPr>
              <w:adjustRightInd w:val="0"/>
              <w:snapToGrid w:val="0"/>
              <w:jc w:val="center"/>
              <w:rPr>
                <w:rFonts w:hint="eastAsia"/>
                <w:color w:val="auto"/>
                <w:szCs w:val="21"/>
              </w:rPr>
            </w:pPr>
            <w:r>
              <w:rPr>
                <w:rFonts w:hint="eastAsia"/>
                <w:color w:val="auto"/>
                <w:szCs w:val="21"/>
                <w:highlight w:val="none"/>
              </w:rPr>
              <w:t>1套</w:t>
            </w:r>
          </w:p>
        </w:tc>
        <w:tc>
          <w:tcPr>
            <w:tcW w:w="2091" w:type="pct"/>
            <w:tcBorders>
              <w:top w:val="double" w:color="000000" w:sz="4" w:space="0"/>
              <w:left w:val="single" w:color="auto" w:sz="6" w:space="0"/>
              <w:bottom w:val="single" w:color="auto" w:sz="4" w:space="0"/>
              <w:right w:val="single" w:color="auto" w:sz="6" w:space="0"/>
            </w:tcBorders>
            <w:noWrap w:val="0"/>
            <w:vAlign w:val="center"/>
          </w:tcPr>
          <w:p w14:paraId="216A6F73">
            <w:pPr>
              <w:jc w:val="center"/>
              <w:rPr>
                <w:rFonts w:hint="eastAsia"/>
                <w:color w:val="auto"/>
                <w:szCs w:val="21"/>
              </w:rPr>
            </w:pPr>
            <w:r>
              <w:rPr>
                <w:rFonts w:hint="eastAsia"/>
                <w:color w:val="auto"/>
              </w:rPr>
              <w:t>《饮食业油烟排放标准（试行）》（</w:t>
            </w:r>
            <w:r>
              <w:rPr>
                <w:color w:val="auto"/>
              </w:rPr>
              <w:t>GB18483-2001</w:t>
            </w:r>
            <w:r>
              <w:rPr>
                <w:rFonts w:hint="eastAsia"/>
                <w:color w:val="auto"/>
              </w:rPr>
              <w:t>）中最高允许排放浓度</w:t>
            </w:r>
            <w:r>
              <w:rPr>
                <w:color w:val="auto"/>
              </w:rPr>
              <w:t>2mg/m</w:t>
            </w:r>
            <w:r>
              <w:rPr>
                <w:color w:val="auto"/>
                <w:vertAlign w:val="superscript"/>
              </w:rPr>
              <w:t>3</w:t>
            </w:r>
            <w:r>
              <w:rPr>
                <w:rFonts w:hint="eastAsia"/>
                <w:color w:val="auto"/>
              </w:rPr>
              <w:t>的要求</w:t>
            </w:r>
          </w:p>
        </w:tc>
        <w:tc>
          <w:tcPr>
            <w:tcW w:w="0" w:type="auto"/>
            <w:vMerge w:val="continue"/>
            <w:tcBorders>
              <w:left w:val="single" w:color="auto" w:sz="6" w:space="0"/>
              <w:right w:val="nil"/>
            </w:tcBorders>
            <w:noWrap w:val="0"/>
            <w:vAlign w:val="center"/>
          </w:tcPr>
          <w:p w14:paraId="340AAA33">
            <w:pPr>
              <w:widowControl/>
              <w:jc w:val="left"/>
              <w:rPr>
                <w:color w:val="auto"/>
                <w:szCs w:val="21"/>
              </w:rPr>
            </w:pPr>
          </w:p>
        </w:tc>
      </w:tr>
      <w:tr w14:paraId="2E2C89A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3" w:hRule="atLeast"/>
          <w:jc w:val="center"/>
        </w:trPr>
        <w:tc>
          <w:tcPr>
            <w:tcW w:w="374" w:type="pct"/>
            <w:vMerge w:val="restart"/>
            <w:tcBorders>
              <w:top w:val="single" w:color="auto" w:sz="6" w:space="0"/>
              <w:left w:val="nil"/>
              <w:right w:val="single" w:color="auto" w:sz="6" w:space="0"/>
            </w:tcBorders>
            <w:noWrap w:val="0"/>
            <w:vAlign w:val="center"/>
          </w:tcPr>
          <w:p w14:paraId="03FAB8D8">
            <w:pPr>
              <w:jc w:val="center"/>
              <w:rPr>
                <w:color w:val="auto"/>
                <w:szCs w:val="21"/>
              </w:rPr>
            </w:pPr>
            <w:r>
              <w:rPr>
                <w:rFonts w:hint="eastAsia"/>
                <w:color w:val="auto"/>
                <w:szCs w:val="21"/>
              </w:rPr>
              <w:t>废水</w:t>
            </w:r>
          </w:p>
        </w:tc>
        <w:tc>
          <w:tcPr>
            <w:tcW w:w="1192" w:type="pct"/>
            <w:tcBorders>
              <w:top w:val="single" w:color="auto" w:sz="6" w:space="0"/>
              <w:left w:val="single" w:color="auto" w:sz="6" w:space="0"/>
              <w:bottom w:val="single" w:color="auto" w:sz="6" w:space="0"/>
              <w:right w:val="single" w:color="auto" w:sz="6" w:space="0"/>
            </w:tcBorders>
            <w:noWrap w:val="0"/>
            <w:vAlign w:val="center"/>
          </w:tcPr>
          <w:p w14:paraId="646238D5">
            <w:pPr>
              <w:adjustRightInd w:val="0"/>
              <w:snapToGrid w:val="0"/>
              <w:jc w:val="center"/>
              <w:rPr>
                <w:rFonts w:hint="eastAsia"/>
                <w:color w:val="auto"/>
                <w:szCs w:val="21"/>
              </w:rPr>
            </w:pPr>
            <w:r>
              <w:rPr>
                <w:rFonts w:hint="eastAsia"/>
                <w:color w:val="auto"/>
                <w:szCs w:val="21"/>
                <w:highlight w:val="none"/>
                <w:lang w:eastAsia="zh-CN"/>
              </w:rPr>
              <w:t>密闭废水收集池（加盖）</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3F5A73FB">
            <w:pPr>
              <w:adjustRightInd w:val="0"/>
              <w:snapToGrid w:val="0"/>
              <w:jc w:val="center"/>
              <w:rPr>
                <w:color w:val="auto"/>
                <w:szCs w:val="21"/>
              </w:rPr>
            </w:pPr>
            <w:r>
              <w:rPr>
                <w:rFonts w:hint="eastAsia"/>
                <w:color w:val="auto"/>
                <w:szCs w:val="21"/>
                <w:highlight w:val="none"/>
                <w:lang w:val="en-US" w:eastAsia="zh-CN"/>
              </w:rPr>
              <w:t>8座，10m</w:t>
            </w:r>
            <w:r>
              <w:rPr>
                <w:rFonts w:hint="eastAsia"/>
                <w:color w:val="auto"/>
                <w:szCs w:val="21"/>
                <w:highlight w:val="none"/>
                <w:vertAlign w:val="superscript"/>
                <w:lang w:val="en-US" w:eastAsia="zh-CN"/>
              </w:rPr>
              <w:t>3</w:t>
            </w:r>
            <w:r>
              <w:rPr>
                <w:rFonts w:hint="eastAsia"/>
                <w:color w:val="auto"/>
                <w:szCs w:val="21"/>
                <w:highlight w:val="none"/>
                <w:lang w:val="en-US" w:eastAsia="zh-CN"/>
              </w:rPr>
              <w:t>/座</w:t>
            </w:r>
          </w:p>
        </w:tc>
        <w:tc>
          <w:tcPr>
            <w:tcW w:w="2091" w:type="pct"/>
            <w:vMerge w:val="restart"/>
            <w:tcBorders>
              <w:top w:val="single" w:color="auto" w:sz="6" w:space="0"/>
              <w:left w:val="single" w:color="auto" w:sz="6" w:space="0"/>
              <w:right w:val="single" w:color="auto" w:sz="6" w:space="0"/>
            </w:tcBorders>
            <w:noWrap w:val="0"/>
            <w:vAlign w:val="center"/>
          </w:tcPr>
          <w:p w14:paraId="61AFB6D6">
            <w:pPr>
              <w:jc w:val="center"/>
              <w:rPr>
                <w:color w:val="auto"/>
                <w:szCs w:val="21"/>
              </w:rPr>
            </w:pPr>
            <w:r>
              <w:rPr>
                <w:rFonts w:hint="eastAsia"/>
                <w:color w:val="auto"/>
                <w:szCs w:val="21"/>
              </w:rPr>
              <w:t>鸡舍冲洗废水排入</w:t>
            </w:r>
            <w:r>
              <w:rPr>
                <w:rFonts w:hint="eastAsia"/>
                <w:color w:val="auto"/>
                <w:szCs w:val="21"/>
                <w:lang w:eastAsia="zh-CN"/>
              </w:rPr>
              <w:t>废水收集池，外运至辰泰（辽宁）生物科技有限公司制造有机肥</w:t>
            </w:r>
            <w:r>
              <w:rPr>
                <w:rFonts w:hint="eastAsia"/>
                <w:color w:val="auto"/>
                <w:szCs w:val="21"/>
              </w:rPr>
              <w:t>，</w:t>
            </w:r>
            <w:r>
              <w:rPr>
                <w:rFonts w:hint="eastAsia"/>
                <w:color w:val="auto"/>
                <w:szCs w:val="21"/>
                <w:lang w:eastAsia="zh-CN"/>
              </w:rPr>
              <w:t>除极端天气需在厂区内储存外，不</w:t>
            </w:r>
            <w:r>
              <w:rPr>
                <w:rFonts w:hint="eastAsia"/>
                <w:color w:val="auto"/>
                <w:szCs w:val="21"/>
              </w:rPr>
              <w:t>做长时间贮存。</w:t>
            </w:r>
          </w:p>
        </w:tc>
        <w:tc>
          <w:tcPr>
            <w:tcW w:w="0" w:type="auto"/>
            <w:vMerge w:val="continue"/>
            <w:tcBorders>
              <w:left w:val="single" w:color="auto" w:sz="6" w:space="0"/>
              <w:right w:val="nil"/>
            </w:tcBorders>
            <w:noWrap w:val="0"/>
            <w:vAlign w:val="center"/>
          </w:tcPr>
          <w:p w14:paraId="776B8F90">
            <w:pPr>
              <w:widowControl/>
              <w:jc w:val="left"/>
              <w:rPr>
                <w:color w:val="auto"/>
                <w:szCs w:val="21"/>
              </w:rPr>
            </w:pPr>
          </w:p>
        </w:tc>
      </w:tr>
      <w:tr w14:paraId="0458D1B2">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3" w:hRule="atLeast"/>
          <w:jc w:val="center"/>
        </w:trPr>
        <w:tc>
          <w:tcPr>
            <w:tcW w:w="0" w:type="auto"/>
            <w:vMerge w:val="continue"/>
            <w:tcBorders>
              <w:left w:val="nil"/>
              <w:right w:val="single" w:color="auto" w:sz="6" w:space="0"/>
            </w:tcBorders>
            <w:noWrap w:val="0"/>
            <w:vAlign w:val="center"/>
          </w:tcPr>
          <w:p w14:paraId="03C7FF6C">
            <w:pPr>
              <w:widowControl/>
              <w:jc w:val="left"/>
              <w:rPr>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269C0DAF">
            <w:pPr>
              <w:adjustRightInd w:val="0"/>
              <w:snapToGrid w:val="0"/>
              <w:jc w:val="center"/>
              <w:rPr>
                <w:color w:val="auto"/>
                <w:kern w:val="0"/>
                <w:szCs w:val="21"/>
              </w:rPr>
            </w:pPr>
            <w:r>
              <w:rPr>
                <w:rFonts w:hint="eastAsia"/>
                <w:color w:val="auto"/>
                <w:highlight w:val="none"/>
              </w:rPr>
              <w:t>生活污水：防渗旱厕</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2882B550">
            <w:pPr>
              <w:adjustRightInd w:val="0"/>
              <w:snapToGrid w:val="0"/>
              <w:jc w:val="center"/>
              <w:rPr>
                <w:color w:val="auto"/>
                <w:kern w:val="0"/>
                <w:szCs w:val="21"/>
              </w:rPr>
            </w:pPr>
            <w:r>
              <w:rPr>
                <w:rFonts w:hint="eastAsia"/>
                <w:color w:val="auto"/>
                <w:szCs w:val="21"/>
                <w:highlight w:val="none"/>
              </w:rPr>
              <w:t>1座</w:t>
            </w:r>
          </w:p>
        </w:tc>
        <w:tc>
          <w:tcPr>
            <w:tcW w:w="2091" w:type="pct"/>
            <w:vMerge w:val="continue"/>
            <w:tcBorders>
              <w:left w:val="single" w:color="auto" w:sz="6" w:space="0"/>
              <w:right w:val="single" w:color="auto" w:sz="6" w:space="0"/>
            </w:tcBorders>
            <w:noWrap w:val="0"/>
            <w:vAlign w:val="center"/>
          </w:tcPr>
          <w:p w14:paraId="27296DFD">
            <w:pPr>
              <w:jc w:val="center"/>
              <w:rPr>
                <w:color w:val="auto"/>
                <w:szCs w:val="21"/>
              </w:rPr>
            </w:pPr>
          </w:p>
        </w:tc>
        <w:tc>
          <w:tcPr>
            <w:tcW w:w="0" w:type="auto"/>
            <w:vMerge w:val="continue"/>
            <w:tcBorders>
              <w:left w:val="single" w:color="auto" w:sz="6" w:space="0"/>
              <w:right w:val="nil"/>
            </w:tcBorders>
            <w:noWrap w:val="0"/>
            <w:vAlign w:val="center"/>
          </w:tcPr>
          <w:p w14:paraId="3EE6BE25">
            <w:pPr>
              <w:widowControl/>
              <w:jc w:val="left"/>
              <w:rPr>
                <w:color w:val="auto"/>
                <w:szCs w:val="21"/>
              </w:rPr>
            </w:pPr>
          </w:p>
        </w:tc>
      </w:tr>
      <w:tr w14:paraId="5FA2F89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3" w:hRule="atLeast"/>
          <w:jc w:val="center"/>
        </w:trPr>
        <w:tc>
          <w:tcPr>
            <w:tcW w:w="0" w:type="auto"/>
            <w:vMerge w:val="continue"/>
            <w:tcBorders>
              <w:left w:val="nil"/>
              <w:right w:val="single" w:color="auto" w:sz="6" w:space="0"/>
            </w:tcBorders>
            <w:noWrap w:val="0"/>
            <w:vAlign w:val="center"/>
          </w:tcPr>
          <w:p w14:paraId="3A419BBD">
            <w:pPr>
              <w:widowControl/>
              <w:jc w:val="left"/>
              <w:rPr>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09E0FC7C">
            <w:pPr>
              <w:adjustRightInd w:val="0"/>
              <w:snapToGrid w:val="0"/>
              <w:jc w:val="center"/>
              <w:rPr>
                <w:color w:val="auto"/>
              </w:rPr>
            </w:pPr>
            <w:r>
              <w:rPr>
                <w:rFonts w:hint="eastAsia"/>
                <w:color w:val="auto"/>
                <w:highlight w:val="none"/>
              </w:rPr>
              <w:t>食堂废水：防渗隔油池</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0817F8DD">
            <w:pPr>
              <w:adjustRightInd w:val="0"/>
              <w:snapToGrid w:val="0"/>
              <w:jc w:val="center"/>
              <w:rPr>
                <w:color w:val="auto"/>
                <w:szCs w:val="21"/>
              </w:rPr>
            </w:pPr>
            <w:r>
              <w:rPr>
                <w:rFonts w:hint="eastAsia"/>
                <w:color w:val="auto"/>
                <w:szCs w:val="21"/>
                <w:highlight w:val="none"/>
              </w:rPr>
              <w:t>1座</w:t>
            </w:r>
          </w:p>
        </w:tc>
        <w:tc>
          <w:tcPr>
            <w:tcW w:w="2091" w:type="pct"/>
            <w:vMerge w:val="continue"/>
            <w:tcBorders>
              <w:left w:val="single" w:color="auto" w:sz="6" w:space="0"/>
              <w:right w:val="single" w:color="auto" w:sz="6" w:space="0"/>
            </w:tcBorders>
            <w:noWrap w:val="0"/>
            <w:vAlign w:val="center"/>
          </w:tcPr>
          <w:p w14:paraId="24298436">
            <w:pPr>
              <w:jc w:val="center"/>
              <w:rPr>
                <w:color w:val="auto"/>
                <w:szCs w:val="21"/>
              </w:rPr>
            </w:pPr>
          </w:p>
        </w:tc>
        <w:tc>
          <w:tcPr>
            <w:tcW w:w="0" w:type="auto"/>
            <w:vMerge w:val="continue"/>
            <w:tcBorders>
              <w:left w:val="single" w:color="auto" w:sz="6" w:space="0"/>
              <w:right w:val="nil"/>
            </w:tcBorders>
            <w:noWrap w:val="0"/>
            <w:vAlign w:val="center"/>
          </w:tcPr>
          <w:p w14:paraId="1C209C74">
            <w:pPr>
              <w:widowControl/>
              <w:jc w:val="left"/>
              <w:rPr>
                <w:color w:val="auto"/>
                <w:szCs w:val="21"/>
              </w:rPr>
            </w:pPr>
          </w:p>
        </w:tc>
      </w:tr>
      <w:tr w14:paraId="2E0F5114">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3" w:hRule="atLeast"/>
          <w:jc w:val="center"/>
        </w:trPr>
        <w:tc>
          <w:tcPr>
            <w:tcW w:w="0" w:type="auto"/>
            <w:vMerge w:val="continue"/>
            <w:tcBorders>
              <w:left w:val="nil"/>
              <w:right w:val="single" w:color="auto" w:sz="6" w:space="0"/>
            </w:tcBorders>
            <w:noWrap w:val="0"/>
            <w:vAlign w:val="center"/>
          </w:tcPr>
          <w:p w14:paraId="66828181">
            <w:pPr>
              <w:widowControl/>
              <w:jc w:val="left"/>
              <w:rPr>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359ACA1E">
            <w:pPr>
              <w:jc w:val="center"/>
              <w:rPr>
                <w:rFonts w:hint="eastAsia"/>
                <w:color w:val="auto"/>
                <w:kern w:val="0"/>
                <w:szCs w:val="21"/>
              </w:rPr>
            </w:pPr>
            <w:r>
              <w:rPr>
                <w:color w:val="auto"/>
                <w:szCs w:val="21"/>
                <w:highlight w:val="none"/>
              </w:rPr>
              <w:t>污水专用运输罐车</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03F341FE">
            <w:pPr>
              <w:adjustRightInd w:val="0"/>
              <w:snapToGrid w:val="0"/>
              <w:jc w:val="center"/>
              <w:rPr>
                <w:rFonts w:hint="eastAsia"/>
                <w:color w:val="auto"/>
                <w:kern w:val="0"/>
                <w:szCs w:val="21"/>
              </w:rPr>
            </w:pPr>
            <w:r>
              <w:rPr>
                <w:color w:val="auto"/>
                <w:kern w:val="0"/>
                <w:szCs w:val="21"/>
                <w:highlight w:val="none"/>
              </w:rPr>
              <w:t>1辆</w:t>
            </w:r>
          </w:p>
        </w:tc>
        <w:tc>
          <w:tcPr>
            <w:tcW w:w="2091" w:type="pct"/>
            <w:vMerge w:val="continue"/>
            <w:tcBorders>
              <w:left w:val="single" w:color="auto" w:sz="6" w:space="0"/>
              <w:right w:val="single" w:color="auto" w:sz="6" w:space="0"/>
            </w:tcBorders>
            <w:noWrap w:val="0"/>
            <w:vAlign w:val="center"/>
          </w:tcPr>
          <w:p w14:paraId="499ACAFE">
            <w:pPr>
              <w:jc w:val="center"/>
              <w:rPr>
                <w:color w:val="auto"/>
                <w:szCs w:val="21"/>
              </w:rPr>
            </w:pPr>
          </w:p>
        </w:tc>
        <w:tc>
          <w:tcPr>
            <w:tcW w:w="0" w:type="auto"/>
            <w:vMerge w:val="continue"/>
            <w:tcBorders>
              <w:left w:val="single" w:color="auto" w:sz="6" w:space="0"/>
              <w:right w:val="nil"/>
            </w:tcBorders>
            <w:noWrap w:val="0"/>
            <w:vAlign w:val="center"/>
          </w:tcPr>
          <w:p w14:paraId="6F1FC5A0">
            <w:pPr>
              <w:widowControl/>
              <w:jc w:val="left"/>
              <w:rPr>
                <w:color w:val="auto"/>
                <w:szCs w:val="21"/>
              </w:rPr>
            </w:pPr>
          </w:p>
        </w:tc>
      </w:tr>
      <w:tr w14:paraId="47C7DABC">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3" w:hRule="atLeast"/>
          <w:jc w:val="center"/>
        </w:trPr>
        <w:tc>
          <w:tcPr>
            <w:tcW w:w="0" w:type="auto"/>
            <w:vMerge w:val="continue"/>
            <w:tcBorders>
              <w:left w:val="nil"/>
              <w:right w:val="single" w:color="auto" w:sz="6" w:space="0"/>
            </w:tcBorders>
            <w:noWrap w:val="0"/>
            <w:vAlign w:val="center"/>
          </w:tcPr>
          <w:p w14:paraId="3D80DAEE">
            <w:pPr>
              <w:widowControl/>
              <w:jc w:val="left"/>
              <w:rPr>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6157FFDE">
            <w:pPr>
              <w:jc w:val="center"/>
              <w:rPr>
                <w:rFonts w:hint="eastAsia"/>
                <w:color w:val="auto"/>
                <w:kern w:val="0"/>
                <w:szCs w:val="21"/>
              </w:rPr>
            </w:pPr>
            <w:r>
              <w:rPr>
                <w:rFonts w:hint="eastAsia"/>
                <w:color w:val="auto"/>
                <w:kern w:val="0"/>
                <w:szCs w:val="21"/>
                <w:highlight w:val="none"/>
                <w:lang w:eastAsia="zh-CN"/>
              </w:rPr>
              <w:t>污水</w:t>
            </w:r>
            <w:r>
              <w:rPr>
                <w:color w:val="auto"/>
                <w:kern w:val="0"/>
                <w:szCs w:val="21"/>
                <w:highlight w:val="none"/>
              </w:rPr>
              <w:t>泵</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6DC98A14">
            <w:pPr>
              <w:adjustRightInd w:val="0"/>
              <w:snapToGrid w:val="0"/>
              <w:jc w:val="center"/>
              <w:rPr>
                <w:rFonts w:hint="eastAsia"/>
                <w:color w:val="auto"/>
                <w:kern w:val="0"/>
                <w:szCs w:val="21"/>
              </w:rPr>
            </w:pPr>
            <w:r>
              <w:rPr>
                <w:color w:val="auto"/>
                <w:kern w:val="0"/>
                <w:szCs w:val="21"/>
                <w:highlight w:val="none"/>
              </w:rPr>
              <w:t>2台</w:t>
            </w:r>
          </w:p>
        </w:tc>
        <w:tc>
          <w:tcPr>
            <w:tcW w:w="2091" w:type="pct"/>
            <w:vMerge w:val="continue"/>
            <w:tcBorders>
              <w:left w:val="single" w:color="auto" w:sz="6" w:space="0"/>
              <w:right w:val="single" w:color="auto" w:sz="6" w:space="0"/>
            </w:tcBorders>
            <w:noWrap w:val="0"/>
            <w:vAlign w:val="center"/>
          </w:tcPr>
          <w:p w14:paraId="28CE522F">
            <w:pPr>
              <w:jc w:val="center"/>
              <w:rPr>
                <w:color w:val="auto"/>
                <w:szCs w:val="21"/>
              </w:rPr>
            </w:pPr>
          </w:p>
        </w:tc>
        <w:tc>
          <w:tcPr>
            <w:tcW w:w="0" w:type="auto"/>
            <w:vMerge w:val="continue"/>
            <w:tcBorders>
              <w:left w:val="single" w:color="auto" w:sz="6" w:space="0"/>
              <w:right w:val="nil"/>
            </w:tcBorders>
            <w:noWrap w:val="0"/>
            <w:vAlign w:val="center"/>
          </w:tcPr>
          <w:p w14:paraId="4A6379B5">
            <w:pPr>
              <w:widowControl/>
              <w:jc w:val="left"/>
              <w:rPr>
                <w:color w:val="auto"/>
                <w:szCs w:val="21"/>
              </w:rPr>
            </w:pPr>
          </w:p>
        </w:tc>
      </w:tr>
      <w:tr w14:paraId="400D77C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3" w:hRule="atLeast"/>
          <w:jc w:val="center"/>
        </w:trPr>
        <w:tc>
          <w:tcPr>
            <w:tcW w:w="0" w:type="auto"/>
            <w:vMerge w:val="continue"/>
            <w:tcBorders>
              <w:left w:val="nil"/>
              <w:right w:val="single" w:color="auto" w:sz="6" w:space="0"/>
            </w:tcBorders>
            <w:noWrap w:val="0"/>
            <w:vAlign w:val="center"/>
          </w:tcPr>
          <w:p w14:paraId="2D1AEE09">
            <w:pPr>
              <w:widowControl/>
              <w:jc w:val="left"/>
              <w:rPr>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2500072A">
            <w:pPr>
              <w:jc w:val="center"/>
              <w:rPr>
                <w:color w:val="auto"/>
              </w:rPr>
            </w:pPr>
            <w:r>
              <w:rPr>
                <w:color w:val="auto"/>
                <w:kern w:val="0"/>
                <w:szCs w:val="21"/>
                <w:highlight w:val="none"/>
              </w:rPr>
              <w:t>雨污分流，厂区内设置专用污水管道和雨水管道</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320BDF94">
            <w:pPr>
              <w:adjustRightInd w:val="0"/>
              <w:snapToGrid w:val="0"/>
              <w:jc w:val="center"/>
              <w:rPr>
                <w:color w:val="auto"/>
                <w:szCs w:val="21"/>
              </w:rPr>
            </w:pPr>
            <w:r>
              <w:rPr>
                <w:color w:val="auto"/>
                <w:szCs w:val="21"/>
                <w:highlight w:val="none"/>
              </w:rPr>
              <w:t>-</w:t>
            </w:r>
          </w:p>
        </w:tc>
        <w:tc>
          <w:tcPr>
            <w:tcW w:w="2091" w:type="pct"/>
            <w:vMerge w:val="continue"/>
            <w:tcBorders>
              <w:left w:val="single" w:color="auto" w:sz="6" w:space="0"/>
              <w:bottom w:val="single" w:color="auto" w:sz="6" w:space="0"/>
              <w:right w:val="single" w:color="auto" w:sz="6" w:space="0"/>
            </w:tcBorders>
            <w:noWrap w:val="0"/>
            <w:vAlign w:val="center"/>
          </w:tcPr>
          <w:p w14:paraId="76B86D42">
            <w:pPr>
              <w:jc w:val="center"/>
              <w:rPr>
                <w:color w:val="auto"/>
                <w:szCs w:val="21"/>
              </w:rPr>
            </w:pPr>
          </w:p>
        </w:tc>
        <w:tc>
          <w:tcPr>
            <w:tcW w:w="0" w:type="auto"/>
            <w:vMerge w:val="continue"/>
            <w:tcBorders>
              <w:left w:val="single" w:color="auto" w:sz="6" w:space="0"/>
              <w:right w:val="nil"/>
            </w:tcBorders>
            <w:noWrap w:val="0"/>
            <w:vAlign w:val="center"/>
          </w:tcPr>
          <w:p w14:paraId="24558DD1">
            <w:pPr>
              <w:widowControl/>
              <w:jc w:val="left"/>
              <w:rPr>
                <w:color w:val="auto"/>
                <w:szCs w:val="21"/>
              </w:rPr>
            </w:pPr>
          </w:p>
        </w:tc>
      </w:tr>
      <w:tr w14:paraId="58EDB3D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5" w:hRule="atLeast"/>
          <w:jc w:val="center"/>
        </w:trPr>
        <w:tc>
          <w:tcPr>
            <w:tcW w:w="374" w:type="pct"/>
            <w:vMerge w:val="restart"/>
            <w:tcBorders>
              <w:top w:val="single" w:color="auto" w:sz="6" w:space="0"/>
              <w:left w:val="nil"/>
              <w:right w:val="single" w:color="auto" w:sz="6" w:space="0"/>
            </w:tcBorders>
            <w:noWrap w:val="0"/>
            <w:vAlign w:val="center"/>
          </w:tcPr>
          <w:p w14:paraId="06A0C7E6">
            <w:pPr>
              <w:jc w:val="center"/>
              <w:rPr>
                <w:color w:val="auto"/>
                <w:szCs w:val="21"/>
              </w:rPr>
            </w:pPr>
            <w:r>
              <w:rPr>
                <w:rFonts w:hint="eastAsia"/>
                <w:color w:val="auto"/>
                <w:szCs w:val="21"/>
              </w:rPr>
              <w:t>噪声</w:t>
            </w:r>
          </w:p>
        </w:tc>
        <w:tc>
          <w:tcPr>
            <w:tcW w:w="2100" w:type="pct"/>
            <w:gridSpan w:val="2"/>
            <w:tcBorders>
              <w:top w:val="single" w:color="auto" w:sz="6" w:space="0"/>
              <w:left w:val="single" w:color="auto" w:sz="6" w:space="0"/>
              <w:bottom w:val="single" w:color="auto" w:sz="6" w:space="0"/>
              <w:right w:val="single" w:color="auto" w:sz="6" w:space="0"/>
            </w:tcBorders>
            <w:noWrap w:val="0"/>
            <w:vAlign w:val="center"/>
          </w:tcPr>
          <w:p w14:paraId="3F4126B3">
            <w:pPr>
              <w:adjustRightInd w:val="0"/>
              <w:snapToGrid w:val="0"/>
              <w:jc w:val="center"/>
              <w:rPr>
                <w:color w:val="auto"/>
                <w:szCs w:val="21"/>
              </w:rPr>
            </w:pPr>
            <w:r>
              <w:rPr>
                <w:bCs/>
                <w:color w:val="auto"/>
                <w:szCs w:val="21"/>
                <w:highlight w:val="none"/>
              </w:rPr>
              <w:t>减振基础等措施</w:t>
            </w:r>
          </w:p>
        </w:tc>
        <w:tc>
          <w:tcPr>
            <w:tcW w:w="2091" w:type="pct"/>
            <w:vMerge w:val="restart"/>
            <w:tcBorders>
              <w:top w:val="single" w:color="auto" w:sz="6" w:space="0"/>
              <w:left w:val="single" w:color="auto" w:sz="6" w:space="0"/>
              <w:right w:val="single" w:color="auto" w:sz="6" w:space="0"/>
            </w:tcBorders>
            <w:noWrap w:val="0"/>
            <w:vAlign w:val="center"/>
          </w:tcPr>
          <w:p w14:paraId="462C1748">
            <w:pPr>
              <w:jc w:val="center"/>
              <w:rPr>
                <w:color w:val="auto"/>
                <w:szCs w:val="21"/>
              </w:rPr>
            </w:pPr>
            <w:r>
              <w:rPr>
                <w:rFonts w:hint="eastAsia"/>
                <w:color w:val="auto"/>
                <w:szCs w:val="21"/>
              </w:rPr>
              <w:t>满足《工业企业厂界环境噪声排放标准》（</w:t>
            </w:r>
            <w:r>
              <w:rPr>
                <w:color w:val="auto"/>
                <w:szCs w:val="21"/>
              </w:rPr>
              <w:t>GB12348—2008</w:t>
            </w:r>
            <w:r>
              <w:rPr>
                <w:rFonts w:hint="eastAsia"/>
                <w:color w:val="auto"/>
                <w:szCs w:val="21"/>
              </w:rPr>
              <w:t>）中</w:t>
            </w:r>
            <w:r>
              <w:rPr>
                <w:color w:val="auto"/>
                <w:szCs w:val="21"/>
              </w:rPr>
              <w:t>1</w:t>
            </w:r>
            <w:r>
              <w:rPr>
                <w:rFonts w:hint="eastAsia"/>
                <w:color w:val="auto"/>
                <w:szCs w:val="21"/>
              </w:rPr>
              <w:t>类标准</w:t>
            </w:r>
          </w:p>
        </w:tc>
        <w:tc>
          <w:tcPr>
            <w:tcW w:w="0" w:type="auto"/>
            <w:vMerge w:val="continue"/>
            <w:tcBorders>
              <w:left w:val="single" w:color="auto" w:sz="6" w:space="0"/>
              <w:right w:val="nil"/>
            </w:tcBorders>
            <w:noWrap w:val="0"/>
            <w:vAlign w:val="center"/>
          </w:tcPr>
          <w:p w14:paraId="6E5F86EB">
            <w:pPr>
              <w:widowControl/>
              <w:jc w:val="left"/>
              <w:rPr>
                <w:color w:val="auto"/>
                <w:szCs w:val="21"/>
              </w:rPr>
            </w:pPr>
          </w:p>
        </w:tc>
      </w:tr>
      <w:tr w14:paraId="033200D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5" w:hRule="atLeast"/>
          <w:jc w:val="center"/>
        </w:trPr>
        <w:tc>
          <w:tcPr>
            <w:tcW w:w="374" w:type="pct"/>
            <w:vMerge w:val="continue"/>
            <w:tcBorders>
              <w:left w:val="nil"/>
              <w:bottom w:val="single" w:color="auto" w:sz="6" w:space="0"/>
              <w:right w:val="single" w:color="auto" w:sz="6" w:space="0"/>
            </w:tcBorders>
            <w:noWrap w:val="0"/>
            <w:vAlign w:val="center"/>
          </w:tcPr>
          <w:p w14:paraId="5AC012ED">
            <w:pPr>
              <w:jc w:val="center"/>
              <w:rPr>
                <w:rFonts w:hint="eastAsia"/>
                <w:color w:val="auto"/>
                <w:szCs w:val="21"/>
              </w:rPr>
            </w:pPr>
          </w:p>
        </w:tc>
        <w:tc>
          <w:tcPr>
            <w:tcW w:w="2100" w:type="pct"/>
            <w:gridSpan w:val="2"/>
            <w:tcBorders>
              <w:top w:val="single" w:color="auto" w:sz="6" w:space="0"/>
              <w:left w:val="single" w:color="auto" w:sz="6" w:space="0"/>
              <w:bottom w:val="single" w:color="auto" w:sz="6" w:space="0"/>
              <w:right w:val="single" w:color="auto" w:sz="6" w:space="0"/>
            </w:tcBorders>
            <w:noWrap w:val="0"/>
            <w:vAlign w:val="center"/>
          </w:tcPr>
          <w:p w14:paraId="62A6BBE7">
            <w:pPr>
              <w:adjustRightInd w:val="0"/>
              <w:snapToGrid w:val="0"/>
              <w:jc w:val="center"/>
              <w:rPr>
                <w:rFonts w:hint="eastAsia"/>
                <w:color w:val="auto"/>
                <w:szCs w:val="21"/>
              </w:rPr>
            </w:pPr>
            <w:r>
              <w:rPr>
                <w:rFonts w:hint="eastAsia"/>
                <w:color w:val="auto"/>
                <w:szCs w:val="21"/>
                <w:highlight w:val="none"/>
              </w:rPr>
              <w:t>限速、禁鸣标志</w:t>
            </w:r>
          </w:p>
        </w:tc>
        <w:tc>
          <w:tcPr>
            <w:tcW w:w="2091" w:type="pct"/>
            <w:vMerge w:val="continue"/>
            <w:tcBorders>
              <w:left w:val="single" w:color="auto" w:sz="6" w:space="0"/>
              <w:bottom w:val="single" w:color="auto" w:sz="6" w:space="0"/>
              <w:right w:val="single" w:color="auto" w:sz="6" w:space="0"/>
            </w:tcBorders>
            <w:noWrap w:val="0"/>
            <w:vAlign w:val="center"/>
          </w:tcPr>
          <w:p w14:paraId="3C188796">
            <w:pPr>
              <w:jc w:val="center"/>
              <w:rPr>
                <w:rFonts w:hint="eastAsia"/>
                <w:color w:val="auto"/>
                <w:szCs w:val="21"/>
              </w:rPr>
            </w:pPr>
          </w:p>
        </w:tc>
        <w:tc>
          <w:tcPr>
            <w:tcW w:w="0" w:type="auto"/>
            <w:vMerge w:val="continue"/>
            <w:tcBorders>
              <w:left w:val="single" w:color="auto" w:sz="6" w:space="0"/>
              <w:right w:val="nil"/>
            </w:tcBorders>
            <w:noWrap w:val="0"/>
            <w:vAlign w:val="center"/>
          </w:tcPr>
          <w:p w14:paraId="7869D150">
            <w:pPr>
              <w:widowControl/>
              <w:jc w:val="left"/>
              <w:rPr>
                <w:color w:val="auto"/>
                <w:szCs w:val="21"/>
              </w:rPr>
            </w:pPr>
          </w:p>
        </w:tc>
      </w:tr>
      <w:tr w14:paraId="43BF923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40" w:hRule="atLeast"/>
          <w:jc w:val="center"/>
        </w:trPr>
        <w:tc>
          <w:tcPr>
            <w:tcW w:w="374" w:type="pct"/>
            <w:vMerge w:val="restart"/>
            <w:tcBorders>
              <w:top w:val="single" w:color="auto" w:sz="6" w:space="0"/>
              <w:left w:val="nil"/>
              <w:bottom w:val="single" w:color="auto" w:sz="6" w:space="0"/>
              <w:right w:val="single" w:color="auto" w:sz="6" w:space="0"/>
            </w:tcBorders>
            <w:noWrap w:val="0"/>
            <w:vAlign w:val="center"/>
          </w:tcPr>
          <w:p w14:paraId="3CDCEFE6">
            <w:pPr>
              <w:jc w:val="center"/>
              <w:rPr>
                <w:color w:val="auto"/>
                <w:szCs w:val="21"/>
              </w:rPr>
            </w:pPr>
            <w:r>
              <w:rPr>
                <w:rFonts w:hint="eastAsia"/>
                <w:color w:val="auto"/>
                <w:szCs w:val="21"/>
              </w:rPr>
              <w:t>固废</w:t>
            </w:r>
          </w:p>
        </w:tc>
        <w:tc>
          <w:tcPr>
            <w:tcW w:w="1192" w:type="pct"/>
            <w:tcBorders>
              <w:top w:val="single" w:color="auto" w:sz="6" w:space="0"/>
              <w:left w:val="single" w:color="auto" w:sz="6" w:space="0"/>
              <w:bottom w:val="single" w:color="auto" w:sz="6" w:space="0"/>
              <w:right w:val="single" w:color="auto" w:sz="6" w:space="0"/>
            </w:tcBorders>
            <w:noWrap w:val="0"/>
            <w:vAlign w:val="center"/>
          </w:tcPr>
          <w:p w14:paraId="7ECD0CF2">
            <w:pPr>
              <w:jc w:val="center"/>
              <w:rPr>
                <w:rFonts w:hint="eastAsia"/>
                <w:color w:val="auto"/>
              </w:rPr>
            </w:pPr>
            <w:r>
              <w:rPr>
                <w:color w:val="auto"/>
                <w:highlight w:val="none"/>
              </w:rPr>
              <w:t>鸡粪专用</w:t>
            </w:r>
            <w:r>
              <w:rPr>
                <w:color w:val="auto"/>
                <w:szCs w:val="21"/>
                <w:highlight w:val="none"/>
              </w:rPr>
              <w:t>槽式运输车</w:t>
            </w:r>
            <w:r>
              <w:rPr>
                <w:rFonts w:hint="eastAsia"/>
                <w:color w:val="auto"/>
                <w:szCs w:val="21"/>
                <w:highlight w:val="none"/>
              </w:rPr>
              <w:t>，</w:t>
            </w:r>
            <w:r>
              <w:rPr>
                <w:color w:val="auto"/>
                <w:szCs w:val="21"/>
                <w:highlight w:val="none"/>
              </w:rPr>
              <w:t>车辆密闭、防渗漏</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25765EF1">
            <w:pPr>
              <w:adjustRightInd w:val="0"/>
              <w:snapToGrid w:val="0"/>
              <w:jc w:val="center"/>
              <w:rPr>
                <w:rFonts w:hint="eastAsia"/>
                <w:color w:val="auto"/>
                <w:szCs w:val="21"/>
              </w:rPr>
            </w:pPr>
            <w:r>
              <w:rPr>
                <w:color w:val="auto"/>
                <w:kern w:val="0"/>
                <w:szCs w:val="21"/>
                <w:highlight w:val="none"/>
              </w:rPr>
              <w:t>1辆</w:t>
            </w:r>
          </w:p>
        </w:tc>
        <w:tc>
          <w:tcPr>
            <w:tcW w:w="2091" w:type="pct"/>
            <w:vMerge w:val="restart"/>
            <w:tcBorders>
              <w:top w:val="single" w:color="auto" w:sz="6" w:space="0"/>
              <w:left w:val="single" w:color="auto" w:sz="6" w:space="0"/>
              <w:bottom w:val="single" w:color="auto" w:sz="6" w:space="0"/>
              <w:right w:val="single" w:color="auto" w:sz="6" w:space="0"/>
            </w:tcBorders>
            <w:noWrap w:val="0"/>
            <w:vAlign w:val="center"/>
          </w:tcPr>
          <w:p w14:paraId="37330876">
            <w:pPr>
              <w:jc w:val="center"/>
              <w:rPr>
                <w:color w:val="auto"/>
                <w:szCs w:val="21"/>
              </w:rPr>
            </w:pPr>
            <w:r>
              <w:rPr>
                <w:rFonts w:hint="eastAsia"/>
                <w:color w:val="auto"/>
              </w:rPr>
              <w:t>分类收集、分类存放，分类处置，有效处理与处置、不外排。</w:t>
            </w:r>
          </w:p>
        </w:tc>
        <w:tc>
          <w:tcPr>
            <w:tcW w:w="0" w:type="auto"/>
            <w:vMerge w:val="continue"/>
            <w:tcBorders>
              <w:left w:val="single" w:color="auto" w:sz="6" w:space="0"/>
              <w:right w:val="nil"/>
            </w:tcBorders>
            <w:noWrap w:val="0"/>
            <w:vAlign w:val="center"/>
          </w:tcPr>
          <w:p w14:paraId="56B7FF72">
            <w:pPr>
              <w:widowControl/>
              <w:jc w:val="left"/>
              <w:rPr>
                <w:color w:val="auto"/>
                <w:szCs w:val="21"/>
              </w:rPr>
            </w:pPr>
          </w:p>
        </w:tc>
      </w:tr>
      <w:tr w14:paraId="52F0762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74" w:type="pct"/>
            <w:vMerge w:val="continue"/>
            <w:tcBorders>
              <w:top w:val="single" w:color="auto" w:sz="6" w:space="0"/>
              <w:left w:val="nil"/>
              <w:bottom w:val="single" w:color="auto" w:sz="6" w:space="0"/>
              <w:right w:val="single" w:color="auto" w:sz="6" w:space="0"/>
            </w:tcBorders>
            <w:noWrap w:val="0"/>
            <w:vAlign w:val="center"/>
          </w:tcPr>
          <w:p w14:paraId="19005F9E">
            <w:pPr>
              <w:jc w:val="center"/>
              <w:rPr>
                <w:rFonts w:hint="eastAsia"/>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7FE3169F">
            <w:pPr>
              <w:adjustRightInd w:val="0"/>
              <w:snapToGrid w:val="0"/>
              <w:jc w:val="center"/>
              <w:rPr>
                <w:rFonts w:hint="eastAsia"/>
                <w:color w:val="auto"/>
              </w:rPr>
            </w:pPr>
            <w:r>
              <w:rPr>
                <w:rFonts w:hint="eastAsia"/>
                <w:color w:val="auto"/>
                <w:szCs w:val="21"/>
                <w:highlight w:val="none"/>
                <w:lang w:eastAsia="zh-CN"/>
              </w:rPr>
              <w:t>封闭临时储粪场</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71602DA1">
            <w:pPr>
              <w:adjustRightInd w:val="0"/>
              <w:snapToGrid w:val="0"/>
              <w:jc w:val="center"/>
              <w:rPr>
                <w:rFonts w:hint="eastAsia" w:eastAsia="宋体"/>
                <w:color w:val="auto"/>
                <w:szCs w:val="21"/>
                <w:lang w:eastAsia="zh-CN"/>
              </w:rPr>
            </w:pPr>
            <w:r>
              <w:rPr>
                <w:rFonts w:hint="eastAsia"/>
                <w:color w:val="auto"/>
                <w:kern w:val="0"/>
                <w:szCs w:val="21"/>
                <w:highlight w:val="none"/>
              </w:rPr>
              <w:t>1座</w:t>
            </w:r>
            <w:r>
              <w:rPr>
                <w:rFonts w:hint="eastAsia"/>
                <w:color w:val="auto"/>
                <w:kern w:val="0"/>
                <w:szCs w:val="21"/>
                <w:highlight w:val="none"/>
                <w:lang w:eastAsia="zh-CN"/>
              </w:rPr>
              <w:t>，建筑面积</w:t>
            </w:r>
            <w:r>
              <w:rPr>
                <w:rFonts w:hint="eastAsia"/>
                <w:color w:val="auto"/>
                <w:kern w:val="0"/>
                <w:szCs w:val="21"/>
                <w:highlight w:val="none"/>
                <w:lang w:val="en-US" w:eastAsia="zh-CN"/>
              </w:rPr>
              <w:t>2</w:t>
            </w:r>
            <w:r>
              <w:rPr>
                <w:rFonts w:hint="eastAsia"/>
                <w:color w:val="auto"/>
                <w:kern w:val="0"/>
                <w:szCs w:val="21"/>
                <w:highlight w:val="none"/>
              </w:rPr>
              <w:t>000m</w:t>
            </w:r>
            <w:r>
              <w:rPr>
                <w:rFonts w:hint="eastAsia"/>
                <w:color w:val="auto"/>
                <w:kern w:val="0"/>
                <w:szCs w:val="21"/>
                <w:highlight w:val="none"/>
                <w:vertAlign w:val="superscript"/>
                <w:lang w:val="en-US" w:eastAsia="zh-CN"/>
              </w:rPr>
              <w:t>2</w:t>
            </w:r>
          </w:p>
        </w:tc>
        <w:tc>
          <w:tcPr>
            <w:tcW w:w="2091" w:type="pct"/>
            <w:vMerge w:val="continue"/>
            <w:tcBorders>
              <w:top w:val="single" w:color="auto" w:sz="6" w:space="0"/>
              <w:left w:val="single" w:color="auto" w:sz="6" w:space="0"/>
              <w:bottom w:val="single" w:color="auto" w:sz="6" w:space="0"/>
              <w:right w:val="single" w:color="auto" w:sz="6" w:space="0"/>
            </w:tcBorders>
            <w:noWrap w:val="0"/>
            <w:vAlign w:val="center"/>
          </w:tcPr>
          <w:p w14:paraId="07A91591">
            <w:pPr>
              <w:jc w:val="center"/>
              <w:rPr>
                <w:rFonts w:hint="eastAsia"/>
                <w:color w:val="auto"/>
              </w:rPr>
            </w:pPr>
          </w:p>
        </w:tc>
        <w:tc>
          <w:tcPr>
            <w:tcW w:w="0" w:type="auto"/>
            <w:vMerge w:val="continue"/>
            <w:tcBorders>
              <w:left w:val="single" w:color="auto" w:sz="6" w:space="0"/>
              <w:right w:val="nil"/>
            </w:tcBorders>
            <w:noWrap w:val="0"/>
            <w:vAlign w:val="center"/>
          </w:tcPr>
          <w:p w14:paraId="1A0B4337">
            <w:pPr>
              <w:widowControl/>
              <w:jc w:val="left"/>
              <w:rPr>
                <w:color w:val="auto"/>
                <w:szCs w:val="21"/>
              </w:rPr>
            </w:pPr>
          </w:p>
        </w:tc>
      </w:tr>
      <w:tr w14:paraId="228F1CB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74" w:type="pct"/>
            <w:vMerge w:val="continue"/>
            <w:tcBorders>
              <w:top w:val="single" w:color="auto" w:sz="6" w:space="0"/>
              <w:left w:val="nil"/>
              <w:bottom w:val="single" w:color="auto" w:sz="6" w:space="0"/>
              <w:right w:val="single" w:color="auto" w:sz="6" w:space="0"/>
            </w:tcBorders>
            <w:noWrap w:val="0"/>
            <w:vAlign w:val="center"/>
          </w:tcPr>
          <w:p w14:paraId="644E5676">
            <w:pPr>
              <w:jc w:val="center"/>
              <w:rPr>
                <w:rFonts w:hint="eastAsia"/>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5781D294">
            <w:pPr>
              <w:adjustRightInd w:val="0"/>
              <w:snapToGrid w:val="0"/>
              <w:jc w:val="center"/>
              <w:rPr>
                <w:rFonts w:hint="eastAsia"/>
                <w:color w:val="auto"/>
                <w:szCs w:val="21"/>
                <w:highlight w:val="none"/>
                <w:lang w:eastAsia="zh-CN"/>
              </w:rPr>
            </w:pPr>
            <w:r>
              <w:rPr>
                <w:rFonts w:hint="eastAsia"/>
                <w:color w:val="auto"/>
                <w:szCs w:val="21"/>
                <w:highlight w:val="none"/>
                <w:lang w:eastAsia="zh-CN"/>
              </w:rPr>
              <w:t>渣库</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7169302D">
            <w:pPr>
              <w:adjustRightInd w:val="0"/>
              <w:snapToGrid w:val="0"/>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1座，5m</w:t>
            </w:r>
            <w:r>
              <w:rPr>
                <w:rFonts w:hint="eastAsia"/>
                <w:color w:val="auto"/>
                <w:kern w:val="0"/>
                <w:szCs w:val="21"/>
                <w:highlight w:val="none"/>
                <w:vertAlign w:val="superscript"/>
                <w:lang w:val="en-US" w:eastAsia="zh-CN"/>
              </w:rPr>
              <w:t>2</w:t>
            </w:r>
          </w:p>
        </w:tc>
        <w:tc>
          <w:tcPr>
            <w:tcW w:w="2091" w:type="pct"/>
            <w:vMerge w:val="continue"/>
            <w:tcBorders>
              <w:top w:val="single" w:color="auto" w:sz="6" w:space="0"/>
              <w:left w:val="single" w:color="auto" w:sz="6" w:space="0"/>
              <w:bottom w:val="single" w:color="auto" w:sz="6" w:space="0"/>
              <w:right w:val="single" w:color="auto" w:sz="6" w:space="0"/>
            </w:tcBorders>
            <w:noWrap w:val="0"/>
            <w:vAlign w:val="center"/>
          </w:tcPr>
          <w:p w14:paraId="6C8DEF16">
            <w:pPr>
              <w:jc w:val="center"/>
              <w:rPr>
                <w:rFonts w:hint="eastAsia"/>
                <w:color w:val="auto"/>
              </w:rPr>
            </w:pPr>
          </w:p>
        </w:tc>
        <w:tc>
          <w:tcPr>
            <w:tcW w:w="0" w:type="auto"/>
            <w:vMerge w:val="continue"/>
            <w:tcBorders>
              <w:left w:val="single" w:color="auto" w:sz="6" w:space="0"/>
              <w:right w:val="nil"/>
            </w:tcBorders>
            <w:noWrap w:val="0"/>
            <w:vAlign w:val="center"/>
          </w:tcPr>
          <w:p w14:paraId="006D5C88">
            <w:pPr>
              <w:widowControl/>
              <w:jc w:val="left"/>
              <w:rPr>
                <w:color w:val="auto"/>
                <w:szCs w:val="21"/>
              </w:rPr>
            </w:pPr>
          </w:p>
        </w:tc>
      </w:tr>
      <w:tr w14:paraId="2796B0A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74" w:type="pct"/>
            <w:vMerge w:val="continue"/>
            <w:tcBorders>
              <w:top w:val="single" w:color="auto" w:sz="6" w:space="0"/>
              <w:left w:val="nil"/>
              <w:bottom w:val="single" w:color="auto" w:sz="6" w:space="0"/>
              <w:right w:val="single" w:color="auto" w:sz="6" w:space="0"/>
            </w:tcBorders>
            <w:noWrap w:val="0"/>
            <w:vAlign w:val="center"/>
          </w:tcPr>
          <w:p w14:paraId="0DB221D2">
            <w:pPr>
              <w:jc w:val="center"/>
              <w:rPr>
                <w:rFonts w:hint="eastAsia"/>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3F74F2D7">
            <w:pPr>
              <w:jc w:val="center"/>
              <w:rPr>
                <w:color w:val="auto"/>
                <w:szCs w:val="21"/>
              </w:rPr>
            </w:pPr>
            <w:r>
              <w:rPr>
                <w:rFonts w:hint="eastAsia"/>
                <w:color w:val="auto"/>
                <w:highlight w:val="none"/>
                <w:lang w:val="en-US" w:eastAsia="zh-CN"/>
              </w:rPr>
              <w:t>医疗废物暂存间</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7DB653F9">
            <w:pPr>
              <w:adjustRightInd w:val="0"/>
              <w:snapToGrid w:val="0"/>
              <w:jc w:val="center"/>
              <w:rPr>
                <w:rFonts w:hint="eastAsia"/>
                <w:color w:val="auto"/>
                <w:szCs w:val="21"/>
              </w:rPr>
            </w:pPr>
            <w:r>
              <w:rPr>
                <w:rFonts w:hint="eastAsia"/>
                <w:color w:val="auto"/>
                <w:szCs w:val="21"/>
                <w:highlight w:val="none"/>
              </w:rPr>
              <w:t>1座</w:t>
            </w:r>
            <w:r>
              <w:rPr>
                <w:rFonts w:hint="eastAsia"/>
                <w:color w:val="auto"/>
                <w:szCs w:val="21"/>
                <w:highlight w:val="none"/>
                <w:lang w:eastAsia="zh-CN"/>
              </w:rPr>
              <w:t>，</w:t>
            </w:r>
            <w:r>
              <w:rPr>
                <w:rFonts w:hint="eastAsia"/>
                <w:color w:val="auto"/>
                <w:szCs w:val="21"/>
                <w:highlight w:val="none"/>
                <w:lang w:val="en-US" w:eastAsia="zh-CN"/>
              </w:rPr>
              <w:t>10m</w:t>
            </w:r>
            <w:r>
              <w:rPr>
                <w:rFonts w:hint="eastAsia"/>
                <w:color w:val="auto"/>
                <w:szCs w:val="21"/>
                <w:highlight w:val="none"/>
                <w:vertAlign w:val="superscript"/>
                <w:lang w:val="en-US" w:eastAsia="zh-CN"/>
              </w:rPr>
              <w:t>2</w:t>
            </w:r>
          </w:p>
        </w:tc>
        <w:tc>
          <w:tcPr>
            <w:tcW w:w="2091" w:type="pct"/>
            <w:vMerge w:val="continue"/>
            <w:tcBorders>
              <w:top w:val="single" w:color="auto" w:sz="6" w:space="0"/>
              <w:left w:val="single" w:color="auto" w:sz="6" w:space="0"/>
              <w:bottom w:val="single" w:color="auto" w:sz="6" w:space="0"/>
              <w:right w:val="single" w:color="auto" w:sz="6" w:space="0"/>
            </w:tcBorders>
            <w:noWrap w:val="0"/>
            <w:vAlign w:val="center"/>
          </w:tcPr>
          <w:p w14:paraId="5A153D93">
            <w:pPr>
              <w:jc w:val="center"/>
              <w:rPr>
                <w:rFonts w:hint="eastAsia"/>
                <w:color w:val="auto"/>
              </w:rPr>
            </w:pPr>
          </w:p>
        </w:tc>
        <w:tc>
          <w:tcPr>
            <w:tcW w:w="0" w:type="auto"/>
            <w:vMerge w:val="continue"/>
            <w:tcBorders>
              <w:left w:val="single" w:color="auto" w:sz="6" w:space="0"/>
              <w:right w:val="nil"/>
            </w:tcBorders>
            <w:noWrap w:val="0"/>
            <w:vAlign w:val="center"/>
          </w:tcPr>
          <w:p w14:paraId="45289BD4">
            <w:pPr>
              <w:widowControl/>
              <w:jc w:val="left"/>
              <w:rPr>
                <w:color w:val="auto"/>
                <w:szCs w:val="21"/>
              </w:rPr>
            </w:pPr>
          </w:p>
        </w:tc>
      </w:tr>
      <w:tr w14:paraId="06D35C9D">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74" w:type="pct"/>
            <w:vMerge w:val="continue"/>
            <w:tcBorders>
              <w:top w:val="single" w:color="auto" w:sz="6" w:space="0"/>
              <w:left w:val="nil"/>
              <w:bottom w:val="single" w:color="auto" w:sz="6" w:space="0"/>
              <w:right w:val="single" w:color="auto" w:sz="6" w:space="0"/>
            </w:tcBorders>
            <w:noWrap w:val="0"/>
            <w:vAlign w:val="center"/>
          </w:tcPr>
          <w:p w14:paraId="350F687E">
            <w:pPr>
              <w:jc w:val="center"/>
              <w:rPr>
                <w:rFonts w:hint="eastAsia"/>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73E4E96D">
            <w:pPr>
              <w:jc w:val="center"/>
              <w:rPr>
                <w:rFonts w:hint="eastAsia"/>
                <w:color w:val="auto"/>
                <w:kern w:val="0"/>
                <w:szCs w:val="21"/>
              </w:rPr>
            </w:pPr>
            <w:r>
              <w:rPr>
                <w:color w:val="auto"/>
                <w:szCs w:val="21"/>
                <w:highlight w:val="none"/>
              </w:rPr>
              <w:t>生活垃圾桶</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7E655543">
            <w:pPr>
              <w:adjustRightInd w:val="0"/>
              <w:snapToGrid w:val="0"/>
              <w:jc w:val="center"/>
              <w:rPr>
                <w:rFonts w:hint="eastAsia"/>
                <w:color w:val="auto"/>
                <w:szCs w:val="21"/>
              </w:rPr>
            </w:pPr>
            <w:r>
              <w:rPr>
                <w:rFonts w:hint="eastAsia"/>
                <w:color w:val="auto"/>
                <w:szCs w:val="21"/>
                <w:highlight w:val="none"/>
              </w:rPr>
              <w:t>5</w:t>
            </w:r>
            <w:r>
              <w:rPr>
                <w:color w:val="auto"/>
                <w:szCs w:val="21"/>
                <w:highlight w:val="none"/>
              </w:rPr>
              <w:t>个</w:t>
            </w:r>
          </w:p>
        </w:tc>
        <w:tc>
          <w:tcPr>
            <w:tcW w:w="2091" w:type="pct"/>
            <w:vMerge w:val="continue"/>
            <w:tcBorders>
              <w:top w:val="single" w:color="auto" w:sz="6" w:space="0"/>
              <w:left w:val="single" w:color="auto" w:sz="6" w:space="0"/>
              <w:bottom w:val="single" w:color="auto" w:sz="6" w:space="0"/>
              <w:right w:val="single" w:color="auto" w:sz="6" w:space="0"/>
            </w:tcBorders>
            <w:noWrap w:val="0"/>
            <w:vAlign w:val="center"/>
          </w:tcPr>
          <w:p w14:paraId="35F82F81">
            <w:pPr>
              <w:jc w:val="center"/>
              <w:rPr>
                <w:rFonts w:hint="eastAsia"/>
                <w:color w:val="auto"/>
              </w:rPr>
            </w:pPr>
          </w:p>
        </w:tc>
        <w:tc>
          <w:tcPr>
            <w:tcW w:w="0" w:type="auto"/>
            <w:vMerge w:val="continue"/>
            <w:tcBorders>
              <w:left w:val="single" w:color="auto" w:sz="6" w:space="0"/>
              <w:right w:val="nil"/>
            </w:tcBorders>
            <w:noWrap w:val="0"/>
            <w:vAlign w:val="center"/>
          </w:tcPr>
          <w:p w14:paraId="60386774">
            <w:pPr>
              <w:widowControl/>
              <w:jc w:val="left"/>
              <w:rPr>
                <w:color w:val="auto"/>
                <w:szCs w:val="21"/>
              </w:rPr>
            </w:pPr>
          </w:p>
        </w:tc>
      </w:tr>
      <w:tr w14:paraId="72C922FB">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74" w:type="pct"/>
            <w:vMerge w:val="restart"/>
            <w:tcBorders>
              <w:top w:val="single" w:color="auto" w:sz="6" w:space="0"/>
              <w:left w:val="nil"/>
              <w:right w:val="single" w:color="auto" w:sz="6" w:space="0"/>
            </w:tcBorders>
            <w:noWrap w:val="0"/>
            <w:vAlign w:val="center"/>
          </w:tcPr>
          <w:p w14:paraId="5846BA3C">
            <w:pPr>
              <w:jc w:val="center"/>
              <w:rPr>
                <w:rFonts w:hint="eastAsia" w:eastAsia="宋体"/>
                <w:color w:val="auto"/>
                <w:szCs w:val="21"/>
                <w:lang w:eastAsia="zh-CN"/>
              </w:rPr>
            </w:pPr>
            <w:r>
              <w:rPr>
                <w:rFonts w:hint="eastAsia"/>
                <w:color w:val="auto"/>
                <w:szCs w:val="21"/>
                <w:lang w:eastAsia="zh-CN"/>
              </w:rPr>
              <w:t>地下水、土壤</w:t>
            </w:r>
          </w:p>
        </w:tc>
        <w:tc>
          <w:tcPr>
            <w:tcW w:w="1192" w:type="pct"/>
            <w:tcBorders>
              <w:top w:val="single" w:color="auto" w:sz="6" w:space="0"/>
              <w:left w:val="single" w:color="auto" w:sz="6" w:space="0"/>
              <w:bottom w:val="single" w:color="auto" w:sz="6" w:space="0"/>
              <w:right w:val="single" w:color="auto" w:sz="6" w:space="0"/>
            </w:tcBorders>
            <w:noWrap w:val="0"/>
            <w:vAlign w:val="center"/>
          </w:tcPr>
          <w:p w14:paraId="53288B72">
            <w:pPr>
              <w:jc w:val="center"/>
              <w:rPr>
                <w:color w:val="auto"/>
                <w:szCs w:val="21"/>
                <w:highlight w:val="none"/>
              </w:rPr>
            </w:pPr>
            <w:r>
              <w:rPr>
                <w:color w:val="auto"/>
                <w:szCs w:val="21"/>
                <w:highlight w:val="none"/>
              </w:rPr>
              <w:t>医疗废物暂存间按照防渗系数K≤10</w:t>
            </w:r>
            <w:r>
              <w:rPr>
                <w:color w:val="auto"/>
                <w:szCs w:val="21"/>
                <w:highlight w:val="none"/>
                <w:vertAlign w:val="superscript"/>
              </w:rPr>
              <w:t>-10</w:t>
            </w:r>
            <w:r>
              <w:rPr>
                <w:color w:val="auto"/>
                <w:szCs w:val="21"/>
                <w:highlight w:val="none"/>
              </w:rPr>
              <w:t>cm/s执行</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533EF89C">
            <w:pPr>
              <w:adjustRightInd w:val="0"/>
              <w:snapToGrid w:val="0"/>
              <w:jc w:val="center"/>
              <w:rPr>
                <w:rFonts w:hint="eastAsia"/>
                <w:color w:val="auto"/>
                <w:szCs w:val="21"/>
                <w:highlight w:val="none"/>
              </w:rPr>
            </w:pPr>
            <w:r>
              <w:rPr>
                <w:rFonts w:hint="eastAsia"/>
                <w:color w:val="auto"/>
                <w:szCs w:val="21"/>
                <w:highlight w:val="none"/>
                <w:lang w:val="en-US" w:eastAsia="zh-CN"/>
              </w:rPr>
              <w:t>-</w:t>
            </w:r>
          </w:p>
        </w:tc>
        <w:tc>
          <w:tcPr>
            <w:tcW w:w="2091" w:type="pct"/>
            <w:vMerge w:val="restart"/>
            <w:tcBorders>
              <w:top w:val="single" w:color="auto" w:sz="6" w:space="0"/>
              <w:left w:val="single" w:color="auto" w:sz="6" w:space="0"/>
              <w:right w:val="single" w:color="auto" w:sz="6" w:space="0"/>
            </w:tcBorders>
            <w:noWrap w:val="0"/>
            <w:vAlign w:val="center"/>
          </w:tcPr>
          <w:p w14:paraId="3C0F46BD">
            <w:pPr>
              <w:jc w:val="center"/>
              <w:rPr>
                <w:rFonts w:hint="eastAsia" w:eastAsia="宋体"/>
                <w:color w:val="auto"/>
                <w:lang w:val="en-US" w:eastAsia="zh-CN"/>
              </w:rPr>
            </w:pPr>
            <w:r>
              <w:rPr>
                <w:rFonts w:hint="eastAsia"/>
                <w:color w:val="auto"/>
                <w:lang w:val="en-US" w:eastAsia="zh-CN"/>
              </w:rPr>
              <w:t>/</w:t>
            </w:r>
          </w:p>
        </w:tc>
        <w:tc>
          <w:tcPr>
            <w:tcW w:w="0" w:type="auto"/>
            <w:vMerge w:val="continue"/>
            <w:tcBorders>
              <w:left w:val="single" w:color="auto" w:sz="6" w:space="0"/>
              <w:right w:val="nil"/>
            </w:tcBorders>
            <w:noWrap w:val="0"/>
            <w:vAlign w:val="center"/>
          </w:tcPr>
          <w:p w14:paraId="0DDC5733">
            <w:pPr>
              <w:widowControl/>
              <w:jc w:val="left"/>
              <w:rPr>
                <w:color w:val="auto"/>
                <w:szCs w:val="21"/>
              </w:rPr>
            </w:pPr>
          </w:p>
        </w:tc>
      </w:tr>
      <w:tr w14:paraId="517DCC49">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74" w:type="pct"/>
            <w:vMerge w:val="continue"/>
            <w:tcBorders>
              <w:left w:val="nil"/>
              <w:right w:val="single" w:color="auto" w:sz="6" w:space="0"/>
            </w:tcBorders>
            <w:noWrap w:val="0"/>
            <w:vAlign w:val="center"/>
          </w:tcPr>
          <w:p w14:paraId="0E05316A">
            <w:pPr>
              <w:jc w:val="center"/>
              <w:rPr>
                <w:rFonts w:hint="eastAsia"/>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12AA9885">
            <w:pPr>
              <w:adjustRightInd w:val="0"/>
              <w:snapToGrid w:val="0"/>
              <w:jc w:val="center"/>
              <w:rPr>
                <w:color w:val="auto"/>
                <w:szCs w:val="21"/>
                <w:highlight w:val="none"/>
              </w:rPr>
            </w:pPr>
            <w:r>
              <w:rPr>
                <w:rFonts w:hint="eastAsia"/>
                <w:color w:val="auto"/>
                <w:szCs w:val="21"/>
                <w:highlight w:val="none"/>
                <w:lang w:eastAsia="zh-CN"/>
              </w:rPr>
              <w:t>临时储粪场</w:t>
            </w:r>
            <w:r>
              <w:rPr>
                <w:rFonts w:hint="eastAsia"/>
                <w:color w:val="auto"/>
                <w:szCs w:val="21"/>
                <w:highlight w:val="none"/>
              </w:rPr>
              <w:t>、污水收集</w:t>
            </w:r>
            <w:r>
              <w:rPr>
                <w:color w:val="auto"/>
                <w:szCs w:val="21"/>
                <w:highlight w:val="none"/>
              </w:rPr>
              <w:t>管道、鸡舍、</w:t>
            </w:r>
            <w:r>
              <w:rPr>
                <w:rFonts w:hint="eastAsia"/>
                <w:color w:val="auto"/>
                <w:szCs w:val="21"/>
                <w:highlight w:val="none"/>
                <w:lang w:eastAsia="zh-CN"/>
              </w:rPr>
              <w:t>废水收集池</w:t>
            </w:r>
            <w:r>
              <w:rPr>
                <w:rFonts w:hint="eastAsia"/>
                <w:color w:val="auto"/>
                <w:szCs w:val="21"/>
                <w:highlight w:val="none"/>
              </w:rPr>
              <w:t>、锅炉房：</w:t>
            </w:r>
            <w:r>
              <w:rPr>
                <w:color w:val="auto"/>
                <w:szCs w:val="21"/>
                <w:highlight w:val="none"/>
              </w:rPr>
              <w:t>等效黏土防渗层Mb≥1.5m，K≤1×10</w:t>
            </w:r>
            <w:r>
              <w:rPr>
                <w:color w:val="auto"/>
                <w:szCs w:val="21"/>
                <w:highlight w:val="none"/>
                <w:vertAlign w:val="superscript"/>
              </w:rPr>
              <w:t>-7</w:t>
            </w:r>
            <w:r>
              <w:rPr>
                <w:color w:val="auto"/>
                <w:szCs w:val="21"/>
                <w:highlight w:val="none"/>
              </w:rPr>
              <w:t>cm/s</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3F83FB72">
            <w:pPr>
              <w:adjustRightInd w:val="0"/>
              <w:snapToGrid w:val="0"/>
              <w:jc w:val="center"/>
              <w:rPr>
                <w:rFonts w:hint="eastAsia"/>
                <w:color w:val="auto"/>
                <w:szCs w:val="21"/>
                <w:highlight w:val="none"/>
              </w:rPr>
            </w:pPr>
            <w:r>
              <w:rPr>
                <w:color w:val="auto"/>
                <w:szCs w:val="21"/>
                <w:highlight w:val="none"/>
              </w:rPr>
              <w:t>-</w:t>
            </w:r>
          </w:p>
        </w:tc>
        <w:tc>
          <w:tcPr>
            <w:tcW w:w="2091" w:type="pct"/>
            <w:vMerge w:val="continue"/>
            <w:tcBorders>
              <w:left w:val="single" w:color="auto" w:sz="6" w:space="0"/>
              <w:right w:val="single" w:color="auto" w:sz="6" w:space="0"/>
            </w:tcBorders>
            <w:noWrap w:val="0"/>
            <w:vAlign w:val="center"/>
          </w:tcPr>
          <w:p w14:paraId="33E8B625">
            <w:pPr>
              <w:jc w:val="center"/>
              <w:rPr>
                <w:rFonts w:hint="eastAsia"/>
                <w:color w:val="auto"/>
              </w:rPr>
            </w:pPr>
          </w:p>
        </w:tc>
        <w:tc>
          <w:tcPr>
            <w:tcW w:w="0" w:type="auto"/>
            <w:vMerge w:val="continue"/>
            <w:tcBorders>
              <w:left w:val="single" w:color="auto" w:sz="6" w:space="0"/>
              <w:right w:val="nil"/>
            </w:tcBorders>
            <w:noWrap w:val="0"/>
            <w:vAlign w:val="center"/>
          </w:tcPr>
          <w:p w14:paraId="7C510C92">
            <w:pPr>
              <w:widowControl/>
              <w:jc w:val="left"/>
              <w:rPr>
                <w:color w:val="auto"/>
                <w:szCs w:val="21"/>
              </w:rPr>
            </w:pPr>
          </w:p>
        </w:tc>
      </w:tr>
      <w:tr w14:paraId="732E4168">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74" w:type="pct"/>
            <w:vMerge w:val="continue"/>
            <w:tcBorders>
              <w:left w:val="nil"/>
              <w:bottom w:val="single" w:color="auto" w:sz="6" w:space="0"/>
              <w:right w:val="single" w:color="auto" w:sz="6" w:space="0"/>
            </w:tcBorders>
            <w:noWrap w:val="0"/>
            <w:vAlign w:val="center"/>
          </w:tcPr>
          <w:p w14:paraId="7BF6A246">
            <w:pPr>
              <w:jc w:val="center"/>
              <w:rPr>
                <w:rFonts w:hint="eastAsia"/>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08DBDD0C">
            <w:pPr>
              <w:adjustRightInd w:val="0"/>
              <w:snapToGrid w:val="0"/>
              <w:jc w:val="center"/>
              <w:rPr>
                <w:color w:val="auto"/>
                <w:szCs w:val="21"/>
                <w:highlight w:val="none"/>
              </w:rPr>
            </w:pPr>
            <w:r>
              <w:rPr>
                <w:rFonts w:hint="eastAsia"/>
                <w:color w:val="auto"/>
                <w:szCs w:val="21"/>
                <w:highlight w:val="none"/>
                <w:lang w:eastAsia="zh-CN"/>
              </w:rPr>
              <w:t>蛋库</w:t>
            </w:r>
            <w:r>
              <w:rPr>
                <w:rFonts w:hint="eastAsia"/>
                <w:color w:val="auto"/>
                <w:szCs w:val="21"/>
                <w:highlight w:val="none"/>
              </w:rPr>
              <w:t>、</w:t>
            </w:r>
            <w:r>
              <w:rPr>
                <w:color w:val="auto"/>
                <w:szCs w:val="21"/>
                <w:highlight w:val="none"/>
              </w:rPr>
              <w:t>厂区内运输路面</w:t>
            </w:r>
            <w:r>
              <w:rPr>
                <w:rFonts w:hint="eastAsia"/>
                <w:color w:val="auto"/>
                <w:szCs w:val="21"/>
                <w:highlight w:val="none"/>
              </w:rPr>
              <w:t>：</w:t>
            </w:r>
            <w:r>
              <w:rPr>
                <w:color w:val="auto"/>
                <w:szCs w:val="21"/>
                <w:highlight w:val="none"/>
              </w:rPr>
              <w:t>一般地面硬化</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277DBA1D">
            <w:pPr>
              <w:adjustRightInd w:val="0"/>
              <w:snapToGrid w:val="0"/>
              <w:jc w:val="center"/>
              <w:rPr>
                <w:rFonts w:hint="eastAsia"/>
                <w:color w:val="auto"/>
                <w:szCs w:val="21"/>
                <w:highlight w:val="none"/>
              </w:rPr>
            </w:pPr>
            <w:r>
              <w:rPr>
                <w:color w:val="auto"/>
                <w:szCs w:val="21"/>
                <w:highlight w:val="none"/>
              </w:rPr>
              <w:t>-</w:t>
            </w:r>
          </w:p>
        </w:tc>
        <w:tc>
          <w:tcPr>
            <w:tcW w:w="2091" w:type="pct"/>
            <w:vMerge w:val="continue"/>
            <w:tcBorders>
              <w:left w:val="single" w:color="auto" w:sz="6" w:space="0"/>
              <w:bottom w:val="single" w:color="auto" w:sz="6" w:space="0"/>
              <w:right w:val="single" w:color="auto" w:sz="6" w:space="0"/>
            </w:tcBorders>
            <w:noWrap w:val="0"/>
            <w:vAlign w:val="center"/>
          </w:tcPr>
          <w:p w14:paraId="4D090530">
            <w:pPr>
              <w:jc w:val="center"/>
              <w:rPr>
                <w:rFonts w:hint="eastAsia"/>
                <w:color w:val="auto"/>
              </w:rPr>
            </w:pPr>
          </w:p>
        </w:tc>
        <w:tc>
          <w:tcPr>
            <w:tcW w:w="0" w:type="auto"/>
            <w:vMerge w:val="continue"/>
            <w:tcBorders>
              <w:left w:val="single" w:color="auto" w:sz="6" w:space="0"/>
              <w:right w:val="nil"/>
            </w:tcBorders>
            <w:noWrap w:val="0"/>
            <w:vAlign w:val="center"/>
          </w:tcPr>
          <w:p w14:paraId="2B1FC64D">
            <w:pPr>
              <w:widowControl/>
              <w:jc w:val="left"/>
              <w:rPr>
                <w:color w:val="auto"/>
                <w:szCs w:val="21"/>
              </w:rPr>
            </w:pPr>
          </w:p>
        </w:tc>
      </w:tr>
      <w:tr w14:paraId="71A49C8A">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74" w:type="pct"/>
            <w:vMerge w:val="restart"/>
            <w:tcBorders>
              <w:top w:val="single" w:color="auto" w:sz="6" w:space="0"/>
              <w:left w:val="nil"/>
              <w:right w:val="single" w:color="auto" w:sz="6" w:space="0"/>
            </w:tcBorders>
            <w:noWrap w:val="0"/>
            <w:vAlign w:val="center"/>
          </w:tcPr>
          <w:p w14:paraId="33E7F53B">
            <w:pPr>
              <w:jc w:val="center"/>
              <w:rPr>
                <w:rFonts w:hint="eastAsia" w:eastAsia="宋体"/>
                <w:color w:val="auto"/>
                <w:szCs w:val="21"/>
                <w:lang w:eastAsia="zh-CN"/>
              </w:rPr>
            </w:pPr>
            <w:r>
              <w:rPr>
                <w:rFonts w:hint="eastAsia"/>
                <w:color w:val="auto"/>
                <w:szCs w:val="21"/>
                <w:lang w:eastAsia="zh-CN"/>
              </w:rPr>
              <w:t>环境风险</w:t>
            </w:r>
          </w:p>
        </w:tc>
        <w:tc>
          <w:tcPr>
            <w:tcW w:w="1192" w:type="pct"/>
            <w:tcBorders>
              <w:top w:val="single" w:color="auto" w:sz="6" w:space="0"/>
              <w:left w:val="single" w:color="auto" w:sz="6" w:space="0"/>
              <w:bottom w:val="single" w:color="auto" w:sz="6" w:space="0"/>
              <w:right w:val="single" w:color="auto" w:sz="6" w:space="0"/>
            </w:tcBorders>
            <w:noWrap w:val="0"/>
            <w:vAlign w:val="center"/>
          </w:tcPr>
          <w:p w14:paraId="2CDA36F0">
            <w:pPr>
              <w:jc w:val="center"/>
              <w:rPr>
                <w:color w:val="auto"/>
                <w:szCs w:val="21"/>
                <w:highlight w:val="none"/>
              </w:rPr>
            </w:pPr>
            <w:r>
              <w:rPr>
                <w:color w:val="auto"/>
                <w:highlight w:val="none"/>
              </w:rPr>
              <w:t>事故池</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62362DA0">
            <w:pPr>
              <w:adjustRightInd w:val="0"/>
              <w:snapToGrid w:val="0"/>
              <w:jc w:val="center"/>
              <w:rPr>
                <w:rFonts w:hint="eastAsia"/>
                <w:color w:val="auto"/>
                <w:szCs w:val="21"/>
                <w:highlight w:val="none"/>
              </w:rPr>
            </w:pPr>
            <w:r>
              <w:rPr>
                <w:color w:val="auto"/>
                <w:highlight w:val="none"/>
              </w:rPr>
              <w:t>1座，容积</w:t>
            </w:r>
            <w:r>
              <w:rPr>
                <w:rFonts w:hint="eastAsia"/>
                <w:color w:val="auto"/>
                <w:highlight w:val="none"/>
                <w:lang w:val="en-US" w:eastAsia="zh-CN"/>
              </w:rPr>
              <w:t>1</w:t>
            </w:r>
            <w:r>
              <w:rPr>
                <w:rFonts w:hint="eastAsia"/>
                <w:color w:val="auto"/>
                <w:highlight w:val="none"/>
              </w:rPr>
              <w:t>50</w:t>
            </w:r>
            <w:r>
              <w:rPr>
                <w:color w:val="auto"/>
                <w:highlight w:val="none"/>
              </w:rPr>
              <w:t>m</w:t>
            </w:r>
            <w:r>
              <w:rPr>
                <w:color w:val="auto"/>
                <w:highlight w:val="none"/>
                <w:vertAlign w:val="superscript"/>
              </w:rPr>
              <w:t>3</w:t>
            </w:r>
          </w:p>
        </w:tc>
        <w:tc>
          <w:tcPr>
            <w:tcW w:w="2091" w:type="pct"/>
            <w:vMerge w:val="restart"/>
            <w:tcBorders>
              <w:top w:val="single" w:color="auto" w:sz="6" w:space="0"/>
              <w:left w:val="single" w:color="auto" w:sz="6" w:space="0"/>
              <w:right w:val="single" w:color="auto" w:sz="6" w:space="0"/>
            </w:tcBorders>
            <w:noWrap w:val="0"/>
            <w:vAlign w:val="center"/>
          </w:tcPr>
          <w:p w14:paraId="5628EFA3">
            <w:pPr>
              <w:jc w:val="center"/>
              <w:rPr>
                <w:rFonts w:hint="eastAsia" w:eastAsia="宋体"/>
                <w:color w:val="auto"/>
                <w:lang w:val="en-US" w:eastAsia="zh-CN"/>
              </w:rPr>
            </w:pPr>
            <w:r>
              <w:rPr>
                <w:rFonts w:hint="eastAsia"/>
                <w:color w:val="auto"/>
                <w:lang w:val="en-US" w:eastAsia="zh-CN"/>
              </w:rPr>
              <w:t>/</w:t>
            </w:r>
          </w:p>
        </w:tc>
        <w:tc>
          <w:tcPr>
            <w:tcW w:w="0" w:type="auto"/>
            <w:vMerge w:val="continue"/>
            <w:tcBorders>
              <w:left w:val="single" w:color="auto" w:sz="6" w:space="0"/>
              <w:right w:val="nil"/>
            </w:tcBorders>
            <w:noWrap w:val="0"/>
            <w:vAlign w:val="center"/>
          </w:tcPr>
          <w:p w14:paraId="0C28FFF7">
            <w:pPr>
              <w:widowControl/>
              <w:jc w:val="left"/>
              <w:rPr>
                <w:color w:val="auto"/>
                <w:szCs w:val="21"/>
              </w:rPr>
            </w:pPr>
          </w:p>
        </w:tc>
      </w:tr>
      <w:tr w14:paraId="2D7F647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374" w:type="pct"/>
            <w:vMerge w:val="continue"/>
            <w:tcBorders>
              <w:left w:val="nil"/>
              <w:bottom w:val="single" w:color="auto" w:sz="6" w:space="0"/>
              <w:right w:val="single" w:color="auto" w:sz="6" w:space="0"/>
            </w:tcBorders>
            <w:noWrap w:val="0"/>
            <w:vAlign w:val="center"/>
          </w:tcPr>
          <w:p w14:paraId="3D367471">
            <w:pPr>
              <w:jc w:val="center"/>
              <w:rPr>
                <w:rFonts w:hint="eastAsia"/>
                <w:color w:val="auto"/>
                <w:szCs w:val="21"/>
              </w:rPr>
            </w:pPr>
          </w:p>
        </w:tc>
        <w:tc>
          <w:tcPr>
            <w:tcW w:w="1192" w:type="pct"/>
            <w:tcBorders>
              <w:top w:val="single" w:color="auto" w:sz="6" w:space="0"/>
              <w:left w:val="single" w:color="auto" w:sz="6" w:space="0"/>
              <w:bottom w:val="single" w:color="auto" w:sz="6" w:space="0"/>
              <w:right w:val="single" w:color="auto" w:sz="6" w:space="0"/>
            </w:tcBorders>
            <w:noWrap w:val="0"/>
            <w:vAlign w:val="center"/>
          </w:tcPr>
          <w:p w14:paraId="2EA4D98A">
            <w:pPr>
              <w:jc w:val="center"/>
              <w:rPr>
                <w:color w:val="auto"/>
                <w:szCs w:val="21"/>
                <w:highlight w:val="none"/>
              </w:rPr>
            </w:pPr>
            <w:r>
              <w:rPr>
                <w:color w:val="auto"/>
                <w:highlight w:val="none"/>
              </w:rPr>
              <w:t>风险防范物资</w:t>
            </w:r>
          </w:p>
        </w:tc>
        <w:tc>
          <w:tcPr>
            <w:tcW w:w="908" w:type="pct"/>
            <w:tcBorders>
              <w:top w:val="single" w:color="auto" w:sz="6" w:space="0"/>
              <w:left w:val="single" w:color="auto" w:sz="6" w:space="0"/>
              <w:bottom w:val="single" w:color="auto" w:sz="6" w:space="0"/>
              <w:right w:val="single" w:color="auto" w:sz="6" w:space="0"/>
            </w:tcBorders>
            <w:noWrap w:val="0"/>
            <w:vAlign w:val="center"/>
          </w:tcPr>
          <w:p w14:paraId="73A0B8A8">
            <w:pPr>
              <w:adjustRightInd w:val="0"/>
              <w:snapToGrid w:val="0"/>
              <w:jc w:val="center"/>
              <w:rPr>
                <w:rFonts w:hint="eastAsia"/>
                <w:color w:val="auto"/>
                <w:szCs w:val="21"/>
                <w:highlight w:val="none"/>
              </w:rPr>
            </w:pPr>
            <w:r>
              <w:rPr>
                <w:color w:val="auto"/>
                <w:szCs w:val="21"/>
                <w:highlight w:val="none"/>
              </w:rPr>
              <w:t>-</w:t>
            </w:r>
          </w:p>
        </w:tc>
        <w:tc>
          <w:tcPr>
            <w:tcW w:w="2091" w:type="pct"/>
            <w:vMerge w:val="continue"/>
            <w:tcBorders>
              <w:left w:val="single" w:color="auto" w:sz="6" w:space="0"/>
              <w:bottom w:val="single" w:color="auto" w:sz="6" w:space="0"/>
              <w:right w:val="single" w:color="auto" w:sz="6" w:space="0"/>
            </w:tcBorders>
            <w:noWrap w:val="0"/>
            <w:vAlign w:val="center"/>
          </w:tcPr>
          <w:p w14:paraId="351D00FA">
            <w:pPr>
              <w:jc w:val="center"/>
              <w:rPr>
                <w:rFonts w:hint="eastAsia"/>
                <w:color w:val="auto"/>
              </w:rPr>
            </w:pPr>
          </w:p>
        </w:tc>
        <w:tc>
          <w:tcPr>
            <w:tcW w:w="0" w:type="auto"/>
            <w:vMerge w:val="continue"/>
            <w:tcBorders>
              <w:left w:val="single" w:color="auto" w:sz="6" w:space="0"/>
              <w:right w:val="nil"/>
            </w:tcBorders>
            <w:noWrap w:val="0"/>
            <w:vAlign w:val="center"/>
          </w:tcPr>
          <w:p w14:paraId="40D0EA24">
            <w:pPr>
              <w:widowControl/>
              <w:jc w:val="left"/>
              <w:rPr>
                <w:color w:val="auto"/>
                <w:szCs w:val="21"/>
              </w:rPr>
            </w:pPr>
          </w:p>
        </w:tc>
      </w:tr>
      <w:tr w14:paraId="15A0BFC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14" w:hRule="atLeast"/>
          <w:jc w:val="center"/>
        </w:trPr>
        <w:tc>
          <w:tcPr>
            <w:tcW w:w="374" w:type="pct"/>
            <w:tcBorders>
              <w:top w:val="single" w:color="auto" w:sz="6" w:space="0"/>
              <w:left w:val="nil"/>
              <w:bottom w:val="single" w:color="auto" w:sz="6" w:space="0"/>
              <w:right w:val="single" w:color="auto" w:sz="6" w:space="0"/>
            </w:tcBorders>
            <w:noWrap w:val="0"/>
            <w:vAlign w:val="center"/>
          </w:tcPr>
          <w:p w14:paraId="1D71ADC1">
            <w:pPr>
              <w:adjustRightInd w:val="0"/>
              <w:snapToGrid w:val="0"/>
              <w:jc w:val="center"/>
              <w:rPr>
                <w:color w:val="auto"/>
                <w:szCs w:val="21"/>
              </w:rPr>
            </w:pPr>
            <w:r>
              <w:rPr>
                <w:rFonts w:hint="eastAsia"/>
                <w:color w:val="auto"/>
                <w:szCs w:val="21"/>
              </w:rPr>
              <w:t>地下水、土壤</w:t>
            </w:r>
          </w:p>
        </w:tc>
        <w:tc>
          <w:tcPr>
            <w:tcW w:w="4191" w:type="pct"/>
            <w:gridSpan w:val="3"/>
            <w:tcBorders>
              <w:top w:val="single" w:color="auto" w:sz="6" w:space="0"/>
              <w:left w:val="single" w:color="auto" w:sz="6" w:space="0"/>
              <w:bottom w:val="single" w:color="auto" w:sz="6" w:space="0"/>
              <w:right w:val="single" w:color="auto" w:sz="6" w:space="0"/>
            </w:tcBorders>
            <w:noWrap w:val="0"/>
            <w:vAlign w:val="center"/>
          </w:tcPr>
          <w:p w14:paraId="09DF32AA">
            <w:pPr>
              <w:adjustRightInd w:val="0"/>
              <w:snapToGrid w:val="0"/>
              <w:jc w:val="center"/>
              <w:rPr>
                <w:color w:val="auto"/>
                <w:szCs w:val="21"/>
              </w:rPr>
            </w:pPr>
            <w:r>
              <w:rPr>
                <w:rFonts w:hint="eastAsia"/>
                <w:color w:val="auto"/>
              </w:rPr>
              <w:t>采取污水贮存池、危废暂存间、污水管线为重点防渗区，防渗层防渗性能不应低于2.0mm厚渗透系数为1.0×</w:t>
            </w:r>
            <w:r>
              <w:rPr>
                <w:color w:val="auto"/>
              </w:rPr>
              <w:t>10</w:t>
            </w:r>
            <w:r>
              <w:rPr>
                <w:color w:val="auto"/>
                <w:vertAlign w:val="superscript"/>
              </w:rPr>
              <w:t>-10</w:t>
            </w:r>
            <w:r>
              <w:rPr>
                <w:color w:val="auto"/>
              </w:rPr>
              <w:t>cm/s</w:t>
            </w:r>
            <w:r>
              <w:rPr>
                <w:rFonts w:hint="eastAsia"/>
                <w:color w:val="auto"/>
              </w:rPr>
              <w:t>的粘土层的防渗性能：鸡舍、粪便贮存场为一般污染防控区，防渗性能不应低于20cm厚渗透系数1.0×</w:t>
            </w:r>
            <w:r>
              <w:rPr>
                <w:color w:val="auto"/>
              </w:rPr>
              <w:t>10</w:t>
            </w:r>
            <w:r>
              <w:rPr>
                <w:color w:val="auto"/>
                <w:vertAlign w:val="superscript"/>
              </w:rPr>
              <w:t>-</w:t>
            </w:r>
            <w:r>
              <w:rPr>
                <w:rFonts w:hint="eastAsia"/>
                <w:color w:val="auto"/>
                <w:vertAlign w:val="superscript"/>
              </w:rPr>
              <w:t>7</w:t>
            </w:r>
            <w:r>
              <w:rPr>
                <w:color w:val="auto"/>
              </w:rPr>
              <w:t>cm/s</w:t>
            </w:r>
            <w:r>
              <w:rPr>
                <w:rFonts w:hint="eastAsia"/>
                <w:color w:val="auto"/>
              </w:rPr>
              <w:t>的粘土层的防渗性能：办公区及其他构筑物为简单防渗区，采取混凝土地面，一般地面硬化。</w:t>
            </w:r>
          </w:p>
        </w:tc>
        <w:tc>
          <w:tcPr>
            <w:tcW w:w="0" w:type="auto"/>
            <w:vMerge w:val="continue"/>
            <w:tcBorders>
              <w:left w:val="single" w:color="auto" w:sz="6" w:space="0"/>
              <w:right w:val="nil"/>
            </w:tcBorders>
            <w:noWrap w:val="0"/>
            <w:vAlign w:val="center"/>
          </w:tcPr>
          <w:p w14:paraId="0573B84F">
            <w:pPr>
              <w:widowControl/>
              <w:jc w:val="left"/>
              <w:rPr>
                <w:color w:val="auto"/>
                <w:szCs w:val="21"/>
              </w:rPr>
            </w:pPr>
          </w:p>
        </w:tc>
      </w:tr>
      <w:tr w14:paraId="41D0B826">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374" w:type="pct"/>
            <w:tcBorders>
              <w:top w:val="single" w:color="auto" w:sz="6" w:space="0"/>
              <w:left w:val="nil"/>
              <w:bottom w:val="single" w:color="auto" w:sz="6" w:space="0"/>
              <w:right w:val="single" w:color="auto" w:sz="6" w:space="0"/>
            </w:tcBorders>
            <w:noWrap w:val="0"/>
            <w:vAlign w:val="center"/>
          </w:tcPr>
          <w:p w14:paraId="0873BD47">
            <w:pPr>
              <w:adjustRightInd w:val="0"/>
              <w:snapToGrid w:val="0"/>
              <w:jc w:val="center"/>
              <w:rPr>
                <w:rFonts w:hint="eastAsia"/>
                <w:color w:val="auto"/>
                <w:szCs w:val="21"/>
              </w:rPr>
            </w:pPr>
            <w:r>
              <w:rPr>
                <w:rFonts w:hint="eastAsia"/>
                <w:color w:val="auto"/>
                <w:szCs w:val="21"/>
              </w:rPr>
              <w:t>生态绿化工程</w:t>
            </w:r>
          </w:p>
        </w:tc>
        <w:tc>
          <w:tcPr>
            <w:tcW w:w="4191" w:type="pct"/>
            <w:gridSpan w:val="3"/>
            <w:tcBorders>
              <w:top w:val="single" w:color="auto" w:sz="6" w:space="0"/>
              <w:left w:val="single" w:color="auto" w:sz="6" w:space="0"/>
              <w:bottom w:val="single" w:color="auto" w:sz="6" w:space="0"/>
              <w:right w:val="single" w:color="auto" w:sz="6" w:space="0"/>
            </w:tcBorders>
            <w:noWrap w:val="0"/>
            <w:vAlign w:val="center"/>
          </w:tcPr>
          <w:p w14:paraId="0DD01990">
            <w:pPr>
              <w:jc w:val="center"/>
              <w:rPr>
                <w:rFonts w:hint="eastAsia" w:hAnsi="宋体"/>
                <w:color w:val="auto"/>
              </w:rPr>
            </w:pPr>
            <w:r>
              <w:rPr>
                <w:rFonts w:hint="eastAsia" w:hAnsi="宋体"/>
                <w:color w:val="auto"/>
              </w:rPr>
              <w:t>种植各种花草树木，厂区内地面硬化，绿化厂区外进行覆土，恢复生态原貌。</w:t>
            </w:r>
            <w:r>
              <w:rPr>
                <w:rFonts w:hint="eastAsia"/>
                <w:color w:val="auto"/>
                <w:szCs w:val="21"/>
              </w:rPr>
              <w:t>绿化面积50</w:t>
            </w:r>
            <w:r>
              <w:rPr>
                <w:rFonts w:hint="eastAsia"/>
                <w:color w:val="auto"/>
                <w:szCs w:val="21"/>
                <w:lang w:val="en-US" w:eastAsia="zh-CN"/>
              </w:rPr>
              <w:t>5</w:t>
            </w:r>
            <w:r>
              <w:rPr>
                <w:rFonts w:hint="eastAsia"/>
                <w:color w:val="auto"/>
                <w:szCs w:val="21"/>
              </w:rPr>
              <w:t>0</w:t>
            </w:r>
            <w:r>
              <w:rPr>
                <w:color w:val="auto"/>
                <w:szCs w:val="21"/>
              </w:rPr>
              <w:t>m</w:t>
            </w:r>
            <w:r>
              <w:rPr>
                <w:color w:val="auto"/>
                <w:szCs w:val="21"/>
                <w:vertAlign w:val="superscript"/>
              </w:rPr>
              <w:t>2</w:t>
            </w:r>
          </w:p>
        </w:tc>
        <w:tc>
          <w:tcPr>
            <w:tcW w:w="0" w:type="auto"/>
            <w:vMerge w:val="continue"/>
            <w:tcBorders>
              <w:left w:val="single" w:color="auto" w:sz="6" w:space="0"/>
              <w:right w:val="nil"/>
            </w:tcBorders>
            <w:noWrap w:val="0"/>
            <w:vAlign w:val="center"/>
          </w:tcPr>
          <w:p w14:paraId="78F4615A">
            <w:pPr>
              <w:widowControl/>
              <w:jc w:val="left"/>
              <w:rPr>
                <w:color w:val="auto"/>
                <w:szCs w:val="21"/>
              </w:rPr>
            </w:pPr>
          </w:p>
        </w:tc>
      </w:tr>
      <w:tr w14:paraId="305960A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374" w:type="pct"/>
            <w:tcBorders>
              <w:top w:val="single" w:color="auto" w:sz="6" w:space="0"/>
              <w:left w:val="nil"/>
              <w:bottom w:val="double" w:color="auto" w:sz="4" w:space="0"/>
              <w:right w:val="single" w:color="auto" w:sz="6" w:space="0"/>
            </w:tcBorders>
            <w:noWrap w:val="0"/>
            <w:vAlign w:val="center"/>
          </w:tcPr>
          <w:p w14:paraId="68EA1381">
            <w:pPr>
              <w:adjustRightInd w:val="0"/>
              <w:snapToGrid w:val="0"/>
              <w:jc w:val="center"/>
              <w:rPr>
                <w:rFonts w:hint="eastAsia"/>
                <w:color w:val="auto"/>
                <w:szCs w:val="21"/>
              </w:rPr>
            </w:pPr>
            <w:r>
              <w:rPr>
                <w:rFonts w:hint="eastAsia"/>
                <w:color w:val="auto"/>
                <w:szCs w:val="21"/>
              </w:rPr>
              <w:t>其他</w:t>
            </w:r>
          </w:p>
        </w:tc>
        <w:tc>
          <w:tcPr>
            <w:tcW w:w="4191" w:type="pct"/>
            <w:gridSpan w:val="3"/>
            <w:tcBorders>
              <w:top w:val="single" w:color="auto" w:sz="6" w:space="0"/>
              <w:left w:val="single" w:color="auto" w:sz="6" w:space="0"/>
              <w:bottom w:val="double" w:color="auto" w:sz="4" w:space="0"/>
              <w:right w:val="single" w:color="auto" w:sz="6" w:space="0"/>
            </w:tcBorders>
            <w:noWrap w:val="0"/>
            <w:vAlign w:val="center"/>
          </w:tcPr>
          <w:p w14:paraId="17718CAB">
            <w:pPr>
              <w:jc w:val="center"/>
              <w:rPr>
                <w:rFonts w:hint="eastAsia" w:eastAsia="宋体"/>
                <w:color w:val="auto"/>
                <w:sz w:val="21"/>
                <w:szCs w:val="21"/>
                <w:lang w:eastAsia="zh-CN"/>
              </w:rPr>
            </w:pPr>
            <w:r>
              <w:rPr>
                <w:rFonts w:hint="eastAsia"/>
                <w:color w:val="auto"/>
                <w:sz w:val="21"/>
                <w:szCs w:val="21"/>
                <w:lang w:eastAsia="zh-CN"/>
              </w:rPr>
              <w:t>参照</w:t>
            </w:r>
            <w:r>
              <w:rPr>
                <w:rFonts w:hint="eastAsia"/>
                <w:color w:val="auto"/>
                <w:sz w:val="21"/>
                <w:szCs w:val="21"/>
                <w:lang w:val="en-US" w:eastAsia="zh-CN"/>
              </w:rPr>
              <w:t>相关规定，对排污口进行规范化设置。</w:t>
            </w:r>
          </w:p>
        </w:tc>
        <w:tc>
          <w:tcPr>
            <w:tcW w:w="0" w:type="auto"/>
            <w:vMerge w:val="continue"/>
            <w:tcBorders>
              <w:left w:val="single" w:color="auto" w:sz="6" w:space="0"/>
              <w:bottom w:val="double" w:color="auto" w:sz="4" w:space="0"/>
              <w:right w:val="nil"/>
            </w:tcBorders>
            <w:noWrap w:val="0"/>
            <w:vAlign w:val="center"/>
          </w:tcPr>
          <w:p w14:paraId="2AED57F3">
            <w:pPr>
              <w:widowControl/>
              <w:jc w:val="left"/>
              <w:rPr>
                <w:color w:val="auto"/>
                <w:szCs w:val="21"/>
              </w:rPr>
            </w:pPr>
          </w:p>
        </w:tc>
      </w:tr>
    </w:tbl>
    <w:p w14:paraId="4B5DA240">
      <w:pPr>
        <w:keepNext/>
        <w:keepLines/>
        <w:spacing w:line="360" w:lineRule="auto"/>
        <w:outlineLvl w:val="1"/>
        <w:rPr>
          <w:rFonts w:ascii="Times New Roman" w:hAnsi="Times New Roman" w:eastAsia="宋体" w:cs="Times New Roman"/>
          <w:b/>
          <w:color w:val="auto"/>
          <w:sz w:val="30"/>
        </w:rPr>
      </w:pPr>
      <w:bookmarkStart w:id="449" w:name="_Toc1846"/>
      <w:bookmarkStart w:id="450" w:name="_Toc10896"/>
      <w:r>
        <w:rPr>
          <w:rFonts w:ascii="Times New Roman" w:hAnsi="Times New Roman" w:eastAsia="宋体" w:cs="Times New Roman"/>
          <w:b/>
          <w:color w:val="auto"/>
          <w:sz w:val="30"/>
        </w:rPr>
        <w:t>9.4污染物排放清单</w:t>
      </w:r>
      <w:bookmarkEnd w:id="449"/>
      <w:bookmarkEnd w:id="450"/>
    </w:p>
    <w:p w14:paraId="4EBF9B20">
      <w:pPr>
        <w:adjustRightInd w:val="0"/>
        <w:snapToGrid w:val="0"/>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本</w:t>
      </w:r>
      <w:r>
        <w:rPr>
          <w:rFonts w:ascii="Times New Roman" w:hAnsi="Times New Roman" w:eastAsia="宋体" w:cs="Times New Roman"/>
          <w:color w:val="auto"/>
          <w:sz w:val="24"/>
        </w:rPr>
        <w:t>项目污染物排放清单见表</w:t>
      </w:r>
      <w:r>
        <w:rPr>
          <w:rFonts w:hint="eastAsia" w:ascii="Times New Roman" w:hAnsi="Times New Roman" w:eastAsia="宋体" w:cs="Times New Roman"/>
          <w:color w:val="auto"/>
          <w:sz w:val="24"/>
          <w:lang w:val="en-US" w:eastAsia="zh-CN"/>
        </w:rPr>
        <w:t>9</w:t>
      </w:r>
      <w:r>
        <w:rPr>
          <w:rFonts w:hint="eastAsia" w:cs="Times New Roman"/>
          <w:color w:val="auto"/>
          <w:sz w:val="24"/>
          <w:lang w:val="en-US" w:eastAsia="zh-CN"/>
        </w:rPr>
        <w:t>.4-1</w:t>
      </w:r>
      <w:r>
        <w:rPr>
          <w:rFonts w:ascii="Times New Roman" w:hAnsi="Times New Roman" w:eastAsia="宋体" w:cs="Times New Roman"/>
          <w:color w:val="auto"/>
          <w:sz w:val="24"/>
        </w:rPr>
        <w:t>。</w:t>
      </w:r>
    </w:p>
    <w:p w14:paraId="64919733">
      <w:pPr>
        <w:adjustRightInd w:val="0"/>
        <w:snapToGrid w:val="0"/>
        <w:jc w:val="center"/>
        <w:rPr>
          <w:b/>
          <w:color w:val="auto"/>
          <w:szCs w:val="21"/>
        </w:rPr>
      </w:pPr>
      <w:r>
        <w:rPr>
          <w:b/>
          <w:color w:val="auto"/>
          <w:szCs w:val="21"/>
        </w:rPr>
        <w:t>表9</w:t>
      </w:r>
      <w:r>
        <w:rPr>
          <w:rFonts w:hint="eastAsia"/>
          <w:b/>
          <w:color w:val="auto"/>
          <w:szCs w:val="21"/>
          <w:lang w:val="en-US" w:eastAsia="zh-CN"/>
        </w:rPr>
        <w:t xml:space="preserve">.4-1 </w:t>
      </w:r>
      <w:r>
        <w:rPr>
          <w:b/>
          <w:color w:val="auto"/>
          <w:szCs w:val="21"/>
        </w:rPr>
        <w:t xml:space="preserve">   项目污染物排放清单一览表</w:t>
      </w:r>
    </w:p>
    <w:tbl>
      <w:tblPr>
        <w:tblStyle w:val="53"/>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
        <w:gridCol w:w="285"/>
        <w:gridCol w:w="563"/>
        <w:gridCol w:w="636"/>
        <w:gridCol w:w="846"/>
        <w:gridCol w:w="899"/>
        <w:gridCol w:w="1085"/>
        <w:gridCol w:w="1181"/>
        <w:gridCol w:w="427"/>
        <w:gridCol w:w="587"/>
        <w:gridCol w:w="793"/>
        <w:gridCol w:w="798"/>
      </w:tblGrid>
      <w:tr w14:paraId="1141774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restart"/>
            <w:vAlign w:val="center"/>
          </w:tcPr>
          <w:p w14:paraId="64B40516">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eastAsia="宋体"/>
                <w:b/>
                <w:color w:val="auto"/>
                <w:szCs w:val="21"/>
                <w:highlight w:val="none"/>
                <w:lang w:eastAsia="zh-CN"/>
              </w:rPr>
            </w:pPr>
            <w:r>
              <w:rPr>
                <w:rFonts w:hint="eastAsia"/>
                <w:b/>
                <w:color w:val="auto"/>
                <w:szCs w:val="21"/>
                <w:highlight w:val="none"/>
                <w:lang w:val="en-US" w:eastAsia="zh-CN"/>
              </w:rPr>
              <w:t>类别</w:t>
            </w:r>
          </w:p>
        </w:tc>
        <w:tc>
          <w:tcPr>
            <w:tcW w:w="167" w:type="pct"/>
            <w:vMerge w:val="restart"/>
            <w:vAlign w:val="center"/>
          </w:tcPr>
          <w:p w14:paraId="643ADB0F">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eastAsia="宋体"/>
                <w:b/>
                <w:color w:val="auto"/>
                <w:szCs w:val="21"/>
                <w:highlight w:val="none"/>
                <w:lang w:val="en-US" w:eastAsia="zh-CN"/>
              </w:rPr>
            </w:pPr>
            <w:r>
              <w:rPr>
                <w:rFonts w:hint="eastAsia"/>
                <w:b/>
                <w:color w:val="auto"/>
                <w:szCs w:val="21"/>
                <w:highlight w:val="none"/>
                <w:lang w:val="en-US" w:eastAsia="zh-CN"/>
              </w:rPr>
              <w:t>污染源名称</w:t>
            </w:r>
          </w:p>
        </w:tc>
        <w:tc>
          <w:tcPr>
            <w:tcW w:w="330" w:type="pct"/>
            <w:vMerge w:val="restart"/>
            <w:vAlign w:val="center"/>
          </w:tcPr>
          <w:p w14:paraId="75C9EBB3">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eastAsia="宋体"/>
                <w:b/>
                <w:color w:val="auto"/>
                <w:szCs w:val="21"/>
                <w:highlight w:val="none"/>
                <w:lang w:val="en-US" w:eastAsia="zh-CN"/>
              </w:rPr>
            </w:pPr>
            <w:r>
              <w:rPr>
                <w:rFonts w:hint="eastAsia"/>
                <w:b/>
                <w:color w:val="auto"/>
                <w:szCs w:val="21"/>
                <w:highlight w:val="none"/>
                <w:lang w:val="en-US" w:eastAsia="zh-CN"/>
              </w:rPr>
              <w:t>排放形式</w:t>
            </w:r>
          </w:p>
        </w:tc>
        <w:tc>
          <w:tcPr>
            <w:tcW w:w="373" w:type="pct"/>
            <w:vMerge w:val="restart"/>
            <w:vAlign w:val="center"/>
          </w:tcPr>
          <w:p w14:paraId="3C245C21">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eastAsia="宋体"/>
                <w:b/>
                <w:color w:val="auto"/>
                <w:szCs w:val="21"/>
                <w:highlight w:val="none"/>
                <w:lang w:val="en-US" w:eastAsia="zh-CN"/>
              </w:rPr>
            </w:pPr>
            <w:r>
              <w:rPr>
                <w:rFonts w:hint="eastAsia"/>
                <w:b/>
                <w:color w:val="auto"/>
                <w:szCs w:val="21"/>
                <w:highlight w:val="none"/>
                <w:lang w:val="en-US" w:eastAsia="zh-CN"/>
              </w:rPr>
              <w:t>污染物</w:t>
            </w:r>
          </w:p>
        </w:tc>
        <w:tc>
          <w:tcPr>
            <w:tcW w:w="1659" w:type="pct"/>
            <w:gridSpan w:val="3"/>
            <w:vAlign w:val="center"/>
          </w:tcPr>
          <w:p w14:paraId="3C181816">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highlight w:val="none"/>
                <w:lang w:val="en-US"/>
              </w:rPr>
            </w:pPr>
            <w:r>
              <w:rPr>
                <w:rFonts w:hint="eastAsia"/>
                <w:b/>
                <w:color w:val="auto"/>
                <w:szCs w:val="21"/>
                <w:highlight w:val="none"/>
                <w:lang w:val="en-US" w:eastAsia="zh-CN"/>
              </w:rPr>
              <w:t>产生情况</w:t>
            </w:r>
          </w:p>
        </w:tc>
        <w:tc>
          <w:tcPr>
            <w:tcW w:w="692" w:type="pct"/>
            <w:vMerge w:val="restart"/>
            <w:vAlign w:val="center"/>
          </w:tcPr>
          <w:p w14:paraId="203EDB7F">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lang w:val="en-US" w:eastAsia="zh-CN"/>
              </w:rPr>
            </w:pPr>
            <w:r>
              <w:rPr>
                <w:rFonts w:hint="eastAsia"/>
                <w:b/>
                <w:color w:val="auto"/>
                <w:szCs w:val="21"/>
                <w:lang w:val="en-US" w:eastAsia="zh-CN"/>
              </w:rPr>
              <w:t>治理措施</w:t>
            </w:r>
          </w:p>
        </w:tc>
        <w:tc>
          <w:tcPr>
            <w:tcW w:w="250" w:type="pct"/>
            <w:vMerge w:val="restart"/>
            <w:vAlign w:val="center"/>
          </w:tcPr>
          <w:p w14:paraId="0F240C2E">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lang w:val="en-US" w:eastAsia="zh-CN"/>
              </w:rPr>
            </w:pPr>
            <w:r>
              <w:rPr>
                <w:rFonts w:hint="eastAsia"/>
                <w:b/>
                <w:color w:val="auto"/>
                <w:szCs w:val="21"/>
                <w:lang w:val="en-US" w:eastAsia="zh-CN"/>
              </w:rPr>
              <w:t>处理效率%</w:t>
            </w:r>
          </w:p>
        </w:tc>
        <w:tc>
          <w:tcPr>
            <w:tcW w:w="1277" w:type="pct"/>
            <w:gridSpan w:val="3"/>
            <w:vAlign w:val="center"/>
          </w:tcPr>
          <w:p w14:paraId="512E9E5D">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lang w:val="en-US" w:eastAsia="zh-CN"/>
              </w:rPr>
            </w:pPr>
            <w:r>
              <w:rPr>
                <w:rFonts w:hint="eastAsia"/>
                <w:b/>
                <w:color w:val="auto"/>
                <w:szCs w:val="21"/>
                <w:lang w:val="en-US" w:eastAsia="zh-CN"/>
              </w:rPr>
              <w:t>污染物排放</w:t>
            </w:r>
          </w:p>
        </w:tc>
      </w:tr>
      <w:tr w14:paraId="23B94FC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tcBorders>
              <w:bottom w:val="single" w:color="auto" w:sz="6" w:space="0"/>
            </w:tcBorders>
            <w:vAlign w:val="center"/>
          </w:tcPr>
          <w:p w14:paraId="51A8D8ED">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b/>
                <w:color w:val="auto"/>
                <w:szCs w:val="21"/>
                <w:highlight w:val="none"/>
                <w:lang w:val="en-US" w:eastAsia="zh-CN"/>
              </w:rPr>
            </w:pPr>
          </w:p>
        </w:tc>
        <w:tc>
          <w:tcPr>
            <w:tcW w:w="167" w:type="pct"/>
            <w:vMerge w:val="continue"/>
            <w:vAlign w:val="center"/>
          </w:tcPr>
          <w:p w14:paraId="40D83B35">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b/>
                <w:color w:val="auto"/>
                <w:szCs w:val="21"/>
                <w:highlight w:val="none"/>
                <w:lang w:val="en-US" w:eastAsia="zh-CN"/>
              </w:rPr>
            </w:pPr>
          </w:p>
        </w:tc>
        <w:tc>
          <w:tcPr>
            <w:tcW w:w="330" w:type="pct"/>
            <w:vMerge w:val="continue"/>
            <w:vAlign w:val="center"/>
          </w:tcPr>
          <w:p w14:paraId="460F1191">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b/>
                <w:color w:val="auto"/>
                <w:szCs w:val="21"/>
                <w:highlight w:val="none"/>
                <w:lang w:val="en-US" w:eastAsia="zh-CN"/>
              </w:rPr>
            </w:pPr>
          </w:p>
        </w:tc>
        <w:tc>
          <w:tcPr>
            <w:tcW w:w="373" w:type="pct"/>
            <w:vMerge w:val="continue"/>
            <w:vAlign w:val="center"/>
          </w:tcPr>
          <w:p w14:paraId="50632F7B">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b/>
                <w:color w:val="auto"/>
                <w:szCs w:val="21"/>
                <w:highlight w:val="none"/>
                <w:lang w:val="en-US" w:eastAsia="zh-CN"/>
              </w:rPr>
            </w:pPr>
          </w:p>
        </w:tc>
        <w:tc>
          <w:tcPr>
            <w:tcW w:w="496" w:type="pct"/>
            <w:vAlign w:val="center"/>
          </w:tcPr>
          <w:p w14:paraId="3A940176">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ascii="Times New Roman" w:hAnsi="Times New Roman" w:eastAsia="宋体" w:cs="Times New Roman"/>
                <w:b/>
                <w:color w:val="auto"/>
                <w:kern w:val="2"/>
                <w:sz w:val="21"/>
                <w:szCs w:val="21"/>
                <w:highlight w:val="none"/>
                <w:lang w:val="en-US" w:eastAsia="zh-CN" w:bidi="ar-SA"/>
              </w:rPr>
            </w:pPr>
            <w:r>
              <w:rPr>
                <w:rFonts w:hint="eastAsia"/>
                <w:b/>
                <w:color w:val="auto"/>
                <w:szCs w:val="21"/>
                <w:highlight w:val="none"/>
                <w:lang w:val="en-US" w:eastAsia="zh-CN"/>
              </w:rPr>
              <w:t>产生浓度mg/m</w:t>
            </w:r>
            <w:r>
              <w:rPr>
                <w:rFonts w:hint="eastAsia"/>
                <w:b/>
                <w:color w:val="auto"/>
                <w:szCs w:val="21"/>
                <w:highlight w:val="none"/>
                <w:vertAlign w:val="superscript"/>
                <w:lang w:val="en-US" w:eastAsia="zh-CN"/>
              </w:rPr>
              <w:t>3</w:t>
            </w:r>
          </w:p>
        </w:tc>
        <w:tc>
          <w:tcPr>
            <w:tcW w:w="527" w:type="pct"/>
            <w:vAlign w:val="center"/>
          </w:tcPr>
          <w:p w14:paraId="0C674D15">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ascii="Times New Roman" w:hAnsi="Times New Roman" w:eastAsia="宋体" w:cs="Times New Roman"/>
                <w:b/>
                <w:color w:val="auto"/>
                <w:kern w:val="2"/>
                <w:sz w:val="21"/>
                <w:szCs w:val="21"/>
                <w:highlight w:val="none"/>
                <w:lang w:val="en-US" w:eastAsia="zh-CN" w:bidi="ar-SA"/>
              </w:rPr>
            </w:pPr>
            <w:r>
              <w:rPr>
                <w:rFonts w:hint="eastAsia"/>
                <w:b/>
                <w:color w:val="auto"/>
                <w:szCs w:val="21"/>
                <w:highlight w:val="none"/>
                <w:lang w:val="en-US" w:eastAsia="zh-CN"/>
              </w:rPr>
              <w:t>产生速率kg/h</w:t>
            </w:r>
          </w:p>
        </w:tc>
        <w:tc>
          <w:tcPr>
            <w:tcW w:w="636" w:type="pct"/>
            <w:vAlign w:val="center"/>
          </w:tcPr>
          <w:p w14:paraId="1AF0CB3D">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ascii="Times New Roman" w:hAnsi="Times New Roman" w:eastAsia="宋体" w:cs="Times New Roman"/>
                <w:b/>
                <w:color w:val="auto"/>
                <w:kern w:val="2"/>
                <w:sz w:val="21"/>
                <w:szCs w:val="21"/>
                <w:highlight w:val="none"/>
                <w:lang w:val="en-US" w:eastAsia="zh-CN" w:bidi="ar-SA"/>
              </w:rPr>
            </w:pPr>
            <w:r>
              <w:rPr>
                <w:rFonts w:hint="eastAsia"/>
                <w:b/>
                <w:color w:val="auto"/>
                <w:szCs w:val="21"/>
                <w:highlight w:val="none"/>
                <w:lang w:val="en-US" w:eastAsia="zh-CN"/>
              </w:rPr>
              <w:t>产生量t/a</w:t>
            </w:r>
          </w:p>
        </w:tc>
        <w:tc>
          <w:tcPr>
            <w:tcW w:w="692" w:type="pct"/>
            <w:vMerge w:val="continue"/>
            <w:vAlign w:val="center"/>
          </w:tcPr>
          <w:p w14:paraId="4891949B">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b/>
                <w:color w:val="auto"/>
                <w:szCs w:val="21"/>
                <w:lang w:val="en-US" w:eastAsia="zh-CN"/>
              </w:rPr>
            </w:pPr>
          </w:p>
        </w:tc>
        <w:tc>
          <w:tcPr>
            <w:tcW w:w="250" w:type="pct"/>
            <w:vMerge w:val="continue"/>
            <w:vAlign w:val="center"/>
          </w:tcPr>
          <w:p w14:paraId="6D8D45BC">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eastAsia"/>
                <w:b/>
                <w:color w:val="auto"/>
                <w:szCs w:val="21"/>
                <w:lang w:val="en-US" w:eastAsia="zh-CN"/>
              </w:rPr>
            </w:pPr>
          </w:p>
        </w:tc>
        <w:tc>
          <w:tcPr>
            <w:tcW w:w="344" w:type="pct"/>
            <w:vAlign w:val="center"/>
          </w:tcPr>
          <w:p w14:paraId="1ED05E55">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lang w:val="en-US" w:eastAsia="zh-CN"/>
              </w:rPr>
            </w:pPr>
            <w:r>
              <w:rPr>
                <w:rFonts w:hint="eastAsia"/>
                <w:b/>
                <w:color w:val="auto"/>
                <w:szCs w:val="21"/>
                <w:lang w:val="en-US" w:eastAsia="zh-CN"/>
              </w:rPr>
              <w:t>排放浓度mg/m</w:t>
            </w:r>
            <w:r>
              <w:rPr>
                <w:rFonts w:hint="eastAsia"/>
                <w:b/>
                <w:color w:val="auto"/>
                <w:szCs w:val="21"/>
                <w:vertAlign w:val="superscript"/>
                <w:lang w:val="en-US" w:eastAsia="zh-CN"/>
              </w:rPr>
              <w:t>3</w:t>
            </w:r>
          </w:p>
        </w:tc>
        <w:tc>
          <w:tcPr>
            <w:tcW w:w="465" w:type="pct"/>
            <w:vAlign w:val="center"/>
          </w:tcPr>
          <w:p w14:paraId="39B0503B">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lang w:val="en-US" w:eastAsia="zh-CN"/>
              </w:rPr>
            </w:pPr>
            <w:r>
              <w:rPr>
                <w:rFonts w:hint="eastAsia"/>
                <w:b/>
                <w:color w:val="auto"/>
                <w:szCs w:val="21"/>
                <w:lang w:val="en-US" w:eastAsia="zh-CN"/>
              </w:rPr>
              <w:t>排放速率kg/h</w:t>
            </w:r>
          </w:p>
        </w:tc>
        <w:tc>
          <w:tcPr>
            <w:tcW w:w="468" w:type="pct"/>
            <w:vAlign w:val="center"/>
          </w:tcPr>
          <w:p w14:paraId="4A9E17D2">
            <w:pPr>
              <w:keepNext w:val="0"/>
              <w:keepLines w:val="0"/>
              <w:pageBreakBefore w:val="0"/>
              <w:widowControl w:val="0"/>
              <w:tabs>
                <w:tab w:val="right" w:pos="7938"/>
              </w:tabs>
              <w:kinsoku/>
              <w:wordWrap/>
              <w:overflowPunct/>
              <w:topLinePunct w:val="0"/>
              <w:autoSpaceDE/>
              <w:autoSpaceDN/>
              <w:bidi w:val="0"/>
              <w:adjustRightInd/>
              <w:snapToGrid w:val="0"/>
              <w:ind w:left="-105" w:leftChars="-50" w:right="-105" w:rightChars="-50"/>
              <w:jc w:val="center"/>
              <w:textAlignment w:val="auto"/>
              <w:rPr>
                <w:rFonts w:hint="default"/>
                <w:b/>
                <w:color w:val="auto"/>
                <w:szCs w:val="21"/>
                <w:lang w:val="en-US" w:eastAsia="zh-CN"/>
              </w:rPr>
            </w:pPr>
            <w:r>
              <w:rPr>
                <w:rFonts w:hint="eastAsia"/>
                <w:b/>
                <w:color w:val="auto"/>
                <w:szCs w:val="21"/>
                <w:lang w:val="en-US" w:eastAsia="zh-CN"/>
              </w:rPr>
              <w:t>排放量t/a</w:t>
            </w:r>
          </w:p>
        </w:tc>
      </w:tr>
      <w:tr w14:paraId="7E10177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restart"/>
            <w:tcBorders>
              <w:top w:val="single" w:color="auto" w:sz="6" w:space="0"/>
            </w:tcBorders>
            <w:vAlign w:val="center"/>
          </w:tcPr>
          <w:p w14:paraId="0553B050">
            <w:pPr>
              <w:jc w:val="center"/>
              <w:rPr>
                <w:rFonts w:hint="default" w:eastAsia="宋体"/>
                <w:color w:val="auto"/>
                <w:szCs w:val="21"/>
                <w:highlight w:val="none"/>
                <w:lang w:val="en-US" w:eastAsia="zh-CN"/>
              </w:rPr>
            </w:pPr>
            <w:r>
              <w:rPr>
                <w:color w:val="auto"/>
                <w:szCs w:val="21"/>
                <w:highlight w:val="none"/>
              </w:rPr>
              <w:t>废气</w:t>
            </w:r>
          </w:p>
        </w:tc>
        <w:tc>
          <w:tcPr>
            <w:tcW w:w="167" w:type="pct"/>
            <w:vMerge w:val="restart"/>
            <w:vAlign w:val="center"/>
          </w:tcPr>
          <w:p w14:paraId="79E01DE8">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pacing w:val="4"/>
                <w:szCs w:val="21"/>
                <w:highlight w:val="none"/>
                <w:lang w:eastAsia="zh-CN"/>
              </w:rPr>
            </w:pPr>
            <w:r>
              <w:rPr>
                <w:rFonts w:hint="eastAsia"/>
                <w:color w:val="auto"/>
                <w:spacing w:val="4"/>
                <w:szCs w:val="21"/>
                <w:highlight w:val="none"/>
                <w:lang w:eastAsia="zh-CN"/>
              </w:rPr>
              <w:t>鸡舍</w:t>
            </w:r>
          </w:p>
        </w:tc>
        <w:tc>
          <w:tcPr>
            <w:tcW w:w="330" w:type="pct"/>
            <w:vMerge w:val="restart"/>
            <w:vAlign w:val="center"/>
          </w:tcPr>
          <w:p w14:paraId="4181F78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无组织</w:t>
            </w:r>
          </w:p>
        </w:tc>
        <w:tc>
          <w:tcPr>
            <w:tcW w:w="373" w:type="pct"/>
            <w:vAlign w:val="center"/>
          </w:tcPr>
          <w:p w14:paraId="50CA5C0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NH</w:t>
            </w:r>
            <w:r>
              <w:rPr>
                <w:rFonts w:hint="eastAsia"/>
                <w:color w:val="auto"/>
                <w:szCs w:val="21"/>
                <w:highlight w:val="none"/>
                <w:vertAlign w:val="subscript"/>
                <w:lang w:val="en-US" w:eastAsia="zh-CN"/>
              </w:rPr>
              <w:t>3</w:t>
            </w:r>
          </w:p>
        </w:tc>
        <w:tc>
          <w:tcPr>
            <w:tcW w:w="496" w:type="pct"/>
            <w:vAlign w:val="center"/>
          </w:tcPr>
          <w:p w14:paraId="3EC601A2">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527" w:type="pct"/>
            <w:vAlign w:val="center"/>
          </w:tcPr>
          <w:p w14:paraId="62340CFF">
            <w:pPr>
              <w:autoSpaceDE w:val="0"/>
              <w:autoSpaceDN w:val="0"/>
              <w:adjustRightInd w:val="0"/>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0.025</w:t>
            </w:r>
          </w:p>
        </w:tc>
        <w:tc>
          <w:tcPr>
            <w:tcW w:w="636" w:type="pct"/>
            <w:vAlign w:val="center"/>
          </w:tcPr>
          <w:p w14:paraId="63F8EFC0">
            <w:pPr>
              <w:autoSpaceDE w:val="0"/>
              <w:autoSpaceDN w:val="0"/>
              <w:adjustRightIn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0.219</w:t>
            </w:r>
          </w:p>
        </w:tc>
        <w:tc>
          <w:tcPr>
            <w:tcW w:w="692" w:type="pct"/>
            <w:vMerge w:val="restart"/>
            <w:vAlign w:val="center"/>
          </w:tcPr>
          <w:p w14:paraId="0567DDE3">
            <w:pPr>
              <w:pStyle w:val="458"/>
              <w:keepNext w:val="0"/>
              <w:keepLines w:val="0"/>
              <w:pageBreakBefore w:val="0"/>
              <w:kinsoku/>
              <w:wordWrap/>
              <w:overflowPunct/>
              <w:topLinePunct w:val="0"/>
              <w:autoSpaceDE/>
              <w:autoSpaceDN/>
              <w:bidi w:val="0"/>
              <w:ind w:left="-105" w:leftChars="-50" w:right="-105" w:rightChars="-50"/>
              <w:rPr>
                <w:rFonts w:eastAsia="宋体"/>
                <w:color w:val="auto"/>
                <w:sz w:val="21"/>
                <w:szCs w:val="21"/>
                <w:highlight w:val="none"/>
              </w:rPr>
            </w:pPr>
            <w:r>
              <w:rPr>
                <w:rFonts w:eastAsia="宋体"/>
                <w:color w:val="auto"/>
                <w:sz w:val="21"/>
                <w:szCs w:val="21"/>
                <w:highlight w:val="none"/>
              </w:rPr>
              <w:t>①选用益生菌配方饲料；</w:t>
            </w:r>
          </w:p>
          <w:p w14:paraId="2FC58230">
            <w:pPr>
              <w:pStyle w:val="458"/>
              <w:keepNext w:val="0"/>
              <w:keepLines w:val="0"/>
              <w:pageBreakBefore w:val="0"/>
              <w:kinsoku/>
              <w:wordWrap/>
              <w:overflowPunct/>
              <w:topLinePunct w:val="0"/>
              <w:autoSpaceDE/>
              <w:autoSpaceDN/>
              <w:bidi w:val="0"/>
              <w:ind w:left="-105" w:leftChars="-50" w:right="-105" w:rightChars="-50"/>
              <w:rPr>
                <w:rFonts w:eastAsia="宋体"/>
                <w:color w:val="auto"/>
                <w:sz w:val="21"/>
                <w:szCs w:val="21"/>
                <w:highlight w:val="none"/>
              </w:rPr>
            </w:pPr>
            <w:r>
              <w:rPr>
                <w:rFonts w:eastAsia="宋体"/>
                <w:color w:val="auto"/>
                <w:sz w:val="21"/>
                <w:szCs w:val="21"/>
                <w:highlight w:val="none"/>
              </w:rPr>
              <w:t>②及时清运粪污；</w:t>
            </w:r>
          </w:p>
          <w:p w14:paraId="301967AF">
            <w:pPr>
              <w:pStyle w:val="458"/>
              <w:keepNext w:val="0"/>
              <w:keepLines w:val="0"/>
              <w:pageBreakBefore w:val="0"/>
              <w:kinsoku/>
              <w:wordWrap/>
              <w:overflowPunct/>
              <w:topLinePunct w:val="0"/>
              <w:autoSpaceDE/>
              <w:autoSpaceDN/>
              <w:bidi w:val="0"/>
              <w:ind w:left="-105" w:leftChars="-50" w:right="-105" w:rightChars="-50"/>
              <w:rPr>
                <w:rFonts w:eastAsia="宋体"/>
                <w:color w:val="auto"/>
                <w:sz w:val="21"/>
                <w:szCs w:val="21"/>
                <w:highlight w:val="none"/>
              </w:rPr>
            </w:pPr>
            <w:r>
              <w:rPr>
                <w:rFonts w:eastAsia="宋体"/>
                <w:color w:val="auto"/>
                <w:sz w:val="21"/>
                <w:szCs w:val="21"/>
                <w:highlight w:val="none"/>
              </w:rPr>
              <w:t>③向舍内定期投入除臭剂；</w:t>
            </w:r>
          </w:p>
          <w:p w14:paraId="406FD773">
            <w:pPr>
              <w:keepNext w:val="0"/>
              <w:keepLines w:val="0"/>
              <w:pageBreakBefore w:val="0"/>
              <w:kinsoku/>
              <w:wordWrap/>
              <w:overflowPunct/>
              <w:topLinePunct w:val="0"/>
              <w:autoSpaceDE/>
              <w:autoSpaceDN/>
              <w:bidi w:val="0"/>
              <w:ind w:left="-105" w:leftChars="-50" w:right="-105" w:rightChars="-50"/>
              <w:jc w:val="center"/>
              <w:rPr>
                <w:rFonts w:hint="eastAsia" w:eastAsia="宋体"/>
                <w:color w:val="auto"/>
                <w:szCs w:val="21"/>
                <w:highlight w:val="none"/>
                <w:lang w:eastAsia="zh-CN"/>
              </w:rPr>
            </w:pPr>
            <w:r>
              <w:rPr>
                <w:rFonts w:eastAsia="宋体"/>
                <w:color w:val="auto"/>
                <w:sz w:val="21"/>
                <w:szCs w:val="21"/>
                <w:highlight w:val="none"/>
              </w:rPr>
              <w:t>④周边加强绿化</w:t>
            </w:r>
            <w:r>
              <w:rPr>
                <w:rFonts w:hint="eastAsia"/>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fldChar w:fldCharType="begin"/>
            </w:r>
            <w:r>
              <w:rPr>
                <w:rFonts w:hint="default" w:ascii="Times New Roman" w:hAnsi="Times New Roman" w:eastAsia="宋体" w:cs="Times New Roman"/>
                <w:color w:val="auto"/>
                <w:sz w:val="21"/>
                <w:szCs w:val="21"/>
                <w:highlight w:val="none"/>
                <w:lang w:eastAsia="zh-CN"/>
              </w:rPr>
              <w:instrText xml:space="preserve"> = 5 \* GB3 \* MERGEFORMAT </w:instrText>
            </w:r>
            <w:r>
              <w:rPr>
                <w:rFonts w:hint="default" w:ascii="Times New Roman" w:hAnsi="Times New Roman" w:eastAsia="宋体" w:cs="Times New Roman"/>
                <w:color w:val="auto"/>
                <w:sz w:val="21"/>
                <w:szCs w:val="21"/>
                <w:highlight w:val="none"/>
                <w:lang w:eastAsia="zh-CN"/>
              </w:rPr>
              <w:fldChar w:fldCharType="separate"/>
            </w:r>
            <w:r>
              <w:rPr>
                <w:rFonts w:hint="default" w:ascii="Times New Roman" w:hAnsi="Times New Roman" w:eastAsia="宋体" w:cs="Times New Roman"/>
                <w:color w:val="auto"/>
                <w:sz w:val="21"/>
                <w:szCs w:val="21"/>
              </w:rPr>
              <w:t>⑤</w:t>
            </w:r>
            <w:r>
              <w:rPr>
                <w:rFonts w:hint="default" w:ascii="Times New Roman" w:hAnsi="Times New Roman" w:eastAsia="宋体" w:cs="Times New Roman"/>
                <w:color w:val="auto"/>
                <w:sz w:val="21"/>
                <w:szCs w:val="21"/>
                <w:highlight w:val="none"/>
                <w:lang w:eastAsia="zh-CN"/>
              </w:rPr>
              <w:fldChar w:fldCharType="end"/>
            </w:r>
            <w:r>
              <w:rPr>
                <w:rFonts w:hint="eastAsia" w:eastAsia="宋体"/>
                <w:color w:val="auto"/>
                <w:sz w:val="21"/>
                <w:szCs w:val="21"/>
                <w:highlight w:val="none"/>
                <w:lang w:eastAsia="zh-CN"/>
              </w:rPr>
              <w:t>鸡舍废气集中收集经喷淋水帘后排放。</w:t>
            </w:r>
          </w:p>
        </w:tc>
        <w:tc>
          <w:tcPr>
            <w:tcW w:w="250" w:type="pct"/>
            <w:vMerge w:val="restart"/>
            <w:vAlign w:val="center"/>
          </w:tcPr>
          <w:p w14:paraId="5679D339">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80</w:t>
            </w:r>
          </w:p>
        </w:tc>
        <w:tc>
          <w:tcPr>
            <w:tcW w:w="344" w:type="pct"/>
            <w:vAlign w:val="center"/>
          </w:tcPr>
          <w:p w14:paraId="7A6F5AF9">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465" w:type="pct"/>
            <w:vAlign w:val="center"/>
          </w:tcPr>
          <w:p w14:paraId="0EF3CC0B">
            <w:pPr>
              <w:keepNext w:val="0"/>
              <w:keepLines w:val="0"/>
              <w:pageBreakBefore w:val="0"/>
              <w:widowControl/>
              <w:kinsoku/>
              <w:wordWrap/>
              <w:overflowPunct/>
              <w:topLinePunct w:val="0"/>
              <w:autoSpaceDE/>
              <w:autoSpaceDN/>
              <w:bidi w:val="0"/>
              <w:ind w:left="-105" w:leftChars="-50" w:right="-105" w:rightChars="-50"/>
              <w:jc w:val="center"/>
              <w:textAlignment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0.005</w:t>
            </w:r>
          </w:p>
        </w:tc>
        <w:tc>
          <w:tcPr>
            <w:tcW w:w="468" w:type="pct"/>
            <w:vAlign w:val="center"/>
          </w:tcPr>
          <w:p w14:paraId="18E7156B">
            <w:pPr>
              <w:keepNext w:val="0"/>
              <w:keepLines w:val="0"/>
              <w:pageBreakBefore w:val="0"/>
              <w:widowControl/>
              <w:kinsoku/>
              <w:wordWrap/>
              <w:overflowPunct/>
              <w:topLinePunct w:val="0"/>
              <w:autoSpaceDE/>
              <w:autoSpaceDN/>
              <w:bidi w:val="0"/>
              <w:ind w:left="-105" w:leftChars="-50" w:right="-105" w:rightChars="-50"/>
              <w:jc w:val="center"/>
              <w:textAlignment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0.0438</w:t>
            </w:r>
          </w:p>
        </w:tc>
      </w:tr>
      <w:tr w14:paraId="3BAE7A5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550C1123">
            <w:pPr>
              <w:jc w:val="center"/>
              <w:rPr>
                <w:color w:val="auto"/>
                <w:szCs w:val="21"/>
                <w:highlight w:val="none"/>
              </w:rPr>
            </w:pPr>
          </w:p>
        </w:tc>
        <w:tc>
          <w:tcPr>
            <w:tcW w:w="167" w:type="pct"/>
            <w:vMerge w:val="continue"/>
            <w:vAlign w:val="center"/>
          </w:tcPr>
          <w:p w14:paraId="7EBE79FE">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pacing w:val="4"/>
                <w:szCs w:val="21"/>
                <w:highlight w:val="none"/>
              </w:rPr>
            </w:pPr>
          </w:p>
        </w:tc>
        <w:tc>
          <w:tcPr>
            <w:tcW w:w="330" w:type="pct"/>
            <w:vMerge w:val="continue"/>
            <w:vAlign w:val="center"/>
          </w:tcPr>
          <w:p w14:paraId="0534FA81">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373" w:type="pct"/>
            <w:vAlign w:val="center"/>
          </w:tcPr>
          <w:p w14:paraId="219599B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H</w:t>
            </w:r>
            <w:r>
              <w:rPr>
                <w:rFonts w:hint="eastAsia"/>
                <w:color w:val="auto"/>
                <w:szCs w:val="21"/>
                <w:highlight w:val="none"/>
                <w:vertAlign w:val="subscript"/>
                <w:lang w:val="en-US" w:eastAsia="zh-CN"/>
              </w:rPr>
              <w:t>2</w:t>
            </w:r>
            <w:r>
              <w:rPr>
                <w:rFonts w:hint="eastAsia"/>
                <w:color w:val="auto"/>
                <w:szCs w:val="21"/>
                <w:highlight w:val="none"/>
                <w:lang w:val="en-US" w:eastAsia="zh-CN"/>
              </w:rPr>
              <w:t>S</w:t>
            </w:r>
          </w:p>
        </w:tc>
        <w:tc>
          <w:tcPr>
            <w:tcW w:w="496" w:type="pct"/>
            <w:vAlign w:val="center"/>
          </w:tcPr>
          <w:p w14:paraId="182F1A5C">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527" w:type="pct"/>
            <w:vAlign w:val="center"/>
          </w:tcPr>
          <w:p w14:paraId="55C821F0">
            <w:pPr>
              <w:autoSpaceDE w:val="0"/>
              <w:autoSpaceDN w:val="0"/>
              <w:adjustRightInd w:val="0"/>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0.00125</w:t>
            </w:r>
          </w:p>
        </w:tc>
        <w:tc>
          <w:tcPr>
            <w:tcW w:w="636" w:type="pct"/>
            <w:vAlign w:val="center"/>
          </w:tcPr>
          <w:p w14:paraId="26E14051">
            <w:pPr>
              <w:autoSpaceDE w:val="0"/>
              <w:autoSpaceDN w:val="0"/>
              <w:adjustRightInd w:val="0"/>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0.01</w:t>
            </w:r>
            <w:r>
              <w:rPr>
                <w:rFonts w:hint="eastAsia"/>
                <w:color w:val="auto"/>
                <w:szCs w:val="21"/>
                <w:highlight w:val="none"/>
              </w:rPr>
              <w:t>1</w:t>
            </w:r>
          </w:p>
        </w:tc>
        <w:tc>
          <w:tcPr>
            <w:tcW w:w="692" w:type="pct"/>
            <w:vMerge w:val="continue"/>
            <w:vAlign w:val="center"/>
          </w:tcPr>
          <w:p w14:paraId="68B86570">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3F78B50E">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p>
        </w:tc>
        <w:tc>
          <w:tcPr>
            <w:tcW w:w="344" w:type="pct"/>
            <w:vAlign w:val="center"/>
          </w:tcPr>
          <w:p w14:paraId="02CA7C4F">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465" w:type="pct"/>
            <w:vAlign w:val="center"/>
          </w:tcPr>
          <w:p w14:paraId="4F19314D">
            <w:pPr>
              <w:keepNext w:val="0"/>
              <w:keepLines w:val="0"/>
              <w:pageBreakBefore w:val="0"/>
              <w:widowControl/>
              <w:kinsoku/>
              <w:wordWrap/>
              <w:overflowPunct/>
              <w:topLinePunct w:val="0"/>
              <w:autoSpaceDE/>
              <w:autoSpaceDN/>
              <w:bidi w:val="0"/>
              <w:ind w:left="-105" w:leftChars="-50" w:right="-105" w:rightChars="-50"/>
              <w:jc w:val="center"/>
              <w:textAlignment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0.00025</w:t>
            </w:r>
          </w:p>
        </w:tc>
        <w:tc>
          <w:tcPr>
            <w:tcW w:w="468" w:type="pct"/>
            <w:vAlign w:val="center"/>
          </w:tcPr>
          <w:p w14:paraId="62A7B7F3">
            <w:pPr>
              <w:keepNext w:val="0"/>
              <w:keepLines w:val="0"/>
              <w:pageBreakBefore w:val="0"/>
              <w:widowControl/>
              <w:kinsoku/>
              <w:wordWrap/>
              <w:overflowPunct/>
              <w:topLinePunct w:val="0"/>
              <w:autoSpaceDE/>
              <w:autoSpaceDN/>
              <w:bidi w:val="0"/>
              <w:ind w:left="-105" w:leftChars="-50" w:right="-105" w:rightChars="-50"/>
              <w:jc w:val="center"/>
              <w:textAlignment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0.0021</w:t>
            </w:r>
            <w:r>
              <w:rPr>
                <w:rFonts w:hint="eastAsia"/>
                <w:color w:val="auto"/>
                <w:szCs w:val="21"/>
                <w:highlight w:val="none"/>
              </w:rPr>
              <w:t>9</w:t>
            </w:r>
          </w:p>
        </w:tc>
      </w:tr>
      <w:tr w14:paraId="088FFF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6CD7DFA9">
            <w:pPr>
              <w:jc w:val="center"/>
              <w:rPr>
                <w:color w:val="auto"/>
                <w:szCs w:val="21"/>
                <w:highlight w:val="none"/>
              </w:rPr>
            </w:pPr>
          </w:p>
        </w:tc>
        <w:tc>
          <w:tcPr>
            <w:tcW w:w="167" w:type="pct"/>
            <w:vMerge w:val="continue"/>
            <w:vAlign w:val="center"/>
          </w:tcPr>
          <w:p w14:paraId="3775AFA7">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pacing w:val="4"/>
                <w:szCs w:val="21"/>
                <w:highlight w:val="none"/>
              </w:rPr>
            </w:pPr>
          </w:p>
        </w:tc>
        <w:tc>
          <w:tcPr>
            <w:tcW w:w="330" w:type="pct"/>
            <w:vMerge w:val="continue"/>
            <w:vAlign w:val="center"/>
          </w:tcPr>
          <w:p w14:paraId="023B076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373" w:type="pct"/>
            <w:vAlign w:val="center"/>
          </w:tcPr>
          <w:p w14:paraId="4084C9E0">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zCs w:val="21"/>
                <w:highlight w:val="none"/>
                <w:lang w:val="en-US" w:eastAsia="zh-CN"/>
              </w:rPr>
            </w:pPr>
            <w:r>
              <w:rPr>
                <w:rFonts w:hint="eastAsia"/>
                <w:color w:val="auto"/>
                <w:szCs w:val="21"/>
                <w:highlight w:val="none"/>
                <w:lang w:val="en-US" w:eastAsia="zh-CN"/>
              </w:rPr>
              <w:t>臭气浓度</w:t>
            </w:r>
          </w:p>
        </w:tc>
        <w:tc>
          <w:tcPr>
            <w:tcW w:w="496" w:type="pct"/>
            <w:vAlign w:val="center"/>
          </w:tcPr>
          <w:p w14:paraId="72201FD4">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527" w:type="pct"/>
            <w:vAlign w:val="center"/>
          </w:tcPr>
          <w:p w14:paraId="6E4F1ABE">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636" w:type="pct"/>
            <w:vAlign w:val="center"/>
          </w:tcPr>
          <w:p w14:paraId="76376DA8">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color w:val="auto"/>
                <w:szCs w:val="21"/>
                <w:highlight w:val="none"/>
              </w:rPr>
              <w:t>90（无量纲）</w:t>
            </w:r>
          </w:p>
        </w:tc>
        <w:tc>
          <w:tcPr>
            <w:tcW w:w="692" w:type="pct"/>
            <w:vMerge w:val="continue"/>
            <w:vAlign w:val="center"/>
          </w:tcPr>
          <w:p w14:paraId="035B4324">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46CD9EEA">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p>
        </w:tc>
        <w:tc>
          <w:tcPr>
            <w:tcW w:w="344" w:type="pct"/>
            <w:vAlign w:val="center"/>
          </w:tcPr>
          <w:p w14:paraId="102BA4C5">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465" w:type="pct"/>
            <w:vAlign w:val="center"/>
          </w:tcPr>
          <w:p w14:paraId="635C6BA7">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rFonts w:hint="eastAsia"/>
                <w:color w:val="auto"/>
                <w:szCs w:val="21"/>
                <w:highlight w:val="none"/>
                <w:lang w:val="en-US" w:eastAsia="zh-CN"/>
              </w:rPr>
              <w:t>-</w:t>
            </w:r>
          </w:p>
        </w:tc>
        <w:tc>
          <w:tcPr>
            <w:tcW w:w="468" w:type="pct"/>
            <w:vAlign w:val="center"/>
          </w:tcPr>
          <w:p w14:paraId="4CD1C5A3">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color w:val="auto"/>
                <w:szCs w:val="21"/>
                <w:highlight w:val="none"/>
              </w:rPr>
              <w:t>＜30（无量纲）</w:t>
            </w:r>
          </w:p>
        </w:tc>
      </w:tr>
      <w:tr w14:paraId="618A14E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196A8534">
            <w:pPr>
              <w:jc w:val="center"/>
              <w:rPr>
                <w:color w:val="auto"/>
                <w:szCs w:val="21"/>
                <w:highlight w:val="none"/>
              </w:rPr>
            </w:pPr>
          </w:p>
        </w:tc>
        <w:tc>
          <w:tcPr>
            <w:tcW w:w="167" w:type="pct"/>
            <w:vMerge w:val="restart"/>
            <w:vAlign w:val="center"/>
          </w:tcPr>
          <w:p w14:paraId="4CC543CE">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pacing w:val="4"/>
                <w:sz w:val="21"/>
                <w:szCs w:val="21"/>
                <w:highlight w:val="none"/>
                <w:lang w:eastAsia="zh-CN"/>
              </w:rPr>
            </w:pPr>
            <w:r>
              <w:rPr>
                <w:rFonts w:hint="eastAsia"/>
                <w:color w:val="auto"/>
                <w:spacing w:val="4"/>
                <w:sz w:val="21"/>
                <w:szCs w:val="21"/>
                <w:highlight w:val="none"/>
                <w:lang w:eastAsia="zh-CN"/>
              </w:rPr>
              <w:t>临时储粪场</w:t>
            </w:r>
          </w:p>
        </w:tc>
        <w:tc>
          <w:tcPr>
            <w:tcW w:w="330" w:type="pct"/>
            <w:vMerge w:val="restart"/>
            <w:vAlign w:val="center"/>
          </w:tcPr>
          <w:p w14:paraId="2C8DB7D3">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 w:val="21"/>
                <w:szCs w:val="21"/>
                <w:highlight w:val="none"/>
                <w:lang w:val="en-US" w:eastAsia="zh-CN"/>
              </w:rPr>
            </w:pPr>
            <w:r>
              <w:rPr>
                <w:rFonts w:hint="eastAsia"/>
                <w:color w:val="auto"/>
                <w:lang w:val="en-US" w:eastAsia="zh-CN"/>
              </w:rPr>
              <w:t>无组织</w:t>
            </w:r>
          </w:p>
        </w:tc>
        <w:tc>
          <w:tcPr>
            <w:tcW w:w="373" w:type="pct"/>
            <w:vAlign w:val="center"/>
          </w:tcPr>
          <w:p w14:paraId="3AEEC12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NH</w:t>
            </w:r>
            <w:r>
              <w:rPr>
                <w:rFonts w:hint="eastAsia"/>
                <w:color w:val="auto"/>
                <w:sz w:val="21"/>
                <w:szCs w:val="21"/>
                <w:highlight w:val="none"/>
                <w:vertAlign w:val="subscript"/>
                <w:lang w:val="en-US" w:eastAsia="zh-CN"/>
              </w:rPr>
              <w:t>3</w:t>
            </w:r>
          </w:p>
        </w:tc>
        <w:tc>
          <w:tcPr>
            <w:tcW w:w="496" w:type="pct"/>
            <w:vAlign w:val="center"/>
          </w:tcPr>
          <w:p w14:paraId="7AF9DBC5">
            <w:pPr>
              <w:pStyle w:val="434"/>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527" w:type="pct"/>
            <w:vAlign w:val="center"/>
          </w:tcPr>
          <w:p w14:paraId="7015583C">
            <w:pPr>
              <w:autoSpaceDE w:val="0"/>
              <w:autoSpaceDN w:val="0"/>
              <w:adjustRightInd w:val="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0.225</w:t>
            </w:r>
          </w:p>
        </w:tc>
        <w:tc>
          <w:tcPr>
            <w:tcW w:w="636" w:type="pct"/>
            <w:vAlign w:val="center"/>
          </w:tcPr>
          <w:p w14:paraId="15C325CD">
            <w:pPr>
              <w:autoSpaceDE w:val="0"/>
              <w:autoSpaceDN w:val="0"/>
              <w:adjustRightInd w:val="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0.27</w:t>
            </w:r>
          </w:p>
        </w:tc>
        <w:tc>
          <w:tcPr>
            <w:tcW w:w="692" w:type="pct"/>
            <w:vMerge w:val="restart"/>
            <w:vAlign w:val="center"/>
          </w:tcPr>
          <w:p w14:paraId="743A6FF6">
            <w:pPr>
              <w:pStyle w:val="458"/>
              <w:rPr>
                <w:rFonts w:hint="eastAsia" w:eastAsia="宋体"/>
                <w:color w:val="auto"/>
                <w:sz w:val="21"/>
                <w:szCs w:val="21"/>
                <w:highlight w:val="none"/>
                <w:lang w:eastAsia="zh-CN"/>
              </w:rPr>
            </w:pPr>
            <w:r>
              <w:rPr>
                <w:rFonts w:eastAsia="宋体"/>
                <w:color w:val="auto"/>
                <w:sz w:val="21"/>
                <w:szCs w:val="21"/>
                <w:highlight w:val="none"/>
              </w:rPr>
              <w:t>①定期喷洒除臭剂；②及时清运固体粪污；③临时</w:t>
            </w:r>
            <w:r>
              <w:rPr>
                <w:rFonts w:hint="eastAsia" w:eastAsia="宋体"/>
                <w:color w:val="auto"/>
                <w:sz w:val="21"/>
                <w:szCs w:val="21"/>
                <w:highlight w:val="none"/>
                <w:lang w:eastAsia="zh-CN"/>
              </w:rPr>
              <w:t>储粪场封闭结构</w:t>
            </w:r>
            <w:r>
              <w:rPr>
                <w:rFonts w:eastAsia="宋体"/>
                <w:color w:val="auto"/>
                <w:sz w:val="21"/>
                <w:szCs w:val="21"/>
                <w:highlight w:val="none"/>
              </w:rPr>
              <w:t>；</w:t>
            </w:r>
          </w:p>
        </w:tc>
        <w:tc>
          <w:tcPr>
            <w:tcW w:w="250" w:type="pct"/>
            <w:vMerge w:val="restart"/>
            <w:vAlign w:val="center"/>
          </w:tcPr>
          <w:p w14:paraId="4B63CAC9">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60</w:t>
            </w:r>
          </w:p>
        </w:tc>
        <w:tc>
          <w:tcPr>
            <w:tcW w:w="344" w:type="pct"/>
            <w:vAlign w:val="center"/>
          </w:tcPr>
          <w:p w14:paraId="0680C397">
            <w:pPr>
              <w:pStyle w:val="434"/>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65" w:type="pct"/>
            <w:vAlign w:val="center"/>
          </w:tcPr>
          <w:p w14:paraId="6F4E48C5">
            <w:pPr>
              <w:widowControl/>
              <w:jc w:val="center"/>
              <w:textAlignment w:val="center"/>
              <w:rPr>
                <w:rFonts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0.09</w:t>
            </w:r>
          </w:p>
        </w:tc>
        <w:tc>
          <w:tcPr>
            <w:tcW w:w="468" w:type="pct"/>
            <w:vAlign w:val="center"/>
          </w:tcPr>
          <w:p w14:paraId="17CF927F">
            <w:pPr>
              <w:widowControl/>
              <w:jc w:val="center"/>
              <w:textAlignment w:val="center"/>
              <w:rPr>
                <w:rFonts w:hint="eastAsia"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0.108</w:t>
            </w:r>
          </w:p>
        </w:tc>
      </w:tr>
      <w:tr w14:paraId="639BFD2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5BF10FC7">
            <w:pPr>
              <w:jc w:val="center"/>
              <w:rPr>
                <w:color w:val="auto"/>
                <w:szCs w:val="21"/>
                <w:highlight w:val="none"/>
              </w:rPr>
            </w:pPr>
          </w:p>
        </w:tc>
        <w:tc>
          <w:tcPr>
            <w:tcW w:w="167" w:type="pct"/>
            <w:vMerge w:val="continue"/>
            <w:vAlign w:val="center"/>
          </w:tcPr>
          <w:p w14:paraId="6E61822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pacing w:val="4"/>
                <w:sz w:val="21"/>
                <w:szCs w:val="21"/>
                <w:highlight w:val="none"/>
              </w:rPr>
            </w:pPr>
          </w:p>
        </w:tc>
        <w:tc>
          <w:tcPr>
            <w:tcW w:w="330" w:type="pct"/>
            <w:vMerge w:val="continue"/>
            <w:vAlign w:val="center"/>
          </w:tcPr>
          <w:p w14:paraId="1D78407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 w:val="21"/>
                <w:szCs w:val="21"/>
                <w:highlight w:val="none"/>
              </w:rPr>
            </w:pPr>
          </w:p>
        </w:tc>
        <w:tc>
          <w:tcPr>
            <w:tcW w:w="373" w:type="pct"/>
            <w:vAlign w:val="center"/>
          </w:tcPr>
          <w:p w14:paraId="32410F5A">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H</w:t>
            </w:r>
            <w:r>
              <w:rPr>
                <w:rFonts w:hint="eastAsia"/>
                <w:color w:val="auto"/>
                <w:sz w:val="21"/>
                <w:szCs w:val="21"/>
                <w:highlight w:val="none"/>
                <w:vertAlign w:val="subscript"/>
                <w:lang w:val="en-US" w:eastAsia="zh-CN"/>
              </w:rPr>
              <w:t>2</w:t>
            </w:r>
            <w:r>
              <w:rPr>
                <w:rFonts w:hint="eastAsia"/>
                <w:color w:val="auto"/>
                <w:sz w:val="21"/>
                <w:szCs w:val="21"/>
                <w:highlight w:val="none"/>
                <w:lang w:val="en-US" w:eastAsia="zh-CN"/>
              </w:rPr>
              <w:t>S</w:t>
            </w:r>
          </w:p>
        </w:tc>
        <w:tc>
          <w:tcPr>
            <w:tcW w:w="496" w:type="pct"/>
            <w:vAlign w:val="center"/>
          </w:tcPr>
          <w:p w14:paraId="0EAE90F7">
            <w:pPr>
              <w:pStyle w:val="434"/>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527" w:type="pct"/>
            <w:vAlign w:val="center"/>
          </w:tcPr>
          <w:p w14:paraId="7EDC507D">
            <w:pPr>
              <w:autoSpaceDE w:val="0"/>
              <w:autoSpaceDN w:val="0"/>
              <w:adjustRightInd w:val="0"/>
              <w:jc w:val="center"/>
              <w:rPr>
                <w:rFonts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0.0113</w:t>
            </w:r>
          </w:p>
        </w:tc>
        <w:tc>
          <w:tcPr>
            <w:tcW w:w="636" w:type="pct"/>
            <w:vAlign w:val="center"/>
          </w:tcPr>
          <w:p w14:paraId="60301B90">
            <w:pPr>
              <w:autoSpaceDE w:val="0"/>
              <w:autoSpaceDN w:val="0"/>
              <w:adjustRightInd w:val="0"/>
              <w:jc w:val="center"/>
              <w:rPr>
                <w:rFonts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0.0135</w:t>
            </w:r>
          </w:p>
        </w:tc>
        <w:tc>
          <w:tcPr>
            <w:tcW w:w="692" w:type="pct"/>
            <w:vMerge w:val="continue"/>
            <w:vAlign w:val="center"/>
          </w:tcPr>
          <w:p w14:paraId="0C65EBD7">
            <w:pPr>
              <w:keepNext w:val="0"/>
              <w:keepLines w:val="0"/>
              <w:pageBreakBefore w:val="0"/>
              <w:kinsoku/>
              <w:wordWrap/>
              <w:overflowPunct/>
              <w:topLinePunct w:val="0"/>
              <w:autoSpaceDE/>
              <w:autoSpaceDN/>
              <w:bidi w:val="0"/>
              <w:ind w:left="-105" w:leftChars="-50" w:right="-105" w:rightChars="-50"/>
              <w:jc w:val="center"/>
              <w:rPr>
                <w:color w:val="auto"/>
                <w:sz w:val="21"/>
                <w:szCs w:val="21"/>
                <w:highlight w:val="none"/>
              </w:rPr>
            </w:pPr>
          </w:p>
        </w:tc>
        <w:tc>
          <w:tcPr>
            <w:tcW w:w="250" w:type="pct"/>
            <w:vMerge w:val="continue"/>
            <w:vAlign w:val="center"/>
          </w:tcPr>
          <w:p w14:paraId="7CD88B8B">
            <w:pPr>
              <w:pStyle w:val="434"/>
              <w:jc w:val="center"/>
              <w:rPr>
                <w:rFonts w:hint="eastAsia"/>
                <w:color w:val="auto"/>
                <w:sz w:val="21"/>
                <w:szCs w:val="21"/>
                <w:highlight w:val="none"/>
              </w:rPr>
            </w:pPr>
          </w:p>
        </w:tc>
        <w:tc>
          <w:tcPr>
            <w:tcW w:w="344" w:type="pct"/>
            <w:vAlign w:val="center"/>
          </w:tcPr>
          <w:p w14:paraId="2C9FB866">
            <w:pPr>
              <w:pStyle w:val="434"/>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465" w:type="pct"/>
            <w:vAlign w:val="center"/>
          </w:tcPr>
          <w:p w14:paraId="233D87A9">
            <w:pPr>
              <w:widowControl/>
              <w:jc w:val="center"/>
              <w:textAlignment w:val="center"/>
              <w:rPr>
                <w:rFonts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0.0045</w:t>
            </w:r>
          </w:p>
        </w:tc>
        <w:tc>
          <w:tcPr>
            <w:tcW w:w="468" w:type="pct"/>
            <w:vAlign w:val="center"/>
          </w:tcPr>
          <w:p w14:paraId="02C04E6C">
            <w:pPr>
              <w:widowControl/>
              <w:jc w:val="center"/>
              <w:textAlignment w:val="center"/>
              <w:rPr>
                <w:rFonts w:ascii="Times New Roman" w:hAnsi="Times New Roman" w:eastAsia="宋体" w:cs="Times New Roman"/>
                <w:bCs/>
                <w:color w:val="auto"/>
                <w:kern w:val="2"/>
                <w:sz w:val="21"/>
                <w:szCs w:val="21"/>
                <w:highlight w:val="none"/>
                <w:lang w:val="en-US" w:eastAsia="zh-CN" w:bidi="ar-SA"/>
              </w:rPr>
            </w:pPr>
            <w:r>
              <w:rPr>
                <w:rFonts w:hint="eastAsia"/>
                <w:color w:val="auto"/>
                <w:szCs w:val="21"/>
                <w:highlight w:val="none"/>
                <w:lang w:val="en-US" w:eastAsia="zh-CN"/>
              </w:rPr>
              <w:t>0.0054</w:t>
            </w:r>
          </w:p>
        </w:tc>
      </w:tr>
      <w:tr w14:paraId="048A6E4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69A2A859">
            <w:pPr>
              <w:jc w:val="center"/>
              <w:rPr>
                <w:color w:val="auto"/>
                <w:szCs w:val="21"/>
                <w:highlight w:val="none"/>
              </w:rPr>
            </w:pPr>
          </w:p>
        </w:tc>
        <w:tc>
          <w:tcPr>
            <w:tcW w:w="167" w:type="pct"/>
            <w:vAlign w:val="center"/>
          </w:tcPr>
          <w:p w14:paraId="4DA03EAE">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pacing w:val="4"/>
                <w:szCs w:val="21"/>
                <w:highlight w:val="none"/>
                <w:lang w:val="en-US" w:eastAsia="zh-CN"/>
              </w:rPr>
            </w:pPr>
            <w:r>
              <w:rPr>
                <w:rFonts w:hint="eastAsia"/>
                <w:color w:val="auto"/>
                <w:spacing w:val="4"/>
                <w:szCs w:val="21"/>
                <w:highlight w:val="none"/>
                <w:lang w:val="en-US" w:eastAsia="zh-CN"/>
              </w:rPr>
              <w:t>食堂</w:t>
            </w:r>
          </w:p>
        </w:tc>
        <w:tc>
          <w:tcPr>
            <w:tcW w:w="330" w:type="pct"/>
            <w:vAlign w:val="center"/>
          </w:tcPr>
          <w:p w14:paraId="51DD533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ascii="Times New Roman" w:hAnsi="Times New Roman" w:eastAsia="宋体"/>
                <w:color w:val="auto"/>
                <w:lang w:val="en-US" w:eastAsia="zh-CN"/>
              </w:rPr>
              <w:t>DA0</w:t>
            </w:r>
            <w:r>
              <w:rPr>
                <w:rFonts w:hint="eastAsia"/>
                <w:color w:val="auto"/>
                <w:szCs w:val="21"/>
                <w:highlight w:val="none"/>
                <w:lang w:val="en-US" w:eastAsia="zh-CN"/>
              </w:rPr>
              <w:t>02（</w:t>
            </w:r>
            <w:r>
              <w:rPr>
                <w:rFonts w:eastAsia="宋体"/>
                <w:color w:val="auto"/>
                <w:sz w:val="21"/>
                <w:szCs w:val="21"/>
                <w:highlight w:val="none"/>
              </w:rPr>
              <w:t>专用排气道</w:t>
            </w:r>
            <w:r>
              <w:rPr>
                <w:rFonts w:hint="eastAsia"/>
                <w:color w:val="auto"/>
                <w:szCs w:val="21"/>
                <w:highlight w:val="none"/>
                <w:lang w:val="en-US" w:eastAsia="zh-CN"/>
              </w:rPr>
              <w:t>）</w:t>
            </w:r>
          </w:p>
        </w:tc>
        <w:tc>
          <w:tcPr>
            <w:tcW w:w="373" w:type="pct"/>
            <w:vAlign w:val="center"/>
          </w:tcPr>
          <w:p w14:paraId="58EFDC91">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zCs w:val="21"/>
                <w:highlight w:val="none"/>
                <w:lang w:val="en-US" w:eastAsia="zh-CN"/>
              </w:rPr>
            </w:pPr>
            <w:r>
              <w:rPr>
                <w:rFonts w:hint="eastAsia"/>
                <w:color w:val="auto"/>
                <w:szCs w:val="21"/>
                <w:highlight w:val="none"/>
                <w:lang w:val="en-US" w:eastAsia="zh-CN"/>
              </w:rPr>
              <w:t>油烟</w:t>
            </w:r>
          </w:p>
        </w:tc>
        <w:tc>
          <w:tcPr>
            <w:tcW w:w="496" w:type="pct"/>
            <w:vAlign w:val="center"/>
          </w:tcPr>
          <w:p w14:paraId="2487ACA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3.75</w:t>
            </w:r>
          </w:p>
        </w:tc>
        <w:tc>
          <w:tcPr>
            <w:tcW w:w="527" w:type="pct"/>
            <w:vAlign w:val="center"/>
          </w:tcPr>
          <w:p w14:paraId="48042184">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0.015</w:t>
            </w:r>
          </w:p>
        </w:tc>
        <w:tc>
          <w:tcPr>
            <w:tcW w:w="636" w:type="pct"/>
            <w:vAlign w:val="center"/>
          </w:tcPr>
          <w:p w14:paraId="74714F02">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0.0219</w:t>
            </w:r>
          </w:p>
        </w:tc>
        <w:tc>
          <w:tcPr>
            <w:tcW w:w="692" w:type="pct"/>
            <w:vAlign w:val="center"/>
          </w:tcPr>
          <w:p w14:paraId="5C45CA05">
            <w:pPr>
              <w:keepNext w:val="0"/>
              <w:keepLines w:val="0"/>
              <w:pageBreakBefore w:val="0"/>
              <w:kinsoku/>
              <w:wordWrap/>
              <w:overflowPunct/>
              <w:topLinePunct w:val="0"/>
              <w:autoSpaceDE/>
              <w:autoSpaceDN/>
              <w:bidi w:val="0"/>
              <w:ind w:left="-105" w:leftChars="-50" w:right="-105" w:rightChars="-50"/>
              <w:jc w:val="center"/>
              <w:rPr>
                <w:rFonts w:hint="eastAsia" w:eastAsia="宋体"/>
                <w:color w:val="auto"/>
                <w:szCs w:val="21"/>
                <w:highlight w:val="none"/>
                <w:lang w:val="en-US" w:eastAsia="zh-CN"/>
              </w:rPr>
            </w:pPr>
            <w:r>
              <w:rPr>
                <w:rFonts w:hint="eastAsia"/>
                <w:color w:val="auto"/>
                <w:szCs w:val="21"/>
                <w:highlight w:val="none"/>
                <w:lang w:val="en-US" w:eastAsia="zh-CN"/>
              </w:rPr>
              <w:t>油烟净化器</w:t>
            </w:r>
          </w:p>
        </w:tc>
        <w:tc>
          <w:tcPr>
            <w:tcW w:w="250" w:type="pct"/>
            <w:vAlign w:val="center"/>
          </w:tcPr>
          <w:p w14:paraId="62FDD6E9">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60</w:t>
            </w:r>
          </w:p>
        </w:tc>
        <w:tc>
          <w:tcPr>
            <w:tcW w:w="344" w:type="pct"/>
            <w:vAlign w:val="center"/>
          </w:tcPr>
          <w:p w14:paraId="2C6A5148">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1.5</w:t>
            </w:r>
          </w:p>
        </w:tc>
        <w:tc>
          <w:tcPr>
            <w:tcW w:w="465" w:type="pct"/>
            <w:vAlign w:val="center"/>
          </w:tcPr>
          <w:p w14:paraId="37027D73">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0.006</w:t>
            </w:r>
          </w:p>
        </w:tc>
        <w:tc>
          <w:tcPr>
            <w:tcW w:w="468" w:type="pct"/>
            <w:vAlign w:val="center"/>
          </w:tcPr>
          <w:p w14:paraId="7B160994">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0.00876</w:t>
            </w:r>
          </w:p>
        </w:tc>
      </w:tr>
      <w:tr w14:paraId="20CB14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3B2720CF">
            <w:pPr>
              <w:jc w:val="center"/>
              <w:rPr>
                <w:color w:val="auto"/>
                <w:szCs w:val="21"/>
                <w:highlight w:val="none"/>
              </w:rPr>
            </w:pPr>
          </w:p>
        </w:tc>
        <w:tc>
          <w:tcPr>
            <w:tcW w:w="167" w:type="pct"/>
            <w:vMerge w:val="restart"/>
            <w:vAlign w:val="center"/>
          </w:tcPr>
          <w:p w14:paraId="27C68F8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pacing w:val="4"/>
                <w:szCs w:val="21"/>
                <w:highlight w:val="none"/>
                <w:lang w:val="en-US" w:eastAsia="zh-CN"/>
              </w:rPr>
            </w:pPr>
            <w:r>
              <w:rPr>
                <w:rFonts w:hint="eastAsia"/>
                <w:color w:val="auto"/>
                <w:spacing w:val="4"/>
                <w:szCs w:val="21"/>
                <w:highlight w:val="none"/>
                <w:lang w:val="en-US" w:eastAsia="zh-CN"/>
              </w:rPr>
              <w:t>生物质锅炉</w:t>
            </w:r>
          </w:p>
        </w:tc>
        <w:tc>
          <w:tcPr>
            <w:tcW w:w="330" w:type="pct"/>
            <w:vMerge w:val="restart"/>
            <w:vAlign w:val="center"/>
          </w:tcPr>
          <w:p w14:paraId="080F2C63">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ascii="Times New Roman" w:hAnsi="Times New Roman" w:eastAsia="宋体"/>
                <w:color w:val="auto"/>
                <w:lang w:val="en-US" w:eastAsia="zh-CN"/>
              </w:rPr>
              <w:t>DA00</w:t>
            </w:r>
            <w:r>
              <w:rPr>
                <w:rFonts w:hint="eastAsia"/>
                <w:color w:val="auto"/>
                <w:szCs w:val="21"/>
                <w:highlight w:val="none"/>
                <w:lang w:val="en-US" w:eastAsia="zh-CN"/>
              </w:rPr>
              <w:t>1</w:t>
            </w:r>
          </w:p>
        </w:tc>
        <w:tc>
          <w:tcPr>
            <w:tcW w:w="373" w:type="pct"/>
            <w:vAlign w:val="center"/>
          </w:tcPr>
          <w:p w14:paraId="63861170">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zCs w:val="21"/>
                <w:highlight w:val="none"/>
                <w:lang w:val="en-US" w:eastAsia="zh-CN"/>
              </w:rPr>
            </w:pPr>
            <w:r>
              <w:rPr>
                <w:rFonts w:hint="eastAsia"/>
                <w:color w:val="auto"/>
                <w:szCs w:val="21"/>
                <w:highlight w:val="none"/>
                <w:lang w:val="en-US" w:eastAsia="zh-CN"/>
              </w:rPr>
              <w:t>颗粒物</w:t>
            </w:r>
          </w:p>
        </w:tc>
        <w:tc>
          <w:tcPr>
            <w:tcW w:w="496" w:type="pct"/>
            <w:vAlign w:val="center"/>
          </w:tcPr>
          <w:p w14:paraId="353CC284">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77</w:t>
            </w:r>
          </w:p>
        </w:tc>
        <w:tc>
          <w:tcPr>
            <w:tcW w:w="527" w:type="pct"/>
            <w:vAlign w:val="center"/>
          </w:tcPr>
          <w:p w14:paraId="27B534CC">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0.163</w:t>
            </w:r>
          </w:p>
        </w:tc>
        <w:tc>
          <w:tcPr>
            <w:tcW w:w="636" w:type="pct"/>
            <w:vAlign w:val="center"/>
          </w:tcPr>
          <w:p w14:paraId="59B2081C">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0.47</w:t>
            </w:r>
          </w:p>
        </w:tc>
        <w:tc>
          <w:tcPr>
            <w:tcW w:w="692" w:type="pct"/>
            <w:vMerge w:val="restart"/>
            <w:vAlign w:val="center"/>
          </w:tcPr>
          <w:p w14:paraId="07D03FBC">
            <w:pPr>
              <w:keepNext w:val="0"/>
              <w:keepLines w:val="0"/>
              <w:pageBreakBefore w:val="0"/>
              <w:kinsoku/>
              <w:wordWrap/>
              <w:overflowPunct/>
              <w:topLinePunct w:val="0"/>
              <w:autoSpaceDE/>
              <w:autoSpaceDN/>
              <w:bidi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布袋除尘器+30m高烟囱</w:t>
            </w:r>
          </w:p>
        </w:tc>
        <w:tc>
          <w:tcPr>
            <w:tcW w:w="250" w:type="pct"/>
            <w:vMerge w:val="restart"/>
            <w:vAlign w:val="center"/>
          </w:tcPr>
          <w:p w14:paraId="5916AC07">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w:t>
            </w:r>
          </w:p>
        </w:tc>
        <w:tc>
          <w:tcPr>
            <w:tcW w:w="344" w:type="pct"/>
            <w:vAlign w:val="center"/>
          </w:tcPr>
          <w:p w14:paraId="61BEBD45">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1.0</w:t>
            </w:r>
          </w:p>
        </w:tc>
        <w:tc>
          <w:tcPr>
            <w:tcW w:w="465" w:type="pct"/>
            <w:vAlign w:val="center"/>
          </w:tcPr>
          <w:p w14:paraId="33D535E0">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0.002</w:t>
            </w:r>
          </w:p>
        </w:tc>
        <w:tc>
          <w:tcPr>
            <w:tcW w:w="468" w:type="pct"/>
            <w:vAlign w:val="center"/>
          </w:tcPr>
          <w:p w14:paraId="36718511">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0.005</w:t>
            </w:r>
          </w:p>
        </w:tc>
      </w:tr>
      <w:tr w14:paraId="0649564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2DEDDFD5">
            <w:pPr>
              <w:jc w:val="center"/>
              <w:rPr>
                <w:color w:val="auto"/>
                <w:szCs w:val="21"/>
                <w:highlight w:val="none"/>
              </w:rPr>
            </w:pPr>
          </w:p>
        </w:tc>
        <w:tc>
          <w:tcPr>
            <w:tcW w:w="167" w:type="pct"/>
            <w:vMerge w:val="continue"/>
            <w:vAlign w:val="center"/>
          </w:tcPr>
          <w:p w14:paraId="2A654C41">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pacing w:val="4"/>
                <w:szCs w:val="21"/>
                <w:highlight w:val="none"/>
              </w:rPr>
            </w:pPr>
          </w:p>
        </w:tc>
        <w:tc>
          <w:tcPr>
            <w:tcW w:w="330" w:type="pct"/>
            <w:vMerge w:val="continue"/>
            <w:vAlign w:val="center"/>
          </w:tcPr>
          <w:p w14:paraId="69844B35">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373" w:type="pct"/>
            <w:vAlign w:val="center"/>
          </w:tcPr>
          <w:p w14:paraId="2D14903C">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二氧化硫</w:t>
            </w:r>
          </w:p>
        </w:tc>
        <w:tc>
          <w:tcPr>
            <w:tcW w:w="846" w:type="dxa"/>
            <w:vAlign w:val="center"/>
          </w:tcPr>
          <w:p w14:paraId="2C291530">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79</w:t>
            </w:r>
          </w:p>
        </w:tc>
        <w:tc>
          <w:tcPr>
            <w:tcW w:w="899" w:type="dxa"/>
            <w:vAlign w:val="center"/>
          </w:tcPr>
          <w:p w14:paraId="0EF6F1E4">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0.167</w:t>
            </w:r>
          </w:p>
        </w:tc>
        <w:tc>
          <w:tcPr>
            <w:tcW w:w="1085" w:type="dxa"/>
            <w:vAlign w:val="center"/>
          </w:tcPr>
          <w:p w14:paraId="18EAE5F3">
            <w:pPr>
              <w:jc w:val="center"/>
              <w:rPr>
                <w:color w:val="auto"/>
                <w:szCs w:val="21"/>
                <w:highlight w:val="none"/>
              </w:rPr>
            </w:pPr>
            <w:r>
              <w:rPr>
                <w:rFonts w:hint="eastAsia"/>
                <w:color w:val="auto"/>
                <w:szCs w:val="21"/>
                <w:highlight w:val="none"/>
                <w:lang w:val="en-US" w:eastAsia="zh-CN"/>
              </w:rPr>
              <w:t>0.48</w:t>
            </w:r>
          </w:p>
        </w:tc>
        <w:tc>
          <w:tcPr>
            <w:tcW w:w="692" w:type="pct"/>
            <w:vMerge w:val="continue"/>
            <w:vAlign w:val="center"/>
          </w:tcPr>
          <w:p w14:paraId="67F9AC04">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5F4DB2EC">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p>
        </w:tc>
        <w:tc>
          <w:tcPr>
            <w:tcW w:w="587" w:type="dxa"/>
            <w:vAlign w:val="center"/>
          </w:tcPr>
          <w:p w14:paraId="618136D2">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79</w:t>
            </w:r>
          </w:p>
        </w:tc>
        <w:tc>
          <w:tcPr>
            <w:tcW w:w="793" w:type="dxa"/>
            <w:vAlign w:val="center"/>
          </w:tcPr>
          <w:p w14:paraId="3A8FC0FF">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0.167</w:t>
            </w:r>
          </w:p>
        </w:tc>
        <w:tc>
          <w:tcPr>
            <w:tcW w:w="798" w:type="dxa"/>
            <w:vAlign w:val="center"/>
          </w:tcPr>
          <w:p w14:paraId="1CA6FEA7">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0.48</w:t>
            </w:r>
          </w:p>
        </w:tc>
      </w:tr>
      <w:tr w14:paraId="474EA09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0D805F7B">
            <w:pPr>
              <w:jc w:val="center"/>
              <w:rPr>
                <w:color w:val="auto"/>
                <w:szCs w:val="21"/>
                <w:highlight w:val="none"/>
              </w:rPr>
            </w:pPr>
          </w:p>
        </w:tc>
        <w:tc>
          <w:tcPr>
            <w:tcW w:w="167" w:type="pct"/>
            <w:vMerge w:val="continue"/>
            <w:vAlign w:val="center"/>
          </w:tcPr>
          <w:p w14:paraId="4DEDAB29">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pacing w:val="4"/>
                <w:szCs w:val="21"/>
                <w:highlight w:val="none"/>
              </w:rPr>
            </w:pPr>
          </w:p>
        </w:tc>
        <w:tc>
          <w:tcPr>
            <w:tcW w:w="330" w:type="pct"/>
            <w:vMerge w:val="continue"/>
            <w:vAlign w:val="center"/>
          </w:tcPr>
          <w:p w14:paraId="1E1173F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373" w:type="pct"/>
            <w:vAlign w:val="center"/>
          </w:tcPr>
          <w:p w14:paraId="7B9F717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eastAsia="宋体"/>
                <w:color w:val="auto"/>
                <w:szCs w:val="21"/>
                <w:highlight w:val="none"/>
                <w:lang w:val="en-US" w:eastAsia="zh-CN"/>
              </w:rPr>
            </w:pPr>
            <w:r>
              <w:rPr>
                <w:rFonts w:hint="eastAsia"/>
                <w:color w:val="auto"/>
                <w:szCs w:val="21"/>
                <w:highlight w:val="none"/>
                <w:lang w:val="en-US" w:eastAsia="zh-CN"/>
              </w:rPr>
              <w:t>氮氧化物</w:t>
            </w:r>
          </w:p>
        </w:tc>
        <w:tc>
          <w:tcPr>
            <w:tcW w:w="496" w:type="pct"/>
            <w:vAlign w:val="center"/>
          </w:tcPr>
          <w:p w14:paraId="7E8835E7">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110</w:t>
            </w:r>
          </w:p>
        </w:tc>
        <w:tc>
          <w:tcPr>
            <w:tcW w:w="527" w:type="pct"/>
            <w:vAlign w:val="center"/>
          </w:tcPr>
          <w:p w14:paraId="0141F5EB">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0.233</w:t>
            </w:r>
          </w:p>
        </w:tc>
        <w:tc>
          <w:tcPr>
            <w:tcW w:w="636" w:type="pct"/>
            <w:vAlign w:val="center"/>
          </w:tcPr>
          <w:p w14:paraId="64F428B9">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0.67</w:t>
            </w:r>
          </w:p>
        </w:tc>
        <w:tc>
          <w:tcPr>
            <w:tcW w:w="692" w:type="pct"/>
            <w:vMerge w:val="continue"/>
            <w:vAlign w:val="center"/>
          </w:tcPr>
          <w:p w14:paraId="52FBE0F8">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57187083">
            <w:pPr>
              <w:keepNext w:val="0"/>
              <w:keepLines w:val="0"/>
              <w:pageBreakBefore w:val="0"/>
              <w:kinsoku/>
              <w:wordWrap/>
              <w:overflowPunct/>
              <w:topLinePunct w:val="0"/>
              <w:autoSpaceDE/>
              <w:autoSpaceDN/>
              <w:bidi w:val="0"/>
              <w:ind w:left="-105" w:leftChars="-50" w:right="-105" w:rightChars="-50"/>
              <w:jc w:val="center"/>
              <w:rPr>
                <w:rFonts w:hint="eastAsia"/>
                <w:color w:val="auto"/>
                <w:szCs w:val="21"/>
                <w:highlight w:val="none"/>
                <w:lang w:val="en-US" w:eastAsia="zh-CN"/>
              </w:rPr>
            </w:pPr>
          </w:p>
        </w:tc>
        <w:tc>
          <w:tcPr>
            <w:tcW w:w="344" w:type="pct"/>
            <w:vAlign w:val="center"/>
          </w:tcPr>
          <w:p w14:paraId="15E0AC69">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110</w:t>
            </w:r>
          </w:p>
        </w:tc>
        <w:tc>
          <w:tcPr>
            <w:tcW w:w="465" w:type="pct"/>
            <w:vAlign w:val="center"/>
          </w:tcPr>
          <w:p w14:paraId="01A23B08">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0.233</w:t>
            </w:r>
          </w:p>
        </w:tc>
        <w:tc>
          <w:tcPr>
            <w:tcW w:w="468" w:type="pct"/>
            <w:vAlign w:val="center"/>
          </w:tcPr>
          <w:p w14:paraId="4EEEAE7A">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lang w:val="en-US" w:eastAsia="zh-CN"/>
              </w:rPr>
              <w:t>0.67</w:t>
            </w:r>
          </w:p>
        </w:tc>
      </w:tr>
      <w:tr w14:paraId="732A7D7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restart"/>
            <w:vAlign w:val="center"/>
          </w:tcPr>
          <w:p w14:paraId="00AEDCB6">
            <w:pPr>
              <w:jc w:val="center"/>
              <w:rPr>
                <w:rFonts w:hint="eastAsia" w:eastAsia="宋体"/>
                <w:color w:val="auto"/>
                <w:szCs w:val="21"/>
                <w:highlight w:val="none"/>
                <w:lang w:val="en-US" w:eastAsia="zh-CN"/>
              </w:rPr>
            </w:pPr>
            <w:r>
              <w:rPr>
                <w:rFonts w:hint="eastAsia"/>
                <w:color w:val="auto"/>
                <w:szCs w:val="21"/>
                <w:highlight w:val="none"/>
                <w:lang w:val="en-US" w:eastAsia="zh-CN"/>
              </w:rPr>
              <w:t>废水</w:t>
            </w:r>
          </w:p>
        </w:tc>
        <w:tc>
          <w:tcPr>
            <w:tcW w:w="497" w:type="pct"/>
            <w:gridSpan w:val="2"/>
            <w:vMerge w:val="restart"/>
            <w:vAlign w:val="center"/>
          </w:tcPr>
          <w:p w14:paraId="57B1CA8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pacing w:val="4"/>
                <w:szCs w:val="21"/>
                <w:highlight w:val="none"/>
                <w:lang w:val="en-US" w:eastAsia="zh-CN"/>
              </w:rPr>
            </w:pPr>
            <w:r>
              <w:rPr>
                <w:rFonts w:hint="eastAsia"/>
                <w:color w:val="auto"/>
                <w:spacing w:val="4"/>
                <w:szCs w:val="21"/>
                <w:highlight w:val="none"/>
                <w:lang w:val="en-US" w:eastAsia="zh-CN"/>
              </w:rPr>
              <w:t>员工生活</w:t>
            </w:r>
          </w:p>
          <w:p w14:paraId="12C2B815">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rPr>
            </w:pPr>
            <w:r>
              <w:rPr>
                <w:rFonts w:hint="eastAsia"/>
                <w:color w:val="auto"/>
                <w:spacing w:val="4"/>
                <w:szCs w:val="21"/>
                <w:highlight w:val="none"/>
                <w:lang w:val="en-US" w:eastAsia="zh-CN"/>
              </w:rPr>
              <w:t>废水量：876t/a</w:t>
            </w:r>
          </w:p>
        </w:tc>
        <w:tc>
          <w:tcPr>
            <w:tcW w:w="373" w:type="pct"/>
            <w:vAlign w:val="center"/>
          </w:tcPr>
          <w:p w14:paraId="370B0155">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pH</w:t>
            </w:r>
          </w:p>
        </w:tc>
        <w:tc>
          <w:tcPr>
            <w:tcW w:w="496" w:type="pct"/>
            <w:vAlign w:val="center"/>
          </w:tcPr>
          <w:p w14:paraId="73862F07">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6-9</w:t>
            </w:r>
          </w:p>
        </w:tc>
        <w:tc>
          <w:tcPr>
            <w:tcW w:w="527" w:type="pct"/>
            <w:vAlign w:val="center"/>
          </w:tcPr>
          <w:p w14:paraId="6412821B">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76A454F5">
            <w:pPr>
              <w:pStyle w:val="434"/>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692" w:type="pct"/>
            <w:vMerge w:val="restart"/>
            <w:vAlign w:val="center"/>
          </w:tcPr>
          <w:p w14:paraId="6456D6AD">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color w:val="auto"/>
                <w:szCs w:val="21"/>
                <w:highlight w:val="none"/>
              </w:rPr>
              <w:t>排入旱厕定期清掏</w:t>
            </w:r>
            <w:r>
              <w:rPr>
                <w:rFonts w:hint="eastAsia"/>
                <w:color w:val="auto"/>
                <w:szCs w:val="21"/>
                <w:highlight w:val="none"/>
              </w:rPr>
              <w:t>，</w:t>
            </w:r>
            <w:r>
              <w:rPr>
                <w:rFonts w:hint="eastAsia"/>
                <w:color w:val="auto"/>
                <w:szCs w:val="21"/>
                <w:highlight w:val="none"/>
                <w:lang w:eastAsia="zh-CN"/>
              </w:rPr>
              <w:t>用作农肥</w:t>
            </w:r>
          </w:p>
        </w:tc>
        <w:tc>
          <w:tcPr>
            <w:tcW w:w="250" w:type="pct"/>
            <w:vMerge w:val="restart"/>
            <w:vAlign w:val="center"/>
          </w:tcPr>
          <w:p w14:paraId="4F61A116">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44" w:type="pct"/>
            <w:vAlign w:val="center"/>
          </w:tcPr>
          <w:p w14:paraId="02B3B3D2">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16BA234A">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00F296A8">
            <w:pPr>
              <w:pStyle w:val="434"/>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r>
      <w:tr w14:paraId="6808A04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4F555F90">
            <w:pPr>
              <w:jc w:val="center"/>
              <w:rPr>
                <w:rFonts w:hint="eastAsia"/>
                <w:color w:val="auto"/>
                <w:szCs w:val="21"/>
                <w:highlight w:val="none"/>
                <w:lang w:val="en-US" w:eastAsia="zh-CN"/>
              </w:rPr>
            </w:pPr>
          </w:p>
        </w:tc>
        <w:tc>
          <w:tcPr>
            <w:tcW w:w="497" w:type="pct"/>
            <w:gridSpan w:val="2"/>
            <w:vMerge w:val="continue"/>
            <w:vAlign w:val="center"/>
          </w:tcPr>
          <w:p w14:paraId="5E572E4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pacing w:val="4"/>
                <w:szCs w:val="21"/>
                <w:highlight w:val="none"/>
                <w:lang w:val="en-US" w:eastAsia="zh-CN"/>
              </w:rPr>
            </w:pPr>
          </w:p>
        </w:tc>
        <w:tc>
          <w:tcPr>
            <w:tcW w:w="373" w:type="pct"/>
            <w:vAlign w:val="center"/>
          </w:tcPr>
          <w:p w14:paraId="16E9D919">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COD</w:t>
            </w:r>
          </w:p>
        </w:tc>
        <w:tc>
          <w:tcPr>
            <w:tcW w:w="496" w:type="pct"/>
            <w:vAlign w:val="center"/>
          </w:tcPr>
          <w:p w14:paraId="21F7F7A7">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350</w:t>
            </w:r>
          </w:p>
        </w:tc>
        <w:tc>
          <w:tcPr>
            <w:tcW w:w="527" w:type="pct"/>
            <w:vAlign w:val="center"/>
          </w:tcPr>
          <w:p w14:paraId="3E893568">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27A6F977">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0.31</w:t>
            </w:r>
          </w:p>
        </w:tc>
        <w:tc>
          <w:tcPr>
            <w:tcW w:w="692" w:type="pct"/>
            <w:vMerge w:val="continue"/>
            <w:vAlign w:val="center"/>
          </w:tcPr>
          <w:p w14:paraId="55259A5B">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18C29D26">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344" w:type="pct"/>
            <w:vAlign w:val="center"/>
          </w:tcPr>
          <w:p w14:paraId="0DCE99E0">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5603EDA1">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7187A208">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0E5856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51F0B0C5">
            <w:pPr>
              <w:jc w:val="center"/>
              <w:rPr>
                <w:rFonts w:hint="eastAsia"/>
                <w:color w:val="auto"/>
                <w:szCs w:val="21"/>
                <w:highlight w:val="none"/>
                <w:lang w:val="en-US" w:eastAsia="zh-CN"/>
              </w:rPr>
            </w:pPr>
          </w:p>
        </w:tc>
        <w:tc>
          <w:tcPr>
            <w:tcW w:w="497" w:type="pct"/>
            <w:gridSpan w:val="2"/>
            <w:vMerge w:val="continue"/>
            <w:vAlign w:val="center"/>
          </w:tcPr>
          <w:p w14:paraId="09DB9237">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pacing w:val="4"/>
                <w:szCs w:val="21"/>
                <w:highlight w:val="none"/>
                <w:lang w:val="en-US" w:eastAsia="zh-CN"/>
              </w:rPr>
            </w:pPr>
          </w:p>
        </w:tc>
        <w:tc>
          <w:tcPr>
            <w:tcW w:w="373" w:type="pct"/>
            <w:vAlign w:val="center"/>
          </w:tcPr>
          <w:p w14:paraId="01186577">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BOD</w:t>
            </w:r>
            <w:r>
              <w:rPr>
                <w:rFonts w:hint="eastAsia"/>
                <w:color w:val="auto"/>
                <w:szCs w:val="21"/>
                <w:highlight w:val="none"/>
                <w:vertAlign w:val="subscript"/>
                <w:lang w:val="en-US" w:eastAsia="zh-CN"/>
              </w:rPr>
              <w:t>5</w:t>
            </w:r>
          </w:p>
        </w:tc>
        <w:tc>
          <w:tcPr>
            <w:tcW w:w="496" w:type="pct"/>
            <w:vAlign w:val="center"/>
          </w:tcPr>
          <w:p w14:paraId="04117000">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250</w:t>
            </w:r>
          </w:p>
        </w:tc>
        <w:tc>
          <w:tcPr>
            <w:tcW w:w="527" w:type="pct"/>
            <w:vAlign w:val="center"/>
          </w:tcPr>
          <w:p w14:paraId="5512065C">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434763A0">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0.22</w:t>
            </w:r>
          </w:p>
        </w:tc>
        <w:tc>
          <w:tcPr>
            <w:tcW w:w="692" w:type="pct"/>
            <w:vMerge w:val="continue"/>
            <w:vAlign w:val="center"/>
          </w:tcPr>
          <w:p w14:paraId="79C76583">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5BCDA998">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344" w:type="pct"/>
            <w:vAlign w:val="center"/>
          </w:tcPr>
          <w:p w14:paraId="10202C7A">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0D48BA00">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6673C06D">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30F1789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04450E8E">
            <w:pPr>
              <w:jc w:val="center"/>
              <w:rPr>
                <w:rFonts w:hint="eastAsia"/>
                <w:color w:val="auto"/>
                <w:szCs w:val="21"/>
                <w:highlight w:val="none"/>
                <w:lang w:val="en-US" w:eastAsia="zh-CN"/>
              </w:rPr>
            </w:pPr>
          </w:p>
        </w:tc>
        <w:tc>
          <w:tcPr>
            <w:tcW w:w="497" w:type="pct"/>
            <w:gridSpan w:val="2"/>
            <w:vMerge w:val="continue"/>
            <w:vAlign w:val="center"/>
          </w:tcPr>
          <w:p w14:paraId="6E444B85">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pacing w:val="4"/>
                <w:szCs w:val="21"/>
                <w:highlight w:val="none"/>
                <w:lang w:val="en-US" w:eastAsia="zh-CN"/>
              </w:rPr>
            </w:pPr>
          </w:p>
        </w:tc>
        <w:tc>
          <w:tcPr>
            <w:tcW w:w="373" w:type="pct"/>
            <w:vAlign w:val="center"/>
          </w:tcPr>
          <w:p w14:paraId="4E3821DA">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SS</w:t>
            </w:r>
          </w:p>
        </w:tc>
        <w:tc>
          <w:tcPr>
            <w:tcW w:w="496" w:type="pct"/>
            <w:vAlign w:val="center"/>
          </w:tcPr>
          <w:p w14:paraId="595A79BE">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250</w:t>
            </w:r>
          </w:p>
        </w:tc>
        <w:tc>
          <w:tcPr>
            <w:tcW w:w="527" w:type="pct"/>
            <w:vAlign w:val="center"/>
          </w:tcPr>
          <w:p w14:paraId="58A185D9">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646434C4">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0.22</w:t>
            </w:r>
          </w:p>
        </w:tc>
        <w:tc>
          <w:tcPr>
            <w:tcW w:w="692" w:type="pct"/>
            <w:vMerge w:val="continue"/>
            <w:vAlign w:val="center"/>
          </w:tcPr>
          <w:p w14:paraId="0CCF1B08">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04CEEFF2">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344" w:type="pct"/>
            <w:vAlign w:val="center"/>
          </w:tcPr>
          <w:p w14:paraId="277DA6B9">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7C546463">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0A1F0134">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53E7BFD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573FC6A3">
            <w:pPr>
              <w:jc w:val="center"/>
              <w:rPr>
                <w:rFonts w:hint="eastAsia"/>
                <w:color w:val="auto"/>
                <w:szCs w:val="21"/>
                <w:highlight w:val="none"/>
                <w:lang w:val="en-US" w:eastAsia="zh-CN"/>
              </w:rPr>
            </w:pPr>
          </w:p>
        </w:tc>
        <w:tc>
          <w:tcPr>
            <w:tcW w:w="497" w:type="pct"/>
            <w:gridSpan w:val="2"/>
            <w:vMerge w:val="continue"/>
            <w:vAlign w:val="center"/>
          </w:tcPr>
          <w:p w14:paraId="36BFDF98">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pacing w:val="4"/>
                <w:szCs w:val="21"/>
                <w:highlight w:val="none"/>
                <w:lang w:val="en-US" w:eastAsia="zh-CN"/>
              </w:rPr>
            </w:pPr>
          </w:p>
        </w:tc>
        <w:tc>
          <w:tcPr>
            <w:tcW w:w="373" w:type="pct"/>
            <w:vAlign w:val="center"/>
          </w:tcPr>
          <w:p w14:paraId="7B01D65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氨氮</w:t>
            </w:r>
          </w:p>
        </w:tc>
        <w:tc>
          <w:tcPr>
            <w:tcW w:w="496" w:type="pct"/>
            <w:vAlign w:val="center"/>
          </w:tcPr>
          <w:p w14:paraId="6DB98988">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30</w:t>
            </w:r>
          </w:p>
        </w:tc>
        <w:tc>
          <w:tcPr>
            <w:tcW w:w="527" w:type="pct"/>
            <w:vAlign w:val="center"/>
          </w:tcPr>
          <w:p w14:paraId="5B7D659D">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1B2B4F88">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0.026</w:t>
            </w:r>
          </w:p>
        </w:tc>
        <w:tc>
          <w:tcPr>
            <w:tcW w:w="692" w:type="pct"/>
            <w:vMerge w:val="continue"/>
            <w:vAlign w:val="center"/>
          </w:tcPr>
          <w:p w14:paraId="71C0C187">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3C8CB350">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344" w:type="pct"/>
            <w:vAlign w:val="center"/>
          </w:tcPr>
          <w:p w14:paraId="08D065D4">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78003768">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0FFC49E3">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6B52F19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0E97DAD4">
            <w:pPr>
              <w:jc w:val="center"/>
              <w:rPr>
                <w:color w:val="auto"/>
                <w:szCs w:val="21"/>
                <w:highlight w:val="none"/>
              </w:rPr>
            </w:pPr>
          </w:p>
        </w:tc>
        <w:tc>
          <w:tcPr>
            <w:tcW w:w="497" w:type="pct"/>
            <w:gridSpan w:val="2"/>
            <w:vMerge w:val="restart"/>
            <w:vAlign w:val="center"/>
          </w:tcPr>
          <w:p w14:paraId="126B6ABC">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养殖废水</w:t>
            </w:r>
          </w:p>
          <w:p w14:paraId="7DC9CB18">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default" w:eastAsia="宋体"/>
                <w:color w:val="auto"/>
                <w:szCs w:val="21"/>
                <w:highlight w:val="none"/>
                <w:lang w:val="en-US" w:eastAsia="zh-CN"/>
              </w:rPr>
            </w:pPr>
            <w:r>
              <w:rPr>
                <w:rFonts w:hint="eastAsia"/>
                <w:color w:val="auto"/>
                <w:szCs w:val="21"/>
                <w:highlight w:val="none"/>
                <w:lang w:val="en-US" w:eastAsia="zh-CN"/>
              </w:rPr>
              <w:t>废水量5.08t/a</w:t>
            </w:r>
          </w:p>
        </w:tc>
        <w:tc>
          <w:tcPr>
            <w:tcW w:w="373" w:type="pct"/>
            <w:vAlign w:val="center"/>
          </w:tcPr>
          <w:p w14:paraId="28EB22F1">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eastAsia="宋体"/>
                <w:color w:val="auto"/>
                <w:sz w:val="21"/>
                <w:szCs w:val="21"/>
                <w:highlight w:val="none"/>
              </w:rPr>
              <w:t>COD</w:t>
            </w:r>
          </w:p>
        </w:tc>
        <w:tc>
          <w:tcPr>
            <w:tcW w:w="496" w:type="pct"/>
            <w:vAlign w:val="center"/>
          </w:tcPr>
          <w:p w14:paraId="7E3ADF1A">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2640</w:t>
            </w:r>
          </w:p>
        </w:tc>
        <w:tc>
          <w:tcPr>
            <w:tcW w:w="527" w:type="pct"/>
            <w:vAlign w:val="center"/>
          </w:tcPr>
          <w:p w14:paraId="3498EB12">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6630F2DD">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0.013</w:t>
            </w:r>
          </w:p>
        </w:tc>
        <w:tc>
          <w:tcPr>
            <w:tcW w:w="692" w:type="pct"/>
            <w:vMerge w:val="restart"/>
            <w:vAlign w:val="center"/>
          </w:tcPr>
          <w:p w14:paraId="215C461C">
            <w:pPr>
              <w:keepNext w:val="0"/>
              <w:keepLines w:val="0"/>
              <w:pageBreakBefore w:val="0"/>
              <w:kinsoku/>
              <w:wordWrap/>
              <w:overflowPunct/>
              <w:topLinePunct w:val="0"/>
              <w:autoSpaceDE/>
              <w:autoSpaceDN/>
              <w:bidi w:val="0"/>
              <w:ind w:left="-105" w:leftChars="-50" w:right="-105" w:rightChars="-50"/>
              <w:jc w:val="center"/>
              <w:rPr>
                <w:rFonts w:hint="eastAsia" w:eastAsia="宋体"/>
                <w:color w:val="auto"/>
                <w:szCs w:val="21"/>
                <w:highlight w:val="none"/>
                <w:lang w:eastAsia="zh-CN"/>
              </w:rPr>
            </w:pPr>
            <w:r>
              <w:rPr>
                <w:rFonts w:hint="eastAsia"/>
                <w:color w:val="auto"/>
                <w:szCs w:val="21"/>
                <w:highlight w:val="none"/>
              </w:rPr>
              <w:t>养殖废水</w:t>
            </w:r>
            <w:r>
              <w:rPr>
                <w:rFonts w:hint="eastAsia"/>
                <w:color w:val="auto"/>
                <w:szCs w:val="21"/>
                <w:highlight w:val="none"/>
                <w:lang w:eastAsia="zh-CN"/>
              </w:rPr>
              <w:t>进入废水收集池，日产日清，</w:t>
            </w:r>
            <w:r>
              <w:rPr>
                <w:rFonts w:hint="eastAsia"/>
                <w:color w:val="auto"/>
                <w:szCs w:val="21"/>
                <w:highlight w:val="none"/>
                <w:lang w:val="en-US" w:eastAsia="zh-CN"/>
              </w:rPr>
              <w:t>由罐车运至辰泰（辽宁）生物科技有限公司制造有机肥。</w:t>
            </w:r>
          </w:p>
        </w:tc>
        <w:tc>
          <w:tcPr>
            <w:tcW w:w="250" w:type="pct"/>
            <w:vMerge w:val="restart"/>
            <w:vAlign w:val="center"/>
          </w:tcPr>
          <w:p w14:paraId="19FDD565">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344" w:type="pct"/>
            <w:vAlign w:val="center"/>
          </w:tcPr>
          <w:p w14:paraId="5F6980A5">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432C0EE4">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45CC8EDE">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1D8F48B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13C8D53A">
            <w:pPr>
              <w:jc w:val="center"/>
              <w:rPr>
                <w:color w:val="auto"/>
                <w:szCs w:val="21"/>
                <w:highlight w:val="none"/>
              </w:rPr>
            </w:pPr>
          </w:p>
        </w:tc>
        <w:tc>
          <w:tcPr>
            <w:tcW w:w="497" w:type="pct"/>
            <w:gridSpan w:val="2"/>
            <w:vMerge w:val="continue"/>
            <w:vAlign w:val="center"/>
          </w:tcPr>
          <w:p w14:paraId="5BC4DF07">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373" w:type="pct"/>
            <w:vAlign w:val="center"/>
          </w:tcPr>
          <w:p w14:paraId="67FC7EB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eastAsia="宋体"/>
                <w:color w:val="auto"/>
                <w:sz w:val="21"/>
                <w:szCs w:val="21"/>
                <w:highlight w:val="none"/>
              </w:rPr>
              <w:t>NH</w:t>
            </w:r>
            <w:r>
              <w:rPr>
                <w:rFonts w:eastAsia="宋体"/>
                <w:color w:val="auto"/>
                <w:sz w:val="21"/>
                <w:szCs w:val="21"/>
                <w:highlight w:val="none"/>
                <w:vertAlign w:val="subscript"/>
              </w:rPr>
              <w:t>3</w:t>
            </w:r>
            <w:r>
              <w:rPr>
                <w:rFonts w:eastAsia="宋体"/>
                <w:color w:val="auto"/>
                <w:sz w:val="21"/>
                <w:szCs w:val="21"/>
                <w:highlight w:val="none"/>
              </w:rPr>
              <w:t>-N</w:t>
            </w:r>
          </w:p>
        </w:tc>
        <w:tc>
          <w:tcPr>
            <w:tcW w:w="496" w:type="pct"/>
            <w:vAlign w:val="center"/>
          </w:tcPr>
          <w:p w14:paraId="4552F7F5">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261</w:t>
            </w:r>
          </w:p>
        </w:tc>
        <w:tc>
          <w:tcPr>
            <w:tcW w:w="527" w:type="pct"/>
            <w:vAlign w:val="center"/>
          </w:tcPr>
          <w:p w14:paraId="4154A481">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2DACC49F">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0.001</w:t>
            </w:r>
          </w:p>
        </w:tc>
        <w:tc>
          <w:tcPr>
            <w:tcW w:w="692" w:type="pct"/>
            <w:vMerge w:val="continue"/>
            <w:vAlign w:val="center"/>
          </w:tcPr>
          <w:p w14:paraId="3023C46F">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3F4D60B5">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344" w:type="pct"/>
            <w:vAlign w:val="center"/>
          </w:tcPr>
          <w:p w14:paraId="3ACA7BFB">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0EA35973">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411B23F1">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5BA9509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64CE70B5">
            <w:pPr>
              <w:jc w:val="center"/>
              <w:rPr>
                <w:color w:val="auto"/>
                <w:szCs w:val="21"/>
                <w:highlight w:val="none"/>
              </w:rPr>
            </w:pPr>
          </w:p>
        </w:tc>
        <w:tc>
          <w:tcPr>
            <w:tcW w:w="497" w:type="pct"/>
            <w:gridSpan w:val="2"/>
            <w:vMerge w:val="continue"/>
            <w:vAlign w:val="center"/>
          </w:tcPr>
          <w:p w14:paraId="69C72350">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373" w:type="pct"/>
            <w:vAlign w:val="center"/>
          </w:tcPr>
          <w:p w14:paraId="0CBE320F">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eastAsia="宋体"/>
                <w:color w:val="auto"/>
                <w:sz w:val="21"/>
                <w:szCs w:val="21"/>
                <w:highlight w:val="none"/>
              </w:rPr>
              <w:t>TN</w:t>
            </w:r>
          </w:p>
        </w:tc>
        <w:tc>
          <w:tcPr>
            <w:tcW w:w="496" w:type="pct"/>
            <w:vAlign w:val="center"/>
          </w:tcPr>
          <w:p w14:paraId="36E81C98">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370</w:t>
            </w:r>
          </w:p>
        </w:tc>
        <w:tc>
          <w:tcPr>
            <w:tcW w:w="527" w:type="pct"/>
            <w:vAlign w:val="center"/>
          </w:tcPr>
          <w:p w14:paraId="5983508C">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249479C0">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0.002</w:t>
            </w:r>
          </w:p>
        </w:tc>
        <w:tc>
          <w:tcPr>
            <w:tcW w:w="692" w:type="pct"/>
            <w:vMerge w:val="continue"/>
            <w:vAlign w:val="center"/>
          </w:tcPr>
          <w:p w14:paraId="15FB0A93">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3153192C">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344" w:type="pct"/>
            <w:vAlign w:val="center"/>
          </w:tcPr>
          <w:p w14:paraId="48E5D841">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40D7AF85">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6EC63DBD">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4F1C0C5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5DFA8E17">
            <w:pPr>
              <w:jc w:val="center"/>
              <w:rPr>
                <w:color w:val="auto"/>
                <w:szCs w:val="21"/>
                <w:highlight w:val="none"/>
              </w:rPr>
            </w:pPr>
          </w:p>
        </w:tc>
        <w:tc>
          <w:tcPr>
            <w:tcW w:w="497" w:type="pct"/>
            <w:gridSpan w:val="2"/>
            <w:vMerge w:val="continue"/>
            <w:vAlign w:val="center"/>
          </w:tcPr>
          <w:p w14:paraId="0D0F26C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373" w:type="pct"/>
            <w:vAlign w:val="center"/>
          </w:tcPr>
          <w:p w14:paraId="61E25720">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eastAsia="宋体"/>
                <w:color w:val="auto"/>
                <w:sz w:val="21"/>
                <w:szCs w:val="21"/>
                <w:highlight w:val="none"/>
              </w:rPr>
              <w:t>TP</w:t>
            </w:r>
          </w:p>
        </w:tc>
        <w:tc>
          <w:tcPr>
            <w:tcW w:w="496" w:type="pct"/>
            <w:vAlign w:val="center"/>
          </w:tcPr>
          <w:p w14:paraId="009DE479">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43.5</w:t>
            </w:r>
          </w:p>
        </w:tc>
        <w:tc>
          <w:tcPr>
            <w:tcW w:w="527" w:type="pct"/>
            <w:vAlign w:val="center"/>
          </w:tcPr>
          <w:p w14:paraId="3C3AA7C1">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0AAC77F9">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0.0002</w:t>
            </w:r>
          </w:p>
        </w:tc>
        <w:tc>
          <w:tcPr>
            <w:tcW w:w="692" w:type="pct"/>
            <w:vMerge w:val="continue"/>
            <w:vAlign w:val="center"/>
          </w:tcPr>
          <w:p w14:paraId="63C21912">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5EFD2B28">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344" w:type="pct"/>
            <w:vAlign w:val="center"/>
          </w:tcPr>
          <w:p w14:paraId="4CE707FE">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481E994B">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7296A688">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0093D1F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62538A40">
            <w:pPr>
              <w:jc w:val="center"/>
              <w:rPr>
                <w:color w:val="auto"/>
                <w:szCs w:val="21"/>
                <w:highlight w:val="none"/>
              </w:rPr>
            </w:pPr>
          </w:p>
        </w:tc>
        <w:tc>
          <w:tcPr>
            <w:tcW w:w="497" w:type="pct"/>
            <w:gridSpan w:val="2"/>
            <w:vMerge w:val="continue"/>
            <w:vAlign w:val="center"/>
          </w:tcPr>
          <w:p w14:paraId="4AE90ECE">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373" w:type="pct"/>
            <w:vAlign w:val="center"/>
          </w:tcPr>
          <w:p w14:paraId="2469B6A3">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rFonts w:eastAsia="宋体"/>
                <w:color w:val="auto"/>
                <w:sz w:val="21"/>
                <w:szCs w:val="21"/>
                <w:highlight w:val="none"/>
              </w:rPr>
              <w:t>BOD</w:t>
            </w:r>
            <w:r>
              <w:rPr>
                <w:rFonts w:eastAsia="宋体"/>
                <w:color w:val="auto"/>
                <w:sz w:val="21"/>
                <w:szCs w:val="21"/>
                <w:highlight w:val="none"/>
                <w:vertAlign w:val="subscript"/>
              </w:rPr>
              <w:t>5</w:t>
            </w:r>
          </w:p>
        </w:tc>
        <w:tc>
          <w:tcPr>
            <w:tcW w:w="496" w:type="pct"/>
            <w:vAlign w:val="center"/>
          </w:tcPr>
          <w:p w14:paraId="7AE3AC95">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1000</w:t>
            </w:r>
          </w:p>
        </w:tc>
        <w:tc>
          <w:tcPr>
            <w:tcW w:w="527" w:type="pct"/>
            <w:vAlign w:val="center"/>
          </w:tcPr>
          <w:p w14:paraId="34E96D05">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391F58D6">
            <w:pPr>
              <w:pStyle w:val="43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0.005</w:t>
            </w:r>
          </w:p>
        </w:tc>
        <w:tc>
          <w:tcPr>
            <w:tcW w:w="692" w:type="pct"/>
            <w:vMerge w:val="continue"/>
            <w:vAlign w:val="center"/>
          </w:tcPr>
          <w:p w14:paraId="3E9288F6">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02E3D012">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344" w:type="pct"/>
            <w:vAlign w:val="center"/>
          </w:tcPr>
          <w:p w14:paraId="0DD2CEF7">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1D628E7F">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5C1BA48E">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7089677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712BD884">
            <w:pPr>
              <w:jc w:val="center"/>
              <w:rPr>
                <w:color w:val="auto"/>
                <w:szCs w:val="21"/>
                <w:highlight w:val="none"/>
              </w:rPr>
            </w:pPr>
          </w:p>
        </w:tc>
        <w:tc>
          <w:tcPr>
            <w:tcW w:w="497" w:type="pct"/>
            <w:gridSpan w:val="2"/>
            <w:vMerge w:val="continue"/>
            <w:vAlign w:val="center"/>
          </w:tcPr>
          <w:p w14:paraId="64E22606">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373" w:type="pct"/>
            <w:vAlign w:val="center"/>
          </w:tcPr>
          <w:p w14:paraId="6BF6DF52">
            <w:pPr>
              <w:adjustRightInd w:val="0"/>
              <w:snapToGrid w:val="0"/>
              <w:jc w:val="center"/>
              <w:rPr>
                <w:snapToGrid w:val="0"/>
                <w:color w:val="auto"/>
                <w:kern w:val="0"/>
                <w:szCs w:val="21"/>
                <w:highlight w:val="none"/>
              </w:rPr>
            </w:pPr>
            <w:r>
              <w:rPr>
                <w:snapToGrid w:val="0"/>
                <w:color w:val="auto"/>
                <w:kern w:val="0"/>
                <w:szCs w:val="21"/>
                <w:highlight w:val="none"/>
              </w:rPr>
              <w:t>粪大肠菌</w:t>
            </w:r>
          </w:p>
          <w:p w14:paraId="4BE20C1D">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snapToGrid w:val="0"/>
                <w:color w:val="auto"/>
                <w:kern w:val="0"/>
                <w:szCs w:val="21"/>
                <w:highlight w:val="none"/>
              </w:rPr>
              <w:t>群数</w:t>
            </w:r>
          </w:p>
        </w:tc>
        <w:tc>
          <w:tcPr>
            <w:tcW w:w="496" w:type="pct"/>
            <w:vAlign w:val="center"/>
          </w:tcPr>
          <w:p w14:paraId="00151786">
            <w:pPr>
              <w:adjustRightInd w:val="0"/>
              <w:snapToGrid w:val="0"/>
              <w:jc w:val="center"/>
              <w:rPr>
                <w:snapToGrid w:val="0"/>
                <w:color w:val="auto"/>
                <w:kern w:val="0"/>
                <w:szCs w:val="21"/>
                <w:highlight w:val="none"/>
              </w:rPr>
            </w:pPr>
            <w:r>
              <w:rPr>
                <w:snapToGrid w:val="0"/>
                <w:color w:val="auto"/>
                <w:kern w:val="0"/>
                <w:szCs w:val="21"/>
                <w:highlight w:val="none"/>
              </w:rPr>
              <w:t>200000</w:t>
            </w:r>
          </w:p>
          <w:p w14:paraId="52A4FDE1">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snapToGrid w:val="0"/>
                <w:color w:val="auto"/>
                <w:kern w:val="0"/>
                <w:szCs w:val="21"/>
                <w:highlight w:val="none"/>
              </w:rPr>
              <w:t>（个/L）</w:t>
            </w:r>
          </w:p>
        </w:tc>
        <w:tc>
          <w:tcPr>
            <w:tcW w:w="527" w:type="pct"/>
            <w:vAlign w:val="center"/>
          </w:tcPr>
          <w:p w14:paraId="7F030D8F">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4DE7DFF8">
            <w:pPr>
              <w:pStyle w:val="434"/>
              <w:jc w:val="center"/>
              <w:rPr>
                <w:rFonts w:hint="eastAsia"/>
                <w:color w:val="auto"/>
                <w:sz w:val="21"/>
                <w:szCs w:val="21"/>
                <w:highlight w:val="none"/>
              </w:rPr>
            </w:pPr>
            <w:r>
              <w:rPr>
                <w:rFonts w:hint="default" w:ascii="Times New Roman" w:hAnsi="Times New Roman" w:cs="Times New Roman"/>
                <w:color w:val="auto"/>
                <w:sz w:val="21"/>
                <w:szCs w:val="21"/>
                <w:highlight w:val="none"/>
                <w:lang w:val="en-US" w:eastAsia="zh-CN"/>
              </w:rPr>
              <w:t>1.016×10</w:t>
            </w:r>
            <w:r>
              <w:rPr>
                <w:rFonts w:hint="default" w:ascii="Times New Roman" w:hAnsi="Times New Roman" w:cs="Times New Roman"/>
                <w:color w:val="auto"/>
                <w:sz w:val="21"/>
                <w:szCs w:val="21"/>
                <w:highlight w:val="none"/>
                <w:vertAlign w:val="superscript"/>
                <w:lang w:val="en-US" w:eastAsia="zh-CN"/>
              </w:rPr>
              <w:t>9</w:t>
            </w:r>
          </w:p>
        </w:tc>
        <w:tc>
          <w:tcPr>
            <w:tcW w:w="692" w:type="pct"/>
            <w:vMerge w:val="continue"/>
            <w:vAlign w:val="center"/>
          </w:tcPr>
          <w:p w14:paraId="3A983139">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3331B98D">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344" w:type="pct"/>
            <w:vAlign w:val="center"/>
          </w:tcPr>
          <w:p w14:paraId="53E08EF1">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028FB33B">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2D84AA5A">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579EDDB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1D55313D">
            <w:pPr>
              <w:jc w:val="center"/>
              <w:rPr>
                <w:color w:val="auto"/>
                <w:szCs w:val="21"/>
                <w:highlight w:val="none"/>
              </w:rPr>
            </w:pPr>
          </w:p>
        </w:tc>
        <w:tc>
          <w:tcPr>
            <w:tcW w:w="497" w:type="pct"/>
            <w:gridSpan w:val="2"/>
            <w:vMerge w:val="continue"/>
            <w:vAlign w:val="center"/>
          </w:tcPr>
          <w:p w14:paraId="49F861F3">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color w:val="auto"/>
                <w:szCs w:val="21"/>
                <w:highlight w:val="none"/>
              </w:rPr>
            </w:pPr>
          </w:p>
        </w:tc>
        <w:tc>
          <w:tcPr>
            <w:tcW w:w="373" w:type="pct"/>
            <w:vAlign w:val="center"/>
          </w:tcPr>
          <w:p w14:paraId="42E8BC20">
            <w:pPr>
              <w:keepNext w:val="0"/>
              <w:keepLines w:val="0"/>
              <w:pageBreakBefore w:val="0"/>
              <w:tabs>
                <w:tab w:val="right" w:pos="7938"/>
              </w:tabs>
              <w:kinsoku/>
              <w:wordWrap/>
              <w:overflowPunct/>
              <w:topLinePunct w:val="0"/>
              <w:autoSpaceDE/>
              <w:autoSpaceDN/>
              <w:bidi w:val="0"/>
              <w:snapToGrid w:val="0"/>
              <w:ind w:left="-105" w:leftChars="-50" w:right="-105" w:rightChars="-50"/>
              <w:jc w:val="center"/>
              <w:rPr>
                <w:rFonts w:hint="eastAsia"/>
                <w:color w:val="auto"/>
                <w:szCs w:val="21"/>
                <w:highlight w:val="none"/>
                <w:lang w:val="en-US" w:eastAsia="zh-CN"/>
              </w:rPr>
            </w:pPr>
            <w:r>
              <w:rPr>
                <w:snapToGrid w:val="0"/>
                <w:color w:val="auto"/>
                <w:kern w:val="0"/>
                <w:szCs w:val="21"/>
                <w:highlight w:val="none"/>
              </w:rPr>
              <w:t>蛔虫卵</w:t>
            </w:r>
          </w:p>
        </w:tc>
        <w:tc>
          <w:tcPr>
            <w:tcW w:w="496" w:type="pct"/>
            <w:vAlign w:val="center"/>
          </w:tcPr>
          <w:p w14:paraId="24FF6DF9">
            <w:pPr>
              <w:adjustRightInd w:val="0"/>
              <w:snapToGrid w:val="0"/>
              <w:jc w:val="center"/>
              <w:rPr>
                <w:snapToGrid w:val="0"/>
                <w:color w:val="auto"/>
                <w:kern w:val="0"/>
                <w:szCs w:val="21"/>
                <w:highlight w:val="none"/>
              </w:rPr>
            </w:pPr>
            <w:r>
              <w:rPr>
                <w:snapToGrid w:val="0"/>
                <w:color w:val="auto"/>
                <w:kern w:val="0"/>
                <w:szCs w:val="21"/>
                <w:highlight w:val="none"/>
              </w:rPr>
              <w:t>25</w:t>
            </w:r>
          </w:p>
          <w:p w14:paraId="3280FF72">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snapToGrid w:val="0"/>
                <w:color w:val="auto"/>
                <w:kern w:val="0"/>
                <w:szCs w:val="21"/>
                <w:highlight w:val="none"/>
              </w:rPr>
              <w:t>（个/L）</w:t>
            </w:r>
          </w:p>
        </w:tc>
        <w:tc>
          <w:tcPr>
            <w:tcW w:w="527" w:type="pct"/>
            <w:vAlign w:val="center"/>
          </w:tcPr>
          <w:p w14:paraId="02F746A5">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23776AB4">
            <w:pPr>
              <w:pStyle w:val="434"/>
              <w:jc w:val="center"/>
              <w:rPr>
                <w:rFonts w:hint="eastAsia"/>
                <w:color w:val="auto"/>
                <w:sz w:val="21"/>
                <w:szCs w:val="21"/>
                <w:highlight w:val="none"/>
              </w:rPr>
            </w:pPr>
            <w:r>
              <w:rPr>
                <w:rFonts w:hint="eastAsia"/>
                <w:color w:val="auto"/>
                <w:sz w:val="21"/>
                <w:szCs w:val="21"/>
                <w:lang w:val="en-US" w:eastAsia="zh-CN"/>
              </w:rPr>
              <w:t>1.27</w:t>
            </w:r>
            <w:r>
              <w:rPr>
                <w:rFonts w:hint="default" w:ascii="Arial" w:hAnsi="Arial" w:cs="Arial"/>
                <w:color w:val="auto"/>
                <w:sz w:val="21"/>
                <w:szCs w:val="21"/>
                <w:lang w:val="en-US" w:eastAsia="zh-CN"/>
              </w:rPr>
              <w:t>×</w:t>
            </w:r>
            <w:r>
              <w:rPr>
                <w:rFonts w:hint="eastAsia"/>
                <w:color w:val="auto"/>
                <w:sz w:val="21"/>
                <w:szCs w:val="21"/>
                <w:lang w:val="en-US" w:eastAsia="zh-CN"/>
              </w:rPr>
              <w:t>10</w:t>
            </w:r>
            <w:r>
              <w:rPr>
                <w:rFonts w:hint="eastAsia"/>
                <w:color w:val="auto"/>
                <w:sz w:val="21"/>
                <w:szCs w:val="21"/>
                <w:vertAlign w:val="superscript"/>
                <w:lang w:val="en-US" w:eastAsia="zh-CN"/>
              </w:rPr>
              <w:t>5</w:t>
            </w:r>
          </w:p>
        </w:tc>
        <w:tc>
          <w:tcPr>
            <w:tcW w:w="692" w:type="pct"/>
            <w:vMerge w:val="continue"/>
            <w:vAlign w:val="center"/>
          </w:tcPr>
          <w:p w14:paraId="683C53AB">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Merge w:val="continue"/>
            <w:vAlign w:val="center"/>
          </w:tcPr>
          <w:p w14:paraId="671A781B">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p>
        </w:tc>
        <w:tc>
          <w:tcPr>
            <w:tcW w:w="344" w:type="pct"/>
            <w:vAlign w:val="center"/>
          </w:tcPr>
          <w:p w14:paraId="475FF14C">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0B24DC35">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716E1BD4">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16B3953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restart"/>
            <w:vAlign w:val="center"/>
          </w:tcPr>
          <w:p w14:paraId="5A686FDD">
            <w:pPr>
              <w:jc w:val="center"/>
              <w:rPr>
                <w:rFonts w:hint="eastAsia" w:eastAsia="宋体"/>
                <w:color w:val="auto"/>
                <w:szCs w:val="21"/>
                <w:lang w:val="en-US" w:eastAsia="zh-CN"/>
              </w:rPr>
            </w:pPr>
            <w:r>
              <w:rPr>
                <w:rFonts w:hint="eastAsia"/>
                <w:color w:val="auto"/>
                <w:szCs w:val="21"/>
                <w:lang w:val="en-US" w:eastAsia="zh-CN"/>
              </w:rPr>
              <w:t>固体废物</w:t>
            </w:r>
          </w:p>
        </w:tc>
        <w:tc>
          <w:tcPr>
            <w:tcW w:w="497" w:type="pct"/>
            <w:gridSpan w:val="2"/>
            <w:vAlign w:val="center"/>
          </w:tcPr>
          <w:p w14:paraId="5ABDC9C1">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蛋鸡</w:t>
            </w:r>
            <w:r>
              <w:rPr>
                <w:color w:val="auto"/>
                <w:szCs w:val="21"/>
              </w:rPr>
              <w:t>养殖</w:t>
            </w:r>
          </w:p>
        </w:tc>
        <w:tc>
          <w:tcPr>
            <w:tcW w:w="373" w:type="pct"/>
            <w:tcBorders>
              <w:left w:val="double" w:color="000000" w:sz="4" w:space="0"/>
            </w:tcBorders>
            <w:vAlign w:val="center"/>
          </w:tcPr>
          <w:p w14:paraId="11E7C016">
            <w:pPr>
              <w:jc w:val="center"/>
              <w:rPr>
                <w:color w:val="auto"/>
                <w:szCs w:val="21"/>
              </w:rPr>
            </w:pPr>
            <w:r>
              <w:rPr>
                <w:color w:val="auto"/>
                <w:szCs w:val="21"/>
              </w:rPr>
              <w:t>鸡粪</w:t>
            </w:r>
            <w:r>
              <w:rPr>
                <w:rFonts w:hint="eastAsia"/>
                <w:color w:val="auto"/>
                <w:szCs w:val="21"/>
              </w:rPr>
              <w:t>（含掉落鸡羽毛）</w:t>
            </w:r>
          </w:p>
        </w:tc>
        <w:tc>
          <w:tcPr>
            <w:tcW w:w="496" w:type="pct"/>
            <w:vAlign w:val="center"/>
          </w:tcPr>
          <w:p w14:paraId="4B5C8C45">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527" w:type="pct"/>
            <w:vAlign w:val="center"/>
          </w:tcPr>
          <w:p w14:paraId="0F362405">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2470D6B9">
            <w:pPr>
              <w:jc w:val="center"/>
              <w:rPr>
                <w:rFonts w:hint="eastAsia" w:ascii="Times New Roman" w:hAnsi="Times New Roman" w:eastAsia="宋体" w:cs="Times New Roman"/>
                <w:color w:val="auto"/>
                <w:kern w:val="2"/>
                <w:sz w:val="21"/>
                <w:szCs w:val="21"/>
                <w:lang w:val="en-US" w:eastAsia="zh-CN" w:bidi="ar-SA"/>
              </w:rPr>
            </w:pPr>
            <w:r>
              <w:rPr>
                <w:color w:val="auto"/>
                <w:szCs w:val="21"/>
              </w:rPr>
              <w:t>47450</w:t>
            </w:r>
          </w:p>
        </w:tc>
        <w:tc>
          <w:tcPr>
            <w:tcW w:w="692" w:type="pct"/>
            <w:vMerge w:val="restart"/>
            <w:vAlign w:val="center"/>
          </w:tcPr>
          <w:p w14:paraId="52A9C096">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r>
              <w:rPr>
                <w:color w:val="auto"/>
                <w:szCs w:val="21"/>
              </w:rPr>
              <w:t>除</w:t>
            </w:r>
            <w:r>
              <w:rPr>
                <w:rFonts w:hint="eastAsia"/>
                <w:color w:val="auto"/>
                <w:szCs w:val="21"/>
              </w:rPr>
              <w:t>极端天气</w:t>
            </w:r>
            <w:r>
              <w:rPr>
                <w:color w:val="auto"/>
                <w:szCs w:val="21"/>
              </w:rPr>
              <w:t>（约50天/年）需暂存</w:t>
            </w:r>
            <w:r>
              <w:rPr>
                <w:rFonts w:hint="eastAsia"/>
                <w:color w:val="auto"/>
                <w:szCs w:val="21"/>
                <w:lang w:eastAsia="zh-CN"/>
              </w:rPr>
              <w:t>临时储粪场</w:t>
            </w:r>
            <w:r>
              <w:rPr>
                <w:color w:val="auto"/>
                <w:szCs w:val="21"/>
              </w:rPr>
              <w:t>外，均日产日清由清粪车直接拉走外售</w:t>
            </w:r>
            <w:r>
              <w:rPr>
                <w:rFonts w:hint="eastAsia"/>
                <w:color w:val="auto"/>
                <w:szCs w:val="21"/>
                <w:lang w:eastAsia="zh-CN"/>
              </w:rPr>
              <w:t>至</w:t>
            </w:r>
            <w:r>
              <w:rPr>
                <w:rFonts w:hint="eastAsia"/>
                <w:color w:val="auto"/>
                <w:szCs w:val="21"/>
                <w:highlight w:val="none"/>
                <w:lang w:val="en-US" w:eastAsia="zh-CN"/>
              </w:rPr>
              <w:t>辰泰（辽宁）生物科技有限公司</w:t>
            </w:r>
            <w:r>
              <w:rPr>
                <w:rFonts w:hint="eastAsia"/>
                <w:color w:val="auto"/>
                <w:szCs w:val="21"/>
              </w:rPr>
              <w:t>进行有机肥制造</w:t>
            </w:r>
          </w:p>
        </w:tc>
        <w:tc>
          <w:tcPr>
            <w:tcW w:w="250" w:type="pct"/>
            <w:vAlign w:val="center"/>
          </w:tcPr>
          <w:p w14:paraId="0F4239B0">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344" w:type="pct"/>
            <w:vAlign w:val="center"/>
          </w:tcPr>
          <w:p w14:paraId="62AF02F2">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3FC2BA44">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085DFE60">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759AAA9B">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7812EA37">
            <w:pPr>
              <w:jc w:val="center"/>
              <w:rPr>
                <w:color w:val="auto"/>
                <w:szCs w:val="21"/>
              </w:rPr>
            </w:pPr>
          </w:p>
        </w:tc>
        <w:tc>
          <w:tcPr>
            <w:tcW w:w="497" w:type="pct"/>
            <w:gridSpan w:val="2"/>
            <w:vAlign w:val="center"/>
          </w:tcPr>
          <w:p w14:paraId="4C3F5D84">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蛋鸡</w:t>
            </w:r>
            <w:r>
              <w:rPr>
                <w:color w:val="auto"/>
                <w:szCs w:val="21"/>
              </w:rPr>
              <w:t>饲养</w:t>
            </w:r>
          </w:p>
        </w:tc>
        <w:tc>
          <w:tcPr>
            <w:tcW w:w="373" w:type="pct"/>
            <w:tcBorders>
              <w:left w:val="double" w:color="000000" w:sz="4" w:space="0"/>
            </w:tcBorders>
            <w:vAlign w:val="center"/>
          </w:tcPr>
          <w:p w14:paraId="092DCE50">
            <w:pPr>
              <w:jc w:val="center"/>
              <w:rPr>
                <w:color w:val="auto"/>
                <w:szCs w:val="21"/>
              </w:rPr>
            </w:pPr>
            <w:r>
              <w:rPr>
                <w:color w:val="auto"/>
                <w:szCs w:val="21"/>
              </w:rPr>
              <w:t>饲料残渣</w:t>
            </w:r>
          </w:p>
        </w:tc>
        <w:tc>
          <w:tcPr>
            <w:tcW w:w="496" w:type="pct"/>
            <w:vAlign w:val="center"/>
          </w:tcPr>
          <w:p w14:paraId="5B266E39">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527" w:type="pct"/>
            <w:vAlign w:val="center"/>
          </w:tcPr>
          <w:p w14:paraId="60770395">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6674560B">
            <w:pPr>
              <w:jc w:val="center"/>
              <w:rPr>
                <w:rFonts w:hint="eastAsia" w:ascii="Times New Roman" w:hAnsi="Times New Roman" w:eastAsia="宋体" w:cs="Times New Roman"/>
                <w:color w:val="auto"/>
                <w:kern w:val="2"/>
                <w:sz w:val="21"/>
                <w:szCs w:val="21"/>
                <w:lang w:val="en-US" w:eastAsia="zh-CN" w:bidi="ar-SA"/>
              </w:rPr>
            </w:pPr>
            <w:r>
              <w:rPr>
                <w:color w:val="auto"/>
                <w:szCs w:val="21"/>
              </w:rPr>
              <w:t>45</w:t>
            </w:r>
          </w:p>
        </w:tc>
        <w:tc>
          <w:tcPr>
            <w:tcW w:w="692" w:type="pct"/>
            <w:vMerge w:val="continue"/>
            <w:vAlign w:val="center"/>
          </w:tcPr>
          <w:p w14:paraId="68E0A389">
            <w:pPr>
              <w:keepNext w:val="0"/>
              <w:keepLines w:val="0"/>
              <w:pageBreakBefore w:val="0"/>
              <w:kinsoku/>
              <w:wordWrap/>
              <w:overflowPunct/>
              <w:topLinePunct w:val="0"/>
              <w:autoSpaceDE/>
              <w:autoSpaceDN/>
              <w:bidi w:val="0"/>
              <w:ind w:left="-105" w:leftChars="-50" w:right="-105" w:rightChars="-50"/>
              <w:jc w:val="center"/>
              <w:rPr>
                <w:color w:val="auto"/>
                <w:szCs w:val="21"/>
                <w:highlight w:val="none"/>
              </w:rPr>
            </w:pPr>
          </w:p>
        </w:tc>
        <w:tc>
          <w:tcPr>
            <w:tcW w:w="250" w:type="pct"/>
            <w:vAlign w:val="center"/>
          </w:tcPr>
          <w:p w14:paraId="6CC0ADAD">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344" w:type="pct"/>
            <w:vAlign w:val="center"/>
          </w:tcPr>
          <w:p w14:paraId="6B1B1AD1">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23F88659">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7682468A">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4A23FDB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738B4FEF">
            <w:pPr>
              <w:jc w:val="center"/>
              <w:rPr>
                <w:color w:val="auto"/>
                <w:szCs w:val="21"/>
              </w:rPr>
            </w:pPr>
          </w:p>
        </w:tc>
        <w:tc>
          <w:tcPr>
            <w:tcW w:w="497" w:type="pct"/>
            <w:gridSpan w:val="2"/>
            <w:vAlign w:val="center"/>
          </w:tcPr>
          <w:p w14:paraId="18175F93">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蛋鸡养殖</w:t>
            </w:r>
          </w:p>
        </w:tc>
        <w:tc>
          <w:tcPr>
            <w:tcW w:w="373" w:type="pct"/>
            <w:tcBorders>
              <w:left w:val="double" w:color="000000" w:sz="4" w:space="0"/>
            </w:tcBorders>
            <w:vAlign w:val="center"/>
          </w:tcPr>
          <w:p w14:paraId="49681FE7">
            <w:pPr>
              <w:jc w:val="center"/>
              <w:rPr>
                <w:color w:val="auto"/>
                <w:szCs w:val="21"/>
              </w:rPr>
            </w:pPr>
            <w:r>
              <w:rPr>
                <w:color w:val="auto"/>
                <w:szCs w:val="21"/>
              </w:rPr>
              <w:t>病死鸡</w:t>
            </w:r>
          </w:p>
        </w:tc>
        <w:tc>
          <w:tcPr>
            <w:tcW w:w="496" w:type="pct"/>
            <w:vAlign w:val="center"/>
          </w:tcPr>
          <w:p w14:paraId="74335405">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527" w:type="pct"/>
            <w:vAlign w:val="center"/>
          </w:tcPr>
          <w:p w14:paraId="4C5E6389">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2FBA8D4E">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3</w:t>
            </w:r>
          </w:p>
        </w:tc>
        <w:tc>
          <w:tcPr>
            <w:tcW w:w="692" w:type="pct"/>
            <w:vAlign w:val="center"/>
          </w:tcPr>
          <w:p w14:paraId="1C711A84">
            <w:pPr>
              <w:keepNext w:val="0"/>
              <w:keepLines w:val="0"/>
              <w:pageBreakBefore w:val="0"/>
              <w:kinsoku/>
              <w:wordWrap/>
              <w:overflowPunct/>
              <w:topLinePunct w:val="0"/>
              <w:autoSpaceDE/>
              <w:autoSpaceDN/>
              <w:bidi w:val="0"/>
              <w:ind w:left="-105" w:leftChars="-50" w:right="-105" w:rightChars="-50"/>
              <w:jc w:val="center"/>
              <w:rPr>
                <w:rFonts w:hint="eastAsia" w:eastAsia="宋体"/>
                <w:color w:val="auto"/>
                <w:szCs w:val="21"/>
                <w:highlight w:val="none"/>
                <w:lang w:eastAsia="zh-CN"/>
              </w:rPr>
            </w:pPr>
            <w:r>
              <w:rPr>
                <w:rFonts w:hint="eastAsia"/>
                <w:bCs/>
                <w:color w:val="auto"/>
                <w:lang w:eastAsia="zh-CN"/>
              </w:rPr>
              <w:t>委托北票市汇宏动物无害化处理有限公司收集处置</w:t>
            </w:r>
          </w:p>
        </w:tc>
        <w:tc>
          <w:tcPr>
            <w:tcW w:w="250" w:type="pct"/>
            <w:vAlign w:val="center"/>
          </w:tcPr>
          <w:p w14:paraId="35C3E89B">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344" w:type="pct"/>
            <w:vAlign w:val="center"/>
          </w:tcPr>
          <w:p w14:paraId="307E5490">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0C99A126">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54EAB80E">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31B8F7B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3083C3CB">
            <w:pPr>
              <w:jc w:val="center"/>
              <w:rPr>
                <w:color w:val="auto"/>
                <w:szCs w:val="21"/>
              </w:rPr>
            </w:pPr>
          </w:p>
        </w:tc>
        <w:tc>
          <w:tcPr>
            <w:tcW w:w="497" w:type="pct"/>
            <w:gridSpan w:val="2"/>
            <w:vAlign w:val="center"/>
          </w:tcPr>
          <w:p w14:paraId="7DD59CE4">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软化水制备</w:t>
            </w:r>
          </w:p>
        </w:tc>
        <w:tc>
          <w:tcPr>
            <w:tcW w:w="373" w:type="pct"/>
            <w:tcBorders>
              <w:left w:val="double" w:color="000000" w:sz="4" w:space="0"/>
            </w:tcBorders>
            <w:vAlign w:val="center"/>
          </w:tcPr>
          <w:p w14:paraId="70D42A55">
            <w:pPr>
              <w:tabs>
                <w:tab w:val="left" w:pos="5295"/>
              </w:tabs>
              <w:jc w:val="center"/>
              <w:rPr>
                <w:rFonts w:hint="eastAsia"/>
                <w:color w:val="auto"/>
                <w:szCs w:val="21"/>
              </w:rPr>
            </w:pPr>
            <w:r>
              <w:rPr>
                <w:rFonts w:hint="eastAsia"/>
                <w:color w:val="auto"/>
                <w:szCs w:val="21"/>
              </w:rPr>
              <w:t>废离子交换树脂</w:t>
            </w:r>
          </w:p>
        </w:tc>
        <w:tc>
          <w:tcPr>
            <w:tcW w:w="496" w:type="pct"/>
            <w:vAlign w:val="center"/>
          </w:tcPr>
          <w:p w14:paraId="60D46A24">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527" w:type="pct"/>
            <w:vAlign w:val="center"/>
          </w:tcPr>
          <w:p w14:paraId="70391515">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694275DD">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0.</w:t>
            </w:r>
            <w:r>
              <w:rPr>
                <w:rFonts w:hint="eastAsia"/>
                <w:color w:val="auto"/>
                <w:szCs w:val="21"/>
                <w:lang w:val="en-US" w:eastAsia="zh-CN"/>
              </w:rPr>
              <w:t>05</w:t>
            </w:r>
            <w:r>
              <w:rPr>
                <w:rFonts w:hint="eastAsia"/>
                <w:color w:val="auto"/>
                <w:szCs w:val="21"/>
              </w:rPr>
              <w:t>t/5a</w:t>
            </w:r>
          </w:p>
        </w:tc>
        <w:tc>
          <w:tcPr>
            <w:tcW w:w="692" w:type="pct"/>
            <w:vAlign w:val="center"/>
          </w:tcPr>
          <w:p w14:paraId="1D96FEF3">
            <w:pPr>
              <w:pStyle w:val="351"/>
              <w:overflowPunct w:val="0"/>
              <w:autoSpaceDE w:val="0"/>
              <w:autoSpaceDN w:val="0"/>
              <w:adjustRightInd w:val="0"/>
              <w:ind w:left="0" w:leftChars="0" w:firstLine="0" w:firstLineChars="0"/>
              <w:jc w:val="center"/>
              <w:rPr>
                <w:rFonts w:ascii="Times New Roman" w:hAnsi="Times New Roman" w:eastAsia="宋体" w:cs="Times New Roman"/>
                <w:color w:val="auto"/>
                <w:kern w:val="2"/>
                <w:sz w:val="21"/>
                <w:szCs w:val="20"/>
                <w:lang w:val="en-US" w:eastAsia="zh-CN" w:bidi="ar-SA"/>
              </w:rPr>
            </w:pPr>
            <w:r>
              <w:rPr>
                <w:color w:val="auto"/>
                <w:szCs w:val="21"/>
              </w:rPr>
              <w:t>由厂家进行更换处理</w:t>
            </w:r>
          </w:p>
        </w:tc>
        <w:tc>
          <w:tcPr>
            <w:tcW w:w="250" w:type="pct"/>
            <w:vAlign w:val="center"/>
          </w:tcPr>
          <w:p w14:paraId="7B3BAEDC">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344" w:type="pct"/>
            <w:vAlign w:val="center"/>
          </w:tcPr>
          <w:p w14:paraId="289C5F6A">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6C9B15FA">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709B6B64">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2E811D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5DA128C7">
            <w:pPr>
              <w:jc w:val="center"/>
              <w:rPr>
                <w:color w:val="auto"/>
                <w:szCs w:val="21"/>
              </w:rPr>
            </w:pPr>
          </w:p>
        </w:tc>
        <w:tc>
          <w:tcPr>
            <w:tcW w:w="497" w:type="pct"/>
            <w:gridSpan w:val="2"/>
            <w:vMerge w:val="restart"/>
            <w:vAlign w:val="center"/>
          </w:tcPr>
          <w:p w14:paraId="7063B22F">
            <w:pPr>
              <w:jc w:val="center"/>
              <w:rPr>
                <w:rFonts w:hint="eastAsia" w:eastAsia="宋体"/>
                <w:color w:val="auto"/>
                <w:szCs w:val="21"/>
                <w:lang w:eastAsia="zh-CN"/>
              </w:rPr>
            </w:pPr>
            <w:r>
              <w:rPr>
                <w:rFonts w:hint="eastAsia"/>
                <w:color w:val="auto"/>
                <w:szCs w:val="21"/>
                <w:lang w:eastAsia="zh-CN"/>
              </w:rPr>
              <w:t>锅炉</w:t>
            </w:r>
          </w:p>
        </w:tc>
        <w:tc>
          <w:tcPr>
            <w:tcW w:w="373" w:type="pct"/>
            <w:tcBorders>
              <w:left w:val="double" w:color="000000" w:sz="4" w:space="0"/>
            </w:tcBorders>
            <w:vAlign w:val="center"/>
          </w:tcPr>
          <w:p w14:paraId="4AE5DC03">
            <w:pPr>
              <w:tabs>
                <w:tab w:val="left" w:pos="5295"/>
              </w:tabs>
              <w:jc w:val="center"/>
              <w:rPr>
                <w:rFonts w:hint="eastAsia" w:eastAsia="宋体"/>
                <w:color w:val="auto"/>
                <w:szCs w:val="21"/>
                <w:lang w:eastAsia="zh-CN"/>
              </w:rPr>
            </w:pPr>
            <w:r>
              <w:rPr>
                <w:rFonts w:hint="eastAsia"/>
                <w:color w:val="auto"/>
                <w:szCs w:val="21"/>
                <w:lang w:eastAsia="zh-CN"/>
              </w:rPr>
              <w:t>灰渣</w:t>
            </w:r>
          </w:p>
        </w:tc>
        <w:tc>
          <w:tcPr>
            <w:tcW w:w="496" w:type="pct"/>
            <w:vAlign w:val="center"/>
          </w:tcPr>
          <w:p w14:paraId="17318C9C">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w:t>
            </w:r>
          </w:p>
        </w:tc>
        <w:tc>
          <w:tcPr>
            <w:tcW w:w="527" w:type="pct"/>
            <w:vAlign w:val="center"/>
          </w:tcPr>
          <w:p w14:paraId="6BF5CECA">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636" w:type="pct"/>
            <w:vAlign w:val="center"/>
          </w:tcPr>
          <w:p w14:paraId="7A149332">
            <w:pPr>
              <w:jc w:val="center"/>
              <w:rPr>
                <w:rFonts w:hint="default" w:eastAsia="宋体"/>
                <w:color w:val="auto"/>
                <w:szCs w:val="21"/>
                <w:lang w:val="en-US" w:eastAsia="zh-CN"/>
              </w:rPr>
            </w:pPr>
            <w:r>
              <w:rPr>
                <w:rFonts w:hint="eastAsia"/>
                <w:color w:val="auto"/>
                <w:szCs w:val="21"/>
                <w:lang w:val="en-US" w:eastAsia="zh-CN"/>
              </w:rPr>
              <w:t>126</w:t>
            </w:r>
          </w:p>
        </w:tc>
        <w:tc>
          <w:tcPr>
            <w:tcW w:w="692" w:type="pct"/>
            <w:vMerge w:val="restart"/>
            <w:vAlign w:val="center"/>
          </w:tcPr>
          <w:p w14:paraId="4A032857">
            <w:pPr>
              <w:pStyle w:val="351"/>
              <w:overflowPunct w:val="0"/>
              <w:autoSpaceDE w:val="0"/>
              <w:autoSpaceDN w:val="0"/>
              <w:adjustRightInd w:val="0"/>
              <w:ind w:left="0" w:leftChars="0" w:firstLine="0" w:firstLineChars="0"/>
              <w:jc w:val="center"/>
              <w:rPr>
                <w:rFonts w:hint="eastAsia" w:eastAsia="宋体"/>
                <w:color w:val="auto"/>
                <w:szCs w:val="21"/>
                <w:lang w:eastAsia="zh-CN"/>
              </w:rPr>
            </w:pPr>
            <w:r>
              <w:rPr>
                <w:rFonts w:hint="eastAsia"/>
                <w:color w:val="auto"/>
                <w:szCs w:val="21"/>
                <w:lang w:eastAsia="zh-CN"/>
              </w:rPr>
              <w:t>密封袋装，暂存于渣库</w:t>
            </w:r>
            <w:r>
              <w:rPr>
                <w:rFonts w:hint="eastAsia"/>
                <w:color w:val="auto"/>
                <w:sz w:val="21"/>
                <w:szCs w:val="21"/>
                <w:lang w:eastAsia="zh-CN"/>
              </w:rPr>
              <w:t>，作为有机肥原料</w:t>
            </w:r>
            <w:r>
              <w:rPr>
                <w:color w:val="auto"/>
                <w:sz w:val="21"/>
                <w:szCs w:val="21"/>
              </w:rPr>
              <w:t>外</w:t>
            </w:r>
            <w:r>
              <w:rPr>
                <w:rFonts w:hint="eastAsia"/>
                <w:color w:val="auto"/>
                <w:sz w:val="21"/>
                <w:szCs w:val="21"/>
              </w:rPr>
              <w:t>售</w:t>
            </w:r>
            <w:r>
              <w:rPr>
                <w:rFonts w:hint="eastAsia"/>
                <w:color w:val="auto"/>
                <w:sz w:val="21"/>
                <w:szCs w:val="21"/>
                <w:lang w:eastAsia="zh-CN"/>
              </w:rPr>
              <w:t>至辰泰（辽宁）生物科技有限公司做有机肥；</w:t>
            </w:r>
          </w:p>
        </w:tc>
        <w:tc>
          <w:tcPr>
            <w:tcW w:w="250" w:type="pct"/>
            <w:vAlign w:val="center"/>
          </w:tcPr>
          <w:p w14:paraId="2790354E">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344" w:type="pct"/>
            <w:vAlign w:val="center"/>
          </w:tcPr>
          <w:p w14:paraId="11D78CA9">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w:t>
            </w:r>
          </w:p>
        </w:tc>
        <w:tc>
          <w:tcPr>
            <w:tcW w:w="465" w:type="pct"/>
            <w:vAlign w:val="center"/>
          </w:tcPr>
          <w:p w14:paraId="777D4DD3">
            <w:pPr>
              <w:pStyle w:val="434"/>
              <w:jc w:val="center"/>
              <w:rPr>
                <w:rFonts w:hint="default"/>
                <w:color w:val="auto"/>
                <w:szCs w:val="21"/>
                <w:highlight w:val="none"/>
                <w:lang w:val="en-US" w:eastAsia="zh-CN"/>
              </w:rPr>
            </w:pPr>
            <w:r>
              <w:rPr>
                <w:rFonts w:hint="eastAsia"/>
                <w:color w:val="auto"/>
                <w:szCs w:val="21"/>
                <w:highlight w:val="none"/>
                <w:lang w:val="en-US" w:eastAsia="zh-CN"/>
              </w:rPr>
              <w:t>-</w:t>
            </w:r>
          </w:p>
        </w:tc>
        <w:tc>
          <w:tcPr>
            <w:tcW w:w="468" w:type="pct"/>
            <w:vAlign w:val="center"/>
          </w:tcPr>
          <w:p w14:paraId="4B622932">
            <w:pPr>
              <w:pStyle w:val="434"/>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r>
      <w:tr w14:paraId="0971C72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39F73A6C">
            <w:pPr>
              <w:jc w:val="center"/>
              <w:rPr>
                <w:color w:val="auto"/>
                <w:szCs w:val="21"/>
              </w:rPr>
            </w:pPr>
          </w:p>
        </w:tc>
        <w:tc>
          <w:tcPr>
            <w:tcW w:w="497" w:type="pct"/>
            <w:gridSpan w:val="2"/>
            <w:vMerge w:val="continue"/>
            <w:vAlign w:val="center"/>
          </w:tcPr>
          <w:p w14:paraId="665311DC">
            <w:pPr>
              <w:jc w:val="center"/>
              <w:rPr>
                <w:rFonts w:hint="eastAsia"/>
                <w:color w:val="auto"/>
                <w:szCs w:val="21"/>
              </w:rPr>
            </w:pPr>
          </w:p>
        </w:tc>
        <w:tc>
          <w:tcPr>
            <w:tcW w:w="373" w:type="pct"/>
            <w:tcBorders>
              <w:left w:val="double" w:color="000000" w:sz="4" w:space="0"/>
            </w:tcBorders>
            <w:vAlign w:val="center"/>
          </w:tcPr>
          <w:p w14:paraId="69E339C5">
            <w:pPr>
              <w:tabs>
                <w:tab w:val="left" w:pos="5295"/>
              </w:tabs>
              <w:jc w:val="center"/>
              <w:rPr>
                <w:rFonts w:hint="eastAsia" w:eastAsia="宋体"/>
                <w:color w:val="auto"/>
                <w:szCs w:val="21"/>
                <w:lang w:eastAsia="zh-CN"/>
              </w:rPr>
            </w:pPr>
            <w:r>
              <w:rPr>
                <w:rFonts w:hint="eastAsia"/>
                <w:color w:val="auto"/>
                <w:szCs w:val="21"/>
                <w:lang w:eastAsia="zh-CN"/>
              </w:rPr>
              <w:t>除尘灰</w:t>
            </w:r>
          </w:p>
        </w:tc>
        <w:tc>
          <w:tcPr>
            <w:tcW w:w="496" w:type="pct"/>
            <w:vAlign w:val="center"/>
          </w:tcPr>
          <w:p w14:paraId="54A4F74D">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w:t>
            </w:r>
          </w:p>
        </w:tc>
        <w:tc>
          <w:tcPr>
            <w:tcW w:w="527" w:type="pct"/>
            <w:vAlign w:val="center"/>
          </w:tcPr>
          <w:p w14:paraId="4CD4403D">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636" w:type="pct"/>
            <w:vAlign w:val="center"/>
          </w:tcPr>
          <w:p w14:paraId="36E69FBD">
            <w:pPr>
              <w:jc w:val="center"/>
              <w:rPr>
                <w:rFonts w:hint="default" w:eastAsia="宋体"/>
                <w:color w:val="auto"/>
                <w:szCs w:val="21"/>
                <w:lang w:val="en-US" w:eastAsia="zh-CN"/>
              </w:rPr>
            </w:pPr>
            <w:r>
              <w:rPr>
                <w:rFonts w:hint="eastAsia"/>
                <w:color w:val="auto"/>
                <w:szCs w:val="21"/>
                <w:lang w:val="en-US" w:eastAsia="zh-CN"/>
              </w:rPr>
              <w:t>0.465</w:t>
            </w:r>
          </w:p>
        </w:tc>
        <w:tc>
          <w:tcPr>
            <w:tcW w:w="692" w:type="pct"/>
            <w:vMerge w:val="continue"/>
            <w:vAlign w:val="center"/>
          </w:tcPr>
          <w:p w14:paraId="6799BDAC">
            <w:pPr>
              <w:pStyle w:val="351"/>
              <w:overflowPunct w:val="0"/>
              <w:autoSpaceDE w:val="0"/>
              <w:autoSpaceDN w:val="0"/>
              <w:adjustRightInd w:val="0"/>
              <w:ind w:left="200" w:leftChars="0" w:firstLine="0" w:firstLineChars="0"/>
              <w:rPr>
                <w:color w:val="auto"/>
                <w:szCs w:val="21"/>
              </w:rPr>
            </w:pPr>
          </w:p>
        </w:tc>
        <w:tc>
          <w:tcPr>
            <w:tcW w:w="250" w:type="pct"/>
            <w:vAlign w:val="center"/>
          </w:tcPr>
          <w:p w14:paraId="1049B78D">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344" w:type="pct"/>
            <w:vAlign w:val="center"/>
          </w:tcPr>
          <w:p w14:paraId="110A18FA">
            <w:pPr>
              <w:keepNext w:val="0"/>
              <w:keepLines w:val="0"/>
              <w:pageBreakBefore w:val="0"/>
              <w:kinsoku/>
              <w:wordWrap/>
              <w:overflowPunct/>
              <w:topLinePunct w:val="0"/>
              <w:autoSpaceDE/>
              <w:autoSpaceDN/>
              <w:bidi w:val="0"/>
              <w:ind w:left="-105" w:leftChars="-50" w:right="-105" w:rightChars="-50"/>
              <w:jc w:val="center"/>
              <w:rPr>
                <w:rFonts w:hint="default"/>
                <w:color w:val="auto"/>
                <w:szCs w:val="21"/>
                <w:highlight w:val="none"/>
                <w:lang w:val="en-US" w:eastAsia="zh-CN"/>
              </w:rPr>
            </w:pPr>
            <w:r>
              <w:rPr>
                <w:rFonts w:hint="eastAsia"/>
                <w:color w:val="auto"/>
                <w:szCs w:val="21"/>
                <w:highlight w:val="none"/>
                <w:lang w:val="en-US" w:eastAsia="zh-CN"/>
              </w:rPr>
              <w:t>-</w:t>
            </w:r>
          </w:p>
        </w:tc>
        <w:tc>
          <w:tcPr>
            <w:tcW w:w="465" w:type="pct"/>
            <w:vAlign w:val="center"/>
          </w:tcPr>
          <w:p w14:paraId="27032E22">
            <w:pPr>
              <w:pStyle w:val="434"/>
              <w:jc w:val="center"/>
              <w:rPr>
                <w:rFonts w:hint="default"/>
                <w:color w:val="auto"/>
                <w:szCs w:val="21"/>
                <w:highlight w:val="none"/>
                <w:lang w:val="en-US" w:eastAsia="zh-CN"/>
              </w:rPr>
            </w:pPr>
            <w:r>
              <w:rPr>
                <w:rFonts w:hint="eastAsia"/>
                <w:color w:val="auto"/>
                <w:szCs w:val="21"/>
                <w:highlight w:val="none"/>
                <w:lang w:val="en-US" w:eastAsia="zh-CN"/>
              </w:rPr>
              <w:t>-</w:t>
            </w:r>
          </w:p>
        </w:tc>
        <w:tc>
          <w:tcPr>
            <w:tcW w:w="468" w:type="pct"/>
            <w:vAlign w:val="center"/>
          </w:tcPr>
          <w:p w14:paraId="52F68AF6">
            <w:pPr>
              <w:pStyle w:val="434"/>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r>
      <w:tr w14:paraId="39DF3A1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7BB8E2A6">
            <w:pPr>
              <w:jc w:val="center"/>
              <w:rPr>
                <w:color w:val="auto"/>
                <w:szCs w:val="21"/>
              </w:rPr>
            </w:pPr>
          </w:p>
        </w:tc>
        <w:tc>
          <w:tcPr>
            <w:tcW w:w="497" w:type="pct"/>
            <w:gridSpan w:val="2"/>
            <w:vAlign w:val="center"/>
          </w:tcPr>
          <w:p w14:paraId="53052C0C">
            <w:pPr>
              <w:jc w:val="center"/>
              <w:rPr>
                <w:rFonts w:ascii="Times New Roman" w:hAnsi="Times New Roman" w:eastAsia="宋体" w:cs="Times New Roman"/>
                <w:color w:val="auto"/>
                <w:kern w:val="2"/>
                <w:sz w:val="21"/>
                <w:szCs w:val="21"/>
                <w:lang w:val="en-US" w:eastAsia="zh-CN" w:bidi="ar-SA"/>
              </w:rPr>
            </w:pPr>
            <w:r>
              <w:rPr>
                <w:color w:val="auto"/>
                <w:szCs w:val="21"/>
              </w:rPr>
              <w:t>防疫治疗</w:t>
            </w:r>
          </w:p>
        </w:tc>
        <w:tc>
          <w:tcPr>
            <w:tcW w:w="373" w:type="pct"/>
            <w:tcBorders>
              <w:left w:val="double" w:color="000000" w:sz="4" w:space="0"/>
            </w:tcBorders>
            <w:vAlign w:val="center"/>
          </w:tcPr>
          <w:p w14:paraId="431EB6F5">
            <w:pPr>
              <w:jc w:val="center"/>
              <w:rPr>
                <w:color w:val="auto"/>
                <w:szCs w:val="21"/>
              </w:rPr>
            </w:pPr>
            <w:r>
              <w:rPr>
                <w:color w:val="auto"/>
                <w:szCs w:val="21"/>
              </w:rPr>
              <w:t>医疗废物</w:t>
            </w:r>
          </w:p>
        </w:tc>
        <w:tc>
          <w:tcPr>
            <w:tcW w:w="496" w:type="pct"/>
            <w:vAlign w:val="center"/>
          </w:tcPr>
          <w:p w14:paraId="439682B2">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527" w:type="pct"/>
            <w:vAlign w:val="center"/>
          </w:tcPr>
          <w:p w14:paraId="62008D6A">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6741A87B">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0.04</w:t>
            </w:r>
          </w:p>
        </w:tc>
        <w:tc>
          <w:tcPr>
            <w:tcW w:w="692" w:type="pct"/>
            <w:vAlign w:val="center"/>
          </w:tcPr>
          <w:p w14:paraId="450D6383">
            <w:pPr>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在厂区内医疗废物暂存间</w:t>
            </w:r>
            <w:r>
              <w:rPr>
                <w:rFonts w:hint="eastAsia"/>
                <w:color w:val="auto"/>
                <w:szCs w:val="21"/>
              </w:rPr>
              <w:t>暂存</w:t>
            </w:r>
            <w:r>
              <w:rPr>
                <w:rFonts w:hint="eastAsia"/>
                <w:color w:val="auto"/>
                <w:szCs w:val="21"/>
                <w:lang w:eastAsia="zh-CN"/>
              </w:rPr>
              <w:t>，委托有资质单位定期收集处理。</w:t>
            </w:r>
          </w:p>
        </w:tc>
        <w:tc>
          <w:tcPr>
            <w:tcW w:w="250" w:type="pct"/>
            <w:vAlign w:val="center"/>
          </w:tcPr>
          <w:p w14:paraId="52DCF47C">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344" w:type="pct"/>
            <w:vAlign w:val="center"/>
          </w:tcPr>
          <w:p w14:paraId="7EAF8475">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25325DC7">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64BA80B2">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r w14:paraId="6B3C035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 w:type="pct"/>
            <w:vMerge w:val="continue"/>
            <w:vAlign w:val="center"/>
          </w:tcPr>
          <w:p w14:paraId="1B8C56A0">
            <w:pPr>
              <w:jc w:val="center"/>
              <w:rPr>
                <w:color w:val="auto"/>
                <w:szCs w:val="21"/>
              </w:rPr>
            </w:pPr>
          </w:p>
        </w:tc>
        <w:tc>
          <w:tcPr>
            <w:tcW w:w="497" w:type="pct"/>
            <w:gridSpan w:val="2"/>
            <w:vAlign w:val="center"/>
          </w:tcPr>
          <w:p w14:paraId="44D07865">
            <w:pPr>
              <w:tabs>
                <w:tab w:val="left" w:pos="5295"/>
              </w:tabs>
              <w:jc w:val="center"/>
              <w:rPr>
                <w:rFonts w:ascii="Times New Roman" w:hAnsi="Times New Roman" w:eastAsia="宋体" w:cs="Times New Roman"/>
                <w:color w:val="auto"/>
                <w:kern w:val="2"/>
                <w:sz w:val="21"/>
                <w:szCs w:val="21"/>
                <w:lang w:val="en-US" w:eastAsia="zh-CN" w:bidi="ar-SA"/>
              </w:rPr>
            </w:pPr>
            <w:r>
              <w:rPr>
                <w:color w:val="auto"/>
                <w:szCs w:val="21"/>
              </w:rPr>
              <w:t>职工</w:t>
            </w:r>
          </w:p>
        </w:tc>
        <w:tc>
          <w:tcPr>
            <w:tcW w:w="373" w:type="pct"/>
            <w:tcBorders>
              <w:left w:val="double" w:color="000000" w:sz="4" w:space="0"/>
            </w:tcBorders>
            <w:vAlign w:val="center"/>
          </w:tcPr>
          <w:p w14:paraId="0DA57D01">
            <w:pPr>
              <w:tabs>
                <w:tab w:val="left" w:pos="5295"/>
              </w:tabs>
              <w:jc w:val="center"/>
              <w:rPr>
                <w:color w:val="auto"/>
                <w:szCs w:val="21"/>
              </w:rPr>
            </w:pPr>
            <w:r>
              <w:rPr>
                <w:color w:val="auto"/>
                <w:szCs w:val="21"/>
              </w:rPr>
              <w:t>生活垃圾</w:t>
            </w:r>
          </w:p>
        </w:tc>
        <w:tc>
          <w:tcPr>
            <w:tcW w:w="496" w:type="pct"/>
            <w:vAlign w:val="center"/>
          </w:tcPr>
          <w:p w14:paraId="081837BB">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527" w:type="pct"/>
            <w:vAlign w:val="center"/>
          </w:tcPr>
          <w:p w14:paraId="7156D61F">
            <w:pPr>
              <w:jc w:val="center"/>
              <w:rPr>
                <w:rFonts w:hint="eastAsia"/>
                <w:color w:val="auto"/>
                <w:sz w:val="21"/>
                <w:szCs w:val="21"/>
                <w:highlight w:val="none"/>
              </w:rPr>
            </w:pPr>
            <w:r>
              <w:rPr>
                <w:rFonts w:hint="eastAsia"/>
                <w:color w:val="auto"/>
                <w:szCs w:val="21"/>
                <w:highlight w:val="none"/>
                <w:lang w:val="en-US" w:eastAsia="zh-CN"/>
              </w:rPr>
              <w:t>-</w:t>
            </w:r>
          </w:p>
        </w:tc>
        <w:tc>
          <w:tcPr>
            <w:tcW w:w="636" w:type="pct"/>
            <w:vAlign w:val="center"/>
          </w:tcPr>
          <w:p w14:paraId="499D0264">
            <w:pPr>
              <w:tabs>
                <w:tab w:val="left" w:pos="5295"/>
              </w:tabs>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10.95</w:t>
            </w:r>
          </w:p>
        </w:tc>
        <w:tc>
          <w:tcPr>
            <w:tcW w:w="692" w:type="pct"/>
            <w:vAlign w:val="center"/>
          </w:tcPr>
          <w:p w14:paraId="7AD38BB8">
            <w:pPr>
              <w:tabs>
                <w:tab w:val="left" w:pos="5295"/>
              </w:tabs>
              <w:jc w:val="center"/>
              <w:rPr>
                <w:rFonts w:ascii="Times New Roman" w:hAnsi="Times New Roman" w:eastAsia="宋体" w:cs="Times New Roman"/>
                <w:color w:val="auto"/>
                <w:kern w:val="2"/>
                <w:sz w:val="21"/>
                <w:szCs w:val="21"/>
                <w:lang w:val="en-US" w:eastAsia="zh-CN" w:bidi="ar-SA"/>
              </w:rPr>
            </w:pPr>
            <w:r>
              <w:rPr>
                <w:color w:val="auto"/>
                <w:szCs w:val="21"/>
              </w:rPr>
              <w:t>收集到厂内</w:t>
            </w:r>
            <w:r>
              <w:rPr>
                <w:rFonts w:hint="eastAsia"/>
                <w:color w:val="auto"/>
                <w:szCs w:val="21"/>
              </w:rPr>
              <w:t>5</w:t>
            </w:r>
            <w:r>
              <w:rPr>
                <w:color w:val="auto"/>
                <w:szCs w:val="21"/>
              </w:rPr>
              <w:t>个垃圾箱内，定期送至附近垃圾点</w:t>
            </w:r>
          </w:p>
        </w:tc>
        <w:tc>
          <w:tcPr>
            <w:tcW w:w="250" w:type="pct"/>
            <w:vAlign w:val="center"/>
          </w:tcPr>
          <w:p w14:paraId="6337F5F5">
            <w:pPr>
              <w:keepNext w:val="0"/>
              <w:keepLines w:val="0"/>
              <w:pageBreakBefore w:val="0"/>
              <w:kinsoku/>
              <w:wordWrap/>
              <w:overflowPunct/>
              <w:topLinePunct w:val="0"/>
              <w:autoSpaceDE/>
              <w:autoSpaceDN/>
              <w:bidi w:val="0"/>
              <w:ind w:left="-105" w:leftChars="-50" w:right="-105" w:rightChars="-50"/>
              <w:jc w:val="center"/>
              <w:rPr>
                <w:rFonts w:hint="default"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w:t>
            </w:r>
          </w:p>
        </w:tc>
        <w:tc>
          <w:tcPr>
            <w:tcW w:w="344" w:type="pct"/>
            <w:vAlign w:val="center"/>
          </w:tcPr>
          <w:p w14:paraId="25A6BBA7">
            <w:pPr>
              <w:keepNext w:val="0"/>
              <w:keepLines w:val="0"/>
              <w:pageBreakBefore w:val="0"/>
              <w:kinsoku/>
              <w:wordWrap/>
              <w:overflowPunct/>
              <w:topLinePunct w:val="0"/>
              <w:autoSpaceDE/>
              <w:autoSpaceDN/>
              <w:bidi w:val="0"/>
              <w:ind w:left="-105" w:leftChars="-50" w:right="-105" w:rightChars="-50"/>
              <w:jc w:val="center"/>
              <w:rPr>
                <w:rFonts w:hint="eastAsia" w:eastAsia="宋体"/>
                <w:b w:val="0"/>
                <w:bCs w:val="0"/>
                <w:color w:val="auto"/>
                <w:sz w:val="21"/>
                <w:szCs w:val="21"/>
                <w:highlight w:val="none"/>
                <w:lang w:val="en-US" w:eastAsia="zh-CN"/>
              </w:rPr>
            </w:pPr>
            <w:r>
              <w:rPr>
                <w:rFonts w:hint="eastAsia"/>
                <w:color w:val="auto"/>
                <w:szCs w:val="21"/>
                <w:highlight w:val="none"/>
                <w:lang w:val="en-US" w:eastAsia="zh-CN"/>
              </w:rPr>
              <w:t>-</w:t>
            </w:r>
          </w:p>
        </w:tc>
        <w:tc>
          <w:tcPr>
            <w:tcW w:w="465" w:type="pct"/>
            <w:vAlign w:val="center"/>
          </w:tcPr>
          <w:p w14:paraId="092528A3">
            <w:pPr>
              <w:pStyle w:val="434"/>
              <w:jc w:val="center"/>
              <w:rPr>
                <w:rFonts w:hint="eastAsia"/>
                <w:color w:val="auto"/>
                <w:sz w:val="21"/>
                <w:szCs w:val="21"/>
                <w:highlight w:val="none"/>
              </w:rPr>
            </w:pPr>
            <w:r>
              <w:rPr>
                <w:rFonts w:hint="eastAsia"/>
                <w:color w:val="auto"/>
                <w:szCs w:val="21"/>
                <w:highlight w:val="none"/>
                <w:lang w:val="en-US" w:eastAsia="zh-CN"/>
              </w:rPr>
              <w:t>-</w:t>
            </w:r>
          </w:p>
        </w:tc>
        <w:tc>
          <w:tcPr>
            <w:tcW w:w="468" w:type="pct"/>
            <w:vAlign w:val="center"/>
          </w:tcPr>
          <w:p w14:paraId="016E05E5">
            <w:pPr>
              <w:pStyle w:val="434"/>
              <w:jc w:val="center"/>
              <w:rPr>
                <w:rFonts w:hint="eastAsia"/>
                <w:color w:val="auto"/>
                <w:sz w:val="21"/>
                <w:szCs w:val="21"/>
                <w:highlight w:val="none"/>
              </w:rPr>
            </w:pPr>
            <w:r>
              <w:rPr>
                <w:rFonts w:hint="eastAsia"/>
                <w:color w:val="auto"/>
                <w:sz w:val="21"/>
                <w:szCs w:val="21"/>
                <w:highlight w:val="none"/>
                <w:lang w:val="en-US" w:eastAsia="zh-CN"/>
              </w:rPr>
              <w:t>0</w:t>
            </w:r>
          </w:p>
        </w:tc>
      </w:tr>
    </w:tbl>
    <w:p w14:paraId="01D30E1B">
      <w:pPr>
        <w:keepNext/>
        <w:keepLines/>
        <w:spacing w:line="360" w:lineRule="auto"/>
        <w:outlineLvl w:val="1"/>
        <w:rPr>
          <w:b/>
          <w:color w:val="auto"/>
          <w:sz w:val="30"/>
        </w:rPr>
      </w:pPr>
      <w:bookmarkStart w:id="451" w:name="_Toc21332"/>
      <w:bookmarkStart w:id="452" w:name="_Toc18927"/>
      <w:bookmarkStart w:id="453" w:name="_Toc31058"/>
      <w:r>
        <w:rPr>
          <w:b/>
          <w:color w:val="auto"/>
          <w:sz w:val="30"/>
        </w:rPr>
        <w:t>9.</w:t>
      </w:r>
      <w:r>
        <w:rPr>
          <w:rFonts w:hint="eastAsia"/>
          <w:b/>
          <w:color w:val="auto"/>
          <w:sz w:val="30"/>
          <w:lang w:val="en-US" w:eastAsia="zh-CN"/>
        </w:rPr>
        <w:t>5</w:t>
      </w:r>
      <w:r>
        <w:rPr>
          <w:b/>
          <w:color w:val="auto"/>
          <w:sz w:val="30"/>
        </w:rPr>
        <w:t>总量控制</w:t>
      </w:r>
      <w:bookmarkEnd w:id="451"/>
      <w:bookmarkEnd w:id="452"/>
      <w:bookmarkEnd w:id="453"/>
    </w:p>
    <w:p w14:paraId="306F7049">
      <w:pPr>
        <w:spacing w:line="360" w:lineRule="auto"/>
        <w:ind w:firstLine="480" w:firstLineChars="200"/>
        <w:rPr>
          <w:color w:val="auto"/>
          <w:sz w:val="24"/>
        </w:rPr>
      </w:pPr>
      <w:bookmarkStart w:id="454" w:name="_Toc302050944"/>
      <w:r>
        <w:rPr>
          <w:color w:val="auto"/>
          <w:sz w:val="24"/>
        </w:rPr>
        <w:t>《建设项目环境保护管理条例》中第三条规定：“建设产生污染的建设项目，必须遵守污染物排放的国家和地方标准；在实施重点污染物排放总量控制的区域内，还必须符合重点污染物排放总量控制的要求。”因此总量控制的目的就是为了有效地保护和改善环境质量，保证经济建设和环境保护协调发展，使环境质量不因经济发展而随之恶化，并逐步改善。</w:t>
      </w:r>
    </w:p>
    <w:p w14:paraId="27109DA9">
      <w:pPr>
        <w:keepNext/>
        <w:keepLines/>
        <w:spacing w:line="360" w:lineRule="auto"/>
        <w:outlineLvl w:val="2"/>
        <w:rPr>
          <w:b/>
          <w:bCs/>
          <w:color w:val="auto"/>
          <w:sz w:val="28"/>
          <w:szCs w:val="32"/>
        </w:rPr>
      </w:pPr>
      <w:bookmarkStart w:id="455" w:name="_Toc6138"/>
      <w:r>
        <w:rPr>
          <w:b/>
          <w:bCs/>
          <w:color w:val="auto"/>
          <w:sz w:val="28"/>
          <w:szCs w:val="32"/>
        </w:rPr>
        <w:t>9.</w:t>
      </w:r>
      <w:r>
        <w:rPr>
          <w:rFonts w:hint="eastAsia"/>
          <w:b/>
          <w:bCs/>
          <w:color w:val="auto"/>
          <w:sz w:val="28"/>
          <w:szCs w:val="32"/>
          <w:lang w:val="en-US" w:eastAsia="zh-CN"/>
        </w:rPr>
        <w:t>5</w:t>
      </w:r>
      <w:r>
        <w:rPr>
          <w:b/>
          <w:bCs/>
          <w:color w:val="auto"/>
          <w:sz w:val="28"/>
          <w:szCs w:val="32"/>
        </w:rPr>
        <w:t>.1总量控制的原则</w:t>
      </w:r>
      <w:bookmarkEnd w:id="454"/>
      <w:bookmarkEnd w:id="455"/>
    </w:p>
    <w:p w14:paraId="32C95B71">
      <w:pPr>
        <w:autoSpaceDE w:val="0"/>
        <w:autoSpaceDN w:val="0"/>
        <w:adjustRightInd w:val="0"/>
        <w:spacing w:line="460" w:lineRule="exact"/>
        <w:ind w:firstLine="480" w:firstLineChars="200"/>
        <w:jc w:val="left"/>
        <w:rPr>
          <w:color w:val="auto"/>
          <w:kern w:val="0"/>
          <w:sz w:val="24"/>
        </w:rPr>
      </w:pPr>
      <w:r>
        <w:rPr>
          <w:color w:val="auto"/>
          <w:kern w:val="0"/>
          <w:sz w:val="24"/>
        </w:rPr>
        <w:t>（1）建设项目建成投产后污染物排放必须达到国家标准和地方标准；</w:t>
      </w:r>
    </w:p>
    <w:p w14:paraId="252929C7">
      <w:pPr>
        <w:autoSpaceDE w:val="0"/>
        <w:autoSpaceDN w:val="0"/>
        <w:adjustRightInd w:val="0"/>
        <w:spacing w:line="460" w:lineRule="exact"/>
        <w:ind w:firstLine="480" w:firstLineChars="200"/>
        <w:jc w:val="left"/>
        <w:rPr>
          <w:color w:val="auto"/>
          <w:kern w:val="0"/>
          <w:sz w:val="24"/>
        </w:rPr>
      </w:pPr>
      <w:r>
        <w:rPr>
          <w:color w:val="auto"/>
          <w:kern w:val="0"/>
          <w:sz w:val="24"/>
        </w:rPr>
        <w:t>（2）污染物排放总量必须满足当地区域环境质量达标或区域总量控制的要求；</w:t>
      </w:r>
    </w:p>
    <w:p w14:paraId="7BED91B3">
      <w:pPr>
        <w:autoSpaceDE w:val="0"/>
        <w:autoSpaceDN w:val="0"/>
        <w:adjustRightInd w:val="0"/>
        <w:spacing w:line="460" w:lineRule="exact"/>
        <w:ind w:firstLine="480" w:firstLineChars="200"/>
        <w:jc w:val="left"/>
        <w:rPr>
          <w:color w:val="auto"/>
          <w:kern w:val="0"/>
          <w:sz w:val="24"/>
        </w:rPr>
      </w:pPr>
      <w:r>
        <w:rPr>
          <w:color w:val="auto"/>
          <w:kern w:val="0"/>
          <w:sz w:val="24"/>
        </w:rPr>
        <w:t>（3）污染治理措施符合清洁生产的要求。</w:t>
      </w:r>
    </w:p>
    <w:p w14:paraId="085601FE">
      <w:pPr>
        <w:keepNext/>
        <w:keepLines/>
        <w:spacing w:line="360" w:lineRule="auto"/>
        <w:outlineLvl w:val="2"/>
        <w:rPr>
          <w:b/>
          <w:bCs/>
          <w:color w:val="auto"/>
          <w:sz w:val="28"/>
          <w:szCs w:val="32"/>
        </w:rPr>
      </w:pPr>
      <w:bookmarkStart w:id="456" w:name="_Toc16887"/>
      <w:bookmarkStart w:id="457" w:name="_Toc302050945"/>
      <w:r>
        <w:rPr>
          <w:b/>
          <w:bCs/>
          <w:color w:val="auto"/>
          <w:sz w:val="28"/>
          <w:szCs w:val="32"/>
        </w:rPr>
        <w:t>9.</w:t>
      </w:r>
      <w:r>
        <w:rPr>
          <w:rFonts w:hint="eastAsia"/>
          <w:b/>
          <w:bCs/>
          <w:color w:val="auto"/>
          <w:sz w:val="28"/>
          <w:szCs w:val="32"/>
          <w:lang w:val="en-US" w:eastAsia="zh-CN"/>
        </w:rPr>
        <w:t>5</w:t>
      </w:r>
      <w:r>
        <w:rPr>
          <w:b/>
          <w:bCs/>
          <w:color w:val="auto"/>
          <w:sz w:val="28"/>
          <w:szCs w:val="32"/>
        </w:rPr>
        <w:t>.2实施总量控制的项目</w:t>
      </w:r>
      <w:bookmarkEnd w:id="456"/>
      <w:bookmarkEnd w:id="457"/>
    </w:p>
    <w:p w14:paraId="21DE6D9D">
      <w:pPr>
        <w:spacing w:line="360" w:lineRule="auto"/>
        <w:ind w:firstLine="480" w:firstLineChars="200"/>
        <w:rPr>
          <w:rFonts w:hint="eastAsia" w:eastAsia="宋体"/>
          <w:color w:val="auto"/>
          <w:sz w:val="24"/>
          <w:highlight w:val="none"/>
          <w:lang w:eastAsia="zh-CN"/>
        </w:rPr>
      </w:pPr>
      <w:bookmarkStart w:id="458" w:name="_Toc302050946"/>
      <w:r>
        <w:rPr>
          <w:color w:val="auto"/>
          <w:kern w:val="0"/>
          <w:sz w:val="24"/>
          <w:highlight w:val="none"/>
        </w:rPr>
        <w:t>控制和削减本项目生产过程中污染物的产生量与排放总量，缓解企业排污对环境容量的影响和压力，满足环保“一控双达标”的要求。</w:t>
      </w:r>
      <w:r>
        <w:rPr>
          <w:color w:val="auto"/>
          <w:sz w:val="24"/>
        </w:rPr>
        <w:t>根据《辽宁省“十四五”生态环境保护规划》、《朝阳市“十四五”生态环境保护规划》，“十四五”期间污染物总量控制指标为四项，大气污染物：氮氧化物、挥发性有机物，水污染物：化学需氧量、氨氮。</w:t>
      </w:r>
    </w:p>
    <w:p w14:paraId="426D4270">
      <w:pPr>
        <w:spacing w:line="360" w:lineRule="auto"/>
        <w:ind w:firstLine="480" w:firstLineChars="200"/>
        <w:rPr>
          <w:color w:val="auto"/>
          <w:sz w:val="24"/>
          <w:highlight w:val="none"/>
        </w:rPr>
      </w:pPr>
      <w:r>
        <w:rPr>
          <w:color w:val="auto"/>
          <w:sz w:val="24"/>
          <w:highlight w:val="none"/>
        </w:rPr>
        <w:t>本项目废水不外排，综合考虑本项目的工艺和排污特点，</w:t>
      </w:r>
      <w:r>
        <w:rPr>
          <w:rFonts w:hint="eastAsia"/>
          <w:color w:val="auto"/>
          <w:sz w:val="24"/>
          <w:highlight w:val="none"/>
        </w:rPr>
        <w:t>无</w:t>
      </w:r>
      <w:r>
        <w:rPr>
          <w:color w:val="auto"/>
          <w:sz w:val="24"/>
          <w:highlight w:val="none"/>
        </w:rPr>
        <w:t>水污染物总量控制</w:t>
      </w:r>
      <w:r>
        <w:rPr>
          <w:rFonts w:hint="eastAsia"/>
          <w:color w:val="auto"/>
          <w:sz w:val="24"/>
          <w:highlight w:val="none"/>
        </w:rPr>
        <w:t>。</w:t>
      </w:r>
    </w:p>
    <w:p w14:paraId="2C543F98">
      <w:pPr>
        <w:spacing w:line="360" w:lineRule="auto"/>
        <w:ind w:firstLine="480" w:firstLineChars="200"/>
        <w:rPr>
          <w:color w:val="auto"/>
          <w:sz w:val="24"/>
          <w:highlight w:val="none"/>
        </w:rPr>
      </w:pPr>
      <w:r>
        <w:rPr>
          <w:rFonts w:hint="eastAsia"/>
          <w:color w:val="auto"/>
          <w:sz w:val="24"/>
          <w:highlight w:val="none"/>
        </w:rPr>
        <w:t>本项目新建</w:t>
      </w:r>
      <w:r>
        <w:rPr>
          <w:rFonts w:hint="eastAsia"/>
          <w:color w:val="auto"/>
          <w:sz w:val="24"/>
          <w:highlight w:val="none"/>
          <w:lang w:val="en-US" w:eastAsia="zh-CN"/>
        </w:rPr>
        <w:t>1</w:t>
      </w:r>
      <w:r>
        <w:rPr>
          <w:rFonts w:hint="eastAsia"/>
          <w:color w:val="auto"/>
          <w:sz w:val="24"/>
          <w:highlight w:val="none"/>
        </w:rPr>
        <w:t>台</w:t>
      </w:r>
      <w:r>
        <w:rPr>
          <w:rFonts w:hint="eastAsia"/>
          <w:color w:val="auto"/>
          <w:sz w:val="24"/>
          <w:highlight w:val="none"/>
          <w:lang w:val="en-US" w:eastAsia="zh-CN"/>
        </w:rPr>
        <w:t>1.4MW的生物质</w:t>
      </w:r>
      <w:r>
        <w:rPr>
          <w:rFonts w:hint="eastAsia"/>
          <w:color w:val="auto"/>
          <w:sz w:val="24"/>
          <w:highlight w:val="none"/>
        </w:rPr>
        <w:t>锅炉</w:t>
      </w:r>
      <w:r>
        <w:rPr>
          <w:rFonts w:hint="eastAsia"/>
          <w:color w:val="auto"/>
          <w:sz w:val="24"/>
          <w:highlight w:val="none"/>
          <w:lang w:eastAsia="zh-CN"/>
        </w:rPr>
        <w:t>：根据前文计算可知，锅炉废气量为</w:t>
      </w:r>
      <w:r>
        <w:rPr>
          <w:rFonts w:hint="eastAsia"/>
          <w:color w:val="auto"/>
          <w:sz w:val="24"/>
          <w:highlight w:val="none"/>
          <w:lang w:val="en-US" w:eastAsia="zh-CN"/>
        </w:rPr>
        <w:t>608.3986万m</w:t>
      </w:r>
      <w:r>
        <w:rPr>
          <w:rFonts w:hint="eastAsia"/>
          <w:color w:val="auto"/>
          <w:sz w:val="24"/>
          <w:highlight w:val="none"/>
          <w:vertAlign w:val="superscript"/>
          <w:lang w:val="en-US" w:eastAsia="zh-CN"/>
        </w:rPr>
        <w:t>3</w:t>
      </w:r>
      <w:r>
        <w:rPr>
          <w:rFonts w:hint="eastAsia"/>
          <w:color w:val="auto"/>
          <w:sz w:val="24"/>
          <w:highlight w:val="none"/>
          <w:lang w:val="en-US" w:eastAsia="zh-CN"/>
        </w:rPr>
        <w:t>/a，</w:t>
      </w:r>
      <w:r>
        <w:rPr>
          <w:rFonts w:hint="eastAsia"/>
          <w:color w:val="auto"/>
          <w:sz w:val="24"/>
          <w:highlight w:val="none"/>
        </w:rPr>
        <w:t>废气中</w:t>
      </w:r>
      <w:r>
        <w:rPr>
          <w:rFonts w:hint="eastAsia"/>
          <w:color w:val="auto"/>
          <w:sz w:val="24"/>
          <w:highlight w:val="none"/>
          <w:lang w:val="en-US" w:eastAsia="zh-CN"/>
        </w:rPr>
        <w:t>SO</w:t>
      </w:r>
      <w:r>
        <w:rPr>
          <w:rFonts w:hint="eastAsia"/>
          <w:color w:val="auto"/>
          <w:sz w:val="24"/>
          <w:highlight w:val="none"/>
          <w:vertAlign w:val="subscript"/>
          <w:lang w:val="en-US" w:eastAsia="zh-CN"/>
        </w:rPr>
        <w:t>2</w:t>
      </w:r>
      <w:r>
        <w:rPr>
          <w:rFonts w:hint="eastAsia"/>
          <w:color w:val="auto"/>
          <w:sz w:val="24"/>
          <w:highlight w:val="none"/>
          <w:lang w:val="en-US" w:eastAsia="zh-CN"/>
        </w:rPr>
        <w:t>排放量为0.48t/a</w:t>
      </w:r>
      <w:r>
        <w:rPr>
          <w:rFonts w:hint="eastAsia"/>
          <w:color w:val="auto"/>
          <w:sz w:val="24"/>
          <w:highlight w:val="none"/>
          <w:lang w:eastAsia="zh-CN"/>
        </w:rPr>
        <w:t>，</w:t>
      </w:r>
      <w:r>
        <w:rPr>
          <w:color w:val="auto"/>
          <w:sz w:val="24"/>
          <w:highlight w:val="none"/>
        </w:rPr>
        <w:t>NO</w:t>
      </w:r>
      <w:r>
        <w:rPr>
          <w:color w:val="auto"/>
          <w:sz w:val="24"/>
          <w:highlight w:val="none"/>
          <w:vertAlign w:val="subscript"/>
        </w:rPr>
        <w:t>x</w:t>
      </w:r>
      <w:r>
        <w:rPr>
          <w:rFonts w:hint="eastAsia"/>
          <w:color w:val="auto"/>
          <w:sz w:val="24"/>
          <w:highlight w:val="none"/>
        </w:rPr>
        <w:t>排放量为</w:t>
      </w:r>
      <w:r>
        <w:rPr>
          <w:rFonts w:hint="eastAsia"/>
          <w:color w:val="auto"/>
          <w:sz w:val="24"/>
          <w:highlight w:val="none"/>
          <w:lang w:val="en-US" w:eastAsia="zh-CN"/>
        </w:rPr>
        <w:t>0.67</w:t>
      </w:r>
      <w:r>
        <w:rPr>
          <w:rFonts w:hint="eastAsia"/>
          <w:color w:val="auto"/>
          <w:sz w:val="24"/>
          <w:highlight w:val="none"/>
        </w:rPr>
        <w:t>t/a</w:t>
      </w:r>
      <w:r>
        <w:rPr>
          <w:rFonts w:hint="eastAsia"/>
          <w:color w:val="auto"/>
          <w:sz w:val="24"/>
          <w:highlight w:val="none"/>
          <w:lang w:eastAsia="zh-CN"/>
        </w:rPr>
        <w:t>，颗粒物排放量为</w:t>
      </w:r>
      <w:r>
        <w:rPr>
          <w:rFonts w:hint="eastAsia"/>
          <w:color w:val="auto"/>
          <w:sz w:val="24"/>
          <w:highlight w:val="none"/>
          <w:lang w:val="en-US" w:eastAsia="zh-CN"/>
        </w:rPr>
        <w:t>0.005t/a，</w:t>
      </w:r>
      <w:r>
        <w:rPr>
          <w:rFonts w:hint="eastAsia"/>
          <w:color w:val="auto"/>
          <w:sz w:val="24"/>
          <w:highlight w:val="none"/>
          <w:lang w:eastAsia="zh-CN"/>
        </w:rPr>
        <w:t>不涉及挥发性有机物，因此</w:t>
      </w:r>
      <w:r>
        <w:rPr>
          <w:rFonts w:hint="eastAsia"/>
          <w:color w:val="auto"/>
          <w:sz w:val="24"/>
          <w:highlight w:val="none"/>
          <w:lang w:val="en-US" w:eastAsia="zh-CN"/>
        </w:rPr>
        <w:t>VOCs为0t/a</w:t>
      </w:r>
      <w:r>
        <w:rPr>
          <w:rFonts w:hint="eastAsia"/>
          <w:color w:val="auto"/>
          <w:sz w:val="24"/>
          <w:highlight w:val="none"/>
        </w:rPr>
        <w:t>。</w:t>
      </w:r>
    </w:p>
    <w:bookmarkEnd w:id="458"/>
    <w:p w14:paraId="44A54E8C">
      <w:pPr>
        <w:spacing w:line="360" w:lineRule="auto"/>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综上所述，本项目的</w:t>
      </w:r>
      <w:r>
        <w:rPr>
          <w:rFonts w:hint="eastAsia" w:ascii="Times New Roman" w:hAnsi="Times New Roman" w:eastAsia="宋体" w:cs="Times New Roman"/>
          <w:color w:val="auto"/>
          <w:sz w:val="24"/>
          <w:highlight w:val="none"/>
          <w:lang w:eastAsia="zh-CN"/>
        </w:rPr>
        <w:t>需申请</w:t>
      </w:r>
      <w:r>
        <w:rPr>
          <w:rFonts w:hint="eastAsia" w:ascii="Times New Roman" w:hAnsi="Times New Roman" w:eastAsia="宋体" w:cs="Times New Roman"/>
          <w:color w:val="auto"/>
          <w:sz w:val="24"/>
          <w:highlight w:val="none"/>
        </w:rPr>
        <w:t>总量控制指标为：</w:t>
      </w:r>
    </w:p>
    <w:p w14:paraId="542C5915">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cs="Times New Roman"/>
          <w:color w:val="auto"/>
          <w:sz w:val="24"/>
          <w:highlight w:val="none"/>
          <w:lang w:val="en-US" w:eastAsia="zh-CN"/>
        </w:rPr>
        <w:t>废气：SO</w:t>
      </w:r>
      <w:r>
        <w:rPr>
          <w:rFonts w:hint="eastAsia" w:cs="Times New Roman"/>
          <w:color w:val="auto"/>
          <w:sz w:val="24"/>
          <w:highlight w:val="none"/>
          <w:vertAlign w:val="subscript"/>
          <w:lang w:val="en-US" w:eastAsia="zh-CN"/>
        </w:rPr>
        <w:t>2</w:t>
      </w:r>
      <w:r>
        <w:rPr>
          <w:rFonts w:hint="eastAsia" w:cs="Times New Roman"/>
          <w:color w:val="auto"/>
          <w:sz w:val="24"/>
          <w:highlight w:val="none"/>
          <w:lang w:val="en-US" w:eastAsia="zh-CN"/>
        </w:rPr>
        <w:t>0.48t/a</w:t>
      </w:r>
      <w:r>
        <w:rPr>
          <w:rFonts w:hint="eastAsia" w:ascii="Times New Roman" w:hAnsi="Times New Roman" w:eastAsia="宋体" w:cs="Times New Roman"/>
          <w:color w:val="auto"/>
          <w:sz w:val="24"/>
          <w:highlight w:val="none"/>
        </w:rPr>
        <w:t>、NOx：</w:t>
      </w:r>
      <w:r>
        <w:rPr>
          <w:rFonts w:hint="eastAsia" w:cs="Times New Roman"/>
          <w:color w:val="auto"/>
          <w:sz w:val="24"/>
          <w:highlight w:val="none"/>
          <w:lang w:val="en-US" w:eastAsia="zh-CN"/>
        </w:rPr>
        <w:t>0.67t</w:t>
      </w:r>
      <w:r>
        <w:rPr>
          <w:rFonts w:hint="eastAsia" w:ascii="Times New Roman" w:hAnsi="Times New Roman" w:eastAsia="宋体" w:cs="Times New Roman"/>
          <w:color w:val="auto"/>
          <w:sz w:val="24"/>
          <w:highlight w:val="none"/>
        </w:rPr>
        <w:t>/a</w:t>
      </w:r>
      <w:r>
        <w:rPr>
          <w:rFonts w:hint="eastAsia" w:cs="Times New Roman"/>
          <w:color w:val="auto"/>
          <w:sz w:val="24"/>
          <w:highlight w:val="none"/>
          <w:lang w:eastAsia="zh-CN"/>
        </w:rPr>
        <w:t>、颗粒物</w:t>
      </w:r>
      <w:r>
        <w:rPr>
          <w:rFonts w:hint="eastAsia" w:cs="Times New Roman"/>
          <w:color w:val="auto"/>
          <w:sz w:val="24"/>
          <w:highlight w:val="none"/>
          <w:lang w:val="en-US" w:eastAsia="zh-CN"/>
        </w:rPr>
        <w:t>0.005t/a、VOCs</w:t>
      </w:r>
      <w:r>
        <w:rPr>
          <w:rFonts w:hint="eastAsia" w:ascii="Times New Roman" w:hAnsi="Times New Roman" w:eastAsia="宋体" w:cs="Times New Roman"/>
          <w:color w:val="auto"/>
          <w:sz w:val="24"/>
          <w:highlight w:val="none"/>
        </w:rPr>
        <w:t>：</w:t>
      </w:r>
      <w:r>
        <w:rPr>
          <w:rFonts w:hint="eastAsia" w:cs="Times New Roman"/>
          <w:color w:val="auto"/>
          <w:sz w:val="24"/>
          <w:highlight w:val="none"/>
          <w:lang w:val="en-US" w:eastAsia="zh-CN"/>
        </w:rPr>
        <w:t>0</w:t>
      </w:r>
      <w:r>
        <w:rPr>
          <w:rFonts w:hint="eastAsia" w:ascii="Times New Roman" w:hAnsi="Times New Roman" w:eastAsia="宋体" w:cs="Times New Roman"/>
          <w:color w:val="auto"/>
          <w:sz w:val="24"/>
          <w:highlight w:val="none"/>
        </w:rPr>
        <w:t>t/a</w:t>
      </w:r>
      <w:r>
        <w:rPr>
          <w:rFonts w:hint="eastAsia" w:cs="Times New Roman"/>
          <w:color w:val="auto"/>
          <w:sz w:val="24"/>
          <w:highlight w:val="none"/>
          <w:lang w:eastAsia="zh-CN"/>
        </w:rPr>
        <w:t>；</w:t>
      </w:r>
    </w:p>
    <w:p w14:paraId="1157F392">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cs="Times New Roman"/>
          <w:color w:val="auto"/>
          <w:sz w:val="24"/>
          <w:highlight w:val="none"/>
          <w:lang w:eastAsia="zh-CN"/>
        </w:rPr>
        <w:t>废水：</w:t>
      </w:r>
      <w:r>
        <w:rPr>
          <w:rFonts w:hint="eastAsia" w:ascii="Times New Roman" w:hAnsi="Times New Roman" w:eastAsia="宋体" w:cs="Times New Roman"/>
          <w:color w:val="auto"/>
          <w:sz w:val="24"/>
          <w:highlight w:val="none"/>
        </w:rPr>
        <w:t>COD：0t/a、</w:t>
      </w:r>
      <w:r>
        <w:rPr>
          <w:rFonts w:hint="eastAsia" w:ascii="Times New Roman" w:hAnsi="Times New Roman" w:eastAsia="宋体" w:cs="Times New Roman"/>
          <w:color w:val="auto"/>
          <w:sz w:val="24"/>
          <w:highlight w:val="none"/>
          <w:lang w:eastAsia="zh-CN"/>
        </w:rPr>
        <w:t>氨氮</w:t>
      </w:r>
      <w:r>
        <w:rPr>
          <w:rFonts w:hint="eastAsia" w:ascii="Times New Roman" w:hAnsi="Times New Roman" w:eastAsia="宋体" w:cs="Times New Roman"/>
          <w:color w:val="auto"/>
          <w:sz w:val="24"/>
          <w:highlight w:val="none"/>
        </w:rPr>
        <w:t>：0t/a</w:t>
      </w:r>
      <w:r>
        <w:rPr>
          <w:rFonts w:hint="eastAsia" w:cs="Times New Roman"/>
          <w:color w:val="auto"/>
          <w:sz w:val="24"/>
          <w:highlight w:val="none"/>
          <w:lang w:eastAsia="zh-CN"/>
        </w:rPr>
        <w:t>；</w:t>
      </w:r>
    </w:p>
    <w:p w14:paraId="4187442E">
      <w:pPr>
        <w:keepNext/>
        <w:keepLines/>
        <w:spacing w:line="360" w:lineRule="auto"/>
        <w:outlineLvl w:val="1"/>
        <w:rPr>
          <w:b/>
          <w:color w:val="auto"/>
          <w:sz w:val="30"/>
        </w:rPr>
      </w:pPr>
      <w:bookmarkStart w:id="459" w:name="_Toc8175"/>
      <w:bookmarkStart w:id="460" w:name="_Toc17248"/>
      <w:r>
        <w:rPr>
          <w:rFonts w:hint="eastAsia"/>
          <w:b/>
          <w:color w:val="auto"/>
          <w:sz w:val="30"/>
        </w:rPr>
        <w:t>9.</w:t>
      </w:r>
      <w:r>
        <w:rPr>
          <w:rFonts w:hint="eastAsia"/>
          <w:b/>
          <w:color w:val="auto"/>
          <w:sz w:val="30"/>
          <w:lang w:val="en-US" w:eastAsia="zh-CN"/>
        </w:rPr>
        <w:t>6</w:t>
      </w:r>
      <w:r>
        <w:rPr>
          <w:b/>
          <w:color w:val="auto"/>
          <w:sz w:val="30"/>
        </w:rPr>
        <w:t>排污许可证制度衔接</w:t>
      </w:r>
      <w:bookmarkEnd w:id="459"/>
      <w:bookmarkEnd w:id="460"/>
      <w:r>
        <w:rPr>
          <w:b/>
          <w:color w:val="auto"/>
          <w:sz w:val="30"/>
        </w:rPr>
        <w:t xml:space="preserve"> </w:t>
      </w:r>
    </w:p>
    <w:p w14:paraId="0240C25E">
      <w:pPr>
        <w:spacing w:line="460" w:lineRule="exact"/>
        <w:ind w:firstLine="480" w:firstLineChars="200"/>
        <w:rPr>
          <w:color w:val="auto"/>
          <w:sz w:val="24"/>
        </w:rPr>
      </w:pPr>
      <w:r>
        <w:rPr>
          <w:rFonts w:hint="eastAsia"/>
          <w:color w:val="auto"/>
          <w:sz w:val="24"/>
        </w:rPr>
        <w:t>目前我国正在推进排污许可制度改革工作，环保部也大力推进排污许可证制度，《国务院办公厅关于印发控制污染物排放许可制实施方案的通知》（国办发</w:t>
      </w:r>
      <w:r>
        <w:rPr>
          <w:color w:val="auto"/>
          <w:sz w:val="24"/>
        </w:rPr>
        <w:t>[2016]81</w:t>
      </w:r>
      <w:r>
        <w:rPr>
          <w:rFonts w:hint="eastAsia"/>
          <w:color w:val="auto"/>
          <w:sz w:val="24"/>
        </w:rPr>
        <w:t>号）明确将排污许可制建设成为固定污染源环境管理的核心制度，作为企业守法、部门执法、社会监督的依据，为提高环境管理效能和改善环境质量奠定坚实基础。</w:t>
      </w:r>
    </w:p>
    <w:p w14:paraId="6495685F">
      <w:pPr>
        <w:spacing w:line="460" w:lineRule="exact"/>
        <w:ind w:firstLine="480" w:firstLineChars="200"/>
        <w:rPr>
          <w:color w:val="auto"/>
          <w:sz w:val="24"/>
        </w:rPr>
      </w:pPr>
      <w:r>
        <w:rPr>
          <w:rFonts w:hint="eastAsia"/>
          <w:color w:val="auto"/>
          <w:sz w:val="24"/>
        </w:rPr>
        <w:t>本项目应严格按照国家排污许可证改革的要求，推进刷卡排污及污染源“一证式”管理工作，并作为建设单位在生产运营期接受环境监管和环境保护部门实施监管的主要法律文书，单位依法申领排污许可证，按证排污，自证守法。环境保护部门基于企事业单位守法承诺，依法发放排污许可证，依证强化事中事后监管，对违法排污行为实施严厉打击。</w:t>
      </w:r>
    </w:p>
    <w:p w14:paraId="79C80172">
      <w:pPr>
        <w:spacing w:line="460" w:lineRule="exact"/>
        <w:ind w:firstLine="480" w:firstLineChars="200"/>
        <w:rPr>
          <w:color w:val="auto"/>
          <w:sz w:val="24"/>
        </w:rPr>
      </w:pPr>
      <w:r>
        <w:rPr>
          <w:rFonts w:hint="eastAsia"/>
          <w:color w:val="auto"/>
          <w:sz w:val="24"/>
        </w:rPr>
        <w:t>根据《关于做好环境影响评价制度与排污许可制衔接相关工作的通知》（环办环评</w:t>
      </w:r>
      <w:r>
        <w:rPr>
          <w:color w:val="auto"/>
          <w:sz w:val="24"/>
        </w:rPr>
        <w:t>[2017]84</w:t>
      </w:r>
      <w:r>
        <w:rPr>
          <w:rFonts w:hint="eastAsia"/>
          <w:color w:val="auto"/>
          <w:sz w:val="24"/>
        </w:rPr>
        <w:t>号），建设项目发生实际排污行为之前，排污单位应当按照国家环境保护相关法律法规以及排污许可证申请与核发技术规范要求申请排污许可证，不得无证排污或不按证排污。环境影响报告书后获得批准的建设项目，其环境影响报告书以及审批文件中与污染物排放相关的主要内容应当纳入排污许可证。为此，下阶段应将项目建设内容、产品方案、建设规模，采用的工艺流程、工艺技术方案，污染预防和清洁生产措施，环保设施和治理措施，各类污染物排放总量，在线监测和自主监测要求，环境安全防范措施，环境应急体系和应急设施等，全部按装置、设施载入排污许可证，具体内容详见报告书各章节。企业在设计，建设和运营过程中，需按照许可证管理要求进行监测和申报，自证守法；许可证内容发生变更应进行申报，重大变更应重新环评和申请许可证变更。环保管理部门对许可证内容进行定期和不定期的监督核查。</w:t>
      </w:r>
    </w:p>
    <w:p w14:paraId="31EDF5E4">
      <w:pPr>
        <w:keepNext/>
        <w:keepLines/>
        <w:spacing w:line="360" w:lineRule="auto"/>
        <w:outlineLvl w:val="2"/>
        <w:rPr>
          <w:b/>
          <w:bCs/>
          <w:color w:val="auto"/>
          <w:sz w:val="28"/>
          <w:szCs w:val="32"/>
        </w:rPr>
      </w:pPr>
      <w:bookmarkStart w:id="461" w:name="_Toc19320"/>
      <w:r>
        <w:rPr>
          <w:rFonts w:hint="eastAsia"/>
          <w:b/>
          <w:bCs/>
          <w:color w:val="auto"/>
          <w:sz w:val="28"/>
          <w:szCs w:val="32"/>
        </w:rPr>
        <w:t>9.</w:t>
      </w:r>
      <w:r>
        <w:rPr>
          <w:rFonts w:hint="eastAsia"/>
          <w:b/>
          <w:bCs/>
          <w:color w:val="auto"/>
          <w:sz w:val="28"/>
          <w:szCs w:val="32"/>
          <w:lang w:val="en-US" w:eastAsia="zh-CN"/>
        </w:rPr>
        <w:t>6</w:t>
      </w:r>
      <w:r>
        <w:rPr>
          <w:rFonts w:hint="eastAsia"/>
          <w:b/>
          <w:bCs/>
          <w:color w:val="auto"/>
          <w:sz w:val="28"/>
          <w:szCs w:val="32"/>
        </w:rPr>
        <w:t>.1排污许可证申请与核发技术规范相关要求</w:t>
      </w:r>
      <w:bookmarkEnd w:id="461"/>
    </w:p>
    <w:p w14:paraId="49C3901B">
      <w:pPr>
        <w:spacing w:line="460" w:lineRule="exact"/>
        <w:ind w:firstLine="480" w:firstLineChars="200"/>
        <w:rPr>
          <w:color w:val="auto"/>
          <w:sz w:val="24"/>
        </w:rPr>
      </w:pPr>
      <w:r>
        <w:rPr>
          <w:rFonts w:hint="eastAsia"/>
          <w:color w:val="auto"/>
          <w:sz w:val="24"/>
        </w:rPr>
        <w:t>本项目属于畜牧业鸡的饲养（A0321）项目，本次评价根据《排污许可证申请与核发技术规范 总则》（</w:t>
      </w:r>
      <w:r>
        <w:rPr>
          <w:color w:val="auto"/>
          <w:sz w:val="24"/>
        </w:rPr>
        <w:t>HJ942-2018</w:t>
      </w:r>
      <w:r>
        <w:rPr>
          <w:rFonts w:hint="eastAsia"/>
          <w:color w:val="auto"/>
          <w:sz w:val="24"/>
        </w:rPr>
        <w:t>）、《排污许可证申请与核发技术规范 畜禽养殖行业》（</w:t>
      </w:r>
      <w:r>
        <w:rPr>
          <w:color w:val="auto"/>
          <w:sz w:val="24"/>
        </w:rPr>
        <w:t>HJ1029-2019</w:t>
      </w:r>
      <w:r>
        <w:rPr>
          <w:rFonts w:hint="eastAsia"/>
          <w:color w:val="auto"/>
          <w:sz w:val="24"/>
        </w:rPr>
        <w:t>）、《排污许可证申请与核发技术规范 锅炉》（</w:t>
      </w:r>
      <w:r>
        <w:rPr>
          <w:color w:val="auto"/>
          <w:sz w:val="24"/>
        </w:rPr>
        <w:t>HJ953-2018</w:t>
      </w:r>
      <w:r>
        <w:rPr>
          <w:rFonts w:hint="eastAsia"/>
          <w:color w:val="auto"/>
          <w:sz w:val="24"/>
        </w:rPr>
        <w:t>）进行分析。</w:t>
      </w:r>
    </w:p>
    <w:p w14:paraId="4F4F48C2">
      <w:pPr>
        <w:spacing w:line="460" w:lineRule="exact"/>
        <w:ind w:firstLine="480" w:firstLineChars="200"/>
        <w:rPr>
          <w:color w:val="auto"/>
          <w:sz w:val="24"/>
        </w:rPr>
      </w:pPr>
      <w:r>
        <w:rPr>
          <w:rFonts w:hint="eastAsia"/>
          <w:color w:val="auto"/>
          <w:sz w:val="24"/>
        </w:rPr>
        <w:t>根据《排污许可证申请与核发技术规范 总则》（</w:t>
      </w:r>
      <w:r>
        <w:rPr>
          <w:color w:val="auto"/>
          <w:sz w:val="24"/>
        </w:rPr>
        <w:t>HJ942-2018</w:t>
      </w:r>
      <w:r>
        <w:rPr>
          <w:rFonts w:hint="eastAsia"/>
          <w:color w:val="auto"/>
          <w:sz w:val="24"/>
        </w:rPr>
        <w:t>）</w:t>
      </w:r>
      <w:r>
        <w:rPr>
          <w:color w:val="auto"/>
          <w:sz w:val="24"/>
        </w:rPr>
        <w:t>5.2</w:t>
      </w:r>
      <w:r>
        <w:rPr>
          <w:rFonts w:hint="eastAsia"/>
          <w:color w:val="auto"/>
          <w:sz w:val="24"/>
        </w:rPr>
        <w:t>许可排放限值的一般原则：许可排放限值包括污染物许可排放浓度和许可排放量。</w:t>
      </w:r>
    </w:p>
    <w:p w14:paraId="3E66A73F">
      <w:pPr>
        <w:spacing w:line="460" w:lineRule="exact"/>
        <w:ind w:firstLine="480" w:firstLineChars="200"/>
        <w:rPr>
          <w:color w:val="auto"/>
          <w:sz w:val="24"/>
        </w:rPr>
      </w:pPr>
      <w:r>
        <w:rPr>
          <w:rFonts w:hint="eastAsia"/>
          <w:color w:val="auto"/>
          <w:sz w:val="24"/>
        </w:rPr>
        <w:t>对于大气污染物，以排放口为单位确定有组织主要排放口和一般排放口的许可排放浓度，以生产设施、生产单元或厂界为单位确定无组织许可排放浓度。主要排放口逐一计算许可排放量；一般排放口和无组织废气不许可排放量；其他排放口不许可排放浓度和排放量。</w:t>
      </w:r>
    </w:p>
    <w:p w14:paraId="2E6D759D">
      <w:pPr>
        <w:spacing w:line="460" w:lineRule="exact"/>
        <w:ind w:firstLine="480" w:firstLineChars="200"/>
        <w:rPr>
          <w:color w:val="auto"/>
          <w:sz w:val="24"/>
        </w:rPr>
      </w:pPr>
      <w:r>
        <w:rPr>
          <w:rFonts w:hint="eastAsia"/>
          <w:color w:val="auto"/>
          <w:sz w:val="24"/>
        </w:rPr>
        <w:t>对于水污染物，以排放口为单位确定主要排放口许可排放浓度和排放量，一般排放口仅许可排放浓度。单独排入城镇集中污水处理设施的生活污水仅说明排放去向。</w:t>
      </w:r>
    </w:p>
    <w:p w14:paraId="105D69F2">
      <w:pPr>
        <w:keepNext/>
        <w:keepLines/>
        <w:spacing w:line="360" w:lineRule="auto"/>
        <w:outlineLvl w:val="2"/>
        <w:rPr>
          <w:b/>
          <w:bCs/>
          <w:color w:val="auto"/>
          <w:sz w:val="28"/>
          <w:szCs w:val="32"/>
        </w:rPr>
      </w:pPr>
      <w:bookmarkStart w:id="462" w:name="_Toc12014"/>
      <w:r>
        <w:rPr>
          <w:rFonts w:hint="eastAsia"/>
          <w:b/>
          <w:bCs/>
          <w:color w:val="auto"/>
          <w:sz w:val="28"/>
          <w:szCs w:val="32"/>
        </w:rPr>
        <w:t>9.</w:t>
      </w:r>
      <w:r>
        <w:rPr>
          <w:rFonts w:hint="eastAsia"/>
          <w:b/>
          <w:bCs/>
          <w:color w:val="auto"/>
          <w:sz w:val="28"/>
          <w:szCs w:val="32"/>
          <w:lang w:val="en-US" w:eastAsia="zh-CN"/>
        </w:rPr>
        <w:t>6</w:t>
      </w:r>
      <w:r>
        <w:rPr>
          <w:rFonts w:hint="eastAsia"/>
          <w:b/>
          <w:bCs/>
          <w:color w:val="auto"/>
          <w:sz w:val="28"/>
          <w:szCs w:val="32"/>
        </w:rPr>
        <w:t>.2纳入许可管理的排污口</w:t>
      </w:r>
      <w:bookmarkEnd w:id="462"/>
      <w:r>
        <w:rPr>
          <w:rFonts w:hint="eastAsia"/>
          <w:b/>
          <w:bCs/>
          <w:color w:val="auto"/>
          <w:sz w:val="28"/>
          <w:szCs w:val="32"/>
        </w:rPr>
        <w:t xml:space="preserve"> </w:t>
      </w:r>
    </w:p>
    <w:p w14:paraId="1CF9A14C">
      <w:pPr>
        <w:spacing w:line="460" w:lineRule="exact"/>
        <w:ind w:firstLine="480" w:firstLineChars="200"/>
        <w:rPr>
          <w:color w:val="auto"/>
          <w:sz w:val="24"/>
        </w:rPr>
      </w:pPr>
      <w:r>
        <w:rPr>
          <w:rFonts w:hint="eastAsia"/>
          <w:color w:val="auto"/>
          <w:sz w:val="24"/>
        </w:rPr>
        <w:t>根据《排污许可证申请与核发技术规范 总则》（</w:t>
      </w:r>
      <w:r>
        <w:rPr>
          <w:color w:val="auto"/>
          <w:sz w:val="24"/>
        </w:rPr>
        <w:t>HJ942-2018</w:t>
      </w:r>
      <w:r>
        <w:rPr>
          <w:rFonts w:hint="eastAsia"/>
          <w:color w:val="auto"/>
          <w:sz w:val="24"/>
        </w:rPr>
        <w:t>）、《排污许可证申请与核发技术规范 畜禽养殖行业》（</w:t>
      </w:r>
      <w:r>
        <w:rPr>
          <w:color w:val="auto"/>
          <w:sz w:val="24"/>
        </w:rPr>
        <w:t>HJ1029-2019</w:t>
      </w:r>
      <w:r>
        <w:rPr>
          <w:rFonts w:hint="eastAsia"/>
          <w:color w:val="auto"/>
          <w:sz w:val="24"/>
        </w:rPr>
        <w:t>）、《排污许可证申请与核发技术规范 锅炉》（</w:t>
      </w:r>
      <w:r>
        <w:rPr>
          <w:color w:val="auto"/>
          <w:sz w:val="24"/>
        </w:rPr>
        <w:t>HJ953-2018</w:t>
      </w:r>
      <w:r>
        <w:rPr>
          <w:rFonts w:hint="eastAsia"/>
          <w:color w:val="auto"/>
          <w:sz w:val="24"/>
        </w:rPr>
        <w:t>）。本项目纳入许可管理的废气污染源及污染物项目见表9</w:t>
      </w:r>
      <w:r>
        <w:rPr>
          <w:rFonts w:hint="eastAsia"/>
          <w:color w:val="auto"/>
          <w:sz w:val="24"/>
          <w:lang w:val="en-US" w:eastAsia="zh-CN"/>
        </w:rPr>
        <w:t>.6-1</w:t>
      </w:r>
      <w:r>
        <w:rPr>
          <w:rFonts w:hint="eastAsia"/>
          <w:color w:val="auto"/>
          <w:sz w:val="24"/>
        </w:rPr>
        <w:t>，本项目无外排废水，故无纳入许可管理的废水排放口和污染物项目。</w:t>
      </w:r>
    </w:p>
    <w:p w14:paraId="52A66D2B">
      <w:pPr>
        <w:adjustRightInd w:val="0"/>
        <w:snapToGrid w:val="0"/>
        <w:jc w:val="center"/>
        <w:rPr>
          <w:b/>
          <w:color w:val="auto"/>
          <w:szCs w:val="21"/>
        </w:rPr>
      </w:pPr>
      <w:r>
        <w:rPr>
          <w:rFonts w:hint="eastAsia"/>
          <w:b/>
          <w:color w:val="auto"/>
          <w:szCs w:val="21"/>
        </w:rPr>
        <w:t>表9</w:t>
      </w:r>
      <w:r>
        <w:rPr>
          <w:rFonts w:hint="eastAsia"/>
          <w:b/>
          <w:color w:val="auto"/>
          <w:szCs w:val="21"/>
          <w:lang w:val="en-US" w:eastAsia="zh-CN"/>
        </w:rPr>
        <w:t xml:space="preserve">.6-1   </w:t>
      </w:r>
      <w:r>
        <w:rPr>
          <w:b/>
          <w:color w:val="auto"/>
          <w:szCs w:val="21"/>
        </w:rPr>
        <w:t xml:space="preserve"> </w:t>
      </w:r>
      <w:r>
        <w:rPr>
          <w:rFonts w:hint="eastAsia"/>
          <w:b/>
          <w:color w:val="auto"/>
          <w:szCs w:val="21"/>
        </w:rPr>
        <w:t>纳入许可管理的废气污染源及污染物项目</w:t>
      </w:r>
    </w:p>
    <w:tbl>
      <w:tblPr>
        <w:tblStyle w:val="53"/>
        <w:tblW w:w="4998" w:type="pct"/>
        <w:tblInd w:w="0" w:type="dxa"/>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531"/>
        <w:gridCol w:w="2756"/>
        <w:gridCol w:w="1619"/>
        <w:gridCol w:w="1619"/>
      </w:tblGrid>
      <w:tr w14:paraId="4FE03367">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84" w:type="pct"/>
            <w:tcBorders>
              <w:tl2br w:val="nil"/>
              <w:tr2bl w:val="nil"/>
            </w:tcBorders>
            <w:vAlign w:val="center"/>
          </w:tcPr>
          <w:p w14:paraId="5FCED7B4">
            <w:pPr>
              <w:jc w:val="center"/>
              <w:rPr>
                <w:color w:val="auto"/>
                <w:kern w:val="0"/>
                <w:szCs w:val="21"/>
              </w:rPr>
            </w:pPr>
            <w:r>
              <w:rPr>
                <w:rFonts w:hint="eastAsia"/>
                <w:color w:val="auto"/>
                <w:kern w:val="0"/>
                <w:szCs w:val="21"/>
              </w:rPr>
              <w:t>管控污染源</w:t>
            </w:r>
          </w:p>
        </w:tc>
        <w:tc>
          <w:tcPr>
            <w:tcW w:w="1616" w:type="pct"/>
            <w:tcBorders>
              <w:tl2br w:val="nil"/>
              <w:tr2bl w:val="nil"/>
            </w:tcBorders>
            <w:vAlign w:val="center"/>
          </w:tcPr>
          <w:p w14:paraId="42DACEC8">
            <w:pPr>
              <w:jc w:val="center"/>
              <w:rPr>
                <w:color w:val="auto"/>
                <w:kern w:val="0"/>
                <w:szCs w:val="21"/>
              </w:rPr>
            </w:pPr>
            <w:r>
              <w:rPr>
                <w:rFonts w:hint="eastAsia"/>
                <w:color w:val="auto"/>
                <w:kern w:val="0"/>
                <w:szCs w:val="21"/>
              </w:rPr>
              <w:t>许可排放浓度（或速率）</w:t>
            </w:r>
          </w:p>
          <w:p w14:paraId="2DC11674">
            <w:pPr>
              <w:jc w:val="center"/>
              <w:rPr>
                <w:color w:val="auto"/>
                <w:kern w:val="0"/>
                <w:szCs w:val="21"/>
              </w:rPr>
            </w:pPr>
            <w:r>
              <w:rPr>
                <w:rFonts w:hint="eastAsia"/>
                <w:color w:val="auto"/>
                <w:kern w:val="0"/>
                <w:szCs w:val="21"/>
              </w:rPr>
              <w:t>污染物项目</w:t>
            </w:r>
          </w:p>
        </w:tc>
        <w:tc>
          <w:tcPr>
            <w:tcW w:w="949" w:type="pct"/>
            <w:tcBorders>
              <w:tl2br w:val="nil"/>
              <w:tr2bl w:val="nil"/>
            </w:tcBorders>
            <w:vAlign w:val="center"/>
          </w:tcPr>
          <w:p w14:paraId="57A58637">
            <w:pPr>
              <w:jc w:val="center"/>
              <w:rPr>
                <w:color w:val="auto"/>
                <w:kern w:val="0"/>
                <w:szCs w:val="21"/>
              </w:rPr>
            </w:pPr>
            <w:r>
              <w:rPr>
                <w:rFonts w:hint="eastAsia"/>
                <w:color w:val="auto"/>
                <w:kern w:val="0"/>
                <w:szCs w:val="21"/>
              </w:rPr>
              <w:t>许可排放量</w:t>
            </w:r>
          </w:p>
          <w:p w14:paraId="2E6C1E42">
            <w:pPr>
              <w:jc w:val="center"/>
              <w:rPr>
                <w:color w:val="auto"/>
                <w:kern w:val="0"/>
                <w:szCs w:val="21"/>
              </w:rPr>
            </w:pPr>
            <w:r>
              <w:rPr>
                <w:rFonts w:hint="eastAsia"/>
                <w:color w:val="auto"/>
                <w:kern w:val="0"/>
                <w:szCs w:val="21"/>
              </w:rPr>
              <w:t>污染物项目</w:t>
            </w:r>
          </w:p>
        </w:tc>
        <w:tc>
          <w:tcPr>
            <w:tcW w:w="949" w:type="pct"/>
            <w:tcBorders>
              <w:tl2br w:val="nil"/>
              <w:tr2bl w:val="nil"/>
            </w:tcBorders>
            <w:vAlign w:val="center"/>
          </w:tcPr>
          <w:p w14:paraId="01C45425">
            <w:pPr>
              <w:jc w:val="center"/>
              <w:rPr>
                <w:color w:val="auto"/>
                <w:kern w:val="0"/>
                <w:szCs w:val="21"/>
              </w:rPr>
            </w:pPr>
            <w:r>
              <w:rPr>
                <w:rFonts w:hint="eastAsia"/>
                <w:color w:val="auto"/>
                <w:kern w:val="0"/>
                <w:szCs w:val="21"/>
              </w:rPr>
              <w:t>排放口类型</w:t>
            </w:r>
          </w:p>
        </w:tc>
      </w:tr>
      <w:tr w14:paraId="2CFAD6E3">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84" w:type="pct"/>
            <w:tcBorders>
              <w:tl2br w:val="nil"/>
              <w:tr2bl w:val="nil"/>
            </w:tcBorders>
            <w:vAlign w:val="center"/>
          </w:tcPr>
          <w:p w14:paraId="49C4603C">
            <w:pPr>
              <w:jc w:val="center"/>
              <w:rPr>
                <w:color w:val="auto"/>
                <w:kern w:val="0"/>
                <w:szCs w:val="21"/>
              </w:rPr>
            </w:pPr>
            <w:r>
              <w:rPr>
                <w:rFonts w:hint="eastAsia"/>
                <w:color w:val="auto"/>
                <w:kern w:val="0"/>
                <w:szCs w:val="21"/>
              </w:rPr>
              <w:t>厂界无组织</w:t>
            </w:r>
          </w:p>
        </w:tc>
        <w:tc>
          <w:tcPr>
            <w:tcW w:w="1616" w:type="pct"/>
            <w:tcBorders>
              <w:tl2br w:val="nil"/>
              <w:tr2bl w:val="nil"/>
            </w:tcBorders>
            <w:vAlign w:val="center"/>
          </w:tcPr>
          <w:p w14:paraId="3D6B04D4">
            <w:pPr>
              <w:jc w:val="center"/>
              <w:rPr>
                <w:color w:val="auto"/>
                <w:kern w:val="0"/>
                <w:szCs w:val="21"/>
              </w:rPr>
            </w:pPr>
            <w:r>
              <w:rPr>
                <w:rFonts w:hint="eastAsia"/>
                <w:color w:val="auto"/>
                <w:kern w:val="0"/>
                <w:szCs w:val="21"/>
              </w:rPr>
              <w:t>臭气浓度：70（无量纲）</w:t>
            </w:r>
          </w:p>
        </w:tc>
        <w:tc>
          <w:tcPr>
            <w:tcW w:w="949" w:type="pct"/>
            <w:tcBorders>
              <w:tl2br w:val="nil"/>
              <w:tr2bl w:val="nil"/>
            </w:tcBorders>
            <w:vAlign w:val="center"/>
          </w:tcPr>
          <w:p w14:paraId="7E703AC9">
            <w:pPr>
              <w:jc w:val="center"/>
              <w:rPr>
                <w:color w:val="auto"/>
              </w:rPr>
            </w:pPr>
            <w:r>
              <w:rPr>
                <w:rFonts w:hint="eastAsia"/>
                <w:color w:val="auto"/>
              </w:rPr>
              <w:t>-</w:t>
            </w:r>
          </w:p>
        </w:tc>
        <w:tc>
          <w:tcPr>
            <w:tcW w:w="949" w:type="pct"/>
            <w:tcBorders>
              <w:tl2br w:val="nil"/>
              <w:tr2bl w:val="nil"/>
            </w:tcBorders>
            <w:vAlign w:val="center"/>
          </w:tcPr>
          <w:p w14:paraId="311A2182">
            <w:pPr>
              <w:jc w:val="center"/>
              <w:rPr>
                <w:color w:val="auto"/>
                <w:kern w:val="0"/>
                <w:szCs w:val="21"/>
              </w:rPr>
            </w:pPr>
            <w:r>
              <w:rPr>
                <w:rFonts w:hint="eastAsia"/>
                <w:color w:val="auto"/>
              </w:rPr>
              <w:t>-</w:t>
            </w:r>
          </w:p>
        </w:tc>
      </w:tr>
      <w:tr w14:paraId="75F2181F">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84" w:type="pct"/>
            <w:tcBorders>
              <w:tl2br w:val="nil"/>
              <w:tr2bl w:val="nil"/>
            </w:tcBorders>
            <w:vAlign w:val="center"/>
          </w:tcPr>
          <w:p w14:paraId="1191F0BC">
            <w:pPr>
              <w:jc w:val="center"/>
              <w:rPr>
                <w:rFonts w:hint="default" w:eastAsia="宋体"/>
                <w:color w:val="auto"/>
                <w:kern w:val="0"/>
                <w:szCs w:val="21"/>
                <w:lang w:val="en-US" w:eastAsia="zh-CN"/>
              </w:rPr>
            </w:pPr>
            <w:r>
              <w:rPr>
                <w:rFonts w:hint="eastAsia" w:eastAsia="宋体"/>
                <w:color w:val="auto"/>
                <w:sz w:val="21"/>
                <w:szCs w:val="21"/>
                <w:lang w:val="en-US" w:eastAsia="zh-CN"/>
              </w:rPr>
              <w:t>DA00</w:t>
            </w:r>
            <w:r>
              <w:rPr>
                <w:rFonts w:hint="eastAsia"/>
                <w:color w:val="auto"/>
                <w:kern w:val="0"/>
                <w:szCs w:val="21"/>
              </w:rPr>
              <w:t>1</w:t>
            </w:r>
          </w:p>
        </w:tc>
        <w:tc>
          <w:tcPr>
            <w:tcW w:w="1616" w:type="pct"/>
            <w:tcBorders>
              <w:tl2br w:val="nil"/>
              <w:tr2bl w:val="nil"/>
            </w:tcBorders>
            <w:vAlign w:val="center"/>
          </w:tcPr>
          <w:p w14:paraId="3CA31B2B">
            <w:pPr>
              <w:jc w:val="center"/>
              <w:rPr>
                <w:color w:val="auto"/>
                <w:kern w:val="0"/>
                <w:szCs w:val="21"/>
              </w:rPr>
            </w:pPr>
            <w:r>
              <w:rPr>
                <w:rFonts w:hint="eastAsia"/>
                <w:color w:val="auto"/>
                <w:kern w:val="0"/>
                <w:szCs w:val="21"/>
              </w:rPr>
              <w:t>颗粒物：</w:t>
            </w:r>
            <w:r>
              <w:rPr>
                <w:rFonts w:hint="eastAsia"/>
                <w:color w:val="auto"/>
                <w:kern w:val="0"/>
                <w:szCs w:val="21"/>
                <w:lang w:val="en-US" w:eastAsia="zh-CN"/>
              </w:rPr>
              <w:t>30</w:t>
            </w:r>
            <w:r>
              <w:rPr>
                <w:rFonts w:hint="eastAsia"/>
                <w:color w:val="auto"/>
                <w:kern w:val="0"/>
                <w:szCs w:val="21"/>
              </w:rPr>
              <w:t>mg/m</w:t>
            </w:r>
            <w:r>
              <w:rPr>
                <w:rFonts w:hint="eastAsia"/>
                <w:color w:val="auto"/>
                <w:kern w:val="0"/>
                <w:szCs w:val="21"/>
                <w:vertAlign w:val="superscript"/>
              </w:rPr>
              <w:t>3</w:t>
            </w:r>
            <w:r>
              <w:rPr>
                <w:rFonts w:hint="eastAsia"/>
                <w:color w:val="auto"/>
                <w:kern w:val="0"/>
                <w:szCs w:val="21"/>
              </w:rPr>
              <w:t>；SO</w:t>
            </w:r>
            <w:r>
              <w:rPr>
                <w:rFonts w:hint="eastAsia"/>
                <w:color w:val="auto"/>
                <w:kern w:val="0"/>
                <w:szCs w:val="21"/>
                <w:vertAlign w:val="subscript"/>
              </w:rPr>
              <w:t>2</w:t>
            </w:r>
            <w:r>
              <w:rPr>
                <w:rFonts w:hint="eastAsia"/>
                <w:color w:val="auto"/>
                <w:kern w:val="0"/>
                <w:szCs w:val="21"/>
              </w:rPr>
              <w:t>：</w:t>
            </w:r>
            <w:r>
              <w:rPr>
                <w:rFonts w:hint="eastAsia"/>
                <w:color w:val="auto"/>
                <w:kern w:val="0"/>
                <w:szCs w:val="21"/>
                <w:lang w:val="en-US" w:eastAsia="zh-CN"/>
              </w:rPr>
              <w:t>200</w:t>
            </w:r>
            <w:r>
              <w:rPr>
                <w:rFonts w:hint="eastAsia"/>
                <w:color w:val="auto"/>
                <w:kern w:val="0"/>
                <w:szCs w:val="21"/>
              </w:rPr>
              <w:t>mg/m</w:t>
            </w:r>
            <w:r>
              <w:rPr>
                <w:rFonts w:hint="eastAsia"/>
                <w:color w:val="auto"/>
                <w:kern w:val="0"/>
                <w:szCs w:val="21"/>
                <w:vertAlign w:val="superscript"/>
              </w:rPr>
              <w:t>3</w:t>
            </w:r>
            <w:r>
              <w:rPr>
                <w:rFonts w:hint="eastAsia"/>
                <w:color w:val="auto"/>
                <w:kern w:val="0"/>
                <w:szCs w:val="21"/>
              </w:rPr>
              <w:t>、NOx：</w:t>
            </w:r>
            <w:r>
              <w:rPr>
                <w:rFonts w:hint="eastAsia"/>
                <w:color w:val="auto"/>
                <w:kern w:val="0"/>
                <w:szCs w:val="21"/>
                <w:lang w:val="en-US" w:eastAsia="zh-CN"/>
              </w:rPr>
              <w:t>20</w:t>
            </w:r>
            <w:r>
              <w:rPr>
                <w:rFonts w:hint="eastAsia"/>
                <w:color w:val="auto"/>
                <w:kern w:val="0"/>
                <w:szCs w:val="21"/>
              </w:rPr>
              <w:t>0mg/m</w:t>
            </w:r>
            <w:r>
              <w:rPr>
                <w:rFonts w:hint="eastAsia"/>
                <w:color w:val="auto"/>
                <w:kern w:val="0"/>
                <w:szCs w:val="21"/>
                <w:vertAlign w:val="superscript"/>
              </w:rPr>
              <w:t>3</w:t>
            </w:r>
          </w:p>
        </w:tc>
        <w:tc>
          <w:tcPr>
            <w:tcW w:w="949" w:type="pct"/>
            <w:tcBorders>
              <w:tl2br w:val="nil"/>
              <w:tr2bl w:val="nil"/>
            </w:tcBorders>
            <w:vAlign w:val="center"/>
          </w:tcPr>
          <w:p w14:paraId="1808DFCA">
            <w:pPr>
              <w:jc w:val="center"/>
              <w:rPr>
                <w:color w:val="auto"/>
                <w:kern w:val="0"/>
                <w:szCs w:val="21"/>
              </w:rPr>
            </w:pPr>
            <w:r>
              <w:rPr>
                <w:rFonts w:hint="eastAsia"/>
                <w:color w:val="auto"/>
              </w:rPr>
              <w:t>-</w:t>
            </w:r>
          </w:p>
        </w:tc>
        <w:tc>
          <w:tcPr>
            <w:tcW w:w="949" w:type="pct"/>
            <w:tcBorders>
              <w:tl2br w:val="nil"/>
              <w:tr2bl w:val="nil"/>
            </w:tcBorders>
            <w:vAlign w:val="center"/>
          </w:tcPr>
          <w:p w14:paraId="06DF27C7">
            <w:pPr>
              <w:jc w:val="center"/>
              <w:rPr>
                <w:color w:val="auto"/>
                <w:kern w:val="0"/>
                <w:szCs w:val="21"/>
              </w:rPr>
            </w:pPr>
            <w:r>
              <w:rPr>
                <w:rFonts w:hint="eastAsia"/>
                <w:color w:val="auto"/>
                <w:kern w:val="0"/>
                <w:szCs w:val="21"/>
              </w:rPr>
              <w:t>一般排放口</w:t>
            </w:r>
          </w:p>
        </w:tc>
      </w:tr>
    </w:tbl>
    <w:p w14:paraId="3767C77E">
      <w:pPr>
        <w:spacing w:line="460" w:lineRule="exact"/>
        <w:ind w:firstLine="480" w:firstLineChars="200"/>
        <w:rPr>
          <w:color w:val="auto"/>
          <w:sz w:val="24"/>
        </w:rPr>
      </w:pPr>
    </w:p>
    <w:p w14:paraId="4DC5BE2A">
      <w:pPr>
        <w:rPr>
          <w:color w:val="auto"/>
          <w:sz w:val="24"/>
        </w:rPr>
      </w:pPr>
      <w:r>
        <w:rPr>
          <w:color w:val="auto"/>
          <w:sz w:val="24"/>
        </w:rPr>
        <w:br w:type="page"/>
      </w:r>
    </w:p>
    <w:bookmarkEnd w:id="422"/>
    <w:p w14:paraId="17F2E1DE">
      <w:pPr>
        <w:pStyle w:val="2"/>
        <w:snapToGrid w:val="0"/>
        <w:spacing w:line="360" w:lineRule="auto"/>
        <w:ind w:left="0"/>
        <w:jc w:val="both"/>
        <w:rPr>
          <w:rFonts w:ascii="Times New Roman" w:eastAsia="宋体"/>
          <w:bCs/>
          <w:color w:val="auto"/>
          <w:sz w:val="32"/>
          <w:szCs w:val="32"/>
        </w:rPr>
      </w:pPr>
      <w:bookmarkStart w:id="463" w:name="_Toc28478"/>
      <w:bookmarkStart w:id="464" w:name="_Toc446938442"/>
      <w:bookmarkStart w:id="465" w:name="_Toc448693482"/>
      <w:bookmarkStart w:id="466" w:name="_Toc15750"/>
      <w:bookmarkStart w:id="467" w:name="_Toc448765713"/>
      <w:bookmarkStart w:id="468" w:name="_Toc15780"/>
      <w:bookmarkStart w:id="469" w:name="_Toc448771448"/>
      <w:bookmarkStart w:id="470" w:name="_Toc448693404"/>
      <w:r>
        <w:rPr>
          <w:rFonts w:ascii="Times New Roman" w:eastAsia="宋体"/>
          <w:bCs/>
          <w:color w:val="auto"/>
          <w:sz w:val="32"/>
          <w:szCs w:val="32"/>
        </w:rPr>
        <w:t>10、环境影响评价结论</w:t>
      </w:r>
      <w:bookmarkEnd w:id="463"/>
      <w:bookmarkEnd w:id="464"/>
      <w:bookmarkEnd w:id="465"/>
      <w:bookmarkEnd w:id="466"/>
      <w:bookmarkEnd w:id="467"/>
      <w:bookmarkEnd w:id="468"/>
      <w:bookmarkEnd w:id="469"/>
      <w:bookmarkEnd w:id="470"/>
    </w:p>
    <w:p w14:paraId="294B4A81">
      <w:pPr>
        <w:pStyle w:val="3"/>
        <w:jc w:val="both"/>
        <w:rPr>
          <w:rFonts w:eastAsia="宋体"/>
          <w:color w:val="auto"/>
          <w:szCs w:val="28"/>
        </w:rPr>
      </w:pPr>
      <w:bookmarkStart w:id="471" w:name="_Toc448693483"/>
      <w:bookmarkStart w:id="472" w:name="_Toc448765714"/>
      <w:bookmarkStart w:id="473" w:name="_Toc24871"/>
      <w:bookmarkStart w:id="474" w:name="_Toc448693405"/>
      <w:bookmarkStart w:id="475" w:name="_Toc440368323"/>
      <w:bookmarkStart w:id="476" w:name="_Toc446938443"/>
      <w:bookmarkStart w:id="477" w:name="_Toc4657"/>
      <w:bookmarkStart w:id="478" w:name="_Toc448771449"/>
      <w:bookmarkStart w:id="479" w:name="_Toc5219"/>
      <w:r>
        <w:rPr>
          <w:rFonts w:eastAsia="宋体"/>
          <w:color w:val="auto"/>
          <w:szCs w:val="28"/>
        </w:rPr>
        <w:t>10.1工程概况</w:t>
      </w:r>
      <w:bookmarkEnd w:id="471"/>
      <w:bookmarkEnd w:id="472"/>
      <w:bookmarkEnd w:id="473"/>
      <w:bookmarkEnd w:id="474"/>
      <w:bookmarkEnd w:id="475"/>
      <w:bookmarkEnd w:id="476"/>
      <w:bookmarkEnd w:id="477"/>
      <w:bookmarkEnd w:id="478"/>
      <w:bookmarkEnd w:id="479"/>
    </w:p>
    <w:p w14:paraId="49B90171">
      <w:pPr>
        <w:pStyle w:val="33"/>
        <w:spacing w:after="0" w:line="360" w:lineRule="auto"/>
        <w:ind w:left="0" w:leftChars="0" w:firstLine="480" w:firstLineChars="200"/>
        <w:rPr>
          <w:color w:val="auto"/>
          <w:sz w:val="24"/>
        </w:rPr>
      </w:pPr>
      <w:bookmarkStart w:id="480" w:name="_Toc440368324"/>
      <w:r>
        <w:rPr>
          <w:rFonts w:hint="eastAsia"/>
          <w:color w:val="auto"/>
          <w:sz w:val="24"/>
          <w:lang w:eastAsia="zh-CN"/>
        </w:rPr>
        <w:t>北票天勤农牧科技有限公司100万只蛋鸡养殖基地建设项目</w:t>
      </w:r>
      <w:r>
        <w:rPr>
          <w:color w:val="auto"/>
          <w:sz w:val="24"/>
        </w:rPr>
        <w:t>，位于</w:t>
      </w:r>
      <w:r>
        <w:rPr>
          <w:rFonts w:hint="eastAsia"/>
          <w:color w:val="auto"/>
          <w:sz w:val="24"/>
          <w:lang w:eastAsia="zh-CN"/>
        </w:rPr>
        <w:t>辽宁省朝阳市北票市西官镇大巴里村</w:t>
      </w:r>
      <w:r>
        <w:rPr>
          <w:color w:val="auto"/>
          <w:sz w:val="24"/>
        </w:rPr>
        <w:t>，占地面积</w:t>
      </w:r>
      <w:r>
        <w:rPr>
          <w:rFonts w:hint="eastAsia"/>
          <w:color w:val="auto"/>
          <w:sz w:val="24"/>
          <w:lang w:val="en-US" w:eastAsia="zh-CN"/>
        </w:rPr>
        <w:t>78234.55m</w:t>
      </w:r>
      <w:r>
        <w:rPr>
          <w:rFonts w:hint="eastAsia"/>
          <w:color w:val="auto"/>
          <w:sz w:val="24"/>
          <w:vertAlign w:val="superscript"/>
          <w:lang w:val="en-US" w:eastAsia="zh-CN"/>
        </w:rPr>
        <w:t>2</w:t>
      </w:r>
      <w:r>
        <w:rPr>
          <w:color w:val="auto"/>
          <w:sz w:val="24"/>
        </w:rPr>
        <w:t>，占地</w:t>
      </w:r>
      <w:r>
        <w:rPr>
          <w:rFonts w:hint="eastAsia"/>
          <w:color w:val="auto"/>
          <w:sz w:val="24"/>
          <w:lang w:eastAsia="zh-CN"/>
        </w:rPr>
        <w:t>类型包括工业用地和耕地（不属于基本农田）</w:t>
      </w:r>
      <w:r>
        <w:rPr>
          <w:color w:val="auto"/>
          <w:sz w:val="24"/>
        </w:rPr>
        <w:t>，</w:t>
      </w:r>
      <w:r>
        <w:rPr>
          <w:rFonts w:hint="eastAsia"/>
          <w:color w:val="auto"/>
          <w:sz w:val="24"/>
          <w:lang w:eastAsia="zh-CN"/>
        </w:rPr>
        <w:t>建设</w:t>
      </w:r>
      <w:r>
        <w:rPr>
          <w:color w:val="auto"/>
          <w:sz w:val="24"/>
        </w:rPr>
        <w:t>蛋鸡鸡舍</w:t>
      </w:r>
      <w:r>
        <w:rPr>
          <w:rFonts w:hint="eastAsia"/>
          <w:color w:val="auto"/>
          <w:sz w:val="24"/>
          <w:lang w:val="en-US" w:eastAsia="zh-CN"/>
        </w:rPr>
        <w:t>8</w:t>
      </w:r>
      <w:r>
        <w:rPr>
          <w:color w:val="auto"/>
          <w:sz w:val="24"/>
        </w:rPr>
        <w:t>栋</w:t>
      </w:r>
      <w:r>
        <w:rPr>
          <w:rFonts w:hint="eastAsia"/>
          <w:color w:val="auto"/>
          <w:sz w:val="24"/>
        </w:rPr>
        <w:t>，</w:t>
      </w:r>
      <w:r>
        <w:rPr>
          <w:rFonts w:hint="eastAsia"/>
          <w:color w:val="auto"/>
          <w:sz w:val="24"/>
          <w:lang w:eastAsia="zh-CN"/>
        </w:rPr>
        <w:t>蛋库、锅炉房、办公室</w:t>
      </w:r>
      <w:r>
        <w:rPr>
          <w:color w:val="auto"/>
          <w:sz w:val="24"/>
        </w:rPr>
        <w:t>等</w:t>
      </w:r>
      <w:r>
        <w:rPr>
          <w:rFonts w:hint="eastAsia"/>
          <w:color w:val="auto"/>
          <w:sz w:val="24"/>
          <w:lang w:eastAsia="zh-CN"/>
        </w:rPr>
        <w:t>主体工程</w:t>
      </w:r>
      <w:r>
        <w:rPr>
          <w:color w:val="auto"/>
          <w:sz w:val="24"/>
        </w:rPr>
        <w:t>，</w:t>
      </w:r>
      <w:r>
        <w:rPr>
          <w:rFonts w:hint="eastAsia"/>
          <w:color w:val="auto"/>
          <w:sz w:val="24"/>
          <w:highlight w:val="none"/>
        </w:rPr>
        <w:t>总</w:t>
      </w:r>
      <w:r>
        <w:rPr>
          <w:color w:val="auto"/>
          <w:sz w:val="24"/>
          <w:highlight w:val="none"/>
        </w:rPr>
        <w:t>建筑面积</w:t>
      </w:r>
      <w:r>
        <w:rPr>
          <w:rFonts w:hint="eastAsia"/>
          <w:color w:val="auto"/>
          <w:sz w:val="24"/>
          <w:highlight w:val="none"/>
          <w:lang w:val="en-US" w:eastAsia="zh-CN"/>
        </w:rPr>
        <w:t>40046.37</w:t>
      </w:r>
      <w:r>
        <w:rPr>
          <w:color w:val="auto"/>
          <w:sz w:val="24"/>
          <w:highlight w:val="none"/>
        </w:rPr>
        <w:t>m</w:t>
      </w:r>
      <w:r>
        <w:rPr>
          <w:color w:val="auto"/>
          <w:sz w:val="24"/>
          <w:highlight w:val="none"/>
          <w:vertAlign w:val="superscript"/>
        </w:rPr>
        <w:t>2</w:t>
      </w:r>
      <w:r>
        <w:rPr>
          <w:color w:val="auto"/>
          <w:sz w:val="24"/>
          <w:highlight w:val="none"/>
        </w:rPr>
        <w:t>，本</w:t>
      </w:r>
      <w:r>
        <w:rPr>
          <w:color w:val="auto"/>
          <w:sz w:val="24"/>
        </w:rPr>
        <w:t>项目采购</w:t>
      </w:r>
      <w:r>
        <w:rPr>
          <w:rFonts w:hint="eastAsia"/>
          <w:color w:val="auto"/>
          <w:sz w:val="24"/>
          <w:lang w:eastAsia="zh-CN"/>
        </w:rPr>
        <w:t>雏鸡</w:t>
      </w:r>
      <w:r>
        <w:rPr>
          <w:rFonts w:hint="eastAsia"/>
          <w:color w:val="auto"/>
          <w:sz w:val="24"/>
        </w:rPr>
        <w:t>进行培育</w:t>
      </w:r>
      <w:r>
        <w:rPr>
          <w:color w:val="auto"/>
          <w:sz w:val="24"/>
        </w:rPr>
        <w:t>，不含孵化。养殖场年存栏蛋鸡100万只，年产鸡蛋20000吨。</w:t>
      </w:r>
    </w:p>
    <w:p w14:paraId="540EE10E">
      <w:pPr>
        <w:pStyle w:val="3"/>
        <w:jc w:val="both"/>
        <w:rPr>
          <w:rFonts w:eastAsia="宋体"/>
          <w:color w:val="auto"/>
          <w:szCs w:val="28"/>
        </w:rPr>
      </w:pPr>
      <w:bookmarkStart w:id="481" w:name="_Toc446938444"/>
      <w:bookmarkStart w:id="482" w:name="_Toc448693484"/>
      <w:bookmarkStart w:id="483" w:name="_Toc448765715"/>
      <w:bookmarkStart w:id="484" w:name="_Toc10063"/>
      <w:bookmarkStart w:id="485" w:name="_Toc511"/>
      <w:bookmarkStart w:id="486" w:name="_Toc448771450"/>
      <w:bookmarkStart w:id="487" w:name="_Toc448693406"/>
      <w:bookmarkStart w:id="488" w:name="_Toc16422"/>
      <w:r>
        <w:rPr>
          <w:rFonts w:eastAsia="宋体"/>
          <w:color w:val="auto"/>
          <w:szCs w:val="28"/>
        </w:rPr>
        <w:t>10.2产业政策符合性</w:t>
      </w:r>
      <w:bookmarkEnd w:id="480"/>
      <w:bookmarkEnd w:id="481"/>
      <w:bookmarkEnd w:id="482"/>
      <w:bookmarkEnd w:id="483"/>
      <w:bookmarkEnd w:id="484"/>
      <w:bookmarkEnd w:id="485"/>
      <w:bookmarkEnd w:id="486"/>
      <w:bookmarkEnd w:id="487"/>
      <w:bookmarkEnd w:id="488"/>
    </w:p>
    <w:p w14:paraId="05A41B75">
      <w:pPr>
        <w:spacing w:line="360" w:lineRule="auto"/>
        <w:ind w:firstLine="480" w:firstLineChars="200"/>
        <w:rPr>
          <w:color w:val="auto"/>
          <w:sz w:val="24"/>
          <w:highlight w:val="none"/>
        </w:rPr>
      </w:pPr>
      <w:bookmarkStart w:id="489" w:name="_Toc440368325"/>
      <w:r>
        <w:rPr>
          <w:color w:val="auto"/>
          <w:sz w:val="24"/>
          <w:highlight w:val="none"/>
        </w:rPr>
        <w:t>根据《产业结构调整指导目录》（20</w:t>
      </w:r>
      <w:r>
        <w:rPr>
          <w:rFonts w:hint="eastAsia"/>
          <w:color w:val="auto"/>
          <w:sz w:val="24"/>
          <w:highlight w:val="none"/>
          <w:lang w:val="en-US" w:eastAsia="zh-CN"/>
        </w:rPr>
        <w:t>24</w:t>
      </w:r>
      <w:r>
        <w:rPr>
          <w:color w:val="auto"/>
          <w:sz w:val="24"/>
          <w:highlight w:val="none"/>
        </w:rPr>
        <w:t>年本），本项目属于“鼓励类”中“一、</w:t>
      </w:r>
      <w:r>
        <w:rPr>
          <w:rFonts w:hint="eastAsia"/>
          <w:color w:val="auto"/>
          <w:sz w:val="24"/>
          <w:highlight w:val="none"/>
          <w:lang w:eastAsia="zh-CN"/>
        </w:rPr>
        <w:t>农林牧渔业</w:t>
      </w:r>
      <w:r>
        <w:rPr>
          <w:rFonts w:hint="eastAsia"/>
          <w:color w:val="auto"/>
          <w:sz w:val="24"/>
          <w:highlight w:val="none"/>
          <w:lang w:val="en-US" w:eastAsia="zh-CN"/>
        </w:rPr>
        <w:t xml:space="preserve"> 14现代畜牧业及水产生态健康养殖 </w:t>
      </w:r>
      <w:r>
        <w:rPr>
          <w:color w:val="auto"/>
          <w:sz w:val="24"/>
          <w:highlight w:val="none"/>
        </w:rPr>
        <w:t>畜禽标准化规模养殖技术开发与应用”项目，符合国家产业政策。</w:t>
      </w:r>
    </w:p>
    <w:p w14:paraId="1636061A">
      <w:pPr>
        <w:pStyle w:val="3"/>
        <w:tabs>
          <w:tab w:val="left" w:pos="360"/>
          <w:tab w:val="left" w:pos="720"/>
        </w:tabs>
        <w:adjustRightInd w:val="0"/>
        <w:jc w:val="both"/>
        <w:rPr>
          <w:rFonts w:eastAsia="宋体"/>
          <w:color w:val="auto"/>
          <w:szCs w:val="28"/>
        </w:rPr>
      </w:pPr>
      <w:bookmarkStart w:id="490" w:name="_Toc448765716"/>
      <w:bookmarkStart w:id="491" w:name="_Toc5375"/>
      <w:bookmarkStart w:id="492" w:name="_Toc448693407"/>
      <w:bookmarkStart w:id="493" w:name="_Toc448771451"/>
      <w:bookmarkStart w:id="494" w:name="_Toc448693485"/>
      <w:bookmarkStart w:id="495" w:name="_Toc7237"/>
      <w:bookmarkStart w:id="496" w:name="_Toc446938445"/>
      <w:bookmarkStart w:id="497" w:name="_Toc17142"/>
      <w:r>
        <w:rPr>
          <w:rFonts w:eastAsia="宋体"/>
          <w:color w:val="auto"/>
          <w:szCs w:val="28"/>
        </w:rPr>
        <w:t>10.3</w:t>
      </w:r>
      <w:r>
        <w:rPr>
          <w:rFonts w:eastAsia="宋体"/>
          <w:bCs/>
          <w:color w:val="auto"/>
          <w:szCs w:val="28"/>
        </w:rPr>
        <w:t>项目选址合理性分析</w:t>
      </w:r>
      <w:bookmarkEnd w:id="489"/>
      <w:bookmarkEnd w:id="490"/>
      <w:bookmarkEnd w:id="491"/>
      <w:bookmarkEnd w:id="492"/>
      <w:bookmarkEnd w:id="493"/>
      <w:bookmarkEnd w:id="494"/>
      <w:bookmarkEnd w:id="495"/>
      <w:bookmarkEnd w:id="496"/>
      <w:bookmarkEnd w:id="497"/>
    </w:p>
    <w:p w14:paraId="06DFA47F">
      <w:pPr>
        <w:pStyle w:val="16"/>
        <w:spacing w:line="360" w:lineRule="auto"/>
        <w:ind w:firstLine="480"/>
        <w:rPr>
          <w:color w:val="auto"/>
          <w:sz w:val="24"/>
        </w:rPr>
      </w:pPr>
      <w:bookmarkStart w:id="498" w:name="_Toc440368326"/>
      <w:r>
        <w:rPr>
          <w:color w:val="auto"/>
          <w:sz w:val="24"/>
        </w:rPr>
        <w:t>本项目选址位置交通便利；项目区配套基础设施完善，为项目建设提供了可靠的保障；场址所在区域环境空气质量、地表水环境质量、声环境质量较好，适合蛋鸡的成长；同时项目周边无任何对本项目存在污染影响的工业企业；周边分布的农户距离本项目均较远，同时采取措施抑制恶臭的产生，周边农户对本项目选址制约因素不明显。项目选址合理。</w:t>
      </w:r>
    </w:p>
    <w:p w14:paraId="3A429A64">
      <w:pPr>
        <w:pStyle w:val="3"/>
        <w:jc w:val="both"/>
        <w:rPr>
          <w:rFonts w:eastAsia="宋体"/>
          <w:color w:val="auto"/>
          <w:szCs w:val="28"/>
        </w:rPr>
      </w:pPr>
      <w:bookmarkStart w:id="499" w:name="_Toc448765717"/>
      <w:bookmarkStart w:id="500" w:name="_Toc5986"/>
      <w:bookmarkStart w:id="501" w:name="_Toc446938446"/>
      <w:bookmarkStart w:id="502" w:name="_Toc448771452"/>
      <w:bookmarkStart w:id="503" w:name="_Toc448693408"/>
      <w:bookmarkStart w:id="504" w:name="_Toc448693486"/>
      <w:bookmarkStart w:id="505" w:name="_Toc29779"/>
      <w:bookmarkStart w:id="506" w:name="_Toc24875"/>
      <w:r>
        <w:rPr>
          <w:rFonts w:eastAsia="宋体"/>
          <w:color w:val="auto"/>
          <w:szCs w:val="28"/>
        </w:rPr>
        <w:t>10.4环境质量现状</w:t>
      </w:r>
      <w:bookmarkEnd w:id="498"/>
      <w:bookmarkEnd w:id="499"/>
      <w:bookmarkEnd w:id="500"/>
      <w:bookmarkEnd w:id="501"/>
      <w:bookmarkEnd w:id="502"/>
      <w:bookmarkEnd w:id="503"/>
      <w:bookmarkEnd w:id="504"/>
      <w:bookmarkEnd w:id="505"/>
      <w:bookmarkEnd w:id="506"/>
    </w:p>
    <w:p w14:paraId="3115310C">
      <w:pPr>
        <w:pStyle w:val="5"/>
        <w:numPr>
          <w:ilvl w:val="0"/>
          <w:numId w:val="0"/>
        </w:numPr>
        <w:adjustRightInd/>
        <w:spacing w:before="0" w:after="0" w:line="360" w:lineRule="auto"/>
        <w:rPr>
          <w:rFonts w:ascii="Times New Roman" w:hAnsi="Times New Roman" w:eastAsia="宋体"/>
          <w:bCs/>
          <w:color w:val="auto"/>
          <w:sz w:val="24"/>
          <w:szCs w:val="24"/>
        </w:rPr>
      </w:pPr>
      <w:r>
        <w:rPr>
          <w:rFonts w:ascii="Times New Roman" w:hAnsi="Times New Roman" w:eastAsia="宋体"/>
          <w:bCs/>
          <w:color w:val="auto"/>
          <w:sz w:val="24"/>
          <w:szCs w:val="24"/>
        </w:rPr>
        <w:t>10.</w:t>
      </w:r>
      <w:r>
        <w:rPr>
          <w:rFonts w:hint="eastAsia" w:ascii="Times New Roman" w:hAnsi="Times New Roman" w:eastAsia="宋体"/>
          <w:bCs/>
          <w:color w:val="auto"/>
          <w:sz w:val="24"/>
          <w:szCs w:val="24"/>
          <w:lang w:val="en-US" w:eastAsia="zh-CN"/>
        </w:rPr>
        <w:t>4</w:t>
      </w:r>
      <w:r>
        <w:rPr>
          <w:rFonts w:ascii="Times New Roman" w:hAnsi="Times New Roman" w:eastAsia="宋体"/>
          <w:bCs/>
          <w:color w:val="auto"/>
          <w:sz w:val="24"/>
          <w:szCs w:val="24"/>
        </w:rPr>
        <w:t>.1大气环境质量</w:t>
      </w:r>
    </w:p>
    <w:p w14:paraId="562942D0">
      <w:pPr>
        <w:adjustRightInd w:val="0"/>
        <w:snapToGrid w:val="0"/>
        <w:spacing w:line="360" w:lineRule="auto"/>
        <w:ind w:firstLine="480" w:firstLineChars="200"/>
        <w:rPr>
          <w:color w:val="auto"/>
          <w:sz w:val="24"/>
        </w:rPr>
      </w:pPr>
      <w:r>
        <w:rPr>
          <w:color w:val="auto"/>
          <w:sz w:val="24"/>
        </w:rPr>
        <w:t>本项目位于</w:t>
      </w:r>
      <w:r>
        <w:rPr>
          <w:rFonts w:hint="eastAsia"/>
          <w:color w:val="auto"/>
          <w:sz w:val="24"/>
          <w:lang w:eastAsia="zh-CN"/>
        </w:rPr>
        <w:t>辽宁省朝阳市北票市西官镇大巴里村</w:t>
      </w:r>
      <w:r>
        <w:rPr>
          <w:color w:val="auto"/>
          <w:sz w:val="24"/>
        </w:rPr>
        <w:t>，</w:t>
      </w:r>
      <w:r>
        <w:rPr>
          <w:bCs/>
          <w:color w:val="auto"/>
          <w:sz w:val="24"/>
        </w:rPr>
        <w:t>项目选址区域为环境空气功能区二类区，执行二级标准。</w:t>
      </w:r>
      <w:r>
        <w:rPr>
          <w:color w:val="auto"/>
          <w:sz w:val="24"/>
          <w:szCs w:val="20"/>
        </w:rPr>
        <w:t>NH</w:t>
      </w:r>
      <w:r>
        <w:rPr>
          <w:color w:val="auto"/>
          <w:sz w:val="24"/>
          <w:szCs w:val="20"/>
          <w:vertAlign w:val="subscript"/>
        </w:rPr>
        <w:t>3</w:t>
      </w:r>
      <w:r>
        <w:rPr>
          <w:color w:val="auto"/>
          <w:sz w:val="24"/>
          <w:szCs w:val="20"/>
        </w:rPr>
        <w:t>、H</w:t>
      </w:r>
      <w:r>
        <w:rPr>
          <w:color w:val="auto"/>
          <w:sz w:val="24"/>
          <w:szCs w:val="20"/>
          <w:vertAlign w:val="subscript"/>
        </w:rPr>
        <w:t>2</w:t>
      </w:r>
      <w:r>
        <w:rPr>
          <w:color w:val="auto"/>
          <w:sz w:val="24"/>
          <w:szCs w:val="20"/>
        </w:rPr>
        <w:t>S浓度经现场进行实际监测，数据显示均符合</w:t>
      </w:r>
      <w:r>
        <w:rPr>
          <w:color w:val="auto"/>
          <w:sz w:val="24"/>
        </w:rPr>
        <w:t>《环境影响评价技术导则 大气环境》(HJ2.2</w:t>
      </w:r>
      <w:r>
        <w:rPr>
          <w:rFonts w:hint="eastAsia"/>
          <w:color w:val="auto"/>
          <w:sz w:val="24"/>
          <w:lang w:val="en-US" w:eastAsia="zh-CN"/>
        </w:rPr>
        <w:t>-</w:t>
      </w:r>
      <w:r>
        <w:rPr>
          <w:color w:val="auto"/>
          <w:sz w:val="24"/>
        </w:rPr>
        <w:t>2018)附录D.1中</w:t>
      </w:r>
      <w:r>
        <w:rPr>
          <w:color w:val="auto"/>
          <w:sz w:val="24"/>
          <w:szCs w:val="32"/>
        </w:rPr>
        <w:t>的相关标准值</w:t>
      </w:r>
      <w:r>
        <w:rPr>
          <w:color w:val="auto"/>
          <w:sz w:val="24"/>
        </w:rPr>
        <w:t>，</w:t>
      </w:r>
      <w:r>
        <w:rPr>
          <w:rFonts w:hint="eastAsia"/>
          <w:color w:val="auto"/>
          <w:sz w:val="24"/>
        </w:rPr>
        <w:t>TSP、SO</w:t>
      </w:r>
      <w:r>
        <w:rPr>
          <w:rFonts w:hint="eastAsia"/>
          <w:color w:val="auto"/>
          <w:sz w:val="24"/>
          <w:vertAlign w:val="subscript"/>
        </w:rPr>
        <w:t>2</w:t>
      </w:r>
      <w:r>
        <w:rPr>
          <w:rFonts w:hint="eastAsia"/>
          <w:color w:val="auto"/>
          <w:sz w:val="24"/>
        </w:rPr>
        <w:t>、NOx</w:t>
      </w:r>
      <w:r>
        <w:rPr>
          <w:color w:val="auto"/>
          <w:sz w:val="24"/>
          <w:szCs w:val="20"/>
        </w:rPr>
        <w:t>浓度经现场进行实际监测，数据显示均</w:t>
      </w:r>
      <w:r>
        <w:rPr>
          <w:color w:val="auto"/>
          <w:sz w:val="24"/>
        </w:rPr>
        <w:t>符合《环境空气质量标准》（GB3095-2012）二级标准及其修改单限值要求。表明当地环境空气中对本项目所产生的大气特征污染物尚有一定的环境容量。</w:t>
      </w:r>
    </w:p>
    <w:p w14:paraId="2EE71B4B">
      <w:pPr>
        <w:keepNext/>
        <w:keepLines/>
        <w:spacing w:line="360" w:lineRule="auto"/>
        <w:outlineLvl w:val="3"/>
        <w:rPr>
          <w:b/>
          <w:bCs/>
          <w:color w:val="auto"/>
          <w:sz w:val="24"/>
        </w:rPr>
      </w:pPr>
      <w:r>
        <w:rPr>
          <w:b/>
          <w:bCs/>
          <w:color w:val="auto"/>
          <w:sz w:val="24"/>
        </w:rPr>
        <w:t>10.</w:t>
      </w:r>
      <w:r>
        <w:rPr>
          <w:rFonts w:hint="eastAsia"/>
          <w:b/>
          <w:bCs/>
          <w:color w:val="auto"/>
          <w:sz w:val="24"/>
          <w:lang w:val="en-US" w:eastAsia="zh-CN"/>
        </w:rPr>
        <w:t>4</w:t>
      </w:r>
      <w:r>
        <w:rPr>
          <w:b/>
          <w:bCs/>
          <w:color w:val="auto"/>
          <w:sz w:val="24"/>
        </w:rPr>
        <w:t>.2地下水环境质量</w:t>
      </w:r>
    </w:p>
    <w:p w14:paraId="54BEC509">
      <w:pPr>
        <w:spacing w:line="360" w:lineRule="auto"/>
        <w:ind w:firstLine="480" w:firstLineChars="200"/>
        <w:rPr>
          <w:color w:val="auto"/>
          <w:sz w:val="24"/>
          <w:szCs w:val="20"/>
        </w:rPr>
      </w:pPr>
      <w:r>
        <w:rPr>
          <w:color w:val="auto"/>
          <w:sz w:val="24"/>
        </w:rPr>
        <w:t>由对项目所在区域地下水评价范围内进行布设水质监测点位进行现场实际监测，数据显示各监测点位的地下水水</w:t>
      </w:r>
      <w:r>
        <w:rPr>
          <w:color w:val="auto"/>
          <w:sz w:val="24"/>
          <w:szCs w:val="20"/>
        </w:rPr>
        <w:t xml:space="preserve">中各项指标目前均满足我国《地下水质量标准》（GB/T14848-2017）中的Ⅲ类标准。 </w:t>
      </w:r>
    </w:p>
    <w:p w14:paraId="2A0F1F4C">
      <w:pPr>
        <w:spacing w:line="360" w:lineRule="auto"/>
        <w:outlineLvl w:val="3"/>
        <w:rPr>
          <w:b/>
          <w:bCs/>
          <w:color w:val="auto"/>
          <w:sz w:val="24"/>
        </w:rPr>
      </w:pPr>
      <w:r>
        <w:rPr>
          <w:b/>
          <w:bCs/>
          <w:color w:val="auto"/>
          <w:sz w:val="24"/>
        </w:rPr>
        <w:t>10.</w:t>
      </w:r>
      <w:r>
        <w:rPr>
          <w:rFonts w:hint="eastAsia"/>
          <w:b/>
          <w:bCs/>
          <w:color w:val="auto"/>
          <w:sz w:val="24"/>
          <w:lang w:val="en-US" w:eastAsia="zh-CN"/>
        </w:rPr>
        <w:t>4</w:t>
      </w:r>
      <w:r>
        <w:rPr>
          <w:b/>
          <w:bCs/>
          <w:color w:val="auto"/>
          <w:sz w:val="24"/>
        </w:rPr>
        <w:t>.3声环境环境质量</w:t>
      </w:r>
    </w:p>
    <w:p w14:paraId="3E918C4A">
      <w:pPr>
        <w:spacing w:before="120" w:beforeLines="50" w:line="360" w:lineRule="auto"/>
        <w:ind w:firstLine="480" w:firstLineChars="200"/>
        <w:rPr>
          <w:color w:val="auto"/>
          <w:sz w:val="24"/>
          <w:szCs w:val="20"/>
        </w:rPr>
      </w:pPr>
      <w:r>
        <w:rPr>
          <w:color w:val="auto"/>
          <w:sz w:val="24"/>
          <w:szCs w:val="20"/>
        </w:rPr>
        <w:t>本项目厂址所在地周边200米范围内无居民区等环境敏感点，</w:t>
      </w:r>
      <w:r>
        <w:rPr>
          <w:color w:val="auto"/>
          <w:sz w:val="24"/>
        </w:rPr>
        <w:t>由环境质量现状监测结果可知，</w:t>
      </w:r>
      <w:r>
        <w:rPr>
          <w:color w:val="auto"/>
          <w:sz w:val="24"/>
          <w:szCs w:val="20"/>
        </w:rPr>
        <w:t>项目东、南、西、北厂界处声环境质量现状均能达到《声环境质量标准》（GB3096-2008）中1类标准，声环境质量良好。</w:t>
      </w:r>
    </w:p>
    <w:p w14:paraId="22700913">
      <w:pPr>
        <w:spacing w:line="360" w:lineRule="auto"/>
        <w:outlineLvl w:val="3"/>
        <w:rPr>
          <w:b/>
          <w:bCs/>
          <w:color w:val="auto"/>
          <w:sz w:val="24"/>
        </w:rPr>
      </w:pPr>
      <w:r>
        <w:rPr>
          <w:b/>
          <w:bCs/>
          <w:color w:val="auto"/>
          <w:sz w:val="24"/>
        </w:rPr>
        <w:t>10.</w:t>
      </w:r>
      <w:r>
        <w:rPr>
          <w:rFonts w:hint="eastAsia"/>
          <w:b/>
          <w:bCs/>
          <w:color w:val="auto"/>
          <w:sz w:val="24"/>
          <w:lang w:val="en-US" w:eastAsia="zh-CN"/>
        </w:rPr>
        <w:t>4</w:t>
      </w:r>
      <w:r>
        <w:rPr>
          <w:b/>
          <w:bCs/>
          <w:color w:val="auto"/>
          <w:sz w:val="24"/>
        </w:rPr>
        <w:t>.4土壤环境环境质量</w:t>
      </w:r>
    </w:p>
    <w:p w14:paraId="488799CD">
      <w:pPr>
        <w:spacing w:before="120" w:beforeLines="50" w:line="360" w:lineRule="auto"/>
        <w:ind w:firstLine="480" w:firstLineChars="200"/>
        <w:rPr>
          <w:color w:val="auto"/>
          <w:sz w:val="24"/>
          <w:szCs w:val="20"/>
        </w:rPr>
      </w:pPr>
      <w:r>
        <w:rPr>
          <w:color w:val="auto"/>
          <w:sz w:val="24"/>
          <w:szCs w:val="22"/>
        </w:rPr>
        <w:t>根据土壤现状监测结果，项目厂内及周边各监测点的土壤环境质量现状检测值均能达到《土壤环境质量 农用地土壤污染风险管控标准（试行）》（</w:t>
      </w:r>
      <w:r>
        <w:rPr>
          <w:rFonts w:hint="eastAsia"/>
          <w:color w:val="auto"/>
          <w:sz w:val="24"/>
          <w:szCs w:val="22"/>
          <w:lang w:eastAsia="zh-CN"/>
        </w:rPr>
        <w:t>GB15618-2018</w:t>
      </w:r>
      <w:r>
        <w:rPr>
          <w:color w:val="auto"/>
          <w:sz w:val="24"/>
          <w:szCs w:val="22"/>
        </w:rPr>
        <w:t>）表1</w:t>
      </w:r>
      <w:r>
        <w:rPr>
          <w:rFonts w:hint="eastAsia"/>
          <w:color w:val="auto"/>
          <w:sz w:val="24"/>
          <w:szCs w:val="22"/>
          <w:lang w:val="en-US" w:eastAsia="zh-CN"/>
        </w:rPr>
        <w:t xml:space="preserve"> </w:t>
      </w:r>
      <w:r>
        <w:rPr>
          <w:rFonts w:hint="eastAsia"/>
          <w:color w:val="auto"/>
          <w:sz w:val="24"/>
          <w:szCs w:val="22"/>
          <w:lang w:eastAsia="zh-CN"/>
        </w:rPr>
        <w:t>建设</w:t>
      </w:r>
      <w:r>
        <w:rPr>
          <w:color w:val="auto"/>
          <w:sz w:val="24"/>
          <w:szCs w:val="22"/>
        </w:rPr>
        <w:t>土壤污染风险筛选值中</w:t>
      </w:r>
      <w:r>
        <w:rPr>
          <w:rFonts w:hint="eastAsia"/>
          <w:color w:val="auto"/>
          <w:sz w:val="24"/>
          <w:szCs w:val="22"/>
          <w:lang w:val="en-US" w:eastAsia="zh-CN"/>
        </w:rPr>
        <w:t>8</w:t>
      </w:r>
      <w:r>
        <w:rPr>
          <w:color w:val="auto"/>
          <w:sz w:val="24"/>
          <w:szCs w:val="22"/>
        </w:rPr>
        <w:t>项基本项目限制标准</w:t>
      </w:r>
      <w:r>
        <w:rPr>
          <w:color w:val="auto"/>
          <w:sz w:val="24"/>
          <w:szCs w:val="20"/>
        </w:rPr>
        <w:t>，土壤环境质量良好。</w:t>
      </w:r>
    </w:p>
    <w:p w14:paraId="4CD8042D">
      <w:pPr>
        <w:keepNext/>
        <w:keepLines/>
        <w:spacing w:line="360" w:lineRule="auto"/>
        <w:outlineLvl w:val="1"/>
        <w:rPr>
          <w:b/>
          <w:color w:val="auto"/>
          <w:sz w:val="28"/>
          <w:szCs w:val="28"/>
        </w:rPr>
      </w:pPr>
      <w:bookmarkStart w:id="507" w:name="_Toc29508"/>
      <w:bookmarkStart w:id="508" w:name="_Toc17313"/>
      <w:bookmarkStart w:id="509" w:name="_Toc10192"/>
      <w:bookmarkStart w:id="510" w:name="_Toc448693409"/>
      <w:bookmarkStart w:id="511" w:name="_Toc446938447"/>
      <w:bookmarkStart w:id="512" w:name="_Toc448771453"/>
      <w:bookmarkStart w:id="513" w:name="_Toc25230"/>
      <w:bookmarkStart w:id="514" w:name="_Toc440368327"/>
      <w:bookmarkStart w:id="515" w:name="_Toc448765718"/>
      <w:bookmarkStart w:id="516" w:name="_Toc448693487"/>
      <w:r>
        <w:rPr>
          <w:b/>
          <w:color w:val="auto"/>
          <w:sz w:val="28"/>
          <w:szCs w:val="28"/>
        </w:rPr>
        <w:t>10.5环境影响预测与评价</w:t>
      </w:r>
      <w:bookmarkEnd w:id="507"/>
      <w:bookmarkEnd w:id="508"/>
      <w:bookmarkEnd w:id="509"/>
    </w:p>
    <w:p w14:paraId="0C383D42">
      <w:pPr>
        <w:keepNext/>
        <w:keepLines/>
        <w:spacing w:line="360" w:lineRule="auto"/>
        <w:outlineLvl w:val="2"/>
        <w:rPr>
          <w:b/>
          <w:bCs/>
          <w:color w:val="auto"/>
          <w:sz w:val="24"/>
          <w:szCs w:val="24"/>
        </w:rPr>
      </w:pPr>
      <w:bookmarkStart w:id="517" w:name="_Toc28801"/>
      <w:r>
        <w:rPr>
          <w:b/>
          <w:bCs/>
          <w:color w:val="auto"/>
          <w:sz w:val="24"/>
          <w:szCs w:val="24"/>
        </w:rPr>
        <w:t>10.5.1环境空气影响分析结论</w:t>
      </w:r>
      <w:bookmarkEnd w:id="517"/>
    </w:p>
    <w:p w14:paraId="4E41A170">
      <w:pPr>
        <w:spacing w:line="360" w:lineRule="auto"/>
        <w:ind w:firstLine="480" w:firstLineChars="200"/>
        <w:rPr>
          <w:color w:val="auto"/>
          <w:sz w:val="24"/>
          <w:szCs w:val="20"/>
        </w:rPr>
      </w:pPr>
      <w:r>
        <w:rPr>
          <w:color w:val="auto"/>
          <w:sz w:val="24"/>
          <w:szCs w:val="20"/>
        </w:rPr>
        <w:t>本项目产生的大气污染物主要包括</w:t>
      </w:r>
      <w:r>
        <w:rPr>
          <w:rFonts w:hint="eastAsia"/>
          <w:color w:val="auto"/>
          <w:sz w:val="24"/>
          <w:szCs w:val="20"/>
        </w:rPr>
        <w:t>鸡舍）</w:t>
      </w:r>
      <w:r>
        <w:rPr>
          <w:rFonts w:hint="eastAsia"/>
          <w:color w:val="auto"/>
          <w:sz w:val="24"/>
          <w:szCs w:val="20"/>
          <w:lang w:eastAsia="zh-CN"/>
        </w:rPr>
        <w:t>、临时储粪场、废水收集池</w:t>
      </w:r>
      <w:r>
        <w:rPr>
          <w:color w:val="auto"/>
          <w:sz w:val="24"/>
          <w:szCs w:val="22"/>
        </w:rPr>
        <w:t>产</w:t>
      </w:r>
      <w:r>
        <w:rPr>
          <w:color w:val="auto"/>
          <w:sz w:val="24"/>
          <w:szCs w:val="20"/>
        </w:rPr>
        <w:t>生的恶臭气体、食堂产生的油烟</w:t>
      </w:r>
      <w:r>
        <w:rPr>
          <w:rFonts w:hint="eastAsia"/>
          <w:color w:val="auto"/>
          <w:sz w:val="24"/>
          <w:szCs w:val="20"/>
        </w:rPr>
        <w:t>、锅炉产生的废气</w:t>
      </w:r>
      <w:r>
        <w:rPr>
          <w:color w:val="auto"/>
          <w:sz w:val="24"/>
          <w:szCs w:val="20"/>
        </w:rPr>
        <w:t>等。</w:t>
      </w:r>
    </w:p>
    <w:p w14:paraId="6954C4FE">
      <w:pPr>
        <w:spacing w:line="360" w:lineRule="auto"/>
        <w:ind w:firstLine="480" w:firstLineChars="200"/>
        <w:rPr>
          <w:color w:val="auto"/>
          <w:sz w:val="24"/>
        </w:rPr>
      </w:pPr>
      <w:r>
        <w:rPr>
          <w:rFonts w:hint="eastAsia"/>
          <w:color w:val="auto"/>
          <w:sz w:val="24"/>
        </w:rPr>
        <w:t>根据《排污许可证申请与核发技术规范 畜禽养殖业》（HJ1029-2019）“表7 畜禽养殖业排污单位恶臭无组织排放控制要求”，以及</w:t>
      </w:r>
      <w:r>
        <w:rPr>
          <w:color w:val="auto"/>
          <w:kern w:val="0"/>
          <w:sz w:val="24"/>
          <w:szCs w:val="22"/>
        </w:rPr>
        <w:t>《饮食业油烟排放标准》（GB18483-2001）要求</w:t>
      </w:r>
      <w:r>
        <w:rPr>
          <w:rFonts w:hint="eastAsia"/>
          <w:color w:val="auto"/>
          <w:kern w:val="0"/>
          <w:sz w:val="24"/>
          <w:szCs w:val="22"/>
        </w:rPr>
        <w:t>，</w:t>
      </w:r>
      <w:r>
        <w:rPr>
          <w:rFonts w:hint="eastAsia"/>
          <w:color w:val="auto"/>
          <w:sz w:val="24"/>
        </w:rPr>
        <w:t>《排污许可证申请与核发技术规范 锅炉》（HJ953-2018）要求、《大气污染物综合排放标准》（GB16297-1996）要求</w:t>
      </w:r>
      <w:r>
        <w:rPr>
          <w:color w:val="auto"/>
          <w:kern w:val="0"/>
          <w:sz w:val="24"/>
          <w:szCs w:val="22"/>
        </w:rPr>
        <w:t>。</w:t>
      </w:r>
      <w:r>
        <w:rPr>
          <w:rFonts w:hint="eastAsia"/>
          <w:color w:val="auto"/>
          <w:sz w:val="24"/>
        </w:rPr>
        <w:t>本项目大气污染物防治措施如下：</w:t>
      </w:r>
    </w:p>
    <w:p w14:paraId="72D86A95">
      <w:pPr>
        <w:pStyle w:val="458"/>
        <w:rPr>
          <w:rFonts w:eastAsia="宋体"/>
          <w:b/>
          <w:bCs/>
          <w:color w:val="auto"/>
          <w:sz w:val="21"/>
          <w:szCs w:val="21"/>
        </w:rPr>
      </w:pPr>
      <w:r>
        <w:rPr>
          <w:rFonts w:eastAsia="宋体"/>
          <w:b/>
          <w:bCs/>
          <w:color w:val="auto"/>
          <w:sz w:val="21"/>
          <w:szCs w:val="21"/>
        </w:rPr>
        <w:t>表</w:t>
      </w:r>
      <w:r>
        <w:rPr>
          <w:rFonts w:hint="eastAsia" w:eastAsia="宋体"/>
          <w:b/>
          <w:bCs/>
          <w:color w:val="auto"/>
          <w:sz w:val="21"/>
          <w:szCs w:val="21"/>
        </w:rPr>
        <w:t>10</w:t>
      </w:r>
      <w:r>
        <w:rPr>
          <w:rFonts w:hint="eastAsia" w:eastAsia="宋体"/>
          <w:b/>
          <w:bCs/>
          <w:color w:val="auto"/>
          <w:sz w:val="21"/>
          <w:szCs w:val="21"/>
          <w:lang w:val="en-US" w:eastAsia="zh-CN"/>
        </w:rPr>
        <w:t>.5</w:t>
      </w:r>
      <w:r>
        <w:rPr>
          <w:rFonts w:hint="eastAsia" w:eastAsia="宋体"/>
          <w:b/>
          <w:bCs/>
          <w:color w:val="auto"/>
          <w:sz w:val="21"/>
          <w:szCs w:val="21"/>
        </w:rPr>
        <w:t>-1</w:t>
      </w:r>
      <w:r>
        <w:rPr>
          <w:rFonts w:eastAsia="宋体"/>
          <w:b/>
          <w:bCs/>
          <w:color w:val="auto"/>
          <w:sz w:val="21"/>
          <w:szCs w:val="21"/>
        </w:rPr>
        <w:t xml:space="preserve">    </w:t>
      </w:r>
      <w:r>
        <w:rPr>
          <w:rFonts w:hint="eastAsia" w:eastAsia="宋体"/>
          <w:b/>
          <w:bCs/>
          <w:color w:val="auto"/>
          <w:sz w:val="21"/>
          <w:szCs w:val="21"/>
        </w:rPr>
        <w:t>本项目大气污染防治措施</w:t>
      </w:r>
    </w:p>
    <w:tbl>
      <w:tblPr>
        <w:tblStyle w:val="53"/>
        <w:tblW w:w="4998" w:type="pct"/>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740"/>
        <w:gridCol w:w="2252"/>
        <w:gridCol w:w="4317"/>
      </w:tblGrid>
      <w:tr w14:paraId="63E490E9">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47" w:type="pct"/>
            <w:tcBorders>
              <w:tl2br w:val="nil"/>
              <w:tr2bl w:val="nil"/>
            </w:tcBorders>
            <w:vAlign w:val="center"/>
          </w:tcPr>
          <w:p w14:paraId="18C56757">
            <w:pPr>
              <w:pStyle w:val="458"/>
              <w:rPr>
                <w:rFonts w:eastAsia="宋体"/>
                <w:color w:val="auto"/>
                <w:sz w:val="21"/>
                <w:szCs w:val="21"/>
              </w:rPr>
            </w:pPr>
            <w:r>
              <w:rPr>
                <w:rFonts w:eastAsia="宋体"/>
                <w:color w:val="auto"/>
                <w:sz w:val="21"/>
                <w:szCs w:val="21"/>
              </w:rPr>
              <w:t>污染源</w:t>
            </w:r>
          </w:p>
        </w:tc>
        <w:tc>
          <w:tcPr>
            <w:tcW w:w="1355" w:type="pct"/>
            <w:tcBorders>
              <w:tl2br w:val="nil"/>
              <w:tr2bl w:val="nil"/>
            </w:tcBorders>
            <w:vAlign w:val="center"/>
          </w:tcPr>
          <w:p w14:paraId="595C08EE">
            <w:pPr>
              <w:pStyle w:val="458"/>
              <w:rPr>
                <w:rFonts w:eastAsia="宋体"/>
                <w:color w:val="auto"/>
                <w:sz w:val="21"/>
                <w:szCs w:val="21"/>
              </w:rPr>
            </w:pPr>
            <w:r>
              <w:rPr>
                <w:rFonts w:eastAsia="宋体"/>
                <w:color w:val="auto"/>
                <w:sz w:val="21"/>
                <w:szCs w:val="21"/>
              </w:rPr>
              <w:t>污染物名称</w:t>
            </w:r>
          </w:p>
        </w:tc>
        <w:tc>
          <w:tcPr>
            <w:tcW w:w="2597" w:type="pct"/>
            <w:tcBorders>
              <w:tl2br w:val="nil"/>
              <w:tr2bl w:val="nil"/>
            </w:tcBorders>
            <w:vAlign w:val="center"/>
          </w:tcPr>
          <w:p w14:paraId="568A604E">
            <w:pPr>
              <w:pStyle w:val="458"/>
              <w:rPr>
                <w:rFonts w:eastAsia="宋体"/>
                <w:color w:val="auto"/>
                <w:sz w:val="21"/>
                <w:szCs w:val="21"/>
              </w:rPr>
            </w:pPr>
            <w:r>
              <w:rPr>
                <w:rFonts w:eastAsia="宋体"/>
                <w:color w:val="auto"/>
                <w:sz w:val="21"/>
                <w:szCs w:val="21"/>
              </w:rPr>
              <w:t>措施</w:t>
            </w:r>
          </w:p>
        </w:tc>
      </w:tr>
      <w:tr w14:paraId="7500F77E">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47" w:type="pct"/>
            <w:tcBorders>
              <w:tl2br w:val="nil"/>
              <w:tr2bl w:val="nil"/>
            </w:tcBorders>
            <w:vAlign w:val="center"/>
          </w:tcPr>
          <w:p w14:paraId="43F34488">
            <w:pPr>
              <w:pStyle w:val="458"/>
              <w:rPr>
                <w:rFonts w:eastAsia="宋体"/>
                <w:color w:val="auto"/>
                <w:sz w:val="21"/>
                <w:szCs w:val="21"/>
              </w:rPr>
            </w:pPr>
            <w:r>
              <w:rPr>
                <w:rFonts w:eastAsia="宋体"/>
                <w:color w:val="auto"/>
                <w:sz w:val="21"/>
                <w:szCs w:val="21"/>
              </w:rPr>
              <w:t>鸡舍</w:t>
            </w:r>
          </w:p>
        </w:tc>
        <w:tc>
          <w:tcPr>
            <w:tcW w:w="1355" w:type="pct"/>
            <w:tcBorders>
              <w:tl2br w:val="nil"/>
              <w:tr2bl w:val="nil"/>
            </w:tcBorders>
            <w:vAlign w:val="center"/>
          </w:tcPr>
          <w:p w14:paraId="7364BA57">
            <w:pPr>
              <w:pStyle w:val="458"/>
              <w:rPr>
                <w:rFonts w:eastAsia="宋体"/>
                <w:color w:val="auto"/>
                <w:sz w:val="21"/>
                <w:szCs w:val="21"/>
              </w:rPr>
            </w:pPr>
            <w:r>
              <w:rPr>
                <w:rFonts w:eastAsia="宋体"/>
                <w:color w:val="auto"/>
                <w:sz w:val="21"/>
                <w:szCs w:val="21"/>
              </w:rPr>
              <w:t>NH</w:t>
            </w:r>
            <w:r>
              <w:rPr>
                <w:rFonts w:eastAsia="宋体"/>
                <w:color w:val="auto"/>
                <w:sz w:val="21"/>
                <w:szCs w:val="21"/>
                <w:vertAlign w:val="subscript"/>
              </w:rPr>
              <w:t>3</w:t>
            </w:r>
            <w:r>
              <w:rPr>
                <w:rFonts w:eastAsia="宋体"/>
                <w:color w:val="auto"/>
                <w:sz w:val="21"/>
                <w:szCs w:val="21"/>
              </w:rPr>
              <w:t>、H</w:t>
            </w:r>
            <w:r>
              <w:rPr>
                <w:rFonts w:eastAsia="宋体"/>
                <w:color w:val="auto"/>
                <w:sz w:val="21"/>
                <w:szCs w:val="21"/>
                <w:vertAlign w:val="subscript"/>
              </w:rPr>
              <w:t>2</w:t>
            </w:r>
            <w:r>
              <w:rPr>
                <w:rFonts w:eastAsia="宋体"/>
                <w:color w:val="auto"/>
                <w:sz w:val="21"/>
                <w:szCs w:val="21"/>
              </w:rPr>
              <w:t>S、臭气浓度</w:t>
            </w:r>
          </w:p>
        </w:tc>
        <w:tc>
          <w:tcPr>
            <w:tcW w:w="2597" w:type="pct"/>
            <w:tcBorders>
              <w:tl2br w:val="nil"/>
              <w:tr2bl w:val="nil"/>
            </w:tcBorders>
            <w:vAlign w:val="center"/>
          </w:tcPr>
          <w:p w14:paraId="24E9D521">
            <w:pPr>
              <w:pStyle w:val="458"/>
              <w:rPr>
                <w:rFonts w:eastAsia="宋体"/>
                <w:color w:val="auto"/>
                <w:sz w:val="21"/>
                <w:szCs w:val="21"/>
              </w:rPr>
            </w:pPr>
            <w:r>
              <w:rPr>
                <w:rFonts w:eastAsia="宋体"/>
                <w:color w:val="auto"/>
                <w:sz w:val="21"/>
                <w:szCs w:val="21"/>
              </w:rPr>
              <w:t>①选用益生菌配方饲料；</w:t>
            </w:r>
          </w:p>
          <w:p w14:paraId="6D0CFAAD">
            <w:pPr>
              <w:pStyle w:val="458"/>
              <w:rPr>
                <w:rFonts w:eastAsia="宋体"/>
                <w:color w:val="auto"/>
                <w:sz w:val="21"/>
                <w:szCs w:val="21"/>
              </w:rPr>
            </w:pPr>
            <w:r>
              <w:rPr>
                <w:rFonts w:eastAsia="宋体"/>
                <w:color w:val="auto"/>
                <w:sz w:val="21"/>
                <w:szCs w:val="21"/>
              </w:rPr>
              <w:t>②及时清运粪污；</w:t>
            </w:r>
          </w:p>
          <w:p w14:paraId="478605A4">
            <w:pPr>
              <w:pStyle w:val="458"/>
              <w:rPr>
                <w:rFonts w:eastAsia="宋体"/>
                <w:color w:val="auto"/>
                <w:sz w:val="21"/>
                <w:szCs w:val="21"/>
              </w:rPr>
            </w:pPr>
            <w:r>
              <w:rPr>
                <w:rFonts w:eastAsia="宋体"/>
                <w:color w:val="auto"/>
                <w:sz w:val="21"/>
                <w:szCs w:val="21"/>
              </w:rPr>
              <w:t>③向舍内定期投入除臭剂；</w:t>
            </w:r>
          </w:p>
          <w:p w14:paraId="5148CBB8">
            <w:pPr>
              <w:pStyle w:val="458"/>
              <w:rPr>
                <w:rFonts w:hint="eastAsia" w:eastAsia="宋体"/>
                <w:color w:val="auto"/>
                <w:sz w:val="21"/>
                <w:szCs w:val="21"/>
                <w:lang w:eastAsia="zh-CN"/>
              </w:rPr>
            </w:pPr>
            <w:r>
              <w:rPr>
                <w:rFonts w:eastAsia="宋体"/>
                <w:color w:val="auto"/>
                <w:sz w:val="21"/>
                <w:szCs w:val="21"/>
              </w:rPr>
              <w:t>④周边加强绿化</w:t>
            </w:r>
            <w:r>
              <w:rPr>
                <w:rFonts w:hint="eastAsia" w:eastAsia="宋体"/>
                <w:color w:val="auto"/>
                <w:sz w:val="21"/>
                <w:szCs w:val="21"/>
                <w:lang w:eastAsia="zh-CN"/>
              </w:rPr>
              <w:t>；</w:t>
            </w:r>
          </w:p>
          <w:p w14:paraId="11381498">
            <w:pPr>
              <w:pStyle w:val="458"/>
              <w:rPr>
                <w:rFonts w:hint="eastAsia" w:eastAsia="宋体"/>
                <w:color w:val="auto"/>
                <w:sz w:val="21"/>
                <w:szCs w:val="21"/>
                <w:lang w:eastAsia="zh-CN"/>
              </w:rPr>
            </w:pPr>
            <w:r>
              <w:rPr>
                <w:rFonts w:hint="default" w:ascii="Times New Roman" w:hAnsi="Times New Roman" w:eastAsia="宋体" w:cs="Times New Roman"/>
                <w:color w:val="auto"/>
                <w:sz w:val="21"/>
                <w:szCs w:val="21"/>
                <w:highlight w:val="none"/>
                <w:lang w:eastAsia="zh-CN"/>
              </w:rPr>
              <w:fldChar w:fldCharType="begin"/>
            </w:r>
            <w:r>
              <w:rPr>
                <w:rFonts w:hint="default" w:ascii="Times New Roman" w:hAnsi="Times New Roman" w:eastAsia="宋体" w:cs="Times New Roman"/>
                <w:color w:val="auto"/>
                <w:sz w:val="21"/>
                <w:szCs w:val="21"/>
                <w:highlight w:val="none"/>
                <w:lang w:eastAsia="zh-CN"/>
              </w:rPr>
              <w:instrText xml:space="preserve"> = 5 \* GB3 \* MERGEFORMAT </w:instrText>
            </w:r>
            <w:r>
              <w:rPr>
                <w:rFonts w:hint="default" w:ascii="Times New Roman" w:hAnsi="Times New Roman" w:eastAsia="宋体" w:cs="Times New Roman"/>
                <w:color w:val="auto"/>
                <w:sz w:val="21"/>
                <w:szCs w:val="21"/>
                <w:highlight w:val="none"/>
                <w:lang w:eastAsia="zh-CN"/>
              </w:rPr>
              <w:fldChar w:fldCharType="separate"/>
            </w:r>
            <w:r>
              <w:rPr>
                <w:rFonts w:hint="default" w:ascii="Times New Roman" w:hAnsi="Times New Roman" w:eastAsia="宋体" w:cs="Times New Roman"/>
                <w:color w:val="auto"/>
                <w:sz w:val="21"/>
                <w:szCs w:val="21"/>
              </w:rPr>
              <w:t>⑤</w:t>
            </w:r>
            <w:r>
              <w:rPr>
                <w:rFonts w:hint="default" w:ascii="Times New Roman" w:hAnsi="Times New Roman" w:eastAsia="宋体" w:cs="Times New Roman"/>
                <w:color w:val="auto"/>
                <w:sz w:val="21"/>
                <w:szCs w:val="21"/>
                <w:highlight w:val="none"/>
                <w:lang w:eastAsia="zh-CN"/>
              </w:rPr>
              <w:fldChar w:fldCharType="end"/>
            </w:r>
            <w:r>
              <w:rPr>
                <w:rFonts w:hint="eastAsia" w:eastAsia="宋体"/>
                <w:color w:val="auto"/>
                <w:sz w:val="21"/>
                <w:szCs w:val="21"/>
                <w:highlight w:val="none"/>
                <w:lang w:eastAsia="zh-CN"/>
              </w:rPr>
              <w:t>鸡舍废气集中收集经喷淋水帘后排放。</w:t>
            </w:r>
          </w:p>
        </w:tc>
      </w:tr>
      <w:tr w14:paraId="27F78B3A">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47" w:type="pct"/>
            <w:tcBorders>
              <w:tl2br w:val="nil"/>
              <w:tr2bl w:val="nil"/>
            </w:tcBorders>
            <w:vAlign w:val="center"/>
          </w:tcPr>
          <w:p w14:paraId="40EF8131">
            <w:pPr>
              <w:pStyle w:val="458"/>
              <w:rPr>
                <w:rFonts w:hint="eastAsia" w:eastAsia="宋体"/>
                <w:color w:val="auto"/>
                <w:sz w:val="21"/>
                <w:szCs w:val="21"/>
                <w:lang w:eastAsia="zh-CN"/>
              </w:rPr>
            </w:pPr>
            <w:r>
              <w:rPr>
                <w:rFonts w:hint="eastAsia" w:eastAsia="宋体"/>
                <w:color w:val="auto"/>
                <w:sz w:val="21"/>
                <w:szCs w:val="21"/>
                <w:lang w:eastAsia="zh-CN"/>
              </w:rPr>
              <w:t>临时储粪场、废水收集池</w:t>
            </w:r>
          </w:p>
        </w:tc>
        <w:tc>
          <w:tcPr>
            <w:tcW w:w="1355" w:type="pct"/>
            <w:tcBorders>
              <w:tl2br w:val="nil"/>
              <w:tr2bl w:val="nil"/>
            </w:tcBorders>
            <w:vAlign w:val="center"/>
          </w:tcPr>
          <w:p w14:paraId="1DE9092F">
            <w:pPr>
              <w:pStyle w:val="458"/>
              <w:rPr>
                <w:rFonts w:eastAsia="宋体"/>
                <w:color w:val="auto"/>
                <w:sz w:val="21"/>
                <w:szCs w:val="21"/>
              </w:rPr>
            </w:pPr>
            <w:r>
              <w:rPr>
                <w:rFonts w:eastAsia="宋体"/>
                <w:color w:val="auto"/>
                <w:sz w:val="21"/>
                <w:szCs w:val="21"/>
              </w:rPr>
              <w:t>NH</w:t>
            </w:r>
            <w:r>
              <w:rPr>
                <w:rFonts w:eastAsia="宋体"/>
                <w:color w:val="auto"/>
                <w:sz w:val="21"/>
                <w:szCs w:val="21"/>
                <w:vertAlign w:val="subscript"/>
              </w:rPr>
              <w:t>3</w:t>
            </w:r>
            <w:r>
              <w:rPr>
                <w:rFonts w:eastAsia="宋体"/>
                <w:color w:val="auto"/>
                <w:sz w:val="21"/>
                <w:szCs w:val="21"/>
              </w:rPr>
              <w:t>、H</w:t>
            </w:r>
            <w:r>
              <w:rPr>
                <w:rFonts w:eastAsia="宋体"/>
                <w:color w:val="auto"/>
                <w:sz w:val="21"/>
                <w:szCs w:val="21"/>
                <w:vertAlign w:val="subscript"/>
              </w:rPr>
              <w:t>2</w:t>
            </w:r>
            <w:r>
              <w:rPr>
                <w:rFonts w:eastAsia="宋体"/>
                <w:color w:val="auto"/>
                <w:sz w:val="21"/>
                <w:szCs w:val="21"/>
              </w:rPr>
              <w:t>S、臭气浓度</w:t>
            </w:r>
          </w:p>
        </w:tc>
        <w:tc>
          <w:tcPr>
            <w:tcW w:w="2597" w:type="pct"/>
            <w:tcBorders>
              <w:tl2br w:val="nil"/>
              <w:tr2bl w:val="nil"/>
            </w:tcBorders>
            <w:vAlign w:val="center"/>
          </w:tcPr>
          <w:p w14:paraId="3DC6D1DB">
            <w:pPr>
              <w:pStyle w:val="458"/>
              <w:rPr>
                <w:rFonts w:eastAsia="宋体"/>
                <w:color w:val="auto"/>
                <w:sz w:val="21"/>
                <w:szCs w:val="21"/>
              </w:rPr>
            </w:pPr>
            <w:r>
              <w:rPr>
                <w:rFonts w:eastAsia="宋体"/>
                <w:color w:val="auto"/>
                <w:sz w:val="21"/>
                <w:szCs w:val="21"/>
              </w:rPr>
              <w:t>①定期喷洒除臭剂；</w:t>
            </w:r>
          </w:p>
          <w:p w14:paraId="59ABC31A">
            <w:pPr>
              <w:pStyle w:val="458"/>
              <w:rPr>
                <w:rFonts w:eastAsia="宋体"/>
                <w:color w:val="auto"/>
                <w:sz w:val="21"/>
                <w:szCs w:val="21"/>
              </w:rPr>
            </w:pPr>
            <w:r>
              <w:rPr>
                <w:rFonts w:eastAsia="宋体"/>
                <w:color w:val="auto"/>
                <w:sz w:val="21"/>
                <w:szCs w:val="21"/>
              </w:rPr>
              <w:t>②及时清运固体粪污；</w:t>
            </w:r>
          </w:p>
          <w:p w14:paraId="1A40EE8A">
            <w:pPr>
              <w:pStyle w:val="458"/>
              <w:rPr>
                <w:rFonts w:hint="eastAsia" w:eastAsia="宋体"/>
                <w:color w:val="auto"/>
                <w:sz w:val="21"/>
                <w:szCs w:val="21"/>
                <w:lang w:eastAsia="zh-CN"/>
              </w:rPr>
            </w:pPr>
            <w:r>
              <w:rPr>
                <w:rFonts w:eastAsia="宋体"/>
                <w:color w:val="auto"/>
                <w:sz w:val="21"/>
                <w:szCs w:val="21"/>
              </w:rPr>
              <w:t>③</w:t>
            </w:r>
            <w:r>
              <w:rPr>
                <w:rFonts w:hint="eastAsia" w:eastAsia="宋体"/>
                <w:color w:val="auto"/>
                <w:sz w:val="21"/>
                <w:szCs w:val="21"/>
                <w:lang w:eastAsia="zh-CN"/>
              </w:rPr>
              <w:t>废水收集池</w:t>
            </w:r>
            <w:r>
              <w:rPr>
                <w:rFonts w:eastAsia="宋体"/>
                <w:color w:val="auto"/>
                <w:sz w:val="21"/>
                <w:szCs w:val="21"/>
              </w:rPr>
              <w:t>加盖</w:t>
            </w:r>
            <w:r>
              <w:rPr>
                <w:rFonts w:hint="eastAsia" w:eastAsia="宋体"/>
                <w:color w:val="auto"/>
                <w:sz w:val="21"/>
                <w:szCs w:val="21"/>
                <w:lang w:eastAsia="zh-CN"/>
              </w:rPr>
              <w:t>，临时储粪场设置为封闭结构</w:t>
            </w:r>
            <w:r>
              <w:rPr>
                <w:rFonts w:eastAsia="宋体"/>
                <w:color w:val="auto"/>
                <w:sz w:val="21"/>
                <w:szCs w:val="21"/>
              </w:rPr>
              <w:t>；</w:t>
            </w:r>
          </w:p>
        </w:tc>
      </w:tr>
      <w:tr w14:paraId="08D99F6B">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47" w:type="pct"/>
            <w:tcBorders>
              <w:tl2br w:val="nil"/>
              <w:tr2bl w:val="nil"/>
            </w:tcBorders>
            <w:vAlign w:val="center"/>
          </w:tcPr>
          <w:p w14:paraId="5331D384">
            <w:pPr>
              <w:pStyle w:val="458"/>
              <w:rPr>
                <w:rFonts w:eastAsia="宋体"/>
                <w:color w:val="auto"/>
                <w:sz w:val="21"/>
                <w:szCs w:val="21"/>
              </w:rPr>
            </w:pPr>
            <w:r>
              <w:rPr>
                <w:rFonts w:eastAsia="宋体"/>
                <w:color w:val="auto"/>
                <w:sz w:val="21"/>
                <w:szCs w:val="21"/>
              </w:rPr>
              <w:t>食堂</w:t>
            </w:r>
          </w:p>
        </w:tc>
        <w:tc>
          <w:tcPr>
            <w:tcW w:w="1355" w:type="pct"/>
            <w:tcBorders>
              <w:tl2br w:val="nil"/>
              <w:tr2bl w:val="nil"/>
            </w:tcBorders>
            <w:vAlign w:val="center"/>
          </w:tcPr>
          <w:p w14:paraId="1E941706">
            <w:pPr>
              <w:pStyle w:val="458"/>
              <w:rPr>
                <w:rFonts w:eastAsia="宋体"/>
                <w:color w:val="auto"/>
                <w:sz w:val="21"/>
                <w:szCs w:val="21"/>
              </w:rPr>
            </w:pPr>
            <w:r>
              <w:rPr>
                <w:rFonts w:eastAsia="宋体"/>
                <w:color w:val="auto"/>
                <w:sz w:val="21"/>
                <w:szCs w:val="21"/>
              </w:rPr>
              <w:t>油烟</w:t>
            </w:r>
          </w:p>
        </w:tc>
        <w:tc>
          <w:tcPr>
            <w:tcW w:w="2597" w:type="pct"/>
            <w:tcBorders>
              <w:tl2br w:val="nil"/>
              <w:tr2bl w:val="nil"/>
            </w:tcBorders>
            <w:vAlign w:val="center"/>
          </w:tcPr>
          <w:p w14:paraId="68F155F9">
            <w:pPr>
              <w:pStyle w:val="458"/>
              <w:rPr>
                <w:rFonts w:eastAsia="宋体"/>
                <w:color w:val="auto"/>
                <w:sz w:val="21"/>
                <w:szCs w:val="21"/>
              </w:rPr>
            </w:pPr>
            <w:r>
              <w:rPr>
                <w:rFonts w:eastAsia="宋体"/>
                <w:color w:val="auto"/>
                <w:sz w:val="21"/>
                <w:szCs w:val="21"/>
              </w:rPr>
              <w:t>设1套油烟净化器，由专用排气道</w:t>
            </w:r>
            <w:r>
              <w:rPr>
                <w:rFonts w:hint="eastAsia" w:eastAsia="宋体"/>
                <w:color w:val="auto"/>
                <w:sz w:val="21"/>
                <w:szCs w:val="21"/>
                <w:lang w:val="en-US" w:eastAsia="zh-CN"/>
              </w:rPr>
              <w:t>DA002</w:t>
            </w:r>
            <w:r>
              <w:rPr>
                <w:rFonts w:eastAsia="宋体"/>
                <w:color w:val="auto"/>
                <w:sz w:val="21"/>
                <w:szCs w:val="21"/>
              </w:rPr>
              <w:t>排出</w:t>
            </w:r>
          </w:p>
        </w:tc>
      </w:tr>
      <w:tr w14:paraId="13301A8D">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47" w:type="pct"/>
            <w:tcBorders>
              <w:tl2br w:val="nil"/>
              <w:tr2bl w:val="nil"/>
            </w:tcBorders>
            <w:vAlign w:val="center"/>
          </w:tcPr>
          <w:p w14:paraId="074B3A96">
            <w:pPr>
              <w:pStyle w:val="458"/>
              <w:rPr>
                <w:rFonts w:eastAsia="宋体"/>
                <w:color w:val="auto"/>
                <w:sz w:val="21"/>
                <w:szCs w:val="21"/>
              </w:rPr>
            </w:pPr>
            <w:r>
              <w:rPr>
                <w:rFonts w:hint="eastAsia" w:eastAsia="宋体"/>
                <w:color w:val="auto"/>
                <w:sz w:val="21"/>
                <w:szCs w:val="21"/>
                <w:lang w:eastAsia="zh-CN"/>
              </w:rPr>
              <w:t>生物质</w:t>
            </w:r>
            <w:r>
              <w:rPr>
                <w:rFonts w:hint="eastAsia" w:eastAsia="宋体"/>
                <w:color w:val="auto"/>
                <w:sz w:val="21"/>
                <w:szCs w:val="21"/>
              </w:rPr>
              <w:t>锅炉</w:t>
            </w:r>
          </w:p>
        </w:tc>
        <w:tc>
          <w:tcPr>
            <w:tcW w:w="1355" w:type="pct"/>
            <w:tcBorders>
              <w:tl2br w:val="nil"/>
              <w:tr2bl w:val="nil"/>
            </w:tcBorders>
            <w:vAlign w:val="center"/>
          </w:tcPr>
          <w:p w14:paraId="3FD0DC49">
            <w:pPr>
              <w:pStyle w:val="458"/>
              <w:rPr>
                <w:rFonts w:eastAsia="宋体"/>
                <w:color w:val="auto"/>
                <w:sz w:val="21"/>
                <w:szCs w:val="21"/>
              </w:rPr>
            </w:pPr>
            <w:r>
              <w:rPr>
                <w:rFonts w:hint="eastAsia" w:eastAsia="宋体"/>
                <w:color w:val="auto"/>
                <w:sz w:val="21"/>
                <w:szCs w:val="21"/>
              </w:rPr>
              <w:t>SO</w:t>
            </w:r>
            <w:r>
              <w:rPr>
                <w:rFonts w:hint="eastAsia" w:eastAsia="宋体"/>
                <w:color w:val="auto"/>
                <w:sz w:val="21"/>
                <w:szCs w:val="21"/>
                <w:vertAlign w:val="subscript"/>
              </w:rPr>
              <w:t>2</w:t>
            </w:r>
            <w:r>
              <w:rPr>
                <w:rFonts w:hint="eastAsia" w:eastAsia="宋体"/>
                <w:color w:val="auto"/>
                <w:sz w:val="21"/>
                <w:szCs w:val="21"/>
              </w:rPr>
              <w:t>、NOx、颗粒物</w:t>
            </w:r>
          </w:p>
        </w:tc>
        <w:tc>
          <w:tcPr>
            <w:tcW w:w="2597" w:type="pct"/>
            <w:tcBorders>
              <w:tl2br w:val="nil"/>
              <w:tr2bl w:val="nil"/>
            </w:tcBorders>
            <w:vAlign w:val="center"/>
          </w:tcPr>
          <w:p w14:paraId="10947831">
            <w:pPr>
              <w:pStyle w:val="458"/>
              <w:rPr>
                <w:rFonts w:eastAsia="宋体"/>
                <w:color w:val="auto"/>
                <w:sz w:val="21"/>
                <w:szCs w:val="21"/>
              </w:rPr>
            </w:pPr>
            <w:r>
              <w:rPr>
                <w:rFonts w:hint="eastAsia" w:eastAsia="宋体"/>
                <w:color w:val="auto"/>
                <w:sz w:val="21"/>
                <w:szCs w:val="21"/>
                <w:lang w:val="en-US" w:eastAsia="zh-CN"/>
              </w:rPr>
              <w:t>采用低氮燃烧法，生物质锅炉设置1套旋风除尘器+布袋除尘器，烟气通过30</w:t>
            </w:r>
            <w:r>
              <w:rPr>
                <w:rFonts w:hint="eastAsia" w:eastAsia="宋体"/>
                <w:color w:val="auto"/>
                <w:sz w:val="21"/>
                <w:szCs w:val="21"/>
              </w:rPr>
              <w:t>m高</w:t>
            </w:r>
            <w:r>
              <w:rPr>
                <w:rFonts w:hint="eastAsia" w:eastAsia="宋体"/>
                <w:color w:val="auto"/>
                <w:sz w:val="21"/>
                <w:szCs w:val="21"/>
                <w:lang w:eastAsia="zh-CN"/>
              </w:rPr>
              <w:t>烟囱</w:t>
            </w:r>
            <w:r>
              <w:rPr>
                <w:rFonts w:hint="eastAsia" w:eastAsia="宋体"/>
                <w:color w:val="auto"/>
                <w:sz w:val="21"/>
                <w:szCs w:val="21"/>
              </w:rPr>
              <w:t>（</w:t>
            </w:r>
            <w:r>
              <w:rPr>
                <w:rFonts w:hint="eastAsia" w:eastAsia="宋体"/>
                <w:color w:val="auto"/>
                <w:sz w:val="21"/>
                <w:szCs w:val="21"/>
                <w:lang w:val="en-US" w:eastAsia="zh-CN"/>
              </w:rPr>
              <w:t>DA001</w:t>
            </w:r>
            <w:r>
              <w:rPr>
                <w:rFonts w:hint="eastAsia" w:eastAsia="宋体"/>
                <w:color w:val="auto"/>
                <w:sz w:val="21"/>
                <w:szCs w:val="21"/>
              </w:rPr>
              <w:t>）排出</w:t>
            </w:r>
          </w:p>
        </w:tc>
      </w:tr>
    </w:tbl>
    <w:p w14:paraId="3FCF50B0">
      <w:pPr>
        <w:snapToGrid w:val="0"/>
        <w:spacing w:line="360" w:lineRule="auto"/>
        <w:ind w:firstLine="480"/>
        <w:rPr>
          <w:color w:val="auto"/>
          <w:sz w:val="24"/>
          <w:szCs w:val="20"/>
        </w:rPr>
      </w:pPr>
      <w:r>
        <w:rPr>
          <w:color w:val="auto"/>
          <w:sz w:val="24"/>
        </w:rPr>
        <w:t>采取以上措施后，项目所产生的恶臭气体在采取相应的措施后以</w:t>
      </w:r>
      <w:r>
        <w:rPr>
          <w:color w:val="auto"/>
          <w:sz w:val="24"/>
          <w:szCs w:val="20"/>
        </w:rPr>
        <w:t>H</w:t>
      </w:r>
      <w:r>
        <w:rPr>
          <w:color w:val="auto"/>
          <w:sz w:val="24"/>
          <w:szCs w:val="20"/>
          <w:vertAlign w:val="subscript"/>
        </w:rPr>
        <w:t>2</w:t>
      </w:r>
      <w:r>
        <w:rPr>
          <w:color w:val="auto"/>
          <w:sz w:val="24"/>
          <w:szCs w:val="20"/>
        </w:rPr>
        <w:t>S、NH</w:t>
      </w:r>
      <w:r>
        <w:rPr>
          <w:color w:val="auto"/>
          <w:sz w:val="24"/>
          <w:szCs w:val="20"/>
          <w:vertAlign w:val="subscript"/>
        </w:rPr>
        <w:t>3</w:t>
      </w:r>
      <w:r>
        <w:rPr>
          <w:color w:val="auto"/>
          <w:sz w:val="24"/>
          <w:szCs w:val="20"/>
        </w:rPr>
        <w:t>作为代表性污染因子进行分析的结果显示能够符合《恶臭污染物排放标准》（GB14554-93）二级新扩改建厂界标准限值要求；</w:t>
      </w:r>
      <w:r>
        <w:rPr>
          <w:color w:val="auto"/>
          <w:sz w:val="24"/>
        </w:rPr>
        <w:t>食堂油烟</w:t>
      </w:r>
      <w:r>
        <w:rPr>
          <w:color w:val="auto"/>
          <w:sz w:val="24"/>
          <w:szCs w:val="20"/>
        </w:rPr>
        <w:t>符合《饮食业油烟排放标准（试行）》（GB18483-2001）中最高允许排放浓度2mg/m</w:t>
      </w:r>
      <w:r>
        <w:rPr>
          <w:color w:val="auto"/>
          <w:sz w:val="24"/>
          <w:szCs w:val="20"/>
          <w:vertAlign w:val="superscript"/>
        </w:rPr>
        <w:t>3</w:t>
      </w:r>
      <w:r>
        <w:rPr>
          <w:color w:val="auto"/>
          <w:sz w:val="24"/>
          <w:szCs w:val="20"/>
        </w:rPr>
        <w:t>的要求</w:t>
      </w:r>
      <w:r>
        <w:rPr>
          <w:rFonts w:hint="eastAsia"/>
          <w:color w:val="auto"/>
          <w:sz w:val="24"/>
          <w:szCs w:val="20"/>
        </w:rPr>
        <w:t>，锅炉产生的SO</w:t>
      </w:r>
      <w:r>
        <w:rPr>
          <w:rFonts w:hint="eastAsia"/>
          <w:color w:val="auto"/>
          <w:sz w:val="24"/>
          <w:szCs w:val="20"/>
          <w:vertAlign w:val="subscript"/>
        </w:rPr>
        <w:t>2</w:t>
      </w:r>
      <w:r>
        <w:rPr>
          <w:rFonts w:hint="eastAsia"/>
          <w:color w:val="auto"/>
          <w:sz w:val="24"/>
          <w:szCs w:val="20"/>
        </w:rPr>
        <w:t>、NOx、颗粒物满足《锅炉大气污染物排放标准》（GB13271-2014）中表</w:t>
      </w:r>
      <w:r>
        <w:rPr>
          <w:rFonts w:hint="eastAsia"/>
          <w:color w:val="auto"/>
          <w:sz w:val="24"/>
          <w:szCs w:val="20"/>
          <w:lang w:val="en-US" w:eastAsia="zh-CN"/>
        </w:rPr>
        <w:t>3</w:t>
      </w:r>
      <w:r>
        <w:rPr>
          <w:rFonts w:hint="eastAsia"/>
          <w:color w:val="auto"/>
          <w:sz w:val="24"/>
          <w:szCs w:val="20"/>
        </w:rPr>
        <w:t>大气污染物</w:t>
      </w:r>
      <w:r>
        <w:rPr>
          <w:rFonts w:hint="eastAsia"/>
          <w:color w:val="auto"/>
          <w:sz w:val="24"/>
          <w:szCs w:val="20"/>
          <w:lang w:eastAsia="zh-CN"/>
        </w:rPr>
        <w:t>特别</w:t>
      </w:r>
      <w:r>
        <w:rPr>
          <w:rFonts w:hint="eastAsia"/>
          <w:color w:val="auto"/>
          <w:sz w:val="24"/>
          <w:szCs w:val="20"/>
        </w:rPr>
        <w:t>排放限值</w:t>
      </w:r>
      <w:r>
        <w:rPr>
          <w:rFonts w:hint="eastAsia"/>
          <w:color w:val="auto"/>
          <w:sz w:val="24"/>
          <w:szCs w:val="20"/>
          <w:lang w:eastAsia="zh-CN"/>
        </w:rPr>
        <w:t>中燃煤锅炉标准</w:t>
      </w:r>
      <w:r>
        <w:rPr>
          <w:color w:val="auto"/>
          <w:sz w:val="24"/>
          <w:szCs w:val="20"/>
        </w:rPr>
        <w:t>。</w:t>
      </w:r>
    </w:p>
    <w:p w14:paraId="3E934CB8">
      <w:pPr>
        <w:keepNext/>
        <w:keepLines/>
        <w:spacing w:line="360" w:lineRule="auto"/>
        <w:outlineLvl w:val="2"/>
        <w:rPr>
          <w:b/>
          <w:bCs/>
          <w:color w:val="auto"/>
          <w:sz w:val="24"/>
          <w:szCs w:val="24"/>
        </w:rPr>
      </w:pPr>
      <w:bookmarkStart w:id="518" w:name="_Toc32574"/>
      <w:r>
        <w:rPr>
          <w:b/>
          <w:bCs/>
          <w:color w:val="auto"/>
          <w:sz w:val="24"/>
          <w:szCs w:val="24"/>
        </w:rPr>
        <w:t>10.5.2地表水环境影响分析结论</w:t>
      </w:r>
      <w:bookmarkEnd w:id="518"/>
    </w:p>
    <w:p w14:paraId="55992688">
      <w:pPr>
        <w:spacing w:line="360" w:lineRule="auto"/>
        <w:ind w:firstLine="480" w:firstLineChars="200"/>
        <w:rPr>
          <w:color w:val="auto"/>
          <w:sz w:val="24"/>
        </w:rPr>
      </w:pPr>
      <w:r>
        <w:rPr>
          <w:color w:val="auto"/>
          <w:sz w:val="24"/>
          <w:szCs w:val="20"/>
        </w:rPr>
        <w:t>本项目产生的废水主要包括养殖废水及职工生活废水（含餐饮）</w:t>
      </w:r>
      <w:r>
        <w:rPr>
          <w:rFonts w:hint="eastAsia"/>
          <w:color w:val="auto"/>
          <w:sz w:val="24"/>
          <w:szCs w:val="20"/>
        </w:rPr>
        <w:t>，</w:t>
      </w:r>
      <w:r>
        <w:rPr>
          <w:rFonts w:hint="eastAsia"/>
          <w:color w:val="auto"/>
          <w:sz w:val="24"/>
        </w:rPr>
        <w:t>养殖废水</w:t>
      </w:r>
      <w:r>
        <w:rPr>
          <w:rFonts w:hint="eastAsia"/>
          <w:color w:val="auto"/>
          <w:sz w:val="24"/>
          <w:lang w:eastAsia="zh-CN"/>
        </w:rPr>
        <w:t>进入废水收集池，除极端天气需在厂区内储存外，日产日清，由罐车运至辰泰（辽宁）生物科技有限公司进行有机肥制造</w:t>
      </w:r>
      <w:r>
        <w:rPr>
          <w:rFonts w:hint="eastAsia"/>
          <w:color w:val="auto"/>
          <w:sz w:val="24"/>
        </w:rPr>
        <w:t>。</w:t>
      </w:r>
      <w:r>
        <w:rPr>
          <w:color w:val="auto"/>
          <w:sz w:val="24"/>
        </w:rPr>
        <w:t>食堂废水经隔油池处理后同生活污水一起排入旱厕定期清掏</w:t>
      </w:r>
      <w:r>
        <w:rPr>
          <w:rFonts w:hint="eastAsia"/>
          <w:color w:val="auto"/>
          <w:sz w:val="24"/>
        </w:rPr>
        <w:t>，</w:t>
      </w:r>
      <w:r>
        <w:rPr>
          <w:rFonts w:hint="eastAsia"/>
          <w:color w:val="auto"/>
          <w:sz w:val="24"/>
          <w:lang w:eastAsia="zh-CN"/>
        </w:rPr>
        <w:t>用作农肥</w:t>
      </w:r>
      <w:r>
        <w:rPr>
          <w:color w:val="auto"/>
          <w:sz w:val="24"/>
        </w:rPr>
        <w:t>。</w:t>
      </w:r>
      <w:r>
        <w:rPr>
          <w:rFonts w:hint="eastAsia"/>
          <w:color w:val="auto"/>
          <w:sz w:val="24"/>
        </w:rPr>
        <w:t>反冲洗废水及锅炉排污水全部用于</w:t>
      </w:r>
      <w:r>
        <w:rPr>
          <w:rFonts w:hint="eastAsia"/>
          <w:color w:val="auto"/>
          <w:sz w:val="24"/>
          <w:lang w:eastAsia="zh-CN"/>
        </w:rPr>
        <w:t>厂区绿化和地面抑尘</w:t>
      </w:r>
      <w:r>
        <w:rPr>
          <w:color w:val="auto"/>
          <w:sz w:val="24"/>
        </w:rPr>
        <w:t>。湿帘、消毒、绿化用水自然蒸发损耗</w:t>
      </w:r>
      <w:r>
        <w:rPr>
          <w:rFonts w:hint="eastAsia"/>
          <w:color w:val="auto"/>
          <w:sz w:val="24"/>
        </w:rPr>
        <w:t>。</w:t>
      </w:r>
    </w:p>
    <w:p w14:paraId="1B2B061D">
      <w:pPr>
        <w:keepNext/>
        <w:keepLines/>
        <w:spacing w:line="360" w:lineRule="auto"/>
        <w:outlineLvl w:val="2"/>
        <w:rPr>
          <w:b/>
          <w:bCs/>
          <w:color w:val="auto"/>
          <w:sz w:val="24"/>
          <w:szCs w:val="24"/>
        </w:rPr>
      </w:pPr>
      <w:bookmarkStart w:id="519" w:name="_Toc7303"/>
      <w:r>
        <w:rPr>
          <w:b/>
          <w:bCs/>
          <w:color w:val="auto"/>
          <w:sz w:val="24"/>
          <w:szCs w:val="24"/>
        </w:rPr>
        <w:t>10.5.3地下水环境影响分析结论</w:t>
      </w:r>
      <w:bookmarkEnd w:id="519"/>
    </w:p>
    <w:p w14:paraId="7DCD787E">
      <w:pPr>
        <w:spacing w:line="360" w:lineRule="auto"/>
        <w:ind w:firstLine="480" w:firstLineChars="200"/>
        <w:rPr>
          <w:color w:val="auto"/>
          <w:sz w:val="24"/>
          <w:szCs w:val="20"/>
        </w:rPr>
      </w:pPr>
      <w:r>
        <w:rPr>
          <w:color w:val="auto"/>
          <w:sz w:val="24"/>
          <w:szCs w:val="20"/>
        </w:rPr>
        <w:t>项目要求</w:t>
      </w:r>
      <w:r>
        <w:rPr>
          <w:rFonts w:hint="eastAsia"/>
          <w:color w:val="auto"/>
          <w:sz w:val="24"/>
          <w:szCs w:val="20"/>
          <w:lang w:eastAsia="zh-CN"/>
        </w:rPr>
        <w:t>废水收集池、临时储粪场做防腐防渗处理，废水收集池加盖密闭，临时储粪场设置为封闭结构四周做围堰，</w:t>
      </w:r>
      <w:r>
        <w:rPr>
          <w:color w:val="auto"/>
          <w:sz w:val="24"/>
          <w:szCs w:val="20"/>
        </w:rPr>
        <w:t>可避免</w:t>
      </w:r>
      <w:r>
        <w:rPr>
          <w:rFonts w:hint="eastAsia"/>
          <w:color w:val="auto"/>
          <w:sz w:val="24"/>
          <w:szCs w:val="20"/>
        </w:rPr>
        <w:t>极端天气</w:t>
      </w:r>
      <w:r>
        <w:rPr>
          <w:color w:val="auto"/>
          <w:sz w:val="24"/>
          <w:szCs w:val="20"/>
        </w:rPr>
        <w:t>大气降水进入</w:t>
      </w:r>
      <w:r>
        <w:rPr>
          <w:rFonts w:hint="eastAsia"/>
          <w:color w:val="auto"/>
          <w:sz w:val="24"/>
          <w:szCs w:val="20"/>
          <w:lang w:eastAsia="zh-CN"/>
        </w:rPr>
        <w:t>废水收集池和临时储粪场</w:t>
      </w:r>
      <w:r>
        <w:rPr>
          <w:color w:val="auto"/>
          <w:sz w:val="24"/>
          <w:szCs w:val="20"/>
        </w:rPr>
        <w:t>导致粪污溢流污染地下水。并对污水管网各构筑物、鸡舍等各部位进行严格的防渗处理，对鸡舍也严格按照环评要求采取防渗措施。正常情况下，本项目不会造成污染物渗入地下水对地下水水质产生污染影响。同时运营期对场区外处于项目区地下水下游的水井进行跟踪监测，以便在非正常情况下一旦发现地下水收到污染能够被及时发现。</w:t>
      </w:r>
    </w:p>
    <w:p w14:paraId="0951E1E9">
      <w:pPr>
        <w:keepNext/>
        <w:keepLines/>
        <w:spacing w:line="360" w:lineRule="auto"/>
        <w:outlineLvl w:val="2"/>
        <w:rPr>
          <w:b/>
          <w:bCs/>
          <w:color w:val="auto"/>
          <w:sz w:val="24"/>
          <w:szCs w:val="24"/>
        </w:rPr>
      </w:pPr>
      <w:bookmarkStart w:id="520" w:name="_Toc7263"/>
      <w:r>
        <w:rPr>
          <w:b/>
          <w:bCs/>
          <w:color w:val="auto"/>
          <w:sz w:val="24"/>
          <w:szCs w:val="24"/>
        </w:rPr>
        <w:t>10.5.4声环境影响分析结论</w:t>
      </w:r>
      <w:bookmarkEnd w:id="520"/>
    </w:p>
    <w:p w14:paraId="6E7BD91B">
      <w:pPr>
        <w:spacing w:line="360" w:lineRule="auto"/>
        <w:ind w:firstLine="480" w:firstLineChars="200"/>
        <w:rPr>
          <w:color w:val="auto"/>
          <w:sz w:val="24"/>
        </w:rPr>
      </w:pPr>
      <w:r>
        <w:rPr>
          <w:color w:val="auto"/>
          <w:sz w:val="24"/>
        </w:rPr>
        <w:t>本项目噪声主要来源于鸡叫声、鸡舍排气扇、水泵、风机等运行时产生的噪声，噪声源强在70-</w:t>
      </w:r>
      <w:r>
        <w:rPr>
          <w:rFonts w:hint="eastAsia"/>
          <w:color w:val="auto"/>
          <w:sz w:val="24"/>
        </w:rPr>
        <w:t>90</w:t>
      </w:r>
      <w:r>
        <w:rPr>
          <w:color w:val="auto"/>
          <w:sz w:val="24"/>
        </w:rPr>
        <w:t>dB（A）之间，现有设备及本次新增设备均经采取必要的设备基础减振与设备间隔声、风机采用软连接、设置隔声罩等降噪措施，可使得噪声源强降低15~</w:t>
      </w:r>
      <w:r>
        <w:rPr>
          <w:rFonts w:hint="eastAsia"/>
          <w:color w:val="auto"/>
          <w:sz w:val="24"/>
        </w:rPr>
        <w:t>30</w:t>
      </w:r>
      <w:r>
        <w:rPr>
          <w:color w:val="auto"/>
          <w:sz w:val="24"/>
        </w:rPr>
        <w:t>dB（A）。本项目东、南、西、北厂界噪声预测值均符合《工业企业厂界环境噪声排放标准》（GB12348-2008）1类标准要求。</w:t>
      </w:r>
    </w:p>
    <w:p w14:paraId="00EA513C">
      <w:pPr>
        <w:keepNext/>
        <w:keepLines/>
        <w:spacing w:line="360" w:lineRule="auto"/>
        <w:outlineLvl w:val="2"/>
        <w:rPr>
          <w:b/>
          <w:bCs/>
          <w:color w:val="auto"/>
          <w:sz w:val="24"/>
          <w:szCs w:val="24"/>
        </w:rPr>
      </w:pPr>
      <w:bookmarkStart w:id="521" w:name="_Toc14640"/>
      <w:r>
        <w:rPr>
          <w:b/>
          <w:bCs/>
          <w:color w:val="auto"/>
          <w:sz w:val="24"/>
          <w:szCs w:val="24"/>
        </w:rPr>
        <w:t>10.5.5固废影响分析结论</w:t>
      </w:r>
      <w:bookmarkEnd w:id="521"/>
    </w:p>
    <w:p w14:paraId="603522C0">
      <w:pPr>
        <w:spacing w:line="360" w:lineRule="auto"/>
        <w:ind w:firstLine="480" w:firstLineChars="200"/>
        <w:jc w:val="left"/>
        <w:rPr>
          <w:color w:val="auto"/>
          <w:sz w:val="24"/>
          <w:szCs w:val="20"/>
        </w:rPr>
      </w:pPr>
      <w:r>
        <w:rPr>
          <w:color w:val="auto"/>
          <w:sz w:val="24"/>
          <w:szCs w:val="20"/>
        </w:rPr>
        <w:t>在落实本评价提出的污染防治措施的前提下，建设项目产生的固体废物均得到了妥善处置和合理利用，符合《畜禽养殖业污染防治技术规范》的要求，并对改善区域农业生态环境产生积极影响，因此项目产生的固废不会产生二次污染，对项目周围环境不会产生明显不良影响。</w:t>
      </w:r>
    </w:p>
    <w:p w14:paraId="078AC3B4">
      <w:pPr>
        <w:keepNext/>
        <w:keepLines/>
        <w:spacing w:line="360" w:lineRule="auto"/>
        <w:outlineLvl w:val="2"/>
        <w:rPr>
          <w:b/>
          <w:bCs/>
          <w:color w:val="auto"/>
          <w:sz w:val="24"/>
          <w:szCs w:val="24"/>
        </w:rPr>
      </w:pPr>
      <w:bookmarkStart w:id="522" w:name="_Toc25439"/>
      <w:r>
        <w:rPr>
          <w:b/>
          <w:bCs/>
          <w:color w:val="auto"/>
          <w:sz w:val="24"/>
          <w:szCs w:val="24"/>
        </w:rPr>
        <w:t>10.5.6土壤影响分析结论</w:t>
      </w:r>
      <w:bookmarkEnd w:id="522"/>
    </w:p>
    <w:p w14:paraId="7595F384">
      <w:pPr>
        <w:spacing w:line="360" w:lineRule="auto"/>
        <w:ind w:firstLine="480" w:firstLineChars="200"/>
        <w:rPr>
          <w:rFonts w:ascii="Times New Roman" w:hAnsi="Times New Roman" w:eastAsia="宋体" w:cs="Times New Roman"/>
          <w:color w:val="auto"/>
          <w:sz w:val="24"/>
          <w:szCs w:val="20"/>
        </w:rPr>
      </w:pPr>
      <w:r>
        <w:rPr>
          <w:rFonts w:ascii="Times New Roman" w:hAnsi="Times New Roman" w:eastAsia="宋体" w:cs="Times New Roman"/>
          <w:color w:val="auto"/>
          <w:sz w:val="24"/>
          <w:szCs w:val="20"/>
        </w:rPr>
        <w:t>项目针对各类污染物均采取了对应的污染治理措施，可确保污染物的达标排放及防止渗漏发生，可从源头上控制项目对区域土壤环境的污染源强，确保项目对区域土壤环境的影响处于可接受水平。</w:t>
      </w:r>
    </w:p>
    <w:p w14:paraId="5DA05E8E">
      <w:pPr>
        <w:spacing w:line="360" w:lineRule="auto"/>
        <w:ind w:firstLine="480" w:firstLineChars="200"/>
        <w:jc w:val="left"/>
        <w:rPr>
          <w:color w:val="auto"/>
          <w:sz w:val="24"/>
          <w:szCs w:val="22"/>
        </w:rPr>
      </w:pPr>
      <w:r>
        <w:rPr>
          <w:color w:val="auto"/>
          <w:sz w:val="24"/>
          <w:szCs w:val="22"/>
        </w:rPr>
        <w:t>因此，在落实有效土壤污染防治措施的前提下，本项目不会对区域土壤产生明显的影响。</w:t>
      </w:r>
    </w:p>
    <w:p w14:paraId="4336A8CD">
      <w:pPr>
        <w:keepNext/>
        <w:keepLines/>
        <w:spacing w:line="360" w:lineRule="auto"/>
        <w:outlineLvl w:val="2"/>
        <w:rPr>
          <w:b/>
          <w:bCs/>
          <w:color w:val="auto"/>
          <w:sz w:val="24"/>
          <w:szCs w:val="24"/>
        </w:rPr>
      </w:pPr>
      <w:bookmarkStart w:id="523" w:name="_Toc8666"/>
      <w:r>
        <w:rPr>
          <w:b/>
          <w:bCs/>
          <w:color w:val="auto"/>
          <w:sz w:val="24"/>
          <w:szCs w:val="24"/>
        </w:rPr>
        <w:t>10.5.7生态影响分析结论</w:t>
      </w:r>
      <w:bookmarkEnd w:id="523"/>
    </w:p>
    <w:p w14:paraId="29D54805">
      <w:pPr>
        <w:spacing w:line="360" w:lineRule="auto"/>
        <w:ind w:firstLine="480" w:firstLineChars="200"/>
        <w:jc w:val="left"/>
        <w:rPr>
          <w:color w:val="auto"/>
          <w:szCs w:val="20"/>
        </w:rPr>
      </w:pPr>
      <w:r>
        <w:rPr>
          <w:color w:val="auto"/>
          <w:sz w:val="24"/>
          <w:szCs w:val="20"/>
        </w:rPr>
        <w:t>本项目建设过程中采取严格的水土流失预防措施，运营期加强对场内及场界处的绿化，打造绿色生态养殖基地。同时通过养殖的集约化管理，对养殖产生的粪污进行减量化、无害化、资源化综合利用，构建生态养殖模式，对改善项目区域农业生态环境将产生积极作用。</w:t>
      </w:r>
    </w:p>
    <w:p w14:paraId="63142BA4">
      <w:pPr>
        <w:keepNext/>
        <w:keepLines/>
        <w:spacing w:line="360" w:lineRule="auto"/>
        <w:outlineLvl w:val="2"/>
        <w:rPr>
          <w:b/>
          <w:bCs/>
          <w:color w:val="auto"/>
          <w:sz w:val="24"/>
          <w:szCs w:val="24"/>
        </w:rPr>
      </w:pPr>
      <w:bookmarkStart w:id="524" w:name="_Toc12931"/>
      <w:r>
        <w:rPr>
          <w:b/>
          <w:bCs/>
          <w:color w:val="auto"/>
          <w:sz w:val="24"/>
          <w:szCs w:val="24"/>
        </w:rPr>
        <w:t>10.5.8环境风险分析结论</w:t>
      </w:r>
      <w:bookmarkEnd w:id="524"/>
    </w:p>
    <w:p w14:paraId="0BB46CB6">
      <w:pPr>
        <w:spacing w:line="360" w:lineRule="auto"/>
        <w:ind w:firstLine="480" w:firstLineChars="200"/>
        <w:jc w:val="left"/>
        <w:rPr>
          <w:color w:val="auto"/>
          <w:sz w:val="24"/>
          <w:szCs w:val="20"/>
        </w:rPr>
      </w:pPr>
      <w:r>
        <w:rPr>
          <w:color w:val="auto"/>
          <w:sz w:val="24"/>
          <w:szCs w:val="20"/>
        </w:rPr>
        <w:t>本项目涉及的</w:t>
      </w:r>
      <w:r>
        <w:rPr>
          <w:rFonts w:hint="eastAsia"/>
          <w:color w:val="auto"/>
          <w:sz w:val="24"/>
          <w:szCs w:val="20"/>
          <w:lang w:eastAsia="zh-CN"/>
        </w:rPr>
        <w:t>风险物质</w:t>
      </w:r>
      <w:r>
        <w:rPr>
          <w:color w:val="auto"/>
          <w:sz w:val="24"/>
          <w:szCs w:val="20"/>
        </w:rPr>
        <w:t>的贮存量</w:t>
      </w:r>
      <w:r>
        <w:rPr>
          <w:rFonts w:hint="eastAsia"/>
          <w:color w:val="auto"/>
          <w:sz w:val="24"/>
          <w:szCs w:val="20"/>
        </w:rPr>
        <w:t>较低</w:t>
      </w:r>
      <w:r>
        <w:rPr>
          <w:color w:val="auto"/>
          <w:sz w:val="24"/>
          <w:szCs w:val="20"/>
        </w:rPr>
        <w:t>，为非重大危险源。但是为预防环境风险的发生，本项目将采取切实可行的风险事故防范措施，并制定《突发环境事件应急预案》已备发生风险事故时立即启动，在严格落实风险管理及应急措施后，可将风险发生的概率和影响后果降到最低限度。</w:t>
      </w:r>
    </w:p>
    <w:p w14:paraId="1FA3056D">
      <w:pPr>
        <w:keepNext/>
        <w:keepLines/>
        <w:spacing w:line="360" w:lineRule="auto"/>
        <w:outlineLvl w:val="1"/>
        <w:rPr>
          <w:b/>
          <w:color w:val="auto"/>
          <w:sz w:val="28"/>
          <w:szCs w:val="28"/>
        </w:rPr>
      </w:pPr>
      <w:bookmarkStart w:id="525" w:name="_Toc9827"/>
      <w:bookmarkStart w:id="526" w:name="_Toc9385"/>
      <w:bookmarkStart w:id="527" w:name="_Toc21159"/>
      <w:r>
        <w:rPr>
          <w:b/>
          <w:color w:val="auto"/>
          <w:sz w:val="28"/>
          <w:szCs w:val="28"/>
        </w:rPr>
        <w:t>10.6环境保护措施及其可行性</w:t>
      </w:r>
      <w:bookmarkEnd w:id="525"/>
      <w:bookmarkEnd w:id="526"/>
      <w:bookmarkEnd w:id="527"/>
    </w:p>
    <w:p w14:paraId="238559F6">
      <w:pPr>
        <w:spacing w:line="360" w:lineRule="auto"/>
        <w:ind w:firstLine="480" w:firstLineChars="200"/>
        <w:jc w:val="left"/>
        <w:rPr>
          <w:color w:val="auto"/>
          <w:sz w:val="24"/>
          <w:szCs w:val="20"/>
        </w:rPr>
      </w:pPr>
      <w:r>
        <w:rPr>
          <w:color w:val="auto"/>
          <w:sz w:val="24"/>
          <w:szCs w:val="20"/>
        </w:rPr>
        <w:t>在综合分析本项目建设期与运营期各项污染物的产生环节与产生源强基础上，本评价综合考虑经济可行性与技术可行性，针对每项污染物均提出了切实可行的治理技术，在建设单位严格按照环评要求落实各项污染防治措施的基础上，可以保证项目在施工期与运营期所产生的各项污染物均可以达标排放，确保建设项目可为环境所接受。</w:t>
      </w:r>
    </w:p>
    <w:p w14:paraId="656B463D">
      <w:pPr>
        <w:keepNext/>
        <w:keepLines/>
        <w:spacing w:line="360" w:lineRule="auto"/>
        <w:outlineLvl w:val="1"/>
        <w:rPr>
          <w:b/>
          <w:color w:val="auto"/>
          <w:sz w:val="28"/>
          <w:szCs w:val="28"/>
        </w:rPr>
      </w:pPr>
      <w:bookmarkStart w:id="528" w:name="_Toc28006"/>
      <w:bookmarkStart w:id="529" w:name="_Toc23311"/>
      <w:bookmarkStart w:id="530" w:name="_Toc6286"/>
      <w:r>
        <w:rPr>
          <w:b/>
          <w:color w:val="auto"/>
          <w:sz w:val="28"/>
          <w:szCs w:val="28"/>
        </w:rPr>
        <w:t>10.7污染物排放总量控制</w:t>
      </w:r>
      <w:bookmarkEnd w:id="528"/>
      <w:bookmarkEnd w:id="529"/>
      <w:bookmarkEnd w:id="530"/>
    </w:p>
    <w:p w14:paraId="6732FF10">
      <w:pPr>
        <w:spacing w:line="360" w:lineRule="auto"/>
        <w:ind w:firstLine="480" w:firstLineChars="200"/>
        <w:rPr>
          <w:rFonts w:hint="eastAsia" w:ascii="Times New Roman" w:hAnsi="Times New Roman" w:eastAsia="宋体" w:cs="Times New Roman"/>
          <w:color w:val="auto"/>
          <w:sz w:val="24"/>
          <w:highlight w:val="none"/>
        </w:rPr>
      </w:pPr>
      <w:r>
        <w:rPr>
          <w:color w:val="auto"/>
          <w:sz w:val="24"/>
          <w:szCs w:val="20"/>
          <w:highlight w:val="none"/>
        </w:rPr>
        <w:t>根据环保部《建设项目主要污染物排放总量指标审核及管理暂行办法》（环发[2014]197号），并结合本项目的特点，</w:t>
      </w:r>
      <w:r>
        <w:rPr>
          <w:rFonts w:hint="eastAsia" w:ascii="Times New Roman" w:hAnsi="Times New Roman" w:eastAsia="宋体" w:cs="Times New Roman"/>
          <w:color w:val="auto"/>
          <w:sz w:val="24"/>
          <w:highlight w:val="none"/>
        </w:rPr>
        <w:t>本项目的</w:t>
      </w:r>
      <w:r>
        <w:rPr>
          <w:rFonts w:hint="eastAsia" w:ascii="Times New Roman" w:hAnsi="Times New Roman" w:eastAsia="宋体" w:cs="Times New Roman"/>
          <w:color w:val="auto"/>
          <w:sz w:val="24"/>
          <w:highlight w:val="none"/>
          <w:lang w:eastAsia="zh-CN"/>
        </w:rPr>
        <w:t>需申请</w:t>
      </w:r>
      <w:r>
        <w:rPr>
          <w:rFonts w:hint="eastAsia" w:ascii="Times New Roman" w:hAnsi="Times New Roman" w:eastAsia="宋体" w:cs="Times New Roman"/>
          <w:color w:val="auto"/>
          <w:sz w:val="24"/>
          <w:highlight w:val="none"/>
        </w:rPr>
        <w:t>总量控制指标为：</w:t>
      </w:r>
    </w:p>
    <w:p w14:paraId="3D83AFD2">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cs="Times New Roman"/>
          <w:color w:val="auto"/>
          <w:sz w:val="24"/>
          <w:highlight w:val="none"/>
          <w:lang w:val="en-US" w:eastAsia="zh-CN"/>
        </w:rPr>
        <w:t>废气：SO</w:t>
      </w:r>
      <w:r>
        <w:rPr>
          <w:rFonts w:hint="eastAsia" w:cs="Times New Roman"/>
          <w:color w:val="auto"/>
          <w:sz w:val="24"/>
          <w:highlight w:val="none"/>
          <w:vertAlign w:val="subscript"/>
          <w:lang w:val="en-US" w:eastAsia="zh-CN"/>
        </w:rPr>
        <w:t>2</w:t>
      </w:r>
      <w:r>
        <w:rPr>
          <w:rFonts w:hint="eastAsia" w:cs="Times New Roman"/>
          <w:color w:val="auto"/>
          <w:sz w:val="24"/>
          <w:highlight w:val="none"/>
          <w:lang w:val="en-US" w:eastAsia="zh-CN"/>
        </w:rPr>
        <w:t>0.48t/a</w:t>
      </w:r>
      <w:r>
        <w:rPr>
          <w:rFonts w:hint="eastAsia" w:ascii="Times New Roman" w:hAnsi="Times New Roman" w:eastAsia="宋体" w:cs="Times New Roman"/>
          <w:color w:val="auto"/>
          <w:sz w:val="24"/>
          <w:highlight w:val="none"/>
        </w:rPr>
        <w:t>、NOx：</w:t>
      </w:r>
      <w:r>
        <w:rPr>
          <w:rFonts w:hint="eastAsia" w:cs="Times New Roman"/>
          <w:color w:val="auto"/>
          <w:sz w:val="24"/>
          <w:highlight w:val="none"/>
          <w:lang w:val="en-US" w:eastAsia="zh-CN"/>
        </w:rPr>
        <w:t>0.67t</w:t>
      </w:r>
      <w:r>
        <w:rPr>
          <w:rFonts w:hint="eastAsia" w:ascii="Times New Roman" w:hAnsi="Times New Roman" w:eastAsia="宋体" w:cs="Times New Roman"/>
          <w:color w:val="auto"/>
          <w:sz w:val="24"/>
          <w:highlight w:val="none"/>
        </w:rPr>
        <w:t>/a</w:t>
      </w:r>
      <w:r>
        <w:rPr>
          <w:rFonts w:hint="eastAsia" w:cs="Times New Roman"/>
          <w:color w:val="auto"/>
          <w:sz w:val="24"/>
          <w:highlight w:val="none"/>
          <w:lang w:eastAsia="zh-CN"/>
        </w:rPr>
        <w:t>、颗粒物</w:t>
      </w:r>
      <w:r>
        <w:rPr>
          <w:rFonts w:hint="eastAsia" w:cs="Times New Roman"/>
          <w:color w:val="auto"/>
          <w:sz w:val="24"/>
          <w:highlight w:val="none"/>
          <w:lang w:val="en-US" w:eastAsia="zh-CN"/>
        </w:rPr>
        <w:t>0.005t/a、VOCs</w:t>
      </w:r>
      <w:r>
        <w:rPr>
          <w:rFonts w:hint="eastAsia" w:ascii="Times New Roman" w:hAnsi="Times New Roman" w:eastAsia="宋体" w:cs="Times New Roman"/>
          <w:color w:val="auto"/>
          <w:sz w:val="24"/>
          <w:highlight w:val="none"/>
        </w:rPr>
        <w:t>：</w:t>
      </w:r>
      <w:r>
        <w:rPr>
          <w:rFonts w:hint="eastAsia" w:cs="Times New Roman"/>
          <w:color w:val="auto"/>
          <w:sz w:val="24"/>
          <w:highlight w:val="none"/>
          <w:lang w:val="en-US" w:eastAsia="zh-CN"/>
        </w:rPr>
        <w:t>0</w:t>
      </w:r>
      <w:r>
        <w:rPr>
          <w:rFonts w:hint="eastAsia" w:ascii="Times New Roman" w:hAnsi="Times New Roman" w:eastAsia="宋体" w:cs="Times New Roman"/>
          <w:color w:val="auto"/>
          <w:sz w:val="24"/>
          <w:highlight w:val="none"/>
        </w:rPr>
        <w:t>t/a</w:t>
      </w:r>
      <w:r>
        <w:rPr>
          <w:rFonts w:hint="eastAsia" w:cs="Times New Roman"/>
          <w:color w:val="auto"/>
          <w:sz w:val="24"/>
          <w:highlight w:val="none"/>
          <w:lang w:eastAsia="zh-CN"/>
        </w:rPr>
        <w:t>；</w:t>
      </w:r>
    </w:p>
    <w:p w14:paraId="35567E2B">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cs="Times New Roman"/>
          <w:color w:val="auto"/>
          <w:sz w:val="24"/>
          <w:highlight w:val="none"/>
          <w:lang w:eastAsia="zh-CN"/>
        </w:rPr>
        <w:t>废水：</w:t>
      </w:r>
      <w:r>
        <w:rPr>
          <w:rFonts w:hint="eastAsia" w:ascii="Times New Roman" w:hAnsi="Times New Roman" w:eastAsia="宋体" w:cs="Times New Roman"/>
          <w:color w:val="auto"/>
          <w:sz w:val="24"/>
          <w:highlight w:val="none"/>
        </w:rPr>
        <w:t>COD：0t/a、</w:t>
      </w:r>
      <w:r>
        <w:rPr>
          <w:rFonts w:hint="eastAsia" w:ascii="Times New Roman" w:hAnsi="Times New Roman" w:eastAsia="宋体" w:cs="Times New Roman"/>
          <w:color w:val="auto"/>
          <w:sz w:val="24"/>
          <w:highlight w:val="none"/>
          <w:lang w:eastAsia="zh-CN"/>
        </w:rPr>
        <w:t>氨氮</w:t>
      </w:r>
      <w:r>
        <w:rPr>
          <w:rFonts w:hint="eastAsia" w:ascii="Times New Roman" w:hAnsi="Times New Roman" w:eastAsia="宋体" w:cs="Times New Roman"/>
          <w:color w:val="auto"/>
          <w:sz w:val="24"/>
          <w:highlight w:val="none"/>
        </w:rPr>
        <w:t>：0t/a</w:t>
      </w:r>
      <w:r>
        <w:rPr>
          <w:rFonts w:hint="eastAsia" w:cs="Times New Roman"/>
          <w:color w:val="auto"/>
          <w:sz w:val="24"/>
          <w:highlight w:val="none"/>
          <w:lang w:eastAsia="zh-CN"/>
        </w:rPr>
        <w:t>；</w:t>
      </w:r>
    </w:p>
    <w:p w14:paraId="79BE6032">
      <w:pPr>
        <w:spacing w:line="460" w:lineRule="exact"/>
        <w:ind w:firstLine="480" w:firstLineChars="200"/>
        <w:rPr>
          <w:color w:val="auto"/>
          <w:sz w:val="24"/>
          <w:szCs w:val="20"/>
          <w:highlight w:val="none"/>
        </w:rPr>
      </w:pPr>
    </w:p>
    <w:p w14:paraId="6A2DEB68">
      <w:pPr>
        <w:keepNext/>
        <w:keepLines/>
        <w:spacing w:line="360" w:lineRule="auto"/>
        <w:outlineLvl w:val="1"/>
        <w:rPr>
          <w:b/>
          <w:color w:val="auto"/>
          <w:sz w:val="28"/>
          <w:szCs w:val="28"/>
        </w:rPr>
      </w:pPr>
      <w:bookmarkStart w:id="531" w:name="_Toc6444"/>
      <w:bookmarkStart w:id="532" w:name="_Toc13074"/>
      <w:bookmarkStart w:id="533" w:name="_Toc15828"/>
      <w:r>
        <w:rPr>
          <w:b/>
          <w:color w:val="auto"/>
          <w:sz w:val="28"/>
          <w:szCs w:val="28"/>
        </w:rPr>
        <w:t>10.8环境经济损益分析结论</w:t>
      </w:r>
      <w:bookmarkEnd w:id="531"/>
      <w:bookmarkEnd w:id="532"/>
      <w:bookmarkEnd w:id="533"/>
    </w:p>
    <w:p w14:paraId="5E6EFC7A">
      <w:pPr>
        <w:spacing w:line="360" w:lineRule="auto"/>
        <w:ind w:firstLine="480" w:firstLineChars="200"/>
        <w:jc w:val="left"/>
        <w:rPr>
          <w:color w:val="auto"/>
          <w:sz w:val="24"/>
        </w:rPr>
      </w:pPr>
      <w:r>
        <w:rPr>
          <w:color w:val="auto"/>
          <w:kern w:val="21"/>
          <w:sz w:val="24"/>
        </w:rPr>
        <w:t>工程总估算投资</w:t>
      </w:r>
      <w:r>
        <w:rPr>
          <w:rFonts w:hint="eastAsia"/>
          <w:color w:val="auto"/>
          <w:sz w:val="24"/>
          <w:lang w:val="en-US" w:eastAsia="zh-CN"/>
        </w:rPr>
        <w:t>1.2亿元</w:t>
      </w:r>
      <w:r>
        <w:rPr>
          <w:color w:val="auto"/>
          <w:sz w:val="24"/>
        </w:rPr>
        <w:t>，项目环保投资</w:t>
      </w:r>
      <w:r>
        <w:rPr>
          <w:rFonts w:hint="eastAsia"/>
          <w:color w:val="auto"/>
          <w:sz w:val="24"/>
          <w:lang w:val="en-US" w:eastAsia="zh-CN"/>
        </w:rPr>
        <w:t>150.8</w:t>
      </w:r>
      <w:r>
        <w:rPr>
          <w:color w:val="auto"/>
          <w:sz w:val="24"/>
        </w:rPr>
        <w:t>万元，占总投资的</w:t>
      </w:r>
      <w:r>
        <w:rPr>
          <w:rFonts w:hint="eastAsia"/>
          <w:color w:val="auto"/>
          <w:sz w:val="24"/>
          <w:lang w:val="en-US" w:eastAsia="zh-CN"/>
        </w:rPr>
        <w:t>1.37</w:t>
      </w:r>
      <w:r>
        <w:rPr>
          <w:rFonts w:hint="eastAsia"/>
          <w:color w:val="auto"/>
          <w:sz w:val="24"/>
        </w:rPr>
        <w:t>%</w:t>
      </w:r>
      <w:r>
        <w:rPr>
          <w:color w:val="auto"/>
          <w:kern w:val="21"/>
          <w:sz w:val="24"/>
        </w:rPr>
        <w:t>。</w:t>
      </w:r>
      <w:r>
        <w:rPr>
          <w:color w:val="auto"/>
          <w:sz w:val="24"/>
        </w:rPr>
        <w:t>通过对本项目的经济、社会和环境效益分析可知，在落实本评价提出的各项污染防治措施的前提下，本项目的建设能够达到经济效益、社会效益和环境效益的统一，既为地方经济发展做出贡献，可使污染物的排放量在环境容量容许的范围内降到最低。因此本项目的建设从环境经济损益的角度分析是可行的。</w:t>
      </w:r>
    </w:p>
    <w:bookmarkEnd w:id="510"/>
    <w:bookmarkEnd w:id="511"/>
    <w:bookmarkEnd w:id="512"/>
    <w:bookmarkEnd w:id="513"/>
    <w:bookmarkEnd w:id="514"/>
    <w:bookmarkEnd w:id="515"/>
    <w:bookmarkEnd w:id="516"/>
    <w:p w14:paraId="78D89C5E">
      <w:pPr>
        <w:pStyle w:val="3"/>
        <w:jc w:val="both"/>
        <w:rPr>
          <w:rFonts w:eastAsia="宋体"/>
          <w:color w:val="auto"/>
          <w:szCs w:val="28"/>
        </w:rPr>
      </w:pPr>
      <w:bookmarkStart w:id="534" w:name="_Toc39648620"/>
      <w:bookmarkStart w:id="535" w:name="_Toc28055"/>
      <w:bookmarkStart w:id="536" w:name="_Toc27458"/>
      <w:bookmarkStart w:id="537" w:name="_Toc25639"/>
      <w:bookmarkStart w:id="538" w:name="_Toc91473410"/>
      <w:r>
        <w:rPr>
          <w:rFonts w:eastAsia="宋体"/>
          <w:color w:val="auto"/>
          <w:szCs w:val="28"/>
        </w:rPr>
        <w:t>10.9公众参与结论</w:t>
      </w:r>
      <w:bookmarkEnd w:id="534"/>
      <w:bookmarkEnd w:id="535"/>
      <w:bookmarkEnd w:id="536"/>
    </w:p>
    <w:p w14:paraId="056D4991">
      <w:pPr>
        <w:spacing w:line="360" w:lineRule="auto"/>
        <w:ind w:firstLine="480" w:firstLineChars="200"/>
        <w:rPr>
          <w:color w:val="auto"/>
          <w:sz w:val="24"/>
          <w:highlight w:val="none"/>
        </w:rPr>
      </w:pPr>
      <w:r>
        <w:rPr>
          <w:rFonts w:hint="eastAsia"/>
          <w:color w:val="auto"/>
          <w:sz w:val="24"/>
          <w:highlight w:val="none"/>
          <w:lang w:eastAsia="zh-CN"/>
        </w:rPr>
        <w:t>北票天勤农牧科技有限公司</w:t>
      </w:r>
      <w:r>
        <w:rPr>
          <w:color w:val="auto"/>
          <w:sz w:val="24"/>
          <w:highlight w:val="none"/>
        </w:rPr>
        <w:t>委托</w:t>
      </w:r>
      <w:r>
        <w:rPr>
          <w:rFonts w:hint="eastAsia"/>
          <w:color w:val="auto"/>
          <w:sz w:val="24"/>
          <w:highlight w:val="none"/>
          <w:lang w:eastAsia="zh-CN"/>
        </w:rPr>
        <w:t>朝阳众信生态环境咨询有限公司</w:t>
      </w:r>
      <w:r>
        <w:rPr>
          <w:color w:val="auto"/>
          <w:sz w:val="24"/>
          <w:highlight w:val="none"/>
        </w:rPr>
        <w:t>于202</w:t>
      </w:r>
      <w:r>
        <w:rPr>
          <w:rFonts w:hint="eastAsia"/>
          <w:color w:val="auto"/>
          <w:sz w:val="24"/>
          <w:highlight w:val="none"/>
          <w:lang w:val="en-US" w:eastAsia="zh-CN"/>
        </w:rPr>
        <w:t>4</w:t>
      </w:r>
      <w:r>
        <w:rPr>
          <w:color w:val="auto"/>
          <w:sz w:val="24"/>
          <w:highlight w:val="none"/>
        </w:rPr>
        <w:t>年</w:t>
      </w:r>
      <w:r>
        <w:rPr>
          <w:rFonts w:hint="eastAsia"/>
          <w:color w:val="auto"/>
          <w:sz w:val="24"/>
          <w:highlight w:val="none"/>
          <w:lang w:val="en-US" w:eastAsia="zh-CN"/>
        </w:rPr>
        <w:t>12</w:t>
      </w:r>
      <w:r>
        <w:rPr>
          <w:color w:val="auto"/>
          <w:sz w:val="24"/>
          <w:highlight w:val="none"/>
        </w:rPr>
        <w:t>月</w:t>
      </w:r>
      <w:r>
        <w:rPr>
          <w:rFonts w:hint="eastAsia"/>
          <w:color w:val="auto"/>
          <w:sz w:val="24"/>
          <w:highlight w:val="none"/>
          <w:lang w:val="en-US" w:eastAsia="zh-CN"/>
        </w:rPr>
        <w:t>30</w:t>
      </w:r>
      <w:r>
        <w:rPr>
          <w:color w:val="auto"/>
          <w:sz w:val="24"/>
          <w:highlight w:val="none"/>
        </w:rPr>
        <w:t>日开展环评工作。</w:t>
      </w:r>
    </w:p>
    <w:p w14:paraId="315D13ED">
      <w:pPr>
        <w:adjustRightInd w:val="0"/>
        <w:snapToGrid w:val="0"/>
        <w:spacing w:line="360" w:lineRule="auto"/>
        <w:ind w:firstLine="482"/>
        <w:rPr>
          <w:color w:val="auto"/>
          <w:sz w:val="24"/>
          <w:highlight w:val="none"/>
        </w:rPr>
      </w:pPr>
      <w:r>
        <w:rPr>
          <w:color w:val="auto"/>
          <w:sz w:val="24"/>
          <w:highlight w:val="none"/>
        </w:rPr>
        <w:t>建设单位在确定环境影响报告书编制单位后，于20</w:t>
      </w:r>
      <w:r>
        <w:rPr>
          <w:rFonts w:hint="eastAsia"/>
          <w:color w:val="auto"/>
          <w:sz w:val="24"/>
          <w:highlight w:val="none"/>
          <w:lang w:val="en-US" w:eastAsia="zh-CN"/>
        </w:rPr>
        <w:t>24</w:t>
      </w:r>
      <w:r>
        <w:rPr>
          <w:color w:val="auto"/>
          <w:sz w:val="24"/>
          <w:highlight w:val="none"/>
        </w:rPr>
        <w:t>年</w:t>
      </w:r>
      <w:r>
        <w:rPr>
          <w:rFonts w:hint="eastAsia"/>
          <w:color w:val="auto"/>
          <w:sz w:val="24"/>
          <w:highlight w:val="none"/>
          <w:lang w:val="en-US" w:eastAsia="zh-CN"/>
        </w:rPr>
        <w:t>12</w:t>
      </w:r>
      <w:r>
        <w:rPr>
          <w:color w:val="auto"/>
          <w:sz w:val="24"/>
          <w:highlight w:val="none"/>
        </w:rPr>
        <w:t>月</w:t>
      </w:r>
      <w:r>
        <w:rPr>
          <w:rFonts w:hint="eastAsia"/>
          <w:color w:val="auto"/>
          <w:sz w:val="24"/>
          <w:highlight w:val="none"/>
          <w:lang w:val="en-US" w:eastAsia="zh-CN"/>
        </w:rPr>
        <w:t>31</w:t>
      </w:r>
      <w:r>
        <w:rPr>
          <w:color w:val="auto"/>
          <w:sz w:val="24"/>
          <w:highlight w:val="none"/>
        </w:rPr>
        <w:t>日在</w:t>
      </w:r>
      <w:r>
        <w:rPr>
          <w:rFonts w:hint="eastAsia"/>
          <w:color w:val="auto"/>
          <w:sz w:val="24"/>
          <w:highlight w:val="none"/>
          <w:lang w:eastAsia="zh-CN"/>
        </w:rPr>
        <w:t>北票市人民政府网站</w:t>
      </w:r>
      <w:r>
        <w:rPr>
          <w:color w:val="auto"/>
          <w:sz w:val="24"/>
          <w:highlight w:val="none"/>
        </w:rPr>
        <w:t>进行了第一次网络平台公示。</w:t>
      </w:r>
    </w:p>
    <w:p w14:paraId="73D78640">
      <w:pPr>
        <w:adjustRightInd w:val="0"/>
        <w:snapToGrid w:val="0"/>
        <w:spacing w:line="360" w:lineRule="auto"/>
        <w:ind w:firstLine="482"/>
        <w:rPr>
          <w:color w:val="auto"/>
          <w:sz w:val="24"/>
          <w:highlight w:val="green"/>
        </w:rPr>
      </w:pPr>
      <w:r>
        <w:rPr>
          <w:color w:val="auto"/>
          <w:sz w:val="24"/>
          <w:highlight w:val="green"/>
        </w:rPr>
        <w:t>报告书编制单位于202</w:t>
      </w:r>
      <w:r>
        <w:rPr>
          <w:rFonts w:hint="eastAsia"/>
          <w:color w:val="auto"/>
          <w:sz w:val="24"/>
          <w:highlight w:val="green"/>
          <w:lang w:val="en-US" w:eastAsia="zh-CN"/>
        </w:rPr>
        <w:t>5</w:t>
      </w:r>
      <w:r>
        <w:rPr>
          <w:color w:val="auto"/>
          <w:sz w:val="24"/>
          <w:highlight w:val="green"/>
        </w:rPr>
        <w:t>年</w:t>
      </w:r>
      <w:r>
        <w:rPr>
          <w:rFonts w:hint="eastAsia"/>
          <w:color w:val="auto"/>
          <w:sz w:val="24"/>
          <w:highlight w:val="green"/>
          <w:lang w:val="en-US" w:eastAsia="zh-CN"/>
        </w:rPr>
        <w:t>2</w:t>
      </w:r>
      <w:r>
        <w:rPr>
          <w:color w:val="auto"/>
          <w:sz w:val="24"/>
          <w:highlight w:val="green"/>
        </w:rPr>
        <w:t>月</w:t>
      </w:r>
      <w:r>
        <w:rPr>
          <w:rFonts w:hint="eastAsia"/>
          <w:color w:val="auto"/>
          <w:sz w:val="24"/>
          <w:highlight w:val="green"/>
          <w:lang w:val="en-US" w:eastAsia="zh-CN"/>
        </w:rPr>
        <w:t>18</w:t>
      </w:r>
      <w:r>
        <w:rPr>
          <w:color w:val="auto"/>
          <w:sz w:val="24"/>
          <w:highlight w:val="green"/>
        </w:rPr>
        <w:t>日完成了该项目环境影响报告书的征求意见稿，建设单位通过三种方式对该项目进行同步公开。</w:t>
      </w:r>
      <w:r>
        <w:rPr>
          <w:color w:val="auto"/>
          <w:sz w:val="24"/>
          <w:highlight w:val="green"/>
        </w:rPr>
        <w:fldChar w:fldCharType="begin"/>
      </w:r>
      <w:r>
        <w:rPr>
          <w:color w:val="auto"/>
          <w:sz w:val="24"/>
          <w:highlight w:val="green"/>
        </w:rPr>
        <w:instrText xml:space="preserve"> = 1 \* GB3 </w:instrText>
      </w:r>
      <w:r>
        <w:rPr>
          <w:color w:val="auto"/>
          <w:sz w:val="24"/>
          <w:highlight w:val="green"/>
        </w:rPr>
        <w:fldChar w:fldCharType="separate"/>
      </w:r>
      <w:r>
        <w:rPr>
          <w:color w:val="auto"/>
          <w:sz w:val="24"/>
          <w:highlight w:val="green"/>
        </w:rPr>
        <w:t>①</w:t>
      </w:r>
      <w:r>
        <w:rPr>
          <w:color w:val="auto"/>
          <w:sz w:val="24"/>
          <w:highlight w:val="green"/>
        </w:rPr>
        <w:fldChar w:fldCharType="end"/>
      </w:r>
      <w:r>
        <w:rPr>
          <w:color w:val="auto"/>
          <w:sz w:val="24"/>
          <w:highlight w:val="green"/>
        </w:rPr>
        <w:t>于20</w:t>
      </w:r>
      <w:r>
        <w:rPr>
          <w:rFonts w:hint="eastAsia"/>
          <w:color w:val="auto"/>
          <w:sz w:val="24"/>
          <w:highlight w:val="green"/>
          <w:lang w:val="en-US" w:eastAsia="zh-CN"/>
        </w:rPr>
        <w:t>25</w:t>
      </w:r>
      <w:r>
        <w:rPr>
          <w:color w:val="auto"/>
          <w:sz w:val="24"/>
          <w:highlight w:val="green"/>
        </w:rPr>
        <w:t>年</w:t>
      </w:r>
      <w:r>
        <w:rPr>
          <w:rFonts w:hint="eastAsia"/>
          <w:color w:val="auto"/>
          <w:sz w:val="24"/>
          <w:highlight w:val="green"/>
          <w:lang w:val="en-US" w:eastAsia="zh-CN"/>
        </w:rPr>
        <w:t>2</w:t>
      </w:r>
      <w:r>
        <w:rPr>
          <w:color w:val="auto"/>
          <w:sz w:val="24"/>
          <w:highlight w:val="green"/>
        </w:rPr>
        <w:t>月</w:t>
      </w:r>
      <w:r>
        <w:rPr>
          <w:rFonts w:hint="eastAsia"/>
          <w:color w:val="auto"/>
          <w:sz w:val="24"/>
          <w:highlight w:val="green"/>
          <w:lang w:val="en-US" w:eastAsia="zh-CN"/>
        </w:rPr>
        <w:t>20</w:t>
      </w:r>
      <w:r>
        <w:rPr>
          <w:color w:val="auto"/>
          <w:sz w:val="24"/>
          <w:highlight w:val="green"/>
        </w:rPr>
        <w:t>日在</w:t>
      </w:r>
      <w:r>
        <w:rPr>
          <w:rFonts w:hint="eastAsia"/>
          <w:color w:val="auto"/>
          <w:sz w:val="24"/>
          <w:highlight w:val="green"/>
          <w:lang w:eastAsia="zh-CN"/>
        </w:rPr>
        <w:t>北票市</w:t>
      </w:r>
      <w:r>
        <w:rPr>
          <w:rFonts w:hint="eastAsia"/>
          <w:color w:val="auto"/>
          <w:sz w:val="24"/>
          <w:highlight w:val="green"/>
        </w:rPr>
        <w:t>人民</w:t>
      </w:r>
      <w:r>
        <w:rPr>
          <w:color w:val="auto"/>
          <w:sz w:val="24"/>
          <w:highlight w:val="green"/>
        </w:rPr>
        <w:t>政府网站进行了一次网络公示；</w:t>
      </w:r>
      <w:r>
        <w:rPr>
          <w:color w:val="auto"/>
          <w:sz w:val="24"/>
          <w:highlight w:val="green"/>
        </w:rPr>
        <w:fldChar w:fldCharType="begin"/>
      </w:r>
      <w:r>
        <w:rPr>
          <w:color w:val="auto"/>
          <w:sz w:val="24"/>
          <w:highlight w:val="green"/>
        </w:rPr>
        <w:instrText xml:space="preserve"> = 2 \* GB3 </w:instrText>
      </w:r>
      <w:r>
        <w:rPr>
          <w:color w:val="auto"/>
          <w:sz w:val="24"/>
          <w:highlight w:val="green"/>
        </w:rPr>
        <w:fldChar w:fldCharType="separate"/>
      </w:r>
      <w:r>
        <w:rPr>
          <w:color w:val="auto"/>
          <w:sz w:val="24"/>
          <w:highlight w:val="green"/>
        </w:rPr>
        <w:t>②</w:t>
      </w:r>
      <w:r>
        <w:rPr>
          <w:color w:val="auto"/>
          <w:sz w:val="24"/>
          <w:highlight w:val="green"/>
        </w:rPr>
        <w:fldChar w:fldCharType="end"/>
      </w:r>
      <w:r>
        <w:rPr>
          <w:color w:val="auto"/>
          <w:sz w:val="24"/>
          <w:highlight w:val="green"/>
        </w:rPr>
        <w:t>202</w:t>
      </w:r>
      <w:r>
        <w:rPr>
          <w:rFonts w:hint="eastAsia"/>
          <w:color w:val="auto"/>
          <w:sz w:val="24"/>
          <w:highlight w:val="green"/>
          <w:lang w:val="en-US" w:eastAsia="zh-CN"/>
        </w:rPr>
        <w:t>5</w:t>
      </w:r>
      <w:r>
        <w:rPr>
          <w:color w:val="auto"/>
          <w:sz w:val="24"/>
          <w:highlight w:val="green"/>
        </w:rPr>
        <w:t>年</w:t>
      </w:r>
      <w:r>
        <w:rPr>
          <w:rFonts w:hint="eastAsia"/>
          <w:color w:val="auto"/>
          <w:sz w:val="24"/>
          <w:highlight w:val="green"/>
          <w:lang w:val="en-US" w:eastAsia="zh-CN"/>
        </w:rPr>
        <w:t>2</w:t>
      </w:r>
      <w:r>
        <w:rPr>
          <w:color w:val="auto"/>
          <w:sz w:val="24"/>
          <w:highlight w:val="green"/>
        </w:rPr>
        <w:t>月</w:t>
      </w:r>
      <w:r>
        <w:rPr>
          <w:rFonts w:hint="eastAsia"/>
          <w:color w:val="auto"/>
          <w:sz w:val="24"/>
          <w:highlight w:val="green"/>
          <w:lang w:val="en-US" w:eastAsia="zh-CN"/>
        </w:rPr>
        <w:t>20</w:t>
      </w:r>
      <w:r>
        <w:rPr>
          <w:color w:val="auto"/>
          <w:sz w:val="24"/>
          <w:highlight w:val="green"/>
        </w:rPr>
        <w:t>日在</w:t>
      </w:r>
      <w:r>
        <w:rPr>
          <w:rFonts w:hint="eastAsia"/>
          <w:color w:val="auto"/>
          <w:sz w:val="24"/>
          <w:highlight w:val="green"/>
          <w:lang w:eastAsia="zh-CN"/>
        </w:rPr>
        <w:t>西官镇政府、大巴里村村委会分别</w:t>
      </w:r>
      <w:r>
        <w:rPr>
          <w:color w:val="auto"/>
          <w:sz w:val="24"/>
          <w:highlight w:val="green"/>
        </w:rPr>
        <w:t>进行了张贴公示；</w:t>
      </w:r>
      <w:r>
        <w:rPr>
          <w:color w:val="auto"/>
          <w:sz w:val="24"/>
          <w:highlight w:val="green"/>
        </w:rPr>
        <w:fldChar w:fldCharType="begin"/>
      </w:r>
      <w:r>
        <w:rPr>
          <w:color w:val="auto"/>
          <w:sz w:val="24"/>
          <w:highlight w:val="green"/>
        </w:rPr>
        <w:instrText xml:space="preserve"> = 3 \* GB3 </w:instrText>
      </w:r>
      <w:r>
        <w:rPr>
          <w:color w:val="auto"/>
          <w:sz w:val="24"/>
          <w:highlight w:val="green"/>
        </w:rPr>
        <w:fldChar w:fldCharType="separate"/>
      </w:r>
      <w:r>
        <w:rPr>
          <w:color w:val="auto"/>
          <w:sz w:val="24"/>
          <w:highlight w:val="green"/>
        </w:rPr>
        <w:t>③</w:t>
      </w:r>
      <w:r>
        <w:rPr>
          <w:color w:val="auto"/>
          <w:sz w:val="24"/>
          <w:highlight w:val="green"/>
        </w:rPr>
        <w:fldChar w:fldCharType="end"/>
      </w:r>
      <w:r>
        <w:rPr>
          <w:rFonts w:hint="eastAsia" w:hAnsi="宋体"/>
          <w:color w:val="auto"/>
          <w:sz w:val="24"/>
          <w:highlight w:val="green"/>
        </w:rPr>
        <w:t>分别于</w:t>
      </w:r>
      <w:r>
        <w:rPr>
          <w:rFonts w:hAnsi="宋体"/>
          <w:color w:val="auto"/>
          <w:sz w:val="24"/>
          <w:highlight w:val="green"/>
        </w:rPr>
        <w:t>20</w:t>
      </w:r>
      <w:r>
        <w:rPr>
          <w:rFonts w:hint="eastAsia" w:hAnsi="宋体"/>
          <w:color w:val="auto"/>
          <w:sz w:val="24"/>
          <w:highlight w:val="green"/>
        </w:rPr>
        <w:t>2</w:t>
      </w:r>
      <w:r>
        <w:rPr>
          <w:rFonts w:hint="eastAsia" w:hAnsi="宋体"/>
          <w:color w:val="auto"/>
          <w:sz w:val="24"/>
          <w:highlight w:val="green"/>
          <w:lang w:val="en-US" w:eastAsia="zh-CN"/>
        </w:rPr>
        <w:t>5</w:t>
      </w:r>
      <w:r>
        <w:rPr>
          <w:rFonts w:hint="eastAsia" w:hAnsi="宋体"/>
          <w:color w:val="auto"/>
          <w:sz w:val="24"/>
          <w:highlight w:val="green"/>
        </w:rPr>
        <w:t>年</w:t>
      </w:r>
      <w:r>
        <w:rPr>
          <w:rFonts w:hint="eastAsia" w:hAnsi="宋体"/>
          <w:color w:val="auto"/>
          <w:sz w:val="24"/>
          <w:highlight w:val="green"/>
          <w:lang w:val="en-US" w:eastAsia="zh-CN"/>
        </w:rPr>
        <w:t>2</w:t>
      </w:r>
      <w:r>
        <w:rPr>
          <w:rFonts w:hint="eastAsia" w:hAnsi="宋体"/>
          <w:color w:val="auto"/>
          <w:sz w:val="24"/>
          <w:highlight w:val="green"/>
        </w:rPr>
        <w:t>月</w:t>
      </w:r>
      <w:r>
        <w:rPr>
          <w:rFonts w:hint="eastAsia" w:hAnsi="宋体"/>
          <w:color w:val="auto"/>
          <w:sz w:val="24"/>
          <w:highlight w:val="green"/>
          <w:lang w:val="en-US" w:eastAsia="zh-CN"/>
        </w:rPr>
        <w:t>20</w:t>
      </w:r>
      <w:r>
        <w:rPr>
          <w:rFonts w:hint="eastAsia" w:hAnsi="宋体"/>
          <w:color w:val="auto"/>
          <w:sz w:val="24"/>
          <w:highlight w:val="green"/>
        </w:rPr>
        <w:t>日、</w:t>
      </w:r>
      <w:r>
        <w:rPr>
          <w:rFonts w:hint="eastAsia" w:hAnsi="宋体"/>
          <w:color w:val="auto"/>
          <w:sz w:val="24"/>
          <w:highlight w:val="green"/>
          <w:lang w:val="en-US" w:eastAsia="zh-CN"/>
        </w:rPr>
        <w:t>2月25</w:t>
      </w:r>
      <w:r>
        <w:rPr>
          <w:rFonts w:hint="eastAsia" w:hAnsi="宋体"/>
          <w:color w:val="auto"/>
          <w:sz w:val="24"/>
          <w:highlight w:val="green"/>
        </w:rPr>
        <w:t>日在《</w:t>
      </w:r>
      <w:r>
        <w:rPr>
          <w:rFonts w:hint="eastAsia" w:hAnsi="宋体"/>
          <w:color w:val="auto"/>
          <w:sz w:val="24"/>
          <w:highlight w:val="green"/>
          <w:lang w:eastAsia="zh-CN"/>
        </w:rPr>
        <w:t>燕都晨报</w:t>
      </w:r>
      <w:r>
        <w:rPr>
          <w:rFonts w:hint="eastAsia" w:hAnsi="宋体"/>
          <w:color w:val="auto"/>
          <w:sz w:val="24"/>
          <w:highlight w:val="green"/>
        </w:rPr>
        <w:t>》进行两次</w:t>
      </w:r>
      <w:r>
        <w:rPr>
          <w:rFonts w:hint="eastAsia" w:hAnsi="宋体"/>
          <w:color w:val="auto"/>
          <w:sz w:val="24"/>
          <w:highlight w:val="green"/>
          <w:lang w:eastAsia="zh-CN"/>
        </w:rPr>
        <w:t>报纸</w:t>
      </w:r>
      <w:r>
        <w:rPr>
          <w:rFonts w:hint="eastAsia" w:hAnsi="宋体"/>
          <w:color w:val="auto"/>
          <w:sz w:val="24"/>
          <w:highlight w:val="green"/>
        </w:rPr>
        <w:t>公示</w:t>
      </w:r>
      <w:r>
        <w:rPr>
          <w:color w:val="auto"/>
          <w:sz w:val="24"/>
          <w:highlight w:val="green"/>
        </w:rPr>
        <w:t>。</w:t>
      </w:r>
    </w:p>
    <w:p w14:paraId="0FEE7DE5">
      <w:pPr>
        <w:adjustRightInd w:val="0"/>
        <w:snapToGrid w:val="0"/>
        <w:spacing w:line="360" w:lineRule="auto"/>
        <w:ind w:firstLine="482"/>
        <w:rPr>
          <w:bCs/>
          <w:color w:val="auto"/>
          <w:spacing w:val="4"/>
          <w:sz w:val="24"/>
        </w:rPr>
      </w:pPr>
      <w:r>
        <w:rPr>
          <w:bCs/>
          <w:color w:val="auto"/>
          <w:spacing w:val="4"/>
          <w:sz w:val="24"/>
        </w:rPr>
        <w:t>从公众参与情况来看，大多数被调查对象均对项目有一定的了解，认为该项目的建设可以促进当地经济的发展，对该项目建设持积极的支持态度。在项目施工期和运营期，建设单位都应该加强环境保护、安全管理工作，对公众提出的合理要求和建议应积极予以采纳，把项目对环境和公众利益的影响减少到最低。</w:t>
      </w:r>
    </w:p>
    <w:bookmarkEnd w:id="537"/>
    <w:p w14:paraId="31EACA65">
      <w:pPr>
        <w:pStyle w:val="3"/>
        <w:numPr>
          <w:ilvl w:val="1"/>
          <w:numId w:val="0"/>
        </w:numPr>
        <w:tabs>
          <w:tab w:val="left" w:pos="360"/>
          <w:tab w:val="left" w:pos="720"/>
          <w:tab w:val="left" w:pos="1047"/>
        </w:tabs>
        <w:snapToGrid/>
        <w:jc w:val="both"/>
        <w:rPr>
          <w:rFonts w:eastAsia="宋体"/>
          <w:color w:val="auto"/>
          <w:szCs w:val="28"/>
        </w:rPr>
      </w:pPr>
      <w:bookmarkStart w:id="539" w:name="_Toc9339"/>
      <w:bookmarkStart w:id="540" w:name="_Toc446938451"/>
      <w:bookmarkStart w:id="541" w:name="_Toc448693491"/>
      <w:bookmarkStart w:id="542" w:name="_Toc440368338"/>
      <w:bookmarkStart w:id="543" w:name="_Toc448771457"/>
      <w:bookmarkStart w:id="544" w:name="_Toc448693413"/>
      <w:bookmarkStart w:id="545" w:name="_Toc6798"/>
      <w:bookmarkStart w:id="546" w:name="_Toc448765722"/>
      <w:bookmarkStart w:id="547" w:name="_Toc17576"/>
      <w:r>
        <w:rPr>
          <w:rFonts w:eastAsia="宋体"/>
          <w:color w:val="auto"/>
          <w:szCs w:val="28"/>
        </w:rPr>
        <w:t>10.10评价总结论</w:t>
      </w:r>
      <w:bookmarkEnd w:id="539"/>
      <w:bookmarkEnd w:id="540"/>
      <w:bookmarkEnd w:id="541"/>
      <w:bookmarkEnd w:id="542"/>
      <w:bookmarkEnd w:id="543"/>
      <w:bookmarkEnd w:id="544"/>
      <w:bookmarkEnd w:id="545"/>
      <w:bookmarkEnd w:id="546"/>
      <w:bookmarkEnd w:id="547"/>
    </w:p>
    <w:p w14:paraId="1C602DA0">
      <w:pPr>
        <w:spacing w:line="360" w:lineRule="auto"/>
        <w:ind w:firstLine="480" w:firstLineChars="200"/>
        <w:rPr>
          <w:color w:val="auto"/>
          <w:sz w:val="24"/>
        </w:rPr>
      </w:pPr>
      <w:r>
        <w:rPr>
          <w:rFonts w:hint="eastAsia"/>
          <w:color w:val="auto"/>
          <w:sz w:val="24"/>
          <w:lang w:eastAsia="zh-CN"/>
        </w:rPr>
        <w:t>北票天勤农牧科技有限公司100万只蛋鸡养殖基地建设项目</w:t>
      </w:r>
      <w:r>
        <w:rPr>
          <w:color w:val="auto"/>
          <w:sz w:val="24"/>
        </w:rPr>
        <w:t>符合国家及地方的相关产业政策；选址满足《畜禽养殖业污染防治技术规范》（HJ/T81-2001）、《畜禽规模养殖污染防治条例》（国务院第643号令）和《畜禽养殖业污染治理工程技术规范》（HJ497-2009）中的选址要求，不位于</w:t>
      </w:r>
      <w:r>
        <w:rPr>
          <w:rFonts w:hint="eastAsia"/>
          <w:color w:val="auto"/>
          <w:sz w:val="24"/>
          <w:lang w:eastAsia="zh-CN"/>
        </w:rPr>
        <w:t>北票市</w:t>
      </w:r>
      <w:r>
        <w:rPr>
          <w:color w:val="auto"/>
          <w:sz w:val="24"/>
        </w:rPr>
        <w:t>禁养限养区内；符合国家及地方相关规划要求；项目区大气、地下水、噪声环境质量现状基本满足现行国家标准要求，尚有一定的环境容量；项目拟针对各污染源采取的环保措施合理有效，技术可行，污染物能实现达标排放，对评价区域环境质量的影响较小；项目建设和运营不会改变区域的环境功能，环境风险水平可接受，项目建设得到了项目周围各界公众的普遍支持。从环保角度分析，本项目的建设是可行的。</w:t>
      </w:r>
    </w:p>
    <w:bookmarkEnd w:id="291"/>
    <w:bookmarkEnd w:id="292"/>
    <w:bookmarkEnd w:id="293"/>
    <w:bookmarkEnd w:id="294"/>
    <w:bookmarkEnd w:id="295"/>
    <w:bookmarkEnd w:id="296"/>
    <w:bookmarkEnd w:id="538"/>
    <w:p w14:paraId="142F2078">
      <w:pPr>
        <w:pStyle w:val="276"/>
        <w:ind w:left="0" w:firstLine="482"/>
        <w:outlineLvl w:val="9"/>
        <w:rPr>
          <w:b/>
          <w:color w:val="auto"/>
        </w:rPr>
      </w:pPr>
    </w:p>
    <w:p w14:paraId="48E168B0">
      <w:pPr>
        <w:pStyle w:val="276"/>
        <w:ind w:left="0" w:firstLine="482"/>
        <w:outlineLvl w:val="9"/>
        <w:rPr>
          <w:b/>
          <w:color w:val="auto"/>
        </w:rPr>
      </w:pPr>
    </w:p>
    <w:bookmarkEnd w:id="203"/>
    <w:p w14:paraId="60C135D0">
      <w:pPr>
        <w:rPr>
          <w:color w:val="auto"/>
        </w:rPr>
        <w:sectPr>
          <w:headerReference r:id="rId12" w:type="default"/>
          <w:footerReference r:id="rId13" w:type="default"/>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3DAFC581">
      <w:pPr>
        <w:rPr>
          <w:rFonts w:hint="eastAsia" w:eastAsia="宋体"/>
          <w:b/>
          <w:bCs/>
          <w:color w:val="auto"/>
          <w:sz w:val="24"/>
          <w:lang w:eastAsia="zh-CN"/>
        </w:rPr>
      </w:pPr>
      <w:r>
        <w:rPr>
          <w:rFonts w:hint="eastAsia"/>
          <w:b/>
          <w:bCs/>
          <w:color w:val="auto"/>
          <w:sz w:val="24"/>
        </w:rPr>
        <w:t>附件1：委托书</w:t>
      </w:r>
    </w:p>
    <w:p w14:paraId="1571601C">
      <w:pPr>
        <w:rPr>
          <w:color w:val="auto"/>
        </w:rPr>
      </w:pPr>
    </w:p>
    <w:p w14:paraId="1B82C5F5">
      <w:pPr>
        <w:jc w:val="center"/>
        <w:rPr>
          <w:b/>
          <w:color w:val="auto"/>
          <w:sz w:val="48"/>
          <w:szCs w:val="48"/>
        </w:rPr>
      </w:pPr>
      <w:r>
        <w:rPr>
          <w:color w:val="auto"/>
          <w:sz w:val="48"/>
          <w:szCs w:val="48"/>
        </w:rPr>
        <w:t xml:space="preserve"> </w:t>
      </w:r>
      <w:r>
        <w:rPr>
          <w:b/>
          <w:color w:val="auto"/>
          <w:sz w:val="48"/>
          <w:szCs w:val="48"/>
        </w:rPr>
        <w:drawing>
          <wp:inline distT="0" distB="0" distL="114300" distR="114300">
            <wp:extent cx="0" cy="0"/>
            <wp:effectExtent l="0" t="0" r="0" b="0"/>
            <wp:docPr id="310" name="图片 1" descr="img-319083715-ApeosPort-III C4400(440000)-6260-19031908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 descr="img-319083715-ApeosPort-III C4400(440000)-6260-190319083719"/>
                    <pic:cNvPicPr>
                      <a:picLocks noChangeAspect="1"/>
                    </pic:cNvPicPr>
                  </pic:nvPicPr>
                  <pic:blipFill>
                    <a:blip r:embed="rId61"/>
                    <a:stretch>
                      <a:fillRect/>
                    </a:stretch>
                  </pic:blipFill>
                  <pic:spPr>
                    <a:xfrm>
                      <a:off x="0" y="0"/>
                      <a:ext cx="0" cy="0"/>
                    </a:xfrm>
                    <a:prstGeom prst="rect">
                      <a:avLst/>
                    </a:prstGeom>
                    <a:noFill/>
                    <a:ln>
                      <a:noFill/>
                    </a:ln>
                  </pic:spPr>
                </pic:pic>
              </a:graphicData>
            </a:graphic>
          </wp:inline>
        </w:drawing>
      </w:r>
      <w:r>
        <w:rPr>
          <w:b/>
          <w:color w:val="auto"/>
          <w:sz w:val="48"/>
          <w:szCs w:val="48"/>
        </w:rPr>
        <w:t>环境影响评价委托书</w:t>
      </w:r>
    </w:p>
    <w:p w14:paraId="37B2A709">
      <w:pPr>
        <w:ind w:firstLine="560"/>
        <w:rPr>
          <w:color w:val="auto"/>
          <w:sz w:val="28"/>
          <w:szCs w:val="28"/>
        </w:rPr>
      </w:pPr>
    </w:p>
    <w:p w14:paraId="3A492B22">
      <w:pPr>
        <w:rPr>
          <w:b/>
          <w:color w:val="auto"/>
          <w:sz w:val="28"/>
          <w:szCs w:val="28"/>
        </w:rPr>
      </w:pPr>
      <w:r>
        <w:rPr>
          <w:rFonts w:hint="eastAsia"/>
          <w:b/>
          <w:color w:val="auto"/>
          <w:sz w:val="28"/>
          <w:szCs w:val="28"/>
          <w:lang w:eastAsia="zh-CN"/>
        </w:rPr>
        <w:t>朝阳众信生态环境咨询有限公司</w:t>
      </w:r>
      <w:r>
        <w:rPr>
          <w:b/>
          <w:color w:val="auto"/>
          <w:sz w:val="28"/>
          <w:szCs w:val="28"/>
        </w:rPr>
        <w:t>：</w:t>
      </w:r>
    </w:p>
    <w:p w14:paraId="05AAA9F2">
      <w:pPr>
        <w:pStyle w:val="33"/>
        <w:spacing w:after="0" w:line="360" w:lineRule="auto"/>
        <w:ind w:left="0" w:leftChars="0" w:firstLine="562" w:firstLineChars="200"/>
        <w:rPr>
          <w:b/>
          <w:color w:val="auto"/>
          <w:sz w:val="28"/>
          <w:szCs w:val="28"/>
          <w:u w:val="single"/>
        </w:rPr>
      </w:pPr>
      <w:r>
        <w:rPr>
          <w:b/>
          <w:color w:val="auto"/>
          <w:sz w:val="28"/>
          <w:szCs w:val="28"/>
        </w:rPr>
        <w:t xml:space="preserve">根据国家对建设项目环境管理的有关法律、政策规定，现正式委托你公司承担 </w:t>
      </w:r>
      <w:r>
        <w:rPr>
          <w:b/>
          <w:color w:val="auto"/>
          <w:sz w:val="28"/>
          <w:szCs w:val="28"/>
          <w:u w:val="single"/>
        </w:rPr>
        <w:t xml:space="preserve"> </w:t>
      </w:r>
      <w:r>
        <w:rPr>
          <w:rFonts w:hint="eastAsia"/>
          <w:b/>
          <w:bCs/>
          <w:color w:val="auto"/>
          <w:sz w:val="28"/>
          <w:szCs w:val="28"/>
          <w:u w:val="single"/>
          <w:lang w:eastAsia="zh-CN"/>
        </w:rPr>
        <w:t>北票天勤农牧科技有限公司100万只蛋鸡养殖基地建设项目</w:t>
      </w:r>
      <w:r>
        <w:rPr>
          <w:b/>
          <w:bCs/>
          <w:color w:val="auto"/>
          <w:sz w:val="28"/>
          <w:szCs w:val="28"/>
          <w:u w:val="single"/>
        </w:rPr>
        <w:t xml:space="preserve"> </w:t>
      </w:r>
      <w:r>
        <w:rPr>
          <w:b/>
          <w:color w:val="auto"/>
          <w:sz w:val="28"/>
          <w:szCs w:val="28"/>
        </w:rPr>
        <w:t>的环境影响评价工作。请你公司接受委托后按国家环境影响评价的相关工作程序，正式开展工作。具体事宜双方签订合同确定。</w:t>
      </w:r>
    </w:p>
    <w:p w14:paraId="49F12343">
      <w:pPr>
        <w:spacing w:line="600" w:lineRule="exact"/>
        <w:ind w:firstLine="643"/>
        <w:rPr>
          <w:b/>
          <w:color w:val="auto"/>
          <w:sz w:val="28"/>
          <w:szCs w:val="28"/>
        </w:rPr>
      </w:pPr>
    </w:p>
    <w:p w14:paraId="5EFA1E68">
      <w:pPr>
        <w:spacing w:line="600" w:lineRule="exact"/>
        <w:ind w:firstLine="643"/>
        <w:rPr>
          <w:b/>
          <w:color w:val="auto"/>
          <w:sz w:val="28"/>
          <w:szCs w:val="28"/>
        </w:rPr>
      </w:pPr>
      <w:r>
        <w:rPr>
          <w:b/>
          <w:color w:val="auto"/>
          <w:sz w:val="28"/>
          <w:szCs w:val="28"/>
        </w:rPr>
        <w:t>特此委托。</w:t>
      </w:r>
    </w:p>
    <w:p w14:paraId="4AC062C7">
      <w:pPr>
        <w:ind w:firstLine="562"/>
        <w:rPr>
          <w:b/>
          <w:color w:val="auto"/>
          <w:sz w:val="28"/>
          <w:szCs w:val="28"/>
        </w:rPr>
      </w:pPr>
    </w:p>
    <w:p w14:paraId="4513407B">
      <w:pPr>
        <w:ind w:firstLine="643"/>
        <w:rPr>
          <w:b/>
          <w:color w:val="auto"/>
          <w:sz w:val="28"/>
          <w:szCs w:val="28"/>
          <w:u w:val="single"/>
        </w:rPr>
      </w:pPr>
      <w:r>
        <w:rPr>
          <w:b/>
          <w:color w:val="auto"/>
          <w:sz w:val="28"/>
          <w:szCs w:val="28"/>
        </w:rPr>
        <w:t xml:space="preserve">                  委托单位（签章）：</w:t>
      </w:r>
    </w:p>
    <w:p w14:paraId="64B844C6">
      <w:pPr>
        <w:ind w:firstLine="643"/>
        <w:rPr>
          <w:b/>
          <w:color w:val="auto"/>
          <w:sz w:val="28"/>
          <w:szCs w:val="28"/>
          <w:u w:val="single"/>
        </w:rPr>
      </w:pPr>
    </w:p>
    <w:p w14:paraId="7D90BE75">
      <w:pPr>
        <w:pStyle w:val="20"/>
        <w:ind w:firstLine="4216" w:firstLineChars="1500"/>
        <w:rPr>
          <w:color w:val="auto"/>
          <w:sz w:val="28"/>
          <w:szCs w:val="28"/>
          <w:highlight w:val="none"/>
        </w:rPr>
        <w:sectPr>
          <w:footerReference r:id="rId14"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b/>
          <w:color w:val="auto"/>
          <w:sz w:val="28"/>
          <w:szCs w:val="28"/>
          <w:highlight w:val="none"/>
        </w:rPr>
        <w:t>202</w:t>
      </w:r>
      <w:r>
        <w:rPr>
          <w:rFonts w:hint="eastAsia"/>
          <w:b/>
          <w:color w:val="auto"/>
          <w:sz w:val="28"/>
          <w:szCs w:val="28"/>
          <w:highlight w:val="none"/>
          <w:lang w:val="en-US" w:eastAsia="zh-CN"/>
        </w:rPr>
        <w:t>4</w:t>
      </w:r>
      <w:r>
        <w:rPr>
          <w:b/>
          <w:color w:val="auto"/>
          <w:sz w:val="28"/>
          <w:szCs w:val="28"/>
          <w:highlight w:val="none"/>
        </w:rPr>
        <w:t>年</w:t>
      </w:r>
      <w:r>
        <w:rPr>
          <w:rFonts w:hint="eastAsia"/>
          <w:b/>
          <w:color w:val="auto"/>
          <w:sz w:val="28"/>
          <w:szCs w:val="28"/>
          <w:highlight w:val="none"/>
          <w:lang w:val="en-US" w:eastAsia="zh-CN"/>
        </w:rPr>
        <w:t>12</w:t>
      </w:r>
      <w:r>
        <w:rPr>
          <w:b/>
          <w:color w:val="auto"/>
          <w:sz w:val="28"/>
          <w:szCs w:val="28"/>
          <w:highlight w:val="none"/>
        </w:rPr>
        <w:t>月</w:t>
      </w:r>
      <w:r>
        <w:rPr>
          <w:rFonts w:hint="eastAsia"/>
          <w:b/>
          <w:color w:val="auto"/>
          <w:sz w:val="28"/>
          <w:szCs w:val="28"/>
          <w:highlight w:val="none"/>
          <w:lang w:val="en-US" w:eastAsia="zh-CN"/>
        </w:rPr>
        <w:t>30</w:t>
      </w:r>
      <w:r>
        <w:rPr>
          <w:b/>
          <w:color w:val="auto"/>
          <w:sz w:val="28"/>
          <w:szCs w:val="28"/>
          <w:highlight w:val="none"/>
        </w:rPr>
        <w:t>日</w:t>
      </w:r>
    </w:p>
    <w:p w14:paraId="0A1F91A2">
      <w:pPr>
        <w:rPr>
          <w:rFonts w:hint="eastAsia"/>
          <w:b/>
          <w:bCs/>
          <w:color w:val="auto"/>
          <w:sz w:val="24"/>
        </w:rPr>
      </w:pPr>
      <w:r>
        <w:rPr>
          <w:rFonts w:hint="eastAsia"/>
          <w:b/>
          <w:bCs/>
          <w:color w:val="auto"/>
          <w:sz w:val="24"/>
        </w:rPr>
        <w:t>附件2：营业执照</w:t>
      </w:r>
    </w:p>
    <w:p w14:paraId="71A7D64C">
      <w:pPr>
        <w:rPr>
          <w:rFonts w:hint="eastAsia" w:eastAsia="宋体"/>
          <w:b/>
          <w:bCs/>
          <w:color w:val="auto"/>
          <w:sz w:val="24"/>
          <w:lang w:eastAsia="zh-CN"/>
        </w:rPr>
      </w:pPr>
      <w:r>
        <w:rPr>
          <w:rFonts w:hint="eastAsia" w:eastAsia="宋体"/>
          <w:b/>
          <w:bCs/>
          <w:color w:val="auto"/>
          <w:sz w:val="24"/>
          <w:lang w:eastAsia="zh-CN"/>
        </w:rPr>
        <w:drawing>
          <wp:inline distT="0" distB="0" distL="114300" distR="114300">
            <wp:extent cx="5275580" cy="8001000"/>
            <wp:effectExtent l="0" t="0" r="1270" b="0"/>
            <wp:docPr id="3" name="图片 3" descr="微信图片_2024111216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41112161814"/>
                    <pic:cNvPicPr>
                      <a:picLocks noChangeAspect="1"/>
                    </pic:cNvPicPr>
                  </pic:nvPicPr>
                  <pic:blipFill>
                    <a:blip r:embed="rId62"/>
                    <a:stretch>
                      <a:fillRect/>
                    </a:stretch>
                  </pic:blipFill>
                  <pic:spPr>
                    <a:xfrm rot="10800000">
                      <a:off x="0" y="0"/>
                      <a:ext cx="5275580" cy="8001000"/>
                    </a:xfrm>
                    <a:prstGeom prst="rect">
                      <a:avLst/>
                    </a:prstGeom>
                  </pic:spPr>
                </pic:pic>
              </a:graphicData>
            </a:graphic>
          </wp:inline>
        </w:drawing>
      </w:r>
    </w:p>
    <w:p w14:paraId="30ECD2BF">
      <w:pPr>
        <w:rPr>
          <w:rFonts w:hint="eastAsia" w:eastAsia="宋体"/>
          <w:color w:val="auto"/>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234A0A06">
      <w:pPr>
        <w:rPr>
          <w:rFonts w:hint="eastAsia" w:eastAsia="宋体"/>
          <w:b/>
          <w:bCs/>
          <w:color w:val="auto"/>
          <w:sz w:val="24"/>
          <w:lang w:eastAsia="zh-CN"/>
        </w:rPr>
      </w:pPr>
      <w:r>
        <w:rPr>
          <w:rFonts w:hint="eastAsia"/>
          <w:b/>
          <w:bCs/>
          <w:color w:val="auto"/>
          <w:sz w:val="24"/>
        </w:rPr>
        <w:t>附件</w:t>
      </w:r>
      <w:r>
        <w:rPr>
          <w:rFonts w:hint="eastAsia"/>
          <w:b/>
          <w:bCs/>
          <w:color w:val="auto"/>
          <w:sz w:val="24"/>
          <w:lang w:val="en-US" w:eastAsia="zh-CN"/>
        </w:rPr>
        <w:t>3</w:t>
      </w:r>
      <w:r>
        <w:rPr>
          <w:rFonts w:hint="eastAsia"/>
          <w:b/>
          <w:bCs/>
          <w:color w:val="auto"/>
          <w:sz w:val="24"/>
        </w:rPr>
        <w:t>：</w:t>
      </w:r>
      <w:r>
        <w:rPr>
          <w:rFonts w:hint="eastAsia"/>
          <w:b/>
          <w:bCs/>
          <w:color w:val="auto"/>
          <w:sz w:val="24"/>
          <w:lang w:eastAsia="zh-CN"/>
        </w:rPr>
        <w:t>项目用地合规性审核意见</w:t>
      </w:r>
    </w:p>
    <w:p w14:paraId="08C010A7">
      <w:pPr>
        <w:pStyle w:val="69"/>
        <w:rPr>
          <w:rFonts w:hint="eastAsia" w:eastAsia="仿宋_GB2312"/>
          <w:color w:val="auto"/>
          <w:lang w:eastAsia="zh-CN"/>
        </w:rPr>
      </w:pPr>
      <w:r>
        <w:rPr>
          <w:rFonts w:hint="eastAsia" w:eastAsia="仿宋_GB2312"/>
          <w:color w:val="auto"/>
          <w:lang w:eastAsia="zh-CN"/>
        </w:rPr>
        <w:drawing>
          <wp:inline distT="0" distB="0" distL="114300" distR="114300">
            <wp:extent cx="4655185" cy="8275320"/>
            <wp:effectExtent l="0" t="0" r="12065" b="11430"/>
            <wp:docPr id="71" name="图片 71" descr="微信图片_2025021908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微信图片_20250219084535"/>
                    <pic:cNvPicPr>
                      <a:picLocks noChangeAspect="1"/>
                    </pic:cNvPicPr>
                  </pic:nvPicPr>
                  <pic:blipFill>
                    <a:blip r:embed="rId63"/>
                    <a:stretch>
                      <a:fillRect/>
                    </a:stretch>
                  </pic:blipFill>
                  <pic:spPr>
                    <a:xfrm>
                      <a:off x="0" y="0"/>
                      <a:ext cx="4655185" cy="8275320"/>
                    </a:xfrm>
                    <a:prstGeom prst="rect">
                      <a:avLst/>
                    </a:prstGeom>
                  </pic:spPr>
                </pic:pic>
              </a:graphicData>
            </a:graphic>
          </wp:inline>
        </w:drawing>
      </w:r>
      <w:r>
        <w:rPr>
          <w:rFonts w:hint="eastAsia" w:eastAsia="仿宋_GB2312"/>
          <w:color w:val="auto"/>
          <w:lang w:eastAsia="zh-CN"/>
        </w:rPr>
        <w:drawing>
          <wp:inline distT="0" distB="0" distL="114300" distR="114300">
            <wp:extent cx="4693920" cy="8344535"/>
            <wp:effectExtent l="0" t="0" r="11430" b="18415"/>
            <wp:docPr id="72" name="图片 72" descr="微信图片_2025021908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微信图片_20250219084539"/>
                    <pic:cNvPicPr>
                      <a:picLocks noChangeAspect="1"/>
                    </pic:cNvPicPr>
                  </pic:nvPicPr>
                  <pic:blipFill>
                    <a:blip r:embed="rId64"/>
                    <a:stretch>
                      <a:fillRect/>
                    </a:stretch>
                  </pic:blipFill>
                  <pic:spPr>
                    <a:xfrm>
                      <a:off x="0" y="0"/>
                      <a:ext cx="4693920" cy="8344535"/>
                    </a:xfrm>
                    <a:prstGeom prst="rect">
                      <a:avLst/>
                    </a:prstGeom>
                  </pic:spPr>
                </pic:pic>
              </a:graphicData>
            </a:graphic>
          </wp:inline>
        </w:drawing>
      </w:r>
      <w:r>
        <w:rPr>
          <w:rFonts w:hint="eastAsia" w:eastAsia="仿宋_GB2312"/>
          <w:color w:val="auto"/>
          <w:lang w:eastAsia="zh-CN"/>
        </w:rPr>
        <w:drawing>
          <wp:inline distT="0" distB="0" distL="114300" distR="114300">
            <wp:extent cx="4700270" cy="8355965"/>
            <wp:effectExtent l="0" t="0" r="5080" b="6985"/>
            <wp:docPr id="75" name="图片 75" descr="微信图片_202502190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微信图片_20250219084542"/>
                    <pic:cNvPicPr>
                      <a:picLocks noChangeAspect="1"/>
                    </pic:cNvPicPr>
                  </pic:nvPicPr>
                  <pic:blipFill>
                    <a:blip r:embed="rId65"/>
                    <a:stretch>
                      <a:fillRect/>
                    </a:stretch>
                  </pic:blipFill>
                  <pic:spPr>
                    <a:xfrm>
                      <a:off x="0" y="0"/>
                      <a:ext cx="4700270" cy="8355965"/>
                    </a:xfrm>
                    <a:prstGeom prst="rect">
                      <a:avLst/>
                    </a:prstGeom>
                  </pic:spPr>
                </pic:pic>
              </a:graphicData>
            </a:graphic>
          </wp:inline>
        </w:drawing>
      </w:r>
      <w:r>
        <w:rPr>
          <w:rFonts w:hint="eastAsia" w:eastAsia="仿宋_GB2312"/>
          <w:color w:val="auto"/>
          <w:lang w:eastAsia="zh-CN"/>
        </w:rPr>
        <w:drawing>
          <wp:inline distT="0" distB="0" distL="114300" distR="114300">
            <wp:extent cx="4694555" cy="8346440"/>
            <wp:effectExtent l="0" t="0" r="10795" b="16510"/>
            <wp:docPr id="76" name="图片 76" descr="微信图片_2025021908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微信图片_20250219084544"/>
                    <pic:cNvPicPr>
                      <a:picLocks noChangeAspect="1"/>
                    </pic:cNvPicPr>
                  </pic:nvPicPr>
                  <pic:blipFill>
                    <a:blip r:embed="rId66"/>
                    <a:stretch>
                      <a:fillRect/>
                    </a:stretch>
                  </pic:blipFill>
                  <pic:spPr>
                    <a:xfrm>
                      <a:off x="0" y="0"/>
                      <a:ext cx="4694555" cy="8346440"/>
                    </a:xfrm>
                    <a:prstGeom prst="rect">
                      <a:avLst/>
                    </a:prstGeom>
                  </pic:spPr>
                </pic:pic>
              </a:graphicData>
            </a:graphic>
          </wp:inline>
        </w:drawing>
      </w:r>
    </w:p>
    <w:p w14:paraId="77A6F95F">
      <w:pPr>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br w:type="page"/>
      </w:r>
    </w:p>
    <w:p w14:paraId="0CBDA2BC">
      <w:pPr>
        <w:pStyle w:val="69"/>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eastAsia="zh-CN"/>
        </w:rPr>
        <w:t>附件</w:t>
      </w:r>
      <w:r>
        <w:rPr>
          <w:rFonts w:hint="eastAsia" w:ascii="Times New Roman" w:hAnsi="Times New Roman" w:eastAsia="宋体" w:cs="Times New Roman"/>
          <w:b/>
          <w:bCs/>
          <w:color w:val="auto"/>
          <w:lang w:val="en-US" w:eastAsia="zh-CN"/>
        </w:rPr>
        <w:t>4：</w:t>
      </w:r>
      <w:r>
        <w:rPr>
          <w:rFonts w:hint="default" w:ascii="Times New Roman" w:hAnsi="Times New Roman" w:eastAsia="宋体" w:cs="Times New Roman"/>
          <w:b/>
          <w:bCs/>
          <w:color w:val="auto"/>
          <w:lang w:val="en-US" w:eastAsia="zh-CN"/>
        </w:rPr>
        <w:t>项目不在</w:t>
      </w:r>
      <w:r>
        <w:rPr>
          <w:rFonts w:hint="eastAsia" w:ascii="Times New Roman" w:hAnsi="Times New Roman" w:eastAsia="宋体" w:cs="Times New Roman"/>
          <w:b/>
          <w:bCs/>
          <w:color w:val="auto"/>
          <w:lang w:val="en-US" w:eastAsia="zh-CN"/>
        </w:rPr>
        <w:t>禁养区</w:t>
      </w:r>
      <w:r>
        <w:rPr>
          <w:rFonts w:hint="default" w:ascii="Times New Roman" w:hAnsi="Times New Roman" w:eastAsia="宋体" w:cs="Times New Roman"/>
          <w:b/>
          <w:bCs/>
          <w:color w:val="auto"/>
          <w:lang w:val="en-US" w:eastAsia="zh-CN"/>
        </w:rPr>
        <w:t>的证明</w:t>
      </w:r>
    </w:p>
    <w:p w14:paraId="268BFBE6">
      <w:pPr>
        <w:pStyle w:val="23"/>
        <w:rPr>
          <w:rFonts w:hint="eastAsia"/>
          <w:color w:val="auto"/>
          <w:lang w:val="en-US" w:eastAsia="zh-CN"/>
        </w:rPr>
      </w:pPr>
      <w:r>
        <w:drawing>
          <wp:inline distT="0" distB="0" distL="114300" distR="114300">
            <wp:extent cx="5057775" cy="7353300"/>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67"/>
                    <a:stretch>
                      <a:fillRect/>
                    </a:stretch>
                  </pic:blipFill>
                  <pic:spPr>
                    <a:xfrm>
                      <a:off x="0" y="0"/>
                      <a:ext cx="5057775" cy="7353300"/>
                    </a:xfrm>
                    <a:prstGeom prst="rect">
                      <a:avLst/>
                    </a:prstGeom>
                    <a:noFill/>
                    <a:ln>
                      <a:noFill/>
                    </a:ln>
                  </pic:spPr>
                </pic:pic>
              </a:graphicData>
            </a:graphic>
          </wp:inline>
        </w:drawing>
      </w:r>
    </w:p>
    <w:p w14:paraId="7D8EB49D">
      <w:pPr>
        <w:rPr>
          <w:rFonts w:hint="default"/>
          <w:color w:val="auto"/>
          <w:lang w:val="en-US" w:eastAsia="zh-CN"/>
        </w:rPr>
      </w:pPr>
      <w:r>
        <w:rPr>
          <w:rFonts w:hint="default"/>
          <w:color w:val="auto"/>
          <w:lang w:val="en-US" w:eastAsia="zh-CN"/>
        </w:rPr>
        <w:br w:type="page"/>
      </w:r>
    </w:p>
    <w:p w14:paraId="6EA44DD9">
      <w:pPr>
        <w:pStyle w:val="69"/>
        <w:rPr>
          <w:rFonts w:hint="default" w:ascii="Times New Roman" w:hAnsi="Times New Roman" w:eastAsia="宋体" w:cs="Times New Roman"/>
          <w:b/>
          <w:bCs/>
          <w:color w:val="auto"/>
          <w:lang w:eastAsia="zh-CN"/>
        </w:rPr>
      </w:pPr>
      <w:r>
        <w:rPr>
          <w:rFonts w:hint="eastAsia" w:ascii="Times New Roman" w:hAnsi="Times New Roman" w:eastAsia="宋体" w:cs="Times New Roman"/>
          <w:b/>
          <w:bCs/>
          <w:color w:val="auto"/>
          <w:lang w:eastAsia="zh-CN"/>
        </w:rPr>
        <w:t>附件</w:t>
      </w:r>
      <w:r>
        <w:rPr>
          <w:rFonts w:hint="eastAsia" w:ascii="Times New Roman" w:hAnsi="Times New Roman" w:eastAsia="宋体" w:cs="Times New Roman"/>
          <w:b/>
          <w:bCs/>
          <w:color w:val="auto"/>
          <w:lang w:val="en-US" w:eastAsia="zh-CN"/>
        </w:rPr>
        <w:t>5</w:t>
      </w:r>
      <w:r>
        <w:rPr>
          <w:rFonts w:hint="eastAsia" w:ascii="Times New Roman" w:hAnsi="Times New Roman" w:eastAsia="宋体" w:cs="Times New Roman"/>
          <w:b/>
          <w:bCs/>
          <w:color w:val="auto"/>
          <w:lang w:eastAsia="zh-CN"/>
        </w:rPr>
        <w:t>：粪污接纳公司协议及相关环保手续</w:t>
      </w:r>
    </w:p>
    <w:p w14:paraId="2B7437CF">
      <w:pPr>
        <w:rPr>
          <w:rFonts w:hint="eastAsia" w:eastAsia="宋体"/>
          <w:b/>
          <w:bCs/>
          <w:color w:val="auto"/>
          <w:sz w:val="24"/>
          <w:lang w:eastAsia="zh-CN"/>
        </w:rPr>
      </w:pPr>
      <w:r>
        <w:drawing>
          <wp:inline distT="0" distB="0" distL="114300" distR="114300">
            <wp:extent cx="4486275" cy="7324725"/>
            <wp:effectExtent l="0" t="0" r="9525" b="9525"/>
            <wp:docPr id="46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26"/>
                    <pic:cNvPicPr>
                      <a:picLocks noChangeAspect="1"/>
                    </pic:cNvPicPr>
                  </pic:nvPicPr>
                  <pic:blipFill>
                    <a:blip r:embed="rId68"/>
                    <a:stretch>
                      <a:fillRect/>
                    </a:stretch>
                  </pic:blipFill>
                  <pic:spPr>
                    <a:xfrm>
                      <a:off x="0" y="0"/>
                      <a:ext cx="4486275" cy="7324725"/>
                    </a:xfrm>
                    <a:prstGeom prst="rect">
                      <a:avLst/>
                    </a:prstGeom>
                    <a:noFill/>
                    <a:ln>
                      <a:noFill/>
                    </a:ln>
                  </pic:spPr>
                </pic:pic>
              </a:graphicData>
            </a:graphic>
          </wp:inline>
        </w:drawing>
      </w:r>
      <w:r>
        <w:rPr>
          <w:rFonts w:hint="eastAsia" w:eastAsia="宋体"/>
          <w:b/>
          <w:bCs/>
          <w:color w:val="auto"/>
          <w:sz w:val="24"/>
          <w:lang w:eastAsia="zh-CN"/>
        </w:rPr>
        <w:drawing>
          <wp:inline distT="0" distB="0" distL="114300" distR="114300">
            <wp:extent cx="7207250" cy="5403850"/>
            <wp:effectExtent l="0" t="0" r="6350" b="12700"/>
            <wp:docPr id="466" name="图片 466" descr="微信图片_20250219153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descr="微信图片_202502191537222"/>
                    <pic:cNvPicPr>
                      <a:picLocks noChangeAspect="1"/>
                    </pic:cNvPicPr>
                  </pic:nvPicPr>
                  <pic:blipFill>
                    <a:blip r:embed="rId69"/>
                    <a:stretch>
                      <a:fillRect/>
                    </a:stretch>
                  </pic:blipFill>
                  <pic:spPr>
                    <a:xfrm rot="16200000">
                      <a:off x="0" y="0"/>
                      <a:ext cx="7207250" cy="5403850"/>
                    </a:xfrm>
                    <a:prstGeom prst="rect">
                      <a:avLst/>
                    </a:prstGeom>
                  </pic:spPr>
                </pic:pic>
              </a:graphicData>
            </a:graphic>
          </wp:inline>
        </w:drawing>
      </w:r>
    </w:p>
    <w:p w14:paraId="7A1BAD63">
      <w:pPr>
        <w:rPr>
          <w:rFonts w:hint="eastAsia" w:eastAsia="宋体"/>
          <w:b/>
          <w:bCs/>
          <w:color w:val="auto"/>
          <w:sz w:val="24"/>
          <w:lang w:eastAsia="zh-CN"/>
        </w:rPr>
      </w:pPr>
      <w:r>
        <w:rPr>
          <w:rFonts w:hint="eastAsia" w:eastAsia="宋体"/>
          <w:b/>
          <w:bCs/>
          <w:color w:val="auto"/>
          <w:sz w:val="24"/>
          <w:lang w:eastAsia="zh-CN"/>
        </w:rPr>
        <w:drawing>
          <wp:inline distT="0" distB="0" distL="114300" distR="114300">
            <wp:extent cx="5274945" cy="7035800"/>
            <wp:effectExtent l="0" t="0" r="1905" b="12700"/>
            <wp:docPr id="467" name="图片 467" descr="微信图片_20250219153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descr="微信图片_202502191537201"/>
                    <pic:cNvPicPr>
                      <a:picLocks noChangeAspect="1"/>
                    </pic:cNvPicPr>
                  </pic:nvPicPr>
                  <pic:blipFill>
                    <a:blip r:embed="rId70"/>
                    <a:stretch>
                      <a:fillRect/>
                    </a:stretch>
                  </pic:blipFill>
                  <pic:spPr>
                    <a:xfrm>
                      <a:off x="0" y="0"/>
                      <a:ext cx="5274945" cy="7035800"/>
                    </a:xfrm>
                    <a:prstGeom prst="rect">
                      <a:avLst/>
                    </a:prstGeom>
                  </pic:spPr>
                </pic:pic>
              </a:graphicData>
            </a:graphic>
          </wp:inline>
        </w:drawing>
      </w:r>
      <w:r>
        <w:rPr>
          <w:rFonts w:hint="eastAsia" w:eastAsia="宋体"/>
          <w:b/>
          <w:bCs/>
          <w:color w:val="auto"/>
          <w:sz w:val="24"/>
          <w:lang w:eastAsia="zh-CN"/>
        </w:rPr>
        <w:drawing>
          <wp:inline distT="0" distB="0" distL="114300" distR="114300">
            <wp:extent cx="5276850" cy="7038975"/>
            <wp:effectExtent l="0" t="0" r="0" b="9525"/>
            <wp:docPr id="470" name="图片 470" descr="微信图片_2025021915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descr="微信图片_20250219153722"/>
                    <pic:cNvPicPr>
                      <a:picLocks noChangeAspect="1"/>
                    </pic:cNvPicPr>
                  </pic:nvPicPr>
                  <pic:blipFill>
                    <a:blip r:embed="rId71"/>
                    <a:stretch>
                      <a:fillRect/>
                    </a:stretch>
                  </pic:blipFill>
                  <pic:spPr>
                    <a:xfrm>
                      <a:off x="0" y="0"/>
                      <a:ext cx="5276850" cy="7038975"/>
                    </a:xfrm>
                    <a:prstGeom prst="rect">
                      <a:avLst/>
                    </a:prstGeom>
                  </pic:spPr>
                </pic:pic>
              </a:graphicData>
            </a:graphic>
          </wp:inline>
        </w:drawing>
      </w:r>
      <w:r>
        <w:rPr>
          <w:rFonts w:hint="eastAsia" w:eastAsia="宋体"/>
          <w:b/>
          <w:bCs/>
          <w:color w:val="auto"/>
          <w:sz w:val="24"/>
          <w:lang w:eastAsia="zh-CN"/>
        </w:rPr>
        <w:drawing>
          <wp:inline distT="0" distB="0" distL="114300" distR="114300">
            <wp:extent cx="5274945" cy="7035800"/>
            <wp:effectExtent l="0" t="0" r="1905" b="12700"/>
            <wp:docPr id="468" name="图片 468" descr="微信图片_2025021915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微信图片_20250219153721"/>
                    <pic:cNvPicPr>
                      <a:picLocks noChangeAspect="1"/>
                    </pic:cNvPicPr>
                  </pic:nvPicPr>
                  <pic:blipFill>
                    <a:blip r:embed="rId72"/>
                    <a:stretch>
                      <a:fillRect/>
                    </a:stretch>
                  </pic:blipFill>
                  <pic:spPr>
                    <a:xfrm>
                      <a:off x="0" y="0"/>
                      <a:ext cx="5274945" cy="7035800"/>
                    </a:xfrm>
                    <a:prstGeom prst="rect">
                      <a:avLst/>
                    </a:prstGeom>
                  </pic:spPr>
                </pic:pic>
              </a:graphicData>
            </a:graphic>
          </wp:inline>
        </w:drawing>
      </w:r>
      <w:r>
        <w:rPr>
          <w:rFonts w:hint="eastAsia" w:eastAsia="宋体"/>
          <w:b/>
          <w:bCs/>
          <w:color w:val="auto"/>
          <w:sz w:val="24"/>
          <w:lang w:eastAsia="zh-CN"/>
        </w:rPr>
        <w:drawing>
          <wp:inline distT="0" distB="0" distL="114300" distR="114300">
            <wp:extent cx="5269865" cy="7030085"/>
            <wp:effectExtent l="0" t="0" r="6985" b="18415"/>
            <wp:docPr id="471" name="图片 471" descr="微信图片_20250219153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descr="微信图片_202502191537221"/>
                    <pic:cNvPicPr>
                      <a:picLocks noChangeAspect="1"/>
                    </pic:cNvPicPr>
                  </pic:nvPicPr>
                  <pic:blipFill>
                    <a:blip r:embed="rId73"/>
                    <a:stretch>
                      <a:fillRect/>
                    </a:stretch>
                  </pic:blipFill>
                  <pic:spPr>
                    <a:xfrm>
                      <a:off x="0" y="0"/>
                      <a:ext cx="5269865" cy="7030085"/>
                    </a:xfrm>
                    <a:prstGeom prst="rect">
                      <a:avLst/>
                    </a:prstGeom>
                  </pic:spPr>
                </pic:pic>
              </a:graphicData>
            </a:graphic>
          </wp:inline>
        </w:drawing>
      </w:r>
      <w:r>
        <w:rPr>
          <w:rFonts w:hint="eastAsia" w:eastAsia="宋体"/>
          <w:b/>
          <w:bCs/>
          <w:color w:val="auto"/>
          <w:sz w:val="24"/>
          <w:lang w:eastAsia="zh-CN"/>
        </w:rPr>
        <w:drawing>
          <wp:inline distT="0" distB="0" distL="114300" distR="114300">
            <wp:extent cx="7016750" cy="5260975"/>
            <wp:effectExtent l="0" t="0" r="15875" b="12700"/>
            <wp:docPr id="472" name="图片 472" descr="微信图片_2025021915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descr="微信图片_20250219153719"/>
                    <pic:cNvPicPr>
                      <a:picLocks noChangeAspect="1"/>
                    </pic:cNvPicPr>
                  </pic:nvPicPr>
                  <pic:blipFill>
                    <a:blip r:embed="rId74"/>
                    <a:stretch>
                      <a:fillRect/>
                    </a:stretch>
                  </pic:blipFill>
                  <pic:spPr>
                    <a:xfrm rot="16200000">
                      <a:off x="0" y="0"/>
                      <a:ext cx="7016750" cy="5260975"/>
                    </a:xfrm>
                    <a:prstGeom prst="rect">
                      <a:avLst/>
                    </a:prstGeom>
                  </pic:spPr>
                </pic:pic>
              </a:graphicData>
            </a:graphic>
          </wp:inline>
        </w:drawing>
      </w:r>
    </w:p>
    <w:p w14:paraId="1CD3CDC9">
      <w:pPr>
        <w:rPr>
          <w:rFonts w:hint="eastAsia" w:eastAsia="宋体"/>
          <w:b/>
          <w:bCs/>
          <w:color w:val="auto"/>
          <w:sz w:val="24"/>
          <w:lang w:eastAsia="zh-CN"/>
        </w:rPr>
      </w:pPr>
    </w:p>
    <w:p w14:paraId="18E3FF2E">
      <w:pPr>
        <w:pStyle w:val="43"/>
        <w:rPr>
          <w:color w:val="auto"/>
        </w:rPr>
      </w:pPr>
    </w:p>
    <w:p w14:paraId="4B137AFF">
      <w:pPr>
        <w:rPr>
          <w:b/>
          <w:bCs/>
          <w:color w:val="auto"/>
          <w:sz w:val="24"/>
        </w:rPr>
      </w:pPr>
      <w:r>
        <w:rPr>
          <w:b/>
          <w:bCs/>
          <w:color w:val="auto"/>
          <w:sz w:val="24"/>
        </w:rPr>
        <w:br w:type="page"/>
      </w:r>
    </w:p>
    <w:p w14:paraId="6CED95A9">
      <w:pPr>
        <w:rPr>
          <w:rFonts w:hint="default" w:eastAsia="宋体"/>
          <w:b/>
          <w:bCs/>
          <w:color w:val="auto"/>
          <w:sz w:val="24"/>
          <w:lang w:val="en-US" w:eastAsia="zh-CN"/>
        </w:rPr>
      </w:pPr>
      <w:r>
        <w:rPr>
          <w:rFonts w:hint="eastAsia"/>
          <w:b/>
          <w:bCs/>
          <w:color w:val="auto"/>
          <w:sz w:val="24"/>
          <w:lang w:eastAsia="zh-CN"/>
        </w:rPr>
        <w:t>附件</w:t>
      </w:r>
      <w:r>
        <w:rPr>
          <w:rFonts w:hint="eastAsia"/>
          <w:b/>
          <w:bCs/>
          <w:color w:val="auto"/>
          <w:sz w:val="24"/>
          <w:lang w:val="en-US" w:eastAsia="zh-CN"/>
        </w:rPr>
        <w:t>6：项目病死猪无害化处置协议及相关环保手续</w:t>
      </w:r>
    </w:p>
    <w:p w14:paraId="398C5E2C">
      <w:pPr>
        <w:rPr>
          <w:b/>
          <w:bCs/>
          <w:color w:val="auto"/>
          <w:sz w:val="24"/>
        </w:rPr>
      </w:pPr>
      <w:r>
        <w:drawing>
          <wp:inline distT="0" distB="0" distL="114300" distR="114300">
            <wp:extent cx="5273040" cy="7934960"/>
            <wp:effectExtent l="0" t="0" r="3810" b="8890"/>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75"/>
                    <a:stretch>
                      <a:fillRect/>
                    </a:stretch>
                  </pic:blipFill>
                  <pic:spPr>
                    <a:xfrm>
                      <a:off x="0" y="0"/>
                      <a:ext cx="5273040" cy="7934960"/>
                    </a:xfrm>
                    <a:prstGeom prst="rect">
                      <a:avLst/>
                    </a:prstGeom>
                    <a:noFill/>
                    <a:ln>
                      <a:noFill/>
                    </a:ln>
                  </pic:spPr>
                </pic:pic>
              </a:graphicData>
            </a:graphic>
          </wp:inline>
        </w:drawing>
      </w:r>
    </w:p>
    <w:p w14:paraId="4FB0941F">
      <w:pPr>
        <w:rPr>
          <w:b/>
          <w:bCs/>
          <w:color w:val="auto"/>
          <w:sz w:val="24"/>
        </w:rPr>
      </w:pPr>
    </w:p>
    <w:p w14:paraId="1C979817">
      <w:pPr>
        <w:rPr>
          <w:b/>
          <w:bCs/>
          <w:color w:val="auto"/>
          <w:sz w:val="24"/>
        </w:rPr>
      </w:pPr>
      <w:r>
        <w:drawing>
          <wp:inline distT="0" distB="0" distL="114300" distR="114300">
            <wp:extent cx="5267325" cy="7429500"/>
            <wp:effectExtent l="0" t="0" r="9525" b="0"/>
            <wp:docPr id="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
                    <pic:cNvPicPr>
                      <a:picLocks noChangeAspect="1"/>
                    </pic:cNvPicPr>
                  </pic:nvPicPr>
                  <pic:blipFill>
                    <a:blip r:embed="rId76"/>
                    <a:stretch>
                      <a:fillRect/>
                    </a:stretch>
                  </pic:blipFill>
                  <pic:spPr>
                    <a:xfrm>
                      <a:off x="0" y="0"/>
                      <a:ext cx="5267325" cy="7429500"/>
                    </a:xfrm>
                    <a:prstGeom prst="rect">
                      <a:avLst/>
                    </a:prstGeom>
                    <a:noFill/>
                    <a:ln>
                      <a:noFill/>
                    </a:ln>
                  </pic:spPr>
                </pic:pic>
              </a:graphicData>
            </a:graphic>
          </wp:inline>
        </w:drawing>
      </w:r>
    </w:p>
    <w:p w14:paraId="1E4D2F02">
      <w:pPr>
        <w:rPr>
          <w:b/>
          <w:bCs/>
          <w:color w:val="auto"/>
          <w:sz w:val="24"/>
        </w:rPr>
      </w:pPr>
    </w:p>
    <w:p w14:paraId="24B3A8F1">
      <w:pPr>
        <w:rPr>
          <w:rFonts w:hint="eastAsia" w:eastAsia="宋体"/>
          <w:b/>
          <w:bCs/>
          <w:color w:val="auto"/>
          <w:sz w:val="24"/>
          <w:lang w:eastAsia="zh-CN"/>
        </w:rPr>
      </w:pPr>
      <w:r>
        <w:rPr>
          <w:rFonts w:hint="eastAsia" w:eastAsia="宋体"/>
          <w:b/>
          <w:bCs/>
          <w:color w:val="auto"/>
          <w:sz w:val="24"/>
          <w:lang w:eastAsia="zh-CN"/>
        </w:rPr>
        <w:drawing>
          <wp:inline distT="0" distB="0" distL="114300" distR="114300">
            <wp:extent cx="4979670" cy="8839200"/>
            <wp:effectExtent l="0" t="0" r="11430" b="0"/>
            <wp:docPr id="61" name="图片 61" descr="微信图片_20250218163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微信图片_20250218163944"/>
                    <pic:cNvPicPr>
                      <a:picLocks noChangeAspect="1"/>
                    </pic:cNvPicPr>
                  </pic:nvPicPr>
                  <pic:blipFill>
                    <a:blip r:embed="rId77"/>
                    <a:stretch>
                      <a:fillRect/>
                    </a:stretch>
                  </pic:blipFill>
                  <pic:spPr>
                    <a:xfrm>
                      <a:off x="0" y="0"/>
                      <a:ext cx="4979670" cy="8839200"/>
                    </a:xfrm>
                    <a:prstGeom prst="rect">
                      <a:avLst/>
                    </a:prstGeom>
                  </pic:spPr>
                </pic:pic>
              </a:graphicData>
            </a:graphic>
          </wp:inline>
        </w:drawing>
      </w:r>
      <w:r>
        <w:rPr>
          <w:rFonts w:hint="eastAsia" w:eastAsia="宋体"/>
          <w:b/>
          <w:bCs/>
          <w:color w:val="auto"/>
          <w:sz w:val="24"/>
          <w:lang w:eastAsia="zh-CN"/>
        </w:rPr>
        <w:drawing>
          <wp:inline distT="0" distB="0" distL="114300" distR="114300">
            <wp:extent cx="4979670" cy="8839200"/>
            <wp:effectExtent l="0" t="0" r="11430" b="0"/>
            <wp:docPr id="60" name="图片 60" descr="微信图片_2025021816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微信图片_20250218163938"/>
                    <pic:cNvPicPr>
                      <a:picLocks noChangeAspect="1"/>
                    </pic:cNvPicPr>
                  </pic:nvPicPr>
                  <pic:blipFill>
                    <a:blip r:embed="rId78"/>
                    <a:stretch>
                      <a:fillRect/>
                    </a:stretch>
                  </pic:blipFill>
                  <pic:spPr>
                    <a:xfrm>
                      <a:off x="0" y="0"/>
                      <a:ext cx="4979670" cy="8839200"/>
                    </a:xfrm>
                    <a:prstGeom prst="rect">
                      <a:avLst/>
                    </a:prstGeom>
                  </pic:spPr>
                </pic:pic>
              </a:graphicData>
            </a:graphic>
          </wp:inline>
        </w:drawing>
      </w:r>
      <w:r>
        <w:rPr>
          <w:rFonts w:hint="eastAsia" w:eastAsia="宋体"/>
          <w:b/>
          <w:bCs/>
          <w:color w:val="auto"/>
          <w:sz w:val="24"/>
          <w:lang w:eastAsia="zh-CN"/>
        </w:rPr>
        <w:drawing>
          <wp:inline distT="0" distB="0" distL="114300" distR="114300">
            <wp:extent cx="4979670" cy="8839200"/>
            <wp:effectExtent l="0" t="0" r="11430" b="0"/>
            <wp:docPr id="57" name="图片 57" descr="微信图片_2025021816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微信图片_20250218163935"/>
                    <pic:cNvPicPr>
                      <a:picLocks noChangeAspect="1"/>
                    </pic:cNvPicPr>
                  </pic:nvPicPr>
                  <pic:blipFill>
                    <a:blip r:embed="rId79"/>
                    <a:stretch>
                      <a:fillRect/>
                    </a:stretch>
                  </pic:blipFill>
                  <pic:spPr>
                    <a:xfrm>
                      <a:off x="0" y="0"/>
                      <a:ext cx="4979670" cy="8839200"/>
                    </a:xfrm>
                    <a:prstGeom prst="rect">
                      <a:avLst/>
                    </a:prstGeom>
                  </pic:spPr>
                </pic:pic>
              </a:graphicData>
            </a:graphic>
          </wp:inline>
        </w:drawing>
      </w:r>
      <w:r>
        <w:rPr>
          <w:rFonts w:hint="eastAsia" w:eastAsia="宋体"/>
          <w:b/>
          <w:bCs/>
          <w:color w:val="auto"/>
          <w:sz w:val="24"/>
          <w:lang w:eastAsia="zh-CN"/>
        </w:rPr>
        <w:drawing>
          <wp:inline distT="0" distB="0" distL="114300" distR="114300">
            <wp:extent cx="4979670" cy="8839200"/>
            <wp:effectExtent l="0" t="0" r="11430" b="0"/>
            <wp:docPr id="56" name="图片 56" descr="微信图片_2025021816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微信图片_20250218163930"/>
                    <pic:cNvPicPr>
                      <a:picLocks noChangeAspect="1"/>
                    </pic:cNvPicPr>
                  </pic:nvPicPr>
                  <pic:blipFill>
                    <a:blip r:embed="rId80"/>
                    <a:stretch>
                      <a:fillRect/>
                    </a:stretch>
                  </pic:blipFill>
                  <pic:spPr>
                    <a:xfrm>
                      <a:off x="0" y="0"/>
                      <a:ext cx="4979670" cy="8839200"/>
                    </a:xfrm>
                    <a:prstGeom prst="rect">
                      <a:avLst/>
                    </a:prstGeom>
                  </pic:spPr>
                </pic:pic>
              </a:graphicData>
            </a:graphic>
          </wp:inline>
        </w:drawing>
      </w:r>
    </w:p>
    <w:p w14:paraId="64ADF957">
      <w:pPr>
        <w:rPr>
          <w:rFonts w:hint="eastAsia" w:eastAsia="宋体"/>
          <w:b/>
          <w:bCs/>
          <w:color w:val="auto"/>
          <w:sz w:val="24"/>
          <w:lang w:eastAsia="zh-CN"/>
        </w:rPr>
      </w:pPr>
      <w:r>
        <w:rPr>
          <w:rFonts w:hint="eastAsia" w:eastAsia="宋体"/>
          <w:b/>
          <w:bCs/>
          <w:color w:val="auto"/>
          <w:sz w:val="24"/>
          <w:lang w:eastAsia="zh-CN"/>
        </w:rPr>
        <w:drawing>
          <wp:inline distT="0" distB="0" distL="114300" distR="114300">
            <wp:extent cx="5275580" cy="7464425"/>
            <wp:effectExtent l="0" t="0" r="1270" b="3175"/>
            <wp:docPr id="62" name="图片 62" descr="验收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验收意见_00"/>
                    <pic:cNvPicPr>
                      <a:picLocks noChangeAspect="1"/>
                    </pic:cNvPicPr>
                  </pic:nvPicPr>
                  <pic:blipFill>
                    <a:blip r:embed="rId81"/>
                    <a:stretch>
                      <a:fillRect/>
                    </a:stretch>
                  </pic:blipFill>
                  <pic:spPr>
                    <a:xfrm>
                      <a:off x="0" y="0"/>
                      <a:ext cx="5275580" cy="7464425"/>
                    </a:xfrm>
                    <a:prstGeom prst="rect">
                      <a:avLst/>
                    </a:prstGeom>
                  </pic:spPr>
                </pic:pic>
              </a:graphicData>
            </a:graphic>
          </wp:inline>
        </w:drawing>
      </w:r>
      <w:r>
        <w:rPr>
          <w:rFonts w:hint="eastAsia" w:eastAsia="宋体"/>
          <w:b/>
          <w:bCs/>
          <w:color w:val="auto"/>
          <w:sz w:val="24"/>
          <w:lang w:eastAsia="zh-CN"/>
        </w:rPr>
        <w:drawing>
          <wp:inline distT="0" distB="0" distL="114300" distR="114300">
            <wp:extent cx="5275580" cy="7464425"/>
            <wp:effectExtent l="0" t="0" r="1270" b="3175"/>
            <wp:docPr id="63" name="图片 63" descr="验收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验收意见_01"/>
                    <pic:cNvPicPr>
                      <a:picLocks noChangeAspect="1"/>
                    </pic:cNvPicPr>
                  </pic:nvPicPr>
                  <pic:blipFill>
                    <a:blip r:embed="rId82"/>
                    <a:stretch>
                      <a:fillRect/>
                    </a:stretch>
                  </pic:blipFill>
                  <pic:spPr>
                    <a:xfrm>
                      <a:off x="0" y="0"/>
                      <a:ext cx="5275580" cy="7464425"/>
                    </a:xfrm>
                    <a:prstGeom prst="rect">
                      <a:avLst/>
                    </a:prstGeom>
                  </pic:spPr>
                </pic:pic>
              </a:graphicData>
            </a:graphic>
          </wp:inline>
        </w:drawing>
      </w:r>
      <w:r>
        <w:rPr>
          <w:rFonts w:hint="eastAsia" w:eastAsia="宋体"/>
          <w:b/>
          <w:bCs/>
          <w:color w:val="auto"/>
          <w:sz w:val="24"/>
          <w:lang w:eastAsia="zh-CN"/>
        </w:rPr>
        <w:drawing>
          <wp:inline distT="0" distB="0" distL="114300" distR="114300">
            <wp:extent cx="5275580" cy="7464425"/>
            <wp:effectExtent l="0" t="0" r="1270" b="3175"/>
            <wp:docPr id="64" name="图片 64" descr="验收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验收意见_02"/>
                    <pic:cNvPicPr>
                      <a:picLocks noChangeAspect="1"/>
                    </pic:cNvPicPr>
                  </pic:nvPicPr>
                  <pic:blipFill>
                    <a:blip r:embed="rId83"/>
                    <a:stretch>
                      <a:fillRect/>
                    </a:stretch>
                  </pic:blipFill>
                  <pic:spPr>
                    <a:xfrm>
                      <a:off x="0" y="0"/>
                      <a:ext cx="5275580" cy="7464425"/>
                    </a:xfrm>
                    <a:prstGeom prst="rect">
                      <a:avLst/>
                    </a:prstGeom>
                  </pic:spPr>
                </pic:pic>
              </a:graphicData>
            </a:graphic>
          </wp:inline>
        </w:drawing>
      </w:r>
      <w:r>
        <w:rPr>
          <w:rFonts w:hint="eastAsia" w:eastAsia="宋体"/>
          <w:b/>
          <w:bCs/>
          <w:color w:val="auto"/>
          <w:sz w:val="24"/>
          <w:lang w:eastAsia="zh-CN"/>
        </w:rPr>
        <w:drawing>
          <wp:inline distT="0" distB="0" distL="114300" distR="114300">
            <wp:extent cx="5275580" cy="7464425"/>
            <wp:effectExtent l="0" t="0" r="1270" b="3175"/>
            <wp:docPr id="65" name="图片 65" descr="验收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验收意见_03"/>
                    <pic:cNvPicPr>
                      <a:picLocks noChangeAspect="1"/>
                    </pic:cNvPicPr>
                  </pic:nvPicPr>
                  <pic:blipFill>
                    <a:blip r:embed="rId84"/>
                    <a:stretch>
                      <a:fillRect/>
                    </a:stretch>
                  </pic:blipFill>
                  <pic:spPr>
                    <a:xfrm>
                      <a:off x="0" y="0"/>
                      <a:ext cx="5275580" cy="7464425"/>
                    </a:xfrm>
                    <a:prstGeom prst="rect">
                      <a:avLst/>
                    </a:prstGeom>
                  </pic:spPr>
                </pic:pic>
              </a:graphicData>
            </a:graphic>
          </wp:inline>
        </w:drawing>
      </w:r>
      <w:r>
        <w:rPr>
          <w:rFonts w:hint="eastAsia" w:eastAsia="宋体"/>
          <w:b/>
          <w:bCs/>
          <w:color w:val="auto"/>
          <w:sz w:val="24"/>
          <w:lang w:eastAsia="zh-CN"/>
        </w:rPr>
        <w:drawing>
          <wp:inline distT="0" distB="0" distL="114300" distR="114300">
            <wp:extent cx="5275580" cy="7464425"/>
            <wp:effectExtent l="0" t="0" r="1270" b="3175"/>
            <wp:docPr id="66" name="图片 66" descr="验收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验收意见_04"/>
                    <pic:cNvPicPr>
                      <a:picLocks noChangeAspect="1"/>
                    </pic:cNvPicPr>
                  </pic:nvPicPr>
                  <pic:blipFill>
                    <a:blip r:embed="rId85"/>
                    <a:stretch>
                      <a:fillRect/>
                    </a:stretch>
                  </pic:blipFill>
                  <pic:spPr>
                    <a:xfrm>
                      <a:off x="0" y="0"/>
                      <a:ext cx="5275580" cy="7464425"/>
                    </a:xfrm>
                    <a:prstGeom prst="rect">
                      <a:avLst/>
                    </a:prstGeom>
                  </pic:spPr>
                </pic:pic>
              </a:graphicData>
            </a:graphic>
          </wp:inline>
        </w:drawing>
      </w:r>
      <w:r>
        <w:rPr>
          <w:rFonts w:hint="eastAsia" w:eastAsia="宋体"/>
          <w:b/>
          <w:bCs/>
          <w:color w:val="auto"/>
          <w:sz w:val="24"/>
          <w:lang w:eastAsia="zh-CN"/>
        </w:rPr>
        <w:drawing>
          <wp:inline distT="0" distB="0" distL="114300" distR="114300">
            <wp:extent cx="5275580" cy="7464425"/>
            <wp:effectExtent l="0" t="0" r="1270" b="3175"/>
            <wp:docPr id="69" name="图片 69" descr="验收意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验收意见_05"/>
                    <pic:cNvPicPr>
                      <a:picLocks noChangeAspect="1"/>
                    </pic:cNvPicPr>
                  </pic:nvPicPr>
                  <pic:blipFill>
                    <a:blip r:embed="rId86"/>
                    <a:stretch>
                      <a:fillRect/>
                    </a:stretch>
                  </pic:blipFill>
                  <pic:spPr>
                    <a:xfrm>
                      <a:off x="0" y="0"/>
                      <a:ext cx="5275580" cy="7464425"/>
                    </a:xfrm>
                    <a:prstGeom prst="rect">
                      <a:avLst/>
                    </a:prstGeom>
                  </pic:spPr>
                </pic:pic>
              </a:graphicData>
            </a:graphic>
          </wp:inline>
        </w:drawing>
      </w:r>
      <w:r>
        <w:rPr>
          <w:rFonts w:hint="eastAsia" w:eastAsia="宋体"/>
          <w:b/>
          <w:bCs/>
          <w:color w:val="auto"/>
          <w:sz w:val="24"/>
          <w:lang w:eastAsia="zh-CN"/>
        </w:rPr>
        <w:drawing>
          <wp:inline distT="0" distB="0" distL="114300" distR="114300">
            <wp:extent cx="5271135" cy="7453630"/>
            <wp:effectExtent l="0" t="0" r="5715" b="13970"/>
            <wp:docPr id="70" name="图片 70" descr="登记回执 (3)(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登记回执 (3)(1)_00"/>
                    <pic:cNvPicPr>
                      <a:picLocks noChangeAspect="1"/>
                    </pic:cNvPicPr>
                  </pic:nvPicPr>
                  <pic:blipFill>
                    <a:blip r:embed="rId87"/>
                    <a:stretch>
                      <a:fillRect/>
                    </a:stretch>
                  </pic:blipFill>
                  <pic:spPr>
                    <a:xfrm>
                      <a:off x="0" y="0"/>
                      <a:ext cx="5271135" cy="7453630"/>
                    </a:xfrm>
                    <a:prstGeom prst="rect">
                      <a:avLst/>
                    </a:prstGeom>
                  </pic:spPr>
                </pic:pic>
              </a:graphicData>
            </a:graphic>
          </wp:inline>
        </w:drawing>
      </w:r>
    </w:p>
    <w:p w14:paraId="2243DDAE">
      <w:pPr>
        <w:rPr>
          <w:b/>
          <w:bCs/>
          <w:color w:val="auto"/>
          <w:sz w:val="24"/>
        </w:rPr>
      </w:pPr>
    </w:p>
    <w:p w14:paraId="073ADC93">
      <w:pPr>
        <w:rPr>
          <w:b/>
          <w:bCs/>
          <w:color w:val="auto"/>
          <w:sz w:val="24"/>
        </w:rPr>
      </w:pPr>
    </w:p>
    <w:p w14:paraId="356E03ED">
      <w:pPr>
        <w:rPr>
          <w:rFonts w:hint="eastAsia"/>
          <w:b/>
          <w:bCs/>
          <w:color w:val="auto"/>
          <w:sz w:val="24"/>
          <w:lang w:val="en-US" w:eastAsia="zh-CN"/>
        </w:rPr>
      </w:pPr>
      <w:r>
        <w:rPr>
          <w:rFonts w:hint="eastAsia"/>
          <w:b/>
          <w:bCs/>
          <w:color w:val="auto"/>
          <w:sz w:val="24"/>
          <w:lang w:val="en-US" w:eastAsia="zh-CN"/>
        </w:rPr>
        <w:br w:type="page"/>
      </w:r>
    </w:p>
    <w:p w14:paraId="33779CF8">
      <w:pPr>
        <w:rPr>
          <w:rFonts w:hint="default"/>
          <w:b/>
          <w:bCs/>
          <w:color w:val="auto"/>
          <w:sz w:val="24"/>
          <w:highlight w:val="none"/>
          <w:lang w:val="en-US" w:eastAsia="zh-CN"/>
        </w:rPr>
      </w:pPr>
      <w:r>
        <w:rPr>
          <w:rFonts w:hint="eastAsia"/>
          <w:b/>
          <w:bCs/>
          <w:color w:val="auto"/>
          <w:sz w:val="24"/>
          <w:highlight w:val="none"/>
          <w:lang w:val="en-US" w:eastAsia="zh-CN"/>
        </w:rPr>
        <w:t>附件7：生物质燃料化验单</w:t>
      </w:r>
    </w:p>
    <w:p w14:paraId="5B5ACB50">
      <w:pPr>
        <w:rPr>
          <w:rFonts w:hint="eastAsia"/>
          <w:b/>
          <w:bCs/>
          <w:color w:val="auto"/>
          <w:sz w:val="24"/>
          <w:szCs w:val="24"/>
          <w:lang w:eastAsia="zh-CN"/>
        </w:rPr>
      </w:pPr>
      <w:r>
        <w:rPr>
          <w:rFonts w:hint="eastAsia"/>
          <w:b/>
          <w:bCs/>
          <w:color w:val="auto"/>
          <w:sz w:val="24"/>
          <w:szCs w:val="24"/>
          <w:lang w:eastAsia="zh-CN"/>
        </w:rPr>
        <w:drawing>
          <wp:inline distT="0" distB="0" distL="114300" distR="114300">
            <wp:extent cx="5607685" cy="7835265"/>
            <wp:effectExtent l="0" t="0" r="12065" b="13335"/>
            <wp:docPr id="73" name="图片 73" descr="微信图片_2022030311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微信图片_20220303112506"/>
                    <pic:cNvPicPr>
                      <a:picLocks noChangeAspect="1"/>
                    </pic:cNvPicPr>
                  </pic:nvPicPr>
                  <pic:blipFill>
                    <a:blip r:embed="rId88"/>
                    <a:srcRect l="497" t="19894" r="1242" b="18329"/>
                    <a:stretch>
                      <a:fillRect/>
                    </a:stretch>
                  </pic:blipFill>
                  <pic:spPr>
                    <a:xfrm>
                      <a:off x="0" y="0"/>
                      <a:ext cx="5607685" cy="7835265"/>
                    </a:xfrm>
                    <a:prstGeom prst="rect">
                      <a:avLst/>
                    </a:prstGeom>
                  </pic:spPr>
                </pic:pic>
              </a:graphicData>
            </a:graphic>
          </wp:inline>
        </w:drawing>
      </w:r>
      <w:r>
        <w:rPr>
          <w:rFonts w:hint="eastAsia"/>
          <w:b/>
          <w:bCs/>
          <w:color w:val="auto"/>
          <w:sz w:val="24"/>
          <w:szCs w:val="24"/>
          <w:lang w:eastAsia="zh-CN"/>
        </w:rPr>
        <w:drawing>
          <wp:inline distT="0" distB="0" distL="114300" distR="114300">
            <wp:extent cx="5358130" cy="8028305"/>
            <wp:effectExtent l="0" t="0" r="13970" b="10795"/>
            <wp:docPr id="74" name="图片 74" descr="微信图片_2022030311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微信图片_20220303112502"/>
                    <pic:cNvPicPr>
                      <a:picLocks noChangeAspect="1"/>
                    </pic:cNvPicPr>
                  </pic:nvPicPr>
                  <pic:blipFill>
                    <a:blip r:embed="rId89"/>
                    <a:srcRect t="14306" r="3726" b="20788"/>
                    <a:stretch>
                      <a:fillRect/>
                    </a:stretch>
                  </pic:blipFill>
                  <pic:spPr>
                    <a:xfrm>
                      <a:off x="0" y="0"/>
                      <a:ext cx="5358130" cy="8028305"/>
                    </a:xfrm>
                    <a:prstGeom prst="rect">
                      <a:avLst/>
                    </a:prstGeom>
                  </pic:spPr>
                </pic:pic>
              </a:graphicData>
            </a:graphic>
          </wp:inline>
        </w:drawing>
      </w:r>
    </w:p>
    <w:p w14:paraId="5E794B53">
      <w:pPr>
        <w:rPr>
          <w:rFonts w:hint="eastAsia"/>
          <w:b/>
          <w:bCs/>
          <w:color w:val="auto"/>
          <w:sz w:val="24"/>
          <w:szCs w:val="24"/>
          <w:lang w:eastAsia="zh-CN"/>
        </w:rPr>
      </w:pPr>
      <w:r>
        <w:rPr>
          <w:rFonts w:hint="eastAsia"/>
          <w:b/>
          <w:bCs/>
          <w:color w:val="auto"/>
          <w:sz w:val="24"/>
          <w:szCs w:val="24"/>
          <w:lang w:eastAsia="zh-CN"/>
        </w:rPr>
        <w:br w:type="page"/>
      </w:r>
    </w:p>
    <w:p w14:paraId="75E3F199">
      <w:pPr>
        <w:rPr>
          <w:rFonts w:hint="eastAsia"/>
          <w:b/>
          <w:bCs/>
          <w:color w:val="auto"/>
          <w:sz w:val="24"/>
          <w:highlight w:val="none"/>
          <w:lang w:val="en-US" w:eastAsia="zh-CN"/>
        </w:rPr>
      </w:pPr>
      <w:r>
        <w:drawing>
          <wp:inline distT="0" distB="0" distL="114300" distR="114300">
            <wp:extent cx="5276850" cy="7788910"/>
            <wp:effectExtent l="0" t="0" r="0" b="2540"/>
            <wp:docPr id="1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7"/>
                    <pic:cNvPicPr>
                      <a:picLocks noChangeAspect="1"/>
                    </pic:cNvPicPr>
                  </pic:nvPicPr>
                  <pic:blipFill>
                    <a:blip r:embed="rId90"/>
                    <a:stretch>
                      <a:fillRect/>
                    </a:stretch>
                  </pic:blipFill>
                  <pic:spPr>
                    <a:xfrm>
                      <a:off x="0" y="0"/>
                      <a:ext cx="5276850" cy="7788910"/>
                    </a:xfrm>
                    <a:prstGeom prst="rect">
                      <a:avLst/>
                    </a:prstGeom>
                    <a:noFill/>
                    <a:ln>
                      <a:noFill/>
                    </a:ln>
                  </pic:spPr>
                </pic:pic>
              </a:graphicData>
            </a:graphic>
          </wp:inline>
        </w:drawing>
      </w:r>
      <w:r>
        <w:rPr>
          <w:rFonts w:hint="eastAsia"/>
          <w:b/>
          <w:bCs/>
          <w:color w:val="auto"/>
          <w:sz w:val="24"/>
          <w:highlight w:val="none"/>
          <w:lang w:val="en-US" w:eastAsia="zh-CN"/>
        </w:rPr>
        <w:br w:type="page"/>
      </w:r>
    </w:p>
    <w:p w14:paraId="335874EE">
      <w:pPr>
        <w:rPr>
          <w:rFonts w:hint="eastAsia"/>
          <w:b/>
          <w:bCs/>
          <w:color w:val="auto"/>
          <w:sz w:val="24"/>
          <w:highlight w:val="none"/>
          <w:lang w:val="en-US" w:eastAsia="zh-CN"/>
        </w:rPr>
      </w:pPr>
      <w:r>
        <w:rPr>
          <w:rFonts w:hint="eastAsia"/>
          <w:b/>
          <w:bCs/>
          <w:color w:val="auto"/>
          <w:sz w:val="24"/>
          <w:highlight w:val="none"/>
          <w:lang w:val="en-US" w:eastAsia="zh-CN"/>
        </w:rPr>
        <w:t>附件8：饲料全成分分析单</w:t>
      </w:r>
    </w:p>
    <w:p w14:paraId="4314529E">
      <w:pPr>
        <w:rPr>
          <w:rFonts w:hint="eastAsia"/>
          <w:b/>
          <w:bCs/>
          <w:color w:val="auto"/>
          <w:sz w:val="24"/>
          <w:highlight w:val="none"/>
          <w:lang w:val="en-US" w:eastAsia="zh-CN"/>
        </w:rPr>
      </w:pPr>
      <w:r>
        <w:rPr>
          <w:rFonts w:hint="eastAsia"/>
          <w:b/>
          <w:bCs/>
          <w:color w:val="auto"/>
          <w:sz w:val="24"/>
          <w:highlight w:val="none"/>
          <w:lang w:val="en-US" w:eastAsia="zh-CN"/>
        </w:rPr>
        <w:drawing>
          <wp:inline distT="0" distB="0" distL="114300" distR="114300">
            <wp:extent cx="5232400" cy="3924300"/>
            <wp:effectExtent l="0" t="0" r="6350" b="0"/>
            <wp:docPr id="512" name="图片 512" descr="饲料全成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descr="饲料全成分"/>
                    <pic:cNvPicPr>
                      <a:picLocks noChangeAspect="1"/>
                    </pic:cNvPicPr>
                  </pic:nvPicPr>
                  <pic:blipFill>
                    <a:blip r:embed="rId91"/>
                    <a:stretch>
                      <a:fillRect/>
                    </a:stretch>
                  </pic:blipFill>
                  <pic:spPr>
                    <a:xfrm>
                      <a:off x="0" y="0"/>
                      <a:ext cx="5232400" cy="3924300"/>
                    </a:xfrm>
                    <a:prstGeom prst="rect">
                      <a:avLst/>
                    </a:prstGeom>
                  </pic:spPr>
                </pic:pic>
              </a:graphicData>
            </a:graphic>
          </wp:inline>
        </w:drawing>
      </w:r>
    </w:p>
    <w:p w14:paraId="218F35C6">
      <w:pPr>
        <w:rPr>
          <w:rFonts w:hint="eastAsia"/>
          <w:b/>
          <w:bCs/>
          <w:color w:val="auto"/>
          <w:sz w:val="24"/>
          <w:highlight w:val="none"/>
          <w:lang w:val="en-US" w:eastAsia="zh-CN"/>
        </w:rPr>
      </w:pPr>
      <w:r>
        <w:rPr>
          <w:rFonts w:hint="eastAsia"/>
          <w:b/>
          <w:bCs/>
          <w:color w:val="auto"/>
          <w:sz w:val="24"/>
          <w:highlight w:val="none"/>
          <w:lang w:val="en-US" w:eastAsia="zh-CN"/>
        </w:rPr>
        <w:br w:type="page"/>
      </w:r>
    </w:p>
    <w:p w14:paraId="6E59EAAC">
      <w:pPr>
        <w:rPr>
          <w:b/>
          <w:bCs/>
          <w:color w:val="auto"/>
          <w:sz w:val="24"/>
          <w:highlight w:val="none"/>
        </w:rPr>
      </w:pPr>
      <w:r>
        <w:rPr>
          <w:rFonts w:hint="eastAsia"/>
          <w:b/>
          <w:bCs/>
          <w:color w:val="auto"/>
          <w:sz w:val="24"/>
          <w:highlight w:val="none"/>
          <w:lang w:val="en-US" w:eastAsia="zh-CN"/>
        </w:rPr>
        <w:t>附件9：</w:t>
      </w:r>
      <w:r>
        <w:rPr>
          <w:rFonts w:hint="eastAsia"/>
          <w:b/>
          <w:bCs/>
          <w:color w:val="auto"/>
          <w:sz w:val="24"/>
          <w:highlight w:val="none"/>
        </w:rPr>
        <w:t>检测报告</w:t>
      </w:r>
    </w:p>
    <w:p w14:paraId="0D3A57A8">
      <w:pPr>
        <w:rPr>
          <w:rFonts w:hint="eastAsia" w:eastAsia="宋体"/>
          <w:color w:val="auto"/>
          <w:lang w:eastAsia="zh-CN"/>
        </w:rPr>
      </w:pPr>
    </w:p>
    <w:p w14:paraId="5F9AF444">
      <w:pPr>
        <w:pStyle w:val="23"/>
        <w:rPr>
          <w:color w:val="auto"/>
        </w:rPr>
      </w:pPr>
    </w:p>
    <w:p w14:paraId="59DF7EF2">
      <w:pPr>
        <w:rPr>
          <w:color w:val="auto"/>
        </w:rPr>
      </w:pPr>
      <w:r>
        <w:rPr>
          <w:color w:val="auto"/>
        </w:rPr>
        <w:br w:type="page"/>
      </w:r>
    </w:p>
    <w:p w14:paraId="296FB239">
      <w:pPr>
        <w:pStyle w:val="30"/>
        <w:widowControl w:val="0"/>
        <w:numPr>
          <w:ilvl w:val="0"/>
          <w:numId w:val="0"/>
        </w:numPr>
        <w:jc w:val="both"/>
        <w:rPr>
          <w:rFonts w:hint="eastAsia" w:eastAsia="宋体"/>
          <w:color w:val="auto"/>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19BC3857">
      <w:pPr>
        <w:pStyle w:val="30"/>
        <w:widowControl w:val="0"/>
        <w:numPr>
          <w:ilvl w:val="0"/>
          <w:numId w:val="0"/>
        </w:numPr>
        <w:jc w:val="both"/>
        <w:rPr>
          <w:rFonts w:hint="eastAsia" w:eastAsia="宋体"/>
          <w:color w:val="auto"/>
          <w:lang w:eastAsia="zh-CN"/>
        </w:rPr>
      </w:pPr>
      <w:r>
        <w:rPr>
          <w:color w:val="auto"/>
        </w:rPr>
        <w:drawing>
          <wp:anchor distT="0" distB="0" distL="114300" distR="114300" simplePos="0" relativeHeight="251835392" behindDoc="0" locked="0" layoutInCell="1" allowOverlap="1">
            <wp:simplePos x="0" y="0"/>
            <wp:positionH relativeFrom="column">
              <wp:posOffset>7981315</wp:posOffset>
            </wp:positionH>
            <wp:positionV relativeFrom="paragraph">
              <wp:posOffset>-353060</wp:posOffset>
            </wp:positionV>
            <wp:extent cx="595630" cy="730885"/>
            <wp:effectExtent l="0" t="0" r="13970" b="12065"/>
            <wp:wrapNone/>
            <wp:docPr id="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pic:cNvPicPr>
                      <a:picLocks noChangeAspect="1"/>
                    </pic:cNvPicPr>
                  </pic:nvPicPr>
                  <pic:blipFill>
                    <a:blip r:embed="rId92"/>
                    <a:stretch>
                      <a:fillRect/>
                    </a:stretch>
                  </pic:blipFill>
                  <pic:spPr>
                    <a:xfrm>
                      <a:off x="0" y="0"/>
                      <a:ext cx="595630" cy="730885"/>
                    </a:xfrm>
                    <a:prstGeom prst="rect">
                      <a:avLst/>
                    </a:prstGeom>
                    <a:noFill/>
                    <a:ln>
                      <a:noFill/>
                    </a:ln>
                  </pic:spPr>
                </pic:pic>
              </a:graphicData>
            </a:graphic>
          </wp:anchor>
        </w:drawing>
      </w:r>
    </w:p>
    <w:p w14:paraId="5D806A73">
      <w:pPr>
        <w:pStyle w:val="30"/>
        <w:widowControl w:val="0"/>
        <w:numPr>
          <w:ilvl w:val="0"/>
          <w:numId w:val="0"/>
        </w:numPr>
        <w:jc w:val="both"/>
        <w:rPr>
          <w:rFonts w:hint="eastAsia" w:eastAsia="宋体"/>
          <w:color w:val="auto"/>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r>
        <w:rPr>
          <w:sz w:val="21"/>
        </w:rPr>
        <mc:AlternateContent>
          <mc:Choice Requires="wps">
            <w:drawing>
              <wp:anchor distT="0" distB="0" distL="114300" distR="114300" simplePos="0" relativeHeight="251834368" behindDoc="0" locked="0" layoutInCell="1" allowOverlap="1">
                <wp:simplePos x="0" y="0"/>
                <wp:positionH relativeFrom="column">
                  <wp:posOffset>2074545</wp:posOffset>
                </wp:positionH>
                <wp:positionV relativeFrom="paragraph">
                  <wp:posOffset>3060700</wp:posOffset>
                </wp:positionV>
                <wp:extent cx="657225" cy="304800"/>
                <wp:effectExtent l="6350" t="6350" r="22225" b="374650"/>
                <wp:wrapNone/>
                <wp:docPr id="82" name="圆角矩形标注 82"/>
                <wp:cNvGraphicFramePr/>
                <a:graphic xmlns:a="http://schemas.openxmlformats.org/drawingml/2006/main">
                  <a:graphicData uri="http://schemas.microsoft.com/office/word/2010/wordprocessingShape">
                    <wps:wsp>
                      <wps:cNvSpPr/>
                      <wps:spPr>
                        <a:xfrm>
                          <a:off x="0" y="0"/>
                          <a:ext cx="657225" cy="304800"/>
                        </a:xfrm>
                        <a:prstGeom prst="wedgeRoundRectCallout">
                          <a:avLst>
                            <a:gd name="adj1" fmla="val -26618"/>
                            <a:gd name="adj2" fmla="val 165625"/>
                            <a:gd name="adj3" fmla="val 16667"/>
                          </a:avLst>
                        </a:prstGeom>
                        <a:solidFill>
                          <a:srgbClr val="FFFF00"/>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2C6DDC1">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63.35pt;margin-top:241pt;height:24pt;width:51.75pt;z-index:251834368;v-text-anchor:middle;mso-width-relative:page;mso-height-relative:page;" fillcolor="#FFFF00" filled="t" stroked="t" coordsize="21600,21600" o:gfxdata="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BOkMpd2wAAAAsBAAAPAAAA&#10;AAAAAAEAIAAAACIAAABkcnMvZG93bnJldi54bWxQSwECFAAUAAAACACHTuJADYBYwL0CAAB9BQAA&#10;DgAAAAAAAAABACAAAAAqAQAAZHJzL2Uyb0RvYy54bWxQSwUGAAAAAAYABgBZAQAAWQYAAAAA&#10;" adj="5051,46575,14400">
                <v:fill on="t" focussize="0,0"/>
                <v:stroke weight="1pt" color="#000000 [3213]" joinstyle="round"/>
                <v:imagedata o:title=""/>
                <o:lock v:ext="edit" aspectratio="f"/>
                <v:textbox>
                  <w:txbxContent>
                    <w:p w14:paraId="42C6DDC1">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项目地</w:t>
                      </w:r>
                    </w:p>
                  </w:txbxContent>
                </v:textbox>
              </v:shape>
            </w:pict>
          </mc:Fallback>
        </mc:AlternateContent>
      </w:r>
      <w:r>
        <w:rPr>
          <w:sz w:val="21"/>
        </w:rPr>
        <mc:AlternateContent>
          <mc:Choice Requires="wps">
            <w:drawing>
              <wp:anchor distT="0" distB="0" distL="114300" distR="114300" simplePos="0" relativeHeight="251833344" behindDoc="0" locked="0" layoutInCell="1" allowOverlap="1">
                <wp:simplePos x="0" y="0"/>
                <wp:positionH relativeFrom="column">
                  <wp:posOffset>2112645</wp:posOffset>
                </wp:positionH>
                <wp:positionV relativeFrom="paragraph">
                  <wp:posOffset>3644900</wp:posOffset>
                </wp:positionV>
                <wp:extent cx="276225" cy="314325"/>
                <wp:effectExtent l="6350" t="6350" r="22225" b="22225"/>
                <wp:wrapNone/>
                <wp:docPr id="81" name="任意多边形 81"/>
                <wp:cNvGraphicFramePr/>
                <a:graphic xmlns:a="http://schemas.openxmlformats.org/drawingml/2006/main">
                  <a:graphicData uri="http://schemas.microsoft.com/office/word/2010/wordprocessingShape">
                    <wps:wsp>
                      <wps:cNvSpPr/>
                      <wps:spPr>
                        <a:xfrm>
                          <a:off x="3027045" y="4939030"/>
                          <a:ext cx="276225" cy="314325"/>
                        </a:xfrm>
                        <a:custGeom>
                          <a:avLst/>
                          <a:gdLst>
                            <a:gd name="connisteX0" fmla="*/ 133350 w 276225"/>
                            <a:gd name="connsiteY0" fmla="*/ 314325 h 314325"/>
                            <a:gd name="connisteX1" fmla="*/ 276225 w 276225"/>
                            <a:gd name="connsiteY1" fmla="*/ 104775 h 314325"/>
                            <a:gd name="connisteX2" fmla="*/ 247650 w 276225"/>
                            <a:gd name="connsiteY2" fmla="*/ 57150 h 314325"/>
                            <a:gd name="connisteX3" fmla="*/ 0 w 276225"/>
                            <a:gd name="connsiteY3" fmla="*/ 0 h 314325"/>
                            <a:gd name="connisteX4" fmla="*/ 19050 w 276225"/>
                            <a:gd name="connsiteY4" fmla="*/ 171450 h 314325"/>
                            <a:gd name="connisteX5" fmla="*/ 133350 w 276225"/>
                            <a:gd name="connsiteY5" fmla="*/ 314325 h 3143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76225" h="314325">
                              <a:moveTo>
                                <a:pt x="133350" y="314325"/>
                              </a:moveTo>
                              <a:lnTo>
                                <a:pt x="276225" y="104775"/>
                              </a:lnTo>
                              <a:lnTo>
                                <a:pt x="247650" y="57150"/>
                              </a:lnTo>
                              <a:lnTo>
                                <a:pt x="0" y="0"/>
                              </a:lnTo>
                              <a:lnTo>
                                <a:pt x="19050" y="171450"/>
                              </a:lnTo>
                              <a:lnTo>
                                <a:pt x="133350" y="314325"/>
                              </a:lnTo>
                              <a:close/>
                            </a:path>
                          </a:pathLst>
                        </a:custGeom>
                        <a:solidFill>
                          <a:srgbClr val="FF0000"/>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66.35pt;margin-top:287pt;height:24.75pt;width:21.75pt;z-index:251833344;mso-width-relative:page;mso-height-relative:page;" fillcolor="#FF0000" filled="t" stroked="t" coordsize="276225,314325" o:gfxdata="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" path="m133350,314325l276225,104775,247650,57150,0,0,19050,171450,133350,314325xe">
                <v:path o:connectlocs="133350,314325;276225,104775;247650,57150;0,0;19050,171450;133350,314325" o:connectangles="0,0,0,0,0,0"/>
                <v:fill on="t" focussize="0,0"/>
                <v:stroke weight="1pt" color="#000000 [3213]" joinstyle="round"/>
                <v:imagedata o:title=""/>
                <o:lock v:ext="edit" aspectratio="f"/>
              </v:shape>
            </w:pict>
          </mc:Fallback>
        </mc:AlternateContent>
      </w:r>
      <w:r>
        <w:drawing>
          <wp:anchor distT="0" distB="0" distL="114300" distR="114300" simplePos="0" relativeHeight="251832320" behindDoc="0" locked="0" layoutInCell="1" allowOverlap="1">
            <wp:simplePos x="0" y="0"/>
            <wp:positionH relativeFrom="column">
              <wp:posOffset>351790</wp:posOffset>
            </wp:positionH>
            <wp:positionV relativeFrom="paragraph">
              <wp:posOffset>2397125</wp:posOffset>
            </wp:positionV>
            <wp:extent cx="3665855" cy="2842895"/>
            <wp:effectExtent l="9525" t="9525" r="20320" b="24130"/>
            <wp:wrapNone/>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pic:cNvPicPr>
                  </pic:nvPicPr>
                  <pic:blipFill>
                    <a:blip r:embed="rId93"/>
                    <a:stretch>
                      <a:fillRect/>
                    </a:stretch>
                  </pic:blipFill>
                  <pic:spPr>
                    <a:xfrm>
                      <a:off x="0" y="0"/>
                      <a:ext cx="3665855" cy="2842895"/>
                    </a:xfrm>
                    <a:prstGeom prst="rect">
                      <a:avLst/>
                    </a:prstGeom>
                    <a:noFill/>
                    <a:ln>
                      <a:solidFill>
                        <a:schemeClr val="tx1"/>
                      </a:solidFill>
                    </a:ln>
                  </pic:spPr>
                </pic:pic>
              </a:graphicData>
            </a:graphic>
          </wp:anchor>
        </w:drawing>
      </w:r>
      <w:r>
        <w:rPr>
          <w:sz w:val="21"/>
        </w:rPr>
        <mc:AlternateContent>
          <mc:Choice Requires="wps">
            <w:drawing>
              <wp:anchor distT="0" distB="0" distL="114300" distR="114300" simplePos="0" relativeHeight="251831296" behindDoc="0" locked="0" layoutInCell="1" allowOverlap="1">
                <wp:simplePos x="0" y="0"/>
                <wp:positionH relativeFrom="column">
                  <wp:posOffset>5589270</wp:posOffset>
                </wp:positionH>
                <wp:positionV relativeFrom="paragraph">
                  <wp:posOffset>660400</wp:posOffset>
                </wp:positionV>
                <wp:extent cx="657225" cy="304800"/>
                <wp:effectExtent l="6350" t="6350" r="22225" b="374650"/>
                <wp:wrapNone/>
                <wp:docPr id="79" name="圆角矩形标注 79"/>
                <wp:cNvGraphicFramePr/>
                <a:graphic xmlns:a="http://schemas.openxmlformats.org/drawingml/2006/main">
                  <a:graphicData uri="http://schemas.microsoft.com/office/word/2010/wordprocessingShape">
                    <wps:wsp>
                      <wps:cNvSpPr/>
                      <wps:spPr>
                        <a:xfrm>
                          <a:off x="6684645" y="2240280"/>
                          <a:ext cx="657225" cy="304800"/>
                        </a:xfrm>
                        <a:prstGeom prst="wedgeRoundRectCallout">
                          <a:avLst>
                            <a:gd name="adj1" fmla="val -26618"/>
                            <a:gd name="adj2" fmla="val 165625"/>
                            <a:gd name="adj3" fmla="val 16667"/>
                          </a:avLst>
                        </a:prstGeom>
                        <a:solidFill>
                          <a:srgbClr val="FFFF00"/>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FEE7762">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40.1pt;margin-top:52pt;height:24pt;width:51.75pt;z-index:251831296;v-text-anchor:middle;mso-width-relative:page;mso-height-relative:page;" fillcolor="#FFFF00" filled="t" stroked="t" coordsize="21600,21600" o:gfxdata="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CrPtg3aAAAA&#10;CwEAAA8AAAAAAAAAAQAgAAAAIgAAAGRycy9kb3ducmV2LnhtbFBLAQIUABQAAAAIAIdO4kDeKo51&#10;xgIAAIkFAAAOAAAAAAAAAAEAIAAAACkBAABkcnMvZTJvRG9jLnhtbFBLBQYAAAAABgAGAFkBAABh&#10;BgAAAAA=&#10;" adj="5051,46575,14400">
                <v:fill on="t" focussize="0,0"/>
                <v:stroke weight="1pt" color="#000000 [3213]" joinstyle="round"/>
                <v:imagedata o:title=""/>
                <o:lock v:ext="edit" aspectratio="f"/>
                <v:textbox>
                  <w:txbxContent>
                    <w:p w14:paraId="1FEE7762">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项目地</w:t>
                      </w:r>
                    </w:p>
                  </w:txbxContent>
                </v:textbox>
              </v:shape>
            </w:pict>
          </mc:Fallback>
        </mc:AlternateContent>
      </w:r>
      <w:r>
        <w:rPr>
          <w:sz w:val="21"/>
        </w:rPr>
        <mc:AlternateContent>
          <mc:Choice Requires="wps">
            <w:drawing>
              <wp:anchor distT="0" distB="0" distL="114300" distR="114300" simplePos="0" relativeHeight="251830272" behindDoc="0" locked="0" layoutInCell="1" allowOverlap="1">
                <wp:simplePos x="0" y="0"/>
                <wp:positionH relativeFrom="column">
                  <wp:posOffset>5713095</wp:posOffset>
                </wp:positionH>
                <wp:positionV relativeFrom="paragraph">
                  <wp:posOffset>1308100</wp:posOffset>
                </wp:positionV>
                <wp:extent cx="75565" cy="75565"/>
                <wp:effectExtent l="12700" t="12700" r="26035" b="26035"/>
                <wp:wrapNone/>
                <wp:docPr id="78" name="椭圆 78"/>
                <wp:cNvGraphicFramePr/>
                <a:graphic xmlns:a="http://schemas.openxmlformats.org/drawingml/2006/main">
                  <a:graphicData uri="http://schemas.microsoft.com/office/word/2010/wordprocessingShape">
                    <wps:wsp>
                      <wps:cNvSpPr/>
                      <wps:spPr>
                        <a:xfrm>
                          <a:off x="6665595" y="2602230"/>
                          <a:ext cx="75565" cy="75565"/>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49.85pt;margin-top:103pt;height:5.95pt;width:5.95pt;z-index:251830272;v-text-anchor:middle;mso-width-relative:page;mso-height-relative:page;" fillcolor="#FF0000" filled="t" stroked="t" coordsize="21600,21600" o:gfxdata="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H9/0MdkAAAALAQAADwAAAAAAAAABACAAAAAiAAAAZHJzL2Rvd25y&#10;ZXYueG1sUEsBAhQAFAAAAAgAh07iQJD9orpvAgAA6wQAAA4AAAAAAAAAAQAgAAAAKAEAAGRycy9l&#10;Mm9Eb2MueG1sUEsFBgAAAAAGAAYAWQEAAAkGAAAAAA==&#10;">
                <v:fill on="t" focussize="0,0"/>
                <v:stroke weight="2pt" color="#000000 [3213]" joinstyle="round"/>
                <v:imagedata o:title=""/>
                <o:lock v:ext="edit" aspectratio="f"/>
              </v:shape>
            </w:pict>
          </mc:Fallback>
        </mc:AlternateContent>
      </w:r>
      <w:r>
        <w:rPr>
          <w:color w:val="auto"/>
          <w:sz w:val="21"/>
        </w:rPr>
        <mc:AlternateContent>
          <mc:Choice Requires="wps">
            <w:drawing>
              <wp:anchor distT="0" distB="0" distL="114300" distR="114300" simplePos="0" relativeHeight="251836416" behindDoc="0" locked="0" layoutInCell="1" allowOverlap="1">
                <wp:simplePos x="0" y="0"/>
                <wp:positionH relativeFrom="column">
                  <wp:posOffset>2265045</wp:posOffset>
                </wp:positionH>
                <wp:positionV relativeFrom="paragraph">
                  <wp:posOffset>5262880</wp:posOffset>
                </wp:positionV>
                <wp:extent cx="4391025" cy="3810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439102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A7217C">
                            <w:pPr>
                              <w:jc w:val="center"/>
                              <w:rPr>
                                <w:rFonts w:hint="default" w:eastAsia="宋体"/>
                                <w:b/>
                                <w:bCs/>
                                <w:sz w:val="30"/>
                                <w:szCs w:val="30"/>
                                <w:lang w:val="en-US" w:eastAsia="zh-CN"/>
                              </w:rPr>
                            </w:pPr>
                            <w:r>
                              <w:rPr>
                                <w:rFonts w:hint="eastAsia"/>
                                <w:b/>
                                <w:bCs/>
                                <w:sz w:val="30"/>
                                <w:szCs w:val="30"/>
                                <w:lang w:eastAsia="zh-CN"/>
                              </w:rPr>
                              <w:t>附图一</w:t>
                            </w:r>
                            <w:r>
                              <w:rPr>
                                <w:rFonts w:hint="eastAsia"/>
                                <w:b/>
                                <w:bCs/>
                                <w:sz w:val="30"/>
                                <w:szCs w:val="30"/>
                                <w:lang w:val="en-US" w:eastAsia="zh-CN"/>
                              </w:rPr>
                              <w:t xml:space="preserve">  项目地理位置图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35pt;margin-top:414.4pt;height:30pt;width:345.75pt;z-index:251836416;mso-width-relative:page;mso-height-relative:page;" filled="f" stroked="f" coordsize="21600,21600" o:gfxdata="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niP/p2wAAAAwBAAAPAAAAAAAAAAEAIAAAACIA&#10;AABkcnMvZG93bnJldi54bWxQSwECFAAUAAAACACHTuJAqbQWkT8CAABoBAAADgAAAAAAAAABACAA&#10;AAAqAQAAZHJzL2Uyb0RvYy54bWxQSwUGAAAAAAYABgBZAQAA2wUAAAAA&#10;">
                <v:fill on="f" focussize="0,0"/>
                <v:stroke on="f" weight="0.5pt"/>
                <v:imagedata o:title=""/>
                <o:lock v:ext="edit" aspectratio="f"/>
                <v:textbox>
                  <w:txbxContent>
                    <w:p w14:paraId="50A7217C">
                      <w:pPr>
                        <w:jc w:val="center"/>
                        <w:rPr>
                          <w:rFonts w:hint="default" w:eastAsia="宋体"/>
                          <w:b/>
                          <w:bCs/>
                          <w:sz w:val="30"/>
                          <w:szCs w:val="30"/>
                          <w:lang w:val="en-US" w:eastAsia="zh-CN"/>
                        </w:rPr>
                      </w:pPr>
                      <w:r>
                        <w:rPr>
                          <w:rFonts w:hint="eastAsia"/>
                          <w:b/>
                          <w:bCs/>
                          <w:sz w:val="30"/>
                          <w:szCs w:val="30"/>
                          <w:lang w:eastAsia="zh-CN"/>
                        </w:rPr>
                        <w:t>附图一</w:t>
                      </w:r>
                      <w:r>
                        <w:rPr>
                          <w:rFonts w:hint="eastAsia"/>
                          <w:b/>
                          <w:bCs/>
                          <w:sz w:val="30"/>
                          <w:szCs w:val="30"/>
                          <w:lang w:val="en-US" w:eastAsia="zh-CN"/>
                        </w:rPr>
                        <w:t xml:space="preserve">  项目地理位置图</w:t>
                      </w:r>
                    </w:p>
                  </w:txbxContent>
                </v:textbox>
              </v:shape>
            </w:pict>
          </mc:Fallback>
        </mc:AlternateContent>
      </w:r>
      <w:r>
        <w:rPr>
          <w:rFonts w:ascii="Times New Roman" w:hAnsi="Times New Roman"/>
          <w:color w:val="auto"/>
        </w:rPr>
        <w:drawing>
          <wp:anchor distT="0" distB="0" distL="0" distR="0" simplePos="0" relativeHeight="251829248" behindDoc="0" locked="0" layoutInCell="1" allowOverlap="1">
            <wp:simplePos x="0" y="0"/>
            <wp:positionH relativeFrom="column">
              <wp:posOffset>278765</wp:posOffset>
            </wp:positionH>
            <wp:positionV relativeFrom="paragraph">
              <wp:posOffset>-560070</wp:posOffset>
            </wp:positionV>
            <wp:extent cx="8392795" cy="5856605"/>
            <wp:effectExtent l="0" t="0" r="8255" b="10795"/>
            <wp:wrapNone/>
            <wp:docPr id="77" name="图片 20" descr="朝阳高清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0" descr="朝阳高清地图"/>
                    <pic:cNvPicPr>
                      <a:picLocks noChangeAspect="1" noChangeArrowheads="1"/>
                    </pic:cNvPicPr>
                  </pic:nvPicPr>
                  <pic:blipFill>
                    <a:blip r:embed="rId94" cstate="screen"/>
                    <a:srcRect/>
                    <a:stretch>
                      <a:fillRect/>
                    </a:stretch>
                  </pic:blipFill>
                  <pic:spPr>
                    <a:xfrm>
                      <a:off x="0" y="0"/>
                      <a:ext cx="8392795" cy="5856605"/>
                    </a:xfrm>
                    <a:prstGeom prst="rect">
                      <a:avLst/>
                    </a:prstGeom>
                    <a:noFill/>
                    <a:ln>
                      <a:noFill/>
                    </a:ln>
                  </pic:spPr>
                </pic:pic>
              </a:graphicData>
            </a:graphic>
          </wp:anchor>
        </w:drawing>
      </w:r>
    </w:p>
    <w:p w14:paraId="3769A967">
      <w:pPr>
        <w:pStyle w:val="30"/>
        <w:widowControl w:val="0"/>
        <w:numPr>
          <w:ilvl w:val="0"/>
          <w:numId w:val="0"/>
        </w:numPr>
        <w:jc w:val="both"/>
        <w:rPr>
          <w:rFonts w:hint="eastAsia" w:eastAsia="宋体"/>
          <w:color w:val="auto"/>
          <w:lang w:eastAsia="zh-CN"/>
        </w:rPr>
      </w:pPr>
      <w:r>
        <w:drawing>
          <wp:anchor distT="0" distB="0" distL="114300" distR="114300" simplePos="0" relativeHeight="251837440" behindDoc="0" locked="0" layoutInCell="1" allowOverlap="1">
            <wp:simplePos x="0" y="0"/>
            <wp:positionH relativeFrom="column">
              <wp:posOffset>9525</wp:posOffset>
            </wp:positionH>
            <wp:positionV relativeFrom="paragraph">
              <wp:posOffset>-352425</wp:posOffset>
            </wp:positionV>
            <wp:extent cx="8860790" cy="5852795"/>
            <wp:effectExtent l="57150" t="57150" r="73660" b="71755"/>
            <wp:wrapNone/>
            <wp:docPr id="1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
                    <pic:cNvPicPr>
                      <a:picLocks noChangeAspect="1"/>
                    </pic:cNvPicPr>
                  </pic:nvPicPr>
                  <pic:blipFill>
                    <a:blip r:embed="rId95"/>
                    <a:stretch>
                      <a:fillRect/>
                    </a:stretch>
                  </pic:blipFill>
                  <pic:spPr>
                    <a:xfrm>
                      <a:off x="0" y="0"/>
                      <a:ext cx="8860790" cy="5852795"/>
                    </a:xfrm>
                    <a:prstGeom prst="rect">
                      <a:avLst/>
                    </a:prstGeom>
                    <a:noFill/>
                    <a:ln w="57150" cmpd="thickThin">
                      <a:solidFill>
                        <a:schemeClr val="tx1"/>
                      </a:solidFill>
                    </a:ln>
                  </pic:spPr>
                </pic:pic>
              </a:graphicData>
            </a:graphic>
          </wp:anchor>
        </w:drawing>
      </w:r>
    </w:p>
    <w:p w14:paraId="48B9FC56">
      <w:pPr>
        <w:pStyle w:val="30"/>
        <w:widowControl w:val="0"/>
        <w:numPr>
          <w:ilvl w:val="0"/>
          <w:numId w:val="0"/>
        </w:numPr>
        <w:jc w:val="both"/>
        <w:rPr>
          <w:rFonts w:hint="eastAsia" w:eastAsia="宋体"/>
          <w:color w:val="auto"/>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rPr>
        <mc:AlternateContent>
          <mc:Choice Requires="wps">
            <w:drawing>
              <wp:anchor distT="0" distB="0" distL="114300" distR="114300" simplePos="0" relativeHeight="251871232" behindDoc="0" locked="0" layoutInCell="1" allowOverlap="1">
                <wp:simplePos x="0" y="0"/>
                <wp:positionH relativeFrom="column">
                  <wp:posOffset>2426970</wp:posOffset>
                </wp:positionH>
                <wp:positionV relativeFrom="paragraph">
                  <wp:posOffset>5333365</wp:posOffset>
                </wp:positionV>
                <wp:extent cx="4391025" cy="381000"/>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439102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617696">
                            <w:pPr>
                              <w:jc w:val="center"/>
                              <w:rPr>
                                <w:rFonts w:hint="default" w:eastAsia="宋体"/>
                                <w:b/>
                                <w:bCs/>
                                <w:sz w:val="30"/>
                                <w:szCs w:val="30"/>
                                <w:lang w:val="en-US" w:eastAsia="zh-CN"/>
                              </w:rPr>
                            </w:pPr>
                            <w:r>
                              <w:rPr>
                                <w:rFonts w:hint="eastAsia"/>
                                <w:b/>
                                <w:bCs/>
                                <w:sz w:val="30"/>
                                <w:szCs w:val="30"/>
                                <w:lang w:eastAsia="zh-CN"/>
                              </w:rPr>
                              <w:t>附图二</w:t>
                            </w:r>
                            <w:r>
                              <w:rPr>
                                <w:rFonts w:hint="eastAsia"/>
                                <w:b/>
                                <w:bCs/>
                                <w:sz w:val="30"/>
                                <w:szCs w:val="30"/>
                                <w:lang w:val="en-US" w:eastAsia="zh-CN"/>
                              </w:rPr>
                              <w:t xml:space="preserve">  项目周围环境保护目标分布图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1pt;margin-top:419.95pt;height:30pt;width:345.75pt;z-index:251871232;mso-width-relative:page;mso-height-relative:page;" filled="f" stroked="f" coordsize="21600,21600" o:gfxdata="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WMZV/2wAAAAwBAAAPAAAAAAAAAAEAIAAAACIA&#10;AABkcnMvZG93bnJldi54bWxQSwECFAAUAAAACACHTuJAzrfJYD8CAABqBAAADgAAAAAAAAABACAA&#10;AAAqAQAAZHJzL2Uyb0RvYy54bWxQSwUGAAAAAAYABgBZAQAA2wUAAAAA&#10;">
                <v:fill on="f" focussize="0,0"/>
                <v:stroke on="f" weight="0.5pt"/>
                <v:imagedata o:title=""/>
                <o:lock v:ext="edit" aspectratio="f"/>
                <v:textbox>
                  <w:txbxContent>
                    <w:p w14:paraId="76617696">
                      <w:pPr>
                        <w:jc w:val="center"/>
                        <w:rPr>
                          <w:rFonts w:hint="default" w:eastAsia="宋体"/>
                          <w:b/>
                          <w:bCs/>
                          <w:sz w:val="30"/>
                          <w:szCs w:val="30"/>
                          <w:lang w:val="en-US" w:eastAsia="zh-CN"/>
                        </w:rPr>
                      </w:pPr>
                      <w:r>
                        <w:rPr>
                          <w:rFonts w:hint="eastAsia"/>
                          <w:b/>
                          <w:bCs/>
                          <w:sz w:val="30"/>
                          <w:szCs w:val="30"/>
                          <w:lang w:eastAsia="zh-CN"/>
                        </w:rPr>
                        <w:t>附图二</w:t>
                      </w:r>
                      <w:r>
                        <w:rPr>
                          <w:rFonts w:hint="eastAsia"/>
                          <w:b/>
                          <w:bCs/>
                          <w:sz w:val="30"/>
                          <w:szCs w:val="30"/>
                          <w:lang w:val="en-US" w:eastAsia="zh-CN"/>
                        </w:rPr>
                        <w:t xml:space="preserve">  项目周围环境保护目标分布图</w:t>
                      </w:r>
                    </w:p>
                  </w:txbxContent>
                </v:textbox>
              </v:shape>
            </w:pict>
          </mc:Fallback>
        </mc:AlternateContent>
      </w:r>
      <w:r>
        <w:rPr>
          <w:sz w:val="21"/>
        </w:rPr>
        <mc:AlternateContent>
          <mc:Choice Requires="wps">
            <w:drawing>
              <wp:anchor distT="0" distB="0" distL="114300" distR="114300" simplePos="0" relativeHeight="251870208" behindDoc="0" locked="0" layoutInCell="1" allowOverlap="1">
                <wp:simplePos x="0" y="0"/>
                <wp:positionH relativeFrom="column">
                  <wp:posOffset>4065270</wp:posOffset>
                </wp:positionH>
                <wp:positionV relativeFrom="paragraph">
                  <wp:posOffset>2640965</wp:posOffset>
                </wp:positionV>
                <wp:extent cx="619125" cy="26670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EEC246">
                            <w:pPr>
                              <w:rPr>
                                <w:rFonts w:hint="default" w:eastAsia="宋体"/>
                                <w:b/>
                                <w:bCs/>
                                <w:color w:val="FF0000"/>
                                <w:lang w:val="en-US" w:eastAsia="zh-CN"/>
                              </w:rPr>
                            </w:pPr>
                            <w:r>
                              <w:rPr>
                                <w:rFonts w:hint="eastAsia"/>
                                <w:b/>
                                <w:bCs/>
                                <w:color w:val="FF0000"/>
                                <w:lang w:val="en-US" w:eastAsia="zh-CN"/>
                              </w:rPr>
                              <w:t>项目地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0.1pt;margin-top:207.95pt;height:21pt;width:48.75pt;z-index:251870208;mso-width-relative:page;mso-height-relative:page;" filled="f" stroked="f" coordsize="21600,21600" o:gfxdata="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hrpV3QAAAAsBAAAPAAAAAAAAAAEAIAAAACIA&#10;AABkcnMvZG93bnJldi54bWxQSwECFAAUAAAACACHTuJAUM31lj0CAABpBAAADgAAAAAAAAABACAA&#10;AAAsAQAAZHJzL2Uyb0RvYy54bWxQSwUGAAAAAAYABgBZAQAA2wUAAAAA&#10;">
                <v:fill on="f" focussize="0,0"/>
                <v:stroke on="f" weight="0.5pt"/>
                <v:imagedata o:title=""/>
                <o:lock v:ext="edit" aspectratio="f"/>
                <v:textbox>
                  <w:txbxContent>
                    <w:p w14:paraId="5EEEC246">
                      <w:pPr>
                        <w:rPr>
                          <w:rFonts w:hint="default" w:eastAsia="宋体"/>
                          <w:b/>
                          <w:bCs/>
                          <w:color w:val="FF0000"/>
                          <w:lang w:val="en-US" w:eastAsia="zh-CN"/>
                        </w:rPr>
                      </w:pPr>
                      <w:r>
                        <w:rPr>
                          <w:rFonts w:hint="eastAsia"/>
                          <w:b/>
                          <w:bCs/>
                          <w:color w:val="FF0000"/>
                          <w:lang w:val="en-US" w:eastAsia="zh-CN"/>
                        </w:rPr>
                        <w:t>项目地</w:t>
                      </w:r>
                    </w:p>
                  </w:txbxContent>
                </v:textbox>
              </v:shape>
            </w:pict>
          </mc:Fallback>
        </mc:AlternateContent>
      </w:r>
      <w:r>
        <w:rPr>
          <w:sz w:val="21"/>
        </w:rPr>
        <mc:AlternateContent>
          <mc:Choice Requires="wps">
            <w:drawing>
              <wp:anchor distT="0" distB="0" distL="114300" distR="114300" simplePos="0" relativeHeight="251869184" behindDoc="0" locked="0" layoutInCell="1" allowOverlap="1">
                <wp:simplePos x="0" y="0"/>
                <wp:positionH relativeFrom="column">
                  <wp:posOffset>4932045</wp:posOffset>
                </wp:positionH>
                <wp:positionV relativeFrom="paragraph">
                  <wp:posOffset>1507490</wp:posOffset>
                </wp:positionV>
                <wp:extent cx="619125" cy="26670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C47123">
                            <w:pPr>
                              <w:rPr>
                                <w:rFonts w:hint="default" w:eastAsia="宋体"/>
                                <w:b/>
                                <w:bCs/>
                                <w:color w:val="FF0000"/>
                                <w:lang w:val="en-US" w:eastAsia="zh-CN"/>
                              </w:rPr>
                            </w:pPr>
                            <w:r>
                              <w:rPr>
                                <w:rFonts w:hint="eastAsia"/>
                                <w:b/>
                                <w:bCs/>
                                <w:color w:val="FF0000"/>
                                <w:lang w:val="en-US" w:eastAsia="zh-CN"/>
                              </w:rPr>
                              <w:t>2102m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35pt;margin-top:118.7pt;height:21pt;width:48.75pt;z-index:251869184;mso-width-relative:page;mso-height-relative:page;" filled="f" stroked="f" coordsize="21600,21600" o:gfxdata="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uh0Dl3AAAAAsBAAAPAAAAAAAAAAEAIAAAACIA&#10;AABkcnMvZG93bnJldi54bWxQSwECFAAUAAAACACHTuJA8+O9FD4CAABpBAAADgAAAAAAAAABACAA&#10;AAArAQAAZHJzL2Uyb0RvYy54bWxQSwUGAAAAAAYABgBZAQAA2wUAAAAA&#10;">
                <v:fill on="f" focussize="0,0"/>
                <v:stroke on="f" weight="0.5pt"/>
                <v:imagedata o:title=""/>
                <o:lock v:ext="edit" aspectratio="f"/>
                <v:textbox>
                  <w:txbxContent>
                    <w:p w14:paraId="11C47123">
                      <w:pPr>
                        <w:rPr>
                          <w:rFonts w:hint="default" w:eastAsia="宋体"/>
                          <w:b/>
                          <w:bCs/>
                          <w:color w:val="FF0000"/>
                          <w:lang w:val="en-US" w:eastAsia="zh-CN"/>
                        </w:rPr>
                      </w:pPr>
                      <w:r>
                        <w:rPr>
                          <w:rFonts w:hint="eastAsia"/>
                          <w:b/>
                          <w:bCs/>
                          <w:color w:val="FF0000"/>
                          <w:lang w:val="en-US" w:eastAsia="zh-CN"/>
                        </w:rPr>
                        <w:t>2102m</w:t>
                      </w:r>
                    </w:p>
                  </w:txbxContent>
                </v:textbox>
              </v:shape>
            </w:pict>
          </mc:Fallback>
        </mc:AlternateContent>
      </w:r>
      <w:r>
        <w:rPr>
          <w:sz w:val="21"/>
        </w:rPr>
        <mc:AlternateContent>
          <mc:Choice Requires="wps">
            <w:drawing>
              <wp:anchor distT="0" distB="0" distL="114300" distR="114300" simplePos="0" relativeHeight="251868160" behindDoc="0" locked="0" layoutInCell="1" allowOverlap="1">
                <wp:simplePos x="0" y="0"/>
                <wp:positionH relativeFrom="column">
                  <wp:posOffset>4827270</wp:posOffset>
                </wp:positionH>
                <wp:positionV relativeFrom="paragraph">
                  <wp:posOffset>1069340</wp:posOffset>
                </wp:positionV>
                <wp:extent cx="619125" cy="266700"/>
                <wp:effectExtent l="0" t="0" r="0" b="0"/>
                <wp:wrapNone/>
                <wp:docPr id="162" name="文本框 162"/>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1648B5">
                            <w:pPr>
                              <w:rPr>
                                <w:rFonts w:hint="default" w:eastAsia="宋体"/>
                                <w:b/>
                                <w:bCs/>
                                <w:color w:val="FF0000"/>
                                <w:lang w:val="en-US" w:eastAsia="zh-CN"/>
                              </w:rPr>
                            </w:pPr>
                            <w:r>
                              <w:rPr>
                                <w:rFonts w:hint="eastAsia"/>
                                <w:b/>
                                <w:bCs/>
                                <w:color w:val="FF0000"/>
                                <w:lang w:val="en-US" w:eastAsia="zh-CN"/>
                              </w:rPr>
                              <w:t>2592m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0.1pt;margin-top:84.2pt;height:21pt;width:48.75pt;z-index:251868160;mso-width-relative:page;mso-height-relative:page;" filled="f" stroked="f" coordsize="21600,21600" o:gfxdata="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p9e9/cAAAACwEAAA8AAAAAAAAAAQAgAAAAIgAA&#10;AGRycy9kb3ducmV2LnhtbFBLAQIUABQAAAAIAIdO4kB+7KUiPQIAAGkEAAAOAAAAAAAAAAEAIAAA&#10;ACsBAABkcnMvZTJvRG9jLnhtbFBLBQYAAAAABgAGAFkBAADaBQAAAAA=&#10;">
                <v:fill on="f" focussize="0,0"/>
                <v:stroke on="f" weight="0.5pt"/>
                <v:imagedata o:title=""/>
                <o:lock v:ext="edit" aspectratio="f"/>
                <v:textbox>
                  <w:txbxContent>
                    <w:p w14:paraId="1E1648B5">
                      <w:pPr>
                        <w:rPr>
                          <w:rFonts w:hint="default" w:eastAsia="宋体"/>
                          <w:b/>
                          <w:bCs/>
                          <w:color w:val="FF0000"/>
                          <w:lang w:val="en-US" w:eastAsia="zh-CN"/>
                        </w:rPr>
                      </w:pPr>
                      <w:r>
                        <w:rPr>
                          <w:rFonts w:hint="eastAsia"/>
                          <w:b/>
                          <w:bCs/>
                          <w:color w:val="FF0000"/>
                          <w:lang w:val="en-US" w:eastAsia="zh-CN"/>
                        </w:rPr>
                        <w:t>2592m</w:t>
                      </w:r>
                    </w:p>
                  </w:txbxContent>
                </v:textbox>
              </v:shape>
            </w:pict>
          </mc:Fallback>
        </mc:AlternateContent>
      </w:r>
      <w:r>
        <w:rPr>
          <w:sz w:val="21"/>
        </w:rPr>
        <mc:AlternateContent>
          <mc:Choice Requires="wps">
            <w:drawing>
              <wp:anchor distT="0" distB="0" distL="114300" distR="114300" simplePos="0" relativeHeight="251864064" behindDoc="0" locked="0" layoutInCell="1" allowOverlap="1">
                <wp:simplePos x="0" y="0"/>
                <wp:positionH relativeFrom="column">
                  <wp:posOffset>4331970</wp:posOffset>
                </wp:positionH>
                <wp:positionV relativeFrom="paragraph">
                  <wp:posOffset>1678940</wp:posOffset>
                </wp:positionV>
                <wp:extent cx="619125" cy="266700"/>
                <wp:effectExtent l="0" t="0" r="0" b="0"/>
                <wp:wrapNone/>
                <wp:docPr id="161" name="文本框 161"/>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954A8C">
                            <w:pPr>
                              <w:rPr>
                                <w:rFonts w:hint="default" w:eastAsia="宋体"/>
                                <w:b/>
                                <w:bCs/>
                                <w:color w:val="FF0000"/>
                                <w:lang w:val="en-US" w:eastAsia="zh-CN"/>
                              </w:rPr>
                            </w:pPr>
                            <w:r>
                              <w:rPr>
                                <w:rFonts w:hint="eastAsia"/>
                                <w:b/>
                                <w:bCs/>
                                <w:color w:val="FF0000"/>
                                <w:lang w:val="en-US" w:eastAsia="zh-CN"/>
                              </w:rPr>
                              <w:t>1559m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1pt;margin-top:132.2pt;height:21pt;width:48.75pt;z-index:251864064;mso-width-relative:page;mso-height-relative:page;" filled="f" stroked="f" coordsize="21600,21600" o:gfxdata="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IzD69wAAAALAQAADwAAAAAAAAABACAAAAAiAAAA&#10;ZHJzL2Rvd25yZXYueG1sUEsBAhQAFAAAAAgAh07iQOn8jXg8AgAAaQQAAA4AAAAAAAAAAQAgAAAA&#10;KwEAAGRycy9lMm9Eb2MueG1sUEsFBgAAAAAGAAYAWQEAANkFAAAAAA==&#10;">
                <v:fill on="f" focussize="0,0"/>
                <v:stroke on="f" weight="0.5pt"/>
                <v:imagedata o:title=""/>
                <o:lock v:ext="edit" aspectratio="f"/>
                <v:textbox>
                  <w:txbxContent>
                    <w:p w14:paraId="6D954A8C">
                      <w:pPr>
                        <w:rPr>
                          <w:rFonts w:hint="default" w:eastAsia="宋体"/>
                          <w:b/>
                          <w:bCs/>
                          <w:color w:val="FF0000"/>
                          <w:lang w:val="en-US" w:eastAsia="zh-CN"/>
                        </w:rPr>
                      </w:pPr>
                      <w:r>
                        <w:rPr>
                          <w:rFonts w:hint="eastAsia"/>
                          <w:b/>
                          <w:bCs/>
                          <w:color w:val="FF0000"/>
                          <w:lang w:val="en-US" w:eastAsia="zh-CN"/>
                        </w:rPr>
                        <w:t>1559m</w:t>
                      </w:r>
                    </w:p>
                  </w:txbxContent>
                </v:textbox>
              </v:shape>
            </w:pict>
          </mc:Fallback>
        </mc:AlternateContent>
      </w:r>
      <w:r>
        <w:rPr>
          <w:sz w:val="21"/>
        </w:rPr>
        <mc:AlternateContent>
          <mc:Choice Requires="wps">
            <w:drawing>
              <wp:anchor distT="0" distB="0" distL="114300" distR="114300" simplePos="0" relativeHeight="251866112" behindDoc="0" locked="0" layoutInCell="1" allowOverlap="1">
                <wp:simplePos x="0" y="0"/>
                <wp:positionH relativeFrom="column">
                  <wp:posOffset>4131945</wp:posOffset>
                </wp:positionH>
                <wp:positionV relativeFrom="paragraph">
                  <wp:posOffset>1336040</wp:posOffset>
                </wp:positionV>
                <wp:extent cx="619125" cy="266700"/>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AB6543">
                            <w:pPr>
                              <w:rPr>
                                <w:rFonts w:hint="default" w:eastAsia="宋体"/>
                                <w:b/>
                                <w:bCs/>
                                <w:color w:val="FF0000"/>
                                <w:lang w:val="en-US" w:eastAsia="zh-CN"/>
                              </w:rPr>
                            </w:pPr>
                            <w:r>
                              <w:rPr>
                                <w:rFonts w:hint="eastAsia"/>
                                <w:b/>
                                <w:bCs/>
                                <w:color w:val="FF0000"/>
                                <w:lang w:val="en-US" w:eastAsia="zh-CN"/>
                              </w:rPr>
                              <w:t>2012m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35pt;margin-top:105.2pt;height:21pt;width:48.75pt;z-index:251866112;mso-width-relative:page;mso-height-relative:page;" filled="f" stroked="f" coordsize="21600,21600" o:gfxdata="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&#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9WJ7AtwAAAALAQAADwAAAAAAAAABACAAAAAiAAAA&#10;ZHJzL2Rvd25yZXYueG1sUEsBAhQAFAAAAAgAh07iQGTzlU48AgAAaQQAAA4AAAAAAAAAAQAgAAAA&#10;KwEAAGRycy9lMm9Eb2MueG1sUEsFBgAAAAAGAAYAWQEAANkFAAAAAA==&#10;">
                <v:fill on="f" focussize="0,0"/>
                <v:stroke on="f" weight="0.5pt"/>
                <v:imagedata o:title=""/>
                <o:lock v:ext="edit" aspectratio="f"/>
                <v:textbox>
                  <w:txbxContent>
                    <w:p w14:paraId="0EAB6543">
                      <w:pPr>
                        <w:rPr>
                          <w:rFonts w:hint="default" w:eastAsia="宋体"/>
                          <w:b/>
                          <w:bCs/>
                          <w:color w:val="FF0000"/>
                          <w:lang w:val="en-US" w:eastAsia="zh-CN"/>
                        </w:rPr>
                      </w:pPr>
                      <w:r>
                        <w:rPr>
                          <w:rFonts w:hint="eastAsia"/>
                          <w:b/>
                          <w:bCs/>
                          <w:color w:val="FF0000"/>
                          <w:lang w:val="en-US" w:eastAsia="zh-CN"/>
                        </w:rPr>
                        <w:t>2012m</w:t>
                      </w:r>
                    </w:p>
                  </w:txbxContent>
                </v:textbox>
              </v:shape>
            </w:pict>
          </mc:Fallback>
        </mc:AlternateContent>
      </w:r>
      <w:r>
        <w:rPr>
          <w:sz w:val="21"/>
        </w:rPr>
        <mc:AlternateContent>
          <mc:Choice Requires="wps">
            <w:drawing>
              <wp:anchor distT="0" distB="0" distL="114300" distR="114300" simplePos="0" relativeHeight="251867136" behindDoc="0" locked="0" layoutInCell="1" allowOverlap="1">
                <wp:simplePos x="0" y="0"/>
                <wp:positionH relativeFrom="column">
                  <wp:posOffset>3589020</wp:posOffset>
                </wp:positionH>
                <wp:positionV relativeFrom="paragraph">
                  <wp:posOffset>945515</wp:posOffset>
                </wp:positionV>
                <wp:extent cx="619125" cy="266700"/>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756A36">
                            <w:pPr>
                              <w:rPr>
                                <w:rFonts w:hint="default" w:eastAsia="宋体"/>
                                <w:b/>
                                <w:bCs/>
                                <w:color w:val="FF0000"/>
                                <w:lang w:val="en-US" w:eastAsia="zh-CN"/>
                              </w:rPr>
                            </w:pPr>
                            <w:r>
                              <w:rPr>
                                <w:rFonts w:hint="eastAsia"/>
                                <w:b/>
                                <w:bCs/>
                                <w:color w:val="FF0000"/>
                                <w:lang w:val="en-US" w:eastAsia="zh-CN"/>
                              </w:rPr>
                              <w:t>2741m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2.6pt;margin-top:74.45pt;height:21pt;width:48.75pt;z-index:251867136;mso-width-relative:page;mso-height-relative:page;" filled="f" stroked="f" coordsize="21600,21600" o:gfxdata="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2BHqNsAAAALAQAADwAAAAAAAAABACAAAAAiAAAA&#10;ZHJzL2Rvd25yZXYueG1sUEsBAhQAFAAAAAgAh07iQDeoDX09AgAAaQQAAA4AAAAAAAAAAQAgAAAA&#10;KgEAAGRycy9lMm9Eb2MueG1sUEsFBgAAAAAGAAYAWQEAANkFAAAAAA==&#10;">
                <v:fill on="f" focussize="0,0"/>
                <v:stroke on="f" weight="0.5pt"/>
                <v:imagedata o:title=""/>
                <o:lock v:ext="edit" aspectratio="f"/>
                <v:textbox>
                  <w:txbxContent>
                    <w:p w14:paraId="2F756A36">
                      <w:pPr>
                        <w:rPr>
                          <w:rFonts w:hint="default" w:eastAsia="宋体"/>
                          <w:b/>
                          <w:bCs/>
                          <w:color w:val="FF0000"/>
                          <w:lang w:val="en-US" w:eastAsia="zh-CN"/>
                        </w:rPr>
                      </w:pPr>
                      <w:r>
                        <w:rPr>
                          <w:rFonts w:hint="eastAsia"/>
                          <w:b/>
                          <w:bCs/>
                          <w:color w:val="FF0000"/>
                          <w:lang w:val="en-US" w:eastAsia="zh-CN"/>
                        </w:rPr>
                        <w:t>2741m</w:t>
                      </w:r>
                    </w:p>
                  </w:txbxContent>
                </v:textbox>
              </v:shape>
            </w:pict>
          </mc:Fallback>
        </mc:AlternateContent>
      </w:r>
      <w:r>
        <w:rPr>
          <w:sz w:val="21"/>
        </w:rPr>
        <mc:AlternateContent>
          <mc:Choice Requires="wps">
            <w:drawing>
              <wp:anchor distT="0" distB="0" distL="114300" distR="114300" simplePos="0" relativeHeight="251865088" behindDoc="0" locked="0" layoutInCell="1" allowOverlap="1">
                <wp:simplePos x="0" y="0"/>
                <wp:positionH relativeFrom="column">
                  <wp:posOffset>3617595</wp:posOffset>
                </wp:positionH>
                <wp:positionV relativeFrom="paragraph">
                  <wp:posOffset>2259965</wp:posOffset>
                </wp:positionV>
                <wp:extent cx="619125" cy="266700"/>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615DF3">
                            <w:pPr>
                              <w:rPr>
                                <w:rFonts w:hint="default" w:eastAsia="宋体"/>
                                <w:b/>
                                <w:bCs/>
                                <w:color w:val="FF0000"/>
                                <w:lang w:val="en-US" w:eastAsia="zh-CN"/>
                              </w:rPr>
                            </w:pPr>
                            <w:r>
                              <w:rPr>
                                <w:rFonts w:hint="eastAsia"/>
                                <w:b/>
                                <w:bCs/>
                                <w:color w:val="FF0000"/>
                                <w:lang w:val="en-US" w:eastAsia="zh-CN"/>
                              </w:rPr>
                              <w:t>768m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85pt;margin-top:177.95pt;height:21pt;width:48.75pt;z-index:251865088;mso-width-relative:page;mso-height-relative:page;" filled="f" stroked="f" coordsize="21600,21600" o:gfxdata="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zhUSbcAAAACwEAAA8AAAAAAAAAAQAgAAAAIgAA&#10;AGRycy9kb3ducmV2LnhtbFBLAQIUABQAAAAIAIdO4kC6pxVLPQIAAGkEAAAOAAAAAAAAAAEAIAAA&#10;ACsBAABkcnMvZTJvRG9jLnhtbFBLBQYAAAAABgAGAFkBAADaBQAAAAA=&#10;">
                <v:fill on="f" focussize="0,0"/>
                <v:stroke on="f" weight="0.5pt"/>
                <v:imagedata o:title=""/>
                <o:lock v:ext="edit" aspectratio="f"/>
                <v:textbox>
                  <w:txbxContent>
                    <w:p w14:paraId="21615DF3">
                      <w:pPr>
                        <w:rPr>
                          <w:rFonts w:hint="default" w:eastAsia="宋体"/>
                          <w:b/>
                          <w:bCs/>
                          <w:color w:val="FF0000"/>
                          <w:lang w:val="en-US" w:eastAsia="zh-CN"/>
                        </w:rPr>
                      </w:pPr>
                      <w:r>
                        <w:rPr>
                          <w:rFonts w:hint="eastAsia"/>
                          <w:b/>
                          <w:bCs/>
                          <w:color w:val="FF0000"/>
                          <w:lang w:val="en-US" w:eastAsia="zh-CN"/>
                        </w:rPr>
                        <w:t>768m</w:t>
                      </w:r>
                    </w:p>
                  </w:txbxContent>
                </v:textbox>
              </v:shape>
            </w:pict>
          </mc:Fallback>
        </mc:AlternateContent>
      </w:r>
      <w:r>
        <w:rPr>
          <w:sz w:val="21"/>
        </w:rPr>
        <mc:AlternateContent>
          <mc:Choice Requires="wps">
            <w:drawing>
              <wp:anchor distT="0" distB="0" distL="114300" distR="114300" simplePos="0" relativeHeight="251850752" behindDoc="0" locked="0" layoutInCell="1" allowOverlap="1">
                <wp:simplePos x="0" y="0"/>
                <wp:positionH relativeFrom="column">
                  <wp:posOffset>2407920</wp:posOffset>
                </wp:positionH>
                <wp:positionV relativeFrom="paragraph">
                  <wp:posOffset>2288540</wp:posOffset>
                </wp:positionV>
                <wp:extent cx="619125" cy="266700"/>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04B1B0">
                            <w:pPr>
                              <w:rPr>
                                <w:rFonts w:hint="default" w:eastAsia="宋体"/>
                                <w:b/>
                                <w:bCs/>
                                <w:color w:val="FF0000"/>
                                <w:lang w:val="en-US" w:eastAsia="zh-CN"/>
                              </w:rPr>
                            </w:pPr>
                            <w:r>
                              <w:rPr>
                                <w:rFonts w:hint="eastAsia"/>
                                <w:b/>
                                <w:bCs/>
                                <w:color w:val="FF0000"/>
                                <w:lang w:val="en-US" w:eastAsia="zh-CN"/>
                              </w:rPr>
                              <w:t>2036m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9.6pt;margin-top:180.2pt;height:21pt;width:48.75pt;z-index:251850752;mso-width-relative:page;mso-height-relative:page;" filled="f" stroked="f" coordsize="21600,21600" o:gfxdata="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X2cGTcAAAACwEAAA8AAAAAAAAAAQAgAAAAIgAA&#10;AGRycy9kb3ducmV2LnhtbFBLAQIUABQAAAAIAIdO4kAw8+yiPQIAAGkEAAAOAAAAAAAAAAEAIAAA&#10;ACsBAABkcnMvZTJvRG9jLnhtbFBLBQYAAAAABgAGAFkBAADaBQAAAAA=&#10;">
                <v:fill on="f" focussize="0,0"/>
                <v:stroke on="f" weight="0.5pt"/>
                <v:imagedata o:title=""/>
                <o:lock v:ext="edit" aspectratio="f"/>
                <v:textbox>
                  <w:txbxContent>
                    <w:p w14:paraId="7604B1B0">
                      <w:pPr>
                        <w:rPr>
                          <w:rFonts w:hint="default" w:eastAsia="宋体"/>
                          <w:b/>
                          <w:bCs/>
                          <w:color w:val="FF0000"/>
                          <w:lang w:val="en-US" w:eastAsia="zh-CN"/>
                        </w:rPr>
                      </w:pPr>
                      <w:r>
                        <w:rPr>
                          <w:rFonts w:hint="eastAsia"/>
                          <w:b/>
                          <w:bCs/>
                          <w:color w:val="FF0000"/>
                          <w:lang w:val="en-US" w:eastAsia="zh-CN"/>
                        </w:rPr>
                        <w:t>2036m</w:t>
                      </w:r>
                    </w:p>
                  </w:txbxContent>
                </v:textbox>
              </v:shape>
            </w:pict>
          </mc:Fallback>
        </mc:AlternateContent>
      </w:r>
      <w:r>
        <w:rPr>
          <w:sz w:val="21"/>
        </w:rPr>
        <mc:AlternateContent>
          <mc:Choice Requires="wps">
            <w:drawing>
              <wp:anchor distT="0" distB="0" distL="114300" distR="114300" simplePos="0" relativeHeight="251852800" behindDoc="0" locked="0" layoutInCell="1" allowOverlap="1">
                <wp:simplePos x="0" y="0"/>
                <wp:positionH relativeFrom="column">
                  <wp:posOffset>2303145</wp:posOffset>
                </wp:positionH>
                <wp:positionV relativeFrom="paragraph">
                  <wp:posOffset>3002915</wp:posOffset>
                </wp:positionV>
                <wp:extent cx="619125" cy="266700"/>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998B62">
                            <w:pPr>
                              <w:rPr>
                                <w:rFonts w:hint="default" w:eastAsia="宋体"/>
                                <w:b/>
                                <w:bCs/>
                                <w:color w:val="FF0000"/>
                                <w:lang w:val="en-US" w:eastAsia="zh-CN"/>
                              </w:rPr>
                            </w:pPr>
                            <w:r>
                              <w:rPr>
                                <w:rFonts w:hint="eastAsia"/>
                                <w:b/>
                                <w:bCs/>
                                <w:color w:val="FF0000"/>
                                <w:lang w:val="en-US" w:eastAsia="zh-CN"/>
                              </w:rPr>
                              <w:t>2220m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1.35pt;margin-top:236.45pt;height:21pt;width:48.75pt;z-index:251852800;mso-width-relative:page;mso-height-relative:page;" filled="f" stroked="f" coordsize="21600,21600" o:gfxdata="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rmraT3QAAAAsBAAAPAAAAAAAAAAEAIAAAACIA&#10;AABkcnMvZG93bnJldi54bWxQSwECFAAUAAAACACHTuJAvfz0lD0CAABpBAAADgAAAAAAAAABACAA&#10;AAAsAQAAZHJzL2Uyb0RvYy54bWxQSwUGAAAAAAYABgBZAQAA2wUAAAAA&#10;">
                <v:fill on="f" focussize="0,0"/>
                <v:stroke on="f" weight="0.5pt"/>
                <v:imagedata o:title=""/>
                <o:lock v:ext="edit" aspectratio="f"/>
                <v:textbox>
                  <w:txbxContent>
                    <w:p w14:paraId="59998B62">
                      <w:pPr>
                        <w:rPr>
                          <w:rFonts w:hint="default" w:eastAsia="宋体"/>
                          <w:b/>
                          <w:bCs/>
                          <w:color w:val="FF0000"/>
                          <w:lang w:val="en-US" w:eastAsia="zh-CN"/>
                        </w:rPr>
                      </w:pPr>
                      <w:r>
                        <w:rPr>
                          <w:rFonts w:hint="eastAsia"/>
                          <w:b/>
                          <w:bCs/>
                          <w:color w:val="FF0000"/>
                          <w:lang w:val="en-US" w:eastAsia="zh-CN"/>
                        </w:rPr>
                        <w:t>2220m</w:t>
                      </w:r>
                    </w:p>
                  </w:txbxContent>
                </v:textbox>
              </v:shape>
            </w:pict>
          </mc:Fallback>
        </mc:AlternateContent>
      </w:r>
      <w:r>
        <w:rPr>
          <w:sz w:val="21"/>
        </w:rPr>
        <mc:AlternateContent>
          <mc:Choice Requires="wps">
            <w:drawing>
              <wp:anchor distT="0" distB="0" distL="114300" distR="114300" simplePos="0" relativeHeight="251853824" behindDoc="0" locked="0" layoutInCell="1" allowOverlap="1">
                <wp:simplePos x="0" y="0"/>
                <wp:positionH relativeFrom="column">
                  <wp:posOffset>2874645</wp:posOffset>
                </wp:positionH>
                <wp:positionV relativeFrom="paragraph">
                  <wp:posOffset>3469640</wp:posOffset>
                </wp:positionV>
                <wp:extent cx="619125" cy="26670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5A991C">
                            <w:pPr>
                              <w:rPr>
                                <w:rFonts w:hint="default" w:eastAsia="宋体"/>
                                <w:b/>
                                <w:bCs/>
                                <w:color w:val="FF0000"/>
                                <w:lang w:val="en-US" w:eastAsia="zh-CN"/>
                              </w:rPr>
                            </w:pPr>
                            <w:r>
                              <w:rPr>
                                <w:rFonts w:hint="eastAsia"/>
                                <w:b/>
                                <w:bCs/>
                                <w:color w:val="FF0000"/>
                                <w:lang w:val="en-US" w:eastAsia="zh-CN"/>
                              </w:rPr>
                              <w:t>2021m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6.35pt;margin-top:273.2pt;height:21pt;width:48.75pt;z-index:251853824;mso-width-relative:page;mso-height-relative:page;" filled="f" stroked="f" coordsize="21600,21600" o:gfxdata="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gbF87cAAAACwEAAA8AAAAAAAAAAQAgAAAAIgAA&#10;AGRycy9kb3ducmV2LnhtbFBLAQIUABQAAAAIAIdO4kAq7NzOPQIAAGkEAAAOAAAAAAAAAAEAIAAA&#10;ACsBAABkcnMvZTJvRG9jLnhtbFBLBQYAAAAABgAGAFkBAADaBQAAAAA=&#10;">
                <v:fill on="f" focussize="0,0"/>
                <v:stroke on="f" weight="0.5pt"/>
                <v:imagedata o:title=""/>
                <o:lock v:ext="edit" aspectratio="f"/>
                <v:textbox>
                  <w:txbxContent>
                    <w:p w14:paraId="3F5A991C">
                      <w:pPr>
                        <w:rPr>
                          <w:rFonts w:hint="default" w:eastAsia="宋体"/>
                          <w:b/>
                          <w:bCs/>
                          <w:color w:val="FF0000"/>
                          <w:lang w:val="en-US" w:eastAsia="zh-CN"/>
                        </w:rPr>
                      </w:pPr>
                      <w:r>
                        <w:rPr>
                          <w:rFonts w:hint="eastAsia"/>
                          <w:b/>
                          <w:bCs/>
                          <w:color w:val="FF0000"/>
                          <w:lang w:val="en-US" w:eastAsia="zh-CN"/>
                        </w:rPr>
                        <w:t>2021m</w:t>
                      </w:r>
                    </w:p>
                  </w:txbxContent>
                </v:textbox>
              </v:shape>
            </w:pict>
          </mc:Fallback>
        </mc:AlternateContent>
      </w:r>
      <w:r>
        <w:rPr>
          <w:sz w:val="21"/>
        </w:rPr>
        <mc:AlternateContent>
          <mc:Choice Requires="wps">
            <w:drawing>
              <wp:anchor distT="0" distB="0" distL="114300" distR="114300" simplePos="0" relativeHeight="251854848" behindDoc="0" locked="0" layoutInCell="1" allowOverlap="1">
                <wp:simplePos x="0" y="0"/>
                <wp:positionH relativeFrom="column">
                  <wp:posOffset>3312795</wp:posOffset>
                </wp:positionH>
                <wp:positionV relativeFrom="paragraph">
                  <wp:posOffset>3631565</wp:posOffset>
                </wp:positionV>
                <wp:extent cx="619125" cy="266700"/>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54DC60">
                            <w:pPr>
                              <w:rPr>
                                <w:rFonts w:hint="default" w:eastAsia="宋体"/>
                                <w:b/>
                                <w:bCs/>
                                <w:color w:val="FF0000"/>
                                <w:lang w:val="en-US" w:eastAsia="zh-CN"/>
                              </w:rPr>
                            </w:pPr>
                            <w:r>
                              <w:rPr>
                                <w:rFonts w:hint="eastAsia"/>
                                <w:b/>
                                <w:bCs/>
                                <w:color w:val="FF0000"/>
                                <w:lang w:val="en-US" w:eastAsia="zh-CN"/>
                              </w:rPr>
                              <w:t>1780m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85pt;margin-top:285.95pt;height:21pt;width:48.75pt;z-index:251854848;mso-width-relative:page;mso-height-relative:page;" filled="f" stroked="f" coordsize="21600,21600" o:gfxdata="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yduFNsAAAALAQAADwAAAAAAAAABACAAAAAiAAAA&#10;ZHJzL2Rvd25yZXYueG1sUEsBAhQAFAAAAAgAh07iQKfjxPg9AgAAaQQAAA4AAAAAAAAAAQAgAAAA&#10;KgEAAGRycy9lMm9Eb2MueG1sUEsFBgAAAAAGAAYAWQEAANkFAAAAAA==&#10;">
                <v:fill on="f" focussize="0,0"/>
                <v:stroke on="f" weight="0.5pt"/>
                <v:imagedata o:title=""/>
                <o:lock v:ext="edit" aspectratio="f"/>
                <v:textbox>
                  <w:txbxContent>
                    <w:p w14:paraId="0A54DC60">
                      <w:pPr>
                        <w:rPr>
                          <w:rFonts w:hint="default" w:eastAsia="宋体"/>
                          <w:b/>
                          <w:bCs/>
                          <w:color w:val="FF0000"/>
                          <w:lang w:val="en-US" w:eastAsia="zh-CN"/>
                        </w:rPr>
                      </w:pPr>
                      <w:r>
                        <w:rPr>
                          <w:rFonts w:hint="eastAsia"/>
                          <w:b/>
                          <w:bCs/>
                          <w:color w:val="FF0000"/>
                          <w:lang w:val="en-US" w:eastAsia="zh-CN"/>
                        </w:rPr>
                        <w:t>1780m</w:t>
                      </w:r>
                    </w:p>
                  </w:txbxContent>
                </v:textbox>
              </v:shape>
            </w:pict>
          </mc:Fallback>
        </mc:AlternateContent>
      </w:r>
      <w:r>
        <w:rPr>
          <w:sz w:val="21"/>
        </w:rPr>
        <mc:AlternateContent>
          <mc:Choice Requires="wps">
            <w:drawing>
              <wp:anchor distT="0" distB="0" distL="114300" distR="114300" simplePos="0" relativeHeight="251855872" behindDoc="0" locked="0" layoutInCell="1" allowOverlap="1">
                <wp:simplePos x="0" y="0"/>
                <wp:positionH relativeFrom="column">
                  <wp:posOffset>4084320</wp:posOffset>
                </wp:positionH>
                <wp:positionV relativeFrom="paragraph">
                  <wp:posOffset>3060065</wp:posOffset>
                </wp:positionV>
                <wp:extent cx="619125" cy="266700"/>
                <wp:effectExtent l="0" t="0" r="0" b="0"/>
                <wp:wrapNone/>
                <wp:docPr id="153" name="文本框 153"/>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3D7A74">
                            <w:pPr>
                              <w:rPr>
                                <w:rFonts w:hint="default" w:eastAsia="宋体"/>
                                <w:b/>
                                <w:bCs/>
                                <w:color w:val="FF0000"/>
                                <w:lang w:val="en-US" w:eastAsia="zh-CN"/>
                              </w:rPr>
                            </w:pPr>
                            <w:r>
                              <w:rPr>
                                <w:rFonts w:hint="eastAsia"/>
                                <w:b/>
                                <w:bCs/>
                                <w:color w:val="FF0000"/>
                                <w:lang w:val="en-US" w:eastAsia="zh-CN"/>
                              </w:rPr>
                              <w:t>490m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1.6pt;margin-top:240.95pt;height:21pt;width:48.75pt;z-index:251855872;mso-width-relative:page;mso-height-relative:page;" filled="f" stroked="f" coordsize="21600,21600" o:gfxdata="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yTtZXeAAAACwEAAA8AAAAAAAAAAQAgAAAA&#10;IgAAAGRycy9kb3ducmV2LnhtbFBLAQIUABQAAAAIAIdO4kAEzYx6PgIAAGkEAAAOAAAAAAAAAAEA&#10;IAAAAC0BAABkcnMvZTJvRG9jLnhtbFBLBQYAAAAABgAGAFkBAADdBQAAAAA=&#10;">
                <v:fill on="f" focussize="0,0"/>
                <v:stroke on="f" weight="0.5pt"/>
                <v:imagedata o:title=""/>
                <o:lock v:ext="edit" aspectratio="f"/>
                <v:textbox>
                  <w:txbxContent>
                    <w:p w14:paraId="113D7A74">
                      <w:pPr>
                        <w:rPr>
                          <w:rFonts w:hint="default" w:eastAsia="宋体"/>
                          <w:b/>
                          <w:bCs/>
                          <w:color w:val="FF0000"/>
                          <w:lang w:val="en-US" w:eastAsia="zh-CN"/>
                        </w:rPr>
                      </w:pPr>
                      <w:r>
                        <w:rPr>
                          <w:rFonts w:hint="eastAsia"/>
                          <w:b/>
                          <w:bCs/>
                          <w:color w:val="FF0000"/>
                          <w:lang w:val="en-US" w:eastAsia="zh-CN"/>
                        </w:rPr>
                        <w:t>490m</w:t>
                      </w:r>
                    </w:p>
                  </w:txbxContent>
                </v:textbox>
              </v:shape>
            </w:pict>
          </mc:Fallback>
        </mc:AlternateContent>
      </w:r>
      <w:r>
        <w:rPr>
          <w:sz w:val="21"/>
        </w:rPr>
        <mc:AlternateContent>
          <mc:Choice Requires="wps">
            <w:drawing>
              <wp:anchor distT="0" distB="0" distL="114300" distR="114300" simplePos="0" relativeHeight="251856896" behindDoc="0" locked="0" layoutInCell="1" allowOverlap="1">
                <wp:simplePos x="0" y="0"/>
                <wp:positionH relativeFrom="column">
                  <wp:posOffset>4798695</wp:posOffset>
                </wp:positionH>
                <wp:positionV relativeFrom="paragraph">
                  <wp:posOffset>3307715</wp:posOffset>
                </wp:positionV>
                <wp:extent cx="619125" cy="266700"/>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9A8B5B">
                            <w:pPr>
                              <w:rPr>
                                <w:rFonts w:hint="default" w:eastAsia="宋体"/>
                                <w:b/>
                                <w:bCs/>
                                <w:color w:val="FF0000"/>
                                <w:lang w:val="en-US" w:eastAsia="zh-CN"/>
                              </w:rPr>
                            </w:pPr>
                            <w:r>
                              <w:rPr>
                                <w:rFonts w:hint="eastAsia"/>
                                <w:b/>
                                <w:bCs/>
                                <w:color w:val="FF0000"/>
                                <w:lang w:val="en-US" w:eastAsia="zh-CN"/>
                              </w:rPr>
                              <w:t>1243m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7.85pt;margin-top:260.45pt;height:21pt;width:48.75pt;z-index:251856896;mso-width-relative:page;mso-height-relative:page;" filled="f" stroked="f" coordsize="21600,21600" o:gfxdata="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HTvMDcAAAACwEAAA8AAAAAAAAAAQAgAAAAIgAA&#10;AGRycy9kb3ducmV2LnhtbFBLAQIUABQAAAAIAIdO4kCJwpRMPQIAAGkEAAAOAAAAAAAAAAEAIAAA&#10;ACsBAABkcnMvZTJvRG9jLnhtbFBLBQYAAAAABgAGAFkBAADaBQAAAAA=&#10;">
                <v:fill on="f" focussize="0,0"/>
                <v:stroke on="f" weight="0.5pt"/>
                <v:imagedata o:title=""/>
                <o:lock v:ext="edit" aspectratio="f"/>
                <v:textbox>
                  <w:txbxContent>
                    <w:p w14:paraId="1E9A8B5B">
                      <w:pPr>
                        <w:rPr>
                          <w:rFonts w:hint="default" w:eastAsia="宋体"/>
                          <w:b/>
                          <w:bCs/>
                          <w:color w:val="FF0000"/>
                          <w:lang w:val="en-US" w:eastAsia="zh-CN"/>
                        </w:rPr>
                      </w:pPr>
                      <w:r>
                        <w:rPr>
                          <w:rFonts w:hint="eastAsia"/>
                          <w:b/>
                          <w:bCs/>
                          <w:color w:val="FF0000"/>
                          <w:lang w:val="en-US" w:eastAsia="zh-CN"/>
                        </w:rPr>
                        <w:t>1243m</w:t>
                      </w:r>
                    </w:p>
                  </w:txbxContent>
                </v:textbox>
              </v:shape>
            </w:pict>
          </mc:Fallback>
        </mc:AlternateContent>
      </w:r>
      <w:r>
        <w:rPr>
          <w:sz w:val="21"/>
        </w:rPr>
        <mc:AlternateContent>
          <mc:Choice Requires="wps">
            <w:drawing>
              <wp:anchor distT="0" distB="0" distL="114300" distR="114300" simplePos="0" relativeHeight="251858944" behindDoc="0" locked="0" layoutInCell="1" allowOverlap="1">
                <wp:simplePos x="0" y="0"/>
                <wp:positionH relativeFrom="column">
                  <wp:posOffset>4941570</wp:posOffset>
                </wp:positionH>
                <wp:positionV relativeFrom="paragraph">
                  <wp:posOffset>3002915</wp:posOffset>
                </wp:positionV>
                <wp:extent cx="619125" cy="266700"/>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C12C7F">
                            <w:pPr>
                              <w:rPr>
                                <w:rFonts w:hint="default" w:eastAsia="宋体"/>
                                <w:b/>
                                <w:bCs/>
                                <w:color w:val="FF0000"/>
                                <w:lang w:val="en-US" w:eastAsia="zh-CN"/>
                              </w:rPr>
                            </w:pPr>
                            <w:r>
                              <w:rPr>
                                <w:rFonts w:hint="eastAsia"/>
                                <w:b/>
                                <w:bCs/>
                                <w:color w:val="FF0000"/>
                                <w:lang w:val="en-US" w:eastAsia="zh-CN"/>
                              </w:rPr>
                              <w:t>1144m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9.1pt;margin-top:236.45pt;height:21pt;width:48.75pt;z-index:251858944;mso-width-relative:page;mso-height-relative:page;" filled="f" stroked="f" coordsize="21600,21600" o:gfxdata="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sZ5ydwAAAALAQAADwAAAAAAAAABACAAAAAiAAAA&#10;ZHJzL2Rvd25yZXYueG1sUEsBAhQAFAAAAAgAh07iQB7SvBY8AgAAaQQAAA4AAAAAAAAAAQAgAAAA&#10;KwEAAGRycy9lMm9Eb2MueG1sUEsFBgAAAAAGAAYAWQEAANkFAAAAAA==&#10;">
                <v:fill on="f" focussize="0,0"/>
                <v:stroke on="f" weight="0.5pt"/>
                <v:imagedata o:title=""/>
                <o:lock v:ext="edit" aspectratio="f"/>
                <v:textbox>
                  <w:txbxContent>
                    <w:p w14:paraId="38C12C7F">
                      <w:pPr>
                        <w:rPr>
                          <w:rFonts w:hint="default" w:eastAsia="宋体"/>
                          <w:b/>
                          <w:bCs/>
                          <w:color w:val="FF0000"/>
                          <w:lang w:val="en-US" w:eastAsia="zh-CN"/>
                        </w:rPr>
                      </w:pPr>
                      <w:r>
                        <w:rPr>
                          <w:rFonts w:hint="eastAsia"/>
                          <w:b/>
                          <w:bCs/>
                          <w:color w:val="FF0000"/>
                          <w:lang w:val="en-US" w:eastAsia="zh-CN"/>
                        </w:rPr>
                        <w:t>1144m</w:t>
                      </w:r>
                    </w:p>
                  </w:txbxContent>
                </v:textbox>
              </v:shape>
            </w:pict>
          </mc:Fallback>
        </mc:AlternateContent>
      </w:r>
      <w:r>
        <w:rPr>
          <w:sz w:val="21"/>
        </w:rPr>
        <mc:AlternateContent>
          <mc:Choice Requires="wps">
            <w:drawing>
              <wp:anchor distT="0" distB="0" distL="114300" distR="114300" simplePos="0" relativeHeight="251860992" behindDoc="0" locked="0" layoutInCell="1" allowOverlap="1">
                <wp:simplePos x="0" y="0"/>
                <wp:positionH relativeFrom="column">
                  <wp:posOffset>5684520</wp:posOffset>
                </wp:positionH>
                <wp:positionV relativeFrom="paragraph">
                  <wp:posOffset>3050540</wp:posOffset>
                </wp:positionV>
                <wp:extent cx="619125" cy="266700"/>
                <wp:effectExtent l="0" t="0" r="0" b="0"/>
                <wp:wrapNone/>
                <wp:docPr id="150" name="文本框 150"/>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F7A517">
                            <w:pPr>
                              <w:rPr>
                                <w:rFonts w:hint="default" w:eastAsia="宋体"/>
                                <w:b/>
                                <w:bCs/>
                                <w:color w:val="FF0000"/>
                                <w:lang w:val="en-US" w:eastAsia="zh-CN"/>
                              </w:rPr>
                            </w:pPr>
                            <w:r>
                              <w:rPr>
                                <w:rFonts w:hint="eastAsia"/>
                                <w:b/>
                                <w:bCs/>
                                <w:color w:val="FF0000"/>
                                <w:lang w:val="en-US" w:eastAsia="zh-CN"/>
                              </w:rPr>
                              <w:t>1953m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7.6pt;margin-top:240.2pt;height:21pt;width:48.75pt;z-index:251860992;mso-width-relative:page;mso-height-relative:page;" filled="f" stroked="f" coordsize="21600,21600" o:gfxdata="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&#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SX7t/3AAAAAsBAAAPAAAAAAAAAAEAIAAAACIAAABk&#10;cnMvZG93bnJldi54bWxQSwECFAAUAAAACACHTuJAk92kIDsCAABpBAAADgAAAAAAAAABACAAAAAr&#10;AQAAZHJzL2Uyb0RvYy54bWxQSwUGAAAAAAYABgBZAQAA2AUAAAAA&#10;">
                <v:fill on="f" focussize="0,0"/>
                <v:stroke on="f" weight="0.5pt"/>
                <v:imagedata o:title=""/>
                <o:lock v:ext="edit" aspectratio="f"/>
                <v:textbox>
                  <w:txbxContent>
                    <w:p w14:paraId="3EF7A517">
                      <w:pPr>
                        <w:rPr>
                          <w:rFonts w:hint="default" w:eastAsia="宋体"/>
                          <w:b/>
                          <w:bCs/>
                          <w:color w:val="FF0000"/>
                          <w:lang w:val="en-US" w:eastAsia="zh-CN"/>
                        </w:rPr>
                      </w:pPr>
                      <w:r>
                        <w:rPr>
                          <w:rFonts w:hint="eastAsia"/>
                          <w:b/>
                          <w:bCs/>
                          <w:color w:val="FF0000"/>
                          <w:lang w:val="en-US" w:eastAsia="zh-CN"/>
                        </w:rPr>
                        <w:t>1953m</w:t>
                      </w:r>
                    </w:p>
                  </w:txbxContent>
                </v:textbox>
              </v:shape>
            </w:pict>
          </mc:Fallback>
        </mc:AlternateContent>
      </w:r>
      <w:r>
        <w:rPr>
          <w:sz w:val="21"/>
        </w:rPr>
        <mc:AlternateContent>
          <mc:Choice Requires="wps">
            <w:drawing>
              <wp:anchor distT="0" distB="0" distL="114300" distR="114300" simplePos="0" relativeHeight="251863040" behindDoc="0" locked="0" layoutInCell="1" allowOverlap="1">
                <wp:simplePos x="0" y="0"/>
                <wp:positionH relativeFrom="column">
                  <wp:posOffset>5817870</wp:posOffset>
                </wp:positionH>
                <wp:positionV relativeFrom="paragraph">
                  <wp:posOffset>2269490</wp:posOffset>
                </wp:positionV>
                <wp:extent cx="619125" cy="266700"/>
                <wp:effectExtent l="0" t="0" r="0" b="0"/>
                <wp:wrapNone/>
                <wp:docPr id="149" name="文本框 149"/>
                <wp:cNvGraphicFramePr/>
                <a:graphic xmlns:a="http://schemas.openxmlformats.org/drawingml/2006/main">
                  <a:graphicData uri="http://schemas.microsoft.com/office/word/2010/wordprocessingShape">
                    <wps:wsp>
                      <wps:cNvSpPr txBox="1"/>
                      <wps:spPr>
                        <a:xfrm>
                          <a:off x="1941195" y="2620645"/>
                          <a:ext cx="61912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F5A8D4">
                            <w:pPr>
                              <w:rPr>
                                <w:rFonts w:hint="default" w:eastAsia="宋体"/>
                                <w:b/>
                                <w:bCs/>
                                <w:color w:val="FF0000"/>
                                <w:lang w:val="en-US" w:eastAsia="zh-CN"/>
                              </w:rPr>
                            </w:pPr>
                            <w:r>
                              <w:rPr>
                                <w:rFonts w:hint="eastAsia"/>
                                <w:b/>
                                <w:bCs/>
                                <w:color w:val="FF0000"/>
                                <w:lang w:val="en-US" w:eastAsia="zh-CN"/>
                              </w:rPr>
                              <w:t>2192m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8.1pt;margin-top:178.7pt;height:21pt;width:48.75pt;z-index:251863040;mso-width-relative:page;mso-height-relative:page;" filled="f" stroked="f" coordsize="21600,21600" o:gfxdata="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0po8v3AAAAAwBAAAPAAAAAAAA&#10;AAEAIAAAACIAAABkcnMvZG93bnJldi54bWxQSwECFAAUAAAACACHTuJAO17HP0cCAAB1BAAADgAA&#10;AAAAAAABACAAAAArAQAAZHJzL2Uyb0RvYy54bWxQSwUGAAAAAAYABgBZAQAA5AUAAAAA&#10;">
                <v:fill on="f" focussize="0,0"/>
                <v:stroke on="f" weight="0.5pt"/>
                <v:imagedata o:title=""/>
                <o:lock v:ext="edit" aspectratio="f"/>
                <v:textbox>
                  <w:txbxContent>
                    <w:p w14:paraId="1BF5A8D4">
                      <w:pPr>
                        <w:rPr>
                          <w:rFonts w:hint="default" w:eastAsia="宋体"/>
                          <w:b/>
                          <w:bCs/>
                          <w:color w:val="FF0000"/>
                          <w:lang w:val="en-US" w:eastAsia="zh-CN"/>
                        </w:rPr>
                      </w:pPr>
                      <w:r>
                        <w:rPr>
                          <w:rFonts w:hint="eastAsia"/>
                          <w:b/>
                          <w:bCs/>
                          <w:color w:val="FF0000"/>
                          <w:lang w:val="en-US" w:eastAsia="zh-CN"/>
                        </w:rPr>
                        <w:t>2192m</w:t>
                      </w:r>
                    </w:p>
                  </w:txbxContent>
                </v:textbox>
              </v:shape>
            </w:pict>
          </mc:Fallback>
        </mc:AlternateContent>
      </w:r>
      <w:r>
        <w:rPr>
          <w:sz w:val="21"/>
        </w:rPr>
        <mc:AlternateContent>
          <mc:Choice Requires="wps">
            <w:drawing>
              <wp:anchor distT="0" distB="0" distL="114300" distR="114300" simplePos="0" relativeHeight="251857920" behindDoc="0" locked="0" layoutInCell="1" allowOverlap="1">
                <wp:simplePos x="0" y="0"/>
                <wp:positionH relativeFrom="column">
                  <wp:posOffset>2341245</wp:posOffset>
                </wp:positionH>
                <wp:positionV relativeFrom="paragraph">
                  <wp:posOffset>2431415</wp:posOffset>
                </wp:positionV>
                <wp:extent cx="1914525" cy="371475"/>
                <wp:effectExtent l="0" t="22860" r="9525" b="24765"/>
                <wp:wrapNone/>
                <wp:docPr id="148" name="直接箭头连接符 148"/>
                <wp:cNvGraphicFramePr/>
                <a:graphic xmlns:a="http://schemas.openxmlformats.org/drawingml/2006/main">
                  <a:graphicData uri="http://schemas.microsoft.com/office/word/2010/wordprocessingShape">
                    <wps:wsp>
                      <wps:cNvCnPr/>
                      <wps:spPr>
                        <a:xfrm flipH="1" flipV="1">
                          <a:off x="0" y="0"/>
                          <a:ext cx="1914525" cy="371475"/>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84.35pt;margin-top:191.45pt;height:29.25pt;width:150.75pt;z-index:251857920;mso-width-relative:page;mso-height-relative:page;" filled="f" stroked="t" coordsize="21600,21600" o:gfxdata="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tqJbZ2wAAAAsBAAAPAAAAAAAA&#10;AAEAIAAAACIAAABkcnMvZG93bnJldi54bWxQSwECFAAUAAAACACHTuJAxBkm+A8CAADoAwAADgAA&#10;AAAAAAABACAAAAAqAQAAZHJzL2Uyb0RvYy54bWxQSwUGAAAAAAYABgBZAQAAqwU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59968" behindDoc="0" locked="0" layoutInCell="1" allowOverlap="1">
                <wp:simplePos x="0" y="0"/>
                <wp:positionH relativeFrom="column">
                  <wp:posOffset>3531870</wp:posOffset>
                </wp:positionH>
                <wp:positionV relativeFrom="paragraph">
                  <wp:posOffset>2355215</wp:posOffset>
                </wp:positionV>
                <wp:extent cx="752475" cy="428625"/>
                <wp:effectExtent l="0" t="0" r="9525" b="9525"/>
                <wp:wrapNone/>
                <wp:docPr id="147" name="直接箭头连接符 147"/>
                <wp:cNvGraphicFramePr/>
                <a:graphic xmlns:a="http://schemas.openxmlformats.org/drawingml/2006/main">
                  <a:graphicData uri="http://schemas.microsoft.com/office/word/2010/wordprocessingShape">
                    <wps:wsp>
                      <wps:cNvCnPr/>
                      <wps:spPr>
                        <a:xfrm flipH="1" flipV="1">
                          <a:off x="0" y="0"/>
                          <a:ext cx="752475" cy="428625"/>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78.1pt;margin-top:185.45pt;height:33.75pt;width:59.25pt;z-index:251859968;mso-width-relative:page;mso-height-relative:page;" filled="f" stroked="t" coordsize="21600,21600" o:gfxdata="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50hyrbAAAACwEAAA8AAAAAAAAA&#10;AQAgAAAAIgAAAGRycy9kb3ducmV2LnhtbFBLAQIUABQAAAAIAIdO4kASDXS8DgIAAOcDAAAOAAAA&#10;AAAAAAEAIAAAACoBAABkcnMvZTJvRG9jLnhtbFBLBQYAAAAABgAGAFkBAACqBQ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62016" behindDoc="0" locked="0" layoutInCell="1" allowOverlap="1">
                <wp:simplePos x="0" y="0"/>
                <wp:positionH relativeFrom="column">
                  <wp:posOffset>2274570</wp:posOffset>
                </wp:positionH>
                <wp:positionV relativeFrom="paragraph">
                  <wp:posOffset>2821940</wp:posOffset>
                </wp:positionV>
                <wp:extent cx="1990725" cy="457200"/>
                <wp:effectExtent l="0" t="6350" r="9525" b="31750"/>
                <wp:wrapNone/>
                <wp:docPr id="146" name="直接箭头连接符 146"/>
                <wp:cNvGraphicFramePr/>
                <a:graphic xmlns:a="http://schemas.openxmlformats.org/drawingml/2006/main">
                  <a:graphicData uri="http://schemas.microsoft.com/office/word/2010/wordprocessingShape">
                    <wps:wsp>
                      <wps:cNvCnPr/>
                      <wps:spPr>
                        <a:xfrm flipH="1">
                          <a:off x="0" y="0"/>
                          <a:ext cx="1990725" cy="457200"/>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79.1pt;margin-top:222.2pt;height:36pt;width:156.75pt;z-index:251862016;mso-width-relative:page;mso-height-relative:page;" filled="f" stroked="t" coordsize="21600,21600" o:gfxdata="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MJAR3YAAAACwEAAA8AAAAAAAAAAQAgAAAAIgAA&#10;AGRycy9kb3ducmV2LnhtbFBLAQIUABQAAAAIAIdO4kCac0JJCAIAAN4DAAAOAAAAAAAAAAEAIAAA&#10;ACcBAABkcnMvZTJvRG9jLnhtbFBLBQYAAAAABgAGAFkBAAChBQ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51776" behindDoc="0" locked="0" layoutInCell="1" allowOverlap="1">
                <wp:simplePos x="0" y="0"/>
                <wp:positionH relativeFrom="column">
                  <wp:posOffset>2988945</wp:posOffset>
                </wp:positionH>
                <wp:positionV relativeFrom="paragraph">
                  <wp:posOffset>2850515</wp:posOffset>
                </wp:positionV>
                <wp:extent cx="1295400" cy="904875"/>
                <wp:effectExtent l="0" t="5080" r="19050" b="4445"/>
                <wp:wrapNone/>
                <wp:docPr id="145" name="直接箭头连接符 145"/>
                <wp:cNvGraphicFramePr/>
                <a:graphic xmlns:a="http://schemas.openxmlformats.org/drawingml/2006/main">
                  <a:graphicData uri="http://schemas.microsoft.com/office/word/2010/wordprocessingShape">
                    <wps:wsp>
                      <wps:cNvCnPr/>
                      <wps:spPr>
                        <a:xfrm flipH="1">
                          <a:off x="0" y="0"/>
                          <a:ext cx="1295400" cy="904875"/>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35.35pt;margin-top:224.45pt;height:71.25pt;width:102pt;z-index:251851776;mso-width-relative:page;mso-height-relative:page;" filled="f" stroked="t" coordsize="21600,21600" o:gfxdata="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MdKt/TYAAAACwEAAA8AAAAAAAAAAQAgAAAAIgAA&#10;AGRycy9kb3ducmV2LnhtbFBLAQIUABQAAAAIAIdO4kCrzPhsCAIAAN4DAAAOAAAAAAAAAAEAIAAA&#10;ACcBAABkcnMvZTJvRG9jLnhtbFBLBQYAAAAABgAGAFkBAAChBQ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49728" behindDoc="0" locked="0" layoutInCell="1" allowOverlap="1">
                <wp:simplePos x="0" y="0"/>
                <wp:positionH relativeFrom="column">
                  <wp:posOffset>3569970</wp:posOffset>
                </wp:positionH>
                <wp:positionV relativeFrom="paragraph">
                  <wp:posOffset>2840990</wp:posOffset>
                </wp:positionV>
                <wp:extent cx="685800" cy="1104900"/>
                <wp:effectExtent l="0" t="3175" r="19050" b="15875"/>
                <wp:wrapNone/>
                <wp:docPr id="144" name="直接箭头连接符 144"/>
                <wp:cNvGraphicFramePr/>
                <a:graphic xmlns:a="http://schemas.openxmlformats.org/drawingml/2006/main">
                  <a:graphicData uri="http://schemas.microsoft.com/office/word/2010/wordprocessingShape">
                    <wps:wsp>
                      <wps:cNvCnPr/>
                      <wps:spPr>
                        <a:xfrm flipH="1">
                          <a:off x="0" y="0"/>
                          <a:ext cx="685800" cy="1104900"/>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81.1pt;margin-top:223.7pt;height:87pt;width:54pt;z-index:251849728;mso-width-relative:page;mso-height-relative:page;" filled="f" stroked="t" coordsize="21600,21600" o:gfxdata="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cqWa9gAAAALAQAADwAAAAAAAAABACAAAAAiAAAA&#10;ZHJzL2Rvd25yZXYueG1sUEsBAhQAFAAAAAgAh07iQJCYMDYHAgAA3gMAAA4AAAAAAAAAAQAgAAAA&#10;JwEAAGRycy9lMm9Eb2MueG1sUEsFBgAAAAAGAAYAWQEAAKAFA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48704" behindDoc="0" locked="0" layoutInCell="1" allowOverlap="1">
                <wp:simplePos x="0" y="0"/>
                <wp:positionH relativeFrom="column">
                  <wp:posOffset>4141470</wp:posOffset>
                </wp:positionH>
                <wp:positionV relativeFrom="paragraph">
                  <wp:posOffset>2840990</wp:posOffset>
                </wp:positionV>
                <wp:extent cx="152400" cy="504825"/>
                <wp:effectExtent l="14605" t="1905" r="23495" b="7620"/>
                <wp:wrapNone/>
                <wp:docPr id="143" name="直接箭头连接符 143"/>
                <wp:cNvGraphicFramePr/>
                <a:graphic xmlns:a="http://schemas.openxmlformats.org/drawingml/2006/main">
                  <a:graphicData uri="http://schemas.microsoft.com/office/word/2010/wordprocessingShape">
                    <wps:wsp>
                      <wps:cNvCnPr/>
                      <wps:spPr>
                        <a:xfrm flipH="1">
                          <a:off x="0" y="0"/>
                          <a:ext cx="152400" cy="504825"/>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26.1pt;margin-top:223.7pt;height:39.75pt;width:12pt;z-index:251848704;mso-width-relative:page;mso-height-relative:page;" filled="f" stroked="t" coordsize="21600,21600" o:gfxdata="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ww6sZ2QAAAAsBAAAPAAAAAAAAAAEAIAAAACIA&#10;AABkcnMvZG93bnJldi54bWxQSwECFAAUAAAACACHTuJArdUr4ggCAADdAwAADgAAAAAAAAABACAA&#10;AAAoAQAAZHJzL2Uyb0RvYy54bWxQSwUGAAAAAAYABgBZAQAAogU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47680" behindDoc="0" locked="0" layoutInCell="1" allowOverlap="1">
                <wp:simplePos x="0" y="0"/>
                <wp:positionH relativeFrom="column">
                  <wp:posOffset>4331970</wp:posOffset>
                </wp:positionH>
                <wp:positionV relativeFrom="paragraph">
                  <wp:posOffset>2812415</wp:posOffset>
                </wp:positionV>
                <wp:extent cx="790575" cy="809625"/>
                <wp:effectExtent l="4445" t="4445" r="5080" b="5080"/>
                <wp:wrapNone/>
                <wp:docPr id="142" name="直接箭头连接符 142"/>
                <wp:cNvGraphicFramePr/>
                <a:graphic xmlns:a="http://schemas.openxmlformats.org/drawingml/2006/main">
                  <a:graphicData uri="http://schemas.microsoft.com/office/word/2010/wordprocessingShape">
                    <wps:wsp>
                      <wps:cNvCnPr/>
                      <wps:spPr>
                        <a:xfrm>
                          <a:off x="0" y="0"/>
                          <a:ext cx="790575" cy="809625"/>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41.1pt;margin-top:221.45pt;height:63.75pt;width:62.25pt;z-index:251847680;mso-width-relative:page;mso-height-relative:page;" filled="f" stroked="t" coordsize="21600,21600" o:gfxdata="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YgKcl9wAAAALAQAADwAAAAAAAAABACAAAAAiAAAA&#10;ZHJzL2Rvd25yZXYueG1sUEsBAhQAFAAAAAgAh07iQLALLQYDAgAA0wMAAA4AAAAAAAAAAQAgAAAA&#10;KwEAAGRycy9lMm9Eb2MueG1sUEsFBgAAAAAGAAYAWQEAAKAFA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46656" behindDoc="0" locked="0" layoutInCell="1" allowOverlap="1">
                <wp:simplePos x="0" y="0"/>
                <wp:positionH relativeFrom="column">
                  <wp:posOffset>4379595</wp:posOffset>
                </wp:positionH>
                <wp:positionV relativeFrom="paragraph">
                  <wp:posOffset>2793365</wp:posOffset>
                </wp:positionV>
                <wp:extent cx="1819275" cy="561975"/>
                <wp:effectExtent l="1905" t="6350" r="7620" b="22225"/>
                <wp:wrapNone/>
                <wp:docPr id="140" name="直接箭头连接符 140"/>
                <wp:cNvGraphicFramePr/>
                <a:graphic xmlns:a="http://schemas.openxmlformats.org/drawingml/2006/main">
                  <a:graphicData uri="http://schemas.microsoft.com/office/word/2010/wordprocessingShape">
                    <wps:wsp>
                      <wps:cNvCnPr/>
                      <wps:spPr>
                        <a:xfrm>
                          <a:off x="0" y="0"/>
                          <a:ext cx="1819275" cy="561975"/>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44.85pt;margin-top:219.95pt;height:44.25pt;width:143.25pt;z-index:251846656;mso-width-relative:page;mso-height-relative:page;" filled="f" stroked="t" coordsize="21600,21600" o:gfxdata="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&#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Fsu+7cAAAACwEAAA8AAAAAAAAAAQAgAAAAIgAAAGRy&#10;cy9kb3ducmV2LnhtbFBLAQIUABQAAAAIAIdO4kDzE0CmAQIAANQDAAAOAAAAAAAAAAEAIAAAACsB&#10;AABkcnMvZTJvRG9jLnhtbFBLBQYAAAAABgAGAFkBAACeBQ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45632" behindDoc="0" locked="0" layoutInCell="1" allowOverlap="1">
                <wp:simplePos x="0" y="0"/>
                <wp:positionH relativeFrom="column">
                  <wp:posOffset>4408170</wp:posOffset>
                </wp:positionH>
                <wp:positionV relativeFrom="paragraph">
                  <wp:posOffset>2783840</wp:posOffset>
                </wp:positionV>
                <wp:extent cx="1000125" cy="504825"/>
                <wp:effectExtent l="3175" t="5715" r="6350" b="3810"/>
                <wp:wrapNone/>
                <wp:docPr id="139" name="直接箭头连接符 139"/>
                <wp:cNvGraphicFramePr/>
                <a:graphic xmlns:a="http://schemas.openxmlformats.org/drawingml/2006/main">
                  <a:graphicData uri="http://schemas.microsoft.com/office/word/2010/wordprocessingShape">
                    <wps:wsp>
                      <wps:cNvCnPr/>
                      <wps:spPr>
                        <a:xfrm>
                          <a:off x="0" y="0"/>
                          <a:ext cx="1000125" cy="504825"/>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47.1pt;margin-top:219.2pt;height:39.75pt;width:78.75pt;z-index:251845632;mso-width-relative:page;mso-height-relative:page;" filled="f" stroked="t" coordsize="21600,21600" o:gfxdata="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NWVdu3AAAAAsBAAAPAAAAAAAAAAEAIAAAACIAAABk&#10;cnMvZG93bnJldi54bWxQSwECFAAUAAAACACHTuJAYtnrwAICAADUAwAADgAAAAAAAAABACAAAAAr&#10;AQAAZHJzL2Uyb0RvYy54bWxQSwUGAAAAAAYABgBZAQAAnwU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44608" behindDoc="0" locked="0" layoutInCell="1" allowOverlap="1">
                <wp:simplePos x="0" y="0"/>
                <wp:positionH relativeFrom="column">
                  <wp:posOffset>4427220</wp:posOffset>
                </wp:positionH>
                <wp:positionV relativeFrom="paragraph">
                  <wp:posOffset>2440940</wp:posOffset>
                </wp:positionV>
                <wp:extent cx="2085975" cy="323850"/>
                <wp:effectExtent l="1270" t="26035" r="8255" b="12065"/>
                <wp:wrapNone/>
                <wp:docPr id="138" name="直接箭头连接符 138"/>
                <wp:cNvGraphicFramePr/>
                <a:graphic xmlns:a="http://schemas.openxmlformats.org/drawingml/2006/main">
                  <a:graphicData uri="http://schemas.microsoft.com/office/word/2010/wordprocessingShape">
                    <wps:wsp>
                      <wps:cNvCnPr/>
                      <wps:spPr>
                        <a:xfrm flipV="1">
                          <a:off x="0" y="0"/>
                          <a:ext cx="2085975" cy="323850"/>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48.6pt;margin-top:192.2pt;height:25.5pt;width:164.25pt;z-index:251844608;mso-width-relative:page;mso-height-relative:page;" filled="f" stroked="t" coordsize="21600,21600" o:gfxdata="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1VFLJNkAAAAMAQAADwAAAAAAAAABACAAAAAi&#10;AAAAZHJzL2Rvd25yZXYueG1sUEsBAhQAFAAAAAgAh07iQM0K5i4JAgAA3gMAAA4AAAAAAAAAAQAg&#10;AAAAKAEAAGRycy9lMm9Eb2MueG1sUEsFBgAAAAAGAAYAWQEAAKMFA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43584" behindDoc="0" locked="0" layoutInCell="1" allowOverlap="1">
                <wp:simplePos x="0" y="0"/>
                <wp:positionH relativeFrom="column">
                  <wp:posOffset>4389120</wp:posOffset>
                </wp:positionH>
                <wp:positionV relativeFrom="paragraph">
                  <wp:posOffset>1536065</wp:posOffset>
                </wp:positionV>
                <wp:extent cx="1066800" cy="1219200"/>
                <wp:effectExtent l="5080" t="0" r="13970" b="19050"/>
                <wp:wrapNone/>
                <wp:docPr id="137" name="直接箭头连接符 137"/>
                <wp:cNvGraphicFramePr/>
                <a:graphic xmlns:a="http://schemas.openxmlformats.org/drawingml/2006/main">
                  <a:graphicData uri="http://schemas.microsoft.com/office/word/2010/wordprocessingShape">
                    <wps:wsp>
                      <wps:cNvCnPr/>
                      <wps:spPr>
                        <a:xfrm flipV="1">
                          <a:off x="0" y="0"/>
                          <a:ext cx="1066800" cy="1219200"/>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45.6pt;margin-top:120.95pt;height:96pt;width:84pt;z-index:251843584;mso-width-relative:page;mso-height-relative:page;" filled="f" stroked="t" coordsize="21600,21600" o:gfxdata="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bonZSNkAAAALAQAADwAAAAAAAAABACAAAAAiAAAA&#10;ZHJzL2Rvd25yZXYueG1sUEsBAhQAFAAAAAgAh07iQJiAwBIGAgAA3wMAAA4AAAAAAAAAAQAgAAAA&#10;KAEAAGRycy9lMm9Eb2MueG1sUEsFBgAAAAAGAAYAWQEAAKAFA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42560" behindDoc="0" locked="0" layoutInCell="1" allowOverlap="1">
                <wp:simplePos x="0" y="0"/>
                <wp:positionH relativeFrom="column">
                  <wp:posOffset>4341495</wp:posOffset>
                </wp:positionH>
                <wp:positionV relativeFrom="paragraph">
                  <wp:posOffset>1040765</wp:posOffset>
                </wp:positionV>
                <wp:extent cx="971550" cy="1695450"/>
                <wp:effectExtent l="5715" t="0" r="13335" b="19050"/>
                <wp:wrapNone/>
                <wp:docPr id="136" name="直接箭头连接符 136"/>
                <wp:cNvGraphicFramePr/>
                <a:graphic xmlns:a="http://schemas.openxmlformats.org/drawingml/2006/main">
                  <a:graphicData uri="http://schemas.microsoft.com/office/word/2010/wordprocessingShape">
                    <wps:wsp>
                      <wps:cNvCnPr/>
                      <wps:spPr>
                        <a:xfrm flipV="1">
                          <a:off x="0" y="0"/>
                          <a:ext cx="971550" cy="1695450"/>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41.85pt;margin-top:81.95pt;height:133.5pt;width:76.5pt;z-index:251842560;mso-width-relative:page;mso-height-relative:page;" filled="f" stroked="t" coordsize="21600,21600" o:gfxdata="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UY+fbYAAAACwEAAA8AAAAAAAAAAQAgAAAAIgAA&#10;AGRycy9kb3ducmV2LnhtbFBLAQIUABQAAAAIAIdO4kDqqpGnCAIAAN4DAAAOAAAAAAAAAAEAIAAA&#10;ACcBAABkcnMvZTJvRG9jLnhtbFBLBQYAAAAABgAGAFkBAAChBQ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41536" behindDoc="0" locked="0" layoutInCell="1" allowOverlap="1">
                <wp:simplePos x="0" y="0"/>
                <wp:positionH relativeFrom="column">
                  <wp:posOffset>4027170</wp:posOffset>
                </wp:positionH>
                <wp:positionV relativeFrom="paragraph">
                  <wp:posOffset>869315</wp:posOffset>
                </wp:positionV>
                <wp:extent cx="200025" cy="1866900"/>
                <wp:effectExtent l="29845" t="0" r="17780" b="19050"/>
                <wp:wrapNone/>
                <wp:docPr id="135" name="直接箭头连接符 135"/>
                <wp:cNvGraphicFramePr/>
                <a:graphic xmlns:a="http://schemas.openxmlformats.org/drawingml/2006/main">
                  <a:graphicData uri="http://schemas.microsoft.com/office/word/2010/wordprocessingShape">
                    <wps:wsp>
                      <wps:cNvCnPr/>
                      <wps:spPr>
                        <a:xfrm flipH="1" flipV="1">
                          <a:off x="0" y="0"/>
                          <a:ext cx="200025" cy="1866900"/>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17.1pt;margin-top:68.45pt;height:147pt;width:15.75pt;z-index:251841536;mso-width-relative:page;mso-height-relative:page;" filled="f" stroked="t" coordsize="21600,21600" o:gfxdata="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9CaI12wAAAAsBAAAPAAAAAAAAAAEA&#10;IAAAACIAAABkcnMvZG93bnJldi54bWxQSwECFAAUAAAACACHTuJArRjz6AwCAADoAwAADgAAAAAA&#10;AAABACAAAAAqAQAAZHJzL2Uyb0RvYy54bWxQSwUGAAAAAAYABgBZAQAAqAU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40512" behindDoc="0" locked="0" layoutInCell="1" allowOverlap="1">
                <wp:simplePos x="0" y="0"/>
                <wp:positionH relativeFrom="column">
                  <wp:posOffset>4227195</wp:posOffset>
                </wp:positionH>
                <wp:positionV relativeFrom="paragraph">
                  <wp:posOffset>1336040</wp:posOffset>
                </wp:positionV>
                <wp:extent cx="38100" cy="1381125"/>
                <wp:effectExtent l="36195" t="0" r="20955" b="9525"/>
                <wp:wrapNone/>
                <wp:docPr id="133" name="直接箭头连接符 133"/>
                <wp:cNvGraphicFramePr/>
                <a:graphic xmlns:a="http://schemas.openxmlformats.org/drawingml/2006/main">
                  <a:graphicData uri="http://schemas.microsoft.com/office/word/2010/wordprocessingShape">
                    <wps:wsp>
                      <wps:cNvCnPr/>
                      <wps:spPr>
                        <a:xfrm flipH="1" flipV="1">
                          <a:off x="0" y="0"/>
                          <a:ext cx="38100" cy="1381125"/>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32.85pt;margin-top:105.2pt;height:108.75pt;width:3pt;z-index:251840512;mso-width-relative:page;mso-height-relative:page;" filled="f" stroked="t" coordsize="21600,21600" o:gfxdata="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EHYx9sAAAALAQAADwAAAAAAAAABACAA&#10;AAAiAAAAZHJzL2Rvd25yZXYueG1sUEsBAhQAFAAAAAgAh07iQCZtIr0KAgAA5wMAAA4AAAAAAAAA&#10;AQAgAAAAKgEAAGRycy9lMm9Eb2MueG1sUEsFBgAAAAAGAAYAWQEAAKYFAAAAAA==&#10;">
                <v:fill on="f" focussize="0,0"/>
                <v:stroke weight="1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39488" behindDoc="0" locked="0" layoutInCell="1" allowOverlap="1">
                <wp:simplePos x="0" y="0"/>
                <wp:positionH relativeFrom="column">
                  <wp:posOffset>4303395</wp:posOffset>
                </wp:positionH>
                <wp:positionV relativeFrom="paragraph">
                  <wp:posOffset>1631315</wp:posOffset>
                </wp:positionV>
                <wp:extent cx="142875" cy="1057275"/>
                <wp:effectExtent l="6350" t="0" r="41275" b="9525"/>
                <wp:wrapNone/>
                <wp:docPr id="127" name="直接箭头连接符 127"/>
                <wp:cNvGraphicFramePr/>
                <a:graphic xmlns:a="http://schemas.openxmlformats.org/drawingml/2006/main">
                  <a:graphicData uri="http://schemas.microsoft.com/office/word/2010/wordprocessingShape">
                    <wps:wsp>
                      <wps:cNvCnPr/>
                      <wps:spPr>
                        <a:xfrm flipV="1">
                          <a:off x="5255895" y="2925445"/>
                          <a:ext cx="142875" cy="1057275"/>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38.85pt;margin-top:128.45pt;height:83.25pt;width:11.25pt;z-index:251839488;mso-width-relative:page;mso-height-relative:page;" filled="f" stroked="t" coordsize="21600,21600" o:gfxdata="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wfqq9kAAAALAQAADwAA&#10;AAAAAAABACAAAAAiAAAAZHJzL2Rvd25yZXYueG1sUEsBAhQAFAAAAAgAh07iQB3oN+4VAgAA6gMA&#10;AA4AAAAAAAAAAQAgAAAAKAEAAGRycy9lMm9Eb2MueG1sUEsFBgAAAAAGAAYAWQEAAK8FAAAAAA==&#10;">
                <v:fill on="f" focussize="0,0"/>
                <v:stroke weight="1pt" color="#FFFF00 [3204]" joinstyle="round" endarrow="block"/>
                <v:imagedata o:title=""/>
                <o:lock v:ext="edit" aspectratio="f"/>
              </v:shape>
            </w:pict>
          </mc:Fallback>
        </mc:AlternateContent>
      </w:r>
      <w:r>
        <w:rPr>
          <w:color w:val="auto"/>
        </w:rPr>
        <w:drawing>
          <wp:anchor distT="0" distB="0" distL="114300" distR="114300" simplePos="0" relativeHeight="251838464" behindDoc="0" locked="0" layoutInCell="1" allowOverlap="1">
            <wp:simplePos x="0" y="0"/>
            <wp:positionH relativeFrom="column">
              <wp:posOffset>8276590</wp:posOffset>
            </wp:positionH>
            <wp:positionV relativeFrom="paragraph">
              <wp:posOffset>-515620</wp:posOffset>
            </wp:positionV>
            <wp:extent cx="595630" cy="730885"/>
            <wp:effectExtent l="0" t="0" r="13970" b="12065"/>
            <wp:wrapNone/>
            <wp:docPr id="1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
                    <pic:cNvPicPr>
                      <a:picLocks noChangeAspect="1"/>
                    </pic:cNvPicPr>
                  </pic:nvPicPr>
                  <pic:blipFill>
                    <a:blip r:embed="rId92"/>
                    <a:stretch>
                      <a:fillRect/>
                    </a:stretch>
                  </pic:blipFill>
                  <pic:spPr>
                    <a:xfrm>
                      <a:off x="0" y="0"/>
                      <a:ext cx="595630" cy="730885"/>
                    </a:xfrm>
                    <a:prstGeom prst="rect">
                      <a:avLst/>
                    </a:prstGeom>
                    <a:noFill/>
                    <a:ln>
                      <a:noFill/>
                    </a:ln>
                  </pic:spPr>
                </pic:pic>
              </a:graphicData>
            </a:graphic>
          </wp:anchor>
        </w:drawing>
      </w:r>
    </w:p>
    <w:p w14:paraId="18F57673">
      <w:pPr>
        <w:pStyle w:val="30"/>
        <w:widowControl w:val="0"/>
        <w:numPr>
          <w:ilvl w:val="0"/>
          <w:numId w:val="0"/>
        </w:numPr>
        <w:jc w:val="both"/>
        <w:rPr>
          <w:rFonts w:hint="eastAsia" w:eastAsia="宋体"/>
          <w:color w:val="auto"/>
          <w:lang w:eastAsia="zh-CN"/>
        </w:rPr>
      </w:pPr>
      <w:r>
        <w:rPr>
          <w:color w:val="auto"/>
        </w:rPr>
        <w:drawing>
          <wp:anchor distT="0" distB="0" distL="114300" distR="114300" simplePos="0" relativeHeight="251873280" behindDoc="0" locked="0" layoutInCell="1" allowOverlap="1">
            <wp:simplePos x="0" y="0"/>
            <wp:positionH relativeFrom="column">
              <wp:posOffset>8257540</wp:posOffset>
            </wp:positionH>
            <wp:positionV relativeFrom="paragraph">
              <wp:posOffset>-429260</wp:posOffset>
            </wp:positionV>
            <wp:extent cx="595630" cy="730885"/>
            <wp:effectExtent l="0" t="0" r="13970" b="12065"/>
            <wp:wrapNone/>
            <wp:docPr id="1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
                    <pic:cNvPicPr>
                      <a:picLocks noChangeAspect="1"/>
                    </pic:cNvPicPr>
                  </pic:nvPicPr>
                  <pic:blipFill>
                    <a:blip r:embed="rId92"/>
                    <a:stretch>
                      <a:fillRect/>
                    </a:stretch>
                  </pic:blipFill>
                  <pic:spPr>
                    <a:xfrm>
                      <a:off x="0" y="0"/>
                      <a:ext cx="595630" cy="730885"/>
                    </a:xfrm>
                    <a:prstGeom prst="rect">
                      <a:avLst/>
                    </a:prstGeom>
                    <a:noFill/>
                    <a:ln>
                      <a:noFill/>
                    </a:ln>
                  </pic:spPr>
                </pic:pic>
              </a:graphicData>
            </a:graphic>
          </wp:anchor>
        </w:drawing>
      </w:r>
      <w:r>
        <w:drawing>
          <wp:anchor distT="0" distB="0" distL="114300" distR="114300" simplePos="0" relativeHeight="251872256" behindDoc="0" locked="0" layoutInCell="1" allowOverlap="1">
            <wp:simplePos x="0" y="0"/>
            <wp:positionH relativeFrom="column">
              <wp:posOffset>-9525</wp:posOffset>
            </wp:positionH>
            <wp:positionV relativeFrom="paragraph">
              <wp:posOffset>-419100</wp:posOffset>
            </wp:positionV>
            <wp:extent cx="8851900" cy="5992495"/>
            <wp:effectExtent l="57150" t="57150" r="63500" b="65405"/>
            <wp:wrapNone/>
            <wp:docPr id="17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4"/>
                    <pic:cNvPicPr>
                      <a:picLocks noChangeAspect="1"/>
                    </pic:cNvPicPr>
                  </pic:nvPicPr>
                  <pic:blipFill>
                    <a:blip r:embed="rId96"/>
                    <a:stretch>
                      <a:fillRect/>
                    </a:stretch>
                  </pic:blipFill>
                  <pic:spPr>
                    <a:xfrm>
                      <a:off x="0" y="0"/>
                      <a:ext cx="8851900" cy="5992495"/>
                    </a:xfrm>
                    <a:prstGeom prst="rect">
                      <a:avLst/>
                    </a:prstGeom>
                    <a:noFill/>
                    <a:ln w="57150" cmpd="thickThin">
                      <a:solidFill>
                        <a:schemeClr val="tx1"/>
                      </a:solidFill>
                    </a:ln>
                  </pic:spPr>
                </pic:pic>
              </a:graphicData>
            </a:graphic>
          </wp:anchor>
        </w:drawing>
      </w:r>
    </w:p>
    <w:p w14:paraId="1E92DC47">
      <w:pPr>
        <w:pStyle w:val="30"/>
        <w:widowControl w:val="0"/>
        <w:numPr>
          <w:ilvl w:val="0"/>
          <w:numId w:val="0"/>
        </w:numPr>
        <w:jc w:val="both"/>
        <w:rPr>
          <w:color w:val="auto"/>
        </w:rPr>
      </w:pPr>
    </w:p>
    <w:p w14:paraId="535B9077">
      <w:pPr>
        <w:pStyle w:val="30"/>
        <w:widowControl w:val="0"/>
        <w:numPr>
          <w:ilvl w:val="0"/>
          <w:numId w:val="0"/>
        </w:numPr>
        <w:jc w:val="both"/>
        <w:rPr>
          <w:color w:val="auto"/>
        </w:rPr>
      </w:pPr>
      <w:r>
        <w:rPr>
          <w:sz w:val="21"/>
        </w:rPr>
        <mc:AlternateContent>
          <mc:Choice Requires="wps">
            <w:drawing>
              <wp:anchor distT="0" distB="0" distL="114300" distR="114300" simplePos="0" relativeHeight="251874304" behindDoc="0" locked="0" layoutInCell="1" allowOverlap="1">
                <wp:simplePos x="0" y="0"/>
                <wp:positionH relativeFrom="column">
                  <wp:posOffset>-20320</wp:posOffset>
                </wp:positionH>
                <wp:positionV relativeFrom="paragraph">
                  <wp:posOffset>3779520</wp:posOffset>
                </wp:positionV>
                <wp:extent cx="1637665" cy="1485900"/>
                <wp:effectExtent l="4445" t="4445" r="15240" b="14605"/>
                <wp:wrapNone/>
                <wp:docPr id="176" name="文本框 176"/>
                <wp:cNvGraphicFramePr/>
                <a:graphic xmlns:a="http://schemas.openxmlformats.org/drawingml/2006/main">
                  <a:graphicData uri="http://schemas.microsoft.com/office/word/2010/wordprocessingShape">
                    <wps:wsp>
                      <wps:cNvSpPr txBox="1"/>
                      <wps:spPr>
                        <a:xfrm>
                          <a:off x="941070" y="5226685"/>
                          <a:ext cx="1637665" cy="14859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C1CB904">
                            <w:pPr>
                              <w:spacing w:line="360" w:lineRule="auto"/>
                              <w:rPr>
                                <w:rFonts w:hint="eastAsia"/>
                                <w:lang w:eastAsia="zh-CN"/>
                              </w:rPr>
                            </w:pPr>
                            <w:r>
                              <w:rPr>
                                <w:rFonts w:hint="eastAsia"/>
                                <w:lang w:eastAsia="zh-CN"/>
                              </w:rPr>
                              <w:t>图例</w:t>
                            </w:r>
                          </w:p>
                          <w:p w14:paraId="5314B86A">
                            <w:pPr>
                              <w:spacing w:line="360" w:lineRule="auto"/>
                              <w:ind w:firstLine="420" w:firstLineChars="200"/>
                              <w:rPr>
                                <w:rFonts w:hint="eastAsia"/>
                                <w:lang w:val="en-US" w:eastAsia="zh-CN"/>
                              </w:rPr>
                            </w:pPr>
                            <w:r>
                              <w:rPr>
                                <w:rFonts w:hint="eastAsia"/>
                                <w:lang w:eastAsia="zh-CN"/>
                              </w:rPr>
                              <w:t>大气评价范围</w:t>
                            </w:r>
                            <w:r>
                              <w:rPr>
                                <w:rFonts w:hint="eastAsia"/>
                                <w:lang w:val="en-US" w:eastAsia="zh-CN"/>
                              </w:rPr>
                              <w:t>5km</w:t>
                            </w:r>
                          </w:p>
                          <w:p w14:paraId="31BADB55">
                            <w:pPr>
                              <w:spacing w:line="360" w:lineRule="auto"/>
                              <w:ind w:firstLine="420" w:firstLineChars="200"/>
                              <w:rPr>
                                <w:rFonts w:hint="eastAsia"/>
                                <w:lang w:val="en-US" w:eastAsia="zh-CN"/>
                              </w:rPr>
                            </w:pPr>
                            <w:r>
                              <w:rPr>
                                <w:rFonts w:hint="eastAsia"/>
                                <w:lang w:val="en-US" w:eastAsia="zh-CN"/>
                              </w:rPr>
                              <w:t>生态评价范围500m</w:t>
                            </w:r>
                          </w:p>
                          <w:p w14:paraId="5C42E0D7">
                            <w:pPr>
                              <w:spacing w:line="360" w:lineRule="auto"/>
                              <w:ind w:firstLine="420" w:firstLineChars="200"/>
                              <w:rPr>
                                <w:rFonts w:hint="eastAsia"/>
                                <w:lang w:val="en-US" w:eastAsia="zh-CN"/>
                              </w:rPr>
                            </w:pPr>
                            <w:r>
                              <w:rPr>
                                <w:rFonts w:hint="eastAsia"/>
                                <w:lang w:val="en-US" w:eastAsia="zh-CN"/>
                              </w:rPr>
                              <w:t>噪声评价范围200m</w:t>
                            </w:r>
                          </w:p>
                          <w:p w14:paraId="3299239B">
                            <w:pPr>
                              <w:spacing w:line="360" w:lineRule="auto"/>
                              <w:ind w:firstLine="420" w:firstLineChars="200"/>
                              <w:rPr>
                                <w:rFonts w:hint="default"/>
                                <w:lang w:val="en-US" w:eastAsia="zh-CN"/>
                              </w:rPr>
                            </w:pPr>
                            <w:r>
                              <w:rPr>
                                <w:rFonts w:hint="eastAsia"/>
                                <w:lang w:val="en-US" w:eastAsia="zh-CN"/>
                              </w:rPr>
                              <w:t>土壤评价范围50m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pt;margin-top:297.6pt;height:117pt;width:128.95pt;z-index:251874304;mso-width-relative:page;mso-height-relative:page;" fillcolor="#C7EDCC [3201]" filled="t" stroked="t" coordsize="21600,21600" o:gfxdata="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1AN3u2wAAAAoBAAAPAAAAAAAAAAEAIAAAACIAAABkcnMvZG93bnJl&#10;di54bWxQSwECFAAUAAAACACHTuJAnBnnyGwCAADHBAAADgAAAAAAAAABACAAAAAqAQAAZHJzL2Uy&#10;b0RvYy54bWxQSwUGAAAAAAYABgBZAQAACAYAAAAA&#10;">
                <v:fill on="t" focussize="0,0"/>
                <v:stroke weight="0.5pt" color="#000000 [3204]" joinstyle="round"/>
                <v:imagedata o:title=""/>
                <o:lock v:ext="edit" aspectratio="f"/>
                <v:textbox>
                  <w:txbxContent>
                    <w:p w14:paraId="5C1CB904">
                      <w:pPr>
                        <w:spacing w:line="360" w:lineRule="auto"/>
                        <w:rPr>
                          <w:rFonts w:hint="eastAsia"/>
                          <w:lang w:eastAsia="zh-CN"/>
                        </w:rPr>
                      </w:pPr>
                      <w:r>
                        <w:rPr>
                          <w:rFonts w:hint="eastAsia"/>
                          <w:lang w:eastAsia="zh-CN"/>
                        </w:rPr>
                        <w:t>图例</w:t>
                      </w:r>
                    </w:p>
                    <w:p w14:paraId="5314B86A">
                      <w:pPr>
                        <w:spacing w:line="360" w:lineRule="auto"/>
                        <w:ind w:firstLine="420" w:firstLineChars="200"/>
                        <w:rPr>
                          <w:rFonts w:hint="eastAsia"/>
                          <w:lang w:val="en-US" w:eastAsia="zh-CN"/>
                        </w:rPr>
                      </w:pPr>
                      <w:r>
                        <w:rPr>
                          <w:rFonts w:hint="eastAsia"/>
                          <w:lang w:eastAsia="zh-CN"/>
                        </w:rPr>
                        <w:t>大气评价范围</w:t>
                      </w:r>
                      <w:r>
                        <w:rPr>
                          <w:rFonts w:hint="eastAsia"/>
                          <w:lang w:val="en-US" w:eastAsia="zh-CN"/>
                        </w:rPr>
                        <w:t>5km</w:t>
                      </w:r>
                    </w:p>
                    <w:p w14:paraId="31BADB55">
                      <w:pPr>
                        <w:spacing w:line="360" w:lineRule="auto"/>
                        <w:ind w:firstLine="420" w:firstLineChars="200"/>
                        <w:rPr>
                          <w:rFonts w:hint="eastAsia"/>
                          <w:lang w:val="en-US" w:eastAsia="zh-CN"/>
                        </w:rPr>
                      </w:pPr>
                      <w:r>
                        <w:rPr>
                          <w:rFonts w:hint="eastAsia"/>
                          <w:lang w:val="en-US" w:eastAsia="zh-CN"/>
                        </w:rPr>
                        <w:t>生态评价范围500m</w:t>
                      </w:r>
                    </w:p>
                    <w:p w14:paraId="5C42E0D7">
                      <w:pPr>
                        <w:spacing w:line="360" w:lineRule="auto"/>
                        <w:ind w:firstLine="420" w:firstLineChars="200"/>
                        <w:rPr>
                          <w:rFonts w:hint="eastAsia"/>
                          <w:lang w:val="en-US" w:eastAsia="zh-CN"/>
                        </w:rPr>
                      </w:pPr>
                      <w:r>
                        <w:rPr>
                          <w:rFonts w:hint="eastAsia"/>
                          <w:lang w:val="en-US" w:eastAsia="zh-CN"/>
                        </w:rPr>
                        <w:t>噪声评价范围200m</w:t>
                      </w:r>
                    </w:p>
                    <w:p w14:paraId="3299239B">
                      <w:pPr>
                        <w:spacing w:line="360" w:lineRule="auto"/>
                        <w:ind w:firstLine="420" w:firstLineChars="200"/>
                        <w:rPr>
                          <w:rFonts w:hint="default"/>
                          <w:lang w:val="en-US" w:eastAsia="zh-CN"/>
                        </w:rPr>
                      </w:pPr>
                      <w:r>
                        <w:rPr>
                          <w:rFonts w:hint="eastAsia"/>
                          <w:lang w:val="en-US" w:eastAsia="zh-CN"/>
                        </w:rPr>
                        <w:t>土壤评价范围50m</w:t>
                      </w:r>
                    </w:p>
                  </w:txbxContent>
                </v:textbox>
              </v:shape>
            </w:pict>
          </mc:Fallback>
        </mc:AlternateContent>
      </w:r>
    </w:p>
    <w:p w14:paraId="03AC5DF5">
      <w:pPr>
        <w:pStyle w:val="30"/>
        <w:widowControl w:val="0"/>
        <w:numPr>
          <w:ilvl w:val="0"/>
          <w:numId w:val="0"/>
        </w:numPr>
        <w:jc w:val="both"/>
        <w:rPr>
          <w:color w:val="auto"/>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rPr>
        <mc:AlternateContent>
          <mc:Choice Requires="wps">
            <w:drawing>
              <wp:anchor distT="0" distB="0" distL="114300" distR="114300" simplePos="0" relativeHeight="251884544" behindDoc="0" locked="0" layoutInCell="1" allowOverlap="1">
                <wp:simplePos x="0" y="0"/>
                <wp:positionH relativeFrom="column">
                  <wp:posOffset>2636520</wp:posOffset>
                </wp:positionH>
                <wp:positionV relativeFrom="paragraph">
                  <wp:posOffset>5116195</wp:posOffset>
                </wp:positionV>
                <wp:extent cx="4391025" cy="381000"/>
                <wp:effectExtent l="0" t="0" r="0" b="0"/>
                <wp:wrapNone/>
                <wp:docPr id="189" name="文本框 189"/>
                <wp:cNvGraphicFramePr/>
                <a:graphic xmlns:a="http://schemas.openxmlformats.org/drawingml/2006/main">
                  <a:graphicData uri="http://schemas.microsoft.com/office/word/2010/wordprocessingShape">
                    <wps:wsp>
                      <wps:cNvSpPr txBox="1"/>
                      <wps:spPr>
                        <a:xfrm>
                          <a:off x="0" y="0"/>
                          <a:ext cx="439102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8D1B07">
                            <w:pPr>
                              <w:jc w:val="center"/>
                              <w:rPr>
                                <w:rFonts w:hint="default" w:eastAsia="宋体"/>
                                <w:b/>
                                <w:bCs/>
                                <w:sz w:val="30"/>
                                <w:szCs w:val="30"/>
                                <w:lang w:val="en-US" w:eastAsia="zh-CN"/>
                              </w:rPr>
                            </w:pPr>
                            <w:r>
                              <w:rPr>
                                <w:rFonts w:hint="eastAsia"/>
                                <w:b/>
                                <w:bCs/>
                                <w:sz w:val="30"/>
                                <w:szCs w:val="30"/>
                                <w:lang w:eastAsia="zh-CN"/>
                              </w:rPr>
                              <w:t>附图三</w:t>
                            </w:r>
                            <w:r>
                              <w:rPr>
                                <w:rFonts w:hint="eastAsia"/>
                                <w:b/>
                                <w:bCs/>
                                <w:sz w:val="30"/>
                                <w:szCs w:val="30"/>
                                <w:lang w:val="en-US" w:eastAsia="zh-CN"/>
                              </w:rPr>
                              <w:t xml:space="preserve">  项目评价范围图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6pt;margin-top:402.85pt;height:30pt;width:345.75pt;z-index:251884544;mso-width-relative:page;mso-height-relative:page;" filled="f" stroked="f" coordsize="21600,21600" o:gfxdata="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r3zux2wAAAAwBAAAPAAAAAAAAAAEAIAAAACIA&#10;AABkcnMvZG93bnJldi54bWxQSwECFAAUAAAACACHTuJAbAKKTT8CAABqBAAADgAAAAAAAAABACAA&#10;AAAqAQAAZHJzL2Uyb0RvYy54bWxQSwUGAAAAAAYABgBZAQAA2wUAAAAA&#10;">
                <v:fill on="f" focussize="0,0"/>
                <v:stroke on="f" weight="0.5pt"/>
                <v:imagedata o:title=""/>
                <o:lock v:ext="edit" aspectratio="f"/>
                <v:textbox>
                  <w:txbxContent>
                    <w:p w14:paraId="778D1B07">
                      <w:pPr>
                        <w:jc w:val="center"/>
                        <w:rPr>
                          <w:rFonts w:hint="default" w:eastAsia="宋体"/>
                          <w:b/>
                          <w:bCs/>
                          <w:sz w:val="30"/>
                          <w:szCs w:val="30"/>
                          <w:lang w:val="en-US" w:eastAsia="zh-CN"/>
                        </w:rPr>
                      </w:pPr>
                      <w:r>
                        <w:rPr>
                          <w:rFonts w:hint="eastAsia"/>
                          <w:b/>
                          <w:bCs/>
                          <w:sz w:val="30"/>
                          <w:szCs w:val="30"/>
                          <w:lang w:eastAsia="zh-CN"/>
                        </w:rPr>
                        <w:t>附图三</w:t>
                      </w:r>
                      <w:r>
                        <w:rPr>
                          <w:rFonts w:hint="eastAsia"/>
                          <w:b/>
                          <w:bCs/>
                          <w:sz w:val="30"/>
                          <w:szCs w:val="30"/>
                          <w:lang w:val="en-US" w:eastAsia="zh-CN"/>
                        </w:rPr>
                        <w:t xml:space="preserve">  项目评价范围图</w:t>
                      </w:r>
                    </w:p>
                  </w:txbxContent>
                </v:textbox>
              </v:shape>
            </w:pict>
          </mc:Fallback>
        </mc:AlternateContent>
      </w:r>
      <w:r>
        <w:rPr>
          <w:sz w:val="21"/>
        </w:rPr>
        <mc:AlternateContent>
          <mc:Choice Requires="wps">
            <w:drawing>
              <wp:anchor distT="0" distB="0" distL="114300" distR="114300" simplePos="0" relativeHeight="251876352" behindDoc="0" locked="0" layoutInCell="1" allowOverlap="1">
                <wp:simplePos x="0" y="0"/>
                <wp:positionH relativeFrom="column">
                  <wp:posOffset>4636770</wp:posOffset>
                </wp:positionH>
                <wp:positionV relativeFrom="paragraph">
                  <wp:posOffset>1244600</wp:posOffset>
                </wp:positionV>
                <wp:extent cx="619125" cy="247650"/>
                <wp:effectExtent l="0" t="0" r="0" b="0"/>
                <wp:wrapNone/>
                <wp:docPr id="188" name="文本框 188"/>
                <wp:cNvGraphicFramePr/>
                <a:graphic xmlns:a="http://schemas.openxmlformats.org/drawingml/2006/main">
                  <a:graphicData uri="http://schemas.microsoft.com/office/word/2010/wordprocessingShape">
                    <wps:wsp>
                      <wps:cNvSpPr txBox="1"/>
                      <wps:spPr>
                        <a:xfrm>
                          <a:off x="0" y="0"/>
                          <a:ext cx="619125"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E7F8E4">
                            <w:pPr>
                              <w:rPr>
                                <w:rFonts w:hint="default" w:eastAsia="宋体"/>
                                <w:color w:val="07E9F7"/>
                                <w:lang w:val="en-US" w:eastAsia="zh-CN"/>
                              </w:rPr>
                            </w:pPr>
                            <w:r>
                              <w:rPr>
                                <w:rFonts w:hint="eastAsia"/>
                                <w:color w:val="07E9F7"/>
                                <w:lang w:val="en-US" w:eastAsia="zh-CN"/>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1pt;margin-top:98pt;height:19.5pt;width:48.75pt;z-index:251876352;mso-width-relative:page;mso-height-relative:page;" filled="f" stroked="f" coordsize="21600,21600" o:gfxdata="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&#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MmP7u2wAAAAsBAAAPAAAAAAAAAAEAIAAAACIAAABk&#10;cnMvZG93bnJldi54bWxQSwECFAAUAAAACACHTuJAv788xzwCAABpBAAADgAAAAAAAAABACAAAAAq&#10;AQAAZHJzL2Uyb0RvYy54bWxQSwUGAAAAAAYABgBZAQAA2AUAAAAA&#10;">
                <v:fill on="f" focussize="0,0"/>
                <v:stroke on="f" weight="0.5pt"/>
                <v:imagedata o:title=""/>
                <o:lock v:ext="edit" aspectratio="f"/>
                <v:textbox>
                  <w:txbxContent>
                    <w:p w14:paraId="20E7F8E4">
                      <w:pPr>
                        <w:rPr>
                          <w:rFonts w:hint="default" w:eastAsia="宋体"/>
                          <w:color w:val="07E9F7"/>
                          <w:lang w:val="en-US" w:eastAsia="zh-CN"/>
                        </w:rPr>
                      </w:pPr>
                      <w:r>
                        <w:rPr>
                          <w:rFonts w:hint="eastAsia"/>
                          <w:color w:val="07E9F7"/>
                          <w:lang w:val="en-US" w:eastAsia="zh-CN"/>
                        </w:rPr>
                        <w:t>50m</w:t>
                      </w:r>
                    </w:p>
                  </w:txbxContent>
                </v:textbox>
              </v:shape>
            </w:pict>
          </mc:Fallback>
        </mc:AlternateContent>
      </w:r>
      <w:r>
        <w:rPr>
          <w:sz w:val="21"/>
        </w:rPr>
        <mc:AlternateContent>
          <mc:Choice Requires="wps">
            <w:drawing>
              <wp:anchor distT="0" distB="0" distL="114300" distR="114300" simplePos="0" relativeHeight="251879424" behindDoc="0" locked="0" layoutInCell="1" allowOverlap="1">
                <wp:simplePos x="0" y="0"/>
                <wp:positionH relativeFrom="column">
                  <wp:posOffset>4551045</wp:posOffset>
                </wp:positionH>
                <wp:positionV relativeFrom="paragraph">
                  <wp:posOffset>1463675</wp:posOffset>
                </wp:positionV>
                <wp:extent cx="285750" cy="533400"/>
                <wp:effectExtent l="0" t="5715" r="19050" b="13335"/>
                <wp:wrapNone/>
                <wp:docPr id="187" name="直接箭头连接符 187"/>
                <wp:cNvGraphicFramePr/>
                <a:graphic xmlns:a="http://schemas.openxmlformats.org/drawingml/2006/main">
                  <a:graphicData uri="http://schemas.microsoft.com/office/word/2010/wordprocessingShape">
                    <wps:wsp>
                      <wps:cNvCnPr/>
                      <wps:spPr>
                        <a:xfrm flipH="1">
                          <a:off x="0" y="0"/>
                          <a:ext cx="285750" cy="533400"/>
                        </a:xfrm>
                        <a:prstGeom prst="straightConnector1">
                          <a:avLst/>
                        </a:prstGeom>
                        <a:ln>
                          <a:solidFill>
                            <a:srgbClr val="07E9F7"/>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58.35pt;margin-top:115.25pt;height:42pt;width:22.5pt;z-index:251879424;mso-width-relative:page;mso-height-relative:page;" filled="f" stroked="t" coordsize="21600,21600" o:gfxdata="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JFYJE2gAAAAsBAAAPAAAAAAAAAAEAIAAA&#10;ACIAAABkcnMvZG93bnJldi54bWxQSwECFAAUAAAACACHTuJAoNubJwoCAADdAwAADgAAAAAAAAAB&#10;ACAAAAApAQAAZHJzL2Uyb0RvYy54bWxQSwUGAAAAAAYABgBZAQAApQUAAAAA&#10;">
                <v:fill on="f" focussize="0,0"/>
                <v:stroke weight="2pt" color="#07E9F7 [3204]" joinstyle="round" endarrow="block"/>
                <v:imagedata o:title=""/>
                <o:lock v:ext="edit" aspectratio="f"/>
              </v:shape>
            </w:pict>
          </mc:Fallback>
        </mc:AlternateContent>
      </w:r>
      <w:r>
        <w:rPr>
          <w:sz w:val="21"/>
        </w:rPr>
        <mc:AlternateContent>
          <mc:Choice Requires="wps">
            <w:drawing>
              <wp:anchor distT="0" distB="0" distL="114300" distR="114300" simplePos="0" relativeHeight="251876352" behindDoc="0" locked="0" layoutInCell="1" allowOverlap="1">
                <wp:simplePos x="0" y="0"/>
                <wp:positionH relativeFrom="column">
                  <wp:posOffset>4512945</wp:posOffset>
                </wp:positionH>
                <wp:positionV relativeFrom="paragraph">
                  <wp:posOffset>2073275</wp:posOffset>
                </wp:positionV>
                <wp:extent cx="619125" cy="247650"/>
                <wp:effectExtent l="0" t="0" r="0" b="0"/>
                <wp:wrapNone/>
                <wp:docPr id="186" name="文本框 186"/>
                <wp:cNvGraphicFramePr/>
                <a:graphic xmlns:a="http://schemas.openxmlformats.org/drawingml/2006/main">
                  <a:graphicData uri="http://schemas.microsoft.com/office/word/2010/wordprocessingShape">
                    <wps:wsp>
                      <wps:cNvSpPr txBox="1"/>
                      <wps:spPr>
                        <a:xfrm>
                          <a:off x="0" y="0"/>
                          <a:ext cx="619125"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7CB185">
                            <w:pPr>
                              <w:rPr>
                                <w:rFonts w:hint="default" w:eastAsia="宋体"/>
                                <w:color w:val="0B06F8"/>
                                <w:lang w:val="en-US" w:eastAsia="zh-CN"/>
                              </w:rPr>
                            </w:pPr>
                            <w:r>
                              <w:rPr>
                                <w:rFonts w:hint="eastAsia"/>
                                <w:color w:val="0B06F8"/>
                                <w:lang w:val="en-US" w:eastAsia="zh-CN"/>
                              </w:rPr>
                              <w:t>200m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5.35pt;margin-top:163.25pt;height:19.5pt;width:48.75pt;z-index:251876352;mso-width-relative:page;mso-height-relative:page;" filled="f" stroked="f" coordsize="21600,21600" o:gfxdata="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M94Do2wAAAAsBAAAPAAAAAAAAAAEAIAAAACIAAABk&#10;cnMvZG93bnJldi54bWxQSwECFAAUAAAACACHTuJAuOTdGDwCAABpBAAADgAAAAAAAAABACAAAAAq&#10;AQAAZHJzL2Uyb0RvYy54bWxQSwUGAAAAAAYABgBZAQAA2AUAAAAA&#10;">
                <v:fill on="f" focussize="0,0"/>
                <v:stroke on="f" weight="0.5pt"/>
                <v:imagedata o:title=""/>
                <o:lock v:ext="edit" aspectratio="f"/>
                <v:textbox>
                  <w:txbxContent>
                    <w:p w14:paraId="267CB185">
                      <w:pPr>
                        <w:rPr>
                          <w:rFonts w:hint="default" w:eastAsia="宋体"/>
                          <w:color w:val="0B06F8"/>
                          <w:lang w:val="en-US" w:eastAsia="zh-CN"/>
                        </w:rPr>
                      </w:pPr>
                      <w:r>
                        <w:rPr>
                          <w:rFonts w:hint="eastAsia"/>
                          <w:color w:val="0B06F8"/>
                          <w:lang w:val="en-US" w:eastAsia="zh-CN"/>
                        </w:rPr>
                        <w:t>200m</w:t>
                      </w:r>
                    </w:p>
                  </w:txbxContent>
                </v:textbox>
              </v:shape>
            </w:pict>
          </mc:Fallback>
        </mc:AlternateContent>
      </w:r>
      <w:r>
        <w:rPr>
          <w:sz w:val="21"/>
        </w:rPr>
        <mc:AlternateContent>
          <mc:Choice Requires="wps">
            <w:drawing>
              <wp:anchor distT="0" distB="0" distL="114300" distR="114300" simplePos="0" relativeHeight="251879424" behindDoc="0" locked="0" layoutInCell="1" allowOverlap="1">
                <wp:simplePos x="0" y="0"/>
                <wp:positionH relativeFrom="column">
                  <wp:posOffset>4512945</wp:posOffset>
                </wp:positionH>
                <wp:positionV relativeFrom="paragraph">
                  <wp:posOffset>2244725</wp:posOffset>
                </wp:positionV>
                <wp:extent cx="285750" cy="19050"/>
                <wp:effectExtent l="635" t="24130" r="18415" b="33020"/>
                <wp:wrapNone/>
                <wp:docPr id="185" name="直接箭头连接符 185"/>
                <wp:cNvGraphicFramePr/>
                <a:graphic xmlns:a="http://schemas.openxmlformats.org/drawingml/2006/main">
                  <a:graphicData uri="http://schemas.microsoft.com/office/word/2010/wordprocessingShape">
                    <wps:wsp>
                      <wps:cNvCnPr/>
                      <wps:spPr>
                        <a:xfrm>
                          <a:off x="0" y="0"/>
                          <a:ext cx="285750" cy="19050"/>
                        </a:xfrm>
                        <a:prstGeom prst="straightConnector1">
                          <a:avLst/>
                        </a:prstGeom>
                        <a:ln>
                          <a:solidFill>
                            <a:srgbClr val="0B06F8"/>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55.35pt;margin-top:176.75pt;height:1.5pt;width:22.5pt;z-index:251879424;mso-width-relative:page;mso-height-relative:page;" filled="f" stroked="t" coordsize="21600,21600" o:gfxdata="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HVqsbLWAAAACwEAAA8AAAAAAAAAAQAgAAAAIgAAAGRycy9kb3du&#10;cmV2LnhtbFBLAQIUABQAAAAIAIdO4kB2W9BAAQIAANIDAAAOAAAAAAAAAAEAIAAAACUBAABkcnMv&#10;ZTJvRG9jLnhtbFBLBQYAAAAABgAGAFkBAACYBQAAAAA=&#10;">
                <v:fill on="f" focussize="0,0"/>
                <v:stroke weight="2pt" color="#0B06F8 [3204]" joinstyle="round" endarrow="block"/>
                <v:imagedata o:title=""/>
                <o:lock v:ext="edit" aspectratio="f"/>
              </v:shape>
            </w:pict>
          </mc:Fallback>
        </mc:AlternateContent>
      </w:r>
      <w:r>
        <w:rPr>
          <w:sz w:val="21"/>
        </w:rPr>
        <mc:AlternateContent>
          <mc:Choice Requires="wps">
            <w:drawing>
              <wp:anchor distT="0" distB="0" distL="114300" distR="114300" simplePos="0" relativeHeight="251880448" behindDoc="0" locked="0" layoutInCell="1" allowOverlap="1">
                <wp:simplePos x="0" y="0"/>
                <wp:positionH relativeFrom="column">
                  <wp:posOffset>3789045</wp:posOffset>
                </wp:positionH>
                <wp:positionV relativeFrom="paragraph">
                  <wp:posOffset>1730375</wp:posOffset>
                </wp:positionV>
                <wp:extent cx="619125" cy="247650"/>
                <wp:effectExtent l="0" t="0" r="0" b="0"/>
                <wp:wrapNone/>
                <wp:docPr id="184" name="文本框 184"/>
                <wp:cNvGraphicFramePr/>
                <a:graphic xmlns:a="http://schemas.openxmlformats.org/drawingml/2006/main">
                  <a:graphicData uri="http://schemas.microsoft.com/office/word/2010/wordprocessingShape">
                    <wps:wsp>
                      <wps:cNvSpPr txBox="1"/>
                      <wps:spPr>
                        <a:xfrm>
                          <a:off x="0" y="0"/>
                          <a:ext cx="619125"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297BA2">
                            <w:pPr>
                              <w:rPr>
                                <w:rFonts w:hint="default" w:eastAsia="宋体"/>
                                <w:color w:val="FFFF00"/>
                                <w:lang w:val="en-US" w:eastAsia="zh-CN"/>
                              </w:rPr>
                            </w:pPr>
                            <w:r>
                              <w:rPr>
                                <w:rFonts w:hint="eastAsia"/>
                                <w:color w:val="FFFF00"/>
                                <w:lang w:val="en-US" w:eastAsia="zh-CN"/>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8.35pt;margin-top:136.25pt;height:19.5pt;width:48.75pt;z-index:251880448;mso-width-relative:page;mso-height-relative:page;" filled="f" stroked="f" coordsize="21600,21600" o:gfxdata="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L0xZ9wAAAALAQAADwAAAAAAAAABACAAAAAiAAAA&#10;ZHJzL2Rvd25yZXYueG1sUEsBAhQAFAAAAAgAh07iQKL77XQ8AgAAaQQAAA4AAAAAAAAAAQAgAAAA&#10;KwEAAGRycy9lMm9Eb2MueG1sUEsFBgAAAAAGAAYAWQEAANkFAAAAAA==&#10;">
                <v:fill on="f" focussize="0,0"/>
                <v:stroke on="f" weight="0.5pt"/>
                <v:imagedata o:title=""/>
                <o:lock v:ext="edit" aspectratio="f"/>
                <v:textbox>
                  <w:txbxContent>
                    <w:p w14:paraId="22297BA2">
                      <w:pPr>
                        <w:rPr>
                          <w:rFonts w:hint="default" w:eastAsia="宋体"/>
                          <w:color w:val="FFFF00"/>
                          <w:lang w:val="en-US" w:eastAsia="zh-CN"/>
                        </w:rPr>
                      </w:pPr>
                      <w:r>
                        <w:rPr>
                          <w:rFonts w:hint="eastAsia"/>
                          <w:color w:val="FFFF00"/>
                          <w:lang w:val="en-US" w:eastAsia="zh-CN"/>
                        </w:rPr>
                        <w:t>500m</w:t>
                      </w:r>
                    </w:p>
                  </w:txbxContent>
                </v:textbox>
              </v:shape>
            </w:pict>
          </mc:Fallback>
        </mc:AlternateContent>
      </w:r>
      <w:r>
        <w:rPr>
          <w:sz w:val="21"/>
        </w:rPr>
        <mc:AlternateContent>
          <mc:Choice Requires="wps">
            <w:drawing>
              <wp:anchor distT="0" distB="0" distL="114300" distR="114300" simplePos="0" relativeHeight="251879424" behindDoc="0" locked="0" layoutInCell="1" allowOverlap="1">
                <wp:simplePos x="0" y="0"/>
                <wp:positionH relativeFrom="column">
                  <wp:posOffset>3817620</wp:posOffset>
                </wp:positionH>
                <wp:positionV relativeFrom="paragraph">
                  <wp:posOffset>1863725</wp:posOffset>
                </wp:positionV>
                <wp:extent cx="561975" cy="200025"/>
                <wp:effectExtent l="0" t="10160" r="9525" b="18415"/>
                <wp:wrapNone/>
                <wp:docPr id="183" name="直接箭头连接符 183"/>
                <wp:cNvGraphicFramePr/>
                <a:graphic xmlns:a="http://schemas.openxmlformats.org/drawingml/2006/main">
                  <a:graphicData uri="http://schemas.microsoft.com/office/word/2010/wordprocessingShape">
                    <wps:wsp>
                      <wps:cNvCnPr/>
                      <wps:spPr>
                        <a:xfrm flipH="1" flipV="1">
                          <a:off x="0" y="0"/>
                          <a:ext cx="561975" cy="200025"/>
                        </a:xfrm>
                        <a:prstGeom prst="straightConnector1">
                          <a:avLst/>
                        </a:prstGeom>
                        <a:ln>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00.6pt;margin-top:146.75pt;height:15.75pt;width:44.25pt;z-index:251879424;mso-width-relative:page;mso-height-relative:page;" filled="f" stroked="t" coordsize="21600,21600" o:gfxdata="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YtHE7ZAAAACwEAAA8AAAAAAAAAAQAg&#10;AAAAIgAAAGRycy9kb3ducmV2LnhtbFBLAQIUABQAAAAIAIdO4kC+P1hqDQIAAOcDAAAOAAAAAAAA&#10;AAEAIAAAACgBAABkcnMvZTJvRG9jLnhtbFBLBQYAAAAABgAGAFkBAACnBQAAAAA=&#10;">
                <v:fill on="f" focussize="0,0"/>
                <v:stroke weight="2pt" color="#FFFF00 [3204]" joinstyle="round" endarrow="block"/>
                <v:imagedata o:title=""/>
                <o:lock v:ext="edit" aspectratio="f"/>
              </v:shape>
            </w:pict>
          </mc:Fallback>
        </mc:AlternateContent>
      </w:r>
      <w:r>
        <w:rPr>
          <w:sz w:val="21"/>
        </w:rPr>
        <mc:AlternateContent>
          <mc:Choice Requires="wps">
            <w:drawing>
              <wp:anchor distT="0" distB="0" distL="114300" distR="114300" simplePos="0" relativeHeight="251883520" behindDoc="0" locked="0" layoutInCell="1" allowOverlap="1">
                <wp:simplePos x="0" y="0"/>
                <wp:positionH relativeFrom="column">
                  <wp:posOffset>2798445</wp:posOffset>
                </wp:positionH>
                <wp:positionV relativeFrom="paragraph">
                  <wp:posOffset>1949450</wp:posOffset>
                </wp:positionV>
                <wp:extent cx="619125" cy="247650"/>
                <wp:effectExtent l="0" t="0" r="0" b="0"/>
                <wp:wrapNone/>
                <wp:docPr id="182" name="文本框 182"/>
                <wp:cNvGraphicFramePr/>
                <a:graphic xmlns:a="http://schemas.openxmlformats.org/drawingml/2006/main">
                  <a:graphicData uri="http://schemas.microsoft.com/office/word/2010/wordprocessingShape">
                    <wps:wsp>
                      <wps:cNvSpPr txBox="1"/>
                      <wps:spPr>
                        <a:xfrm>
                          <a:off x="3655695" y="3483610"/>
                          <a:ext cx="619125"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160C05">
                            <w:pPr>
                              <w:rPr>
                                <w:rFonts w:hint="default" w:eastAsia="宋体"/>
                                <w:color w:val="F608F3"/>
                                <w:lang w:val="en-US" w:eastAsia="zh-CN"/>
                              </w:rPr>
                            </w:pPr>
                            <w:r>
                              <w:rPr>
                                <w:rFonts w:hint="eastAsia"/>
                                <w:color w:val="F608F3"/>
                                <w:lang w:val="en-US" w:eastAsia="zh-CN"/>
                              </w:rPr>
                              <w:t>5km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35pt;margin-top:153.5pt;height:19.5pt;width:48.75pt;z-index:251883520;mso-width-relative:page;mso-height-relative:page;" filled="f" stroked="f" coordsize="21600,21600" o:gfxdata="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ydV+TcAAAACwEAAA8AAAAAAAAA&#10;AQAgAAAAIgAAAGRycy9kb3ducmV2LnhtbFBLAQIUABQAAAAIAIdO4kDSTIXiRgIAAHUEAAAOAAAA&#10;AAAAAAEAIAAAACsBAABkcnMvZTJvRG9jLnhtbFBLBQYAAAAABgAGAFkBAADjBQAAAAA=&#10;">
                <v:fill on="f" focussize="0,0"/>
                <v:stroke on="f" weight="0.5pt"/>
                <v:imagedata o:title=""/>
                <o:lock v:ext="edit" aspectratio="f"/>
                <v:textbox>
                  <w:txbxContent>
                    <w:p w14:paraId="78160C05">
                      <w:pPr>
                        <w:rPr>
                          <w:rFonts w:hint="default" w:eastAsia="宋体"/>
                          <w:color w:val="F608F3"/>
                          <w:lang w:val="en-US" w:eastAsia="zh-CN"/>
                        </w:rPr>
                      </w:pPr>
                      <w:r>
                        <w:rPr>
                          <w:rFonts w:hint="eastAsia"/>
                          <w:color w:val="F608F3"/>
                          <w:lang w:val="en-US" w:eastAsia="zh-CN"/>
                        </w:rPr>
                        <w:t>5km</w:t>
                      </w:r>
                    </w:p>
                  </w:txbxContent>
                </v:textbox>
              </v:shape>
            </w:pict>
          </mc:Fallback>
        </mc:AlternateContent>
      </w:r>
      <w:r>
        <w:rPr>
          <w:sz w:val="21"/>
        </w:rPr>
        <mc:AlternateContent>
          <mc:Choice Requires="wps">
            <w:drawing>
              <wp:anchor distT="0" distB="0" distL="114300" distR="114300" simplePos="0" relativeHeight="251882496" behindDoc="0" locked="0" layoutInCell="1" allowOverlap="1">
                <wp:simplePos x="0" y="0"/>
                <wp:positionH relativeFrom="column">
                  <wp:posOffset>1969770</wp:posOffset>
                </wp:positionH>
                <wp:positionV relativeFrom="paragraph">
                  <wp:posOffset>2159000</wp:posOffset>
                </wp:positionV>
                <wp:extent cx="2466975" cy="9525"/>
                <wp:effectExtent l="0" t="28575" r="9525" b="38100"/>
                <wp:wrapNone/>
                <wp:docPr id="181" name="直接箭头连接符 181"/>
                <wp:cNvGraphicFramePr/>
                <a:graphic xmlns:a="http://schemas.openxmlformats.org/drawingml/2006/main">
                  <a:graphicData uri="http://schemas.microsoft.com/office/word/2010/wordprocessingShape">
                    <wps:wsp>
                      <wps:cNvCnPr/>
                      <wps:spPr>
                        <a:xfrm flipH="1">
                          <a:off x="2884170" y="3759835"/>
                          <a:ext cx="2466975" cy="9525"/>
                        </a:xfrm>
                        <a:prstGeom prst="straightConnector1">
                          <a:avLst/>
                        </a:prstGeom>
                        <a:ln>
                          <a:solidFill>
                            <a:srgbClr val="F608F3"/>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55.1pt;margin-top:170pt;height:0.75pt;width:194.25pt;z-index:251882496;mso-width-relative:page;mso-height-relative:page;" filled="f" stroked="t" coordsize="21600,21600" o:gfxdata="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Fn06h3AAAAAsB&#10;AAAPAAAAAAAAAAEAIAAAACIAAABkcnMvZG93bnJldi54bWxQSwECFAAUAAAACACHTuJAwt0DKBcC&#10;AADoAwAADgAAAAAAAAABACAAAAArAQAAZHJzL2Uyb0RvYy54bWxQSwUGAAAAAAYABgBZAQAAtAUA&#10;AAAA&#10;">
                <v:fill on="f" focussize="0,0"/>
                <v:stroke weight="2pt" color="#F608F3 [3204]" joinstyle="round" endarrow="block"/>
                <v:imagedata o:title=""/>
                <o:lock v:ext="edit" aspectratio="f"/>
              </v:shape>
            </w:pict>
          </mc:Fallback>
        </mc:AlternateContent>
      </w:r>
      <w:r>
        <w:rPr>
          <w:sz w:val="21"/>
        </w:rPr>
        <mc:AlternateContent>
          <mc:Choice Requires="wps">
            <w:drawing>
              <wp:anchor distT="0" distB="0" distL="114300" distR="114300" simplePos="0" relativeHeight="251878400" behindDoc="0" locked="0" layoutInCell="1" allowOverlap="1">
                <wp:simplePos x="0" y="0"/>
                <wp:positionH relativeFrom="column">
                  <wp:posOffset>102870</wp:posOffset>
                </wp:positionH>
                <wp:positionV relativeFrom="paragraph">
                  <wp:posOffset>4730750</wp:posOffset>
                </wp:positionV>
                <wp:extent cx="180975" cy="142875"/>
                <wp:effectExtent l="6350" t="6350" r="22225" b="22225"/>
                <wp:wrapNone/>
                <wp:docPr id="180" name="任意多边形 180"/>
                <wp:cNvGraphicFramePr/>
                <a:graphic xmlns:a="http://schemas.openxmlformats.org/drawingml/2006/main">
                  <a:graphicData uri="http://schemas.microsoft.com/office/word/2010/wordprocessingShape">
                    <wps:wsp>
                      <wps:cNvSpPr/>
                      <wps:spPr>
                        <a:xfrm>
                          <a:off x="0" y="0"/>
                          <a:ext cx="180975" cy="142875"/>
                        </a:xfrm>
                        <a:custGeom>
                          <a:avLst/>
                          <a:gdLst>
                            <a:gd name="connisteX0" fmla="*/ 200025 w 466725"/>
                            <a:gd name="connsiteY0" fmla="*/ 361950 h 361950"/>
                            <a:gd name="connisteX1" fmla="*/ 0 w 466725"/>
                            <a:gd name="connsiteY1" fmla="*/ 47625 h 361950"/>
                            <a:gd name="connisteX2" fmla="*/ 66675 w 466725"/>
                            <a:gd name="connsiteY2" fmla="*/ 0 h 361950"/>
                            <a:gd name="connisteX3" fmla="*/ 171450 w 466725"/>
                            <a:gd name="connsiteY3" fmla="*/ 38100 h 361950"/>
                            <a:gd name="connisteX4" fmla="*/ 304800 w 466725"/>
                            <a:gd name="connsiteY4" fmla="*/ 95250 h 361950"/>
                            <a:gd name="connisteX5" fmla="*/ 447675 w 466725"/>
                            <a:gd name="connsiteY5" fmla="*/ 76200 h 361950"/>
                            <a:gd name="connisteX6" fmla="*/ 466725 w 466725"/>
                            <a:gd name="connsiteY6" fmla="*/ 104775 h 361950"/>
                            <a:gd name="connisteX7" fmla="*/ 390525 w 466725"/>
                            <a:gd name="connsiteY7" fmla="*/ 171450 h 361950"/>
                            <a:gd name="connisteX8" fmla="*/ 333375 w 466725"/>
                            <a:gd name="connsiteY8" fmla="*/ 200025 h 361950"/>
                            <a:gd name="connisteX9" fmla="*/ 276225 w 466725"/>
                            <a:gd name="connsiteY9" fmla="*/ 295275 h 361950"/>
                            <a:gd name="connisteX10" fmla="*/ 200025 w 466725"/>
                            <a:gd name="connsiteY10" fmla="*/ 361950 h 361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466725" h="361950">
                              <a:moveTo>
                                <a:pt x="200025" y="361950"/>
                              </a:moveTo>
                              <a:lnTo>
                                <a:pt x="0" y="47625"/>
                              </a:lnTo>
                              <a:lnTo>
                                <a:pt x="66675" y="0"/>
                              </a:lnTo>
                              <a:lnTo>
                                <a:pt x="171450" y="38100"/>
                              </a:lnTo>
                              <a:lnTo>
                                <a:pt x="304800" y="95250"/>
                              </a:lnTo>
                              <a:lnTo>
                                <a:pt x="447675" y="76200"/>
                              </a:lnTo>
                              <a:lnTo>
                                <a:pt x="466725" y="104775"/>
                              </a:lnTo>
                              <a:lnTo>
                                <a:pt x="390525" y="171450"/>
                              </a:lnTo>
                              <a:lnTo>
                                <a:pt x="333375" y="200025"/>
                              </a:lnTo>
                              <a:lnTo>
                                <a:pt x="276225" y="295275"/>
                              </a:lnTo>
                              <a:lnTo>
                                <a:pt x="200025" y="361950"/>
                              </a:lnTo>
                              <a:close/>
                            </a:path>
                          </a:pathLst>
                        </a:custGeom>
                        <a:noFill/>
                        <a:ln w="12700">
                          <a:solidFill>
                            <a:srgbClr val="07E9F7"/>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1pt;margin-top:372.5pt;height:11.25pt;width:14.25pt;z-index:251878400;mso-width-relative:page;mso-height-relative:page;" filled="f" stroked="t" coordsize="466725,361950" o:gfxdata="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" path="m200025,361950l0,47625,66675,0,171450,38100,304800,95250,447675,76200,466725,104775,390525,171450,333375,200025,276225,295275,200025,361950xe">
                <v:path o:connectlocs="77560,142875;0,18799;25853,0;66480,15039;118187,37598;173588,30078;180975,41358;151428,67677;129267,78957;107107,116555;77560,142875" o:connectangles="0,0,0,0,0,0,0,0,0,0,0"/>
                <v:fill on="f" focussize="0,0"/>
                <v:stroke weight="1pt" color="#07E9F7 [2404]" joinstyle="round"/>
                <v:imagedata o:title=""/>
                <o:lock v:ext="edit" aspectratio="f"/>
              </v:shape>
            </w:pict>
          </mc:Fallback>
        </mc:AlternateContent>
      </w:r>
      <w:r>
        <w:rPr>
          <w:sz w:val="21"/>
        </w:rPr>
        <mc:AlternateContent>
          <mc:Choice Requires="wps">
            <w:drawing>
              <wp:anchor distT="0" distB="0" distL="114300" distR="114300" simplePos="0" relativeHeight="251881472" behindDoc="0" locked="0" layoutInCell="1" allowOverlap="1">
                <wp:simplePos x="0" y="0"/>
                <wp:positionH relativeFrom="column">
                  <wp:posOffset>102870</wp:posOffset>
                </wp:positionH>
                <wp:positionV relativeFrom="paragraph">
                  <wp:posOffset>4454525</wp:posOffset>
                </wp:positionV>
                <wp:extent cx="180975" cy="142875"/>
                <wp:effectExtent l="6350" t="6350" r="22225" b="22225"/>
                <wp:wrapNone/>
                <wp:docPr id="179" name="任意多边形 179"/>
                <wp:cNvGraphicFramePr/>
                <a:graphic xmlns:a="http://schemas.openxmlformats.org/drawingml/2006/main">
                  <a:graphicData uri="http://schemas.microsoft.com/office/word/2010/wordprocessingShape">
                    <wps:wsp>
                      <wps:cNvSpPr/>
                      <wps:spPr>
                        <a:xfrm>
                          <a:off x="0" y="0"/>
                          <a:ext cx="180975" cy="142875"/>
                        </a:xfrm>
                        <a:custGeom>
                          <a:avLst/>
                          <a:gdLst>
                            <a:gd name="connisteX0" fmla="*/ 200025 w 466725"/>
                            <a:gd name="connsiteY0" fmla="*/ 361950 h 361950"/>
                            <a:gd name="connisteX1" fmla="*/ 0 w 466725"/>
                            <a:gd name="connsiteY1" fmla="*/ 47625 h 361950"/>
                            <a:gd name="connisteX2" fmla="*/ 66675 w 466725"/>
                            <a:gd name="connsiteY2" fmla="*/ 0 h 361950"/>
                            <a:gd name="connisteX3" fmla="*/ 171450 w 466725"/>
                            <a:gd name="connsiteY3" fmla="*/ 38100 h 361950"/>
                            <a:gd name="connisteX4" fmla="*/ 304800 w 466725"/>
                            <a:gd name="connsiteY4" fmla="*/ 95250 h 361950"/>
                            <a:gd name="connisteX5" fmla="*/ 447675 w 466725"/>
                            <a:gd name="connsiteY5" fmla="*/ 76200 h 361950"/>
                            <a:gd name="connisteX6" fmla="*/ 466725 w 466725"/>
                            <a:gd name="connsiteY6" fmla="*/ 104775 h 361950"/>
                            <a:gd name="connisteX7" fmla="*/ 390525 w 466725"/>
                            <a:gd name="connsiteY7" fmla="*/ 171450 h 361950"/>
                            <a:gd name="connisteX8" fmla="*/ 333375 w 466725"/>
                            <a:gd name="connsiteY8" fmla="*/ 200025 h 361950"/>
                            <a:gd name="connisteX9" fmla="*/ 276225 w 466725"/>
                            <a:gd name="connsiteY9" fmla="*/ 295275 h 361950"/>
                            <a:gd name="connisteX10" fmla="*/ 200025 w 466725"/>
                            <a:gd name="connsiteY10" fmla="*/ 361950 h 361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466725" h="361950">
                              <a:moveTo>
                                <a:pt x="200025" y="361950"/>
                              </a:moveTo>
                              <a:lnTo>
                                <a:pt x="0" y="47625"/>
                              </a:lnTo>
                              <a:lnTo>
                                <a:pt x="66675" y="0"/>
                              </a:lnTo>
                              <a:lnTo>
                                <a:pt x="171450" y="38100"/>
                              </a:lnTo>
                              <a:lnTo>
                                <a:pt x="304800" y="95250"/>
                              </a:lnTo>
                              <a:lnTo>
                                <a:pt x="447675" y="76200"/>
                              </a:lnTo>
                              <a:lnTo>
                                <a:pt x="466725" y="104775"/>
                              </a:lnTo>
                              <a:lnTo>
                                <a:pt x="390525" y="171450"/>
                              </a:lnTo>
                              <a:lnTo>
                                <a:pt x="333375" y="200025"/>
                              </a:lnTo>
                              <a:lnTo>
                                <a:pt x="276225" y="295275"/>
                              </a:lnTo>
                              <a:lnTo>
                                <a:pt x="200025" y="361950"/>
                              </a:lnTo>
                              <a:close/>
                            </a:path>
                          </a:pathLst>
                        </a:custGeom>
                        <a:noFill/>
                        <a:ln w="12700">
                          <a:solidFill>
                            <a:srgbClr val="0B06F8"/>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1pt;margin-top:350.75pt;height:11.25pt;width:14.25pt;z-index:251881472;mso-width-relative:page;mso-height-relative:page;" filled="f" stroked="t" coordsize="466725,361950" o:gfxdata="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" path="m200025,361950l0,47625,66675,0,171450,38100,304800,95250,447675,76200,466725,104775,390525,171450,333375,200025,276225,295275,200025,361950xe">
                <v:path o:connectlocs="77560,142875;0,18799;25853,0;66480,15039;118187,37598;173588,30078;180975,41358;151428,67677;129267,78957;107107,116555;77560,142875" o:connectangles="0,0,0,0,0,0,0,0,0,0,0"/>
                <v:fill on="f" focussize="0,0"/>
                <v:stroke weight="1pt" color="#0B06F8 [2404]" joinstyle="round"/>
                <v:imagedata o:title=""/>
                <o:lock v:ext="edit" aspectratio="f"/>
              </v:shape>
            </w:pict>
          </mc:Fallback>
        </mc:AlternateContent>
      </w:r>
      <w:r>
        <w:rPr>
          <w:sz w:val="21"/>
        </w:rPr>
        <mc:AlternateContent>
          <mc:Choice Requires="wps">
            <w:drawing>
              <wp:anchor distT="0" distB="0" distL="114300" distR="114300" simplePos="0" relativeHeight="251877376" behindDoc="0" locked="0" layoutInCell="1" allowOverlap="1">
                <wp:simplePos x="0" y="0"/>
                <wp:positionH relativeFrom="column">
                  <wp:posOffset>102870</wp:posOffset>
                </wp:positionH>
                <wp:positionV relativeFrom="paragraph">
                  <wp:posOffset>4168775</wp:posOffset>
                </wp:positionV>
                <wp:extent cx="180975" cy="142875"/>
                <wp:effectExtent l="6350" t="6350" r="22225" b="22225"/>
                <wp:wrapNone/>
                <wp:docPr id="178" name="任意多边形 178"/>
                <wp:cNvGraphicFramePr/>
                <a:graphic xmlns:a="http://schemas.openxmlformats.org/drawingml/2006/main">
                  <a:graphicData uri="http://schemas.microsoft.com/office/word/2010/wordprocessingShape">
                    <wps:wsp>
                      <wps:cNvSpPr/>
                      <wps:spPr>
                        <a:xfrm>
                          <a:off x="0" y="0"/>
                          <a:ext cx="180975" cy="142875"/>
                        </a:xfrm>
                        <a:custGeom>
                          <a:avLst/>
                          <a:gdLst>
                            <a:gd name="connisteX0" fmla="*/ 200025 w 466725"/>
                            <a:gd name="connsiteY0" fmla="*/ 361950 h 361950"/>
                            <a:gd name="connisteX1" fmla="*/ 0 w 466725"/>
                            <a:gd name="connsiteY1" fmla="*/ 47625 h 361950"/>
                            <a:gd name="connisteX2" fmla="*/ 66675 w 466725"/>
                            <a:gd name="connsiteY2" fmla="*/ 0 h 361950"/>
                            <a:gd name="connisteX3" fmla="*/ 171450 w 466725"/>
                            <a:gd name="connsiteY3" fmla="*/ 38100 h 361950"/>
                            <a:gd name="connisteX4" fmla="*/ 304800 w 466725"/>
                            <a:gd name="connsiteY4" fmla="*/ 95250 h 361950"/>
                            <a:gd name="connisteX5" fmla="*/ 447675 w 466725"/>
                            <a:gd name="connsiteY5" fmla="*/ 76200 h 361950"/>
                            <a:gd name="connisteX6" fmla="*/ 466725 w 466725"/>
                            <a:gd name="connsiteY6" fmla="*/ 104775 h 361950"/>
                            <a:gd name="connisteX7" fmla="*/ 390525 w 466725"/>
                            <a:gd name="connsiteY7" fmla="*/ 171450 h 361950"/>
                            <a:gd name="connisteX8" fmla="*/ 333375 w 466725"/>
                            <a:gd name="connsiteY8" fmla="*/ 200025 h 361950"/>
                            <a:gd name="connisteX9" fmla="*/ 276225 w 466725"/>
                            <a:gd name="connsiteY9" fmla="*/ 295275 h 361950"/>
                            <a:gd name="connisteX10" fmla="*/ 200025 w 466725"/>
                            <a:gd name="connsiteY10" fmla="*/ 361950 h 361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466725" h="361950">
                              <a:moveTo>
                                <a:pt x="200025" y="361950"/>
                              </a:moveTo>
                              <a:lnTo>
                                <a:pt x="0" y="47625"/>
                              </a:lnTo>
                              <a:lnTo>
                                <a:pt x="66675" y="0"/>
                              </a:lnTo>
                              <a:lnTo>
                                <a:pt x="171450" y="38100"/>
                              </a:lnTo>
                              <a:lnTo>
                                <a:pt x="304800" y="95250"/>
                              </a:lnTo>
                              <a:lnTo>
                                <a:pt x="447675" y="76200"/>
                              </a:lnTo>
                              <a:lnTo>
                                <a:pt x="466725" y="104775"/>
                              </a:lnTo>
                              <a:lnTo>
                                <a:pt x="390525" y="171450"/>
                              </a:lnTo>
                              <a:lnTo>
                                <a:pt x="333375" y="200025"/>
                              </a:lnTo>
                              <a:lnTo>
                                <a:pt x="276225" y="295275"/>
                              </a:lnTo>
                              <a:lnTo>
                                <a:pt x="200025" y="361950"/>
                              </a:lnTo>
                              <a:close/>
                            </a:path>
                          </a:pathLst>
                        </a:custGeom>
                        <a:noFill/>
                        <a:ln w="127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1pt;margin-top:328.25pt;height:11.25pt;width:14.25pt;z-index:251877376;mso-width-relative:page;mso-height-relative:page;" filled="f" stroked="t" coordsize="466725,361950" o:gfxdata="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" path="m200025,361950l0,47625,66675,0,171450,38100,304800,95250,447675,76200,466725,104775,390525,171450,333375,200025,276225,295275,200025,361950xe">
                <v:path o:connectlocs="77560,142875;0,18799;25853,0;66480,15039;118187,37598;173588,30078;180975,41358;151428,67677;129267,78957;107107,116555;77560,142875" o:connectangles="0,0,0,0,0,0,0,0,0,0,0"/>
                <v:fill on="f" focussize="0,0"/>
                <v:stroke weight="1pt" color="#FFFF00 [2404]" joinstyle="round"/>
                <v:imagedata o:title=""/>
                <o:lock v:ext="edit" aspectratio="f"/>
              </v:shape>
            </w:pict>
          </mc:Fallback>
        </mc:AlternateContent>
      </w:r>
      <w:r>
        <w:rPr>
          <w:sz w:val="21"/>
        </w:rPr>
        <mc:AlternateContent>
          <mc:Choice Requires="wps">
            <w:drawing>
              <wp:anchor distT="0" distB="0" distL="114300" distR="114300" simplePos="0" relativeHeight="251875328" behindDoc="0" locked="0" layoutInCell="1" allowOverlap="1">
                <wp:simplePos x="0" y="0"/>
                <wp:positionH relativeFrom="column">
                  <wp:posOffset>131445</wp:posOffset>
                </wp:positionH>
                <wp:positionV relativeFrom="paragraph">
                  <wp:posOffset>3940175</wp:posOffset>
                </wp:positionV>
                <wp:extent cx="180975" cy="142875"/>
                <wp:effectExtent l="6350" t="6350" r="22225" b="22225"/>
                <wp:wrapNone/>
                <wp:docPr id="177" name="任意多边形 177"/>
                <wp:cNvGraphicFramePr/>
                <a:graphic xmlns:a="http://schemas.openxmlformats.org/drawingml/2006/main">
                  <a:graphicData uri="http://schemas.microsoft.com/office/word/2010/wordprocessingShape">
                    <wps:wsp>
                      <wps:cNvSpPr/>
                      <wps:spPr>
                        <a:xfrm>
                          <a:off x="5227320" y="3550285"/>
                          <a:ext cx="180975" cy="142875"/>
                        </a:xfrm>
                        <a:custGeom>
                          <a:avLst/>
                          <a:gdLst>
                            <a:gd name="connisteX0" fmla="*/ 200025 w 466725"/>
                            <a:gd name="connsiteY0" fmla="*/ 361950 h 361950"/>
                            <a:gd name="connisteX1" fmla="*/ 0 w 466725"/>
                            <a:gd name="connsiteY1" fmla="*/ 47625 h 361950"/>
                            <a:gd name="connisteX2" fmla="*/ 66675 w 466725"/>
                            <a:gd name="connsiteY2" fmla="*/ 0 h 361950"/>
                            <a:gd name="connisteX3" fmla="*/ 171450 w 466725"/>
                            <a:gd name="connsiteY3" fmla="*/ 38100 h 361950"/>
                            <a:gd name="connisteX4" fmla="*/ 304800 w 466725"/>
                            <a:gd name="connsiteY4" fmla="*/ 95250 h 361950"/>
                            <a:gd name="connisteX5" fmla="*/ 447675 w 466725"/>
                            <a:gd name="connsiteY5" fmla="*/ 76200 h 361950"/>
                            <a:gd name="connisteX6" fmla="*/ 466725 w 466725"/>
                            <a:gd name="connsiteY6" fmla="*/ 104775 h 361950"/>
                            <a:gd name="connisteX7" fmla="*/ 390525 w 466725"/>
                            <a:gd name="connsiteY7" fmla="*/ 171450 h 361950"/>
                            <a:gd name="connisteX8" fmla="*/ 333375 w 466725"/>
                            <a:gd name="connsiteY8" fmla="*/ 200025 h 361950"/>
                            <a:gd name="connisteX9" fmla="*/ 276225 w 466725"/>
                            <a:gd name="connsiteY9" fmla="*/ 295275 h 361950"/>
                            <a:gd name="connisteX10" fmla="*/ 200025 w 466725"/>
                            <a:gd name="connsiteY10" fmla="*/ 361950 h 361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466725" h="361950">
                              <a:moveTo>
                                <a:pt x="200025" y="361950"/>
                              </a:moveTo>
                              <a:lnTo>
                                <a:pt x="0" y="47625"/>
                              </a:lnTo>
                              <a:lnTo>
                                <a:pt x="66675" y="0"/>
                              </a:lnTo>
                              <a:lnTo>
                                <a:pt x="171450" y="38100"/>
                              </a:lnTo>
                              <a:lnTo>
                                <a:pt x="304800" y="95250"/>
                              </a:lnTo>
                              <a:lnTo>
                                <a:pt x="447675" y="76200"/>
                              </a:lnTo>
                              <a:lnTo>
                                <a:pt x="466725" y="104775"/>
                              </a:lnTo>
                              <a:lnTo>
                                <a:pt x="390525" y="171450"/>
                              </a:lnTo>
                              <a:lnTo>
                                <a:pt x="333375" y="200025"/>
                              </a:lnTo>
                              <a:lnTo>
                                <a:pt x="276225" y="295275"/>
                              </a:lnTo>
                              <a:lnTo>
                                <a:pt x="200025" y="361950"/>
                              </a:lnTo>
                              <a:close/>
                            </a:path>
                          </a:pathLst>
                        </a:custGeom>
                        <a:noFill/>
                        <a:ln w="12700">
                          <a:solidFill>
                            <a:srgbClr val="F608F3"/>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0.35pt;margin-top:310.25pt;height:11.25pt;width:14.25pt;z-index:251875328;mso-width-relative:page;mso-height-relative:page;" filled="f" stroked="t" coordsize="466725,361950" o:gfxdata="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" path="m200025,361950l0,47625,66675,0,171450,38100,304800,95250,447675,76200,466725,104775,390525,171450,333375,200025,276225,295275,200025,361950xe">
                <v:path o:connectlocs="77560,142875;0,18799;25853,0;66480,15039;118187,37598;173588,30078;180975,41358;151428,67677;129267,78957;107107,116555;77560,142875" o:connectangles="0,0,0,0,0,0,0,0,0,0,0"/>
                <v:fill on="f" focussize="0,0"/>
                <v:stroke weight="1pt" color="#F608F3 [2404]" joinstyle="round"/>
                <v:imagedata o:title=""/>
                <o:lock v:ext="edit" aspectratio="f"/>
              </v:shape>
            </w:pict>
          </mc:Fallback>
        </mc:AlternateContent>
      </w:r>
    </w:p>
    <w:p w14:paraId="521C0146">
      <w:pPr>
        <w:pStyle w:val="69"/>
        <w:rPr>
          <w:rFonts w:hint="eastAsia" w:eastAsia="仿宋_GB2312"/>
          <w:color w:val="auto"/>
          <w:lang w:eastAsia="zh-CN"/>
        </w:rPr>
      </w:pPr>
      <w:r>
        <w:rPr>
          <w:color w:val="auto"/>
        </w:rPr>
        <w:drawing>
          <wp:anchor distT="0" distB="0" distL="114300" distR="114300" simplePos="0" relativeHeight="251897856" behindDoc="0" locked="0" layoutInCell="1" allowOverlap="1">
            <wp:simplePos x="0" y="0"/>
            <wp:positionH relativeFrom="column">
              <wp:posOffset>8276590</wp:posOffset>
            </wp:positionH>
            <wp:positionV relativeFrom="paragraph">
              <wp:posOffset>-415925</wp:posOffset>
            </wp:positionV>
            <wp:extent cx="595630" cy="730885"/>
            <wp:effectExtent l="0" t="0" r="13970" b="12065"/>
            <wp:wrapNone/>
            <wp:docPr id="3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4"/>
                    <pic:cNvPicPr>
                      <a:picLocks noChangeAspect="1"/>
                    </pic:cNvPicPr>
                  </pic:nvPicPr>
                  <pic:blipFill>
                    <a:blip r:embed="rId92"/>
                    <a:stretch>
                      <a:fillRect/>
                    </a:stretch>
                  </pic:blipFill>
                  <pic:spPr>
                    <a:xfrm>
                      <a:off x="0" y="0"/>
                      <a:ext cx="595630" cy="730885"/>
                    </a:xfrm>
                    <a:prstGeom prst="rect">
                      <a:avLst/>
                    </a:prstGeom>
                    <a:noFill/>
                    <a:ln>
                      <a:noFill/>
                    </a:ln>
                  </pic:spPr>
                </pic:pic>
              </a:graphicData>
            </a:graphic>
          </wp:anchor>
        </w:drawing>
      </w:r>
      <w:r>
        <w:drawing>
          <wp:anchor distT="0" distB="0" distL="114300" distR="114300" simplePos="0" relativeHeight="251885568" behindDoc="0" locked="0" layoutInCell="1" allowOverlap="1">
            <wp:simplePos x="0" y="0"/>
            <wp:positionH relativeFrom="column">
              <wp:posOffset>0</wp:posOffset>
            </wp:positionH>
            <wp:positionV relativeFrom="paragraph">
              <wp:posOffset>-419100</wp:posOffset>
            </wp:positionV>
            <wp:extent cx="8860790" cy="5821045"/>
            <wp:effectExtent l="57150" t="57150" r="73660" b="65405"/>
            <wp:wrapNone/>
            <wp:docPr id="1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5"/>
                    <pic:cNvPicPr>
                      <a:picLocks noChangeAspect="1"/>
                    </pic:cNvPicPr>
                  </pic:nvPicPr>
                  <pic:blipFill>
                    <a:blip r:embed="rId97"/>
                    <a:stretch>
                      <a:fillRect/>
                    </a:stretch>
                  </pic:blipFill>
                  <pic:spPr>
                    <a:xfrm>
                      <a:off x="0" y="0"/>
                      <a:ext cx="8860790" cy="5821045"/>
                    </a:xfrm>
                    <a:prstGeom prst="rect">
                      <a:avLst/>
                    </a:prstGeom>
                    <a:noFill/>
                    <a:ln w="57150" cmpd="thickThin">
                      <a:solidFill>
                        <a:schemeClr val="tx1"/>
                      </a:solidFill>
                    </a:ln>
                  </pic:spPr>
                </pic:pic>
              </a:graphicData>
            </a:graphic>
          </wp:anchor>
        </w:drawing>
      </w:r>
    </w:p>
    <w:p w14:paraId="11BC1DC8">
      <w:pPr>
        <w:rPr>
          <w:rFonts w:hint="eastAsia"/>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rPr>
        <mc:AlternateContent>
          <mc:Choice Requires="wpg">
            <w:drawing>
              <wp:anchor distT="0" distB="0" distL="114300" distR="114300" simplePos="0" relativeHeight="251890688" behindDoc="0" locked="0" layoutInCell="1" allowOverlap="1">
                <wp:simplePos x="0" y="0"/>
                <wp:positionH relativeFrom="column">
                  <wp:posOffset>10160</wp:posOffset>
                </wp:positionH>
                <wp:positionV relativeFrom="paragraph">
                  <wp:posOffset>4208780</wp:posOffset>
                </wp:positionV>
                <wp:extent cx="2237105" cy="989965"/>
                <wp:effectExtent l="4445" t="5080" r="6350" b="14605"/>
                <wp:wrapNone/>
                <wp:docPr id="200" name="组合 200"/>
                <wp:cNvGraphicFramePr/>
                <a:graphic xmlns:a="http://schemas.openxmlformats.org/drawingml/2006/main">
                  <a:graphicData uri="http://schemas.microsoft.com/office/word/2010/wordprocessingGroup">
                    <wpg:wgp>
                      <wpg:cNvGrpSpPr/>
                      <wpg:grpSpPr>
                        <a:xfrm>
                          <a:off x="0" y="0"/>
                          <a:ext cx="2237105" cy="989965"/>
                          <a:chOff x="3426" y="524158"/>
                          <a:chExt cx="3523" cy="1559"/>
                        </a:xfrm>
                      </wpg:grpSpPr>
                      <wps:wsp>
                        <wps:cNvPr id="215" name="文本框 324"/>
                        <wps:cNvSpPr txBox="1"/>
                        <wps:spPr>
                          <a:xfrm>
                            <a:off x="3426" y="524158"/>
                            <a:ext cx="3523" cy="155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47FA6FD">
                              <w:pPr>
                                <w:rPr>
                                  <w:rFonts w:hint="eastAsia"/>
                                  <w:lang w:val="en-US" w:eastAsia="zh-CN"/>
                                </w:rPr>
                              </w:pPr>
                              <w:r>
                                <w:rPr>
                                  <w:rFonts w:hint="eastAsia"/>
                                  <w:lang w:val="en-US" w:eastAsia="zh-CN"/>
                                </w:rPr>
                                <w:t>图例</w:t>
                              </w:r>
                            </w:p>
                            <w:p w14:paraId="7C2D502E">
                              <w:pPr>
                                <w:spacing w:line="360" w:lineRule="auto"/>
                                <w:ind w:left="420" w:leftChars="200"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地下水影响评价范围</w:t>
                              </w:r>
                              <w:r>
                                <w:rPr>
                                  <w:rFonts w:hint="eastAsia" w:cs="Times New Roman"/>
                                  <w:lang w:val="en-US" w:eastAsia="zh-CN"/>
                                </w:rPr>
                                <w:t>3.4</w:t>
                              </w:r>
                              <w:r>
                                <w:rPr>
                                  <w:rFonts w:hint="eastAsia" w:ascii="Times New Roman" w:hAnsi="Times New Roman" w:eastAsia="宋体" w:cs="Times New Roman"/>
                                  <w:lang w:val="en-US" w:eastAsia="zh-CN"/>
                                </w:rPr>
                                <w:t>km</w:t>
                              </w:r>
                              <w:r>
                                <w:rPr>
                                  <w:rFonts w:hint="eastAsia" w:ascii="Times New Roman" w:hAnsi="Times New Roman" w:eastAsia="宋体" w:cs="Times New Roman"/>
                                  <w:vertAlign w:val="superscript"/>
                                  <w:lang w:val="en-US" w:eastAsia="zh-CN"/>
                                </w:rPr>
                                <w:t>2</w:t>
                              </w:r>
                            </w:p>
                            <w:p w14:paraId="44C34B43">
                              <w:pPr>
                                <w:pStyle w:val="45"/>
                                <w:spacing w:line="360" w:lineRule="auto"/>
                                <w:ind w:firstLine="420" w:firstLineChars="200"/>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项目地</w:t>
                              </w:r>
                            </w:p>
                            <w:p w14:paraId="754DFB0E">
                              <w:pPr>
                                <w:pStyle w:val="45"/>
                                <w:spacing w:line="360" w:lineRule="auto"/>
                                <w:ind w:firstLine="420" w:firstLineChars="200"/>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地下水流向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7" name="矩形 325"/>
                        <wps:cNvSpPr/>
                        <wps:spPr>
                          <a:xfrm>
                            <a:off x="3630" y="524570"/>
                            <a:ext cx="255" cy="210"/>
                          </a:xfrm>
                          <a:prstGeom prst="rect">
                            <a:avLst/>
                          </a:prstGeom>
                          <a:noFill/>
                          <a:ln>
                            <a:solidFill>
                              <a:srgbClr val="07F70C"/>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8" name="矩形 326"/>
                        <wps:cNvSpPr/>
                        <wps:spPr>
                          <a:xfrm>
                            <a:off x="3630" y="524930"/>
                            <a:ext cx="255" cy="19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73" name="直接箭头连接符 327"/>
                        <wps:cNvCnPr/>
                        <wps:spPr>
                          <a:xfrm>
                            <a:off x="3750" y="525278"/>
                            <a:ext cx="120" cy="265"/>
                          </a:xfrm>
                          <a:prstGeom prst="straightConnector1">
                            <a:avLst/>
                          </a:prstGeom>
                          <a:ln>
                            <a:solidFill>
                              <a:srgbClr val="0F1EEF"/>
                            </a:solidFill>
                            <a:tailEnd type="triangle" w="lg" len="lg"/>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0.8pt;margin-top:331.4pt;height:77.95pt;width:176.15pt;z-index:251890688;mso-width-relative:page;mso-height-relative:page;" coordorigin="3426,524158" coordsize="3523,1559" o:gfxdata="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">
                <o:lock v:ext="edit" aspectratio="f"/>
                <v:shape id="文本框 324" o:spid="_x0000_s1026" o:spt="202" type="#_x0000_t202" style="position:absolute;left:3426;top:524158;height:1559;width:3523;" fillcolor="#C7EDCC [3201]" filled="t" stroked="t" coordsize="21600,21600" o:gfxdata="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ZtwhvQAA&#10;ANwAAAAPAAAAAAAAAAEAIAAAACIAAABkcnMvZG93bnJldi54bWxQSwECFAAUAAAACACHTuJAMy8F&#10;njsAAAA5AAAAEAAAAAAAAAABACAAAAAMAQAAZHJzL3NoYXBleG1sLnhtbFBLBQYAAAAABgAGAFsB&#10;AAC2AwAAAAA=&#10;">
                  <v:fill on="t" focussize="0,0"/>
                  <v:stroke weight="0.5pt" color="#000000 [3204]" joinstyle="round"/>
                  <v:imagedata o:title=""/>
                  <o:lock v:ext="edit" aspectratio="f"/>
                  <v:textbox>
                    <w:txbxContent>
                      <w:p w14:paraId="747FA6FD">
                        <w:pPr>
                          <w:rPr>
                            <w:rFonts w:hint="eastAsia"/>
                            <w:lang w:val="en-US" w:eastAsia="zh-CN"/>
                          </w:rPr>
                        </w:pPr>
                        <w:r>
                          <w:rPr>
                            <w:rFonts w:hint="eastAsia"/>
                            <w:lang w:val="en-US" w:eastAsia="zh-CN"/>
                          </w:rPr>
                          <w:t>图例</w:t>
                        </w:r>
                      </w:p>
                      <w:p w14:paraId="7C2D502E">
                        <w:pPr>
                          <w:spacing w:line="360" w:lineRule="auto"/>
                          <w:ind w:left="420" w:leftChars="200"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地下水影响评价范围</w:t>
                        </w:r>
                        <w:r>
                          <w:rPr>
                            <w:rFonts w:hint="eastAsia" w:cs="Times New Roman"/>
                            <w:lang w:val="en-US" w:eastAsia="zh-CN"/>
                          </w:rPr>
                          <w:t>3.4</w:t>
                        </w:r>
                        <w:r>
                          <w:rPr>
                            <w:rFonts w:hint="eastAsia" w:ascii="Times New Roman" w:hAnsi="Times New Roman" w:eastAsia="宋体" w:cs="Times New Roman"/>
                            <w:lang w:val="en-US" w:eastAsia="zh-CN"/>
                          </w:rPr>
                          <w:t>km</w:t>
                        </w:r>
                        <w:r>
                          <w:rPr>
                            <w:rFonts w:hint="eastAsia" w:ascii="Times New Roman" w:hAnsi="Times New Roman" w:eastAsia="宋体" w:cs="Times New Roman"/>
                            <w:vertAlign w:val="superscript"/>
                            <w:lang w:val="en-US" w:eastAsia="zh-CN"/>
                          </w:rPr>
                          <w:t>2</w:t>
                        </w:r>
                      </w:p>
                      <w:p w14:paraId="44C34B43">
                        <w:pPr>
                          <w:pStyle w:val="45"/>
                          <w:spacing w:line="360" w:lineRule="auto"/>
                          <w:ind w:firstLine="420" w:firstLineChars="200"/>
                          <w:jc w:val="both"/>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项目地</w:t>
                        </w:r>
                      </w:p>
                      <w:p w14:paraId="754DFB0E">
                        <w:pPr>
                          <w:pStyle w:val="45"/>
                          <w:spacing w:line="360" w:lineRule="auto"/>
                          <w:ind w:firstLine="420" w:firstLineChars="200"/>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地下水流向</w:t>
                        </w:r>
                      </w:p>
                    </w:txbxContent>
                  </v:textbox>
                </v:shape>
                <v:rect id="矩形 325" o:spid="_x0000_s1026" o:spt="1" style="position:absolute;left:3630;top:524570;height:210;width:255;v-text-anchor:middle;" filled="f" stroked="t" coordsize="21600,21600" o:gfxdata="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izw3vQAA&#10;ANwAAAAPAAAAAAAAAAEAIAAAACIAAABkcnMvZG93bnJldi54bWxQSwECFAAUAAAACACHTuJAMy8F&#10;njsAAAA5AAAAEAAAAAAAAAABACAAAAAMAQAAZHJzL3NoYXBleG1sLnhtbFBLBQYAAAAABgAGAFsB&#10;AAC2AwAAAAA=&#10;">
                  <v:fill on="f" focussize="0,0"/>
                  <v:stroke weight="2pt" color="#07F70C [2404]" joinstyle="round"/>
                  <v:imagedata o:title=""/>
                  <o:lock v:ext="edit" aspectratio="f"/>
                </v:rect>
                <v:rect id="矩形 326" o:spid="_x0000_s1026" o:spt="1" style="position:absolute;left:3630;top:524930;height:195;width:255;v-text-anchor:middle;" filled="f" stroked="t" coordsize="21600,21600" o:gfxdata="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iSCtb4A&#10;AADcAAAADwAAAAAAAAABACAAAAAiAAAAZHJzL2Rvd25yZXYueG1sUEsBAhQAFAAAAAgAh07iQDMv&#10;BZ47AAAAOQAAABAAAAAAAAAAAQAgAAAADQEAAGRycy9zaGFwZXhtbC54bWxQSwUGAAAAAAYABgBb&#10;AQAAtwMAAAAA&#10;">
                  <v:fill on="f" focussize="0,0"/>
                  <v:stroke weight="2pt" color="#FF0000 [2404]" joinstyle="round"/>
                  <v:imagedata o:title=""/>
                  <o:lock v:ext="edit" aspectratio="f"/>
                </v:rect>
                <v:shape id="直接箭头连接符 327" o:spid="_x0000_s1026" o:spt="32" type="#_x0000_t32" style="position:absolute;left:3750;top:525278;height:265;width:120;" filled="f" stroked="t" coordsize="21600,21600" o:gfxdata="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hF/06/&#10;AAAA3AAAAA8AAAAAAAAAAQAgAAAAIgAAAGRycy9kb3ducmV2LnhtbFBLAQIUABQAAAAIAIdO4kAz&#10;LwWeOwAAADkAAAAQAAAAAAAAAAEAIAAAAA4BAABkcnMvc2hhcGV4bWwueG1sUEsFBgAAAAAGAAYA&#10;WwEAALgDAAAAAA==&#10;">
                  <v:fill on="f" focussize="0,0"/>
                  <v:stroke weight="2pt" color="#0F1EEF [3204]" joinstyle="round" endarrow="block" endarrowwidth="wide" endarrowlength="long"/>
                  <v:imagedata o:title=""/>
                  <o:lock v:ext="edit" aspectratio="f"/>
                </v:shape>
              </v:group>
            </w:pict>
          </mc:Fallback>
        </mc:AlternateContent>
      </w:r>
      <w:r>
        <w:rPr>
          <w:color w:val="auto"/>
          <w:sz w:val="21"/>
        </w:rPr>
        <mc:AlternateContent>
          <mc:Choice Requires="wps">
            <w:drawing>
              <wp:anchor distT="0" distB="0" distL="114300" distR="114300" simplePos="0" relativeHeight="251896832" behindDoc="0" locked="0" layoutInCell="1" allowOverlap="1">
                <wp:simplePos x="0" y="0"/>
                <wp:positionH relativeFrom="column">
                  <wp:posOffset>2360295</wp:posOffset>
                </wp:positionH>
                <wp:positionV relativeFrom="paragraph">
                  <wp:posOffset>5213350</wp:posOffset>
                </wp:positionV>
                <wp:extent cx="4391025" cy="381000"/>
                <wp:effectExtent l="0" t="0" r="0" b="0"/>
                <wp:wrapNone/>
                <wp:docPr id="301" name="文本框 301"/>
                <wp:cNvGraphicFramePr/>
                <a:graphic xmlns:a="http://schemas.openxmlformats.org/drawingml/2006/main">
                  <a:graphicData uri="http://schemas.microsoft.com/office/word/2010/wordprocessingShape">
                    <wps:wsp>
                      <wps:cNvSpPr txBox="1"/>
                      <wps:spPr>
                        <a:xfrm>
                          <a:off x="0" y="0"/>
                          <a:ext cx="439102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C223CD">
                            <w:pPr>
                              <w:jc w:val="center"/>
                              <w:rPr>
                                <w:rFonts w:hint="default" w:eastAsia="宋体"/>
                                <w:b/>
                                <w:bCs/>
                                <w:sz w:val="30"/>
                                <w:szCs w:val="30"/>
                                <w:lang w:val="en-US" w:eastAsia="zh-CN"/>
                              </w:rPr>
                            </w:pPr>
                            <w:r>
                              <w:rPr>
                                <w:rFonts w:hint="eastAsia"/>
                                <w:b/>
                                <w:bCs/>
                                <w:sz w:val="30"/>
                                <w:szCs w:val="30"/>
                                <w:lang w:eastAsia="zh-CN"/>
                              </w:rPr>
                              <w:t>附图四</w:t>
                            </w:r>
                            <w:r>
                              <w:rPr>
                                <w:rFonts w:hint="eastAsia"/>
                                <w:b/>
                                <w:bCs/>
                                <w:sz w:val="30"/>
                                <w:szCs w:val="30"/>
                                <w:lang w:val="en-US" w:eastAsia="zh-CN"/>
                              </w:rPr>
                              <w:t xml:space="preserve">  项目地下水评价范围图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5.85pt;margin-top:410.5pt;height:30pt;width:345.75pt;z-index:251896832;mso-width-relative:page;mso-height-relative:page;" filled="f" stroked="f" coordsize="21600,21600" o:gfxdata="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PaBD+2wAAAAwBAAAPAAAAAAAAAAEAIAAAACIA&#10;AABkcnMvZG93bnJldi54bWxQSwECFAAUAAAACACHTuJA+l/3AT8CAABqBAAADgAAAAAAAAABACAA&#10;AAAqAQAAZHJzL2Uyb0RvYy54bWxQSwUGAAAAAAYABgBZAQAA2wUAAAAA&#10;">
                <v:fill on="f" focussize="0,0"/>
                <v:stroke on="f" weight="0.5pt"/>
                <v:imagedata o:title=""/>
                <o:lock v:ext="edit" aspectratio="f"/>
                <v:textbox>
                  <w:txbxContent>
                    <w:p w14:paraId="25C223CD">
                      <w:pPr>
                        <w:jc w:val="center"/>
                        <w:rPr>
                          <w:rFonts w:hint="default" w:eastAsia="宋体"/>
                          <w:b/>
                          <w:bCs/>
                          <w:sz w:val="30"/>
                          <w:szCs w:val="30"/>
                          <w:lang w:val="en-US" w:eastAsia="zh-CN"/>
                        </w:rPr>
                      </w:pPr>
                      <w:r>
                        <w:rPr>
                          <w:rFonts w:hint="eastAsia"/>
                          <w:b/>
                          <w:bCs/>
                          <w:sz w:val="30"/>
                          <w:szCs w:val="30"/>
                          <w:lang w:eastAsia="zh-CN"/>
                        </w:rPr>
                        <w:t>附图四</w:t>
                      </w:r>
                      <w:r>
                        <w:rPr>
                          <w:rFonts w:hint="eastAsia"/>
                          <w:b/>
                          <w:bCs/>
                          <w:sz w:val="30"/>
                          <w:szCs w:val="30"/>
                          <w:lang w:val="en-US" w:eastAsia="zh-CN"/>
                        </w:rPr>
                        <w:t xml:space="preserve">  项目地下水评价范围图</w:t>
                      </w:r>
                    </w:p>
                  </w:txbxContent>
                </v:textbox>
              </v:shape>
            </w:pict>
          </mc:Fallback>
        </mc:AlternateContent>
      </w:r>
      <w:r>
        <w:rPr>
          <w:sz w:val="21"/>
        </w:rPr>
        <mc:AlternateContent>
          <mc:Choice Requires="wps">
            <w:drawing>
              <wp:anchor distT="0" distB="0" distL="114300" distR="114300" simplePos="0" relativeHeight="251895808" behindDoc="0" locked="0" layoutInCell="1" allowOverlap="1">
                <wp:simplePos x="0" y="0"/>
                <wp:positionH relativeFrom="column">
                  <wp:posOffset>4217670</wp:posOffset>
                </wp:positionH>
                <wp:positionV relativeFrom="paragraph">
                  <wp:posOffset>2696845</wp:posOffset>
                </wp:positionV>
                <wp:extent cx="781050" cy="295275"/>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78105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4C0C22">
                            <w:pPr>
                              <w:rPr>
                                <w:rFonts w:hint="default" w:eastAsia="宋体"/>
                                <w:b/>
                                <w:bCs/>
                                <w:color w:val="FFFF00"/>
                                <w:lang w:val="en-US" w:eastAsia="zh-CN"/>
                              </w:rPr>
                            </w:pPr>
                            <w:r>
                              <w:rPr>
                                <w:rFonts w:hint="eastAsia"/>
                                <w:b/>
                                <w:bCs/>
                                <w:color w:val="FFFF00"/>
                                <w:lang w:val="en-US" w:eastAsia="zh-CN"/>
                              </w:rPr>
                              <w:t>L=1500m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1pt;margin-top:212.35pt;height:23.25pt;width:61.5pt;z-index:251895808;mso-width-relative:page;mso-height-relative:page;" filled="f" stroked="f" coordsize="21600,21600" o:gfxdata="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&#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Ac57X2wAAAAsBAAAPAAAAAAAAAAEAIAAAACIAAABk&#10;cnMvZG93bnJldi54bWxQSwECFAAUAAAACACHTuJAKhcEdTwCAABpBAAADgAAAAAAAAABACAAAAAq&#10;AQAAZHJzL2Uyb0RvYy54bWxQSwUGAAAAAAYABgBZAQAA2AUAAAAA&#10;">
                <v:fill on="f" focussize="0,0"/>
                <v:stroke on="f" weight="0.5pt"/>
                <v:imagedata o:title=""/>
                <o:lock v:ext="edit" aspectratio="f"/>
                <v:textbox>
                  <w:txbxContent>
                    <w:p w14:paraId="494C0C22">
                      <w:pPr>
                        <w:rPr>
                          <w:rFonts w:hint="default" w:eastAsia="宋体"/>
                          <w:b/>
                          <w:bCs/>
                          <w:color w:val="FFFF00"/>
                          <w:lang w:val="en-US" w:eastAsia="zh-CN"/>
                        </w:rPr>
                      </w:pPr>
                      <w:r>
                        <w:rPr>
                          <w:rFonts w:hint="eastAsia"/>
                          <w:b/>
                          <w:bCs/>
                          <w:color w:val="FFFF00"/>
                          <w:lang w:val="en-US" w:eastAsia="zh-CN"/>
                        </w:rPr>
                        <w:t>L=1500m</w:t>
                      </w:r>
                    </w:p>
                  </w:txbxContent>
                </v:textbox>
              </v:shape>
            </w:pict>
          </mc:Fallback>
        </mc:AlternateContent>
      </w:r>
      <w:r>
        <w:rPr>
          <w:sz w:val="21"/>
        </w:rPr>
        <mc:AlternateContent>
          <mc:Choice Requires="wps">
            <w:drawing>
              <wp:anchor distT="0" distB="0" distL="114300" distR="114300" simplePos="0" relativeHeight="251894784" behindDoc="0" locked="0" layoutInCell="1" allowOverlap="1">
                <wp:simplePos x="0" y="0"/>
                <wp:positionH relativeFrom="column">
                  <wp:posOffset>3265170</wp:posOffset>
                </wp:positionH>
                <wp:positionV relativeFrom="paragraph">
                  <wp:posOffset>2096770</wp:posOffset>
                </wp:positionV>
                <wp:extent cx="781050" cy="295275"/>
                <wp:effectExtent l="0" t="0" r="0" b="0"/>
                <wp:wrapNone/>
                <wp:docPr id="297" name="文本框 297"/>
                <wp:cNvGraphicFramePr/>
                <a:graphic xmlns:a="http://schemas.openxmlformats.org/drawingml/2006/main">
                  <a:graphicData uri="http://schemas.microsoft.com/office/word/2010/wordprocessingShape">
                    <wps:wsp>
                      <wps:cNvSpPr txBox="1"/>
                      <wps:spPr>
                        <a:xfrm>
                          <a:off x="0" y="0"/>
                          <a:ext cx="78105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6E4AAB">
                            <w:pPr>
                              <w:rPr>
                                <w:rFonts w:hint="default" w:eastAsia="宋体"/>
                                <w:b/>
                                <w:bCs/>
                                <w:color w:val="FFFF00"/>
                                <w:lang w:val="en-US" w:eastAsia="zh-CN"/>
                              </w:rPr>
                            </w:pPr>
                            <w:r>
                              <w:rPr>
                                <w:rFonts w:hint="eastAsia"/>
                                <w:b/>
                                <w:bCs/>
                                <w:color w:val="FFFF00"/>
                                <w:lang w:val="en-US" w:eastAsia="zh-CN"/>
                              </w:rPr>
                              <w:t>L/2=750m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1pt;margin-top:165.1pt;height:23.25pt;width:61.5pt;z-index:251894784;mso-width-relative:page;mso-height-relative:page;" filled="f" stroked="f" coordsize="21600,21600" o:gfxdata="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&#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UAJLk2wAAAAsBAAAPAAAAAAAAAAEAIAAAACIAAABk&#10;cnMvZG93bnJldi54bWxQSwECFAAUAAAACACHTuJALUzlqjwCAABpBAAADgAAAAAAAAABACAAAAAq&#10;AQAAZHJzL2Uyb0RvYy54bWxQSwUGAAAAAAYABgBZAQAA2AUAAAAA&#10;">
                <v:fill on="f" focussize="0,0"/>
                <v:stroke on="f" weight="0.5pt"/>
                <v:imagedata o:title=""/>
                <o:lock v:ext="edit" aspectratio="f"/>
                <v:textbox>
                  <w:txbxContent>
                    <w:p w14:paraId="0E6E4AAB">
                      <w:pPr>
                        <w:rPr>
                          <w:rFonts w:hint="default" w:eastAsia="宋体"/>
                          <w:b/>
                          <w:bCs/>
                          <w:color w:val="FFFF00"/>
                          <w:lang w:val="en-US" w:eastAsia="zh-CN"/>
                        </w:rPr>
                      </w:pPr>
                      <w:r>
                        <w:rPr>
                          <w:rFonts w:hint="eastAsia"/>
                          <w:b/>
                          <w:bCs/>
                          <w:color w:val="FFFF00"/>
                          <w:lang w:val="en-US" w:eastAsia="zh-CN"/>
                        </w:rPr>
                        <w:t>L/2=750m</w:t>
                      </w:r>
                    </w:p>
                  </w:txbxContent>
                </v:textbox>
              </v:shape>
            </w:pict>
          </mc:Fallback>
        </mc:AlternateContent>
      </w:r>
      <w:r>
        <w:rPr>
          <w:sz w:val="21"/>
        </w:rPr>
        <mc:AlternateContent>
          <mc:Choice Requires="wps">
            <w:drawing>
              <wp:anchor distT="0" distB="0" distL="114300" distR="114300" simplePos="0" relativeHeight="251893760" behindDoc="0" locked="0" layoutInCell="1" allowOverlap="1">
                <wp:simplePos x="0" y="0"/>
                <wp:positionH relativeFrom="column">
                  <wp:posOffset>3474720</wp:posOffset>
                </wp:positionH>
                <wp:positionV relativeFrom="paragraph">
                  <wp:posOffset>1125220</wp:posOffset>
                </wp:positionV>
                <wp:extent cx="781050" cy="295275"/>
                <wp:effectExtent l="0" t="0" r="0" b="0"/>
                <wp:wrapNone/>
                <wp:docPr id="296" name="文本框 296"/>
                <wp:cNvGraphicFramePr/>
                <a:graphic xmlns:a="http://schemas.openxmlformats.org/drawingml/2006/main">
                  <a:graphicData uri="http://schemas.microsoft.com/office/word/2010/wordprocessingShape">
                    <wps:wsp>
                      <wps:cNvSpPr txBox="1"/>
                      <wps:spPr>
                        <a:xfrm>
                          <a:off x="0" y="0"/>
                          <a:ext cx="78105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05F188">
                            <w:pPr>
                              <w:rPr>
                                <w:rFonts w:hint="default" w:eastAsia="宋体"/>
                                <w:b/>
                                <w:bCs/>
                                <w:color w:val="FFFF00"/>
                                <w:lang w:val="en-US" w:eastAsia="zh-CN"/>
                              </w:rPr>
                            </w:pPr>
                            <w:r>
                              <w:rPr>
                                <w:rFonts w:hint="eastAsia"/>
                                <w:b/>
                                <w:bCs/>
                                <w:color w:val="FFFF00"/>
                                <w:lang w:val="en-US" w:eastAsia="zh-CN"/>
                              </w:rPr>
                              <w:t>L/2=750m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6pt;margin-top:88.6pt;height:23.25pt;width:61.5pt;z-index:251893760;mso-width-relative:page;mso-height-relative:page;" filled="f" stroked="f" coordsize="21600,21600" o:gfxdata="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&#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YD/lTaAAAACwEAAA8AAAAAAAAAAQAgAAAAIgAAAGRy&#10;cy9kb3ducmV2LnhtbFBLAQIUABQAAAAIAIdO4kCgQ/2cPAIAAGkEAAAOAAAAAAAAAAEAIAAAACkB&#10;AABkcnMvZTJvRG9jLnhtbFBLBQYAAAAABgAGAFkBAADXBQAAAAA=&#10;">
                <v:fill on="f" focussize="0,0"/>
                <v:stroke on="f" weight="0.5pt"/>
                <v:imagedata o:title=""/>
                <o:lock v:ext="edit" aspectratio="f"/>
                <v:textbox>
                  <w:txbxContent>
                    <w:p w14:paraId="3905F188">
                      <w:pPr>
                        <w:rPr>
                          <w:rFonts w:hint="default" w:eastAsia="宋体"/>
                          <w:b/>
                          <w:bCs/>
                          <w:color w:val="FFFF00"/>
                          <w:lang w:val="en-US" w:eastAsia="zh-CN"/>
                        </w:rPr>
                      </w:pPr>
                      <w:r>
                        <w:rPr>
                          <w:rFonts w:hint="eastAsia"/>
                          <w:b/>
                          <w:bCs/>
                          <w:color w:val="FFFF00"/>
                          <w:lang w:val="en-US" w:eastAsia="zh-CN"/>
                        </w:rPr>
                        <w:t>L/2=750m</w:t>
                      </w:r>
                    </w:p>
                  </w:txbxContent>
                </v:textbox>
              </v:shape>
            </w:pict>
          </mc:Fallback>
        </mc:AlternateContent>
      </w:r>
      <w:r>
        <w:rPr>
          <w:sz w:val="21"/>
        </w:rPr>
        <mc:AlternateContent>
          <mc:Choice Requires="wps">
            <w:drawing>
              <wp:anchor distT="0" distB="0" distL="114300" distR="114300" simplePos="0" relativeHeight="251892736" behindDoc="0" locked="0" layoutInCell="1" allowOverlap="1">
                <wp:simplePos x="0" y="0"/>
                <wp:positionH relativeFrom="column">
                  <wp:posOffset>4446270</wp:posOffset>
                </wp:positionH>
                <wp:positionV relativeFrom="paragraph">
                  <wp:posOffset>1620520</wp:posOffset>
                </wp:positionV>
                <wp:extent cx="781050" cy="295275"/>
                <wp:effectExtent l="0" t="0" r="0" b="0"/>
                <wp:wrapNone/>
                <wp:docPr id="295" name="文本框 295"/>
                <wp:cNvGraphicFramePr/>
                <a:graphic xmlns:a="http://schemas.openxmlformats.org/drawingml/2006/main">
                  <a:graphicData uri="http://schemas.microsoft.com/office/word/2010/wordprocessingShape">
                    <wps:wsp>
                      <wps:cNvSpPr txBox="1"/>
                      <wps:spPr>
                        <a:xfrm>
                          <a:off x="2960370" y="3585210"/>
                          <a:ext cx="78105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A99B5F">
                            <w:pPr>
                              <w:rPr>
                                <w:rFonts w:hint="default" w:eastAsia="宋体"/>
                                <w:b/>
                                <w:bCs/>
                                <w:color w:val="FFFF00"/>
                                <w:lang w:val="en-US" w:eastAsia="zh-CN"/>
                              </w:rPr>
                            </w:pPr>
                            <w:r>
                              <w:rPr>
                                <w:rFonts w:hint="eastAsia"/>
                                <w:b/>
                                <w:bCs/>
                                <w:color w:val="FFFF00"/>
                                <w:lang w:val="en-US" w:eastAsia="zh-CN"/>
                              </w:rPr>
                              <w:t>L/2=750m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0.1pt;margin-top:127.6pt;height:23.25pt;width:61.5pt;z-index:251892736;mso-width-relative:page;mso-height-relative:page;" filled="f" stroked="f" coordsize="21600,21600" o:gfxdata="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njtXaAAAACwEAAA8AAAAAAAAA&#10;AQAgAAAAIgAAAGRycy9kb3ducmV2LnhtbFBLAQIUABQAAAAIAIdO4kAti6TuSAIAAHUEAAAOAAAA&#10;AAAAAAEAIAAAACkBAABkcnMvZTJvRG9jLnhtbFBLBQYAAAAABgAGAFkBAADjBQAAAAA=&#10;">
                <v:fill on="f" focussize="0,0"/>
                <v:stroke on="f" weight="0.5pt"/>
                <v:imagedata o:title=""/>
                <o:lock v:ext="edit" aspectratio="f"/>
                <v:textbox>
                  <w:txbxContent>
                    <w:p w14:paraId="4EA99B5F">
                      <w:pPr>
                        <w:rPr>
                          <w:rFonts w:hint="default" w:eastAsia="宋体"/>
                          <w:b/>
                          <w:bCs/>
                          <w:color w:val="FFFF00"/>
                          <w:lang w:val="en-US" w:eastAsia="zh-CN"/>
                        </w:rPr>
                      </w:pPr>
                      <w:r>
                        <w:rPr>
                          <w:rFonts w:hint="eastAsia"/>
                          <w:b/>
                          <w:bCs/>
                          <w:color w:val="FFFF00"/>
                          <w:lang w:val="en-US" w:eastAsia="zh-CN"/>
                        </w:rPr>
                        <w:t>L/2=750m</w:t>
                      </w:r>
                    </w:p>
                  </w:txbxContent>
                </v:textbox>
              </v:shape>
            </w:pict>
          </mc:Fallback>
        </mc:AlternateContent>
      </w:r>
      <w:r>
        <mc:AlternateContent>
          <mc:Choice Requires="wps">
            <w:drawing>
              <wp:anchor distT="0" distB="0" distL="114300" distR="114300" simplePos="0" relativeHeight="251891712" behindDoc="0" locked="0" layoutInCell="1" allowOverlap="1">
                <wp:simplePos x="0" y="0"/>
                <wp:positionH relativeFrom="column">
                  <wp:posOffset>4359275</wp:posOffset>
                </wp:positionH>
                <wp:positionV relativeFrom="paragraph">
                  <wp:posOffset>1338580</wp:posOffset>
                </wp:positionV>
                <wp:extent cx="239395" cy="443865"/>
                <wp:effectExtent l="11430" t="5715" r="15875" b="7620"/>
                <wp:wrapNone/>
                <wp:docPr id="290" name="直接箭头连接符 327"/>
                <wp:cNvGraphicFramePr/>
                <a:graphic xmlns:a="http://schemas.openxmlformats.org/drawingml/2006/main">
                  <a:graphicData uri="http://schemas.microsoft.com/office/word/2010/wordprocessingShape">
                    <wps:wsp>
                      <wps:cNvCnPr/>
                      <wps:spPr>
                        <a:xfrm>
                          <a:off x="0" y="0"/>
                          <a:ext cx="239395" cy="443865"/>
                        </a:xfrm>
                        <a:prstGeom prst="straightConnector1">
                          <a:avLst/>
                        </a:prstGeom>
                        <a:ln>
                          <a:solidFill>
                            <a:srgbClr val="0F1EEF"/>
                          </a:solidFill>
                          <a:tailEnd type="triangle" w="lg" len="lg"/>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327" o:spid="_x0000_s1026" o:spt="32" type="#_x0000_t32" style="position:absolute;left:0pt;margin-left:343.25pt;margin-top:105.4pt;height:34.95pt;width:18.85pt;z-index:251891712;mso-width-relative:page;mso-height-relative:page;" filled="f" stroked="t" coordsize="21600,21600" o:gfxdata="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ysj4X2gAAAAsBAAAPAAAAAAAAAAEA&#10;IAAAACIAAABkcnMvZG93bnJldi54bWxQSwECFAAUAAAACACHTuJA3MRKZQ0CAADjAwAADgAAAAAA&#10;AAABACAAAAApAQAAZHJzL2Uyb0RvYy54bWxQSwUGAAAAAAYABgBZAQAAqAUAAAAA&#10;">
                <v:fill on="f" focussize="0,0"/>
                <v:stroke weight="2pt" color="#0F1EEF [3204]" joinstyle="round" endarrow="block" endarrowwidth="wide" endarrowlength="long"/>
                <v:imagedata o:title=""/>
                <o:lock v:ext="edit" aspectratio="f"/>
              </v:shape>
            </w:pict>
          </mc:Fallback>
        </mc:AlternateContent>
      </w:r>
      <w:r>
        <w:rPr>
          <w:sz w:val="21"/>
        </w:rPr>
        <mc:AlternateContent>
          <mc:Choice Requires="wps">
            <w:drawing>
              <wp:anchor distT="0" distB="0" distL="114300" distR="114300" simplePos="0" relativeHeight="251886592" behindDoc="0" locked="0" layoutInCell="1" allowOverlap="1">
                <wp:simplePos x="0" y="0"/>
                <wp:positionH relativeFrom="column">
                  <wp:posOffset>3589020</wp:posOffset>
                </wp:positionH>
                <wp:positionV relativeFrom="paragraph">
                  <wp:posOffset>890270</wp:posOffset>
                </wp:positionV>
                <wp:extent cx="571500" cy="1126490"/>
                <wp:effectExtent l="0" t="0" r="19050" b="16510"/>
                <wp:wrapNone/>
                <wp:docPr id="191" name="直接箭头连接符 191"/>
                <wp:cNvGraphicFramePr/>
                <a:graphic xmlns:a="http://schemas.openxmlformats.org/drawingml/2006/main">
                  <a:graphicData uri="http://schemas.microsoft.com/office/word/2010/wordprocessingShape">
                    <wps:wsp>
                      <wps:cNvCnPr/>
                      <wps:spPr>
                        <a:xfrm flipH="1" flipV="1">
                          <a:off x="4465320" y="2273935"/>
                          <a:ext cx="571500" cy="1126490"/>
                        </a:xfrm>
                        <a:prstGeom prst="straightConnector1">
                          <a:avLst/>
                        </a:prstGeom>
                        <a:ln w="12700">
                          <a:solidFill>
                            <a:srgbClr val="13F934"/>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82.6pt;margin-top:70.1pt;height:88.7pt;width:45pt;z-index:251886592;mso-width-relative:page;mso-height-relative:page;" filled="f" stroked="t" coordsize="21600,21600" o:gfxdata="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IF+7oNsA&#10;AAALAQAADwAAAAAAAAABACAAAAAiAAAAZHJzL2Rvd25yZXYueG1sUEsBAhQAFAAAAAgAh07iQMjS&#10;ZAEcAgAA9AMAAA4AAAAAAAAAAQAgAAAAKgEAAGRycy9lMm9Eb2MueG1sUEsFBgAAAAAGAAYAWQEA&#10;ALgFAAAAAA==&#10;">
                <v:fill on="f" focussize="0,0"/>
                <v:stroke weight="1pt" color="#13F934 [3204]" joinstyle="round" endarrow="block"/>
                <v:imagedata o:title=""/>
                <o:lock v:ext="edit" aspectratio="f"/>
              </v:shape>
            </w:pict>
          </mc:Fallback>
        </mc:AlternateContent>
      </w:r>
      <w:r>
        <w:rPr>
          <w:sz w:val="21"/>
        </w:rPr>
        <mc:AlternateContent>
          <mc:Choice Requires="wps">
            <w:drawing>
              <wp:anchor distT="0" distB="0" distL="114300" distR="114300" simplePos="0" relativeHeight="251887616" behindDoc="0" locked="0" layoutInCell="1" allowOverlap="1">
                <wp:simplePos x="0" y="0"/>
                <wp:positionH relativeFrom="column">
                  <wp:posOffset>4170045</wp:posOffset>
                </wp:positionH>
                <wp:positionV relativeFrom="paragraph">
                  <wp:posOffset>1502410</wp:posOffset>
                </wp:positionV>
                <wp:extent cx="1123950" cy="540385"/>
                <wp:effectExtent l="2540" t="1270" r="16510" b="10795"/>
                <wp:wrapNone/>
                <wp:docPr id="193" name="直接箭头连接符 193"/>
                <wp:cNvGraphicFramePr/>
                <a:graphic xmlns:a="http://schemas.openxmlformats.org/drawingml/2006/main">
                  <a:graphicData uri="http://schemas.microsoft.com/office/word/2010/wordprocessingShape">
                    <wps:wsp>
                      <wps:cNvCnPr/>
                      <wps:spPr>
                        <a:xfrm flipV="1">
                          <a:off x="0" y="0"/>
                          <a:ext cx="1123950" cy="540385"/>
                        </a:xfrm>
                        <a:prstGeom prst="straightConnector1">
                          <a:avLst/>
                        </a:prstGeom>
                        <a:ln w="12700">
                          <a:solidFill>
                            <a:srgbClr val="13F934"/>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28.35pt;margin-top:118.3pt;height:42.55pt;width:88.5pt;z-index:251887616;mso-width-relative:page;mso-height-relative:page;" filled="f" stroked="t" coordsize="21600,21600" o:gfxdata="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JLUZB2QAAAAsBAAAPAAAAAAAAAAEAIAAA&#10;ACIAAABkcnMvZG93bnJldi54bWxQSwECFAAUAAAACACHTuJAMUpkggsCAADeAwAADgAAAAAAAAAB&#10;ACAAAAAoAQAAZHJzL2Uyb0RvYy54bWxQSwUGAAAAAAYABgBZAQAApQUAAAAA&#10;">
                <v:fill on="f" focussize="0,0"/>
                <v:stroke weight="1pt" color="#13F934 [3204]" joinstyle="round" endarrow="block"/>
                <v:imagedata o:title=""/>
                <o:lock v:ext="edit" aspectratio="f"/>
              </v:shape>
            </w:pict>
          </mc:Fallback>
        </mc:AlternateContent>
      </w:r>
      <w:r>
        <w:rPr>
          <w:sz w:val="21"/>
        </w:rPr>
        <mc:AlternateContent>
          <mc:Choice Requires="wps">
            <w:drawing>
              <wp:anchor distT="0" distB="0" distL="114300" distR="114300" simplePos="0" relativeHeight="251888640" behindDoc="0" locked="0" layoutInCell="1" allowOverlap="1">
                <wp:simplePos x="0" y="0"/>
                <wp:positionH relativeFrom="column">
                  <wp:posOffset>3084195</wp:posOffset>
                </wp:positionH>
                <wp:positionV relativeFrom="paragraph">
                  <wp:posOffset>2052320</wp:posOffset>
                </wp:positionV>
                <wp:extent cx="1066800" cy="504825"/>
                <wp:effectExtent l="0" t="5715" r="19050" b="3810"/>
                <wp:wrapNone/>
                <wp:docPr id="195" name="直接箭头连接符 195"/>
                <wp:cNvGraphicFramePr/>
                <a:graphic xmlns:a="http://schemas.openxmlformats.org/drawingml/2006/main">
                  <a:graphicData uri="http://schemas.microsoft.com/office/word/2010/wordprocessingShape">
                    <wps:wsp>
                      <wps:cNvCnPr/>
                      <wps:spPr>
                        <a:xfrm flipH="1">
                          <a:off x="0" y="0"/>
                          <a:ext cx="1066800" cy="504825"/>
                        </a:xfrm>
                        <a:prstGeom prst="straightConnector1">
                          <a:avLst/>
                        </a:prstGeom>
                        <a:ln w="12700">
                          <a:solidFill>
                            <a:srgbClr val="13F934"/>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42.85pt;margin-top:161.6pt;height:39.75pt;width:84pt;z-index:251888640;mso-width-relative:page;mso-height-relative:page;" filled="f" stroked="t" coordsize="21600,21600" o:gfxdata="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dlLtt2QAAAAsBAAAPAAAAAAAAAAEAIAAA&#10;ACIAAABkcnMvZG93bnJldi54bWxQSwECFAAUAAAACACHTuJAxR3SkAsCAADeAwAADgAAAAAAAAAB&#10;ACAAAAAoAQAAZHJzL2Uyb0RvYy54bWxQSwUGAAAAAAYABgBZAQAApQUAAAAA&#10;">
                <v:fill on="f" focussize="0,0"/>
                <v:stroke weight="1pt" color="#13F934 [3204]" joinstyle="round" endarrow="block"/>
                <v:imagedata o:title=""/>
                <o:lock v:ext="edit" aspectratio="f"/>
              </v:shape>
            </w:pict>
          </mc:Fallback>
        </mc:AlternateContent>
      </w:r>
      <w:r>
        <w:rPr>
          <w:sz w:val="21"/>
        </w:rPr>
        <mc:AlternateContent>
          <mc:Choice Requires="wps">
            <w:drawing>
              <wp:anchor distT="0" distB="0" distL="114300" distR="114300" simplePos="0" relativeHeight="251889664" behindDoc="0" locked="0" layoutInCell="1" allowOverlap="1">
                <wp:simplePos x="0" y="0"/>
                <wp:positionH relativeFrom="column">
                  <wp:posOffset>4160520</wp:posOffset>
                </wp:positionH>
                <wp:positionV relativeFrom="paragraph">
                  <wp:posOffset>2033270</wp:posOffset>
                </wp:positionV>
                <wp:extent cx="1038225" cy="1888490"/>
                <wp:effectExtent l="5715" t="3175" r="3810" b="13335"/>
                <wp:wrapNone/>
                <wp:docPr id="199" name="直接箭头连接符 199"/>
                <wp:cNvGraphicFramePr/>
                <a:graphic xmlns:a="http://schemas.openxmlformats.org/drawingml/2006/main">
                  <a:graphicData uri="http://schemas.microsoft.com/office/word/2010/wordprocessingShape">
                    <wps:wsp>
                      <wps:cNvCnPr/>
                      <wps:spPr>
                        <a:xfrm>
                          <a:off x="0" y="0"/>
                          <a:ext cx="1038225" cy="1888490"/>
                        </a:xfrm>
                        <a:prstGeom prst="straightConnector1">
                          <a:avLst/>
                        </a:prstGeom>
                        <a:ln w="12700">
                          <a:solidFill>
                            <a:srgbClr val="13F934"/>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27.6pt;margin-top:160.1pt;height:148.7pt;width:81.75pt;z-index:251889664;mso-width-relative:page;mso-height-relative:page;" filled="f" stroked="t" coordsize="21600,21600" o:gfxdata="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h3LVG9sAAAALAQAADwAAAAAAAAABACAAAAAi&#10;AAAAZHJzL2Rvd25yZXYueG1sUEsBAhQAFAAAAAgAh07iQBfs6BEHAgAA1QMAAA4AAAAAAAAAAQAg&#10;AAAAKgEAAGRycy9lMm9Eb2MueG1sUEsFBgAAAAAGAAYAWQEAAKMFAAAAAA==&#10;">
                <v:fill on="f" focussize="0,0"/>
                <v:stroke weight="1pt" color="#13F934 [3204]" joinstyle="round" endarrow="block"/>
                <v:imagedata o:title=""/>
                <o:lock v:ext="edit" aspectratio="f"/>
              </v:shape>
            </w:pict>
          </mc:Fallback>
        </mc:AlternateContent>
      </w:r>
    </w:p>
    <w:p w14:paraId="1AC626B1">
      <w:pPr>
        <w:rPr>
          <w:rFonts w:hint="eastAsia"/>
          <w:lang w:eastAsia="zh-CN"/>
        </w:rPr>
      </w:pPr>
      <w:r>
        <w:rPr>
          <w:color w:val="auto"/>
        </w:rPr>
        <w:drawing>
          <wp:anchor distT="0" distB="0" distL="114300" distR="114300" simplePos="0" relativeHeight="251900928" behindDoc="0" locked="0" layoutInCell="1" allowOverlap="1">
            <wp:simplePos x="0" y="0"/>
            <wp:positionH relativeFrom="column">
              <wp:posOffset>8019415</wp:posOffset>
            </wp:positionH>
            <wp:positionV relativeFrom="paragraph">
              <wp:posOffset>-425450</wp:posOffset>
            </wp:positionV>
            <wp:extent cx="595630" cy="730885"/>
            <wp:effectExtent l="0" t="0" r="13970" b="12065"/>
            <wp:wrapNone/>
            <wp:docPr id="3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4"/>
                    <pic:cNvPicPr>
                      <a:picLocks noChangeAspect="1"/>
                    </pic:cNvPicPr>
                  </pic:nvPicPr>
                  <pic:blipFill>
                    <a:blip r:embed="rId92"/>
                    <a:stretch>
                      <a:fillRect/>
                    </a:stretch>
                  </pic:blipFill>
                  <pic:spPr>
                    <a:xfrm>
                      <a:off x="0" y="0"/>
                      <a:ext cx="595630" cy="730885"/>
                    </a:xfrm>
                    <a:prstGeom prst="rect">
                      <a:avLst/>
                    </a:prstGeom>
                    <a:noFill/>
                    <a:ln>
                      <a:noFill/>
                    </a:ln>
                  </pic:spPr>
                </pic:pic>
              </a:graphicData>
            </a:graphic>
          </wp:anchor>
        </w:drawing>
      </w:r>
      <w:r>
        <w:drawing>
          <wp:anchor distT="0" distB="0" distL="114300" distR="114300" simplePos="0" relativeHeight="251898880" behindDoc="0" locked="0" layoutInCell="1" allowOverlap="1">
            <wp:simplePos x="0" y="0"/>
            <wp:positionH relativeFrom="column">
              <wp:posOffset>485140</wp:posOffset>
            </wp:positionH>
            <wp:positionV relativeFrom="paragraph">
              <wp:posOffset>-425450</wp:posOffset>
            </wp:positionV>
            <wp:extent cx="8133715" cy="5926455"/>
            <wp:effectExtent l="57150" t="57150" r="57785" b="74295"/>
            <wp:wrapNone/>
            <wp:docPr id="30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6"/>
                    <pic:cNvPicPr>
                      <a:picLocks noChangeAspect="1"/>
                    </pic:cNvPicPr>
                  </pic:nvPicPr>
                  <pic:blipFill>
                    <a:blip r:embed="rId98"/>
                    <a:stretch>
                      <a:fillRect/>
                    </a:stretch>
                  </pic:blipFill>
                  <pic:spPr>
                    <a:xfrm>
                      <a:off x="0" y="0"/>
                      <a:ext cx="8133715" cy="5926455"/>
                    </a:xfrm>
                    <a:prstGeom prst="rect">
                      <a:avLst/>
                    </a:prstGeom>
                    <a:noFill/>
                    <a:ln w="57150" cmpd="thickThin">
                      <a:solidFill>
                        <a:schemeClr val="tx1"/>
                      </a:solidFill>
                    </a:ln>
                  </pic:spPr>
                </pic:pic>
              </a:graphicData>
            </a:graphic>
          </wp:anchor>
        </w:drawing>
      </w:r>
    </w:p>
    <w:p w14:paraId="5A855F33">
      <w:pPr>
        <w:rPr>
          <w:rFonts w:hint="eastAsia"/>
          <w:lang w:eastAsia="zh-CN"/>
        </w:rPr>
      </w:pPr>
    </w:p>
    <w:p w14:paraId="2E535428">
      <w:pPr>
        <w:rPr>
          <w:rFonts w:hint="eastAsia"/>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rPr>
        <mc:AlternateContent>
          <mc:Choice Requires="wps">
            <w:drawing>
              <wp:anchor distT="0" distB="0" distL="114300" distR="114300" simplePos="0" relativeHeight="251904000" behindDoc="0" locked="0" layoutInCell="1" allowOverlap="1">
                <wp:simplePos x="0" y="0"/>
                <wp:positionH relativeFrom="column">
                  <wp:posOffset>2446020</wp:posOffset>
                </wp:positionH>
                <wp:positionV relativeFrom="paragraph">
                  <wp:posOffset>5201285</wp:posOffset>
                </wp:positionV>
                <wp:extent cx="4391025" cy="381000"/>
                <wp:effectExtent l="0" t="0" r="0" b="0"/>
                <wp:wrapNone/>
                <wp:docPr id="368" name="文本框 368"/>
                <wp:cNvGraphicFramePr/>
                <a:graphic xmlns:a="http://schemas.openxmlformats.org/drawingml/2006/main">
                  <a:graphicData uri="http://schemas.microsoft.com/office/word/2010/wordprocessingShape">
                    <wps:wsp>
                      <wps:cNvSpPr txBox="1"/>
                      <wps:spPr>
                        <a:xfrm>
                          <a:off x="0" y="0"/>
                          <a:ext cx="439102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B47457">
                            <w:pPr>
                              <w:jc w:val="center"/>
                              <w:rPr>
                                <w:rFonts w:hint="default" w:eastAsia="宋体"/>
                                <w:b/>
                                <w:bCs/>
                                <w:sz w:val="30"/>
                                <w:szCs w:val="30"/>
                                <w:lang w:val="en-US" w:eastAsia="zh-CN"/>
                              </w:rPr>
                            </w:pPr>
                            <w:r>
                              <w:rPr>
                                <w:rFonts w:hint="eastAsia"/>
                                <w:b/>
                                <w:bCs/>
                                <w:sz w:val="30"/>
                                <w:szCs w:val="30"/>
                                <w:lang w:eastAsia="zh-CN"/>
                              </w:rPr>
                              <w:t>附图五</w:t>
                            </w:r>
                            <w:r>
                              <w:rPr>
                                <w:rFonts w:hint="eastAsia"/>
                                <w:b/>
                                <w:bCs/>
                                <w:sz w:val="30"/>
                                <w:szCs w:val="30"/>
                                <w:lang w:val="en-US" w:eastAsia="zh-CN"/>
                              </w:rPr>
                              <w:t xml:space="preserve">  项目卫生防护距离包络线图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6pt;margin-top:409.55pt;height:30pt;width:345.75pt;z-index:251904000;mso-width-relative:page;mso-height-relative:page;" filled="f" stroked="f" coordsize="21600,21600" o:gfxdata="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W8UeE9wAAAAMAQAADwAAAAAAAAABACAAAAAi&#10;AAAAZHJzL2Rvd25yZXYueG1sUEsBAhQAFAAAAAgAh07iQFw8f5c/AgAAagQAAA4AAAAAAAAAAQAg&#10;AAAAKwEAAGRycy9lMm9Eb2MueG1sUEsFBgAAAAAGAAYAWQEAANwFAAAAAA==&#10;">
                <v:fill on="f" focussize="0,0"/>
                <v:stroke on="f" weight="0.5pt"/>
                <v:imagedata o:title=""/>
                <o:lock v:ext="edit" aspectratio="f"/>
                <v:textbox>
                  <w:txbxContent>
                    <w:p w14:paraId="68B47457">
                      <w:pPr>
                        <w:jc w:val="center"/>
                        <w:rPr>
                          <w:rFonts w:hint="default" w:eastAsia="宋体"/>
                          <w:b/>
                          <w:bCs/>
                          <w:sz w:val="30"/>
                          <w:szCs w:val="30"/>
                          <w:lang w:val="en-US" w:eastAsia="zh-CN"/>
                        </w:rPr>
                      </w:pPr>
                      <w:r>
                        <w:rPr>
                          <w:rFonts w:hint="eastAsia"/>
                          <w:b/>
                          <w:bCs/>
                          <w:sz w:val="30"/>
                          <w:szCs w:val="30"/>
                          <w:lang w:eastAsia="zh-CN"/>
                        </w:rPr>
                        <w:t>附图五</w:t>
                      </w:r>
                      <w:r>
                        <w:rPr>
                          <w:rFonts w:hint="eastAsia"/>
                          <w:b/>
                          <w:bCs/>
                          <w:sz w:val="30"/>
                          <w:szCs w:val="30"/>
                          <w:lang w:val="en-US" w:eastAsia="zh-CN"/>
                        </w:rPr>
                        <w:t xml:space="preserve">  项目卫生防护距离包络线图</w:t>
                      </w:r>
                    </w:p>
                  </w:txbxContent>
                </v:textbox>
              </v:shape>
            </w:pict>
          </mc:Fallback>
        </mc:AlternateContent>
      </w:r>
      <w:r>
        <w:rPr>
          <w:sz w:val="21"/>
        </w:rPr>
        <mc:AlternateContent>
          <mc:Choice Requires="wps">
            <w:drawing>
              <wp:anchor distT="0" distB="0" distL="114300" distR="114300" simplePos="0" relativeHeight="251902976" behindDoc="0" locked="0" layoutInCell="1" allowOverlap="1">
                <wp:simplePos x="0" y="0"/>
                <wp:positionH relativeFrom="column">
                  <wp:posOffset>5770245</wp:posOffset>
                </wp:positionH>
                <wp:positionV relativeFrom="paragraph">
                  <wp:posOffset>1826895</wp:posOffset>
                </wp:positionV>
                <wp:extent cx="533400" cy="238125"/>
                <wp:effectExtent l="0" t="0" r="0" b="0"/>
                <wp:wrapNone/>
                <wp:docPr id="351" name="文本框 351"/>
                <wp:cNvGraphicFramePr/>
                <a:graphic xmlns:a="http://schemas.openxmlformats.org/drawingml/2006/main">
                  <a:graphicData uri="http://schemas.microsoft.com/office/word/2010/wordprocessingShape">
                    <wps:wsp>
                      <wps:cNvSpPr txBox="1"/>
                      <wps:spPr>
                        <a:xfrm>
                          <a:off x="6770370" y="3274060"/>
                          <a:ext cx="53340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0A1C8A">
                            <w:pPr>
                              <w:rPr>
                                <w:rFonts w:hint="default" w:eastAsia="宋体"/>
                                <w:color w:val="FFFF00"/>
                                <w:lang w:val="en-US" w:eastAsia="zh-CN"/>
                              </w:rPr>
                            </w:pPr>
                            <w:r>
                              <w:rPr>
                                <w:rFonts w:hint="eastAsia"/>
                                <w:color w:val="FFFF00"/>
                                <w:lang w:val="en-US" w:eastAsia="zh-CN"/>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4.35pt;margin-top:143.85pt;height:18.75pt;width:42pt;z-index:251902976;mso-width-relative:page;mso-height-relative:page;" filled="f" stroked="f" coordsize="21600,21600" o:gfxdata="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Qs3V3bAAAACwEAAA8AAAAAAAAA&#10;AQAgAAAAIgAAAGRycy9kb3ducmV2LnhtbFBLAQIUABQAAAAIAIdO4kCyDAzERwIAAHUEAAAOAAAA&#10;AAAAAAEAIAAAACoBAABkcnMvZTJvRG9jLnhtbFBLBQYAAAAABgAGAFkBAADjBQAAAAA=&#10;">
                <v:fill on="f" focussize="0,0"/>
                <v:stroke on="f" weight="0.5pt"/>
                <v:imagedata o:title=""/>
                <o:lock v:ext="edit" aspectratio="f"/>
                <v:textbox>
                  <w:txbxContent>
                    <w:p w14:paraId="340A1C8A">
                      <w:pPr>
                        <w:rPr>
                          <w:rFonts w:hint="default" w:eastAsia="宋体"/>
                          <w:color w:val="FFFF00"/>
                          <w:lang w:val="en-US" w:eastAsia="zh-CN"/>
                        </w:rPr>
                      </w:pPr>
                      <w:r>
                        <w:rPr>
                          <w:rFonts w:hint="eastAsia"/>
                          <w:color w:val="FFFF00"/>
                          <w:lang w:val="en-US" w:eastAsia="zh-CN"/>
                        </w:rPr>
                        <w:t>500m</w:t>
                      </w:r>
                    </w:p>
                  </w:txbxContent>
                </v:textbox>
              </v:shape>
            </w:pict>
          </mc:Fallback>
        </mc:AlternateContent>
      </w:r>
      <w:r>
        <w:rPr>
          <w:sz w:val="21"/>
        </w:rPr>
        <mc:AlternateContent>
          <mc:Choice Requires="wps">
            <w:drawing>
              <wp:anchor distT="0" distB="0" distL="114300" distR="114300" simplePos="0" relativeHeight="251901952" behindDoc="0" locked="0" layoutInCell="1" allowOverlap="1">
                <wp:simplePos x="0" y="0"/>
                <wp:positionH relativeFrom="column">
                  <wp:posOffset>4655820</wp:posOffset>
                </wp:positionH>
                <wp:positionV relativeFrom="paragraph">
                  <wp:posOffset>2065020</wp:posOffset>
                </wp:positionV>
                <wp:extent cx="2209800" cy="66675"/>
                <wp:effectExtent l="0" t="35560" r="0" b="12065"/>
                <wp:wrapNone/>
                <wp:docPr id="346" name="直接箭头连接符 346"/>
                <wp:cNvGraphicFramePr/>
                <a:graphic xmlns:a="http://schemas.openxmlformats.org/drawingml/2006/main">
                  <a:graphicData uri="http://schemas.microsoft.com/office/word/2010/wordprocessingShape">
                    <wps:wsp>
                      <wps:cNvCnPr/>
                      <wps:spPr>
                        <a:xfrm flipV="1">
                          <a:off x="5560695" y="3455035"/>
                          <a:ext cx="2209800" cy="66675"/>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66.6pt;margin-top:162.6pt;height:5.25pt;width:174pt;z-index:251901952;mso-width-relative:page;mso-height-relative:page;" filled="f" stroked="t" coordsize="21600,21600" o:gfxdata="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6bX3O2AAAAAwBAAAPAAAA&#10;AAAAAAEAIAAAACIAAABkcnMvZG93bnJldi54bWxQSwECFAAUAAAACACHTuJABCYt6BUCAADpAwAA&#10;DgAAAAAAAAABACAAAAAnAQAAZHJzL2Uyb0RvYy54bWxQSwUGAAAAAAYABgBZAQAArgUAAAAA&#10;">
                <v:fill on="f" focussize="0,0"/>
                <v:stroke weight="1pt" color="#FFFF00 [3204]" joinstyle="round" endarrow="block"/>
                <v:imagedata o:title=""/>
                <o:lock v:ext="edit" aspectratio="f"/>
              </v:shape>
            </w:pict>
          </mc:Fallback>
        </mc:AlternateContent>
      </w:r>
      <w:r>
        <w:rPr>
          <w:color w:val="auto"/>
          <w:sz w:val="21"/>
        </w:rPr>
        <mc:AlternateContent>
          <mc:Choice Requires="wpg">
            <w:drawing>
              <wp:anchor distT="0" distB="0" distL="114300" distR="114300" simplePos="0" relativeHeight="251899904" behindDoc="0" locked="0" layoutInCell="1" allowOverlap="1">
                <wp:simplePos x="0" y="0"/>
                <wp:positionH relativeFrom="column">
                  <wp:posOffset>457835</wp:posOffset>
                </wp:positionH>
                <wp:positionV relativeFrom="paragraph">
                  <wp:posOffset>4411980</wp:posOffset>
                </wp:positionV>
                <wp:extent cx="1628140" cy="799465"/>
                <wp:effectExtent l="4445" t="4445" r="5715" b="15240"/>
                <wp:wrapNone/>
                <wp:docPr id="314" name="组合 314"/>
                <wp:cNvGraphicFramePr/>
                <a:graphic xmlns:a="http://schemas.openxmlformats.org/drawingml/2006/main">
                  <a:graphicData uri="http://schemas.microsoft.com/office/word/2010/wordprocessingGroup">
                    <wpg:wgp>
                      <wpg:cNvGrpSpPr/>
                      <wpg:grpSpPr>
                        <a:xfrm>
                          <a:off x="0" y="0"/>
                          <a:ext cx="1628140" cy="799465"/>
                          <a:chOff x="3426" y="524458"/>
                          <a:chExt cx="2564" cy="1259"/>
                        </a:xfrm>
                      </wpg:grpSpPr>
                      <wps:wsp>
                        <wps:cNvPr id="328" name="文本框 324"/>
                        <wps:cNvSpPr txBox="1"/>
                        <wps:spPr>
                          <a:xfrm>
                            <a:off x="3426" y="524458"/>
                            <a:ext cx="2564" cy="125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9576600">
                              <w:pPr>
                                <w:rPr>
                                  <w:rFonts w:hint="eastAsia"/>
                                  <w:lang w:val="en-US" w:eastAsia="zh-CN"/>
                                </w:rPr>
                              </w:pPr>
                              <w:r>
                                <w:rPr>
                                  <w:rFonts w:hint="eastAsia"/>
                                  <w:lang w:val="en-US" w:eastAsia="zh-CN"/>
                                </w:rPr>
                                <w:t>图例</w:t>
                              </w:r>
                            </w:p>
                            <w:p w14:paraId="7284CDAD">
                              <w:pPr>
                                <w:spacing w:line="360" w:lineRule="auto"/>
                                <w:ind w:left="420" w:leftChars="200"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卫生防护距离500m</w:t>
                              </w:r>
                            </w:p>
                            <w:p w14:paraId="5B494233">
                              <w:pPr>
                                <w:pStyle w:val="45"/>
                                <w:spacing w:line="360" w:lineRule="auto"/>
                                <w:ind w:firstLine="420" w:firstLineChars="200"/>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项目地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9" name="矩形 325"/>
                        <wps:cNvSpPr/>
                        <wps:spPr>
                          <a:xfrm>
                            <a:off x="3645" y="524840"/>
                            <a:ext cx="255" cy="21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37" name="矩形 326"/>
                        <wps:cNvSpPr/>
                        <wps:spPr>
                          <a:xfrm>
                            <a:off x="3645" y="525245"/>
                            <a:ext cx="255" cy="19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6.05pt;margin-top:347.4pt;height:62.95pt;width:128.2pt;z-index:251899904;mso-width-relative:page;mso-height-relative:page;" coordorigin="3426,524458" coordsize="2564,1259" o:gfxdata="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">
                <o:lock v:ext="edit" aspectratio="f"/>
                <v:shape id="文本框 324" o:spid="_x0000_s1026" o:spt="202" type="#_x0000_t202" style="position:absolute;left:3426;top:524458;height:1259;width:2564;" fillcolor="#C7EDCC [3201]" filled="t" stroked="t" coordsize="21600,21600" o:gfxdata="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Oq2n7sAAADc&#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w:txbxContent>
                      <w:p w14:paraId="29576600">
                        <w:pPr>
                          <w:rPr>
                            <w:rFonts w:hint="eastAsia"/>
                            <w:lang w:val="en-US" w:eastAsia="zh-CN"/>
                          </w:rPr>
                        </w:pPr>
                        <w:r>
                          <w:rPr>
                            <w:rFonts w:hint="eastAsia"/>
                            <w:lang w:val="en-US" w:eastAsia="zh-CN"/>
                          </w:rPr>
                          <w:t>图例</w:t>
                        </w:r>
                      </w:p>
                      <w:p w14:paraId="7284CDAD">
                        <w:pPr>
                          <w:spacing w:line="360" w:lineRule="auto"/>
                          <w:ind w:left="420" w:leftChars="200"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卫生防护距离500m</w:t>
                        </w:r>
                      </w:p>
                      <w:p w14:paraId="5B494233">
                        <w:pPr>
                          <w:pStyle w:val="45"/>
                          <w:spacing w:line="360" w:lineRule="auto"/>
                          <w:ind w:firstLine="420" w:firstLineChars="200"/>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项目地</w:t>
                        </w:r>
                      </w:p>
                    </w:txbxContent>
                  </v:textbox>
                </v:shape>
                <v:rect id="矩形 325" o:spid="_x0000_s1026" o:spt="1" style="position:absolute;left:3645;top:524840;height:210;width:255;v-text-anchor:middle;" filled="f" stroked="t" coordsize="21600,21600" o:gfxdata="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7qxh+5AAAA3AAA&#10;AA8AAAAAAAAAAQAgAAAAIgAAAGRycy9kb3ducmV2LnhtbFBLAQIUABQAAAAIAIdO4kAzLwWeOwAA&#10;ADkAAAAQAAAAAAAAAAEAIAAAAAgBAABkcnMvc2hhcGV4bWwueG1sUEsFBgAAAAAGAAYAWwEAALID&#10;AAAAAA==&#10;">
                  <v:fill on="f" focussize="0,0"/>
                  <v:stroke weight="2pt" color="#FFFF00 [2404]" joinstyle="round"/>
                  <v:imagedata o:title=""/>
                  <o:lock v:ext="edit" aspectratio="f"/>
                </v:rect>
                <v:rect id="矩形 326" o:spid="_x0000_s1026" o:spt="1" style="position:absolute;left:3645;top:525245;height:195;width:255;v-text-anchor:middle;" filled="f" stroked="t" coordsize="21600,21600" o:gfxdata="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70U6vQAA&#10;ANwAAAAPAAAAAAAAAAEAIAAAACIAAABkcnMvZG93bnJldi54bWxQSwECFAAUAAAACACHTuJAMy8F&#10;njsAAAA5AAAAEAAAAAAAAAABACAAAAAMAQAAZHJzL3NoYXBleG1sLnhtbFBLBQYAAAAABgAGAFsB&#10;AAC2AwAAAAA=&#10;">
                  <v:fill on="f" focussize="0,0"/>
                  <v:stroke weight="2pt" color="#FF0000 [2404]" joinstyle="round"/>
                  <v:imagedata o:title=""/>
                  <o:lock v:ext="edit" aspectratio="f"/>
                </v:rect>
              </v:group>
            </w:pict>
          </mc:Fallback>
        </mc:AlternateContent>
      </w:r>
    </w:p>
    <w:p w14:paraId="5DC60E25">
      <w:pPr>
        <w:rPr>
          <w:rFonts w:hint="eastAsia"/>
          <w:lang w:eastAsia="zh-CN"/>
        </w:rPr>
      </w:pPr>
      <w:r>
        <w:rPr>
          <w:color w:val="auto"/>
        </w:rPr>
        <w:drawing>
          <wp:anchor distT="0" distB="0" distL="114300" distR="114300" simplePos="0" relativeHeight="251907072" behindDoc="0" locked="0" layoutInCell="1" allowOverlap="1">
            <wp:simplePos x="0" y="0"/>
            <wp:positionH relativeFrom="column">
              <wp:posOffset>8171815</wp:posOffset>
            </wp:positionH>
            <wp:positionV relativeFrom="paragraph">
              <wp:posOffset>-358775</wp:posOffset>
            </wp:positionV>
            <wp:extent cx="595630" cy="730885"/>
            <wp:effectExtent l="0" t="0" r="13970" b="12065"/>
            <wp:wrapNone/>
            <wp:docPr id="3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4"/>
                    <pic:cNvPicPr>
                      <a:picLocks noChangeAspect="1"/>
                    </pic:cNvPicPr>
                  </pic:nvPicPr>
                  <pic:blipFill>
                    <a:blip r:embed="rId92"/>
                    <a:stretch>
                      <a:fillRect/>
                    </a:stretch>
                  </pic:blipFill>
                  <pic:spPr>
                    <a:xfrm>
                      <a:off x="0" y="0"/>
                      <a:ext cx="595630" cy="730885"/>
                    </a:xfrm>
                    <a:prstGeom prst="rect">
                      <a:avLst/>
                    </a:prstGeom>
                    <a:noFill/>
                    <a:ln>
                      <a:noFill/>
                    </a:ln>
                  </pic:spPr>
                </pic:pic>
              </a:graphicData>
            </a:graphic>
          </wp:anchor>
        </w:drawing>
      </w:r>
      <w:r>
        <w:drawing>
          <wp:anchor distT="0" distB="0" distL="114300" distR="114300" simplePos="0" relativeHeight="251905024" behindDoc="0" locked="0" layoutInCell="1" allowOverlap="1">
            <wp:simplePos x="0" y="0"/>
            <wp:positionH relativeFrom="column">
              <wp:posOffset>142240</wp:posOffset>
            </wp:positionH>
            <wp:positionV relativeFrom="paragraph">
              <wp:posOffset>-356235</wp:posOffset>
            </wp:positionV>
            <wp:extent cx="8629650" cy="5849620"/>
            <wp:effectExtent l="57150" t="57150" r="57150" b="74930"/>
            <wp:wrapNone/>
            <wp:docPr id="3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17"/>
                    <pic:cNvPicPr>
                      <a:picLocks noChangeAspect="1"/>
                    </pic:cNvPicPr>
                  </pic:nvPicPr>
                  <pic:blipFill>
                    <a:blip r:embed="rId99"/>
                    <a:stretch>
                      <a:fillRect/>
                    </a:stretch>
                  </pic:blipFill>
                  <pic:spPr>
                    <a:xfrm>
                      <a:off x="0" y="0"/>
                      <a:ext cx="8629650" cy="5849620"/>
                    </a:xfrm>
                    <a:prstGeom prst="rect">
                      <a:avLst/>
                    </a:prstGeom>
                    <a:noFill/>
                    <a:ln w="57150" cmpd="thickThin">
                      <a:solidFill>
                        <a:schemeClr val="tx1"/>
                      </a:solidFill>
                    </a:ln>
                  </pic:spPr>
                </pic:pic>
              </a:graphicData>
            </a:graphic>
          </wp:anchor>
        </w:drawing>
      </w:r>
    </w:p>
    <w:p w14:paraId="688C32BF">
      <w:pPr>
        <w:rPr>
          <w:rFonts w:hint="eastAsia"/>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rPr>
        <mc:AlternateContent>
          <mc:Choice Requires="wps">
            <w:drawing>
              <wp:anchor distT="0" distB="0" distL="114300" distR="114300" simplePos="0" relativeHeight="251906048" behindDoc="0" locked="0" layoutInCell="1" allowOverlap="1">
                <wp:simplePos x="0" y="0"/>
                <wp:positionH relativeFrom="column">
                  <wp:posOffset>2569845</wp:posOffset>
                </wp:positionH>
                <wp:positionV relativeFrom="paragraph">
                  <wp:posOffset>5377180</wp:posOffset>
                </wp:positionV>
                <wp:extent cx="4391025" cy="381000"/>
                <wp:effectExtent l="0" t="0" r="0" b="0"/>
                <wp:wrapNone/>
                <wp:docPr id="376" name="文本框 376"/>
                <wp:cNvGraphicFramePr/>
                <a:graphic xmlns:a="http://schemas.openxmlformats.org/drawingml/2006/main">
                  <a:graphicData uri="http://schemas.microsoft.com/office/word/2010/wordprocessingShape">
                    <wps:wsp>
                      <wps:cNvSpPr txBox="1"/>
                      <wps:spPr>
                        <a:xfrm>
                          <a:off x="0" y="0"/>
                          <a:ext cx="439102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4B03AA">
                            <w:pPr>
                              <w:jc w:val="center"/>
                              <w:rPr>
                                <w:rFonts w:hint="default" w:eastAsia="宋体"/>
                                <w:b/>
                                <w:bCs/>
                                <w:sz w:val="30"/>
                                <w:szCs w:val="30"/>
                                <w:lang w:val="en-US" w:eastAsia="zh-CN"/>
                              </w:rPr>
                            </w:pPr>
                            <w:r>
                              <w:rPr>
                                <w:rFonts w:hint="eastAsia"/>
                                <w:b/>
                                <w:bCs/>
                                <w:sz w:val="30"/>
                                <w:szCs w:val="30"/>
                                <w:lang w:eastAsia="zh-CN"/>
                              </w:rPr>
                              <w:t>附图六</w:t>
                            </w:r>
                            <w:r>
                              <w:rPr>
                                <w:rFonts w:hint="eastAsia"/>
                                <w:b/>
                                <w:bCs/>
                                <w:sz w:val="30"/>
                                <w:szCs w:val="30"/>
                                <w:lang w:val="en-US" w:eastAsia="zh-CN"/>
                              </w:rPr>
                              <w:t xml:space="preserve">  项目厂区总平面布置图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2.35pt;margin-top:423.4pt;height:30pt;width:345.75pt;z-index:251906048;mso-width-relative:page;mso-height-relative:page;" filled="f" stroked="f" coordsize="21600,21600" o:gfxdata="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OcKtttwAAAAMAQAADwAAAAAAAAABACAAAAAi&#10;AAAAZHJzL2Rvd25yZXYueG1sUEsBAhQAFAAAAAgAh07iQCuFVhc/AgAAagQAAA4AAAAAAAAAAQAg&#10;AAAAKwEAAGRycy9lMm9Eb2MueG1sUEsFBgAAAAAGAAYAWQEAANwFAAAAAA==&#10;">
                <v:fill on="f" focussize="0,0"/>
                <v:stroke on="f" weight="0.5pt"/>
                <v:imagedata o:title=""/>
                <o:lock v:ext="edit" aspectratio="f"/>
                <v:textbox>
                  <w:txbxContent>
                    <w:p w14:paraId="594B03AA">
                      <w:pPr>
                        <w:jc w:val="center"/>
                        <w:rPr>
                          <w:rFonts w:hint="default" w:eastAsia="宋体"/>
                          <w:b/>
                          <w:bCs/>
                          <w:sz w:val="30"/>
                          <w:szCs w:val="30"/>
                          <w:lang w:val="en-US" w:eastAsia="zh-CN"/>
                        </w:rPr>
                      </w:pPr>
                      <w:r>
                        <w:rPr>
                          <w:rFonts w:hint="eastAsia"/>
                          <w:b/>
                          <w:bCs/>
                          <w:sz w:val="30"/>
                          <w:szCs w:val="30"/>
                          <w:lang w:eastAsia="zh-CN"/>
                        </w:rPr>
                        <w:t>附图六</w:t>
                      </w:r>
                      <w:r>
                        <w:rPr>
                          <w:rFonts w:hint="eastAsia"/>
                          <w:b/>
                          <w:bCs/>
                          <w:sz w:val="30"/>
                          <w:szCs w:val="30"/>
                          <w:lang w:val="en-US" w:eastAsia="zh-CN"/>
                        </w:rPr>
                        <w:t xml:space="preserve">  项目厂区总平面布置图</w:t>
                      </w:r>
                    </w:p>
                  </w:txbxContent>
                </v:textbox>
              </v:shape>
            </w:pict>
          </mc:Fallback>
        </mc:AlternateContent>
      </w:r>
      <w:r>
        <w:rPr>
          <w:color w:val="auto"/>
          <w:sz w:val="21"/>
        </w:rPr>
        <mc:AlternateContent>
          <mc:Choice Requires="wpg">
            <w:drawing>
              <wp:anchor distT="0" distB="0" distL="114300" distR="114300" simplePos="0" relativeHeight="251908096" behindDoc="0" locked="0" layoutInCell="1" allowOverlap="1">
                <wp:simplePos x="0" y="0"/>
                <wp:positionH relativeFrom="column">
                  <wp:posOffset>133985</wp:posOffset>
                </wp:positionH>
                <wp:positionV relativeFrom="paragraph">
                  <wp:posOffset>4693920</wp:posOffset>
                </wp:positionV>
                <wp:extent cx="1628140" cy="657225"/>
                <wp:effectExtent l="4445" t="4445" r="5715" b="5080"/>
                <wp:wrapNone/>
                <wp:docPr id="372" name="组合 372"/>
                <wp:cNvGraphicFramePr/>
                <a:graphic xmlns:a="http://schemas.openxmlformats.org/drawingml/2006/main">
                  <a:graphicData uri="http://schemas.microsoft.com/office/word/2010/wordprocessingGroup">
                    <wpg:wgp>
                      <wpg:cNvGrpSpPr/>
                      <wpg:grpSpPr>
                        <a:xfrm>
                          <a:off x="0" y="0"/>
                          <a:ext cx="1628140" cy="657225"/>
                          <a:chOff x="3426" y="524682"/>
                          <a:chExt cx="2564" cy="1035"/>
                        </a:xfrm>
                      </wpg:grpSpPr>
                      <wps:wsp>
                        <wps:cNvPr id="373" name="文本框 324"/>
                        <wps:cNvSpPr txBox="1"/>
                        <wps:spPr>
                          <a:xfrm>
                            <a:off x="3426" y="524682"/>
                            <a:ext cx="2564" cy="10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B5A278C">
                              <w:pPr>
                                <w:spacing w:line="360" w:lineRule="auto"/>
                                <w:rPr>
                                  <w:rFonts w:hint="eastAsia"/>
                                  <w:lang w:val="en-US" w:eastAsia="zh-CN"/>
                                </w:rPr>
                              </w:pPr>
                              <w:r>
                                <w:rPr>
                                  <w:rFonts w:hint="eastAsia"/>
                                  <w:lang w:val="en-US" w:eastAsia="zh-CN"/>
                                </w:rPr>
                                <w:t>图例</w:t>
                              </w:r>
                            </w:p>
                            <w:p w14:paraId="02B820E2">
                              <w:pPr>
                                <w:pStyle w:val="45"/>
                                <w:spacing w:line="360" w:lineRule="auto"/>
                                <w:ind w:firstLine="420" w:firstLineChars="200"/>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项目边界</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5" name="矩形 326"/>
                        <wps:cNvSpPr/>
                        <wps:spPr>
                          <a:xfrm>
                            <a:off x="3630" y="525200"/>
                            <a:ext cx="255" cy="19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0.55pt;margin-top:369.6pt;height:51.75pt;width:128.2pt;z-index:251908096;mso-width-relative:page;mso-height-relative:page;" coordorigin="3426,524682" coordsize="2564,1035" o:gfxdata="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">
                <o:lock v:ext="edit" aspectratio="f"/>
                <v:shape id="文本框 324" o:spid="_x0000_s1026" o:spt="202" type="#_x0000_t202" style="position:absolute;left:3426;top:524682;height:1035;width:2564;" fillcolor="#C7EDCC [3201]" filled="t" stroked="t" coordsize="21600,21600" o:gfxdata="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n9C/O/&#10;AAAA3AAAAA8AAAAAAAAAAQAgAAAAIgAAAGRycy9kb3ducmV2LnhtbFBLAQIUABQAAAAIAIdO4kAz&#10;LwWeOwAAADkAAAAQAAAAAAAAAAEAIAAAAA4BAABkcnMvc2hhcGV4bWwueG1sUEsFBgAAAAAGAAYA&#10;WwEAALgDAAAAAA==&#10;">
                  <v:fill on="t" focussize="0,0"/>
                  <v:stroke weight="0.5pt" color="#000000 [3204]" joinstyle="round"/>
                  <v:imagedata o:title=""/>
                  <o:lock v:ext="edit" aspectratio="f"/>
                  <v:textbox>
                    <w:txbxContent>
                      <w:p w14:paraId="1B5A278C">
                        <w:pPr>
                          <w:spacing w:line="360" w:lineRule="auto"/>
                          <w:rPr>
                            <w:rFonts w:hint="eastAsia"/>
                            <w:lang w:val="en-US" w:eastAsia="zh-CN"/>
                          </w:rPr>
                        </w:pPr>
                        <w:r>
                          <w:rPr>
                            <w:rFonts w:hint="eastAsia"/>
                            <w:lang w:val="en-US" w:eastAsia="zh-CN"/>
                          </w:rPr>
                          <w:t>图例</w:t>
                        </w:r>
                      </w:p>
                      <w:p w14:paraId="02B820E2">
                        <w:pPr>
                          <w:pStyle w:val="45"/>
                          <w:spacing w:line="360" w:lineRule="auto"/>
                          <w:ind w:firstLine="420" w:firstLineChars="200"/>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项目边界</w:t>
                        </w:r>
                      </w:p>
                    </w:txbxContent>
                  </v:textbox>
                </v:shape>
                <v:rect id="矩形 326" o:spid="_x0000_s1026" o:spt="1" style="position:absolute;left:3630;top:525200;height:195;width:255;v-text-anchor:middle;" filled="f" stroked="t" coordsize="21600,21600" o:gfxdata="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8bxxa/&#10;AAAA3AAAAA8AAAAAAAAAAQAgAAAAIgAAAGRycy9kb3ducmV2LnhtbFBLAQIUABQAAAAIAIdO4kAz&#10;LwWeOwAAADkAAAAQAAAAAAAAAAEAIAAAAA4BAABkcnMvc2hhcGV4bWwueG1sUEsFBgAAAAAGAAYA&#10;WwEAALgDAAAAAA==&#10;">
                  <v:fill on="f" focussize="0,0"/>
                  <v:stroke weight="2pt" color="#FF0000 [2404]" joinstyle="round"/>
                  <v:imagedata o:title=""/>
                  <o:lock v:ext="edit" aspectratio="f"/>
                </v:rect>
              </v:group>
            </w:pict>
          </mc:Fallback>
        </mc:AlternateContent>
      </w:r>
    </w:p>
    <w:p w14:paraId="37CA36DE">
      <w:pPr>
        <w:rPr>
          <w:rFonts w:hint="eastAsia"/>
          <w:lang w:eastAsia="zh-CN"/>
        </w:rPr>
      </w:pPr>
      <w:r>
        <w:rPr>
          <w:sz w:val="21"/>
        </w:rPr>
        <mc:AlternateContent>
          <mc:Choice Requires="wps">
            <w:drawing>
              <wp:anchor distT="0" distB="0" distL="114300" distR="114300" simplePos="0" relativeHeight="251923456" behindDoc="0" locked="0" layoutInCell="1" allowOverlap="1">
                <wp:simplePos x="0" y="0"/>
                <wp:positionH relativeFrom="column">
                  <wp:posOffset>4439285</wp:posOffset>
                </wp:positionH>
                <wp:positionV relativeFrom="paragraph">
                  <wp:posOffset>-182245</wp:posOffset>
                </wp:positionV>
                <wp:extent cx="343535" cy="286385"/>
                <wp:effectExtent l="0" t="0" r="0" b="0"/>
                <wp:wrapNone/>
                <wp:docPr id="429"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2216CE">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49.55pt;margin-top:-14.35pt;height:22.55pt;width:27.05pt;z-index:251923456;mso-width-relative:page;mso-height-relative:page;" filled="f" stroked="f" coordsize="21600,21600" o:gfxdata="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e/+y9twAAAAKAQAADwAAAAAAAAABACAAAAAi&#10;AAAAZHJzL2Rvd25yZXYueG1sUEsBAhQAFAAAAAgAh07iQIQeeRI/AgAAaQQAAA4AAAAAAAAAAQAg&#10;AAAAKwEAAGRycy9lMm9Eb2MueG1sUEsFBgAAAAAGAAYAWQEAANwFAAAAAA==&#10;">
                <v:fill on="f" focussize="0,0"/>
                <v:stroke on="f" weight="0.5pt"/>
                <v:imagedata o:title=""/>
                <o:lock v:ext="edit" aspectratio="f"/>
                <v:textbox>
                  <w:txbxContent>
                    <w:p w14:paraId="3A2216CE">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12192" behindDoc="0" locked="0" layoutInCell="1" allowOverlap="1">
                <wp:simplePos x="0" y="0"/>
                <wp:positionH relativeFrom="column">
                  <wp:posOffset>4239260</wp:posOffset>
                </wp:positionH>
                <wp:positionV relativeFrom="paragraph">
                  <wp:posOffset>-106045</wp:posOffset>
                </wp:positionV>
                <wp:extent cx="343535" cy="286385"/>
                <wp:effectExtent l="0" t="0" r="0" b="0"/>
                <wp:wrapNone/>
                <wp:docPr id="403"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1A4A96">
                            <w:pPr>
                              <w:pStyle w:val="45"/>
                              <w:spacing w:line="360" w:lineRule="auto"/>
                              <w:jc w:val="both"/>
                              <w:rPr>
                                <w:rFonts w:hint="default" w:ascii="Times New Roman" w:hAnsi="Times New Roman" w:eastAsia="宋体" w:cs="Times New Roman"/>
                                <w:b/>
                                <w:bCs/>
                                <w:lang w:val="en-US" w:eastAsia="zh-CN"/>
                              </w:rPr>
                            </w:pPr>
                            <w:r>
                              <w:rPr>
                                <w:rFonts w:hint="eastAsia" w:ascii="宋体" w:hAnsi="宋体" w:eastAsia="宋体" w:cs="宋体"/>
                                <w:b/>
                                <w:bCs/>
                                <w:color w:val="FF0000"/>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33.8pt;margin-top:-8.35pt;height:22.55pt;width:27.05pt;z-index:251912192;mso-width-relative:page;mso-height-relative:page;" filled="f" stroked="f" coordsize="21600,21600" o:gfxdata="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JdRjjbAAAACgEAAA8AAAAAAAAAAQAgAAAAIgAA&#10;AGRycy9kb3ducmV2LnhtbFBLAQIUABQAAAAIAIdO4kBWPc9uPgIAAGkEAAAOAAAAAAAAAAEAIAAA&#10;ACoBAABkcnMvZTJvRG9jLnhtbFBLBQYAAAAABgAGAFkBAADaBQAAAAA=&#10;">
                <v:fill on="f" focussize="0,0"/>
                <v:stroke on="f" weight="0.5pt"/>
                <v:imagedata o:title=""/>
                <o:lock v:ext="edit" aspectratio="f"/>
                <v:textbox>
                  <w:txbxContent>
                    <w:p w14:paraId="1A1A4A96">
                      <w:pPr>
                        <w:pStyle w:val="45"/>
                        <w:spacing w:line="360" w:lineRule="auto"/>
                        <w:jc w:val="both"/>
                        <w:rPr>
                          <w:rFonts w:hint="default" w:ascii="Times New Roman" w:hAnsi="Times New Roman" w:eastAsia="宋体" w:cs="Times New Roman"/>
                          <w:b/>
                          <w:bCs/>
                          <w:lang w:val="en-US" w:eastAsia="zh-CN"/>
                        </w:rPr>
                      </w:pPr>
                      <w:r>
                        <w:rPr>
                          <w:rFonts w:hint="eastAsia" w:ascii="宋体" w:hAnsi="宋体" w:eastAsia="宋体" w:cs="宋体"/>
                          <w:b/>
                          <w:bCs/>
                          <w:color w:val="FF0000"/>
                          <w:lang w:val="en-US" w:eastAsia="zh-CN"/>
                        </w:rPr>
                        <w:t>○</w:t>
                      </w:r>
                    </w:p>
                  </w:txbxContent>
                </v:textbox>
              </v:shape>
            </w:pict>
          </mc:Fallback>
        </mc:AlternateContent>
      </w:r>
      <w:r>
        <w:drawing>
          <wp:anchor distT="0" distB="0" distL="114300" distR="114300" simplePos="0" relativeHeight="251909120" behindDoc="0" locked="0" layoutInCell="1" allowOverlap="1">
            <wp:simplePos x="0" y="0"/>
            <wp:positionH relativeFrom="column">
              <wp:posOffset>504825</wp:posOffset>
            </wp:positionH>
            <wp:positionV relativeFrom="paragraph">
              <wp:posOffset>-385445</wp:posOffset>
            </wp:positionV>
            <wp:extent cx="7976870" cy="5840730"/>
            <wp:effectExtent l="57150" t="57150" r="62230" b="64770"/>
            <wp:wrapNone/>
            <wp:docPr id="38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18"/>
                    <pic:cNvPicPr>
                      <a:picLocks noChangeAspect="1"/>
                    </pic:cNvPicPr>
                  </pic:nvPicPr>
                  <pic:blipFill>
                    <a:blip r:embed="rId100"/>
                    <a:stretch>
                      <a:fillRect/>
                    </a:stretch>
                  </pic:blipFill>
                  <pic:spPr>
                    <a:xfrm>
                      <a:off x="0" y="0"/>
                      <a:ext cx="7976870" cy="5840730"/>
                    </a:xfrm>
                    <a:prstGeom prst="rect">
                      <a:avLst/>
                    </a:prstGeom>
                    <a:noFill/>
                    <a:ln w="57150" cmpd="thickThin">
                      <a:solidFill>
                        <a:schemeClr val="tx1"/>
                      </a:solidFill>
                    </a:ln>
                  </pic:spPr>
                </pic:pic>
              </a:graphicData>
            </a:graphic>
          </wp:anchor>
        </w:drawing>
      </w:r>
    </w:p>
    <w:p w14:paraId="4B6671FB">
      <w:pPr>
        <w:rPr>
          <w:rFonts w:hint="eastAsia"/>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r>
        <w:rPr>
          <w:color w:val="auto"/>
          <w:sz w:val="21"/>
        </w:rPr>
        <mc:AlternateContent>
          <mc:Choice Requires="wps">
            <w:drawing>
              <wp:anchor distT="0" distB="0" distL="114300" distR="114300" simplePos="0" relativeHeight="251925504" behindDoc="0" locked="0" layoutInCell="1" allowOverlap="1">
                <wp:simplePos x="0" y="0"/>
                <wp:positionH relativeFrom="column">
                  <wp:posOffset>2407920</wp:posOffset>
                </wp:positionH>
                <wp:positionV relativeFrom="paragraph">
                  <wp:posOffset>5285740</wp:posOffset>
                </wp:positionV>
                <wp:extent cx="4391025" cy="381000"/>
                <wp:effectExtent l="0" t="0" r="0" b="0"/>
                <wp:wrapNone/>
                <wp:docPr id="451" name="文本框 451"/>
                <wp:cNvGraphicFramePr/>
                <a:graphic xmlns:a="http://schemas.openxmlformats.org/drawingml/2006/main">
                  <a:graphicData uri="http://schemas.microsoft.com/office/word/2010/wordprocessingShape">
                    <wps:wsp>
                      <wps:cNvSpPr txBox="1"/>
                      <wps:spPr>
                        <a:xfrm>
                          <a:off x="0" y="0"/>
                          <a:ext cx="439102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19A5B9">
                            <w:pPr>
                              <w:jc w:val="center"/>
                              <w:rPr>
                                <w:rFonts w:hint="default" w:eastAsia="宋体"/>
                                <w:b/>
                                <w:bCs/>
                                <w:sz w:val="30"/>
                                <w:szCs w:val="30"/>
                                <w:lang w:val="en-US" w:eastAsia="zh-CN"/>
                              </w:rPr>
                            </w:pPr>
                            <w:r>
                              <w:rPr>
                                <w:rFonts w:hint="eastAsia"/>
                                <w:b/>
                                <w:bCs/>
                                <w:sz w:val="30"/>
                                <w:szCs w:val="30"/>
                                <w:lang w:eastAsia="zh-CN"/>
                              </w:rPr>
                              <w:t>附图七</w:t>
                            </w:r>
                            <w:r>
                              <w:rPr>
                                <w:rFonts w:hint="eastAsia"/>
                                <w:b/>
                                <w:bCs/>
                                <w:sz w:val="30"/>
                                <w:szCs w:val="30"/>
                                <w:lang w:val="en-US" w:eastAsia="zh-CN"/>
                              </w:rPr>
                              <w:t xml:space="preserve">  项目环境质量现状监测点位图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9.6pt;margin-top:416.2pt;height:30pt;width:345.75pt;z-index:251925504;mso-width-relative:page;mso-height-relative:page;" filled="f" stroked="f" coordsize="21600,21600" o:gfxdata="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khl8v9wAAAAMAQAADwAAAAAAAAABACAAAAAi&#10;AAAAZHJzL2Rvd25yZXYueG1sUEsBAhQAFAAAAAgAh07iQHyHEM0/AgAAagQAAA4AAAAAAAAAAQAg&#10;AAAAKwEAAGRycy9lMm9Eb2MueG1sUEsFBgAAAAAGAAYAWQEAANwFAAAAAA==&#10;">
                <v:fill on="f" focussize="0,0"/>
                <v:stroke on="f" weight="0.5pt"/>
                <v:imagedata o:title=""/>
                <o:lock v:ext="edit" aspectratio="f"/>
                <v:textbox>
                  <w:txbxContent>
                    <w:p w14:paraId="0F19A5B9">
                      <w:pPr>
                        <w:jc w:val="center"/>
                        <w:rPr>
                          <w:rFonts w:hint="default" w:eastAsia="宋体"/>
                          <w:b/>
                          <w:bCs/>
                          <w:sz w:val="30"/>
                          <w:szCs w:val="30"/>
                          <w:lang w:val="en-US" w:eastAsia="zh-CN"/>
                        </w:rPr>
                      </w:pPr>
                      <w:r>
                        <w:rPr>
                          <w:rFonts w:hint="eastAsia"/>
                          <w:b/>
                          <w:bCs/>
                          <w:sz w:val="30"/>
                          <w:szCs w:val="30"/>
                          <w:lang w:eastAsia="zh-CN"/>
                        </w:rPr>
                        <w:t>附图七</w:t>
                      </w:r>
                      <w:r>
                        <w:rPr>
                          <w:rFonts w:hint="eastAsia"/>
                          <w:b/>
                          <w:bCs/>
                          <w:sz w:val="30"/>
                          <w:szCs w:val="30"/>
                          <w:lang w:val="en-US" w:eastAsia="zh-CN"/>
                        </w:rPr>
                        <w:t xml:space="preserve">  项目环境质量现状监测点位图</w:t>
                      </w:r>
                    </w:p>
                  </w:txbxContent>
                </v:textbox>
              </v:shape>
            </w:pict>
          </mc:Fallback>
        </mc:AlternateContent>
      </w:r>
      <w:r>
        <w:rPr>
          <w:sz w:val="21"/>
        </w:rPr>
        <mc:AlternateContent>
          <mc:Choice Requires="wps">
            <w:drawing>
              <wp:anchor distT="0" distB="0" distL="114300" distR="114300" simplePos="0" relativeHeight="251920384" behindDoc="0" locked="0" layoutInCell="1" allowOverlap="1">
                <wp:simplePos x="0" y="0"/>
                <wp:positionH relativeFrom="column">
                  <wp:posOffset>3572510</wp:posOffset>
                </wp:positionH>
                <wp:positionV relativeFrom="paragraph">
                  <wp:posOffset>3589020</wp:posOffset>
                </wp:positionV>
                <wp:extent cx="343535" cy="286385"/>
                <wp:effectExtent l="0" t="0" r="0" b="0"/>
                <wp:wrapNone/>
                <wp:docPr id="417"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1137B0">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281.3pt;margin-top:282.6pt;height:22.55pt;width:27.05pt;z-index:251920384;mso-width-relative:page;mso-height-relative:page;" filled="f" stroked="f" coordsize="21600,21600" o:gfxdata="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vlcTzaAAAACwEAAA8AAAAAAAAAAQAgAAAAIgAA&#10;AGRycy9kb3ducmV2LnhtbFBLAQIUABQAAAAIAIdO4kDkDKC0PwIAAGkEAAAOAAAAAAAAAAEAIAAA&#10;ACkBAABkcnMvZTJvRG9jLnhtbFBLBQYAAAAABgAGAFkBAADaBQAAAAA=&#10;">
                <v:fill on="f" focussize="0,0"/>
                <v:stroke on="f" weight="0.5pt"/>
                <v:imagedata o:title=""/>
                <o:lock v:ext="edit" aspectratio="f"/>
                <v:textbox>
                  <w:txbxContent>
                    <w:p w14:paraId="271137B0">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24480" behindDoc="0" locked="0" layoutInCell="1" allowOverlap="1">
                <wp:simplePos x="0" y="0"/>
                <wp:positionH relativeFrom="column">
                  <wp:posOffset>3953510</wp:posOffset>
                </wp:positionH>
                <wp:positionV relativeFrom="paragraph">
                  <wp:posOffset>2217420</wp:posOffset>
                </wp:positionV>
                <wp:extent cx="343535" cy="286385"/>
                <wp:effectExtent l="0" t="0" r="0" b="0"/>
                <wp:wrapNone/>
                <wp:docPr id="442"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70C849">
                            <w:pPr>
                              <w:rPr>
                                <w:rFonts w:hint="default"/>
                                <w:lang w:val="en-US" w:eastAsia="zh-CN"/>
                              </w:rPr>
                            </w:pPr>
                            <w:r>
                              <w:rPr>
                                <w:rFonts w:hint="eastAsia" w:ascii="Times New Roman" w:hAnsi="Times New Roman" w:eastAsia="宋体" w:cs="Times New Roman"/>
                                <w:lang w:val="en-US" w:eastAsia="zh-CN"/>
                              </w:rPr>
                              <w:sym w:font="Wingdings" w:char="00A8"/>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11.3pt;margin-top:174.6pt;height:22.55pt;width:27.05pt;z-index:251924480;mso-width-relative:page;mso-height-relative:page;" filled="f" stroked="f" coordsize="21600,21600" o:gfxdata="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Dw9BDdwAAAALAQAADwAAAAAAAAABACAAAAAi&#10;AAAAZHJzL2Rvd25yZXYueG1sUEsBAhQAFAAAAAgAh07iQP/gb80/AgAAaQQAAA4AAAAAAAAAAQAg&#10;AAAAKwEAAGRycy9lMm9Eb2MueG1sUEsFBgAAAAAGAAYAWQEAANwFAAAAAA==&#10;">
                <v:fill on="f" focussize="0,0"/>
                <v:stroke on="f" weight="0.5pt"/>
                <v:imagedata o:title=""/>
                <o:lock v:ext="edit" aspectratio="f"/>
                <v:textbox>
                  <w:txbxContent>
                    <w:p w14:paraId="7F70C849">
                      <w:pPr>
                        <w:rPr>
                          <w:rFonts w:hint="default"/>
                          <w:lang w:val="en-US" w:eastAsia="zh-CN"/>
                        </w:rPr>
                      </w:pPr>
                      <w:r>
                        <w:rPr>
                          <w:rFonts w:hint="eastAsia" w:ascii="Times New Roman" w:hAnsi="Times New Roman" w:eastAsia="宋体" w:cs="Times New Roman"/>
                          <w:lang w:val="en-US" w:eastAsia="zh-CN"/>
                        </w:rPr>
                        <w:sym w:font="Wingdings" w:char="00A8"/>
                      </w:r>
                    </w:p>
                  </w:txbxContent>
                </v:textbox>
              </v:shape>
            </w:pict>
          </mc:Fallback>
        </mc:AlternateContent>
      </w:r>
      <w:r>
        <w:rPr>
          <w:sz w:val="21"/>
        </w:rPr>
        <mc:AlternateContent>
          <mc:Choice Requires="wps">
            <w:drawing>
              <wp:anchor distT="0" distB="0" distL="114300" distR="114300" simplePos="0" relativeHeight="251927552" behindDoc="0" locked="0" layoutInCell="1" allowOverlap="1">
                <wp:simplePos x="0" y="0"/>
                <wp:positionH relativeFrom="column">
                  <wp:posOffset>3982085</wp:posOffset>
                </wp:positionH>
                <wp:positionV relativeFrom="paragraph">
                  <wp:posOffset>2569845</wp:posOffset>
                </wp:positionV>
                <wp:extent cx="343535" cy="286385"/>
                <wp:effectExtent l="0" t="0" r="0" b="0"/>
                <wp:wrapNone/>
                <wp:docPr id="441"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3134C3">
                            <w:pPr>
                              <w:rPr>
                                <w:rFonts w:hint="default"/>
                                <w:lang w:val="en-US" w:eastAsia="zh-CN"/>
                              </w:rPr>
                            </w:pPr>
                            <w:r>
                              <w:rPr>
                                <w:rFonts w:hint="eastAsia" w:ascii="Times New Roman" w:hAnsi="Times New Roman" w:eastAsia="宋体" w:cs="Times New Roman"/>
                                <w:lang w:val="en-US" w:eastAsia="zh-CN"/>
                              </w:rPr>
                              <w:sym w:font="Wingdings" w:char="00A8"/>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13.55pt;margin-top:202.35pt;height:22.55pt;width:27.05pt;z-index:251927552;mso-width-relative:page;mso-height-relative:page;" filled="f" stroked="f" coordsize="21600,21600" o:gfxdata="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VEcyD3AAAAAsBAAAPAAAAAAAAAAEAIAAAACIA&#10;AABkcnMvZG93bnJldi54bWxQSwECFAAUAAAACACHTuJAU4ZCOj4CAABpBAAADgAAAAAAAAABACAA&#10;AAArAQAAZHJzL2Uyb0RvYy54bWxQSwUGAAAAAAYABgBZAQAA2wUAAAAA&#10;">
                <v:fill on="f" focussize="0,0"/>
                <v:stroke on="f" weight="0.5pt"/>
                <v:imagedata o:title=""/>
                <o:lock v:ext="edit" aspectratio="f"/>
                <v:textbox>
                  <w:txbxContent>
                    <w:p w14:paraId="7E3134C3">
                      <w:pPr>
                        <w:rPr>
                          <w:rFonts w:hint="default"/>
                          <w:lang w:val="en-US" w:eastAsia="zh-CN"/>
                        </w:rPr>
                      </w:pPr>
                      <w:r>
                        <w:rPr>
                          <w:rFonts w:hint="eastAsia" w:ascii="Times New Roman" w:hAnsi="Times New Roman" w:eastAsia="宋体" w:cs="Times New Roman"/>
                          <w:lang w:val="en-US" w:eastAsia="zh-CN"/>
                        </w:rPr>
                        <w:sym w:font="Wingdings" w:char="00A8"/>
                      </w:r>
                    </w:p>
                  </w:txbxContent>
                </v:textbox>
              </v:shape>
            </w:pict>
          </mc:Fallback>
        </mc:AlternateContent>
      </w:r>
      <w:r>
        <w:rPr>
          <w:sz w:val="21"/>
        </w:rPr>
        <mc:AlternateContent>
          <mc:Choice Requires="wps">
            <w:drawing>
              <wp:anchor distT="0" distB="0" distL="114300" distR="114300" simplePos="0" relativeHeight="251913216" behindDoc="0" locked="0" layoutInCell="1" allowOverlap="1">
                <wp:simplePos x="0" y="0"/>
                <wp:positionH relativeFrom="column">
                  <wp:posOffset>3734435</wp:posOffset>
                </wp:positionH>
                <wp:positionV relativeFrom="paragraph">
                  <wp:posOffset>2207895</wp:posOffset>
                </wp:positionV>
                <wp:extent cx="343535" cy="286385"/>
                <wp:effectExtent l="0" t="0" r="0" b="0"/>
                <wp:wrapNone/>
                <wp:docPr id="402"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FFEBF4">
                            <w:pPr>
                              <w:pStyle w:val="45"/>
                              <w:spacing w:line="360" w:lineRule="auto"/>
                              <w:jc w:val="both"/>
                              <w:rPr>
                                <w:rFonts w:hint="default" w:ascii="Times New Roman" w:hAnsi="Times New Roman" w:eastAsia="宋体" w:cs="Times New Roman"/>
                                <w:b/>
                                <w:bCs/>
                                <w:lang w:val="en-US" w:eastAsia="zh-CN"/>
                              </w:rPr>
                            </w:pPr>
                            <w:r>
                              <w:rPr>
                                <w:rFonts w:hint="eastAsia" w:ascii="宋体" w:hAnsi="宋体" w:eastAsia="宋体" w:cs="宋体"/>
                                <w:b/>
                                <w:bCs/>
                                <w:color w:val="FF0000"/>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294.05pt;margin-top:173.85pt;height:22.55pt;width:27.05pt;z-index:251913216;mso-width-relative:page;mso-height-relative:page;" filled="f" stroked="f" coordsize="21600,21600" o:gfxdata="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bt/t53AAAAAsBAAAPAAAAAAAAAAEAIAAAACIA&#10;AABkcnMvZG93bnJldi54bWxQSwECFAAUAAAACACHTuJADR37ij4CAABpBAAADgAAAAAAAAABACAA&#10;AAArAQAAZHJzL2Uyb0RvYy54bWxQSwUGAAAAAAYABgBZAQAA2wUAAAAA&#10;">
                <v:fill on="f" focussize="0,0"/>
                <v:stroke on="f" weight="0.5pt"/>
                <v:imagedata o:title=""/>
                <o:lock v:ext="edit" aspectratio="f"/>
                <v:textbox>
                  <w:txbxContent>
                    <w:p w14:paraId="6CFFEBF4">
                      <w:pPr>
                        <w:pStyle w:val="45"/>
                        <w:spacing w:line="360" w:lineRule="auto"/>
                        <w:jc w:val="both"/>
                        <w:rPr>
                          <w:rFonts w:hint="default" w:ascii="Times New Roman" w:hAnsi="Times New Roman" w:eastAsia="宋体" w:cs="Times New Roman"/>
                          <w:b/>
                          <w:bCs/>
                          <w:lang w:val="en-US" w:eastAsia="zh-CN"/>
                        </w:rPr>
                      </w:pPr>
                      <w:r>
                        <w:rPr>
                          <w:rFonts w:hint="eastAsia" w:ascii="宋体" w:hAnsi="宋体" w:eastAsia="宋体" w:cs="宋体"/>
                          <w:b/>
                          <w:bCs/>
                          <w:color w:val="FF0000"/>
                          <w:lang w:val="en-US" w:eastAsia="zh-CN"/>
                        </w:rPr>
                        <w:t>○</w:t>
                      </w:r>
                    </w:p>
                  </w:txbxContent>
                </v:textbox>
              </v:shape>
            </w:pict>
          </mc:Fallback>
        </mc:AlternateContent>
      </w:r>
      <w:r>
        <w:rPr>
          <w:sz w:val="21"/>
        </w:rPr>
        <mc:AlternateContent>
          <mc:Choice Requires="wps">
            <w:drawing>
              <wp:anchor distT="0" distB="0" distL="114300" distR="114300" simplePos="0" relativeHeight="251914240" behindDoc="0" locked="0" layoutInCell="1" allowOverlap="1">
                <wp:simplePos x="0" y="0"/>
                <wp:positionH relativeFrom="column">
                  <wp:posOffset>3982085</wp:posOffset>
                </wp:positionH>
                <wp:positionV relativeFrom="paragraph">
                  <wp:posOffset>2398395</wp:posOffset>
                </wp:positionV>
                <wp:extent cx="343535" cy="286385"/>
                <wp:effectExtent l="0" t="0" r="0" b="0"/>
                <wp:wrapNone/>
                <wp:docPr id="408"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B83974">
                            <w:pPr>
                              <w:rPr>
                                <w:rFonts w:hint="default"/>
                                <w:lang w:val="en-US" w:eastAsia="zh-CN"/>
                              </w:rPr>
                            </w:pPr>
                            <w:r>
                              <w:rPr>
                                <w:rFonts w:hint="eastAsia" w:ascii="Times New Roman" w:hAnsi="Times New Roman" w:eastAsia="宋体" w:cs="Times New Roman"/>
                                <w:lang w:val="en-US" w:eastAsia="zh-CN"/>
                              </w:rPr>
                              <w:sym w:font="Wingdings" w:char="00A8"/>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13.55pt;margin-top:188.85pt;height:22.55pt;width:27.05pt;z-index:251914240;mso-width-relative:page;mso-height-relative:page;" filled="f" stroked="f" coordsize="21600,21600" o:gfxdata="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FSJjC3AAAAAsBAAAPAAAAAAAAAAEAIAAAACIA&#10;AABkcnMvZG93bnJldi54bWxQSwECFAAUAAAACACHTuJAJkCH1T4CAABpBAAADgAAAAAAAAABACAA&#10;AAArAQAAZHJzL2Uyb0RvYy54bWxQSwUGAAAAAAYABgBZAQAA2wUAAAAA&#10;">
                <v:fill on="f" focussize="0,0"/>
                <v:stroke on="f" weight="0.5pt"/>
                <v:imagedata o:title=""/>
                <o:lock v:ext="edit" aspectratio="f"/>
                <v:textbox>
                  <w:txbxContent>
                    <w:p w14:paraId="13B83974">
                      <w:pPr>
                        <w:rPr>
                          <w:rFonts w:hint="default"/>
                          <w:lang w:val="en-US" w:eastAsia="zh-CN"/>
                        </w:rPr>
                      </w:pPr>
                      <w:r>
                        <w:rPr>
                          <w:rFonts w:hint="eastAsia" w:ascii="Times New Roman" w:hAnsi="Times New Roman" w:eastAsia="宋体" w:cs="Times New Roman"/>
                          <w:lang w:val="en-US" w:eastAsia="zh-CN"/>
                        </w:rPr>
                        <w:sym w:font="Wingdings" w:char="00A8"/>
                      </w:r>
                    </w:p>
                  </w:txbxContent>
                </v:textbox>
              </v:shape>
            </w:pict>
          </mc:Fallback>
        </mc:AlternateContent>
      </w:r>
      <w:r>
        <w:rPr>
          <w:sz w:val="21"/>
        </w:rPr>
        <mc:AlternateContent>
          <mc:Choice Requires="wps">
            <w:drawing>
              <wp:anchor distT="0" distB="0" distL="114300" distR="114300" simplePos="0" relativeHeight="251926528" behindDoc="0" locked="0" layoutInCell="1" allowOverlap="1">
                <wp:simplePos x="0" y="0"/>
                <wp:positionH relativeFrom="column">
                  <wp:posOffset>5734685</wp:posOffset>
                </wp:positionH>
                <wp:positionV relativeFrom="paragraph">
                  <wp:posOffset>4255770</wp:posOffset>
                </wp:positionV>
                <wp:extent cx="343535" cy="286385"/>
                <wp:effectExtent l="0" t="0" r="0" b="0"/>
                <wp:wrapNone/>
                <wp:docPr id="437"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5108F1">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451.55pt;margin-top:335.1pt;height:22.55pt;width:27.05pt;z-index:251926528;mso-width-relative:page;mso-height-relative:page;" filled="f" stroked="f" coordsize="21600,21600" o:gfxdata="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ShR0yd0AAAALAQAADwAAAAAAAAABACAAAAAi&#10;AAAAZHJzL2Rvd25yZXYueG1sUEsBAhQAFAAAAAgAh07iQB1yapc+AgAAaQQAAA4AAAAAAAAAAQAg&#10;AAAALAEAAGRycy9lMm9Eb2MueG1sUEsFBgAAAAAGAAYAWQEAANwFAAAAAA==&#10;">
                <v:fill on="f" focussize="0,0"/>
                <v:stroke on="f" weight="0.5pt"/>
                <v:imagedata o:title=""/>
                <o:lock v:ext="edit" aspectratio="f"/>
                <v:textbox>
                  <w:txbxContent>
                    <w:p w14:paraId="435108F1">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22432" behindDoc="0" locked="0" layoutInCell="1" allowOverlap="1">
                <wp:simplePos x="0" y="0"/>
                <wp:positionH relativeFrom="column">
                  <wp:posOffset>2181860</wp:posOffset>
                </wp:positionH>
                <wp:positionV relativeFrom="paragraph">
                  <wp:posOffset>1388745</wp:posOffset>
                </wp:positionV>
                <wp:extent cx="343535" cy="286385"/>
                <wp:effectExtent l="0" t="0" r="0" b="0"/>
                <wp:wrapNone/>
                <wp:docPr id="419"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8D5B4A">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171.8pt;margin-top:109.35pt;height:22.55pt;width:27.05pt;z-index:251922432;mso-width-relative:page;mso-height-relative:page;" filled="f" stroked="f" coordsize="21600,21600" o:gfxdata="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m6kGi2wAAAAsBAAAPAAAAAAAAAAEAIAAAACIA&#10;AABkcnMvZG93bnJldi54bWxQSwECFAAUAAAACACHTuJAIdzuzT8CAABpBAAADgAAAAAAAAABACAA&#10;AAAqAQAAZHJzL2Uyb0RvYy54bWxQSwUGAAAAAAYABgBZAQAA2wUAAAAA&#10;">
                <v:fill on="f" focussize="0,0"/>
                <v:stroke on="f" weight="0.5pt"/>
                <v:imagedata o:title=""/>
                <o:lock v:ext="edit" aspectratio="f"/>
                <v:textbox>
                  <w:txbxContent>
                    <w:p w14:paraId="278D5B4A">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21408" behindDoc="0" locked="0" layoutInCell="1" allowOverlap="1">
                <wp:simplePos x="0" y="0"/>
                <wp:positionH relativeFrom="column">
                  <wp:posOffset>6325235</wp:posOffset>
                </wp:positionH>
                <wp:positionV relativeFrom="paragraph">
                  <wp:posOffset>3322320</wp:posOffset>
                </wp:positionV>
                <wp:extent cx="343535" cy="286385"/>
                <wp:effectExtent l="0" t="0" r="0" b="0"/>
                <wp:wrapNone/>
                <wp:docPr id="418"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DF4A32">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498.05pt;margin-top:261.6pt;height:22.55pt;width:27.05pt;z-index:251921408;mso-width-relative:page;mso-height-relative:page;" filled="f" stroked="f" coordsize="21600,21600" o:gfxdata="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rv7erbAAAADAEAAA8AAAAAAAAAAQAgAAAAIgAA&#10;AGRycy9kb3ducmV2LnhtbFBLAQIUABQAAAAIAIdO4kB6/NopPgIAAGkEAAAOAAAAAAAAAAEAIAAA&#10;ACoBAABkcnMvZTJvRG9jLnhtbFBLBQYAAAAABgAGAFkBAADaBQAAAAA=&#10;">
                <v:fill on="f" focussize="0,0"/>
                <v:stroke on="f" weight="0.5pt"/>
                <v:imagedata o:title=""/>
                <o:lock v:ext="edit" aspectratio="f"/>
                <v:textbox>
                  <w:txbxContent>
                    <w:p w14:paraId="46DF4A32">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19360" behindDoc="0" locked="0" layoutInCell="1" allowOverlap="1">
                <wp:simplePos x="0" y="0"/>
                <wp:positionH relativeFrom="column">
                  <wp:posOffset>4172585</wp:posOffset>
                </wp:positionH>
                <wp:positionV relativeFrom="paragraph">
                  <wp:posOffset>2369820</wp:posOffset>
                </wp:positionV>
                <wp:extent cx="343535" cy="286385"/>
                <wp:effectExtent l="0" t="0" r="0" b="0"/>
                <wp:wrapNone/>
                <wp:docPr id="413"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A5D8C2">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28.55pt;margin-top:186.6pt;height:22.55pt;width:27.05pt;z-index:251919360;mso-width-relative:page;mso-height-relative:page;" filled="f" stroked="f" coordsize="21600,21600" o:gfxdata="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T3pNL3AAAAAsBAAAPAAAAAAAAAAEAIAAAACIA&#10;AABkcnMvZG93bnJldi54bWxQSwECFAAUAAAACACHTuJACoGSkj4CAABpBAAADgAAAAAAAAABACAA&#10;AAArAQAAZHJzL2Uyb0RvYy54bWxQSwUGAAAAAAYABgBZAQAA2wUAAAAA&#10;">
                <v:fill on="f" focussize="0,0"/>
                <v:stroke on="f" weight="0.5pt"/>
                <v:imagedata o:title=""/>
                <o:lock v:ext="edit" aspectratio="f"/>
                <v:textbox>
                  <w:txbxContent>
                    <w:p w14:paraId="69A5D8C2">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16288" behindDoc="0" locked="0" layoutInCell="1" allowOverlap="1">
                <wp:simplePos x="0" y="0"/>
                <wp:positionH relativeFrom="column">
                  <wp:posOffset>3515360</wp:posOffset>
                </wp:positionH>
                <wp:positionV relativeFrom="paragraph">
                  <wp:posOffset>2217420</wp:posOffset>
                </wp:positionV>
                <wp:extent cx="343535" cy="286385"/>
                <wp:effectExtent l="0" t="0" r="0" b="0"/>
                <wp:wrapNone/>
                <wp:docPr id="412"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72B6B2">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276.8pt;margin-top:174.6pt;height:22.55pt;width:27.05pt;z-index:251916288;mso-width-relative:page;mso-height-relative:page;" filled="f" stroked="f" coordsize="21600,21600" o:gfxdata="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FoWRSN0AAAALAQAADwAAAAAAAAABACAAAAAi&#10;AAAAZHJzL2Rvd25yZXYueG1sUEsBAhQAFAAAAAgAh07iQFGhpnY+AgAAaQQAAA4AAAAAAAAAAQAg&#10;AAAALAEAAGRycy9lMm9Eb2MueG1sUEsFBgAAAAAGAAYAWQEAANwFAAAAAA==&#10;">
                <v:fill on="f" focussize="0,0"/>
                <v:stroke on="f" weight="0.5pt"/>
                <v:imagedata o:title=""/>
                <o:lock v:ext="edit" aspectratio="f"/>
                <v:textbox>
                  <w:txbxContent>
                    <w:p w14:paraId="3972B6B2">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17312" behindDoc="0" locked="0" layoutInCell="1" allowOverlap="1">
                <wp:simplePos x="0" y="0"/>
                <wp:positionH relativeFrom="column">
                  <wp:posOffset>3858260</wp:posOffset>
                </wp:positionH>
                <wp:positionV relativeFrom="paragraph">
                  <wp:posOffset>2693670</wp:posOffset>
                </wp:positionV>
                <wp:extent cx="343535" cy="286385"/>
                <wp:effectExtent l="0" t="0" r="0" b="0"/>
                <wp:wrapNone/>
                <wp:docPr id="411"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06FD25">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03.8pt;margin-top:212.1pt;height:22.55pt;width:27.05pt;z-index:251917312;mso-width-relative:page;mso-height-relative:page;" filled="f" stroked="f" coordsize="21600,21600" o:gfxdata="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nXbX3AAAAAsBAAAPAAAAAAAAAAEAIAAAACIA&#10;AABkcnMvZG93bnJldi54bWxQSwECFAAUAAAACACHTuJA/ceLgT4CAABpBAAADgAAAAAAAAABACAA&#10;AAArAQAAZHJzL2Uyb0RvYy54bWxQSwUGAAAAAAYABgBZAQAA2wUAAAAA&#10;">
                <v:fill on="f" focussize="0,0"/>
                <v:stroke on="f" weight="0.5pt"/>
                <v:imagedata o:title=""/>
                <o:lock v:ext="edit" aspectratio="f"/>
                <v:textbox>
                  <w:txbxContent>
                    <w:p w14:paraId="7E06FD25">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18336" behindDoc="0" locked="0" layoutInCell="1" allowOverlap="1">
                <wp:simplePos x="0" y="0"/>
                <wp:positionH relativeFrom="column">
                  <wp:posOffset>4334510</wp:posOffset>
                </wp:positionH>
                <wp:positionV relativeFrom="paragraph">
                  <wp:posOffset>2484120</wp:posOffset>
                </wp:positionV>
                <wp:extent cx="343535" cy="286385"/>
                <wp:effectExtent l="0" t="0" r="0" b="0"/>
                <wp:wrapNone/>
                <wp:docPr id="410"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6A640C">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41.3pt;margin-top:195.6pt;height:22.55pt;width:27.05pt;z-index:251918336;mso-width-relative:page;mso-height-relative:page;" filled="f" stroked="f" coordsize="21600,21600" o:gfxdata="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xHP/Q3AAAAAsBAAAPAAAAAAAAAAEAIAAAACIA&#10;AABkcnMvZG93bnJldi54bWxQSwECFAAUAAAACACHTuJApue/ZT4CAABpBAAADgAAAAAAAAABACAA&#10;AAArAQAAZHJzL2Uyb0RvYy54bWxQSwUGAAAAAAYABgBZAQAA2wUAAAAA&#10;">
                <v:fill on="f" focussize="0,0"/>
                <v:stroke on="f" weight="0.5pt"/>
                <v:imagedata o:title=""/>
                <o:lock v:ext="edit" aspectratio="f"/>
                <v:textbox>
                  <w:txbxContent>
                    <w:p w14:paraId="496A640C">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15264" behindDoc="0" locked="0" layoutInCell="1" allowOverlap="1">
                <wp:simplePos x="0" y="0"/>
                <wp:positionH relativeFrom="column">
                  <wp:posOffset>4029710</wp:posOffset>
                </wp:positionH>
                <wp:positionV relativeFrom="paragraph">
                  <wp:posOffset>2112645</wp:posOffset>
                </wp:positionV>
                <wp:extent cx="343535" cy="286385"/>
                <wp:effectExtent l="0" t="0" r="0" b="0"/>
                <wp:wrapNone/>
                <wp:docPr id="409"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3D8061">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17.3pt;margin-top:166.35pt;height:22.55pt;width:27.05pt;z-index:251915264;mso-width-relative:page;mso-height-relative:page;" filled="f" stroked="f" coordsize="21600,21600" o:gfxdata="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XKQve2wAAAAsBAAAPAAAAAAAAAAEAIAAAACIA&#10;AABkcnMvZG93bnJldi54bWxQSwECFAAUAAAACACHTuJAfWCzMT8CAABpBAAADgAAAAAAAAABACAA&#10;AAAqAQAAZHJzL2Uyb0RvYy54bWxQSwUGAAAAAAYABgBZAQAA2wUAAAAA&#10;">
                <v:fill on="f" focussize="0,0"/>
                <v:stroke on="f" weight="0.5pt"/>
                <v:imagedata o:title=""/>
                <o:lock v:ext="edit" aspectratio="f"/>
                <v:textbox>
                  <w:txbxContent>
                    <w:p w14:paraId="093D8061">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11168" behindDoc="0" locked="0" layoutInCell="1" allowOverlap="1">
                <wp:simplePos x="0" y="0"/>
                <wp:positionH relativeFrom="column">
                  <wp:posOffset>476885</wp:posOffset>
                </wp:positionH>
                <wp:positionV relativeFrom="paragraph">
                  <wp:posOffset>3950970</wp:posOffset>
                </wp:positionV>
                <wp:extent cx="1524000" cy="1333500"/>
                <wp:effectExtent l="4445" t="4445" r="14605" b="14605"/>
                <wp:wrapNone/>
                <wp:docPr id="400" name="文本框 324"/>
                <wp:cNvGraphicFramePr/>
                <a:graphic xmlns:a="http://schemas.openxmlformats.org/drawingml/2006/main">
                  <a:graphicData uri="http://schemas.microsoft.com/office/word/2010/wordprocessingShape">
                    <wps:wsp>
                      <wps:cNvSpPr txBox="1"/>
                      <wps:spPr>
                        <a:xfrm>
                          <a:off x="1391285" y="5245100"/>
                          <a:ext cx="1524000" cy="1333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206AF73">
                            <w:pPr>
                              <w:spacing w:line="360" w:lineRule="auto"/>
                              <w:rPr>
                                <w:rFonts w:hint="eastAsia"/>
                                <w:lang w:val="en-US" w:eastAsia="zh-CN"/>
                              </w:rPr>
                            </w:pPr>
                            <w:r>
                              <w:rPr>
                                <w:rFonts w:hint="eastAsia"/>
                                <w:lang w:val="en-US" w:eastAsia="zh-CN"/>
                              </w:rPr>
                              <w:t>图例</w:t>
                            </w:r>
                          </w:p>
                          <w:p w14:paraId="10414288">
                            <w:pPr>
                              <w:pStyle w:val="45"/>
                              <w:spacing w:line="360" w:lineRule="auto"/>
                              <w:jc w:val="both"/>
                              <w:rPr>
                                <w:rFonts w:hint="eastAsia" w:ascii="Times New Roman" w:hAnsi="Times New Roman" w:eastAsia="宋体" w:cs="Times New Roman"/>
                                <w:lang w:val="en-US" w:eastAsia="zh-CN"/>
                              </w:rPr>
                            </w:pPr>
                            <w:r>
                              <w:rPr>
                                <w:rFonts w:hint="eastAsia" w:ascii="宋体" w:hAnsi="宋体" w:eastAsia="宋体" w:cs="宋体"/>
                                <w:color w:val="FF0000"/>
                                <w:lang w:val="en-US" w:eastAsia="zh-CN"/>
                              </w:rPr>
                              <w:t>○</w:t>
                            </w:r>
                            <w:r>
                              <w:rPr>
                                <w:rFonts w:hint="eastAsia" w:ascii="Times New Roman" w:hAnsi="Times New Roman" w:eastAsia="宋体" w:cs="Times New Roman"/>
                                <w:lang w:val="en-US" w:eastAsia="zh-CN"/>
                              </w:rPr>
                              <w:t>环境空气监测点位</w:t>
                            </w:r>
                          </w:p>
                          <w:p w14:paraId="54AACBA5">
                            <w:pPr>
                              <w:pStyle w:val="45"/>
                              <w:spacing w:line="360" w:lineRule="auto"/>
                              <w:jc w:val="both"/>
                              <w:rPr>
                                <w:rFonts w:hint="eastAsia" w:ascii="Times New Roman" w:hAnsi="Times New Roman" w:eastAsia="宋体" w:cs="Times New Roman"/>
                                <w:lang w:val="en-US" w:eastAsia="zh-CN"/>
                              </w:rPr>
                            </w:pPr>
                            <w:r>
                              <w:rPr>
                                <w:rFonts w:hint="eastAsia" w:ascii="宋体" w:hAnsi="宋体" w:eastAsia="宋体" w:cs="宋体"/>
                                <w:lang w:val="en-US" w:eastAsia="zh-CN"/>
                              </w:rPr>
                              <w:t>△</w:t>
                            </w:r>
                            <w:r>
                              <w:rPr>
                                <w:rFonts w:hint="eastAsia" w:ascii="Times New Roman" w:hAnsi="Times New Roman" w:eastAsia="宋体" w:cs="Times New Roman"/>
                                <w:lang w:val="en-US" w:eastAsia="zh-CN"/>
                              </w:rPr>
                              <w:t>噪声监测点位</w:t>
                            </w:r>
                          </w:p>
                          <w:p w14:paraId="22E1F9CC">
                            <w:pPr>
                              <w:pStyle w:val="45"/>
                              <w:spacing w:line="360" w:lineRule="auto"/>
                              <w:jc w:val="both"/>
                              <w:rPr>
                                <w:rFonts w:hint="eastAsia" w:ascii="Times New Roman" w:hAnsi="Times New Roman" w:eastAsia="宋体" w:cs="Times New Roman"/>
                                <w:lang w:val="en-US" w:eastAsia="zh-CN"/>
                              </w:rPr>
                            </w:pPr>
                            <w:r>
                              <w:rPr>
                                <w:rFonts w:hint="eastAsia" w:ascii="宋体" w:hAnsi="宋体" w:eastAsia="宋体" w:cs="宋体"/>
                                <w:lang w:val="en-US" w:eastAsia="zh-CN"/>
                              </w:rPr>
                              <w:t>☆</w:t>
                            </w:r>
                            <w:r>
                              <w:rPr>
                                <w:rFonts w:hint="eastAsia" w:ascii="Times New Roman" w:hAnsi="Times New Roman" w:eastAsia="宋体" w:cs="Times New Roman"/>
                                <w:lang w:val="en-US" w:eastAsia="zh-CN"/>
                              </w:rPr>
                              <w:t>地下水监测点位</w:t>
                            </w:r>
                          </w:p>
                          <w:p w14:paraId="7676F2F0">
                            <w:pPr>
                              <w:pStyle w:val="45"/>
                              <w:spacing w:line="360" w:lineRule="auto"/>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sym w:font="Wingdings" w:char="00A8"/>
                            </w:r>
                            <w:r>
                              <w:rPr>
                                <w:rFonts w:hint="eastAsia" w:ascii="Times New Roman" w:hAnsi="Times New Roman" w:eastAsia="宋体" w:cs="Times New Roman"/>
                                <w:lang w:val="en-US" w:eastAsia="zh-CN"/>
                              </w:rPr>
                              <w:t>土壤监测点位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7.55pt;margin-top:311.1pt;height:105pt;width:120pt;z-index:251911168;mso-width-relative:page;mso-height-relative:page;" fillcolor="#C7EDCC [3201]" filled="t" stroked="t" coordsize="21600,21600" o:gfxdata="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URSINkAAAAKAQAADwAAAAAAAAABACAAAAAiAAAAZHJzL2Rvd25yZXYueG1s&#10;UEsBAhQAFAAAAAgAh07iQHnMbYNpAgAAyAQAAA4AAAAAAAAAAQAgAAAAKAEAAGRycy9lMm9Eb2Mu&#10;eG1sUEsFBgAAAAAGAAYAWQEAAAMGAAAAAA==&#10;">
                <v:fill on="t" focussize="0,0"/>
                <v:stroke weight="0.5pt" color="#000000 [3204]" joinstyle="round"/>
                <v:imagedata o:title=""/>
                <o:lock v:ext="edit" aspectratio="f"/>
                <v:textbox>
                  <w:txbxContent>
                    <w:p w14:paraId="6206AF73">
                      <w:pPr>
                        <w:spacing w:line="360" w:lineRule="auto"/>
                        <w:rPr>
                          <w:rFonts w:hint="eastAsia"/>
                          <w:lang w:val="en-US" w:eastAsia="zh-CN"/>
                        </w:rPr>
                      </w:pPr>
                      <w:r>
                        <w:rPr>
                          <w:rFonts w:hint="eastAsia"/>
                          <w:lang w:val="en-US" w:eastAsia="zh-CN"/>
                        </w:rPr>
                        <w:t>图例</w:t>
                      </w:r>
                    </w:p>
                    <w:p w14:paraId="10414288">
                      <w:pPr>
                        <w:pStyle w:val="45"/>
                        <w:spacing w:line="360" w:lineRule="auto"/>
                        <w:jc w:val="both"/>
                        <w:rPr>
                          <w:rFonts w:hint="eastAsia" w:ascii="Times New Roman" w:hAnsi="Times New Roman" w:eastAsia="宋体" w:cs="Times New Roman"/>
                          <w:lang w:val="en-US" w:eastAsia="zh-CN"/>
                        </w:rPr>
                      </w:pPr>
                      <w:r>
                        <w:rPr>
                          <w:rFonts w:hint="eastAsia" w:ascii="宋体" w:hAnsi="宋体" w:eastAsia="宋体" w:cs="宋体"/>
                          <w:color w:val="FF0000"/>
                          <w:lang w:val="en-US" w:eastAsia="zh-CN"/>
                        </w:rPr>
                        <w:t>○</w:t>
                      </w:r>
                      <w:r>
                        <w:rPr>
                          <w:rFonts w:hint="eastAsia" w:ascii="Times New Roman" w:hAnsi="Times New Roman" w:eastAsia="宋体" w:cs="Times New Roman"/>
                          <w:lang w:val="en-US" w:eastAsia="zh-CN"/>
                        </w:rPr>
                        <w:t>环境空气监测点位</w:t>
                      </w:r>
                    </w:p>
                    <w:p w14:paraId="54AACBA5">
                      <w:pPr>
                        <w:pStyle w:val="45"/>
                        <w:spacing w:line="360" w:lineRule="auto"/>
                        <w:jc w:val="both"/>
                        <w:rPr>
                          <w:rFonts w:hint="eastAsia" w:ascii="Times New Roman" w:hAnsi="Times New Roman" w:eastAsia="宋体" w:cs="Times New Roman"/>
                          <w:lang w:val="en-US" w:eastAsia="zh-CN"/>
                        </w:rPr>
                      </w:pPr>
                      <w:r>
                        <w:rPr>
                          <w:rFonts w:hint="eastAsia" w:ascii="宋体" w:hAnsi="宋体" w:eastAsia="宋体" w:cs="宋体"/>
                          <w:lang w:val="en-US" w:eastAsia="zh-CN"/>
                        </w:rPr>
                        <w:t>△</w:t>
                      </w:r>
                      <w:r>
                        <w:rPr>
                          <w:rFonts w:hint="eastAsia" w:ascii="Times New Roman" w:hAnsi="Times New Roman" w:eastAsia="宋体" w:cs="Times New Roman"/>
                          <w:lang w:val="en-US" w:eastAsia="zh-CN"/>
                        </w:rPr>
                        <w:t>噪声监测点位</w:t>
                      </w:r>
                    </w:p>
                    <w:p w14:paraId="22E1F9CC">
                      <w:pPr>
                        <w:pStyle w:val="45"/>
                        <w:spacing w:line="360" w:lineRule="auto"/>
                        <w:jc w:val="both"/>
                        <w:rPr>
                          <w:rFonts w:hint="eastAsia" w:ascii="Times New Roman" w:hAnsi="Times New Roman" w:eastAsia="宋体" w:cs="Times New Roman"/>
                          <w:lang w:val="en-US" w:eastAsia="zh-CN"/>
                        </w:rPr>
                      </w:pPr>
                      <w:r>
                        <w:rPr>
                          <w:rFonts w:hint="eastAsia" w:ascii="宋体" w:hAnsi="宋体" w:eastAsia="宋体" w:cs="宋体"/>
                          <w:lang w:val="en-US" w:eastAsia="zh-CN"/>
                        </w:rPr>
                        <w:t>☆</w:t>
                      </w:r>
                      <w:r>
                        <w:rPr>
                          <w:rFonts w:hint="eastAsia" w:ascii="Times New Roman" w:hAnsi="Times New Roman" w:eastAsia="宋体" w:cs="Times New Roman"/>
                          <w:lang w:val="en-US" w:eastAsia="zh-CN"/>
                        </w:rPr>
                        <w:t>地下水监测点位</w:t>
                      </w:r>
                    </w:p>
                    <w:p w14:paraId="7676F2F0">
                      <w:pPr>
                        <w:pStyle w:val="45"/>
                        <w:spacing w:line="360" w:lineRule="auto"/>
                        <w:jc w:val="both"/>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sym w:font="Wingdings" w:char="00A8"/>
                      </w:r>
                      <w:r>
                        <w:rPr>
                          <w:rFonts w:hint="eastAsia" w:ascii="Times New Roman" w:hAnsi="Times New Roman" w:eastAsia="宋体" w:cs="Times New Roman"/>
                          <w:lang w:val="en-US" w:eastAsia="zh-CN"/>
                        </w:rPr>
                        <w:t>土壤监测点位</w:t>
                      </w:r>
                    </w:p>
                  </w:txbxContent>
                </v:textbox>
              </v:shape>
            </w:pict>
          </mc:Fallback>
        </mc:AlternateContent>
      </w:r>
      <w:r>
        <w:rPr>
          <w:color w:val="auto"/>
        </w:rPr>
        <w:drawing>
          <wp:anchor distT="0" distB="0" distL="114300" distR="114300" simplePos="0" relativeHeight="251910144" behindDoc="0" locked="0" layoutInCell="1" allowOverlap="1">
            <wp:simplePos x="0" y="0"/>
            <wp:positionH relativeFrom="column">
              <wp:posOffset>7886065</wp:posOffset>
            </wp:positionH>
            <wp:positionV relativeFrom="paragraph">
              <wp:posOffset>-559435</wp:posOffset>
            </wp:positionV>
            <wp:extent cx="595630" cy="730885"/>
            <wp:effectExtent l="0" t="0" r="13970" b="12065"/>
            <wp:wrapNone/>
            <wp:docPr id="3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4"/>
                    <pic:cNvPicPr>
                      <a:picLocks noChangeAspect="1"/>
                    </pic:cNvPicPr>
                  </pic:nvPicPr>
                  <pic:blipFill>
                    <a:blip r:embed="rId92"/>
                    <a:stretch>
                      <a:fillRect/>
                    </a:stretch>
                  </pic:blipFill>
                  <pic:spPr>
                    <a:xfrm>
                      <a:off x="0" y="0"/>
                      <a:ext cx="595630" cy="730885"/>
                    </a:xfrm>
                    <a:prstGeom prst="rect">
                      <a:avLst/>
                    </a:prstGeom>
                    <a:noFill/>
                    <a:ln>
                      <a:noFill/>
                    </a:ln>
                  </pic:spPr>
                </pic:pic>
              </a:graphicData>
            </a:graphic>
          </wp:anchor>
        </w:drawing>
      </w:r>
    </w:p>
    <w:p w14:paraId="29D0404B">
      <w:pPr>
        <w:rPr>
          <w:rFonts w:hint="eastAsia"/>
          <w:lang w:eastAsia="zh-CN"/>
        </w:rPr>
      </w:pPr>
      <w:r>
        <w:rPr>
          <w:sz w:val="21"/>
        </w:rPr>
        <mc:AlternateContent>
          <mc:Choice Requires="wps">
            <w:drawing>
              <wp:anchor distT="0" distB="0" distL="114300" distR="114300" simplePos="0" relativeHeight="251934720" behindDoc="0" locked="0" layoutInCell="1" allowOverlap="1">
                <wp:simplePos x="0" y="0"/>
                <wp:positionH relativeFrom="column">
                  <wp:posOffset>476885</wp:posOffset>
                </wp:positionH>
                <wp:positionV relativeFrom="paragraph">
                  <wp:posOffset>4104005</wp:posOffset>
                </wp:positionV>
                <wp:extent cx="1524000" cy="1333500"/>
                <wp:effectExtent l="4445" t="4445" r="14605" b="14605"/>
                <wp:wrapNone/>
                <wp:docPr id="474" name="文本框 324"/>
                <wp:cNvGraphicFramePr/>
                <a:graphic xmlns:a="http://schemas.openxmlformats.org/drawingml/2006/main">
                  <a:graphicData uri="http://schemas.microsoft.com/office/word/2010/wordprocessingShape">
                    <wps:wsp>
                      <wps:cNvSpPr txBox="1"/>
                      <wps:spPr>
                        <a:xfrm>
                          <a:off x="0" y="0"/>
                          <a:ext cx="1524000" cy="1333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7173180">
                            <w:pPr>
                              <w:spacing w:line="360" w:lineRule="auto"/>
                              <w:rPr>
                                <w:rFonts w:hint="eastAsia"/>
                                <w:lang w:val="en-US" w:eastAsia="zh-CN"/>
                              </w:rPr>
                            </w:pPr>
                            <w:r>
                              <w:rPr>
                                <w:rFonts w:hint="eastAsia"/>
                                <w:lang w:val="en-US" w:eastAsia="zh-CN"/>
                              </w:rPr>
                              <w:t>图例</w:t>
                            </w:r>
                          </w:p>
                          <w:p w14:paraId="32201E96">
                            <w:pPr>
                              <w:pStyle w:val="45"/>
                              <w:spacing w:line="360" w:lineRule="auto"/>
                              <w:jc w:val="both"/>
                              <w:rPr>
                                <w:rFonts w:hint="eastAsia" w:ascii="Times New Roman" w:hAnsi="Times New Roman" w:eastAsia="宋体" w:cs="Times New Roman"/>
                                <w:lang w:val="en-US" w:eastAsia="zh-CN"/>
                              </w:rPr>
                            </w:pPr>
                            <w:r>
                              <w:rPr>
                                <w:rFonts w:hint="eastAsia" w:ascii="宋体" w:hAnsi="宋体" w:eastAsia="宋体" w:cs="宋体"/>
                                <w:color w:val="FF0000"/>
                                <w:lang w:val="en-US" w:eastAsia="zh-CN"/>
                              </w:rPr>
                              <w:t>◎</w:t>
                            </w:r>
                            <w:r>
                              <w:rPr>
                                <w:rFonts w:hint="eastAsia" w:ascii="Times New Roman" w:hAnsi="Times New Roman" w:eastAsia="宋体" w:cs="Times New Roman"/>
                                <w:lang w:val="en-US" w:eastAsia="zh-CN"/>
                              </w:rPr>
                              <w:t>有组织废气监测点位</w:t>
                            </w:r>
                          </w:p>
                          <w:p w14:paraId="34E1785D">
                            <w:pPr>
                              <w:pStyle w:val="45"/>
                              <w:spacing w:line="360" w:lineRule="auto"/>
                              <w:jc w:val="both"/>
                              <w:rPr>
                                <w:rFonts w:hint="eastAsia" w:ascii="Times New Roman" w:hAnsi="Times New Roman" w:eastAsia="宋体" w:cs="Times New Roman"/>
                                <w:lang w:val="en-US" w:eastAsia="zh-CN"/>
                              </w:rPr>
                            </w:pPr>
                            <w:r>
                              <w:rPr>
                                <w:rFonts w:hint="eastAsia" w:ascii="宋体" w:hAnsi="宋体" w:eastAsia="宋体" w:cs="宋体"/>
                                <w:color w:val="FF0000"/>
                                <w:lang w:val="en-US" w:eastAsia="zh-CN"/>
                              </w:rPr>
                              <w:t>○</w:t>
                            </w:r>
                            <w:r>
                              <w:rPr>
                                <w:rFonts w:hint="eastAsia" w:ascii="Times New Roman" w:hAnsi="Times New Roman" w:eastAsia="宋体" w:cs="Times New Roman"/>
                                <w:lang w:val="en-US" w:eastAsia="zh-CN"/>
                              </w:rPr>
                              <w:t>无组织废气监测点位</w:t>
                            </w:r>
                          </w:p>
                          <w:p w14:paraId="35008CB1">
                            <w:pPr>
                              <w:pStyle w:val="45"/>
                              <w:spacing w:line="360" w:lineRule="auto"/>
                              <w:jc w:val="both"/>
                              <w:rPr>
                                <w:rFonts w:hint="eastAsia" w:ascii="Times New Roman" w:hAnsi="Times New Roman" w:eastAsia="宋体" w:cs="Times New Roman"/>
                                <w:lang w:val="en-US" w:eastAsia="zh-CN"/>
                              </w:rPr>
                            </w:pPr>
                            <w:r>
                              <w:rPr>
                                <w:rFonts w:hint="eastAsia" w:ascii="宋体" w:hAnsi="宋体" w:eastAsia="宋体" w:cs="宋体"/>
                                <w:lang w:val="en-US" w:eastAsia="zh-CN"/>
                              </w:rPr>
                              <w:t>△</w:t>
                            </w:r>
                            <w:r>
                              <w:rPr>
                                <w:rFonts w:hint="eastAsia" w:ascii="Times New Roman" w:hAnsi="Times New Roman" w:eastAsia="宋体" w:cs="Times New Roman"/>
                                <w:lang w:val="en-US" w:eastAsia="zh-CN"/>
                              </w:rPr>
                              <w:t>噪声监测点位</w:t>
                            </w:r>
                          </w:p>
                          <w:p w14:paraId="70A9876E">
                            <w:pPr>
                              <w:pStyle w:val="45"/>
                              <w:spacing w:line="360" w:lineRule="auto"/>
                              <w:jc w:val="both"/>
                              <w:rPr>
                                <w:rFonts w:hint="default" w:ascii="Times New Roman" w:hAnsi="Times New Roman" w:eastAsia="宋体" w:cs="Times New Roman"/>
                                <w:lang w:val="en-US" w:eastAsia="zh-CN"/>
                              </w:rPr>
                            </w:pPr>
                            <w:r>
                              <w:rPr>
                                <w:rFonts w:hint="eastAsia" w:ascii="宋体" w:hAnsi="宋体" w:eastAsia="宋体" w:cs="宋体"/>
                                <w:lang w:val="en-US" w:eastAsia="zh-CN"/>
                              </w:rPr>
                              <w:t>☆</w:t>
                            </w:r>
                            <w:r>
                              <w:rPr>
                                <w:rFonts w:hint="eastAsia" w:ascii="Times New Roman" w:hAnsi="Times New Roman" w:eastAsia="宋体" w:cs="Times New Roman"/>
                                <w:lang w:val="en-US" w:eastAsia="zh-CN"/>
                              </w:rPr>
                              <w:t>地下水监测点位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7.55pt;margin-top:323.15pt;height:105pt;width:120pt;z-index:251934720;mso-width-relative:page;mso-height-relative:page;" fillcolor="#C7EDCC [3201]" filled="t" stroked="t" coordsize="21600,21600" o:gfxdata="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Mn/Z+jaAAAACgEAAA8AAAAAAAAAAQAgAAAAIgAAAGRycy9kb3ducmV2LnhtbFBLAQIUABQAAAAI&#10;AIdO4kBvS5NOXQIAALwEAAAOAAAAAAAAAAEAIAAAACkBAABkcnMvZTJvRG9jLnhtbFBLBQYAAAAA&#10;BgAGAFkBAAD4BQAAAAA=&#10;">
                <v:fill on="t" focussize="0,0"/>
                <v:stroke weight="0.5pt" color="#000000 [3204]" joinstyle="round"/>
                <v:imagedata o:title=""/>
                <o:lock v:ext="edit" aspectratio="f"/>
                <v:textbox>
                  <w:txbxContent>
                    <w:p w14:paraId="27173180">
                      <w:pPr>
                        <w:spacing w:line="360" w:lineRule="auto"/>
                        <w:rPr>
                          <w:rFonts w:hint="eastAsia"/>
                          <w:lang w:val="en-US" w:eastAsia="zh-CN"/>
                        </w:rPr>
                      </w:pPr>
                      <w:r>
                        <w:rPr>
                          <w:rFonts w:hint="eastAsia"/>
                          <w:lang w:val="en-US" w:eastAsia="zh-CN"/>
                        </w:rPr>
                        <w:t>图例</w:t>
                      </w:r>
                    </w:p>
                    <w:p w14:paraId="32201E96">
                      <w:pPr>
                        <w:pStyle w:val="45"/>
                        <w:spacing w:line="360" w:lineRule="auto"/>
                        <w:jc w:val="both"/>
                        <w:rPr>
                          <w:rFonts w:hint="eastAsia" w:ascii="Times New Roman" w:hAnsi="Times New Roman" w:eastAsia="宋体" w:cs="Times New Roman"/>
                          <w:lang w:val="en-US" w:eastAsia="zh-CN"/>
                        </w:rPr>
                      </w:pPr>
                      <w:r>
                        <w:rPr>
                          <w:rFonts w:hint="eastAsia" w:ascii="宋体" w:hAnsi="宋体" w:eastAsia="宋体" w:cs="宋体"/>
                          <w:color w:val="FF0000"/>
                          <w:lang w:val="en-US" w:eastAsia="zh-CN"/>
                        </w:rPr>
                        <w:t>◎</w:t>
                      </w:r>
                      <w:r>
                        <w:rPr>
                          <w:rFonts w:hint="eastAsia" w:ascii="Times New Roman" w:hAnsi="Times New Roman" w:eastAsia="宋体" w:cs="Times New Roman"/>
                          <w:lang w:val="en-US" w:eastAsia="zh-CN"/>
                        </w:rPr>
                        <w:t>有组织废气监测点位</w:t>
                      </w:r>
                    </w:p>
                    <w:p w14:paraId="34E1785D">
                      <w:pPr>
                        <w:pStyle w:val="45"/>
                        <w:spacing w:line="360" w:lineRule="auto"/>
                        <w:jc w:val="both"/>
                        <w:rPr>
                          <w:rFonts w:hint="eastAsia" w:ascii="Times New Roman" w:hAnsi="Times New Roman" w:eastAsia="宋体" w:cs="Times New Roman"/>
                          <w:lang w:val="en-US" w:eastAsia="zh-CN"/>
                        </w:rPr>
                      </w:pPr>
                      <w:r>
                        <w:rPr>
                          <w:rFonts w:hint="eastAsia" w:ascii="宋体" w:hAnsi="宋体" w:eastAsia="宋体" w:cs="宋体"/>
                          <w:color w:val="FF0000"/>
                          <w:lang w:val="en-US" w:eastAsia="zh-CN"/>
                        </w:rPr>
                        <w:t>○</w:t>
                      </w:r>
                      <w:r>
                        <w:rPr>
                          <w:rFonts w:hint="eastAsia" w:ascii="Times New Roman" w:hAnsi="Times New Roman" w:eastAsia="宋体" w:cs="Times New Roman"/>
                          <w:lang w:val="en-US" w:eastAsia="zh-CN"/>
                        </w:rPr>
                        <w:t>无组织废气监测点位</w:t>
                      </w:r>
                    </w:p>
                    <w:p w14:paraId="35008CB1">
                      <w:pPr>
                        <w:pStyle w:val="45"/>
                        <w:spacing w:line="360" w:lineRule="auto"/>
                        <w:jc w:val="both"/>
                        <w:rPr>
                          <w:rFonts w:hint="eastAsia" w:ascii="Times New Roman" w:hAnsi="Times New Roman" w:eastAsia="宋体" w:cs="Times New Roman"/>
                          <w:lang w:val="en-US" w:eastAsia="zh-CN"/>
                        </w:rPr>
                      </w:pPr>
                      <w:r>
                        <w:rPr>
                          <w:rFonts w:hint="eastAsia" w:ascii="宋体" w:hAnsi="宋体" w:eastAsia="宋体" w:cs="宋体"/>
                          <w:lang w:val="en-US" w:eastAsia="zh-CN"/>
                        </w:rPr>
                        <w:t>△</w:t>
                      </w:r>
                      <w:r>
                        <w:rPr>
                          <w:rFonts w:hint="eastAsia" w:ascii="Times New Roman" w:hAnsi="Times New Roman" w:eastAsia="宋体" w:cs="Times New Roman"/>
                          <w:lang w:val="en-US" w:eastAsia="zh-CN"/>
                        </w:rPr>
                        <w:t>噪声监测点位</w:t>
                      </w:r>
                    </w:p>
                    <w:p w14:paraId="70A9876E">
                      <w:pPr>
                        <w:pStyle w:val="45"/>
                        <w:spacing w:line="360" w:lineRule="auto"/>
                        <w:jc w:val="both"/>
                        <w:rPr>
                          <w:rFonts w:hint="default" w:ascii="Times New Roman" w:hAnsi="Times New Roman" w:eastAsia="宋体" w:cs="Times New Roman"/>
                          <w:lang w:val="en-US" w:eastAsia="zh-CN"/>
                        </w:rPr>
                      </w:pPr>
                      <w:r>
                        <w:rPr>
                          <w:rFonts w:hint="eastAsia" w:ascii="宋体" w:hAnsi="宋体" w:eastAsia="宋体" w:cs="宋体"/>
                          <w:lang w:val="en-US" w:eastAsia="zh-CN"/>
                        </w:rPr>
                        <w:t>☆</w:t>
                      </w:r>
                      <w:r>
                        <w:rPr>
                          <w:rFonts w:hint="eastAsia" w:ascii="Times New Roman" w:hAnsi="Times New Roman" w:eastAsia="宋体" w:cs="Times New Roman"/>
                          <w:lang w:val="en-US" w:eastAsia="zh-CN"/>
                        </w:rPr>
                        <w:t>地下水监测点位</w:t>
                      </w:r>
                    </w:p>
                  </w:txbxContent>
                </v:textbox>
              </v:shape>
            </w:pict>
          </mc:Fallback>
        </mc:AlternateContent>
      </w:r>
      <w:r>
        <w:rPr>
          <w:color w:val="auto"/>
        </w:rPr>
        <w:drawing>
          <wp:anchor distT="0" distB="0" distL="114300" distR="114300" simplePos="0" relativeHeight="251936768" behindDoc="0" locked="0" layoutInCell="1" allowOverlap="1">
            <wp:simplePos x="0" y="0"/>
            <wp:positionH relativeFrom="column">
              <wp:posOffset>7886065</wp:posOffset>
            </wp:positionH>
            <wp:positionV relativeFrom="paragraph">
              <wp:posOffset>-406400</wp:posOffset>
            </wp:positionV>
            <wp:extent cx="595630" cy="730885"/>
            <wp:effectExtent l="0" t="0" r="13970" b="12065"/>
            <wp:wrapNone/>
            <wp:docPr id="4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
                    <pic:cNvPicPr>
                      <a:picLocks noChangeAspect="1"/>
                    </pic:cNvPicPr>
                  </pic:nvPicPr>
                  <pic:blipFill>
                    <a:blip r:embed="rId92"/>
                    <a:stretch>
                      <a:fillRect/>
                    </a:stretch>
                  </pic:blipFill>
                  <pic:spPr>
                    <a:xfrm>
                      <a:off x="0" y="0"/>
                      <a:ext cx="595630" cy="730885"/>
                    </a:xfrm>
                    <a:prstGeom prst="rect">
                      <a:avLst/>
                    </a:prstGeom>
                    <a:noFill/>
                    <a:ln>
                      <a:noFill/>
                    </a:ln>
                  </pic:spPr>
                </pic:pic>
              </a:graphicData>
            </a:graphic>
          </wp:anchor>
        </w:drawing>
      </w:r>
      <w:r>
        <w:drawing>
          <wp:anchor distT="0" distB="0" distL="114300" distR="114300" simplePos="0" relativeHeight="251932672" behindDoc="0" locked="0" layoutInCell="1" allowOverlap="1">
            <wp:simplePos x="0" y="0"/>
            <wp:positionH relativeFrom="column">
              <wp:posOffset>504825</wp:posOffset>
            </wp:positionH>
            <wp:positionV relativeFrom="paragraph">
              <wp:posOffset>-385445</wp:posOffset>
            </wp:positionV>
            <wp:extent cx="7976870" cy="5840730"/>
            <wp:effectExtent l="57150" t="57150" r="62230" b="64770"/>
            <wp:wrapNone/>
            <wp:docPr id="4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18"/>
                    <pic:cNvPicPr>
                      <a:picLocks noChangeAspect="1"/>
                    </pic:cNvPicPr>
                  </pic:nvPicPr>
                  <pic:blipFill>
                    <a:blip r:embed="rId100"/>
                    <a:stretch>
                      <a:fillRect/>
                    </a:stretch>
                  </pic:blipFill>
                  <pic:spPr>
                    <a:xfrm>
                      <a:off x="0" y="0"/>
                      <a:ext cx="7976870" cy="5840730"/>
                    </a:xfrm>
                    <a:prstGeom prst="rect">
                      <a:avLst/>
                    </a:prstGeom>
                    <a:noFill/>
                    <a:ln w="57150" cmpd="thickThin">
                      <a:solidFill>
                        <a:schemeClr val="tx1"/>
                      </a:solidFill>
                    </a:ln>
                  </pic:spPr>
                </pic:pic>
              </a:graphicData>
            </a:graphic>
          </wp:anchor>
        </w:drawing>
      </w:r>
    </w:p>
    <w:p w14:paraId="37A0AE39">
      <w:pPr>
        <w:rPr>
          <w:rFonts w:hint="eastAsia"/>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pPr>
      <w:r>
        <w:rPr>
          <w:sz w:val="21"/>
        </w:rPr>
        <mc:AlternateContent>
          <mc:Choice Requires="wps">
            <w:drawing>
              <wp:anchor distT="0" distB="0" distL="114300" distR="114300" simplePos="0" relativeHeight="251944960" behindDoc="0" locked="0" layoutInCell="1" allowOverlap="1">
                <wp:simplePos x="0" y="0"/>
                <wp:positionH relativeFrom="column">
                  <wp:posOffset>3620135</wp:posOffset>
                </wp:positionH>
                <wp:positionV relativeFrom="paragraph">
                  <wp:posOffset>3545205</wp:posOffset>
                </wp:positionV>
                <wp:extent cx="343535" cy="286385"/>
                <wp:effectExtent l="0" t="0" r="0" b="0"/>
                <wp:wrapNone/>
                <wp:docPr id="489"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99450B">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285.05pt;margin-top:279.15pt;height:22.55pt;width:27.05pt;z-index:251944960;mso-width-relative:page;mso-height-relative:page;" filled="f" stroked="f" coordsize="21600,21600" o:gfxdata="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Y8Yy62wAAAAsBAAAPAAAAAAAAAAEAIAAAACIA&#10;AABkcnMvZG93bnJldi54bWxQSwECFAAUAAAACACHTuJAmZuavj8CAABpBAAADgAAAAAAAAABACAA&#10;AAAqAQAAZHJzL2Uyb0RvYy54bWxQSwUGAAAAAAYABgBZAQAA2wUAAAAA&#10;">
                <v:fill on="f" focussize="0,0"/>
                <v:stroke on="f" weight="0.5pt"/>
                <v:imagedata o:title=""/>
                <o:lock v:ext="edit" aspectratio="f"/>
                <v:textbox>
                  <w:txbxContent>
                    <w:p w14:paraId="5D99450B">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43936" behindDoc="0" locked="0" layoutInCell="1" allowOverlap="1">
                <wp:simplePos x="0" y="0"/>
                <wp:positionH relativeFrom="column">
                  <wp:posOffset>4505960</wp:posOffset>
                </wp:positionH>
                <wp:positionV relativeFrom="paragraph">
                  <wp:posOffset>2221230</wp:posOffset>
                </wp:positionV>
                <wp:extent cx="343535" cy="286385"/>
                <wp:effectExtent l="0" t="0" r="0" b="0"/>
                <wp:wrapNone/>
                <wp:docPr id="488"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BA0DA3">
                            <w:pPr>
                              <w:rPr>
                                <w:rFonts w:hint="default"/>
                                <w:lang w:val="en-US" w:eastAsia="zh-CN"/>
                              </w:rPr>
                            </w:pPr>
                            <w:r>
                              <w:rPr>
                                <w:rFonts w:hint="eastAsia" w:ascii="宋体" w:hAnsi="宋体" w:eastAsia="宋体" w:cs="宋体"/>
                                <w:color w:val="FF0000"/>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54.8pt;margin-top:174.9pt;height:22.55pt;width:27.05pt;z-index:251943936;mso-width-relative:page;mso-height-relative:page;" filled="f" stroked="f" coordsize="21600,21600" o:gfxdata="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4nRfC3AAAAAsBAAAPAAAAAAAAAAEAIAAAACIA&#10;AABkcnMvZG93bnJldi54bWxQSwECFAAUAAAACACHTuJAwruuWj4CAABpBAAADgAAAAAAAAABACAA&#10;AAArAQAAZHJzL2Uyb0RvYy54bWxQSwUGAAAAAAYABgBZAQAA2wUAAAAA&#10;">
                <v:fill on="f" focussize="0,0"/>
                <v:stroke on="f" weight="0.5pt"/>
                <v:imagedata o:title=""/>
                <o:lock v:ext="edit" aspectratio="f"/>
                <v:textbox>
                  <w:txbxContent>
                    <w:p w14:paraId="6DBA0DA3">
                      <w:pPr>
                        <w:rPr>
                          <w:rFonts w:hint="default"/>
                          <w:lang w:val="en-US" w:eastAsia="zh-CN"/>
                        </w:rPr>
                      </w:pPr>
                      <w:r>
                        <w:rPr>
                          <w:rFonts w:hint="eastAsia" w:ascii="宋体" w:hAnsi="宋体" w:eastAsia="宋体" w:cs="宋体"/>
                          <w:color w:val="FF0000"/>
                          <w:lang w:val="en-US" w:eastAsia="zh-CN"/>
                        </w:rPr>
                        <w:t>○</w:t>
                      </w:r>
                    </w:p>
                  </w:txbxContent>
                </v:textbox>
              </v:shape>
            </w:pict>
          </mc:Fallback>
        </mc:AlternateContent>
      </w:r>
      <w:r>
        <w:rPr>
          <w:sz w:val="21"/>
        </w:rPr>
        <mc:AlternateContent>
          <mc:Choice Requires="wps">
            <w:drawing>
              <wp:anchor distT="0" distB="0" distL="114300" distR="114300" simplePos="0" relativeHeight="251942912" behindDoc="0" locked="0" layoutInCell="1" allowOverlap="1">
                <wp:simplePos x="0" y="0"/>
                <wp:positionH relativeFrom="column">
                  <wp:posOffset>3820160</wp:posOffset>
                </wp:positionH>
                <wp:positionV relativeFrom="paragraph">
                  <wp:posOffset>2040255</wp:posOffset>
                </wp:positionV>
                <wp:extent cx="343535" cy="286385"/>
                <wp:effectExtent l="0" t="0" r="0" b="0"/>
                <wp:wrapNone/>
                <wp:docPr id="487"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A404E9">
                            <w:pPr>
                              <w:rPr>
                                <w:rFonts w:hint="default"/>
                                <w:lang w:val="en-US" w:eastAsia="zh-CN"/>
                              </w:rPr>
                            </w:pPr>
                            <w:r>
                              <w:rPr>
                                <w:rFonts w:hint="eastAsia" w:ascii="宋体" w:hAnsi="宋体" w:eastAsia="宋体" w:cs="宋体"/>
                                <w:color w:val="FF0000"/>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00.8pt;margin-top:160.65pt;height:22.55pt;width:27.05pt;z-index:251942912;mso-width-relative:page;mso-height-relative:page;" filled="f" stroked="f" coordsize="21600,21600" o:gfxdata="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s8ZTl9wAAAALAQAADwAAAAAAAAABACAAAAAi&#10;AAAAZHJzL2Rvd25yZXYueG1sUEsBAhQAFAAAAAgAh07iQFxL1Mc/AgAAaQQAAA4AAAAAAAAAAQAg&#10;AAAAKwEAAGRycy9lMm9Eb2MueG1sUEsFBgAAAAAGAAYAWQEAANwFAAAAAA==&#10;">
                <v:fill on="f" focussize="0,0"/>
                <v:stroke on="f" weight="0.5pt"/>
                <v:imagedata o:title=""/>
                <o:lock v:ext="edit" aspectratio="f"/>
                <v:textbox>
                  <w:txbxContent>
                    <w:p w14:paraId="06A404E9">
                      <w:pPr>
                        <w:rPr>
                          <w:rFonts w:hint="default"/>
                          <w:lang w:val="en-US" w:eastAsia="zh-CN"/>
                        </w:rPr>
                      </w:pPr>
                      <w:r>
                        <w:rPr>
                          <w:rFonts w:hint="eastAsia" w:ascii="宋体" w:hAnsi="宋体" w:eastAsia="宋体" w:cs="宋体"/>
                          <w:color w:val="FF0000"/>
                          <w:lang w:val="en-US" w:eastAsia="zh-CN"/>
                        </w:rPr>
                        <w:t>○</w:t>
                      </w:r>
                    </w:p>
                  </w:txbxContent>
                </v:textbox>
              </v:shape>
            </w:pict>
          </mc:Fallback>
        </mc:AlternateContent>
      </w:r>
      <w:r>
        <w:rPr>
          <w:sz w:val="21"/>
        </w:rPr>
        <mc:AlternateContent>
          <mc:Choice Requires="wps">
            <w:drawing>
              <wp:anchor distT="0" distB="0" distL="114300" distR="114300" simplePos="0" relativeHeight="251935744" behindDoc="0" locked="0" layoutInCell="1" allowOverlap="1">
                <wp:simplePos x="0" y="0"/>
                <wp:positionH relativeFrom="column">
                  <wp:posOffset>3686810</wp:posOffset>
                </wp:positionH>
                <wp:positionV relativeFrom="paragraph">
                  <wp:posOffset>2497455</wp:posOffset>
                </wp:positionV>
                <wp:extent cx="343535" cy="286385"/>
                <wp:effectExtent l="0" t="0" r="0" b="0"/>
                <wp:wrapNone/>
                <wp:docPr id="485"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56CA80">
                            <w:pPr>
                              <w:rPr>
                                <w:rFonts w:hint="default"/>
                                <w:lang w:val="en-US" w:eastAsia="zh-CN"/>
                              </w:rPr>
                            </w:pPr>
                            <w:r>
                              <w:rPr>
                                <w:rFonts w:hint="eastAsia" w:ascii="宋体" w:hAnsi="宋体" w:eastAsia="宋体" w:cs="宋体"/>
                                <w:color w:val="FF0000"/>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290.3pt;margin-top:196.65pt;height:22.55pt;width:27.05pt;z-index:251935744;mso-width-relative:page;mso-height-relative:page;" filled="f" stroked="f" coordsize="21600,21600" o:gfxdata="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4A0qk90AAAALAQAADwAAAAAAAAABACAAAAAi&#10;AAAAZHJzL2Rvd25yZXYueG1sUEsBAhQAFAAAAAgAh07iQKsNzdQ+AgAAaQQAAA4AAAAAAAAAAQAg&#10;AAAALAEAAGRycy9lMm9Eb2MueG1sUEsFBgAAAAAGAAYAWQEAANwFAAAAAA==&#10;">
                <v:fill on="f" focussize="0,0"/>
                <v:stroke on="f" weight="0.5pt"/>
                <v:imagedata o:title=""/>
                <o:lock v:ext="edit" aspectratio="f"/>
                <v:textbox>
                  <w:txbxContent>
                    <w:p w14:paraId="7056CA80">
                      <w:pPr>
                        <w:rPr>
                          <w:rFonts w:hint="default"/>
                          <w:lang w:val="en-US" w:eastAsia="zh-CN"/>
                        </w:rPr>
                      </w:pPr>
                      <w:r>
                        <w:rPr>
                          <w:rFonts w:hint="eastAsia" w:ascii="宋体" w:hAnsi="宋体" w:eastAsia="宋体" w:cs="宋体"/>
                          <w:color w:val="FF0000"/>
                          <w:lang w:val="en-US" w:eastAsia="zh-CN"/>
                        </w:rPr>
                        <w:t>○</w:t>
                      </w:r>
                    </w:p>
                  </w:txbxContent>
                </v:textbox>
              </v:shape>
            </w:pict>
          </mc:Fallback>
        </mc:AlternateContent>
      </w:r>
      <w:r>
        <w:rPr>
          <w:sz w:val="21"/>
        </w:rPr>
        <mc:AlternateContent>
          <mc:Choice Requires="wps">
            <w:drawing>
              <wp:anchor distT="0" distB="0" distL="114300" distR="114300" simplePos="0" relativeHeight="251941888" behindDoc="0" locked="0" layoutInCell="1" allowOverlap="1">
                <wp:simplePos x="0" y="0"/>
                <wp:positionH relativeFrom="column">
                  <wp:posOffset>4210685</wp:posOffset>
                </wp:positionH>
                <wp:positionV relativeFrom="paragraph">
                  <wp:posOffset>2564130</wp:posOffset>
                </wp:positionV>
                <wp:extent cx="343535" cy="286385"/>
                <wp:effectExtent l="0" t="0" r="0" b="0"/>
                <wp:wrapNone/>
                <wp:docPr id="486"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EBCD69">
                            <w:pPr>
                              <w:rPr>
                                <w:rFonts w:hint="default"/>
                                <w:lang w:val="en-US" w:eastAsia="zh-CN"/>
                              </w:rPr>
                            </w:pPr>
                            <w:r>
                              <w:rPr>
                                <w:rFonts w:hint="eastAsia" w:ascii="宋体" w:hAnsi="宋体" w:eastAsia="宋体" w:cs="宋体"/>
                                <w:color w:val="FF0000"/>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31.55pt;margin-top:201.9pt;height:22.55pt;width:27.05pt;z-index:251941888;mso-width-relative:page;mso-height-relative:page;" filled="f" stroked="f" coordsize="21600,21600" o:gfxdata="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izkfc3AAAAAsBAAAPAAAAAAAAAAEAIAAAACIA&#10;AABkcnMvZG93bnJldi54bWxQSwECFAAUAAAACACHTuJAB2vgIz4CAABpBAAADgAAAAAAAAABACAA&#10;AAArAQAAZHJzL2Uyb0RvYy54bWxQSwUGAAAAAAYABgBZAQAA2wUAAAAA&#10;">
                <v:fill on="f" focussize="0,0"/>
                <v:stroke on="f" weight="0.5pt"/>
                <v:imagedata o:title=""/>
                <o:lock v:ext="edit" aspectratio="f"/>
                <v:textbox>
                  <w:txbxContent>
                    <w:p w14:paraId="24EBCD69">
                      <w:pPr>
                        <w:rPr>
                          <w:rFonts w:hint="default"/>
                          <w:lang w:val="en-US" w:eastAsia="zh-CN"/>
                        </w:rPr>
                      </w:pPr>
                      <w:r>
                        <w:rPr>
                          <w:rFonts w:hint="eastAsia" w:ascii="宋体" w:hAnsi="宋体" w:eastAsia="宋体" w:cs="宋体"/>
                          <w:color w:val="FF0000"/>
                          <w:lang w:val="en-US" w:eastAsia="zh-CN"/>
                        </w:rPr>
                        <w:t>○</w:t>
                      </w:r>
                    </w:p>
                  </w:txbxContent>
                </v:textbox>
              </v:shape>
            </w:pict>
          </mc:Fallback>
        </mc:AlternateContent>
      </w:r>
      <w:r>
        <w:rPr>
          <w:sz w:val="21"/>
        </w:rPr>
        <mc:AlternateContent>
          <mc:Choice Requires="wps">
            <w:drawing>
              <wp:anchor distT="0" distB="0" distL="114300" distR="114300" simplePos="0" relativeHeight="251938816" behindDoc="0" locked="0" layoutInCell="1" allowOverlap="1">
                <wp:simplePos x="0" y="0"/>
                <wp:positionH relativeFrom="column">
                  <wp:posOffset>4353560</wp:posOffset>
                </wp:positionH>
                <wp:positionV relativeFrom="paragraph">
                  <wp:posOffset>2240280</wp:posOffset>
                </wp:positionV>
                <wp:extent cx="343535" cy="286385"/>
                <wp:effectExtent l="0" t="0" r="0" b="0"/>
                <wp:wrapNone/>
                <wp:docPr id="477"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E11ED1">
                            <w:pPr>
                              <w:rPr>
                                <w:rFonts w:hint="default"/>
                                <w:lang w:val="en-US" w:eastAsia="zh-CN"/>
                              </w:rPr>
                            </w:pPr>
                            <w:r>
                              <w:rPr>
                                <w:rFonts w:hint="eastAsia" w:ascii="宋体" w:hAnsi="宋体" w:eastAsia="宋体" w:cs="宋体"/>
                                <w:color w:val="FF0000"/>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42.8pt;margin-top:176.4pt;height:22.55pt;width:27.05pt;z-index:251938816;mso-width-relative:page;mso-height-relative:page;" filled="f" stroked="f" coordsize="21600,21600" o:gfxdata="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lCpdG2wAAAAsBAAAPAAAAAAAAAAEAIAAAACIA&#10;AABkcnMvZG93bnJldi54bWxQSwECFAAUAAAACACHTuJA74/+0D8CAABpBAAADgAAAAAAAAABACAA&#10;AAAqAQAAZHJzL2Uyb0RvYy54bWxQSwUGAAAAAAYABgBZAQAA2wUAAAAA&#10;">
                <v:fill on="f" focussize="0,0"/>
                <v:stroke on="f" weight="0.5pt"/>
                <v:imagedata o:title=""/>
                <o:lock v:ext="edit" aspectratio="f"/>
                <v:textbox>
                  <w:txbxContent>
                    <w:p w14:paraId="5EE11ED1">
                      <w:pPr>
                        <w:rPr>
                          <w:rFonts w:hint="default"/>
                          <w:lang w:val="en-US" w:eastAsia="zh-CN"/>
                        </w:rPr>
                      </w:pPr>
                      <w:r>
                        <w:rPr>
                          <w:rFonts w:hint="eastAsia" w:ascii="宋体" w:hAnsi="宋体" w:eastAsia="宋体" w:cs="宋体"/>
                          <w:color w:val="FF0000"/>
                          <w:lang w:val="en-US" w:eastAsia="zh-CN"/>
                        </w:rPr>
                        <w:t>◎</w:t>
                      </w:r>
                    </w:p>
                  </w:txbxContent>
                </v:textbox>
              </v:shape>
            </w:pict>
          </mc:Fallback>
        </mc:AlternateContent>
      </w:r>
      <w:r>
        <w:rPr>
          <w:sz w:val="21"/>
        </w:rPr>
        <mc:AlternateContent>
          <mc:Choice Requires="wps">
            <w:drawing>
              <wp:anchor distT="0" distB="0" distL="114300" distR="114300" simplePos="0" relativeHeight="251937792" behindDoc="0" locked="0" layoutInCell="1" allowOverlap="1">
                <wp:simplePos x="0" y="0"/>
                <wp:positionH relativeFrom="column">
                  <wp:posOffset>3601085</wp:posOffset>
                </wp:positionH>
                <wp:positionV relativeFrom="paragraph">
                  <wp:posOffset>2373630</wp:posOffset>
                </wp:positionV>
                <wp:extent cx="343535" cy="286385"/>
                <wp:effectExtent l="0" t="0" r="0" b="0"/>
                <wp:wrapNone/>
                <wp:docPr id="484"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9E78F9">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283.55pt;margin-top:186.9pt;height:22.55pt;width:27.05pt;z-index:251937792;mso-width-relative:page;mso-height-relative:page;" filled="f" stroked="f" coordsize="21600,21600" o:gfxdata="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PvHbdAAAACwEAAA8AAAAAAAAAAQAgAAAA&#10;IgAAAGRycy9kb3ducmV2LnhtbFBLAQIUABQAAAAIAIdO4kDwLfkwPwIAAGkEAAAOAAAAAAAAAAEA&#10;IAAAACwBAABkcnMvZTJvRG9jLnhtbFBLBQYAAAAABgAGAFkBAADdBQAAAAA=&#10;">
                <v:fill on="f" focussize="0,0"/>
                <v:stroke on="f" weight="0.5pt"/>
                <v:imagedata o:title=""/>
                <o:lock v:ext="edit" aspectratio="f"/>
                <v:textbox>
                  <w:txbxContent>
                    <w:p w14:paraId="319E78F9">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40864" behindDoc="0" locked="0" layoutInCell="1" allowOverlap="1">
                <wp:simplePos x="0" y="0"/>
                <wp:positionH relativeFrom="column">
                  <wp:posOffset>3953510</wp:posOffset>
                </wp:positionH>
                <wp:positionV relativeFrom="paragraph">
                  <wp:posOffset>2754630</wp:posOffset>
                </wp:positionV>
                <wp:extent cx="343535" cy="286385"/>
                <wp:effectExtent l="0" t="0" r="0" b="0"/>
                <wp:wrapNone/>
                <wp:docPr id="483"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602482">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11.3pt;margin-top:216.9pt;height:22.55pt;width:27.05pt;z-index:251940864;mso-width-relative:page;mso-height-relative:page;" filled="f" stroked="f" coordsize="21600,21600" o:gfxdata="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7XrGs3AAAAAsBAAAPAAAAAAAAAAEAIAAAACIA&#10;AABkcnMvZG93bnJldi54bWxQSwECFAAUAAAACACHTuJAssbm4T4CAABpBAAADgAAAAAAAAABACAA&#10;AAArAQAAZHJzL2Uyb0RvYy54bWxQSwUGAAAAAAYABgBZAQAA2wUAAAAA&#10;">
                <v:fill on="f" focussize="0,0"/>
                <v:stroke on="f" weight="0.5pt"/>
                <v:imagedata o:title=""/>
                <o:lock v:ext="edit" aspectratio="f"/>
                <v:textbox>
                  <w:txbxContent>
                    <w:p w14:paraId="26602482">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33696" behindDoc="0" locked="0" layoutInCell="1" allowOverlap="1">
                <wp:simplePos x="0" y="0"/>
                <wp:positionH relativeFrom="column">
                  <wp:posOffset>4439285</wp:posOffset>
                </wp:positionH>
                <wp:positionV relativeFrom="paragraph">
                  <wp:posOffset>2326005</wp:posOffset>
                </wp:positionV>
                <wp:extent cx="343535" cy="286385"/>
                <wp:effectExtent l="0" t="0" r="0" b="0"/>
                <wp:wrapNone/>
                <wp:docPr id="482"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E6E7C2">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49.55pt;margin-top:183.15pt;height:22.55pt;width:27.05pt;z-index:251933696;mso-width-relative:page;mso-height-relative:page;" filled="f" stroked="f" coordsize="21600,21600" o:gfxdata="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vyOoR90AAAALAQAADwAAAAAAAAABACAAAAAi&#10;AAAAZHJzL2Rvd25yZXYueG1sUEsBAhQAFAAAAAgAh07iQOnm0gU+AgAAaQQAAA4AAAAAAAAAAQAg&#10;AAAALAEAAGRycy9lMm9Eb2MueG1sUEsFBgAAAAAGAAYAWQEAANwFAAAAAA==&#10;">
                <v:fill on="f" focussize="0,0"/>
                <v:stroke on="f" weight="0.5pt"/>
                <v:imagedata o:title=""/>
                <o:lock v:ext="edit" aspectratio="f"/>
                <v:textbox>
                  <w:txbxContent>
                    <w:p w14:paraId="79E6E7C2">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sz w:val="21"/>
        </w:rPr>
        <mc:AlternateContent>
          <mc:Choice Requires="wps">
            <w:drawing>
              <wp:anchor distT="0" distB="0" distL="114300" distR="114300" simplePos="0" relativeHeight="251933696" behindDoc="0" locked="0" layoutInCell="1" allowOverlap="1">
                <wp:simplePos x="0" y="0"/>
                <wp:positionH relativeFrom="column">
                  <wp:posOffset>4029710</wp:posOffset>
                </wp:positionH>
                <wp:positionV relativeFrom="paragraph">
                  <wp:posOffset>2087880</wp:posOffset>
                </wp:positionV>
                <wp:extent cx="343535" cy="286385"/>
                <wp:effectExtent l="0" t="0" r="0" b="0"/>
                <wp:wrapNone/>
                <wp:docPr id="478" name="文本框 324"/>
                <wp:cNvGraphicFramePr/>
                <a:graphic xmlns:a="http://schemas.openxmlformats.org/drawingml/2006/main">
                  <a:graphicData uri="http://schemas.microsoft.com/office/word/2010/wordprocessingShape">
                    <wps:wsp>
                      <wps:cNvSpPr txBox="1"/>
                      <wps:spPr>
                        <a:xfrm>
                          <a:off x="0" y="0"/>
                          <a:ext cx="343535" cy="286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AFA93A">
                            <w:pPr>
                              <w:rPr>
                                <w:rFonts w:hint="default"/>
                                <w:b/>
                                <w:bCs/>
                                <w:lang w:val="en-US" w:eastAsia="zh-CN"/>
                              </w:rPr>
                            </w:pPr>
                            <w:r>
                              <w:rPr>
                                <w:rFonts w:hint="eastAsia" w:ascii="宋体" w:hAnsi="宋体" w:eastAsia="宋体" w:cs="宋体"/>
                                <w:b/>
                                <w:bCs/>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24" o:spid="_x0000_s1026" o:spt="202" type="#_x0000_t202" style="position:absolute;left:0pt;margin-left:317.3pt;margin-top:164.4pt;height:22.55pt;width:27.05pt;z-index:251933696;mso-width-relative:page;mso-height-relative:page;" filled="f" stroked="f" coordsize="21600,21600" o:gfxdata="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NihiW3AAAAAsBAAAPAAAAAAAAAAEAIAAAACIA&#10;AABkcnMvZG93bnJldi54bWxQSwECFAAUAAAACACHTuJAcX+ETT4CAABpBAAADgAAAAAAAAABACAA&#10;AAArAQAAZHJzL2Uyb0RvYy54bWxQSwUGAAAAAAYABgBZAQAA2wUAAAAA&#10;">
                <v:fill on="f" focussize="0,0"/>
                <v:stroke on="f" weight="0.5pt"/>
                <v:imagedata o:title=""/>
                <o:lock v:ext="edit" aspectratio="f"/>
                <v:textbox>
                  <w:txbxContent>
                    <w:p w14:paraId="55AFA93A">
                      <w:pPr>
                        <w:rPr>
                          <w:rFonts w:hint="default"/>
                          <w:b/>
                          <w:bCs/>
                          <w:lang w:val="en-US" w:eastAsia="zh-CN"/>
                        </w:rPr>
                      </w:pPr>
                      <w:r>
                        <w:rPr>
                          <w:rFonts w:hint="eastAsia" w:ascii="宋体" w:hAnsi="宋体" w:eastAsia="宋体" w:cs="宋体"/>
                          <w:b/>
                          <w:bCs/>
                          <w:lang w:val="en-US" w:eastAsia="zh-CN"/>
                        </w:rPr>
                        <w:t>△</w:t>
                      </w:r>
                    </w:p>
                  </w:txbxContent>
                </v:textbox>
              </v:shape>
            </w:pict>
          </mc:Fallback>
        </mc:AlternateContent>
      </w:r>
      <w:r>
        <w:rPr>
          <w:color w:val="auto"/>
          <w:sz w:val="21"/>
        </w:rPr>
        <mc:AlternateContent>
          <mc:Choice Requires="wps">
            <w:drawing>
              <wp:anchor distT="0" distB="0" distL="114300" distR="114300" simplePos="0" relativeHeight="251939840" behindDoc="0" locked="0" layoutInCell="1" allowOverlap="1">
                <wp:simplePos x="0" y="0"/>
                <wp:positionH relativeFrom="column">
                  <wp:posOffset>2426970</wp:posOffset>
                </wp:positionH>
                <wp:positionV relativeFrom="paragraph">
                  <wp:posOffset>5308600</wp:posOffset>
                </wp:positionV>
                <wp:extent cx="4391025" cy="381000"/>
                <wp:effectExtent l="0" t="0" r="0" b="0"/>
                <wp:wrapNone/>
                <wp:docPr id="476" name="文本框 476"/>
                <wp:cNvGraphicFramePr/>
                <a:graphic xmlns:a="http://schemas.openxmlformats.org/drawingml/2006/main">
                  <a:graphicData uri="http://schemas.microsoft.com/office/word/2010/wordprocessingShape">
                    <wps:wsp>
                      <wps:cNvSpPr txBox="1"/>
                      <wps:spPr>
                        <a:xfrm>
                          <a:off x="0" y="0"/>
                          <a:ext cx="439102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656BB1">
                            <w:pPr>
                              <w:jc w:val="center"/>
                              <w:rPr>
                                <w:rFonts w:hint="default" w:eastAsia="宋体"/>
                                <w:b/>
                                <w:bCs/>
                                <w:sz w:val="30"/>
                                <w:szCs w:val="30"/>
                                <w:lang w:val="en-US" w:eastAsia="zh-CN"/>
                              </w:rPr>
                            </w:pPr>
                            <w:r>
                              <w:rPr>
                                <w:rFonts w:hint="eastAsia"/>
                                <w:b/>
                                <w:bCs/>
                                <w:sz w:val="30"/>
                                <w:szCs w:val="30"/>
                                <w:lang w:eastAsia="zh-CN"/>
                              </w:rPr>
                              <w:t>附图八</w:t>
                            </w:r>
                            <w:r>
                              <w:rPr>
                                <w:rFonts w:hint="eastAsia"/>
                                <w:b/>
                                <w:bCs/>
                                <w:sz w:val="30"/>
                                <w:szCs w:val="30"/>
                                <w:lang w:val="en-US" w:eastAsia="zh-CN"/>
                              </w:rPr>
                              <w:t xml:space="preserve">  项目跟踪监测点位图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1pt;margin-top:418pt;height:30pt;width:345.75pt;z-index:251939840;mso-width-relative:page;mso-height-relative:page;" filled="f" stroked="f" coordsize="21600,21600" o:gfxdata="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LuLXM2wAAAAwBAAAPAAAAAAAAAAEAIAAAACIA&#10;AABkcnMvZG93bnJldi54bWxQSwECFAAUAAAACACHTuJAHqZovz8CAABqBAAADgAAAAAAAAABACAA&#10;AAAqAQAAZHJzL2Uyb0RvYy54bWxQSwUGAAAAAAYABgBZAQAA2wUAAAAA&#10;">
                <v:fill on="f" focussize="0,0"/>
                <v:stroke on="f" weight="0.5pt"/>
                <v:imagedata o:title=""/>
                <o:lock v:ext="edit" aspectratio="f"/>
                <v:textbox>
                  <w:txbxContent>
                    <w:p w14:paraId="3D656BB1">
                      <w:pPr>
                        <w:jc w:val="center"/>
                        <w:rPr>
                          <w:rFonts w:hint="default" w:eastAsia="宋体"/>
                          <w:b/>
                          <w:bCs/>
                          <w:sz w:val="30"/>
                          <w:szCs w:val="30"/>
                          <w:lang w:val="en-US" w:eastAsia="zh-CN"/>
                        </w:rPr>
                      </w:pPr>
                      <w:r>
                        <w:rPr>
                          <w:rFonts w:hint="eastAsia"/>
                          <w:b/>
                          <w:bCs/>
                          <w:sz w:val="30"/>
                          <w:szCs w:val="30"/>
                          <w:lang w:eastAsia="zh-CN"/>
                        </w:rPr>
                        <w:t>附图八</w:t>
                      </w:r>
                      <w:r>
                        <w:rPr>
                          <w:rFonts w:hint="eastAsia"/>
                          <w:b/>
                          <w:bCs/>
                          <w:sz w:val="30"/>
                          <w:szCs w:val="30"/>
                          <w:lang w:val="en-US" w:eastAsia="zh-CN"/>
                        </w:rPr>
                        <w:t xml:space="preserve">  项目跟踪监测点位图</w:t>
                      </w:r>
                    </w:p>
                  </w:txbxContent>
                </v:textbox>
              </v:shape>
            </w:pict>
          </mc:Fallback>
        </mc:AlternateContent>
      </w:r>
    </w:p>
    <w:p w14:paraId="1CACD1EB">
      <w:pPr>
        <w:rPr>
          <w:rFonts w:hint="eastAsia"/>
          <w:lang w:eastAsia="zh-CN"/>
        </w:rPr>
      </w:pPr>
    </w:p>
    <w:sectPr>
      <w:pgSz w:w="16838" w:h="11906" w:orient="landscape"/>
      <w:pgMar w:top="1797" w:right="1440" w:bottom="1797" w:left="1440" w:header="851" w:footer="992" w:gutter="0"/>
      <w:pgBorders>
        <w:top w:val="none" w:sz="0" w:space="0"/>
        <w:left w:val="none" w:sz="0" w:space="0"/>
        <w:bottom w:val="none" w:sz="0" w:space="0"/>
        <w:right w:val="none" w:sz="0" w:space="0"/>
      </w:pgBorders>
      <w:pgNumType w:fmt="numberInDash"/>
      <w:cols w:space="720" w:num="1"/>
      <w:docGrid w:linePitch="312" w:charSpace="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8"/>
    <w:family w:val="script"/>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华康简魏碑">
    <w:altName w:val="宋体"/>
    <w:panose1 w:val="00000000000000000000"/>
    <w:charset w:val="86"/>
    <w:family w:val="modern"/>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Arial Unicode MS">
    <w:panose1 w:val="020B0604020202020204"/>
    <w:charset w:val="86"/>
    <w:family w:val="swiss"/>
    <w:pitch w:val="default"/>
    <w:sig w:usb0="FFFFFFFF" w:usb1="E9FFFFFF" w:usb2="0000003F" w:usb3="00000000" w:csb0="603F01FF" w:csb1="FFFF0000"/>
  </w:font>
  <w:font w:name="Verdana">
    <w:panose1 w:val="020B0604030504040204"/>
    <w:charset w:val="00"/>
    <w:family w:val="swiss"/>
    <w:pitch w:val="default"/>
    <w:sig w:usb0="A10006FF" w:usb1="4000205B" w:usb2="00000010" w:usb3="00000000" w:csb0="2000019F" w:csb1="00000000"/>
  </w:font>
  <w:font w:name="Times">
    <w:altName w:val="Times New Roman"/>
    <w:panose1 w:val="02020603050405020304"/>
    <w:charset w:val="00"/>
    <w:family w:val="roman"/>
    <w:pitch w:val="default"/>
    <w:sig w:usb0="00000000" w:usb1="00000000" w:usb2="00000009" w:usb3="00000000" w:csb0="000001FF" w:csb1="00000000"/>
  </w:font>
  <w:font w:name="Arial Narrow">
    <w:altName w:val="Arial"/>
    <w:panose1 w:val="020B0606020202030204"/>
    <w:charset w:val="00"/>
    <w:family w:val="swiss"/>
    <w:pitch w:val="default"/>
    <w:sig w:usb0="00000000" w:usb1="00000000" w:usb2="00000000" w:usb3="00000000" w:csb0="2000009F" w:csb1="DFD70000"/>
  </w:font>
  <w:font w:name="方正姚体">
    <w:panose1 w:val="02010601030101010101"/>
    <w:charset w:val="86"/>
    <w:family w:val="auto"/>
    <w:pitch w:val="default"/>
    <w:sig w:usb0="00000003" w:usb1="080E0000" w:usb2="00000000" w:usb3="00000000" w:csb0="00040000" w:csb1="00000000"/>
  </w:font>
  <w:font w:name="Cambria">
    <w:panose1 w:val="02040503050406030204"/>
    <w:charset w:val="00"/>
    <w:family w:val="roman"/>
    <w:pitch w:val="default"/>
    <w:sig w:usb0="E00002FF" w:usb1="40000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2FF" w:usb1="420024FF" w:usb2="00000000" w:usb3="00000000" w:csb0="2000019F" w:csb1="0000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960E65">
    <w:pPr>
      <w:pStyle w:val="35"/>
      <w:tabs>
        <w:tab w:val="clear" w:pos="4153"/>
        <w:tab w:val="clear" w:pos="8306"/>
      </w:tabs>
      <w:rPr>
        <w:sz w:val="21"/>
        <w:szCs w:val="21"/>
      </w:rPr>
    </w:pPr>
    <w:r>
      <w:rPr>
        <w:sz w:val="21"/>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371"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DA1D00C">
                          <w:pPr>
                            <w:pStyle w:val="35"/>
                          </w:pPr>
                          <w:r>
                            <w:fldChar w:fldCharType="begin"/>
                          </w:r>
                          <w:r>
                            <w:instrText xml:space="preserve"> PAGE  \* MERGEFORMAT </w:instrText>
                          </w:r>
                          <w:r>
                            <w:fldChar w:fldCharType="separate"/>
                          </w:r>
                          <w:r>
                            <w:t>1</w:t>
                          </w:r>
                          <w:r>
                            <w:fldChar w:fldCharType="end"/>
                          </w:r>
                        </w:p>
                      </w:txbxContent>
                    </wps:txbx>
                    <wps:bodyPr wrap="none" lIns="0" tIns="0" rIns="0" bIns="0">
                      <a:spAutoFit/>
                    </wps:bodyPr>
                  </wps:wsp>
                </a:graphicData>
              </a:graphic>
            </wp:anchor>
          </w:drawing>
        </mc:Choice>
        <mc:Fallback>
          <w:pict>
            <v:shape id="文本框 43"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zql5uc8AAAAFAQAADwAAAAAAAAABACAAAAAiAAAAZHJzL2Rvd25yZXYueG1sUEsB&#10;AhQAFAAAAAgAh07iQKE4G7LFAQAAkAMAAA4AAAAAAAAAAQAgAAAAHgEAAGRycy9lMm9Eb2MueG1s&#10;UEsFBgAAAAAGAAYAWQEAAFUFAAAAAA==&#10;">
              <v:fill on="f" focussize="0,0"/>
              <v:stroke on="f"/>
              <v:imagedata o:title=""/>
              <o:lock v:ext="edit" aspectratio="f"/>
              <v:textbox inset="0mm,0mm,0mm,0mm" style="mso-fit-shape-to-text:t;">
                <w:txbxContent>
                  <w:p w14:paraId="1DA1D00C">
                    <w:pPr>
                      <w:pStyle w:val="3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5E9964">
    <w:pPr>
      <w:pStyle w:val="35"/>
      <w:tabs>
        <w:tab w:val="clear" w:pos="4153"/>
        <w:tab w:val="clear" w:pos="8306"/>
      </w:tabs>
      <w:rPr>
        <w:sz w:val="21"/>
        <w:szCs w:val="21"/>
      </w:rPr>
    </w:pPr>
    <w:r>
      <w:rPr>
        <w:sz w:val="21"/>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50" name="文本框 4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63A988">
                          <w:pPr>
                            <w:pStyle w:val="35"/>
                          </w:pPr>
                          <w:r>
                            <w:fldChar w:fldCharType="begin"/>
                          </w:r>
                          <w:r>
                            <w:instrText xml:space="preserve"> PAGE  \* MERGEFORMAT </w:instrText>
                          </w:r>
                          <w:r>
                            <w:fldChar w:fldCharType="separate"/>
                          </w:r>
                          <w:r>
                            <w:t>IV</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OsYwBDICAABlBAAADgAAAAAAAAABACAAAAAfAQAAZHJzL2Uyb0RvYy54bWxQSwUG&#10;AAAAAAYABgBZAQAAwwUAAAAA&#10;">
              <v:fill on="f" focussize="0,0"/>
              <v:stroke on="f" weight="0.5pt"/>
              <v:imagedata o:title=""/>
              <o:lock v:ext="edit" aspectratio="f"/>
              <v:textbox inset="0mm,0mm,0mm,0mm" style="mso-fit-shape-to-text:t;">
                <w:txbxContent>
                  <w:p w14:paraId="2D63A988">
                    <w:pPr>
                      <w:pStyle w:val="35"/>
                    </w:pPr>
                    <w:r>
                      <w:fldChar w:fldCharType="begin"/>
                    </w:r>
                    <w:r>
                      <w:instrText xml:space="preserve"> PAGE  \* MERGEFORMAT </w:instrText>
                    </w:r>
                    <w:r>
                      <w:fldChar w:fldCharType="separate"/>
                    </w:r>
                    <w:r>
                      <w:t>IV</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08B465">
    <w:pPr>
      <w:pStyle w:val="35"/>
      <w:adjustRightInd w:val="0"/>
      <w:jc w:val="center"/>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455" name="文本框 4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994D14">
                          <w:pPr>
                            <w:pStyle w:val="35"/>
                          </w:pPr>
                          <w:r>
                            <w:fldChar w:fldCharType="begin"/>
                          </w:r>
                          <w:r>
                            <w:instrText xml:space="preserve"> PAGE  \* MERGEFORMAT </w:instrText>
                          </w:r>
                          <w:r>
                            <w:fldChar w:fldCharType="separate"/>
                          </w:r>
                          <w:r>
                            <w:t>XXXV</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gUeHNAIAAGUEAAAOAAAAAAAAAAEAIAAAAB8BAABkcnMvZTJvRG9jLnhtbFBL&#10;BQYAAAAABgAGAFkBAADFBQAAAAA=&#10;">
              <v:fill on="f" focussize="0,0"/>
              <v:stroke on="f" weight="0.5pt"/>
              <v:imagedata o:title=""/>
              <o:lock v:ext="edit" aspectratio="f"/>
              <v:textbox inset="0mm,0mm,0mm,0mm" style="mso-fit-shape-to-text:t;">
                <w:txbxContent>
                  <w:p w14:paraId="31994D14">
                    <w:pPr>
                      <w:pStyle w:val="35"/>
                    </w:pPr>
                    <w:r>
                      <w:fldChar w:fldCharType="begin"/>
                    </w:r>
                    <w:r>
                      <w:instrText xml:space="preserve"> PAGE  \* MERGEFORMAT </w:instrText>
                    </w:r>
                    <w:r>
                      <w:fldChar w:fldCharType="separate"/>
                    </w:r>
                    <w:r>
                      <w:t>XXXV</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653A39">
    <w:pPr>
      <w:spacing w:line="176" w:lineRule="auto"/>
      <w:rPr>
        <w:rFonts w:ascii="宋体" w:hAnsi="宋体" w:eastAsia="宋体" w:cs="宋体"/>
        <w:sz w:val="24"/>
        <w:szCs w:val="24"/>
      </w:rPr>
    </w:pPr>
    <w:r>
      <w:rPr>
        <w:sz w:val="24"/>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45DE9E">
                          <w:pPr>
                            <w:pStyle w:val="35"/>
                          </w:pPr>
                          <w:r>
                            <w:fldChar w:fldCharType="begin"/>
                          </w:r>
                          <w:r>
                            <w:instrText xml:space="preserve"> PAGE  \* MERGEFORMAT </w:instrText>
                          </w:r>
                          <w:r>
                            <w:fldChar w:fldCharType="separate"/>
                          </w:r>
                          <w:r>
                            <w:t>CXVIII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g6Gf4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g6Gf4zAgAAYwQAAA4AAAAAAAAAAQAgAAAAHwEAAGRycy9lMm9Eb2MueG1sUEsF&#10;BgAAAAAGAAYAWQEAAMQFAAAAAA==&#10;">
              <v:fill on="f" focussize="0,0"/>
              <v:stroke on="f" weight="0.5pt"/>
              <v:imagedata o:title=""/>
              <o:lock v:ext="edit" aspectratio="f"/>
              <v:textbox inset="0mm,0mm,0mm,0mm" style="mso-fit-shape-to-text:t;">
                <w:txbxContent>
                  <w:p w14:paraId="1F45DE9E">
                    <w:pPr>
                      <w:pStyle w:val="35"/>
                    </w:pPr>
                    <w:r>
                      <w:fldChar w:fldCharType="begin"/>
                    </w:r>
                    <w:r>
                      <w:instrText xml:space="preserve"> PAGE  \* MERGEFORMAT </w:instrText>
                    </w:r>
                    <w:r>
                      <w:fldChar w:fldCharType="separate"/>
                    </w:r>
                    <w:r>
                      <w:t>CXVIII</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CDB401">
    <w:pPr>
      <w:pStyle w:val="35"/>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456" name="文本框 4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8B5CF5">
                          <w:pPr>
                            <w:pStyle w:val="35"/>
                          </w:pPr>
                          <w:r>
                            <w:fldChar w:fldCharType="begin"/>
                          </w:r>
                          <w:r>
                            <w:instrText xml:space="preserve"> PAGE  \* MERGEFORMAT </w:instrText>
                          </w:r>
                          <w:r>
                            <w:fldChar w:fldCharType="separate"/>
                          </w:r>
                          <w:r>
                            <w:t>XCIV</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CQ5X5NAIAAGUEAAAOAAAAAAAAAAEAIAAAAB8BAABkcnMvZTJvRG9jLnhtbFBL&#10;BQYAAAAABgAGAFkBAADFBQAAAAA=&#10;">
              <v:fill on="f" focussize="0,0"/>
              <v:stroke on="f" weight="0.5pt"/>
              <v:imagedata o:title=""/>
              <o:lock v:ext="edit" aspectratio="f"/>
              <v:textbox inset="0mm,0mm,0mm,0mm" style="mso-fit-shape-to-text:t;">
                <w:txbxContent>
                  <w:p w14:paraId="0A8B5CF5">
                    <w:pPr>
                      <w:pStyle w:val="35"/>
                    </w:pPr>
                    <w:r>
                      <w:fldChar w:fldCharType="begin"/>
                    </w:r>
                    <w:r>
                      <w:instrText xml:space="preserve"> PAGE  \* MERGEFORMAT </w:instrText>
                    </w:r>
                    <w:r>
                      <w:fldChar w:fldCharType="separate"/>
                    </w:r>
                    <w:r>
                      <w:t>XCIV</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EF68E0">
    <w:pPr>
      <w:pStyle w:val="35"/>
      <w:jc w:val="both"/>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457" name="文本框 4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F0F177">
                          <w:pPr>
                            <w:pStyle w:val="35"/>
                          </w:pPr>
                          <w:r>
                            <w:fldChar w:fldCharType="begin"/>
                          </w:r>
                          <w:r>
                            <w:instrText xml:space="preserve"> PAGE  \* MERGEFORMAT </w:instrText>
                          </w:r>
                          <w:r>
                            <w:fldChar w:fldCharType="separate"/>
                          </w:r>
                          <w:r>
                            <w:t>CXCI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qf8LZTUCAABlBAAADgAAAAAAAAABACAAAAAfAQAAZHJzL2Uyb0RvYy54bWxQ&#10;SwUGAAAAAAYABgBZAQAAxgUAAAAA&#10;">
              <v:fill on="f" focussize="0,0"/>
              <v:stroke on="f" weight="0.5pt"/>
              <v:imagedata o:title=""/>
              <o:lock v:ext="edit" aspectratio="f"/>
              <v:textbox inset="0mm,0mm,0mm,0mm" style="mso-fit-shape-to-text:t;">
                <w:txbxContent>
                  <w:p w14:paraId="2AF0F177">
                    <w:pPr>
                      <w:pStyle w:val="35"/>
                    </w:pPr>
                    <w:r>
                      <w:fldChar w:fldCharType="begin"/>
                    </w:r>
                    <w:r>
                      <w:instrText xml:space="preserve"> PAGE  \* MERGEFORMAT </w:instrText>
                    </w:r>
                    <w:r>
                      <w:fldChar w:fldCharType="separate"/>
                    </w:r>
                    <w:r>
                      <w:t>CXCI</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2B04B8">
    <w:pPr>
      <w:pStyle w:val="35"/>
      <w:jc w:val="center"/>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458" name="文本框 4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2A87E3">
                          <w:pPr>
                            <w:pStyle w:val="35"/>
                          </w:pPr>
                          <w:r>
                            <w:fldChar w:fldCharType="begin"/>
                          </w:r>
                          <w:r>
                            <w:instrText xml:space="preserve"> PAGE  \* MERGEFORMAT </w:instrText>
                          </w:r>
                          <w:r>
                            <w:fldChar w:fldCharType="separate"/>
                          </w:r>
                          <w:r>
                            <w:t>CCXI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Qw4zs0AgAAZQ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kMOM7NAIAAGUEAAAOAAAAAAAAAAEAIAAAAB8BAABkcnMvZTJvRG9jLnhtbFBL&#10;BQYAAAAABgAGAFkBAADFBQAAAAA=&#10;">
              <v:fill on="f" focussize="0,0"/>
              <v:stroke on="f" weight="0.5pt"/>
              <v:imagedata o:title=""/>
              <o:lock v:ext="edit" aspectratio="f"/>
              <v:textbox inset="0mm,0mm,0mm,0mm" style="mso-fit-shape-to-text:t;">
                <w:txbxContent>
                  <w:p w14:paraId="362A87E3">
                    <w:pPr>
                      <w:pStyle w:val="35"/>
                    </w:pPr>
                    <w:r>
                      <w:fldChar w:fldCharType="begin"/>
                    </w:r>
                    <w:r>
                      <w:instrText xml:space="preserve"> PAGE  \* MERGEFORMAT </w:instrText>
                    </w:r>
                    <w:r>
                      <w:fldChar w:fldCharType="separate"/>
                    </w:r>
                    <w:r>
                      <w:t>CCXI</w:t>
                    </w:r>
                    <w:r>
                      <w:fldChar w:fldCharType="end"/>
                    </w:r>
                  </w:p>
                </w:txbxContent>
              </v:textbox>
            </v:shape>
          </w:pict>
        </mc:Fallback>
      </mc:AlternateContent>
    </w:r>
  </w:p>
  <w:p w14:paraId="5B2B9290">
    <w:pPr>
      <w:pStyle w:val="3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87E3EB">
    <w:pPr>
      <w:pStyle w:val="36"/>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86D97C">
    <w:pPr>
      <w:pStyle w:val="378"/>
      <w:pBdr>
        <w:bottom w:val="single" w:color="auto" w:sz="4" w:space="0"/>
      </w:pBdr>
      <w:ind w:firstLine="0"/>
      <w:jc w:val="right"/>
      <w:rPr>
        <w:b/>
        <w:bCs/>
        <w:sz w:val="18"/>
        <w:szCs w:val="18"/>
      </w:rPr>
    </w:pPr>
    <w:r>
      <w:rPr>
        <w:rFonts w:hint="eastAsia"/>
        <w:b/>
        <w:bCs/>
        <w:sz w:val="18"/>
        <w:szCs w:val="18"/>
        <w:lang w:eastAsia="zh-CN"/>
      </w:rPr>
      <w:t>北票天勤农牧科技有限公司100万只蛋鸡养殖基地建设项目</w:t>
    </w:r>
    <w:r>
      <w:rPr>
        <w:b/>
        <w:bCs/>
        <w:sz w:val="18"/>
        <w:szCs w:val="18"/>
      </w:rPr>
      <w:t>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A4F8F4">
    <w:pPr>
      <w:pStyle w:val="378"/>
      <w:pBdr>
        <w:bottom w:val="single" w:color="auto" w:sz="4" w:space="0"/>
      </w:pBdr>
      <w:ind w:firstLine="0"/>
      <w:jc w:val="right"/>
      <w:rPr>
        <w:sz w:val="18"/>
        <w:szCs w:val="18"/>
      </w:rPr>
    </w:pPr>
    <w:r>
      <w:rPr>
        <w:rFonts w:hint="eastAsia"/>
        <w:b/>
        <w:bCs/>
        <w:sz w:val="18"/>
        <w:szCs w:val="18"/>
        <w:lang w:eastAsia="zh-CN"/>
      </w:rPr>
      <w:t>北票天勤农牧科技有限公司100万只蛋鸡养殖基地建设项目</w:t>
    </w:r>
    <w:r>
      <w:rPr>
        <w:b/>
        <w:bCs/>
        <w:sz w:val="18"/>
        <w:szCs w:val="18"/>
      </w:rPr>
      <w:t>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A3DD0A">
    <w:pPr>
      <w:pStyle w:val="378"/>
      <w:pBdr>
        <w:bottom w:val="single" w:color="auto" w:sz="4" w:space="0"/>
      </w:pBdr>
      <w:ind w:firstLine="0"/>
      <w:jc w:val="right"/>
      <w:rPr>
        <w:rFonts w:hAnsi="宋体"/>
        <w:b/>
        <w:bCs/>
        <w:sz w:val="18"/>
        <w:szCs w:val="18"/>
      </w:rPr>
    </w:pPr>
    <w:r>
      <w:rPr>
        <w:rFonts w:hint="eastAsia"/>
        <w:b/>
        <w:bCs/>
        <w:sz w:val="18"/>
        <w:szCs w:val="18"/>
        <w:lang w:eastAsia="zh-CN"/>
      </w:rPr>
      <w:t>北票天勤农牧科技有限公司100万只蛋鸡养殖基地建设项目</w:t>
    </w:r>
    <w:r>
      <w:rPr>
        <w:rFonts w:hint="eastAsia" w:hAnsi="宋体"/>
        <w:b/>
        <w:bCs/>
        <w:sz w:val="18"/>
        <w:szCs w:val="18"/>
      </w:rPr>
      <w:t>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D676DA">
    <w:pPr>
      <w:pStyle w:val="378"/>
      <w:pBdr>
        <w:bottom w:val="single" w:color="auto" w:sz="4" w:space="0"/>
      </w:pBdr>
      <w:ind w:firstLine="0"/>
      <w:jc w:val="right"/>
    </w:pPr>
    <w:r>
      <w:rPr>
        <w:rFonts w:hint="eastAsia"/>
        <w:b/>
        <w:bCs/>
        <w:sz w:val="18"/>
        <w:szCs w:val="18"/>
        <w:lang w:eastAsia="zh-CN"/>
      </w:rPr>
      <w:t>北票天勤农牧科技有限公司100万只蛋鸡养殖基地建设项目</w:t>
    </w:r>
    <w:r>
      <w:rPr>
        <w:rFonts w:hint="eastAsia" w:hAnsi="宋体"/>
        <w:b/>
        <w:bCs/>
        <w:sz w:val="18"/>
        <w:szCs w:val="18"/>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A6F1CC9"/>
    <w:multiLevelType w:val="singleLevel"/>
    <w:tmpl w:val="AA6F1CC9"/>
    <w:lvl w:ilvl="0" w:tentative="0">
      <w:start w:val="1"/>
      <w:numFmt w:val="decimal"/>
      <w:suff w:val="nothing"/>
      <w:lvlText w:val="（%1）"/>
      <w:lvlJc w:val="left"/>
    </w:lvl>
  </w:abstractNum>
  <w:abstractNum w:abstractNumId="1">
    <w:nsid w:val="FFFFFF88"/>
    <w:multiLevelType w:val="singleLevel"/>
    <w:tmpl w:val="FFFFFF88"/>
    <w:lvl w:ilvl="0" w:tentative="0">
      <w:start w:val="1"/>
      <w:numFmt w:val="decimal"/>
      <w:pStyle w:val="333"/>
      <w:lvlText w:val="%1."/>
      <w:lvlJc w:val="left"/>
      <w:pPr>
        <w:tabs>
          <w:tab w:val="left" w:pos="360"/>
        </w:tabs>
        <w:ind w:left="360" w:hanging="360"/>
      </w:pPr>
    </w:lvl>
  </w:abstractNum>
  <w:abstractNum w:abstractNumId="2">
    <w:nsid w:val="FFFFFFFB"/>
    <w:multiLevelType w:val="multilevel"/>
    <w:tmpl w:val="FFFFFFFB"/>
    <w:lvl w:ilvl="0" w:tentative="0">
      <w:start w:val="1"/>
      <w:numFmt w:val="none"/>
      <w:suff w:val="nothing"/>
      <w:lvlText w:val=""/>
      <w:lvlJc w:val="left"/>
      <w:pPr>
        <w:ind w:left="425" w:hanging="425"/>
      </w:pPr>
      <w:rPr>
        <w:rFonts w:hint="eastAsia"/>
      </w:rPr>
    </w:lvl>
    <w:lvl w:ilvl="1" w:tentative="0">
      <w:start w:val="1"/>
      <w:numFmt w:val="none"/>
      <w:lvlText w:val=""/>
      <w:lvlJc w:val="left"/>
      <w:pPr>
        <w:tabs>
          <w:tab w:val="left" w:pos="0"/>
        </w:tabs>
        <w:ind w:left="425" w:firstLine="0"/>
      </w:pPr>
      <w:rPr>
        <w:rFonts w:hint="eastAsia"/>
      </w:rPr>
    </w:lvl>
    <w:lvl w:ilvl="2" w:tentative="0">
      <w:start w:val="1"/>
      <w:numFmt w:val="none"/>
      <w:suff w:val="nothing"/>
      <w:lvlText w:val=""/>
      <w:lvlJc w:val="left"/>
      <w:pPr>
        <w:ind w:left="425" w:firstLine="0"/>
      </w:pPr>
      <w:rPr>
        <w:rFonts w:hint="eastAsia"/>
      </w:rPr>
    </w:lvl>
    <w:lvl w:ilvl="3" w:tentative="0">
      <w:start w:val="1"/>
      <w:numFmt w:val="lowerLetter"/>
      <w:pStyle w:val="5"/>
      <w:lvlText w:val="%4."/>
      <w:lvlJc w:val="left"/>
      <w:pPr>
        <w:tabs>
          <w:tab w:val="left" w:pos="850"/>
        </w:tabs>
        <w:ind w:left="850" w:hanging="425"/>
      </w:pPr>
      <w:rPr>
        <w:rFonts w:hint="eastAsia"/>
      </w:rPr>
    </w:lvl>
    <w:lvl w:ilvl="4" w:tentative="0">
      <w:start w:val="1"/>
      <w:numFmt w:val="decimal"/>
      <w:pStyle w:val="6"/>
      <w:lvlText w:val="(%5)"/>
      <w:lvlJc w:val="left"/>
      <w:pPr>
        <w:tabs>
          <w:tab w:val="left" w:pos="0"/>
        </w:tabs>
        <w:ind w:left="1275" w:hanging="425"/>
      </w:pPr>
      <w:rPr>
        <w:rFonts w:hint="eastAsia"/>
      </w:rPr>
    </w:lvl>
    <w:lvl w:ilvl="5" w:tentative="0">
      <w:start w:val="1"/>
      <w:numFmt w:val="lowerLetter"/>
      <w:pStyle w:val="7"/>
      <w:lvlText w:val="(%6)"/>
      <w:lvlJc w:val="left"/>
      <w:pPr>
        <w:tabs>
          <w:tab w:val="left" w:pos="0"/>
        </w:tabs>
        <w:ind w:left="1700" w:hanging="425"/>
      </w:pPr>
      <w:rPr>
        <w:rFonts w:hint="eastAsia"/>
      </w:rPr>
    </w:lvl>
    <w:lvl w:ilvl="6" w:tentative="0">
      <w:start w:val="1"/>
      <w:numFmt w:val="lowerRoman"/>
      <w:pStyle w:val="8"/>
      <w:lvlText w:val="(%7)"/>
      <w:lvlJc w:val="left"/>
      <w:pPr>
        <w:tabs>
          <w:tab w:val="left" w:pos="0"/>
        </w:tabs>
        <w:ind w:left="2125" w:hanging="425"/>
      </w:pPr>
      <w:rPr>
        <w:rFonts w:hint="eastAsia"/>
      </w:rPr>
    </w:lvl>
    <w:lvl w:ilvl="7" w:tentative="0">
      <w:start w:val="1"/>
      <w:numFmt w:val="lowerLetter"/>
      <w:pStyle w:val="9"/>
      <w:lvlText w:val="(%8)"/>
      <w:lvlJc w:val="left"/>
      <w:pPr>
        <w:tabs>
          <w:tab w:val="left" w:pos="0"/>
        </w:tabs>
        <w:ind w:left="2550" w:hanging="425"/>
      </w:pPr>
      <w:rPr>
        <w:rFonts w:hint="eastAsia"/>
      </w:rPr>
    </w:lvl>
    <w:lvl w:ilvl="8" w:tentative="0">
      <w:start w:val="1"/>
      <w:numFmt w:val="lowerRoman"/>
      <w:pStyle w:val="10"/>
      <w:lvlText w:val="(%9)"/>
      <w:lvlJc w:val="left"/>
      <w:pPr>
        <w:tabs>
          <w:tab w:val="left" w:pos="0"/>
        </w:tabs>
        <w:ind w:left="2975" w:hanging="425"/>
      </w:pPr>
      <w:rPr>
        <w:rFonts w:hint="eastAsia"/>
      </w:rPr>
    </w:lvl>
  </w:abstractNum>
  <w:abstractNum w:abstractNumId="3">
    <w:nsid w:val="00000004"/>
    <w:multiLevelType w:val="multilevel"/>
    <w:tmpl w:val="00000004"/>
    <w:lvl w:ilvl="0" w:tentative="0">
      <w:start w:val="1"/>
      <w:numFmt w:val="bullet"/>
      <w:lvlText w:val=""/>
      <w:lvlJc w:val="left"/>
      <w:pPr>
        <w:tabs>
          <w:tab w:val="left" w:pos="900"/>
        </w:tabs>
        <w:ind w:left="900" w:hanging="420"/>
      </w:pPr>
      <w:rPr>
        <w:rFonts w:hint="default" w:ascii="Wingdings" w:hAnsi="Wingdings"/>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4">
    <w:nsid w:val="0000000B"/>
    <w:multiLevelType w:val="multilevel"/>
    <w:tmpl w:val="0000000B"/>
    <w:lvl w:ilvl="0" w:tentative="0">
      <w:start w:val="1"/>
      <w:numFmt w:val="bullet"/>
      <w:lvlText w:val=""/>
      <w:lvlJc w:val="left"/>
      <w:pPr>
        <w:tabs>
          <w:tab w:val="left" w:pos="900"/>
        </w:tabs>
        <w:ind w:left="900" w:hanging="420"/>
      </w:pPr>
      <w:rPr>
        <w:rFonts w:hint="default" w:ascii="Wingdings" w:hAnsi="Wingdings"/>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5">
    <w:nsid w:val="1EBE2097"/>
    <w:multiLevelType w:val="multilevel"/>
    <w:tmpl w:val="1EBE2097"/>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
    <w:nsid w:val="4972EE33"/>
    <w:multiLevelType w:val="singleLevel"/>
    <w:tmpl w:val="4972EE33"/>
    <w:lvl w:ilvl="0" w:tentative="0">
      <w:start w:val="1"/>
      <w:numFmt w:val="bullet"/>
      <w:pStyle w:val="30"/>
      <w:lvlText w:val=""/>
      <w:lvlJc w:val="left"/>
      <w:pPr>
        <w:tabs>
          <w:tab w:val="left" w:pos="2040"/>
        </w:tabs>
        <w:ind w:left="2040" w:hanging="360"/>
      </w:pPr>
      <w:rPr>
        <w:rFonts w:hint="default" w:ascii="Wingdings" w:hAnsi="Wingdings"/>
      </w:rPr>
    </w:lvl>
  </w:abstractNum>
  <w:abstractNum w:abstractNumId="7">
    <w:nsid w:val="4B02F27E"/>
    <w:multiLevelType w:val="singleLevel"/>
    <w:tmpl w:val="4B02F27E"/>
    <w:lvl w:ilvl="0" w:tentative="0">
      <w:start w:val="3"/>
      <w:numFmt w:val="decimal"/>
      <w:suff w:val="nothing"/>
      <w:lvlText w:val="（%1）"/>
      <w:lvlJc w:val="left"/>
    </w:lvl>
  </w:abstractNum>
  <w:num w:numId="1">
    <w:abstractNumId w:val="2"/>
  </w:num>
  <w:num w:numId="2">
    <w:abstractNumId w:val="6"/>
  </w:num>
  <w:num w:numId="3">
    <w:abstractNumId w:val="1"/>
  </w:num>
  <w:num w:numId="4">
    <w:abstractNumId w:val="7"/>
  </w:num>
  <w:num w:numId="5">
    <w:abstractNumId w:val="5"/>
  </w:num>
  <w:num w:numId="6">
    <w:abstractNumId w:val="0"/>
  </w:num>
  <w:num w:numId="7">
    <w:abstractNumId w:val="3"/>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210"/>
  <w:drawingGridVerticalSpacing w:val="-7946"/>
  <w:displayHorizontalDrawingGridEvery w:val="1"/>
  <w:displayVerticalDrawingGridEvery w:val="1"/>
  <w:noPunctuationKerning w:val="1"/>
  <w:characterSpacingControl w:val="compressPunctuation"/>
  <w:hdrShapeDefaults>
    <o:shapelayout v:ext="edit">
      <o:idmap v:ext="edit" data="8"/>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IxODVhOWNjMmQxMTYxMjY1NjFlMzk5ZWNhMjUyODMifQ=="/>
  </w:docVars>
  <w:rsids>
    <w:rsidRoot w:val="008960C9"/>
    <w:rsid w:val="000000BB"/>
    <w:rsid w:val="000000C6"/>
    <w:rsid w:val="000000FD"/>
    <w:rsid w:val="000002DE"/>
    <w:rsid w:val="00000312"/>
    <w:rsid w:val="0000041C"/>
    <w:rsid w:val="00000D60"/>
    <w:rsid w:val="000012CA"/>
    <w:rsid w:val="000012DD"/>
    <w:rsid w:val="000014EF"/>
    <w:rsid w:val="00001D0B"/>
    <w:rsid w:val="00001EA5"/>
    <w:rsid w:val="00001FB9"/>
    <w:rsid w:val="0000213E"/>
    <w:rsid w:val="0000236C"/>
    <w:rsid w:val="00002388"/>
    <w:rsid w:val="0000299D"/>
    <w:rsid w:val="00002CF2"/>
    <w:rsid w:val="0000311F"/>
    <w:rsid w:val="00003845"/>
    <w:rsid w:val="000038F9"/>
    <w:rsid w:val="00003B56"/>
    <w:rsid w:val="00003CF5"/>
    <w:rsid w:val="00003E27"/>
    <w:rsid w:val="00004030"/>
    <w:rsid w:val="000041E8"/>
    <w:rsid w:val="000043F8"/>
    <w:rsid w:val="00004598"/>
    <w:rsid w:val="00004866"/>
    <w:rsid w:val="0000496F"/>
    <w:rsid w:val="00004A23"/>
    <w:rsid w:val="000050C2"/>
    <w:rsid w:val="00005168"/>
    <w:rsid w:val="0000517C"/>
    <w:rsid w:val="00005279"/>
    <w:rsid w:val="000054D5"/>
    <w:rsid w:val="00005759"/>
    <w:rsid w:val="00005802"/>
    <w:rsid w:val="00005926"/>
    <w:rsid w:val="000059E1"/>
    <w:rsid w:val="00005B9A"/>
    <w:rsid w:val="00005D06"/>
    <w:rsid w:val="00005D07"/>
    <w:rsid w:val="00006122"/>
    <w:rsid w:val="0000645B"/>
    <w:rsid w:val="0000669A"/>
    <w:rsid w:val="000066E8"/>
    <w:rsid w:val="000067B4"/>
    <w:rsid w:val="00006BCD"/>
    <w:rsid w:val="0000714A"/>
    <w:rsid w:val="0000727B"/>
    <w:rsid w:val="00007352"/>
    <w:rsid w:val="0000760D"/>
    <w:rsid w:val="00007B74"/>
    <w:rsid w:val="00007C9A"/>
    <w:rsid w:val="00007D4B"/>
    <w:rsid w:val="0001014D"/>
    <w:rsid w:val="00010941"/>
    <w:rsid w:val="00010C6B"/>
    <w:rsid w:val="00011402"/>
    <w:rsid w:val="000114E4"/>
    <w:rsid w:val="00011617"/>
    <w:rsid w:val="0001164E"/>
    <w:rsid w:val="00012005"/>
    <w:rsid w:val="000121A6"/>
    <w:rsid w:val="00012703"/>
    <w:rsid w:val="0001288E"/>
    <w:rsid w:val="000128A3"/>
    <w:rsid w:val="000129C5"/>
    <w:rsid w:val="00012AC3"/>
    <w:rsid w:val="00012CC5"/>
    <w:rsid w:val="00012CC9"/>
    <w:rsid w:val="00012E4D"/>
    <w:rsid w:val="000130E4"/>
    <w:rsid w:val="00013161"/>
    <w:rsid w:val="00013848"/>
    <w:rsid w:val="000139E5"/>
    <w:rsid w:val="00013B41"/>
    <w:rsid w:val="00013B5F"/>
    <w:rsid w:val="0001407E"/>
    <w:rsid w:val="000146FD"/>
    <w:rsid w:val="00014793"/>
    <w:rsid w:val="00014A96"/>
    <w:rsid w:val="00014DB1"/>
    <w:rsid w:val="00014E48"/>
    <w:rsid w:val="00015144"/>
    <w:rsid w:val="0001536B"/>
    <w:rsid w:val="000153A6"/>
    <w:rsid w:val="00015558"/>
    <w:rsid w:val="00015B45"/>
    <w:rsid w:val="00015B52"/>
    <w:rsid w:val="00015BED"/>
    <w:rsid w:val="00015CCA"/>
    <w:rsid w:val="00015D09"/>
    <w:rsid w:val="00015DE7"/>
    <w:rsid w:val="000161AC"/>
    <w:rsid w:val="000165BE"/>
    <w:rsid w:val="000168C1"/>
    <w:rsid w:val="0001697D"/>
    <w:rsid w:val="00016991"/>
    <w:rsid w:val="00016E72"/>
    <w:rsid w:val="00016F9A"/>
    <w:rsid w:val="00017128"/>
    <w:rsid w:val="000174D8"/>
    <w:rsid w:val="00017933"/>
    <w:rsid w:val="00017A67"/>
    <w:rsid w:val="00017F65"/>
    <w:rsid w:val="00017F6D"/>
    <w:rsid w:val="00020494"/>
    <w:rsid w:val="000207F8"/>
    <w:rsid w:val="00020A3C"/>
    <w:rsid w:val="00020B70"/>
    <w:rsid w:val="00020DD2"/>
    <w:rsid w:val="00020DDD"/>
    <w:rsid w:val="00021267"/>
    <w:rsid w:val="000212A7"/>
    <w:rsid w:val="00021C54"/>
    <w:rsid w:val="00021C84"/>
    <w:rsid w:val="00022066"/>
    <w:rsid w:val="000220B3"/>
    <w:rsid w:val="00022316"/>
    <w:rsid w:val="00022806"/>
    <w:rsid w:val="0002290D"/>
    <w:rsid w:val="000229E3"/>
    <w:rsid w:val="00022BD5"/>
    <w:rsid w:val="00022FC7"/>
    <w:rsid w:val="00023038"/>
    <w:rsid w:val="0002311E"/>
    <w:rsid w:val="000237FA"/>
    <w:rsid w:val="0002396F"/>
    <w:rsid w:val="00023EF4"/>
    <w:rsid w:val="00024268"/>
    <w:rsid w:val="000243B2"/>
    <w:rsid w:val="00024429"/>
    <w:rsid w:val="0002445B"/>
    <w:rsid w:val="000248B5"/>
    <w:rsid w:val="000251DF"/>
    <w:rsid w:val="000252C9"/>
    <w:rsid w:val="00025408"/>
    <w:rsid w:val="00025C3E"/>
    <w:rsid w:val="00025C70"/>
    <w:rsid w:val="00025D6D"/>
    <w:rsid w:val="00025D88"/>
    <w:rsid w:val="00025D93"/>
    <w:rsid w:val="00026073"/>
    <w:rsid w:val="000265F9"/>
    <w:rsid w:val="00026D49"/>
    <w:rsid w:val="0002706F"/>
    <w:rsid w:val="00027388"/>
    <w:rsid w:val="000274CF"/>
    <w:rsid w:val="0002792B"/>
    <w:rsid w:val="00027D84"/>
    <w:rsid w:val="000301E1"/>
    <w:rsid w:val="000303A1"/>
    <w:rsid w:val="00030479"/>
    <w:rsid w:val="000305EB"/>
    <w:rsid w:val="000306C1"/>
    <w:rsid w:val="00030819"/>
    <w:rsid w:val="0003092C"/>
    <w:rsid w:val="000309D2"/>
    <w:rsid w:val="00030A18"/>
    <w:rsid w:val="0003110E"/>
    <w:rsid w:val="00031537"/>
    <w:rsid w:val="00031722"/>
    <w:rsid w:val="00031D49"/>
    <w:rsid w:val="00032192"/>
    <w:rsid w:val="00032293"/>
    <w:rsid w:val="000322AF"/>
    <w:rsid w:val="0003244D"/>
    <w:rsid w:val="00032974"/>
    <w:rsid w:val="000329F5"/>
    <w:rsid w:val="00032B07"/>
    <w:rsid w:val="00032BFB"/>
    <w:rsid w:val="00033596"/>
    <w:rsid w:val="00033785"/>
    <w:rsid w:val="00033954"/>
    <w:rsid w:val="00033EAB"/>
    <w:rsid w:val="0003404F"/>
    <w:rsid w:val="000340B6"/>
    <w:rsid w:val="00034205"/>
    <w:rsid w:val="0003433A"/>
    <w:rsid w:val="00034684"/>
    <w:rsid w:val="000348EC"/>
    <w:rsid w:val="0003505D"/>
    <w:rsid w:val="00035202"/>
    <w:rsid w:val="00035626"/>
    <w:rsid w:val="00035723"/>
    <w:rsid w:val="0003583B"/>
    <w:rsid w:val="00035981"/>
    <w:rsid w:val="00035A32"/>
    <w:rsid w:val="00035D2C"/>
    <w:rsid w:val="00036000"/>
    <w:rsid w:val="00036275"/>
    <w:rsid w:val="00036344"/>
    <w:rsid w:val="00036814"/>
    <w:rsid w:val="00036A4C"/>
    <w:rsid w:val="00036AB8"/>
    <w:rsid w:val="00036DD3"/>
    <w:rsid w:val="00037831"/>
    <w:rsid w:val="00037B2B"/>
    <w:rsid w:val="00037C29"/>
    <w:rsid w:val="00040082"/>
    <w:rsid w:val="000405DA"/>
    <w:rsid w:val="0004082D"/>
    <w:rsid w:val="00040A49"/>
    <w:rsid w:val="00040DAB"/>
    <w:rsid w:val="00040E5E"/>
    <w:rsid w:val="000411AD"/>
    <w:rsid w:val="000416E1"/>
    <w:rsid w:val="00041A3C"/>
    <w:rsid w:val="00041A70"/>
    <w:rsid w:val="00041D4C"/>
    <w:rsid w:val="00041D58"/>
    <w:rsid w:val="000422E2"/>
    <w:rsid w:val="000427A2"/>
    <w:rsid w:val="00042A59"/>
    <w:rsid w:val="00042CD1"/>
    <w:rsid w:val="00042DA2"/>
    <w:rsid w:val="0004310E"/>
    <w:rsid w:val="000431C1"/>
    <w:rsid w:val="000437AF"/>
    <w:rsid w:val="00043A06"/>
    <w:rsid w:val="00043ADC"/>
    <w:rsid w:val="00043B97"/>
    <w:rsid w:val="00043D0D"/>
    <w:rsid w:val="00043DBC"/>
    <w:rsid w:val="00044D15"/>
    <w:rsid w:val="00044DDC"/>
    <w:rsid w:val="00044FDD"/>
    <w:rsid w:val="00045210"/>
    <w:rsid w:val="00045550"/>
    <w:rsid w:val="00045B09"/>
    <w:rsid w:val="00045DFC"/>
    <w:rsid w:val="00045E56"/>
    <w:rsid w:val="000460ED"/>
    <w:rsid w:val="0004614E"/>
    <w:rsid w:val="0004616A"/>
    <w:rsid w:val="0004624B"/>
    <w:rsid w:val="00046390"/>
    <w:rsid w:val="000467E8"/>
    <w:rsid w:val="00046897"/>
    <w:rsid w:val="00046C30"/>
    <w:rsid w:val="00046C9B"/>
    <w:rsid w:val="00046EE7"/>
    <w:rsid w:val="000473C9"/>
    <w:rsid w:val="000475E5"/>
    <w:rsid w:val="000476E2"/>
    <w:rsid w:val="00047F7F"/>
    <w:rsid w:val="000502D8"/>
    <w:rsid w:val="00050546"/>
    <w:rsid w:val="000505A6"/>
    <w:rsid w:val="00050A8B"/>
    <w:rsid w:val="00050D04"/>
    <w:rsid w:val="00050DA2"/>
    <w:rsid w:val="00050DFE"/>
    <w:rsid w:val="00050F0C"/>
    <w:rsid w:val="00051273"/>
    <w:rsid w:val="0005127C"/>
    <w:rsid w:val="000512ED"/>
    <w:rsid w:val="00051AF1"/>
    <w:rsid w:val="00051C13"/>
    <w:rsid w:val="00051D1A"/>
    <w:rsid w:val="00051D92"/>
    <w:rsid w:val="00051E1A"/>
    <w:rsid w:val="00051FE6"/>
    <w:rsid w:val="000521FA"/>
    <w:rsid w:val="0005236E"/>
    <w:rsid w:val="000523CE"/>
    <w:rsid w:val="000524EA"/>
    <w:rsid w:val="0005272D"/>
    <w:rsid w:val="000529D5"/>
    <w:rsid w:val="000533F2"/>
    <w:rsid w:val="00053622"/>
    <w:rsid w:val="00053695"/>
    <w:rsid w:val="000536F6"/>
    <w:rsid w:val="00053A11"/>
    <w:rsid w:val="00053C8B"/>
    <w:rsid w:val="00053D12"/>
    <w:rsid w:val="00054047"/>
    <w:rsid w:val="000542E1"/>
    <w:rsid w:val="000543AD"/>
    <w:rsid w:val="00054413"/>
    <w:rsid w:val="00054470"/>
    <w:rsid w:val="000544BB"/>
    <w:rsid w:val="000547BD"/>
    <w:rsid w:val="00055345"/>
    <w:rsid w:val="000553A2"/>
    <w:rsid w:val="00055557"/>
    <w:rsid w:val="000558F0"/>
    <w:rsid w:val="000559A5"/>
    <w:rsid w:val="00055A0E"/>
    <w:rsid w:val="00055B2F"/>
    <w:rsid w:val="00055F75"/>
    <w:rsid w:val="0005618A"/>
    <w:rsid w:val="000564D0"/>
    <w:rsid w:val="00056664"/>
    <w:rsid w:val="00056BB6"/>
    <w:rsid w:val="00057121"/>
    <w:rsid w:val="00057676"/>
    <w:rsid w:val="00057A49"/>
    <w:rsid w:val="00057A70"/>
    <w:rsid w:val="00057CE2"/>
    <w:rsid w:val="00060086"/>
    <w:rsid w:val="000601D6"/>
    <w:rsid w:val="00060729"/>
    <w:rsid w:val="00060738"/>
    <w:rsid w:val="0006085E"/>
    <w:rsid w:val="00060B0C"/>
    <w:rsid w:val="0006168F"/>
    <w:rsid w:val="000618AC"/>
    <w:rsid w:val="00061FBF"/>
    <w:rsid w:val="000620AB"/>
    <w:rsid w:val="0006236F"/>
    <w:rsid w:val="0006242A"/>
    <w:rsid w:val="0006258D"/>
    <w:rsid w:val="00062634"/>
    <w:rsid w:val="000629D7"/>
    <w:rsid w:val="00062E73"/>
    <w:rsid w:val="00062EF0"/>
    <w:rsid w:val="00062F40"/>
    <w:rsid w:val="00063923"/>
    <w:rsid w:val="00063FDA"/>
    <w:rsid w:val="0006400C"/>
    <w:rsid w:val="000640FF"/>
    <w:rsid w:val="000641BB"/>
    <w:rsid w:val="00064282"/>
    <w:rsid w:val="0006451F"/>
    <w:rsid w:val="00064556"/>
    <w:rsid w:val="00064870"/>
    <w:rsid w:val="00064B56"/>
    <w:rsid w:val="00065146"/>
    <w:rsid w:val="00065295"/>
    <w:rsid w:val="00065517"/>
    <w:rsid w:val="00065A49"/>
    <w:rsid w:val="00065F08"/>
    <w:rsid w:val="00065F59"/>
    <w:rsid w:val="000665F3"/>
    <w:rsid w:val="000668CE"/>
    <w:rsid w:val="00067502"/>
    <w:rsid w:val="0006773E"/>
    <w:rsid w:val="00067ACA"/>
    <w:rsid w:val="00067D24"/>
    <w:rsid w:val="00067DDC"/>
    <w:rsid w:val="00067FC0"/>
    <w:rsid w:val="00070041"/>
    <w:rsid w:val="00070383"/>
    <w:rsid w:val="00070690"/>
    <w:rsid w:val="0007079B"/>
    <w:rsid w:val="000707A4"/>
    <w:rsid w:val="000707CD"/>
    <w:rsid w:val="00070950"/>
    <w:rsid w:val="00070E82"/>
    <w:rsid w:val="00070F2A"/>
    <w:rsid w:val="000715FE"/>
    <w:rsid w:val="000717E4"/>
    <w:rsid w:val="00071B99"/>
    <w:rsid w:val="00071CC4"/>
    <w:rsid w:val="00071EA5"/>
    <w:rsid w:val="000722BE"/>
    <w:rsid w:val="00072360"/>
    <w:rsid w:val="000723EA"/>
    <w:rsid w:val="00072418"/>
    <w:rsid w:val="0007253F"/>
    <w:rsid w:val="00072637"/>
    <w:rsid w:val="00072818"/>
    <w:rsid w:val="00072854"/>
    <w:rsid w:val="0007292B"/>
    <w:rsid w:val="0007293C"/>
    <w:rsid w:val="00072B22"/>
    <w:rsid w:val="00072BFF"/>
    <w:rsid w:val="00072C23"/>
    <w:rsid w:val="00073009"/>
    <w:rsid w:val="00073078"/>
    <w:rsid w:val="000734B8"/>
    <w:rsid w:val="0007356B"/>
    <w:rsid w:val="000735C6"/>
    <w:rsid w:val="0007381D"/>
    <w:rsid w:val="00074266"/>
    <w:rsid w:val="000744CF"/>
    <w:rsid w:val="000744F2"/>
    <w:rsid w:val="0007456F"/>
    <w:rsid w:val="00074843"/>
    <w:rsid w:val="000749F9"/>
    <w:rsid w:val="00074B12"/>
    <w:rsid w:val="00074CB3"/>
    <w:rsid w:val="00074DE9"/>
    <w:rsid w:val="000751E2"/>
    <w:rsid w:val="00075C98"/>
    <w:rsid w:val="000760EE"/>
    <w:rsid w:val="0007649E"/>
    <w:rsid w:val="000764AA"/>
    <w:rsid w:val="000764C7"/>
    <w:rsid w:val="00076E5E"/>
    <w:rsid w:val="0007729C"/>
    <w:rsid w:val="0007738C"/>
    <w:rsid w:val="000779E3"/>
    <w:rsid w:val="00080033"/>
    <w:rsid w:val="000801F6"/>
    <w:rsid w:val="000803F6"/>
    <w:rsid w:val="00080679"/>
    <w:rsid w:val="00081417"/>
    <w:rsid w:val="00081443"/>
    <w:rsid w:val="000816B8"/>
    <w:rsid w:val="00081B74"/>
    <w:rsid w:val="00081FAD"/>
    <w:rsid w:val="00082177"/>
    <w:rsid w:val="0008222E"/>
    <w:rsid w:val="000823E5"/>
    <w:rsid w:val="000824CA"/>
    <w:rsid w:val="000825D5"/>
    <w:rsid w:val="00082BD3"/>
    <w:rsid w:val="00082FAB"/>
    <w:rsid w:val="000830F9"/>
    <w:rsid w:val="0008357A"/>
    <w:rsid w:val="00083803"/>
    <w:rsid w:val="00083B2B"/>
    <w:rsid w:val="00084450"/>
    <w:rsid w:val="0008448E"/>
    <w:rsid w:val="0008458D"/>
    <w:rsid w:val="00084894"/>
    <w:rsid w:val="00084A7D"/>
    <w:rsid w:val="00084C71"/>
    <w:rsid w:val="000853A7"/>
    <w:rsid w:val="0008552B"/>
    <w:rsid w:val="0008568C"/>
    <w:rsid w:val="00085691"/>
    <w:rsid w:val="000857AD"/>
    <w:rsid w:val="00085921"/>
    <w:rsid w:val="000859D4"/>
    <w:rsid w:val="000860CB"/>
    <w:rsid w:val="00086A4B"/>
    <w:rsid w:val="00086DE3"/>
    <w:rsid w:val="00086EB1"/>
    <w:rsid w:val="0008726A"/>
    <w:rsid w:val="00087333"/>
    <w:rsid w:val="0008754B"/>
    <w:rsid w:val="000878A0"/>
    <w:rsid w:val="000878A8"/>
    <w:rsid w:val="00087A3C"/>
    <w:rsid w:val="00090659"/>
    <w:rsid w:val="000909AC"/>
    <w:rsid w:val="00090C94"/>
    <w:rsid w:val="0009113D"/>
    <w:rsid w:val="00091163"/>
    <w:rsid w:val="0009121F"/>
    <w:rsid w:val="000917E0"/>
    <w:rsid w:val="000918F0"/>
    <w:rsid w:val="00091938"/>
    <w:rsid w:val="00091BCC"/>
    <w:rsid w:val="00091BFD"/>
    <w:rsid w:val="00091C4C"/>
    <w:rsid w:val="00091FF6"/>
    <w:rsid w:val="00092091"/>
    <w:rsid w:val="00092151"/>
    <w:rsid w:val="000923EA"/>
    <w:rsid w:val="00092DAA"/>
    <w:rsid w:val="00092E27"/>
    <w:rsid w:val="000931A6"/>
    <w:rsid w:val="00093982"/>
    <w:rsid w:val="00093993"/>
    <w:rsid w:val="00094297"/>
    <w:rsid w:val="0009472E"/>
    <w:rsid w:val="00094869"/>
    <w:rsid w:val="000948AF"/>
    <w:rsid w:val="0009495C"/>
    <w:rsid w:val="00094A87"/>
    <w:rsid w:val="00094C65"/>
    <w:rsid w:val="00094E20"/>
    <w:rsid w:val="0009519E"/>
    <w:rsid w:val="00095265"/>
    <w:rsid w:val="000953D6"/>
    <w:rsid w:val="00095440"/>
    <w:rsid w:val="00095CD0"/>
    <w:rsid w:val="00095DBB"/>
    <w:rsid w:val="00096999"/>
    <w:rsid w:val="000969AD"/>
    <w:rsid w:val="00096E79"/>
    <w:rsid w:val="00097150"/>
    <w:rsid w:val="00097285"/>
    <w:rsid w:val="000973E2"/>
    <w:rsid w:val="000978DE"/>
    <w:rsid w:val="00097966"/>
    <w:rsid w:val="000979DA"/>
    <w:rsid w:val="00097E06"/>
    <w:rsid w:val="000A00C0"/>
    <w:rsid w:val="000A066B"/>
    <w:rsid w:val="000A06CC"/>
    <w:rsid w:val="000A0AE4"/>
    <w:rsid w:val="000A10E8"/>
    <w:rsid w:val="000A11EF"/>
    <w:rsid w:val="000A1323"/>
    <w:rsid w:val="000A155C"/>
    <w:rsid w:val="000A19A8"/>
    <w:rsid w:val="000A1A30"/>
    <w:rsid w:val="000A2283"/>
    <w:rsid w:val="000A230B"/>
    <w:rsid w:val="000A2A69"/>
    <w:rsid w:val="000A2D91"/>
    <w:rsid w:val="000A3401"/>
    <w:rsid w:val="000A35DB"/>
    <w:rsid w:val="000A3691"/>
    <w:rsid w:val="000A4055"/>
    <w:rsid w:val="000A46EA"/>
    <w:rsid w:val="000A4AD2"/>
    <w:rsid w:val="000A4D37"/>
    <w:rsid w:val="000A4D7B"/>
    <w:rsid w:val="000A4DD6"/>
    <w:rsid w:val="000A4F4C"/>
    <w:rsid w:val="000A4F9E"/>
    <w:rsid w:val="000A4FA6"/>
    <w:rsid w:val="000A4FEC"/>
    <w:rsid w:val="000A505F"/>
    <w:rsid w:val="000A5176"/>
    <w:rsid w:val="000A5201"/>
    <w:rsid w:val="000A5243"/>
    <w:rsid w:val="000A52D4"/>
    <w:rsid w:val="000A549C"/>
    <w:rsid w:val="000A56D7"/>
    <w:rsid w:val="000A5BCB"/>
    <w:rsid w:val="000A5C50"/>
    <w:rsid w:val="000A5C98"/>
    <w:rsid w:val="000A6041"/>
    <w:rsid w:val="000A628E"/>
    <w:rsid w:val="000A62F6"/>
    <w:rsid w:val="000A66E2"/>
    <w:rsid w:val="000A67FA"/>
    <w:rsid w:val="000A6EDF"/>
    <w:rsid w:val="000A7146"/>
    <w:rsid w:val="000A715D"/>
    <w:rsid w:val="000A7437"/>
    <w:rsid w:val="000A74A6"/>
    <w:rsid w:val="000A75DA"/>
    <w:rsid w:val="000A7999"/>
    <w:rsid w:val="000A7FC8"/>
    <w:rsid w:val="000B0643"/>
    <w:rsid w:val="000B085E"/>
    <w:rsid w:val="000B09B2"/>
    <w:rsid w:val="000B0BCA"/>
    <w:rsid w:val="000B0D6B"/>
    <w:rsid w:val="000B1174"/>
    <w:rsid w:val="000B140E"/>
    <w:rsid w:val="000B1500"/>
    <w:rsid w:val="000B2001"/>
    <w:rsid w:val="000B2201"/>
    <w:rsid w:val="000B25FC"/>
    <w:rsid w:val="000B2704"/>
    <w:rsid w:val="000B2B33"/>
    <w:rsid w:val="000B3103"/>
    <w:rsid w:val="000B3322"/>
    <w:rsid w:val="000B35E2"/>
    <w:rsid w:val="000B3830"/>
    <w:rsid w:val="000B39EA"/>
    <w:rsid w:val="000B3AF3"/>
    <w:rsid w:val="000B3B82"/>
    <w:rsid w:val="000B3C82"/>
    <w:rsid w:val="000B3D33"/>
    <w:rsid w:val="000B4130"/>
    <w:rsid w:val="000B4BAF"/>
    <w:rsid w:val="000B4FBC"/>
    <w:rsid w:val="000B5290"/>
    <w:rsid w:val="000B557D"/>
    <w:rsid w:val="000B58E1"/>
    <w:rsid w:val="000B5D48"/>
    <w:rsid w:val="000B5E1E"/>
    <w:rsid w:val="000B60F0"/>
    <w:rsid w:val="000B63C4"/>
    <w:rsid w:val="000B647E"/>
    <w:rsid w:val="000B6948"/>
    <w:rsid w:val="000B6A23"/>
    <w:rsid w:val="000B6D1F"/>
    <w:rsid w:val="000B700B"/>
    <w:rsid w:val="000B745C"/>
    <w:rsid w:val="000B78A6"/>
    <w:rsid w:val="000B7A80"/>
    <w:rsid w:val="000B7D09"/>
    <w:rsid w:val="000C0079"/>
    <w:rsid w:val="000C00FB"/>
    <w:rsid w:val="000C011D"/>
    <w:rsid w:val="000C0168"/>
    <w:rsid w:val="000C01CA"/>
    <w:rsid w:val="000C01E7"/>
    <w:rsid w:val="000C07EA"/>
    <w:rsid w:val="000C085C"/>
    <w:rsid w:val="000C0D7E"/>
    <w:rsid w:val="000C1089"/>
    <w:rsid w:val="000C11EE"/>
    <w:rsid w:val="000C12C9"/>
    <w:rsid w:val="000C1C34"/>
    <w:rsid w:val="000C207C"/>
    <w:rsid w:val="000C27BD"/>
    <w:rsid w:val="000C28CA"/>
    <w:rsid w:val="000C30E1"/>
    <w:rsid w:val="000C3192"/>
    <w:rsid w:val="000C31F3"/>
    <w:rsid w:val="000C34E1"/>
    <w:rsid w:val="000C3D0C"/>
    <w:rsid w:val="000C3D80"/>
    <w:rsid w:val="000C3FA5"/>
    <w:rsid w:val="000C4409"/>
    <w:rsid w:val="000C470E"/>
    <w:rsid w:val="000C475A"/>
    <w:rsid w:val="000C4D6F"/>
    <w:rsid w:val="000C4DF1"/>
    <w:rsid w:val="000C4E0A"/>
    <w:rsid w:val="000C4E0F"/>
    <w:rsid w:val="000C554B"/>
    <w:rsid w:val="000C5800"/>
    <w:rsid w:val="000C5923"/>
    <w:rsid w:val="000C5A1F"/>
    <w:rsid w:val="000C5C8A"/>
    <w:rsid w:val="000C6268"/>
    <w:rsid w:val="000C6B20"/>
    <w:rsid w:val="000C6B7D"/>
    <w:rsid w:val="000C6CCC"/>
    <w:rsid w:val="000C6E38"/>
    <w:rsid w:val="000C6FC9"/>
    <w:rsid w:val="000C70FA"/>
    <w:rsid w:val="000C7191"/>
    <w:rsid w:val="000C7371"/>
    <w:rsid w:val="000C73D1"/>
    <w:rsid w:val="000C7573"/>
    <w:rsid w:val="000C761F"/>
    <w:rsid w:val="000C767A"/>
    <w:rsid w:val="000C779A"/>
    <w:rsid w:val="000C7ADF"/>
    <w:rsid w:val="000C7E1C"/>
    <w:rsid w:val="000C7F56"/>
    <w:rsid w:val="000D02B7"/>
    <w:rsid w:val="000D0656"/>
    <w:rsid w:val="000D082E"/>
    <w:rsid w:val="000D0891"/>
    <w:rsid w:val="000D0948"/>
    <w:rsid w:val="000D10AF"/>
    <w:rsid w:val="000D1465"/>
    <w:rsid w:val="000D1627"/>
    <w:rsid w:val="000D1A3F"/>
    <w:rsid w:val="000D210A"/>
    <w:rsid w:val="000D21D0"/>
    <w:rsid w:val="000D2383"/>
    <w:rsid w:val="000D27A5"/>
    <w:rsid w:val="000D30E3"/>
    <w:rsid w:val="000D31C9"/>
    <w:rsid w:val="000D322A"/>
    <w:rsid w:val="000D3814"/>
    <w:rsid w:val="000D3BB4"/>
    <w:rsid w:val="000D3D70"/>
    <w:rsid w:val="000D3F36"/>
    <w:rsid w:val="000D3FD5"/>
    <w:rsid w:val="000D4004"/>
    <w:rsid w:val="000D404B"/>
    <w:rsid w:val="000D4057"/>
    <w:rsid w:val="000D413C"/>
    <w:rsid w:val="000D4585"/>
    <w:rsid w:val="000D45CB"/>
    <w:rsid w:val="000D471E"/>
    <w:rsid w:val="000D4A2E"/>
    <w:rsid w:val="000D4B9A"/>
    <w:rsid w:val="000D4BEE"/>
    <w:rsid w:val="000D519F"/>
    <w:rsid w:val="000D526D"/>
    <w:rsid w:val="000D559B"/>
    <w:rsid w:val="000D5F8A"/>
    <w:rsid w:val="000D6324"/>
    <w:rsid w:val="000D66F5"/>
    <w:rsid w:val="000D6954"/>
    <w:rsid w:val="000D6F75"/>
    <w:rsid w:val="000D710D"/>
    <w:rsid w:val="000D71A2"/>
    <w:rsid w:val="000D777F"/>
    <w:rsid w:val="000E02FF"/>
    <w:rsid w:val="000E0657"/>
    <w:rsid w:val="000E0774"/>
    <w:rsid w:val="000E0C0A"/>
    <w:rsid w:val="000E0EEC"/>
    <w:rsid w:val="000E0F82"/>
    <w:rsid w:val="000E1003"/>
    <w:rsid w:val="000E1202"/>
    <w:rsid w:val="000E143C"/>
    <w:rsid w:val="000E15CF"/>
    <w:rsid w:val="000E1A18"/>
    <w:rsid w:val="000E1CB4"/>
    <w:rsid w:val="000E1FDD"/>
    <w:rsid w:val="000E205F"/>
    <w:rsid w:val="000E2171"/>
    <w:rsid w:val="000E2227"/>
    <w:rsid w:val="000E272D"/>
    <w:rsid w:val="000E2A31"/>
    <w:rsid w:val="000E2A9C"/>
    <w:rsid w:val="000E2AB4"/>
    <w:rsid w:val="000E2ABF"/>
    <w:rsid w:val="000E2F28"/>
    <w:rsid w:val="000E3081"/>
    <w:rsid w:val="000E30D4"/>
    <w:rsid w:val="000E3125"/>
    <w:rsid w:val="000E35F9"/>
    <w:rsid w:val="000E3AE0"/>
    <w:rsid w:val="000E3AF2"/>
    <w:rsid w:val="000E3D8F"/>
    <w:rsid w:val="000E3DF1"/>
    <w:rsid w:val="000E4070"/>
    <w:rsid w:val="000E4120"/>
    <w:rsid w:val="000E448C"/>
    <w:rsid w:val="000E4559"/>
    <w:rsid w:val="000E462F"/>
    <w:rsid w:val="000E4865"/>
    <w:rsid w:val="000E4D96"/>
    <w:rsid w:val="000E4F0F"/>
    <w:rsid w:val="000E4FED"/>
    <w:rsid w:val="000E5816"/>
    <w:rsid w:val="000E588A"/>
    <w:rsid w:val="000E5C92"/>
    <w:rsid w:val="000E5FF1"/>
    <w:rsid w:val="000E61C3"/>
    <w:rsid w:val="000E6245"/>
    <w:rsid w:val="000E6386"/>
    <w:rsid w:val="000E666B"/>
    <w:rsid w:val="000E66E0"/>
    <w:rsid w:val="000E690C"/>
    <w:rsid w:val="000E6922"/>
    <w:rsid w:val="000E7041"/>
    <w:rsid w:val="000E70AF"/>
    <w:rsid w:val="000E70D0"/>
    <w:rsid w:val="000E732D"/>
    <w:rsid w:val="000E7906"/>
    <w:rsid w:val="000E7911"/>
    <w:rsid w:val="000E7B01"/>
    <w:rsid w:val="000E7B19"/>
    <w:rsid w:val="000E7B74"/>
    <w:rsid w:val="000E7F18"/>
    <w:rsid w:val="000E7F5D"/>
    <w:rsid w:val="000F001A"/>
    <w:rsid w:val="000F00F5"/>
    <w:rsid w:val="000F07A4"/>
    <w:rsid w:val="000F08F7"/>
    <w:rsid w:val="000F0978"/>
    <w:rsid w:val="000F09A0"/>
    <w:rsid w:val="000F0D54"/>
    <w:rsid w:val="000F0D66"/>
    <w:rsid w:val="000F0E11"/>
    <w:rsid w:val="000F0E43"/>
    <w:rsid w:val="000F0FB0"/>
    <w:rsid w:val="000F1038"/>
    <w:rsid w:val="000F144B"/>
    <w:rsid w:val="000F1495"/>
    <w:rsid w:val="000F180A"/>
    <w:rsid w:val="000F191A"/>
    <w:rsid w:val="000F193E"/>
    <w:rsid w:val="000F216C"/>
    <w:rsid w:val="000F2511"/>
    <w:rsid w:val="000F26D0"/>
    <w:rsid w:val="000F3126"/>
    <w:rsid w:val="000F35CE"/>
    <w:rsid w:val="000F3974"/>
    <w:rsid w:val="000F45DE"/>
    <w:rsid w:val="000F47F1"/>
    <w:rsid w:val="000F48E6"/>
    <w:rsid w:val="000F4F43"/>
    <w:rsid w:val="000F4FB8"/>
    <w:rsid w:val="000F5407"/>
    <w:rsid w:val="000F5D94"/>
    <w:rsid w:val="000F628C"/>
    <w:rsid w:val="000F654B"/>
    <w:rsid w:val="000F691E"/>
    <w:rsid w:val="000F6F32"/>
    <w:rsid w:val="000F71D1"/>
    <w:rsid w:val="000F7222"/>
    <w:rsid w:val="000F7335"/>
    <w:rsid w:val="000F735A"/>
    <w:rsid w:val="000F75AB"/>
    <w:rsid w:val="000F7CAA"/>
    <w:rsid w:val="000F7CD6"/>
    <w:rsid w:val="000F7F18"/>
    <w:rsid w:val="001003F4"/>
    <w:rsid w:val="00100447"/>
    <w:rsid w:val="001006E4"/>
    <w:rsid w:val="00100B18"/>
    <w:rsid w:val="001010C9"/>
    <w:rsid w:val="001013F8"/>
    <w:rsid w:val="00101F85"/>
    <w:rsid w:val="00102087"/>
    <w:rsid w:val="00102442"/>
    <w:rsid w:val="001024EE"/>
    <w:rsid w:val="001026C4"/>
    <w:rsid w:val="0010360C"/>
    <w:rsid w:val="00103818"/>
    <w:rsid w:val="0010395B"/>
    <w:rsid w:val="00103BDC"/>
    <w:rsid w:val="00103EB6"/>
    <w:rsid w:val="00103FF0"/>
    <w:rsid w:val="00104125"/>
    <w:rsid w:val="00104228"/>
    <w:rsid w:val="00104504"/>
    <w:rsid w:val="001045B5"/>
    <w:rsid w:val="0010473B"/>
    <w:rsid w:val="001047D1"/>
    <w:rsid w:val="00104A1C"/>
    <w:rsid w:val="00104A9C"/>
    <w:rsid w:val="00104B69"/>
    <w:rsid w:val="00104CE4"/>
    <w:rsid w:val="00104CEE"/>
    <w:rsid w:val="001050D6"/>
    <w:rsid w:val="00105285"/>
    <w:rsid w:val="00105375"/>
    <w:rsid w:val="00105559"/>
    <w:rsid w:val="001056D4"/>
    <w:rsid w:val="001058A0"/>
    <w:rsid w:val="00105CFB"/>
    <w:rsid w:val="00106281"/>
    <w:rsid w:val="001068D8"/>
    <w:rsid w:val="00106969"/>
    <w:rsid w:val="00106AC2"/>
    <w:rsid w:val="001077B3"/>
    <w:rsid w:val="00107926"/>
    <w:rsid w:val="00107A44"/>
    <w:rsid w:val="00107C68"/>
    <w:rsid w:val="00107EFE"/>
    <w:rsid w:val="00110214"/>
    <w:rsid w:val="00110502"/>
    <w:rsid w:val="00110635"/>
    <w:rsid w:val="00110709"/>
    <w:rsid w:val="00110BB0"/>
    <w:rsid w:val="00110BC3"/>
    <w:rsid w:val="00110C76"/>
    <w:rsid w:val="0011111D"/>
    <w:rsid w:val="00111B02"/>
    <w:rsid w:val="001124E3"/>
    <w:rsid w:val="001126D1"/>
    <w:rsid w:val="001126E8"/>
    <w:rsid w:val="0011287D"/>
    <w:rsid w:val="0011327F"/>
    <w:rsid w:val="00113610"/>
    <w:rsid w:val="001136E3"/>
    <w:rsid w:val="00113A24"/>
    <w:rsid w:val="00113A8A"/>
    <w:rsid w:val="00113B4E"/>
    <w:rsid w:val="00113CF0"/>
    <w:rsid w:val="00113DA3"/>
    <w:rsid w:val="00113F30"/>
    <w:rsid w:val="00114084"/>
    <w:rsid w:val="0011417D"/>
    <w:rsid w:val="001141ED"/>
    <w:rsid w:val="00114674"/>
    <w:rsid w:val="0011484E"/>
    <w:rsid w:val="00114AA1"/>
    <w:rsid w:val="00114AD4"/>
    <w:rsid w:val="00114B1F"/>
    <w:rsid w:val="00114BCD"/>
    <w:rsid w:val="00114D76"/>
    <w:rsid w:val="00115244"/>
    <w:rsid w:val="0011550B"/>
    <w:rsid w:val="00115550"/>
    <w:rsid w:val="0011563D"/>
    <w:rsid w:val="001158C3"/>
    <w:rsid w:val="0011605B"/>
    <w:rsid w:val="001163CC"/>
    <w:rsid w:val="001163F6"/>
    <w:rsid w:val="001164B3"/>
    <w:rsid w:val="001169DD"/>
    <w:rsid w:val="00116BDD"/>
    <w:rsid w:val="00116D1F"/>
    <w:rsid w:val="0011705D"/>
    <w:rsid w:val="001172CE"/>
    <w:rsid w:val="001173BF"/>
    <w:rsid w:val="001176C9"/>
    <w:rsid w:val="00117749"/>
    <w:rsid w:val="001178AE"/>
    <w:rsid w:val="00117BF6"/>
    <w:rsid w:val="001202B1"/>
    <w:rsid w:val="00120400"/>
    <w:rsid w:val="0012041C"/>
    <w:rsid w:val="001204E5"/>
    <w:rsid w:val="0012061C"/>
    <w:rsid w:val="00120628"/>
    <w:rsid w:val="001208DA"/>
    <w:rsid w:val="00120BA3"/>
    <w:rsid w:val="00120C32"/>
    <w:rsid w:val="00120DE0"/>
    <w:rsid w:val="00120E5F"/>
    <w:rsid w:val="00120F27"/>
    <w:rsid w:val="001216A3"/>
    <w:rsid w:val="00121CF0"/>
    <w:rsid w:val="00121ED6"/>
    <w:rsid w:val="00121F13"/>
    <w:rsid w:val="001220C7"/>
    <w:rsid w:val="00122260"/>
    <w:rsid w:val="001222CB"/>
    <w:rsid w:val="001226D1"/>
    <w:rsid w:val="001226DA"/>
    <w:rsid w:val="00122880"/>
    <w:rsid w:val="001229F7"/>
    <w:rsid w:val="00122A31"/>
    <w:rsid w:val="00122A57"/>
    <w:rsid w:val="00122AAD"/>
    <w:rsid w:val="00122B81"/>
    <w:rsid w:val="001230E4"/>
    <w:rsid w:val="00123110"/>
    <w:rsid w:val="001231F2"/>
    <w:rsid w:val="001234E6"/>
    <w:rsid w:val="00123A07"/>
    <w:rsid w:val="00123A92"/>
    <w:rsid w:val="00123AA2"/>
    <w:rsid w:val="00123ACD"/>
    <w:rsid w:val="00123C7F"/>
    <w:rsid w:val="00123CF6"/>
    <w:rsid w:val="00123F04"/>
    <w:rsid w:val="00123F6F"/>
    <w:rsid w:val="00123FFA"/>
    <w:rsid w:val="0012406B"/>
    <w:rsid w:val="00124346"/>
    <w:rsid w:val="001245E3"/>
    <w:rsid w:val="00124953"/>
    <w:rsid w:val="001249C1"/>
    <w:rsid w:val="001249D8"/>
    <w:rsid w:val="00124FFD"/>
    <w:rsid w:val="00125057"/>
    <w:rsid w:val="001254FA"/>
    <w:rsid w:val="0012597E"/>
    <w:rsid w:val="00125B1C"/>
    <w:rsid w:val="00125D1B"/>
    <w:rsid w:val="00125DA8"/>
    <w:rsid w:val="00125FB2"/>
    <w:rsid w:val="001265CF"/>
    <w:rsid w:val="001268CB"/>
    <w:rsid w:val="00126A5E"/>
    <w:rsid w:val="00126B01"/>
    <w:rsid w:val="00126EC6"/>
    <w:rsid w:val="0012725F"/>
    <w:rsid w:val="00127350"/>
    <w:rsid w:val="00127407"/>
    <w:rsid w:val="0012763A"/>
    <w:rsid w:val="00127A85"/>
    <w:rsid w:val="00127AA2"/>
    <w:rsid w:val="00127D40"/>
    <w:rsid w:val="00130139"/>
    <w:rsid w:val="00130253"/>
    <w:rsid w:val="001302D2"/>
    <w:rsid w:val="001303E5"/>
    <w:rsid w:val="00130412"/>
    <w:rsid w:val="0013046A"/>
    <w:rsid w:val="00130995"/>
    <w:rsid w:val="00131166"/>
    <w:rsid w:val="00131899"/>
    <w:rsid w:val="0013203A"/>
    <w:rsid w:val="001320F7"/>
    <w:rsid w:val="0013235A"/>
    <w:rsid w:val="001323DB"/>
    <w:rsid w:val="00132516"/>
    <w:rsid w:val="0013284C"/>
    <w:rsid w:val="001329FD"/>
    <w:rsid w:val="00132A3E"/>
    <w:rsid w:val="00132C0B"/>
    <w:rsid w:val="00132F95"/>
    <w:rsid w:val="0013342F"/>
    <w:rsid w:val="001336A8"/>
    <w:rsid w:val="001336CA"/>
    <w:rsid w:val="001336F6"/>
    <w:rsid w:val="00133BBC"/>
    <w:rsid w:val="00133E5E"/>
    <w:rsid w:val="0013400A"/>
    <w:rsid w:val="00134072"/>
    <w:rsid w:val="00134094"/>
    <w:rsid w:val="0013485E"/>
    <w:rsid w:val="001348F1"/>
    <w:rsid w:val="00134A04"/>
    <w:rsid w:val="00134AEC"/>
    <w:rsid w:val="00134C94"/>
    <w:rsid w:val="001355EB"/>
    <w:rsid w:val="001358A0"/>
    <w:rsid w:val="00135A38"/>
    <w:rsid w:val="00135A7B"/>
    <w:rsid w:val="00135C94"/>
    <w:rsid w:val="00135F5A"/>
    <w:rsid w:val="00135FA5"/>
    <w:rsid w:val="0013605F"/>
    <w:rsid w:val="001364D5"/>
    <w:rsid w:val="00137097"/>
    <w:rsid w:val="00137124"/>
    <w:rsid w:val="0013717A"/>
    <w:rsid w:val="001371B8"/>
    <w:rsid w:val="00137AFF"/>
    <w:rsid w:val="00137B4F"/>
    <w:rsid w:val="00137CC9"/>
    <w:rsid w:val="00137FDD"/>
    <w:rsid w:val="00140453"/>
    <w:rsid w:val="0014060C"/>
    <w:rsid w:val="00141012"/>
    <w:rsid w:val="00141026"/>
    <w:rsid w:val="0014135A"/>
    <w:rsid w:val="00141422"/>
    <w:rsid w:val="001415DE"/>
    <w:rsid w:val="0014161A"/>
    <w:rsid w:val="0014184B"/>
    <w:rsid w:val="00141899"/>
    <w:rsid w:val="00142050"/>
    <w:rsid w:val="001422A9"/>
    <w:rsid w:val="00142957"/>
    <w:rsid w:val="0014296F"/>
    <w:rsid w:val="00142B85"/>
    <w:rsid w:val="0014340E"/>
    <w:rsid w:val="00143511"/>
    <w:rsid w:val="00143587"/>
    <w:rsid w:val="001437E1"/>
    <w:rsid w:val="00143A30"/>
    <w:rsid w:val="00143D0A"/>
    <w:rsid w:val="0014422B"/>
    <w:rsid w:val="001442A5"/>
    <w:rsid w:val="0014494B"/>
    <w:rsid w:val="00144C0B"/>
    <w:rsid w:val="00144EF4"/>
    <w:rsid w:val="00145005"/>
    <w:rsid w:val="00145182"/>
    <w:rsid w:val="001453FF"/>
    <w:rsid w:val="00145694"/>
    <w:rsid w:val="00145B1E"/>
    <w:rsid w:val="0014610E"/>
    <w:rsid w:val="0014617E"/>
    <w:rsid w:val="00146268"/>
    <w:rsid w:val="00146467"/>
    <w:rsid w:val="00146638"/>
    <w:rsid w:val="00146820"/>
    <w:rsid w:val="00146DC3"/>
    <w:rsid w:val="00146DED"/>
    <w:rsid w:val="0014706A"/>
    <w:rsid w:val="001474F0"/>
    <w:rsid w:val="001476B7"/>
    <w:rsid w:val="00147A20"/>
    <w:rsid w:val="00147A92"/>
    <w:rsid w:val="001504F5"/>
    <w:rsid w:val="00150962"/>
    <w:rsid w:val="00151152"/>
    <w:rsid w:val="00151157"/>
    <w:rsid w:val="0015131C"/>
    <w:rsid w:val="0015164D"/>
    <w:rsid w:val="0015191E"/>
    <w:rsid w:val="00151987"/>
    <w:rsid w:val="00152038"/>
    <w:rsid w:val="001520A8"/>
    <w:rsid w:val="00152A0B"/>
    <w:rsid w:val="001530AD"/>
    <w:rsid w:val="00153302"/>
    <w:rsid w:val="00153537"/>
    <w:rsid w:val="001538B3"/>
    <w:rsid w:val="0015397A"/>
    <w:rsid w:val="00154287"/>
    <w:rsid w:val="00154913"/>
    <w:rsid w:val="00154F49"/>
    <w:rsid w:val="001551CA"/>
    <w:rsid w:val="00155223"/>
    <w:rsid w:val="0015566B"/>
    <w:rsid w:val="00155E88"/>
    <w:rsid w:val="00155FA1"/>
    <w:rsid w:val="00155FA7"/>
    <w:rsid w:val="00156417"/>
    <w:rsid w:val="00156451"/>
    <w:rsid w:val="0015660E"/>
    <w:rsid w:val="00156882"/>
    <w:rsid w:val="001569C6"/>
    <w:rsid w:val="00156A2A"/>
    <w:rsid w:val="00156A3C"/>
    <w:rsid w:val="00156ABC"/>
    <w:rsid w:val="00156D78"/>
    <w:rsid w:val="00156F3D"/>
    <w:rsid w:val="00156F56"/>
    <w:rsid w:val="0015769A"/>
    <w:rsid w:val="0016026B"/>
    <w:rsid w:val="00160343"/>
    <w:rsid w:val="00160508"/>
    <w:rsid w:val="00160557"/>
    <w:rsid w:val="00161167"/>
    <w:rsid w:val="0016128E"/>
    <w:rsid w:val="00161C7B"/>
    <w:rsid w:val="001620A7"/>
    <w:rsid w:val="001623E9"/>
    <w:rsid w:val="0016263A"/>
    <w:rsid w:val="001631E4"/>
    <w:rsid w:val="001634C5"/>
    <w:rsid w:val="001634E8"/>
    <w:rsid w:val="001636B5"/>
    <w:rsid w:val="00163EE9"/>
    <w:rsid w:val="00163F7F"/>
    <w:rsid w:val="00163FA9"/>
    <w:rsid w:val="0016411C"/>
    <w:rsid w:val="00164C7E"/>
    <w:rsid w:val="00164E72"/>
    <w:rsid w:val="00164ECD"/>
    <w:rsid w:val="00165640"/>
    <w:rsid w:val="00165A59"/>
    <w:rsid w:val="00165C91"/>
    <w:rsid w:val="001660FF"/>
    <w:rsid w:val="0016648F"/>
    <w:rsid w:val="00166645"/>
    <w:rsid w:val="001668EF"/>
    <w:rsid w:val="00166A4A"/>
    <w:rsid w:val="00166CA4"/>
    <w:rsid w:val="00167969"/>
    <w:rsid w:val="00167A69"/>
    <w:rsid w:val="00167B3A"/>
    <w:rsid w:val="00167DB8"/>
    <w:rsid w:val="00167ED8"/>
    <w:rsid w:val="0017008D"/>
    <w:rsid w:val="00170880"/>
    <w:rsid w:val="0017093E"/>
    <w:rsid w:val="0017093F"/>
    <w:rsid w:val="00170BD6"/>
    <w:rsid w:val="00170CC0"/>
    <w:rsid w:val="00170FCF"/>
    <w:rsid w:val="00170FEB"/>
    <w:rsid w:val="0017149E"/>
    <w:rsid w:val="00171613"/>
    <w:rsid w:val="00171662"/>
    <w:rsid w:val="00171B6B"/>
    <w:rsid w:val="00171C68"/>
    <w:rsid w:val="00171E8C"/>
    <w:rsid w:val="00172217"/>
    <w:rsid w:val="0017225D"/>
    <w:rsid w:val="001726D5"/>
    <w:rsid w:val="001727ED"/>
    <w:rsid w:val="0017295C"/>
    <w:rsid w:val="00172CB9"/>
    <w:rsid w:val="001734FE"/>
    <w:rsid w:val="001737D5"/>
    <w:rsid w:val="00173889"/>
    <w:rsid w:val="001738E1"/>
    <w:rsid w:val="00173A15"/>
    <w:rsid w:val="00173B85"/>
    <w:rsid w:val="00173B9A"/>
    <w:rsid w:val="00173E7A"/>
    <w:rsid w:val="00173F00"/>
    <w:rsid w:val="00173FB7"/>
    <w:rsid w:val="00174928"/>
    <w:rsid w:val="0017499F"/>
    <w:rsid w:val="00174A19"/>
    <w:rsid w:val="00174C67"/>
    <w:rsid w:val="00174C8F"/>
    <w:rsid w:val="00174FD9"/>
    <w:rsid w:val="00175020"/>
    <w:rsid w:val="00175048"/>
    <w:rsid w:val="001750F1"/>
    <w:rsid w:val="00175513"/>
    <w:rsid w:val="00175802"/>
    <w:rsid w:val="00175935"/>
    <w:rsid w:val="00175942"/>
    <w:rsid w:val="0017594A"/>
    <w:rsid w:val="00175A29"/>
    <w:rsid w:val="0017657D"/>
    <w:rsid w:val="00176B21"/>
    <w:rsid w:val="00176C7A"/>
    <w:rsid w:val="00177443"/>
    <w:rsid w:val="001776CA"/>
    <w:rsid w:val="0017771E"/>
    <w:rsid w:val="00177839"/>
    <w:rsid w:val="00177947"/>
    <w:rsid w:val="00177AC7"/>
    <w:rsid w:val="00177F33"/>
    <w:rsid w:val="001800F0"/>
    <w:rsid w:val="00180491"/>
    <w:rsid w:val="00180C38"/>
    <w:rsid w:val="00180CF6"/>
    <w:rsid w:val="001810F7"/>
    <w:rsid w:val="0018138B"/>
    <w:rsid w:val="001814C9"/>
    <w:rsid w:val="00181A4C"/>
    <w:rsid w:val="00181B69"/>
    <w:rsid w:val="0018207C"/>
    <w:rsid w:val="0018216C"/>
    <w:rsid w:val="001822D0"/>
    <w:rsid w:val="00182316"/>
    <w:rsid w:val="00182346"/>
    <w:rsid w:val="0018264B"/>
    <w:rsid w:val="00182810"/>
    <w:rsid w:val="001829A4"/>
    <w:rsid w:val="001829EC"/>
    <w:rsid w:val="00182BA5"/>
    <w:rsid w:val="00182C86"/>
    <w:rsid w:val="001830CE"/>
    <w:rsid w:val="001837CD"/>
    <w:rsid w:val="001838C6"/>
    <w:rsid w:val="00183DE2"/>
    <w:rsid w:val="00184042"/>
    <w:rsid w:val="001844D8"/>
    <w:rsid w:val="00184619"/>
    <w:rsid w:val="00184627"/>
    <w:rsid w:val="00184B46"/>
    <w:rsid w:val="00184C5D"/>
    <w:rsid w:val="0018506D"/>
    <w:rsid w:val="00185153"/>
    <w:rsid w:val="001854EF"/>
    <w:rsid w:val="0018552D"/>
    <w:rsid w:val="0018574D"/>
    <w:rsid w:val="00185BD2"/>
    <w:rsid w:val="00185D97"/>
    <w:rsid w:val="00185DD6"/>
    <w:rsid w:val="001860FD"/>
    <w:rsid w:val="001863D2"/>
    <w:rsid w:val="001870D0"/>
    <w:rsid w:val="00187272"/>
    <w:rsid w:val="001877D0"/>
    <w:rsid w:val="0018782D"/>
    <w:rsid w:val="00187AD3"/>
    <w:rsid w:val="00187B36"/>
    <w:rsid w:val="00187E7F"/>
    <w:rsid w:val="00187F50"/>
    <w:rsid w:val="00190301"/>
    <w:rsid w:val="001907A0"/>
    <w:rsid w:val="0019080A"/>
    <w:rsid w:val="001909CD"/>
    <w:rsid w:val="00190A60"/>
    <w:rsid w:val="00190C8B"/>
    <w:rsid w:val="00190EE9"/>
    <w:rsid w:val="00191251"/>
    <w:rsid w:val="00191700"/>
    <w:rsid w:val="001918B6"/>
    <w:rsid w:val="00191A5E"/>
    <w:rsid w:val="00191BC9"/>
    <w:rsid w:val="001924A3"/>
    <w:rsid w:val="0019253E"/>
    <w:rsid w:val="001925BE"/>
    <w:rsid w:val="001928C0"/>
    <w:rsid w:val="00192A15"/>
    <w:rsid w:val="00192FD0"/>
    <w:rsid w:val="00193061"/>
    <w:rsid w:val="001930C7"/>
    <w:rsid w:val="001935CA"/>
    <w:rsid w:val="00193632"/>
    <w:rsid w:val="001937BA"/>
    <w:rsid w:val="00193BAD"/>
    <w:rsid w:val="00193E44"/>
    <w:rsid w:val="001945D5"/>
    <w:rsid w:val="0019475C"/>
    <w:rsid w:val="001947CE"/>
    <w:rsid w:val="001947F0"/>
    <w:rsid w:val="00194A40"/>
    <w:rsid w:val="00194AF0"/>
    <w:rsid w:val="00194D43"/>
    <w:rsid w:val="00194FCD"/>
    <w:rsid w:val="00195217"/>
    <w:rsid w:val="00195403"/>
    <w:rsid w:val="00195B83"/>
    <w:rsid w:val="00195FB0"/>
    <w:rsid w:val="0019610E"/>
    <w:rsid w:val="001965E5"/>
    <w:rsid w:val="00196748"/>
    <w:rsid w:val="001967AB"/>
    <w:rsid w:val="001970D0"/>
    <w:rsid w:val="0019791D"/>
    <w:rsid w:val="00197961"/>
    <w:rsid w:val="00197C99"/>
    <w:rsid w:val="00197CD8"/>
    <w:rsid w:val="00197ED5"/>
    <w:rsid w:val="001A0087"/>
    <w:rsid w:val="001A034B"/>
    <w:rsid w:val="001A0830"/>
    <w:rsid w:val="001A0BA8"/>
    <w:rsid w:val="001A0C8E"/>
    <w:rsid w:val="001A0D10"/>
    <w:rsid w:val="001A1591"/>
    <w:rsid w:val="001A1616"/>
    <w:rsid w:val="001A19D2"/>
    <w:rsid w:val="001A19D6"/>
    <w:rsid w:val="001A2079"/>
    <w:rsid w:val="001A2512"/>
    <w:rsid w:val="001A25F1"/>
    <w:rsid w:val="001A2628"/>
    <w:rsid w:val="001A2636"/>
    <w:rsid w:val="001A29FC"/>
    <w:rsid w:val="001A2DBD"/>
    <w:rsid w:val="001A342D"/>
    <w:rsid w:val="001A3782"/>
    <w:rsid w:val="001A3AF9"/>
    <w:rsid w:val="001A3B68"/>
    <w:rsid w:val="001A3B99"/>
    <w:rsid w:val="001A3C0D"/>
    <w:rsid w:val="001A431A"/>
    <w:rsid w:val="001A4611"/>
    <w:rsid w:val="001A49C2"/>
    <w:rsid w:val="001A4A58"/>
    <w:rsid w:val="001A5555"/>
    <w:rsid w:val="001A597E"/>
    <w:rsid w:val="001A62BD"/>
    <w:rsid w:val="001A63BF"/>
    <w:rsid w:val="001A6534"/>
    <w:rsid w:val="001A66AF"/>
    <w:rsid w:val="001A66E9"/>
    <w:rsid w:val="001A67E5"/>
    <w:rsid w:val="001A6A11"/>
    <w:rsid w:val="001A6A3A"/>
    <w:rsid w:val="001A6CD3"/>
    <w:rsid w:val="001A6FAA"/>
    <w:rsid w:val="001A7159"/>
    <w:rsid w:val="001A7180"/>
    <w:rsid w:val="001A77EF"/>
    <w:rsid w:val="001B05C0"/>
    <w:rsid w:val="001B0675"/>
    <w:rsid w:val="001B0A02"/>
    <w:rsid w:val="001B0EF5"/>
    <w:rsid w:val="001B0F9A"/>
    <w:rsid w:val="001B10DE"/>
    <w:rsid w:val="001B10F2"/>
    <w:rsid w:val="001B113C"/>
    <w:rsid w:val="001B11BF"/>
    <w:rsid w:val="001B11EC"/>
    <w:rsid w:val="001B1348"/>
    <w:rsid w:val="001B14C3"/>
    <w:rsid w:val="001B18B6"/>
    <w:rsid w:val="001B1912"/>
    <w:rsid w:val="001B19F5"/>
    <w:rsid w:val="001B1BFE"/>
    <w:rsid w:val="001B257B"/>
    <w:rsid w:val="001B2A7B"/>
    <w:rsid w:val="001B3159"/>
    <w:rsid w:val="001B31C7"/>
    <w:rsid w:val="001B3243"/>
    <w:rsid w:val="001B353C"/>
    <w:rsid w:val="001B35E0"/>
    <w:rsid w:val="001B3690"/>
    <w:rsid w:val="001B3757"/>
    <w:rsid w:val="001B3805"/>
    <w:rsid w:val="001B3879"/>
    <w:rsid w:val="001B3A8D"/>
    <w:rsid w:val="001B4278"/>
    <w:rsid w:val="001B48FC"/>
    <w:rsid w:val="001B4EB4"/>
    <w:rsid w:val="001B4FA9"/>
    <w:rsid w:val="001B5039"/>
    <w:rsid w:val="001B541B"/>
    <w:rsid w:val="001B5853"/>
    <w:rsid w:val="001B5B02"/>
    <w:rsid w:val="001B5B35"/>
    <w:rsid w:val="001B5CB3"/>
    <w:rsid w:val="001B5DFB"/>
    <w:rsid w:val="001B6207"/>
    <w:rsid w:val="001B621C"/>
    <w:rsid w:val="001B648C"/>
    <w:rsid w:val="001B6581"/>
    <w:rsid w:val="001B695C"/>
    <w:rsid w:val="001B69A9"/>
    <w:rsid w:val="001B6DB6"/>
    <w:rsid w:val="001B7112"/>
    <w:rsid w:val="001B76CD"/>
    <w:rsid w:val="001B7903"/>
    <w:rsid w:val="001B7908"/>
    <w:rsid w:val="001B7AB8"/>
    <w:rsid w:val="001B7AF3"/>
    <w:rsid w:val="001B7B81"/>
    <w:rsid w:val="001B7CB5"/>
    <w:rsid w:val="001B7DB5"/>
    <w:rsid w:val="001B7DF7"/>
    <w:rsid w:val="001C0525"/>
    <w:rsid w:val="001C0E83"/>
    <w:rsid w:val="001C14D3"/>
    <w:rsid w:val="001C158F"/>
    <w:rsid w:val="001C1BC4"/>
    <w:rsid w:val="001C2443"/>
    <w:rsid w:val="001C28E7"/>
    <w:rsid w:val="001C29E1"/>
    <w:rsid w:val="001C2AA3"/>
    <w:rsid w:val="001C2AAC"/>
    <w:rsid w:val="001C2BEE"/>
    <w:rsid w:val="001C3793"/>
    <w:rsid w:val="001C38C0"/>
    <w:rsid w:val="001C39AE"/>
    <w:rsid w:val="001C3AD9"/>
    <w:rsid w:val="001C46CA"/>
    <w:rsid w:val="001C4952"/>
    <w:rsid w:val="001C4AAE"/>
    <w:rsid w:val="001C5650"/>
    <w:rsid w:val="001C58A2"/>
    <w:rsid w:val="001C6394"/>
    <w:rsid w:val="001C6593"/>
    <w:rsid w:val="001C65E0"/>
    <w:rsid w:val="001C68ED"/>
    <w:rsid w:val="001C6949"/>
    <w:rsid w:val="001C6EAE"/>
    <w:rsid w:val="001C70C0"/>
    <w:rsid w:val="001C7233"/>
    <w:rsid w:val="001C727B"/>
    <w:rsid w:val="001C73E8"/>
    <w:rsid w:val="001C752F"/>
    <w:rsid w:val="001C772C"/>
    <w:rsid w:val="001C77B0"/>
    <w:rsid w:val="001C79F0"/>
    <w:rsid w:val="001C7C6F"/>
    <w:rsid w:val="001C7E02"/>
    <w:rsid w:val="001D0318"/>
    <w:rsid w:val="001D051E"/>
    <w:rsid w:val="001D0541"/>
    <w:rsid w:val="001D066D"/>
    <w:rsid w:val="001D068D"/>
    <w:rsid w:val="001D0845"/>
    <w:rsid w:val="001D0989"/>
    <w:rsid w:val="001D0E07"/>
    <w:rsid w:val="001D0EDC"/>
    <w:rsid w:val="001D0EE6"/>
    <w:rsid w:val="001D1215"/>
    <w:rsid w:val="001D1B8C"/>
    <w:rsid w:val="001D2150"/>
    <w:rsid w:val="001D21D3"/>
    <w:rsid w:val="001D2210"/>
    <w:rsid w:val="001D2671"/>
    <w:rsid w:val="001D282A"/>
    <w:rsid w:val="001D2866"/>
    <w:rsid w:val="001D2C1C"/>
    <w:rsid w:val="001D2F40"/>
    <w:rsid w:val="001D3344"/>
    <w:rsid w:val="001D3943"/>
    <w:rsid w:val="001D3AF0"/>
    <w:rsid w:val="001D3F11"/>
    <w:rsid w:val="001D3FF5"/>
    <w:rsid w:val="001D40DC"/>
    <w:rsid w:val="001D4125"/>
    <w:rsid w:val="001D4289"/>
    <w:rsid w:val="001D45B6"/>
    <w:rsid w:val="001D46CA"/>
    <w:rsid w:val="001D4BB7"/>
    <w:rsid w:val="001D4EDD"/>
    <w:rsid w:val="001D4EE8"/>
    <w:rsid w:val="001D4F94"/>
    <w:rsid w:val="001D5329"/>
    <w:rsid w:val="001D54E6"/>
    <w:rsid w:val="001D55FA"/>
    <w:rsid w:val="001D565D"/>
    <w:rsid w:val="001D619A"/>
    <w:rsid w:val="001D649F"/>
    <w:rsid w:val="001D64E5"/>
    <w:rsid w:val="001D64F6"/>
    <w:rsid w:val="001D68BA"/>
    <w:rsid w:val="001D71C8"/>
    <w:rsid w:val="001D7A98"/>
    <w:rsid w:val="001E0251"/>
    <w:rsid w:val="001E0383"/>
    <w:rsid w:val="001E0652"/>
    <w:rsid w:val="001E079C"/>
    <w:rsid w:val="001E0E3C"/>
    <w:rsid w:val="001E1382"/>
    <w:rsid w:val="001E148D"/>
    <w:rsid w:val="001E15EE"/>
    <w:rsid w:val="001E1AD3"/>
    <w:rsid w:val="001E1BA5"/>
    <w:rsid w:val="001E22AF"/>
    <w:rsid w:val="001E25AE"/>
    <w:rsid w:val="001E2D4A"/>
    <w:rsid w:val="001E2D6B"/>
    <w:rsid w:val="001E2F65"/>
    <w:rsid w:val="001E2FC7"/>
    <w:rsid w:val="001E3431"/>
    <w:rsid w:val="001E36EE"/>
    <w:rsid w:val="001E377B"/>
    <w:rsid w:val="001E3A53"/>
    <w:rsid w:val="001E3B0B"/>
    <w:rsid w:val="001E3B85"/>
    <w:rsid w:val="001E3B92"/>
    <w:rsid w:val="001E3BBA"/>
    <w:rsid w:val="001E40A9"/>
    <w:rsid w:val="001E419F"/>
    <w:rsid w:val="001E430D"/>
    <w:rsid w:val="001E447E"/>
    <w:rsid w:val="001E4579"/>
    <w:rsid w:val="001E45AA"/>
    <w:rsid w:val="001E4823"/>
    <w:rsid w:val="001E48F1"/>
    <w:rsid w:val="001E4916"/>
    <w:rsid w:val="001E4AB3"/>
    <w:rsid w:val="001E4E08"/>
    <w:rsid w:val="001E57A5"/>
    <w:rsid w:val="001E585B"/>
    <w:rsid w:val="001E5BAF"/>
    <w:rsid w:val="001E5ED2"/>
    <w:rsid w:val="001E6295"/>
    <w:rsid w:val="001E6358"/>
    <w:rsid w:val="001E647D"/>
    <w:rsid w:val="001E66E8"/>
    <w:rsid w:val="001E6A3A"/>
    <w:rsid w:val="001E6B23"/>
    <w:rsid w:val="001E6B81"/>
    <w:rsid w:val="001E6F7A"/>
    <w:rsid w:val="001E7115"/>
    <w:rsid w:val="001E7823"/>
    <w:rsid w:val="001E7B93"/>
    <w:rsid w:val="001E7CB9"/>
    <w:rsid w:val="001E7D19"/>
    <w:rsid w:val="001E7DC7"/>
    <w:rsid w:val="001F01A0"/>
    <w:rsid w:val="001F01B2"/>
    <w:rsid w:val="001F025B"/>
    <w:rsid w:val="001F07AC"/>
    <w:rsid w:val="001F07C2"/>
    <w:rsid w:val="001F07C7"/>
    <w:rsid w:val="001F0823"/>
    <w:rsid w:val="001F15DD"/>
    <w:rsid w:val="001F211B"/>
    <w:rsid w:val="001F21A7"/>
    <w:rsid w:val="001F2226"/>
    <w:rsid w:val="001F24E2"/>
    <w:rsid w:val="001F2625"/>
    <w:rsid w:val="001F26C1"/>
    <w:rsid w:val="001F28A7"/>
    <w:rsid w:val="001F2989"/>
    <w:rsid w:val="001F29A0"/>
    <w:rsid w:val="001F2A96"/>
    <w:rsid w:val="001F2E0E"/>
    <w:rsid w:val="001F316F"/>
    <w:rsid w:val="001F31D2"/>
    <w:rsid w:val="001F3320"/>
    <w:rsid w:val="001F3351"/>
    <w:rsid w:val="001F366B"/>
    <w:rsid w:val="001F36A2"/>
    <w:rsid w:val="001F39B0"/>
    <w:rsid w:val="001F3AF4"/>
    <w:rsid w:val="001F41F8"/>
    <w:rsid w:val="001F449F"/>
    <w:rsid w:val="001F44E2"/>
    <w:rsid w:val="001F4524"/>
    <w:rsid w:val="001F4534"/>
    <w:rsid w:val="001F50C1"/>
    <w:rsid w:val="001F560A"/>
    <w:rsid w:val="001F593E"/>
    <w:rsid w:val="001F5CF2"/>
    <w:rsid w:val="001F5DB0"/>
    <w:rsid w:val="001F5F98"/>
    <w:rsid w:val="001F61A4"/>
    <w:rsid w:val="001F6327"/>
    <w:rsid w:val="001F632E"/>
    <w:rsid w:val="001F662C"/>
    <w:rsid w:val="001F6933"/>
    <w:rsid w:val="001F705C"/>
    <w:rsid w:val="001F75AF"/>
    <w:rsid w:val="001F7617"/>
    <w:rsid w:val="001F7633"/>
    <w:rsid w:val="001F7814"/>
    <w:rsid w:val="001F7A65"/>
    <w:rsid w:val="00200104"/>
    <w:rsid w:val="002002BF"/>
    <w:rsid w:val="00200499"/>
    <w:rsid w:val="002008B1"/>
    <w:rsid w:val="00201369"/>
    <w:rsid w:val="002015B9"/>
    <w:rsid w:val="002015BC"/>
    <w:rsid w:val="00202318"/>
    <w:rsid w:val="00202545"/>
    <w:rsid w:val="002026F1"/>
    <w:rsid w:val="00202983"/>
    <w:rsid w:val="00202C1D"/>
    <w:rsid w:val="00202E35"/>
    <w:rsid w:val="00202F56"/>
    <w:rsid w:val="00202F76"/>
    <w:rsid w:val="00202FEB"/>
    <w:rsid w:val="00203453"/>
    <w:rsid w:val="002036C8"/>
    <w:rsid w:val="00203750"/>
    <w:rsid w:val="002039DD"/>
    <w:rsid w:val="00203A37"/>
    <w:rsid w:val="00204D13"/>
    <w:rsid w:val="00204D61"/>
    <w:rsid w:val="00205209"/>
    <w:rsid w:val="002054B3"/>
    <w:rsid w:val="00205572"/>
    <w:rsid w:val="002060E8"/>
    <w:rsid w:val="002063A8"/>
    <w:rsid w:val="00206442"/>
    <w:rsid w:val="002064DC"/>
    <w:rsid w:val="00206839"/>
    <w:rsid w:val="00206B4D"/>
    <w:rsid w:val="00206F54"/>
    <w:rsid w:val="0020738B"/>
    <w:rsid w:val="0020739E"/>
    <w:rsid w:val="002074F4"/>
    <w:rsid w:val="002078F0"/>
    <w:rsid w:val="002101CC"/>
    <w:rsid w:val="002105A5"/>
    <w:rsid w:val="00210A2B"/>
    <w:rsid w:val="00210D1C"/>
    <w:rsid w:val="00210EA7"/>
    <w:rsid w:val="0021114A"/>
    <w:rsid w:val="00211204"/>
    <w:rsid w:val="002113F0"/>
    <w:rsid w:val="0021145D"/>
    <w:rsid w:val="0021157B"/>
    <w:rsid w:val="0021179D"/>
    <w:rsid w:val="00211829"/>
    <w:rsid w:val="00211DD4"/>
    <w:rsid w:val="00211E85"/>
    <w:rsid w:val="00212248"/>
    <w:rsid w:val="00212307"/>
    <w:rsid w:val="00212410"/>
    <w:rsid w:val="00212579"/>
    <w:rsid w:val="0021266D"/>
    <w:rsid w:val="00212D21"/>
    <w:rsid w:val="00212E6A"/>
    <w:rsid w:val="002134FC"/>
    <w:rsid w:val="002137AA"/>
    <w:rsid w:val="00213957"/>
    <w:rsid w:val="00213C4D"/>
    <w:rsid w:val="00213C6C"/>
    <w:rsid w:val="00213D08"/>
    <w:rsid w:val="00214191"/>
    <w:rsid w:val="002141DD"/>
    <w:rsid w:val="00214399"/>
    <w:rsid w:val="0021450B"/>
    <w:rsid w:val="00214953"/>
    <w:rsid w:val="00214999"/>
    <w:rsid w:val="00214D7F"/>
    <w:rsid w:val="0021538B"/>
    <w:rsid w:val="002158C0"/>
    <w:rsid w:val="00215BE9"/>
    <w:rsid w:val="00215C8B"/>
    <w:rsid w:val="00215F12"/>
    <w:rsid w:val="00217200"/>
    <w:rsid w:val="0021724B"/>
    <w:rsid w:val="0021731E"/>
    <w:rsid w:val="002173DF"/>
    <w:rsid w:val="00217472"/>
    <w:rsid w:val="00217646"/>
    <w:rsid w:val="0021777A"/>
    <w:rsid w:val="00217831"/>
    <w:rsid w:val="00217B58"/>
    <w:rsid w:val="00217F2E"/>
    <w:rsid w:val="00217F64"/>
    <w:rsid w:val="002202F5"/>
    <w:rsid w:val="00220864"/>
    <w:rsid w:val="0022097E"/>
    <w:rsid w:val="0022099C"/>
    <w:rsid w:val="00220A4B"/>
    <w:rsid w:val="002210E3"/>
    <w:rsid w:val="002213E5"/>
    <w:rsid w:val="00221A93"/>
    <w:rsid w:val="00221ADF"/>
    <w:rsid w:val="00221BB9"/>
    <w:rsid w:val="0022281B"/>
    <w:rsid w:val="00222C15"/>
    <w:rsid w:val="00222DCE"/>
    <w:rsid w:val="00223386"/>
    <w:rsid w:val="00223C7F"/>
    <w:rsid w:val="002241FF"/>
    <w:rsid w:val="00224654"/>
    <w:rsid w:val="002246F3"/>
    <w:rsid w:val="00224CCE"/>
    <w:rsid w:val="00225195"/>
    <w:rsid w:val="002255CE"/>
    <w:rsid w:val="0022574B"/>
    <w:rsid w:val="002257A3"/>
    <w:rsid w:val="002258F7"/>
    <w:rsid w:val="00225931"/>
    <w:rsid w:val="00225FF7"/>
    <w:rsid w:val="002266C6"/>
    <w:rsid w:val="00226B1C"/>
    <w:rsid w:val="00226C45"/>
    <w:rsid w:val="00226D71"/>
    <w:rsid w:val="0022765A"/>
    <w:rsid w:val="0022785B"/>
    <w:rsid w:val="00227B98"/>
    <w:rsid w:val="00230511"/>
    <w:rsid w:val="00230922"/>
    <w:rsid w:val="00230AFF"/>
    <w:rsid w:val="00230FC2"/>
    <w:rsid w:val="00231198"/>
    <w:rsid w:val="002313CA"/>
    <w:rsid w:val="0023187F"/>
    <w:rsid w:val="002319BF"/>
    <w:rsid w:val="00231C96"/>
    <w:rsid w:val="00232118"/>
    <w:rsid w:val="0023211A"/>
    <w:rsid w:val="002322E7"/>
    <w:rsid w:val="0023238A"/>
    <w:rsid w:val="00232756"/>
    <w:rsid w:val="002332CF"/>
    <w:rsid w:val="002334C1"/>
    <w:rsid w:val="0023354F"/>
    <w:rsid w:val="0023388F"/>
    <w:rsid w:val="00233CC3"/>
    <w:rsid w:val="00233EBF"/>
    <w:rsid w:val="002340B7"/>
    <w:rsid w:val="0023435D"/>
    <w:rsid w:val="00234A3F"/>
    <w:rsid w:val="00234D8D"/>
    <w:rsid w:val="00234F24"/>
    <w:rsid w:val="00235793"/>
    <w:rsid w:val="00235910"/>
    <w:rsid w:val="00235B07"/>
    <w:rsid w:val="00235BF9"/>
    <w:rsid w:val="00235C77"/>
    <w:rsid w:val="00236370"/>
    <w:rsid w:val="00236C53"/>
    <w:rsid w:val="00236EDF"/>
    <w:rsid w:val="00237FA0"/>
    <w:rsid w:val="0024022B"/>
    <w:rsid w:val="002402E1"/>
    <w:rsid w:val="0024075D"/>
    <w:rsid w:val="002407A2"/>
    <w:rsid w:val="00240940"/>
    <w:rsid w:val="00240A5F"/>
    <w:rsid w:val="002414BC"/>
    <w:rsid w:val="002416BB"/>
    <w:rsid w:val="002416FA"/>
    <w:rsid w:val="0024196F"/>
    <w:rsid w:val="002419AD"/>
    <w:rsid w:val="00241D44"/>
    <w:rsid w:val="00241DA2"/>
    <w:rsid w:val="00241DE0"/>
    <w:rsid w:val="00241ED8"/>
    <w:rsid w:val="00241EDF"/>
    <w:rsid w:val="0024241F"/>
    <w:rsid w:val="00243122"/>
    <w:rsid w:val="00243345"/>
    <w:rsid w:val="002433F6"/>
    <w:rsid w:val="00243CEC"/>
    <w:rsid w:val="00243D80"/>
    <w:rsid w:val="00243E19"/>
    <w:rsid w:val="0024422B"/>
    <w:rsid w:val="0024478E"/>
    <w:rsid w:val="00244862"/>
    <w:rsid w:val="00244DB8"/>
    <w:rsid w:val="00244F9E"/>
    <w:rsid w:val="0024504F"/>
    <w:rsid w:val="0024541F"/>
    <w:rsid w:val="002458CF"/>
    <w:rsid w:val="00245C77"/>
    <w:rsid w:val="00245DD2"/>
    <w:rsid w:val="00245ECA"/>
    <w:rsid w:val="002460F5"/>
    <w:rsid w:val="00246592"/>
    <w:rsid w:val="002465D1"/>
    <w:rsid w:val="0024687D"/>
    <w:rsid w:val="00246CF1"/>
    <w:rsid w:val="0024701B"/>
    <w:rsid w:val="00247294"/>
    <w:rsid w:val="00247532"/>
    <w:rsid w:val="00247533"/>
    <w:rsid w:val="002476B4"/>
    <w:rsid w:val="0024798A"/>
    <w:rsid w:val="00247E58"/>
    <w:rsid w:val="00247F7F"/>
    <w:rsid w:val="002500A4"/>
    <w:rsid w:val="002500FC"/>
    <w:rsid w:val="00250441"/>
    <w:rsid w:val="002505D5"/>
    <w:rsid w:val="00250AAB"/>
    <w:rsid w:val="00250DA0"/>
    <w:rsid w:val="00250F73"/>
    <w:rsid w:val="0025105E"/>
    <w:rsid w:val="0025133D"/>
    <w:rsid w:val="002514C2"/>
    <w:rsid w:val="0025158B"/>
    <w:rsid w:val="00251823"/>
    <w:rsid w:val="002518F3"/>
    <w:rsid w:val="00251A2F"/>
    <w:rsid w:val="00251B75"/>
    <w:rsid w:val="00251BF4"/>
    <w:rsid w:val="00252011"/>
    <w:rsid w:val="00252166"/>
    <w:rsid w:val="002526DD"/>
    <w:rsid w:val="00252709"/>
    <w:rsid w:val="00252B5F"/>
    <w:rsid w:val="00252B70"/>
    <w:rsid w:val="002531C2"/>
    <w:rsid w:val="002532AD"/>
    <w:rsid w:val="002533CF"/>
    <w:rsid w:val="00253415"/>
    <w:rsid w:val="00253731"/>
    <w:rsid w:val="00253776"/>
    <w:rsid w:val="00253872"/>
    <w:rsid w:val="00253A7D"/>
    <w:rsid w:val="00254505"/>
    <w:rsid w:val="002548D5"/>
    <w:rsid w:val="00254989"/>
    <w:rsid w:val="00254A44"/>
    <w:rsid w:val="00254A80"/>
    <w:rsid w:val="00254C68"/>
    <w:rsid w:val="00255162"/>
    <w:rsid w:val="002551FC"/>
    <w:rsid w:val="0025585C"/>
    <w:rsid w:val="00255991"/>
    <w:rsid w:val="00255C99"/>
    <w:rsid w:val="00256292"/>
    <w:rsid w:val="002565B7"/>
    <w:rsid w:val="00256679"/>
    <w:rsid w:val="002568DC"/>
    <w:rsid w:val="00256978"/>
    <w:rsid w:val="00256B95"/>
    <w:rsid w:val="00256C31"/>
    <w:rsid w:val="00256E23"/>
    <w:rsid w:val="00256EC4"/>
    <w:rsid w:val="00256F19"/>
    <w:rsid w:val="002576F7"/>
    <w:rsid w:val="00257AEE"/>
    <w:rsid w:val="0026035E"/>
    <w:rsid w:val="00261170"/>
    <w:rsid w:val="0026124F"/>
    <w:rsid w:val="002612BA"/>
    <w:rsid w:val="0026189A"/>
    <w:rsid w:val="00261C70"/>
    <w:rsid w:val="00261C88"/>
    <w:rsid w:val="0026203A"/>
    <w:rsid w:val="0026206E"/>
    <w:rsid w:val="00262183"/>
    <w:rsid w:val="00262612"/>
    <w:rsid w:val="002626C0"/>
    <w:rsid w:val="00262D2D"/>
    <w:rsid w:val="00263203"/>
    <w:rsid w:val="00263354"/>
    <w:rsid w:val="002635B5"/>
    <w:rsid w:val="00263D47"/>
    <w:rsid w:val="00263D60"/>
    <w:rsid w:val="00264465"/>
    <w:rsid w:val="0026468E"/>
    <w:rsid w:val="002646C9"/>
    <w:rsid w:val="00264BFE"/>
    <w:rsid w:val="00264DE9"/>
    <w:rsid w:val="0026503F"/>
    <w:rsid w:val="002650BB"/>
    <w:rsid w:val="002651A0"/>
    <w:rsid w:val="0026521C"/>
    <w:rsid w:val="002655E5"/>
    <w:rsid w:val="00265619"/>
    <w:rsid w:val="002657EC"/>
    <w:rsid w:val="00265A2F"/>
    <w:rsid w:val="00265D41"/>
    <w:rsid w:val="00265F6D"/>
    <w:rsid w:val="0026643C"/>
    <w:rsid w:val="0026657E"/>
    <w:rsid w:val="00266698"/>
    <w:rsid w:val="00266EBE"/>
    <w:rsid w:val="0026728F"/>
    <w:rsid w:val="002672F4"/>
    <w:rsid w:val="00267369"/>
    <w:rsid w:val="00267378"/>
    <w:rsid w:val="002673FC"/>
    <w:rsid w:val="002677A7"/>
    <w:rsid w:val="00267868"/>
    <w:rsid w:val="00267E76"/>
    <w:rsid w:val="002704A9"/>
    <w:rsid w:val="00270A3B"/>
    <w:rsid w:val="00270D2A"/>
    <w:rsid w:val="00270D90"/>
    <w:rsid w:val="00270F44"/>
    <w:rsid w:val="00270F67"/>
    <w:rsid w:val="00271047"/>
    <w:rsid w:val="00271175"/>
    <w:rsid w:val="002711EB"/>
    <w:rsid w:val="002713D5"/>
    <w:rsid w:val="0027153B"/>
    <w:rsid w:val="00271CE7"/>
    <w:rsid w:val="00271D91"/>
    <w:rsid w:val="00272061"/>
    <w:rsid w:val="00272077"/>
    <w:rsid w:val="00272F96"/>
    <w:rsid w:val="002731E6"/>
    <w:rsid w:val="002733DC"/>
    <w:rsid w:val="00273536"/>
    <w:rsid w:val="002736AA"/>
    <w:rsid w:val="00273A84"/>
    <w:rsid w:val="00273F08"/>
    <w:rsid w:val="00273F21"/>
    <w:rsid w:val="0027404E"/>
    <w:rsid w:val="002741A7"/>
    <w:rsid w:val="002744A0"/>
    <w:rsid w:val="00274A1E"/>
    <w:rsid w:val="00274A2F"/>
    <w:rsid w:val="00275064"/>
    <w:rsid w:val="002750E7"/>
    <w:rsid w:val="00275316"/>
    <w:rsid w:val="002756C4"/>
    <w:rsid w:val="00275736"/>
    <w:rsid w:val="002757C7"/>
    <w:rsid w:val="00275987"/>
    <w:rsid w:val="00275AD7"/>
    <w:rsid w:val="00275B5C"/>
    <w:rsid w:val="00275C5A"/>
    <w:rsid w:val="00275D25"/>
    <w:rsid w:val="002766DE"/>
    <w:rsid w:val="00276A8E"/>
    <w:rsid w:val="00276BEF"/>
    <w:rsid w:val="00276C7D"/>
    <w:rsid w:val="00276CF0"/>
    <w:rsid w:val="00276FDA"/>
    <w:rsid w:val="0027724E"/>
    <w:rsid w:val="00277393"/>
    <w:rsid w:val="00277415"/>
    <w:rsid w:val="00277703"/>
    <w:rsid w:val="0027795C"/>
    <w:rsid w:val="00277CBC"/>
    <w:rsid w:val="002804AA"/>
    <w:rsid w:val="00280A61"/>
    <w:rsid w:val="00280FFB"/>
    <w:rsid w:val="002815C4"/>
    <w:rsid w:val="0028179A"/>
    <w:rsid w:val="0028182B"/>
    <w:rsid w:val="00281B34"/>
    <w:rsid w:val="00281CD7"/>
    <w:rsid w:val="00281F97"/>
    <w:rsid w:val="00282306"/>
    <w:rsid w:val="0028235D"/>
    <w:rsid w:val="002827C4"/>
    <w:rsid w:val="00282A2E"/>
    <w:rsid w:val="00282EA0"/>
    <w:rsid w:val="00282F7B"/>
    <w:rsid w:val="00283055"/>
    <w:rsid w:val="00283415"/>
    <w:rsid w:val="0028360F"/>
    <w:rsid w:val="00283621"/>
    <w:rsid w:val="002836E6"/>
    <w:rsid w:val="00283710"/>
    <w:rsid w:val="00283AA3"/>
    <w:rsid w:val="00284177"/>
    <w:rsid w:val="00284447"/>
    <w:rsid w:val="00284945"/>
    <w:rsid w:val="002849A9"/>
    <w:rsid w:val="00284BD6"/>
    <w:rsid w:val="00285451"/>
    <w:rsid w:val="00285AAB"/>
    <w:rsid w:val="00285DF8"/>
    <w:rsid w:val="002862A5"/>
    <w:rsid w:val="00286791"/>
    <w:rsid w:val="00286828"/>
    <w:rsid w:val="00286C04"/>
    <w:rsid w:val="00286C82"/>
    <w:rsid w:val="00287330"/>
    <w:rsid w:val="0028743A"/>
    <w:rsid w:val="00287530"/>
    <w:rsid w:val="002876AE"/>
    <w:rsid w:val="00287BFA"/>
    <w:rsid w:val="002910A7"/>
    <w:rsid w:val="0029111F"/>
    <w:rsid w:val="00291152"/>
    <w:rsid w:val="002917A9"/>
    <w:rsid w:val="002918C8"/>
    <w:rsid w:val="00291960"/>
    <w:rsid w:val="00291B8B"/>
    <w:rsid w:val="00291C29"/>
    <w:rsid w:val="00291ED1"/>
    <w:rsid w:val="00291F69"/>
    <w:rsid w:val="002920EA"/>
    <w:rsid w:val="002921C6"/>
    <w:rsid w:val="002922E9"/>
    <w:rsid w:val="002923C2"/>
    <w:rsid w:val="0029268E"/>
    <w:rsid w:val="002927B7"/>
    <w:rsid w:val="00292B34"/>
    <w:rsid w:val="00292D0D"/>
    <w:rsid w:val="002930F9"/>
    <w:rsid w:val="00293194"/>
    <w:rsid w:val="002931FB"/>
    <w:rsid w:val="00293A8D"/>
    <w:rsid w:val="00293BA8"/>
    <w:rsid w:val="00293DE6"/>
    <w:rsid w:val="00293F2B"/>
    <w:rsid w:val="0029410B"/>
    <w:rsid w:val="00294201"/>
    <w:rsid w:val="002944EF"/>
    <w:rsid w:val="0029476A"/>
    <w:rsid w:val="0029479F"/>
    <w:rsid w:val="002948BC"/>
    <w:rsid w:val="0029530B"/>
    <w:rsid w:val="0029550E"/>
    <w:rsid w:val="00295519"/>
    <w:rsid w:val="00295652"/>
    <w:rsid w:val="002959C8"/>
    <w:rsid w:val="00295C21"/>
    <w:rsid w:val="00295CAC"/>
    <w:rsid w:val="002965C1"/>
    <w:rsid w:val="002965C7"/>
    <w:rsid w:val="002965CD"/>
    <w:rsid w:val="00296661"/>
    <w:rsid w:val="002966DE"/>
    <w:rsid w:val="002966EC"/>
    <w:rsid w:val="00296AD0"/>
    <w:rsid w:val="00296BBA"/>
    <w:rsid w:val="0029738F"/>
    <w:rsid w:val="00297732"/>
    <w:rsid w:val="00297866"/>
    <w:rsid w:val="00297A06"/>
    <w:rsid w:val="00297B7A"/>
    <w:rsid w:val="00297E2A"/>
    <w:rsid w:val="002A0162"/>
    <w:rsid w:val="002A04D0"/>
    <w:rsid w:val="002A04F1"/>
    <w:rsid w:val="002A05B4"/>
    <w:rsid w:val="002A06D7"/>
    <w:rsid w:val="002A0868"/>
    <w:rsid w:val="002A0B99"/>
    <w:rsid w:val="002A0CBB"/>
    <w:rsid w:val="002A173B"/>
    <w:rsid w:val="002A1895"/>
    <w:rsid w:val="002A1A0F"/>
    <w:rsid w:val="002A2196"/>
    <w:rsid w:val="002A278B"/>
    <w:rsid w:val="002A2CBE"/>
    <w:rsid w:val="002A2D97"/>
    <w:rsid w:val="002A2FB8"/>
    <w:rsid w:val="002A328A"/>
    <w:rsid w:val="002A34F7"/>
    <w:rsid w:val="002A36C7"/>
    <w:rsid w:val="002A36DF"/>
    <w:rsid w:val="002A3D17"/>
    <w:rsid w:val="002A41FA"/>
    <w:rsid w:val="002A4225"/>
    <w:rsid w:val="002A434B"/>
    <w:rsid w:val="002A44BD"/>
    <w:rsid w:val="002A4526"/>
    <w:rsid w:val="002A4884"/>
    <w:rsid w:val="002A4A40"/>
    <w:rsid w:val="002A4D0E"/>
    <w:rsid w:val="002A503B"/>
    <w:rsid w:val="002A504F"/>
    <w:rsid w:val="002A5930"/>
    <w:rsid w:val="002A59D3"/>
    <w:rsid w:val="002A5EE3"/>
    <w:rsid w:val="002A5F42"/>
    <w:rsid w:val="002A6065"/>
    <w:rsid w:val="002A6221"/>
    <w:rsid w:val="002A637F"/>
    <w:rsid w:val="002A6643"/>
    <w:rsid w:val="002A682D"/>
    <w:rsid w:val="002A6DB6"/>
    <w:rsid w:val="002A6DBE"/>
    <w:rsid w:val="002A7500"/>
    <w:rsid w:val="002A7D78"/>
    <w:rsid w:val="002B0370"/>
    <w:rsid w:val="002B06AE"/>
    <w:rsid w:val="002B0ACC"/>
    <w:rsid w:val="002B13EB"/>
    <w:rsid w:val="002B19E8"/>
    <w:rsid w:val="002B1C8D"/>
    <w:rsid w:val="002B20B3"/>
    <w:rsid w:val="002B247F"/>
    <w:rsid w:val="002B289B"/>
    <w:rsid w:val="002B29C8"/>
    <w:rsid w:val="002B2ADA"/>
    <w:rsid w:val="002B2E43"/>
    <w:rsid w:val="002B2F91"/>
    <w:rsid w:val="002B312B"/>
    <w:rsid w:val="002B3A44"/>
    <w:rsid w:val="002B3EE5"/>
    <w:rsid w:val="002B4300"/>
    <w:rsid w:val="002B443D"/>
    <w:rsid w:val="002B4582"/>
    <w:rsid w:val="002B4777"/>
    <w:rsid w:val="002B4C06"/>
    <w:rsid w:val="002B4E99"/>
    <w:rsid w:val="002B4EA7"/>
    <w:rsid w:val="002B4F62"/>
    <w:rsid w:val="002B55A3"/>
    <w:rsid w:val="002B570E"/>
    <w:rsid w:val="002B5C3A"/>
    <w:rsid w:val="002B5FD5"/>
    <w:rsid w:val="002B6724"/>
    <w:rsid w:val="002B6836"/>
    <w:rsid w:val="002B6A97"/>
    <w:rsid w:val="002B6EC3"/>
    <w:rsid w:val="002B7192"/>
    <w:rsid w:val="002B7388"/>
    <w:rsid w:val="002B7461"/>
    <w:rsid w:val="002B7CFE"/>
    <w:rsid w:val="002C0B07"/>
    <w:rsid w:val="002C0B29"/>
    <w:rsid w:val="002C0BEE"/>
    <w:rsid w:val="002C0C09"/>
    <w:rsid w:val="002C0D49"/>
    <w:rsid w:val="002C1050"/>
    <w:rsid w:val="002C17A8"/>
    <w:rsid w:val="002C1871"/>
    <w:rsid w:val="002C1969"/>
    <w:rsid w:val="002C19DE"/>
    <w:rsid w:val="002C1A25"/>
    <w:rsid w:val="002C1E00"/>
    <w:rsid w:val="002C21E7"/>
    <w:rsid w:val="002C2533"/>
    <w:rsid w:val="002C2588"/>
    <w:rsid w:val="002C25D2"/>
    <w:rsid w:val="002C2BAE"/>
    <w:rsid w:val="002C319B"/>
    <w:rsid w:val="002C32E8"/>
    <w:rsid w:val="002C34A7"/>
    <w:rsid w:val="002C35B4"/>
    <w:rsid w:val="002C3DEC"/>
    <w:rsid w:val="002C4080"/>
    <w:rsid w:val="002C41D2"/>
    <w:rsid w:val="002C4D38"/>
    <w:rsid w:val="002C4F62"/>
    <w:rsid w:val="002C52AF"/>
    <w:rsid w:val="002C5397"/>
    <w:rsid w:val="002C549F"/>
    <w:rsid w:val="002C5555"/>
    <w:rsid w:val="002C56F2"/>
    <w:rsid w:val="002C5838"/>
    <w:rsid w:val="002C5D91"/>
    <w:rsid w:val="002C5F7B"/>
    <w:rsid w:val="002C60EC"/>
    <w:rsid w:val="002C64E5"/>
    <w:rsid w:val="002C6654"/>
    <w:rsid w:val="002C6874"/>
    <w:rsid w:val="002C6B1B"/>
    <w:rsid w:val="002C6E87"/>
    <w:rsid w:val="002C6ECD"/>
    <w:rsid w:val="002C6FB5"/>
    <w:rsid w:val="002C70D4"/>
    <w:rsid w:val="002C7136"/>
    <w:rsid w:val="002C7788"/>
    <w:rsid w:val="002C7AF7"/>
    <w:rsid w:val="002C7C77"/>
    <w:rsid w:val="002C7D50"/>
    <w:rsid w:val="002D01F9"/>
    <w:rsid w:val="002D0694"/>
    <w:rsid w:val="002D0746"/>
    <w:rsid w:val="002D0825"/>
    <w:rsid w:val="002D08AE"/>
    <w:rsid w:val="002D09EB"/>
    <w:rsid w:val="002D0B67"/>
    <w:rsid w:val="002D0DF6"/>
    <w:rsid w:val="002D10BE"/>
    <w:rsid w:val="002D14BA"/>
    <w:rsid w:val="002D1851"/>
    <w:rsid w:val="002D1EA9"/>
    <w:rsid w:val="002D2052"/>
    <w:rsid w:val="002D238C"/>
    <w:rsid w:val="002D25AE"/>
    <w:rsid w:val="002D26FF"/>
    <w:rsid w:val="002D2941"/>
    <w:rsid w:val="002D2972"/>
    <w:rsid w:val="002D29E2"/>
    <w:rsid w:val="002D2A0A"/>
    <w:rsid w:val="002D3074"/>
    <w:rsid w:val="002D312A"/>
    <w:rsid w:val="002D406E"/>
    <w:rsid w:val="002D421F"/>
    <w:rsid w:val="002D439C"/>
    <w:rsid w:val="002D44CC"/>
    <w:rsid w:val="002D44E0"/>
    <w:rsid w:val="002D4636"/>
    <w:rsid w:val="002D48E6"/>
    <w:rsid w:val="002D49A0"/>
    <w:rsid w:val="002D504A"/>
    <w:rsid w:val="002D554A"/>
    <w:rsid w:val="002D5738"/>
    <w:rsid w:val="002D5BA5"/>
    <w:rsid w:val="002D5BD1"/>
    <w:rsid w:val="002D60E8"/>
    <w:rsid w:val="002D62F9"/>
    <w:rsid w:val="002D6369"/>
    <w:rsid w:val="002D6388"/>
    <w:rsid w:val="002D653B"/>
    <w:rsid w:val="002D6BCC"/>
    <w:rsid w:val="002D6D75"/>
    <w:rsid w:val="002D6F48"/>
    <w:rsid w:val="002D7ECE"/>
    <w:rsid w:val="002D7FDF"/>
    <w:rsid w:val="002E01F9"/>
    <w:rsid w:val="002E04D6"/>
    <w:rsid w:val="002E054F"/>
    <w:rsid w:val="002E06B4"/>
    <w:rsid w:val="002E0817"/>
    <w:rsid w:val="002E094D"/>
    <w:rsid w:val="002E0975"/>
    <w:rsid w:val="002E0CD9"/>
    <w:rsid w:val="002E0E55"/>
    <w:rsid w:val="002E106D"/>
    <w:rsid w:val="002E1348"/>
    <w:rsid w:val="002E1450"/>
    <w:rsid w:val="002E1657"/>
    <w:rsid w:val="002E1ED2"/>
    <w:rsid w:val="002E2497"/>
    <w:rsid w:val="002E2501"/>
    <w:rsid w:val="002E283D"/>
    <w:rsid w:val="002E2AD8"/>
    <w:rsid w:val="002E2B75"/>
    <w:rsid w:val="002E3052"/>
    <w:rsid w:val="002E3133"/>
    <w:rsid w:val="002E3165"/>
    <w:rsid w:val="002E38A1"/>
    <w:rsid w:val="002E3A11"/>
    <w:rsid w:val="002E3D19"/>
    <w:rsid w:val="002E3DF2"/>
    <w:rsid w:val="002E44BC"/>
    <w:rsid w:val="002E44D6"/>
    <w:rsid w:val="002E488F"/>
    <w:rsid w:val="002E4C2F"/>
    <w:rsid w:val="002E4C73"/>
    <w:rsid w:val="002E4CE7"/>
    <w:rsid w:val="002E4DAC"/>
    <w:rsid w:val="002E5099"/>
    <w:rsid w:val="002E58F7"/>
    <w:rsid w:val="002E59CE"/>
    <w:rsid w:val="002E5C54"/>
    <w:rsid w:val="002E5DDA"/>
    <w:rsid w:val="002E5F79"/>
    <w:rsid w:val="002E65FA"/>
    <w:rsid w:val="002E7006"/>
    <w:rsid w:val="002E743B"/>
    <w:rsid w:val="002E748F"/>
    <w:rsid w:val="002E7668"/>
    <w:rsid w:val="002E76E7"/>
    <w:rsid w:val="002F02A0"/>
    <w:rsid w:val="002F0915"/>
    <w:rsid w:val="002F10D9"/>
    <w:rsid w:val="002F1155"/>
    <w:rsid w:val="002F11F7"/>
    <w:rsid w:val="002F13DB"/>
    <w:rsid w:val="002F1428"/>
    <w:rsid w:val="002F1F33"/>
    <w:rsid w:val="002F2771"/>
    <w:rsid w:val="002F28BE"/>
    <w:rsid w:val="002F2AFE"/>
    <w:rsid w:val="002F2CEB"/>
    <w:rsid w:val="002F2D95"/>
    <w:rsid w:val="002F2FDD"/>
    <w:rsid w:val="002F31B2"/>
    <w:rsid w:val="002F34BE"/>
    <w:rsid w:val="002F3713"/>
    <w:rsid w:val="002F373F"/>
    <w:rsid w:val="002F397A"/>
    <w:rsid w:val="002F3BB2"/>
    <w:rsid w:val="002F407A"/>
    <w:rsid w:val="002F4341"/>
    <w:rsid w:val="002F440E"/>
    <w:rsid w:val="002F4479"/>
    <w:rsid w:val="002F4AE2"/>
    <w:rsid w:val="002F5226"/>
    <w:rsid w:val="002F581A"/>
    <w:rsid w:val="002F598C"/>
    <w:rsid w:val="002F5ADC"/>
    <w:rsid w:val="002F5BDF"/>
    <w:rsid w:val="002F5D1C"/>
    <w:rsid w:val="002F5D39"/>
    <w:rsid w:val="002F639E"/>
    <w:rsid w:val="002F643C"/>
    <w:rsid w:val="002F64DB"/>
    <w:rsid w:val="002F6630"/>
    <w:rsid w:val="002F6919"/>
    <w:rsid w:val="002F6D2A"/>
    <w:rsid w:val="002F6F0E"/>
    <w:rsid w:val="002F6F8E"/>
    <w:rsid w:val="002F7404"/>
    <w:rsid w:val="002F780B"/>
    <w:rsid w:val="002F7AE8"/>
    <w:rsid w:val="002F7E72"/>
    <w:rsid w:val="0030001C"/>
    <w:rsid w:val="003001FC"/>
    <w:rsid w:val="003007BC"/>
    <w:rsid w:val="0030089C"/>
    <w:rsid w:val="00300B99"/>
    <w:rsid w:val="00300D00"/>
    <w:rsid w:val="003010F9"/>
    <w:rsid w:val="00301140"/>
    <w:rsid w:val="003011E6"/>
    <w:rsid w:val="0030179E"/>
    <w:rsid w:val="003019A3"/>
    <w:rsid w:val="00301C0B"/>
    <w:rsid w:val="00302316"/>
    <w:rsid w:val="003023AD"/>
    <w:rsid w:val="003026B3"/>
    <w:rsid w:val="0030275C"/>
    <w:rsid w:val="003029D6"/>
    <w:rsid w:val="00302B0D"/>
    <w:rsid w:val="00302B31"/>
    <w:rsid w:val="00302CC6"/>
    <w:rsid w:val="00302CDF"/>
    <w:rsid w:val="00302CF6"/>
    <w:rsid w:val="00302E52"/>
    <w:rsid w:val="003032B5"/>
    <w:rsid w:val="003032FF"/>
    <w:rsid w:val="00303442"/>
    <w:rsid w:val="003034D4"/>
    <w:rsid w:val="003034EE"/>
    <w:rsid w:val="00303B04"/>
    <w:rsid w:val="00303D85"/>
    <w:rsid w:val="00303E0A"/>
    <w:rsid w:val="00303E33"/>
    <w:rsid w:val="0030411C"/>
    <w:rsid w:val="00304494"/>
    <w:rsid w:val="003047FD"/>
    <w:rsid w:val="00304A40"/>
    <w:rsid w:val="00304B55"/>
    <w:rsid w:val="00304D82"/>
    <w:rsid w:val="00304FFD"/>
    <w:rsid w:val="00305218"/>
    <w:rsid w:val="003058BF"/>
    <w:rsid w:val="00305E90"/>
    <w:rsid w:val="00305E93"/>
    <w:rsid w:val="0030612F"/>
    <w:rsid w:val="0030678B"/>
    <w:rsid w:val="003067A8"/>
    <w:rsid w:val="00306A25"/>
    <w:rsid w:val="00306EF8"/>
    <w:rsid w:val="00307840"/>
    <w:rsid w:val="00307B2A"/>
    <w:rsid w:val="00307C3A"/>
    <w:rsid w:val="00307C63"/>
    <w:rsid w:val="00307CDB"/>
    <w:rsid w:val="00307FB1"/>
    <w:rsid w:val="00310055"/>
    <w:rsid w:val="00310633"/>
    <w:rsid w:val="00310661"/>
    <w:rsid w:val="0031094A"/>
    <w:rsid w:val="0031108B"/>
    <w:rsid w:val="00311364"/>
    <w:rsid w:val="0031142D"/>
    <w:rsid w:val="0031146C"/>
    <w:rsid w:val="00311A7F"/>
    <w:rsid w:val="00311B5D"/>
    <w:rsid w:val="00311DA6"/>
    <w:rsid w:val="00311E81"/>
    <w:rsid w:val="00312134"/>
    <w:rsid w:val="003121B8"/>
    <w:rsid w:val="0031279E"/>
    <w:rsid w:val="003133BC"/>
    <w:rsid w:val="0031388C"/>
    <w:rsid w:val="0031395F"/>
    <w:rsid w:val="00313AA2"/>
    <w:rsid w:val="00313C48"/>
    <w:rsid w:val="00314332"/>
    <w:rsid w:val="0031436C"/>
    <w:rsid w:val="003143D4"/>
    <w:rsid w:val="003143FB"/>
    <w:rsid w:val="00314509"/>
    <w:rsid w:val="0031510E"/>
    <w:rsid w:val="00315920"/>
    <w:rsid w:val="00315B20"/>
    <w:rsid w:val="00315B52"/>
    <w:rsid w:val="00315DFE"/>
    <w:rsid w:val="00315E6F"/>
    <w:rsid w:val="003168F3"/>
    <w:rsid w:val="00317232"/>
    <w:rsid w:val="003172A0"/>
    <w:rsid w:val="003174E8"/>
    <w:rsid w:val="003178BD"/>
    <w:rsid w:val="003178D3"/>
    <w:rsid w:val="00317904"/>
    <w:rsid w:val="00317DAE"/>
    <w:rsid w:val="00320794"/>
    <w:rsid w:val="003208B1"/>
    <w:rsid w:val="00320A4B"/>
    <w:rsid w:val="00320ABB"/>
    <w:rsid w:val="003213F1"/>
    <w:rsid w:val="0032166D"/>
    <w:rsid w:val="00321813"/>
    <w:rsid w:val="00321BF6"/>
    <w:rsid w:val="00321D1B"/>
    <w:rsid w:val="00321DAA"/>
    <w:rsid w:val="00321EC8"/>
    <w:rsid w:val="0032232A"/>
    <w:rsid w:val="0032243F"/>
    <w:rsid w:val="00322BD4"/>
    <w:rsid w:val="00322F51"/>
    <w:rsid w:val="00323189"/>
    <w:rsid w:val="00323365"/>
    <w:rsid w:val="003237A5"/>
    <w:rsid w:val="00323D7E"/>
    <w:rsid w:val="003244DF"/>
    <w:rsid w:val="003247CE"/>
    <w:rsid w:val="00324B12"/>
    <w:rsid w:val="00324C58"/>
    <w:rsid w:val="00324E47"/>
    <w:rsid w:val="00325215"/>
    <w:rsid w:val="00325292"/>
    <w:rsid w:val="0032573A"/>
    <w:rsid w:val="003259A6"/>
    <w:rsid w:val="00325A27"/>
    <w:rsid w:val="00325B7F"/>
    <w:rsid w:val="00325F9A"/>
    <w:rsid w:val="0032606F"/>
    <w:rsid w:val="003263FA"/>
    <w:rsid w:val="00326652"/>
    <w:rsid w:val="003268AD"/>
    <w:rsid w:val="00326B5E"/>
    <w:rsid w:val="00326C84"/>
    <w:rsid w:val="00326D44"/>
    <w:rsid w:val="0032704F"/>
    <w:rsid w:val="003270D0"/>
    <w:rsid w:val="003271A0"/>
    <w:rsid w:val="0032728B"/>
    <w:rsid w:val="003276FF"/>
    <w:rsid w:val="00327777"/>
    <w:rsid w:val="00327C04"/>
    <w:rsid w:val="00330044"/>
    <w:rsid w:val="0033031F"/>
    <w:rsid w:val="003303CF"/>
    <w:rsid w:val="00330A8E"/>
    <w:rsid w:val="00330A9A"/>
    <w:rsid w:val="00330C6C"/>
    <w:rsid w:val="00330DDA"/>
    <w:rsid w:val="00330E56"/>
    <w:rsid w:val="00331053"/>
    <w:rsid w:val="003315FE"/>
    <w:rsid w:val="00331B23"/>
    <w:rsid w:val="00331CAC"/>
    <w:rsid w:val="0033267D"/>
    <w:rsid w:val="00332F49"/>
    <w:rsid w:val="0033325E"/>
    <w:rsid w:val="00333730"/>
    <w:rsid w:val="00333E1E"/>
    <w:rsid w:val="00334252"/>
    <w:rsid w:val="003343AC"/>
    <w:rsid w:val="00334AF5"/>
    <w:rsid w:val="00334C36"/>
    <w:rsid w:val="00335BA2"/>
    <w:rsid w:val="00335CA7"/>
    <w:rsid w:val="0033602D"/>
    <w:rsid w:val="003363D5"/>
    <w:rsid w:val="00336471"/>
    <w:rsid w:val="00336E7D"/>
    <w:rsid w:val="00337031"/>
    <w:rsid w:val="00337A95"/>
    <w:rsid w:val="00337DE6"/>
    <w:rsid w:val="00337E16"/>
    <w:rsid w:val="00340331"/>
    <w:rsid w:val="003403AD"/>
    <w:rsid w:val="0034072E"/>
    <w:rsid w:val="00340863"/>
    <w:rsid w:val="003416D4"/>
    <w:rsid w:val="00341764"/>
    <w:rsid w:val="00341843"/>
    <w:rsid w:val="00341846"/>
    <w:rsid w:val="00341B43"/>
    <w:rsid w:val="00341E53"/>
    <w:rsid w:val="0034217E"/>
    <w:rsid w:val="003421AD"/>
    <w:rsid w:val="003425DB"/>
    <w:rsid w:val="003429E2"/>
    <w:rsid w:val="00342A47"/>
    <w:rsid w:val="0034304D"/>
    <w:rsid w:val="0034312F"/>
    <w:rsid w:val="0034321D"/>
    <w:rsid w:val="0034348F"/>
    <w:rsid w:val="003435A3"/>
    <w:rsid w:val="00343F41"/>
    <w:rsid w:val="003446E7"/>
    <w:rsid w:val="0034474F"/>
    <w:rsid w:val="00345403"/>
    <w:rsid w:val="003456AC"/>
    <w:rsid w:val="00345713"/>
    <w:rsid w:val="0034587D"/>
    <w:rsid w:val="00345A2B"/>
    <w:rsid w:val="003460E7"/>
    <w:rsid w:val="0034615A"/>
    <w:rsid w:val="0034634E"/>
    <w:rsid w:val="003465A4"/>
    <w:rsid w:val="003466F3"/>
    <w:rsid w:val="00346990"/>
    <w:rsid w:val="00346BDA"/>
    <w:rsid w:val="0034706A"/>
    <w:rsid w:val="0034713B"/>
    <w:rsid w:val="00347873"/>
    <w:rsid w:val="00347A2C"/>
    <w:rsid w:val="00347D41"/>
    <w:rsid w:val="0035034C"/>
    <w:rsid w:val="00350645"/>
    <w:rsid w:val="003507A5"/>
    <w:rsid w:val="00350FFE"/>
    <w:rsid w:val="003513D6"/>
    <w:rsid w:val="003517A8"/>
    <w:rsid w:val="00351C70"/>
    <w:rsid w:val="00351E84"/>
    <w:rsid w:val="00352199"/>
    <w:rsid w:val="003521A8"/>
    <w:rsid w:val="00352256"/>
    <w:rsid w:val="00352420"/>
    <w:rsid w:val="00352753"/>
    <w:rsid w:val="00352958"/>
    <w:rsid w:val="003529B3"/>
    <w:rsid w:val="00353017"/>
    <w:rsid w:val="00353268"/>
    <w:rsid w:val="003533A8"/>
    <w:rsid w:val="0035343A"/>
    <w:rsid w:val="003539F0"/>
    <w:rsid w:val="00353A3C"/>
    <w:rsid w:val="00353A8E"/>
    <w:rsid w:val="00353AD5"/>
    <w:rsid w:val="00353AE0"/>
    <w:rsid w:val="00353BAA"/>
    <w:rsid w:val="00353D70"/>
    <w:rsid w:val="00353DDD"/>
    <w:rsid w:val="00354044"/>
    <w:rsid w:val="003540E9"/>
    <w:rsid w:val="00354421"/>
    <w:rsid w:val="0035469F"/>
    <w:rsid w:val="003546D8"/>
    <w:rsid w:val="003547BB"/>
    <w:rsid w:val="003547E4"/>
    <w:rsid w:val="0035567B"/>
    <w:rsid w:val="003556CD"/>
    <w:rsid w:val="003559BA"/>
    <w:rsid w:val="00355BCB"/>
    <w:rsid w:val="00355F34"/>
    <w:rsid w:val="003560F2"/>
    <w:rsid w:val="00356180"/>
    <w:rsid w:val="00356304"/>
    <w:rsid w:val="003566B6"/>
    <w:rsid w:val="003566CF"/>
    <w:rsid w:val="00356975"/>
    <w:rsid w:val="00356A36"/>
    <w:rsid w:val="00356E2F"/>
    <w:rsid w:val="00356F54"/>
    <w:rsid w:val="0035721F"/>
    <w:rsid w:val="00357551"/>
    <w:rsid w:val="003576B3"/>
    <w:rsid w:val="00357B32"/>
    <w:rsid w:val="00357B47"/>
    <w:rsid w:val="00357D81"/>
    <w:rsid w:val="00357E58"/>
    <w:rsid w:val="00357FC3"/>
    <w:rsid w:val="0036030D"/>
    <w:rsid w:val="00360321"/>
    <w:rsid w:val="00360EE2"/>
    <w:rsid w:val="003610EF"/>
    <w:rsid w:val="00361339"/>
    <w:rsid w:val="00361EDA"/>
    <w:rsid w:val="00361FCD"/>
    <w:rsid w:val="003620A5"/>
    <w:rsid w:val="00362694"/>
    <w:rsid w:val="00362E01"/>
    <w:rsid w:val="00362EF2"/>
    <w:rsid w:val="0036343D"/>
    <w:rsid w:val="00363705"/>
    <w:rsid w:val="003638C0"/>
    <w:rsid w:val="0036392D"/>
    <w:rsid w:val="00363A1A"/>
    <w:rsid w:val="00363A22"/>
    <w:rsid w:val="00363DD2"/>
    <w:rsid w:val="003642EB"/>
    <w:rsid w:val="0036446C"/>
    <w:rsid w:val="00364621"/>
    <w:rsid w:val="0036474A"/>
    <w:rsid w:val="00364B07"/>
    <w:rsid w:val="00364CC6"/>
    <w:rsid w:val="00364DFB"/>
    <w:rsid w:val="00364F52"/>
    <w:rsid w:val="00365266"/>
    <w:rsid w:val="00365278"/>
    <w:rsid w:val="00365305"/>
    <w:rsid w:val="00365B60"/>
    <w:rsid w:val="00365D0D"/>
    <w:rsid w:val="00365DEC"/>
    <w:rsid w:val="00365E14"/>
    <w:rsid w:val="00366390"/>
    <w:rsid w:val="003666F9"/>
    <w:rsid w:val="00366993"/>
    <w:rsid w:val="00366C57"/>
    <w:rsid w:val="00366F3C"/>
    <w:rsid w:val="003670D6"/>
    <w:rsid w:val="003676CA"/>
    <w:rsid w:val="003679E0"/>
    <w:rsid w:val="00367A16"/>
    <w:rsid w:val="00367BDC"/>
    <w:rsid w:val="00370207"/>
    <w:rsid w:val="003707F6"/>
    <w:rsid w:val="00370829"/>
    <w:rsid w:val="00370AC4"/>
    <w:rsid w:val="00370B29"/>
    <w:rsid w:val="00370FFD"/>
    <w:rsid w:val="00371255"/>
    <w:rsid w:val="00371839"/>
    <w:rsid w:val="00371B3F"/>
    <w:rsid w:val="00372590"/>
    <w:rsid w:val="00372749"/>
    <w:rsid w:val="00372E48"/>
    <w:rsid w:val="00372E83"/>
    <w:rsid w:val="00373050"/>
    <w:rsid w:val="0037334B"/>
    <w:rsid w:val="003734BD"/>
    <w:rsid w:val="0037357E"/>
    <w:rsid w:val="00373637"/>
    <w:rsid w:val="00373BFE"/>
    <w:rsid w:val="00373F1B"/>
    <w:rsid w:val="003741E4"/>
    <w:rsid w:val="00374492"/>
    <w:rsid w:val="003744C3"/>
    <w:rsid w:val="003746C4"/>
    <w:rsid w:val="003747BC"/>
    <w:rsid w:val="00374813"/>
    <w:rsid w:val="00374B3E"/>
    <w:rsid w:val="00374BA5"/>
    <w:rsid w:val="00374C62"/>
    <w:rsid w:val="00374D47"/>
    <w:rsid w:val="0037507C"/>
    <w:rsid w:val="003751C2"/>
    <w:rsid w:val="003752B8"/>
    <w:rsid w:val="003759BF"/>
    <w:rsid w:val="00375B40"/>
    <w:rsid w:val="00376217"/>
    <w:rsid w:val="00376545"/>
    <w:rsid w:val="003767B7"/>
    <w:rsid w:val="00376A13"/>
    <w:rsid w:val="00376FBC"/>
    <w:rsid w:val="00377056"/>
    <w:rsid w:val="00377180"/>
    <w:rsid w:val="00377F36"/>
    <w:rsid w:val="003802FC"/>
    <w:rsid w:val="0038055A"/>
    <w:rsid w:val="003805B5"/>
    <w:rsid w:val="00380799"/>
    <w:rsid w:val="003809FD"/>
    <w:rsid w:val="00380FD8"/>
    <w:rsid w:val="00381033"/>
    <w:rsid w:val="0038152C"/>
    <w:rsid w:val="0038177A"/>
    <w:rsid w:val="00381C3A"/>
    <w:rsid w:val="00381C55"/>
    <w:rsid w:val="00382173"/>
    <w:rsid w:val="003821D6"/>
    <w:rsid w:val="003822D6"/>
    <w:rsid w:val="003825FF"/>
    <w:rsid w:val="003827BF"/>
    <w:rsid w:val="0038282D"/>
    <w:rsid w:val="00382C7D"/>
    <w:rsid w:val="00382FA5"/>
    <w:rsid w:val="00383018"/>
    <w:rsid w:val="0038309B"/>
    <w:rsid w:val="003830E0"/>
    <w:rsid w:val="00383182"/>
    <w:rsid w:val="003832F1"/>
    <w:rsid w:val="003835D3"/>
    <w:rsid w:val="00383648"/>
    <w:rsid w:val="0038384E"/>
    <w:rsid w:val="00383D76"/>
    <w:rsid w:val="00383FCA"/>
    <w:rsid w:val="003848F0"/>
    <w:rsid w:val="00384BA0"/>
    <w:rsid w:val="00384D5B"/>
    <w:rsid w:val="00384E30"/>
    <w:rsid w:val="00384E8B"/>
    <w:rsid w:val="003857E9"/>
    <w:rsid w:val="00385DA7"/>
    <w:rsid w:val="0038664C"/>
    <w:rsid w:val="003869C5"/>
    <w:rsid w:val="00386C49"/>
    <w:rsid w:val="00386F14"/>
    <w:rsid w:val="003873DD"/>
    <w:rsid w:val="00387444"/>
    <w:rsid w:val="00387479"/>
    <w:rsid w:val="00387559"/>
    <w:rsid w:val="00387949"/>
    <w:rsid w:val="003879E8"/>
    <w:rsid w:val="00387E3D"/>
    <w:rsid w:val="00390257"/>
    <w:rsid w:val="0039067D"/>
    <w:rsid w:val="00390733"/>
    <w:rsid w:val="00390810"/>
    <w:rsid w:val="00390FC9"/>
    <w:rsid w:val="00390FE9"/>
    <w:rsid w:val="00391189"/>
    <w:rsid w:val="00391668"/>
    <w:rsid w:val="00391AE1"/>
    <w:rsid w:val="003920D2"/>
    <w:rsid w:val="003925CC"/>
    <w:rsid w:val="00392EB2"/>
    <w:rsid w:val="00393281"/>
    <w:rsid w:val="00393586"/>
    <w:rsid w:val="003938FA"/>
    <w:rsid w:val="00393E99"/>
    <w:rsid w:val="00394349"/>
    <w:rsid w:val="0039459D"/>
    <w:rsid w:val="003945E3"/>
    <w:rsid w:val="0039493A"/>
    <w:rsid w:val="0039494F"/>
    <w:rsid w:val="00394BAA"/>
    <w:rsid w:val="00394E1A"/>
    <w:rsid w:val="00395083"/>
    <w:rsid w:val="003953AC"/>
    <w:rsid w:val="00395A61"/>
    <w:rsid w:val="00395A64"/>
    <w:rsid w:val="00395C00"/>
    <w:rsid w:val="00395DF1"/>
    <w:rsid w:val="003961EE"/>
    <w:rsid w:val="00396878"/>
    <w:rsid w:val="003970C9"/>
    <w:rsid w:val="00397946"/>
    <w:rsid w:val="00397E69"/>
    <w:rsid w:val="003A009A"/>
    <w:rsid w:val="003A03CB"/>
    <w:rsid w:val="003A05F9"/>
    <w:rsid w:val="003A07EA"/>
    <w:rsid w:val="003A0A2B"/>
    <w:rsid w:val="003A0D0E"/>
    <w:rsid w:val="003A160B"/>
    <w:rsid w:val="003A1639"/>
    <w:rsid w:val="003A1B03"/>
    <w:rsid w:val="003A20C8"/>
    <w:rsid w:val="003A2397"/>
    <w:rsid w:val="003A2413"/>
    <w:rsid w:val="003A2642"/>
    <w:rsid w:val="003A275E"/>
    <w:rsid w:val="003A2B79"/>
    <w:rsid w:val="003A2C19"/>
    <w:rsid w:val="003A2C30"/>
    <w:rsid w:val="003A2C53"/>
    <w:rsid w:val="003A31D4"/>
    <w:rsid w:val="003A397E"/>
    <w:rsid w:val="003A3BEF"/>
    <w:rsid w:val="003A4027"/>
    <w:rsid w:val="003A4374"/>
    <w:rsid w:val="003A4894"/>
    <w:rsid w:val="003A4B92"/>
    <w:rsid w:val="003A4C79"/>
    <w:rsid w:val="003A50EC"/>
    <w:rsid w:val="003A5144"/>
    <w:rsid w:val="003A521D"/>
    <w:rsid w:val="003A560B"/>
    <w:rsid w:val="003A5B5B"/>
    <w:rsid w:val="003A5C1B"/>
    <w:rsid w:val="003A5D74"/>
    <w:rsid w:val="003A5ECB"/>
    <w:rsid w:val="003A636E"/>
    <w:rsid w:val="003A670E"/>
    <w:rsid w:val="003A6A4C"/>
    <w:rsid w:val="003A6B35"/>
    <w:rsid w:val="003A6C64"/>
    <w:rsid w:val="003A6CFD"/>
    <w:rsid w:val="003A6D46"/>
    <w:rsid w:val="003A6DB2"/>
    <w:rsid w:val="003A6F4E"/>
    <w:rsid w:val="003A70D6"/>
    <w:rsid w:val="003A774D"/>
    <w:rsid w:val="003A7CA7"/>
    <w:rsid w:val="003A7CF0"/>
    <w:rsid w:val="003A7FCA"/>
    <w:rsid w:val="003B019D"/>
    <w:rsid w:val="003B06D2"/>
    <w:rsid w:val="003B0C3C"/>
    <w:rsid w:val="003B12FB"/>
    <w:rsid w:val="003B131A"/>
    <w:rsid w:val="003B1439"/>
    <w:rsid w:val="003B199C"/>
    <w:rsid w:val="003B1A74"/>
    <w:rsid w:val="003B22E7"/>
    <w:rsid w:val="003B238C"/>
    <w:rsid w:val="003B23FA"/>
    <w:rsid w:val="003B24A6"/>
    <w:rsid w:val="003B270A"/>
    <w:rsid w:val="003B27E8"/>
    <w:rsid w:val="003B2946"/>
    <w:rsid w:val="003B3329"/>
    <w:rsid w:val="003B3734"/>
    <w:rsid w:val="003B390A"/>
    <w:rsid w:val="003B3948"/>
    <w:rsid w:val="003B3D62"/>
    <w:rsid w:val="003B3E66"/>
    <w:rsid w:val="003B4575"/>
    <w:rsid w:val="003B477C"/>
    <w:rsid w:val="003B47B8"/>
    <w:rsid w:val="003B4A03"/>
    <w:rsid w:val="003B4B8C"/>
    <w:rsid w:val="003B4BA8"/>
    <w:rsid w:val="003B4C16"/>
    <w:rsid w:val="003B5796"/>
    <w:rsid w:val="003B59FE"/>
    <w:rsid w:val="003B5B9C"/>
    <w:rsid w:val="003B5E36"/>
    <w:rsid w:val="003B6BE6"/>
    <w:rsid w:val="003B6FA0"/>
    <w:rsid w:val="003B70C8"/>
    <w:rsid w:val="003B754A"/>
    <w:rsid w:val="003B7AE9"/>
    <w:rsid w:val="003B7B96"/>
    <w:rsid w:val="003B7DF7"/>
    <w:rsid w:val="003B7E4B"/>
    <w:rsid w:val="003B7EDF"/>
    <w:rsid w:val="003C0070"/>
    <w:rsid w:val="003C08EE"/>
    <w:rsid w:val="003C099A"/>
    <w:rsid w:val="003C0B88"/>
    <w:rsid w:val="003C0C7B"/>
    <w:rsid w:val="003C0DBD"/>
    <w:rsid w:val="003C0FCC"/>
    <w:rsid w:val="003C0FFB"/>
    <w:rsid w:val="003C102A"/>
    <w:rsid w:val="003C150B"/>
    <w:rsid w:val="003C17CD"/>
    <w:rsid w:val="003C18BA"/>
    <w:rsid w:val="003C1ABE"/>
    <w:rsid w:val="003C1D89"/>
    <w:rsid w:val="003C1DD4"/>
    <w:rsid w:val="003C1E51"/>
    <w:rsid w:val="003C2200"/>
    <w:rsid w:val="003C25FD"/>
    <w:rsid w:val="003C2A5A"/>
    <w:rsid w:val="003C2BD0"/>
    <w:rsid w:val="003C2E73"/>
    <w:rsid w:val="003C338D"/>
    <w:rsid w:val="003C3831"/>
    <w:rsid w:val="003C3842"/>
    <w:rsid w:val="003C3E48"/>
    <w:rsid w:val="003C3E6B"/>
    <w:rsid w:val="003C409D"/>
    <w:rsid w:val="003C456C"/>
    <w:rsid w:val="003C45B8"/>
    <w:rsid w:val="003C46DA"/>
    <w:rsid w:val="003C489B"/>
    <w:rsid w:val="003C48EF"/>
    <w:rsid w:val="003C4AD1"/>
    <w:rsid w:val="003C4B83"/>
    <w:rsid w:val="003C50C3"/>
    <w:rsid w:val="003C51CA"/>
    <w:rsid w:val="003C541E"/>
    <w:rsid w:val="003C5765"/>
    <w:rsid w:val="003C587F"/>
    <w:rsid w:val="003C59D4"/>
    <w:rsid w:val="003C5ABF"/>
    <w:rsid w:val="003C5E75"/>
    <w:rsid w:val="003C61B8"/>
    <w:rsid w:val="003C62C5"/>
    <w:rsid w:val="003C63B0"/>
    <w:rsid w:val="003C659B"/>
    <w:rsid w:val="003C65F4"/>
    <w:rsid w:val="003C6634"/>
    <w:rsid w:val="003C6A52"/>
    <w:rsid w:val="003C6AB4"/>
    <w:rsid w:val="003C708B"/>
    <w:rsid w:val="003C749A"/>
    <w:rsid w:val="003C7518"/>
    <w:rsid w:val="003C798A"/>
    <w:rsid w:val="003C7A31"/>
    <w:rsid w:val="003C7BF3"/>
    <w:rsid w:val="003C7D23"/>
    <w:rsid w:val="003C7E25"/>
    <w:rsid w:val="003C7E52"/>
    <w:rsid w:val="003C7E64"/>
    <w:rsid w:val="003C7F36"/>
    <w:rsid w:val="003D00CB"/>
    <w:rsid w:val="003D019A"/>
    <w:rsid w:val="003D0351"/>
    <w:rsid w:val="003D057D"/>
    <w:rsid w:val="003D05A7"/>
    <w:rsid w:val="003D0721"/>
    <w:rsid w:val="003D0AE8"/>
    <w:rsid w:val="003D0B95"/>
    <w:rsid w:val="003D1145"/>
    <w:rsid w:val="003D1256"/>
    <w:rsid w:val="003D12B1"/>
    <w:rsid w:val="003D151B"/>
    <w:rsid w:val="003D15B3"/>
    <w:rsid w:val="003D1B05"/>
    <w:rsid w:val="003D2226"/>
    <w:rsid w:val="003D28AA"/>
    <w:rsid w:val="003D2DDC"/>
    <w:rsid w:val="003D300A"/>
    <w:rsid w:val="003D327F"/>
    <w:rsid w:val="003D376F"/>
    <w:rsid w:val="003D37B1"/>
    <w:rsid w:val="003D3949"/>
    <w:rsid w:val="003D3A43"/>
    <w:rsid w:val="003D3CEE"/>
    <w:rsid w:val="003D3E3D"/>
    <w:rsid w:val="003D40A8"/>
    <w:rsid w:val="003D429E"/>
    <w:rsid w:val="003D42D0"/>
    <w:rsid w:val="003D4AC1"/>
    <w:rsid w:val="003D4CFB"/>
    <w:rsid w:val="003D4DA4"/>
    <w:rsid w:val="003D4E39"/>
    <w:rsid w:val="003D4F2A"/>
    <w:rsid w:val="003D548C"/>
    <w:rsid w:val="003D5CD3"/>
    <w:rsid w:val="003D5CE7"/>
    <w:rsid w:val="003D5F4D"/>
    <w:rsid w:val="003D613D"/>
    <w:rsid w:val="003D6245"/>
    <w:rsid w:val="003D62E5"/>
    <w:rsid w:val="003D6519"/>
    <w:rsid w:val="003D6691"/>
    <w:rsid w:val="003D6831"/>
    <w:rsid w:val="003D6C51"/>
    <w:rsid w:val="003D6CD1"/>
    <w:rsid w:val="003D6D12"/>
    <w:rsid w:val="003D6E98"/>
    <w:rsid w:val="003D70C1"/>
    <w:rsid w:val="003D71B2"/>
    <w:rsid w:val="003D72C0"/>
    <w:rsid w:val="003D765A"/>
    <w:rsid w:val="003D7D3C"/>
    <w:rsid w:val="003E01C4"/>
    <w:rsid w:val="003E041D"/>
    <w:rsid w:val="003E056C"/>
    <w:rsid w:val="003E078F"/>
    <w:rsid w:val="003E0806"/>
    <w:rsid w:val="003E0B66"/>
    <w:rsid w:val="003E0F3C"/>
    <w:rsid w:val="003E0FB2"/>
    <w:rsid w:val="003E1032"/>
    <w:rsid w:val="003E11FA"/>
    <w:rsid w:val="003E1F90"/>
    <w:rsid w:val="003E1FDF"/>
    <w:rsid w:val="003E228B"/>
    <w:rsid w:val="003E25CC"/>
    <w:rsid w:val="003E2648"/>
    <w:rsid w:val="003E267C"/>
    <w:rsid w:val="003E27F6"/>
    <w:rsid w:val="003E28FE"/>
    <w:rsid w:val="003E3224"/>
    <w:rsid w:val="003E3307"/>
    <w:rsid w:val="003E33FC"/>
    <w:rsid w:val="003E3A93"/>
    <w:rsid w:val="003E3AED"/>
    <w:rsid w:val="003E3D13"/>
    <w:rsid w:val="003E3DBF"/>
    <w:rsid w:val="003E3DD4"/>
    <w:rsid w:val="003E3FCC"/>
    <w:rsid w:val="003E4563"/>
    <w:rsid w:val="003E45C2"/>
    <w:rsid w:val="003E462E"/>
    <w:rsid w:val="003E46E0"/>
    <w:rsid w:val="003E47F0"/>
    <w:rsid w:val="003E4A1E"/>
    <w:rsid w:val="003E4CD1"/>
    <w:rsid w:val="003E4D4C"/>
    <w:rsid w:val="003E4E89"/>
    <w:rsid w:val="003E4E9E"/>
    <w:rsid w:val="003E4F47"/>
    <w:rsid w:val="003E5154"/>
    <w:rsid w:val="003E51A2"/>
    <w:rsid w:val="003E538C"/>
    <w:rsid w:val="003E5E20"/>
    <w:rsid w:val="003E644B"/>
    <w:rsid w:val="003E6511"/>
    <w:rsid w:val="003E6723"/>
    <w:rsid w:val="003E6BE8"/>
    <w:rsid w:val="003E756B"/>
    <w:rsid w:val="003E75E5"/>
    <w:rsid w:val="003E7D27"/>
    <w:rsid w:val="003E7E93"/>
    <w:rsid w:val="003F01B7"/>
    <w:rsid w:val="003F031D"/>
    <w:rsid w:val="003F032D"/>
    <w:rsid w:val="003F0671"/>
    <w:rsid w:val="003F105C"/>
    <w:rsid w:val="003F12C5"/>
    <w:rsid w:val="003F1712"/>
    <w:rsid w:val="003F1AE9"/>
    <w:rsid w:val="003F1ED4"/>
    <w:rsid w:val="003F20A7"/>
    <w:rsid w:val="003F2105"/>
    <w:rsid w:val="003F22CD"/>
    <w:rsid w:val="003F244E"/>
    <w:rsid w:val="003F286D"/>
    <w:rsid w:val="003F2E52"/>
    <w:rsid w:val="003F3070"/>
    <w:rsid w:val="003F308A"/>
    <w:rsid w:val="003F4229"/>
    <w:rsid w:val="003F4296"/>
    <w:rsid w:val="003F4431"/>
    <w:rsid w:val="003F4631"/>
    <w:rsid w:val="003F46CB"/>
    <w:rsid w:val="003F489B"/>
    <w:rsid w:val="003F4999"/>
    <w:rsid w:val="003F4A71"/>
    <w:rsid w:val="003F4C90"/>
    <w:rsid w:val="003F56B3"/>
    <w:rsid w:val="003F58DB"/>
    <w:rsid w:val="003F5A54"/>
    <w:rsid w:val="003F5BCC"/>
    <w:rsid w:val="003F5F0A"/>
    <w:rsid w:val="003F6340"/>
    <w:rsid w:val="003F64BC"/>
    <w:rsid w:val="003F6503"/>
    <w:rsid w:val="003F6517"/>
    <w:rsid w:val="003F65B2"/>
    <w:rsid w:val="003F679D"/>
    <w:rsid w:val="003F6AAE"/>
    <w:rsid w:val="003F6B76"/>
    <w:rsid w:val="003F6BD1"/>
    <w:rsid w:val="003F6CD8"/>
    <w:rsid w:val="003F6EFA"/>
    <w:rsid w:val="003F7376"/>
    <w:rsid w:val="003F73AD"/>
    <w:rsid w:val="003F7466"/>
    <w:rsid w:val="003F74C8"/>
    <w:rsid w:val="003F7564"/>
    <w:rsid w:val="003F75B6"/>
    <w:rsid w:val="003F7C74"/>
    <w:rsid w:val="003F7DB4"/>
    <w:rsid w:val="003F7DB7"/>
    <w:rsid w:val="003F7E52"/>
    <w:rsid w:val="004003D1"/>
    <w:rsid w:val="00400465"/>
    <w:rsid w:val="00400EB4"/>
    <w:rsid w:val="00400FAF"/>
    <w:rsid w:val="004013EF"/>
    <w:rsid w:val="004019B0"/>
    <w:rsid w:val="00401A5D"/>
    <w:rsid w:val="00401DB0"/>
    <w:rsid w:val="00401DDA"/>
    <w:rsid w:val="00401E06"/>
    <w:rsid w:val="00401F8F"/>
    <w:rsid w:val="004021FB"/>
    <w:rsid w:val="00402237"/>
    <w:rsid w:val="0040227A"/>
    <w:rsid w:val="004025AE"/>
    <w:rsid w:val="004026B9"/>
    <w:rsid w:val="00402872"/>
    <w:rsid w:val="00402AD7"/>
    <w:rsid w:val="00403077"/>
    <w:rsid w:val="004032A5"/>
    <w:rsid w:val="00403322"/>
    <w:rsid w:val="0040358E"/>
    <w:rsid w:val="004035CA"/>
    <w:rsid w:val="0040386A"/>
    <w:rsid w:val="004038DC"/>
    <w:rsid w:val="00403C2F"/>
    <w:rsid w:val="00403F90"/>
    <w:rsid w:val="00404475"/>
    <w:rsid w:val="00404942"/>
    <w:rsid w:val="004049AF"/>
    <w:rsid w:val="00404A17"/>
    <w:rsid w:val="00404E5C"/>
    <w:rsid w:val="00404FE4"/>
    <w:rsid w:val="00405165"/>
    <w:rsid w:val="0040577B"/>
    <w:rsid w:val="00405796"/>
    <w:rsid w:val="00405834"/>
    <w:rsid w:val="004058FC"/>
    <w:rsid w:val="00405A68"/>
    <w:rsid w:val="00405BBA"/>
    <w:rsid w:val="0040627C"/>
    <w:rsid w:val="004063FA"/>
    <w:rsid w:val="0040646C"/>
    <w:rsid w:val="004064A4"/>
    <w:rsid w:val="004069D7"/>
    <w:rsid w:val="00406BF0"/>
    <w:rsid w:val="00406D7D"/>
    <w:rsid w:val="00406E61"/>
    <w:rsid w:val="0040728F"/>
    <w:rsid w:val="00407670"/>
    <w:rsid w:val="00407759"/>
    <w:rsid w:val="0040775F"/>
    <w:rsid w:val="00407818"/>
    <w:rsid w:val="00410296"/>
    <w:rsid w:val="004102F6"/>
    <w:rsid w:val="004107BD"/>
    <w:rsid w:val="00410D8F"/>
    <w:rsid w:val="00410E22"/>
    <w:rsid w:val="004110DE"/>
    <w:rsid w:val="0041120D"/>
    <w:rsid w:val="0041135D"/>
    <w:rsid w:val="0041139A"/>
    <w:rsid w:val="00411496"/>
    <w:rsid w:val="00411C1A"/>
    <w:rsid w:val="00412086"/>
    <w:rsid w:val="004121C3"/>
    <w:rsid w:val="0041229B"/>
    <w:rsid w:val="004123CA"/>
    <w:rsid w:val="0041290D"/>
    <w:rsid w:val="00412969"/>
    <w:rsid w:val="00412A5E"/>
    <w:rsid w:val="00412A91"/>
    <w:rsid w:val="00412B58"/>
    <w:rsid w:val="00412BFD"/>
    <w:rsid w:val="004131EE"/>
    <w:rsid w:val="00413266"/>
    <w:rsid w:val="004132E1"/>
    <w:rsid w:val="00413373"/>
    <w:rsid w:val="004142CF"/>
    <w:rsid w:val="00414302"/>
    <w:rsid w:val="00414974"/>
    <w:rsid w:val="00414C46"/>
    <w:rsid w:val="00414CE9"/>
    <w:rsid w:val="00414ED4"/>
    <w:rsid w:val="00414FFE"/>
    <w:rsid w:val="004152F8"/>
    <w:rsid w:val="004154E3"/>
    <w:rsid w:val="0041565D"/>
    <w:rsid w:val="0041576F"/>
    <w:rsid w:val="00415AEC"/>
    <w:rsid w:val="00415AF1"/>
    <w:rsid w:val="00415CD3"/>
    <w:rsid w:val="00415E8A"/>
    <w:rsid w:val="00415E91"/>
    <w:rsid w:val="0041632B"/>
    <w:rsid w:val="0041633D"/>
    <w:rsid w:val="00416F46"/>
    <w:rsid w:val="004176E2"/>
    <w:rsid w:val="0041786B"/>
    <w:rsid w:val="00417AD6"/>
    <w:rsid w:val="00417AE9"/>
    <w:rsid w:val="00417FF7"/>
    <w:rsid w:val="0042060B"/>
    <w:rsid w:val="0042064F"/>
    <w:rsid w:val="004206A8"/>
    <w:rsid w:val="004208FA"/>
    <w:rsid w:val="00420B29"/>
    <w:rsid w:val="00420E55"/>
    <w:rsid w:val="00420F02"/>
    <w:rsid w:val="00421142"/>
    <w:rsid w:val="00421144"/>
    <w:rsid w:val="0042181D"/>
    <w:rsid w:val="004219B5"/>
    <w:rsid w:val="00421C31"/>
    <w:rsid w:val="00421F10"/>
    <w:rsid w:val="00421F51"/>
    <w:rsid w:val="00422026"/>
    <w:rsid w:val="004223E0"/>
    <w:rsid w:val="00422472"/>
    <w:rsid w:val="00422545"/>
    <w:rsid w:val="00422B08"/>
    <w:rsid w:val="00422DC9"/>
    <w:rsid w:val="004230DE"/>
    <w:rsid w:val="00423515"/>
    <w:rsid w:val="00423801"/>
    <w:rsid w:val="00423CA9"/>
    <w:rsid w:val="00423F25"/>
    <w:rsid w:val="00423FFB"/>
    <w:rsid w:val="004243DD"/>
    <w:rsid w:val="00424AAA"/>
    <w:rsid w:val="00424B26"/>
    <w:rsid w:val="00424B83"/>
    <w:rsid w:val="00424BCB"/>
    <w:rsid w:val="00424CEA"/>
    <w:rsid w:val="004251B7"/>
    <w:rsid w:val="00425248"/>
    <w:rsid w:val="004253B7"/>
    <w:rsid w:val="0042560C"/>
    <w:rsid w:val="004256FF"/>
    <w:rsid w:val="00425B61"/>
    <w:rsid w:val="00425CA8"/>
    <w:rsid w:val="00425D05"/>
    <w:rsid w:val="00425D75"/>
    <w:rsid w:val="00426388"/>
    <w:rsid w:val="00426514"/>
    <w:rsid w:val="004267EA"/>
    <w:rsid w:val="00426986"/>
    <w:rsid w:val="00426BDC"/>
    <w:rsid w:val="00426F1F"/>
    <w:rsid w:val="00426FA9"/>
    <w:rsid w:val="0042716E"/>
    <w:rsid w:val="00427340"/>
    <w:rsid w:val="00427726"/>
    <w:rsid w:val="0042797C"/>
    <w:rsid w:val="00427A9F"/>
    <w:rsid w:val="004302EB"/>
    <w:rsid w:val="00430310"/>
    <w:rsid w:val="004303E6"/>
    <w:rsid w:val="00430429"/>
    <w:rsid w:val="00430645"/>
    <w:rsid w:val="0043070D"/>
    <w:rsid w:val="004307BC"/>
    <w:rsid w:val="004308E3"/>
    <w:rsid w:val="00431032"/>
    <w:rsid w:val="00431149"/>
    <w:rsid w:val="004314E2"/>
    <w:rsid w:val="004317AC"/>
    <w:rsid w:val="00431B90"/>
    <w:rsid w:val="00431BE3"/>
    <w:rsid w:val="00431DDD"/>
    <w:rsid w:val="00431F57"/>
    <w:rsid w:val="00431F93"/>
    <w:rsid w:val="00432089"/>
    <w:rsid w:val="0043209B"/>
    <w:rsid w:val="0043271E"/>
    <w:rsid w:val="0043293A"/>
    <w:rsid w:val="00433000"/>
    <w:rsid w:val="00433089"/>
    <w:rsid w:val="0043343D"/>
    <w:rsid w:val="00433751"/>
    <w:rsid w:val="00433B86"/>
    <w:rsid w:val="00433BD7"/>
    <w:rsid w:val="00433CBD"/>
    <w:rsid w:val="00433D80"/>
    <w:rsid w:val="004347B2"/>
    <w:rsid w:val="00434A5E"/>
    <w:rsid w:val="00434B4D"/>
    <w:rsid w:val="00434EEF"/>
    <w:rsid w:val="004350A6"/>
    <w:rsid w:val="00435403"/>
    <w:rsid w:val="00435529"/>
    <w:rsid w:val="00435641"/>
    <w:rsid w:val="00435700"/>
    <w:rsid w:val="004357F5"/>
    <w:rsid w:val="00435889"/>
    <w:rsid w:val="004359B8"/>
    <w:rsid w:val="00435F0B"/>
    <w:rsid w:val="0043683C"/>
    <w:rsid w:val="004369DA"/>
    <w:rsid w:val="00436E46"/>
    <w:rsid w:val="00436F12"/>
    <w:rsid w:val="00437497"/>
    <w:rsid w:val="00437680"/>
    <w:rsid w:val="004378E1"/>
    <w:rsid w:val="004379E4"/>
    <w:rsid w:val="00437B5C"/>
    <w:rsid w:val="00437C34"/>
    <w:rsid w:val="00437CAB"/>
    <w:rsid w:val="00437E6E"/>
    <w:rsid w:val="004404F9"/>
    <w:rsid w:val="00440777"/>
    <w:rsid w:val="00440992"/>
    <w:rsid w:val="004409E4"/>
    <w:rsid w:val="00440BFE"/>
    <w:rsid w:val="00441145"/>
    <w:rsid w:val="0044137E"/>
    <w:rsid w:val="0044140D"/>
    <w:rsid w:val="004416BD"/>
    <w:rsid w:val="00441A26"/>
    <w:rsid w:val="00441C85"/>
    <w:rsid w:val="00441F76"/>
    <w:rsid w:val="00442475"/>
    <w:rsid w:val="004426C1"/>
    <w:rsid w:val="00442FA3"/>
    <w:rsid w:val="00443010"/>
    <w:rsid w:val="004431E7"/>
    <w:rsid w:val="00443528"/>
    <w:rsid w:val="004439C8"/>
    <w:rsid w:val="00443B38"/>
    <w:rsid w:val="0044410C"/>
    <w:rsid w:val="00444144"/>
    <w:rsid w:val="00444339"/>
    <w:rsid w:val="0044453B"/>
    <w:rsid w:val="00444AFA"/>
    <w:rsid w:val="00444B97"/>
    <w:rsid w:val="00444D1F"/>
    <w:rsid w:val="00444E02"/>
    <w:rsid w:val="00444F05"/>
    <w:rsid w:val="00444F15"/>
    <w:rsid w:val="004453E3"/>
    <w:rsid w:val="00445A20"/>
    <w:rsid w:val="00445BE5"/>
    <w:rsid w:val="00445EE4"/>
    <w:rsid w:val="00446090"/>
    <w:rsid w:val="0044616D"/>
    <w:rsid w:val="00446220"/>
    <w:rsid w:val="0044649C"/>
    <w:rsid w:val="00446616"/>
    <w:rsid w:val="00446675"/>
    <w:rsid w:val="004467E1"/>
    <w:rsid w:val="00446B6E"/>
    <w:rsid w:val="00446DAC"/>
    <w:rsid w:val="00446FF3"/>
    <w:rsid w:val="00447066"/>
    <w:rsid w:val="004470F3"/>
    <w:rsid w:val="00447160"/>
    <w:rsid w:val="004472A9"/>
    <w:rsid w:val="0044741A"/>
    <w:rsid w:val="004478A3"/>
    <w:rsid w:val="0044795B"/>
    <w:rsid w:val="00447989"/>
    <w:rsid w:val="00447A87"/>
    <w:rsid w:val="00447ED8"/>
    <w:rsid w:val="0045015B"/>
    <w:rsid w:val="00450207"/>
    <w:rsid w:val="00450A37"/>
    <w:rsid w:val="00450A73"/>
    <w:rsid w:val="00450E47"/>
    <w:rsid w:val="00451D50"/>
    <w:rsid w:val="004522FE"/>
    <w:rsid w:val="00452522"/>
    <w:rsid w:val="004529D3"/>
    <w:rsid w:val="00452B0E"/>
    <w:rsid w:val="0045317D"/>
    <w:rsid w:val="004538A4"/>
    <w:rsid w:val="004538B8"/>
    <w:rsid w:val="004538BB"/>
    <w:rsid w:val="00453A38"/>
    <w:rsid w:val="00453B72"/>
    <w:rsid w:val="00453FBD"/>
    <w:rsid w:val="00454036"/>
    <w:rsid w:val="004540C7"/>
    <w:rsid w:val="00454109"/>
    <w:rsid w:val="0045410F"/>
    <w:rsid w:val="00454395"/>
    <w:rsid w:val="0045468C"/>
    <w:rsid w:val="0045499F"/>
    <w:rsid w:val="00454CF7"/>
    <w:rsid w:val="00455115"/>
    <w:rsid w:val="004551F9"/>
    <w:rsid w:val="00455286"/>
    <w:rsid w:val="0045534F"/>
    <w:rsid w:val="00455390"/>
    <w:rsid w:val="004553B8"/>
    <w:rsid w:val="00455649"/>
    <w:rsid w:val="004556B4"/>
    <w:rsid w:val="00455F5A"/>
    <w:rsid w:val="00456010"/>
    <w:rsid w:val="004560B6"/>
    <w:rsid w:val="0045613D"/>
    <w:rsid w:val="00456168"/>
    <w:rsid w:val="00456436"/>
    <w:rsid w:val="004565D1"/>
    <w:rsid w:val="00456699"/>
    <w:rsid w:val="004567C2"/>
    <w:rsid w:val="004569C6"/>
    <w:rsid w:val="00456B43"/>
    <w:rsid w:val="00456E54"/>
    <w:rsid w:val="0045704F"/>
    <w:rsid w:val="00457490"/>
    <w:rsid w:val="00457A9B"/>
    <w:rsid w:val="00457AC0"/>
    <w:rsid w:val="00457F18"/>
    <w:rsid w:val="00457F5D"/>
    <w:rsid w:val="004600E5"/>
    <w:rsid w:val="004602A1"/>
    <w:rsid w:val="0046056D"/>
    <w:rsid w:val="004606CE"/>
    <w:rsid w:val="00460AB2"/>
    <w:rsid w:val="00460B52"/>
    <w:rsid w:val="0046112F"/>
    <w:rsid w:val="004611E7"/>
    <w:rsid w:val="004615CE"/>
    <w:rsid w:val="00461CA8"/>
    <w:rsid w:val="00461F83"/>
    <w:rsid w:val="00462611"/>
    <w:rsid w:val="00462A14"/>
    <w:rsid w:val="00462C0E"/>
    <w:rsid w:val="00462E05"/>
    <w:rsid w:val="004632F6"/>
    <w:rsid w:val="0046336C"/>
    <w:rsid w:val="004633AA"/>
    <w:rsid w:val="004634B5"/>
    <w:rsid w:val="0046356F"/>
    <w:rsid w:val="00463697"/>
    <w:rsid w:val="0046382D"/>
    <w:rsid w:val="00463D9E"/>
    <w:rsid w:val="00463E7A"/>
    <w:rsid w:val="00464240"/>
    <w:rsid w:val="00464858"/>
    <w:rsid w:val="00464BF6"/>
    <w:rsid w:val="0046540A"/>
    <w:rsid w:val="00465437"/>
    <w:rsid w:val="00465578"/>
    <w:rsid w:val="0046564F"/>
    <w:rsid w:val="004656ED"/>
    <w:rsid w:val="004657AD"/>
    <w:rsid w:val="00465C88"/>
    <w:rsid w:val="00465EB2"/>
    <w:rsid w:val="0046604C"/>
    <w:rsid w:val="004663B5"/>
    <w:rsid w:val="00466437"/>
    <w:rsid w:val="004668E2"/>
    <w:rsid w:val="00466B44"/>
    <w:rsid w:val="00466BD2"/>
    <w:rsid w:val="00466D20"/>
    <w:rsid w:val="00466DD7"/>
    <w:rsid w:val="00466E5A"/>
    <w:rsid w:val="00466EE4"/>
    <w:rsid w:val="0046720D"/>
    <w:rsid w:val="00467788"/>
    <w:rsid w:val="00467AA3"/>
    <w:rsid w:val="00467BC8"/>
    <w:rsid w:val="00467C8B"/>
    <w:rsid w:val="00470473"/>
    <w:rsid w:val="0047097F"/>
    <w:rsid w:val="00470F32"/>
    <w:rsid w:val="0047119A"/>
    <w:rsid w:val="004717A0"/>
    <w:rsid w:val="00471B46"/>
    <w:rsid w:val="0047226D"/>
    <w:rsid w:val="0047244C"/>
    <w:rsid w:val="00472D7E"/>
    <w:rsid w:val="00472DC8"/>
    <w:rsid w:val="00472FF8"/>
    <w:rsid w:val="00473134"/>
    <w:rsid w:val="00473635"/>
    <w:rsid w:val="00473C34"/>
    <w:rsid w:val="00473EDB"/>
    <w:rsid w:val="004741FC"/>
    <w:rsid w:val="00474419"/>
    <w:rsid w:val="00474A7E"/>
    <w:rsid w:val="00474C29"/>
    <w:rsid w:val="004756DD"/>
    <w:rsid w:val="004757F9"/>
    <w:rsid w:val="0047670A"/>
    <w:rsid w:val="0047681B"/>
    <w:rsid w:val="00476882"/>
    <w:rsid w:val="004771EA"/>
    <w:rsid w:val="004775AE"/>
    <w:rsid w:val="00477876"/>
    <w:rsid w:val="00477F8D"/>
    <w:rsid w:val="0048040A"/>
    <w:rsid w:val="00480598"/>
    <w:rsid w:val="0048091F"/>
    <w:rsid w:val="00480CBB"/>
    <w:rsid w:val="00480EC1"/>
    <w:rsid w:val="00481297"/>
    <w:rsid w:val="00481A49"/>
    <w:rsid w:val="00481BB2"/>
    <w:rsid w:val="00481C68"/>
    <w:rsid w:val="004822DC"/>
    <w:rsid w:val="004823FD"/>
    <w:rsid w:val="00482B10"/>
    <w:rsid w:val="00482DBB"/>
    <w:rsid w:val="00483172"/>
    <w:rsid w:val="004832CB"/>
    <w:rsid w:val="00483666"/>
    <w:rsid w:val="00483969"/>
    <w:rsid w:val="00483CE5"/>
    <w:rsid w:val="00484031"/>
    <w:rsid w:val="0048407C"/>
    <w:rsid w:val="0048428F"/>
    <w:rsid w:val="00484845"/>
    <w:rsid w:val="00484A4F"/>
    <w:rsid w:val="00484D89"/>
    <w:rsid w:val="00484D94"/>
    <w:rsid w:val="00484EF7"/>
    <w:rsid w:val="00484FAB"/>
    <w:rsid w:val="00484FD8"/>
    <w:rsid w:val="0048508E"/>
    <w:rsid w:val="00485310"/>
    <w:rsid w:val="00485590"/>
    <w:rsid w:val="004855E9"/>
    <w:rsid w:val="00485658"/>
    <w:rsid w:val="004858A1"/>
    <w:rsid w:val="00485E75"/>
    <w:rsid w:val="0048621C"/>
    <w:rsid w:val="00486339"/>
    <w:rsid w:val="004864E6"/>
    <w:rsid w:val="0048656F"/>
    <w:rsid w:val="004866AF"/>
    <w:rsid w:val="00486A69"/>
    <w:rsid w:val="00486C63"/>
    <w:rsid w:val="00486CC7"/>
    <w:rsid w:val="00486EBF"/>
    <w:rsid w:val="00487476"/>
    <w:rsid w:val="00487886"/>
    <w:rsid w:val="00487AA4"/>
    <w:rsid w:val="00487CE3"/>
    <w:rsid w:val="00487F1B"/>
    <w:rsid w:val="00490361"/>
    <w:rsid w:val="00490A63"/>
    <w:rsid w:val="00490E74"/>
    <w:rsid w:val="004915F2"/>
    <w:rsid w:val="004915F5"/>
    <w:rsid w:val="0049171B"/>
    <w:rsid w:val="00491F6D"/>
    <w:rsid w:val="00492247"/>
    <w:rsid w:val="004925B7"/>
    <w:rsid w:val="00492E8D"/>
    <w:rsid w:val="00492F74"/>
    <w:rsid w:val="00493018"/>
    <w:rsid w:val="004931EC"/>
    <w:rsid w:val="00493297"/>
    <w:rsid w:val="00493709"/>
    <w:rsid w:val="00494371"/>
    <w:rsid w:val="004949BE"/>
    <w:rsid w:val="00494BCA"/>
    <w:rsid w:val="00494E6B"/>
    <w:rsid w:val="004950C0"/>
    <w:rsid w:val="004953DE"/>
    <w:rsid w:val="004956AE"/>
    <w:rsid w:val="00495759"/>
    <w:rsid w:val="0049575A"/>
    <w:rsid w:val="00495A66"/>
    <w:rsid w:val="00495F0B"/>
    <w:rsid w:val="00496CB0"/>
    <w:rsid w:val="00496DB4"/>
    <w:rsid w:val="0049726A"/>
    <w:rsid w:val="004974B9"/>
    <w:rsid w:val="0049765E"/>
    <w:rsid w:val="004978E9"/>
    <w:rsid w:val="004979CB"/>
    <w:rsid w:val="00497A04"/>
    <w:rsid w:val="00497B89"/>
    <w:rsid w:val="004A02E4"/>
    <w:rsid w:val="004A0AE3"/>
    <w:rsid w:val="004A0BCB"/>
    <w:rsid w:val="004A0D4B"/>
    <w:rsid w:val="004A0DD2"/>
    <w:rsid w:val="004A1318"/>
    <w:rsid w:val="004A16BF"/>
    <w:rsid w:val="004A1CD8"/>
    <w:rsid w:val="004A1D6F"/>
    <w:rsid w:val="004A2342"/>
    <w:rsid w:val="004A23B7"/>
    <w:rsid w:val="004A323B"/>
    <w:rsid w:val="004A323F"/>
    <w:rsid w:val="004A3B3D"/>
    <w:rsid w:val="004A3BFF"/>
    <w:rsid w:val="004A3D95"/>
    <w:rsid w:val="004A3F99"/>
    <w:rsid w:val="004A41EC"/>
    <w:rsid w:val="004A4CFF"/>
    <w:rsid w:val="004A53C5"/>
    <w:rsid w:val="004A53C8"/>
    <w:rsid w:val="004A54D1"/>
    <w:rsid w:val="004A5593"/>
    <w:rsid w:val="004A57E5"/>
    <w:rsid w:val="004A5841"/>
    <w:rsid w:val="004A5906"/>
    <w:rsid w:val="004A5B5B"/>
    <w:rsid w:val="004A5BAB"/>
    <w:rsid w:val="004A5C22"/>
    <w:rsid w:val="004A5DAE"/>
    <w:rsid w:val="004A6417"/>
    <w:rsid w:val="004A653F"/>
    <w:rsid w:val="004A6601"/>
    <w:rsid w:val="004A6697"/>
    <w:rsid w:val="004A66DE"/>
    <w:rsid w:val="004A6D33"/>
    <w:rsid w:val="004A6F43"/>
    <w:rsid w:val="004A71D3"/>
    <w:rsid w:val="004A7480"/>
    <w:rsid w:val="004A75DC"/>
    <w:rsid w:val="004A7A3A"/>
    <w:rsid w:val="004A7B78"/>
    <w:rsid w:val="004A7BCB"/>
    <w:rsid w:val="004B00A7"/>
    <w:rsid w:val="004B0BF5"/>
    <w:rsid w:val="004B133F"/>
    <w:rsid w:val="004B1416"/>
    <w:rsid w:val="004B1607"/>
    <w:rsid w:val="004B1694"/>
    <w:rsid w:val="004B180A"/>
    <w:rsid w:val="004B1BC3"/>
    <w:rsid w:val="004B1C44"/>
    <w:rsid w:val="004B1E02"/>
    <w:rsid w:val="004B1FCA"/>
    <w:rsid w:val="004B2761"/>
    <w:rsid w:val="004B2B7E"/>
    <w:rsid w:val="004B2BF9"/>
    <w:rsid w:val="004B305B"/>
    <w:rsid w:val="004B3388"/>
    <w:rsid w:val="004B34FD"/>
    <w:rsid w:val="004B3733"/>
    <w:rsid w:val="004B3E3B"/>
    <w:rsid w:val="004B3F45"/>
    <w:rsid w:val="004B4424"/>
    <w:rsid w:val="004B450F"/>
    <w:rsid w:val="004B45C0"/>
    <w:rsid w:val="004B4CD2"/>
    <w:rsid w:val="004B5966"/>
    <w:rsid w:val="004B5CB8"/>
    <w:rsid w:val="004B5F65"/>
    <w:rsid w:val="004B63B1"/>
    <w:rsid w:val="004B63DA"/>
    <w:rsid w:val="004B63FD"/>
    <w:rsid w:val="004B66B6"/>
    <w:rsid w:val="004B6835"/>
    <w:rsid w:val="004B6869"/>
    <w:rsid w:val="004B6A73"/>
    <w:rsid w:val="004B6AFA"/>
    <w:rsid w:val="004B7F8C"/>
    <w:rsid w:val="004C017B"/>
    <w:rsid w:val="004C0366"/>
    <w:rsid w:val="004C09F7"/>
    <w:rsid w:val="004C0AEA"/>
    <w:rsid w:val="004C0EAF"/>
    <w:rsid w:val="004C1393"/>
    <w:rsid w:val="004C1658"/>
    <w:rsid w:val="004C172C"/>
    <w:rsid w:val="004C19FB"/>
    <w:rsid w:val="004C1A9D"/>
    <w:rsid w:val="004C1E8E"/>
    <w:rsid w:val="004C1EAE"/>
    <w:rsid w:val="004C2011"/>
    <w:rsid w:val="004C20D5"/>
    <w:rsid w:val="004C2190"/>
    <w:rsid w:val="004C23E3"/>
    <w:rsid w:val="004C2692"/>
    <w:rsid w:val="004C2A6D"/>
    <w:rsid w:val="004C2BFE"/>
    <w:rsid w:val="004C2D42"/>
    <w:rsid w:val="004C2DE2"/>
    <w:rsid w:val="004C2F2D"/>
    <w:rsid w:val="004C32CD"/>
    <w:rsid w:val="004C33D2"/>
    <w:rsid w:val="004C3665"/>
    <w:rsid w:val="004C3C6C"/>
    <w:rsid w:val="004C3D7E"/>
    <w:rsid w:val="004C427D"/>
    <w:rsid w:val="004C4684"/>
    <w:rsid w:val="004C4AAB"/>
    <w:rsid w:val="004C4B7E"/>
    <w:rsid w:val="004C4BA9"/>
    <w:rsid w:val="004C4C2F"/>
    <w:rsid w:val="004C4DE2"/>
    <w:rsid w:val="004C4F14"/>
    <w:rsid w:val="004C4FE1"/>
    <w:rsid w:val="004C5380"/>
    <w:rsid w:val="004C53E0"/>
    <w:rsid w:val="004C573D"/>
    <w:rsid w:val="004C5AC0"/>
    <w:rsid w:val="004C5B0D"/>
    <w:rsid w:val="004C5F56"/>
    <w:rsid w:val="004C6225"/>
    <w:rsid w:val="004C6236"/>
    <w:rsid w:val="004C64E7"/>
    <w:rsid w:val="004C67DE"/>
    <w:rsid w:val="004C6B8A"/>
    <w:rsid w:val="004C6C58"/>
    <w:rsid w:val="004C6CED"/>
    <w:rsid w:val="004C6EDA"/>
    <w:rsid w:val="004C739A"/>
    <w:rsid w:val="004C765C"/>
    <w:rsid w:val="004C78B9"/>
    <w:rsid w:val="004C7AE7"/>
    <w:rsid w:val="004C7DBB"/>
    <w:rsid w:val="004D00FB"/>
    <w:rsid w:val="004D03CE"/>
    <w:rsid w:val="004D04A2"/>
    <w:rsid w:val="004D05F2"/>
    <w:rsid w:val="004D0901"/>
    <w:rsid w:val="004D0A1B"/>
    <w:rsid w:val="004D0A84"/>
    <w:rsid w:val="004D0D86"/>
    <w:rsid w:val="004D0F58"/>
    <w:rsid w:val="004D101D"/>
    <w:rsid w:val="004D132F"/>
    <w:rsid w:val="004D180C"/>
    <w:rsid w:val="004D1D13"/>
    <w:rsid w:val="004D1DE3"/>
    <w:rsid w:val="004D1F20"/>
    <w:rsid w:val="004D2141"/>
    <w:rsid w:val="004D26A7"/>
    <w:rsid w:val="004D2922"/>
    <w:rsid w:val="004D2A9B"/>
    <w:rsid w:val="004D2E40"/>
    <w:rsid w:val="004D2E6D"/>
    <w:rsid w:val="004D2F15"/>
    <w:rsid w:val="004D319B"/>
    <w:rsid w:val="004D3217"/>
    <w:rsid w:val="004D35A1"/>
    <w:rsid w:val="004D3781"/>
    <w:rsid w:val="004D37E2"/>
    <w:rsid w:val="004D384B"/>
    <w:rsid w:val="004D3C44"/>
    <w:rsid w:val="004D3D9E"/>
    <w:rsid w:val="004D421F"/>
    <w:rsid w:val="004D4390"/>
    <w:rsid w:val="004D4623"/>
    <w:rsid w:val="004D4D2C"/>
    <w:rsid w:val="004D4D7D"/>
    <w:rsid w:val="004D59AA"/>
    <w:rsid w:val="004D5E4B"/>
    <w:rsid w:val="004D5F30"/>
    <w:rsid w:val="004D6107"/>
    <w:rsid w:val="004D63CA"/>
    <w:rsid w:val="004D680C"/>
    <w:rsid w:val="004D6851"/>
    <w:rsid w:val="004D6989"/>
    <w:rsid w:val="004D6D2E"/>
    <w:rsid w:val="004D6F70"/>
    <w:rsid w:val="004D70E6"/>
    <w:rsid w:val="004D7116"/>
    <w:rsid w:val="004D74F6"/>
    <w:rsid w:val="004D7D31"/>
    <w:rsid w:val="004E0302"/>
    <w:rsid w:val="004E076E"/>
    <w:rsid w:val="004E07A9"/>
    <w:rsid w:val="004E0B63"/>
    <w:rsid w:val="004E0C04"/>
    <w:rsid w:val="004E1177"/>
    <w:rsid w:val="004E1337"/>
    <w:rsid w:val="004E15FF"/>
    <w:rsid w:val="004E17CA"/>
    <w:rsid w:val="004E1A9E"/>
    <w:rsid w:val="004E1BCB"/>
    <w:rsid w:val="004E21F7"/>
    <w:rsid w:val="004E22F6"/>
    <w:rsid w:val="004E241D"/>
    <w:rsid w:val="004E28ED"/>
    <w:rsid w:val="004E29C4"/>
    <w:rsid w:val="004E2AB0"/>
    <w:rsid w:val="004E2B05"/>
    <w:rsid w:val="004E2CFC"/>
    <w:rsid w:val="004E2D44"/>
    <w:rsid w:val="004E2FBF"/>
    <w:rsid w:val="004E3023"/>
    <w:rsid w:val="004E332D"/>
    <w:rsid w:val="004E3792"/>
    <w:rsid w:val="004E3950"/>
    <w:rsid w:val="004E3D97"/>
    <w:rsid w:val="004E42CA"/>
    <w:rsid w:val="004E46D8"/>
    <w:rsid w:val="004E4899"/>
    <w:rsid w:val="004E48C5"/>
    <w:rsid w:val="004E49C4"/>
    <w:rsid w:val="004E4DD7"/>
    <w:rsid w:val="004E5BC4"/>
    <w:rsid w:val="004E5C8B"/>
    <w:rsid w:val="004E5CEC"/>
    <w:rsid w:val="004E60E0"/>
    <w:rsid w:val="004E623B"/>
    <w:rsid w:val="004E6562"/>
    <w:rsid w:val="004E6601"/>
    <w:rsid w:val="004E675A"/>
    <w:rsid w:val="004E6CEE"/>
    <w:rsid w:val="004E6E2C"/>
    <w:rsid w:val="004E70C9"/>
    <w:rsid w:val="004E7198"/>
    <w:rsid w:val="004E7485"/>
    <w:rsid w:val="004E7765"/>
    <w:rsid w:val="004E7ADA"/>
    <w:rsid w:val="004E7CB5"/>
    <w:rsid w:val="004F0030"/>
    <w:rsid w:val="004F0351"/>
    <w:rsid w:val="004F0420"/>
    <w:rsid w:val="004F08D2"/>
    <w:rsid w:val="004F0B8C"/>
    <w:rsid w:val="004F0C3F"/>
    <w:rsid w:val="004F1223"/>
    <w:rsid w:val="004F1849"/>
    <w:rsid w:val="004F18EE"/>
    <w:rsid w:val="004F1A7B"/>
    <w:rsid w:val="004F1BEA"/>
    <w:rsid w:val="004F1F33"/>
    <w:rsid w:val="004F2197"/>
    <w:rsid w:val="004F21D7"/>
    <w:rsid w:val="004F2263"/>
    <w:rsid w:val="004F2372"/>
    <w:rsid w:val="004F23F5"/>
    <w:rsid w:val="004F24AD"/>
    <w:rsid w:val="004F26D9"/>
    <w:rsid w:val="004F2A2D"/>
    <w:rsid w:val="004F2B38"/>
    <w:rsid w:val="004F2DEA"/>
    <w:rsid w:val="004F2ECA"/>
    <w:rsid w:val="004F2ED1"/>
    <w:rsid w:val="004F2F77"/>
    <w:rsid w:val="004F355E"/>
    <w:rsid w:val="004F36BB"/>
    <w:rsid w:val="004F36D9"/>
    <w:rsid w:val="004F3F4C"/>
    <w:rsid w:val="004F3F95"/>
    <w:rsid w:val="004F4760"/>
    <w:rsid w:val="004F4780"/>
    <w:rsid w:val="004F4968"/>
    <w:rsid w:val="004F4A04"/>
    <w:rsid w:val="004F4C17"/>
    <w:rsid w:val="004F4C22"/>
    <w:rsid w:val="004F4D59"/>
    <w:rsid w:val="004F4F29"/>
    <w:rsid w:val="004F55AA"/>
    <w:rsid w:val="004F5A35"/>
    <w:rsid w:val="004F64A3"/>
    <w:rsid w:val="004F653D"/>
    <w:rsid w:val="004F6606"/>
    <w:rsid w:val="004F6708"/>
    <w:rsid w:val="004F677C"/>
    <w:rsid w:val="004F6AFE"/>
    <w:rsid w:val="004F6D4B"/>
    <w:rsid w:val="004F71B4"/>
    <w:rsid w:val="004F7585"/>
    <w:rsid w:val="004F79BD"/>
    <w:rsid w:val="004F7C16"/>
    <w:rsid w:val="004F7C97"/>
    <w:rsid w:val="004F7F17"/>
    <w:rsid w:val="00500012"/>
    <w:rsid w:val="00500080"/>
    <w:rsid w:val="00500162"/>
    <w:rsid w:val="005001AB"/>
    <w:rsid w:val="00500782"/>
    <w:rsid w:val="005007C3"/>
    <w:rsid w:val="00500CFF"/>
    <w:rsid w:val="00500E88"/>
    <w:rsid w:val="0050114A"/>
    <w:rsid w:val="005013C8"/>
    <w:rsid w:val="00501585"/>
    <w:rsid w:val="00501687"/>
    <w:rsid w:val="005016AF"/>
    <w:rsid w:val="005016E8"/>
    <w:rsid w:val="005018D4"/>
    <w:rsid w:val="00501966"/>
    <w:rsid w:val="00501CF6"/>
    <w:rsid w:val="00501D77"/>
    <w:rsid w:val="005020C1"/>
    <w:rsid w:val="00502537"/>
    <w:rsid w:val="005028C5"/>
    <w:rsid w:val="005028E3"/>
    <w:rsid w:val="00502B61"/>
    <w:rsid w:val="00503739"/>
    <w:rsid w:val="00503777"/>
    <w:rsid w:val="0050377A"/>
    <w:rsid w:val="00503EA3"/>
    <w:rsid w:val="005040BF"/>
    <w:rsid w:val="0050438B"/>
    <w:rsid w:val="0050489F"/>
    <w:rsid w:val="005048E2"/>
    <w:rsid w:val="00504C5F"/>
    <w:rsid w:val="00504D3F"/>
    <w:rsid w:val="00505041"/>
    <w:rsid w:val="0050519C"/>
    <w:rsid w:val="005052D0"/>
    <w:rsid w:val="005052D1"/>
    <w:rsid w:val="005054DF"/>
    <w:rsid w:val="0050568F"/>
    <w:rsid w:val="005058F4"/>
    <w:rsid w:val="00505D1E"/>
    <w:rsid w:val="00505D84"/>
    <w:rsid w:val="00506143"/>
    <w:rsid w:val="005061D1"/>
    <w:rsid w:val="00506303"/>
    <w:rsid w:val="00506492"/>
    <w:rsid w:val="005068EB"/>
    <w:rsid w:val="0050694F"/>
    <w:rsid w:val="00506A82"/>
    <w:rsid w:val="00506BDD"/>
    <w:rsid w:val="00506EE5"/>
    <w:rsid w:val="005070C2"/>
    <w:rsid w:val="0050729C"/>
    <w:rsid w:val="005072CB"/>
    <w:rsid w:val="00507430"/>
    <w:rsid w:val="0050769E"/>
    <w:rsid w:val="0050777C"/>
    <w:rsid w:val="005077E2"/>
    <w:rsid w:val="00507A7D"/>
    <w:rsid w:val="00507B60"/>
    <w:rsid w:val="005100D2"/>
    <w:rsid w:val="00510402"/>
    <w:rsid w:val="005104AB"/>
    <w:rsid w:val="00510B98"/>
    <w:rsid w:val="00511275"/>
    <w:rsid w:val="0051128F"/>
    <w:rsid w:val="0051161B"/>
    <w:rsid w:val="0051167F"/>
    <w:rsid w:val="00511919"/>
    <w:rsid w:val="00511BE8"/>
    <w:rsid w:val="005123F6"/>
    <w:rsid w:val="00512550"/>
    <w:rsid w:val="0051261A"/>
    <w:rsid w:val="00512630"/>
    <w:rsid w:val="005126B9"/>
    <w:rsid w:val="005128AB"/>
    <w:rsid w:val="00512929"/>
    <w:rsid w:val="00512C51"/>
    <w:rsid w:val="0051385C"/>
    <w:rsid w:val="00513932"/>
    <w:rsid w:val="0051399C"/>
    <w:rsid w:val="00513B1B"/>
    <w:rsid w:val="00513BA4"/>
    <w:rsid w:val="00513DD7"/>
    <w:rsid w:val="005144BD"/>
    <w:rsid w:val="0051451B"/>
    <w:rsid w:val="00514EFE"/>
    <w:rsid w:val="00515346"/>
    <w:rsid w:val="005154DC"/>
    <w:rsid w:val="00515654"/>
    <w:rsid w:val="00515958"/>
    <w:rsid w:val="00515AB9"/>
    <w:rsid w:val="00515E56"/>
    <w:rsid w:val="00516596"/>
    <w:rsid w:val="00516794"/>
    <w:rsid w:val="005168BC"/>
    <w:rsid w:val="00516AE0"/>
    <w:rsid w:val="00516AE7"/>
    <w:rsid w:val="00516C23"/>
    <w:rsid w:val="0051702F"/>
    <w:rsid w:val="00517193"/>
    <w:rsid w:val="00517320"/>
    <w:rsid w:val="0051766F"/>
    <w:rsid w:val="0051768C"/>
    <w:rsid w:val="0051771F"/>
    <w:rsid w:val="00517CCA"/>
    <w:rsid w:val="00520174"/>
    <w:rsid w:val="005204FE"/>
    <w:rsid w:val="00520773"/>
    <w:rsid w:val="00520ACD"/>
    <w:rsid w:val="00520D60"/>
    <w:rsid w:val="00520ED1"/>
    <w:rsid w:val="00520F18"/>
    <w:rsid w:val="00520FD6"/>
    <w:rsid w:val="00520FFE"/>
    <w:rsid w:val="0052103B"/>
    <w:rsid w:val="00521333"/>
    <w:rsid w:val="0052134A"/>
    <w:rsid w:val="005213C8"/>
    <w:rsid w:val="005215C9"/>
    <w:rsid w:val="00521643"/>
    <w:rsid w:val="0052169F"/>
    <w:rsid w:val="0052176A"/>
    <w:rsid w:val="00521AC6"/>
    <w:rsid w:val="00521B0F"/>
    <w:rsid w:val="0052225E"/>
    <w:rsid w:val="00522335"/>
    <w:rsid w:val="00522549"/>
    <w:rsid w:val="0052334F"/>
    <w:rsid w:val="00523B08"/>
    <w:rsid w:val="00523DCA"/>
    <w:rsid w:val="00523EEB"/>
    <w:rsid w:val="005247E4"/>
    <w:rsid w:val="00524803"/>
    <w:rsid w:val="005249DD"/>
    <w:rsid w:val="00524D23"/>
    <w:rsid w:val="00524D62"/>
    <w:rsid w:val="005251BD"/>
    <w:rsid w:val="00525350"/>
    <w:rsid w:val="00525766"/>
    <w:rsid w:val="00525BD6"/>
    <w:rsid w:val="00525E0A"/>
    <w:rsid w:val="00525E25"/>
    <w:rsid w:val="00526976"/>
    <w:rsid w:val="005269FA"/>
    <w:rsid w:val="0052705D"/>
    <w:rsid w:val="005274AC"/>
    <w:rsid w:val="00527929"/>
    <w:rsid w:val="0052794B"/>
    <w:rsid w:val="00527B58"/>
    <w:rsid w:val="005304EB"/>
    <w:rsid w:val="0053084E"/>
    <w:rsid w:val="00530A73"/>
    <w:rsid w:val="00530A7A"/>
    <w:rsid w:val="00530F0C"/>
    <w:rsid w:val="0053110D"/>
    <w:rsid w:val="005312E5"/>
    <w:rsid w:val="0053264F"/>
    <w:rsid w:val="005328F4"/>
    <w:rsid w:val="00532D9B"/>
    <w:rsid w:val="00533020"/>
    <w:rsid w:val="00533354"/>
    <w:rsid w:val="0053397E"/>
    <w:rsid w:val="00533B7D"/>
    <w:rsid w:val="00534262"/>
    <w:rsid w:val="0053434F"/>
    <w:rsid w:val="00534BB2"/>
    <w:rsid w:val="00534E50"/>
    <w:rsid w:val="00534F25"/>
    <w:rsid w:val="00535075"/>
    <w:rsid w:val="0053515A"/>
    <w:rsid w:val="0053519F"/>
    <w:rsid w:val="005351E4"/>
    <w:rsid w:val="0053520E"/>
    <w:rsid w:val="0053557A"/>
    <w:rsid w:val="0053565C"/>
    <w:rsid w:val="00535972"/>
    <w:rsid w:val="00535C1F"/>
    <w:rsid w:val="00535F30"/>
    <w:rsid w:val="00535F3D"/>
    <w:rsid w:val="0053636C"/>
    <w:rsid w:val="00536476"/>
    <w:rsid w:val="00536B38"/>
    <w:rsid w:val="00536F47"/>
    <w:rsid w:val="00536F82"/>
    <w:rsid w:val="005370EB"/>
    <w:rsid w:val="00537361"/>
    <w:rsid w:val="005374B9"/>
    <w:rsid w:val="00537B76"/>
    <w:rsid w:val="005402A0"/>
    <w:rsid w:val="0054030F"/>
    <w:rsid w:val="005407AA"/>
    <w:rsid w:val="00540AD1"/>
    <w:rsid w:val="00540F56"/>
    <w:rsid w:val="005410C3"/>
    <w:rsid w:val="005411B8"/>
    <w:rsid w:val="005413F3"/>
    <w:rsid w:val="005414E0"/>
    <w:rsid w:val="005414F5"/>
    <w:rsid w:val="0054160E"/>
    <w:rsid w:val="005418C1"/>
    <w:rsid w:val="00541997"/>
    <w:rsid w:val="00541AFC"/>
    <w:rsid w:val="00541E6A"/>
    <w:rsid w:val="00542749"/>
    <w:rsid w:val="00542BB2"/>
    <w:rsid w:val="00542F16"/>
    <w:rsid w:val="00543311"/>
    <w:rsid w:val="0054331A"/>
    <w:rsid w:val="005435A7"/>
    <w:rsid w:val="00543843"/>
    <w:rsid w:val="00543AF4"/>
    <w:rsid w:val="00543F41"/>
    <w:rsid w:val="0054417A"/>
    <w:rsid w:val="0054500E"/>
    <w:rsid w:val="00545091"/>
    <w:rsid w:val="00545278"/>
    <w:rsid w:val="0054558F"/>
    <w:rsid w:val="005456AD"/>
    <w:rsid w:val="0054576F"/>
    <w:rsid w:val="00545ED6"/>
    <w:rsid w:val="00546354"/>
    <w:rsid w:val="0054644C"/>
    <w:rsid w:val="0054677F"/>
    <w:rsid w:val="00546D11"/>
    <w:rsid w:val="00547210"/>
    <w:rsid w:val="0054770E"/>
    <w:rsid w:val="00547715"/>
    <w:rsid w:val="00547A4A"/>
    <w:rsid w:val="0055020C"/>
    <w:rsid w:val="005502E5"/>
    <w:rsid w:val="00550BDA"/>
    <w:rsid w:val="00550ECE"/>
    <w:rsid w:val="0055119D"/>
    <w:rsid w:val="0055183F"/>
    <w:rsid w:val="00551ACF"/>
    <w:rsid w:val="00551CE4"/>
    <w:rsid w:val="00551D73"/>
    <w:rsid w:val="0055206B"/>
    <w:rsid w:val="00552615"/>
    <w:rsid w:val="00552C2C"/>
    <w:rsid w:val="00552C66"/>
    <w:rsid w:val="00552FB6"/>
    <w:rsid w:val="0055370D"/>
    <w:rsid w:val="005537CE"/>
    <w:rsid w:val="00553936"/>
    <w:rsid w:val="00553BB6"/>
    <w:rsid w:val="00553EB5"/>
    <w:rsid w:val="00554092"/>
    <w:rsid w:val="0055454F"/>
    <w:rsid w:val="0055458F"/>
    <w:rsid w:val="00554BF0"/>
    <w:rsid w:val="00554E3C"/>
    <w:rsid w:val="00555015"/>
    <w:rsid w:val="005555AA"/>
    <w:rsid w:val="005556EE"/>
    <w:rsid w:val="00555C9B"/>
    <w:rsid w:val="00555E3B"/>
    <w:rsid w:val="005560AD"/>
    <w:rsid w:val="005562C5"/>
    <w:rsid w:val="00556AEC"/>
    <w:rsid w:val="00556B7F"/>
    <w:rsid w:val="00557395"/>
    <w:rsid w:val="0055763C"/>
    <w:rsid w:val="00557708"/>
    <w:rsid w:val="0055773A"/>
    <w:rsid w:val="005578CC"/>
    <w:rsid w:val="00560223"/>
    <w:rsid w:val="0056040A"/>
    <w:rsid w:val="00560647"/>
    <w:rsid w:val="00560BF6"/>
    <w:rsid w:val="0056139B"/>
    <w:rsid w:val="00561756"/>
    <w:rsid w:val="00561B0F"/>
    <w:rsid w:val="00561DBE"/>
    <w:rsid w:val="0056239B"/>
    <w:rsid w:val="005625D2"/>
    <w:rsid w:val="0056275B"/>
    <w:rsid w:val="00562A73"/>
    <w:rsid w:val="00562C75"/>
    <w:rsid w:val="00563247"/>
    <w:rsid w:val="00563309"/>
    <w:rsid w:val="005637C0"/>
    <w:rsid w:val="00563E39"/>
    <w:rsid w:val="00564649"/>
    <w:rsid w:val="0056464E"/>
    <w:rsid w:val="00564705"/>
    <w:rsid w:val="00564973"/>
    <w:rsid w:val="005650D3"/>
    <w:rsid w:val="0056510C"/>
    <w:rsid w:val="00565372"/>
    <w:rsid w:val="0056543D"/>
    <w:rsid w:val="005654BD"/>
    <w:rsid w:val="00565608"/>
    <w:rsid w:val="00565821"/>
    <w:rsid w:val="00565B04"/>
    <w:rsid w:val="00565DD8"/>
    <w:rsid w:val="00565F07"/>
    <w:rsid w:val="00566155"/>
    <w:rsid w:val="00566683"/>
    <w:rsid w:val="00566A6B"/>
    <w:rsid w:val="00566AA1"/>
    <w:rsid w:val="00566C3C"/>
    <w:rsid w:val="00566CBA"/>
    <w:rsid w:val="0056717B"/>
    <w:rsid w:val="005674DF"/>
    <w:rsid w:val="005675F1"/>
    <w:rsid w:val="005679B5"/>
    <w:rsid w:val="00567BE2"/>
    <w:rsid w:val="00567DC5"/>
    <w:rsid w:val="00567F0E"/>
    <w:rsid w:val="00570503"/>
    <w:rsid w:val="0057061A"/>
    <w:rsid w:val="005709D8"/>
    <w:rsid w:val="00570B4E"/>
    <w:rsid w:val="00570BB4"/>
    <w:rsid w:val="00570BC8"/>
    <w:rsid w:val="00570FB4"/>
    <w:rsid w:val="00571154"/>
    <w:rsid w:val="005714F6"/>
    <w:rsid w:val="00571500"/>
    <w:rsid w:val="005716B6"/>
    <w:rsid w:val="005717F2"/>
    <w:rsid w:val="00571ACC"/>
    <w:rsid w:val="00571BB1"/>
    <w:rsid w:val="00571CDA"/>
    <w:rsid w:val="0057215D"/>
    <w:rsid w:val="005722EE"/>
    <w:rsid w:val="0057283B"/>
    <w:rsid w:val="00572A24"/>
    <w:rsid w:val="00572AC4"/>
    <w:rsid w:val="00572C64"/>
    <w:rsid w:val="0057308E"/>
    <w:rsid w:val="005738BA"/>
    <w:rsid w:val="00573B1B"/>
    <w:rsid w:val="005743DD"/>
    <w:rsid w:val="005744C2"/>
    <w:rsid w:val="005748A2"/>
    <w:rsid w:val="005748D5"/>
    <w:rsid w:val="005749F2"/>
    <w:rsid w:val="00574A39"/>
    <w:rsid w:val="00574BA8"/>
    <w:rsid w:val="00574D69"/>
    <w:rsid w:val="00574D75"/>
    <w:rsid w:val="00575315"/>
    <w:rsid w:val="005755C9"/>
    <w:rsid w:val="00575A74"/>
    <w:rsid w:val="00575AB9"/>
    <w:rsid w:val="005764CE"/>
    <w:rsid w:val="0057654E"/>
    <w:rsid w:val="005768F2"/>
    <w:rsid w:val="00576F7A"/>
    <w:rsid w:val="005771A3"/>
    <w:rsid w:val="0057722A"/>
    <w:rsid w:val="00577286"/>
    <w:rsid w:val="005774EA"/>
    <w:rsid w:val="005775F2"/>
    <w:rsid w:val="0057770C"/>
    <w:rsid w:val="00577CE2"/>
    <w:rsid w:val="00577CED"/>
    <w:rsid w:val="00577EB9"/>
    <w:rsid w:val="00577FBE"/>
    <w:rsid w:val="005802CE"/>
    <w:rsid w:val="00580489"/>
    <w:rsid w:val="00580AAE"/>
    <w:rsid w:val="00580D91"/>
    <w:rsid w:val="00581141"/>
    <w:rsid w:val="00581590"/>
    <w:rsid w:val="0058172B"/>
    <w:rsid w:val="00581AE6"/>
    <w:rsid w:val="00582140"/>
    <w:rsid w:val="00582547"/>
    <w:rsid w:val="0058261C"/>
    <w:rsid w:val="00582AAE"/>
    <w:rsid w:val="00582CCF"/>
    <w:rsid w:val="0058322E"/>
    <w:rsid w:val="005834AB"/>
    <w:rsid w:val="00583616"/>
    <w:rsid w:val="00583646"/>
    <w:rsid w:val="005836D8"/>
    <w:rsid w:val="0058373D"/>
    <w:rsid w:val="005837D0"/>
    <w:rsid w:val="00583891"/>
    <w:rsid w:val="005839BC"/>
    <w:rsid w:val="00583CD1"/>
    <w:rsid w:val="00583E0C"/>
    <w:rsid w:val="005840B7"/>
    <w:rsid w:val="005843DF"/>
    <w:rsid w:val="00584428"/>
    <w:rsid w:val="0058459C"/>
    <w:rsid w:val="0058460F"/>
    <w:rsid w:val="00584960"/>
    <w:rsid w:val="00584EB9"/>
    <w:rsid w:val="005850EE"/>
    <w:rsid w:val="005853E6"/>
    <w:rsid w:val="005858CB"/>
    <w:rsid w:val="0058627F"/>
    <w:rsid w:val="00586450"/>
    <w:rsid w:val="0058689C"/>
    <w:rsid w:val="00586EBB"/>
    <w:rsid w:val="0058751D"/>
    <w:rsid w:val="00587534"/>
    <w:rsid w:val="005875D0"/>
    <w:rsid w:val="00587FE0"/>
    <w:rsid w:val="00590519"/>
    <w:rsid w:val="00590794"/>
    <w:rsid w:val="005907FB"/>
    <w:rsid w:val="00590892"/>
    <w:rsid w:val="005908F8"/>
    <w:rsid w:val="00590CCE"/>
    <w:rsid w:val="005910A1"/>
    <w:rsid w:val="005910B9"/>
    <w:rsid w:val="00591656"/>
    <w:rsid w:val="00591683"/>
    <w:rsid w:val="0059198F"/>
    <w:rsid w:val="00591A90"/>
    <w:rsid w:val="00591CAF"/>
    <w:rsid w:val="00591FDE"/>
    <w:rsid w:val="005921FC"/>
    <w:rsid w:val="005923F5"/>
    <w:rsid w:val="0059282D"/>
    <w:rsid w:val="005932A5"/>
    <w:rsid w:val="00593AF9"/>
    <w:rsid w:val="00593B33"/>
    <w:rsid w:val="00593BF0"/>
    <w:rsid w:val="00594073"/>
    <w:rsid w:val="005943B1"/>
    <w:rsid w:val="00594669"/>
    <w:rsid w:val="0059473C"/>
    <w:rsid w:val="00595337"/>
    <w:rsid w:val="005954B6"/>
    <w:rsid w:val="00595A15"/>
    <w:rsid w:val="00595A24"/>
    <w:rsid w:val="00595B0B"/>
    <w:rsid w:val="00595BC6"/>
    <w:rsid w:val="00595D69"/>
    <w:rsid w:val="00595DF7"/>
    <w:rsid w:val="0059602F"/>
    <w:rsid w:val="0059672D"/>
    <w:rsid w:val="0059679D"/>
    <w:rsid w:val="00596988"/>
    <w:rsid w:val="00596DEB"/>
    <w:rsid w:val="00596E67"/>
    <w:rsid w:val="0059737C"/>
    <w:rsid w:val="00597489"/>
    <w:rsid w:val="005976FB"/>
    <w:rsid w:val="00597799"/>
    <w:rsid w:val="00597AD9"/>
    <w:rsid w:val="005A01A3"/>
    <w:rsid w:val="005A06A1"/>
    <w:rsid w:val="005A0958"/>
    <w:rsid w:val="005A0A4E"/>
    <w:rsid w:val="005A0ACB"/>
    <w:rsid w:val="005A0D0A"/>
    <w:rsid w:val="005A0D59"/>
    <w:rsid w:val="005A0F9B"/>
    <w:rsid w:val="005A1304"/>
    <w:rsid w:val="005A13DC"/>
    <w:rsid w:val="005A1635"/>
    <w:rsid w:val="005A1922"/>
    <w:rsid w:val="005A21D9"/>
    <w:rsid w:val="005A23E5"/>
    <w:rsid w:val="005A241C"/>
    <w:rsid w:val="005A24A9"/>
    <w:rsid w:val="005A2670"/>
    <w:rsid w:val="005A2BE3"/>
    <w:rsid w:val="005A2D64"/>
    <w:rsid w:val="005A2E33"/>
    <w:rsid w:val="005A31F0"/>
    <w:rsid w:val="005A33DF"/>
    <w:rsid w:val="005A3540"/>
    <w:rsid w:val="005A4233"/>
    <w:rsid w:val="005A4352"/>
    <w:rsid w:val="005A4611"/>
    <w:rsid w:val="005A4812"/>
    <w:rsid w:val="005A4B25"/>
    <w:rsid w:val="005A4B52"/>
    <w:rsid w:val="005A5099"/>
    <w:rsid w:val="005A5222"/>
    <w:rsid w:val="005A5482"/>
    <w:rsid w:val="005A5508"/>
    <w:rsid w:val="005A5539"/>
    <w:rsid w:val="005A5FFA"/>
    <w:rsid w:val="005A62CF"/>
    <w:rsid w:val="005A62F3"/>
    <w:rsid w:val="005A65CA"/>
    <w:rsid w:val="005A6828"/>
    <w:rsid w:val="005A6870"/>
    <w:rsid w:val="005A6A30"/>
    <w:rsid w:val="005A6C30"/>
    <w:rsid w:val="005A6D19"/>
    <w:rsid w:val="005A6E6B"/>
    <w:rsid w:val="005A7201"/>
    <w:rsid w:val="005A744C"/>
    <w:rsid w:val="005A7771"/>
    <w:rsid w:val="005A7A70"/>
    <w:rsid w:val="005A7E29"/>
    <w:rsid w:val="005B019F"/>
    <w:rsid w:val="005B064E"/>
    <w:rsid w:val="005B13EB"/>
    <w:rsid w:val="005B144D"/>
    <w:rsid w:val="005B1C9E"/>
    <w:rsid w:val="005B20BB"/>
    <w:rsid w:val="005B21A0"/>
    <w:rsid w:val="005B2593"/>
    <w:rsid w:val="005B2924"/>
    <w:rsid w:val="005B2C96"/>
    <w:rsid w:val="005B2D37"/>
    <w:rsid w:val="005B3186"/>
    <w:rsid w:val="005B33DE"/>
    <w:rsid w:val="005B3439"/>
    <w:rsid w:val="005B37CD"/>
    <w:rsid w:val="005B3F3F"/>
    <w:rsid w:val="005B4139"/>
    <w:rsid w:val="005B42D8"/>
    <w:rsid w:val="005B42ED"/>
    <w:rsid w:val="005B43D9"/>
    <w:rsid w:val="005B444C"/>
    <w:rsid w:val="005B44EC"/>
    <w:rsid w:val="005B4BDB"/>
    <w:rsid w:val="005B4D42"/>
    <w:rsid w:val="005B4E42"/>
    <w:rsid w:val="005B4EE7"/>
    <w:rsid w:val="005B570F"/>
    <w:rsid w:val="005B5C76"/>
    <w:rsid w:val="005B5C8F"/>
    <w:rsid w:val="005B5DDB"/>
    <w:rsid w:val="005B6362"/>
    <w:rsid w:val="005B64CA"/>
    <w:rsid w:val="005B6540"/>
    <w:rsid w:val="005B6636"/>
    <w:rsid w:val="005B6802"/>
    <w:rsid w:val="005B69C2"/>
    <w:rsid w:val="005B6A48"/>
    <w:rsid w:val="005B6AB2"/>
    <w:rsid w:val="005B6D60"/>
    <w:rsid w:val="005B6EA9"/>
    <w:rsid w:val="005B717E"/>
    <w:rsid w:val="005B7385"/>
    <w:rsid w:val="005B78C7"/>
    <w:rsid w:val="005B7C9E"/>
    <w:rsid w:val="005B7DB6"/>
    <w:rsid w:val="005B7EAA"/>
    <w:rsid w:val="005B7F33"/>
    <w:rsid w:val="005C0597"/>
    <w:rsid w:val="005C06DE"/>
    <w:rsid w:val="005C090E"/>
    <w:rsid w:val="005C0972"/>
    <w:rsid w:val="005C1099"/>
    <w:rsid w:val="005C12A2"/>
    <w:rsid w:val="005C12E8"/>
    <w:rsid w:val="005C1655"/>
    <w:rsid w:val="005C245B"/>
    <w:rsid w:val="005C26D9"/>
    <w:rsid w:val="005C32BD"/>
    <w:rsid w:val="005C34C5"/>
    <w:rsid w:val="005C3B06"/>
    <w:rsid w:val="005C3B0E"/>
    <w:rsid w:val="005C3BB2"/>
    <w:rsid w:val="005C3C0E"/>
    <w:rsid w:val="005C3EBA"/>
    <w:rsid w:val="005C409B"/>
    <w:rsid w:val="005C41EB"/>
    <w:rsid w:val="005C4263"/>
    <w:rsid w:val="005C482C"/>
    <w:rsid w:val="005C4930"/>
    <w:rsid w:val="005C4BCB"/>
    <w:rsid w:val="005C4F5C"/>
    <w:rsid w:val="005C53D0"/>
    <w:rsid w:val="005C5424"/>
    <w:rsid w:val="005C5568"/>
    <w:rsid w:val="005C59BA"/>
    <w:rsid w:val="005C5BFF"/>
    <w:rsid w:val="005C5CEB"/>
    <w:rsid w:val="005C5D7D"/>
    <w:rsid w:val="005C62DB"/>
    <w:rsid w:val="005C632A"/>
    <w:rsid w:val="005C6669"/>
    <w:rsid w:val="005C6777"/>
    <w:rsid w:val="005C6A60"/>
    <w:rsid w:val="005C6BC9"/>
    <w:rsid w:val="005C6CA2"/>
    <w:rsid w:val="005C76BB"/>
    <w:rsid w:val="005C7BBD"/>
    <w:rsid w:val="005C7FC0"/>
    <w:rsid w:val="005D034C"/>
    <w:rsid w:val="005D040C"/>
    <w:rsid w:val="005D04B1"/>
    <w:rsid w:val="005D0822"/>
    <w:rsid w:val="005D0A0F"/>
    <w:rsid w:val="005D0C24"/>
    <w:rsid w:val="005D1902"/>
    <w:rsid w:val="005D19C7"/>
    <w:rsid w:val="005D225A"/>
    <w:rsid w:val="005D2451"/>
    <w:rsid w:val="005D2CDA"/>
    <w:rsid w:val="005D2EF6"/>
    <w:rsid w:val="005D3276"/>
    <w:rsid w:val="005D3357"/>
    <w:rsid w:val="005D34AB"/>
    <w:rsid w:val="005D3806"/>
    <w:rsid w:val="005D3BC0"/>
    <w:rsid w:val="005D3E05"/>
    <w:rsid w:val="005D419E"/>
    <w:rsid w:val="005D41C8"/>
    <w:rsid w:val="005D4CB9"/>
    <w:rsid w:val="005D4F08"/>
    <w:rsid w:val="005D510E"/>
    <w:rsid w:val="005D51D8"/>
    <w:rsid w:val="005D577E"/>
    <w:rsid w:val="005D5A15"/>
    <w:rsid w:val="005D5D1F"/>
    <w:rsid w:val="005D6145"/>
    <w:rsid w:val="005D6CA8"/>
    <w:rsid w:val="005D725A"/>
    <w:rsid w:val="005D785F"/>
    <w:rsid w:val="005D7922"/>
    <w:rsid w:val="005D7938"/>
    <w:rsid w:val="005D7A37"/>
    <w:rsid w:val="005D7A6E"/>
    <w:rsid w:val="005E03FB"/>
    <w:rsid w:val="005E07DA"/>
    <w:rsid w:val="005E08B2"/>
    <w:rsid w:val="005E0956"/>
    <w:rsid w:val="005E10DA"/>
    <w:rsid w:val="005E190C"/>
    <w:rsid w:val="005E19EF"/>
    <w:rsid w:val="005E1E50"/>
    <w:rsid w:val="005E1EC5"/>
    <w:rsid w:val="005E1F26"/>
    <w:rsid w:val="005E2448"/>
    <w:rsid w:val="005E28D0"/>
    <w:rsid w:val="005E2BD8"/>
    <w:rsid w:val="005E2D37"/>
    <w:rsid w:val="005E2E9B"/>
    <w:rsid w:val="005E2F14"/>
    <w:rsid w:val="005E30A6"/>
    <w:rsid w:val="005E31E3"/>
    <w:rsid w:val="005E3576"/>
    <w:rsid w:val="005E35EE"/>
    <w:rsid w:val="005E369D"/>
    <w:rsid w:val="005E3775"/>
    <w:rsid w:val="005E3828"/>
    <w:rsid w:val="005E3DAC"/>
    <w:rsid w:val="005E4407"/>
    <w:rsid w:val="005E468C"/>
    <w:rsid w:val="005E48C2"/>
    <w:rsid w:val="005E4B19"/>
    <w:rsid w:val="005E4C2D"/>
    <w:rsid w:val="005E4F11"/>
    <w:rsid w:val="005E5180"/>
    <w:rsid w:val="005E52F4"/>
    <w:rsid w:val="005E565D"/>
    <w:rsid w:val="005E56EF"/>
    <w:rsid w:val="005E5833"/>
    <w:rsid w:val="005E5DCB"/>
    <w:rsid w:val="005E5F0C"/>
    <w:rsid w:val="005E61E5"/>
    <w:rsid w:val="005E6297"/>
    <w:rsid w:val="005E681E"/>
    <w:rsid w:val="005E6F96"/>
    <w:rsid w:val="005E71E8"/>
    <w:rsid w:val="005E7227"/>
    <w:rsid w:val="005E7B4D"/>
    <w:rsid w:val="005F028C"/>
    <w:rsid w:val="005F07B9"/>
    <w:rsid w:val="005F0BAA"/>
    <w:rsid w:val="005F0BEA"/>
    <w:rsid w:val="005F0F5A"/>
    <w:rsid w:val="005F1072"/>
    <w:rsid w:val="005F11DC"/>
    <w:rsid w:val="005F1AC2"/>
    <w:rsid w:val="005F1DFD"/>
    <w:rsid w:val="005F1FD1"/>
    <w:rsid w:val="005F1FD7"/>
    <w:rsid w:val="005F243F"/>
    <w:rsid w:val="005F26F5"/>
    <w:rsid w:val="005F299F"/>
    <w:rsid w:val="005F2B4E"/>
    <w:rsid w:val="005F2B93"/>
    <w:rsid w:val="005F2D80"/>
    <w:rsid w:val="005F321E"/>
    <w:rsid w:val="005F3334"/>
    <w:rsid w:val="005F34DB"/>
    <w:rsid w:val="005F3969"/>
    <w:rsid w:val="005F4063"/>
    <w:rsid w:val="005F4373"/>
    <w:rsid w:val="005F469D"/>
    <w:rsid w:val="005F4859"/>
    <w:rsid w:val="005F4B88"/>
    <w:rsid w:val="005F4C33"/>
    <w:rsid w:val="005F4CAF"/>
    <w:rsid w:val="005F4E67"/>
    <w:rsid w:val="005F5083"/>
    <w:rsid w:val="005F516C"/>
    <w:rsid w:val="005F5183"/>
    <w:rsid w:val="005F5237"/>
    <w:rsid w:val="005F55AE"/>
    <w:rsid w:val="005F57E2"/>
    <w:rsid w:val="005F5E74"/>
    <w:rsid w:val="005F6119"/>
    <w:rsid w:val="005F613C"/>
    <w:rsid w:val="005F6A4A"/>
    <w:rsid w:val="005F7144"/>
    <w:rsid w:val="005F7313"/>
    <w:rsid w:val="005F74F5"/>
    <w:rsid w:val="00600069"/>
    <w:rsid w:val="006000DD"/>
    <w:rsid w:val="0060021C"/>
    <w:rsid w:val="0060033D"/>
    <w:rsid w:val="00600B36"/>
    <w:rsid w:val="00600CAB"/>
    <w:rsid w:val="0060119A"/>
    <w:rsid w:val="00601390"/>
    <w:rsid w:val="006015C8"/>
    <w:rsid w:val="00601847"/>
    <w:rsid w:val="006018A0"/>
    <w:rsid w:val="006018D7"/>
    <w:rsid w:val="0060193D"/>
    <w:rsid w:val="00601B88"/>
    <w:rsid w:val="00601BB4"/>
    <w:rsid w:val="006022AC"/>
    <w:rsid w:val="006028CA"/>
    <w:rsid w:val="006029E8"/>
    <w:rsid w:val="00602F18"/>
    <w:rsid w:val="00603D06"/>
    <w:rsid w:val="00604093"/>
    <w:rsid w:val="006043E9"/>
    <w:rsid w:val="00604419"/>
    <w:rsid w:val="006044C5"/>
    <w:rsid w:val="0060482C"/>
    <w:rsid w:val="00604D3A"/>
    <w:rsid w:val="00604D8D"/>
    <w:rsid w:val="00604DC0"/>
    <w:rsid w:val="006051CA"/>
    <w:rsid w:val="006052AF"/>
    <w:rsid w:val="0060538C"/>
    <w:rsid w:val="0060540D"/>
    <w:rsid w:val="0060540F"/>
    <w:rsid w:val="00605590"/>
    <w:rsid w:val="006056D2"/>
    <w:rsid w:val="00605789"/>
    <w:rsid w:val="0060591B"/>
    <w:rsid w:val="00605AB9"/>
    <w:rsid w:val="00605AC9"/>
    <w:rsid w:val="00605B18"/>
    <w:rsid w:val="00605C60"/>
    <w:rsid w:val="00605F23"/>
    <w:rsid w:val="00606190"/>
    <w:rsid w:val="006061CF"/>
    <w:rsid w:val="00606499"/>
    <w:rsid w:val="006064D0"/>
    <w:rsid w:val="006068BD"/>
    <w:rsid w:val="0060691C"/>
    <w:rsid w:val="00606967"/>
    <w:rsid w:val="0060698B"/>
    <w:rsid w:val="00606AB7"/>
    <w:rsid w:val="00606C81"/>
    <w:rsid w:val="00606D8E"/>
    <w:rsid w:val="006071D9"/>
    <w:rsid w:val="00607303"/>
    <w:rsid w:val="0060779E"/>
    <w:rsid w:val="00607832"/>
    <w:rsid w:val="0060783D"/>
    <w:rsid w:val="00607ACD"/>
    <w:rsid w:val="00607C62"/>
    <w:rsid w:val="00607D04"/>
    <w:rsid w:val="0061022A"/>
    <w:rsid w:val="006105E4"/>
    <w:rsid w:val="00610A75"/>
    <w:rsid w:val="00610D46"/>
    <w:rsid w:val="006110F2"/>
    <w:rsid w:val="00611495"/>
    <w:rsid w:val="006116D2"/>
    <w:rsid w:val="00611862"/>
    <w:rsid w:val="00611BF6"/>
    <w:rsid w:val="00611E8B"/>
    <w:rsid w:val="00611F9E"/>
    <w:rsid w:val="00612258"/>
    <w:rsid w:val="006123F9"/>
    <w:rsid w:val="0061253D"/>
    <w:rsid w:val="00612782"/>
    <w:rsid w:val="00612790"/>
    <w:rsid w:val="0061379B"/>
    <w:rsid w:val="00613A95"/>
    <w:rsid w:val="00613DC4"/>
    <w:rsid w:val="00614085"/>
    <w:rsid w:val="006141AC"/>
    <w:rsid w:val="006142F1"/>
    <w:rsid w:val="00614363"/>
    <w:rsid w:val="00614983"/>
    <w:rsid w:val="00614A97"/>
    <w:rsid w:val="00614C07"/>
    <w:rsid w:val="00614E93"/>
    <w:rsid w:val="00615029"/>
    <w:rsid w:val="00615141"/>
    <w:rsid w:val="00615294"/>
    <w:rsid w:val="00615693"/>
    <w:rsid w:val="006157C3"/>
    <w:rsid w:val="00615A0B"/>
    <w:rsid w:val="00615D40"/>
    <w:rsid w:val="006161C9"/>
    <w:rsid w:val="006168DE"/>
    <w:rsid w:val="00616BE8"/>
    <w:rsid w:val="00616FDD"/>
    <w:rsid w:val="006172EB"/>
    <w:rsid w:val="006174E8"/>
    <w:rsid w:val="0061764E"/>
    <w:rsid w:val="00617876"/>
    <w:rsid w:val="00617909"/>
    <w:rsid w:val="006179A5"/>
    <w:rsid w:val="00617F3C"/>
    <w:rsid w:val="00617F85"/>
    <w:rsid w:val="0062016E"/>
    <w:rsid w:val="00620692"/>
    <w:rsid w:val="006207DC"/>
    <w:rsid w:val="00620A3F"/>
    <w:rsid w:val="00620C11"/>
    <w:rsid w:val="006211E9"/>
    <w:rsid w:val="006211EC"/>
    <w:rsid w:val="00621449"/>
    <w:rsid w:val="006217F2"/>
    <w:rsid w:val="00621A0F"/>
    <w:rsid w:val="00621AE2"/>
    <w:rsid w:val="00621FD0"/>
    <w:rsid w:val="00622071"/>
    <w:rsid w:val="006224AB"/>
    <w:rsid w:val="00622963"/>
    <w:rsid w:val="00622A41"/>
    <w:rsid w:val="00622CF6"/>
    <w:rsid w:val="006232BA"/>
    <w:rsid w:val="006235BA"/>
    <w:rsid w:val="00623F9B"/>
    <w:rsid w:val="006244F3"/>
    <w:rsid w:val="00624667"/>
    <w:rsid w:val="0062487B"/>
    <w:rsid w:val="0062497E"/>
    <w:rsid w:val="006252F2"/>
    <w:rsid w:val="00625496"/>
    <w:rsid w:val="00625AFF"/>
    <w:rsid w:val="00625DBD"/>
    <w:rsid w:val="006261EF"/>
    <w:rsid w:val="00626498"/>
    <w:rsid w:val="00626640"/>
    <w:rsid w:val="00626861"/>
    <w:rsid w:val="0062686B"/>
    <w:rsid w:val="006271A8"/>
    <w:rsid w:val="006275A8"/>
    <w:rsid w:val="00627B5E"/>
    <w:rsid w:val="00627C32"/>
    <w:rsid w:val="00627FCC"/>
    <w:rsid w:val="00630213"/>
    <w:rsid w:val="0063037F"/>
    <w:rsid w:val="0063042E"/>
    <w:rsid w:val="00630617"/>
    <w:rsid w:val="0063061C"/>
    <w:rsid w:val="00630733"/>
    <w:rsid w:val="0063074C"/>
    <w:rsid w:val="006307D6"/>
    <w:rsid w:val="00631056"/>
    <w:rsid w:val="0063153F"/>
    <w:rsid w:val="00631EF0"/>
    <w:rsid w:val="00632647"/>
    <w:rsid w:val="00632E8A"/>
    <w:rsid w:val="00633089"/>
    <w:rsid w:val="0063343E"/>
    <w:rsid w:val="0063394E"/>
    <w:rsid w:val="00633972"/>
    <w:rsid w:val="0063397E"/>
    <w:rsid w:val="00633C05"/>
    <w:rsid w:val="00633CD6"/>
    <w:rsid w:val="00633FD9"/>
    <w:rsid w:val="00634597"/>
    <w:rsid w:val="00634BA4"/>
    <w:rsid w:val="00634CD5"/>
    <w:rsid w:val="00634DDE"/>
    <w:rsid w:val="00634E48"/>
    <w:rsid w:val="00635380"/>
    <w:rsid w:val="00635459"/>
    <w:rsid w:val="00635827"/>
    <w:rsid w:val="00635A44"/>
    <w:rsid w:val="00635C80"/>
    <w:rsid w:val="00635E04"/>
    <w:rsid w:val="00635EA7"/>
    <w:rsid w:val="0063604D"/>
    <w:rsid w:val="00636258"/>
    <w:rsid w:val="006370B2"/>
    <w:rsid w:val="006371B2"/>
    <w:rsid w:val="00637458"/>
    <w:rsid w:val="0063746F"/>
    <w:rsid w:val="00637A54"/>
    <w:rsid w:val="00637E0B"/>
    <w:rsid w:val="00640391"/>
    <w:rsid w:val="006406B3"/>
    <w:rsid w:val="00640717"/>
    <w:rsid w:val="00640F41"/>
    <w:rsid w:val="006411CB"/>
    <w:rsid w:val="006414EF"/>
    <w:rsid w:val="00641BC1"/>
    <w:rsid w:val="00641BFF"/>
    <w:rsid w:val="00641E7A"/>
    <w:rsid w:val="006421C4"/>
    <w:rsid w:val="00642517"/>
    <w:rsid w:val="00642989"/>
    <w:rsid w:val="00642BE1"/>
    <w:rsid w:val="00642BEB"/>
    <w:rsid w:val="006435D2"/>
    <w:rsid w:val="00643713"/>
    <w:rsid w:val="00643881"/>
    <w:rsid w:val="006439AC"/>
    <w:rsid w:val="00643A03"/>
    <w:rsid w:val="00643AFB"/>
    <w:rsid w:val="00643C5B"/>
    <w:rsid w:val="00643CF6"/>
    <w:rsid w:val="00644067"/>
    <w:rsid w:val="006443C1"/>
    <w:rsid w:val="00644589"/>
    <w:rsid w:val="00644667"/>
    <w:rsid w:val="006449EB"/>
    <w:rsid w:val="00644A89"/>
    <w:rsid w:val="00645405"/>
    <w:rsid w:val="0064583D"/>
    <w:rsid w:val="00645CBF"/>
    <w:rsid w:val="006462D4"/>
    <w:rsid w:val="00646335"/>
    <w:rsid w:val="00646393"/>
    <w:rsid w:val="006464FD"/>
    <w:rsid w:val="006466F8"/>
    <w:rsid w:val="00646871"/>
    <w:rsid w:val="0064690D"/>
    <w:rsid w:val="00646B77"/>
    <w:rsid w:val="00646BC5"/>
    <w:rsid w:val="00646BEB"/>
    <w:rsid w:val="00646D60"/>
    <w:rsid w:val="00646DA2"/>
    <w:rsid w:val="0064721A"/>
    <w:rsid w:val="0064772B"/>
    <w:rsid w:val="00647800"/>
    <w:rsid w:val="00647903"/>
    <w:rsid w:val="00647A49"/>
    <w:rsid w:val="00647C18"/>
    <w:rsid w:val="0065043F"/>
    <w:rsid w:val="00650691"/>
    <w:rsid w:val="00650703"/>
    <w:rsid w:val="0065090C"/>
    <w:rsid w:val="006511FC"/>
    <w:rsid w:val="0065129D"/>
    <w:rsid w:val="006512D0"/>
    <w:rsid w:val="006513B3"/>
    <w:rsid w:val="006515EA"/>
    <w:rsid w:val="006517A3"/>
    <w:rsid w:val="006518BD"/>
    <w:rsid w:val="00651B07"/>
    <w:rsid w:val="00651D16"/>
    <w:rsid w:val="00651DE8"/>
    <w:rsid w:val="006520EB"/>
    <w:rsid w:val="006522C4"/>
    <w:rsid w:val="0065244A"/>
    <w:rsid w:val="00652535"/>
    <w:rsid w:val="00652981"/>
    <w:rsid w:val="00652DFE"/>
    <w:rsid w:val="00652EE3"/>
    <w:rsid w:val="00653096"/>
    <w:rsid w:val="006533AB"/>
    <w:rsid w:val="0065366C"/>
    <w:rsid w:val="00653AC1"/>
    <w:rsid w:val="00653CE1"/>
    <w:rsid w:val="00653E16"/>
    <w:rsid w:val="00653E5E"/>
    <w:rsid w:val="006541BD"/>
    <w:rsid w:val="00654250"/>
    <w:rsid w:val="006544B4"/>
    <w:rsid w:val="00654615"/>
    <w:rsid w:val="006546AA"/>
    <w:rsid w:val="00654BD8"/>
    <w:rsid w:val="00654D76"/>
    <w:rsid w:val="00655506"/>
    <w:rsid w:val="006562CE"/>
    <w:rsid w:val="006565BC"/>
    <w:rsid w:val="00656BB5"/>
    <w:rsid w:val="00657B99"/>
    <w:rsid w:val="00657E41"/>
    <w:rsid w:val="006608F0"/>
    <w:rsid w:val="0066098C"/>
    <w:rsid w:val="00660AB7"/>
    <w:rsid w:val="00660E3C"/>
    <w:rsid w:val="0066132A"/>
    <w:rsid w:val="00661475"/>
    <w:rsid w:val="006615D3"/>
    <w:rsid w:val="006617B7"/>
    <w:rsid w:val="006618C3"/>
    <w:rsid w:val="00661A53"/>
    <w:rsid w:val="00661B4D"/>
    <w:rsid w:val="00662065"/>
    <w:rsid w:val="006621E1"/>
    <w:rsid w:val="006625AB"/>
    <w:rsid w:val="0066263A"/>
    <w:rsid w:val="00662B2D"/>
    <w:rsid w:val="00662B57"/>
    <w:rsid w:val="00662CC2"/>
    <w:rsid w:val="00662ECE"/>
    <w:rsid w:val="00663947"/>
    <w:rsid w:val="00663D1B"/>
    <w:rsid w:val="00663D73"/>
    <w:rsid w:val="00663DD3"/>
    <w:rsid w:val="00663F7B"/>
    <w:rsid w:val="00663FA8"/>
    <w:rsid w:val="00664137"/>
    <w:rsid w:val="006649DF"/>
    <w:rsid w:val="00664BE3"/>
    <w:rsid w:val="00664D43"/>
    <w:rsid w:val="00665549"/>
    <w:rsid w:val="00665569"/>
    <w:rsid w:val="00665679"/>
    <w:rsid w:val="00665C49"/>
    <w:rsid w:val="00665EFB"/>
    <w:rsid w:val="00666A1F"/>
    <w:rsid w:val="00666F5D"/>
    <w:rsid w:val="00667A9D"/>
    <w:rsid w:val="00667DCF"/>
    <w:rsid w:val="006701BA"/>
    <w:rsid w:val="006706A8"/>
    <w:rsid w:val="006706EC"/>
    <w:rsid w:val="00670731"/>
    <w:rsid w:val="00670A52"/>
    <w:rsid w:val="00670A71"/>
    <w:rsid w:val="00670DB5"/>
    <w:rsid w:val="00670DF3"/>
    <w:rsid w:val="00670F06"/>
    <w:rsid w:val="00670F32"/>
    <w:rsid w:val="006711DA"/>
    <w:rsid w:val="00671302"/>
    <w:rsid w:val="00671359"/>
    <w:rsid w:val="006714E6"/>
    <w:rsid w:val="006715F0"/>
    <w:rsid w:val="00671730"/>
    <w:rsid w:val="00671E00"/>
    <w:rsid w:val="00672AB7"/>
    <w:rsid w:val="00672C89"/>
    <w:rsid w:val="00672D5B"/>
    <w:rsid w:val="00672E12"/>
    <w:rsid w:val="006731EE"/>
    <w:rsid w:val="0067395A"/>
    <w:rsid w:val="00673D50"/>
    <w:rsid w:val="00673F48"/>
    <w:rsid w:val="00674232"/>
    <w:rsid w:val="00674D7E"/>
    <w:rsid w:val="006753CC"/>
    <w:rsid w:val="0067540C"/>
    <w:rsid w:val="006758F1"/>
    <w:rsid w:val="00675A6F"/>
    <w:rsid w:val="00675CF8"/>
    <w:rsid w:val="006761F6"/>
    <w:rsid w:val="0067631E"/>
    <w:rsid w:val="00676872"/>
    <w:rsid w:val="00676883"/>
    <w:rsid w:val="00676990"/>
    <w:rsid w:val="006769B8"/>
    <w:rsid w:val="00676B4E"/>
    <w:rsid w:val="00677226"/>
    <w:rsid w:val="00677406"/>
    <w:rsid w:val="00677688"/>
    <w:rsid w:val="006779AF"/>
    <w:rsid w:val="00677AAE"/>
    <w:rsid w:val="00677EA2"/>
    <w:rsid w:val="00677EAB"/>
    <w:rsid w:val="0068002D"/>
    <w:rsid w:val="0068054C"/>
    <w:rsid w:val="006806DF"/>
    <w:rsid w:val="00680DB7"/>
    <w:rsid w:val="00681295"/>
    <w:rsid w:val="0068154C"/>
    <w:rsid w:val="0068184E"/>
    <w:rsid w:val="0068213B"/>
    <w:rsid w:val="006821A6"/>
    <w:rsid w:val="006821ED"/>
    <w:rsid w:val="0068243F"/>
    <w:rsid w:val="00682538"/>
    <w:rsid w:val="0068299E"/>
    <w:rsid w:val="00682A30"/>
    <w:rsid w:val="00682C5D"/>
    <w:rsid w:val="00682F07"/>
    <w:rsid w:val="00682F3F"/>
    <w:rsid w:val="006830D4"/>
    <w:rsid w:val="0068321D"/>
    <w:rsid w:val="00683426"/>
    <w:rsid w:val="00683992"/>
    <w:rsid w:val="00683C04"/>
    <w:rsid w:val="00683D1A"/>
    <w:rsid w:val="00684E35"/>
    <w:rsid w:val="00684E55"/>
    <w:rsid w:val="00684E7C"/>
    <w:rsid w:val="00685041"/>
    <w:rsid w:val="006850DB"/>
    <w:rsid w:val="006850EC"/>
    <w:rsid w:val="00685777"/>
    <w:rsid w:val="0068593E"/>
    <w:rsid w:val="0068612D"/>
    <w:rsid w:val="0068625B"/>
    <w:rsid w:val="006862B4"/>
    <w:rsid w:val="00686914"/>
    <w:rsid w:val="0068791F"/>
    <w:rsid w:val="00687A4C"/>
    <w:rsid w:val="0069015E"/>
    <w:rsid w:val="0069041D"/>
    <w:rsid w:val="006906FF"/>
    <w:rsid w:val="00690955"/>
    <w:rsid w:val="00690A7C"/>
    <w:rsid w:val="00690B4B"/>
    <w:rsid w:val="00690CE2"/>
    <w:rsid w:val="00690CFC"/>
    <w:rsid w:val="00691542"/>
    <w:rsid w:val="00691787"/>
    <w:rsid w:val="006917F7"/>
    <w:rsid w:val="00691A51"/>
    <w:rsid w:val="00691B61"/>
    <w:rsid w:val="00691E63"/>
    <w:rsid w:val="006922C7"/>
    <w:rsid w:val="006930F8"/>
    <w:rsid w:val="006931C6"/>
    <w:rsid w:val="0069347C"/>
    <w:rsid w:val="0069364C"/>
    <w:rsid w:val="006936EE"/>
    <w:rsid w:val="00693EDB"/>
    <w:rsid w:val="006940AB"/>
    <w:rsid w:val="006941C3"/>
    <w:rsid w:val="0069424B"/>
    <w:rsid w:val="006943E6"/>
    <w:rsid w:val="0069460D"/>
    <w:rsid w:val="00694742"/>
    <w:rsid w:val="006947CE"/>
    <w:rsid w:val="006948C6"/>
    <w:rsid w:val="00694AF4"/>
    <w:rsid w:val="00694DFD"/>
    <w:rsid w:val="00694EA5"/>
    <w:rsid w:val="00695292"/>
    <w:rsid w:val="006952F0"/>
    <w:rsid w:val="006953DA"/>
    <w:rsid w:val="006954D6"/>
    <w:rsid w:val="00695939"/>
    <w:rsid w:val="00695DC7"/>
    <w:rsid w:val="00695EB7"/>
    <w:rsid w:val="0069644A"/>
    <w:rsid w:val="0069670E"/>
    <w:rsid w:val="006968B6"/>
    <w:rsid w:val="0069699B"/>
    <w:rsid w:val="0069710B"/>
    <w:rsid w:val="006972A2"/>
    <w:rsid w:val="006973F8"/>
    <w:rsid w:val="006973FB"/>
    <w:rsid w:val="0069794C"/>
    <w:rsid w:val="00697A37"/>
    <w:rsid w:val="00697CF0"/>
    <w:rsid w:val="00697FE6"/>
    <w:rsid w:val="006A0276"/>
    <w:rsid w:val="006A0349"/>
    <w:rsid w:val="006A0667"/>
    <w:rsid w:val="006A0903"/>
    <w:rsid w:val="006A0937"/>
    <w:rsid w:val="006A0C26"/>
    <w:rsid w:val="006A0C90"/>
    <w:rsid w:val="006A0F9E"/>
    <w:rsid w:val="006A15DB"/>
    <w:rsid w:val="006A1A00"/>
    <w:rsid w:val="006A1FAD"/>
    <w:rsid w:val="006A20E6"/>
    <w:rsid w:val="006A2338"/>
    <w:rsid w:val="006A256B"/>
    <w:rsid w:val="006A27A2"/>
    <w:rsid w:val="006A28B8"/>
    <w:rsid w:val="006A2B9F"/>
    <w:rsid w:val="006A3084"/>
    <w:rsid w:val="006A352A"/>
    <w:rsid w:val="006A35BE"/>
    <w:rsid w:val="006A389F"/>
    <w:rsid w:val="006A39E9"/>
    <w:rsid w:val="006A3DAE"/>
    <w:rsid w:val="006A3DFB"/>
    <w:rsid w:val="006A3FD1"/>
    <w:rsid w:val="006A453E"/>
    <w:rsid w:val="006A4A4C"/>
    <w:rsid w:val="006A4B2E"/>
    <w:rsid w:val="006A4DB9"/>
    <w:rsid w:val="006A4E12"/>
    <w:rsid w:val="006A554E"/>
    <w:rsid w:val="006A593E"/>
    <w:rsid w:val="006A5FF9"/>
    <w:rsid w:val="006A6324"/>
    <w:rsid w:val="006A6494"/>
    <w:rsid w:val="006A64F3"/>
    <w:rsid w:val="006A6508"/>
    <w:rsid w:val="006A6756"/>
    <w:rsid w:val="006A6866"/>
    <w:rsid w:val="006A69DE"/>
    <w:rsid w:val="006A6B6C"/>
    <w:rsid w:val="006A70B6"/>
    <w:rsid w:val="006A792C"/>
    <w:rsid w:val="006B079A"/>
    <w:rsid w:val="006B0B34"/>
    <w:rsid w:val="006B0F47"/>
    <w:rsid w:val="006B0FC6"/>
    <w:rsid w:val="006B11EC"/>
    <w:rsid w:val="006B1222"/>
    <w:rsid w:val="006B17E1"/>
    <w:rsid w:val="006B1936"/>
    <w:rsid w:val="006B1A4F"/>
    <w:rsid w:val="006B1ECC"/>
    <w:rsid w:val="006B2194"/>
    <w:rsid w:val="006B21EF"/>
    <w:rsid w:val="006B26D8"/>
    <w:rsid w:val="006B2A00"/>
    <w:rsid w:val="006B2A84"/>
    <w:rsid w:val="006B2D3D"/>
    <w:rsid w:val="006B2FD0"/>
    <w:rsid w:val="006B3324"/>
    <w:rsid w:val="006B357D"/>
    <w:rsid w:val="006B3728"/>
    <w:rsid w:val="006B3899"/>
    <w:rsid w:val="006B3D1E"/>
    <w:rsid w:val="006B4058"/>
    <w:rsid w:val="006B4179"/>
    <w:rsid w:val="006B4270"/>
    <w:rsid w:val="006B4437"/>
    <w:rsid w:val="006B4697"/>
    <w:rsid w:val="006B4C37"/>
    <w:rsid w:val="006B4CA6"/>
    <w:rsid w:val="006B5354"/>
    <w:rsid w:val="006B57C7"/>
    <w:rsid w:val="006B5801"/>
    <w:rsid w:val="006B594A"/>
    <w:rsid w:val="006B5D7E"/>
    <w:rsid w:val="006B5DD9"/>
    <w:rsid w:val="006B600E"/>
    <w:rsid w:val="006B61F6"/>
    <w:rsid w:val="006B65FB"/>
    <w:rsid w:val="006B71A5"/>
    <w:rsid w:val="006B71F4"/>
    <w:rsid w:val="006B7829"/>
    <w:rsid w:val="006B7A47"/>
    <w:rsid w:val="006B7BC7"/>
    <w:rsid w:val="006B7C89"/>
    <w:rsid w:val="006B7CA2"/>
    <w:rsid w:val="006B7FA2"/>
    <w:rsid w:val="006C030A"/>
    <w:rsid w:val="006C03B6"/>
    <w:rsid w:val="006C04B0"/>
    <w:rsid w:val="006C05FC"/>
    <w:rsid w:val="006C081F"/>
    <w:rsid w:val="006C0AF9"/>
    <w:rsid w:val="006C0B0F"/>
    <w:rsid w:val="006C0E7F"/>
    <w:rsid w:val="006C1019"/>
    <w:rsid w:val="006C1269"/>
    <w:rsid w:val="006C1561"/>
    <w:rsid w:val="006C1758"/>
    <w:rsid w:val="006C1CCB"/>
    <w:rsid w:val="006C1FF3"/>
    <w:rsid w:val="006C21AF"/>
    <w:rsid w:val="006C2367"/>
    <w:rsid w:val="006C27EB"/>
    <w:rsid w:val="006C287E"/>
    <w:rsid w:val="006C2B11"/>
    <w:rsid w:val="006C2E14"/>
    <w:rsid w:val="006C336C"/>
    <w:rsid w:val="006C33AF"/>
    <w:rsid w:val="006C38EF"/>
    <w:rsid w:val="006C3F15"/>
    <w:rsid w:val="006C40A2"/>
    <w:rsid w:val="006C44BC"/>
    <w:rsid w:val="006C4963"/>
    <w:rsid w:val="006C5293"/>
    <w:rsid w:val="006C52A6"/>
    <w:rsid w:val="006C55EC"/>
    <w:rsid w:val="006C5672"/>
    <w:rsid w:val="006C573D"/>
    <w:rsid w:val="006C5B60"/>
    <w:rsid w:val="006C5BCA"/>
    <w:rsid w:val="006C5ECF"/>
    <w:rsid w:val="006C5F1B"/>
    <w:rsid w:val="006C5F7B"/>
    <w:rsid w:val="006C60B8"/>
    <w:rsid w:val="006C6562"/>
    <w:rsid w:val="006C68BF"/>
    <w:rsid w:val="006C70D1"/>
    <w:rsid w:val="006C71D3"/>
    <w:rsid w:val="006C7269"/>
    <w:rsid w:val="006C7B14"/>
    <w:rsid w:val="006C7CE3"/>
    <w:rsid w:val="006C7FAD"/>
    <w:rsid w:val="006C7FD4"/>
    <w:rsid w:val="006C7FD9"/>
    <w:rsid w:val="006D013D"/>
    <w:rsid w:val="006D028E"/>
    <w:rsid w:val="006D0433"/>
    <w:rsid w:val="006D0CA1"/>
    <w:rsid w:val="006D0D05"/>
    <w:rsid w:val="006D0D10"/>
    <w:rsid w:val="006D0F79"/>
    <w:rsid w:val="006D12BE"/>
    <w:rsid w:val="006D19BB"/>
    <w:rsid w:val="006D1AC0"/>
    <w:rsid w:val="006D21FF"/>
    <w:rsid w:val="006D22ED"/>
    <w:rsid w:val="006D2616"/>
    <w:rsid w:val="006D288B"/>
    <w:rsid w:val="006D302F"/>
    <w:rsid w:val="006D363A"/>
    <w:rsid w:val="006D37B4"/>
    <w:rsid w:val="006D3BD1"/>
    <w:rsid w:val="006D3E65"/>
    <w:rsid w:val="006D3EA4"/>
    <w:rsid w:val="006D3F57"/>
    <w:rsid w:val="006D42A6"/>
    <w:rsid w:val="006D4363"/>
    <w:rsid w:val="006D46B0"/>
    <w:rsid w:val="006D4E47"/>
    <w:rsid w:val="006D4E80"/>
    <w:rsid w:val="006D500D"/>
    <w:rsid w:val="006D541F"/>
    <w:rsid w:val="006D5C17"/>
    <w:rsid w:val="006D5D75"/>
    <w:rsid w:val="006D6306"/>
    <w:rsid w:val="006D64FA"/>
    <w:rsid w:val="006D6502"/>
    <w:rsid w:val="006D6784"/>
    <w:rsid w:val="006D67B1"/>
    <w:rsid w:val="006D6B21"/>
    <w:rsid w:val="006D6B37"/>
    <w:rsid w:val="006D6C99"/>
    <w:rsid w:val="006D727A"/>
    <w:rsid w:val="006D738F"/>
    <w:rsid w:val="006D744F"/>
    <w:rsid w:val="006D758A"/>
    <w:rsid w:val="006D7A76"/>
    <w:rsid w:val="006D7F7E"/>
    <w:rsid w:val="006E029B"/>
    <w:rsid w:val="006E0318"/>
    <w:rsid w:val="006E0A3B"/>
    <w:rsid w:val="006E0C5F"/>
    <w:rsid w:val="006E1182"/>
    <w:rsid w:val="006E1481"/>
    <w:rsid w:val="006E14D4"/>
    <w:rsid w:val="006E16D0"/>
    <w:rsid w:val="006E16D1"/>
    <w:rsid w:val="006E1CE9"/>
    <w:rsid w:val="006E1D19"/>
    <w:rsid w:val="006E1F69"/>
    <w:rsid w:val="006E23DC"/>
    <w:rsid w:val="006E253E"/>
    <w:rsid w:val="006E2552"/>
    <w:rsid w:val="006E2680"/>
    <w:rsid w:val="006E2A23"/>
    <w:rsid w:val="006E3567"/>
    <w:rsid w:val="006E3773"/>
    <w:rsid w:val="006E37FB"/>
    <w:rsid w:val="006E3B48"/>
    <w:rsid w:val="006E4068"/>
    <w:rsid w:val="006E467D"/>
    <w:rsid w:val="006E4A55"/>
    <w:rsid w:val="006E4AFC"/>
    <w:rsid w:val="006E4C3A"/>
    <w:rsid w:val="006E559D"/>
    <w:rsid w:val="006E5A2F"/>
    <w:rsid w:val="006E5B13"/>
    <w:rsid w:val="006E5E0E"/>
    <w:rsid w:val="006E62D0"/>
    <w:rsid w:val="006E6507"/>
    <w:rsid w:val="006E67E8"/>
    <w:rsid w:val="006E6B73"/>
    <w:rsid w:val="006E6C64"/>
    <w:rsid w:val="006E6ED9"/>
    <w:rsid w:val="006E7056"/>
    <w:rsid w:val="006E77E9"/>
    <w:rsid w:val="006E7B4D"/>
    <w:rsid w:val="006E7CFB"/>
    <w:rsid w:val="006E7F93"/>
    <w:rsid w:val="006F0085"/>
    <w:rsid w:val="006F0231"/>
    <w:rsid w:val="006F0257"/>
    <w:rsid w:val="006F0621"/>
    <w:rsid w:val="006F092F"/>
    <w:rsid w:val="006F0A0F"/>
    <w:rsid w:val="006F0B5D"/>
    <w:rsid w:val="006F0CD0"/>
    <w:rsid w:val="006F10BC"/>
    <w:rsid w:val="006F10F1"/>
    <w:rsid w:val="006F189F"/>
    <w:rsid w:val="006F1B35"/>
    <w:rsid w:val="006F1E7F"/>
    <w:rsid w:val="006F206F"/>
    <w:rsid w:val="006F212F"/>
    <w:rsid w:val="006F22EE"/>
    <w:rsid w:val="006F25F6"/>
    <w:rsid w:val="006F2BFB"/>
    <w:rsid w:val="006F316F"/>
    <w:rsid w:val="006F359A"/>
    <w:rsid w:val="006F35D5"/>
    <w:rsid w:val="006F3675"/>
    <w:rsid w:val="006F3A95"/>
    <w:rsid w:val="006F3C6A"/>
    <w:rsid w:val="006F3F1C"/>
    <w:rsid w:val="006F3F40"/>
    <w:rsid w:val="006F40A0"/>
    <w:rsid w:val="006F4199"/>
    <w:rsid w:val="006F43BD"/>
    <w:rsid w:val="006F4607"/>
    <w:rsid w:val="006F47D2"/>
    <w:rsid w:val="006F48B9"/>
    <w:rsid w:val="006F4F6F"/>
    <w:rsid w:val="006F51C1"/>
    <w:rsid w:val="006F5390"/>
    <w:rsid w:val="006F55C4"/>
    <w:rsid w:val="006F5B6E"/>
    <w:rsid w:val="006F6380"/>
    <w:rsid w:val="006F68A6"/>
    <w:rsid w:val="006F6A47"/>
    <w:rsid w:val="006F6D64"/>
    <w:rsid w:val="006F6F1D"/>
    <w:rsid w:val="006F714A"/>
    <w:rsid w:val="006F7266"/>
    <w:rsid w:val="006F7C85"/>
    <w:rsid w:val="006F7F2A"/>
    <w:rsid w:val="006F7F53"/>
    <w:rsid w:val="00700041"/>
    <w:rsid w:val="007002F7"/>
    <w:rsid w:val="00700A63"/>
    <w:rsid w:val="00700EEB"/>
    <w:rsid w:val="00701D1F"/>
    <w:rsid w:val="00701FF9"/>
    <w:rsid w:val="0070217D"/>
    <w:rsid w:val="007023E4"/>
    <w:rsid w:val="0070245E"/>
    <w:rsid w:val="007024CC"/>
    <w:rsid w:val="00702985"/>
    <w:rsid w:val="007035C3"/>
    <w:rsid w:val="007039EE"/>
    <w:rsid w:val="007040CE"/>
    <w:rsid w:val="007040F9"/>
    <w:rsid w:val="00704432"/>
    <w:rsid w:val="00704A74"/>
    <w:rsid w:val="00704F4E"/>
    <w:rsid w:val="0070518A"/>
    <w:rsid w:val="007055B5"/>
    <w:rsid w:val="007055F1"/>
    <w:rsid w:val="00705840"/>
    <w:rsid w:val="007059DA"/>
    <w:rsid w:val="00705A4F"/>
    <w:rsid w:val="00706025"/>
    <w:rsid w:val="00706912"/>
    <w:rsid w:val="00707096"/>
    <w:rsid w:val="00707134"/>
    <w:rsid w:val="00707165"/>
    <w:rsid w:val="00707297"/>
    <w:rsid w:val="00707333"/>
    <w:rsid w:val="0070737A"/>
    <w:rsid w:val="007077D8"/>
    <w:rsid w:val="00707AD5"/>
    <w:rsid w:val="007100D7"/>
    <w:rsid w:val="007102E1"/>
    <w:rsid w:val="0071035B"/>
    <w:rsid w:val="007107FC"/>
    <w:rsid w:val="00710869"/>
    <w:rsid w:val="00711270"/>
    <w:rsid w:val="00711C08"/>
    <w:rsid w:val="00711D0E"/>
    <w:rsid w:val="00711D98"/>
    <w:rsid w:val="00711DA9"/>
    <w:rsid w:val="00711F4A"/>
    <w:rsid w:val="00712194"/>
    <w:rsid w:val="00712255"/>
    <w:rsid w:val="007124DB"/>
    <w:rsid w:val="007125DE"/>
    <w:rsid w:val="007130BB"/>
    <w:rsid w:val="007132E2"/>
    <w:rsid w:val="0071373E"/>
    <w:rsid w:val="00713BA0"/>
    <w:rsid w:val="00714082"/>
    <w:rsid w:val="007140D8"/>
    <w:rsid w:val="00714943"/>
    <w:rsid w:val="00714C0E"/>
    <w:rsid w:val="00714DF2"/>
    <w:rsid w:val="00714F6D"/>
    <w:rsid w:val="007150D9"/>
    <w:rsid w:val="007153ED"/>
    <w:rsid w:val="0071596F"/>
    <w:rsid w:val="00715EB8"/>
    <w:rsid w:val="00716384"/>
    <w:rsid w:val="00716529"/>
    <w:rsid w:val="007166D0"/>
    <w:rsid w:val="0071693E"/>
    <w:rsid w:val="00716C46"/>
    <w:rsid w:val="00716DA5"/>
    <w:rsid w:val="00716EBF"/>
    <w:rsid w:val="007171C8"/>
    <w:rsid w:val="0071756E"/>
    <w:rsid w:val="00717580"/>
    <w:rsid w:val="0071759C"/>
    <w:rsid w:val="00717A13"/>
    <w:rsid w:val="00717ACD"/>
    <w:rsid w:val="00720278"/>
    <w:rsid w:val="007207F2"/>
    <w:rsid w:val="00720A52"/>
    <w:rsid w:val="00720A58"/>
    <w:rsid w:val="00720AE8"/>
    <w:rsid w:val="00720B66"/>
    <w:rsid w:val="00720BA1"/>
    <w:rsid w:val="00721585"/>
    <w:rsid w:val="00721C4B"/>
    <w:rsid w:val="00722269"/>
    <w:rsid w:val="00722737"/>
    <w:rsid w:val="00722AF9"/>
    <w:rsid w:val="00722EEE"/>
    <w:rsid w:val="007230D5"/>
    <w:rsid w:val="007232F9"/>
    <w:rsid w:val="0072344B"/>
    <w:rsid w:val="0072349B"/>
    <w:rsid w:val="007238B1"/>
    <w:rsid w:val="0072447F"/>
    <w:rsid w:val="00724B83"/>
    <w:rsid w:val="00724CB8"/>
    <w:rsid w:val="00724CF2"/>
    <w:rsid w:val="00724D73"/>
    <w:rsid w:val="00724DDA"/>
    <w:rsid w:val="00724E40"/>
    <w:rsid w:val="007250E6"/>
    <w:rsid w:val="00725509"/>
    <w:rsid w:val="00725D2B"/>
    <w:rsid w:val="00725D74"/>
    <w:rsid w:val="0072605F"/>
    <w:rsid w:val="00726512"/>
    <w:rsid w:val="0072667C"/>
    <w:rsid w:val="00726740"/>
    <w:rsid w:val="007267A7"/>
    <w:rsid w:val="0072693C"/>
    <w:rsid w:val="00726D81"/>
    <w:rsid w:val="0072728D"/>
    <w:rsid w:val="007274B2"/>
    <w:rsid w:val="0072782E"/>
    <w:rsid w:val="00727B10"/>
    <w:rsid w:val="00727EEF"/>
    <w:rsid w:val="007300C5"/>
    <w:rsid w:val="00730509"/>
    <w:rsid w:val="00730A89"/>
    <w:rsid w:val="00730AC5"/>
    <w:rsid w:val="00730C17"/>
    <w:rsid w:val="00730C8F"/>
    <w:rsid w:val="00730D62"/>
    <w:rsid w:val="00730D6B"/>
    <w:rsid w:val="007310C1"/>
    <w:rsid w:val="007314E2"/>
    <w:rsid w:val="007316E2"/>
    <w:rsid w:val="00731D06"/>
    <w:rsid w:val="007322EB"/>
    <w:rsid w:val="00732A03"/>
    <w:rsid w:val="00732EC6"/>
    <w:rsid w:val="0073375B"/>
    <w:rsid w:val="00733CD2"/>
    <w:rsid w:val="00733D1A"/>
    <w:rsid w:val="00733D3A"/>
    <w:rsid w:val="00734019"/>
    <w:rsid w:val="007342C7"/>
    <w:rsid w:val="00734486"/>
    <w:rsid w:val="00734612"/>
    <w:rsid w:val="00734B6B"/>
    <w:rsid w:val="00734DD8"/>
    <w:rsid w:val="00734EA0"/>
    <w:rsid w:val="00734FE3"/>
    <w:rsid w:val="007356BF"/>
    <w:rsid w:val="007359AE"/>
    <w:rsid w:val="00735AB3"/>
    <w:rsid w:val="00735E5A"/>
    <w:rsid w:val="00735EB5"/>
    <w:rsid w:val="0073612A"/>
    <w:rsid w:val="0073681B"/>
    <w:rsid w:val="00736969"/>
    <w:rsid w:val="00736978"/>
    <w:rsid w:val="00736BF7"/>
    <w:rsid w:val="00736FC6"/>
    <w:rsid w:val="00737012"/>
    <w:rsid w:val="00737333"/>
    <w:rsid w:val="00737853"/>
    <w:rsid w:val="00737EC2"/>
    <w:rsid w:val="00740FE4"/>
    <w:rsid w:val="007419DF"/>
    <w:rsid w:val="00741CB6"/>
    <w:rsid w:val="00741E67"/>
    <w:rsid w:val="00741F0C"/>
    <w:rsid w:val="007422B5"/>
    <w:rsid w:val="0074267F"/>
    <w:rsid w:val="007428D6"/>
    <w:rsid w:val="00742908"/>
    <w:rsid w:val="007429F0"/>
    <w:rsid w:val="00742D4B"/>
    <w:rsid w:val="00742E3C"/>
    <w:rsid w:val="00742EA7"/>
    <w:rsid w:val="00743002"/>
    <w:rsid w:val="00743688"/>
    <w:rsid w:val="0074395F"/>
    <w:rsid w:val="00743C03"/>
    <w:rsid w:val="00743CA5"/>
    <w:rsid w:val="007440D5"/>
    <w:rsid w:val="007441EE"/>
    <w:rsid w:val="007442BD"/>
    <w:rsid w:val="00744349"/>
    <w:rsid w:val="007448A9"/>
    <w:rsid w:val="00744D04"/>
    <w:rsid w:val="007450A2"/>
    <w:rsid w:val="0074528C"/>
    <w:rsid w:val="0074542B"/>
    <w:rsid w:val="00745526"/>
    <w:rsid w:val="007459BD"/>
    <w:rsid w:val="00745EFD"/>
    <w:rsid w:val="0074603C"/>
    <w:rsid w:val="007461E2"/>
    <w:rsid w:val="00746338"/>
    <w:rsid w:val="007464FD"/>
    <w:rsid w:val="00746989"/>
    <w:rsid w:val="00746B93"/>
    <w:rsid w:val="00746EAB"/>
    <w:rsid w:val="00747054"/>
    <w:rsid w:val="007475AC"/>
    <w:rsid w:val="007478CA"/>
    <w:rsid w:val="0074792A"/>
    <w:rsid w:val="00750093"/>
    <w:rsid w:val="007500F5"/>
    <w:rsid w:val="0075047F"/>
    <w:rsid w:val="0075059B"/>
    <w:rsid w:val="00750901"/>
    <w:rsid w:val="00750AA3"/>
    <w:rsid w:val="00750CD0"/>
    <w:rsid w:val="00750DA3"/>
    <w:rsid w:val="007511C1"/>
    <w:rsid w:val="00751282"/>
    <w:rsid w:val="00751604"/>
    <w:rsid w:val="0075169F"/>
    <w:rsid w:val="007517BC"/>
    <w:rsid w:val="0075187C"/>
    <w:rsid w:val="00751AB1"/>
    <w:rsid w:val="00751B7C"/>
    <w:rsid w:val="0075206C"/>
    <w:rsid w:val="00752707"/>
    <w:rsid w:val="00752A38"/>
    <w:rsid w:val="00752B0F"/>
    <w:rsid w:val="00753655"/>
    <w:rsid w:val="00753783"/>
    <w:rsid w:val="00753BE8"/>
    <w:rsid w:val="00753D38"/>
    <w:rsid w:val="00754683"/>
    <w:rsid w:val="00754818"/>
    <w:rsid w:val="0075493F"/>
    <w:rsid w:val="0075495E"/>
    <w:rsid w:val="0075497B"/>
    <w:rsid w:val="007549F7"/>
    <w:rsid w:val="00754EDD"/>
    <w:rsid w:val="00755467"/>
    <w:rsid w:val="0075568C"/>
    <w:rsid w:val="00755A3D"/>
    <w:rsid w:val="00755B34"/>
    <w:rsid w:val="00755B86"/>
    <w:rsid w:val="00755CA7"/>
    <w:rsid w:val="00755FA1"/>
    <w:rsid w:val="00756093"/>
    <w:rsid w:val="007560F9"/>
    <w:rsid w:val="007561AE"/>
    <w:rsid w:val="007564C0"/>
    <w:rsid w:val="0075664B"/>
    <w:rsid w:val="00756772"/>
    <w:rsid w:val="007568A6"/>
    <w:rsid w:val="00756996"/>
    <w:rsid w:val="00756B5C"/>
    <w:rsid w:val="00757248"/>
    <w:rsid w:val="007573DE"/>
    <w:rsid w:val="007576EE"/>
    <w:rsid w:val="00757702"/>
    <w:rsid w:val="007578D8"/>
    <w:rsid w:val="007578DB"/>
    <w:rsid w:val="0076000C"/>
    <w:rsid w:val="007601F8"/>
    <w:rsid w:val="00760614"/>
    <w:rsid w:val="00760747"/>
    <w:rsid w:val="007608B9"/>
    <w:rsid w:val="0076101C"/>
    <w:rsid w:val="0076196F"/>
    <w:rsid w:val="00761DAB"/>
    <w:rsid w:val="00761EB1"/>
    <w:rsid w:val="007621C2"/>
    <w:rsid w:val="007621F9"/>
    <w:rsid w:val="00762341"/>
    <w:rsid w:val="007623E5"/>
    <w:rsid w:val="00762C62"/>
    <w:rsid w:val="00762E9A"/>
    <w:rsid w:val="007637D9"/>
    <w:rsid w:val="0076396F"/>
    <w:rsid w:val="00764480"/>
    <w:rsid w:val="007645CE"/>
    <w:rsid w:val="00764978"/>
    <w:rsid w:val="0076499C"/>
    <w:rsid w:val="00764C53"/>
    <w:rsid w:val="00764D34"/>
    <w:rsid w:val="007653F9"/>
    <w:rsid w:val="00765579"/>
    <w:rsid w:val="00765859"/>
    <w:rsid w:val="00765C8D"/>
    <w:rsid w:val="00766028"/>
    <w:rsid w:val="00766305"/>
    <w:rsid w:val="00766384"/>
    <w:rsid w:val="0076648C"/>
    <w:rsid w:val="007664F9"/>
    <w:rsid w:val="00766613"/>
    <w:rsid w:val="0076717E"/>
    <w:rsid w:val="0076723A"/>
    <w:rsid w:val="00767339"/>
    <w:rsid w:val="007676B3"/>
    <w:rsid w:val="007677B2"/>
    <w:rsid w:val="00767832"/>
    <w:rsid w:val="00767A56"/>
    <w:rsid w:val="00767C30"/>
    <w:rsid w:val="00767CF1"/>
    <w:rsid w:val="00770068"/>
    <w:rsid w:val="007704A6"/>
    <w:rsid w:val="007704FD"/>
    <w:rsid w:val="007709C0"/>
    <w:rsid w:val="007709C7"/>
    <w:rsid w:val="00770C25"/>
    <w:rsid w:val="00770D95"/>
    <w:rsid w:val="0077115A"/>
    <w:rsid w:val="007712B9"/>
    <w:rsid w:val="0077130C"/>
    <w:rsid w:val="007715DE"/>
    <w:rsid w:val="00771A42"/>
    <w:rsid w:val="00771FEC"/>
    <w:rsid w:val="0077229E"/>
    <w:rsid w:val="00772691"/>
    <w:rsid w:val="0077274A"/>
    <w:rsid w:val="007728F8"/>
    <w:rsid w:val="007728FA"/>
    <w:rsid w:val="00772D47"/>
    <w:rsid w:val="00773035"/>
    <w:rsid w:val="007730B1"/>
    <w:rsid w:val="007731E2"/>
    <w:rsid w:val="00773332"/>
    <w:rsid w:val="00773531"/>
    <w:rsid w:val="007735AF"/>
    <w:rsid w:val="00773A15"/>
    <w:rsid w:val="00773EDD"/>
    <w:rsid w:val="007741E3"/>
    <w:rsid w:val="00774775"/>
    <w:rsid w:val="0077478C"/>
    <w:rsid w:val="00774A72"/>
    <w:rsid w:val="00774ADD"/>
    <w:rsid w:val="00774DBC"/>
    <w:rsid w:val="00774E9D"/>
    <w:rsid w:val="007755DD"/>
    <w:rsid w:val="00775658"/>
    <w:rsid w:val="00775A87"/>
    <w:rsid w:val="00775D23"/>
    <w:rsid w:val="00775DAF"/>
    <w:rsid w:val="00776192"/>
    <w:rsid w:val="007761F4"/>
    <w:rsid w:val="0077676D"/>
    <w:rsid w:val="00776DA3"/>
    <w:rsid w:val="00776F8B"/>
    <w:rsid w:val="00777A0C"/>
    <w:rsid w:val="00777C0A"/>
    <w:rsid w:val="00777E7F"/>
    <w:rsid w:val="0078005E"/>
    <w:rsid w:val="0078035D"/>
    <w:rsid w:val="007805C6"/>
    <w:rsid w:val="007806FB"/>
    <w:rsid w:val="00780CE9"/>
    <w:rsid w:val="00780DBE"/>
    <w:rsid w:val="00781307"/>
    <w:rsid w:val="007813B1"/>
    <w:rsid w:val="00781820"/>
    <w:rsid w:val="00781C10"/>
    <w:rsid w:val="00781F47"/>
    <w:rsid w:val="00781FAF"/>
    <w:rsid w:val="00781FCD"/>
    <w:rsid w:val="007820FB"/>
    <w:rsid w:val="00782226"/>
    <w:rsid w:val="007824EF"/>
    <w:rsid w:val="00782913"/>
    <w:rsid w:val="00782DB8"/>
    <w:rsid w:val="00782EAD"/>
    <w:rsid w:val="007830AE"/>
    <w:rsid w:val="00783184"/>
    <w:rsid w:val="00783794"/>
    <w:rsid w:val="00783A1A"/>
    <w:rsid w:val="00783F6A"/>
    <w:rsid w:val="0078412E"/>
    <w:rsid w:val="007841E0"/>
    <w:rsid w:val="00784679"/>
    <w:rsid w:val="0078473A"/>
    <w:rsid w:val="00784783"/>
    <w:rsid w:val="007847F1"/>
    <w:rsid w:val="007848FE"/>
    <w:rsid w:val="00784B0A"/>
    <w:rsid w:val="00784E76"/>
    <w:rsid w:val="00784F11"/>
    <w:rsid w:val="0078512B"/>
    <w:rsid w:val="007854CF"/>
    <w:rsid w:val="00785584"/>
    <w:rsid w:val="0078563F"/>
    <w:rsid w:val="007856EA"/>
    <w:rsid w:val="00785779"/>
    <w:rsid w:val="00785BFD"/>
    <w:rsid w:val="00785C9E"/>
    <w:rsid w:val="0078618B"/>
    <w:rsid w:val="00786297"/>
    <w:rsid w:val="0078636C"/>
    <w:rsid w:val="007864C5"/>
    <w:rsid w:val="00786FA6"/>
    <w:rsid w:val="007870F7"/>
    <w:rsid w:val="007873A2"/>
    <w:rsid w:val="00787873"/>
    <w:rsid w:val="007878E1"/>
    <w:rsid w:val="00787A0F"/>
    <w:rsid w:val="00787BDD"/>
    <w:rsid w:val="00790235"/>
    <w:rsid w:val="007906DE"/>
    <w:rsid w:val="00790A32"/>
    <w:rsid w:val="00790C78"/>
    <w:rsid w:val="00790CCE"/>
    <w:rsid w:val="00790E12"/>
    <w:rsid w:val="007910D3"/>
    <w:rsid w:val="007911CA"/>
    <w:rsid w:val="00791420"/>
    <w:rsid w:val="00791713"/>
    <w:rsid w:val="00791818"/>
    <w:rsid w:val="0079200D"/>
    <w:rsid w:val="0079220C"/>
    <w:rsid w:val="0079227A"/>
    <w:rsid w:val="00792390"/>
    <w:rsid w:val="0079245A"/>
    <w:rsid w:val="007926D2"/>
    <w:rsid w:val="0079273D"/>
    <w:rsid w:val="00792996"/>
    <w:rsid w:val="00792F29"/>
    <w:rsid w:val="00793128"/>
    <w:rsid w:val="007931D4"/>
    <w:rsid w:val="007931DF"/>
    <w:rsid w:val="007932C0"/>
    <w:rsid w:val="00793352"/>
    <w:rsid w:val="007934D8"/>
    <w:rsid w:val="00793F84"/>
    <w:rsid w:val="007944AD"/>
    <w:rsid w:val="00794C08"/>
    <w:rsid w:val="00794CC2"/>
    <w:rsid w:val="007954CB"/>
    <w:rsid w:val="00795611"/>
    <w:rsid w:val="007958E4"/>
    <w:rsid w:val="007959D4"/>
    <w:rsid w:val="00795A01"/>
    <w:rsid w:val="00795A17"/>
    <w:rsid w:val="00795B88"/>
    <w:rsid w:val="00795C91"/>
    <w:rsid w:val="00796115"/>
    <w:rsid w:val="007961C4"/>
    <w:rsid w:val="007961F1"/>
    <w:rsid w:val="0079650E"/>
    <w:rsid w:val="00796677"/>
    <w:rsid w:val="007969D1"/>
    <w:rsid w:val="00796E45"/>
    <w:rsid w:val="007970A1"/>
    <w:rsid w:val="007976AC"/>
    <w:rsid w:val="00797BC3"/>
    <w:rsid w:val="00797DAE"/>
    <w:rsid w:val="00797EBE"/>
    <w:rsid w:val="007A0238"/>
    <w:rsid w:val="007A027D"/>
    <w:rsid w:val="007A0A89"/>
    <w:rsid w:val="007A0AE1"/>
    <w:rsid w:val="007A0C61"/>
    <w:rsid w:val="007A0EAE"/>
    <w:rsid w:val="007A101B"/>
    <w:rsid w:val="007A11B8"/>
    <w:rsid w:val="007A1826"/>
    <w:rsid w:val="007A1999"/>
    <w:rsid w:val="007A1B40"/>
    <w:rsid w:val="007A1DDB"/>
    <w:rsid w:val="007A254B"/>
    <w:rsid w:val="007A2623"/>
    <w:rsid w:val="007A262F"/>
    <w:rsid w:val="007A2726"/>
    <w:rsid w:val="007A2CE5"/>
    <w:rsid w:val="007A2E12"/>
    <w:rsid w:val="007A3036"/>
    <w:rsid w:val="007A30F7"/>
    <w:rsid w:val="007A3234"/>
    <w:rsid w:val="007A3293"/>
    <w:rsid w:val="007A33A7"/>
    <w:rsid w:val="007A33DD"/>
    <w:rsid w:val="007A3593"/>
    <w:rsid w:val="007A3C25"/>
    <w:rsid w:val="007A4129"/>
    <w:rsid w:val="007A4438"/>
    <w:rsid w:val="007A47B7"/>
    <w:rsid w:val="007A4ACA"/>
    <w:rsid w:val="007A4FC8"/>
    <w:rsid w:val="007A50BB"/>
    <w:rsid w:val="007A5243"/>
    <w:rsid w:val="007A5797"/>
    <w:rsid w:val="007A57D9"/>
    <w:rsid w:val="007A593C"/>
    <w:rsid w:val="007A5AE0"/>
    <w:rsid w:val="007A62AA"/>
    <w:rsid w:val="007A62CE"/>
    <w:rsid w:val="007A649B"/>
    <w:rsid w:val="007A65B2"/>
    <w:rsid w:val="007A6637"/>
    <w:rsid w:val="007A6D31"/>
    <w:rsid w:val="007A706D"/>
    <w:rsid w:val="007A7288"/>
    <w:rsid w:val="007A7733"/>
    <w:rsid w:val="007A78ED"/>
    <w:rsid w:val="007A798C"/>
    <w:rsid w:val="007A7B17"/>
    <w:rsid w:val="007A7BC9"/>
    <w:rsid w:val="007A7CC7"/>
    <w:rsid w:val="007B05BF"/>
    <w:rsid w:val="007B0E54"/>
    <w:rsid w:val="007B0F3B"/>
    <w:rsid w:val="007B100C"/>
    <w:rsid w:val="007B13D4"/>
    <w:rsid w:val="007B14C2"/>
    <w:rsid w:val="007B18A6"/>
    <w:rsid w:val="007B195C"/>
    <w:rsid w:val="007B1C29"/>
    <w:rsid w:val="007B2053"/>
    <w:rsid w:val="007B2054"/>
    <w:rsid w:val="007B210A"/>
    <w:rsid w:val="007B22BB"/>
    <w:rsid w:val="007B2680"/>
    <w:rsid w:val="007B2ABF"/>
    <w:rsid w:val="007B31A8"/>
    <w:rsid w:val="007B33AD"/>
    <w:rsid w:val="007B38C6"/>
    <w:rsid w:val="007B42A3"/>
    <w:rsid w:val="007B436F"/>
    <w:rsid w:val="007B45F7"/>
    <w:rsid w:val="007B497A"/>
    <w:rsid w:val="007B4AF9"/>
    <w:rsid w:val="007B4EA8"/>
    <w:rsid w:val="007B4FBA"/>
    <w:rsid w:val="007B509D"/>
    <w:rsid w:val="007B50EF"/>
    <w:rsid w:val="007B52AF"/>
    <w:rsid w:val="007B57F2"/>
    <w:rsid w:val="007B5924"/>
    <w:rsid w:val="007B5A53"/>
    <w:rsid w:val="007B5AF5"/>
    <w:rsid w:val="007B62B6"/>
    <w:rsid w:val="007B666F"/>
    <w:rsid w:val="007B701D"/>
    <w:rsid w:val="007B706F"/>
    <w:rsid w:val="007B70BF"/>
    <w:rsid w:val="007B72D8"/>
    <w:rsid w:val="007B739D"/>
    <w:rsid w:val="007B7A53"/>
    <w:rsid w:val="007B7B4A"/>
    <w:rsid w:val="007B7C96"/>
    <w:rsid w:val="007B7DE3"/>
    <w:rsid w:val="007C0116"/>
    <w:rsid w:val="007C012F"/>
    <w:rsid w:val="007C0410"/>
    <w:rsid w:val="007C087D"/>
    <w:rsid w:val="007C0BB4"/>
    <w:rsid w:val="007C0C25"/>
    <w:rsid w:val="007C0D19"/>
    <w:rsid w:val="007C0D82"/>
    <w:rsid w:val="007C11AF"/>
    <w:rsid w:val="007C1552"/>
    <w:rsid w:val="007C1648"/>
    <w:rsid w:val="007C18BA"/>
    <w:rsid w:val="007C1926"/>
    <w:rsid w:val="007C1BF2"/>
    <w:rsid w:val="007C28FA"/>
    <w:rsid w:val="007C2A04"/>
    <w:rsid w:val="007C2D11"/>
    <w:rsid w:val="007C3296"/>
    <w:rsid w:val="007C33A5"/>
    <w:rsid w:val="007C3DE6"/>
    <w:rsid w:val="007C3EE2"/>
    <w:rsid w:val="007C41B4"/>
    <w:rsid w:val="007C41BB"/>
    <w:rsid w:val="007C41D1"/>
    <w:rsid w:val="007C42E1"/>
    <w:rsid w:val="007C4608"/>
    <w:rsid w:val="007C4673"/>
    <w:rsid w:val="007C4765"/>
    <w:rsid w:val="007C476A"/>
    <w:rsid w:val="007C4BE0"/>
    <w:rsid w:val="007C4F73"/>
    <w:rsid w:val="007C501E"/>
    <w:rsid w:val="007C5077"/>
    <w:rsid w:val="007C562A"/>
    <w:rsid w:val="007C5A2B"/>
    <w:rsid w:val="007C5E21"/>
    <w:rsid w:val="007C60CC"/>
    <w:rsid w:val="007C684D"/>
    <w:rsid w:val="007C69B2"/>
    <w:rsid w:val="007C69B3"/>
    <w:rsid w:val="007C6B3D"/>
    <w:rsid w:val="007C6BD1"/>
    <w:rsid w:val="007C6DD4"/>
    <w:rsid w:val="007C76E2"/>
    <w:rsid w:val="007C7896"/>
    <w:rsid w:val="007C7ABA"/>
    <w:rsid w:val="007C7E9B"/>
    <w:rsid w:val="007D0091"/>
    <w:rsid w:val="007D0140"/>
    <w:rsid w:val="007D0380"/>
    <w:rsid w:val="007D076F"/>
    <w:rsid w:val="007D0A54"/>
    <w:rsid w:val="007D0A5C"/>
    <w:rsid w:val="007D0C3C"/>
    <w:rsid w:val="007D0D63"/>
    <w:rsid w:val="007D0E46"/>
    <w:rsid w:val="007D12B4"/>
    <w:rsid w:val="007D1550"/>
    <w:rsid w:val="007D16C0"/>
    <w:rsid w:val="007D19E9"/>
    <w:rsid w:val="007D1C36"/>
    <w:rsid w:val="007D1EB1"/>
    <w:rsid w:val="007D2879"/>
    <w:rsid w:val="007D2A8E"/>
    <w:rsid w:val="007D2BA3"/>
    <w:rsid w:val="007D2D64"/>
    <w:rsid w:val="007D2E7D"/>
    <w:rsid w:val="007D32BE"/>
    <w:rsid w:val="007D335E"/>
    <w:rsid w:val="007D3396"/>
    <w:rsid w:val="007D3598"/>
    <w:rsid w:val="007D3681"/>
    <w:rsid w:val="007D3897"/>
    <w:rsid w:val="007D39CA"/>
    <w:rsid w:val="007D3BE3"/>
    <w:rsid w:val="007D445D"/>
    <w:rsid w:val="007D4591"/>
    <w:rsid w:val="007D4E35"/>
    <w:rsid w:val="007D5370"/>
    <w:rsid w:val="007D5518"/>
    <w:rsid w:val="007D62D3"/>
    <w:rsid w:val="007D64B5"/>
    <w:rsid w:val="007D6F75"/>
    <w:rsid w:val="007D70A7"/>
    <w:rsid w:val="007D70CF"/>
    <w:rsid w:val="007D7160"/>
    <w:rsid w:val="007D733F"/>
    <w:rsid w:val="007D77EF"/>
    <w:rsid w:val="007D79D8"/>
    <w:rsid w:val="007D7DBA"/>
    <w:rsid w:val="007E0129"/>
    <w:rsid w:val="007E0304"/>
    <w:rsid w:val="007E0481"/>
    <w:rsid w:val="007E05AC"/>
    <w:rsid w:val="007E0B78"/>
    <w:rsid w:val="007E0BD7"/>
    <w:rsid w:val="007E0E00"/>
    <w:rsid w:val="007E0F5E"/>
    <w:rsid w:val="007E1337"/>
    <w:rsid w:val="007E13B1"/>
    <w:rsid w:val="007E15AF"/>
    <w:rsid w:val="007E174E"/>
    <w:rsid w:val="007E1BED"/>
    <w:rsid w:val="007E1FBB"/>
    <w:rsid w:val="007E21B0"/>
    <w:rsid w:val="007E2909"/>
    <w:rsid w:val="007E29E0"/>
    <w:rsid w:val="007E2AF8"/>
    <w:rsid w:val="007E2C31"/>
    <w:rsid w:val="007E327D"/>
    <w:rsid w:val="007E3653"/>
    <w:rsid w:val="007E3698"/>
    <w:rsid w:val="007E397C"/>
    <w:rsid w:val="007E3DEF"/>
    <w:rsid w:val="007E3E78"/>
    <w:rsid w:val="007E3F81"/>
    <w:rsid w:val="007E3F88"/>
    <w:rsid w:val="007E4434"/>
    <w:rsid w:val="007E462B"/>
    <w:rsid w:val="007E47CA"/>
    <w:rsid w:val="007E53AD"/>
    <w:rsid w:val="007E543F"/>
    <w:rsid w:val="007E5633"/>
    <w:rsid w:val="007E5654"/>
    <w:rsid w:val="007E5B1D"/>
    <w:rsid w:val="007E5D6E"/>
    <w:rsid w:val="007E6095"/>
    <w:rsid w:val="007E6434"/>
    <w:rsid w:val="007E6580"/>
    <w:rsid w:val="007E6739"/>
    <w:rsid w:val="007E69AC"/>
    <w:rsid w:val="007E6C94"/>
    <w:rsid w:val="007E6CDF"/>
    <w:rsid w:val="007E7146"/>
    <w:rsid w:val="007E722B"/>
    <w:rsid w:val="007E735F"/>
    <w:rsid w:val="007E74ED"/>
    <w:rsid w:val="007E774B"/>
    <w:rsid w:val="007E7881"/>
    <w:rsid w:val="007E7F05"/>
    <w:rsid w:val="007F00F1"/>
    <w:rsid w:val="007F0249"/>
    <w:rsid w:val="007F03BF"/>
    <w:rsid w:val="007F08DD"/>
    <w:rsid w:val="007F0C42"/>
    <w:rsid w:val="007F0ED5"/>
    <w:rsid w:val="007F1093"/>
    <w:rsid w:val="007F146E"/>
    <w:rsid w:val="007F14E1"/>
    <w:rsid w:val="007F15D8"/>
    <w:rsid w:val="007F1690"/>
    <w:rsid w:val="007F16DF"/>
    <w:rsid w:val="007F17A5"/>
    <w:rsid w:val="007F184E"/>
    <w:rsid w:val="007F1CA5"/>
    <w:rsid w:val="007F1D09"/>
    <w:rsid w:val="007F1F8B"/>
    <w:rsid w:val="007F20A2"/>
    <w:rsid w:val="007F2364"/>
    <w:rsid w:val="007F238F"/>
    <w:rsid w:val="007F2545"/>
    <w:rsid w:val="007F283B"/>
    <w:rsid w:val="007F2851"/>
    <w:rsid w:val="007F339A"/>
    <w:rsid w:val="007F350E"/>
    <w:rsid w:val="007F360F"/>
    <w:rsid w:val="007F39F8"/>
    <w:rsid w:val="007F439B"/>
    <w:rsid w:val="007F444D"/>
    <w:rsid w:val="007F44F1"/>
    <w:rsid w:val="007F4869"/>
    <w:rsid w:val="007F5787"/>
    <w:rsid w:val="007F5816"/>
    <w:rsid w:val="007F5876"/>
    <w:rsid w:val="007F5C80"/>
    <w:rsid w:val="007F5D98"/>
    <w:rsid w:val="007F62E3"/>
    <w:rsid w:val="007F64A9"/>
    <w:rsid w:val="007F66B9"/>
    <w:rsid w:val="007F6764"/>
    <w:rsid w:val="007F688A"/>
    <w:rsid w:val="007F69D2"/>
    <w:rsid w:val="007F6BA2"/>
    <w:rsid w:val="007F714B"/>
    <w:rsid w:val="007F7278"/>
    <w:rsid w:val="007F769D"/>
    <w:rsid w:val="007F7868"/>
    <w:rsid w:val="007F7A1D"/>
    <w:rsid w:val="007F7EE8"/>
    <w:rsid w:val="00800416"/>
    <w:rsid w:val="0080062B"/>
    <w:rsid w:val="008009D1"/>
    <w:rsid w:val="00800B13"/>
    <w:rsid w:val="008010FE"/>
    <w:rsid w:val="00801441"/>
    <w:rsid w:val="00801E12"/>
    <w:rsid w:val="008022F9"/>
    <w:rsid w:val="00802591"/>
    <w:rsid w:val="00802789"/>
    <w:rsid w:val="0080291C"/>
    <w:rsid w:val="00802A2C"/>
    <w:rsid w:val="00803032"/>
    <w:rsid w:val="00803068"/>
    <w:rsid w:val="00803444"/>
    <w:rsid w:val="008034B6"/>
    <w:rsid w:val="0080351D"/>
    <w:rsid w:val="008037A5"/>
    <w:rsid w:val="008039BA"/>
    <w:rsid w:val="00803ACB"/>
    <w:rsid w:val="00803B61"/>
    <w:rsid w:val="00803DEA"/>
    <w:rsid w:val="00804112"/>
    <w:rsid w:val="0080412E"/>
    <w:rsid w:val="008043B8"/>
    <w:rsid w:val="00804A06"/>
    <w:rsid w:val="00804C6D"/>
    <w:rsid w:val="00805156"/>
    <w:rsid w:val="008056FE"/>
    <w:rsid w:val="00805D92"/>
    <w:rsid w:val="00805E69"/>
    <w:rsid w:val="00806833"/>
    <w:rsid w:val="00806944"/>
    <w:rsid w:val="00806B12"/>
    <w:rsid w:val="00806CA8"/>
    <w:rsid w:val="00807012"/>
    <w:rsid w:val="0080718B"/>
    <w:rsid w:val="0080731F"/>
    <w:rsid w:val="00807DEA"/>
    <w:rsid w:val="008101DF"/>
    <w:rsid w:val="008101F7"/>
    <w:rsid w:val="0081106E"/>
    <w:rsid w:val="008113CE"/>
    <w:rsid w:val="00811551"/>
    <w:rsid w:val="0081157F"/>
    <w:rsid w:val="008117BF"/>
    <w:rsid w:val="00811976"/>
    <w:rsid w:val="00811ACB"/>
    <w:rsid w:val="00811D3A"/>
    <w:rsid w:val="0081229A"/>
    <w:rsid w:val="0081234C"/>
    <w:rsid w:val="008124D1"/>
    <w:rsid w:val="008125BC"/>
    <w:rsid w:val="0081273B"/>
    <w:rsid w:val="0081284D"/>
    <w:rsid w:val="00812922"/>
    <w:rsid w:val="00812AB0"/>
    <w:rsid w:val="00812F4B"/>
    <w:rsid w:val="00812FB8"/>
    <w:rsid w:val="008130F3"/>
    <w:rsid w:val="00813353"/>
    <w:rsid w:val="008134AA"/>
    <w:rsid w:val="008138A1"/>
    <w:rsid w:val="008144FC"/>
    <w:rsid w:val="0081471D"/>
    <w:rsid w:val="00814957"/>
    <w:rsid w:val="00814F19"/>
    <w:rsid w:val="00815FFE"/>
    <w:rsid w:val="00816145"/>
    <w:rsid w:val="0081618D"/>
    <w:rsid w:val="00816444"/>
    <w:rsid w:val="00816558"/>
    <w:rsid w:val="00816574"/>
    <w:rsid w:val="00816890"/>
    <w:rsid w:val="008168DC"/>
    <w:rsid w:val="00816EC8"/>
    <w:rsid w:val="00817023"/>
    <w:rsid w:val="008173E2"/>
    <w:rsid w:val="008174D5"/>
    <w:rsid w:val="008175D3"/>
    <w:rsid w:val="008178F1"/>
    <w:rsid w:val="00817BE1"/>
    <w:rsid w:val="0082017E"/>
    <w:rsid w:val="00820200"/>
    <w:rsid w:val="00820248"/>
    <w:rsid w:val="0082072C"/>
    <w:rsid w:val="0082080E"/>
    <w:rsid w:val="00820BB9"/>
    <w:rsid w:val="00821175"/>
    <w:rsid w:val="00821297"/>
    <w:rsid w:val="0082130F"/>
    <w:rsid w:val="00821443"/>
    <w:rsid w:val="0082167D"/>
    <w:rsid w:val="00821908"/>
    <w:rsid w:val="00821BDA"/>
    <w:rsid w:val="00821F3E"/>
    <w:rsid w:val="0082229F"/>
    <w:rsid w:val="00822936"/>
    <w:rsid w:val="00822AB3"/>
    <w:rsid w:val="00822B16"/>
    <w:rsid w:val="00822DA8"/>
    <w:rsid w:val="0082304C"/>
    <w:rsid w:val="00823AFF"/>
    <w:rsid w:val="00823CE6"/>
    <w:rsid w:val="00823D7C"/>
    <w:rsid w:val="00823F09"/>
    <w:rsid w:val="00824360"/>
    <w:rsid w:val="008243E2"/>
    <w:rsid w:val="00824A65"/>
    <w:rsid w:val="00824B99"/>
    <w:rsid w:val="00824DFC"/>
    <w:rsid w:val="00824F2E"/>
    <w:rsid w:val="00824F96"/>
    <w:rsid w:val="008255A2"/>
    <w:rsid w:val="0082579E"/>
    <w:rsid w:val="00825928"/>
    <w:rsid w:val="00825F4F"/>
    <w:rsid w:val="00825FD7"/>
    <w:rsid w:val="008266DB"/>
    <w:rsid w:val="00826980"/>
    <w:rsid w:val="00826CA3"/>
    <w:rsid w:val="008270AC"/>
    <w:rsid w:val="008270C4"/>
    <w:rsid w:val="008271C0"/>
    <w:rsid w:val="0082760B"/>
    <w:rsid w:val="00827642"/>
    <w:rsid w:val="0082768B"/>
    <w:rsid w:val="00827E6A"/>
    <w:rsid w:val="0083044B"/>
    <w:rsid w:val="008305E9"/>
    <w:rsid w:val="008306FC"/>
    <w:rsid w:val="00830782"/>
    <w:rsid w:val="00830896"/>
    <w:rsid w:val="008308F5"/>
    <w:rsid w:val="00830A71"/>
    <w:rsid w:val="00830CF3"/>
    <w:rsid w:val="00830E49"/>
    <w:rsid w:val="00830EC1"/>
    <w:rsid w:val="00831200"/>
    <w:rsid w:val="00832233"/>
    <w:rsid w:val="0083230B"/>
    <w:rsid w:val="00832337"/>
    <w:rsid w:val="00832464"/>
    <w:rsid w:val="00832532"/>
    <w:rsid w:val="0083277B"/>
    <w:rsid w:val="00832A8A"/>
    <w:rsid w:val="008332CB"/>
    <w:rsid w:val="00833382"/>
    <w:rsid w:val="00833539"/>
    <w:rsid w:val="00833E74"/>
    <w:rsid w:val="0083413A"/>
    <w:rsid w:val="00834448"/>
    <w:rsid w:val="00834652"/>
    <w:rsid w:val="008346A6"/>
    <w:rsid w:val="00834825"/>
    <w:rsid w:val="00834ACA"/>
    <w:rsid w:val="00834B9C"/>
    <w:rsid w:val="00834EA4"/>
    <w:rsid w:val="0083525C"/>
    <w:rsid w:val="00835AE4"/>
    <w:rsid w:val="00835C38"/>
    <w:rsid w:val="00835D3C"/>
    <w:rsid w:val="00835D7A"/>
    <w:rsid w:val="00836822"/>
    <w:rsid w:val="00836C3D"/>
    <w:rsid w:val="00836F94"/>
    <w:rsid w:val="00837236"/>
    <w:rsid w:val="00837333"/>
    <w:rsid w:val="00837926"/>
    <w:rsid w:val="00837AA9"/>
    <w:rsid w:val="00837C03"/>
    <w:rsid w:val="00837C2D"/>
    <w:rsid w:val="00837C3A"/>
    <w:rsid w:val="0084039D"/>
    <w:rsid w:val="008407B7"/>
    <w:rsid w:val="008408AF"/>
    <w:rsid w:val="00840A68"/>
    <w:rsid w:val="00841003"/>
    <w:rsid w:val="00841201"/>
    <w:rsid w:val="00841309"/>
    <w:rsid w:val="00841635"/>
    <w:rsid w:val="00841C23"/>
    <w:rsid w:val="0084236E"/>
    <w:rsid w:val="008423D1"/>
    <w:rsid w:val="008427F7"/>
    <w:rsid w:val="0084306C"/>
    <w:rsid w:val="00843165"/>
    <w:rsid w:val="00843BE7"/>
    <w:rsid w:val="00843CE1"/>
    <w:rsid w:val="008441D8"/>
    <w:rsid w:val="0084467A"/>
    <w:rsid w:val="00844729"/>
    <w:rsid w:val="008449DE"/>
    <w:rsid w:val="00844D64"/>
    <w:rsid w:val="00844D95"/>
    <w:rsid w:val="00844E70"/>
    <w:rsid w:val="00844F2A"/>
    <w:rsid w:val="00844FEC"/>
    <w:rsid w:val="00845046"/>
    <w:rsid w:val="008452D5"/>
    <w:rsid w:val="0084566C"/>
    <w:rsid w:val="008456E9"/>
    <w:rsid w:val="008458D5"/>
    <w:rsid w:val="00845F4F"/>
    <w:rsid w:val="0084605B"/>
    <w:rsid w:val="008461A5"/>
    <w:rsid w:val="0084636F"/>
    <w:rsid w:val="00846424"/>
    <w:rsid w:val="008464B1"/>
    <w:rsid w:val="00846589"/>
    <w:rsid w:val="00846907"/>
    <w:rsid w:val="008469CD"/>
    <w:rsid w:val="00846A40"/>
    <w:rsid w:val="00846DAA"/>
    <w:rsid w:val="0084705F"/>
    <w:rsid w:val="00847307"/>
    <w:rsid w:val="008473A3"/>
    <w:rsid w:val="008477A2"/>
    <w:rsid w:val="00847BC5"/>
    <w:rsid w:val="00847CC8"/>
    <w:rsid w:val="00850209"/>
    <w:rsid w:val="008502AA"/>
    <w:rsid w:val="00850974"/>
    <w:rsid w:val="00850E68"/>
    <w:rsid w:val="008510DA"/>
    <w:rsid w:val="0085149A"/>
    <w:rsid w:val="00851768"/>
    <w:rsid w:val="00851948"/>
    <w:rsid w:val="0085199D"/>
    <w:rsid w:val="00851A50"/>
    <w:rsid w:val="00851ED2"/>
    <w:rsid w:val="00852035"/>
    <w:rsid w:val="0085203D"/>
    <w:rsid w:val="008527A9"/>
    <w:rsid w:val="008527D9"/>
    <w:rsid w:val="00852A1B"/>
    <w:rsid w:val="00852A66"/>
    <w:rsid w:val="00852B51"/>
    <w:rsid w:val="00852E41"/>
    <w:rsid w:val="00852E45"/>
    <w:rsid w:val="0085334E"/>
    <w:rsid w:val="008534E5"/>
    <w:rsid w:val="00853598"/>
    <w:rsid w:val="008535BB"/>
    <w:rsid w:val="008537AD"/>
    <w:rsid w:val="00853992"/>
    <w:rsid w:val="00853E3D"/>
    <w:rsid w:val="00854029"/>
    <w:rsid w:val="008540E6"/>
    <w:rsid w:val="008544CB"/>
    <w:rsid w:val="00854A28"/>
    <w:rsid w:val="00854EF9"/>
    <w:rsid w:val="008551D5"/>
    <w:rsid w:val="008551EC"/>
    <w:rsid w:val="008552EA"/>
    <w:rsid w:val="00855781"/>
    <w:rsid w:val="00855A69"/>
    <w:rsid w:val="00855C76"/>
    <w:rsid w:val="0085647C"/>
    <w:rsid w:val="0085656F"/>
    <w:rsid w:val="008565D8"/>
    <w:rsid w:val="008567FA"/>
    <w:rsid w:val="00856D84"/>
    <w:rsid w:val="00857119"/>
    <w:rsid w:val="00857139"/>
    <w:rsid w:val="00857740"/>
    <w:rsid w:val="0085797F"/>
    <w:rsid w:val="00857F2F"/>
    <w:rsid w:val="00860567"/>
    <w:rsid w:val="00860D22"/>
    <w:rsid w:val="00861BBC"/>
    <w:rsid w:val="00861C80"/>
    <w:rsid w:val="00861D7E"/>
    <w:rsid w:val="00862575"/>
    <w:rsid w:val="008625D9"/>
    <w:rsid w:val="008625F8"/>
    <w:rsid w:val="008627FF"/>
    <w:rsid w:val="0086282D"/>
    <w:rsid w:val="0086294F"/>
    <w:rsid w:val="00862BEF"/>
    <w:rsid w:val="00862C68"/>
    <w:rsid w:val="0086318A"/>
    <w:rsid w:val="00863357"/>
    <w:rsid w:val="00863364"/>
    <w:rsid w:val="00863664"/>
    <w:rsid w:val="00863CE8"/>
    <w:rsid w:val="00864268"/>
    <w:rsid w:val="008645A6"/>
    <w:rsid w:val="008646E2"/>
    <w:rsid w:val="0086473A"/>
    <w:rsid w:val="00864896"/>
    <w:rsid w:val="0086493E"/>
    <w:rsid w:val="008649B4"/>
    <w:rsid w:val="00864B33"/>
    <w:rsid w:val="00864BEC"/>
    <w:rsid w:val="00865024"/>
    <w:rsid w:val="0086512F"/>
    <w:rsid w:val="0086535A"/>
    <w:rsid w:val="00865430"/>
    <w:rsid w:val="00865440"/>
    <w:rsid w:val="0086577E"/>
    <w:rsid w:val="00865863"/>
    <w:rsid w:val="00865FBE"/>
    <w:rsid w:val="00866337"/>
    <w:rsid w:val="008665C1"/>
    <w:rsid w:val="008666CB"/>
    <w:rsid w:val="008667E3"/>
    <w:rsid w:val="00866C37"/>
    <w:rsid w:val="00866D2F"/>
    <w:rsid w:val="00867078"/>
    <w:rsid w:val="00867138"/>
    <w:rsid w:val="008672D4"/>
    <w:rsid w:val="00867461"/>
    <w:rsid w:val="00867BD3"/>
    <w:rsid w:val="00867BE7"/>
    <w:rsid w:val="00867E23"/>
    <w:rsid w:val="0087007C"/>
    <w:rsid w:val="0087024D"/>
    <w:rsid w:val="008706F5"/>
    <w:rsid w:val="008713A2"/>
    <w:rsid w:val="0087145D"/>
    <w:rsid w:val="008716E1"/>
    <w:rsid w:val="00871D07"/>
    <w:rsid w:val="00872344"/>
    <w:rsid w:val="00872974"/>
    <w:rsid w:val="008729B2"/>
    <w:rsid w:val="00872AAF"/>
    <w:rsid w:val="00872F22"/>
    <w:rsid w:val="00873455"/>
    <w:rsid w:val="00873540"/>
    <w:rsid w:val="0087361A"/>
    <w:rsid w:val="00873815"/>
    <w:rsid w:val="00873B1B"/>
    <w:rsid w:val="00873C2F"/>
    <w:rsid w:val="00873FA1"/>
    <w:rsid w:val="00874153"/>
    <w:rsid w:val="008742D2"/>
    <w:rsid w:val="00874476"/>
    <w:rsid w:val="0087487B"/>
    <w:rsid w:val="00874897"/>
    <w:rsid w:val="008748FD"/>
    <w:rsid w:val="008749ED"/>
    <w:rsid w:val="00874F08"/>
    <w:rsid w:val="00875030"/>
    <w:rsid w:val="00875343"/>
    <w:rsid w:val="00875917"/>
    <w:rsid w:val="00875984"/>
    <w:rsid w:val="00875D41"/>
    <w:rsid w:val="0087633D"/>
    <w:rsid w:val="00876405"/>
    <w:rsid w:val="00876659"/>
    <w:rsid w:val="00876EA6"/>
    <w:rsid w:val="00876EB9"/>
    <w:rsid w:val="00876F18"/>
    <w:rsid w:val="00876F46"/>
    <w:rsid w:val="0087705F"/>
    <w:rsid w:val="00877262"/>
    <w:rsid w:val="00877747"/>
    <w:rsid w:val="008778D1"/>
    <w:rsid w:val="00877985"/>
    <w:rsid w:val="0087799A"/>
    <w:rsid w:val="00877C8B"/>
    <w:rsid w:val="00877D24"/>
    <w:rsid w:val="0088002F"/>
    <w:rsid w:val="0088006A"/>
    <w:rsid w:val="00880077"/>
    <w:rsid w:val="008804D0"/>
    <w:rsid w:val="008807CB"/>
    <w:rsid w:val="008807DE"/>
    <w:rsid w:val="00880B26"/>
    <w:rsid w:val="00880C7D"/>
    <w:rsid w:val="00880FD2"/>
    <w:rsid w:val="0088174D"/>
    <w:rsid w:val="00881DAA"/>
    <w:rsid w:val="00881ECE"/>
    <w:rsid w:val="008820F2"/>
    <w:rsid w:val="0088227E"/>
    <w:rsid w:val="008823B1"/>
    <w:rsid w:val="00882790"/>
    <w:rsid w:val="00882B6C"/>
    <w:rsid w:val="00882CED"/>
    <w:rsid w:val="00882E1A"/>
    <w:rsid w:val="008830C8"/>
    <w:rsid w:val="00883244"/>
    <w:rsid w:val="00883505"/>
    <w:rsid w:val="00883752"/>
    <w:rsid w:val="00883876"/>
    <w:rsid w:val="00883A7A"/>
    <w:rsid w:val="00883C1C"/>
    <w:rsid w:val="00883C6B"/>
    <w:rsid w:val="00883F76"/>
    <w:rsid w:val="00884058"/>
    <w:rsid w:val="00884A85"/>
    <w:rsid w:val="00884B84"/>
    <w:rsid w:val="00884E49"/>
    <w:rsid w:val="0088579C"/>
    <w:rsid w:val="00885838"/>
    <w:rsid w:val="00885A21"/>
    <w:rsid w:val="00885C3E"/>
    <w:rsid w:val="008862C0"/>
    <w:rsid w:val="008868BA"/>
    <w:rsid w:val="0088691E"/>
    <w:rsid w:val="00886A75"/>
    <w:rsid w:val="00886DBC"/>
    <w:rsid w:val="00887112"/>
    <w:rsid w:val="008875B4"/>
    <w:rsid w:val="00887612"/>
    <w:rsid w:val="008877B1"/>
    <w:rsid w:val="00887BF7"/>
    <w:rsid w:val="00887C75"/>
    <w:rsid w:val="00887D44"/>
    <w:rsid w:val="00887ECC"/>
    <w:rsid w:val="00890193"/>
    <w:rsid w:val="008905D0"/>
    <w:rsid w:val="008909D6"/>
    <w:rsid w:val="00890A5F"/>
    <w:rsid w:val="00890AE5"/>
    <w:rsid w:val="00890B12"/>
    <w:rsid w:val="00890D84"/>
    <w:rsid w:val="00890F42"/>
    <w:rsid w:val="00891367"/>
    <w:rsid w:val="00891378"/>
    <w:rsid w:val="008915F2"/>
    <w:rsid w:val="008916EB"/>
    <w:rsid w:val="00891877"/>
    <w:rsid w:val="00891E89"/>
    <w:rsid w:val="0089217C"/>
    <w:rsid w:val="0089250E"/>
    <w:rsid w:val="008925E1"/>
    <w:rsid w:val="008926B0"/>
    <w:rsid w:val="00892F5D"/>
    <w:rsid w:val="008938D3"/>
    <w:rsid w:val="00893BEC"/>
    <w:rsid w:val="00893F28"/>
    <w:rsid w:val="0089408E"/>
    <w:rsid w:val="008942B4"/>
    <w:rsid w:val="008943BB"/>
    <w:rsid w:val="00894ACB"/>
    <w:rsid w:val="00894B0C"/>
    <w:rsid w:val="00894B71"/>
    <w:rsid w:val="00894D2A"/>
    <w:rsid w:val="00894E7C"/>
    <w:rsid w:val="00895911"/>
    <w:rsid w:val="00895C38"/>
    <w:rsid w:val="008960C9"/>
    <w:rsid w:val="00896B98"/>
    <w:rsid w:val="008973B6"/>
    <w:rsid w:val="00897791"/>
    <w:rsid w:val="00897A88"/>
    <w:rsid w:val="00897C2F"/>
    <w:rsid w:val="008A0EF5"/>
    <w:rsid w:val="008A123E"/>
    <w:rsid w:val="008A1364"/>
    <w:rsid w:val="008A1396"/>
    <w:rsid w:val="008A1D84"/>
    <w:rsid w:val="008A1EA7"/>
    <w:rsid w:val="008A1FA5"/>
    <w:rsid w:val="008A2073"/>
    <w:rsid w:val="008A23F4"/>
    <w:rsid w:val="008A25AC"/>
    <w:rsid w:val="008A28E4"/>
    <w:rsid w:val="008A2AEA"/>
    <w:rsid w:val="008A2CEE"/>
    <w:rsid w:val="008A2F3A"/>
    <w:rsid w:val="008A3152"/>
    <w:rsid w:val="008A36B6"/>
    <w:rsid w:val="008A389B"/>
    <w:rsid w:val="008A3DBD"/>
    <w:rsid w:val="008A3EB6"/>
    <w:rsid w:val="008A4055"/>
    <w:rsid w:val="008A40B7"/>
    <w:rsid w:val="008A40C5"/>
    <w:rsid w:val="008A440E"/>
    <w:rsid w:val="008A4477"/>
    <w:rsid w:val="008A44B7"/>
    <w:rsid w:val="008A451F"/>
    <w:rsid w:val="008A4570"/>
    <w:rsid w:val="008A45D4"/>
    <w:rsid w:val="008A5446"/>
    <w:rsid w:val="008A55AC"/>
    <w:rsid w:val="008A57AD"/>
    <w:rsid w:val="008A58C2"/>
    <w:rsid w:val="008A5B51"/>
    <w:rsid w:val="008A5BB8"/>
    <w:rsid w:val="008A6361"/>
    <w:rsid w:val="008A65E7"/>
    <w:rsid w:val="008A6ACF"/>
    <w:rsid w:val="008A6B11"/>
    <w:rsid w:val="008A6B29"/>
    <w:rsid w:val="008A6FFC"/>
    <w:rsid w:val="008A72F5"/>
    <w:rsid w:val="008A7485"/>
    <w:rsid w:val="008A74D9"/>
    <w:rsid w:val="008A781F"/>
    <w:rsid w:val="008A7E4D"/>
    <w:rsid w:val="008B0066"/>
    <w:rsid w:val="008B0088"/>
    <w:rsid w:val="008B021C"/>
    <w:rsid w:val="008B0645"/>
    <w:rsid w:val="008B06BA"/>
    <w:rsid w:val="008B0726"/>
    <w:rsid w:val="008B079A"/>
    <w:rsid w:val="008B0D1A"/>
    <w:rsid w:val="008B14FD"/>
    <w:rsid w:val="008B1DFC"/>
    <w:rsid w:val="008B2054"/>
    <w:rsid w:val="008B20B4"/>
    <w:rsid w:val="008B217A"/>
    <w:rsid w:val="008B21F0"/>
    <w:rsid w:val="008B2568"/>
    <w:rsid w:val="008B26F8"/>
    <w:rsid w:val="008B2883"/>
    <w:rsid w:val="008B2A3A"/>
    <w:rsid w:val="008B2B47"/>
    <w:rsid w:val="008B2D4B"/>
    <w:rsid w:val="008B2E08"/>
    <w:rsid w:val="008B3296"/>
    <w:rsid w:val="008B3297"/>
    <w:rsid w:val="008B35C7"/>
    <w:rsid w:val="008B384D"/>
    <w:rsid w:val="008B3999"/>
    <w:rsid w:val="008B3D09"/>
    <w:rsid w:val="008B3D6D"/>
    <w:rsid w:val="008B3D92"/>
    <w:rsid w:val="008B3EC6"/>
    <w:rsid w:val="008B3F59"/>
    <w:rsid w:val="008B4021"/>
    <w:rsid w:val="008B418D"/>
    <w:rsid w:val="008B42DC"/>
    <w:rsid w:val="008B4423"/>
    <w:rsid w:val="008B4587"/>
    <w:rsid w:val="008B464C"/>
    <w:rsid w:val="008B47D7"/>
    <w:rsid w:val="008B4B6D"/>
    <w:rsid w:val="008B4D48"/>
    <w:rsid w:val="008B4F30"/>
    <w:rsid w:val="008B50EC"/>
    <w:rsid w:val="008B56DE"/>
    <w:rsid w:val="008B5976"/>
    <w:rsid w:val="008B5CFC"/>
    <w:rsid w:val="008B6020"/>
    <w:rsid w:val="008B62BE"/>
    <w:rsid w:val="008B6E40"/>
    <w:rsid w:val="008B6FFE"/>
    <w:rsid w:val="008B780E"/>
    <w:rsid w:val="008B797A"/>
    <w:rsid w:val="008B7E31"/>
    <w:rsid w:val="008C04CD"/>
    <w:rsid w:val="008C0941"/>
    <w:rsid w:val="008C114D"/>
    <w:rsid w:val="008C119C"/>
    <w:rsid w:val="008C17D3"/>
    <w:rsid w:val="008C197D"/>
    <w:rsid w:val="008C1D7F"/>
    <w:rsid w:val="008C1E1A"/>
    <w:rsid w:val="008C24C2"/>
    <w:rsid w:val="008C27DB"/>
    <w:rsid w:val="008C2862"/>
    <w:rsid w:val="008C2935"/>
    <w:rsid w:val="008C29B2"/>
    <w:rsid w:val="008C2B18"/>
    <w:rsid w:val="008C2D2C"/>
    <w:rsid w:val="008C30AD"/>
    <w:rsid w:val="008C36E2"/>
    <w:rsid w:val="008C3819"/>
    <w:rsid w:val="008C3A40"/>
    <w:rsid w:val="008C3BB0"/>
    <w:rsid w:val="008C3C6B"/>
    <w:rsid w:val="008C43EB"/>
    <w:rsid w:val="008C4496"/>
    <w:rsid w:val="008C455D"/>
    <w:rsid w:val="008C460C"/>
    <w:rsid w:val="008C4C42"/>
    <w:rsid w:val="008C5507"/>
    <w:rsid w:val="008C55D6"/>
    <w:rsid w:val="008C569A"/>
    <w:rsid w:val="008C57CA"/>
    <w:rsid w:val="008C5AA2"/>
    <w:rsid w:val="008C62A6"/>
    <w:rsid w:val="008C633E"/>
    <w:rsid w:val="008C6350"/>
    <w:rsid w:val="008C6717"/>
    <w:rsid w:val="008C6AD1"/>
    <w:rsid w:val="008C6BAA"/>
    <w:rsid w:val="008C6BF7"/>
    <w:rsid w:val="008C6FA5"/>
    <w:rsid w:val="008C6FB5"/>
    <w:rsid w:val="008C7094"/>
    <w:rsid w:val="008C720A"/>
    <w:rsid w:val="008C77C0"/>
    <w:rsid w:val="008C7B3A"/>
    <w:rsid w:val="008C7E3D"/>
    <w:rsid w:val="008D0272"/>
    <w:rsid w:val="008D033B"/>
    <w:rsid w:val="008D03FA"/>
    <w:rsid w:val="008D09A5"/>
    <w:rsid w:val="008D09AD"/>
    <w:rsid w:val="008D160C"/>
    <w:rsid w:val="008D16F1"/>
    <w:rsid w:val="008D18DD"/>
    <w:rsid w:val="008D1B0F"/>
    <w:rsid w:val="008D1CF3"/>
    <w:rsid w:val="008D1DAB"/>
    <w:rsid w:val="008D1DCF"/>
    <w:rsid w:val="008D21E9"/>
    <w:rsid w:val="008D2362"/>
    <w:rsid w:val="008D237D"/>
    <w:rsid w:val="008D27B0"/>
    <w:rsid w:val="008D2916"/>
    <w:rsid w:val="008D2B96"/>
    <w:rsid w:val="008D305A"/>
    <w:rsid w:val="008D3558"/>
    <w:rsid w:val="008D3585"/>
    <w:rsid w:val="008D3812"/>
    <w:rsid w:val="008D38A1"/>
    <w:rsid w:val="008D3A00"/>
    <w:rsid w:val="008D4018"/>
    <w:rsid w:val="008D4243"/>
    <w:rsid w:val="008D4332"/>
    <w:rsid w:val="008D443D"/>
    <w:rsid w:val="008D45FA"/>
    <w:rsid w:val="008D4CEF"/>
    <w:rsid w:val="008D4D0D"/>
    <w:rsid w:val="008D4F1C"/>
    <w:rsid w:val="008D51DB"/>
    <w:rsid w:val="008D5479"/>
    <w:rsid w:val="008D568E"/>
    <w:rsid w:val="008D56D0"/>
    <w:rsid w:val="008D573D"/>
    <w:rsid w:val="008D57BA"/>
    <w:rsid w:val="008D5A17"/>
    <w:rsid w:val="008D5ABD"/>
    <w:rsid w:val="008D5B5A"/>
    <w:rsid w:val="008D5D7D"/>
    <w:rsid w:val="008D6042"/>
    <w:rsid w:val="008D62BF"/>
    <w:rsid w:val="008D6544"/>
    <w:rsid w:val="008D6972"/>
    <w:rsid w:val="008D69EE"/>
    <w:rsid w:val="008D6E8B"/>
    <w:rsid w:val="008D6EBD"/>
    <w:rsid w:val="008D6EE7"/>
    <w:rsid w:val="008D7124"/>
    <w:rsid w:val="008D7672"/>
    <w:rsid w:val="008D79C4"/>
    <w:rsid w:val="008E07AF"/>
    <w:rsid w:val="008E0AAF"/>
    <w:rsid w:val="008E0C50"/>
    <w:rsid w:val="008E1068"/>
    <w:rsid w:val="008E117C"/>
    <w:rsid w:val="008E119E"/>
    <w:rsid w:val="008E1448"/>
    <w:rsid w:val="008E14E8"/>
    <w:rsid w:val="008E14EB"/>
    <w:rsid w:val="008E15E2"/>
    <w:rsid w:val="008E1807"/>
    <w:rsid w:val="008E1B06"/>
    <w:rsid w:val="008E2077"/>
    <w:rsid w:val="008E25A3"/>
    <w:rsid w:val="008E2858"/>
    <w:rsid w:val="008E28E6"/>
    <w:rsid w:val="008E29B2"/>
    <w:rsid w:val="008E2C02"/>
    <w:rsid w:val="008E2DA3"/>
    <w:rsid w:val="008E2E6D"/>
    <w:rsid w:val="008E2EEA"/>
    <w:rsid w:val="008E3198"/>
    <w:rsid w:val="008E3627"/>
    <w:rsid w:val="008E364E"/>
    <w:rsid w:val="008E37D1"/>
    <w:rsid w:val="008E38E8"/>
    <w:rsid w:val="008E3978"/>
    <w:rsid w:val="008E3DE7"/>
    <w:rsid w:val="008E40DD"/>
    <w:rsid w:val="008E448F"/>
    <w:rsid w:val="008E45BC"/>
    <w:rsid w:val="008E4861"/>
    <w:rsid w:val="008E4933"/>
    <w:rsid w:val="008E5029"/>
    <w:rsid w:val="008E5945"/>
    <w:rsid w:val="008E59E5"/>
    <w:rsid w:val="008E5A06"/>
    <w:rsid w:val="008E5CA1"/>
    <w:rsid w:val="008E5D55"/>
    <w:rsid w:val="008E5D5B"/>
    <w:rsid w:val="008E61E2"/>
    <w:rsid w:val="008E643D"/>
    <w:rsid w:val="008E64FB"/>
    <w:rsid w:val="008E6716"/>
    <w:rsid w:val="008E6AE0"/>
    <w:rsid w:val="008E6D72"/>
    <w:rsid w:val="008E7773"/>
    <w:rsid w:val="008E7779"/>
    <w:rsid w:val="008E7BFB"/>
    <w:rsid w:val="008E7C66"/>
    <w:rsid w:val="008E7DE5"/>
    <w:rsid w:val="008E7E4D"/>
    <w:rsid w:val="008E7EEC"/>
    <w:rsid w:val="008F00FC"/>
    <w:rsid w:val="008F0C36"/>
    <w:rsid w:val="008F147B"/>
    <w:rsid w:val="008F14FF"/>
    <w:rsid w:val="008F1853"/>
    <w:rsid w:val="008F190D"/>
    <w:rsid w:val="008F1D68"/>
    <w:rsid w:val="008F1EBC"/>
    <w:rsid w:val="008F1F07"/>
    <w:rsid w:val="008F1FAF"/>
    <w:rsid w:val="008F274D"/>
    <w:rsid w:val="008F27F6"/>
    <w:rsid w:val="008F27FF"/>
    <w:rsid w:val="008F2B54"/>
    <w:rsid w:val="008F2F5E"/>
    <w:rsid w:val="008F30B6"/>
    <w:rsid w:val="008F31C2"/>
    <w:rsid w:val="008F355D"/>
    <w:rsid w:val="008F365B"/>
    <w:rsid w:val="008F386C"/>
    <w:rsid w:val="008F3911"/>
    <w:rsid w:val="008F3CED"/>
    <w:rsid w:val="008F4185"/>
    <w:rsid w:val="008F46DC"/>
    <w:rsid w:val="008F4A3C"/>
    <w:rsid w:val="008F4D8D"/>
    <w:rsid w:val="008F4DD3"/>
    <w:rsid w:val="008F4F5F"/>
    <w:rsid w:val="008F52E0"/>
    <w:rsid w:val="008F5437"/>
    <w:rsid w:val="008F5455"/>
    <w:rsid w:val="008F557A"/>
    <w:rsid w:val="008F5A41"/>
    <w:rsid w:val="008F5E13"/>
    <w:rsid w:val="008F5F4C"/>
    <w:rsid w:val="008F5F7B"/>
    <w:rsid w:val="008F60FD"/>
    <w:rsid w:val="008F638F"/>
    <w:rsid w:val="008F67B9"/>
    <w:rsid w:val="008F6C26"/>
    <w:rsid w:val="008F7017"/>
    <w:rsid w:val="008F7485"/>
    <w:rsid w:val="008F7985"/>
    <w:rsid w:val="008F7DE2"/>
    <w:rsid w:val="008F7F4A"/>
    <w:rsid w:val="00900095"/>
    <w:rsid w:val="0090031C"/>
    <w:rsid w:val="009003A7"/>
    <w:rsid w:val="00900750"/>
    <w:rsid w:val="00900B5D"/>
    <w:rsid w:val="009011A9"/>
    <w:rsid w:val="0090156B"/>
    <w:rsid w:val="00901594"/>
    <w:rsid w:val="009017DC"/>
    <w:rsid w:val="00901A9C"/>
    <w:rsid w:val="00901B0C"/>
    <w:rsid w:val="00901C19"/>
    <w:rsid w:val="00902361"/>
    <w:rsid w:val="0090236D"/>
    <w:rsid w:val="009024E1"/>
    <w:rsid w:val="009024F8"/>
    <w:rsid w:val="009025F4"/>
    <w:rsid w:val="0090266A"/>
    <w:rsid w:val="009026A6"/>
    <w:rsid w:val="0090279F"/>
    <w:rsid w:val="0090288A"/>
    <w:rsid w:val="009028E4"/>
    <w:rsid w:val="0090295B"/>
    <w:rsid w:val="00902C2B"/>
    <w:rsid w:val="00902F89"/>
    <w:rsid w:val="0090335C"/>
    <w:rsid w:val="009033CD"/>
    <w:rsid w:val="009034A7"/>
    <w:rsid w:val="009035EA"/>
    <w:rsid w:val="00903827"/>
    <w:rsid w:val="00903854"/>
    <w:rsid w:val="009038F2"/>
    <w:rsid w:val="009039BC"/>
    <w:rsid w:val="00903DAB"/>
    <w:rsid w:val="00903F52"/>
    <w:rsid w:val="009043CA"/>
    <w:rsid w:val="0090445D"/>
    <w:rsid w:val="0090454A"/>
    <w:rsid w:val="009047DC"/>
    <w:rsid w:val="009047E5"/>
    <w:rsid w:val="00904BA7"/>
    <w:rsid w:val="00904C7B"/>
    <w:rsid w:val="00904DEC"/>
    <w:rsid w:val="00904EE6"/>
    <w:rsid w:val="00904F0B"/>
    <w:rsid w:val="0090501E"/>
    <w:rsid w:val="009051F2"/>
    <w:rsid w:val="0090523E"/>
    <w:rsid w:val="009052BB"/>
    <w:rsid w:val="00905F9F"/>
    <w:rsid w:val="00906055"/>
    <w:rsid w:val="009060C1"/>
    <w:rsid w:val="009061C4"/>
    <w:rsid w:val="009062C9"/>
    <w:rsid w:val="009064EF"/>
    <w:rsid w:val="009067BD"/>
    <w:rsid w:val="009068C1"/>
    <w:rsid w:val="00906B23"/>
    <w:rsid w:val="00906C8E"/>
    <w:rsid w:val="0090721F"/>
    <w:rsid w:val="009072AF"/>
    <w:rsid w:val="009077D0"/>
    <w:rsid w:val="009079D5"/>
    <w:rsid w:val="00907C93"/>
    <w:rsid w:val="00907FD8"/>
    <w:rsid w:val="00910062"/>
    <w:rsid w:val="0091009E"/>
    <w:rsid w:val="009106D5"/>
    <w:rsid w:val="00910786"/>
    <w:rsid w:val="009109A4"/>
    <w:rsid w:val="00910CC4"/>
    <w:rsid w:val="00910DE6"/>
    <w:rsid w:val="00911188"/>
    <w:rsid w:val="009112C6"/>
    <w:rsid w:val="009112C9"/>
    <w:rsid w:val="009117B5"/>
    <w:rsid w:val="00911826"/>
    <w:rsid w:val="00911B72"/>
    <w:rsid w:val="00911FA2"/>
    <w:rsid w:val="00912329"/>
    <w:rsid w:val="009123FA"/>
    <w:rsid w:val="009127EE"/>
    <w:rsid w:val="00912B41"/>
    <w:rsid w:val="00912BE6"/>
    <w:rsid w:val="009131D6"/>
    <w:rsid w:val="0091327F"/>
    <w:rsid w:val="009132DD"/>
    <w:rsid w:val="0091347B"/>
    <w:rsid w:val="00913796"/>
    <w:rsid w:val="00913AA9"/>
    <w:rsid w:val="00913BEB"/>
    <w:rsid w:val="00913CC6"/>
    <w:rsid w:val="00913F04"/>
    <w:rsid w:val="00913F8D"/>
    <w:rsid w:val="0091405A"/>
    <w:rsid w:val="0091459E"/>
    <w:rsid w:val="009145C8"/>
    <w:rsid w:val="00914D1F"/>
    <w:rsid w:val="00915482"/>
    <w:rsid w:val="009156DA"/>
    <w:rsid w:val="009156DE"/>
    <w:rsid w:val="0091590B"/>
    <w:rsid w:val="00915A98"/>
    <w:rsid w:val="00915DAE"/>
    <w:rsid w:val="00915E02"/>
    <w:rsid w:val="00916B01"/>
    <w:rsid w:val="00916E9D"/>
    <w:rsid w:val="00916FE4"/>
    <w:rsid w:val="00916FE8"/>
    <w:rsid w:val="00917238"/>
    <w:rsid w:val="00917376"/>
    <w:rsid w:val="009177AC"/>
    <w:rsid w:val="00917807"/>
    <w:rsid w:val="00917B72"/>
    <w:rsid w:val="00917C17"/>
    <w:rsid w:val="0092001D"/>
    <w:rsid w:val="00920156"/>
    <w:rsid w:val="009203CB"/>
    <w:rsid w:val="009205C3"/>
    <w:rsid w:val="0092090E"/>
    <w:rsid w:val="00920BE6"/>
    <w:rsid w:val="00920CC2"/>
    <w:rsid w:val="0092127C"/>
    <w:rsid w:val="009214DC"/>
    <w:rsid w:val="00921524"/>
    <w:rsid w:val="00921754"/>
    <w:rsid w:val="00921BE5"/>
    <w:rsid w:val="0092233A"/>
    <w:rsid w:val="009223BF"/>
    <w:rsid w:val="00922435"/>
    <w:rsid w:val="009224D9"/>
    <w:rsid w:val="009227B7"/>
    <w:rsid w:val="009234D1"/>
    <w:rsid w:val="0092356A"/>
    <w:rsid w:val="009235F4"/>
    <w:rsid w:val="00923EF0"/>
    <w:rsid w:val="009242DC"/>
    <w:rsid w:val="00924757"/>
    <w:rsid w:val="00924CA0"/>
    <w:rsid w:val="00924D78"/>
    <w:rsid w:val="00925406"/>
    <w:rsid w:val="009254AD"/>
    <w:rsid w:val="00925610"/>
    <w:rsid w:val="0092562B"/>
    <w:rsid w:val="00925B28"/>
    <w:rsid w:val="00925CB0"/>
    <w:rsid w:val="009260BC"/>
    <w:rsid w:val="00926223"/>
    <w:rsid w:val="00926329"/>
    <w:rsid w:val="00926828"/>
    <w:rsid w:val="0092690F"/>
    <w:rsid w:val="00926B00"/>
    <w:rsid w:val="00927372"/>
    <w:rsid w:val="009275E8"/>
    <w:rsid w:val="00927640"/>
    <w:rsid w:val="0092772D"/>
    <w:rsid w:val="00927A37"/>
    <w:rsid w:val="00927D48"/>
    <w:rsid w:val="00927E1C"/>
    <w:rsid w:val="00927ED9"/>
    <w:rsid w:val="009300A0"/>
    <w:rsid w:val="009303B5"/>
    <w:rsid w:val="009307C9"/>
    <w:rsid w:val="00930C31"/>
    <w:rsid w:val="00930C7F"/>
    <w:rsid w:val="009311C4"/>
    <w:rsid w:val="0093158D"/>
    <w:rsid w:val="0093182A"/>
    <w:rsid w:val="00931971"/>
    <w:rsid w:val="0093198D"/>
    <w:rsid w:val="00931A00"/>
    <w:rsid w:val="0093219D"/>
    <w:rsid w:val="009322F4"/>
    <w:rsid w:val="009324B0"/>
    <w:rsid w:val="00932A6D"/>
    <w:rsid w:val="00932E2D"/>
    <w:rsid w:val="00933081"/>
    <w:rsid w:val="009330DC"/>
    <w:rsid w:val="0093371C"/>
    <w:rsid w:val="00933906"/>
    <w:rsid w:val="00933FD9"/>
    <w:rsid w:val="0093429F"/>
    <w:rsid w:val="00934566"/>
    <w:rsid w:val="0093489E"/>
    <w:rsid w:val="00934DFC"/>
    <w:rsid w:val="009355AB"/>
    <w:rsid w:val="009355D0"/>
    <w:rsid w:val="00935D7F"/>
    <w:rsid w:val="00935E27"/>
    <w:rsid w:val="00936103"/>
    <w:rsid w:val="00936252"/>
    <w:rsid w:val="00936319"/>
    <w:rsid w:val="0093644D"/>
    <w:rsid w:val="00936F85"/>
    <w:rsid w:val="009379D1"/>
    <w:rsid w:val="00937EA5"/>
    <w:rsid w:val="00940205"/>
    <w:rsid w:val="0094055B"/>
    <w:rsid w:val="0094056C"/>
    <w:rsid w:val="00940AFF"/>
    <w:rsid w:val="00940D8B"/>
    <w:rsid w:val="00940E8D"/>
    <w:rsid w:val="009411CF"/>
    <w:rsid w:val="009412CE"/>
    <w:rsid w:val="009418EC"/>
    <w:rsid w:val="009419E3"/>
    <w:rsid w:val="00941D11"/>
    <w:rsid w:val="0094225A"/>
    <w:rsid w:val="009425E3"/>
    <w:rsid w:val="00942727"/>
    <w:rsid w:val="0094344C"/>
    <w:rsid w:val="0094353B"/>
    <w:rsid w:val="00943F37"/>
    <w:rsid w:val="00944211"/>
    <w:rsid w:val="009442C4"/>
    <w:rsid w:val="009443C5"/>
    <w:rsid w:val="00944628"/>
    <w:rsid w:val="00944B21"/>
    <w:rsid w:val="00944C36"/>
    <w:rsid w:val="00944D31"/>
    <w:rsid w:val="00944F61"/>
    <w:rsid w:val="00944F9A"/>
    <w:rsid w:val="00945000"/>
    <w:rsid w:val="00945015"/>
    <w:rsid w:val="009452E4"/>
    <w:rsid w:val="00945555"/>
    <w:rsid w:val="00946062"/>
    <w:rsid w:val="00946239"/>
    <w:rsid w:val="009462FB"/>
    <w:rsid w:val="0094691E"/>
    <w:rsid w:val="00946AC7"/>
    <w:rsid w:val="00946E83"/>
    <w:rsid w:val="00946FB1"/>
    <w:rsid w:val="0094726F"/>
    <w:rsid w:val="00947477"/>
    <w:rsid w:val="009474A6"/>
    <w:rsid w:val="009479C7"/>
    <w:rsid w:val="00947ACF"/>
    <w:rsid w:val="00947C49"/>
    <w:rsid w:val="00947D7F"/>
    <w:rsid w:val="00947DC8"/>
    <w:rsid w:val="009501F7"/>
    <w:rsid w:val="009503ED"/>
    <w:rsid w:val="009505C9"/>
    <w:rsid w:val="0095105D"/>
    <w:rsid w:val="00951376"/>
    <w:rsid w:val="00951644"/>
    <w:rsid w:val="009517E6"/>
    <w:rsid w:val="00951985"/>
    <w:rsid w:val="00951BF1"/>
    <w:rsid w:val="009527BA"/>
    <w:rsid w:val="0095289C"/>
    <w:rsid w:val="00952C29"/>
    <w:rsid w:val="00952DB0"/>
    <w:rsid w:val="00952DBA"/>
    <w:rsid w:val="0095378A"/>
    <w:rsid w:val="0095384E"/>
    <w:rsid w:val="00953C18"/>
    <w:rsid w:val="0095416A"/>
    <w:rsid w:val="00954393"/>
    <w:rsid w:val="00954631"/>
    <w:rsid w:val="00954BB9"/>
    <w:rsid w:val="00954E83"/>
    <w:rsid w:val="00954FEA"/>
    <w:rsid w:val="0095522A"/>
    <w:rsid w:val="009557B8"/>
    <w:rsid w:val="009559EB"/>
    <w:rsid w:val="00955C2B"/>
    <w:rsid w:val="00955D19"/>
    <w:rsid w:val="00955D67"/>
    <w:rsid w:val="00955E1E"/>
    <w:rsid w:val="00955FFF"/>
    <w:rsid w:val="009566AC"/>
    <w:rsid w:val="009567C2"/>
    <w:rsid w:val="00956B29"/>
    <w:rsid w:val="00957627"/>
    <w:rsid w:val="00957C4E"/>
    <w:rsid w:val="00957D03"/>
    <w:rsid w:val="00957DAE"/>
    <w:rsid w:val="0096014F"/>
    <w:rsid w:val="0096042E"/>
    <w:rsid w:val="00960437"/>
    <w:rsid w:val="0096060E"/>
    <w:rsid w:val="009613DE"/>
    <w:rsid w:val="00961405"/>
    <w:rsid w:val="00961614"/>
    <w:rsid w:val="009618E7"/>
    <w:rsid w:val="00961D1E"/>
    <w:rsid w:val="009623C6"/>
    <w:rsid w:val="00962920"/>
    <w:rsid w:val="00962C77"/>
    <w:rsid w:val="00962D24"/>
    <w:rsid w:val="00962D45"/>
    <w:rsid w:val="00962E2B"/>
    <w:rsid w:val="009633D0"/>
    <w:rsid w:val="00963843"/>
    <w:rsid w:val="00963942"/>
    <w:rsid w:val="009639CF"/>
    <w:rsid w:val="00963C0E"/>
    <w:rsid w:val="00964893"/>
    <w:rsid w:val="00964AB9"/>
    <w:rsid w:val="00964EC1"/>
    <w:rsid w:val="00965198"/>
    <w:rsid w:val="009651D1"/>
    <w:rsid w:val="009659A4"/>
    <w:rsid w:val="00965A75"/>
    <w:rsid w:val="00965BF1"/>
    <w:rsid w:val="0096614D"/>
    <w:rsid w:val="009662CB"/>
    <w:rsid w:val="009664E5"/>
    <w:rsid w:val="009667EA"/>
    <w:rsid w:val="00966E4D"/>
    <w:rsid w:val="0096703B"/>
    <w:rsid w:val="00967403"/>
    <w:rsid w:val="00967606"/>
    <w:rsid w:val="0096780C"/>
    <w:rsid w:val="00970120"/>
    <w:rsid w:val="00970259"/>
    <w:rsid w:val="009703D9"/>
    <w:rsid w:val="00970A22"/>
    <w:rsid w:val="00970D16"/>
    <w:rsid w:val="00970DC9"/>
    <w:rsid w:val="00971151"/>
    <w:rsid w:val="009716D0"/>
    <w:rsid w:val="009717F5"/>
    <w:rsid w:val="0097182D"/>
    <w:rsid w:val="00971B4F"/>
    <w:rsid w:val="0097245C"/>
    <w:rsid w:val="00972678"/>
    <w:rsid w:val="009726DB"/>
    <w:rsid w:val="00972C03"/>
    <w:rsid w:val="00972CA5"/>
    <w:rsid w:val="00972CB8"/>
    <w:rsid w:val="009730E3"/>
    <w:rsid w:val="00973391"/>
    <w:rsid w:val="00973415"/>
    <w:rsid w:val="009738AA"/>
    <w:rsid w:val="009738F3"/>
    <w:rsid w:val="00973A12"/>
    <w:rsid w:val="00973C8F"/>
    <w:rsid w:val="00973E22"/>
    <w:rsid w:val="00974507"/>
    <w:rsid w:val="009745A1"/>
    <w:rsid w:val="0097471C"/>
    <w:rsid w:val="00974C31"/>
    <w:rsid w:val="00974C5A"/>
    <w:rsid w:val="00974E31"/>
    <w:rsid w:val="00974E6B"/>
    <w:rsid w:val="00974EA1"/>
    <w:rsid w:val="00974FAF"/>
    <w:rsid w:val="00975024"/>
    <w:rsid w:val="0097504B"/>
    <w:rsid w:val="0097528B"/>
    <w:rsid w:val="009759D5"/>
    <w:rsid w:val="00975D37"/>
    <w:rsid w:val="00975FCA"/>
    <w:rsid w:val="009761CA"/>
    <w:rsid w:val="009765FB"/>
    <w:rsid w:val="0097674D"/>
    <w:rsid w:val="009768A6"/>
    <w:rsid w:val="00976AEF"/>
    <w:rsid w:val="00976DA8"/>
    <w:rsid w:val="00976F93"/>
    <w:rsid w:val="009770EE"/>
    <w:rsid w:val="009773BE"/>
    <w:rsid w:val="0097755A"/>
    <w:rsid w:val="009775EC"/>
    <w:rsid w:val="00977676"/>
    <w:rsid w:val="0097792C"/>
    <w:rsid w:val="00977D92"/>
    <w:rsid w:val="00977DE2"/>
    <w:rsid w:val="009809C4"/>
    <w:rsid w:val="00980AE1"/>
    <w:rsid w:val="00980EB6"/>
    <w:rsid w:val="00980FD6"/>
    <w:rsid w:val="0098107C"/>
    <w:rsid w:val="009817E0"/>
    <w:rsid w:val="00981A51"/>
    <w:rsid w:val="00981CF8"/>
    <w:rsid w:val="00981DF3"/>
    <w:rsid w:val="0098203A"/>
    <w:rsid w:val="00982418"/>
    <w:rsid w:val="00982C3D"/>
    <w:rsid w:val="00982C5D"/>
    <w:rsid w:val="00983299"/>
    <w:rsid w:val="00983A13"/>
    <w:rsid w:val="00983DEB"/>
    <w:rsid w:val="00983FC0"/>
    <w:rsid w:val="00983FE2"/>
    <w:rsid w:val="009843B5"/>
    <w:rsid w:val="009845FA"/>
    <w:rsid w:val="00984DEF"/>
    <w:rsid w:val="00984E73"/>
    <w:rsid w:val="00985239"/>
    <w:rsid w:val="00985260"/>
    <w:rsid w:val="0098532C"/>
    <w:rsid w:val="009853E1"/>
    <w:rsid w:val="0098578E"/>
    <w:rsid w:val="00985A01"/>
    <w:rsid w:val="00985AB7"/>
    <w:rsid w:val="00985BB6"/>
    <w:rsid w:val="00985DD5"/>
    <w:rsid w:val="00985F35"/>
    <w:rsid w:val="00986435"/>
    <w:rsid w:val="0098659B"/>
    <w:rsid w:val="009865A4"/>
    <w:rsid w:val="009865F8"/>
    <w:rsid w:val="00986796"/>
    <w:rsid w:val="0098685A"/>
    <w:rsid w:val="009871B5"/>
    <w:rsid w:val="00987616"/>
    <w:rsid w:val="00987723"/>
    <w:rsid w:val="00987750"/>
    <w:rsid w:val="00987AD0"/>
    <w:rsid w:val="00990159"/>
    <w:rsid w:val="009904AF"/>
    <w:rsid w:val="009904DB"/>
    <w:rsid w:val="009904E9"/>
    <w:rsid w:val="00990692"/>
    <w:rsid w:val="00990CB2"/>
    <w:rsid w:val="0099103D"/>
    <w:rsid w:val="0099184A"/>
    <w:rsid w:val="009918DA"/>
    <w:rsid w:val="00991D90"/>
    <w:rsid w:val="00992367"/>
    <w:rsid w:val="00992CB5"/>
    <w:rsid w:val="00992D91"/>
    <w:rsid w:val="009931A8"/>
    <w:rsid w:val="0099347E"/>
    <w:rsid w:val="00993565"/>
    <w:rsid w:val="009939D3"/>
    <w:rsid w:val="009941FF"/>
    <w:rsid w:val="00994216"/>
    <w:rsid w:val="009943BB"/>
    <w:rsid w:val="0099466B"/>
    <w:rsid w:val="00994BB8"/>
    <w:rsid w:val="00994F58"/>
    <w:rsid w:val="00995373"/>
    <w:rsid w:val="0099587C"/>
    <w:rsid w:val="00995B67"/>
    <w:rsid w:val="00995CE4"/>
    <w:rsid w:val="009965BA"/>
    <w:rsid w:val="009965EF"/>
    <w:rsid w:val="009966BB"/>
    <w:rsid w:val="00996A4E"/>
    <w:rsid w:val="00996CC3"/>
    <w:rsid w:val="00996FDE"/>
    <w:rsid w:val="0099708E"/>
    <w:rsid w:val="00997411"/>
    <w:rsid w:val="00997890"/>
    <w:rsid w:val="009979F6"/>
    <w:rsid w:val="00997AFC"/>
    <w:rsid w:val="00997CCB"/>
    <w:rsid w:val="00997E1E"/>
    <w:rsid w:val="009A0076"/>
    <w:rsid w:val="009A0598"/>
    <w:rsid w:val="009A06DC"/>
    <w:rsid w:val="009A1034"/>
    <w:rsid w:val="009A11FE"/>
    <w:rsid w:val="009A1507"/>
    <w:rsid w:val="009A171E"/>
    <w:rsid w:val="009A1BB3"/>
    <w:rsid w:val="009A1D5C"/>
    <w:rsid w:val="009A1E46"/>
    <w:rsid w:val="009A218B"/>
    <w:rsid w:val="009A23F7"/>
    <w:rsid w:val="009A24CD"/>
    <w:rsid w:val="009A2628"/>
    <w:rsid w:val="009A27CF"/>
    <w:rsid w:val="009A2A99"/>
    <w:rsid w:val="009A2D1F"/>
    <w:rsid w:val="009A2FB4"/>
    <w:rsid w:val="009A31E6"/>
    <w:rsid w:val="009A3244"/>
    <w:rsid w:val="009A328C"/>
    <w:rsid w:val="009A32A2"/>
    <w:rsid w:val="009A3AD2"/>
    <w:rsid w:val="009A3DC2"/>
    <w:rsid w:val="009A3ED2"/>
    <w:rsid w:val="009A3FE2"/>
    <w:rsid w:val="009A43A0"/>
    <w:rsid w:val="009A46B4"/>
    <w:rsid w:val="009A473B"/>
    <w:rsid w:val="009A4948"/>
    <w:rsid w:val="009A4B55"/>
    <w:rsid w:val="009A4CB5"/>
    <w:rsid w:val="009A4DE2"/>
    <w:rsid w:val="009A4DF2"/>
    <w:rsid w:val="009A5263"/>
    <w:rsid w:val="009A551B"/>
    <w:rsid w:val="009A55E4"/>
    <w:rsid w:val="009A576A"/>
    <w:rsid w:val="009A583E"/>
    <w:rsid w:val="009A5AA9"/>
    <w:rsid w:val="009A627B"/>
    <w:rsid w:val="009A6639"/>
    <w:rsid w:val="009A6C3A"/>
    <w:rsid w:val="009A6C91"/>
    <w:rsid w:val="009A724D"/>
    <w:rsid w:val="009A73D0"/>
    <w:rsid w:val="009A762F"/>
    <w:rsid w:val="009A7A91"/>
    <w:rsid w:val="009A7FF8"/>
    <w:rsid w:val="009B01D3"/>
    <w:rsid w:val="009B024D"/>
    <w:rsid w:val="009B0336"/>
    <w:rsid w:val="009B0460"/>
    <w:rsid w:val="009B0790"/>
    <w:rsid w:val="009B0C3E"/>
    <w:rsid w:val="009B0F28"/>
    <w:rsid w:val="009B0F7F"/>
    <w:rsid w:val="009B1218"/>
    <w:rsid w:val="009B1A34"/>
    <w:rsid w:val="009B1C16"/>
    <w:rsid w:val="009B1CD4"/>
    <w:rsid w:val="009B1F61"/>
    <w:rsid w:val="009B2D25"/>
    <w:rsid w:val="009B2ECE"/>
    <w:rsid w:val="009B30BB"/>
    <w:rsid w:val="009B31DB"/>
    <w:rsid w:val="009B32DA"/>
    <w:rsid w:val="009B32F4"/>
    <w:rsid w:val="009B3650"/>
    <w:rsid w:val="009B368D"/>
    <w:rsid w:val="009B377C"/>
    <w:rsid w:val="009B38A6"/>
    <w:rsid w:val="009B3DBB"/>
    <w:rsid w:val="009B3EF1"/>
    <w:rsid w:val="009B42F7"/>
    <w:rsid w:val="009B42FB"/>
    <w:rsid w:val="009B456F"/>
    <w:rsid w:val="009B46CB"/>
    <w:rsid w:val="009B48A4"/>
    <w:rsid w:val="009B4C3D"/>
    <w:rsid w:val="009B5864"/>
    <w:rsid w:val="009B59FB"/>
    <w:rsid w:val="009B5B20"/>
    <w:rsid w:val="009B6097"/>
    <w:rsid w:val="009B62BB"/>
    <w:rsid w:val="009B6347"/>
    <w:rsid w:val="009B634B"/>
    <w:rsid w:val="009B63FD"/>
    <w:rsid w:val="009B65D7"/>
    <w:rsid w:val="009B6E7B"/>
    <w:rsid w:val="009B7224"/>
    <w:rsid w:val="009B728E"/>
    <w:rsid w:val="009B72D8"/>
    <w:rsid w:val="009B761F"/>
    <w:rsid w:val="009B7C2E"/>
    <w:rsid w:val="009C0534"/>
    <w:rsid w:val="009C0884"/>
    <w:rsid w:val="009C0B27"/>
    <w:rsid w:val="009C10A4"/>
    <w:rsid w:val="009C154C"/>
    <w:rsid w:val="009C18E5"/>
    <w:rsid w:val="009C1EE2"/>
    <w:rsid w:val="009C1F6B"/>
    <w:rsid w:val="009C2121"/>
    <w:rsid w:val="009C21DA"/>
    <w:rsid w:val="009C2398"/>
    <w:rsid w:val="009C29EF"/>
    <w:rsid w:val="009C2A29"/>
    <w:rsid w:val="009C2E99"/>
    <w:rsid w:val="009C2EDB"/>
    <w:rsid w:val="009C30D1"/>
    <w:rsid w:val="009C32AE"/>
    <w:rsid w:val="009C3759"/>
    <w:rsid w:val="009C37FC"/>
    <w:rsid w:val="009C3A3D"/>
    <w:rsid w:val="009C3DBC"/>
    <w:rsid w:val="009C3FD1"/>
    <w:rsid w:val="009C40EA"/>
    <w:rsid w:val="009C429B"/>
    <w:rsid w:val="009C42EF"/>
    <w:rsid w:val="009C4501"/>
    <w:rsid w:val="009C499F"/>
    <w:rsid w:val="009C4A03"/>
    <w:rsid w:val="009C4AF9"/>
    <w:rsid w:val="009C4D6B"/>
    <w:rsid w:val="009C50E1"/>
    <w:rsid w:val="009C5231"/>
    <w:rsid w:val="009C5264"/>
    <w:rsid w:val="009C5379"/>
    <w:rsid w:val="009C559C"/>
    <w:rsid w:val="009C56F9"/>
    <w:rsid w:val="009C5885"/>
    <w:rsid w:val="009C6173"/>
    <w:rsid w:val="009C621E"/>
    <w:rsid w:val="009C686E"/>
    <w:rsid w:val="009C74C3"/>
    <w:rsid w:val="009D0CC4"/>
    <w:rsid w:val="009D0CF3"/>
    <w:rsid w:val="009D1179"/>
    <w:rsid w:val="009D1D89"/>
    <w:rsid w:val="009D2057"/>
    <w:rsid w:val="009D22E0"/>
    <w:rsid w:val="009D2655"/>
    <w:rsid w:val="009D281F"/>
    <w:rsid w:val="009D2C18"/>
    <w:rsid w:val="009D2CE7"/>
    <w:rsid w:val="009D2FBF"/>
    <w:rsid w:val="009D3965"/>
    <w:rsid w:val="009D3AC8"/>
    <w:rsid w:val="009D3C04"/>
    <w:rsid w:val="009D3F16"/>
    <w:rsid w:val="009D3F67"/>
    <w:rsid w:val="009D4023"/>
    <w:rsid w:val="009D40B4"/>
    <w:rsid w:val="009D45EB"/>
    <w:rsid w:val="009D4D18"/>
    <w:rsid w:val="009D4E6E"/>
    <w:rsid w:val="009D4F77"/>
    <w:rsid w:val="009D4F95"/>
    <w:rsid w:val="009D4FA8"/>
    <w:rsid w:val="009D502B"/>
    <w:rsid w:val="009D5057"/>
    <w:rsid w:val="009D529A"/>
    <w:rsid w:val="009D5729"/>
    <w:rsid w:val="009D593D"/>
    <w:rsid w:val="009D5B47"/>
    <w:rsid w:val="009D61B2"/>
    <w:rsid w:val="009D636B"/>
    <w:rsid w:val="009D6409"/>
    <w:rsid w:val="009D6893"/>
    <w:rsid w:val="009D6991"/>
    <w:rsid w:val="009D69CB"/>
    <w:rsid w:val="009D6CBB"/>
    <w:rsid w:val="009D700A"/>
    <w:rsid w:val="009D754B"/>
    <w:rsid w:val="009D79F3"/>
    <w:rsid w:val="009D7BC4"/>
    <w:rsid w:val="009D7ED2"/>
    <w:rsid w:val="009D7FF0"/>
    <w:rsid w:val="009E01AA"/>
    <w:rsid w:val="009E05BC"/>
    <w:rsid w:val="009E07A1"/>
    <w:rsid w:val="009E0BF0"/>
    <w:rsid w:val="009E0EC6"/>
    <w:rsid w:val="009E1058"/>
    <w:rsid w:val="009E177E"/>
    <w:rsid w:val="009E18F0"/>
    <w:rsid w:val="009E190E"/>
    <w:rsid w:val="009E1C64"/>
    <w:rsid w:val="009E296D"/>
    <w:rsid w:val="009E29A6"/>
    <w:rsid w:val="009E2EB4"/>
    <w:rsid w:val="009E2F82"/>
    <w:rsid w:val="009E306A"/>
    <w:rsid w:val="009E33E4"/>
    <w:rsid w:val="009E3B18"/>
    <w:rsid w:val="009E4046"/>
    <w:rsid w:val="009E437C"/>
    <w:rsid w:val="009E47D0"/>
    <w:rsid w:val="009E48A0"/>
    <w:rsid w:val="009E5092"/>
    <w:rsid w:val="009E5446"/>
    <w:rsid w:val="009E57D7"/>
    <w:rsid w:val="009E5D06"/>
    <w:rsid w:val="009E5D8D"/>
    <w:rsid w:val="009E651F"/>
    <w:rsid w:val="009E70BF"/>
    <w:rsid w:val="009E7213"/>
    <w:rsid w:val="009E74F5"/>
    <w:rsid w:val="009E7809"/>
    <w:rsid w:val="009E790F"/>
    <w:rsid w:val="009E7AF1"/>
    <w:rsid w:val="009E7D52"/>
    <w:rsid w:val="009F0019"/>
    <w:rsid w:val="009F00B8"/>
    <w:rsid w:val="009F0519"/>
    <w:rsid w:val="009F06C9"/>
    <w:rsid w:val="009F07D0"/>
    <w:rsid w:val="009F0B07"/>
    <w:rsid w:val="009F0B1F"/>
    <w:rsid w:val="009F0B8C"/>
    <w:rsid w:val="009F0C62"/>
    <w:rsid w:val="009F0FF0"/>
    <w:rsid w:val="009F1048"/>
    <w:rsid w:val="009F144F"/>
    <w:rsid w:val="009F17D5"/>
    <w:rsid w:val="009F1B0A"/>
    <w:rsid w:val="009F1D8B"/>
    <w:rsid w:val="009F1EA6"/>
    <w:rsid w:val="009F1ED0"/>
    <w:rsid w:val="009F24A9"/>
    <w:rsid w:val="009F26A0"/>
    <w:rsid w:val="009F28BE"/>
    <w:rsid w:val="009F2AD7"/>
    <w:rsid w:val="009F2E12"/>
    <w:rsid w:val="009F300C"/>
    <w:rsid w:val="009F3216"/>
    <w:rsid w:val="009F34E7"/>
    <w:rsid w:val="009F392D"/>
    <w:rsid w:val="009F3A2D"/>
    <w:rsid w:val="009F3BA7"/>
    <w:rsid w:val="009F3DAD"/>
    <w:rsid w:val="009F433A"/>
    <w:rsid w:val="009F44D6"/>
    <w:rsid w:val="009F49C3"/>
    <w:rsid w:val="009F4CB9"/>
    <w:rsid w:val="009F505D"/>
    <w:rsid w:val="009F5165"/>
    <w:rsid w:val="009F52F9"/>
    <w:rsid w:val="009F55B0"/>
    <w:rsid w:val="009F55DB"/>
    <w:rsid w:val="009F5729"/>
    <w:rsid w:val="009F5896"/>
    <w:rsid w:val="009F5EC2"/>
    <w:rsid w:val="009F5FB0"/>
    <w:rsid w:val="009F60D8"/>
    <w:rsid w:val="009F6284"/>
    <w:rsid w:val="009F68DF"/>
    <w:rsid w:val="009F6A7E"/>
    <w:rsid w:val="009F6B31"/>
    <w:rsid w:val="009F6BED"/>
    <w:rsid w:val="009F6C2B"/>
    <w:rsid w:val="009F6E9F"/>
    <w:rsid w:val="009F6FF9"/>
    <w:rsid w:val="009F7117"/>
    <w:rsid w:val="009F759C"/>
    <w:rsid w:val="009F7B70"/>
    <w:rsid w:val="009F7D3F"/>
    <w:rsid w:val="00A00289"/>
    <w:rsid w:val="00A0058A"/>
    <w:rsid w:val="00A005C4"/>
    <w:rsid w:val="00A00882"/>
    <w:rsid w:val="00A00AB4"/>
    <w:rsid w:val="00A00BBC"/>
    <w:rsid w:val="00A012AA"/>
    <w:rsid w:val="00A012F9"/>
    <w:rsid w:val="00A018F0"/>
    <w:rsid w:val="00A01E69"/>
    <w:rsid w:val="00A0232D"/>
    <w:rsid w:val="00A02557"/>
    <w:rsid w:val="00A02ABB"/>
    <w:rsid w:val="00A02E0F"/>
    <w:rsid w:val="00A02F47"/>
    <w:rsid w:val="00A03062"/>
    <w:rsid w:val="00A03288"/>
    <w:rsid w:val="00A0397B"/>
    <w:rsid w:val="00A03BC1"/>
    <w:rsid w:val="00A03D4A"/>
    <w:rsid w:val="00A04697"/>
    <w:rsid w:val="00A04BA1"/>
    <w:rsid w:val="00A04D4C"/>
    <w:rsid w:val="00A04F4D"/>
    <w:rsid w:val="00A05084"/>
    <w:rsid w:val="00A0539C"/>
    <w:rsid w:val="00A05AE7"/>
    <w:rsid w:val="00A05F8F"/>
    <w:rsid w:val="00A061D7"/>
    <w:rsid w:val="00A0662F"/>
    <w:rsid w:val="00A0684E"/>
    <w:rsid w:val="00A06911"/>
    <w:rsid w:val="00A0698F"/>
    <w:rsid w:val="00A06A50"/>
    <w:rsid w:val="00A071AE"/>
    <w:rsid w:val="00A073CE"/>
    <w:rsid w:val="00A0754F"/>
    <w:rsid w:val="00A07984"/>
    <w:rsid w:val="00A07CC9"/>
    <w:rsid w:val="00A07FA7"/>
    <w:rsid w:val="00A10380"/>
    <w:rsid w:val="00A10384"/>
    <w:rsid w:val="00A10937"/>
    <w:rsid w:val="00A10C17"/>
    <w:rsid w:val="00A10EA6"/>
    <w:rsid w:val="00A110A9"/>
    <w:rsid w:val="00A114CE"/>
    <w:rsid w:val="00A11714"/>
    <w:rsid w:val="00A11C7C"/>
    <w:rsid w:val="00A12178"/>
    <w:rsid w:val="00A123C5"/>
    <w:rsid w:val="00A1295B"/>
    <w:rsid w:val="00A12B31"/>
    <w:rsid w:val="00A12CB1"/>
    <w:rsid w:val="00A12DEE"/>
    <w:rsid w:val="00A13108"/>
    <w:rsid w:val="00A1323F"/>
    <w:rsid w:val="00A13267"/>
    <w:rsid w:val="00A13503"/>
    <w:rsid w:val="00A13A10"/>
    <w:rsid w:val="00A14454"/>
    <w:rsid w:val="00A144D7"/>
    <w:rsid w:val="00A14531"/>
    <w:rsid w:val="00A1473A"/>
    <w:rsid w:val="00A1491F"/>
    <w:rsid w:val="00A149D4"/>
    <w:rsid w:val="00A14A72"/>
    <w:rsid w:val="00A14F04"/>
    <w:rsid w:val="00A152EF"/>
    <w:rsid w:val="00A154C9"/>
    <w:rsid w:val="00A157D3"/>
    <w:rsid w:val="00A1589D"/>
    <w:rsid w:val="00A15BE0"/>
    <w:rsid w:val="00A160CC"/>
    <w:rsid w:val="00A16156"/>
    <w:rsid w:val="00A1632B"/>
    <w:rsid w:val="00A1658D"/>
    <w:rsid w:val="00A172C1"/>
    <w:rsid w:val="00A173AF"/>
    <w:rsid w:val="00A17684"/>
    <w:rsid w:val="00A178A5"/>
    <w:rsid w:val="00A1799F"/>
    <w:rsid w:val="00A17FC6"/>
    <w:rsid w:val="00A20132"/>
    <w:rsid w:val="00A20BD3"/>
    <w:rsid w:val="00A21B23"/>
    <w:rsid w:val="00A22078"/>
    <w:rsid w:val="00A227E1"/>
    <w:rsid w:val="00A22AEA"/>
    <w:rsid w:val="00A22BF7"/>
    <w:rsid w:val="00A2305E"/>
    <w:rsid w:val="00A232A4"/>
    <w:rsid w:val="00A2340B"/>
    <w:rsid w:val="00A23686"/>
    <w:rsid w:val="00A2384A"/>
    <w:rsid w:val="00A23949"/>
    <w:rsid w:val="00A23A4F"/>
    <w:rsid w:val="00A23CFE"/>
    <w:rsid w:val="00A23E2A"/>
    <w:rsid w:val="00A240CE"/>
    <w:rsid w:val="00A241A2"/>
    <w:rsid w:val="00A242EE"/>
    <w:rsid w:val="00A244CC"/>
    <w:rsid w:val="00A24664"/>
    <w:rsid w:val="00A247EC"/>
    <w:rsid w:val="00A2487C"/>
    <w:rsid w:val="00A24A7D"/>
    <w:rsid w:val="00A24B83"/>
    <w:rsid w:val="00A250FC"/>
    <w:rsid w:val="00A252F6"/>
    <w:rsid w:val="00A2561D"/>
    <w:rsid w:val="00A256AA"/>
    <w:rsid w:val="00A25AA6"/>
    <w:rsid w:val="00A25AAA"/>
    <w:rsid w:val="00A25D1B"/>
    <w:rsid w:val="00A25D8B"/>
    <w:rsid w:val="00A2679E"/>
    <w:rsid w:val="00A26BA6"/>
    <w:rsid w:val="00A26D1C"/>
    <w:rsid w:val="00A27311"/>
    <w:rsid w:val="00A2779B"/>
    <w:rsid w:val="00A27894"/>
    <w:rsid w:val="00A278DE"/>
    <w:rsid w:val="00A27E86"/>
    <w:rsid w:val="00A30065"/>
    <w:rsid w:val="00A30131"/>
    <w:rsid w:val="00A301BC"/>
    <w:rsid w:val="00A303F7"/>
    <w:rsid w:val="00A304C1"/>
    <w:rsid w:val="00A309E1"/>
    <w:rsid w:val="00A30F9E"/>
    <w:rsid w:val="00A31713"/>
    <w:rsid w:val="00A31750"/>
    <w:rsid w:val="00A317ED"/>
    <w:rsid w:val="00A31E06"/>
    <w:rsid w:val="00A321C6"/>
    <w:rsid w:val="00A3252F"/>
    <w:rsid w:val="00A3283B"/>
    <w:rsid w:val="00A32D18"/>
    <w:rsid w:val="00A32D97"/>
    <w:rsid w:val="00A32EEE"/>
    <w:rsid w:val="00A32FDC"/>
    <w:rsid w:val="00A33052"/>
    <w:rsid w:val="00A336A2"/>
    <w:rsid w:val="00A338AE"/>
    <w:rsid w:val="00A33BEA"/>
    <w:rsid w:val="00A33D18"/>
    <w:rsid w:val="00A33DDA"/>
    <w:rsid w:val="00A34135"/>
    <w:rsid w:val="00A343AA"/>
    <w:rsid w:val="00A34F58"/>
    <w:rsid w:val="00A3529F"/>
    <w:rsid w:val="00A3538D"/>
    <w:rsid w:val="00A35491"/>
    <w:rsid w:val="00A35994"/>
    <w:rsid w:val="00A35BDB"/>
    <w:rsid w:val="00A35CF8"/>
    <w:rsid w:val="00A35D8E"/>
    <w:rsid w:val="00A35EA0"/>
    <w:rsid w:val="00A36121"/>
    <w:rsid w:val="00A36278"/>
    <w:rsid w:val="00A367E2"/>
    <w:rsid w:val="00A367FA"/>
    <w:rsid w:val="00A368CD"/>
    <w:rsid w:val="00A3739C"/>
    <w:rsid w:val="00A373A0"/>
    <w:rsid w:val="00A3758E"/>
    <w:rsid w:val="00A3760D"/>
    <w:rsid w:val="00A3767F"/>
    <w:rsid w:val="00A37852"/>
    <w:rsid w:val="00A37A35"/>
    <w:rsid w:val="00A37BD0"/>
    <w:rsid w:val="00A37CE3"/>
    <w:rsid w:val="00A37E83"/>
    <w:rsid w:val="00A37FEC"/>
    <w:rsid w:val="00A37FF4"/>
    <w:rsid w:val="00A400D8"/>
    <w:rsid w:val="00A401DA"/>
    <w:rsid w:val="00A40A44"/>
    <w:rsid w:val="00A40CA9"/>
    <w:rsid w:val="00A411D7"/>
    <w:rsid w:val="00A416A6"/>
    <w:rsid w:val="00A417BD"/>
    <w:rsid w:val="00A41875"/>
    <w:rsid w:val="00A418EF"/>
    <w:rsid w:val="00A4213F"/>
    <w:rsid w:val="00A422C2"/>
    <w:rsid w:val="00A4249A"/>
    <w:rsid w:val="00A42693"/>
    <w:rsid w:val="00A42B5C"/>
    <w:rsid w:val="00A42D96"/>
    <w:rsid w:val="00A43749"/>
    <w:rsid w:val="00A439CA"/>
    <w:rsid w:val="00A43E07"/>
    <w:rsid w:val="00A43F76"/>
    <w:rsid w:val="00A44196"/>
    <w:rsid w:val="00A4420F"/>
    <w:rsid w:val="00A4435A"/>
    <w:rsid w:val="00A4494B"/>
    <w:rsid w:val="00A449CB"/>
    <w:rsid w:val="00A44DF7"/>
    <w:rsid w:val="00A44EFF"/>
    <w:rsid w:val="00A4504B"/>
    <w:rsid w:val="00A451E4"/>
    <w:rsid w:val="00A45342"/>
    <w:rsid w:val="00A4534E"/>
    <w:rsid w:val="00A45370"/>
    <w:rsid w:val="00A454FF"/>
    <w:rsid w:val="00A4584E"/>
    <w:rsid w:val="00A45961"/>
    <w:rsid w:val="00A45A5E"/>
    <w:rsid w:val="00A45C73"/>
    <w:rsid w:val="00A45E48"/>
    <w:rsid w:val="00A45F93"/>
    <w:rsid w:val="00A4630D"/>
    <w:rsid w:val="00A4653D"/>
    <w:rsid w:val="00A469E9"/>
    <w:rsid w:val="00A46B43"/>
    <w:rsid w:val="00A46E6C"/>
    <w:rsid w:val="00A47130"/>
    <w:rsid w:val="00A47674"/>
    <w:rsid w:val="00A476A6"/>
    <w:rsid w:val="00A47750"/>
    <w:rsid w:val="00A47759"/>
    <w:rsid w:val="00A478EC"/>
    <w:rsid w:val="00A47B06"/>
    <w:rsid w:val="00A47D45"/>
    <w:rsid w:val="00A50368"/>
    <w:rsid w:val="00A503C4"/>
    <w:rsid w:val="00A5042E"/>
    <w:rsid w:val="00A506E1"/>
    <w:rsid w:val="00A50BFF"/>
    <w:rsid w:val="00A50DFE"/>
    <w:rsid w:val="00A50EDF"/>
    <w:rsid w:val="00A51133"/>
    <w:rsid w:val="00A51313"/>
    <w:rsid w:val="00A51564"/>
    <w:rsid w:val="00A51BDF"/>
    <w:rsid w:val="00A51F0F"/>
    <w:rsid w:val="00A5229F"/>
    <w:rsid w:val="00A5242A"/>
    <w:rsid w:val="00A526BC"/>
    <w:rsid w:val="00A52A0F"/>
    <w:rsid w:val="00A52C1A"/>
    <w:rsid w:val="00A52EC4"/>
    <w:rsid w:val="00A52F6F"/>
    <w:rsid w:val="00A53039"/>
    <w:rsid w:val="00A53309"/>
    <w:rsid w:val="00A5340F"/>
    <w:rsid w:val="00A536DD"/>
    <w:rsid w:val="00A53A61"/>
    <w:rsid w:val="00A53A88"/>
    <w:rsid w:val="00A53E1B"/>
    <w:rsid w:val="00A53ECE"/>
    <w:rsid w:val="00A5409F"/>
    <w:rsid w:val="00A54288"/>
    <w:rsid w:val="00A54443"/>
    <w:rsid w:val="00A5456F"/>
    <w:rsid w:val="00A545EA"/>
    <w:rsid w:val="00A546DA"/>
    <w:rsid w:val="00A548BD"/>
    <w:rsid w:val="00A54A30"/>
    <w:rsid w:val="00A54E36"/>
    <w:rsid w:val="00A55226"/>
    <w:rsid w:val="00A5522D"/>
    <w:rsid w:val="00A5541B"/>
    <w:rsid w:val="00A55505"/>
    <w:rsid w:val="00A5566D"/>
    <w:rsid w:val="00A5587B"/>
    <w:rsid w:val="00A55966"/>
    <w:rsid w:val="00A55A2A"/>
    <w:rsid w:val="00A55B1E"/>
    <w:rsid w:val="00A55C54"/>
    <w:rsid w:val="00A55CA8"/>
    <w:rsid w:val="00A55CC4"/>
    <w:rsid w:val="00A55F00"/>
    <w:rsid w:val="00A5610E"/>
    <w:rsid w:val="00A56212"/>
    <w:rsid w:val="00A56220"/>
    <w:rsid w:val="00A565A6"/>
    <w:rsid w:val="00A57206"/>
    <w:rsid w:val="00A57298"/>
    <w:rsid w:val="00A5729D"/>
    <w:rsid w:val="00A57812"/>
    <w:rsid w:val="00A579DE"/>
    <w:rsid w:val="00A57A8E"/>
    <w:rsid w:val="00A57BFE"/>
    <w:rsid w:val="00A57DAD"/>
    <w:rsid w:val="00A6034C"/>
    <w:rsid w:val="00A6089F"/>
    <w:rsid w:val="00A609DD"/>
    <w:rsid w:val="00A60C00"/>
    <w:rsid w:val="00A60D81"/>
    <w:rsid w:val="00A60D97"/>
    <w:rsid w:val="00A6128A"/>
    <w:rsid w:val="00A6129F"/>
    <w:rsid w:val="00A61322"/>
    <w:rsid w:val="00A6141A"/>
    <w:rsid w:val="00A615C4"/>
    <w:rsid w:val="00A61655"/>
    <w:rsid w:val="00A6178F"/>
    <w:rsid w:val="00A61AAB"/>
    <w:rsid w:val="00A61EA1"/>
    <w:rsid w:val="00A61EDE"/>
    <w:rsid w:val="00A61F83"/>
    <w:rsid w:val="00A62059"/>
    <w:rsid w:val="00A6206E"/>
    <w:rsid w:val="00A62410"/>
    <w:rsid w:val="00A6259B"/>
    <w:rsid w:val="00A6288D"/>
    <w:rsid w:val="00A62B96"/>
    <w:rsid w:val="00A62DE0"/>
    <w:rsid w:val="00A6329B"/>
    <w:rsid w:val="00A636EB"/>
    <w:rsid w:val="00A6394E"/>
    <w:rsid w:val="00A63C29"/>
    <w:rsid w:val="00A63D26"/>
    <w:rsid w:val="00A63EC5"/>
    <w:rsid w:val="00A63F2A"/>
    <w:rsid w:val="00A64064"/>
    <w:rsid w:val="00A6443C"/>
    <w:rsid w:val="00A6451B"/>
    <w:rsid w:val="00A64884"/>
    <w:rsid w:val="00A64D83"/>
    <w:rsid w:val="00A64FAF"/>
    <w:rsid w:val="00A65474"/>
    <w:rsid w:val="00A65609"/>
    <w:rsid w:val="00A656D0"/>
    <w:rsid w:val="00A65806"/>
    <w:rsid w:val="00A6583B"/>
    <w:rsid w:val="00A659B3"/>
    <w:rsid w:val="00A65B41"/>
    <w:rsid w:val="00A65DDB"/>
    <w:rsid w:val="00A66744"/>
    <w:rsid w:val="00A66927"/>
    <w:rsid w:val="00A66BF6"/>
    <w:rsid w:val="00A66D1A"/>
    <w:rsid w:val="00A671D5"/>
    <w:rsid w:val="00A676D7"/>
    <w:rsid w:val="00A67859"/>
    <w:rsid w:val="00A67A79"/>
    <w:rsid w:val="00A67B9D"/>
    <w:rsid w:val="00A67C33"/>
    <w:rsid w:val="00A7006B"/>
    <w:rsid w:val="00A701F1"/>
    <w:rsid w:val="00A7071F"/>
    <w:rsid w:val="00A70995"/>
    <w:rsid w:val="00A709D6"/>
    <w:rsid w:val="00A70AEE"/>
    <w:rsid w:val="00A712BB"/>
    <w:rsid w:val="00A71401"/>
    <w:rsid w:val="00A714F4"/>
    <w:rsid w:val="00A7150E"/>
    <w:rsid w:val="00A71767"/>
    <w:rsid w:val="00A71B0F"/>
    <w:rsid w:val="00A71B50"/>
    <w:rsid w:val="00A71D52"/>
    <w:rsid w:val="00A72665"/>
    <w:rsid w:val="00A72727"/>
    <w:rsid w:val="00A7282C"/>
    <w:rsid w:val="00A728DA"/>
    <w:rsid w:val="00A72DBD"/>
    <w:rsid w:val="00A72F9D"/>
    <w:rsid w:val="00A73042"/>
    <w:rsid w:val="00A73120"/>
    <w:rsid w:val="00A73644"/>
    <w:rsid w:val="00A73915"/>
    <w:rsid w:val="00A73A02"/>
    <w:rsid w:val="00A73BF6"/>
    <w:rsid w:val="00A73F1E"/>
    <w:rsid w:val="00A7435F"/>
    <w:rsid w:val="00A7460A"/>
    <w:rsid w:val="00A7466D"/>
    <w:rsid w:val="00A7468D"/>
    <w:rsid w:val="00A747CD"/>
    <w:rsid w:val="00A74991"/>
    <w:rsid w:val="00A74BB4"/>
    <w:rsid w:val="00A74D38"/>
    <w:rsid w:val="00A74DD0"/>
    <w:rsid w:val="00A74F1C"/>
    <w:rsid w:val="00A75162"/>
    <w:rsid w:val="00A7528A"/>
    <w:rsid w:val="00A757DD"/>
    <w:rsid w:val="00A75B8A"/>
    <w:rsid w:val="00A75D5E"/>
    <w:rsid w:val="00A76044"/>
    <w:rsid w:val="00A762A1"/>
    <w:rsid w:val="00A76405"/>
    <w:rsid w:val="00A76ECC"/>
    <w:rsid w:val="00A76FA9"/>
    <w:rsid w:val="00A76FFE"/>
    <w:rsid w:val="00A77142"/>
    <w:rsid w:val="00A7715D"/>
    <w:rsid w:val="00A77642"/>
    <w:rsid w:val="00A77C02"/>
    <w:rsid w:val="00A77C74"/>
    <w:rsid w:val="00A77DA0"/>
    <w:rsid w:val="00A804A4"/>
    <w:rsid w:val="00A806FB"/>
    <w:rsid w:val="00A8094B"/>
    <w:rsid w:val="00A80B2D"/>
    <w:rsid w:val="00A81737"/>
    <w:rsid w:val="00A817EE"/>
    <w:rsid w:val="00A8183C"/>
    <w:rsid w:val="00A81D4C"/>
    <w:rsid w:val="00A81EE4"/>
    <w:rsid w:val="00A81F9D"/>
    <w:rsid w:val="00A82142"/>
    <w:rsid w:val="00A8226E"/>
    <w:rsid w:val="00A822EE"/>
    <w:rsid w:val="00A830BE"/>
    <w:rsid w:val="00A83806"/>
    <w:rsid w:val="00A8380C"/>
    <w:rsid w:val="00A83E26"/>
    <w:rsid w:val="00A8411B"/>
    <w:rsid w:val="00A8431F"/>
    <w:rsid w:val="00A8459E"/>
    <w:rsid w:val="00A849FC"/>
    <w:rsid w:val="00A84C4F"/>
    <w:rsid w:val="00A8503F"/>
    <w:rsid w:val="00A850DF"/>
    <w:rsid w:val="00A853E7"/>
    <w:rsid w:val="00A85443"/>
    <w:rsid w:val="00A85586"/>
    <w:rsid w:val="00A856AF"/>
    <w:rsid w:val="00A85D69"/>
    <w:rsid w:val="00A8628B"/>
    <w:rsid w:val="00A8635D"/>
    <w:rsid w:val="00A86583"/>
    <w:rsid w:val="00A86931"/>
    <w:rsid w:val="00A86B77"/>
    <w:rsid w:val="00A86E30"/>
    <w:rsid w:val="00A870F9"/>
    <w:rsid w:val="00A8725D"/>
    <w:rsid w:val="00A872BF"/>
    <w:rsid w:val="00A879AD"/>
    <w:rsid w:val="00A87AF8"/>
    <w:rsid w:val="00A87ED5"/>
    <w:rsid w:val="00A87EF8"/>
    <w:rsid w:val="00A87F6B"/>
    <w:rsid w:val="00A87FE8"/>
    <w:rsid w:val="00A900A9"/>
    <w:rsid w:val="00A9040F"/>
    <w:rsid w:val="00A90647"/>
    <w:rsid w:val="00A908E6"/>
    <w:rsid w:val="00A90999"/>
    <w:rsid w:val="00A909E1"/>
    <w:rsid w:val="00A90ACD"/>
    <w:rsid w:val="00A90AF9"/>
    <w:rsid w:val="00A90BBF"/>
    <w:rsid w:val="00A91855"/>
    <w:rsid w:val="00A919FB"/>
    <w:rsid w:val="00A91ABD"/>
    <w:rsid w:val="00A9230D"/>
    <w:rsid w:val="00A92386"/>
    <w:rsid w:val="00A926F3"/>
    <w:rsid w:val="00A9286B"/>
    <w:rsid w:val="00A92DC7"/>
    <w:rsid w:val="00A92F0F"/>
    <w:rsid w:val="00A92FF8"/>
    <w:rsid w:val="00A93225"/>
    <w:rsid w:val="00A93371"/>
    <w:rsid w:val="00A93903"/>
    <w:rsid w:val="00A93B26"/>
    <w:rsid w:val="00A93EA3"/>
    <w:rsid w:val="00A93F92"/>
    <w:rsid w:val="00A94490"/>
    <w:rsid w:val="00A9464D"/>
    <w:rsid w:val="00A94836"/>
    <w:rsid w:val="00A94D4A"/>
    <w:rsid w:val="00A94DC7"/>
    <w:rsid w:val="00A94FA0"/>
    <w:rsid w:val="00A95425"/>
    <w:rsid w:val="00A954F7"/>
    <w:rsid w:val="00A95573"/>
    <w:rsid w:val="00A95711"/>
    <w:rsid w:val="00A959D4"/>
    <w:rsid w:val="00A95A46"/>
    <w:rsid w:val="00A95CDE"/>
    <w:rsid w:val="00A95E64"/>
    <w:rsid w:val="00A95FAC"/>
    <w:rsid w:val="00A9604A"/>
    <w:rsid w:val="00A96098"/>
    <w:rsid w:val="00A9626D"/>
    <w:rsid w:val="00A964F7"/>
    <w:rsid w:val="00A96A78"/>
    <w:rsid w:val="00A96DC9"/>
    <w:rsid w:val="00A96DDF"/>
    <w:rsid w:val="00A972E2"/>
    <w:rsid w:val="00A97349"/>
    <w:rsid w:val="00A979E7"/>
    <w:rsid w:val="00A97BBF"/>
    <w:rsid w:val="00A97CF9"/>
    <w:rsid w:val="00AA00A2"/>
    <w:rsid w:val="00AA0773"/>
    <w:rsid w:val="00AA080F"/>
    <w:rsid w:val="00AA09D6"/>
    <w:rsid w:val="00AA0BE6"/>
    <w:rsid w:val="00AA0C45"/>
    <w:rsid w:val="00AA1645"/>
    <w:rsid w:val="00AA1C06"/>
    <w:rsid w:val="00AA1E82"/>
    <w:rsid w:val="00AA210C"/>
    <w:rsid w:val="00AA211E"/>
    <w:rsid w:val="00AA23F2"/>
    <w:rsid w:val="00AA283C"/>
    <w:rsid w:val="00AA284D"/>
    <w:rsid w:val="00AA2DBC"/>
    <w:rsid w:val="00AA2EE7"/>
    <w:rsid w:val="00AA2F82"/>
    <w:rsid w:val="00AA3032"/>
    <w:rsid w:val="00AA303F"/>
    <w:rsid w:val="00AA338F"/>
    <w:rsid w:val="00AA3A43"/>
    <w:rsid w:val="00AA3EA0"/>
    <w:rsid w:val="00AA42E4"/>
    <w:rsid w:val="00AA42EF"/>
    <w:rsid w:val="00AA4436"/>
    <w:rsid w:val="00AA463A"/>
    <w:rsid w:val="00AA4700"/>
    <w:rsid w:val="00AA4ADC"/>
    <w:rsid w:val="00AA4B50"/>
    <w:rsid w:val="00AA4D88"/>
    <w:rsid w:val="00AA4F32"/>
    <w:rsid w:val="00AA5239"/>
    <w:rsid w:val="00AA52CD"/>
    <w:rsid w:val="00AA5715"/>
    <w:rsid w:val="00AA5718"/>
    <w:rsid w:val="00AA589C"/>
    <w:rsid w:val="00AA5A84"/>
    <w:rsid w:val="00AA5C13"/>
    <w:rsid w:val="00AA5E1E"/>
    <w:rsid w:val="00AA5F18"/>
    <w:rsid w:val="00AA6691"/>
    <w:rsid w:val="00AA6936"/>
    <w:rsid w:val="00AA6953"/>
    <w:rsid w:val="00AA6D82"/>
    <w:rsid w:val="00AA6E44"/>
    <w:rsid w:val="00AA6ED3"/>
    <w:rsid w:val="00AA7117"/>
    <w:rsid w:val="00AA779F"/>
    <w:rsid w:val="00AA7CC7"/>
    <w:rsid w:val="00AB0239"/>
    <w:rsid w:val="00AB0818"/>
    <w:rsid w:val="00AB0A85"/>
    <w:rsid w:val="00AB0D48"/>
    <w:rsid w:val="00AB0E3F"/>
    <w:rsid w:val="00AB0F00"/>
    <w:rsid w:val="00AB18CA"/>
    <w:rsid w:val="00AB1ADB"/>
    <w:rsid w:val="00AB1B29"/>
    <w:rsid w:val="00AB1C10"/>
    <w:rsid w:val="00AB2842"/>
    <w:rsid w:val="00AB2905"/>
    <w:rsid w:val="00AB2D1B"/>
    <w:rsid w:val="00AB3611"/>
    <w:rsid w:val="00AB3728"/>
    <w:rsid w:val="00AB3AE7"/>
    <w:rsid w:val="00AB3DF2"/>
    <w:rsid w:val="00AB3E7E"/>
    <w:rsid w:val="00AB40D8"/>
    <w:rsid w:val="00AB480A"/>
    <w:rsid w:val="00AB48B6"/>
    <w:rsid w:val="00AB49C3"/>
    <w:rsid w:val="00AB49E2"/>
    <w:rsid w:val="00AB4B98"/>
    <w:rsid w:val="00AB4BE5"/>
    <w:rsid w:val="00AB4EF0"/>
    <w:rsid w:val="00AB5307"/>
    <w:rsid w:val="00AB5425"/>
    <w:rsid w:val="00AB5461"/>
    <w:rsid w:val="00AB56C4"/>
    <w:rsid w:val="00AB5BBA"/>
    <w:rsid w:val="00AB6336"/>
    <w:rsid w:val="00AB6587"/>
    <w:rsid w:val="00AB6639"/>
    <w:rsid w:val="00AB691D"/>
    <w:rsid w:val="00AB6976"/>
    <w:rsid w:val="00AB6F3D"/>
    <w:rsid w:val="00AB7066"/>
    <w:rsid w:val="00AB7585"/>
    <w:rsid w:val="00AB77A1"/>
    <w:rsid w:val="00AB783E"/>
    <w:rsid w:val="00AB7C08"/>
    <w:rsid w:val="00AB7D2B"/>
    <w:rsid w:val="00AB7FE8"/>
    <w:rsid w:val="00AC012E"/>
    <w:rsid w:val="00AC041C"/>
    <w:rsid w:val="00AC0AA4"/>
    <w:rsid w:val="00AC0AFB"/>
    <w:rsid w:val="00AC1240"/>
    <w:rsid w:val="00AC12F2"/>
    <w:rsid w:val="00AC135A"/>
    <w:rsid w:val="00AC13F1"/>
    <w:rsid w:val="00AC180D"/>
    <w:rsid w:val="00AC1CDC"/>
    <w:rsid w:val="00AC1FEF"/>
    <w:rsid w:val="00AC2218"/>
    <w:rsid w:val="00AC2231"/>
    <w:rsid w:val="00AC264B"/>
    <w:rsid w:val="00AC2FCB"/>
    <w:rsid w:val="00AC315A"/>
    <w:rsid w:val="00AC32C7"/>
    <w:rsid w:val="00AC33BF"/>
    <w:rsid w:val="00AC33F5"/>
    <w:rsid w:val="00AC35BA"/>
    <w:rsid w:val="00AC36EB"/>
    <w:rsid w:val="00AC36EE"/>
    <w:rsid w:val="00AC3B32"/>
    <w:rsid w:val="00AC3E41"/>
    <w:rsid w:val="00AC3E52"/>
    <w:rsid w:val="00AC46C6"/>
    <w:rsid w:val="00AC46DD"/>
    <w:rsid w:val="00AC4A41"/>
    <w:rsid w:val="00AC4B6C"/>
    <w:rsid w:val="00AC4C2C"/>
    <w:rsid w:val="00AC4C2E"/>
    <w:rsid w:val="00AC4D6F"/>
    <w:rsid w:val="00AC4DC4"/>
    <w:rsid w:val="00AC5102"/>
    <w:rsid w:val="00AC537D"/>
    <w:rsid w:val="00AC56AB"/>
    <w:rsid w:val="00AC5A01"/>
    <w:rsid w:val="00AC5AE1"/>
    <w:rsid w:val="00AC5D53"/>
    <w:rsid w:val="00AC5E28"/>
    <w:rsid w:val="00AC5EFA"/>
    <w:rsid w:val="00AC60E5"/>
    <w:rsid w:val="00AC64C9"/>
    <w:rsid w:val="00AC683A"/>
    <w:rsid w:val="00AC6D33"/>
    <w:rsid w:val="00AC6E7E"/>
    <w:rsid w:val="00AC70A8"/>
    <w:rsid w:val="00AC7109"/>
    <w:rsid w:val="00AC77DD"/>
    <w:rsid w:val="00AC7A8C"/>
    <w:rsid w:val="00AC7B87"/>
    <w:rsid w:val="00AD020C"/>
    <w:rsid w:val="00AD0590"/>
    <w:rsid w:val="00AD0A66"/>
    <w:rsid w:val="00AD0A70"/>
    <w:rsid w:val="00AD0B87"/>
    <w:rsid w:val="00AD0C98"/>
    <w:rsid w:val="00AD0E32"/>
    <w:rsid w:val="00AD0E4C"/>
    <w:rsid w:val="00AD11FC"/>
    <w:rsid w:val="00AD1365"/>
    <w:rsid w:val="00AD21C4"/>
    <w:rsid w:val="00AD2367"/>
    <w:rsid w:val="00AD2527"/>
    <w:rsid w:val="00AD257D"/>
    <w:rsid w:val="00AD26E4"/>
    <w:rsid w:val="00AD2785"/>
    <w:rsid w:val="00AD2834"/>
    <w:rsid w:val="00AD2877"/>
    <w:rsid w:val="00AD28A7"/>
    <w:rsid w:val="00AD2DC3"/>
    <w:rsid w:val="00AD2DF4"/>
    <w:rsid w:val="00AD2E97"/>
    <w:rsid w:val="00AD398A"/>
    <w:rsid w:val="00AD39AC"/>
    <w:rsid w:val="00AD3A8F"/>
    <w:rsid w:val="00AD3C1F"/>
    <w:rsid w:val="00AD3E1A"/>
    <w:rsid w:val="00AD4240"/>
    <w:rsid w:val="00AD4441"/>
    <w:rsid w:val="00AD4B09"/>
    <w:rsid w:val="00AD5339"/>
    <w:rsid w:val="00AD5457"/>
    <w:rsid w:val="00AD5983"/>
    <w:rsid w:val="00AD59F3"/>
    <w:rsid w:val="00AD5FC2"/>
    <w:rsid w:val="00AD5FE1"/>
    <w:rsid w:val="00AD606F"/>
    <w:rsid w:val="00AD60DC"/>
    <w:rsid w:val="00AD6665"/>
    <w:rsid w:val="00AD6732"/>
    <w:rsid w:val="00AD6C0A"/>
    <w:rsid w:val="00AD6FCB"/>
    <w:rsid w:val="00AD72F2"/>
    <w:rsid w:val="00AD736B"/>
    <w:rsid w:val="00AD73A6"/>
    <w:rsid w:val="00AD7432"/>
    <w:rsid w:val="00AD7734"/>
    <w:rsid w:val="00AD7740"/>
    <w:rsid w:val="00AD79BC"/>
    <w:rsid w:val="00AD7F27"/>
    <w:rsid w:val="00AE00C6"/>
    <w:rsid w:val="00AE06A1"/>
    <w:rsid w:val="00AE0A2B"/>
    <w:rsid w:val="00AE0C8A"/>
    <w:rsid w:val="00AE0DA3"/>
    <w:rsid w:val="00AE1734"/>
    <w:rsid w:val="00AE1A9E"/>
    <w:rsid w:val="00AE1C12"/>
    <w:rsid w:val="00AE1DFC"/>
    <w:rsid w:val="00AE1E03"/>
    <w:rsid w:val="00AE1ED2"/>
    <w:rsid w:val="00AE1FFE"/>
    <w:rsid w:val="00AE20AD"/>
    <w:rsid w:val="00AE26B0"/>
    <w:rsid w:val="00AE29EB"/>
    <w:rsid w:val="00AE2B44"/>
    <w:rsid w:val="00AE2CCA"/>
    <w:rsid w:val="00AE2DA4"/>
    <w:rsid w:val="00AE3583"/>
    <w:rsid w:val="00AE35A3"/>
    <w:rsid w:val="00AE3739"/>
    <w:rsid w:val="00AE377E"/>
    <w:rsid w:val="00AE389C"/>
    <w:rsid w:val="00AE3907"/>
    <w:rsid w:val="00AE39A7"/>
    <w:rsid w:val="00AE3A24"/>
    <w:rsid w:val="00AE3C23"/>
    <w:rsid w:val="00AE3C5F"/>
    <w:rsid w:val="00AE46C9"/>
    <w:rsid w:val="00AE4A65"/>
    <w:rsid w:val="00AE4B45"/>
    <w:rsid w:val="00AE4DE1"/>
    <w:rsid w:val="00AE50F1"/>
    <w:rsid w:val="00AE573A"/>
    <w:rsid w:val="00AE5CFA"/>
    <w:rsid w:val="00AE5D24"/>
    <w:rsid w:val="00AE5D55"/>
    <w:rsid w:val="00AE5F88"/>
    <w:rsid w:val="00AE6217"/>
    <w:rsid w:val="00AE6230"/>
    <w:rsid w:val="00AE6857"/>
    <w:rsid w:val="00AE6C9E"/>
    <w:rsid w:val="00AE6FC3"/>
    <w:rsid w:val="00AE71B2"/>
    <w:rsid w:val="00AE7257"/>
    <w:rsid w:val="00AE74B4"/>
    <w:rsid w:val="00AE7807"/>
    <w:rsid w:val="00AE79B1"/>
    <w:rsid w:val="00AE7BEF"/>
    <w:rsid w:val="00AF02F5"/>
    <w:rsid w:val="00AF0AD9"/>
    <w:rsid w:val="00AF0B21"/>
    <w:rsid w:val="00AF111C"/>
    <w:rsid w:val="00AF13ED"/>
    <w:rsid w:val="00AF1607"/>
    <w:rsid w:val="00AF16BF"/>
    <w:rsid w:val="00AF1D4C"/>
    <w:rsid w:val="00AF2A4D"/>
    <w:rsid w:val="00AF2FA7"/>
    <w:rsid w:val="00AF344A"/>
    <w:rsid w:val="00AF3896"/>
    <w:rsid w:val="00AF3C71"/>
    <w:rsid w:val="00AF3E44"/>
    <w:rsid w:val="00AF440A"/>
    <w:rsid w:val="00AF4449"/>
    <w:rsid w:val="00AF4BFB"/>
    <w:rsid w:val="00AF4F10"/>
    <w:rsid w:val="00AF5391"/>
    <w:rsid w:val="00AF5580"/>
    <w:rsid w:val="00AF55D3"/>
    <w:rsid w:val="00AF5AF4"/>
    <w:rsid w:val="00AF5B42"/>
    <w:rsid w:val="00AF5F09"/>
    <w:rsid w:val="00AF62A0"/>
    <w:rsid w:val="00AF63A6"/>
    <w:rsid w:val="00AF6429"/>
    <w:rsid w:val="00AF65B3"/>
    <w:rsid w:val="00AF6685"/>
    <w:rsid w:val="00AF6B2B"/>
    <w:rsid w:val="00AF6C23"/>
    <w:rsid w:val="00AF6E8E"/>
    <w:rsid w:val="00AF6F8C"/>
    <w:rsid w:val="00AF70C9"/>
    <w:rsid w:val="00AF716D"/>
    <w:rsid w:val="00AF7250"/>
    <w:rsid w:val="00AF7486"/>
    <w:rsid w:val="00AF77E7"/>
    <w:rsid w:val="00AF7908"/>
    <w:rsid w:val="00AF796C"/>
    <w:rsid w:val="00AF7AF0"/>
    <w:rsid w:val="00AF7E30"/>
    <w:rsid w:val="00B001F4"/>
    <w:rsid w:val="00B005ED"/>
    <w:rsid w:val="00B00808"/>
    <w:rsid w:val="00B00C50"/>
    <w:rsid w:val="00B01062"/>
    <w:rsid w:val="00B010EA"/>
    <w:rsid w:val="00B01168"/>
    <w:rsid w:val="00B014E2"/>
    <w:rsid w:val="00B020A2"/>
    <w:rsid w:val="00B02357"/>
    <w:rsid w:val="00B024CA"/>
    <w:rsid w:val="00B02D8B"/>
    <w:rsid w:val="00B02E37"/>
    <w:rsid w:val="00B03241"/>
    <w:rsid w:val="00B03384"/>
    <w:rsid w:val="00B0345B"/>
    <w:rsid w:val="00B03479"/>
    <w:rsid w:val="00B0361B"/>
    <w:rsid w:val="00B03C02"/>
    <w:rsid w:val="00B03F71"/>
    <w:rsid w:val="00B044F8"/>
    <w:rsid w:val="00B04B2B"/>
    <w:rsid w:val="00B04C2F"/>
    <w:rsid w:val="00B05009"/>
    <w:rsid w:val="00B05095"/>
    <w:rsid w:val="00B055FB"/>
    <w:rsid w:val="00B05836"/>
    <w:rsid w:val="00B060FD"/>
    <w:rsid w:val="00B061C0"/>
    <w:rsid w:val="00B0627E"/>
    <w:rsid w:val="00B06310"/>
    <w:rsid w:val="00B06444"/>
    <w:rsid w:val="00B064C9"/>
    <w:rsid w:val="00B065B7"/>
    <w:rsid w:val="00B06902"/>
    <w:rsid w:val="00B06D9E"/>
    <w:rsid w:val="00B06EAE"/>
    <w:rsid w:val="00B06F35"/>
    <w:rsid w:val="00B06F7B"/>
    <w:rsid w:val="00B06FA4"/>
    <w:rsid w:val="00B07030"/>
    <w:rsid w:val="00B0737D"/>
    <w:rsid w:val="00B07418"/>
    <w:rsid w:val="00B074BC"/>
    <w:rsid w:val="00B074E1"/>
    <w:rsid w:val="00B07777"/>
    <w:rsid w:val="00B078FD"/>
    <w:rsid w:val="00B07D8A"/>
    <w:rsid w:val="00B102CF"/>
    <w:rsid w:val="00B1050E"/>
    <w:rsid w:val="00B10A17"/>
    <w:rsid w:val="00B10AE0"/>
    <w:rsid w:val="00B10C0E"/>
    <w:rsid w:val="00B111C4"/>
    <w:rsid w:val="00B113D2"/>
    <w:rsid w:val="00B11620"/>
    <w:rsid w:val="00B11719"/>
    <w:rsid w:val="00B118E2"/>
    <w:rsid w:val="00B11AF3"/>
    <w:rsid w:val="00B11B83"/>
    <w:rsid w:val="00B12132"/>
    <w:rsid w:val="00B1262A"/>
    <w:rsid w:val="00B127B8"/>
    <w:rsid w:val="00B129C9"/>
    <w:rsid w:val="00B12B59"/>
    <w:rsid w:val="00B12C4A"/>
    <w:rsid w:val="00B12CCA"/>
    <w:rsid w:val="00B12E11"/>
    <w:rsid w:val="00B12FC7"/>
    <w:rsid w:val="00B132B0"/>
    <w:rsid w:val="00B13584"/>
    <w:rsid w:val="00B13894"/>
    <w:rsid w:val="00B13F4A"/>
    <w:rsid w:val="00B142C8"/>
    <w:rsid w:val="00B14302"/>
    <w:rsid w:val="00B143F6"/>
    <w:rsid w:val="00B1442D"/>
    <w:rsid w:val="00B1445C"/>
    <w:rsid w:val="00B14464"/>
    <w:rsid w:val="00B14475"/>
    <w:rsid w:val="00B14823"/>
    <w:rsid w:val="00B149CD"/>
    <w:rsid w:val="00B14A07"/>
    <w:rsid w:val="00B14A3D"/>
    <w:rsid w:val="00B14E12"/>
    <w:rsid w:val="00B15078"/>
    <w:rsid w:val="00B154C0"/>
    <w:rsid w:val="00B15619"/>
    <w:rsid w:val="00B156FE"/>
    <w:rsid w:val="00B15996"/>
    <w:rsid w:val="00B16358"/>
    <w:rsid w:val="00B163CE"/>
    <w:rsid w:val="00B166C6"/>
    <w:rsid w:val="00B1672F"/>
    <w:rsid w:val="00B16FE9"/>
    <w:rsid w:val="00B178A4"/>
    <w:rsid w:val="00B179C7"/>
    <w:rsid w:val="00B17D6B"/>
    <w:rsid w:val="00B17F9F"/>
    <w:rsid w:val="00B20043"/>
    <w:rsid w:val="00B211BB"/>
    <w:rsid w:val="00B2153F"/>
    <w:rsid w:val="00B21560"/>
    <w:rsid w:val="00B2158C"/>
    <w:rsid w:val="00B21724"/>
    <w:rsid w:val="00B21DC7"/>
    <w:rsid w:val="00B22308"/>
    <w:rsid w:val="00B225EB"/>
    <w:rsid w:val="00B227E8"/>
    <w:rsid w:val="00B228F5"/>
    <w:rsid w:val="00B23312"/>
    <w:rsid w:val="00B23411"/>
    <w:rsid w:val="00B23A4A"/>
    <w:rsid w:val="00B23EDF"/>
    <w:rsid w:val="00B24190"/>
    <w:rsid w:val="00B24339"/>
    <w:rsid w:val="00B24345"/>
    <w:rsid w:val="00B24443"/>
    <w:rsid w:val="00B246E1"/>
    <w:rsid w:val="00B249B9"/>
    <w:rsid w:val="00B24BE7"/>
    <w:rsid w:val="00B254F8"/>
    <w:rsid w:val="00B256C3"/>
    <w:rsid w:val="00B25825"/>
    <w:rsid w:val="00B2599E"/>
    <w:rsid w:val="00B26AD3"/>
    <w:rsid w:val="00B26AEF"/>
    <w:rsid w:val="00B26B77"/>
    <w:rsid w:val="00B26D4E"/>
    <w:rsid w:val="00B26EF7"/>
    <w:rsid w:val="00B27125"/>
    <w:rsid w:val="00B2796F"/>
    <w:rsid w:val="00B27A8C"/>
    <w:rsid w:val="00B27E9D"/>
    <w:rsid w:val="00B30761"/>
    <w:rsid w:val="00B30B37"/>
    <w:rsid w:val="00B314B2"/>
    <w:rsid w:val="00B3154E"/>
    <w:rsid w:val="00B31E20"/>
    <w:rsid w:val="00B31EB6"/>
    <w:rsid w:val="00B321C2"/>
    <w:rsid w:val="00B3315D"/>
    <w:rsid w:val="00B337A2"/>
    <w:rsid w:val="00B33878"/>
    <w:rsid w:val="00B33D7F"/>
    <w:rsid w:val="00B342A3"/>
    <w:rsid w:val="00B3435A"/>
    <w:rsid w:val="00B346FF"/>
    <w:rsid w:val="00B34CC8"/>
    <w:rsid w:val="00B357DA"/>
    <w:rsid w:val="00B35BCB"/>
    <w:rsid w:val="00B35CE6"/>
    <w:rsid w:val="00B35DD6"/>
    <w:rsid w:val="00B36150"/>
    <w:rsid w:val="00B361CB"/>
    <w:rsid w:val="00B362AF"/>
    <w:rsid w:val="00B3630C"/>
    <w:rsid w:val="00B3643D"/>
    <w:rsid w:val="00B36B01"/>
    <w:rsid w:val="00B36F31"/>
    <w:rsid w:val="00B37117"/>
    <w:rsid w:val="00B371AD"/>
    <w:rsid w:val="00B372B8"/>
    <w:rsid w:val="00B372F1"/>
    <w:rsid w:val="00B373C9"/>
    <w:rsid w:val="00B37441"/>
    <w:rsid w:val="00B37548"/>
    <w:rsid w:val="00B376C1"/>
    <w:rsid w:val="00B37738"/>
    <w:rsid w:val="00B37B53"/>
    <w:rsid w:val="00B37DEC"/>
    <w:rsid w:val="00B37EEE"/>
    <w:rsid w:val="00B40001"/>
    <w:rsid w:val="00B40099"/>
    <w:rsid w:val="00B4015E"/>
    <w:rsid w:val="00B40376"/>
    <w:rsid w:val="00B40647"/>
    <w:rsid w:val="00B407EF"/>
    <w:rsid w:val="00B40B13"/>
    <w:rsid w:val="00B40B81"/>
    <w:rsid w:val="00B40CFC"/>
    <w:rsid w:val="00B413F1"/>
    <w:rsid w:val="00B41595"/>
    <w:rsid w:val="00B41630"/>
    <w:rsid w:val="00B4172F"/>
    <w:rsid w:val="00B41811"/>
    <w:rsid w:val="00B419DF"/>
    <w:rsid w:val="00B41A1B"/>
    <w:rsid w:val="00B41CD9"/>
    <w:rsid w:val="00B41EB8"/>
    <w:rsid w:val="00B41FEF"/>
    <w:rsid w:val="00B42BAD"/>
    <w:rsid w:val="00B4347D"/>
    <w:rsid w:val="00B4372D"/>
    <w:rsid w:val="00B4373C"/>
    <w:rsid w:val="00B43972"/>
    <w:rsid w:val="00B43C6D"/>
    <w:rsid w:val="00B440AA"/>
    <w:rsid w:val="00B44185"/>
    <w:rsid w:val="00B441CA"/>
    <w:rsid w:val="00B4455C"/>
    <w:rsid w:val="00B44663"/>
    <w:rsid w:val="00B4466B"/>
    <w:rsid w:val="00B44E00"/>
    <w:rsid w:val="00B45622"/>
    <w:rsid w:val="00B45A31"/>
    <w:rsid w:val="00B462A7"/>
    <w:rsid w:val="00B46B91"/>
    <w:rsid w:val="00B46BDE"/>
    <w:rsid w:val="00B46C01"/>
    <w:rsid w:val="00B46C80"/>
    <w:rsid w:val="00B46DE0"/>
    <w:rsid w:val="00B46E2F"/>
    <w:rsid w:val="00B471CF"/>
    <w:rsid w:val="00B4720D"/>
    <w:rsid w:val="00B47275"/>
    <w:rsid w:val="00B47333"/>
    <w:rsid w:val="00B4745A"/>
    <w:rsid w:val="00B474C3"/>
    <w:rsid w:val="00B47A57"/>
    <w:rsid w:val="00B500AF"/>
    <w:rsid w:val="00B50200"/>
    <w:rsid w:val="00B5047B"/>
    <w:rsid w:val="00B50A7D"/>
    <w:rsid w:val="00B50D9F"/>
    <w:rsid w:val="00B50FD6"/>
    <w:rsid w:val="00B51031"/>
    <w:rsid w:val="00B51048"/>
    <w:rsid w:val="00B516A7"/>
    <w:rsid w:val="00B516C4"/>
    <w:rsid w:val="00B51857"/>
    <w:rsid w:val="00B51D82"/>
    <w:rsid w:val="00B52118"/>
    <w:rsid w:val="00B525D2"/>
    <w:rsid w:val="00B52D72"/>
    <w:rsid w:val="00B52F83"/>
    <w:rsid w:val="00B53083"/>
    <w:rsid w:val="00B53257"/>
    <w:rsid w:val="00B533D1"/>
    <w:rsid w:val="00B537C4"/>
    <w:rsid w:val="00B53832"/>
    <w:rsid w:val="00B538A7"/>
    <w:rsid w:val="00B53B3D"/>
    <w:rsid w:val="00B53D14"/>
    <w:rsid w:val="00B54468"/>
    <w:rsid w:val="00B545DF"/>
    <w:rsid w:val="00B5484F"/>
    <w:rsid w:val="00B54D8A"/>
    <w:rsid w:val="00B54E46"/>
    <w:rsid w:val="00B54EA7"/>
    <w:rsid w:val="00B551AD"/>
    <w:rsid w:val="00B5543E"/>
    <w:rsid w:val="00B55705"/>
    <w:rsid w:val="00B557C1"/>
    <w:rsid w:val="00B5584F"/>
    <w:rsid w:val="00B558AE"/>
    <w:rsid w:val="00B55A66"/>
    <w:rsid w:val="00B55D5F"/>
    <w:rsid w:val="00B55DE1"/>
    <w:rsid w:val="00B562A4"/>
    <w:rsid w:val="00B563C8"/>
    <w:rsid w:val="00B56C5D"/>
    <w:rsid w:val="00B56EB7"/>
    <w:rsid w:val="00B56FAC"/>
    <w:rsid w:val="00B56FCF"/>
    <w:rsid w:val="00B57259"/>
    <w:rsid w:val="00B57339"/>
    <w:rsid w:val="00B57A87"/>
    <w:rsid w:val="00B57FC6"/>
    <w:rsid w:val="00B601A6"/>
    <w:rsid w:val="00B60AD7"/>
    <w:rsid w:val="00B60EC0"/>
    <w:rsid w:val="00B611F5"/>
    <w:rsid w:val="00B61290"/>
    <w:rsid w:val="00B61930"/>
    <w:rsid w:val="00B619D5"/>
    <w:rsid w:val="00B61B62"/>
    <w:rsid w:val="00B61BE6"/>
    <w:rsid w:val="00B61E0F"/>
    <w:rsid w:val="00B61E50"/>
    <w:rsid w:val="00B61F58"/>
    <w:rsid w:val="00B621AA"/>
    <w:rsid w:val="00B62439"/>
    <w:rsid w:val="00B62705"/>
    <w:rsid w:val="00B62A4C"/>
    <w:rsid w:val="00B62B56"/>
    <w:rsid w:val="00B62DA1"/>
    <w:rsid w:val="00B62DAE"/>
    <w:rsid w:val="00B62EF9"/>
    <w:rsid w:val="00B633AF"/>
    <w:rsid w:val="00B63524"/>
    <w:rsid w:val="00B6378C"/>
    <w:rsid w:val="00B63B90"/>
    <w:rsid w:val="00B63BC4"/>
    <w:rsid w:val="00B6407A"/>
    <w:rsid w:val="00B64446"/>
    <w:rsid w:val="00B64558"/>
    <w:rsid w:val="00B64701"/>
    <w:rsid w:val="00B64B46"/>
    <w:rsid w:val="00B64CAE"/>
    <w:rsid w:val="00B64D6D"/>
    <w:rsid w:val="00B6533B"/>
    <w:rsid w:val="00B6538A"/>
    <w:rsid w:val="00B657DD"/>
    <w:rsid w:val="00B65E00"/>
    <w:rsid w:val="00B65EA3"/>
    <w:rsid w:val="00B65EB5"/>
    <w:rsid w:val="00B65FE1"/>
    <w:rsid w:val="00B660B0"/>
    <w:rsid w:val="00B6642B"/>
    <w:rsid w:val="00B667A8"/>
    <w:rsid w:val="00B668E0"/>
    <w:rsid w:val="00B66BE1"/>
    <w:rsid w:val="00B66C1F"/>
    <w:rsid w:val="00B66ED4"/>
    <w:rsid w:val="00B670F6"/>
    <w:rsid w:val="00B67401"/>
    <w:rsid w:val="00B6773A"/>
    <w:rsid w:val="00B67ACE"/>
    <w:rsid w:val="00B67EFE"/>
    <w:rsid w:val="00B708C9"/>
    <w:rsid w:val="00B70B79"/>
    <w:rsid w:val="00B70CBA"/>
    <w:rsid w:val="00B71094"/>
    <w:rsid w:val="00B71A4D"/>
    <w:rsid w:val="00B71B35"/>
    <w:rsid w:val="00B71CA5"/>
    <w:rsid w:val="00B72056"/>
    <w:rsid w:val="00B727EE"/>
    <w:rsid w:val="00B72961"/>
    <w:rsid w:val="00B738AD"/>
    <w:rsid w:val="00B7392D"/>
    <w:rsid w:val="00B7398F"/>
    <w:rsid w:val="00B73D51"/>
    <w:rsid w:val="00B74082"/>
    <w:rsid w:val="00B744D9"/>
    <w:rsid w:val="00B746B9"/>
    <w:rsid w:val="00B749FB"/>
    <w:rsid w:val="00B74B6F"/>
    <w:rsid w:val="00B74CF4"/>
    <w:rsid w:val="00B74DBF"/>
    <w:rsid w:val="00B74DDB"/>
    <w:rsid w:val="00B74FDC"/>
    <w:rsid w:val="00B75104"/>
    <w:rsid w:val="00B751A9"/>
    <w:rsid w:val="00B75816"/>
    <w:rsid w:val="00B75906"/>
    <w:rsid w:val="00B75DA3"/>
    <w:rsid w:val="00B75E53"/>
    <w:rsid w:val="00B76161"/>
    <w:rsid w:val="00B7662F"/>
    <w:rsid w:val="00B767C1"/>
    <w:rsid w:val="00B769F1"/>
    <w:rsid w:val="00B76A18"/>
    <w:rsid w:val="00B76A66"/>
    <w:rsid w:val="00B76A9B"/>
    <w:rsid w:val="00B76A9E"/>
    <w:rsid w:val="00B76B74"/>
    <w:rsid w:val="00B76C6C"/>
    <w:rsid w:val="00B76D65"/>
    <w:rsid w:val="00B76E44"/>
    <w:rsid w:val="00B76EDB"/>
    <w:rsid w:val="00B76F56"/>
    <w:rsid w:val="00B7708D"/>
    <w:rsid w:val="00B774C3"/>
    <w:rsid w:val="00B77632"/>
    <w:rsid w:val="00B77D7D"/>
    <w:rsid w:val="00B77F21"/>
    <w:rsid w:val="00B80062"/>
    <w:rsid w:val="00B800C1"/>
    <w:rsid w:val="00B802DF"/>
    <w:rsid w:val="00B8030D"/>
    <w:rsid w:val="00B8083B"/>
    <w:rsid w:val="00B80F51"/>
    <w:rsid w:val="00B817AA"/>
    <w:rsid w:val="00B81920"/>
    <w:rsid w:val="00B819E7"/>
    <w:rsid w:val="00B81D42"/>
    <w:rsid w:val="00B81D5F"/>
    <w:rsid w:val="00B81DCD"/>
    <w:rsid w:val="00B81E5F"/>
    <w:rsid w:val="00B82438"/>
    <w:rsid w:val="00B8252A"/>
    <w:rsid w:val="00B8291F"/>
    <w:rsid w:val="00B82CB1"/>
    <w:rsid w:val="00B82E91"/>
    <w:rsid w:val="00B832C2"/>
    <w:rsid w:val="00B83407"/>
    <w:rsid w:val="00B83D45"/>
    <w:rsid w:val="00B83DF8"/>
    <w:rsid w:val="00B83E2E"/>
    <w:rsid w:val="00B84235"/>
    <w:rsid w:val="00B849C8"/>
    <w:rsid w:val="00B849F6"/>
    <w:rsid w:val="00B84C3F"/>
    <w:rsid w:val="00B84DCC"/>
    <w:rsid w:val="00B85299"/>
    <w:rsid w:val="00B85A37"/>
    <w:rsid w:val="00B8600F"/>
    <w:rsid w:val="00B86645"/>
    <w:rsid w:val="00B867CE"/>
    <w:rsid w:val="00B86C2E"/>
    <w:rsid w:val="00B86CCC"/>
    <w:rsid w:val="00B87000"/>
    <w:rsid w:val="00B871CB"/>
    <w:rsid w:val="00B8725B"/>
    <w:rsid w:val="00B87597"/>
    <w:rsid w:val="00B87599"/>
    <w:rsid w:val="00B877A5"/>
    <w:rsid w:val="00B878D7"/>
    <w:rsid w:val="00B878E9"/>
    <w:rsid w:val="00B87B07"/>
    <w:rsid w:val="00B901F6"/>
    <w:rsid w:val="00B90718"/>
    <w:rsid w:val="00B9076C"/>
    <w:rsid w:val="00B90B1E"/>
    <w:rsid w:val="00B90C04"/>
    <w:rsid w:val="00B90D1B"/>
    <w:rsid w:val="00B90D25"/>
    <w:rsid w:val="00B910A1"/>
    <w:rsid w:val="00B910A4"/>
    <w:rsid w:val="00B9119D"/>
    <w:rsid w:val="00B91484"/>
    <w:rsid w:val="00B91F91"/>
    <w:rsid w:val="00B92017"/>
    <w:rsid w:val="00B92035"/>
    <w:rsid w:val="00B920A8"/>
    <w:rsid w:val="00B92271"/>
    <w:rsid w:val="00B92322"/>
    <w:rsid w:val="00B923CD"/>
    <w:rsid w:val="00B9267F"/>
    <w:rsid w:val="00B92885"/>
    <w:rsid w:val="00B92D62"/>
    <w:rsid w:val="00B9305D"/>
    <w:rsid w:val="00B9366A"/>
    <w:rsid w:val="00B93717"/>
    <w:rsid w:val="00B93B37"/>
    <w:rsid w:val="00B9432E"/>
    <w:rsid w:val="00B9467E"/>
    <w:rsid w:val="00B94852"/>
    <w:rsid w:val="00B94C06"/>
    <w:rsid w:val="00B951B0"/>
    <w:rsid w:val="00B95283"/>
    <w:rsid w:val="00B9528E"/>
    <w:rsid w:val="00B952D0"/>
    <w:rsid w:val="00B9577C"/>
    <w:rsid w:val="00B9579E"/>
    <w:rsid w:val="00B95839"/>
    <w:rsid w:val="00B95870"/>
    <w:rsid w:val="00B95A34"/>
    <w:rsid w:val="00B95D21"/>
    <w:rsid w:val="00B95D2B"/>
    <w:rsid w:val="00B95E57"/>
    <w:rsid w:val="00B961D0"/>
    <w:rsid w:val="00B9629A"/>
    <w:rsid w:val="00B963D3"/>
    <w:rsid w:val="00B964D5"/>
    <w:rsid w:val="00B9680B"/>
    <w:rsid w:val="00B9683A"/>
    <w:rsid w:val="00B96A0E"/>
    <w:rsid w:val="00B96AC6"/>
    <w:rsid w:val="00B96B93"/>
    <w:rsid w:val="00B96C55"/>
    <w:rsid w:val="00B9745C"/>
    <w:rsid w:val="00B979AE"/>
    <w:rsid w:val="00BA0059"/>
    <w:rsid w:val="00BA03B6"/>
    <w:rsid w:val="00BA063E"/>
    <w:rsid w:val="00BA06E3"/>
    <w:rsid w:val="00BA06F5"/>
    <w:rsid w:val="00BA0ACB"/>
    <w:rsid w:val="00BA0BE6"/>
    <w:rsid w:val="00BA0F41"/>
    <w:rsid w:val="00BA0FF3"/>
    <w:rsid w:val="00BA1C40"/>
    <w:rsid w:val="00BA1D9B"/>
    <w:rsid w:val="00BA238D"/>
    <w:rsid w:val="00BA24E7"/>
    <w:rsid w:val="00BA24FB"/>
    <w:rsid w:val="00BA2752"/>
    <w:rsid w:val="00BA3362"/>
    <w:rsid w:val="00BA35EA"/>
    <w:rsid w:val="00BA3829"/>
    <w:rsid w:val="00BA388C"/>
    <w:rsid w:val="00BA3D72"/>
    <w:rsid w:val="00BA3DA3"/>
    <w:rsid w:val="00BA47EB"/>
    <w:rsid w:val="00BA4953"/>
    <w:rsid w:val="00BA4C7D"/>
    <w:rsid w:val="00BA4FA7"/>
    <w:rsid w:val="00BA5A07"/>
    <w:rsid w:val="00BA5D18"/>
    <w:rsid w:val="00BA6013"/>
    <w:rsid w:val="00BA6078"/>
    <w:rsid w:val="00BA631B"/>
    <w:rsid w:val="00BA6F92"/>
    <w:rsid w:val="00BA7084"/>
    <w:rsid w:val="00BA7B79"/>
    <w:rsid w:val="00BA7BE8"/>
    <w:rsid w:val="00BB0721"/>
    <w:rsid w:val="00BB0953"/>
    <w:rsid w:val="00BB0B90"/>
    <w:rsid w:val="00BB0CBA"/>
    <w:rsid w:val="00BB0E21"/>
    <w:rsid w:val="00BB1AF6"/>
    <w:rsid w:val="00BB1BC8"/>
    <w:rsid w:val="00BB1EB0"/>
    <w:rsid w:val="00BB263E"/>
    <w:rsid w:val="00BB2718"/>
    <w:rsid w:val="00BB2E11"/>
    <w:rsid w:val="00BB36EE"/>
    <w:rsid w:val="00BB3766"/>
    <w:rsid w:val="00BB3E90"/>
    <w:rsid w:val="00BB3FE1"/>
    <w:rsid w:val="00BB43B0"/>
    <w:rsid w:val="00BB4533"/>
    <w:rsid w:val="00BB4974"/>
    <w:rsid w:val="00BB5BA1"/>
    <w:rsid w:val="00BB5C38"/>
    <w:rsid w:val="00BB5EE3"/>
    <w:rsid w:val="00BB5FEE"/>
    <w:rsid w:val="00BB62CC"/>
    <w:rsid w:val="00BB6471"/>
    <w:rsid w:val="00BB691E"/>
    <w:rsid w:val="00BB69C8"/>
    <w:rsid w:val="00BB7391"/>
    <w:rsid w:val="00BB78D8"/>
    <w:rsid w:val="00BB7903"/>
    <w:rsid w:val="00BB7A0D"/>
    <w:rsid w:val="00BB7F2E"/>
    <w:rsid w:val="00BC038C"/>
    <w:rsid w:val="00BC059D"/>
    <w:rsid w:val="00BC0980"/>
    <w:rsid w:val="00BC0E6D"/>
    <w:rsid w:val="00BC1363"/>
    <w:rsid w:val="00BC13E9"/>
    <w:rsid w:val="00BC17CD"/>
    <w:rsid w:val="00BC1960"/>
    <w:rsid w:val="00BC1A3C"/>
    <w:rsid w:val="00BC1A44"/>
    <w:rsid w:val="00BC1B83"/>
    <w:rsid w:val="00BC1E2F"/>
    <w:rsid w:val="00BC2017"/>
    <w:rsid w:val="00BC2025"/>
    <w:rsid w:val="00BC2181"/>
    <w:rsid w:val="00BC243F"/>
    <w:rsid w:val="00BC2708"/>
    <w:rsid w:val="00BC2980"/>
    <w:rsid w:val="00BC2985"/>
    <w:rsid w:val="00BC2A0C"/>
    <w:rsid w:val="00BC2CE7"/>
    <w:rsid w:val="00BC2D3D"/>
    <w:rsid w:val="00BC2E29"/>
    <w:rsid w:val="00BC3180"/>
    <w:rsid w:val="00BC3A24"/>
    <w:rsid w:val="00BC3D68"/>
    <w:rsid w:val="00BC42D2"/>
    <w:rsid w:val="00BC45AF"/>
    <w:rsid w:val="00BC5252"/>
    <w:rsid w:val="00BC52C5"/>
    <w:rsid w:val="00BC5A2C"/>
    <w:rsid w:val="00BC5BF3"/>
    <w:rsid w:val="00BC5F86"/>
    <w:rsid w:val="00BC614B"/>
    <w:rsid w:val="00BC621B"/>
    <w:rsid w:val="00BC6289"/>
    <w:rsid w:val="00BC62D9"/>
    <w:rsid w:val="00BC62E1"/>
    <w:rsid w:val="00BC64A5"/>
    <w:rsid w:val="00BC6772"/>
    <w:rsid w:val="00BC6879"/>
    <w:rsid w:val="00BC6CFC"/>
    <w:rsid w:val="00BC6D53"/>
    <w:rsid w:val="00BC709D"/>
    <w:rsid w:val="00BC70EE"/>
    <w:rsid w:val="00BC719C"/>
    <w:rsid w:val="00BC720B"/>
    <w:rsid w:val="00BD00F1"/>
    <w:rsid w:val="00BD0122"/>
    <w:rsid w:val="00BD0167"/>
    <w:rsid w:val="00BD03D1"/>
    <w:rsid w:val="00BD06DF"/>
    <w:rsid w:val="00BD09BC"/>
    <w:rsid w:val="00BD0FDE"/>
    <w:rsid w:val="00BD0FE0"/>
    <w:rsid w:val="00BD17AD"/>
    <w:rsid w:val="00BD19CE"/>
    <w:rsid w:val="00BD1A77"/>
    <w:rsid w:val="00BD205D"/>
    <w:rsid w:val="00BD244D"/>
    <w:rsid w:val="00BD25A2"/>
    <w:rsid w:val="00BD2A1F"/>
    <w:rsid w:val="00BD3050"/>
    <w:rsid w:val="00BD33F0"/>
    <w:rsid w:val="00BD41AC"/>
    <w:rsid w:val="00BD4275"/>
    <w:rsid w:val="00BD4F04"/>
    <w:rsid w:val="00BD56CA"/>
    <w:rsid w:val="00BD56D2"/>
    <w:rsid w:val="00BD595D"/>
    <w:rsid w:val="00BD5D42"/>
    <w:rsid w:val="00BD5D94"/>
    <w:rsid w:val="00BD66D9"/>
    <w:rsid w:val="00BD680B"/>
    <w:rsid w:val="00BD6A32"/>
    <w:rsid w:val="00BD6B0B"/>
    <w:rsid w:val="00BD70F5"/>
    <w:rsid w:val="00BD72C7"/>
    <w:rsid w:val="00BD730B"/>
    <w:rsid w:val="00BD7870"/>
    <w:rsid w:val="00BD791D"/>
    <w:rsid w:val="00BD79BB"/>
    <w:rsid w:val="00BD7CE4"/>
    <w:rsid w:val="00BD7E5C"/>
    <w:rsid w:val="00BE0080"/>
    <w:rsid w:val="00BE0302"/>
    <w:rsid w:val="00BE03AB"/>
    <w:rsid w:val="00BE052F"/>
    <w:rsid w:val="00BE0CB3"/>
    <w:rsid w:val="00BE14D3"/>
    <w:rsid w:val="00BE1617"/>
    <w:rsid w:val="00BE1626"/>
    <w:rsid w:val="00BE1D81"/>
    <w:rsid w:val="00BE1DF3"/>
    <w:rsid w:val="00BE1F09"/>
    <w:rsid w:val="00BE23F4"/>
    <w:rsid w:val="00BE2511"/>
    <w:rsid w:val="00BE2AB7"/>
    <w:rsid w:val="00BE2DBA"/>
    <w:rsid w:val="00BE30BB"/>
    <w:rsid w:val="00BE3361"/>
    <w:rsid w:val="00BE371D"/>
    <w:rsid w:val="00BE38D1"/>
    <w:rsid w:val="00BE3A4D"/>
    <w:rsid w:val="00BE3E0A"/>
    <w:rsid w:val="00BE420A"/>
    <w:rsid w:val="00BE4716"/>
    <w:rsid w:val="00BE49AD"/>
    <w:rsid w:val="00BE4DDB"/>
    <w:rsid w:val="00BE523C"/>
    <w:rsid w:val="00BE5388"/>
    <w:rsid w:val="00BE56B4"/>
    <w:rsid w:val="00BE5F1F"/>
    <w:rsid w:val="00BE6207"/>
    <w:rsid w:val="00BE6E5F"/>
    <w:rsid w:val="00BE7051"/>
    <w:rsid w:val="00BE70F1"/>
    <w:rsid w:val="00BE7637"/>
    <w:rsid w:val="00BF052F"/>
    <w:rsid w:val="00BF05BF"/>
    <w:rsid w:val="00BF07A9"/>
    <w:rsid w:val="00BF0D80"/>
    <w:rsid w:val="00BF0E02"/>
    <w:rsid w:val="00BF0F4F"/>
    <w:rsid w:val="00BF1066"/>
    <w:rsid w:val="00BF1961"/>
    <w:rsid w:val="00BF1B28"/>
    <w:rsid w:val="00BF1D4E"/>
    <w:rsid w:val="00BF1E72"/>
    <w:rsid w:val="00BF2269"/>
    <w:rsid w:val="00BF2358"/>
    <w:rsid w:val="00BF248E"/>
    <w:rsid w:val="00BF24B4"/>
    <w:rsid w:val="00BF24EE"/>
    <w:rsid w:val="00BF2831"/>
    <w:rsid w:val="00BF2A13"/>
    <w:rsid w:val="00BF2B44"/>
    <w:rsid w:val="00BF2DA4"/>
    <w:rsid w:val="00BF30EC"/>
    <w:rsid w:val="00BF31FA"/>
    <w:rsid w:val="00BF32EF"/>
    <w:rsid w:val="00BF3621"/>
    <w:rsid w:val="00BF3A22"/>
    <w:rsid w:val="00BF3DDD"/>
    <w:rsid w:val="00BF40EB"/>
    <w:rsid w:val="00BF44C2"/>
    <w:rsid w:val="00BF463F"/>
    <w:rsid w:val="00BF4769"/>
    <w:rsid w:val="00BF4ABD"/>
    <w:rsid w:val="00BF4AC3"/>
    <w:rsid w:val="00BF4B58"/>
    <w:rsid w:val="00BF4BBB"/>
    <w:rsid w:val="00BF5446"/>
    <w:rsid w:val="00BF5930"/>
    <w:rsid w:val="00BF5BF7"/>
    <w:rsid w:val="00BF5C79"/>
    <w:rsid w:val="00BF5D34"/>
    <w:rsid w:val="00BF5DCF"/>
    <w:rsid w:val="00BF5E13"/>
    <w:rsid w:val="00BF5E1F"/>
    <w:rsid w:val="00BF5E94"/>
    <w:rsid w:val="00BF5FD9"/>
    <w:rsid w:val="00BF6240"/>
    <w:rsid w:val="00BF654B"/>
    <w:rsid w:val="00BF6588"/>
    <w:rsid w:val="00BF6893"/>
    <w:rsid w:val="00BF759A"/>
    <w:rsid w:val="00BF7923"/>
    <w:rsid w:val="00BF7E83"/>
    <w:rsid w:val="00BF7F5E"/>
    <w:rsid w:val="00BF7F9F"/>
    <w:rsid w:val="00C000E0"/>
    <w:rsid w:val="00C002CC"/>
    <w:rsid w:val="00C0064D"/>
    <w:rsid w:val="00C00955"/>
    <w:rsid w:val="00C00AEE"/>
    <w:rsid w:val="00C01009"/>
    <w:rsid w:val="00C010F9"/>
    <w:rsid w:val="00C0128F"/>
    <w:rsid w:val="00C01686"/>
    <w:rsid w:val="00C019B2"/>
    <w:rsid w:val="00C01C17"/>
    <w:rsid w:val="00C024EC"/>
    <w:rsid w:val="00C02879"/>
    <w:rsid w:val="00C02B22"/>
    <w:rsid w:val="00C02C02"/>
    <w:rsid w:val="00C02EA1"/>
    <w:rsid w:val="00C03043"/>
    <w:rsid w:val="00C0305F"/>
    <w:rsid w:val="00C030AD"/>
    <w:rsid w:val="00C032DE"/>
    <w:rsid w:val="00C03427"/>
    <w:rsid w:val="00C035C4"/>
    <w:rsid w:val="00C03811"/>
    <w:rsid w:val="00C03CFA"/>
    <w:rsid w:val="00C03FBF"/>
    <w:rsid w:val="00C04039"/>
    <w:rsid w:val="00C040FB"/>
    <w:rsid w:val="00C0428F"/>
    <w:rsid w:val="00C04FD0"/>
    <w:rsid w:val="00C056C8"/>
    <w:rsid w:val="00C05738"/>
    <w:rsid w:val="00C0584C"/>
    <w:rsid w:val="00C06550"/>
    <w:rsid w:val="00C06747"/>
    <w:rsid w:val="00C06921"/>
    <w:rsid w:val="00C06A4A"/>
    <w:rsid w:val="00C06ACB"/>
    <w:rsid w:val="00C074CF"/>
    <w:rsid w:val="00C074E3"/>
    <w:rsid w:val="00C0757B"/>
    <w:rsid w:val="00C07C90"/>
    <w:rsid w:val="00C10196"/>
    <w:rsid w:val="00C102D9"/>
    <w:rsid w:val="00C10503"/>
    <w:rsid w:val="00C10548"/>
    <w:rsid w:val="00C10585"/>
    <w:rsid w:val="00C10709"/>
    <w:rsid w:val="00C108CA"/>
    <w:rsid w:val="00C10CB1"/>
    <w:rsid w:val="00C10D26"/>
    <w:rsid w:val="00C10EE2"/>
    <w:rsid w:val="00C11075"/>
    <w:rsid w:val="00C11697"/>
    <w:rsid w:val="00C118A9"/>
    <w:rsid w:val="00C11ADF"/>
    <w:rsid w:val="00C11BB2"/>
    <w:rsid w:val="00C122DC"/>
    <w:rsid w:val="00C123E1"/>
    <w:rsid w:val="00C12453"/>
    <w:rsid w:val="00C1247F"/>
    <w:rsid w:val="00C12482"/>
    <w:rsid w:val="00C12573"/>
    <w:rsid w:val="00C1275F"/>
    <w:rsid w:val="00C12B2A"/>
    <w:rsid w:val="00C12C11"/>
    <w:rsid w:val="00C13757"/>
    <w:rsid w:val="00C1376D"/>
    <w:rsid w:val="00C13AAD"/>
    <w:rsid w:val="00C13B3A"/>
    <w:rsid w:val="00C1441A"/>
    <w:rsid w:val="00C14823"/>
    <w:rsid w:val="00C14960"/>
    <w:rsid w:val="00C149A7"/>
    <w:rsid w:val="00C14F5F"/>
    <w:rsid w:val="00C15153"/>
    <w:rsid w:val="00C15646"/>
    <w:rsid w:val="00C15A96"/>
    <w:rsid w:val="00C15E8E"/>
    <w:rsid w:val="00C16065"/>
    <w:rsid w:val="00C16360"/>
    <w:rsid w:val="00C164F0"/>
    <w:rsid w:val="00C16568"/>
    <w:rsid w:val="00C16A98"/>
    <w:rsid w:val="00C16AA8"/>
    <w:rsid w:val="00C16D8C"/>
    <w:rsid w:val="00C16E34"/>
    <w:rsid w:val="00C17085"/>
    <w:rsid w:val="00C170AB"/>
    <w:rsid w:val="00C1723F"/>
    <w:rsid w:val="00C172F5"/>
    <w:rsid w:val="00C17C9D"/>
    <w:rsid w:val="00C20133"/>
    <w:rsid w:val="00C20565"/>
    <w:rsid w:val="00C209B9"/>
    <w:rsid w:val="00C20E5E"/>
    <w:rsid w:val="00C20ECD"/>
    <w:rsid w:val="00C20FB7"/>
    <w:rsid w:val="00C21457"/>
    <w:rsid w:val="00C216F6"/>
    <w:rsid w:val="00C21A04"/>
    <w:rsid w:val="00C21E19"/>
    <w:rsid w:val="00C21F3A"/>
    <w:rsid w:val="00C22457"/>
    <w:rsid w:val="00C225C9"/>
    <w:rsid w:val="00C22747"/>
    <w:rsid w:val="00C228C1"/>
    <w:rsid w:val="00C22925"/>
    <w:rsid w:val="00C22AD3"/>
    <w:rsid w:val="00C23107"/>
    <w:rsid w:val="00C2312D"/>
    <w:rsid w:val="00C2327B"/>
    <w:rsid w:val="00C233A1"/>
    <w:rsid w:val="00C234B7"/>
    <w:rsid w:val="00C2382A"/>
    <w:rsid w:val="00C23943"/>
    <w:rsid w:val="00C23A3F"/>
    <w:rsid w:val="00C23BE7"/>
    <w:rsid w:val="00C23EA8"/>
    <w:rsid w:val="00C2431D"/>
    <w:rsid w:val="00C24579"/>
    <w:rsid w:val="00C245E3"/>
    <w:rsid w:val="00C24710"/>
    <w:rsid w:val="00C24733"/>
    <w:rsid w:val="00C24C42"/>
    <w:rsid w:val="00C24FE6"/>
    <w:rsid w:val="00C2505B"/>
    <w:rsid w:val="00C251C6"/>
    <w:rsid w:val="00C2548E"/>
    <w:rsid w:val="00C2554C"/>
    <w:rsid w:val="00C2597E"/>
    <w:rsid w:val="00C25A2E"/>
    <w:rsid w:val="00C25DF5"/>
    <w:rsid w:val="00C2611C"/>
    <w:rsid w:val="00C26207"/>
    <w:rsid w:val="00C2623B"/>
    <w:rsid w:val="00C26433"/>
    <w:rsid w:val="00C2655F"/>
    <w:rsid w:val="00C26A5A"/>
    <w:rsid w:val="00C26DF3"/>
    <w:rsid w:val="00C26F1F"/>
    <w:rsid w:val="00C27117"/>
    <w:rsid w:val="00C273F3"/>
    <w:rsid w:val="00C273F4"/>
    <w:rsid w:val="00C27512"/>
    <w:rsid w:val="00C27B9F"/>
    <w:rsid w:val="00C27FB0"/>
    <w:rsid w:val="00C30155"/>
    <w:rsid w:val="00C3025E"/>
    <w:rsid w:val="00C3058B"/>
    <w:rsid w:val="00C3092D"/>
    <w:rsid w:val="00C30D6C"/>
    <w:rsid w:val="00C31404"/>
    <w:rsid w:val="00C31456"/>
    <w:rsid w:val="00C31493"/>
    <w:rsid w:val="00C31CFD"/>
    <w:rsid w:val="00C322E0"/>
    <w:rsid w:val="00C3269B"/>
    <w:rsid w:val="00C32B72"/>
    <w:rsid w:val="00C32F23"/>
    <w:rsid w:val="00C336D1"/>
    <w:rsid w:val="00C337AE"/>
    <w:rsid w:val="00C33B0B"/>
    <w:rsid w:val="00C33C32"/>
    <w:rsid w:val="00C33E75"/>
    <w:rsid w:val="00C33FD8"/>
    <w:rsid w:val="00C34084"/>
    <w:rsid w:val="00C34335"/>
    <w:rsid w:val="00C3456A"/>
    <w:rsid w:val="00C34599"/>
    <w:rsid w:val="00C34A62"/>
    <w:rsid w:val="00C34BAA"/>
    <w:rsid w:val="00C34D25"/>
    <w:rsid w:val="00C3502A"/>
    <w:rsid w:val="00C35097"/>
    <w:rsid w:val="00C354CB"/>
    <w:rsid w:val="00C357C3"/>
    <w:rsid w:val="00C35A6E"/>
    <w:rsid w:val="00C35C47"/>
    <w:rsid w:val="00C35FB2"/>
    <w:rsid w:val="00C36362"/>
    <w:rsid w:val="00C365A3"/>
    <w:rsid w:val="00C37091"/>
    <w:rsid w:val="00C3713E"/>
    <w:rsid w:val="00C371F5"/>
    <w:rsid w:val="00C37422"/>
    <w:rsid w:val="00C37653"/>
    <w:rsid w:val="00C37A9F"/>
    <w:rsid w:val="00C37F77"/>
    <w:rsid w:val="00C404E2"/>
    <w:rsid w:val="00C4052F"/>
    <w:rsid w:val="00C40692"/>
    <w:rsid w:val="00C40CD7"/>
    <w:rsid w:val="00C41577"/>
    <w:rsid w:val="00C415C5"/>
    <w:rsid w:val="00C4170A"/>
    <w:rsid w:val="00C417FB"/>
    <w:rsid w:val="00C41864"/>
    <w:rsid w:val="00C4196B"/>
    <w:rsid w:val="00C41F0C"/>
    <w:rsid w:val="00C42106"/>
    <w:rsid w:val="00C42FED"/>
    <w:rsid w:val="00C434E7"/>
    <w:rsid w:val="00C435D8"/>
    <w:rsid w:val="00C43689"/>
    <w:rsid w:val="00C4373F"/>
    <w:rsid w:val="00C43C51"/>
    <w:rsid w:val="00C43D33"/>
    <w:rsid w:val="00C44015"/>
    <w:rsid w:val="00C44055"/>
    <w:rsid w:val="00C445E6"/>
    <w:rsid w:val="00C44756"/>
    <w:rsid w:val="00C44804"/>
    <w:rsid w:val="00C448F6"/>
    <w:rsid w:val="00C449E7"/>
    <w:rsid w:val="00C44B75"/>
    <w:rsid w:val="00C45399"/>
    <w:rsid w:val="00C453CF"/>
    <w:rsid w:val="00C458BC"/>
    <w:rsid w:val="00C45D12"/>
    <w:rsid w:val="00C45D5F"/>
    <w:rsid w:val="00C4626A"/>
    <w:rsid w:val="00C4632C"/>
    <w:rsid w:val="00C46972"/>
    <w:rsid w:val="00C46BB8"/>
    <w:rsid w:val="00C46C6E"/>
    <w:rsid w:val="00C47165"/>
    <w:rsid w:val="00C47373"/>
    <w:rsid w:val="00C4761E"/>
    <w:rsid w:val="00C500A3"/>
    <w:rsid w:val="00C50510"/>
    <w:rsid w:val="00C50A2E"/>
    <w:rsid w:val="00C50A5D"/>
    <w:rsid w:val="00C50E00"/>
    <w:rsid w:val="00C50F2F"/>
    <w:rsid w:val="00C50FBA"/>
    <w:rsid w:val="00C51383"/>
    <w:rsid w:val="00C51478"/>
    <w:rsid w:val="00C516B3"/>
    <w:rsid w:val="00C518EB"/>
    <w:rsid w:val="00C51A54"/>
    <w:rsid w:val="00C51BC9"/>
    <w:rsid w:val="00C51EFF"/>
    <w:rsid w:val="00C51F9E"/>
    <w:rsid w:val="00C51FFC"/>
    <w:rsid w:val="00C5208A"/>
    <w:rsid w:val="00C523AD"/>
    <w:rsid w:val="00C52504"/>
    <w:rsid w:val="00C5253E"/>
    <w:rsid w:val="00C52F37"/>
    <w:rsid w:val="00C531F9"/>
    <w:rsid w:val="00C53267"/>
    <w:rsid w:val="00C53810"/>
    <w:rsid w:val="00C538DE"/>
    <w:rsid w:val="00C53A28"/>
    <w:rsid w:val="00C540F0"/>
    <w:rsid w:val="00C545C2"/>
    <w:rsid w:val="00C547B2"/>
    <w:rsid w:val="00C54B09"/>
    <w:rsid w:val="00C552D6"/>
    <w:rsid w:val="00C554D0"/>
    <w:rsid w:val="00C55CE2"/>
    <w:rsid w:val="00C560BD"/>
    <w:rsid w:val="00C5614B"/>
    <w:rsid w:val="00C56251"/>
    <w:rsid w:val="00C566B5"/>
    <w:rsid w:val="00C567D9"/>
    <w:rsid w:val="00C56B97"/>
    <w:rsid w:val="00C57148"/>
    <w:rsid w:val="00C5721E"/>
    <w:rsid w:val="00C574BE"/>
    <w:rsid w:val="00C57539"/>
    <w:rsid w:val="00C57571"/>
    <w:rsid w:val="00C57B1A"/>
    <w:rsid w:val="00C57CA8"/>
    <w:rsid w:val="00C57D8F"/>
    <w:rsid w:val="00C57E63"/>
    <w:rsid w:val="00C57E8E"/>
    <w:rsid w:val="00C57FB8"/>
    <w:rsid w:val="00C600E8"/>
    <w:rsid w:val="00C60115"/>
    <w:rsid w:val="00C601F1"/>
    <w:rsid w:val="00C60A98"/>
    <w:rsid w:val="00C60AF3"/>
    <w:rsid w:val="00C60CBC"/>
    <w:rsid w:val="00C610E8"/>
    <w:rsid w:val="00C61B28"/>
    <w:rsid w:val="00C6208D"/>
    <w:rsid w:val="00C620C5"/>
    <w:rsid w:val="00C6229F"/>
    <w:rsid w:val="00C62662"/>
    <w:rsid w:val="00C6286F"/>
    <w:rsid w:val="00C62969"/>
    <w:rsid w:val="00C62DB1"/>
    <w:rsid w:val="00C62E08"/>
    <w:rsid w:val="00C63064"/>
    <w:rsid w:val="00C63224"/>
    <w:rsid w:val="00C6342F"/>
    <w:rsid w:val="00C634F0"/>
    <w:rsid w:val="00C637B5"/>
    <w:rsid w:val="00C63F0E"/>
    <w:rsid w:val="00C64092"/>
    <w:rsid w:val="00C641D2"/>
    <w:rsid w:val="00C64536"/>
    <w:rsid w:val="00C646BC"/>
    <w:rsid w:val="00C647E2"/>
    <w:rsid w:val="00C64C4B"/>
    <w:rsid w:val="00C64D9B"/>
    <w:rsid w:val="00C65052"/>
    <w:rsid w:val="00C6539A"/>
    <w:rsid w:val="00C653D0"/>
    <w:rsid w:val="00C655BA"/>
    <w:rsid w:val="00C655D0"/>
    <w:rsid w:val="00C65D95"/>
    <w:rsid w:val="00C65ED3"/>
    <w:rsid w:val="00C6615F"/>
    <w:rsid w:val="00C66194"/>
    <w:rsid w:val="00C6632B"/>
    <w:rsid w:val="00C669C6"/>
    <w:rsid w:val="00C66A12"/>
    <w:rsid w:val="00C66EBC"/>
    <w:rsid w:val="00C66F90"/>
    <w:rsid w:val="00C670EF"/>
    <w:rsid w:val="00C67351"/>
    <w:rsid w:val="00C676FC"/>
    <w:rsid w:val="00C6774A"/>
    <w:rsid w:val="00C67B30"/>
    <w:rsid w:val="00C67C04"/>
    <w:rsid w:val="00C67D73"/>
    <w:rsid w:val="00C67D8B"/>
    <w:rsid w:val="00C67DCF"/>
    <w:rsid w:val="00C701FC"/>
    <w:rsid w:val="00C70651"/>
    <w:rsid w:val="00C70F5D"/>
    <w:rsid w:val="00C70F9D"/>
    <w:rsid w:val="00C710E6"/>
    <w:rsid w:val="00C710FA"/>
    <w:rsid w:val="00C7167A"/>
    <w:rsid w:val="00C71E14"/>
    <w:rsid w:val="00C71FD7"/>
    <w:rsid w:val="00C722CB"/>
    <w:rsid w:val="00C723A7"/>
    <w:rsid w:val="00C72620"/>
    <w:rsid w:val="00C727EF"/>
    <w:rsid w:val="00C7282E"/>
    <w:rsid w:val="00C728B6"/>
    <w:rsid w:val="00C72FF0"/>
    <w:rsid w:val="00C731EB"/>
    <w:rsid w:val="00C732CA"/>
    <w:rsid w:val="00C7346D"/>
    <w:rsid w:val="00C73506"/>
    <w:rsid w:val="00C735E7"/>
    <w:rsid w:val="00C739A4"/>
    <w:rsid w:val="00C73DC9"/>
    <w:rsid w:val="00C73E65"/>
    <w:rsid w:val="00C73E68"/>
    <w:rsid w:val="00C74217"/>
    <w:rsid w:val="00C74A26"/>
    <w:rsid w:val="00C753AD"/>
    <w:rsid w:val="00C75E20"/>
    <w:rsid w:val="00C76081"/>
    <w:rsid w:val="00C760B5"/>
    <w:rsid w:val="00C7629B"/>
    <w:rsid w:val="00C762FE"/>
    <w:rsid w:val="00C766B3"/>
    <w:rsid w:val="00C76720"/>
    <w:rsid w:val="00C7697B"/>
    <w:rsid w:val="00C769AF"/>
    <w:rsid w:val="00C76D62"/>
    <w:rsid w:val="00C76F64"/>
    <w:rsid w:val="00C7722B"/>
    <w:rsid w:val="00C77453"/>
    <w:rsid w:val="00C77563"/>
    <w:rsid w:val="00C779C1"/>
    <w:rsid w:val="00C77DD8"/>
    <w:rsid w:val="00C80147"/>
    <w:rsid w:val="00C802E6"/>
    <w:rsid w:val="00C80300"/>
    <w:rsid w:val="00C807E8"/>
    <w:rsid w:val="00C809BD"/>
    <w:rsid w:val="00C80A4B"/>
    <w:rsid w:val="00C80BF2"/>
    <w:rsid w:val="00C80C0B"/>
    <w:rsid w:val="00C81339"/>
    <w:rsid w:val="00C817B0"/>
    <w:rsid w:val="00C81DF2"/>
    <w:rsid w:val="00C820CC"/>
    <w:rsid w:val="00C82502"/>
    <w:rsid w:val="00C82533"/>
    <w:rsid w:val="00C82547"/>
    <w:rsid w:val="00C82D57"/>
    <w:rsid w:val="00C82E29"/>
    <w:rsid w:val="00C82E7C"/>
    <w:rsid w:val="00C82FD9"/>
    <w:rsid w:val="00C831BD"/>
    <w:rsid w:val="00C832F3"/>
    <w:rsid w:val="00C83AC0"/>
    <w:rsid w:val="00C83DD2"/>
    <w:rsid w:val="00C83E3D"/>
    <w:rsid w:val="00C843F9"/>
    <w:rsid w:val="00C845A3"/>
    <w:rsid w:val="00C84EBB"/>
    <w:rsid w:val="00C85079"/>
    <w:rsid w:val="00C8509B"/>
    <w:rsid w:val="00C850E5"/>
    <w:rsid w:val="00C85248"/>
    <w:rsid w:val="00C85378"/>
    <w:rsid w:val="00C85883"/>
    <w:rsid w:val="00C85A0F"/>
    <w:rsid w:val="00C85ACB"/>
    <w:rsid w:val="00C85E7A"/>
    <w:rsid w:val="00C8606A"/>
    <w:rsid w:val="00C8637E"/>
    <w:rsid w:val="00C867BB"/>
    <w:rsid w:val="00C86814"/>
    <w:rsid w:val="00C86920"/>
    <w:rsid w:val="00C86932"/>
    <w:rsid w:val="00C86B15"/>
    <w:rsid w:val="00C86BF4"/>
    <w:rsid w:val="00C86EF1"/>
    <w:rsid w:val="00C86F03"/>
    <w:rsid w:val="00C87191"/>
    <w:rsid w:val="00C87250"/>
    <w:rsid w:val="00C8726E"/>
    <w:rsid w:val="00C876B1"/>
    <w:rsid w:val="00C87786"/>
    <w:rsid w:val="00C8791C"/>
    <w:rsid w:val="00C87C01"/>
    <w:rsid w:val="00C87F5D"/>
    <w:rsid w:val="00C906CF"/>
    <w:rsid w:val="00C908C2"/>
    <w:rsid w:val="00C90931"/>
    <w:rsid w:val="00C90E0C"/>
    <w:rsid w:val="00C90F36"/>
    <w:rsid w:val="00C91227"/>
    <w:rsid w:val="00C912DB"/>
    <w:rsid w:val="00C91842"/>
    <w:rsid w:val="00C9197B"/>
    <w:rsid w:val="00C91AD4"/>
    <w:rsid w:val="00C920A0"/>
    <w:rsid w:val="00C920DF"/>
    <w:rsid w:val="00C921DD"/>
    <w:rsid w:val="00C921FB"/>
    <w:rsid w:val="00C9242B"/>
    <w:rsid w:val="00C9258D"/>
    <w:rsid w:val="00C92DF2"/>
    <w:rsid w:val="00C9308B"/>
    <w:rsid w:val="00C931E8"/>
    <w:rsid w:val="00C934BD"/>
    <w:rsid w:val="00C935C3"/>
    <w:rsid w:val="00C938FD"/>
    <w:rsid w:val="00C93913"/>
    <w:rsid w:val="00C93CA6"/>
    <w:rsid w:val="00C93F33"/>
    <w:rsid w:val="00C93F9C"/>
    <w:rsid w:val="00C9434A"/>
    <w:rsid w:val="00C943E3"/>
    <w:rsid w:val="00C94860"/>
    <w:rsid w:val="00C94FEA"/>
    <w:rsid w:val="00C95064"/>
    <w:rsid w:val="00C95466"/>
    <w:rsid w:val="00C95AFC"/>
    <w:rsid w:val="00C95B9A"/>
    <w:rsid w:val="00C96193"/>
    <w:rsid w:val="00C963E8"/>
    <w:rsid w:val="00C964E9"/>
    <w:rsid w:val="00C9671E"/>
    <w:rsid w:val="00C9688B"/>
    <w:rsid w:val="00C96977"/>
    <w:rsid w:val="00C96ACE"/>
    <w:rsid w:val="00C96C7C"/>
    <w:rsid w:val="00C97024"/>
    <w:rsid w:val="00C971D7"/>
    <w:rsid w:val="00C9760E"/>
    <w:rsid w:val="00C976FA"/>
    <w:rsid w:val="00C97784"/>
    <w:rsid w:val="00C97802"/>
    <w:rsid w:val="00C97993"/>
    <w:rsid w:val="00C97A21"/>
    <w:rsid w:val="00C97AE5"/>
    <w:rsid w:val="00C97F3D"/>
    <w:rsid w:val="00CA00F9"/>
    <w:rsid w:val="00CA0138"/>
    <w:rsid w:val="00CA0351"/>
    <w:rsid w:val="00CA09CE"/>
    <w:rsid w:val="00CA0F1E"/>
    <w:rsid w:val="00CA12FF"/>
    <w:rsid w:val="00CA145F"/>
    <w:rsid w:val="00CA14A4"/>
    <w:rsid w:val="00CA1918"/>
    <w:rsid w:val="00CA1BA6"/>
    <w:rsid w:val="00CA1C91"/>
    <w:rsid w:val="00CA1D53"/>
    <w:rsid w:val="00CA1DAA"/>
    <w:rsid w:val="00CA1F6A"/>
    <w:rsid w:val="00CA22EB"/>
    <w:rsid w:val="00CA24BB"/>
    <w:rsid w:val="00CA24DA"/>
    <w:rsid w:val="00CA24FD"/>
    <w:rsid w:val="00CA2ADF"/>
    <w:rsid w:val="00CA2AFE"/>
    <w:rsid w:val="00CA2CA2"/>
    <w:rsid w:val="00CA3079"/>
    <w:rsid w:val="00CA30A6"/>
    <w:rsid w:val="00CA3114"/>
    <w:rsid w:val="00CA3142"/>
    <w:rsid w:val="00CA3208"/>
    <w:rsid w:val="00CA331B"/>
    <w:rsid w:val="00CA359A"/>
    <w:rsid w:val="00CA3ECE"/>
    <w:rsid w:val="00CA42E5"/>
    <w:rsid w:val="00CA4363"/>
    <w:rsid w:val="00CA4786"/>
    <w:rsid w:val="00CA5BAB"/>
    <w:rsid w:val="00CA5D01"/>
    <w:rsid w:val="00CA5E9C"/>
    <w:rsid w:val="00CA6784"/>
    <w:rsid w:val="00CA6844"/>
    <w:rsid w:val="00CA6AFF"/>
    <w:rsid w:val="00CA6B3D"/>
    <w:rsid w:val="00CA6CA2"/>
    <w:rsid w:val="00CA6F5B"/>
    <w:rsid w:val="00CA70C1"/>
    <w:rsid w:val="00CA7358"/>
    <w:rsid w:val="00CA79D5"/>
    <w:rsid w:val="00CA7BE5"/>
    <w:rsid w:val="00CB0128"/>
    <w:rsid w:val="00CB070F"/>
    <w:rsid w:val="00CB0A8D"/>
    <w:rsid w:val="00CB1227"/>
    <w:rsid w:val="00CB12F6"/>
    <w:rsid w:val="00CB184D"/>
    <w:rsid w:val="00CB19F2"/>
    <w:rsid w:val="00CB1BBF"/>
    <w:rsid w:val="00CB1F3F"/>
    <w:rsid w:val="00CB24CB"/>
    <w:rsid w:val="00CB2DCC"/>
    <w:rsid w:val="00CB2E6B"/>
    <w:rsid w:val="00CB31BC"/>
    <w:rsid w:val="00CB3885"/>
    <w:rsid w:val="00CB396D"/>
    <w:rsid w:val="00CB399D"/>
    <w:rsid w:val="00CB3C28"/>
    <w:rsid w:val="00CB45D2"/>
    <w:rsid w:val="00CB47D6"/>
    <w:rsid w:val="00CB4E8C"/>
    <w:rsid w:val="00CB4FF0"/>
    <w:rsid w:val="00CB5071"/>
    <w:rsid w:val="00CB50B9"/>
    <w:rsid w:val="00CB5188"/>
    <w:rsid w:val="00CB52A5"/>
    <w:rsid w:val="00CB52B8"/>
    <w:rsid w:val="00CB539A"/>
    <w:rsid w:val="00CB56B2"/>
    <w:rsid w:val="00CB577E"/>
    <w:rsid w:val="00CB584E"/>
    <w:rsid w:val="00CB58AC"/>
    <w:rsid w:val="00CB5960"/>
    <w:rsid w:val="00CB5A95"/>
    <w:rsid w:val="00CB5B80"/>
    <w:rsid w:val="00CB603F"/>
    <w:rsid w:val="00CB6892"/>
    <w:rsid w:val="00CB689F"/>
    <w:rsid w:val="00CB6B24"/>
    <w:rsid w:val="00CB6EA2"/>
    <w:rsid w:val="00CB6F62"/>
    <w:rsid w:val="00CB7531"/>
    <w:rsid w:val="00CB7A5E"/>
    <w:rsid w:val="00CB7A7D"/>
    <w:rsid w:val="00CC012D"/>
    <w:rsid w:val="00CC0278"/>
    <w:rsid w:val="00CC0314"/>
    <w:rsid w:val="00CC034F"/>
    <w:rsid w:val="00CC05FF"/>
    <w:rsid w:val="00CC0837"/>
    <w:rsid w:val="00CC0B32"/>
    <w:rsid w:val="00CC0FC6"/>
    <w:rsid w:val="00CC1332"/>
    <w:rsid w:val="00CC16A2"/>
    <w:rsid w:val="00CC1979"/>
    <w:rsid w:val="00CC19BE"/>
    <w:rsid w:val="00CC1BE6"/>
    <w:rsid w:val="00CC1C76"/>
    <w:rsid w:val="00CC1F1C"/>
    <w:rsid w:val="00CC2C5E"/>
    <w:rsid w:val="00CC2D03"/>
    <w:rsid w:val="00CC2E28"/>
    <w:rsid w:val="00CC2ECB"/>
    <w:rsid w:val="00CC3039"/>
    <w:rsid w:val="00CC3077"/>
    <w:rsid w:val="00CC30C8"/>
    <w:rsid w:val="00CC325B"/>
    <w:rsid w:val="00CC355D"/>
    <w:rsid w:val="00CC374F"/>
    <w:rsid w:val="00CC3B49"/>
    <w:rsid w:val="00CC416F"/>
    <w:rsid w:val="00CC41CD"/>
    <w:rsid w:val="00CC4372"/>
    <w:rsid w:val="00CC44E1"/>
    <w:rsid w:val="00CC46F9"/>
    <w:rsid w:val="00CC470F"/>
    <w:rsid w:val="00CC4734"/>
    <w:rsid w:val="00CC49B5"/>
    <w:rsid w:val="00CC49CB"/>
    <w:rsid w:val="00CC4B44"/>
    <w:rsid w:val="00CC4BA1"/>
    <w:rsid w:val="00CC4C1E"/>
    <w:rsid w:val="00CC4CF5"/>
    <w:rsid w:val="00CC4D74"/>
    <w:rsid w:val="00CC50F1"/>
    <w:rsid w:val="00CC5477"/>
    <w:rsid w:val="00CC5605"/>
    <w:rsid w:val="00CC5F94"/>
    <w:rsid w:val="00CC64A0"/>
    <w:rsid w:val="00CC6782"/>
    <w:rsid w:val="00CC6B5C"/>
    <w:rsid w:val="00CC713C"/>
    <w:rsid w:val="00CC71E1"/>
    <w:rsid w:val="00CC727E"/>
    <w:rsid w:val="00CC75E6"/>
    <w:rsid w:val="00CC7D97"/>
    <w:rsid w:val="00CC7ED4"/>
    <w:rsid w:val="00CD00DF"/>
    <w:rsid w:val="00CD01A7"/>
    <w:rsid w:val="00CD048D"/>
    <w:rsid w:val="00CD051F"/>
    <w:rsid w:val="00CD0767"/>
    <w:rsid w:val="00CD07A5"/>
    <w:rsid w:val="00CD099C"/>
    <w:rsid w:val="00CD0C98"/>
    <w:rsid w:val="00CD0E75"/>
    <w:rsid w:val="00CD0EB9"/>
    <w:rsid w:val="00CD0F60"/>
    <w:rsid w:val="00CD136B"/>
    <w:rsid w:val="00CD1495"/>
    <w:rsid w:val="00CD15E2"/>
    <w:rsid w:val="00CD1BC7"/>
    <w:rsid w:val="00CD1D1F"/>
    <w:rsid w:val="00CD1F2A"/>
    <w:rsid w:val="00CD1FA7"/>
    <w:rsid w:val="00CD256A"/>
    <w:rsid w:val="00CD28A0"/>
    <w:rsid w:val="00CD2E41"/>
    <w:rsid w:val="00CD2ECA"/>
    <w:rsid w:val="00CD3177"/>
    <w:rsid w:val="00CD3251"/>
    <w:rsid w:val="00CD3268"/>
    <w:rsid w:val="00CD3B7E"/>
    <w:rsid w:val="00CD3CCB"/>
    <w:rsid w:val="00CD3F27"/>
    <w:rsid w:val="00CD3F64"/>
    <w:rsid w:val="00CD4159"/>
    <w:rsid w:val="00CD48A5"/>
    <w:rsid w:val="00CD4A98"/>
    <w:rsid w:val="00CD4E1E"/>
    <w:rsid w:val="00CD4F50"/>
    <w:rsid w:val="00CD5053"/>
    <w:rsid w:val="00CD5327"/>
    <w:rsid w:val="00CD536C"/>
    <w:rsid w:val="00CD5621"/>
    <w:rsid w:val="00CD583E"/>
    <w:rsid w:val="00CD594A"/>
    <w:rsid w:val="00CD5C57"/>
    <w:rsid w:val="00CD5D73"/>
    <w:rsid w:val="00CD6817"/>
    <w:rsid w:val="00CD6905"/>
    <w:rsid w:val="00CD6BD7"/>
    <w:rsid w:val="00CD6D3F"/>
    <w:rsid w:val="00CD6D45"/>
    <w:rsid w:val="00CD6D95"/>
    <w:rsid w:val="00CD6DDA"/>
    <w:rsid w:val="00CD6EA8"/>
    <w:rsid w:val="00CD7057"/>
    <w:rsid w:val="00CD7310"/>
    <w:rsid w:val="00CD7B9E"/>
    <w:rsid w:val="00CE026B"/>
    <w:rsid w:val="00CE05C2"/>
    <w:rsid w:val="00CE06E1"/>
    <w:rsid w:val="00CE086B"/>
    <w:rsid w:val="00CE08B3"/>
    <w:rsid w:val="00CE0B03"/>
    <w:rsid w:val="00CE0D11"/>
    <w:rsid w:val="00CE0E1E"/>
    <w:rsid w:val="00CE1188"/>
    <w:rsid w:val="00CE149A"/>
    <w:rsid w:val="00CE14B3"/>
    <w:rsid w:val="00CE1739"/>
    <w:rsid w:val="00CE1898"/>
    <w:rsid w:val="00CE1937"/>
    <w:rsid w:val="00CE1B82"/>
    <w:rsid w:val="00CE1D31"/>
    <w:rsid w:val="00CE2E49"/>
    <w:rsid w:val="00CE318E"/>
    <w:rsid w:val="00CE3264"/>
    <w:rsid w:val="00CE3525"/>
    <w:rsid w:val="00CE381E"/>
    <w:rsid w:val="00CE38C5"/>
    <w:rsid w:val="00CE417D"/>
    <w:rsid w:val="00CE430E"/>
    <w:rsid w:val="00CE44E4"/>
    <w:rsid w:val="00CE4844"/>
    <w:rsid w:val="00CE485F"/>
    <w:rsid w:val="00CE487C"/>
    <w:rsid w:val="00CE48C5"/>
    <w:rsid w:val="00CE49BC"/>
    <w:rsid w:val="00CE4B10"/>
    <w:rsid w:val="00CE4E2C"/>
    <w:rsid w:val="00CE4F81"/>
    <w:rsid w:val="00CE5113"/>
    <w:rsid w:val="00CE5596"/>
    <w:rsid w:val="00CE57AD"/>
    <w:rsid w:val="00CE59EB"/>
    <w:rsid w:val="00CE5B00"/>
    <w:rsid w:val="00CE5B4E"/>
    <w:rsid w:val="00CE5C19"/>
    <w:rsid w:val="00CE5DC4"/>
    <w:rsid w:val="00CE5F70"/>
    <w:rsid w:val="00CE6759"/>
    <w:rsid w:val="00CE6A34"/>
    <w:rsid w:val="00CE7144"/>
    <w:rsid w:val="00CE7230"/>
    <w:rsid w:val="00CE738E"/>
    <w:rsid w:val="00CE76C8"/>
    <w:rsid w:val="00CE7B6C"/>
    <w:rsid w:val="00CF0283"/>
    <w:rsid w:val="00CF029F"/>
    <w:rsid w:val="00CF0468"/>
    <w:rsid w:val="00CF0BC8"/>
    <w:rsid w:val="00CF0CC2"/>
    <w:rsid w:val="00CF1232"/>
    <w:rsid w:val="00CF14E1"/>
    <w:rsid w:val="00CF1607"/>
    <w:rsid w:val="00CF1799"/>
    <w:rsid w:val="00CF1A53"/>
    <w:rsid w:val="00CF1F74"/>
    <w:rsid w:val="00CF221D"/>
    <w:rsid w:val="00CF25B5"/>
    <w:rsid w:val="00CF2650"/>
    <w:rsid w:val="00CF3406"/>
    <w:rsid w:val="00CF359E"/>
    <w:rsid w:val="00CF35F8"/>
    <w:rsid w:val="00CF374F"/>
    <w:rsid w:val="00CF3841"/>
    <w:rsid w:val="00CF3CF8"/>
    <w:rsid w:val="00CF3D48"/>
    <w:rsid w:val="00CF3F43"/>
    <w:rsid w:val="00CF40E5"/>
    <w:rsid w:val="00CF4456"/>
    <w:rsid w:val="00CF49FA"/>
    <w:rsid w:val="00CF4B4E"/>
    <w:rsid w:val="00CF4C90"/>
    <w:rsid w:val="00CF4DC6"/>
    <w:rsid w:val="00CF5592"/>
    <w:rsid w:val="00CF61B5"/>
    <w:rsid w:val="00CF6A30"/>
    <w:rsid w:val="00CF6B02"/>
    <w:rsid w:val="00CF6DFB"/>
    <w:rsid w:val="00CF7223"/>
    <w:rsid w:val="00CF735D"/>
    <w:rsid w:val="00CF73D8"/>
    <w:rsid w:val="00CF7439"/>
    <w:rsid w:val="00CF78EF"/>
    <w:rsid w:val="00CF7D0F"/>
    <w:rsid w:val="00CF7DEB"/>
    <w:rsid w:val="00D001D1"/>
    <w:rsid w:val="00D003C1"/>
    <w:rsid w:val="00D006A3"/>
    <w:rsid w:val="00D006F9"/>
    <w:rsid w:val="00D00815"/>
    <w:rsid w:val="00D0087B"/>
    <w:rsid w:val="00D010EE"/>
    <w:rsid w:val="00D0113B"/>
    <w:rsid w:val="00D01209"/>
    <w:rsid w:val="00D013EB"/>
    <w:rsid w:val="00D014E2"/>
    <w:rsid w:val="00D0153A"/>
    <w:rsid w:val="00D01B7C"/>
    <w:rsid w:val="00D01F2C"/>
    <w:rsid w:val="00D02038"/>
    <w:rsid w:val="00D02043"/>
    <w:rsid w:val="00D0218A"/>
    <w:rsid w:val="00D023D2"/>
    <w:rsid w:val="00D02CE3"/>
    <w:rsid w:val="00D02FF5"/>
    <w:rsid w:val="00D034EA"/>
    <w:rsid w:val="00D03A01"/>
    <w:rsid w:val="00D03AA0"/>
    <w:rsid w:val="00D03B07"/>
    <w:rsid w:val="00D03B77"/>
    <w:rsid w:val="00D03E89"/>
    <w:rsid w:val="00D041F8"/>
    <w:rsid w:val="00D04564"/>
    <w:rsid w:val="00D04B0B"/>
    <w:rsid w:val="00D04CED"/>
    <w:rsid w:val="00D04DA4"/>
    <w:rsid w:val="00D05091"/>
    <w:rsid w:val="00D051A7"/>
    <w:rsid w:val="00D052F9"/>
    <w:rsid w:val="00D05487"/>
    <w:rsid w:val="00D0549A"/>
    <w:rsid w:val="00D05B44"/>
    <w:rsid w:val="00D05E1F"/>
    <w:rsid w:val="00D05EDC"/>
    <w:rsid w:val="00D05F5F"/>
    <w:rsid w:val="00D06C92"/>
    <w:rsid w:val="00D0706D"/>
    <w:rsid w:val="00D075AB"/>
    <w:rsid w:val="00D0764C"/>
    <w:rsid w:val="00D07750"/>
    <w:rsid w:val="00D07E7B"/>
    <w:rsid w:val="00D07EF4"/>
    <w:rsid w:val="00D07F7A"/>
    <w:rsid w:val="00D10308"/>
    <w:rsid w:val="00D10321"/>
    <w:rsid w:val="00D104EC"/>
    <w:rsid w:val="00D1080E"/>
    <w:rsid w:val="00D10A34"/>
    <w:rsid w:val="00D10AFE"/>
    <w:rsid w:val="00D10B64"/>
    <w:rsid w:val="00D10F24"/>
    <w:rsid w:val="00D10FC0"/>
    <w:rsid w:val="00D11081"/>
    <w:rsid w:val="00D11087"/>
    <w:rsid w:val="00D112E6"/>
    <w:rsid w:val="00D115E4"/>
    <w:rsid w:val="00D116FD"/>
    <w:rsid w:val="00D12064"/>
    <w:rsid w:val="00D124BD"/>
    <w:rsid w:val="00D12673"/>
    <w:rsid w:val="00D129A5"/>
    <w:rsid w:val="00D12F95"/>
    <w:rsid w:val="00D1353F"/>
    <w:rsid w:val="00D13585"/>
    <w:rsid w:val="00D13AB6"/>
    <w:rsid w:val="00D144B5"/>
    <w:rsid w:val="00D145F2"/>
    <w:rsid w:val="00D152A1"/>
    <w:rsid w:val="00D15988"/>
    <w:rsid w:val="00D15C6F"/>
    <w:rsid w:val="00D15D77"/>
    <w:rsid w:val="00D15EB7"/>
    <w:rsid w:val="00D16079"/>
    <w:rsid w:val="00D16337"/>
    <w:rsid w:val="00D16600"/>
    <w:rsid w:val="00D168A7"/>
    <w:rsid w:val="00D16B5A"/>
    <w:rsid w:val="00D16C94"/>
    <w:rsid w:val="00D16E27"/>
    <w:rsid w:val="00D170B3"/>
    <w:rsid w:val="00D1718A"/>
    <w:rsid w:val="00D1770B"/>
    <w:rsid w:val="00D17AB2"/>
    <w:rsid w:val="00D17CAA"/>
    <w:rsid w:val="00D17D10"/>
    <w:rsid w:val="00D200EF"/>
    <w:rsid w:val="00D202D2"/>
    <w:rsid w:val="00D20550"/>
    <w:rsid w:val="00D20659"/>
    <w:rsid w:val="00D20819"/>
    <w:rsid w:val="00D20888"/>
    <w:rsid w:val="00D20DE0"/>
    <w:rsid w:val="00D20E14"/>
    <w:rsid w:val="00D2111D"/>
    <w:rsid w:val="00D211BF"/>
    <w:rsid w:val="00D21205"/>
    <w:rsid w:val="00D21338"/>
    <w:rsid w:val="00D21540"/>
    <w:rsid w:val="00D21C63"/>
    <w:rsid w:val="00D223CC"/>
    <w:rsid w:val="00D22462"/>
    <w:rsid w:val="00D22543"/>
    <w:rsid w:val="00D225AA"/>
    <w:rsid w:val="00D2278F"/>
    <w:rsid w:val="00D228DF"/>
    <w:rsid w:val="00D22C44"/>
    <w:rsid w:val="00D22D7A"/>
    <w:rsid w:val="00D22F6F"/>
    <w:rsid w:val="00D23017"/>
    <w:rsid w:val="00D23696"/>
    <w:rsid w:val="00D23876"/>
    <w:rsid w:val="00D23E03"/>
    <w:rsid w:val="00D23E44"/>
    <w:rsid w:val="00D23EC6"/>
    <w:rsid w:val="00D24700"/>
    <w:rsid w:val="00D248C1"/>
    <w:rsid w:val="00D24BCA"/>
    <w:rsid w:val="00D24C1B"/>
    <w:rsid w:val="00D25016"/>
    <w:rsid w:val="00D25311"/>
    <w:rsid w:val="00D259A2"/>
    <w:rsid w:val="00D25FAB"/>
    <w:rsid w:val="00D2677A"/>
    <w:rsid w:val="00D26890"/>
    <w:rsid w:val="00D26D40"/>
    <w:rsid w:val="00D26F0D"/>
    <w:rsid w:val="00D278D6"/>
    <w:rsid w:val="00D27BE2"/>
    <w:rsid w:val="00D27F73"/>
    <w:rsid w:val="00D302D0"/>
    <w:rsid w:val="00D30455"/>
    <w:rsid w:val="00D307B5"/>
    <w:rsid w:val="00D30918"/>
    <w:rsid w:val="00D30B99"/>
    <w:rsid w:val="00D30E49"/>
    <w:rsid w:val="00D31131"/>
    <w:rsid w:val="00D313B4"/>
    <w:rsid w:val="00D31435"/>
    <w:rsid w:val="00D314B1"/>
    <w:rsid w:val="00D3168C"/>
    <w:rsid w:val="00D31A7C"/>
    <w:rsid w:val="00D31D08"/>
    <w:rsid w:val="00D31EEF"/>
    <w:rsid w:val="00D322B3"/>
    <w:rsid w:val="00D3239C"/>
    <w:rsid w:val="00D323AC"/>
    <w:rsid w:val="00D326BE"/>
    <w:rsid w:val="00D329CB"/>
    <w:rsid w:val="00D32BDC"/>
    <w:rsid w:val="00D32C0C"/>
    <w:rsid w:val="00D32F6E"/>
    <w:rsid w:val="00D32FF3"/>
    <w:rsid w:val="00D3335C"/>
    <w:rsid w:val="00D337A3"/>
    <w:rsid w:val="00D337EF"/>
    <w:rsid w:val="00D33B92"/>
    <w:rsid w:val="00D33E6C"/>
    <w:rsid w:val="00D34300"/>
    <w:rsid w:val="00D34409"/>
    <w:rsid w:val="00D347E6"/>
    <w:rsid w:val="00D34847"/>
    <w:rsid w:val="00D34BD1"/>
    <w:rsid w:val="00D34CEC"/>
    <w:rsid w:val="00D3513B"/>
    <w:rsid w:val="00D35187"/>
    <w:rsid w:val="00D3527B"/>
    <w:rsid w:val="00D35307"/>
    <w:rsid w:val="00D35310"/>
    <w:rsid w:val="00D35844"/>
    <w:rsid w:val="00D35B72"/>
    <w:rsid w:val="00D35B89"/>
    <w:rsid w:val="00D35C7C"/>
    <w:rsid w:val="00D35F86"/>
    <w:rsid w:val="00D360C1"/>
    <w:rsid w:val="00D3615E"/>
    <w:rsid w:val="00D364E5"/>
    <w:rsid w:val="00D365FF"/>
    <w:rsid w:val="00D366C9"/>
    <w:rsid w:val="00D36C97"/>
    <w:rsid w:val="00D36FAC"/>
    <w:rsid w:val="00D372F7"/>
    <w:rsid w:val="00D4004A"/>
    <w:rsid w:val="00D40529"/>
    <w:rsid w:val="00D409DA"/>
    <w:rsid w:val="00D40A38"/>
    <w:rsid w:val="00D40C97"/>
    <w:rsid w:val="00D410DD"/>
    <w:rsid w:val="00D4149A"/>
    <w:rsid w:val="00D4163B"/>
    <w:rsid w:val="00D41AF2"/>
    <w:rsid w:val="00D41C43"/>
    <w:rsid w:val="00D41CF4"/>
    <w:rsid w:val="00D41D96"/>
    <w:rsid w:val="00D42357"/>
    <w:rsid w:val="00D4235D"/>
    <w:rsid w:val="00D424C9"/>
    <w:rsid w:val="00D42EE0"/>
    <w:rsid w:val="00D43725"/>
    <w:rsid w:val="00D437CF"/>
    <w:rsid w:val="00D43988"/>
    <w:rsid w:val="00D43ADF"/>
    <w:rsid w:val="00D43CCD"/>
    <w:rsid w:val="00D43D2D"/>
    <w:rsid w:val="00D4426A"/>
    <w:rsid w:val="00D444AA"/>
    <w:rsid w:val="00D4510C"/>
    <w:rsid w:val="00D45307"/>
    <w:rsid w:val="00D45A42"/>
    <w:rsid w:val="00D45CE9"/>
    <w:rsid w:val="00D45DA0"/>
    <w:rsid w:val="00D45E25"/>
    <w:rsid w:val="00D46191"/>
    <w:rsid w:val="00D461D2"/>
    <w:rsid w:val="00D46254"/>
    <w:rsid w:val="00D46511"/>
    <w:rsid w:val="00D467B8"/>
    <w:rsid w:val="00D46871"/>
    <w:rsid w:val="00D46918"/>
    <w:rsid w:val="00D46B39"/>
    <w:rsid w:val="00D46CC2"/>
    <w:rsid w:val="00D46D2C"/>
    <w:rsid w:val="00D47393"/>
    <w:rsid w:val="00D474E2"/>
    <w:rsid w:val="00D476A3"/>
    <w:rsid w:val="00D47C0D"/>
    <w:rsid w:val="00D50098"/>
    <w:rsid w:val="00D5018B"/>
    <w:rsid w:val="00D504CA"/>
    <w:rsid w:val="00D50A1A"/>
    <w:rsid w:val="00D51005"/>
    <w:rsid w:val="00D515DA"/>
    <w:rsid w:val="00D51781"/>
    <w:rsid w:val="00D51AB6"/>
    <w:rsid w:val="00D51F77"/>
    <w:rsid w:val="00D523D0"/>
    <w:rsid w:val="00D52680"/>
    <w:rsid w:val="00D528B6"/>
    <w:rsid w:val="00D52AB0"/>
    <w:rsid w:val="00D52AFD"/>
    <w:rsid w:val="00D53334"/>
    <w:rsid w:val="00D534EF"/>
    <w:rsid w:val="00D536FB"/>
    <w:rsid w:val="00D53C3C"/>
    <w:rsid w:val="00D54123"/>
    <w:rsid w:val="00D542B1"/>
    <w:rsid w:val="00D542F8"/>
    <w:rsid w:val="00D54365"/>
    <w:rsid w:val="00D5458C"/>
    <w:rsid w:val="00D54618"/>
    <w:rsid w:val="00D54ACD"/>
    <w:rsid w:val="00D54B36"/>
    <w:rsid w:val="00D54D4E"/>
    <w:rsid w:val="00D54D53"/>
    <w:rsid w:val="00D551BF"/>
    <w:rsid w:val="00D553A7"/>
    <w:rsid w:val="00D55407"/>
    <w:rsid w:val="00D554E6"/>
    <w:rsid w:val="00D55681"/>
    <w:rsid w:val="00D55967"/>
    <w:rsid w:val="00D559A2"/>
    <w:rsid w:val="00D55AA2"/>
    <w:rsid w:val="00D55DDF"/>
    <w:rsid w:val="00D55EFF"/>
    <w:rsid w:val="00D5603F"/>
    <w:rsid w:val="00D56057"/>
    <w:rsid w:val="00D56322"/>
    <w:rsid w:val="00D573F5"/>
    <w:rsid w:val="00D57990"/>
    <w:rsid w:val="00D57B03"/>
    <w:rsid w:val="00D57CAC"/>
    <w:rsid w:val="00D57FD0"/>
    <w:rsid w:val="00D60588"/>
    <w:rsid w:val="00D605BE"/>
    <w:rsid w:val="00D608E4"/>
    <w:rsid w:val="00D60940"/>
    <w:rsid w:val="00D60966"/>
    <w:rsid w:val="00D609DB"/>
    <w:rsid w:val="00D60DD0"/>
    <w:rsid w:val="00D6143F"/>
    <w:rsid w:val="00D61812"/>
    <w:rsid w:val="00D61D79"/>
    <w:rsid w:val="00D61EE7"/>
    <w:rsid w:val="00D61F45"/>
    <w:rsid w:val="00D6246E"/>
    <w:rsid w:val="00D62640"/>
    <w:rsid w:val="00D62CB1"/>
    <w:rsid w:val="00D62E94"/>
    <w:rsid w:val="00D63084"/>
    <w:rsid w:val="00D63521"/>
    <w:rsid w:val="00D6361F"/>
    <w:rsid w:val="00D6366B"/>
    <w:rsid w:val="00D636B7"/>
    <w:rsid w:val="00D638BA"/>
    <w:rsid w:val="00D640C0"/>
    <w:rsid w:val="00D640D0"/>
    <w:rsid w:val="00D644B8"/>
    <w:rsid w:val="00D64869"/>
    <w:rsid w:val="00D64A21"/>
    <w:rsid w:val="00D64AEC"/>
    <w:rsid w:val="00D65205"/>
    <w:rsid w:val="00D6523C"/>
    <w:rsid w:val="00D65458"/>
    <w:rsid w:val="00D65523"/>
    <w:rsid w:val="00D6573A"/>
    <w:rsid w:val="00D659A5"/>
    <w:rsid w:val="00D65B0E"/>
    <w:rsid w:val="00D65B46"/>
    <w:rsid w:val="00D6601D"/>
    <w:rsid w:val="00D66070"/>
    <w:rsid w:val="00D660BA"/>
    <w:rsid w:val="00D66496"/>
    <w:rsid w:val="00D66935"/>
    <w:rsid w:val="00D66A8C"/>
    <w:rsid w:val="00D66BB9"/>
    <w:rsid w:val="00D66D58"/>
    <w:rsid w:val="00D671BE"/>
    <w:rsid w:val="00D67751"/>
    <w:rsid w:val="00D6775F"/>
    <w:rsid w:val="00D67A7A"/>
    <w:rsid w:val="00D705EF"/>
    <w:rsid w:val="00D70622"/>
    <w:rsid w:val="00D709E5"/>
    <w:rsid w:val="00D70B77"/>
    <w:rsid w:val="00D70C7A"/>
    <w:rsid w:val="00D7145B"/>
    <w:rsid w:val="00D715D7"/>
    <w:rsid w:val="00D7169B"/>
    <w:rsid w:val="00D71989"/>
    <w:rsid w:val="00D71A51"/>
    <w:rsid w:val="00D71AFF"/>
    <w:rsid w:val="00D71D72"/>
    <w:rsid w:val="00D71F15"/>
    <w:rsid w:val="00D7288E"/>
    <w:rsid w:val="00D72F47"/>
    <w:rsid w:val="00D73075"/>
    <w:rsid w:val="00D73234"/>
    <w:rsid w:val="00D7334E"/>
    <w:rsid w:val="00D735A8"/>
    <w:rsid w:val="00D73725"/>
    <w:rsid w:val="00D739C3"/>
    <w:rsid w:val="00D73B66"/>
    <w:rsid w:val="00D73E7C"/>
    <w:rsid w:val="00D73FFC"/>
    <w:rsid w:val="00D742CE"/>
    <w:rsid w:val="00D74754"/>
    <w:rsid w:val="00D74831"/>
    <w:rsid w:val="00D74D93"/>
    <w:rsid w:val="00D74E17"/>
    <w:rsid w:val="00D74E4D"/>
    <w:rsid w:val="00D7518D"/>
    <w:rsid w:val="00D7528A"/>
    <w:rsid w:val="00D7530E"/>
    <w:rsid w:val="00D755F5"/>
    <w:rsid w:val="00D75AD6"/>
    <w:rsid w:val="00D75BA1"/>
    <w:rsid w:val="00D76054"/>
    <w:rsid w:val="00D76435"/>
    <w:rsid w:val="00D76E50"/>
    <w:rsid w:val="00D77112"/>
    <w:rsid w:val="00D7736D"/>
    <w:rsid w:val="00D775A4"/>
    <w:rsid w:val="00D80010"/>
    <w:rsid w:val="00D80051"/>
    <w:rsid w:val="00D8038A"/>
    <w:rsid w:val="00D8116C"/>
    <w:rsid w:val="00D817E5"/>
    <w:rsid w:val="00D81B0C"/>
    <w:rsid w:val="00D81E9E"/>
    <w:rsid w:val="00D81F54"/>
    <w:rsid w:val="00D82D2A"/>
    <w:rsid w:val="00D83032"/>
    <w:rsid w:val="00D83225"/>
    <w:rsid w:val="00D83C11"/>
    <w:rsid w:val="00D83C13"/>
    <w:rsid w:val="00D83CEA"/>
    <w:rsid w:val="00D841BB"/>
    <w:rsid w:val="00D841DD"/>
    <w:rsid w:val="00D84242"/>
    <w:rsid w:val="00D8437E"/>
    <w:rsid w:val="00D84891"/>
    <w:rsid w:val="00D84FB7"/>
    <w:rsid w:val="00D84FFA"/>
    <w:rsid w:val="00D8512C"/>
    <w:rsid w:val="00D851D8"/>
    <w:rsid w:val="00D853EC"/>
    <w:rsid w:val="00D8546E"/>
    <w:rsid w:val="00D85AB1"/>
    <w:rsid w:val="00D85EA2"/>
    <w:rsid w:val="00D85FC1"/>
    <w:rsid w:val="00D86385"/>
    <w:rsid w:val="00D86558"/>
    <w:rsid w:val="00D865D6"/>
    <w:rsid w:val="00D8664C"/>
    <w:rsid w:val="00D8685F"/>
    <w:rsid w:val="00D86A07"/>
    <w:rsid w:val="00D86F10"/>
    <w:rsid w:val="00D87293"/>
    <w:rsid w:val="00D8748C"/>
    <w:rsid w:val="00D8772E"/>
    <w:rsid w:val="00D87979"/>
    <w:rsid w:val="00D87D04"/>
    <w:rsid w:val="00D87D2B"/>
    <w:rsid w:val="00D87F1C"/>
    <w:rsid w:val="00D906D9"/>
    <w:rsid w:val="00D90AE6"/>
    <w:rsid w:val="00D90BBA"/>
    <w:rsid w:val="00D90FA4"/>
    <w:rsid w:val="00D912AB"/>
    <w:rsid w:val="00D916CC"/>
    <w:rsid w:val="00D91CED"/>
    <w:rsid w:val="00D91F55"/>
    <w:rsid w:val="00D92149"/>
    <w:rsid w:val="00D92199"/>
    <w:rsid w:val="00D9270E"/>
    <w:rsid w:val="00D92848"/>
    <w:rsid w:val="00D92951"/>
    <w:rsid w:val="00D929E7"/>
    <w:rsid w:val="00D92AC3"/>
    <w:rsid w:val="00D92B3D"/>
    <w:rsid w:val="00D92C31"/>
    <w:rsid w:val="00D92C86"/>
    <w:rsid w:val="00D92E7E"/>
    <w:rsid w:val="00D92FCB"/>
    <w:rsid w:val="00D93304"/>
    <w:rsid w:val="00D937F2"/>
    <w:rsid w:val="00D93973"/>
    <w:rsid w:val="00D94514"/>
    <w:rsid w:val="00D94595"/>
    <w:rsid w:val="00D9476C"/>
    <w:rsid w:val="00D94DE3"/>
    <w:rsid w:val="00D95001"/>
    <w:rsid w:val="00D9522A"/>
    <w:rsid w:val="00D954F4"/>
    <w:rsid w:val="00D955B2"/>
    <w:rsid w:val="00D9589D"/>
    <w:rsid w:val="00D95A0C"/>
    <w:rsid w:val="00D9605F"/>
    <w:rsid w:val="00D96061"/>
    <w:rsid w:val="00D9618B"/>
    <w:rsid w:val="00D964B8"/>
    <w:rsid w:val="00D9651A"/>
    <w:rsid w:val="00D96584"/>
    <w:rsid w:val="00D9663B"/>
    <w:rsid w:val="00D96677"/>
    <w:rsid w:val="00D969A3"/>
    <w:rsid w:val="00D96B02"/>
    <w:rsid w:val="00D96BC2"/>
    <w:rsid w:val="00D96F4C"/>
    <w:rsid w:val="00D971EC"/>
    <w:rsid w:val="00D9742D"/>
    <w:rsid w:val="00D97536"/>
    <w:rsid w:val="00D97A90"/>
    <w:rsid w:val="00D97AF5"/>
    <w:rsid w:val="00D97F66"/>
    <w:rsid w:val="00DA0065"/>
    <w:rsid w:val="00DA078E"/>
    <w:rsid w:val="00DA0903"/>
    <w:rsid w:val="00DA0BA8"/>
    <w:rsid w:val="00DA1073"/>
    <w:rsid w:val="00DA10B6"/>
    <w:rsid w:val="00DA17F6"/>
    <w:rsid w:val="00DA189E"/>
    <w:rsid w:val="00DA1A9F"/>
    <w:rsid w:val="00DA1B5E"/>
    <w:rsid w:val="00DA1B80"/>
    <w:rsid w:val="00DA1DD3"/>
    <w:rsid w:val="00DA1E21"/>
    <w:rsid w:val="00DA229B"/>
    <w:rsid w:val="00DA2DDB"/>
    <w:rsid w:val="00DA3120"/>
    <w:rsid w:val="00DA361C"/>
    <w:rsid w:val="00DA3E5C"/>
    <w:rsid w:val="00DA3FFA"/>
    <w:rsid w:val="00DA4326"/>
    <w:rsid w:val="00DA46F1"/>
    <w:rsid w:val="00DA48D3"/>
    <w:rsid w:val="00DA4C32"/>
    <w:rsid w:val="00DA530D"/>
    <w:rsid w:val="00DA54BF"/>
    <w:rsid w:val="00DA5711"/>
    <w:rsid w:val="00DA58F4"/>
    <w:rsid w:val="00DA5B47"/>
    <w:rsid w:val="00DA5D63"/>
    <w:rsid w:val="00DA623B"/>
    <w:rsid w:val="00DA625D"/>
    <w:rsid w:val="00DA7305"/>
    <w:rsid w:val="00DA7817"/>
    <w:rsid w:val="00DA789A"/>
    <w:rsid w:val="00DA7C3E"/>
    <w:rsid w:val="00DA7EC3"/>
    <w:rsid w:val="00DA7EFF"/>
    <w:rsid w:val="00DB0281"/>
    <w:rsid w:val="00DB034D"/>
    <w:rsid w:val="00DB0789"/>
    <w:rsid w:val="00DB091E"/>
    <w:rsid w:val="00DB0A9D"/>
    <w:rsid w:val="00DB0E8F"/>
    <w:rsid w:val="00DB156B"/>
    <w:rsid w:val="00DB160C"/>
    <w:rsid w:val="00DB1A0C"/>
    <w:rsid w:val="00DB2024"/>
    <w:rsid w:val="00DB29AA"/>
    <w:rsid w:val="00DB2DD1"/>
    <w:rsid w:val="00DB2E25"/>
    <w:rsid w:val="00DB3110"/>
    <w:rsid w:val="00DB33CD"/>
    <w:rsid w:val="00DB34A4"/>
    <w:rsid w:val="00DB36A6"/>
    <w:rsid w:val="00DB3B61"/>
    <w:rsid w:val="00DB3CE6"/>
    <w:rsid w:val="00DB3F38"/>
    <w:rsid w:val="00DB4185"/>
    <w:rsid w:val="00DB4347"/>
    <w:rsid w:val="00DB438D"/>
    <w:rsid w:val="00DB45FE"/>
    <w:rsid w:val="00DB4C91"/>
    <w:rsid w:val="00DB4D0E"/>
    <w:rsid w:val="00DB542A"/>
    <w:rsid w:val="00DB6085"/>
    <w:rsid w:val="00DB6384"/>
    <w:rsid w:val="00DB68AB"/>
    <w:rsid w:val="00DB6DE8"/>
    <w:rsid w:val="00DB71F4"/>
    <w:rsid w:val="00DB77EA"/>
    <w:rsid w:val="00DB77F5"/>
    <w:rsid w:val="00DB7AB1"/>
    <w:rsid w:val="00DB7BDF"/>
    <w:rsid w:val="00DB7C02"/>
    <w:rsid w:val="00DB7F84"/>
    <w:rsid w:val="00DC002A"/>
    <w:rsid w:val="00DC04DC"/>
    <w:rsid w:val="00DC0869"/>
    <w:rsid w:val="00DC0B94"/>
    <w:rsid w:val="00DC0CE7"/>
    <w:rsid w:val="00DC0F8D"/>
    <w:rsid w:val="00DC12A2"/>
    <w:rsid w:val="00DC15CD"/>
    <w:rsid w:val="00DC1AB0"/>
    <w:rsid w:val="00DC1B06"/>
    <w:rsid w:val="00DC1B24"/>
    <w:rsid w:val="00DC258A"/>
    <w:rsid w:val="00DC2A47"/>
    <w:rsid w:val="00DC2AC3"/>
    <w:rsid w:val="00DC2B34"/>
    <w:rsid w:val="00DC2E30"/>
    <w:rsid w:val="00DC38FF"/>
    <w:rsid w:val="00DC3D94"/>
    <w:rsid w:val="00DC3F10"/>
    <w:rsid w:val="00DC3F93"/>
    <w:rsid w:val="00DC4600"/>
    <w:rsid w:val="00DC460C"/>
    <w:rsid w:val="00DC4D1B"/>
    <w:rsid w:val="00DC4DA3"/>
    <w:rsid w:val="00DC5140"/>
    <w:rsid w:val="00DC5825"/>
    <w:rsid w:val="00DC5E14"/>
    <w:rsid w:val="00DC5FD1"/>
    <w:rsid w:val="00DC607D"/>
    <w:rsid w:val="00DC61FA"/>
    <w:rsid w:val="00DC662B"/>
    <w:rsid w:val="00DC6BF0"/>
    <w:rsid w:val="00DC6C8E"/>
    <w:rsid w:val="00DC7248"/>
    <w:rsid w:val="00DC762E"/>
    <w:rsid w:val="00DC7664"/>
    <w:rsid w:val="00DC76A5"/>
    <w:rsid w:val="00DC7758"/>
    <w:rsid w:val="00DC7807"/>
    <w:rsid w:val="00DC7CAA"/>
    <w:rsid w:val="00DD04F5"/>
    <w:rsid w:val="00DD0754"/>
    <w:rsid w:val="00DD0882"/>
    <w:rsid w:val="00DD0924"/>
    <w:rsid w:val="00DD0A65"/>
    <w:rsid w:val="00DD0BBC"/>
    <w:rsid w:val="00DD0E16"/>
    <w:rsid w:val="00DD0EB6"/>
    <w:rsid w:val="00DD1298"/>
    <w:rsid w:val="00DD1338"/>
    <w:rsid w:val="00DD1487"/>
    <w:rsid w:val="00DD184A"/>
    <w:rsid w:val="00DD1A37"/>
    <w:rsid w:val="00DD1A66"/>
    <w:rsid w:val="00DD1A77"/>
    <w:rsid w:val="00DD1CF0"/>
    <w:rsid w:val="00DD1D12"/>
    <w:rsid w:val="00DD1F00"/>
    <w:rsid w:val="00DD21F8"/>
    <w:rsid w:val="00DD22B7"/>
    <w:rsid w:val="00DD2684"/>
    <w:rsid w:val="00DD2947"/>
    <w:rsid w:val="00DD33CB"/>
    <w:rsid w:val="00DD358B"/>
    <w:rsid w:val="00DD3DCB"/>
    <w:rsid w:val="00DD3E2E"/>
    <w:rsid w:val="00DD42EA"/>
    <w:rsid w:val="00DD46FB"/>
    <w:rsid w:val="00DD4735"/>
    <w:rsid w:val="00DD49BF"/>
    <w:rsid w:val="00DD4A86"/>
    <w:rsid w:val="00DD4DD8"/>
    <w:rsid w:val="00DD56E6"/>
    <w:rsid w:val="00DD5750"/>
    <w:rsid w:val="00DD59C5"/>
    <w:rsid w:val="00DD5CB3"/>
    <w:rsid w:val="00DD5CB6"/>
    <w:rsid w:val="00DD5F55"/>
    <w:rsid w:val="00DD60ED"/>
    <w:rsid w:val="00DD6279"/>
    <w:rsid w:val="00DD65CC"/>
    <w:rsid w:val="00DD69C0"/>
    <w:rsid w:val="00DD6D31"/>
    <w:rsid w:val="00DD6F6A"/>
    <w:rsid w:val="00DD719D"/>
    <w:rsid w:val="00DD73B1"/>
    <w:rsid w:val="00DD7451"/>
    <w:rsid w:val="00DD74DF"/>
    <w:rsid w:val="00DD767E"/>
    <w:rsid w:val="00DD77F9"/>
    <w:rsid w:val="00DD7E83"/>
    <w:rsid w:val="00DD7FCC"/>
    <w:rsid w:val="00DE013C"/>
    <w:rsid w:val="00DE019B"/>
    <w:rsid w:val="00DE0405"/>
    <w:rsid w:val="00DE0736"/>
    <w:rsid w:val="00DE07C0"/>
    <w:rsid w:val="00DE0994"/>
    <w:rsid w:val="00DE0D0F"/>
    <w:rsid w:val="00DE1522"/>
    <w:rsid w:val="00DE163F"/>
    <w:rsid w:val="00DE18FC"/>
    <w:rsid w:val="00DE19B9"/>
    <w:rsid w:val="00DE19D8"/>
    <w:rsid w:val="00DE1DF8"/>
    <w:rsid w:val="00DE222A"/>
    <w:rsid w:val="00DE2269"/>
    <w:rsid w:val="00DE269D"/>
    <w:rsid w:val="00DE2860"/>
    <w:rsid w:val="00DE2DE3"/>
    <w:rsid w:val="00DE2E7B"/>
    <w:rsid w:val="00DE30EF"/>
    <w:rsid w:val="00DE347A"/>
    <w:rsid w:val="00DE40EE"/>
    <w:rsid w:val="00DE4303"/>
    <w:rsid w:val="00DE442E"/>
    <w:rsid w:val="00DE48CD"/>
    <w:rsid w:val="00DE490E"/>
    <w:rsid w:val="00DE4ADA"/>
    <w:rsid w:val="00DE4D17"/>
    <w:rsid w:val="00DE4E98"/>
    <w:rsid w:val="00DE5083"/>
    <w:rsid w:val="00DE5B9B"/>
    <w:rsid w:val="00DE5E94"/>
    <w:rsid w:val="00DE6587"/>
    <w:rsid w:val="00DE66E5"/>
    <w:rsid w:val="00DE70C8"/>
    <w:rsid w:val="00DE71BC"/>
    <w:rsid w:val="00DE76AE"/>
    <w:rsid w:val="00DE79CA"/>
    <w:rsid w:val="00DE7B6B"/>
    <w:rsid w:val="00DE7CB4"/>
    <w:rsid w:val="00DF0186"/>
    <w:rsid w:val="00DF03B5"/>
    <w:rsid w:val="00DF03B8"/>
    <w:rsid w:val="00DF0586"/>
    <w:rsid w:val="00DF0DCF"/>
    <w:rsid w:val="00DF0E64"/>
    <w:rsid w:val="00DF1003"/>
    <w:rsid w:val="00DF11D3"/>
    <w:rsid w:val="00DF1269"/>
    <w:rsid w:val="00DF1705"/>
    <w:rsid w:val="00DF192B"/>
    <w:rsid w:val="00DF1947"/>
    <w:rsid w:val="00DF195D"/>
    <w:rsid w:val="00DF1B8B"/>
    <w:rsid w:val="00DF1EA4"/>
    <w:rsid w:val="00DF21D6"/>
    <w:rsid w:val="00DF239F"/>
    <w:rsid w:val="00DF2A30"/>
    <w:rsid w:val="00DF2CC1"/>
    <w:rsid w:val="00DF3163"/>
    <w:rsid w:val="00DF3684"/>
    <w:rsid w:val="00DF395C"/>
    <w:rsid w:val="00DF3D5A"/>
    <w:rsid w:val="00DF438D"/>
    <w:rsid w:val="00DF44E9"/>
    <w:rsid w:val="00DF45FD"/>
    <w:rsid w:val="00DF474D"/>
    <w:rsid w:val="00DF49E3"/>
    <w:rsid w:val="00DF4C61"/>
    <w:rsid w:val="00DF4EBA"/>
    <w:rsid w:val="00DF5149"/>
    <w:rsid w:val="00DF5185"/>
    <w:rsid w:val="00DF53C9"/>
    <w:rsid w:val="00DF56D7"/>
    <w:rsid w:val="00DF5716"/>
    <w:rsid w:val="00DF59D4"/>
    <w:rsid w:val="00DF5E9A"/>
    <w:rsid w:val="00DF5F58"/>
    <w:rsid w:val="00DF5F7C"/>
    <w:rsid w:val="00DF6179"/>
    <w:rsid w:val="00DF6210"/>
    <w:rsid w:val="00DF6232"/>
    <w:rsid w:val="00DF64F2"/>
    <w:rsid w:val="00DF6828"/>
    <w:rsid w:val="00DF6BF8"/>
    <w:rsid w:val="00DF6E6E"/>
    <w:rsid w:val="00DF6EC3"/>
    <w:rsid w:val="00DF762E"/>
    <w:rsid w:val="00DF7A97"/>
    <w:rsid w:val="00DF7B96"/>
    <w:rsid w:val="00DF7CDD"/>
    <w:rsid w:val="00E0026E"/>
    <w:rsid w:val="00E00390"/>
    <w:rsid w:val="00E003FF"/>
    <w:rsid w:val="00E00901"/>
    <w:rsid w:val="00E00D0C"/>
    <w:rsid w:val="00E01341"/>
    <w:rsid w:val="00E0137A"/>
    <w:rsid w:val="00E0140C"/>
    <w:rsid w:val="00E01FB8"/>
    <w:rsid w:val="00E01FCD"/>
    <w:rsid w:val="00E02584"/>
    <w:rsid w:val="00E02673"/>
    <w:rsid w:val="00E0269C"/>
    <w:rsid w:val="00E02AAE"/>
    <w:rsid w:val="00E02B82"/>
    <w:rsid w:val="00E02CE0"/>
    <w:rsid w:val="00E02EF4"/>
    <w:rsid w:val="00E0337B"/>
    <w:rsid w:val="00E03390"/>
    <w:rsid w:val="00E03874"/>
    <w:rsid w:val="00E038F5"/>
    <w:rsid w:val="00E0390F"/>
    <w:rsid w:val="00E03B2F"/>
    <w:rsid w:val="00E03BE9"/>
    <w:rsid w:val="00E04D29"/>
    <w:rsid w:val="00E04F01"/>
    <w:rsid w:val="00E04FA8"/>
    <w:rsid w:val="00E04FD6"/>
    <w:rsid w:val="00E05701"/>
    <w:rsid w:val="00E0599F"/>
    <w:rsid w:val="00E05BE5"/>
    <w:rsid w:val="00E05C64"/>
    <w:rsid w:val="00E05E89"/>
    <w:rsid w:val="00E06185"/>
    <w:rsid w:val="00E063EF"/>
    <w:rsid w:val="00E07853"/>
    <w:rsid w:val="00E07C3F"/>
    <w:rsid w:val="00E103A4"/>
    <w:rsid w:val="00E10444"/>
    <w:rsid w:val="00E10508"/>
    <w:rsid w:val="00E105DB"/>
    <w:rsid w:val="00E107E3"/>
    <w:rsid w:val="00E10A09"/>
    <w:rsid w:val="00E111EF"/>
    <w:rsid w:val="00E112AE"/>
    <w:rsid w:val="00E113AB"/>
    <w:rsid w:val="00E11959"/>
    <w:rsid w:val="00E11A94"/>
    <w:rsid w:val="00E11DAB"/>
    <w:rsid w:val="00E11EB7"/>
    <w:rsid w:val="00E11ECD"/>
    <w:rsid w:val="00E120C3"/>
    <w:rsid w:val="00E1228D"/>
    <w:rsid w:val="00E12474"/>
    <w:rsid w:val="00E127E6"/>
    <w:rsid w:val="00E1294A"/>
    <w:rsid w:val="00E129E5"/>
    <w:rsid w:val="00E12CA0"/>
    <w:rsid w:val="00E13183"/>
    <w:rsid w:val="00E1320F"/>
    <w:rsid w:val="00E1335B"/>
    <w:rsid w:val="00E137B8"/>
    <w:rsid w:val="00E140CF"/>
    <w:rsid w:val="00E1435C"/>
    <w:rsid w:val="00E144DF"/>
    <w:rsid w:val="00E14ACE"/>
    <w:rsid w:val="00E15007"/>
    <w:rsid w:val="00E151A9"/>
    <w:rsid w:val="00E153E6"/>
    <w:rsid w:val="00E15501"/>
    <w:rsid w:val="00E15653"/>
    <w:rsid w:val="00E161A4"/>
    <w:rsid w:val="00E16208"/>
    <w:rsid w:val="00E16468"/>
    <w:rsid w:val="00E16679"/>
    <w:rsid w:val="00E166EF"/>
    <w:rsid w:val="00E1696F"/>
    <w:rsid w:val="00E169B5"/>
    <w:rsid w:val="00E16B55"/>
    <w:rsid w:val="00E16BFD"/>
    <w:rsid w:val="00E1728B"/>
    <w:rsid w:val="00E17330"/>
    <w:rsid w:val="00E17524"/>
    <w:rsid w:val="00E1784E"/>
    <w:rsid w:val="00E17B86"/>
    <w:rsid w:val="00E17CFD"/>
    <w:rsid w:val="00E17D1A"/>
    <w:rsid w:val="00E17E6F"/>
    <w:rsid w:val="00E200B4"/>
    <w:rsid w:val="00E2010E"/>
    <w:rsid w:val="00E205E1"/>
    <w:rsid w:val="00E206FE"/>
    <w:rsid w:val="00E207F4"/>
    <w:rsid w:val="00E20B33"/>
    <w:rsid w:val="00E20D33"/>
    <w:rsid w:val="00E20FCB"/>
    <w:rsid w:val="00E20FFF"/>
    <w:rsid w:val="00E212EB"/>
    <w:rsid w:val="00E215A1"/>
    <w:rsid w:val="00E2168E"/>
    <w:rsid w:val="00E2199A"/>
    <w:rsid w:val="00E21D41"/>
    <w:rsid w:val="00E21E4E"/>
    <w:rsid w:val="00E21EC4"/>
    <w:rsid w:val="00E21FA9"/>
    <w:rsid w:val="00E21FD8"/>
    <w:rsid w:val="00E2203D"/>
    <w:rsid w:val="00E224E7"/>
    <w:rsid w:val="00E22B27"/>
    <w:rsid w:val="00E22B28"/>
    <w:rsid w:val="00E22F0B"/>
    <w:rsid w:val="00E231D9"/>
    <w:rsid w:val="00E234FF"/>
    <w:rsid w:val="00E236E2"/>
    <w:rsid w:val="00E2388C"/>
    <w:rsid w:val="00E238B9"/>
    <w:rsid w:val="00E2391C"/>
    <w:rsid w:val="00E2394C"/>
    <w:rsid w:val="00E239CF"/>
    <w:rsid w:val="00E23CED"/>
    <w:rsid w:val="00E244A7"/>
    <w:rsid w:val="00E24554"/>
    <w:rsid w:val="00E24623"/>
    <w:rsid w:val="00E24898"/>
    <w:rsid w:val="00E24A17"/>
    <w:rsid w:val="00E24B34"/>
    <w:rsid w:val="00E2502B"/>
    <w:rsid w:val="00E25384"/>
    <w:rsid w:val="00E2576E"/>
    <w:rsid w:val="00E25B1D"/>
    <w:rsid w:val="00E25CA3"/>
    <w:rsid w:val="00E25CFC"/>
    <w:rsid w:val="00E25D05"/>
    <w:rsid w:val="00E26955"/>
    <w:rsid w:val="00E26C5B"/>
    <w:rsid w:val="00E26F92"/>
    <w:rsid w:val="00E2711F"/>
    <w:rsid w:val="00E272D7"/>
    <w:rsid w:val="00E2739E"/>
    <w:rsid w:val="00E27697"/>
    <w:rsid w:val="00E278E7"/>
    <w:rsid w:val="00E27A9B"/>
    <w:rsid w:val="00E27B7A"/>
    <w:rsid w:val="00E27C54"/>
    <w:rsid w:val="00E27DBF"/>
    <w:rsid w:val="00E27E51"/>
    <w:rsid w:val="00E27FB7"/>
    <w:rsid w:val="00E3010D"/>
    <w:rsid w:val="00E303BC"/>
    <w:rsid w:val="00E303EC"/>
    <w:rsid w:val="00E30629"/>
    <w:rsid w:val="00E3074C"/>
    <w:rsid w:val="00E30798"/>
    <w:rsid w:val="00E30844"/>
    <w:rsid w:val="00E30AEC"/>
    <w:rsid w:val="00E30B2D"/>
    <w:rsid w:val="00E30BD4"/>
    <w:rsid w:val="00E31654"/>
    <w:rsid w:val="00E316A4"/>
    <w:rsid w:val="00E317A4"/>
    <w:rsid w:val="00E31AD0"/>
    <w:rsid w:val="00E31B45"/>
    <w:rsid w:val="00E31D0C"/>
    <w:rsid w:val="00E32031"/>
    <w:rsid w:val="00E32209"/>
    <w:rsid w:val="00E3233E"/>
    <w:rsid w:val="00E32657"/>
    <w:rsid w:val="00E32844"/>
    <w:rsid w:val="00E328BE"/>
    <w:rsid w:val="00E32BC3"/>
    <w:rsid w:val="00E330F4"/>
    <w:rsid w:val="00E332AF"/>
    <w:rsid w:val="00E338C4"/>
    <w:rsid w:val="00E33A43"/>
    <w:rsid w:val="00E345BC"/>
    <w:rsid w:val="00E3475D"/>
    <w:rsid w:val="00E349EA"/>
    <w:rsid w:val="00E35090"/>
    <w:rsid w:val="00E35109"/>
    <w:rsid w:val="00E351F9"/>
    <w:rsid w:val="00E35393"/>
    <w:rsid w:val="00E35547"/>
    <w:rsid w:val="00E357CD"/>
    <w:rsid w:val="00E36123"/>
    <w:rsid w:val="00E3634B"/>
    <w:rsid w:val="00E363ED"/>
    <w:rsid w:val="00E365DD"/>
    <w:rsid w:val="00E36732"/>
    <w:rsid w:val="00E367DB"/>
    <w:rsid w:val="00E367F6"/>
    <w:rsid w:val="00E368C8"/>
    <w:rsid w:val="00E36DA2"/>
    <w:rsid w:val="00E37157"/>
    <w:rsid w:val="00E373F7"/>
    <w:rsid w:val="00E3752E"/>
    <w:rsid w:val="00E375F2"/>
    <w:rsid w:val="00E3786E"/>
    <w:rsid w:val="00E37A7B"/>
    <w:rsid w:val="00E37D78"/>
    <w:rsid w:val="00E37FF3"/>
    <w:rsid w:val="00E40001"/>
    <w:rsid w:val="00E4034D"/>
    <w:rsid w:val="00E4038E"/>
    <w:rsid w:val="00E405F0"/>
    <w:rsid w:val="00E40605"/>
    <w:rsid w:val="00E41387"/>
    <w:rsid w:val="00E41C19"/>
    <w:rsid w:val="00E41E4D"/>
    <w:rsid w:val="00E4200D"/>
    <w:rsid w:val="00E4201B"/>
    <w:rsid w:val="00E425FE"/>
    <w:rsid w:val="00E428DC"/>
    <w:rsid w:val="00E42CFF"/>
    <w:rsid w:val="00E42DF3"/>
    <w:rsid w:val="00E42E84"/>
    <w:rsid w:val="00E431F1"/>
    <w:rsid w:val="00E43818"/>
    <w:rsid w:val="00E4387A"/>
    <w:rsid w:val="00E439B1"/>
    <w:rsid w:val="00E43D5E"/>
    <w:rsid w:val="00E43FEC"/>
    <w:rsid w:val="00E44134"/>
    <w:rsid w:val="00E4521B"/>
    <w:rsid w:val="00E45AAA"/>
    <w:rsid w:val="00E45BB5"/>
    <w:rsid w:val="00E45C63"/>
    <w:rsid w:val="00E45CC1"/>
    <w:rsid w:val="00E45D13"/>
    <w:rsid w:val="00E45F77"/>
    <w:rsid w:val="00E461D1"/>
    <w:rsid w:val="00E46517"/>
    <w:rsid w:val="00E466E5"/>
    <w:rsid w:val="00E469B3"/>
    <w:rsid w:val="00E46AE8"/>
    <w:rsid w:val="00E46F2C"/>
    <w:rsid w:val="00E47101"/>
    <w:rsid w:val="00E4729E"/>
    <w:rsid w:val="00E47342"/>
    <w:rsid w:val="00E47345"/>
    <w:rsid w:val="00E4770B"/>
    <w:rsid w:val="00E47EBD"/>
    <w:rsid w:val="00E47F72"/>
    <w:rsid w:val="00E50104"/>
    <w:rsid w:val="00E5027A"/>
    <w:rsid w:val="00E505CE"/>
    <w:rsid w:val="00E50C80"/>
    <w:rsid w:val="00E50DB2"/>
    <w:rsid w:val="00E510D9"/>
    <w:rsid w:val="00E51168"/>
    <w:rsid w:val="00E511E4"/>
    <w:rsid w:val="00E511E8"/>
    <w:rsid w:val="00E5146C"/>
    <w:rsid w:val="00E51922"/>
    <w:rsid w:val="00E51BE8"/>
    <w:rsid w:val="00E51D5A"/>
    <w:rsid w:val="00E52B28"/>
    <w:rsid w:val="00E532A7"/>
    <w:rsid w:val="00E5333F"/>
    <w:rsid w:val="00E53427"/>
    <w:rsid w:val="00E5361F"/>
    <w:rsid w:val="00E53697"/>
    <w:rsid w:val="00E53B68"/>
    <w:rsid w:val="00E53BB4"/>
    <w:rsid w:val="00E53CE6"/>
    <w:rsid w:val="00E53DC5"/>
    <w:rsid w:val="00E543A4"/>
    <w:rsid w:val="00E54480"/>
    <w:rsid w:val="00E544AF"/>
    <w:rsid w:val="00E54A24"/>
    <w:rsid w:val="00E55429"/>
    <w:rsid w:val="00E55BF4"/>
    <w:rsid w:val="00E55F5E"/>
    <w:rsid w:val="00E55FFD"/>
    <w:rsid w:val="00E56021"/>
    <w:rsid w:val="00E560BB"/>
    <w:rsid w:val="00E562EF"/>
    <w:rsid w:val="00E5680F"/>
    <w:rsid w:val="00E568A8"/>
    <w:rsid w:val="00E56AB2"/>
    <w:rsid w:val="00E56DD9"/>
    <w:rsid w:val="00E56E72"/>
    <w:rsid w:val="00E570CE"/>
    <w:rsid w:val="00E5722C"/>
    <w:rsid w:val="00E57562"/>
    <w:rsid w:val="00E57752"/>
    <w:rsid w:val="00E6002C"/>
    <w:rsid w:val="00E6008C"/>
    <w:rsid w:val="00E609C6"/>
    <w:rsid w:val="00E60C75"/>
    <w:rsid w:val="00E61464"/>
    <w:rsid w:val="00E61E09"/>
    <w:rsid w:val="00E61E67"/>
    <w:rsid w:val="00E621BA"/>
    <w:rsid w:val="00E625C3"/>
    <w:rsid w:val="00E627C7"/>
    <w:rsid w:val="00E63156"/>
    <w:rsid w:val="00E6318A"/>
    <w:rsid w:val="00E631BB"/>
    <w:rsid w:val="00E6367B"/>
    <w:rsid w:val="00E639D9"/>
    <w:rsid w:val="00E63A53"/>
    <w:rsid w:val="00E63BB5"/>
    <w:rsid w:val="00E63F54"/>
    <w:rsid w:val="00E64056"/>
    <w:rsid w:val="00E645F9"/>
    <w:rsid w:val="00E646E2"/>
    <w:rsid w:val="00E6475C"/>
    <w:rsid w:val="00E649C7"/>
    <w:rsid w:val="00E64E3E"/>
    <w:rsid w:val="00E64FC9"/>
    <w:rsid w:val="00E65182"/>
    <w:rsid w:val="00E65688"/>
    <w:rsid w:val="00E65C8B"/>
    <w:rsid w:val="00E662E5"/>
    <w:rsid w:val="00E66483"/>
    <w:rsid w:val="00E664DE"/>
    <w:rsid w:val="00E66DE7"/>
    <w:rsid w:val="00E66EE9"/>
    <w:rsid w:val="00E670CA"/>
    <w:rsid w:val="00E67361"/>
    <w:rsid w:val="00E67523"/>
    <w:rsid w:val="00E6774C"/>
    <w:rsid w:val="00E701C7"/>
    <w:rsid w:val="00E701DA"/>
    <w:rsid w:val="00E702B3"/>
    <w:rsid w:val="00E70427"/>
    <w:rsid w:val="00E70725"/>
    <w:rsid w:val="00E70776"/>
    <w:rsid w:val="00E70900"/>
    <w:rsid w:val="00E70E0B"/>
    <w:rsid w:val="00E70EC3"/>
    <w:rsid w:val="00E71711"/>
    <w:rsid w:val="00E71826"/>
    <w:rsid w:val="00E71A2D"/>
    <w:rsid w:val="00E71C61"/>
    <w:rsid w:val="00E71FF1"/>
    <w:rsid w:val="00E722CB"/>
    <w:rsid w:val="00E7244C"/>
    <w:rsid w:val="00E7275E"/>
    <w:rsid w:val="00E72988"/>
    <w:rsid w:val="00E72C34"/>
    <w:rsid w:val="00E72CDA"/>
    <w:rsid w:val="00E72CFC"/>
    <w:rsid w:val="00E72E4E"/>
    <w:rsid w:val="00E72F8F"/>
    <w:rsid w:val="00E730FD"/>
    <w:rsid w:val="00E73306"/>
    <w:rsid w:val="00E73AAD"/>
    <w:rsid w:val="00E73D31"/>
    <w:rsid w:val="00E73D76"/>
    <w:rsid w:val="00E74023"/>
    <w:rsid w:val="00E7412E"/>
    <w:rsid w:val="00E74546"/>
    <w:rsid w:val="00E74855"/>
    <w:rsid w:val="00E74B31"/>
    <w:rsid w:val="00E75386"/>
    <w:rsid w:val="00E75B4D"/>
    <w:rsid w:val="00E75D8B"/>
    <w:rsid w:val="00E76499"/>
    <w:rsid w:val="00E76A1B"/>
    <w:rsid w:val="00E772B1"/>
    <w:rsid w:val="00E7774C"/>
    <w:rsid w:val="00E77821"/>
    <w:rsid w:val="00E778C3"/>
    <w:rsid w:val="00E77BEC"/>
    <w:rsid w:val="00E77CF5"/>
    <w:rsid w:val="00E77EC6"/>
    <w:rsid w:val="00E8018E"/>
    <w:rsid w:val="00E80338"/>
    <w:rsid w:val="00E80C74"/>
    <w:rsid w:val="00E80F25"/>
    <w:rsid w:val="00E814B1"/>
    <w:rsid w:val="00E8162D"/>
    <w:rsid w:val="00E81706"/>
    <w:rsid w:val="00E81C2B"/>
    <w:rsid w:val="00E81CCE"/>
    <w:rsid w:val="00E81EDE"/>
    <w:rsid w:val="00E820EF"/>
    <w:rsid w:val="00E821D8"/>
    <w:rsid w:val="00E8231F"/>
    <w:rsid w:val="00E823A8"/>
    <w:rsid w:val="00E82425"/>
    <w:rsid w:val="00E82566"/>
    <w:rsid w:val="00E8287B"/>
    <w:rsid w:val="00E82BDB"/>
    <w:rsid w:val="00E82C29"/>
    <w:rsid w:val="00E82D12"/>
    <w:rsid w:val="00E82F79"/>
    <w:rsid w:val="00E83025"/>
    <w:rsid w:val="00E8308A"/>
    <w:rsid w:val="00E83273"/>
    <w:rsid w:val="00E83320"/>
    <w:rsid w:val="00E83586"/>
    <w:rsid w:val="00E83756"/>
    <w:rsid w:val="00E83B1E"/>
    <w:rsid w:val="00E83D67"/>
    <w:rsid w:val="00E8421B"/>
    <w:rsid w:val="00E84464"/>
    <w:rsid w:val="00E844F8"/>
    <w:rsid w:val="00E8494B"/>
    <w:rsid w:val="00E84BA1"/>
    <w:rsid w:val="00E84BE5"/>
    <w:rsid w:val="00E84C0F"/>
    <w:rsid w:val="00E84CC8"/>
    <w:rsid w:val="00E84D7A"/>
    <w:rsid w:val="00E8502D"/>
    <w:rsid w:val="00E850E1"/>
    <w:rsid w:val="00E85178"/>
    <w:rsid w:val="00E853A6"/>
    <w:rsid w:val="00E8558A"/>
    <w:rsid w:val="00E85DFF"/>
    <w:rsid w:val="00E85FE7"/>
    <w:rsid w:val="00E861AC"/>
    <w:rsid w:val="00E86341"/>
    <w:rsid w:val="00E8682F"/>
    <w:rsid w:val="00E86BE4"/>
    <w:rsid w:val="00E86D93"/>
    <w:rsid w:val="00E86E47"/>
    <w:rsid w:val="00E871DE"/>
    <w:rsid w:val="00E8749B"/>
    <w:rsid w:val="00E876D0"/>
    <w:rsid w:val="00E8777B"/>
    <w:rsid w:val="00E878FB"/>
    <w:rsid w:val="00E87C65"/>
    <w:rsid w:val="00E87E7E"/>
    <w:rsid w:val="00E90AB0"/>
    <w:rsid w:val="00E90E52"/>
    <w:rsid w:val="00E911E4"/>
    <w:rsid w:val="00E9133D"/>
    <w:rsid w:val="00E9167C"/>
    <w:rsid w:val="00E91A5A"/>
    <w:rsid w:val="00E91D82"/>
    <w:rsid w:val="00E921BA"/>
    <w:rsid w:val="00E9230A"/>
    <w:rsid w:val="00E927D9"/>
    <w:rsid w:val="00E92B16"/>
    <w:rsid w:val="00E92C97"/>
    <w:rsid w:val="00E92D78"/>
    <w:rsid w:val="00E92EC0"/>
    <w:rsid w:val="00E930ED"/>
    <w:rsid w:val="00E93886"/>
    <w:rsid w:val="00E93AF8"/>
    <w:rsid w:val="00E93DFD"/>
    <w:rsid w:val="00E940E0"/>
    <w:rsid w:val="00E94147"/>
    <w:rsid w:val="00E941D3"/>
    <w:rsid w:val="00E943D8"/>
    <w:rsid w:val="00E94483"/>
    <w:rsid w:val="00E954E1"/>
    <w:rsid w:val="00E9583A"/>
    <w:rsid w:val="00E95B12"/>
    <w:rsid w:val="00E96271"/>
    <w:rsid w:val="00E96439"/>
    <w:rsid w:val="00E9655E"/>
    <w:rsid w:val="00E96649"/>
    <w:rsid w:val="00E968A5"/>
    <w:rsid w:val="00E96C95"/>
    <w:rsid w:val="00E96D9C"/>
    <w:rsid w:val="00E96DB9"/>
    <w:rsid w:val="00E96E30"/>
    <w:rsid w:val="00E971AA"/>
    <w:rsid w:val="00E97383"/>
    <w:rsid w:val="00E97C44"/>
    <w:rsid w:val="00E97D53"/>
    <w:rsid w:val="00EA02DD"/>
    <w:rsid w:val="00EA072F"/>
    <w:rsid w:val="00EA0817"/>
    <w:rsid w:val="00EA082D"/>
    <w:rsid w:val="00EA09C6"/>
    <w:rsid w:val="00EA0B7C"/>
    <w:rsid w:val="00EA0C5F"/>
    <w:rsid w:val="00EA10A3"/>
    <w:rsid w:val="00EA1135"/>
    <w:rsid w:val="00EA1145"/>
    <w:rsid w:val="00EA15C3"/>
    <w:rsid w:val="00EA18F3"/>
    <w:rsid w:val="00EA1A7C"/>
    <w:rsid w:val="00EA22FC"/>
    <w:rsid w:val="00EA2948"/>
    <w:rsid w:val="00EA2A08"/>
    <w:rsid w:val="00EA301B"/>
    <w:rsid w:val="00EA3105"/>
    <w:rsid w:val="00EA312C"/>
    <w:rsid w:val="00EA31AD"/>
    <w:rsid w:val="00EA3C49"/>
    <w:rsid w:val="00EA3D9F"/>
    <w:rsid w:val="00EA3E36"/>
    <w:rsid w:val="00EA3EDE"/>
    <w:rsid w:val="00EA4043"/>
    <w:rsid w:val="00EA4622"/>
    <w:rsid w:val="00EA4D5A"/>
    <w:rsid w:val="00EA4DE6"/>
    <w:rsid w:val="00EA4E92"/>
    <w:rsid w:val="00EA5334"/>
    <w:rsid w:val="00EA5A08"/>
    <w:rsid w:val="00EA5CE2"/>
    <w:rsid w:val="00EA5F07"/>
    <w:rsid w:val="00EA60E4"/>
    <w:rsid w:val="00EA6769"/>
    <w:rsid w:val="00EA685B"/>
    <w:rsid w:val="00EA688A"/>
    <w:rsid w:val="00EA694A"/>
    <w:rsid w:val="00EA6991"/>
    <w:rsid w:val="00EA69EB"/>
    <w:rsid w:val="00EA69EC"/>
    <w:rsid w:val="00EA6B5B"/>
    <w:rsid w:val="00EA6CBC"/>
    <w:rsid w:val="00EA6CFF"/>
    <w:rsid w:val="00EA745D"/>
    <w:rsid w:val="00EA7797"/>
    <w:rsid w:val="00EA78D2"/>
    <w:rsid w:val="00EA7FC6"/>
    <w:rsid w:val="00EB0118"/>
    <w:rsid w:val="00EB01B6"/>
    <w:rsid w:val="00EB09B7"/>
    <w:rsid w:val="00EB0B9B"/>
    <w:rsid w:val="00EB0ECE"/>
    <w:rsid w:val="00EB1484"/>
    <w:rsid w:val="00EB1A01"/>
    <w:rsid w:val="00EB1A38"/>
    <w:rsid w:val="00EB1AB9"/>
    <w:rsid w:val="00EB25A3"/>
    <w:rsid w:val="00EB25C4"/>
    <w:rsid w:val="00EB272D"/>
    <w:rsid w:val="00EB2A3F"/>
    <w:rsid w:val="00EB2C53"/>
    <w:rsid w:val="00EB311A"/>
    <w:rsid w:val="00EB3224"/>
    <w:rsid w:val="00EB3385"/>
    <w:rsid w:val="00EB34FA"/>
    <w:rsid w:val="00EB3D6A"/>
    <w:rsid w:val="00EB3DF2"/>
    <w:rsid w:val="00EB3E32"/>
    <w:rsid w:val="00EB3F32"/>
    <w:rsid w:val="00EB4EBD"/>
    <w:rsid w:val="00EB5328"/>
    <w:rsid w:val="00EB5B05"/>
    <w:rsid w:val="00EB5BE1"/>
    <w:rsid w:val="00EB5CC5"/>
    <w:rsid w:val="00EB5EDB"/>
    <w:rsid w:val="00EB5F2A"/>
    <w:rsid w:val="00EB5F52"/>
    <w:rsid w:val="00EB68A0"/>
    <w:rsid w:val="00EB6961"/>
    <w:rsid w:val="00EB6E03"/>
    <w:rsid w:val="00EB6F6A"/>
    <w:rsid w:val="00EB72CE"/>
    <w:rsid w:val="00EB78B9"/>
    <w:rsid w:val="00EB7956"/>
    <w:rsid w:val="00EB7B3B"/>
    <w:rsid w:val="00EB7CE3"/>
    <w:rsid w:val="00EB7F4D"/>
    <w:rsid w:val="00EC01D1"/>
    <w:rsid w:val="00EC0374"/>
    <w:rsid w:val="00EC0406"/>
    <w:rsid w:val="00EC085B"/>
    <w:rsid w:val="00EC0BB4"/>
    <w:rsid w:val="00EC1584"/>
    <w:rsid w:val="00EC182A"/>
    <w:rsid w:val="00EC194A"/>
    <w:rsid w:val="00EC2576"/>
    <w:rsid w:val="00EC2808"/>
    <w:rsid w:val="00EC298A"/>
    <w:rsid w:val="00EC32A8"/>
    <w:rsid w:val="00EC35C0"/>
    <w:rsid w:val="00EC3B5E"/>
    <w:rsid w:val="00EC3D9C"/>
    <w:rsid w:val="00EC3F6D"/>
    <w:rsid w:val="00EC408A"/>
    <w:rsid w:val="00EC41D2"/>
    <w:rsid w:val="00EC424B"/>
    <w:rsid w:val="00EC486D"/>
    <w:rsid w:val="00EC4AA9"/>
    <w:rsid w:val="00EC4C9C"/>
    <w:rsid w:val="00EC515D"/>
    <w:rsid w:val="00EC57C2"/>
    <w:rsid w:val="00EC5E0E"/>
    <w:rsid w:val="00EC5E69"/>
    <w:rsid w:val="00EC64D4"/>
    <w:rsid w:val="00EC6970"/>
    <w:rsid w:val="00EC6FCF"/>
    <w:rsid w:val="00EC7533"/>
    <w:rsid w:val="00EC764C"/>
    <w:rsid w:val="00EC79A9"/>
    <w:rsid w:val="00EC7F26"/>
    <w:rsid w:val="00EC7FE8"/>
    <w:rsid w:val="00ED0225"/>
    <w:rsid w:val="00ED0391"/>
    <w:rsid w:val="00ED0561"/>
    <w:rsid w:val="00ED0605"/>
    <w:rsid w:val="00ED07AB"/>
    <w:rsid w:val="00ED080D"/>
    <w:rsid w:val="00ED08A3"/>
    <w:rsid w:val="00ED0C91"/>
    <w:rsid w:val="00ED0CBE"/>
    <w:rsid w:val="00ED0D21"/>
    <w:rsid w:val="00ED10B1"/>
    <w:rsid w:val="00ED11A6"/>
    <w:rsid w:val="00ED14BA"/>
    <w:rsid w:val="00ED17EC"/>
    <w:rsid w:val="00ED2075"/>
    <w:rsid w:val="00ED2131"/>
    <w:rsid w:val="00ED2180"/>
    <w:rsid w:val="00ED280B"/>
    <w:rsid w:val="00ED33B8"/>
    <w:rsid w:val="00ED38A7"/>
    <w:rsid w:val="00ED3ACF"/>
    <w:rsid w:val="00ED3E6F"/>
    <w:rsid w:val="00ED437D"/>
    <w:rsid w:val="00ED43C1"/>
    <w:rsid w:val="00ED44B7"/>
    <w:rsid w:val="00ED485B"/>
    <w:rsid w:val="00ED4AAE"/>
    <w:rsid w:val="00ED4C58"/>
    <w:rsid w:val="00ED4D25"/>
    <w:rsid w:val="00ED519D"/>
    <w:rsid w:val="00ED53A9"/>
    <w:rsid w:val="00ED53CB"/>
    <w:rsid w:val="00ED54D4"/>
    <w:rsid w:val="00ED59EF"/>
    <w:rsid w:val="00ED5A7D"/>
    <w:rsid w:val="00ED5CAE"/>
    <w:rsid w:val="00ED5DD6"/>
    <w:rsid w:val="00ED688A"/>
    <w:rsid w:val="00ED697B"/>
    <w:rsid w:val="00ED6ACF"/>
    <w:rsid w:val="00ED6C95"/>
    <w:rsid w:val="00ED70B8"/>
    <w:rsid w:val="00ED7140"/>
    <w:rsid w:val="00ED76A8"/>
    <w:rsid w:val="00ED7A11"/>
    <w:rsid w:val="00ED7BB2"/>
    <w:rsid w:val="00ED7D2E"/>
    <w:rsid w:val="00ED7F71"/>
    <w:rsid w:val="00EE01BA"/>
    <w:rsid w:val="00EE0266"/>
    <w:rsid w:val="00EE0498"/>
    <w:rsid w:val="00EE071C"/>
    <w:rsid w:val="00EE0818"/>
    <w:rsid w:val="00EE0BB6"/>
    <w:rsid w:val="00EE0C6E"/>
    <w:rsid w:val="00EE0DA0"/>
    <w:rsid w:val="00EE0DCD"/>
    <w:rsid w:val="00EE0EAA"/>
    <w:rsid w:val="00EE19A9"/>
    <w:rsid w:val="00EE19EF"/>
    <w:rsid w:val="00EE1E1F"/>
    <w:rsid w:val="00EE1E8E"/>
    <w:rsid w:val="00EE2252"/>
    <w:rsid w:val="00EE2562"/>
    <w:rsid w:val="00EE2E47"/>
    <w:rsid w:val="00EE30D1"/>
    <w:rsid w:val="00EE33AD"/>
    <w:rsid w:val="00EE3466"/>
    <w:rsid w:val="00EE3D2D"/>
    <w:rsid w:val="00EE3FEA"/>
    <w:rsid w:val="00EE4087"/>
    <w:rsid w:val="00EE47AE"/>
    <w:rsid w:val="00EE54ED"/>
    <w:rsid w:val="00EE5698"/>
    <w:rsid w:val="00EE5D0B"/>
    <w:rsid w:val="00EE60A7"/>
    <w:rsid w:val="00EE6E06"/>
    <w:rsid w:val="00EE71A5"/>
    <w:rsid w:val="00EE74DE"/>
    <w:rsid w:val="00EE77AD"/>
    <w:rsid w:val="00EE7912"/>
    <w:rsid w:val="00EE7AB4"/>
    <w:rsid w:val="00EE7D78"/>
    <w:rsid w:val="00EF0108"/>
    <w:rsid w:val="00EF0B96"/>
    <w:rsid w:val="00EF0E11"/>
    <w:rsid w:val="00EF10A5"/>
    <w:rsid w:val="00EF14D6"/>
    <w:rsid w:val="00EF1502"/>
    <w:rsid w:val="00EF1722"/>
    <w:rsid w:val="00EF172A"/>
    <w:rsid w:val="00EF1C95"/>
    <w:rsid w:val="00EF2085"/>
    <w:rsid w:val="00EF21DA"/>
    <w:rsid w:val="00EF22AD"/>
    <w:rsid w:val="00EF249F"/>
    <w:rsid w:val="00EF2612"/>
    <w:rsid w:val="00EF2C43"/>
    <w:rsid w:val="00EF2CED"/>
    <w:rsid w:val="00EF2F3F"/>
    <w:rsid w:val="00EF2FA6"/>
    <w:rsid w:val="00EF3229"/>
    <w:rsid w:val="00EF35D6"/>
    <w:rsid w:val="00EF36E7"/>
    <w:rsid w:val="00EF3E08"/>
    <w:rsid w:val="00EF3E60"/>
    <w:rsid w:val="00EF4074"/>
    <w:rsid w:val="00EF482B"/>
    <w:rsid w:val="00EF4956"/>
    <w:rsid w:val="00EF4C6A"/>
    <w:rsid w:val="00EF4E13"/>
    <w:rsid w:val="00EF5449"/>
    <w:rsid w:val="00EF5718"/>
    <w:rsid w:val="00EF610E"/>
    <w:rsid w:val="00EF621C"/>
    <w:rsid w:val="00EF64B8"/>
    <w:rsid w:val="00EF669B"/>
    <w:rsid w:val="00EF6972"/>
    <w:rsid w:val="00EF6A5C"/>
    <w:rsid w:val="00EF6B03"/>
    <w:rsid w:val="00EF6CEF"/>
    <w:rsid w:val="00EF6DE2"/>
    <w:rsid w:val="00EF6FD9"/>
    <w:rsid w:val="00EF702A"/>
    <w:rsid w:val="00EF70F4"/>
    <w:rsid w:val="00EF7F7F"/>
    <w:rsid w:val="00EF7FAA"/>
    <w:rsid w:val="00F000AD"/>
    <w:rsid w:val="00F002B6"/>
    <w:rsid w:val="00F006F6"/>
    <w:rsid w:val="00F00724"/>
    <w:rsid w:val="00F007F7"/>
    <w:rsid w:val="00F00C70"/>
    <w:rsid w:val="00F00E2F"/>
    <w:rsid w:val="00F00E35"/>
    <w:rsid w:val="00F00FDA"/>
    <w:rsid w:val="00F01103"/>
    <w:rsid w:val="00F015F8"/>
    <w:rsid w:val="00F01862"/>
    <w:rsid w:val="00F01865"/>
    <w:rsid w:val="00F01B85"/>
    <w:rsid w:val="00F01C94"/>
    <w:rsid w:val="00F02062"/>
    <w:rsid w:val="00F021AB"/>
    <w:rsid w:val="00F0226B"/>
    <w:rsid w:val="00F025C2"/>
    <w:rsid w:val="00F027B9"/>
    <w:rsid w:val="00F02AD6"/>
    <w:rsid w:val="00F02C23"/>
    <w:rsid w:val="00F02DA4"/>
    <w:rsid w:val="00F02F8B"/>
    <w:rsid w:val="00F02FB8"/>
    <w:rsid w:val="00F0318A"/>
    <w:rsid w:val="00F03246"/>
    <w:rsid w:val="00F03251"/>
    <w:rsid w:val="00F035B6"/>
    <w:rsid w:val="00F035BC"/>
    <w:rsid w:val="00F03AE2"/>
    <w:rsid w:val="00F03F52"/>
    <w:rsid w:val="00F041C3"/>
    <w:rsid w:val="00F04288"/>
    <w:rsid w:val="00F0489B"/>
    <w:rsid w:val="00F04A44"/>
    <w:rsid w:val="00F04C2C"/>
    <w:rsid w:val="00F059BD"/>
    <w:rsid w:val="00F05A1B"/>
    <w:rsid w:val="00F05C9E"/>
    <w:rsid w:val="00F062A2"/>
    <w:rsid w:val="00F06451"/>
    <w:rsid w:val="00F0678D"/>
    <w:rsid w:val="00F067D9"/>
    <w:rsid w:val="00F069EA"/>
    <w:rsid w:val="00F06ADD"/>
    <w:rsid w:val="00F06D37"/>
    <w:rsid w:val="00F06D5B"/>
    <w:rsid w:val="00F0739B"/>
    <w:rsid w:val="00F074DB"/>
    <w:rsid w:val="00F074E6"/>
    <w:rsid w:val="00F0750A"/>
    <w:rsid w:val="00F07560"/>
    <w:rsid w:val="00F077CA"/>
    <w:rsid w:val="00F07E21"/>
    <w:rsid w:val="00F100E1"/>
    <w:rsid w:val="00F10227"/>
    <w:rsid w:val="00F1067D"/>
    <w:rsid w:val="00F10B52"/>
    <w:rsid w:val="00F10E61"/>
    <w:rsid w:val="00F10FA2"/>
    <w:rsid w:val="00F11076"/>
    <w:rsid w:val="00F11216"/>
    <w:rsid w:val="00F11319"/>
    <w:rsid w:val="00F1147C"/>
    <w:rsid w:val="00F11E5A"/>
    <w:rsid w:val="00F11EAB"/>
    <w:rsid w:val="00F11FEF"/>
    <w:rsid w:val="00F12135"/>
    <w:rsid w:val="00F12244"/>
    <w:rsid w:val="00F124AC"/>
    <w:rsid w:val="00F127BC"/>
    <w:rsid w:val="00F128D0"/>
    <w:rsid w:val="00F12E37"/>
    <w:rsid w:val="00F12F89"/>
    <w:rsid w:val="00F130FE"/>
    <w:rsid w:val="00F1320A"/>
    <w:rsid w:val="00F13391"/>
    <w:rsid w:val="00F1351F"/>
    <w:rsid w:val="00F13680"/>
    <w:rsid w:val="00F136E1"/>
    <w:rsid w:val="00F1377B"/>
    <w:rsid w:val="00F1387D"/>
    <w:rsid w:val="00F1397C"/>
    <w:rsid w:val="00F13CCA"/>
    <w:rsid w:val="00F13EB5"/>
    <w:rsid w:val="00F1405F"/>
    <w:rsid w:val="00F1479D"/>
    <w:rsid w:val="00F147BC"/>
    <w:rsid w:val="00F14851"/>
    <w:rsid w:val="00F148DF"/>
    <w:rsid w:val="00F14E1C"/>
    <w:rsid w:val="00F15135"/>
    <w:rsid w:val="00F15275"/>
    <w:rsid w:val="00F15511"/>
    <w:rsid w:val="00F15542"/>
    <w:rsid w:val="00F15A7B"/>
    <w:rsid w:val="00F15C60"/>
    <w:rsid w:val="00F15D5D"/>
    <w:rsid w:val="00F15F7F"/>
    <w:rsid w:val="00F15FCA"/>
    <w:rsid w:val="00F162B9"/>
    <w:rsid w:val="00F163C8"/>
    <w:rsid w:val="00F16582"/>
    <w:rsid w:val="00F166A3"/>
    <w:rsid w:val="00F167F3"/>
    <w:rsid w:val="00F169B5"/>
    <w:rsid w:val="00F169ED"/>
    <w:rsid w:val="00F16BD3"/>
    <w:rsid w:val="00F1701D"/>
    <w:rsid w:val="00F1707B"/>
    <w:rsid w:val="00F170CA"/>
    <w:rsid w:val="00F17309"/>
    <w:rsid w:val="00F176FD"/>
    <w:rsid w:val="00F17911"/>
    <w:rsid w:val="00F17993"/>
    <w:rsid w:val="00F17A31"/>
    <w:rsid w:val="00F17B1F"/>
    <w:rsid w:val="00F17D76"/>
    <w:rsid w:val="00F20253"/>
    <w:rsid w:val="00F209F9"/>
    <w:rsid w:val="00F20C60"/>
    <w:rsid w:val="00F20D88"/>
    <w:rsid w:val="00F21380"/>
    <w:rsid w:val="00F214B4"/>
    <w:rsid w:val="00F21F36"/>
    <w:rsid w:val="00F2210B"/>
    <w:rsid w:val="00F22110"/>
    <w:rsid w:val="00F22468"/>
    <w:rsid w:val="00F225DF"/>
    <w:rsid w:val="00F226D1"/>
    <w:rsid w:val="00F227AC"/>
    <w:rsid w:val="00F229BE"/>
    <w:rsid w:val="00F22CFF"/>
    <w:rsid w:val="00F22D5F"/>
    <w:rsid w:val="00F2314A"/>
    <w:rsid w:val="00F236EF"/>
    <w:rsid w:val="00F2373E"/>
    <w:rsid w:val="00F237BC"/>
    <w:rsid w:val="00F23815"/>
    <w:rsid w:val="00F23D87"/>
    <w:rsid w:val="00F23EA5"/>
    <w:rsid w:val="00F23EF9"/>
    <w:rsid w:val="00F241E3"/>
    <w:rsid w:val="00F2423D"/>
    <w:rsid w:val="00F24310"/>
    <w:rsid w:val="00F2446D"/>
    <w:rsid w:val="00F2467E"/>
    <w:rsid w:val="00F248A1"/>
    <w:rsid w:val="00F24CB0"/>
    <w:rsid w:val="00F25137"/>
    <w:rsid w:val="00F255CD"/>
    <w:rsid w:val="00F256F9"/>
    <w:rsid w:val="00F25812"/>
    <w:rsid w:val="00F2591C"/>
    <w:rsid w:val="00F25B50"/>
    <w:rsid w:val="00F25B9B"/>
    <w:rsid w:val="00F25FD9"/>
    <w:rsid w:val="00F26043"/>
    <w:rsid w:val="00F2604F"/>
    <w:rsid w:val="00F26130"/>
    <w:rsid w:val="00F26397"/>
    <w:rsid w:val="00F263A5"/>
    <w:rsid w:val="00F26779"/>
    <w:rsid w:val="00F267B3"/>
    <w:rsid w:val="00F26C59"/>
    <w:rsid w:val="00F26EBC"/>
    <w:rsid w:val="00F2719B"/>
    <w:rsid w:val="00F2720A"/>
    <w:rsid w:val="00F275B5"/>
    <w:rsid w:val="00F303C4"/>
    <w:rsid w:val="00F30442"/>
    <w:rsid w:val="00F3070A"/>
    <w:rsid w:val="00F308E6"/>
    <w:rsid w:val="00F309C9"/>
    <w:rsid w:val="00F30D37"/>
    <w:rsid w:val="00F31016"/>
    <w:rsid w:val="00F3110B"/>
    <w:rsid w:val="00F314FD"/>
    <w:rsid w:val="00F3175A"/>
    <w:rsid w:val="00F31828"/>
    <w:rsid w:val="00F31A30"/>
    <w:rsid w:val="00F31B3D"/>
    <w:rsid w:val="00F31D30"/>
    <w:rsid w:val="00F32001"/>
    <w:rsid w:val="00F320D2"/>
    <w:rsid w:val="00F32248"/>
    <w:rsid w:val="00F324EC"/>
    <w:rsid w:val="00F3273D"/>
    <w:rsid w:val="00F3280C"/>
    <w:rsid w:val="00F32A61"/>
    <w:rsid w:val="00F32A78"/>
    <w:rsid w:val="00F32DD3"/>
    <w:rsid w:val="00F331DA"/>
    <w:rsid w:val="00F333C4"/>
    <w:rsid w:val="00F33453"/>
    <w:rsid w:val="00F335CD"/>
    <w:rsid w:val="00F33642"/>
    <w:rsid w:val="00F336D0"/>
    <w:rsid w:val="00F340A4"/>
    <w:rsid w:val="00F34157"/>
    <w:rsid w:val="00F34262"/>
    <w:rsid w:val="00F3432F"/>
    <w:rsid w:val="00F3452D"/>
    <w:rsid w:val="00F34C9E"/>
    <w:rsid w:val="00F34E34"/>
    <w:rsid w:val="00F351AC"/>
    <w:rsid w:val="00F3556B"/>
    <w:rsid w:val="00F35B91"/>
    <w:rsid w:val="00F35D8E"/>
    <w:rsid w:val="00F35F76"/>
    <w:rsid w:val="00F35FF4"/>
    <w:rsid w:val="00F361F1"/>
    <w:rsid w:val="00F36530"/>
    <w:rsid w:val="00F368A6"/>
    <w:rsid w:val="00F36B01"/>
    <w:rsid w:val="00F36BF3"/>
    <w:rsid w:val="00F36D3C"/>
    <w:rsid w:val="00F37AF2"/>
    <w:rsid w:val="00F37D3E"/>
    <w:rsid w:val="00F40104"/>
    <w:rsid w:val="00F404BF"/>
    <w:rsid w:val="00F40AE9"/>
    <w:rsid w:val="00F40B41"/>
    <w:rsid w:val="00F40D30"/>
    <w:rsid w:val="00F40D85"/>
    <w:rsid w:val="00F41001"/>
    <w:rsid w:val="00F41422"/>
    <w:rsid w:val="00F41AE9"/>
    <w:rsid w:val="00F41BEA"/>
    <w:rsid w:val="00F41C2C"/>
    <w:rsid w:val="00F41DFB"/>
    <w:rsid w:val="00F4207E"/>
    <w:rsid w:val="00F4224C"/>
    <w:rsid w:val="00F42270"/>
    <w:rsid w:val="00F42E6F"/>
    <w:rsid w:val="00F42FEE"/>
    <w:rsid w:val="00F4304F"/>
    <w:rsid w:val="00F430A2"/>
    <w:rsid w:val="00F431C4"/>
    <w:rsid w:val="00F43380"/>
    <w:rsid w:val="00F433BC"/>
    <w:rsid w:val="00F43808"/>
    <w:rsid w:val="00F43933"/>
    <w:rsid w:val="00F44313"/>
    <w:rsid w:val="00F44414"/>
    <w:rsid w:val="00F4452B"/>
    <w:rsid w:val="00F4459D"/>
    <w:rsid w:val="00F44705"/>
    <w:rsid w:val="00F44BBA"/>
    <w:rsid w:val="00F44CE9"/>
    <w:rsid w:val="00F44DA5"/>
    <w:rsid w:val="00F44E1A"/>
    <w:rsid w:val="00F44E3A"/>
    <w:rsid w:val="00F4542A"/>
    <w:rsid w:val="00F4559A"/>
    <w:rsid w:val="00F456DC"/>
    <w:rsid w:val="00F45839"/>
    <w:rsid w:val="00F45900"/>
    <w:rsid w:val="00F45950"/>
    <w:rsid w:val="00F45B0E"/>
    <w:rsid w:val="00F45D69"/>
    <w:rsid w:val="00F45F3D"/>
    <w:rsid w:val="00F460B3"/>
    <w:rsid w:val="00F4610C"/>
    <w:rsid w:val="00F463B2"/>
    <w:rsid w:val="00F463CD"/>
    <w:rsid w:val="00F46452"/>
    <w:rsid w:val="00F46840"/>
    <w:rsid w:val="00F46A02"/>
    <w:rsid w:val="00F46D71"/>
    <w:rsid w:val="00F470A1"/>
    <w:rsid w:val="00F4779E"/>
    <w:rsid w:val="00F47B10"/>
    <w:rsid w:val="00F50085"/>
    <w:rsid w:val="00F50095"/>
    <w:rsid w:val="00F508B2"/>
    <w:rsid w:val="00F5091C"/>
    <w:rsid w:val="00F50B3F"/>
    <w:rsid w:val="00F50EE6"/>
    <w:rsid w:val="00F511EF"/>
    <w:rsid w:val="00F512F0"/>
    <w:rsid w:val="00F517AE"/>
    <w:rsid w:val="00F51813"/>
    <w:rsid w:val="00F518D9"/>
    <w:rsid w:val="00F518FF"/>
    <w:rsid w:val="00F51D71"/>
    <w:rsid w:val="00F524B5"/>
    <w:rsid w:val="00F5251A"/>
    <w:rsid w:val="00F52578"/>
    <w:rsid w:val="00F529C8"/>
    <w:rsid w:val="00F529CA"/>
    <w:rsid w:val="00F52BBD"/>
    <w:rsid w:val="00F52DDF"/>
    <w:rsid w:val="00F5317D"/>
    <w:rsid w:val="00F53679"/>
    <w:rsid w:val="00F53699"/>
    <w:rsid w:val="00F538FD"/>
    <w:rsid w:val="00F53A5E"/>
    <w:rsid w:val="00F53BBC"/>
    <w:rsid w:val="00F5424E"/>
    <w:rsid w:val="00F54252"/>
    <w:rsid w:val="00F542E0"/>
    <w:rsid w:val="00F544F9"/>
    <w:rsid w:val="00F545FC"/>
    <w:rsid w:val="00F5465A"/>
    <w:rsid w:val="00F547FE"/>
    <w:rsid w:val="00F54880"/>
    <w:rsid w:val="00F5499C"/>
    <w:rsid w:val="00F5500D"/>
    <w:rsid w:val="00F551BA"/>
    <w:rsid w:val="00F55412"/>
    <w:rsid w:val="00F55638"/>
    <w:rsid w:val="00F559B8"/>
    <w:rsid w:val="00F55D3A"/>
    <w:rsid w:val="00F55FAB"/>
    <w:rsid w:val="00F566E8"/>
    <w:rsid w:val="00F56724"/>
    <w:rsid w:val="00F568D1"/>
    <w:rsid w:val="00F568D8"/>
    <w:rsid w:val="00F56D88"/>
    <w:rsid w:val="00F56F0A"/>
    <w:rsid w:val="00F57234"/>
    <w:rsid w:val="00F57498"/>
    <w:rsid w:val="00F57B98"/>
    <w:rsid w:val="00F57ED8"/>
    <w:rsid w:val="00F60B15"/>
    <w:rsid w:val="00F60C3A"/>
    <w:rsid w:val="00F6133E"/>
    <w:rsid w:val="00F61C2B"/>
    <w:rsid w:val="00F61C64"/>
    <w:rsid w:val="00F61E6B"/>
    <w:rsid w:val="00F62095"/>
    <w:rsid w:val="00F62127"/>
    <w:rsid w:val="00F62429"/>
    <w:rsid w:val="00F62455"/>
    <w:rsid w:val="00F62A54"/>
    <w:rsid w:val="00F62E5B"/>
    <w:rsid w:val="00F631D5"/>
    <w:rsid w:val="00F63281"/>
    <w:rsid w:val="00F632DA"/>
    <w:rsid w:val="00F636EB"/>
    <w:rsid w:val="00F63F8B"/>
    <w:rsid w:val="00F640F2"/>
    <w:rsid w:val="00F641C8"/>
    <w:rsid w:val="00F6433C"/>
    <w:rsid w:val="00F644D1"/>
    <w:rsid w:val="00F64746"/>
    <w:rsid w:val="00F64975"/>
    <w:rsid w:val="00F64CE8"/>
    <w:rsid w:val="00F64D6E"/>
    <w:rsid w:val="00F657B0"/>
    <w:rsid w:val="00F65981"/>
    <w:rsid w:val="00F65F4A"/>
    <w:rsid w:val="00F665C1"/>
    <w:rsid w:val="00F66914"/>
    <w:rsid w:val="00F670F6"/>
    <w:rsid w:val="00F70092"/>
    <w:rsid w:val="00F701B8"/>
    <w:rsid w:val="00F704D8"/>
    <w:rsid w:val="00F707A2"/>
    <w:rsid w:val="00F70C8E"/>
    <w:rsid w:val="00F70F2B"/>
    <w:rsid w:val="00F71098"/>
    <w:rsid w:val="00F710E2"/>
    <w:rsid w:val="00F7123C"/>
    <w:rsid w:val="00F715C7"/>
    <w:rsid w:val="00F71BFC"/>
    <w:rsid w:val="00F71C97"/>
    <w:rsid w:val="00F71D00"/>
    <w:rsid w:val="00F71D9F"/>
    <w:rsid w:val="00F71E0E"/>
    <w:rsid w:val="00F71FBC"/>
    <w:rsid w:val="00F721A0"/>
    <w:rsid w:val="00F7252B"/>
    <w:rsid w:val="00F72664"/>
    <w:rsid w:val="00F726AB"/>
    <w:rsid w:val="00F72816"/>
    <w:rsid w:val="00F72DA4"/>
    <w:rsid w:val="00F72E50"/>
    <w:rsid w:val="00F730C5"/>
    <w:rsid w:val="00F7363E"/>
    <w:rsid w:val="00F7389A"/>
    <w:rsid w:val="00F73952"/>
    <w:rsid w:val="00F739D1"/>
    <w:rsid w:val="00F73D36"/>
    <w:rsid w:val="00F73EBB"/>
    <w:rsid w:val="00F73EE3"/>
    <w:rsid w:val="00F73F30"/>
    <w:rsid w:val="00F73FA0"/>
    <w:rsid w:val="00F7421B"/>
    <w:rsid w:val="00F74E93"/>
    <w:rsid w:val="00F74EB9"/>
    <w:rsid w:val="00F752B6"/>
    <w:rsid w:val="00F75583"/>
    <w:rsid w:val="00F7559C"/>
    <w:rsid w:val="00F7584F"/>
    <w:rsid w:val="00F758D8"/>
    <w:rsid w:val="00F75960"/>
    <w:rsid w:val="00F75C7B"/>
    <w:rsid w:val="00F76239"/>
    <w:rsid w:val="00F7648A"/>
    <w:rsid w:val="00F766BC"/>
    <w:rsid w:val="00F76744"/>
    <w:rsid w:val="00F76C92"/>
    <w:rsid w:val="00F76CB5"/>
    <w:rsid w:val="00F76D86"/>
    <w:rsid w:val="00F774BA"/>
    <w:rsid w:val="00F77621"/>
    <w:rsid w:val="00F77EBE"/>
    <w:rsid w:val="00F77F0D"/>
    <w:rsid w:val="00F80941"/>
    <w:rsid w:val="00F810BF"/>
    <w:rsid w:val="00F81103"/>
    <w:rsid w:val="00F8133A"/>
    <w:rsid w:val="00F8133B"/>
    <w:rsid w:val="00F813A4"/>
    <w:rsid w:val="00F813AE"/>
    <w:rsid w:val="00F815A3"/>
    <w:rsid w:val="00F81B31"/>
    <w:rsid w:val="00F81DED"/>
    <w:rsid w:val="00F81EAF"/>
    <w:rsid w:val="00F822A0"/>
    <w:rsid w:val="00F82F19"/>
    <w:rsid w:val="00F83225"/>
    <w:rsid w:val="00F83322"/>
    <w:rsid w:val="00F83478"/>
    <w:rsid w:val="00F8392C"/>
    <w:rsid w:val="00F83C68"/>
    <w:rsid w:val="00F83C91"/>
    <w:rsid w:val="00F83D0E"/>
    <w:rsid w:val="00F83DF1"/>
    <w:rsid w:val="00F84816"/>
    <w:rsid w:val="00F8496B"/>
    <w:rsid w:val="00F84B70"/>
    <w:rsid w:val="00F84CB6"/>
    <w:rsid w:val="00F84F7C"/>
    <w:rsid w:val="00F85818"/>
    <w:rsid w:val="00F85C7D"/>
    <w:rsid w:val="00F86066"/>
    <w:rsid w:val="00F86235"/>
    <w:rsid w:val="00F8681D"/>
    <w:rsid w:val="00F8689B"/>
    <w:rsid w:val="00F86D52"/>
    <w:rsid w:val="00F86DB8"/>
    <w:rsid w:val="00F86F9A"/>
    <w:rsid w:val="00F8713A"/>
    <w:rsid w:val="00F872D7"/>
    <w:rsid w:val="00F87609"/>
    <w:rsid w:val="00F8761A"/>
    <w:rsid w:val="00F87805"/>
    <w:rsid w:val="00F87901"/>
    <w:rsid w:val="00F87A86"/>
    <w:rsid w:val="00F9020E"/>
    <w:rsid w:val="00F902DD"/>
    <w:rsid w:val="00F90334"/>
    <w:rsid w:val="00F90EAA"/>
    <w:rsid w:val="00F90F0C"/>
    <w:rsid w:val="00F91170"/>
    <w:rsid w:val="00F912E1"/>
    <w:rsid w:val="00F912FE"/>
    <w:rsid w:val="00F9146C"/>
    <w:rsid w:val="00F914E8"/>
    <w:rsid w:val="00F917B7"/>
    <w:rsid w:val="00F91950"/>
    <w:rsid w:val="00F91ED0"/>
    <w:rsid w:val="00F92242"/>
    <w:rsid w:val="00F922D3"/>
    <w:rsid w:val="00F92696"/>
    <w:rsid w:val="00F92BF6"/>
    <w:rsid w:val="00F92DEE"/>
    <w:rsid w:val="00F92F91"/>
    <w:rsid w:val="00F93627"/>
    <w:rsid w:val="00F93789"/>
    <w:rsid w:val="00F93854"/>
    <w:rsid w:val="00F93967"/>
    <w:rsid w:val="00F93EDF"/>
    <w:rsid w:val="00F947EA"/>
    <w:rsid w:val="00F948C6"/>
    <w:rsid w:val="00F94996"/>
    <w:rsid w:val="00F94A76"/>
    <w:rsid w:val="00F94CA1"/>
    <w:rsid w:val="00F94E48"/>
    <w:rsid w:val="00F94F73"/>
    <w:rsid w:val="00F951C0"/>
    <w:rsid w:val="00F95E6B"/>
    <w:rsid w:val="00F95F96"/>
    <w:rsid w:val="00F96382"/>
    <w:rsid w:val="00F965D1"/>
    <w:rsid w:val="00F9674A"/>
    <w:rsid w:val="00F96DE7"/>
    <w:rsid w:val="00F96FDE"/>
    <w:rsid w:val="00F97221"/>
    <w:rsid w:val="00F975AB"/>
    <w:rsid w:val="00F976EF"/>
    <w:rsid w:val="00F97D48"/>
    <w:rsid w:val="00F97DA7"/>
    <w:rsid w:val="00FA00DA"/>
    <w:rsid w:val="00FA02A6"/>
    <w:rsid w:val="00FA05D7"/>
    <w:rsid w:val="00FA07CF"/>
    <w:rsid w:val="00FA091A"/>
    <w:rsid w:val="00FA0981"/>
    <w:rsid w:val="00FA09E7"/>
    <w:rsid w:val="00FA0EE6"/>
    <w:rsid w:val="00FA15C6"/>
    <w:rsid w:val="00FA1739"/>
    <w:rsid w:val="00FA1B8E"/>
    <w:rsid w:val="00FA1C1F"/>
    <w:rsid w:val="00FA1CC4"/>
    <w:rsid w:val="00FA2008"/>
    <w:rsid w:val="00FA21C3"/>
    <w:rsid w:val="00FA2385"/>
    <w:rsid w:val="00FA239E"/>
    <w:rsid w:val="00FA2820"/>
    <w:rsid w:val="00FA2838"/>
    <w:rsid w:val="00FA2D2C"/>
    <w:rsid w:val="00FA3029"/>
    <w:rsid w:val="00FA318C"/>
    <w:rsid w:val="00FA32ED"/>
    <w:rsid w:val="00FA3327"/>
    <w:rsid w:val="00FA350C"/>
    <w:rsid w:val="00FA356C"/>
    <w:rsid w:val="00FA3F75"/>
    <w:rsid w:val="00FA40EC"/>
    <w:rsid w:val="00FA462A"/>
    <w:rsid w:val="00FA46BA"/>
    <w:rsid w:val="00FA48EF"/>
    <w:rsid w:val="00FA4AA4"/>
    <w:rsid w:val="00FA4EF9"/>
    <w:rsid w:val="00FA4FC9"/>
    <w:rsid w:val="00FA5017"/>
    <w:rsid w:val="00FA5510"/>
    <w:rsid w:val="00FA5545"/>
    <w:rsid w:val="00FA55A8"/>
    <w:rsid w:val="00FA570F"/>
    <w:rsid w:val="00FA5953"/>
    <w:rsid w:val="00FA5E29"/>
    <w:rsid w:val="00FA5E8D"/>
    <w:rsid w:val="00FA6164"/>
    <w:rsid w:val="00FA6271"/>
    <w:rsid w:val="00FA6395"/>
    <w:rsid w:val="00FA6568"/>
    <w:rsid w:val="00FA6569"/>
    <w:rsid w:val="00FA66B5"/>
    <w:rsid w:val="00FA6965"/>
    <w:rsid w:val="00FA6B20"/>
    <w:rsid w:val="00FA6CB4"/>
    <w:rsid w:val="00FA7135"/>
    <w:rsid w:val="00FA73E2"/>
    <w:rsid w:val="00FA75C0"/>
    <w:rsid w:val="00FB000F"/>
    <w:rsid w:val="00FB005D"/>
    <w:rsid w:val="00FB0502"/>
    <w:rsid w:val="00FB0699"/>
    <w:rsid w:val="00FB06D6"/>
    <w:rsid w:val="00FB0783"/>
    <w:rsid w:val="00FB08AA"/>
    <w:rsid w:val="00FB092C"/>
    <w:rsid w:val="00FB0C32"/>
    <w:rsid w:val="00FB1424"/>
    <w:rsid w:val="00FB14DF"/>
    <w:rsid w:val="00FB16E8"/>
    <w:rsid w:val="00FB1B33"/>
    <w:rsid w:val="00FB1BD6"/>
    <w:rsid w:val="00FB1C07"/>
    <w:rsid w:val="00FB1E31"/>
    <w:rsid w:val="00FB2199"/>
    <w:rsid w:val="00FB2575"/>
    <w:rsid w:val="00FB2937"/>
    <w:rsid w:val="00FB298F"/>
    <w:rsid w:val="00FB2B82"/>
    <w:rsid w:val="00FB2EA5"/>
    <w:rsid w:val="00FB325D"/>
    <w:rsid w:val="00FB332F"/>
    <w:rsid w:val="00FB334D"/>
    <w:rsid w:val="00FB3535"/>
    <w:rsid w:val="00FB3A01"/>
    <w:rsid w:val="00FB3D98"/>
    <w:rsid w:val="00FB3DBC"/>
    <w:rsid w:val="00FB3F6B"/>
    <w:rsid w:val="00FB48E3"/>
    <w:rsid w:val="00FB4B3A"/>
    <w:rsid w:val="00FB4C80"/>
    <w:rsid w:val="00FB50E2"/>
    <w:rsid w:val="00FB58CF"/>
    <w:rsid w:val="00FB5936"/>
    <w:rsid w:val="00FB6190"/>
    <w:rsid w:val="00FB6625"/>
    <w:rsid w:val="00FB68D2"/>
    <w:rsid w:val="00FB6B99"/>
    <w:rsid w:val="00FB6CC3"/>
    <w:rsid w:val="00FB70D6"/>
    <w:rsid w:val="00FB7635"/>
    <w:rsid w:val="00FC02A3"/>
    <w:rsid w:val="00FC0635"/>
    <w:rsid w:val="00FC0C25"/>
    <w:rsid w:val="00FC0F99"/>
    <w:rsid w:val="00FC10CE"/>
    <w:rsid w:val="00FC18BC"/>
    <w:rsid w:val="00FC1A57"/>
    <w:rsid w:val="00FC1AE3"/>
    <w:rsid w:val="00FC1BFF"/>
    <w:rsid w:val="00FC208A"/>
    <w:rsid w:val="00FC245A"/>
    <w:rsid w:val="00FC25D3"/>
    <w:rsid w:val="00FC2ACF"/>
    <w:rsid w:val="00FC2C7F"/>
    <w:rsid w:val="00FC3526"/>
    <w:rsid w:val="00FC357A"/>
    <w:rsid w:val="00FC365D"/>
    <w:rsid w:val="00FC3804"/>
    <w:rsid w:val="00FC3C92"/>
    <w:rsid w:val="00FC3E0D"/>
    <w:rsid w:val="00FC3E12"/>
    <w:rsid w:val="00FC44FF"/>
    <w:rsid w:val="00FC45E3"/>
    <w:rsid w:val="00FC4682"/>
    <w:rsid w:val="00FC47F6"/>
    <w:rsid w:val="00FC49AC"/>
    <w:rsid w:val="00FC5ACB"/>
    <w:rsid w:val="00FC5CC2"/>
    <w:rsid w:val="00FC5FA9"/>
    <w:rsid w:val="00FC6114"/>
    <w:rsid w:val="00FC6215"/>
    <w:rsid w:val="00FC630F"/>
    <w:rsid w:val="00FC6773"/>
    <w:rsid w:val="00FC6ACA"/>
    <w:rsid w:val="00FC6AF6"/>
    <w:rsid w:val="00FC7021"/>
    <w:rsid w:val="00FC7101"/>
    <w:rsid w:val="00FC7422"/>
    <w:rsid w:val="00FC771C"/>
    <w:rsid w:val="00FC78A6"/>
    <w:rsid w:val="00FC7993"/>
    <w:rsid w:val="00FC7A31"/>
    <w:rsid w:val="00FC7CDA"/>
    <w:rsid w:val="00FD0094"/>
    <w:rsid w:val="00FD025D"/>
    <w:rsid w:val="00FD0598"/>
    <w:rsid w:val="00FD0620"/>
    <w:rsid w:val="00FD081B"/>
    <w:rsid w:val="00FD09C8"/>
    <w:rsid w:val="00FD0F55"/>
    <w:rsid w:val="00FD106C"/>
    <w:rsid w:val="00FD16D3"/>
    <w:rsid w:val="00FD1C78"/>
    <w:rsid w:val="00FD1F1C"/>
    <w:rsid w:val="00FD21B0"/>
    <w:rsid w:val="00FD221D"/>
    <w:rsid w:val="00FD2312"/>
    <w:rsid w:val="00FD26F6"/>
    <w:rsid w:val="00FD2877"/>
    <w:rsid w:val="00FD2952"/>
    <w:rsid w:val="00FD29E1"/>
    <w:rsid w:val="00FD2A19"/>
    <w:rsid w:val="00FD2F52"/>
    <w:rsid w:val="00FD32B4"/>
    <w:rsid w:val="00FD32EF"/>
    <w:rsid w:val="00FD368D"/>
    <w:rsid w:val="00FD3B3B"/>
    <w:rsid w:val="00FD43BB"/>
    <w:rsid w:val="00FD4516"/>
    <w:rsid w:val="00FD47D1"/>
    <w:rsid w:val="00FD4845"/>
    <w:rsid w:val="00FD48C4"/>
    <w:rsid w:val="00FD4981"/>
    <w:rsid w:val="00FD4B9E"/>
    <w:rsid w:val="00FD4DA3"/>
    <w:rsid w:val="00FD548E"/>
    <w:rsid w:val="00FD5505"/>
    <w:rsid w:val="00FD5536"/>
    <w:rsid w:val="00FD565D"/>
    <w:rsid w:val="00FD58B4"/>
    <w:rsid w:val="00FD5BFB"/>
    <w:rsid w:val="00FD625F"/>
    <w:rsid w:val="00FD6547"/>
    <w:rsid w:val="00FD663C"/>
    <w:rsid w:val="00FD6ADA"/>
    <w:rsid w:val="00FD6E9F"/>
    <w:rsid w:val="00FD7011"/>
    <w:rsid w:val="00FD731F"/>
    <w:rsid w:val="00FD7A0B"/>
    <w:rsid w:val="00FD7EE1"/>
    <w:rsid w:val="00FE01F1"/>
    <w:rsid w:val="00FE04E0"/>
    <w:rsid w:val="00FE06A7"/>
    <w:rsid w:val="00FE0DA8"/>
    <w:rsid w:val="00FE1101"/>
    <w:rsid w:val="00FE11F8"/>
    <w:rsid w:val="00FE12A6"/>
    <w:rsid w:val="00FE149D"/>
    <w:rsid w:val="00FE1581"/>
    <w:rsid w:val="00FE1778"/>
    <w:rsid w:val="00FE1979"/>
    <w:rsid w:val="00FE2350"/>
    <w:rsid w:val="00FE24A5"/>
    <w:rsid w:val="00FE24BC"/>
    <w:rsid w:val="00FE2821"/>
    <w:rsid w:val="00FE2A38"/>
    <w:rsid w:val="00FE2F22"/>
    <w:rsid w:val="00FE3301"/>
    <w:rsid w:val="00FE338B"/>
    <w:rsid w:val="00FE35FA"/>
    <w:rsid w:val="00FE363D"/>
    <w:rsid w:val="00FE36D2"/>
    <w:rsid w:val="00FE36F0"/>
    <w:rsid w:val="00FE3B6C"/>
    <w:rsid w:val="00FE3F40"/>
    <w:rsid w:val="00FE3F55"/>
    <w:rsid w:val="00FE4651"/>
    <w:rsid w:val="00FE4762"/>
    <w:rsid w:val="00FE48FD"/>
    <w:rsid w:val="00FE4B56"/>
    <w:rsid w:val="00FE4D28"/>
    <w:rsid w:val="00FE4E90"/>
    <w:rsid w:val="00FE5025"/>
    <w:rsid w:val="00FE53C0"/>
    <w:rsid w:val="00FE56AA"/>
    <w:rsid w:val="00FE5719"/>
    <w:rsid w:val="00FE5839"/>
    <w:rsid w:val="00FE5855"/>
    <w:rsid w:val="00FE5A6A"/>
    <w:rsid w:val="00FE5E92"/>
    <w:rsid w:val="00FE5F2D"/>
    <w:rsid w:val="00FE6071"/>
    <w:rsid w:val="00FE6258"/>
    <w:rsid w:val="00FE62C0"/>
    <w:rsid w:val="00FE62FE"/>
    <w:rsid w:val="00FE63EC"/>
    <w:rsid w:val="00FE6703"/>
    <w:rsid w:val="00FE678B"/>
    <w:rsid w:val="00FE6AF3"/>
    <w:rsid w:val="00FE6F33"/>
    <w:rsid w:val="00FE6FFA"/>
    <w:rsid w:val="00FE7091"/>
    <w:rsid w:val="00FE7907"/>
    <w:rsid w:val="00FE79E9"/>
    <w:rsid w:val="00FE7A90"/>
    <w:rsid w:val="00FE7ED9"/>
    <w:rsid w:val="00FE7F73"/>
    <w:rsid w:val="00FF003E"/>
    <w:rsid w:val="00FF004A"/>
    <w:rsid w:val="00FF0740"/>
    <w:rsid w:val="00FF0A66"/>
    <w:rsid w:val="00FF0FCA"/>
    <w:rsid w:val="00FF0FE0"/>
    <w:rsid w:val="00FF1FB4"/>
    <w:rsid w:val="00FF2077"/>
    <w:rsid w:val="00FF2211"/>
    <w:rsid w:val="00FF268D"/>
    <w:rsid w:val="00FF26D1"/>
    <w:rsid w:val="00FF29AC"/>
    <w:rsid w:val="00FF29FC"/>
    <w:rsid w:val="00FF2AC0"/>
    <w:rsid w:val="00FF2B66"/>
    <w:rsid w:val="00FF2D43"/>
    <w:rsid w:val="00FF2E21"/>
    <w:rsid w:val="00FF3268"/>
    <w:rsid w:val="00FF378A"/>
    <w:rsid w:val="00FF3ADB"/>
    <w:rsid w:val="00FF3B6A"/>
    <w:rsid w:val="00FF41F3"/>
    <w:rsid w:val="00FF43D7"/>
    <w:rsid w:val="00FF43F0"/>
    <w:rsid w:val="00FF4735"/>
    <w:rsid w:val="00FF4D69"/>
    <w:rsid w:val="00FF4EDF"/>
    <w:rsid w:val="00FF5352"/>
    <w:rsid w:val="00FF55FC"/>
    <w:rsid w:val="00FF5B14"/>
    <w:rsid w:val="00FF5BEE"/>
    <w:rsid w:val="00FF5CD3"/>
    <w:rsid w:val="00FF5F4F"/>
    <w:rsid w:val="00FF601B"/>
    <w:rsid w:val="00FF6146"/>
    <w:rsid w:val="00FF6328"/>
    <w:rsid w:val="00FF648C"/>
    <w:rsid w:val="00FF659C"/>
    <w:rsid w:val="00FF68E8"/>
    <w:rsid w:val="00FF69A8"/>
    <w:rsid w:val="00FF6E00"/>
    <w:rsid w:val="00FF6E81"/>
    <w:rsid w:val="00FF725D"/>
    <w:rsid w:val="00FF750B"/>
    <w:rsid w:val="00FF75E9"/>
    <w:rsid w:val="00FF775B"/>
    <w:rsid w:val="00FF7871"/>
    <w:rsid w:val="00FF7A88"/>
    <w:rsid w:val="00FF7A8B"/>
    <w:rsid w:val="00FF7BA6"/>
    <w:rsid w:val="00FF7D26"/>
    <w:rsid w:val="00FF7D90"/>
    <w:rsid w:val="011131C0"/>
    <w:rsid w:val="012263FF"/>
    <w:rsid w:val="013078D4"/>
    <w:rsid w:val="013D0A66"/>
    <w:rsid w:val="017C1555"/>
    <w:rsid w:val="017D07E3"/>
    <w:rsid w:val="01863225"/>
    <w:rsid w:val="01935DC0"/>
    <w:rsid w:val="01A00C4B"/>
    <w:rsid w:val="01A676D4"/>
    <w:rsid w:val="01AE5E6F"/>
    <w:rsid w:val="01E0373D"/>
    <w:rsid w:val="01ED34F4"/>
    <w:rsid w:val="01F33E62"/>
    <w:rsid w:val="020045B1"/>
    <w:rsid w:val="022B0000"/>
    <w:rsid w:val="022B2C0A"/>
    <w:rsid w:val="02323FCF"/>
    <w:rsid w:val="023C7849"/>
    <w:rsid w:val="025A0E38"/>
    <w:rsid w:val="025B0F80"/>
    <w:rsid w:val="025C40A2"/>
    <w:rsid w:val="02682D61"/>
    <w:rsid w:val="02710E48"/>
    <w:rsid w:val="028264A0"/>
    <w:rsid w:val="02906F11"/>
    <w:rsid w:val="02BC11D2"/>
    <w:rsid w:val="02C653D4"/>
    <w:rsid w:val="02C94C79"/>
    <w:rsid w:val="02CB6C88"/>
    <w:rsid w:val="02D026E2"/>
    <w:rsid w:val="02D41E2A"/>
    <w:rsid w:val="02E3781B"/>
    <w:rsid w:val="02F243D6"/>
    <w:rsid w:val="031520DC"/>
    <w:rsid w:val="03261624"/>
    <w:rsid w:val="033F450F"/>
    <w:rsid w:val="03465822"/>
    <w:rsid w:val="037B4A2A"/>
    <w:rsid w:val="0384416A"/>
    <w:rsid w:val="038E5768"/>
    <w:rsid w:val="03AA4469"/>
    <w:rsid w:val="03B35AA4"/>
    <w:rsid w:val="03B83D7C"/>
    <w:rsid w:val="03BD3BEA"/>
    <w:rsid w:val="03E868D9"/>
    <w:rsid w:val="03FA4BC7"/>
    <w:rsid w:val="04021A4C"/>
    <w:rsid w:val="04131E1D"/>
    <w:rsid w:val="041C7AD6"/>
    <w:rsid w:val="04511386"/>
    <w:rsid w:val="045E757C"/>
    <w:rsid w:val="046B5540"/>
    <w:rsid w:val="046D0B04"/>
    <w:rsid w:val="047B0C14"/>
    <w:rsid w:val="049238EE"/>
    <w:rsid w:val="04A4503C"/>
    <w:rsid w:val="04A87AE7"/>
    <w:rsid w:val="04B552A9"/>
    <w:rsid w:val="04B57CCA"/>
    <w:rsid w:val="04B769D7"/>
    <w:rsid w:val="04C14139"/>
    <w:rsid w:val="04C3456E"/>
    <w:rsid w:val="04CC2459"/>
    <w:rsid w:val="04D319A7"/>
    <w:rsid w:val="04DC4690"/>
    <w:rsid w:val="04E02AD3"/>
    <w:rsid w:val="04F177DF"/>
    <w:rsid w:val="04F768B6"/>
    <w:rsid w:val="05046394"/>
    <w:rsid w:val="05206176"/>
    <w:rsid w:val="053E7F2B"/>
    <w:rsid w:val="05427906"/>
    <w:rsid w:val="054E11A7"/>
    <w:rsid w:val="0563169A"/>
    <w:rsid w:val="0589518B"/>
    <w:rsid w:val="059A0AD3"/>
    <w:rsid w:val="05B05008"/>
    <w:rsid w:val="05B050F4"/>
    <w:rsid w:val="05B178CA"/>
    <w:rsid w:val="05BA48D2"/>
    <w:rsid w:val="05D4709F"/>
    <w:rsid w:val="06052845"/>
    <w:rsid w:val="061D60B9"/>
    <w:rsid w:val="064F49ED"/>
    <w:rsid w:val="0661309E"/>
    <w:rsid w:val="066162CC"/>
    <w:rsid w:val="06821F92"/>
    <w:rsid w:val="06852356"/>
    <w:rsid w:val="068C19FB"/>
    <w:rsid w:val="06C23FF1"/>
    <w:rsid w:val="06D02533"/>
    <w:rsid w:val="06D776C9"/>
    <w:rsid w:val="06E120CE"/>
    <w:rsid w:val="06FB4D26"/>
    <w:rsid w:val="070B53EE"/>
    <w:rsid w:val="07150DFD"/>
    <w:rsid w:val="071C08E4"/>
    <w:rsid w:val="07364CC8"/>
    <w:rsid w:val="07580665"/>
    <w:rsid w:val="075C5102"/>
    <w:rsid w:val="07624AF8"/>
    <w:rsid w:val="07740620"/>
    <w:rsid w:val="07A76DE7"/>
    <w:rsid w:val="07B02690"/>
    <w:rsid w:val="07CB4D64"/>
    <w:rsid w:val="07CF1475"/>
    <w:rsid w:val="07DA66E0"/>
    <w:rsid w:val="07DE0191"/>
    <w:rsid w:val="07FC0BA5"/>
    <w:rsid w:val="08016791"/>
    <w:rsid w:val="08053DBC"/>
    <w:rsid w:val="0809471B"/>
    <w:rsid w:val="080F2D22"/>
    <w:rsid w:val="083113D6"/>
    <w:rsid w:val="08435334"/>
    <w:rsid w:val="084722B0"/>
    <w:rsid w:val="084F687D"/>
    <w:rsid w:val="08517C70"/>
    <w:rsid w:val="08577C3E"/>
    <w:rsid w:val="086A5B0F"/>
    <w:rsid w:val="086F6BAC"/>
    <w:rsid w:val="087F4618"/>
    <w:rsid w:val="08860069"/>
    <w:rsid w:val="088E20EB"/>
    <w:rsid w:val="08AC4379"/>
    <w:rsid w:val="08C6301E"/>
    <w:rsid w:val="08DB6856"/>
    <w:rsid w:val="08E372EB"/>
    <w:rsid w:val="08F95FE0"/>
    <w:rsid w:val="09070C2B"/>
    <w:rsid w:val="09083C42"/>
    <w:rsid w:val="090E1CB1"/>
    <w:rsid w:val="091020A6"/>
    <w:rsid w:val="09144E4F"/>
    <w:rsid w:val="09153251"/>
    <w:rsid w:val="09201BBB"/>
    <w:rsid w:val="093315D1"/>
    <w:rsid w:val="094E3F01"/>
    <w:rsid w:val="0950387E"/>
    <w:rsid w:val="09535B91"/>
    <w:rsid w:val="096407A7"/>
    <w:rsid w:val="096B2D59"/>
    <w:rsid w:val="096B646C"/>
    <w:rsid w:val="096C7D87"/>
    <w:rsid w:val="097B65A9"/>
    <w:rsid w:val="097B739A"/>
    <w:rsid w:val="097E3F67"/>
    <w:rsid w:val="09890D4E"/>
    <w:rsid w:val="098D2B8B"/>
    <w:rsid w:val="09AA19D2"/>
    <w:rsid w:val="09AB28DC"/>
    <w:rsid w:val="09BF4362"/>
    <w:rsid w:val="09C1550F"/>
    <w:rsid w:val="09C845D4"/>
    <w:rsid w:val="09F95B02"/>
    <w:rsid w:val="0A0269E4"/>
    <w:rsid w:val="0A056837"/>
    <w:rsid w:val="0A1130A4"/>
    <w:rsid w:val="0A213EB5"/>
    <w:rsid w:val="0A301452"/>
    <w:rsid w:val="0A306C77"/>
    <w:rsid w:val="0A363AB8"/>
    <w:rsid w:val="0A3B4801"/>
    <w:rsid w:val="0A421BC5"/>
    <w:rsid w:val="0A5F020B"/>
    <w:rsid w:val="0A6F60B1"/>
    <w:rsid w:val="0A782765"/>
    <w:rsid w:val="0A7C7FDA"/>
    <w:rsid w:val="0A7E1D45"/>
    <w:rsid w:val="0A83110A"/>
    <w:rsid w:val="0AA06136"/>
    <w:rsid w:val="0AB7228C"/>
    <w:rsid w:val="0ADF4DDA"/>
    <w:rsid w:val="0AE4097E"/>
    <w:rsid w:val="0AE54C19"/>
    <w:rsid w:val="0AE958BE"/>
    <w:rsid w:val="0AEC3153"/>
    <w:rsid w:val="0B18517F"/>
    <w:rsid w:val="0B1D5B16"/>
    <w:rsid w:val="0B2F28EF"/>
    <w:rsid w:val="0B413B82"/>
    <w:rsid w:val="0B5F56D3"/>
    <w:rsid w:val="0B6C6D90"/>
    <w:rsid w:val="0B873325"/>
    <w:rsid w:val="0B8C3FEE"/>
    <w:rsid w:val="0B8E39FE"/>
    <w:rsid w:val="0B901C9D"/>
    <w:rsid w:val="0B9157CC"/>
    <w:rsid w:val="0B9B4499"/>
    <w:rsid w:val="0BA409B2"/>
    <w:rsid w:val="0BA655D2"/>
    <w:rsid w:val="0BCE60F2"/>
    <w:rsid w:val="0BD34A71"/>
    <w:rsid w:val="0BDE67DD"/>
    <w:rsid w:val="0BFB16AF"/>
    <w:rsid w:val="0BFD5880"/>
    <w:rsid w:val="0C0F1948"/>
    <w:rsid w:val="0C147B91"/>
    <w:rsid w:val="0C336D77"/>
    <w:rsid w:val="0C360B29"/>
    <w:rsid w:val="0C3E2316"/>
    <w:rsid w:val="0C4F22EF"/>
    <w:rsid w:val="0C5509DD"/>
    <w:rsid w:val="0C596783"/>
    <w:rsid w:val="0C5B565A"/>
    <w:rsid w:val="0C63047C"/>
    <w:rsid w:val="0C6311F3"/>
    <w:rsid w:val="0C6A2581"/>
    <w:rsid w:val="0C746EAB"/>
    <w:rsid w:val="0C886779"/>
    <w:rsid w:val="0C9C0E82"/>
    <w:rsid w:val="0C9C5F16"/>
    <w:rsid w:val="0CB25ED8"/>
    <w:rsid w:val="0CD046C2"/>
    <w:rsid w:val="0CDD0F0B"/>
    <w:rsid w:val="0CF9261E"/>
    <w:rsid w:val="0D034A8B"/>
    <w:rsid w:val="0D061551"/>
    <w:rsid w:val="0D2E04E2"/>
    <w:rsid w:val="0D3E70E3"/>
    <w:rsid w:val="0D4B6E64"/>
    <w:rsid w:val="0D601BD0"/>
    <w:rsid w:val="0D7A67F4"/>
    <w:rsid w:val="0DA41408"/>
    <w:rsid w:val="0DD73C46"/>
    <w:rsid w:val="0DE45405"/>
    <w:rsid w:val="0DF708AC"/>
    <w:rsid w:val="0DFB63B4"/>
    <w:rsid w:val="0E0A0266"/>
    <w:rsid w:val="0E1D74D8"/>
    <w:rsid w:val="0E213A2D"/>
    <w:rsid w:val="0E3F33F5"/>
    <w:rsid w:val="0E422DFD"/>
    <w:rsid w:val="0E4605B5"/>
    <w:rsid w:val="0E4F715E"/>
    <w:rsid w:val="0E5F2E1C"/>
    <w:rsid w:val="0E600B2A"/>
    <w:rsid w:val="0E6A22CC"/>
    <w:rsid w:val="0E770F85"/>
    <w:rsid w:val="0E772D33"/>
    <w:rsid w:val="0E7F72F6"/>
    <w:rsid w:val="0E891C96"/>
    <w:rsid w:val="0EA224A6"/>
    <w:rsid w:val="0EAF24CD"/>
    <w:rsid w:val="0EB74C21"/>
    <w:rsid w:val="0ED95707"/>
    <w:rsid w:val="0EFF3FFD"/>
    <w:rsid w:val="0F1246FC"/>
    <w:rsid w:val="0F1D0FFD"/>
    <w:rsid w:val="0F1E09A8"/>
    <w:rsid w:val="0F1E7653"/>
    <w:rsid w:val="0F210512"/>
    <w:rsid w:val="0F305131"/>
    <w:rsid w:val="0F30513C"/>
    <w:rsid w:val="0F4952B3"/>
    <w:rsid w:val="0F584022"/>
    <w:rsid w:val="0F5C4F59"/>
    <w:rsid w:val="0F5E3601"/>
    <w:rsid w:val="0F890789"/>
    <w:rsid w:val="0F9177C8"/>
    <w:rsid w:val="0F92600A"/>
    <w:rsid w:val="0F936DE1"/>
    <w:rsid w:val="0FA163AD"/>
    <w:rsid w:val="0FA86115"/>
    <w:rsid w:val="0FB77D68"/>
    <w:rsid w:val="0FBB12C8"/>
    <w:rsid w:val="0FC80C2F"/>
    <w:rsid w:val="0FED1087"/>
    <w:rsid w:val="0FFB0FA7"/>
    <w:rsid w:val="10047B2F"/>
    <w:rsid w:val="100E1913"/>
    <w:rsid w:val="103571AE"/>
    <w:rsid w:val="103A670E"/>
    <w:rsid w:val="103B7AFE"/>
    <w:rsid w:val="105B57C3"/>
    <w:rsid w:val="106323B1"/>
    <w:rsid w:val="107824EC"/>
    <w:rsid w:val="107B6CF6"/>
    <w:rsid w:val="10923F48"/>
    <w:rsid w:val="10982723"/>
    <w:rsid w:val="10A11BCB"/>
    <w:rsid w:val="10A24B4F"/>
    <w:rsid w:val="10AE1A88"/>
    <w:rsid w:val="10B71B0D"/>
    <w:rsid w:val="10BD5735"/>
    <w:rsid w:val="10C92951"/>
    <w:rsid w:val="10D12442"/>
    <w:rsid w:val="10D1569D"/>
    <w:rsid w:val="10D6470C"/>
    <w:rsid w:val="10DE632E"/>
    <w:rsid w:val="10E21251"/>
    <w:rsid w:val="10F01575"/>
    <w:rsid w:val="10F07FD3"/>
    <w:rsid w:val="10FA1D2F"/>
    <w:rsid w:val="11046A73"/>
    <w:rsid w:val="11094D34"/>
    <w:rsid w:val="1112070E"/>
    <w:rsid w:val="1126167A"/>
    <w:rsid w:val="112C06D3"/>
    <w:rsid w:val="11305A7D"/>
    <w:rsid w:val="113F5419"/>
    <w:rsid w:val="116433AD"/>
    <w:rsid w:val="11683ABA"/>
    <w:rsid w:val="11764E4D"/>
    <w:rsid w:val="117749E1"/>
    <w:rsid w:val="119901A0"/>
    <w:rsid w:val="119E1701"/>
    <w:rsid w:val="11AB78C4"/>
    <w:rsid w:val="11CB447B"/>
    <w:rsid w:val="11EA5585"/>
    <w:rsid w:val="11FE3E97"/>
    <w:rsid w:val="11FE72DB"/>
    <w:rsid w:val="120F53A6"/>
    <w:rsid w:val="12296A3A"/>
    <w:rsid w:val="12325A30"/>
    <w:rsid w:val="123A3E36"/>
    <w:rsid w:val="124B6EE3"/>
    <w:rsid w:val="12557825"/>
    <w:rsid w:val="12BC07EF"/>
    <w:rsid w:val="12CC5AA4"/>
    <w:rsid w:val="12D14EDC"/>
    <w:rsid w:val="12E555E8"/>
    <w:rsid w:val="12E833B2"/>
    <w:rsid w:val="13241403"/>
    <w:rsid w:val="132769B4"/>
    <w:rsid w:val="132B66E6"/>
    <w:rsid w:val="132D5599"/>
    <w:rsid w:val="132F3361"/>
    <w:rsid w:val="13377A8B"/>
    <w:rsid w:val="133D09EF"/>
    <w:rsid w:val="13525B1D"/>
    <w:rsid w:val="13743CE5"/>
    <w:rsid w:val="138B3547"/>
    <w:rsid w:val="13A06637"/>
    <w:rsid w:val="13A10569"/>
    <w:rsid w:val="13A85FEC"/>
    <w:rsid w:val="13B63524"/>
    <w:rsid w:val="13BF35EB"/>
    <w:rsid w:val="13C05AA7"/>
    <w:rsid w:val="13C40BAA"/>
    <w:rsid w:val="13D06D56"/>
    <w:rsid w:val="13D46A0E"/>
    <w:rsid w:val="13E07B69"/>
    <w:rsid w:val="13F543F2"/>
    <w:rsid w:val="141C0014"/>
    <w:rsid w:val="14552B7B"/>
    <w:rsid w:val="145A023A"/>
    <w:rsid w:val="146D1138"/>
    <w:rsid w:val="1482391C"/>
    <w:rsid w:val="149A686E"/>
    <w:rsid w:val="14AD08D0"/>
    <w:rsid w:val="14B206E4"/>
    <w:rsid w:val="14C81759"/>
    <w:rsid w:val="14D077A5"/>
    <w:rsid w:val="14D45FC0"/>
    <w:rsid w:val="14E60DB7"/>
    <w:rsid w:val="14EA6509"/>
    <w:rsid w:val="150A2B53"/>
    <w:rsid w:val="151F1625"/>
    <w:rsid w:val="152240C6"/>
    <w:rsid w:val="15307B09"/>
    <w:rsid w:val="153E4704"/>
    <w:rsid w:val="15436065"/>
    <w:rsid w:val="15521C6F"/>
    <w:rsid w:val="155D514E"/>
    <w:rsid w:val="15602773"/>
    <w:rsid w:val="156835AF"/>
    <w:rsid w:val="15711BC1"/>
    <w:rsid w:val="157A32F4"/>
    <w:rsid w:val="158B69EA"/>
    <w:rsid w:val="15A343F4"/>
    <w:rsid w:val="15B01912"/>
    <w:rsid w:val="15B65C29"/>
    <w:rsid w:val="15C0310E"/>
    <w:rsid w:val="15C078F6"/>
    <w:rsid w:val="15C17AC0"/>
    <w:rsid w:val="15D2113B"/>
    <w:rsid w:val="15D77CB5"/>
    <w:rsid w:val="15DC08CC"/>
    <w:rsid w:val="15DD53E3"/>
    <w:rsid w:val="15DF7627"/>
    <w:rsid w:val="15E277BC"/>
    <w:rsid w:val="15E92488"/>
    <w:rsid w:val="15FF1F8C"/>
    <w:rsid w:val="16013CD9"/>
    <w:rsid w:val="16035594"/>
    <w:rsid w:val="160752E5"/>
    <w:rsid w:val="16135D48"/>
    <w:rsid w:val="161445B2"/>
    <w:rsid w:val="161B74C2"/>
    <w:rsid w:val="162E5E8B"/>
    <w:rsid w:val="162F1668"/>
    <w:rsid w:val="16425C2E"/>
    <w:rsid w:val="1652655B"/>
    <w:rsid w:val="16617AF6"/>
    <w:rsid w:val="166315C4"/>
    <w:rsid w:val="16713A48"/>
    <w:rsid w:val="16794956"/>
    <w:rsid w:val="16991241"/>
    <w:rsid w:val="16B33193"/>
    <w:rsid w:val="16E154CF"/>
    <w:rsid w:val="16E424E1"/>
    <w:rsid w:val="16E6724F"/>
    <w:rsid w:val="16FC707F"/>
    <w:rsid w:val="17005FBC"/>
    <w:rsid w:val="170A3A8F"/>
    <w:rsid w:val="170F6002"/>
    <w:rsid w:val="17213123"/>
    <w:rsid w:val="17214F3C"/>
    <w:rsid w:val="173E3C2F"/>
    <w:rsid w:val="1747504F"/>
    <w:rsid w:val="17484EA6"/>
    <w:rsid w:val="17555EF9"/>
    <w:rsid w:val="176C33F9"/>
    <w:rsid w:val="178D0677"/>
    <w:rsid w:val="17962A80"/>
    <w:rsid w:val="179D0874"/>
    <w:rsid w:val="17CE6132"/>
    <w:rsid w:val="17D662A2"/>
    <w:rsid w:val="17D73A5B"/>
    <w:rsid w:val="1800134F"/>
    <w:rsid w:val="180A2E6A"/>
    <w:rsid w:val="181C1FDC"/>
    <w:rsid w:val="181E7168"/>
    <w:rsid w:val="181F377E"/>
    <w:rsid w:val="183124C9"/>
    <w:rsid w:val="183F0198"/>
    <w:rsid w:val="18442F89"/>
    <w:rsid w:val="186C78B1"/>
    <w:rsid w:val="188A02E2"/>
    <w:rsid w:val="188B2935"/>
    <w:rsid w:val="189A237D"/>
    <w:rsid w:val="189A5A8D"/>
    <w:rsid w:val="18A64941"/>
    <w:rsid w:val="18B25A3B"/>
    <w:rsid w:val="18BB53A4"/>
    <w:rsid w:val="18DF2B1A"/>
    <w:rsid w:val="18E2030C"/>
    <w:rsid w:val="18F16C29"/>
    <w:rsid w:val="18F65E16"/>
    <w:rsid w:val="190653E0"/>
    <w:rsid w:val="1910746C"/>
    <w:rsid w:val="19130410"/>
    <w:rsid w:val="19151E8D"/>
    <w:rsid w:val="191A6A45"/>
    <w:rsid w:val="19314A03"/>
    <w:rsid w:val="195720DF"/>
    <w:rsid w:val="195C70D8"/>
    <w:rsid w:val="19625D1D"/>
    <w:rsid w:val="198324CA"/>
    <w:rsid w:val="1985479F"/>
    <w:rsid w:val="19866520"/>
    <w:rsid w:val="199364EA"/>
    <w:rsid w:val="19986F06"/>
    <w:rsid w:val="19CB00A0"/>
    <w:rsid w:val="19E54710"/>
    <w:rsid w:val="19E56DD6"/>
    <w:rsid w:val="19F40B92"/>
    <w:rsid w:val="19FD0734"/>
    <w:rsid w:val="1A0136BA"/>
    <w:rsid w:val="1A123667"/>
    <w:rsid w:val="1A137314"/>
    <w:rsid w:val="1A294FD6"/>
    <w:rsid w:val="1A2D1F08"/>
    <w:rsid w:val="1A336838"/>
    <w:rsid w:val="1A3A4D76"/>
    <w:rsid w:val="1A3F329F"/>
    <w:rsid w:val="1A4E43A6"/>
    <w:rsid w:val="1A4F29CD"/>
    <w:rsid w:val="1A5F4609"/>
    <w:rsid w:val="1A725422"/>
    <w:rsid w:val="1A770838"/>
    <w:rsid w:val="1A7E5F23"/>
    <w:rsid w:val="1A862C7C"/>
    <w:rsid w:val="1A8962C8"/>
    <w:rsid w:val="1A8A284C"/>
    <w:rsid w:val="1AA778B4"/>
    <w:rsid w:val="1AA90539"/>
    <w:rsid w:val="1AB05DC9"/>
    <w:rsid w:val="1AB06972"/>
    <w:rsid w:val="1AD37A17"/>
    <w:rsid w:val="1AD52AE7"/>
    <w:rsid w:val="1B1955FA"/>
    <w:rsid w:val="1B2674C4"/>
    <w:rsid w:val="1B304996"/>
    <w:rsid w:val="1B560C15"/>
    <w:rsid w:val="1B6041B0"/>
    <w:rsid w:val="1B656CD1"/>
    <w:rsid w:val="1B6E161F"/>
    <w:rsid w:val="1B8C0136"/>
    <w:rsid w:val="1B8F55D8"/>
    <w:rsid w:val="1BBF791E"/>
    <w:rsid w:val="1C1A0BB6"/>
    <w:rsid w:val="1C2F55BF"/>
    <w:rsid w:val="1C322D3F"/>
    <w:rsid w:val="1C3C657D"/>
    <w:rsid w:val="1C3D28C4"/>
    <w:rsid w:val="1C443CBE"/>
    <w:rsid w:val="1C4F2CF3"/>
    <w:rsid w:val="1C540788"/>
    <w:rsid w:val="1C5B5728"/>
    <w:rsid w:val="1C626DD1"/>
    <w:rsid w:val="1C742D72"/>
    <w:rsid w:val="1C8055A3"/>
    <w:rsid w:val="1C855DB1"/>
    <w:rsid w:val="1C967DEE"/>
    <w:rsid w:val="1C9C48B5"/>
    <w:rsid w:val="1C9F4A25"/>
    <w:rsid w:val="1CB2102E"/>
    <w:rsid w:val="1CCB3530"/>
    <w:rsid w:val="1CD221A8"/>
    <w:rsid w:val="1CD407FB"/>
    <w:rsid w:val="1CD442DE"/>
    <w:rsid w:val="1CD62650"/>
    <w:rsid w:val="1CE142AA"/>
    <w:rsid w:val="1CF71C0F"/>
    <w:rsid w:val="1CFE51D4"/>
    <w:rsid w:val="1D0E3222"/>
    <w:rsid w:val="1D1B6829"/>
    <w:rsid w:val="1D284991"/>
    <w:rsid w:val="1D446F29"/>
    <w:rsid w:val="1D691375"/>
    <w:rsid w:val="1D6B2D39"/>
    <w:rsid w:val="1D7B5071"/>
    <w:rsid w:val="1D7D43B4"/>
    <w:rsid w:val="1DA63964"/>
    <w:rsid w:val="1DDE1728"/>
    <w:rsid w:val="1DEB415A"/>
    <w:rsid w:val="1DF26B69"/>
    <w:rsid w:val="1DF43B26"/>
    <w:rsid w:val="1DFA4C42"/>
    <w:rsid w:val="1DFC2AA0"/>
    <w:rsid w:val="1E087E4C"/>
    <w:rsid w:val="1E1E5B3D"/>
    <w:rsid w:val="1E225182"/>
    <w:rsid w:val="1E2838CC"/>
    <w:rsid w:val="1E33040C"/>
    <w:rsid w:val="1E3B34F0"/>
    <w:rsid w:val="1E402FCD"/>
    <w:rsid w:val="1E426EBA"/>
    <w:rsid w:val="1E442D19"/>
    <w:rsid w:val="1E446D16"/>
    <w:rsid w:val="1E605118"/>
    <w:rsid w:val="1E6D4E6C"/>
    <w:rsid w:val="1E7643FA"/>
    <w:rsid w:val="1E7A3F28"/>
    <w:rsid w:val="1E925050"/>
    <w:rsid w:val="1E991EAB"/>
    <w:rsid w:val="1E9A4F48"/>
    <w:rsid w:val="1EA4600E"/>
    <w:rsid w:val="1EB560FD"/>
    <w:rsid w:val="1EBA2AF4"/>
    <w:rsid w:val="1EC70CAD"/>
    <w:rsid w:val="1ECE6400"/>
    <w:rsid w:val="1ED30855"/>
    <w:rsid w:val="1EDA5344"/>
    <w:rsid w:val="1EDF065E"/>
    <w:rsid w:val="1EE54657"/>
    <w:rsid w:val="1F035287"/>
    <w:rsid w:val="1F215846"/>
    <w:rsid w:val="1F356D14"/>
    <w:rsid w:val="1F360DAC"/>
    <w:rsid w:val="1F4371D5"/>
    <w:rsid w:val="1F4B78AC"/>
    <w:rsid w:val="1F590842"/>
    <w:rsid w:val="1F7163ED"/>
    <w:rsid w:val="1F735B5D"/>
    <w:rsid w:val="1F770CB6"/>
    <w:rsid w:val="1F7D4735"/>
    <w:rsid w:val="1F926401"/>
    <w:rsid w:val="1F957247"/>
    <w:rsid w:val="1FA31B07"/>
    <w:rsid w:val="1FA4268F"/>
    <w:rsid w:val="1FB70663"/>
    <w:rsid w:val="1FD9249C"/>
    <w:rsid w:val="1FDE6A46"/>
    <w:rsid w:val="1FF25C0A"/>
    <w:rsid w:val="1FFA1744"/>
    <w:rsid w:val="200B777F"/>
    <w:rsid w:val="20102B28"/>
    <w:rsid w:val="203515A8"/>
    <w:rsid w:val="20397799"/>
    <w:rsid w:val="205A647F"/>
    <w:rsid w:val="20677856"/>
    <w:rsid w:val="20680F82"/>
    <w:rsid w:val="20681EAC"/>
    <w:rsid w:val="20971F7F"/>
    <w:rsid w:val="20983B25"/>
    <w:rsid w:val="20B7208A"/>
    <w:rsid w:val="20B97592"/>
    <w:rsid w:val="20FC0744"/>
    <w:rsid w:val="21082926"/>
    <w:rsid w:val="211A3DCF"/>
    <w:rsid w:val="21236E13"/>
    <w:rsid w:val="21762C37"/>
    <w:rsid w:val="217B23A3"/>
    <w:rsid w:val="2192711A"/>
    <w:rsid w:val="21930030"/>
    <w:rsid w:val="219514D7"/>
    <w:rsid w:val="21A26183"/>
    <w:rsid w:val="21AB3F17"/>
    <w:rsid w:val="21FD1D66"/>
    <w:rsid w:val="21FE57EE"/>
    <w:rsid w:val="22091635"/>
    <w:rsid w:val="22650FF3"/>
    <w:rsid w:val="226F22E2"/>
    <w:rsid w:val="227152EA"/>
    <w:rsid w:val="22830D0C"/>
    <w:rsid w:val="228F15D9"/>
    <w:rsid w:val="2292484D"/>
    <w:rsid w:val="22AA6C36"/>
    <w:rsid w:val="22AB4697"/>
    <w:rsid w:val="22B374F2"/>
    <w:rsid w:val="22C01EA2"/>
    <w:rsid w:val="22C61612"/>
    <w:rsid w:val="22CB3609"/>
    <w:rsid w:val="22E37B65"/>
    <w:rsid w:val="22E52D7B"/>
    <w:rsid w:val="22E76DD4"/>
    <w:rsid w:val="22F358BF"/>
    <w:rsid w:val="22F45E7E"/>
    <w:rsid w:val="231620FB"/>
    <w:rsid w:val="232057A9"/>
    <w:rsid w:val="23251A24"/>
    <w:rsid w:val="232D0605"/>
    <w:rsid w:val="233052DA"/>
    <w:rsid w:val="23395A91"/>
    <w:rsid w:val="234C6DB8"/>
    <w:rsid w:val="234F3184"/>
    <w:rsid w:val="23613983"/>
    <w:rsid w:val="23720241"/>
    <w:rsid w:val="23815D41"/>
    <w:rsid w:val="238910E7"/>
    <w:rsid w:val="239401DD"/>
    <w:rsid w:val="239A5662"/>
    <w:rsid w:val="23A2572D"/>
    <w:rsid w:val="23A44173"/>
    <w:rsid w:val="23AE001C"/>
    <w:rsid w:val="23BF7DA8"/>
    <w:rsid w:val="23DC1B5F"/>
    <w:rsid w:val="23E7405F"/>
    <w:rsid w:val="23FA3D93"/>
    <w:rsid w:val="240115B9"/>
    <w:rsid w:val="24013373"/>
    <w:rsid w:val="241208DF"/>
    <w:rsid w:val="24247491"/>
    <w:rsid w:val="242A53BC"/>
    <w:rsid w:val="243D756D"/>
    <w:rsid w:val="2444328D"/>
    <w:rsid w:val="244B46C5"/>
    <w:rsid w:val="24555B04"/>
    <w:rsid w:val="24587B42"/>
    <w:rsid w:val="245C7D20"/>
    <w:rsid w:val="24741453"/>
    <w:rsid w:val="247975E6"/>
    <w:rsid w:val="247E794C"/>
    <w:rsid w:val="24A8113A"/>
    <w:rsid w:val="24A8688D"/>
    <w:rsid w:val="24BB4D6F"/>
    <w:rsid w:val="24C25189"/>
    <w:rsid w:val="24D65F02"/>
    <w:rsid w:val="24D774BE"/>
    <w:rsid w:val="24EF3191"/>
    <w:rsid w:val="24F37160"/>
    <w:rsid w:val="250D579E"/>
    <w:rsid w:val="2515475E"/>
    <w:rsid w:val="25196945"/>
    <w:rsid w:val="25207D5B"/>
    <w:rsid w:val="25223C13"/>
    <w:rsid w:val="25554904"/>
    <w:rsid w:val="25580030"/>
    <w:rsid w:val="25672314"/>
    <w:rsid w:val="25687520"/>
    <w:rsid w:val="25893D68"/>
    <w:rsid w:val="25895D8A"/>
    <w:rsid w:val="25945D32"/>
    <w:rsid w:val="259A3A7F"/>
    <w:rsid w:val="25AA48D2"/>
    <w:rsid w:val="25AB382D"/>
    <w:rsid w:val="25B8772C"/>
    <w:rsid w:val="25BD674F"/>
    <w:rsid w:val="25C214E1"/>
    <w:rsid w:val="25C23DE9"/>
    <w:rsid w:val="25E87235"/>
    <w:rsid w:val="25EB0314"/>
    <w:rsid w:val="25ED6026"/>
    <w:rsid w:val="25F1412C"/>
    <w:rsid w:val="25F301BE"/>
    <w:rsid w:val="26072541"/>
    <w:rsid w:val="26124E8C"/>
    <w:rsid w:val="26145A76"/>
    <w:rsid w:val="261968E8"/>
    <w:rsid w:val="26205564"/>
    <w:rsid w:val="26235823"/>
    <w:rsid w:val="263952BC"/>
    <w:rsid w:val="26494987"/>
    <w:rsid w:val="26516E6D"/>
    <w:rsid w:val="26526108"/>
    <w:rsid w:val="26570359"/>
    <w:rsid w:val="265A13B0"/>
    <w:rsid w:val="266F2B9B"/>
    <w:rsid w:val="26752635"/>
    <w:rsid w:val="267F3EB4"/>
    <w:rsid w:val="269507E0"/>
    <w:rsid w:val="26B00261"/>
    <w:rsid w:val="26B1325B"/>
    <w:rsid w:val="26BF0852"/>
    <w:rsid w:val="26D32A8E"/>
    <w:rsid w:val="26D7485F"/>
    <w:rsid w:val="26D77165"/>
    <w:rsid w:val="26E05293"/>
    <w:rsid w:val="26E07FCC"/>
    <w:rsid w:val="26F660E2"/>
    <w:rsid w:val="271B474C"/>
    <w:rsid w:val="272549D3"/>
    <w:rsid w:val="27277595"/>
    <w:rsid w:val="273B7372"/>
    <w:rsid w:val="27486154"/>
    <w:rsid w:val="275D209A"/>
    <w:rsid w:val="276341C9"/>
    <w:rsid w:val="27651E6B"/>
    <w:rsid w:val="27664A1A"/>
    <w:rsid w:val="278C2CA8"/>
    <w:rsid w:val="278C3C8D"/>
    <w:rsid w:val="279C33B6"/>
    <w:rsid w:val="27AF737F"/>
    <w:rsid w:val="27B715A2"/>
    <w:rsid w:val="27CD0282"/>
    <w:rsid w:val="27CD3B2A"/>
    <w:rsid w:val="27CE1A31"/>
    <w:rsid w:val="27E3461F"/>
    <w:rsid w:val="27E46029"/>
    <w:rsid w:val="27F20F3E"/>
    <w:rsid w:val="27F833F3"/>
    <w:rsid w:val="27FA24CD"/>
    <w:rsid w:val="280E08D3"/>
    <w:rsid w:val="281B1581"/>
    <w:rsid w:val="2835121A"/>
    <w:rsid w:val="285F48F3"/>
    <w:rsid w:val="28696FE4"/>
    <w:rsid w:val="286D286C"/>
    <w:rsid w:val="28780E97"/>
    <w:rsid w:val="287B3DDF"/>
    <w:rsid w:val="28B34EE5"/>
    <w:rsid w:val="28BF6359"/>
    <w:rsid w:val="28C55439"/>
    <w:rsid w:val="28C76A33"/>
    <w:rsid w:val="28D409C8"/>
    <w:rsid w:val="28D8496E"/>
    <w:rsid w:val="28DC3746"/>
    <w:rsid w:val="28DC63DD"/>
    <w:rsid w:val="28EA2473"/>
    <w:rsid w:val="290E499B"/>
    <w:rsid w:val="291A3E90"/>
    <w:rsid w:val="291E12FA"/>
    <w:rsid w:val="29224DD5"/>
    <w:rsid w:val="29233C0D"/>
    <w:rsid w:val="29341AF5"/>
    <w:rsid w:val="293E2974"/>
    <w:rsid w:val="29466CF8"/>
    <w:rsid w:val="294E226E"/>
    <w:rsid w:val="295F015D"/>
    <w:rsid w:val="29610989"/>
    <w:rsid w:val="29737029"/>
    <w:rsid w:val="29992534"/>
    <w:rsid w:val="29B10ED2"/>
    <w:rsid w:val="29B21A3A"/>
    <w:rsid w:val="29D105AD"/>
    <w:rsid w:val="29ED6EA3"/>
    <w:rsid w:val="2A0652C0"/>
    <w:rsid w:val="2A0809D5"/>
    <w:rsid w:val="2A0B3CC0"/>
    <w:rsid w:val="2A1504C3"/>
    <w:rsid w:val="2A207FC6"/>
    <w:rsid w:val="2A224043"/>
    <w:rsid w:val="2A281DFD"/>
    <w:rsid w:val="2A2C4EE1"/>
    <w:rsid w:val="2A2E59C3"/>
    <w:rsid w:val="2A3E7F1C"/>
    <w:rsid w:val="2A4232E6"/>
    <w:rsid w:val="2A427557"/>
    <w:rsid w:val="2A5149E3"/>
    <w:rsid w:val="2A6955E1"/>
    <w:rsid w:val="2A73379B"/>
    <w:rsid w:val="2A750F05"/>
    <w:rsid w:val="2A7840B1"/>
    <w:rsid w:val="2A85159C"/>
    <w:rsid w:val="2A8B7BD3"/>
    <w:rsid w:val="2A8F7486"/>
    <w:rsid w:val="2A9A1A36"/>
    <w:rsid w:val="2AA3014E"/>
    <w:rsid w:val="2AB169FA"/>
    <w:rsid w:val="2AB9416A"/>
    <w:rsid w:val="2ACB46DB"/>
    <w:rsid w:val="2AD80FDF"/>
    <w:rsid w:val="2AE54441"/>
    <w:rsid w:val="2B0633C1"/>
    <w:rsid w:val="2B076322"/>
    <w:rsid w:val="2B110F2A"/>
    <w:rsid w:val="2B457610"/>
    <w:rsid w:val="2B4F5B7B"/>
    <w:rsid w:val="2B64748B"/>
    <w:rsid w:val="2B6F5B49"/>
    <w:rsid w:val="2B7B43EC"/>
    <w:rsid w:val="2B8A7B53"/>
    <w:rsid w:val="2B951F28"/>
    <w:rsid w:val="2B983F7F"/>
    <w:rsid w:val="2BA42EFC"/>
    <w:rsid w:val="2BA96225"/>
    <w:rsid w:val="2BB10C19"/>
    <w:rsid w:val="2BCD4D24"/>
    <w:rsid w:val="2BDF053F"/>
    <w:rsid w:val="2BE2706A"/>
    <w:rsid w:val="2BE27F2E"/>
    <w:rsid w:val="2BE64844"/>
    <w:rsid w:val="2C002162"/>
    <w:rsid w:val="2C0028CB"/>
    <w:rsid w:val="2C1D0F66"/>
    <w:rsid w:val="2C1D1034"/>
    <w:rsid w:val="2C1D76D3"/>
    <w:rsid w:val="2C23700F"/>
    <w:rsid w:val="2C273B93"/>
    <w:rsid w:val="2C332EA6"/>
    <w:rsid w:val="2C455BD0"/>
    <w:rsid w:val="2C4E2DE6"/>
    <w:rsid w:val="2C650250"/>
    <w:rsid w:val="2C8F4CFC"/>
    <w:rsid w:val="2C9A6269"/>
    <w:rsid w:val="2C9F4626"/>
    <w:rsid w:val="2CA23219"/>
    <w:rsid w:val="2CC61C21"/>
    <w:rsid w:val="2CC74102"/>
    <w:rsid w:val="2CCC707F"/>
    <w:rsid w:val="2CDA7571"/>
    <w:rsid w:val="2D094267"/>
    <w:rsid w:val="2D332726"/>
    <w:rsid w:val="2D3B70E7"/>
    <w:rsid w:val="2D5503F3"/>
    <w:rsid w:val="2D576FC2"/>
    <w:rsid w:val="2D6A4E14"/>
    <w:rsid w:val="2D7B7CF2"/>
    <w:rsid w:val="2D7D125E"/>
    <w:rsid w:val="2D9846F9"/>
    <w:rsid w:val="2DA14ECE"/>
    <w:rsid w:val="2DA30FAD"/>
    <w:rsid w:val="2DB00297"/>
    <w:rsid w:val="2DB85231"/>
    <w:rsid w:val="2DBD030B"/>
    <w:rsid w:val="2DC808A9"/>
    <w:rsid w:val="2DCF2D1C"/>
    <w:rsid w:val="2DD1024B"/>
    <w:rsid w:val="2DE078BA"/>
    <w:rsid w:val="2DE24CE5"/>
    <w:rsid w:val="2DF654A2"/>
    <w:rsid w:val="2E0459EC"/>
    <w:rsid w:val="2E3C5B1B"/>
    <w:rsid w:val="2E4824F8"/>
    <w:rsid w:val="2E5E12FE"/>
    <w:rsid w:val="2EA20789"/>
    <w:rsid w:val="2EA41FAF"/>
    <w:rsid w:val="2EA96836"/>
    <w:rsid w:val="2EAA5989"/>
    <w:rsid w:val="2EAF0188"/>
    <w:rsid w:val="2EC75FF3"/>
    <w:rsid w:val="2EC91AAC"/>
    <w:rsid w:val="2ED846BE"/>
    <w:rsid w:val="2F217094"/>
    <w:rsid w:val="2F275274"/>
    <w:rsid w:val="2F2B02AE"/>
    <w:rsid w:val="2F371404"/>
    <w:rsid w:val="2F407445"/>
    <w:rsid w:val="2F413546"/>
    <w:rsid w:val="2F423EBD"/>
    <w:rsid w:val="2F450F54"/>
    <w:rsid w:val="2F5C4192"/>
    <w:rsid w:val="2F69635D"/>
    <w:rsid w:val="2F70438C"/>
    <w:rsid w:val="2FA05D76"/>
    <w:rsid w:val="2FAA2E8E"/>
    <w:rsid w:val="2FAB2C36"/>
    <w:rsid w:val="2FAE0515"/>
    <w:rsid w:val="2FB04C00"/>
    <w:rsid w:val="2FB44C7F"/>
    <w:rsid w:val="2FB81356"/>
    <w:rsid w:val="2FB92D54"/>
    <w:rsid w:val="2FBC071F"/>
    <w:rsid w:val="2FC34C5F"/>
    <w:rsid w:val="2FE06533"/>
    <w:rsid w:val="2FF93D34"/>
    <w:rsid w:val="30072734"/>
    <w:rsid w:val="30073A0B"/>
    <w:rsid w:val="300A0596"/>
    <w:rsid w:val="301A32DB"/>
    <w:rsid w:val="301C02EE"/>
    <w:rsid w:val="301E22AB"/>
    <w:rsid w:val="30202DD3"/>
    <w:rsid w:val="302C3024"/>
    <w:rsid w:val="303E44A2"/>
    <w:rsid w:val="305171AF"/>
    <w:rsid w:val="306363D9"/>
    <w:rsid w:val="30640F12"/>
    <w:rsid w:val="30923186"/>
    <w:rsid w:val="30932450"/>
    <w:rsid w:val="30A62AA2"/>
    <w:rsid w:val="30B42D55"/>
    <w:rsid w:val="30C82A18"/>
    <w:rsid w:val="30DD3BEF"/>
    <w:rsid w:val="30DE6B38"/>
    <w:rsid w:val="30E84996"/>
    <w:rsid w:val="30EC5964"/>
    <w:rsid w:val="30EE67A3"/>
    <w:rsid w:val="311566B0"/>
    <w:rsid w:val="311727CF"/>
    <w:rsid w:val="311A5A74"/>
    <w:rsid w:val="312958FA"/>
    <w:rsid w:val="313C3C3D"/>
    <w:rsid w:val="313D6344"/>
    <w:rsid w:val="31452D18"/>
    <w:rsid w:val="31460121"/>
    <w:rsid w:val="314F5C91"/>
    <w:rsid w:val="3151429E"/>
    <w:rsid w:val="315D6AE0"/>
    <w:rsid w:val="31600029"/>
    <w:rsid w:val="316B566C"/>
    <w:rsid w:val="317F2A90"/>
    <w:rsid w:val="318850D4"/>
    <w:rsid w:val="31994A87"/>
    <w:rsid w:val="31BE2DF3"/>
    <w:rsid w:val="31C4334A"/>
    <w:rsid w:val="31D244A3"/>
    <w:rsid w:val="31D95544"/>
    <w:rsid w:val="31DD20AA"/>
    <w:rsid w:val="31E2589E"/>
    <w:rsid w:val="31E571D1"/>
    <w:rsid w:val="31F42567"/>
    <w:rsid w:val="320125D2"/>
    <w:rsid w:val="320C6EBA"/>
    <w:rsid w:val="322811EA"/>
    <w:rsid w:val="32292413"/>
    <w:rsid w:val="32686DE3"/>
    <w:rsid w:val="328C6B2F"/>
    <w:rsid w:val="32AF6090"/>
    <w:rsid w:val="32CD3E2F"/>
    <w:rsid w:val="32E421B3"/>
    <w:rsid w:val="32E96C05"/>
    <w:rsid w:val="32FA541C"/>
    <w:rsid w:val="3300340C"/>
    <w:rsid w:val="33117572"/>
    <w:rsid w:val="333427C0"/>
    <w:rsid w:val="335E6318"/>
    <w:rsid w:val="33607735"/>
    <w:rsid w:val="3362056E"/>
    <w:rsid w:val="33651221"/>
    <w:rsid w:val="3376252D"/>
    <w:rsid w:val="337A151A"/>
    <w:rsid w:val="337E3FFB"/>
    <w:rsid w:val="33893E0E"/>
    <w:rsid w:val="338F3F9D"/>
    <w:rsid w:val="339D5162"/>
    <w:rsid w:val="33BA5A9B"/>
    <w:rsid w:val="33E5385E"/>
    <w:rsid w:val="34182A6A"/>
    <w:rsid w:val="342D64E8"/>
    <w:rsid w:val="3437684E"/>
    <w:rsid w:val="34485714"/>
    <w:rsid w:val="3452201F"/>
    <w:rsid w:val="345C71D0"/>
    <w:rsid w:val="34681D54"/>
    <w:rsid w:val="346C2333"/>
    <w:rsid w:val="34710671"/>
    <w:rsid w:val="349365E6"/>
    <w:rsid w:val="34A03396"/>
    <w:rsid w:val="34A97322"/>
    <w:rsid w:val="34B6076D"/>
    <w:rsid w:val="34CC4BE6"/>
    <w:rsid w:val="34D16D92"/>
    <w:rsid w:val="34D6510E"/>
    <w:rsid w:val="34E86F8F"/>
    <w:rsid w:val="34FA6635"/>
    <w:rsid w:val="350420A0"/>
    <w:rsid w:val="35174405"/>
    <w:rsid w:val="351C65A3"/>
    <w:rsid w:val="355E3D22"/>
    <w:rsid w:val="35600C78"/>
    <w:rsid w:val="356217CA"/>
    <w:rsid w:val="356358A2"/>
    <w:rsid w:val="356A6C5B"/>
    <w:rsid w:val="35725E7F"/>
    <w:rsid w:val="35790AC2"/>
    <w:rsid w:val="35870C42"/>
    <w:rsid w:val="359626FF"/>
    <w:rsid w:val="35987D00"/>
    <w:rsid w:val="35A16764"/>
    <w:rsid w:val="35A44204"/>
    <w:rsid w:val="35AB23CE"/>
    <w:rsid w:val="35C16029"/>
    <w:rsid w:val="35D808BB"/>
    <w:rsid w:val="360755FB"/>
    <w:rsid w:val="360F2FDF"/>
    <w:rsid w:val="363A0871"/>
    <w:rsid w:val="36545584"/>
    <w:rsid w:val="365B50B9"/>
    <w:rsid w:val="365C40DE"/>
    <w:rsid w:val="365E2115"/>
    <w:rsid w:val="365F596F"/>
    <w:rsid w:val="366661B8"/>
    <w:rsid w:val="36694F06"/>
    <w:rsid w:val="366D2B7B"/>
    <w:rsid w:val="36747AE9"/>
    <w:rsid w:val="367A7B18"/>
    <w:rsid w:val="367F1F8D"/>
    <w:rsid w:val="36890891"/>
    <w:rsid w:val="368F006B"/>
    <w:rsid w:val="36941EF5"/>
    <w:rsid w:val="369B31B3"/>
    <w:rsid w:val="369E785A"/>
    <w:rsid w:val="36A343DE"/>
    <w:rsid w:val="36B060E9"/>
    <w:rsid w:val="36B96492"/>
    <w:rsid w:val="36C11354"/>
    <w:rsid w:val="36C13293"/>
    <w:rsid w:val="36C26C59"/>
    <w:rsid w:val="36C42104"/>
    <w:rsid w:val="36E51A3D"/>
    <w:rsid w:val="36F259AD"/>
    <w:rsid w:val="36F628E4"/>
    <w:rsid w:val="36F749FA"/>
    <w:rsid w:val="37060E8C"/>
    <w:rsid w:val="3715006F"/>
    <w:rsid w:val="372823B7"/>
    <w:rsid w:val="372E26FE"/>
    <w:rsid w:val="37362AE8"/>
    <w:rsid w:val="37427271"/>
    <w:rsid w:val="377322D2"/>
    <w:rsid w:val="3774464A"/>
    <w:rsid w:val="37863D5E"/>
    <w:rsid w:val="37894C25"/>
    <w:rsid w:val="3798056D"/>
    <w:rsid w:val="379C71E3"/>
    <w:rsid w:val="37A551A8"/>
    <w:rsid w:val="37B04F55"/>
    <w:rsid w:val="37B15232"/>
    <w:rsid w:val="37B26298"/>
    <w:rsid w:val="37CD55EE"/>
    <w:rsid w:val="37CF6252"/>
    <w:rsid w:val="37D7504F"/>
    <w:rsid w:val="37D8240F"/>
    <w:rsid w:val="380B0A7A"/>
    <w:rsid w:val="380B3113"/>
    <w:rsid w:val="3812600D"/>
    <w:rsid w:val="382B5CC3"/>
    <w:rsid w:val="384653A1"/>
    <w:rsid w:val="385D00F9"/>
    <w:rsid w:val="386F1E40"/>
    <w:rsid w:val="38852BDD"/>
    <w:rsid w:val="38952933"/>
    <w:rsid w:val="38E56968"/>
    <w:rsid w:val="3901562B"/>
    <w:rsid w:val="390530FE"/>
    <w:rsid w:val="39061C54"/>
    <w:rsid w:val="39096DAD"/>
    <w:rsid w:val="390D519B"/>
    <w:rsid w:val="390F5279"/>
    <w:rsid w:val="391241D6"/>
    <w:rsid w:val="391A48A4"/>
    <w:rsid w:val="391A56D5"/>
    <w:rsid w:val="391D71FB"/>
    <w:rsid w:val="39211451"/>
    <w:rsid w:val="39230BDD"/>
    <w:rsid w:val="39324CAD"/>
    <w:rsid w:val="39417C46"/>
    <w:rsid w:val="394B0CC5"/>
    <w:rsid w:val="395118A6"/>
    <w:rsid w:val="395461E4"/>
    <w:rsid w:val="39696418"/>
    <w:rsid w:val="39813CF6"/>
    <w:rsid w:val="398470BD"/>
    <w:rsid w:val="3985516A"/>
    <w:rsid w:val="3996643E"/>
    <w:rsid w:val="39967A4A"/>
    <w:rsid w:val="39A65D91"/>
    <w:rsid w:val="39B346C3"/>
    <w:rsid w:val="39BC1DBE"/>
    <w:rsid w:val="39CE36A6"/>
    <w:rsid w:val="39D27FE7"/>
    <w:rsid w:val="39E466EE"/>
    <w:rsid w:val="39EB4232"/>
    <w:rsid w:val="39F25549"/>
    <w:rsid w:val="39FD1289"/>
    <w:rsid w:val="3A0E26CD"/>
    <w:rsid w:val="3A106735"/>
    <w:rsid w:val="3A1E756D"/>
    <w:rsid w:val="3A274209"/>
    <w:rsid w:val="3A3423DE"/>
    <w:rsid w:val="3A661284"/>
    <w:rsid w:val="3A753C6C"/>
    <w:rsid w:val="3A796D3B"/>
    <w:rsid w:val="3A865C61"/>
    <w:rsid w:val="3A884190"/>
    <w:rsid w:val="3A8B3E86"/>
    <w:rsid w:val="3AA451FE"/>
    <w:rsid w:val="3AA47050"/>
    <w:rsid w:val="3AA53E6D"/>
    <w:rsid w:val="3ABB759B"/>
    <w:rsid w:val="3AC612BA"/>
    <w:rsid w:val="3AD54503"/>
    <w:rsid w:val="3ADD3F1B"/>
    <w:rsid w:val="3AFA0359"/>
    <w:rsid w:val="3B0704F4"/>
    <w:rsid w:val="3B0B2E4E"/>
    <w:rsid w:val="3B137243"/>
    <w:rsid w:val="3B1B0D67"/>
    <w:rsid w:val="3B1C7646"/>
    <w:rsid w:val="3B4F593C"/>
    <w:rsid w:val="3B581C7E"/>
    <w:rsid w:val="3B861DB7"/>
    <w:rsid w:val="3BA536BF"/>
    <w:rsid w:val="3BA851E3"/>
    <w:rsid w:val="3BBE367E"/>
    <w:rsid w:val="3BCA246D"/>
    <w:rsid w:val="3BD41192"/>
    <w:rsid w:val="3C151B0E"/>
    <w:rsid w:val="3C1B08A2"/>
    <w:rsid w:val="3C2C380E"/>
    <w:rsid w:val="3C364A83"/>
    <w:rsid w:val="3C410382"/>
    <w:rsid w:val="3C4C7799"/>
    <w:rsid w:val="3C4E59CC"/>
    <w:rsid w:val="3C4F4F29"/>
    <w:rsid w:val="3C5A081B"/>
    <w:rsid w:val="3C5F32A5"/>
    <w:rsid w:val="3C64655B"/>
    <w:rsid w:val="3C75334C"/>
    <w:rsid w:val="3C820637"/>
    <w:rsid w:val="3C855400"/>
    <w:rsid w:val="3C8566E3"/>
    <w:rsid w:val="3C944E67"/>
    <w:rsid w:val="3CAE0B71"/>
    <w:rsid w:val="3CB45142"/>
    <w:rsid w:val="3CC019CB"/>
    <w:rsid w:val="3CE10B00"/>
    <w:rsid w:val="3CEF4BD9"/>
    <w:rsid w:val="3CFB0B1C"/>
    <w:rsid w:val="3D0E49A7"/>
    <w:rsid w:val="3D2D5C26"/>
    <w:rsid w:val="3D3B0112"/>
    <w:rsid w:val="3D46365A"/>
    <w:rsid w:val="3D556267"/>
    <w:rsid w:val="3D580050"/>
    <w:rsid w:val="3D5A7D39"/>
    <w:rsid w:val="3D6D535D"/>
    <w:rsid w:val="3D6D7BA7"/>
    <w:rsid w:val="3D6F2F4E"/>
    <w:rsid w:val="3D7242CB"/>
    <w:rsid w:val="3D793C88"/>
    <w:rsid w:val="3D973A03"/>
    <w:rsid w:val="3D9B7C03"/>
    <w:rsid w:val="3DA401CB"/>
    <w:rsid w:val="3DC36131"/>
    <w:rsid w:val="3DCC5073"/>
    <w:rsid w:val="3DE04A86"/>
    <w:rsid w:val="3E010946"/>
    <w:rsid w:val="3E0C5F62"/>
    <w:rsid w:val="3E2716C1"/>
    <w:rsid w:val="3E302868"/>
    <w:rsid w:val="3E331526"/>
    <w:rsid w:val="3E37737B"/>
    <w:rsid w:val="3E386FB0"/>
    <w:rsid w:val="3E403B01"/>
    <w:rsid w:val="3E45554A"/>
    <w:rsid w:val="3E5827DA"/>
    <w:rsid w:val="3E75078E"/>
    <w:rsid w:val="3E8A432F"/>
    <w:rsid w:val="3E92703D"/>
    <w:rsid w:val="3E9931E6"/>
    <w:rsid w:val="3E9C3052"/>
    <w:rsid w:val="3EBC67D0"/>
    <w:rsid w:val="3ECD49EA"/>
    <w:rsid w:val="3ED92D3E"/>
    <w:rsid w:val="3EDF7823"/>
    <w:rsid w:val="3F020B15"/>
    <w:rsid w:val="3F0217D5"/>
    <w:rsid w:val="3F08024C"/>
    <w:rsid w:val="3F097F88"/>
    <w:rsid w:val="3F0C44B8"/>
    <w:rsid w:val="3F0F0C50"/>
    <w:rsid w:val="3F33629E"/>
    <w:rsid w:val="3F4034CF"/>
    <w:rsid w:val="3F5B5F1E"/>
    <w:rsid w:val="3F664D31"/>
    <w:rsid w:val="3F6C1B91"/>
    <w:rsid w:val="3F6D45B3"/>
    <w:rsid w:val="3F71178A"/>
    <w:rsid w:val="3F7E2CF5"/>
    <w:rsid w:val="3F877942"/>
    <w:rsid w:val="3F8819FD"/>
    <w:rsid w:val="3F960DE7"/>
    <w:rsid w:val="3F9E2F24"/>
    <w:rsid w:val="3FB44132"/>
    <w:rsid w:val="3FC92C41"/>
    <w:rsid w:val="3FCA40C6"/>
    <w:rsid w:val="3FE10F82"/>
    <w:rsid w:val="3FE43DBE"/>
    <w:rsid w:val="3FE6487E"/>
    <w:rsid w:val="3FF95A28"/>
    <w:rsid w:val="40084875"/>
    <w:rsid w:val="401E0F8B"/>
    <w:rsid w:val="40203F14"/>
    <w:rsid w:val="40205F84"/>
    <w:rsid w:val="405F34A4"/>
    <w:rsid w:val="4061546E"/>
    <w:rsid w:val="40746316"/>
    <w:rsid w:val="408056BB"/>
    <w:rsid w:val="40C177E0"/>
    <w:rsid w:val="40EF14C0"/>
    <w:rsid w:val="40F0180D"/>
    <w:rsid w:val="40F0387E"/>
    <w:rsid w:val="40F65D2E"/>
    <w:rsid w:val="40FC0D8A"/>
    <w:rsid w:val="40FC1387"/>
    <w:rsid w:val="40FF5D94"/>
    <w:rsid w:val="4111384C"/>
    <w:rsid w:val="41281AE7"/>
    <w:rsid w:val="412829CB"/>
    <w:rsid w:val="41415FAE"/>
    <w:rsid w:val="41455323"/>
    <w:rsid w:val="41545306"/>
    <w:rsid w:val="41596A52"/>
    <w:rsid w:val="41693BEA"/>
    <w:rsid w:val="41787E51"/>
    <w:rsid w:val="417D7669"/>
    <w:rsid w:val="41977E3F"/>
    <w:rsid w:val="41A55C0F"/>
    <w:rsid w:val="41A84E97"/>
    <w:rsid w:val="41AC7724"/>
    <w:rsid w:val="41B929B7"/>
    <w:rsid w:val="41D24517"/>
    <w:rsid w:val="41D55F58"/>
    <w:rsid w:val="41DA0B95"/>
    <w:rsid w:val="41DF577E"/>
    <w:rsid w:val="41E0537B"/>
    <w:rsid w:val="41FD5726"/>
    <w:rsid w:val="4202679A"/>
    <w:rsid w:val="420267DC"/>
    <w:rsid w:val="421604D8"/>
    <w:rsid w:val="42292127"/>
    <w:rsid w:val="42360568"/>
    <w:rsid w:val="426E5B3E"/>
    <w:rsid w:val="428962FE"/>
    <w:rsid w:val="428B2AB7"/>
    <w:rsid w:val="42A8266A"/>
    <w:rsid w:val="42AE30D0"/>
    <w:rsid w:val="42CF7DB7"/>
    <w:rsid w:val="42DA4118"/>
    <w:rsid w:val="42F05265"/>
    <w:rsid w:val="42FA003C"/>
    <w:rsid w:val="42FC713C"/>
    <w:rsid w:val="43001A80"/>
    <w:rsid w:val="43014D06"/>
    <w:rsid w:val="43040332"/>
    <w:rsid w:val="43167820"/>
    <w:rsid w:val="431A7B56"/>
    <w:rsid w:val="432A7BA7"/>
    <w:rsid w:val="43337EF1"/>
    <w:rsid w:val="433C4244"/>
    <w:rsid w:val="433E6692"/>
    <w:rsid w:val="433F1895"/>
    <w:rsid w:val="43566B85"/>
    <w:rsid w:val="436112E1"/>
    <w:rsid w:val="436E4337"/>
    <w:rsid w:val="4373561C"/>
    <w:rsid w:val="43803E5D"/>
    <w:rsid w:val="43A538C3"/>
    <w:rsid w:val="43BD07B0"/>
    <w:rsid w:val="43CC7099"/>
    <w:rsid w:val="43DD4415"/>
    <w:rsid w:val="43EA39CC"/>
    <w:rsid w:val="43ED1E93"/>
    <w:rsid w:val="43EE7018"/>
    <w:rsid w:val="43F86E92"/>
    <w:rsid w:val="44000925"/>
    <w:rsid w:val="4408043A"/>
    <w:rsid w:val="4421177F"/>
    <w:rsid w:val="442C1D64"/>
    <w:rsid w:val="444430DC"/>
    <w:rsid w:val="44453372"/>
    <w:rsid w:val="44624467"/>
    <w:rsid w:val="446B68B1"/>
    <w:rsid w:val="44967716"/>
    <w:rsid w:val="44C2450D"/>
    <w:rsid w:val="44C36444"/>
    <w:rsid w:val="44D73DF3"/>
    <w:rsid w:val="44D766A2"/>
    <w:rsid w:val="44EB29C8"/>
    <w:rsid w:val="44FD2814"/>
    <w:rsid w:val="45316DD3"/>
    <w:rsid w:val="45357ED5"/>
    <w:rsid w:val="455F3790"/>
    <w:rsid w:val="456D64D2"/>
    <w:rsid w:val="456F69C5"/>
    <w:rsid w:val="45723C79"/>
    <w:rsid w:val="4577674B"/>
    <w:rsid w:val="457A48DC"/>
    <w:rsid w:val="4583066E"/>
    <w:rsid w:val="45861191"/>
    <w:rsid w:val="459C4979"/>
    <w:rsid w:val="45B9694F"/>
    <w:rsid w:val="45BF2A22"/>
    <w:rsid w:val="45C16626"/>
    <w:rsid w:val="45D17B91"/>
    <w:rsid w:val="45D711C1"/>
    <w:rsid w:val="45E06E35"/>
    <w:rsid w:val="45E23A69"/>
    <w:rsid w:val="45E4410A"/>
    <w:rsid w:val="45EC5EB0"/>
    <w:rsid w:val="460C7C2A"/>
    <w:rsid w:val="46161BF4"/>
    <w:rsid w:val="46175176"/>
    <w:rsid w:val="46180F6A"/>
    <w:rsid w:val="461911C7"/>
    <w:rsid w:val="461F7142"/>
    <w:rsid w:val="46326857"/>
    <w:rsid w:val="46623CA1"/>
    <w:rsid w:val="468E52B7"/>
    <w:rsid w:val="46914AD1"/>
    <w:rsid w:val="46A042B6"/>
    <w:rsid w:val="46A10349"/>
    <w:rsid w:val="46A30D8F"/>
    <w:rsid w:val="46AB2580"/>
    <w:rsid w:val="46AB3ECB"/>
    <w:rsid w:val="46AC5FF2"/>
    <w:rsid w:val="46AF2451"/>
    <w:rsid w:val="46B16AB3"/>
    <w:rsid w:val="46C00C49"/>
    <w:rsid w:val="46C140A0"/>
    <w:rsid w:val="46D861FC"/>
    <w:rsid w:val="46DB5421"/>
    <w:rsid w:val="46E80F7C"/>
    <w:rsid w:val="46EB2EC8"/>
    <w:rsid w:val="46F04F57"/>
    <w:rsid w:val="46F879B8"/>
    <w:rsid w:val="46FF1367"/>
    <w:rsid w:val="46FF5A98"/>
    <w:rsid w:val="4728146E"/>
    <w:rsid w:val="47486DFD"/>
    <w:rsid w:val="47503C06"/>
    <w:rsid w:val="47655F01"/>
    <w:rsid w:val="47727F88"/>
    <w:rsid w:val="478D4334"/>
    <w:rsid w:val="47986F9D"/>
    <w:rsid w:val="479C191B"/>
    <w:rsid w:val="47A846A7"/>
    <w:rsid w:val="47C626C4"/>
    <w:rsid w:val="47CD71EF"/>
    <w:rsid w:val="47E15248"/>
    <w:rsid w:val="47EA0897"/>
    <w:rsid w:val="48183D42"/>
    <w:rsid w:val="4827495D"/>
    <w:rsid w:val="484A4363"/>
    <w:rsid w:val="485D283D"/>
    <w:rsid w:val="486C39E4"/>
    <w:rsid w:val="486E2FF0"/>
    <w:rsid w:val="488D4EB9"/>
    <w:rsid w:val="48964094"/>
    <w:rsid w:val="489D0144"/>
    <w:rsid w:val="489D1632"/>
    <w:rsid w:val="48A31080"/>
    <w:rsid w:val="48A340E9"/>
    <w:rsid w:val="48AE55A2"/>
    <w:rsid w:val="48D07F32"/>
    <w:rsid w:val="48D93BC9"/>
    <w:rsid w:val="48EC3600"/>
    <w:rsid w:val="48F402CE"/>
    <w:rsid w:val="48FA1FBB"/>
    <w:rsid w:val="48FA5A9E"/>
    <w:rsid w:val="493A2D00"/>
    <w:rsid w:val="495A6EFE"/>
    <w:rsid w:val="495B3505"/>
    <w:rsid w:val="49613143"/>
    <w:rsid w:val="4965362C"/>
    <w:rsid w:val="498479C4"/>
    <w:rsid w:val="498A4AFC"/>
    <w:rsid w:val="498D583D"/>
    <w:rsid w:val="499614CF"/>
    <w:rsid w:val="49CB5291"/>
    <w:rsid w:val="49DD65C9"/>
    <w:rsid w:val="49E14F29"/>
    <w:rsid w:val="49E61A3D"/>
    <w:rsid w:val="4A060D5F"/>
    <w:rsid w:val="4A084BAC"/>
    <w:rsid w:val="4A1140AF"/>
    <w:rsid w:val="4A1437A3"/>
    <w:rsid w:val="4A436F83"/>
    <w:rsid w:val="4A45370A"/>
    <w:rsid w:val="4A600544"/>
    <w:rsid w:val="4A623C76"/>
    <w:rsid w:val="4A70361C"/>
    <w:rsid w:val="4A772055"/>
    <w:rsid w:val="4A7A27F3"/>
    <w:rsid w:val="4A8420B0"/>
    <w:rsid w:val="4A963636"/>
    <w:rsid w:val="4A984A48"/>
    <w:rsid w:val="4A9B7EE7"/>
    <w:rsid w:val="4AA20243"/>
    <w:rsid w:val="4AA5064D"/>
    <w:rsid w:val="4AA67292"/>
    <w:rsid w:val="4AA74694"/>
    <w:rsid w:val="4AAA5C63"/>
    <w:rsid w:val="4AC2242D"/>
    <w:rsid w:val="4ACA5863"/>
    <w:rsid w:val="4AE84CA6"/>
    <w:rsid w:val="4AEB5539"/>
    <w:rsid w:val="4AF07EF2"/>
    <w:rsid w:val="4AF5558F"/>
    <w:rsid w:val="4B035500"/>
    <w:rsid w:val="4B094922"/>
    <w:rsid w:val="4B0A4FD7"/>
    <w:rsid w:val="4B0B3D86"/>
    <w:rsid w:val="4B2E1493"/>
    <w:rsid w:val="4B3C2030"/>
    <w:rsid w:val="4B463434"/>
    <w:rsid w:val="4B4B10AE"/>
    <w:rsid w:val="4B4C11CC"/>
    <w:rsid w:val="4B4D1CC6"/>
    <w:rsid w:val="4B523A37"/>
    <w:rsid w:val="4B670046"/>
    <w:rsid w:val="4B7E3271"/>
    <w:rsid w:val="4B842010"/>
    <w:rsid w:val="4B895879"/>
    <w:rsid w:val="4B94414F"/>
    <w:rsid w:val="4BB26A72"/>
    <w:rsid w:val="4BC85181"/>
    <w:rsid w:val="4BD9264F"/>
    <w:rsid w:val="4C0E7033"/>
    <w:rsid w:val="4C16071D"/>
    <w:rsid w:val="4C177328"/>
    <w:rsid w:val="4C183B97"/>
    <w:rsid w:val="4C231DBD"/>
    <w:rsid w:val="4C320BEF"/>
    <w:rsid w:val="4C3C31FF"/>
    <w:rsid w:val="4C3D1594"/>
    <w:rsid w:val="4C462E36"/>
    <w:rsid w:val="4C4837F5"/>
    <w:rsid w:val="4C63431C"/>
    <w:rsid w:val="4C7E0D3C"/>
    <w:rsid w:val="4C9149E5"/>
    <w:rsid w:val="4C931CDA"/>
    <w:rsid w:val="4CB02B0A"/>
    <w:rsid w:val="4CB15087"/>
    <w:rsid w:val="4CBF5BB6"/>
    <w:rsid w:val="4CC55B99"/>
    <w:rsid w:val="4CC666B7"/>
    <w:rsid w:val="4CD63AA7"/>
    <w:rsid w:val="4CEE1E37"/>
    <w:rsid w:val="4CEE5F28"/>
    <w:rsid w:val="4CFA6A2E"/>
    <w:rsid w:val="4CFB27A6"/>
    <w:rsid w:val="4D135692"/>
    <w:rsid w:val="4D142D15"/>
    <w:rsid w:val="4D1675E0"/>
    <w:rsid w:val="4D225F85"/>
    <w:rsid w:val="4D294DEC"/>
    <w:rsid w:val="4D3D4B6D"/>
    <w:rsid w:val="4D4D4AC8"/>
    <w:rsid w:val="4D7329C2"/>
    <w:rsid w:val="4D9217BE"/>
    <w:rsid w:val="4D95437D"/>
    <w:rsid w:val="4DA60E45"/>
    <w:rsid w:val="4DAA366F"/>
    <w:rsid w:val="4DAB6394"/>
    <w:rsid w:val="4DAC33CB"/>
    <w:rsid w:val="4DB766CD"/>
    <w:rsid w:val="4DC82688"/>
    <w:rsid w:val="4DD4573C"/>
    <w:rsid w:val="4DD66730"/>
    <w:rsid w:val="4DDE080E"/>
    <w:rsid w:val="4DDF71D7"/>
    <w:rsid w:val="4DF01BDF"/>
    <w:rsid w:val="4DFB0CD1"/>
    <w:rsid w:val="4E2968B6"/>
    <w:rsid w:val="4E377D44"/>
    <w:rsid w:val="4E45330B"/>
    <w:rsid w:val="4E4F4CA2"/>
    <w:rsid w:val="4E5841E1"/>
    <w:rsid w:val="4E603CD4"/>
    <w:rsid w:val="4E7E792E"/>
    <w:rsid w:val="4E8747B2"/>
    <w:rsid w:val="4E8F2D55"/>
    <w:rsid w:val="4E9A6118"/>
    <w:rsid w:val="4EB07FFE"/>
    <w:rsid w:val="4ED00866"/>
    <w:rsid w:val="4EE6370B"/>
    <w:rsid w:val="4EEA7CDD"/>
    <w:rsid w:val="4EF35A1F"/>
    <w:rsid w:val="4EF37BD9"/>
    <w:rsid w:val="4EF839BD"/>
    <w:rsid w:val="4EF83E52"/>
    <w:rsid w:val="4F084ABB"/>
    <w:rsid w:val="4F0B53D7"/>
    <w:rsid w:val="4F11005F"/>
    <w:rsid w:val="4F1D46E9"/>
    <w:rsid w:val="4F3C090E"/>
    <w:rsid w:val="4F426412"/>
    <w:rsid w:val="4F461D8C"/>
    <w:rsid w:val="4F470789"/>
    <w:rsid w:val="4F552641"/>
    <w:rsid w:val="4F552A3F"/>
    <w:rsid w:val="4F7F146C"/>
    <w:rsid w:val="4F9C429D"/>
    <w:rsid w:val="4FA80356"/>
    <w:rsid w:val="4FAB3B8A"/>
    <w:rsid w:val="4FB453AE"/>
    <w:rsid w:val="4FBA3171"/>
    <w:rsid w:val="4FE1318A"/>
    <w:rsid w:val="501D1EE8"/>
    <w:rsid w:val="50204BF3"/>
    <w:rsid w:val="504303AC"/>
    <w:rsid w:val="50571EFE"/>
    <w:rsid w:val="50665328"/>
    <w:rsid w:val="506B1A63"/>
    <w:rsid w:val="50707007"/>
    <w:rsid w:val="5084661A"/>
    <w:rsid w:val="508D78D7"/>
    <w:rsid w:val="508D7F0E"/>
    <w:rsid w:val="50994817"/>
    <w:rsid w:val="50AC4579"/>
    <w:rsid w:val="50C67766"/>
    <w:rsid w:val="50D35047"/>
    <w:rsid w:val="50E14674"/>
    <w:rsid w:val="50FB1E7A"/>
    <w:rsid w:val="510863B4"/>
    <w:rsid w:val="51095CCB"/>
    <w:rsid w:val="510D2AA8"/>
    <w:rsid w:val="510E04AD"/>
    <w:rsid w:val="51100A1F"/>
    <w:rsid w:val="513C3D6B"/>
    <w:rsid w:val="513D2571"/>
    <w:rsid w:val="5141125F"/>
    <w:rsid w:val="51523142"/>
    <w:rsid w:val="515B3813"/>
    <w:rsid w:val="516E6CF2"/>
    <w:rsid w:val="51777020"/>
    <w:rsid w:val="51874B10"/>
    <w:rsid w:val="51906388"/>
    <w:rsid w:val="51934650"/>
    <w:rsid w:val="51D15227"/>
    <w:rsid w:val="51D85D0A"/>
    <w:rsid w:val="51DE77DF"/>
    <w:rsid w:val="51F55A16"/>
    <w:rsid w:val="52050735"/>
    <w:rsid w:val="5209201B"/>
    <w:rsid w:val="52311468"/>
    <w:rsid w:val="5244777E"/>
    <w:rsid w:val="5248054A"/>
    <w:rsid w:val="524E71CA"/>
    <w:rsid w:val="525706DF"/>
    <w:rsid w:val="5261330A"/>
    <w:rsid w:val="5274576B"/>
    <w:rsid w:val="52801BF0"/>
    <w:rsid w:val="5286060F"/>
    <w:rsid w:val="528D50B4"/>
    <w:rsid w:val="529238C5"/>
    <w:rsid w:val="529979D4"/>
    <w:rsid w:val="52A4700B"/>
    <w:rsid w:val="52B966BD"/>
    <w:rsid w:val="52C60B83"/>
    <w:rsid w:val="52CF2D5D"/>
    <w:rsid w:val="52D96C91"/>
    <w:rsid w:val="52EA2B64"/>
    <w:rsid w:val="53230728"/>
    <w:rsid w:val="533C1542"/>
    <w:rsid w:val="53713364"/>
    <w:rsid w:val="537314E8"/>
    <w:rsid w:val="53767FD0"/>
    <w:rsid w:val="538213BB"/>
    <w:rsid w:val="53874A59"/>
    <w:rsid w:val="538F59F6"/>
    <w:rsid w:val="5393331E"/>
    <w:rsid w:val="53946703"/>
    <w:rsid w:val="539B130F"/>
    <w:rsid w:val="539E4735"/>
    <w:rsid w:val="53A44F5A"/>
    <w:rsid w:val="53BE0708"/>
    <w:rsid w:val="53BF1CE2"/>
    <w:rsid w:val="53CE2D77"/>
    <w:rsid w:val="53D62E85"/>
    <w:rsid w:val="53DA7144"/>
    <w:rsid w:val="53E0157A"/>
    <w:rsid w:val="53E46CC7"/>
    <w:rsid w:val="53F26214"/>
    <w:rsid w:val="53F473C8"/>
    <w:rsid w:val="540733B3"/>
    <w:rsid w:val="54137F65"/>
    <w:rsid w:val="541A55B6"/>
    <w:rsid w:val="541F2346"/>
    <w:rsid w:val="54292FAC"/>
    <w:rsid w:val="542B18A9"/>
    <w:rsid w:val="542F3477"/>
    <w:rsid w:val="54461299"/>
    <w:rsid w:val="5454111A"/>
    <w:rsid w:val="545571E3"/>
    <w:rsid w:val="546A4F53"/>
    <w:rsid w:val="546B75B3"/>
    <w:rsid w:val="546E3CF8"/>
    <w:rsid w:val="54705337"/>
    <w:rsid w:val="5473699B"/>
    <w:rsid w:val="547B002C"/>
    <w:rsid w:val="547B02D2"/>
    <w:rsid w:val="54807156"/>
    <w:rsid w:val="548B08B3"/>
    <w:rsid w:val="54905ECA"/>
    <w:rsid w:val="54AD082A"/>
    <w:rsid w:val="54C42C9A"/>
    <w:rsid w:val="54DD733C"/>
    <w:rsid w:val="54DE09E3"/>
    <w:rsid w:val="54FB3607"/>
    <w:rsid w:val="550F79D3"/>
    <w:rsid w:val="551B0ED3"/>
    <w:rsid w:val="554636FD"/>
    <w:rsid w:val="554B6B4E"/>
    <w:rsid w:val="555076EA"/>
    <w:rsid w:val="55607547"/>
    <w:rsid w:val="556B4EC4"/>
    <w:rsid w:val="556B61B6"/>
    <w:rsid w:val="55797D86"/>
    <w:rsid w:val="55971171"/>
    <w:rsid w:val="55A06F8B"/>
    <w:rsid w:val="55B1712D"/>
    <w:rsid w:val="55C5321D"/>
    <w:rsid w:val="55DA2CB7"/>
    <w:rsid w:val="55E054C6"/>
    <w:rsid w:val="55FF07F6"/>
    <w:rsid w:val="560F5E67"/>
    <w:rsid w:val="56370FCA"/>
    <w:rsid w:val="56514843"/>
    <w:rsid w:val="565D6F39"/>
    <w:rsid w:val="566904CA"/>
    <w:rsid w:val="566A76E5"/>
    <w:rsid w:val="56A76EF7"/>
    <w:rsid w:val="56AB0D99"/>
    <w:rsid w:val="56BE0ACC"/>
    <w:rsid w:val="56D16403"/>
    <w:rsid w:val="56D25A64"/>
    <w:rsid w:val="56E60023"/>
    <w:rsid w:val="5700529A"/>
    <w:rsid w:val="57080E68"/>
    <w:rsid w:val="57250B4B"/>
    <w:rsid w:val="5726041F"/>
    <w:rsid w:val="57272B15"/>
    <w:rsid w:val="573F1979"/>
    <w:rsid w:val="5747168F"/>
    <w:rsid w:val="57631A40"/>
    <w:rsid w:val="57661794"/>
    <w:rsid w:val="576E3115"/>
    <w:rsid w:val="5771432A"/>
    <w:rsid w:val="577D0FE2"/>
    <w:rsid w:val="578A6DDD"/>
    <w:rsid w:val="579D7124"/>
    <w:rsid w:val="579F4006"/>
    <w:rsid w:val="57A71560"/>
    <w:rsid w:val="57C9669B"/>
    <w:rsid w:val="57DD1F0D"/>
    <w:rsid w:val="57FA2364"/>
    <w:rsid w:val="58041F94"/>
    <w:rsid w:val="580A5FA8"/>
    <w:rsid w:val="5820754E"/>
    <w:rsid w:val="58325F99"/>
    <w:rsid w:val="5833536C"/>
    <w:rsid w:val="58381073"/>
    <w:rsid w:val="583B7890"/>
    <w:rsid w:val="5845572C"/>
    <w:rsid w:val="58555C63"/>
    <w:rsid w:val="58827661"/>
    <w:rsid w:val="58A440EE"/>
    <w:rsid w:val="58AD4964"/>
    <w:rsid w:val="58B93674"/>
    <w:rsid w:val="58E4730E"/>
    <w:rsid w:val="58EF0566"/>
    <w:rsid w:val="58F62C63"/>
    <w:rsid w:val="58F64758"/>
    <w:rsid w:val="58F738FF"/>
    <w:rsid w:val="58FC5685"/>
    <w:rsid w:val="591519C8"/>
    <w:rsid w:val="59200CE9"/>
    <w:rsid w:val="592D4866"/>
    <w:rsid w:val="59352F88"/>
    <w:rsid w:val="59386A96"/>
    <w:rsid w:val="594A2A90"/>
    <w:rsid w:val="594D0C1F"/>
    <w:rsid w:val="59524C15"/>
    <w:rsid w:val="595F2420"/>
    <w:rsid w:val="596700CF"/>
    <w:rsid w:val="596E0AA3"/>
    <w:rsid w:val="597A1103"/>
    <w:rsid w:val="598D4786"/>
    <w:rsid w:val="59A16168"/>
    <w:rsid w:val="59A73A9A"/>
    <w:rsid w:val="59D177A4"/>
    <w:rsid w:val="59FB0BB7"/>
    <w:rsid w:val="5A1510CC"/>
    <w:rsid w:val="5A1B0F64"/>
    <w:rsid w:val="5A2B709A"/>
    <w:rsid w:val="5A315A59"/>
    <w:rsid w:val="5A3A1A39"/>
    <w:rsid w:val="5A455061"/>
    <w:rsid w:val="5A4F55EB"/>
    <w:rsid w:val="5A5A0B0C"/>
    <w:rsid w:val="5A766E2E"/>
    <w:rsid w:val="5A8077A1"/>
    <w:rsid w:val="5A8A7703"/>
    <w:rsid w:val="5A954046"/>
    <w:rsid w:val="5A9A27C8"/>
    <w:rsid w:val="5AAF76CB"/>
    <w:rsid w:val="5ACE05D9"/>
    <w:rsid w:val="5AE63E5E"/>
    <w:rsid w:val="5AF7404E"/>
    <w:rsid w:val="5AF87323"/>
    <w:rsid w:val="5B1C1333"/>
    <w:rsid w:val="5B2300A3"/>
    <w:rsid w:val="5B387EAF"/>
    <w:rsid w:val="5B490F09"/>
    <w:rsid w:val="5B522A81"/>
    <w:rsid w:val="5B6A2FD1"/>
    <w:rsid w:val="5B92494E"/>
    <w:rsid w:val="5BA14EC2"/>
    <w:rsid w:val="5BA910F6"/>
    <w:rsid w:val="5BB129F8"/>
    <w:rsid w:val="5BCA4E0D"/>
    <w:rsid w:val="5BCC2754"/>
    <w:rsid w:val="5BCD4E8F"/>
    <w:rsid w:val="5BE143A3"/>
    <w:rsid w:val="5BF65641"/>
    <w:rsid w:val="5C2107F1"/>
    <w:rsid w:val="5C3260B1"/>
    <w:rsid w:val="5C3F26AF"/>
    <w:rsid w:val="5C567B55"/>
    <w:rsid w:val="5C7374EF"/>
    <w:rsid w:val="5C7C3F7E"/>
    <w:rsid w:val="5C824740"/>
    <w:rsid w:val="5C835B16"/>
    <w:rsid w:val="5C8C51C9"/>
    <w:rsid w:val="5C8D6B99"/>
    <w:rsid w:val="5C914DC7"/>
    <w:rsid w:val="5CA41FD2"/>
    <w:rsid w:val="5CA60D7A"/>
    <w:rsid w:val="5CA701BF"/>
    <w:rsid w:val="5CD33E6C"/>
    <w:rsid w:val="5CD8040E"/>
    <w:rsid w:val="5CD947B2"/>
    <w:rsid w:val="5CE413B5"/>
    <w:rsid w:val="5D205B2D"/>
    <w:rsid w:val="5D222364"/>
    <w:rsid w:val="5D222E29"/>
    <w:rsid w:val="5D3A6392"/>
    <w:rsid w:val="5D4E7A2B"/>
    <w:rsid w:val="5D500F0B"/>
    <w:rsid w:val="5D5722AA"/>
    <w:rsid w:val="5D665E7C"/>
    <w:rsid w:val="5D675EB2"/>
    <w:rsid w:val="5D6D0D07"/>
    <w:rsid w:val="5D7438C0"/>
    <w:rsid w:val="5D795BB8"/>
    <w:rsid w:val="5D7C0913"/>
    <w:rsid w:val="5D8E2DAE"/>
    <w:rsid w:val="5DA6050C"/>
    <w:rsid w:val="5DBF1F7F"/>
    <w:rsid w:val="5DC54FAA"/>
    <w:rsid w:val="5DC92D73"/>
    <w:rsid w:val="5DCC2E62"/>
    <w:rsid w:val="5DD969A8"/>
    <w:rsid w:val="5DE76F4A"/>
    <w:rsid w:val="5E113E29"/>
    <w:rsid w:val="5E1426CF"/>
    <w:rsid w:val="5E2505D1"/>
    <w:rsid w:val="5E6A517E"/>
    <w:rsid w:val="5E6A778C"/>
    <w:rsid w:val="5E725B96"/>
    <w:rsid w:val="5E7B638C"/>
    <w:rsid w:val="5E970B62"/>
    <w:rsid w:val="5EA07133"/>
    <w:rsid w:val="5EA07AA3"/>
    <w:rsid w:val="5EB16FD6"/>
    <w:rsid w:val="5EBA48F5"/>
    <w:rsid w:val="5EBE0358"/>
    <w:rsid w:val="5EC80351"/>
    <w:rsid w:val="5EEF6877"/>
    <w:rsid w:val="5F013311"/>
    <w:rsid w:val="5F416CE0"/>
    <w:rsid w:val="5F4F372D"/>
    <w:rsid w:val="5F505B36"/>
    <w:rsid w:val="5F51313E"/>
    <w:rsid w:val="5F5244A8"/>
    <w:rsid w:val="5F5F0972"/>
    <w:rsid w:val="5F6E01E1"/>
    <w:rsid w:val="5F6E3173"/>
    <w:rsid w:val="5F7041B2"/>
    <w:rsid w:val="5F880520"/>
    <w:rsid w:val="5F8F5192"/>
    <w:rsid w:val="5F906720"/>
    <w:rsid w:val="5FB402AA"/>
    <w:rsid w:val="5FBC4E11"/>
    <w:rsid w:val="5FC353A5"/>
    <w:rsid w:val="5FC74387"/>
    <w:rsid w:val="5FCA6691"/>
    <w:rsid w:val="5FD2516D"/>
    <w:rsid w:val="5FFA45F4"/>
    <w:rsid w:val="5FFF09F2"/>
    <w:rsid w:val="600E193F"/>
    <w:rsid w:val="6017749F"/>
    <w:rsid w:val="601E16E1"/>
    <w:rsid w:val="6028345A"/>
    <w:rsid w:val="60304923"/>
    <w:rsid w:val="60326087"/>
    <w:rsid w:val="603500FB"/>
    <w:rsid w:val="603B0742"/>
    <w:rsid w:val="604135F9"/>
    <w:rsid w:val="606F72DB"/>
    <w:rsid w:val="6078514B"/>
    <w:rsid w:val="608076B7"/>
    <w:rsid w:val="60862AC7"/>
    <w:rsid w:val="60870181"/>
    <w:rsid w:val="608A3C59"/>
    <w:rsid w:val="60935106"/>
    <w:rsid w:val="60A23DBD"/>
    <w:rsid w:val="60B85F66"/>
    <w:rsid w:val="60C44DBC"/>
    <w:rsid w:val="60C72A24"/>
    <w:rsid w:val="60D8007F"/>
    <w:rsid w:val="60F37A17"/>
    <w:rsid w:val="610145F2"/>
    <w:rsid w:val="6105710D"/>
    <w:rsid w:val="613E54C9"/>
    <w:rsid w:val="6160632F"/>
    <w:rsid w:val="617F6EEF"/>
    <w:rsid w:val="61861FE1"/>
    <w:rsid w:val="61C00C24"/>
    <w:rsid w:val="61C848E7"/>
    <w:rsid w:val="61CB7697"/>
    <w:rsid w:val="61CD42B9"/>
    <w:rsid w:val="61E84E98"/>
    <w:rsid w:val="61F46A9F"/>
    <w:rsid w:val="61F545F0"/>
    <w:rsid w:val="62083533"/>
    <w:rsid w:val="620D41A8"/>
    <w:rsid w:val="622C424D"/>
    <w:rsid w:val="62456545"/>
    <w:rsid w:val="624B3430"/>
    <w:rsid w:val="6255309A"/>
    <w:rsid w:val="625E09FC"/>
    <w:rsid w:val="627C3B9D"/>
    <w:rsid w:val="62A43582"/>
    <w:rsid w:val="62AA45FB"/>
    <w:rsid w:val="62C300E9"/>
    <w:rsid w:val="62DD0B21"/>
    <w:rsid w:val="62E3105D"/>
    <w:rsid w:val="62E71051"/>
    <w:rsid w:val="62F334FF"/>
    <w:rsid w:val="62FF4FE8"/>
    <w:rsid w:val="63191E36"/>
    <w:rsid w:val="632D5A95"/>
    <w:rsid w:val="63311A8D"/>
    <w:rsid w:val="633E2723"/>
    <w:rsid w:val="635C2B15"/>
    <w:rsid w:val="63612F0B"/>
    <w:rsid w:val="637579D4"/>
    <w:rsid w:val="63790362"/>
    <w:rsid w:val="639C1BFF"/>
    <w:rsid w:val="63A112BF"/>
    <w:rsid w:val="63BC4512"/>
    <w:rsid w:val="63D06AB5"/>
    <w:rsid w:val="63DF2082"/>
    <w:rsid w:val="63E14C27"/>
    <w:rsid w:val="63EB0C9B"/>
    <w:rsid w:val="64057493"/>
    <w:rsid w:val="640809B7"/>
    <w:rsid w:val="640D15A9"/>
    <w:rsid w:val="642021C6"/>
    <w:rsid w:val="64287ECD"/>
    <w:rsid w:val="64300B94"/>
    <w:rsid w:val="643C0051"/>
    <w:rsid w:val="644545DB"/>
    <w:rsid w:val="64674BE1"/>
    <w:rsid w:val="64717379"/>
    <w:rsid w:val="64AA3487"/>
    <w:rsid w:val="64C268E9"/>
    <w:rsid w:val="64E70B0B"/>
    <w:rsid w:val="65000DC2"/>
    <w:rsid w:val="65026B3B"/>
    <w:rsid w:val="650B707F"/>
    <w:rsid w:val="65121B64"/>
    <w:rsid w:val="654C48D9"/>
    <w:rsid w:val="65AC2861"/>
    <w:rsid w:val="65B77A6D"/>
    <w:rsid w:val="65D57588"/>
    <w:rsid w:val="65D648DA"/>
    <w:rsid w:val="65DF45BB"/>
    <w:rsid w:val="65E074E4"/>
    <w:rsid w:val="65E6594A"/>
    <w:rsid w:val="65ED7079"/>
    <w:rsid w:val="65EE0B01"/>
    <w:rsid w:val="65EE1BBE"/>
    <w:rsid w:val="65F61108"/>
    <w:rsid w:val="66017474"/>
    <w:rsid w:val="66033B3B"/>
    <w:rsid w:val="661A2891"/>
    <w:rsid w:val="661A50B7"/>
    <w:rsid w:val="661D158B"/>
    <w:rsid w:val="663A5DB1"/>
    <w:rsid w:val="66406D02"/>
    <w:rsid w:val="66504400"/>
    <w:rsid w:val="665E06D8"/>
    <w:rsid w:val="66674AE3"/>
    <w:rsid w:val="666B09FB"/>
    <w:rsid w:val="6692136A"/>
    <w:rsid w:val="669A3EF5"/>
    <w:rsid w:val="66AB10AA"/>
    <w:rsid w:val="66AC30AF"/>
    <w:rsid w:val="66C17F14"/>
    <w:rsid w:val="66CF5243"/>
    <w:rsid w:val="66F16B34"/>
    <w:rsid w:val="670022A7"/>
    <w:rsid w:val="67041AAE"/>
    <w:rsid w:val="67085A38"/>
    <w:rsid w:val="670E33AA"/>
    <w:rsid w:val="67167CD4"/>
    <w:rsid w:val="67373228"/>
    <w:rsid w:val="673D4193"/>
    <w:rsid w:val="67525382"/>
    <w:rsid w:val="676457E0"/>
    <w:rsid w:val="67A161EF"/>
    <w:rsid w:val="67A82ED4"/>
    <w:rsid w:val="67AB0C84"/>
    <w:rsid w:val="67BF77FD"/>
    <w:rsid w:val="67DB0DB2"/>
    <w:rsid w:val="67E72272"/>
    <w:rsid w:val="67FB7820"/>
    <w:rsid w:val="67FF593F"/>
    <w:rsid w:val="68014CBD"/>
    <w:rsid w:val="680936E6"/>
    <w:rsid w:val="68193B03"/>
    <w:rsid w:val="68464643"/>
    <w:rsid w:val="685C4C7D"/>
    <w:rsid w:val="6861202F"/>
    <w:rsid w:val="686C7104"/>
    <w:rsid w:val="6873723D"/>
    <w:rsid w:val="6875703D"/>
    <w:rsid w:val="687A451C"/>
    <w:rsid w:val="687B7E02"/>
    <w:rsid w:val="68802F24"/>
    <w:rsid w:val="6881382C"/>
    <w:rsid w:val="68821BA2"/>
    <w:rsid w:val="68CC62F2"/>
    <w:rsid w:val="68D358A8"/>
    <w:rsid w:val="68D768FF"/>
    <w:rsid w:val="68EB4EB7"/>
    <w:rsid w:val="68EF178A"/>
    <w:rsid w:val="68EF7103"/>
    <w:rsid w:val="68F959FC"/>
    <w:rsid w:val="68FA2195"/>
    <w:rsid w:val="68FB36DB"/>
    <w:rsid w:val="690A7094"/>
    <w:rsid w:val="693B682F"/>
    <w:rsid w:val="694240A3"/>
    <w:rsid w:val="694F4865"/>
    <w:rsid w:val="695427E6"/>
    <w:rsid w:val="69592AD1"/>
    <w:rsid w:val="697A1BDE"/>
    <w:rsid w:val="697B7921"/>
    <w:rsid w:val="698703CB"/>
    <w:rsid w:val="69A14FAF"/>
    <w:rsid w:val="69CD38AA"/>
    <w:rsid w:val="69D87C9F"/>
    <w:rsid w:val="69DD5FF8"/>
    <w:rsid w:val="69EA63EA"/>
    <w:rsid w:val="69EE421E"/>
    <w:rsid w:val="69FB6D74"/>
    <w:rsid w:val="69FF1D7F"/>
    <w:rsid w:val="6A012998"/>
    <w:rsid w:val="6A061647"/>
    <w:rsid w:val="6A066B35"/>
    <w:rsid w:val="6A1272E0"/>
    <w:rsid w:val="6A16656B"/>
    <w:rsid w:val="6A1740E4"/>
    <w:rsid w:val="6A2A072D"/>
    <w:rsid w:val="6A2E1762"/>
    <w:rsid w:val="6A2E5C82"/>
    <w:rsid w:val="6A5B7B46"/>
    <w:rsid w:val="6A6423D4"/>
    <w:rsid w:val="6A6E72CD"/>
    <w:rsid w:val="6A75773F"/>
    <w:rsid w:val="6A8F4EBE"/>
    <w:rsid w:val="6A967BF1"/>
    <w:rsid w:val="6A9D2A52"/>
    <w:rsid w:val="6AA103C4"/>
    <w:rsid w:val="6AB2229E"/>
    <w:rsid w:val="6AC326FD"/>
    <w:rsid w:val="6ACB3CDD"/>
    <w:rsid w:val="6AD768FC"/>
    <w:rsid w:val="6AD8647E"/>
    <w:rsid w:val="6ADD7DAE"/>
    <w:rsid w:val="6B1000BA"/>
    <w:rsid w:val="6B156168"/>
    <w:rsid w:val="6B1B42E7"/>
    <w:rsid w:val="6B271CFB"/>
    <w:rsid w:val="6B290F75"/>
    <w:rsid w:val="6B405AFC"/>
    <w:rsid w:val="6B4D5A2C"/>
    <w:rsid w:val="6B543355"/>
    <w:rsid w:val="6B572E46"/>
    <w:rsid w:val="6B573CA8"/>
    <w:rsid w:val="6B5A7801"/>
    <w:rsid w:val="6B620B6D"/>
    <w:rsid w:val="6B7144A1"/>
    <w:rsid w:val="6B771BB3"/>
    <w:rsid w:val="6B80763D"/>
    <w:rsid w:val="6B975E4A"/>
    <w:rsid w:val="6B9B0F84"/>
    <w:rsid w:val="6BB934F1"/>
    <w:rsid w:val="6BBC25C1"/>
    <w:rsid w:val="6BF06E0B"/>
    <w:rsid w:val="6BF606C5"/>
    <w:rsid w:val="6C11333E"/>
    <w:rsid w:val="6C1A70D2"/>
    <w:rsid w:val="6C2C7E2E"/>
    <w:rsid w:val="6C532741"/>
    <w:rsid w:val="6C5F7BE8"/>
    <w:rsid w:val="6C7670F5"/>
    <w:rsid w:val="6C7A646F"/>
    <w:rsid w:val="6C8271D0"/>
    <w:rsid w:val="6CC17E90"/>
    <w:rsid w:val="6CC453AB"/>
    <w:rsid w:val="6CC748C8"/>
    <w:rsid w:val="6CE368A8"/>
    <w:rsid w:val="6CF20781"/>
    <w:rsid w:val="6CF73A7A"/>
    <w:rsid w:val="6CFE1065"/>
    <w:rsid w:val="6D092DDF"/>
    <w:rsid w:val="6D1270E2"/>
    <w:rsid w:val="6D410A43"/>
    <w:rsid w:val="6D496D09"/>
    <w:rsid w:val="6D5842BF"/>
    <w:rsid w:val="6D602628"/>
    <w:rsid w:val="6D734C62"/>
    <w:rsid w:val="6D7B2E1B"/>
    <w:rsid w:val="6D8F7B19"/>
    <w:rsid w:val="6DAE4E5F"/>
    <w:rsid w:val="6DB15228"/>
    <w:rsid w:val="6DC742EC"/>
    <w:rsid w:val="6DDA538C"/>
    <w:rsid w:val="6DDD3E2F"/>
    <w:rsid w:val="6DEF5321"/>
    <w:rsid w:val="6DF57072"/>
    <w:rsid w:val="6E166FE8"/>
    <w:rsid w:val="6E1E6436"/>
    <w:rsid w:val="6E24605A"/>
    <w:rsid w:val="6E2B6C05"/>
    <w:rsid w:val="6E2C4BAC"/>
    <w:rsid w:val="6E320453"/>
    <w:rsid w:val="6E4E6782"/>
    <w:rsid w:val="6E9956F4"/>
    <w:rsid w:val="6EAA19E3"/>
    <w:rsid w:val="6EB65EE2"/>
    <w:rsid w:val="6EC029B9"/>
    <w:rsid w:val="6ED76777"/>
    <w:rsid w:val="6EE844E0"/>
    <w:rsid w:val="6F0750DF"/>
    <w:rsid w:val="6F2D16E5"/>
    <w:rsid w:val="6F326EBD"/>
    <w:rsid w:val="6F3719A1"/>
    <w:rsid w:val="6F384AFA"/>
    <w:rsid w:val="6F392BEC"/>
    <w:rsid w:val="6F401F14"/>
    <w:rsid w:val="6F473DAB"/>
    <w:rsid w:val="6F510A5E"/>
    <w:rsid w:val="6F534C77"/>
    <w:rsid w:val="6F656EAA"/>
    <w:rsid w:val="6F8004C6"/>
    <w:rsid w:val="6F8C191E"/>
    <w:rsid w:val="6F9B77A5"/>
    <w:rsid w:val="6FAD2E9E"/>
    <w:rsid w:val="6FAD7A85"/>
    <w:rsid w:val="6FB17D89"/>
    <w:rsid w:val="6FB86EC0"/>
    <w:rsid w:val="6FC10DB1"/>
    <w:rsid w:val="6FC95729"/>
    <w:rsid w:val="6FEB6B0A"/>
    <w:rsid w:val="6FFB4A90"/>
    <w:rsid w:val="70057314"/>
    <w:rsid w:val="700F387B"/>
    <w:rsid w:val="701C1B84"/>
    <w:rsid w:val="702A66A7"/>
    <w:rsid w:val="702E16EE"/>
    <w:rsid w:val="70361059"/>
    <w:rsid w:val="703B4AE4"/>
    <w:rsid w:val="703C6B8F"/>
    <w:rsid w:val="70406B97"/>
    <w:rsid w:val="705A7697"/>
    <w:rsid w:val="705C2ED4"/>
    <w:rsid w:val="706A6DCB"/>
    <w:rsid w:val="708276AD"/>
    <w:rsid w:val="70880EF7"/>
    <w:rsid w:val="708B6F4B"/>
    <w:rsid w:val="709D754D"/>
    <w:rsid w:val="70A74E1E"/>
    <w:rsid w:val="70A76272"/>
    <w:rsid w:val="70C172FC"/>
    <w:rsid w:val="70C66AA3"/>
    <w:rsid w:val="70D25448"/>
    <w:rsid w:val="70DA42FD"/>
    <w:rsid w:val="70F73C0E"/>
    <w:rsid w:val="70F91BF1"/>
    <w:rsid w:val="70FF6648"/>
    <w:rsid w:val="710B2511"/>
    <w:rsid w:val="71101E81"/>
    <w:rsid w:val="711D0B75"/>
    <w:rsid w:val="71200773"/>
    <w:rsid w:val="71427C47"/>
    <w:rsid w:val="71534E34"/>
    <w:rsid w:val="716D1F40"/>
    <w:rsid w:val="71873D48"/>
    <w:rsid w:val="718F4A08"/>
    <w:rsid w:val="7191236E"/>
    <w:rsid w:val="71A83F33"/>
    <w:rsid w:val="71B26391"/>
    <w:rsid w:val="71BA623F"/>
    <w:rsid w:val="71C32F10"/>
    <w:rsid w:val="71C4375A"/>
    <w:rsid w:val="71C868F1"/>
    <w:rsid w:val="71D31452"/>
    <w:rsid w:val="71D71C2A"/>
    <w:rsid w:val="71FE4A3D"/>
    <w:rsid w:val="72070FFB"/>
    <w:rsid w:val="720923EF"/>
    <w:rsid w:val="722525DA"/>
    <w:rsid w:val="72296F19"/>
    <w:rsid w:val="725119F5"/>
    <w:rsid w:val="7251253B"/>
    <w:rsid w:val="725A219F"/>
    <w:rsid w:val="726B33A3"/>
    <w:rsid w:val="72733505"/>
    <w:rsid w:val="727A1468"/>
    <w:rsid w:val="7288052B"/>
    <w:rsid w:val="72895125"/>
    <w:rsid w:val="729A0CCD"/>
    <w:rsid w:val="729C0B8D"/>
    <w:rsid w:val="72A050D2"/>
    <w:rsid w:val="72A61FFD"/>
    <w:rsid w:val="72C00612"/>
    <w:rsid w:val="72C72012"/>
    <w:rsid w:val="72D0605F"/>
    <w:rsid w:val="72D24DC6"/>
    <w:rsid w:val="72D829D5"/>
    <w:rsid w:val="72E202DE"/>
    <w:rsid w:val="72F64DE3"/>
    <w:rsid w:val="72F82E8E"/>
    <w:rsid w:val="730E25E6"/>
    <w:rsid w:val="731C6579"/>
    <w:rsid w:val="73295660"/>
    <w:rsid w:val="73392AA1"/>
    <w:rsid w:val="7345675A"/>
    <w:rsid w:val="734E7ED6"/>
    <w:rsid w:val="73540CA3"/>
    <w:rsid w:val="737736BB"/>
    <w:rsid w:val="738C20E1"/>
    <w:rsid w:val="738E66A6"/>
    <w:rsid w:val="739E1612"/>
    <w:rsid w:val="73A54C8C"/>
    <w:rsid w:val="73B726D3"/>
    <w:rsid w:val="73D66DB1"/>
    <w:rsid w:val="73EE0AF9"/>
    <w:rsid w:val="740015C0"/>
    <w:rsid w:val="7401543C"/>
    <w:rsid w:val="740B65EA"/>
    <w:rsid w:val="741307B9"/>
    <w:rsid w:val="741D2628"/>
    <w:rsid w:val="742A3EE3"/>
    <w:rsid w:val="74335059"/>
    <w:rsid w:val="74460B38"/>
    <w:rsid w:val="74487BB5"/>
    <w:rsid w:val="744D3A5E"/>
    <w:rsid w:val="74677CC4"/>
    <w:rsid w:val="7472310B"/>
    <w:rsid w:val="747A73B9"/>
    <w:rsid w:val="74890514"/>
    <w:rsid w:val="748A5876"/>
    <w:rsid w:val="748C7AEA"/>
    <w:rsid w:val="74A06189"/>
    <w:rsid w:val="74B35591"/>
    <w:rsid w:val="74B404CD"/>
    <w:rsid w:val="74B54F86"/>
    <w:rsid w:val="74B61488"/>
    <w:rsid w:val="74E05C5A"/>
    <w:rsid w:val="74E83DEB"/>
    <w:rsid w:val="750D1A51"/>
    <w:rsid w:val="75275C80"/>
    <w:rsid w:val="753B49C0"/>
    <w:rsid w:val="754A1C19"/>
    <w:rsid w:val="75565D94"/>
    <w:rsid w:val="757524F1"/>
    <w:rsid w:val="757C7ACF"/>
    <w:rsid w:val="75896529"/>
    <w:rsid w:val="75920C00"/>
    <w:rsid w:val="759B75B7"/>
    <w:rsid w:val="759D0E54"/>
    <w:rsid w:val="75B401FE"/>
    <w:rsid w:val="75BA6A9A"/>
    <w:rsid w:val="75BB2C35"/>
    <w:rsid w:val="75CD7B34"/>
    <w:rsid w:val="76075EDC"/>
    <w:rsid w:val="760C354F"/>
    <w:rsid w:val="761B43F8"/>
    <w:rsid w:val="761D6F92"/>
    <w:rsid w:val="76234A54"/>
    <w:rsid w:val="763D3EB9"/>
    <w:rsid w:val="764F3AFC"/>
    <w:rsid w:val="765222A0"/>
    <w:rsid w:val="76555554"/>
    <w:rsid w:val="76756EDF"/>
    <w:rsid w:val="768E0229"/>
    <w:rsid w:val="76A96C4B"/>
    <w:rsid w:val="76AB03C7"/>
    <w:rsid w:val="76B504A6"/>
    <w:rsid w:val="76E25AEE"/>
    <w:rsid w:val="76F36A15"/>
    <w:rsid w:val="770F6250"/>
    <w:rsid w:val="771C572B"/>
    <w:rsid w:val="772759B7"/>
    <w:rsid w:val="774220AD"/>
    <w:rsid w:val="77584588"/>
    <w:rsid w:val="77651B00"/>
    <w:rsid w:val="77872355"/>
    <w:rsid w:val="77883545"/>
    <w:rsid w:val="778C0BB0"/>
    <w:rsid w:val="779B0D3C"/>
    <w:rsid w:val="779E7F3E"/>
    <w:rsid w:val="77BA4B10"/>
    <w:rsid w:val="77C178FD"/>
    <w:rsid w:val="77C470C6"/>
    <w:rsid w:val="77C8455D"/>
    <w:rsid w:val="77CE3B06"/>
    <w:rsid w:val="77E927ED"/>
    <w:rsid w:val="77FC0287"/>
    <w:rsid w:val="7827311D"/>
    <w:rsid w:val="782A0A1A"/>
    <w:rsid w:val="78456510"/>
    <w:rsid w:val="78511348"/>
    <w:rsid w:val="78514D53"/>
    <w:rsid w:val="785A2D21"/>
    <w:rsid w:val="78656BA2"/>
    <w:rsid w:val="78660761"/>
    <w:rsid w:val="78687070"/>
    <w:rsid w:val="78715547"/>
    <w:rsid w:val="78715DC5"/>
    <w:rsid w:val="787403D8"/>
    <w:rsid w:val="78833EE6"/>
    <w:rsid w:val="788506FA"/>
    <w:rsid w:val="78A01F62"/>
    <w:rsid w:val="78C7208F"/>
    <w:rsid w:val="78D14237"/>
    <w:rsid w:val="78E37CC5"/>
    <w:rsid w:val="79004B1D"/>
    <w:rsid w:val="792D6961"/>
    <w:rsid w:val="79312F28"/>
    <w:rsid w:val="793A0BC1"/>
    <w:rsid w:val="795307E9"/>
    <w:rsid w:val="7966404F"/>
    <w:rsid w:val="796D31D1"/>
    <w:rsid w:val="79771EEE"/>
    <w:rsid w:val="798F6C44"/>
    <w:rsid w:val="79927E6B"/>
    <w:rsid w:val="79943C6D"/>
    <w:rsid w:val="79961001"/>
    <w:rsid w:val="79AF3DFB"/>
    <w:rsid w:val="79B9076A"/>
    <w:rsid w:val="79C75659"/>
    <w:rsid w:val="79CF2393"/>
    <w:rsid w:val="79E24222"/>
    <w:rsid w:val="79E55DDD"/>
    <w:rsid w:val="79E82EB0"/>
    <w:rsid w:val="79EF1997"/>
    <w:rsid w:val="79F77297"/>
    <w:rsid w:val="7A0E5E6C"/>
    <w:rsid w:val="7A13262E"/>
    <w:rsid w:val="7A19701D"/>
    <w:rsid w:val="7A1C4655"/>
    <w:rsid w:val="7A2A711A"/>
    <w:rsid w:val="7A2C4364"/>
    <w:rsid w:val="7A2E2E44"/>
    <w:rsid w:val="7A340CC1"/>
    <w:rsid w:val="7A4011C2"/>
    <w:rsid w:val="7A470367"/>
    <w:rsid w:val="7A692B63"/>
    <w:rsid w:val="7A720B08"/>
    <w:rsid w:val="7A8240B5"/>
    <w:rsid w:val="7A9E639B"/>
    <w:rsid w:val="7AA601DA"/>
    <w:rsid w:val="7AA64AEE"/>
    <w:rsid w:val="7ABB6144"/>
    <w:rsid w:val="7AC26387"/>
    <w:rsid w:val="7AC346CF"/>
    <w:rsid w:val="7AC46214"/>
    <w:rsid w:val="7ADA495D"/>
    <w:rsid w:val="7ADD5E13"/>
    <w:rsid w:val="7ADF1939"/>
    <w:rsid w:val="7AE866A7"/>
    <w:rsid w:val="7AF42393"/>
    <w:rsid w:val="7B04546D"/>
    <w:rsid w:val="7B255377"/>
    <w:rsid w:val="7B2C499F"/>
    <w:rsid w:val="7B2F773D"/>
    <w:rsid w:val="7B3730C6"/>
    <w:rsid w:val="7B4903AD"/>
    <w:rsid w:val="7B5009B9"/>
    <w:rsid w:val="7B5A637C"/>
    <w:rsid w:val="7B6C6499"/>
    <w:rsid w:val="7B6F3670"/>
    <w:rsid w:val="7B7F7FEE"/>
    <w:rsid w:val="7B8560F7"/>
    <w:rsid w:val="7B883BD0"/>
    <w:rsid w:val="7B97784E"/>
    <w:rsid w:val="7BB01C9A"/>
    <w:rsid w:val="7BB875AB"/>
    <w:rsid w:val="7BBB6AF7"/>
    <w:rsid w:val="7BC67528"/>
    <w:rsid w:val="7BEC7BA9"/>
    <w:rsid w:val="7BEE204D"/>
    <w:rsid w:val="7BF469AA"/>
    <w:rsid w:val="7C0A2C05"/>
    <w:rsid w:val="7C0F6405"/>
    <w:rsid w:val="7C1864D0"/>
    <w:rsid w:val="7C2253E5"/>
    <w:rsid w:val="7C2E4E8E"/>
    <w:rsid w:val="7C421E3D"/>
    <w:rsid w:val="7C4F2043"/>
    <w:rsid w:val="7C6106D5"/>
    <w:rsid w:val="7C6741F8"/>
    <w:rsid w:val="7C6C1DB2"/>
    <w:rsid w:val="7C962567"/>
    <w:rsid w:val="7CAB071A"/>
    <w:rsid w:val="7CB5141A"/>
    <w:rsid w:val="7CC67DC8"/>
    <w:rsid w:val="7D061C90"/>
    <w:rsid w:val="7D0634E3"/>
    <w:rsid w:val="7D0C5425"/>
    <w:rsid w:val="7D0E737F"/>
    <w:rsid w:val="7D104836"/>
    <w:rsid w:val="7D116E15"/>
    <w:rsid w:val="7D297EA5"/>
    <w:rsid w:val="7D2C5542"/>
    <w:rsid w:val="7D2E7EAA"/>
    <w:rsid w:val="7D3148F8"/>
    <w:rsid w:val="7D392FC5"/>
    <w:rsid w:val="7D5471E5"/>
    <w:rsid w:val="7D555CEB"/>
    <w:rsid w:val="7D5A4A32"/>
    <w:rsid w:val="7D5B7641"/>
    <w:rsid w:val="7D777879"/>
    <w:rsid w:val="7D867A75"/>
    <w:rsid w:val="7DA216E7"/>
    <w:rsid w:val="7DAB3A79"/>
    <w:rsid w:val="7DBD73C6"/>
    <w:rsid w:val="7DBF0BEE"/>
    <w:rsid w:val="7DC711EC"/>
    <w:rsid w:val="7DD14A23"/>
    <w:rsid w:val="7DDA44AC"/>
    <w:rsid w:val="7DED1BD2"/>
    <w:rsid w:val="7DF249F2"/>
    <w:rsid w:val="7E070C98"/>
    <w:rsid w:val="7E120EAB"/>
    <w:rsid w:val="7E186CA3"/>
    <w:rsid w:val="7E187B75"/>
    <w:rsid w:val="7E486D4A"/>
    <w:rsid w:val="7E551467"/>
    <w:rsid w:val="7E573682"/>
    <w:rsid w:val="7E593BDF"/>
    <w:rsid w:val="7E5C1EC0"/>
    <w:rsid w:val="7E5F7193"/>
    <w:rsid w:val="7E665D3D"/>
    <w:rsid w:val="7E71437E"/>
    <w:rsid w:val="7E7D46AE"/>
    <w:rsid w:val="7E906A5D"/>
    <w:rsid w:val="7E91098C"/>
    <w:rsid w:val="7EAF0B64"/>
    <w:rsid w:val="7EC0390E"/>
    <w:rsid w:val="7ECD7B48"/>
    <w:rsid w:val="7ED03481"/>
    <w:rsid w:val="7ED725E3"/>
    <w:rsid w:val="7EDA7000"/>
    <w:rsid w:val="7EEA25C1"/>
    <w:rsid w:val="7EF94700"/>
    <w:rsid w:val="7F004688"/>
    <w:rsid w:val="7F0271A0"/>
    <w:rsid w:val="7F031217"/>
    <w:rsid w:val="7F180604"/>
    <w:rsid w:val="7F24310F"/>
    <w:rsid w:val="7F2E0CEE"/>
    <w:rsid w:val="7F3E7594"/>
    <w:rsid w:val="7F554651"/>
    <w:rsid w:val="7F5B7A21"/>
    <w:rsid w:val="7F605512"/>
    <w:rsid w:val="7F616DB3"/>
    <w:rsid w:val="7F713DE7"/>
    <w:rsid w:val="7F731077"/>
    <w:rsid w:val="7F776CB4"/>
    <w:rsid w:val="7F783E8A"/>
    <w:rsid w:val="7F784997"/>
    <w:rsid w:val="7F7F35EA"/>
    <w:rsid w:val="7F872CCD"/>
    <w:rsid w:val="7F8C5A91"/>
    <w:rsid w:val="7F9A35EA"/>
    <w:rsid w:val="7FD113B0"/>
    <w:rsid w:val="7FD47181"/>
    <w:rsid w:val="7FD70C84"/>
    <w:rsid w:val="7FF86E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4,5,7"/>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name="toc 3"/>
    <w:lsdException w:qFormat="1" w:unhideWhenUsed="0" w:uiPriority="0" w:name="toc 4"/>
    <w:lsdException w:qFormat="1" w:unhideWhenUsed="0" w:uiPriority="0" w:name="toc 5"/>
    <w:lsdException w:qFormat="1" w:unhideWhenUsed="0" w:uiPriority="0" w:name="toc 6"/>
    <w:lsdException w:qFormat="1" w:unhideWhenUsed="0" w:uiPriority="0" w:name="toc 7"/>
    <w:lsdException w:qFormat="1" w:unhideWhenUsed="0" w:uiPriority="0" w:name="toc 8"/>
    <w:lsdException w:qFormat="1" w:unhideWhenUsed="0" w:uiPriority="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qFormat="1"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qFormat="1"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99"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qFormat="1"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qFormat="1" w:unhideWhenUsed="0" w:uiPriority="0" w:semiHidden="0" w:name="Table Grid 1"/>
    <w:lsdException w:uiPriority="0" w:name="Table Grid 2"/>
    <w:lsdException w:uiPriority="0" w:name="Table Grid 3"/>
    <w:lsdException w:uiPriority="0" w:name="Table Grid 4"/>
    <w:lsdException w:qFormat="1" w:unhideWhenUsed="0" w:uiPriority="0" w:semiHidden="0" w:name="Table Grid 5"/>
    <w:lsdException w:uiPriority="0" w:name="Table Grid 6"/>
    <w:lsdException w:qFormat="1" w:unhideWhenUsed="0" w:uiPriority="0" w:semiHidden="0" w:name="Table Grid 7"/>
    <w:lsdException w:uiPriority="0" w:name="Table Grid 8"/>
    <w:lsdException w:uiPriority="0" w:name="Table List 1"/>
    <w:lsdException w:uiPriority="0" w:name="Table List 2"/>
    <w:lsdException w:qFormat="1" w:unhideWhenUsed="0" w:uiPriority="0" w:semiHidden="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qFormat="1" w:unhideWhenUsed="0" w:uiPriority="0" w:semiHidden="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76"/>
    <w:autoRedefine/>
    <w:qFormat/>
    <w:uiPriority w:val="0"/>
    <w:pPr>
      <w:keepNext/>
      <w:keepLines/>
      <w:ind w:left="-1800"/>
      <w:jc w:val="center"/>
      <w:outlineLvl w:val="0"/>
    </w:pPr>
    <w:rPr>
      <w:rFonts w:ascii="黑体" w:eastAsia="黑体"/>
      <w:b/>
      <w:color w:val="000000"/>
      <w:kern w:val="44"/>
      <w:sz w:val="30"/>
    </w:rPr>
  </w:style>
  <w:style w:type="paragraph" w:styleId="3">
    <w:name w:val="heading 2"/>
    <w:basedOn w:val="1"/>
    <w:next w:val="1"/>
    <w:link w:val="77"/>
    <w:autoRedefine/>
    <w:qFormat/>
    <w:uiPriority w:val="0"/>
    <w:pPr>
      <w:keepNext/>
      <w:keepLines/>
      <w:snapToGrid w:val="0"/>
      <w:spacing w:line="360" w:lineRule="auto"/>
      <w:jc w:val="center"/>
      <w:outlineLvl w:val="1"/>
    </w:pPr>
    <w:rPr>
      <w:rFonts w:eastAsia="黑体"/>
      <w:b/>
      <w:color w:val="000000"/>
      <w:sz w:val="28"/>
    </w:rPr>
  </w:style>
  <w:style w:type="paragraph" w:styleId="4">
    <w:name w:val="heading 3"/>
    <w:basedOn w:val="1"/>
    <w:next w:val="1"/>
    <w:link w:val="72"/>
    <w:autoRedefine/>
    <w:qFormat/>
    <w:uiPriority w:val="0"/>
    <w:pPr>
      <w:keepNext/>
      <w:keepLines/>
      <w:autoSpaceDE w:val="0"/>
      <w:autoSpaceDN w:val="0"/>
      <w:adjustRightInd w:val="0"/>
      <w:spacing w:before="160" w:line="360" w:lineRule="auto"/>
      <w:outlineLvl w:val="2"/>
    </w:pPr>
    <w:rPr>
      <w:rFonts w:ascii="宋体" w:hAnsi="宋体" w:eastAsia="黑体"/>
      <w:b/>
      <w:color w:val="000000"/>
      <w:sz w:val="24"/>
      <w:szCs w:val="20"/>
    </w:rPr>
  </w:style>
  <w:style w:type="paragraph" w:styleId="5">
    <w:name w:val="heading 4"/>
    <w:basedOn w:val="1"/>
    <w:next w:val="1"/>
    <w:link w:val="78"/>
    <w:autoRedefine/>
    <w:qFormat/>
    <w:uiPriority w:val="0"/>
    <w:pPr>
      <w:keepNext/>
      <w:keepLines/>
      <w:numPr>
        <w:ilvl w:val="3"/>
        <w:numId w:val="1"/>
      </w:numPr>
      <w:adjustRightInd w:val="0"/>
      <w:spacing w:before="280" w:after="290" w:line="376" w:lineRule="auto"/>
      <w:jc w:val="left"/>
      <w:textAlignment w:val="baseline"/>
      <w:outlineLvl w:val="3"/>
    </w:pPr>
    <w:rPr>
      <w:rFonts w:ascii="Arial" w:hAnsi="Arial" w:eastAsia="黑体"/>
      <w:b/>
      <w:kern w:val="0"/>
      <w:sz w:val="28"/>
      <w:szCs w:val="20"/>
    </w:rPr>
  </w:style>
  <w:style w:type="paragraph" w:styleId="6">
    <w:name w:val="heading 5"/>
    <w:basedOn w:val="1"/>
    <w:next w:val="1"/>
    <w:link w:val="79"/>
    <w:autoRedefine/>
    <w:qFormat/>
    <w:uiPriority w:val="0"/>
    <w:pPr>
      <w:keepNext/>
      <w:keepLines/>
      <w:numPr>
        <w:ilvl w:val="4"/>
        <w:numId w:val="1"/>
      </w:numPr>
      <w:adjustRightInd w:val="0"/>
      <w:spacing w:before="280" w:after="290" w:line="376" w:lineRule="auto"/>
      <w:jc w:val="left"/>
      <w:textAlignment w:val="baseline"/>
      <w:outlineLvl w:val="4"/>
    </w:pPr>
    <w:rPr>
      <w:rFonts w:eastAsia="仿宋_GB2312"/>
      <w:b/>
      <w:kern w:val="0"/>
      <w:sz w:val="28"/>
      <w:szCs w:val="20"/>
    </w:rPr>
  </w:style>
  <w:style w:type="paragraph" w:styleId="7">
    <w:name w:val="heading 6"/>
    <w:basedOn w:val="1"/>
    <w:next w:val="1"/>
    <w:autoRedefine/>
    <w:qFormat/>
    <w:uiPriority w:val="0"/>
    <w:pPr>
      <w:keepNext/>
      <w:keepLines/>
      <w:numPr>
        <w:ilvl w:val="5"/>
        <w:numId w:val="1"/>
      </w:numPr>
      <w:adjustRightInd w:val="0"/>
      <w:spacing w:before="240" w:after="64" w:line="320" w:lineRule="auto"/>
      <w:jc w:val="left"/>
      <w:textAlignment w:val="baseline"/>
      <w:outlineLvl w:val="5"/>
    </w:pPr>
    <w:rPr>
      <w:rFonts w:ascii="Arial" w:hAnsi="Arial" w:eastAsia="黑体"/>
      <w:b/>
      <w:kern w:val="0"/>
      <w:sz w:val="24"/>
      <w:szCs w:val="20"/>
    </w:rPr>
  </w:style>
  <w:style w:type="paragraph" w:styleId="8">
    <w:name w:val="heading 7"/>
    <w:basedOn w:val="1"/>
    <w:next w:val="1"/>
    <w:autoRedefine/>
    <w:qFormat/>
    <w:uiPriority w:val="0"/>
    <w:pPr>
      <w:keepNext/>
      <w:keepLines/>
      <w:numPr>
        <w:ilvl w:val="6"/>
        <w:numId w:val="1"/>
      </w:numPr>
      <w:adjustRightInd w:val="0"/>
      <w:spacing w:before="240" w:after="64" w:line="320" w:lineRule="auto"/>
      <w:jc w:val="left"/>
      <w:textAlignment w:val="baseline"/>
      <w:outlineLvl w:val="6"/>
    </w:pPr>
    <w:rPr>
      <w:rFonts w:eastAsia="仿宋_GB2312"/>
      <w:b/>
      <w:kern w:val="0"/>
      <w:sz w:val="24"/>
      <w:szCs w:val="20"/>
    </w:rPr>
  </w:style>
  <w:style w:type="paragraph" w:styleId="9">
    <w:name w:val="heading 8"/>
    <w:basedOn w:val="1"/>
    <w:next w:val="1"/>
    <w:autoRedefine/>
    <w:qFormat/>
    <w:uiPriority w:val="0"/>
    <w:pPr>
      <w:keepNext/>
      <w:keepLines/>
      <w:numPr>
        <w:ilvl w:val="7"/>
        <w:numId w:val="1"/>
      </w:numPr>
      <w:adjustRightInd w:val="0"/>
      <w:spacing w:before="240" w:after="64" w:line="320" w:lineRule="auto"/>
      <w:jc w:val="left"/>
      <w:textAlignment w:val="baseline"/>
      <w:outlineLvl w:val="7"/>
    </w:pPr>
    <w:rPr>
      <w:rFonts w:ascii="Arial" w:hAnsi="Arial" w:eastAsia="黑体"/>
      <w:kern w:val="0"/>
      <w:sz w:val="24"/>
      <w:szCs w:val="20"/>
    </w:rPr>
  </w:style>
  <w:style w:type="paragraph" w:styleId="10">
    <w:name w:val="heading 9"/>
    <w:basedOn w:val="1"/>
    <w:next w:val="1"/>
    <w:link w:val="80"/>
    <w:autoRedefine/>
    <w:qFormat/>
    <w:uiPriority w:val="0"/>
    <w:pPr>
      <w:keepNext/>
      <w:keepLines/>
      <w:numPr>
        <w:ilvl w:val="8"/>
        <w:numId w:val="1"/>
      </w:numPr>
      <w:adjustRightInd w:val="0"/>
      <w:spacing w:before="240" w:after="64" w:line="320" w:lineRule="auto"/>
      <w:jc w:val="left"/>
      <w:textAlignment w:val="baseline"/>
      <w:outlineLvl w:val="8"/>
    </w:pPr>
    <w:rPr>
      <w:rFonts w:ascii="Arial" w:hAnsi="Arial" w:eastAsia="黑体"/>
      <w:kern w:val="0"/>
      <w:szCs w:val="20"/>
    </w:rPr>
  </w:style>
  <w:style w:type="character" w:default="1" w:styleId="60">
    <w:name w:val="Default Paragraph Font"/>
    <w:autoRedefine/>
    <w:semiHidden/>
    <w:unhideWhenUsed/>
    <w:qFormat/>
    <w:uiPriority w:val="1"/>
  </w:style>
  <w:style w:type="table" w:default="1" w:styleId="53">
    <w:name w:val="Normal Table"/>
    <w:autoRedefine/>
    <w:semiHidden/>
    <w:unhideWhenUsed/>
    <w:qFormat/>
    <w:uiPriority w:val="99"/>
    <w:tblPr>
      <w:tblCellMar>
        <w:top w:w="0" w:type="dxa"/>
        <w:left w:w="108" w:type="dxa"/>
        <w:bottom w:w="0" w:type="dxa"/>
        <w:right w:w="108" w:type="dxa"/>
      </w:tblCellMar>
    </w:tblPr>
  </w:style>
  <w:style w:type="paragraph" w:styleId="11">
    <w:name w:val="List 3"/>
    <w:basedOn w:val="1"/>
    <w:autoRedefine/>
    <w:qFormat/>
    <w:uiPriority w:val="0"/>
    <w:pPr>
      <w:ind w:left="100" w:hanging="200"/>
    </w:pPr>
  </w:style>
  <w:style w:type="paragraph" w:styleId="12">
    <w:name w:val="toc 7"/>
    <w:basedOn w:val="1"/>
    <w:next w:val="1"/>
    <w:autoRedefine/>
    <w:semiHidden/>
    <w:qFormat/>
    <w:uiPriority w:val="0"/>
    <w:pPr>
      <w:ind w:left="1260"/>
      <w:jc w:val="left"/>
    </w:pPr>
    <w:rPr>
      <w:sz w:val="18"/>
      <w:szCs w:val="18"/>
    </w:rPr>
  </w:style>
  <w:style w:type="paragraph" w:styleId="13">
    <w:name w:val="List Number 2"/>
    <w:basedOn w:val="1"/>
    <w:autoRedefine/>
    <w:qFormat/>
    <w:uiPriority w:val="0"/>
    <w:pPr>
      <w:widowControl/>
      <w:tabs>
        <w:tab w:val="left" w:pos="780"/>
      </w:tabs>
      <w:spacing w:before="120" w:line="360" w:lineRule="auto"/>
      <w:ind w:left="780" w:leftChars="200" w:hanging="360" w:hangingChars="200"/>
      <w:jc w:val="center"/>
    </w:pPr>
    <w:rPr>
      <w:rFonts w:ascii="宋体" w:hAnsi="宋体"/>
      <w:kern w:val="0"/>
      <w:sz w:val="24"/>
      <w:szCs w:val="72"/>
    </w:rPr>
  </w:style>
  <w:style w:type="paragraph" w:styleId="14">
    <w:name w:val="Note Heading"/>
    <w:basedOn w:val="1"/>
    <w:next w:val="1"/>
    <w:autoRedefine/>
    <w:qFormat/>
    <w:uiPriority w:val="0"/>
    <w:pPr>
      <w:jc w:val="center"/>
    </w:pPr>
    <w:rPr>
      <w:szCs w:val="20"/>
    </w:rPr>
  </w:style>
  <w:style w:type="paragraph" w:styleId="15">
    <w:name w:val="List Number"/>
    <w:basedOn w:val="1"/>
    <w:autoRedefine/>
    <w:qFormat/>
    <w:uiPriority w:val="0"/>
    <w:pPr>
      <w:widowControl/>
      <w:tabs>
        <w:tab w:val="left" w:pos="1800"/>
      </w:tabs>
      <w:spacing w:before="120" w:line="360" w:lineRule="auto"/>
      <w:ind w:left="1800" w:hanging="720"/>
      <w:jc w:val="center"/>
    </w:pPr>
    <w:rPr>
      <w:rFonts w:ascii="宋体" w:hAnsi="宋体"/>
      <w:kern w:val="0"/>
      <w:sz w:val="24"/>
      <w:szCs w:val="72"/>
    </w:rPr>
  </w:style>
  <w:style w:type="paragraph" w:styleId="16">
    <w:name w:val="Normal Indent"/>
    <w:basedOn w:val="1"/>
    <w:next w:val="1"/>
    <w:link w:val="81"/>
    <w:autoRedefine/>
    <w:qFormat/>
    <w:uiPriority w:val="0"/>
    <w:pPr>
      <w:ind w:firstLine="420"/>
    </w:pPr>
  </w:style>
  <w:style w:type="paragraph" w:styleId="17">
    <w:name w:val="caption"/>
    <w:basedOn w:val="1"/>
    <w:next w:val="1"/>
    <w:link w:val="82"/>
    <w:autoRedefine/>
    <w:qFormat/>
    <w:uiPriority w:val="0"/>
    <w:pPr>
      <w:spacing w:before="152" w:after="160" w:line="360" w:lineRule="auto"/>
      <w:ind w:firstLine="200" w:firstLineChars="200"/>
    </w:pPr>
    <w:rPr>
      <w:rFonts w:ascii="Arial" w:hAnsi="Arial" w:eastAsia="黑体" w:cs="Arial"/>
      <w:szCs w:val="20"/>
    </w:rPr>
  </w:style>
  <w:style w:type="paragraph" w:styleId="18">
    <w:name w:val="List Bullet"/>
    <w:basedOn w:val="1"/>
    <w:autoRedefine/>
    <w:qFormat/>
    <w:uiPriority w:val="0"/>
    <w:pPr>
      <w:tabs>
        <w:tab w:val="left" w:pos="900"/>
      </w:tabs>
      <w:ind w:left="900" w:hanging="420" w:firstLineChars="200"/>
    </w:pPr>
    <w:rPr>
      <w:rFonts w:eastAsia="华文中宋"/>
      <w:sz w:val="28"/>
      <w:szCs w:val="20"/>
    </w:rPr>
  </w:style>
  <w:style w:type="paragraph" w:styleId="19">
    <w:name w:val="Document Map"/>
    <w:basedOn w:val="1"/>
    <w:link w:val="83"/>
    <w:autoRedefine/>
    <w:semiHidden/>
    <w:qFormat/>
    <w:uiPriority w:val="99"/>
    <w:pPr>
      <w:shd w:val="clear" w:color="auto" w:fill="000080"/>
    </w:pPr>
  </w:style>
  <w:style w:type="paragraph" w:styleId="20">
    <w:name w:val="annotation text"/>
    <w:basedOn w:val="1"/>
    <w:link w:val="84"/>
    <w:autoRedefine/>
    <w:semiHidden/>
    <w:qFormat/>
    <w:uiPriority w:val="0"/>
    <w:pPr>
      <w:jc w:val="left"/>
    </w:pPr>
  </w:style>
  <w:style w:type="paragraph" w:styleId="21">
    <w:name w:val="Salutation"/>
    <w:basedOn w:val="1"/>
    <w:next w:val="1"/>
    <w:autoRedefine/>
    <w:qFormat/>
    <w:uiPriority w:val="0"/>
  </w:style>
  <w:style w:type="paragraph" w:styleId="22">
    <w:name w:val="Body Text 3"/>
    <w:basedOn w:val="1"/>
    <w:autoRedefine/>
    <w:qFormat/>
    <w:uiPriority w:val="0"/>
  </w:style>
  <w:style w:type="paragraph" w:styleId="23">
    <w:name w:val="Body Text"/>
    <w:basedOn w:val="1"/>
    <w:link w:val="85"/>
    <w:autoRedefine/>
    <w:qFormat/>
    <w:uiPriority w:val="1"/>
    <w:pPr>
      <w:spacing w:after="120"/>
    </w:pPr>
  </w:style>
  <w:style w:type="paragraph" w:styleId="24">
    <w:name w:val="Body Text Indent"/>
    <w:basedOn w:val="1"/>
    <w:link w:val="86"/>
    <w:autoRedefine/>
    <w:qFormat/>
    <w:uiPriority w:val="0"/>
    <w:pPr>
      <w:spacing w:line="360" w:lineRule="auto"/>
      <w:ind w:firstLine="425"/>
    </w:pPr>
    <w:rPr>
      <w:sz w:val="24"/>
    </w:rPr>
  </w:style>
  <w:style w:type="paragraph" w:styleId="25">
    <w:name w:val="List 2"/>
    <w:basedOn w:val="1"/>
    <w:autoRedefine/>
    <w:qFormat/>
    <w:uiPriority w:val="0"/>
    <w:pPr>
      <w:ind w:left="100" w:leftChars="200" w:hanging="200" w:hangingChars="200"/>
    </w:pPr>
  </w:style>
  <w:style w:type="paragraph" w:styleId="26">
    <w:name w:val="Block Text"/>
    <w:basedOn w:val="1"/>
    <w:autoRedefine/>
    <w:qFormat/>
    <w:uiPriority w:val="0"/>
    <w:pPr>
      <w:spacing w:line="360" w:lineRule="auto"/>
      <w:ind w:left="471" w:leftChars="200" w:firstLine="706" w:firstLineChars="300"/>
    </w:pPr>
    <w:rPr>
      <w:sz w:val="24"/>
    </w:rPr>
  </w:style>
  <w:style w:type="paragraph" w:styleId="27">
    <w:name w:val="toc 5"/>
    <w:basedOn w:val="1"/>
    <w:next w:val="1"/>
    <w:autoRedefine/>
    <w:semiHidden/>
    <w:qFormat/>
    <w:uiPriority w:val="0"/>
    <w:pPr>
      <w:ind w:left="840"/>
      <w:jc w:val="left"/>
    </w:pPr>
    <w:rPr>
      <w:sz w:val="18"/>
      <w:szCs w:val="18"/>
    </w:rPr>
  </w:style>
  <w:style w:type="paragraph" w:styleId="28">
    <w:name w:val="toc 3"/>
    <w:basedOn w:val="1"/>
    <w:next w:val="1"/>
    <w:autoRedefine/>
    <w:semiHidden/>
    <w:qFormat/>
    <w:uiPriority w:val="0"/>
    <w:pPr>
      <w:ind w:left="420"/>
      <w:jc w:val="left"/>
    </w:pPr>
    <w:rPr>
      <w:i/>
      <w:iCs/>
      <w:sz w:val="20"/>
      <w:szCs w:val="20"/>
    </w:rPr>
  </w:style>
  <w:style w:type="paragraph" w:styleId="29">
    <w:name w:val="Plain Text"/>
    <w:basedOn w:val="1"/>
    <w:link w:val="88"/>
    <w:autoRedefine/>
    <w:qFormat/>
    <w:uiPriority w:val="0"/>
    <w:rPr>
      <w:rFonts w:ascii="宋体" w:hAnsi="Courier New"/>
      <w:szCs w:val="20"/>
    </w:rPr>
  </w:style>
  <w:style w:type="paragraph" w:styleId="30">
    <w:name w:val="List Bullet 5"/>
    <w:basedOn w:val="1"/>
    <w:autoRedefine/>
    <w:qFormat/>
    <w:uiPriority w:val="0"/>
    <w:pPr>
      <w:numPr>
        <w:ilvl w:val="0"/>
        <w:numId w:val="2"/>
      </w:numPr>
    </w:pPr>
  </w:style>
  <w:style w:type="paragraph" w:styleId="31">
    <w:name w:val="toc 8"/>
    <w:basedOn w:val="1"/>
    <w:next w:val="1"/>
    <w:autoRedefine/>
    <w:semiHidden/>
    <w:qFormat/>
    <w:uiPriority w:val="0"/>
    <w:pPr>
      <w:ind w:left="1470"/>
      <w:jc w:val="left"/>
    </w:pPr>
    <w:rPr>
      <w:sz w:val="18"/>
      <w:szCs w:val="18"/>
    </w:rPr>
  </w:style>
  <w:style w:type="paragraph" w:styleId="32">
    <w:name w:val="Date"/>
    <w:basedOn w:val="1"/>
    <w:next w:val="1"/>
    <w:autoRedefine/>
    <w:qFormat/>
    <w:uiPriority w:val="0"/>
    <w:rPr>
      <w:sz w:val="24"/>
    </w:rPr>
  </w:style>
  <w:style w:type="paragraph" w:styleId="33">
    <w:name w:val="Body Text Indent 2"/>
    <w:basedOn w:val="1"/>
    <w:next w:val="1"/>
    <w:link w:val="89"/>
    <w:autoRedefine/>
    <w:qFormat/>
    <w:uiPriority w:val="0"/>
    <w:pPr>
      <w:spacing w:after="120" w:line="480" w:lineRule="auto"/>
      <w:ind w:left="420" w:leftChars="200"/>
    </w:pPr>
  </w:style>
  <w:style w:type="paragraph" w:styleId="34">
    <w:name w:val="Balloon Text"/>
    <w:basedOn w:val="1"/>
    <w:link w:val="90"/>
    <w:autoRedefine/>
    <w:semiHidden/>
    <w:qFormat/>
    <w:uiPriority w:val="99"/>
    <w:rPr>
      <w:sz w:val="18"/>
      <w:szCs w:val="18"/>
    </w:rPr>
  </w:style>
  <w:style w:type="paragraph" w:styleId="35">
    <w:name w:val="footer"/>
    <w:basedOn w:val="1"/>
    <w:next w:val="1"/>
    <w:link w:val="91"/>
    <w:autoRedefine/>
    <w:qFormat/>
    <w:uiPriority w:val="0"/>
    <w:pPr>
      <w:tabs>
        <w:tab w:val="center" w:pos="4153"/>
        <w:tab w:val="right" w:pos="8306"/>
      </w:tabs>
      <w:snapToGrid w:val="0"/>
      <w:jc w:val="left"/>
    </w:pPr>
    <w:rPr>
      <w:sz w:val="18"/>
      <w:szCs w:val="20"/>
    </w:rPr>
  </w:style>
  <w:style w:type="paragraph" w:styleId="36">
    <w:name w:val="header"/>
    <w:basedOn w:val="1"/>
    <w:next w:val="37"/>
    <w:link w:val="87"/>
    <w:autoRedefine/>
    <w:qFormat/>
    <w:uiPriority w:val="0"/>
    <w:pPr>
      <w:pBdr>
        <w:bottom w:val="single" w:color="auto" w:sz="6" w:space="1"/>
      </w:pBdr>
      <w:tabs>
        <w:tab w:val="center" w:pos="4153"/>
        <w:tab w:val="right" w:pos="8306"/>
      </w:tabs>
      <w:snapToGrid w:val="0"/>
      <w:jc w:val="center"/>
    </w:pPr>
    <w:rPr>
      <w:sz w:val="18"/>
      <w:szCs w:val="20"/>
    </w:rPr>
  </w:style>
  <w:style w:type="paragraph" w:customStyle="1" w:styleId="37">
    <w:name w:val="样式5"/>
    <w:basedOn w:val="16"/>
    <w:next w:val="1"/>
    <w:autoRedefine/>
    <w:qFormat/>
    <w:uiPriority w:val="0"/>
    <w:pPr>
      <w:tabs>
        <w:tab w:val="left" w:pos="0"/>
        <w:tab w:val="left" w:pos="870"/>
        <w:tab w:val="left" w:pos="1080"/>
        <w:tab w:val="left" w:pos="3150"/>
      </w:tabs>
      <w:spacing w:line="360" w:lineRule="auto"/>
      <w:ind w:firstLine="510"/>
    </w:pPr>
    <w:rPr>
      <w:sz w:val="24"/>
    </w:rPr>
  </w:style>
  <w:style w:type="paragraph" w:styleId="38">
    <w:name w:val="toc 1"/>
    <w:basedOn w:val="1"/>
    <w:next w:val="1"/>
    <w:autoRedefine/>
    <w:qFormat/>
    <w:uiPriority w:val="39"/>
    <w:pPr>
      <w:spacing w:before="120" w:after="120"/>
      <w:jc w:val="left"/>
    </w:pPr>
    <w:rPr>
      <w:b/>
      <w:bCs/>
      <w:caps/>
      <w:sz w:val="20"/>
      <w:szCs w:val="20"/>
    </w:rPr>
  </w:style>
  <w:style w:type="paragraph" w:styleId="39">
    <w:name w:val="toc 4"/>
    <w:basedOn w:val="1"/>
    <w:next w:val="1"/>
    <w:autoRedefine/>
    <w:semiHidden/>
    <w:qFormat/>
    <w:uiPriority w:val="0"/>
    <w:pPr>
      <w:ind w:left="630"/>
      <w:jc w:val="left"/>
    </w:pPr>
    <w:rPr>
      <w:sz w:val="18"/>
      <w:szCs w:val="18"/>
    </w:rPr>
  </w:style>
  <w:style w:type="paragraph" w:styleId="40">
    <w:name w:val="List"/>
    <w:basedOn w:val="1"/>
    <w:autoRedefine/>
    <w:qFormat/>
    <w:uiPriority w:val="0"/>
    <w:pPr>
      <w:ind w:left="200" w:hanging="200" w:hangingChars="200"/>
    </w:pPr>
  </w:style>
  <w:style w:type="paragraph" w:styleId="41">
    <w:name w:val="toc 6"/>
    <w:basedOn w:val="1"/>
    <w:next w:val="1"/>
    <w:autoRedefine/>
    <w:semiHidden/>
    <w:qFormat/>
    <w:uiPriority w:val="0"/>
    <w:pPr>
      <w:ind w:left="1050"/>
      <w:jc w:val="left"/>
    </w:pPr>
    <w:rPr>
      <w:sz w:val="18"/>
      <w:szCs w:val="18"/>
    </w:rPr>
  </w:style>
  <w:style w:type="paragraph" w:styleId="42">
    <w:name w:val="Body Text Indent 3"/>
    <w:basedOn w:val="1"/>
    <w:autoRedefine/>
    <w:qFormat/>
    <w:uiPriority w:val="0"/>
    <w:pPr>
      <w:snapToGrid w:val="0"/>
      <w:spacing w:line="440" w:lineRule="exact"/>
      <w:ind w:firstLine="570"/>
    </w:pPr>
    <w:rPr>
      <w:rFonts w:eastAsia="华康简魏碑"/>
      <w:sz w:val="28"/>
      <w:szCs w:val="20"/>
    </w:rPr>
  </w:style>
  <w:style w:type="paragraph" w:styleId="43">
    <w:name w:val="toc 2"/>
    <w:basedOn w:val="1"/>
    <w:next w:val="1"/>
    <w:autoRedefine/>
    <w:qFormat/>
    <w:uiPriority w:val="39"/>
    <w:pPr>
      <w:tabs>
        <w:tab w:val="right" w:leader="dot" w:pos="8296"/>
      </w:tabs>
      <w:ind w:left="210"/>
      <w:jc w:val="center"/>
    </w:pPr>
    <w:rPr>
      <w:smallCaps/>
      <w:sz w:val="20"/>
      <w:szCs w:val="20"/>
    </w:rPr>
  </w:style>
  <w:style w:type="paragraph" w:styleId="44">
    <w:name w:val="toc 9"/>
    <w:basedOn w:val="1"/>
    <w:next w:val="1"/>
    <w:autoRedefine/>
    <w:semiHidden/>
    <w:qFormat/>
    <w:uiPriority w:val="0"/>
    <w:pPr>
      <w:ind w:left="1680"/>
      <w:jc w:val="left"/>
    </w:pPr>
    <w:rPr>
      <w:sz w:val="18"/>
      <w:szCs w:val="18"/>
    </w:rPr>
  </w:style>
  <w:style w:type="paragraph" w:styleId="45">
    <w:name w:val="Body Text 2"/>
    <w:basedOn w:val="1"/>
    <w:autoRedefine/>
    <w:qFormat/>
    <w:uiPriority w:val="0"/>
    <w:pPr>
      <w:widowControl/>
      <w:snapToGrid w:val="0"/>
      <w:spacing w:line="280" w:lineRule="exact"/>
      <w:jc w:val="center"/>
    </w:pPr>
    <w:rPr>
      <w:rFonts w:ascii="仿宋_GB2312" w:eastAsia="仿宋_GB2312"/>
      <w:kern w:val="0"/>
    </w:rPr>
  </w:style>
  <w:style w:type="paragraph" w:styleId="46">
    <w:name w:val="List Continue 2"/>
    <w:basedOn w:val="1"/>
    <w:autoRedefine/>
    <w:qFormat/>
    <w:uiPriority w:val="0"/>
    <w:pPr>
      <w:spacing w:after="120" w:line="360" w:lineRule="auto"/>
      <w:ind w:left="840" w:leftChars="400"/>
    </w:pPr>
    <w:rPr>
      <w:kern w:val="0"/>
      <w:sz w:val="24"/>
    </w:rPr>
  </w:style>
  <w:style w:type="paragraph" w:styleId="47">
    <w:name w:val="HTML Preformatted"/>
    <w:basedOn w:val="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48">
    <w:name w:val="Normal (Web)"/>
    <w:basedOn w:val="1"/>
    <w:autoRedefine/>
    <w:qFormat/>
    <w:uiPriority w:val="0"/>
    <w:pPr>
      <w:widowControl/>
      <w:spacing w:before="100" w:beforeAutospacing="1" w:after="100" w:afterAutospacing="1" w:line="400" w:lineRule="atLeast"/>
      <w:jc w:val="left"/>
    </w:pPr>
    <w:rPr>
      <w:rFonts w:ascii="ˎ̥" w:hAnsi="ˎ̥" w:cs="宋体"/>
      <w:color w:val="000000"/>
      <w:kern w:val="0"/>
      <w:szCs w:val="21"/>
    </w:rPr>
  </w:style>
  <w:style w:type="paragraph" w:styleId="49">
    <w:name w:val="Title"/>
    <w:basedOn w:val="1"/>
    <w:autoRedefine/>
    <w:qFormat/>
    <w:uiPriority w:val="0"/>
    <w:pPr>
      <w:spacing w:before="240" w:after="60" w:line="360" w:lineRule="auto"/>
      <w:ind w:firstLine="200" w:firstLineChars="200"/>
      <w:jc w:val="center"/>
      <w:outlineLvl w:val="0"/>
    </w:pPr>
    <w:rPr>
      <w:rFonts w:ascii="Arial" w:hAnsi="Arial" w:cs="Arial"/>
      <w:b/>
      <w:bCs/>
      <w:sz w:val="32"/>
      <w:szCs w:val="32"/>
    </w:rPr>
  </w:style>
  <w:style w:type="paragraph" w:styleId="50">
    <w:name w:val="annotation subject"/>
    <w:basedOn w:val="20"/>
    <w:next w:val="20"/>
    <w:autoRedefine/>
    <w:semiHidden/>
    <w:qFormat/>
    <w:uiPriority w:val="0"/>
    <w:rPr>
      <w:b/>
      <w:bCs/>
    </w:rPr>
  </w:style>
  <w:style w:type="paragraph" w:styleId="51">
    <w:name w:val="Body Text First Indent"/>
    <w:basedOn w:val="23"/>
    <w:next w:val="1"/>
    <w:autoRedefine/>
    <w:qFormat/>
    <w:uiPriority w:val="0"/>
    <w:pPr>
      <w:spacing w:line="300" w:lineRule="auto"/>
      <w:ind w:firstLine="420"/>
    </w:pPr>
    <w:rPr>
      <w:rFonts w:ascii="宋体"/>
      <w:sz w:val="24"/>
      <w:szCs w:val="20"/>
    </w:rPr>
  </w:style>
  <w:style w:type="paragraph" w:styleId="52">
    <w:name w:val="Body Text First Indent 2"/>
    <w:basedOn w:val="24"/>
    <w:next w:val="23"/>
    <w:autoRedefine/>
    <w:qFormat/>
    <w:uiPriority w:val="0"/>
    <w:pPr>
      <w:spacing w:after="120" w:line="240" w:lineRule="auto"/>
      <w:ind w:left="420" w:leftChars="200" w:firstLine="420" w:firstLineChars="200"/>
    </w:pPr>
    <w:rPr>
      <w:sz w:val="21"/>
    </w:rPr>
  </w:style>
  <w:style w:type="table" w:styleId="54">
    <w:name w:val="Table Grid"/>
    <w:basedOn w:val="5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5">
    <w:name w:val="Table List 3"/>
    <w:basedOn w:val="53"/>
    <w:autoRedefine/>
    <w:qFormat/>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top w:val="nil"/>
          <w:left w:val="single" w:color="000000" w:sz="12" w:space="0"/>
          <w:bottom w:val="nil"/>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56">
    <w:name w:val="Table Grid 1"/>
    <w:basedOn w:val="5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57">
    <w:name w:val="Table Grid 5"/>
    <w:basedOn w:val="53"/>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58">
    <w:name w:val="Table Grid 7"/>
    <w:basedOn w:val="53"/>
    <w:autoRedefine/>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top w:val="nil"/>
          <w:left w:val="single" w:color="000000" w:sz="12" w:space="0"/>
          <w:bottom w:val="nil"/>
          <w:right w:val="nil"/>
          <w:insideH w:val="nil"/>
          <w:insideV w:val="nil"/>
          <w:tl2br w:val="nil"/>
          <w:tr2bl w:val="nil"/>
        </w:tcBorders>
      </w:tcPr>
    </w:tblStylePr>
    <w:tblStylePr w:type="lastRow">
      <w:rPr>
        <w:b w:val="0"/>
        <w:bCs w:val="0"/>
      </w:rPr>
      <w:tblPr/>
      <w:tcPr>
        <w:tcBorders>
          <w:top w:val="single" w:color="00000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59">
    <w:name w:val="Table Professional"/>
    <w:basedOn w:val="5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61">
    <w:name w:val="Strong"/>
    <w:basedOn w:val="60"/>
    <w:autoRedefine/>
    <w:qFormat/>
    <w:uiPriority w:val="0"/>
    <w:rPr>
      <w:b/>
      <w:bCs/>
    </w:rPr>
  </w:style>
  <w:style w:type="character" w:styleId="62">
    <w:name w:val="page number"/>
    <w:basedOn w:val="60"/>
    <w:autoRedefine/>
    <w:qFormat/>
    <w:uiPriority w:val="0"/>
  </w:style>
  <w:style w:type="character" w:styleId="63">
    <w:name w:val="FollowedHyperlink"/>
    <w:basedOn w:val="60"/>
    <w:autoRedefine/>
    <w:qFormat/>
    <w:uiPriority w:val="0"/>
    <w:rPr>
      <w:color w:val="333333"/>
      <w:u w:val="none"/>
    </w:rPr>
  </w:style>
  <w:style w:type="character" w:styleId="64">
    <w:name w:val="Emphasis"/>
    <w:basedOn w:val="60"/>
    <w:autoRedefine/>
    <w:qFormat/>
    <w:uiPriority w:val="0"/>
    <w:rPr>
      <w:color w:val="CC0033"/>
    </w:rPr>
  </w:style>
  <w:style w:type="character" w:styleId="65">
    <w:name w:val="HTML Typewriter"/>
    <w:basedOn w:val="60"/>
    <w:autoRedefine/>
    <w:qFormat/>
    <w:uiPriority w:val="0"/>
    <w:rPr>
      <w:rFonts w:ascii="Courier New" w:hAnsi="Courier New" w:cs="Courier New"/>
      <w:sz w:val="20"/>
    </w:rPr>
  </w:style>
  <w:style w:type="character" w:styleId="66">
    <w:name w:val="Hyperlink"/>
    <w:basedOn w:val="60"/>
    <w:autoRedefine/>
    <w:qFormat/>
    <w:uiPriority w:val="99"/>
    <w:rPr>
      <w:color w:val="333333"/>
      <w:u w:val="none"/>
    </w:rPr>
  </w:style>
  <w:style w:type="character" w:styleId="67">
    <w:name w:val="annotation reference"/>
    <w:basedOn w:val="60"/>
    <w:autoRedefine/>
    <w:semiHidden/>
    <w:qFormat/>
    <w:uiPriority w:val="0"/>
    <w:rPr>
      <w:sz w:val="21"/>
      <w:szCs w:val="21"/>
    </w:rPr>
  </w:style>
  <w:style w:type="paragraph" w:customStyle="1" w:styleId="68">
    <w:name w:val="0正文"/>
    <w:basedOn w:val="24"/>
    <w:next w:val="1"/>
    <w:autoRedefine/>
    <w:qFormat/>
    <w:uiPriority w:val="0"/>
    <w:pPr>
      <w:ind w:firstLine="720" w:firstLineChars="200"/>
    </w:pPr>
    <w:rPr>
      <w:szCs w:val="22"/>
    </w:rPr>
  </w:style>
  <w:style w:type="paragraph" w:customStyle="1" w:styleId="69">
    <w:name w:val="_Style 4"/>
    <w:next w:val="1"/>
    <w:autoRedefine/>
    <w:qFormat/>
    <w:uiPriority w:val="0"/>
    <w:pPr>
      <w:widowControl w:val="0"/>
      <w:jc w:val="both"/>
    </w:pPr>
    <w:rPr>
      <w:rFonts w:ascii="Calibri" w:hAnsi="Calibri" w:eastAsia="仿宋_GB2312" w:cs="Times New Roman"/>
      <w:kern w:val="2"/>
      <w:sz w:val="24"/>
      <w:szCs w:val="22"/>
      <w:lang w:val="en-US" w:eastAsia="zh-CN" w:bidi="ar-SA"/>
    </w:rPr>
  </w:style>
  <w:style w:type="paragraph" w:customStyle="1" w:styleId="70">
    <w:name w:val="正文1"/>
    <w:basedOn w:val="71"/>
    <w:next w:val="1"/>
    <w:autoRedefine/>
    <w:qFormat/>
    <w:uiPriority w:val="0"/>
    <w:pPr>
      <w:tabs>
        <w:tab w:val="left" w:pos="0"/>
        <w:tab w:val="left" w:pos="870"/>
        <w:tab w:val="left" w:pos="1080"/>
        <w:tab w:val="left" w:pos="3150"/>
      </w:tabs>
      <w:adjustRightInd w:val="0"/>
      <w:snapToGrid w:val="0"/>
      <w:spacing w:line="500" w:lineRule="atLeast"/>
      <w:ind w:firstLine="567"/>
    </w:pPr>
    <w:rPr>
      <w:sz w:val="28"/>
      <w:szCs w:val="20"/>
    </w:rPr>
  </w:style>
  <w:style w:type="paragraph" w:customStyle="1" w:styleId="71">
    <w:name w:val="正文首行缩进 2 + Times New Roman"/>
    <w:basedOn w:val="1"/>
    <w:autoRedefine/>
    <w:qFormat/>
    <w:uiPriority w:val="0"/>
    <w:pPr>
      <w:tabs>
        <w:tab w:val="left" w:pos="0"/>
        <w:tab w:val="left" w:pos="870"/>
        <w:tab w:val="left" w:pos="1080"/>
        <w:tab w:val="left" w:pos="3150"/>
      </w:tabs>
      <w:autoSpaceDE w:val="0"/>
      <w:autoSpaceDN w:val="0"/>
      <w:spacing w:line="360" w:lineRule="auto"/>
      <w:ind w:firstLine="480" w:firstLineChars="200"/>
      <w:jc w:val="left"/>
    </w:pPr>
    <w:rPr>
      <w:color w:val="0070C0"/>
      <w:sz w:val="24"/>
    </w:rPr>
  </w:style>
  <w:style w:type="character" w:customStyle="1" w:styleId="72">
    <w:name w:val="标题 3 字符"/>
    <w:basedOn w:val="60"/>
    <w:link w:val="4"/>
    <w:autoRedefine/>
    <w:qFormat/>
    <w:uiPriority w:val="0"/>
    <w:rPr>
      <w:rFonts w:ascii="宋体" w:hAnsi="宋体" w:eastAsia="黑体"/>
      <w:b/>
      <w:color w:val="000000"/>
      <w:kern w:val="2"/>
      <w:sz w:val="24"/>
      <w:lang w:val="en-US" w:eastAsia="zh-CN" w:bidi="ar-SA"/>
    </w:rPr>
  </w:style>
  <w:style w:type="paragraph" w:customStyle="1" w:styleId="73">
    <w:name w:val="样式 样式 样式 四号 左侧:  1.53 厘米 + 首行缩进:  2 字符 + 居中 左侧:  2 字符 首行缩进:  2..."/>
    <w:basedOn w:val="74"/>
    <w:autoRedefine/>
    <w:qFormat/>
    <w:uiPriority w:val="0"/>
    <w:pPr>
      <w:jc w:val="center"/>
    </w:pPr>
  </w:style>
  <w:style w:type="paragraph" w:customStyle="1" w:styleId="74">
    <w:name w:val="样式 样式 四号 左侧:  1.53 厘米 + 首行缩进:  2 字符"/>
    <w:basedOn w:val="75"/>
    <w:autoRedefine/>
    <w:qFormat/>
    <w:uiPriority w:val="0"/>
    <w:pPr>
      <w:ind w:left="200" w:leftChars="200"/>
    </w:pPr>
    <w:rPr>
      <w:szCs w:val="20"/>
    </w:rPr>
  </w:style>
  <w:style w:type="paragraph" w:customStyle="1" w:styleId="75">
    <w:name w:val="样式 四号 左侧:  1.53 厘米"/>
    <w:basedOn w:val="1"/>
    <w:autoRedefine/>
    <w:qFormat/>
    <w:uiPriority w:val="0"/>
    <w:pPr>
      <w:adjustRightInd w:val="0"/>
    </w:pPr>
    <w:rPr>
      <w:w w:val="90"/>
      <w:sz w:val="28"/>
      <w:szCs w:val="28"/>
    </w:rPr>
  </w:style>
  <w:style w:type="character" w:customStyle="1" w:styleId="76">
    <w:name w:val="标题 1 字符"/>
    <w:basedOn w:val="60"/>
    <w:link w:val="2"/>
    <w:autoRedefine/>
    <w:qFormat/>
    <w:uiPriority w:val="0"/>
    <w:rPr>
      <w:rFonts w:ascii="黑体" w:eastAsia="黑体"/>
      <w:b/>
      <w:color w:val="000000"/>
      <w:kern w:val="44"/>
      <w:sz w:val="30"/>
      <w:szCs w:val="24"/>
      <w:lang w:val="en-US" w:eastAsia="zh-CN" w:bidi="ar-SA"/>
    </w:rPr>
  </w:style>
  <w:style w:type="character" w:customStyle="1" w:styleId="77">
    <w:name w:val="标题 2 字符"/>
    <w:basedOn w:val="60"/>
    <w:link w:val="3"/>
    <w:autoRedefine/>
    <w:qFormat/>
    <w:uiPriority w:val="0"/>
    <w:rPr>
      <w:rFonts w:eastAsia="黑体"/>
      <w:b/>
      <w:color w:val="000000"/>
      <w:kern w:val="2"/>
      <w:sz w:val="28"/>
      <w:szCs w:val="24"/>
      <w:lang w:val="en-US" w:eastAsia="zh-CN" w:bidi="ar-SA"/>
    </w:rPr>
  </w:style>
  <w:style w:type="character" w:customStyle="1" w:styleId="78">
    <w:name w:val="标题 4 字符"/>
    <w:basedOn w:val="60"/>
    <w:link w:val="5"/>
    <w:autoRedefine/>
    <w:qFormat/>
    <w:uiPriority w:val="0"/>
    <w:rPr>
      <w:rFonts w:ascii="Arial" w:hAnsi="Arial" w:eastAsia="黑体"/>
      <w:b/>
      <w:sz w:val="28"/>
    </w:rPr>
  </w:style>
  <w:style w:type="character" w:customStyle="1" w:styleId="79">
    <w:name w:val="标题 5 字符"/>
    <w:basedOn w:val="60"/>
    <w:link w:val="6"/>
    <w:autoRedefine/>
    <w:qFormat/>
    <w:uiPriority w:val="0"/>
    <w:rPr>
      <w:rFonts w:eastAsia="仿宋_GB2312"/>
      <w:b/>
      <w:sz w:val="28"/>
    </w:rPr>
  </w:style>
  <w:style w:type="character" w:customStyle="1" w:styleId="80">
    <w:name w:val="标题 9 字符"/>
    <w:basedOn w:val="60"/>
    <w:link w:val="10"/>
    <w:autoRedefine/>
    <w:qFormat/>
    <w:uiPriority w:val="0"/>
    <w:rPr>
      <w:rFonts w:ascii="Arial" w:hAnsi="Arial" w:eastAsia="黑体"/>
      <w:sz w:val="21"/>
    </w:rPr>
  </w:style>
  <w:style w:type="character" w:customStyle="1" w:styleId="81">
    <w:name w:val="正文缩进 字符"/>
    <w:basedOn w:val="60"/>
    <w:link w:val="16"/>
    <w:autoRedefine/>
    <w:qFormat/>
    <w:uiPriority w:val="0"/>
    <w:rPr>
      <w:rFonts w:eastAsia="宋体"/>
      <w:kern w:val="2"/>
      <w:sz w:val="21"/>
      <w:szCs w:val="24"/>
      <w:lang w:val="en-US" w:eastAsia="zh-CN" w:bidi="ar-SA"/>
    </w:rPr>
  </w:style>
  <w:style w:type="character" w:customStyle="1" w:styleId="82">
    <w:name w:val="题注 字符"/>
    <w:link w:val="17"/>
    <w:autoRedefine/>
    <w:qFormat/>
    <w:uiPriority w:val="0"/>
    <w:rPr>
      <w:rFonts w:ascii="Arial" w:hAnsi="Arial" w:eastAsia="黑体" w:cs="Arial"/>
      <w:kern w:val="2"/>
      <w:sz w:val="21"/>
      <w:lang w:val="en-US" w:eastAsia="zh-CN" w:bidi="ar-SA"/>
    </w:rPr>
  </w:style>
  <w:style w:type="character" w:customStyle="1" w:styleId="83">
    <w:name w:val="文档结构图 字符"/>
    <w:basedOn w:val="60"/>
    <w:link w:val="19"/>
    <w:autoRedefine/>
    <w:semiHidden/>
    <w:qFormat/>
    <w:uiPriority w:val="99"/>
    <w:rPr>
      <w:kern w:val="2"/>
      <w:sz w:val="21"/>
      <w:szCs w:val="24"/>
      <w:shd w:val="clear" w:color="auto" w:fill="000080"/>
    </w:rPr>
  </w:style>
  <w:style w:type="character" w:customStyle="1" w:styleId="84">
    <w:name w:val="批注文字 字符"/>
    <w:basedOn w:val="60"/>
    <w:link w:val="20"/>
    <w:autoRedefine/>
    <w:qFormat/>
    <w:uiPriority w:val="0"/>
    <w:rPr>
      <w:rFonts w:eastAsia="宋体"/>
      <w:kern w:val="2"/>
      <w:sz w:val="21"/>
      <w:szCs w:val="24"/>
      <w:lang w:val="en-US" w:eastAsia="zh-CN" w:bidi="ar-SA"/>
    </w:rPr>
  </w:style>
  <w:style w:type="character" w:customStyle="1" w:styleId="85">
    <w:name w:val="正文文本 字符"/>
    <w:basedOn w:val="60"/>
    <w:link w:val="23"/>
    <w:autoRedefine/>
    <w:qFormat/>
    <w:uiPriority w:val="0"/>
    <w:rPr>
      <w:rFonts w:eastAsia="宋体"/>
      <w:kern w:val="2"/>
      <w:sz w:val="21"/>
      <w:szCs w:val="24"/>
      <w:lang w:val="en-US" w:eastAsia="zh-CN" w:bidi="ar-SA"/>
    </w:rPr>
  </w:style>
  <w:style w:type="character" w:customStyle="1" w:styleId="86">
    <w:name w:val="正文文本缩进 字符"/>
    <w:basedOn w:val="60"/>
    <w:link w:val="24"/>
    <w:autoRedefine/>
    <w:qFormat/>
    <w:uiPriority w:val="0"/>
    <w:rPr>
      <w:rFonts w:eastAsia="宋体"/>
      <w:kern w:val="2"/>
      <w:sz w:val="24"/>
      <w:szCs w:val="24"/>
      <w:lang w:val="en-US" w:eastAsia="zh-CN" w:bidi="ar-SA"/>
    </w:rPr>
  </w:style>
  <w:style w:type="character" w:customStyle="1" w:styleId="87">
    <w:name w:val="页眉 字符"/>
    <w:basedOn w:val="60"/>
    <w:link w:val="36"/>
    <w:autoRedefine/>
    <w:qFormat/>
    <w:uiPriority w:val="0"/>
    <w:rPr>
      <w:rFonts w:eastAsia="宋体"/>
      <w:kern w:val="2"/>
      <w:sz w:val="18"/>
      <w:lang w:val="en-US" w:eastAsia="zh-CN" w:bidi="ar-SA"/>
    </w:rPr>
  </w:style>
  <w:style w:type="character" w:customStyle="1" w:styleId="88">
    <w:name w:val="纯文本 字符"/>
    <w:basedOn w:val="60"/>
    <w:link w:val="29"/>
    <w:autoRedefine/>
    <w:qFormat/>
    <w:uiPriority w:val="0"/>
    <w:rPr>
      <w:rFonts w:ascii="宋体" w:hAnsi="Courier New" w:eastAsia="宋体"/>
      <w:kern w:val="2"/>
      <w:sz w:val="21"/>
      <w:lang w:val="en-US" w:eastAsia="zh-CN" w:bidi="ar-SA"/>
    </w:rPr>
  </w:style>
  <w:style w:type="character" w:customStyle="1" w:styleId="89">
    <w:name w:val="正文文本缩进 2 字符"/>
    <w:basedOn w:val="60"/>
    <w:link w:val="33"/>
    <w:autoRedefine/>
    <w:qFormat/>
    <w:uiPriority w:val="0"/>
    <w:rPr>
      <w:rFonts w:eastAsia="宋体"/>
      <w:kern w:val="2"/>
      <w:sz w:val="21"/>
      <w:szCs w:val="24"/>
      <w:lang w:val="en-US" w:eastAsia="zh-CN" w:bidi="ar-SA"/>
    </w:rPr>
  </w:style>
  <w:style w:type="character" w:customStyle="1" w:styleId="90">
    <w:name w:val="批注框文本 字符"/>
    <w:basedOn w:val="60"/>
    <w:link w:val="34"/>
    <w:autoRedefine/>
    <w:semiHidden/>
    <w:qFormat/>
    <w:uiPriority w:val="99"/>
    <w:rPr>
      <w:kern w:val="2"/>
      <w:sz w:val="18"/>
      <w:szCs w:val="18"/>
    </w:rPr>
  </w:style>
  <w:style w:type="character" w:customStyle="1" w:styleId="91">
    <w:name w:val="页脚 字符"/>
    <w:basedOn w:val="60"/>
    <w:link w:val="35"/>
    <w:autoRedefine/>
    <w:qFormat/>
    <w:uiPriority w:val="99"/>
    <w:rPr>
      <w:rFonts w:eastAsia="宋体"/>
      <w:kern w:val="2"/>
      <w:sz w:val="18"/>
      <w:lang w:val="en-US" w:eastAsia="zh-CN" w:bidi="ar-SA"/>
    </w:rPr>
  </w:style>
  <w:style w:type="character" w:customStyle="1" w:styleId="92">
    <w:name w:val="正文A Char"/>
    <w:basedOn w:val="60"/>
    <w:link w:val="93"/>
    <w:autoRedefine/>
    <w:qFormat/>
    <w:uiPriority w:val="0"/>
    <w:rPr>
      <w:rFonts w:eastAsia="宋体"/>
      <w:kern w:val="2"/>
      <w:sz w:val="24"/>
      <w:szCs w:val="21"/>
      <w:lang w:val="en-US" w:eastAsia="zh-CN" w:bidi="ar-SA"/>
    </w:rPr>
  </w:style>
  <w:style w:type="paragraph" w:customStyle="1" w:styleId="93">
    <w:name w:val="正文A"/>
    <w:basedOn w:val="29"/>
    <w:link w:val="92"/>
    <w:autoRedefine/>
    <w:qFormat/>
    <w:uiPriority w:val="0"/>
    <w:pPr>
      <w:snapToGrid w:val="0"/>
      <w:spacing w:line="360" w:lineRule="auto"/>
      <w:ind w:firstLine="201" w:firstLineChars="201"/>
    </w:pPr>
    <w:rPr>
      <w:rFonts w:ascii="Times New Roman" w:hAnsi="Times New Roman"/>
      <w:sz w:val="24"/>
      <w:szCs w:val="21"/>
    </w:rPr>
  </w:style>
  <w:style w:type="character" w:customStyle="1" w:styleId="94">
    <w:name w:val="正文文本缩进B Char"/>
    <w:basedOn w:val="60"/>
    <w:link w:val="95"/>
    <w:autoRedefine/>
    <w:qFormat/>
    <w:uiPriority w:val="0"/>
    <w:rPr>
      <w:rFonts w:ascii="宋体" w:hAnsi="宋体" w:eastAsia="宋体"/>
      <w:kern w:val="2"/>
      <w:sz w:val="24"/>
      <w:szCs w:val="24"/>
      <w:lang w:val="en-US" w:eastAsia="zh-CN" w:bidi="ar-SA"/>
    </w:rPr>
  </w:style>
  <w:style w:type="paragraph" w:customStyle="1" w:styleId="95">
    <w:name w:val="正文文本缩进B"/>
    <w:basedOn w:val="24"/>
    <w:link w:val="94"/>
    <w:autoRedefine/>
    <w:qFormat/>
    <w:uiPriority w:val="0"/>
    <w:pPr>
      <w:ind w:firstLine="480" w:firstLineChars="200"/>
    </w:pPr>
    <w:rPr>
      <w:rFonts w:ascii="宋体" w:hAnsi="宋体"/>
    </w:rPr>
  </w:style>
  <w:style w:type="character" w:customStyle="1" w:styleId="96">
    <w:name w:val="a Char Char Char"/>
    <w:basedOn w:val="60"/>
    <w:autoRedefine/>
    <w:qFormat/>
    <w:uiPriority w:val="0"/>
    <w:rPr>
      <w:rFonts w:ascii="宋体" w:hAnsi="宋体" w:eastAsia="宋体"/>
      <w:bCs/>
      <w:kern w:val="2"/>
      <w:sz w:val="28"/>
      <w:szCs w:val="28"/>
      <w:lang w:val="en-US" w:eastAsia="zh-CN" w:bidi="ar-SA"/>
    </w:rPr>
  </w:style>
  <w:style w:type="character" w:customStyle="1" w:styleId="97">
    <w:name w:val="apple-style-span"/>
    <w:basedOn w:val="60"/>
    <w:autoRedefine/>
    <w:qFormat/>
    <w:uiPriority w:val="0"/>
  </w:style>
  <w:style w:type="character" w:customStyle="1" w:styleId="98">
    <w:name w:val="t11"/>
    <w:basedOn w:val="60"/>
    <w:autoRedefine/>
    <w:qFormat/>
    <w:uiPriority w:val="0"/>
    <w:rPr>
      <w:b/>
      <w:bCs/>
      <w:sz w:val="24"/>
      <w:szCs w:val="24"/>
      <w:shd w:val="clear" w:color="auto" w:fill="FFFFFF"/>
    </w:rPr>
  </w:style>
  <w:style w:type="character" w:customStyle="1" w:styleId="99">
    <w:name w:val="titletext"/>
    <w:basedOn w:val="60"/>
    <w:autoRedefine/>
    <w:qFormat/>
    <w:uiPriority w:val="0"/>
  </w:style>
  <w:style w:type="character" w:customStyle="1" w:styleId="100">
    <w:name w:val="font11"/>
    <w:basedOn w:val="60"/>
    <w:autoRedefine/>
    <w:qFormat/>
    <w:uiPriority w:val="0"/>
    <w:rPr>
      <w:rFonts w:hint="eastAsia" w:ascii="宋体" w:hAnsi="宋体" w:eastAsia="宋体" w:cs="宋体"/>
      <w:color w:val="000000"/>
      <w:sz w:val="20"/>
      <w:szCs w:val="20"/>
      <w:u w:val="none"/>
    </w:rPr>
  </w:style>
  <w:style w:type="character" w:customStyle="1" w:styleId="101">
    <w:name w:val="a Char Char Char Char"/>
    <w:basedOn w:val="60"/>
    <w:autoRedefine/>
    <w:qFormat/>
    <w:uiPriority w:val="0"/>
    <w:rPr>
      <w:rFonts w:ascii="宋体" w:hAnsi="宋体" w:eastAsia="宋体"/>
      <w:bCs/>
      <w:kern w:val="2"/>
      <w:sz w:val="28"/>
      <w:szCs w:val="28"/>
      <w:lang w:val="en-US" w:eastAsia="zh-CN" w:bidi="ar-SA"/>
    </w:rPr>
  </w:style>
  <w:style w:type="character" w:customStyle="1" w:styleId="102">
    <w:name w:val="wenzhang1"/>
    <w:basedOn w:val="60"/>
    <w:autoRedefine/>
    <w:qFormat/>
    <w:uiPriority w:val="0"/>
    <w:rPr>
      <w:rFonts w:hint="default" w:ascii="Arial" w:hAnsi="Arial" w:cs="Arial"/>
      <w:color w:val="333333"/>
      <w:sz w:val="21"/>
      <w:szCs w:val="21"/>
      <w:u w:val="none"/>
    </w:rPr>
  </w:style>
  <w:style w:type="character" w:customStyle="1" w:styleId="103">
    <w:name w:val="俺的正文 Char Char Char Char"/>
    <w:basedOn w:val="60"/>
    <w:autoRedefine/>
    <w:qFormat/>
    <w:uiPriority w:val="0"/>
    <w:rPr>
      <w:rFonts w:eastAsia="宋体"/>
      <w:kern w:val="2"/>
      <w:sz w:val="24"/>
      <w:szCs w:val="24"/>
      <w:lang w:val="en-US" w:eastAsia="zh-CN" w:bidi="ar-SA"/>
    </w:rPr>
  </w:style>
  <w:style w:type="character" w:customStyle="1" w:styleId="104">
    <w:name w:val="Char Char14"/>
    <w:basedOn w:val="60"/>
    <w:autoRedefine/>
    <w:qFormat/>
    <w:locked/>
    <w:uiPriority w:val="0"/>
    <w:rPr>
      <w:rFonts w:ascii="宋体" w:hAnsi="宋体" w:eastAsia="宋体"/>
      <w:kern w:val="2"/>
      <w:sz w:val="21"/>
      <w:szCs w:val="24"/>
      <w:lang w:val="en-US" w:eastAsia="zh-CN" w:bidi="ar-SA"/>
    </w:rPr>
  </w:style>
  <w:style w:type="character" w:customStyle="1" w:styleId="105">
    <w:name w:val="grame"/>
    <w:basedOn w:val="60"/>
    <w:autoRedefine/>
    <w:qFormat/>
    <w:uiPriority w:val="0"/>
  </w:style>
  <w:style w:type="character" w:customStyle="1" w:styleId="106">
    <w:name w:val="font71"/>
    <w:basedOn w:val="60"/>
    <w:autoRedefine/>
    <w:qFormat/>
    <w:uiPriority w:val="0"/>
    <w:rPr>
      <w:rFonts w:hint="eastAsia" w:ascii="宋体" w:hAnsi="宋体" w:eastAsia="宋体" w:cs="宋体"/>
      <w:color w:val="000000"/>
      <w:sz w:val="18"/>
      <w:szCs w:val="18"/>
      <w:u w:val="none"/>
    </w:rPr>
  </w:style>
  <w:style w:type="character" w:customStyle="1" w:styleId="107">
    <w:name w:val="font111"/>
    <w:basedOn w:val="60"/>
    <w:autoRedefine/>
    <w:qFormat/>
    <w:uiPriority w:val="0"/>
    <w:rPr>
      <w:rFonts w:hint="default" w:ascii="Times New Roman" w:hAnsi="Times New Roman" w:cs="Times New Roman"/>
      <w:b/>
      <w:color w:val="000000"/>
      <w:sz w:val="18"/>
      <w:szCs w:val="18"/>
      <w:u w:val="none"/>
    </w:rPr>
  </w:style>
  <w:style w:type="character" w:customStyle="1" w:styleId="108">
    <w:name w:val="font181"/>
    <w:basedOn w:val="60"/>
    <w:autoRedefine/>
    <w:qFormat/>
    <w:uiPriority w:val="0"/>
    <w:rPr>
      <w:rFonts w:hint="eastAsia" w:ascii="宋体" w:hAnsi="宋体" w:eastAsia="宋体" w:cs="宋体"/>
      <w:color w:val="000000"/>
      <w:sz w:val="22"/>
      <w:szCs w:val="22"/>
      <w:u w:val="none"/>
    </w:rPr>
  </w:style>
  <w:style w:type="character" w:customStyle="1" w:styleId="109">
    <w:name w:val="样式 样式 首行缩进:  0.85 厘米 行距: 1.5 倍行距 + 黑色1 Char Char Char Char Char Char"/>
    <w:basedOn w:val="60"/>
    <w:link w:val="110"/>
    <w:autoRedefine/>
    <w:qFormat/>
    <w:uiPriority w:val="0"/>
    <w:rPr>
      <w:rFonts w:eastAsia="宋体" w:cs="宋体"/>
      <w:color w:val="000000"/>
      <w:kern w:val="2"/>
      <w:sz w:val="28"/>
      <w:lang w:val="en-US" w:eastAsia="zh-CN" w:bidi="ar-SA"/>
    </w:rPr>
  </w:style>
  <w:style w:type="paragraph" w:customStyle="1" w:styleId="110">
    <w:name w:val="样式 样式 首行缩进:  0.85 厘米 行距: 1.5 倍行距 + 黑色1 Char Char Char Char Char"/>
    <w:basedOn w:val="1"/>
    <w:link w:val="109"/>
    <w:autoRedefine/>
    <w:qFormat/>
    <w:uiPriority w:val="0"/>
    <w:pPr>
      <w:spacing w:line="500" w:lineRule="atLeast"/>
      <w:ind w:firstLine="561"/>
    </w:pPr>
    <w:rPr>
      <w:rFonts w:cs="宋体"/>
      <w:color w:val="000000"/>
      <w:sz w:val="28"/>
      <w:szCs w:val="20"/>
    </w:rPr>
  </w:style>
  <w:style w:type="character" w:customStyle="1" w:styleId="111">
    <w:name w:val="标题B Char"/>
    <w:basedOn w:val="112"/>
    <w:link w:val="114"/>
    <w:autoRedefine/>
    <w:qFormat/>
    <w:uiPriority w:val="0"/>
    <w:rPr>
      <w:rFonts w:eastAsia="宋体"/>
      <w:kern w:val="24"/>
      <w:sz w:val="30"/>
      <w:szCs w:val="32"/>
      <w:lang w:val="en-US" w:eastAsia="zh-CN" w:bidi="ar-SA"/>
    </w:rPr>
  </w:style>
  <w:style w:type="character" w:customStyle="1" w:styleId="112">
    <w:name w:val="标题A Char"/>
    <w:basedOn w:val="60"/>
    <w:link w:val="113"/>
    <w:autoRedefine/>
    <w:qFormat/>
    <w:uiPriority w:val="0"/>
    <w:rPr>
      <w:rFonts w:eastAsia="宋体"/>
      <w:b/>
      <w:kern w:val="24"/>
      <w:sz w:val="32"/>
      <w:szCs w:val="32"/>
      <w:lang w:val="en-US" w:eastAsia="zh-CN" w:bidi="ar-SA"/>
    </w:rPr>
  </w:style>
  <w:style w:type="paragraph" w:customStyle="1" w:styleId="113">
    <w:name w:val="标题A"/>
    <w:basedOn w:val="1"/>
    <w:link w:val="112"/>
    <w:autoRedefine/>
    <w:qFormat/>
    <w:uiPriority w:val="0"/>
    <w:pPr>
      <w:autoSpaceDE w:val="0"/>
      <w:autoSpaceDN w:val="0"/>
      <w:adjustRightInd w:val="0"/>
      <w:spacing w:before="50" w:beforeLines="50" w:after="50" w:afterLines="50" w:line="300" w:lineRule="auto"/>
    </w:pPr>
    <w:rPr>
      <w:b/>
      <w:kern w:val="24"/>
      <w:sz w:val="32"/>
      <w:szCs w:val="32"/>
    </w:rPr>
  </w:style>
  <w:style w:type="paragraph" w:customStyle="1" w:styleId="114">
    <w:name w:val="标题B"/>
    <w:basedOn w:val="113"/>
    <w:link w:val="111"/>
    <w:autoRedefine/>
    <w:qFormat/>
    <w:uiPriority w:val="0"/>
    <w:pPr>
      <w:spacing w:before="30" w:beforeLines="30" w:after="30" w:afterLines="30"/>
    </w:pPr>
    <w:rPr>
      <w:sz w:val="30"/>
    </w:rPr>
  </w:style>
  <w:style w:type="character" w:customStyle="1" w:styleId="115">
    <w:name w:val="font41"/>
    <w:basedOn w:val="60"/>
    <w:autoRedefine/>
    <w:qFormat/>
    <w:uiPriority w:val="0"/>
    <w:rPr>
      <w:rFonts w:hint="default" w:ascii="Times New Roman" w:hAnsi="Times New Roman" w:cs="Times New Roman"/>
      <w:b/>
      <w:color w:val="000000"/>
      <w:sz w:val="20"/>
      <w:szCs w:val="20"/>
      <w:u w:val="none"/>
    </w:rPr>
  </w:style>
  <w:style w:type="character" w:customStyle="1" w:styleId="116">
    <w:name w:val="正文文本 Char"/>
    <w:basedOn w:val="60"/>
    <w:autoRedefine/>
    <w:qFormat/>
    <w:uiPriority w:val="0"/>
    <w:rPr>
      <w:rFonts w:eastAsia="宋体"/>
      <w:kern w:val="2"/>
      <w:sz w:val="24"/>
      <w:szCs w:val="24"/>
      <w:lang w:val="en-US" w:eastAsia="zh-CN" w:bidi="ar-SA"/>
    </w:rPr>
  </w:style>
  <w:style w:type="character" w:customStyle="1" w:styleId="117">
    <w:name w:val="样式 样式 样式 样式 (中文) 仿宋_GB2312 四号 黑色 首行缩进:  0.96 厘米 行距: 最小值 25 磅 + 自... Char"/>
    <w:basedOn w:val="60"/>
    <w:link w:val="118"/>
    <w:autoRedefine/>
    <w:qFormat/>
    <w:uiPriority w:val="0"/>
    <w:rPr>
      <w:rFonts w:ascii="仿宋_GB2312" w:hAnsi="仿宋_GB2312" w:eastAsia="宋体" w:cs="宋体"/>
      <w:kern w:val="2"/>
      <w:sz w:val="28"/>
      <w:lang w:val="en-US" w:eastAsia="zh-CN" w:bidi="ar-SA"/>
    </w:rPr>
  </w:style>
  <w:style w:type="paragraph" w:customStyle="1" w:styleId="118">
    <w:name w:val="样式 样式 样式 样式 (中文) 仿宋_GB2312 四号 黑色 首行缩进:  0.96 厘米 行距: 最小值 25 磅 + 自..."/>
    <w:basedOn w:val="1"/>
    <w:link w:val="117"/>
    <w:autoRedefine/>
    <w:qFormat/>
    <w:uiPriority w:val="0"/>
    <w:pPr>
      <w:spacing w:line="500" w:lineRule="atLeast"/>
      <w:ind w:firstLine="561"/>
    </w:pPr>
    <w:rPr>
      <w:rFonts w:ascii="仿宋_GB2312" w:hAnsi="仿宋_GB2312" w:cs="宋体"/>
      <w:sz w:val="28"/>
      <w:szCs w:val="20"/>
    </w:rPr>
  </w:style>
  <w:style w:type="character" w:customStyle="1" w:styleId="119">
    <w:name w:val="陆晶 正文 Char"/>
    <w:basedOn w:val="60"/>
    <w:link w:val="120"/>
    <w:autoRedefine/>
    <w:qFormat/>
    <w:uiPriority w:val="0"/>
    <w:rPr>
      <w:rFonts w:eastAsia="宋体"/>
      <w:b/>
      <w:spacing w:val="6"/>
      <w:sz w:val="28"/>
      <w:szCs w:val="28"/>
      <w:lang w:val="zh-CN" w:eastAsia="zh-CN" w:bidi="ar-SA"/>
    </w:rPr>
  </w:style>
  <w:style w:type="paragraph" w:customStyle="1" w:styleId="120">
    <w:name w:val="陆晶 正文"/>
    <w:basedOn w:val="1"/>
    <w:link w:val="119"/>
    <w:autoRedefine/>
    <w:qFormat/>
    <w:uiPriority w:val="0"/>
    <w:pPr>
      <w:adjustRightInd w:val="0"/>
      <w:snapToGrid w:val="0"/>
      <w:spacing w:line="360" w:lineRule="auto"/>
      <w:ind w:firstLine="586" w:firstLineChars="200"/>
      <w:jc w:val="center"/>
    </w:pPr>
    <w:rPr>
      <w:b/>
      <w:spacing w:val="6"/>
      <w:kern w:val="0"/>
      <w:sz w:val="28"/>
      <w:szCs w:val="28"/>
      <w:lang w:val="zh-CN"/>
    </w:rPr>
  </w:style>
  <w:style w:type="character" w:customStyle="1" w:styleId="121">
    <w:name w:val="单学凯环表头 Char"/>
    <w:basedOn w:val="60"/>
    <w:link w:val="122"/>
    <w:autoRedefine/>
    <w:qFormat/>
    <w:uiPriority w:val="0"/>
    <w:rPr>
      <w:rFonts w:ascii="仿宋_GB2312" w:hAnsi="宋体" w:eastAsia="仿宋_GB2312"/>
      <w:b/>
      <w:bCs/>
      <w:sz w:val="28"/>
      <w:szCs w:val="24"/>
      <w:lang w:bidi="ar-SA"/>
    </w:rPr>
  </w:style>
  <w:style w:type="paragraph" w:customStyle="1" w:styleId="122">
    <w:name w:val="单学凯环表头"/>
    <w:basedOn w:val="1"/>
    <w:link w:val="121"/>
    <w:autoRedefine/>
    <w:qFormat/>
    <w:uiPriority w:val="0"/>
    <w:pPr>
      <w:widowControl/>
      <w:tabs>
        <w:tab w:val="left" w:pos="-1008"/>
        <w:tab w:val="left" w:pos="4873"/>
      </w:tabs>
      <w:adjustRightInd w:val="0"/>
      <w:snapToGrid w:val="0"/>
      <w:jc w:val="center"/>
      <w:textAlignment w:val="baseline"/>
    </w:pPr>
    <w:rPr>
      <w:rFonts w:ascii="仿宋_GB2312" w:hAnsi="宋体" w:eastAsia="仿宋_GB2312"/>
      <w:b/>
      <w:bCs/>
      <w:kern w:val="0"/>
      <w:sz w:val="28"/>
    </w:rPr>
  </w:style>
  <w:style w:type="character" w:customStyle="1" w:styleId="123">
    <w:name w:val="content"/>
    <w:basedOn w:val="60"/>
    <w:autoRedefine/>
    <w:qFormat/>
    <w:uiPriority w:val="0"/>
  </w:style>
  <w:style w:type="character" w:customStyle="1" w:styleId="124">
    <w:name w:val="俺的正文 Char"/>
    <w:basedOn w:val="60"/>
    <w:link w:val="125"/>
    <w:autoRedefine/>
    <w:qFormat/>
    <w:uiPriority w:val="0"/>
    <w:rPr>
      <w:rFonts w:eastAsia="宋体"/>
      <w:kern w:val="2"/>
      <w:sz w:val="24"/>
      <w:szCs w:val="24"/>
      <w:lang w:val="en-US" w:eastAsia="zh-CN" w:bidi="ar-SA"/>
    </w:rPr>
  </w:style>
  <w:style w:type="paragraph" w:customStyle="1" w:styleId="125">
    <w:name w:val="俺的正文"/>
    <w:basedOn w:val="1"/>
    <w:link w:val="124"/>
    <w:autoRedefine/>
    <w:qFormat/>
    <w:uiPriority w:val="0"/>
    <w:pPr>
      <w:spacing w:line="460" w:lineRule="exact"/>
      <w:ind w:firstLine="200" w:firstLineChars="200"/>
    </w:pPr>
    <w:rPr>
      <w:sz w:val="24"/>
    </w:rPr>
  </w:style>
  <w:style w:type="character" w:customStyle="1" w:styleId="126">
    <w:name w:val="H2 Char"/>
    <w:basedOn w:val="60"/>
    <w:autoRedefine/>
    <w:qFormat/>
    <w:uiPriority w:val="0"/>
    <w:rPr>
      <w:rFonts w:ascii="Arial" w:hAnsi="Arial" w:eastAsia="黑体"/>
      <w:b/>
      <w:bCs/>
      <w:kern w:val="2"/>
      <w:sz w:val="32"/>
      <w:szCs w:val="32"/>
      <w:lang w:val="en-US" w:eastAsia="zh-CN" w:bidi="ar-SA"/>
    </w:rPr>
  </w:style>
  <w:style w:type="character" w:customStyle="1" w:styleId="127">
    <w:name w:val="标题 1 Char"/>
    <w:basedOn w:val="60"/>
    <w:autoRedefine/>
    <w:qFormat/>
    <w:uiPriority w:val="0"/>
    <w:rPr>
      <w:rFonts w:eastAsia="黑体"/>
      <w:b/>
      <w:bCs/>
      <w:kern w:val="44"/>
      <w:sz w:val="24"/>
      <w:szCs w:val="44"/>
      <w:lang w:val="en-US" w:eastAsia="zh-CN" w:bidi="ar-SA"/>
    </w:rPr>
  </w:style>
  <w:style w:type="character" w:customStyle="1" w:styleId="128">
    <w:name w:val="表格内容 Char"/>
    <w:basedOn w:val="60"/>
    <w:link w:val="129"/>
    <w:autoRedefine/>
    <w:qFormat/>
    <w:uiPriority w:val="0"/>
    <w:rPr>
      <w:rFonts w:ascii="宋体" w:hAnsi="宋体" w:eastAsia="宋体"/>
      <w:color w:val="000000"/>
      <w:kern w:val="2"/>
      <w:sz w:val="21"/>
      <w:lang w:val="en-US" w:eastAsia="zh-CN" w:bidi="ar-SA"/>
    </w:rPr>
  </w:style>
  <w:style w:type="paragraph" w:customStyle="1" w:styleId="129">
    <w:name w:val="表格内容"/>
    <w:basedOn w:val="1"/>
    <w:link w:val="128"/>
    <w:autoRedefine/>
    <w:qFormat/>
    <w:uiPriority w:val="0"/>
    <w:pPr>
      <w:autoSpaceDE w:val="0"/>
      <w:autoSpaceDN w:val="0"/>
      <w:adjustRightInd w:val="0"/>
      <w:spacing w:line="240" w:lineRule="atLeast"/>
      <w:jc w:val="center"/>
    </w:pPr>
    <w:rPr>
      <w:rFonts w:ascii="宋体" w:hAnsi="宋体"/>
      <w:color w:val="000000"/>
      <w:szCs w:val="20"/>
    </w:rPr>
  </w:style>
  <w:style w:type="character" w:customStyle="1" w:styleId="130">
    <w:name w:val="二级标题 Char"/>
    <w:basedOn w:val="131"/>
    <w:link w:val="133"/>
    <w:autoRedefine/>
    <w:qFormat/>
    <w:uiPriority w:val="0"/>
    <w:rPr>
      <w:rFonts w:eastAsia="宋体"/>
      <w:bCs/>
      <w:color w:val="FF0000"/>
      <w:kern w:val="2"/>
      <w:sz w:val="30"/>
      <w:szCs w:val="21"/>
      <w:lang w:val="en-US" w:eastAsia="zh-CN" w:bidi="ar-SA"/>
    </w:rPr>
  </w:style>
  <w:style w:type="character" w:customStyle="1" w:styleId="131">
    <w:name w:val="三级标题 Char"/>
    <w:basedOn w:val="60"/>
    <w:link w:val="132"/>
    <w:autoRedefine/>
    <w:qFormat/>
    <w:uiPriority w:val="0"/>
    <w:rPr>
      <w:rFonts w:eastAsia="宋体"/>
      <w:b/>
      <w:kern w:val="2"/>
      <w:sz w:val="24"/>
      <w:szCs w:val="21"/>
      <w:lang w:val="en-US" w:eastAsia="zh-CN" w:bidi="ar-SA"/>
    </w:rPr>
  </w:style>
  <w:style w:type="paragraph" w:customStyle="1" w:styleId="132">
    <w:name w:val="三级标题"/>
    <w:basedOn w:val="1"/>
    <w:link w:val="131"/>
    <w:autoRedefine/>
    <w:qFormat/>
    <w:uiPriority w:val="0"/>
    <w:pPr>
      <w:snapToGrid w:val="0"/>
      <w:spacing w:before="50" w:beforeLines="50" w:line="360" w:lineRule="auto"/>
      <w:ind w:firstLine="200" w:firstLineChars="200"/>
    </w:pPr>
    <w:rPr>
      <w:b/>
      <w:sz w:val="24"/>
      <w:szCs w:val="21"/>
    </w:rPr>
  </w:style>
  <w:style w:type="paragraph" w:customStyle="1" w:styleId="133">
    <w:name w:val="二级标题"/>
    <w:basedOn w:val="132"/>
    <w:link w:val="130"/>
    <w:autoRedefine/>
    <w:qFormat/>
    <w:uiPriority w:val="0"/>
    <w:pPr>
      <w:spacing w:before="20" w:beforeLines="20" w:after="20" w:afterLines="20"/>
      <w:ind w:firstLine="0" w:firstLineChars="0"/>
    </w:pPr>
    <w:rPr>
      <w:bCs/>
      <w:color w:val="FF0000"/>
      <w:sz w:val="30"/>
    </w:rPr>
  </w:style>
  <w:style w:type="character" w:customStyle="1" w:styleId="134">
    <w:name w:val="x正文 Char1"/>
    <w:basedOn w:val="60"/>
    <w:link w:val="135"/>
    <w:autoRedefine/>
    <w:qFormat/>
    <w:uiPriority w:val="0"/>
    <w:rPr>
      <w:rFonts w:eastAsia="宋体"/>
      <w:kern w:val="2"/>
      <w:sz w:val="24"/>
      <w:szCs w:val="21"/>
      <w:lang w:val="en-US" w:eastAsia="zh-CN" w:bidi="ar-SA"/>
    </w:rPr>
  </w:style>
  <w:style w:type="paragraph" w:customStyle="1" w:styleId="135">
    <w:name w:val="x正文"/>
    <w:basedOn w:val="1"/>
    <w:link w:val="134"/>
    <w:autoRedefine/>
    <w:qFormat/>
    <w:uiPriority w:val="0"/>
    <w:pPr>
      <w:spacing w:line="300" w:lineRule="auto"/>
      <w:ind w:firstLine="200" w:firstLineChars="200"/>
    </w:pPr>
    <w:rPr>
      <w:sz w:val="24"/>
      <w:szCs w:val="21"/>
    </w:rPr>
  </w:style>
  <w:style w:type="character" w:customStyle="1" w:styleId="136">
    <w:name w:val="font122"/>
    <w:basedOn w:val="60"/>
    <w:autoRedefine/>
    <w:qFormat/>
    <w:uiPriority w:val="0"/>
    <w:rPr>
      <w:rFonts w:hint="default" w:ascii="Times New Roman" w:hAnsi="Times New Roman" w:cs="Times New Roman"/>
      <w:b/>
      <w:color w:val="000000"/>
      <w:sz w:val="18"/>
      <w:szCs w:val="18"/>
      <w:u w:val="none"/>
    </w:rPr>
  </w:style>
  <w:style w:type="character" w:customStyle="1" w:styleId="137">
    <w:name w:val="表格文字 Char1"/>
    <w:basedOn w:val="60"/>
    <w:autoRedefine/>
    <w:qFormat/>
    <w:uiPriority w:val="0"/>
    <w:rPr>
      <w:rFonts w:eastAsia="宋体"/>
      <w:kern w:val="2"/>
      <w:sz w:val="21"/>
      <w:lang w:val="en-US" w:eastAsia="zh-CN" w:bidi="ar-SA"/>
    </w:rPr>
  </w:style>
  <w:style w:type="character" w:customStyle="1" w:styleId="138">
    <w:name w:val="表内文字 Char"/>
    <w:basedOn w:val="60"/>
    <w:autoRedefine/>
    <w:qFormat/>
    <w:uiPriority w:val="0"/>
    <w:rPr>
      <w:rFonts w:ascii="宋体" w:hAnsi="Courier New" w:eastAsia="宋体" w:cs="Courier New"/>
      <w:kern w:val="2"/>
      <w:sz w:val="21"/>
      <w:szCs w:val="21"/>
      <w:lang w:val="en-US" w:eastAsia="zh-CN" w:bidi="ar-SA"/>
    </w:rPr>
  </w:style>
  <w:style w:type="character" w:customStyle="1" w:styleId="139">
    <w:name w:val="textcontents"/>
    <w:autoRedefine/>
    <w:qFormat/>
    <w:uiPriority w:val="0"/>
  </w:style>
  <w:style w:type="character" w:customStyle="1" w:styleId="140">
    <w:name w:val="font301"/>
    <w:basedOn w:val="60"/>
    <w:autoRedefine/>
    <w:qFormat/>
    <w:uiPriority w:val="0"/>
    <w:rPr>
      <w:rFonts w:hint="default" w:ascii="Times New Roman" w:hAnsi="Times New Roman" w:cs="Times New Roman"/>
      <w:b/>
      <w:color w:val="000000"/>
      <w:sz w:val="20"/>
      <w:szCs w:val="20"/>
      <w:u w:val="none"/>
    </w:rPr>
  </w:style>
  <w:style w:type="character" w:customStyle="1" w:styleId="141">
    <w:name w:val="报告正文 Char"/>
    <w:link w:val="142"/>
    <w:autoRedefine/>
    <w:qFormat/>
    <w:uiPriority w:val="0"/>
    <w:rPr>
      <w:rFonts w:eastAsia="宋体"/>
      <w:kern w:val="2"/>
      <w:sz w:val="24"/>
      <w:szCs w:val="24"/>
      <w:lang w:val="en-US" w:eastAsia="zh-CN" w:bidi="ar-SA"/>
    </w:rPr>
  </w:style>
  <w:style w:type="paragraph" w:customStyle="1" w:styleId="142">
    <w:name w:val="报告正文"/>
    <w:basedOn w:val="1"/>
    <w:next w:val="1"/>
    <w:link w:val="141"/>
    <w:autoRedefine/>
    <w:qFormat/>
    <w:uiPriority w:val="0"/>
    <w:pPr>
      <w:spacing w:line="360" w:lineRule="auto"/>
      <w:ind w:firstLine="482"/>
    </w:pPr>
    <w:rPr>
      <w:sz w:val="24"/>
    </w:rPr>
  </w:style>
  <w:style w:type="character" w:customStyle="1" w:styleId="143">
    <w:name w:val="正文(首行缩进) Char1"/>
    <w:basedOn w:val="60"/>
    <w:link w:val="144"/>
    <w:autoRedefine/>
    <w:qFormat/>
    <w:uiPriority w:val="0"/>
    <w:rPr>
      <w:rFonts w:eastAsia="宋体"/>
      <w:snapToGrid w:val="0"/>
      <w:sz w:val="24"/>
      <w:szCs w:val="24"/>
      <w:lang w:val="en-US" w:eastAsia="zh-CN" w:bidi="ar-SA"/>
    </w:rPr>
  </w:style>
  <w:style w:type="paragraph" w:customStyle="1" w:styleId="144">
    <w:name w:val="正文(首行缩进)"/>
    <w:basedOn w:val="1"/>
    <w:link w:val="143"/>
    <w:autoRedefine/>
    <w:qFormat/>
    <w:uiPriority w:val="0"/>
    <w:pPr>
      <w:spacing w:line="360" w:lineRule="auto"/>
      <w:ind w:firstLine="510"/>
    </w:pPr>
    <w:rPr>
      <w:snapToGrid w:val="0"/>
      <w:kern w:val="0"/>
      <w:sz w:val="24"/>
    </w:rPr>
  </w:style>
  <w:style w:type="character" w:customStyle="1" w:styleId="145">
    <w:name w:val="Char Char3"/>
    <w:autoRedefine/>
    <w:qFormat/>
    <w:locked/>
    <w:uiPriority w:val="0"/>
    <w:rPr>
      <w:rFonts w:ascii="宋体" w:hAnsi="宋体" w:eastAsia="宋体"/>
      <w:kern w:val="2"/>
      <w:sz w:val="21"/>
      <w:szCs w:val="24"/>
      <w:lang w:val="en-US" w:eastAsia="zh-CN" w:bidi="ar-SA"/>
    </w:rPr>
  </w:style>
  <w:style w:type="character" w:customStyle="1" w:styleId="146">
    <w:name w:val="a Char Char"/>
    <w:basedOn w:val="60"/>
    <w:link w:val="147"/>
    <w:autoRedefine/>
    <w:qFormat/>
    <w:uiPriority w:val="0"/>
    <w:rPr>
      <w:rFonts w:ascii="宋体" w:hAnsi="宋体"/>
      <w:bCs/>
      <w:kern w:val="2"/>
      <w:sz w:val="28"/>
      <w:szCs w:val="28"/>
      <w:lang w:val="en-US" w:eastAsia="zh-CN" w:bidi="ar-SA"/>
    </w:rPr>
  </w:style>
  <w:style w:type="paragraph" w:customStyle="1" w:styleId="147">
    <w:name w:val="a Char"/>
    <w:link w:val="146"/>
    <w:autoRedefine/>
    <w:qFormat/>
    <w:uiPriority w:val="0"/>
    <w:pPr>
      <w:spacing w:line="540" w:lineRule="exact"/>
      <w:ind w:firstLine="561"/>
    </w:pPr>
    <w:rPr>
      <w:rFonts w:ascii="宋体" w:hAnsi="宋体" w:eastAsia="宋体" w:cs="Times New Roman"/>
      <w:bCs/>
      <w:kern w:val="2"/>
      <w:sz w:val="28"/>
      <w:szCs w:val="28"/>
      <w:lang w:val="en-US" w:eastAsia="zh-CN" w:bidi="ar-SA"/>
    </w:rPr>
  </w:style>
  <w:style w:type="character" w:customStyle="1" w:styleId="148">
    <w:name w:val="Default Char"/>
    <w:link w:val="149"/>
    <w:autoRedefine/>
    <w:qFormat/>
    <w:locked/>
    <w:uiPriority w:val="0"/>
    <w:rPr>
      <w:rFonts w:ascii="宋体" w:cs="宋体"/>
      <w:color w:val="000000"/>
      <w:sz w:val="24"/>
      <w:szCs w:val="24"/>
      <w:lang w:val="en-US" w:eastAsia="zh-CN" w:bidi="ar-SA"/>
    </w:rPr>
  </w:style>
  <w:style w:type="paragraph" w:customStyle="1" w:styleId="149">
    <w:name w:val="Default"/>
    <w:basedOn w:val="150"/>
    <w:link w:val="148"/>
    <w:autoRedefine/>
    <w:qFormat/>
    <w:uiPriority w:val="0"/>
    <w:pPr>
      <w:autoSpaceDE w:val="0"/>
      <w:autoSpaceDN w:val="0"/>
    </w:pPr>
    <w:rPr>
      <w:rFonts w:cs="宋体"/>
      <w:color w:val="000000"/>
      <w:sz w:val="24"/>
    </w:rPr>
  </w:style>
  <w:style w:type="paragraph" w:customStyle="1" w:styleId="150">
    <w:name w:val="纯文本1"/>
    <w:basedOn w:val="1"/>
    <w:autoRedefine/>
    <w:qFormat/>
    <w:uiPriority w:val="0"/>
    <w:pPr>
      <w:adjustRightInd w:val="0"/>
    </w:pPr>
    <w:rPr>
      <w:rFonts w:ascii="宋体" w:hAnsi="Courier New"/>
    </w:rPr>
  </w:style>
  <w:style w:type="character" w:customStyle="1" w:styleId="151">
    <w:name w:val="样式 宋体 小四 行距: 1.5 倍行距 Char"/>
    <w:basedOn w:val="60"/>
    <w:link w:val="152"/>
    <w:autoRedefine/>
    <w:qFormat/>
    <w:uiPriority w:val="0"/>
    <w:rPr>
      <w:rFonts w:ascii="宋体" w:hAnsi="宋体" w:eastAsia="宋体" w:cs="宋体"/>
      <w:sz w:val="24"/>
      <w:lang w:val="en-US" w:eastAsia="zh-CN" w:bidi="ar-SA"/>
    </w:rPr>
  </w:style>
  <w:style w:type="paragraph" w:customStyle="1" w:styleId="152">
    <w:name w:val="样式 宋体 小四 行距: 1.5 倍行距"/>
    <w:basedOn w:val="1"/>
    <w:link w:val="151"/>
    <w:autoRedefine/>
    <w:qFormat/>
    <w:uiPriority w:val="0"/>
    <w:pPr>
      <w:spacing w:line="360" w:lineRule="auto"/>
      <w:ind w:firstLine="480" w:firstLineChars="200"/>
    </w:pPr>
    <w:rPr>
      <w:rFonts w:ascii="宋体" w:hAnsi="宋体" w:cs="宋体"/>
      <w:kern w:val="0"/>
      <w:sz w:val="24"/>
      <w:szCs w:val="20"/>
    </w:rPr>
  </w:style>
  <w:style w:type="character" w:customStyle="1" w:styleId="153">
    <w:name w:val="Style First line:  2 ch Char Char"/>
    <w:basedOn w:val="60"/>
    <w:link w:val="154"/>
    <w:autoRedefine/>
    <w:qFormat/>
    <w:uiPriority w:val="0"/>
    <w:rPr>
      <w:rFonts w:eastAsia="仿宋_GB2312" w:cs="宋体"/>
      <w:kern w:val="2"/>
      <w:sz w:val="28"/>
      <w:lang w:val="en-US" w:eastAsia="zh-CN" w:bidi="ar-SA"/>
    </w:rPr>
  </w:style>
  <w:style w:type="paragraph" w:customStyle="1" w:styleId="154">
    <w:name w:val="Style First line:  2 ch Char"/>
    <w:basedOn w:val="1"/>
    <w:link w:val="153"/>
    <w:autoRedefine/>
    <w:qFormat/>
    <w:uiPriority w:val="0"/>
    <w:pPr>
      <w:spacing w:line="192" w:lineRule="auto"/>
      <w:ind w:firstLine="480" w:firstLineChars="200"/>
    </w:pPr>
    <w:rPr>
      <w:rFonts w:eastAsia="仿宋_GB2312" w:cs="宋体"/>
      <w:sz w:val="28"/>
      <w:szCs w:val="20"/>
    </w:rPr>
  </w:style>
  <w:style w:type="character" w:customStyle="1" w:styleId="155">
    <w:name w:val="三级标题 Char Char"/>
    <w:basedOn w:val="60"/>
    <w:autoRedefine/>
    <w:qFormat/>
    <w:uiPriority w:val="0"/>
    <w:rPr>
      <w:rFonts w:eastAsia="宋体"/>
      <w:b/>
      <w:kern w:val="2"/>
      <w:sz w:val="24"/>
      <w:szCs w:val="21"/>
      <w:lang w:val="en-US" w:eastAsia="zh-CN" w:bidi="ar-SA"/>
    </w:rPr>
  </w:style>
  <w:style w:type="character" w:customStyle="1" w:styleId="156">
    <w:name w:val="Char Char1"/>
    <w:basedOn w:val="60"/>
    <w:autoRedefine/>
    <w:semiHidden/>
    <w:qFormat/>
    <w:uiPriority w:val="0"/>
    <w:rPr>
      <w:rFonts w:eastAsia="宋体"/>
      <w:kern w:val="2"/>
      <w:sz w:val="21"/>
      <w:szCs w:val="24"/>
      <w:lang w:val="en-US" w:eastAsia="zh-CN" w:bidi="ar-SA"/>
    </w:rPr>
  </w:style>
  <w:style w:type="character" w:customStyle="1" w:styleId="157">
    <w:name w:val="报告书 Char"/>
    <w:link w:val="158"/>
    <w:autoRedefine/>
    <w:qFormat/>
    <w:locked/>
    <w:uiPriority w:val="0"/>
    <w:rPr>
      <w:rFonts w:ascii="宋体" w:hAnsi="宋体" w:eastAsia="宋体"/>
      <w:bCs/>
      <w:sz w:val="24"/>
      <w:szCs w:val="24"/>
      <w:lang w:bidi="ar-SA"/>
    </w:rPr>
  </w:style>
  <w:style w:type="paragraph" w:customStyle="1" w:styleId="158">
    <w:name w:val="报告书"/>
    <w:basedOn w:val="1"/>
    <w:link w:val="157"/>
    <w:autoRedefine/>
    <w:qFormat/>
    <w:uiPriority w:val="0"/>
    <w:pPr>
      <w:autoSpaceDE w:val="0"/>
      <w:autoSpaceDN w:val="0"/>
      <w:adjustRightInd w:val="0"/>
      <w:spacing w:line="360" w:lineRule="auto"/>
      <w:ind w:firstLine="480" w:firstLineChars="200"/>
    </w:pPr>
    <w:rPr>
      <w:rFonts w:ascii="宋体" w:hAnsi="宋体"/>
      <w:bCs/>
      <w:kern w:val="0"/>
      <w:sz w:val="24"/>
    </w:rPr>
  </w:style>
  <w:style w:type="character" w:customStyle="1" w:styleId="159">
    <w:name w:val="font131"/>
    <w:basedOn w:val="60"/>
    <w:autoRedefine/>
    <w:qFormat/>
    <w:uiPriority w:val="0"/>
    <w:rPr>
      <w:rFonts w:hint="default" w:ascii="Times New Roman" w:hAnsi="Times New Roman" w:cs="Times New Roman"/>
      <w:b/>
      <w:color w:val="000000"/>
      <w:sz w:val="18"/>
      <w:szCs w:val="18"/>
      <w:u w:val="none"/>
      <w:vertAlign w:val="superscript"/>
    </w:rPr>
  </w:style>
  <w:style w:type="character" w:customStyle="1" w:styleId="160">
    <w:name w:val="Char2"/>
    <w:basedOn w:val="60"/>
    <w:autoRedefine/>
    <w:qFormat/>
    <w:uiPriority w:val="0"/>
    <w:rPr>
      <w:rFonts w:eastAsia="宋体"/>
      <w:kern w:val="2"/>
      <w:sz w:val="28"/>
      <w:lang w:val="en-US" w:eastAsia="zh-CN" w:bidi="ar-SA"/>
    </w:rPr>
  </w:style>
  <w:style w:type="character" w:customStyle="1" w:styleId="161">
    <w:name w:val="Char Char4"/>
    <w:basedOn w:val="60"/>
    <w:autoRedefine/>
    <w:qFormat/>
    <w:uiPriority w:val="0"/>
    <w:rPr>
      <w:rFonts w:ascii="仿宋_GB2312" w:hAnsi="宋体" w:eastAsia="宋体"/>
      <w:color w:val="FF0000"/>
      <w:sz w:val="24"/>
      <w:lang w:val="en-US" w:eastAsia="zh-CN" w:bidi="ar-SA"/>
    </w:rPr>
  </w:style>
  <w:style w:type="character" w:customStyle="1" w:styleId="162">
    <w:name w:val="style9"/>
    <w:basedOn w:val="60"/>
    <w:autoRedefine/>
    <w:qFormat/>
    <w:uiPriority w:val="0"/>
  </w:style>
  <w:style w:type="character" w:customStyle="1" w:styleId="163">
    <w:name w:val="样式 样式 样式 样式 样式 四号 行距: 最小值 25 磅 + 首行缩进:  2 字符 + 首行缩进:  2 字符 + 黑色 ... Char"/>
    <w:basedOn w:val="60"/>
    <w:link w:val="164"/>
    <w:autoRedefine/>
    <w:qFormat/>
    <w:uiPriority w:val="0"/>
    <w:rPr>
      <w:rFonts w:eastAsia="宋体" w:cs="宋体"/>
      <w:color w:val="000000"/>
      <w:sz w:val="28"/>
      <w:lang w:val="en-US" w:eastAsia="zh-CN" w:bidi="ar-SA"/>
    </w:rPr>
  </w:style>
  <w:style w:type="paragraph" w:customStyle="1" w:styleId="164">
    <w:name w:val="样式 样式 样式 样式 样式 四号 行距: 最小值 25 磅 + 首行缩进:  2 字符 + 首行缩进:  2 字符 + 黑色 ..."/>
    <w:basedOn w:val="1"/>
    <w:link w:val="163"/>
    <w:autoRedefine/>
    <w:qFormat/>
    <w:uiPriority w:val="0"/>
    <w:pPr>
      <w:spacing w:line="500" w:lineRule="atLeast"/>
      <w:ind w:firstLine="200" w:firstLineChars="200"/>
    </w:pPr>
    <w:rPr>
      <w:rFonts w:cs="宋体"/>
      <w:color w:val="000000"/>
      <w:kern w:val="0"/>
      <w:sz w:val="28"/>
      <w:szCs w:val="20"/>
    </w:rPr>
  </w:style>
  <w:style w:type="character" w:customStyle="1" w:styleId="165">
    <w:name w:val="表格数字 Char Char"/>
    <w:basedOn w:val="60"/>
    <w:link w:val="166"/>
    <w:autoRedefine/>
    <w:qFormat/>
    <w:uiPriority w:val="0"/>
    <w:rPr>
      <w:rFonts w:ascii="Arial" w:hAnsi="Arial" w:eastAsia="宋体" w:cs="宋体"/>
      <w:sz w:val="21"/>
      <w:lang w:val="en-US" w:eastAsia="zh-CN" w:bidi="ar-SA"/>
    </w:rPr>
  </w:style>
  <w:style w:type="paragraph" w:customStyle="1" w:styleId="166">
    <w:name w:val="表格数字"/>
    <w:basedOn w:val="1"/>
    <w:link w:val="165"/>
    <w:autoRedefine/>
    <w:qFormat/>
    <w:uiPriority w:val="0"/>
    <w:pPr>
      <w:spacing w:line="360" w:lineRule="exact"/>
      <w:jc w:val="center"/>
    </w:pPr>
    <w:rPr>
      <w:rFonts w:ascii="Arial" w:hAnsi="Arial" w:cs="宋体"/>
      <w:kern w:val="0"/>
      <w:szCs w:val="20"/>
    </w:rPr>
  </w:style>
  <w:style w:type="character" w:customStyle="1" w:styleId="167">
    <w:name w:val="表格文字 Char"/>
    <w:basedOn w:val="60"/>
    <w:link w:val="168"/>
    <w:autoRedefine/>
    <w:qFormat/>
    <w:uiPriority w:val="0"/>
    <w:rPr>
      <w:rFonts w:eastAsia="宋体"/>
      <w:kern w:val="2"/>
      <w:sz w:val="21"/>
      <w:lang w:val="en-US" w:eastAsia="zh-CN" w:bidi="ar-SA"/>
    </w:rPr>
  </w:style>
  <w:style w:type="paragraph" w:customStyle="1" w:styleId="168">
    <w:name w:val="表格文字"/>
    <w:basedOn w:val="1"/>
    <w:link w:val="167"/>
    <w:autoRedefine/>
    <w:qFormat/>
    <w:uiPriority w:val="0"/>
    <w:pPr>
      <w:jc w:val="center"/>
    </w:pPr>
    <w:rPr>
      <w:szCs w:val="20"/>
    </w:rPr>
  </w:style>
  <w:style w:type="character" w:customStyle="1" w:styleId="169">
    <w:name w:val="x二级标题 Char"/>
    <w:basedOn w:val="170"/>
    <w:link w:val="171"/>
    <w:autoRedefine/>
    <w:qFormat/>
    <w:uiPriority w:val="0"/>
    <w:rPr>
      <w:rFonts w:ascii="Arial" w:hAnsi="Arial" w:eastAsia="宋体"/>
      <w:kern w:val="2"/>
      <w:sz w:val="30"/>
      <w:szCs w:val="32"/>
      <w:lang w:val="en-US" w:eastAsia="zh-CN" w:bidi="ar-SA"/>
    </w:rPr>
  </w:style>
  <w:style w:type="character" w:customStyle="1" w:styleId="170">
    <w:name w:val="节 Char2"/>
    <w:basedOn w:val="60"/>
    <w:autoRedefine/>
    <w:qFormat/>
    <w:uiPriority w:val="0"/>
    <w:rPr>
      <w:rFonts w:ascii="Arial" w:hAnsi="Arial" w:eastAsia="宋体"/>
      <w:b/>
      <w:bCs/>
      <w:kern w:val="2"/>
      <w:sz w:val="30"/>
      <w:szCs w:val="32"/>
      <w:lang w:val="en-US" w:eastAsia="zh-CN" w:bidi="ar-SA"/>
    </w:rPr>
  </w:style>
  <w:style w:type="paragraph" w:customStyle="1" w:styleId="171">
    <w:name w:val="x二级标题"/>
    <w:basedOn w:val="3"/>
    <w:link w:val="169"/>
    <w:autoRedefine/>
    <w:qFormat/>
    <w:uiPriority w:val="0"/>
    <w:pPr>
      <w:snapToGrid/>
      <w:spacing w:before="240" w:after="120" w:line="300" w:lineRule="auto"/>
      <w:jc w:val="both"/>
    </w:pPr>
    <w:rPr>
      <w:rFonts w:ascii="Arial" w:hAnsi="Arial" w:eastAsia="宋体"/>
      <w:bCs/>
      <w:color w:val="auto"/>
      <w:sz w:val="30"/>
      <w:szCs w:val="32"/>
    </w:rPr>
  </w:style>
  <w:style w:type="character" w:customStyle="1" w:styleId="172">
    <w:name w:val="font32"/>
    <w:basedOn w:val="60"/>
    <w:autoRedefine/>
    <w:qFormat/>
    <w:uiPriority w:val="0"/>
    <w:rPr>
      <w:rFonts w:hint="default" w:ascii="Times New Roman" w:hAnsi="Times New Roman" w:cs="Times New Roman"/>
      <w:b/>
      <w:color w:val="000000"/>
      <w:sz w:val="18"/>
      <w:szCs w:val="18"/>
      <w:u w:val="none"/>
      <w:vertAlign w:val="superscript"/>
    </w:rPr>
  </w:style>
  <w:style w:type="character" w:customStyle="1" w:styleId="173">
    <w:name w:val="正文3 Char"/>
    <w:basedOn w:val="60"/>
    <w:link w:val="174"/>
    <w:autoRedefine/>
    <w:qFormat/>
    <w:uiPriority w:val="0"/>
    <w:rPr>
      <w:rFonts w:eastAsia="楷体_GB2312" w:cs="宋体"/>
      <w:spacing w:val="2"/>
      <w:sz w:val="28"/>
      <w:lang w:val="en-US" w:eastAsia="zh-CN" w:bidi="ar-SA"/>
    </w:rPr>
  </w:style>
  <w:style w:type="paragraph" w:customStyle="1" w:styleId="174">
    <w:name w:val="正文3"/>
    <w:basedOn w:val="1"/>
    <w:link w:val="173"/>
    <w:autoRedefine/>
    <w:qFormat/>
    <w:uiPriority w:val="0"/>
    <w:pPr>
      <w:adjustRightInd w:val="0"/>
      <w:spacing w:line="288" w:lineRule="auto"/>
      <w:ind w:firstLine="568" w:firstLineChars="200"/>
      <w:textAlignment w:val="baseline"/>
    </w:pPr>
    <w:rPr>
      <w:rFonts w:eastAsia="楷体_GB2312" w:cs="宋体"/>
      <w:spacing w:val="2"/>
      <w:kern w:val="0"/>
      <w:sz w:val="28"/>
      <w:szCs w:val="20"/>
    </w:rPr>
  </w:style>
  <w:style w:type="character" w:customStyle="1" w:styleId="175">
    <w:name w:val="三级标题 Char Char Char"/>
    <w:basedOn w:val="60"/>
    <w:autoRedefine/>
    <w:qFormat/>
    <w:uiPriority w:val="0"/>
    <w:rPr>
      <w:rFonts w:eastAsia="宋体"/>
      <w:b/>
      <w:kern w:val="2"/>
      <w:sz w:val="24"/>
      <w:szCs w:val="21"/>
      <w:lang w:val="en-US" w:eastAsia="zh-CN" w:bidi="ar-SA"/>
    </w:rPr>
  </w:style>
  <w:style w:type="character" w:customStyle="1" w:styleId="176">
    <w:name w:val="样式 标题 2节标题 2 Char Char Char Char1标题 2 Char Char Char Char Cha... Char"/>
    <w:basedOn w:val="177"/>
    <w:link w:val="178"/>
    <w:autoRedefine/>
    <w:qFormat/>
    <w:uiPriority w:val="0"/>
    <w:rPr>
      <w:rFonts w:ascii="Arial" w:hAnsi="Arial" w:eastAsia="宋体"/>
      <w:kern w:val="2"/>
      <w:sz w:val="30"/>
      <w:szCs w:val="32"/>
      <w:lang w:val="en-US" w:eastAsia="zh-CN" w:bidi="ar-SA"/>
    </w:rPr>
  </w:style>
  <w:style w:type="character" w:customStyle="1" w:styleId="177">
    <w:name w:val="节 Char1"/>
    <w:basedOn w:val="60"/>
    <w:autoRedefine/>
    <w:qFormat/>
    <w:uiPriority w:val="0"/>
    <w:rPr>
      <w:rFonts w:ascii="Arial" w:hAnsi="Arial" w:eastAsia="宋体"/>
      <w:b/>
      <w:bCs/>
      <w:kern w:val="2"/>
      <w:sz w:val="32"/>
      <w:szCs w:val="32"/>
      <w:lang w:val="en-US" w:eastAsia="zh-CN" w:bidi="ar-SA"/>
    </w:rPr>
  </w:style>
  <w:style w:type="paragraph" w:customStyle="1" w:styleId="178">
    <w:name w:val="样式 标题 2节标题 2 Char Char Char Char1标题 2 Char Char Char Char Cha..."/>
    <w:basedOn w:val="3"/>
    <w:link w:val="176"/>
    <w:autoRedefine/>
    <w:qFormat/>
    <w:uiPriority w:val="0"/>
    <w:pPr>
      <w:snapToGrid/>
      <w:spacing w:before="120" w:after="120" w:line="240" w:lineRule="auto"/>
      <w:jc w:val="both"/>
    </w:pPr>
    <w:rPr>
      <w:rFonts w:ascii="Arial" w:hAnsi="Arial" w:eastAsia="宋体"/>
      <w:b w:val="0"/>
      <w:color w:val="auto"/>
      <w:sz w:val="30"/>
      <w:szCs w:val="32"/>
    </w:rPr>
  </w:style>
  <w:style w:type="character" w:customStyle="1" w:styleId="179">
    <w:name w:val="标题4 Char"/>
    <w:basedOn w:val="60"/>
    <w:link w:val="180"/>
    <w:autoRedefine/>
    <w:qFormat/>
    <w:uiPriority w:val="0"/>
    <w:rPr>
      <w:rFonts w:eastAsia="宋体"/>
      <w:b/>
      <w:sz w:val="24"/>
      <w:lang w:val="en-US" w:eastAsia="zh-CN" w:bidi="ar-SA"/>
    </w:rPr>
  </w:style>
  <w:style w:type="paragraph" w:customStyle="1" w:styleId="180">
    <w:name w:val="标题4"/>
    <w:basedOn w:val="1"/>
    <w:link w:val="179"/>
    <w:autoRedefine/>
    <w:qFormat/>
    <w:uiPriority w:val="0"/>
    <w:pPr>
      <w:adjustRightInd w:val="0"/>
      <w:spacing w:before="60" w:after="60" w:line="312" w:lineRule="auto"/>
      <w:jc w:val="left"/>
      <w:textAlignment w:val="baseline"/>
    </w:pPr>
    <w:rPr>
      <w:b/>
      <w:kern w:val="0"/>
      <w:sz w:val="24"/>
      <w:szCs w:val="20"/>
    </w:rPr>
  </w:style>
  <w:style w:type="character" w:customStyle="1" w:styleId="181">
    <w:name w:val="标题 1 Char Char Char"/>
    <w:basedOn w:val="60"/>
    <w:autoRedefine/>
    <w:qFormat/>
    <w:uiPriority w:val="0"/>
    <w:rPr>
      <w:rFonts w:eastAsia="黑体"/>
      <w:b/>
      <w:bCs/>
      <w:snapToGrid w:val="0"/>
      <w:sz w:val="24"/>
      <w:szCs w:val="44"/>
      <w:lang w:val="en-US" w:eastAsia="zh-CN" w:bidi="ar-SA"/>
    </w:rPr>
  </w:style>
  <w:style w:type="character" w:customStyle="1" w:styleId="182">
    <w:name w:val="样式 小三 行距: 最小值 25 磅 Char"/>
    <w:basedOn w:val="60"/>
    <w:link w:val="183"/>
    <w:autoRedefine/>
    <w:qFormat/>
    <w:uiPriority w:val="0"/>
    <w:rPr>
      <w:rFonts w:eastAsia="宋体" w:cs="宋体"/>
      <w:kern w:val="2"/>
      <w:sz w:val="28"/>
      <w:lang w:val="en-US" w:eastAsia="zh-CN" w:bidi="ar-SA"/>
    </w:rPr>
  </w:style>
  <w:style w:type="paragraph" w:customStyle="1" w:styleId="183">
    <w:name w:val="样式 小三 行距: 最小值 25 磅"/>
    <w:basedOn w:val="1"/>
    <w:link w:val="182"/>
    <w:autoRedefine/>
    <w:qFormat/>
    <w:uiPriority w:val="0"/>
    <w:pPr>
      <w:spacing w:line="500" w:lineRule="atLeast"/>
      <w:ind w:firstLine="200" w:firstLineChars="200"/>
    </w:pPr>
    <w:rPr>
      <w:rFonts w:cs="宋体"/>
      <w:sz w:val="28"/>
      <w:szCs w:val="20"/>
    </w:rPr>
  </w:style>
  <w:style w:type="character" w:customStyle="1" w:styleId="184">
    <w:name w:val="aa Char Char"/>
    <w:basedOn w:val="81"/>
    <w:autoRedefine/>
    <w:qFormat/>
    <w:uiPriority w:val="0"/>
    <w:rPr>
      <w:rFonts w:ascii="Arial" w:hAnsi="Arial" w:eastAsia="宋体"/>
      <w:kern w:val="2"/>
      <w:sz w:val="28"/>
      <w:szCs w:val="21"/>
      <w:lang w:val="en-US" w:eastAsia="zh-CN" w:bidi="ar-SA"/>
    </w:rPr>
  </w:style>
  <w:style w:type="character" w:customStyle="1" w:styleId="185">
    <w:name w:val="表头 Char2"/>
    <w:basedOn w:val="60"/>
    <w:link w:val="186"/>
    <w:autoRedefine/>
    <w:qFormat/>
    <w:uiPriority w:val="0"/>
    <w:rPr>
      <w:rFonts w:ascii="黑体" w:eastAsia="黑体"/>
      <w:sz w:val="24"/>
      <w:lang w:val="en-US" w:eastAsia="zh-CN" w:bidi="ar-SA"/>
    </w:rPr>
  </w:style>
  <w:style w:type="paragraph" w:customStyle="1" w:styleId="186">
    <w:name w:val="表头"/>
    <w:basedOn w:val="1"/>
    <w:next w:val="1"/>
    <w:link w:val="185"/>
    <w:autoRedefine/>
    <w:qFormat/>
    <w:uiPriority w:val="0"/>
    <w:pPr>
      <w:adjustRightInd w:val="0"/>
      <w:spacing w:line="288" w:lineRule="auto"/>
      <w:jc w:val="center"/>
      <w:textAlignment w:val="baseline"/>
    </w:pPr>
    <w:rPr>
      <w:rFonts w:ascii="黑体" w:eastAsia="黑体"/>
      <w:kern w:val="0"/>
      <w:sz w:val="24"/>
      <w:szCs w:val="20"/>
    </w:rPr>
  </w:style>
  <w:style w:type="character" w:customStyle="1" w:styleId="187">
    <w:name w:val="表格 Char Char"/>
    <w:basedOn w:val="60"/>
    <w:link w:val="188"/>
    <w:autoRedefine/>
    <w:qFormat/>
    <w:uiPriority w:val="0"/>
    <w:rPr>
      <w:rFonts w:ascii="宋体" w:hAnsi="宋体" w:eastAsia="宋体"/>
      <w:bCs/>
      <w:sz w:val="24"/>
      <w:szCs w:val="24"/>
      <w:lang w:val="en-US" w:eastAsia="zh-CN" w:bidi="ar-SA"/>
    </w:rPr>
  </w:style>
  <w:style w:type="paragraph" w:customStyle="1" w:styleId="188">
    <w:name w:val="表格 Char"/>
    <w:basedOn w:val="1"/>
    <w:link w:val="187"/>
    <w:autoRedefine/>
    <w:qFormat/>
    <w:uiPriority w:val="0"/>
    <w:pPr>
      <w:widowControl/>
      <w:snapToGrid w:val="0"/>
      <w:jc w:val="center"/>
      <w:textAlignment w:val="baseline"/>
    </w:pPr>
    <w:rPr>
      <w:rFonts w:ascii="宋体" w:hAnsi="宋体"/>
      <w:bCs/>
      <w:kern w:val="0"/>
      <w:sz w:val="24"/>
    </w:rPr>
  </w:style>
  <w:style w:type="character" w:customStyle="1" w:styleId="189">
    <w:name w:val="bt1"/>
    <w:basedOn w:val="60"/>
    <w:autoRedefine/>
    <w:qFormat/>
    <w:uiPriority w:val="0"/>
    <w:rPr>
      <w:color w:val="000000"/>
    </w:rPr>
  </w:style>
  <w:style w:type="character" w:customStyle="1" w:styleId="190">
    <w:name w:val="b1"/>
    <w:basedOn w:val="60"/>
    <w:autoRedefine/>
    <w:qFormat/>
    <w:uiPriority w:val="0"/>
  </w:style>
  <w:style w:type="character" w:customStyle="1" w:styleId="191">
    <w:name w:val="cc Char"/>
    <w:basedOn w:val="60"/>
    <w:link w:val="192"/>
    <w:autoRedefine/>
    <w:qFormat/>
    <w:uiPriority w:val="0"/>
    <w:rPr>
      <w:rFonts w:eastAsia="宋体"/>
      <w:b/>
      <w:bCs/>
      <w:sz w:val="28"/>
      <w:szCs w:val="28"/>
      <w:lang w:val="en-US" w:eastAsia="zh-CN" w:bidi="ar-SA"/>
    </w:rPr>
  </w:style>
  <w:style w:type="paragraph" w:customStyle="1" w:styleId="192">
    <w:name w:val="cc"/>
    <w:basedOn w:val="1"/>
    <w:link w:val="191"/>
    <w:autoRedefine/>
    <w:qFormat/>
    <w:uiPriority w:val="0"/>
    <w:pPr>
      <w:keepNext/>
      <w:widowControl/>
      <w:spacing w:line="360" w:lineRule="auto"/>
      <w:jc w:val="left"/>
      <w:outlineLvl w:val="2"/>
    </w:pPr>
    <w:rPr>
      <w:b/>
      <w:bCs/>
      <w:kern w:val="0"/>
      <w:sz w:val="28"/>
      <w:szCs w:val="28"/>
    </w:rPr>
  </w:style>
  <w:style w:type="character" w:customStyle="1" w:styleId="193">
    <w:name w:val="插图 Char"/>
    <w:basedOn w:val="60"/>
    <w:link w:val="194"/>
    <w:autoRedefine/>
    <w:qFormat/>
    <w:uiPriority w:val="0"/>
    <w:rPr>
      <w:rFonts w:eastAsia="宋体"/>
      <w:bCs/>
      <w:sz w:val="21"/>
      <w:szCs w:val="21"/>
      <w:lang w:val="en-US" w:eastAsia="zh-CN" w:bidi="ar-SA"/>
    </w:rPr>
  </w:style>
  <w:style w:type="paragraph" w:customStyle="1" w:styleId="194">
    <w:name w:val="插图"/>
    <w:basedOn w:val="1"/>
    <w:link w:val="193"/>
    <w:autoRedefine/>
    <w:qFormat/>
    <w:uiPriority w:val="0"/>
    <w:pPr>
      <w:widowControl/>
      <w:tabs>
        <w:tab w:val="left" w:pos="396"/>
      </w:tabs>
      <w:ind w:left="560"/>
      <w:jc w:val="center"/>
    </w:pPr>
    <w:rPr>
      <w:bCs/>
      <w:kern w:val="0"/>
      <w:szCs w:val="21"/>
    </w:rPr>
  </w:style>
  <w:style w:type="character" w:customStyle="1" w:styleId="195">
    <w:name w:val="段落 Char Char"/>
    <w:basedOn w:val="60"/>
    <w:link w:val="196"/>
    <w:autoRedefine/>
    <w:qFormat/>
    <w:uiPriority w:val="0"/>
    <w:rPr>
      <w:rFonts w:eastAsia="宋体"/>
      <w:kern w:val="2"/>
      <w:sz w:val="24"/>
      <w:szCs w:val="24"/>
      <w:lang w:val="en-US" w:eastAsia="zh-CN" w:bidi="ar-SA"/>
    </w:rPr>
  </w:style>
  <w:style w:type="paragraph" w:customStyle="1" w:styleId="196">
    <w:name w:val="段落 Char"/>
    <w:basedOn w:val="1"/>
    <w:link w:val="195"/>
    <w:autoRedefine/>
    <w:qFormat/>
    <w:uiPriority w:val="0"/>
    <w:pPr>
      <w:topLinePunct/>
      <w:snapToGrid w:val="0"/>
      <w:spacing w:line="360" w:lineRule="auto"/>
      <w:ind w:firstLine="200" w:firstLineChars="200"/>
    </w:pPr>
    <w:rPr>
      <w:sz w:val="24"/>
    </w:rPr>
  </w:style>
  <w:style w:type="character" w:customStyle="1" w:styleId="197">
    <w:name w:val="单学凯段落格式 Char"/>
    <w:basedOn w:val="60"/>
    <w:link w:val="198"/>
    <w:autoRedefine/>
    <w:qFormat/>
    <w:uiPriority w:val="0"/>
    <w:rPr>
      <w:rFonts w:eastAsia="仿宋_GB2312"/>
      <w:color w:val="000000"/>
      <w:sz w:val="28"/>
      <w:szCs w:val="28"/>
      <w:lang w:bidi="ar-SA"/>
    </w:rPr>
  </w:style>
  <w:style w:type="paragraph" w:customStyle="1" w:styleId="198">
    <w:name w:val="单学凯段落格式"/>
    <w:basedOn w:val="1"/>
    <w:link w:val="197"/>
    <w:autoRedefine/>
    <w:qFormat/>
    <w:uiPriority w:val="0"/>
    <w:pPr>
      <w:adjustRightInd w:val="0"/>
      <w:snapToGrid w:val="0"/>
      <w:spacing w:line="500" w:lineRule="exact"/>
      <w:ind w:firstLine="560" w:firstLineChars="200"/>
      <w:jc w:val="left"/>
    </w:pPr>
    <w:rPr>
      <w:rFonts w:eastAsia="仿宋_GB2312"/>
      <w:color w:val="000000"/>
      <w:kern w:val="0"/>
      <w:sz w:val="28"/>
      <w:szCs w:val="28"/>
    </w:rPr>
  </w:style>
  <w:style w:type="character" w:customStyle="1" w:styleId="199">
    <w:name w:val="ca-292"/>
    <w:basedOn w:val="60"/>
    <w:autoRedefine/>
    <w:qFormat/>
    <w:uiPriority w:val="0"/>
  </w:style>
  <w:style w:type="character" w:customStyle="1" w:styleId="200">
    <w:name w:val="正文zoe Char Char"/>
    <w:basedOn w:val="60"/>
    <w:link w:val="201"/>
    <w:autoRedefine/>
    <w:qFormat/>
    <w:uiPriority w:val="0"/>
    <w:rPr>
      <w:rFonts w:ascii="宋体" w:hAnsi="宋体" w:eastAsia="宋体" w:cs="宋体"/>
      <w:sz w:val="24"/>
      <w:lang w:val="en-US" w:eastAsia="zh-CN" w:bidi="ar-SA"/>
    </w:rPr>
  </w:style>
  <w:style w:type="paragraph" w:customStyle="1" w:styleId="201">
    <w:name w:val="正文zoe"/>
    <w:basedOn w:val="24"/>
    <w:link w:val="200"/>
    <w:autoRedefine/>
    <w:qFormat/>
    <w:uiPriority w:val="0"/>
    <w:pPr>
      <w:adjustRightInd w:val="0"/>
      <w:ind w:firstLine="480" w:firstLineChars="200"/>
      <w:textAlignment w:val="baseline"/>
    </w:pPr>
    <w:rPr>
      <w:rFonts w:ascii="宋体" w:hAnsi="宋体" w:cs="宋体"/>
      <w:kern w:val="0"/>
      <w:szCs w:val="20"/>
    </w:rPr>
  </w:style>
  <w:style w:type="character" w:customStyle="1" w:styleId="202">
    <w:name w:val="font251"/>
    <w:basedOn w:val="60"/>
    <w:autoRedefine/>
    <w:qFormat/>
    <w:uiPriority w:val="0"/>
    <w:rPr>
      <w:rFonts w:hint="default" w:ascii="Times New Roman" w:hAnsi="Times New Roman" w:cs="Times New Roman"/>
      <w:b/>
      <w:color w:val="000000"/>
      <w:sz w:val="20"/>
      <w:szCs w:val="20"/>
      <w:u w:val="none"/>
    </w:rPr>
  </w:style>
  <w:style w:type="character" w:customStyle="1" w:styleId="203">
    <w:name w:val="apple-converted-space"/>
    <w:basedOn w:val="60"/>
    <w:autoRedefine/>
    <w:qFormat/>
    <w:uiPriority w:val="0"/>
  </w:style>
  <w:style w:type="character" w:customStyle="1" w:styleId="204">
    <w:name w:val="表头 Char Char Char"/>
    <w:basedOn w:val="60"/>
    <w:link w:val="205"/>
    <w:autoRedefine/>
    <w:qFormat/>
    <w:uiPriority w:val="0"/>
    <w:rPr>
      <w:rFonts w:hAnsi="宋体"/>
      <w:b/>
      <w:kern w:val="4"/>
      <w:sz w:val="21"/>
      <w:szCs w:val="21"/>
    </w:rPr>
  </w:style>
  <w:style w:type="paragraph" w:customStyle="1" w:styleId="205">
    <w:name w:val="表头 Char Char"/>
    <w:basedOn w:val="1"/>
    <w:link w:val="204"/>
    <w:autoRedefine/>
    <w:qFormat/>
    <w:uiPriority w:val="0"/>
    <w:pPr>
      <w:adjustRightInd w:val="0"/>
      <w:spacing w:line="240" w:lineRule="atLeast"/>
      <w:jc w:val="center"/>
      <w:textAlignment w:val="baseline"/>
    </w:pPr>
    <w:rPr>
      <w:rFonts w:hAnsi="宋体"/>
      <w:b/>
      <w:kern w:val="4"/>
      <w:szCs w:val="21"/>
    </w:rPr>
  </w:style>
  <w:style w:type="character" w:customStyle="1" w:styleId="206">
    <w:name w:val="f14b1"/>
    <w:basedOn w:val="60"/>
    <w:autoRedefine/>
    <w:qFormat/>
    <w:uiPriority w:val="0"/>
    <w:rPr>
      <w:b/>
      <w:bCs/>
      <w:sz w:val="28"/>
      <w:szCs w:val="28"/>
    </w:rPr>
  </w:style>
  <w:style w:type="character" w:customStyle="1" w:styleId="207">
    <w:name w:val="标题 3 Char Char Char Char Char"/>
    <w:basedOn w:val="60"/>
    <w:autoRedefine/>
    <w:qFormat/>
    <w:uiPriority w:val="0"/>
    <w:rPr>
      <w:rFonts w:eastAsia="宋体"/>
      <w:b/>
      <w:bCs/>
      <w:kern w:val="2"/>
      <w:sz w:val="32"/>
      <w:szCs w:val="32"/>
      <w:lang w:val="en-US" w:eastAsia="zh-CN" w:bidi="ar-SA"/>
    </w:rPr>
  </w:style>
  <w:style w:type="character" w:customStyle="1" w:styleId="208">
    <w:name w:val="表格 Char Char Char"/>
    <w:basedOn w:val="60"/>
    <w:autoRedefine/>
    <w:qFormat/>
    <w:uiPriority w:val="0"/>
    <w:rPr>
      <w:rFonts w:ascii="宋体" w:hAnsi="宋体" w:eastAsia="宋体"/>
      <w:bCs/>
      <w:sz w:val="24"/>
      <w:szCs w:val="24"/>
      <w:lang w:val="en-US" w:eastAsia="zh-CN" w:bidi="ar-SA"/>
    </w:rPr>
  </w:style>
  <w:style w:type="character" w:customStyle="1" w:styleId="209">
    <w:name w:val="样式 标题 2节 + (符号) Times New Roman Char"/>
    <w:basedOn w:val="77"/>
    <w:autoRedefine/>
    <w:qFormat/>
    <w:uiPriority w:val="0"/>
    <w:rPr>
      <w:rFonts w:ascii="Arial" w:hAnsi="Arial" w:eastAsia="宋体"/>
      <w:bCs/>
      <w:color w:val="000000"/>
      <w:kern w:val="2"/>
      <w:sz w:val="30"/>
      <w:szCs w:val="32"/>
      <w:lang w:val="en-US" w:eastAsia="zh-CN" w:bidi="ar-SA"/>
    </w:rPr>
  </w:style>
  <w:style w:type="character" w:customStyle="1" w:styleId="210">
    <w:name w:val="zl正文 Char"/>
    <w:link w:val="211"/>
    <w:autoRedefine/>
    <w:qFormat/>
    <w:locked/>
    <w:uiPriority w:val="0"/>
    <w:rPr>
      <w:sz w:val="24"/>
      <w:szCs w:val="24"/>
      <w:lang w:bidi="ar-SA"/>
    </w:rPr>
  </w:style>
  <w:style w:type="paragraph" w:customStyle="1" w:styleId="211">
    <w:name w:val="zl正文"/>
    <w:basedOn w:val="1"/>
    <w:link w:val="210"/>
    <w:autoRedefine/>
    <w:qFormat/>
    <w:uiPriority w:val="0"/>
    <w:pPr>
      <w:spacing w:line="360" w:lineRule="auto"/>
      <w:ind w:firstLine="480" w:firstLineChars="200"/>
    </w:pPr>
    <w:rPr>
      <w:kern w:val="0"/>
      <w:sz w:val="24"/>
    </w:rPr>
  </w:style>
  <w:style w:type="character" w:customStyle="1" w:styleId="212">
    <w:name w:val="Char Char21"/>
    <w:autoRedefine/>
    <w:qFormat/>
    <w:locked/>
    <w:uiPriority w:val="0"/>
    <w:rPr>
      <w:rFonts w:eastAsia="黑体"/>
      <w:b/>
      <w:color w:val="000000"/>
      <w:kern w:val="2"/>
      <w:sz w:val="28"/>
      <w:szCs w:val="24"/>
      <w:lang w:val="en-US" w:eastAsia="zh-CN" w:bidi="ar-SA"/>
    </w:rPr>
  </w:style>
  <w:style w:type="character" w:customStyle="1" w:styleId="213">
    <w:name w:val="正文A Char Char Char"/>
    <w:basedOn w:val="134"/>
    <w:link w:val="214"/>
    <w:autoRedefine/>
    <w:qFormat/>
    <w:uiPriority w:val="0"/>
    <w:rPr>
      <w:rFonts w:eastAsia="宋体"/>
      <w:kern w:val="2"/>
      <w:sz w:val="24"/>
      <w:szCs w:val="21"/>
      <w:lang w:val="en-US" w:eastAsia="zh-CN" w:bidi="ar-SA"/>
    </w:rPr>
  </w:style>
  <w:style w:type="paragraph" w:customStyle="1" w:styleId="214">
    <w:name w:val="正文A Char Char"/>
    <w:basedOn w:val="135"/>
    <w:link w:val="213"/>
    <w:autoRedefine/>
    <w:qFormat/>
    <w:uiPriority w:val="0"/>
    <w:pPr>
      <w:spacing w:line="360" w:lineRule="auto"/>
    </w:pPr>
  </w:style>
  <w:style w:type="character" w:customStyle="1" w:styleId="215">
    <w:name w:val="文本 Char"/>
    <w:basedOn w:val="60"/>
    <w:link w:val="216"/>
    <w:autoRedefine/>
    <w:qFormat/>
    <w:locked/>
    <w:uiPriority w:val="0"/>
    <w:rPr>
      <w:rFonts w:ascii="宋体" w:hAnsi="宋体" w:eastAsia="宋体"/>
      <w:kern w:val="2"/>
      <w:sz w:val="28"/>
      <w:szCs w:val="28"/>
      <w:lang w:val="en-US" w:eastAsia="zh-CN" w:bidi="ar-SA"/>
    </w:rPr>
  </w:style>
  <w:style w:type="paragraph" w:customStyle="1" w:styleId="216">
    <w:name w:val="文本"/>
    <w:basedOn w:val="1"/>
    <w:next w:val="1"/>
    <w:link w:val="215"/>
    <w:autoRedefine/>
    <w:qFormat/>
    <w:uiPriority w:val="0"/>
    <w:pPr>
      <w:adjustRightInd w:val="0"/>
      <w:snapToGrid w:val="0"/>
      <w:spacing w:line="360" w:lineRule="auto"/>
      <w:ind w:firstLine="560" w:firstLineChars="200"/>
    </w:pPr>
    <w:rPr>
      <w:rFonts w:ascii="宋体" w:hAnsi="宋体"/>
      <w:sz w:val="28"/>
      <w:szCs w:val="28"/>
    </w:rPr>
  </w:style>
  <w:style w:type="character" w:customStyle="1" w:styleId="217">
    <w:name w:val="单学凯小节标题 Char"/>
    <w:basedOn w:val="60"/>
    <w:link w:val="218"/>
    <w:autoRedefine/>
    <w:qFormat/>
    <w:uiPriority w:val="0"/>
    <w:rPr>
      <w:rFonts w:eastAsia="仿宋_GB2312"/>
      <w:b/>
      <w:bCs/>
      <w:color w:val="000000"/>
      <w:sz w:val="28"/>
      <w:szCs w:val="24"/>
      <w:lang w:bidi="ar-SA"/>
    </w:rPr>
  </w:style>
  <w:style w:type="paragraph" w:customStyle="1" w:styleId="218">
    <w:name w:val="单学凯小节标题"/>
    <w:basedOn w:val="1"/>
    <w:link w:val="217"/>
    <w:autoRedefine/>
    <w:qFormat/>
    <w:uiPriority w:val="0"/>
    <w:pPr>
      <w:widowControl/>
      <w:tabs>
        <w:tab w:val="left" w:pos="5094"/>
      </w:tabs>
      <w:adjustRightInd w:val="0"/>
      <w:snapToGrid w:val="0"/>
      <w:spacing w:before="120"/>
      <w:textAlignment w:val="baseline"/>
    </w:pPr>
    <w:rPr>
      <w:rFonts w:eastAsia="仿宋_GB2312"/>
      <w:b/>
      <w:bCs/>
      <w:color w:val="000000"/>
      <w:kern w:val="0"/>
      <w:sz w:val="28"/>
    </w:rPr>
  </w:style>
  <w:style w:type="character" w:customStyle="1" w:styleId="219">
    <w:name w:val="font201"/>
    <w:basedOn w:val="60"/>
    <w:autoRedefine/>
    <w:qFormat/>
    <w:uiPriority w:val="0"/>
    <w:rPr>
      <w:rFonts w:hint="eastAsia" w:ascii="宋体" w:hAnsi="宋体" w:eastAsia="宋体" w:cs="宋体"/>
      <w:color w:val="000000"/>
      <w:sz w:val="22"/>
      <w:szCs w:val="22"/>
      <w:u w:val="none"/>
    </w:rPr>
  </w:style>
  <w:style w:type="character" w:customStyle="1" w:styleId="220">
    <w:name w:val="style441"/>
    <w:basedOn w:val="60"/>
    <w:autoRedefine/>
    <w:qFormat/>
    <w:uiPriority w:val="0"/>
    <w:rPr>
      <w:color w:val="034EA2"/>
    </w:rPr>
  </w:style>
  <w:style w:type="character" w:customStyle="1" w:styleId="221">
    <w:name w:val="Char Char Char Char1"/>
    <w:basedOn w:val="60"/>
    <w:autoRedefine/>
    <w:qFormat/>
    <w:uiPriority w:val="0"/>
    <w:rPr>
      <w:rFonts w:eastAsia="宋体"/>
      <w:kern w:val="2"/>
      <w:sz w:val="24"/>
      <w:szCs w:val="21"/>
      <w:lang w:val="en-US" w:eastAsia="zh-CN" w:bidi="ar-SA"/>
    </w:rPr>
  </w:style>
  <w:style w:type="character" w:customStyle="1" w:styleId="222">
    <w:name w:val="font51"/>
    <w:basedOn w:val="60"/>
    <w:autoRedefine/>
    <w:qFormat/>
    <w:uiPriority w:val="0"/>
    <w:rPr>
      <w:rFonts w:hint="default" w:ascii="Times New Roman" w:hAnsi="Times New Roman" w:cs="Times New Roman"/>
      <w:color w:val="000000"/>
      <w:sz w:val="18"/>
      <w:szCs w:val="18"/>
      <w:u w:val="none"/>
    </w:rPr>
  </w:style>
  <w:style w:type="character" w:customStyle="1" w:styleId="223">
    <w:name w:val="环正文 Char1"/>
    <w:basedOn w:val="60"/>
    <w:link w:val="224"/>
    <w:autoRedefine/>
    <w:qFormat/>
    <w:uiPriority w:val="0"/>
    <w:rPr>
      <w:rFonts w:eastAsia="仿宋_GB2312"/>
      <w:color w:val="000000"/>
      <w:sz w:val="28"/>
      <w:szCs w:val="28"/>
      <w:lang w:val="en-US" w:eastAsia="zh-CN" w:bidi="ar-SA"/>
    </w:rPr>
  </w:style>
  <w:style w:type="paragraph" w:customStyle="1" w:styleId="224">
    <w:name w:val="环正文"/>
    <w:basedOn w:val="1"/>
    <w:link w:val="223"/>
    <w:autoRedefine/>
    <w:qFormat/>
    <w:uiPriority w:val="0"/>
    <w:pPr>
      <w:widowControl/>
      <w:suppressAutoHyphens/>
      <w:adjustRightInd w:val="0"/>
      <w:spacing w:line="500" w:lineRule="exact"/>
      <w:ind w:firstLine="555"/>
      <w:textAlignment w:val="baseline"/>
    </w:pPr>
    <w:rPr>
      <w:rFonts w:eastAsia="仿宋_GB2312"/>
      <w:color w:val="000000"/>
      <w:kern w:val="0"/>
      <w:sz w:val="28"/>
      <w:szCs w:val="28"/>
    </w:rPr>
  </w:style>
  <w:style w:type="character" w:customStyle="1" w:styleId="225">
    <w:name w:val="Char Char9"/>
    <w:basedOn w:val="60"/>
    <w:autoRedefine/>
    <w:qFormat/>
    <w:uiPriority w:val="0"/>
    <w:rPr>
      <w:rFonts w:eastAsia="宋体"/>
      <w:b/>
      <w:bCs/>
      <w:kern w:val="2"/>
      <w:sz w:val="24"/>
      <w:szCs w:val="32"/>
      <w:lang w:val="en-US" w:eastAsia="zh-CN" w:bidi="ar-SA"/>
    </w:rPr>
  </w:style>
  <w:style w:type="character" w:customStyle="1" w:styleId="226">
    <w:name w:val="font291"/>
    <w:basedOn w:val="60"/>
    <w:autoRedefine/>
    <w:qFormat/>
    <w:uiPriority w:val="0"/>
    <w:rPr>
      <w:rFonts w:hint="eastAsia" w:ascii="宋体" w:hAnsi="宋体" w:eastAsia="宋体" w:cs="宋体"/>
      <w:color w:val="000000"/>
      <w:sz w:val="18"/>
      <w:szCs w:val="18"/>
      <w:u w:val="none"/>
    </w:rPr>
  </w:style>
  <w:style w:type="character" w:customStyle="1" w:styleId="227">
    <w:name w:val="font81"/>
    <w:basedOn w:val="60"/>
    <w:autoRedefine/>
    <w:qFormat/>
    <w:uiPriority w:val="0"/>
    <w:rPr>
      <w:rFonts w:hint="default" w:ascii="Times New Roman" w:hAnsi="Times New Roman" w:cs="Times New Roman"/>
      <w:b/>
      <w:color w:val="000000"/>
      <w:sz w:val="18"/>
      <w:szCs w:val="18"/>
      <w:u w:val="none"/>
    </w:rPr>
  </w:style>
  <w:style w:type="character" w:customStyle="1" w:styleId="228">
    <w:name w:val="14p1"/>
    <w:basedOn w:val="60"/>
    <w:autoRedefine/>
    <w:qFormat/>
    <w:uiPriority w:val="0"/>
    <w:rPr>
      <w:sz w:val="21"/>
      <w:szCs w:val="21"/>
    </w:rPr>
  </w:style>
  <w:style w:type="character" w:customStyle="1" w:styleId="229">
    <w:name w:val="font101"/>
    <w:basedOn w:val="60"/>
    <w:autoRedefine/>
    <w:qFormat/>
    <w:uiPriority w:val="0"/>
    <w:rPr>
      <w:rFonts w:hint="default" w:ascii="Times New Roman" w:hAnsi="Times New Roman" w:cs="Times New Roman"/>
      <w:color w:val="000000"/>
      <w:sz w:val="20"/>
      <w:szCs w:val="20"/>
      <w:u w:val="none"/>
    </w:rPr>
  </w:style>
  <w:style w:type="character" w:customStyle="1" w:styleId="230">
    <w:name w:val="t_tag"/>
    <w:basedOn w:val="60"/>
    <w:autoRedefine/>
    <w:qFormat/>
    <w:uiPriority w:val="0"/>
  </w:style>
  <w:style w:type="character" w:customStyle="1" w:styleId="231">
    <w:name w:val="font21"/>
    <w:basedOn w:val="60"/>
    <w:autoRedefine/>
    <w:qFormat/>
    <w:uiPriority w:val="0"/>
    <w:rPr>
      <w:rFonts w:hint="eastAsia" w:ascii="宋体" w:hAnsi="宋体" w:eastAsia="宋体" w:cs="宋体"/>
      <w:color w:val="000000"/>
      <w:sz w:val="20"/>
      <w:szCs w:val="20"/>
      <w:u w:val="none"/>
    </w:rPr>
  </w:style>
  <w:style w:type="character" w:customStyle="1" w:styleId="232">
    <w:name w:val="环表头 Char1"/>
    <w:basedOn w:val="60"/>
    <w:link w:val="233"/>
    <w:autoRedefine/>
    <w:qFormat/>
    <w:uiPriority w:val="0"/>
    <w:rPr>
      <w:rFonts w:eastAsia="仿宋_GB2312"/>
      <w:b/>
      <w:color w:val="000000"/>
      <w:sz w:val="28"/>
      <w:szCs w:val="28"/>
      <w:lang w:bidi="ar-SA"/>
    </w:rPr>
  </w:style>
  <w:style w:type="paragraph" w:customStyle="1" w:styleId="233">
    <w:name w:val="环表头"/>
    <w:basedOn w:val="1"/>
    <w:link w:val="232"/>
    <w:autoRedefine/>
    <w:qFormat/>
    <w:uiPriority w:val="0"/>
    <w:pPr>
      <w:widowControl/>
      <w:suppressAutoHyphens/>
      <w:adjustRightInd w:val="0"/>
      <w:spacing w:before="156" w:beforeLines="50" w:line="500" w:lineRule="exact"/>
      <w:jc w:val="center"/>
      <w:textAlignment w:val="baseline"/>
    </w:pPr>
    <w:rPr>
      <w:rFonts w:eastAsia="仿宋_GB2312"/>
      <w:b/>
      <w:color w:val="000000"/>
      <w:kern w:val="0"/>
      <w:sz w:val="28"/>
      <w:szCs w:val="28"/>
    </w:rPr>
  </w:style>
  <w:style w:type="character" w:customStyle="1" w:styleId="234">
    <w:name w:val="正文（首行缩进两字） Char4"/>
    <w:autoRedefine/>
    <w:qFormat/>
    <w:uiPriority w:val="0"/>
    <w:rPr>
      <w:rFonts w:eastAsia="宋体"/>
      <w:sz w:val="24"/>
      <w:lang w:val="en-US" w:eastAsia="zh-CN"/>
    </w:rPr>
  </w:style>
  <w:style w:type="character" w:customStyle="1" w:styleId="235">
    <w:name w:val="eee"/>
    <w:basedOn w:val="60"/>
    <w:autoRedefine/>
    <w:qFormat/>
    <w:uiPriority w:val="0"/>
  </w:style>
  <w:style w:type="character" w:customStyle="1" w:styleId="236">
    <w:name w:val="font91"/>
    <w:basedOn w:val="60"/>
    <w:autoRedefine/>
    <w:qFormat/>
    <w:uiPriority w:val="0"/>
    <w:rPr>
      <w:rFonts w:hint="default" w:ascii="Times New Roman" w:hAnsi="Times New Roman" w:cs="Times New Roman"/>
      <w:color w:val="000000"/>
      <w:sz w:val="20"/>
      <w:szCs w:val="20"/>
      <w:u w:val="none"/>
    </w:rPr>
  </w:style>
  <w:style w:type="character" w:customStyle="1" w:styleId="237">
    <w:name w:val="正文缩进 Char"/>
    <w:autoRedefine/>
    <w:qFormat/>
    <w:locked/>
    <w:uiPriority w:val="0"/>
    <w:rPr>
      <w:kern w:val="2"/>
      <w:sz w:val="28"/>
      <w:lang w:bidi="ar-SA"/>
    </w:rPr>
  </w:style>
  <w:style w:type="character" w:customStyle="1" w:styleId="238">
    <w:name w:val="正文01 Char"/>
    <w:basedOn w:val="60"/>
    <w:link w:val="239"/>
    <w:autoRedefine/>
    <w:qFormat/>
    <w:uiPriority w:val="0"/>
    <w:rPr>
      <w:rFonts w:eastAsia="宋体" w:cs="宋体"/>
      <w:sz w:val="28"/>
      <w:lang w:val="en-US" w:eastAsia="zh-CN" w:bidi="ar-SA"/>
    </w:rPr>
  </w:style>
  <w:style w:type="paragraph" w:customStyle="1" w:styleId="239">
    <w:name w:val="正文01"/>
    <w:basedOn w:val="1"/>
    <w:link w:val="238"/>
    <w:autoRedefine/>
    <w:qFormat/>
    <w:uiPriority w:val="0"/>
    <w:pPr>
      <w:adjustRightInd w:val="0"/>
      <w:spacing w:line="288" w:lineRule="auto"/>
      <w:ind w:firstLine="560" w:firstLineChars="200"/>
      <w:jc w:val="left"/>
      <w:textAlignment w:val="baseline"/>
    </w:pPr>
    <w:rPr>
      <w:rFonts w:cs="宋体"/>
      <w:kern w:val="0"/>
      <w:sz w:val="28"/>
      <w:szCs w:val="20"/>
    </w:rPr>
  </w:style>
  <w:style w:type="character" w:customStyle="1" w:styleId="240">
    <w:name w:val="google-src-text1"/>
    <w:basedOn w:val="60"/>
    <w:autoRedefine/>
    <w:qFormat/>
    <w:uiPriority w:val="0"/>
    <w:rPr>
      <w:vanish/>
    </w:rPr>
  </w:style>
  <w:style w:type="character" w:customStyle="1" w:styleId="241">
    <w:name w:val="图表 Char Char Char Char"/>
    <w:basedOn w:val="60"/>
    <w:link w:val="242"/>
    <w:autoRedefine/>
    <w:qFormat/>
    <w:uiPriority w:val="0"/>
    <w:rPr>
      <w:rFonts w:eastAsia="宋体"/>
      <w:b/>
      <w:kern w:val="2"/>
      <w:sz w:val="24"/>
      <w:szCs w:val="24"/>
      <w:lang w:val="en-US" w:eastAsia="zh-CN" w:bidi="ar-SA"/>
    </w:rPr>
  </w:style>
  <w:style w:type="paragraph" w:customStyle="1" w:styleId="242">
    <w:name w:val="图表 Char Char Char"/>
    <w:basedOn w:val="40"/>
    <w:link w:val="241"/>
    <w:autoRedefine/>
    <w:qFormat/>
    <w:uiPriority w:val="0"/>
    <w:pPr>
      <w:spacing w:before="120" w:line="360" w:lineRule="auto"/>
      <w:ind w:left="0" w:firstLine="723" w:firstLineChars="300"/>
      <w:jc w:val="center"/>
    </w:pPr>
    <w:rPr>
      <w:b/>
      <w:sz w:val="24"/>
    </w:rPr>
  </w:style>
  <w:style w:type="character" w:customStyle="1" w:styleId="243">
    <w:name w:val="Char Char10"/>
    <w:basedOn w:val="60"/>
    <w:autoRedefine/>
    <w:qFormat/>
    <w:uiPriority w:val="0"/>
    <w:rPr>
      <w:rFonts w:eastAsia="宋体"/>
      <w:b/>
      <w:bCs/>
      <w:kern w:val="2"/>
      <w:sz w:val="24"/>
      <w:szCs w:val="32"/>
      <w:lang w:val="en-US" w:eastAsia="zh-CN" w:bidi="ar-SA"/>
    </w:rPr>
  </w:style>
  <w:style w:type="character" w:customStyle="1" w:styleId="244">
    <w:name w:val="font141"/>
    <w:basedOn w:val="60"/>
    <w:autoRedefine/>
    <w:qFormat/>
    <w:uiPriority w:val="0"/>
    <w:rPr>
      <w:rFonts w:hint="eastAsia" w:ascii="黑体" w:hAnsi="宋体" w:eastAsia="黑体" w:cs="黑体"/>
      <w:b/>
      <w:color w:val="000000"/>
      <w:sz w:val="20"/>
      <w:szCs w:val="20"/>
      <w:u w:val="none"/>
    </w:rPr>
  </w:style>
  <w:style w:type="character" w:customStyle="1" w:styleId="245">
    <w:name w:val="样式 首行缩进:  0.94 厘米 行距: 最小值 25 磅 Char"/>
    <w:basedOn w:val="60"/>
    <w:link w:val="246"/>
    <w:autoRedefine/>
    <w:qFormat/>
    <w:uiPriority w:val="0"/>
    <w:rPr>
      <w:rFonts w:eastAsia="宋体" w:cs="宋体"/>
      <w:sz w:val="28"/>
      <w:szCs w:val="28"/>
      <w:lang w:val="en-US" w:eastAsia="zh-CN" w:bidi="ar-SA"/>
    </w:rPr>
  </w:style>
  <w:style w:type="paragraph" w:customStyle="1" w:styleId="246">
    <w:name w:val="样式 首行缩进:  0.94 厘米 行距: 最小值 25 磅"/>
    <w:basedOn w:val="1"/>
    <w:link w:val="245"/>
    <w:autoRedefine/>
    <w:qFormat/>
    <w:uiPriority w:val="0"/>
    <w:pPr>
      <w:adjustRightInd w:val="0"/>
      <w:spacing w:line="500" w:lineRule="atLeast"/>
      <w:ind w:firstLine="561"/>
    </w:pPr>
    <w:rPr>
      <w:rFonts w:cs="宋体"/>
      <w:kern w:val="0"/>
      <w:sz w:val="28"/>
      <w:szCs w:val="28"/>
    </w:rPr>
  </w:style>
  <w:style w:type="character" w:customStyle="1" w:styleId="247">
    <w:name w:val="样式 标题 3 + 宋体 四号 Char Char"/>
    <w:basedOn w:val="60"/>
    <w:link w:val="248"/>
    <w:autoRedefine/>
    <w:qFormat/>
    <w:uiPriority w:val="0"/>
    <w:rPr>
      <w:rFonts w:ascii="宋体" w:hAnsi="宋体" w:eastAsia="宋体"/>
      <w:b/>
      <w:bCs/>
      <w:kern w:val="2"/>
      <w:sz w:val="28"/>
      <w:szCs w:val="28"/>
      <w:lang w:val="en-US" w:eastAsia="zh-CN" w:bidi="ar-SA"/>
    </w:rPr>
  </w:style>
  <w:style w:type="paragraph" w:customStyle="1" w:styleId="248">
    <w:name w:val="样式 标题 3 + 宋体 四号 Char"/>
    <w:basedOn w:val="4"/>
    <w:link w:val="247"/>
    <w:autoRedefine/>
    <w:qFormat/>
    <w:uiPriority w:val="0"/>
    <w:pPr>
      <w:autoSpaceDE/>
      <w:autoSpaceDN/>
      <w:adjustRightInd/>
      <w:spacing w:before="80" w:beforeLines="80" w:after="40" w:afterLines="40"/>
      <w:ind w:left="200" w:leftChars="200"/>
    </w:pPr>
    <w:rPr>
      <w:rFonts w:eastAsia="宋体"/>
      <w:bCs/>
      <w:color w:val="auto"/>
      <w:sz w:val="28"/>
      <w:szCs w:val="28"/>
    </w:rPr>
  </w:style>
  <w:style w:type="character" w:customStyle="1" w:styleId="249">
    <w:name w:val="段 Char"/>
    <w:basedOn w:val="60"/>
    <w:link w:val="250"/>
    <w:autoRedefine/>
    <w:qFormat/>
    <w:uiPriority w:val="0"/>
    <w:rPr>
      <w:rFonts w:ascii="宋体"/>
      <w:sz w:val="21"/>
      <w:lang w:val="en-US" w:eastAsia="zh-CN" w:bidi="ar-SA"/>
    </w:rPr>
  </w:style>
  <w:style w:type="paragraph" w:customStyle="1" w:styleId="250">
    <w:name w:val="段"/>
    <w:link w:val="249"/>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251">
    <w:name w:val="标题 2 Char Char Char"/>
    <w:basedOn w:val="60"/>
    <w:autoRedefine/>
    <w:qFormat/>
    <w:uiPriority w:val="0"/>
    <w:rPr>
      <w:rFonts w:eastAsia="黑体"/>
      <w:b/>
      <w:bCs/>
      <w:snapToGrid w:val="0"/>
      <w:color w:val="000000"/>
      <w:sz w:val="24"/>
      <w:szCs w:val="32"/>
      <w:lang w:val="en-US" w:eastAsia="zh-CN" w:bidi="ar-SA"/>
    </w:rPr>
  </w:style>
  <w:style w:type="character" w:customStyle="1" w:styleId="252">
    <w:name w:val="CC Char"/>
    <w:basedOn w:val="60"/>
    <w:link w:val="253"/>
    <w:autoRedefine/>
    <w:qFormat/>
    <w:uiPriority w:val="0"/>
    <w:rPr>
      <w:rFonts w:hAnsi="宋体" w:eastAsia="宋体" w:cs="宋体"/>
      <w:b/>
      <w:bCs/>
      <w:kern w:val="2"/>
      <w:sz w:val="32"/>
      <w:lang w:val="en-US" w:eastAsia="zh-CN" w:bidi="ar-SA"/>
    </w:rPr>
  </w:style>
  <w:style w:type="paragraph" w:customStyle="1" w:styleId="253">
    <w:name w:val="CC"/>
    <w:basedOn w:val="1"/>
    <w:link w:val="252"/>
    <w:autoRedefine/>
    <w:qFormat/>
    <w:uiPriority w:val="0"/>
    <w:pPr>
      <w:spacing w:line="360" w:lineRule="auto"/>
    </w:pPr>
    <w:rPr>
      <w:rFonts w:hAnsi="宋体" w:cs="宋体"/>
      <w:b/>
      <w:bCs/>
      <w:sz w:val="32"/>
      <w:szCs w:val="20"/>
    </w:rPr>
  </w:style>
  <w:style w:type="character" w:customStyle="1" w:styleId="254">
    <w:name w:val="报告 Char"/>
    <w:basedOn w:val="60"/>
    <w:link w:val="255"/>
    <w:autoRedefine/>
    <w:qFormat/>
    <w:uiPriority w:val="0"/>
    <w:rPr>
      <w:rFonts w:eastAsia="宋体"/>
      <w:sz w:val="28"/>
      <w:szCs w:val="24"/>
      <w:lang w:val="en-US" w:eastAsia="zh-CN" w:bidi="ar-SA"/>
    </w:rPr>
  </w:style>
  <w:style w:type="paragraph" w:customStyle="1" w:styleId="255">
    <w:name w:val="报告"/>
    <w:basedOn w:val="24"/>
    <w:link w:val="254"/>
    <w:autoRedefine/>
    <w:qFormat/>
    <w:uiPriority w:val="0"/>
    <w:pPr>
      <w:spacing w:line="520" w:lineRule="atLeast"/>
      <w:ind w:firstLine="560" w:firstLineChars="200"/>
      <w:outlineLvl w:val="3"/>
    </w:pPr>
    <w:rPr>
      <w:kern w:val="0"/>
      <w:sz w:val="28"/>
    </w:rPr>
  </w:style>
  <w:style w:type="character" w:customStyle="1" w:styleId="256">
    <w:name w:val="表头 Char Char Char Char"/>
    <w:basedOn w:val="60"/>
    <w:autoRedefine/>
    <w:qFormat/>
    <w:uiPriority w:val="0"/>
    <w:rPr>
      <w:rFonts w:ascii="宋体" w:hAnsi="宋体" w:eastAsia="宋体"/>
      <w:kern w:val="4"/>
      <w:sz w:val="24"/>
      <w:szCs w:val="24"/>
      <w:lang w:val="en-US" w:eastAsia="zh-CN" w:bidi="ar-SA"/>
    </w:rPr>
  </w:style>
  <w:style w:type="character" w:customStyle="1" w:styleId="257">
    <w:name w:val="font241"/>
    <w:basedOn w:val="60"/>
    <w:autoRedefine/>
    <w:qFormat/>
    <w:uiPriority w:val="0"/>
    <w:rPr>
      <w:rFonts w:hint="default" w:ascii="Times New Roman" w:hAnsi="Times New Roman" w:cs="Times New Roman"/>
      <w:b/>
      <w:color w:val="000000"/>
      <w:sz w:val="18"/>
      <w:szCs w:val="18"/>
      <w:u w:val="none"/>
    </w:rPr>
  </w:style>
  <w:style w:type="character" w:customStyle="1" w:styleId="258">
    <w:name w:val="font171"/>
    <w:basedOn w:val="60"/>
    <w:autoRedefine/>
    <w:qFormat/>
    <w:uiPriority w:val="0"/>
    <w:rPr>
      <w:rFonts w:hint="eastAsia" w:ascii="宋体" w:hAnsi="宋体" w:eastAsia="宋体" w:cs="宋体"/>
      <w:b/>
      <w:color w:val="000000"/>
      <w:sz w:val="18"/>
      <w:szCs w:val="18"/>
      <w:u w:val="none"/>
    </w:rPr>
  </w:style>
  <w:style w:type="character" w:customStyle="1" w:styleId="259">
    <w:name w:val="表格（纵向） Char Char"/>
    <w:basedOn w:val="60"/>
    <w:link w:val="260"/>
    <w:autoRedefine/>
    <w:qFormat/>
    <w:uiPriority w:val="0"/>
    <w:rPr>
      <w:rFonts w:ascii="宋体" w:hAnsi="宋体" w:eastAsia="宋体"/>
      <w:sz w:val="16"/>
      <w:lang w:val="en-US" w:eastAsia="zh-CN" w:bidi="ar-SA"/>
    </w:rPr>
  </w:style>
  <w:style w:type="paragraph" w:customStyle="1" w:styleId="260">
    <w:name w:val="表格（纵向） Char"/>
    <w:basedOn w:val="1"/>
    <w:link w:val="259"/>
    <w:autoRedefine/>
    <w:qFormat/>
    <w:uiPriority w:val="0"/>
    <w:pPr>
      <w:adjustRightInd w:val="0"/>
      <w:spacing w:before="160" w:line="240" w:lineRule="atLeast"/>
      <w:ind w:firstLine="482"/>
      <w:jc w:val="center"/>
      <w:textAlignment w:val="baseline"/>
    </w:pPr>
    <w:rPr>
      <w:rFonts w:ascii="宋体" w:hAnsi="宋体"/>
      <w:kern w:val="0"/>
      <w:sz w:val="16"/>
      <w:szCs w:val="20"/>
    </w:rPr>
  </w:style>
  <w:style w:type="character" w:customStyle="1" w:styleId="261">
    <w:name w:val="Char Char18"/>
    <w:basedOn w:val="60"/>
    <w:autoRedefine/>
    <w:qFormat/>
    <w:uiPriority w:val="0"/>
    <w:rPr>
      <w:kern w:val="2"/>
      <w:sz w:val="18"/>
      <w:szCs w:val="18"/>
      <w:lang w:bidi="ar-SA"/>
    </w:rPr>
  </w:style>
  <w:style w:type="character" w:customStyle="1" w:styleId="262">
    <w:name w:val="x正文 Char"/>
    <w:basedOn w:val="60"/>
    <w:autoRedefine/>
    <w:qFormat/>
    <w:uiPriority w:val="0"/>
    <w:rPr>
      <w:rFonts w:eastAsia="宋体"/>
      <w:kern w:val="2"/>
      <w:sz w:val="24"/>
      <w:szCs w:val="21"/>
      <w:lang w:val="en-US" w:eastAsia="zh-CN" w:bidi="ar-SA"/>
    </w:rPr>
  </w:style>
  <w:style w:type="character" w:customStyle="1" w:styleId="263">
    <w:name w:val="样式 样式 样式 首行缩进:  0.85 厘米 行距: 1.5 倍行距 + 黑色1 Char Char Char Char Ch...1 Char"/>
    <w:basedOn w:val="60"/>
    <w:link w:val="264"/>
    <w:autoRedefine/>
    <w:qFormat/>
    <w:uiPriority w:val="0"/>
    <w:rPr>
      <w:rFonts w:eastAsia="宋体" w:cs="宋体"/>
      <w:color w:val="000000"/>
      <w:kern w:val="2"/>
      <w:sz w:val="28"/>
      <w:szCs w:val="28"/>
      <w:lang w:val="en-US" w:eastAsia="zh-CN" w:bidi="ar-SA"/>
    </w:rPr>
  </w:style>
  <w:style w:type="paragraph" w:customStyle="1" w:styleId="264">
    <w:name w:val="样式 样式 样式 首行缩进:  0.85 厘米 行距: 1.5 倍行距 + 黑色1 Char Char Char Char Ch...1"/>
    <w:basedOn w:val="1"/>
    <w:link w:val="263"/>
    <w:autoRedefine/>
    <w:qFormat/>
    <w:uiPriority w:val="0"/>
    <w:pPr>
      <w:spacing w:line="500" w:lineRule="atLeast"/>
      <w:ind w:firstLine="561"/>
    </w:pPr>
    <w:rPr>
      <w:rFonts w:cs="宋体"/>
      <w:color w:val="000000"/>
      <w:sz w:val="28"/>
      <w:szCs w:val="28"/>
    </w:rPr>
  </w:style>
  <w:style w:type="character" w:customStyle="1" w:styleId="265">
    <w:name w:val="font161"/>
    <w:basedOn w:val="60"/>
    <w:autoRedefine/>
    <w:qFormat/>
    <w:uiPriority w:val="0"/>
    <w:rPr>
      <w:rFonts w:hint="eastAsia" w:ascii="黑体" w:hAnsi="宋体" w:eastAsia="黑体" w:cs="黑体"/>
      <w:b/>
      <w:color w:val="000000"/>
      <w:sz w:val="20"/>
      <w:szCs w:val="20"/>
      <w:u w:val="none"/>
    </w:rPr>
  </w:style>
  <w:style w:type="character" w:customStyle="1" w:styleId="266">
    <w:name w:val="font31"/>
    <w:basedOn w:val="60"/>
    <w:autoRedefine/>
    <w:qFormat/>
    <w:uiPriority w:val="0"/>
    <w:rPr>
      <w:rFonts w:hint="eastAsia" w:ascii="宋体" w:hAnsi="宋体" w:eastAsia="宋体" w:cs="宋体"/>
      <w:color w:val="000000"/>
      <w:sz w:val="22"/>
      <w:szCs w:val="22"/>
      <w:u w:val="none"/>
    </w:rPr>
  </w:style>
  <w:style w:type="character" w:customStyle="1" w:styleId="267">
    <w:name w:val="font151"/>
    <w:basedOn w:val="60"/>
    <w:autoRedefine/>
    <w:qFormat/>
    <w:uiPriority w:val="0"/>
    <w:rPr>
      <w:rFonts w:ascii="黑体" w:hAnsi="宋体" w:eastAsia="黑体" w:cs="黑体"/>
      <w:color w:val="000000"/>
      <w:sz w:val="36"/>
      <w:szCs w:val="36"/>
      <w:u w:val="none"/>
    </w:rPr>
  </w:style>
  <w:style w:type="character" w:customStyle="1" w:styleId="268">
    <w:name w:val="Char Char19"/>
    <w:basedOn w:val="60"/>
    <w:autoRedefine/>
    <w:qFormat/>
    <w:uiPriority w:val="0"/>
    <w:rPr>
      <w:rFonts w:ascii="Arial" w:hAnsi="Arial" w:eastAsia="黑体"/>
      <w:kern w:val="2"/>
      <w:sz w:val="21"/>
      <w:szCs w:val="21"/>
      <w:lang w:val="en-US" w:eastAsia="zh-CN" w:bidi="ar-SA"/>
    </w:rPr>
  </w:style>
  <w:style w:type="character" w:customStyle="1" w:styleId="269">
    <w:name w:val="正文文字缩进 Char"/>
    <w:basedOn w:val="60"/>
    <w:autoRedefine/>
    <w:qFormat/>
    <w:uiPriority w:val="0"/>
    <w:rPr>
      <w:rFonts w:ascii="Arial" w:hAnsi="宋体" w:eastAsia="宋体"/>
      <w:sz w:val="24"/>
      <w:lang w:val="en-US" w:eastAsia="zh-CN" w:bidi="ar-SA"/>
    </w:rPr>
  </w:style>
  <w:style w:type="character" w:customStyle="1" w:styleId="270">
    <w:name w:val="样式 题注 + 首行缩进:  2 字符 Char"/>
    <w:link w:val="271"/>
    <w:autoRedefine/>
    <w:qFormat/>
    <w:uiPriority w:val="0"/>
    <w:rPr>
      <w:rFonts w:ascii="Arial" w:hAnsi="Arial" w:eastAsia="黑体" w:cs="宋体"/>
      <w:kern w:val="2"/>
      <w:sz w:val="21"/>
      <w:lang w:val="en-US" w:eastAsia="zh-CN" w:bidi="ar-SA"/>
    </w:rPr>
  </w:style>
  <w:style w:type="paragraph" w:customStyle="1" w:styleId="271">
    <w:name w:val="样式 题注 + 首行缩进:  2 字符"/>
    <w:basedOn w:val="17"/>
    <w:link w:val="270"/>
    <w:autoRedefine/>
    <w:qFormat/>
    <w:uiPriority w:val="0"/>
    <w:pPr>
      <w:ind w:firstLine="400"/>
    </w:pPr>
    <w:rPr>
      <w:rFonts w:cs="宋体"/>
    </w:rPr>
  </w:style>
  <w:style w:type="character" w:customStyle="1" w:styleId="272">
    <w:name w:val="表格标题 Char"/>
    <w:basedOn w:val="60"/>
    <w:link w:val="273"/>
    <w:autoRedefine/>
    <w:qFormat/>
    <w:uiPriority w:val="0"/>
    <w:rPr>
      <w:rFonts w:ascii="华文中宋" w:eastAsia="宋体"/>
      <w:b/>
      <w:kern w:val="2"/>
      <w:sz w:val="24"/>
      <w:szCs w:val="24"/>
      <w:u w:val="double"/>
      <w:lang w:val="en-US" w:eastAsia="zh-CN" w:bidi="ar-SA"/>
    </w:rPr>
  </w:style>
  <w:style w:type="paragraph" w:customStyle="1" w:styleId="273">
    <w:name w:val="表格标题"/>
    <w:basedOn w:val="1"/>
    <w:next w:val="1"/>
    <w:link w:val="272"/>
    <w:autoRedefine/>
    <w:qFormat/>
    <w:uiPriority w:val="0"/>
    <w:pPr>
      <w:spacing w:beforeLines="30" w:line="360" w:lineRule="auto"/>
      <w:jc w:val="center"/>
    </w:pPr>
    <w:rPr>
      <w:rFonts w:ascii="华文中宋"/>
      <w:b/>
      <w:sz w:val="24"/>
      <w:u w:val="double"/>
    </w:rPr>
  </w:style>
  <w:style w:type="character" w:customStyle="1" w:styleId="274">
    <w:name w:val="font191"/>
    <w:basedOn w:val="60"/>
    <w:autoRedefine/>
    <w:qFormat/>
    <w:uiPriority w:val="0"/>
    <w:rPr>
      <w:rFonts w:hint="eastAsia" w:ascii="宋体" w:hAnsi="宋体" w:eastAsia="宋体" w:cs="宋体"/>
      <w:b/>
      <w:color w:val="000000"/>
      <w:sz w:val="18"/>
      <w:szCs w:val="18"/>
      <w:u w:val="none"/>
    </w:rPr>
  </w:style>
  <w:style w:type="character" w:customStyle="1" w:styleId="275">
    <w:name w:val="样式7 Char"/>
    <w:basedOn w:val="60"/>
    <w:link w:val="276"/>
    <w:autoRedefine/>
    <w:qFormat/>
    <w:uiPriority w:val="0"/>
    <w:rPr>
      <w:rFonts w:eastAsia="宋体"/>
      <w:kern w:val="2"/>
      <w:sz w:val="24"/>
      <w:szCs w:val="24"/>
      <w:lang w:val="en-US" w:eastAsia="zh-CN" w:bidi="ar-SA"/>
    </w:rPr>
  </w:style>
  <w:style w:type="paragraph" w:customStyle="1" w:styleId="276">
    <w:name w:val="样式7"/>
    <w:basedOn w:val="37"/>
    <w:link w:val="275"/>
    <w:autoRedefine/>
    <w:qFormat/>
    <w:uiPriority w:val="0"/>
    <w:pPr>
      <w:tabs>
        <w:tab w:val="left" w:pos="1374"/>
      </w:tabs>
      <w:ind w:left="1374" w:hanging="864"/>
      <w:outlineLvl w:val="3"/>
    </w:pPr>
  </w:style>
  <w:style w:type="character" w:customStyle="1" w:styleId="277">
    <w:name w:val="repeat-item"/>
    <w:basedOn w:val="60"/>
    <w:autoRedefine/>
    <w:qFormat/>
    <w:uiPriority w:val="0"/>
  </w:style>
  <w:style w:type="character" w:customStyle="1" w:styleId="278">
    <w:name w:val="font12"/>
    <w:basedOn w:val="60"/>
    <w:autoRedefine/>
    <w:qFormat/>
    <w:uiPriority w:val="0"/>
    <w:rPr>
      <w:rFonts w:hint="eastAsia" w:ascii="宋体" w:hAnsi="宋体" w:eastAsia="宋体" w:cs="宋体"/>
      <w:b/>
      <w:color w:val="000000"/>
      <w:sz w:val="18"/>
      <w:szCs w:val="18"/>
      <w:u w:val="none"/>
    </w:rPr>
  </w:style>
  <w:style w:type="paragraph" w:customStyle="1" w:styleId="279">
    <w:name w:val="b"/>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80">
    <w:name w:val="样式 首行缩进:  1.11 厘米"/>
    <w:basedOn w:val="1"/>
    <w:next w:val="1"/>
    <w:autoRedefine/>
    <w:qFormat/>
    <w:uiPriority w:val="0"/>
    <w:pPr>
      <w:spacing w:line="360" w:lineRule="auto"/>
      <w:ind w:firstLine="480" w:firstLineChars="200"/>
    </w:pPr>
    <w:rPr>
      <w:rFonts w:hAnsi="宋体" w:cs="宋体"/>
      <w:sz w:val="24"/>
    </w:rPr>
  </w:style>
  <w:style w:type="paragraph" w:customStyle="1" w:styleId="281">
    <w:name w:val="正文楷体"/>
    <w:basedOn w:val="1"/>
    <w:autoRedefine/>
    <w:qFormat/>
    <w:uiPriority w:val="0"/>
    <w:rPr>
      <w:rFonts w:ascii="宋体" w:eastAsia="楷体_GB2312"/>
      <w:sz w:val="24"/>
    </w:rPr>
  </w:style>
  <w:style w:type="paragraph" w:customStyle="1" w:styleId="282">
    <w:name w:val="报告书表格"/>
    <w:basedOn w:val="1"/>
    <w:autoRedefine/>
    <w:qFormat/>
    <w:uiPriority w:val="0"/>
    <w:pPr>
      <w:adjustRightInd w:val="0"/>
      <w:spacing w:before="60" w:after="60" w:line="240" w:lineRule="atLeast"/>
      <w:jc w:val="center"/>
      <w:textAlignment w:val="baseline"/>
    </w:pPr>
    <w:rPr>
      <w:kern w:val="0"/>
      <w:szCs w:val="20"/>
    </w:rPr>
  </w:style>
  <w:style w:type="paragraph" w:customStyle="1" w:styleId="283">
    <w:name w:val="标题二"/>
    <w:autoRedefine/>
    <w:qFormat/>
    <w:uiPriority w:val="0"/>
    <w:pPr>
      <w:spacing w:line="360" w:lineRule="auto"/>
    </w:pPr>
    <w:rPr>
      <w:rFonts w:ascii="Times New Roman" w:hAnsi="Times New Roman" w:eastAsia="宋体" w:cs="Times New Roman"/>
      <w:b/>
      <w:kern w:val="2"/>
      <w:sz w:val="24"/>
      <w:szCs w:val="24"/>
      <w:lang w:val="en-US" w:eastAsia="zh-CN" w:bidi="ar-SA"/>
    </w:rPr>
  </w:style>
  <w:style w:type="paragraph" w:customStyle="1" w:styleId="284">
    <w:name w:val="大妹正文"/>
    <w:basedOn w:val="2"/>
    <w:autoRedefine/>
    <w:qFormat/>
    <w:uiPriority w:val="0"/>
    <w:pPr>
      <w:keepNext w:val="0"/>
      <w:keepLines w:val="0"/>
      <w:spacing w:line="460" w:lineRule="exact"/>
      <w:ind w:left="0" w:firstLine="480" w:firstLineChars="200"/>
      <w:jc w:val="left"/>
      <w:outlineLvl w:val="9"/>
    </w:pPr>
    <w:rPr>
      <w:rFonts w:ascii="宋体" w:hAnsi="宋体" w:eastAsia="宋体"/>
      <w:b w:val="0"/>
      <w:sz w:val="24"/>
    </w:rPr>
  </w:style>
  <w:style w:type="paragraph" w:customStyle="1" w:styleId="285">
    <w:name w:val="表、图标题名"/>
    <w:basedOn w:val="1"/>
    <w:autoRedefine/>
    <w:qFormat/>
    <w:uiPriority w:val="0"/>
    <w:pPr>
      <w:widowControl/>
      <w:spacing w:beforeLines="50"/>
      <w:jc w:val="center"/>
    </w:pPr>
    <w:rPr>
      <w:b/>
      <w:bCs/>
      <w:sz w:val="24"/>
      <w:szCs w:val="21"/>
    </w:rPr>
  </w:style>
  <w:style w:type="paragraph" w:customStyle="1" w:styleId="286">
    <w:name w:val="xl26"/>
    <w:basedOn w:val="1"/>
    <w:autoRedefine/>
    <w:qFormat/>
    <w:uiPriority w:val="0"/>
    <w:pPr>
      <w:widowControl/>
      <w:spacing w:before="100" w:beforeAutospacing="1" w:after="100" w:afterAutospacing="1"/>
      <w:jc w:val="left"/>
      <w:textAlignment w:val="center"/>
    </w:pPr>
    <w:rPr>
      <w:rFonts w:ascii="宋体" w:hAnsi="宋体"/>
      <w:kern w:val="0"/>
      <w:sz w:val="24"/>
    </w:rPr>
  </w:style>
  <w:style w:type="paragraph" w:customStyle="1" w:styleId="287">
    <w:name w:val="_Style 97"/>
    <w:basedOn w:val="1"/>
    <w:autoRedefine/>
    <w:qFormat/>
    <w:uiPriority w:val="0"/>
    <w:rPr>
      <w:sz w:val="24"/>
    </w:rPr>
  </w:style>
  <w:style w:type="paragraph" w:customStyle="1" w:styleId="288">
    <w:name w:val="Char Char Char Char Char Char Char"/>
    <w:basedOn w:val="1"/>
    <w:autoRedefine/>
    <w:qFormat/>
    <w:uiPriority w:val="0"/>
    <w:rPr>
      <w:rFonts w:ascii="Tahoma" w:hAnsi="Tahoma"/>
      <w:sz w:val="24"/>
      <w:szCs w:val="20"/>
    </w:rPr>
  </w:style>
  <w:style w:type="paragraph" w:customStyle="1" w:styleId="289">
    <w:name w:val="样式 标题 2 + Times New Roman 左侧:  0 厘米 首行缩进:  0 厘米 行距: 固定值 24 磅"/>
    <w:basedOn w:val="3"/>
    <w:autoRedefine/>
    <w:qFormat/>
    <w:uiPriority w:val="0"/>
    <w:pPr>
      <w:tabs>
        <w:tab w:val="left" w:pos="747"/>
      </w:tabs>
      <w:snapToGrid/>
      <w:spacing w:before="260" w:after="260" w:line="500" w:lineRule="exact"/>
      <w:ind w:left="747" w:hanging="567"/>
      <w:jc w:val="both"/>
    </w:pPr>
    <w:rPr>
      <w:rFonts w:cs="宋体"/>
      <w:bCs/>
      <w:color w:val="auto"/>
      <w:szCs w:val="20"/>
    </w:rPr>
  </w:style>
  <w:style w:type="paragraph" w:styleId="290">
    <w:name w:val="List Paragraph"/>
    <w:basedOn w:val="1"/>
    <w:autoRedefine/>
    <w:qFormat/>
    <w:uiPriority w:val="1"/>
    <w:pPr>
      <w:spacing w:line="288" w:lineRule="auto"/>
      <w:ind w:firstLine="420" w:firstLineChars="200"/>
    </w:pPr>
    <w:rPr>
      <w:sz w:val="24"/>
      <w:szCs w:val="21"/>
    </w:rPr>
  </w:style>
  <w:style w:type="paragraph" w:customStyle="1" w:styleId="291">
    <w:name w:val="font5"/>
    <w:basedOn w:val="1"/>
    <w:autoRedefine/>
    <w:qFormat/>
    <w:uiPriority w:val="0"/>
    <w:pPr>
      <w:widowControl/>
      <w:spacing w:before="100" w:beforeAutospacing="1" w:after="100" w:afterAutospacing="1"/>
      <w:jc w:val="left"/>
    </w:pPr>
    <w:rPr>
      <w:kern w:val="0"/>
      <w:sz w:val="18"/>
      <w:szCs w:val="18"/>
    </w:rPr>
  </w:style>
  <w:style w:type="paragraph" w:customStyle="1" w:styleId="292">
    <w:name w:val="样式 行距: 固定值 25 磅1"/>
    <w:basedOn w:val="1"/>
    <w:autoRedefine/>
    <w:qFormat/>
    <w:uiPriority w:val="0"/>
    <w:pPr>
      <w:adjustRightInd w:val="0"/>
      <w:snapToGrid w:val="0"/>
      <w:spacing w:line="360" w:lineRule="auto"/>
      <w:ind w:firstLine="480" w:firstLineChars="200"/>
      <w:textAlignment w:val="baseline"/>
    </w:pPr>
    <w:rPr>
      <w:sz w:val="24"/>
    </w:rPr>
  </w:style>
  <w:style w:type="paragraph" w:customStyle="1" w:styleId="293">
    <w:name w:val="font7"/>
    <w:basedOn w:val="1"/>
    <w:autoRedefine/>
    <w:qFormat/>
    <w:uiPriority w:val="0"/>
    <w:pPr>
      <w:widowControl/>
      <w:spacing w:before="100" w:beforeAutospacing="1" w:after="100" w:afterAutospacing="1"/>
      <w:jc w:val="left"/>
    </w:pPr>
    <w:rPr>
      <w:rFonts w:hint="eastAsia" w:ascii="宋体" w:hAnsi="宋体"/>
      <w:b/>
      <w:bCs/>
      <w:kern w:val="0"/>
      <w:sz w:val="18"/>
      <w:szCs w:val="18"/>
    </w:rPr>
  </w:style>
  <w:style w:type="paragraph" w:customStyle="1" w:styleId="294">
    <w:name w:val="标题 31"/>
    <w:basedOn w:val="1"/>
    <w:autoRedefine/>
    <w:qFormat/>
    <w:uiPriority w:val="1"/>
    <w:pPr>
      <w:ind w:left="124"/>
      <w:jc w:val="left"/>
      <w:outlineLvl w:val="3"/>
    </w:pPr>
    <w:rPr>
      <w:rFonts w:ascii="黑体" w:hAnsi="黑体" w:eastAsia="黑体"/>
      <w:kern w:val="0"/>
      <w:sz w:val="28"/>
      <w:szCs w:val="28"/>
      <w:lang w:eastAsia="en-US"/>
    </w:rPr>
  </w:style>
  <w:style w:type="paragraph" w:customStyle="1" w:styleId="295">
    <w:name w:val="Char Char"/>
    <w:basedOn w:val="1"/>
    <w:next w:val="16"/>
    <w:autoRedefine/>
    <w:qFormat/>
    <w:uiPriority w:val="0"/>
    <w:pPr>
      <w:spacing w:line="360" w:lineRule="auto"/>
      <w:ind w:firstLine="200" w:firstLineChars="200"/>
    </w:pPr>
    <w:rPr>
      <w:sz w:val="28"/>
      <w:szCs w:val="20"/>
    </w:rPr>
  </w:style>
  <w:style w:type="paragraph" w:customStyle="1" w:styleId="296">
    <w:name w:val="样式1"/>
    <w:basedOn w:val="3"/>
    <w:next w:val="26"/>
    <w:autoRedefine/>
    <w:qFormat/>
    <w:uiPriority w:val="0"/>
    <w:pPr>
      <w:tabs>
        <w:tab w:val="left" w:pos="1047"/>
      </w:tabs>
      <w:snapToGrid/>
      <w:ind w:left="1047" w:hanging="567"/>
      <w:jc w:val="both"/>
    </w:pPr>
    <w:rPr>
      <w:bCs/>
      <w:color w:val="auto"/>
      <w:sz w:val="24"/>
    </w:rPr>
  </w:style>
  <w:style w:type="paragraph" w:customStyle="1" w:styleId="297">
    <w:name w:val="主标题"/>
    <w:basedOn w:val="1"/>
    <w:autoRedefine/>
    <w:qFormat/>
    <w:uiPriority w:val="0"/>
    <w:pPr>
      <w:snapToGrid w:val="0"/>
      <w:spacing w:before="60" w:after="60" w:line="360" w:lineRule="auto"/>
      <w:jc w:val="center"/>
      <w:outlineLvl w:val="0"/>
    </w:pPr>
    <w:rPr>
      <w:rFonts w:ascii="黑体" w:eastAsia="黑体"/>
      <w:b/>
      <w:color w:val="000000"/>
      <w:sz w:val="32"/>
      <w:szCs w:val="32"/>
    </w:rPr>
  </w:style>
  <w:style w:type="paragraph" w:customStyle="1" w:styleId="298">
    <w:name w:val="文字"/>
    <w:basedOn w:val="1"/>
    <w:autoRedefine/>
    <w:qFormat/>
    <w:uiPriority w:val="0"/>
    <w:pPr>
      <w:widowControl/>
      <w:spacing w:afterLines="50" w:line="360" w:lineRule="auto"/>
      <w:ind w:firstLine="420"/>
    </w:pPr>
    <w:rPr>
      <w:kern w:val="0"/>
      <w:sz w:val="24"/>
    </w:rPr>
  </w:style>
  <w:style w:type="paragraph" w:customStyle="1" w:styleId="299">
    <w:name w:val="xl41"/>
    <w:basedOn w:val="1"/>
    <w:autoRedefine/>
    <w:qFormat/>
    <w:uiPriority w:val="0"/>
    <w:pPr>
      <w:widowControl/>
      <w:pBdr>
        <w:top w:val="single" w:color="auto" w:sz="4" w:space="0"/>
        <w:bottom w:val="single" w:color="auto" w:sz="8" w:space="0"/>
        <w:right w:val="single" w:color="auto" w:sz="4"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300">
    <w:name w:val="新二级标题"/>
    <w:basedOn w:val="135"/>
    <w:autoRedefine/>
    <w:qFormat/>
    <w:uiPriority w:val="0"/>
    <w:pPr>
      <w:spacing w:before="50" w:beforeLines="50" w:after="50" w:afterLines="50" w:line="360" w:lineRule="auto"/>
      <w:ind w:firstLine="0" w:firstLineChars="0"/>
    </w:pPr>
    <w:rPr>
      <w:b/>
      <w:bCs/>
      <w:color w:val="FF0000"/>
      <w:sz w:val="30"/>
    </w:rPr>
  </w:style>
  <w:style w:type="paragraph" w:customStyle="1" w:styleId="301">
    <w:name w:val="表内"/>
    <w:basedOn w:val="302"/>
    <w:autoRedefine/>
    <w:qFormat/>
    <w:uiPriority w:val="99"/>
    <w:pPr>
      <w:spacing w:beforeLines="0"/>
      <w:jc w:val="center"/>
    </w:pPr>
    <w:rPr>
      <w:b w:val="0"/>
    </w:rPr>
  </w:style>
  <w:style w:type="paragraph" w:customStyle="1" w:styleId="302">
    <w:name w:val="表头文字"/>
    <w:basedOn w:val="1"/>
    <w:next w:val="303"/>
    <w:autoRedefine/>
    <w:qFormat/>
    <w:uiPriority w:val="99"/>
    <w:pPr>
      <w:widowControl/>
      <w:spacing w:beforeLines="100"/>
      <w:jc w:val="left"/>
    </w:pPr>
    <w:rPr>
      <w:b/>
      <w:kern w:val="0"/>
    </w:rPr>
  </w:style>
  <w:style w:type="paragraph" w:customStyle="1" w:styleId="303">
    <w:name w:val="表内文字"/>
    <w:basedOn w:val="23"/>
    <w:autoRedefine/>
    <w:qFormat/>
    <w:uiPriority w:val="0"/>
    <w:pPr>
      <w:widowControl/>
      <w:jc w:val="center"/>
    </w:pPr>
    <w:rPr>
      <w:szCs w:val="22"/>
    </w:rPr>
  </w:style>
  <w:style w:type="paragraph" w:customStyle="1" w:styleId="304">
    <w:name w:val="xl34"/>
    <w:basedOn w:val="1"/>
    <w:autoRedefine/>
    <w:qFormat/>
    <w:uiPriority w:val="0"/>
    <w:pPr>
      <w:widowControl/>
      <w:pBdr>
        <w:top w:val="single" w:color="auto" w:sz="8" w:space="0"/>
        <w:lef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0"/>
    </w:rPr>
  </w:style>
  <w:style w:type="paragraph" w:customStyle="1" w:styleId="305">
    <w:name w:val="表题"/>
    <w:basedOn w:val="1"/>
    <w:autoRedefine/>
    <w:qFormat/>
    <w:uiPriority w:val="0"/>
    <w:pPr>
      <w:snapToGrid w:val="0"/>
      <w:spacing w:line="500" w:lineRule="exact"/>
      <w:jc w:val="center"/>
    </w:pPr>
    <w:rPr>
      <w:b/>
      <w:sz w:val="24"/>
      <w:szCs w:val="21"/>
    </w:rPr>
  </w:style>
  <w:style w:type="paragraph" w:customStyle="1" w:styleId="306">
    <w:name w:val="xl35"/>
    <w:basedOn w:val="1"/>
    <w:autoRedefine/>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307">
    <w:name w:val="xl91"/>
    <w:basedOn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color w:val="000000"/>
      <w:kern w:val="0"/>
      <w:sz w:val="20"/>
      <w:szCs w:val="20"/>
    </w:rPr>
  </w:style>
  <w:style w:type="paragraph" w:customStyle="1" w:styleId="308">
    <w:name w:val="样式 l_text + (西文) Times New Roman (中文) 黑体 居中 左侧:  0 厘米 首行缩进: ..."/>
    <w:basedOn w:val="1"/>
    <w:autoRedefine/>
    <w:qFormat/>
    <w:uiPriority w:val="0"/>
    <w:pPr>
      <w:widowControl/>
      <w:overflowPunct w:val="0"/>
      <w:autoSpaceDE w:val="0"/>
      <w:autoSpaceDN w:val="0"/>
      <w:adjustRightInd w:val="0"/>
      <w:spacing w:before="120" w:after="120"/>
      <w:jc w:val="center"/>
      <w:textAlignment w:val="baseline"/>
    </w:pPr>
    <w:rPr>
      <w:rFonts w:eastAsia="黑体" w:cs="宋体"/>
      <w:kern w:val="0"/>
      <w:sz w:val="28"/>
      <w:szCs w:val="20"/>
      <w:lang w:val="en-GB"/>
    </w:rPr>
  </w:style>
  <w:style w:type="paragraph" w:customStyle="1" w:styleId="309">
    <w:name w:val="样式16"/>
    <w:basedOn w:val="1"/>
    <w:autoRedefine/>
    <w:qFormat/>
    <w:uiPriority w:val="0"/>
    <w:pPr>
      <w:spacing w:after="156" w:afterLines="50" w:line="480" w:lineRule="exact"/>
      <w:ind w:firstLine="510"/>
    </w:pPr>
    <w:rPr>
      <w:sz w:val="24"/>
    </w:rPr>
  </w:style>
  <w:style w:type="paragraph" w:customStyle="1" w:styleId="310">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311">
    <w:name w:val="中文报告书样式"/>
    <w:basedOn w:val="1"/>
    <w:autoRedefine/>
    <w:qFormat/>
    <w:uiPriority w:val="0"/>
    <w:pPr>
      <w:adjustRightInd w:val="0"/>
      <w:spacing w:line="480" w:lineRule="atLeast"/>
      <w:ind w:firstLine="482" w:firstLineChars="200"/>
      <w:textAlignment w:val="baseline"/>
    </w:pPr>
    <w:rPr>
      <w:kern w:val="24"/>
      <w:sz w:val="24"/>
    </w:rPr>
  </w:style>
  <w:style w:type="paragraph" w:customStyle="1" w:styleId="312">
    <w:name w:val="图表名称"/>
    <w:basedOn w:val="1"/>
    <w:next w:val="1"/>
    <w:autoRedefine/>
    <w:qFormat/>
    <w:uiPriority w:val="0"/>
    <w:pPr>
      <w:jc w:val="center"/>
    </w:pPr>
    <w:rPr>
      <w:rFonts w:ascii="宋体" w:hAnsi="宋体"/>
      <w:b/>
      <w:bCs/>
    </w:rPr>
  </w:style>
  <w:style w:type="paragraph" w:customStyle="1" w:styleId="313">
    <w:name w:val="样式9"/>
    <w:basedOn w:val="1"/>
    <w:autoRedefine/>
    <w:qFormat/>
    <w:uiPriority w:val="0"/>
    <w:pPr>
      <w:spacing w:line="360" w:lineRule="exact"/>
      <w:jc w:val="center"/>
    </w:pPr>
    <w:rPr>
      <w:rFonts w:ascii="宋体" w:hAnsi="宋体"/>
      <w:szCs w:val="21"/>
    </w:rPr>
  </w:style>
  <w:style w:type="paragraph" w:customStyle="1" w:styleId="314">
    <w:name w:val="aa Char"/>
    <w:basedOn w:val="16"/>
    <w:autoRedefine/>
    <w:qFormat/>
    <w:uiPriority w:val="0"/>
    <w:pPr>
      <w:spacing w:line="520" w:lineRule="exact"/>
      <w:ind w:firstLine="561"/>
    </w:pPr>
    <w:rPr>
      <w:sz w:val="28"/>
      <w:szCs w:val="21"/>
    </w:rPr>
  </w:style>
  <w:style w:type="paragraph" w:customStyle="1" w:styleId="315">
    <w:name w:val="a Char Char Char Char Char1"/>
    <w:autoRedefine/>
    <w:qFormat/>
    <w:uiPriority w:val="0"/>
    <w:pPr>
      <w:spacing w:line="540" w:lineRule="exact"/>
      <w:ind w:firstLine="561"/>
    </w:pPr>
    <w:rPr>
      <w:rFonts w:ascii="宋体" w:hAnsi="宋体" w:eastAsia="宋体" w:cs="Times New Roman"/>
      <w:bCs/>
      <w:kern w:val="2"/>
      <w:sz w:val="28"/>
      <w:szCs w:val="28"/>
      <w:lang w:val="en-US" w:eastAsia="zh-CN" w:bidi="ar-SA"/>
    </w:rPr>
  </w:style>
  <w:style w:type="paragraph" w:customStyle="1" w:styleId="316">
    <w:name w:val="font3"/>
    <w:basedOn w:val="1"/>
    <w:autoRedefine/>
    <w:qFormat/>
    <w:uiPriority w:val="0"/>
    <w:pPr>
      <w:widowControl/>
      <w:spacing w:before="100" w:beforeAutospacing="1" w:after="100" w:afterAutospacing="1"/>
      <w:jc w:val="left"/>
    </w:pPr>
    <w:rPr>
      <w:rFonts w:hint="eastAsia" w:ascii="宋体" w:hAnsi="宋体"/>
      <w:kern w:val="0"/>
      <w:sz w:val="28"/>
      <w:szCs w:val="28"/>
    </w:rPr>
  </w:style>
  <w:style w:type="paragraph" w:customStyle="1" w:styleId="317">
    <w:name w:val="Char Char Char1 Char Char Char Char Char Char Char Char Char Char Char Char1 Char Char Char Char Char Char Char Char Char Char"/>
    <w:basedOn w:val="1"/>
    <w:autoRedefine/>
    <w:qFormat/>
    <w:uiPriority w:val="0"/>
    <w:pPr>
      <w:spacing w:line="360" w:lineRule="auto"/>
      <w:ind w:firstLine="200" w:firstLineChars="200"/>
    </w:pPr>
    <w:rPr>
      <w:rFonts w:ascii="宋体" w:hAnsi="宋体" w:eastAsia="黑体" w:cs="宋体"/>
      <w:sz w:val="28"/>
    </w:rPr>
  </w:style>
  <w:style w:type="paragraph" w:customStyle="1" w:styleId="318">
    <w:name w:val="封面1"/>
    <w:basedOn w:val="4"/>
    <w:autoRedefine/>
    <w:qFormat/>
    <w:uiPriority w:val="0"/>
    <w:pPr>
      <w:keepNext w:val="0"/>
      <w:keepLines w:val="0"/>
      <w:widowControl/>
      <w:tabs>
        <w:tab w:val="left" w:pos="1125"/>
        <w:tab w:val="left" w:pos="1260"/>
      </w:tabs>
      <w:autoSpaceDE/>
      <w:autoSpaceDN/>
      <w:snapToGrid w:val="0"/>
      <w:spacing w:before="93" w:after="100" w:afterAutospacing="1" w:line="240" w:lineRule="auto"/>
      <w:jc w:val="center"/>
    </w:pPr>
    <w:rPr>
      <w:rFonts w:ascii="黑体"/>
      <w:bCs/>
      <w:color w:val="auto"/>
      <w:kern w:val="44"/>
      <w:sz w:val="36"/>
      <w:szCs w:val="36"/>
    </w:rPr>
  </w:style>
  <w:style w:type="paragraph" w:customStyle="1" w:styleId="319">
    <w:name w:val="正文-第几条"/>
    <w:basedOn w:val="1"/>
    <w:autoRedefine/>
    <w:qFormat/>
    <w:uiPriority w:val="0"/>
    <w:pPr>
      <w:tabs>
        <w:tab w:val="left" w:pos="1021"/>
      </w:tabs>
      <w:spacing w:line="360" w:lineRule="auto"/>
      <w:ind w:left="1021" w:hanging="1021"/>
    </w:pPr>
    <w:rPr>
      <w:sz w:val="24"/>
    </w:rPr>
  </w:style>
  <w:style w:type="paragraph" w:customStyle="1" w:styleId="320">
    <w:name w:val="样式 标题 3 + 首行缩进:  2 字符"/>
    <w:basedOn w:val="4"/>
    <w:autoRedefine/>
    <w:qFormat/>
    <w:uiPriority w:val="0"/>
    <w:pPr>
      <w:autoSpaceDE/>
      <w:autoSpaceDN/>
      <w:adjustRightInd/>
      <w:snapToGrid w:val="0"/>
      <w:spacing w:before="120"/>
      <w:ind w:firstLine="200" w:firstLineChars="200"/>
    </w:pPr>
    <w:rPr>
      <w:rFonts w:ascii="Times New Roman" w:hAnsi="Times New Roman" w:eastAsia="宋体" w:cs="宋体"/>
      <w:bCs/>
      <w:color w:val="auto"/>
      <w:sz w:val="30"/>
    </w:rPr>
  </w:style>
  <w:style w:type="paragraph" w:customStyle="1" w:styleId="321">
    <w:name w:val="公式"/>
    <w:basedOn w:val="1"/>
    <w:next w:val="1"/>
    <w:autoRedefine/>
    <w:qFormat/>
    <w:uiPriority w:val="0"/>
    <w:pPr>
      <w:spacing w:afterLines="50" w:line="360" w:lineRule="auto"/>
      <w:ind w:left="737" w:firstLine="480" w:firstLineChars="200"/>
    </w:pPr>
    <w:rPr>
      <w:rFonts w:ascii="华文中宋" w:cs="宋体"/>
      <w:sz w:val="24"/>
      <w:szCs w:val="20"/>
    </w:rPr>
  </w:style>
  <w:style w:type="paragraph" w:customStyle="1" w:styleId="322">
    <w:name w:val="大妹正文 Char"/>
    <w:basedOn w:val="2"/>
    <w:autoRedefine/>
    <w:qFormat/>
    <w:uiPriority w:val="0"/>
    <w:pPr>
      <w:keepNext w:val="0"/>
      <w:keepLines w:val="0"/>
      <w:spacing w:line="360" w:lineRule="auto"/>
      <w:ind w:left="0" w:firstLine="480" w:firstLineChars="200"/>
      <w:jc w:val="left"/>
      <w:outlineLvl w:val="9"/>
    </w:pPr>
    <w:rPr>
      <w:rFonts w:ascii="Times New Roman" w:eastAsia="宋体"/>
      <w:b w:val="0"/>
      <w:color w:val="008000"/>
      <w:kern w:val="2"/>
      <w:sz w:val="24"/>
    </w:rPr>
  </w:style>
  <w:style w:type="paragraph" w:customStyle="1" w:styleId="323">
    <w:name w:val="表文居中"/>
    <w:basedOn w:val="324"/>
    <w:autoRedefine/>
    <w:qFormat/>
    <w:uiPriority w:val="0"/>
    <w:pPr>
      <w:jc w:val="center"/>
      <w:textAlignment w:val="auto"/>
    </w:pPr>
  </w:style>
  <w:style w:type="paragraph" w:customStyle="1" w:styleId="324">
    <w:name w:val="表文"/>
    <w:basedOn w:val="1"/>
    <w:autoRedefine/>
    <w:qFormat/>
    <w:uiPriority w:val="0"/>
    <w:pPr>
      <w:jc w:val="left"/>
      <w:textAlignment w:val="baseline"/>
    </w:pPr>
    <w:rPr>
      <w:sz w:val="18"/>
      <w:szCs w:val="20"/>
    </w:rPr>
  </w:style>
  <w:style w:type="paragraph" w:customStyle="1" w:styleId="325">
    <w:name w:val="R正文"/>
    <w:basedOn w:val="1"/>
    <w:autoRedefine/>
    <w:qFormat/>
    <w:uiPriority w:val="0"/>
    <w:pPr>
      <w:widowControl/>
      <w:spacing w:beforeLines="50" w:line="300" w:lineRule="auto"/>
      <w:jc w:val="left"/>
    </w:pPr>
    <w:rPr>
      <w:sz w:val="24"/>
    </w:rPr>
  </w:style>
  <w:style w:type="paragraph" w:customStyle="1" w:styleId="326">
    <w:name w:val="标题一级"/>
    <w:basedOn w:val="1"/>
    <w:next w:val="1"/>
    <w:autoRedefine/>
    <w:qFormat/>
    <w:uiPriority w:val="0"/>
    <w:pPr>
      <w:spacing w:afterLines="50" w:line="360" w:lineRule="auto"/>
      <w:ind w:firstLine="480" w:firstLineChars="200"/>
    </w:pPr>
    <w:rPr>
      <w:rFonts w:eastAsia="黑体"/>
      <w:sz w:val="24"/>
    </w:rPr>
  </w:style>
  <w:style w:type="paragraph" w:customStyle="1" w:styleId="327">
    <w:name w:val="报告书正文段落"/>
    <w:basedOn w:val="1"/>
    <w:autoRedefine/>
    <w:qFormat/>
    <w:uiPriority w:val="0"/>
    <w:pPr>
      <w:spacing w:line="520" w:lineRule="exact"/>
      <w:ind w:firstLine="480" w:firstLineChars="200"/>
      <w:jc w:val="left"/>
    </w:pPr>
    <w:rPr>
      <w:sz w:val="24"/>
    </w:rPr>
  </w:style>
  <w:style w:type="paragraph" w:customStyle="1" w:styleId="328">
    <w:name w:val="样式 四号 行距: 1.5 倍行距 首行缩进:  2 字符"/>
    <w:basedOn w:val="1"/>
    <w:autoRedefine/>
    <w:qFormat/>
    <w:uiPriority w:val="0"/>
    <w:pPr>
      <w:spacing w:line="360" w:lineRule="auto"/>
      <w:ind w:firstLine="560" w:firstLineChars="200"/>
    </w:pPr>
    <w:rPr>
      <w:rFonts w:cs="宋体"/>
      <w:sz w:val="28"/>
      <w:szCs w:val="20"/>
    </w:rPr>
  </w:style>
  <w:style w:type="paragraph" w:customStyle="1" w:styleId="329">
    <w:name w:val="段落1"/>
    <w:basedOn w:val="1"/>
    <w:autoRedefine/>
    <w:qFormat/>
    <w:uiPriority w:val="0"/>
    <w:pPr>
      <w:spacing w:line="480" w:lineRule="exact"/>
      <w:ind w:firstLine="200" w:firstLineChars="200"/>
    </w:pPr>
    <w:rPr>
      <w:sz w:val="28"/>
    </w:rPr>
  </w:style>
  <w:style w:type="paragraph" w:customStyle="1" w:styleId="330">
    <w:name w:val="样式 样式  + 行距: 固定值 28 磅 首行缩进:  2 字符 + 首行缩进:  2 字符"/>
    <w:basedOn w:val="331"/>
    <w:autoRedefine/>
    <w:qFormat/>
    <w:uiPriority w:val="0"/>
    <w:pPr>
      <w:spacing w:line="288" w:lineRule="auto"/>
    </w:pPr>
  </w:style>
  <w:style w:type="paragraph" w:customStyle="1" w:styleId="331">
    <w:name w:val="样式  + 行距: 固定值 28 磅 首行缩进:  2 字符"/>
    <w:basedOn w:val="332"/>
    <w:autoRedefine/>
    <w:qFormat/>
    <w:uiPriority w:val="0"/>
    <w:pPr>
      <w:adjustRightInd/>
      <w:snapToGrid/>
      <w:spacing w:line="240" w:lineRule="auto"/>
    </w:pPr>
    <w:rPr>
      <w:rFonts w:hAnsi="Courier New" w:cs="宋体"/>
      <w:szCs w:val="20"/>
    </w:rPr>
  </w:style>
  <w:style w:type="paragraph" w:customStyle="1" w:styleId="332">
    <w:name w:val="1"/>
    <w:basedOn w:val="1"/>
    <w:next w:val="16"/>
    <w:autoRedefine/>
    <w:qFormat/>
    <w:uiPriority w:val="0"/>
    <w:pPr>
      <w:adjustRightInd w:val="0"/>
      <w:snapToGrid w:val="0"/>
      <w:spacing w:line="360" w:lineRule="auto"/>
      <w:ind w:firstLine="200" w:firstLineChars="200"/>
    </w:pPr>
    <w:rPr>
      <w:rFonts w:ascii="宋体" w:hAnsi="宋体"/>
      <w:sz w:val="24"/>
      <w:szCs w:val="18"/>
    </w:rPr>
  </w:style>
  <w:style w:type="paragraph" w:customStyle="1" w:styleId="333">
    <w:name w:val="Char Char Char Char Char Char"/>
    <w:basedOn w:val="1"/>
    <w:autoRedefine/>
    <w:qFormat/>
    <w:uiPriority w:val="0"/>
    <w:pPr>
      <w:numPr>
        <w:ilvl w:val="0"/>
        <w:numId w:val="3"/>
      </w:numPr>
      <w:tabs>
        <w:tab w:val="clear" w:pos="360"/>
      </w:tabs>
      <w:ind w:left="0" w:firstLine="0"/>
    </w:pPr>
    <w:rPr>
      <w:rFonts w:ascii="Tahoma" w:hAnsi="Tahoma"/>
      <w:sz w:val="24"/>
      <w:szCs w:val="20"/>
    </w:rPr>
  </w:style>
  <w:style w:type="paragraph" w:customStyle="1" w:styleId="334">
    <w:name w:val="p11"/>
    <w:basedOn w:val="1"/>
    <w:autoRedefine/>
    <w:qFormat/>
    <w:uiPriority w:val="0"/>
    <w:pPr>
      <w:widowControl/>
      <w:spacing w:before="100" w:beforeAutospacing="1" w:after="100" w:afterAutospacing="1" w:line="360" w:lineRule="auto"/>
      <w:jc w:val="left"/>
    </w:pPr>
    <w:rPr>
      <w:rFonts w:ascii="ˎ̥" w:hAnsi="ˎ̥" w:cs="宋体"/>
      <w:kern w:val="0"/>
      <w:sz w:val="22"/>
      <w:szCs w:val="22"/>
    </w:rPr>
  </w:style>
  <w:style w:type="paragraph" w:customStyle="1" w:styleId="335">
    <w:name w:val="陆晶 标题2 Char"/>
    <w:basedOn w:val="1"/>
    <w:autoRedefine/>
    <w:qFormat/>
    <w:uiPriority w:val="0"/>
    <w:pPr>
      <w:keepNext/>
      <w:keepLines/>
      <w:tabs>
        <w:tab w:val="left" w:pos="280"/>
        <w:tab w:val="left" w:pos="654"/>
      </w:tabs>
      <w:autoSpaceDN w:val="0"/>
      <w:snapToGrid w:val="0"/>
      <w:spacing w:before="240" w:after="240" w:line="480" w:lineRule="exact"/>
      <w:ind w:left="1701"/>
      <w:jc w:val="left"/>
      <w:outlineLvl w:val="1"/>
    </w:pPr>
    <w:rPr>
      <w:rFonts w:ascii="宋体" w:hAnsi="宋体" w:cs="宋体"/>
      <w:b/>
      <w:bCs/>
      <w:color w:val="000000"/>
      <w:sz w:val="30"/>
      <w:szCs w:val="30"/>
    </w:rPr>
  </w:style>
  <w:style w:type="paragraph" w:customStyle="1" w:styleId="336">
    <w:name w:val="Char"/>
    <w:basedOn w:val="1"/>
    <w:autoRedefine/>
    <w:qFormat/>
    <w:uiPriority w:val="0"/>
    <w:pPr>
      <w:spacing w:line="360" w:lineRule="auto"/>
      <w:ind w:firstLine="200" w:firstLineChars="200"/>
    </w:pPr>
    <w:rPr>
      <w:rFonts w:ascii="宋体" w:hAnsi="宋体" w:cs="宋体"/>
      <w:sz w:val="24"/>
    </w:rPr>
  </w:style>
  <w:style w:type="paragraph" w:customStyle="1" w:styleId="337">
    <w:name w:val="Char Char Char Char"/>
    <w:basedOn w:val="4"/>
    <w:autoRedefine/>
    <w:qFormat/>
    <w:uiPriority w:val="0"/>
    <w:pPr>
      <w:tabs>
        <w:tab w:val="left" w:pos="360"/>
        <w:tab w:val="left" w:pos="900"/>
      </w:tabs>
      <w:autoSpaceDE/>
      <w:autoSpaceDN/>
      <w:adjustRightInd/>
      <w:snapToGrid w:val="0"/>
      <w:spacing w:before="120" w:after="120"/>
      <w:ind w:left="542" w:leftChars="-12" w:firstLine="200" w:firstLineChars="200"/>
      <w:jc w:val="left"/>
    </w:pPr>
    <w:rPr>
      <w:rFonts w:ascii="Times New Roman" w:hAnsi="Times New Roman"/>
      <w:b w:val="0"/>
      <w:snapToGrid w:val="0"/>
      <w:color w:val="auto"/>
      <w:szCs w:val="24"/>
    </w:rPr>
  </w:style>
  <w:style w:type="paragraph" w:customStyle="1" w:styleId="338">
    <w:name w:val="Char Char Char1 Char"/>
    <w:basedOn w:val="1"/>
    <w:autoRedefine/>
    <w:qFormat/>
    <w:uiPriority w:val="0"/>
  </w:style>
  <w:style w:type="paragraph" w:customStyle="1" w:styleId="339">
    <w:name w:val="Char Char Char Char Char Char Char Char 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340">
    <w:name w:val="正文表标题"/>
    <w:next w:val="1"/>
    <w:autoRedefine/>
    <w:qFormat/>
    <w:uiPriority w:val="0"/>
    <w:pPr>
      <w:jc w:val="center"/>
    </w:pPr>
    <w:rPr>
      <w:rFonts w:ascii="黑体" w:hAnsi="Times New Roman" w:eastAsia="黑体" w:cs="Times New Roman"/>
      <w:sz w:val="21"/>
      <w:lang w:val="en-US" w:eastAsia="zh-CN" w:bidi="ar-SA"/>
    </w:rPr>
  </w:style>
  <w:style w:type="paragraph" w:customStyle="1" w:styleId="341">
    <w:name w:val="Char21"/>
    <w:basedOn w:val="1"/>
    <w:autoRedefine/>
    <w:qFormat/>
    <w:uiPriority w:val="0"/>
    <w:pPr>
      <w:spacing w:line="360" w:lineRule="auto"/>
      <w:ind w:firstLine="200" w:firstLineChars="200"/>
    </w:pPr>
    <w:rPr>
      <w:rFonts w:ascii="宋体" w:hAnsi="宋体" w:cs="宋体"/>
      <w:sz w:val="24"/>
    </w:rPr>
  </w:style>
  <w:style w:type="paragraph" w:customStyle="1" w:styleId="342">
    <w:name w:val="报告书正文"/>
    <w:basedOn w:val="16"/>
    <w:autoRedefine/>
    <w:qFormat/>
    <w:uiPriority w:val="0"/>
    <w:pPr>
      <w:spacing w:line="300" w:lineRule="auto"/>
      <w:ind w:firstLine="480" w:firstLineChars="200"/>
    </w:pPr>
    <w:rPr>
      <w:sz w:val="24"/>
    </w:rPr>
  </w:style>
  <w:style w:type="paragraph" w:customStyle="1" w:styleId="343">
    <w:name w:val="扉页格式"/>
    <w:basedOn w:val="1"/>
    <w:autoRedefine/>
    <w:qFormat/>
    <w:uiPriority w:val="0"/>
    <w:pPr>
      <w:widowControl/>
      <w:spacing w:before="120" w:line="360" w:lineRule="auto"/>
      <w:ind w:firstLine="1980" w:firstLineChars="618"/>
    </w:pPr>
    <w:rPr>
      <w:rFonts w:ascii="宋体" w:hAnsi="宋体"/>
      <w:kern w:val="0"/>
      <w:sz w:val="32"/>
      <w:szCs w:val="32"/>
    </w:rPr>
  </w:style>
  <w:style w:type="paragraph" w:customStyle="1" w:styleId="344">
    <w:name w:val="正文缩进3"/>
    <w:basedOn w:val="1"/>
    <w:autoRedefine/>
    <w:qFormat/>
    <w:uiPriority w:val="0"/>
    <w:pPr>
      <w:ind w:firstLine="420" w:firstLineChars="200"/>
    </w:pPr>
    <w:rPr>
      <w:szCs w:val="21"/>
    </w:rPr>
  </w:style>
  <w:style w:type="paragraph" w:customStyle="1" w:styleId="345">
    <w:name w:val="正文样式1"/>
    <w:basedOn w:val="1"/>
    <w:autoRedefine/>
    <w:qFormat/>
    <w:uiPriority w:val="0"/>
    <w:pPr>
      <w:adjustRightInd w:val="0"/>
      <w:spacing w:line="360" w:lineRule="auto"/>
      <w:ind w:firstLine="560" w:firstLineChars="200"/>
    </w:pPr>
    <w:rPr>
      <w:rFonts w:ascii="Times" w:hAnsi="Times"/>
      <w:kern w:val="0"/>
      <w:sz w:val="28"/>
      <w:szCs w:val="20"/>
    </w:rPr>
  </w:style>
  <w:style w:type="paragraph" w:customStyle="1" w:styleId="346">
    <w:name w:val="默认段落字体 Para Char Char Char Char"/>
    <w:basedOn w:val="1"/>
    <w:autoRedefine/>
    <w:qFormat/>
    <w:uiPriority w:val="0"/>
    <w:rPr>
      <w:sz w:val="24"/>
    </w:rPr>
  </w:style>
  <w:style w:type="paragraph" w:customStyle="1" w:styleId="347">
    <w:name w:val="正文缩进2"/>
    <w:basedOn w:val="1"/>
    <w:autoRedefine/>
    <w:qFormat/>
    <w:uiPriority w:val="0"/>
    <w:pPr>
      <w:ind w:firstLine="200" w:firstLineChars="200"/>
    </w:pPr>
    <w:rPr>
      <w:rFonts w:ascii="仿宋_GB2312" w:eastAsia="仿宋_GB2312"/>
      <w:color w:val="000000"/>
      <w:sz w:val="24"/>
    </w:rPr>
  </w:style>
  <w:style w:type="paragraph" w:customStyle="1" w:styleId="348">
    <w:name w:val="xl31"/>
    <w:basedOn w:val="1"/>
    <w:autoRedefine/>
    <w:qFormat/>
    <w:uiPriority w:val="0"/>
    <w:pPr>
      <w:widowControl/>
      <w:spacing w:before="100" w:beforeAutospacing="1" w:after="100" w:afterAutospacing="1"/>
      <w:jc w:val="left"/>
    </w:pPr>
    <w:rPr>
      <w:rFonts w:ascii="宋体" w:hAnsi="宋体"/>
      <w:b/>
      <w:bCs/>
      <w:kern w:val="0"/>
      <w:sz w:val="24"/>
    </w:rPr>
  </w:style>
  <w:style w:type="paragraph" w:customStyle="1" w:styleId="349">
    <w:name w:val="样式 标题 1 + (中文) 宋体 小四 黑色 首行缩进:  0.85 厘米 行距: 固定值 28 磅"/>
    <w:basedOn w:val="2"/>
    <w:autoRedefine/>
    <w:qFormat/>
    <w:uiPriority w:val="0"/>
    <w:pPr>
      <w:spacing w:line="520" w:lineRule="exact"/>
    </w:pPr>
    <w:rPr>
      <w:rFonts w:ascii="Times New Roman" w:eastAsia="宋体" w:cs="宋体"/>
    </w:rPr>
  </w:style>
  <w:style w:type="paragraph" w:customStyle="1" w:styleId="350">
    <w:name w:val="小表文"/>
    <w:basedOn w:val="1"/>
    <w:autoRedefine/>
    <w:qFormat/>
    <w:uiPriority w:val="0"/>
    <w:pPr>
      <w:autoSpaceDE w:val="0"/>
      <w:autoSpaceDN w:val="0"/>
      <w:adjustRightInd w:val="0"/>
      <w:spacing w:before="20"/>
      <w:textAlignment w:val="baseline"/>
    </w:pPr>
    <w:rPr>
      <w:kern w:val="0"/>
      <w:sz w:val="18"/>
      <w:szCs w:val="20"/>
    </w:rPr>
  </w:style>
  <w:style w:type="paragraph" w:customStyle="1" w:styleId="351">
    <w:name w:val="表格"/>
    <w:basedOn w:val="40"/>
    <w:next w:val="1"/>
    <w:autoRedefine/>
    <w:qFormat/>
    <w:uiPriority w:val="0"/>
    <w:pPr>
      <w:snapToGrid w:val="0"/>
      <w:spacing w:before="20" w:after="20"/>
      <w:jc w:val="center"/>
    </w:pPr>
    <w:rPr>
      <w:szCs w:val="20"/>
    </w:rPr>
  </w:style>
  <w:style w:type="paragraph" w:customStyle="1" w:styleId="352">
    <w:name w:val="正本文字"/>
    <w:basedOn w:val="1"/>
    <w:autoRedefine/>
    <w:qFormat/>
    <w:uiPriority w:val="0"/>
    <w:pPr>
      <w:adjustRightInd w:val="0"/>
      <w:snapToGrid w:val="0"/>
      <w:spacing w:line="360" w:lineRule="auto"/>
      <w:ind w:firstLine="480" w:firstLineChars="200"/>
      <w:jc w:val="left"/>
    </w:pPr>
    <w:rPr>
      <w:kern w:val="18"/>
      <w:sz w:val="24"/>
    </w:rPr>
  </w:style>
  <w:style w:type="paragraph" w:customStyle="1" w:styleId="353">
    <w:name w:val="表内样式"/>
    <w:basedOn w:val="1"/>
    <w:next w:val="1"/>
    <w:autoRedefine/>
    <w:qFormat/>
    <w:uiPriority w:val="0"/>
    <w:pPr>
      <w:jc w:val="center"/>
    </w:pPr>
    <w:rPr>
      <w:rFonts w:ascii="Calibri" w:hAnsi="Calibri"/>
      <w:kern w:val="0"/>
    </w:rPr>
  </w:style>
  <w:style w:type="paragraph" w:customStyle="1" w:styleId="354">
    <w:name w:val="表格小4号"/>
    <w:basedOn w:val="1"/>
    <w:autoRedefine/>
    <w:qFormat/>
    <w:uiPriority w:val="0"/>
    <w:pPr>
      <w:widowControl/>
      <w:snapToGrid w:val="0"/>
      <w:jc w:val="center"/>
      <w:textAlignment w:val="baseline"/>
    </w:pPr>
    <w:rPr>
      <w:rFonts w:ascii="Arial Narrow" w:hAnsi="Arial Narrow"/>
      <w:spacing w:val="-20"/>
      <w:kern w:val="0"/>
      <w:sz w:val="24"/>
      <w:szCs w:val="20"/>
    </w:rPr>
  </w:style>
  <w:style w:type="paragraph" w:customStyle="1" w:styleId="355">
    <w:name w:val="样式 正文文本 3 + 五号 梅红 居中 段前: 0.5 行1"/>
    <w:basedOn w:val="22"/>
    <w:autoRedefine/>
    <w:qFormat/>
    <w:uiPriority w:val="0"/>
    <w:pPr>
      <w:jc w:val="center"/>
    </w:pPr>
    <w:rPr>
      <w:rFonts w:cs="宋体"/>
      <w:color w:val="993366"/>
      <w:szCs w:val="20"/>
    </w:rPr>
  </w:style>
  <w:style w:type="paragraph" w:customStyle="1" w:styleId="356">
    <w:name w:val="Char Char Char"/>
    <w:basedOn w:val="1"/>
    <w:autoRedefine/>
    <w:qFormat/>
    <w:uiPriority w:val="0"/>
    <w:rPr>
      <w:rFonts w:ascii="Tahoma" w:hAnsi="Tahoma"/>
      <w:sz w:val="24"/>
      <w:szCs w:val="20"/>
    </w:rPr>
  </w:style>
  <w:style w:type="paragraph" w:customStyle="1" w:styleId="357">
    <w:name w:val="样式 样式 正文缩进正文（首行缩进两字） + 首行缩进:  2 字符 + 首行缩进:  2 字符"/>
    <w:basedOn w:val="1"/>
    <w:autoRedefine/>
    <w:qFormat/>
    <w:uiPriority w:val="0"/>
    <w:pPr>
      <w:spacing w:line="288" w:lineRule="auto"/>
      <w:ind w:firstLine="200" w:firstLineChars="200"/>
    </w:pPr>
    <w:rPr>
      <w:rFonts w:cs="宋体"/>
      <w:sz w:val="24"/>
      <w:szCs w:val="20"/>
    </w:rPr>
  </w:style>
  <w:style w:type="paragraph" w:customStyle="1" w:styleId="358">
    <w:name w:val="样式 样式 样式 标题 1 + 左侧:  0 厘米 + 首行缩进:  0.02 字符 + 首行缩进:  0.02 字符"/>
    <w:basedOn w:val="1"/>
    <w:autoRedefine/>
    <w:qFormat/>
    <w:uiPriority w:val="0"/>
    <w:pPr>
      <w:keepNext/>
      <w:keepLines/>
      <w:tabs>
        <w:tab w:val="left" w:pos="0"/>
      </w:tabs>
      <w:spacing w:before="340" w:after="330" w:line="578" w:lineRule="auto"/>
      <w:ind w:firstLine="9" w:firstLineChars="2"/>
      <w:outlineLvl w:val="0"/>
    </w:pPr>
    <w:rPr>
      <w:rFonts w:ascii="Arial" w:hAnsi="Arial" w:eastAsia="方正姚体" w:cs="宋体"/>
      <w:b/>
      <w:bCs/>
      <w:kern w:val="44"/>
      <w:sz w:val="36"/>
      <w:szCs w:val="36"/>
    </w:rPr>
  </w:style>
  <w:style w:type="paragraph" w:customStyle="1" w:styleId="359">
    <w:name w:val="表中正文五号"/>
    <w:basedOn w:val="1"/>
    <w:autoRedefine/>
    <w:qFormat/>
    <w:uiPriority w:val="0"/>
    <w:pPr>
      <w:jc w:val="center"/>
    </w:pPr>
    <w:rPr>
      <w:szCs w:val="21"/>
    </w:rPr>
  </w:style>
  <w:style w:type="paragraph" w:customStyle="1" w:styleId="360">
    <w:name w:val="安庆江堤报告正文"/>
    <w:basedOn w:val="1"/>
    <w:autoRedefine/>
    <w:qFormat/>
    <w:uiPriority w:val="0"/>
    <w:pPr>
      <w:tabs>
        <w:tab w:val="left" w:pos="902"/>
      </w:tabs>
      <w:snapToGrid w:val="0"/>
      <w:spacing w:beforeLines="50"/>
      <w:ind w:firstLine="539"/>
    </w:pPr>
    <w:rPr>
      <w:rFonts w:ascii="宋体" w:hAnsi="宋体"/>
      <w:sz w:val="24"/>
      <w:szCs w:val="20"/>
    </w:rPr>
  </w:style>
  <w:style w:type="paragraph" w:customStyle="1" w:styleId="361">
    <w:name w:val="样式 标题 2节 + (符号) Times New Roman"/>
    <w:basedOn w:val="3"/>
    <w:autoRedefine/>
    <w:qFormat/>
    <w:uiPriority w:val="0"/>
    <w:pPr>
      <w:snapToGrid/>
      <w:spacing w:before="240" w:after="120" w:line="240" w:lineRule="auto"/>
      <w:jc w:val="both"/>
    </w:pPr>
    <w:rPr>
      <w:rFonts w:ascii="Arial" w:hAnsi="Arial" w:eastAsia="宋体"/>
      <w:bCs/>
      <w:color w:val="auto"/>
      <w:sz w:val="30"/>
      <w:szCs w:val="32"/>
    </w:rPr>
  </w:style>
  <w:style w:type="paragraph" w:customStyle="1" w:styleId="362">
    <w:name w:val="Header or footer|2"/>
    <w:basedOn w:val="1"/>
    <w:autoRedefine/>
    <w:qFormat/>
    <w:uiPriority w:val="0"/>
    <w:rPr>
      <w:sz w:val="20"/>
      <w:szCs w:val="20"/>
    </w:rPr>
  </w:style>
  <w:style w:type="paragraph" w:customStyle="1" w:styleId="363">
    <w:name w:val="font6"/>
    <w:basedOn w:val="1"/>
    <w:autoRedefine/>
    <w:qFormat/>
    <w:uiPriority w:val="0"/>
    <w:pPr>
      <w:widowControl/>
      <w:spacing w:before="100" w:beforeAutospacing="1" w:after="100" w:afterAutospacing="1"/>
      <w:jc w:val="left"/>
    </w:pPr>
    <w:rPr>
      <w:kern w:val="0"/>
      <w:sz w:val="18"/>
      <w:szCs w:val="18"/>
    </w:rPr>
  </w:style>
  <w:style w:type="paragraph" w:customStyle="1" w:styleId="364">
    <w:name w:val="xl38"/>
    <w:basedOn w:val="1"/>
    <w:autoRedefine/>
    <w:qFormat/>
    <w:uiPriority w:val="0"/>
    <w:pPr>
      <w:widowControl/>
      <w:pBdr>
        <w:left w:val="single" w:color="auto" w:sz="8" w:space="0"/>
        <w:right w:val="single" w:color="auto" w:sz="4" w:space="0"/>
      </w:pBdr>
      <w:spacing w:before="100" w:beforeAutospacing="1" w:after="100" w:afterAutospacing="1"/>
      <w:jc w:val="center"/>
    </w:pPr>
    <w:rPr>
      <w:rFonts w:ascii="Arial Unicode MS" w:hAnsi="Arial Unicode MS" w:eastAsia="Arial Unicode MS" w:cs="Arial Unicode MS"/>
      <w:kern w:val="0"/>
      <w:sz w:val="24"/>
    </w:rPr>
  </w:style>
  <w:style w:type="paragraph" w:customStyle="1" w:styleId="365">
    <w:name w:val="表号"/>
    <w:basedOn w:val="1"/>
    <w:autoRedefine/>
    <w:qFormat/>
    <w:uiPriority w:val="0"/>
    <w:pPr>
      <w:jc w:val="left"/>
      <w:textAlignment w:val="baseline"/>
    </w:pPr>
    <w:rPr>
      <w:rFonts w:ascii="宋体"/>
      <w:sz w:val="18"/>
      <w:szCs w:val="20"/>
    </w:rPr>
  </w:style>
  <w:style w:type="paragraph" w:customStyle="1" w:styleId="366">
    <w:name w:val="Default1"/>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67">
    <w:name w:val="样式21"/>
    <w:basedOn w:val="1"/>
    <w:autoRedefine/>
    <w:qFormat/>
    <w:uiPriority w:val="0"/>
    <w:pPr>
      <w:spacing w:line="360" w:lineRule="exact"/>
      <w:jc w:val="center"/>
    </w:pPr>
    <w:rPr>
      <w:rFonts w:ascii="宋体" w:hAnsi="宋体"/>
      <w:b/>
      <w:sz w:val="24"/>
    </w:rPr>
  </w:style>
  <w:style w:type="paragraph" w:customStyle="1" w:styleId="368">
    <w:name w:val="样式 标题3 + 加粗 段后: 0.5 行"/>
    <w:basedOn w:val="1"/>
    <w:autoRedefine/>
    <w:qFormat/>
    <w:uiPriority w:val="0"/>
    <w:pPr>
      <w:keepNext/>
      <w:keepLines/>
      <w:spacing w:after="50" w:afterLines="50" w:line="360" w:lineRule="auto"/>
      <w:textAlignment w:val="top"/>
      <w:outlineLvl w:val="2"/>
    </w:pPr>
    <w:rPr>
      <w:rFonts w:cs="宋体"/>
      <w:b/>
      <w:bCs/>
      <w:color w:val="000000"/>
      <w:sz w:val="28"/>
      <w:szCs w:val="28"/>
    </w:rPr>
  </w:style>
  <w:style w:type="paragraph" w:customStyle="1" w:styleId="369">
    <w:name w:val="表1"/>
    <w:next w:val="1"/>
    <w:autoRedefine/>
    <w:qFormat/>
    <w:uiPriority w:val="0"/>
    <w:pPr>
      <w:adjustRightInd w:val="0"/>
      <w:snapToGrid w:val="0"/>
      <w:jc w:val="center"/>
    </w:pPr>
    <w:rPr>
      <w:rFonts w:ascii="宋体" w:hAnsi="宋体" w:eastAsia="Times New Roman" w:cs="Times New Roman"/>
      <w:sz w:val="21"/>
      <w:lang w:val="en-US" w:eastAsia="zh-CN" w:bidi="ar-SA"/>
    </w:rPr>
  </w:style>
  <w:style w:type="paragraph" w:customStyle="1" w:styleId="370">
    <w:name w:val="表名"/>
    <w:basedOn w:val="1"/>
    <w:autoRedefine/>
    <w:qFormat/>
    <w:uiPriority w:val="0"/>
    <w:pPr>
      <w:jc w:val="center"/>
      <w:textAlignment w:val="baseline"/>
    </w:pPr>
    <w:rPr>
      <w:rFonts w:ascii="Arial" w:hAnsi="Arial" w:eastAsia="黑体"/>
      <w:szCs w:val="20"/>
    </w:rPr>
  </w:style>
  <w:style w:type="paragraph" w:customStyle="1" w:styleId="371">
    <w:name w:val="标题三"/>
    <w:basedOn w:val="1"/>
    <w:autoRedefine/>
    <w:qFormat/>
    <w:uiPriority w:val="0"/>
    <w:pPr>
      <w:spacing w:line="360" w:lineRule="auto"/>
    </w:pPr>
    <w:rPr>
      <w:b/>
      <w:sz w:val="24"/>
    </w:rPr>
  </w:style>
  <w:style w:type="paragraph" w:customStyle="1" w:styleId="372">
    <w:name w:val="标题2"/>
    <w:basedOn w:val="1"/>
    <w:autoRedefine/>
    <w:qFormat/>
    <w:uiPriority w:val="0"/>
    <w:pPr>
      <w:adjustRightInd w:val="0"/>
      <w:spacing w:before="60" w:after="60" w:line="288" w:lineRule="auto"/>
      <w:ind w:firstLine="567"/>
      <w:jc w:val="left"/>
      <w:textAlignment w:val="baseline"/>
    </w:pPr>
    <w:rPr>
      <w:rFonts w:eastAsia="黑体" w:cs="宋体"/>
      <w:b/>
      <w:bCs/>
      <w:kern w:val="0"/>
      <w:sz w:val="30"/>
      <w:szCs w:val="20"/>
    </w:rPr>
  </w:style>
  <w:style w:type="paragraph" w:customStyle="1" w:styleId="373">
    <w:name w:val="1正文段落"/>
    <w:basedOn w:val="1"/>
    <w:autoRedefine/>
    <w:qFormat/>
    <w:uiPriority w:val="0"/>
    <w:pPr>
      <w:spacing w:line="360" w:lineRule="auto"/>
      <w:ind w:firstLine="480" w:firstLineChars="200"/>
      <w:jc w:val="left"/>
    </w:pPr>
    <w:rPr>
      <w:snapToGrid w:val="0"/>
      <w:kern w:val="0"/>
      <w:sz w:val="24"/>
    </w:rPr>
  </w:style>
  <w:style w:type="paragraph" w:customStyle="1" w:styleId="374">
    <w:name w:val="表格样式"/>
    <w:basedOn w:val="1"/>
    <w:autoRedefine/>
    <w:qFormat/>
    <w:uiPriority w:val="0"/>
    <w:pPr>
      <w:spacing w:line="360" w:lineRule="auto"/>
    </w:pPr>
    <w:rPr>
      <w:rFonts w:ascii="黑体" w:eastAsia="黑体" w:cs="宋体"/>
    </w:rPr>
  </w:style>
  <w:style w:type="paragraph" w:customStyle="1" w:styleId="375">
    <w:name w:val="表中文字"/>
    <w:basedOn w:val="1"/>
    <w:autoRedefine/>
    <w:qFormat/>
    <w:uiPriority w:val="0"/>
    <w:pPr>
      <w:snapToGrid w:val="0"/>
      <w:jc w:val="center"/>
    </w:pPr>
    <w:rPr>
      <w:snapToGrid w:val="0"/>
      <w:kern w:val="0"/>
      <w:szCs w:val="21"/>
      <w:lang w:eastAsia="zh-TW"/>
    </w:rPr>
  </w:style>
  <w:style w:type="paragraph" w:customStyle="1" w:styleId="376">
    <w:name w:val="样式 宋体 首行缩进:  0.97 厘米 右侧:  -0.03 厘米 行距: 1.5 倍行距"/>
    <w:basedOn w:val="1"/>
    <w:autoRedefine/>
    <w:qFormat/>
    <w:uiPriority w:val="0"/>
    <w:pPr>
      <w:spacing w:line="360" w:lineRule="auto"/>
      <w:ind w:right="-15" w:firstLine="548"/>
    </w:pPr>
    <w:rPr>
      <w:rFonts w:ascii="宋体" w:hAnsi="宋体" w:cs="宋体"/>
      <w:sz w:val="24"/>
      <w:szCs w:val="20"/>
    </w:rPr>
  </w:style>
  <w:style w:type="paragraph" w:customStyle="1" w:styleId="377">
    <w:name w:val="表格2"/>
    <w:autoRedefine/>
    <w:qFormat/>
    <w:uiPriority w:val="0"/>
    <w:pPr>
      <w:adjustRightInd w:val="0"/>
      <w:snapToGrid w:val="0"/>
      <w:jc w:val="center"/>
    </w:pPr>
    <w:rPr>
      <w:rFonts w:ascii="Times New Roman" w:hAnsi="Times New Roman" w:eastAsia="宋体" w:cs="Times New Roman"/>
      <w:b/>
      <w:bCs/>
      <w:sz w:val="21"/>
      <w:lang w:val="en-US" w:eastAsia="zh-CN" w:bidi="ar-SA"/>
    </w:rPr>
  </w:style>
  <w:style w:type="paragraph" w:customStyle="1" w:styleId="378">
    <w:name w:val="p0"/>
    <w:basedOn w:val="1"/>
    <w:autoRedefine/>
    <w:qFormat/>
    <w:uiPriority w:val="0"/>
    <w:pPr>
      <w:widowControl/>
      <w:ind w:firstLine="420"/>
      <w:jc w:val="left"/>
    </w:pPr>
    <w:rPr>
      <w:kern w:val="0"/>
      <w:sz w:val="20"/>
      <w:szCs w:val="20"/>
    </w:rPr>
  </w:style>
  <w:style w:type="paragraph" w:customStyle="1" w:styleId="379">
    <w:name w:val="表格左对齐"/>
    <w:basedOn w:val="1"/>
    <w:autoRedefine/>
    <w:qFormat/>
    <w:uiPriority w:val="0"/>
    <w:pPr>
      <w:snapToGrid w:val="0"/>
      <w:spacing w:before="20" w:after="20"/>
      <w:jc w:val="left"/>
    </w:pPr>
    <w:rPr>
      <w:szCs w:val="20"/>
    </w:rPr>
  </w:style>
  <w:style w:type="paragraph" w:customStyle="1" w:styleId="380">
    <w:name w:val="关键词"/>
    <w:basedOn w:val="1"/>
    <w:autoRedefine/>
    <w:qFormat/>
    <w:uiPriority w:val="0"/>
    <w:pPr>
      <w:spacing w:before="120" w:after="200"/>
      <w:ind w:firstLine="369"/>
    </w:pPr>
    <w:rPr>
      <w:rFonts w:eastAsia="黑体"/>
      <w:kern w:val="0"/>
      <w:sz w:val="18"/>
      <w:szCs w:val="20"/>
    </w:rPr>
  </w:style>
  <w:style w:type="paragraph" w:customStyle="1" w:styleId="381">
    <w:name w:val="表内字"/>
    <w:autoRedefine/>
    <w:qFormat/>
    <w:uiPriority w:val="0"/>
    <w:pPr>
      <w:spacing w:line="312" w:lineRule="auto"/>
      <w:jc w:val="center"/>
    </w:pPr>
    <w:rPr>
      <w:rFonts w:ascii="Calibri" w:hAnsi="Calibri" w:eastAsia="宋体" w:cs="Times New Roman"/>
      <w:color w:val="000000"/>
      <w:sz w:val="21"/>
      <w:lang w:val="en-US" w:eastAsia="zh-CN" w:bidi="ar-SA"/>
    </w:rPr>
  </w:style>
  <w:style w:type="paragraph" w:customStyle="1" w:styleId="382">
    <w:name w:val="样式 (符号) 宋体 四号 首行缩进:  1.06 厘米 行距: 固定值 28 磅"/>
    <w:basedOn w:val="1"/>
    <w:autoRedefine/>
    <w:qFormat/>
    <w:uiPriority w:val="0"/>
    <w:pPr>
      <w:spacing w:line="360" w:lineRule="auto"/>
      <w:ind w:firstLine="480"/>
      <w:jc w:val="center"/>
    </w:pPr>
    <w:rPr>
      <w:rFonts w:eastAsia="黑体"/>
      <w:color w:val="000000"/>
      <w:sz w:val="24"/>
    </w:rPr>
  </w:style>
  <w:style w:type="paragraph" w:customStyle="1" w:styleId="383">
    <w:name w:val="标题5"/>
    <w:basedOn w:val="6"/>
    <w:autoRedefine/>
    <w:qFormat/>
    <w:uiPriority w:val="0"/>
    <w:pPr>
      <w:numPr>
        <w:ilvl w:val="0"/>
        <w:numId w:val="0"/>
      </w:numPr>
      <w:tabs>
        <w:tab w:val="left" w:pos="720"/>
      </w:tabs>
      <w:adjustRightInd/>
      <w:ind w:left="720" w:hanging="720"/>
      <w:jc w:val="both"/>
      <w:textAlignment w:val="auto"/>
    </w:pPr>
    <w:rPr>
      <w:rFonts w:eastAsia="宋体"/>
      <w:b w:val="0"/>
      <w:bCs/>
      <w:kern w:val="2"/>
      <w:sz w:val="24"/>
      <w:szCs w:val="28"/>
    </w:rPr>
  </w:style>
  <w:style w:type="paragraph" w:customStyle="1" w:styleId="384">
    <w:name w:val="表文LA"/>
    <w:autoRedefine/>
    <w:qFormat/>
    <w:uiPriority w:val="0"/>
    <w:pPr>
      <w:tabs>
        <w:tab w:val="left" w:pos="0"/>
      </w:tabs>
      <w:adjustRightInd w:val="0"/>
      <w:snapToGrid w:val="0"/>
      <w:spacing w:before="31" w:after="31"/>
      <w:jc w:val="center"/>
    </w:pPr>
    <w:rPr>
      <w:rFonts w:ascii="宋体" w:hAnsi="Times New Roman" w:eastAsia="宋体" w:cs="Times New Roman"/>
      <w:sz w:val="21"/>
      <w:lang w:val="en-US" w:eastAsia="zh-CN" w:bidi="ar-SA"/>
    </w:rPr>
  </w:style>
  <w:style w:type="paragraph" w:customStyle="1" w:styleId="385">
    <w:name w:val="xl37"/>
    <w:basedOn w:val="1"/>
    <w:autoRedefine/>
    <w:qFormat/>
    <w:uiPriority w:val="0"/>
    <w:pPr>
      <w:widowControl/>
      <w:pBdr>
        <w:left w:val="single" w:color="auto" w:sz="4" w:space="0"/>
        <w:bottom w:val="single" w:color="auto" w:sz="4" w:space="0"/>
        <w:right w:val="single" w:color="auto" w:sz="8" w:space="0"/>
      </w:pBdr>
      <w:spacing w:before="100" w:beforeAutospacing="1" w:after="100" w:afterAutospacing="1"/>
      <w:jc w:val="left"/>
    </w:pPr>
    <w:rPr>
      <w:rFonts w:ascii="Arial Unicode MS" w:hAnsi="Arial Unicode MS" w:eastAsia="Arial Unicode MS" w:cs="Arial Unicode MS"/>
      <w:kern w:val="0"/>
      <w:sz w:val="20"/>
      <w:szCs w:val="20"/>
    </w:rPr>
  </w:style>
  <w:style w:type="paragraph" w:customStyle="1" w:styleId="386">
    <w:name w:val="Char Char Char1 Char Char Char Char Char Char Char Char Char Char Char Char1 Char Char Char Char Char Char Char Char Char Char1"/>
    <w:basedOn w:val="1"/>
    <w:autoRedefine/>
    <w:qFormat/>
    <w:uiPriority w:val="0"/>
    <w:pPr>
      <w:spacing w:line="360" w:lineRule="auto"/>
      <w:ind w:firstLine="200" w:firstLineChars="200"/>
    </w:pPr>
    <w:rPr>
      <w:rFonts w:ascii="宋体" w:hAnsi="宋体" w:eastAsia="黑体" w:cs="宋体"/>
      <w:sz w:val="28"/>
    </w:rPr>
  </w:style>
  <w:style w:type="paragraph" w:customStyle="1" w:styleId="387">
    <w:name w:val="style7"/>
    <w:basedOn w:val="1"/>
    <w:autoRedefine/>
    <w:qFormat/>
    <w:uiPriority w:val="0"/>
    <w:pPr>
      <w:widowControl/>
      <w:spacing w:before="100" w:beforeAutospacing="1" w:after="100" w:afterAutospacing="1" w:line="270" w:lineRule="atLeast"/>
    </w:pPr>
    <w:rPr>
      <w:rFonts w:ascii="宋体" w:hAnsi="宋体" w:cs="宋体"/>
      <w:b/>
      <w:bCs/>
      <w:color w:val="000000"/>
      <w:kern w:val="0"/>
      <w:szCs w:val="21"/>
    </w:rPr>
  </w:style>
  <w:style w:type="paragraph" w:customStyle="1" w:styleId="388">
    <w:name w:val="样式 标题2 + 四号"/>
    <w:basedOn w:val="3"/>
    <w:autoRedefine/>
    <w:qFormat/>
    <w:uiPriority w:val="0"/>
    <w:pPr>
      <w:snapToGrid/>
      <w:spacing w:before="240" w:after="120" w:line="240" w:lineRule="auto"/>
      <w:jc w:val="both"/>
    </w:pPr>
    <w:rPr>
      <w:rFonts w:ascii="Arial" w:hAnsi="Arial" w:eastAsia="宋体"/>
      <w:bCs/>
      <w:color w:val="auto"/>
      <w:szCs w:val="32"/>
    </w:rPr>
  </w:style>
  <w:style w:type="paragraph" w:customStyle="1" w:styleId="389">
    <w:name w:val="BB"/>
    <w:basedOn w:val="3"/>
    <w:autoRedefine/>
    <w:qFormat/>
    <w:uiPriority w:val="0"/>
    <w:pPr>
      <w:snapToGrid/>
      <w:jc w:val="both"/>
    </w:pPr>
    <w:rPr>
      <w:rFonts w:eastAsia="宋体"/>
      <w:bCs/>
      <w:color w:val="auto"/>
      <w:szCs w:val="28"/>
    </w:rPr>
  </w:style>
  <w:style w:type="paragraph" w:customStyle="1" w:styleId="390">
    <w:name w:val="标准段落"/>
    <w:basedOn w:val="1"/>
    <w:next w:val="1"/>
    <w:autoRedefine/>
    <w:semiHidden/>
    <w:qFormat/>
    <w:uiPriority w:val="0"/>
    <w:pPr>
      <w:spacing w:line="360" w:lineRule="auto"/>
      <w:ind w:firstLine="540" w:firstLineChars="225"/>
    </w:pPr>
    <w:rPr>
      <w:rFonts w:hAnsi="宋体"/>
      <w:bCs/>
      <w:kern w:val="0"/>
      <w:sz w:val="24"/>
    </w:rPr>
  </w:style>
  <w:style w:type="paragraph" w:customStyle="1" w:styleId="391">
    <w:name w:val="Char Char Char Char21"/>
    <w:basedOn w:val="1"/>
    <w:autoRedefine/>
    <w:qFormat/>
    <w:uiPriority w:val="0"/>
    <w:rPr>
      <w:sz w:val="32"/>
      <w:szCs w:val="32"/>
    </w:rPr>
  </w:style>
  <w:style w:type="paragraph" w:customStyle="1" w:styleId="392">
    <w:name w:val="陆晶 标题1"/>
    <w:basedOn w:val="1"/>
    <w:autoRedefine/>
    <w:qFormat/>
    <w:uiPriority w:val="0"/>
    <w:pPr>
      <w:tabs>
        <w:tab w:val="left" w:pos="-426"/>
      </w:tabs>
      <w:spacing w:before="480" w:after="240" w:line="480" w:lineRule="exact"/>
      <w:ind w:left="2835"/>
      <w:jc w:val="center"/>
      <w:outlineLvl w:val="0"/>
    </w:pPr>
    <w:rPr>
      <w:rFonts w:ascii="Arial" w:hAnsi="Arial" w:cs="Arial"/>
      <w:b/>
      <w:bCs/>
      <w:color w:val="000000"/>
      <w:kern w:val="0"/>
      <w:sz w:val="32"/>
      <w:szCs w:val="32"/>
    </w:rPr>
  </w:style>
  <w:style w:type="paragraph" w:customStyle="1" w:styleId="393">
    <w:name w:val="style5"/>
    <w:basedOn w:val="1"/>
    <w:autoRedefine/>
    <w:qFormat/>
    <w:uiPriority w:val="0"/>
    <w:pPr>
      <w:widowControl/>
      <w:spacing w:before="100" w:beforeAutospacing="1" w:after="100" w:afterAutospacing="1" w:line="270" w:lineRule="atLeast"/>
    </w:pPr>
    <w:rPr>
      <w:rFonts w:ascii="宋体" w:hAnsi="宋体" w:cs="宋体"/>
      <w:color w:val="000000"/>
      <w:kern w:val="0"/>
      <w:szCs w:val="21"/>
    </w:rPr>
  </w:style>
  <w:style w:type="paragraph" w:customStyle="1" w:styleId="394">
    <w:name w:val="陆晶 标题3"/>
    <w:basedOn w:val="1"/>
    <w:autoRedefine/>
    <w:qFormat/>
    <w:uiPriority w:val="0"/>
    <w:pPr>
      <w:keepNext/>
      <w:keepLines/>
      <w:tabs>
        <w:tab w:val="left" w:pos="747"/>
      </w:tabs>
      <w:spacing w:before="240" w:after="120" w:line="480" w:lineRule="exact"/>
      <w:ind w:left="747"/>
      <w:jc w:val="left"/>
      <w:outlineLvl w:val="2"/>
    </w:pPr>
    <w:rPr>
      <w:rFonts w:ascii="ˎ̥" w:hAnsi="ˎ̥"/>
      <w:b/>
      <w:bCs/>
      <w:color w:val="000000"/>
      <w:sz w:val="28"/>
      <w:szCs w:val="28"/>
    </w:rPr>
  </w:style>
  <w:style w:type="paragraph" w:customStyle="1" w:styleId="395">
    <w:name w:val="表"/>
    <w:basedOn w:val="1"/>
    <w:next w:val="1"/>
    <w:autoRedefine/>
    <w:qFormat/>
    <w:uiPriority w:val="0"/>
    <w:pPr>
      <w:widowControl/>
      <w:suppressAutoHyphens/>
      <w:spacing w:line="300" w:lineRule="exact"/>
      <w:jc w:val="center"/>
    </w:pPr>
    <w:rPr>
      <w:szCs w:val="20"/>
    </w:rPr>
  </w:style>
  <w:style w:type="paragraph" w:customStyle="1" w:styleId="396">
    <w:name w:val="xl29"/>
    <w:basedOn w:val="1"/>
    <w:autoRedefine/>
    <w:qFormat/>
    <w:uiPriority w:val="0"/>
    <w:pPr>
      <w:widowControl/>
      <w:spacing w:before="100" w:beforeAutospacing="1" w:after="100" w:afterAutospacing="1"/>
      <w:jc w:val="left"/>
    </w:pPr>
    <w:rPr>
      <w:kern w:val="0"/>
      <w:sz w:val="24"/>
    </w:rPr>
  </w:style>
  <w:style w:type="paragraph" w:customStyle="1" w:styleId="397">
    <w:name w:val="标准"/>
    <w:basedOn w:val="1"/>
    <w:autoRedefine/>
    <w:qFormat/>
    <w:uiPriority w:val="0"/>
    <w:pPr>
      <w:adjustRightInd w:val="0"/>
      <w:spacing w:line="360" w:lineRule="auto"/>
      <w:textAlignment w:val="baseline"/>
    </w:pPr>
    <w:rPr>
      <w:rFonts w:ascii="宋体"/>
      <w:kern w:val="0"/>
      <w:sz w:val="28"/>
      <w:szCs w:val="20"/>
    </w:rPr>
  </w:style>
  <w:style w:type="paragraph" w:customStyle="1" w:styleId="398">
    <w:name w:val="表格文字2"/>
    <w:basedOn w:val="1"/>
    <w:autoRedefine/>
    <w:qFormat/>
    <w:uiPriority w:val="0"/>
    <w:pPr>
      <w:tabs>
        <w:tab w:val="left" w:pos="277"/>
        <w:tab w:val="left" w:pos="600"/>
        <w:tab w:val="left" w:pos="780"/>
        <w:tab w:val="left" w:pos="2517"/>
      </w:tabs>
      <w:adjustRightInd w:val="0"/>
      <w:jc w:val="center"/>
      <w:textAlignment w:val="baseline"/>
    </w:pPr>
    <w:rPr>
      <w:kern w:val="0"/>
      <w:szCs w:val="21"/>
    </w:rPr>
  </w:style>
  <w:style w:type="paragraph" w:customStyle="1" w:styleId="399">
    <w:name w:val="Char1"/>
    <w:basedOn w:val="1"/>
    <w:autoRedefine/>
    <w:qFormat/>
    <w:uiPriority w:val="0"/>
    <w:rPr>
      <w:rFonts w:ascii="Tahoma" w:hAnsi="Tahoma"/>
      <w:sz w:val="24"/>
      <w:szCs w:val="20"/>
    </w:rPr>
  </w:style>
  <w:style w:type="paragraph" w:customStyle="1" w:styleId="400">
    <w:name w:val="样式 样式 样式 标题 1 + 居中 左侧:  0 厘米 首行缩进:  0 厘米 段前: 0.5 行 段后: 0.5 行 行距:..."/>
    <w:basedOn w:val="1"/>
    <w:autoRedefine/>
    <w:qFormat/>
    <w:uiPriority w:val="0"/>
    <w:pPr>
      <w:keepNext/>
      <w:keepLines/>
      <w:tabs>
        <w:tab w:val="left" w:pos="425"/>
      </w:tabs>
      <w:adjustRightInd w:val="0"/>
      <w:spacing w:before="156" w:beforeLines="50" w:after="156" w:afterLines="50" w:line="500" w:lineRule="exact"/>
      <w:ind w:left="425" w:hanging="425"/>
      <w:jc w:val="center"/>
      <w:textAlignment w:val="baseline"/>
      <w:outlineLvl w:val="0"/>
    </w:pPr>
    <w:rPr>
      <w:rFonts w:cs="宋体"/>
      <w:b/>
      <w:kern w:val="44"/>
      <w:sz w:val="32"/>
      <w:szCs w:val="20"/>
    </w:rPr>
  </w:style>
  <w:style w:type="paragraph" w:customStyle="1" w:styleId="401">
    <w:name w:val="表中正文"/>
    <w:basedOn w:val="1"/>
    <w:autoRedefine/>
    <w:qFormat/>
    <w:uiPriority w:val="0"/>
    <w:pPr>
      <w:tabs>
        <w:tab w:val="left" w:pos="958"/>
        <w:tab w:val="left" w:pos="7320"/>
        <w:tab w:val="left" w:pos="8160"/>
      </w:tabs>
      <w:adjustRightInd w:val="0"/>
      <w:spacing w:line="360" w:lineRule="atLeast"/>
      <w:ind w:right="113"/>
      <w:jc w:val="center"/>
      <w:textAlignment w:val="baseline"/>
    </w:pPr>
    <w:rPr>
      <w:rFonts w:ascii="宋体" w:hAnsi="宋体"/>
      <w:spacing w:val="6"/>
      <w:kern w:val="20"/>
    </w:rPr>
  </w:style>
  <w:style w:type="paragraph" w:customStyle="1" w:styleId="402">
    <w:name w:val="Char4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403">
    <w:name w:val="图形"/>
    <w:basedOn w:val="1"/>
    <w:autoRedefine/>
    <w:qFormat/>
    <w:uiPriority w:val="0"/>
    <w:pPr>
      <w:jc w:val="center"/>
    </w:pPr>
    <w:rPr>
      <w:rFonts w:ascii="宋体" w:hAnsi="宋体"/>
      <w:sz w:val="24"/>
    </w:rPr>
  </w:style>
  <w:style w:type="paragraph" w:customStyle="1" w:styleId="404">
    <w:name w:val="图号"/>
    <w:basedOn w:val="1"/>
    <w:autoRedefine/>
    <w:qFormat/>
    <w:uiPriority w:val="0"/>
    <w:pPr>
      <w:ind w:firstLine="46" w:firstLineChars="21"/>
      <w:jc w:val="center"/>
    </w:pPr>
    <w:rPr>
      <w:color w:val="000000"/>
      <w:sz w:val="22"/>
    </w:rPr>
  </w:style>
  <w:style w:type="paragraph" w:customStyle="1" w:styleId="405">
    <w:name w:val="Char Char Char Char Char Char Char Char Char Char"/>
    <w:basedOn w:val="19"/>
    <w:autoRedefine/>
    <w:qFormat/>
    <w:uiPriority w:val="0"/>
    <w:pPr>
      <w:spacing w:line="360" w:lineRule="auto"/>
      <w:ind w:firstLine="480" w:firstLineChars="200"/>
    </w:pPr>
    <w:rPr>
      <w:rFonts w:ascii="Tahoma" w:hAnsi="Tahoma"/>
      <w:sz w:val="24"/>
      <w:szCs w:val="21"/>
    </w:rPr>
  </w:style>
  <w:style w:type="paragraph" w:customStyle="1" w:styleId="406">
    <w:name w:val="表头文字zoe"/>
    <w:basedOn w:val="1"/>
    <w:autoRedefine/>
    <w:qFormat/>
    <w:uiPriority w:val="0"/>
    <w:pPr>
      <w:spacing w:line="360" w:lineRule="auto"/>
      <w:ind w:firstLine="3600" w:firstLineChars="1500"/>
    </w:pPr>
    <w:rPr>
      <w:rFonts w:ascii="宋体" w:hAnsi="宋体"/>
      <w:position w:val="6"/>
      <w:sz w:val="24"/>
      <w:szCs w:val="20"/>
    </w:rPr>
  </w:style>
  <w:style w:type="paragraph" w:customStyle="1" w:styleId="407">
    <w:name w:val="表格小4"/>
    <w:basedOn w:val="1"/>
    <w:autoRedefine/>
    <w:qFormat/>
    <w:uiPriority w:val="0"/>
    <w:pPr>
      <w:widowControl/>
      <w:snapToGrid w:val="0"/>
      <w:jc w:val="center"/>
      <w:textAlignment w:val="baseline"/>
    </w:pPr>
    <w:rPr>
      <w:rFonts w:ascii="Arial Narrow" w:hAnsi="Arial Narrow"/>
      <w:bCs/>
      <w:kern w:val="0"/>
      <w:sz w:val="24"/>
    </w:rPr>
  </w:style>
  <w:style w:type="paragraph" w:customStyle="1" w:styleId="408">
    <w:name w:val="Char Char Char Char Char Char3 Char"/>
    <w:basedOn w:val="1"/>
    <w:autoRedefine/>
    <w:qFormat/>
    <w:uiPriority w:val="0"/>
    <w:pPr>
      <w:widowControl/>
      <w:spacing w:after="160" w:line="240" w:lineRule="exact"/>
      <w:jc w:val="left"/>
    </w:pPr>
    <w:rPr>
      <w:rFonts w:ascii="Verdana" w:hAnsi="Verdana" w:cs="Verdana"/>
      <w:kern w:val="0"/>
      <w:sz w:val="20"/>
      <w:szCs w:val="20"/>
      <w:lang w:eastAsia="en-US"/>
    </w:rPr>
  </w:style>
  <w:style w:type="paragraph" w:customStyle="1" w:styleId="409">
    <w:name w:val="Char Char Char1 Char Char Char Char Char Char Char Char Char Char"/>
    <w:basedOn w:val="1"/>
    <w:autoRedefine/>
    <w:qFormat/>
    <w:uiPriority w:val="0"/>
  </w:style>
  <w:style w:type="paragraph" w:customStyle="1" w:styleId="410">
    <w:name w:val="样式4"/>
    <w:basedOn w:val="1"/>
    <w:autoRedefine/>
    <w:qFormat/>
    <w:uiPriority w:val="0"/>
    <w:pPr>
      <w:tabs>
        <w:tab w:val="left" w:pos="576"/>
        <w:tab w:val="left" w:pos="987"/>
      </w:tabs>
      <w:adjustRightInd w:val="0"/>
      <w:snapToGrid w:val="0"/>
      <w:spacing w:before="50" w:beforeLines="50" w:after="50" w:afterLines="50" w:line="360" w:lineRule="auto"/>
      <w:ind w:left="576" w:hanging="576"/>
      <w:jc w:val="left"/>
      <w:outlineLvl w:val="1"/>
    </w:pPr>
    <w:rPr>
      <w:rFonts w:eastAsia="黑体"/>
      <w:b/>
      <w:sz w:val="24"/>
    </w:rPr>
  </w:style>
  <w:style w:type="paragraph" w:customStyle="1" w:styleId="411">
    <w:name w:val="xl32"/>
    <w:basedOn w:val="1"/>
    <w:autoRedefine/>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412">
    <w:name w:val="Char Char Char1 Char Char Char Char Char Char Char Char Char Char Char Char1 Char Char Char Char Char Char Char Char Char Char2"/>
    <w:basedOn w:val="1"/>
    <w:autoRedefine/>
    <w:qFormat/>
    <w:uiPriority w:val="0"/>
    <w:pPr>
      <w:spacing w:line="360" w:lineRule="auto"/>
      <w:ind w:firstLine="200" w:firstLineChars="200"/>
    </w:pPr>
    <w:rPr>
      <w:rFonts w:ascii="宋体" w:hAnsi="宋体" w:eastAsia="黑体" w:cs="宋体"/>
      <w:sz w:val="28"/>
    </w:rPr>
  </w:style>
  <w:style w:type="paragraph" w:customStyle="1" w:styleId="413">
    <w:name w:val="样式 宋体 小四 行距: 固定值 26 磅"/>
    <w:basedOn w:val="1"/>
    <w:autoRedefine/>
    <w:qFormat/>
    <w:uiPriority w:val="0"/>
    <w:pPr>
      <w:spacing w:line="520" w:lineRule="exact"/>
      <w:ind w:firstLine="480" w:firstLineChars="200"/>
    </w:pPr>
    <w:rPr>
      <w:rFonts w:cs="宋体"/>
      <w:sz w:val="24"/>
    </w:rPr>
  </w:style>
  <w:style w:type="paragraph" w:customStyle="1" w:styleId="414">
    <w:name w:val="xl28"/>
    <w:basedOn w:val="1"/>
    <w:autoRedefine/>
    <w:qFormat/>
    <w:uiPriority w:val="0"/>
    <w:pPr>
      <w:widowControl/>
      <w:spacing w:before="100" w:beforeAutospacing="1" w:after="100" w:afterAutospacing="1"/>
      <w:jc w:val="right"/>
    </w:pPr>
    <w:rPr>
      <w:rFonts w:ascii="宋体" w:hAnsi="宋体"/>
      <w:kern w:val="0"/>
      <w:sz w:val="24"/>
    </w:rPr>
  </w:style>
  <w:style w:type="paragraph" w:customStyle="1" w:styleId="415">
    <w:name w:val="表文字"/>
    <w:autoRedefine/>
    <w:qFormat/>
    <w:uiPriority w:val="0"/>
    <w:rPr>
      <w:rFonts w:ascii="Times New Roman" w:hAnsi="Times New Roman" w:eastAsia="宋体" w:cs="Times New Roman"/>
      <w:sz w:val="21"/>
      <w:lang w:val="en-US" w:eastAsia="zh-CN" w:bidi="ar-SA"/>
    </w:rPr>
  </w:style>
  <w:style w:type="paragraph" w:customStyle="1" w:styleId="416">
    <w:name w:val="xl39"/>
    <w:basedOn w:val="1"/>
    <w:autoRedefine/>
    <w:qFormat/>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4"/>
    </w:rPr>
  </w:style>
  <w:style w:type="paragraph" w:customStyle="1" w:styleId="417">
    <w:name w:val="Char Char Char Char Char Char Char Char Char Char Char Char Char Char Char Char Char Char Char Char1 Char Char Char Char Char Char Char Char Char Char Char Char Char Char Char Char"/>
    <w:basedOn w:val="1"/>
    <w:autoRedefine/>
    <w:qFormat/>
    <w:uiPriority w:val="0"/>
    <w:rPr>
      <w:rFonts w:ascii="Tahoma" w:hAnsi="Tahoma" w:eastAsia="仿宋_GB2312"/>
      <w:b/>
      <w:sz w:val="24"/>
      <w:szCs w:val="20"/>
    </w:rPr>
  </w:style>
  <w:style w:type="paragraph" w:customStyle="1" w:styleId="418">
    <w:name w:val="正文B"/>
    <w:basedOn w:val="93"/>
    <w:autoRedefine/>
    <w:qFormat/>
    <w:uiPriority w:val="0"/>
    <w:pPr>
      <w:spacing w:line="348" w:lineRule="auto"/>
    </w:pPr>
  </w:style>
  <w:style w:type="paragraph" w:customStyle="1" w:styleId="419">
    <w:name w:val="样式 首行缩进:  2 字符"/>
    <w:basedOn w:val="1"/>
    <w:autoRedefine/>
    <w:qFormat/>
    <w:uiPriority w:val="0"/>
    <w:pPr>
      <w:spacing w:line="360" w:lineRule="auto"/>
      <w:ind w:firstLine="420" w:firstLineChars="200"/>
    </w:pPr>
    <w:rPr>
      <w:rFonts w:cs="宋体"/>
      <w:szCs w:val="20"/>
    </w:rPr>
  </w:style>
  <w:style w:type="paragraph" w:customStyle="1" w:styleId="420">
    <w:name w:val="正文王"/>
    <w:basedOn w:val="1"/>
    <w:autoRedefine/>
    <w:qFormat/>
    <w:uiPriority w:val="0"/>
    <w:pPr>
      <w:ind w:firstLine="200" w:firstLineChars="200"/>
    </w:pPr>
    <w:rPr>
      <w:sz w:val="28"/>
      <w:szCs w:val="20"/>
    </w:rPr>
  </w:style>
  <w:style w:type="paragraph" w:customStyle="1" w:styleId="421">
    <w:name w:val="样式 样式 样式 小四 首行缩进:  2.25 字符 + 首行缩进:  2.25 字符 + 首行缩进:  2 字符"/>
    <w:basedOn w:val="1"/>
    <w:autoRedefine/>
    <w:qFormat/>
    <w:uiPriority w:val="0"/>
    <w:pPr>
      <w:spacing w:line="440" w:lineRule="exact"/>
      <w:ind w:firstLine="200" w:firstLineChars="200"/>
    </w:pPr>
    <w:rPr>
      <w:sz w:val="24"/>
      <w:szCs w:val="20"/>
    </w:rPr>
  </w:style>
  <w:style w:type="paragraph" w:customStyle="1" w:styleId="422">
    <w:name w:val="正文2"/>
    <w:basedOn w:val="1"/>
    <w:autoRedefine/>
    <w:qFormat/>
    <w:uiPriority w:val="0"/>
    <w:pPr>
      <w:ind w:firstLine="560" w:firstLineChars="200"/>
    </w:pPr>
    <w:rPr>
      <w:rFonts w:ascii="仿宋_GB2312" w:eastAsia="仿宋_GB2312"/>
      <w:color w:val="000000"/>
      <w:sz w:val="28"/>
      <w:szCs w:val="20"/>
    </w:rPr>
  </w:style>
  <w:style w:type="paragraph" w:customStyle="1" w:styleId="423">
    <w:name w:val="_Style 418"/>
    <w:basedOn w:val="2"/>
    <w:next w:val="1"/>
    <w:autoRedefine/>
    <w:qFormat/>
    <w:uiPriority w:val="0"/>
    <w:pPr>
      <w:widowControl/>
      <w:spacing w:before="480" w:line="276" w:lineRule="auto"/>
      <w:ind w:left="0"/>
      <w:jc w:val="left"/>
      <w:outlineLvl w:val="9"/>
    </w:pPr>
    <w:rPr>
      <w:rFonts w:ascii="Cambria" w:hAnsi="Cambria" w:eastAsia="宋体"/>
      <w:bCs/>
      <w:color w:val="365F91"/>
      <w:kern w:val="0"/>
      <w:sz w:val="28"/>
      <w:szCs w:val="28"/>
    </w:rPr>
  </w:style>
  <w:style w:type="paragraph" w:customStyle="1" w:styleId="424">
    <w:name w:val="Char Char Char Char Char Char Char1"/>
    <w:basedOn w:val="1"/>
    <w:autoRedefine/>
    <w:qFormat/>
    <w:uiPriority w:val="0"/>
  </w:style>
  <w:style w:type="paragraph" w:customStyle="1" w:styleId="425">
    <w:name w:val="报告题目1"/>
    <w:basedOn w:val="2"/>
    <w:autoRedefine/>
    <w:qFormat/>
    <w:uiPriority w:val="0"/>
    <w:pPr>
      <w:adjustRightInd w:val="0"/>
      <w:spacing w:before="120" w:after="60" w:line="300" w:lineRule="auto"/>
      <w:ind w:left="0"/>
      <w:textAlignment w:val="baseline"/>
    </w:pPr>
    <w:rPr>
      <w:b w:val="0"/>
      <w:color w:val="auto"/>
      <w:sz w:val="32"/>
      <w:szCs w:val="20"/>
    </w:rPr>
  </w:style>
  <w:style w:type="paragraph" w:customStyle="1" w:styleId="426">
    <w:name w:val="xl40"/>
    <w:basedOn w:val="1"/>
    <w:autoRedefine/>
    <w:qFormat/>
    <w:uiPriority w:val="0"/>
    <w:pPr>
      <w:widowControl/>
      <w:pBdr>
        <w:top w:val="single" w:color="auto" w:sz="4" w:space="0"/>
        <w:left w:val="single" w:color="auto" w:sz="8" w:space="0"/>
        <w:bottom w:val="single" w:color="auto" w:sz="8"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427">
    <w:name w:val="Char3"/>
    <w:basedOn w:val="1"/>
    <w:autoRedefine/>
    <w:qFormat/>
    <w:uiPriority w:val="0"/>
    <w:rPr>
      <w:rFonts w:ascii="Tahoma" w:hAnsi="Tahoma"/>
      <w:sz w:val="24"/>
      <w:szCs w:val="20"/>
    </w:rPr>
  </w:style>
  <w:style w:type="paragraph" w:customStyle="1" w:styleId="428">
    <w:name w:val="my t－title  题注"/>
    <w:basedOn w:val="17"/>
    <w:autoRedefine/>
    <w:qFormat/>
    <w:uiPriority w:val="0"/>
    <w:pPr>
      <w:keepNext/>
      <w:spacing w:line="240" w:lineRule="auto"/>
      <w:ind w:firstLine="0" w:firstLineChars="0"/>
      <w:jc w:val="center"/>
    </w:pPr>
    <w:rPr>
      <w:sz w:val="24"/>
    </w:rPr>
  </w:style>
  <w:style w:type="paragraph" w:customStyle="1" w:styleId="429">
    <w:name w:val="样式 新二级标题 + 段前: 0.5 行 段后: 0.5 行"/>
    <w:basedOn w:val="300"/>
    <w:autoRedefine/>
    <w:qFormat/>
    <w:uiPriority w:val="0"/>
    <w:pPr>
      <w:spacing w:before="20" w:beforeLines="20" w:after="20" w:afterLines="20"/>
    </w:pPr>
    <w:rPr>
      <w:rFonts w:cs="宋体"/>
      <w:color w:val="auto"/>
      <w:szCs w:val="30"/>
    </w:rPr>
  </w:style>
  <w:style w:type="paragraph" w:customStyle="1" w:styleId="430">
    <w:name w:val="主体文字"/>
    <w:basedOn w:val="29"/>
    <w:autoRedefine/>
    <w:qFormat/>
    <w:uiPriority w:val="0"/>
    <w:pPr>
      <w:spacing w:line="360" w:lineRule="auto"/>
      <w:ind w:firstLine="540" w:firstLineChars="225"/>
    </w:pPr>
    <w:rPr>
      <w:sz w:val="24"/>
      <w:szCs w:val="21"/>
    </w:rPr>
  </w:style>
  <w:style w:type="paragraph" w:customStyle="1" w:styleId="431">
    <w:name w:val="环评正文"/>
    <w:autoRedefine/>
    <w:qFormat/>
    <w:uiPriority w:val="0"/>
    <w:pPr>
      <w:spacing w:line="400" w:lineRule="exact"/>
      <w:ind w:firstLine="200" w:firstLineChars="200"/>
    </w:pPr>
    <w:rPr>
      <w:rFonts w:ascii="Times New Roman" w:hAnsi="Times New Roman" w:eastAsia="宋体" w:cs="Times New Roman"/>
      <w:bCs/>
      <w:kern w:val="2"/>
      <w:sz w:val="24"/>
      <w:szCs w:val="24"/>
      <w:lang w:val="en-US" w:eastAsia="zh-CN" w:bidi="ar-SA"/>
    </w:rPr>
  </w:style>
  <w:style w:type="paragraph" w:customStyle="1" w:styleId="432">
    <w:name w:val="Char Char Char1 Char Char Char Char Char Char Char Char Char Char1"/>
    <w:basedOn w:val="1"/>
    <w:autoRedefine/>
    <w:qFormat/>
    <w:uiPriority w:val="0"/>
    <w:rPr>
      <w:sz w:val="24"/>
    </w:rPr>
  </w:style>
  <w:style w:type="paragraph" w:customStyle="1" w:styleId="433">
    <w:name w:val="表中表"/>
    <w:basedOn w:val="434"/>
    <w:autoRedefine/>
    <w:qFormat/>
    <w:uiPriority w:val="0"/>
    <w:pPr>
      <w:jc w:val="center"/>
    </w:pPr>
    <w:rPr>
      <w:rFonts w:ascii="Calibri" w:hAnsi="Calibri"/>
      <w:sz w:val="21"/>
      <w:szCs w:val="21"/>
    </w:rPr>
  </w:style>
  <w:style w:type="paragraph" w:customStyle="1" w:styleId="434">
    <w:name w:val="Table Paragraph"/>
    <w:basedOn w:val="1"/>
    <w:autoRedefine/>
    <w:qFormat/>
    <w:uiPriority w:val="1"/>
    <w:pPr>
      <w:autoSpaceDE w:val="0"/>
      <w:autoSpaceDN w:val="0"/>
      <w:adjustRightInd w:val="0"/>
      <w:jc w:val="left"/>
    </w:pPr>
    <w:rPr>
      <w:kern w:val="0"/>
      <w:sz w:val="24"/>
    </w:rPr>
  </w:style>
  <w:style w:type="paragraph" w:customStyle="1" w:styleId="435">
    <w:name w:val="l_text"/>
    <w:basedOn w:val="1"/>
    <w:autoRedefine/>
    <w:qFormat/>
    <w:uiPriority w:val="0"/>
    <w:pPr>
      <w:widowControl/>
      <w:overflowPunct w:val="0"/>
      <w:autoSpaceDE w:val="0"/>
      <w:autoSpaceDN w:val="0"/>
      <w:adjustRightInd w:val="0"/>
      <w:spacing w:line="360" w:lineRule="auto"/>
      <w:ind w:firstLine="680"/>
      <w:textAlignment w:val="baseline"/>
    </w:pPr>
    <w:rPr>
      <w:rFonts w:ascii="楷体" w:eastAsia="楷体"/>
      <w:kern w:val="0"/>
      <w:sz w:val="28"/>
      <w:szCs w:val="20"/>
    </w:rPr>
  </w:style>
  <w:style w:type="paragraph" w:customStyle="1" w:styleId="436">
    <w:name w:val="表头 Char"/>
    <w:basedOn w:val="1"/>
    <w:autoRedefine/>
    <w:qFormat/>
    <w:uiPriority w:val="0"/>
    <w:pPr>
      <w:tabs>
        <w:tab w:val="left" w:pos="3180"/>
        <w:tab w:val="center" w:pos="4437"/>
      </w:tabs>
      <w:adjustRightInd w:val="0"/>
      <w:spacing w:line="360" w:lineRule="auto"/>
      <w:ind w:left="77" w:right="480" w:firstLine="480"/>
      <w:jc w:val="center"/>
      <w:textAlignment w:val="baseline"/>
    </w:pPr>
    <w:rPr>
      <w:rFonts w:ascii="宋体" w:hAnsi="宋体"/>
      <w:b/>
      <w:kern w:val="4"/>
      <w:szCs w:val="21"/>
    </w:rPr>
  </w:style>
  <w:style w:type="paragraph" w:customStyle="1" w:styleId="437">
    <w:name w:val="112"/>
    <w:basedOn w:val="2"/>
    <w:autoRedefine/>
    <w:qFormat/>
    <w:uiPriority w:val="0"/>
    <w:pPr>
      <w:spacing w:line="360" w:lineRule="auto"/>
      <w:ind w:left="0"/>
      <w:jc w:val="both"/>
      <w:outlineLvl w:val="1"/>
    </w:pPr>
    <w:rPr>
      <w:rFonts w:ascii="宋体" w:hAnsi="宋体" w:eastAsia="宋体" w:cs="宋体"/>
      <w:bCs/>
      <w:color w:val="auto"/>
      <w:kern w:val="0"/>
      <w:sz w:val="24"/>
    </w:rPr>
  </w:style>
  <w:style w:type="paragraph" w:customStyle="1" w:styleId="438">
    <w:name w:val="msobodytextindent2cxsplast"/>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439">
    <w:name w:val="xl3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440">
    <w:name w:val="正文样式3"/>
    <w:basedOn w:val="1"/>
    <w:autoRedefine/>
    <w:qFormat/>
    <w:uiPriority w:val="0"/>
    <w:pPr>
      <w:adjustRightInd w:val="0"/>
      <w:spacing w:line="20" w:lineRule="atLeast"/>
      <w:jc w:val="center"/>
      <w:textAlignment w:val="baseline"/>
    </w:pPr>
    <w:rPr>
      <w:kern w:val="0"/>
      <w:sz w:val="24"/>
      <w:szCs w:val="20"/>
    </w:rPr>
  </w:style>
  <w:style w:type="paragraph" w:customStyle="1" w:styleId="441">
    <w:name w:val="标题1"/>
    <w:basedOn w:val="1"/>
    <w:autoRedefine/>
    <w:qFormat/>
    <w:uiPriority w:val="0"/>
    <w:pPr>
      <w:tabs>
        <w:tab w:val="left" w:pos="840"/>
      </w:tabs>
      <w:ind w:left="840" w:hanging="360"/>
    </w:pPr>
    <w:rPr>
      <w:rFonts w:eastAsia="黑体"/>
      <w:b/>
      <w:sz w:val="24"/>
    </w:rPr>
  </w:style>
  <w:style w:type="paragraph" w:customStyle="1" w:styleId="442">
    <w:name w:val="test"/>
    <w:basedOn w:val="1"/>
    <w:autoRedefine/>
    <w:qFormat/>
    <w:uiPriority w:val="0"/>
    <w:pPr>
      <w:overflowPunct w:val="0"/>
      <w:autoSpaceDE w:val="0"/>
      <w:autoSpaceDN w:val="0"/>
      <w:adjustRightInd w:val="0"/>
      <w:spacing w:before="60" w:after="60" w:line="360" w:lineRule="auto"/>
      <w:ind w:firstLine="454"/>
      <w:jc w:val="center"/>
      <w:textAlignment w:val="baseline"/>
    </w:pPr>
    <w:rPr>
      <w:kern w:val="0"/>
      <w:sz w:val="24"/>
      <w:szCs w:val="20"/>
    </w:rPr>
  </w:style>
  <w:style w:type="paragraph" w:customStyle="1" w:styleId="443">
    <w:name w:val="样式 正文缩进正文（首行缩进两字）特点 + 宋体 黑色 段后: 5 磅 行距: 1.5 倍行距"/>
    <w:basedOn w:val="16"/>
    <w:autoRedefine/>
    <w:qFormat/>
    <w:uiPriority w:val="0"/>
    <w:pPr>
      <w:spacing w:after="100" w:line="360" w:lineRule="auto"/>
      <w:ind w:firstLine="560" w:firstLineChars="200"/>
    </w:pPr>
    <w:rPr>
      <w:rFonts w:ascii="宋体" w:hAnsi="宋体" w:cs="宋体"/>
      <w:color w:val="000000"/>
      <w:sz w:val="24"/>
    </w:rPr>
  </w:style>
  <w:style w:type="paragraph" w:customStyle="1" w:styleId="444">
    <w:name w:val="图表头"/>
    <w:next w:val="1"/>
    <w:autoRedefine/>
    <w:qFormat/>
    <w:uiPriority w:val="0"/>
    <w:pPr>
      <w:spacing w:before="120" w:after="120"/>
      <w:jc w:val="center"/>
    </w:pPr>
    <w:rPr>
      <w:rFonts w:ascii="黑体" w:hAnsi="Times New Roman" w:eastAsia="黑体" w:cs="Times New Roman"/>
      <w:sz w:val="21"/>
      <w:lang w:val="en-US" w:eastAsia="zh-CN" w:bidi="ar-SA"/>
    </w:rPr>
  </w:style>
  <w:style w:type="paragraph" w:customStyle="1" w:styleId="445">
    <w:name w:val="样式18"/>
    <w:basedOn w:val="1"/>
    <w:autoRedefine/>
    <w:qFormat/>
    <w:uiPriority w:val="0"/>
    <w:pPr>
      <w:widowControl/>
      <w:adjustRightInd w:val="0"/>
      <w:snapToGrid w:val="0"/>
      <w:spacing w:before="120" w:after="50" w:line="360" w:lineRule="auto"/>
      <w:ind w:left="789" w:right="208" w:hanging="403"/>
      <w:jc w:val="left"/>
      <w:outlineLvl w:val="1"/>
    </w:pPr>
    <w:rPr>
      <w:rFonts w:ascii="Arial" w:hAnsi="Arial" w:cs="宋体"/>
      <w:b/>
      <w:bCs/>
      <w:spacing w:val="10"/>
      <w:kern w:val="0"/>
      <w:sz w:val="24"/>
      <w:szCs w:val="20"/>
    </w:rPr>
  </w:style>
  <w:style w:type="paragraph" w:customStyle="1" w:styleId="446">
    <w:name w:val="表中文字5"/>
    <w:basedOn w:val="1"/>
    <w:autoRedefine/>
    <w:qFormat/>
    <w:uiPriority w:val="0"/>
    <w:pPr>
      <w:spacing w:before="100" w:after="100"/>
      <w:jc w:val="center"/>
    </w:pPr>
    <w:rPr>
      <w:rFonts w:ascii="宋体"/>
      <w:color w:val="000000"/>
      <w:szCs w:val="20"/>
    </w:rPr>
  </w:style>
  <w:style w:type="paragraph" w:customStyle="1" w:styleId="447">
    <w:name w:val="样式 首行缩进:  2 字符1"/>
    <w:basedOn w:val="1"/>
    <w:autoRedefine/>
    <w:qFormat/>
    <w:uiPriority w:val="0"/>
    <w:pPr>
      <w:spacing w:line="360" w:lineRule="auto"/>
      <w:ind w:firstLine="200" w:firstLineChars="200"/>
      <w:jc w:val="left"/>
    </w:pPr>
    <w:rPr>
      <w:rFonts w:cs="宋体"/>
      <w:sz w:val="28"/>
      <w:szCs w:val="28"/>
    </w:rPr>
  </w:style>
  <w:style w:type="paragraph" w:customStyle="1" w:styleId="448">
    <w:name w:val="Body text|1"/>
    <w:basedOn w:val="1"/>
    <w:autoRedefine/>
    <w:qFormat/>
    <w:uiPriority w:val="0"/>
    <w:pPr>
      <w:spacing w:line="310" w:lineRule="auto"/>
    </w:pPr>
    <w:rPr>
      <w:rFonts w:ascii="宋体" w:hAnsi="宋体" w:cs="宋体"/>
      <w:sz w:val="15"/>
      <w:szCs w:val="15"/>
      <w:lang w:val="zh-TW" w:eastAsia="zh-TW" w:bidi="zh-TW"/>
    </w:rPr>
  </w:style>
  <w:style w:type="paragraph" w:customStyle="1" w:styleId="449">
    <w:name w:val="样式 标题 4 + (西文) Times New Roman (中文) 宋体 四号 行距: 固定值 24 磅"/>
    <w:basedOn w:val="5"/>
    <w:autoRedefine/>
    <w:qFormat/>
    <w:uiPriority w:val="0"/>
    <w:pPr>
      <w:numPr>
        <w:ilvl w:val="0"/>
        <w:numId w:val="0"/>
      </w:numPr>
      <w:tabs>
        <w:tab w:val="left" w:pos="851"/>
        <w:tab w:val="clear" w:pos="850"/>
      </w:tabs>
      <w:adjustRightInd/>
      <w:spacing w:line="500" w:lineRule="exact"/>
      <w:ind w:left="851" w:hanging="851"/>
      <w:jc w:val="both"/>
      <w:textAlignment w:val="auto"/>
    </w:pPr>
    <w:rPr>
      <w:rFonts w:ascii="Times New Roman" w:hAnsi="Times New Roman" w:eastAsia="宋体" w:cs="宋体"/>
      <w:b w:val="0"/>
      <w:bCs/>
      <w:kern w:val="2"/>
    </w:rPr>
  </w:style>
  <w:style w:type="paragraph" w:customStyle="1" w:styleId="450">
    <w:name w:val="君邦正文"/>
    <w:autoRedefine/>
    <w:qFormat/>
    <w:uiPriority w:val="0"/>
    <w:pPr>
      <w:snapToGrid w:val="0"/>
      <w:spacing w:after="60" w:line="360" w:lineRule="auto"/>
      <w:ind w:firstLine="480" w:firstLineChars="200"/>
      <w:jc w:val="both"/>
    </w:pPr>
    <w:rPr>
      <w:rFonts w:ascii="Times New Roman" w:hAnsi="Times New Roman" w:eastAsia="Times New Roman" w:cs="Times New Roman"/>
      <w:bCs/>
      <w:snapToGrid w:val="0"/>
      <w:sz w:val="24"/>
      <w:lang w:val="en-US" w:eastAsia="zh-CN" w:bidi="ar-SA"/>
    </w:rPr>
  </w:style>
  <w:style w:type="paragraph" w:customStyle="1" w:styleId="451">
    <w:name w:val="4正文 Char"/>
    <w:basedOn w:val="1"/>
    <w:autoRedefine/>
    <w:qFormat/>
    <w:uiPriority w:val="0"/>
    <w:pPr>
      <w:snapToGrid w:val="0"/>
      <w:ind w:right="-132" w:rightChars="-55"/>
      <w:jc w:val="center"/>
    </w:pPr>
    <w:rPr>
      <w:color w:val="000000"/>
      <w:szCs w:val="21"/>
    </w:rPr>
  </w:style>
  <w:style w:type="paragraph" w:customStyle="1" w:styleId="452">
    <w:name w:val="小表文居中"/>
    <w:basedOn w:val="1"/>
    <w:autoRedefine/>
    <w:qFormat/>
    <w:uiPriority w:val="0"/>
    <w:pPr>
      <w:overflowPunct w:val="0"/>
      <w:jc w:val="center"/>
      <w:textAlignment w:val="baseline"/>
    </w:pPr>
    <w:rPr>
      <w:spacing w:val="-8"/>
      <w:sz w:val="18"/>
      <w:szCs w:val="20"/>
    </w:rPr>
  </w:style>
  <w:style w:type="paragraph" w:customStyle="1" w:styleId="453">
    <w:name w:val="xl43"/>
    <w:basedOn w:val="1"/>
    <w:autoRedefine/>
    <w:qFormat/>
    <w:uiPriority w:val="0"/>
    <w:pPr>
      <w:widowControl/>
      <w:pBdr>
        <w:bottom w:val="single" w:color="auto" w:sz="8" w:space="0"/>
      </w:pBdr>
      <w:spacing w:before="100" w:beforeAutospacing="1" w:after="100" w:afterAutospacing="1"/>
      <w:jc w:val="left"/>
    </w:pPr>
    <w:rPr>
      <w:rFonts w:ascii="Arial Unicode MS" w:hAnsi="Arial Unicode MS" w:eastAsia="Arial Unicode MS" w:cs="Arial Unicode MS"/>
      <w:kern w:val="0"/>
      <w:sz w:val="24"/>
    </w:rPr>
  </w:style>
  <w:style w:type="paragraph" w:customStyle="1" w:styleId="454">
    <w:name w:val="前言"/>
    <w:basedOn w:val="1"/>
    <w:autoRedefine/>
    <w:qFormat/>
    <w:uiPriority w:val="0"/>
    <w:pPr>
      <w:autoSpaceDE w:val="0"/>
      <w:autoSpaceDN w:val="0"/>
      <w:adjustRightInd w:val="0"/>
      <w:spacing w:line="312" w:lineRule="auto"/>
      <w:jc w:val="center"/>
      <w:textAlignment w:val="baseline"/>
    </w:pPr>
    <w:rPr>
      <w:rFonts w:ascii="楷体_GB2312" w:eastAsia="楷体_GB2312"/>
      <w:kern w:val="0"/>
      <w:sz w:val="36"/>
      <w:szCs w:val="20"/>
    </w:rPr>
  </w:style>
  <w:style w:type="paragraph" w:customStyle="1" w:styleId="455">
    <w:name w:val="font8"/>
    <w:basedOn w:val="1"/>
    <w:autoRedefine/>
    <w:qFormat/>
    <w:uiPriority w:val="0"/>
    <w:pPr>
      <w:widowControl/>
      <w:spacing w:before="100" w:beforeAutospacing="1" w:after="100" w:afterAutospacing="1"/>
      <w:jc w:val="left"/>
    </w:pPr>
    <w:rPr>
      <w:rFonts w:eastAsia="Arial Unicode MS"/>
      <w:kern w:val="0"/>
      <w:sz w:val="20"/>
      <w:szCs w:val="20"/>
    </w:rPr>
  </w:style>
  <w:style w:type="paragraph" w:customStyle="1" w:styleId="456">
    <w:name w:val="TOC 31"/>
    <w:basedOn w:val="1"/>
    <w:autoRedefine/>
    <w:qFormat/>
    <w:uiPriority w:val="1"/>
    <w:pPr>
      <w:spacing w:before="154"/>
      <w:ind w:left="332"/>
      <w:jc w:val="left"/>
    </w:pPr>
    <w:rPr>
      <w:rFonts w:ascii="宋体" w:hAnsi="宋体"/>
      <w:kern w:val="0"/>
      <w:sz w:val="24"/>
      <w:lang w:eastAsia="en-US"/>
    </w:rPr>
  </w:style>
  <w:style w:type="paragraph" w:customStyle="1" w:styleId="457">
    <w:name w:val="TOC 11"/>
    <w:basedOn w:val="1"/>
    <w:autoRedefine/>
    <w:qFormat/>
    <w:uiPriority w:val="1"/>
    <w:pPr>
      <w:spacing w:before="259"/>
      <w:ind w:left="14"/>
      <w:jc w:val="left"/>
    </w:pPr>
    <w:rPr>
      <w:rFonts w:eastAsia="Times New Roman"/>
      <w:kern w:val="0"/>
      <w:sz w:val="18"/>
      <w:szCs w:val="18"/>
      <w:lang w:eastAsia="en-US"/>
    </w:rPr>
  </w:style>
  <w:style w:type="paragraph" w:customStyle="1" w:styleId="458">
    <w:name w:val="表格标题标题"/>
    <w:basedOn w:val="1"/>
    <w:autoRedefine/>
    <w:qFormat/>
    <w:uiPriority w:val="0"/>
    <w:pPr>
      <w:adjustRightInd w:val="0"/>
      <w:snapToGrid w:val="0"/>
      <w:jc w:val="center"/>
    </w:pPr>
    <w:rPr>
      <w:rFonts w:eastAsia="黑体"/>
      <w:kern w:val="18"/>
      <w:sz w:val="24"/>
    </w:rPr>
  </w:style>
  <w:style w:type="paragraph" w:customStyle="1" w:styleId="459">
    <w:name w:val="xl25"/>
    <w:basedOn w:val="1"/>
    <w:autoRedefine/>
    <w:qFormat/>
    <w:uiPriority w:val="0"/>
    <w:pPr>
      <w:widowControl/>
      <w:spacing w:before="100" w:beforeAutospacing="1" w:after="100" w:afterAutospacing="1"/>
      <w:jc w:val="center"/>
    </w:pPr>
    <w:rPr>
      <w:rFonts w:ascii="宋体" w:hAnsi="宋体"/>
      <w:kern w:val="0"/>
      <w:sz w:val="24"/>
    </w:rPr>
  </w:style>
  <w:style w:type="paragraph" w:customStyle="1" w:styleId="460">
    <w:name w:val="font0"/>
    <w:basedOn w:val="1"/>
    <w:autoRedefine/>
    <w:qFormat/>
    <w:uiPriority w:val="0"/>
    <w:pPr>
      <w:widowControl/>
      <w:spacing w:before="100" w:beforeAutospacing="1" w:after="100" w:afterAutospacing="1"/>
      <w:jc w:val="left"/>
    </w:pPr>
    <w:rPr>
      <w:rFonts w:hint="eastAsia" w:ascii="宋体" w:hAnsi="宋体"/>
      <w:kern w:val="0"/>
      <w:sz w:val="18"/>
      <w:szCs w:val="18"/>
    </w:rPr>
  </w:style>
  <w:style w:type="paragraph" w:customStyle="1" w:styleId="461">
    <w:name w:val="样式2"/>
    <w:basedOn w:val="4"/>
    <w:autoRedefine/>
    <w:qFormat/>
    <w:uiPriority w:val="0"/>
    <w:pPr>
      <w:tabs>
        <w:tab w:val="left" w:pos="720"/>
        <w:tab w:val="left" w:pos="900"/>
      </w:tabs>
      <w:autoSpaceDE/>
      <w:autoSpaceDN/>
      <w:adjustRightInd/>
      <w:spacing w:before="100" w:beforeAutospacing="1"/>
      <w:jc w:val="left"/>
    </w:pPr>
    <w:rPr>
      <w:rFonts w:ascii="Times New Roman" w:hAnsi="Times New Roman" w:eastAsia="宋体"/>
      <w:bCs/>
      <w:snapToGrid w:val="0"/>
      <w:color w:val="auto"/>
      <w:kern w:val="0"/>
      <w:szCs w:val="24"/>
    </w:rPr>
  </w:style>
  <w:style w:type="paragraph" w:customStyle="1" w:styleId="462">
    <w:name w:val="11-4-2"/>
    <w:basedOn w:val="1"/>
    <w:autoRedefine/>
    <w:qFormat/>
    <w:uiPriority w:val="0"/>
    <w:pPr>
      <w:keepNext/>
      <w:keepLines/>
      <w:spacing w:line="360" w:lineRule="auto"/>
      <w:outlineLvl w:val="1"/>
    </w:pPr>
    <w:rPr>
      <w:rFonts w:ascii="黑体" w:hAnsi="Arial" w:eastAsia="黑体"/>
      <w:bCs/>
      <w:sz w:val="28"/>
      <w:szCs w:val="28"/>
    </w:rPr>
  </w:style>
  <w:style w:type="paragraph" w:customStyle="1" w:styleId="463">
    <w:name w:val="w2"/>
    <w:basedOn w:val="1"/>
    <w:autoRedefine/>
    <w:qFormat/>
    <w:uiPriority w:val="0"/>
    <w:pPr>
      <w:adjustRightInd w:val="0"/>
      <w:spacing w:line="360" w:lineRule="auto"/>
      <w:ind w:left="840" w:firstLine="600"/>
      <w:textAlignment w:val="baseline"/>
    </w:pPr>
    <w:rPr>
      <w:rFonts w:ascii="宋体"/>
      <w:kern w:val="0"/>
      <w:sz w:val="28"/>
      <w:szCs w:val="20"/>
    </w:rPr>
  </w:style>
  <w:style w:type="paragraph" w:customStyle="1" w:styleId="464">
    <w:name w:val="Char10"/>
    <w:basedOn w:val="1"/>
    <w:autoRedefine/>
    <w:qFormat/>
    <w:uiPriority w:val="0"/>
    <w:rPr>
      <w:szCs w:val="20"/>
    </w:rPr>
  </w:style>
  <w:style w:type="paragraph" w:customStyle="1" w:styleId="465">
    <w:name w:val="三级目录zoe"/>
    <w:basedOn w:val="1"/>
    <w:autoRedefine/>
    <w:qFormat/>
    <w:uiPriority w:val="0"/>
    <w:pPr>
      <w:spacing w:line="360" w:lineRule="auto"/>
      <w:ind w:firstLine="240" w:firstLineChars="100"/>
    </w:pPr>
    <w:rPr>
      <w:rFonts w:ascii="宋体" w:cs="宋体"/>
      <w:b/>
      <w:bCs/>
      <w:color w:val="000000"/>
      <w:kern w:val="21"/>
      <w:position w:val="6"/>
      <w:sz w:val="24"/>
      <w:szCs w:val="20"/>
    </w:rPr>
  </w:style>
  <w:style w:type="paragraph" w:customStyle="1" w:styleId="466">
    <w:name w:val="T1"/>
    <w:basedOn w:val="1"/>
    <w:autoRedefine/>
    <w:qFormat/>
    <w:uiPriority w:val="0"/>
    <w:pPr>
      <w:adjustRightInd w:val="0"/>
      <w:ind w:firstLine="570"/>
      <w:jc w:val="left"/>
      <w:textAlignment w:val="baseline"/>
    </w:pPr>
    <w:rPr>
      <w:rFonts w:eastAsia="黑体"/>
      <w:smallCaps/>
      <w:sz w:val="28"/>
      <w:szCs w:val="20"/>
    </w:rPr>
  </w:style>
  <w:style w:type="paragraph" w:customStyle="1" w:styleId="467">
    <w:name w:val="x3级标题"/>
    <w:basedOn w:val="320"/>
    <w:autoRedefine/>
    <w:qFormat/>
    <w:uiPriority w:val="0"/>
    <w:rPr>
      <w:sz w:val="28"/>
    </w:rPr>
  </w:style>
  <w:style w:type="paragraph" w:customStyle="1" w:styleId="468">
    <w:name w:val="样式 标题 2 Char + 黑色 右侧:  1 字符"/>
    <w:basedOn w:val="3"/>
    <w:autoRedefine/>
    <w:qFormat/>
    <w:uiPriority w:val="0"/>
    <w:pPr>
      <w:keepNext w:val="0"/>
      <w:keepLines w:val="0"/>
      <w:tabs>
        <w:tab w:val="left" w:pos="720"/>
      </w:tabs>
      <w:adjustRightInd w:val="0"/>
      <w:spacing w:before="240" w:after="120" w:afterLines="50" w:line="240" w:lineRule="auto"/>
      <w:ind w:left="720" w:hanging="420"/>
      <w:jc w:val="left"/>
    </w:pPr>
    <w:rPr>
      <w:rFonts w:ascii="宋体" w:hAnsi="宋体" w:eastAsia="宋体" w:cs="宋体"/>
      <w:bCs/>
      <w:snapToGrid w:val="0"/>
      <w:color w:val="auto"/>
      <w:kern w:val="0"/>
      <w:sz w:val="24"/>
    </w:rPr>
  </w:style>
  <w:style w:type="paragraph" w:customStyle="1" w:styleId="469">
    <w:name w:val="报告题目"/>
    <w:basedOn w:val="2"/>
    <w:autoRedefine/>
    <w:qFormat/>
    <w:uiPriority w:val="0"/>
    <w:pPr>
      <w:autoSpaceDE w:val="0"/>
      <w:autoSpaceDN w:val="0"/>
      <w:adjustRightInd w:val="0"/>
      <w:spacing w:before="360" w:after="120" w:line="312" w:lineRule="auto"/>
      <w:ind w:left="0"/>
      <w:textAlignment w:val="baseline"/>
    </w:pPr>
    <w:rPr>
      <w:rFonts w:ascii="Arial" w:hAnsi="Arial"/>
      <w:color w:val="auto"/>
      <w:kern w:val="0"/>
      <w:szCs w:val="20"/>
    </w:rPr>
  </w:style>
  <w:style w:type="paragraph" w:customStyle="1" w:styleId="470">
    <w:name w:val="msonormalcxspmiddle"/>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471">
    <w:name w:val="style4"/>
    <w:basedOn w:val="1"/>
    <w:autoRedefine/>
    <w:qFormat/>
    <w:uiPriority w:val="0"/>
    <w:pPr>
      <w:widowControl/>
      <w:spacing w:before="100" w:beforeAutospacing="1" w:after="100" w:afterAutospacing="1"/>
      <w:jc w:val="left"/>
    </w:pPr>
    <w:rPr>
      <w:rFonts w:ascii="宋体" w:hAnsi="宋体" w:cs="宋体"/>
      <w:color w:val="666666"/>
      <w:kern w:val="0"/>
      <w:sz w:val="33"/>
      <w:szCs w:val="33"/>
    </w:rPr>
  </w:style>
  <w:style w:type="paragraph" w:customStyle="1" w:styleId="472">
    <w:name w:val="文本正文"/>
    <w:basedOn w:val="1"/>
    <w:autoRedefine/>
    <w:qFormat/>
    <w:uiPriority w:val="0"/>
    <w:pPr>
      <w:ind w:left="200" w:leftChars="200"/>
    </w:pPr>
    <w:rPr>
      <w:rFonts w:hAnsi="宋体"/>
      <w:sz w:val="24"/>
    </w:rPr>
  </w:style>
  <w:style w:type="paragraph" w:customStyle="1" w:styleId="473">
    <w:name w:val="xl42"/>
    <w:basedOn w:val="1"/>
    <w:autoRedefine/>
    <w:qFormat/>
    <w:uiPriority w:val="0"/>
    <w:pPr>
      <w:widowControl/>
      <w:pBdr>
        <w:bottom w:val="single" w:color="auto" w:sz="4" w:space="0"/>
      </w:pBdr>
      <w:spacing w:before="100" w:beforeAutospacing="1" w:after="100" w:afterAutospacing="1"/>
      <w:jc w:val="right"/>
    </w:pPr>
    <w:rPr>
      <w:rFonts w:ascii="Arial Unicode MS" w:hAnsi="Arial Unicode MS" w:eastAsia="Arial Unicode MS" w:cs="Arial Unicode MS"/>
      <w:kern w:val="0"/>
      <w:sz w:val="20"/>
      <w:szCs w:val="20"/>
    </w:rPr>
  </w:style>
  <w:style w:type="paragraph" w:customStyle="1" w:styleId="474">
    <w:name w:val="Char Char Char Char Char Char1 Char Char Char Char Char Char Char"/>
    <w:basedOn w:val="1"/>
    <w:autoRedefine/>
    <w:qFormat/>
    <w:uiPriority w:val="0"/>
  </w:style>
  <w:style w:type="paragraph" w:customStyle="1" w:styleId="475">
    <w:name w:val="Char Char Char1 Char Char Char Char Char Char Char Char Char Char Char Char1 Char Char Char Char"/>
    <w:basedOn w:val="1"/>
    <w:autoRedefine/>
    <w:qFormat/>
    <w:uiPriority w:val="0"/>
    <w:pPr>
      <w:spacing w:line="360" w:lineRule="auto"/>
      <w:ind w:firstLine="200" w:firstLineChars="200"/>
    </w:pPr>
    <w:rPr>
      <w:rFonts w:ascii="宋体" w:hAnsi="宋体" w:cs="宋体"/>
      <w:sz w:val="24"/>
    </w:rPr>
  </w:style>
  <w:style w:type="paragraph" w:customStyle="1" w:styleId="476">
    <w:name w:val="正文新 Char"/>
    <w:basedOn w:val="1"/>
    <w:autoRedefine/>
    <w:qFormat/>
    <w:uiPriority w:val="0"/>
    <w:pPr>
      <w:spacing w:line="360" w:lineRule="auto"/>
      <w:ind w:firstLine="200" w:firstLineChars="200"/>
    </w:pPr>
    <w:rPr>
      <w:sz w:val="24"/>
      <w:szCs w:val="20"/>
    </w:rPr>
  </w:style>
  <w:style w:type="paragraph" w:customStyle="1" w:styleId="477">
    <w:name w:val="默认段落字体 Para Char Char Char Char Char Char Char Char Char Char"/>
    <w:basedOn w:val="4"/>
    <w:autoRedefine/>
    <w:qFormat/>
    <w:uiPriority w:val="0"/>
    <w:pPr>
      <w:tabs>
        <w:tab w:val="left" w:pos="360"/>
        <w:tab w:val="left" w:pos="900"/>
      </w:tabs>
      <w:autoSpaceDE/>
      <w:autoSpaceDN/>
      <w:adjustRightInd/>
      <w:snapToGrid w:val="0"/>
      <w:spacing w:before="120" w:after="120"/>
      <w:ind w:left="542" w:leftChars="-12" w:firstLine="200" w:firstLineChars="200"/>
      <w:jc w:val="left"/>
    </w:pPr>
    <w:rPr>
      <w:rFonts w:ascii="Times New Roman" w:hAnsi="Times New Roman"/>
      <w:b w:val="0"/>
      <w:snapToGrid w:val="0"/>
      <w:color w:val="auto"/>
      <w:szCs w:val="24"/>
    </w:rPr>
  </w:style>
  <w:style w:type="paragraph" w:customStyle="1" w:styleId="478">
    <w:name w:val="Char Char Char Char Char Char Char Char Char Char Char Char Char Char Char1 Char Char Char1 Char Char Char"/>
    <w:basedOn w:val="1"/>
    <w:autoRedefine/>
    <w:qFormat/>
    <w:uiPriority w:val="0"/>
    <w:pPr>
      <w:spacing w:line="360" w:lineRule="auto"/>
      <w:ind w:firstLine="200" w:firstLineChars="200"/>
    </w:pPr>
    <w:rPr>
      <w:rFonts w:ascii="宋体" w:hAnsi="宋体" w:cs="宋体"/>
      <w:sz w:val="24"/>
    </w:rPr>
  </w:style>
  <w:style w:type="paragraph" w:customStyle="1" w:styleId="479">
    <w:name w:val="标题 21"/>
    <w:basedOn w:val="1"/>
    <w:autoRedefine/>
    <w:qFormat/>
    <w:uiPriority w:val="1"/>
    <w:pPr>
      <w:ind w:left="124"/>
      <w:jc w:val="left"/>
      <w:outlineLvl w:val="2"/>
    </w:pPr>
    <w:rPr>
      <w:rFonts w:ascii="宋体" w:hAnsi="宋体"/>
      <w:b/>
      <w:bCs/>
      <w:kern w:val="0"/>
      <w:sz w:val="28"/>
      <w:szCs w:val="28"/>
      <w:lang w:eastAsia="en-US"/>
    </w:rPr>
  </w:style>
  <w:style w:type="paragraph" w:customStyle="1" w:styleId="480">
    <w:name w:val="表格标题（左对齐）"/>
    <w:basedOn w:val="1"/>
    <w:autoRedefine/>
    <w:qFormat/>
    <w:uiPriority w:val="0"/>
    <w:pPr>
      <w:spacing w:before="120" w:after="120" w:line="400" w:lineRule="atLeast"/>
      <w:ind w:left="425"/>
      <w:jc w:val="center"/>
    </w:pPr>
    <w:rPr>
      <w:rFonts w:eastAsia="黑体"/>
      <w:b/>
      <w:snapToGrid w:val="0"/>
      <w:sz w:val="28"/>
      <w:szCs w:val="20"/>
    </w:rPr>
  </w:style>
  <w:style w:type="paragraph" w:customStyle="1" w:styleId="481">
    <w:name w:val="xl24"/>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482">
    <w:name w:val="正文文本1"/>
    <w:basedOn w:val="1"/>
    <w:autoRedefine/>
    <w:qFormat/>
    <w:uiPriority w:val="0"/>
    <w:pPr>
      <w:widowControl/>
      <w:jc w:val="left"/>
    </w:pPr>
    <w:rPr>
      <w:sz w:val="24"/>
      <w:szCs w:val="20"/>
    </w:rPr>
  </w:style>
  <w:style w:type="paragraph" w:customStyle="1" w:styleId="483">
    <w:name w:val="表格正文"/>
    <w:basedOn w:val="1"/>
    <w:autoRedefine/>
    <w:qFormat/>
    <w:uiPriority w:val="0"/>
    <w:pPr>
      <w:keepNext/>
      <w:jc w:val="center"/>
    </w:pPr>
    <w:rPr>
      <w:szCs w:val="21"/>
    </w:rPr>
  </w:style>
  <w:style w:type="paragraph" w:customStyle="1" w:styleId="484">
    <w:name w:val="Y空行"/>
    <w:basedOn w:val="1"/>
    <w:autoRedefine/>
    <w:qFormat/>
    <w:uiPriority w:val="0"/>
    <w:pPr>
      <w:spacing w:beforeLines="15" w:afterLines="15" w:line="0" w:lineRule="atLeast"/>
      <w:ind w:left="108"/>
    </w:pPr>
    <w:rPr>
      <w:rFonts w:ascii="宋体" w:hAnsi="宋体"/>
      <w:szCs w:val="20"/>
    </w:rPr>
  </w:style>
  <w:style w:type="paragraph" w:customStyle="1" w:styleId="485">
    <w:name w:val="Char11"/>
    <w:basedOn w:val="1"/>
    <w:autoRedefine/>
    <w:qFormat/>
    <w:uiPriority w:val="0"/>
    <w:rPr>
      <w:rFonts w:ascii="Tahoma" w:hAnsi="Tahoma"/>
      <w:sz w:val="24"/>
      <w:szCs w:val="20"/>
    </w:rPr>
  </w:style>
  <w:style w:type="paragraph" w:customStyle="1" w:styleId="486">
    <w:name w:val="bg"/>
    <w:basedOn w:val="1"/>
    <w:next w:val="1"/>
    <w:autoRedefine/>
    <w:qFormat/>
    <w:uiPriority w:val="0"/>
    <w:pPr>
      <w:adjustRightInd w:val="0"/>
      <w:snapToGrid w:val="0"/>
      <w:jc w:val="left"/>
    </w:pPr>
    <w:rPr>
      <w:rFonts w:ascii="Arial" w:hAnsi="Arial"/>
      <w:szCs w:val="21"/>
    </w:rPr>
  </w:style>
  <w:style w:type="paragraph" w:customStyle="1" w:styleId="487">
    <w:name w:val="Char Char Char Char2"/>
    <w:basedOn w:val="1"/>
    <w:autoRedefine/>
    <w:qFormat/>
    <w:uiPriority w:val="0"/>
    <w:pPr>
      <w:spacing w:before="120" w:after="120" w:line="360" w:lineRule="auto"/>
      <w:ind w:firstLine="420"/>
    </w:pPr>
    <w:rPr>
      <w:rFonts w:ascii="Tahoma" w:hAnsi="Tahoma"/>
      <w:sz w:val="28"/>
      <w:szCs w:val="20"/>
    </w:rPr>
  </w:style>
  <w:style w:type="paragraph" w:customStyle="1" w:styleId="488">
    <w:name w:val="Char Char Char Char Char Char Char5"/>
    <w:basedOn w:val="1"/>
    <w:autoRedefine/>
    <w:qFormat/>
    <w:uiPriority w:val="0"/>
    <w:rPr>
      <w:szCs w:val="21"/>
    </w:rPr>
  </w:style>
  <w:style w:type="paragraph" w:customStyle="1" w:styleId="489">
    <w:name w:val="表格（纵向）"/>
    <w:basedOn w:val="1"/>
    <w:autoRedefine/>
    <w:qFormat/>
    <w:uiPriority w:val="0"/>
    <w:pPr>
      <w:adjustRightInd w:val="0"/>
      <w:spacing w:before="160" w:line="240" w:lineRule="atLeast"/>
      <w:jc w:val="right"/>
      <w:textAlignment w:val="baseline"/>
    </w:pPr>
    <w:rPr>
      <w:rFonts w:ascii="Arial Narrow" w:hAnsi="Arial Narrow" w:cs="宋体"/>
      <w:kern w:val="0"/>
      <w:sz w:val="16"/>
      <w:szCs w:val="20"/>
    </w:rPr>
  </w:style>
  <w:style w:type="paragraph" w:customStyle="1" w:styleId="490">
    <w:name w:val="Char1 Char Char Char Char Char 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491">
    <w:name w:val="单元格"/>
    <w:basedOn w:val="1"/>
    <w:autoRedefine/>
    <w:qFormat/>
    <w:uiPriority w:val="0"/>
    <w:pPr>
      <w:jc w:val="center"/>
    </w:pPr>
    <w:rPr>
      <w:rFonts w:ascii="楷体_GB2312" w:eastAsia="楷体_GB2312"/>
      <w:szCs w:val="20"/>
    </w:rPr>
  </w:style>
  <w:style w:type="paragraph" w:customStyle="1" w:styleId="492">
    <w:name w:val="xl27"/>
    <w:basedOn w:val="1"/>
    <w:autoRedefine/>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4"/>
    </w:rPr>
  </w:style>
  <w:style w:type="paragraph" w:customStyle="1" w:styleId="493">
    <w:name w:val="样式 样式 标题 2节 + 段前: 6 磅 + 首行缩进:  2 字符"/>
    <w:basedOn w:val="494"/>
    <w:autoRedefine/>
    <w:qFormat/>
    <w:uiPriority w:val="0"/>
    <w:pPr>
      <w:ind w:firstLine="0" w:firstLineChars="0"/>
    </w:pPr>
  </w:style>
  <w:style w:type="paragraph" w:customStyle="1" w:styleId="494">
    <w:name w:val="样式 标题 2节 + 段前: 6 磅"/>
    <w:basedOn w:val="3"/>
    <w:autoRedefine/>
    <w:qFormat/>
    <w:uiPriority w:val="0"/>
    <w:pPr>
      <w:snapToGrid/>
      <w:spacing w:before="240" w:after="120" w:line="288" w:lineRule="auto"/>
      <w:ind w:firstLine="200" w:firstLineChars="200"/>
      <w:jc w:val="both"/>
    </w:pPr>
    <w:rPr>
      <w:rFonts w:ascii="Arial" w:hAnsi="Arial" w:eastAsia="宋体" w:cs="宋体"/>
      <w:bCs/>
      <w:color w:val="auto"/>
      <w:sz w:val="30"/>
      <w:szCs w:val="20"/>
    </w:rPr>
  </w:style>
  <w:style w:type="paragraph" w:customStyle="1" w:styleId="495">
    <w:name w:val="4刘群正文*"/>
    <w:basedOn w:val="1"/>
    <w:autoRedefine/>
    <w:qFormat/>
    <w:uiPriority w:val="0"/>
    <w:pPr>
      <w:spacing w:line="520" w:lineRule="exact"/>
      <w:ind w:firstLine="480" w:firstLineChars="200"/>
    </w:pPr>
    <w:rPr>
      <w:spacing w:val="5"/>
      <w:sz w:val="24"/>
    </w:rPr>
  </w:style>
  <w:style w:type="paragraph" w:customStyle="1" w:styleId="496">
    <w:name w:val="标题 11"/>
    <w:basedOn w:val="1"/>
    <w:autoRedefine/>
    <w:qFormat/>
    <w:uiPriority w:val="1"/>
    <w:pPr>
      <w:ind w:left="2642"/>
      <w:jc w:val="left"/>
      <w:outlineLvl w:val="1"/>
    </w:pPr>
    <w:rPr>
      <w:rFonts w:ascii="黑体" w:hAnsi="黑体" w:eastAsia="黑体"/>
      <w:kern w:val="0"/>
      <w:sz w:val="36"/>
      <w:szCs w:val="36"/>
      <w:lang w:eastAsia="en-US"/>
    </w:rPr>
  </w:style>
  <w:style w:type="paragraph" w:customStyle="1" w:styleId="497">
    <w:name w:val="样式3"/>
    <w:basedOn w:val="461"/>
    <w:autoRedefine/>
    <w:qFormat/>
    <w:uiPriority w:val="0"/>
  </w:style>
  <w:style w:type="paragraph" w:customStyle="1" w:styleId="498">
    <w:name w:val="2节"/>
    <w:basedOn w:val="1"/>
    <w:autoRedefine/>
    <w:qFormat/>
    <w:uiPriority w:val="0"/>
    <w:pPr>
      <w:spacing w:before="600" w:after="260" w:line="360" w:lineRule="auto"/>
      <w:outlineLvl w:val="1"/>
    </w:pPr>
    <w:rPr>
      <w:rFonts w:eastAsia="黑体"/>
      <w:color w:val="000000"/>
      <w:kern w:val="44"/>
      <w:sz w:val="30"/>
    </w:rPr>
  </w:style>
  <w:style w:type="paragraph" w:customStyle="1" w:styleId="499">
    <w:name w:val="封面标题2"/>
    <w:basedOn w:val="1"/>
    <w:autoRedefine/>
    <w:qFormat/>
    <w:uiPriority w:val="0"/>
    <w:pPr>
      <w:widowControl/>
      <w:spacing w:before="120" w:line="360" w:lineRule="auto"/>
      <w:jc w:val="center"/>
    </w:pPr>
    <w:rPr>
      <w:rFonts w:ascii="宋体" w:hAnsi="宋体"/>
      <w:kern w:val="0"/>
      <w:sz w:val="52"/>
      <w:szCs w:val="52"/>
    </w:rPr>
  </w:style>
  <w:style w:type="paragraph" w:customStyle="1" w:styleId="500">
    <w:name w:val="表格6号"/>
    <w:basedOn w:val="501"/>
    <w:autoRedefine/>
    <w:qFormat/>
    <w:uiPriority w:val="0"/>
    <w:rPr>
      <w:bCs w:val="0"/>
      <w:sz w:val="15"/>
      <w:szCs w:val="15"/>
    </w:rPr>
  </w:style>
  <w:style w:type="paragraph" w:customStyle="1" w:styleId="501">
    <w:name w:val="表格5号"/>
    <w:basedOn w:val="1"/>
    <w:autoRedefine/>
    <w:qFormat/>
    <w:uiPriority w:val="0"/>
    <w:pPr>
      <w:widowControl/>
      <w:snapToGrid w:val="0"/>
      <w:jc w:val="center"/>
      <w:textAlignment w:val="baseline"/>
    </w:pPr>
    <w:rPr>
      <w:rFonts w:ascii="Arial Narrow" w:hAnsi="Arial Narrow"/>
      <w:bCs/>
      <w:kern w:val="0"/>
      <w:szCs w:val="21"/>
    </w:rPr>
  </w:style>
  <w:style w:type="paragraph" w:customStyle="1" w:styleId="502">
    <w:name w:val="标题 41"/>
    <w:basedOn w:val="1"/>
    <w:autoRedefine/>
    <w:qFormat/>
    <w:uiPriority w:val="1"/>
    <w:pPr>
      <w:ind w:left="124"/>
      <w:jc w:val="left"/>
      <w:outlineLvl w:val="4"/>
    </w:pPr>
    <w:rPr>
      <w:rFonts w:ascii="宋体" w:hAnsi="宋体"/>
      <w:b/>
      <w:bCs/>
      <w:kern w:val="0"/>
      <w:sz w:val="24"/>
      <w:lang w:eastAsia="en-US"/>
    </w:rPr>
  </w:style>
  <w:style w:type="paragraph" w:customStyle="1" w:styleId="503">
    <w:name w:val="样式13"/>
    <w:basedOn w:val="1"/>
    <w:autoRedefine/>
    <w:qFormat/>
    <w:uiPriority w:val="0"/>
    <w:pPr>
      <w:snapToGrid w:val="0"/>
      <w:spacing w:line="360" w:lineRule="auto"/>
      <w:ind w:firstLine="658"/>
    </w:pPr>
    <w:rPr>
      <w:rFonts w:ascii="宋体"/>
      <w:kern w:val="0"/>
      <w:sz w:val="24"/>
    </w:rPr>
  </w:style>
  <w:style w:type="paragraph" w:customStyle="1" w:styleId="504">
    <w:name w:val="Char Char Char Char Char2 Char"/>
    <w:basedOn w:val="1"/>
    <w:autoRedefine/>
    <w:qFormat/>
    <w:uiPriority w:val="0"/>
    <w:pPr>
      <w:adjustRightInd w:val="0"/>
      <w:snapToGrid w:val="0"/>
      <w:spacing w:line="360" w:lineRule="auto"/>
      <w:ind w:firstLine="200" w:firstLineChars="200"/>
    </w:pPr>
    <w:rPr>
      <w:rFonts w:ascii="Calibri" w:hAnsi="Calibri"/>
    </w:rPr>
  </w:style>
  <w:style w:type="paragraph" w:customStyle="1" w:styleId="505">
    <w:name w:val="样式6"/>
    <w:basedOn w:val="410"/>
    <w:autoRedefine/>
    <w:qFormat/>
    <w:uiPriority w:val="0"/>
    <w:pPr>
      <w:tabs>
        <w:tab w:val="left" w:pos="720"/>
        <w:tab w:val="clear" w:pos="576"/>
        <w:tab w:val="clear" w:pos="987"/>
      </w:tabs>
      <w:ind w:left="720" w:hanging="720"/>
      <w:outlineLvl w:val="2"/>
    </w:pPr>
    <w:rPr>
      <w:rFonts w:eastAsia="宋体"/>
      <w:b w:val="0"/>
    </w:rPr>
  </w:style>
  <w:style w:type="paragraph" w:customStyle="1" w:styleId="506">
    <w:name w:val="封面标题3"/>
    <w:basedOn w:val="499"/>
    <w:autoRedefine/>
    <w:qFormat/>
    <w:uiPriority w:val="0"/>
    <w:rPr>
      <w:sz w:val="44"/>
      <w:szCs w:val="44"/>
    </w:rPr>
  </w:style>
  <w:style w:type="paragraph" w:customStyle="1" w:styleId="507">
    <w:name w:val="Char Char11"/>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508">
    <w:name w:val="WPSOffice手动目录 1"/>
    <w:autoRedefine/>
    <w:qFormat/>
    <w:uiPriority w:val="0"/>
    <w:rPr>
      <w:rFonts w:ascii="Times New Roman" w:hAnsi="Times New Roman" w:eastAsia="宋体" w:cs="Times New Roman"/>
      <w:lang w:val="en-US" w:eastAsia="zh-CN" w:bidi="ar-SA"/>
    </w:rPr>
  </w:style>
  <w:style w:type="paragraph" w:customStyle="1" w:styleId="509">
    <w:name w:val="xl33"/>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510">
    <w:name w:val="正文文本缩进1"/>
    <w:basedOn w:val="1"/>
    <w:autoRedefine/>
    <w:qFormat/>
    <w:uiPriority w:val="0"/>
    <w:pPr>
      <w:spacing w:after="120" w:line="360" w:lineRule="auto"/>
      <w:ind w:left="420" w:leftChars="200" w:firstLine="200" w:firstLineChars="200"/>
    </w:pPr>
    <w:rPr>
      <w:sz w:val="24"/>
    </w:rPr>
  </w:style>
  <w:style w:type="paragraph" w:customStyle="1" w:styleId="511">
    <w:name w:val="xl30"/>
    <w:basedOn w:val="1"/>
    <w:autoRedefine/>
    <w:qFormat/>
    <w:uiPriority w:val="0"/>
    <w:pPr>
      <w:widowControl/>
      <w:spacing w:before="100" w:beforeAutospacing="1" w:after="100" w:afterAutospacing="1"/>
      <w:jc w:val="right"/>
    </w:pPr>
    <w:rPr>
      <w:kern w:val="0"/>
      <w:sz w:val="24"/>
    </w:rPr>
  </w:style>
  <w:style w:type="paragraph" w:customStyle="1" w:styleId="512">
    <w:name w:val="4级标题zoe"/>
    <w:basedOn w:val="1"/>
    <w:autoRedefine/>
    <w:qFormat/>
    <w:uiPriority w:val="0"/>
    <w:pPr>
      <w:ind w:firstLine="704" w:firstLineChars="293"/>
    </w:pPr>
    <w:rPr>
      <w:rFonts w:ascii="宋体" w:cs="宋体"/>
      <w:b/>
      <w:bCs/>
      <w:position w:val="6"/>
      <w:sz w:val="24"/>
      <w:szCs w:val="20"/>
    </w:rPr>
  </w:style>
  <w:style w:type="paragraph" w:customStyle="1" w:styleId="513">
    <w:name w:val="标题LA"/>
    <w:autoRedefine/>
    <w:qFormat/>
    <w:uiPriority w:val="0"/>
    <w:pPr>
      <w:adjustRightInd w:val="0"/>
      <w:snapToGrid w:val="0"/>
      <w:spacing w:before="624"/>
      <w:jc w:val="both"/>
      <w:outlineLvl w:val="0"/>
    </w:pPr>
    <w:rPr>
      <w:rFonts w:ascii="宋体" w:hAnsi="宋体" w:eastAsia="宋体" w:cs="Times New Roman"/>
      <w:b/>
      <w:snapToGrid w:val="0"/>
      <w:sz w:val="32"/>
      <w:lang w:val="en-US" w:eastAsia="zh-CN" w:bidi="ar-SA"/>
    </w:rPr>
  </w:style>
  <w:style w:type="paragraph" w:customStyle="1" w:styleId="514">
    <w:name w:val="大兴正文"/>
    <w:basedOn w:val="1"/>
    <w:autoRedefine/>
    <w:qFormat/>
    <w:uiPriority w:val="0"/>
    <w:pPr>
      <w:spacing w:line="360" w:lineRule="auto"/>
      <w:ind w:firstLine="200" w:firstLineChars="200"/>
    </w:pPr>
    <w:rPr>
      <w:rFonts w:cs="宋体"/>
      <w:sz w:val="24"/>
    </w:rPr>
  </w:style>
  <w:style w:type="paragraph" w:customStyle="1" w:styleId="515">
    <w:name w:val="4级目录zoe"/>
    <w:basedOn w:val="1"/>
    <w:autoRedefine/>
    <w:qFormat/>
    <w:uiPriority w:val="0"/>
    <w:pPr>
      <w:spacing w:line="360" w:lineRule="auto"/>
      <w:ind w:left="425"/>
    </w:pPr>
    <w:rPr>
      <w:rFonts w:ascii="宋体" w:hAnsi="宋体" w:cs="宋体"/>
      <w:b/>
      <w:kern w:val="21"/>
      <w:position w:val="6"/>
      <w:sz w:val="24"/>
      <w:szCs w:val="20"/>
    </w:rPr>
  </w:style>
  <w:style w:type="paragraph" w:customStyle="1" w:styleId="516">
    <w:name w:val="样式 正文wjh + 首行缩进:  2 字符"/>
    <w:basedOn w:val="1"/>
    <w:autoRedefine/>
    <w:qFormat/>
    <w:uiPriority w:val="0"/>
    <w:pPr>
      <w:spacing w:line="360" w:lineRule="auto"/>
      <w:ind w:firstLine="420" w:firstLineChars="200"/>
      <w:jc w:val="left"/>
    </w:pPr>
    <w:rPr>
      <w:rFonts w:cs="宋体"/>
      <w:sz w:val="24"/>
      <w:szCs w:val="20"/>
    </w:rPr>
  </w:style>
  <w:style w:type="paragraph" w:customStyle="1" w:styleId="517">
    <w:name w:val="新正文"/>
    <w:basedOn w:val="1"/>
    <w:autoRedefine/>
    <w:qFormat/>
    <w:uiPriority w:val="0"/>
    <w:pPr>
      <w:spacing w:line="480" w:lineRule="exact"/>
      <w:ind w:firstLine="567"/>
    </w:pPr>
    <w:rPr>
      <w:rFonts w:ascii="仿宋_GB2312" w:eastAsia="仿宋_GB2312"/>
      <w:kern w:val="0"/>
      <w:sz w:val="28"/>
      <w:szCs w:val="20"/>
    </w:rPr>
  </w:style>
  <w:style w:type="paragraph" w:customStyle="1" w:styleId="518">
    <w:name w:val="表格式"/>
    <w:basedOn w:val="40"/>
    <w:autoRedefine/>
    <w:qFormat/>
    <w:uiPriority w:val="0"/>
    <w:pPr>
      <w:adjustRightInd w:val="0"/>
      <w:snapToGrid w:val="0"/>
      <w:spacing w:line="360" w:lineRule="auto"/>
      <w:ind w:left="0" w:firstLine="0" w:firstLineChars="0"/>
      <w:jc w:val="center"/>
    </w:pPr>
    <w:rPr>
      <w:rFonts w:hAnsi="宋体"/>
      <w:b/>
      <w:szCs w:val="21"/>
    </w:rPr>
  </w:style>
  <w:style w:type="paragraph" w:customStyle="1" w:styleId="519">
    <w:name w:val="Char1 Char Char Char Char Char Char Char Char Char"/>
    <w:basedOn w:val="1"/>
    <w:autoRedefine/>
    <w:qFormat/>
    <w:uiPriority w:val="0"/>
    <w:rPr>
      <w:rFonts w:ascii="Tahoma" w:hAnsi="Tahoma"/>
      <w:sz w:val="24"/>
      <w:szCs w:val="20"/>
    </w:rPr>
  </w:style>
  <w:style w:type="paragraph" w:customStyle="1" w:styleId="520">
    <w:name w:val="俺的正文 Char Char Char"/>
    <w:basedOn w:val="1"/>
    <w:autoRedefine/>
    <w:qFormat/>
    <w:uiPriority w:val="0"/>
    <w:pPr>
      <w:spacing w:line="460" w:lineRule="exact"/>
      <w:ind w:firstLine="200" w:firstLineChars="200"/>
    </w:pPr>
    <w:rPr>
      <w:sz w:val="24"/>
    </w:rPr>
  </w:style>
  <w:style w:type="paragraph" w:customStyle="1" w:styleId="521">
    <w:name w:val="Char Char Char1 Char Char Char Char"/>
    <w:basedOn w:val="1"/>
    <w:autoRedefine/>
    <w:qFormat/>
    <w:uiPriority w:val="0"/>
    <w:rPr>
      <w:rFonts w:ascii="宋体" w:hAnsi="宋体" w:cs="Courier New"/>
      <w:sz w:val="32"/>
      <w:szCs w:val="32"/>
    </w:rPr>
  </w:style>
  <w:style w:type="paragraph" w:customStyle="1" w:styleId="522">
    <w:name w:val="2 Char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523">
    <w:name w:val="样式 列表 2 + 华文仿宋 居中"/>
    <w:basedOn w:val="25"/>
    <w:autoRedefine/>
    <w:qFormat/>
    <w:uiPriority w:val="0"/>
    <w:pPr>
      <w:ind w:left="0" w:leftChars="0" w:firstLine="0" w:firstLineChars="0"/>
      <w:jc w:val="center"/>
    </w:pPr>
    <w:rPr>
      <w:rFonts w:ascii="宋体" w:hAnsi="宋体"/>
      <w:color w:val="000000"/>
      <w:szCs w:val="21"/>
    </w:rPr>
  </w:style>
  <w:style w:type="paragraph" w:customStyle="1" w:styleId="524">
    <w:name w:val="xl77"/>
    <w:basedOn w:val="1"/>
    <w:autoRedefine/>
    <w:qFormat/>
    <w:uiPriority w:val="0"/>
    <w:pPr>
      <w:widowControl/>
      <w:pBdr>
        <w:left w:val="single" w:color="auto" w:sz="8" w:space="0"/>
        <w:bottom w:val="single" w:color="auto" w:sz="8" w:space="0"/>
      </w:pBdr>
      <w:spacing w:before="100" w:beforeAutospacing="1" w:after="100" w:afterAutospacing="1"/>
      <w:jc w:val="center"/>
    </w:pPr>
    <w:rPr>
      <w:rFonts w:ascii="Arial Unicode MS" w:hAnsi="Arial Unicode MS" w:eastAsia="Arial Unicode MS" w:cs="Arial Unicode MS"/>
      <w:kern w:val="0"/>
      <w:szCs w:val="21"/>
    </w:rPr>
  </w:style>
  <w:style w:type="paragraph" w:customStyle="1" w:styleId="525">
    <w:name w:val="表格（横向）"/>
    <w:basedOn w:val="260"/>
    <w:autoRedefine/>
    <w:qFormat/>
    <w:uiPriority w:val="0"/>
    <w:pPr>
      <w:spacing w:line="160" w:lineRule="atLeast"/>
    </w:pPr>
    <w:rPr>
      <w:rFonts w:ascii="Arial Narrow" w:hAnsi="Arial Narrow"/>
      <w:b/>
      <w:spacing w:val="-10"/>
      <w:sz w:val="24"/>
      <w:szCs w:val="24"/>
    </w:rPr>
  </w:style>
  <w:style w:type="paragraph" w:customStyle="1" w:styleId="526">
    <w:name w:val="低节标题"/>
    <w:basedOn w:val="3"/>
    <w:next w:val="16"/>
    <w:autoRedefine/>
    <w:qFormat/>
    <w:uiPriority w:val="0"/>
    <w:pPr>
      <w:keepNext w:val="0"/>
      <w:keepLines w:val="0"/>
      <w:snapToGrid/>
      <w:spacing w:before="100" w:beforeAutospacing="1" w:afterLines="50"/>
      <w:ind w:firstLine="473" w:firstLineChars="200"/>
      <w:jc w:val="left"/>
      <w:outlineLvl w:val="2"/>
    </w:pPr>
    <w:rPr>
      <w:rFonts w:ascii="黑体"/>
      <w:b w:val="0"/>
      <w:bCs/>
      <w:color w:val="auto"/>
      <w:sz w:val="24"/>
      <w:szCs w:val="32"/>
    </w:rPr>
  </w:style>
  <w:style w:type="paragraph" w:customStyle="1" w:styleId="527">
    <w:name w:val="章标题"/>
    <w:basedOn w:val="4"/>
    <w:next w:val="1"/>
    <w:autoRedefine/>
    <w:qFormat/>
    <w:uiPriority w:val="0"/>
    <w:pPr>
      <w:autoSpaceDE/>
      <w:autoSpaceDN/>
      <w:adjustRightInd/>
      <w:spacing w:before="260" w:after="100" w:afterLines="50"/>
      <w:ind w:left="420" w:leftChars="200"/>
      <w:jc w:val="left"/>
      <w:outlineLvl w:val="0"/>
    </w:pPr>
    <w:rPr>
      <w:rFonts w:ascii="黑体"/>
      <w:color w:val="auto"/>
      <w:szCs w:val="32"/>
    </w:rPr>
  </w:style>
  <w:style w:type="paragraph" w:customStyle="1" w:styleId="528">
    <w:name w:val="Char Char Char1"/>
    <w:basedOn w:val="19"/>
    <w:autoRedefine/>
    <w:qFormat/>
    <w:uiPriority w:val="0"/>
    <w:pPr>
      <w:adjustRightInd w:val="0"/>
      <w:spacing w:line="436" w:lineRule="exact"/>
      <w:ind w:left="357"/>
      <w:jc w:val="left"/>
      <w:outlineLvl w:val="3"/>
    </w:pPr>
    <w:rPr>
      <w:rFonts w:ascii="Tahoma" w:hAnsi="Tahoma"/>
      <w:b/>
      <w:sz w:val="24"/>
      <w:szCs w:val="28"/>
    </w:rPr>
  </w:style>
  <w:style w:type="paragraph" w:customStyle="1" w:styleId="529">
    <w:name w:val="正文(小)"/>
    <w:basedOn w:val="1"/>
    <w:autoRedefine/>
    <w:qFormat/>
    <w:uiPriority w:val="0"/>
    <w:pPr>
      <w:autoSpaceDE w:val="0"/>
      <w:autoSpaceDN w:val="0"/>
      <w:adjustRightInd w:val="0"/>
      <w:spacing w:line="312" w:lineRule="auto"/>
      <w:ind w:firstLine="420" w:firstLineChars="200"/>
      <w:textAlignment w:val="baseline"/>
    </w:pPr>
    <w:rPr>
      <w:kern w:val="0"/>
      <w:szCs w:val="20"/>
    </w:rPr>
  </w:style>
  <w:style w:type="paragraph" w:customStyle="1" w:styleId="530">
    <w:name w:val="表标"/>
    <w:basedOn w:val="1"/>
    <w:next w:val="1"/>
    <w:autoRedefine/>
    <w:qFormat/>
    <w:uiPriority w:val="0"/>
    <w:pPr>
      <w:spacing w:line="240" w:lineRule="atLeast"/>
      <w:jc w:val="center"/>
    </w:pPr>
    <w:rPr>
      <w:color w:val="000000"/>
      <w:sz w:val="28"/>
    </w:rPr>
  </w:style>
  <w:style w:type="paragraph" w:customStyle="1" w:styleId="531">
    <w:name w:val="TOC 21"/>
    <w:basedOn w:val="1"/>
    <w:autoRedefine/>
    <w:qFormat/>
    <w:uiPriority w:val="1"/>
    <w:pPr>
      <w:spacing w:before="271"/>
      <w:ind w:left="124"/>
      <w:jc w:val="left"/>
    </w:pPr>
    <w:rPr>
      <w:rFonts w:ascii="宋体" w:hAnsi="宋体"/>
      <w:b/>
      <w:bCs/>
      <w:kern w:val="0"/>
      <w:sz w:val="24"/>
      <w:lang w:eastAsia="en-US"/>
    </w:rPr>
  </w:style>
  <w:style w:type="paragraph" w:customStyle="1" w:styleId="532">
    <w:name w:val="默认段落字体 Para Char"/>
    <w:basedOn w:val="1"/>
    <w:next w:val="1"/>
    <w:autoRedefine/>
    <w:qFormat/>
    <w:uiPriority w:val="0"/>
    <w:pPr>
      <w:spacing w:line="360" w:lineRule="auto"/>
      <w:ind w:firstLine="200" w:firstLineChars="200"/>
    </w:pPr>
    <w:rPr>
      <w:szCs w:val="20"/>
    </w:rPr>
  </w:style>
  <w:style w:type="paragraph" w:customStyle="1" w:styleId="533">
    <w:name w:val="Char Char Char1 Char1"/>
    <w:basedOn w:val="1"/>
    <w:autoRedefine/>
    <w:semiHidden/>
    <w:qFormat/>
    <w:uiPriority w:val="0"/>
  </w:style>
  <w:style w:type="paragraph" w:customStyle="1" w:styleId="534">
    <w:name w:val="内容11"/>
    <w:basedOn w:val="29"/>
    <w:autoRedefine/>
    <w:qFormat/>
    <w:uiPriority w:val="0"/>
    <w:pPr>
      <w:adjustRightInd w:val="0"/>
      <w:spacing w:line="360" w:lineRule="auto"/>
      <w:ind w:firstLine="480" w:firstLineChars="200"/>
      <w:textAlignment w:val="baseline"/>
    </w:pPr>
    <w:rPr>
      <w:rFonts w:ascii="Times New Roman" w:hAnsi="Times New Roman" w:cs="宋体"/>
      <w:position w:val="6"/>
      <w:sz w:val="24"/>
      <w:szCs w:val="24"/>
    </w:rPr>
  </w:style>
  <w:style w:type="paragraph" w:customStyle="1" w:styleId="535">
    <w:name w:val="Char Char Char Char Char Char Char Char Char Char1"/>
    <w:basedOn w:val="19"/>
    <w:autoRedefine/>
    <w:qFormat/>
    <w:uiPriority w:val="0"/>
    <w:pPr>
      <w:spacing w:line="360" w:lineRule="auto"/>
      <w:ind w:firstLine="480" w:firstLineChars="200"/>
    </w:pPr>
    <w:rPr>
      <w:rFonts w:ascii="Tahoma" w:hAnsi="Tahoma"/>
      <w:sz w:val="24"/>
      <w:szCs w:val="21"/>
    </w:rPr>
  </w:style>
  <w:style w:type="paragraph" w:customStyle="1" w:styleId="536">
    <w:name w:val="封面正文"/>
    <w:autoRedefine/>
    <w:qFormat/>
    <w:uiPriority w:val="0"/>
    <w:pPr>
      <w:jc w:val="both"/>
    </w:pPr>
    <w:rPr>
      <w:rFonts w:ascii="Times New Roman" w:hAnsi="Times New Roman" w:eastAsia="宋体" w:cs="Times New Roman"/>
      <w:lang w:val="en-US" w:eastAsia="zh-CN" w:bidi="ar-SA"/>
    </w:rPr>
  </w:style>
  <w:style w:type="paragraph" w:customStyle="1" w:styleId="537">
    <w:name w:val="图名"/>
    <w:basedOn w:val="1"/>
    <w:autoRedefine/>
    <w:qFormat/>
    <w:uiPriority w:val="0"/>
    <w:pPr>
      <w:adjustRightInd w:val="0"/>
      <w:snapToGrid w:val="0"/>
      <w:jc w:val="center"/>
      <w:textAlignment w:val="baseline"/>
    </w:pPr>
    <w:rPr>
      <w:rFonts w:ascii="楷体_GB2312" w:hAnsi="宋体" w:eastAsia="楷体_GB2312"/>
      <w:snapToGrid w:val="0"/>
      <w:spacing w:val="10"/>
      <w:kern w:val="0"/>
      <w:sz w:val="24"/>
    </w:rPr>
  </w:style>
  <w:style w:type="paragraph" w:customStyle="1" w:styleId="538">
    <w:name w:val="样式 标题 3"/>
    <w:basedOn w:val="4"/>
    <w:autoRedefine/>
    <w:qFormat/>
    <w:uiPriority w:val="0"/>
    <w:pPr>
      <w:tabs>
        <w:tab w:val="left" w:pos="709"/>
      </w:tabs>
      <w:autoSpaceDE/>
      <w:autoSpaceDN/>
      <w:adjustRightInd/>
      <w:spacing w:before="260" w:after="260" w:line="480" w:lineRule="exact"/>
      <w:ind w:left="709" w:hanging="709"/>
    </w:pPr>
    <w:rPr>
      <w:rFonts w:ascii="Times New Roman" w:hAnsi="Times New Roman" w:eastAsia="宋体" w:cs="宋体"/>
      <w:bCs/>
      <w:color w:val="auto"/>
      <w:sz w:val="28"/>
    </w:rPr>
  </w:style>
  <w:style w:type="paragraph" w:customStyle="1" w:styleId="539">
    <w:name w:val="注"/>
    <w:basedOn w:val="1"/>
    <w:autoRedefine/>
    <w:qFormat/>
    <w:uiPriority w:val="0"/>
    <w:rPr>
      <w:rFonts w:ascii="宋体" w:hAnsi="宋体"/>
    </w:rPr>
  </w:style>
  <w:style w:type="paragraph" w:customStyle="1" w:styleId="540">
    <w:name w:val="9正文"/>
    <w:basedOn w:val="1"/>
    <w:autoRedefine/>
    <w:qFormat/>
    <w:uiPriority w:val="0"/>
    <w:pPr>
      <w:spacing w:after="50" w:afterLines="50" w:line="360" w:lineRule="auto"/>
      <w:ind w:firstLine="200" w:firstLineChars="200"/>
      <w:textAlignment w:val="center"/>
    </w:pPr>
    <w:rPr>
      <w:sz w:val="24"/>
    </w:rPr>
  </w:style>
  <w:style w:type="paragraph" w:customStyle="1" w:styleId="541">
    <w:name w:val="正文文本 21"/>
    <w:basedOn w:val="1"/>
    <w:autoRedefine/>
    <w:qFormat/>
    <w:uiPriority w:val="0"/>
    <w:pPr>
      <w:tabs>
        <w:tab w:val="left" w:pos="420"/>
      </w:tabs>
      <w:adjustRightInd w:val="0"/>
      <w:spacing w:line="360" w:lineRule="auto"/>
      <w:ind w:left="420" w:firstLine="480"/>
      <w:textAlignment w:val="baseline"/>
    </w:pPr>
    <w:rPr>
      <w:sz w:val="24"/>
      <w:szCs w:val="20"/>
    </w:rPr>
  </w:style>
  <w:style w:type="paragraph" w:customStyle="1" w:styleId="542">
    <w:name w:val="图文框"/>
    <w:basedOn w:val="1"/>
    <w:autoRedefine/>
    <w:qFormat/>
    <w:uiPriority w:val="0"/>
    <w:pPr>
      <w:snapToGrid w:val="0"/>
      <w:spacing w:line="360" w:lineRule="exact"/>
      <w:jc w:val="center"/>
    </w:pPr>
    <w:rPr>
      <w:rFonts w:eastAsia="仿宋_GB2312"/>
      <w:spacing w:val="-20"/>
      <w:sz w:val="24"/>
      <w:szCs w:val="20"/>
    </w:rPr>
  </w:style>
  <w:style w:type="paragraph" w:customStyle="1" w:styleId="543">
    <w:name w:val="font1"/>
    <w:basedOn w:val="1"/>
    <w:autoRedefine/>
    <w:qFormat/>
    <w:uiPriority w:val="0"/>
    <w:pPr>
      <w:widowControl/>
      <w:spacing w:before="100" w:beforeAutospacing="1" w:after="100" w:afterAutospacing="1"/>
      <w:jc w:val="left"/>
    </w:pPr>
    <w:rPr>
      <w:rFonts w:hint="eastAsia" w:ascii="宋体" w:hAnsi="宋体"/>
      <w:kern w:val="0"/>
      <w:sz w:val="18"/>
      <w:szCs w:val="18"/>
    </w:rPr>
  </w:style>
  <w:style w:type="paragraph" w:customStyle="1" w:styleId="544">
    <w:name w:val="封面2"/>
    <w:basedOn w:val="318"/>
    <w:autoRedefine/>
    <w:qFormat/>
    <w:uiPriority w:val="0"/>
    <w:pPr>
      <w:spacing w:before="0" w:after="0" w:afterAutospacing="0" w:line="360" w:lineRule="auto"/>
      <w:jc w:val="both"/>
    </w:pPr>
    <w:rPr>
      <w:rFonts w:ascii="宋体" w:eastAsia="宋体"/>
      <w:b w:val="0"/>
      <w:sz w:val="18"/>
      <w:szCs w:val="18"/>
    </w:rPr>
  </w:style>
  <w:style w:type="paragraph" w:customStyle="1" w:styleId="545">
    <w:name w:val="列出段落1"/>
    <w:basedOn w:val="1"/>
    <w:autoRedefine/>
    <w:qFormat/>
    <w:uiPriority w:val="99"/>
    <w:pPr>
      <w:ind w:firstLine="420"/>
    </w:pPr>
  </w:style>
  <w:style w:type="paragraph" w:customStyle="1" w:styleId="546">
    <w:name w:val="报告表正文"/>
    <w:basedOn w:val="1"/>
    <w:autoRedefine/>
    <w:qFormat/>
    <w:uiPriority w:val="0"/>
    <w:pPr>
      <w:adjustRightInd w:val="0"/>
      <w:spacing w:line="300" w:lineRule="auto"/>
      <w:ind w:left="113" w:right="113"/>
      <w:textAlignment w:val="baseline"/>
    </w:pPr>
    <w:rPr>
      <w:kern w:val="0"/>
      <w:sz w:val="24"/>
    </w:rPr>
  </w:style>
  <w:style w:type="table" w:customStyle="1" w:styleId="547">
    <w:name w:val="Table Normal1"/>
    <w:autoRedefine/>
    <w:unhideWhenUsed/>
    <w:qFormat/>
    <w:uiPriority w:val="2"/>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548">
    <w:name w:val="省院"/>
    <w:basedOn w:val="53"/>
    <w:autoRedefine/>
    <w:qFormat/>
    <w:uiPriority w:val="0"/>
    <w:pPr>
      <w:adjustRightInd w:val="0"/>
      <w:snapToGrid w:val="0"/>
      <w:jc w:val="center"/>
    </w:pPr>
    <w:rPr>
      <w:rFonts w:eastAsia="仿宋_GB2312" w:cs="仿宋_GB2312"/>
      <w:sz w:val="21"/>
      <w:szCs w:val="21"/>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549">
    <w:name w:val="表格样式1"/>
    <w:basedOn w:val="53"/>
    <w:autoRedefine/>
    <w:qFormat/>
    <w:uiPriority w:val="0"/>
    <w:pPr>
      <w:jc w:val="center"/>
    </w:pPr>
    <w:rPr>
      <w:sz w:val="21"/>
    </w:rPr>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550">
    <w:name w:val="Table Normal2"/>
    <w:autoRedefine/>
    <w:unhideWhenUsed/>
    <w:qFormat/>
    <w:uiPriority w:val="2"/>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551">
    <w:name w:val="Table Normal"/>
    <w:autoRedefine/>
    <w:unhideWhenUsed/>
    <w:qFormat/>
    <w:uiPriority w:val="2"/>
    <w:pPr>
      <w:widowControl w:val="0"/>
    </w:pPr>
    <w:rPr>
      <w:rFonts w:ascii="Calibri" w:hAnsi="Calibri"/>
      <w:sz w:val="22"/>
      <w:szCs w:val="22"/>
      <w:lang w:eastAsia="en-US"/>
    </w:rPr>
    <w:tblPr>
      <w:tblCellMar>
        <w:top w:w="0" w:type="dxa"/>
        <w:left w:w="0" w:type="dxa"/>
        <w:bottom w:w="0" w:type="dxa"/>
        <w:right w:w="0" w:type="dxa"/>
      </w:tblCellMar>
    </w:tblPr>
  </w:style>
  <w:style w:type="character" w:customStyle="1" w:styleId="552">
    <w:name w:val="first-child"/>
    <w:basedOn w:val="60"/>
    <w:autoRedefine/>
    <w:qFormat/>
    <w:uiPriority w:val="0"/>
  </w:style>
  <w:style w:type="paragraph" w:customStyle="1" w:styleId="553">
    <w:name w:val="lh-正文-报告表"/>
    <w:basedOn w:val="1"/>
    <w:autoRedefine/>
    <w:qFormat/>
    <w:uiPriority w:val="0"/>
    <w:pPr>
      <w:spacing w:line="360" w:lineRule="auto"/>
      <w:ind w:firstLine="480" w:firstLineChars="200"/>
    </w:pPr>
    <w:rPr>
      <w:kern w:val="0"/>
      <w:sz w:val="24"/>
    </w:rPr>
  </w:style>
  <w:style w:type="paragraph" w:customStyle="1" w:styleId="554">
    <w:name w:val="G表内文字"/>
    <w:basedOn w:val="1"/>
    <w:next w:val="555"/>
    <w:autoRedefine/>
    <w:qFormat/>
    <w:uiPriority w:val="0"/>
    <w:pPr>
      <w:jc w:val="center"/>
    </w:pPr>
    <w:rPr>
      <w:rFonts w:ascii="Times New Roman" w:eastAsia="Times New Roman"/>
      <w:sz w:val="21"/>
    </w:rPr>
  </w:style>
  <w:style w:type="paragraph" w:styleId="555">
    <w:name w:val="No Spacing"/>
    <w:basedOn w:val="16"/>
    <w:autoRedefine/>
    <w:qFormat/>
    <w:uiPriority w:val="1"/>
    <w:pPr>
      <w:adjustRightInd w:val="0"/>
      <w:snapToGrid w:val="0"/>
      <w:ind w:firstLine="0" w:firstLineChars="0"/>
      <w:jc w:val="center"/>
    </w:pPr>
    <w:rPr>
      <w:color w:val="000000"/>
      <w:szCs w:val="21"/>
    </w:rPr>
  </w:style>
</w:style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99" Type="http://schemas.openxmlformats.org/officeDocument/2006/relationships/image" Target="media/image79.png"/><Relationship Id="rId98" Type="http://schemas.openxmlformats.org/officeDocument/2006/relationships/image" Target="media/image78.png"/><Relationship Id="rId97" Type="http://schemas.openxmlformats.org/officeDocument/2006/relationships/image" Target="media/image77.png"/><Relationship Id="rId96" Type="http://schemas.openxmlformats.org/officeDocument/2006/relationships/image" Target="media/image76.png"/><Relationship Id="rId95" Type="http://schemas.openxmlformats.org/officeDocument/2006/relationships/image" Target="media/image75.png"/><Relationship Id="rId94" Type="http://schemas.openxmlformats.org/officeDocument/2006/relationships/image" Target="media/image74.jpeg"/><Relationship Id="rId93" Type="http://schemas.openxmlformats.org/officeDocument/2006/relationships/image" Target="media/image73.png"/><Relationship Id="rId92" Type="http://schemas.openxmlformats.org/officeDocument/2006/relationships/image" Target="media/image72.png"/><Relationship Id="rId91" Type="http://schemas.openxmlformats.org/officeDocument/2006/relationships/image" Target="media/image71.jpeg"/><Relationship Id="rId90" Type="http://schemas.openxmlformats.org/officeDocument/2006/relationships/image" Target="media/image70.png"/><Relationship Id="rId9" Type="http://schemas.openxmlformats.org/officeDocument/2006/relationships/footer" Target="footer4.xml"/><Relationship Id="rId89" Type="http://schemas.openxmlformats.org/officeDocument/2006/relationships/image" Target="media/image69.jpeg"/><Relationship Id="rId88" Type="http://schemas.openxmlformats.org/officeDocument/2006/relationships/image" Target="media/image68.jpeg"/><Relationship Id="rId87" Type="http://schemas.openxmlformats.org/officeDocument/2006/relationships/image" Target="media/image67.jpeg"/><Relationship Id="rId86" Type="http://schemas.openxmlformats.org/officeDocument/2006/relationships/image" Target="media/image66.jpeg"/><Relationship Id="rId85" Type="http://schemas.openxmlformats.org/officeDocument/2006/relationships/image" Target="media/image65.jpeg"/><Relationship Id="rId84" Type="http://schemas.openxmlformats.org/officeDocument/2006/relationships/image" Target="media/image64.jpeg"/><Relationship Id="rId83" Type="http://schemas.openxmlformats.org/officeDocument/2006/relationships/image" Target="media/image63.jpeg"/><Relationship Id="rId82" Type="http://schemas.openxmlformats.org/officeDocument/2006/relationships/image" Target="media/image62.jpeg"/><Relationship Id="rId81" Type="http://schemas.openxmlformats.org/officeDocument/2006/relationships/image" Target="media/image61.jpeg"/><Relationship Id="rId80" Type="http://schemas.openxmlformats.org/officeDocument/2006/relationships/image" Target="media/image60.jpeg"/><Relationship Id="rId8" Type="http://schemas.openxmlformats.org/officeDocument/2006/relationships/header" Target="header3.xml"/><Relationship Id="rId79" Type="http://schemas.openxmlformats.org/officeDocument/2006/relationships/image" Target="media/image59.jpeg"/><Relationship Id="rId78" Type="http://schemas.openxmlformats.org/officeDocument/2006/relationships/image" Target="media/image58.jpeg"/><Relationship Id="rId77" Type="http://schemas.openxmlformats.org/officeDocument/2006/relationships/image" Target="media/image57.jpeg"/><Relationship Id="rId76" Type="http://schemas.openxmlformats.org/officeDocument/2006/relationships/image" Target="media/image56.png"/><Relationship Id="rId75" Type="http://schemas.openxmlformats.org/officeDocument/2006/relationships/image" Target="media/image55.png"/><Relationship Id="rId74" Type="http://schemas.openxmlformats.org/officeDocument/2006/relationships/image" Target="media/image54.jpeg"/><Relationship Id="rId73" Type="http://schemas.openxmlformats.org/officeDocument/2006/relationships/image" Target="media/image53.jpeg"/><Relationship Id="rId72" Type="http://schemas.openxmlformats.org/officeDocument/2006/relationships/image" Target="media/image52.jpeg"/><Relationship Id="rId71" Type="http://schemas.openxmlformats.org/officeDocument/2006/relationships/image" Target="media/image51.jpeg"/><Relationship Id="rId70" Type="http://schemas.openxmlformats.org/officeDocument/2006/relationships/image" Target="media/image50.jpeg"/><Relationship Id="rId7" Type="http://schemas.openxmlformats.org/officeDocument/2006/relationships/footer" Target="footer3.xml"/><Relationship Id="rId69" Type="http://schemas.openxmlformats.org/officeDocument/2006/relationships/image" Target="media/image49.jpeg"/><Relationship Id="rId68" Type="http://schemas.openxmlformats.org/officeDocument/2006/relationships/image" Target="media/image48.png"/><Relationship Id="rId67" Type="http://schemas.openxmlformats.org/officeDocument/2006/relationships/image" Target="media/image47.png"/><Relationship Id="rId66" Type="http://schemas.openxmlformats.org/officeDocument/2006/relationships/image" Target="media/image46.jpeg"/><Relationship Id="rId65" Type="http://schemas.openxmlformats.org/officeDocument/2006/relationships/image" Target="media/image45.jpeg"/><Relationship Id="rId64" Type="http://schemas.openxmlformats.org/officeDocument/2006/relationships/image" Target="media/image44.jpeg"/><Relationship Id="rId63" Type="http://schemas.openxmlformats.org/officeDocument/2006/relationships/image" Target="media/image43.jpeg"/><Relationship Id="rId62" Type="http://schemas.openxmlformats.org/officeDocument/2006/relationships/image" Target="media/image42.jpeg"/><Relationship Id="rId61" Type="http://schemas.openxmlformats.org/officeDocument/2006/relationships/image" Target="media/image41.jpeg"/><Relationship Id="rId60" Type="http://schemas.openxmlformats.org/officeDocument/2006/relationships/image" Target="media/image40.jpeg"/><Relationship Id="rId6" Type="http://schemas.openxmlformats.org/officeDocument/2006/relationships/footer" Target="footer2.xml"/><Relationship Id="rId59" Type="http://schemas.openxmlformats.org/officeDocument/2006/relationships/image" Target="media/image39.jpeg"/><Relationship Id="rId58" Type="http://schemas.openxmlformats.org/officeDocument/2006/relationships/image" Target="media/image38.jpeg"/><Relationship Id="rId57" Type="http://schemas.openxmlformats.org/officeDocument/2006/relationships/image" Target="media/image37.jpeg"/><Relationship Id="rId56" Type="http://schemas.openxmlformats.org/officeDocument/2006/relationships/image" Target="media/image36.png"/><Relationship Id="rId55" Type="http://schemas.openxmlformats.org/officeDocument/2006/relationships/oleObject" Target="embeddings/oleObject5.bin"/><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footer" Target="footer1.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jpeg"/><Relationship Id="rId46" Type="http://schemas.openxmlformats.org/officeDocument/2006/relationships/image" Target="media/image27.jpe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header" Target="header2.xml"/><Relationship Id="rId39" Type="http://schemas.openxmlformats.org/officeDocument/2006/relationships/oleObject" Target="embeddings/oleObject4.bin"/><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header" Target="header1.xml"/><Relationship Id="rId29" Type="http://schemas.openxmlformats.org/officeDocument/2006/relationships/image" Target="media/image11.wmf"/><Relationship Id="rId28" Type="http://schemas.openxmlformats.org/officeDocument/2006/relationships/oleObject" Target="embeddings/oleObject3.bin"/><Relationship Id="rId27" Type="http://schemas.openxmlformats.org/officeDocument/2006/relationships/image" Target="media/image10.png"/><Relationship Id="rId26" Type="http://schemas.openxmlformats.org/officeDocument/2006/relationships/oleObject" Target="embeddings/oleObject2.bin"/><Relationship Id="rId25" Type="http://schemas.openxmlformats.org/officeDocument/2006/relationships/image" Target="media/image9.jpeg"/><Relationship Id="rId24" Type="http://schemas.openxmlformats.org/officeDocument/2006/relationships/image" Target="media/image8.jpe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header" Target="header5.xml"/><Relationship Id="rId11" Type="http://schemas.openxmlformats.org/officeDocument/2006/relationships/footer" Target="footer5.xml"/><Relationship Id="rId104" Type="http://schemas.openxmlformats.org/officeDocument/2006/relationships/fontTable" Target="fontTable.xml"/><Relationship Id="rId103" Type="http://schemas.microsoft.com/office/2006/relationships/keyMapCustomizations" Target="customizations.xml"/><Relationship Id="rId102" Type="http://schemas.openxmlformats.org/officeDocument/2006/relationships/numbering" Target="numbering.xml"/><Relationship Id="rId101" Type="http://schemas.openxmlformats.org/officeDocument/2006/relationships/customXml" Target="../customXml/item1.xml"/><Relationship Id="rId100" Type="http://schemas.openxmlformats.org/officeDocument/2006/relationships/image" Target="media/image80.pn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732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301</Pages>
  <Words>6362</Words>
  <Characters>7418</Characters>
  <Lines>1685</Lines>
  <Paragraphs>474</Paragraphs>
  <TotalTime>1</TotalTime>
  <ScaleCrop>false</ScaleCrop>
  <LinksUpToDate>false</LinksUpToDate>
  <CharactersWithSpaces>8073</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2019-11-13T00:35:00Z</dcterms:created>
  <dc:creator>acer</dc:creator>
  <cp:lastModifiedBy>不离ying</cp:lastModifiedBy>
  <cp:lastPrinted>2024-02-26T00:02:00Z</cp:lastPrinted>
  <dcterms:modified xsi:type="dcterms:W3CDTF">2025-02-20T01:57:19Z</dcterms:modified>
  <dc:title>目  录</dc:title>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0A2AD707FDBC44FD975DAB66ABFB9DF3</vt:lpwstr>
  </property>
  <property fmtid="{D5CDD505-2E9C-101B-9397-08002B2CF9AE}" pid="4" name="KSOTemplateDocerSaveRecord">
    <vt:lpwstr>eyJoZGlkIjoiYzIxODVhOWNjMmQxMTYxMjY1NjFlMzk5ZWNhMjUyODMiLCJ1c2VySWQiOiI5MzQ5MTkyODkifQ==</vt:lpwstr>
  </property>
</Properties>
</file>